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87ED0">
      <w:pPr>
        <w:adjustRightInd w:val="0"/>
        <w:snapToGrid w:val="0"/>
        <w:rPr>
          <w:rFonts w:hint="eastAsia" w:ascii="黑体" w:hAnsi="黑体" w:eastAsia="黑体" w:cs="黑体"/>
          <w:color w:val="auto"/>
        </w:rPr>
      </w:pPr>
      <w:r>
        <w:rPr>
          <w:rFonts w:hint="eastAsia" w:ascii="黑体" w:hAnsi="黑体" w:eastAsia="黑体" w:cs="黑体"/>
          <w:color w:val="auto"/>
        </w:rPr>
        <w:t>ICS  93.020</w:t>
      </w:r>
    </w:p>
    <w:p w14:paraId="31367097">
      <w:pPr>
        <w:adjustRightInd w:val="0"/>
        <w:snapToGrid w:val="0"/>
        <w:rPr>
          <w:rFonts w:hint="eastAsia" w:ascii="黑体" w:hAnsi="黑体" w:eastAsia="黑体" w:cs="黑体"/>
          <w:color w:val="auto"/>
        </w:rPr>
      </w:pPr>
      <w:r>
        <w:rPr>
          <w:rFonts w:hint="eastAsia" w:ascii="黑体" w:hAnsi="黑体" w:eastAsia="黑体" w:cs="黑体"/>
          <w:color w:val="auto"/>
        </w:rPr>
        <w:t>CCS  P  10</w:t>
      </w:r>
    </w:p>
    <w:p w14:paraId="58424612">
      <w:pPr>
        <w:keepNext/>
        <w:adjustRightInd w:val="0"/>
        <w:snapToGrid w:val="0"/>
        <w:spacing w:line="960" w:lineRule="exact"/>
        <w:jc w:val="center"/>
        <w:rPr>
          <w:b/>
          <w:bCs/>
          <w:color w:val="auto"/>
          <w:w w:val="150"/>
          <w:sz w:val="80"/>
          <w:szCs w:val="80"/>
        </w:rPr>
      </w:pPr>
      <w:r>
        <w:rPr>
          <w:rFonts w:hint="eastAsia"/>
          <w:b/>
          <w:bCs/>
          <w:color w:val="auto"/>
          <w:sz w:val="80"/>
          <w:szCs w:val="80"/>
        </w:rPr>
        <w:t xml:space="preserve">          </w:t>
      </w:r>
      <w:r>
        <w:rPr>
          <w:rFonts w:hint="eastAsia"/>
          <w:b/>
          <w:bCs/>
          <w:color w:val="auto"/>
          <w:sz w:val="80"/>
          <w:szCs w:val="80"/>
          <w:lang w:val="en-US" w:eastAsia="zh-CN"/>
        </w:rPr>
        <w:t xml:space="preserve">  </w:t>
      </w:r>
      <w:r>
        <w:rPr>
          <w:rFonts w:hint="eastAsia"/>
          <w:b/>
          <w:bCs/>
          <w:color w:val="auto"/>
          <w:w w:val="150"/>
          <w:sz w:val="80"/>
          <w:szCs w:val="80"/>
        </w:rPr>
        <w:t>DB42</w:t>
      </w:r>
    </w:p>
    <w:p w14:paraId="6C690F36">
      <w:pPr>
        <w:spacing w:before="218" w:beforeLines="70"/>
        <w:rPr>
          <w:rFonts w:eastAsia="黑体"/>
          <w:bCs/>
          <w:color w:val="auto"/>
          <w:sz w:val="52"/>
          <w:szCs w:val="52"/>
        </w:rPr>
      </w:pPr>
      <w:r>
        <w:rPr>
          <w:rFonts w:hint="eastAsia" w:eastAsia="黑体"/>
          <w:bCs/>
          <w:color w:val="auto"/>
          <w:spacing w:val="60"/>
          <w:sz w:val="52"/>
          <w:szCs w:val="52"/>
        </w:rPr>
        <w:t xml:space="preserve">湖  北  省  地  方  标  </w:t>
      </w:r>
      <w:r>
        <w:rPr>
          <w:rFonts w:hint="eastAsia" w:eastAsia="黑体"/>
          <w:bCs/>
          <w:color w:val="auto"/>
          <w:sz w:val="52"/>
          <w:szCs w:val="52"/>
        </w:rPr>
        <w:t>准</w:t>
      </w:r>
    </w:p>
    <w:p w14:paraId="5AD62ADA">
      <w:pPr>
        <w:keepNext/>
        <w:spacing w:before="240"/>
        <w:jc w:val="center"/>
        <w:rPr>
          <w:rFonts w:eastAsia="黑体"/>
          <w:bCs/>
          <w:color w:val="auto"/>
          <w:sz w:val="30"/>
          <w:szCs w:val="30"/>
        </w:rPr>
      </w:pPr>
      <w:r>
        <w:rPr>
          <w:rFonts w:hint="eastAsia" w:eastAsia="黑体"/>
          <w:b/>
          <w:bCs/>
          <w:color w:val="auto"/>
          <w:sz w:val="30"/>
          <w:szCs w:val="30"/>
        </w:rPr>
        <w:t xml:space="preserve">                                  </w:t>
      </w:r>
      <w:r>
        <w:rPr>
          <w:rFonts w:hint="eastAsia" w:eastAsia="黑体"/>
          <w:bCs/>
          <w:color w:val="auto"/>
          <w:sz w:val="30"/>
          <w:szCs w:val="30"/>
        </w:rPr>
        <w:t xml:space="preserve"> DB42/</w:t>
      </w:r>
      <w:r>
        <w:rPr>
          <w:rFonts w:eastAsia="黑体"/>
          <w:bCs/>
          <w:color w:val="auto"/>
          <w:sz w:val="30"/>
          <w:szCs w:val="30"/>
        </w:rPr>
        <w:t>T 242</w:t>
      </w:r>
      <w:r>
        <w:rPr>
          <w:rFonts w:hint="eastAsia" w:eastAsia="黑体"/>
          <w:bCs/>
          <w:color w:val="auto"/>
          <w:sz w:val="30"/>
          <w:szCs w:val="30"/>
        </w:rPr>
        <w:t>—20</w:t>
      </w:r>
      <w:r>
        <w:rPr>
          <w:rFonts w:eastAsia="黑体"/>
          <w:bCs/>
          <w:color w:val="auto"/>
          <w:sz w:val="30"/>
          <w:szCs w:val="30"/>
        </w:rPr>
        <w:t>2</w:t>
      </w:r>
      <w:r>
        <w:rPr>
          <w:rFonts w:hint="eastAsia" w:eastAsia="黑体"/>
          <w:bCs/>
          <w:color w:val="auto"/>
          <w:sz w:val="30"/>
          <w:szCs w:val="30"/>
        </w:rPr>
        <w:t>X</w:t>
      </w:r>
    </w:p>
    <w:p w14:paraId="6A8F943B">
      <w:pPr>
        <w:keepNext/>
        <w:adjustRightInd w:val="0"/>
        <w:snapToGrid w:val="0"/>
        <w:rPr>
          <w:rFonts w:eastAsia="黑体"/>
          <w:color w:val="auto"/>
          <w:spacing w:val="60"/>
          <w:sz w:val="32"/>
        </w:rPr>
      </w:pPr>
      <w:r>
        <w:rPr>
          <w:rFonts w:hint="eastAsia" w:eastAsia="黑体"/>
          <w:color w:val="auto"/>
          <w:spacing w:val="60"/>
          <w:sz w:val="32"/>
        </w:rPr>
        <w:t xml:space="preserve">    </w:t>
      </w:r>
      <w:r>
        <w:rPr>
          <w:rFonts w:eastAsia="黑体"/>
          <w:color w:val="auto"/>
          <w:spacing w:val="60"/>
          <w:sz w:val="32"/>
        </w:rPr>
        <w:t xml:space="preserve">                 </w:t>
      </w:r>
      <w:r>
        <w:rPr>
          <w:rFonts w:hint="eastAsia" w:eastAsia="黑体"/>
          <w:bCs/>
          <w:color w:val="auto"/>
          <w:sz w:val="30"/>
          <w:szCs w:val="30"/>
        </w:rPr>
        <w:t>代替DB</w:t>
      </w:r>
      <w:r>
        <w:rPr>
          <w:rFonts w:eastAsia="黑体"/>
          <w:bCs/>
          <w:color w:val="auto"/>
          <w:sz w:val="30"/>
          <w:szCs w:val="30"/>
        </w:rPr>
        <w:t>42</w:t>
      </w:r>
      <w:r>
        <w:rPr>
          <w:rFonts w:hint="eastAsia" w:eastAsia="黑体"/>
          <w:bCs/>
          <w:color w:val="auto"/>
          <w:sz w:val="30"/>
          <w:szCs w:val="30"/>
        </w:rPr>
        <w:t>/</w:t>
      </w:r>
      <w:r>
        <w:rPr>
          <w:rFonts w:eastAsia="黑体"/>
          <w:bCs/>
          <w:color w:val="auto"/>
          <w:sz w:val="30"/>
          <w:szCs w:val="30"/>
        </w:rPr>
        <w:t xml:space="preserve"> 242</w:t>
      </w:r>
      <w:r>
        <w:rPr>
          <w:rFonts w:hint="eastAsia" w:eastAsia="黑体"/>
          <w:bCs/>
          <w:color w:val="auto"/>
          <w:sz w:val="30"/>
          <w:szCs w:val="30"/>
        </w:rPr>
        <w:t>—</w:t>
      </w:r>
      <w:r>
        <w:rPr>
          <w:rFonts w:eastAsia="黑体"/>
          <w:bCs/>
          <w:color w:val="auto"/>
          <w:sz w:val="30"/>
          <w:szCs w:val="30"/>
        </w:rPr>
        <w:t>2014</w:t>
      </w:r>
    </w:p>
    <w:p w14:paraId="37345954">
      <w:pPr>
        <w:rPr>
          <w:color w:val="auto"/>
        </w:rPr>
      </w:pPr>
      <w:r>
        <w:rPr>
          <w:b/>
          <w:bCs/>
          <w:color w:val="auto"/>
          <w:spacing w:val="60"/>
          <w:sz w:val="72"/>
        </w:rPr>
        <mc:AlternateContent>
          <mc:Choice Requires="wps">
            <w:drawing>
              <wp:anchor distT="0" distB="0" distL="114300" distR="114300" simplePos="0" relativeHeight="251674624" behindDoc="0" locked="0" layoutInCell="1" allowOverlap="1">
                <wp:simplePos x="0" y="0"/>
                <wp:positionH relativeFrom="column">
                  <wp:posOffset>-102870</wp:posOffset>
                </wp:positionH>
                <wp:positionV relativeFrom="paragraph">
                  <wp:posOffset>27940</wp:posOffset>
                </wp:positionV>
                <wp:extent cx="5903595" cy="0"/>
                <wp:effectExtent l="8890" t="9525" r="12065" b="9525"/>
                <wp:wrapNone/>
                <wp:docPr id="27" name="Line 28"/>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line">
                          <a:avLst/>
                        </a:prstGeom>
                        <a:noFill/>
                        <a:ln w="12700">
                          <a:solidFill>
                            <a:srgbClr val="000000"/>
                          </a:solidFill>
                          <a:round/>
                        </a:ln>
                      </wps:spPr>
                      <wps:bodyPr/>
                    </wps:wsp>
                  </a:graphicData>
                </a:graphic>
              </wp:anchor>
            </w:drawing>
          </mc:Choice>
          <mc:Fallback>
            <w:pict>
              <v:line id="Line 28" o:spid="_x0000_s1026" o:spt="20" style="position:absolute;left:0pt;margin-left:-8.1pt;margin-top:2.2pt;height:0pt;width:464.85pt;z-index:251674624;mso-width-relative:page;mso-height-relative:page;" filled="f" stroked="t" coordsize="21600,21600" o:gfxdata="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3ejp31gAAAAcBAAAPAAAAAAAAAAEAIAAAACIAAABkcnMv&#10;ZG93bnJldi54bWxQSwECFAAUAAAACACHTuJA/yQAX8wBAACiAwAADgAAAAAAAAABACAAAAAlAQAA&#10;ZHJzL2Uyb0RvYy54bWxQSwUGAAAAAAYABgBZAQAAYwUAAAAA&#10;">
                <v:fill on="f" focussize="0,0"/>
                <v:stroke weight="1pt" color="#000000" joinstyle="round"/>
                <v:imagedata o:title=""/>
                <o:lock v:ext="edit" aspectratio="f"/>
              </v:line>
            </w:pict>
          </mc:Fallback>
        </mc:AlternateContent>
      </w:r>
    </w:p>
    <w:p w14:paraId="5BFD8C6E">
      <w:pPr>
        <w:spacing w:before="240"/>
        <w:rPr>
          <w:color w:val="auto"/>
        </w:rPr>
      </w:pPr>
    </w:p>
    <w:p w14:paraId="0D39B28D">
      <w:pPr>
        <w:spacing w:before="240"/>
        <w:rPr>
          <w:color w:val="auto"/>
        </w:rPr>
      </w:pPr>
    </w:p>
    <w:p w14:paraId="06C500C9">
      <w:pPr>
        <w:rPr>
          <w:color w:val="auto"/>
        </w:rPr>
      </w:pPr>
    </w:p>
    <w:p w14:paraId="28A3FF6B">
      <w:pPr>
        <w:spacing w:before="360"/>
        <w:jc w:val="center"/>
        <w:rPr>
          <w:rFonts w:eastAsia="黑体"/>
          <w:color w:val="auto"/>
          <w:sz w:val="50"/>
        </w:rPr>
      </w:pPr>
      <w:bookmarkStart w:id="0" w:name="StdName"/>
      <w:r>
        <w:rPr>
          <w:rFonts w:hint="eastAsia" w:eastAsia="黑体"/>
          <w:color w:val="auto"/>
          <w:sz w:val="50"/>
        </w:rPr>
        <w:t>建筑地基基础技术规范</w:t>
      </w:r>
      <w:bookmarkEnd w:id="0"/>
    </w:p>
    <w:p w14:paraId="70FABEAC">
      <w:pPr>
        <w:spacing w:before="360"/>
        <w:jc w:val="center"/>
        <w:rPr>
          <w:rFonts w:eastAsia="黑体"/>
          <w:color w:val="auto"/>
          <w:sz w:val="30"/>
          <w:szCs w:val="30"/>
        </w:rPr>
      </w:pPr>
      <w:bookmarkStart w:id="1" w:name="StdEnglishName"/>
      <w:r>
        <w:rPr>
          <w:rFonts w:eastAsia="黑体"/>
          <w:color w:val="auto"/>
          <w:sz w:val="30"/>
          <w:szCs w:val="30"/>
        </w:rPr>
        <w:t>Technical code for building foundation</w:t>
      </w:r>
      <w:bookmarkEnd w:id="1"/>
    </w:p>
    <w:p w14:paraId="52662001">
      <w:pPr>
        <w:jc w:val="center"/>
        <w:rPr>
          <w:rFonts w:ascii="宋体" w:hAnsi="宋体"/>
          <w:color w:val="auto"/>
          <w:sz w:val="28"/>
          <w:szCs w:val="20"/>
        </w:rPr>
      </w:pPr>
      <w:r>
        <w:rPr>
          <w:rFonts w:hint="eastAsia" w:ascii="宋体" w:hAnsi="宋体"/>
          <w:color w:val="auto"/>
          <w:sz w:val="28"/>
          <w:szCs w:val="20"/>
        </w:rPr>
        <w:t>（征求意见稿）</w:t>
      </w:r>
    </w:p>
    <w:p w14:paraId="08B2751F">
      <w:pPr>
        <w:spacing w:before="240"/>
        <w:jc w:val="center"/>
        <w:rPr>
          <w:rFonts w:eastAsia="黑体"/>
          <w:color w:val="auto"/>
          <w:sz w:val="48"/>
        </w:rPr>
      </w:pPr>
    </w:p>
    <w:p w14:paraId="277CEDDD">
      <w:pPr>
        <w:jc w:val="center"/>
        <w:rPr>
          <w:rFonts w:eastAsia="黑体"/>
          <w:color w:val="auto"/>
          <w:sz w:val="48"/>
        </w:rPr>
      </w:pPr>
    </w:p>
    <w:p w14:paraId="5EC6F543">
      <w:pPr>
        <w:jc w:val="center"/>
        <w:rPr>
          <w:rFonts w:eastAsia="黑体"/>
          <w:color w:val="auto"/>
          <w:sz w:val="48"/>
        </w:rPr>
      </w:pPr>
    </w:p>
    <w:p w14:paraId="4D3DC144">
      <w:pPr>
        <w:jc w:val="center"/>
        <w:rPr>
          <w:rFonts w:eastAsia="黑体"/>
          <w:color w:val="auto"/>
          <w:sz w:val="48"/>
        </w:rPr>
      </w:pPr>
    </w:p>
    <w:p w14:paraId="26C306CA">
      <w:pPr>
        <w:jc w:val="center"/>
        <w:rPr>
          <w:rFonts w:eastAsia="黑体"/>
          <w:color w:val="auto"/>
          <w:sz w:val="48"/>
        </w:rPr>
      </w:pPr>
    </w:p>
    <w:p w14:paraId="493E0851">
      <w:pPr>
        <w:jc w:val="center"/>
        <w:rPr>
          <w:rFonts w:eastAsia="黑体"/>
          <w:color w:val="auto"/>
          <w:sz w:val="48"/>
        </w:rPr>
      </w:pPr>
    </w:p>
    <w:p w14:paraId="6FDB8334">
      <w:pPr>
        <w:adjustRightInd w:val="0"/>
        <w:snapToGrid w:val="0"/>
        <w:rPr>
          <w:rFonts w:eastAsia="黑体"/>
          <w:color w:val="auto"/>
          <w:sz w:val="30"/>
          <w:szCs w:val="30"/>
        </w:rPr>
      </w:pPr>
      <w:r>
        <w:rPr>
          <w:rFonts w:hint="eastAsia" w:eastAsia="黑体"/>
          <w:bCs/>
          <w:color w:val="auto"/>
          <w:sz w:val="30"/>
          <w:szCs w:val="30"/>
        </w:rPr>
        <w:t>20</w:t>
      </w:r>
      <w:r>
        <w:rPr>
          <w:rFonts w:eastAsia="黑体"/>
          <w:bCs/>
          <w:color w:val="auto"/>
          <w:sz w:val="30"/>
          <w:szCs w:val="30"/>
        </w:rPr>
        <w:t>2</w:t>
      </w:r>
      <w:r>
        <w:rPr>
          <w:rFonts w:hint="eastAsia" w:eastAsia="黑体"/>
          <w:bCs/>
          <w:color w:val="auto"/>
          <w:sz w:val="30"/>
          <w:szCs w:val="30"/>
        </w:rPr>
        <w:t>x-</w:t>
      </w:r>
      <w:r>
        <w:rPr>
          <w:rFonts w:eastAsia="黑体"/>
          <w:bCs/>
          <w:color w:val="auto"/>
          <w:sz w:val="30"/>
          <w:szCs w:val="30"/>
        </w:rPr>
        <w:t xml:space="preserve">  </w:t>
      </w:r>
      <w:r>
        <w:rPr>
          <w:rFonts w:hint="eastAsia" w:eastAsia="黑体"/>
          <w:bCs/>
          <w:color w:val="auto"/>
          <w:sz w:val="30"/>
          <w:szCs w:val="30"/>
        </w:rPr>
        <w:t>-</w:t>
      </w:r>
      <w:r>
        <w:rPr>
          <w:rFonts w:eastAsia="黑体"/>
          <w:bCs/>
          <w:color w:val="auto"/>
          <w:sz w:val="30"/>
          <w:szCs w:val="30"/>
        </w:rPr>
        <w:t xml:space="preserve">  </w:t>
      </w:r>
      <w:r>
        <w:rPr>
          <w:rFonts w:hint="eastAsia" w:eastAsia="黑体"/>
          <w:color w:val="auto"/>
          <w:sz w:val="30"/>
          <w:szCs w:val="30"/>
        </w:rPr>
        <w:t xml:space="preserve">发布                              </w:t>
      </w:r>
      <w:r>
        <w:rPr>
          <w:rFonts w:hint="eastAsia" w:eastAsia="黑体"/>
          <w:bCs/>
          <w:color w:val="auto"/>
          <w:sz w:val="30"/>
          <w:szCs w:val="30"/>
        </w:rPr>
        <w:t>20</w:t>
      </w:r>
      <w:r>
        <w:rPr>
          <w:rFonts w:eastAsia="黑体"/>
          <w:bCs/>
          <w:color w:val="auto"/>
          <w:sz w:val="30"/>
          <w:szCs w:val="30"/>
        </w:rPr>
        <w:t>2</w:t>
      </w:r>
      <w:r>
        <w:rPr>
          <w:rFonts w:hint="eastAsia" w:eastAsia="黑体"/>
          <w:bCs/>
          <w:color w:val="auto"/>
          <w:sz w:val="30"/>
          <w:szCs w:val="30"/>
        </w:rPr>
        <w:t>x-</w:t>
      </w:r>
      <w:r>
        <w:rPr>
          <w:rFonts w:eastAsia="黑体"/>
          <w:bCs/>
          <w:color w:val="auto"/>
          <w:sz w:val="30"/>
          <w:szCs w:val="30"/>
        </w:rPr>
        <w:t xml:space="preserve">  </w:t>
      </w:r>
      <w:r>
        <w:rPr>
          <w:rFonts w:hint="eastAsia" w:eastAsia="黑体"/>
          <w:bCs/>
          <w:color w:val="auto"/>
          <w:sz w:val="30"/>
          <w:szCs w:val="30"/>
        </w:rPr>
        <w:t>-</w:t>
      </w:r>
      <w:r>
        <w:rPr>
          <w:rFonts w:eastAsia="黑体"/>
          <w:bCs/>
          <w:color w:val="auto"/>
          <w:sz w:val="30"/>
          <w:szCs w:val="30"/>
        </w:rPr>
        <w:t xml:space="preserve">  </w:t>
      </w:r>
      <w:r>
        <w:rPr>
          <w:rFonts w:hint="eastAsia" w:eastAsia="黑体"/>
          <w:color w:val="auto"/>
          <w:sz w:val="30"/>
          <w:szCs w:val="30"/>
        </w:rPr>
        <w:t>实施</w:t>
      </w:r>
    </w:p>
    <w:p w14:paraId="5C4A23EA">
      <w:pPr>
        <w:snapToGrid w:val="0"/>
        <w:spacing w:before="480"/>
        <w:jc w:val="center"/>
        <w:rPr>
          <w:rFonts w:ascii="宋体" w:hAnsi="宋体"/>
          <w:color w:val="auto"/>
          <w:w w:val="130"/>
          <w:sz w:val="36"/>
          <w:szCs w:val="36"/>
        </w:rPr>
      </w:pPr>
      <w:r>
        <w:rPr>
          <w:rFonts w:ascii="宋体" w:hAnsi="宋体"/>
          <w:b/>
          <w:bCs/>
          <w:color w:val="auto"/>
          <w:spacing w:val="32"/>
          <w:w w:val="130"/>
          <w:sz w:val="32"/>
          <w:szCs w:val="32"/>
        </w:rPr>
        <mc:AlternateContent>
          <mc:Choice Requires="wps">
            <w:drawing>
              <wp:anchor distT="0" distB="0" distL="114300" distR="114300" simplePos="0" relativeHeight="251676672" behindDoc="0" locked="0" layoutInCell="1" allowOverlap="1">
                <wp:simplePos x="0" y="0"/>
                <wp:positionH relativeFrom="column">
                  <wp:posOffset>4479925</wp:posOffset>
                </wp:positionH>
                <wp:positionV relativeFrom="paragraph">
                  <wp:posOffset>339090</wp:posOffset>
                </wp:positionV>
                <wp:extent cx="1400175" cy="594360"/>
                <wp:effectExtent l="635" t="3810" r="0" b="1905"/>
                <wp:wrapNone/>
                <wp:docPr id="26" name="Rectangle 30"/>
                <wp:cNvGraphicFramePr/>
                <a:graphic xmlns:a="http://schemas.openxmlformats.org/drawingml/2006/main">
                  <a:graphicData uri="http://schemas.microsoft.com/office/word/2010/wordprocessingShape">
                    <wps:wsp>
                      <wps:cNvSpPr>
                        <a:spLocks noChangeArrowheads="1"/>
                      </wps:cNvSpPr>
                      <wps:spPr bwMode="auto">
                        <a:xfrm>
                          <a:off x="0" y="0"/>
                          <a:ext cx="1400175" cy="594360"/>
                        </a:xfrm>
                        <a:prstGeom prst="rect">
                          <a:avLst/>
                        </a:prstGeom>
                        <a:noFill/>
                        <a:ln>
                          <a:noFill/>
                        </a:ln>
                      </wps:spPr>
                      <wps:txbx>
                        <w:txbxContent>
                          <w:p w14:paraId="3D255F8B">
                            <w:pPr>
                              <w:rPr>
                                <w:rFonts w:eastAsia="黑体"/>
                                <w:b/>
                                <w:bCs/>
                                <w:spacing w:val="-2"/>
                                <w:sz w:val="30"/>
                                <w:szCs w:val="30"/>
                              </w:rPr>
                            </w:pPr>
                            <w:r>
                              <w:rPr>
                                <w:rFonts w:hint="eastAsia" w:eastAsia="黑体"/>
                                <w:b/>
                                <w:bCs/>
                                <w:spacing w:val="-2"/>
                                <w:sz w:val="30"/>
                                <w:szCs w:val="30"/>
                              </w:rPr>
                              <w:t>联合发布</w:t>
                            </w: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352.75pt;margin-top:26.7pt;height:46.8pt;width:110.25pt;z-index:251676672;mso-width-relative:page;mso-height-relative:page;" filled="f" stroked="f" coordsize="21600,21600" o:gfxdata="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qMgiTbAAAACgEAAA8AAAAAAAAAAQAgAAAAIgAA&#10;AGRycy9kb3ducmV2LnhtbFBLAQIUABQAAAAIAIdO4kA7vMiABQIAAA0EAAAOAAAAAAAAAAEAIAAA&#10;ACoBAABkcnMvZTJvRG9jLnhtbFBLBQYAAAAABgAGAFkBAAChBQAAAAA=&#10;">
                <v:fill on="f" focussize="0,0"/>
                <v:stroke on="f"/>
                <v:imagedata o:title=""/>
                <o:lock v:ext="edit" aspectratio="f"/>
                <v:textbox>
                  <w:txbxContent>
                    <w:p w14:paraId="3D255F8B">
                      <w:pPr>
                        <w:rPr>
                          <w:rFonts w:eastAsia="黑体"/>
                          <w:b/>
                          <w:bCs/>
                          <w:spacing w:val="-2"/>
                          <w:sz w:val="30"/>
                          <w:szCs w:val="30"/>
                        </w:rPr>
                      </w:pPr>
                      <w:r>
                        <w:rPr>
                          <w:rFonts w:hint="eastAsia" w:eastAsia="黑体"/>
                          <w:b/>
                          <w:bCs/>
                          <w:spacing w:val="-2"/>
                          <w:sz w:val="30"/>
                          <w:szCs w:val="30"/>
                        </w:rPr>
                        <w:t>联合发布</w:t>
                      </w:r>
                    </w:p>
                  </w:txbxContent>
                </v:textbox>
              </v:rect>
            </w:pict>
          </mc:Fallback>
        </mc:AlternateContent>
      </w:r>
      <w:r>
        <w:rPr>
          <w:rFonts w:hint="eastAsia" w:ascii="宋体" w:hAnsi="宋体"/>
          <w:color w:val="auto"/>
          <w:w w:val="130"/>
          <w:sz w:val="32"/>
          <w:szCs w:val="32"/>
        </w:rPr>
        <w:t>湖北省住房和城乡建设厅</w:t>
      </w:r>
      <w:r>
        <w:rPr>
          <w:rFonts w:ascii="宋体" w:hAnsi="宋体"/>
          <w:b/>
          <w:bCs/>
          <w:color w:val="auto"/>
          <w:spacing w:val="32"/>
          <w:w w:val="130"/>
          <w:sz w:val="36"/>
          <w:szCs w:val="36"/>
        </w:rPr>
        <mc:AlternateContent>
          <mc:Choice Requires="wps">
            <w:drawing>
              <wp:anchor distT="0" distB="0" distL="114300" distR="114300" simplePos="0" relativeHeight="251675648" behindDoc="0" locked="0" layoutInCell="1" allowOverlap="1">
                <wp:simplePos x="0" y="0"/>
                <wp:positionH relativeFrom="column">
                  <wp:posOffset>-64770</wp:posOffset>
                </wp:positionH>
                <wp:positionV relativeFrom="paragraph">
                  <wp:posOffset>46355</wp:posOffset>
                </wp:positionV>
                <wp:extent cx="5763895" cy="0"/>
                <wp:effectExtent l="8890" t="6350" r="8890" b="12700"/>
                <wp:wrapNone/>
                <wp:docPr id="25" name="Line 29"/>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12700">
                          <a:solidFill>
                            <a:srgbClr val="000000"/>
                          </a:solidFill>
                          <a:round/>
                        </a:ln>
                      </wps:spPr>
                      <wps:bodyPr/>
                    </wps:wsp>
                  </a:graphicData>
                </a:graphic>
              </wp:anchor>
            </w:drawing>
          </mc:Choice>
          <mc:Fallback>
            <w:pict>
              <v:line id="Line 29" o:spid="_x0000_s1026" o:spt="20" style="position:absolute;left:0pt;margin-left:-5.1pt;margin-top:3.65pt;height:0pt;width:453.85pt;z-index:251675648;mso-width-relative:page;mso-height-relative:page;" filled="f" stroked="t" coordsize="21600,21600" o:gfxdata="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A9LPWAAAABwEAAA8AAAAAAAAAAQAgAAAAIgAAAGRycy9k&#10;b3ducmV2LnhtbFBLAQIUABQAAAAIAIdO4kCHq0ptywEAAKIDAAAOAAAAAAAAAAEAIAAAACUBAABk&#10;cnMvZTJvRG9jLnhtbFBLBQYAAAAABgAGAFkBAABiBQAAAAA=&#10;">
                <v:fill on="f" focussize="0,0"/>
                <v:stroke weight="1pt" color="#000000" joinstyle="round"/>
                <v:imagedata o:title=""/>
                <o:lock v:ext="edit" aspectratio="f"/>
              </v:line>
            </w:pict>
          </mc:Fallback>
        </mc:AlternateContent>
      </w:r>
    </w:p>
    <w:p w14:paraId="56325467">
      <w:pPr>
        <w:snapToGrid w:val="0"/>
        <w:jc w:val="center"/>
        <w:rPr>
          <w:rFonts w:ascii="宋体" w:hAnsi="宋体"/>
          <w:color w:val="auto"/>
          <w:w w:val="130"/>
          <w:sz w:val="32"/>
          <w:szCs w:val="32"/>
        </w:rPr>
      </w:pPr>
      <w:r>
        <w:rPr>
          <w:rFonts w:hint="eastAsia" w:ascii="宋体" w:hAnsi="宋体"/>
          <w:color w:val="auto"/>
          <w:spacing w:val="32"/>
          <w:w w:val="130"/>
          <w:sz w:val="32"/>
          <w:szCs w:val="32"/>
        </w:rPr>
        <w:t>湖北省市场监督管理局</w:t>
      </w:r>
    </w:p>
    <w:p w14:paraId="6DE91373">
      <w:pPr>
        <w:rPr>
          <w:color w:val="auto"/>
          <w:sz w:val="46"/>
        </w:rPr>
      </w:pPr>
    </w:p>
    <w:p w14:paraId="57113E89">
      <w:pPr>
        <w:adjustRightInd w:val="0"/>
        <w:snapToGrid w:val="0"/>
        <w:spacing w:before="312" w:beforeLines="100" w:after="312" w:afterLines="100"/>
        <w:jc w:val="center"/>
        <w:rPr>
          <w:b/>
          <w:bCs/>
          <w:color w:val="auto"/>
          <w:sz w:val="24"/>
          <w:szCs w:val="32"/>
        </w:rPr>
        <w:sectPr>
          <w:footerReference r:id="rId4" w:type="default"/>
          <w:headerReference r:id="rId3" w:type="even"/>
          <w:footerReference r:id="rId5" w:type="even"/>
          <w:pgSz w:w="11907" w:h="16840"/>
          <w:pgMar w:top="567" w:right="1361" w:bottom="1134" w:left="1417" w:header="851" w:footer="794" w:gutter="0"/>
          <w:pgNumType w:fmt="upperRoman" w:start="1"/>
          <w:cols w:space="425" w:num="1"/>
          <w:docGrid w:type="lines" w:linePitch="312" w:charSpace="0"/>
        </w:sectPr>
      </w:pPr>
    </w:p>
    <w:sdt>
      <w:sdtPr>
        <w:rPr>
          <w:rFonts w:ascii="Times New Roman" w:hAnsi="Times New Roman" w:eastAsia="宋体" w:cs="Times New Roman"/>
          <w:color w:val="auto"/>
          <w:kern w:val="2"/>
          <w:sz w:val="21"/>
          <w:szCs w:val="24"/>
          <w:lang w:val="zh-CN"/>
        </w:rPr>
        <w:id w:val="-1094236014"/>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3C708DB2">
          <w:pPr>
            <w:pStyle w:val="73"/>
            <w:jc w:val="center"/>
            <w:rPr>
              <w:rFonts w:ascii="宋体" w:hAnsi="宋体" w:eastAsia="宋体" w:cs="Times New Roman"/>
              <w:color w:val="auto"/>
              <w:kern w:val="2"/>
              <w:sz w:val="21"/>
              <w:szCs w:val="21"/>
            </w:rPr>
          </w:pPr>
          <w:r>
            <w:rPr>
              <w:rFonts w:ascii="宋体" w:hAnsi="宋体" w:eastAsia="黑体" w:cs="Times New Roman"/>
              <w:color w:val="auto"/>
              <w:kern w:val="2"/>
              <w:sz w:val="32"/>
              <w:szCs w:val="21"/>
            </w:rPr>
            <w:t>目</w:t>
          </w:r>
          <w:r>
            <w:rPr>
              <w:rFonts w:hint="eastAsia" w:ascii="宋体" w:hAnsi="宋体" w:eastAsia="黑体" w:cs="Times New Roman"/>
              <w:color w:val="auto"/>
              <w:kern w:val="2"/>
              <w:sz w:val="32"/>
              <w:szCs w:val="21"/>
            </w:rPr>
            <w:t xml:space="preserve"> </w:t>
          </w:r>
          <w:r>
            <w:rPr>
              <w:rFonts w:ascii="宋体" w:hAnsi="宋体" w:eastAsia="黑体" w:cs="Times New Roman"/>
              <w:color w:val="auto"/>
              <w:kern w:val="2"/>
              <w:sz w:val="32"/>
              <w:szCs w:val="21"/>
            </w:rPr>
            <w:t xml:space="preserve">    </w:t>
          </w:r>
          <w:r>
            <w:rPr>
              <w:rFonts w:hint="eastAsia" w:ascii="宋体" w:hAnsi="宋体" w:eastAsia="黑体" w:cs="Times New Roman"/>
              <w:color w:val="auto"/>
              <w:kern w:val="2"/>
              <w:sz w:val="32"/>
              <w:szCs w:val="21"/>
            </w:rPr>
            <w:t>次</w:t>
          </w:r>
        </w:p>
        <w:p w14:paraId="15A6674A">
          <w:pPr>
            <w:pStyle w:val="25"/>
            <w:tabs>
              <w:tab w:val="right" w:leader="dot" w:pos="9175"/>
            </w:tabs>
            <w:rPr>
              <w:rFonts w:eastAsia="宋体" w:cstheme="minorBidi"/>
              <w:b w:val="0"/>
              <w:i w:val="0"/>
              <w:color w:val="auto"/>
              <w:kern w:val="2"/>
              <w:sz w:val="21"/>
            </w:rPr>
          </w:pPr>
          <w:r>
            <w:rPr>
              <w:rFonts w:ascii="宋体" w:hAnsi="宋体" w:eastAsia="宋体"/>
              <w:color w:val="auto"/>
              <w:sz w:val="21"/>
              <w:szCs w:val="21"/>
            </w:rPr>
            <w:fldChar w:fldCharType="begin"/>
          </w:r>
          <w:r>
            <w:rPr>
              <w:rFonts w:ascii="宋体" w:hAnsi="宋体" w:eastAsia="宋体"/>
              <w:color w:val="auto"/>
              <w:sz w:val="21"/>
              <w:szCs w:val="21"/>
            </w:rPr>
            <w:instrText xml:space="preserve"> TOC \o "1-3" \h \z \u </w:instrText>
          </w:r>
          <w:r>
            <w:rPr>
              <w:rFonts w:ascii="宋体" w:hAnsi="宋体" w:eastAsia="宋体"/>
              <w:color w:val="auto"/>
              <w:sz w:val="21"/>
              <w:szCs w:val="21"/>
            </w:rPr>
            <w:fldChar w:fldCharType="separate"/>
          </w:r>
          <w:r>
            <w:rPr>
              <w:rFonts w:eastAsia="宋体"/>
              <w:b w:val="0"/>
              <w:i w:val="0"/>
              <w:color w:val="auto"/>
              <w:sz w:val="21"/>
            </w:rPr>
            <w:fldChar w:fldCharType="begin"/>
          </w:r>
          <w:r>
            <w:rPr>
              <w:rFonts w:eastAsia="宋体"/>
              <w:b w:val="0"/>
              <w:i w:val="0"/>
              <w:color w:val="auto"/>
              <w:sz w:val="21"/>
            </w:rPr>
            <w:instrText xml:space="preserve"> HYPERLINK \l "_Toc199943566" </w:instrText>
          </w:r>
          <w:r>
            <w:rPr>
              <w:rFonts w:eastAsia="宋体"/>
              <w:b w:val="0"/>
              <w:i w:val="0"/>
              <w:color w:val="auto"/>
              <w:sz w:val="21"/>
            </w:rPr>
            <w:fldChar w:fldCharType="separate"/>
          </w:r>
          <w:r>
            <w:rPr>
              <w:rStyle w:val="40"/>
              <w:rFonts w:hint="eastAsia" w:eastAsia="宋体"/>
              <w:b w:val="0"/>
              <w:bCs/>
              <w:i w:val="0"/>
              <w:color w:val="auto"/>
              <w:sz w:val="21"/>
            </w:rPr>
            <w:t>前</w:t>
          </w:r>
          <w:r>
            <w:rPr>
              <w:rStyle w:val="40"/>
              <w:rFonts w:eastAsia="宋体"/>
              <w:b w:val="0"/>
              <w:bCs/>
              <w:i w:val="0"/>
              <w:color w:val="auto"/>
              <w:sz w:val="21"/>
            </w:rPr>
            <w:t xml:space="preserve">    </w:t>
          </w:r>
          <w:r>
            <w:rPr>
              <w:rStyle w:val="40"/>
              <w:rFonts w:hint="eastAsia" w:eastAsia="宋体"/>
              <w:b w:val="0"/>
              <w:bCs/>
              <w:i w:val="0"/>
              <w:color w:val="auto"/>
              <w:sz w:val="21"/>
            </w:rPr>
            <w:t>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_Toc199943566 \h </w:instrText>
          </w:r>
          <w:r>
            <w:rPr>
              <w:rFonts w:eastAsia="宋体"/>
              <w:b w:val="0"/>
              <w:i w:val="0"/>
              <w:color w:val="auto"/>
              <w:sz w:val="21"/>
            </w:rPr>
            <w:fldChar w:fldCharType="separate"/>
          </w:r>
          <w:r>
            <w:rPr>
              <w:rFonts w:eastAsia="宋体"/>
              <w:b w:val="0"/>
              <w:i w:val="0"/>
              <w:color w:val="auto"/>
              <w:sz w:val="21"/>
            </w:rPr>
            <w:t>IV</w:t>
          </w:r>
          <w:r>
            <w:rPr>
              <w:rFonts w:eastAsia="宋体"/>
              <w:b w:val="0"/>
              <w:i w:val="0"/>
              <w:color w:val="auto"/>
              <w:sz w:val="21"/>
            </w:rPr>
            <w:fldChar w:fldCharType="end"/>
          </w:r>
          <w:r>
            <w:rPr>
              <w:rFonts w:eastAsia="宋体"/>
              <w:b w:val="0"/>
              <w:i w:val="0"/>
              <w:color w:val="auto"/>
              <w:sz w:val="21"/>
            </w:rPr>
            <w:fldChar w:fldCharType="end"/>
          </w:r>
        </w:p>
        <w:p w14:paraId="5DDDB9BB">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"_Toc199943567" </w:instrText>
          </w:r>
          <w:r>
            <w:rPr>
              <w:rFonts w:eastAsia="宋体"/>
              <w:b w:val="0"/>
              <w:i w:val="0"/>
              <w:color w:val="auto"/>
              <w:sz w:val="21"/>
            </w:rPr>
            <w:fldChar w:fldCharType="separate"/>
          </w:r>
          <w:r>
            <w:rPr>
              <w:rStyle w:val="40"/>
              <w:rFonts w:eastAsia="宋体"/>
              <w:b w:val="0"/>
              <w:bCs/>
              <w:i w:val="0"/>
              <w:color w:val="auto"/>
              <w:sz w:val="21"/>
            </w:rPr>
            <w:t>1</w:t>
          </w:r>
          <w:r>
            <w:rPr>
              <w:rFonts w:eastAsia="宋体" w:cstheme="minorBidi"/>
              <w:b w:val="0"/>
              <w:i w:val="0"/>
              <w:color w:val="auto"/>
              <w:kern w:val="2"/>
              <w:sz w:val="21"/>
            </w:rPr>
            <w:tab/>
          </w:r>
          <w:r>
            <w:rPr>
              <w:rStyle w:val="40"/>
              <w:rFonts w:hint="eastAsia" w:eastAsia="宋体"/>
              <w:b w:val="0"/>
              <w:bCs/>
              <w:i w:val="0"/>
              <w:color w:val="auto"/>
              <w:sz w:val="21"/>
            </w:rPr>
            <w:t>范围</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_Toc199943567 \h </w:instrText>
          </w:r>
          <w:r>
            <w:rPr>
              <w:rFonts w:eastAsia="宋体"/>
              <w:b w:val="0"/>
              <w:i w:val="0"/>
              <w:color w:val="auto"/>
              <w:sz w:val="21"/>
            </w:rPr>
            <w:fldChar w:fldCharType="separate"/>
          </w:r>
          <w:r>
            <w:rPr>
              <w:rFonts w:eastAsia="宋体"/>
              <w:b w:val="0"/>
              <w:i w:val="0"/>
              <w:color w:val="auto"/>
              <w:sz w:val="21"/>
            </w:rPr>
            <w:t>1</w:t>
          </w:r>
          <w:r>
            <w:rPr>
              <w:rFonts w:eastAsia="宋体"/>
              <w:b w:val="0"/>
              <w:i w:val="0"/>
              <w:color w:val="auto"/>
              <w:sz w:val="21"/>
            </w:rPr>
            <w:fldChar w:fldCharType="end"/>
          </w:r>
          <w:r>
            <w:rPr>
              <w:rFonts w:eastAsia="宋体"/>
              <w:b w:val="0"/>
              <w:i w:val="0"/>
              <w:color w:val="auto"/>
              <w:sz w:val="21"/>
            </w:rPr>
            <w:fldChar w:fldCharType="end"/>
          </w:r>
        </w:p>
        <w:p w14:paraId="40A11781">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"_Toc199943568" </w:instrText>
          </w:r>
          <w:r>
            <w:rPr>
              <w:rFonts w:eastAsia="宋体"/>
              <w:b w:val="0"/>
              <w:i w:val="0"/>
              <w:color w:val="auto"/>
              <w:sz w:val="21"/>
            </w:rPr>
            <w:fldChar w:fldCharType="separate"/>
          </w:r>
          <w:r>
            <w:rPr>
              <w:rStyle w:val="40"/>
              <w:rFonts w:eastAsia="宋体"/>
              <w:b w:val="0"/>
              <w:bCs/>
              <w:i w:val="0"/>
              <w:color w:val="auto"/>
              <w:sz w:val="21"/>
            </w:rPr>
            <w:t>2</w:t>
          </w:r>
          <w:r>
            <w:rPr>
              <w:rFonts w:eastAsia="宋体" w:cstheme="minorBidi"/>
              <w:b w:val="0"/>
              <w:i w:val="0"/>
              <w:color w:val="auto"/>
              <w:kern w:val="2"/>
              <w:sz w:val="21"/>
            </w:rPr>
            <w:tab/>
          </w:r>
          <w:r>
            <w:rPr>
              <w:rStyle w:val="40"/>
              <w:rFonts w:hint="eastAsia" w:eastAsia="宋体"/>
              <w:b w:val="0"/>
              <w:bCs/>
              <w:i w:val="0"/>
              <w:color w:val="auto"/>
              <w:sz w:val="21"/>
            </w:rPr>
            <w:t>规范性引用文件</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_Toc199943568 \h </w:instrText>
          </w:r>
          <w:r>
            <w:rPr>
              <w:rFonts w:eastAsia="宋体"/>
              <w:b w:val="0"/>
              <w:i w:val="0"/>
              <w:color w:val="auto"/>
              <w:sz w:val="21"/>
            </w:rPr>
            <w:fldChar w:fldCharType="separate"/>
          </w:r>
          <w:r>
            <w:rPr>
              <w:rFonts w:eastAsia="宋体"/>
              <w:b w:val="0"/>
              <w:i w:val="0"/>
              <w:color w:val="auto"/>
              <w:sz w:val="21"/>
            </w:rPr>
            <w:t>1</w:t>
          </w:r>
          <w:r>
            <w:rPr>
              <w:rFonts w:eastAsia="宋体"/>
              <w:b w:val="0"/>
              <w:i w:val="0"/>
              <w:color w:val="auto"/>
              <w:sz w:val="21"/>
            </w:rPr>
            <w:fldChar w:fldCharType="end"/>
          </w:r>
          <w:r>
            <w:rPr>
              <w:rFonts w:eastAsia="宋体"/>
              <w:b w:val="0"/>
              <w:i w:val="0"/>
              <w:color w:val="auto"/>
              <w:sz w:val="21"/>
            </w:rPr>
            <w:fldChar w:fldCharType="end"/>
          </w:r>
        </w:p>
        <w:p w14:paraId="37A79B1B">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"_Toc199943569" </w:instrText>
          </w:r>
          <w:r>
            <w:rPr>
              <w:rFonts w:eastAsia="宋体"/>
              <w:b w:val="0"/>
              <w:i w:val="0"/>
              <w:color w:val="auto"/>
              <w:sz w:val="21"/>
            </w:rPr>
            <w:fldChar w:fldCharType="separate"/>
          </w:r>
          <w:r>
            <w:rPr>
              <w:rStyle w:val="40"/>
              <w:rFonts w:eastAsia="宋体"/>
              <w:b w:val="0"/>
              <w:bCs/>
              <w:i w:val="0"/>
              <w:color w:val="auto"/>
              <w:sz w:val="21"/>
            </w:rPr>
            <w:t>3</w:t>
          </w:r>
          <w:r>
            <w:rPr>
              <w:rFonts w:eastAsia="宋体" w:cstheme="minorBidi"/>
              <w:b w:val="0"/>
              <w:i w:val="0"/>
              <w:color w:val="auto"/>
              <w:kern w:val="2"/>
              <w:sz w:val="21"/>
            </w:rPr>
            <w:tab/>
          </w:r>
          <w:r>
            <w:rPr>
              <w:rStyle w:val="40"/>
              <w:rFonts w:hint="eastAsia" w:eastAsia="宋体"/>
              <w:b w:val="0"/>
              <w:bCs/>
              <w:i w:val="0"/>
              <w:color w:val="auto"/>
              <w:sz w:val="21"/>
            </w:rPr>
            <w:t>术语和定义</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_Toc199943569 \h </w:instrText>
          </w:r>
          <w:r>
            <w:rPr>
              <w:rFonts w:eastAsia="宋体"/>
              <w:b w:val="0"/>
              <w:i w:val="0"/>
              <w:color w:val="auto"/>
              <w:sz w:val="21"/>
            </w:rPr>
            <w:fldChar w:fldCharType="separate"/>
          </w:r>
          <w:r>
            <w:rPr>
              <w:rFonts w:eastAsia="宋体"/>
              <w:b w:val="0"/>
              <w:i w:val="0"/>
              <w:color w:val="auto"/>
              <w:sz w:val="21"/>
            </w:rPr>
            <w:t>2</w:t>
          </w:r>
          <w:r>
            <w:rPr>
              <w:rFonts w:eastAsia="宋体"/>
              <w:b w:val="0"/>
              <w:i w:val="0"/>
              <w:color w:val="auto"/>
              <w:sz w:val="21"/>
            </w:rPr>
            <w:fldChar w:fldCharType="end"/>
          </w:r>
          <w:r>
            <w:rPr>
              <w:rFonts w:eastAsia="宋体"/>
              <w:b w:val="0"/>
              <w:i w:val="0"/>
              <w:color w:val="auto"/>
              <w:sz w:val="21"/>
            </w:rPr>
            <w:fldChar w:fldCharType="end"/>
          </w:r>
        </w:p>
        <w:p w14:paraId="752B409F">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"_Toc199943570" </w:instrText>
          </w:r>
          <w:r>
            <w:rPr>
              <w:rFonts w:eastAsia="宋体"/>
              <w:b w:val="0"/>
              <w:i w:val="0"/>
              <w:color w:val="auto"/>
              <w:sz w:val="21"/>
            </w:rPr>
            <w:fldChar w:fldCharType="separate"/>
          </w:r>
          <w:r>
            <w:rPr>
              <w:rStyle w:val="40"/>
              <w:rFonts w:eastAsia="宋体"/>
              <w:b w:val="0"/>
              <w:bCs/>
              <w:i w:val="0"/>
              <w:color w:val="auto"/>
              <w:sz w:val="21"/>
            </w:rPr>
            <w:t>4</w:t>
          </w:r>
          <w:r>
            <w:rPr>
              <w:rFonts w:eastAsia="宋体" w:cstheme="minorBidi"/>
              <w:b w:val="0"/>
              <w:i w:val="0"/>
              <w:color w:val="auto"/>
              <w:kern w:val="2"/>
              <w:sz w:val="21"/>
            </w:rPr>
            <w:tab/>
          </w:r>
          <w:r>
            <w:rPr>
              <w:rStyle w:val="40"/>
              <w:rFonts w:hint="eastAsia" w:eastAsia="宋体"/>
              <w:b w:val="0"/>
              <w:bCs/>
              <w:i w:val="0"/>
              <w:color w:val="auto"/>
              <w:sz w:val="21"/>
            </w:rPr>
            <w:t>符号</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_Toc199943570 \h </w:instrText>
          </w:r>
          <w:r>
            <w:rPr>
              <w:rFonts w:eastAsia="宋体"/>
              <w:b w:val="0"/>
              <w:i w:val="0"/>
              <w:color w:val="auto"/>
              <w:sz w:val="21"/>
            </w:rPr>
            <w:fldChar w:fldCharType="separate"/>
          </w:r>
          <w:r>
            <w:rPr>
              <w:rFonts w:eastAsia="宋体"/>
              <w:b w:val="0"/>
              <w:i w:val="0"/>
              <w:color w:val="auto"/>
              <w:sz w:val="21"/>
            </w:rPr>
            <w:t>3</w:t>
          </w:r>
          <w:r>
            <w:rPr>
              <w:rFonts w:eastAsia="宋体"/>
              <w:b w:val="0"/>
              <w:i w:val="0"/>
              <w:color w:val="auto"/>
              <w:sz w:val="21"/>
            </w:rPr>
            <w:fldChar w:fldCharType="end"/>
          </w:r>
          <w:r>
            <w:rPr>
              <w:rFonts w:eastAsia="宋体"/>
              <w:b w:val="0"/>
              <w:i w:val="0"/>
              <w:color w:val="auto"/>
              <w:sz w:val="21"/>
            </w:rPr>
            <w:fldChar w:fldCharType="end"/>
          </w:r>
        </w:p>
        <w:p w14:paraId="04EFE3CA">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"_Toc199943571" </w:instrText>
          </w:r>
          <w:r>
            <w:rPr>
              <w:rFonts w:eastAsia="宋体"/>
              <w:b w:val="0"/>
              <w:i w:val="0"/>
              <w:color w:val="auto"/>
              <w:sz w:val="21"/>
            </w:rPr>
            <w:fldChar w:fldCharType="separate"/>
          </w:r>
          <w:r>
            <w:rPr>
              <w:rStyle w:val="40"/>
              <w:rFonts w:eastAsia="宋体"/>
              <w:b w:val="0"/>
              <w:bCs/>
              <w:i w:val="0"/>
              <w:color w:val="auto"/>
              <w:sz w:val="21"/>
            </w:rPr>
            <w:t>5</w:t>
          </w:r>
          <w:r>
            <w:rPr>
              <w:rFonts w:eastAsia="宋体" w:cstheme="minorBidi"/>
              <w:b w:val="0"/>
              <w:i w:val="0"/>
              <w:color w:val="auto"/>
              <w:kern w:val="2"/>
              <w:sz w:val="21"/>
            </w:rPr>
            <w:tab/>
          </w:r>
          <w:r>
            <w:rPr>
              <w:rStyle w:val="40"/>
              <w:rFonts w:hint="eastAsia" w:eastAsia="宋体"/>
              <w:b w:val="0"/>
              <w:bCs/>
              <w:i w:val="0"/>
              <w:color w:val="auto"/>
              <w:sz w:val="21"/>
            </w:rPr>
            <w:t>基本规定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_Toc199943571 \h </w:instrText>
          </w:r>
          <w:r>
            <w:rPr>
              <w:rFonts w:eastAsia="宋体"/>
              <w:b w:val="0"/>
              <w:i w:val="0"/>
              <w:color w:val="auto"/>
              <w:sz w:val="21"/>
            </w:rPr>
            <w:fldChar w:fldCharType="separate"/>
          </w:r>
          <w:r>
            <w:rPr>
              <w:rFonts w:eastAsia="宋体"/>
              <w:b w:val="0"/>
              <w:i w:val="0"/>
              <w:color w:val="auto"/>
              <w:sz w:val="21"/>
            </w:rPr>
            <w:t>4</w:t>
          </w:r>
          <w:r>
            <w:rPr>
              <w:rFonts w:eastAsia="宋体"/>
              <w:b w:val="0"/>
              <w:i w:val="0"/>
              <w:color w:val="auto"/>
              <w:sz w:val="21"/>
            </w:rPr>
            <w:fldChar w:fldCharType="end"/>
          </w:r>
          <w:r>
            <w:rPr>
              <w:rFonts w:eastAsia="宋体"/>
              <w:b w:val="0"/>
              <w:i w:val="0"/>
              <w:color w:val="auto"/>
              <w:sz w:val="21"/>
            </w:rPr>
            <w:fldChar w:fldCharType="end"/>
          </w:r>
        </w:p>
        <w:p w14:paraId="41DD1452">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"_Toc199943572" </w:instrText>
          </w:r>
          <w:r>
            <w:rPr>
              <w:rFonts w:eastAsia="宋体"/>
              <w:b w:val="0"/>
              <w:i w:val="0"/>
              <w:color w:val="auto"/>
              <w:sz w:val="21"/>
            </w:rPr>
            <w:fldChar w:fldCharType="separate"/>
          </w:r>
          <w:r>
            <w:rPr>
              <w:rStyle w:val="40"/>
              <w:rFonts w:eastAsia="宋体"/>
              <w:b w:val="0"/>
              <w:bCs/>
              <w:i w:val="0"/>
              <w:color w:val="auto"/>
              <w:sz w:val="21"/>
            </w:rPr>
            <w:t>6</w:t>
          </w:r>
          <w:r>
            <w:rPr>
              <w:rFonts w:eastAsia="宋体" w:cstheme="minorBidi"/>
              <w:b w:val="0"/>
              <w:i w:val="0"/>
              <w:color w:val="auto"/>
              <w:kern w:val="2"/>
              <w:sz w:val="21"/>
            </w:rPr>
            <w:tab/>
          </w:r>
          <w:r>
            <w:rPr>
              <w:rStyle w:val="40"/>
              <w:rFonts w:hint="eastAsia" w:eastAsia="宋体"/>
              <w:b w:val="0"/>
              <w:bCs/>
              <w:i w:val="0"/>
              <w:color w:val="auto"/>
              <w:sz w:val="21"/>
            </w:rPr>
            <w:t>岩土分类及工程特性指标</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_Toc199943572 \h </w:instrText>
          </w:r>
          <w:r>
            <w:rPr>
              <w:rFonts w:eastAsia="宋体"/>
              <w:b w:val="0"/>
              <w:i w:val="0"/>
              <w:color w:val="auto"/>
              <w:sz w:val="21"/>
            </w:rPr>
            <w:fldChar w:fldCharType="separate"/>
          </w:r>
          <w:r>
            <w:rPr>
              <w:rFonts w:eastAsia="宋体"/>
              <w:b w:val="0"/>
              <w:i w:val="0"/>
              <w:color w:val="auto"/>
              <w:sz w:val="21"/>
            </w:rPr>
            <w:t>11</w:t>
          </w:r>
          <w:r>
            <w:rPr>
              <w:rFonts w:eastAsia="宋体"/>
              <w:b w:val="0"/>
              <w:i w:val="0"/>
              <w:color w:val="auto"/>
              <w:sz w:val="21"/>
            </w:rPr>
            <w:fldChar w:fldCharType="end"/>
          </w:r>
          <w:r>
            <w:rPr>
              <w:rFonts w:eastAsia="宋体"/>
              <w:b w:val="0"/>
              <w:i w:val="0"/>
              <w:color w:val="auto"/>
              <w:sz w:val="21"/>
            </w:rPr>
            <w:fldChar w:fldCharType="end"/>
          </w:r>
        </w:p>
        <w:p w14:paraId="18D6DCC1">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"_Toc199943573" </w:instrText>
          </w:r>
          <w:r>
            <w:rPr>
              <w:rFonts w:eastAsia="宋体"/>
              <w:b w:val="0"/>
              <w:i w:val="0"/>
              <w:color w:val="auto"/>
              <w:sz w:val="21"/>
            </w:rPr>
            <w:fldChar w:fldCharType="separate"/>
          </w:r>
          <w:r>
            <w:rPr>
              <w:rStyle w:val="40"/>
              <w:rFonts w:eastAsia="宋体"/>
              <w:b w:val="0"/>
              <w:bCs/>
              <w:i w:val="0"/>
              <w:color w:val="auto"/>
              <w:sz w:val="21"/>
            </w:rPr>
            <w:t xml:space="preserve">6.1  </w:t>
          </w:r>
          <w:r>
            <w:rPr>
              <w:rStyle w:val="40"/>
              <w:rFonts w:hint="eastAsia" w:eastAsia="宋体"/>
              <w:b w:val="0"/>
              <w:bCs/>
              <w:i w:val="0"/>
              <w:color w:val="auto"/>
              <w:sz w:val="21"/>
            </w:rPr>
            <w:t>岩土分类</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_Toc199943573 \h </w:instrText>
          </w:r>
          <w:r>
            <w:rPr>
              <w:rFonts w:eastAsia="宋体"/>
              <w:b w:val="0"/>
              <w:i w:val="0"/>
              <w:color w:val="auto"/>
              <w:sz w:val="21"/>
            </w:rPr>
            <w:fldChar w:fldCharType="separate"/>
          </w:r>
          <w:r>
            <w:rPr>
              <w:rFonts w:eastAsia="宋体"/>
              <w:b w:val="0"/>
              <w:i w:val="0"/>
              <w:color w:val="auto"/>
              <w:sz w:val="21"/>
            </w:rPr>
            <w:t>11</w:t>
          </w:r>
          <w:r>
            <w:rPr>
              <w:rFonts w:eastAsia="宋体"/>
              <w:b w:val="0"/>
              <w:i w:val="0"/>
              <w:color w:val="auto"/>
              <w:sz w:val="21"/>
            </w:rPr>
            <w:fldChar w:fldCharType="end"/>
          </w:r>
          <w:r>
            <w:rPr>
              <w:rFonts w:eastAsia="宋体"/>
              <w:b w:val="0"/>
              <w:i w:val="0"/>
              <w:color w:val="auto"/>
              <w:sz w:val="21"/>
            </w:rPr>
            <w:fldChar w:fldCharType="end"/>
          </w:r>
        </w:p>
        <w:p w14:paraId="0CAA01CD">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"_Toc199943574" </w:instrText>
          </w:r>
          <w:r>
            <w:rPr>
              <w:rFonts w:eastAsia="宋体"/>
              <w:b w:val="0"/>
              <w:i w:val="0"/>
              <w:color w:val="auto"/>
              <w:sz w:val="21"/>
            </w:rPr>
            <w:fldChar w:fldCharType="separate"/>
          </w:r>
          <w:r>
            <w:rPr>
              <w:rStyle w:val="40"/>
              <w:rFonts w:eastAsia="宋体"/>
              <w:b w:val="0"/>
              <w:bCs/>
              <w:i w:val="0"/>
              <w:color w:val="auto"/>
              <w:sz w:val="21"/>
            </w:rPr>
            <w:t xml:space="preserve">6.2  </w:t>
          </w:r>
          <w:r>
            <w:rPr>
              <w:rStyle w:val="40"/>
              <w:rFonts w:hint="eastAsia" w:eastAsia="宋体"/>
              <w:b w:val="0"/>
              <w:bCs/>
              <w:i w:val="0"/>
              <w:color w:val="auto"/>
              <w:sz w:val="21"/>
            </w:rPr>
            <w:t>工程特性指标</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_Toc199943574 \h </w:instrText>
          </w:r>
          <w:r>
            <w:rPr>
              <w:rFonts w:eastAsia="宋体"/>
              <w:b w:val="0"/>
              <w:i w:val="0"/>
              <w:color w:val="auto"/>
              <w:sz w:val="21"/>
            </w:rPr>
            <w:fldChar w:fldCharType="separate"/>
          </w:r>
          <w:r>
            <w:rPr>
              <w:rFonts w:eastAsia="宋体"/>
              <w:b w:val="0"/>
              <w:i w:val="0"/>
              <w:color w:val="auto"/>
              <w:sz w:val="21"/>
            </w:rPr>
            <w:t>14</w:t>
          </w:r>
          <w:r>
            <w:rPr>
              <w:rFonts w:eastAsia="宋体"/>
              <w:b w:val="0"/>
              <w:i w:val="0"/>
              <w:color w:val="auto"/>
              <w:sz w:val="21"/>
            </w:rPr>
            <w:fldChar w:fldCharType="end"/>
          </w:r>
          <w:r>
            <w:rPr>
              <w:rFonts w:eastAsia="宋体"/>
              <w:b w:val="0"/>
              <w:i w:val="0"/>
              <w:color w:val="auto"/>
              <w:sz w:val="21"/>
            </w:rPr>
            <w:fldChar w:fldCharType="end"/>
          </w:r>
        </w:p>
        <w:p w14:paraId="60DBC5C7">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"_Toc199943575" </w:instrText>
          </w:r>
          <w:r>
            <w:rPr>
              <w:rFonts w:eastAsia="宋体"/>
              <w:b w:val="0"/>
              <w:i w:val="0"/>
              <w:color w:val="auto"/>
              <w:sz w:val="21"/>
            </w:rPr>
            <w:fldChar w:fldCharType="separate"/>
          </w:r>
          <w:r>
            <w:rPr>
              <w:rStyle w:val="40"/>
              <w:rFonts w:eastAsia="宋体"/>
              <w:b w:val="0"/>
              <w:i w:val="0"/>
              <w:color w:val="auto"/>
              <w:spacing w:val="8"/>
              <w:sz w:val="21"/>
            </w:rPr>
            <w:t>7</w:t>
          </w:r>
          <w:r>
            <w:rPr>
              <w:rFonts w:eastAsia="宋体" w:cstheme="minorBidi"/>
              <w:b w:val="0"/>
              <w:i w:val="0"/>
              <w:color w:val="auto"/>
              <w:kern w:val="2"/>
              <w:sz w:val="21"/>
            </w:rPr>
            <w:tab/>
          </w:r>
          <w:r>
            <w:rPr>
              <w:rStyle w:val="40"/>
              <w:rFonts w:hint="eastAsia" w:eastAsia="宋体"/>
              <w:b w:val="0"/>
              <w:bCs/>
              <w:i w:val="0"/>
              <w:color w:val="auto"/>
              <w:sz w:val="21"/>
            </w:rPr>
            <w:t>天然地基设计计算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_Toc199943575 \h </w:instrText>
          </w:r>
          <w:r>
            <w:rPr>
              <w:rFonts w:eastAsia="宋体"/>
              <w:b w:val="0"/>
              <w:i w:val="0"/>
              <w:color w:val="auto"/>
              <w:sz w:val="21"/>
            </w:rPr>
            <w:fldChar w:fldCharType="separate"/>
          </w:r>
          <w:r>
            <w:rPr>
              <w:rFonts w:eastAsia="宋体"/>
              <w:b w:val="0"/>
              <w:i w:val="0"/>
              <w:color w:val="auto"/>
              <w:sz w:val="21"/>
            </w:rPr>
            <w:t>15</w:t>
          </w:r>
          <w:r>
            <w:rPr>
              <w:rFonts w:eastAsia="宋体"/>
              <w:b w:val="0"/>
              <w:i w:val="0"/>
              <w:color w:val="auto"/>
              <w:sz w:val="21"/>
            </w:rPr>
            <w:fldChar w:fldCharType="end"/>
          </w:r>
          <w:r>
            <w:rPr>
              <w:rFonts w:eastAsia="宋体"/>
              <w:b w:val="0"/>
              <w:i w:val="0"/>
              <w:color w:val="auto"/>
              <w:sz w:val="21"/>
            </w:rPr>
            <w:fldChar w:fldCharType="end"/>
          </w:r>
        </w:p>
        <w:p w14:paraId="5E4BF0A3">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"_Toc199943576" </w:instrText>
          </w:r>
          <w:r>
            <w:rPr>
              <w:rFonts w:eastAsia="宋体"/>
              <w:b w:val="0"/>
              <w:i w:val="0"/>
              <w:color w:val="auto"/>
              <w:sz w:val="21"/>
            </w:rPr>
            <w:fldChar w:fldCharType="separate"/>
          </w:r>
          <w:r>
            <w:rPr>
              <w:rStyle w:val="40"/>
              <w:rFonts w:eastAsia="宋体"/>
              <w:b w:val="0"/>
              <w:bCs/>
              <w:i w:val="0"/>
              <w:color w:val="auto"/>
              <w:sz w:val="21"/>
            </w:rPr>
            <w:t xml:space="preserve">7.1  </w:t>
          </w:r>
          <w:r>
            <w:rPr>
              <w:rStyle w:val="40"/>
              <w:rFonts w:hint="eastAsia" w:eastAsia="宋体"/>
              <w:b w:val="0"/>
              <w:bCs/>
              <w:i w:val="0"/>
              <w:color w:val="auto"/>
              <w:sz w:val="21"/>
            </w:rPr>
            <w:t>基础埋置深度</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_Toc199943576 \h </w:instrText>
          </w:r>
          <w:r>
            <w:rPr>
              <w:rFonts w:eastAsia="宋体"/>
              <w:b w:val="0"/>
              <w:i w:val="0"/>
              <w:color w:val="auto"/>
              <w:sz w:val="21"/>
            </w:rPr>
            <w:fldChar w:fldCharType="separate"/>
          </w:r>
          <w:r>
            <w:rPr>
              <w:rFonts w:eastAsia="宋体"/>
              <w:b w:val="0"/>
              <w:i w:val="0"/>
              <w:color w:val="auto"/>
              <w:sz w:val="21"/>
            </w:rPr>
            <w:t>15</w:t>
          </w:r>
          <w:r>
            <w:rPr>
              <w:rFonts w:eastAsia="宋体"/>
              <w:b w:val="0"/>
              <w:i w:val="0"/>
              <w:color w:val="auto"/>
              <w:sz w:val="21"/>
            </w:rPr>
            <w:fldChar w:fldCharType="end"/>
          </w:r>
          <w:r>
            <w:rPr>
              <w:rFonts w:eastAsia="宋体"/>
              <w:b w:val="0"/>
              <w:i w:val="0"/>
              <w:color w:val="auto"/>
              <w:sz w:val="21"/>
            </w:rPr>
            <w:fldChar w:fldCharType="end"/>
          </w:r>
        </w:p>
        <w:p w14:paraId="2581668A">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"_Toc199943577" </w:instrText>
          </w:r>
          <w:r>
            <w:rPr>
              <w:rFonts w:eastAsia="宋体"/>
              <w:b w:val="0"/>
              <w:i w:val="0"/>
              <w:color w:val="auto"/>
              <w:sz w:val="21"/>
            </w:rPr>
            <w:fldChar w:fldCharType="separate"/>
          </w:r>
          <w:r>
            <w:rPr>
              <w:rStyle w:val="40"/>
              <w:rFonts w:eastAsia="宋体"/>
              <w:b w:val="0"/>
              <w:bCs/>
              <w:i w:val="0"/>
              <w:color w:val="auto"/>
              <w:sz w:val="21"/>
            </w:rPr>
            <w:t xml:space="preserve">7.2  </w:t>
          </w:r>
          <w:r>
            <w:rPr>
              <w:rStyle w:val="40"/>
              <w:rFonts w:hint="eastAsia" w:eastAsia="宋体"/>
              <w:b w:val="0"/>
              <w:bCs/>
              <w:i w:val="0"/>
              <w:color w:val="auto"/>
              <w:sz w:val="21"/>
            </w:rPr>
            <w:t>承载力计算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_Toc199943577 \h </w:instrText>
          </w:r>
          <w:r>
            <w:rPr>
              <w:rFonts w:eastAsia="宋体"/>
              <w:b w:val="0"/>
              <w:i w:val="0"/>
              <w:color w:val="auto"/>
              <w:sz w:val="21"/>
            </w:rPr>
            <w:fldChar w:fldCharType="separate"/>
          </w:r>
          <w:r>
            <w:rPr>
              <w:rFonts w:eastAsia="宋体"/>
              <w:b w:val="0"/>
              <w:i w:val="0"/>
              <w:color w:val="auto"/>
              <w:sz w:val="21"/>
            </w:rPr>
            <w:t>16</w:t>
          </w:r>
          <w:r>
            <w:rPr>
              <w:rFonts w:eastAsia="宋体"/>
              <w:b w:val="0"/>
              <w:i w:val="0"/>
              <w:color w:val="auto"/>
              <w:sz w:val="21"/>
            </w:rPr>
            <w:fldChar w:fldCharType="end"/>
          </w:r>
          <w:r>
            <w:rPr>
              <w:rFonts w:eastAsia="宋体"/>
              <w:b w:val="0"/>
              <w:i w:val="0"/>
              <w:color w:val="auto"/>
              <w:sz w:val="21"/>
            </w:rPr>
            <w:fldChar w:fldCharType="end"/>
          </w:r>
        </w:p>
        <w:p w14:paraId="360A0270">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"_Toc199943578" </w:instrText>
          </w:r>
          <w:r>
            <w:rPr>
              <w:rFonts w:eastAsia="宋体"/>
              <w:b w:val="0"/>
              <w:i w:val="0"/>
              <w:color w:val="auto"/>
              <w:sz w:val="21"/>
            </w:rPr>
            <w:fldChar w:fldCharType="separate"/>
          </w:r>
          <w:r>
            <w:rPr>
              <w:rStyle w:val="40"/>
              <w:rFonts w:eastAsia="宋体"/>
              <w:b w:val="0"/>
              <w:bCs/>
              <w:i w:val="0"/>
              <w:color w:val="auto"/>
              <w:sz w:val="21"/>
            </w:rPr>
            <w:t xml:space="preserve">7.3  </w:t>
          </w:r>
          <w:r>
            <w:rPr>
              <w:rStyle w:val="40"/>
              <w:rFonts w:hint="eastAsia" w:eastAsia="宋体"/>
              <w:b w:val="0"/>
              <w:bCs/>
              <w:i w:val="0"/>
              <w:color w:val="auto"/>
              <w:sz w:val="21"/>
            </w:rPr>
            <w:t>变形计算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_Toc199943578 \h </w:instrText>
          </w:r>
          <w:r>
            <w:rPr>
              <w:rFonts w:eastAsia="宋体"/>
              <w:b w:val="0"/>
              <w:i w:val="0"/>
              <w:color w:val="auto"/>
              <w:sz w:val="21"/>
            </w:rPr>
            <w:fldChar w:fldCharType="separate"/>
          </w:r>
          <w:r>
            <w:rPr>
              <w:rFonts w:eastAsia="宋体"/>
              <w:b w:val="0"/>
              <w:i w:val="0"/>
              <w:color w:val="auto"/>
              <w:sz w:val="21"/>
            </w:rPr>
            <w:t>21</w:t>
          </w:r>
          <w:r>
            <w:rPr>
              <w:rFonts w:eastAsia="宋体"/>
              <w:b w:val="0"/>
              <w:i w:val="0"/>
              <w:color w:val="auto"/>
              <w:sz w:val="21"/>
            </w:rPr>
            <w:fldChar w:fldCharType="end"/>
          </w:r>
          <w:r>
            <w:rPr>
              <w:rFonts w:eastAsia="宋体"/>
              <w:b w:val="0"/>
              <w:i w:val="0"/>
              <w:color w:val="auto"/>
              <w:sz w:val="21"/>
            </w:rPr>
            <w:fldChar w:fldCharType="end"/>
          </w:r>
        </w:p>
        <w:p w14:paraId="39C3F5D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"_Toc199943579" </w:instrText>
          </w:r>
          <w:r>
            <w:rPr>
              <w:rFonts w:eastAsia="宋体"/>
              <w:b w:val="0"/>
              <w:i w:val="0"/>
              <w:color w:val="auto"/>
              <w:sz w:val="21"/>
            </w:rPr>
            <w:fldChar w:fldCharType="separate"/>
          </w:r>
          <w:r>
            <w:rPr>
              <w:rStyle w:val="40"/>
              <w:rFonts w:eastAsia="宋体"/>
              <w:b w:val="0"/>
              <w:bCs/>
              <w:i w:val="0"/>
              <w:color w:val="auto"/>
              <w:sz w:val="21"/>
            </w:rPr>
            <w:t xml:space="preserve">7.4  </w:t>
          </w:r>
          <w:r>
            <w:rPr>
              <w:rStyle w:val="40"/>
              <w:rFonts w:hint="eastAsia" w:eastAsia="宋体"/>
              <w:b w:val="0"/>
              <w:bCs/>
              <w:i w:val="0"/>
              <w:color w:val="auto"/>
              <w:sz w:val="21"/>
            </w:rPr>
            <w:t>稳定性计算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_Toc199943579 \h </w:instrText>
          </w:r>
          <w:r>
            <w:rPr>
              <w:rFonts w:eastAsia="宋体"/>
              <w:b w:val="0"/>
              <w:i w:val="0"/>
              <w:color w:val="auto"/>
              <w:sz w:val="21"/>
            </w:rPr>
            <w:fldChar w:fldCharType="separate"/>
          </w:r>
          <w:r>
            <w:rPr>
              <w:rFonts w:eastAsia="宋体"/>
              <w:b w:val="0"/>
              <w:i w:val="0"/>
              <w:color w:val="auto"/>
              <w:sz w:val="21"/>
            </w:rPr>
            <w:t>24</w:t>
          </w:r>
          <w:r>
            <w:rPr>
              <w:rFonts w:eastAsia="宋体"/>
              <w:b w:val="0"/>
              <w:i w:val="0"/>
              <w:color w:val="auto"/>
              <w:sz w:val="21"/>
            </w:rPr>
            <w:fldChar w:fldCharType="end"/>
          </w:r>
          <w:r>
            <w:rPr>
              <w:rFonts w:eastAsia="宋体"/>
              <w:b w:val="0"/>
              <w:i w:val="0"/>
              <w:color w:val="auto"/>
              <w:sz w:val="21"/>
            </w:rPr>
            <w:fldChar w:fldCharType="end"/>
          </w:r>
        </w:p>
        <w:p w14:paraId="5577B25A">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"_Toc199943580" </w:instrText>
          </w:r>
          <w:r>
            <w:rPr>
              <w:rFonts w:eastAsia="宋体"/>
              <w:b w:val="0"/>
              <w:i w:val="0"/>
              <w:color w:val="auto"/>
              <w:sz w:val="21"/>
            </w:rPr>
            <w:fldChar w:fldCharType="separate"/>
          </w:r>
          <w:r>
            <w:rPr>
              <w:rStyle w:val="40"/>
              <w:rFonts w:eastAsia="宋体"/>
              <w:b w:val="0"/>
              <w:i w:val="0"/>
              <w:color w:val="auto"/>
              <w:sz w:val="21"/>
            </w:rPr>
            <w:t>8</w:t>
          </w:r>
          <w:r>
            <w:rPr>
              <w:rFonts w:eastAsia="宋体" w:cstheme="minorBidi"/>
              <w:b w:val="0"/>
              <w:i w:val="0"/>
              <w:color w:val="auto"/>
              <w:kern w:val="2"/>
              <w:sz w:val="21"/>
            </w:rPr>
            <w:tab/>
          </w:r>
          <w:r>
            <w:rPr>
              <w:rStyle w:val="40"/>
              <w:rFonts w:hint="eastAsia" w:eastAsia="宋体"/>
              <w:b w:val="0"/>
              <w:bCs/>
              <w:i w:val="0"/>
              <w:color w:val="auto"/>
              <w:sz w:val="21"/>
            </w:rPr>
            <w:t>软弱地基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_Toc199943580 \h </w:instrText>
          </w:r>
          <w:r>
            <w:rPr>
              <w:rFonts w:eastAsia="宋体"/>
              <w:b w:val="0"/>
              <w:i w:val="0"/>
              <w:color w:val="auto"/>
              <w:sz w:val="21"/>
            </w:rPr>
            <w:fldChar w:fldCharType="separate"/>
          </w:r>
          <w:r>
            <w:rPr>
              <w:rFonts w:eastAsia="宋体"/>
              <w:b w:val="0"/>
              <w:i w:val="0"/>
              <w:color w:val="auto"/>
              <w:sz w:val="21"/>
            </w:rPr>
            <w:t>24</w:t>
          </w:r>
          <w:r>
            <w:rPr>
              <w:rFonts w:eastAsia="宋体"/>
              <w:b w:val="0"/>
              <w:i w:val="0"/>
              <w:color w:val="auto"/>
              <w:sz w:val="21"/>
            </w:rPr>
            <w:fldChar w:fldCharType="end"/>
          </w:r>
          <w:r>
            <w:rPr>
              <w:rFonts w:eastAsia="宋体"/>
              <w:b w:val="0"/>
              <w:i w:val="0"/>
              <w:color w:val="auto"/>
              <w:sz w:val="21"/>
            </w:rPr>
            <w:fldChar w:fldCharType="end"/>
          </w:r>
        </w:p>
        <w:p w14:paraId="57DBB688">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"_Toc199943581" </w:instrText>
          </w:r>
          <w:r>
            <w:rPr>
              <w:rFonts w:eastAsia="宋体"/>
              <w:b w:val="0"/>
              <w:i w:val="0"/>
              <w:color w:val="auto"/>
              <w:sz w:val="21"/>
            </w:rPr>
            <w:fldChar w:fldCharType="separate"/>
          </w:r>
          <w:r>
            <w:rPr>
              <w:rStyle w:val="40"/>
              <w:rFonts w:eastAsia="宋体"/>
              <w:b w:val="0"/>
              <w:bCs/>
              <w:i w:val="0"/>
              <w:color w:val="auto"/>
              <w:sz w:val="21"/>
            </w:rPr>
            <w:t xml:space="preserve">8.1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_Toc199943581 \h </w:instrText>
          </w:r>
          <w:r>
            <w:rPr>
              <w:rFonts w:eastAsia="宋体"/>
              <w:b w:val="0"/>
              <w:i w:val="0"/>
              <w:color w:val="auto"/>
              <w:sz w:val="21"/>
            </w:rPr>
            <w:fldChar w:fldCharType="separate"/>
          </w:r>
          <w:r>
            <w:rPr>
              <w:rFonts w:eastAsia="宋体"/>
              <w:b w:val="0"/>
              <w:i w:val="0"/>
              <w:color w:val="auto"/>
              <w:sz w:val="21"/>
            </w:rPr>
            <w:t>24</w:t>
          </w:r>
          <w:r>
            <w:rPr>
              <w:rFonts w:eastAsia="宋体"/>
              <w:b w:val="0"/>
              <w:i w:val="0"/>
              <w:color w:val="auto"/>
              <w:sz w:val="21"/>
            </w:rPr>
            <w:fldChar w:fldCharType="end"/>
          </w:r>
          <w:r>
            <w:rPr>
              <w:rFonts w:eastAsia="宋体"/>
              <w:b w:val="0"/>
              <w:i w:val="0"/>
              <w:color w:val="auto"/>
              <w:sz w:val="21"/>
            </w:rPr>
            <w:fldChar w:fldCharType="end"/>
          </w:r>
        </w:p>
        <w:p w14:paraId="614EDD1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"_Toc199943582" </w:instrText>
          </w:r>
          <w:r>
            <w:rPr>
              <w:rFonts w:eastAsia="宋体"/>
              <w:b w:val="0"/>
              <w:i w:val="0"/>
              <w:color w:val="auto"/>
              <w:sz w:val="21"/>
            </w:rPr>
            <w:fldChar w:fldCharType="separate"/>
          </w:r>
          <w:r>
            <w:rPr>
              <w:rStyle w:val="40"/>
              <w:rFonts w:eastAsia="宋体"/>
              <w:b w:val="0"/>
              <w:bCs/>
              <w:i w:val="0"/>
              <w:color w:val="auto"/>
              <w:sz w:val="21"/>
            </w:rPr>
            <w:t xml:space="preserve">8.2  </w:t>
          </w:r>
          <w:r>
            <w:rPr>
              <w:rStyle w:val="40"/>
              <w:rFonts w:hint="eastAsia" w:eastAsia="宋体"/>
              <w:b w:val="0"/>
              <w:bCs/>
              <w:i w:val="0"/>
              <w:color w:val="auto"/>
              <w:sz w:val="21"/>
            </w:rPr>
            <w:t>软弱地基计算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_Toc199943582 \h </w:instrText>
          </w:r>
          <w:r>
            <w:rPr>
              <w:rFonts w:eastAsia="宋体"/>
              <w:b w:val="0"/>
              <w:i w:val="0"/>
              <w:color w:val="auto"/>
              <w:sz w:val="21"/>
            </w:rPr>
            <w:fldChar w:fldCharType="separate"/>
          </w:r>
          <w:r>
            <w:rPr>
              <w:rFonts w:eastAsia="宋体"/>
              <w:b w:val="0"/>
              <w:i w:val="0"/>
              <w:color w:val="auto"/>
              <w:sz w:val="21"/>
            </w:rPr>
            <w:t>25</w:t>
          </w:r>
          <w:r>
            <w:rPr>
              <w:rFonts w:eastAsia="宋体"/>
              <w:b w:val="0"/>
              <w:i w:val="0"/>
              <w:color w:val="auto"/>
              <w:sz w:val="21"/>
            </w:rPr>
            <w:fldChar w:fldCharType="end"/>
          </w:r>
          <w:r>
            <w:rPr>
              <w:rFonts w:eastAsia="宋体"/>
              <w:b w:val="0"/>
              <w:i w:val="0"/>
              <w:color w:val="auto"/>
              <w:sz w:val="21"/>
            </w:rPr>
            <w:fldChar w:fldCharType="end"/>
          </w:r>
        </w:p>
        <w:p w14:paraId="343D0AF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"_Toc199943583" </w:instrText>
          </w:r>
          <w:r>
            <w:rPr>
              <w:rFonts w:eastAsia="宋体"/>
              <w:b w:val="0"/>
              <w:i w:val="0"/>
              <w:color w:val="auto"/>
              <w:sz w:val="21"/>
            </w:rPr>
            <w:fldChar w:fldCharType="separate"/>
          </w:r>
          <w:r>
            <w:rPr>
              <w:rStyle w:val="40"/>
              <w:rFonts w:eastAsia="宋体"/>
              <w:b w:val="0"/>
              <w:bCs/>
              <w:i w:val="0"/>
              <w:color w:val="auto"/>
              <w:sz w:val="21"/>
            </w:rPr>
            <w:t xml:space="preserve">8.3  </w:t>
          </w:r>
          <w:r>
            <w:rPr>
              <w:rStyle w:val="40"/>
              <w:rFonts w:hint="eastAsia" w:eastAsia="宋体"/>
              <w:b w:val="0"/>
              <w:bCs/>
              <w:i w:val="0"/>
              <w:color w:val="auto"/>
              <w:sz w:val="21"/>
            </w:rPr>
            <w:t>建筑措施</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_Toc199943583 \h </w:instrText>
          </w:r>
          <w:r>
            <w:rPr>
              <w:rFonts w:eastAsia="宋体"/>
              <w:b w:val="0"/>
              <w:i w:val="0"/>
              <w:color w:val="auto"/>
              <w:sz w:val="21"/>
            </w:rPr>
            <w:fldChar w:fldCharType="separate"/>
          </w:r>
          <w:r>
            <w:rPr>
              <w:rFonts w:eastAsia="宋体"/>
              <w:b w:val="0"/>
              <w:i w:val="0"/>
              <w:color w:val="auto"/>
              <w:sz w:val="21"/>
            </w:rPr>
            <w:t>25</w:t>
          </w:r>
          <w:r>
            <w:rPr>
              <w:rFonts w:eastAsia="宋体"/>
              <w:b w:val="0"/>
              <w:i w:val="0"/>
              <w:color w:val="auto"/>
              <w:sz w:val="21"/>
            </w:rPr>
            <w:fldChar w:fldCharType="end"/>
          </w:r>
          <w:r>
            <w:rPr>
              <w:rFonts w:eastAsia="宋体"/>
              <w:b w:val="0"/>
              <w:i w:val="0"/>
              <w:color w:val="auto"/>
              <w:sz w:val="21"/>
            </w:rPr>
            <w:fldChar w:fldCharType="end"/>
          </w:r>
        </w:p>
        <w:p w14:paraId="2EDDB4E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"_Toc199943584" </w:instrText>
          </w:r>
          <w:r>
            <w:rPr>
              <w:rFonts w:eastAsia="宋体"/>
              <w:b w:val="0"/>
              <w:i w:val="0"/>
              <w:color w:val="auto"/>
              <w:sz w:val="21"/>
            </w:rPr>
            <w:fldChar w:fldCharType="separate"/>
          </w:r>
          <w:r>
            <w:rPr>
              <w:rStyle w:val="40"/>
              <w:rFonts w:eastAsia="宋体"/>
              <w:b w:val="0"/>
              <w:bCs/>
              <w:i w:val="0"/>
              <w:color w:val="auto"/>
              <w:sz w:val="21"/>
            </w:rPr>
            <w:t xml:space="preserve">8.4  </w:t>
          </w:r>
          <w:r>
            <w:rPr>
              <w:rStyle w:val="40"/>
              <w:rFonts w:hint="eastAsia" w:eastAsia="宋体"/>
              <w:b w:val="0"/>
              <w:bCs/>
              <w:i w:val="0"/>
              <w:color w:val="auto"/>
              <w:sz w:val="21"/>
            </w:rPr>
            <w:t>结构措施</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_Toc199943584 \h </w:instrText>
          </w:r>
          <w:r>
            <w:rPr>
              <w:rFonts w:eastAsia="宋体"/>
              <w:b w:val="0"/>
              <w:i w:val="0"/>
              <w:color w:val="auto"/>
              <w:sz w:val="21"/>
            </w:rPr>
            <w:fldChar w:fldCharType="separate"/>
          </w:r>
          <w:r>
            <w:rPr>
              <w:rFonts w:eastAsia="宋体"/>
              <w:b w:val="0"/>
              <w:i w:val="0"/>
              <w:color w:val="auto"/>
              <w:sz w:val="21"/>
            </w:rPr>
            <w:t>26</w:t>
          </w:r>
          <w:r>
            <w:rPr>
              <w:rFonts w:eastAsia="宋体"/>
              <w:b w:val="0"/>
              <w:i w:val="0"/>
              <w:color w:val="auto"/>
              <w:sz w:val="21"/>
            </w:rPr>
            <w:fldChar w:fldCharType="end"/>
          </w:r>
          <w:r>
            <w:rPr>
              <w:rFonts w:eastAsia="宋体"/>
              <w:b w:val="0"/>
              <w:i w:val="0"/>
              <w:color w:val="auto"/>
              <w:sz w:val="21"/>
            </w:rPr>
            <w:fldChar w:fldCharType="end"/>
          </w:r>
        </w:p>
        <w:p w14:paraId="193EC94E">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"_Toc199943585" </w:instrText>
          </w:r>
          <w:r>
            <w:rPr>
              <w:rFonts w:eastAsia="宋体"/>
              <w:b w:val="0"/>
              <w:i w:val="0"/>
              <w:color w:val="auto"/>
              <w:sz w:val="21"/>
            </w:rPr>
            <w:fldChar w:fldCharType="separate"/>
          </w:r>
          <w:r>
            <w:rPr>
              <w:rStyle w:val="40"/>
              <w:rFonts w:eastAsia="宋体"/>
              <w:b w:val="0"/>
              <w:bCs/>
              <w:i w:val="0"/>
              <w:color w:val="auto"/>
              <w:sz w:val="21"/>
            </w:rPr>
            <w:t xml:space="preserve">8.5  </w:t>
          </w:r>
          <w:r>
            <w:rPr>
              <w:rStyle w:val="40"/>
              <w:rFonts w:hint="eastAsia" w:eastAsia="宋体"/>
              <w:b w:val="0"/>
              <w:bCs/>
              <w:i w:val="0"/>
              <w:color w:val="auto"/>
              <w:sz w:val="21"/>
            </w:rPr>
            <w:t>施工措施及使用维护</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_Toc199943585 \h </w:instrText>
          </w:r>
          <w:r>
            <w:rPr>
              <w:rFonts w:eastAsia="宋体"/>
              <w:b w:val="0"/>
              <w:i w:val="0"/>
              <w:color w:val="auto"/>
              <w:sz w:val="21"/>
            </w:rPr>
            <w:fldChar w:fldCharType="separate"/>
          </w:r>
          <w:r>
            <w:rPr>
              <w:rFonts w:eastAsia="宋体"/>
              <w:b w:val="0"/>
              <w:i w:val="0"/>
              <w:color w:val="auto"/>
              <w:sz w:val="21"/>
            </w:rPr>
            <w:t>27</w:t>
          </w:r>
          <w:r>
            <w:rPr>
              <w:rFonts w:eastAsia="宋体"/>
              <w:b w:val="0"/>
              <w:i w:val="0"/>
              <w:color w:val="auto"/>
              <w:sz w:val="21"/>
            </w:rPr>
            <w:fldChar w:fldCharType="end"/>
          </w:r>
          <w:r>
            <w:rPr>
              <w:rFonts w:eastAsia="宋体"/>
              <w:b w:val="0"/>
              <w:i w:val="0"/>
              <w:color w:val="auto"/>
              <w:sz w:val="21"/>
            </w:rPr>
            <w:fldChar w:fldCharType="end"/>
          </w:r>
        </w:p>
        <w:p w14:paraId="7C54C34D">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"_Toc199943586" </w:instrText>
          </w:r>
          <w:r>
            <w:rPr>
              <w:rFonts w:eastAsia="宋体"/>
              <w:b w:val="0"/>
              <w:i w:val="0"/>
              <w:color w:val="auto"/>
              <w:sz w:val="21"/>
            </w:rPr>
            <w:fldChar w:fldCharType="separate"/>
          </w:r>
          <w:r>
            <w:rPr>
              <w:rStyle w:val="40"/>
              <w:rFonts w:eastAsia="宋体"/>
              <w:b w:val="0"/>
              <w:bCs/>
              <w:i w:val="0"/>
              <w:color w:val="auto"/>
              <w:sz w:val="21"/>
            </w:rPr>
            <w:t xml:space="preserve">8.6  </w:t>
          </w:r>
          <w:r>
            <w:rPr>
              <w:rStyle w:val="40"/>
              <w:rFonts w:hint="eastAsia" w:eastAsia="宋体"/>
              <w:b w:val="0"/>
              <w:bCs/>
              <w:i w:val="0"/>
              <w:color w:val="auto"/>
              <w:sz w:val="21"/>
            </w:rPr>
            <w:t>大面积地面荷载</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_Toc199943586 \h </w:instrText>
          </w:r>
          <w:r>
            <w:rPr>
              <w:rFonts w:eastAsia="宋体"/>
              <w:b w:val="0"/>
              <w:i w:val="0"/>
              <w:color w:val="auto"/>
              <w:sz w:val="21"/>
            </w:rPr>
            <w:fldChar w:fldCharType="separate"/>
          </w:r>
          <w:r>
            <w:rPr>
              <w:rFonts w:eastAsia="宋体"/>
              <w:b w:val="0"/>
              <w:i w:val="0"/>
              <w:color w:val="auto"/>
              <w:sz w:val="21"/>
            </w:rPr>
            <w:t>28</w:t>
          </w:r>
          <w:r>
            <w:rPr>
              <w:rFonts w:eastAsia="宋体"/>
              <w:b w:val="0"/>
              <w:i w:val="0"/>
              <w:color w:val="auto"/>
              <w:sz w:val="21"/>
            </w:rPr>
            <w:fldChar w:fldCharType="end"/>
          </w:r>
          <w:r>
            <w:rPr>
              <w:rFonts w:eastAsia="宋体"/>
              <w:b w:val="0"/>
              <w:i w:val="0"/>
              <w:color w:val="auto"/>
              <w:sz w:val="21"/>
            </w:rPr>
            <w:fldChar w:fldCharType="end"/>
          </w:r>
        </w:p>
        <w:p w14:paraId="7589BA52">
          <w:pPr>
            <w:pStyle w:val="25"/>
            <w:tabs>
              <w:tab w:val="left" w:pos="4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"_Toc199943587" </w:instrText>
          </w:r>
          <w:r>
            <w:rPr>
              <w:rFonts w:eastAsia="宋体"/>
              <w:b w:val="0"/>
              <w:i w:val="0"/>
              <w:color w:val="auto"/>
              <w:sz w:val="21"/>
            </w:rPr>
            <w:fldChar w:fldCharType="separate"/>
          </w:r>
          <w:r>
            <w:rPr>
              <w:rStyle w:val="40"/>
              <w:rFonts w:eastAsia="宋体"/>
              <w:b w:val="0"/>
              <w:i w:val="0"/>
              <w:color w:val="auto"/>
              <w:sz w:val="21"/>
            </w:rPr>
            <w:t>9</w:t>
          </w:r>
          <w:r>
            <w:rPr>
              <w:rFonts w:eastAsia="宋体" w:cstheme="minorBidi"/>
              <w:b w:val="0"/>
              <w:i w:val="0"/>
              <w:color w:val="auto"/>
              <w:kern w:val="2"/>
              <w:sz w:val="21"/>
            </w:rPr>
            <w:tab/>
          </w:r>
          <w:r>
            <w:rPr>
              <w:rStyle w:val="40"/>
              <w:rFonts w:hint="eastAsia" w:eastAsia="宋体"/>
              <w:b w:val="0"/>
              <w:bCs/>
              <w:i w:val="0"/>
              <w:color w:val="auto"/>
              <w:sz w:val="21"/>
            </w:rPr>
            <w:t>地基处理</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_Toc199943587 \h </w:instrText>
          </w:r>
          <w:r>
            <w:rPr>
              <w:rFonts w:eastAsia="宋体"/>
              <w:b w:val="0"/>
              <w:i w:val="0"/>
              <w:color w:val="auto"/>
              <w:sz w:val="21"/>
            </w:rPr>
            <w:fldChar w:fldCharType="separate"/>
          </w:r>
          <w:r>
            <w:rPr>
              <w:rFonts w:eastAsia="宋体"/>
              <w:b w:val="0"/>
              <w:i w:val="0"/>
              <w:color w:val="auto"/>
              <w:sz w:val="21"/>
            </w:rPr>
            <w:t>29</w:t>
          </w:r>
          <w:r>
            <w:rPr>
              <w:rFonts w:eastAsia="宋体"/>
              <w:b w:val="0"/>
              <w:i w:val="0"/>
              <w:color w:val="auto"/>
              <w:sz w:val="21"/>
            </w:rPr>
            <w:fldChar w:fldCharType="end"/>
          </w:r>
          <w:r>
            <w:rPr>
              <w:rFonts w:eastAsia="宋体"/>
              <w:b w:val="0"/>
              <w:i w:val="0"/>
              <w:color w:val="auto"/>
              <w:sz w:val="21"/>
            </w:rPr>
            <w:fldChar w:fldCharType="end"/>
          </w:r>
        </w:p>
        <w:p w14:paraId="185460C5">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"_Toc199943588" </w:instrText>
          </w:r>
          <w:r>
            <w:rPr>
              <w:rFonts w:eastAsia="宋体"/>
              <w:b w:val="0"/>
              <w:i w:val="0"/>
              <w:color w:val="auto"/>
              <w:sz w:val="21"/>
            </w:rPr>
            <w:fldChar w:fldCharType="separate"/>
          </w:r>
          <w:r>
            <w:rPr>
              <w:rStyle w:val="40"/>
              <w:rFonts w:eastAsia="宋体"/>
              <w:b w:val="0"/>
              <w:bCs/>
              <w:i w:val="0"/>
              <w:color w:val="auto"/>
              <w:sz w:val="21"/>
            </w:rPr>
            <w:t xml:space="preserve">9.1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_Toc199943588 \h </w:instrText>
          </w:r>
          <w:r>
            <w:rPr>
              <w:rFonts w:eastAsia="宋体"/>
              <w:b w:val="0"/>
              <w:i w:val="0"/>
              <w:color w:val="auto"/>
              <w:sz w:val="21"/>
            </w:rPr>
            <w:fldChar w:fldCharType="separate"/>
          </w:r>
          <w:r>
            <w:rPr>
              <w:rFonts w:eastAsia="宋体"/>
              <w:b w:val="0"/>
              <w:i w:val="0"/>
              <w:color w:val="auto"/>
              <w:sz w:val="21"/>
            </w:rPr>
            <w:t>29</w:t>
          </w:r>
          <w:r>
            <w:rPr>
              <w:rFonts w:eastAsia="宋体"/>
              <w:b w:val="0"/>
              <w:i w:val="0"/>
              <w:color w:val="auto"/>
              <w:sz w:val="21"/>
            </w:rPr>
            <w:fldChar w:fldCharType="end"/>
          </w:r>
          <w:r>
            <w:rPr>
              <w:rFonts w:eastAsia="宋体"/>
              <w:b w:val="0"/>
              <w:i w:val="0"/>
              <w:color w:val="auto"/>
              <w:sz w:val="21"/>
            </w:rPr>
            <w:fldChar w:fldCharType="end"/>
          </w:r>
        </w:p>
        <w:p w14:paraId="4A028E78">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"_Toc199943589" </w:instrText>
          </w:r>
          <w:r>
            <w:rPr>
              <w:rFonts w:eastAsia="宋体"/>
              <w:b w:val="0"/>
              <w:i w:val="0"/>
              <w:color w:val="auto"/>
              <w:sz w:val="21"/>
            </w:rPr>
            <w:fldChar w:fldCharType="separate"/>
          </w:r>
          <w:r>
            <w:rPr>
              <w:rStyle w:val="40"/>
              <w:rFonts w:eastAsia="宋体"/>
              <w:b w:val="0"/>
              <w:bCs/>
              <w:i w:val="0"/>
              <w:color w:val="auto"/>
              <w:sz w:val="21"/>
            </w:rPr>
            <w:t xml:space="preserve">9.2  </w:t>
          </w:r>
          <w:r>
            <w:rPr>
              <w:rStyle w:val="40"/>
              <w:rFonts w:hint="eastAsia" w:eastAsia="宋体"/>
              <w:b w:val="0"/>
              <w:bCs/>
              <w:i w:val="0"/>
              <w:color w:val="auto"/>
              <w:sz w:val="21"/>
            </w:rPr>
            <w:t>水泥土搅拌桩复合地基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_Toc199943589 \h </w:instrText>
          </w:r>
          <w:r>
            <w:rPr>
              <w:rFonts w:eastAsia="宋体"/>
              <w:b w:val="0"/>
              <w:i w:val="0"/>
              <w:color w:val="auto"/>
              <w:sz w:val="21"/>
            </w:rPr>
            <w:fldChar w:fldCharType="separate"/>
          </w:r>
          <w:r>
            <w:rPr>
              <w:rFonts w:eastAsia="宋体"/>
              <w:b w:val="0"/>
              <w:i w:val="0"/>
              <w:color w:val="auto"/>
              <w:sz w:val="21"/>
            </w:rPr>
            <w:t>29</w:t>
          </w:r>
          <w:r>
            <w:rPr>
              <w:rFonts w:eastAsia="宋体"/>
              <w:b w:val="0"/>
              <w:i w:val="0"/>
              <w:color w:val="auto"/>
              <w:sz w:val="21"/>
            </w:rPr>
            <w:fldChar w:fldCharType="end"/>
          </w:r>
          <w:r>
            <w:rPr>
              <w:rFonts w:eastAsia="宋体"/>
              <w:b w:val="0"/>
              <w:i w:val="0"/>
              <w:color w:val="auto"/>
              <w:sz w:val="21"/>
            </w:rPr>
            <w:fldChar w:fldCharType="end"/>
          </w:r>
        </w:p>
        <w:p w14:paraId="7D29EB90">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"_Toc199943590" </w:instrText>
          </w:r>
          <w:r>
            <w:rPr>
              <w:rFonts w:eastAsia="宋体"/>
              <w:b w:val="0"/>
              <w:i w:val="0"/>
              <w:color w:val="auto"/>
              <w:sz w:val="21"/>
            </w:rPr>
            <w:fldChar w:fldCharType="separate"/>
          </w:r>
          <w:r>
            <w:rPr>
              <w:rStyle w:val="40"/>
              <w:rFonts w:eastAsia="宋体"/>
              <w:b w:val="0"/>
              <w:bCs/>
              <w:i w:val="0"/>
              <w:color w:val="auto"/>
              <w:sz w:val="21"/>
            </w:rPr>
            <w:t xml:space="preserve">9.3  </w:t>
          </w:r>
          <w:r>
            <w:rPr>
              <w:rStyle w:val="40"/>
              <w:rFonts w:hint="eastAsia" w:eastAsia="宋体"/>
              <w:b w:val="0"/>
              <w:bCs/>
              <w:i w:val="0"/>
              <w:color w:val="auto"/>
              <w:sz w:val="21"/>
            </w:rPr>
            <w:t>混凝土桩复合地基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_Toc199943590 \h </w:instrText>
          </w:r>
          <w:r>
            <w:rPr>
              <w:rFonts w:eastAsia="宋体"/>
              <w:b w:val="0"/>
              <w:i w:val="0"/>
              <w:color w:val="auto"/>
              <w:sz w:val="21"/>
            </w:rPr>
            <w:fldChar w:fldCharType="separate"/>
          </w:r>
          <w:r>
            <w:rPr>
              <w:rFonts w:eastAsia="宋体"/>
              <w:b w:val="0"/>
              <w:i w:val="0"/>
              <w:color w:val="auto"/>
              <w:sz w:val="21"/>
            </w:rPr>
            <w:t>32</w:t>
          </w:r>
          <w:r>
            <w:rPr>
              <w:rFonts w:eastAsia="宋体"/>
              <w:b w:val="0"/>
              <w:i w:val="0"/>
              <w:color w:val="auto"/>
              <w:sz w:val="21"/>
            </w:rPr>
            <w:fldChar w:fldCharType="end"/>
          </w:r>
          <w:r>
            <w:rPr>
              <w:rFonts w:eastAsia="宋体"/>
              <w:b w:val="0"/>
              <w:i w:val="0"/>
              <w:color w:val="auto"/>
              <w:sz w:val="21"/>
            </w:rPr>
            <w:fldChar w:fldCharType="end"/>
          </w:r>
        </w:p>
        <w:p w14:paraId="42D3EDBF">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"_Toc199943591" </w:instrText>
          </w:r>
          <w:r>
            <w:rPr>
              <w:rFonts w:eastAsia="宋体"/>
              <w:b w:val="0"/>
              <w:i w:val="0"/>
              <w:color w:val="auto"/>
              <w:sz w:val="21"/>
            </w:rPr>
            <w:fldChar w:fldCharType="separate"/>
          </w:r>
          <w:r>
            <w:rPr>
              <w:rStyle w:val="40"/>
              <w:rFonts w:eastAsia="宋体"/>
              <w:b w:val="0"/>
              <w:bCs/>
              <w:i w:val="0"/>
              <w:color w:val="auto"/>
              <w:sz w:val="21"/>
            </w:rPr>
            <w:t xml:space="preserve">9.4  </w:t>
          </w:r>
          <w:r>
            <w:rPr>
              <w:rStyle w:val="40"/>
              <w:rFonts w:hint="eastAsia" w:eastAsia="宋体"/>
              <w:b w:val="0"/>
              <w:bCs/>
              <w:i w:val="0"/>
              <w:color w:val="auto"/>
              <w:sz w:val="21"/>
            </w:rPr>
            <w:t>石灰桩复合地基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_Toc199943591 \h </w:instrText>
          </w:r>
          <w:r>
            <w:rPr>
              <w:rFonts w:eastAsia="宋体"/>
              <w:b w:val="0"/>
              <w:i w:val="0"/>
              <w:color w:val="auto"/>
              <w:sz w:val="21"/>
            </w:rPr>
            <w:fldChar w:fldCharType="separate"/>
          </w:r>
          <w:r>
            <w:rPr>
              <w:rFonts w:eastAsia="宋体"/>
              <w:b w:val="0"/>
              <w:i w:val="0"/>
              <w:color w:val="auto"/>
              <w:sz w:val="21"/>
            </w:rPr>
            <w:t>34</w:t>
          </w:r>
          <w:r>
            <w:rPr>
              <w:rFonts w:eastAsia="宋体"/>
              <w:b w:val="0"/>
              <w:i w:val="0"/>
              <w:color w:val="auto"/>
              <w:sz w:val="21"/>
            </w:rPr>
            <w:fldChar w:fldCharType="end"/>
          </w:r>
          <w:r>
            <w:rPr>
              <w:rFonts w:eastAsia="宋体"/>
              <w:b w:val="0"/>
              <w:i w:val="0"/>
              <w:color w:val="auto"/>
              <w:sz w:val="21"/>
            </w:rPr>
            <w:fldChar w:fldCharType="end"/>
          </w:r>
        </w:p>
        <w:p w14:paraId="1A97DD41">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"_Toc199943592" </w:instrText>
          </w:r>
          <w:r>
            <w:rPr>
              <w:rFonts w:eastAsia="宋体"/>
              <w:b w:val="0"/>
              <w:i w:val="0"/>
              <w:color w:val="auto"/>
              <w:sz w:val="21"/>
            </w:rPr>
            <w:fldChar w:fldCharType="separate"/>
          </w:r>
          <w:r>
            <w:rPr>
              <w:rStyle w:val="40"/>
              <w:rFonts w:eastAsia="宋体"/>
              <w:b w:val="0"/>
              <w:bCs/>
              <w:i w:val="0"/>
              <w:color w:val="auto"/>
              <w:sz w:val="21"/>
            </w:rPr>
            <w:t xml:space="preserve">9.5  </w:t>
          </w:r>
          <w:r>
            <w:rPr>
              <w:rStyle w:val="40"/>
              <w:rFonts w:hint="eastAsia" w:eastAsia="宋体"/>
              <w:b w:val="0"/>
              <w:bCs/>
              <w:i w:val="0"/>
              <w:color w:val="auto"/>
              <w:sz w:val="21"/>
            </w:rPr>
            <w:t>强夯法和强夯置换法</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_Toc199943592 \h </w:instrText>
          </w:r>
          <w:r>
            <w:rPr>
              <w:rFonts w:eastAsia="宋体"/>
              <w:b w:val="0"/>
              <w:i w:val="0"/>
              <w:color w:val="auto"/>
              <w:sz w:val="21"/>
            </w:rPr>
            <w:fldChar w:fldCharType="separate"/>
          </w:r>
          <w:r>
            <w:rPr>
              <w:rFonts w:eastAsia="宋体"/>
              <w:b w:val="0"/>
              <w:i w:val="0"/>
              <w:color w:val="auto"/>
              <w:sz w:val="21"/>
            </w:rPr>
            <w:t>35</w:t>
          </w:r>
          <w:r>
            <w:rPr>
              <w:rFonts w:eastAsia="宋体"/>
              <w:b w:val="0"/>
              <w:i w:val="0"/>
              <w:color w:val="auto"/>
              <w:sz w:val="21"/>
            </w:rPr>
            <w:fldChar w:fldCharType="end"/>
          </w:r>
          <w:r>
            <w:rPr>
              <w:rFonts w:eastAsia="宋体"/>
              <w:b w:val="0"/>
              <w:i w:val="0"/>
              <w:color w:val="auto"/>
              <w:sz w:val="21"/>
            </w:rPr>
            <w:fldChar w:fldCharType="end"/>
          </w:r>
        </w:p>
        <w:p w14:paraId="4CEA1E43">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"_Toc199943593" </w:instrText>
          </w:r>
          <w:r>
            <w:rPr>
              <w:rFonts w:eastAsia="宋体"/>
              <w:b w:val="0"/>
              <w:i w:val="0"/>
              <w:color w:val="auto"/>
              <w:sz w:val="21"/>
            </w:rPr>
            <w:fldChar w:fldCharType="separate"/>
          </w:r>
          <w:r>
            <w:rPr>
              <w:rStyle w:val="40"/>
              <w:rFonts w:eastAsia="宋体"/>
              <w:b w:val="0"/>
              <w:bCs/>
              <w:i w:val="0"/>
              <w:color w:val="auto"/>
              <w:sz w:val="21"/>
            </w:rPr>
            <w:t xml:space="preserve">9.6  </w:t>
          </w:r>
          <w:r>
            <w:rPr>
              <w:rStyle w:val="40"/>
              <w:rFonts w:hint="eastAsia" w:eastAsia="宋体"/>
              <w:b w:val="0"/>
              <w:bCs/>
              <w:i w:val="0"/>
              <w:color w:val="auto"/>
              <w:sz w:val="21"/>
            </w:rPr>
            <w:t>多桩型复合地基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_Toc199943593 \h </w:instrText>
          </w:r>
          <w:r>
            <w:rPr>
              <w:rFonts w:eastAsia="宋体"/>
              <w:b w:val="0"/>
              <w:i w:val="0"/>
              <w:color w:val="auto"/>
              <w:sz w:val="21"/>
            </w:rPr>
            <w:fldChar w:fldCharType="separate"/>
          </w:r>
          <w:r>
            <w:rPr>
              <w:rFonts w:eastAsia="宋体"/>
              <w:b w:val="0"/>
              <w:i w:val="0"/>
              <w:color w:val="auto"/>
              <w:sz w:val="21"/>
            </w:rPr>
            <w:t>39</w:t>
          </w:r>
          <w:r>
            <w:rPr>
              <w:rFonts w:eastAsia="宋体"/>
              <w:b w:val="0"/>
              <w:i w:val="0"/>
              <w:color w:val="auto"/>
              <w:sz w:val="21"/>
            </w:rPr>
            <w:fldChar w:fldCharType="end"/>
          </w:r>
          <w:r>
            <w:rPr>
              <w:rFonts w:eastAsia="宋体"/>
              <w:b w:val="0"/>
              <w:i w:val="0"/>
              <w:color w:val="auto"/>
              <w:sz w:val="21"/>
            </w:rPr>
            <w:fldChar w:fldCharType="end"/>
          </w:r>
        </w:p>
        <w:p w14:paraId="25F20F2F">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"_Toc199943594" </w:instrText>
          </w:r>
          <w:r>
            <w:rPr>
              <w:rFonts w:eastAsia="宋体"/>
              <w:b w:val="0"/>
              <w:i w:val="0"/>
              <w:color w:val="auto"/>
              <w:sz w:val="21"/>
            </w:rPr>
            <w:fldChar w:fldCharType="separate"/>
          </w:r>
          <w:r>
            <w:rPr>
              <w:rStyle w:val="40"/>
              <w:rFonts w:eastAsia="宋体"/>
              <w:b w:val="0"/>
              <w:bCs/>
              <w:i w:val="0"/>
              <w:color w:val="auto"/>
              <w:sz w:val="21"/>
            </w:rPr>
            <w:t>10</w:t>
          </w:r>
          <w:r>
            <w:rPr>
              <w:rFonts w:eastAsia="宋体" w:cstheme="minorBidi"/>
              <w:b w:val="0"/>
              <w:i w:val="0"/>
              <w:color w:val="auto"/>
              <w:kern w:val="2"/>
              <w:sz w:val="21"/>
            </w:rPr>
            <w:tab/>
          </w:r>
          <w:r>
            <w:rPr>
              <w:rStyle w:val="40"/>
              <w:rFonts w:hint="eastAsia" w:eastAsia="宋体"/>
              <w:b w:val="0"/>
              <w:bCs/>
              <w:i w:val="0"/>
              <w:color w:val="auto"/>
              <w:sz w:val="21"/>
            </w:rPr>
            <w:t>山区地基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_Toc199943594 \h </w:instrText>
          </w:r>
          <w:r>
            <w:rPr>
              <w:rFonts w:eastAsia="宋体"/>
              <w:b w:val="0"/>
              <w:i w:val="0"/>
              <w:color w:val="auto"/>
              <w:sz w:val="21"/>
            </w:rPr>
            <w:fldChar w:fldCharType="separate"/>
          </w:r>
          <w:r>
            <w:rPr>
              <w:rFonts w:eastAsia="宋体"/>
              <w:b w:val="0"/>
              <w:i w:val="0"/>
              <w:color w:val="auto"/>
              <w:sz w:val="21"/>
            </w:rPr>
            <w:t>41</w:t>
          </w:r>
          <w:r>
            <w:rPr>
              <w:rFonts w:eastAsia="宋体"/>
              <w:b w:val="0"/>
              <w:i w:val="0"/>
              <w:color w:val="auto"/>
              <w:sz w:val="21"/>
            </w:rPr>
            <w:fldChar w:fldCharType="end"/>
          </w:r>
          <w:r>
            <w:rPr>
              <w:rFonts w:eastAsia="宋体"/>
              <w:b w:val="0"/>
              <w:i w:val="0"/>
              <w:color w:val="auto"/>
              <w:sz w:val="21"/>
            </w:rPr>
            <w:fldChar w:fldCharType="end"/>
          </w:r>
        </w:p>
        <w:p w14:paraId="7A7E69A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"_Toc199943595" </w:instrText>
          </w:r>
          <w:r>
            <w:rPr>
              <w:rFonts w:eastAsia="宋体"/>
              <w:b w:val="0"/>
              <w:i w:val="0"/>
              <w:color w:val="auto"/>
              <w:sz w:val="21"/>
            </w:rPr>
            <w:fldChar w:fldCharType="separate"/>
          </w:r>
          <w:r>
            <w:rPr>
              <w:rStyle w:val="40"/>
              <w:rFonts w:eastAsia="宋体"/>
              <w:b w:val="0"/>
              <w:bCs/>
              <w:i w:val="0"/>
              <w:color w:val="auto"/>
              <w:sz w:val="21"/>
            </w:rPr>
            <w:t xml:space="preserve">10.1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_Toc199943595 \h </w:instrText>
          </w:r>
          <w:r>
            <w:rPr>
              <w:rFonts w:eastAsia="宋体"/>
              <w:b w:val="0"/>
              <w:i w:val="0"/>
              <w:color w:val="auto"/>
              <w:sz w:val="21"/>
            </w:rPr>
            <w:fldChar w:fldCharType="separate"/>
          </w:r>
          <w:r>
            <w:rPr>
              <w:rFonts w:eastAsia="宋体"/>
              <w:b w:val="0"/>
              <w:i w:val="0"/>
              <w:color w:val="auto"/>
              <w:sz w:val="21"/>
            </w:rPr>
            <w:t>41</w:t>
          </w:r>
          <w:r>
            <w:rPr>
              <w:rFonts w:eastAsia="宋体"/>
              <w:b w:val="0"/>
              <w:i w:val="0"/>
              <w:color w:val="auto"/>
              <w:sz w:val="21"/>
            </w:rPr>
            <w:fldChar w:fldCharType="end"/>
          </w:r>
          <w:r>
            <w:rPr>
              <w:rFonts w:eastAsia="宋体"/>
              <w:b w:val="0"/>
              <w:i w:val="0"/>
              <w:color w:val="auto"/>
              <w:sz w:val="21"/>
            </w:rPr>
            <w:fldChar w:fldCharType="end"/>
          </w:r>
        </w:p>
        <w:p w14:paraId="37702C86">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"_Toc199943596" </w:instrText>
          </w:r>
          <w:r>
            <w:rPr>
              <w:rFonts w:eastAsia="宋体"/>
              <w:b w:val="0"/>
              <w:i w:val="0"/>
              <w:color w:val="auto"/>
              <w:sz w:val="21"/>
            </w:rPr>
            <w:fldChar w:fldCharType="separate"/>
          </w:r>
          <w:r>
            <w:rPr>
              <w:rStyle w:val="40"/>
              <w:rFonts w:eastAsia="宋体"/>
              <w:b w:val="0"/>
              <w:bCs/>
              <w:i w:val="0"/>
              <w:color w:val="auto"/>
              <w:sz w:val="21"/>
            </w:rPr>
            <w:t xml:space="preserve">10.2  </w:t>
          </w:r>
          <w:r>
            <w:rPr>
              <w:rStyle w:val="40"/>
              <w:rFonts w:hint="eastAsia" w:eastAsia="宋体"/>
              <w:b w:val="0"/>
              <w:bCs/>
              <w:i w:val="0"/>
              <w:color w:val="auto"/>
              <w:sz w:val="21"/>
            </w:rPr>
            <w:t>勘察要求</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_Toc199943596 \h </w:instrText>
          </w:r>
          <w:r>
            <w:rPr>
              <w:rFonts w:eastAsia="宋体"/>
              <w:b w:val="0"/>
              <w:i w:val="0"/>
              <w:color w:val="auto"/>
              <w:sz w:val="21"/>
            </w:rPr>
            <w:fldChar w:fldCharType="separate"/>
          </w:r>
          <w:r>
            <w:rPr>
              <w:rFonts w:eastAsia="宋体"/>
              <w:b w:val="0"/>
              <w:i w:val="0"/>
              <w:color w:val="auto"/>
              <w:sz w:val="21"/>
            </w:rPr>
            <w:t>42</w:t>
          </w:r>
          <w:r>
            <w:rPr>
              <w:rFonts w:eastAsia="宋体"/>
              <w:b w:val="0"/>
              <w:i w:val="0"/>
              <w:color w:val="auto"/>
              <w:sz w:val="21"/>
            </w:rPr>
            <w:fldChar w:fldCharType="end"/>
          </w:r>
          <w:r>
            <w:rPr>
              <w:rFonts w:eastAsia="宋体"/>
              <w:b w:val="0"/>
              <w:i w:val="0"/>
              <w:color w:val="auto"/>
              <w:sz w:val="21"/>
            </w:rPr>
            <w:fldChar w:fldCharType="end"/>
          </w:r>
        </w:p>
        <w:p w14:paraId="16428FD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"_Toc199943597" </w:instrText>
          </w:r>
          <w:r>
            <w:rPr>
              <w:rFonts w:eastAsia="宋体"/>
              <w:b w:val="0"/>
              <w:i w:val="0"/>
              <w:color w:val="auto"/>
              <w:sz w:val="21"/>
            </w:rPr>
            <w:fldChar w:fldCharType="separate"/>
          </w:r>
          <w:r>
            <w:rPr>
              <w:rStyle w:val="40"/>
              <w:rFonts w:eastAsia="宋体"/>
              <w:b w:val="0"/>
              <w:bCs/>
              <w:i w:val="0"/>
              <w:color w:val="auto"/>
              <w:sz w:val="21"/>
            </w:rPr>
            <w:t xml:space="preserve">10.3  </w:t>
          </w:r>
          <w:r>
            <w:rPr>
              <w:rStyle w:val="40"/>
              <w:rFonts w:hint="eastAsia" w:eastAsia="宋体"/>
              <w:b w:val="0"/>
              <w:bCs/>
              <w:i w:val="0"/>
              <w:color w:val="auto"/>
              <w:sz w:val="21"/>
            </w:rPr>
            <w:t>岩石地基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_Toc199943597 \h </w:instrText>
          </w:r>
          <w:r>
            <w:rPr>
              <w:rFonts w:eastAsia="宋体"/>
              <w:b w:val="0"/>
              <w:i w:val="0"/>
              <w:color w:val="auto"/>
              <w:sz w:val="21"/>
            </w:rPr>
            <w:fldChar w:fldCharType="separate"/>
          </w:r>
          <w:r>
            <w:rPr>
              <w:rFonts w:eastAsia="宋体"/>
              <w:b w:val="0"/>
              <w:i w:val="0"/>
              <w:color w:val="auto"/>
              <w:sz w:val="21"/>
            </w:rPr>
            <w:t>43</w:t>
          </w:r>
          <w:r>
            <w:rPr>
              <w:rFonts w:eastAsia="宋体"/>
              <w:b w:val="0"/>
              <w:i w:val="0"/>
              <w:color w:val="auto"/>
              <w:sz w:val="21"/>
            </w:rPr>
            <w:fldChar w:fldCharType="end"/>
          </w:r>
          <w:r>
            <w:rPr>
              <w:rFonts w:eastAsia="宋体"/>
              <w:b w:val="0"/>
              <w:i w:val="0"/>
              <w:color w:val="auto"/>
              <w:sz w:val="21"/>
            </w:rPr>
            <w:fldChar w:fldCharType="end"/>
          </w:r>
        </w:p>
        <w:p w14:paraId="721CF5BC">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"_Toc199943598" </w:instrText>
          </w:r>
          <w:r>
            <w:rPr>
              <w:rFonts w:eastAsia="宋体"/>
              <w:b w:val="0"/>
              <w:i w:val="0"/>
              <w:color w:val="auto"/>
              <w:sz w:val="21"/>
            </w:rPr>
            <w:fldChar w:fldCharType="separate"/>
          </w:r>
          <w:r>
            <w:rPr>
              <w:rStyle w:val="40"/>
              <w:rFonts w:eastAsia="宋体"/>
              <w:b w:val="0"/>
              <w:bCs/>
              <w:i w:val="0"/>
              <w:color w:val="auto"/>
              <w:sz w:val="21"/>
            </w:rPr>
            <w:t xml:space="preserve">10.4  </w:t>
          </w:r>
          <w:r>
            <w:rPr>
              <w:rStyle w:val="40"/>
              <w:rFonts w:hint="eastAsia" w:eastAsia="宋体"/>
              <w:b w:val="0"/>
              <w:bCs/>
              <w:i w:val="0"/>
              <w:color w:val="auto"/>
              <w:sz w:val="21"/>
            </w:rPr>
            <w:t>土岩组合地基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_Toc199943598 \h </w:instrText>
          </w:r>
          <w:r>
            <w:rPr>
              <w:rFonts w:eastAsia="宋体"/>
              <w:b w:val="0"/>
              <w:i w:val="0"/>
              <w:color w:val="auto"/>
              <w:sz w:val="21"/>
            </w:rPr>
            <w:fldChar w:fldCharType="separate"/>
          </w:r>
          <w:r>
            <w:rPr>
              <w:rFonts w:eastAsia="宋体"/>
              <w:b w:val="0"/>
              <w:i w:val="0"/>
              <w:color w:val="auto"/>
              <w:sz w:val="21"/>
            </w:rPr>
            <w:t>43</w:t>
          </w:r>
          <w:r>
            <w:rPr>
              <w:rFonts w:eastAsia="宋体"/>
              <w:b w:val="0"/>
              <w:i w:val="0"/>
              <w:color w:val="auto"/>
              <w:sz w:val="21"/>
            </w:rPr>
            <w:fldChar w:fldCharType="end"/>
          </w:r>
          <w:r>
            <w:rPr>
              <w:rFonts w:eastAsia="宋体"/>
              <w:b w:val="0"/>
              <w:i w:val="0"/>
              <w:color w:val="auto"/>
              <w:sz w:val="21"/>
            </w:rPr>
            <w:fldChar w:fldCharType="end"/>
          </w:r>
        </w:p>
        <w:p w14:paraId="345FB6F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"_Toc199943599" </w:instrText>
          </w:r>
          <w:r>
            <w:rPr>
              <w:rFonts w:eastAsia="宋体"/>
              <w:b w:val="0"/>
              <w:i w:val="0"/>
              <w:color w:val="auto"/>
              <w:sz w:val="21"/>
            </w:rPr>
            <w:fldChar w:fldCharType="separate"/>
          </w:r>
          <w:r>
            <w:rPr>
              <w:rStyle w:val="40"/>
              <w:rFonts w:eastAsia="宋体"/>
              <w:b w:val="0"/>
              <w:bCs/>
              <w:i w:val="0"/>
              <w:color w:val="auto"/>
              <w:sz w:val="21"/>
            </w:rPr>
            <w:t xml:space="preserve">10.5  </w:t>
          </w:r>
          <w:r>
            <w:rPr>
              <w:rStyle w:val="40"/>
              <w:rFonts w:hint="eastAsia" w:eastAsia="宋体"/>
              <w:b w:val="0"/>
              <w:bCs/>
              <w:i w:val="0"/>
              <w:color w:val="auto"/>
              <w:sz w:val="21"/>
            </w:rPr>
            <w:t>岩土边坡治理</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_Toc199943599 \h </w:instrText>
          </w:r>
          <w:r>
            <w:rPr>
              <w:rFonts w:eastAsia="宋体"/>
              <w:b w:val="0"/>
              <w:i w:val="0"/>
              <w:color w:val="auto"/>
              <w:sz w:val="21"/>
            </w:rPr>
            <w:fldChar w:fldCharType="separate"/>
          </w:r>
          <w:r>
            <w:rPr>
              <w:rFonts w:eastAsia="宋体"/>
              <w:b w:val="0"/>
              <w:i w:val="0"/>
              <w:color w:val="auto"/>
              <w:sz w:val="21"/>
            </w:rPr>
            <w:t>44</w:t>
          </w:r>
          <w:r>
            <w:rPr>
              <w:rFonts w:eastAsia="宋体"/>
              <w:b w:val="0"/>
              <w:i w:val="0"/>
              <w:color w:val="auto"/>
              <w:sz w:val="21"/>
            </w:rPr>
            <w:fldChar w:fldCharType="end"/>
          </w:r>
          <w:r>
            <w:rPr>
              <w:rFonts w:eastAsia="宋体"/>
              <w:b w:val="0"/>
              <w:i w:val="0"/>
              <w:color w:val="auto"/>
              <w:sz w:val="21"/>
            </w:rPr>
            <w:fldChar w:fldCharType="end"/>
          </w:r>
        </w:p>
        <w:p w14:paraId="70CC74EA">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"_Toc199943600" </w:instrText>
          </w:r>
          <w:r>
            <w:rPr>
              <w:rFonts w:eastAsia="宋体"/>
              <w:b w:val="0"/>
              <w:i w:val="0"/>
              <w:color w:val="auto"/>
              <w:sz w:val="21"/>
            </w:rPr>
            <w:fldChar w:fldCharType="separate"/>
          </w:r>
          <w:r>
            <w:rPr>
              <w:rStyle w:val="40"/>
              <w:rFonts w:eastAsia="宋体"/>
              <w:b w:val="0"/>
              <w:bCs/>
              <w:i w:val="0"/>
              <w:color w:val="auto"/>
              <w:sz w:val="21"/>
            </w:rPr>
            <w:t xml:space="preserve">10.6  </w:t>
          </w:r>
          <w:r>
            <w:rPr>
              <w:rStyle w:val="40"/>
              <w:rFonts w:hint="eastAsia" w:eastAsia="宋体"/>
              <w:b w:val="0"/>
              <w:bCs/>
              <w:i w:val="0"/>
              <w:color w:val="auto"/>
              <w:sz w:val="21"/>
            </w:rPr>
            <w:t>压实填土地基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_Toc199943600 \h </w:instrText>
          </w:r>
          <w:r>
            <w:rPr>
              <w:rFonts w:eastAsia="宋体"/>
              <w:b w:val="0"/>
              <w:i w:val="0"/>
              <w:color w:val="auto"/>
              <w:sz w:val="21"/>
            </w:rPr>
            <w:fldChar w:fldCharType="separate"/>
          </w:r>
          <w:r>
            <w:rPr>
              <w:rFonts w:eastAsia="宋体"/>
              <w:b w:val="0"/>
              <w:i w:val="0"/>
              <w:color w:val="auto"/>
              <w:sz w:val="21"/>
            </w:rPr>
            <w:t>52</w:t>
          </w:r>
          <w:r>
            <w:rPr>
              <w:rFonts w:eastAsia="宋体"/>
              <w:b w:val="0"/>
              <w:i w:val="0"/>
              <w:color w:val="auto"/>
              <w:sz w:val="21"/>
            </w:rPr>
            <w:fldChar w:fldCharType="end"/>
          </w:r>
          <w:r>
            <w:rPr>
              <w:rFonts w:eastAsia="宋体"/>
              <w:b w:val="0"/>
              <w:i w:val="0"/>
              <w:color w:val="auto"/>
              <w:sz w:val="21"/>
            </w:rPr>
            <w:fldChar w:fldCharType="end"/>
          </w:r>
        </w:p>
        <w:p w14:paraId="615909EF">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"_Toc199943601" </w:instrText>
          </w:r>
          <w:r>
            <w:rPr>
              <w:rFonts w:eastAsia="宋体"/>
              <w:b w:val="0"/>
              <w:i w:val="0"/>
              <w:color w:val="auto"/>
              <w:sz w:val="21"/>
            </w:rPr>
            <w:fldChar w:fldCharType="separate"/>
          </w:r>
          <w:r>
            <w:rPr>
              <w:rStyle w:val="40"/>
              <w:rFonts w:eastAsia="宋体"/>
              <w:b w:val="0"/>
              <w:i w:val="0"/>
              <w:color w:val="auto"/>
              <w:sz w:val="21"/>
            </w:rPr>
            <w:t>11</w:t>
          </w:r>
          <w:r>
            <w:rPr>
              <w:rFonts w:eastAsia="宋体" w:cstheme="minorBidi"/>
              <w:b w:val="0"/>
              <w:i w:val="0"/>
              <w:color w:val="auto"/>
              <w:kern w:val="2"/>
              <w:sz w:val="21"/>
            </w:rPr>
            <w:tab/>
          </w:r>
          <w:r>
            <w:rPr>
              <w:rStyle w:val="40"/>
              <w:rFonts w:hint="eastAsia" w:eastAsia="宋体"/>
              <w:b w:val="0"/>
              <w:bCs/>
              <w:i w:val="0"/>
              <w:color w:val="auto"/>
              <w:sz w:val="21"/>
            </w:rPr>
            <w:t>特殊土地基及特殊场地</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_Toc199943601 \h </w:instrText>
          </w:r>
          <w:r>
            <w:rPr>
              <w:rFonts w:eastAsia="宋体"/>
              <w:b w:val="0"/>
              <w:i w:val="0"/>
              <w:color w:val="auto"/>
              <w:sz w:val="21"/>
            </w:rPr>
            <w:fldChar w:fldCharType="separate"/>
          </w:r>
          <w:r>
            <w:rPr>
              <w:rFonts w:eastAsia="宋体"/>
              <w:b w:val="0"/>
              <w:i w:val="0"/>
              <w:color w:val="auto"/>
              <w:sz w:val="21"/>
            </w:rPr>
            <w:t>54</w:t>
          </w:r>
          <w:r>
            <w:rPr>
              <w:rFonts w:eastAsia="宋体"/>
              <w:b w:val="0"/>
              <w:i w:val="0"/>
              <w:color w:val="auto"/>
              <w:sz w:val="21"/>
            </w:rPr>
            <w:fldChar w:fldCharType="end"/>
          </w:r>
          <w:r>
            <w:rPr>
              <w:rFonts w:eastAsia="宋体"/>
              <w:b w:val="0"/>
              <w:i w:val="0"/>
              <w:color w:val="auto"/>
              <w:sz w:val="21"/>
            </w:rPr>
            <w:fldChar w:fldCharType="end"/>
          </w:r>
        </w:p>
        <w:p w14:paraId="67D96A92">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"_Toc199943602" </w:instrText>
          </w:r>
          <w:r>
            <w:rPr>
              <w:rFonts w:eastAsia="宋体"/>
              <w:b w:val="0"/>
              <w:i w:val="0"/>
              <w:color w:val="auto"/>
              <w:sz w:val="21"/>
            </w:rPr>
            <w:fldChar w:fldCharType="separate"/>
          </w:r>
          <w:r>
            <w:rPr>
              <w:rStyle w:val="40"/>
              <w:rFonts w:eastAsia="宋体"/>
              <w:b w:val="0"/>
              <w:bCs/>
              <w:i w:val="0"/>
              <w:color w:val="auto"/>
              <w:sz w:val="21"/>
            </w:rPr>
            <w:t xml:space="preserve">11.1  </w:t>
          </w:r>
          <w:r>
            <w:rPr>
              <w:rStyle w:val="40"/>
              <w:rFonts w:hint="eastAsia" w:eastAsia="宋体"/>
              <w:b w:val="0"/>
              <w:bCs/>
              <w:i w:val="0"/>
              <w:color w:val="auto"/>
              <w:sz w:val="21"/>
            </w:rPr>
            <w:t>膨胀土地基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_Toc199943602 \h </w:instrText>
          </w:r>
          <w:r>
            <w:rPr>
              <w:rFonts w:eastAsia="宋体"/>
              <w:b w:val="0"/>
              <w:i w:val="0"/>
              <w:color w:val="auto"/>
              <w:sz w:val="21"/>
            </w:rPr>
            <w:fldChar w:fldCharType="separate"/>
          </w:r>
          <w:r>
            <w:rPr>
              <w:rFonts w:eastAsia="宋体"/>
              <w:b w:val="0"/>
              <w:i w:val="0"/>
              <w:color w:val="auto"/>
              <w:sz w:val="21"/>
            </w:rPr>
            <w:t>54</w:t>
          </w:r>
          <w:r>
            <w:rPr>
              <w:rFonts w:eastAsia="宋体"/>
              <w:b w:val="0"/>
              <w:i w:val="0"/>
              <w:color w:val="auto"/>
              <w:sz w:val="21"/>
            </w:rPr>
            <w:fldChar w:fldCharType="end"/>
          </w:r>
          <w:r>
            <w:rPr>
              <w:rFonts w:eastAsia="宋体"/>
              <w:b w:val="0"/>
              <w:i w:val="0"/>
              <w:color w:val="auto"/>
              <w:sz w:val="21"/>
            </w:rPr>
            <w:fldChar w:fldCharType="end"/>
          </w:r>
        </w:p>
        <w:p w14:paraId="55CD2C92">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"_Toc199943603" </w:instrText>
          </w:r>
          <w:r>
            <w:rPr>
              <w:rFonts w:eastAsia="宋体"/>
              <w:b w:val="0"/>
              <w:i w:val="0"/>
              <w:color w:val="auto"/>
              <w:sz w:val="21"/>
            </w:rPr>
            <w:fldChar w:fldCharType="separate"/>
          </w:r>
          <w:r>
            <w:rPr>
              <w:rStyle w:val="40"/>
              <w:rFonts w:eastAsia="宋体"/>
              <w:b w:val="0"/>
              <w:bCs/>
              <w:i w:val="0"/>
              <w:color w:val="auto"/>
              <w:sz w:val="21"/>
            </w:rPr>
            <w:t xml:space="preserve">11.2  </w:t>
          </w:r>
          <w:r>
            <w:rPr>
              <w:rStyle w:val="40"/>
              <w:rFonts w:hint="eastAsia" w:eastAsia="宋体"/>
              <w:b w:val="0"/>
              <w:bCs/>
              <w:i w:val="0"/>
              <w:color w:val="auto"/>
              <w:sz w:val="21"/>
            </w:rPr>
            <w:t>红黏土地基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_Toc199943603 \h </w:instrText>
          </w:r>
          <w:r>
            <w:rPr>
              <w:rFonts w:eastAsia="宋体"/>
              <w:b w:val="0"/>
              <w:i w:val="0"/>
              <w:color w:val="auto"/>
              <w:sz w:val="21"/>
            </w:rPr>
            <w:fldChar w:fldCharType="separate"/>
          </w:r>
          <w:r>
            <w:rPr>
              <w:rFonts w:eastAsia="宋体"/>
              <w:b w:val="0"/>
              <w:i w:val="0"/>
              <w:color w:val="auto"/>
              <w:sz w:val="21"/>
            </w:rPr>
            <w:t>63</w:t>
          </w:r>
          <w:r>
            <w:rPr>
              <w:rFonts w:eastAsia="宋体"/>
              <w:b w:val="0"/>
              <w:i w:val="0"/>
              <w:color w:val="auto"/>
              <w:sz w:val="21"/>
            </w:rPr>
            <w:fldChar w:fldCharType="end"/>
          </w:r>
          <w:r>
            <w:rPr>
              <w:rFonts w:eastAsia="宋体"/>
              <w:b w:val="0"/>
              <w:i w:val="0"/>
              <w:color w:val="auto"/>
              <w:sz w:val="21"/>
            </w:rPr>
            <w:fldChar w:fldCharType="end"/>
          </w:r>
        </w:p>
        <w:p w14:paraId="286DADAC">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"_Toc199943604" </w:instrText>
          </w:r>
          <w:r>
            <w:rPr>
              <w:rFonts w:eastAsia="宋体"/>
              <w:b w:val="0"/>
              <w:i w:val="0"/>
              <w:color w:val="auto"/>
              <w:sz w:val="21"/>
            </w:rPr>
            <w:fldChar w:fldCharType="separate"/>
          </w:r>
          <w:r>
            <w:rPr>
              <w:rStyle w:val="40"/>
              <w:rFonts w:eastAsia="宋体"/>
              <w:b w:val="0"/>
              <w:bCs/>
              <w:i w:val="0"/>
              <w:color w:val="auto"/>
              <w:sz w:val="21"/>
            </w:rPr>
            <w:t xml:space="preserve">11.3  </w:t>
          </w:r>
          <w:r>
            <w:rPr>
              <w:rStyle w:val="40"/>
              <w:rFonts w:hint="eastAsia" w:eastAsia="宋体"/>
              <w:b w:val="0"/>
              <w:bCs/>
              <w:i w:val="0"/>
              <w:color w:val="auto"/>
              <w:sz w:val="21"/>
            </w:rPr>
            <w:t>岩溶、土洞及地面塌陷场地</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_Toc199943604 \h </w:instrText>
          </w:r>
          <w:r>
            <w:rPr>
              <w:rFonts w:eastAsia="宋体"/>
              <w:b w:val="0"/>
              <w:i w:val="0"/>
              <w:color w:val="auto"/>
              <w:sz w:val="21"/>
            </w:rPr>
            <w:fldChar w:fldCharType="separate"/>
          </w:r>
          <w:r>
            <w:rPr>
              <w:rFonts w:eastAsia="宋体"/>
              <w:b w:val="0"/>
              <w:i w:val="0"/>
              <w:color w:val="auto"/>
              <w:sz w:val="21"/>
            </w:rPr>
            <w:t>64</w:t>
          </w:r>
          <w:r>
            <w:rPr>
              <w:rFonts w:eastAsia="宋体"/>
              <w:b w:val="0"/>
              <w:i w:val="0"/>
              <w:color w:val="auto"/>
              <w:sz w:val="21"/>
            </w:rPr>
            <w:fldChar w:fldCharType="end"/>
          </w:r>
          <w:r>
            <w:rPr>
              <w:rFonts w:eastAsia="宋体"/>
              <w:b w:val="0"/>
              <w:i w:val="0"/>
              <w:color w:val="auto"/>
              <w:sz w:val="21"/>
            </w:rPr>
            <w:fldChar w:fldCharType="end"/>
          </w:r>
        </w:p>
        <w:p w14:paraId="771A1335">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"_Toc199943605" </w:instrText>
          </w:r>
          <w:r>
            <w:rPr>
              <w:rFonts w:eastAsia="宋体"/>
              <w:b w:val="0"/>
              <w:i w:val="0"/>
              <w:color w:val="auto"/>
              <w:sz w:val="21"/>
            </w:rPr>
            <w:fldChar w:fldCharType="separate"/>
          </w:r>
          <w:r>
            <w:rPr>
              <w:rStyle w:val="40"/>
              <w:rFonts w:eastAsia="宋体"/>
              <w:b w:val="0"/>
              <w:bCs/>
              <w:i w:val="0"/>
              <w:color w:val="auto"/>
              <w:sz w:val="21"/>
            </w:rPr>
            <w:t xml:space="preserve">11.4  </w:t>
          </w:r>
          <w:r>
            <w:rPr>
              <w:rStyle w:val="40"/>
              <w:rFonts w:hint="eastAsia" w:eastAsia="宋体"/>
              <w:b w:val="0"/>
              <w:bCs/>
              <w:i w:val="0"/>
              <w:color w:val="auto"/>
              <w:sz w:val="21"/>
            </w:rPr>
            <w:t>采空区场地</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_Toc199943605 \h </w:instrText>
          </w:r>
          <w:r>
            <w:rPr>
              <w:rFonts w:eastAsia="宋体"/>
              <w:b w:val="0"/>
              <w:i w:val="0"/>
              <w:color w:val="auto"/>
              <w:sz w:val="21"/>
            </w:rPr>
            <w:fldChar w:fldCharType="separate"/>
          </w:r>
          <w:r>
            <w:rPr>
              <w:rFonts w:eastAsia="宋体"/>
              <w:b w:val="0"/>
              <w:i w:val="0"/>
              <w:color w:val="auto"/>
              <w:sz w:val="21"/>
            </w:rPr>
            <w:t>65</w:t>
          </w:r>
          <w:r>
            <w:rPr>
              <w:rFonts w:eastAsia="宋体"/>
              <w:b w:val="0"/>
              <w:i w:val="0"/>
              <w:color w:val="auto"/>
              <w:sz w:val="21"/>
            </w:rPr>
            <w:fldChar w:fldCharType="end"/>
          </w:r>
          <w:r>
            <w:rPr>
              <w:rFonts w:eastAsia="宋体"/>
              <w:b w:val="0"/>
              <w:i w:val="0"/>
              <w:color w:val="auto"/>
              <w:sz w:val="21"/>
            </w:rPr>
            <w:fldChar w:fldCharType="end"/>
          </w:r>
        </w:p>
        <w:p w14:paraId="5EE5B37D">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"_Toc199943606" </w:instrText>
          </w:r>
          <w:r>
            <w:rPr>
              <w:rFonts w:eastAsia="宋体"/>
              <w:b w:val="0"/>
              <w:i w:val="0"/>
              <w:color w:val="auto"/>
              <w:sz w:val="21"/>
            </w:rPr>
            <w:fldChar w:fldCharType="separate"/>
          </w:r>
          <w:r>
            <w:rPr>
              <w:rStyle w:val="40"/>
              <w:rFonts w:eastAsia="宋体"/>
              <w:b w:val="0"/>
              <w:bCs/>
              <w:i w:val="0"/>
              <w:color w:val="auto"/>
              <w:sz w:val="21"/>
            </w:rPr>
            <w:t xml:space="preserve">11.5  </w:t>
          </w:r>
          <w:r>
            <w:rPr>
              <w:rStyle w:val="40"/>
              <w:rFonts w:hint="eastAsia" w:eastAsia="宋体"/>
              <w:b w:val="0"/>
              <w:bCs/>
              <w:i w:val="0"/>
              <w:color w:val="auto"/>
              <w:sz w:val="21"/>
            </w:rPr>
            <w:t>城市人防洞室</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_Toc199943606 \h </w:instrText>
          </w:r>
          <w:r>
            <w:rPr>
              <w:rFonts w:eastAsia="宋体"/>
              <w:b w:val="0"/>
              <w:i w:val="0"/>
              <w:color w:val="auto"/>
              <w:sz w:val="21"/>
            </w:rPr>
            <w:fldChar w:fldCharType="separate"/>
          </w:r>
          <w:r>
            <w:rPr>
              <w:rFonts w:eastAsia="宋体"/>
              <w:b w:val="0"/>
              <w:i w:val="0"/>
              <w:color w:val="auto"/>
              <w:sz w:val="21"/>
            </w:rPr>
            <w:t>67</w:t>
          </w:r>
          <w:r>
            <w:rPr>
              <w:rFonts w:eastAsia="宋体"/>
              <w:b w:val="0"/>
              <w:i w:val="0"/>
              <w:color w:val="auto"/>
              <w:sz w:val="21"/>
            </w:rPr>
            <w:fldChar w:fldCharType="end"/>
          </w:r>
          <w:r>
            <w:rPr>
              <w:rFonts w:eastAsia="宋体"/>
              <w:b w:val="0"/>
              <w:i w:val="0"/>
              <w:color w:val="auto"/>
              <w:sz w:val="21"/>
            </w:rPr>
            <w:fldChar w:fldCharType="end"/>
          </w:r>
        </w:p>
        <w:p w14:paraId="4519B713">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"_Toc199943607" </w:instrText>
          </w:r>
          <w:r>
            <w:rPr>
              <w:rFonts w:eastAsia="宋体"/>
              <w:b w:val="0"/>
              <w:i w:val="0"/>
              <w:color w:val="auto"/>
              <w:sz w:val="21"/>
            </w:rPr>
            <w:fldChar w:fldCharType="separate"/>
          </w:r>
          <w:r>
            <w:rPr>
              <w:rStyle w:val="40"/>
              <w:rFonts w:eastAsia="宋体"/>
              <w:b w:val="0"/>
              <w:i w:val="0"/>
              <w:color w:val="auto"/>
              <w:spacing w:val="8"/>
              <w:sz w:val="21"/>
            </w:rPr>
            <w:t>12</w:t>
          </w:r>
          <w:r>
            <w:rPr>
              <w:rFonts w:eastAsia="宋体" w:cstheme="minorBidi"/>
              <w:b w:val="0"/>
              <w:i w:val="0"/>
              <w:color w:val="auto"/>
              <w:kern w:val="2"/>
              <w:sz w:val="21"/>
            </w:rPr>
            <w:tab/>
          </w:r>
          <w:r>
            <w:rPr>
              <w:rStyle w:val="40"/>
              <w:rFonts w:hint="eastAsia" w:eastAsia="宋体"/>
              <w:b w:val="0"/>
              <w:bCs/>
              <w:i w:val="0"/>
              <w:color w:val="auto"/>
              <w:sz w:val="21"/>
            </w:rPr>
            <w:t>桩基础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_Toc199943607 \h </w:instrText>
          </w:r>
          <w:r>
            <w:rPr>
              <w:rFonts w:eastAsia="宋体"/>
              <w:b w:val="0"/>
              <w:i w:val="0"/>
              <w:color w:val="auto"/>
              <w:sz w:val="21"/>
            </w:rPr>
            <w:fldChar w:fldCharType="separate"/>
          </w:r>
          <w:r>
            <w:rPr>
              <w:rFonts w:eastAsia="宋体"/>
              <w:b w:val="0"/>
              <w:i w:val="0"/>
              <w:color w:val="auto"/>
              <w:sz w:val="21"/>
            </w:rPr>
            <w:t>68</w:t>
          </w:r>
          <w:r>
            <w:rPr>
              <w:rFonts w:eastAsia="宋体"/>
              <w:b w:val="0"/>
              <w:i w:val="0"/>
              <w:color w:val="auto"/>
              <w:sz w:val="21"/>
            </w:rPr>
            <w:fldChar w:fldCharType="end"/>
          </w:r>
          <w:r>
            <w:rPr>
              <w:rFonts w:eastAsia="宋体"/>
              <w:b w:val="0"/>
              <w:i w:val="0"/>
              <w:color w:val="auto"/>
              <w:sz w:val="21"/>
            </w:rPr>
            <w:fldChar w:fldCharType="end"/>
          </w:r>
        </w:p>
        <w:p w14:paraId="2498A7C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"_Toc199943608" </w:instrText>
          </w:r>
          <w:r>
            <w:rPr>
              <w:rFonts w:eastAsia="宋体"/>
              <w:b w:val="0"/>
              <w:i w:val="0"/>
              <w:color w:val="auto"/>
              <w:sz w:val="21"/>
            </w:rPr>
            <w:fldChar w:fldCharType="separate"/>
          </w:r>
          <w:r>
            <w:rPr>
              <w:rStyle w:val="40"/>
              <w:rFonts w:eastAsia="宋体"/>
              <w:b w:val="0"/>
              <w:bCs/>
              <w:i w:val="0"/>
              <w:color w:val="auto"/>
              <w:sz w:val="21"/>
            </w:rPr>
            <w:t xml:space="preserve">12.1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_Toc199943608 \h </w:instrText>
          </w:r>
          <w:r>
            <w:rPr>
              <w:rFonts w:eastAsia="宋体"/>
              <w:b w:val="0"/>
              <w:i w:val="0"/>
              <w:color w:val="auto"/>
              <w:sz w:val="21"/>
            </w:rPr>
            <w:fldChar w:fldCharType="separate"/>
          </w:r>
          <w:r>
            <w:rPr>
              <w:rFonts w:eastAsia="宋体"/>
              <w:b w:val="0"/>
              <w:i w:val="0"/>
              <w:color w:val="auto"/>
              <w:sz w:val="21"/>
            </w:rPr>
            <w:t>68</w:t>
          </w:r>
          <w:r>
            <w:rPr>
              <w:rFonts w:eastAsia="宋体"/>
              <w:b w:val="0"/>
              <w:i w:val="0"/>
              <w:color w:val="auto"/>
              <w:sz w:val="21"/>
            </w:rPr>
            <w:fldChar w:fldCharType="end"/>
          </w:r>
          <w:r>
            <w:rPr>
              <w:rFonts w:eastAsia="宋体"/>
              <w:b w:val="0"/>
              <w:i w:val="0"/>
              <w:color w:val="auto"/>
              <w:sz w:val="21"/>
            </w:rPr>
            <w:fldChar w:fldCharType="end"/>
          </w:r>
        </w:p>
        <w:p w14:paraId="39820A8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"_Toc199943609" </w:instrText>
          </w:r>
          <w:r>
            <w:rPr>
              <w:rFonts w:eastAsia="宋体"/>
              <w:b w:val="0"/>
              <w:i w:val="0"/>
              <w:color w:val="auto"/>
              <w:sz w:val="21"/>
            </w:rPr>
            <w:fldChar w:fldCharType="separate"/>
          </w:r>
          <w:r>
            <w:rPr>
              <w:rStyle w:val="40"/>
              <w:rFonts w:eastAsia="宋体"/>
              <w:b w:val="0"/>
              <w:bCs/>
              <w:i w:val="0"/>
              <w:color w:val="auto"/>
              <w:sz w:val="21"/>
            </w:rPr>
            <w:t xml:space="preserve">12.2  </w:t>
          </w:r>
          <w:r>
            <w:rPr>
              <w:rStyle w:val="40"/>
              <w:rFonts w:hint="eastAsia" w:eastAsia="宋体"/>
              <w:b w:val="0"/>
              <w:bCs/>
              <w:i w:val="0"/>
              <w:color w:val="auto"/>
              <w:sz w:val="21"/>
            </w:rPr>
            <w:t>构造要求</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_Toc199943609 \h </w:instrText>
          </w:r>
          <w:r>
            <w:rPr>
              <w:rFonts w:eastAsia="宋体"/>
              <w:b w:val="0"/>
              <w:i w:val="0"/>
              <w:color w:val="auto"/>
              <w:sz w:val="21"/>
            </w:rPr>
            <w:fldChar w:fldCharType="separate"/>
          </w:r>
          <w:r>
            <w:rPr>
              <w:rFonts w:eastAsia="宋体"/>
              <w:b w:val="0"/>
              <w:i w:val="0"/>
              <w:color w:val="auto"/>
              <w:sz w:val="21"/>
            </w:rPr>
            <w:t>70</w:t>
          </w:r>
          <w:r>
            <w:rPr>
              <w:rFonts w:eastAsia="宋体"/>
              <w:b w:val="0"/>
              <w:i w:val="0"/>
              <w:color w:val="auto"/>
              <w:sz w:val="21"/>
            </w:rPr>
            <w:fldChar w:fldCharType="end"/>
          </w:r>
          <w:r>
            <w:rPr>
              <w:rFonts w:eastAsia="宋体"/>
              <w:b w:val="0"/>
              <w:i w:val="0"/>
              <w:color w:val="auto"/>
              <w:sz w:val="21"/>
            </w:rPr>
            <w:fldChar w:fldCharType="end"/>
          </w:r>
        </w:p>
        <w:p w14:paraId="58F1F2A6">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"_Toc199943610" </w:instrText>
          </w:r>
          <w:r>
            <w:rPr>
              <w:rFonts w:eastAsia="宋体"/>
              <w:b w:val="0"/>
              <w:i w:val="0"/>
              <w:color w:val="auto"/>
              <w:sz w:val="21"/>
            </w:rPr>
            <w:fldChar w:fldCharType="separate"/>
          </w:r>
          <w:r>
            <w:rPr>
              <w:rStyle w:val="40"/>
              <w:rFonts w:eastAsia="宋体"/>
              <w:b w:val="0"/>
              <w:bCs/>
              <w:i w:val="0"/>
              <w:color w:val="auto"/>
              <w:sz w:val="21"/>
            </w:rPr>
            <w:t xml:space="preserve">12.3   </w:t>
          </w:r>
          <w:r>
            <w:rPr>
              <w:rStyle w:val="40"/>
              <w:rFonts w:hint="eastAsia" w:eastAsia="宋体"/>
              <w:b w:val="0"/>
              <w:bCs/>
              <w:i w:val="0"/>
              <w:color w:val="auto"/>
              <w:sz w:val="21"/>
            </w:rPr>
            <w:t>桩基承载力计算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_Toc199943610 \h </w:instrText>
          </w:r>
          <w:r>
            <w:rPr>
              <w:rFonts w:eastAsia="宋体"/>
              <w:b w:val="0"/>
              <w:i w:val="0"/>
              <w:color w:val="auto"/>
              <w:sz w:val="21"/>
            </w:rPr>
            <w:fldChar w:fldCharType="separate"/>
          </w:r>
          <w:r>
            <w:rPr>
              <w:rFonts w:eastAsia="宋体"/>
              <w:b w:val="0"/>
              <w:i w:val="0"/>
              <w:color w:val="auto"/>
              <w:sz w:val="21"/>
            </w:rPr>
            <w:t>72</w:t>
          </w:r>
          <w:r>
            <w:rPr>
              <w:rFonts w:eastAsia="宋体"/>
              <w:b w:val="0"/>
              <w:i w:val="0"/>
              <w:color w:val="auto"/>
              <w:sz w:val="21"/>
            </w:rPr>
            <w:fldChar w:fldCharType="end"/>
          </w:r>
          <w:r>
            <w:rPr>
              <w:rFonts w:eastAsia="宋体"/>
              <w:b w:val="0"/>
              <w:i w:val="0"/>
              <w:color w:val="auto"/>
              <w:sz w:val="21"/>
            </w:rPr>
            <w:fldChar w:fldCharType="end"/>
          </w:r>
        </w:p>
        <w:p w14:paraId="2D6EFE5D">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"_Toc199943611" </w:instrText>
          </w:r>
          <w:r>
            <w:rPr>
              <w:rFonts w:eastAsia="宋体"/>
              <w:b w:val="0"/>
              <w:i w:val="0"/>
              <w:color w:val="auto"/>
              <w:sz w:val="21"/>
            </w:rPr>
            <w:fldChar w:fldCharType="separate"/>
          </w:r>
          <w:r>
            <w:rPr>
              <w:rStyle w:val="40"/>
              <w:rFonts w:eastAsia="宋体"/>
              <w:b w:val="0"/>
              <w:bCs/>
              <w:i w:val="0"/>
              <w:color w:val="auto"/>
              <w:sz w:val="21"/>
            </w:rPr>
            <w:t xml:space="preserve">12.4  </w:t>
          </w:r>
          <w:r>
            <w:rPr>
              <w:rStyle w:val="40"/>
              <w:rFonts w:hint="eastAsia" w:eastAsia="宋体"/>
              <w:b w:val="0"/>
              <w:bCs/>
              <w:i w:val="0"/>
              <w:color w:val="auto"/>
              <w:sz w:val="21"/>
            </w:rPr>
            <w:t>桩基沉降计算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_Toc199943611 \h </w:instrText>
          </w:r>
          <w:r>
            <w:rPr>
              <w:rFonts w:eastAsia="宋体"/>
              <w:b w:val="0"/>
              <w:i w:val="0"/>
              <w:color w:val="auto"/>
              <w:sz w:val="21"/>
            </w:rPr>
            <w:fldChar w:fldCharType="separate"/>
          </w:r>
          <w:r>
            <w:rPr>
              <w:rFonts w:eastAsia="宋体"/>
              <w:b w:val="0"/>
              <w:i w:val="0"/>
              <w:color w:val="auto"/>
              <w:sz w:val="21"/>
            </w:rPr>
            <w:t>75</w:t>
          </w:r>
          <w:r>
            <w:rPr>
              <w:rFonts w:eastAsia="宋体"/>
              <w:b w:val="0"/>
              <w:i w:val="0"/>
              <w:color w:val="auto"/>
              <w:sz w:val="21"/>
            </w:rPr>
            <w:fldChar w:fldCharType="end"/>
          </w:r>
          <w:r>
            <w:rPr>
              <w:rFonts w:eastAsia="宋体"/>
              <w:b w:val="0"/>
              <w:i w:val="0"/>
              <w:color w:val="auto"/>
              <w:sz w:val="21"/>
            </w:rPr>
            <w:fldChar w:fldCharType="end"/>
          </w:r>
        </w:p>
        <w:p w14:paraId="705A2B8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"_Toc199943612" </w:instrText>
          </w:r>
          <w:r>
            <w:rPr>
              <w:rFonts w:eastAsia="宋体"/>
              <w:b w:val="0"/>
              <w:i w:val="0"/>
              <w:color w:val="auto"/>
              <w:sz w:val="21"/>
            </w:rPr>
            <w:fldChar w:fldCharType="separate"/>
          </w:r>
          <w:r>
            <w:rPr>
              <w:rStyle w:val="40"/>
              <w:rFonts w:eastAsia="宋体"/>
              <w:b w:val="0"/>
              <w:bCs/>
              <w:i w:val="0"/>
              <w:color w:val="auto"/>
              <w:sz w:val="21"/>
            </w:rPr>
            <w:t xml:space="preserve">12.5  </w:t>
          </w:r>
          <w:r>
            <w:rPr>
              <w:rStyle w:val="40"/>
              <w:rFonts w:hint="eastAsia" w:eastAsia="宋体"/>
              <w:b w:val="0"/>
              <w:bCs/>
              <w:i w:val="0"/>
              <w:color w:val="auto"/>
              <w:sz w:val="21"/>
            </w:rPr>
            <w:t>桩基承台设计</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_Toc199943612 \h </w:instrText>
          </w:r>
          <w:r>
            <w:rPr>
              <w:rFonts w:eastAsia="宋体"/>
              <w:b w:val="0"/>
              <w:i w:val="0"/>
              <w:color w:val="auto"/>
              <w:sz w:val="21"/>
            </w:rPr>
            <w:fldChar w:fldCharType="separate"/>
          </w:r>
          <w:r>
            <w:rPr>
              <w:rFonts w:eastAsia="宋体"/>
              <w:b w:val="0"/>
              <w:i w:val="0"/>
              <w:color w:val="auto"/>
              <w:sz w:val="21"/>
            </w:rPr>
            <w:t>76</w:t>
          </w:r>
          <w:r>
            <w:rPr>
              <w:rFonts w:eastAsia="宋体"/>
              <w:b w:val="0"/>
              <w:i w:val="0"/>
              <w:color w:val="auto"/>
              <w:sz w:val="21"/>
            </w:rPr>
            <w:fldChar w:fldCharType="end"/>
          </w:r>
          <w:r>
            <w:rPr>
              <w:rFonts w:eastAsia="宋体"/>
              <w:b w:val="0"/>
              <w:i w:val="0"/>
              <w:color w:val="auto"/>
              <w:sz w:val="21"/>
            </w:rPr>
            <w:fldChar w:fldCharType="end"/>
          </w:r>
        </w:p>
        <w:p w14:paraId="3961CBEC">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"_Toc199943613" </w:instrText>
          </w:r>
          <w:r>
            <w:rPr>
              <w:rFonts w:eastAsia="宋体"/>
              <w:b w:val="0"/>
              <w:i w:val="0"/>
              <w:color w:val="auto"/>
              <w:sz w:val="21"/>
            </w:rPr>
            <w:fldChar w:fldCharType="separate"/>
          </w:r>
          <w:r>
            <w:rPr>
              <w:rStyle w:val="40"/>
              <w:rFonts w:eastAsia="宋体"/>
              <w:b w:val="0"/>
              <w:i w:val="0"/>
              <w:color w:val="auto"/>
              <w:spacing w:val="8"/>
              <w:sz w:val="21"/>
            </w:rPr>
            <w:t>13</w:t>
          </w:r>
          <w:r>
            <w:rPr>
              <w:rFonts w:eastAsia="宋体" w:cstheme="minorBidi"/>
              <w:b w:val="0"/>
              <w:i w:val="0"/>
              <w:color w:val="auto"/>
              <w:kern w:val="2"/>
              <w:sz w:val="21"/>
            </w:rPr>
            <w:tab/>
          </w:r>
          <w:r>
            <w:rPr>
              <w:rStyle w:val="40"/>
              <w:rFonts w:hint="eastAsia" w:eastAsia="宋体"/>
              <w:b w:val="0"/>
              <w:bCs/>
              <w:i w:val="0"/>
              <w:color w:val="auto"/>
              <w:sz w:val="21"/>
            </w:rPr>
            <w:t>基</w:t>
          </w:r>
          <w:r>
            <w:rPr>
              <w:rStyle w:val="40"/>
              <w:rFonts w:eastAsia="宋体"/>
              <w:b w:val="0"/>
              <w:bCs/>
              <w:i w:val="0"/>
              <w:color w:val="auto"/>
              <w:sz w:val="21"/>
            </w:rPr>
            <w:t xml:space="preserve"> </w:t>
          </w:r>
          <w:r>
            <w:rPr>
              <w:rStyle w:val="40"/>
              <w:rFonts w:hint="eastAsia" w:eastAsia="宋体"/>
              <w:b w:val="0"/>
              <w:bCs/>
              <w:i w:val="0"/>
              <w:color w:val="auto"/>
              <w:sz w:val="21"/>
            </w:rPr>
            <w:t>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_Toc199943613 \h </w:instrText>
          </w:r>
          <w:r>
            <w:rPr>
              <w:rFonts w:eastAsia="宋体"/>
              <w:b w:val="0"/>
              <w:i w:val="0"/>
              <w:color w:val="auto"/>
              <w:sz w:val="21"/>
            </w:rPr>
            <w:fldChar w:fldCharType="separate"/>
          </w:r>
          <w:r>
            <w:rPr>
              <w:rFonts w:eastAsia="宋体"/>
              <w:b w:val="0"/>
              <w:i w:val="0"/>
              <w:color w:val="auto"/>
              <w:sz w:val="21"/>
            </w:rPr>
            <w:t>81</w:t>
          </w:r>
          <w:r>
            <w:rPr>
              <w:rFonts w:eastAsia="宋体"/>
              <w:b w:val="0"/>
              <w:i w:val="0"/>
              <w:color w:val="auto"/>
              <w:sz w:val="21"/>
            </w:rPr>
            <w:fldChar w:fldCharType="end"/>
          </w:r>
          <w:r>
            <w:rPr>
              <w:rFonts w:eastAsia="宋体"/>
              <w:b w:val="0"/>
              <w:i w:val="0"/>
              <w:color w:val="auto"/>
              <w:sz w:val="21"/>
            </w:rPr>
            <w:fldChar w:fldCharType="end"/>
          </w:r>
        </w:p>
        <w:p w14:paraId="5616838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"_Toc199943614" </w:instrText>
          </w:r>
          <w:r>
            <w:rPr>
              <w:rFonts w:eastAsia="宋体"/>
              <w:b w:val="0"/>
              <w:i w:val="0"/>
              <w:color w:val="auto"/>
              <w:sz w:val="21"/>
            </w:rPr>
            <w:fldChar w:fldCharType="separate"/>
          </w:r>
          <w:r>
            <w:rPr>
              <w:rStyle w:val="40"/>
              <w:rFonts w:eastAsia="宋体"/>
              <w:b w:val="0"/>
              <w:bCs/>
              <w:i w:val="0"/>
              <w:color w:val="auto"/>
              <w:sz w:val="21"/>
            </w:rPr>
            <w:t xml:space="preserve">13.1  </w:t>
          </w:r>
          <w:r>
            <w:rPr>
              <w:rStyle w:val="40"/>
              <w:rFonts w:hint="eastAsia" w:eastAsia="宋体"/>
              <w:b w:val="0"/>
              <w:bCs/>
              <w:i w:val="0"/>
              <w:color w:val="auto"/>
              <w:sz w:val="21"/>
            </w:rPr>
            <w:t>无筋扩展基础及扩展基础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_Toc199943614 \h </w:instrText>
          </w:r>
          <w:r>
            <w:rPr>
              <w:rFonts w:eastAsia="宋体"/>
              <w:b w:val="0"/>
              <w:i w:val="0"/>
              <w:color w:val="auto"/>
              <w:sz w:val="21"/>
            </w:rPr>
            <w:fldChar w:fldCharType="separate"/>
          </w:r>
          <w:r>
            <w:rPr>
              <w:rFonts w:eastAsia="宋体"/>
              <w:b w:val="0"/>
              <w:i w:val="0"/>
              <w:color w:val="auto"/>
              <w:sz w:val="21"/>
            </w:rPr>
            <w:t>81</w:t>
          </w:r>
          <w:r>
            <w:rPr>
              <w:rFonts w:eastAsia="宋体"/>
              <w:b w:val="0"/>
              <w:i w:val="0"/>
              <w:color w:val="auto"/>
              <w:sz w:val="21"/>
            </w:rPr>
            <w:fldChar w:fldCharType="end"/>
          </w:r>
          <w:r>
            <w:rPr>
              <w:rFonts w:eastAsia="宋体"/>
              <w:b w:val="0"/>
              <w:i w:val="0"/>
              <w:color w:val="auto"/>
              <w:sz w:val="21"/>
            </w:rPr>
            <w:fldChar w:fldCharType="end"/>
          </w:r>
        </w:p>
        <w:p w14:paraId="78DAF2C5">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"_Toc199943615" </w:instrText>
          </w:r>
          <w:r>
            <w:rPr>
              <w:rFonts w:eastAsia="宋体"/>
              <w:b w:val="0"/>
              <w:i w:val="0"/>
              <w:color w:val="auto"/>
              <w:sz w:val="21"/>
            </w:rPr>
            <w:fldChar w:fldCharType="separate"/>
          </w:r>
          <w:r>
            <w:rPr>
              <w:rStyle w:val="40"/>
              <w:rFonts w:eastAsia="宋体"/>
              <w:b w:val="0"/>
              <w:bCs/>
              <w:i w:val="0"/>
              <w:color w:val="auto"/>
              <w:sz w:val="21"/>
            </w:rPr>
            <w:t xml:space="preserve">13.2  </w:t>
          </w:r>
          <w:r>
            <w:rPr>
              <w:rStyle w:val="40"/>
              <w:rFonts w:hint="eastAsia" w:eastAsia="宋体"/>
              <w:b w:val="0"/>
              <w:bCs/>
              <w:i w:val="0"/>
              <w:color w:val="auto"/>
              <w:sz w:val="21"/>
            </w:rPr>
            <w:t>柱下条形基础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_Toc199943615 \h </w:instrText>
          </w:r>
          <w:r>
            <w:rPr>
              <w:rFonts w:eastAsia="宋体"/>
              <w:b w:val="0"/>
              <w:i w:val="0"/>
              <w:color w:val="auto"/>
              <w:sz w:val="21"/>
            </w:rPr>
            <w:fldChar w:fldCharType="separate"/>
          </w:r>
          <w:r>
            <w:rPr>
              <w:rFonts w:eastAsia="宋体"/>
              <w:b w:val="0"/>
              <w:i w:val="0"/>
              <w:color w:val="auto"/>
              <w:sz w:val="21"/>
            </w:rPr>
            <w:t>88</w:t>
          </w:r>
          <w:r>
            <w:rPr>
              <w:rFonts w:eastAsia="宋体"/>
              <w:b w:val="0"/>
              <w:i w:val="0"/>
              <w:color w:val="auto"/>
              <w:sz w:val="21"/>
            </w:rPr>
            <w:fldChar w:fldCharType="end"/>
          </w:r>
          <w:r>
            <w:rPr>
              <w:rFonts w:eastAsia="宋体"/>
              <w:b w:val="0"/>
              <w:i w:val="0"/>
              <w:color w:val="auto"/>
              <w:sz w:val="21"/>
            </w:rPr>
            <w:fldChar w:fldCharType="end"/>
          </w:r>
        </w:p>
        <w:p w14:paraId="6E61A2B1">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"_Toc199943616" </w:instrText>
          </w:r>
          <w:r>
            <w:rPr>
              <w:rFonts w:eastAsia="宋体"/>
              <w:b w:val="0"/>
              <w:i w:val="0"/>
              <w:color w:val="auto"/>
              <w:sz w:val="21"/>
            </w:rPr>
            <w:fldChar w:fldCharType="separate"/>
          </w:r>
          <w:r>
            <w:rPr>
              <w:rStyle w:val="40"/>
              <w:rFonts w:eastAsia="宋体"/>
              <w:b w:val="0"/>
              <w:bCs/>
              <w:i w:val="0"/>
              <w:color w:val="auto"/>
              <w:sz w:val="21"/>
            </w:rPr>
            <w:t xml:space="preserve">13.3  </w:t>
          </w:r>
          <w:r>
            <w:rPr>
              <w:rStyle w:val="40"/>
              <w:rFonts w:hint="eastAsia" w:eastAsia="宋体"/>
              <w:b w:val="0"/>
              <w:bCs/>
              <w:i w:val="0"/>
              <w:color w:val="auto"/>
              <w:sz w:val="21"/>
            </w:rPr>
            <w:t>筏基与桩筏基础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_Toc199943616 \h </w:instrText>
          </w:r>
          <w:r>
            <w:rPr>
              <w:rFonts w:eastAsia="宋体"/>
              <w:b w:val="0"/>
              <w:i w:val="0"/>
              <w:color w:val="auto"/>
              <w:sz w:val="21"/>
            </w:rPr>
            <w:fldChar w:fldCharType="separate"/>
          </w:r>
          <w:r>
            <w:rPr>
              <w:rFonts w:eastAsia="宋体"/>
              <w:b w:val="0"/>
              <w:i w:val="0"/>
              <w:color w:val="auto"/>
              <w:sz w:val="21"/>
            </w:rPr>
            <w:t>89</w:t>
          </w:r>
          <w:r>
            <w:rPr>
              <w:rFonts w:eastAsia="宋体"/>
              <w:b w:val="0"/>
              <w:i w:val="0"/>
              <w:color w:val="auto"/>
              <w:sz w:val="21"/>
            </w:rPr>
            <w:fldChar w:fldCharType="end"/>
          </w:r>
          <w:r>
            <w:rPr>
              <w:rFonts w:eastAsia="宋体"/>
              <w:b w:val="0"/>
              <w:i w:val="0"/>
              <w:color w:val="auto"/>
              <w:sz w:val="21"/>
            </w:rPr>
            <w:fldChar w:fldCharType="end"/>
          </w:r>
        </w:p>
        <w:p w14:paraId="43D9CEE8">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"_Toc199943617" </w:instrText>
          </w:r>
          <w:r>
            <w:rPr>
              <w:rFonts w:eastAsia="宋体"/>
              <w:b w:val="0"/>
              <w:i w:val="0"/>
              <w:color w:val="auto"/>
              <w:sz w:val="21"/>
            </w:rPr>
            <w:fldChar w:fldCharType="separate"/>
          </w:r>
          <w:r>
            <w:rPr>
              <w:rStyle w:val="40"/>
              <w:rFonts w:eastAsia="宋体"/>
              <w:b w:val="0"/>
              <w:bCs/>
              <w:i w:val="0"/>
              <w:color w:val="auto"/>
              <w:sz w:val="21"/>
            </w:rPr>
            <w:t xml:space="preserve">13.4  </w:t>
          </w:r>
          <w:r>
            <w:rPr>
              <w:rStyle w:val="40"/>
              <w:rFonts w:hint="eastAsia" w:eastAsia="宋体"/>
              <w:b w:val="0"/>
              <w:bCs/>
              <w:i w:val="0"/>
              <w:color w:val="auto"/>
              <w:sz w:val="21"/>
            </w:rPr>
            <w:t>地下室设计</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_Toc199943617 \h </w:instrText>
          </w:r>
          <w:r>
            <w:rPr>
              <w:rFonts w:eastAsia="宋体"/>
              <w:b w:val="0"/>
              <w:i w:val="0"/>
              <w:color w:val="auto"/>
              <w:sz w:val="21"/>
            </w:rPr>
            <w:fldChar w:fldCharType="separate"/>
          </w:r>
          <w:r>
            <w:rPr>
              <w:rFonts w:eastAsia="宋体"/>
              <w:b w:val="0"/>
              <w:i w:val="0"/>
              <w:color w:val="auto"/>
              <w:sz w:val="21"/>
            </w:rPr>
            <w:t>92</w:t>
          </w:r>
          <w:r>
            <w:rPr>
              <w:rFonts w:eastAsia="宋体"/>
              <w:b w:val="0"/>
              <w:i w:val="0"/>
              <w:color w:val="auto"/>
              <w:sz w:val="21"/>
            </w:rPr>
            <w:fldChar w:fldCharType="end"/>
          </w:r>
          <w:r>
            <w:rPr>
              <w:rFonts w:eastAsia="宋体"/>
              <w:b w:val="0"/>
              <w:i w:val="0"/>
              <w:color w:val="auto"/>
              <w:sz w:val="21"/>
            </w:rPr>
            <w:fldChar w:fldCharType="end"/>
          </w:r>
        </w:p>
        <w:p w14:paraId="75D8C773">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"_Toc199943618" </w:instrText>
          </w:r>
          <w:r>
            <w:rPr>
              <w:rFonts w:eastAsia="宋体"/>
              <w:b w:val="0"/>
              <w:i w:val="0"/>
              <w:color w:val="auto"/>
              <w:sz w:val="21"/>
            </w:rPr>
            <w:fldChar w:fldCharType="separate"/>
          </w:r>
          <w:r>
            <w:rPr>
              <w:rStyle w:val="40"/>
              <w:rFonts w:eastAsia="宋体"/>
              <w:b w:val="0"/>
              <w:bCs/>
              <w:i w:val="0"/>
              <w:color w:val="auto"/>
              <w:sz w:val="21"/>
            </w:rPr>
            <w:t xml:space="preserve">13.5  </w:t>
          </w:r>
          <w:r>
            <w:rPr>
              <w:rStyle w:val="40"/>
              <w:rFonts w:hint="eastAsia" w:eastAsia="宋体"/>
              <w:b w:val="0"/>
              <w:bCs/>
              <w:i w:val="0"/>
              <w:color w:val="auto"/>
              <w:sz w:val="21"/>
            </w:rPr>
            <w:t>地下建筑物抗浮设计</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_Toc199943618 \h </w:instrText>
          </w:r>
          <w:r>
            <w:rPr>
              <w:rFonts w:eastAsia="宋体"/>
              <w:b w:val="0"/>
              <w:i w:val="0"/>
              <w:color w:val="auto"/>
              <w:sz w:val="21"/>
            </w:rPr>
            <w:fldChar w:fldCharType="separate"/>
          </w:r>
          <w:r>
            <w:rPr>
              <w:rFonts w:eastAsia="宋体"/>
              <w:b w:val="0"/>
              <w:i w:val="0"/>
              <w:color w:val="auto"/>
              <w:sz w:val="21"/>
            </w:rPr>
            <w:t>94</w:t>
          </w:r>
          <w:r>
            <w:rPr>
              <w:rFonts w:eastAsia="宋体"/>
              <w:b w:val="0"/>
              <w:i w:val="0"/>
              <w:color w:val="auto"/>
              <w:sz w:val="21"/>
            </w:rPr>
            <w:fldChar w:fldCharType="end"/>
          </w:r>
          <w:r>
            <w:rPr>
              <w:rFonts w:eastAsia="宋体"/>
              <w:b w:val="0"/>
              <w:i w:val="0"/>
              <w:color w:val="auto"/>
              <w:sz w:val="21"/>
            </w:rPr>
            <w:fldChar w:fldCharType="end"/>
          </w:r>
        </w:p>
        <w:p w14:paraId="22E4E1D8">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"_Toc199943619" </w:instrText>
          </w:r>
          <w:r>
            <w:rPr>
              <w:rFonts w:eastAsia="宋体"/>
              <w:b w:val="0"/>
              <w:i w:val="0"/>
              <w:color w:val="auto"/>
              <w:sz w:val="21"/>
            </w:rPr>
            <w:fldChar w:fldCharType="separate"/>
          </w:r>
          <w:r>
            <w:rPr>
              <w:rStyle w:val="40"/>
              <w:rFonts w:eastAsia="宋体"/>
              <w:b w:val="0"/>
              <w:bCs/>
              <w:i w:val="0"/>
              <w:color w:val="auto"/>
              <w:sz w:val="21"/>
            </w:rPr>
            <w:t xml:space="preserve">13.6  </w:t>
          </w:r>
          <w:r>
            <w:rPr>
              <w:rStyle w:val="40"/>
              <w:rFonts w:hint="eastAsia" w:eastAsia="宋体"/>
              <w:b w:val="0"/>
              <w:bCs/>
              <w:i w:val="0"/>
              <w:color w:val="auto"/>
              <w:sz w:val="21"/>
            </w:rPr>
            <w:t>墩基础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_Toc199943619 \h </w:instrText>
          </w:r>
          <w:r>
            <w:rPr>
              <w:rFonts w:eastAsia="宋体"/>
              <w:b w:val="0"/>
              <w:i w:val="0"/>
              <w:color w:val="auto"/>
              <w:sz w:val="21"/>
            </w:rPr>
            <w:fldChar w:fldCharType="separate"/>
          </w:r>
          <w:r>
            <w:rPr>
              <w:rFonts w:eastAsia="宋体"/>
              <w:b w:val="0"/>
              <w:i w:val="0"/>
              <w:color w:val="auto"/>
              <w:sz w:val="21"/>
            </w:rPr>
            <w:t>95</w:t>
          </w:r>
          <w:r>
            <w:rPr>
              <w:rFonts w:eastAsia="宋体"/>
              <w:b w:val="0"/>
              <w:i w:val="0"/>
              <w:color w:val="auto"/>
              <w:sz w:val="21"/>
            </w:rPr>
            <w:fldChar w:fldCharType="end"/>
          </w:r>
          <w:r>
            <w:rPr>
              <w:rFonts w:eastAsia="宋体"/>
              <w:b w:val="0"/>
              <w:i w:val="0"/>
              <w:color w:val="auto"/>
              <w:sz w:val="21"/>
            </w:rPr>
            <w:fldChar w:fldCharType="end"/>
          </w:r>
        </w:p>
        <w:p w14:paraId="24CD715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"_Toc199943620" </w:instrText>
          </w:r>
          <w:r>
            <w:rPr>
              <w:rFonts w:eastAsia="宋体"/>
              <w:b w:val="0"/>
              <w:i w:val="0"/>
              <w:color w:val="auto"/>
              <w:sz w:val="21"/>
            </w:rPr>
            <w:fldChar w:fldCharType="separate"/>
          </w:r>
          <w:r>
            <w:rPr>
              <w:rStyle w:val="40"/>
              <w:rFonts w:eastAsia="宋体"/>
              <w:b w:val="0"/>
              <w:bCs/>
              <w:i w:val="0"/>
              <w:color w:val="auto"/>
              <w:sz w:val="21"/>
            </w:rPr>
            <w:t xml:space="preserve">13.7  </w:t>
          </w:r>
          <w:r>
            <w:rPr>
              <w:rStyle w:val="40"/>
              <w:rFonts w:hint="eastAsia" w:eastAsia="宋体"/>
              <w:b w:val="0"/>
              <w:bCs/>
              <w:i w:val="0"/>
              <w:color w:val="auto"/>
              <w:sz w:val="21"/>
            </w:rPr>
            <w:t>山区地基基础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_Toc199943620 \h </w:instrText>
          </w:r>
          <w:r>
            <w:rPr>
              <w:rFonts w:eastAsia="宋体"/>
              <w:b w:val="0"/>
              <w:i w:val="0"/>
              <w:color w:val="auto"/>
              <w:sz w:val="21"/>
            </w:rPr>
            <w:fldChar w:fldCharType="separate"/>
          </w:r>
          <w:r>
            <w:rPr>
              <w:rFonts w:eastAsia="宋体"/>
              <w:b w:val="0"/>
              <w:i w:val="0"/>
              <w:color w:val="auto"/>
              <w:sz w:val="21"/>
            </w:rPr>
            <w:t>96</w:t>
          </w:r>
          <w:r>
            <w:rPr>
              <w:rFonts w:eastAsia="宋体"/>
              <w:b w:val="0"/>
              <w:i w:val="0"/>
              <w:color w:val="auto"/>
              <w:sz w:val="21"/>
            </w:rPr>
            <w:fldChar w:fldCharType="end"/>
          </w:r>
          <w:r>
            <w:rPr>
              <w:rFonts w:eastAsia="宋体"/>
              <w:b w:val="0"/>
              <w:i w:val="0"/>
              <w:color w:val="auto"/>
              <w:sz w:val="21"/>
            </w:rPr>
            <w:fldChar w:fldCharType="end"/>
          </w:r>
        </w:p>
        <w:p w14:paraId="0B1EA822">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"_Toc199943621" </w:instrText>
          </w:r>
          <w:r>
            <w:rPr>
              <w:rFonts w:eastAsia="宋体"/>
              <w:b w:val="0"/>
              <w:i w:val="0"/>
              <w:color w:val="auto"/>
              <w:sz w:val="21"/>
            </w:rPr>
            <w:fldChar w:fldCharType="separate"/>
          </w:r>
          <w:r>
            <w:rPr>
              <w:rStyle w:val="40"/>
              <w:rFonts w:eastAsia="宋体"/>
              <w:b w:val="0"/>
              <w:i w:val="0"/>
              <w:snapToGrid w:val="0"/>
              <w:color w:val="auto"/>
              <w:spacing w:val="-2"/>
              <w:sz w:val="21"/>
            </w:rPr>
            <w:t>14</w:t>
          </w:r>
          <w:r>
            <w:rPr>
              <w:rFonts w:eastAsia="宋体" w:cstheme="minorBidi"/>
              <w:b w:val="0"/>
              <w:i w:val="0"/>
              <w:color w:val="auto"/>
              <w:kern w:val="2"/>
              <w:sz w:val="21"/>
            </w:rPr>
            <w:tab/>
          </w:r>
          <w:r>
            <w:rPr>
              <w:rStyle w:val="40"/>
              <w:rFonts w:hint="eastAsia" w:eastAsia="宋体"/>
              <w:b w:val="0"/>
              <w:bCs/>
              <w:i w:val="0"/>
              <w:color w:val="auto"/>
              <w:sz w:val="21"/>
            </w:rPr>
            <w:t>地基基础抗震设计要点</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_Toc199943621 \h </w:instrText>
          </w:r>
          <w:r>
            <w:rPr>
              <w:rFonts w:eastAsia="宋体"/>
              <w:b w:val="0"/>
              <w:i w:val="0"/>
              <w:color w:val="auto"/>
              <w:sz w:val="21"/>
            </w:rPr>
            <w:fldChar w:fldCharType="separate"/>
          </w:r>
          <w:r>
            <w:rPr>
              <w:rFonts w:eastAsia="宋体"/>
              <w:b w:val="0"/>
              <w:i w:val="0"/>
              <w:color w:val="auto"/>
              <w:sz w:val="21"/>
            </w:rPr>
            <w:t>97</w:t>
          </w:r>
          <w:r>
            <w:rPr>
              <w:rFonts w:eastAsia="宋体"/>
              <w:b w:val="0"/>
              <w:i w:val="0"/>
              <w:color w:val="auto"/>
              <w:sz w:val="21"/>
            </w:rPr>
            <w:fldChar w:fldCharType="end"/>
          </w:r>
          <w:r>
            <w:rPr>
              <w:rFonts w:eastAsia="宋体"/>
              <w:b w:val="0"/>
              <w:i w:val="0"/>
              <w:color w:val="auto"/>
              <w:sz w:val="21"/>
            </w:rPr>
            <w:fldChar w:fldCharType="end"/>
          </w:r>
        </w:p>
        <w:p w14:paraId="2BB1493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"_Toc199943622" </w:instrText>
          </w:r>
          <w:r>
            <w:rPr>
              <w:rFonts w:eastAsia="宋体"/>
              <w:b w:val="0"/>
              <w:i w:val="0"/>
              <w:color w:val="auto"/>
              <w:sz w:val="21"/>
            </w:rPr>
            <w:fldChar w:fldCharType="separate"/>
          </w:r>
          <w:r>
            <w:rPr>
              <w:rStyle w:val="40"/>
              <w:rFonts w:eastAsia="宋体"/>
              <w:b w:val="0"/>
              <w:bCs/>
              <w:i w:val="0"/>
              <w:color w:val="auto"/>
              <w:sz w:val="21"/>
            </w:rPr>
            <w:t xml:space="preserve">14.1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_Toc199943622 \h </w:instrText>
          </w:r>
          <w:r>
            <w:rPr>
              <w:rFonts w:eastAsia="宋体"/>
              <w:b w:val="0"/>
              <w:i w:val="0"/>
              <w:color w:val="auto"/>
              <w:sz w:val="21"/>
            </w:rPr>
            <w:fldChar w:fldCharType="separate"/>
          </w:r>
          <w:r>
            <w:rPr>
              <w:rFonts w:eastAsia="宋体"/>
              <w:b w:val="0"/>
              <w:i w:val="0"/>
              <w:color w:val="auto"/>
              <w:sz w:val="21"/>
            </w:rPr>
            <w:t>97</w:t>
          </w:r>
          <w:r>
            <w:rPr>
              <w:rFonts w:eastAsia="宋体"/>
              <w:b w:val="0"/>
              <w:i w:val="0"/>
              <w:color w:val="auto"/>
              <w:sz w:val="21"/>
            </w:rPr>
            <w:fldChar w:fldCharType="end"/>
          </w:r>
          <w:r>
            <w:rPr>
              <w:rFonts w:eastAsia="宋体"/>
              <w:b w:val="0"/>
              <w:i w:val="0"/>
              <w:color w:val="auto"/>
              <w:sz w:val="21"/>
            </w:rPr>
            <w:fldChar w:fldCharType="end"/>
          </w:r>
        </w:p>
        <w:p w14:paraId="1DD0B72F">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"_Toc199943623" </w:instrText>
          </w:r>
          <w:r>
            <w:rPr>
              <w:rFonts w:eastAsia="宋体"/>
              <w:b w:val="0"/>
              <w:i w:val="0"/>
              <w:color w:val="auto"/>
              <w:sz w:val="21"/>
            </w:rPr>
            <w:fldChar w:fldCharType="separate"/>
          </w:r>
          <w:r>
            <w:rPr>
              <w:rStyle w:val="40"/>
              <w:rFonts w:eastAsia="宋体"/>
              <w:b w:val="0"/>
              <w:bCs/>
              <w:i w:val="0"/>
              <w:color w:val="auto"/>
              <w:sz w:val="21"/>
            </w:rPr>
            <w:t xml:space="preserve">14.2  </w:t>
          </w:r>
          <w:r>
            <w:rPr>
              <w:rStyle w:val="40"/>
              <w:rFonts w:hint="eastAsia" w:eastAsia="宋体"/>
              <w:b w:val="0"/>
              <w:bCs/>
              <w:i w:val="0"/>
              <w:color w:val="auto"/>
              <w:sz w:val="21"/>
            </w:rPr>
            <w:t>天然地基和复合地基</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_Toc199943623 \h </w:instrText>
          </w:r>
          <w:r>
            <w:rPr>
              <w:rFonts w:eastAsia="宋体"/>
              <w:b w:val="0"/>
              <w:i w:val="0"/>
              <w:color w:val="auto"/>
              <w:sz w:val="21"/>
            </w:rPr>
            <w:fldChar w:fldCharType="separate"/>
          </w:r>
          <w:r>
            <w:rPr>
              <w:rFonts w:eastAsia="宋体"/>
              <w:b w:val="0"/>
              <w:i w:val="0"/>
              <w:color w:val="auto"/>
              <w:sz w:val="21"/>
            </w:rPr>
            <w:t>98</w:t>
          </w:r>
          <w:r>
            <w:rPr>
              <w:rFonts w:eastAsia="宋体"/>
              <w:b w:val="0"/>
              <w:i w:val="0"/>
              <w:color w:val="auto"/>
              <w:sz w:val="21"/>
            </w:rPr>
            <w:fldChar w:fldCharType="end"/>
          </w:r>
          <w:r>
            <w:rPr>
              <w:rFonts w:eastAsia="宋体"/>
              <w:b w:val="0"/>
              <w:i w:val="0"/>
              <w:color w:val="auto"/>
              <w:sz w:val="21"/>
            </w:rPr>
            <w:fldChar w:fldCharType="end"/>
          </w:r>
        </w:p>
        <w:p w14:paraId="4372C5D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"_Toc199943624" </w:instrText>
          </w:r>
          <w:r>
            <w:rPr>
              <w:rFonts w:eastAsia="宋体"/>
              <w:b w:val="0"/>
              <w:i w:val="0"/>
              <w:color w:val="auto"/>
              <w:sz w:val="21"/>
            </w:rPr>
            <w:fldChar w:fldCharType="separate"/>
          </w:r>
          <w:r>
            <w:rPr>
              <w:rStyle w:val="40"/>
              <w:rFonts w:eastAsia="宋体"/>
              <w:b w:val="0"/>
              <w:bCs/>
              <w:i w:val="0"/>
              <w:color w:val="auto"/>
              <w:sz w:val="21"/>
            </w:rPr>
            <w:t xml:space="preserve">14.3  </w:t>
          </w:r>
          <w:r>
            <w:rPr>
              <w:rStyle w:val="40"/>
              <w:rFonts w:hint="eastAsia" w:eastAsia="宋体"/>
              <w:b w:val="0"/>
              <w:bCs/>
              <w:i w:val="0"/>
              <w:color w:val="auto"/>
              <w:sz w:val="21"/>
            </w:rPr>
            <w:t>桩基础</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_Toc199943624 \h </w:instrText>
          </w:r>
          <w:r>
            <w:rPr>
              <w:rFonts w:eastAsia="宋体"/>
              <w:b w:val="0"/>
              <w:i w:val="0"/>
              <w:color w:val="auto"/>
              <w:sz w:val="21"/>
            </w:rPr>
            <w:fldChar w:fldCharType="separate"/>
          </w:r>
          <w:r>
            <w:rPr>
              <w:rFonts w:eastAsia="宋体"/>
              <w:b w:val="0"/>
              <w:i w:val="0"/>
              <w:color w:val="auto"/>
              <w:sz w:val="21"/>
            </w:rPr>
            <w:t>99</w:t>
          </w:r>
          <w:r>
            <w:rPr>
              <w:rFonts w:eastAsia="宋体"/>
              <w:b w:val="0"/>
              <w:i w:val="0"/>
              <w:color w:val="auto"/>
              <w:sz w:val="21"/>
            </w:rPr>
            <w:fldChar w:fldCharType="end"/>
          </w:r>
          <w:r>
            <w:rPr>
              <w:rFonts w:eastAsia="宋体"/>
              <w:b w:val="0"/>
              <w:i w:val="0"/>
              <w:color w:val="auto"/>
              <w:sz w:val="21"/>
            </w:rPr>
            <w:fldChar w:fldCharType="end"/>
          </w:r>
        </w:p>
        <w:p w14:paraId="6C0FEE64">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"_Toc199943625" </w:instrText>
          </w:r>
          <w:r>
            <w:rPr>
              <w:rFonts w:eastAsia="宋体"/>
              <w:b w:val="0"/>
              <w:i w:val="0"/>
              <w:color w:val="auto"/>
              <w:sz w:val="21"/>
            </w:rPr>
            <w:fldChar w:fldCharType="separate"/>
          </w:r>
          <w:r>
            <w:rPr>
              <w:rStyle w:val="40"/>
              <w:rFonts w:eastAsia="宋体"/>
              <w:b w:val="0"/>
              <w:bCs/>
              <w:i w:val="0"/>
              <w:color w:val="auto"/>
              <w:sz w:val="21"/>
            </w:rPr>
            <w:t xml:space="preserve">14.4  </w:t>
          </w:r>
          <w:r>
            <w:rPr>
              <w:rStyle w:val="40"/>
              <w:rFonts w:hint="eastAsia" w:eastAsia="宋体"/>
              <w:b w:val="0"/>
              <w:bCs/>
              <w:i w:val="0"/>
              <w:color w:val="auto"/>
              <w:sz w:val="21"/>
            </w:rPr>
            <w:t>抗震措施</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_Toc199943625 \h </w:instrText>
          </w:r>
          <w:r>
            <w:rPr>
              <w:rFonts w:eastAsia="宋体"/>
              <w:b w:val="0"/>
              <w:i w:val="0"/>
              <w:color w:val="auto"/>
              <w:sz w:val="21"/>
            </w:rPr>
            <w:fldChar w:fldCharType="separate"/>
          </w:r>
          <w:r>
            <w:rPr>
              <w:rFonts w:eastAsia="宋体"/>
              <w:b w:val="0"/>
              <w:i w:val="0"/>
              <w:color w:val="auto"/>
              <w:sz w:val="21"/>
            </w:rPr>
            <w:t>100</w:t>
          </w:r>
          <w:r>
            <w:rPr>
              <w:rFonts w:eastAsia="宋体"/>
              <w:b w:val="0"/>
              <w:i w:val="0"/>
              <w:color w:val="auto"/>
              <w:sz w:val="21"/>
            </w:rPr>
            <w:fldChar w:fldCharType="end"/>
          </w:r>
          <w:r>
            <w:rPr>
              <w:rFonts w:eastAsia="宋体"/>
              <w:b w:val="0"/>
              <w:i w:val="0"/>
              <w:color w:val="auto"/>
              <w:sz w:val="21"/>
            </w:rPr>
            <w:fldChar w:fldCharType="end"/>
          </w:r>
        </w:p>
        <w:p w14:paraId="4EFEABB1">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"_Toc199943626" </w:instrText>
          </w:r>
          <w:r>
            <w:rPr>
              <w:rFonts w:eastAsia="宋体"/>
              <w:b w:val="0"/>
              <w:i w:val="0"/>
              <w:color w:val="auto"/>
              <w:sz w:val="21"/>
            </w:rPr>
            <w:fldChar w:fldCharType="separate"/>
          </w:r>
          <w:r>
            <w:rPr>
              <w:rStyle w:val="40"/>
              <w:rFonts w:eastAsia="宋体"/>
              <w:b w:val="0"/>
              <w:i w:val="0"/>
              <w:snapToGrid w:val="0"/>
              <w:color w:val="auto"/>
              <w:sz w:val="21"/>
            </w:rPr>
            <w:t>15</w:t>
          </w:r>
          <w:r>
            <w:rPr>
              <w:rFonts w:eastAsia="宋体" w:cstheme="minorBidi"/>
              <w:b w:val="0"/>
              <w:i w:val="0"/>
              <w:color w:val="auto"/>
              <w:kern w:val="2"/>
              <w:sz w:val="21"/>
            </w:rPr>
            <w:tab/>
          </w:r>
          <w:r>
            <w:rPr>
              <w:rStyle w:val="40"/>
              <w:rFonts w:hint="eastAsia" w:eastAsia="宋体"/>
              <w:b w:val="0"/>
              <w:bCs/>
              <w:i w:val="0"/>
              <w:color w:val="auto"/>
              <w:sz w:val="21"/>
            </w:rPr>
            <w:t>地基基础施工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_Toc199943626 \h </w:instrText>
          </w:r>
          <w:r>
            <w:rPr>
              <w:rFonts w:eastAsia="宋体"/>
              <w:b w:val="0"/>
              <w:i w:val="0"/>
              <w:color w:val="auto"/>
              <w:sz w:val="21"/>
            </w:rPr>
            <w:fldChar w:fldCharType="separate"/>
          </w:r>
          <w:r>
            <w:rPr>
              <w:rFonts w:eastAsia="宋体"/>
              <w:b w:val="0"/>
              <w:i w:val="0"/>
              <w:color w:val="auto"/>
              <w:sz w:val="21"/>
            </w:rPr>
            <w:t>101</w:t>
          </w:r>
          <w:r>
            <w:rPr>
              <w:rFonts w:eastAsia="宋体"/>
              <w:b w:val="0"/>
              <w:i w:val="0"/>
              <w:color w:val="auto"/>
              <w:sz w:val="21"/>
            </w:rPr>
            <w:fldChar w:fldCharType="end"/>
          </w:r>
          <w:r>
            <w:rPr>
              <w:rFonts w:eastAsia="宋体"/>
              <w:b w:val="0"/>
              <w:i w:val="0"/>
              <w:color w:val="auto"/>
              <w:sz w:val="21"/>
            </w:rPr>
            <w:fldChar w:fldCharType="end"/>
          </w:r>
        </w:p>
        <w:p w14:paraId="6FD5BF96">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"_Toc199943627" </w:instrText>
          </w:r>
          <w:r>
            <w:rPr>
              <w:rFonts w:eastAsia="宋体"/>
              <w:b w:val="0"/>
              <w:i w:val="0"/>
              <w:color w:val="auto"/>
              <w:sz w:val="21"/>
            </w:rPr>
            <w:fldChar w:fldCharType="separate"/>
          </w:r>
          <w:r>
            <w:rPr>
              <w:rStyle w:val="40"/>
              <w:rFonts w:eastAsia="宋体"/>
              <w:b w:val="0"/>
              <w:bCs/>
              <w:i w:val="0"/>
              <w:color w:val="auto"/>
              <w:sz w:val="21"/>
            </w:rPr>
            <w:t xml:space="preserve">15.1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_Toc199943627 \h </w:instrText>
          </w:r>
          <w:r>
            <w:rPr>
              <w:rFonts w:eastAsia="宋体"/>
              <w:b w:val="0"/>
              <w:i w:val="0"/>
              <w:color w:val="auto"/>
              <w:sz w:val="21"/>
            </w:rPr>
            <w:fldChar w:fldCharType="separate"/>
          </w:r>
          <w:r>
            <w:rPr>
              <w:rFonts w:eastAsia="宋体"/>
              <w:b w:val="0"/>
              <w:i w:val="0"/>
              <w:color w:val="auto"/>
              <w:sz w:val="21"/>
            </w:rPr>
            <w:t>101</w:t>
          </w:r>
          <w:r>
            <w:rPr>
              <w:rFonts w:eastAsia="宋体"/>
              <w:b w:val="0"/>
              <w:i w:val="0"/>
              <w:color w:val="auto"/>
              <w:sz w:val="21"/>
            </w:rPr>
            <w:fldChar w:fldCharType="end"/>
          </w:r>
          <w:r>
            <w:rPr>
              <w:rFonts w:eastAsia="宋体"/>
              <w:b w:val="0"/>
              <w:i w:val="0"/>
              <w:color w:val="auto"/>
              <w:sz w:val="21"/>
            </w:rPr>
            <w:fldChar w:fldCharType="end"/>
          </w:r>
        </w:p>
        <w:p w14:paraId="3821053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"_Toc199943628" </w:instrText>
          </w:r>
          <w:r>
            <w:rPr>
              <w:rFonts w:eastAsia="宋体"/>
              <w:b w:val="0"/>
              <w:i w:val="0"/>
              <w:color w:val="auto"/>
              <w:sz w:val="21"/>
            </w:rPr>
            <w:fldChar w:fldCharType="separate"/>
          </w:r>
          <w:r>
            <w:rPr>
              <w:rStyle w:val="40"/>
              <w:rFonts w:eastAsia="宋体"/>
              <w:b w:val="0"/>
              <w:bCs/>
              <w:i w:val="0"/>
              <w:color w:val="auto"/>
              <w:sz w:val="21"/>
            </w:rPr>
            <w:t xml:space="preserve">15.2  </w:t>
          </w:r>
          <w:r>
            <w:rPr>
              <w:rStyle w:val="40"/>
              <w:rFonts w:hint="eastAsia" w:eastAsia="宋体"/>
              <w:b w:val="0"/>
              <w:bCs/>
              <w:i w:val="0"/>
              <w:color w:val="auto"/>
              <w:sz w:val="21"/>
            </w:rPr>
            <w:t>土方开挖</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_Toc199943628 \h </w:instrText>
          </w:r>
          <w:r>
            <w:rPr>
              <w:rFonts w:eastAsia="宋体"/>
              <w:b w:val="0"/>
              <w:i w:val="0"/>
              <w:color w:val="auto"/>
              <w:sz w:val="21"/>
            </w:rPr>
            <w:fldChar w:fldCharType="separate"/>
          </w:r>
          <w:r>
            <w:rPr>
              <w:rFonts w:eastAsia="宋体"/>
              <w:b w:val="0"/>
              <w:i w:val="0"/>
              <w:color w:val="auto"/>
              <w:sz w:val="21"/>
            </w:rPr>
            <w:t>102</w:t>
          </w:r>
          <w:r>
            <w:rPr>
              <w:rFonts w:eastAsia="宋体"/>
              <w:b w:val="0"/>
              <w:i w:val="0"/>
              <w:color w:val="auto"/>
              <w:sz w:val="21"/>
            </w:rPr>
            <w:fldChar w:fldCharType="end"/>
          </w:r>
          <w:r>
            <w:rPr>
              <w:rFonts w:eastAsia="宋体"/>
              <w:b w:val="0"/>
              <w:i w:val="0"/>
              <w:color w:val="auto"/>
              <w:sz w:val="21"/>
            </w:rPr>
            <w:fldChar w:fldCharType="end"/>
          </w:r>
        </w:p>
        <w:p w14:paraId="3F913600">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"_Toc199943629" </w:instrText>
          </w:r>
          <w:r>
            <w:rPr>
              <w:rFonts w:eastAsia="宋体"/>
              <w:b w:val="0"/>
              <w:i w:val="0"/>
              <w:color w:val="auto"/>
              <w:sz w:val="21"/>
            </w:rPr>
            <w:fldChar w:fldCharType="separate"/>
          </w:r>
          <w:r>
            <w:rPr>
              <w:rStyle w:val="40"/>
              <w:rFonts w:eastAsia="宋体"/>
              <w:b w:val="0"/>
              <w:bCs/>
              <w:i w:val="0"/>
              <w:color w:val="auto"/>
              <w:sz w:val="21"/>
            </w:rPr>
            <w:t xml:space="preserve">15.3  </w:t>
          </w:r>
          <w:r>
            <w:rPr>
              <w:rStyle w:val="40"/>
              <w:rFonts w:hint="eastAsia" w:eastAsia="宋体"/>
              <w:b w:val="0"/>
              <w:bCs/>
              <w:i w:val="0"/>
              <w:color w:val="auto"/>
              <w:sz w:val="21"/>
            </w:rPr>
            <w:t>大体积基础混凝土施工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_Toc199943629 \h </w:instrText>
          </w:r>
          <w:r>
            <w:rPr>
              <w:rFonts w:eastAsia="宋体"/>
              <w:b w:val="0"/>
              <w:i w:val="0"/>
              <w:color w:val="auto"/>
              <w:sz w:val="21"/>
            </w:rPr>
            <w:fldChar w:fldCharType="separate"/>
          </w:r>
          <w:r>
            <w:rPr>
              <w:rFonts w:eastAsia="宋体"/>
              <w:b w:val="0"/>
              <w:i w:val="0"/>
              <w:color w:val="auto"/>
              <w:sz w:val="21"/>
            </w:rPr>
            <w:t>103</w:t>
          </w:r>
          <w:r>
            <w:rPr>
              <w:rFonts w:eastAsia="宋体"/>
              <w:b w:val="0"/>
              <w:i w:val="0"/>
              <w:color w:val="auto"/>
              <w:sz w:val="21"/>
            </w:rPr>
            <w:fldChar w:fldCharType="end"/>
          </w:r>
          <w:r>
            <w:rPr>
              <w:rFonts w:eastAsia="宋体"/>
              <w:b w:val="0"/>
              <w:i w:val="0"/>
              <w:color w:val="auto"/>
              <w:sz w:val="21"/>
            </w:rPr>
            <w:fldChar w:fldCharType="end"/>
          </w:r>
        </w:p>
        <w:p w14:paraId="53A59C5F">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"_Toc199943630" </w:instrText>
          </w:r>
          <w:r>
            <w:rPr>
              <w:rFonts w:eastAsia="宋体"/>
              <w:b w:val="0"/>
              <w:i w:val="0"/>
              <w:color w:val="auto"/>
              <w:sz w:val="21"/>
            </w:rPr>
            <w:fldChar w:fldCharType="separate"/>
          </w:r>
          <w:r>
            <w:rPr>
              <w:rStyle w:val="40"/>
              <w:rFonts w:eastAsia="宋体"/>
              <w:b w:val="0"/>
              <w:bCs/>
              <w:i w:val="0"/>
              <w:color w:val="auto"/>
              <w:sz w:val="21"/>
            </w:rPr>
            <w:t xml:space="preserve">15.4  </w:t>
          </w:r>
          <w:r>
            <w:rPr>
              <w:rStyle w:val="40"/>
              <w:rFonts w:hint="eastAsia" w:eastAsia="宋体"/>
              <w:b w:val="0"/>
              <w:bCs/>
              <w:i w:val="0"/>
              <w:color w:val="auto"/>
              <w:sz w:val="21"/>
            </w:rPr>
            <w:t>钻孔灌注桩后压浆施工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_Toc199943630 \h </w:instrText>
          </w:r>
          <w:r>
            <w:rPr>
              <w:rFonts w:eastAsia="宋体"/>
              <w:b w:val="0"/>
              <w:i w:val="0"/>
              <w:color w:val="auto"/>
              <w:sz w:val="21"/>
            </w:rPr>
            <w:fldChar w:fldCharType="separate"/>
          </w:r>
          <w:r>
            <w:rPr>
              <w:rFonts w:eastAsia="宋体"/>
              <w:b w:val="0"/>
              <w:i w:val="0"/>
              <w:color w:val="auto"/>
              <w:sz w:val="21"/>
            </w:rPr>
            <w:t>104</w:t>
          </w:r>
          <w:r>
            <w:rPr>
              <w:rFonts w:eastAsia="宋体"/>
              <w:b w:val="0"/>
              <w:i w:val="0"/>
              <w:color w:val="auto"/>
              <w:sz w:val="21"/>
            </w:rPr>
            <w:fldChar w:fldCharType="end"/>
          </w:r>
          <w:r>
            <w:rPr>
              <w:rFonts w:eastAsia="宋体"/>
              <w:b w:val="0"/>
              <w:i w:val="0"/>
              <w:color w:val="auto"/>
              <w:sz w:val="21"/>
            </w:rPr>
            <w:fldChar w:fldCharType="end"/>
          </w:r>
        </w:p>
        <w:p w14:paraId="2F7B5077">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"_Toc199943631" </w:instrText>
          </w:r>
          <w:r>
            <w:rPr>
              <w:rFonts w:eastAsia="宋体"/>
              <w:b w:val="0"/>
              <w:i w:val="0"/>
              <w:color w:val="auto"/>
              <w:sz w:val="21"/>
            </w:rPr>
            <w:fldChar w:fldCharType="separate"/>
          </w:r>
          <w:r>
            <w:rPr>
              <w:rStyle w:val="40"/>
              <w:rFonts w:eastAsia="宋体"/>
              <w:b w:val="0"/>
              <w:bCs/>
              <w:i w:val="0"/>
              <w:color w:val="auto"/>
              <w:sz w:val="21"/>
            </w:rPr>
            <w:t xml:space="preserve">15.5  </w:t>
          </w:r>
          <w:r>
            <w:rPr>
              <w:rStyle w:val="40"/>
              <w:rFonts w:hint="eastAsia" w:eastAsia="宋体"/>
              <w:b w:val="0"/>
              <w:bCs/>
              <w:i w:val="0"/>
              <w:color w:val="auto"/>
              <w:sz w:val="21"/>
            </w:rPr>
            <w:t>长螺旋钻孔压灌桩施工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_Toc199943631 \h </w:instrText>
          </w:r>
          <w:r>
            <w:rPr>
              <w:rFonts w:eastAsia="宋体"/>
              <w:b w:val="0"/>
              <w:i w:val="0"/>
              <w:color w:val="auto"/>
              <w:sz w:val="21"/>
            </w:rPr>
            <w:fldChar w:fldCharType="separate"/>
          </w:r>
          <w:r>
            <w:rPr>
              <w:rFonts w:eastAsia="宋体"/>
              <w:b w:val="0"/>
              <w:i w:val="0"/>
              <w:color w:val="auto"/>
              <w:sz w:val="21"/>
            </w:rPr>
            <w:t>105</w:t>
          </w:r>
          <w:r>
            <w:rPr>
              <w:rFonts w:eastAsia="宋体"/>
              <w:b w:val="0"/>
              <w:i w:val="0"/>
              <w:color w:val="auto"/>
              <w:sz w:val="21"/>
            </w:rPr>
            <w:fldChar w:fldCharType="end"/>
          </w:r>
          <w:r>
            <w:rPr>
              <w:rFonts w:eastAsia="宋体"/>
              <w:b w:val="0"/>
              <w:i w:val="0"/>
              <w:color w:val="auto"/>
              <w:sz w:val="21"/>
            </w:rPr>
            <w:fldChar w:fldCharType="end"/>
          </w:r>
        </w:p>
        <w:p w14:paraId="2E3B7423">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"_Toc199943632" </w:instrText>
          </w:r>
          <w:r>
            <w:rPr>
              <w:rFonts w:eastAsia="宋体"/>
              <w:b w:val="0"/>
              <w:i w:val="0"/>
              <w:color w:val="auto"/>
              <w:sz w:val="21"/>
            </w:rPr>
            <w:fldChar w:fldCharType="separate"/>
          </w:r>
          <w:r>
            <w:rPr>
              <w:rStyle w:val="40"/>
              <w:rFonts w:eastAsia="宋体"/>
              <w:b w:val="0"/>
              <w:bCs/>
              <w:i w:val="0"/>
              <w:color w:val="auto"/>
              <w:sz w:val="21"/>
            </w:rPr>
            <w:t xml:space="preserve">15.6  </w:t>
          </w:r>
          <w:r>
            <w:rPr>
              <w:rStyle w:val="40"/>
              <w:rFonts w:hint="eastAsia" w:eastAsia="宋体"/>
              <w:b w:val="0"/>
              <w:bCs/>
              <w:i w:val="0"/>
              <w:color w:val="auto"/>
              <w:sz w:val="21"/>
            </w:rPr>
            <w:t>旋挖灌注桩施工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_Toc199943632 \h </w:instrText>
          </w:r>
          <w:r>
            <w:rPr>
              <w:rFonts w:eastAsia="宋体"/>
              <w:b w:val="0"/>
              <w:i w:val="0"/>
              <w:color w:val="auto"/>
              <w:sz w:val="21"/>
            </w:rPr>
            <w:fldChar w:fldCharType="separate"/>
          </w:r>
          <w:r>
            <w:rPr>
              <w:rFonts w:eastAsia="宋体"/>
              <w:b w:val="0"/>
              <w:i w:val="0"/>
              <w:color w:val="auto"/>
              <w:sz w:val="21"/>
            </w:rPr>
            <w:t>106</w:t>
          </w:r>
          <w:r>
            <w:rPr>
              <w:rFonts w:eastAsia="宋体"/>
              <w:b w:val="0"/>
              <w:i w:val="0"/>
              <w:color w:val="auto"/>
              <w:sz w:val="21"/>
            </w:rPr>
            <w:fldChar w:fldCharType="end"/>
          </w:r>
          <w:r>
            <w:rPr>
              <w:rFonts w:eastAsia="宋体"/>
              <w:b w:val="0"/>
              <w:i w:val="0"/>
              <w:color w:val="auto"/>
              <w:sz w:val="21"/>
            </w:rPr>
            <w:fldChar w:fldCharType="end"/>
          </w:r>
        </w:p>
        <w:p w14:paraId="2ED5E9FF">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"_Toc199943633" </w:instrText>
          </w:r>
          <w:r>
            <w:rPr>
              <w:rFonts w:eastAsia="宋体"/>
              <w:b w:val="0"/>
              <w:i w:val="0"/>
              <w:color w:val="auto"/>
              <w:sz w:val="21"/>
            </w:rPr>
            <w:fldChar w:fldCharType="separate"/>
          </w:r>
          <w:r>
            <w:rPr>
              <w:rStyle w:val="40"/>
              <w:rFonts w:eastAsia="宋体"/>
              <w:b w:val="0"/>
              <w:bCs/>
              <w:i w:val="0"/>
              <w:color w:val="auto"/>
              <w:sz w:val="21"/>
            </w:rPr>
            <w:t xml:space="preserve">15.7  </w:t>
          </w:r>
          <w:r>
            <w:rPr>
              <w:rStyle w:val="40"/>
              <w:rFonts w:hint="eastAsia" w:eastAsia="宋体"/>
              <w:b w:val="0"/>
              <w:bCs/>
              <w:i w:val="0"/>
              <w:color w:val="auto"/>
              <w:sz w:val="21"/>
            </w:rPr>
            <w:t>岩溶地质条件下的灌注桩施工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_Toc199943633 \h </w:instrText>
          </w:r>
          <w:r>
            <w:rPr>
              <w:rFonts w:eastAsia="宋体"/>
              <w:b w:val="0"/>
              <w:i w:val="0"/>
              <w:color w:val="auto"/>
              <w:sz w:val="21"/>
            </w:rPr>
            <w:fldChar w:fldCharType="separate"/>
          </w:r>
          <w:r>
            <w:rPr>
              <w:rFonts w:eastAsia="宋体"/>
              <w:b w:val="0"/>
              <w:i w:val="0"/>
              <w:color w:val="auto"/>
              <w:sz w:val="21"/>
            </w:rPr>
            <w:t>107</w:t>
          </w:r>
          <w:r>
            <w:rPr>
              <w:rFonts w:eastAsia="宋体"/>
              <w:b w:val="0"/>
              <w:i w:val="0"/>
              <w:color w:val="auto"/>
              <w:sz w:val="21"/>
            </w:rPr>
            <w:fldChar w:fldCharType="end"/>
          </w:r>
          <w:r>
            <w:rPr>
              <w:rFonts w:eastAsia="宋体"/>
              <w:b w:val="0"/>
              <w:i w:val="0"/>
              <w:color w:val="auto"/>
              <w:sz w:val="21"/>
            </w:rPr>
            <w:fldChar w:fldCharType="end"/>
          </w:r>
        </w:p>
        <w:p w14:paraId="43439A10">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"_Toc199943634" </w:instrText>
          </w:r>
          <w:r>
            <w:rPr>
              <w:rFonts w:eastAsia="宋体"/>
              <w:b w:val="0"/>
              <w:i w:val="0"/>
              <w:color w:val="auto"/>
              <w:sz w:val="21"/>
            </w:rPr>
            <w:fldChar w:fldCharType="separate"/>
          </w:r>
          <w:r>
            <w:rPr>
              <w:rStyle w:val="40"/>
              <w:rFonts w:eastAsia="宋体"/>
              <w:b w:val="0"/>
              <w:bCs/>
              <w:i w:val="0"/>
              <w:color w:val="auto"/>
              <w:sz w:val="21"/>
            </w:rPr>
            <w:t xml:space="preserve">15.8  </w:t>
          </w:r>
          <w:r>
            <w:rPr>
              <w:rStyle w:val="40"/>
              <w:rFonts w:hint="eastAsia" w:eastAsia="宋体"/>
              <w:b w:val="0"/>
              <w:bCs/>
              <w:i w:val="0"/>
              <w:color w:val="auto"/>
              <w:sz w:val="21"/>
            </w:rPr>
            <w:t>预制桩施工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_Toc199943634 \h </w:instrText>
          </w:r>
          <w:r>
            <w:rPr>
              <w:rFonts w:eastAsia="宋体"/>
              <w:b w:val="0"/>
              <w:i w:val="0"/>
              <w:color w:val="auto"/>
              <w:sz w:val="21"/>
            </w:rPr>
            <w:fldChar w:fldCharType="separate"/>
          </w:r>
          <w:r>
            <w:rPr>
              <w:rFonts w:eastAsia="宋体"/>
              <w:b w:val="0"/>
              <w:i w:val="0"/>
              <w:color w:val="auto"/>
              <w:sz w:val="21"/>
            </w:rPr>
            <w:t>108</w:t>
          </w:r>
          <w:r>
            <w:rPr>
              <w:rFonts w:eastAsia="宋体"/>
              <w:b w:val="0"/>
              <w:i w:val="0"/>
              <w:color w:val="auto"/>
              <w:sz w:val="21"/>
            </w:rPr>
            <w:fldChar w:fldCharType="end"/>
          </w:r>
          <w:r>
            <w:rPr>
              <w:rFonts w:eastAsia="宋体"/>
              <w:b w:val="0"/>
              <w:i w:val="0"/>
              <w:color w:val="auto"/>
              <w:sz w:val="21"/>
            </w:rPr>
            <w:fldChar w:fldCharType="end"/>
          </w:r>
        </w:p>
        <w:p w14:paraId="0AA1AFA3">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"_Toc199943635" </w:instrText>
          </w:r>
          <w:r>
            <w:rPr>
              <w:rFonts w:eastAsia="宋体"/>
              <w:b w:val="0"/>
              <w:i w:val="0"/>
              <w:color w:val="auto"/>
              <w:sz w:val="21"/>
            </w:rPr>
            <w:fldChar w:fldCharType="separate"/>
          </w:r>
          <w:r>
            <w:rPr>
              <w:rStyle w:val="40"/>
              <w:rFonts w:eastAsia="宋体"/>
              <w:b w:val="0"/>
              <w:bCs/>
              <w:i w:val="0"/>
              <w:color w:val="auto"/>
              <w:sz w:val="21"/>
            </w:rPr>
            <w:t xml:space="preserve">15.9  </w:t>
          </w:r>
          <w:r>
            <w:rPr>
              <w:rStyle w:val="40"/>
              <w:rFonts w:hint="eastAsia" w:eastAsia="宋体"/>
              <w:b w:val="0"/>
              <w:bCs/>
              <w:i w:val="0"/>
              <w:color w:val="auto"/>
              <w:sz w:val="21"/>
            </w:rPr>
            <w:t>山区地基施工</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_Toc199943635 \h </w:instrText>
          </w:r>
          <w:r>
            <w:rPr>
              <w:rFonts w:eastAsia="宋体"/>
              <w:b w:val="0"/>
              <w:i w:val="0"/>
              <w:color w:val="auto"/>
              <w:sz w:val="21"/>
            </w:rPr>
            <w:fldChar w:fldCharType="separate"/>
          </w:r>
          <w:r>
            <w:rPr>
              <w:rFonts w:eastAsia="宋体"/>
              <w:b w:val="0"/>
              <w:i w:val="0"/>
              <w:color w:val="auto"/>
              <w:sz w:val="21"/>
            </w:rPr>
            <w:t>109</w:t>
          </w:r>
          <w:r>
            <w:rPr>
              <w:rFonts w:eastAsia="宋体"/>
              <w:b w:val="0"/>
              <w:i w:val="0"/>
              <w:color w:val="auto"/>
              <w:sz w:val="21"/>
            </w:rPr>
            <w:fldChar w:fldCharType="end"/>
          </w:r>
          <w:r>
            <w:rPr>
              <w:rFonts w:eastAsia="宋体"/>
              <w:b w:val="0"/>
              <w:i w:val="0"/>
              <w:color w:val="auto"/>
              <w:sz w:val="21"/>
            </w:rPr>
            <w:fldChar w:fldCharType="end"/>
          </w:r>
        </w:p>
        <w:p w14:paraId="0851E081">
          <w:pPr>
            <w:pStyle w:val="30"/>
            <w:tabs>
              <w:tab w:val="left" w:pos="104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"_Toc199943636" </w:instrText>
          </w:r>
          <w:r>
            <w:rPr>
              <w:rFonts w:eastAsia="宋体"/>
              <w:b w:val="0"/>
              <w:i w:val="0"/>
              <w:color w:val="auto"/>
              <w:sz w:val="21"/>
            </w:rPr>
            <w:fldChar w:fldCharType="separate"/>
          </w:r>
          <w:r>
            <w:rPr>
              <w:rStyle w:val="40"/>
              <w:rFonts w:eastAsia="宋体"/>
              <w:b w:val="0"/>
              <w:bCs/>
              <w:i w:val="0"/>
              <w:color w:val="auto"/>
              <w:sz w:val="21"/>
            </w:rPr>
            <w:t>15.10</w:t>
          </w:r>
          <w:r>
            <w:rPr>
              <w:rFonts w:eastAsia="宋体" w:cstheme="minorBidi"/>
              <w:b w:val="0"/>
              <w:i w:val="0"/>
              <w:color w:val="auto"/>
              <w:kern w:val="2"/>
              <w:sz w:val="21"/>
            </w:rPr>
            <w:tab/>
          </w:r>
          <w:r>
            <w:rPr>
              <w:rStyle w:val="40"/>
              <w:rFonts w:hint="eastAsia" w:eastAsia="宋体"/>
              <w:b w:val="0"/>
              <w:bCs/>
              <w:i w:val="0"/>
              <w:color w:val="auto"/>
              <w:sz w:val="21"/>
            </w:rPr>
            <w:t>其他灌注桩施工要点</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_Toc199943636 \h </w:instrText>
          </w:r>
          <w:r>
            <w:rPr>
              <w:rFonts w:eastAsia="宋体"/>
              <w:b w:val="0"/>
              <w:i w:val="0"/>
              <w:color w:val="auto"/>
              <w:sz w:val="21"/>
            </w:rPr>
            <w:fldChar w:fldCharType="separate"/>
          </w:r>
          <w:r>
            <w:rPr>
              <w:rFonts w:eastAsia="宋体"/>
              <w:b w:val="0"/>
              <w:i w:val="0"/>
              <w:color w:val="auto"/>
              <w:sz w:val="21"/>
            </w:rPr>
            <w:t>110</w:t>
          </w:r>
          <w:r>
            <w:rPr>
              <w:rFonts w:eastAsia="宋体"/>
              <w:b w:val="0"/>
              <w:i w:val="0"/>
              <w:color w:val="auto"/>
              <w:sz w:val="21"/>
            </w:rPr>
            <w:fldChar w:fldCharType="end"/>
          </w:r>
          <w:r>
            <w:rPr>
              <w:rFonts w:eastAsia="宋体"/>
              <w:b w:val="0"/>
              <w:i w:val="0"/>
              <w:color w:val="auto"/>
              <w:sz w:val="21"/>
            </w:rPr>
            <w:fldChar w:fldCharType="end"/>
          </w:r>
        </w:p>
        <w:p w14:paraId="35B0B253">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"_Toc199943637" </w:instrText>
          </w:r>
          <w:r>
            <w:rPr>
              <w:rFonts w:eastAsia="宋体"/>
              <w:b w:val="0"/>
              <w:i w:val="0"/>
              <w:color w:val="auto"/>
              <w:sz w:val="21"/>
            </w:rPr>
            <w:fldChar w:fldCharType="separate"/>
          </w:r>
          <w:r>
            <w:rPr>
              <w:rStyle w:val="40"/>
              <w:rFonts w:eastAsia="宋体"/>
              <w:b w:val="0"/>
              <w:i w:val="0"/>
              <w:snapToGrid w:val="0"/>
              <w:color w:val="auto"/>
              <w:sz w:val="21"/>
            </w:rPr>
            <w:t>16</w:t>
          </w:r>
          <w:r>
            <w:rPr>
              <w:rFonts w:eastAsia="宋体" w:cstheme="minorBidi"/>
              <w:b w:val="0"/>
              <w:i w:val="0"/>
              <w:color w:val="auto"/>
              <w:kern w:val="2"/>
              <w:sz w:val="21"/>
            </w:rPr>
            <w:tab/>
          </w:r>
          <w:r>
            <w:rPr>
              <w:rStyle w:val="40"/>
              <w:rFonts w:hint="eastAsia" w:eastAsia="宋体"/>
              <w:b w:val="0"/>
              <w:bCs/>
              <w:i w:val="0"/>
              <w:color w:val="auto"/>
              <w:sz w:val="21"/>
            </w:rPr>
            <w:t>轨道交通工程与邻近建筑</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_Toc199943637 \h </w:instrText>
          </w:r>
          <w:r>
            <w:rPr>
              <w:rFonts w:eastAsia="宋体"/>
              <w:b w:val="0"/>
              <w:i w:val="0"/>
              <w:color w:val="auto"/>
              <w:sz w:val="21"/>
            </w:rPr>
            <w:fldChar w:fldCharType="separate"/>
          </w:r>
          <w:r>
            <w:rPr>
              <w:rFonts w:eastAsia="宋体"/>
              <w:b w:val="0"/>
              <w:i w:val="0"/>
              <w:color w:val="auto"/>
              <w:sz w:val="21"/>
            </w:rPr>
            <w:t>111</w:t>
          </w:r>
          <w:r>
            <w:rPr>
              <w:rFonts w:eastAsia="宋体"/>
              <w:b w:val="0"/>
              <w:i w:val="0"/>
              <w:color w:val="auto"/>
              <w:sz w:val="21"/>
            </w:rPr>
            <w:fldChar w:fldCharType="end"/>
          </w:r>
          <w:r>
            <w:rPr>
              <w:rFonts w:eastAsia="宋体"/>
              <w:b w:val="0"/>
              <w:i w:val="0"/>
              <w:color w:val="auto"/>
              <w:sz w:val="21"/>
            </w:rPr>
            <w:fldChar w:fldCharType="end"/>
          </w:r>
        </w:p>
        <w:p w14:paraId="755B2F8E">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"_Toc199943638" </w:instrText>
          </w:r>
          <w:r>
            <w:rPr>
              <w:rFonts w:eastAsia="宋体"/>
              <w:b w:val="0"/>
              <w:i w:val="0"/>
              <w:color w:val="auto"/>
              <w:sz w:val="21"/>
            </w:rPr>
            <w:fldChar w:fldCharType="separate"/>
          </w:r>
          <w:r>
            <w:rPr>
              <w:rStyle w:val="40"/>
              <w:rFonts w:eastAsia="宋体"/>
              <w:b w:val="0"/>
              <w:bCs/>
              <w:i w:val="0"/>
              <w:color w:val="auto"/>
              <w:sz w:val="21"/>
            </w:rPr>
            <w:t xml:space="preserve">16.1  </w:t>
          </w:r>
          <w:r>
            <w:rPr>
              <w:rStyle w:val="40"/>
              <w:rFonts w:hint="eastAsia" w:eastAsia="宋体"/>
              <w:b w:val="0"/>
              <w:bCs/>
              <w:i w:val="0"/>
              <w:color w:val="auto"/>
              <w:sz w:val="21"/>
            </w:rPr>
            <w:t>一般规定</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_Toc199943638 \h </w:instrText>
          </w:r>
          <w:r>
            <w:rPr>
              <w:rFonts w:eastAsia="宋体"/>
              <w:b w:val="0"/>
              <w:i w:val="0"/>
              <w:color w:val="auto"/>
              <w:sz w:val="21"/>
            </w:rPr>
            <w:fldChar w:fldCharType="separate"/>
          </w:r>
          <w:r>
            <w:rPr>
              <w:rFonts w:eastAsia="宋体"/>
              <w:b w:val="0"/>
              <w:i w:val="0"/>
              <w:color w:val="auto"/>
              <w:sz w:val="21"/>
            </w:rPr>
            <w:t>111</w:t>
          </w:r>
          <w:r>
            <w:rPr>
              <w:rFonts w:eastAsia="宋体"/>
              <w:b w:val="0"/>
              <w:i w:val="0"/>
              <w:color w:val="auto"/>
              <w:sz w:val="21"/>
            </w:rPr>
            <w:fldChar w:fldCharType="end"/>
          </w:r>
          <w:r>
            <w:rPr>
              <w:rFonts w:eastAsia="宋体"/>
              <w:b w:val="0"/>
              <w:i w:val="0"/>
              <w:color w:val="auto"/>
              <w:sz w:val="21"/>
            </w:rPr>
            <w:fldChar w:fldCharType="end"/>
          </w:r>
        </w:p>
        <w:p w14:paraId="14D2906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"_Toc199943639" </w:instrText>
          </w:r>
          <w:r>
            <w:rPr>
              <w:rFonts w:eastAsia="宋体"/>
              <w:b w:val="0"/>
              <w:i w:val="0"/>
              <w:color w:val="auto"/>
              <w:sz w:val="21"/>
            </w:rPr>
            <w:fldChar w:fldCharType="separate"/>
          </w:r>
          <w:r>
            <w:rPr>
              <w:rStyle w:val="40"/>
              <w:rFonts w:eastAsia="宋体"/>
              <w:b w:val="0"/>
              <w:bCs/>
              <w:i w:val="0"/>
              <w:color w:val="auto"/>
              <w:sz w:val="21"/>
            </w:rPr>
            <w:t xml:space="preserve">16.2 </w:t>
          </w:r>
          <w:r>
            <w:rPr>
              <w:rStyle w:val="40"/>
              <w:rFonts w:hint="eastAsia" w:eastAsia="宋体"/>
              <w:b w:val="0"/>
              <w:bCs/>
              <w:i w:val="0"/>
              <w:color w:val="auto"/>
              <w:sz w:val="21"/>
            </w:rPr>
            <w:t>工程勘察</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_Toc199943639 \h </w:instrText>
          </w:r>
          <w:r>
            <w:rPr>
              <w:rFonts w:eastAsia="宋体"/>
              <w:b w:val="0"/>
              <w:i w:val="0"/>
              <w:color w:val="auto"/>
              <w:sz w:val="21"/>
            </w:rPr>
            <w:fldChar w:fldCharType="separate"/>
          </w:r>
          <w:r>
            <w:rPr>
              <w:rFonts w:eastAsia="宋体"/>
              <w:b w:val="0"/>
              <w:i w:val="0"/>
              <w:color w:val="auto"/>
              <w:sz w:val="21"/>
            </w:rPr>
            <w:t>112</w:t>
          </w:r>
          <w:r>
            <w:rPr>
              <w:rFonts w:eastAsia="宋体"/>
              <w:b w:val="0"/>
              <w:i w:val="0"/>
              <w:color w:val="auto"/>
              <w:sz w:val="21"/>
            </w:rPr>
            <w:fldChar w:fldCharType="end"/>
          </w:r>
          <w:r>
            <w:rPr>
              <w:rFonts w:eastAsia="宋体"/>
              <w:b w:val="0"/>
              <w:i w:val="0"/>
              <w:color w:val="auto"/>
              <w:sz w:val="21"/>
            </w:rPr>
            <w:fldChar w:fldCharType="end"/>
          </w:r>
        </w:p>
        <w:p w14:paraId="479D212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"_Toc199943640" </w:instrText>
          </w:r>
          <w:r>
            <w:rPr>
              <w:rFonts w:eastAsia="宋体"/>
              <w:b w:val="0"/>
              <w:i w:val="0"/>
              <w:color w:val="auto"/>
              <w:sz w:val="21"/>
            </w:rPr>
            <w:fldChar w:fldCharType="separate"/>
          </w:r>
          <w:r>
            <w:rPr>
              <w:rStyle w:val="40"/>
              <w:rFonts w:eastAsia="宋体"/>
              <w:b w:val="0"/>
              <w:bCs/>
              <w:i w:val="0"/>
              <w:color w:val="auto"/>
              <w:sz w:val="21"/>
            </w:rPr>
            <w:t xml:space="preserve">16.3  </w:t>
          </w:r>
          <w:r>
            <w:rPr>
              <w:rStyle w:val="40"/>
              <w:rFonts w:hint="eastAsia" w:eastAsia="宋体"/>
              <w:b w:val="0"/>
              <w:bCs/>
              <w:i w:val="0"/>
              <w:color w:val="auto"/>
              <w:sz w:val="21"/>
            </w:rPr>
            <w:t>轨道交通地下工程设计</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_Toc199943640 \h </w:instrText>
          </w:r>
          <w:r>
            <w:rPr>
              <w:rFonts w:eastAsia="宋体"/>
              <w:b w:val="0"/>
              <w:i w:val="0"/>
              <w:color w:val="auto"/>
              <w:sz w:val="21"/>
            </w:rPr>
            <w:fldChar w:fldCharType="separate"/>
          </w:r>
          <w:r>
            <w:rPr>
              <w:rFonts w:eastAsia="宋体"/>
              <w:b w:val="0"/>
              <w:i w:val="0"/>
              <w:color w:val="auto"/>
              <w:sz w:val="21"/>
            </w:rPr>
            <w:t>113</w:t>
          </w:r>
          <w:r>
            <w:rPr>
              <w:rFonts w:eastAsia="宋体"/>
              <w:b w:val="0"/>
              <w:i w:val="0"/>
              <w:color w:val="auto"/>
              <w:sz w:val="21"/>
            </w:rPr>
            <w:fldChar w:fldCharType="end"/>
          </w:r>
          <w:r>
            <w:rPr>
              <w:rFonts w:eastAsia="宋体"/>
              <w:b w:val="0"/>
              <w:i w:val="0"/>
              <w:color w:val="auto"/>
              <w:sz w:val="21"/>
            </w:rPr>
            <w:fldChar w:fldCharType="end"/>
          </w:r>
        </w:p>
        <w:p w14:paraId="111FC378">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"_Toc199943641" </w:instrText>
          </w:r>
          <w:r>
            <w:rPr>
              <w:rFonts w:eastAsia="宋体"/>
              <w:b w:val="0"/>
              <w:i w:val="0"/>
              <w:color w:val="auto"/>
              <w:sz w:val="21"/>
            </w:rPr>
            <w:fldChar w:fldCharType="separate"/>
          </w:r>
          <w:r>
            <w:rPr>
              <w:rStyle w:val="40"/>
              <w:rFonts w:eastAsia="宋体"/>
              <w:b w:val="0"/>
              <w:bCs/>
              <w:i w:val="0"/>
              <w:color w:val="auto"/>
              <w:sz w:val="21"/>
            </w:rPr>
            <w:t xml:space="preserve">16.4  </w:t>
          </w:r>
          <w:r>
            <w:rPr>
              <w:rStyle w:val="40"/>
              <w:rFonts w:hint="eastAsia" w:eastAsia="宋体"/>
              <w:b w:val="0"/>
              <w:bCs/>
              <w:i w:val="0"/>
              <w:color w:val="auto"/>
              <w:sz w:val="21"/>
            </w:rPr>
            <w:t>围护结构与桩基检测</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_Toc199943641 \h </w:instrText>
          </w:r>
          <w:r>
            <w:rPr>
              <w:rFonts w:eastAsia="宋体"/>
              <w:b w:val="0"/>
              <w:i w:val="0"/>
              <w:color w:val="auto"/>
              <w:sz w:val="21"/>
            </w:rPr>
            <w:fldChar w:fldCharType="separate"/>
          </w:r>
          <w:r>
            <w:rPr>
              <w:rFonts w:eastAsia="宋体"/>
              <w:b w:val="0"/>
              <w:i w:val="0"/>
              <w:color w:val="auto"/>
              <w:sz w:val="21"/>
            </w:rPr>
            <w:t>115</w:t>
          </w:r>
          <w:r>
            <w:rPr>
              <w:rFonts w:eastAsia="宋体"/>
              <w:b w:val="0"/>
              <w:i w:val="0"/>
              <w:color w:val="auto"/>
              <w:sz w:val="21"/>
            </w:rPr>
            <w:fldChar w:fldCharType="end"/>
          </w:r>
          <w:r>
            <w:rPr>
              <w:rFonts w:eastAsia="宋体"/>
              <w:b w:val="0"/>
              <w:i w:val="0"/>
              <w:color w:val="auto"/>
              <w:sz w:val="21"/>
            </w:rPr>
            <w:fldChar w:fldCharType="end"/>
          </w:r>
        </w:p>
        <w:p w14:paraId="43224AB0">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"_Toc199943642" </w:instrText>
          </w:r>
          <w:r>
            <w:rPr>
              <w:rFonts w:eastAsia="宋体"/>
              <w:b w:val="0"/>
              <w:i w:val="0"/>
              <w:color w:val="auto"/>
              <w:sz w:val="21"/>
            </w:rPr>
            <w:fldChar w:fldCharType="separate"/>
          </w:r>
          <w:r>
            <w:rPr>
              <w:rStyle w:val="40"/>
              <w:rFonts w:eastAsia="宋体"/>
              <w:b w:val="0"/>
              <w:bCs/>
              <w:i w:val="0"/>
              <w:color w:val="auto"/>
              <w:sz w:val="21"/>
            </w:rPr>
            <w:t xml:space="preserve">16.5 </w:t>
          </w:r>
          <w:r>
            <w:rPr>
              <w:rStyle w:val="40"/>
              <w:rFonts w:hint="eastAsia" w:eastAsia="宋体"/>
              <w:b w:val="0"/>
              <w:bCs/>
              <w:i w:val="0"/>
              <w:color w:val="auto"/>
              <w:sz w:val="21"/>
            </w:rPr>
            <w:t>规划控制</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_Toc199943642 \h </w:instrText>
          </w:r>
          <w:r>
            <w:rPr>
              <w:rFonts w:eastAsia="宋体"/>
              <w:b w:val="0"/>
              <w:i w:val="0"/>
              <w:color w:val="auto"/>
              <w:sz w:val="21"/>
            </w:rPr>
            <w:fldChar w:fldCharType="separate"/>
          </w:r>
          <w:r>
            <w:rPr>
              <w:rFonts w:eastAsia="宋体"/>
              <w:b w:val="0"/>
              <w:i w:val="0"/>
              <w:color w:val="auto"/>
              <w:sz w:val="21"/>
            </w:rPr>
            <w:t>115</w:t>
          </w:r>
          <w:r>
            <w:rPr>
              <w:rFonts w:eastAsia="宋体"/>
              <w:b w:val="0"/>
              <w:i w:val="0"/>
              <w:color w:val="auto"/>
              <w:sz w:val="21"/>
            </w:rPr>
            <w:fldChar w:fldCharType="end"/>
          </w:r>
          <w:r>
            <w:rPr>
              <w:rFonts w:eastAsia="宋体"/>
              <w:b w:val="0"/>
              <w:i w:val="0"/>
              <w:color w:val="auto"/>
              <w:sz w:val="21"/>
            </w:rPr>
            <w:fldChar w:fldCharType="end"/>
          </w:r>
        </w:p>
        <w:p w14:paraId="52356BF6">
          <w:pPr>
            <w:pStyle w:val="25"/>
            <w:tabs>
              <w:tab w:val="left" w:pos="590"/>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"_Toc199943643" </w:instrText>
          </w:r>
          <w:r>
            <w:rPr>
              <w:rFonts w:eastAsia="宋体"/>
              <w:b w:val="0"/>
              <w:i w:val="0"/>
              <w:color w:val="auto"/>
              <w:sz w:val="21"/>
            </w:rPr>
            <w:fldChar w:fldCharType="separate"/>
          </w:r>
          <w:r>
            <w:rPr>
              <w:rStyle w:val="40"/>
              <w:rFonts w:eastAsia="宋体"/>
              <w:b w:val="0"/>
              <w:bCs/>
              <w:i w:val="0"/>
              <w:color w:val="auto"/>
              <w:sz w:val="21"/>
            </w:rPr>
            <w:t>17</w:t>
          </w:r>
          <w:r>
            <w:rPr>
              <w:rFonts w:eastAsia="宋体" w:cstheme="minorBidi"/>
              <w:b w:val="0"/>
              <w:i w:val="0"/>
              <w:color w:val="auto"/>
              <w:kern w:val="2"/>
              <w:sz w:val="21"/>
            </w:rPr>
            <w:tab/>
          </w:r>
          <w:r>
            <w:rPr>
              <w:rStyle w:val="40"/>
              <w:rFonts w:hint="eastAsia" w:eastAsia="宋体"/>
              <w:b w:val="0"/>
              <w:bCs/>
              <w:i w:val="0"/>
              <w:color w:val="auto"/>
              <w:sz w:val="21"/>
            </w:rPr>
            <w:t>检测与监测</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_Toc199943643 \h </w:instrText>
          </w:r>
          <w:r>
            <w:rPr>
              <w:rFonts w:eastAsia="宋体"/>
              <w:b w:val="0"/>
              <w:i w:val="0"/>
              <w:color w:val="auto"/>
              <w:sz w:val="21"/>
            </w:rPr>
            <w:fldChar w:fldCharType="separate"/>
          </w:r>
          <w:r>
            <w:rPr>
              <w:rFonts w:eastAsia="宋体"/>
              <w:b w:val="0"/>
              <w:i w:val="0"/>
              <w:color w:val="auto"/>
              <w:sz w:val="21"/>
            </w:rPr>
            <w:t>116</w:t>
          </w:r>
          <w:r>
            <w:rPr>
              <w:rFonts w:eastAsia="宋体"/>
              <w:b w:val="0"/>
              <w:i w:val="0"/>
              <w:color w:val="auto"/>
              <w:sz w:val="21"/>
            </w:rPr>
            <w:fldChar w:fldCharType="end"/>
          </w:r>
          <w:r>
            <w:rPr>
              <w:rFonts w:eastAsia="宋体"/>
              <w:b w:val="0"/>
              <w:i w:val="0"/>
              <w:color w:val="auto"/>
              <w:sz w:val="21"/>
            </w:rPr>
            <w:fldChar w:fldCharType="end"/>
          </w:r>
        </w:p>
        <w:p w14:paraId="3018B0D9">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"_Toc199943644" </w:instrText>
          </w:r>
          <w:r>
            <w:rPr>
              <w:rFonts w:eastAsia="宋体"/>
              <w:b w:val="0"/>
              <w:i w:val="0"/>
              <w:color w:val="auto"/>
              <w:sz w:val="21"/>
            </w:rPr>
            <w:fldChar w:fldCharType="separate"/>
          </w:r>
          <w:r>
            <w:rPr>
              <w:rStyle w:val="40"/>
              <w:rFonts w:eastAsia="宋体"/>
              <w:b w:val="0"/>
              <w:bCs/>
              <w:i w:val="0"/>
              <w:color w:val="auto"/>
              <w:sz w:val="21"/>
            </w:rPr>
            <w:t xml:space="preserve">17.1  </w:t>
          </w:r>
          <w:r>
            <w:rPr>
              <w:rStyle w:val="40"/>
              <w:rFonts w:hint="eastAsia" w:eastAsia="宋体"/>
              <w:b w:val="0"/>
              <w:bCs/>
              <w:i w:val="0"/>
              <w:color w:val="auto"/>
              <w:sz w:val="21"/>
            </w:rPr>
            <w:t>检</w:t>
          </w:r>
          <w:r>
            <w:rPr>
              <w:rStyle w:val="40"/>
              <w:rFonts w:eastAsia="宋体"/>
              <w:b w:val="0"/>
              <w:bCs/>
              <w:i w:val="0"/>
              <w:color w:val="auto"/>
              <w:sz w:val="21"/>
            </w:rPr>
            <w:t xml:space="preserve"> </w:t>
          </w:r>
          <w:r>
            <w:rPr>
              <w:rStyle w:val="40"/>
              <w:rFonts w:hint="eastAsia" w:eastAsia="宋体"/>
              <w:b w:val="0"/>
              <w:bCs/>
              <w:i w:val="0"/>
              <w:color w:val="auto"/>
              <w:sz w:val="21"/>
            </w:rPr>
            <w:t>测</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_Toc199943644 \h </w:instrText>
          </w:r>
          <w:r>
            <w:rPr>
              <w:rFonts w:eastAsia="宋体"/>
              <w:b w:val="0"/>
              <w:i w:val="0"/>
              <w:color w:val="auto"/>
              <w:sz w:val="21"/>
            </w:rPr>
            <w:fldChar w:fldCharType="separate"/>
          </w:r>
          <w:r>
            <w:rPr>
              <w:rFonts w:eastAsia="宋体"/>
              <w:b w:val="0"/>
              <w:i w:val="0"/>
              <w:color w:val="auto"/>
              <w:sz w:val="21"/>
            </w:rPr>
            <w:t>116</w:t>
          </w:r>
          <w:r>
            <w:rPr>
              <w:rFonts w:eastAsia="宋体"/>
              <w:b w:val="0"/>
              <w:i w:val="0"/>
              <w:color w:val="auto"/>
              <w:sz w:val="21"/>
            </w:rPr>
            <w:fldChar w:fldCharType="end"/>
          </w:r>
          <w:r>
            <w:rPr>
              <w:rFonts w:eastAsia="宋体"/>
              <w:b w:val="0"/>
              <w:i w:val="0"/>
              <w:color w:val="auto"/>
              <w:sz w:val="21"/>
            </w:rPr>
            <w:fldChar w:fldCharType="end"/>
          </w:r>
        </w:p>
        <w:p w14:paraId="13C7899B">
          <w:pPr>
            <w:pStyle w:val="30"/>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"_Toc199943645" </w:instrText>
          </w:r>
          <w:r>
            <w:rPr>
              <w:rFonts w:eastAsia="宋体"/>
              <w:b w:val="0"/>
              <w:i w:val="0"/>
              <w:color w:val="auto"/>
              <w:sz w:val="21"/>
            </w:rPr>
            <w:fldChar w:fldCharType="separate"/>
          </w:r>
          <w:r>
            <w:rPr>
              <w:rStyle w:val="40"/>
              <w:rFonts w:eastAsia="宋体"/>
              <w:b w:val="0"/>
              <w:bCs/>
              <w:i w:val="0"/>
              <w:color w:val="auto"/>
              <w:sz w:val="21"/>
            </w:rPr>
            <w:t xml:space="preserve">17.2  </w:t>
          </w:r>
          <w:r>
            <w:rPr>
              <w:rStyle w:val="40"/>
              <w:rFonts w:hint="eastAsia" w:eastAsia="宋体"/>
              <w:b w:val="0"/>
              <w:bCs/>
              <w:i w:val="0"/>
              <w:color w:val="auto"/>
              <w:sz w:val="21"/>
            </w:rPr>
            <w:t>监</w:t>
          </w:r>
          <w:r>
            <w:rPr>
              <w:rStyle w:val="40"/>
              <w:rFonts w:eastAsia="宋体"/>
              <w:b w:val="0"/>
              <w:bCs/>
              <w:i w:val="0"/>
              <w:color w:val="auto"/>
              <w:sz w:val="21"/>
            </w:rPr>
            <w:t xml:space="preserve"> </w:t>
          </w:r>
          <w:r>
            <w:rPr>
              <w:rStyle w:val="40"/>
              <w:rFonts w:hint="eastAsia" w:eastAsia="宋体"/>
              <w:b w:val="0"/>
              <w:bCs/>
              <w:i w:val="0"/>
              <w:color w:val="auto"/>
              <w:sz w:val="21"/>
            </w:rPr>
            <w:t>测</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_Toc199943645 \h </w:instrText>
          </w:r>
          <w:r>
            <w:rPr>
              <w:rFonts w:eastAsia="宋体"/>
              <w:b w:val="0"/>
              <w:i w:val="0"/>
              <w:color w:val="auto"/>
              <w:sz w:val="21"/>
            </w:rPr>
            <w:fldChar w:fldCharType="separate"/>
          </w:r>
          <w:r>
            <w:rPr>
              <w:rFonts w:eastAsia="宋体"/>
              <w:b w:val="0"/>
              <w:i w:val="0"/>
              <w:color w:val="auto"/>
              <w:sz w:val="21"/>
            </w:rPr>
            <w:t>118</w:t>
          </w:r>
          <w:r>
            <w:rPr>
              <w:rFonts w:eastAsia="宋体"/>
              <w:b w:val="0"/>
              <w:i w:val="0"/>
              <w:color w:val="auto"/>
              <w:sz w:val="21"/>
            </w:rPr>
            <w:fldChar w:fldCharType="end"/>
          </w:r>
          <w:r>
            <w:rPr>
              <w:rFonts w:eastAsia="宋体"/>
              <w:b w:val="0"/>
              <w:i w:val="0"/>
              <w:color w:val="auto"/>
              <w:sz w:val="21"/>
            </w:rPr>
            <w:fldChar w:fldCharType="end"/>
          </w:r>
        </w:p>
        <w:p w14:paraId="60678549">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"_Toc199943646" </w:instrText>
          </w:r>
          <w:r>
            <w:rPr>
              <w:rFonts w:eastAsia="宋体"/>
              <w:b w:val="0"/>
              <w:i w:val="0"/>
              <w:color w:val="auto"/>
              <w:sz w:val="21"/>
            </w:rPr>
            <w:fldChar w:fldCharType="separate"/>
          </w:r>
          <w:r>
            <w:rPr>
              <w:rStyle w:val="40"/>
              <w:rFonts w:ascii="黑体" w:eastAsia="宋体"/>
              <w:b w:val="0"/>
              <w:bCs/>
              <w:i w:val="0"/>
              <w:color w:val="auto"/>
              <w:sz w:val="21"/>
            </w:rPr>
            <w:t xml:space="preserve">18  </w:t>
          </w:r>
          <w:r>
            <w:rPr>
              <w:rStyle w:val="40"/>
              <w:rFonts w:hint="eastAsia" w:ascii="黑体" w:eastAsia="宋体"/>
              <w:b w:val="0"/>
              <w:bCs/>
              <w:i w:val="0"/>
              <w:color w:val="auto"/>
              <w:sz w:val="21"/>
            </w:rPr>
            <w:t>标准的实施及评价</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_Toc199943646 \h </w:instrText>
          </w:r>
          <w:r>
            <w:rPr>
              <w:rFonts w:eastAsia="宋体"/>
              <w:b w:val="0"/>
              <w:i w:val="0"/>
              <w:color w:val="auto"/>
              <w:sz w:val="21"/>
            </w:rPr>
            <w:fldChar w:fldCharType="separate"/>
          </w:r>
          <w:r>
            <w:rPr>
              <w:rFonts w:eastAsia="宋体"/>
              <w:b w:val="0"/>
              <w:i w:val="0"/>
              <w:color w:val="auto"/>
              <w:sz w:val="21"/>
            </w:rPr>
            <w:t>119</w:t>
          </w:r>
          <w:r>
            <w:rPr>
              <w:rFonts w:eastAsia="宋体"/>
              <w:b w:val="0"/>
              <w:i w:val="0"/>
              <w:color w:val="auto"/>
              <w:sz w:val="21"/>
            </w:rPr>
            <w:fldChar w:fldCharType="end"/>
          </w:r>
          <w:r>
            <w:rPr>
              <w:rFonts w:eastAsia="宋体"/>
              <w:b w:val="0"/>
              <w:i w:val="0"/>
              <w:color w:val="auto"/>
              <w:sz w:val="21"/>
            </w:rPr>
            <w:fldChar w:fldCharType="end"/>
          </w:r>
        </w:p>
        <w:p w14:paraId="02E62BE1">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"_Toc199943647"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A</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"_Toc199943648"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"_Toc199943649" </w:instrText>
          </w:r>
          <w:r>
            <w:rPr>
              <w:rFonts w:eastAsia="宋体"/>
              <w:b w:val="0"/>
              <w:i w:val="0"/>
              <w:color w:val="auto"/>
              <w:sz w:val="21"/>
            </w:rPr>
            <w:fldChar w:fldCharType="separate"/>
          </w:r>
          <w:r>
            <w:rPr>
              <w:rStyle w:val="40"/>
              <w:rFonts w:hint="eastAsia" w:eastAsia="宋体"/>
              <w:b w:val="0"/>
              <w:i w:val="0"/>
              <w:color w:val="auto"/>
              <w:spacing w:val="8"/>
              <w:sz w:val="21"/>
            </w:rPr>
            <w:t>岩、土的现场鉴别</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_Toc199943649 \h </w:instrText>
          </w:r>
          <w:r>
            <w:rPr>
              <w:rFonts w:eastAsia="宋体"/>
              <w:b w:val="0"/>
              <w:i w:val="0"/>
              <w:color w:val="auto"/>
              <w:sz w:val="21"/>
            </w:rPr>
            <w:fldChar w:fldCharType="separate"/>
          </w:r>
          <w:r>
            <w:rPr>
              <w:rFonts w:eastAsia="宋体"/>
              <w:b w:val="0"/>
              <w:i w:val="0"/>
              <w:color w:val="auto"/>
              <w:sz w:val="21"/>
            </w:rPr>
            <w:t>120</w:t>
          </w:r>
          <w:r>
            <w:rPr>
              <w:rFonts w:eastAsia="宋体"/>
              <w:b w:val="0"/>
              <w:i w:val="0"/>
              <w:color w:val="auto"/>
              <w:sz w:val="21"/>
            </w:rPr>
            <w:fldChar w:fldCharType="end"/>
          </w:r>
          <w:r>
            <w:rPr>
              <w:rFonts w:eastAsia="宋体"/>
              <w:b w:val="0"/>
              <w:i w:val="0"/>
              <w:color w:val="auto"/>
              <w:sz w:val="21"/>
            </w:rPr>
            <w:fldChar w:fldCharType="end"/>
          </w:r>
        </w:p>
        <w:p w14:paraId="62F2D528">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"_Toc199943650"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B</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"_Toc199943651"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"_Toc199943652" </w:instrText>
          </w:r>
          <w:r>
            <w:rPr>
              <w:rFonts w:eastAsia="宋体"/>
              <w:b w:val="0"/>
              <w:i w:val="0"/>
              <w:color w:val="auto"/>
              <w:sz w:val="21"/>
            </w:rPr>
            <w:fldChar w:fldCharType="separate"/>
          </w:r>
          <w:r>
            <w:rPr>
              <w:rStyle w:val="40"/>
              <w:rFonts w:hint="eastAsia" w:eastAsia="宋体"/>
              <w:b w:val="0"/>
              <w:i w:val="0"/>
              <w:color w:val="auto"/>
              <w:spacing w:val="8"/>
              <w:sz w:val="21"/>
            </w:rPr>
            <w:t>岩土层剪切波速</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_Toc199943652 \h </w:instrText>
          </w:r>
          <w:r>
            <w:rPr>
              <w:rFonts w:eastAsia="宋体"/>
              <w:b w:val="0"/>
              <w:i w:val="0"/>
              <w:color w:val="auto"/>
              <w:sz w:val="21"/>
            </w:rPr>
            <w:fldChar w:fldCharType="separate"/>
          </w:r>
          <w:r>
            <w:rPr>
              <w:rFonts w:eastAsia="宋体"/>
              <w:b w:val="0"/>
              <w:i w:val="0"/>
              <w:color w:val="auto"/>
              <w:sz w:val="21"/>
            </w:rPr>
            <w:t>124</w:t>
          </w:r>
          <w:r>
            <w:rPr>
              <w:rFonts w:eastAsia="宋体"/>
              <w:b w:val="0"/>
              <w:i w:val="0"/>
              <w:color w:val="auto"/>
              <w:sz w:val="21"/>
            </w:rPr>
            <w:fldChar w:fldCharType="end"/>
          </w:r>
          <w:r>
            <w:rPr>
              <w:rFonts w:eastAsia="宋体"/>
              <w:b w:val="0"/>
              <w:i w:val="0"/>
              <w:color w:val="auto"/>
              <w:sz w:val="21"/>
            </w:rPr>
            <w:fldChar w:fldCharType="end"/>
          </w:r>
        </w:p>
        <w:p w14:paraId="7E9F6BDD">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"_Toc199943653"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C</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"_Toc199943654"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"_Toc199943655" </w:instrText>
          </w:r>
          <w:r>
            <w:rPr>
              <w:rFonts w:eastAsia="宋体"/>
              <w:b w:val="0"/>
              <w:i w:val="0"/>
              <w:color w:val="auto"/>
              <w:sz w:val="21"/>
            </w:rPr>
            <w:fldChar w:fldCharType="separate"/>
          </w:r>
          <w:r>
            <w:rPr>
              <w:rStyle w:val="40"/>
              <w:rFonts w:hint="eastAsia" w:eastAsia="宋体"/>
              <w:b w:val="0"/>
              <w:i w:val="0"/>
              <w:color w:val="auto"/>
              <w:spacing w:val="8"/>
              <w:sz w:val="21"/>
            </w:rPr>
            <w:t>抗剪强度指标</w:t>
          </w:r>
          <w:r>
            <w:rPr>
              <w:rStyle w:val="40"/>
              <w:rFonts w:eastAsia="宋体"/>
              <w:b w:val="0"/>
              <w:i w:val="0"/>
              <w:iCs/>
              <w:color w:val="auto"/>
              <w:spacing w:val="8"/>
              <w:sz w:val="21"/>
            </w:rPr>
            <w:t>c</w:t>
          </w:r>
          <w:r>
            <w:rPr>
              <w:rStyle w:val="40"/>
              <w:rFonts w:hint="eastAsia" w:eastAsia="宋体"/>
              <w:b w:val="0"/>
              <w:i w:val="0"/>
              <w:color w:val="auto"/>
              <w:spacing w:val="8"/>
              <w:sz w:val="21"/>
            </w:rPr>
            <w:t>、</w:t>
          </w:r>
          <w:r>
            <w:rPr>
              <w:rFonts w:eastAsia="宋体"/>
              <w:b w:val="0"/>
              <w:i w:val="0"/>
              <w:color w:val="auto"/>
              <w:spacing w:val="8"/>
              <w:position w:val="-10"/>
              <w:sz w:val="21"/>
            </w:rPr>
            <w:object>
              <v:shape id="_x0000_i1025" o:spt="75" type="#_x0000_t75" style="height:14.25pt;width:7.5pt;" o:ole="t" filled="f" o:preferrelative="t" stroked="f" coordsize="21600,21600">
                <v:path/>
                <v:fill on="f" focussize="0,0"/>
                <v:stroke on="f" joinstyle="miter"/>
                <v:imagedata r:id="rId12" o:title=""/>
                <o:lock v:ext="edit" aspectratio="t"/>
                <w10:wrap type="none"/>
                <w10:anchorlock/>
              </v:shape>
              <o:OLEObject Type="Embed" ProgID="Equation.DSMT4" ShapeID="_x0000_i1025" DrawAspect="Content" ObjectID="_1468075725" r:id="rId11">
                <o:LockedField>false</o:LockedField>
              </o:OLEObject>
            </w:object>
          </w:r>
          <w:r>
            <w:rPr>
              <w:rStyle w:val="40"/>
              <w:rFonts w:hint="eastAsia" w:eastAsia="宋体"/>
              <w:b w:val="0"/>
              <w:i w:val="0"/>
              <w:color w:val="auto"/>
              <w:spacing w:val="8"/>
              <w:sz w:val="21"/>
            </w:rPr>
            <w:t>的标准值</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_Toc199943655 \h </w:instrText>
          </w:r>
          <w:r>
            <w:rPr>
              <w:rFonts w:eastAsia="宋体"/>
              <w:b w:val="0"/>
              <w:i w:val="0"/>
              <w:color w:val="auto"/>
              <w:sz w:val="21"/>
            </w:rPr>
            <w:fldChar w:fldCharType="separate"/>
          </w:r>
          <w:r>
            <w:rPr>
              <w:rFonts w:eastAsia="宋体"/>
              <w:b w:val="0"/>
              <w:i w:val="0"/>
              <w:color w:val="auto"/>
              <w:sz w:val="21"/>
            </w:rPr>
            <w:t>125</w:t>
          </w:r>
          <w:r>
            <w:rPr>
              <w:rFonts w:eastAsia="宋体"/>
              <w:b w:val="0"/>
              <w:i w:val="0"/>
              <w:color w:val="auto"/>
              <w:sz w:val="21"/>
            </w:rPr>
            <w:fldChar w:fldCharType="end"/>
          </w:r>
          <w:r>
            <w:rPr>
              <w:rFonts w:eastAsia="宋体"/>
              <w:b w:val="0"/>
              <w:i w:val="0"/>
              <w:color w:val="auto"/>
              <w:sz w:val="21"/>
            </w:rPr>
            <w:fldChar w:fldCharType="end"/>
          </w:r>
        </w:p>
        <w:p w14:paraId="088553B8">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"_Toc199943656"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D</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"_Toc199943657"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"_Toc199943658" </w:instrText>
          </w:r>
          <w:r>
            <w:rPr>
              <w:rFonts w:eastAsia="宋体"/>
              <w:b w:val="0"/>
              <w:i w:val="0"/>
              <w:color w:val="auto"/>
              <w:sz w:val="21"/>
            </w:rPr>
            <w:fldChar w:fldCharType="separate"/>
          </w:r>
          <w:r>
            <w:rPr>
              <w:rStyle w:val="40"/>
              <w:rFonts w:hint="eastAsia" w:eastAsia="宋体"/>
              <w:b w:val="0"/>
              <w:i w:val="0"/>
              <w:color w:val="auto"/>
              <w:spacing w:val="8"/>
              <w:sz w:val="21"/>
            </w:rPr>
            <w:t>岩石单轴抗压强度试验要点</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_Toc199943658 \h </w:instrText>
          </w:r>
          <w:r>
            <w:rPr>
              <w:rFonts w:eastAsia="宋体"/>
              <w:b w:val="0"/>
              <w:i w:val="0"/>
              <w:color w:val="auto"/>
              <w:sz w:val="21"/>
            </w:rPr>
            <w:fldChar w:fldCharType="separate"/>
          </w:r>
          <w:r>
            <w:rPr>
              <w:rFonts w:eastAsia="宋体"/>
              <w:b w:val="0"/>
              <w:i w:val="0"/>
              <w:color w:val="auto"/>
              <w:sz w:val="21"/>
            </w:rPr>
            <w:t>127</w:t>
          </w:r>
          <w:r>
            <w:rPr>
              <w:rFonts w:eastAsia="宋体"/>
              <w:b w:val="0"/>
              <w:i w:val="0"/>
              <w:color w:val="auto"/>
              <w:sz w:val="21"/>
            </w:rPr>
            <w:fldChar w:fldCharType="end"/>
          </w:r>
          <w:r>
            <w:rPr>
              <w:rFonts w:eastAsia="宋体"/>
              <w:b w:val="0"/>
              <w:i w:val="0"/>
              <w:color w:val="auto"/>
              <w:sz w:val="21"/>
            </w:rPr>
            <w:fldChar w:fldCharType="end"/>
          </w:r>
        </w:p>
        <w:p w14:paraId="0FB62F88">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"_Toc199943659"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 xml:space="preserve"> E</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"_Toc199943660"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"_Toc199943661" </w:instrText>
          </w:r>
          <w:r>
            <w:rPr>
              <w:rFonts w:eastAsia="宋体"/>
              <w:b w:val="0"/>
              <w:i w:val="0"/>
              <w:color w:val="auto"/>
              <w:sz w:val="21"/>
            </w:rPr>
            <w:fldChar w:fldCharType="separate"/>
          </w:r>
          <w:r>
            <w:rPr>
              <w:rStyle w:val="40"/>
              <w:rFonts w:hint="eastAsia" w:eastAsia="宋体"/>
              <w:b w:val="0"/>
              <w:i w:val="0"/>
              <w:color w:val="auto"/>
              <w:spacing w:val="8"/>
              <w:sz w:val="21"/>
            </w:rPr>
            <w:t>岩土承载力特征值、压缩性指标</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_Toc199943661 \h </w:instrText>
          </w:r>
          <w:r>
            <w:rPr>
              <w:rFonts w:eastAsia="宋体"/>
              <w:b w:val="0"/>
              <w:i w:val="0"/>
              <w:color w:val="auto"/>
              <w:sz w:val="21"/>
            </w:rPr>
            <w:fldChar w:fldCharType="separate"/>
          </w:r>
          <w:r>
            <w:rPr>
              <w:rFonts w:eastAsia="宋体"/>
              <w:b w:val="0"/>
              <w:i w:val="0"/>
              <w:color w:val="auto"/>
              <w:sz w:val="21"/>
            </w:rPr>
            <w:t>128</w:t>
          </w:r>
          <w:r>
            <w:rPr>
              <w:rFonts w:eastAsia="宋体"/>
              <w:b w:val="0"/>
              <w:i w:val="0"/>
              <w:color w:val="auto"/>
              <w:sz w:val="21"/>
            </w:rPr>
            <w:fldChar w:fldCharType="end"/>
          </w:r>
          <w:r>
            <w:rPr>
              <w:rFonts w:eastAsia="宋体"/>
              <w:b w:val="0"/>
              <w:i w:val="0"/>
              <w:color w:val="auto"/>
              <w:sz w:val="21"/>
            </w:rPr>
            <w:fldChar w:fldCharType="end"/>
          </w:r>
        </w:p>
        <w:p w14:paraId="3885D242">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"_Toc199943662"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 xml:space="preserve"> F</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"_Toc199943663"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"_Toc199943664" </w:instrText>
          </w:r>
          <w:r>
            <w:rPr>
              <w:rFonts w:eastAsia="宋体"/>
              <w:b w:val="0"/>
              <w:i w:val="0"/>
              <w:color w:val="auto"/>
              <w:sz w:val="21"/>
            </w:rPr>
            <w:fldChar w:fldCharType="separate"/>
          </w:r>
          <w:r>
            <w:rPr>
              <w:rStyle w:val="40"/>
              <w:rFonts w:hint="eastAsia" w:eastAsia="宋体"/>
              <w:b w:val="0"/>
              <w:i w:val="0"/>
              <w:color w:val="auto"/>
              <w:spacing w:val="8"/>
              <w:sz w:val="21"/>
            </w:rPr>
            <w:t>桩侧土的摩阻力、桩端阻力特征值</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_Toc199943664 \h </w:instrText>
          </w:r>
          <w:r>
            <w:rPr>
              <w:rFonts w:eastAsia="宋体"/>
              <w:b w:val="0"/>
              <w:i w:val="0"/>
              <w:color w:val="auto"/>
              <w:sz w:val="21"/>
            </w:rPr>
            <w:fldChar w:fldCharType="separate"/>
          </w:r>
          <w:r>
            <w:rPr>
              <w:rFonts w:eastAsia="宋体"/>
              <w:b w:val="0"/>
              <w:i w:val="0"/>
              <w:color w:val="auto"/>
              <w:sz w:val="21"/>
            </w:rPr>
            <w:t>134</w:t>
          </w:r>
          <w:r>
            <w:rPr>
              <w:rFonts w:eastAsia="宋体"/>
              <w:b w:val="0"/>
              <w:i w:val="0"/>
              <w:color w:val="auto"/>
              <w:sz w:val="21"/>
            </w:rPr>
            <w:fldChar w:fldCharType="end"/>
          </w:r>
          <w:r>
            <w:rPr>
              <w:rFonts w:eastAsia="宋体"/>
              <w:b w:val="0"/>
              <w:i w:val="0"/>
              <w:color w:val="auto"/>
              <w:sz w:val="21"/>
            </w:rPr>
            <w:fldChar w:fldCharType="end"/>
          </w:r>
        </w:p>
        <w:p w14:paraId="4645152C">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"_Toc199943665"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eastAsia="宋体"/>
              <w:b w:val="0"/>
              <w:i w:val="0"/>
              <w:color w:val="auto"/>
              <w:spacing w:val="8"/>
              <w:sz w:val="21"/>
            </w:rPr>
            <w:t>G</w:t>
          </w:r>
          <w:r>
            <w:rPr>
              <w:rStyle w:val="40"/>
              <w:rFonts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"_Toc199943666" </w:instrText>
          </w:r>
          <w:r>
            <w:rPr>
              <w:rFonts w:eastAsia="宋体"/>
              <w:b w:val="0"/>
              <w:i w:val="0"/>
              <w:color w:val="auto"/>
              <w:sz w:val="21"/>
            </w:rPr>
            <w:fldChar w:fldCharType="separate"/>
          </w:r>
          <w:r>
            <w:rPr>
              <w:rStyle w:val="40"/>
              <w:rFonts w:hint="eastAsia" w:eastAsia="宋体"/>
              <w:b w:val="0"/>
              <w:i w:val="0"/>
              <w:color w:val="auto"/>
              <w:spacing w:val="8"/>
              <w:sz w:val="21"/>
            </w:rPr>
            <w:t>（资料性）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"_Toc199943667" </w:instrText>
          </w:r>
          <w:r>
            <w:rPr>
              <w:rFonts w:eastAsia="宋体"/>
              <w:b w:val="0"/>
              <w:i w:val="0"/>
              <w:color w:val="auto"/>
              <w:sz w:val="21"/>
            </w:rPr>
            <w:fldChar w:fldCharType="separate"/>
          </w:r>
          <w:r>
            <w:rPr>
              <w:rStyle w:val="40"/>
              <w:rFonts w:hint="eastAsia" w:eastAsia="宋体"/>
              <w:b w:val="0"/>
              <w:i w:val="0"/>
              <w:color w:val="auto"/>
              <w:spacing w:val="8"/>
              <w:sz w:val="21"/>
            </w:rPr>
            <w:t>附加应力系数</w:t>
          </w:r>
          <w:r>
            <w:rPr>
              <w:rFonts w:eastAsia="宋体"/>
              <w:b w:val="0"/>
              <w:i w:val="0"/>
              <w:color w:val="auto"/>
              <w:spacing w:val="8"/>
              <w:position w:val="-6"/>
              <w:sz w:val="21"/>
            </w:rPr>
            <w:object>
              <v:shape id="_x0000_i1026" o:spt="75" type="#_x0000_t75" style="height:11.25pt;width:11.2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Style w:val="40"/>
              <w:rFonts w:hint="eastAsia" w:eastAsia="宋体"/>
              <w:b w:val="0"/>
              <w:i w:val="0"/>
              <w:color w:val="auto"/>
              <w:spacing w:val="8"/>
              <w:sz w:val="21"/>
            </w:rPr>
            <w:t>、平均附加应力系数</w:t>
          </w:r>
          <w:r>
            <w:rPr>
              <w:rFonts w:eastAsia="宋体"/>
              <w:b w:val="0"/>
              <w:i w:val="0"/>
              <w:color w:val="auto"/>
              <w:spacing w:val="8"/>
              <w:position w:val="-6"/>
              <w:sz w:val="21"/>
            </w:rPr>
            <w:object>
              <v:shape id="_x0000_i1027" o:spt="75" type="#_x0000_t75" style="height:12.75pt;width:12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_Toc199943667 \h </w:instrText>
          </w:r>
          <w:r>
            <w:rPr>
              <w:rFonts w:eastAsia="宋体"/>
              <w:b w:val="0"/>
              <w:i w:val="0"/>
              <w:color w:val="auto"/>
              <w:sz w:val="21"/>
            </w:rPr>
            <w:fldChar w:fldCharType="separate"/>
          </w:r>
          <w:r>
            <w:rPr>
              <w:rFonts w:eastAsia="宋体"/>
              <w:b w:val="0"/>
              <w:i w:val="0"/>
              <w:color w:val="auto"/>
              <w:sz w:val="21"/>
            </w:rPr>
            <w:t>140</w:t>
          </w:r>
          <w:r>
            <w:rPr>
              <w:rFonts w:eastAsia="宋体"/>
              <w:b w:val="0"/>
              <w:i w:val="0"/>
              <w:color w:val="auto"/>
              <w:sz w:val="21"/>
            </w:rPr>
            <w:fldChar w:fldCharType="end"/>
          </w:r>
          <w:r>
            <w:rPr>
              <w:rFonts w:eastAsia="宋体"/>
              <w:b w:val="0"/>
              <w:i w:val="0"/>
              <w:color w:val="auto"/>
              <w:sz w:val="21"/>
            </w:rPr>
            <w:fldChar w:fldCharType="end"/>
          </w:r>
        </w:p>
        <w:p w14:paraId="1E171EF8">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"_Toc199943673" </w:instrText>
          </w:r>
          <w:r>
            <w:rPr>
              <w:rFonts w:eastAsia="宋体"/>
              <w:b w:val="0"/>
              <w:i w:val="0"/>
              <w:color w:val="auto"/>
              <w:sz w:val="21"/>
            </w:rPr>
            <w:fldChar w:fldCharType="separate"/>
          </w:r>
          <w:r>
            <w:rPr>
              <w:rStyle w:val="40"/>
              <w:rFonts w:hint="eastAsia" w:eastAsia="宋体"/>
              <w:b w:val="0"/>
              <w:i w:val="0"/>
              <w:color w:val="auto"/>
              <w:spacing w:val="8"/>
              <w:sz w:val="21"/>
            </w:rPr>
            <w:t>附录H</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"_Toc199943674"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"_Toc199943675" </w:instrText>
          </w:r>
          <w:r>
            <w:rPr>
              <w:rFonts w:eastAsia="宋体"/>
              <w:b w:val="0"/>
              <w:i w:val="0"/>
              <w:color w:val="auto"/>
              <w:sz w:val="21"/>
            </w:rPr>
            <w:fldChar w:fldCharType="separate"/>
          </w:r>
          <w:r>
            <w:rPr>
              <w:rStyle w:val="40"/>
              <w:rFonts w:hint="eastAsia" w:eastAsia="宋体"/>
              <w:b w:val="0"/>
              <w:i w:val="0"/>
              <w:color w:val="auto"/>
              <w:spacing w:val="8"/>
              <w:sz w:val="21"/>
            </w:rPr>
            <w:t>平板式筏基抗冲切计算</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_Toc199943675 \h </w:instrText>
          </w:r>
          <w:r>
            <w:rPr>
              <w:rFonts w:eastAsia="宋体"/>
              <w:b w:val="0"/>
              <w:i w:val="0"/>
              <w:color w:val="auto"/>
              <w:sz w:val="21"/>
            </w:rPr>
            <w:fldChar w:fldCharType="separate"/>
          </w:r>
          <w:r>
            <w:rPr>
              <w:rFonts w:eastAsia="宋体"/>
              <w:b w:val="0"/>
              <w:i w:val="0"/>
              <w:color w:val="auto"/>
              <w:sz w:val="21"/>
            </w:rPr>
            <w:t>149</w:t>
          </w:r>
          <w:r>
            <w:rPr>
              <w:rFonts w:eastAsia="宋体"/>
              <w:b w:val="0"/>
              <w:i w:val="0"/>
              <w:color w:val="auto"/>
              <w:sz w:val="21"/>
            </w:rPr>
            <w:fldChar w:fldCharType="end"/>
          </w:r>
          <w:r>
            <w:rPr>
              <w:rFonts w:eastAsia="宋体"/>
              <w:b w:val="0"/>
              <w:i w:val="0"/>
              <w:color w:val="auto"/>
              <w:sz w:val="21"/>
            </w:rPr>
            <w:fldChar w:fldCharType="end"/>
          </w:r>
        </w:p>
        <w:p w14:paraId="53F097E6">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"_Toc199943676" </w:instrText>
          </w:r>
          <w:r>
            <w:rPr>
              <w:rFonts w:eastAsia="宋体"/>
              <w:b w:val="0"/>
              <w:i w:val="0"/>
              <w:color w:val="auto"/>
              <w:sz w:val="21"/>
            </w:rPr>
            <w:fldChar w:fldCharType="separate"/>
          </w:r>
          <w:r>
            <w:rPr>
              <w:rStyle w:val="40"/>
              <w:rFonts w:hint="eastAsia" w:eastAsia="宋体"/>
              <w:b w:val="0"/>
              <w:i w:val="0"/>
              <w:color w:val="auto"/>
              <w:spacing w:val="8"/>
              <w:sz w:val="21"/>
            </w:rPr>
            <w:t>附录</w:t>
          </w:r>
          <w:r>
            <w:rPr>
              <w:rStyle w:val="40"/>
              <w:rFonts w:hint="eastAsia" w:eastAsia="宋体"/>
              <w:b w:val="0"/>
              <w:i w:val="0"/>
              <w:color w:val="auto"/>
              <w:spacing w:val="8"/>
              <w:sz w:val="21"/>
            </w:rPr>
            <w:fldChar w:fldCharType="end"/>
          </w:r>
          <w:r>
            <w:rPr>
              <w:rStyle w:val="40"/>
              <w:rFonts w:eastAsia="宋体"/>
              <w:b w:val="0"/>
              <w:i w:val="0"/>
              <w:color w:val="auto"/>
              <w:spacing w:val="8"/>
              <w:sz w:val="21"/>
            </w:rPr>
            <w:t>J</w:t>
          </w:r>
          <w:r>
            <w:rPr>
              <w:rFonts w:eastAsia="宋体"/>
              <w:b w:val="0"/>
              <w:i w:val="0"/>
              <w:color w:val="auto"/>
              <w:sz w:val="21"/>
            </w:rPr>
            <w:fldChar w:fldCharType="begin"/>
          </w:r>
          <w:r>
            <w:rPr>
              <w:rFonts w:eastAsia="宋体"/>
              <w:b w:val="0"/>
              <w:i w:val="0"/>
              <w:color w:val="auto"/>
              <w:sz w:val="21"/>
            </w:rPr>
            <w:instrText xml:space="preserve"> HYPERLINK \l "_Toc199943677"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"_Toc199943678" </w:instrText>
          </w:r>
          <w:r>
            <w:rPr>
              <w:rFonts w:eastAsia="宋体"/>
              <w:b w:val="0"/>
              <w:i w:val="0"/>
              <w:color w:val="auto"/>
              <w:sz w:val="21"/>
            </w:rPr>
            <w:fldChar w:fldCharType="separate"/>
          </w:r>
          <w:r>
            <w:rPr>
              <w:rStyle w:val="40"/>
              <w:rFonts w:hint="eastAsia" w:eastAsia="宋体"/>
              <w:b w:val="0"/>
              <w:i w:val="0"/>
              <w:color w:val="auto"/>
              <w:spacing w:val="8"/>
              <w:sz w:val="21"/>
            </w:rPr>
            <w:t>阶梯形承台及锥形承台斜截面受剪的截面宽度</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_Toc199943678 \h </w:instrText>
          </w:r>
          <w:r>
            <w:rPr>
              <w:rFonts w:eastAsia="宋体"/>
              <w:b w:val="0"/>
              <w:i w:val="0"/>
              <w:color w:val="auto"/>
              <w:sz w:val="21"/>
            </w:rPr>
            <w:fldChar w:fldCharType="separate"/>
          </w:r>
          <w:r>
            <w:rPr>
              <w:rFonts w:eastAsia="宋体"/>
              <w:b w:val="0"/>
              <w:i w:val="0"/>
              <w:color w:val="auto"/>
              <w:sz w:val="21"/>
            </w:rPr>
            <w:t>152</w:t>
          </w:r>
          <w:r>
            <w:rPr>
              <w:rFonts w:eastAsia="宋体"/>
              <w:b w:val="0"/>
              <w:i w:val="0"/>
              <w:color w:val="auto"/>
              <w:sz w:val="21"/>
            </w:rPr>
            <w:fldChar w:fldCharType="end"/>
          </w:r>
          <w:r>
            <w:rPr>
              <w:rFonts w:eastAsia="宋体"/>
              <w:b w:val="0"/>
              <w:i w:val="0"/>
              <w:color w:val="auto"/>
              <w:sz w:val="21"/>
            </w:rPr>
            <w:fldChar w:fldCharType="end"/>
          </w:r>
        </w:p>
        <w:p w14:paraId="108A80C1">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"_Toc199943679" </w:instrText>
          </w:r>
          <w:r>
            <w:rPr>
              <w:rFonts w:eastAsia="宋体"/>
              <w:b w:val="0"/>
              <w:i w:val="0"/>
              <w:color w:val="auto"/>
              <w:sz w:val="21"/>
            </w:rPr>
            <w:fldChar w:fldCharType="separate"/>
          </w:r>
          <w:r>
            <w:rPr>
              <w:rStyle w:val="40"/>
              <w:rFonts w:hint="eastAsia" w:eastAsia="宋体"/>
              <w:b w:val="0"/>
              <w:i w:val="0"/>
              <w:color w:val="auto"/>
              <w:spacing w:val="8"/>
              <w:sz w:val="21"/>
            </w:rPr>
            <w:t>附录K</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"_Toc199943680" </w:instrText>
          </w:r>
          <w:r>
            <w:rPr>
              <w:rFonts w:eastAsia="宋体"/>
              <w:b w:val="0"/>
              <w:i w:val="0"/>
              <w:color w:val="auto"/>
              <w:sz w:val="21"/>
            </w:rPr>
            <w:fldChar w:fldCharType="separate"/>
          </w:r>
          <w:r>
            <w:rPr>
              <w:rStyle w:val="40"/>
              <w:rFonts w:hint="eastAsia" w:eastAsia="宋体"/>
              <w:b w:val="0"/>
              <w:i w:val="0"/>
              <w:color w:val="auto"/>
              <w:spacing w:val="8"/>
              <w:sz w:val="21"/>
            </w:rPr>
            <w:t>（规范性）</w:t>
          </w:r>
          <w:r>
            <w:rPr>
              <w:rStyle w:val="40"/>
              <w:rFonts w:hint="eastAsia" w:eastAsia="宋体"/>
              <w:b w:val="0"/>
              <w:i w:val="0"/>
              <w:color w:val="auto"/>
              <w:spacing w:val="8"/>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"_Toc199943681" </w:instrText>
          </w:r>
          <w:r>
            <w:rPr>
              <w:rFonts w:eastAsia="宋体"/>
              <w:b w:val="0"/>
              <w:i w:val="0"/>
              <w:color w:val="auto"/>
              <w:sz w:val="21"/>
            </w:rPr>
            <w:fldChar w:fldCharType="separate"/>
          </w:r>
          <w:r>
            <w:rPr>
              <w:rStyle w:val="40"/>
              <w:rFonts w:hint="eastAsia" w:eastAsia="宋体"/>
              <w:b w:val="0"/>
              <w:i w:val="0"/>
              <w:color w:val="auto"/>
              <w:sz w:val="21"/>
            </w:rPr>
            <w:t>岩石点荷载试验</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_Toc199943681 \h </w:instrText>
          </w:r>
          <w:r>
            <w:rPr>
              <w:rFonts w:eastAsia="宋体"/>
              <w:b w:val="0"/>
              <w:i w:val="0"/>
              <w:color w:val="auto"/>
              <w:sz w:val="21"/>
            </w:rPr>
            <w:fldChar w:fldCharType="separate"/>
          </w:r>
          <w:r>
            <w:rPr>
              <w:rFonts w:eastAsia="宋体"/>
              <w:b w:val="0"/>
              <w:i w:val="0"/>
              <w:color w:val="auto"/>
              <w:sz w:val="21"/>
            </w:rPr>
            <w:t>153</w:t>
          </w:r>
          <w:r>
            <w:rPr>
              <w:rFonts w:eastAsia="宋体"/>
              <w:b w:val="0"/>
              <w:i w:val="0"/>
              <w:color w:val="auto"/>
              <w:sz w:val="21"/>
            </w:rPr>
            <w:fldChar w:fldCharType="end"/>
          </w:r>
          <w:r>
            <w:rPr>
              <w:rFonts w:eastAsia="宋体"/>
              <w:b w:val="0"/>
              <w:i w:val="0"/>
              <w:color w:val="auto"/>
              <w:sz w:val="21"/>
            </w:rPr>
            <w:fldChar w:fldCharType="end"/>
          </w:r>
        </w:p>
        <w:p w14:paraId="40AE41E8">
          <w:pPr>
            <w:pStyle w:val="25"/>
            <w:tabs>
              <w:tab w:val="right" w:leader="dot" w:pos="9175"/>
            </w:tabs>
            <w:rPr>
              <w:rFonts w:eastAsia="宋体" w:cstheme="minorBidi"/>
              <w:b w:val="0"/>
              <w:i w:val="0"/>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"_Toc199943682" </w:instrText>
          </w:r>
          <w:r>
            <w:rPr>
              <w:rFonts w:eastAsia="宋体"/>
              <w:b w:val="0"/>
              <w:i w:val="0"/>
              <w:color w:val="auto"/>
              <w:sz w:val="21"/>
            </w:rPr>
            <w:fldChar w:fldCharType="separate"/>
          </w:r>
          <w:r>
            <w:rPr>
              <w:rStyle w:val="40"/>
              <w:rFonts w:hint="eastAsia" w:ascii="黑体" w:eastAsia="宋体"/>
              <w:b w:val="0"/>
              <w:bCs/>
              <w:i w:val="0"/>
              <w:color w:val="auto"/>
              <w:sz w:val="21"/>
            </w:rPr>
            <w:t>附录L</w:t>
          </w:r>
          <w:r>
            <w:rPr>
              <w:rStyle w:val="40"/>
              <w:rFonts w:hint="eastAsia" w:ascii="黑体" w:eastAsia="宋体"/>
              <w:b w:val="0"/>
              <w:bCs/>
              <w:i w:val="0"/>
              <w:color w:val="auto"/>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"_Toc199943683" </w:instrText>
          </w:r>
          <w:r>
            <w:rPr>
              <w:rFonts w:eastAsia="宋体"/>
              <w:b w:val="0"/>
              <w:i w:val="0"/>
              <w:color w:val="auto"/>
              <w:sz w:val="21"/>
            </w:rPr>
            <w:fldChar w:fldCharType="separate"/>
          </w:r>
          <w:r>
            <w:rPr>
              <w:rStyle w:val="40"/>
              <w:rFonts w:ascii="黑体" w:eastAsia="宋体"/>
              <w:b w:val="0"/>
              <w:bCs/>
              <w:i w:val="0"/>
              <w:color w:val="auto"/>
              <w:sz w:val="21"/>
            </w:rPr>
            <w:t>(</w:t>
          </w:r>
          <w:r>
            <w:rPr>
              <w:rStyle w:val="40"/>
              <w:rFonts w:hint="eastAsia" w:ascii="黑体" w:eastAsia="宋体"/>
              <w:b w:val="0"/>
              <w:bCs/>
              <w:i w:val="0"/>
              <w:color w:val="auto"/>
              <w:sz w:val="21"/>
            </w:rPr>
            <w:t>资料性</w:t>
          </w:r>
          <w:r>
            <w:rPr>
              <w:rStyle w:val="40"/>
              <w:rFonts w:ascii="黑体" w:eastAsia="宋体"/>
              <w:b w:val="0"/>
              <w:bCs/>
              <w:i w:val="0"/>
              <w:color w:val="auto"/>
              <w:sz w:val="21"/>
            </w:rPr>
            <w:t>)</w:t>
          </w:r>
          <w:r>
            <w:rPr>
              <w:rStyle w:val="40"/>
              <w:rFonts w:ascii="黑体" w:eastAsia="宋体"/>
              <w:b w:val="0"/>
              <w:bCs/>
              <w:i w:val="0"/>
              <w:color w:val="auto"/>
              <w:sz w:val="21"/>
            </w:rPr>
            <w:fldChar w:fldCharType="end"/>
          </w:r>
          <w:r>
            <w:rPr>
              <w:rFonts w:eastAsia="宋体"/>
              <w:b w:val="0"/>
              <w:i w:val="0"/>
              <w:color w:val="auto"/>
              <w:sz w:val="21"/>
            </w:rPr>
            <w:fldChar w:fldCharType="begin"/>
          </w:r>
          <w:r>
            <w:rPr>
              <w:rFonts w:eastAsia="宋体"/>
              <w:b w:val="0"/>
              <w:i w:val="0"/>
              <w:color w:val="auto"/>
              <w:sz w:val="21"/>
            </w:rPr>
            <w:instrText xml:space="preserve"> HYPERLINK \l "_Toc199943684" </w:instrText>
          </w:r>
          <w:r>
            <w:rPr>
              <w:rFonts w:eastAsia="宋体"/>
              <w:b w:val="0"/>
              <w:i w:val="0"/>
              <w:color w:val="auto"/>
              <w:sz w:val="21"/>
            </w:rPr>
            <w:fldChar w:fldCharType="separate"/>
          </w:r>
          <w:r>
            <w:rPr>
              <w:rStyle w:val="40"/>
              <w:rFonts w:hint="eastAsia" w:ascii="黑体" w:eastAsia="宋体"/>
              <w:b w:val="0"/>
              <w:bCs/>
              <w:i w:val="0"/>
              <w:color w:val="auto"/>
              <w:sz w:val="21"/>
            </w:rPr>
            <w:t>湖北省地方标准实施信息及意见反馈表</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_Toc199943684 \h </w:instrText>
          </w:r>
          <w:r>
            <w:rPr>
              <w:rFonts w:eastAsia="宋体"/>
              <w:b w:val="0"/>
              <w:i w:val="0"/>
              <w:color w:val="auto"/>
              <w:sz w:val="21"/>
            </w:rPr>
            <w:fldChar w:fldCharType="separate"/>
          </w:r>
          <w:r>
            <w:rPr>
              <w:rFonts w:eastAsia="宋体"/>
              <w:b w:val="0"/>
              <w:i w:val="0"/>
              <w:color w:val="auto"/>
              <w:sz w:val="21"/>
            </w:rPr>
            <w:t>155</w:t>
          </w:r>
          <w:r>
            <w:rPr>
              <w:rFonts w:eastAsia="宋体"/>
              <w:b w:val="0"/>
              <w:i w:val="0"/>
              <w:color w:val="auto"/>
              <w:sz w:val="21"/>
            </w:rPr>
            <w:fldChar w:fldCharType="end"/>
          </w:r>
          <w:r>
            <w:rPr>
              <w:rFonts w:eastAsia="宋体"/>
              <w:b w:val="0"/>
              <w:i w:val="0"/>
              <w:color w:val="auto"/>
              <w:sz w:val="21"/>
            </w:rPr>
            <w:fldChar w:fldCharType="end"/>
          </w:r>
        </w:p>
        <w:p w14:paraId="6836521E">
          <w:pPr>
            <w:pStyle w:val="25"/>
            <w:tabs>
              <w:tab w:val="right" w:leader="dot" w:pos="9175"/>
            </w:tabs>
            <w:rPr>
              <w:rFonts w:cstheme="minorBidi"/>
              <w:color w:val="auto"/>
              <w:kern w:val="2"/>
              <w:sz w:val="21"/>
            </w:rPr>
          </w:pPr>
          <w:r>
            <w:rPr>
              <w:rFonts w:eastAsia="宋体"/>
              <w:b w:val="0"/>
              <w:i w:val="0"/>
              <w:color w:val="auto"/>
              <w:sz w:val="21"/>
            </w:rPr>
            <w:fldChar w:fldCharType="begin"/>
          </w:r>
          <w:r>
            <w:rPr>
              <w:rFonts w:eastAsia="宋体"/>
              <w:b w:val="0"/>
              <w:i w:val="0"/>
              <w:color w:val="auto"/>
              <w:sz w:val="21"/>
            </w:rPr>
            <w:instrText xml:space="preserve"> HYPERLINK \l "_Toc199943685" </w:instrText>
          </w:r>
          <w:r>
            <w:rPr>
              <w:rFonts w:eastAsia="宋体"/>
              <w:b w:val="0"/>
              <w:i w:val="0"/>
              <w:color w:val="auto"/>
              <w:sz w:val="21"/>
            </w:rPr>
            <w:fldChar w:fldCharType="separate"/>
          </w:r>
          <w:r>
            <w:rPr>
              <w:rStyle w:val="40"/>
              <w:rFonts w:hint="eastAsia" w:eastAsia="宋体"/>
              <w:b w:val="0"/>
              <w:i w:val="0"/>
              <w:color w:val="auto"/>
              <w:sz w:val="21"/>
            </w:rPr>
            <w:t>本文件用词说明</w:t>
          </w:r>
          <w:r>
            <w:rPr>
              <w:rFonts w:eastAsia="宋体"/>
              <w:b w:val="0"/>
              <w:i w:val="0"/>
              <w:color w:val="auto"/>
              <w:sz w:val="21"/>
            </w:rPr>
            <w:tab/>
          </w:r>
          <w:r>
            <w:rPr>
              <w:rFonts w:eastAsia="宋体"/>
              <w:b w:val="0"/>
              <w:i w:val="0"/>
              <w:color w:val="auto"/>
              <w:sz w:val="21"/>
            </w:rPr>
            <w:fldChar w:fldCharType="begin"/>
          </w:r>
          <w:r>
            <w:rPr>
              <w:rFonts w:eastAsia="宋体"/>
              <w:b w:val="0"/>
              <w:i w:val="0"/>
              <w:color w:val="auto"/>
              <w:sz w:val="21"/>
            </w:rPr>
            <w:instrText xml:space="preserve"> PAGEREF _Toc199943685 \h </w:instrText>
          </w:r>
          <w:r>
            <w:rPr>
              <w:rFonts w:eastAsia="宋体"/>
              <w:b w:val="0"/>
              <w:i w:val="0"/>
              <w:color w:val="auto"/>
              <w:sz w:val="21"/>
            </w:rPr>
            <w:fldChar w:fldCharType="separate"/>
          </w:r>
          <w:r>
            <w:rPr>
              <w:rFonts w:eastAsia="宋体"/>
              <w:b w:val="0"/>
              <w:i w:val="0"/>
              <w:color w:val="auto"/>
              <w:sz w:val="21"/>
            </w:rPr>
            <w:t>156</w:t>
          </w:r>
          <w:r>
            <w:rPr>
              <w:rFonts w:eastAsia="宋体"/>
              <w:b w:val="0"/>
              <w:i w:val="0"/>
              <w:color w:val="auto"/>
              <w:sz w:val="21"/>
            </w:rPr>
            <w:fldChar w:fldCharType="end"/>
          </w:r>
          <w:r>
            <w:rPr>
              <w:rFonts w:eastAsia="宋体"/>
              <w:b w:val="0"/>
              <w:i w:val="0"/>
              <w:color w:val="auto"/>
              <w:sz w:val="21"/>
            </w:rPr>
            <w:fldChar w:fldCharType="end"/>
          </w:r>
        </w:p>
        <w:p w14:paraId="048CD799">
          <w:pPr>
            <w:rPr>
              <w:b/>
              <w:bCs/>
              <w:color w:val="auto"/>
              <w:lang w:val="zh-CN"/>
            </w:rPr>
          </w:pPr>
          <w:r>
            <w:rPr>
              <w:rFonts w:ascii="宋体" w:hAnsi="宋体"/>
              <w:color w:val="auto"/>
              <w:szCs w:val="21"/>
              <w:lang w:val="zh-CN"/>
            </w:rPr>
            <w:fldChar w:fldCharType="end"/>
          </w:r>
          <w:r>
            <w:rPr>
              <w:rFonts w:ascii="宋体" w:hAnsi="宋体"/>
              <w:color w:val="auto"/>
              <w:szCs w:val="21"/>
              <w:lang w:val="zh-CN"/>
            </w:rPr>
            <w:t>条文说明</w:t>
          </w:r>
        </w:p>
      </w:sdtContent>
    </w:sdt>
    <w:p w14:paraId="6213200E">
      <w:pPr>
        <w:rPr>
          <w:color w:val="auto"/>
        </w:rPr>
      </w:pPr>
      <w:r>
        <w:rPr>
          <w:color w:val="auto"/>
        </w:rPr>
        <w:br w:type="page"/>
      </w:r>
    </w:p>
    <w:p w14:paraId="62905679">
      <w:pPr>
        <w:adjustRightInd w:val="0"/>
        <w:snapToGrid w:val="0"/>
        <w:jc w:val="center"/>
        <w:outlineLvl w:val="0"/>
        <w:rPr>
          <w:rFonts w:eastAsia="黑体"/>
          <w:b w:val="0"/>
          <w:bCs/>
          <w:color w:val="auto"/>
          <w:sz w:val="32"/>
        </w:rPr>
      </w:pPr>
      <w:bookmarkStart w:id="2" w:name="_Toc199943566"/>
      <w:r>
        <w:rPr>
          <w:rFonts w:eastAsia="黑体"/>
          <w:b w:val="0"/>
          <w:bCs/>
          <w:color w:val="auto"/>
          <w:sz w:val="32"/>
        </w:rPr>
        <w:t>前</w:t>
      </w:r>
      <w:r>
        <w:rPr>
          <w:rFonts w:hint="eastAsia" w:eastAsia="黑体"/>
          <w:b w:val="0"/>
          <w:bCs/>
          <w:color w:val="auto"/>
          <w:sz w:val="32"/>
        </w:rPr>
        <w:t xml:space="preserve"> </w:t>
      </w:r>
      <w:r>
        <w:rPr>
          <w:rFonts w:eastAsia="黑体"/>
          <w:b w:val="0"/>
          <w:bCs/>
          <w:color w:val="auto"/>
          <w:sz w:val="32"/>
        </w:rPr>
        <w:t xml:space="preserve">   言</w:t>
      </w:r>
      <w:bookmarkEnd w:id="2"/>
    </w:p>
    <w:p w14:paraId="39F84629">
      <w:pPr>
        <w:rPr>
          <w:color w:val="auto"/>
        </w:rPr>
      </w:pPr>
    </w:p>
    <w:p w14:paraId="651CAAFD">
      <w:pPr>
        <w:ind w:firstLine="420" w:firstLineChars="200"/>
        <w:rPr>
          <w:rFonts w:hint="eastAsia" w:eastAsia="宋体"/>
          <w:color w:val="auto"/>
          <w:lang w:val="en-US" w:eastAsia="zh-CN"/>
        </w:rPr>
      </w:pPr>
      <w:r>
        <w:rPr>
          <w:rFonts w:hint="eastAsia"/>
          <w:color w:val="auto"/>
          <w:lang w:val="en-US" w:eastAsia="zh-CN"/>
        </w:rPr>
        <w:t>本文件</w:t>
      </w:r>
      <w:r>
        <w:rPr>
          <w:rFonts w:hint="eastAsia"/>
          <w:color w:val="auto"/>
        </w:rPr>
        <w:t>按照GB/T 1.1—2020《标准化工作导则  第1部分：标准化文件的结构和起草规则》的规定</w:t>
      </w:r>
      <w:r>
        <w:rPr>
          <w:rFonts w:hint="eastAsia"/>
          <w:color w:val="auto"/>
          <w:lang w:eastAsia="zh-CN"/>
        </w:rPr>
        <w:t>起草。</w:t>
      </w:r>
    </w:p>
    <w:p w14:paraId="1952A6D3">
      <w:pPr>
        <w:ind w:firstLine="420" w:firstLineChars="200"/>
        <w:rPr>
          <w:rFonts w:hint="eastAsia" w:ascii="宋体" w:hAnsi="宋体"/>
          <w:color w:val="auto"/>
        </w:rPr>
      </w:pPr>
      <w:r>
        <w:rPr>
          <w:rFonts w:hint="eastAsia"/>
          <w:color w:val="auto"/>
          <w:lang w:eastAsia="zh-CN"/>
        </w:rPr>
        <w:t>本文件</w:t>
      </w:r>
      <w:r>
        <w:rPr>
          <w:color w:val="auto"/>
        </w:rPr>
        <w:t>代替DB42/242-2014《建筑地基基础技术规范》</w:t>
      </w:r>
      <w:r>
        <w:rPr>
          <w:rFonts w:hint="eastAsia"/>
          <w:color w:val="auto"/>
          <w:lang w:eastAsia="zh-CN"/>
        </w:rPr>
        <w:t>，与</w:t>
      </w:r>
      <w:r>
        <w:rPr>
          <w:color w:val="auto"/>
        </w:rPr>
        <w:t>DB42/242-2014《建筑地基基础技术规范》</w:t>
      </w:r>
      <w:r>
        <w:rPr>
          <w:rFonts w:hint="eastAsia"/>
          <w:color w:val="auto"/>
          <w:lang w:eastAsia="zh-CN"/>
        </w:rPr>
        <w:t>相比，除结构调整和编辑性改动外，主要技术变化如下：</w:t>
      </w:r>
    </w:p>
    <w:p w14:paraId="579E9EF9">
      <w:pPr>
        <w:ind w:firstLine="420" w:firstLineChars="200"/>
        <w:rPr>
          <w:rFonts w:ascii="宋体" w:hAnsi="宋体"/>
          <w:color w:val="auto"/>
        </w:rPr>
      </w:pPr>
      <w:r>
        <w:rPr>
          <w:rFonts w:hint="eastAsia" w:ascii="宋体" w:hAnsi="宋体"/>
          <w:color w:val="auto"/>
        </w:rPr>
        <w:t>a</w:t>
      </w:r>
      <w:r>
        <w:rPr>
          <w:rFonts w:ascii="宋体" w:hAnsi="宋体"/>
          <w:color w:val="auto"/>
        </w:rPr>
        <w:t xml:space="preserve">) </w:t>
      </w:r>
      <w:r>
        <w:rPr>
          <w:rFonts w:hint="eastAsia" w:ascii="宋体" w:hAnsi="宋体"/>
          <w:color w:val="auto"/>
        </w:rPr>
        <w:t>修改原规范中强制性条文，修编后，本文件变更为推荐性标准。</w:t>
      </w:r>
    </w:p>
    <w:p w14:paraId="4B8A598E">
      <w:pPr>
        <w:ind w:firstLine="420" w:firstLineChars="200"/>
        <w:rPr>
          <w:rFonts w:ascii="宋体" w:hAnsi="宋体"/>
          <w:color w:val="auto"/>
        </w:rPr>
      </w:pPr>
      <w:r>
        <w:rPr>
          <w:rFonts w:ascii="宋体" w:hAnsi="宋体"/>
          <w:color w:val="auto"/>
        </w:rPr>
        <w:t>b)</w:t>
      </w:r>
      <w:r>
        <w:rPr>
          <w:rFonts w:hint="eastAsia"/>
          <w:color w:val="auto"/>
        </w:rPr>
        <w:t xml:space="preserve"> </w:t>
      </w:r>
      <w:r>
        <w:rPr>
          <w:rFonts w:hint="eastAsia" w:ascii="宋体" w:hAnsi="宋体"/>
          <w:color w:val="auto"/>
        </w:rPr>
        <w:t>取消了原规范1.1节“总则”，增加了第18章“标准的实施及评价”和附录</w:t>
      </w:r>
      <w:r>
        <w:rPr>
          <w:rFonts w:ascii="宋体" w:hAnsi="宋体"/>
          <w:color w:val="auto"/>
        </w:rPr>
        <w:t>L</w:t>
      </w:r>
      <w:r>
        <w:rPr>
          <w:rFonts w:hint="eastAsia" w:ascii="宋体" w:hAnsi="宋体"/>
          <w:color w:val="auto"/>
        </w:rPr>
        <w:t>“湖北省地方标准实施信息及意见反馈表”。</w:t>
      </w:r>
    </w:p>
    <w:p w14:paraId="5B94ED21">
      <w:pPr>
        <w:ind w:firstLine="420" w:firstLineChars="200"/>
        <w:rPr>
          <w:rFonts w:ascii="宋体" w:hAnsi="宋体"/>
          <w:color w:val="auto"/>
        </w:rPr>
      </w:pPr>
      <w:r>
        <w:rPr>
          <w:rFonts w:ascii="宋体" w:hAnsi="宋体"/>
          <w:color w:val="auto"/>
        </w:rPr>
        <w:t>c)</w:t>
      </w:r>
      <w:r>
        <w:rPr>
          <w:rFonts w:hint="eastAsia" w:ascii="宋体" w:hAnsi="宋体"/>
          <w:color w:val="auto"/>
        </w:rPr>
        <w:t xml:space="preserve"> 地基基础混凝土材料耐久性的基本要求中最大氯离子含量改为水溶性氯离子最大含量。</w:t>
      </w:r>
    </w:p>
    <w:p w14:paraId="21F2C5D8">
      <w:pPr>
        <w:ind w:firstLine="420" w:firstLineChars="200"/>
        <w:rPr>
          <w:rFonts w:ascii="宋体" w:hAnsi="宋体"/>
          <w:color w:val="auto"/>
        </w:rPr>
      </w:pPr>
      <w:r>
        <w:rPr>
          <w:rFonts w:ascii="宋体" w:hAnsi="宋体"/>
          <w:color w:val="auto"/>
        </w:rPr>
        <w:t>d)</w:t>
      </w:r>
      <w:r>
        <w:rPr>
          <w:rFonts w:hint="eastAsia" w:ascii="宋体" w:hAnsi="宋体"/>
          <w:color w:val="auto"/>
        </w:rPr>
        <w:t xml:space="preserve"> 补充了勘察工作中岩芯取样数量以及在软土地区进行地基处理时应适当增加静力触探孔数量的规定。</w:t>
      </w:r>
    </w:p>
    <w:p w14:paraId="4A354F1E">
      <w:pPr>
        <w:ind w:firstLine="420" w:firstLineChars="200"/>
        <w:rPr>
          <w:rFonts w:ascii="宋体" w:hAnsi="宋体"/>
          <w:color w:val="auto"/>
        </w:rPr>
      </w:pPr>
      <w:r>
        <w:rPr>
          <w:rFonts w:ascii="宋体" w:hAnsi="宋体"/>
          <w:color w:val="auto"/>
        </w:rPr>
        <w:t>e)</w:t>
      </w:r>
      <w:r>
        <w:rPr>
          <w:rFonts w:hint="eastAsia" w:ascii="宋体" w:hAnsi="宋体"/>
          <w:color w:val="auto"/>
        </w:rPr>
        <w:t xml:space="preserve"> 调整了荷载分项系数取值所依据的相关标准。</w:t>
      </w:r>
    </w:p>
    <w:p w14:paraId="56D5B302">
      <w:pPr>
        <w:ind w:firstLine="420" w:firstLineChars="200"/>
        <w:rPr>
          <w:rFonts w:ascii="宋体" w:hAnsi="宋体"/>
          <w:color w:val="auto"/>
        </w:rPr>
      </w:pPr>
      <w:r>
        <w:rPr>
          <w:rFonts w:ascii="宋体" w:hAnsi="宋体"/>
          <w:color w:val="auto"/>
        </w:rPr>
        <w:t>f)</w:t>
      </w:r>
      <w:r>
        <w:rPr>
          <w:rFonts w:hint="eastAsia" w:ascii="宋体" w:hAnsi="宋体"/>
          <w:color w:val="auto"/>
        </w:rPr>
        <w:t xml:space="preserve"> 补充了红黏土按含水比进行状态分类的规定。</w:t>
      </w:r>
    </w:p>
    <w:p w14:paraId="7595DCB0">
      <w:pPr>
        <w:ind w:firstLine="420" w:firstLineChars="200"/>
        <w:rPr>
          <w:rFonts w:ascii="宋体" w:hAnsi="宋体"/>
          <w:color w:val="auto"/>
        </w:rPr>
      </w:pPr>
      <w:r>
        <w:rPr>
          <w:rFonts w:ascii="宋体" w:hAnsi="宋体"/>
          <w:color w:val="auto"/>
        </w:rPr>
        <w:t>g)</w:t>
      </w:r>
      <w:r>
        <w:rPr>
          <w:rFonts w:hint="eastAsia" w:ascii="宋体" w:hAnsi="宋体"/>
          <w:color w:val="auto"/>
        </w:rPr>
        <w:t xml:space="preserve"> 删除了原规范第4</w:t>
      </w:r>
      <w:r>
        <w:rPr>
          <w:rFonts w:ascii="宋体" w:hAnsi="宋体"/>
          <w:color w:val="auto"/>
        </w:rPr>
        <w:t>.1.19条</w:t>
      </w:r>
      <w:r>
        <w:rPr>
          <w:rFonts w:hint="eastAsia" w:ascii="宋体" w:hAnsi="宋体"/>
          <w:color w:val="auto"/>
        </w:rPr>
        <w:t>、第</w:t>
      </w:r>
      <w:r>
        <w:rPr>
          <w:rFonts w:ascii="宋体" w:hAnsi="宋体"/>
          <w:color w:val="auto"/>
        </w:rPr>
        <w:t>6.2.1条</w:t>
      </w:r>
      <w:r>
        <w:rPr>
          <w:rFonts w:hint="eastAsia" w:ascii="宋体" w:hAnsi="宋体"/>
          <w:color w:val="auto"/>
        </w:rPr>
        <w:t>、第9</w:t>
      </w:r>
      <w:r>
        <w:rPr>
          <w:rFonts w:ascii="宋体" w:hAnsi="宋体"/>
          <w:color w:val="auto"/>
        </w:rPr>
        <w:t>.3.8条</w:t>
      </w:r>
      <w:r>
        <w:rPr>
          <w:rFonts w:hint="eastAsia" w:ascii="宋体" w:hAnsi="宋体"/>
          <w:color w:val="auto"/>
        </w:rPr>
        <w:t>。</w:t>
      </w:r>
    </w:p>
    <w:p w14:paraId="29543657">
      <w:pPr>
        <w:ind w:firstLine="420" w:firstLineChars="200"/>
        <w:rPr>
          <w:rFonts w:ascii="宋体" w:hAnsi="宋体"/>
          <w:color w:val="auto"/>
        </w:rPr>
      </w:pPr>
      <w:r>
        <w:rPr>
          <w:rFonts w:ascii="宋体" w:hAnsi="宋体"/>
          <w:color w:val="auto"/>
        </w:rPr>
        <w:t>h)</w:t>
      </w:r>
      <w:r>
        <w:rPr>
          <w:rFonts w:hint="eastAsia" w:ascii="宋体" w:hAnsi="宋体"/>
          <w:color w:val="auto"/>
        </w:rPr>
        <w:t xml:space="preserve"> 调整了既有建筑物加层改造时地基承载力特征值提高系数。</w:t>
      </w:r>
    </w:p>
    <w:p w14:paraId="487315AB">
      <w:pPr>
        <w:ind w:firstLine="420" w:firstLineChars="200"/>
        <w:rPr>
          <w:rFonts w:ascii="宋体" w:hAnsi="宋体"/>
          <w:color w:val="auto"/>
        </w:rPr>
      </w:pPr>
      <w:r>
        <w:rPr>
          <w:rFonts w:ascii="宋体" w:hAnsi="宋体"/>
          <w:color w:val="auto"/>
        </w:rPr>
        <w:t>i)</w:t>
      </w:r>
      <w:r>
        <w:rPr>
          <w:rFonts w:hint="eastAsia" w:ascii="宋体" w:hAnsi="宋体"/>
          <w:color w:val="auto"/>
        </w:rPr>
        <w:t xml:space="preserve"> 调整了按变形模量估算天然地基沉降量的计算公式，补充了上部结构、基础与地基共同作用分析的规定。</w:t>
      </w:r>
    </w:p>
    <w:p w14:paraId="07D008CC">
      <w:pPr>
        <w:ind w:firstLine="420" w:firstLineChars="200"/>
        <w:rPr>
          <w:rFonts w:ascii="宋体" w:hAnsi="宋体"/>
          <w:color w:val="auto"/>
        </w:rPr>
      </w:pPr>
      <w:r>
        <w:rPr>
          <w:rFonts w:hint="eastAsia" w:ascii="宋体" w:hAnsi="宋体"/>
          <w:color w:val="auto"/>
        </w:rPr>
        <w:t>j</w:t>
      </w:r>
      <w:r>
        <w:rPr>
          <w:rFonts w:ascii="宋体" w:hAnsi="宋体"/>
          <w:color w:val="auto"/>
        </w:rPr>
        <w:t>)</w:t>
      </w:r>
      <w:r>
        <w:rPr>
          <w:rFonts w:hint="eastAsia" w:ascii="宋体" w:hAnsi="宋体"/>
          <w:color w:val="auto"/>
        </w:rPr>
        <w:t xml:space="preserve"> 补充了深厚软土区域地面沉降以及建筑散水、室外台阶、坡道、地面停车场等沉降防控的要求。</w:t>
      </w:r>
    </w:p>
    <w:p w14:paraId="4D14124C">
      <w:pPr>
        <w:ind w:firstLine="420" w:firstLineChars="200"/>
        <w:rPr>
          <w:rFonts w:ascii="宋体" w:hAnsi="宋体"/>
          <w:color w:val="auto"/>
        </w:rPr>
      </w:pPr>
      <w:r>
        <w:rPr>
          <w:rFonts w:ascii="宋体" w:hAnsi="宋体"/>
          <w:color w:val="auto"/>
        </w:rPr>
        <w:t xml:space="preserve">k) </w:t>
      </w:r>
      <w:r>
        <w:rPr>
          <w:rFonts w:hint="eastAsia" w:ascii="宋体" w:hAnsi="宋体"/>
          <w:color w:val="auto"/>
        </w:rPr>
        <w:t>调整了复合地基验收检测时有黏结强度桩身完整性的检测数量。</w:t>
      </w:r>
    </w:p>
    <w:p w14:paraId="5D05E0E9">
      <w:pPr>
        <w:ind w:firstLine="420" w:firstLineChars="200"/>
        <w:rPr>
          <w:rFonts w:ascii="宋体" w:hAnsi="宋体"/>
          <w:color w:val="auto"/>
        </w:rPr>
      </w:pPr>
      <w:r>
        <w:rPr>
          <w:rFonts w:hint="eastAsia" w:ascii="宋体" w:hAnsi="宋体"/>
          <w:color w:val="auto"/>
        </w:rPr>
        <w:t>l</w:t>
      </w:r>
      <w:r>
        <w:rPr>
          <w:rFonts w:ascii="宋体" w:hAnsi="宋体"/>
          <w:color w:val="auto"/>
        </w:rPr>
        <w:t>)</w:t>
      </w:r>
      <w:r>
        <w:rPr>
          <w:rFonts w:hint="eastAsia" w:ascii="宋体" w:hAnsi="宋体"/>
          <w:color w:val="auto"/>
        </w:rPr>
        <w:t xml:space="preserve"> 补充了应进行专项论证边坡工程的规定。</w:t>
      </w:r>
    </w:p>
    <w:p w14:paraId="0C3606F1">
      <w:pPr>
        <w:ind w:firstLine="420" w:firstLineChars="200"/>
        <w:rPr>
          <w:rFonts w:ascii="宋体" w:hAnsi="宋体"/>
          <w:color w:val="auto"/>
        </w:rPr>
      </w:pPr>
      <w:r>
        <w:rPr>
          <w:rFonts w:ascii="宋体" w:hAnsi="宋体"/>
          <w:color w:val="auto"/>
        </w:rPr>
        <w:t>m)</w:t>
      </w:r>
      <w:r>
        <w:rPr>
          <w:rFonts w:hint="eastAsia" w:ascii="宋体" w:hAnsi="宋体"/>
          <w:color w:val="auto"/>
        </w:rPr>
        <w:t xml:space="preserve"> 完善了岩溶场地施工勘察、最小桩径、抗浮锚杆和利用岩溶上覆土层作为持力层的地基基础等相关要求；补充了岩溶场地应对场地稳定性给出明确判断的规定。</w:t>
      </w:r>
    </w:p>
    <w:p w14:paraId="45078926">
      <w:pPr>
        <w:ind w:firstLine="420" w:firstLineChars="200"/>
        <w:rPr>
          <w:rFonts w:ascii="宋体" w:hAnsi="宋体"/>
          <w:color w:val="auto"/>
        </w:rPr>
      </w:pPr>
      <w:r>
        <w:rPr>
          <w:rFonts w:ascii="宋体" w:hAnsi="宋体"/>
          <w:color w:val="auto"/>
        </w:rPr>
        <w:t>n)</w:t>
      </w:r>
      <w:r>
        <w:rPr>
          <w:rFonts w:hint="eastAsia" w:ascii="宋体" w:hAnsi="宋体"/>
          <w:color w:val="auto"/>
        </w:rPr>
        <w:t xml:space="preserve"> 明确了灌注桩最小配筋率的取值规定。</w:t>
      </w:r>
    </w:p>
    <w:p w14:paraId="37EF5264">
      <w:pPr>
        <w:ind w:firstLine="420" w:firstLineChars="200"/>
        <w:rPr>
          <w:rFonts w:ascii="宋体" w:hAnsi="宋体"/>
          <w:color w:val="auto"/>
        </w:rPr>
      </w:pPr>
      <w:r>
        <w:rPr>
          <w:rFonts w:ascii="宋体" w:hAnsi="宋体"/>
          <w:color w:val="auto"/>
        </w:rPr>
        <w:t>o)</w:t>
      </w:r>
      <w:r>
        <w:rPr>
          <w:rFonts w:hint="eastAsia" w:ascii="宋体" w:hAnsi="宋体"/>
          <w:color w:val="auto"/>
        </w:rPr>
        <w:t xml:space="preserve"> 补充了抗拔桩的相关计算规定。</w:t>
      </w:r>
    </w:p>
    <w:p w14:paraId="2EF72B33">
      <w:pPr>
        <w:ind w:firstLine="420" w:firstLineChars="200"/>
        <w:rPr>
          <w:rFonts w:ascii="宋体" w:hAnsi="宋体"/>
          <w:color w:val="auto"/>
        </w:rPr>
      </w:pPr>
      <w:r>
        <w:rPr>
          <w:rFonts w:hint="eastAsia" w:ascii="宋体" w:hAnsi="宋体"/>
          <w:color w:val="auto"/>
        </w:rPr>
        <w:t>p</w:t>
      </w:r>
      <w:r>
        <w:rPr>
          <w:rFonts w:ascii="宋体" w:hAnsi="宋体"/>
          <w:color w:val="auto"/>
        </w:rPr>
        <w:t>)</w:t>
      </w:r>
      <w:r>
        <w:rPr>
          <w:rFonts w:hint="eastAsia" w:ascii="宋体" w:hAnsi="宋体"/>
          <w:color w:val="auto"/>
        </w:rPr>
        <w:t xml:space="preserve"> 补充了桩身承载力计算时考虑桩身钢筋参与受力的规定，并给出了计算公式；调整了桩身承载力计算时预制桩和灌注桩的工作条件系数取值规定。</w:t>
      </w:r>
    </w:p>
    <w:p w14:paraId="377AA2F9">
      <w:pPr>
        <w:ind w:firstLine="420" w:firstLineChars="200"/>
        <w:rPr>
          <w:rFonts w:ascii="宋体" w:hAnsi="宋体"/>
          <w:color w:val="auto"/>
        </w:rPr>
      </w:pPr>
      <w:r>
        <w:rPr>
          <w:rFonts w:ascii="宋体" w:hAnsi="宋体"/>
          <w:color w:val="auto"/>
        </w:rPr>
        <w:t xml:space="preserve">q) </w:t>
      </w:r>
      <w:r>
        <w:rPr>
          <w:rFonts w:hint="eastAsia" w:ascii="宋体" w:hAnsi="宋体"/>
          <w:color w:val="auto"/>
        </w:rPr>
        <w:t>调整了地下建筑物的抗浮稳定安全系数以及抗拔构件平衡水浮力时的计算公式。</w:t>
      </w:r>
    </w:p>
    <w:p w14:paraId="60371956">
      <w:pPr>
        <w:ind w:firstLine="420" w:firstLineChars="200"/>
        <w:rPr>
          <w:rFonts w:ascii="宋体" w:hAnsi="宋体"/>
          <w:color w:val="auto"/>
        </w:rPr>
      </w:pPr>
      <w:r>
        <w:rPr>
          <w:rFonts w:ascii="宋体" w:hAnsi="宋体"/>
          <w:color w:val="auto"/>
        </w:rPr>
        <w:t>r)</w:t>
      </w:r>
      <w:r>
        <w:rPr>
          <w:rFonts w:hint="eastAsia" w:ascii="宋体" w:hAnsi="宋体"/>
          <w:color w:val="auto"/>
        </w:rPr>
        <w:t xml:space="preserve"> 调整了</w:t>
      </w:r>
      <w:r>
        <w:rPr>
          <w:rFonts w:hAnsi="宋体"/>
          <w:snapToGrid w:val="0"/>
          <w:color w:val="auto"/>
          <w:spacing w:val="-2"/>
          <w:szCs w:val="21"/>
        </w:rPr>
        <w:t>可不进行天然地基、复合地基</w:t>
      </w:r>
      <w:r>
        <w:rPr>
          <w:rFonts w:hint="eastAsia" w:hAnsi="宋体"/>
          <w:snapToGrid w:val="0"/>
          <w:color w:val="auto"/>
          <w:spacing w:val="-2"/>
          <w:szCs w:val="21"/>
        </w:rPr>
        <w:t>、桩基</w:t>
      </w:r>
      <w:r>
        <w:rPr>
          <w:rFonts w:hAnsi="宋体"/>
          <w:snapToGrid w:val="0"/>
          <w:color w:val="auto"/>
          <w:spacing w:val="-2"/>
          <w:szCs w:val="21"/>
        </w:rPr>
        <w:t>及基础的抗震承载力验算</w:t>
      </w:r>
      <w:r>
        <w:rPr>
          <w:rFonts w:hint="eastAsia" w:hAnsi="宋体"/>
          <w:snapToGrid w:val="0"/>
          <w:color w:val="auto"/>
          <w:spacing w:val="-2"/>
          <w:szCs w:val="21"/>
        </w:rPr>
        <w:t>的建筑物范围。</w:t>
      </w:r>
    </w:p>
    <w:p w14:paraId="4DB0D907">
      <w:pPr>
        <w:ind w:firstLine="420" w:firstLineChars="200"/>
        <w:rPr>
          <w:rFonts w:ascii="宋体" w:hAnsi="宋体"/>
          <w:color w:val="auto"/>
        </w:rPr>
      </w:pPr>
      <w:r>
        <w:rPr>
          <w:rFonts w:ascii="宋体" w:hAnsi="宋体"/>
          <w:color w:val="auto"/>
        </w:rPr>
        <w:t>s)</w:t>
      </w:r>
      <w:r>
        <w:rPr>
          <w:rFonts w:hint="eastAsia" w:ascii="宋体" w:hAnsi="宋体"/>
          <w:color w:val="auto"/>
        </w:rPr>
        <w:t xml:space="preserve"> 调整了轨道交通工程设计工作年限及勘察要求等相关规定。</w:t>
      </w:r>
    </w:p>
    <w:p w14:paraId="0116AAA8">
      <w:pPr>
        <w:ind w:firstLine="420" w:firstLineChars="200"/>
        <w:rPr>
          <w:rFonts w:ascii="宋体" w:hAnsi="宋体"/>
          <w:color w:val="auto"/>
        </w:rPr>
      </w:pPr>
      <w:r>
        <w:rPr>
          <w:rFonts w:ascii="宋体" w:hAnsi="宋体"/>
          <w:color w:val="auto"/>
        </w:rPr>
        <w:t>t)</w:t>
      </w:r>
      <w:r>
        <w:rPr>
          <w:rFonts w:hint="eastAsia" w:ascii="宋体" w:hAnsi="宋体"/>
          <w:color w:val="auto"/>
        </w:rPr>
        <w:t xml:space="preserve"> 增加了甲级设计等级天然地基的承载力检测要求，调整了场地存在多栋建筑物时，工程桩验收检测的规定。</w:t>
      </w:r>
    </w:p>
    <w:p w14:paraId="0E7E9894">
      <w:pPr>
        <w:ind w:firstLine="420" w:firstLineChars="200"/>
        <w:rPr>
          <w:rFonts w:ascii="宋体" w:hAnsi="宋体"/>
          <w:color w:val="auto"/>
        </w:rPr>
      </w:pPr>
      <w:r>
        <w:rPr>
          <w:rFonts w:ascii="宋体" w:hAnsi="宋体"/>
          <w:color w:val="auto"/>
        </w:rPr>
        <w:t>u)</w:t>
      </w:r>
      <w:r>
        <w:rPr>
          <w:rFonts w:hint="eastAsia" w:ascii="宋体" w:hAnsi="宋体"/>
          <w:color w:val="auto"/>
        </w:rPr>
        <w:t xml:space="preserve"> 增加了挤土桩的监测内容，扩大了需进行沉降观测的建筑物范围。</w:t>
      </w:r>
    </w:p>
    <w:p w14:paraId="60224CF0">
      <w:pPr>
        <w:ind w:firstLine="420" w:firstLineChars="200"/>
        <w:rPr>
          <w:rFonts w:ascii="宋体" w:hAnsi="宋体"/>
          <w:color w:val="auto"/>
        </w:rPr>
      </w:pPr>
      <w:r>
        <w:rPr>
          <w:rFonts w:ascii="宋体" w:hAnsi="宋体"/>
          <w:color w:val="auto"/>
        </w:rPr>
        <w:t>v)</w:t>
      </w:r>
      <w:r>
        <w:rPr>
          <w:rFonts w:hint="eastAsia" w:ascii="宋体" w:hAnsi="宋体"/>
          <w:color w:val="auto"/>
        </w:rPr>
        <w:t xml:space="preserve"> 补充了</w:t>
      </w:r>
      <w:r>
        <w:rPr>
          <w:rFonts w:ascii="宋体" w:hAnsi="宋体"/>
          <w:color w:val="auto"/>
        </w:rPr>
        <w:t>附录</w:t>
      </w:r>
      <w:r>
        <w:rPr>
          <w:rFonts w:hint="eastAsia" w:ascii="宋体" w:hAnsi="宋体"/>
          <w:color w:val="auto"/>
        </w:rPr>
        <w:t>A</w:t>
      </w:r>
      <w:r>
        <w:rPr>
          <w:rFonts w:ascii="宋体" w:hAnsi="宋体"/>
          <w:color w:val="auto"/>
        </w:rPr>
        <w:t>中</w:t>
      </w:r>
      <w:r>
        <w:rPr>
          <w:rFonts w:hint="eastAsia" w:ascii="宋体" w:hAnsi="宋体"/>
          <w:color w:val="auto"/>
        </w:rPr>
        <w:t>有机质土、泥炭质土、泥炭、砂土、粉土和黏性土的现场鉴别相关内容；调整了附录</w:t>
      </w:r>
      <w:r>
        <w:rPr>
          <w:rFonts w:ascii="宋体" w:hAnsi="宋体"/>
          <w:color w:val="auto"/>
        </w:rPr>
        <w:t>E</w:t>
      </w:r>
      <w:r>
        <w:rPr>
          <w:rFonts w:hint="eastAsia" w:ascii="宋体" w:hAnsi="宋体"/>
          <w:color w:val="auto"/>
        </w:rPr>
        <w:t>中岩石地基、杂填土和花岗岩残积土等承载力特征值部分指标；调整了附录F中钻孔桩桩侧摩阻力和桩端阻力等部分指标。</w:t>
      </w:r>
    </w:p>
    <w:p w14:paraId="28C2562B">
      <w:pPr>
        <w:ind w:firstLine="420" w:firstLineChars="200"/>
        <w:rPr>
          <w:rFonts w:ascii="宋体" w:hAnsi="宋体"/>
          <w:color w:val="auto"/>
        </w:rPr>
      </w:pPr>
      <w:r>
        <w:rPr>
          <w:rFonts w:hint="eastAsia" w:ascii="宋体" w:hAnsi="宋体"/>
          <w:color w:val="auto"/>
        </w:rPr>
        <w:t>w</w:t>
      </w:r>
      <w:r>
        <w:rPr>
          <w:rFonts w:ascii="宋体" w:hAnsi="宋体"/>
          <w:color w:val="auto"/>
        </w:rPr>
        <w:t xml:space="preserve">) </w:t>
      </w:r>
      <w:r>
        <w:rPr>
          <w:rFonts w:hint="eastAsia" w:ascii="宋体" w:hAnsi="宋体"/>
          <w:color w:val="auto"/>
        </w:rPr>
        <w:t>其它局部文字修改和完善。</w:t>
      </w:r>
    </w:p>
    <w:p w14:paraId="7C9D9C7B">
      <w:pPr>
        <w:ind w:firstLine="420" w:firstLineChars="200"/>
        <w:rPr>
          <w:rFonts w:ascii="宋体" w:hAnsi="宋体"/>
          <w:b w:val="0"/>
          <w:bCs w:val="0"/>
          <w:color w:val="auto"/>
        </w:rPr>
      </w:pPr>
      <w:r>
        <w:rPr>
          <w:rFonts w:hint="eastAsia" w:ascii="宋体" w:hAnsi="宋体"/>
          <w:b w:val="0"/>
          <w:bCs w:val="0"/>
          <w:color w:val="auto"/>
          <w:szCs w:val="21"/>
        </w:rPr>
        <w:t>本文件主要起草单位：湖北省建筑科学研究设计院股份有限公司、中南建筑设计院股份有限公司</w:t>
      </w:r>
    </w:p>
    <w:p w14:paraId="02E4006B">
      <w:pPr>
        <w:ind w:firstLine="411" w:firstLineChars="196"/>
        <w:jc w:val="left"/>
        <w:rPr>
          <w:rFonts w:ascii="宋体" w:hAnsi="宋体"/>
          <w:b w:val="0"/>
          <w:bCs w:val="0"/>
          <w:color w:val="auto"/>
        </w:rPr>
      </w:pPr>
      <w:r>
        <w:rPr>
          <w:rFonts w:hAnsi="宋体"/>
          <w:b w:val="0"/>
          <w:bCs w:val="0"/>
          <w:color w:val="auto"/>
          <w:szCs w:val="21"/>
        </w:rPr>
        <w:t>本文件参加起草单位</w:t>
      </w:r>
      <w:r>
        <w:rPr>
          <w:b w:val="0"/>
          <w:bCs w:val="0"/>
          <w:color w:val="auto"/>
          <w:szCs w:val="21"/>
        </w:rPr>
        <w:t>(</w:t>
      </w:r>
      <w:r>
        <w:rPr>
          <w:rFonts w:hAnsi="宋体"/>
          <w:b w:val="0"/>
          <w:bCs w:val="0"/>
          <w:color w:val="auto"/>
          <w:szCs w:val="21"/>
        </w:rPr>
        <w:t>排序不分先后</w:t>
      </w:r>
      <w:r>
        <w:rPr>
          <w:b w:val="0"/>
          <w:bCs w:val="0"/>
          <w:color w:val="auto"/>
          <w:szCs w:val="21"/>
        </w:rPr>
        <w:t>）</w:t>
      </w:r>
      <w:r>
        <w:rPr>
          <w:rFonts w:hAnsi="华文中宋" w:eastAsia="华文中宋"/>
          <w:b w:val="0"/>
          <w:bCs w:val="0"/>
          <w:color w:val="auto"/>
          <w:szCs w:val="21"/>
        </w:rPr>
        <w:t>：</w:t>
      </w:r>
      <w:r>
        <w:rPr>
          <w:rFonts w:ascii="宋体" w:hAnsi="宋体"/>
          <w:b w:val="0"/>
          <w:bCs w:val="0"/>
          <w:color w:val="auto"/>
        </w:rPr>
        <w:t xml:space="preserve"> </w:t>
      </w:r>
    </w:p>
    <w:p w14:paraId="20BCF518">
      <w:pPr>
        <w:ind w:firstLine="420" w:firstLineChars="200"/>
        <w:jc w:val="left"/>
        <w:rPr>
          <w:rFonts w:ascii="宋体" w:hAnsi="宋体"/>
          <w:bCs/>
          <w:color w:val="auto"/>
          <w:szCs w:val="21"/>
        </w:rPr>
      </w:pPr>
      <w:r>
        <w:rPr>
          <w:rFonts w:hint="eastAsia" w:ascii="宋体" w:hAnsi="宋体"/>
          <w:bCs/>
          <w:color w:val="auto"/>
          <w:szCs w:val="21"/>
        </w:rPr>
        <w:t>武汉市勘察设计有限公司、中南勘察设计院集团有限公司、中冶武勘工程技术有限公司、中铁第四勘察设计院集团有限公司、</w:t>
      </w:r>
      <w:r>
        <w:rPr>
          <w:rFonts w:hint="eastAsia"/>
          <w:color w:val="auto"/>
          <w:szCs w:val="21"/>
        </w:rPr>
        <w:t>中南勘察基础工程有限公司、中信建筑设计研究总院有限公司、中国轻工业武汉设计工程有限责任公司、中煤科工集团武汉设计研究院有限公司、武汉和创建筑工程设计有限公司、华中科技大学、武汉地铁集团有限公司、武汉建工集团股份有限公司、武汉地质勘察基础工程有限公司、武汉华太岩土工程有限公司、</w:t>
      </w:r>
      <w:r>
        <w:rPr>
          <w:rFonts w:hint="eastAsia"/>
          <w:bCs/>
          <w:color w:val="auto"/>
          <w:szCs w:val="21"/>
        </w:rPr>
        <w:t>武汉市市政工程项目建设事务中心</w:t>
      </w:r>
      <w:r>
        <w:rPr>
          <w:rFonts w:hint="eastAsia"/>
          <w:color w:val="auto"/>
          <w:szCs w:val="21"/>
        </w:rPr>
        <w:t>、武汉精诚土木建筑工程设计审查有限公司、湖北建审工程咨询有限公司、武汉市建筑工程质量监督站、武汉市政工程设计研究院有限责任公司、中建三局集团有限公司、中国科学院武汉岩土力学研究所、武汉大学、中国地质大学（武汉）</w:t>
      </w:r>
    </w:p>
    <w:p w14:paraId="14BE3FD5">
      <w:pPr>
        <w:rPr>
          <w:color w:val="auto"/>
          <w:szCs w:val="21"/>
        </w:rPr>
      </w:pPr>
      <w:r>
        <w:rPr>
          <w:b w:val="0"/>
          <w:bCs/>
          <w:color w:val="auto"/>
          <w:szCs w:val="21"/>
        </w:rPr>
        <w:t>本文件主要起草人：</w:t>
      </w:r>
      <w:r>
        <w:rPr>
          <w:rFonts w:hint="eastAsia"/>
          <w:color w:val="auto"/>
          <w:szCs w:val="21"/>
        </w:rPr>
        <w:t>李霆、刘士清、袁内镇、吴刚、官善友、刘佑祥、王爱勋、王金锋、阚明、徐杨青、郑俊杰、王小南、曾铁梅、熊朝辉、温四清、杨晓臻、刘卫国、陈健、熊火清、丁洪元、何世达、宋榜慈、钟明、吴西臣、叶长松、纪晗、邓帮、和礼红、王辉、傅旭东、李长冬、马郧、王锋、熊慧萍、彭华中、顾春波、马昌慧</w:t>
      </w:r>
    </w:p>
    <w:p w14:paraId="44D7AEB7">
      <w:pPr>
        <w:adjustRightInd w:val="0"/>
        <w:snapToGrid w:val="0"/>
        <w:spacing w:line="360" w:lineRule="exact"/>
        <w:ind w:firstLine="411" w:firstLineChars="196"/>
        <w:rPr>
          <w:rFonts w:hint="eastAsia"/>
          <w:color w:val="auto"/>
          <w:szCs w:val="21"/>
        </w:rPr>
      </w:pPr>
      <w:r>
        <w:rPr>
          <w:rFonts w:hint="eastAsia"/>
          <w:color w:val="auto"/>
          <w:szCs w:val="21"/>
        </w:rPr>
        <w:t>本文件历次发布版本情况：DB42/242-2003，DB42/242-20</w:t>
      </w:r>
      <w:r>
        <w:rPr>
          <w:color w:val="auto"/>
          <w:szCs w:val="21"/>
        </w:rPr>
        <w:t>14</w:t>
      </w:r>
      <w:r>
        <w:rPr>
          <w:rFonts w:hint="eastAsia"/>
          <w:color w:val="auto"/>
          <w:szCs w:val="21"/>
        </w:rPr>
        <w:t>。</w:t>
      </w:r>
    </w:p>
    <w:p w14:paraId="5CFBB50E">
      <w:pPr>
        <w:adjustRightInd w:val="0"/>
        <w:snapToGrid w:val="0"/>
        <w:spacing w:line="360" w:lineRule="exact"/>
        <w:ind w:firstLine="411" w:firstLineChars="196"/>
        <w:rPr>
          <w:rFonts w:hint="eastAsia"/>
          <w:color w:val="auto"/>
          <w:szCs w:val="21"/>
        </w:rPr>
      </w:pPr>
      <w:r>
        <w:rPr>
          <w:rFonts w:hint="eastAsia"/>
          <w:color w:val="auto"/>
          <w:szCs w:val="21"/>
        </w:rPr>
        <w:t>本文件实施应用中的疑问，可咨询湖北省住房和城乡建设厅，联系电话：027-</w:t>
      </w:r>
      <w:r>
        <w:rPr>
          <w:rFonts w:hint="eastAsia"/>
          <w:color w:val="auto"/>
          <w:szCs w:val="21"/>
          <w:lang w:val="en-US" w:eastAsia="zh-CN"/>
        </w:rPr>
        <w:t>68873088</w:t>
      </w:r>
      <w:r>
        <w:rPr>
          <w:rFonts w:hint="eastAsia"/>
          <w:color w:val="auto"/>
          <w:szCs w:val="21"/>
        </w:rPr>
        <w:t>，邮箱：bkc@hbszjt.net.cn。在执行过程中如有意见和建议请邮寄</w:t>
      </w:r>
      <w:r>
        <w:rPr>
          <w:rFonts w:hint="eastAsia"/>
          <w:color w:val="auto"/>
          <w:szCs w:val="21"/>
          <w:lang w:val="en-US" w:eastAsia="zh-CN"/>
        </w:rPr>
        <w:t>湖北省建筑科学研究设计院股份有限公司</w:t>
      </w:r>
      <w:r>
        <w:rPr>
          <w:rFonts w:hint="eastAsia"/>
          <w:color w:val="auto"/>
          <w:szCs w:val="21"/>
        </w:rPr>
        <w:t>（地址：</w:t>
      </w:r>
      <w:r>
        <w:rPr>
          <w:rFonts w:hint="eastAsia"/>
          <w:color w:val="auto"/>
          <w:szCs w:val="21"/>
          <w:lang w:val="en-US" w:eastAsia="zh-CN"/>
        </w:rPr>
        <w:t>湖北省武汉市武昌区中南路16号</w:t>
      </w:r>
      <w:r>
        <w:rPr>
          <w:rFonts w:hint="eastAsia"/>
          <w:color w:val="auto"/>
          <w:szCs w:val="21"/>
        </w:rPr>
        <w:t>，邮编</w:t>
      </w:r>
      <w:r>
        <w:rPr>
          <w:rFonts w:hint="eastAsia"/>
          <w:color w:val="auto"/>
          <w:szCs w:val="21"/>
          <w:lang w:val="en-US" w:eastAsia="zh-CN"/>
        </w:rPr>
        <w:t>430071</w:t>
      </w:r>
      <w:r>
        <w:rPr>
          <w:rFonts w:hint="eastAsia"/>
          <w:color w:val="auto"/>
          <w:szCs w:val="21"/>
          <w:lang w:eastAsia="zh-CN"/>
        </w:rPr>
        <w:t>，</w:t>
      </w:r>
      <w:r>
        <w:rPr>
          <w:rFonts w:hint="eastAsia"/>
          <w:color w:val="auto"/>
          <w:szCs w:val="21"/>
        </w:rPr>
        <w:t>邮箱××）。</w:t>
      </w:r>
    </w:p>
    <w:p w14:paraId="317514D8">
      <w:pPr>
        <w:adjustRightInd w:val="0"/>
        <w:snapToGrid w:val="0"/>
        <w:spacing w:line="360" w:lineRule="exact"/>
        <w:ind w:firstLine="411" w:firstLineChars="196"/>
        <w:rPr>
          <w:rFonts w:hint="eastAsia"/>
          <w:color w:val="auto"/>
          <w:szCs w:val="21"/>
        </w:rPr>
      </w:pPr>
    </w:p>
    <w:p w14:paraId="58813D07">
      <w:pPr>
        <w:adjustRightInd w:val="0"/>
        <w:snapToGrid w:val="0"/>
        <w:spacing w:line="360" w:lineRule="exact"/>
        <w:ind w:firstLine="411" w:firstLineChars="196"/>
        <w:rPr>
          <w:rFonts w:hint="eastAsia"/>
          <w:color w:val="auto"/>
          <w:szCs w:val="21"/>
        </w:rPr>
      </w:pPr>
    </w:p>
    <w:p w14:paraId="7497DE9B">
      <w:pPr>
        <w:adjustRightInd w:val="0"/>
        <w:snapToGrid w:val="0"/>
        <w:spacing w:line="360" w:lineRule="exact"/>
        <w:ind w:firstLine="411" w:firstLineChars="196"/>
        <w:rPr>
          <w:color w:val="auto"/>
          <w:szCs w:val="21"/>
        </w:rPr>
        <w:sectPr>
          <w:headerReference r:id="rId6" w:type="default"/>
          <w:headerReference r:id="rId7" w:type="even"/>
          <w:pgSz w:w="11907" w:h="16840"/>
          <w:pgMar w:top="1701" w:right="1361" w:bottom="851" w:left="1361" w:header="851" w:footer="794" w:gutter="0"/>
          <w:pgNumType w:fmt="decimal" w:start="1"/>
          <w:cols w:space="425" w:num="1"/>
          <w:docGrid w:type="lines" w:linePitch="312" w:charSpace="0"/>
        </w:sectPr>
      </w:pPr>
    </w:p>
    <w:p w14:paraId="09A72AE3">
      <w:pPr>
        <w:adjustRightInd w:val="0"/>
        <w:snapToGrid w:val="0"/>
        <w:spacing w:before="312" w:beforeLines="100" w:after="312" w:afterLines="100"/>
        <w:jc w:val="center"/>
        <w:rPr>
          <w:rFonts w:eastAsia="黑体"/>
          <w:b/>
          <w:bCs/>
          <w:color w:val="auto"/>
          <w:sz w:val="24"/>
          <w:szCs w:val="32"/>
        </w:rPr>
      </w:pPr>
      <w:r>
        <w:rPr>
          <w:b/>
          <w:bCs/>
          <w:color w:val="auto"/>
          <w:sz w:val="24"/>
          <w:szCs w:val="32"/>
        </w:rPr>
        <w:t>建筑地基基础技术规范</w:t>
      </w:r>
    </w:p>
    <w:p w14:paraId="562D15F9">
      <w:pPr>
        <w:rPr>
          <w:color w:val="auto"/>
        </w:rPr>
      </w:pPr>
    </w:p>
    <w:p w14:paraId="327A6F9D">
      <w:pPr>
        <w:numPr>
          <w:ilvl w:val="0"/>
          <w:numId w:val="1"/>
        </w:numPr>
        <w:adjustRightInd w:val="0"/>
        <w:snapToGrid w:val="0"/>
        <w:outlineLvl w:val="0"/>
        <w:rPr>
          <w:rFonts w:eastAsia="黑体"/>
          <w:b/>
          <w:bCs/>
          <w:color w:val="auto"/>
        </w:rPr>
      </w:pPr>
      <w:bookmarkStart w:id="3" w:name="_Toc199943567"/>
      <w:r>
        <w:rPr>
          <w:rFonts w:hint="eastAsia" w:eastAsia="黑体"/>
          <w:b/>
          <w:bCs/>
          <w:color w:val="auto"/>
        </w:rPr>
        <w:t>范围</w:t>
      </w:r>
      <w:bookmarkEnd w:id="3"/>
    </w:p>
    <w:p w14:paraId="127CAFF1">
      <w:pPr>
        <w:pStyle w:val="32"/>
        <w:adjustRightInd w:val="0"/>
        <w:snapToGrid w:val="0"/>
        <w:spacing w:after="0" w:line="240" w:lineRule="auto"/>
        <w:rPr>
          <w:color w:val="auto"/>
          <w:szCs w:val="21"/>
        </w:rPr>
      </w:pPr>
    </w:p>
    <w:p w14:paraId="19E9ED21">
      <w:pPr>
        <w:pStyle w:val="32"/>
        <w:adjustRightInd w:val="0"/>
        <w:snapToGrid w:val="0"/>
        <w:spacing w:after="0" w:line="340" w:lineRule="atLeast"/>
        <w:ind w:left="1" w:firstLine="420" w:firstLineChars="200"/>
        <w:rPr>
          <w:rFonts w:hint="eastAsia"/>
          <w:bCs/>
          <w:color w:val="auto"/>
          <w:szCs w:val="21"/>
          <w:lang w:eastAsia="zh-CN"/>
        </w:rPr>
      </w:pPr>
      <w:r>
        <w:rPr>
          <w:bCs/>
          <w:color w:val="auto"/>
          <w:szCs w:val="21"/>
        </w:rPr>
        <w:t>本文件规定了</w:t>
      </w:r>
      <w:r>
        <w:rPr>
          <w:rFonts w:hint="eastAsia"/>
          <w:bCs/>
          <w:color w:val="auto"/>
          <w:szCs w:val="21"/>
        </w:rPr>
        <w:t>岩土分类及工程特性指标、天然地基基础及桩基础的设计和施工、软弱地基、地基处理、山区地基、特殊土地基及特殊场地、地基基础抗震设计要点、轨道交通工程与邻近建筑、检测与监测等内容</w:t>
      </w:r>
      <w:r>
        <w:rPr>
          <w:rFonts w:hint="eastAsia"/>
          <w:bCs/>
          <w:color w:val="auto"/>
          <w:szCs w:val="21"/>
          <w:lang w:eastAsia="zh-CN"/>
        </w:rPr>
        <w:t>。</w:t>
      </w:r>
    </w:p>
    <w:p w14:paraId="0903BC34">
      <w:pPr>
        <w:pStyle w:val="32"/>
        <w:adjustRightInd w:val="0"/>
        <w:snapToGrid w:val="0"/>
        <w:spacing w:after="0" w:line="340" w:lineRule="atLeast"/>
        <w:ind w:left="1" w:firstLine="420" w:firstLineChars="200"/>
        <w:rPr>
          <w:b/>
          <w:bCs/>
          <w:color w:val="auto"/>
          <w:szCs w:val="21"/>
        </w:rPr>
      </w:pPr>
      <w:r>
        <w:rPr>
          <w:rFonts w:hint="eastAsia"/>
          <w:bCs/>
          <w:color w:val="auto"/>
          <w:szCs w:val="21"/>
          <w:lang w:val="en-US" w:eastAsia="zh-CN"/>
        </w:rPr>
        <w:t>本文件</w:t>
      </w:r>
      <w:r>
        <w:rPr>
          <w:bCs/>
          <w:color w:val="auto"/>
          <w:szCs w:val="21"/>
        </w:rPr>
        <w:t>适用于湖北省建筑工程的地基基础设计及施工，市政工程可参照使用。基坑工程支护结构为永久结构时应符合本文件的相关规定。对于基坑工程</w:t>
      </w:r>
      <w:r>
        <w:rPr>
          <w:rFonts w:hint="eastAsia"/>
          <w:bCs/>
          <w:color w:val="auto"/>
          <w:szCs w:val="21"/>
        </w:rPr>
        <w:t>及建筑</w:t>
      </w:r>
      <w:r>
        <w:rPr>
          <w:bCs/>
          <w:color w:val="auto"/>
          <w:szCs w:val="21"/>
        </w:rPr>
        <w:t>地基</w:t>
      </w:r>
      <w:r>
        <w:rPr>
          <w:rFonts w:hint="eastAsia"/>
          <w:bCs/>
          <w:color w:val="auto"/>
          <w:szCs w:val="21"/>
        </w:rPr>
        <w:t>基础设计、施工、</w:t>
      </w:r>
      <w:r>
        <w:rPr>
          <w:bCs/>
          <w:color w:val="auto"/>
          <w:szCs w:val="21"/>
        </w:rPr>
        <w:t>检测</w:t>
      </w:r>
      <w:r>
        <w:rPr>
          <w:rFonts w:hint="eastAsia"/>
          <w:bCs/>
          <w:color w:val="auto"/>
          <w:szCs w:val="21"/>
        </w:rPr>
        <w:t>和</w:t>
      </w:r>
      <w:r>
        <w:rPr>
          <w:bCs/>
          <w:color w:val="auto"/>
          <w:szCs w:val="21"/>
        </w:rPr>
        <w:t>质量验收，尚应符合</w:t>
      </w:r>
      <w:r>
        <w:rPr>
          <w:rFonts w:hint="eastAsia"/>
          <w:bCs/>
          <w:color w:val="auto"/>
          <w:szCs w:val="21"/>
        </w:rPr>
        <w:t>国家</w:t>
      </w:r>
      <w:r>
        <w:rPr>
          <w:bCs/>
          <w:color w:val="auto"/>
          <w:szCs w:val="21"/>
        </w:rPr>
        <w:t>现行有关标准的规定。</w:t>
      </w:r>
    </w:p>
    <w:p w14:paraId="550C4FBD">
      <w:pPr>
        <w:pStyle w:val="32"/>
        <w:adjustRightInd w:val="0"/>
        <w:snapToGrid w:val="0"/>
        <w:spacing w:after="0" w:line="340" w:lineRule="atLeast"/>
        <w:ind w:left="1" w:firstLine="420" w:firstLineChars="200"/>
        <w:rPr>
          <w:color w:val="auto"/>
          <w:szCs w:val="21"/>
        </w:rPr>
      </w:pPr>
    </w:p>
    <w:p w14:paraId="2613BB00">
      <w:pPr>
        <w:numPr>
          <w:ilvl w:val="0"/>
          <w:numId w:val="1"/>
        </w:numPr>
        <w:adjustRightInd w:val="0"/>
        <w:snapToGrid w:val="0"/>
        <w:outlineLvl w:val="0"/>
        <w:rPr>
          <w:rFonts w:eastAsia="黑体"/>
          <w:b/>
          <w:bCs/>
          <w:color w:val="auto"/>
        </w:rPr>
      </w:pPr>
      <w:bookmarkStart w:id="4" w:name="_Toc199943568"/>
      <w:r>
        <w:rPr>
          <w:rFonts w:hint="eastAsia" w:eastAsia="黑体"/>
          <w:b/>
          <w:bCs/>
          <w:color w:val="auto"/>
        </w:rPr>
        <w:t>规范性引用文件</w:t>
      </w:r>
      <w:bookmarkEnd w:id="4"/>
    </w:p>
    <w:p w14:paraId="7E1A5062">
      <w:pPr>
        <w:adjustRightInd w:val="0"/>
        <w:snapToGrid w:val="0"/>
        <w:spacing w:line="340" w:lineRule="atLeast"/>
        <w:rPr>
          <w:rFonts w:eastAsia="黑体"/>
          <w:b/>
          <w:bCs/>
          <w:color w:val="auto"/>
        </w:rPr>
      </w:pPr>
    </w:p>
    <w:p w14:paraId="0DE75F90">
      <w:pPr>
        <w:pStyle w:val="32"/>
        <w:adjustRightInd w:val="0"/>
        <w:snapToGrid w:val="0"/>
        <w:spacing w:after="0" w:line="340" w:lineRule="atLeast"/>
        <w:ind w:left="1" w:firstLine="420" w:firstLineChars="200"/>
        <w:rPr>
          <w:rFonts w:eastAsia="黑体"/>
          <w:b/>
          <w:bCs/>
          <w:color w:val="auto"/>
        </w:rPr>
      </w:pPr>
      <w:r>
        <w:rPr>
          <w:bCs/>
          <w:color w:val="auto"/>
          <w:szCs w:val="21"/>
        </w:rPr>
        <w:t>下列文件</w:t>
      </w:r>
      <w:r>
        <w:rPr>
          <w:rFonts w:hint="eastAsia"/>
          <w:bCs/>
          <w:color w:val="auto"/>
          <w:szCs w:val="21"/>
        </w:rPr>
        <w:t>对于本文件的应用是必不可少的</w:t>
      </w:r>
      <w:r>
        <w:rPr>
          <w:bCs/>
          <w:color w:val="auto"/>
          <w:szCs w:val="21"/>
        </w:rPr>
        <w:t>。凡是注明日期的引用文件，</w:t>
      </w:r>
      <w:r>
        <w:rPr>
          <w:rFonts w:hint="eastAsia"/>
          <w:bCs/>
          <w:color w:val="auto"/>
          <w:szCs w:val="21"/>
        </w:rPr>
        <w:t>仅所注明日期的版本适用于本文件。凡是不注明日期的引用文件，其最新版本（包括所有的修改单）</w:t>
      </w:r>
      <w:r>
        <w:rPr>
          <w:bCs/>
          <w:color w:val="auto"/>
          <w:szCs w:val="21"/>
        </w:rPr>
        <w:t>适用于本</w:t>
      </w:r>
      <w:r>
        <w:rPr>
          <w:rFonts w:hint="eastAsia"/>
          <w:bCs/>
          <w:color w:val="auto"/>
          <w:szCs w:val="21"/>
        </w:rPr>
        <w:t>文件</w:t>
      </w:r>
      <w:r>
        <w:rPr>
          <w:bCs/>
          <w:color w:val="auto"/>
          <w:szCs w:val="21"/>
        </w:rPr>
        <w:t>。</w:t>
      </w:r>
    </w:p>
    <w:p w14:paraId="282DF1C8">
      <w:pPr>
        <w:pStyle w:val="32"/>
        <w:adjustRightInd w:val="0"/>
        <w:snapToGrid w:val="0"/>
        <w:spacing w:after="0" w:line="340" w:lineRule="atLeast"/>
        <w:ind w:left="1" w:firstLine="420" w:firstLineChars="200"/>
        <w:rPr>
          <w:bCs/>
          <w:color w:val="auto"/>
          <w:szCs w:val="21"/>
        </w:rPr>
      </w:pPr>
      <w:r>
        <w:rPr>
          <w:bCs/>
          <w:color w:val="auto"/>
          <w:szCs w:val="21"/>
        </w:rPr>
        <w:t>GB</w:t>
      </w:r>
      <w:r>
        <w:rPr>
          <w:rFonts w:hint="eastAsia"/>
          <w:bCs/>
          <w:color w:val="auto"/>
          <w:szCs w:val="21"/>
          <w:lang w:val="en-US" w:eastAsia="zh-CN"/>
        </w:rPr>
        <w:t xml:space="preserve"> </w:t>
      </w:r>
      <w:r>
        <w:rPr>
          <w:bCs/>
          <w:color w:val="auto"/>
          <w:szCs w:val="21"/>
        </w:rPr>
        <w:t>50007</w:t>
      </w:r>
      <w:r>
        <w:rPr>
          <w:rFonts w:hint="eastAsia"/>
          <w:bCs/>
          <w:color w:val="auto"/>
          <w:szCs w:val="21"/>
        </w:rPr>
        <w:t xml:space="preserve"> </w:t>
      </w:r>
      <w:r>
        <w:rPr>
          <w:bCs/>
          <w:color w:val="auto"/>
          <w:szCs w:val="21"/>
        </w:rPr>
        <w:t>建筑地基基础设计规范</w:t>
      </w:r>
    </w:p>
    <w:p w14:paraId="3B11A983">
      <w:pPr>
        <w:pStyle w:val="32"/>
        <w:adjustRightInd w:val="0"/>
        <w:snapToGrid w:val="0"/>
        <w:spacing w:after="0" w:line="340" w:lineRule="atLeast"/>
        <w:ind w:left="1" w:firstLine="420" w:firstLineChars="200"/>
        <w:rPr>
          <w:bCs/>
          <w:color w:val="auto"/>
          <w:szCs w:val="21"/>
        </w:rPr>
      </w:pPr>
      <w:r>
        <w:rPr>
          <w:bCs/>
          <w:color w:val="auto"/>
          <w:szCs w:val="21"/>
        </w:rPr>
        <w:t>GB/T</w:t>
      </w:r>
      <w:r>
        <w:rPr>
          <w:rFonts w:hint="eastAsia"/>
          <w:bCs/>
          <w:color w:val="auto"/>
          <w:szCs w:val="21"/>
          <w:lang w:val="en-US" w:eastAsia="zh-CN"/>
        </w:rPr>
        <w:t xml:space="preserve"> </w:t>
      </w:r>
      <w:r>
        <w:rPr>
          <w:bCs/>
          <w:color w:val="auto"/>
          <w:szCs w:val="21"/>
        </w:rPr>
        <w:t>50010</w:t>
      </w:r>
      <w:r>
        <w:rPr>
          <w:rFonts w:hint="eastAsia"/>
          <w:bCs/>
          <w:color w:val="auto"/>
          <w:szCs w:val="21"/>
        </w:rPr>
        <w:t xml:space="preserve"> </w:t>
      </w:r>
      <w:r>
        <w:rPr>
          <w:bCs/>
          <w:color w:val="auto"/>
          <w:szCs w:val="21"/>
        </w:rPr>
        <w:t>混凝土结构设计</w:t>
      </w:r>
      <w:r>
        <w:rPr>
          <w:rFonts w:hint="eastAsia"/>
          <w:bCs/>
          <w:color w:val="auto"/>
          <w:szCs w:val="21"/>
        </w:rPr>
        <w:t>标准</w:t>
      </w:r>
    </w:p>
    <w:p w14:paraId="16FE607C">
      <w:pPr>
        <w:pStyle w:val="32"/>
        <w:adjustRightInd w:val="0"/>
        <w:snapToGrid w:val="0"/>
        <w:spacing w:after="0" w:line="340" w:lineRule="atLeast"/>
        <w:ind w:left="1" w:firstLine="420" w:firstLineChars="200"/>
        <w:rPr>
          <w:bCs/>
          <w:color w:val="auto"/>
          <w:szCs w:val="21"/>
        </w:rPr>
      </w:pPr>
      <w:r>
        <w:rPr>
          <w:bCs/>
          <w:color w:val="auto"/>
          <w:szCs w:val="21"/>
        </w:rPr>
        <w:t>GB/T</w:t>
      </w:r>
      <w:r>
        <w:rPr>
          <w:rFonts w:hint="eastAsia"/>
          <w:bCs/>
          <w:color w:val="auto"/>
          <w:szCs w:val="21"/>
          <w:lang w:val="en-US" w:eastAsia="zh-CN"/>
        </w:rPr>
        <w:t xml:space="preserve"> </w:t>
      </w:r>
      <w:r>
        <w:rPr>
          <w:bCs/>
          <w:color w:val="auto"/>
          <w:szCs w:val="21"/>
        </w:rPr>
        <w:t>50011</w:t>
      </w:r>
      <w:r>
        <w:rPr>
          <w:rFonts w:hint="eastAsia"/>
          <w:bCs/>
          <w:color w:val="auto"/>
          <w:szCs w:val="21"/>
        </w:rPr>
        <w:t xml:space="preserve"> </w:t>
      </w:r>
      <w:r>
        <w:rPr>
          <w:bCs/>
          <w:color w:val="auto"/>
          <w:szCs w:val="21"/>
        </w:rPr>
        <w:t>建筑抗震设计</w:t>
      </w:r>
      <w:r>
        <w:rPr>
          <w:rFonts w:hint="eastAsia"/>
          <w:bCs/>
          <w:color w:val="auto"/>
          <w:szCs w:val="21"/>
        </w:rPr>
        <w:t>标准</w:t>
      </w:r>
    </w:p>
    <w:p w14:paraId="209C6338">
      <w:pPr>
        <w:pStyle w:val="32"/>
        <w:adjustRightInd w:val="0"/>
        <w:snapToGrid w:val="0"/>
        <w:spacing w:after="0" w:line="340" w:lineRule="atLeast"/>
        <w:ind w:left="1" w:firstLine="420" w:firstLineChars="200"/>
        <w:rPr>
          <w:bCs/>
          <w:color w:val="auto"/>
          <w:szCs w:val="21"/>
        </w:rPr>
      </w:pPr>
      <w:r>
        <w:rPr>
          <w:bCs/>
          <w:color w:val="auto"/>
          <w:szCs w:val="21"/>
        </w:rPr>
        <w:t>GB</w:t>
      </w:r>
      <w:r>
        <w:rPr>
          <w:rFonts w:hint="eastAsia"/>
          <w:bCs/>
          <w:color w:val="auto"/>
          <w:szCs w:val="21"/>
          <w:lang w:val="en-US" w:eastAsia="zh-CN"/>
        </w:rPr>
        <w:t xml:space="preserve"> </w:t>
      </w:r>
      <w:r>
        <w:rPr>
          <w:bCs/>
          <w:color w:val="auto"/>
          <w:szCs w:val="21"/>
        </w:rPr>
        <w:t>50021</w:t>
      </w:r>
      <w:r>
        <w:rPr>
          <w:rFonts w:hint="eastAsia"/>
          <w:bCs/>
          <w:color w:val="auto"/>
          <w:szCs w:val="21"/>
        </w:rPr>
        <w:t xml:space="preserve"> </w:t>
      </w:r>
      <w:r>
        <w:rPr>
          <w:bCs/>
          <w:color w:val="auto"/>
          <w:szCs w:val="21"/>
        </w:rPr>
        <w:t>岩土工程勘察规范</w:t>
      </w:r>
    </w:p>
    <w:p w14:paraId="66E66336">
      <w:pPr>
        <w:pStyle w:val="32"/>
        <w:adjustRightInd w:val="0"/>
        <w:snapToGrid w:val="0"/>
        <w:spacing w:after="0" w:line="340" w:lineRule="atLeast"/>
        <w:ind w:left="1" w:firstLine="420" w:firstLineChars="200"/>
        <w:rPr>
          <w:bCs/>
          <w:color w:val="auto"/>
          <w:szCs w:val="21"/>
        </w:rPr>
      </w:pPr>
      <w:r>
        <w:rPr>
          <w:bCs/>
          <w:color w:val="auto"/>
          <w:szCs w:val="21"/>
        </w:rPr>
        <w:t>GB</w:t>
      </w:r>
      <w:r>
        <w:rPr>
          <w:rFonts w:hint="eastAsia"/>
          <w:bCs/>
          <w:color w:val="auto"/>
          <w:szCs w:val="21"/>
          <w:lang w:val="en-US" w:eastAsia="zh-CN"/>
        </w:rPr>
        <w:t xml:space="preserve"> </w:t>
      </w:r>
      <w:r>
        <w:rPr>
          <w:bCs/>
          <w:color w:val="auto"/>
          <w:szCs w:val="21"/>
        </w:rPr>
        <w:t>50046</w:t>
      </w:r>
      <w:r>
        <w:rPr>
          <w:rFonts w:hint="eastAsia"/>
          <w:bCs/>
          <w:color w:val="auto"/>
          <w:szCs w:val="21"/>
        </w:rPr>
        <w:t xml:space="preserve"> </w:t>
      </w:r>
      <w:r>
        <w:rPr>
          <w:bCs/>
          <w:color w:val="auto"/>
          <w:szCs w:val="21"/>
        </w:rPr>
        <w:t>工业建筑防腐蚀设计</w:t>
      </w:r>
      <w:r>
        <w:rPr>
          <w:rFonts w:hint="eastAsia"/>
          <w:bCs/>
          <w:color w:val="auto"/>
          <w:szCs w:val="21"/>
        </w:rPr>
        <w:t>标准</w:t>
      </w:r>
    </w:p>
    <w:p w14:paraId="2C5EF444">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50108地下工程防水技术规范</w:t>
      </w:r>
    </w:p>
    <w:p w14:paraId="19CCCAEA">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50112膨胀土地区建筑技术规范</w:t>
      </w:r>
    </w:p>
    <w:p w14:paraId="78A8DBD7">
      <w:pPr>
        <w:pStyle w:val="32"/>
        <w:adjustRightInd w:val="0"/>
        <w:snapToGrid w:val="0"/>
        <w:spacing w:after="0" w:line="340" w:lineRule="atLeast"/>
        <w:ind w:left="1" w:firstLine="420" w:firstLineChars="200"/>
        <w:rPr>
          <w:bCs/>
          <w:color w:val="auto"/>
          <w:szCs w:val="21"/>
        </w:rPr>
      </w:pPr>
      <w:r>
        <w:rPr>
          <w:rFonts w:hint="eastAsia"/>
          <w:bCs/>
          <w:color w:val="auto"/>
          <w:szCs w:val="21"/>
        </w:rPr>
        <w:t>GB/T 50123土工试验方法标准</w:t>
      </w:r>
    </w:p>
    <w:p w14:paraId="571A4CF4">
      <w:pPr>
        <w:pStyle w:val="32"/>
        <w:adjustRightInd w:val="0"/>
        <w:snapToGrid w:val="0"/>
        <w:spacing w:after="0" w:line="340" w:lineRule="atLeast"/>
        <w:ind w:left="1" w:firstLine="420" w:firstLineChars="200"/>
        <w:rPr>
          <w:bCs/>
          <w:color w:val="auto"/>
          <w:szCs w:val="21"/>
        </w:rPr>
      </w:pPr>
      <w:r>
        <w:rPr>
          <w:rFonts w:hint="eastAsia"/>
          <w:bCs/>
          <w:color w:val="auto"/>
          <w:szCs w:val="21"/>
        </w:rPr>
        <w:t>GB/T</w:t>
      </w:r>
      <w:r>
        <w:rPr>
          <w:rFonts w:hint="eastAsia"/>
          <w:bCs/>
          <w:color w:val="auto"/>
          <w:szCs w:val="21"/>
          <w:lang w:val="en-US" w:eastAsia="zh-CN"/>
        </w:rPr>
        <w:t xml:space="preserve"> </w:t>
      </w:r>
      <w:r>
        <w:rPr>
          <w:rFonts w:hint="eastAsia"/>
          <w:bCs/>
          <w:color w:val="auto"/>
          <w:szCs w:val="21"/>
        </w:rPr>
        <w:t>50266工程岩体试验方法标准</w:t>
      </w:r>
    </w:p>
    <w:p w14:paraId="60629A1A">
      <w:pPr>
        <w:pStyle w:val="32"/>
        <w:adjustRightInd w:val="0"/>
        <w:snapToGrid w:val="0"/>
        <w:spacing w:after="0" w:line="340" w:lineRule="atLeast"/>
        <w:ind w:left="1" w:firstLine="420" w:firstLineChars="200"/>
        <w:rPr>
          <w:bCs/>
          <w:color w:val="auto"/>
          <w:szCs w:val="21"/>
        </w:rPr>
      </w:pPr>
      <w:r>
        <w:rPr>
          <w:rFonts w:hint="eastAsia"/>
          <w:bCs/>
          <w:color w:val="auto"/>
          <w:szCs w:val="21"/>
        </w:rPr>
        <w:t>GB 50307城市轨道交通岩土工程勘察规范</w:t>
      </w:r>
    </w:p>
    <w:p w14:paraId="44E725B8">
      <w:pPr>
        <w:pStyle w:val="32"/>
        <w:adjustRightInd w:val="0"/>
        <w:snapToGrid w:val="0"/>
        <w:spacing w:after="0" w:line="340" w:lineRule="atLeast"/>
        <w:ind w:left="1" w:firstLine="420" w:firstLineChars="200"/>
        <w:rPr>
          <w:bCs/>
          <w:color w:val="auto"/>
          <w:szCs w:val="21"/>
        </w:rPr>
      </w:pPr>
      <w:r>
        <w:rPr>
          <w:rFonts w:hint="eastAsia"/>
          <w:bCs/>
          <w:color w:val="auto"/>
          <w:szCs w:val="21"/>
        </w:rPr>
        <w:t>GB 50325民用建筑工程室内环境污染控制标准</w:t>
      </w:r>
    </w:p>
    <w:p w14:paraId="25FFF6D7">
      <w:pPr>
        <w:pStyle w:val="32"/>
        <w:adjustRightInd w:val="0"/>
        <w:snapToGrid w:val="0"/>
        <w:spacing w:after="0" w:line="340" w:lineRule="atLeast"/>
        <w:ind w:left="1" w:firstLine="420" w:firstLineChars="200"/>
        <w:rPr>
          <w:bCs/>
          <w:color w:val="auto"/>
          <w:szCs w:val="21"/>
        </w:rPr>
      </w:pPr>
      <w:r>
        <w:rPr>
          <w:bCs/>
          <w:color w:val="auto"/>
          <w:szCs w:val="21"/>
        </w:rPr>
        <w:t>GB</w:t>
      </w:r>
      <w:r>
        <w:rPr>
          <w:rFonts w:hint="eastAsia"/>
          <w:bCs/>
          <w:color w:val="auto"/>
          <w:szCs w:val="21"/>
          <w:lang w:val="en-US" w:eastAsia="zh-CN"/>
        </w:rPr>
        <w:t xml:space="preserve"> </w:t>
      </w:r>
      <w:r>
        <w:rPr>
          <w:bCs/>
          <w:color w:val="auto"/>
          <w:szCs w:val="21"/>
        </w:rPr>
        <w:t>50330</w:t>
      </w:r>
      <w:r>
        <w:rPr>
          <w:rFonts w:hint="eastAsia"/>
          <w:bCs/>
          <w:color w:val="auto"/>
          <w:szCs w:val="21"/>
        </w:rPr>
        <w:t xml:space="preserve"> </w:t>
      </w:r>
      <w:r>
        <w:rPr>
          <w:bCs/>
          <w:color w:val="auto"/>
          <w:szCs w:val="21"/>
        </w:rPr>
        <w:t>建筑边坡工程技术规范</w:t>
      </w:r>
    </w:p>
    <w:p w14:paraId="718E5777">
      <w:pPr>
        <w:pStyle w:val="32"/>
        <w:adjustRightInd w:val="0"/>
        <w:snapToGrid w:val="0"/>
        <w:spacing w:after="0" w:line="340" w:lineRule="atLeast"/>
        <w:ind w:left="1" w:firstLine="420" w:firstLineChars="200"/>
        <w:rPr>
          <w:bCs/>
          <w:color w:val="auto"/>
          <w:szCs w:val="21"/>
        </w:rPr>
      </w:pPr>
      <w:r>
        <w:rPr>
          <w:rFonts w:hint="eastAsia"/>
          <w:bCs/>
          <w:color w:val="auto"/>
          <w:szCs w:val="21"/>
        </w:rPr>
        <w:t>GB/T</w:t>
      </w:r>
      <w:r>
        <w:rPr>
          <w:rFonts w:hint="eastAsia"/>
          <w:bCs/>
          <w:color w:val="auto"/>
          <w:szCs w:val="21"/>
          <w:lang w:val="en-US" w:eastAsia="zh-CN"/>
        </w:rPr>
        <w:t xml:space="preserve"> </w:t>
      </w:r>
      <w:r>
        <w:rPr>
          <w:rFonts w:hint="eastAsia"/>
          <w:bCs/>
          <w:color w:val="auto"/>
          <w:szCs w:val="21"/>
        </w:rPr>
        <w:t>50476混凝土耐久性设计标准</w:t>
      </w:r>
    </w:p>
    <w:p w14:paraId="09CE2466">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50496大体积混凝土施工标准</w:t>
      </w:r>
    </w:p>
    <w:p w14:paraId="4BBA1840">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50497建筑基坑工程监测技术标准</w:t>
      </w:r>
    </w:p>
    <w:p w14:paraId="62B30837">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50652城市轨道交通地下工程建设风险管理规范</w:t>
      </w:r>
    </w:p>
    <w:p w14:paraId="2D819BB9">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50666混凝土结构工程施工规范</w:t>
      </w:r>
    </w:p>
    <w:p w14:paraId="000F930C">
      <w:pPr>
        <w:pStyle w:val="32"/>
        <w:adjustRightInd w:val="0"/>
        <w:snapToGrid w:val="0"/>
        <w:spacing w:after="0" w:line="340" w:lineRule="atLeast"/>
        <w:ind w:left="1" w:firstLine="420" w:firstLineChars="200"/>
        <w:rPr>
          <w:bCs/>
          <w:color w:val="auto"/>
          <w:szCs w:val="21"/>
        </w:rPr>
      </w:pPr>
      <w:r>
        <w:rPr>
          <w:rFonts w:hint="eastAsia"/>
          <w:color w:val="auto"/>
        </w:rPr>
        <w:t>GB</w:t>
      </w:r>
      <w:r>
        <w:rPr>
          <w:rFonts w:hint="eastAsia"/>
          <w:color w:val="auto"/>
          <w:lang w:val="en-US" w:eastAsia="zh-CN"/>
        </w:rPr>
        <w:t xml:space="preserve"> </w:t>
      </w:r>
      <w:r>
        <w:rPr>
          <w:rFonts w:hint="eastAsia"/>
          <w:color w:val="auto"/>
        </w:rPr>
        <w:t>55001</w:t>
      </w:r>
      <w:r>
        <w:rPr>
          <w:color w:val="auto"/>
        </w:rPr>
        <w:t xml:space="preserve"> </w:t>
      </w:r>
      <w:r>
        <w:rPr>
          <w:rFonts w:hint="eastAsia"/>
          <w:color w:val="auto"/>
        </w:rPr>
        <w:t>工程结构通用规范</w:t>
      </w:r>
    </w:p>
    <w:p w14:paraId="0EEBFA5C">
      <w:pPr>
        <w:pStyle w:val="32"/>
        <w:adjustRightInd w:val="0"/>
        <w:snapToGrid w:val="0"/>
        <w:spacing w:after="0" w:line="340" w:lineRule="atLeast"/>
        <w:ind w:left="1" w:firstLine="420" w:firstLineChars="200"/>
        <w:rPr>
          <w:bCs/>
          <w:color w:val="auto"/>
          <w:szCs w:val="21"/>
        </w:rPr>
      </w:pPr>
      <w:r>
        <w:rPr>
          <w:rFonts w:hint="eastAsia"/>
          <w:bCs/>
          <w:color w:val="auto"/>
          <w:szCs w:val="21"/>
        </w:rPr>
        <w:t>GB</w:t>
      </w:r>
      <w:r>
        <w:rPr>
          <w:rFonts w:hint="eastAsia"/>
          <w:bCs/>
          <w:color w:val="auto"/>
          <w:szCs w:val="21"/>
          <w:lang w:val="en-US" w:eastAsia="zh-CN"/>
        </w:rPr>
        <w:t xml:space="preserve"> </w:t>
      </w:r>
      <w:r>
        <w:rPr>
          <w:rFonts w:hint="eastAsia"/>
          <w:bCs/>
          <w:color w:val="auto"/>
          <w:szCs w:val="21"/>
        </w:rPr>
        <w:t>55008</w:t>
      </w:r>
      <w:r>
        <w:rPr>
          <w:bCs/>
          <w:color w:val="auto"/>
          <w:szCs w:val="21"/>
        </w:rPr>
        <w:t xml:space="preserve"> </w:t>
      </w:r>
      <w:r>
        <w:rPr>
          <w:rFonts w:hint="eastAsia"/>
          <w:bCs/>
          <w:color w:val="auto"/>
          <w:szCs w:val="21"/>
        </w:rPr>
        <w:t>混凝土结构通用规范</w:t>
      </w:r>
    </w:p>
    <w:p w14:paraId="594CAC1A">
      <w:pPr>
        <w:pStyle w:val="32"/>
        <w:adjustRightInd w:val="0"/>
        <w:snapToGrid w:val="0"/>
        <w:spacing w:after="0" w:line="340" w:lineRule="atLeast"/>
        <w:ind w:left="1" w:firstLine="420" w:firstLineChars="200"/>
        <w:rPr>
          <w:bCs/>
          <w:color w:val="auto"/>
          <w:szCs w:val="21"/>
        </w:rPr>
      </w:pPr>
      <w:r>
        <w:rPr>
          <w:rFonts w:hint="eastAsia"/>
          <w:bCs/>
          <w:color w:val="auto"/>
          <w:szCs w:val="21"/>
        </w:rPr>
        <w:t>GB 55033城市轨道交通工程项目规范</w:t>
      </w:r>
    </w:p>
    <w:p w14:paraId="0B271325">
      <w:pPr>
        <w:pStyle w:val="32"/>
        <w:adjustRightInd w:val="0"/>
        <w:snapToGrid w:val="0"/>
        <w:spacing w:after="0" w:line="340" w:lineRule="atLeast"/>
        <w:ind w:left="1" w:firstLine="420" w:firstLineChars="200"/>
        <w:rPr>
          <w:bCs/>
          <w:color w:val="auto"/>
          <w:szCs w:val="21"/>
        </w:rPr>
      </w:pPr>
      <w:r>
        <w:rPr>
          <w:rFonts w:hint="eastAsia"/>
          <w:bCs/>
          <w:color w:val="auto"/>
          <w:szCs w:val="21"/>
        </w:rPr>
        <w:t>JGJ</w:t>
      </w:r>
      <w:r>
        <w:rPr>
          <w:bCs/>
          <w:color w:val="auto"/>
          <w:szCs w:val="21"/>
        </w:rPr>
        <w:t>/</w:t>
      </w:r>
      <w:r>
        <w:rPr>
          <w:rFonts w:hint="eastAsia"/>
          <w:bCs/>
          <w:color w:val="auto"/>
          <w:szCs w:val="21"/>
        </w:rPr>
        <w:t>T</w:t>
      </w:r>
      <w:r>
        <w:rPr>
          <w:rFonts w:hint="eastAsia"/>
          <w:bCs/>
          <w:color w:val="auto"/>
          <w:szCs w:val="21"/>
          <w:lang w:val="en-US" w:eastAsia="zh-CN"/>
        </w:rPr>
        <w:t xml:space="preserve"> </w:t>
      </w:r>
      <w:r>
        <w:rPr>
          <w:rFonts w:hint="eastAsia"/>
          <w:bCs/>
          <w:color w:val="auto"/>
          <w:szCs w:val="21"/>
        </w:rPr>
        <w:t>72高层建筑岩土工程勘察标准</w:t>
      </w:r>
    </w:p>
    <w:p w14:paraId="72276973">
      <w:pPr>
        <w:pStyle w:val="32"/>
        <w:adjustRightInd w:val="0"/>
        <w:snapToGrid w:val="0"/>
        <w:spacing w:after="0" w:line="340" w:lineRule="atLeast"/>
        <w:ind w:left="1" w:firstLine="420" w:firstLineChars="200"/>
        <w:rPr>
          <w:bCs/>
          <w:color w:val="auto"/>
          <w:szCs w:val="21"/>
        </w:rPr>
      </w:pPr>
      <w:r>
        <w:rPr>
          <w:bCs/>
          <w:color w:val="auto"/>
          <w:szCs w:val="21"/>
        </w:rPr>
        <w:t>JGJ</w:t>
      </w:r>
      <w:r>
        <w:rPr>
          <w:rFonts w:hint="eastAsia"/>
          <w:bCs/>
          <w:color w:val="auto"/>
          <w:szCs w:val="21"/>
          <w:lang w:val="en-US" w:eastAsia="zh-CN"/>
        </w:rPr>
        <w:t xml:space="preserve"> </w:t>
      </w:r>
      <w:r>
        <w:rPr>
          <w:bCs/>
          <w:color w:val="auto"/>
          <w:szCs w:val="21"/>
        </w:rPr>
        <w:t>94</w:t>
      </w:r>
      <w:r>
        <w:rPr>
          <w:rFonts w:hint="eastAsia"/>
          <w:bCs/>
          <w:color w:val="auto"/>
          <w:szCs w:val="21"/>
        </w:rPr>
        <w:t xml:space="preserve"> </w:t>
      </w:r>
      <w:r>
        <w:rPr>
          <w:bCs/>
          <w:color w:val="auto"/>
          <w:szCs w:val="21"/>
        </w:rPr>
        <w:t>建筑桩基技术规范</w:t>
      </w:r>
      <w:r>
        <w:rPr>
          <w:rFonts w:hint="eastAsia"/>
          <w:bCs/>
          <w:color w:val="auto"/>
          <w:szCs w:val="21"/>
        </w:rPr>
        <w:t xml:space="preserve"> </w:t>
      </w:r>
    </w:p>
    <w:p w14:paraId="6EC6AFB4">
      <w:pPr>
        <w:pStyle w:val="32"/>
        <w:adjustRightInd w:val="0"/>
        <w:snapToGrid w:val="0"/>
        <w:spacing w:after="0" w:line="340" w:lineRule="atLeast"/>
        <w:ind w:left="1" w:firstLine="420" w:firstLineChars="200"/>
        <w:rPr>
          <w:bCs/>
          <w:color w:val="auto"/>
          <w:szCs w:val="21"/>
        </w:rPr>
      </w:pPr>
      <w:r>
        <w:rPr>
          <w:rFonts w:hint="eastAsia"/>
          <w:bCs/>
          <w:color w:val="auto"/>
          <w:szCs w:val="21"/>
        </w:rPr>
        <w:t>JGJ</w:t>
      </w:r>
      <w:r>
        <w:rPr>
          <w:rFonts w:hint="eastAsia"/>
          <w:bCs/>
          <w:color w:val="auto"/>
          <w:szCs w:val="21"/>
          <w:lang w:val="en-US" w:eastAsia="zh-CN"/>
        </w:rPr>
        <w:t xml:space="preserve"> </w:t>
      </w:r>
      <w:r>
        <w:rPr>
          <w:rFonts w:hint="eastAsia"/>
          <w:bCs/>
          <w:color w:val="auto"/>
          <w:szCs w:val="21"/>
        </w:rPr>
        <w:t>120建筑基坑支护技术规程</w:t>
      </w:r>
    </w:p>
    <w:p w14:paraId="7DF04561">
      <w:pPr>
        <w:pStyle w:val="32"/>
        <w:adjustRightInd w:val="0"/>
        <w:snapToGrid w:val="0"/>
        <w:spacing w:after="0" w:line="340" w:lineRule="atLeast"/>
        <w:ind w:left="1" w:firstLine="420" w:firstLineChars="200"/>
        <w:rPr>
          <w:rFonts w:ascii="宋体" w:hAnsi="宋体"/>
          <w:bCs/>
          <w:color w:val="auto"/>
          <w:szCs w:val="21"/>
        </w:rPr>
      </w:pPr>
      <w:r>
        <w:rPr>
          <w:rFonts w:hint="eastAsia" w:ascii="宋体" w:hAnsi="宋体"/>
          <w:bCs/>
          <w:color w:val="auto"/>
          <w:szCs w:val="21"/>
        </w:rPr>
        <w:t>JGJ</w:t>
      </w:r>
      <w:r>
        <w:rPr>
          <w:rFonts w:hint="eastAsia" w:ascii="宋体" w:hAnsi="宋体"/>
          <w:bCs/>
          <w:color w:val="auto"/>
          <w:szCs w:val="21"/>
          <w:lang w:val="en-US" w:eastAsia="zh-CN"/>
        </w:rPr>
        <w:t xml:space="preserve"> </w:t>
      </w:r>
      <w:r>
        <w:rPr>
          <w:rFonts w:hint="eastAsia" w:ascii="宋体" w:hAnsi="宋体"/>
          <w:bCs/>
          <w:color w:val="auto"/>
          <w:szCs w:val="21"/>
        </w:rPr>
        <w:t>476建筑工程抗浮技术标准</w:t>
      </w:r>
    </w:p>
    <w:p w14:paraId="6C19805D">
      <w:pPr>
        <w:pStyle w:val="32"/>
        <w:adjustRightInd w:val="0"/>
        <w:snapToGrid w:val="0"/>
        <w:spacing w:after="0" w:line="340" w:lineRule="atLeast"/>
        <w:ind w:left="1" w:firstLine="420" w:firstLineChars="200"/>
        <w:rPr>
          <w:rFonts w:ascii="宋体" w:hAnsi="宋体"/>
          <w:bCs/>
          <w:color w:val="auto"/>
          <w:szCs w:val="21"/>
        </w:rPr>
      </w:pPr>
      <w:r>
        <w:rPr>
          <w:rFonts w:hint="eastAsia" w:ascii="宋体" w:hAnsi="宋体"/>
          <w:bCs/>
          <w:color w:val="auto"/>
          <w:szCs w:val="21"/>
        </w:rPr>
        <w:t>CJJ/T 202城市轨道交通结构安全保护技术规范</w:t>
      </w:r>
    </w:p>
    <w:p w14:paraId="1B6B2A79">
      <w:pPr>
        <w:pStyle w:val="32"/>
        <w:adjustRightInd w:val="0"/>
        <w:snapToGrid w:val="0"/>
        <w:spacing w:after="0" w:line="340" w:lineRule="atLeast"/>
        <w:ind w:left="1" w:firstLine="420" w:firstLineChars="200"/>
        <w:rPr>
          <w:rFonts w:ascii="宋体" w:hAnsi="宋体"/>
          <w:bCs/>
          <w:color w:val="auto"/>
          <w:szCs w:val="21"/>
        </w:rPr>
      </w:pPr>
      <w:r>
        <w:rPr>
          <w:rFonts w:hint="eastAsia" w:ascii="宋体" w:hAnsi="宋体"/>
          <w:bCs/>
          <w:color w:val="auto"/>
          <w:szCs w:val="21"/>
        </w:rPr>
        <w:t>DB42/T</w:t>
      </w:r>
      <w:r>
        <w:rPr>
          <w:rFonts w:hint="eastAsia" w:ascii="宋体" w:hAnsi="宋体"/>
          <w:bCs/>
          <w:color w:val="auto"/>
          <w:szCs w:val="21"/>
          <w:lang w:val="en-US" w:eastAsia="zh-CN"/>
        </w:rPr>
        <w:t xml:space="preserve"> </w:t>
      </w:r>
      <w:r>
        <w:rPr>
          <w:rFonts w:hint="eastAsia" w:ascii="宋体" w:hAnsi="宋体"/>
          <w:bCs/>
          <w:color w:val="auto"/>
          <w:szCs w:val="21"/>
        </w:rPr>
        <w:t>159基坑工程技术规程</w:t>
      </w:r>
    </w:p>
    <w:p w14:paraId="0A237B33">
      <w:pPr>
        <w:pStyle w:val="32"/>
        <w:adjustRightInd w:val="0"/>
        <w:snapToGrid w:val="0"/>
        <w:spacing w:after="0" w:line="340" w:lineRule="atLeast"/>
        <w:ind w:left="1" w:firstLine="420" w:firstLineChars="200"/>
        <w:rPr>
          <w:rFonts w:ascii="宋体" w:hAnsi="宋体"/>
          <w:bCs/>
          <w:color w:val="auto"/>
          <w:szCs w:val="21"/>
        </w:rPr>
      </w:pPr>
      <w:r>
        <w:rPr>
          <w:rFonts w:hint="eastAsia" w:ascii="宋体" w:hAnsi="宋体"/>
          <w:bCs/>
          <w:color w:val="auto"/>
          <w:szCs w:val="21"/>
        </w:rPr>
        <w:t>DB42/489预应力混凝土管桩和空心方桩基础技术规程</w:t>
      </w:r>
    </w:p>
    <w:p w14:paraId="4BEFBA59">
      <w:pPr>
        <w:pStyle w:val="32"/>
        <w:adjustRightInd w:val="0"/>
        <w:snapToGrid w:val="0"/>
        <w:spacing w:after="0" w:line="340" w:lineRule="atLeast"/>
        <w:ind w:left="1" w:firstLine="420" w:firstLineChars="200"/>
        <w:rPr>
          <w:rFonts w:ascii="宋体" w:hAnsi="宋体"/>
          <w:bCs/>
          <w:color w:val="auto"/>
          <w:szCs w:val="21"/>
        </w:rPr>
      </w:pPr>
      <w:r>
        <w:rPr>
          <w:rFonts w:hint="eastAsia" w:ascii="宋体" w:hAnsi="宋体"/>
          <w:bCs/>
          <w:color w:val="auto"/>
          <w:szCs w:val="21"/>
        </w:rPr>
        <w:t>DB42/T</w:t>
      </w:r>
      <w:r>
        <w:rPr>
          <w:rFonts w:hint="eastAsia" w:ascii="宋体" w:hAnsi="宋体"/>
          <w:bCs/>
          <w:color w:val="auto"/>
          <w:szCs w:val="21"/>
          <w:lang w:val="en-US" w:eastAsia="zh-CN"/>
        </w:rPr>
        <w:t xml:space="preserve"> </w:t>
      </w:r>
      <w:r>
        <w:rPr>
          <w:rFonts w:hint="eastAsia" w:ascii="宋体" w:hAnsi="宋体"/>
          <w:bCs/>
          <w:color w:val="auto"/>
          <w:szCs w:val="21"/>
        </w:rPr>
        <w:t>1710工程勘察钻探封孔技术规程</w:t>
      </w:r>
    </w:p>
    <w:p w14:paraId="6A54F870">
      <w:pPr>
        <w:pStyle w:val="32"/>
        <w:adjustRightInd w:val="0"/>
        <w:snapToGrid w:val="0"/>
        <w:spacing w:after="0" w:line="340" w:lineRule="atLeast"/>
        <w:rPr>
          <w:rFonts w:ascii="宋体" w:hAnsi="宋体"/>
          <w:bCs/>
          <w:color w:val="auto"/>
          <w:szCs w:val="21"/>
        </w:rPr>
      </w:pPr>
    </w:p>
    <w:p w14:paraId="32BC9374">
      <w:pPr>
        <w:numPr>
          <w:ilvl w:val="0"/>
          <w:numId w:val="1"/>
        </w:numPr>
        <w:adjustRightInd w:val="0"/>
        <w:snapToGrid w:val="0"/>
        <w:outlineLvl w:val="0"/>
        <w:rPr>
          <w:rFonts w:eastAsia="黑体"/>
          <w:b/>
          <w:bCs/>
          <w:color w:val="auto"/>
        </w:rPr>
      </w:pPr>
      <w:bookmarkStart w:id="5" w:name="_Toc199943569"/>
      <w:r>
        <w:rPr>
          <w:rFonts w:eastAsia="黑体"/>
          <w:b/>
          <w:bCs/>
          <w:color w:val="auto"/>
        </w:rPr>
        <w:t>术语和</w:t>
      </w:r>
      <w:r>
        <w:rPr>
          <w:rFonts w:hint="eastAsia" w:eastAsia="黑体"/>
          <w:b/>
          <w:bCs/>
          <w:color w:val="auto"/>
        </w:rPr>
        <w:t>定义</w:t>
      </w:r>
      <w:bookmarkEnd w:id="5"/>
    </w:p>
    <w:p w14:paraId="29D43832">
      <w:pPr>
        <w:adjustRightInd w:val="0"/>
        <w:snapToGrid w:val="0"/>
        <w:spacing w:line="360" w:lineRule="atLeast"/>
        <w:rPr>
          <w:rFonts w:eastAsia="黑体"/>
          <w:b/>
          <w:bCs/>
          <w:color w:val="auto"/>
        </w:rPr>
      </w:pPr>
    </w:p>
    <w:p w14:paraId="01F2D427">
      <w:pPr>
        <w:adjustRightInd w:val="0"/>
        <w:snapToGrid w:val="0"/>
        <w:spacing w:line="360" w:lineRule="atLeast"/>
        <w:rPr>
          <w:rFonts w:eastAsia="黑体"/>
          <w:b/>
          <w:bCs/>
          <w:color w:val="auto"/>
        </w:rPr>
      </w:pPr>
      <w:r>
        <w:rPr>
          <w:rFonts w:eastAsia="黑体"/>
          <w:b/>
          <w:bCs/>
          <w:color w:val="auto"/>
        </w:rPr>
        <w:t xml:space="preserve">3.1 </w:t>
      </w:r>
      <w:r>
        <w:rPr>
          <w:rFonts w:eastAsia="黑体"/>
          <w:color w:val="auto"/>
        </w:rPr>
        <w:t>术语</w:t>
      </w:r>
    </w:p>
    <w:p w14:paraId="5CFF5FDC">
      <w:pPr>
        <w:adjustRightInd w:val="0"/>
        <w:snapToGrid w:val="0"/>
        <w:spacing w:line="360" w:lineRule="atLeast"/>
        <w:ind w:firstLine="420"/>
        <w:rPr>
          <w:color w:val="auto"/>
          <w:szCs w:val="21"/>
        </w:rPr>
      </w:pPr>
      <w:r>
        <w:rPr>
          <w:rFonts w:hint="eastAsia"/>
          <w:color w:val="auto"/>
          <w:szCs w:val="21"/>
        </w:rPr>
        <w:t>GB 50007—2011界定的以及下列术语和定义适用于本文件，为了便于使用，以下重复列出了</w:t>
      </w:r>
    </w:p>
    <w:p w14:paraId="79B31A75">
      <w:pPr>
        <w:adjustRightInd w:val="0"/>
        <w:snapToGrid w:val="0"/>
        <w:spacing w:line="360" w:lineRule="atLeast"/>
        <w:rPr>
          <w:rFonts w:ascii="黑体" w:eastAsia="黑体"/>
          <w:color w:val="auto"/>
          <w:szCs w:val="21"/>
        </w:rPr>
      </w:pPr>
      <w:r>
        <w:rPr>
          <w:rFonts w:hint="eastAsia"/>
          <w:color w:val="auto"/>
          <w:szCs w:val="21"/>
        </w:rPr>
        <w:t>GB 50007—2011中的某些术语和定义。</w:t>
      </w:r>
    </w:p>
    <w:p w14:paraId="08A22396">
      <w:pPr>
        <w:pStyle w:val="20"/>
        <w:snapToGrid w:val="0"/>
        <w:spacing w:before="156" w:beforeLines="50" w:after="156" w:afterLines="50"/>
        <w:ind w:left="0" w:leftChars="0"/>
        <w:rPr>
          <w:color w:val="auto"/>
          <w:szCs w:val="21"/>
        </w:rPr>
      </w:pPr>
      <w:r>
        <w:rPr>
          <w:b/>
          <w:bCs/>
          <w:color w:val="auto"/>
          <w:szCs w:val="21"/>
        </w:rPr>
        <w:t>3</w:t>
      </w:r>
      <w:r>
        <w:rPr>
          <w:rFonts w:hint="eastAsia"/>
          <w:b/>
          <w:bCs/>
          <w:color w:val="auto"/>
          <w:szCs w:val="21"/>
        </w:rPr>
        <w:t>.1.1</w:t>
      </w:r>
      <w:r>
        <w:rPr>
          <w:rFonts w:hint="eastAsia" w:eastAsia="黑体"/>
          <w:b/>
          <w:bCs/>
          <w:color w:val="auto"/>
          <w:szCs w:val="21"/>
        </w:rPr>
        <w:t xml:space="preserve"> </w:t>
      </w:r>
      <w:r>
        <w:rPr>
          <w:b/>
          <w:bCs/>
          <w:color w:val="auto"/>
          <w:szCs w:val="21"/>
        </w:rPr>
        <w:t xml:space="preserve"> </w:t>
      </w:r>
      <w:r>
        <w:rPr>
          <w:color w:val="auto"/>
          <w:szCs w:val="21"/>
        </w:rPr>
        <w:t xml:space="preserve">地基  </w:t>
      </w:r>
      <w:r>
        <w:rPr>
          <w:b/>
          <w:color w:val="auto"/>
          <w:szCs w:val="21"/>
        </w:rPr>
        <w:t>gro</w:t>
      </w:r>
      <w:r>
        <w:rPr>
          <w:rFonts w:hint="eastAsia"/>
          <w:b/>
          <w:color w:val="auto"/>
          <w:szCs w:val="21"/>
        </w:rPr>
        <w:t>u</w:t>
      </w:r>
      <w:r>
        <w:rPr>
          <w:b/>
          <w:color w:val="auto"/>
          <w:szCs w:val="21"/>
        </w:rPr>
        <w:t>nd,</w:t>
      </w:r>
      <w:r>
        <w:rPr>
          <w:rFonts w:hint="eastAsia"/>
          <w:b/>
          <w:color w:val="auto"/>
          <w:szCs w:val="21"/>
        </w:rPr>
        <w:t xml:space="preserve"> </w:t>
      </w:r>
      <w:r>
        <w:rPr>
          <w:b/>
          <w:color w:val="auto"/>
          <w:szCs w:val="21"/>
        </w:rPr>
        <w:t>foundation soils</w:t>
      </w:r>
    </w:p>
    <w:p w14:paraId="64D66EC0">
      <w:pPr>
        <w:snapToGrid w:val="0"/>
        <w:ind w:firstLine="420" w:firstLineChars="200"/>
        <w:rPr>
          <w:color w:val="auto"/>
          <w:szCs w:val="21"/>
        </w:rPr>
      </w:pPr>
      <w:r>
        <w:rPr>
          <w:color w:val="auto"/>
          <w:szCs w:val="21"/>
        </w:rPr>
        <w:t>为支承基础的土体或岩体。</w:t>
      </w:r>
    </w:p>
    <w:p w14:paraId="27C9E4EC">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w:t>
      </w:r>
    </w:p>
    <w:p w14:paraId="12DDF7F7">
      <w:pPr>
        <w:snapToGrid w:val="0"/>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2</w:t>
      </w:r>
      <w:r>
        <w:rPr>
          <w:rFonts w:ascii="黑体" w:eastAsia="黑体"/>
          <w:bCs/>
          <w:color w:val="auto"/>
          <w:szCs w:val="21"/>
        </w:rPr>
        <w:t xml:space="preserve">  基础  </w:t>
      </w:r>
      <w:r>
        <w:rPr>
          <w:b/>
          <w:color w:val="auto"/>
          <w:szCs w:val="21"/>
        </w:rPr>
        <w:t>foundation</w:t>
      </w:r>
    </w:p>
    <w:p w14:paraId="69BA32BC">
      <w:pPr>
        <w:snapToGrid w:val="0"/>
        <w:ind w:firstLine="420" w:firstLineChars="200"/>
        <w:rPr>
          <w:color w:val="auto"/>
          <w:szCs w:val="21"/>
        </w:rPr>
      </w:pPr>
      <w:r>
        <w:rPr>
          <w:color w:val="auto"/>
          <w:szCs w:val="21"/>
        </w:rPr>
        <w:t>将结构所承受的各种作用传递到地基上的结构组成部分。</w:t>
      </w:r>
    </w:p>
    <w:p w14:paraId="2E1BB862">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50007—2011，定义2.1.2]</w:t>
      </w:r>
    </w:p>
    <w:p w14:paraId="701C0CDD">
      <w:pPr>
        <w:spacing w:before="156" w:beforeLines="50" w:after="156" w:afterLines="50"/>
        <w:rPr>
          <w:rFonts w:ascii="黑体" w:eastAsia="黑体"/>
          <w:bCs/>
          <w:color w:val="auto"/>
          <w:szCs w:val="21"/>
        </w:rPr>
      </w:pPr>
      <w:r>
        <w:rPr>
          <w:b/>
          <w:bCs/>
          <w:color w:val="auto"/>
          <w:szCs w:val="21"/>
        </w:rPr>
        <w:t>3.</w:t>
      </w:r>
      <w:r>
        <w:rPr>
          <w:rFonts w:hint="eastAsia"/>
          <w:b/>
          <w:bCs/>
          <w:color w:val="auto"/>
          <w:szCs w:val="21"/>
        </w:rPr>
        <w:t>1.</w:t>
      </w:r>
      <w:r>
        <w:rPr>
          <w:b/>
          <w:bCs/>
          <w:color w:val="auto"/>
          <w:szCs w:val="21"/>
        </w:rPr>
        <w:t>3</w:t>
      </w:r>
      <w:r>
        <w:rPr>
          <w:rFonts w:ascii="黑体" w:eastAsia="黑体"/>
          <w:bCs/>
          <w:color w:val="auto"/>
          <w:szCs w:val="21"/>
        </w:rPr>
        <w:t xml:space="preserve">  复合地基  </w:t>
      </w:r>
      <w:r>
        <w:rPr>
          <w:b/>
          <w:color w:val="auto"/>
          <w:szCs w:val="21"/>
        </w:rPr>
        <w:t>composite ground, composite foundation</w:t>
      </w:r>
    </w:p>
    <w:p w14:paraId="06168DDB">
      <w:pPr>
        <w:snapToGrid w:val="0"/>
        <w:ind w:firstLine="420" w:firstLineChars="200"/>
        <w:rPr>
          <w:color w:val="auto"/>
          <w:szCs w:val="21"/>
        </w:rPr>
      </w:pPr>
      <w:r>
        <w:rPr>
          <w:color w:val="auto"/>
          <w:szCs w:val="21"/>
        </w:rPr>
        <w:t>部分土体被增强或被置换，而形成的由地基土和增强体共同承担荷载的人工地基。</w:t>
      </w:r>
    </w:p>
    <w:p w14:paraId="566BF273">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50007—2011，定义2.1.10]</w:t>
      </w:r>
    </w:p>
    <w:p w14:paraId="6382FCF0">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4</w:t>
      </w:r>
      <w:r>
        <w:rPr>
          <w:rFonts w:ascii="黑体" w:eastAsia="黑体"/>
          <w:bCs/>
          <w:color w:val="auto"/>
          <w:szCs w:val="21"/>
        </w:rPr>
        <w:t xml:space="preserve">  地基处理 </w:t>
      </w:r>
      <w:r>
        <w:rPr>
          <w:rFonts w:hint="eastAsia" w:ascii="黑体" w:eastAsia="黑体"/>
          <w:bCs/>
          <w:color w:val="auto"/>
          <w:szCs w:val="21"/>
        </w:rPr>
        <w:t xml:space="preserve"> </w:t>
      </w:r>
      <w:r>
        <w:rPr>
          <w:b/>
          <w:color w:val="auto"/>
          <w:szCs w:val="21"/>
        </w:rPr>
        <w:t>ground treatment，ground improvement</w:t>
      </w:r>
    </w:p>
    <w:p w14:paraId="5DE20B8A">
      <w:pPr>
        <w:snapToGrid w:val="0"/>
        <w:ind w:firstLine="420" w:firstLineChars="200"/>
        <w:rPr>
          <w:color w:val="auto"/>
          <w:szCs w:val="21"/>
        </w:rPr>
      </w:pPr>
      <w:r>
        <w:rPr>
          <w:color w:val="auto"/>
          <w:szCs w:val="21"/>
        </w:rPr>
        <w:t>为提高地基承载力，或改善其变形性质</w:t>
      </w:r>
      <w:r>
        <w:rPr>
          <w:rFonts w:hint="eastAsia"/>
          <w:color w:val="auto"/>
          <w:szCs w:val="21"/>
        </w:rPr>
        <w:t>、</w:t>
      </w:r>
      <w:r>
        <w:rPr>
          <w:color w:val="auto"/>
          <w:szCs w:val="21"/>
        </w:rPr>
        <w:t>渗透性质而采取的工程措施。</w:t>
      </w:r>
    </w:p>
    <w:p w14:paraId="2ACAD8B5">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50007—2011，定义2.1.9]</w:t>
      </w:r>
    </w:p>
    <w:p w14:paraId="4A6919E2">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5</w:t>
      </w:r>
      <w:r>
        <w:rPr>
          <w:rFonts w:ascii="黑体" w:eastAsia="黑体"/>
          <w:bCs/>
          <w:color w:val="auto"/>
          <w:szCs w:val="21"/>
        </w:rPr>
        <w:t xml:space="preserve">  土岩组合地基  </w:t>
      </w:r>
      <w:r>
        <w:rPr>
          <w:b/>
          <w:color w:val="auto"/>
          <w:szCs w:val="21"/>
        </w:rPr>
        <w:t>soil-rock composite grond</w:t>
      </w:r>
    </w:p>
    <w:p w14:paraId="62CBDE27">
      <w:pPr>
        <w:pStyle w:val="32"/>
        <w:snapToGrid w:val="0"/>
        <w:spacing w:line="240" w:lineRule="auto"/>
        <w:ind w:firstLine="420" w:firstLineChars="200"/>
        <w:rPr>
          <w:color w:val="auto"/>
          <w:szCs w:val="21"/>
        </w:rPr>
      </w:pPr>
      <w:r>
        <w:rPr>
          <w:color w:val="auto"/>
          <w:szCs w:val="21"/>
        </w:rPr>
        <w:t>在建筑地基的主要受力层范围内，有下卧基岩表面坡度较大的地基；或石芽密布并有出露的地基；或大块孤石或个别石芽出露的地基。</w:t>
      </w:r>
    </w:p>
    <w:p w14:paraId="277DC06F">
      <w:pPr>
        <w:snapToGrid w:val="0"/>
        <w:ind w:firstLine="420" w:firstLineChars="200"/>
        <w:rPr>
          <w:color w:val="auto"/>
        </w:rPr>
      </w:pPr>
      <w:r>
        <w:rPr>
          <w:rFonts w:hint="eastAsia"/>
          <w:color w:val="auto"/>
        </w:rPr>
        <w:t>[</w:t>
      </w:r>
      <w:r>
        <w:rPr>
          <w:rFonts w:hint="eastAsia"/>
          <w:color w:val="auto"/>
          <w:szCs w:val="21"/>
          <w:lang w:eastAsia="zh-CN"/>
        </w:rPr>
        <w:t>来源：</w:t>
      </w:r>
      <w:r>
        <w:rPr>
          <w:rFonts w:hint="eastAsia"/>
          <w:color w:val="auto"/>
        </w:rPr>
        <w:t>GB 50007—2011，定义2.1.8]</w:t>
      </w:r>
    </w:p>
    <w:p w14:paraId="428BB599">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6</w:t>
      </w:r>
      <w:r>
        <w:rPr>
          <w:rFonts w:ascii="黑体" w:eastAsia="黑体"/>
          <w:bCs/>
          <w:color w:val="auto"/>
          <w:szCs w:val="21"/>
        </w:rPr>
        <w:t xml:space="preserve">  桩基础  </w:t>
      </w:r>
      <w:r>
        <w:rPr>
          <w:b/>
          <w:color w:val="auto"/>
          <w:szCs w:val="21"/>
        </w:rPr>
        <w:t>pile foundation</w:t>
      </w:r>
    </w:p>
    <w:p w14:paraId="34C60071">
      <w:pPr>
        <w:snapToGrid w:val="0"/>
        <w:ind w:firstLine="420" w:firstLineChars="200"/>
        <w:rPr>
          <w:color w:val="auto"/>
          <w:szCs w:val="21"/>
        </w:rPr>
      </w:pPr>
      <w:r>
        <w:rPr>
          <w:color w:val="auto"/>
          <w:szCs w:val="21"/>
        </w:rPr>
        <w:t>由设置于岩土中的桩和连接于桩顶端的承台组成的基础。</w:t>
      </w:r>
    </w:p>
    <w:p w14:paraId="267934DA">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50007—2011，定义2.1.13]</w:t>
      </w:r>
    </w:p>
    <w:p w14:paraId="51E5CDBC">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7</w:t>
      </w:r>
      <w:r>
        <w:rPr>
          <w:rFonts w:ascii="黑体" w:eastAsia="黑体"/>
          <w:bCs/>
          <w:color w:val="auto"/>
          <w:szCs w:val="21"/>
        </w:rPr>
        <w:t xml:space="preserve">  扩展基础  </w:t>
      </w:r>
      <w:r>
        <w:rPr>
          <w:b/>
          <w:color w:val="auto"/>
          <w:szCs w:val="21"/>
        </w:rPr>
        <w:t>spread foundation</w:t>
      </w:r>
    </w:p>
    <w:p w14:paraId="0243A140">
      <w:pPr>
        <w:snapToGrid w:val="0"/>
        <w:ind w:firstLine="420" w:firstLineChars="200"/>
        <w:rPr>
          <w:color w:val="auto"/>
          <w:szCs w:val="21"/>
        </w:rPr>
      </w:pPr>
      <w:r>
        <w:rPr>
          <w:color w:val="auto"/>
          <w:szCs w:val="21"/>
        </w:rPr>
        <w:t>为扩散上部结构传来的荷载，使作用在基底的压应力满足地基承载力的设计要求，且基础内部的应力满足材料强度的设计要求，通过向侧边扩散一定底面积的基础。</w:t>
      </w:r>
    </w:p>
    <w:p w14:paraId="04FE3EEA">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50007—2011，定义2.1.11]</w:t>
      </w:r>
    </w:p>
    <w:p w14:paraId="47A60001">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8</w:t>
      </w:r>
      <w:r>
        <w:rPr>
          <w:rFonts w:ascii="黑体" w:eastAsia="黑体"/>
          <w:bCs/>
          <w:color w:val="auto"/>
          <w:szCs w:val="21"/>
        </w:rPr>
        <w:t xml:space="preserve">  无筋扩展基础  </w:t>
      </w:r>
      <w:r>
        <w:rPr>
          <w:b/>
          <w:color w:val="auto"/>
          <w:szCs w:val="21"/>
        </w:rPr>
        <w:t>non-reinforced spread foundation</w:t>
      </w:r>
    </w:p>
    <w:p w14:paraId="4AAD41DC">
      <w:pPr>
        <w:snapToGrid w:val="0"/>
        <w:ind w:firstLine="420" w:firstLineChars="200"/>
        <w:rPr>
          <w:color w:val="auto"/>
          <w:szCs w:val="21"/>
        </w:rPr>
      </w:pPr>
      <w:r>
        <w:rPr>
          <w:color w:val="auto"/>
          <w:szCs w:val="21"/>
        </w:rPr>
        <w:t>由砖、毛石、混凝土或毛石混凝土、灰土和三合土等材料组成的，且不需配置钢筋的墙下条形基础或柱下独立基础。</w:t>
      </w:r>
    </w:p>
    <w:p w14:paraId="20560178">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50007—2011，定义2.1.12]</w:t>
      </w:r>
    </w:p>
    <w:p w14:paraId="3E1DB9F2">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9</w:t>
      </w:r>
      <w:r>
        <w:rPr>
          <w:rFonts w:ascii="黑体" w:eastAsia="黑体"/>
          <w:bCs/>
          <w:color w:val="auto"/>
          <w:szCs w:val="21"/>
        </w:rPr>
        <w:t xml:space="preserve">  地基承载力特征值  </w:t>
      </w:r>
      <w:r>
        <w:rPr>
          <w:b/>
          <w:color w:val="auto"/>
          <w:szCs w:val="21"/>
        </w:rPr>
        <w:t>characteristic value of subsoil bearing capacity</w:t>
      </w:r>
    </w:p>
    <w:p w14:paraId="43DB3442">
      <w:pPr>
        <w:snapToGrid w:val="0"/>
        <w:ind w:firstLine="420" w:firstLineChars="200"/>
        <w:rPr>
          <w:color w:val="auto"/>
          <w:szCs w:val="21"/>
        </w:rPr>
      </w:pPr>
      <w:r>
        <w:rPr>
          <w:color w:val="auto"/>
          <w:szCs w:val="21"/>
        </w:rPr>
        <w:t>由载荷试验测定的地基土压力变形曲线线性变形段内规定的变形所对应的压力值，其最大值为比例界限值。</w:t>
      </w:r>
    </w:p>
    <w:p w14:paraId="6D419A07">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50007—2011，定义2.1.3]</w:t>
      </w:r>
    </w:p>
    <w:p w14:paraId="667C5E30">
      <w:pPr>
        <w:spacing w:before="156" w:beforeLines="50" w:after="156" w:afterLines="50"/>
        <w:rPr>
          <w:rFonts w:ascii="黑体" w:eastAsia="黑体"/>
          <w:bCs/>
          <w:color w:val="auto"/>
          <w:szCs w:val="21"/>
        </w:rPr>
      </w:pPr>
      <w:r>
        <w:rPr>
          <w:b/>
          <w:bCs/>
          <w:color w:val="auto"/>
          <w:szCs w:val="21"/>
        </w:rPr>
        <w:t>3.</w:t>
      </w:r>
      <w:r>
        <w:rPr>
          <w:rFonts w:hint="eastAsia"/>
          <w:b/>
          <w:bCs/>
          <w:color w:val="auto"/>
          <w:szCs w:val="21"/>
        </w:rPr>
        <w:t>1.</w:t>
      </w:r>
      <w:r>
        <w:rPr>
          <w:b/>
          <w:bCs/>
          <w:color w:val="auto"/>
          <w:szCs w:val="21"/>
        </w:rPr>
        <w:t>10</w:t>
      </w:r>
      <w:r>
        <w:rPr>
          <w:rFonts w:ascii="黑体" w:eastAsia="黑体"/>
          <w:bCs/>
          <w:color w:val="auto"/>
          <w:szCs w:val="21"/>
        </w:rPr>
        <w:t xml:space="preserve">  地基变形允许值  </w:t>
      </w:r>
      <w:r>
        <w:rPr>
          <w:b/>
          <w:color w:val="auto"/>
          <w:szCs w:val="21"/>
        </w:rPr>
        <w:t>allowable subsoil deformation</w:t>
      </w:r>
    </w:p>
    <w:p w14:paraId="140B11E9">
      <w:pPr>
        <w:snapToGrid w:val="0"/>
        <w:ind w:firstLine="420" w:firstLineChars="200"/>
        <w:rPr>
          <w:color w:val="auto"/>
          <w:szCs w:val="21"/>
        </w:rPr>
      </w:pPr>
      <w:r>
        <w:rPr>
          <w:color w:val="auto"/>
          <w:szCs w:val="21"/>
        </w:rPr>
        <w:t>为保证建筑物正常使用而确定的</w:t>
      </w:r>
      <w:r>
        <w:rPr>
          <w:rFonts w:hint="eastAsia"/>
          <w:color w:val="auto"/>
          <w:szCs w:val="21"/>
        </w:rPr>
        <w:t>地基</w:t>
      </w:r>
      <w:r>
        <w:rPr>
          <w:color w:val="auto"/>
          <w:szCs w:val="21"/>
        </w:rPr>
        <w:t>变形控制值。</w:t>
      </w:r>
    </w:p>
    <w:p w14:paraId="0C04EF21">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50007—2011，定义2.1.7]</w:t>
      </w:r>
    </w:p>
    <w:p w14:paraId="2CC4E654">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11</w:t>
      </w:r>
      <w:r>
        <w:rPr>
          <w:rFonts w:ascii="黑体" w:eastAsia="黑体"/>
          <w:bCs/>
          <w:color w:val="auto"/>
          <w:szCs w:val="21"/>
        </w:rPr>
        <w:t xml:space="preserve">  岩体结构面  </w:t>
      </w:r>
      <w:r>
        <w:rPr>
          <w:b/>
          <w:color w:val="auto"/>
          <w:szCs w:val="21"/>
        </w:rPr>
        <w:t>rock discontinuity structural plane</w:t>
      </w:r>
    </w:p>
    <w:p w14:paraId="436FB5E1">
      <w:pPr>
        <w:snapToGrid w:val="0"/>
        <w:ind w:firstLine="420" w:firstLineChars="200"/>
        <w:rPr>
          <w:color w:val="auto"/>
          <w:szCs w:val="21"/>
        </w:rPr>
      </w:pPr>
      <w:r>
        <w:rPr>
          <w:color w:val="auto"/>
          <w:szCs w:val="21"/>
        </w:rPr>
        <w:t>岩体内开裂的和易开裂的面。如层面、节理、断层、片理等。又称不连续构造面。</w:t>
      </w:r>
    </w:p>
    <w:p w14:paraId="58884D0D">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50007—2011，定义2.1.5]</w:t>
      </w:r>
    </w:p>
    <w:p w14:paraId="77FBA4D8">
      <w:pPr>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12</w:t>
      </w:r>
      <w:r>
        <w:rPr>
          <w:rFonts w:ascii="黑体" w:eastAsia="黑体"/>
          <w:bCs/>
          <w:color w:val="auto"/>
          <w:szCs w:val="21"/>
        </w:rPr>
        <w:t xml:space="preserve">  重力密度（重度）  </w:t>
      </w:r>
      <w:r>
        <w:rPr>
          <w:b/>
          <w:color w:val="auto"/>
          <w:szCs w:val="21"/>
        </w:rPr>
        <w:t>gravity density，unit weight</w:t>
      </w:r>
    </w:p>
    <w:p w14:paraId="112B6B4D">
      <w:pPr>
        <w:snapToGrid w:val="0"/>
        <w:ind w:firstLine="420" w:firstLineChars="200"/>
        <w:rPr>
          <w:color w:val="auto"/>
          <w:szCs w:val="21"/>
        </w:rPr>
      </w:pPr>
      <w:r>
        <w:rPr>
          <w:color w:val="auto"/>
          <w:szCs w:val="21"/>
        </w:rPr>
        <w:t>单位体积岩土体所承受的重力，为岩土体的密度与重力加速度的乘积。</w:t>
      </w:r>
    </w:p>
    <w:p w14:paraId="6974B000">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50007—2011，定义2.1.4]</w:t>
      </w:r>
    </w:p>
    <w:p w14:paraId="716A8FD2">
      <w:pPr>
        <w:snapToGrid w:val="0"/>
        <w:spacing w:before="156" w:beforeLines="50" w:after="156" w:afterLines="50"/>
        <w:rPr>
          <w:b/>
          <w:color w:val="auto"/>
          <w:szCs w:val="21"/>
        </w:rPr>
      </w:pPr>
      <w:r>
        <w:rPr>
          <w:b/>
          <w:bCs/>
          <w:color w:val="auto"/>
          <w:szCs w:val="21"/>
        </w:rPr>
        <w:t>3.</w:t>
      </w:r>
      <w:r>
        <w:rPr>
          <w:rFonts w:hint="eastAsia"/>
          <w:b/>
          <w:bCs/>
          <w:color w:val="auto"/>
          <w:szCs w:val="21"/>
        </w:rPr>
        <w:t>1.</w:t>
      </w:r>
      <w:r>
        <w:rPr>
          <w:b/>
          <w:bCs/>
          <w:color w:val="auto"/>
          <w:szCs w:val="21"/>
        </w:rPr>
        <w:t>13</w:t>
      </w:r>
      <w:r>
        <w:rPr>
          <w:rFonts w:ascii="黑体" w:eastAsia="黑体"/>
          <w:bCs/>
          <w:color w:val="auto"/>
          <w:szCs w:val="21"/>
        </w:rPr>
        <w:t xml:space="preserve">  岩石锚杆  </w:t>
      </w:r>
      <w:r>
        <w:rPr>
          <w:b/>
          <w:color w:val="auto"/>
          <w:szCs w:val="21"/>
        </w:rPr>
        <w:t>anchored bar in rock</w:t>
      </w:r>
    </w:p>
    <w:p w14:paraId="6EB216E6">
      <w:pPr>
        <w:snapToGrid w:val="0"/>
        <w:ind w:firstLine="420" w:firstLineChars="200"/>
        <w:rPr>
          <w:color w:val="auto"/>
          <w:szCs w:val="21"/>
        </w:rPr>
      </w:pPr>
      <w:r>
        <w:rPr>
          <w:color w:val="auto"/>
          <w:szCs w:val="21"/>
        </w:rPr>
        <w:t>锚固于</w:t>
      </w:r>
      <w:r>
        <w:rPr>
          <w:rFonts w:hint="eastAsia"/>
          <w:color w:val="auto"/>
          <w:szCs w:val="21"/>
        </w:rPr>
        <w:t>稳定</w:t>
      </w:r>
      <w:r>
        <w:rPr>
          <w:color w:val="auto"/>
          <w:szCs w:val="21"/>
        </w:rPr>
        <w:t>岩层</w:t>
      </w:r>
      <w:r>
        <w:rPr>
          <w:rFonts w:hint="eastAsia"/>
          <w:color w:val="auto"/>
          <w:szCs w:val="21"/>
        </w:rPr>
        <w:t>内</w:t>
      </w:r>
      <w:r>
        <w:rPr>
          <w:color w:val="auto"/>
          <w:szCs w:val="21"/>
        </w:rPr>
        <w:t>的锚杆。</w:t>
      </w:r>
    </w:p>
    <w:p w14:paraId="17446BF2">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w:t>
      </w:r>
      <w:r>
        <w:rPr>
          <w:rFonts w:hint="eastAsia"/>
          <w:color w:val="auto"/>
          <w:szCs w:val="21"/>
          <w:lang w:val="en-US" w:eastAsia="zh-CN"/>
        </w:rPr>
        <w:t>330</w:t>
      </w:r>
      <w:r>
        <w:rPr>
          <w:rFonts w:hint="eastAsia"/>
          <w:color w:val="auto"/>
          <w:szCs w:val="21"/>
        </w:rPr>
        <w:t>—201</w:t>
      </w:r>
      <w:r>
        <w:rPr>
          <w:rFonts w:hint="eastAsia"/>
          <w:color w:val="auto"/>
          <w:szCs w:val="21"/>
          <w:lang w:val="en-US" w:eastAsia="zh-CN"/>
        </w:rPr>
        <w:t>3</w:t>
      </w:r>
      <w:r>
        <w:rPr>
          <w:rFonts w:hint="eastAsia"/>
          <w:color w:val="auto"/>
          <w:szCs w:val="21"/>
        </w:rPr>
        <w:t>，定义2.1.</w:t>
      </w:r>
      <w:r>
        <w:rPr>
          <w:rFonts w:hint="eastAsia"/>
          <w:color w:val="auto"/>
          <w:szCs w:val="21"/>
          <w:lang w:val="en-US" w:eastAsia="zh-CN"/>
        </w:rPr>
        <w:t>22</w:t>
      </w:r>
      <w:r>
        <w:rPr>
          <w:rFonts w:hint="eastAsia"/>
          <w:color w:val="auto"/>
          <w:szCs w:val="21"/>
        </w:rPr>
        <w:t>]</w:t>
      </w:r>
    </w:p>
    <w:p w14:paraId="6015A344">
      <w:pPr>
        <w:snapToGrid w:val="0"/>
        <w:spacing w:before="156" w:beforeLines="50"/>
        <w:rPr>
          <w:b/>
          <w:color w:val="auto"/>
          <w:szCs w:val="21"/>
        </w:rPr>
      </w:pPr>
      <w:r>
        <w:rPr>
          <w:b/>
          <w:bCs/>
          <w:color w:val="auto"/>
          <w:szCs w:val="21"/>
        </w:rPr>
        <w:t>3.</w:t>
      </w:r>
      <w:r>
        <w:rPr>
          <w:rFonts w:hint="eastAsia"/>
          <w:b/>
          <w:bCs/>
          <w:color w:val="auto"/>
          <w:szCs w:val="21"/>
        </w:rPr>
        <w:t>1.</w:t>
      </w:r>
      <w:r>
        <w:rPr>
          <w:b/>
          <w:bCs/>
          <w:color w:val="auto"/>
          <w:szCs w:val="21"/>
        </w:rPr>
        <w:t>14</w:t>
      </w:r>
      <w:r>
        <w:rPr>
          <w:rFonts w:ascii="黑体" w:eastAsia="黑体"/>
          <w:bCs/>
          <w:color w:val="auto"/>
          <w:szCs w:val="21"/>
        </w:rPr>
        <w:t xml:space="preserve">  支挡结构  </w:t>
      </w:r>
      <w:r>
        <w:rPr>
          <w:b/>
          <w:color w:val="auto"/>
          <w:szCs w:val="21"/>
        </w:rPr>
        <w:t>retaining structure</w:t>
      </w:r>
    </w:p>
    <w:p w14:paraId="1548499D">
      <w:pPr>
        <w:snapToGrid w:val="0"/>
        <w:ind w:firstLine="420" w:firstLineChars="200"/>
        <w:rPr>
          <w:color w:val="auto"/>
          <w:szCs w:val="21"/>
        </w:rPr>
      </w:pPr>
      <w:r>
        <w:rPr>
          <w:color w:val="auto"/>
          <w:szCs w:val="21"/>
        </w:rPr>
        <w:t>使岩土边坡保持稳定、控制位移、主要承受侧向荷载而建造的结构物。</w:t>
      </w:r>
    </w:p>
    <w:p w14:paraId="5585D541">
      <w:pPr>
        <w:snapToGrid w:val="0"/>
        <w:ind w:firstLine="420" w:firstLineChars="200"/>
        <w:rPr>
          <w:color w:val="auto"/>
          <w:szCs w:val="21"/>
        </w:rPr>
      </w:pPr>
      <w:r>
        <w:rPr>
          <w:rFonts w:hint="eastAsia"/>
          <w:color w:val="auto"/>
          <w:szCs w:val="21"/>
        </w:rPr>
        <w:t>[</w:t>
      </w:r>
      <w:r>
        <w:rPr>
          <w:rFonts w:hint="eastAsia"/>
          <w:color w:val="auto"/>
          <w:szCs w:val="21"/>
          <w:lang w:eastAsia="zh-CN"/>
        </w:rPr>
        <w:t>来源：</w:t>
      </w:r>
      <w:r>
        <w:rPr>
          <w:rFonts w:hint="eastAsia"/>
          <w:color w:val="auto"/>
          <w:szCs w:val="21"/>
        </w:rPr>
        <w:t>GB 50007—2011，定义2.1.14]</w:t>
      </w:r>
    </w:p>
    <w:p w14:paraId="589D5663">
      <w:pPr>
        <w:snapToGrid w:val="0"/>
        <w:spacing w:line="340" w:lineRule="exact"/>
        <w:jc w:val="center"/>
        <w:rPr>
          <w:rFonts w:eastAsia="黑体"/>
          <w:b/>
          <w:bCs/>
          <w:color w:val="auto"/>
          <w:szCs w:val="21"/>
        </w:rPr>
      </w:pPr>
    </w:p>
    <w:p w14:paraId="2DC0F890">
      <w:pPr>
        <w:numPr>
          <w:ilvl w:val="0"/>
          <w:numId w:val="1"/>
        </w:numPr>
        <w:adjustRightInd w:val="0"/>
        <w:snapToGrid w:val="0"/>
        <w:outlineLvl w:val="0"/>
        <w:rPr>
          <w:rFonts w:eastAsia="黑体"/>
          <w:b/>
          <w:bCs/>
          <w:color w:val="auto"/>
        </w:rPr>
      </w:pPr>
      <w:bookmarkStart w:id="6" w:name="_Toc199943570"/>
      <w:r>
        <w:rPr>
          <w:rFonts w:eastAsia="黑体"/>
          <w:b/>
          <w:bCs/>
          <w:color w:val="auto"/>
        </w:rPr>
        <w:t>符号</w:t>
      </w:r>
      <w:bookmarkEnd w:id="6"/>
    </w:p>
    <w:p w14:paraId="3564605F">
      <w:pPr>
        <w:numPr>
          <w:ilvl w:val="0"/>
          <w:numId w:val="0"/>
        </w:numPr>
        <w:adjustRightInd w:val="0"/>
        <w:snapToGrid w:val="0"/>
        <w:ind w:leftChars="0"/>
        <w:outlineLvl w:val="0"/>
        <w:rPr>
          <w:rFonts w:eastAsia="黑体"/>
          <w:b/>
          <w:bCs/>
          <w:color w:val="auto"/>
        </w:rPr>
      </w:pPr>
    </w:p>
    <w:p w14:paraId="129E2A85">
      <w:pPr>
        <w:pStyle w:val="54"/>
        <w:numPr>
          <w:ilvl w:val="0"/>
          <w:numId w:val="2"/>
        </w:numPr>
        <w:adjustRightInd w:val="0"/>
        <w:snapToGrid w:val="0"/>
        <w:spacing w:line="400" w:lineRule="atLeast"/>
        <w:ind w:firstLineChars="0"/>
        <w:rPr>
          <w:color w:val="auto"/>
          <w:szCs w:val="21"/>
        </w:rPr>
      </w:pPr>
      <w:r>
        <w:rPr>
          <w:color w:val="auto"/>
          <w:szCs w:val="21"/>
        </w:rPr>
        <w:t xml:space="preserve">作用和作用效应   </w:t>
      </w:r>
    </w:p>
    <w:p w14:paraId="1F7F107C">
      <w:pPr>
        <w:tabs>
          <w:tab w:val="left" w:pos="784"/>
        </w:tabs>
        <w:snapToGrid w:val="0"/>
        <w:spacing w:line="340" w:lineRule="exact"/>
        <w:ind w:left="-84" w:leftChars="-40" w:firstLine="306" w:firstLineChars="146"/>
        <w:rPr>
          <w:color w:val="auto"/>
          <w:szCs w:val="21"/>
        </w:rPr>
      </w:pPr>
      <w:r>
        <w:rPr>
          <w:i/>
          <w:iCs/>
          <w:color w:val="auto"/>
          <w:szCs w:val="21"/>
        </w:rPr>
        <w:t>E</w:t>
      </w:r>
      <w:r>
        <w:rPr>
          <w:color w:val="auto"/>
          <w:szCs w:val="21"/>
          <w:vertAlign w:val="subscript"/>
        </w:rPr>
        <w:t>a</w:t>
      </w:r>
      <w:r>
        <w:rPr>
          <w:color w:val="auto"/>
          <w:szCs w:val="21"/>
        </w:rPr>
        <w:t>——主动土压力；</w:t>
      </w:r>
    </w:p>
    <w:p w14:paraId="77EE01C7">
      <w:pPr>
        <w:tabs>
          <w:tab w:val="left" w:pos="784"/>
        </w:tabs>
        <w:snapToGrid w:val="0"/>
        <w:spacing w:line="340" w:lineRule="exact"/>
        <w:ind w:firstLine="195" w:firstLineChars="93"/>
        <w:rPr>
          <w:color w:val="auto"/>
          <w:szCs w:val="21"/>
        </w:rPr>
      </w:pPr>
      <w:r>
        <w:rPr>
          <w:i/>
          <w:iCs/>
          <w:color w:val="auto"/>
          <w:szCs w:val="21"/>
        </w:rPr>
        <w:t>F</w:t>
      </w:r>
      <w:r>
        <w:rPr>
          <w:rFonts w:hint="eastAsia"/>
          <w:iCs/>
          <w:color w:val="auto"/>
          <w:szCs w:val="21"/>
          <w:vertAlign w:val="subscript"/>
        </w:rPr>
        <w:t>k</w:t>
      </w:r>
      <w:r>
        <w:rPr>
          <w:color w:val="auto"/>
          <w:szCs w:val="21"/>
        </w:rPr>
        <w:t>——</w:t>
      </w:r>
      <w:r>
        <w:rPr>
          <w:rFonts w:hint="eastAsia"/>
          <w:color w:val="auto"/>
          <w:szCs w:val="21"/>
        </w:rPr>
        <w:t>相应于作用的标准组合时，</w:t>
      </w:r>
      <w:r>
        <w:rPr>
          <w:color w:val="auto"/>
          <w:szCs w:val="21"/>
        </w:rPr>
        <w:t>上部结构传至基础顶面的竖向力；</w:t>
      </w:r>
    </w:p>
    <w:p w14:paraId="6684EDDC">
      <w:pPr>
        <w:tabs>
          <w:tab w:val="left" w:pos="770"/>
        </w:tabs>
        <w:snapToGrid w:val="0"/>
        <w:spacing w:line="340" w:lineRule="exact"/>
        <w:ind w:firstLine="168" w:firstLineChars="80"/>
        <w:rPr>
          <w:color w:val="auto"/>
          <w:szCs w:val="21"/>
        </w:rPr>
      </w:pPr>
      <w:r>
        <w:rPr>
          <w:i/>
          <w:iCs/>
          <w:color w:val="auto"/>
          <w:szCs w:val="21"/>
        </w:rPr>
        <w:t>G</w:t>
      </w:r>
      <w:r>
        <w:rPr>
          <w:iCs/>
          <w:color w:val="auto"/>
          <w:szCs w:val="21"/>
          <w:vertAlign w:val="subscript"/>
        </w:rPr>
        <w:t>k</w:t>
      </w:r>
      <w:r>
        <w:rPr>
          <w:color w:val="auto"/>
          <w:szCs w:val="21"/>
        </w:rPr>
        <w:t>——基础自重和基础上的土重；</w:t>
      </w:r>
    </w:p>
    <w:p w14:paraId="1AD1E588">
      <w:pPr>
        <w:tabs>
          <w:tab w:val="left" w:pos="840"/>
        </w:tabs>
        <w:snapToGrid w:val="0"/>
        <w:spacing w:line="340" w:lineRule="exact"/>
        <w:ind w:left="-42" w:leftChars="-20" w:firstLine="195" w:firstLineChars="93"/>
        <w:rPr>
          <w:color w:val="auto"/>
          <w:szCs w:val="21"/>
        </w:rPr>
      </w:pPr>
      <w:r>
        <w:rPr>
          <w:i/>
          <w:iCs/>
          <w:color w:val="auto"/>
          <w:szCs w:val="21"/>
        </w:rPr>
        <w:t>M</w:t>
      </w:r>
      <w:r>
        <w:rPr>
          <w:rFonts w:hint="eastAsia"/>
          <w:iCs/>
          <w:color w:val="auto"/>
          <w:szCs w:val="21"/>
          <w:vertAlign w:val="subscript"/>
        </w:rPr>
        <w:t>k</w:t>
      </w:r>
      <w:r>
        <w:rPr>
          <w:color w:val="auto"/>
          <w:szCs w:val="21"/>
        </w:rPr>
        <w:t>——</w:t>
      </w:r>
      <w:r>
        <w:rPr>
          <w:rFonts w:hint="eastAsia"/>
          <w:color w:val="auto"/>
          <w:szCs w:val="21"/>
        </w:rPr>
        <w:t>相应于作用的标准组合时，</w:t>
      </w:r>
      <w:r>
        <w:rPr>
          <w:color w:val="auto"/>
          <w:szCs w:val="21"/>
        </w:rPr>
        <w:t>作用于基础底面的力矩或截面的弯矩；</w:t>
      </w:r>
    </w:p>
    <w:p w14:paraId="34C58465">
      <w:pPr>
        <w:snapToGrid w:val="0"/>
        <w:spacing w:before="93" w:beforeLines="30" w:line="240" w:lineRule="atLeast"/>
        <w:ind w:firstLine="222" w:firstLineChars="106"/>
        <w:rPr>
          <w:color w:val="auto"/>
          <w:szCs w:val="21"/>
        </w:rPr>
      </w:pPr>
      <w:r>
        <w:rPr>
          <w:i/>
          <w:iCs/>
          <w:color w:val="auto"/>
          <w:szCs w:val="21"/>
        </w:rPr>
        <w:t>p</w:t>
      </w:r>
      <w:r>
        <w:rPr>
          <w:iCs/>
          <w:color w:val="auto"/>
          <w:position w:val="-6"/>
          <w:szCs w:val="21"/>
          <w:vertAlign w:val="subscript"/>
        </w:rPr>
        <w:t>k</w:t>
      </w:r>
      <w:r>
        <w:rPr>
          <w:color w:val="auto"/>
          <w:szCs w:val="21"/>
        </w:rPr>
        <w:t>——相应于作用的标准组合时，基础底面处的平均压力；</w:t>
      </w:r>
    </w:p>
    <w:p w14:paraId="6EA1184F">
      <w:pPr>
        <w:snapToGrid w:val="0"/>
        <w:spacing w:line="340" w:lineRule="exact"/>
        <w:ind w:firstLine="42" w:firstLineChars="20"/>
        <w:rPr>
          <w:color w:val="auto"/>
          <w:szCs w:val="21"/>
        </w:rPr>
      </w:pPr>
      <w:r>
        <w:rPr>
          <w:i/>
          <w:color w:val="auto"/>
          <w:position w:val="-12"/>
          <w:szCs w:val="21"/>
        </w:rPr>
        <w:object>
          <v:shape id="_x0000_i1028" o:spt="75" type="#_x0000_t75" style="height:18pt;width:18pt;" o:ole="t" filled="f" o:preferrelative="t" stroked="f" coordsize="21600,21600">
            <v:path/>
            <v:fill on="f" focussize="0,0"/>
            <v:stroke on="f" joinstyle="miter"/>
            <v:imagedata r:id="rId18" o:title=""/>
            <o:lock v:ext="edit" aspectratio="t"/>
            <w10:wrap type="none"/>
            <w10:anchorlock/>
          </v:shape>
          <o:OLEObject Type="Embed" ProgID="Equation.DSMT4" ShapeID="_x0000_i1028" DrawAspect="Content" ObjectID="_1468075728" r:id="rId17">
            <o:LockedField>false</o:LockedField>
          </o:OLEObject>
        </w:object>
      </w:r>
      <w:r>
        <w:rPr>
          <w:iCs/>
          <w:color w:val="auto"/>
          <w:szCs w:val="21"/>
        </w:rPr>
        <w:t>——相应于作用的</w:t>
      </w:r>
      <w:r>
        <w:rPr>
          <w:rFonts w:hint="eastAsia"/>
          <w:iCs/>
          <w:color w:val="auto"/>
          <w:szCs w:val="21"/>
        </w:rPr>
        <w:t>准永久</w:t>
      </w:r>
      <w:r>
        <w:rPr>
          <w:iCs/>
          <w:color w:val="auto"/>
          <w:szCs w:val="21"/>
        </w:rPr>
        <w:t>组合时，</w:t>
      </w:r>
      <w:r>
        <w:rPr>
          <w:color w:val="auto"/>
          <w:szCs w:val="21"/>
        </w:rPr>
        <w:t>基础底面处</w:t>
      </w:r>
      <w:r>
        <w:rPr>
          <w:iCs/>
          <w:color w:val="auto"/>
          <w:szCs w:val="21"/>
        </w:rPr>
        <w:t>的</w:t>
      </w:r>
      <w:r>
        <w:rPr>
          <w:rFonts w:hint="eastAsia"/>
          <w:iCs/>
          <w:color w:val="auto"/>
          <w:szCs w:val="21"/>
        </w:rPr>
        <w:t>平均</w:t>
      </w:r>
      <w:r>
        <w:rPr>
          <w:color w:val="auto"/>
          <w:szCs w:val="21"/>
        </w:rPr>
        <w:t>附加压力；</w:t>
      </w:r>
    </w:p>
    <w:p w14:paraId="1FB993D5">
      <w:pPr>
        <w:snapToGrid w:val="0"/>
        <w:spacing w:line="340" w:lineRule="exact"/>
        <w:ind w:left="-42" w:leftChars="-20" w:firstLine="210" w:firstLineChars="100"/>
        <w:rPr>
          <w:color w:val="auto"/>
          <w:szCs w:val="21"/>
        </w:rPr>
      </w:pPr>
      <w:r>
        <w:rPr>
          <w:i/>
          <w:color w:val="auto"/>
          <w:szCs w:val="21"/>
        </w:rPr>
        <w:t>Q</w:t>
      </w:r>
      <w:r>
        <w:rPr>
          <w:color w:val="auto"/>
          <w:szCs w:val="21"/>
          <w:vertAlign w:val="subscript"/>
        </w:rPr>
        <w:t>k</w:t>
      </w:r>
      <w:r>
        <w:rPr>
          <w:iCs/>
          <w:color w:val="auto"/>
          <w:szCs w:val="21"/>
        </w:rPr>
        <w:t>——</w:t>
      </w:r>
      <w:r>
        <w:rPr>
          <w:color w:val="auto"/>
          <w:szCs w:val="21"/>
        </w:rPr>
        <w:t>相应于作用的标准组合时，轴心竖向力作用下桩基中单桩所受竖向力</w:t>
      </w:r>
      <w:r>
        <w:rPr>
          <w:rFonts w:hint="eastAsia"/>
          <w:color w:val="auto"/>
          <w:szCs w:val="21"/>
        </w:rPr>
        <w:t>。</w:t>
      </w:r>
    </w:p>
    <w:p w14:paraId="614F996D">
      <w:pPr>
        <w:pStyle w:val="54"/>
        <w:numPr>
          <w:ilvl w:val="0"/>
          <w:numId w:val="2"/>
        </w:numPr>
        <w:adjustRightInd w:val="0"/>
        <w:snapToGrid w:val="0"/>
        <w:spacing w:line="400" w:lineRule="atLeast"/>
        <w:ind w:firstLineChars="0"/>
        <w:rPr>
          <w:color w:val="auto"/>
          <w:szCs w:val="21"/>
        </w:rPr>
      </w:pPr>
      <w:r>
        <w:rPr>
          <w:color w:val="auto"/>
          <w:szCs w:val="21"/>
        </w:rPr>
        <w:t>抗力和材料性能</w:t>
      </w:r>
    </w:p>
    <w:p w14:paraId="151C9B63">
      <w:pPr>
        <w:tabs>
          <w:tab w:val="left" w:pos="900"/>
        </w:tabs>
        <w:snapToGrid w:val="0"/>
        <w:spacing w:line="340" w:lineRule="exact"/>
        <w:ind w:firstLine="294" w:firstLineChars="140"/>
        <w:rPr>
          <w:color w:val="auto"/>
          <w:szCs w:val="21"/>
        </w:rPr>
      </w:pPr>
      <w:r>
        <w:rPr>
          <w:i/>
          <w:iCs/>
          <w:color w:val="auto"/>
          <w:szCs w:val="21"/>
        </w:rPr>
        <w:t>a</w:t>
      </w:r>
      <w:r>
        <w:rPr>
          <w:color w:val="auto"/>
          <w:szCs w:val="21"/>
        </w:rPr>
        <w:t>——土的压缩系数；</w:t>
      </w:r>
    </w:p>
    <w:p w14:paraId="77DB789D">
      <w:pPr>
        <w:tabs>
          <w:tab w:val="left" w:pos="826"/>
        </w:tabs>
        <w:snapToGrid w:val="0"/>
        <w:spacing w:line="340" w:lineRule="exact"/>
        <w:ind w:firstLine="294" w:firstLineChars="140"/>
        <w:rPr>
          <w:color w:val="auto"/>
          <w:szCs w:val="21"/>
        </w:rPr>
      </w:pPr>
      <w:r>
        <w:rPr>
          <w:i/>
          <w:iCs/>
          <w:color w:val="auto"/>
          <w:szCs w:val="21"/>
        </w:rPr>
        <w:t>c</w:t>
      </w:r>
      <w:r>
        <w:rPr>
          <w:color w:val="auto"/>
          <w:szCs w:val="21"/>
        </w:rPr>
        <w:t>——黏聚力；</w:t>
      </w:r>
    </w:p>
    <w:p w14:paraId="309BA482">
      <w:pPr>
        <w:tabs>
          <w:tab w:val="left" w:pos="798"/>
        </w:tabs>
        <w:snapToGrid w:val="0"/>
        <w:spacing w:line="340" w:lineRule="exact"/>
        <w:ind w:left="-84" w:leftChars="-40" w:firstLine="306" w:firstLineChars="146"/>
        <w:rPr>
          <w:color w:val="auto"/>
          <w:szCs w:val="21"/>
        </w:rPr>
      </w:pPr>
      <w:r>
        <w:rPr>
          <w:i/>
          <w:iCs/>
          <w:color w:val="auto"/>
          <w:szCs w:val="21"/>
        </w:rPr>
        <w:t>E</w:t>
      </w:r>
      <w:r>
        <w:rPr>
          <w:color w:val="auto"/>
          <w:szCs w:val="21"/>
          <w:vertAlign w:val="subscript"/>
        </w:rPr>
        <w:t>s</w:t>
      </w:r>
      <w:r>
        <w:rPr>
          <w:color w:val="auto"/>
          <w:szCs w:val="21"/>
        </w:rPr>
        <w:t>——土的压缩模量；</w:t>
      </w:r>
    </w:p>
    <w:p w14:paraId="4EB7A1AD">
      <w:pPr>
        <w:snapToGrid w:val="0"/>
        <w:spacing w:line="340" w:lineRule="exact"/>
        <w:ind w:firstLine="294" w:firstLineChars="140"/>
        <w:rPr>
          <w:color w:val="auto"/>
          <w:szCs w:val="21"/>
        </w:rPr>
      </w:pPr>
      <w:r>
        <w:rPr>
          <w:i/>
          <w:iCs/>
          <w:color w:val="auto"/>
          <w:szCs w:val="21"/>
        </w:rPr>
        <w:t>e</w:t>
      </w:r>
      <w:r>
        <w:rPr>
          <w:color w:val="auto"/>
          <w:szCs w:val="21"/>
        </w:rPr>
        <w:t>——孔隙比；</w:t>
      </w:r>
    </w:p>
    <w:p w14:paraId="45C43609">
      <w:pPr>
        <w:snapToGrid w:val="0"/>
        <w:spacing w:line="340" w:lineRule="exact"/>
        <w:ind w:left="806" w:leftChars="139" w:hanging="514" w:hangingChars="245"/>
        <w:rPr>
          <w:color w:val="auto"/>
          <w:szCs w:val="21"/>
        </w:rPr>
      </w:pPr>
      <w:r>
        <w:rPr>
          <w:i/>
          <w:color w:val="auto"/>
          <w:szCs w:val="21"/>
        </w:rPr>
        <w:t>f</w:t>
      </w:r>
      <w:r>
        <w:rPr>
          <w:color w:val="auto"/>
          <w:szCs w:val="21"/>
          <w:vertAlign w:val="subscript"/>
        </w:rPr>
        <w:t>a</w:t>
      </w:r>
      <w:r>
        <w:rPr>
          <w:color w:val="auto"/>
          <w:szCs w:val="21"/>
        </w:rPr>
        <w:t>——修正后的地基承载力特征值或由土的抗剪强度指标确定的地基承载力特征值；</w:t>
      </w:r>
    </w:p>
    <w:p w14:paraId="4E47FC19">
      <w:pPr>
        <w:tabs>
          <w:tab w:val="left" w:pos="851"/>
        </w:tabs>
        <w:snapToGrid w:val="0"/>
        <w:spacing w:line="340" w:lineRule="exact"/>
        <w:ind w:left="-44" w:leftChars="-21" w:firstLine="266" w:firstLineChars="127"/>
        <w:rPr>
          <w:color w:val="auto"/>
          <w:szCs w:val="21"/>
        </w:rPr>
      </w:pPr>
      <w:r>
        <w:rPr>
          <w:i/>
          <w:color w:val="auto"/>
          <w:szCs w:val="21"/>
        </w:rPr>
        <w:t>f</w:t>
      </w:r>
      <w:r>
        <w:rPr>
          <w:color w:val="auto"/>
          <w:szCs w:val="21"/>
          <w:vertAlign w:val="subscript"/>
        </w:rPr>
        <w:t>ak</w:t>
      </w:r>
      <w:r>
        <w:rPr>
          <w:iCs/>
          <w:color w:val="auto"/>
          <w:szCs w:val="21"/>
        </w:rPr>
        <w:t>——</w:t>
      </w:r>
      <w:r>
        <w:rPr>
          <w:color w:val="auto"/>
          <w:szCs w:val="21"/>
        </w:rPr>
        <w:t>地基承载力特征值；</w:t>
      </w:r>
    </w:p>
    <w:p w14:paraId="5F4F9D53">
      <w:pPr>
        <w:tabs>
          <w:tab w:val="left" w:pos="851"/>
        </w:tabs>
        <w:snapToGrid w:val="0"/>
        <w:spacing w:line="340" w:lineRule="exact"/>
        <w:ind w:left="-105" w:leftChars="-50" w:firstLine="258" w:firstLineChars="123"/>
        <w:rPr>
          <w:color w:val="auto"/>
          <w:szCs w:val="21"/>
        </w:rPr>
      </w:pPr>
      <w:r>
        <w:rPr>
          <w:i/>
          <w:color w:val="auto"/>
          <w:szCs w:val="21"/>
        </w:rPr>
        <w:t>f</w:t>
      </w:r>
      <w:r>
        <w:rPr>
          <w:color w:val="auto"/>
          <w:szCs w:val="21"/>
          <w:vertAlign w:val="subscript"/>
        </w:rPr>
        <w:t>spk</w:t>
      </w:r>
      <w:r>
        <w:rPr>
          <w:color w:val="auto"/>
          <w:szCs w:val="21"/>
          <w:vertAlign w:val="subscript"/>
        </w:rPr>
        <w:softHyphen/>
      </w:r>
      <w:r>
        <w:rPr>
          <w:color w:val="auto"/>
          <w:szCs w:val="21"/>
        </w:rPr>
        <w:t>——复合地基承载力特征值；</w:t>
      </w:r>
    </w:p>
    <w:p w14:paraId="7F4568F8">
      <w:pPr>
        <w:snapToGrid w:val="0"/>
        <w:spacing w:line="340" w:lineRule="exact"/>
        <w:ind w:left="-57" w:leftChars="-27" w:firstLine="279" w:firstLineChars="133"/>
        <w:rPr>
          <w:color w:val="auto"/>
          <w:szCs w:val="21"/>
        </w:rPr>
      </w:pPr>
      <w:r>
        <w:rPr>
          <w:i/>
          <w:color w:val="auto"/>
          <w:szCs w:val="21"/>
        </w:rPr>
        <w:t>f</w:t>
      </w:r>
      <w:r>
        <w:rPr>
          <w:color w:val="auto"/>
          <w:szCs w:val="21"/>
          <w:vertAlign w:val="subscript"/>
        </w:rPr>
        <w:t>rk</w:t>
      </w:r>
      <w:r>
        <w:rPr>
          <w:iCs/>
          <w:color w:val="auto"/>
          <w:szCs w:val="21"/>
        </w:rPr>
        <w:t>——</w:t>
      </w:r>
      <w:r>
        <w:rPr>
          <w:color w:val="auto"/>
          <w:szCs w:val="21"/>
        </w:rPr>
        <w:t>岩石饱和单轴抗压强度标准值；</w:t>
      </w:r>
    </w:p>
    <w:p w14:paraId="72721B0A">
      <w:pPr>
        <w:tabs>
          <w:tab w:val="left" w:pos="826"/>
        </w:tabs>
        <w:snapToGrid w:val="0"/>
        <w:spacing w:line="340" w:lineRule="exact"/>
        <w:ind w:left="-57" w:leftChars="-27" w:firstLine="224" w:firstLineChars="107"/>
        <w:rPr>
          <w:color w:val="auto"/>
          <w:szCs w:val="21"/>
        </w:rPr>
      </w:pPr>
      <w:r>
        <w:rPr>
          <w:i/>
          <w:color w:val="auto"/>
          <w:szCs w:val="21"/>
        </w:rPr>
        <w:t>q</w:t>
      </w:r>
      <w:r>
        <w:rPr>
          <w:color w:val="auto"/>
          <w:szCs w:val="21"/>
          <w:vertAlign w:val="subscript"/>
        </w:rPr>
        <w:t>pa</w:t>
      </w:r>
      <w:r>
        <w:rPr>
          <w:color w:val="auto"/>
          <w:szCs w:val="21"/>
        </w:rPr>
        <w:t>——桩端阻力特征值；</w:t>
      </w:r>
    </w:p>
    <w:p w14:paraId="78DE45EC">
      <w:pPr>
        <w:tabs>
          <w:tab w:val="left" w:pos="900"/>
        </w:tabs>
        <w:snapToGrid w:val="0"/>
        <w:spacing w:line="340" w:lineRule="exact"/>
        <w:ind w:left="-84" w:leftChars="-40" w:firstLine="264" w:firstLineChars="126"/>
        <w:rPr>
          <w:color w:val="auto"/>
          <w:szCs w:val="21"/>
        </w:rPr>
      </w:pPr>
      <w:r>
        <w:rPr>
          <w:i/>
          <w:color w:val="auto"/>
          <w:szCs w:val="21"/>
        </w:rPr>
        <w:t>q</w:t>
      </w:r>
      <w:r>
        <w:rPr>
          <w:color w:val="auto"/>
          <w:szCs w:val="21"/>
          <w:vertAlign w:val="subscript"/>
        </w:rPr>
        <w:t>sa</w:t>
      </w:r>
      <w:r>
        <w:rPr>
          <w:iCs/>
          <w:color w:val="auto"/>
          <w:szCs w:val="21"/>
        </w:rPr>
        <w:t>——</w:t>
      </w:r>
      <w:r>
        <w:rPr>
          <w:color w:val="auto"/>
          <w:szCs w:val="21"/>
        </w:rPr>
        <w:t>桩侧阻力特征值；</w:t>
      </w:r>
    </w:p>
    <w:p w14:paraId="442436A1">
      <w:pPr>
        <w:tabs>
          <w:tab w:val="left" w:pos="851"/>
        </w:tabs>
        <w:snapToGrid w:val="0"/>
        <w:spacing w:line="340" w:lineRule="exact"/>
        <w:ind w:firstLine="222" w:firstLineChars="106"/>
        <w:rPr>
          <w:color w:val="auto"/>
          <w:szCs w:val="21"/>
        </w:rPr>
      </w:pPr>
      <w:r>
        <w:rPr>
          <w:i/>
          <w:color w:val="auto"/>
          <w:szCs w:val="21"/>
        </w:rPr>
        <w:t>R</w:t>
      </w:r>
      <w:r>
        <w:rPr>
          <w:color w:val="auto"/>
          <w:szCs w:val="21"/>
          <w:vertAlign w:val="subscript"/>
        </w:rPr>
        <w:t>a</w:t>
      </w:r>
      <w:r>
        <w:rPr>
          <w:iCs/>
          <w:color w:val="auto"/>
          <w:szCs w:val="21"/>
        </w:rPr>
        <w:t>——</w:t>
      </w:r>
      <w:r>
        <w:rPr>
          <w:color w:val="auto"/>
          <w:szCs w:val="21"/>
        </w:rPr>
        <w:t>单桩竖向承载力特征值；</w:t>
      </w:r>
    </w:p>
    <w:p w14:paraId="054B3474">
      <w:pPr>
        <w:snapToGrid w:val="0"/>
        <w:spacing w:line="340" w:lineRule="exact"/>
        <w:ind w:firstLine="279" w:firstLineChars="133"/>
        <w:rPr>
          <w:color w:val="auto"/>
          <w:szCs w:val="21"/>
        </w:rPr>
      </w:pPr>
      <w:r>
        <w:rPr>
          <w:i/>
          <w:iCs/>
          <w:color w:val="auto"/>
          <w:szCs w:val="21"/>
        </w:rPr>
        <w:t>w</w:t>
      </w:r>
      <w:r>
        <w:rPr>
          <w:color w:val="auto"/>
          <w:szCs w:val="21"/>
        </w:rPr>
        <w:t>——土的含水</w:t>
      </w:r>
      <w:r>
        <w:rPr>
          <w:rFonts w:hint="eastAsia"/>
          <w:color w:val="auto"/>
          <w:szCs w:val="21"/>
        </w:rPr>
        <w:t>率</w:t>
      </w:r>
      <w:r>
        <w:rPr>
          <w:color w:val="auto"/>
          <w:szCs w:val="21"/>
        </w:rPr>
        <w:t>；</w:t>
      </w:r>
    </w:p>
    <w:p w14:paraId="5C89A188">
      <w:pPr>
        <w:snapToGrid w:val="0"/>
        <w:spacing w:line="340" w:lineRule="exact"/>
        <w:ind w:left="-126" w:leftChars="-60" w:firstLine="336" w:firstLineChars="160"/>
        <w:rPr>
          <w:color w:val="auto"/>
          <w:szCs w:val="21"/>
        </w:rPr>
      </w:pPr>
      <w:r>
        <w:rPr>
          <w:i/>
          <w:color w:val="auto"/>
          <w:szCs w:val="21"/>
        </w:rPr>
        <w:t>w</w:t>
      </w:r>
      <w:r>
        <w:rPr>
          <w:color w:val="auto"/>
          <w:sz w:val="18"/>
          <w:szCs w:val="21"/>
          <w:vertAlign w:val="subscript"/>
        </w:rPr>
        <w:t>L</w:t>
      </w:r>
      <w:r>
        <w:rPr>
          <w:iCs/>
          <w:color w:val="auto"/>
          <w:szCs w:val="21"/>
        </w:rPr>
        <w:t>——</w:t>
      </w:r>
      <w:r>
        <w:rPr>
          <w:rFonts w:hint="eastAsia"/>
          <w:iCs/>
          <w:color w:val="auto"/>
          <w:szCs w:val="21"/>
        </w:rPr>
        <w:t>土的</w:t>
      </w:r>
      <w:r>
        <w:rPr>
          <w:color w:val="auto"/>
          <w:szCs w:val="21"/>
        </w:rPr>
        <w:t>液限；</w:t>
      </w:r>
    </w:p>
    <w:p w14:paraId="6372AA25">
      <w:pPr>
        <w:tabs>
          <w:tab w:val="left" w:pos="851"/>
        </w:tabs>
        <w:snapToGrid w:val="0"/>
        <w:spacing w:line="340" w:lineRule="exact"/>
        <w:ind w:left="-124" w:leftChars="-59" w:firstLine="336" w:firstLineChars="160"/>
        <w:rPr>
          <w:color w:val="auto"/>
          <w:szCs w:val="21"/>
        </w:rPr>
      </w:pPr>
      <w:r>
        <w:rPr>
          <w:i/>
          <w:color w:val="auto"/>
          <w:szCs w:val="21"/>
        </w:rPr>
        <w:t>w</w:t>
      </w:r>
      <w:r>
        <w:rPr>
          <w:color w:val="auto"/>
          <w:sz w:val="18"/>
          <w:szCs w:val="21"/>
          <w:vertAlign w:val="subscript"/>
        </w:rPr>
        <w:t>P</w:t>
      </w:r>
      <w:r>
        <w:rPr>
          <w:iCs/>
          <w:color w:val="auto"/>
          <w:szCs w:val="21"/>
        </w:rPr>
        <w:t>——</w:t>
      </w:r>
      <w:r>
        <w:rPr>
          <w:rFonts w:hint="eastAsia"/>
          <w:iCs/>
          <w:color w:val="auto"/>
          <w:szCs w:val="21"/>
        </w:rPr>
        <w:t>土的</w:t>
      </w:r>
      <w:r>
        <w:rPr>
          <w:color w:val="auto"/>
          <w:szCs w:val="21"/>
        </w:rPr>
        <w:t>塑限；</w:t>
      </w:r>
    </w:p>
    <w:p w14:paraId="43F9F354">
      <w:pPr>
        <w:snapToGrid w:val="0"/>
        <w:spacing w:line="340" w:lineRule="exact"/>
        <w:ind w:firstLine="210" w:firstLineChars="100"/>
        <w:rPr>
          <w:color w:val="auto"/>
          <w:szCs w:val="21"/>
        </w:rPr>
      </w:pPr>
      <w:r>
        <w:rPr>
          <w:i/>
          <w:color w:val="auto"/>
          <w:position w:val="-10"/>
          <w:szCs w:val="21"/>
        </w:rPr>
        <w:object>
          <v:shape id="_x0000_i1029" o:spt="75" type="#_x0000_t75" style="height:12.75pt;width:9.75pt;" o:ole="t" filled="f" o:preferrelative="t" stroked="f" coordsize="21600,21600">
            <v:path/>
            <v:fill on="f" focussize="0,0"/>
            <v:stroke on="f" joinstyle="miter"/>
            <v:imagedata r:id="rId20" o:title=""/>
            <o:lock v:ext="edit" aspectratio="t"/>
            <w10:wrap type="none"/>
            <w10:anchorlock/>
          </v:shape>
          <o:OLEObject Type="Embed" ProgID="Equation.DSMT4" ShapeID="_x0000_i1029" DrawAspect="Content" ObjectID="_1468075729" r:id="rId19">
            <o:LockedField>false</o:LockedField>
          </o:OLEObject>
        </w:object>
      </w:r>
      <w:r>
        <w:rPr>
          <w:color w:val="auto"/>
          <w:szCs w:val="21"/>
        </w:rPr>
        <w:t>——土的重力密度，简称土的重度；</w:t>
      </w:r>
    </w:p>
    <w:p w14:paraId="696C191B">
      <w:pPr>
        <w:snapToGrid w:val="0"/>
        <w:spacing w:line="340" w:lineRule="exact"/>
        <w:ind w:firstLine="315" w:firstLineChars="150"/>
        <w:rPr>
          <w:color w:val="auto"/>
          <w:szCs w:val="21"/>
        </w:rPr>
      </w:pPr>
      <w:r>
        <w:rPr>
          <w:i/>
          <w:iCs/>
          <w:color w:val="auto"/>
          <w:szCs w:val="21"/>
        </w:rPr>
        <w:t>δ</w:t>
      </w:r>
      <w:r>
        <w:rPr>
          <w:color w:val="auto"/>
          <w:szCs w:val="21"/>
        </w:rPr>
        <w:t>——填土与挡土墙墙背的摩擦角；</w:t>
      </w:r>
    </w:p>
    <w:p w14:paraId="04139F27">
      <w:pPr>
        <w:snapToGrid w:val="0"/>
        <w:spacing w:line="340" w:lineRule="exact"/>
        <w:ind w:firstLine="264" w:firstLineChars="126"/>
        <w:rPr>
          <w:color w:val="auto"/>
          <w:szCs w:val="21"/>
        </w:rPr>
      </w:pPr>
      <w:r>
        <w:rPr>
          <w:i/>
          <w:iCs/>
          <w:color w:val="auto"/>
          <w:szCs w:val="21"/>
        </w:rPr>
        <w:t>δ</w:t>
      </w:r>
      <w:r>
        <w:rPr>
          <w:color w:val="auto"/>
          <w:szCs w:val="21"/>
          <w:vertAlign w:val="subscript"/>
        </w:rPr>
        <w:t>r</w:t>
      </w:r>
      <w:r>
        <w:rPr>
          <w:color w:val="auto"/>
          <w:szCs w:val="21"/>
        </w:rPr>
        <w:t>——填土与稳定岩石坡面间的摩擦角；</w:t>
      </w:r>
    </w:p>
    <w:p w14:paraId="034734B1">
      <w:pPr>
        <w:snapToGrid w:val="0"/>
        <w:spacing w:line="340" w:lineRule="exact"/>
        <w:ind w:firstLine="315" w:firstLineChars="150"/>
        <w:rPr>
          <w:color w:val="auto"/>
          <w:szCs w:val="21"/>
        </w:rPr>
      </w:pPr>
      <w:r>
        <w:rPr>
          <w:i/>
          <w:iCs/>
          <w:color w:val="auto"/>
          <w:szCs w:val="21"/>
        </w:rPr>
        <w:t>θ</w:t>
      </w:r>
      <w:r>
        <w:rPr>
          <w:color w:val="auto"/>
          <w:szCs w:val="21"/>
        </w:rPr>
        <w:t>——地基的压力扩散角；</w:t>
      </w:r>
    </w:p>
    <w:p w14:paraId="53164457">
      <w:pPr>
        <w:tabs>
          <w:tab w:val="left" w:pos="900"/>
        </w:tabs>
        <w:snapToGrid w:val="0"/>
        <w:spacing w:line="340" w:lineRule="exact"/>
        <w:ind w:firstLine="315" w:firstLineChars="150"/>
        <w:rPr>
          <w:color w:val="auto"/>
          <w:szCs w:val="21"/>
        </w:rPr>
      </w:pPr>
      <w:r>
        <w:rPr>
          <w:i/>
          <w:iCs/>
          <w:color w:val="auto"/>
          <w:szCs w:val="21"/>
        </w:rPr>
        <w:t>μ</w:t>
      </w:r>
      <w:r>
        <w:rPr>
          <w:color w:val="auto"/>
          <w:szCs w:val="21"/>
        </w:rPr>
        <w:t>——土与挡土墙基底间的摩擦系数；</w:t>
      </w:r>
    </w:p>
    <w:p w14:paraId="4B774E89">
      <w:pPr>
        <w:snapToGrid w:val="0"/>
        <w:spacing w:line="340" w:lineRule="exact"/>
        <w:ind w:firstLine="321" w:firstLineChars="153"/>
        <w:rPr>
          <w:color w:val="auto"/>
          <w:szCs w:val="21"/>
        </w:rPr>
      </w:pPr>
      <w:r>
        <w:rPr>
          <w:i/>
          <w:color w:val="auto"/>
          <w:szCs w:val="21"/>
        </w:rPr>
        <w:t>ν</w:t>
      </w:r>
      <w:r>
        <w:rPr>
          <w:color w:val="auto"/>
          <w:szCs w:val="21"/>
        </w:rPr>
        <w:t>——泊松比；</w:t>
      </w:r>
    </w:p>
    <w:p w14:paraId="660645B6">
      <w:pPr>
        <w:snapToGrid w:val="0"/>
        <w:spacing w:line="340" w:lineRule="exact"/>
        <w:ind w:firstLine="237" w:firstLineChars="113"/>
        <w:rPr>
          <w:color w:val="auto"/>
          <w:szCs w:val="21"/>
        </w:rPr>
      </w:pPr>
      <w:r>
        <w:rPr>
          <w:color w:val="auto"/>
          <w:position w:val="-8"/>
          <w:szCs w:val="21"/>
        </w:rPr>
        <w:object>
          <v:shape id="_x0000_i1030" o:spt="75" type="#_x0000_t75" style="height:11.25pt;width:9pt;" o:ole="t" filled="f" o:preferrelative="t" stroked="f" coordsize="21600,21600">
            <v:path/>
            <v:fill on="f" focussize="0,0"/>
            <v:stroke on="f" joinstyle="miter"/>
            <v:imagedata r:id="rId22" o:title=""/>
            <o:lock v:ext="edit" aspectratio="t"/>
            <w10:wrap type="none"/>
            <w10:anchorlock/>
          </v:shape>
          <o:OLEObject Type="Embed" ProgID="Equation.DSMT4" ShapeID="_x0000_i1030" DrawAspect="Content" ObjectID="_1468075730" r:id="rId21">
            <o:LockedField>false</o:LockedField>
          </o:OLEObject>
        </w:object>
      </w:r>
      <w:r>
        <w:rPr>
          <w:color w:val="auto"/>
          <w:szCs w:val="21"/>
        </w:rPr>
        <w:t>——土的内摩擦角</w:t>
      </w:r>
      <w:r>
        <w:rPr>
          <w:rFonts w:hint="eastAsia"/>
          <w:color w:val="auto"/>
          <w:szCs w:val="21"/>
        </w:rPr>
        <w:t>。</w:t>
      </w:r>
    </w:p>
    <w:p w14:paraId="305A9742">
      <w:pPr>
        <w:pStyle w:val="54"/>
        <w:numPr>
          <w:ilvl w:val="0"/>
          <w:numId w:val="2"/>
        </w:numPr>
        <w:adjustRightInd w:val="0"/>
        <w:snapToGrid w:val="0"/>
        <w:spacing w:line="400" w:lineRule="atLeast"/>
        <w:ind w:firstLineChars="0"/>
        <w:rPr>
          <w:color w:val="auto"/>
          <w:szCs w:val="21"/>
        </w:rPr>
      </w:pPr>
      <w:r>
        <w:rPr>
          <w:color w:val="auto"/>
          <w:szCs w:val="21"/>
        </w:rPr>
        <w:t>几何参数</w:t>
      </w:r>
    </w:p>
    <w:p w14:paraId="2A70962C">
      <w:pPr>
        <w:tabs>
          <w:tab w:val="left" w:pos="798"/>
        </w:tabs>
        <w:adjustRightInd w:val="0"/>
        <w:snapToGrid w:val="0"/>
        <w:spacing w:line="400" w:lineRule="atLeast"/>
        <w:ind w:firstLine="264" w:firstLineChars="126"/>
        <w:rPr>
          <w:color w:val="auto"/>
          <w:szCs w:val="21"/>
        </w:rPr>
      </w:pPr>
      <w:r>
        <w:rPr>
          <w:i/>
          <w:iCs/>
          <w:color w:val="auto"/>
          <w:szCs w:val="21"/>
        </w:rPr>
        <w:t>A</w:t>
      </w:r>
      <w:r>
        <w:rPr>
          <w:color w:val="auto"/>
          <w:szCs w:val="21"/>
        </w:rPr>
        <w:t>——基础底面面积；</w:t>
      </w:r>
    </w:p>
    <w:p w14:paraId="3F2E5D27">
      <w:pPr>
        <w:adjustRightInd w:val="0"/>
        <w:snapToGrid w:val="0"/>
        <w:spacing w:line="280" w:lineRule="atLeast"/>
        <w:ind w:left="178" w:leftChars="85" w:firstLine="16" w:firstLineChars="8"/>
        <w:rPr>
          <w:color w:val="auto"/>
          <w:szCs w:val="21"/>
        </w:rPr>
      </w:pPr>
      <w:r>
        <w:rPr>
          <w:i/>
          <w:iCs/>
          <w:color w:val="auto"/>
          <w:szCs w:val="21"/>
        </w:rPr>
        <w:t>A</w:t>
      </w:r>
      <w:r>
        <w:rPr>
          <w:color w:val="auto"/>
          <w:szCs w:val="21"/>
          <w:vertAlign w:val="subscript"/>
        </w:rPr>
        <w:t>p</w:t>
      </w:r>
      <w:r>
        <w:rPr>
          <w:color w:val="auto"/>
          <w:szCs w:val="21"/>
        </w:rPr>
        <w:t>——桩身截面面积；</w:t>
      </w:r>
    </w:p>
    <w:p w14:paraId="245D8A87">
      <w:pPr>
        <w:snapToGrid w:val="0"/>
        <w:spacing w:line="340" w:lineRule="exact"/>
        <w:ind w:firstLine="279" w:firstLineChars="133"/>
        <w:rPr>
          <w:color w:val="auto"/>
          <w:szCs w:val="21"/>
        </w:rPr>
      </w:pPr>
      <w:r>
        <w:rPr>
          <w:i/>
          <w:iCs/>
          <w:color w:val="auto"/>
          <w:szCs w:val="21"/>
        </w:rPr>
        <w:t>b</w:t>
      </w:r>
      <w:r>
        <w:rPr>
          <w:color w:val="auto"/>
          <w:szCs w:val="21"/>
        </w:rPr>
        <w:t>——基础底面宽度（最小边长）；或力矩作用方向的基础底面边长；</w:t>
      </w:r>
    </w:p>
    <w:p w14:paraId="6BF3FF74">
      <w:pPr>
        <w:tabs>
          <w:tab w:val="left" w:pos="840"/>
        </w:tabs>
        <w:snapToGrid w:val="0"/>
        <w:spacing w:line="340" w:lineRule="exact"/>
        <w:ind w:firstLine="279" w:firstLineChars="133"/>
        <w:rPr>
          <w:color w:val="auto"/>
          <w:szCs w:val="21"/>
        </w:rPr>
      </w:pPr>
      <w:r>
        <w:rPr>
          <w:i/>
          <w:iCs/>
          <w:color w:val="auto"/>
          <w:szCs w:val="21"/>
        </w:rPr>
        <w:t>d</w:t>
      </w:r>
      <w:r>
        <w:rPr>
          <w:color w:val="auto"/>
          <w:szCs w:val="21"/>
        </w:rPr>
        <w:t>——基础埋置深度或桩身直径；</w:t>
      </w:r>
    </w:p>
    <w:p w14:paraId="5F2D0348">
      <w:pPr>
        <w:tabs>
          <w:tab w:val="left" w:pos="812"/>
        </w:tabs>
        <w:snapToGrid w:val="0"/>
        <w:spacing w:line="340" w:lineRule="exact"/>
        <w:ind w:left="-84" w:leftChars="-40" w:firstLine="306" w:firstLineChars="146"/>
        <w:rPr>
          <w:color w:val="auto"/>
          <w:szCs w:val="21"/>
        </w:rPr>
      </w:pPr>
      <w:r>
        <w:rPr>
          <w:i/>
          <w:color w:val="auto"/>
          <w:szCs w:val="21"/>
        </w:rPr>
        <w:t>h</w:t>
      </w:r>
      <w:r>
        <w:rPr>
          <w:color w:val="auto"/>
          <w:szCs w:val="21"/>
          <w:vertAlign w:val="subscript"/>
        </w:rPr>
        <w:t>0</w:t>
      </w:r>
      <w:r>
        <w:rPr>
          <w:color w:val="auto"/>
          <w:szCs w:val="21"/>
        </w:rPr>
        <w:t>——基础高度；</w:t>
      </w:r>
    </w:p>
    <w:p w14:paraId="5A231B19">
      <w:pPr>
        <w:tabs>
          <w:tab w:val="left" w:pos="826"/>
        </w:tabs>
        <w:snapToGrid w:val="0"/>
        <w:spacing w:line="340" w:lineRule="exact"/>
        <w:ind w:left="-69" w:leftChars="-33" w:firstLine="291" w:firstLineChars="139"/>
        <w:rPr>
          <w:color w:val="auto"/>
          <w:szCs w:val="21"/>
        </w:rPr>
      </w:pPr>
      <w:r>
        <w:rPr>
          <w:i/>
          <w:color w:val="auto"/>
          <w:szCs w:val="21"/>
        </w:rPr>
        <w:t>H</w:t>
      </w:r>
      <w:r>
        <w:rPr>
          <w:color w:val="auto"/>
          <w:szCs w:val="21"/>
          <w:vertAlign w:val="subscript"/>
        </w:rPr>
        <w:t>f</w:t>
      </w:r>
      <w:r>
        <w:rPr>
          <w:iCs/>
          <w:color w:val="auto"/>
          <w:szCs w:val="21"/>
        </w:rPr>
        <w:t>——</w:t>
      </w:r>
      <w:r>
        <w:rPr>
          <w:color w:val="auto"/>
          <w:szCs w:val="21"/>
        </w:rPr>
        <w:t>自基础底面算起的建筑物高度；</w:t>
      </w:r>
    </w:p>
    <w:p w14:paraId="4B36C3B2">
      <w:pPr>
        <w:tabs>
          <w:tab w:val="left" w:pos="851"/>
        </w:tabs>
        <w:snapToGrid w:val="0"/>
        <w:spacing w:line="340" w:lineRule="exact"/>
        <w:ind w:left="-69" w:leftChars="-33" w:firstLine="249" w:firstLineChars="119"/>
        <w:rPr>
          <w:color w:val="auto"/>
          <w:szCs w:val="21"/>
        </w:rPr>
      </w:pPr>
      <w:r>
        <w:rPr>
          <w:i/>
          <w:color w:val="auto"/>
          <w:szCs w:val="21"/>
        </w:rPr>
        <w:t>H</w:t>
      </w:r>
      <w:r>
        <w:rPr>
          <w:color w:val="auto"/>
          <w:szCs w:val="21"/>
          <w:vertAlign w:val="subscript"/>
        </w:rPr>
        <w:t>g</w:t>
      </w:r>
      <w:r>
        <w:rPr>
          <w:color w:val="auto"/>
          <w:szCs w:val="21"/>
        </w:rPr>
        <w:t>——自室外地面算起的建筑物高度；</w:t>
      </w:r>
    </w:p>
    <w:p w14:paraId="3F517777">
      <w:pPr>
        <w:tabs>
          <w:tab w:val="left" w:pos="854"/>
        </w:tabs>
        <w:snapToGrid w:val="0"/>
        <w:spacing w:line="340" w:lineRule="exact"/>
        <w:ind w:firstLine="306" w:firstLineChars="146"/>
        <w:rPr>
          <w:color w:val="auto"/>
          <w:szCs w:val="21"/>
        </w:rPr>
      </w:pPr>
      <w:r>
        <w:rPr>
          <w:i/>
          <w:iCs/>
          <w:color w:val="auto"/>
          <w:szCs w:val="21"/>
        </w:rPr>
        <w:t>L</w:t>
      </w:r>
      <w:r>
        <w:rPr>
          <w:color w:val="auto"/>
          <w:szCs w:val="21"/>
        </w:rPr>
        <w:t>——房屋长度或沉降缝分隔的单元长度；</w:t>
      </w:r>
    </w:p>
    <w:p w14:paraId="020A0419">
      <w:pPr>
        <w:snapToGrid w:val="0"/>
        <w:spacing w:line="340" w:lineRule="exact"/>
        <w:ind w:firstLine="279" w:firstLineChars="133"/>
        <w:rPr>
          <w:color w:val="auto"/>
          <w:szCs w:val="21"/>
        </w:rPr>
      </w:pPr>
      <w:r>
        <w:rPr>
          <w:color w:val="auto"/>
          <w:position w:val="-6"/>
          <w:szCs w:val="21"/>
        </w:rPr>
        <w:object>
          <v:shape id="_x0000_i1031" o:spt="75" type="#_x0000_t75" style="height:15pt;width:6.75pt;" o:ole="t" filled="f" o:preferrelative="t" stroked="f" coordsize="21600,21600">
            <v:path/>
            <v:fill on="f" focussize="0,0"/>
            <v:stroke on="f" joinstyle="miter"/>
            <v:imagedata r:id="rId24" o:title=""/>
            <o:lock v:ext="edit" aspectratio="t"/>
            <w10:wrap type="none"/>
            <w10:anchorlock/>
          </v:shape>
          <o:OLEObject Type="Embed" ProgID="Equation.3" ShapeID="_x0000_i1031" DrawAspect="Content" ObjectID="_1468075731" r:id="rId23">
            <o:LockedField>false</o:LockedField>
          </o:OLEObject>
        </w:object>
      </w:r>
      <w:r>
        <w:rPr>
          <w:color w:val="auto"/>
          <w:szCs w:val="21"/>
        </w:rPr>
        <w:t>——基础底面长度；</w:t>
      </w:r>
    </w:p>
    <w:p w14:paraId="61618282">
      <w:pPr>
        <w:tabs>
          <w:tab w:val="left" w:pos="851"/>
        </w:tabs>
        <w:adjustRightInd w:val="0"/>
        <w:snapToGrid w:val="0"/>
        <w:spacing w:line="400" w:lineRule="atLeast"/>
        <w:ind w:firstLine="306" w:firstLineChars="146"/>
        <w:rPr>
          <w:color w:val="auto"/>
          <w:szCs w:val="21"/>
        </w:rPr>
      </w:pPr>
      <w:r>
        <w:rPr>
          <w:i/>
          <w:iCs/>
          <w:color w:val="auto"/>
          <w:szCs w:val="21"/>
        </w:rPr>
        <w:t>s</w:t>
      </w:r>
      <w:r>
        <w:rPr>
          <w:color w:val="auto"/>
          <w:szCs w:val="21"/>
        </w:rPr>
        <w:t>——沉降量；</w:t>
      </w:r>
    </w:p>
    <w:p w14:paraId="44C6BFF1">
      <w:pPr>
        <w:tabs>
          <w:tab w:val="left" w:pos="798"/>
          <w:tab w:val="left" w:pos="851"/>
        </w:tabs>
        <w:snapToGrid w:val="0"/>
        <w:spacing w:line="340" w:lineRule="exact"/>
        <w:ind w:firstLine="222" w:firstLineChars="106"/>
        <w:rPr>
          <w:color w:val="auto"/>
          <w:szCs w:val="21"/>
        </w:rPr>
      </w:pPr>
      <w:r>
        <w:rPr>
          <w:i/>
          <w:iCs/>
          <w:color w:val="auto"/>
          <w:szCs w:val="21"/>
        </w:rPr>
        <w:t>u</w:t>
      </w:r>
      <w:r>
        <w:rPr>
          <w:i/>
          <w:iCs/>
          <w:color w:val="auto"/>
          <w:szCs w:val="21"/>
          <w:vertAlign w:val="subscript"/>
        </w:rPr>
        <w:t>p</w:t>
      </w:r>
      <w:r>
        <w:rPr>
          <w:color w:val="auto"/>
          <w:szCs w:val="21"/>
        </w:rPr>
        <w:t>——桩身横截面周边长度；</w:t>
      </w:r>
    </w:p>
    <w:p w14:paraId="4F5AC23F">
      <w:pPr>
        <w:tabs>
          <w:tab w:val="left" w:pos="851"/>
        </w:tabs>
        <w:snapToGrid w:val="0"/>
        <w:spacing w:line="340" w:lineRule="exact"/>
        <w:ind w:firstLine="252" w:firstLineChars="120"/>
        <w:rPr>
          <w:color w:val="auto"/>
          <w:szCs w:val="21"/>
        </w:rPr>
      </w:pPr>
      <w:r>
        <w:rPr>
          <w:i/>
          <w:color w:val="auto"/>
          <w:szCs w:val="21"/>
        </w:rPr>
        <w:t>z</w:t>
      </w:r>
      <w:r>
        <w:rPr>
          <w:color w:val="auto"/>
          <w:szCs w:val="21"/>
          <w:vertAlign w:val="subscript"/>
        </w:rPr>
        <w:t>n</w:t>
      </w:r>
      <w:r>
        <w:rPr>
          <w:color w:val="auto"/>
          <w:szCs w:val="21"/>
        </w:rPr>
        <w:t>——地基沉降计算深度；</w:t>
      </w:r>
    </w:p>
    <w:p w14:paraId="77F4EC69">
      <w:pPr>
        <w:tabs>
          <w:tab w:val="left" w:pos="851"/>
        </w:tabs>
        <w:snapToGrid w:val="0"/>
        <w:spacing w:line="340" w:lineRule="exact"/>
        <w:ind w:firstLine="294" w:firstLineChars="140"/>
        <w:rPr>
          <w:color w:val="auto"/>
          <w:szCs w:val="21"/>
        </w:rPr>
      </w:pPr>
      <w:r>
        <w:rPr>
          <w:i/>
          <w:iCs/>
          <w:color w:val="auto"/>
          <w:szCs w:val="21"/>
        </w:rPr>
        <w:t>β</w:t>
      </w:r>
      <w:r>
        <w:rPr>
          <w:color w:val="auto"/>
          <w:szCs w:val="21"/>
        </w:rPr>
        <w:t>——边坡对水平面夹角</w:t>
      </w:r>
      <w:r>
        <w:rPr>
          <w:rFonts w:hint="eastAsia"/>
          <w:color w:val="auto"/>
          <w:szCs w:val="21"/>
        </w:rPr>
        <w:t>。</w:t>
      </w:r>
    </w:p>
    <w:p w14:paraId="05F520B8">
      <w:pPr>
        <w:pStyle w:val="54"/>
        <w:numPr>
          <w:ilvl w:val="0"/>
          <w:numId w:val="2"/>
        </w:numPr>
        <w:adjustRightInd w:val="0"/>
        <w:snapToGrid w:val="0"/>
        <w:spacing w:line="400" w:lineRule="atLeast"/>
        <w:ind w:firstLineChars="0"/>
        <w:rPr>
          <w:color w:val="auto"/>
          <w:szCs w:val="21"/>
        </w:rPr>
      </w:pPr>
      <w:r>
        <w:rPr>
          <w:color w:val="auto"/>
          <w:szCs w:val="21"/>
        </w:rPr>
        <w:t>计算系数</w:t>
      </w:r>
    </w:p>
    <w:p w14:paraId="207BE377">
      <w:pPr>
        <w:snapToGrid w:val="0"/>
        <w:spacing w:line="340" w:lineRule="exact"/>
        <w:ind w:left="802" w:leftChars="137" w:hanging="514" w:hangingChars="245"/>
        <w:rPr>
          <w:color w:val="auto"/>
          <w:szCs w:val="21"/>
        </w:rPr>
      </w:pPr>
      <w:r>
        <w:rPr>
          <w:i/>
          <w:iCs/>
          <w:color w:val="auto"/>
          <w:szCs w:val="21"/>
        </w:rPr>
        <w:t>m</w:t>
      </w:r>
      <w:r>
        <w:rPr>
          <w:color w:val="auto"/>
          <w:szCs w:val="21"/>
        </w:rPr>
        <w:t>——面积置换率，为单桩横截面积与单桩所处理的地基单元面积之比；</w:t>
      </w:r>
    </w:p>
    <w:p w14:paraId="194D4258">
      <w:pPr>
        <w:tabs>
          <w:tab w:val="left" w:pos="900"/>
        </w:tabs>
        <w:snapToGrid w:val="0"/>
        <w:spacing w:line="340" w:lineRule="exact"/>
        <w:ind w:firstLine="210" w:firstLineChars="100"/>
        <w:rPr>
          <w:color w:val="auto"/>
          <w:szCs w:val="21"/>
        </w:rPr>
      </w:pPr>
      <w:r>
        <w:rPr>
          <w:color w:val="auto"/>
          <w:position w:val="-6"/>
          <w:szCs w:val="21"/>
        </w:rPr>
        <w:object>
          <v:shape id="_x0000_i1032" o:spt="75" type="#_x0000_t75" style="height:9.75pt;width:11.25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color w:val="auto"/>
          <w:szCs w:val="21"/>
        </w:rPr>
        <w:t>——附加应力系数；</w:t>
      </w:r>
    </w:p>
    <w:p w14:paraId="11589035">
      <w:pPr>
        <w:tabs>
          <w:tab w:val="left" w:pos="868"/>
        </w:tabs>
        <w:snapToGrid w:val="0"/>
        <w:spacing w:line="340" w:lineRule="exact"/>
        <w:ind w:firstLine="195" w:firstLineChars="93"/>
        <w:rPr>
          <w:color w:val="auto"/>
          <w:szCs w:val="21"/>
        </w:rPr>
      </w:pPr>
      <w:r>
        <w:rPr>
          <w:color w:val="auto"/>
          <w:position w:val="-6"/>
          <w:szCs w:val="21"/>
        </w:rPr>
        <w:object>
          <v:shape id="_x0000_i1033" o:spt="75" type="#_x0000_t75" style="height:12pt;width:11.25pt;" o:ole="t" filled="f" o:preferrelative="t" stroked="f" coordsize="21600,21600">
            <v:path/>
            <v:fill on="f" focussize="0,0"/>
            <v:stroke on="f" joinstyle="miter"/>
            <v:imagedata r:id="rId28" o:title=""/>
            <o:lock v:ext="edit" aspectratio="t"/>
            <w10:wrap type="none"/>
            <w10:anchorlock/>
          </v:shape>
          <o:OLEObject Type="Embed" ProgID="Equation.DSMT4" ShapeID="_x0000_i1033" DrawAspect="Content" ObjectID="_1468075733" r:id="rId27">
            <o:LockedField>false</o:LockedField>
          </o:OLEObject>
        </w:object>
      </w:r>
      <w:r>
        <w:rPr>
          <w:color w:val="auto"/>
          <w:szCs w:val="21"/>
        </w:rPr>
        <w:t>——平均附加应力系数；</w:t>
      </w:r>
    </w:p>
    <w:p w14:paraId="2B6065B4">
      <w:pPr>
        <w:snapToGrid w:val="0"/>
        <w:spacing w:line="340" w:lineRule="exact"/>
        <w:ind w:firstLine="264" w:firstLineChars="126"/>
        <w:rPr>
          <w:color w:val="auto"/>
          <w:szCs w:val="21"/>
        </w:rPr>
      </w:pPr>
      <w:r>
        <w:rPr>
          <w:i/>
          <w:color w:val="auto"/>
          <w:szCs w:val="21"/>
        </w:rPr>
        <w:t>η</w:t>
      </w:r>
      <w:r>
        <w:rPr>
          <w:color w:val="auto"/>
          <w:sz w:val="18"/>
          <w:szCs w:val="21"/>
          <w:vertAlign w:val="subscript"/>
        </w:rPr>
        <w:t>b</w:t>
      </w:r>
      <w:r>
        <w:rPr>
          <w:color w:val="auto"/>
          <w:szCs w:val="21"/>
        </w:rPr>
        <w:t>——基础宽度的承载力修正系数；</w:t>
      </w:r>
    </w:p>
    <w:p w14:paraId="044374F7">
      <w:pPr>
        <w:snapToGrid w:val="0"/>
        <w:spacing w:line="340" w:lineRule="exact"/>
        <w:ind w:firstLine="264" w:firstLineChars="126"/>
        <w:rPr>
          <w:color w:val="auto"/>
          <w:szCs w:val="21"/>
        </w:rPr>
      </w:pPr>
      <w:r>
        <w:rPr>
          <w:i/>
          <w:color w:val="auto"/>
          <w:szCs w:val="21"/>
        </w:rPr>
        <w:t>η</w:t>
      </w:r>
      <w:r>
        <w:rPr>
          <w:color w:val="auto"/>
          <w:sz w:val="18"/>
          <w:szCs w:val="21"/>
          <w:vertAlign w:val="subscript"/>
        </w:rPr>
        <w:t>d</w:t>
      </w:r>
      <w:r>
        <w:rPr>
          <w:color w:val="auto"/>
          <w:szCs w:val="21"/>
        </w:rPr>
        <w:t>——基础埋深的承载力修正系数；</w:t>
      </w:r>
    </w:p>
    <w:p w14:paraId="49B73E8D">
      <w:pPr>
        <w:tabs>
          <w:tab w:val="left" w:pos="784"/>
        </w:tabs>
        <w:snapToGrid w:val="0"/>
        <w:spacing w:line="340" w:lineRule="exact"/>
        <w:ind w:firstLine="153" w:firstLineChars="73"/>
        <w:rPr>
          <w:color w:val="auto"/>
          <w:szCs w:val="21"/>
        </w:rPr>
      </w:pPr>
      <w:r>
        <w:rPr>
          <w:color w:val="auto"/>
          <w:position w:val="-12"/>
          <w:szCs w:val="21"/>
        </w:rPr>
        <w:object>
          <v:shape id="_x0000_i1034" o:spt="75" type="#_x0000_t75" style="height:18pt;width:12.75pt;" o:ole="t" filled="f" o:preferrelative="t" stroked="f" coordsize="21600,21600">
            <v:path/>
            <v:fill on="f" focussize="0,0"/>
            <v:stroke on="f" joinstyle="miter"/>
            <v:imagedata r:id="rId30" o:title=""/>
            <o:lock v:ext="edit" aspectratio="t"/>
            <w10:wrap type="none"/>
            <w10:anchorlock/>
          </v:shape>
          <o:OLEObject Type="Embed" ProgID="Equation.DSMT4" ShapeID="_x0000_i1034" DrawAspect="Content" ObjectID="_1468075734" r:id="rId29">
            <o:LockedField>false</o:LockedField>
          </o:OLEObject>
        </w:object>
      </w:r>
      <w:r>
        <w:rPr>
          <w:color w:val="auto"/>
          <w:szCs w:val="21"/>
        </w:rPr>
        <w:t>——沉降计算经验系数。</w:t>
      </w:r>
    </w:p>
    <w:p w14:paraId="35501B84">
      <w:pPr>
        <w:widowControl/>
        <w:jc w:val="left"/>
        <w:rPr>
          <w:rFonts w:eastAsia="黑体"/>
          <w:b/>
          <w:bCs/>
          <w:color w:val="auto"/>
          <w:sz w:val="24"/>
        </w:rPr>
      </w:pPr>
    </w:p>
    <w:p w14:paraId="4BDA91C5">
      <w:pPr>
        <w:numPr>
          <w:ilvl w:val="0"/>
          <w:numId w:val="1"/>
        </w:numPr>
        <w:adjustRightInd w:val="0"/>
        <w:snapToGrid w:val="0"/>
        <w:outlineLvl w:val="0"/>
        <w:rPr>
          <w:rFonts w:eastAsia="黑体"/>
          <w:b/>
          <w:bCs/>
          <w:color w:val="auto"/>
        </w:rPr>
      </w:pPr>
      <w:bookmarkStart w:id="7" w:name="_Toc199943571"/>
      <w:r>
        <w:rPr>
          <w:rFonts w:eastAsia="黑体"/>
          <w:b/>
          <w:bCs/>
          <w:color w:val="auto"/>
          <w:sz w:val="24"/>
        </w:rPr>
        <w:t>基本规定</w:t>
      </w:r>
      <w:bookmarkEnd w:id="7"/>
    </w:p>
    <w:p w14:paraId="01C66DAD">
      <w:pPr>
        <w:adjustRightInd w:val="0"/>
        <w:snapToGrid w:val="0"/>
        <w:spacing w:line="400" w:lineRule="atLeast"/>
        <w:rPr>
          <w:color w:val="auto"/>
          <w:szCs w:val="21"/>
        </w:rPr>
      </w:pPr>
    </w:p>
    <w:p w14:paraId="2285B5B5">
      <w:pPr>
        <w:adjustRightInd w:val="0"/>
        <w:snapToGrid w:val="0"/>
        <w:spacing w:line="340" w:lineRule="exact"/>
        <w:ind w:left="1"/>
        <w:rPr>
          <w:color w:val="auto"/>
          <w:szCs w:val="21"/>
        </w:rPr>
      </w:pPr>
      <w:r>
        <w:rPr>
          <w:rFonts w:eastAsia="黑体"/>
          <w:b/>
          <w:bCs/>
          <w:color w:val="auto"/>
          <w:szCs w:val="21"/>
        </w:rPr>
        <w:t>5.1</w:t>
      </w:r>
      <w:r>
        <w:rPr>
          <w:b/>
          <w:bCs/>
          <w:color w:val="auto"/>
          <w:szCs w:val="21"/>
        </w:rPr>
        <w:t xml:space="preserve">  </w:t>
      </w:r>
      <w:r>
        <w:rPr>
          <w:color w:val="auto"/>
          <w:szCs w:val="21"/>
        </w:rPr>
        <w:t>根据地基复杂程度，建筑物规模、功能要求，由于地基基础问题可能造成建筑物损坏或影响正常使用的程度以及对环境影响的程度，将地基基础设计分为三个设计等级，设计时应根据具体情况，按</w:t>
      </w:r>
      <w:r>
        <w:rPr>
          <w:color w:val="auto"/>
          <w:szCs w:val="21"/>
        </w:rPr>
        <w:fldChar w:fldCharType="begin"/>
      </w:r>
      <w:r>
        <w:rPr>
          <w:color w:val="auto"/>
          <w:szCs w:val="21"/>
        </w:rPr>
        <w:instrText xml:space="preserve"> REF _Ref183699412 </w:instrText>
      </w:r>
      <w:r>
        <w:rPr>
          <w:color w:val="auto"/>
          <w:szCs w:val="21"/>
        </w:rPr>
        <w:fldChar w:fldCharType="separate"/>
      </w:r>
      <w:r>
        <w:rPr>
          <w:rFonts w:hint="eastAsia"/>
          <w:color w:val="auto"/>
        </w:rPr>
        <w:t xml:space="preserve">表 </w:t>
      </w:r>
      <w:r>
        <w:rPr>
          <w:color w:val="auto"/>
        </w:rPr>
        <w:t>1</w:t>
      </w:r>
      <w:r>
        <w:rPr>
          <w:color w:val="auto"/>
          <w:szCs w:val="21"/>
        </w:rPr>
        <w:fldChar w:fldCharType="end"/>
      </w:r>
      <w:r>
        <w:rPr>
          <w:color w:val="auto"/>
          <w:szCs w:val="21"/>
        </w:rPr>
        <w:t>选用。</w:t>
      </w:r>
    </w:p>
    <w:p w14:paraId="708D353C">
      <w:pPr>
        <w:adjustRightInd w:val="0"/>
        <w:snapToGrid w:val="0"/>
        <w:spacing w:line="340" w:lineRule="exact"/>
        <w:ind w:left="1"/>
        <w:rPr>
          <w:color w:val="auto"/>
          <w:szCs w:val="21"/>
        </w:rPr>
      </w:pPr>
    </w:p>
    <w:p w14:paraId="5FD2BB16">
      <w:pPr>
        <w:adjustRightInd w:val="0"/>
        <w:snapToGrid w:val="0"/>
        <w:spacing w:line="340" w:lineRule="exact"/>
        <w:ind w:left="1"/>
        <w:rPr>
          <w:color w:val="auto"/>
          <w:szCs w:val="21"/>
        </w:rPr>
      </w:pPr>
    </w:p>
    <w:p w14:paraId="2A352372">
      <w:pPr>
        <w:adjustRightInd w:val="0"/>
        <w:snapToGrid w:val="0"/>
        <w:spacing w:line="340" w:lineRule="exact"/>
        <w:ind w:left="1"/>
        <w:rPr>
          <w:color w:val="auto"/>
          <w:szCs w:val="21"/>
        </w:rPr>
      </w:pPr>
    </w:p>
    <w:p w14:paraId="479E0CA5">
      <w:pPr>
        <w:pStyle w:val="12"/>
        <w:jc w:val="center"/>
        <w:rPr>
          <w:rFonts w:ascii="宋体" w:hAnsi="宋体" w:eastAsia="宋体"/>
          <w:b/>
          <w:bCs/>
          <w:color w:val="auto"/>
          <w:sz w:val="21"/>
          <w:szCs w:val="21"/>
        </w:rPr>
      </w:pPr>
      <w:bookmarkStart w:id="8" w:name="_Ref183699412"/>
      <w:r>
        <w:rPr>
          <w:rFonts w:hint="eastAsia" w:ascii="宋体" w:hAnsi="宋体" w:eastAsia="宋体"/>
          <w:b/>
          <w:color w:val="auto"/>
          <w:sz w:val="21"/>
          <w:szCs w:val="21"/>
        </w:rPr>
        <w:t xml:space="preserve">表 </w:t>
      </w:r>
      <w:r>
        <w:rPr>
          <w:rFonts w:ascii="宋体" w:hAnsi="宋体" w:eastAsia="宋体"/>
          <w:b/>
          <w:color w:val="auto"/>
          <w:sz w:val="21"/>
          <w:szCs w:val="21"/>
        </w:rPr>
        <w:fldChar w:fldCharType="begin"/>
      </w:r>
      <w:r>
        <w:rPr>
          <w:rFonts w:ascii="宋体" w:hAnsi="宋体" w:eastAsia="宋体"/>
          <w:b/>
          <w:color w:val="auto"/>
          <w:sz w:val="21"/>
          <w:szCs w:val="21"/>
        </w:rPr>
        <w:instrText xml:space="preserve"> </w:instrText>
      </w:r>
      <w:r>
        <w:rPr>
          <w:rFonts w:hint="eastAsia" w:ascii="宋体" w:hAnsi="宋体" w:eastAsia="宋体"/>
          <w:b/>
          <w:color w:val="auto"/>
          <w:sz w:val="21"/>
          <w:szCs w:val="21"/>
        </w:rPr>
        <w:instrText xml:space="preserve">SEQ 表 \* ARABIC</w:instrText>
      </w:r>
      <w:r>
        <w:rPr>
          <w:rFonts w:ascii="宋体" w:hAnsi="宋体" w:eastAsia="宋体"/>
          <w:b/>
          <w:color w:val="auto"/>
          <w:sz w:val="21"/>
          <w:szCs w:val="21"/>
        </w:rPr>
        <w:instrText xml:space="preserve"> </w:instrText>
      </w:r>
      <w:r>
        <w:rPr>
          <w:rFonts w:ascii="宋体" w:hAnsi="宋体" w:eastAsia="宋体"/>
          <w:b/>
          <w:color w:val="auto"/>
          <w:sz w:val="21"/>
          <w:szCs w:val="21"/>
        </w:rPr>
        <w:fldChar w:fldCharType="separate"/>
      </w:r>
      <w:r>
        <w:rPr>
          <w:rFonts w:ascii="宋体" w:hAnsi="宋体" w:eastAsia="宋体"/>
          <w:b/>
          <w:color w:val="auto"/>
          <w:sz w:val="21"/>
          <w:szCs w:val="21"/>
        </w:rPr>
        <w:t>1</w:t>
      </w:r>
      <w:r>
        <w:rPr>
          <w:rFonts w:ascii="宋体" w:hAnsi="宋体" w:eastAsia="宋体"/>
          <w:b/>
          <w:color w:val="auto"/>
          <w:sz w:val="21"/>
          <w:szCs w:val="21"/>
        </w:rPr>
        <w:fldChar w:fldCharType="end"/>
      </w:r>
      <w:bookmarkEnd w:id="8"/>
      <w:r>
        <w:rPr>
          <w:rFonts w:ascii="宋体" w:hAnsi="宋体" w:eastAsia="宋体"/>
          <w:b/>
          <w:bCs/>
          <w:color w:val="auto"/>
          <w:sz w:val="21"/>
          <w:szCs w:val="21"/>
        </w:rPr>
        <w:t xml:space="preserve">   地基基础设计等级</w:t>
      </w:r>
    </w:p>
    <w:tbl>
      <w:tblPr>
        <w:tblStyle w:val="36"/>
        <w:tblW w:w="913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22"/>
        <w:gridCol w:w="7913"/>
      </w:tblGrid>
      <w:tr w14:paraId="05595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1222" w:type="dxa"/>
            <w:vAlign w:val="center"/>
          </w:tcPr>
          <w:p w14:paraId="79DA102D">
            <w:pPr>
              <w:adjustRightInd w:val="0"/>
              <w:snapToGrid w:val="0"/>
              <w:spacing w:line="280" w:lineRule="exact"/>
              <w:jc w:val="center"/>
              <w:rPr>
                <w:color w:val="auto"/>
                <w:sz w:val="18"/>
                <w:szCs w:val="18"/>
              </w:rPr>
            </w:pPr>
            <w:r>
              <w:rPr>
                <w:color w:val="auto"/>
                <w:sz w:val="18"/>
                <w:szCs w:val="18"/>
              </w:rPr>
              <w:t>设计等级</w:t>
            </w:r>
          </w:p>
        </w:tc>
        <w:tc>
          <w:tcPr>
            <w:tcW w:w="7913" w:type="dxa"/>
            <w:vAlign w:val="center"/>
          </w:tcPr>
          <w:p w14:paraId="494F559C">
            <w:pPr>
              <w:adjustRightInd w:val="0"/>
              <w:snapToGrid w:val="0"/>
              <w:spacing w:line="280" w:lineRule="exact"/>
              <w:jc w:val="center"/>
              <w:rPr>
                <w:color w:val="auto"/>
                <w:sz w:val="18"/>
                <w:szCs w:val="18"/>
              </w:rPr>
            </w:pPr>
            <w:r>
              <w:rPr>
                <w:color w:val="auto"/>
                <w:sz w:val="18"/>
                <w:szCs w:val="18"/>
              </w:rPr>
              <w:t>建筑和地基类型</w:t>
            </w:r>
          </w:p>
        </w:tc>
      </w:tr>
      <w:tr w14:paraId="1E074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99" w:hRule="atLeast"/>
          <w:jc w:val="center"/>
        </w:trPr>
        <w:tc>
          <w:tcPr>
            <w:tcW w:w="1222" w:type="dxa"/>
            <w:vAlign w:val="center"/>
          </w:tcPr>
          <w:p w14:paraId="7998D2A9">
            <w:pPr>
              <w:adjustRightInd w:val="0"/>
              <w:snapToGrid w:val="0"/>
              <w:spacing w:line="320" w:lineRule="atLeast"/>
              <w:jc w:val="center"/>
              <w:rPr>
                <w:color w:val="auto"/>
                <w:sz w:val="18"/>
                <w:szCs w:val="18"/>
              </w:rPr>
            </w:pPr>
            <w:r>
              <w:rPr>
                <w:color w:val="auto"/>
                <w:sz w:val="18"/>
                <w:szCs w:val="18"/>
              </w:rPr>
              <w:t>甲级</w:t>
            </w:r>
          </w:p>
        </w:tc>
        <w:tc>
          <w:tcPr>
            <w:tcW w:w="7913" w:type="dxa"/>
            <w:vAlign w:val="center"/>
          </w:tcPr>
          <w:p w14:paraId="02B34C95">
            <w:pPr>
              <w:adjustRightInd w:val="0"/>
              <w:snapToGrid w:val="0"/>
              <w:spacing w:line="260" w:lineRule="atLeast"/>
              <w:jc w:val="left"/>
              <w:rPr>
                <w:color w:val="auto"/>
                <w:sz w:val="18"/>
                <w:szCs w:val="18"/>
              </w:rPr>
            </w:pPr>
            <w:r>
              <w:rPr>
                <w:color w:val="auto"/>
                <w:sz w:val="18"/>
                <w:szCs w:val="18"/>
              </w:rPr>
              <w:t>重要的工业与民用建筑及纪念性建筑</w:t>
            </w:r>
          </w:p>
          <w:p w14:paraId="7B79745F">
            <w:pPr>
              <w:adjustRightInd w:val="0"/>
              <w:snapToGrid w:val="0"/>
              <w:spacing w:line="260" w:lineRule="atLeast"/>
              <w:jc w:val="left"/>
              <w:rPr>
                <w:color w:val="auto"/>
                <w:sz w:val="18"/>
                <w:szCs w:val="18"/>
              </w:rPr>
            </w:pPr>
            <w:r>
              <w:rPr>
                <w:color w:val="auto"/>
                <w:sz w:val="18"/>
                <w:szCs w:val="18"/>
              </w:rPr>
              <w:t>30层以上的高层建筑</w:t>
            </w:r>
          </w:p>
          <w:p w14:paraId="5D9F2638">
            <w:pPr>
              <w:adjustRightInd w:val="0"/>
              <w:snapToGrid w:val="0"/>
              <w:spacing w:line="260" w:lineRule="atLeast"/>
              <w:jc w:val="left"/>
              <w:rPr>
                <w:color w:val="auto"/>
                <w:sz w:val="18"/>
                <w:szCs w:val="18"/>
              </w:rPr>
            </w:pPr>
            <w:r>
              <w:rPr>
                <w:color w:val="auto"/>
                <w:sz w:val="18"/>
                <w:szCs w:val="18"/>
              </w:rPr>
              <w:t>体型复杂，层数相差超过10层的高低层连成一体的建筑</w:t>
            </w:r>
          </w:p>
          <w:p w14:paraId="3790EB31">
            <w:pPr>
              <w:adjustRightInd w:val="0"/>
              <w:snapToGrid w:val="0"/>
              <w:spacing w:line="260" w:lineRule="atLeast"/>
              <w:jc w:val="left"/>
              <w:rPr>
                <w:color w:val="auto"/>
                <w:sz w:val="18"/>
                <w:szCs w:val="18"/>
              </w:rPr>
            </w:pPr>
            <w:r>
              <w:rPr>
                <w:color w:val="auto"/>
                <w:sz w:val="18"/>
                <w:szCs w:val="18"/>
              </w:rPr>
              <w:t>大面积的多层地下建筑物（如地下车库、商场、运动场等）</w:t>
            </w:r>
          </w:p>
          <w:p w14:paraId="4CA6F449">
            <w:pPr>
              <w:adjustRightInd w:val="0"/>
              <w:snapToGrid w:val="0"/>
              <w:spacing w:line="260" w:lineRule="atLeast"/>
              <w:jc w:val="left"/>
              <w:rPr>
                <w:color w:val="auto"/>
                <w:sz w:val="18"/>
                <w:szCs w:val="18"/>
              </w:rPr>
            </w:pPr>
            <w:r>
              <w:rPr>
                <w:color w:val="auto"/>
                <w:sz w:val="18"/>
                <w:szCs w:val="18"/>
              </w:rPr>
              <w:t>对地基变形有特殊要求的建筑物</w:t>
            </w:r>
          </w:p>
          <w:p w14:paraId="1B5C1359">
            <w:pPr>
              <w:adjustRightInd w:val="0"/>
              <w:snapToGrid w:val="0"/>
              <w:spacing w:line="260" w:lineRule="atLeast"/>
              <w:jc w:val="left"/>
              <w:rPr>
                <w:color w:val="auto"/>
                <w:sz w:val="18"/>
                <w:szCs w:val="18"/>
              </w:rPr>
            </w:pPr>
            <w:r>
              <w:rPr>
                <w:color w:val="auto"/>
                <w:sz w:val="18"/>
                <w:szCs w:val="18"/>
              </w:rPr>
              <w:t>复杂地质条件下的坡上建筑物（包括高边坡）</w:t>
            </w:r>
          </w:p>
          <w:p w14:paraId="22B6FCD2">
            <w:pPr>
              <w:adjustRightInd w:val="0"/>
              <w:snapToGrid w:val="0"/>
              <w:spacing w:line="260" w:lineRule="atLeast"/>
              <w:jc w:val="left"/>
              <w:rPr>
                <w:color w:val="auto"/>
                <w:sz w:val="18"/>
                <w:szCs w:val="18"/>
              </w:rPr>
            </w:pPr>
            <w:r>
              <w:rPr>
                <w:color w:val="auto"/>
                <w:sz w:val="18"/>
                <w:szCs w:val="18"/>
              </w:rPr>
              <w:t>对原有工程或环境影响较大的新建建筑物</w:t>
            </w:r>
          </w:p>
          <w:p w14:paraId="66BDAE97">
            <w:pPr>
              <w:adjustRightInd w:val="0"/>
              <w:snapToGrid w:val="0"/>
              <w:spacing w:line="260" w:lineRule="atLeast"/>
              <w:jc w:val="left"/>
              <w:rPr>
                <w:color w:val="auto"/>
                <w:sz w:val="18"/>
                <w:szCs w:val="18"/>
              </w:rPr>
            </w:pPr>
            <w:r>
              <w:rPr>
                <w:color w:val="auto"/>
                <w:sz w:val="18"/>
                <w:szCs w:val="18"/>
              </w:rPr>
              <w:t>场地和地基条件复杂的、七层以上的一般建筑物</w:t>
            </w:r>
          </w:p>
          <w:p w14:paraId="023FA43A">
            <w:pPr>
              <w:adjustRightInd w:val="0"/>
              <w:snapToGrid w:val="0"/>
              <w:spacing w:line="260" w:lineRule="atLeast"/>
              <w:jc w:val="left"/>
              <w:rPr>
                <w:color w:val="auto"/>
                <w:sz w:val="18"/>
                <w:szCs w:val="18"/>
              </w:rPr>
            </w:pPr>
            <w:r>
              <w:rPr>
                <w:color w:val="auto"/>
                <w:sz w:val="18"/>
                <w:szCs w:val="18"/>
              </w:rPr>
              <w:t>开挖深度大于15m的基坑工程</w:t>
            </w:r>
          </w:p>
          <w:p w14:paraId="24087211">
            <w:pPr>
              <w:adjustRightInd w:val="0"/>
              <w:snapToGrid w:val="0"/>
              <w:spacing w:line="260" w:lineRule="atLeast"/>
              <w:jc w:val="left"/>
              <w:rPr>
                <w:color w:val="auto"/>
                <w:sz w:val="18"/>
                <w:szCs w:val="18"/>
              </w:rPr>
            </w:pPr>
            <w:r>
              <w:rPr>
                <w:color w:val="auto"/>
                <w:sz w:val="18"/>
                <w:szCs w:val="18"/>
              </w:rPr>
              <w:t>周边环境条件复杂、环境保护要求高的基坑工程</w:t>
            </w:r>
          </w:p>
          <w:p w14:paraId="70A4CF32">
            <w:pPr>
              <w:adjustRightInd w:val="0"/>
              <w:snapToGrid w:val="0"/>
              <w:spacing w:line="260" w:lineRule="atLeast"/>
              <w:jc w:val="left"/>
              <w:rPr>
                <w:color w:val="auto"/>
                <w:sz w:val="18"/>
                <w:szCs w:val="18"/>
              </w:rPr>
            </w:pPr>
            <w:r>
              <w:rPr>
                <w:color w:val="auto"/>
                <w:sz w:val="18"/>
                <w:szCs w:val="18"/>
              </w:rPr>
              <w:t>采用明挖法施工的轨道交通地下车站及地下通道、风道等附属工程</w:t>
            </w:r>
          </w:p>
        </w:tc>
      </w:tr>
      <w:tr w14:paraId="378C7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1222" w:type="dxa"/>
            <w:vAlign w:val="center"/>
          </w:tcPr>
          <w:p w14:paraId="3A3CBBD8">
            <w:pPr>
              <w:adjustRightInd w:val="0"/>
              <w:snapToGrid w:val="0"/>
              <w:spacing w:line="240" w:lineRule="atLeast"/>
              <w:jc w:val="center"/>
              <w:rPr>
                <w:color w:val="auto"/>
                <w:sz w:val="18"/>
                <w:szCs w:val="18"/>
              </w:rPr>
            </w:pPr>
            <w:r>
              <w:rPr>
                <w:color w:val="auto"/>
                <w:sz w:val="18"/>
                <w:szCs w:val="18"/>
              </w:rPr>
              <w:t>乙级</w:t>
            </w:r>
          </w:p>
        </w:tc>
        <w:tc>
          <w:tcPr>
            <w:tcW w:w="7913" w:type="dxa"/>
            <w:vAlign w:val="center"/>
          </w:tcPr>
          <w:p w14:paraId="0B97CE2E">
            <w:pPr>
              <w:adjustRightInd w:val="0"/>
              <w:snapToGrid w:val="0"/>
              <w:spacing w:line="240" w:lineRule="atLeast"/>
              <w:jc w:val="left"/>
              <w:rPr>
                <w:color w:val="auto"/>
                <w:sz w:val="18"/>
                <w:szCs w:val="18"/>
              </w:rPr>
            </w:pPr>
            <w:r>
              <w:rPr>
                <w:color w:val="auto"/>
                <w:sz w:val="18"/>
                <w:szCs w:val="18"/>
              </w:rPr>
              <w:t>除甲级、丙级以外的工业与民用建筑物</w:t>
            </w:r>
          </w:p>
        </w:tc>
      </w:tr>
      <w:tr w14:paraId="6D6C9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1222" w:type="dxa"/>
            <w:vAlign w:val="center"/>
          </w:tcPr>
          <w:p w14:paraId="07EB74D9">
            <w:pPr>
              <w:adjustRightInd w:val="0"/>
              <w:snapToGrid w:val="0"/>
              <w:spacing w:line="300" w:lineRule="atLeast"/>
              <w:jc w:val="center"/>
              <w:rPr>
                <w:color w:val="auto"/>
                <w:sz w:val="18"/>
                <w:szCs w:val="18"/>
              </w:rPr>
            </w:pPr>
            <w:r>
              <w:rPr>
                <w:color w:val="auto"/>
                <w:sz w:val="18"/>
                <w:szCs w:val="18"/>
              </w:rPr>
              <w:t>丙级</w:t>
            </w:r>
          </w:p>
        </w:tc>
        <w:tc>
          <w:tcPr>
            <w:tcW w:w="7913" w:type="dxa"/>
            <w:vAlign w:val="center"/>
          </w:tcPr>
          <w:p w14:paraId="70E510ED">
            <w:pPr>
              <w:adjustRightInd w:val="0"/>
              <w:snapToGrid w:val="0"/>
              <w:spacing w:line="260" w:lineRule="atLeast"/>
              <w:jc w:val="left"/>
              <w:rPr>
                <w:color w:val="auto"/>
                <w:sz w:val="18"/>
                <w:szCs w:val="18"/>
              </w:rPr>
            </w:pPr>
            <w:r>
              <w:rPr>
                <w:color w:val="auto"/>
                <w:sz w:val="18"/>
                <w:szCs w:val="18"/>
              </w:rPr>
              <w:t>场地和地基条件简单、荷载分布均匀的七层及七层以下民用建筑及一般工业建筑物；次要的轻型建筑物</w:t>
            </w:r>
          </w:p>
        </w:tc>
      </w:tr>
      <w:tr w14:paraId="2BBD5A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9135" w:type="dxa"/>
            <w:gridSpan w:val="2"/>
            <w:vAlign w:val="center"/>
          </w:tcPr>
          <w:p w14:paraId="09CF1FC6">
            <w:pPr>
              <w:adjustRightInd w:val="0"/>
              <w:snapToGrid w:val="0"/>
              <w:spacing w:line="240" w:lineRule="atLeast"/>
              <w:ind w:left="353" w:hanging="352" w:hangingChars="196"/>
              <w:rPr>
                <w:color w:val="auto"/>
                <w:sz w:val="18"/>
                <w:szCs w:val="18"/>
              </w:rPr>
            </w:pPr>
            <w:r>
              <w:rPr>
                <w:color w:val="auto"/>
                <w:sz w:val="18"/>
                <w:szCs w:val="18"/>
              </w:rPr>
              <w:t>注：当改造加固地基基础规模大、工艺复杂时，乙、丙级建筑物宜提高设计等级。膨胀土地区建筑物的设计等级划分应符合GB</w:t>
            </w:r>
            <w:r>
              <w:rPr>
                <w:rFonts w:hint="eastAsia"/>
                <w:color w:val="auto"/>
                <w:sz w:val="18"/>
                <w:szCs w:val="18"/>
                <w:lang w:val="en-US" w:eastAsia="zh-CN"/>
              </w:rPr>
              <w:t xml:space="preserve"> </w:t>
            </w:r>
            <w:r>
              <w:rPr>
                <w:color w:val="auto"/>
                <w:sz w:val="18"/>
                <w:szCs w:val="18"/>
              </w:rPr>
              <w:t>50112的规定。</w:t>
            </w:r>
          </w:p>
        </w:tc>
      </w:tr>
    </w:tbl>
    <w:p w14:paraId="3610C5A6">
      <w:pPr>
        <w:adjustRightInd w:val="0"/>
        <w:snapToGrid w:val="0"/>
        <w:spacing w:before="240" w:line="340" w:lineRule="atLeast"/>
        <w:rPr>
          <w:rFonts w:ascii="宋体" w:hAnsi="宋体"/>
          <w:bCs/>
          <w:color w:val="auto"/>
          <w:szCs w:val="21"/>
        </w:rPr>
      </w:pPr>
      <w:r>
        <w:rPr>
          <w:rFonts w:ascii="宋体" w:hAnsi="宋体"/>
          <w:b/>
          <w:bCs/>
          <w:color w:val="auto"/>
          <w:szCs w:val="21"/>
        </w:rPr>
        <w:t>5.2</w:t>
      </w:r>
      <w:r>
        <w:rPr>
          <w:rFonts w:ascii="宋体" w:hAnsi="宋体"/>
          <w:bCs/>
          <w:color w:val="auto"/>
          <w:szCs w:val="21"/>
        </w:rPr>
        <w:t xml:space="preserve">  根据建筑物地基基础设计等级及长期荷载作用下地基变形对上部结构的影响程度，地基基础设计应符合下列规定：</w:t>
      </w:r>
    </w:p>
    <w:p w14:paraId="57EB1505">
      <w:pPr>
        <w:adjustRightInd w:val="0"/>
        <w:snapToGrid w:val="0"/>
        <w:spacing w:line="340" w:lineRule="atLeast"/>
        <w:ind w:firstLine="420"/>
        <w:rPr>
          <w:rFonts w:ascii="宋体" w:hAnsi="宋体"/>
          <w:bCs/>
          <w:color w:val="auto"/>
        </w:rPr>
      </w:pPr>
      <w:r>
        <w:rPr>
          <w:rFonts w:ascii="宋体" w:hAnsi="宋体"/>
          <w:bCs/>
          <w:color w:val="auto"/>
        </w:rPr>
        <w:t>a)  所有建筑物的地基计算均应满足承载力计算的有关规定；</w:t>
      </w:r>
    </w:p>
    <w:p w14:paraId="1065880F">
      <w:pPr>
        <w:adjustRightInd w:val="0"/>
        <w:snapToGrid w:val="0"/>
        <w:spacing w:line="340" w:lineRule="atLeast"/>
        <w:ind w:firstLine="420"/>
        <w:rPr>
          <w:rFonts w:ascii="宋体" w:hAnsi="宋体"/>
          <w:bCs/>
          <w:color w:val="auto"/>
        </w:rPr>
      </w:pPr>
      <w:r>
        <w:rPr>
          <w:rFonts w:ascii="宋体" w:hAnsi="宋体"/>
          <w:bCs/>
          <w:color w:val="auto"/>
        </w:rPr>
        <w:t>b)  设计等级为甲级、乙级的建筑物，均应按地基变形设计；</w:t>
      </w:r>
    </w:p>
    <w:p w14:paraId="0C06E13C">
      <w:pPr>
        <w:adjustRightInd w:val="0"/>
        <w:snapToGrid w:val="0"/>
        <w:spacing w:line="340" w:lineRule="atLeast"/>
        <w:ind w:firstLine="420"/>
        <w:rPr>
          <w:rFonts w:ascii="宋体" w:hAnsi="宋体"/>
          <w:bCs/>
          <w:color w:val="auto"/>
        </w:rPr>
      </w:pPr>
      <w:r>
        <w:rPr>
          <w:rFonts w:ascii="宋体" w:hAnsi="宋体"/>
          <w:bCs/>
          <w:color w:val="auto"/>
        </w:rPr>
        <w:t>c)  设计等级为丙级的建筑物有下列情况之一时应作变形验算：</w:t>
      </w:r>
    </w:p>
    <w:p w14:paraId="6EF1AE21">
      <w:pPr>
        <w:adjustRightInd w:val="0"/>
        <w:snapToGrid w:val="0"/>
        <w:spacing w:line="340" w:lineRule="atLeast"/>
        <w:ind w:firstLine="420"/>
        <w:rPr>
          <w:rFonts w:ascii="宋体" w:hAnsi="宋体"/>
          <w:bCs/>
          <w:color w:val="auto"/>
        </w:rPr>
      </w:pPr>
      <w:r>
        <w:rPr>
          <w:rFonts w:ascii="宋体" w:hAnsi="宋体"/>
          <w:bCs/>
          <w:color w:val="auto"/>
        </w:rPr>
        <w:t xml:space="preserve">   1）地基承载力特征值小于130kPa，且体型复杂的建筑；</w:t>
      </w:r>
    </w:p>
    <w:p w14:paraId="51F53F04">
      <w:pPr>
        <w:adjustRightInd w:val="0"/>
        <w:snapToGrid w:val="0"/>
        <w:spacing w:line="340" w:lineRule="atLeast"/>
        <w:ind w:firstLine="420"/>
        <w:rPr>
          <w:rFonts w:ascii="宋体" w:hAnsi="宋体"/>
          <w:bCs/>
          <w:color w:val="auto"/>
        </w:rPr>
      </w:pPr>
      <w:r>
        <w:rPr>
          <w:rFonts w:ascii="宋体" w:hAnsi="宋体"/>
          <w:bCs/>
          <w:color w:val="auto"/>
        </w:rPr>
        <w:t xml:space="preserve">   2）在基础上及其附近有地面堆载或相邻基础荷载差异较大，可能引起地基产生过大的不均匀沉降时；</w:t>
      </w:r>
    </w:p>
    <w:p w14:paraId="184E7622">
      <w:pPr>
        <w:adjustRightInd w:val="0"/>
        <w:snapToGrid w:val="0"/>
        <w:spacing w:line="340" w:lineRule="atLeast"/>
        <w:ind w:firstLine="420"/>
        <w:rPr>
          <w:rFonts w:ascii="宋体" w:hAnsi="宋体"/>
          <w:bCs/>
          <w:color w:val="auto"/>
        </w:rPr>
      </w:pPr>
      <w:r>
        <w:rPr>
          <w:rFonts w:ascii="宋体" w:hAnsi="宋体"/>
          <w:bCs/>
          <w:color w:val="auto"/>
        </w:rPr>
        <w:t xml:space="preserve">   3）软弱地基上的建筑物存在偏心荷载时；</w:t>
      </w:r>
    </w:p>
    <w:p w14:paraId="02593E3A">
      <w:pPr>
        <w:adjustRightInd w:val="0"/>
        <w:snapToGrid w:val="0"/>
        <w:spacing w:line="340" w:lineRule="atLeast"/>
        <w:ind w:firstLine="420"/>
        <w:rPr>
          <w:rFonts w:ascii="宋体" w:hAnsi="宋体"/>
          <w:bCs/>
          <w:color w:val="auto"/>
        </w:rPr>
      </w:pPr>
      <w:r>
        <w:rPr>
          <w:rFonts w:ascii="宋体" w:hAnsi="宋体"/>
          <w:bCs/>
          <w:color w:val="auto"/>
        </w:rPr>
        <w:t xml:space="preserve">   4）相邻建筑距离近，可能发生倾斜时；</w:t>
      </w:r>
    </w:p>
    <w:p w14:paraId="71AC7485">
      <w:pPr>
        <w:adjustRightInd w:val="0"/>
        <w:snapToGrid w:val="0"/>
        <w:spacing w:line="340" w:lineRule="atLeast"/>
        <w:ind w:firstLine="420"/>
        <w:rPr>
          <w:rFonts w:ascii="宋体" w:hAnsi="宋体"/>
          <w:bCs/>
          <w:color w:val="auto"/>
        </w:rPr>
      </w:pPr>
      <w:r>
        <w:rPr>
          <w:rFonts w:ascii="宋体" w:hAnsi="宋体"/>
          <w:bCs/>
          <w:color w:val="auto"/>
        </w:rPr>
        <w:t xml:space="preserve">   5）地基内有厚度较大或厚薄不均的填土，其自重固结未完成时。</w:t>
      </w:r>
    </w:p>
    <w:p w14:paraId="22757082">
      <w:pPr>
        <w:adjustRightInd w:val="0"/>
        <w:snapToGrid w:val="0"/>
        <w:spacing w:line="340" w:lineRule="atLeast"/>
        <w:ind w:firstLine="420"/>
        <w:rPr>
          <w:rFonts w:ascii="宋体" w:hAnsi="宋体"/>
          <w:bCs/>
          <w:color w:val="auto"/>
        </w:rPr>
      </w:pPr>
      <w:r>
        <w:rPr>
          <w:rFonts w:ascii="宋体" w:hAnsi="宋体"/>
          <w:bCs/>
          <w:color w:val="auto"/>
        </w:rPr>
        <w:t>d)  对经常受水平荷载作用的高层建筑、高耸结构和挡土墙等，以及建造在斜坡上或边坡附近的建筑物和构筑物，尚应验算其稳定性</w:t>
      </w:r>
      <w:r>
        <w:rPr>
          <w:rFonts w:hint="eastAsia" w:ascii="宋体" w:hAnsi="宋体"/>
          <w:bCs/>
          <w:color w:val="auto"/>
        </w:rPr>
        <w:t>；</w:t>
      </w:r>
    </w:p>
    <w:p w14:paraId="6A77BA01">
      <w:pPr>
        <w:adjustRightInd w:val="0"/>
        <w:snapToGrid w:val="0"/>
        <w:spacing w:line="340" w:lineRule="atLeast"/>
        <w:ind w:firstLine="420"/>
        <w:rPr>
          <w:rFonts w:ascii="宋体" w:hAnsi="宋体"/>
          <w:bCs/>
          <w:color w:val="auto"/>
        </w:rPr>
      </w:pPr>
      <w:r>
        <w:rPr>
          <w:rFonts w:ascii="宋体" w:hAnsi="宋体"/>
          <w:bCs/>
          <w:color w:val="auto"/>
        </w:rPr>
        <w:t xml:space="preserve">e)  </w:t>
      </w:r>
      <w:r>
        <w:rPr>
          <w:rFonts w:hint="eastAsia" w:ascii="宋体" w:hAnsi="宋体"/>
          <w:bCs/>
          <w:color w:val="auto"/>
        </w:rPr>
        <w:t>基坑工程应进行稳定性验算；</w:t>
      </w:r>
    </w:p>
    <w:p w14:paraId="507E3673">
      <w:pPr>
        <w:adjustRightInd w:val="0"/>
        <w:snapToGrid w:val="0"/>
        <w:spacing w:line="340" w:lineRule="atLeast"/>
        <w:ind w:firstLine="420"/>
        <w:rPr>
          <w:rFonts w:ascii="宋体" w:hAnsi="宋体"/>
          <w:bCs/>
          <w:color w:val="auto"/>
        </w:rPr>
      </w:pPr>
      <w:r>
        <w:rPr>
          <w:rFonts w:ascii="宋体" w:hAnsi="宋体"/>
          <w:bCs/>
          <w:color w:val="auto"/>
        </w:rPr>
        <w:t xml:space="preserve">f)  </w:t>
      </w:r>
      <w:r>
        <w:rPr>
          <w:rFonts w:hint="eastAsia" w:ascii="宋体" w:hAnsi="宋体"/>
          <w:bCs/>
          <w:color w:val="auto"/>
        </w:rPr>
        <w:t>建筑地下室或地下构筑物</w:t>
      </w:r>
      <w:r>
        <w:rPr>
          <w:rFonts w:ascii="宋体" w:hAnsi="宋体"/>
          <w:bCs/>
          <w:color w:val="auto"/>
        </w:rPr>
        <w:t>存在上浮问题时，尚应进行抗浮验算。</w:t>
      </w:r>
    </w:p>
    <w:p w14:paraId="1D1A12BF">
      <w:pPr>
        <w:adjustRightInd w:val="0"/>
        <w:snapToGrid w:val="0"/>
        <w:spacing w:line="340" w:lineRule="atLeast"/>
        <w:rPr>
          <w:rFonts w:ascii="宋体" w:hAnsi="宋体"/>
          <w:bCs/>
          <w:color w:val="auto"/>
          <w:szCs w:val="21"/>
        </w:rPr>
      </w:pPr>
      <w:r>
        <w:rPr>
          <w:rFonts w:ascii="宋体" w:hAnsi="宋体"/>
          <w:b/>
          <w:bCs/>
          <w:color w:val="auto"/>
          <w:szCs w:val="21"/>
        </w:rPr>
        <w:t>5.3</w:t>
      </w:r>
      <w:r>
        <w:rPr>
          <w:rFonts w:ascii="宋体" w:hAnsi="宋体"/>
          <w:bCs/>
          <w:color w:val="auto"/>
          <w:szCs w:val="21"/>
        </w:rPr>
        <w:t xml:space="preserve">  有变形控制要求的建筑物应进行地基变形计算</w:t>
      </w:r>
      <w:r>
        <w:rPr>
          <w:rFonts w:hint="eastAsia" w:ascii="宋体" w:hAnsi="宋体"/>
          <w:bCs/>
          <w:color w:val="auto"/>
          <w:szCs w:val="21"/>
        </w:rPr>
        <w:t>，</w:t>
      </w:r>
      <w:r>
        <w:rPr>
          <w:rFonts w:ascii="宋体" w:hAnsi="宋体"/>
          <w:bCs/>
          <w:color w:val="auto"/>
          <w:szCs w:val="21"/>
        </w:rPr>
        <w:t>地基变形计算值不应大于地基变形允许值。</w:t>
      </w:r>
    </w:p>
    <w:p w14:paraId="158695A9">
      <w:pPr>
        <w:adjustRightInd w:val="0"/>
        <w:snapToGrid w:val="0"/>
        <w:spacing w:line="340" w:lineRule="atLeast"/>
        <w:rPr>
          <w:rFonts w:ascii="宋体" w:hAnsi="宋体"/>
          <w:bCs/>
          <w:color w:val="auto"/>
          <w:szCs w:val="21"/>
        </w:rPr>
      </w:pPr>
      <w:r>
        <w:rPr>
          <w:rFonts w:ascii="宋体" w:hAnsi="宋体"/>
          <w:b/>
          <w:bCs/>
          <w:color w:val="auto"/>
          <w:szCs w:val="21"/>
        </w:rPr>
        <w:t xml:space="preserve">5.4 </w:t>
      </w:r>
      <w:r>
        <w:rPr>
          <w:rFonts w:ascii="宋体" w:hAnsi="宋体"/>
          <w:bCs/>
          <w:color w:val="auto"/>
          <w:szCs w:val="21"/>
        </w:rPr>
        <w:t xml:space="preserve"> 建筑物的地基变形允许值应按表2规定采用。对表中未包括的建筑物，其地基变形允许值应根据上部结构对地基变形的适应能力和使用上的要求确定。</w:t>
      </w:r>
    </w:p>
    <w:p w14:paraId="2D3DC103">
      <w:pPr>
        <w:widowControl/>
        <w:jc w:val="left"/>
        <w:rPr>
          <w:rFonts w:ascii="宋体" w:hAnsi="宋体"/>
          <w:bCs/>
          <w:color w:val="auto"/>
          <w:szCs w:val="21"/>
        </w:rPr>
      </w:pPr>
      <w:r>
        <w:rPr>
          <w:rFonts w:ascii="宋体" w:hAnsi="宋体"/>
          <w:bCs/>
          <w:color w:val="auto"/>
          <w:szCs w:val="21"/>
        </w:rPr>
        <w:br w:type="page"/>
      </w:r>
    </w:p>
    <w:p w14:paraId="75140342">
      <w:pPr>
        <w:adjustRightInd w:val="0"/>
        <w:snapToGrid w:val="0"/>
        <w:spacing w:before="120" w:after="156" w:afterLines="50" w:line="360" w:lineRule="exact"/>
        <w:jc w:val="center"/>
        <w:rPr>
          <w:rFonts w:ascii="宋体" w:hAnsi="宋体"/>
          <w:b/>
          <w:color w:val="auto"/>
          <w:szCs w:val="21"/>
        </w:rPr>
      </w:pPr>
      <w:r>
        <w:rPr>
          <w:rFonts w:ascii="宋体" w:hAnsi="宋体"/>
          <w:b/>
          <w:color w:val="auto"/>
          <w:szCs w:val="21"/>
        </w:rPr>
        <w:t>表2</w:t>
      </w:r>
      <w:r>
        <w:rPr>
          <w:rFonts w:hint="eastAsia" w:ascii="宋体" w:hAnsi="宋体"/>
          <w:b/>
          <w:color w:val="auto"/>
          <w:szCs w:val="21"/>
        </w:rPr>
        <w:t xml:space="preserve">  </w:t>
      </w:r>
      <w:r>
        <w:rPr>
          <w:rFonts w:ascii="宋体" w:hAnsi="宋体"/>
          <w:b/>
          <w:color w:val="auto"/>
          <w:szCs w:val="21"/>
        </w:rPr>
        <w:t>建筑物地基变形的允许值</w:t>
      </w:r>
    </w:p>
    <w:tbl>
      <w:tblPr>
        <w:tblStyle w:val="36"/>
        <w:tblW w:w="91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50"/>
        <w:gridCol w:w="3399"/>
        <w:gridCol w:w="2292"/>
        <w:gridCol w:w="1510"/>
      </w:tblGrid>
      <w:tr w14:paraId="1272A0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349" w:type="dxa"/>
            <w:gridSpan w:val="2"/>
            <w:vMerge w:val="restart"/>
            <w:vAlign w:val="center"/>
          </w:tcPr>
          <w:p w14:paraId="4E533637">
            <w:pPr>
              <w:adjustRightInd w:val="0"/>
              <w:snapToGrid w:val="0"/>
              <w:spacing w:line="240" w:lineRule="atLeast"/>
              <w:jc w:val="center"/>
              <w:rPr>
                <w:rFonts w:ascii="宋体" w:hAnsi="宋体"/>
                <w:bCs/>
                <w:color w:val="auto"/>
                <w:sz w:val="18"/>
                <w:szCs w:val="18"/>
              </w:rPr>
            </w:pPr>
            <w:r>
              <w:rPr>
                <w:rFonts w:ascii="宋体" w:hAnsi="宋体"/>
                <w:bCs/>
                <w:color w:val="auto"/>
                <w:sz w:val="18"/>
                <w:szCs w:val="18"/>
              </w:rPr>
              <w:t>变  形  特  征</w:t>
            </w:r>
          </w:p>
        </w:tc>
        <w:tc>
          <w:tcPr>
            <w:tcW w:w="3802" w:type="dxa"/>
            <w:gridSpan w:val="2"/>
            <w:vAlign w:val="center"/>
          </w:tcPr>
          <w:p w14:paraId="52EC049C">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地 基 土 类 别</w:t>
            </w:r>
          </w:p>
        </w:tc>
      </w:tr>
      <w:tr w14:paraId="42E1E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349" w:type="dxa"/>
            <w:gridSpan w:val="2"/>
            <w:vMerge w:val="continue"/>
            <w:vAlign w:val="center"/>
          </w:tcPr>
          <w:p w14:paraId="5C1D4B4F">
            <w:pPr>
              <w:adjustRightInd w:val="0"/>
              <w:snapToGrid w:val="0"/>
              <w:spacing w:line="380" w:lineRule="atLeast"/>
              <w:jc w:val="center"/>
              <w:rPr>
                <w:rFonts w:ascii="宋体" w:hAnsi="宋体"/>
                <w:bCs/>
                <w:color w:val="auto"/>
                <w:sz w:val="18"/>
                <w:szCs w:val="18"/>
              </w:rPr>
            </w:pPr>
          </w:p>
        </w:tc>
        <w:tc>
          <w:tcPr>
            <w:tcW w:w="2292" w:type="dxa"/>
            <w:vAlign w:val="center"/>
          </w:tcPr>
          <w:p w14:paraId="65BE5A75">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中、低压缩性土</w:t>
            </w:r>
          </w:p>
        </w:tc>
        <w:tc>
          <w:tcPr>
            <w:tcW w:w="1510" w:type="dxa"/>
            <w:vAlign w:val="center"/>
          </w:tcPr>
          <w:p w14:paraId="6E5923C9">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高压缩性土</w:t>
            </w:r>
          </w:p>
        </w:tc>
      </w:tr>
      <w:tr w14:paraId="06D84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349" w:type="dxa"/>
            <w:gridSpan w:val="2"/>
            <w:vAlign w:val="center"/>
          </w:tcPr>
          <w:p w14:paraId="60002A43">
            <w:pPr>
              <w:adjustRightInd w:val="0"/>
              <w:snapToGrid w:val="0"/>
              <w:spacing w:line="240" w:lineRule="atLeast"/>
              <w:jc w:val="center"/>
              <w:rPr>
                <w:rFonts w:ascii="宋体" w:hAnsi="宋体"/>
                <w:bCs/>
                <w:color w:val="auto"/>
                <w:sz w:val="18"/>
                <w:szCs w:val="18"/>
              </w:rPr>
            </w:pPr>
            <w:r>
              <w:rPr>
                <w:rFonts w:ascii="宋体" w:hAnsi="宋体"/>
                <w:bCs/>
                <w:color w:val="auto"/>
                <w:sz w:val="18"/>
                <w:szCs w:val="18"/>
              </w:rPr>
              <w:t>砌体承重结构基础的局部</w:t>
            </w:r>
            <w:r>
              <w:rPr>
                <w:rFonts w:hint="eastAsia" w:ascii="宋体" w:hAnsi="宋体"/>
                <w:bCs/>
                <w:color w:val="auto"/>
                <w:sz w:val="18"/>
                <w:szCs w:val="18"/>
              </w:rPr>
              <w:t>倾斜</w:t>
            </w:r>
          </w:p>
        </w:tc>
        <w:tc>
          <w:tcPr>
            <w:tcW w:w="2292" w:type="dxa"/>
            <w:vAlign w:val="center"/>
          </w:tcPr>
          <w:p w14:paraId="008B1DDA">
            <w:pPr>
              <w:adjustRightInd w:val="0"/>
              <w:snapToGrid w:val="0"/>
              <w:spacing w:line="240" w:lineRule="atLeast"/>
              <w:jc w:val="center"/>
              <w:rPr>
                <w:rFonts w:ascii="宋体" w:hAnsi="宋体"/>
                <w:bCs/>
                <w:color w:val="auto"/>
                <w:sz w:val="18"/>
                <w:szCs w:val="18"/>
              </w:rPr>
            </w:pPr>
            <w:r>
              <w:rPr>
                <w:rFonts w:ascii="宋体" w:hAnsi="宋体"/>
                <w:bCs/>
                <w:color w:val="auto"/>
                <w:sz w:val="18"/>
                <w:szCs w:val="18"/>
              </w:rPr>
              <w:t>0.00</w:t>
            </w:r>
            <w:r>
              <w:rPr>
                <w:rFonts w:hint="eastAsia" w:ascii="宋体" w:hAnsi="宋体"/>
                <w:bCs/>
                <w:color w:val="auto"/>
                <w:sz w:val="18"/>
                <w:szCs w:val="18"/>
              </w:rPr>
              <w:t>2</w:t>
            </w:r>
          </w:p>
        </w:tc>
        <w:tc>
          <w:tcPr>
            <w:tcW w:w="1510" w:type="dxa"/>
            <w:vAlign w:val="center"/>
          </w:tcPr>
          <w:p w14:paraId="2C16D264">
            <w:pPr>
              <w:adjustRightInd w:val="0"/>
              <w:snapToGrid w:val="0"/>
              <w:spacing w:line="240" w:lineRule="atLeast"/>
              <w:jc w:val="center"/>
              <w:rPr>
                <w:rFonts w:ascii="宋体" w:hAnsi="宋体"/>
                <w:bCs/>
                <w:color w:val="auto"/>
                <w:sz w:val="18"/>
                <w:szCs w:val="18"/>
              </w:rPr>
            </w:pPr>
            <w:r>
              <w:rPr>
                <w:rFonts w:ascii="宋体" w:hAnsi="宋体"/>
                <w:bCs/>
                <w:color w:val="auto"/>
                <w:sz w:val="18"/>
                <w:szCs w:val="18"/>
              </w:rPr>
              <w:t>0.00</w:t>
            </w:r>
            <w:r>
              <w:rPr>
                <w:rFonts w:hint="eastAsia" w:ascii="宋体" w:hAnsi="宋体"/>
                <w:bCs/>
                <w:color w:val="auto"/>
                <w:sz w:val="18"/>
                <w:szCs w:val="18"/>
              </w:rPr>
              <w:t>3</w:t>
            </w:r>
          </w:p>
        </w:tc>
      </w:tr>
      <w:tr w14:paraId="3817B2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restart"/>
            <w:vAlign w:val="center"/>
          </w:tcPr>
          <w:p w14:paraId="5C50FF1E">
            <w:pPr>
              <w:jc w:val="center"/>
              <w:rPr>
                <w:rFonts w:ascii="宋体" w:hAnsi="宋体"/>
                <w:bCs/>
                <w:color w:val="auto"/>
                <w:sz w:val="18"/>
                <w:szCs w:val="18"/>
              </w:rPr>
            </w:pPr>
            <w:r>
              <w:rPr>
                <w:rFonts w:ascii="宋体" w:hAnsi="宋体"/>
                <w:bCs/>
                <w:color w:val="auto"/>
                <w:sz w:val="18"/>
                <w:szCs w:val="18"/>
              </w:rPr>
              <w:t>工业与民用建筑相邻柱基的沉降差</w:t>
            </w:r>
          </w:p>
        </w:tc>
        <w:tc>
          <w:tcPr>
            <w:tcW w:w="3399" w:type="dxa"/>
            <w:vAlign w:val="center"/>
          </w:tcPr>
          <w:p w14:paraId="074CB054">
            <w:pPr>
              <w:jc w:val="center"/>
              <w:rPr>
                <w:rFonts w:ascii="宋体" w:hAnsi="宋体"/>
                <w:bCs/>
                <w:color w:val="auto"/>
                <w:sz w:val="18"/>
                <w:szCs w:val="18"/>
              </w:rPr>
            </w:pPr>
            <w:r>
              <w:rPr>
                <w:rFonts w:ascii="宋体" w:hAnsi="宋体"/>
                <w:bCs/>
                <w:color w:val="auto"/>
                <w:sz w:val="18"/>
                <w:szCs w:val="18"/>
              </w:rPr>
              <w:t>框架结构</w:t>
            </w:r>
          </w:p>
        </w:tc>
        <w:tc>
          <w:tcPr>
            <w:tcW w:w="2292" w:type="dxa"/>
            <w:vAlign w:val="center"/>
          </w:tcPr>
          <w:p w14:paraId="06154900">
            <w:pPr>
              <w:jc w:val="center"/>
              <w:rPr>
                <w:rFonts w:ascii="宋体" w:hAnsi="宋体"/>
                <w:bCs/>
                <w:color w:val="auto"/>
                <w:sz w:val="18"/>
                <w:szCs w:val="18"/>
              </w:rPr>
            </w:pPr>
            <w:r>
              <w:rPr>
                <w:rFonts w:ascii="宋体" w:hAnsi="宋体"/>
                <w:bCs/>
                <w:color w:val="auto"/>
                <w:sz w:val="18"/>
                <w:szCs w:val="18"/>
              </w:rPr>
              <w:t>0.002</w:t>
            </w:r>
            <w:r>
              <w:rPr>
                <w:rFonts w:ascii="宋体" w:hAnsi="宋体"/>
                <w:bCs/>
                <w:i/>
                <w:color w:val="auto"/>
                <w:sz w:val="18"/>
                <w:szCs w:val="18"/>
              </w:rPr>
              <w:t>l</w:t>
            </w:r>
          </w:p>
        </w:tc>
        <w:tc>
          <w:tcPr>
            <w:tcW w:w="1510" w:type="dxa"/>
            <w:vAlign w:val="center"/>
          </w:tcPr>
          <w:p w14:paraId="211961AD">
            <w:pPr>
              <w:jc w:val="center"/>
              <w:rPr>
                <w:rFonts w:ascii="宋体" w:hAnsi="宋体"/>
                <w:bCs/>
                <w:color w:val="auto"/>
                <w:sz w:val="18"/>
                <w:szCs w:val="18"/>
              </w:rPr>
            </w:pPr>
            <w:r>
              <w:rPr>
                <w:rFonts w:ascii="宋体" w:hAnsi="宋体"/>
                <w:bCs/>
                <w:color w:val="auto"/>
                <w:sz w:val="18"/>
                <w:szCs w:val="18"/>
              </w:rPr>
              <w:t>0.003</w:t>
            </w:r>
            <w:r>
              <w:rPr>
                <w:rFonts w:ascii="宋体" w:hAnsi="宋体"/>
                <w:bCs/>
                <w:i/>
                <w:color w:val="auto"/>
                <w:sz w:val="18"/>
                <w:szCs w:val="18"/>
              </w:rPr>
              <w:t>l</w:t>
            </w:r>
          </w:p>
        </w:tc>
      </w:tr>
      <w:tr w14:paraId="3107D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68D02231">
            <w:pPr>
              <w:jc w:val="center"/>
              <w:rPr>
                <w:rFonts w:ascii="宋体" w:hAnsi="宋体"/>
                <w:bCs/>
                <w:color w:val="auto"/>
                <w:sz w:val="18"/>
                <w:szCs w:val="18"/>
              </w:rPr>
            </w:pPr>
          </w:p>
        </w:tc>
        <w:tc>
          <w:tcPr>
            <w:tcW w:w="3399" w:type="dxa"/>
            <w:vAlign w:val="center"/>
          </w:tcPr>
          <w:p w14:paraId="27963A73">
            <w:pPr>
              <w:jc w:val="center"/>
              <w:rPr>
                <w:rFonts w:ascii="宋体" w:hAnsi="宋体"/>
                <w:bCs/>
                <w:color w:val="auto"/>
                <w:sz w:val="18"/>
                <w:szCs w:val="18"/>
              </w:rPr>
            </w:pPr>
            <w:r>
              <w:rPr>
                <w:rFonts w:ascii="宋体" w:hAnsi="宋体"/>
                <w:bCs/>
                <w:color w:val="auto"/>
                <w:sz w:val="18"/>
                <w:szCs w:val="18"/>
              </w:rPr>
              <w:t>砌体墙填充的边排柱</w:t>
            </w:r>
          </w:p>
        </w:tc>
        <w:tc>
          <w:tcPr>
            <w:tcW w:w="2292" w:type="dxa"/>
            <w:vAlign w:val="center"/>
          </w:tcPr>
          <w:p w14:paraId="71020CBF">
            <w:pPr>
              <w:jc w:val="center"/>
              <w:rPr>
                <w:rFonts w:ascii="宋体" w:hAnsi="宋体"/>
                <w:bCs/>
                <w:color w:val="auto"/>
                <w:sz w:val="18"/>
                <w:szCs w:val="18"/>
              </w:rPr>
            </w:pPr>
            <w:r>
              <w:rPr>
                <w:rFonts w:ascii="宋体" w:hAnsi="宋体"/>
                <w:bCs/>
                <w:color w:val="auto"/>
                <w:sz w:val="18"/>
                <w:szCs w:val="18"/>
              </w:rPr>
              <w:t>0.0007</w:t>
            </w:r>
            <w:r>
              <w:rPr>
                <w:rFonts w:ascii="宋体" w:hAnsi="宋体"/>
                <w:bCs/>
                <w:i/>
                <w:color w:val="auto"/>
                <w:sz w:val="18"/>
                <w:szCs w:val="18"/>
              </w:rPr>
              <w:t>l</w:t>
            </w:r>
          </w:p>
        </w:tc>
        <w:tc>
          <w:tcPr>
            <w:tcW w:w="1510" w:type="dxa"/>
            <w:vAlign w:val="center"/>
          </w:tcPr>
          <w:p w14:paraId="2407FCEB">
            <w:pPr>
              <w:jc w:val="center"/>
              <w:rPr>
                <w:rFonts w:ascii="宋体" w:hAnsi="宋体"/>
                <w:bCs/>
                <w:color w:val="auto"/>
                <w:sz w:val="18"/>
                <w:szCs w:val="18"/>
              </w:rPr>
            </w:pPr>
            <w:r>
              <w:rPr>
                <w:rFonts w:ascii="宋体" w:hAnsi="宋体"/>
                <w:bCs/>
                <w:color w:val="auto"/>
                <w:sz w:val="18"/>
                <w:szCs w:val="18"/>
              </w:rPr>
              <w:t>0.001</w:t>
            </w:r>
            <w:r>
              <w:rPr>
                <w:rFonts w:ascii="宋体" w:hAnsi="宋体"/>
                <w:bCs/>
                <w:i/>
                <w:color w:val="auto"/>
                <w:sz w:val="18"/>
                <w:szCs w:val="18"/>
              </w:rPr>
              <w:t>l</w:t>
            </w:r>
          </w:p>
        </w:tc>
      </w:tr>
      <w:tr w14:paraId="362C2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0E779790">
            <w:pPr>
              <w:jc w:val="center"/>
              <w:rPr>
                <w:rFonts w:ascii="宋体" w:hAnsi="宋体"/>
                <w:bCs/>
                <w:color w:val="auto"/>
                <w:sz w:val="18"/>
                <w:szCs w:val="18"/>
              </w:rPr>
            </w:pPr>
          </w:p>
        </w:tc>
        <w:tc>
          <w:tcPr>
            <w:tcW w:w="3399" w:type="dxa"/>
            <w:vAlign w:val="center"/>
          </w:tcPr>
          <w:p w14:paraId="28F013E2">
            <w:pPr>
              <w:jc w:val="center"/>
              <w:rPr>
                <w:rFonts w:ascii="宋体" w:hAnsi="宋体"/>
                <w:bCs/>
                <w:color w:val="auto"/>
                <w:sz w:val="18"/>
                <w:szCs w:val="18"/>
              </w:rPr>
            </w:pPr>
            <w:r>
              <w:rPr>
                <w:rFonts w:ascii="宋体" w:hAnsi="宋体"/>
                <w:bCs/>
                <w:color w:val="auto"/>
                <w:sz w:val="18"/>
                <w:szCs w:val="18"/>
              </w:rPr>
              <w:t>当基础沉降时不产生附加应力的结构</w:t>
            </w:r>
          </w:p>
        </w:tc>
        <w:tc>
          <w:tcPr>
            <w:tcW w:w="2292" w:type="dxa"/>
            <w:vAlign w:val="center"/>
          </w:tcPr>
          <w:p w14:paraId="3AFA4F6D">
            <w:pPr>
              <w:jc w:val="center"/>
              <w:rPr>
                <w:rFonts w:ascii="宋体" w:hAnsi="宋体"/>
                <w:bCs/>
                <w:color w:val="auto"/>
                <w:sz w:val="18"/>
                <w:szCs w:val="18"/>
              </w:rPr>
            </w:pPr>
            <w:r>
              <w:rPr>
                <w:rFonts w:ascii="宋体" w:hAnsi="宋体"/>
                <w:bCs/>
                <w:color w:val="auto"/>
                <w:sz w:val="18"/>
                <w:szCs w:val="18"/>
              </w:rPr>
              <w:t>0.005</w:t>
            </w:r>
            <w:r>
              <w:rPr>
                <w:rFonts w:ascii="宋体" w:hAnsi="宋体"/>
                <w:bCs/>
                <w:i/>
                <w:color w:val="auto"/>
                <w:sz w:val="18"/>
                <w:szCs w:val="18"/>
              </w:rPr>
              <w:t>l</w:t>
            </w:r>
          </w:p>
        </w:tc>
        <w:tc>
          <w:tcPr>
            <w:tcW w:w="1510" w:type="dxa"/>
            <w:vAlign w:val="center"/>
          </w:tcPr>
          <w:p w14:paraId="672DDC76">
            <w:pPr>
              <w:jc w:val="center"/>
              <w:rPr>
                <w:rFonts w:ascii="宋体" w:hAnsi="宋体"/>
                <w:bCs/>
                <w:color w:val="auto"/>
                <w:sz w:val="18"/>
                <w:szCs w:val="18"/>
              </w:rPr>
            </w:pPr>
            <w:r>
              <w:rPr>
                <w:rFonts w:ascii="宋体" w:hAnsi="宋体"/>
                <w:bCs/>
                <w:color w:val="auto"/>
                <w:sz w:val="18"/>
                <w:szCs w:val="18"/>
              </w:rPr>
              <w:t>0.005</w:t>
            </w:r>
            <w:r>
              <w:rPr>
                <w:rFonts w:ascii="宋体" w:hAnsi="宋体"/>
                <w:bCs/>
                <w:i/>
                <w:color w:val="auto"/>
                <w:sz w:val="18"/>
                <w:szCs w:val="18"/>
              </w:rPr>
              <w:t>l</w:t>
            </w:r>
          </w:p>
        </w:tc>
      </w:tr>
      <w:tr w14:paraId="232BD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349" w:type="dxa"/>
            <w:gridSpan w:val="2"/>
            <w:vAlign w:val="center"/>
          </w:tcPr>
          <w:p w14:paraId="142FF1C3">
            <w:pPr>
              <w:jc w:val="center"/>
              <w:rPr>
                <w:rFonts w:ascii="宋体" w:hAnsi="宋体"/>
                <w:bCs/>
                <w:color w:val="auto"/>
                <w:sz w:val="18"/>
                <w:szCs w:val="18"/>
              </w:rPr>
            </w:pPr>
            <w:r>
              <w:rPr>
                <w:rFonts w:ascii="宋体" w:hAnsi="宋体"/>
                <w:bCs/>
                <w:color w:val="auto"/>
                <w:sz w:val="18"/>
                <w:szCs w:val="18"/>
              </w:rPr>
              <w:t>单层排架结构（柱距为6</w:t>
            </w:r>
            <w:r>
              <w:rPr>
                <w:rFonts w:ascii="宋体" w:hAnsi="宋体"/>
                <w:bCs/>
                <w:iCs/>
                <w:color w:val="auto"/>
                <w:sz w:val="18"/>
                <w:szCs w:val="18"/>
              </w:rPr>
              <w:t>m</w:t>
            </w:r>
            <w:r>
              <w:rPr>
                <w:rFonts w:ascii="宋体" w:hAnsi="宋体"/>
                <w:bCs/>
                <w:color w:val="auto"/>
                <w:sz w:val="18"/>
                <w:szCs w:val="18"/>
              </w:rPr>
              <w:t>）柱基的沉降量（</w:t>
            </w:r>
            <w:r>
              <w:rPr>
                <w:rFonts w:ascii="宋体" w:hAnsi="宋体"/>
                <w:bCs/>
                <w:iCs/>
                <w:color w:val="auto"/>
                <w:sz w:val="18"/>
                <w:szCs w:val="18"/>
              </w:rPr>
              <w:t>mm</w:t>
            </w:r>
            <w:r>
              <w:rPr>
                <w:rFonts w:ascii="宋体" w:hAnsi="宋体"/>
                <w:bCs/>
                <w:color w:val="auto"/>
                <w:sz w:val="18"/>
                <w:szCs w:val="18"/>
              </w:rPr>
              <w:t>）</w:t>
            </w:r>
          </w:p>
        </w:tc>
        <w:tc>
          <w:tcPr>
            <w:tcW w:w="2292" w:type="dxa"/>
            <w:vAlign w:val="center"/>
          </w:tcPr>
          <w:p w14:paraId="28739DE8">
            <w:pPr>
              <w:jc w:val="center"/>
              <w:rPr>
                <w:rFonts w:ascii="宋体" w:hAnsi="宋体"/>
                <w:bCs/>
                <w:color w:val="auto"/>
                <w:sz w:val="18"/>
                <w:szCs w:val="18"/>
              </w:rPr>
            </w:pPr>
            <w:r>
              <w:rPr>
                <w:rFonts w:hint="eastAsia" w:ascii="宋体" w:hAnsi="宋体"/>
                <w:bCs/>
                <w:color w:val="auto"/>
                <w:sz w:val="18"/>
                <w:szCs w:val="18"/>
              </w:rPr>
              <w:t>（</w:t>
            </w:r>
            <w:r>
              <w:rPr>
                <w:rFonts w:ascii="宋体" w:hAnsi="宋体"/>
                <w:bCs/>
                <w:color w:val="auto"/>
                <w:sz w:val="18"/>
                <w:szCs w:val="18"/>
              </w:rPr>
              <w:t>120</w:t>
            </w:r>
            <w:r>
              <w:rPr>
                <w:rFonts w:hint="eastAsia" w:ascii="宋体" w:hAnsi="宋体"/>
                <w:bCs/>
                <w:color w:val="auto"/>
                <w:sz w:val="18"/>
                <w:szCs w:val="18"/>
              </w:rPr>
              <w:t>）</w:t>
            </w:r>
          </w:p>
        </w:tc>
        <w:tc>
          <w:tcPr>
            <w:tcW w:w="1510" w:type="dxa"/>
            <w:vAlign w:val="center"/>
          </w:tcPr>
          <w:p w14:paraId="20346AD7">
            <w:pPr>
              <w:jc w:val="center"/>
              <w:rPr>
                <w:rFonts w:ascii="宋体" w:hAnsi="宋体"/>
                <w:bCs/>
                <w:color w:val="auto"/>
                <w:sz w:val="18"/>
                <w:szCs w:val="18"/>
              </w:rPr>
            </w:pPr>
            <w:r>
              <w:rPr>
                <w:rFonts w:ascii="宋体" w:hAnsi="宋体"/>
                <w:bCs/>
                <w:color w:val="auto"/>
                <w:sz w:val="18"/>
                <w:szCs w:val="18"/>
              </w:rPr>
              <w:t>200</w:t>
            </w:r>
          </w:p>
        </w:tc>
      </w:tr>
      <w:tr w14:paraId="0C99E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restart"/>
            <w:vAlign w:val="center"/>
          </w:tcPr>
          <w:p w14:paraId="0C648E19">
            <w:pPr>
              <w:jc w:val="center"/>
              <w:rPr>
                <w:rFonts w:ascii="宋体" w:hAnsi="宋体"/>
                <w:bCs/>
                <w:color w:val="auto"/>
                <w:sz w:val="18"/>
                <w:szCs w:val="18"/>
              </w:rPr>
            </w:pPr>
            <w:r>
              <w:rPr>
                <w:rFonts w:ascii="宋体" w:hAnsi="宋体"/>
                <w:bCs/>
                <w:color w:val="auto"/>
                <w:sz w:val="18"/>
                <w:szCs w:val="18"/>
              </w:rPr>
              <w:t>桥式吊车轨面的倾斜（按不调整轨道考虑）</w:t>
            </w:r>
          </w:p>
        </w:tc>
        <w:tc>
          <w:tcPr>
            <w:tcW w:w="3399" w:type="dxa"/>
            <w:vAlign w:val="center"/>
          </w:tcPr>
          <w:p w14:paraId="3D4AE9EF">
            <w:pPr>
              <w:jc w:val="center"/>
              <w:rPr>
                <w:rFonts w:ascii="宋体" w:hAnsi="宋体"/>
                <w:bCs/>
                <w:color w:val="auto"/>
                <w:sz w:val="18"/>
                <w:szCs w:val="18"/>
              </w:rPr>
            </w:pPr>
            <w:r>
              <w:rPr>
                <w:rFonts w:ascii="宋体" w:hAnsi="宋体"/>
                <w:bCs/>
                <w:color w:val="auto"/>
                <w:sz w:val="18"/>
                <w:szCs w:val="18"/>
              </w:rPr>
              <w:t>纵    向</w:t>
            </w:r>
          </w:p>
        </w:tc>
        <w:tc>
          <w:tcPr>
            <w:tcW w:w="3802" w:type="dxa"/>
            <w:gridSpan w:val="2"/>
            <w:vAlign w:val="center"/>
          </w:tcPr>
          <w:p w14:paraId="0ABF819D">
            <w:pPr>
              <w:jc w:val="center"/>
              <w:rPr>
                <w:rFonts w:ascii="宋体" w:hAnsi="宋体"/>
                <w:bCs/>
                <w:color w:val="auto"/>
                <w:sz w:val="18"/>
                <w:szCs w:val="18"/>
              </w:rPr>
            </w:pPr>
            <w:r>
              <w:rPr>
                <w:rFonts w:ascii="宋体" w:hAnsi="宋体"/>
                <w:bCs/>
                <w:color w:val="auto"/>
                <w:sz w:val="18"/>
                <w:szCs w:val="18"/>
              </w:rPr>
              <w:t>0.004</w:t>
            </w:r>
          </w:p>
        </w:tc>
      </w:tr>
      <w:tr w14:paraId="134B9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0F36030F">
            <w:pPr>
              <w:jc w:val="center"/>
              <w:rPr>
                <w:rFonts w:ascii="宋体" w:hAnsi="宋体"/>
                <w:bCs/>
                <w:color w:val="auto"/>
                <w:sz w:val="18"/>
                <w:szCs w:val="18"/>
              </w:rPr>
            </w:pPr>
          </w:p>
        </w:tc>
        <w:tc>
          <w:tcPr>
            <w:tcW w:w="3399" w:type="dxa"/>
            <w:vAlign w:val="center"/>
          </w:tcPr>
          <w:p w14:paraId="61C72F3D">
            <w:pPr>
              <w:jc w:val="center"/>
              <w:rPr>
                <w:rFonts w:ascii="宋体" w:hAnsi="宋体"/>
                <w:bCs/>
                <w:color w:val="auto"/>
                <w:sz w:val="18"/>
                <w:szCs w:val="18"/>
              </w:rPr>
            </w:pPr>
            <w:r>
              <w:rPr>
                <w:rFonts w:ascii="宋体" w:hAnsi="宋体"/>
                <w:bCs/>
                <w:color w:val="auto"/>
                <w:sz w:val="18"/>
                <w:szCs w:val="18"/>
              </w:rPr>
              <w:t>横    向</w:t>
            </w:r>
          </w:p>
        </w:tc>
        <w:tc>
          <w:tcPr>
            <w:tcW w:w="3802" w:type="dxa"/>
            <w:gridSpan w:val="2"/>
            <w:vAlign w:val="center"/>
          </w:tcPr>
          <w:p w14:paraId="48E3F983">
            <w:pPr>
              <w:jc w:val="center"/>
              <w:rPr>
                <w:rFonts w:ascii="宋体" w:hAnsi="宋体"/>
                <w:bCs/>
                <w:color w:val="auto"/>
                <w:sz w:val="18"/>
                <w:szCs w:val="18"/>
              </w:rPr>
            </w:pPr>
            <w:r>
              <w:rPr>
                <w:rFonts w:ascii="宋体" w:hAnsi="宋体"/>
                <w:bCs/>
                <w:color w:val="auto"/>
                <w:sz w:val="18"/>
                <w:szCs w:val="18"/>
              </w:rPr>
              <w:t>0.003</w:t>
            </w:r>
          </w:p>
        </w:tc>
      </w:tr>
      <w:tr w14:paraId="09B4A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restart"/>
            <w:vAlign w:val="center"/>
          </w:tcPr>
          <w:p w14:paraId="451BE2AD">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多层和高层建筑的整体倾斜</w:t>
            </w:r>
          </w:p>
        </w:tc>
        <w:tc>
          <w:tcPr>
            <w:tcW w:w="3399" w:type="dxa"/>
            <w:vAlign w:val="center"/>
          </w:tcPr>
          <w:p w14:paraId="0C932BC5">
            <w:pPr>
              <w:adjustRightInd w:val="0"/>
              <w:snapToGrid w:val="0"/>
              <w:spacing w:line="240" w:lineRule="exact"/>
              <w:jc w:val="center"/>
              <w:rPr>
                <w:rFonts w:ascii="宋体" w:hAnsi="宋体"/>
                <w:bCs/>
                <w:color w:val="auto"/>
                <w:sz w:val="18"/>
                <w:szCs w:val="18"/>
              </w:rPr>
            </w:pP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≤24</w:t>
            </w:r>
          </w:p>
        </w:tc>
        <w:tc>
          <w:tcPr>
            <w:tcW w:w="3802" w:type="dxa"/>
            <w:gridSpan w:val="2"/>
            <w:vAlign w:val="center"/>
          </w:tcPr>
          <w:p w14:paraId="31DC649D">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0.004</w:t>
            </w:r>
          </w:p>
        </w:tc>
      </w:tr>
      <w:tr w14:paraId="37E80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73C3B332">
            <w:pPr>
              <w:adjustRightInd w:val="0"/>
              <w:snapToGrid w:val="0"/>
              <w:spacing w:line="240" w:lineRule="exact"/>
              <w:jc w:val="center"/>
              <w:rPr>
                <w:rFonts w:ascii="宋体" w:hAnsi="宋体"/>
                <w:bCs/>
                <w:color w:val="auto"/>
                <w:sz w:val="18"/>
                <w:szCs w:val="18"/>
              </w:rPr>
            </w:pPr>
          </w:p>
        </w:tc>
        <w:tc>
          <w:tcPr>
            <w:tcW w:w="3399" w:type="dxa"/>
            <w:vAlign w:val="center"/>
          </w:tcPr>
          <w:p w14:paraId="4A89E819">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24＜</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≤60</w:t>
            </w:r>
          </w:p>
        </w:tc>
        <w:tc>
          <w:tcPr>
            <w:tcW w:w="3802" w:type="dxa"/>
            <w:gridSpan w:val="2"/>
            <w:vAlign w:val="center"/>
          </w:tcPr>
          <w:p w14:paraId="345632D7">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0.003</w:t>
            </w:r>
          </w:p>
        </w:tc>
      </w:tr>
      <w:tr w14:paraId="11D7DB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77F6F347">
            <w:pPr>
              <w:adjustRightInd w:val="0"/>
              <w:snapToGrid w:val="0"/>
              <w:spacing w:line="240" w:lineRule="exact"/>
              <w:jc w:val="center"/>
              <w:rPr>
                <w:rFonts w:ascii="宋体" w:hAnsi="宋体"/>
                <w:bCs/>
                <w:color w:val="auto"/>
                <w:sz w:val="18"/>
                <w:szCs w:val="18"/>
              </w:rPr>
            </w:pPr>
          </w:p>
        </w:tc>
        <w:tc>
          <w:tcPr>
            <w:tcW w:w="3399" w:type="dxa"/>
            <w:vAlign w:val="center"/>
          </w:tcPr>
          <w:p w14:paraId="649C97ED">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60＜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≤100</w:t>
            </w:r>
          </w:p>
        </w:tc>
        <w:tc>
          <w:tcPr>
            <w:tcW w:w="3802" w:type="dxa"/>
            <w:gridSpan w:val="2"/>
            <w:vAlign w:val="center"/>
          </w:tcPr>
          <w:p w14:paraId="749C6FF9">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0.0025</w:t>
            </w:r>
          </w:p>
        </w:tc>
      </w:tr>
      <w:tr w14:paraId="2DA4D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138D4596">
            <w:pPr>
              <w:adjustRightInd w:val="0"/>
              <w:snapToGrid w:val="0"/>
              <w:spacing w:line="240" w:lineRule="exact"/>
              <w:jc w:val="center"/>
              <w:rPr>
                <w:rFonts w:ascii="宋体" w:hAnsi="宋体"/>
                <w:bCs/>
                <w:color w:val="auto"/>
                <w:sz w:val="18"/>
                <w:szCs w:val="18"/>
              </w:rPr>
            </w:pPr>
          </w:p>
        </w:tc>
        <w:tc>
          <w:tcPr>
            <w:tcW w:w="3399" w:type="dxa"/>
            <w:vAlign w:val="center"/>
          </w:tcPr>
          <w:p w14:paraId="2782B3D9">
            <w:pPr>
              <w:adjustRightInd w:val="0"/>
              <w:snapToGrid w:val="0"/>
              <w:spacing w:line="240" w:lineRule="exact"/>
              <w:jc w:val="center"/>
              <w:rPr>
                <w:rFonts w:ascii="宋体" w:hAnsi="宋体"/>
                <w:bCs/>
                <w:color w:val="auto"/>
                <w:sz w:val="18"/>
                <w:szCs w:val="18"/>
              </w:rPr>
            </w:pP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＞100</w:t>
            </w:r>
          </w:p>
        </w:tc>
        <w:tc>
          <w:tcPr>
            <w:tcW w:w="3802" w:type="dxa"/>
            <w:gridSpan w:val="2"/>
            <w:vAlign w:val="center"/>
          </w:tcPr>
          <w:p w14:paraId="5AA11CCA">
            <w:pPr>
              <w:adjustRightInd w:val="0"/>
              <w:snapToGrid w:val="0"/>
              <w:spacing w:line="240" w:lineRule="exact"/>
              <w:jc w:val="center"/>
              <w:rPr>
                <w:rFonts w:ascii="宋体" w:hAnsi="宋体"/>
                <w:bCs/>
                <w:color w:val="auto"/>
                <w:sz w:val="18"/>
                <w:szCs w:val="18"/>
              </w:rPr>
            </w:pPr>
            <w:r>
              <w:rPr>
                <w:rFonts w:ascii="宋体" w:hAnsi="宋体"/>
                <w:bCs/>
                <w:color w:val="auto"/>
                <w:sz w:val="18"/>
                <w:szCs w:val="18"/>
              </w:rPr>
              <w:t>0.002</w:t>
            </w:r>
          </w:p>
        </w:tc>
      </w:tr>
      <w:tr w14:paraId="42692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349" w:type="dxa"/>
            <w:gridSpan w:val="2"/>
            <w:vAlign w:val="center"/>
          </w:tcPr>
          <w:p w14:paraId="1771ABE4">
            <w:pPr>
              <w:adjustRightInd w:val="0"/>
              <w:snapToGrid w:val="0"/>
              <w:jc w:val="center"/>
              <w:rPr>
                <w:rFonts w:ascii="宋体" w:hAnsi="宋体"/>
                <w:bCs/>
                <w:color w:val="auto"/>
                <w:sz w:val="18"/>
                <w:szCs w:val="18"/>
              </w:rPr>
            </w:pPr>
            <w:r>
              <w:rPr>
                <w:rFonts w:ascii="宋体" w:hAnsi="宋体"/>
                <w:bCs/>
                <w:color w:val="auto"/>
                <w:sz w:val="18"/>
                <w:szCs w:val="18"/>
              </w:rPr>
              <w:t>体型简单的高层建筑</w:t>
            </w:r>
            <w:r>
              <w:rPr>
                <w:rFonts w:hint="eastAsia" w:ascii="宋体" w:hAnsi="宋体"/>
                <w:bCs/>
                <w:color w:val="auto"/>
                <w:sz w:val="18"/>
                <w:szCs w:val="18"/>
              </w:rPr>
              <w:t>基础</w:t>
            </w:r>
            <w:r>
              <w:rPr>
                <w:rFonts w:ascii="宋体" w:hAnsi="宋体"/>
                <w:bCs/>
                <w:color w:val="auto"/>
                <w:sz w:val="18"/>
                <w:szCs w:val="18"/>
              </w:rPr>
              <w:t>的</w:t>
            </w:r>
            <w:r>
              <w:rPr>
                <w:rFonts w:hint="eastAsia" w:ascii="宋体" w:hAnsi="宋体"/>
                <w:bCs/>
                <w:color w:val="auto"/>
                <w:sz w:val="18"/>
                <w:szCs w:val="18"/>
              </w:rPr>
              <w:t>平均</w:t>
            </w:r>
            <w:r>
              <w:rPr>
                <w:rFonts w:ascii="宋体" w:hAnsi="宋体"/>
                <w:bCs/>
                <w:color w:val="auto"/>
                <w:sz w:val="18"/>
                <w:szCs w:val="18"/>
              </w:rPr>
              <w:t>沉降量 （</w:t>
            </w:r>
            <w:r>
              <w:rPr>
                <w:rFonts w:ascii="宋体" w:hAnsi="宋体"/>
                <w:bCs/>
                <w:iCs/>
                <w:color w:val="auto"/>
                <w:sz w:val="18"/>
                <w:szCs w:val="18"/>
              </w:rPr>
              <w:t>mm</w:t>
            </w:r>
            <w:r>
              <w:rPr>
                <w:rFonts w:ascii="宋体" w:hAnsi="宋体"/>
                <w:bCs/>
                <w:color w:val="auto"/>
                <w:sz w:val="18"/>
                <w:szCs w:val="18"/>
              </w:rPr>
              <w:t>）</w:t>
            </w:r>
          </w:p>
        </w:tc>
        <w:tc>
          <w:tcPr>
            <w:tcW w:w="3802" w:type="dxa"/>
            <w:gridSpan w:val="2"/>
            <w:vAlign w:val="center"/>
          </w:tcPr>
          <w:p w14:paraId="1DB78646">
            <w:pPr>
              <w:adjustRightInd w:val="0"/>
              <w:snapToGrid w:val="0"/>
              <w:jc w:val="center"/>
              <w:rPr>
                <w:rFonts w:ascii="宋体" w:hAnsi="宋体"/>
                <w:bCs/>
                <w:color w:val="auto"/>
                <w:sz w:val="18"/>
                <w:szCs w:val="18"/>
              </w:rPr>
            </w:pPr>
            <w:r>
              <w:rPr>
                <w:rFonts w:ascii="宋体" w:hAnsi="宋体"/>
                <w:bCs/>
                <w:color w:val="auto"/>
                <w:sz w:val="18"/>
                <w:szCs w:val="18"/>
              </w:rPr>
              <w:t>200</w:t>
            </w:r>
          </w:p>
        </w:tc>
      </w:tr>
      <w:tr w14:paraId="53188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restart"/>
            <w:vAlign w:val="center"/>
          </w:tcPr>
          <w:p w14:paraId="504A2199">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高耸结构基础的倾斜</w:t>
            </w:r>
          </w:p>
        </w:tc>
        <w:tc>
          <w:tcPr>
            <w:tcW w:w="3399" w:type="dxa"/>
            <w:vAlign w:val="center"/>
          </w:tcPr>
          <w:p w14:paraId="1B1B4FB4">
            <w:pPr>
              <w:adjustRightInd w:val="0"/>
              <w:snapToGrid w:val="0"/>
              <w:spacing w:line="220" w:lineRule="exact"/>
              <w:ind w:left="747"/>
              <w:jc w:val="center"/>
              <w:rPr>
                <w:rFonts w:ascii="宋体" w:hAnsi="宋体"/>
                <w:bCs/>
                <w:color w:val="auto"/>
                <w:sz w:val="18"/>
                <w:szCs w:val="18"/>
              </w:rPr>
            </w:pP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≤20</w:t>
            </w:r>
          </w:p>
        </w:tc>
        <w:tc>
          <w:tcPr>
            <w:tcW w:w="3802" w:type="dxa"/>
            <w:gridSpan w:val="2"/>
            <w:vAlign w:val="center"/>
          </w:tcPr>
          <w:p w14:paraId="173909F7">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0.008</w:t>
            </w:r>
          </w:p>
        </w:tc>
      </w:tr>
      <w:tr w14:paraId="4DD34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2C874C8C">
            <w:pPr>
              <w:adjustRightInd w:val="0"/>
              <w:snapToGrid w:val="0"/>
              <w:spacing w:line="220" w:lineRule="exact"/>
              <w:jc w:val="center"/>
              <w:rPr>
                <w:rFonts w:ascii="宋体" w:hAnsi="宋体"/>
                <w:bCs/>
                <w:color w:val="auto"/>
                <w:sz w:val="18"/>
                <w:szCs w:val="18"/>
              </w:rPr>
            </w:pPr>
          </w:p>
        </w:tc>
        <w:tc>
          <w:tcPr>
            <w:tcW w:w="3399" w:type="dxa"/>
            <w:vAlign w:val="center"/>
          </w:tcPr>
          <w:p w14:paraId="0D7076C4">
            <w:pPr>
              <w:adjustRightInd w:val="0"/>
              <w:snapToGrid w:val="0"/>
              <w:spacing w:line="220" w:lineRule="exact"/>
              <w:ind w:left="477"/>
              <w:jc w:val="center"/>
              <w:rPr>
                <w:rFonts w:ascii="宋体" w:hAnsi="宋体"/>
                <w:bCs/>
                <w:i/>
                <w:color w:val="auto"/>
                <w:sz w:val="18"/>
                <w:szCs w:val="18"/>
              </w:rPr>
            </w:pPr>
            <w:r>
              <w:rPr>
                <w:rFonts w:ascii="宋体" w:hAnsi="宋体"/>
                <w:bCs/>
                <w:color w:val="auto"/>
                <w:sz w:val="18"/>
                <w:szCs w:val="18"/>
              </w:rPr>
              <w:t>20＜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≤50</w:t>
            </w:r>
          </w:p>
        </w:tc>
        <w:tc>
          <w:tcPr>
            <w:tcW w:w="3802" w:type="dxa"/>
            <w:gridSpan w:val="2"/>
            <w:vAlign w:val="center"/>
          </w:tcPr>
          <w:p w14:paraId="5043E5FD">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0.006</w:t>
            </w:r>
          </w:p>
        </w:tc>
      </w:tr>
      <w:tr w14:paraId="32A94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6047E444">
            <w:pPr>
              <w:adjustRightInd w:val="0"/>
              <w:snapToGrid w:val="0"/>
              <w:spacing w:line="220" w:lineRule="exact"/>
              <w:jc w:val="center"/>
              <w:rPr>
                <w:rFonts w:ascii="宋体" w:hAnsi="宋体"/>
                <w:bCs/>
                <w:color w:val="auto"/>
                <w:sz w:val="18"/>
                <w:szCs w:val="18"/>
              </w:rPr>
            </w:pPr>
          </w:p>
        </w:tc>
        <w:tc>
          <w:tcPr>
            <w:tcW w:w="3399" w:type="dxa"/>
            <w:vAlign w:val="center"/>
          </w:tcPr>
          <w:p w14:paraId="2FB8ACA4">
            <w:pPr>
              <w:adjustRightInd w:val="0"/>
              <w:snapToGrid w:val="0"/>
              <w:spacing w:line="220" w:lineRule="exact"/>
              <w:ind w:left="477"/>
              <w:jc w:val="center"/>
              <w:rPr>
                <w:rFonts w:ascii="宋体" w:hAnsi="宋体"/>
                <w:bCs/>
                <w:color w:val="auto"/>
                <w:sz w:val="18"/>
                <w:szCs w:val="18"/>
              </w:rPr>
            </w:pPr>
            <w:r>
              <w:rPr>
                <w:rFonts w:ascii="宋体" w:hAnsi="宋体"/>
                <w:bCs/>
                <w:color w:val="auto"/>
                <w:sz w:val="18"/>
                <w:szCs w:val="18"/>
              </w:rPr>
              <w:t>50＜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≤100</w:t>
            </w:r>
          </w:p>
        </w:tc>
        <w:tc>
          <w:tcPr>
            <w:tcW w:w="3802" w:type="dxa"/>
            <w:gridSpan w:val="2"/>
            <w:vAlign w:val="center"/>
          </w:tcPr>
          <w:p w14:paraId="3CFE997F">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0.005</w:t>
            </w:r>
          </w:p>
        </w:tc>
      </w:tr>
      <w:tr w14:paraId="1B9CF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6012CABE">
            <w:pPr>
              <w:adjustRightInd w:val="0"/>
              <w:snapToGrid w:val="0"/>
              <w:spacing w:line="220" w:lineRule="exact"/>
              <w:jc w:val="center"/>
              <w:rPr>
                <w:rFonts w:ascii="宋体" w:hAnsi="宋体"/>
                <w:bCs/>
                <w:color w:val="auto"/>
                <w:sz w:val="18"/>
                <w:szCs w:val="18"/>
              </w:rPr>
            </w:pPr>
          </w:p>
        </w:tc>
        <w:tc>
          <w:tcPr>
            <w:tcW w:w="3399" w:type="dxa"/>
            <w:vAlign w:val="center"/>
          </w:tcPr>
          <w:p w14:paraId="2BABF275">
            <w:pPr>
              <w:adjustRightInd w:val="0"/>
              <w:snapToGrid w:val="0"/>
              <w:spacing w:line="220" w:lineRule="exact"/>
              <w:ind w:left="387"/>
              <w:jc w:val="center"/>
              <w:rPr>
                <w:rFonts w:ascii="宋体" w:hAnsi="宋体"/>
                <w:bCs/>
                <w:color w:val="auto"/>
                <w:sz w:val="18"/>
                <w:szCs w:val="18"/>
              </w:rPr>
            </w:pPr>
            <w:r>
              <w:rPr>
                <w:rFonts w:ascii="宋体" w:hAnsi="宋体"/>
                <w:bCs/>
                <w:color w:val="auto"/>
                <w:sz w:val="18"/>
                <w:szCs w:val="18"/>
              </w:rPr>
              <w:t>100＜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≤150</w:t>
            </w:r>
          </w:p>
        </w:tc>
        <w:tc>
          <w:tcPr>
            <w:tcW w:w="3802" w:type="dxa"/>
            <w:gridSpan w:val="2"/>
            <w:vAlign w:val="center"/>
          </w:tcPr>
          <w:p w14:paraId="0D9BB122">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0.004</w:t>
            </w:r>
          </w:p>
        </w:tc>
      </w:tr>
      <w:tr w14:paraId="5EBAB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4348A0CA">
            <w:pPr>
              <w:adjustRightInd w:val="0"/>
              <w:snapToGrid w:val="0"/>
              <w:spacing w:line="220" w:lineRule="exact"/>
              <w:jc w:val="center"/>
              <w:rPr>
                <w:rFonts w:ascii="宋体" w:hAnsi="宋体"/>
                <w:bCs/>
                <w:color w:val="auto"/>
                <w:sz w:val="18"/>
                <w:szCs w:val="18"/>
              </w:rPr>
            </w:pPr>
          </w:p>
        </w:tc>
        <w:tc>
          <w:tcPr>
            <w:tcW w:w="3399" w:type="dxa"/>
            <w:vAlign w:val="center"/>
          </w:tcPr>
          <w:p w14:paraId="4B3BB73B">
            <w:pPr>
              <w:adjustRightInd w:val="0"/>
              <w:snapToGrid w:val="0"/>
              <w:spacing w:line="220" w:lineRule="exact"/>
              <w:ind w:left="387"/>
              <w:jc w:val="center"/>
              <w:rPr>
                <w:rFonts w:ascii="宋体" w:hAnsi="宋体"/>
                <w:bCs/>
                <w:color w:val="auto"/>
                <w:sz w:val="18"/>
                <w:szCs w:val="18"/>
              </w:rPr>
            </w:pPr>
            <w:r>
              <w:rPr>
                <w:rFonts w:ascii="宋体" w:hAnsi="宋体"/>
                <w:bCs/>
                <w:color w:val="auto"/>
                <w:sz w:val="18"/>
                <w:szCs w:val="18"/>
              </w:rPr>
              <w:t>150＜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≤200</w:t>
            </w:r>
          </w:p>
        </w:tc>
        <w:tc>
          <w:tcPr>
            <w:tcW w:w="3802" w:type="dxa"/>
            <w:gridSpan w:val="2"/>
            <w:vAlign w:val="center"/>
          </w:tcPr>
          <w:p w14:paraId="785F374D">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0.003</w:t>
            </w:r>
          </w:p>
        </w:tc>
      </w:tr>
      <w:tr w14:paraId="61A7D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50" w:type="dxa"/>
            <w:vMerge w:val="continue"/>
            <w:vAlign w:val="center"/>
          </w:tcPr>
          <w:p w14:paraId="656D4DC4">
            <w:pPr>
              <w:adjustRightInd w:val="0"/>
              <w:snapToGrid w:val="0"/>
              <w:spacing w:line="220" w:lineRule="exact"/>
              <w:jc w:val="center"/>
              <w:rPr>
                <w:rFonts w:ascii="宋体" w:hAnsi="宋体"/>
                <w:bCs/>
                <w:color w:val="auto"/>
                <w:sz w:val="18"/>
                <w:szCs w:val="18"/>
              </w:rPr>
            </w:pPr>
          </w:p>
        </w:tc>
        <w:tc>
          <w:tcPr>
            <w:tcW w:w="3399" w:type="dxa"/>
            <w:vAlign w:val="center"/>
          </w:tcPr>
          <w:p w14:paraId="43E463A5">
            <w:pPr>
              <w:adjustRightInd w:val="0"/>
              <w:snapToGrid w:val="0"/>
              <w:spacing w:line="220" w:lineRule="exact"/>
              <w:ind w:left="387"/>
              <w:jc w:val="center"/>
              <w:rPr>
                <w:rFonts w:ascii="宋体" w:hAnsi="宋体"/>
                <w:bCs/>
                <w:color w:val="auto"/>
                <w:sz w:val="18"/>
                <w:szCs w:val="18"/>
              </w:rPr>
            </w:pPr>
            <w:r>
              <w:rPr>
                <w:rFonts w:ascii="宋体" w:hAnsi="宋体"/>
                <w:bCs/>
                <w:color w:val="auto"/>
                <w:sz w:val="18"/>
                <w:szCs w:val="18"/>
              </w:rPr>
              <w:t>200＜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≤250</w:t>
            </w:r>
          </w:p>
        </w:tc>
        <w:tc>
          <w:tcPr>
            <w:tcW w:w="3802" w:type="dxa"/>
            <w:gridSpan w:val="2"/>
            <w:vAlign w:val="center"/>
          </w:tcPr>
          <w:p w14:paraId="1B002A46">
            <w:pPr>
              <w:adjustRightInd w:val="0"/>
              <w:snapToGrid w:val="0"/>
              <w:spacing w:line="220" w:lineRule="exact"/>
              <w:jc w:val="center"/>
              <w:rPr>
                <w:rFonts w:ascii="宋体" w:hAnsi="宋体"/>
                <w:bCs/>
                <w:color w:val="auto"/>
                <w:sz w:val="18"/>
                <w:szCs w:val="18"/>
              </w:rPr>
            </w:pPr>
            <w:r>
              <w:rPr>
                <w:rFonts w:ascii="宋体" w:hAnsi="宋体"/>
                <w:bCs/>
                <w:color w:val="auto"/>
                <w:sz w:val="18"/>
                <w:szCs w:val="18"/>
              </w:rPr>
              <w:t>0.002</w:t>
            </w:r>
          </w:p>
        </w:tc>
      </w:tr>
      <w:tr w14:paraId="4AF87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5349" w:type="dxa"/>
            <w:gridSpan w:val="2"/>
          </w:tcPr>
          <w:p w14:paraId="3E6BCDA1">
            <w:pPr>
              <w:adjustRightInd w:val="0"/>
              <w:snapToGrid w:val="0"/>
              <w:spacing w:before="62" w:beforeLines="20" w:line="280" w:lineRule="exact"/>
              <w:rPr>
                <w:rFonts w:ascii="宋体" w:hAnsi="宋体"/>
                <w:bCs/>
                <w:color w:val="auto"/>
                <w:sz w:val="18"/>
                <w:szCs w:val="18"/>
              </w:rPr>
            </w:pPr>
            <w:r>
              <w:rPr>
                <w:rFonts w:ascii="宋体" w:hAnsi="宋体"/>
                <w:bCs/>
                <w:color w:val="auto"/>
                <w:sz w:val="18"/>
                <w:szCs w:val="18"/>
              </w:rPr>
              <w:t>高耸结构基础的沉降量（</w:t>
            </w:r>
            <w:r>
              <w:rPr>
                <w:rFonts w:ascii="宋体" w:hAnsi="宋体"/>
                <w:bCs/>
                <w:iCs/>
                <w:color w:val="auto"/>
                <w:sz w:val="18"/>
                <w:szCs w:val="18"/>
              </w:rPr>
              <w:t>mm</w:t>
            </w:r>
            <w:r>
              <w:rPr>
                <w:rFonts w:ascii="宋体" w:hAnsi="宋体"/>
                <w:bCs/>
                <w:color w:val="auto"/>
                <w:sz w:val="18"/>
                <w:szCs w:val="18"/>
              </w:rPr>
              <w:t xml:space="preserve">）      </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≤100</w:t>
            </w:r>
          </w:p>
          <w:p w14:paraId="70B89522">
            <w:pPr>
              <w:adjustRightInd w:val="0"/>
              <w:snapToGrid w:val="0"/>
              <w:spacing w:line="280" w:lineRule="exact"/>
              <w:rPr>
                <w:rFonts w:ascii="宋体" w:hAnsi="宋体"/>
                <w:bCs/>
                <w:color w:val="auto"/>
                <w:sz w:val="18"/>
                <w:szCs w:val="18"/>
              </w:rPr>
            </w:pPr>
            <w:r>
              <w:rPr>
                <w:rFonts w:ascii="宋体" w:hAnsi="宋体"/>
                <w:bCs/>
                <w:color w:val="auto"/>
                <w:sz w:val="18"/>
                <w:szCs w:val="18"/>
              </w:rPr>
              <w:t xml:space="preserve">                           100＜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≤200</w:t>
            </w:r>
          </w:p>
          <w:p w14:paraId="5EEA445C">
            <w:pPr>
              <w:adjustRightInd w:val="0"/>
              <w:snapToGrid w:val="0"/>
              <w:spacing w:line="280" w:lineRule="exact"/>
              <w:rPr>
                <w:rFonts w:ascii="宋体" w:hAnsi="宋体"/>
                <w:bCs/>
                <w:color w:val="auto"/>
                <w:sz w:val="18"/>
                <w:szCs w:val="18"/>
              </w:rPr>
            </w:pPr>
            <w:r>
              <w:rPr>
                <w:rFonts w:ascii="宋体" w:hAnsi="宋体"/>
                <w:bCs/>
                <w:color w:val="auto"/>
                <w:sz w:val="18"/>
                <w:szCs w:val="18"/>
              </w:rPr>
              <w:t xml:space="preserve">                           200＜</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rPr>
              <w:t>≤250</w:t>
            </w:r>
          </w:p>
        </w:tc>
        <w:tc>
          <w:tcPr>
            <w:tcW w:w="3802" w:type="dxa"/>
            <w:gridSpan w:val="2"/>
          </w:tcPr>
          <w:p w14:paraId="6DCAF24D">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400</w:t>
            </w:r>
          </w:p>
          <w:p w14:paraId="327B512A">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300</w:t>
            </w:r>
          </w:p>
          <w:p w14:paraId="5CB537F8">
            <w:pPr>
              <w:adjustRightInd w:val="0"/>
              <w:snapToGrid w:val="0"/>
              <w:spacing w:line="280" w:lineRule="exact"/>
              <w:jc w:val="center"/>
              <w:rPr>
                <w:rFonts w:ascii="宋体" w:hAnsi="宋体"/>
                <w:bCs/>
                <w:color w:val="auto"/>
                <w:sz w:val="18"/>
                <w:szCs w:val="18"/>
              </w:rPr>
            </w:pPr>
            <w:r>
              <w:rPr>
                <w:rFonts w:ascii="宋体" w:hAnsi="宋体"/>
                <w:bCs/>
                <w:color w:val="auto"/>
                <w:sz w:val="18"/>
                <w:szCs w:val="18"/>
              </w:rPr>
              <w:t>200</w:t>
            </w:r>
          </w:p>
        </w:tc>
      </w:tr>
      <w:tr w14:paraId="0A076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74" w:hRule="atLeast"/>
          <w:jc w:val="center"/>
        </w:trPr>
        <w:tc>
          <w:tcPr>
            <w:tcW w:w="9151" w:type="dxa"/>
            <w:gridSpan w:val="4"/>
          </w:tcPr>
          <w:p w14:paraId="08858ECE">
            <w:pPr>
              <w:adjustRightInd w:val="0"/>
              <w:snapToGrid w:val="0"/>
              <w:spacing w:before="62" w:beforeLines="20" w:line="240" w:lineRule="atLeast"/>
              <w:rPr>
                <w:rFonts w:ascii="宋体" w:hAnsi="宋体"/>
                <w:bCs/>
                <w:color w:val="auto"/>
                <w:sz w:val="18"/>
                <w:szCs w:val="18"/>
              </w:rPr>
            </w:pPr>
            <w:r>
              <w:rPr>
                <w:rFonts w:ascii="宋体" w:hAnsi="宋体"/>
                <w:bCs/>
                <w:color w:val="auto"/>
                <w:sz w:val="18"/>
                <w:szCs w:val="18"/>
              </w:rPr>
              <w:t>注1：本表数值为建筑物地基实际最终变形允许值；</w:t>
            </w:r>
          </w:p>
          <w:p w14:paraId="68B01C84">
            <w:pPr>
              <w:adjustRightInd w:val="0"/>
              <w:snapToGrid w:val="0"/>
              <w:spacing w:line="240" w:lineRule="atLeast"/>
              <w:rPr>
                <w:rFonts w:ascii="宋体" w:hAnsi="宋体"/>
                <w:bCs/>
                <w:color w:val="auto"/>
                <w:sz w:val="18"/>
                <w:szCs w:val="18"/>
              </w:rPr>
            </w:pPr>
            <w:r>
              <w:rPr>
                <w:rFonts w:ascii="宋体" w:hAnsi="宋体"/>
                <w:bCs/>
                <w:color w:val="auto"/>
                <w:sz w:val="18"/>
                <w:szCs w:val="18"/>
              </w:rPr>
              <w:t>注</w:t>
            </w:r>
            <w:r>
              <w:rPr>
                <w:rFonts w:hint="eastAsia" w:ascii="宋体" w:hAnsi="宋体"/>
                <w:bCs/>
                <w:color w:val="auto"/>
                <w:sz w:val="18"/>
                <w:szCs w:val="18"/>
              </w:rPr>
              <w:t>2</w:t>
            </w:r>
            <w:r>
              <w:rPr>
                <w:rFonts w:ascii="宋体" w:hAnsi="宋体"/>
                <w:bCs/>
                <w:color w:val="auto"/>
                <w:sz w:val="18"/>
                <w:szCs w:val="18"/>
              </w:rPr>
              <w:t>：</w:t>
            </w:r>
            <w:r>
              <w:rPr>
                <w:rFonts w:hint="eastAsia" w:ascii="宋体" w:hAnsi="宋体"/>
                <w:bCs/>
                <w:color w:val="auto"/>
                <w:sz w:val="18"/>
                <w:szCs w:val="18"/>
              </w:rPr>
              <w:t>有括号者仅适用于中压缩性土</w:t>
            </w:r>
            <w:r>
              <w:rPr>
                <w:rFonts w:ascii="宋体" w:hAnsi="宋体"/>
                <w:bCs/>
                <w:color w:val="auto"/>
                <w:sz w:val="18"/>
                <w:szCs w:val="18"/>
              </w:rPr>
              <w:t>；</w:t>
            </w:r>
          </w:p>
          <w:p w14:paraId="65E73E7A">
            <w:pPr>
              <w:adjustRightInd w:val="0"/>
              <w:snapToGrid w:val="0"/>
              <w:spacing w:line="220" w:lineRule="exact"/>
              <w:rPr>
                <w:rFonts w:ascii="宋体" w:hAnsi="宋体"/>
                <w:bCs/>
                <w:color w:val="auto"/>
                <w:sz w:val="18"/>
                <w:szCs w:val="18"/>
              </w:rPr>
            </w:pPr>
            <w:r>
              <w:rPr>
                <w:rFonts w:ascii="宋体" w:hAnsi="宋体"/>
                <w:bCs/>
                <w:color w:val="auto"/>
                <w:sz w:val="18"/>
                <w:szCs w:val="18"/>
              </w:rPr>
              <w:t>注</w:t>
            </w:r>
            <w:r>
              <w:rPr>
                <w:rFonts w:hint="eastAsia" w:ascii="宋体" w:hAnsi="宋体"/>
                <w:bCs/>
                <w:color w:val="auto"/>
                <w:sz w:val="18"/>
                <w:szCs w:val="18"/>
              </w:rPr>
              <w:t>3</w:t>
            </w:r>
            <w:r>
              <w:rPr>
                <w:rFonts w:ascii="宋体" w:hAnsi="宋体"/>
                <w:bCs/>
                <w:color w:val="auto"/>
                <w:sz w:val="18"/>
                <w:szCs w:val="18"/>
              </w:rPr>
              <w:t>：</w:t>
            </w:r>
            <w:r>
              <w:rPr>
                <w:rFonts w:ascii="宋体" w:hAnsi="宋体"/>
                <w:bCs/>
                <w:i/>
                <w:iCs/>
                <w:color w:val="auto"/>
                <w:sz w:val="18"/>
                <w:szCs w:val="18"/>
              </w:rPr>
              <w:t>l</w:t>
            </w:r>
            <w:r>
              <w:rPr>
                <w:rFonts w:ascii="宋体" w:hAnsi="宋体"/>
                <w:bCs/>
                <w:color w:val="auto"/>
                <w:sz w:val="18"/>
                <w:szCs w:val="18"/>
              </w:rPr>
              <w:t>为相邻柱基的中心距离（</w:t>
            </w:r>
            <w:r>
              <w:rPr>
                <w:rFonts w:ascii="宋体" w:hAnsi="宋体"/>
                <w:bCs/>
                <w:iCs/>
                <w:color w:val="auto"/>
                <w:sz w:val="18"/>
                <w:szCs w:val="18"/>
              </w:rPr>
              <w:t>mm</w:t>
            </w:r>
            <w:r>
              <w:rPr>
                <w:rFonts w:ascii="宋体" w:hAnsi="宋体"/>
                <w:bCs/>
                <w:color w:val="auto"/>
                <w:sz w:val="18"/>
                <w:szCs w:val="18"/>
              </w:rPr>
              <w:t>）</w:t>
            </w:r>
            <w:r>
              <w:rPr>
                <w:rFonts w:hint="eastAsia" w:ascii="宋体" w:hAnsi="宋体"/>
                <w:bCs/>
                <w:color w:val="auto"/>
                <w:sz w:val="18"/>
                <w:szCs w:val="18"/>
              </w:rPr>
              <w:t>；</w:t>
            </w:r>
            <w:r>
              <w:rPr>
                <w:rFonts w:ascii="宋体" w:hAnsi="宋体"/>
                <w:bCs/>
                <w:i/>
                <w:color w:val="auto"/>
                <w:sz w:val="18"/>
                <w:szCs w:val="18"/>
              </w:rPr>
              <w:t>H</w:t>
            </w:r>
            <w:r>
              <w:rPr>
                <w:rFonts w:ascii="宋体" w:hAnsi="宋体"/>
                <w:bCs/>
                <w:iCs/>
                <w:color w:val="auto"/>
                <w:sz w:val="18"/>
                <w:szCs w:val="18"/>
                <w:vertAlign w:val="subscript"/>
              </w:rPr>
              <w:t>g</w:t>
            </w:r>
            <w:r>
              <w:rPr>
                <w:rFonts w:ascii="宋体" w:hAnsi="宋体"/>
                <w:bCs/>
                <w:color w:val="auto"/>
                <w:sz w:val="18"/>
                <w:szCs w:val="18"/>
                <w:vertAlign w:val="subscript"/>
              </w:rPr>
              <w:t xml:space="preserve"> </w:t>
            </w:r>
            <w:r>
              <w:rPr>
                <w:rFonts w:ascii="宋体" w:hAnsi="宋体"/>
                <w:bCs/>
                <w:color w:val="auto"/>
                <w:sz w:val="18"/>
                <w:szCs w:val="18"/>
              </w:rPr>
              <w:t>为自室外地面起算的建筑物高度（</w:t>
            </w:r>
            <w:r>
              <w:rPr>
                <w:rFonts w:ascii="宋体" w:hAnsi="宋体"/>
                <w:bCs/>
                <w:iCs/>
                <w:color w:val="auto"/>
                <w:sz w:val="18"/>
                <w:szCs w:val="18"/>
              </w:rPr>
              <w:t>m</w:t>
            </w:r>
            <w:r>
              <w:rPr>
                <w:rFonts w:ascii="宋体" w:hAnsi="宋体"/>
                <w:bCs/>
                <w:color w:val="auto"/>
                <w:sz w:val="18"/>
                <w:szCs w:val="18"/>
              </w:rPr>
              <w:t>）；</w:t>
            </w:r>
          </w:p>
          <w:p w14:paraId="4F17939E">
            <w:pPr>
              <w:adjustRightInd w:val="0"/>
              <w:snapToGrid w:val="0"/>
              <w:rPr>
                <w:rFonts w:ascii="宋体" w:hAnsi="宋体"/>
                <w:bCs/>
                <w:color w:val="auto"/>
                <w:sz w:val="18"/>
                <w:szCs w:val="18"/>
              </w:rPr>
            </w:pPr>
            <w:r>
              <w:rPr>
                <w:rFonts w:ascii="宋体" w:hAnsi="宋体"/>
                <w:bCs/>
                <w:color w:val="auto"/>
                <w:sz w:val="18"/>
                <w:szCs w:val="18"/>
              </w:rPr>
              <w:t>注</w:t>
            </w:r>
            <w:r>
              <w:rPr>
                <w:rFonts w:hint="eastAsia" w:ascii="宋体" w:hAnsi="宋体"/>
                <w:bCs/>
                <w:color w:val="auto"/>
                <w:sz w:val="18"/>
                <w:szCs w:val="18"/>
              </w:rPr>
              <w:t>4</w:t>
            </w:r>
            <w:r>
              <w:rPr>
                <w:rFonts w:ascii="宋体" w:hAnsi="宋体"/>
                <w:bCs/>
                <w:color w:val="auto"/>
                <w:sz w:val="18"/>
                <w:szCs w:val="18"/>
              </w:rPr>
              <w:t>：倾斜指基础倾斜方向两端点的沉降差与其距离的比值；</w:t>
            </w:r>
          </w:p>
          <w:p w14:paraId="153ED42E">
            <w:pPr>
              <w:adjustRightInd w:val="0"/>
              <w:snapToGrid w:val="0"/>
              <w:ind w:left="475" w:hanging="475" w:hangingChars="264"/>
              <w:rPr>
                <w:rFonts w:ascii="宋体" w:hAnsi="宋体"/>
                <w:bCs/>
                <w:color w:val="auto"/>
                <w:sz w:val="18"/>
                <w:szCs w:val="18"/>
              </w:rPr>
            </w:pPr>
            <w:r>
              <w:rPr>
                <w:rFonts w:ascii="宋体" w:hAnsi="宋体"/>
                <w:bCs/>
                <w:color w:val="auto"/>
                <w:sz w:val="18"/>
                <w:szCs w:val="18"/>
              </w:rPr>
              <w:t>注</w:t>
            </w:r>
            <w:r>
              <w:rPr>
                <w:rFonts w:hint="eastAsia" w:ascii="宋体" w:hAnsi="宋体"/>
                <w:bCs/>
                <w:color w:val="auto"/>
                <w:sz w:val="18"/>
                <w:szCs w:val="18"/>
              </w:rPr>
              <w:t>5</w:t>
            </w:r>
            <w:r>
              <w:rPr>
                <w:rFonts w:ascii="宋体" w:hAnsi="宋体"/>
                <w:bCs/>
                <w:color w:val="auto"/>
                <w:sz w:val="18"/>
                <w:szCs w:val="18"/>
              </w:rPr>
              <w:t>：</w:t>
            </w:r>
            <w:r>
              <w:rPr>
                <w:rFonts w:hint="eastAsia" w:ascii="宋体" w:hAnsi="宋体"/>
                <w:bCs/>
                <w:color w:val="auto"/>
                <w:sz w:val="18"/>
                <w:szCs w:val="18"/>
              </w:rPr>
              <w:t>局部倾斜指砌体承重结构沿纵向6m～10m内基础两点的沉降差与其距离的比值</w:t>
            </w:r>
            <w:r>
              <w:rPr>
                <w:rFonts w:ascii="宋体" w:hAnsi="宋体"/>
                <w:bCs/>
                <w:color w:val="auto"/>
                <w:sz w:val="18"/>
                <w:szCs w:val="18"/>
              </w:rPr>
              <w:t>：</w:t>
            </w:r>
          </w:p>
        </w:tc>
      </w:tr>
    </w:tbl>
    <w:p w14:paraId="03816087">
      <w:pPr>
        <w:adjustRightInd w:val="0"/>
        <w:snapToGrid w:val="0"/>
        <w:spacing w:before="240" w:line="340" w:lineRule="atLeast"/>
        <w:rPr>
          <w:rFonts w:hAnsi="宋体"/>
          <w:color w:val="auto"/>
          <w:szCs w:val="21"/>
        </w:rPr>
      </w:pPr>
      <w:r>
        <w:rPr>
          <w:rFonts w:eastAsia="黑体"/>
          <w:b/>
          <w:bCs/>
          <w:color w:val="auto"/>
          <w:szCs w:val="21"/>
        </w:rPr>
        <w:t>5.5</w:t>
      </w:r>
      <w:r>
        <w:rPr>
          <w:rFonts w:eastAsia="黑体"/>
          <w:bCs/>
          <w:color w:val="auto"/>
          <w:szCs w:val="21"/>
        </w:rPr>
        <w:t xml:space="preserve">  </w:t>
      </w:r>
      <w:r>
        <w:rPr>
          <w:rFonts w:hAnsi="宋体"/>
          <w:color w:val="auto"/>
          <w:szCs w:val="21"/>
        </w:rPr>
        <w:t>表</w:t>
      </w:r>
      <w:r>
        <w:rPr>
          <w:color w:val="auto"/>
          <w:szCs w:val="21"/>
        </w:rPr>
        <w:t>3</w:t>
      </w:r>
      <w:r>
        <w:rPr>
          <w:rFonts w:hAnsi="宋体"/>
          <w:color w:val="auto"/>
          <w:szCs w:val="21"/>
        </w:rPr>
        <w:t>所列范围内设计等级为丙级的建筑物可不作变形验算。</w:t>
      </w:r>
    </w:p>
    <w:p w14:paraId="23D04ADC">
      <w:pPr>
        <w:widowControl/>
        <w:jc w:val="left"/>
        <w:rPr>
          <w:rFonts w:hAnsi="宋体"/>
          <w:color w:val="auto"/>
          <w:szCs w:val="21"/>
        </w:rPr>
      </w:pPr>
      <w:r>
        <w:rPr>
          <w:rFonts w:hAnsi="宋体"/>
          <w:color w:val="auto"/>
          <w:szCs w:val="21"/>
        </w:rPr>
        <w:br w:type="page"/>
      </w:r>
    </w:p>
    <w:p w14:paraId="230B8D9E">
      <w:pPr>
        <w:widowControl/>
        <w:jc w:val="left"/>
        <w:rPr>
          <w:rFonts w:hAnsi="宋体"/>
          <w:color w:val="auto"/>
          <w:szCs w:val="21"/>
        </w:rPr>
      </w:pPr>
    </w:p>
    <w:p w14:paraId="1DD04A72">
      <w:pPr>
        <w:adjustRightInd w:val="0"/>
        <w:snapToGrid w:val="0"/>
        <w:spacing w:before="120" w:line="360" w:lineRule="exact"/>
        <w:jc w:val="center"/>
        <w:rPr>
          <w:rFonts w:eastAsia="黑体"/>
          <w:b/>
          <w:color w:val="auto"/>
          <w:szCs w:val="21"/>
        </w:rPr>
      </w:pPr>
      <w:r>
        <w:rPr>
          <w:rFonts w:eastAsia="黑体"/>
          <w:b/>
          <w:color w:val="auto"/>
          <w:szCs w:val="21"/>
        </w:rPr>
        <w:t>表3   天然地基可不作地基变形计算的丙级建筑物范围</w:t>
      </w:r>
    </w:p>
    <w:tbl>
      <w:tblPr>
        <w:tblStyle w:val="36"/>
        <w:tblW w:w="913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94"/>
        <w:gridCol w:w="681"/>
        <w:gridCol w:w="336"/>
        <w:gridCol w:w="1064"/>
        <w:gridCol w:w="1162"/>
        <w:gridCol w:w="1260"/>
        <w:gridCol w:w="1106"/>
        <w:gridCol w:w="139"/>
        <w:gridCol w:w="1288"/>
        <w:gridCol w:w="1303"/>
      </w:tblGrid>
      <w:tr w14:paraId="14839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6" w:hRule="atLeast"/>
          <w:jc w:val="center"/>
        </w:trPr>
        <w:tc>
          <w:tcPr>
            <w:tcW w:w="794" w:type="dxa"/>
            <w:vMerge w:val="restart"/>
            <w:vAlign w:val="center"/>
          </w:tcPr>
          <w:p w14:paraId="10A219BD">
            <w:pPr>
              <w:adjustRightInd w:val="0"/>
              <w:snapToGrid w:val="0"/>
              <w:ind w:left="22" w:leftChars="-51" w:right="-107" w:rightChars="-51" w:hanging="129" w:hangingChars="72"/>
              <w:jc w:val="center"/>
              <w:rPr>
                <w:color w:val="auto"/>
                <w:sz w:val="18"/>
                <w:szCs w:val="18"/>
              </w:rPr>
            </w:pPr>
            <w:r>
              <w:rPr>
                <w:color w:val="auto"/>
                <w:sz w:val="18"/>
                <w:szCs w:val="18"/>
              </w:rPr>
              <w:t>地基主</w:t>
            </w:r>
          </w:p>
          <w:p w14:paraId="0313754F">
            <w:pPr>
              <w:adjustRightInd w:val="0"/>
              <w:snapToGrid w:val="0"/>
              <w:ind w:left="22" w:leftChars="-51" w:right="-107" w:rightChars="-51" w:hanging="129" w:hangingChars="72"/>
              <w:jc w:val="center"/>
              <w:rPr>
                <w:color w:val="auto"/>
                <w:sz w:val="18"/>
                <w:szCs w:val="18"/>
              </w:rPr>
            </w:pPr>
            <w:r>
              <w:rPr>
                <w:color w:val="auto"/>
                <w:sz w:val="18"/>
                <w:szCs w:val="18"/>
              </w:rPr>
              <w:t>要受力</w:t>
            </w:r>
          </w:p>
          <w:p w14:paraId="4897F83C">
            <w:pPr>
              <w:adjustRightInd w:val="0"/>
              <w:snapToGrid w:val="0"/>
              <w:ind w:left="22" w:leftChars="-51" w:right="-107" w:rightChars="-51" w:hanging="129" w:hangingChars="72"/>
              <w:jc w:val="center"/>
              <w:rPr>
                <w:color w:val="auto"/>
                <w:sz w:val="18"/>
                <w:szCs w:val="18"/>
              </w:rPr>
            </w:pPr>
            <w:r>
              <w:rPr>
                <w:color w:val="auto"/>
                <w:sz w:val="18"/>
                <w:szCs w:val="18"/>
              </w:rPr>
              <w:t>层情况</w:t>
            </w:r>
          </w:p>
        </w:tc>
        <w:tc>
          <w:tcPr>
            <w:tcW w:w="2081" w:type="dxa"/>
            <w:gridSpan w:val="3"/>
            <w:vAlign w:val="center"/>
          </w:tcPr>
          <w:p w14:paraId="7DA250AC">
            <w:pPr>
              <w:adjustRightInd w:val="0"/>
              <w:snapToGrid w:val="0"/>
              <w:jc w:val="center"/>
              <w:rPr>
                <w:color w:val="auto"/>
                <w:sz w:val="18"/>
                <w:szCs w:val="18"/>
              </w:rPr>
            </w:pPr>
            <w:r>
              <w:rPr>
                <w:color w:val="auto"/>
                <w:sz w:val="18"/>
                <w:szCs w:val="18"/>
              </w:rPr>
              <w:t>地基承载力</w:t>
            </w:r>
          </w:p>
          <w:p w14:paraId="7B8332A6">
            <w:pPr>
              <w:adjustRightInd w:val="0"/>
              <w:snapToGrid w:val="0"/>
              <w:jc w:val="center"/>
              <w:rPr>
                <w:color w:val="auto"/>
                <w:sz w:val="18"/>
                <w:szCs w:val="18"/>
              </w:rPr>
            </w:pPr>
            <w:r>
              <w:rPr>
                <w:color w:val="auto"/>
                <w:sz w:val="18"/>
                <w:szCs w:val="18"/>
              </w:rPr>
              <w:t>特征值</w:t>
            </w:r>
            <w:r>
              <w:rPr>
                <w:i/>
                <w:iCs/>
                <w:color w:val="auto"/>
                <w:sz w:val="18"/>
                <w:szCs w:val="18"/>
              </w:rPr>
              <w:t>f</w:t>
            </w:r>
            <w:r>
              <w:rPr>
                <w:color w:val="auto"/>
                <w:sz w:val="18"/>
                <w:szCs w:val="18"/>
                <w:vertAlign w:val="subscript"/>
              </w:rPr>
              <w:t>ak</w:t>
            </w:r>
            <w:r>
              <w:rPr>
                <w:color w:val="auto"/>
                <w:sz w:val="18"/>
                <w:szCs w:val="18"/>
              </w:rPr>
              <w:t>（</w:t>
            </w:r>
            <w:r>
              <w:rPr>
                <w:iCs/>
                <w:color w:val="auto"/>
                <w:sz w:val="18"/>
                <w:szCs w:val="18"/>
              </w:rPr>
              <w:t>kPa</w:t>
            </w:r>
            <w:r>
              <w:rPr>
                <w:color w:val="auto"/>
                <w:sz w:val="18"/>
                <w:szCs w:val="18"/>
              </w:rPr>
              <w:t>）</w:t>
            </w:r>
          </w:p>
        </w:tc>
        <w:tc>
          <w:tcPr>
            <w:tcW w:w="1162" w:type="dxa"/>
            <w:vAlign w:val="center"/>
          </w:tcPr>
          <w:p w14:paraId="37B164B8">
            <w:pPr>
              <w:adjustRightInd w:val="0"/>
              <w:snapToGrid w:val="0"/>
              <w:jc w:val="center"/>
              <w:rPr>
                <w:color w:val="auto"/>
                <w:sz w:val="18"/>
                <w:szCs w:val="18"/>
              </w:rPr>
            </w:pPr>
            <w:r>
              <w:rPr>
                <w:color w:val="auto"/>
                <w:sz w:val="18"/>
                <w:szCs w:val="18"/>
              </w:rPr>
              <w:t>80≤</w:t>
            </w:r>
            <w:r>
              <w:rPr>
                <w:i/>
                <w:iCs/>
                <w:color w:val="auto"/>
                <w:sz w:val="18"/>
                <w:szCs w:val="18"/>
              </w:rPr>
              <w:t>f</w:t>
            </w:r>
            <w:r>
              <w:rPr>
                <w:color w:val="auto"/>
                <w:sz w:val="18"/>
                <w:szCs w:val="18"/>
                <w:vertAlign w:val="subscript"/>
              </w:rPr>
              <w:t>ak</w:t>
            </w:r>
            <w:r>
              <w:rPr>
                <w:color w:val="auto"/>
                <w:sz w:val="18"/>
                <w:szCs w:val="18"/>
              </w:rPr>
              <w:t>＜100</w:t>
            </w:r>
          </w:p>
        </w:tc>
        <w:tc>
          <w:tcPr>
            <w:tcW w:w="1260" w:type="dxa"/>
            <w:vAlign w:val="center"/>
          </w:tcPr>
          <w:p w14:paraId="422C9EBF">
            <w:pPr>
              <w:adjustRightInd w:val="0"/>
              <w:snapToGrid w:val="0"/>
              <w:jc w:val="center"/>
              <w:rPr>
                <w:color w:val="auto"/>
                <w:sz w:val="18"/>
                <w:szCs w:val="18"/>
              </w:rPr>
            </w:pPr>
            <w:r>
              <w:rPr>
                <w:color w:val="auto"/>
                <w:sz w:val="18"/>
                <w:szCs w:val="18"/>
              </w:rPr>
              <w:t>100≤</w:t>
            </w:r>
            <w:r>
              <w:rPr>
                <w:i/>
                <w:iCs/>
                <w:color w:val="auto"/>
                <w:sz w:val="18"/>
                <w:szCs w:val="18"/>
              </w:rPr>
              <w:t>f</w:t>
            </w:r>
            <w:r>
              <w:rPr>
                <w:color w:val="auto"/>
                <w:sz w:val="18"/>
                <w:szCs w:val="18"/>
                <w:vertAlign w:val="subscript"/>
              </w:rPr>
              <w:t>ak</w:t>
            </w:r>
            <w:r>
              <w:rPr>
                <w:color w:val="auto"/>
                <w:sz w:val="18"/>
                <w:szCs w:val="18"/>
              </w:rPr>
              <w:t>＜130</w:t>
            </w:r>
          </w:p>
        </w:tc>
        <w:tc>
          <w:tcPr>
            <w:tcW w:w="1245" w:type="dxa"/>
            <w:gridSpan w:val="2"/>
            <w:vAlign w:val="center"/>
          </w:tcPr>
          <w:p w14:paraId="2410DA29">
            <w:pPr>
              <w:adjustRightInd w:val="0"/>
              <w:snapToGrid w:val="0"/>
              <w:jc w:val="center"/>
              <w:rPr>
                <w:color w:val="auto"/>
                <w:sz w:val="18"/>
                <w:szCs w:val="18"/>
              </w:rPr>
            </w:pPr>
            <w:r>
              <w:rPr>
                <w:color w:val="auto"/>
                <w:sz w:val="18"/>
                <w:szCs w:val="18"/>
              </w:rPr>
              <w:t>130≤</w:t>
            </w:r>
            <w:r>
              <w:rPr>
                <w:i/>
                <w:iCs/>
                <w:color w:val="auto"/>
                <w:sz w:val="18"/>
                <w:szCs w:val="18"/>
              </w:rPr>
              <w:t>f</w:t>
            </w:r>
            <w:r>
              <w:rPr>
                <w:color w:val="auto"/>
                <w:sz w:val="18"/>
                <w:szCs w:val="18"/>
                <w:vertAlign w:val="subscript"/>
              </w:rPr>
              <w:t>ak</w:t>
            </w:r>
            <w:r>
              <w:rPr>
                <w:color w:val="auto"/>
                <w:sz w:val="18"/>
                <w:szCs w:val="18"/>
              </w:rPr>
              <w:t>＜160</w:t>
            </w:r>
          </w:p>
        </w:tc>
        <w:tc>
          <w:tcPr>
            <w:tcW w:w="1288" w:type="dxa"/>
            <w:vAlign w:val="center"/>
          </w:tcPr>
          <w:p w14:paraId="66694B01">
            <w:pPr>
              <w:adjustRightInd w:val="0"/>
              <w:snapToGrid w:val="0"/>
              <w:jc w:val="center"/>
              <w:rPr>
                <w:color w:val="auto"/>
                <w:sz w:val="18"/>
                <w:szCs w:val="18"/>
              </w:rPr>
            </w:pPr>
            <w:r>
              <w:rPr>
                <w:color w:val="auto"/>
                <w:sz w:val="18"/>
                <w:szCs w:val="18"/>
              </w:rPr>
              <w:t>160≤</w:t>
            </w:r>
            <w:r>
              <w:rPr>
                <w:i/>
                <w:iCs/>
                <w:color w:val="auto"/>
                <w:sz w:val="18"/>
                <w:szCs w:val="18"/>
              </w:rPr>
              <w:t>f</w:t>
            </w:r>
            <w:r>
              <w:rPr>
                <w:color w:val="auto"/>
                <w:sz w:val="18"/>
                <w:szCs w:val="18"/>
                <w:vertAlign w:val="subscript"/>
              </w:rPr>
              <w:t>ak</w:t>
            </w:r>
            <w:r>
              <w:rPr>
                <w:color w:val="auto"/>
                <w:sz w:val="18"/>
                <w:szCs w:val="18"/>
              </w:rPr>
              <w:t>＜200</w:t>
            </w:r>
          </w:p>
        </w:tc>
        <w:tc>
          <w:tcPr>
            <w:tcW w:w="1303" w:type="dxa"/>
            <w:vAlign w:val="center"/>
          </w:tcPr>
          <w:p w14:paraId="26325533">
            <w:pPr>
              <w:adjustRightInd w:val="0"/>
              <w:snapToGrid w:val="0"/>
              <w:jc w:val="center"/>
              <w:rPr>
                <w:color w:val="auto"/>
                <w:sz w:val="18"/>
                <w:szCs w:val="18"/>
              </w:rPr>
            </w:pPr>
            <w:r>
              <w:rPr>
                <w:color w:val="auto"/>
                <w:sz w:val="18"/>
                <w:szCs w:val="18"/>
              </w:rPr>
              <w:t>200≤</w:t>
            </w:r>
            <w:r>
              <w:rPr>
                <w:i/>
                <w:iCs/>
                <w:color w:val="auto"/>
                <w:sz w:val="18"/>
                <w:szCs w:val="18"/>
              </w:rPr>
              <w:t>f</w:t>
            </w:r>
            <w:r>
              <w:rPr>
                <w:color w:val="auto"/>
                <w:sz w:val="18"/>
                <w:szCs w:val="18"/>
                <w:vertAlign w:val="subscript"/>
              </w:rPr>
              <w:t>ak</w:t>
            </w:r>
            <w:r>
              <w:rPr>
                <w:color w:val="auto"/>
                <w:sz w:val="18"/>
                <w:szCs w:val="18"/>
              </w:rPr>
              <w:t>＜300</w:t>
            </w:r>
          </w:p>
        </w:tc>
      </w:tr>
      <w:tr w14:paraId="2FB75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89" w:hRule="atLeast"/>
          <w:jc w:val="center"/>
        </w:trPr>
        <w:tc>
          <w:tcPr>
            <w:tcW w:w="794" w:type="dxa"/>
            <w:vMerge w:val="continue"/>
          </w:tcPr>
          <w:p w14:paraId="51A9E68D">
            <w:pPr>
              <w:adjustRightInd w:val="0"/>
              <w:snapToGrid w:val="0"/>
              <w:spacing w:line="400" w:lineRule="exact"/>
              <w:rPr>
                <w:color w:val="auto"/>
                <w:sz w:val="18"/>
                <w:szCs w:val="18"/>
              </w:rPr>
            </w:pPr>
          </w:p>
        </w:tc>
        <w:tc>
          <w:tcPr>
            <w:tcW w:w="2081" w:type="dxa"/>
            <w:gridSpan w:val="3"/>
          </w:tcPr>
          <w:p w14:paraId="36FC2BC5">
            <w:pPr>
              <w:adjustRightInd w:val="0"/>
              <w:snapToGrid w:val="0"/>
              <w:spacing w:line="280" w:lineRule="exact"/>
              <w:rPr>
                <w:color w:val="auto"/>
                <w:sz w:val="18"/>
                <w:szCs w:val="18"/>
              </w:rPr>
            </w:pPr>
            <w:r>
              <w:rPr>
                <w:color w:val="auto"/>
                <w:sz w:val="18"/>
                <w:szCs w:val="18"/>
              </w:rPr>
              <w:t>各土层坡度（%）</w:t>
            </w:r>
          </w:p>
        </w:tc>
        <w:tc>
          <w:tcPr>
            <w:tcW w:w="1162" w:type="dxa"/>
            <w:vAlign w:val="center"/>
          </w:tcPr>
          <w:p w14:paraId="2F42DAD8">
            <w:pPr>
              <w:adjustRightInd w:val="0"/>
              <w:snapToGrid w:val="0"/>
              <w:spacing w:line="280" w:lineRule="exact"/>
              <w:jc w:val="center"/>
              <w:rPr>
                <w:color w:val="auto"/>
                <w:sz w:val="18"/>
                <w:szCs w:val="18"/>
              </w:rPr>
            </w:pPr>
            <w:r>
              <w:rPr>
                <w:color w:val="auto"/>
                <w:sz w:val="18"/>
                <w:szCs w:val="18"/>
              </w:rPr>
              <w:t>≤5</w:t>
            </w:r>
          </w:p>
        </w:tc>
        <w:tc>
          <w:tcPr>
            <w:tcW w:w="1260" w:type="dxa"/>
            <w:vAlign w:val="center"/>
          </w:tcPr>
          <w:p w14:paraId="2E33A75C">
            <w:pPr>
              <w:adjustRightInd w:val="0"/>
              <w:snapToGrid w:val="0"/>
              <w:spacing w:line="280" w:lineRule="exact"/>
              <w:jc w:val="center"/>
              <w:rPr>
                <w:color w:val="auto"/>
                <w:sz w:val="18"/>
                <w:szCs w:val="18"/>
              </w:rPr>
            </w:pPr>
            <w:r>
              <w:rPr>
                <w:color w:val="auto"/>
                <w:sz w:val="18"/>
                <w:szCs w:val="18"/>
              </w:rPr>
              <w:t>≤10</w:t>
            </w:r>
          </w:p>
        </w:tc>
        <w:tc>
          <w:tcPr>
            <w:tcW w:w="1245" w:type="dxa"/>
            <w:gridSpan w:val="2"/>
            <w:vAlign w:val="center"/>
          </w:tcPr>
          <w:p w14:paraId="5EC652B4">
            <w:pPr>
              <w:adjustRightInd w:val="0"/>
              <w:snapToGrid w:val="0"/>
              <w:spacing w:line="280" w:lineRule="exact"/>
              <w:jc w:val="center"/>
              <w:rPr>
                <w:color w:val="auto"/>
                <w:sz w:val="18"/>
                <w:szCs w:val="18"/>
              </w:rPr>
            </w:pPr>
            <w:r>
              <w:rPr>
                <w:color w:val="auto"/>
                <w:sz w:val="18"/>
                <w:szCs w:val="18"/>
              </w:rPr>
              <w:t>≤10</w:t>
            </w:r>
          </w:p>
        </w:tc>
        <w:tc>
          <w:tcPr>
            <w:tcW w:w="1288" w:type="dxa"/>
            <w:vAlign w:val="center"/>
          </w:tcPr>
          <w:p w14:paraId="2E40A1F4">
            <w:pPr>
              <w:adjustRightInd w:val="0"/>
              <w:snapToGrid w:val="0"/>
              <w:spacing w:line="280" w:lineRule="exact"/>
              <w:jc w:val="center"/>
              <w:rPr>
                <w:color w:val="auto"/>
                <w:sz w:val="18"/>
                <w:szCs w:val="18"/>
              </w:rPr>
            </w:pPr>
            <w:r>
              <w:rPr>
                <w:color w:val="auto"/>
                <w:sz w:val="18"/>
                <w:szCs w:val="18"/>
              </w:rPr>
              <w:t>≤10</w:t>
            </w:r>
          </w:p>
        </w:tc>
        <w:tc>
          <w:tcPr>
            <w:tcW w:w="1303" w:type="dxa"/>
            <w:vAlign w:val="center"/>
          </w:tcPr>
          <w:p w14:paraId="177F0871">
            <w:pPr>
              <w:adjustRightInd w:val="0"/>
              <w:snapToGrid w:val="0"/>
              <w:spacing w:line="280" w:lineRule="exact"/>
              <w:jc w:val="center"/>
              <w:rPr>
                <w:color w:val="auto"/>
                <w:sz w:val="18"/>
                <w:szCs w:val="18"/>
              </w:rPr>
            </w:pPr>
            <w:r>
              <w:rPr>
                <w:color w:val="auto"/>
                <w:sz w:val="18"/>
                <w:szCs w:val="18"/>
              </w:rPr>
              <w:t>≤10</w:t>
            </w:r>
          </w:p>
        </w:tc>
      </w:tr>
      <w:tr w14:paraId="7D3CA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794" w:type="dxa"/>
            <w:vMerge w:val="restart"/>
            <w:vAlign w:val="center"/>
          </w:tcPr>
          <w:p w14:paraId="243819D1">
            <w:pPr>
              <w:adjustRightInd w:val="0"/>
              <w:snapToGrid w:val="0"/>
              <w:spacing w:line="440" w:lineRule="exact"/>
              <w:jc w:val="center"/>
              <w:rPr>
                <w:color w:val="auto"/>
                <w:sz w:val="18"/>
                <w:szCs w:val="18"/>
              </w:rPr>
            </w:pPr>
            <w:r>
              <w:rPr>
                <w:color w:val="auto"/>
                <w:sz w:val="18"/>
                <w:szCs w:val="18"/>
              </w:rPr>
              <w:t>建</w:t>
            </w:r>
          </w:p>
          <w:p w14:paraId="262CC37A">
            <w:pPr>
              <w:adjustRightInd w:val="0"/>
              <w:snapToGrid w:val="0"/>
              <w:spacing w:line="440" w:lineRule="exact"/>
              <w:jc w:val="center"/>
              <w:rPr>
                <w:color w:val="auto"/>
                <w:sz w:val="18"/>
                <w:szCs w:val="18"/>
              </w:rPr>
            </w:pPr>
            <w:r>
              <w:rPr>
                <w:color w:val="auto"/>
                <w:sz w:val="18"/>
                <w:szCs w:val="18"/>
              </w:rPr>
              <w:t>筑</w:t>
            </w:r>
          </w:p>
          <w:p w14:paraId="53727FF4">
            <w:pPr>
              <w:adjustRightInd w:val="0"/>
              <w:snapToGrid w:val="0"/>
              <w:spacing w:line="440" w:lineRule="exact"/>
              <w:jc w:val="center"/>
              <w:rPr>
                <w:color w:val="auto"/>
                <w:sz w:val="18"/>
                <w:szCs w:val="18"/>
              </w:rPr>
            </w:pPr>
            <w:r>
              <w:rPr>
                <w:color w:val="auto"/>
                <w:sz w:val="18"/>
                <w:szCs w:val="18"/>
              </w:rPr>
              <w:t>类</w:t>
            </w:r>
          </w:p>
          <w:p w14:paraId="0C42C78F">
            <w:pPr>
              <w:adjustRightInd w:val="0"/>
              <w:snapToGrid w:val="0"/>
              <w:spacing w:line="440" w:lineRule="exact"/>
              <w:jc w:val="center"/>
              <w:rPr>
                <w:color w:val="auto"/>
                <w:sz w:val="18"/>
                <w:szCs w:val="18"/>
              </w:rPr>
            </w:pPr>
            <w:r>
              <w:rPr>
                <w:color w:val="auto"/>
                <w:sz w:val="18"/>
                <w:szCs w:val="18"/>
              </w:rPr>
              <w:t>型</w:t>
            </w:r>
          </w:p>
        </w:tc>
        <w:tc>
          <w:tcPr>
            <w:tcW w:w="2081" w:type="dxa"/>
            <w:gridSpan w:val="3"/>
          </w:tcPr>
          <w:p w14:paraId="74AACE47">
            <w:pPr>
              <w:adjustRightInd w:val="0"/>
              <w:snapToGrid w:val="0"/>
              <w:rPr>
                <w:color w:val="auto"/>
                <w:sz w:val="18"/>
                <w:szCs w:val="18"/>
              </w:rPr>
            </w:pPr>
            <w:r>
              <w:rPr>
                <w:color w:val="auto"/>
                <w:sz w:val="18"/>
                <w:szCs w:val="18"/>
              </w:rPr>
              <w:t>砌体承重结构、框架结构（层数）</w:t>
            </w:r>
          </w:p>
        </w:tc>
        <w:tc>
          <w:tcPr>
            <w:tcW w:w="1162" w:type="dxa"/>
            <w:vAlign w:val="center"/>
          </w:tcPr>
          <w:p w14:paraId="210FF305">
            <w:pPr>
              <w:adjustRightInd w:val="0"/>
              <w:snapToGrid w:val="0"/>
              <w:spacing w:line="300" w:lineRule="atLeast"/>
              <w:jc w:val="center"/>
              <w:rPr>
                <w:color w:val="auto"/>
                <w:sz w:val="18"/>
                <w:szCs w:val="18"/>
              </w:rPr>
            </w:pPr>
            <w:r>
              <w:rPr>
                <w:color w:val="auto"/>
                <w:sz w:val="18"/>
                <w:szCs w:val="18"/>
              </w:rPr>
              <w:t>≤3</w:t>
            </w:r>
          </w:p>
        </w:tc>
        <w:tc>
          <w:tcPr>
            <w:tcW w:w="1260" w:type="dxa"/>
            <w:vAlign w:val="center"/>
          </w:tcPr>
          <w:p w14:paraId="41F8C2D3">
            <w:pPr>
              <w:adjustRightInd w:val="0"/>
              <w:snapToGrid w:val="0"/>
              <w:spacing w:line="300" w:lineRule="atLeast"/>
              <w:jc w:val="center"/>
              <w:rPr>
                <w:color w:val="auto"/>
                <w:sz w:val="18"/>
                <w:szCs w:val="18"/>
              </w:rPr>
            </w:pPr>
            <w:r>
              <w:rPr>
                <w:color w:val="auto"/>
                <w:sz w:val="18"/>
                <w:szCs w:val="18"/>
              </w:rPr>
              <w:t>≤4</w:t>
            </w:r>
          </w:p>
        </w:tc>
        <w:tc>
          <w:tcPr>
            <w:tcW w:w="1245" w:type="dxa"/>
            <w:gridSpan w:val="2"/>
            <w:vAlign w:val="center"/>
          </w:tcPr>
          <w:p w14:paraId="4624E355">
            <w:pPr>
              <w:adjustRightInd w:val="0"/>
              <w:snapToGrid w:val="0"/>
              <w:spacing w:line="300" w:lineRule="atLeast"/>
              <w:jc w:val="center"/>
              <w:rPr>
                <w:color w:val="auto"/>
                <w:sz w:val="18"/>
                <w:szCs w:val="18"/>
              </w:rPr>
            </w:pPr>
            <w:r>
              <w:rPr>
                <w:color w:val="auto"/>
                <w:sz w:val="18"/>
                <w:szCs w:val="18"/>
              </w:rPr>
              <w:t>≤5</w:t>
            </w:r>
          </w:p>
        </w:tc>
        <w:tc>
          <w:tcPr>
            <w:tcW w:w="1288" w:type="dxa"/>
            <w:vAlign w:val="center"/>
          </w:tcPr>
          <w:p w14:paraId="6C2B85FA">
            <w:pPr>
              <w:adjustRightInd w:val="0"/>
              <w:snapToGrid w:val="0"/>
              <w:spacing w:line="300" w:lineRule="atLeast"/>
              <w:jc w:val="center"/>
              <w:rPr>
                <w:color w:val="auto"/>
                <w:sz w:val="18"/>
                <w:szCs w:val="18"/>
              </w:rPr>
            </w:pPr>
            <w:r>
              <w:rPr>
                <w:color w:val="auto"/>
                <w:sz w:val="18"/>
                <w:szCs w:val="18"/>
              </w:rPr>
              <w:t>≤6</w:t>
            </w:r>
          </w:p>
        </w:tc>
        <w:tc>
          <w:tcPr>
            <w:tcW w:w="1303" w:type="dxa"/>
            <w:vAlign w:val="center"/>
          </w:tcPr>
          <w:p w14:paraId="2EAA7123">
            <w:pPr>
              <w:adjustRightInd w:val="0"/>
              <w:snapToGrid w:val="0"/>
              <w:spacing w:line="300" w:lineRule="atLeast"/>
              <w:jc w:val="center"/>
              <w:rPr>
                <w:color w:val="auto"/>
                <w:sz w:val="18"/>
                <w:szCs w:val="18"/>
              </w:rPr>
            </w:pPr>
            <w:r>
              <w:rPr>
                <w:color w:val="auto"/>
                <w:sz w:val="18"/>
                <w:szCs w:val="18"/>
              </w:rPr>
              <w:t>≤7</w:t>
            </w:r>
          </w:p>
        </w:tc>
      </w:tr>
      <w:tr w14:paraId="070EA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794" w:type="dxa"/>
            <w:vMerge w:val="continue"/>
          </w:tcPr>
          <w:p w14:paraId="77E59057">
            <w:pPr>
              <w:adjustRightInd w:val="0"/>
              <w:snapToGrid w:val="0"/>
              <w:spacing w:line="440" w:lineRule="exact"/>
              <w:rPr>
                <w:color w:val="auto"/>
                <w:sz w:val="18"/>
                <w:szCs w:val="18"/>
              </w:rPr>
            </w:pPr>
          </w:p>
        </w:tc>
        <w:tc>
          <w:tcPr>
            <w:tcW w:w="681" w:type="dxa"/>
            <w:vMerge w:val="restart"/>
            <w:vAlign w:val="center"/>
          </w:tcPr>
          <w:p w14:paraId="1AA78D6B">
            <w:pPr>
              <w:adjustRightInd w:val="0"/>
              <w:snapToGrid w:val="0"/>
              <w:ind w:left="0" w:leftChars="-83" w:right="-107" w:rightChars="-51" w:hanging="174" w:hangingChars="97"/>
              <w:jc w:val="center"/>
              <w:rPr>
                <w:color w:val="auto"/>
                <w:sz w:val="18"/>
                <w:szCs w:val="18"/>
              </w:rPr>
            </w:pPr>
            <w:r>
              <w:rPr>
                <w:color w:val="auto"/>
                <w:sz w:val="18"/>
                <w:szCs w:val="18"/>
              </w:rPr>
              <w:t>单</w:t>
            </w:r>
          </w:p>
          <w:p w14:paraId="78395E9C">
            <w:pPr>
              <w:adjustRightInd w:val="0"/>
              <w:snapToGrid w:val="0"/>
              <w:ind w:left="0" w:leftChars="-83" w:right="-107" w:rightChars="-51" w:hanging="174" w:hangingChars="97"/>
              <w:jc w:val="center"/>
              <w:rPr>
                <w:color w:val="auto"/>
                <w:sz w:val="18"/>
                <w:szCs w:val="18"/>
              </w:rPr>
            </w:pPr>
            <w:r>
              <w:rPr>
                <w:color w:val="auto"/>
                <w:sz w:val="18"/>
                <w:szCs w:val="18"/>
              </w:rPr>
              <w:t>层</w:t>
            </w:r>
          </w:p>
          <w:p w14:paraId="17A42DAA">
            <w:pPr>
              <w:adjustRightInd w:val="0"/>
              <w:snapToGrid w:val="0"/>
              <w:ind w:left="0" w:leftChars="-83" w:right="-107" w:rightChars="-51" w:hanging="174" w:hangingChars="97"/>
              <w:jc w:val="center"/>
              <w:rPr>
                <w:color w:val="auto"/>
                <w:sz w:val="18"/>
                <w:szCs w:val="18"/>
              </w:rPr>
            </w:pPr>
            <w:r>
              <w:rPr>
                <w:color w:val="auto"/>
                <w:sz w:val="18"/>
                <w:szCs w:val="18"/>
              </w:rPr>
              <w:t>排</w:t>
            </w:r>
          </w:p>
          <w:p w14:paraId="6A64211A">
            <w:pPr>
              <w:adjustRightInd w:val="0"/>
              <w:snapToGrid w:val="0"/>
              <w:ind w:left="0" w:leftChars="-83" w:right="-107" w:rightChars="-51" w:hanging="174" w:hangingChars="97"/>
              <w:jc w:val="center"/>
              <w:rPr>
                <w:color w:val="auto"/>
                <w:sz w:val="18"/>
                <w:szCs w:val="18"/>
              </w:rPr>
            </w:pPr>
            <w:r>
              <w:rPr>
                <w:color w:val="auto"/>
                <w:sz w:val="18"/>
                <w:szCs w:val="18"/>
              </w:rPr>
              <w:t>架</w:t>
            </w:r>
          </w:p>
          <w:p w14:paraId="773F2EBF">
            <w:pPr>
              <w:adjustRightInd w:val="0"/>
              <w:snapToGrid w:val="0"/>
              <w:ind w:left="0" w:leftChars="-83" w:right="-107" w:rightChars="-51" w:hanging="174" w:hangingChars="97"/>
              <w:jc w:val="center"/>
              <w:rPr>
                <w:color w:val="auto"/>
                <w:sz w:val="18"/>
                <w:szCs w:val="18"/>
              </w:rPr>
            </w:pPr>
            <w:r>
              <w:rPr>
                <w:color w:val="auto"/>
                <w:sz w:val="18"/>
                <w:szCs w:val="18"/>
              </w:rPr>
              <w:t>结</w:t>
            </w:r>
          </w:p>
          <w:p w14:paraId="63A47B03">
            <w:pPr>
              <w:adjustRightInd w:val="0"/>
              <w:snapToGrid w:val="0"/>
              <w:ind w:left="0" w:leftChars="-83" w:right="-107" w:rightChars="-51" w:hanging="174" w:hangingChars="97"/>
              <w:jc w:val="center"/>
              <w:rPr>
                <w:color w:val="auto"/>
                <w:sz w:val="18"/>
                <w:szCs w:val="18"/>
              </w:rPr>
            </w:pPr>
            <w:r>
              <w:rPr>
                <w:color w:val="auto"/>
                <w:sz w:val="18"/>
                <w:szCs w:val="18"/>
              </w:rPr>
              <w:t>构</w:t>
            </w:r>
          </w:p>
          <w:p w14:paraId="4E83FCFD">
            <w:pPr>
              <w:adjustRightInd w:val="0"/>
              <w:snapToGrid w:val="0"/>
              <w:ind w:left="0" w:leftChars="-83" w:right="-107" w:rightChars="-51" w:hanging="174" w:hangingChars="97"/>
              <w:jc w:val="center"/>
              <w:rPr>
                <w:color w:val="auto"/>
                <w:sz w:val="18"/>
                <w:szCs w:val="18"/>
              </w:rPr>
            </w:pPr>
            <w:r>
              <w:rPr>
                <w:color w:val="auto"/>
                <w:sz w:val="18"/>
                <w:szCs w:val="18"/>
              </w:rPr>
              <w:t xml:space="preserve"> </w:t>
            </w:r>
            <w:r>
              <w:rPr>
                <w:color w:val="auto"/>
                <w:spacing w:val="-6"/>
                <w:sz w:val="18"/>
                <w:szCs w:val="18"/>
              </w:rPr>
              <w:t>（6</w:t>
            </w:r>
            <w:r>
              <w:rPr>
                <w:iCs/>
                <w:color w:val="auto"/>
                <w:spacing w:val="-6"/>
                <w:sz w:val="18"/>
                <w:szCs w:val="18"/>
              </w:rPr>
              <w:t>m</w:t>
            </w:r>
            <w:r>
              <w:rPr>
                <w:color w:val="auto"/>
                <w:spacing w:val="-6"/>
                <w:sz w:val="18"/>
                <w:szCs w:val="18"/>
              </w:rPr>
              <w:t>柱距</w:t>
            </w:r>
            <w:r>
              <w:rPr>
                <w:color w:val="auto"/>
                <w:sz w:val="18"/>
                <w:szCs w:val="18"/>
              </w:rPr>
              <w:t>）</w:t>
            </w:r>
          </w:p>
        </w:tc>
        <w:tc>
          <w:tcPr>
            <w:tcW w:w="336" w:type="dxa"/>
            <w:vMerge w:val="restart"/>
            <w:vAlign w:val="center"/>
          </w:tcPr>
          <w:p w14:paraId="014E82F2">
            <w:pPr>
              <w:adjustRightInd w:val="0"/>
              <w:snapToGrid w:val="0"/>
              <w:ind w:left="15" w:leftChars="-32" w:hanging="82" w:hangingChars="46"/>
              <w:rPr>
                <w:color w:val="auto"/>
                <w:sz w:val="18"/>
                <w:szCs w:val="18"/>
              </w:rPr>
            </w:pPr>
            <w:r>
              <w:rPr>
                <w:color w:val="auto"/>
                <w:sz w:val="18"/>
                <w:szCs w:val="18"/>
              </w:rPr>
              <w:t>单</w:t>
            </w:r>
          </w:p>
          <w:p w14:paraId="169E7635">
            <w:pPr>
              <w:adjustRightInd w:val="0"/>
              <w:snapToGrid w:val="0"/>
              <w:ind w:left="15" w:leftChars="-32" w:hanging="82" w:hangingChars="46"/>
              <w:rPr>
                <w:color w:val="auto"/>
                <w:sz w:val="18"/>
                <w:szCs w:val="18"/>
              </w:rPr>
            </w:pPr>
            <w:r>
              <w:rPr>
                <w:color w:val="auto"/>
                <w:sz w:val="18"/>
                <w:szCs w:val="18"/>
              </w:rPr>
              <w:t>跨</w:t>
            </w:r>
          </w:p>
        </w:tc>
        <w:tc>
          <w:tcPr>
            <w:tcW w:w="1064" w:type="dxa"/>
          </w:tcPr>
          <w:p w14:paraId="5C189007">
            <w:pPr>
              <w:adjustRightInd w:val="0"/>
              <w:snapToGrid w:val="0"/>
              <w:ind w:leftChars="-47" w:right="-107" w:rightChars="-51" w:hanging="99" w:hangingChars="55"/>
              <w:rPr>
                <w:color w:val="auto"/>
                <w:sz w:val="18"/>
                <w:szCs w:val="18"/>
              </w:rPr>
            </w:pPr>
            <w:r>
              <w:rPr>
                <w:color w:val="auto"/>
                <w:sz w:val="18"/>
                <w:szCs w:val="18"/>
              </w:rPr>
              <w:t>吊车额定</w:t>
            </w:r>
          </w:p>
          <w:p w14:paraId="4D1B7395">
            <w:pPr>
              <w:adjustRightInd w:val="0"/>
              <w:snapToGrid w:val="0"/>
              <w:ind w:leftChars="-47" w:right="-107" w:rightChars="-51" w:hanging="99" w:hangingChars="55"/>
              <w:rPr>
                <w:color w:val="auto"/>
                <w:sz w:val="18"/>
                <w:szCs w:val="18"/>
              </w:rPr>
            </w:pPr>
            <w:r>
              <w:rPr>
                <w:color w:val="auto"/>
                <w:sz w:val="18"/>
                <w:szCs w:val="18"/>
              </w:rPr>
              <w:t>起重量（</w:t>
            </w:r>
            <w:r>
              <w:rPr>
                <w:iCs/>
                <w:color w:val="auto"/>
                <w:sz w:val="18"/>
                <w:szCs w:val="18"/>
              </w:rPr>
              <w:t>t</w:t>
            </w:r>
            <w:r>
              <w:rPr>
                <w:color w:val="auto"/>
                <w:sz w:val="18"/>
                <w:szCs w:val="18"/>
              </w:rPr>
              <w:t>）</w:t>
            </w:r>
          </w:p>
        </w:tc>
        <w:tc>
          <w:tcPr>
            <w:tcW w:w="1162" w:type="dxa"/>
            <w:vAlign w:val="center"/>
          </w:tcPr>
          <w:p w14:paraId="6FE8CA60">
            <w:pPr>
              <w:adjustRightInd w:val="0"/>
              <w:snapToGrid w:val="0"/>
              <w:jc w:val="center"/>
              <w:rPr>
                <w:color w:val="auto"/>
                <w:sz w:val="18"/>
                <w:szCs w:val="18"/>
              </w:rPr>
            </w:pPr>
            <w:r>
              <w:rPr>
                <w:color w:val="auto"/>
                <w:sz w:val="18"/>
                <w:szCs w:val="18"/>
              </w:rPr>
              <w:t>＜15</w:t>
            </w:r>
          </w:p>
        </w:tc>
        <w:tc>
          <w:tcPr>
            <w:tcW w:w="1260" w:type="dxa"/>
            <w:vAlign w:val="center"/>
          </w:tcPr>
          <w:p w14:paraId="0ADBC165">
            <w:pPr>
              <w:adjustRightInd w:val="0"/>
              <w:snapToGrid w:val="0"/>
              <w:jc w:val="center"/>
              <w:rPr>
                <w:color w:val="auto"/>
                <w:sz w:val="18"/>
                <w:szCs w:val="18"/>
              </w:rPr>
            </w:pPr>
            <w:r>
              <w:rPr>
                <w:color w:val="auto"/>
                <w:sz w:val="18"/>
                <w:szCs w:val="18"/>
              </w:rPr>
              <w:t>＜20</w:t>
            </w:r>
          </w:p>
        </w:tc>
        <w:tc>
          <w:tcPr>
            <w:tcW w:w="1245" w:type="dxa"/>
            <w:gridSpan w:val="2"/>
            <w:vAlign w:val="center"/>
          </w:tcPr>
          <w:p w14:paraId="7A59BFC5">
            <w:pPr>
              <w:adjustRightInd w:val="0"/>
              <w:snapToGrid w:val="0"/>
              <w:jc w:val="center"/>
              <w:rPr>
                <w:color w:val="auto"/>
                <w:sz w:val="18"/>
                <w:szCs w:val="18"/>
              </w:rPr>
            </w:pPr>
            <w:r>
              <w:rPr>
                <w:color w:val="auto"/>
                <w:sz w:val="18"/>
                <w:szCs w:val="18"/>
              </w:rPr>
              <w:t>＜30</w:t>
            </w:r>
          </w:p>
        </w:tc>
        <w:tc>
          <w:tcPr>
            <w:tcW w:w="1288" w:type="dxa"/>
            <w:vAlign w:val="center"/>
          </w:tcPr>
          <w:p w14:paraId="06AAB4F2">
            <w:pPr>
              <w:adjustRightInd w:val="0"/>
              <w:snapToGrid w:val="0"/>
              <w:jc w:val="center"/>
              <w:rPr>
                <w:color w:val="auto"/>
                <w:sz w:val="18"/>
                <w:szCs w:val="18"/>
              </w:rPr>
            </w:pPr>
            <w:r>
              <w:rPr>
                <w:color w:val="auto"/>
                <w:sz w:val="18"/>
                <w:szCs w:val="18"/>
              </w:rPr>
              <w:t>＜40</w:t>
            </w:r>
          </w:p>
        </w:tc>
        <w:tc>
          <w:tcPr>
            <w:tcW w:w="1303" w:type="dxa"/>
            <w:vAlign w:val="center"/>
          </w:tcPr>
          <w:p w14:paraId="3536ED3E">
            <w:pPr>
              <w:adjustRightInd w:val="0"/>
              <w:snapToGrid w:val="0"/>
              <w:spacing w:line="300" w:lineRule="atLeast"/>
              <w:ind w:left="-8" w:leftChars="-51" w:right="-107" w:rightChars="-51" w:hanging="99" w:hangingChars="55"/>
              <w:jc w:val="center"/>
              <w:rPr>
                <w:color w:val="auto"/>
                <w:sz w:val="18"/>
                <w:szCs w:val="18"/>
              </w:rPr>
            </w:pPr>
            <w:r>
              <w:rPr>
                <w:color w:val="auto"/>
                <w:sz w:val="18"/>
                <w:szCs w:val="18"/>
              </w:rPr>
              <w:t>＜50</w:t>
            </w:r>
          </w:p>
        </w:tc>
      </w:tr>
      <w:tr w14:paraId="45696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794" w:type="dxa"/>
            <w:vMerge w:val="continue"/>
          </w:tcPr>
          <w:p w14:paraId="3BBF2490">
            <w:pPr>
              <w:adjustRightInd w:val="0"/>
              <w:snapToGrid w:val="0"/>
              <w:spacing w:line="440" w:lineRule="exact"/>
              <w:rPr>
                <w:color w:val="auto"/>
                <w:sz w:val="18"/>
                <w:szCs w:val="18"/>
              </w:rPr>
            </w:pPr>
          </w:p>
        </w:tc>
        <w:tc>
          <w:tcPr>
            <w:tcW w:w="681" w:type="dxa"/>
            <w:vMerge w:val="continue"/>
          </w:tcPr>
          <w:p w14:paraId="0901F0DE">
            <w:pPr>
              <w:adjustRightInd w:val="0"/>
              <w:snapToGrid w:val="0"/>
              <w:rPr>
                <w:color w:val="auto"/>
                <w:sz w:val="18"/>
                <w:szCs w:val="18"/>
              </w:rPr>
            </w:pPr>
          </w:p>
        </w:tc>
        <w:tc>
          <w:tcPr>
            <w:tcW w:w="336" w:type="dxa"/>
            <w:vMerge w:val="continue"/>
            <w:vAlign w:val="center"/>
          </w:tcPr>
          <w:p w14:paraId="38DAF50C">
            <w:pPr>
              <w:adjustRightInd w:val="0"/>
              <w:snapToGrid w:val="0"/>
              <w:ind w:left="15" w:leftChars="-32" w:hanging="82" w:hangingChars="46"/>
              <w:rPr>
                <w:color w:val="auto"/>
                <w:sz w:val="18"/>
                <w:szCs w:val="18"/>
              </w:rPr>
            </w:pPr>
          </w:p>
        </w:tc>
        <w:tc>
          <w:tcPr>
            <w:tcW w:w="1064" w:type="dxa"/>
          </w:tcPr>
          <w:p w14:paraId="2D6B1C55">
            <w:pPr>
              <w:adjustRightInd w:val="0"/>
              <w:snapToGrid w:val="0"/>
              <w:rPr>
                <w:color w:val="auto"/>
                <w:sz w:val="18"/>
                <w:szCs w:val="18"/>
              </w:rPr>
            </w:pPr>
            <w:r>
              <w:rPr>
                <w:color w:val="auto"/>
                <w:sz w:val="18"/>
                <w:szCs w:val="18"/>
              </w:rPr>
              <w:t>厂房跨</w:t>
            </w:r>
          </w:p>
          <w:p w14:paraId="4A52738D">
            <w:pPr>
              <w:adjustRightInd w:val="0"/>
              <w:snapToGrid w:val="0"/>
              <w:rPr>
                <w:color w:val="auto"/>
                <w:sz w:val="18"/>
                <w:szCs w:val="18"/>
              </w:rPr>
            </w:pPr>
            <w:r>
              <w:rPr>
                <w:color w:val="auto"/>
                <w:sz w:val="18"/>
                <w:szCs w:val="18"/>
              </w:rPr>
              <w:t>度（m）</w:t>
            </w:r>
          </w:p>
        </w:tc>
        <w:tc>
          <w:tcPr>
            <w:tcW w:w="1162" w:type="dxa"/>
            <w:vAlign w:val="center"/>
          </w:tcPr>
          <w:p w14:paraId="5D3DCE0D">
            <w:pPr>
              <w:adjustRightInd w:val="0"/>
              <w:snapToGrid w:val="0"/>
              <w:jc w:val="center"/>
              <w:rPr>
                <w:color w:val="auto"/>
                <w:sz w:val="18"/>
                <w:szCs w:val="18"/>
              </w:rPr>
            </w:pPr>
            <w:r>
              <w:rPr>
                <w:color w:val="auto"/>
                <w:sz w:val="18"/>
                <w:szCs w:val="18"/>
              </w:rPr>
              <w:t>≤15</w:t>
            </w:r>
          </w:p>
        </w:tc>
        <w:tc>
          <w:tcPr>
            <w:tcW w:w="1260" w:type="dxa"/>
            <w:vAlign w:val="center"/>
          </w:tcPr>
          <w:p w14:paraId="08F1D571">
            <w:pPr>
              <w:adjustRightInd w:val="0"/>
              <w:snapToGrid w:val="0"/>
              <w:jc w:val="center"/>
              <w:rPr>
                <w:color w:val="auto"/>
                <w:sz w:val="18"/>
                <w:szCs w:val="18"/>
              </w:rPr>
            </w:pPr>
            <w:r>
              <w:rPr>
                <w:color w:val="auto"/>
                <w:sz w:val="18"/>
                <w:szCs w:val="18"/>
              </w:rPr>
              <w:t>≤18</w:t>
            </w:r>
          </w:p>
        </w:tc>
        <w:tc>
          <w:tcPr>
            <w:tcW w:w="1245" w:type="dxa"/>
            <w:gridSpan w:val="2"/>
            <w:vAlign w:val="center"/>
          </w:tcPr>
          <w:p w14:paraId="56931DF3">
            <w:pPr>
              <w:adjustRightInd w:val="0"/>
              <w:snapToGrid w:val="0"/>
              <w:jc w:val="center"/>
              <w:rPr>
                <w:color w:val="auto"/>
                <w:sz w:val="18"/>
                <w:szCs w:val="18"/>
              </w:rPr>
            </w:pPr>
            <w:r>
              <w:rPr>
                <w:color w:val="auto"/>
                <w:sz w:val="18"/>
                <w:szCs w:val="18"/>
              </w:rPr>
              <w:t>≤24</w:t>
            </w:r>
          </w:p>
        </w:tc>
        <w:tc>
          <w:tcPr>
            <w:tcW w:w="1288" w:type="dxa"/>
            <w:vAlign w:val="center"/>
          </w:tcPr>
          <w:p w14:paraId="4216C75F">
            <w:pPr>
              <w:adjustRightInd w:val="0"/>
              <w:snapToGrid w:val="0"/>
              <w:jc w:val="center"/>
              <w:rPr>
                <w:color w:val="auto"/>
                <w:sz w:val="18"/>
                <w:szCs w:val="18"/>
              </w:rPr>
            </w:pPr>
            <w:r>
              <w:rPr>
                <w:color w:val="auto"/>
                <w:sz w:val="18"/>
                <w:szCs w:val="18"/>
              </w:rPr>
              <w:t>≤30</w:t>
            </w:r>
          </w:p>
        </w:tc>
        <w:tc>
          <w:tcPr>
            <w:tcW w:w="1303" w:type="dxa"/>
            <w:vAlign w:val="center"/>
          </w:tcPr>
          <w:p w14:paraId="10E29106">
            <w:pPr>
              <w:adjustRightInd w:val="0"/>
              <w:snapToGrid w:val="0"/>
              <w:jc w:val="center"/>
              <w:rPr>
                <w:color w:val="auto"/>
                <w:sz w:val="18"/>
                <w:szCs w:val="18"/>
              </w:rPr>
            </w:pPr>
            <w:r>
              <w:rPr>
                <w:color w:val="auto"/>
                <w:sz w:val="18"/>
                <w:szCs w:val="18"/>
              </w:rPr>
              <w:t>≤30</w:t>
            </w:r>
          </w:p>
        </w:tc>
      </w:tr>
      <w:tr w14:paraId="3653D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794" w:type="dxa"/>
            <w:vMerge w:val="continue"/>
          </w:tcPr>
          <w:p w14:paraId="6884A10D">
            <w:pPr>
              <w:adjustRightInd w:val="0"/>
              <w:snapToGrid w:val="0"/>
              <w:spacing w:line="440" w:lineRule="exact"/>
              <w:rPr>
                <w:color w:val="auto"/>
                <w:sz w:val="18"/>
                <w:szCs w:val="18"/>
              </w:rPr>
            </w:pPr>
          </w:p>
        </w:tc>
        <w:tc>
          <w:tcPr>
            <w:tcW w:w="681" w:type="dxa"/>
            <w:vMerge w:val="continue"/>
          </w:tcPr>
          <w:p w14:paraId="17B97415">
            <w:pPr>
              <w:adjustRightInd w:val="0"/>
              <w:snapToGrid w:val="0"/>
              <w:rPr>
                <w:color w:val="auto"/>
                <w:sz w:val="18"/>
                <w:szCs w:val="18"/>
              </w:rPr>
            </w:pPr>
          </w:p>
        </w:tc>
        <w:tc>
          <w:tcPr>
            <w:tcW w:w="336" w:type="dxa"/>
            <w:vMerge w:val="restart"/>
            <w:vAlign w:val="center"/>
          </w:tcPr>
          <w:p w14:paraId="3D31C64E">
            <w:pPr>
              <w:adjustRightInd w:val="0"/>
              <w:snapToGrid w:val="0"/>
              <w:ind w:left="15" w:leftChars="-32" w:hanging="82" w:hangingChars="46"/>
              <w:rPr>
                <w:color w:val="auto"/>
                <w:sz w:val="18"/>
                <w:szCs w:val="18"/>
              </w:rPr>
            </w:pPr>
            <w:r>
              <w:rPr>
                <w:color w:val="auto"/>
                <w:sz w:val="18"/>
                <w:szCs w:val="18"/>
              </w:rPr>
              <w:t>多</w:t>
            </w:r>
          </w:p>
          <w:p w14:paraId="2744CCA8">
            <w:pPr>
              <w:adjustRightInd w:val="0"/>
              <w:snapToGrid w:val="0"/>
              <w:ind w:left="15" w:leftChars="-32" w:hanging="82" w:hangingChars="46"/>
              <w:rPr>
                <w:color w:val="auto"/>
                <w:sz w:val="18"/>
                <w:szCs w:val="18"/>
              </w:rPr>
            </w:pPr>
            <w:r>
              <w:rPr>
                <w:color w:val="auto"/>
                <w:sz w:val="18"/>
                <w:szCs w:val="18"/>
              </w:rPr>
              <w:t>跨</w:t>
            </w:r>
          </w:p>
        </w:tc>
        <w:tc>
          <w:tcPr>
            <w:tcW w:w="1064" w:type="dxa"/>
          </w:tcPr>
          <w:p w14:paraId="487C2C9A">
            <w:pPr>
              <w:adjustRightInd w:val="0"/>
              <w:snapToGrid w:val="0"/>
              <w:ind w:left="-1" w:leftChars="-26" w:right="-107" w:rightChars="-51" w:hanging="54" w:hangingChars="30"/>
              <w:rPr>
                <w:color w:val="auto"/>
                <w:sz w:val="18"/>
                <w:szCs w:val="18"/>
              </w:rPr>
            </w:pPr>
            <w:r>
              <w:rPr>
                <w:color w:val="auto"/>
                <w:sz w:val="18"/>
                <w:szCs w:val="18"/>
              </w:rPr>
              <w:t>吊车额定</w:t>
            </w:r>
          </w:p>
          <w:p w14:paraId="56EC3D19">
            <w:pPr>
              <w:adjustRightInd w:val="0"/>
              <w:snapToGrid w:val="0"/>
              <w:ind w:left="7" w:leftChars="-16" w:right="-107" w:rightChars="-51" w:hanging="41" w:hangingChars="23"/>
              <w:rPr>
                <w:color w:val="auto"/>
                <w:sz w:val="18"/>
                <w:szCs w:val="18"/>
              </w:rPr>
            </w:pPr>
            <w:r>
              <w:rPr>
                <w:color w:val="auto"/>
                <w:sz w:val="18"/>
                <w:szCs w:val="18"/>
              </w:rPr>
              <w:t>起重量（t）</w:t>
            </w:r>
          </w:p>
        </w:tc>
        <w:tc>
          <w:tcPr>
            <w:tcW w:w="1162" w:type="dxa"/>
            <w:vAlign w:val="center"/>
          </w:tcPr>
          <w:p w14:paraId="30C7F960">
            <w:pPr>
              <w:adjustRightInd w:val="0"/>
              <w:snapToGrid w:val="0"/>
              <w:jc w:val="center"/>
              <w:rPr>
                <w:color w:val="auto"/>
                <w:sz w:val="18"/>
                <w:szCs w:val="18"/>
              </w:rPr>
            </w:pPr>
            <w:r>
              <w:rPr>
                <w:color w:val="auto"/>
                <w:sz w:val="18"/>
                <w:szCs w:val="18"/>
              </w:rPr>
              <w:t>＜10</w:t>
            </w:r>
          </w:p>
        </w:tc>
        <w:tc>
          <w:tcPr>
            <w:tcW w:w="1260" w:type="dxa"/>
            <w:vAlign w:val="center"/>
          </w:tcPr>
          <w:p w14:paraId="47EE91A6">
            <w:pPr>
              <w:adjustRightInd w:val="0"/>
              <w:snapToGrid w:val="0"/>
              <w:jc w:val="center"/>
              <w:rPr>
                <w:color w:val="auto"/>
                <w:sz w:val="18"/>
                <w:szCs w:val="18"/>
              </w:rPr>
            </w:pPr>
            <w:r>
              <w:rPr>
                <w:color w:val="auto"/>
                <w:sz w:val="18"/>
                <w:szCs w:val="18"/>
              </w:rPr>
              <w:t>＜15</w:t>
            </w:r>
          </w:p>
        </w:tc>
        <w:tc>
          <w:tcPr>
            <w:tcW w:w="1245" w:type="dxa"/>
            <w:gridSpan w:val="2"/>
            <w:vAlign w:val="center"/>
          </w:tcPr>
          <w:p w14:paraId="43651E77">
            <w:pPr>
              <w:adjustRightInd w:val="0"/>
              <w:snapToGrid w:val="0"/>
              <w:jc w:val="center"/>
              <w:rPr>
                <w:color w:val="auto"/>
                <w:sz w:val="18"/>
                <w:szCs w:val="18"/>
              </w:rPr>
            </w:pPr>
            <w:r>
              <w:rPr>
                <w:color w:val="auto"/>
                <w:sz w:val="18"/>
                <w:szCs w:val="18"/>
              </w:rPr>
              <w:t>＜20</w:t>
            </w:r>
          </w:p>
        </w:tc>
        <w:tc>
          <w:tcPr>
            <w:tcW w:w="1288" w:type="dxa"/>
            <w:vAlign w:val="center"/>
          </w:tcPr>
          <w:p w14:paraId="5CA6ACED">
            <w:pPr>
              <w:adjustRightInd w:val="0"/>
              <w:snapToGrid w:val="0"/>
              <w:jc w:val="center"/>
              <w:rPr>
                <w:color w:val="auto"/>
                <w:sz w:val="18"/>
                <w:szCs w:val="18"/>
              </w:rPr>
            </w:pPr>
            <w:r>
              <w:rPr>
                <w:color w:val="auto"/>
                <w:sz w:val="18"/>
                <w:szCs w:val="18"/>
              </w:rPr>
              <w:t>＜30</w:t>
            </w:r>
          </w:p>
        </w:tc>
        <w:tc>
          <w:tcPr>
            <w:tcW w:w="1303" w:type="dxa"/>
            <w:vAlign w:val="center"/>
          </w:tcPr>
          <w:p w14:paraId="34D95CE5">
            <w:pPr>
              <w:adjustRightInd w:val="0"/>
              <w:snapToGrid w:val="0"/>
              <w:jc w:val="center"/>
              <w:rPr>
                <w:color w:val="auto"/>
                <w:sz w:val="18"/>
                <w:szCs w:val="18"/>
              </w:rPr>
            </w:pPr>
            <w:r>
              <w:rPr>
                <w:color w:val="auto"/>
                <w:sz w:val="18"/>
                <w:szCs w:val="18"/>
              </w:rPr>
              <w:t>＜40</w:t>
            </w:r>
          </w:p>
        </w:tc>
      </w:tr>
      <w:tr w14:paraId="5C491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794" w:type="dxa"/>
            <w:vMerge w:val="continue"/>
          </w:tcPr>
          <w:p w14:paraId="21C03EAE">
            <w:pPr>
              <w:adjustRightInd w:val="0"/>
              <w:snapToGrid w:val="0"/>
              <w:spacing w:line="440" w:lineRule="exact"/>
              <w:rPr>
                <w:color w:val="auto"/>
                <w:sz w:val="18"/>
                <w:szCs w:val="18"/>
              </w:rPr>
            </w:pPr>
          </w:p>
        </w:tc>
        <w:tc>
          <w:tcPr>
            <w:tcW w:w="681" w:type="dxa"/>
            <w:vMerge w:val="continue"/>
          </w:tcPr>
          <w:p w14:paraId="23E10B25">
            <w:pPr>
              <w:adjustRightInd w:val="0"/>
              <w:snapToGrid w:val="0"/>
              <w:rPr>
                <w:color w:val="auto"/>
                <w:sz w:val="18"/>
                <w:szCs w:val="18"/>
              </w:rPr>
            </w:pPr>
          </w:p>
        </w:tc>
        <w:tc>
          <w:tcPr>
            <w:tcW w:w="336" w:type="dxa"/>
            <w:vMerge w:val="continue"/>
          </w:tcPr>
          <w:p w14:paraId="46DA58F4">
            <w:pPr>
              <w:adjustRightInd w:val="0"/>
              <w:snapToGrid w:val="0"/>
              <w:rPr>
                <w:color w:val="auto"/>
                <w:sz w:val="18"/>
                <w:szCs w:val="18"/>
              </w:rPr>
            </w:pPr>
          </w:p>
        </w:tc>
        <w:tc>
          <w:tcPr>
            <w:tcW w:w="1064" w:type="dxa"/>
          </w:tcPr>
          <w:p w14:paraId="5646DF84">
            <w:pPr>
              <w:adjustRightInd w:val="0"/>
              <w:snapToGrid w:val="0"/>
              <w:rPr>
                <w:color w:val="auto"/>
                <w:sz w:val="18"/>
                <w:szCs w:val="18"/>
              </w:rPr>
            </w:pPr>
            <w:r>
              <w:rPr>
                <w:color w:val="auto"/>
                <w:sz w:val="18"/>
                <w:szCs w:val="18"/>
              </w:rPr>
              <w:t>厂房跨</w:t>
            </w:r>
          </w:p>
          <w:p w14:paraId="6BFF3399">
            <w:pPr>
              <w:adjustRightInd w:val="0"/>
              <w:snapToGrid w:val="0"/>
              <w:rPr>
                <w:color w:val="auto"/>
                <w:sz w:val="18"/>
                <w:szCs w:val="18"/>
              </w:rPr>
            </w:pPr>
            <w:r>
              <w:rPr>
                <w:color w:val="auto"/>
                <w:sz w:val="18"/>
                <w:szCs w:val="18"/>
              </w:rPr>
              <w:t>度（m）</w:t>
            </w:r>
          </w:p>
        </w:tc>
        <w:tc>
          <w:tcPr>
            <w:tcW w:w="1162" w:type="dxa"/>
            <w:vAlign w:val="center"/>
          </w:tcPr>
          <w:p w14:paraId="6ED409E0">
            <w:pPr>
              <w:adjustRightInd w:val="0"/>
              <w:snapToGrid w:val="0"/>
              <w:jc w:val="center"/>
              <w:rPr>
                <w:color w:val="auto"/>
                <w:sz w:val="18"/>
                <w:szCs w:val="18"/>
              </w:rPr>
            </w:pPr>
            <w:r>
              <w:rPr>
                <w:color w:val="auto"/>
                <w:sz w:val="18"/>
                <w:szCs w:val="18"/>
              </w:rPr>
              <w:t>≤12</w:t>
            </w:r>
          </w:p>
        </w:tc>
        <w:tc>
          <w:tcPr>
            <w:tcW w:w="1260" w:type="dxa"/>
            <w:vAlign w:val="center"/>
          </w:tcPr>
          <w:p w14:paraId="48713BC0">
            <w:pPr>
              <w:adjustRightInd w:val="0"/>
              <w:snapToGrid w:val="0"/>
              <w:jc w:val="center"/>
              <w:rPr>
                <w:color w:val="auto"/>
                <w:sz w:val="18"/>
                <w:szCs w:val="18"/>
              </w:rPr>
            </w:pPr>
            <w:r>
              <w:rPr>
                <w:color w:val="auto"/>
                <w:sz w:val="18"/>
                <w:szCs w:val="18"/>
              </w:rPr>
              <w:t>≤15</w:t>
            </w:r>
          </w:p>
        </w:tc>
        <w:tc>
          <w:tcPr>
            <w:tcW w:w="1245" w:type="dxa"/>
            <w:gridSpan w:val="2"/>
            <w:vAlign w:val="center"/>
          </w:tcPr>
          <w:p w14:paraId="4D1EB6DC">
            <w:pPr>
              <w:adjustRightInd w:val="0"/>
              <w:snapToGrid w:val="0"/>
              <w:jc w:val="center"/>
              <w:rPr>
                <w:color w:val="auto"/>
                <w:sz w:val="18"/>
                <w:szCs w:val="18"/>
              </w:rPr>
            </w:pPr>
            <w:r>
              <w:rPr>
                <w:color w:val="auto"/>
                <w:sz w:val="18"/>
                <w:szCs w:val="18"/>
              </w:rPr>
              <w:t>≤18</w:t>
            </w:r>
          </w:p>
        </w:tc>
        <w:tc>
          <w:tcPr>
            <w:tcW w:w="1288" w:type="dxa"/>
            <w:vAlign w:val="center"/>
          </w:tcPr>
          <w:p w14:paraId="7448380F">
            <w:pPr>
              <w:adjustRightInd w:val="0"/>
              <w:snapToGrid w:val="0"/>
              <w:jc w:val="center"/>
              <w:rPr>
                <w:color w:val="auto"/>
                <w:sz w:val="18"/>
                <w:szCs w:val="18"/>
              </w:rPr>
            </w:pPr>
            <w:r>
              <w:rPr>
                <w:color w:val="auto"/>
                <w:sz w:val="18"/>
                <w:szCs w:val="18"/>
              </w:rPr>
              <w:t>≤24</w:t>
            </w:r>
          </w:p>
        </w:tc>
        <w:tc>
          <w:tcPr>
            <w:tcW w:w="1303" w:type="dxa"/>
            <w:vAlign w:val="center"/>
          </w:tcPr>
          <w:p w14:paraId="3B51A2E1">
            <w:pPr>
              <w:adjustRightInd w:val="0"/>
              <w:snapToGrid w:val="0"/>
              <w:jc w:val="center"/>
              <w:rPr>
                <w:color w:val="auto"/>
                <w:sz w:val="18"/>
                <w:szCs w:val="18"/>
              </w:rPr>
            </w:pPr>
            <w:r>
              <w:rPr>
                <w:color w:val="auto"/>
                <w:sz w:val="18"/>
                <w:szCs w:val="18"/>
              </w:rPr>
              <w:t>≤30</w:t>
            </w:r>
          </w:p>
        </w:tc>
      </w:tr>
      <w:tr w14:paraId="1C0F4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94" w:type="dxa"/>
            <w:vMerge w:val="continue"/>
          </w:tcPr>
          <w:p w14:paraId="10DAA642">
            <w:pPr>
              <w:adjustRightInd w:val="0"/>
              <w:snapToGrid w:val="0"/>
              <w:spacing w:line="440" w:lineRule="exact"/>
              <w:rPr>
                <w:color w:val="auto"/>
                <w:sz w:val="18"/>
                <w:szCs w:val="18"/>
              </w:rPr>
            </w:pPr>
          </w:p>
        </w:tc>
        <w:tc>
          <w:tcPr>
            <w:tcW w:w="1017" w:type="dxa"/>
            <w:gridSpan w:val="2"/>
            <w:vAlign w:val="center"/>
          </w:tcPr>
          <w:p w14:paraId="4BD4F309">
            <w:pPr>
              <w:pStyle w:val="24"/>
              <w:pBdr>
                <w:bottom w:val="none" w:color="auto" w:sz="0" w:space="0"/>
              </w:pBdr>
              <w:tabs>
                <w:tab w:val="clear" w:pos="4153"/>
                <w:tab w:val="clear" w:pos="8306"/>
              </w:tabs>
              <w:adjustRightInd w:val="0"/>
              <w:spacing w:line="280" w:lineRule="exact"/>
              <w:rPr>
                <w:color w:val="auto"/>
              </w:rPr>
            </w:pPr>
            <w:r>
              <w:rPr>
                <w:color w:val="auto"/>
              </w:rPr>
              <w:t>烟囱</w:t>
            </w:r>
          </w:p>
        </w:tc>
        <w:tc>
          <w:tcPr>
            <w:tcW w:w="1064" w:type="dxa"/>
            <w:vAlign w:val="center"/>
          </w:tcPr>
          <w:p w14:paraId="746A6701">
            <w:pPr>
              <w:adjustRightInd w:val="0"/>
              <w:snapToGrid w:val="0"/>
              <w:spacing w:line="280" w:lineRule="exact"/>
              <w:ind w:left="180" w:hanging="180" w:hangingChars="100"/>
              <w:rPr>
                <w:color w:val="auto"/>
                <w:sz w:val="18"/>
                <w:szCs w:val="18"/>
              </w:rPr>
            </w:pPr>
            <w:r>
              <w:rPr>
                <w:color w:val="auto"/>
                <w:sz w:val="18"/>
                <w:szCs w:val="18"/>
              </w:rPr>
              <w:t>高度（m）</w:t>
            </w:r>
          </w:p>
        </w:tc>
        <w:tc>
          <w:tcPr>
            <w:tcW w:w="1162" w:type="dxa"/>
            <w:vAlign w:val="center"/>
          </w:tcPr>
          <w:p w14:paraId="35AEF8AB">
            <w:pPr>
              <w:adjustRightInd w:val="0"/>
              <w:snapToGrid w:val="0"/>
              <w:spacing w:line="280" w:lineRule="exact"/>
              <w:jc w:val="center"/>
              <w:rPr>
                <w:color w:val="auto"/>
                <w:sz w:val="18"/>
                <w:szCs w:val="18"/>
              </w:rPr>
            </w:pPr>
            <w:r>
              <w:rPr>
                <w:color w:val="auto"/>
                <w:sz w:val="18"/>
                <w:szCs w:val="18"/>
              </w:rPr>
              <w:t>≤40</w:t>
            </w:r>
          </w:p>
        </w:tc>
        <w:tc>
          <w:tcPr>
            <w:tcW w:w="1260" w:type="dxa"/>
            <w:vAlign w:val="center"/>
          </w:tcPr>
          <w:p w14:paraId="6E117E14">
            <w:pPr>
              <w:adjustRightInd w:val="0"/>
              <w:snapToGrid w:val="0"/>
              <w:spacing w:line="280" w:lineRule="exact"/>
              <w:jc w:val="center"/>
              <w:rPr>
                <w:color w:val="auto"/>
                <w:sz w:val="18"/>
                <w:szCs w:val="18"/>
              </w:rPr>
            </w:pPr>
            <w:r>
              <w:rPr>
                <w:color w:val="auto"/>
                <w:sz w:val="18"/>
                <w:szCs w:val="18"/>
              </w:rPr>
              <w:t>≤50</w:t>
            </w:r>
          </w:p>
        </w:tc>
        <w:tc>
          <w:tcPr>
            <w:tcW w:w="2533" w:type="dxa"/>
            <w:gridSpan w:val="3"/>
            <w:vAlign w:val="center"/>
          </w:tcPr>
          <w:p w14:paraId="7102D56F">
            <w:pPr>
              <w:adjustRightInd w:val="0"/>
              <w:snapToGrid w:val="0"/>
              <w:spacing w:line="280" w:lineRule="exact"/>
              <w:jc w:val="center"/>
              <w:rPr>
                <w:color w:val="auto"/>
                <w:sz w:val="18"/>
                <w:szCs w:val="18"/>
              </w:rPr>
            </w:pPr>
            <w:r>
              <w:rPr>
                <w:color w:val="auto"/>
                <w:sz w:val="18"/>
                <w:szCs w:val="18"/>
              </w:rPr>
              <w:t>≤75</w:t>
            </w:r>
          </w:p>
        </w:tc>
        <w:tc>
          <w:tcPr>
            <w:tcW w:w="1303" w:type="dxa"/>
            <w:vAlign w:val="center"/>
          </w:tcPr>
          <w:p w14:paraId="6BDD9235">
            <w:pPr>
              <w:adjustRightInd w:val="0"/>
              <w:snapToGrid w:val="0"/>
              <w:spacing w:line="280" w:lineRule="exact"/>
              <w:jc w:val="center"/>
              <w:rPr>
                <w:color w:val="auto"/>
                <w:sz w:val="18"/>
                <w:szCs w:val="18"/>
              </w:rPr>
            </w:pPr>
            <w:r>
              <w:rPr>
                <w:color w:val="auto"/>
                <w:sz w:val="18"/>
                <w:szCs w:val="18"/>
              </w:rPr>
              <w:t>≤100</w:t>
            </w:r>
          </w:p>
        </w:tc>
      </w:tr>
      <w:tr w14:paraId="48C86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94" w:type="dxa"/>
            <w:vMerge w:val="continue"/>
          </w:tcPr>
          <w:p w14:paraId="6B599598">
            <w:pPr>
              <w:adjustRightInd w:val="0"/>
              <w:snapToGrid w:val="0"/>
              <w:spacing w:line="440" w:lineRule="exact"/>
              <w:rPr>
                <w:color w:val="auto"/>
                <w:sz w:val="18"/>
                <w:szCs w:val="18"/>
              </w:rPr>
            </w:pPr>
          </w:p>
        </w:tc>
        <w:tc>
          <w:tcPr>
            <w:tcW w:w="1017" w:type="dxa"/>
            <w:gridSpan w:val="2"/>
            <w:vMerge w:val="restart"/>
            <w:vAlign w:val="center"/>
          </w:tcPr>
          <w:p w14:paraId="5A998CF5">
            <w:pPr>
              <w:adjustRightInd w:val="0"/>
              <w:snapToGrid w:val="0"/>
              <w:spacing w:line="280" w:lineRule="exact"/>
              <w:jc w:val="center"/>
              <w:rPr>
                <w:color w:val="auto"/>
                <w:sz w:val="18"/>
                <w:szCs w:val="18"/>
              </w:rPr>
            </w:pPr>
            <w:r>
              <w:rPr>
                <w:color w:val="auto"/>
                <w:sz w:val="18"/>
                <w:szCs w:val="18"/>
              </w:rPr>
              <w:t>水塔</w:t>
            </w:r>
          </w:p>
        </w:tc>
        <w:tc>
          <w:tcPr>
            <w:tcW w:w="1064" w:type="dxa"/>
            <w:vAlign w:val="center"/>
          </w:tcPr>
          <w:p w14:paraId="57D102F2">
            <w:pPr>
              <w:adjustRightInd w:val="0"/>
              <w:snapToGrid w:val="0"/>
              <w:spacing w:line="280" w:lineRule="exact"/>
              <w:ind w:left="180" w:hanging="180" w:hangingChars="100"/>
              <w:rPr>
                <w:color w:val="auto"/>
                <w:sz w:val="18"/>
                <w:szCs w:val="18"/>
              </w:rPr>
            </w:pPr>
            <w:r>
              <w:rPr>
                <w:color w:val="auto"/>
                <w:sz w:val="18"/>
                <w:szCs w:val="18"/>
              </w:rPr>
              <w:t>高度（m）</w:t>
            </w:r>
          </w:p>
        </w:tc>
        <w:tc>
          <w:tcPr>
            <w:tcW w:w="1162" w:type="dxa"/>
            <w:vAlign w:val="center"/>
          </w:tcPr>
          <w:p w14:paraId="0E6896B5">
            <w:pPr>
              <w:adjustRightInd w:val="0"/>
              <w:snapToGrid w:val="0"/>
              <w:spacing w:line="280" w:lineRule="exact"/>
              <w:jc w:val="center"/>
              <w:rPr>
                <w:color w:val="auto"/>
                <w:sz w:val="18"/>
                <w:szCs w:val="18"/>
              </w:rPr>
            </w:pPr>
            <w:r>
              <w:rPr>
                <w:color w:val="auto"/>
                <w:sz w:val="18"/>
                <w:szCs w:val="18"/>
              </w:rPr>
              <w:t>≤20</w:t>
            </w:r>
          </w:p>
        </w:tc>
        <w:tc>
          <w:tcPr>
            <w:tcW w:w="1260" w:type="dxa"/>
            <w:vAlign w:val="center"/>
          </w:tcPr>
          <w:p w14:paraId="4091FEA0">
            <w:pPr>
              <w:adjustRightInd w:val="0"/>
              <w:snapToGrid w:val="0"/>
              <w:spacing w:line="280" w:lineRule="exact"/>
              <w:jc w:val="center"/>
              <w:rPr>
                <w:color w:val="auto"/>
                <w:sz w:val="18"/>
                <w:szCs w:val="18"/>
              </w:rPr>
            </w:pPr>
            <w:r>
              <w:rPr>
                <w:color w:val="auto"/>
                <w:sz w:val="18"/>
                <w:szCs w:val="18"/>
              </w:rPr>
              <w:t>≤30</w:t>
            </w:r>
          </w:p>
        </w:tc>
        <w:tc>
          <w:tcPr>
            <w:tcW w:w="2533" w:type="dxa"/>
            <w:gridSpan w:val="3"/>
            <w:vAlign w:val="center"/>
          </w:tcPr>
          <w:p w14:paraId="1B3BCE45">
            <w:pPr>
              <w:adjustRightInd w:val="0"/>
              <w:snapToGrid w:val="0"/>
              <w:spacing w:line="280" w:lineRule="exact"/>
              <w:jc w:val="center"/>
              <w:rPr>
                <w:color w:val="auto"/>
                <w:sz w:val="18"/>
                <w:szCs w:val="18"/>
              </w:rPr>
            </w:pPr>
            <w:r>
              <w:rPr>
                <w:color w:val="auto"/>
                <w:sz w:val="18"/>
                <w:szCs w:val="18"/>
              </w:rPr>
              <w:t>≤30</w:t>
            </w:r>
          </w:p>
        </w:tc>
        <w:tc>
          <w:tcPr>
            <w:tcW w:w="1303" w:type="dxa"/>
            <w:vAlign w:val="center"/>
          </w:tcPr>
          <w:p w14:paraId="6FE2B58E">
            <w:pPr>
              <w:adjustRightInd w:val="0"/>
              <w:snapToGrid w:val="0"/>
              <w:spacing w:line="280" w:lineRule="exact"/>
              <w:jc w:val="center"/>
              <w:rPr>
                <w:color w:val="auto"/>
                <w:sz w:val="18"/>
                <w:szCs w:val="18"/>
              </w:rPr>
            </w:pPr>
            <w:r>
              <w:rPr>
                <w:color w:val="auto"/>
                <w:sz w:val="18"/>
                <w:szCs w:val="18"/>
              </w:rPr>
              <w:t>≤30</w:t>
            </w:r>
          </w:p>
        </w:tc>
      </w:tr>
      <w:tr w14:paraId="7E48A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94" w:type="dxa"/>
            <w:vMerge w:val="continue"/>
          </w:tcPr>
          <w:p w14:paraId="55EDF3B3">
            <w:pPr>
              <w:adjustRightInd w:val="0"/>
              <w:snapToGrid w:val="0"/>
              <w:spacing w:line="440" w:lineRule="exact"/>
              <w:rPr>
                <w:color w:val="auto"/>
                <w:sz w:val="18"/>
                <w:szCs w:val="18"/>
              </w:rPr>
            </w:pPr>
          </w:p>
        </w:tc>
        <w:tc>
          <w:tcPr>
            <w:tcW w:w="1017" w:type="dxa"/>
            <w:gridSpan w:val="2"/>
            <w:vMerge w:val="continue"/>
            <w:vAlign w:val="center"/>
          </w:tcPr>
          <w:p w14:paraId="0B43F0BA">
            <w:pPr>
              <w:adjustRightInd w:val="0"/>
              <w:snapToGrid w:val="0"/>
              <w:spacing w:line="280" w:lineRule="exact"/>
              <w:rPr>
                <w:color w:val="auto"/>
                <w:sz w:val="18"/>
                <w:szCs w:val="18"/>
              </w:rPr>
            </w:pPr>
          </w:p>
        </w:tc>
        <w:tc>
          <w:tcPr>
            <w:tcW w:w="1064" w:type="dxa"/>
            <w:vAlign w:val="center"/>
          </w:tcPr>
          <w:p w14:paraId="5AD43994">
            <w:pPr>
              <w:adjustRightInd w:val="0"/>
              <w:snapToGrid w:val="0"/>
              <w:spacing w:line="280" w:lineRule="exact"/>
              <w:ind w:left="180" w:hanging="180" w:hangingChars="100"/>
              <w:rPr>
                <w:color w:val="auto"/>
                <w:sz w:val="18"/>
                <w:szCs w:val="18"/>
              </w:rPr>
            </w:pPr>
            <w:r>
              <w:rPr>
                <w:color w:val="auto"/>
                <w:sz w:val="18"/>
                <w:szCs w:val="18"/>
              </w:rPr>
              <w:t>容积（m</w:t>
            </w:r>
            <w:r>
              <w:rPr>
                <w:color w:val="auto"/>
                <w:sz w:val="18"/>
                <w:szCs w:val="18"/>
                <w:vertAlign w:val="superscript"/>
              </w:rPr>
              <w:t>3</w:t>
            </w:r>
            <w:r>
              <w:rPr>
                <w:color w:val="auto"/>
                <w:sz w:val="18"/>
                <w:szCs w:val="18"/>
              </w:rPr>
              <w:t>）</w:t>
            </w:r>
          </w:p>
        </w:tc>
        <w:tc>
          <w:tcPr>
            <w:tcW w:w="1162" w:type="dxa"/>
            <w:vAlign w:val="center"/>
          </w:tcPr>
          <w:p w14:paraId="3029FDC7">
            <w:pPr>
              <w:adjustRightInd w:val="0"/>
              <w:snapToGrid w:val="0"/>
              <w:spacing w:line="280" w:lineRule="exact"/>
              <w:ind w:left="5" w:leftChars="-13" w:right="-80" w:rightChars="-38" w:hanging="32" w:hangingChars="18"/>
              <w:jc w:val="center"/>
              <w:rPr>
                <w:color w:val="auto"/>
                <w:sz w:val="18"/>
                <w:szCs w:val="18"/>
              </w:rPr>
            </w:pPr>
            <w:r>
              <w:rPr>
                <w:color w:val="auto"/>
                <w:sz w:val="18"/>
                <w:szCs w:val="18"/>
              </w:rPr>
              <w:t>50～100</w:t>
            </w:r>
          </w:p>
        </w:tc>
        <w:tc>
          <w:tcPr>
            <w:tcW w:w="1260" w:type="dxa"/>
            <w:vAlign w:val="center"/>
          </w:tcPr>
          <w:p w14:paraId="5574CD64">
            <w:pPr>
              <w:adjustRightInd w:val="0"/>
              <w:snapToGrid w:val="0"/>
              <w:spacing w:line="280" w:lineRule="exact"/>
              <w:ind w:left="15" w:leftChars="-38" w:right="-92" w:rightChars="-44" w:hanging="95" w:hangingChars="53"/>
              <w:jc w:val="center"/>
              <w:rPr>
                <w:color w:val="auto"/>
                <w:sz w:val="18"/>
                <w:szCs w:val="18"/>
              </w:rPr>
            </w:pPr>
            <w:r>
              <w:rPr>
                <w:color w:val="auto"/>
                <w:sz w:val="18"/>
                <w:szCs w:val="18"/>
              </w:rPr>
              <w:t>100～200</w:t>
            </w:r>
          </w:p>
        </w:tc>
        <w:tc>
          <w:tcPr>
            <w:tcW w:w="1106" w:type="dxa"/>
            <w:vAlign w:val="center"/>
          </w:tcPr>
          <w:p w14:paraId="6DBD4424">
            <w:pPr>
              <w:adjustRightInd w:val="0"/>
              <w:snapToGrid w:val="0"/>
              <w:spacing w:line="280" w:lineRule="exact"/>
              <w:ind w:left="-8" w:leftChars="-51" w:right="-107" w:rightChars="-51" w:hanging="99" w:hangingChars="55"/>
              <w:jc w:val="center"/>
              <w:rPr>
                <w:color w:val="auto"/>
                <w:sz w:val="18"/>
                <w:szCs w:val="18"/>
              </w:rPr>
            </w:pPr>
            <w:r>
              <w:rPr>
                <w:color w:val="auto"/>
                <w:sz w:val="18"/>
                <w:szCs w:val="18"/>
              </w:rPr>
              <w:t>200～300</w:t>
            </w:r>
          </w:p>
        </w:tc>
        <w:tc>
          <w:tcPr>
            <w:tcW w:w="1427" w:type="dxa"/>
            <w:gridSpan w:val="2"/>
            <w:vAlign w:val="center"/>
          </w:tcPr>
          <w:p w14:paraId="67A0D48F">
            <w:pPr>
              <w:adjustRightInd w:val="0"/>
              <w:snapToGrid w:val="0"/>
              <w:spacing w:line="280" w:lineRule="exact"/>
              <w:ind w:left="-8" w:leftChars="-51" w:right="-107" w:rightChars="-51" w:hanging="99" w:hangingChars="55"/>
              <w:jc w:val="center"/>
              <w:rPr>
                <w:color w:val="auto"/>
                <w:sz w:val="18"/>
                <w:szCs w:val="18"/>
              </w:rPr>
            </w:pPr>
            <w:r>
              <w:rPr>
                <w:color w:val="auto"/>
                <w:sz w:val="18"/>
                <w:szCs w:val="18"/>
              </w:rPr>
              <w:t>300～500</w:t>
            </w:r>
          </w:p>
        </w:tc>
        <w:tc>
          <w:tcPr>
            <w:tcW w:w="1303" w:type="dxa"/>
            <w:vAlign w:val="center"/>
          </w:tcPr>
          <w:p w14:paraId="5B9961AF">
            <w:pPr>
              <w:adjustRightInd w:val="0"/>
              <w:snapToGrid w:val="0"/>
              <w:spacing w:line="280" w:lineRule="exact"/>
              <w:ind w:left="-17" w:leftChars="-51" w:right="-107" w:rightChars="-51" w:hanging="90" w:hangingChars="55"/>
              <w:jc w:val="center"/>
              <w:rPr>
                <w:color w:val="auto"/>
                <w:spacing w:val="-8"/>
                <w:sz w:val="18"/>
                <w:szCs w:val="18"/>
              </w:rPr>
            </w:pPr>
            <w:r>
              <w:rPr>
                <w:color w:val="auto"/>
                <w:spacing w:val="-8"/>
                <w:sz w:val="18"/>
                <w:szCs w:val="18"/>
              </w:rPr>
              <w:t>500～1000</w:t>
            </w:r>
          </w:p>
        </w:tc>
      </w:tr>
      <w:tr w14:paraId="6C5CB3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01" w:hRule="atLeast"/>
          <w:jc w:val="center"/>
        </w:trPr>
        <w:tc>
          <w:tcPr>
            <w:tcW w:w="9133" w:type="dxa"/>
            <w:gridSpan w:val="10"/>
          </w:tcPr>
          <w:p w14:paraId="7FAF6E42">
            <w:pPr>
              <w:adjustRightInd w:val="0"/>
              <w:snapToGrid w:val="0"/>
              <w:spacing w:line="260" w:lineRule="exact"/>
              <w:ind w:left="504" w:hanging="503" w:hangingChars="280"/>
              <w:rPr>
                <w:color w:val="auto"/>
                <w:sz w:val="18"/>
                <w:szCs w:val="18"/>
              </w:rPr>
            </w:pPr>
            <w:r>
              <w:rPr>
                <w:color w:val="auto"/>
                <w:sz w:val="18"/>
                <w:szCs w:val="18"/>
              </w:rPr>
              <w:t>注</w:t>
            </w:r>
            <w:r>
              <w:rPr>
                <w:bCs/>
                <w:color w:val="auto"/>
                <w:sz w:val="18"/>
                <w:szCs w:val="18"/>
              </w:rPr>
              <w:t>1</w:t>
            </w:r>
            <w:r>
              <w:rPr>
                <w:color w:val="auto"/>
                <w:sz w:val="18"/>
                <w:szCs w:val="18"/>
              </w:rPr>
              <w:t>：地基主要受力层系指条形基础底面下深度为3b（b为基础底面宽度），独立基础下为1.5b，且厚度均不小于5m的范围（二层以下一般的民用建筑除外）；</w:t>
            </w:r>
          </w:p>
          <w:p w14:paraId="7E078BE0">
            <w:pPr>
              <w:adjustRightInd w:val="0"/>
              <w:snapToGrid w:val="0"/>
              <w:spacing w:line="260" w:lineRule="exact"/>
              <w:ind w:left="520" w:hanging="520" w:hangingChars="289"/>
              <w:rPr>
                <w:color w:val="auto"/>
                <w:sz w:val="18"/>
                <w:szCs w:val="18"/>
              </w:rPr>
            </w:pPr>
            <w:r>
              <w:rPr>
                <w:color w:val="auto"/>
                <w:sz w:val="18"/>
                <w:szCs w:val="18"/>
              </w:rPr>
              <w:t>注2：地基主要受力层中如有承载力特征值小于130kPa的土层时，应符合本文件第8章的有关要求；</w:t>
            </w:r>
          </w:p>
          <w:p w14:paraId="203F8E55">
            <w:pPr>
              <w:adjustRightInd w:val="0"/>
              <w:snapToGrid w:val="0"/>
              <w:spacing w:line="260" w:lineRule="exact"/>
              <w:ind w:left="520" w:hanging="520" w:hangingChars="289"/>
              <w:rPr>
                <w:color w:val="auto"/>
                <w:sz w:val="18"/>
                <w:szCs w:val="18"/>
              </w:rPr>
            </w:pPr>
            <w:r>
              <w:rPr>
                <w:color w:val="auto"/>
                <w:sz w:val="18"/>
                <w:szCs w:val="18"/>
              </w:rPr>
              <w:t>注3：表中砌体承重结构和框架结构均指民用建筑，对于工业建筑可按厂房高度、荷载情况折合成与其相当的民用建筑层数。</w:t>
            </w:r>
          </w:p>
          <w:p w14:paraId="7A116045">
            <w:pPr>
              <w:adjustRightInd w:val="0"/>
              <w:snapToGrid w:val="0"/>
              <w:spacing w:line="260" w:lineRule="exact"/>
              <w:ind w:left="520" w:hanging="520" w:hangingChars="289"/>
              <w:rPr>
                <w:color w:val="auto"/>
                <w:sz w:val="18"/>
                <w:szCs w:val="18"/>
              </w:rPr>
            </w:pPr>
            <w:r>
              <w:rPr>
                <w:color w:val="auto"/>
                <w:sz w:val="18"/>
                <w:szCs w:val="18"/>
              </w:rPr>
              <w:t>注4：表中吊车的额定起重量、烟囱高度和水塔容积的数值系指最大值。</w:t>
            </w:r>
          </w:p>
        </w:tc>
      </w:tr>
    </w:tbl>
    <w:p w14:paraId="45105035">
      <w:pPr>
        <w:adjustRightInd w:val="0"/>
        <w:snapToGrid w:val="0"/>
        <w:spacing w:before="240" w:line="340" w:lineRule="atLeast"/>
        <w:ind w:left="1"/>
        <w:rPr>
          <w:color w:val="auto"/>
          <w:szCs w:val="21"/>
        </w:rPr>
      </w:pPr>
      <w:r>
        <w:rPr>
          <w:rFonts w:eastAsia="黑体"/>
          <w:b/>
          <w:bCs/>
          <w:color w:val="auto"/>
          <w:szCs w:val="21"/>
        </w:rPr>
        <w:t>5.6</w:t>
      </w:r>
      <w:r>
        <w:rPr>
          <w:b/>
          <w:bCs/>
          <w:color w:val="auto"/>
          <w:szCs w:val="21"/>
        </w:rPr>
        <w:t xml:space="preserve">  </w:t>
      </w:r>
      <w:r>
        <w:rPr>
          <w:color w:val="auto"/>
          <w:szCs w:val="21"/>
        </w:rPr>
        <w:t>应计算新近填土自重所产生的沉降，在深厚软土区尚应考虑大面积填土所造成的地面沉降对建筑地基基础受力、变形以及使用功能的影响。</w:t>
      </w:r>
    </w:p>
    <w:p w14:paraId="502A5346">
      <w:pPr>
        <w:adjustRightInd w:val="0"/>
        <w:snapToGrid w:val="0"/>
        <w:spacing w:before="120" w:line="360" w:lineRule="exact"/>
        <w:rPr>
          <w:rFonts w:eastAsia="黑体"/>
          <w:bCs/>
          <w:color w:val="auto"/>
          <w:szCs w:val="21"/>
        </w:rPr>
      </w:pPr>
      <w:r>
        <w:rPr>
          <w:rFonts w:eastAsia="黑体"/>
          <w:b/>
          <w:bCs/>
          <w:color w:val="auto"/>
          <w:szCs w:val="21"/>
        </w:rPr>
        <w:t>5.7</w:t>
      </w:r>
      <w:r>
        <w:rPr>
          <w:rFonts w:eastAsia="黑体"/>
          <w:bCs/>
          <w:color w:val="auto"/>
          <w:szCs w:val="21"/>
        </w:rPr>
        <w:t xml:space="preserve">  </w:t>
      </w:r>
      <w:r>
        <w:rPr>
          <w:rFonts w:hint="eastAsia"/>
          <w:color w:val="auto"/>
          <w:szCs w:val="21"/>
        </w:rPr>
        <w:t>桩基沉降计算应符合下列规定：</w:t>
      </w:r>
    </w:p>
    <w:p w14:paraId="48499E06">
      <w:pPr>
        <w:adjustRightInd w:val="0"/>
        <w:snapToGrid w:val="0"/>
        <w:spacing w:line="340" w:lineRule="atLeast"/>
        <w:ind w:firstLine="413" w:firstLineChars="196"/>
        <w:rPr>
          <w:rFonts w:eastAsia="黑体"/>
          <w:b/>
          <w:color w:val="auto"/>
          <w:szCs w:val="21"/>
        </w:rPr>
      </w:pPr>
      <w:r>
        <w:rPr>
          <w:rFonts w:eastAsia="黑体"/>
          <w:b/>
          <w:color w:val="auto"/>
          <w:szCs w:val="21"/>
        </w:rPr>
        <w:t>a)</w:t>
      </w:r>
      <w:r>
        <w:rPr>
          <w:rFonts w:hint="eastAsia" w:eastAsia="黑体"/>
          <w:b/>
          <w:color w:val="auto"/>
          <w:szCs w:val="21"/>
        </w:rPr>
        <w:t xml:space="preserve"> </w:t>
      </w:r>
      <w:r>
        <w:rPr>
          <w:rFonts w:hint="eastAsia"/>
          <w:color w:val="auto"/>
          <w:szCs w:val="21"/>
        </w:rPr>
        <w:t xml:space="preserve"> </w:t>
      </w:r>
      <w:r>
        <w:rPr>
          <w:color w:val="auto"/>
          <w:szCs w:val="21"/>
        </w:rPr>
        <w:t>对以下建筑物的桩基应进行沉降验算：</w:t>
      </w:r>
    </w:p>
    <w:p w14:paraId="076F93CB">
      <w:pPr>
        <w:adjustRightInd w:val="0"/>
        <w:snapToGrid w:val="0"/>
        <w:spacing w:line="340" w:lineRule="atLeast"/>
        <w:ind w:firstLine="732" w:firstLineChars="347"/>
        <w:rPr>
          <w:rFonts w:eastAsia="黑体"/>
          <w:b/>
          <w:color w:val="auto"/>
          <w:szCs w:val="21"/>
        </w:rPr>
      </w:pPr>
      <w:r>
        <w:rPr>
          <w:rFonts w:hint="eastAsia" w:eastAsia="黑体"/>
          <w:b/>
          <w:color w:val="auto"/>
          <w:szCs w:val="21"/>
        </w:rPr>
        <w:t>1）</w:t>
      </w:r>
      <w:r>
        <w:rPr>
          <w:color w:val="auto"/>
          <w:szCs w:val="21"/>
        </w:rPr>
        <w:t>地基基础设计等级为甲级的建筑物桩基；</w:t>
      </w:r>
    </w:p>
    <w:p w14:paraId="32014A91">
      <w:pPr>
        <w:adjustRightInd w:val="0"/>
        <w:snapToGrid w:val="0"/>
        <w:spacing w:line="340" w:lineRule="atLeast"/>
        <w:ind w:firstLine="732" w:firstLineChars="347"/>
        <w:rPr>
          <w:rFonts w:eastAsia="黑体"/>
          <w:b/>
          <w:color w:val="auto"/>
          <w:szCs w:val="21"/>
        </w:rPr>
      </w:pPr>
      <w:r>
        <w:rPr>
          <w:rFonts w:hint="eastAsia" w:eastAsia="黑体"/>
          <w:b/>
          <w:color w:val="auto"/>
          <w:szCs w:val="21"/>
        </w:rPr>
        <w:t>2）</w:t>
      </w:r>
      <w:r>
        <w:rPr>
          <w:rFonts w:hint="eastAsia" w:ascii="宋体" w:hAnsi="宋体"/>
          <w:color w:val="auto"/>
          <w:szCs w:val="21"/>
        </w:rPr>
        <w:t>结构</w:t>
      </w:r>
      <w:r>
        <w:rPr>
          <w:color w:val="auto"/>
          <w:szCs w:val="21"/>
        </w:rPr>
        <w:t>体型复杂、荷载分布不均匀或桩端</w:t>
      </w:r>
      <w:r>
        <w:rPr>
          <w:rFonts w:hint="eastAsia"/>
          <w:color w:val="auto"/>
          <w:szCs w:val="21"/>
        </w:rPr>
        <w:t>平面</w:t>
      </w:r>
      <w:r>
        <w:rPr>
          <w:color w:val="auto"/>
          <w:szCs w:val="21"/>
        </w:rPr>
        <w:t>下存在软弱土层的设计等级为乙级的建筑物桩基；</w:t>
      </w:r>
    </w:p>
    <w:p w14:paraId="30C2E1DD">
      <w:pPr>
        <w:adjustRightInd w:val="0"/>
        <w:snapToGrid w:val="0"/>
        <w:spacing w:line="340" w:lineRule="atLeast"/>
        <w:ind w:firstLine="732" w:firstLineChars="347"/>
        <w:rPr>
          <w:color w:val="auto"/>
          <w:szCs w:val="21"/>
        </w:rPr>
      </w:pPr>
      <w:r>
        <w:rPr>
          <w:rFonts w:hint="eastAsia" w:eastAsia="黑体"/>
          <w:b/>
          <w:color w:val="auto"/>
          <w:szCs w:val="21"/>
        </w:rPr>
        <w:t>3）</w:t>
      </w:r>
      <w:r>
        <w:rPr>
          <w:color w:val="auto"/>
          <w:szCs w:val="21"/>
        </w:rPr>
        <w:t>摩擦型桩基</w:t>
      </w:r>
      <w:r>
        <w:rPr>
          <w:rFonts w:hint="eastAsia"/>
          <w:color w:val="auto"/>
          <w:szCs w:val="21"/>
        </w:rPr>
        <w:t>；</w:t>
      </w:r>
    </w:p>
    <w:p w14:paraId="7B2D463C">
      <w:pPr>
        <w:adjustRightInd w:val="0"/>
        <w:snapToGrid w:val="0"/>
        <w:spacing w:line="340" w:lineRule="atLeast"/>
        <w:ind w:firstLine="728" w:firstLineChars="347"/>
        <w:rPr>
          <w:rFonts w:ascii="宋体" w:hAnsi="宋体"/>
          <w:color w:val="auto"/>
          <w:szCs w:val="21"/>
        </w:rPr>
      </w:pPr>
      <w:r>
        <w:rPr>
          <w:rFonts w:hint="eastAsia" w:ascii="宋体" w:hAnsi="宋体"/>
          <w:color w:val="auto"/>
          <w:szCs w:val="21"/>
        </w:rPr>
        <w:t>4）对桩基沉降有控制要求的非嵌岩桩和非深厚坚硬持力层的桩基。</w:t>
      </w:r>
    </w:p>
    <w:p w14:paraId="5DB1C4E6">
      <w:pPr>
        <w:adjustRightInd w:val="0"/>
        <w:snapToGrid w:val="0"/>
        <w:spacing w:line="340" w:lineRule="atLeast"/>
        <w:ind w:firstLine="413" w:firstLineChars="196"/>
        <w:rPr>
          <w:rFonts w:eastAsia="黑体"/>
          <w:b/>
          <w:color w:val="auto"/>
          <w:szCs w:val="21"/>
        </w:rPr>
      </w:pPr>
      <w:r>
        <w:rPr>
          <w:rFonts w:eastAsia="黑体"/>
          <w:b/>
          <w:color w:val="auto"/>
          <w:szCs w:val="21"/>
        </w:rPr>
        <w:t>b)</w:t>
      </w:r>
      <w:r>
        <w:rPr>
          <w:rFonts w:hint="eastAsia" w:eastAsia="黑体"/>
          <w:b/>
          <w:color w:val="auto"/>
          <w:szCs w:val="21"/>
        </w:rPr>
        <w:t xml:space="preserve">  </w:t>
      </w:r>
      <w:r>
        <w:rPr>
          <w:color w:val="auto"/>
          <w:szCs w:val="21"/>
        </w:rPr>
        <w:t>桩基础沉降不</w:t>
      </w:r>
      <w:r>
        <w:rPr>
          <w:rFonts w:hint="eastAsia"/>
          <w:color w:val="auto"/>
          <w:szCs w:val="21"/>
        </w:rPr>
        <w:t>应</w:t>
      </w:r>
      <w:r>
        <w:rPr>
          <w:color w:val="auto"/>
          <w:szCs w:val="21"/>
        </w:rPr>
        <w:t>超过建筑物的沉降允许值，并应符合本文件表2的规定。</w:t>
      </w:r>
    </w:p>
    <w:p w14:paraId="3BEA68A7">
      <w:pPr>
        <w:adjustRightInd w:val="0"/>
        <w:snapToGrid w:val="0"/>
        <w:spacing w:line="340" w:lineRule="atLeast"/>
        <w:ind w:left="1"/>
        <w:rPr>
          <w:color w:val="auto"/>
          <w:szCs w:val="21"/>
        </w:rPr>
      </w:pPr>
      <w:r>
        <w:rPr>
          <w:rFonts w:eastAsia="黑体"/>
          <w:b/>
          <w:bCs/>
          <w:color w:val="auto"/>
          <w:szCs w:val="21"/>
        </w:rPr>
        <w:t>5.8</w:t>
      </w:r>
      <w:r>
        <w:rPr>
          <w:b/>
          <w:bCs/>
          <w:color w:val="auto"/>
          <w:szCs w:val="21"/>
        </w:rPr>
        <w:t xml:space="preserve">  </w:t>
      </w:r>
      <w:r>
        <w:rPr>
          <w:color w:val="auto"/>
          <w:szCs w:val="21"/>
        </w:rPr>
        <w:t>嵌岩桩可不进行沉降验算。桩端持力层为中密及中密以上砂类土、碎石土或硬塑状态及硬塑以上的老黏性土，当无软弱下卧层时，20层以下对沉降无特殊要求的建筑物桩基可不进行沉降验算。</w:t>
      </w:r>
    </w:p>
    <w:p w14:paraId="4B58FEC0">
      <w:pPr>
        <w:snapToGrid w:val="0"/>
        <w:spacing w:line="340" w:lineRule="atLeast"/>
        <w:rPr>
          <w:color w:val="auto"/>
        </w:rPr>
      </w:pPr>
      <w:r>
        <w:rPr>
          <w:rFonts w:eastAsia="黑体"/>
          <w:b/>
          <w:bCs/>
          <w:color w:val="auto"/>
          <w:szCs w:val="21"/>
        </w:rPr>
        <w:t>5.9</w:t>
      </w:r>
      <w:r>
        <w:rPr>
          <w:color w:val="auto"/>
        </w:rPr>
        <w:t xml:space="preserve">  </w:t>
      </w:r>
      <w:r>
        <w:rPr>
          <w:rFonts w:hAnsi="宋体"/>
          <w:color w:val="auto"/>
        </w:rPr>
        <w:t>经过地基处理的工程均应按本文件第</w:t>
      </w:r>
      <w:r>
        <w:rPr>
          <w:color w:val="auto"/>
        </w:rPr>
        <w:t>9</w:t>
      </w:r>
      <w:r>
        <w:rPr>
          <w:rFonts w:hAnsi="宋体"/>
          <w:color w:val="auto"/>
        </w:rPr>
        <w:t>章的规定进行沉降验算。</w:t>
      </w:r>
    </w:p>
    <w:p w14:paraId="5667C1E4">
      <w:pPr>
        <w:adjustRightInd w:val="0"/>
        <w:snapToGrid w:val="0"/>
        <w:spacing w:line="340" w:lineRule="atLeast"/>
        <w:ind w:left="1"/>
        <w:rPr>
          <w:color w:val="auto"/>
          <w:szCs w:val="21"/>
        </w:rPr>
      </w:pPr>
      <w:r>
        <w:rPr>
          <w:rFonts w:eastAsia="黑体"/>
          <w:b/>
          <w:bCs/>
          <w:color w:val="auto"/>
          <w:szCs w:val="21"/>
        </w:rPr>
        <w:t>5.10</w:t>
      </w:r>
      <w:r>
        <w:rPr>
          <w:color w:val="auto"/>
          <w:szCs w:val="21"/>
        </w:rPr>
        <w:t xml:space="preserve">  地基基础的耐久性设计应符合下列规定：</w:t>
      </w:r>
    </w:p>
    <w:p w14:paraId="5D7CE138">
      <w:pPr>
        <w:adjustRightInd w:val="0"/>
        <w:snapToGrid w:val="0"/>
        <w:spacing w:line="340" w:lineRule="atLeast"/>
        <w:ind w:left="1" w:firstLine="413" w:firstLineChars="196"/>
        <w:rPr>
          <w:color w:val="auto"/>
          <w:szCs w:val="21"/>
        </w:rPr>
      </w:pPr>
      <w:r>
        <w:rPr>
          <w:rFonts w:eastAsia="黑体"/>
          <w:b/>
          <w:bCs/>
          <w:color w:val="auto"/>
          <w:szCs w:val="21"/>
        </w:rPr>
        <w:t>a)</w:t>
      </w:r>
      <w:r>
        <w:rPr>
          <w:color w:val="auto"/>
          <w:szCs w:val="21"/>
        </w:rPr>
        <w:t xml:space="preserve"> 地基基础的耐久性应根据设计工作年限、现行国家标准GB/T</w:t>
      </w:r>
      <w:r>
        <w:rPr>
          <w:rFonts w:hint="eastAsia"/>
          <w:color w:val="auto"/>
          <w:szCs w:val="21"/>
          <w:lang w:val="en-US" w:eastAsia="zh-CN"/>
        </w:rPr>
        <w:t xml:space="preserve"> </w:t>
      </w:r>
      <w:r>
        <w:rPr>
          <w:color w:val="auto"/>
          <w:szCs w:val="21"/>
        </w:rPr>
        <w:t>50010的有关环境类别的规定以及水、土对钢、混凝土的腐蚀性评价进行设计。</w:t>
      </w:r>
    </w:p>
    <w:p w14:paraId="7C7B47F6">
      <w:pPr>
        <w:adjustRightInd w:val="0"/>
        <w:snapToGrid w:val="0"/>
        <w:spacing w:line="340" w:lineRule="atLeast"/>
        <w:ind w:left="1" w:firstLine="413" w:firstLineChars="196"/>
        <w:rPr>
          <w:color w:val="auto"/>
          <w:szCs w:val="21"/>
        </w:rPr>
      </w:pPr>
      <w:r>
        <w:rPr>
          <w:rFonts w:eastAsia="黑体"/>
          <w:b/>
          <w:bCs/>
          <w:color w:val="auto"/>
          <w:szCs w:val="21"/>
        </w:rPr>
        <w:t>b)</w:t>
      </w:r>
      <w:r>
        <w:rPr>
          <w:color w:val="auto"/>
          <w:szCs w:val="21"/>
        </w:rPr>
        <w:t xml:space="preserve"> 二类和三类环境中，设计工作年限为50年的地基基础混凝土结构，其材料</w:t>
      </w:r>
      <w:r>
        <w:rPr>
          <w:rFonts w:hint="eastAsia"/>
          <w:color w:val="auto"/>
          <w:szCs w:val="21"/>
        </w:rPr>
        <w:t>耐久性的基本要求应</w:t>
      </w:r>
      <w:r>
        <w:rPr>
          <w:color w:val="auto"/>
          <w:szCs w:val="21"/>
        </w:rPr>
        <w:t>符合表4的规定。</w:t>
      </w:r>
    </w:p>
    <w:p w14:paraId="7A8966CC">
      <w:pPr>
        <w:adjustRightInd w:val="0"/>
        <w:snapToGrid w:val="0"/>
        <w:spacing w:line="340" w:lineRule="atLeast"/>
        <w:ind w:left="1" w:firstLine="411" w:firstLineChars="196"/>
        <w:rPr>
          <w:color w:val="auto"/>
          <w:szCs w:val="21"/>
        </w:rPr>
      </w:pPr>
    </w:p>
    <w:p w14:paraId="5F7DEE89">
      <w:pPr>
        <w:adjustRightInd w:val="0"/>
        <w:snapToGrid w:val="0"/>
        <w:spacing w:line="340" w:lineRule="atLeast"/>
        <w:ind w:left="1" w:firstLine="411" w:firstLineChars="196"/>
        <w:rPr>
          <w:color w:val="auto"/>
          <w:szCs w:val="21"/>
        </w:rPr>
      </w:pPr>
    </w:p>
    <w:p w14:paraId="56AEFC39">
      <w:pPr>
        <w:adjustRightInd w:val="0"/>
        <w:snapToGrid w:val="0"/>
        <w:spacing w:before="120" w:line="360" w:lineRule="exact"/>
        <w:jc w:val="center"/>
        <w:rPr>
          <w:rFonts w:eastAsia="黑体"/>
          <w:b/>
          <w:color w:val="auto"/>
          <w:szCs w:val="21"/>
        </w:rPr>
      </w:pPr>
      <w:r>
        <w:rPr>
          <w:rFonts w:eastAsia="黑体"/>
          <w:b/>
          <w:color w:val="auto"/>
          <w:szCs w:val="21"/>
        </w:rPr>
        <w:t>表4   地基基础混凝土材料耐久性的基本要求</w:t>
      </w:r>
    </w:p>
    <w:tbl>
      <w:tblPr>
        <w:tblStyle w:val="36"/>
        <w:tblW w:w="91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59"/>
        <w:gridCol w:w="806"/>
        <w:gridCol w:w="1273"/>
        <w:gridCol w:w="1995"/>
        <w:gridCol w:w="1880"/>
        <w:gridCol w:w="2425"/>
      </w:tblGrid>
      <w:tr w14:paraId="31E28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565" w:type="dxa"/>
            <w:gridSpan w:val="2"/>
            <w:vAlign w:val="center"/>
          </w:tcPr>
          <w:p w14:paraId="66238FDD">
            <w:pPr>
              <w:adjustRightInd w:val="0"/>
              <w:snapToGrid w:val="0"/>
              <w:jc w:val="center"/>
              <w:rPr>
                <w:color w:val="auto"/>
                <w:sz w:val="18"/>
                <w:szCs w:val="18"/>
              </w:rPr>
            </w:pPr>
            <w:r>
              <w:rPr>
                <w:color w:val="auto"/>
                <w:sz w:val="18"/>
                <w:szCs w:val="18"/>
              </w:rPr>
              <w:t>环境类别</w:t>
            </w:r>
          </w:p>
        </w:tc>
        <w:tc>
          <w:tcPr>
            <w:tcW w:w="1273" w:type="dxa"/>
            <w:vAlign w:val="center"/>
          </w:tcPr>
          <w:p w14:paraId="3B6A7259">
            <w:pPr>
              <w:adjustRightInd w:val="0"/>
              <w:snapToGrid w:val="0"/>
              <w:jc w:val="center"/>
              <w:rPr>
                <w:color w:val="auto"/>
                <w:sz w:val="18"/>
                <w:szCs w:val="18"/>
              </w:rPr>
            </w:pPr>
            <w:r>
              <w:rPr>
                <w:color w:val="auto"/>
                <w:sz w:val="18"/>
                <w:szCs w:val="18"/>
              </w:rPr>
              <w:t>最大水胶比</w:t>
            </w:r>
          </w:p>
        </w:tc>
        <w:tc>
          <w:tcPr>
            <w:tcW w:w="1995" w:type="dxa"/>
            <w:vAlign w:val="center"/>
          </w:tcPr>
          <w:p w14:paraId="561C51B7">
            <w:pPr>
              <w:adjustRightInd w:val="0"/>
              <w:snapToGrid w:val="0"/>
              <w:jc w:val="center"/>
              <w:rPr>
                <w:color w:val="auto"/>
                <w:sz w:val="18"/>
                <w:szCs w:val="18"/>
              </w:rPr>
            </w:pPr>
            <w:r>
              <w:rPr>
                <w:color w:val="auto"/>
                <w:sz w:val="18"/>
                <w:szCs w:val="18"/>
              </w:rPr>
              <w:t>混凝土最低强度等级</w:t>
            </w:r>
          </w:p>
        </w:tc>
        <w:tc>
          <w:tcPr>
            <w:tcW w:w="1880" w:type="dxa"/>
            <w:vAlign w:val="center"/>
          </w:tcPr>
          <w:p w14:paraId="1B1A3865">
            <w:pPr>
              <w:adjustRightInd w:val="0"/>
              <w:snapToGrid w:val="0"/>
              <w:jc w:val="center"/>
              <w:rPr>
                <w:color w:val="auto"/>
                <w:sz w:val="18"/>
                <w:szCs w:val="18"/>
              </w:rPr>
            </w:pPr>
            <w:r>
              <w:rPr>
                <w:rFonts w:hint="eastAsia"/>
                <w:color w:val="auto"/>
                <w:sz w:val="18"/>
                <w:szCs w:val="18"/>
              </w:rPr>
              <w:t>水溶性</w:t>
            </w:r>
            <w:r>
              <w:rPr>
                <w:color w:val="auto"/>
                <w:sz w:val="18"/>
                <w:szCs w:val="18"/>
              </w:rPr>
              <w:t>氯离子最大含量（%）</w:t>
            </w:r>
          </w:p>
        </w:tc>
        <w:tc>
          <w:tcPr>
            <w:tcW w:w="2425" w:type="dxa"/>
            <w:vAlign w:val="center"/>
          </w:tcPr>
          <w:p w14:paraId="45B296C3">
            <w:pPr>
              <w:adjustRightInd w:val="0"/>
              <w:snapToGrid w:val="0"/>
              <w:jc w:val="center"/>
              <w:rPr>
                <w:color w:val="auto"/>
                <w:sz w:val="18"/>
                <w:szCs w:val="18"/>
              </w:rPr>
            </w:pPr>
            <w:r>
              <w:rPr>
                <w:color w:val="auto"/>
                <w:sz w:val="18"/>
                <w:szCs w:val="18"/>
              </w:rPr>
              <w:t>最大碱含量（kg/m</w:t>
            </w:r>
            <w:r>
              <w:rPr>
                <w:color w:val="auto"/>
                <w:sz w:val="18"/>
                <w:szCs w:val="18"/>
                <w:vertAlign w:val="superscript"/>
              </w:rPr>
              <w:t>3</w:t>
            </w:r>
            <w:r>
              <w:rPr>
                <w:color w:val="auto"/>
                <w:sz w:val="18"/>
                <w:szCs w:val="18"/>
              </w:rPr>
              <w:t>）</w:t>
            </w:r>
          </w:p>
        </w:tc>
      </w:tr>
      <w:tr w14:paraId="69CD5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759" w:type="dxa"/>
            <w:vMerge w:val="restart"/>
            <w:vAlign w:val="center"/>
          </w:tcPr>
          <w:p w14:paraId="3D669330">
            <w:pPr>
              <w:adjustRightInd w:val="0"/>
              <w:snapToGrid w:val="0"/>
              <w:spacing w:line="340" w:lineRule="exact"/>
              <w:jc w:val="center"/>
              <w:rPr>
                <w:color w:val="auto"/>
                <w:sz w:val="18"/>
                <w:szCs w:val="18"/>
              </w:rPr>
            </w:pPr>
            <w:r>
              <w:rPr>
                <w:color w:val="auto"/>
                <w:sz w:val="18"/>
                <w:szCs w:val="18"/>
              </w:rPr>
              <w:t>二</w:t>
            </w:r>
          </w:p>
        </w:tc>
        <w:tc>
          <w:tcPr>
            <w:tcW w:w="806" w:type="dxa"/>
            <w:vAlign w:val="center"/>
          </w:tcPr>
          <w:p w14:paraId="6174D2A3">
            <w:pPr>
              <w:adjustRightInd w:val="0"/>
              <w:snapToGrid w:val="0"/>
              <w:spacing w:line="340" w:lineRule="exact"/>
              <w:jc w:val="center"/>
              <w:rPr>
                <w:color w:val="auto"/>
                <w:sz w:val="18"/>
                <w:szCs w:val="18"/>
              </w:rPr>
            </w:pPr>
            <w:r>
              <w:rPr>
                <w:color w:val="auto"/>
                <w:sz w:val="18"/>
                <w:szCs w:val="18"/>
              </w:rPr>
              <w:t>a</w:t>
            </w:r>
          </w:p>
        </w:tc>
        <w:tc>
          <w:tcPr>
            <w:tcW w:w="1273" w:type="dxa"/>
            <w:vAlign w:val="center"/>
          </w:tcPr>
          <w:p w14:paraId="7526E495">
            <w:pPr>
              <w:adjustRightInd w:val="0"/>
              <w:snapToGrid w:val="0"/>
              <w:spacing w:line="340" w:lineRule="exact"/>
              <w:jc w:val="center"/>
              <w:rPr>
                <w:color w:val="auto"/>
                <w:sz w:val="18"/>
                <w:szCs w:val="18"/>
              </w:rPr>
            </w:pPr>
            <w:r>
              <w:rPr>
                <w:color w:val="auto"/>
                <w:sz w:val="18"/>
                <w:szCs w:val="18"/>
              </w:rPr>
              <w:t>0.55</w:t>
            </w:r>
          </w:p>
        </w:tc>
        <w:tc>
          <w:tcPr>
            <w:tcW w:w="1995" w:type="dxa"/>
            <w:vAlign w:val="center"/>
          </w:tcPr>
          <w:p w14:paraId="6BE4315A">
            <w:pPr>
              <w:adjustRightInd w:val="0"/>
              <w:snapToGrid w:val="0"/>
              <w:spacing w:line="340" w:lineRule="exact"/>
              <w:jc w:val="center"/>
              <w:rPr>
                <w:color w:val="auto"/>
                <w:sz w:val="18"/>
                <w:szCs w:val="18"/>
              </w:rPr>
            </w:pPr>
            <w:r>
              <w:rPr>
                <w:color w:val="auto"/>
                <w:sz w:val="18"/>
                <w:szCs w:val="18"/>
              </w:rPr>
              <w:t>C25</w:t>
            </w:r>
          </w:p>
        </w:tc>
        <w:tc>
          <w:tcPr>
            <w:tcW w:w="1880" w:type="dxa"/>
            <w:vAlign w:val="center"/>
          </w:tcPr>
          <w:p w14:paraId="59693C39">
            <w:pPr>
              <w:adjustRightInd w:val="0"/>
              <w:snapToGrid w:val="0"/>
              <w:spacing w:line="340" w:lineRule="exact"/>
              <w:jc w:val="center"/>
              <w:rPr>
                <w:color w:val="auto"/>
                <w:sz w:val="18"/>
                <w:szCs w:val="18"/>
              </w:rPr>
            </w:pPr>
            <w:r>
              <w:rPr>
                <w:color w:val="auto"/>
                <w:sz w:val="18"/>
                <w:szCs w:val="18"/>
              </w:rPr>
              <w:t>0.2</w:t>
            </w:r>
          </w:p>
        </w:tc>
        <w:tc>
          <w:tcPr>
            <w:tcW w:w="2425" w:type="dxa"/>
            <w:vAlign w:val="center"/>
          </w:tcPr>
          <w:p w14:paraId="78FEB13A">
            <w:pPr>
              <w:adjustRightInd w:val="0"/>
              <w:snapToGrid w:val="0"/>
              <w:spacing w:line="340" w:lineRule="exact"/>
              <w:jc w:val="center"/>
              <w:rPr>
                <w:color w:val="auto"/>
                <w:sz w:val="18"/>
                <w:szCs w:val="18"/>
              </w:rPr>
            </w:pPr>
            <w:r>
              <w:rPr>
                <w:color w:val="auto"/>
                <w:sz w:val="18"/>
                <w:szCs w:val="18"/>
              </w:rPr>
              <w:t>3.0</w:t>
            </w:r>
          </w:p>
        </w:tc>
      </w:tr>
      <w:tr w14:paraId="7707B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759" w:type="dxa"/>
            <w:vMerge w:val="continue"/>
            <w:vAlign w:val="center"/>
          </w:tcPr>
          <w:p w14:paraId="6DE98A73">
            <w:pPr>
              <w:adjustRightInd w:val="0"/>
              <w:snapToGrid w:val="0"/>
              <w:spacing w:line="340" w:lineRule="exact"/>
              <w:jc w:val="center"/>
              <w:rPr>
                <w:color w:val="auto"/>
                <w:sz w:val="18"/>
                <w:szCs w:val="18"/>
              </w:rPr>
            </w:pPr>
          </w:p>
        </w:tc>
        <w:tc>
          <w:tcPr>
            <w:tcW w:w="806" w:type="dxa"/>
            <w:vAlign w:val="center"/>
          </w:tcPr>
          <w:p w14:paraId="3D4AA66A">
            <w:pPr>
              <w:adjustRightInd w:val="0"/>
              <w:snapToGrid w:val="0"/>
              <w:spacing w:line="340" w:lineRule="exact"/>
              <w:jc w:val="center"/>
              <w:rPr>
                <w:color w:val="auto"/>
                <w:sz w:val="18"/>
                <w:szCs w:val="18"/>
              </w:rPr>
            </w:pPr>
            <w:r>
              <w:rPr>
                <w:color w:val="auto"/>
                <w:sz w:val="18"/>
                <w:szCs w:val="18"/>
              </w:rPr>
              <w:t>b</w:t>
            </w:r>
          </w:p>
        </w:tc>
        <w:tc>
          <w:tcPr>
            <w:tcW w:w="1273" w:type="dxa"/>
            <w:vAlign w:val="center"/>
          </w:tcPr>
          <w:p w14:paraId="5D9BB28C">
            <w:pPr>
              <w:adjustRightInd w:val="0"/>
              <w:snapToGrid w:val="0"/>
              <w:spacing w:line="340" w:lineRule="exact"/>
              <w:jc w:val="center"/>
              <w:rPr>
                <w:color w:val="auto"/>
                <w:sz w:val="18"/>
                <w:szCs w:val="18"/>
              </w:rPr>
            </w:pPr>
            <w:r>
              <w:rPr>
                <w:color w:val="auto"/>
                <w:sz w:val="18"/>
                <w:szCs w:val="18"/>
              </w:rPr>
              <w:t>0.50</w:t>
            </w:r>
          </w:p>
        </w:tc>
        <w:tc>
          <w:tcPr>
            <w:tcW w:w="1995" w:type="dxa"/>
            <w:vAlign w:val="center"/>
          </w:tcPr>
          <w:p w14:paraId="7C191B2A">
            <w:pPr>
              <w:adjustRightInd w:val="0"/>
              <w:snapToGrid w:val="0"/>
              <w:spacing w:line="340" w:lineRule="exact"/>
              <w:jc w:val="center"/>
              <w:rPr>
                <w:color w:val="auto"/>
                <w:sz w:val="18"/>
                <w:szCs w:val="18"/>
              </w:rPr>
            </w:pPr>
            <w:r>
              <w:rPr>
                <w:color w:val="auto"/>
                <w:sz w:val="18"/>
                <w:szCs w:val="18"/>
              </w:rPr>
              <w:t>C30</w:t>
            </w:r>
          </w:p>
        </w:tc>
        <w:tc>
          <w:tcPr>
            <w:tcW w:w="1880" w:type="dxa"/>
            <w:vAlign w:val="center"/>
          </w:tcPr>
          <w:p w14:paraId="668FC4C0">
            <w:pPr>
              <w:adjustRightInd w:val="0"/>
              <w:snapToGrid w:val="0"/>
              <w:spacing w:line="340" w:lineRule="exact"/>
              <w:jc w:val="center"/>
              <w:rPr>
                <w:color w:val="auto"/>
                <w:sz w:val="18"/>
                <w:szCs w:val="18"/>
              </w:rPr>
            </w:pPr>
            <w:r>
              <w:rPr>
                <w:color w:val="auto"/>
                <w:sz w:val="18"/>
                <w:szCs w:val="18"/>
              </w:rPr>
              <w:t>0.15</w:t>
            </w:r>
          </w:p>
        </w:tc>
        <w:tc>
          <w:tcPr>
            <w:tcW w:w="2425" w:type="dxa"/>
            <w:vAlign w:val="center"/>
          </w:tcPr>
          <w:p w14:paraId="59B547FC">
            <w:pPr>
              <w:adjustRightInd w:val="0"/>
              <w:snapToGrid w:val="0"/>
              <w:spacing w:line="340" w:lineRule="exact"/>
              <w:jc w:val="center"/>
              <w:rPr>
                <w:color w:val="auto"/>
                <w:sz w:val="18"/>
                <w:szCs w:val="18"/>
              </w:rPr>
            </w:pPr>
            <w:r>
              <w:rPr>
                <w:color w:val="auto"/>
                <w:sz w:val="18"/>
                <w:szCs w:val="18"/>
              </w:rPr>
              <w:t>3.0</w:t>
            </w:r>
          </w:p>
        </w:tc>
      </w:tr>
      <w:tr w14:paraId="3E215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759" w:type="dxa"/>
            <w:vAlign w:val="center"/>
          </w:tcPr>
          <w:p w14:paraId="1A6E65E5">
            <w:pPr>
              <w:adjustRightInd w:val="0"/>
              <w:snapToGrid w:val="0"/>
              <w:spacing w:line="340" w:lineRule="exact"/>
              <w:jc w:val="center"/>
              <w:rPr>
                <w:color w:val="auto"/>
                <w:sz w:val="18"/>
                <w:szCs w:val="18"/>
              </w:rPr>
            </w:pPr>
            <w:r>
              <w:rPr>
                <w:color w:val="auto"/>
                <w:sz w:val="18"/>
                <w:szCs w:val="18"/>
              </w:rPr>
              <w:t>三</w:t>
            </w:r>
          </w:p>
        </w:tc>
        <w:tc>
          <w:tcPr>
            <w:tcW w:w="806" w:type="dxa"/>
            <w:vAlign w:val="center"/>
          </w:tcPr>
          <w:p w14:paraId="62A9B9C5">
            <w:pPr>
              <w:adjustRightInd w:val="0"/>
              <w:snapToGrid w:val="0"/>
              <w:spacing w:line="340" w:lineRule="exact"/>
              <w:jc w:val="center"/>
              <w:rPr>
                <w:color w:val="auto"/>
                <w:sz w:val="18"/>
                <w:szCs w:val="18"/>
              </w:rPr>
            </w:pPr>
            <w:r>
              <w:rPr>
                <w:color w:val="auto"/>
                <w:sz w:val="18"/>
                <w:szCs w:val="18"/>
              </w:rPr>
              <w:t>a</w:t>
            </w:r>
          </w:p>
        </w:tc>
        <w:tc>
          <w:tcPr>
            <w:tcW w:w="1273" w:type="dxa"/>
            <w:vAlign w:val="center"/>
          </w:tcPr>
          <w:p w14:paraId="02D009F8">
            <w:pPr>
              <w:adjustRightInd w:val="0"/>
              <w:snapToGrid w:val="0"/>
              <w:spacing w:line="340" w:lineRule="exact"/>
              <w:jc w:val="center"/>
              <w:rPr>
                <w:color w:val="auto"/>
                <w:sz w:val="18"/>
                <w:szCs w:val="18"/>
              </w:rPr>
            </w:pPr>
            <w:r>
              <w:rPr>
                <w:color w:val="auto"/>
                <w:sz w:val="18"/>
                <w:szCs w:val="18"/>
              </w:rPr>
              <w:t>0.45</w:t>
            </w:r>
            <w:r>
              <w:rPr>
                <w:rFonts w:hint="eastAsia"/>
                <w:color w:val="auto"/>
                <w:sz w:val="18"/>
                <w:szCs w:val="18"/>
              </w:rPr>
              <w:t>(0.50)</w:t>
            </w:r>
          </w:p>
        </w:tc>
        <w:tc>
          <w:tcPr>
            <w:tcW w:w="1995" w:type="dxa"/>
            <w:vAlign w:val="center"/>
          </w:tcPr>
          <w:p w14:paraId="6A8B221B">
            <w:pPr>
              <w:adjustRightInd w:val="0"/>
              <w:snapToGrid w:val="0"/>
              <w:spacing w:line="340" w:lineRule="exact"/>
              <w:jc w:val="center"/>
              <w:rPr>
                <w:color w:val="auto"/>
                <w:sz w:val="18"/>
                <w:szCs w:val="18"/>
              </w:rPr>
            </w:pPr>
            <w:r>
              <w:rPr>
                <w:color w:val="auto"/>
                <w:sz w:val="18"/>
                <w:szCs w:val="18"/>
              </w:rPr>
              <w:t>C35</w:t>
            </w:r>
            <w:r>
              <w:rPr>
                <w:rFonts w:hint="eastAsia"/>
                <w:color w:val="auto"/>
                <w:sz w:val="18"/>
                <w:szCs w:val="18"/>
              </w:rPr>
              <w:t>(C30)</w:t>
            </w:r>
          </w:p>
        </w:tc>
        <w:tc>
          <w:tcPr>
            <w:tcW w:w="1880" w:type="dxa"/>
            <w:vAlign w:val="center"/>
          </w:tcPr>
          <w:p w14:paraId="6A641425">
            <w:pPr>
              <w:adjustRightInd w:val="0"/>
              <w:snapToGrid w:val="0"/>
              <w:spacing w:line="340" w:lineRule="exact"/>
              <w:jc w:val="center"/>
              <w:rPr>
                <w:color w:val="auto"/>
                <w:sz w:val="18"/>
                <w:szCs w:val="18"/>
              </w:rPr>
            </w:pPr>
            <w:r>
              <w:rPr>
                <w:color w:val="auto"/>
                <w:sz w:val="18"/>
                <w:szCs w:val="18"/>
              </w:rPr>
              <w:t>0.15</w:t>
            </w:r>
          </w:p>
        </w:tc>
        <w:tc>
          <w:tcPr>
            <w:tcW w:w="2425" w:type="dxa"/>
            <w:vAlign w:val="center"/>
          </w:tcPr>
          <w:p w14:paraId="4F890F87">
            <w:pPr>
              <w:adjustRightInd w:val="0"/>
              <w:snapToGrid w:val="0"/>
              <w:spacing w:line="340" w:lineRule="exact"/>
              <w:jc w:val="center"/>
              <w:rPr>
                <w:color w:val="auto"/>
                <w:sz w:val="18"/>
                <w:szCs w:val="18"/>
              </w:rPr>
            </w:pPr>
            <w:r>
              <w:rPr>
                <w:color w:val="auto"/>
                <w:sz w:val="18"/>
                <w:szCs w:val="18"/>
              </w:rPr>
              <w:t>3.0</w:t>
            </w:r>
          </w:p>
        </w:tc>
      </w:tr>
      <w:tr w14:paraId="4B8D7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35" w:hRule="atLeast"/>
          <w:jc w:val="center"/>
        </w:trPr>
        <w:tc>
          <w:tcPr>
            <w:tcW w:w="9138" w:type="dxa"/>
            <w:gridSpan w:val="6"/>
            <w:vAlign w:val="center"/>
          </w:tcPr>
          <w:p w14:paraId="71DD1F24">
            <w:pPr>
              <w:adjustRightInd w:val="0"/>
              <w:snapToGrid w:val="0"/>
              <w:spacing w:line="280" w:lineRule="exact"/>
              <w:rPr>
                <w:color w:val="auto"/>
                <w:sz w:val="18"/>
                <w:szCs w:val="18"/>
              </w:rPr>
            </w:pPr>
            <w:r>
              <w:rPr>
                <w:color w:val="auto"/>
                <w:sz w:val="18"/>
                <w:szCs w:val="18"/>
              </w:rPr>
              <w:t>注1：</w:t>
            </w:r>
            <w:r>
              <w:rPr>
                <w:rFonts w:hint="eastAsia"/>
                <w:color w:val="auto"/>
                <w:sz w:val="18"/>
                <w:szCs w:val="18"/>
              </w:rPr>
              <w:t>水溶性</w:t>
            </w:r>
            <w:r>
              <w:rPr>
                <w:color w:val="auto"/>
                <w:sz w:val="18"/>
                <w:szCs w:val="18"/>
              </w:rPr>
              <w:t>氯离子最大含量</w:t>
            </w:r>
            <w:r>
              <w:rPr>
                <w:rFonts w:hint="eastAsia"/>
                <w:color w:val="auto"/>
                <w:sz w:val="18"/>
                <w:szCs w:val="18"/>
              </w:rPr>
              <w:t>按胶凝材料用量的质量百分比计，计算时辅助胶凝材料的量不应大于硅酸盐水泥的量</w:t>
            </w:r>
            <w:r>
              <w:rPr>
                <w:color w:val="auto"/>
                <w:sz w:val="18"/>
                <w:szCs w:val="18"/>
              </w:rPr>
              <w:t>；</w:t>
            </w:r>
          </w:p>
          <w:p w14:paraId="42E74A74">
            <w:pPr>
              <w:adjustRightInd w:val="0"/>
              <w:snapToGrid w:val="0"/>
              <w:spacing w:line="280" w:lineRule="exact"/>
              <w:rPr>
                <w:color w:val="auto"/>
                <w:sz w:val="18"/>
                <w:szCs w:val="18"/>
              </w:rPr>
            </w:pPr>
            <w:r>
              <w:rPr>
                <w:color w:val="auto"/>
                <w:sz w:val="18"/>
                <w:szCs w:val="18"/>
              </w:rPr>
              <w:t>注2：预应力构件混凝土中</w:t>
            </w:r>
            <w:r>
              <w:rPr>
                <w:rFonts w:hint="eastAsia"/>
                <w:color w:val="auto"/>
                <w:sz w:val="18"/>
                <w:szCs w:val="18"/>
              </w:rPr>
              <w:t>水溶性</w:t>
            </w:r>
            <w:r>
              <w:rPr>
                <w:color w:val="auto"/>
                <w:sz w:val="18"/>
                <w:szCs w:val="18"/>
              </w:rPr>
              <w:t>氯离子</w:t>
            </w:r>
            <w:r>
              <w:rPr>
                <w:rFonts w:hint="eastAsia"/>
                <w:color w:val="auto"/>
                <w:sz w:val="18"/>
                <w:szCs w:val="18"/>
              </w:rPr>
              <w:t>最大</w:t>
            </w:r>
            <w:r>
              <w:rPr>
                <w:color w:val="auto"/>
                <w:sz w:val="18"/>
                <w:szCs w:val="18"/>
              </w:rPr>
              <w:t>含量为0.06%，其最低混凝土强度等级</w:t>
            </w:r>
            <w:r>
              <w:rPr>
                <w:rFonts w:hint="eastAsia"/>
                <w:color w:val="auto"/>
                <w:sz w:val="18"/>
                <w:szCs w:val="18"/>
              </w:rPr>
              <w:t>宜</w:t>
            </w:r>
            <w:r>
              <w:rPr>
                <w:color w:val="auto"/>
                <w:sz w:val="18"/>
                <w:szCs w:val="18"/>
              </w:rPr>
              <w:t>按表中规定提高不少于两个等级；</w:t>
            </w:r>
          </w:p>
          <w:p w14:paraId="38E2E340">
            <w:pPr>
              <w:adjustRightInd w:val="0"/>
              <w:snapToGrid w:val="0"/>
              <w:spacing w:line="280" w:lineRule="exact"/>
              <w:rPr>
                <w:color w:val="auto"/>
                <w:sz w:val="18"/>
                <w:szCs w:val="18"/>
              </w:rPr>
            </w:pPr>
            <w:r>
              <w:rPr>
                <w:color w:val="auto"/>
                <w:sz w:val="18"/>
                <w:szCs w:val="18"/>
              </w:rPr>
              <w:t>注3：素混凝土结构的混凝土最大水胶比及最低强度等级的要求可适当放松</w:t>
            </w:r>
            <w:r>
              <w:rPr>
                <w:rFonts w:hint="eastAsia"/>
                <w:color w:val="auto"/>
                <w:sz w:val="18"/>
                <w:szCs w:val="18"/>
              </w:rPr>
              <w:t>，</w:t>
            </w:r>
            <w:r>
              <w:rPr>
                <w:color w:val="auto"/>
                <w:sz w:val="18"/>
                <w:szCs w:val="18"/>
              </w:rPr>
              <w:t>但</w:t>
            </w:r>
            <w:r>
              <w:rPr>
                <w:rFonts w:hint="eastAsia"/>
                <w:color w:val="auto"/>
                <w:sz w:val="18"/>
                <w:szCs w:val="18"/>
              </w:rPr>
              <w:t>混凝土最低强度等级应符合本文件的有关规定</w:t>
            </w:r>
            <w:r>
              <w:rPr>
                <w:color w:val="auto"/>
                <w:sz w:val="18"/>
                <w:szCs w:val="18"/>
              </w:rPr>
              <w:t>；</w:t>
            </w:r>
          </w:p>
          <w:p w14:paraId="7B463D2A">
            <w:pPr>
              <w:adjustRightInd w:val="0"/>
              <w:snapToGrid w:val="0"/>
              <w:spacing w:line="280" w:lineRule="exact"/>
              <w:rPr>
                <w:color w:val="auto"/>
                <w:sz w:val="18"/>
                <w:szCs w:val="18"/>
              </w:rPr>
            </w:pPr>
            <w:r>
              <w:rPr>
                <w:color w:val="auto"/>
                <w:sz w:val="18"/>
                <w:szCs w:val="18"/>
              </w:rPr>
              <w:t>注4：当有可靠工程经验时，</w:t>
            </w:r>
            <w:r>
              <w:rPr>
                <w:rFonts w:hint="eastAsia"/>
                <w:color w:val="auto"/>
                <w:sz w:val="18"/>
                <w:szCs w:val="18"/>
              </w:rPr>
              <w:t>二类环境中的</w:t>
            </w:r>
            <w:r>
              <w:rPr>
                <w:color w:val="auto"/>
                <w:sz w:val="18"/>
                <w:szCs w:val="18"/>
              </w:rPr>
              <w:t>混凝土最低强度等级可</w:t>
            </w:r>
            <w:r>
              <w:rPr>
                <w:rFonts w:hint="eastAsia"/>
                <w:color w:val="auto"/>
                <w:sz w:val="18"/>
                <w:szCs w:val="18"/>
              </w:rPr>
              <w:t>为C</w:t>
            </w:r>
            <w:r>
              <w:rPr>
                <w:color w:val="auto"/>
                <w:sz w:val="18"/>
                <w:szCs w:val="18"/>
              </w:rPr>
              <w:t>25；</w:t>
            </w:r>
          </w:p>
          <w:p w14:paraId="454BF826">
            <w:pPr>
              <w:adjustRightInd w:val="0"/>
              <w:snapToGrid w:val="0"/>
              <w:spacing w:line="280" w:lineRule="exact"/>
              <w:ind w:left="630" w:hanging="630" w:hangingChars="350"/>
              <w:rPr>
                <w:color w:val="auto"/>
                <w:sz w:val="18"/>
                <w:szCs w:val="18"/>
              </w:rPr>
            </w:pPr>
            <w:r>
              <w:rPr>
                <w:color w:val="auto"/>
                <w:sz w:val="18"/>
                <w:szCs w:val="18"/>
              </w:rPr>
              <w:t>注5：处于除冰盐影响环境的三a类环境中的混凝土使用引气剂</w:t>
            </w:r>
            <w:r>
              <w:rPr>
                <w:rFonts w:hint="eastAsia"/>
                <w:color w:val="auto"/>
                <w:sz w:val="18"/>
                <w:szCs w:val="18"/>
              </w:rPr>
              <w:t>时</w:t>
            </w:r>
            <w:r>
              <w:rPr>
                <w:color w:val="auto"/>
                <w:sz w:val="18"/>
                <w:szCs w:val="18"/>
              </w:rPr>
              <w:t>，可</w:t>
            </w:r>
            <w:r>
              <w:rPr>
                <w:rFonts w:hint="eastAsia"/>
                <w:color w:val="auto"/>
                <w:sz w:val="18"/>
                <w:szCs w:val="18"/>
              </w:rPr>
              <w:t>采用括号中的有关参数</w:t>
            </w:r>
            <w:r>
              <w:rPr>
                <w:color w:val="auto"/>
                <w:sz w:val="18"/>
                <w:szCs w:val="18"/>
              </w:rPr>
              <w:t>；</w:t>
            </w:r>
          </w:p>
          <w:p w14:paraId="62F4DE70">
            <w:pPr>
              <w:adjustRightInd w:val="0"/>
              <w:snapToGrid w:val="0"/>
              <w:spacing w:line="280" w:lineRule="exact"/>
              <w:rPr>
                <w:color w:val="auto"/>
                <w:sz w:val="18"/>
                <w:szCs w:val="18"/>
              </w:rPr>
            </w:pPr>
            <w:r>
              <w:rPr>
                <w:color w:val="auto"/>
                <w:sz w:val="18"/>
                <w:szCs w:val="18"/>
              </w:rPr>
              <w:t>注6：当使用非碱活性骨料时，对混凝土中碱含量不作限制。</w:t>
            </w:r>
          </w:p>
        </w:tc>
      </w:tr>
    </w:tbl>
    <w:p w14:paraId="27642B15">
      <w:pPr>
        <w:adjustRightInd w:val="0"/>
        <w:snapToGrid w:val="0"/>
        <w:spacing w:before="240" w:line="340" w:lineRule="atLeast"/>
        <w:ind w:left="1" w:firstLine="422" w:firstLineChars="200"/>
        <w:rPr>
          <w:color w:val="auto"/>
          <w:szCs w:val="21"/>
        </w:rPr>
      </w:pPr>
      <w:r>
        <w:rPr>
          <w:rFonts w:eastAsia="黑体"/>
          <w:b/>
          <w:bCs/>
          <w:color w:val="auto"/>
          <w:szCs w:val="21"/>
        </w:rPr>
        <w:t>c)</w:t>
      </w:r>
      <w:r>
        <w:rPr>
          <w:color w:val="auto"/>
          <w:szCs w:val="21"/>
        </w:rPr>
        <w:t xml:space="preserve"> 二、三类环境中，设计工作年限为100年的混凝土结构应采取专门的有效措施。</w:t>
      </w:r>
    </w:p>
    <w:p w14:paraId="7E65EB85">
      <w:pPr>
        <w:adjustRightInd w:val="0"/>
        <w:snapToGrid w:val="0"/>
        <w:spacing w:line="340" w:lineRule="atLeast"/>
        <w:ind w:left="1" w:firstLine="422" w:firstLineChars="200"/>
        <w:rPr>
          <w:color w:val="auto"/>
          <w:szCs w:val="21"/>
        </w:rPr>
      </w:pPr>
      <w:r>
        <w:rPr>
          <w:rFonts w:eastAsia="黑体"/>
          <w:b/>
          <w:bCs/>
          <w:color w:val="auto"/>
          <w:szCs w:val="21"/>
        </w:rPr>
        <w:t>d)</w:t>
      </w:r>
      <w:r>
        <w:rPr>
          <w:color w:val="auto"/>
          <w:szCs w:val="21"/>
        </w:rPr>
        <w:t xml:space="preserve"> 预应力混凝土、抗渗混凝土的耐久性设计应符合GB/T</w:t>
      </w:r>
      <w:r>
        <w:rPr>
          <w:rFonts w:hint="eastAsia"/>
          <w:color w:val="auto"/>
          <w:szCs w:val="21"/>
          <w:lang w:val="en-US" w:eastAsia="zh-CN"/>
        </w:rPr>
        <w:t xml:space="preserve"> </w:t>
      </w:r>
      <w:r>
        <w:rPr>
          <w:color w:val="auto"/>
          <w:szCs w:val="21"/>
        </w:rPr>
        <w:t>50010的有关规定。</w:t>
      </w:r>
    </w:p>
    <w:p w14:paraId="76279B84">
      <w:pPr>
        <w:adjustRightInd w:val="0"/>
        <w:snapToGrid w:val="0"/>
        <w:spacing w:line="340" w:lineRule="atLeast"/>
        <w:ind w:left="1" w:firstLine="422" w:firstLineChars="200"/>
        <w:rPr>
          <w:color w:val="auto"/>
          <w:szCs w:val="21"/>
        </w:rPr>
      </w:pPr>
      <w:r>
        <w:rPr>
          <w:rFonts w:eastAsia="黑体"/>
          <w:b/>
          <w:bCs/>
          <w:color w:val="auto"/>
          <w:szCs w:val="21"/>
        </w:rPr>
        <w:t>e)</w:t>
      </w:r>
      <w:r>
        <w:rPr>
          <w:color w:val="auto"/>
          <w:szCs w:val="21"/>
        </w:rPr>
        <w:t xml:space="preserve"> 处在三类环境中的混凝土构件，可采用阻锈剂、环氧树脂涂层钢筋或其他具有抗腐蚀性能的钢筋、采取阴极保护等措施。</w:t>
      </w:r>
    </w:p>
    <w:p w14:paraId="4770B58E">
      <w:pPr>
        <w:adjustRightInd w:val="0"/>
        <w:snapToGrid w:val="0"/>
        <w:spacing w:line="340" w:lineRule="atLeast"/>
        <w:ind w:left="1" w:firstLine="422" w:firstLineChars="200"/>
        <w:rPr>
          <w:color w:val="auto"/>
          <w:szCs w:val="21"/>
        </w:rPr>
      </w:pPr>
      <w:r>
        <w:rPr>
          <w:rFonts w:eastAsia="黑体"/>
          <w:b/>
          <w:bCs/>
          <w:color w:val="auto"/>
          <w:szCs w:val="21"/>
        </w:rPr>
        <w:t>f)</w:t>
      </w:r>
      <w:r>
        <w:rPr>
          <w:color w:val="auto"/>
          <w:szCs w:val="21"/>
        </w:rPr>
        <w:t xml:space="preserve"> 处于五类腐蚀环境中的混凝土结构，其耐久性设计应符合现行国家标准GB</w:t>
      </w:r>
      <w:r>
        <w:rPr>
          <w:rFonts w:hint="eastAsia"/>
          <w:color w:val="auto"/>
          <w:szCs w:val="21"/>
          <w:lang w:val="en-US" w:eastAsia="zh-CN"/>
        </w:rPr>
        <w:t xml:space="preserve"> </w:t>
      </w:r>
      <w:r>
        <w:rPr>
          <w:color w:val="auto"/>
          <w:szCs w:val="21"/>
        </w:rPr>
        <w:t>50046的有关规定。</w:t>
      </w:r>
    </w:p>
    <w:p w14:paraId="4248C4B0">
      <w:pPr>
        <w:adjustRightInd w:val="0"/>
        <w:snapToGrid w:val="0"/>
        <w:spacing w:line="360" w:lineRule="atLeast"/>
        <w:ind w:left="1"/>
        <w:rPr>
          <w:color w:val="auto"/>
          <w:szCs w:val="21"/>
        </w:rPr>
      </w:pPr>
      <w:r>
        <w:rPr>
          <w:rFonts w:eastAsia="黑体"/>
          <w:b/>
          <w:bCs/>
          <w:color w:val="auto"/>
          <w:szCs w:val="21"/>
        </w:rPr>
        <w:t>5.11</w:t>
      </w:r>
      <w:r>
        <w:rPr>
          <w:rFonts w:hint="eastAsia"/>
          <w:color w:val="auto"/>
          <w:szCs w:val="21"/>
        </w:rPr>
        <w:t>详细勘察应按单体建筑物或建筑群提出详细的岩土工程资料和设计、施工所需的岩土参数；对建筑地基作出岩土工程评价，并对地基类型、基础型式、地基处理、基坑支护、工程降水和不良地质作用的防治等提出建议。主要应进行下列工作：</w:t>
      </w:r>
    </w:p>
    <w:p w14:paraId="29ACCB45">
      <w:pPr>
        <w:adjustRightInd w:val="0"/>
        <w:snapToGrid w:val="0"/>
        <w:spacing w:line="360" w:lineRule="atLeast"/>
        <w:ind w:left="1"/>
        <w:rPr>
          <w:rFonts w:ascii="宋体" w:hAnsi="宋体"/>
          <w:bCs/>
          <w:color w:val="auto"/>
          <w:szCs w:val="21"/>
          <w:u w:val="single"/>
        </w:rPr>
      </w:pPr>
      <w:r>
        <w:rPr>
          <w:rFonts w:eastAsia="黑体"/>
          <w:b/>
          <w:bCs/>
          <w:color w:val="auto"/>
          <w:szCs w:val="21"/>
        </w:rPr>
        <w:t xml:space="preserve">    </w:t>
      </w:r>
      <w:r>
        <w:rPr>
          <w:rFonts w:ascii="宋体" w:hAnsi="宋体"/>
          <w:bCs/>
          <w:color w:val="auto"/>
          <w:szCs w:val="21"/>
        </w:rPr>
        <w:t>a)</w:t>
      </w:r>
      <w:r>
        <w:rPr>
          <w:rFonts w:hint="eastAsia" w:ascii="宋体" w:hAnsi="宋体"/>
          <w:bCs/>
          <w:color w:val="auto"/>
          <w:szCs w:val="21"/>
        </w:rPr>
        <w:t xml:space="preserve">  搜集附有坐标和地形的建筑总平面图，场区的地面整平标高，建筑物的性质、规模、荷载、结构特点，基础型式、埋置深度，地基允许变形等资料;</w:t>
      </w:r>
    </w:p>
    <w:p w14:paraId="2F3CAFA3">
      <w:pPr>
        <w:adjustRightInd w:val="0"/>
        <w:snapToGrid w:val="0"/>
        <w:spacing w:line="340" w:lineRule="atLeast"/>
        <w:ind w:left="1"/>
        <w:rPr>
          <w:color w:val="auto"/>
          <w:szCs w:val="21"/>
        </w:rPr>
      </w:pPr>
      <w:r>
        <w:rPr>
          <w:rFonts w:hint="eastAsia"/>
          <w:color w:val="auto"/>
          <w:szCs w:val="21"/>
        </w:rPr>
        <w:t xml:space="preserve">    </w:t>
      </w:r>
      <w:r>
        <w:rPr>
          <w:color w:val="auto"/>
          <w:szCs w:val="21"/>
        </w:rPr>
        <w:t>b)</w:t>
      </w:r>
      <w:r>
        <w:rPr>
          <w:rFonts w:hint="eastAsia"/>
          <w:color w:val="auto"/>
          <w:szCs w:val="21"/>
        </w:rPr>
        <w:t xml:space="preserve"> 查明不良地质作用的类型、成因、分布范围、发展趋势和危害程度，提出有关岩土参数和整治方案的建议；</w:t>
      </w:r>
    </w:p>
    <w:p w14:paraId="65069CA8">
      <w:pPr>
        <w:adjustRightInd w:val="0"/>
        <w:snapToGrid w:val="0"/>
        <w:spacing w:line="340" w:lineRule="atLeast"/>
        <w:ind w:left="1"/>
        <w:rPr>
          <w:color w:val="auto"/>
          <w:szCs w:val="21"/>
        </w:rPr>
      </w:pPr>
      <w:r>
        <w:rPr>
          <w:rFonts w:hint="eastAsia"/>
          <w:color w:val="auto"/>
          <w:szCs w:val="21"/>
        </w:rPr>
        <w:t xml:space="preserve">    </w:t>
      </w:r>
      <w:r>
        <w:rPr>
          <w:color w:val="auto"/>
          <w:szCs w:val="21"/>
        </w:rPr>
        <w:t>c)</w:t>
      </w:r>
      <w:r>
        <w:rPr>
          <w:rFonts w:hint="eastAsia"/>
          <w:color w:val="auto"/>
          <w:szCs w:val="21"/>
        </w:rPr>
        <w:t xml:space="preserve"> 查明建筑范围内岩土层的类型、深度、分布、工程特性，分析和评价地基的稳定性、均匀性和承载力；</w:t>
      </w:r>
    </w:p>
    <w:p w14:paraId="2FA0285F">
      <w:pPr>
        <w:adjustRightInd w:val="0"/>
        <w:snapToGrid w:val="0"/>
        <w:spacing w:line="340" w:lineRule="atLeast"/>
        <w:ind w:left="1"/>
        <w:rPr>
          <w:color w:val="auto"/>
          <w:szCs w:val="21"/>
        </w:rPr>
      </w:pPr>
      <w:r>
        <w:rPr>
          <w:rFonts w:hint="eastAsia"/>
          <w:color w:val="auto"/>
          <w:szCs w:val="21"/>
        </w:rPr>
        <w:t xml:space="preserve">    </w:t>
      </w:r>
      <w:r>
        <w:rPr>
          <w:color w:val="auto"/>
          <w:szCs w:val="21"/>
        </w:rPr>
        <w:t xml:space="preserve">d) </w:t>
      </w:r>
      <w:r>
        <w:rPr>
          <w:rFonts w:hint="eastAsia"/>
          <w:color w:val="auto"/>
          <w:szCs w:val="21"/>
        </w:rPr>
        <w:t>对需进行沉降计算的建筑物，提供地基变形计算参数，预测建筑物的变形特征；</w:t>
      </w:r>
    </w:p>
    <w:p w14:paraId="179F1A56">
      <w:pPr>
        <w:adjustRightInd w:val="0"/>
        <w:snapToGrid w:val="0"/>
        <w:spacing w:line="340" w:lineRule="atLeast"/>
        <w:ind w:left="1"/>
        <w:rPr>
          <w:color w:val="auto"/>
          <w:szCs w:val="21"/>
        </w:rPr>
      </w:pPr>
      <w:r>
        <w:rPr>
          <w:rFonts w:hint="eastAsia"/>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e) </w:t>
      </w:r>
      <w:r>
        <w:rPr>
          <w:rFonts w:hint="eastAsia"/>
          <w:color w:val="auto"/>
          <w:szCs w:val="21"/>
        </w:rPr>
        <w:t>查明埋藏的河道、浜沟、墓穴、防空洞、孤石等对工程不利的埋藏物；</w:t>
      </w:r>
    </w:p>
    <w:p w14:paraId="0FF08298">
      <w:pPr>
        <w:adjustRightInd w:val="0"/>
        <w:snapToGrid w:val="0"/>
        <w:spacing w:line="340" w:lineRule="atLeast"/>
        <w:ind w:left="1"/>
        <w:rPr>
          <w:color w:val="auto"/>
          <w:szCs w:val="21"/>
        </w:rPr>
      </w:pPr>
      <w:r>
        <w:rPr>
          <w:rFonts w:hint="eastAsia"/>
          <w:color w:val="auto"/>
          <w:szCs w:val="21"/>
        </w:rPr>
        <w:t xml:space="preserve">  </w:t>
      </w:r>
      <w:r>
        <w:rPr>
          <w:color w:val="auto"/>
          <w:szCs w:val="21"/>
        </w:rPr>
        <w:t xml:space="preserve">  f)</w:t>
      </w:r>
      <w:r>
        <w:rPr>
          <w:rFonts w:hint="eastAsia"/>
          <w:color w:val="auto"/>
          <w:szCs w:val="21"/>
        </w:rPr>
        <w:t xml:space="preserve"> 查明地下水的埋藏条件，提供地下水位及其变化幅度；</w:t>
      </w:r>
    </w:p>
    <w:p w14:paraId="429A37E4">
      <w:pPr>
        <w:adjustRightInd w:val="0"/>
        <w:snapToGrid w:val="0"/>
        <w:spacing w:line="340" w:lineRule="atLeast"/>
        <w:ind w:left="1"/>
        <w:rPr>
          <w:color w:val="auto"/>
          <w:szCs w:val="21"/>
        </w:rPr>
      </w:pPr>
      <w:r>
        <w:rPr>
          <w:rFonts w:hint="eastAsia"/>
          <w:color w:val="auto"/>
          <w:szCs w:val="21"/>
        </w:rPr>
        <w:t xml:space="preserve">   </w:t>
      </w:r>
      <w:r>
        <w:rPr>
          <w:color w:val="auto"/>
          <w:szCs w:val="21"/>
        </w:rPr>
        <w:t xml:space="preserve"> g) </w:t>
      </w:r>
      <w:r>
        <w:rPr>
          <w:rFonts w:hint="eastAsia"/>
          <w:color w:val="auto"/>
          <w:szCs w:val="21"/>
        </w:rPr>
        <w:t>判定水和土对建筑材料的腐蚀性。</w:t>
      </w:r>
    </w:p>
    <w:p w14:paraId="26E17990">
      <w:pPr>
        <w:adjustRightInd w:val="0"/>
        <w:snapToGrid w:val="0"/>
        <w:spacing w:line="360" w:lineRule="atLeast"/>
        <w:ind w:left="1"/>
        <w:rPr>
          <w:rFonts w:eastAsia="黑体"/>
          <w:b/>
          <w:bCs/>
          <w:color w:val="auto"/>
          <w:szCs w:val="21"/>
        </w:rPr>
      </w:pPr>
      <w:r>
        <w:rPr>
          <w:rFonts w:eastAsia="黑体"/>
          <w:b/>
          <w:bCs/>
          <w:color w:val="auto"/>
          <w:szCs w:val="21"/>
        </w:rPr>
        <w:t>5.12</w:t>
      </w:r>
      <w:r>
        <w:rPr>
          <w:rFonts w:hint="eastAsia"/>
          <w:color w:val="auto"/>
          <w:szCs w:val="21"/>
        </w:rPr>
        <w:t>详勘阶段勘探点在平面上应能控制建筑物的地基范围；控制性勘探孔不应少于勘探孔总数的1/3；</w:t>
      </w:r>
      <w:r>
        <w:rPr>
          <w:color w:val="auto"/>
          <w:szCs w:val="21"/>
        </w:rPr>
        <w:t>单栋高层建筑勘探点的布置，应满足对地基均匀性评价的要求，且不应少于4个</w:t>
      </w:r>
      <w:r>
        <w:rPr>
          <w:rFonts w:hint="eastAsia"/>
          <w:color w:val="auto"/>
          <w:szCs w:val="21"/>
        </w:rPr>
        <w:t>，控制性勘探孔不应少于 2 个</w:t>
      </w:r>
      <w:r>
        <w:rPr>
          <w:color w:val="auto"/>
          <w:szCs w:val="21"/>
        </w:rPr>
        <w:t>；对高层建筑群，每栋建筑物至少应有1个控制性勘探点。</w:t>
      </w:r>
    </w:p>
    <w:p w14:paraId="0663D416">
      <w:pPr>
        <w:adjustRightInd w:val="0"/>
        <w:snapToGrid w:val="0"/>
        <w:spacing w:line="340" w:lineRule="atLeast"/>
        <w:ind w:left="1"/>
        <w:rPr>
          <w:color w:val="auto"/>
          <w:szCs w:val="21"/>
        </w:rPr>
      </w:pPr>
      <w:r>
        <w:rPr>
          <w:rFonts w:eastAsia="黑体"/>
          <w:b/>
          <w:bCs/>
          <w:color w:val="auto"/>
          <w:szCs w:val="21"/>
        </w:rPr>
        <w:t>5.13</w:t>
      </w:r>
      <w:r>
        <w:rPr>
          <w:rFonts w:hint="eastAsia" w:eastAsia="黑体"/>
          <w:b/>
          <w:bCs/>
          <w:color w:val="auto"/>
          <w:szCs w:val="21"/>
        </w:rPr>
        <w:t xml:space="preserve"> </w:t>
      </w:r>
      <w:r>
        <w:rPr>
          <w:rFonts w:hint="eastAsia"/>
          <w:color w:val="auto"/>
          <w:szCs w:val="21"/>
        </w:rPr>
        <w:t>详细勘察的勘探深度自设计基础底面算起，应符合下列规定：</w:t>
      </w:r>
    </w:p>
    <w:p w14:paraId="53D87E1B">
      <w:pPr>
        <w:adjustRightInd w:val="0"/>
        <w:snapToGrid w:val="0"/>
        <w:spacing w:line="340" w:lineRule="atLeast"/>
        <w:ind w:left="1" w:firstLine="420" w:firstLineChars="200"/>
        <w:rPr>
          <w:color w:val="auto"/>
          <w:szCs w:val="21"/>
        </w:rPr>
      </w:pPr>
      <w:r>
        <w:rPr>
          <w:color w:val="auto"/>
          <w:szCs w:val="21"/>
        </w:rPr>
        <w:t>a)</w:t>
      </w:r>
      <w:r>
        <w:rPr>
          <w:rFonts w:hint="eastAsia"/>
          <w:color w:val="auto"/>
          <w:szCs w:val="21"/>
        </w:rPr>
        <w:t xml:space="preserve"> 勘探孔深度应能控制地基主要受力层，当基础底面宽度不大于</w:t>
      </w:r>
      <w:r>
        <w:rPr>
          <w:color w:val="auto"/>
          <w:szCs w:val="21"/>
        </w:rPr>
        <w:t>5m</w:t>
      </w:r>
      <w:r>
        <w:rPr>
          <w:rFonts w:hint="eastAsia"/>
          <w:color w:val="auto"/>
          <w:szCs w:val="21"/>
        </w:rPr>
        <w:t>时，勘探孔的深度对条形基础不应小于基础底面宽度的3倍，对单独柱基不应小于</w:t>
      </w:r>
      <w:r>
        <w:rPr>
          <w:color w:val="auto"/>
          <w:szCs w:val="21"/>
        </w:rPr>
        <w:t>1.5</w:t>
      </w:r>
      <w:r>
        <w:rPr>
          <w:rFonts w:hint="eastAsia"/>
          <w:color w:val="auto"/>
          <w:szCs w:val="21"/>
        </w:rPr>
        <w:t>倍，且不应小于</w:t>
      </w:r>
      <w:r>
        <w:rPr>
          <w:color w:val="auto"/>
          <w:szCs w:val="21"/>
        </w:rPr>
        <w:t>5m</w:t>
      </w:r>
      <w:r>
        <w:rPr>
          <w:rFonts w:hint="eastAsia"/>
          <w:color w:val="auto"/>
          <w:szCs w:val="21"/>
        </w:rPr>
        <w:t>；</w:t>
      </w:r>
    </w:p>
    <w:p w14:paraId="2EDC4B2E">
      <w:pPr>
        <w:adjustRightInd w:val="0"/>
        <w:snapToGrid w:val="0"/>
        <w:spacing w:line="340" w:lineRule="atLeast"/>
        <w:ind w:left="1" w:firstLine="420" w:firstLineChars="200"/>
        <w:rPr>
          <w:color w:val="auto"/>
          <w:szCs w:val="21"/>
        </w:rPr>
      </w:pPr>
      <w:r>
        <w:rPr>
          <w:color w:val="auto"/>
          <w:szCs w:val="21"/>
        </w:rPr>
        <w:t>b)</w:t>
      </w:r>
      <w:r>
        <w:rPr>
          <w:rFonts w:hint="eastAsia"/>
          <w:color w:val="auto"/>
          <w:szCs w:val="21"/>
        </w:rPr>
        <w:t xml:space="preserve"> 对高层建筑和需作变形验算的地基，控制性勘探孔的深度应超过地基变形计算深度；高层建筑的一般性勘探孔应达到基底下</w:t>
      </w:r>
      <w:r>
        <w:rPr>
          <w:color w:val="auto"/>
          <w:szCs w:val="21"/>
        </w:rPr>
        <w:t>0.5</w:t>
      </w:r>
      <w:r>
        <w:rPr>
          <w:rFonts w:hint="eastAsia"/>
          <w:color w:val="auto"/>
          <w:szCs w:val="21"/>
        </w:rPr>
        <w:t>～</w:t>
      </w:r>
      <w:r>
        <w:rPr>
          <w:color w:val="auto"/>
          <w:szCs w:val="21"/>
        </w:rPr>
        <w:t>1.0</w:t>
      </w:r>
      <w:r>
        <w:rPr>
          <w:rFonts w:hint="eastAsia"/>
          <w:color w:val="auto"/>
          <w:szCs w:val="21"/>
        </w:rPr>
        <w:t>倍的基础宽度，并深入稳定分布的地层；</w:t>
      </w:r>
    </w:p>
    <w:p w14:paraId="5729C727">
      <w:pPr>
        <w:adjustRightInd w:val="0"/>
        <w:snapToGrid w:val="0"/>
        <w:spacing w:line="340" w:lineRule="atLeast"/>
        <w:ind w:left="1" w:firstLine="420" w:firstLineChars="200"/>
        <w:rPr>
          <w:color w:val="auto"/>
          <w:szCs w:val="21"/>
        </w:rPr>
      </w:pPr>
      <w:r>
        <w:rPr>
          <w:color w:val="auto"/>
          <w:szCs w:val="21"/>
        </w:rPr>
        <w:t>c)</w:t>
      </w:r>
      <w:r>
        <w:rPr>
          <w:rFonts w:hint="eastAsia"/>
          <w:color w:val="auto"/>
          <w:szCs w:val="21"/>
        </w:rPr>
        <w:t xml:space="preserve"> 对仅有地下室的建筑或高层建筑的裙房，当需设置抗浮桩或锚杆时，勘探孔深度应满足抗拔承载力评价的要求；</w:t>
      </w:r>
    </w:p>
    <w:p w14:paraId="2B33A7C9">
      <w:pPr>
        <w:adjustRightInd w:val="0"/>
        <w:snapToGrid w:val="0"/>
        <w:spacing w:line="340" w:lineRule="atLeast"/>
        <w:ind w:left="1" w:firstLine="420" w:firstLineChars="200"/>
        <w:rPr>
          <w:color w:val="auto"/>
          <w:szCs w:val="21"/>
        </w:rPr>
      </w:pPr>
      <w:r>
        <w:rPr>
          <w:color w:val="auto"/>
          <w:szCs w:val="21"/>
        </w:rPr>
        <w:t>d)</w:t>
      </w:r>
      <w:r>
        <w:rPr>
          <w:rFonts w:hint="eastAsia"/>
          <w:color w:val="auto"/>
          <w:szCs w:val="21"/>
        </w:rPr>
        <w:t xml:space="preserve"> 当有大面积地面堆载或软弱下卧层时，应适当加深控制性勘探孔的深度；</w:t>
      </w:r>
    </w:p>
    <w:p w14:paraId="1FD41E81">
      <w:pPr>
        <w:adjustRightInd w:val="0"/>
        <w:snapToGrid w:val="0"/>
        <w:spacing w:line="340" w:lineRule="atLeast"/>
        <w:ind w:left="1" w:firstLine="420" w:firstLineChars="200"/>
        <w:rPr>
          <w:color w:val="auto"/>
          <w:szCs w:val="21"/>
        </w:rPr>
      </w:pPr>
      <w:r>
        <w:rPr>
          <w:color w:val="auto"/>
          <w:szCs w:val="21"/>
        </w:rPr>
        <w:t>e)</w:t>
      </w:r>
      <w:r>
        <w:rPr>
          <w:rFonts w:hint="eastAsia"/>
          <w:color w:val="auto"/>
          <w:szCs w:val="21"/>
        </w:rPr>
        <w:t xml:space="preserve"> 在上述规定深度内遇基岩或厚层碎石土等稳定地层时，勘探孔深度可适当调整。</w:t>
      </w:r>
    </w:p>
    <w:p w14:paraId="3531C661">
      <w:pPr>
        <w:adjustRightInd w:val="0"/>
        <w:snapToGrid w:val="0"/>
        <w:spacing w:line="340" w:lineRule="atLeast"/>
        <w:ind w:left="1"/>
        <w:rPr>
          <w:color w:val="auto"/>
          <w:szCs w:val="21"/>
        </w:rPr>
      </w:pPr>
      <w:r>
        <w:rPr>
          <w:rFonts w:eastAsia="黑体"/>
          <w:b/>
          <w:bCs/>
          <w:color w:val="auto"/>
          <w:szCs w:val="21"/>
        </w:rPr>
        <w:t>5</w:t>
      </w:r>
      <w:r>
        <w:rPr>
          <w:rFonts w:hint="eastAsia" w:eastAsia="黑体"/>
          <w:b/>
          <w:bCs/>
          <w:color w:val="auto"/>
          <w:szCs w:val="21"/>
        </w:rPr>
        <w:t xml:space="preserve">.14 </w:t>
      </w:r>
      <w:r>
        <w:rPr>
          <w:rFonts w:hint="eastAsia"/>
          <w:color w:val="auto"/>
          <w:szCs w:val="21"/>
        </w:rPr>
        <w:t>详细勘察采取土试样和进行原位测试应满足岩土工程评价需要，并符合下列要求：</w:t>
      </w:r>
    </w:p>
    <w:p w14:paraId="30ED4D8E">
      <w:pPr>
        <w:adjustRightInd w:val="0"/>
        <w:snapToGrid w:val="0"/>
        <w:spacing w:line="340" w:lineRule="atLeast"/>
        <w:ind w:left="1"/>
        <w:rPr>
          <w:color w:val="auto"/>
          <w:szCs w:val="21"/>
        </w:rPr>
      </w:pPr>
      <w:r>
        <w:rPr>
          <w:rFonts w:hint="eastAsia"/>
          <w:color w:val="auto"/>
          <w:szCs w:val="21"/>
        </w:rPr>
        <w:t xml:space="preserve">    </w:t>
      </w:r>
      <w:r>
        <w:rPr>
          <w:color w:val="auto"/>
          <w:szCs w:val="21"/>
        </w:rPr>
        <w:t>a)</w:t>
      </w:r>
      <w:r>
        <w:rPr>
          <w:rFonts w:hint="eastAsia"/>
          <w:color w:val="auto"/>
          <w:szCs w:val="21"/>
        </w:rPr>
        <w:t xml:space="preserve"> 采取土试样和进行原位测试的勘探孔的数量，应根据地层结构、地基土的均匀性和工程特点确定，且不应少于勘探孔总数的1/2；</w:t>
      </w:r>
    </w:p>
    <w:p w14:paraId="6E823609">
      <w:pPr>
        <w:adjustRightInd w:val="0"/>
        <w:snapToGrid w:val="0"/>
        <w:spacing w:line="340" w:lineRule="atLeast"/>
        <w:ind w:left="1"/>
        <w:rPr>
          <w:color w:val="auto"/>
          <w:szCs w:val="21"/>
        </w:rPr>
      </w:pPr>
      <w:r>
        <w:rPr>
          <w:rFonts w:hint="eastAsia"/>
          <w:color w:val="auto"/>
          <w:szCs w:val="21"/>
        </w:rPr>
        <w:t xml:space="preserve">    </w:t>
      </w:r>
      <w:r>
        <w:rPr>
          <w:color w:val="auto"/>
          <w:szCs w:val="21"/>
        </w:rPr>
        <w:t>b)</w:t>
      </w:r>
      <w:r>
        <w:rPr>
          <w:rFonts w:hint="eastAsia"/>
          <w:color w:val="auto"/>
          <w:szCs w:val="21"/>
        </w:rPr>
        <w:t xml:space="preserve"> 每个场地每一主要土层的不扰动试样或原位测试数据不应少于6件（组），当采用连续记录的静力触探或动力触探时，每个场地不应少于3个勘探孔；</w:t>
      </w:r>
    </w:p>
    <w:p w14:paraId="0B909F77">
      <w:pPr>
        <w:adjustRightInd w:val="0"/>
        <w:snapToGrid w:val="0"/>
        <w:spacing w:line="340" w:lineRule="atLeast"/>
        <w:ind w:left="1" w:firstLine="435"/>
        <w:rPr>
          <w:color w:val="auto"/>
          <w:szCs w:val="21"/>
        </w:rPr>
      </w:pPr>
      <w:r>
        <w:rPr>
          <w:color w:val="auto"/>
          <w:szCs w:val="21"/>
        </w:rPr>
        <w:t>c)</w:t>
      </w:r>
      <w:r>
        <w:rPr>
          <w:rFonts w:hint="eastAsia"/>
          <w:color w:val="auto"/>
          <w:szCs w:val="21"/>
        </w:rPr>
        <w:t xml:space="preserve"> 在地基主要受力层内，对厚度大于0.5m的夹层或透镜体，应采取土试样或进行原位测试；</w:t>
      </w:r>
    </w:p>
    <w:p w14:paraId="3C5990DB">
      <w:pPr>
        <w:adjustRightInd w:val="0"/>
        <w:snapToGrid w:val="0"/>
        <w:spacing w:line="340" w:lineRule="atLeast"/>
        <w:ind w:left="1" w:firstLine="435"/>
        <w:rPr>
          <w:color w:val="auto"/>
          <w:szCs w:val="21"/>
        </w:rPr>
      </w:pPr>
      <w:r>
        <w:rPr>
          <w:color w:val="auto"/>
          <w:szCs w:val="21"/>
        </w:rPr>
        <w:t>d)</w:t>
      </w:r>
      <w:r>
        <w:rPr>
          <w:rFonts w:hint="eastAsia"/>
          <w:color w:val="auto"/>
          <w:szCs w:val="21"/>
        </w:rPr>
        <w:t xml:space="preserve"> 当土层性质不均匀时，应增加取土试样或原位测试数量。</w:t>
      </w:r>
    </w:p>
    <w:p w14:paraId="60110C09">
      <w:pPr>
        <w:adjustRightInd w:val="0"/>
        <w:snapToGrid w:val="0"/>
        <w:spacing w:line="340" w:lineRule="atLeast"/>
        <w:ind w:left="1" w:firstLine="435"/>
        <w:rPr>
          <w:color w:val="auto"/>
          <w:szCs w:val="21"/>
        </w:rPr>
      </w:pPr>
      <w:r>
        <w:rPr>
          <w:color w:val="auto"/>
          <w:szCs w:val="21"/>
        </w:rPr>
        <w:t>e) 在软土地区需要进行地基处理时</w:t>
      </w:r>
      <w:r>
        <w:rPr>
          <w:rFonts w:hint="eastAsia"/>
          <w:color w:val="auto"/>
          <w:szCs w:val="21"/>
        </w:rPr>
        <w:t>，应增加静力触探孔的数量。</w:t>
      </w:r>
    </w:p>
    <w:p w14:paraId="117FF3CB">
      <w:pPr>
        <w:adjustRightInd w:val="0"/>
        <w:snapToGrid w:val="0"/>
        <w:spacing w:line="360" w:lineRule="atLeast"/>
        <w:ind w:left="1"/>
        <w:rPr>
          <w:rFonts w:ascii="宋体" w:hAnsi="宋体"/>
          <w:bCs/>
          <w:color w:val="auto"/>
          <w:szCs w:val="21"/>
          <w:u w:val="none"/>
        </w:rPr>
      </w:pPr>
      <w:r>
        <w:rPr>
          <w:rFonts w:eastAsia="黑体"/>
          <w:b/>
          <w:bCs/>
          <w:color w:val="auto"/>
          <w:szCs w:val="21"/>
          <w:u w:val="none"/>
        </w:rPr>
        <w:t>5</w:t>
      </w:r>
      <w:r>
        <w:rPr>
          <w:rFonts w:hint="eastAsia" w:eastAsia="黑体"/>
          <w:b/>
          <w:bCs/>
          <w:color w:val="auto"/>
          <w:szCs w:val="21"/>
          <w:u w:val="none"/>
        </w:rPr>
        <w:t>.15</w:t>
      </w:r>
      <w:r>
        <w:rPr>
          <w:rFonts w:hint="eastAsia" w:ascii="宋体" w:hAnsi="宋体"/>
          <w:bCs/>
          <w:color w:val="auto"/>
          <w:szCs w:val="21"/>
          <w:u w:val="none"/>
        </w:rPr>
        <w:t>详细勘察采取岩石试样和进行原位测试应满足岩土工程评价要求。高层建筑及单柱荷重大的多层建筑场地，在地基主要受力层内每一主要岩层，岩石试样的数量每层不应少于 6 件(组)；高层建筑采用天然地基以中等风化、微风化岩石作为持力层时，每层不宜少于 9 件(组)；高层建筑采用嵌岩桩以中等风化、微风化岩石作为持力层时，每层不应少于 9 件(组)；对无法取样的破碎和极破碎的岩石，宜进行原位测试或现场点荷载试验。</w:t>
      </w:r>
    </w:p>
    <w:p w14:paraId="20429662">
      <w:pPr>
        <w:adjustRightInd w:val="0"/>
        <w:snapToGrid w:val="0"/>
        <w:spacing w:line="360" w:lineRule="atLeast"/>
        <w:ind w:left="1"/>
        <w:rPr>
          <w:color w:val="auto"/>
          <w:szCs w:val="21"/>
        </w:rPr>
      </w:pPr>
      <w:r>
        <w:rPr>
          <w:rFonts w:eastAsia="黑体"/>
          <w:b/>
          <w:bCs/>
          <w:color w:val="auto"/>
          <w:szCs w:val="21"/>
        </w:rPr>
        <w:t xml:space="preserve">5.16 </w:t>
      </w:r>
      <w:r>
        <w:rPr>
          <w:rFonts w:hint="eastAsia"/>
          <w:color w:val="auto"/>
          <w:szCs w:val="21"/>
        </w:rPr>
        <w:t>当场地水文地质条件复杂，在基坑开挖过程中需要对地下水进行控制（降水或阻隔），且已有资料不能满足要求时，应进行专门的水文地质勘察。</w:t>
      </w:r>
    </w:p>
    <w:p w14:paraId="3C9B07BE">
      <w:pPr>
        <w:adjustRightInd w:val="0"/>
        <w:snapToGrid w:val="0"/>
        <w:spacing w:line="360" w:lineRule="atLeast"/>
        <w:ind w:left="1"/>
        <w:rPr>
          <w:color w:val="auto"/>
          <w:szCs w:val="21"/>
        </w:rPr>
      </w:pPr>
      <w:r>
        <w:rPr>
          <w:rFonts w:eastAsia="黑体"/>
          <w:b/>
          <w:bCs/>
          <w:color w:val="auto"/>
          <w:szCs w:val="21"/>
        </w:rPr>
        <w:t xml:space="preserve">5.17 </w:t>
      </w:r>
      <w:r>
        <w:rPr>
          <w:rFonts w:hint="eastAsia"/>
          <w:color w:val="auto"/>
          <w:szCs w:val="21"/>
        </w:rPr>
        <w:t>拟建场地或其附近存在对工程安全有影响的不良地质作用和地质灾害时，应进行不良地质作用和地质灾害勘察。其岩土工程勘察成果尚应包括下列内容：</w:t>
      </w:r>
    </w:p>
    <w:p w14:paraId="7C3E14FC">
      <w:pPr>
        <w:adjustRightInd w:val="0"/>
        <w:snapToGrid w:val="0"/>
        <w:spacing w:line="360" w:lineRule="atLeast"/>
        <w:ind w:left="1" w:firstLine="420" w:firstLineChars="200"/>
        <w:rPr>
          <w:color w:val="auto"/>
          <w:szCs w:val="21"/>
        </w:rPr>
      </w:pPr>
      <w:r>
        <w:rPr>
          <w:color w:val="auto"/>
          <w:szCs w:val="21"/>
        </w:rPr>
        <w:t>a)</w:t>
      </w:r>
      <w:r>
        <w:rPr>
          <w:rFonts w:hint="eastAsia"/>
          <w:color w:val="auto"/>
          <w:szCs w:val="21"/>
        </w:rPr>
        <w:t>应查明不良地质作用和潜在地质灾害的类型、成因、分布，分析其对工程的危害；</w:t>
      </w:r>
    </w:p>
    <w:p w14:paraId="47A043BA">
      <w:pPr>
        <w:adjustRightInd w:val="0"/>
        <w:snapToGrid w:val="0"/>
        <w:spacing w:line="360" w:lineRule="atLeast"/>
        <w:ind w:left="1" w:firstLine="420" w:firstLineChars="200"/>
        <w:rPr>
          <w:color w:val="auto"/>
          <w:szCs w:val="21"/>
        </w:rPr>
      </w:pPr>
      <w:r>
        <w:rPr>
          <w:color w:val="auto"/>
          <w:szCs w:val="21"/>
        </w:rPr>
        <w:t>b)</w:t>
      </w:r>
      <w:r>
        <w:rPr>
          <w:rFonts w:hint="eastAsia"/>
          <w:color w:val="auto"/>
          <w:szCs w:val="21"/>
        </w:rPr>
        <w:t>对溶洞、土洞和其他洞穴，应评价其稳定性及对工程的影响，提出防治措施；</w:t>
      </w:r>
    </w:p>
    <w:p w14:paraId="2B30672B">
      <w:pPr>
        <w:adjustRightInd w:val="0"/>
        <w:snapToGrid w:val="0"/>
        <w:spacing w:line="360" w:lineRule="atLeast"/>
        <w:ind w:left="1" w:firstLine="420" w:firstLineChars="200"/>
        <w:rPr>
          <w:color w:val="auto"/>
          <w:szCs w:val="21"/>
        </w:rPr>
      </w:pPr>
      <w:r>
        <w:rPr>
          <w:color w:val="auto"/>
          <w:szCs w:val="21"/>
        </w:rPr>
        <w:t>c)</w:t>
      </w:r>
      <w:r>
        <w:rPr>
          <w:rFonts w:hint="eastAsia"/>
          <w:color w:val="auto"/>
          <w:szCs w:val="21"/>
        </w:rPr>
        <w:t>对潜在的崩塌、滑坡、泥石流等地质灾害，应查明其形成条件，分析其可能的发展及影响，提出防治要求与方案建议；</w:t>
      </w:r>
    </w:p>
    <w:p w14:paraId="5283CF3D">
      <w:pPr>
        <w:adjustRightInd w:val="0"/>
        <w:snapToGrid w:val="0"/>
        <w:spacing w:line="360" w:lineRule="atLeast"/>
        <w:ind w:left="1" w:firstLine="420" w:firstLineChars="200"/>
        <w:rPr>
          <w:color w:val="auto"/>
          <w:szCs w:val="21"/>
        </w:rPr>
      </w:pPr>
      <w:r>
        <w:rPr>
          <w:color w:val="auto"/>
          <w:szCs w:val="21"/>
        </w:rPr>
        <w:t>d)</w:t>
      </w:r>
      <w:r>
        <w:rPr>
          <w:rFonts w:hint="eastAsia"/>
          <w:color w:val="auto"/>
          <w:szCs w:val="21"/>
        </w:rPr>
        <w:t>对存在的断裂，应明确其位置、活动性和对工程的影响，提出相关处理建议；</w:t>
      </w:r>
    </w:p>
    <w:p w14:paraId="1491C775">
      <w:pPr>
        <w:adjustRightInd w:val="0"/>
        <w:snapToGrid w:val="0"/>
        <w:spacing w:line="360" w:lineRule="atLeast"/>
        <w:ind w:left="1" w:firstLine="420" w:firstLineChars="200"/>
        <w:rPr>
          <w:color w:val="auto"/>
          <w:szCs w:val="21"/>
        </w:rPr>
      </w:pPr>
      <w:r>
        <w:rPr>
          <w:color w:val="auto"/>
          <w:szCs w:val="21"/>
        </w:rPr>
        <w:t>e)</w:t>
      </w:r>
      <w:r>
        <w:rPr>
          <w:rFonts w:hint="eastAsia"/>
          <w:color w:val="auto"/>
          <w:szCs w:val="21"/>
        </w:rPr>
        <w:t>对采空区，应分析判定采空区的稳定性和工程建设的适宜性，并提出防治方案建议。</w:t>
      </w:r>
    </w:p>
    <w:p w14:paraId="6CAF26AA">
      <w:pPr>
        <w:adjustRightInd w:val="0"/>
        <w:snapToGrid w:val="0"/>
        <w:spacing w:line="360" w:lineRule="atLeast"/>
        <w:ind w:left="1"/>
        <w:rPr>
          <w:color w:val="auto"/>
          <w:szCs w:val="21"/>
        </w:rPr>
      </w:pPr>
      <w:r>
        <w:rPr>
          <w:rFonts w:eastAsia="黑体"/>
          <w:b/>
          <w:color w:val="auto"/>
        </w:rPr>
        <w:t>5</w:t>
      </w:r>
      <w:r>
        <w:rPr>
          <w:rFonts w:hint="eastAsia" w:eastAsia="黑体"/>
          <w:b/>
          <w:color w:val="auto"/>
        </w:rPr>
        <w:t>.1</w:t>
      </w:r>
      <w:r>
        <w:rPr>
          <w:rFonts w:eastAsia="黑体"/>
          <w:b/>
          <w:color w:val="auto"/>
        </w:rPr>
        <w:t>8</w:t>
      </w:r>
      <w:r>
        <w:rPr>
          <w:rFonts w:hint="eastAsia"/>
          <w:color w:val="auto"/>
          <w:szCs w:val="21"/>
        </w:rPr>
        <w:t>场地和地基地震效应的岩土工程勘察除应满足相关标准规范要求外，还应符合下列规定：</w:t>
      </w:r>
    </w:p>
    <w:p w14:paraId="4C939448">
      <w:pPr>
        <w:adjustRightInd w:val="0"/>
        <w:snapToGrid w:val="0"/>
        <w:spacing w:line="340" w:lineRule="atLeast"/>
        <w:ind w:left="1" w:firstLine="420" w:firstLineChars="200"/>
        <w:rPr>
          <w:color w:val="auto"/>
          <w:szCs w:val="21"/>
        </w:rPr>
      </w:pPr>
      <w:r>
        <w:rPr>
          <w:color w:val="auto"/>
          <w:szCs w:val="21"/>
        </w:rPr>
        <w:t>a)</w:t>
      </w:r>
      <w:r>
        <w:rPr>
          <w:rFonts w:hint="eastAsia"/>
          <w:color w:val="auto"/>
          <w:szCs w:val="21"/>
        </w:rPr>
        <w:t xml:space="preserve"> 在抗震设防烈度等于或大于6度的地区进行勘察时，应确定场地类别，划分对抗震有利、一般、不利和危险地段；</w:t>
      </w:r>
    </w:p>
    <w:p w14:paraId="74298816">
      <w:pPr>
        <w:adjustRightInd w:val="0"/>
        <w:snapToGrid w:val="0"/>
        <w:spacing w:line="340" w:lineRule="atLeast"/>
        <w:ind w:left="1" w:firstLine="420" w:firstLineChars="200"/>
        <w:rPr>
          <w:color w:val="auto"/>
          <w:szCs w:val="21"/>
        </w:rPr>
      </w:pPr>
      <w:r>
        <w:rPr>
          <w:color w:val="auto"/>
          <w:szCs w:val="21"/>
        </w:rPr>
        <w:t>b)</w:t>
      </w:r>
      <w:r>
        <w:rPr>
          <w:rFonts w:hint="eastAsia"/>
          <w:color w:val="auto"/>
          <w:szCs w:val="21"/>
        </w:rPr>
        <w:t xml:space="preserve"> 同一结构单元跨越不同地质单元时，应按最不利条件确定覆盖层厚度和场地类别；</w:t>
      </w:r>
    </w:p>
    <w:p w14:paraId="6778400C">
      <w:pPr>
        <w:adjustRightInd w:val="0"/>
        <w:snapToGrid w:val="0"/>
        <w:spacing w:line="340" w:lineRule="atLeast"/>
        <w:ind w:left="1" w:firstLine="420" w:firstLineChars="200"/>
        <w:rPr>
          <w:color w:val="auto"/>
          <w:szCs w:val="21"/>
        </w:rPr>
      </w:pPr>
      <w:r>
        <w:rPr>
          <w:color w:val="auto"/>
          <w:szCs w:val="21"/>
        </w:rPr>
        <w:t>c)</w:t>
      </w:r>
      <w:r>
        <w:rPr>
          <w:rFonts w:hint="eastAsia"/>
          <w:color w:val="auto"/>
          <w:szCs w:val="21"/>
        </w:rPr>
        <w:t xml:space="preserve"> 抗震设防烈度为7度地区的高层建筑，当基础下存在f</w:t>
      </w:r>
      <w:r>
        <w:rPr>
          <w:rFonts w:hint="eastAsia"/>
          <w:color w:val="auto"/>
          <w:szCs w:val="21"/>
          <w:vertAlign w:val="subscript"/>
        </w:rPr>
        <w:t>ak</w:t>
      </w:r>
      <w:r>
        <w:rPr>
          <w:rFonts w:hint="eastAsia"/>
          <w:color w:val="auto"/>
          <w:szCs w:val="21"/>
        </w:rPr>
        <w:t>≤70kPa的软土时，宜判别软土震陷的可能性。</w:t>
      </w:r>
    </w:p>
    <w:p w14:paraId="124EE0A6">
      <w:pPr>
        <w:adjustRightInd w:val="0"/>
        <w:snapToGrid w:val="0"/>
        <w:spacing w:line="340" w:lineRule="atLeast"/>
        <w:ind w:left="1"/>
        <w:rPr>
          <w:color w:val="auto"/>
          <w:szCs w:val="21"/>
        </w:rPr>
      </w:pPr>
      <w:r>
        <w:rPr>
          <w:rFonts w:eastAsia="黑体"/>
          <w:b/>
          <w:color w:val="auto"/>
          <w:kern w:val="0"/>
        </w:rPr>
        <w:t>5.19</w:t>
      </w:r>
      <w:r>
        <w:rPr>
          <w:rFonts w:hint="eastAsia"/>
          <w:color w:val="auto"/>
          <w:szCs w:val="21"/>
        </w:rPr>
        <w:t>地震液化的进一步判别应在地面以下20m的范围内进行；但对于按照国家标准</w:t>
      </w:r>
      <w:r>
        <w:rPr>
          <w:color w:val="auto"/>
          <w:szCs w:val="21"/>
        </w:rPr>
        <w:t>GB/T</w:t>
      </w:r>
      <w:r>
        <w:rPr>
          <w:rFonts w:hint="eastAsia"/>
          <w:color w:val="auto"/>
          <w:szCs w:val="21"/>
          <w:lang w:val="en-US" w:eastAsia="zh-CN"/>
        </w:rPr>
        <w:t xml:space="preserve"> </w:t>
      </w:r>
      <w:r>
        <w:rPr>
          <w:color w:val="auto"/>
          <w:szCs w:val="21"/>
        </w:rPr>
        <w:t>50011</w:t>
      </w:r>
      <w:r>
        <w:rPr>
          <w:rFonts w:hint="eastAsia"/>
          <w:color w:val="auto"/>
          <w:szCs w:val="21"/>
        </w:rPr>
        <w:t>的规定，可不进行天然地基和基础的抗震承载力验算的各类建筑物，可只判别地面下15m范围内土的液化。对判别液化而布置的勘探点不应少于3个，勘探孔深度应大于液化判别深度。</w:t>
      </w:r>
    </w:p>
    <w:p w14:paraId="441FC3F3">
      <w:pPr>
        <w:adjustRightInd w:val="0"/>
        <w:snapToGrid w:val="0"/>
        <w:spacing w:line="340" w:lineRule="atLeast"/>
        <w:ind w:left="1"/>
        <w:rPr>
          <w:color w:val="auto"/>
          <w:szCs w:val="21"/>
        </w:rPr>
      </w:pPr>
      <w:r>
        <w:rPr>
          <w:b/>
          <w:color w:val="auto"/>
          <w:szCs w:val="21"/>
        </w:rPr>
        <w:t>5.20</w:t>
      </w:r>
      <w:r>
        <w:rPr>
          <w:rFonts w:hint="eastAsia"/>
          <w:color w:val="auto"/>
          <w:szCs w:val="21"/>
        </w:rPr>
        <w:t xml:space="preserve"> </w:t>
      </w:r>
      <w:r>
        <w:rPr>
          <w:color w:val="auto"/>
          <w:szCs w:val="21"/>
        </w:rPr>
        <w:t>凡判别为可液化的场地，应按现行国家标准GB/T</w:t>
      </w:r>
      <w:r>
        <w:rPr>
          <w:rFonts w:hint="eastAsia"/>
          <w:color w:val="auto"/>
          <w:szCs w:val="21"/>
          <w:lang w:val="en-US" w:eastAsia="zh-CN"/>
        </w:rPr>
        <w:t xml:space="preserve"> </w:t>
      </w:r>
      <w:r>
        <w:rPr>
          <w:color w:val="auto"/>
          <w:szCs w:val="21"/>
        </w:rPr>
        <w:t>50011的规定确定其液化指数和液化等级。</w:t>
      </w:r>
    </w:p>
    <w:p w14:paraId="643F41CF">
      <w:pPr>
        <w:adjustRightInd w:val="0"/>
        <w:snapToGrid w:val="0"/>
        <w:spacing w:line="340" w:lineRule="atLeast"/>
        <w:ind w:left="1" w:firstLine="420" w:firstLineChars="200"/>
        <w:rPr>
          <w:color w:val="auto"/>
          <w:szCs w:val="21"/>
        </w:rPr>
      </w:pPr>
      <w:r>
        <w:rPr>
          <w:rFonts w:hint="eastAsia"/>
          <w:color w:val="auto"/>
          <w:szCs w:val="21"/>
        </w:rPr>
        <w:t>勘察报告除应阐明可液化的土层、各孔的液化指数外，尚应根据各孔液化指数综合确定场地液化等级。对于液化土，应提出消除地基液化影响的措施建议。</w:t>
      </w:r>
    </w:p>
    <w:p w14:paraId="650A397D">
      <w:pPr>
        <w:snapToGrid w:val="0"/>
        <w:spacing w:line="360" w:lineRule="atLeast"/>
        <w:rPr>
          <w:rFonts w:eastAsia="黑体"/>
          <w:b/>
          <w:color w:val="auto"/>
          <w:kern w:val="0"/>
        </w:rPr>
      </w:pPr>
      <w:r>
        <w:rPr>
          <w:rFonts w:eastAsia="黑体"/>
          <w:b/>
          <w:color w:val="auto"/>
          <w:kern w:val="0"/>
        </w:rPr>
        <w:t>5.21</w:t>
      </w:r>
      <w:r>
        <w:rPr>
          <w:rFonts w:hint="eastAsia" w:eastAsia="黑体"/>
          <w:b/>
          <w:color w:val="auto"/>
          <w:kern w:val="0"/>
        </w:rPr>
        <w:t xml:space="preserve"> </w:t>
      </w:r>
      <w:r>
        <w:rPr>
          <w:color w:val="auto"/>
          <w:szCs w:val="21"/>
        </w:rPr>
        <w:t>遇地下水时应量测水位；对工程有影响的多层含水层的水位量测，应采取止水措施</w:t>
      </w:r>
      <w:r>
        <w:rPr>
          <w:rFonts w:hint="eastAsia"/>
          <w:color w:val="auto"/>
          <w:szCs w:val="21"/>
        </w:rPr>
        <w:t>，</w:t>
      </w:r>
      <w:r>
        <w:rPr>
          <w:color w:val="auto"/>
          <w:szCs w:val="21"/>
        </w:rPr>
        <w:t>将被测含水层与其他含水层隔开</w:t>
      </w:r>
      <w:r>
        <w:rPr>
          <w:rFonts w:hint="eastAsia"/>
          <w:color w:val="auto"/>
          <w:szCs w:val="21"/>
        </w:rPr>
        <w:t>。</w:t>
      </w:r>
    </w:p>
    <w:p w14:paraId="6865A8D3">
      <w:pPr>
        <w:snapToGrid w:val="0"/>
        <w:spacing w:line="340" w:lineRule="atLeast"/>
        <w:rPr>
          <w:color w:val="auto"/>
          <w:kern w:val="0"/>
        </w:rPr>
      </w:pPr>
      <w:r>
        <w:rPr>
          <w:rFonts w:eastAsia="黑体"/>
          <w:b/>
          <w:bCs/>
          <w:color w:val="auto"/>
          <w:szCs w:val="21"/>
        </w:rPr>
        <w:t>5.</w:t>
      </w:r>
      <w:r>
        <w:rPr>
          <w:rFonts w:hint="eastAsia" w:eastAsia="黑体"/>
          <w:b/>
          <w:bCs/>
          <w:color w:val="auto"/>
          <w:szCs w:val="21"/>
        </w:rPr>
        <w:t>2</w:t>
      </w:r>
      <w:r>
        <w:rPr>
          <w:rFonts w:eastAsia="黑体"/>
          <w:b/>
          <w:bCs/>
          <w:color w:val="auto"/>
          <w:szCs w:val="21"/>
        </w:rPr>
        <w:t xml:space="preserve">2 </w:t>
      </w:r>
      <w:r>
        <w:rPr>
          <w:color w:val="auto"/>
          <w:kern w:val="0"/>
        </w:rPr>
        <w:t>采用天然地基、复合地基</w:t>
      </w:r>
      <w:r>
        <w:rPr>
          <w:rFonts w:hint="eastAsia"/>
          <w:color w:val="auto"/>
          <w:kern w:val="0"/>
        </w:rPr>
        <w:t>及其它</w:t>
      </w:r>
      <w:r>
        <w:rPr>
          <w:color w:val="auto"/>
          <w:kern w:val="0"/>
        </w:rPr>
        <w:t>人工地基或桩端下卧层为红黏土或残积土时，应采用原位测试的方法查明红黏土、残积土的分布及力学性质。</w:t>
      </w:r>
    </w:p>
    <w:p w14:paraId="10199B4F">
      <w:pPr>
        <w:snapToGrid w:val="0"/>
        <w:spacing w:line="340" w:lineRule="atLeast"/>
        <w:rPr>
          <w:color w:val="auto"/>
          <w:kern w:val="0"/>
        </w:rPr>
      </w:pPr>
      <w:r>
        <w:rPr>
          <w:rFonts w:eastAsia="黑体"/>
          <w:b/>
          <w:bCs/>
          <w:color w:val="auto"/>
          <w:szCs w:val="21"/>
        </w:rPr>
        <w:t>5.23</w:t>
      </w:r>
      <w:r>
        <w:rPr>
          <w:color w:val="auto"/>
          <w:kern w:val="0"/>
        </w:rPr>
        <w:t xml:space="preserve">  场地复杂或有特殊要求的工程、地基条件与原勘察报告不符的工程，应进行施工勘察。</w:t>
      </w:r>
    </w:p>
    <w:p w14:paraId="4A403976">
      <w:pPr>
        <w:snapToGrid w:val="0"/>
        <w:spacing w:line="340" w:lineRule="atLeast"/>
        <w:rPr>
          <w:color w:val="auto"/>
          <w:kern w:val="0"/>
        </w:rPr>
      </w:pPr>
      <w:r>
        <w:rPr>
          <w:rFonts w:eastAsia="黑体"/>
          <w:b/>
          <w:bCs/>
          <w:color w:val="auto"/>
          <w:szCs w:val="21"/>
        </w:rPr>
        <w:t>5.</w:t>
      </w:r>
      <w:r>
        <w:rPr>
          <w:rFonts w:hint="eastAsia" w:eastAsia="黑体"/>
          <w:b/>
          <w:bCs/>
          <w:color w:val="auto"/>
          <w:szCs w:val="21"/>
        </w:rPr>
        <w:t>2</w:t>
      </w:r>
      <w:r>
        <w:rPr>
          <w:rFonts w:eastAsia="黑体"/>
          <w:b/>
          <w:bCs/>
          <w:color w:val="auto"/>
          <w:szCs w:val="21"/>
        </w:rPr>
        <w:t>4</w:t>
      </w:r>
      <w:r>
        <w:rPr>
          <w:color w:val="auto"/>
          <w:kern w:val="0"/>
        </w:rPr>
        <w:t xml:space="preserve">  地基评价宜采用钻探取样、室内土工试验、触探并结合其他原位测试方法进行。甲级设计等级建筑物应提供载荷试验指标、抗剪强度指标、变形参数指标和原位测试指标；乙级设计等级建筑物应提供抗剪强度指标、变形参数指标和原位测试指标；丙级设计等级建筑物应提供触探及必要的钻探和土工试验资料，需要验算变形时，尚应提供变形参数。</w:t>
      </w:r>
    </w:p>
    <w:p w14:paraId="44B49132">
      <w:pPr>
        <w:snapToGrid w:val="0"/>
        <w:spacing w:line="340" w:lineRule="atLeast"/>
        <w:ind w:firstLine="435"/>
        <w:rPr>
          <w:color w:val="auto"/>
          <w:kern w:val="0"/>
        </w:rPr>
      </w:pPr>
      <w:r>
        <w:rPr>
          <w:color w:val="auto"/>
          <w:kern w:val="0"/>
        </w:rPr>
        <w:t>地基土中存在对工程不利的互层土，或土层分布不均匀时，应以静力触探或其他原位测试的方法配合土工试验资料加以综合判别。</w:t>
      </w:r>
    </w:p>
    <w:p w14:paraId="7BE90A51">
      <w:pPr>
        <w:snapToGrid w:val="0"/>
        <w:spacing w:line="340" w:lineRule="atLeast"/>
        <w:ind w:firstLine="435"/>
        <w:rPr>
          <w:color w:val="auto"/>
          <w:kern w:val="0"/>
        </w:rPr>
      </w:pPr>
      <w:r>
        <w:rPr>
          <w:color w:val="auto"/>
          <w:kern w:val="0"/>
        </w:rPr>
        <w:t>对抗震设防类别为甲类、乙类及丙类建筑中层数超过10层或高度超过24m的高层建筑应进行剪切波速的测</w:t>
      </w:r>
      <w:r>
        <w:rPr>
          <w:rFonts w:hint="eastAsia"/>
          <w:color w:val="auto"/>
          <w:kern w:val="0"/>
        </w:rPr>
        <w:t>试</w:t>
      </w:r>
      <w:r>
        <w:rPr>
          <w:color w:val="auto"/>
          <w:kern w:val="0"/>
        </w:rPr>
        <w:t>；对于抗震设防类别为丙、丁类建筑中层数不超过10层且高度不超过24m的多层建筑，当无实测剪切波速时，可按本文件附录B利用静力触探</w:t>
      </w:r>
      <w:r>
        <w:rPr>
          <w:rFonts w:hint="eastAsia"/>
          <w:color w:val="auto"/>
          <w:kern w:val="0"/>
        </w:rPr>
        <w:t>比</w:t>
      </w:r>
      <w:r>
        <w:rPr>
          <w:color w:val="auto"/>
          <w:kern w:val="0"/>
        </w:rPr>
        <w:t>贯入阻力或标贯击数的实测值确定岩土的剪切波速。</w:t>
      </w:r>
    </w:p>
    <w:p w14:paraId="45227788">
      <w:pPr>
        <w:adjustRightInd w:val="0"/>
        <w:snapToGrid w:val="0"/>
        <w:spacing w:line="400" w:lineRule="atLeast"/>
        <w:rPr>
          <w:rFonts w:eastAsia="黑体"/>
          <w:b/>
          <w:color w:val="auto"/>
        </w:rPr>
      </w:pPr>
      <w:r>
        <w:rPr>
          <w:rFonts w:eastAsia="黑体"/>
          <w:b/>
          <w:bCs/>
          <w:color w:val="auto"/>
          <w:szCs w:val="21"/>
        </w:rPr>
        <w:t>5.</w:t>
      </w:r>
      <w:r>
        <w:rPr>
          <w:rFonts w:hint="eastAsia" w:eastAsia="黑体"/>
          <w:b/>
          <w:bCs/>
          <w:color w:val="auto"/>
          <w:szCs w:val="21"/>
        </w:rPr>
        <w:t>2</w:t>
      </w:r>
      <w:r>
        <w:rPr>
          <w:rFonts w:eastAsia="黑体"/>
          <w:b/>
          <w:bCs/>
          <w:color w:val="auto"/>
          <w:szCs w:val="21"/>
        </w:rPr>
        <w:t>5</w:t>
      </w:r>
      <w:r>
        <w:rPr>
          <w:rFonts w:eastAsia="黑体"/>
          <w:b/>
          <w:color w:val="auto"/>
        </w:rPr>
        <w:t xml:space="preserve">  </w:t>
      </w:r>
      <w:r>
        <w:rPr>
          <w:color w:val="auto"/>
          <w:szCs w:val="21"/>
        </w:rPr>
        <w:t>地基基础设计时，所采用的作用效应与相应的抗力限值应符合下列规定：</w:t>
      </w:r>
    </w:p>
    <w:p w14:paraId="35CAD2E5">
      <w:pPr>
        <w:adjustRightInd w:val="0"/>
        <w:snapToGrid w:val="0"/>
        <w:spacing w:line="340" w:lineRule="atLeast"/>
        <w:ind w:firstLine="420" w:firstLineChars="200"/>
        <w:rPr>
          <w:color w:val="auto"/>
          <w:szCs w:val="21"/>
        </w:rPr>
      </w:pPr>
      <w:r>
        <w:rPr>
          <w:color w:val="auto"/>
          <w:szCs w:val="21"/>
        </w:rPr>
        <w:t>a)  按地基承载力确定基础底面积及埋深或按单桩承载力确定桩数时，传至基础或承台底面上的作用效应应按正常使用极限状态下作用的标准组合；相应的抗力应采用地基承载力特征值或单桩承载力特征值；</w:t>
      </w:r>
    </w:p>
    <w:p w14:paraId="3237E8E1">
      <w:pPr>
        <w:adjustRightInd w:val="0"/>
        <w:snapToGrid w:val="0"/>
        <w:spacing w:line="340" w:lineRule="atLeast"/>
        <w:ind w:firstLine="420" w:firstLineChars="200"/>
        <w:rPr>
          <w:color w:val="auto"/>
          <w:szCs w:val="21"/>
        </w:rPr>
      </w:pPr>
      <w:r>
        <w:rPr>
          <w:color w:val="auto"/>
          <w:szCs w:val="21"/>
        </w:rPr>
        <w:t>b)  计算地基变形时，传至基础底面上的作用效应应按正常使用极限状态下作用的准永久组合，不应计入风荷载和地震作用。相应的限值应为地基变形允许值；</w:t>
      </w:r>
    </w:p>
    <w:p w14:paraId="4D1D274C">
      <w:pPr>
        <w:adjustRightInd w:val="0"/>
        <w:snapToGrid w:val="0"/>
        <w:spacing w:line="340" w:lineRule="atLeast"/>
        <w:ind w:firstLine="420" w:firstLineChars="200"/>
        <w:rPr>
          <w:color w:val="auto"/>
          <w:szCs w:val="21"/>
        </w:rPr>
      </w:pPr>
      <w:r>
        <w:rPr>
          <w:color w:val="auto"/>
          <w:szCs w:val="21"/>
        </w:rPr>
        <w:t>c)  计算挡土墙、地基或滑坡稳定以及基础抗浮稳定时，作用效应应按承载能力极限状态下作用的基本组合，但其分项系数均为1.0；</w:t>
      </w:r>
    </w:p>
    <w:p w14:paraId="35E5BB94">
      <w:pPr>
        <w:adjustRightInd w:val="0"/>
        <w:snapToGrid w:val="0"/>
        <w:spacing w:line="340" w:lineRule="atLeast"/>
        <w:ind w:firstLine="420" w:firstLineChars="200"/>
        <w:rPr>
          <w:color w:val="auto"/>
          <w:szCs w:val="21"/>
        </w:rPr>
      </w:pPr>
      <w:r>
        <w:rPr>
          <w:color w:val="auto"/>
          <w:szCs w:val="21"/>
        </w:rPr>
        <w:t>d)  在确定基础或桩基承台高度、支挡结构截面、计算基础或支挡结构内力、确定配筋和验算材料强度时，上部结构传来的作用效应和相应的基底反力、挡土墙土压力以及滑坡推力，应按承载能力极限状态下作用的基本组合，采用相应的分项系数；当需要验算基础裂缝宽度时，应按正常使用极限状态下作用的标准组合；</w:t>
      </w:r>
    </w:p>
    <w:p w14:paraId="0118832A">
      <w:pPr>
        <w:adjustRightInd w:val="0"/>
        <w:snapToGrid w:val="0"/>
        <w:spacing w:line="340" w:lineRule="atLeast"/>
        <w:ind w:firstLine="420" w:firstLineChars="200"/>
        <w:rPr>
          <w:color w:val="auto"/>
          <w:szCs w:val="21"/>
        </w:rPr>
      </w:pPr>
      <w:r>
        <w:rPr>
          <w:color w:val="auto"/>
          <w:szCs w:val="21"/>
        </w:rPr>
        <w:t>e)  基础设计安全等级、结构设计工作年限、结构重要性系数应按有关规范的规定采用，但结构重要性系数γ0不应小于1.0。</w:t>
      </w:r>
    </w:p>
    <w:p w14:paraId="7DCC6222">
      <w:pPr>
        <w:adjustRightInd w:val="0"/>
        <w:snapToGrid w:val="0"/>
        <w:spacing w:line="400" w:lineRule="atLeast"/>
        <w:rPr>
          <w:color w:val="auto"/>
        </w:rPr>
      </w:pPr>
      <w:r>
        <w:rPr>
          <w:rFonts w:eastAsia="黑体"/>
          <w:b/>
          <w:bCs/>
          <w:color w:val="auto"/>
          <w:szCs w:val="21"/>
        </w:rPr>
        <w:t>5.26</w:t>
      </w:r>
      <w:r>
        <w:rPr>
          <w:color w:val="auto"/>
        </w:rPr>
        <w:t xml:space="preserve">  地基基础设计时，作用组合的效应设计值应符合下列规定：</w:t>
      </w:r>
    </w:p>
    <w:p w14:paraId="36A8A303">
      <w:pPr>
        <w:adjustRightInd w:val="0"/>
        <w:snapToGrid w:val="0"/>
        <w:spacing w:line="400" w:lineRule="atLeast"/>
        <w:ind w:firstLine="422" w:firstLineChars="200"/>
        <w:rPr>
          <w:color w:val="auto"/>
        </w:rPr>
      </w:pPr>
      <w:r>
        <w:rPr>
          <w:rFonts w:eastAsia="黑体"/>
          <w:b/>
          <w:bCs/>
          <w:color w:val="auto"/>
          <w:szCs w:val="21"/>
        </w:rPr>
        <w:t>a)</w:t>
      </w:r>
      <w:r>
        <w:rPr>
          <w:color w:val="auto"/>
        </w:rPr>
        <w:t xml:space="preserve"> </w:t>
      </w:r>
      <w:r>
        <w:rPr>
          <w:rFonts w:hint="eastAsia"/>
          <w:color w:val="auto"/>
        </w:rPr>
        <w:t xml:space="preserve"> </w:t>
      </w:r>
      <w:r>
        <w:rPr>
          <w:color w:val="auto"/>
        </w:rPr>
        <w:t>正常使用极限状态下，标准组合效应设计值</w:t>
      </w:r>
      <w:r>
        <w:rPr>
          <w:i/>
          <w:color w:val="auto"/>
        </w:rPr>
        <w:t>S</w:t>
      </w:r>
      <w:r>
        <w:rPr>
          <w:color w:val="auto"/>
          <w:vertAlign w:val="subscript"/>
        </w:rPr>
        <w:t>k</w:t>
      </w:r>
      <w:r>
        <w:rPr>
          <w:color w:val="auto"/>
        </w:rPr>
        <w:t>应按</w:t>
      </w:r>
      <w:r>
        <w:rPr>
          <w:rFonts w:hint="eastAsia"/>
          <w:color w:val="auto"/>
          <w:lang w:val="en-US" w:eastAsia="zh-CN"/>
        </w:rPr>
        <w:t>公式（1）</w:t>
      </w:r>
      <w:r>
        <w:rPr>
          <w:color w:val="auto"/>
        </w:rPr>
        <w:t>确定：</w:t>
      </w:r>
    </w:p>
    <w:p w14:paraId="0BDF0DDA">
      <w:pPr>
        <w:pStyle w:val="12"/>
        <w:jc w:val="right"/>
        <w:rPr>
          <w:color w:val="auto"/>
        </w:rPr>
      </w:pPr>
      <w:r>
        <w:rPr>
          <w:i/>
          <w:color w:val="auto"/>
          <w:position w:val="-14"/>
          <w:szCs w:val="21"/>
        </w:rPr>
        <w:object>
          <v:shape id="_x0000_i1035" o:spt="75" type="#_x0000_t75" style="height:19.5pt;width:204pt;" o:ole="t" filled="f" o:preferrelative="t" stroked="f" coordsize="21600,21600">
            <v:path/>
            <v:fill on="f" focussize="0,0"/>
            <v:stroke on="f" joinstyle="miter"/>
            <v:imagedata r:id="rId32" o:title=""/>
            <o:lock v:ext="edit" aspectratio="t"/>
            <w10:wrap type="none"/>
            <w10:anchorlock/>
          </v:shape>
          <o:OLEObject Type="Embed" ProgID="Equation.DSMT4" ShapeID="_x0000_i1035" DrawAspect="Content" ObjectID="_1468075735" r:id="rId31">
            <o:LockedField>false</o:LockedField>
          </o:OLEObject>
        </w:object>
      </w:r>
      <w:r>
        <w:rPr>
          <w:color w:val="auto"/>
        </w:rPr>
        <w:t xml:space="preserve">              </w:t>
      </w:r>
      <w:r>
        <w:rPr>
          <w:rFonts w:hint="eastAsia"/>
          <w:color w:val="auto"/>
        </w:rPr>
        <w:t>（</w:t>
      </w:r>
      <w:r>
        <w:rPr>
          <w:color w:val="auto"/>
        </w:rPr>
        <w:fldChar w:fldCharType="begin"/>
      </w:r>
      <w:r>
        <w:rPr>
          <w:color w:val="auto"/>
        </w:rPr>
        <w:instrText xml:space="preserve"> SEQ Equation \* ARABIC </w:instrText>
      </w:r>
      <w:r>
        <w:rPr>
          <w:color w:val="auto"/>
        </w:rPr>
        <w:fldChar w:fldCharType="separate"/>
      </w:r>
      <w:r>
        <w:rPr>
          <w:color w:val="auto"/>
        </w:rPr>
        <w:t>1</w:t>
      </w:r>
      <w:r>
        <w:rPr>
          <w:color w:val="auto"/>
        </w:rPr>
        <w:fldChar w:fldCharType="end"/>
      </w:r>
      <w:r>
        <w:rPr>
          <w:rFonts w:hint="eastAsia"/>
          <w:color w:val="auto"/>
        </w:rPr>
        <w:t>）</w:t>
      </w:r>
    </w:p>
    <w:p w14:paraId="41D5B63D">
      <w:pPr>
        <w:adjustRightInd w:val="0"/>
        <w:snapToGrid w:val="0"/>
        <w:spacing w:line="400" w:lineRule="atLeast"/>
        <w:rPr>
          <w:color w:val="auto"/>
        </w:rPr>
      </w:pPr>
      <w:r>
        <w:rPr>
          <w:color w:val="auto"/>
        </w:rPr>
        <w:t>式中：</w:t>
      </w:r>
      <w:r>
        <w:rPr>
          <w:i/>
          <w:color w:val="auto"/>
        </w:rPr>
        <w:t>S</w:t>
      </w:r>
      <w:r>
        <w:rPr>
          <w:color w:val="auto"/>
          <w:vertAlign w:val="subscript"/>
        </w:rPr>
        <w:t>Gk</w:t>
      </w:r>
      <w:r>
        <w:rPr>
          <w:color w:val="auto"/>
        </w:rPr>
        <w:t>——永久作用标准值</w:t>
      </w:r>
      <w:r>
        <w:rPr>
          <w:i/>
          <w:color w:val="auto"/>
        </w:rPr>
        <w:t>G</w:t>
      </w:r>
      <w:r>
        <w:rPr>
          <w:color w:val="auto"/>
          <w:vertAlign w:val="subscript"/>
        </w:rPr>
        <w:t>k</w:t>
      </w:r>
      <w:r>
        <w:rPr>
          <w:color w:val="auto"/>
        </w:rPr>
        <w:t>的效应；</w:t>
      </w:r>
    </w:p>
    <w:p w14:paraId="21E000D2">
      <w:pPr>
        <w:adjustRightInd w:val="0"/>
        <w:snapToGrid w:val="0"/>
        <w:spacing w:line="400" w:lineRule="atLeast"/>
        <w:ind w:firstLine="588" w:firstLineChars="280"/>
        <w:rPr>
          <w:color w:val="auto"/>
        </w:rPr>
      </w:pPr>
      <w:r>
        <w:rPr>
          <w:i/>
          <w:color w:val="auto"/>
        </w:rPr>
        <w:t>S</w:t>
      </w:r>
      <w:r>
        <w:rPr>
          <w:color w:val="auto"/>
          <w:vertAlign w:val="subscript"/>
        </w:rPr>
        <w:t>Q</w:t>
      </w:r>
      <w:r>
        <w:rPr>
          <w:i/>
          <w:color w:val="auto"/>
          <w:vertAlign w:val="subscript"/>
        </w:rPr>
        <w:t>i</w:t>
      </w:r>
      <w:r>
        <w:rPr>
          <w:color w:val="auto"/>
          <w:vertAlign w:val="subscript"/>
        </w:rPr>
        <w:t>k</w:t>
      </w:r>
      <w:r>
        <w:rPr>
          <w:color w:val="auto"/>
        </w:rPr>
        <w:t>——第</w:t>
      </w:r>
      <w:r>
        <w:rPr>
          <w:i/>
          <w:color w:val="auto"/>
        </w:rPr>
        <w:t>i</w:t>
      </w:r>
      <w:r>
        <w:rPr>
          <w:color w:val="auto"/>
        </w:rPr>
        <w:t>个可变作用标准值</w:t>
      </w:r>
      <w:r>
        <w:rPr>
          <w:i/>
          <w:color w:val="auto"/>
        </w:rPr>
        <w:t>Q</w:t>
      </w:r>
      <w:r>
        <w:rPr>
          <w:i/>
          <w:color w:val="auto"/>
          <w:vertAlign w:val="subscript"/>
        </w:rPr>
        <w:t>i</w:t>
      </w:r>
      <w:r>
        <w:rPr>
          <w:color w:val="auto"/>
          <w:vertAlign w:val="subscript"/>
        </w:rPr>
        <w:t>k</w:t>
      </w:r>
      <w:r>
        <w:rPr>
          <w:color w:val="auto"/>
        </w:rPr>
        <w:t>的效应；</w:t>
      </w:r>
    </w:p>
    <w:p w14:paraId="1BDEB5AE">
      <w:pPr>
        <w:adjustRightInd w:val="0"/>
        <w:snapToGrid w:val="0"/>
        <w:spacing w:line="400" w:lineRule="atLeast"/>
        <w:ind w:left="1357" w:leftChars="326" w:hanging="672" w:hangingChars="320"/>
        <w:rPr>
          <w:color w:val="auto"/>
        </w:rPr>
      </w:pPr>
      <w:r>
        <w:rPr>
          <w:i/>
          <w:color w:val="auto"/>
        </w:rPr>
        <w:t>ψ</w:t>
      </w:r>
      <w:r>
        <w:rPr>
          <w:color w:val="auto"/>
          <w:vertAlign w:val="subscript"/>
        </w:rPr>
        <w:t>ci</w:t>
      </w:r>
      <w:r>
        <w:rPr>
          <w:color w:val="auto"/>
        </w:rPr>
        <w:t>——第</w:t>
      </w:r>
      <w:r>
        <w:rPr>
          <w:i/>
          <w:color w:val="auto"/>
        </w:rPr>
        <w:t>i</w:t>
      </w:r>
      <w:r>
        <w:rPr>
          <w:color w:val="auto"/>
        </w:rPr>
        <w:t>个可变作用</w:t>
      </w:r>
      <w:r>
        <w:rPr>
          <w:i/>
          <w:color w:val="auto"/>
        </w:rPr>
        <w:t>Q</w:t>
      </w:r>
      <w:r>
        <w:rPr>
          <w:i/>
          <w:color w:val="auto"/>
          <w:vertAlign w:val="subscript"/>
        </w:rPr>
        <w:t>i</w:t>
      </w:r>
      <w:r>
        <w:rPr>
          <w:color w:val="auto"/>
        </w:rPr>
        <w:t>的组合值系数，按现行</w:t>
      </w:r>
      <w:r>
        <w:rPr>
          <w:rFonts w:hint="eastAsia"/>
          <w:color w:val="auto"/>
        </w:rPr>
        <w:t>国家标准GB</w:t>
      </w:r>
      <w:r>
        <w:rPr>
          <w:rFonts w:hint="eastAsia"/>
          <w:color w:val="auto"/>
          <w:lang w:val="en-US" w:eastAsia="zh-CN"/>
        </w:rPr>
        <w:t xml:space="preserve"> </w:t>
      </w:r>
      <w:r>
        <w:rPr>
          <w:rFonts w:hint="eastAsia"/>
          <w:color w:val="auto"/>
        </w:rPr>
        <w:t>55001</w:t>
      </w:r>
      <w:r>
        <w:rPr>
          <w:color w:val="auto"/>
        </w:rPr>
        <w:t>的规定取值。</w:t>
      </w:r>
    </w:p>
    <w:p w14:paraId="6CF361B4">
      <w:pPr>
        <w:adjustRightInd w:val="0"/>
        <w:snapToGrid w:val="0"/>
        <w:spacing w:line="400" w:lineRule="atLeast"/>
        <w:ind w:firstLine="422" w:firstLineChars="200"/>
        <w:rPr>
          <w:color w:val="auto"/>
        </w:rPr>
      </w:pPr>
      <w:r>
        <w:rPr>
          <w:rFonts w:eastAsia="黑体"/>
          <w:b/>
          <w:bCs/>
          <w:color w:val="auto"/>
          <w:szCs w:val="21"/>
        </w:rPr>
        <w:t>b)</w:t>
      </w:r>
      <w:r>
        <w:rPr>
          <w:rFonts w:hint="eastAsia" w:eastAsia="黑体"/>
          <w:b/>
          <w:bCs/>
          <w:color w:val="auto"/>
          <w:szCs w:val="21"/>
        </w:rPr>
        <w:t xml:space="preserve">  </w:t>
      </w:r>
      <w:r>
        <w:rPr>
          <w:color w:val="auto"/>
        </w:rPr>
        <w:t>正常使用极限状态下，荷载效应的准永久组合的效应设计值</w:t>
      </w:r>
      <w:r>
        <w:rPr>
          <w:i/>
          <w:color w:val="auto"/>
        </w:rPr>
        <w:t>S</w:t>
      </w:r>
      <w:r>
        <w:rPr>
          <w:color w:val="auto"/>
          <w:vertAlign w:val="subscript"/>
        </w:rPr>
        <w:t>k</w:t>
      </w:r>
      <w:r>
        <w:rPr>
          <w:color w:val="auto"/>
        </w:rPr>
        <w:t>应按</w:t>
      </w:r>
      <w:r>
        <w:rPr>
          <w:rFonts w:hint="eastAsia"/>
          <w:color w:val="auto"/>
          <w:lang w:val="en-US" w:eastAsia="zh-CN"/>
        </w:rPr>
        <w:t>公式（2）</w:t>
      </w:r>
      <w:r>
        <w:rPr>
          <w:color w:val="auto"/>
        </w:rPr>
        <w:t>确定：</w:t>
      </w:r>
    </w:p>
    <w:p w14:paraId="27ACB7EE">
      <w:pPr>
        <w:pStyle w:val="12"/>
        <w:jc w:val="right"/>
        <w:rPr>
          <w:color w:val="auto"/>
        </w:rPr>
      </w:pPr>
      <w:r>
        <w:rPr>
          <w:i/>
          <w:color w:val="auto"/>
          <w:position w:val="-14"/>
          <w:szCs w:val="21"/>
        </w:rPr>
        <w:object>
          <v:shape id="_x0000_i1036" o:spt="75" type="#_x0000_t75" style="height:19.5pt;width:217.5pt;" o:ole="t" filled="f" o:preferrelative="t" stroked="f" coordsize="21600,21600">
            <v:path/>
            <v:fill on="f" focussize="0,0"/>
            <v:stroke on="f" joinstyle="miter"/>
            <v:imagedata r:id="rId34" o:title=""/>
            <o:lock v:ext="edit" aspectratio="t"/>
            <w10:wrap type="none"/>
            <w10:anchorlock/>
          </v:shape>
          <o:OLEObject Type="Embed" ProgID="Equation.DSMT4" ShapeID="_x0000_i1036" DrawAspect="Content" ObjectID="_1468075736" r:id="rId33">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2</w:t>
      </w:r>
      <w:r>
        <w:rPr>
          <w:color w:val="auto"/>
        </w:rPr>
        <w:fldChar w:fldCharType="end"/>
      </w:r>
      <w:r>
        <w:rPr>
          <w:color w:val="auto"/>
        </w:rPr>
        <w:t>)</w:t>
      </w:r>
    </w:p>
    <w:p w14:paraId="2D439536">
      <w:pPr>
        <w:adjustRightInd w:val="0"/>
        <w:snapToGrid w:val="0"/>
        <w:spacing w:line="400" w:lineRule="atLeast"/>
        <w:ind w:left="1273" w:hanging="1272" w:hangingChars="606"/>
        <w:jc w:val="left"/>
        <w:rPr>
          <w:color w:val="auto"/>
        </w:rPr>
      </w:pPr>
      <w:r>
        <w:rPr>
          <w:color w:val="auto"/>
        </w:rPr>
        <w:t>式中：</w:t>
      </w:r>
      <w:r>
        <w:rPr>
          <w:i/>
          <w:color w:val="auto"/>
        </w:rPr>
        <w:t>ψ</w:t>
      </w:r>
      <w:r>
        <w:rPr>
          <w:color w:val="auto"/>
          <w:vertAlign w:val="subscript"/>
        </w:rPr>
        <w:t>q</w:t>
      </w:r>
      <w:r>
        <w:rPr>
          <w:i/>
          <w:color w:val="auto"/>
          <w:vertAlign w:val="subscript"/>
        </w:rPr>
        <w:t>i</w:t>
      </w:r>
      <w:r>
        <w:rPr>
          <w:color w:val="auto"/>
        </w:rPr>
        <w:t>——第</w:t>
      </w:r>
      <w:r>
        <w:rPr>
          <w:i/>
          <w:color w:val="auto"/>
        </w:rPr>
        <w:t>i</w:t>
      </w:r>
      <w:r>
        <w:rPr>
          <w:color w:val="auto"/>
        </w:rPr>
        <w:t>个可变作用的准永久值系数，按</w:t>
      </w:r>
      <w:r>
        <w:rPr>
          <w:rFonts w:hint="eastAsia"/>
          <w:color w:val="auto"/>
        </w:rPr>
        <w:t>现行国家标准GB</w:t>
      </w:r>
      <w:r>
        <w:rPr>
          <w:rFonts w:hint="eastAsia"/>
          <w:color w:val="auto"/>
          <w:lang w:val="en-US" w:eastAsia="zh-CN"/>
        </w:rPr>
        <w:t xml:space="preserve"> </w:t>
      </w:r>
      <w:r>
        <w:rPr>
          <w:rFonts w:hint="eastAsia"/>
          <w:color w:val="auto"/>
        </w:rPr>
        <w:t>55001</w:t>
      </w:r>
      <w:r>
        <w:rPr>
          <w:color w:val="auto"/>
        </w:rPr>
        <w:t>的规定取值。</w:t>
      </w:r>
    </w:p>
    <w:p w14:paraId="06036703">
      <w:pPr>
        <w:adjustRightInd w:val="0"/>
        <w:snapToGrid w:val="0"/>
        <w:spacing w:line="400" w:lineRule="atLeast"/>
        <w:ind w:firstLine="422" w:firstLineChars="200"/>
        <w:rPr>
          <w:color w:val="auto"/>
        </w:rPr>
      </w:pPr>
      <w:r>
        <w:rPr>
          <w:rFonts w:eastAsia="黑体"/>
          <w:b/>
          <w:bCs/>
          <w:color w:val="auto"/>
          <w:szCs w:val="21"/>
        </w:rPr>
        <w:t>c)</w:t>
      </w:r>
      <w:r>
        <w:rPr>
          <w:color w:val="auto"/>
        </w:rPr>
        <w:t xml:space="preserve"> </w:t>
      </w:r>
      <w:r>
        <w:rPr>
          <w:rFonts w:hint="eastAsia"/>
          <w:color w:val="auto"/>
        </w:rPr>
        <w:t xml:space="preserve"> </w:t>
      </w:r>
      <w:r>
        <w:rPr>
          <w:color w:val="auto"/>
        </w:rPr>
        <w:t>承载能力极限状态下，由可变作用控制的基本组合的效应设计值</w:t>
      </w:r>
      <w:r>
        <w:rPr>
          <w:i/>
          <w:color w:val="auto"/>
        </w:rPr>
        <w:t>S</w:t>
      </w:r>
      <w:r>
        <w:rPr>
          <w:color w:val="auto"/>
        </w:rPr>
        <w:t>，应按</w:t>
      </w:r>
      <w:r>
        <w:rPr>
          <w:rFonts w:hint="eastAsia"/>
          <w:color w:val="auto"/>
          <w:lang w:val="en-US" w:eastAsia="zh-CN"/>
        </w:rPr>
        <w:t>公式（3）</w:t>
      </w:r>
      <w:r>
        <w:rPr>
          <w:color w:val="auto"/>
        </w:rPr>
        <w:t>确定：</w:t>
      </w:r>
    </w:p>
    <w:p w14:paraId="670761A1">
      <w:pPr>
        <w:pStyle w:val="12"/>
        <w:jc w:val="right"/>
        <w:rPr>
          <w:color w:val="auto"/>
        </w:rPr>
      </w:pPr>
      <w:r>
        <w:rPr>
          <w:i/>
          <w:color w:val="auto"/>
          <w:position w:val="-14"/>
          <w:szCs w:val="21"/>
        </w:rPr>
        <w:object>
          <v:shape id="_x0000_i1037" o:spt="75" type="#_x0000_t75" style="height:19.5pt;width:252.75pt;" o:ole="t" filled="f" o:preferrelative="t" stroked="f" coordsize="21600,21600">
            <v:path/>
            <v:fill on="f" focussize="0,0"/>
            <v:stroke on="f" joinstyle="miter"/>
            <v:imagedata r:id="rId36" o:title=""/>
            <o:lock v:ext="edit" aspectratio="t"/>
            <w10:wrap type="none"/>
            <w10:anchorlock/>
          </v:shape>
          <o:OLEObject Type="Embed" ProgID="Equation.DSMT4" ShapeID="_x0000_i1037" DrawAspect="Content" ObjectID="_1468075737" r:id="rId35">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3</w:t>
      </w:r>
      <w:r>
        <w:rPr>
          <w:color w:val="auto"/>
        </w:rPr>
        <w:fldChar w:fldCharType="end"/>
      </w:r>
      <w:r>
        <w:rPr>
          <w:color w:val="auto"/>
        </w:rPr>
        <w:t>)</w:t>
      </w:r>
    </w:p>
    <w:p w14:paraId="04C2115A">
      <w:pPr>
        <w:adjustRightInd w:val="0"/>
        <w:snapToGrid w:val="0"/>
        <w:spacing w:line="400" w:lineRule="atLeast"/>
        <w:rPr>
          <w:color w:val="auto"/>
        </w:rPr>
      </w:pPr>
      <w:r>
        <w:rPr>
          <w:color w:val="auto"/>
        </w:rPr>
        <w:t>式中：</w:t>
      </w:r>
      <w:r>
        <w:rPr>
          <w:i/>
          <w:color w:val="auto"/>
        </w:rPr>
        <w:t>γ</w:t>
      </w:r>
      <w:r>
        <w:rPr>
          <w:color w:val="auto"/>
          <w:vertAlign w:val="subscript"/>
        </w:rPr>
        <w:t>G</w:t>
      </w:r>
      <w:r>
        <w:rPr>
          <w:color w:val="auto"/>
        </w:rPr>
        <w:t>——永久作用的分项系数，按现行</w:t>
      </w:r>
      <w:r>
        <w:rPr>
          <w:rFonts w:hint="eastAsia"/>
          <w:color w:val="auto"/>
        </w:rPr>
        <w:t>国家标准GB</w:t>
      </w:r>
      <w:r>
        <w:rPr>
          <w:rFonts w:hint="eastAsia"/>
          <w:color w:val="auto"/>
          <w:lang w:val="en-US" w:eastAsia="zh-CN"/>
        </w:rPr>
        <w:t xml:space="preserve"> </w:t>
      </w:r>
      <w:r>
        <w:rPr>
          <w:rFonts w:hint="eastAsia"/>
          <w:color w:val="auto"/>
        </w:rPr>
        <w:t>55001</w:t>
      </w:r>
      <w:r>
        <w:rPr>
          <w:color w:val="auto"/>
        </w:rPr>
        <w:t>的规定取值；</w:t>
      </w:r>
    </w:p>
    <w:p w14:paraId="435B3565">
      <w:pPr>
        <w:adjustRightInd w:val="0"/>
        <w:snapToGrid w:val="0"/>
        <w:spacing w:line="400" w:lineRule="atLeast"/>
        <w:ind w:left="1260" w:leftChars="287" w:hanging="657" w:hangingChars="313"/>
        <w:rPr>
          <w:color w:val="auto"/>
        </w:rPr>
      </w:pPr>
      <w:r>
        <w:rPr>
          <w:i/>
          <w:color w:val="auto"/>
        </w:rPr>
        <w:t>γ</w:t>
      </w:r>
      <w:r>
        <w:rPr>
          <w:color w:val="auto"/>
          <w:vertAlign w:val="subscript"/>
        </w:rPr>
        <w:t>Q</w:t>
      </w:r>
      <w:r>
        <w:rPr>
          <w:i/>
          <w:color w:val="auto"/>
          <w:vertAlign w:val="subscript"/>
        </w:rPr>
        <w:t>i</w:t>
      </w:r>
      <w:r>
        <w:rPr>
          <w:color w:val="auto"/>
        </w:rPr>
        <w:t>——第</w:t>
      </w:r>
      <w:r>
        <w:rPr>
          <w:i/>
          <w:color w:val="auto"/>
        </w:rPr>
        <w:t>i</w:t>
      </w:r>
      <w:r>
        <w:rPr>
          <w:color w:val="auto"/>
        </w:rPr>
        <w:t>个可变作用的分项系数，按现行</w:t>
      </w:r>
      <w:r>
        <w:rPr>
          <w:rFonts w:hint="eastAsia"/>
          <w:color w:val="auto"/>
        </w:rPr>
        <w:t>国家标准GB</w:t>
      </w:r>
      <w:r>
        <w:rPr>
          <w:rFonts w:hint="eastAsia"/>
          <w:color w:val="auto"/>
          <w:lang w:val="en-US" w:eastAsia="zh-CN"/>
        </w:rPr>
        <w:t xml:space="preserve"> </w:t>
      </w:r>
      <w:r>
        <w:rPr>
          <w:rFonts w:hint="eastAsia"/>
          <w:color w:val="auto"/>
        </w:rPr>
        <w:t>55001</w:t>
      </w:r>
      <w:r>
        <w:rPr>
          <w:color w:val="auto"/>
        </w:rPr>
        <w:t>的规定取值。</w:t>
      </w:r>
    </w:p>
    <w:p w14:paraId="6C2F3900">
      <w:pPr>
        <w:adjustRightInd w:val="0"/>
        <w:snapToGrid w:val="0"/>
        <w:spacing w:line="400" w:lineRule="atLeast"/>
        <w:ind w:firstLine="422" w:firstLineChars="200"/>
        <w:jc w:val="left"/>
        <w:rPr>
          <w:color w:val="auto"/>
        </w:rPr>
      </w:pPr>
      <w:r>
        <w:rPr>
          <w:rFonts w:eastAsia="黑体"/>
          <w:b/>
          <w:bCs/>
          <w:color w:val="auto"/>
          <w:szCs w:val="21"/>
        </w:rPr>
        <w:t>d)</w:t>
      </w:r>
      <w:r>
        <w:rPr>
          <w:rFonts w:hint="eastAsia"/>
          <w:color w:val="auto"/>
        </w:rPr>
        <w:t xml:space="preserve">  </w:t>
      </w:r>
      <w:r>
        <w:rPr>
          <w:color w:val="auto"/>
        </w:rPr>
        <w:t>承载能力极限状态下，由永久作用控制的基本组合，也可采用简化规则，基本组合的效应设计值</w:t>
      </w:r>
      <w:r>
        <w:rPr>
          <w:i/>
          <w:color w:val="auto"/>
        </w:rPr>
        <w:t>S</w:t>
      </w:r>
      <w:r>
        <w:rPr>
          <w:color w:val="auto"/>
          <w:vertAlign w:val="subscript"/>
        </w:rPr>
        <w:t>d</w:t>
      </w:r>
      <w:r>
        <w:rPr>
          <w:color w:val="auto"/>
        </w:rPr>
        <w:t>可按</w:t>
      </w:r>
      <w:r>
        <w:rPr>
          <w:rFonts w:hint="eastAsia"/>
          <w:color w:val="auto"/>
          <w:lang w:val="en-US" w:eastAsia="zh-CN"/>
        </w:rPr>
        <w:t>公式（4）</w:t>
      </w:r>
      <w:r>
        <w:rPr>
          <w:color w:val="auto"/>
        </w:rPr>
        <w:t>确定：</w:t>
      </w:r>
    </w:p>
    <w:p w14:paraId="4FC4CDCF">
      <w:pPr>
        <w:pStyle w:val="12"/>
        <w:jc w:val="right"/>
        <w:rPr>
          <w:color w:val="auto"/>
        </w:rPr>
      </w:pPr>
      <w:r>
        <w:rPr>
          <w:i/>
          <w:color w:val="auto"/>
        </w:rPr>
        <w:t>S</w:t>
      </w:r>
      <w:r>
        <w:rPr>
          <w:color w:val="auto"/>
          <w:vertAlign w:val="subscript"/>
        </w:rPr>
        <w:t>d</w:t>
      </w:r>
      <w:r>
        <w:rPr>
          <w:color w:val="auto"/>
        </w:rPr>
        <w:t>=1.35</w:t>
      </w:r>
      <w:r>
        <w:rPr>
          <w:i/>
          <w:color w:val="auto"/>
        </w:rPr>
        <w:t>S</w:t>
      </w:r>
      <w:r>
        <w:rPr>
          <w:color w:val="auto"/>
          <w:vertAlign w:val="subscript"/>
        </w:rPr>
        <w:t>k</w:t>
      </w:r>
      <w:r>
        <w:rPr>
          <w:color w:val="auto"/>
        </w:rPr>
        <w:t xml:space="preserve"> ≤R                                  (</w:t>
      </w:r>
      <w:r>
        <w:rPr>
          <w:color w:val="auto"/>
        </w:rPr>
        <w:fldChar w:fldCharType="begin"/>
      </w:r>
      <w:r>
        <w:rPr>
          <w:color w:val="auto"/>
        </w:rPr>
        <w:instrText xml:space="preserve"> SEQ Equation \* ARABIC </w:instrText>
      </w:r>
      <w:r>
        <w:rPr>
          <w:color w:val="auto"/>
        </w:rPr>
        <w:fldChar w:fldCharType="separate"/>
      </w:r>
      <w:r>
        <w:rPr>
          <w:color w:val="auto"/>
        </w:rPr>
        <w:t>4</w:t>
      </w:r>
      <w:r>
        <w:rPr>
          <w:color w:val="auto"/>
        </w:rPr>
        <w:fldChar w:fldCharType="end"/>
      </w:r>
      <w:r>
        <w:rPr>
          <w:color w:val="auto"/>
        </w:rPr>
        <w:t>)</w:t>
      </w:r>
    </w:p>
    <w:p w14:paraId="122C95C8">
      <w:pPr>
        <w:adjustRightInd w:val="0"/>
        <w:snapToGrid w:val="0"/>
        <w:spacing w:line="400" w:lineRule="atLeast"/>
        <w:jc w:val="left"/>
        <w:rPr>
          <w:color w:val="auto"/>
        </w:rPr>
      </w:pPr>
      <w:r>
        <w:rPr>
          <w:color w:val="auto"/>
        </w:rPr>
        <w:t>式中：</w:t>
      </w:r>
      <w:r>
        <w:rPr>
          <w:i/>
          <w:color w:val="auto"/>
        </w:rPr>
        <w:t>R</w:t>
      </w:r>
      <w:r>
        <w:rPr>
          <w:color w:val="auto"/>
        </w:rPr>
        <w:t>——结构构件抗力的设计值，按有关建筑结构设计规范的规定确定；</w:t>
      </w:r>
    </w:p>
    <w:p w14:paraId="48F64346">
      <w:pPr>
        <w:adjustRightInd w:val="0"/>
        <w:snapToGrid w:val="0"/>
        <w:spacing w:line="400" w:lineRule="atLeast"/>
        <w:ind w:firstLine="600" w:firstLineChars="286"/>
        <w:jc w:val="left"/>
        <w:rPr>
          <w:color w:val="auto"/>
        </w:rPr>
      </w:pPr>
      <w:r>
        <w:rPr>
          <w:i/>
          <w:color w:val="auto"/>
        </w:rPr>
        <w:t>S</w:t>
      </w:r>
      <w:r>
        <w:rPr>
          <w:color w:val="auto"/>
          <w:vertAlign w:val="subscript"/>
        </w:rPr>
        <w:t>k</w:t>
      </w:r>
      <w:r>
        <w:rPr>
          <w:color w:val="auto"/>
        </w:rPr>
        <w:t>——标准组合的作用效应设计值。</w:t>
      </w:r>
    </w:p>
    <w:p w14:paraId="06A4F293">
      <w:pPr>
        <w:adjustRightInd w:val="0"/>
        <w:snapToGrid w:val="0"/>
        <w:spacing w:line="400" w:lineRule="atLeast"/>
        <w:jc w:val="left"/>
        <w:rPr>
          <w:color w:val="auto"/>
        </w:rPr>
      </w:pPr>
      <w:r>
        <w:rPr>
          <w:rFonts w:eastAsia="黑体"/>
          <w:b/>
          <w:bCs/>
          <w:color w:val="auto"/>
          <w:szCs w:val="21"/>
        </w:rPr>
        <w:t>5.</w:t>
      </w:r>
      <w:r>
        <w:rPr>
          <w:rFonts w:hint="eastAsia" w:eastAsia="黑体"/>
          <w:b/>
          <w:bCs/>
          <w:color w:val="auto"/>
          <w:szCs w:val="21"/>
        </w:rPr>
        <w:t>2</w:t>
      </w:r>
      <w:r>
        <w:rPr>
          <w:rFonts w:eastAsia="黑体"/>
          <w:b/>
          <w:bCs/>
          <w:color w:val="auto"/>
          <w:szCs w:val="21"/>
        </w:rPr>
        <w:t>7</w:t>
      </w:r>
      <w:r>
        <w:rPr>
          <w:color w:val="auto"/>
        </w:rPr>
        <w:t xml:space="preserve">  地基基础的设计</w:t>
      </w:r>
      <w:r>
        <w:rPr>
          <w:rFonts w:hint="eastAsia"/>
          <w:color w:val="auto"/>
        </w:rPr>
        <w:t>工作</w:t>
      </w:r>
      <w:r>
        <w:rPr>
          <w:color w:val="auto"/>
        </w:rPr>
        <w:t>年限不应小于建筑结构的设计</w:t>
      </w:r>
      <w:r>
        <w:rPr>
          <w:rFonts w:hint="eastAsia"/>
          <w:color w:val="auto"/>
        </w:rPr>
        <w:t>工作</w:t>
      </w:r>
      <w:r>
        <w:rPr>
          <w:color w:val="auto"/>
        </w:rPr>
        <w:t>年限。</w:t>
      </w:r>
    </w:p>
    <w:p w14:paraId="69E445BF">
      <w:pPr>
        <w:adjustRightInd w:val="0"/>
        <w:snapToGrid w:val="0"/>
        <w:spacing w:line="400" w:lineRule="atLeast"/>
        <w:jc w:val="left"/>
        <w:rPr>
          <w:color w:val="auto"/>
        </w:rPr>
      </w:pPr>
    </w:p>
    <w:p w14:paraId="19C15F1F">
      <w:pPr>
        <w:numPr>
          <w:ilvl w:val="0"/>
          <w:numId w:val="1"/>
        </w:numPr>
        <w:adjustRightInd w:val="0"/>
        <w:snapToGrid w:val="0"/>
        <w:outlineLvl w:val="0"/>
        <w:rPr>
          <w:rFonts w:eastAsia="黑体"/>
          <w:b/>
          <w:bCs/>
          <w:color w:val="auto"/>
          <w:sz w:val="24"/>
        </w:rPr>
      </w:pPr>
      <w:bookmarkStart w:id="9" w:name="_Toc199943572"/>
      <w:r>
        <w:rPr>
          <w:rFonts w:eastAsia="黑体"/>
          <w:b/>
          <w:bCs/>
          <w:color w:val="auto"/>
          <w:sz w:val="24"/>
        </w:rPr>
        <w:t>岩土分类及工程特性指标</w:t>
      </w:r>
      <w:bookmarkEnd w:id="9"/>
    </w:p>
    <w:p w14:paraId="445A5110">
      <w:pPr>
        <w:adjustRightInd w:val="0"/>
        <w:snapToGrid w:val="0"/>
        <w:spacing w:line="340" w:lineRule="exact"/>
        <w:jc w:val="center"/>
        <w:rPr>
          <w:color w:val="auto"/>
          <w:sz w:val="28"/>
        </w:rPr>
      </w:pPr>
    </w:p>
    <w:p w14:paraId="6A204C5E">
      <w:pPr>
        <w:adjustRightInd w:val="0"/>
        <w:snapToGrid w:val="0"/>
        <w:spacing w:line="340" w:lineRule="exact"/>
        <w:outlineLvl w:val="1"/>
        <w:rPr>
          <w:rFonts w:eastAsia="黑体"/>
          <w:b/>
          <w:bCs/>
          <w:color w:val="auto"/>
          <w:szCs w:val="21"/>
        </w:rPr>
      </w:pPr>
      <w:bookmarkStart w:id="10" w:name="_Toc199943573"/>
      <w:r>
        <w:rPr>
          <w:rFonts w:eastAsia="黑体"/>
          <w:b/>
          <w:bCs/>
          <w:color w:val="auto"/>
          <w:szCs w:val="21"/>
        </w:rPr>
        <w:t>6.1  岩土分类</w:t>
      </w:r>
      <w:bookmarkEnd w:id="10"/>
    </w:p>
    <w:p w14:paraId="4D521CE3">
      <w:pPr>
        <w:adjustRightInd w:val="0"/>
        <w:snapToGrid w:val="0"/>
        <w:spacing w:line="340" w:lineRule="exact"/>
        <w:jc w:val="center"/>
        <w:rPr>
          <w:b/>
          <w:bCs/>
          <w:color w:val="auto"/>
          <w:szCs w:val="21"/>
        </w:rPr>
      </w:pPr>
    </w:p>
    <w:p w14:paraId="7A7C6C93">
      <w:pPr>
        <w:adjustRightInd w:val="0"/>
        <w:snapToGrid w:val="0"/>
        <w:spacing w:line="340" w:lineRule="exact"/>
        <w:rPr>
          <w:color w:val="auto"/>
          <w:szCs w:val="21"/>
        </w:rPr>
      </w:pPr>
      <w:r>
        <w:rPr>
          <w:b/>
          <w:bCs/>
          <w:color w:val="auto"/>
          <w:szCs w:val="21"/>
        </w:rPr>
        <w:t>6.1.1</w:t>
      </w:r>
      <w:r>
        <w:rPr>
          <w:color w:val="auto"/>
          <w:szCs w:val="21"/>
        </w:rPr>
        <w:t xml:space="preserve">  </w:t>
      </w:r>
      <w:r>
        <w:rPr>
          <w:rFonts w:hAnsi="宋体"/>
          <w:color w:val="auto"/>
          <w:szCs w:val="21"/>
        </w:rPr>
        <w:t>作为建筑地基的岩土</w:t>
      </w:r>
      <w:r>
        <w:rPr>
          <w:color w:val="auto"/>
          <w:szCs w:val="21"/>
        </w:rPr>
        <w:t>，</w:t>
      </w:r>
      <w:r>
        <w:rPr>
          <w:rFonts w:hAnsi="宋体"/>
          <w:color w:val="auto"/>
          <w:szCs w:val="21"/>
        </w:rPr>
        <w:t>可分为岩石、碎石土、砂土、粉土、黏性土、残积土、人工填土及其他特殊土。</w:t>
      </w:r>
    </w:p>
    <w:p w14:paraId="116C4312">
      <w:pPr>
        <w:adjustRightInd w:val="0"/>
        <w:snapToGrid w:val="0"/>
        <w:spacing w:line="340" w:lineRule="exact"/>
        <w:rPr>
          <w:color w:val="auto"/>
          <w:szCs w:val="21"/>
        </w:rPr>
      </w:pPr>
      <w:r>
        <w:rPr>
          <w:b/>
          <w:bCs/>
          <w:color w:val="auto"/>
          <w:szCs w:val="21"/>
        </w:rPr>
        <w:t>6.1.2</w:t>
      </w:r>
      <w:r>
        <w:rPr>
          <w:color w:val="auto"/>
          <w:szCs w:val="21"/>
        </w:rPr>
        <w:t xml:space="preserve">  </w:t>
      </w:r>
      <w:r>
        <w:rPr>
          <w:rFonts w:hAnsi="宋体"/>
          <w:color w:val="auto"/>
          <w:szCs w:val="21"/>
        </w:rPr>
        <w:t>岩石应为颗粒间牢固联结</w:t>
      </w:r>
      <w:r>
        <w:rPr>
          <w:color w:val="auto"/>
          <w:szCs w:val="21"/>
        </w:rPr>
        <w:t>，</w:t>
      </w:r>
      <w:r>
        <w:rPr>
          <w:rFonts w:hAnsi="宋体"/>
          <w:color w:val="auto"/>
          <w:szCs w:val="21"/>
        </w:rPr>
        <w:t>呈整体或具有节理裂隙的岩体。作为建筑物地基</w:t>
      </w:r>
      <w:r>
        <w:rPr>
          <w:color w:val="auto"/>
          <w:szCs w:val="21"/>
        </w:rPr>
        <w:t>，</w:t>
      </w:r>
      <w:r>
        <w:rPr>
          <w:rFonts w:hAnsi="宋体"/>
          <w:color w:val="auto"/>
          <w:szCs w:val="21"/>
        </w:rPr>
        <w:t>除应确定岩石的地质名称</w:t>
      </w:r>
      <w:r>
        <w:rPr>
          <w:rFonts w:hint="eastAsia" w:hAnsi="宋体"/>
          <w:color w:val="auto"/>
          <w:szCs w:val="21"/>
        </w:rPr>
        <w:t>及风化程度</w:t>
      </w:r>
      <w:r>
        <w:rPr>
          <w:rFonts w:hAnsi="宋体"/>
          <w:color w:val="auto"/>
          <w:szCs w:val="21"/>
        </w:rPr>
        <w:t>外</w:t>
      </w:r>
      <w:r>
        <w:rPr>
          <w:color w:val="auto"/>
          <w:szCs w:val="21"/>
        </w:rPr>
        <w:t>，</w:t>
      </w:r>
      <w:r>
        <w:rPr>
          <w:rFonts w:hAnsi="宋体"/>
          <w:color w:val="auto"/>
          <w:szCs w:val="21"/>
        </w:rPr>
        <w:t>尚应按本文件</w:t>
      </w:r>
      <w:r>
        <w:rPr>
          <w:color w:val="auto"/>
          <w:szCs w:val="21"/>
        </w:rPr>
        <w:t>6.1.3～6.1.4</w:t>
      </w:r>
      <w:r>
        <w:rPr>
          <w:rFonts w:hAnsi="宋体"/>
          <w:color w:val="auto"/>
          <w:szCs w:val="21"/>
        </w:rPr>
        <w:t>条的规定划分</w:t>
      </w:r>
      <w:r>
        <w:rPr>
          <w:rFonts w:hint="eastAsia" w:hAnsi="宋体"/>
          <w:color w:val="auto"/>
          <w:szCs w:val="21"/>
        </w:rPr>
        <w:t>岩石</w:t>
      </w:r>
      <w:r>
        <w:rPr>
          <w:rFonts w:hAnsi="宋体"/>
          <w:color w:val="auto"/>
          <w:szCs w:val="21"/>
        </w:rPr>
        <w:t>坚硬程度和</w:t>
      </w:r>
      <w:r>
        <w:rPr>
          <w:rFonts w:hint="eastAsia" w:hAnsi="宋体"/>
          <w:color w:val="auto"/>
          <w:szCs w:val="21"/>
        </w:rPr>
        <w:t>岩体</w:t>
      </w:r>
      <w:r>
        <w:rPr>
          <w:rFonts w:hAnsi="宋体"/>
          <w:color w:val="auto"/>
          <w:szCs w:val="21"/>
        </w:rPr>
        <w:t>完整程度。</w:t>
      </w:r>
    </w:p>
    <w:p w14:paraId="55693A08">
      <w:pPr>
        <w:adjustRightInd w:val="0"/>
        <w:snapToGrid w:val="0"/>
        <w:spacing w:line="340" w:lineRule="exact"/>
        <w:rPr>
          <w:color w:val="auto"/>
          <w:szCs w:val="21"/>
        </w:rPr>
      </w:pPr>
      <w:r>
        <w:rPr>
          <w:b/>
          <w:bCs/>
          <w:color w:val="auto"/>
          <w:szCs w:val="21"/>
        </w:rPr>
        <w:t>6.1.3</w:t>
      </w:r>
      <w:r>
        <w:rPr>
          <w:color w:val="auto"/>
          <w:szCs w:val="21"/>
        </w:rPr>
        <w:t xml:space="preserve">  </w:t>
      </w:r>
      <w:r>
        <w:rPr>
          <w:rFonts w:hAnsi="宋体"/>
          <w:color w:val="auto"/>
          <w:szCs w:val="21"/>
        </w:rPr>
        <w:t>岩石的坚硬程度应根据岩块的饱和单轴抗压强度</w:t>
      </w:r>
      <w:r>
        <w:rPr>
          <w:i/>
          <w:color w:val="auto"/>
          <w:szCs w:val="21"/>
        </w:rPr>
        <w:t>ƒ</w:t>
      </w:r>
      <w:r>
        <w:rPr>
          <w:iCs/>
          <w:color w:val="auto"/>
          <w:szCs w:val="21"/>
          <w:vertAlign w:val="subscript"/>
        </w:rPr>
        <w:t>rk</w:t>
      </w:r>
      <w:r>
        <w:rPr>
          <w:rFonts w:hAnsi="宋体"/>
          <w:color w:val="auto"/>
          <w:szCs w:val="21"/>
        </w:rPr>
        <w:t>按表</w:t>
      </w:r>
      <w:r>
        <w:rPr>
          <w:color w:val="auto"/>
          <w:szCs w:val="21"/>
        </w:rPr>
        <w:t>5</w:t>
      </w:r>
      <w:r>
        <w:rPr>
          <w:rFonts w:hAnsi="宋体"/>
          <w:color w:val="auto"/>
          <w:szCs w:val="21"/>
        </w:rPr>
        <w:t>分为坚硬岩、较硬岩、较软岩、软岩和极软岩。当缺乏饱和单轴抗压强度资料或不能进行该项试验时</w:t>
      </w:r>
      <w:r>
        <w:rPr>
          <w:color w:val="auto"/>
          <w:szCs w:val="21"/>
        </w:rPr>
        <w:t>，</w:t>
      </w:r>
      <w:r>
        <w:rPr>
          <w:rFonts w:hAnsi="宋体"/>
          <w:color w:val="auto"/>
          <w:szCs w:val="21"/>
        </w:rPr>
        <w:t>可采用点荷载试验进行强度换算，点荷载试验应符合本文件附录</w:t>
      </w:r>
      <w:r>
        <w:rPr>
          <w:color w:val="auto"/>
          <w:szCs w:val="21"/>
        </w:rPr>
        <w:t>K</w:t>
      </w:r>
      <w:r>
        <w:rPr>
          <w:rFonts w:hAnsi="宋体"/>
          <w:color w:val="auto"/>
          <w:szCs w:val="21"/>
        </w:rPr>
        <w:t>的有关规定，也可在现场通过观察定性划分</w:t>
      </w:r>
      <w:r>
        <w:rPr>
          <w:color w:val="auto"/>
          <w:szCs w:val="21"/>
        </w:rPr>
        <w:t>，</w:t>
      </w:r>
      <w:r>
        <w:rPr>
          <w:rFonts w:hAnsi="宋体"/>
          <w:color w:val="auto"/>
          <w:szCs w:val="21"/>
        </w:rPr>
        <w:t>划分标准可按本文件附录表</w:t>
      </w:r>
      <w:r>
        <w:rPr>
          <w:color w:val="auto"/>
          <w:szCs w:val="21"/>
        </w:rPr>
        <w:t>A.1</w:t>
      </w:r>
      <w:r>
        <w:rPr>
          <w:rFonts w:hAnsi="宋体"/>
          <w:color w:val="auto"/>
          <w:szCs w:val="21"/>
        </w:rPr>
        <w:t>执行。岩石的风化程度可分为未风化、微风化、中风化和强风化，现场鉴别按本文件附录表</w:t>
      </w:r>
      <w:r>
        <w:rPr>
          <w:color w:val="auto"/>
          <w:szCs w:val="21"/>
        </w:rPr>
        <w:t>A.3</w:t>
      </w:r>
      <w:r>
        <w:rPr>
          <w:rFonts w:hAnsi="宋体"/>
          <w:color w:val="auto"/>
          <w:szCs w:val="21"/>
        </w:rPr>
        <w:t>执行。</w:t>
      </w:r>
    </w:p>
    <w:p w14:paraId="1E6AB2A7">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表5</w:t>
      </w:r>
      <w:r>
        <w:rPr>
          <w:rFonts w:hint="eastAsia" w:eastAsia="黑体"/>
          <w:b/>
          <w:bCs/>
          <w:color w:val="auto"/>
          <w:szCs w:val="21"/>
        </w:rPr>
        <w:t xml:space="preserve">  </w:t>
      </w:r>
      <w:r>
        <w:rPr>
          <w:rFonts w:eastAsia="黑体"/>
          <w:b/>
          <w:bCs/>
          <w:color w:val="auto"/>
          <w:szCs w:val="21"/>
        </w:rPr>
        <w:t>岩石坚硬程度的划分</w:t>
      </w:r>
    </w:p>
    <w:tbl>
      <w:tblPr>
        <w:tblStyle w:val="36"/>
        <w:tblW w:w="922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70"/>
        <w:gridCol w:w="1370"/>
        <w:gridCol w:w="1382"/>
        <w:gridCol w:w="1359"/>
        <w:gridCol w:w="1348"/>
        <w:gridCol w:w="1294"/>
      </w:tblGrid>
      <w:tr w14:paraId="6BD86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70" w:type="dxa"/>
            <w:vAlign w:val="center"/>
          </w:tcPr>
          <w:p w14:paraId="22CFB031">
            <w:pPr>
              <w:adjustRightInd w:val="0"/>
              <w:snapToGrid w:val="0"/>
              <w:spacing w:line="280" w:lineRule="exact"/>
              <w:jc w:val="center"/>
              <w:rPr>
                <w:color w:val="auto"/>
                <w:sz w:val="18"/>
                <w:szCs w:val="18"/>
              </w:rPr>
            </w:pPr>
            <w:r>
              <w:rPr>
                <w:rFonts w:hAnsi="宋体"/>
                <w:color w:val="auto"/>
                <w:sz w:val="18"/>
                <w:szCs w:val="18"/>
              </w:rPr>
              <w:t>坚硬程度类别</w:t>
            </w:r>
          </w:p>
        </w:tc>
        <w:tc>
          <w:tcPr>
            <w:tcW w:w="1370" w:type="dxa"/>
            <w:vAlign w:val="center"/>
          </w:tcPr>
          <w:p w14:paraId="3786ED03">
            <w:pPr>
              <w:adjustRightInd w:val="0"/>
              <w:snapToGrid w:val="0"/>
              <w:spacing w:line="280" w:lineRule="exact"/>
              <w:jc w:val="center"/>
              <w:rPr>
                <w:color w:val="auto"/>
                <w:sz w:val="18"/>
                <w:szCs w:val="18"/>
              </w:rPr>
            </w:pPr>
            <w:r>
              <w:rPr>
                <w:rFonts w:hAnsi="宋体"/>
                <w:color w:val="auto"/>
                <w:sz w:val="18"/>
                <w:szCs w:val="18"/>
              </w:rPr>
              <w:t>坚硬岩</w:t>
            </w:r>
          </w:p>
        </w:tc>
        <w:tc>
          <w:tcPr>
            <w:tcW w:w="1382" w:type="dxa"/>
            <w:vAlign w:val="center"/>
          </w:tcPr>
          <w:p w14:paraId="2A287A04">
            <w:pPr>
              <w:adjustRightInd w:val="0"/>
              <w:snapToGrid w:val="0"/>
              <w:spacing w:line="280" w:lineRule="exact"/>
              <w:jc w:val="center"/>
              <w:rPr>
                <w:color w:val="auto"/>
                <w:sz w:val="18"/>
                <w:szCs w:val="18"/>
              </w:rPr>
            </w:pPr>
            <w:r>
              <w:rPr>
                <w:rFonts w:hAnsi="宋体"/>
                <w:color w:val="auto"/>
                <w:sz w:val="18"/>
                <w:szCs w:val="18"/>
              </w:rPr>
              <w:t>较硬岩</w:t>
            </w:r>
          </w:p>
        </w:tc>
        <w:tc>
          <w:tcPr>
            <w:tcW w:w="1359" w:type="dxa"/>
            <w:vAlign w:val="center"/>
          </w:tcPr>
          <w:p w14:paraId="04AF33F7">
            <w:pPr>
              <w:adjustRightInd w:val="0"/>
              <w:snapToGrid w:val="0"/>
              <w:spacing w:line="280" w:lineRule="exact"/>
              <w:jc w:val="center"/>
              <w:rPr>
                <w:color w:val="auto"/>
                <w:sz w:val="18"/>
                <w:szCs w:val="18"/>
              </w:rPr>
            </w:pPr>
            <w:r>
              <w:rPr>
                <w:rFonts w:hAnsi="宋体"/>
                <w:color w:val="auto"/>
                <w:sz w:val="18"/>
                <w:szCs w:val="18"/>
              </w:rPr>
              <w:t>较软岩</w:t>
            </w:r>
          </w:p>
        </w:tc>
        <w:tc>
          <w:tcPr>
            <w:tcW w:w="1348" w:type="dxa"/>
            <w:vAlign w:val="center"/>
          </w:tcPr>
          <w:p w14:paraId="0D04EBD8">
            <w:pPr>
              <w:adjustRightInd w:val="0"/>
              <w:snapToGrid w:val="0"/>
              <w:spacing w:line="280" w:lineRule="exact"/>
              <w:jc w:val="center"/>
              <w:rPr>
                <w:color w:val="auto"/>
                <w:sz w:val="18"/>
                <w:szCs w:val="18"/>
              </w:rPr>
            </w:pPr>
            <w:r>
              <w:rPr>
                <w:rFonts w:hAnsi="宋体"/>
                <w:color w:val="auto"/>
                <w:sz w:val="18"/>
                <w:szCs w:val="18"/>
              </w:rPr>
              <w:t>软岩</w:t>
            </w:r>
          </w:p>
        </w:tc>
        <w:tc>
          <w:tcPr>
            <w:tcW w:w="1294" w:type="dxa"/>
            <w:vAlign w:val="center"/>
          </w:tcPr>
          <w:p w14:paraId="0850BBA1">
            <w:pPr>
              <w:adjustRightInd w:val="0"/>
              <w:snapToGrid w:val="0"/>
              <w:spacing w:line="280" w:lineRule="exact"/>
              <w:jc w:val="center"/>
              <w:rPr>
                <w:color w:val="auto"/>
                <w:sz w:val="18"/>
                <w:szCs w:val="18"/>
              </w:rPr>
            </w:pPr>
            <w:r>
              <w:rPr>
                <w:rFonts w:hAnsi="宋体"/>
                <w:color w:val="auto"/>
                <w:sz w:val="18"/>
                <w:szCs w:val="18"/>
              </w:rPr>
              <w:t>极软岩</w:t>
            </w:r>
          </w:p>
        </w:tc>
      </w:tr>
      <w:tr w14:paraId="66562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70" w:type="dxa"/>
          </w:tcPr>
          <w:p w14:paraId="69B1F55D">
            <w:pPr>
              <w:adjustRightInd w:val="0"/>
              <w:snapToGrid w:val="0"/>
              <w:jc w:val="center"/>
              <w:rPr>
                <w:color w:val="auto"/>
                <w:sz w:val="18"/>
                <w:szCs w:val="18"/>
              </w:rPr>
            </w:pPr>
            <w:r>
              <w:rPr>
                <w:rFonts w:hAnsi="宋体"/>
                <w:color w:val="auto"/>
                <w:sz w:val="18"/>
                <w:szCs w:val="18"/>
              </w:rPr>
              <w:t>饱和单轴抗压强度标准值</w:t>
            </w:r>
          </w:p>
          <w:p w14:paraId="6B2E6DB6">
            <w:pPr>
              <w:adjustRightInd w:val="0"/>
              <w:snapToGrid w:val="0"/>
              <w:jc w:val="center"/>
              <w:rPr>
                <w:color w:val="auto"/>
                <w:sz w:val="18"/>
                <w:szCs w:val="18"/>
              </w:rPr>
            </w:pPr>
            <w:r>
              <w:rPr>
                <w:i/>
                <w:color w:val="auto"/>
                <w:sz w:val="18"/>
                <w:szCs w:val="18"/>
              </w:rPr>
              <w:t>ƒ</w:t>
            </w:r>
            <w:r>
              <w:rPr>
                <w:iCs/>
                <w:color w:val="auto"/>
                <w:sz w:val="18"/>
                <w:szCs w:val="18"/>
                <w:vertAlign w:val="subscript"/>
              </w:rPr>
              <w:t>rk</w:t>
            </w:r>
            <w:r>
              <w:rPr>
                <w:iCs/>
                <w:color w:val="auto"/>
                <w:sz w:val="18"/>
                <w:szCs w:val="18"/>
              </w:rPr>
              <w:t>（MPa</w:t>
            </w:r>
            <w:r>
              <w:rPr>
                <w:rFonts w:hAnsi="宋体"/>
                <w:color w:val="auto"/>
                <w:sz w:val="18"/>
                <w:szCs w:val="18"/>
              </w:rPr>
              <w:t>）</w:t>
            </w:r>
          </w:p>
        </w:tc>
        <w:tc>
          <w:tcPr>
            <w:tcW w:w="1370" w:type="dxa"/>
            <w:vAlign w:val="center"/>
          </w:tcPr>
          <w:p w14:paraId="7C929547">
            <w:pPr>
              <w:adjustRightInd w:val="0"/>
              <w:snapToGrid w:val="0"/>
              <w:jc w:val="center"/>
              <w:rPr>
                <w:color w:val="auto"/>
                <w:sz w:val="18"/>
                <w:szCs w:val="18"/>
              </w:rPr>
            </w:pPr>
            <w:r>
              <w:rPr>
                <w:i/>
                <w:color w:val="auto"/>
                <w:sz w:val="18"/>
                <w:szCs w:val="18"/>
              </w:rPr>
              <w:t>ƒ</w:t>
            </w:r>
            <w:r>
              <w:rPr>
                <w:iCs/>
                <w:color w:val="auto"/>
                <w:sz w:val="18"/>
                <w:szCs w:val="18"/>
                <w:vertAlign w:val="subscript"/>
              </w:rPr>
              <w:t>rk</w:t>
            </w:r>
            <w:r>
              <w:rPr>
                <w:rFonts w:hAnsi="宋体"/>
                <w:color w:val="auto"/>
                <w:sz w:val="18"/>
                <w:szCs w:val="18"/>
              </w:rPr>
              <w:t>＞</w:t>
            </w:r>
            <w:r>
              <w:rPr>
                <w:color w:val="auto"/>
                <w:sz w:val="18"/>
                <w:szCs w:val="18"/>
              </w:rPr>
              <w:t>60</w:t>
            </w:r>
          </w:p>
        </w:tc>
        <w:tc>
          <w:tcPr>
            <w:tcW w:w="1382" w:type="dxa"/>
            <w:vAlign w:val="center"/>
          </w:tcPr>
          <w:p w14:paraId="52D0A129">
            <w:pPr>
              <w:adjustRightInd w:val="0"/>
              <w:snapToGrid w:val="0"/>
              <w:jc w:val="center"/>
              <w:rPr>
                <w:color w:val="auto"/>
                <w:sz w:val="18"/>
                <w:szCs w:val="18"/>
              </w:rPr>
            </w:pPr>
            <w:r>
              <w:rPr>
                <w:color w:val="auto"/>
                <w:sz w:val="18"/>
                <w:szCs w:val="18"/>
              </w:rPr>
              <w:t>60≥</w:t>
            </w:r>
            <w:r>
              <w:rPr>
                <w:i/>
                <w:color w:val="auto"/>
                <w:sz w:val="18"/>
                <w:szCs w:val="18"/>
              </w:rPr>
              <w:t>ƒ</w:t>
            </w:r>
            <w:r>
              <w:rPr>
                <w:iCs/>
                <w:color w:val="auto"/>
                <w:sz w:val="18"/>
                <w:szCs w:val="18"/>
                <w:vertAlign w:val="subscript"/>
              </w:rPr>
              <w:t>rk</w:t>
            </w:r>
            <w:r>
              <w:rPr>
                <w:rFonts w:hAnsi="宋体"/>
                <w:color w:val="auto"/>
                <w:sz w:val="18"/>
                <w:szCs w:val="18"/>
              </w:rPr>
              <w:t>＞</w:t>
            </w:r>
            <w:r>
              <w:rPr>
                <w:color w:val="auto"/>
                <w:sz w:val="18"/>
                <w:szCs w:val="18"/>
              </w:rPr>
              <w:t>30</w:t>
            </w:r>
          </w:p>
        </w:tc>
        <w:tc>
          <w:tcPr>
            <w:tcW w:w="1359" w:type="dxa"/>
            <w:vAlign w:val="center"/>
          </w:tcPr>
          <w:p w14:paraId="0F1B26B2">
            <w:pPr>
              <w:adjustRightInd w:val="0"/>
              <w:snapToGrid w:val="0"/>
              <w:jc w:val="center"/>
              <w:rPr>
                <w:color w:val="auto"/>
                <w:sz w:val="18"/>
                <w:szCs w:val="18"/>
              </w:rPr>
            </w:pPr>
            <w:r>
              <w:rPr>
                <w:color w:val="auto"/>
                <w:sz w:val="18"/>
                <w:szCs w:val="18"/>
              </w:rPr>
              <w:t>30≥</w:t>
            </w:r>
            <w:r>
              <w:rPr>
                <w:i/>
                <w:color w:val="auto"/>
                <w:sz w:val="18"/>
                <w:szCs w:val="18"/>
              </w:rPr>
              <w:t>ƒ</w:t>
            </w:r>
            <w:r>
              <w:rPr>
                <w:iCs/>
                <w:color w:val="auto"/>
                <w:sz w:val="18"/>
                <w:szCs w:val="18"/>
                <w:vertAlign w:val="subscript"/>
              </w:rPr>
              <w:t>rk</w:t>
            </w:r>
            <w:r>
              <w:rPr>
                <w:rFonts w:hAnsi="宋体"/>
                <w:color w:val="auto"/>
                <w:sz w:val="18"/>
                <w:szCs w:val="18"/>
              </w:rPr>
              <w:t>＞</w:t>
            </w:r>
            <w:r>
              <w:rPr>
                <w:color w:val="auto"/>
                <w:sz w:val="18"/>
                <w:szCs w:val="18"/>
              </w:rPr>
              <w:t>15</w:t>
            </w:r>
          </w:p>
        </w:tc>
        <w:tc>
          <w:tcPr>
            <w:tcW w:w="1348" w:type="dxa"/>
            <w:vAlign w:val="center"/>
          </w:tcPr>
          <w:p w14:paraId="7BFF1FC3">
            <w:pPr>
              <w:adjustRightInd w:val="0"/>
              <w:snapToGrid w:val="0"/>
              <w:jc w:val="center"/>
              <w:rPr>
                <w:color w:val="auto"/>
                <w:sz w:val="18"/>
                <w:szCs w:val="18"/>
              </w:rPr>
            </w:pPr>
            <w:r>
              <w:rPr>
                <w:color w:val="auto"/>
                <w:sz w:val="18"/>
                <w:szCs w:val="18"/>
              </w:rPr>
              <w:t>15≥</w:t>
            </w:r>
            <w:r>
              <w:rPr>
                <w:i/>
                <w:color w:val="auto"/>
                <w:sz w:val="18"/>
                <w:szCs w:val="18"/>
              </w:rPr>
              <w:t>ƒ</w:t>
            </w:r>
            <w:r>
              <w:rPr>
                <w:iCs/>
                <w:color w:val="auto"/>
                <w:sz w:val="18"/>
                <w:szCs w:val="18"/>
                <w:vertAlign w:val="subscript"/>
              </w:rPr>
              <w:t>rk</w:t>
            </w:r>
            <w:r>
              <w:rPr>
                <w:rFonts w:hAnsi="宋体"/>
                <w:color w:val="auto"/>
                <w:sz w:val="18"/>
                <w:szCs w:val="18"/>
              </w:rPr>
              <w:t>＞</w:t>
            </w:r>
            <w:r>
              <w:rPr>
                <w:color w:val="auto"/>
                <w:sz w:val="18"/>
                <w:szCs w:val="18"/>
              </w:rPr>
              <w:t>5</w:t>
            </w:r>
          </w:p>
        </w:tc>
        <w:tc>
          <w:tcPr>
            <w:tcW w:w="1294" w:type="dxa"/>
            <w:vAlign w:val="center"/>
          </w:tcPr>
          <w:p w14:paraId="42F04E90">
            <w:pPr>
              <w:adjustRightInd w:val="0"/>
              <w:snapToGrid w:val="0"/>
              <w:jc w:val="center"/>
              <w:rPr>
                <w:color w:val="auto"/>
                <w:sz w:val="18"/>
                <w:szCs w:val="18"/>
              </w:rPr>
            </w:pPr>
            <w:r>
              <w:rPr>
                <w:i/>
                <w:color w:val="auto"/>
                <w:sz w:val="18"/>
                <w:szCs w:val="18"/>
              </w:rPr>
              <w:t>ƒ</w:t>
            </w:r>
            <w:r>
              <w:rPr>
                <w:iCs/>
                <w:color w:val="auto"/>
                <w:sz w:val="18"/>
                <w:szCs w:val="18"/>
                <w:vertAlign w:val="subscript"/>
              </w:rPr>
              <w:t>rk</w:t>
            </w:r>
            <w:r>
              <w:rPr>
                <w:color w:val="auto"/>
                <w:sz w:val="18"/>
                <w:szCs w:val="18"/>
              </w:rPr>
              <w:t>≤5</w:t>
            </w:r>
          </w:p>
        </w:tc>
      </w:tr>
      <w:tr w14:paraId="01CA2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23" w:type="dxa"/>
            <w:gridSpan w:val="6"/>
          </w:tcPr>
          <w:p w14:paraId="17F1FAD1">
            <w:pPr>
              <w:adjustRightInd w:val="0"/>
              <w:snapToGrid w:val="0"/>
              <w:spacing w:line="280" w:lineRule="exact"/>
              <w:rPr>
                <w:i/>
                <w:color w:val="auto"/>
                <w:sz w:val="18"/>
                <w:szCs w:val="18"/>
              </w:rPr>
            </w:pPr>
            <w:r>
              <w:rPr>
                <w:rFonts w:hAnsi="宋体"/>
                <w:color w:val="auto"/>
                <w:sz w:val="18"/>
                <w:szCs w:val="18"/>
              </w:rPr>
              <w:t>注：当岩体完整程度为极破碎时，可不进行坚硬程度的划分。</w:t>
            </w:r>
          </w:p>
        </w:tc>
      </w:tr>
    </w:tbl>
    <w:p w14:paraId="5112C7A6">
      <w:pPr>
        <w:adjustRightInd w:val="0"/>
        <w:snapToGrid w:val="0"/>
        <w:spacing w:before="240" w:line="360" w:lineRule="exact"/>
        <w:rPr>
          <w:color w:val="auto"/>
          <w:szCs w:val="21"/>
        </w:rPr>
      </w:pPr>
      <w:r>
        <w:rPr>
          <w:b/>
          <w:bCs/>
          <w:color w:val="auto"/>
          <w:szCs w:val="21"/>
        </w:rPr>
        <w:t>6.1.4</w:t>
      </w:r>
      <w:r>
        <w:rPr>
          <w:color w:val="auto"/>
          <w:szCs w:val="21"/>
        </w:rPr>
        <w:t xml:space="preserve">  </w:t>
      </w:r>
      <w:r>
        <w:rPr>
          <w:rFonts w:hAnsi="宋体"/>
          <w:color w:val="auto"/>
          <w:szCs w:val="21"/>
        </w:rPr>
        <w:t>岩体完整程度应按表</w:t>
      </w:r>
      <w:r>
        <w:rPr>
          <w:color w:val="auto"/>
          <w:szCs w:val="21"/>
        </w:rPr>
        <w:t>6</w:t>
      </w:r>
      <w:r>
        <w:rPr>
          <w:rFonts w:hAnsi="宋体"/>
          <w:color w:val="auto"/>
          <w:szCs w:val="21"/>
        </w:rPr>
        <w:t>划分为完整、较完整、较破碎、破碎和极破碎。当缺乏试验数据时可按本文件附录表</w:t>
      </w:r>
      <w:r>
        <w:rPr>
          <w:iCs/>
          <w:color w:val="auto"/>
          <w:szCs w:val="21"/>
        </w:rPr>
        <w:t>A</w:t>
      </w:r>
      <w:r>
        <w:rPr>
          <w:color w:val="auto"/>
          <w:szCs w:val="21"/>
        </w:rPr>
        <w:t>.2</w:t>
      </w:r>
      <w:r>
        <w:rPr>
          <w:rFonts w:hAnsi="宋体"/>
          <w:color w:val="auto"/>
          <w:szCs w:val="21"/>
        </w:rPr>
        <w:t>执行。</w:t>
      </w:r>
    </w:p>
    <w:p w14:paraId="3DD2B3C5">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表6</w:t>
      </w:r>
      <w:r>
        <w:rPr>
          <w:rFonts w:hint="eastAsia" w:eastAsia="黑体"/>
          <w:b/>
          <w:bCs/>
          <w:color w:val="auto"/>
          <w:szCs w:val="21"/>
        </w:rPr>
        <w:t xml:space="preserve">  </w:t>
      </w:r>
      <w:r>
        <w:rPr>
          <w:rFonts w:eastAsia="黑体"/>
          <w:b/>
          <w:bCs/>
          <w:color w:val="auto"/>
          <w:szCs w:val="21"/>
        </w:rPr>
        <w:t>岩体完整程度划分</w:t>
      </w:r>
    </w:p>
    <w:tbl>
      <w:tblPr>
        <w:tblStyle w:val="36"/>
        <w:tblW w:w="927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68"/>
        <w:gridCol w:w="1518"/>
        <w:gridCol w:w="1433"/>
        <w:gridCol w:w="1498"/>
        <w:gridCol w:w="1474"/>
        <w:gridCol w:w="1083"/>
      </w:tblGrid>
      <w:tr w14:paraId="38ABB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8" w:type="dxa"/>
            <w:vAlign w:val="center"/>
          </w:tcPr>
          <w:p w14:paraId="146B81A9">
            <w:pPr>
              <w:pStyle w:val="24"/>
              <w:pBdr>
                <w:bottom w:val="none" w:color="auto" w:sz="0" w:space="0"/>
              </w:pBdr>
              <w:tabs>
                <w:tab w:val="clear" w:pos="4153"/>
                <w:tab w:val="clear" w:pos="8306"/>
              </w:tabs>
              <w:adjustRightInd w:val="0"/>
              <w:spacing w:line="280" w:lineRule="exact"/>
              <w:rPr>
                <w:color w:val="auto"/>
              </w:rPr>
            </w:pPr>
            <w:r>
              <w:rPr>
                <w:rFonts w:hAnsi="宋体"/>
                <w:color w:val="auto"/>
              </w:rPr>
              <w:t>完整程度等级</w:t>
            </w:r>
          </w:p>
        </w:tc>
        <w:tc>
          <w:tcPr>
            <w:tcW w:w="1518" w:type="dxa"/>
            <w:vAlign w:val="center"/>
          </w:tcPr>
          <w:p w14:paraId="6931BDDC">
            <w:pPr>
              <w:adjustRightInd w:val="0"/>
              <w:snapToGrid w:val="0"/>
              <w:spacing w:line="280" w:lineRule="exact"/>
              <w:jc w:val="center"/>
              <w:rPr>
                <w:color w:val="auto"/>
                <w:sz w:val="18"/>
                <w:szCs w:val="18"/>
              </w:rPr>
            </w:pPr>
            <w:r>
              <w:rPr>
                <w:rFonts w:hAnsi="宋体"/>
                <w:color w:val="auto"/>
                <w:sz w:val="18"/>
                <w:szCs w:val="18"/>
              </w:rPr>
              <w:t>完整</w:t>
            </w:r>
          </w:p>
        </w:tc>
        <w:tc>
          <w:tcPr>
            <w:tcW w:w="1433" w:type="dxa"/>
            <w:vAlign w:val="center"/>
          </w:tcPr>
          <w:p w14:paraId="28FDB7EB">
            <w:pPr>
              <w:adjustRightInd w:val="0"/>
              <w:snapToGrid w:val="0"/>
              <w:spacing w:line="280" w:lineRule="exact"/>
              <w:jc w:val="center"/>
              <w:rPr>
                <w:color w:val="auto"/>
                <w:sz w:val="18"/>
                <w:szCs w:val="18"/>
              </w:rPr>
            </w:pPr>
            <w:r>
              <w:rPr>
                <w:rFonts w:hAnsi="宋体"/>
                <w:color w:val="auto"/>
                <w:sz w:val="18"/>
                <w:szCs w:val="18"/>
              </w:rPr>
              <w:t>较完整</w:t>
            </w:r>
          </w:p>
        </w:tc>
        <w:tc>
          <w:tcPr>
            <w:tcW w:w="1498" w:type="dxa"/>
            <w:vAlign w:val="center"/>
          </w:tcPr>
          <w:p w14:paraId="2CD1F240">
            <w:pPr>
              <w:adjustRightInd w:val="0"/>
              <w:snapToGrid w:val="0"/>
              <w:spacing w:line="280" w:lineRule="exact"/>
              <w:jc w:val="center"/>
              <w:rPr>
                <w:color w:val="auto"/>
                <w:sz w:val="18"/>
                <w:szCs w:val="18"/>
              </w:rPr>
            </w:pPr>
            <w:r>
              <w:rPr>
                <w:rFonts w:hAnsi="宋体"/>
                <w:color w:val="auto"/>
                <w:sz w:val="18"/>
                <w:szCs w:val="18"/>
              </w:rPr>
              <w:t>较破碎</w:t>
            </w:r>
          </w:p>
        </w:tc>
        <w:tc>
          <w:tcPr>
            <w:tcW w:w="1474" w:type="dxa"/>
            <w:vAlign w:val="center"/>
          </w:tcPr>
          <w:p w14:paraId="484F1B1E">
            <w:pPr>
              <w:adjustRightInd w:val="0"/>
              <w:snapToGrid w:val="0"/>
              <w:spacing w:line="280" w:lineRule="exact"/>
              <w:jc w:val="center"/>
              <w:rPr>
                <w:color w:val="auto"/>
                <w:sz w:val="18"/>
                <w:szCs w:val="18"/>
              </w:rPr>
            </w:pPr>
            <w:r>
              <w:rPr>
                <w:rFonts w:hAnsi="宋体"/>
                <w:color w:val="auto"/>
                <w:sz w:val="18"/>
                <w:szCs w:val="18"/>
              </w:rPr>
              <w:t>破碎</w:t>
            </w:r>
          </w:p>
        </w:tc>
        <w:tc>
          <w:tcPr>
            <w:tcW w:w="1083" w:type="dxa"/>
            <w:vAlign w:val="center"/>
          </w:tcPr>
          <w:p w14:paraId="5D27D09B">
            <w:pPr>
              <w:adjustRightInd w:val="0"/>
              <w:snapToGrid w:val="0"/>
              <w:spacing w:line="280" w:lineRule="exact"/>
              <w:jc w:val="center"/>
              <w:rPr>
                <w:color w:val="auto"/>
                <w:sz w:val="18"/>
                <w:szCs w:val="18"/>
              </w:rPr>
            </w:pPr>
            <w:r>
              <w:rPr>
                <w:rFonts w:hAnsi="宋体"/>
                <w:color w:val="auto"/>
                <w:sz w:val="18"/>
                <w:szCs w:val="18"/>
              </w:rPr>
              <w:t>极破碎</w:t>
            </w:r>
          </w:p>
        </w:tc>
      </w:tr>
      <w:tr w14:paraId="0E055A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8" w:type="dxa"/>
            <w:vAlign w:val="center"/>
          </w:tcPr>
          <w:p w14:paraId="77037DB6">
            <w:pPr>
              <w:adjustRightInd w:val="0"/>
              <w:snapToGrid w:val="0"/>
              <w:spacing w:line="240" w:lineRule="atLeast"/>
              <w:jc w:val="center"/>
              <w:rPr>
                <w:color w:val="auto"/>
                <w:sz w:val="18"/>
                <w:szCs w:val="18"/>
              </w:rPr>
            </w:pPr>
            <w:r>
              <w:rPr>
                <w:rFonts w:hAnsi="宋体"/>
                <w:color w:val="auto"/>
                <w:sz w:val="18"/>
                <w:szCs w:val="18"/>
              </w:rPr>
              <w:t>完整性指数</w:t>
            </w:r>
            <w:r>
              <w:rPr>
                <w:i/>
                <w:color w:val="auto"/>
                <w:sz w:val="18"/>
                <w:szCs w:val="18"/>
              </w:rPr>
              <w:t>K</w:t>
            </w:r>
            <w:r>
              <w:rPr>
                <w:iCs/>
                <w:color w:val="auto"/>
                <w:sz w:val="18"/>
                <w:szCs w:val="18"/>
                <w:vertAlign w:val="subscript"/>
              </w:rPr>
              <w:t>v</w:t>
            </w:r>
          </w:p>
        </w:tc>
        <w:tc>
          <w:tcPr>
            <w:tcW w:w="1518" w:type="dxa"/>
            <w:vAlign w:val="center"/>
          </w:tcPr>
          <w:p w14:paraId="2E168F0A">
            <w:pPr>
              <w:adjustRightInd w:val="0"/>
              <w:snapToGrid w:val="0"/>
              <w:spacing w:line="280" w:lineRule="exact"/>
              <w:jc w:val="center"/>
              <w:rPr>
                <w:color w:val="auto"/>
                <w:sz w:val="18"/>
                <w:szCs w:val="18"/>
              </w:rPr>
            </w:pPr>
            <w:r>
              <w:rPr>
                <w:rFonts w:hAnsi="宋体"/>
                <w:color w:val="auto"/>
                <w:sz w:val="18"/>
                <w:szCs w:val="18"/>
              </w:rPr>
              <w:t>＞</w:t>
            </w:r>
            <w:r>
              <w:rPr>
                <w:color w:val="auto"/>
                <w:sz w:val="18"/>
                <w:szCs w:val="18"/>
              </w:rPr>
              <w:t>0.75</w:t>
            </w:r>
          </w:p>
        </w:tc>
        <w:tc>
          <w:tcPr>
            <w:tcW w:w="1433" w:type="dxa"/>
            <w:vAlign w:val="center"/>
          </w:tcPr>
          <w:p w14:paraId="5805C4CF">
            <w:pPr>
              <w:adjustRightInd w:val="0"/>
              <w:snapToGrid w:val="0"/>
              <w:spacing w:line="280" w:lineRule="exact"/>
              <w:jc w:val="center"/>
              <w:rPr>
                <w:color w:val="auto"/>
                <w:sz w:val="18"/>
                <w:szCs w:val="18"/>
              </w:rPr>
            </w:pPr>
            <w:r>
              <w:rPr>
                <w:color w:val="auto"/>
                <w:sz w:val="18"/>
                <w:szCs w:val="18"/>
              </w:rPr>
              <w:t>0.75～0.55</w:t>
            </w:r>
          </w:p>
        </w:tc>
        <w:tc>
          <w:tcPr>
            <w:tcW w:w="1498" w:type="dxa"/>
            <w:vAlign w:val="center"/>
          </w:tcPr>
          <w:p w14:paraId="642183A7">
            <w:pPr>
              <w:adjustRightInd w:val="0"/>
              <w:snapToGrid w:val="0"/>
              <w:spacing w:line="280" w:lineRule="exact"/>
              <w:jc w:val="center"/>
              <w:rPr>
                <w:color w:val="auto"/>
                <w:sz w:val="18"/>
                <w:szCs w:val="18"/>
              </w:rPr>
            </w:pPr>
            <w:r>
              <w:rPr>
                <w:color w:val="auto"/>
                <w:sz w:val="18"/>
                <w:szCs w:val="18"/>
              </w:rPr>
              <w:t>0.55～0.35</w:t>
            </w:r>
          </w:p>
        </w:tc>
        <w:tc>
          <w:tcPr>
            <w:tcW w:w="1474" w:type="dxa"/>
            <w:vAlign w:val="center"/>
          </w:tcPr>
          <w:p w14:paraId="71F9788D">
            <w:pPr>
              <w:adjustRightInd w:val="0"/>
              <w:snapToGrid w:val="0"/>
              <w:spacing w:line="280" w:lineRule="exact"/>
              <w:jc w:val="center"/>
              <w:rPr>
                <w:color w:val="auto"/>
                <w:sz w:val="18"/>
                <w:szCs w:val="18"/>
              </w:rPr>
            </w:pPr>
            <w:r>
              <w:rPr>
                <w:color w:val="auto"/>
                <w:sz w:val="18"/>
                <w:szCs w:val="18"/>
              </w:rPr>
              <w:t>0.35～0.15</w:t>
            </w:r>
          </w:p>
        </w:tc>
        <w:tc>
          <w:tcPr>
            <w:tcW w:w="1083" w:type="dxa"/>
            <w:vAlign w:val="center"/>
          </w:tcPr>
          <w:p w14:paraId="6923EAA3">
            <w:pPr>
              <w:adjustRightInd w:val="0"/>
              <w:snapToGrid w:val="0"/>
              <w:spacing w:line="280" w:lineRule="exact"/>
              <w:jc w:val="center"/>
              <w:rPr>
                <w:color w:val="auto"/>
                <w:sz w:val="18"/>
                <w:szCs w:val="18"/>
              </w:rPr>
            </w:pPr>
            <w:r>
              <w:rPr>
                <w:color w:val="auto"/>
                <w:sz w:val="18"/>
                <w:szCs w:val="18"/>
              </w:rPr>
              <w:t>＜0.15</w:t>
            </w:r>
          </w:p>
        </w:tc>
      </w:tr>
      <w:tr w14:paraId="3BAD08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8" w:type="dxa"/>
            <w:vAlign w:val="center"/>
          </w:tcPr>
          <w:p w14:paraId="12F4A87F">
            <w:pPr>
              <w:adjustRightInd w:val="0"/>
              <w:snapToGrid w:val="0"/>
              <w:spacing w:line="280" w:lineRule="exact"/>
              <w:ind w:left="-21" w:leftChars="-67" w:right="-107" w:rightChars="-51" w:hanging="120" w:hangingChars="67"/>
              <w:jc w:val="center"/>
              <w:rPr>
                <w:color w:val="auto"/>
                <w:sz w:val="18"/>
                <w:szCs w:val="18"/>
              </w:rPr>
            </w:pPr>
            <w:r>
              <w:rPr>
                <w:rFonts w:hAnsi="宋体"/>
                <w:color w:val="auto"/>
                <w:sz w:val="18"/>
                <w:szCs w:val="18"/>
              </w:rPr>
              <w:t>岩石质量指标</w:t>
            </w:r>
            <w:r>
              <w:rPr>
                <w:i/>
                <w:color w:val="auto"/>
                <w:sz w:val="18"/>
                <w:szCs w:val="18"/>
              </w:rPr>
              <w:t>RQD</w:t>
            </w:r>
          </w:p>
        </w:tc>
        <w:tc>
          <w:tcPr>
            <w:tcW w:w="1518" w:type="dxa"/>
            <w:vAlign w:val="center"/>
          </w:tcPr>
          <w:p w14:paraId="59048721">
            <w:pPr>
              <w:adjustRightInd w:val="0"/>
              <w:snapToGrid w:val="0"/>
              <w:spacing w:line="280" w:lineRule="exact"/>
              <w:jc w:val="center"/>
              <w:rPr>
                <w:color w:val="auto"/>
                <w:sz w:val="18"/>
                <w:szCs w:val="18"/>
              </w:rPr>
            </w:pPr>
            <w:r>
              <w:rPr>
                <w:rFonts w:hAnsi="宋体"/>
                <w:color w:val="auto"/>
                <w:sz w:val="18"/>
                <w:szCs w:val="18"/>
              </w:rPr>
              <w:t>＞</w:t>
            </w:r>
            <w:r>
              <w:rPr>
                <w:color w:val="auto"/>
                <w:sz w:val="18"/>
                <w:szCs w:val="18"/>
              </w:rPr>
              <w:t>90</w:t>
            </w:r>
          </w:p>
        </w:tc>
        <w:tc>
          <w:tcPr>
            <w:tcW w:w="1433" w:type="dxa"/>
            <w:vAlign w:val="center"/>
          </w:tcPr>
          <w:p w14:paraId="2347F8C2">
            <w:pPr>
              <w:adjustRightInd w:val="0"/>
              <w:snapToGrid w:val="0"/>
              <w:spacing w:line="280" w:lineRule="exact"/>
              <w:jc w:val="center"/>
              <w:rPr>
                <w:color w:val="auto"/>
                <w:sz w:val="18"/>
                <w:szCs w:val="18"/>
              </w:rPr>
            </w:pPr>
            <w:r>
              <w:rPr>
                <w:color w:val="auto"/>
                <w:sz w:val="18"/>
                <w:szCs w:val="18"/>
              </w:rPr>
              <w:t>90～75</w:t>
            </w:r>
          </w:p>
        </w:tc>
        <w:tc>
          <w:tcPr>
            <w:tcW w:w="1498" w:type="dxa"/>
            <w:vAlign w:val="center"/>
          </w:tcPr>
          <w:p w14:paraId="6E861E66">
            <w:pPr>
              <w:adjustRightInd w:val="0"/>
              <w:snapToGrid w:val="0"/>
              <w:spacing w:line="280" w:lineRule="exact"/>
              <w:jc w:val="center"/>
              <w:rPr>
                <w:color w:val="auto"/>
                <w:sz w:val="18"/>
                <w:szCs w:val="18"/>
              </w:rPr>
            </w:pPr>
            <w:r>
              <w:rPr>
                <w:color w:val="auto"/>
                <w:sz w:val="18"/>
                <w:szCs w:val="18"/>
              </w:rPr>
              <w:t>75～50</w:t>
            </w:r>
          </w:p>
        </w:tc>
        <w:tc>
          <w:tcPr>
            <w:tcW w:w="1474" w:type="dxa"/>
            <w:vAlign w:val="center"/>
          </w:tcPr>
          <w:p w14:paraId="05AA8537">
            <w:pPr>
              <w:adjustRightInd w:val="0"/>
              <w:snapToGrid w:val="0"/>
              <w:spacing w:line="280" w:lineRule="exact"/>
              <w:jc w:val="center"/>
              <w:rPr>
                <w:color w:val="auto"/>
                <w:sz w:val="18"/>
                <w:szCs w:val="18"/>
              </w:rPr>
            </w:pPr>
            <w:r>
              <w:rPr>
                <w:color w:val="auto"/>
                <w:sz w:val="18"/>
                <w:szCs w:val="18"/>
              </w:rPr>
              <w:t>50～25</w:t>
            </w:r>
          </w:p>
        </w:tc>
        <w:tc>
          <w:tcPr>
            <w:tcW w:w="1083" w:type="dxa"/>
            <w:vAlign w:val="center"/>
          </w:tcPr>
          <w:p w14:paraId="38345727">
            <w:pPr>
              <w:adjustRightInd w:val="0"/>
              <w:snapToGrid w:val="0"/>
              <w:spacing w:line="280" w:lineRule="exact"/>
              <w:jc w:val="center"/>
              <w:rPr>
                <w:color w:val="auto"/>
                <w:sz w:val="18"/>
                <w:szCs w:val="18"/>
              </w:rPr>
            </w:pPr>
            <w:r>
              <w:rPr>
                <w:color w:val="auto"/>
                <w:sz w:val="18"/>
                <w:szCs w:val="18"/>
              </w:rPr>
              <w:t>＜25</w:t>
            </w:r>
          </w:p>
        </w:tc>
      </w:tr>
      <w:tr w14:paraId="1E59FD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74" w:type="dxa"/>
            <w:gridSpan w:val="6"/>
            <w:vAlign w:val="center"/>
          </w:tcPr>
          <w:p w14:paraId="43245117">
            <w:pPr>
              <w:pStyle w:val="15"/>
              <w:spacing w:line="240" w:lineRule="auto"/>
              <w:ind w:left="504" w:hanging="503" w:hangingChars="280"/>
              <w:rPr>
                <w:rFonts w:ascii="Times New Roman" w:hAnsi="Times New Roman"/>
                <w:color w:val="auto"/>
                <w:sz w:val="18"/>
                <w:szCs w:val="18"/>
              </w:rPr>
            </w:pPr>
            <w:r>
              <w:rPr>
                <w:rFonts w:ascii="Times New Roman"/>
                <w:color w:val="auto"/>
                <w:sz w:val="18"/>
                <w:szCs w:val="18"/>
              </w:rPr>
              <w:t>注</w:t>
            </w:r>
            <w:r>
              <w:rPr>
                <w:rFonts w:ascii="Times New Roman" w:hAnsi="Times New Roman"/>
                <w:color w:val="auto"/>
                <w:sz w:val="18"/>
                <w:szCs w:val="18"/>
              </w:rPr>
              <w:t>1</w:t>
            </w:r>
            <w:r>
              <w:rPr>
                <w:rFonts w:ascii="Times New Roman"/>
                <w:color w:val="auto"/>
                <w:sz w:val="18"/>
                <w:szCs w:val="18"/>
              </w:rPr>
              <w:t>：完整性指数为岩体纵波波速与岩块纵波波速之比的平方。选定岩体、岩块测定波速时应有代表性；</w:t>
            </w:r>
          </w:p>
          <w:p w14:paraId="7B96911D">
            <w:pPr>
              <w:pStyle w:val="15"/>
              <w:spacing w:line="240" w:lineRule="auto"/>
              <w:ind w:left="492" w:leftChars="-4" w:hanging="500" w:hangingChars="278"/>
              <w:rPr>
                <w:rFonts w:ascii="Times New Roman" w:hAnsi="Times New Roman"/>
                <w:color w:val="auto"/>
                <w:sz w:val="18"/>
                <w:szCs w:val="18"/>
              </w:rPr>
            </w:pPr>
            <w:r>
              <w:rPr>
                <w:rFonts w:ascii="Times New Roman"/>
                <w:color w:val="auto"/>
                <w:sz w:val="18"/>
                <w:szCs w:val="18"/>
              </w:rPr>
              <w:t>注</w:t>
            </w:r>
            <w:r>
              <w:rPr>
                <w:rFonts w:ascii="Times New Roman" w:hAnsi="Times New Roman"/>
                <w:color w:val="auto"/>
                <w:sz w:val="18"/>
                <w:szCs w:val="18"/>
              </w:rPr>
              <w:t>2</w:t>
            </w:r>
            <w:r>
              <w:rPr>
                <w:rFonts w:ascii="Times New Roman"/>
                <w:color w:val="auto"/>
                <w:sz w:val="18"/>
                <w:szCs w:val="18"/>
              </w:rPr>
              <w:t>：岩石质量指标为采用直径</w:t>
            </w:r>
            <w:r>
              <w:rPr>
                <w:rFonts w:ascii="Times New Roman" w:hAnsi="Times New Roman"/>
                <w:color w:val="auto"/>
                <w:sz w:val="18"/>
                <w:szCs w:val="18"/>
              </w:rPr>
              <w:t>75mm</w:t>
            </w:r>
            <w:r>
              <w:rPr>
                <w:rFonts w:ascii="Times New Roman"/>
                <w:color w:val="auto"/>
                <w:sz w:val="18"/>
                <w:szCs w:val="18"/>
              </w:rPr>
              <w:t>金刚石钻头和双层岩芯管在岩石中连续取芯，回次钻进所取岩芯中，长度大于</w:t>
            </w:r>
            <w:r>
              <w:rPr>
                <w:rFonts w:ascii="Times New Roman" w:hAnsi="Times New Roman"/>
                <w:color w:val="auto"/>
                <w:sz w:val="18"/>
                <w:szCs w:val="18"/>
              </w:rPr>
              <w:t>10</w:t>
            </w:r>
            <w:r>
              <w:rPr>
                <w:rFonts w:ascii="Times New Roman" w:hAnsi="Times New Roman"/>
                <w:iCs/>
                <w:color w:val="auto"/>
                <w:sz w:val="18"/>
                <w:szCs w:val="18"/>
              </w:rPr>
              <w:t>cm</w:t>
            </w:r>
            <w:r>
              <w:rPr>
                <w:rFonts w:ascii="Times New Roman"/>
                <w:color w:val="auto"/>
                <w:sz w:val="18"/>
                <w:szCs w:val="18"/>
              </w:rPr>
              <w:t>的岩芯段长度之和与该回次进尺的比值，以百分数计。</w:t>
            </w:r>
          </w:p>
        </w:tc>
      </w:tr>
    </w:tbl>
    <w:p w14:paraId="19F90A72">
      <w:pPr>
        <w:adjustRightInd w:val="0"/>
        <w:snapToGrid w:val="0"/>
        <w:spacing w:before="240" w:line="340" w:lineRule="exact"/>
        <w:rPr>
          <w:color w:val="auto"/>
          <w:szCs w:val="21"/>
        </w:rPr>
      </w:pPr>
      <w:r>
        <w:rPr>
          <w:b/>
          <w:bCs/>
          <w:color w:val="auto"/>
          <w:szCs w:val="21"/>
        </w:rPr>
        <w:t>6.1.5</w:t>
      </w:r>
      <w:r>
        <w:rPr>
          <w:color w:val="auto"/>
          <w:szCs w:val="21"/>
        </w:rPr>
        <w:t xml:space="preserve">  </w:t>
      </w:r>
      <w:r>
        <w:rPr>
          <w:rFonts w:hAnsi="宋体"/>
          <w:color w:val="auto"/>
          <w:szCs w:val="21"/>
        </w:rPr>
        <w:t>碎石土为粒径大于</w:t>
      </w:r>
      <w:r>
        <w:rPr>
          <w:color w:val="auto"/>
          <w:szCs w:val="21"/>
        </w:rPr>
        <w:t>2mm</w:t>
      </w:r>
      <w:r>
        <w:rPr>
          <w:rFonts w:hAnsi="宋体"/>
          <w:color w:val="auto"/>
          <w:szCs w:val="21"/>
        </w:rPr>
        <w:t>的颗粒</w:t>
      </w:r>
      <w:r>
        <w:rPr>
          <w:rFonts w:hint="eastAsia" w:hAnsi="宋体"/>
          <w:color w:val="auto"/>
          <w:szCs w:val="21"/>
        </w:rPr>
        <w:t>质量</w:t>
      </w:r>
      <w:r>
        <w:rPr>
          <w:rFonts w:hAnsi="宋体"/>
          <w:color w:val="auto"/>
          <w:szCs w:val="21"/>
        </w:rPr>
        <w:t>超过</w:t>
      </w:r>
      <w:r>
        <w:rPr>
          <w:rFonts w:hint="eastAsia" w:hAnsi="宋体"/>
          <w:color w:val="auto"/>
          <w:szCs w:val="21"/>
        </w:rPr>
        <w:t>总质量</w:t>
      </w:r>
      <w:r>
        <w:rPr>
          <w:color w:val="auto"/>
          <w:szCs w:val="21"/>
        </w:rPr>
        <w:t>50%</w:t>
      </w:r>
      <w:r>
        <w:rPr>
          <w:rFonts w:hAnsi="宋体"/>
          <w:color w:val="auto"/>
          <w:szCs w:val="21"/>
        </w:rPr>
        <w:t>的土。碎石土可按表</w:t>
      </w:r>
      <w:r>
        <w:rPr>
          <w:color w:val="auto"/>
          <w:szCs w:val="21"/>
        </w:rPr>
        <w:t>7</w:t>
      </w:r>
      <w:r>
        <w:rPr>
          <w:rFonts w:hAnsi="宋体"/>
          <w:color w:val="auto"/>
          <w:szCs w:val="21"/>
        </w:rPr>
        <w:t>分为漂石、块石、卵石、碎石、圆砾和角砾。</w:t>
      </w:r>
      <w:r>
        <w:rPr>
          <w:rFonts w:hint="eastAsia" w:hAnsi="宋体"/>
          <w:color w:val="auto"/>
          <w:szCs w:val="21"/>
        </w:rPr>
        <w:t>现场鉴别按本文件附录表A.4执行。</w:t>
      </w:r>
    </w:p>
    <w:p w14:paraId="2299D295">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表7</w:t>
      </w:r>
      <w:r>
        <w:rPr>
          <w:rFonts w:hint="eastAsia" w:eastAsia="黑体"/>
          <w:b/>
          <w:bCs/>
          <w:color w:val="auto"/>
          <w:szCs w:val="21"/>
        </w:rPr>
        <w:t xml:space="preserve">  </w:t>
      </w:r>
      <w:r>
        <w:rPr>
          <w:rFonts w:eastAsia="黑体"/>
          <w:b/>
          <w:bCs/>
          <w:color w:val="auto"/>
          <w:szCs w:val="21"/>
        </w:rPr>
        <w:t>碎石土的分类</w:t>
      </w:r>
    </w:p>
    <w:tbl>
      <w:tblPr>
        <w:tblStyle w:val="36"/>
        <w:tblW w:w="926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33"/>
        <w:gridCol w:w="2927"/>
        <w:gridCol w:w="4204"/>
      </w:tblGrid>
      <w:tr w14:paraId="58A9E4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133" w:type="dxa"/>
            <w:vAlign w:val="center"/>
          </w:tcPr>
          <w:p w14:paraId="58AD5C63">
            <w:pPr>
              <w:adjustRightInd w:val="0"/>
              <w:snapToGrid w:val="0"/>
              <w:spacing w:line="280" w:lineRule="exact"/>
              <w:jc w:val="center"/>
              <w:rPr>
                <w:color w:val="auto"/>
                <w:sz w:val="18"/>
                <w:szCs w:val="18"/>
              </w:rPr>
            </w:pPr>
            <w:r>
              <w:rPr>
                <w:rFonts w:hAnsi="宋体"/>
                <w:color w:val="auto"/>
                <w:sz w:val="18"/>
                <w:szCs w:val="18"/>
              </w:rPr>
              <w:t>土的名称</w:t>
            </w:r>
          </w:p>
        </w:tc>
        <w:tc>
          <w:tcPr>
            <w:tcW w:w="2927" w:type="dxa"/>
            <w:vAlign w:val="center"/>
          </w:tcPr>
          <w:p w14:paraId="5F4210AC">
            <w:pPr>
              <w:adjustRightInd w:val="0"/>
              <w:snapToGrid w:val="0"/>
              <w:spacing w:line="280" w:lineRule="exact"/>
              <w:jc w:val="center"/>
              <w:rPr>
                <w:color w:val="auto"/>
                <w:sz w:val="18"/>
                <w:szCs w:val="18"/>
              </w:rPr>
            </w:pPr>
            <w:r>
              <w:rPr>
                <w:rFonts w:hAnsi="宋体"/>
                <w:color w:val="auto"/>
                <w:sz w:val="18"/>
                <w:szCs w:val="18"/>
              </w:rPr>
              <w:t>颗粒形状</w:t>
            </w:r>
          </w:p>
        </w:tc>
        <w:tc>
          <w:tcPr>
            <w:tcW w:w="4204" w:type="dxa"/>
            <w:vAlign w:val="center"/>
          </w:tcPr>
          <w:p w14:paraId="14CF1FE7">
            <w:pPr>
              <w:adjustRightInd w:val="0"/>
              <w:snapToGrid w:val="0"/>
              <w:spacing w:line="280" w:lineRule="exact"/>
              <w:jc w:val="center"/>
              <w:rPr>
                <w:color w:val="auto"/>
                <w:sz w:val="18"/>
                <w:szCs w:val="18"/>
              </w:rPr>
            </w:pPr>
            <w:r>
              <w:rPr>
                <w:rFonts w:hAnsi="宋体"/>
                <w:color w:val="auto"/>
                <w:sz w:val="18"/>
                <w:szCs w:val="18"/>
              </w:rPr>
              <w:t>粒</w:t>
            </w:r>
            <w:r>
              <w:rPr>
                <w:color w:val="auto"/>
                <w:sz w:val="18"/>
                <w:szCs w:val="18"/>
              </w:rPr>
              <w:t xml:space="preserve"> </w:t>
            </w:r>
            <w:r>
              <w:rPr>
                <w:rFonts w:hAnsi="宋体"/>
                <w:color w:val="auto"/>
                <w:sz w:val="18"/>
                <w:szCs w:val="18"/>
              </w:rPr>
              <w:t>组</w:t>
            </w:r>
            <w:r>
              <w:rPr>
                <w:color w:val="auto"/>
                <w:sz w:val="18"/>
                <w:szCs w:val="18"/>
              </w:rPr>
              <w:t xml:space="preserve"> </w:t>
            </w:r>
            <w:r>
              <w:rPr>
                <w:rFonts w:hAnsi="宋体"/>
                <w:color w:val="auto"/>
                <w:sz w:val="18"/>
                <w:szCs w:val="18"/>
              </w:rPr>
              <w:t>含</w:t>
            </w:r>
            <w:r>
              <w:rPr>
                <w:color w:val="auto"/>
                <w:sz w:val="18"/>
                <w:szCs w:val="18"/>
              </w:rPr>
              <w:t xml:space="preserve"> </w:t>
            </w:r>
            <w:r>
              <w:rPr>
                <w:rFonts w:hAnsi="宋体"/>
                <w:color w:val="auto"/>
                <w:sz w:val="18"/>
                <w:szCs w:val="18"/>
              </w:rPr>
              <w:t>量</w:t>
            </w:r>
          </w:p>
        </w:tc>
      </w:tr>
      <w:tr w14:paraId="5819D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2133" w:type="dxa"/>
            <w:vAlign w:val="center"/>
          </w:tcPr>
          <w:p w14:paraId="5FA84911">
            <w:pPr>
              <w:adjustRightInd w:val="0"/>
              <w:snapToGrid w:val="0"/>
              <w:jc w:val="center"/>
              <w:rPr>
                <w:color w:val="auto"/>
                <w:sz w:val="18"/>
                <w:szCs w:val="18"/>
              </w:rPr>
            </w:pPr>
            <w:r>
              <w:rPr>
                <w:rFonts w:hAnsi="宋体"/>
                <w:color w:val="auto"/>
                <w:sz w:val="18"/>
                <w:szCs w:val="18"/>
              </w:rPr>
              <w:t>漂石</w:t>
            </w:r>
          </w:p>
          <w:p w14:paraId="39BFBA9A">
            <w:pPr>
              <w:adjustRightInd w:val="0"/>
              <w:snapToGrid w:val="0"/>
              <w:jc w:val="center"/>
              <w:rPr>
                <w:color w:val="auto"/>
                <w:sz w:val="18"/>
                <w:szCs w:val="18"/>
              </w:rPr>
            </w:pPr>
            <w:r>
              <w:rPr>
                <w:rFonts w:hAnsi="宋体"/>
                <w:color w:val="auto"/>
                <w:sz w:val="18"/>
                <w:szCs w:val="18"/>
              </w:rPr>
              <w:t>块石</w:t>
            </w:r>
          </w:p>
        </w:tc>
        <w:tc>
          <w:tcPr>
            <w:tcW w:w="2927" w:type="dxa"/>
            <w:vAlign w:val="center"/>
          </w:tcPr>
          <w:p w14:paraId="54472E65">
            <w:pPr>
              <w:adjustRightInd w:val="0"/>
              <w:snapToGrid w:val="0"/>
              <w:jc w:val="center"/>
              <w:rPr>
                <w:color w:val="auto"/>
                <w:sz w:val="18"/>
                <w:szCs w:val="18"/>
              </w:rPr>
            </w:pPr>
            <w:r>
              <w:rPr>
                <w:rFonts w:hAnsi="宋体"/>
                <w:color w:val="auto"/>
                <w:sz w:val="18"/>
                <w:szCs w:val="18"/>
              </w:rPr>
              <w:t>圆形及亚圆形为主</w:t>
            </w:r>
          </w:p>
          <w:p w14:paraId="31497273">
            <w:pPr>
              <w:adjustRightInd w:val="0"/>
              <w:snapToGrid w:val="0"/>
              <w:jc w:val="center"/>
              <w:rPr>
                <w:color w:val="auto"/>
                <w:sz w:val="18"/>
                <w:szCs w:val="18"/>
              </w:rPr>
            </w:pPr>
            <w:r>
              <w:rPr>
                <w:rFonts w:hAnsi="宋体"/>
                <w:color w:val="auto"/>
                <w:sz w:val="18"/>
                <w:szCs w:val="18"/>
              </w:rPr>
              <w:t>棱角形为主</w:t>
            </w:r>
          </w:p>
        </w:tc>
        <w:tc>
          <w:tcPr>
            <w:tcW w:w="4204" w:type="dxa"/>
            <w:vAlign w:val="center"/>
          </w:tcPr>
          <w:p w14:paraId="0AE319F9">
            <w:pPr>
              <w:adjustRightInd w:val="0"/>
              <w:snapToGrid w:val="0"/>
              <w:jc w:val="center"/>
              <w:rPr>
                <w:color w:val="auto"/>
                <w:sz w:val="18"/>
                <w:szCs w:val="18"/>
              </w:rPr>
            </w:pPr>
            <w:r>
              <w:rPr>
                <w:rFonts w:hAnsi="宋体"/>
                <w:color w:val="auto"/>
                <w:sz w:val="18"/>
                <w:szCs w:val="18"/>
              </w:rPr>
              <w:t>粒径大于</w:t>
            </w:r>
            <w:r>
              <w:rPr>
                <w:color w:val="auto"/>
                <w:sz w:val="18"/>
                <w:szCs w:val="18"/>
              </w:rPr>
              <w:t>200mm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53773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2133" w:type="dxa"/>
            <w:vAlign w:val="center"/>
          </w:tcPr>
          <w:p w14:paraId="7D36B2C6">
            <w:pPr>
              <w:adjustRightInd w:val="0"/>
              <w:snapToGrid w:val="0"/>
              <w:jc w:val="center"/>
              <w:rPr>
                <w:color w:val="auto"/>
                <w:sz w:val="18"/>
                <w:szCs w:val="18"/>
              </w:rPr>
            </w:pPr>
            <w:r>
              <w:rPr>
                <w:rFonts w:hAnsi="宋体"/>
                <w:color w:val="auto"/>
                <w:sz w:val="18"/>
                <w:szCs w:val="18"/>
              </w:rPr>
              <w:t>卵石</w:t>
            </w:r>
          </w:p>
          <w:p w14:paraId="35298929">
            <w:pPr>
              <w:adjustRightInd w:val="0"/>
              <w:snapToGrid w:val="0"/>
              <w:jc w:val="center"/>
              <w:rPr>
                <w:color w:val="auto"/>
                <w:sz w:val="18"/>
                <w:szCs w:val="18"/>
              </w:rPr>
            </w:pPr>
            <w:r>
              <w:rPr>
                <w:rFonts w:hAnsi="宋体"/>
                <w:color w:val="auto"/>
                <w:sz w:val="18"/>
                <w:szCs w:val="18"/>
              </w:rPr>
              <w:t>碎石</w:t>
            </w:r>
          </w:p>
        </w:tc>
        <w:tc>
          <w:tcPr>
            <w:tcW w:w="2927" w:type="dxa"/>
            <w:vAlign w:val="center"/>
          </w:tcPr>
          <w:p w14:paraId="62C8D4DD">
            <w:pPr>
              <w:adjustRightInd w:val="0"/>
              <w:snapToGrid w:val="0"/>
              <w:jc w:val="center"/>
              <w:rPr>
                <w:color w:val="auto"/>
                <w:sz w:val="18"/>
                <w:szCs w:val="18"/>
              </w:rPr>
            </w:pPr>
            <w:r>
              <w:rPr>
                <w:rFonts w:hAnsi="宋体"/>
                <w:color w:val="auto"/>
                <w:sz w:val="18"/>
                <w:szCs w:val="18"/>
              </w:rPr>
              <w:t>圆形及亚圆形为主</w:t>
            </w:r>
          </w:p>
          <w:p w14:paraId="2282ACED">
            <w:pPr>
              <w:pStyle w:val="24"/>
              <w:pBdr>
                <w:bottom w:val="none" w:color="auto" w:sz="0" w:space="0"/>
              </w:pBdr>
              <w:tabs>
                <w:tab w:val="clear" w:pos="4153"/>
                <w:tab w:val="clear" w:pos="8306"/>
              </w:tabs>
              <w:adjustRightInd w:val="0"/>
              <w:rPr>
                <w:color w:val="auto"/>
              </w:rPr>
            </w:pPr>
            <w:r>
              <w:rPr>
                <w:rFonts w:hAnsi="宋体"/>
                <w:color w:val="auto"/>
              </w:rPr>
              <w:t>棱角形为主</w:t>
            </w:r>
          </w:p>
        </w:tc>
        <w:tc>
          <w:tcPr>
            <w:tcW w:w="4204" w:type="dxa"/>
            <w:vAlign w:val="center"/>
          </w:tcPr>
          <w:p w14:paraId="732096BC">
            <w:pPr>
              <w:adjustRightInd w:val="0"/>
              <w:snapToGrid w:val="0"/>
              <w:jc w:val="center"/>
              <w:rPr>
                <w:color w:val="auto"/>
                <w:sz w:val="18"/>
                <w:szCs w:val="18"/>
              </w:rPr>
            </w:pPr>
            <w:r>
              <w:rPr>
                <w:rFonts w:hAnsi="宋体"/>
                <w:color w:val="auto"/>
                <w:sz w:val="18"/>
                <w:szCs w:val="18"/>
              </w:rPr>
              <w:t>粒径大于</w:t>
            </w:r>
            <w:r>
              <w:rPr>
                <w:color w:val="auto"/>
                <w:sz w:val="18"/>
                <w:szCs w:val="18"/>
              </w:rPr>
              <w:t>20mm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0D478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2133" w:type="dxa"/>
            <w:vAlign w:val="center"/>
          </w:tcPr>
          <w:p w14:paraId="43C8BF90">
            <w:pPr>
              <w:adjustRightInd w:val="0"/>
              <w:snapToGrid w:val="0"/>
              <w:jc w:val="center"/>
              <w:rPr>
                <w:color w:val="auto"/>
                <w:sz w:val="18"/>
                <w:szCs w:val="18"/>
              </w:rPr>
            </w:pPr>
            <w:r>
              <w:rPr>
                <w:rFonts w:hAnsi="宋体"/>
                <w:color w:val="auto"/>
                <w:sz w:val="18"/>
                <w:szCs w:val="18"/>
              </w:rPr>
              <w:t>圆砾</w:t>
            </w:r>
          </w:p>
          <w:p w14:paraId="17E31B4E">
            <w:pPr>
              <w:adjustRightInd w:val="0"/>
              <w:snapToGrid w:val="0"/>
              <w:jc w:val="center"/>
              <w:rPr>
                <w:color w:val="auto"/>
                <w:sz w:val="18"/>
                <w:szCs w:val="18"/>
              </w:rPr>
            </w:pPr>
            <w:r>
              <w:rPr>
                <w:rFonts w:hAnsi="宋体"/>
                <w:color w:val="auto"/>
                <w:sz w:val="18"/>
                <w:szCs w:val="18"/>
              </w:rPr>
              <w:t>角砾</w:t>
            </w:r>
          </w:p>
        </w:tc>
        <w:tc>
          <w:tcPr>
            <w:tcW w:w="2927" w:type="dxa"/>
            <w:vAlign w:val="center"/>
          </w:tcPr>
          <w:p w14:paraId="1E60B72D">
            <w:pPr>
              <w:adjustRightInd w:val="0"/>
              <w:snapToGrid w:val="0"/>
              <w:jc w:val="center"/>
              <w:rPr>
                <w:color w:val="auto"/>
                <w:sz w:val="18"/>
                <w:szCs w:val="18"/>
              </w:rPr>
            </w:pPr>
            <w:r>
              <w:rPr>
                <w:rFonts w:hAnsi="宋体"/>
                <w:color w:val="auto"/>
                <w:sz w:val="18"/>
                <w:szCs w:val="18"/>
              </w:rPr>
              <w:t>圆形及亚圆形为主</w:t>
            </w:r>
          </w:p>
          <w:p w14:paraId="02CE1157">
            <w:pPr>
              <w:adjustRightInd w:val="0"/>
              <w:snapToGrid w:val="0"/>
              <w:jc w:val="center"/>
              <w:rPr>
                <w:color w:val="auto"/>
                <w:sz w:val="18"/>
                <w:szCs w:val="18"/>
              </w:rPr>
            </w:pPr>
            <w:r>
              <w:rPr>
                <w:rFonts w:hAnsi="宋体"/>
                <w:color w:val="auto"/>
                <w:sz w:val="18"/>
                <w:szCs w:val="18"/>
              </w:rPr>
              <w:t>棱角形为主</w:t>
            </w:r>
          </w:p>
        </w:tc>
        <w:tc>
          <w:tcPr>
            <w:tcW w:w="4204" w:type="dxa"/>
            <w:vAlign w:val="center"/>
          </w:tcPr>
          <w:p w14:paraId="5B6EB0BF">
            <w:pPr>
              <w:adjustRightInd w:val="0"/>
              <w:snapToGrid w:val="0"/>
              <w:jc w:val="center"/>
              <w:rPr>
                <w:color w:val="auto"/>
                <w:sz w:val="18"/>
                <w:szCs w:val="18"/>
              </w:rPr>
            </w:pPr>
            <w:r>
              <w:rPr>
                <w:rFonts w:hAnsi="宋体"/>
                <w:color w:val="auto"/>
                <w:sz w:val="18"/>
                <w:szCs w:val="18"/>
              </w:rPr>
              <w:t>粒径大于</w:t>
            </w:r>
            <w:r>
              <w:rPr>
                <w:color w:val="auto"/>
                <w:sz w:val="18"/>
                <w:szCs w:val="18"/>
              </w:rPr>
              <w:t>2mm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3E754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9264" w:type="dxa"/>
            <w:gridSpan w:val="3"/>
            <w:vAlign w:val="center"/>
          </w:tcPr>
          <w:p w14:paraId="416F1388">
            <w:pPr>
              <w:adjustRightInd w:val="0"/>
              <w:snapToGrid w:val="0"/>
              <w:spacing w:line="280" w:lineRule="exact"/>
              <w:rPr>
                <w:color w:val="auto"/>
                <w:sz w:val="18"/>
                <w:szCs w:val="18"/>
              </w:rPr>
            </w:pPr>
            <w:r>
              <w:rPr>
                <w:rFonts w:hAnsi="宋体"/>
                <w:color w:val="auto"/>
                <w:sz w:val="18"/>
                <w:szCs w:val="18"/>
              </w:rPr>
              <w:t>注：定名时应根据粒组含量栏从上到下以最先符合者确定。</w:t>
            </w:r>
          </w:p>
        </w:tc>
      </w:tr>
    </w:tbl>
    <w:p w14:paraId="31D897FC">
      <w:pPr>
        <w:adjustRightInd w:val="0"/>
        <w:snapToGrid w:val="0"/>
        <w:spacing w:before="240" w:line="340" w:lineRule="exact"/>
        <w:rPr>
          <w:color w:val="auto"/>
          <w:szCs w:val="21"/>
        </w:rPr>
      </w:pPr>
      <w:r>
        <w:rPr>
          <w:b/>
          <w:bCs/>
          <w:color w:val="auto"/>
          <w:szCs w:val="21"/>
        </w:rPr>
        <w:t xml:space="preserve">6.1.6  </w:t>
      </w:r>
      <w:r>
        <w:rPr>
          <w:rFonts w:hAnsi="宋体"/>
          <w:color w:val="auto"/>
          <w:szCs w:val="21"/>
        </w:rPr>
        <w:t>碎石土的密实度</w:t>
      </w:r>
      <w:r>
        <w:rPr>
          <w:iCs/>
          <w:color w:val="auto"/>
          <w:szCs w:val="21"/>
        </w:rPr>
        <w:t>，</w:t>
      </w:r>
      <w:r>
        <w:rPr>
          <w:rFonts w:hAnsi="宋体"/>
          <w:color w:val="auto"/>
          <w:szCs w:val="21"/>
        </w:rPr>
        <w:t>可根据圆锥动力触探修正后的锤击数平均值按表</w:t>
      </w:r>
      <w:r>
        <w:rPr>
          <w:color w:val="auto"/>
          <w:szCs w:val="21"/>
        </w:rPr>
        <w:t>8</w:t>
      </w:r>
      <w:r>
        <w:rPr>
          <w:rFonts w:hAnsi="宋体"/>
          <w:color w:val="auto"/>
          <w:szCs w:val="21"/>
        </w:rPr>
        <w:t>或</w:t>
      </w:r>
      <w:r>
        <w:rPr>
          <w:rFonts w:hint="eastAsia" w:hAnsi="宋体"/>
          <w:color w:val="auto"/>
          <w:szCs w:val="21"/>
        </w:rPr>
        <w:t>表</w:t>
      </w:r>
      <w:r>
        <w:rPr>
          <w:color w:val="auto"/>
          <w:szCs w:val="21"/>
        </w:rPr>
        <w:t>9</w:t>
      </w:r>
      <w:r>
        <w:rPr>
          <w:rFonts w:hAnsi="宋体"/>
          <w:color w:val="auto"/>
          <w:szCs w:val="21"/>
        </w:rPr>
        <w:t>分为松散、稍密、中密、密实。锤击数修正方法应符合</w:t>
      </w:r>
      <w:r>
        <w:rPr>
          <w:iCs/>
          <w:color w:val="auto"/>
          <w:szCs w:val="21"/>
        </w:rPr>
        <w:t>GB</w:t>
      </w:r>
      <w:r>
        <w:rPr>
          <w:rFonts w:hint="eastAsia"/>
          <w:iCs/>
          <w:color w:val="auto"/>
          <w:szCs w:val="21"/>
        </w:rPr>
        <w:t xml:space="preserve"> </w:t>
      </w:r>
      <w:r>
        <w:rPr>
          <w:color w:val="auto"/>
          <w:szCs w:val="21"/>
        </w:rPr>
        <w:t>50021</w:t>
      </w:r>
      <w:r>
        <w:rPr>
          <w:rFonts w:hAnsi="宋体"/>
          <w:color w:val="auto"/>
          <w:szCs w:val="21"/>
        </w:rPr>
        <w:t>的有关规定。</w:t>
      </w:r>
    </w:p>
    <w:p w14:paraId="3A99FC8D">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表8</w:t>
      </w:r>
      <w:r>
        <w:rPr>
          <w:rFonts w:hint="eastAsia" w:eastAsia="黑体"/>
          <w:b/>
          <w:bCs/>
          <w:color w:val="auto"/>
          <w:szCs w:val="21"/>
        </w:rPr>
        <w:t xml:space="preserve">  </w:t>
      </w:r>
      <w:r>
        <w:rPr>
          <w:rFonts w:eastAsia="黑体"/>
          <w:b/>
          <w:bCs/>
          <w:color w:val="auto"/>
          <w:szCs w:val="21"/>
        </w:rPr>
        <w:t>碎石土密实度按</w:t>
      </w:r>
      <w:r>
        <w:rPr>
          <w:rFonts w:eastAsia="黑体"/>
          <w:b/>
          <w:bCs/>
          <w:i/>
          <w:color w:val="auto"/>
          <w:szCs w:val="21"/>
        </w:rPr>
        <w:t>N</w:t>
      </w:r>
      <w:r>
        <w:rPr>
          <w:rFonts w:eastAsia="黑体"/>
          <w:b/>
          <w:bCs/>
          <w:color w:val="auto"/>
          <w:szCs w:val="21"/>
          <w:vertAlign w:val="subscript"/>
        </w:rPr>
        <w:t>63.5</w:t>
      </w:r>
      <w:r>
        <w:rPr>
          <w:rFonts w:eastAsia="黑体"/>
          <w:b/>
          <w:bCs/>
          <w:color w:val="auto"/>
          <w:szCs w:val="21"/>
        </w:rPr>
        <w:t>分类</w:t>
      </w:r>
    </w:p>
    <w:tbl>
      <w:tblPr>
        <w:tblStyle w:val="36"/>
        <w:tblW w:w="91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774"/>
        <w:gridCol w:w="4369"/>
      </w:tblGrid>
      <w:tr w14:paraId="36E2B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774" w:type="dxa"/>
          </w:tcPr>
          <w:p w14:paraId="1E5CE7A4">
            <w:pPr>
              <w:adjustRightInd w:val="0"/>
              <w:snapToGrid w:val="0"/>
              <w:spacing w:line="280" w:lineRule="exact"/>
              <w:jc w:val="center"/>
              <w:rPr>
                <w:color w:val="auto"/>
                <w:sz w:val="18"/>
                <w:szCs w:val="18"/>
              </w:rPr>
            </w:pPr>
            <w:r>
              <w:rPr>
                <w:rFonts w:hAnsi="宋体"/>
                <w:color w:val="auto"/>
                <w:sz w:val="18"/>
                <w:szCs w:val="18"/>
              </w:rPr>
              <w:t>重型圆锥动力触探锤击数</w:t>
            </w:r>
            <w:r>
              <w:rPr>
                <w:i/>
                <w:color w:val="auto"/>
                <w:sz w:val="18"/>
                <w:szCs w:val="18"/>
              </w:rPr>
              <w:t>N</w:t>
            </w:r>
            <w:r>
              <w:rPr>
                <w:color w:val="auto"/>
                <w:sz w:val="18"/>
                <w:szCs w:val="18"/>
                <w:vertAlign w:val="subscript"/>
              </w:rPr>
              <w:t>63.5</w:t>
            </w:r>
          </w:p>
        </w:tc>
        <w:tc>
          <w:tcPr>
            <w:tcW w:w="4369" w:type="dxa"/>
          </w:tcPr>
          <w:p w14:paraId="3D4CFF10">
            <w:pPr>
              <w:adjustRightInd w:val="0"/>
              <w:snapToGrid w:val="0"/>
              <w:spacing w:line="280" w:lineRule="exact"/>
              <w:jc w:val="center"/>
              <w:rPr>
                <w:color w:val="auto"/>
                <w:sz w:val="18"/>
                <w:szCs w:val="18"/>
              </w:rPr>
            </w:pPr>
            <w:r>
              <w:rPr>
                <w:rFonts w:hAnsi="宋体"/>
                <w:color w:val="auto"/>
                <w:sz w:val="18"/>
                <w:szCs w:val="18"/>
              </w:rPr>
              <w:t>密实度</w:t>
            </w:r>
          </w:p>
        </w:tc>
      </w:tr>
      <w:tr w14:paraId="2EA96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774" w:type="dxa"/>
          </w:tcPr>
          <w:p w14:paraId="524DFA16">
            <w:pPr>
              <w:adjustRightInd w:val="0"/>
              <w:snapToGrid w:val="0"/>
              <w:spacing w:line="280" w:lineRule="exact"/>
              <w:jc w:val="center"/>
              <w:rPr>
                <w:color w:val="auto"/>
                <w:sz w:val="18"/>
                <w:szCs w:val="18"/>
              </w:rPr>
            </w:pPr>
            <w:r>
              <w:rPr>
                <w:i/>
                <w:iCs/>
                <w:color w:val="auto"/>
                <w:sz w:val="18"/>
                <w:szCs w:val="18"/>
              </w:rPr>
              <w:t>N</w:t>
            </w:r>
            <w:r>
              <w:rPr>
                <w:color w:val="auto"/>
                <w:sz w:val="18"/>
                <w:szCs w:val="18"/>
                <w:vertAlign w:val="subscript"/>
              </w:rPr>
              <w:t>63.5</w:t>
            </w:r>
            <w:r>
              <w:rPr>
                <w:color w:val="auto"/>
                <w:sz w:val="18"/>
                <w:szCs w:val="18"/>
              </w:rPr>
              <w:t>≤5</w:t>
            </w:r>
          </w:p>
        </w:tc>
        <w:tc>
          <w:tcPr>
            <w:tcW w:w="4369" w:type="dxa"/>
          </w:tcPr>
          <w:p w14:paraId="29E94727">
            <w:pPr>
              <w:adjustRightInd w:val="0"/>
              <w:snapToGrid w:val="0"/>
              <w:spacing w:line="280" w:lineRule="exact"/>
              <w:jc w:val="center"/>
              <w:rPr>
                <w:color w:val="auto"/>
                <w:sz w:val="18"/>
                <w:szCs w:val="18"/>
              </w:rPr>
            </w:pPr>
            <w:r>
              <w:rPr>
                <w:rFonts w:hAnsi="宋体"/>
                <w:color w:val="auto"/>
                <w:sz w:val="18"/>
                <w:szCs w:val="18"/>
              </w:rPr>
              <w:t>松</w:t>
            </w:r>
            <w:r>
              <w:rPr>
                <w:color w:val="auto"/>
                <w:sz w:val="18"/>
                <w:szCs w:val="18"/>
              </w:rPr>
              <w:t xml:space="preserve">  </w:t>
            </w:r>
            <w:r>
              <w:rPr>
                <w:rFonts w:hAnsi="宋体"/>
                <w:color w:val="auto"/>
                <w:sz w:val="18"/>
                <w:szCs w:val="18"/>
              </w:rPr>
              <w:t>散</w:t>
            </w:r>
          </w:p>
        </w:tc>
      </w:tr>
      <w:tr w14:paraId="040A6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774" w:type="dxa"/>
          </w:tcPr>
          <w:p w14:paraId="26DABE89">
            <w:pPr>
              <w:adjustRightInd w:val="0"/>
              <w:snapToGrid w:val="0"/>
              <w:spacing w:line="280" w:lineRule="exact"/>
              <w:jc w:val="center"/>
              <w:rPr>
                <w:color w:val="auto"/>
                <w:sz w:val="18"/>
                <w:szCs w:val="18"/>
              </w:rPr>
            </w:pPr>
            <w:r>
              <w:rPr>
                <w:color w:val="auto"/>
                <w:sz w:val="18"/>
                <w:szCs w:val="18"/>
              </w:rPr>
              <w:t>5</w:t>
            </w:r>
            <w:r>
              <w:rPr>
                <w:rFonts w:hAnsi="宋体"/>
                <w:color w:val="auto"/>
                <w:sz w:val="18"/>
                <w:szCs w:val="18"/>
              </w:rPr>
              <w:t>＜</w:t>
            </w:r>
            <w:r>
              <w:rPr>
                <w:i/>
                <w:iCs/>
                <w:color w:val="auto"/>
                <w:sz w:val="18"/>
                <w:szCs w:val="18"/>
              </w:rPr>
              <w:t>N</w:t>
            </w:r>
            <w:r>
              <w:rPr>
                <w:color w:val="auto"/>
                <w:sz w:val="18"/>
                <w:szCs w:val="18"/>
                <w:vertAlign w:val="subscript"/>
              </w:rPr>
              <w:t>63.5</w:t>
            </w:r>
            <w:r>
              <w:rPr>
                <w:color w:val="auto"/>
                <w:sz w:val="18"/>
                <w:szCs w:val="18"/>
              </w:rPr>
              <w:t>≤10</w:t>
            </w:r>
          </w:p>
        </w:tc>
        <w:tc>
          <w:tcPr>
            <w:tcW w:w="4369" w:type="dxa"/>
          </w:tcPr>
          <w:p w14:paraId="366D0320">
            <w:pPr>
              <w:adjustRightInd w:val="0"/>
              <w:snapToGrid w:val="0"/>
              <w:spacing w:line="280" w:lineRule="exact"/>
              <w:jc w:val="center"/>
              <w:rPr>
                <w:color w:val="auto"/>
                <w:sz w:val="18"/>
                <w:szCs w:val="18"/>
              </w:rPr>
            </w:pPr>
            <w:r>
              <w:rPr>
                <w:rFonts w:hAnsi="宋体"/>
                <w:color w:val="auto"/>
                <w:sz w:val="18"/>
                <w:szCs w:val="18"/>
              </w:rPr>
              <w:t>稍</w:t>
            </w:r>
            <w:r>
              <w:rPr>
                <w:color w:val="auto"/>
                <w:sz w:val="18"/>
                <w:szCs w:val="18"/>
              </w:rPr>
              <w:t xml:space="preserve">  </w:t>
            </w:r>
            <w:r>
              <w:rPr>
                <w:rFonts w:hAnsi="宋体"/>
                <w:color w:val="auto"/>
                <w:sz w:val="18"/>
                <w:szCs w:val="18"/>
              </w:rPr>
              <w:t>密</w:t>
            </w:r>
          </w:p>
        </w:tc>
      </w:tr>
      <w:tr w14:paraId="7CEDD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774" w:type="dxa"/>
          </w:tcPr>
          <w:p w14:paraId="6B78C45A">
            <w:pPr>
              <w:adjustRightInd w:val="0"/>
              <w:snapToGrid w:val="0"/>
              <w:spacing w:line="280" w:lineRule="exact"/>
              <w:jc w:val="center"/>
              <w:rPr>
                <w:color w:val="auto"/>
                <w:sz w:val="18"/>
                <w:szCs w:val="18"/>
              </w:rPr>
            </w:pPr>
            <w:r>
              <w:rPr>
                <w:color w:val="auto"/>
                <w:sz w:val="18"/>
                <w:szCs w:val="18"/>
              </w:rPr>
              <w:t>10</w:t>
            </w:r>
            <w:r>
              <w:rPr>
                <w:rFonts w:hAnsi="宋体"/>
                <w:color w:val="auto"/>
                <w:sz w:val="18"/>
                <w:szCs w:val="18"/>
              </w:rPr>
              <w:t>＜</w:t>
            </w:r>
            <w:r>
              <w:rPr>
                <w:i/>
                <w:iCs/>
                <w:color w:val="auto"/>
                <w:sz w:val="18"/>
                <w:szCs w:val="18"/>
              </w:rPr>
              <w:t>N</w:t>
            </w:r>
            <w:r>
              <w:rPr>
                <w:color w:val="auto"/>
                <w:sz w:val="18"/>
                <w:szCs w:val="18"/>
                <w:vertAlign w:val="subscript"/>
              </w:rPr>
              <w:t>63.5</w:t>
            </w:r>
            <w:r>
              <w:rPr>
                <w:color w:val="auto"/>
                <w:sz w:val="18"/>
                <w:szCs w:val="18"/>
              </w:rPr>
              <w:t>≤20</w:t>
            </w:r>
          </w:p>
        </w:tc>
        <w:tc>
          <w:tcPr>
            <w:tcW w:w="4369" w:type="dxa"/>
          </w:tcPr>
          <w:p w14:paraId="67F278B5">
            <w:pPr>
              <w:adjustRightInd w:val="0"/>
              <w:snapToGrid w:val="0"/>
              <w:spacing w:line="280" w:lineRule="exact"/>
              <w:jc w:val="center"/>
              <w:rPr>
                <w:color w:val="auto"/>
                <w:sz w:val="18"/>
                <w:szCs w:val="18"/>
              </w:rPr>
            </w:pPr>
            <w:r>
              <w:rPr>
                <w:rFonts w:hAnsi="宋体"/>
                <w:color w:val="auto"/>
                <w:sz w:val="18"/>
                <w:szCs w:val="18"/>
              </w:rPr>
              <w:t>中</w:t>
            </w:r>
            <w:r>
              <w:rPr>
                <w:color w:val="auto"/>
                <w:sz w:val="18"/>
                <w:szCs w:val="18"/>
              </w:rPr>
              <w:t xml:space="preserve">  </w:t>
            </w:r>
            <w:r>
              <w:rPr>
                <w:rFonts w:hAnsi="宋体"/>
                <w:color w:val="auto"/>
                <w:sz w:val="18"/>
                <w:szCs w:val="18"/>
              </w:rPr>
              <w:t>密</w:t>
            </w:r>
          </w:p>
        </w:tc>
      </w:tr>
      <w:tr w14:paraId="591557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774" w:type="dxa"/>
          </w:tcPr>
          <w:p w14:paraId="4BC76615">
            <w:pPr>
              <w:adjustRightInd w:val="0"/>
              <w:snapToGrid w:val="0"/>
              <w:spacing w:line="280" w:lineRule="exact"/>
              <w:jc w:val="center"/>
              <w:rPr>
                <w:color w:val="auto"/>
                <w:sz w:val="18"/>
                <w:szCs w:val="18"/>
              </w:rPr>
            </w:pPr>
            <w:r>
              <w:rPr>
                <w:i/>
                <w:iCs/>
                <w:color w:val="auto"/>
                <w:sz w:val="18"/>
                <w:szCs w:val="18"/>
              </w:rPr>
              <w:t>N</w:t>
            </w:r>
            <w:r>
              <w:rPr>
                <w:color w:val="auto"/>
                <w:sz w:val="18"/>
                <w:szCs w:val="18"/>
                <w:vertAlign w:val="subscript"/>
              </w:rPr>
              <w:t>63.5</w:t>
            </w:r>
            <w:r>
              <w:rPr>
                <w:rFonts w:hAnsi="宋体"/>
                <w:color w:val="auto"/>
                <w:sz w:val="18"/>
                <w:szCs w:val="18"/>
              </w:rPr>
              <w:t>＞</w:t>
            </w:r>
            <w:r>
              <w:rPr>
                <w:color w:val="auto"/>
                <w:sz w:val="18"/>
                <w:szCs w:val="18"/>
              </w:rPr>
              <w:t>20</w:t>
            </w:r>
          </w:p>
        </w:tc>
        <w:tc>
          <w:tcPr>
            <w:tcW w:w="4369" w:type="dxa"/>
          </w:tcPr>
          <w:p w14:paraId="7A47C763">
            <w:pPr>
              <w:adjustRightInd w:val="0"/>
              <w:snapToGrid w:val="0"/>
              <w:spacing w:line="280" w:lineRule="exact"/>
              <w:jc w:val="center"/>
              <w:rPr>
                <w:color w:val="auto"/>
                <w:sz w:val="18"/>
                <w:szCs w:val="18"/>
              </w:rPr>
            </w:pPr>
            <w:r>
              <w:rPr>
                <w:rFonts w:hAnsi="宋体"/>
                <w:color w:val="auto"/>
                <w:sz w:val="18"/>
                <w:szCs w:val="18"/>
              </w:rPr>
              <w:t>密</w:t>
            </w:r>
            <w:r>
              <w:rPr>
                <w:color w:val="auto"/>
                <w:sz w:val="18"/>
                <w:szCs w:val="18"/>
              </w:rPr>
              <w:t xml:space="preserve">  </w:t>
            </w:r>
            <w:r>
              <w:rPr>
                <w:rFonts w:hAnsi="宋体"/>
                <w:color w:val="auto"/>
                <w:sz w:val="18"/>
                <w:szCs w:val="18"/>
              </w:rPr>
              <w:t>实</w:t>
            </w:r>
          </w:p>
        </w:tc>
      </w:tr>
      <w:tr w14:paraId="73C93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9143" w:type="dxa"/>
            <w:gridSpan w:val="2"/>
          </w:tcPr>
          <w:p w14:paraId="3CA311F7">
            <w:pPr>
              <w:adjustRightInd w:val="0"/>
              <w:snapToGrid w:val="0"/>
              <w:spacing w:before="62" w:beforeLines="20"/>
              <w:ind w:left="479" w:hanging="478" w:hangingChars="266"/>
              <w:rPr>
                <w:rFonts w:hAnsi="宋体"/>
                <w:color w:val="auto"/>
                <w:sz w:val="18"/>
                <w:szCs w:val="18"/>
              </w:rPr>
            </w:pPr>
            <w:r>
              <w:rPr>
                <w:rFonts w:hAnsi="宋体"/>
                <w:color w:val="auto"/>
                <w:sz w:val="18"/>
                <w:szCs w:val="18"/>
              </w:rPr>
              <w:t>注</w:t>
            </w:r>
            <w:r>
              <w:rPr>
                <w:rFonts w:hint="eastAsia" w:hAnsi="宋体"/>
                <w:b/>
                <w:color w:val="auto"/>
                <w:sz w:val="18"/>
                <w:szCs w:val="18"/>
              </w:rPr>
              <w:t>1</w:t>
            </w:r>
            <w:r>
              <w:rPr>
                <w:rFonts w:hAnsi="宋体"/>
                <w:color w:val="auto"/>
                <w:sz w:val="18"/>
                <w:szCs w:val="18"/>
              </w:rPr>
              <w:t>：本表适用于平均粒径小于等于</w:t>
            </w:r>
            <w:r>
              <w:rPr>
                <w:color w:val="auto"/>
                <w:sz w:val="18"/>
                <w:szCs w:val="18"/>
              </w:rPr>
              <w:t>50mm</w:t>
            </w:r>
            <w:r>
              <w:rPr>
                <w:rFonts w:hAnsi="宋体"/>
                <w:color w:val="auto"/>
                <w:sz w:val="18"/>
                <w:szCs w:val="18"/>
              </w:rPr>
              <w:t>且最大粒径不超过</w:t>
            </w:r>
            <w:r>
              <w:rPr>
                <w:color w:val="auto"/>
                <w:sz w:val="18"/>
                <w:szCs w:val="18"/>
              </w:rPr>
              <w:t>100mm</w:t>
            </w:r>
            <w:r>
              <w:rPr>
                <w:rFonts w:hAnsi="宋体"/>
                <w:color w:val="auto"/>
                <w:sz w:val="18"/>
                <w:szCs w:val="18"/>
              </w:rPr>
              <w:t>的卵石、碎石、圆砾、角砾。对于平均粒径大于</w:t>
            </w:r>
            <w:r>
              <w:rPr>
                <w:color w:val="auto"/>
                <w:sz w:val="18"/>
                <w:szCs w:val="18"/>
              </w:rPr>
              <w:t>50mm</w:t>
            </w:r>
            <w:r>
              <w:rPr>
                <w:rFonts w:hAnsi="宋体"/>
                <w:color w:val="auto"/>
                <w:sz w:val="18"/>
                <w:szCs w:val="18"/>
              </w:rPr>
              <w:t>或最大粒径大于</w:t>
            </w:r>
            <w:r>
              <w:rPr>
                <w:color w:val="auto"/>
                <w:sz w:val="18"/>
                <w:szCs w:val="18"/>
              </w:rPr>
              <w:t>100mm</w:t>
            </w:r>
            <w:r>
              <w:rPr>
                <w:rFonts w:hAnsi="宋体"/>
                <w:color w:val="auto"/>
                <w:sz w:val="18"/>
                <w:szCs w:val="18"/>
              </w:rPr>
              <w:t>的碎石土</w:t>
            </w:r>
            <w:r>
              <w:rPr>
                <w:i/>
                <w:color w:val="auto"/>
                <w:sz w:val="18"/>
                <w:szCs w:val="18"/>
              </w:rPr>
              <w:t>，</w:t>
            </w:r>
            <w:r>
              <w:rPr>
                <w:rFonts w:hAnsi="宋体"/>
                <w:color w:val="auto"/>
                <w:sz w:val="18"/>
                <w:szCs w:val="18"/>
              </w:rPr>
              <w:t>可</w:t>
            </w:r>
            <w:r>
              <w:rPr>
                <w:rFonts w:hint="eastAsia" w:hAnsi="宋体"/>
                <w:color w:val="auto"/>
                <w:sz w:val="18"/>
                <w:szCs w:val="18"/>
              </w:rPr>
              <w:t>用超重型动力触探或</w:t>
            </w:r>
            <w:r>
              <w:rPr>
                <w:rFonts w:hAnsi="宋体"/>
                <w:color w:val="auto"/>
                <w:sz w:val="18"/>
                <w:szCs w:val="18"/>
              </w:rPr>
              <w:t>按本文件附录表</w:t>
            </w:r>
            <w:r>
              <w:rPr>
                <w:color w:val="auto"/>
                <w:sz w:val="18"/>
                <w:szCs w:val="18"/>
              </w:rPr>
              <w:t>A.4</w:t>
            </w:r>
            <w:r>
              <w:rPr>
                <w:rFonts w:hAnsi="宋体"/>
                <w:color w:val="auto"/>
                <w:sz w:val="18"/>
                <w:szCs w:val="18"/>
              </w:rPr>
              <w:t>鉴别其密实度</w:t>
            </w:r>
            <w:r>
              <w:rPr>
                <w:rFonts w:hint="eastAsia" w:hAnsi="宋体"/>
                <w:color w:val="auto"/>
                <w:sz w:val="18"/>
                <w:szCs w:val="18"/>
              </w:rPr>
              <w:t>；</w:t>
            </w:r>
          </w:p>
          <w:p w14:paraId="2ABB6C55">
            <w:pPr>
              <w:adjustRightInd w:val="0"/>
              <w:snapToGrid w:val="0"/>
              <w:ind w:left="335" w:hanging="334" w:hangingChars="186"/>
              <w:rPr>
                <w:color w:val="auto"/>
                <w:sz w:val="18"/>
                <w:szCs w:val="18"/>
              </w:rPr>
            </w:pPr>
            <w:r>
              <w:rPr>
                <w:rFonts w:hAnsi="宋体"/>
                <w:color w:val="auto"/>
                <w:sz w:val="18"/>
                <w:szCs w:val="18"/>
              </w:rPr>
              <w:t>注</w:t>
            </w:r>
            <w:r>
              <w:rPr>
                <w:rFonts w:hint="eastAsia" w:hAnsi="宋体"/>
                <w:b/>
                <w:color w:val="auto"/>
                <w:sz w:val="18"/>
                <w:szCs w:val="18"/>
              </w:rPr>
              <w:t>2</w:t>
            </w:r>
            <w:r>
              <w:rPr>
                <w:rFonts w:hAnsi="宋体"/>
                <w:color w:val="auto"/>
                <w:sz w:val="18"/>
                <w:szCs w:val="18"/>
              </w:rPr>
              <w:t>：</w:t>
            </w:r>
            <w:r>
              <w:rPr>
                <w:rFonts w:hint="eastAsia" w:hAnsi="宋体"/>
                <w:color w:val="auto"/>
                <w:sz w:val="18"/>
                <w:szCs w:val="18"/>
              </w:rPr>
              <w:t>表内</w:t>
            </w:r>
            <w:r>
              <w:rPr>
                <w:rFonts w:hint="eastAsia" w:hAnsi="宋体"/>
                <w:i/>
                <w:color w:val="auto"/>
                <w:sz w:val="18"/>
                <w:szCs w:val="18"/>
              </w:rPr>
              <w:t>N</w:t>
            </w:r>
            <w:r>
              <w:rPr>
                <w:rFonts w:hint="eastAsia" w:hAnsi="宋体"/>
                <w:color w:val="auto"/>
                <w:sz w:val="18"/>
                <w:szCs w:val="18"/>
                <w:vertAlign w:val="subscript"/>
              </w:rPr>
              <w:t>63.5</w:t>
            </w:r>
            <w:r>
              <w:rPr>
                <w:rFonts w:hint="eastAsia" w:hAnsi="宋体"/>
                <w:color w:val="auto"/>
                <w:sz w:val="18"/>
                <w:szCs w:val="18"/>
              </w:rPr>
              <w:t>为经综合修正后的平均值。</w:t>
            </w:r>
          </w:p>
        </w:tc>
      </w:tr>
    </w:tbl>
    <w:p w14:paraId="6AE28916">
      <w:pPr>
        <w:adjustRightInd w:val="0"/>
        <w:snapToGrid w:val="0"/>
        <w:spacing w:line="360" w:lineRule="exact"/>
        <w:jc w:val="center"/>
        <w:rPr>
          <w:rFonts w:eastAsia="黑体"/>
          <w:b/>
          <w:bCs/>
          <w:color w:val="auto"/>
          <w:sz w:val="18"/>
          <w:szCs w:val="18"/>
        </w:rPr>
      </w:pPr>
    </w:p>
    <w:p w14:paraId="30411A22">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表9</w:t>
      </w:r>
      <w:r>
        <w:rPr>
          <w:rFonts w:hint="eastAsia" w:eastAsia="黑体"/>
          <w:b/>
          <w:bCs/>
          <w:color w:val="auto"/>
          <w:szCs w:val="21"/>
        </w:rPr>
        <w:t xml:space="preserve">  </w:t>
      </w:r>
      <w:r>
        <w:rPr>
          <w:rFonts w:eastAsia="黑体"/>
          <w:b/>
          <w:bCs/>
          <w:color w:val="auto"/>
          <w:szCs w:val="21"/>
        </w:rPr>
        <w:t>碎石土密实度按</w:t>
      </w:r>
      <w:r>
        <w:rPr>
          <w:rFonts w:eastAsia="黑体"/>
          <w:b/>
          <w:bCs/>
          <w:i/>
          <w:color w:val="auto"/>
          <w:szCs w:val="21"/>
        </w:rPr>
        <w:t>N</w:t>
      </w:r>
      <w:r>
        <w:rPr>
          <w:rFonts w:eastAsia="黑体"/>
          <w:b/>
          <w:bCs/>
          <w:color w:val="auto"/>
          <w:szCs w:val="21"/>
          <w:vertAlign w:val="subscript"/>
        </w:rPr>
        <w:t>120</w:t>
      </w:r>
      <w:r>
        <w:rPr>
          <w:rFonts w:eastAsia="黑体"/>
          <w:b/>
          <w:bCs/>
          <w:color w:val="auto"/>
          <w:szCs w:val="21"/>
        </w:rPr>
        <w:t>分类</w:t>
      </w:r>
    </w:p>
    <w:tbl>
      <w:tblPr>
        <w:tblStyle w:val="36"/>
        <w:tblW w:w="915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844"/>
        <w:gridCol w:w="4315"/>
      </w:tblGrid>
      <w:tr w14:paraId="59831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262F7679">
            <w:pPr>
              <w:adjustRightInd w:val="0"/>
              <w:snapToGrid w:val="0"/>
              <w:spacing w:line="280" w:lineRule="exact"/>
              <w:jc w:val="center"/>
              <w:rPr>
                <w:color w:val="auto"/>
                <w:sz w:val="18"/>
                <w:szCs w:val="18"/>
              </w:rPr>
            </w:pPr>
            <w:r>
              <w:rPr>
                <w:rFonts w:hAnsi="宋体"/>
                <w:color w:val="auto"/>
                <w:sz w:val="18"/>
                <w:szCs w:val="18"/>
              </w:rPr>
              <w:t>超重型</w:t>
            </w:r>
            <w:r>
              <w:rPr>
                <w:rFonts w:hint="eastAsia" w:hAnsi="宋体"/>
                <w:color w:val="auto"/>
                <w:sz w:val="18"/>
                <w:szCs w:val="18"/>
              </w:rPr>
              <w:t>圆锥</w:t>
            </w:r>
            <w:r>
              <w:rPr>
                <w:rFonts w:hAnsi="宋体"/>
                <w:color w:val="auto"/>
                <w:sz w:val="18"/>
                <w:szCs w:val="18"/>
              </w:rPr>
              <w:t>动力触探锤击数</w:t>
            </w:r>
            <w:r>
              <w:rPr>
                <w:i/>
                <w:color w:val="auto"/>
                <w:sz w:val="18"/>
                <w:szCs w:val="18"/>
              </w:rPr>
              <w:t>N</w:t>
            </w:r>
            <w:r>
              <w:rPr>
                <w:color w:val="auto"/>
                <w:sz w:val="18"/>
                <w:szCs w:val="18"/>
                <w:vertAlign w:val="subscript"/>
              </w:rPr>
              <w:t>120</w:t>
            </w:r>
          </w:p>
        </w:tc>
        <w:tc>
          <w:tcPr>
            <w:tcW w:w="4315" w:type="dxa"/>
            <w:vAlign w:val="center"/>
          </w:tcPr>
          <w:p w14:paraId="4AB4BA49">
            <w:pPr>
              <w:adjustRightInd w:val="0"/>
              <w:snapToGrid w:val="0"/>
              <w:spacing w:line="280" w:lineRule="exact"/>
              <w:jc w:val="center"/>
              <w:rPr>
                <w:color w:val="auto"/>
                <w:sz w:val="18"/>
                <w:szCs w:val="18"/>
              </w:rPr>
            </w:pPr>
            <w:r>
              <w:rPr>
                <w:rFonts w:hAnsi="宋体"/>
                <w:color w:val="auto"/>
                <w:sz w:val="18"/>
                <w:szCs w:val="18"/>
              </w:rPr>
              <w:t>密实度</w:t>
            </w:r>
          </w:p>
        </w:tc>
      </w:tr>
      <w:tr w14:paraId="685FE3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3DA742EA">
            <w:pPr>
              <w:adjustRightInd w:val="0"/>
              <w:snapToGrid w:val="0"/>
              <w:spacing w:line="280" w:lineRule="exact"/>
              <w:jc w:val="center"/>
              <w:rPr>
                <w:color w:val="auto"/>
                <w:sz w:val="18"/>
                <w:szCs w:val="18"/>
              </w:rPr>
            </w:pPr>
            <w:r>
              <w:rPr>
                <w:i/>
                <w:color w:val="auto"/>
                <w:sz w:val="18"/>
                <w:szCs w:val="18"/>
              </w:rPr>
              <w:t>N</w:t>
            </w:r>
            <w:r>
              <w:rPr>
                <w:color w:val="auto"/>
                <w:sz w:val="18"/>
                <w:szCs w:val="18"/>
                <w:vertAlign w:val="subscript"/>
              </w:rPr>
              <w:t>120</w:t>
            </w:r>
            <w:r>
              <w:rPr>
                <w:color w:val="auto"/>
                <w:sz w:val="18"/>
                <w:szCs w:val="18"/>
              </w:rPr>
              <w:t>≤3</w:t>
            </w:r>
          </w:p>
        </w:tc>
        <w:tc>
          <w:tcPr>
            <w:tcW w:w="4315" w:type="dxa"/>
            <w:vAlign w:val="center"/>
          </w:tcPr>
          <w:p w14:paraId="7C2E2F8A">
            <w:pPr>
              <w:adjustRightInd w:val="0"/>
              <w:snapToGrid w:val="0"/>
              <w:spacing w:line="280" w:lineRule="exact"/>
              <w:jc w:val="center"/>
              <w:rPr>
                <w:color w:val="auto"/>
                <w:sz w:val="18"/>
                <w:szCs w:val="18"/>
              </w:rPr>
            </w:pPr>
            <w:r>
              <w:rPr>
                <w:rFonts w:hAnsi="宋体"/>
                <w:color w:val="auto"/>
                <w:sz w:val="18"/>
                <w:szCs w:val="18"/>
              </w:rPr>
              <w:t>松散</w:t>
            </w:r>
          </w:p>
        </w:tc>
      </w:tr>
      <w:tr w14:paraId="7F15A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49A18563">
            <w:pPr>
              <w:adjustRightInd w:val="0"/>
              <w:snapToGrid w:val="0"/>
              <w:spacing w:line="280" w:lineRule="exact"/>
              <w:jc w:val="center"/>
              <w:rPr>
                <w:color w:val="auto"/>
                <w:sz w:val="18"/>
                <w:szCs w:val="18"/>
              </w:rPr>
            </w:pPr>
            <w:r>
              <w:rPr>
                <w:color w:val="auto"/>
                <w:sz w:val="18"/>
                <w:szCs w:val="18"/>
              </w:rPr>
              <w:t>3</w:t>
            </w:r>
            <w:r>
              <w:rPr>
                <w:rFonts w:hAnsi="宋体"/>
                <w:color w:val="auto"/>
                <w:sz w:val="18"/>
                <w:szCs w:val="18"/>
              </w:rPr>
              <w:t>＜</w:t>
            </w:r>
            <w:r>
              <w:rPr>
                <w:i/>
                <w:color w:val="auto"/>
                <w:sz w:val="18"/>
                <w:szCs w:val="18"/>
              </w:rPr>
              <w:t>N</w:t>
            </w:r>
            <w:r>
              <w:rPr>
                <w:color w:val="auto"/>
                <w:sz w:val="18"/>
                <w:szCs w:val="18"/>
                <w:vertAlign w:val="subscript"/>
              </w:rPr>
              <w:t>120</w:t>
            </w:r>
            <w:r>
              <w:rPr>
                <w:color w:val="auto"/>
                <w:sz w:val="18"/>
                <w:szCs w:val="18"/>
              </w:rPr>
              <w:t>≤6</w:t>
            </w:r>
          </w:p>
        </w:tc>
        <w:tc>
          <w:tcPr>
            <w:tcW w:w="4315" w:type="dxa"/>
            <w:vAlign w:val="center"/>
          </w:tcPr>
          <w:p w14:paraId="63B2CBB5">
            <w:pPr>
              <w:adjustRightInd w:val="0"/>
              <w:snapToGrid w:val="0"/>
              <w:spacing w:line="280" w:lineRule="exact"/>
              <w:jc w:val="center"/>
              <w:rPr>
                <w:color w:val="auto"/>
                <w:sz w:val="18"/>
                <w:szCs w:val="18"/>
              </w:rPr>
            </w:pPr>
            <w:r>
              <w:rPr>
                <w:rFonts w:hAnsi="宋体"/>
                <w:color w:val="auto"/>
                <w:sz w:val="18"/>
                <w:szCs w:val="18"/>
              </w:rPr>
              <w:t>稍密</w:t>
            </w:r>
          </w:p>
        </w:tc>
      </w:tr>
      <w:tr w14:paraId="2462E8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42CAE2D3">
            <w:pPr>
              <w:adjustRightInd w:val="0"/>
              <w:snapToGrid w:val="0"/>
              <w:spacing w:line="280" w:lineRule="exact"/>
              <w:jc w:val="center"/>
              <w:rPr>
                <w:color w:val="auto"/>
                <w:sz w:val="18"/>
                <w:szCs w:val="18"/>
              </w:rPr>
            </w:pPr>
            <w:r>
              <w:rPr>
                <w:color w:val="auto"/>
                <w:sz w:val="18"/>
                <w:szCs w:val="18"/>
              </w:rPr>
              <w:t>6</w:t>
            </w:r>
            <w:r>
              <w:rPr>
                <w:rFonts w:hAnsi="宋体"/>
                <w:color w:val="auto"/>
                <w:sz w:val="18"/>
                <w:szCs w:val="18"/>
              </w:rPr>
              <w:t>＜</w:t>
            </w:r>
            <w:r>
              <w:rPr>
                <w:i/>
                <w:color w:val="auto"/>
                <w:sz w:val="18"/>
                <w:szCs w:val="18"/>
              </w:rPr>
              <w:t>N</w:t>
            </w:r>
            <w:r>
              <w:rPr>
                <w:color w:val="auto"/>
                <w:sz w:val="18"/>
                <w:szCs w:val="18"/>
                <w:vertAlign w:val="subscript"/>
              </w:rPr>
              <w:t>120</w:t>
            </w:r>
            <w:r>
              <w:rPr>
                <w:color w:val="auto"/>
                <w:sz w:val="18"/>
                <w:szCs w:val="18"/>
              </w:rPr>
              <w:t>≤11</w:t>
            </w:r>
          </w:p>
        </w:tc>
        <w:tc>
          <w:tcPr>
            <w:tcW w:w="4315" w:type="dxa"/>
            <w:vAlign w:val="center"/>
          </w:tcPr>
          <w:p w14:paraId="7E7ABC9B">
            <w:pPr>
              <w:adjustRightInd w:val="0"/>
              <w:snapToGrid w:val="0"/>
              <w:spacing w:line="280" w:lineRule="exact"/>
              <w:jc w:val="center"/>
              <w:rPr>
                <w:color w:val="auto"/>
                <w:sz w:val="18"/>
                <w:szCs w:val="18"/>
              </w:rPr>
            </w:pPr>
            <w:r>
              <w:rPr>
                <w:rFonts w:hAnsi="宋体"/>
                <w:color w:val="auto"/>
                <w:sz w:val="18"/>
                <w:szCs w:val="18"/>
              </w:rPr>
              <w:t>中密</w:t>
            </w:r>
          </w:p>
        </w:tc>
      </w:tr>
      <w:tr w14:paraId="3A50E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138CB334">
            <w:pPr>
              <w:adjustRightInd w:val="0"/>
              <w:snapToGrid w:val="0"/>
              <w:spacing w:line="280" w:lineRule="exact"/>
              <w:jc w:val="center"/>
              <w:rPr>
                <w:color w:val="auto"/>
                <w:sz w:val="18"/>
                <w:szCs w:val="18"/>
              </w:rPr>
            </w:pPr>
            <w:r>
              <w:rPr>
                <w:rFonts w:hint="eastAsia"/>
                <w:color w:val="auto"/>
                <w:sz w:val="18"/>
                <w:szCs w:val="18"/>
              </w:rPr>
              <w:t>11</w:t>
            </w:r>
            <w:r>
              <w:rPr>
                <w:rFonts w:hAnsi="宋体"/>
                <w:color w:val="auto"/>
                <w:sz w:val="18"/>
                <w:szCs w:val="18"/>
              </w:rPr>
              <w:t>＜</w:t>
            </w:r>
            <w:r>
              <w:rPr>
                <w:i/>
                <w:color w:val="auto"/>
                <w:sz w:val="18"/>
                <w:szCs w:val="18"/>
              </w:rPr>
              <w:t>N</w:t>
            </w:r>
            <w:r>
              <w:rPr>
                <w:color w:val="auto"/>
                <w:sz w:val="18"/>
                <w:szCs w:val="18"/>
                <w:vertAlign w:val="subscript"/>
              </w:rPr>
              <w:t>120</w:t>
            </w:r>
            <w:r>
              <w:rPr>
                <w:color w:val="auto"/>
                <w:sz w:val="18"/>
                <w:szCs w:val="18"/>
              </w:rPr>
              <w:t>≤1</w:t>
            </w:r>
            <w:r>
              <w:rPr>
                <w:rFonts w:hint="eastAsia"/>
                <w:color w:val="auto"/>
                <w:sz w:val="18"/>
                <w:szCs w:val="18"/>
              </w:rPr>
              <w:t>4</w:t>
            </w:r>
          </w:p>
        </w:tc>
        <w:tc>
          <w:tcPr>
            <w:tcW w:w="4315" w:type="dxa"/>
            <w:vAlign w:val="center"/>
          </w:tcPr>
          <w:p w14:paraId="7E304A1E">
            <w:pPr>
              <w:adjustRightInd w:val="0"/>
              <w:snapToGrid w:val="0"/>
              <w:spacing w:line="280" w:lineRule="exact"/>
              <w:jc w:val="center"/>
              <w:rPr>
                <w:rFonts w:hAnsi="宋体"/>
                <w:color w:val="auto"/>
                <w:sz w:val="18"/>
                <w:szCs w:val="18"/>
              </w:rPr>
            </w:pPr>
            <w:r>
              <w:rPr>
                <w:rFonts w:hAnsi="宋体"/>
                <w:color w:val="auto"/>
                <w:sz w:val="18"/>
                <w:szCs w:val="18"/>
              </w:rPr>
              <w:t>密实</w:t>
            </w:r>
          </w:p>
        </w:tc>
      </w:tr>
      <w:tr w14:paraId="75E9D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844" w:type="dxa"/>
            <w:vAlign w:val="center"/>
          </w:tcPr>
          <w:p w14:paraId="0F5037DE">
            <w:pPr>
              <w:adjustRightInd w:val="0"/>
              <w:snapToGrid w:val="0"/>
              <w:spacing w:line="280" w:lineRule="exact"/>
              <w:jc w:val="center"/>
              <w:rPr>
                <w:color w:val="auto"/>
                <w:sz w:val="18"/>
                <w:szCs w:val="18"/>
              </w:rPr>
            </w:pPr>
            <w:r>
              <w:rPr>
                <w:i/>
                <w:color w:val="auto"/>
                <w:sz w:val="18"/>
                <w:szCs w:val="18"/>
              </w:rPr>
              <w:t>N</w:t>
            </w:r>
            <w:r>
              <w:rPr>
                <w:color w:val="auto"/>
                <w:sz w:val="18"/>
                <w:szCs w:val="18"/>
                <w:vertAlign w:val="subscript"/>
              </w:rPr>
              <w:t>120</w:t>
            </w:r>
            <w:r>
              <w:rPr>
                <w:rFonts w:hAnsi="宋体"/>
                <w:color w:val="auto"/>
                <w:sz w:val="18"/>
                <w:szCs w:val="18"/>
              </w:rPr>
              <w:t>＞</w:t>
            </w:r>
            <w:r>
              <w:rPr>
                <w:rFonts w:hint="eastAsia"/>
                <w:color w:val="auto"/>
                <w:sz w:val="18"/>
                <w:szCs w:val="18"/>
              </w:rPr>
              <w:t>14</w:t>
            </w:r>
          </w:p>
        </w:tc>
        <w:tc>
          <w:tcPr>
            <w:tcW w:w="4315" w:type="dxa"/>
            <w:vAlign w:val="center"/>
          </w:tcPr>
          <w:p w14:paraId="08C99A4D">
            <w:pPr>
              <w:adjustRightInd w:val="0"/>
              <w:snapToGrid w:val="0"/>
              <w:spacing w:line="280" w:lineRule="exact"/>
              <w:jc w:val="center"/>
              <w:rPr>
                <w:color w:val="auto"/>
                <w:sz w:val="18"/>
                <w:szCs w:val="18"/>
              </w:rPr>
            </w:pPr>
            <w:r>
              <w:rPr>
                <w:rFonts w:hint="eastAsia"/>
                <w:color w:val="auto"/>
                <w:sz w:val="18"/>
                <w:szCs w:val="18"/>
              </w:rPr>
              <w:t>很密</w:t>
            </w:r>
          </w:p>
        </w:tc>
      </w:tr>
    </w:tbl>
    <w:p w14:paraId="48D8448A">
      <w:pPr>
        <w:adjustRightInd w:val="0"/>
        <w:snapToGrid w:val="0"/>
        <w:spacing w:before="200" w:line="340" w:lineRule="exact"/>
        <w:rPr>
          <w:color w:val="auto"/>
          <w:szCs w:val="21"/>
        </w:rPr>
      </w:pPr>
      <w:r>
        <w:rPr>
          <w:b/>
          <w:bCs/>
          <w:color w:val="auto"/>
          <w:szCs w:val="21"/>
        </w:rPr>
        <w:t>6.1.7</w:t>
      </w:r>
      <w:r>
        <w:rPr>
          <w:color w:val="auto"/>
          <w:szCs w:val="21"/>
        </w:rPr>
        <w:t xml:space="preserve">  </w:t>
      </w:r>
      <w:r>
        <w:rPr>
          <w:rFonts w:hAnsi="宋体"/>
          <w:color w:val="auto"/>
          <w:szCs w:val="21"/>
        </w:rPr>
        <w:t>砂土为粒径大于</w:t>
      </w:r>
      <w:r>
        <w:rPr>
          <w:color w:val="auto"/>
          <w:szCs w:val="21"/>
        </w:rPr>
        <w:t>2</w:t>
      </w:r>
      <w:r>
        <w:rPr>
          <w:iCs/>
          <w:color w:val="auto"/>
          <w:szCs w:val="21"/>
        </w:rPr>
        <w:t>mm</w:t>
      </w:r>
      <w:r>
        <w:rPr>
          <w:rFonts w:hAnsi="宋体"/>
          <w:color w:val="auto"/>
          <w:szCs w:val="21"/>
        </w:rPr>
        <w:t>的颗粒</w:t>
      </w:r>
      <w:r>
        <w:rPr>
          <w:rFonts w:hint="eastAsia" w:hAnsi="宋体"/>
          <w:color w:val="auto"/>
          <w:szCs w:val="21"/>
        </w:rPr>
        <w:t>质量</w:t>
      </w:r>
      <w:r>
        <w:rPr>
          <w:rFonts w:hAnsi="宋体"/>
          <w:color w:val="auto"/>
          <w:szCs w:val="21"/>
        </w:rPr>
        <w:t>不超过总质量</w:t>
      </w:r>
      <w:r>
        <w:rPr>
          <w:color w:val="auto"/>
          <w:szCs w:val="21"/>
        </w:rPr>
        <w:t>50%</w:t>
      </w:r>
      <w:r>
        <w:rPr>
          <w:rFonts w:hAnsi="宋体"/>
          <w:color w:val="auto"/>
          <w:szCs w:val="21"/>
        </w:rPr>
        <w:t>、粒径大于</w:t>
      </w:r>
      <w:r>
        <w:rPr>
          <w:color w:val="auto"/>
          <w:szCs w:val="21"/>
        </w:rPr>
        <w:t>0.075mm</w:t>
      </w:r>
      <w:r>
        <w:rPr>
          <w:rFonts w:hAnsi="宋体"/>
          <w:color w:val="auto"/>
          <w:szCs w:val="21"/>
        </w:rPr>
        <w:t>的颗粒质量超过总质量</w:t>
      </w:r>
      <w:r>
        <w:rPr>
          <w:color w:val="auto"/>
          <w:szCs w:val="21"/>
        </w:rPr>
        <w:t>50%</w:t>
      </w:r>
      <w:r>
        <w:rPr>
          <w:rFonts w:hAnsi="宋体"/>
          <w:color w:val="auto"/>
          <w:szCs w:val="21"/>
        </w:rPr>
        <w:t>的土。砂土可按表</w:t>
      </w:r>
      <w:r>
        <w:rPr>
          <w:color w:val="auto"/>
          <w:szCs w:val="21"/>
        </w:rPr>
        <w:t>10</w:t>
      </w:r>
      <w:r>
        <w:rPr>
          <w:rFonts w:hAnsi="宋体"/>
          <w:color w:val="auto"/>
          <w:szCs w:val="21"/>
        </w:rPr>
        <w:t>分为砾砂、粗砂、中砂、细砂和粉砂。</w:t>
      </w:r>
    </w:p>
    <w:p w14:paraId="2F6CA757">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表10</w:t>
      </w:r>
      <w:r>
        <w:rPr>
          <w:rFonts w:hint="eastAsia" w:eastAsia="黑体"/>
          <w:b/>
          <w:bCs/>
          <w:color w:val="auto"/>
          <w:szCs w:val="21"/>
        </w:rPr>
        <w:t xml:space="preserve">  </w:t>
      </w:r>
      <w:r>
        <w:rPr>
          <w:rFonts w:eastAsia="黑体"/>
          <w:b/>
          <w:bCs/>
          <w:color w:val="auto"/>
          <w:szCs w:val="21"/>
        </w:rPr>
        <w:t>砂土的分类</w:t>
      </w:r>
    </w:p>
    <w:tbl>
      <w:tblPr>
        <w:tblStyle w:val="36"/>
        <w:tblW w:w="91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220"/>
        <w:gridCol w:w="5927"/>
      </w:tblGrid>
      <w:tr w14:paraId="64C80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0C10C452">
            <w:pPr>
              <w:adjustRightInd w:val="0"/>
              <w:snapToGrid w:val="0"/>
              <w:spacing w:line="280" w:lineRule="exact"/>
              <w:jc w:val="center"/>
              <w:rPr>
                <w:color w:val="auto"/>
                <w:sz w:val="18"/>
                <w:szCs w:val="18"/>
              </w:rPr>
            </w:pPr>
            <w:r>
              <w:rPr>
                <w:rFonts w:hAnsi="宋体"/>
                <w:color w:val="auto"/>
                <w:sz w:val="18"/>
                <w:szCs w:val="18"/>
              </w:rPr>
              <w:t>土的名称</w:t>
            </w:r>
          </w:p>
        </w:tc>
        <w:tc>
          <w:tcPr>
            <w:tcW w:w="5927" w:type="dxa"/>
          </w:tcPr>
          <w:p w14:paraId="10EE8B12">
            <w:pPr>
              <w:adjustRightInd w:val="0"/>
              <w:snapToGrid w:val="0"/>
              <w:spacing w:line="280" w:lineRule="exact"/>
              <w:jc w:val="center"/>
              <w:rPr>
                <w:color w:val="auto"/>
                <w:sz w:val="18"/>
                <w:szCs w:val="18"/>
              </w:rPr>
            </w:pPr>
            <w:r>
              <w:rPr>
                <w:rFonts w:hAnsi="宋体"/>
                <w:color w:val="auto"/>
                <w:sz w:val="18"/>
                <w:szCs w:val="18"/>
              </w:rPr>
              <w:t>粒</w:t>
            </w:r>
            <w:r>
              <w:rPr>
                <w:rFonts w:hint="eastAsia" w:hAnsi="宋体"/>
                <w:color w:val="auto"/>
                <w:sz w:val="18"/>
                <w:szCs w:val="18"/>
              </w:rPr>
              <w:t xml:space="preserve"> </w:t>
            </w:r>
            <w:r>
              <w:rPr>
                <w:rFonts w:hAnsi="宋体"/>
                <w:color w:val="auto"/>
                <w:sz w:val="18"/>
                <w:szCs w:val="18"/>
              </w:rPr>
              <w:t>组</w:t>
            </w:r>
            <w:r>
              <w:rPr>
                <w:rFonts w:hint="eastAsia" w:hAnsi="宋体"/>
                <w:color w:val="auto"/>
                <w:sz w:val="18"/>
                <w:szCs w:val="18"/>
              </w:rPr>
              <w:t xml:space="preserve"> </w:t>
            </w:r>
            <w:r>
              <w:rPr>
                <w:rFonts w:hAnsi="宋体"/>
                <w:color w:val="auto"/>
                <w:sz w:val="18"/>
                <w:szCs w:val="18"/>
              </w:rPr>
              <w:t>含</w:t>
            </w:r>
            <w:r>
              <w:rPr>
                <w:rFonts w:hint="eastAsia" w:hAnsi="宋体"/>
                <w:color w:val="auto"/>
                <w:sz w:val="18"/>
                <w:szCs w:val="18"/>
              </w:rPr>
              <w:t xml:space="preserve"> </w:t>
            </w:r>
            <w:r>
              <w:rPr>
                <w:rFonts w:hAnsi="宋体"/>
                <w:color w:val="auto"/>
                <w:sz w:val="18"/>
                <w:szCs w:val="18"/>
              </w:rPr>
              <w:t>量</w:t>
            </w:r>
          </w:p>
        </w:tc>
      </w:tr>
      <w:tr w14:paraId="51292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46BDC89E">
            <w:pPr>
              <w:adjustRightInd w:val="0"/>
              <w:snapToGrid w:val="0"/>
              <w:spacing w:line="280" w:lineRule="exact"/>
              <w:jc w:val="center"/>
              <w:rPr>
                <w:color w:val="auto"/>
                <w:sz w:val="18"/>
                <w:szCs w:val="18"/>
              </w:rPr>
            </w:pPr>
            <w:r>
              <w:rPr>
                <w:rFonts w:hAnsi="宋体"/>
                <w:color w:val="auto"/>
                <w:sz w:val="18"/>
                <w:szCs w:val="18"/>
              </w:rPr>
              <w:t>砾</w:t>
            </w:r>
            <w:r>
              <w:rPr>
                <w:color w:val="auto"/>
                <w:sz w:val="18"/>
                <w:szCs w:val="18"/>
              </w:rPr>
              <w:t xml:space="preserve">  </w:t>
            </w:r>
            <w:r>
              <w:rPr>
                <w:rFonts w:hAnsi="宋体"/>
                <w:color w:val="auto"/>
                <w:sz w:val="18"/>
                <w:szCs w:val="18"/>
              </w:rPr>
              <w:t>砂</w:t>
            </w:r>
          </w:p>
        </w:tc>
        <w:tc>
          <w:tcPr>
            <w:tcW w:w="5927" w:type="dxa"/>
          </w:tcPr>
          <w:p w14:paraId="07B402A2">
            <w:pPr>
              <w:adjustRightInd w:val="0"/>
              <w:snapToGrid w:val="0"/>
              <w:spacing w:line="280" w:lineRule="exact"/>
              <w:jc w:val="center"/>
              <w:rPr>
                <w:color w:val="auto"/>
                <w:sz w:val="18"/>
                <w:szCs w:val="18"/>
              </w:rPr>
            </w:pPr>
            <w:r>
              <w:rPr>
                <w:rFonts w:hAnsi="宋体"/>
                <w:color w:val="auto"/>
                <w:sz w:val="18"/>
                <w:szCs w:val="18"/>
              </w:rPr>
              <w:t>粒径大于</w:t>
            </w:r>
            <w:r>
              <w:rPr>
                <w:color w:val="auto"/>
                <w:sz w:val="18"/>
                <w:szCs w:val="18"/>
              </w:rPr>
              <w:t>2mm</w:t>
            </w:r>
            <w:r>
              <w:rPr>
                <w:rFonts w:hAnsi="宋体"/>
                <w:color w:val="auto"/>
                <w:sz w:val="18"/>
                <w:szCs w:val="18"/>
              </w:rPr>
              <w:t>的颗粒</w:t>
            </w:r>
            <w:r>
              <w:rPr>
                <w:rFonts w:hint="eastAsia" w:hAnsi="宋体"/>
                <w:color w:val="auto"/>
                <w:sz w:val="18"/>
                <w:szCs w:val="18"/>
              </w:rPr>
              <w:t>质量</w:t>
            </w:r>
            <w:r>
              <w:rPr>
                <w:rFonts w:hAnsi="宋体"/>
                <w:color w:val="auto"/>
                <w:sz w:val="18"/>
                <w:szCs w:val="18"/>
              </w:rPr>
              <w:t>占</w:t>
            </w:r>
            <w:r>
              <w:rPr>
                <w:rFonts w:hint="eastAsia" w:hAnsi="宋体"/>
                <w:color w:val="auto"/>
                <w:sz w:val="18"/>
                <w:szCs w:val="18"/>
              </w:rPr>
              <w:t>总质量</w:t>
            </w:r>
            <w:r>
              <w:rPr>
                <w:color w:val="auto"/>
                <w:sz w:val="18"/>
                <w:szCs w:val="18"/>
              </w:rPr>
              <w:t>25%～50%</w:t>
            </w:r>
          </w:p>
        </w:tc>
      </w:tr>
      <w:tr w14:paraId="36526E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002EECEE">
            <w:pPr>
              <w:adjustRightInd w:val="0"/>
              <w:snapToGrid w:val="0"/>
              <w:spacing w:line="280" w:lineRule="exact"/>
              <w:jc w:val="center"/>
              <w:rPr>
                <w:color w:val="auto"/>
                <w:sz w:val="18"/>
                <w:szCs w:val="18"/>
              </w:rPr>
            </w:pPr>
            <w:r>
              <w:rPr>
                <w:rFonts w:hAnsi="宋体"/>
                <w:color w:val="auto"/>
                <w:sz w:val="18"/>
                <w:szCs w:val="18"/>
              </w:rPr>
              <w:t>粗</w:t>
            </w:r>
            <w:r>
              <w:rPr>
                <w:color w:val="auto"/>
                <w:sz w:val="18"/>
                <w:szCs w:val="18"/>
              </w:rPr>
              <w:t xml:space="preserve">  </w:t>
            </w:r>
            <w:r>
              <w:rPr>
                <w:rFonts w:hAnsi="宋体"/>
                <w:color w:val="auto"/>
                <w:sz w:val="18"/>
                <w:szCs w:val="18"/>
              </w:rPr>
              <w:t>砂</w:t>
            </w:r>
          </w:p>
        </w:tc>
        <w:tc>
          <w:tcPr>
            <w:tcW w:w="5927" w:type="dxa"/>
          </w:tcPr>
          <w:p w14:paraId="26A20DAD">
            <w:pPr>
              <w:adjustRightInd w:val="0"/>
              <w:snapToGrid w:val="0"/>
              <w:spacing w:line="280" w:lineRule="exact"/>
              <w:jc w:val="center"/>
              <w:rPr>
                <w:color w:val="auto"/>
                <w:sz w:val="18"/>
                <w:szCs w:val="18"/>
              </w:rPr>
            </w:pPr>
            <w:r>
              <w:rPr>
                <w:rFonts w:hAnsi="宋体"/>
                <w:color w:val="auto"/>
                <w:sz w:val="18"/>
                <w:szCs w:val="18"/>
              </w:rPr>
              <w:t>粒径大于</w:t>
            </w:r>
            <w:r>
              <w:rPr>
                <w:color w:val="auto"/>
                <w:sz w:val="18"/>
                <w:szCs w:val="18"/>
              </w:rPr>
              <w:t>0.5mm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0922C9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6F6DCA4D">
            <w:pPr>
              <w:adjustRightInd w:val="0"/>
              <w:snapToGrid w:val="0"/>
              <w:spacing w:line="280" w:lineRule="exact"/>
              <w:jc w:val="center"/>
              <w:rPr>
                <w:color w:val="auto"/>
                <w:sz w:val="18"/>
                <w:szCs w:val="18"/>
              </w:rPr>
            </w:pPr>
            <w:r>
              <w:rPr>
                <w:rFonts w:hAnsi="宋体"/>
                <w:color w:val="auto"/>
                <w:sz w:val="18"/>
                <w:szCs w:val="18"/>
              </w:rPr>
              <w:t>中</w:t>
            </w:r>
            <w:r>
              <w:rPr>
                <w:color w:val="auto"/>
                <w:sz w:val="18"/>
                <w:szCs w:val="18"/>
              </w:rPr>
              <w:t xml:space="preserve">  </w:t>
            </w:r>
            <w:r>
              <w:rPr>
                <w:rFonts w:hAnsi="宋体"/>
                <w:color w:val="auto"/>
                <w:sz w:val="18"/>
                <w:szCs w:val="18"/>
              </w:rPr>
              <w:t>砂</w:t>
            </w:r>
          </w:p>
        </w:tc>
        <w:tc>
          <w:tcPr>
            <w:tcW w:w="5927" w:type="dxa"/>
          </w:tcPr>
          <w:p w14:paraId="6A39C89C">
            <w:pPr>
              <w:adjustRightInd w:val="0"/>
              <w:snapToGrid w:val="0"/>
              <w:spacing w:line="280" w:lineRule="exact"/>
              <w:jc w:val="center"/>
              <w:rPr>
                <w:color w:val="auto"/>
                <w:sz w:val="18"/>
                <w:szCs w:val="18"/>
              </w:rPr>
            </w:pPr>
            <w:r>
              <w:rPr>
                <w:rFonts w:hAnsi="宋体"/>
                <w:color w:val="auto"/>
                <w:sz w:val="18"/>
                <w:szCs w:val="18"/>
              </w:rPr>
              <w:t>粒径大于</w:t>
            </w:r>
            <w:r>
              <w:rPr>
                <w:color w:val="auto"/>
                <w:sz w:val="18"/>
                <w:szCs w:val="18"/>
              </w:rPr>
              <w:t>0.25mm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5AE46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7628E853">
            <w:pPr>
              <w:adjustRightInd w:val="0"/>
              <w:snapToGrid w:val="0"/>
              <w:spacing w:line="280" w:lineRule="exact"/>
              <w:jc w:val="center"/>
              <w:rPr>
                <w:color w:val="auto"/>
                <w:sz w:val="18"/>
                <w:szCs w:val="18"/>
              </w:rPr>
            </w:pPr>
            <w:r>
              <w:rPr>
                <w:rFonts w:hAnsi="宋体"/>
                <w:color w:val="auto"/>
                <w:sz w:val="18"/>
                <w:szCs w:val="18"/>
              </w:rPr>
              <w:t>细</w:t>
            </w:r>
            <w:r>
              <w:rPr>
                <w:color w:val="auto"/>
                <w:sz w:val="18"/>
                <w:szCs w:val="18"/>
              </w:rPr>
              <w:t xml:space="preserve">  </w:t>
            </w:r>
            <w:r>
              <w:rPr>
                <w:rFonts w:hAnsi="宋体"/>
                <w:color w:val="auto"/>
                <w:sz w:val="18"/>
                <w:szCs w:val="18"/>
              </w:rPr>
              <w:t>砂</w:t>
            </w:r>
          </w:p>
        </w:tc>
        <w:tc>
          <w:tcPr>
            <w:tcW w:w="5927" w:type="dxa"/>
          </w:tcPr>
          <w:p w14:paraId="453EBBE8">
            <w:pPr>
              <w:adjustRightInd w:val="0"/>
              <w:snapToGrid w:val="0"/>
              <w:spacing w:line="280" w:lineRule="exact"/>
              <w:jc w:val="center"/>
              <w:rPr>
                <w:color w:val="auto"/>
                <w:sz w:val="18"/>
                <w:szCs w:val="18"/>
              </w:rPr>
            </w:pPr>
            <w:r>
              <w:rPr>
                <w:rFonts w:hAnsi="宋体"/>
                <w:color w:val="auto"/>
                <w:sz w:val="18"/>
                <w:szCs w:val="18"/>
              </w:rPr>
              <w:t>粒径大于</w:t>
            </w:r>
            <w:r>
              <w:rPr>
                <w:color w:val="auto"/>
                <w:sz w:val="18"/>
                <w:szCs w:val="18"/>
              </w:rPr>
              <w:t>0.075mm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85%</w:t>
            </w:r>
          </w:p>
        </w:tc>
      </w:tr>
      <w:tr w14:paraId="6DD10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220" w:type="dxa"/>
          </w:tcPr>
          <w:p w14:paraId="53F83E36">
            <w:pPr>
              <w:adjustRightInd w:val="0"/>
              <w:snapToGrid w:val="0"/>
              <w:spacing w:line="280" w:lineRule="exact"/>
              <w:jc w:val="center"/>
              <w:rPr>
                <w:color w:val="auto"/>
                <w:sz w:val="18"/>
                <w:szCs w:val="18"/>
              </w:rPr>
            </w:pPr>
            <w:r>
              <w:rPr>
                <w:rFonts w:hAnsi="宋体"/>
                <w:color w:val="auto"/>
                <w:sz w:val="18"/>
                <w:szCs w:val="18"/>
              </w:rPr>
              <w:t>粉</w:t>
            </w:r>
            <w:r>
              <w:rPr>
                <w:color w:val="auto"/>
                <w:sz w:val="18"/>
                <w:szCs w:val="18"/>
              </w:rPr>
              <w:t xml:space="preserve">  </w:t>
            </w:r>
            <w:r>
              <w:rPr>
                <w:rFonts w:hAnsi="宋体"/>
                <w:color w:val="auto"/>
                <w:sz w:val="18"/>
                <w:szCs w:val="18"/>
              </w:rPr>
              <w:t>砂</w:t>
            </w:r>
          </w:p>
        </w:tc>
        <w:tc>
          <w:tcPr>
            <w:tcW w:w="5927" w:type="dxa"/>
          </w:tcPr>
          <w:p w14:paraId="769AF4E1">
            <w:pPr>
              <w:adjustRightInd w:val="0"/>
              <w:snapToGrid w:val="0"/>
              <w:spacing w:line="280" w:lineRule="exact"/>
              <w:jc w:val="center"/>
              <w:rPr>
                <w:color w:val="auto"/>
                <w:sz w:val="18"/>
                <w:szCs w:val="18"/>
              </w:rPr>
            </w:pPr>
            <w:r>
              <w:rPr>
                <w:rFonts w:hAnsi="宋体"/>
                <w:color w:val="auto"/>
                <w:sz w:val="18"/>
                <w:szCs w:val="18"/>
              </w:rPr>
              <w:t>粒径大于</w:t>
            </w:r>
            <w:r>
              <w:rPr>
                <w:color w:val="auto"/>
                <w:sz w:val="18"/>
                <w:szCs w:val="18"/>
              </w:rPr>
              <w:t>0.075mm</w:t>
            </w:r>
            <w:r>
              <w:rPr>
                <w:rFonts w:hAnsi="宋体"/>
                <w:color w:val="auto"/>
                <w:sz w:val="18"/>
                <w:szCs w:val="18"/>
              </w:rPr>
              <w:t>的颗粒</w:t>
            </w:r>
            <w:r>
              <w:rPr>
                <w:rFonts w:hint="eastAsia" w:hAnsi="宋体"/>
                <w:color w:val="auto"/>
                <w:sz w:val="18"/>
                <w:szCs w:val="18"/>
              </w:rPr>
              <w:t>质量</w:t>
            </w:r>
            <w:r>
              <w:rPr>
                <w:rFonts w:hAnsi="宋体"/>
                <w:color w:val="auto"/>
                <w:sz w:val="18"/>
                <w:szCs w:val="18"/>
              </w:rPr>
              <w:t>超过</w:t>
            </w:r>
            <w:r>
              <w:rPr>
                <w:rFonts w:hint="eastAsia" w:hAnsi="宋体"/>
                <w:color w:val="auto"/>
                <w:sz w:val="18"/>
                <w:szCs w:val="18"/>
              </w:rPr>
              <w:t>总质量</w:t>
            </w:r>
            <w:r>
              <w:rPr>
                <w:color w:val="auto"/>
                <w:sz w:val="18"/>
                <w:szCs w:val="18"/>
              </w:rPr>
              <w:t>50%</w:t>
            </w:r>
          </w:p>
        </w:tc>
      </w:tr>
      <w:tr w14:paraId="56049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147" w:type="dxa"/>
            <w:gridSpan w:val="2"/>
          </w:tcPr>
          <w:p w14:paraId="16FAA36E">
            <w:pPr>
              <w:adjustRightInd w:val="0"/>
              <w:snapToGrid w:val="0"/>
              <w:spacing w:line="280" w:lineRule="exact"/>
              <w:rPr>
                <w:color w:val="auto"/>
                <w:sz w:val="18"/>
                <w:szCs w:val="18"/>
              </w:rPr>
            </w:pPr>
            <w:r>
              <w:rPr>
                <w:rFonts w:hAnsi="宋体"/>
                <w:color w:val="auto"/>
                <w:sz w:val="18"/>
                <w:szCs w:val="18"/>
              </w:rPr>
              <w:t>注：</w:t>
            </w:r>
            <w:r>
              <w:rPr>
                <w:rFonts w:hint="eastAsia" w:hAnsi="宋体"/>
                <w:color w:val="auto"/>
                <w:sz w:val="18"/>
                <w:szCs w:val="18"/>
              </w:rPr>
              <w:t>定</w:t>
            </w:r>
            <w:r>
              <w:rPr>
                <w:rFonts w:hAnsi="宋体"/>
                <w:color w:val="auto"/>
                <w:sz w:val="18"/>
                <w:szCs w:val="18"/>
              </w:rPr>
              <w:t>名时应根据粒组含量栏从上到下以最先符合者确定。</w:t>
            </w:r>
          </w:p>
        </w:tc>
      </w:tr>
    </w:tbl>
    <w:p w14:paraId="656705AF">
      <w:pPr>
        <w:adjustRightInd w:val="0"/>
        <w:snapToGrid w:val="0"/>
        <w:spacing w:before="200" w:line="340" w:lineRule="exact"/>
        <w:rPr>
          <w:color w:val="auto"/>
          <w:szCs w:val="21"/>
        </w:rPr>
      </w:pPr>
      <w:r>
        <w:rPr>
          <w:b/>
          <w:bCs/>
          <w:color w:val="auto"/>
          <w:szCs w:val="21"/>
        </w:rPr>
        <w:t>6.1.8</w:t>
      </w:r>
      <w:r>
        <w:rPr>
          <w:color w:val="auto"/>
          <w:szCs w:val="21"/>
        </w:rPr>
        <w:t xml:space="preserve">  </w:t>
      </w:r>
      <w:r>
        <w:rPr>
          <w:rFonts w:hAnsi="宋体"/>
          <w:color w:val="auto"/>
          <w:szCs w:val="21"/>
        </w:rPr>
        <w:t>砂土的密实度</w:t>
      </w:r>
      <w:r>
        <w:rPr>
          <w:iCs/>
          <w:color w:val="auto"/>
          <w:szCs w:val="21"/>
        </w:rPr>
        <w:t>，</w:t>
      </w:r>
      <w:r>
        <w:rPr>
          <w:rFonts w:hAnsi="宋体"/>
          <w:color w:val="auto"/>
          <w:szCs w:val="21"/>
        </w:rPr>
        <w:t>可根据</w:t>
      </w:r>
      <w:r>
        <w:rPr>
          <w:rFonts w:hint="eastAsia" w:hAnsi="宋体"/>
          <w:color w:val="auto"/>
          <w:szCs w:val="21"/>
        </w:rPr>
        <w:t>标准贯入试验锤</w:t>
      </w:r>
      <w:r>
        <w:rPr>
          <w:rFonts w:hAnsi="宋体"/>
          <w:color w:val="auto"/>
          <w:szCs w:val="21"/>
        </w:rPr>
        <w:t>击数并参照静力触探比贯入阻力的平均值按表</w:t>
      </w:r>
      <w:r>
        <w:rPr>
          <w:color w:val="auto"/>
          <w:szCs w:val="21"/>
        </w:rPr>
        <w:t>11</w:t>
      </w:r>
      <w:r>
        <w:rPr>
          <w:rFonts w:hAnsi="宋体"/>
          <w:color w:val="auto"/>
          <w:szCs w:val="21"/>
        </w:rPr>
        <w:t>综合判别，差异过大时，应分析原因。</w:t>
      </w:r>
    </w:p>
    <w:p w14:paraId="22EF4164">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表11</w:t>
      </w:r>
      <w:r>
        <w:rPr>
          <w:rFonts w:hint="eastAsia" w:eastAsia="黑体"/>
          <w:b/>
          <w:bCs/>
          <w:color w:val="auto"/>
          <w:szCs w:val="21"/>
        </w:rPr>
        <w:t xml:space="preserve">  </w:t>
      </w:r>
      <w:r>
        <w:rPr>
          <w:rFonts w:eastAsia="黑体"/>
          <w:b/>
          <w:bCs/>
          <w:color w:val="auto"/>
          <w:szCs w:val="21"/>
        </w:rPr>
        <w:t>砂土密实度按</w:t>
      </w:r>
      <w:r>
        <w:rPr>
          <w:rFonts w:eastAsia="黑体"/>
          <w:b/>
          <w:bCs/>
          <w:i/>
          <w:color w:val="auto"/>
          <w:szCs w:val="21"/>
        </w:rPr>
        <w:t>N</w:t>
      </w:r>
      <w:r>
        <w:rPr>
          <w:rFonts w:eastAsia="黑体"/>
          <w:b/>
          <w:bCs/>
          <w:color w:val="auto"/>
          <w:szCs w:val="21"/>
        </w:rPr>
        <w:t>、</w:t>
      </w:r>
      <w:r>
        <w:rPr>
          <w:rFonts w:eastAsia="黑体"/>
          <w:b/>
          <w:bCs/>
          <w:i/>
          <w:color w:val="auto"/>
          <w:szCs w:val="21"/>
        </w:rPr>
        <w:t>p</w:t>
      </w:r>
      <w:r>
        <w:rPr>
          <w:rFonts w:eastAsia="黑体"/>
          <w:b/>
          <w:bCs/>
          <w:color w:val="auto"/>
          <w:szCs w:val="21"/>
          <w:vertAlign w:val="subscript"/>
        </w:rPr>
        <w:t>s</w:t>
      </w:r>
      <w:r>
        <w:rPr>
          <w:rFonts w:eastAsia="黑体"/>
          <w:b/>
          <w:bCs/>
          <w:color w:val="auto"/>
          <w:szCs w:val="21"/>
        </w:rPr>
        <w:t>分类</w:t>
      </w:r>
    </w:p>
    <w:tbl>
      <w:tblPr>
        <w:tblStyle w:val="36"/>
        <w:tblW w:w="914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386"/>
        <w:gridCol w:w="1972"/>
        <w:gridCol w:w="1846"/>
        <w:gridCol w:w="2938"/>
      </w:tblGrid>
      <w:tr w14:paraId="56EA0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vMerge w:val="restart"/>
            <w:vAlign w:val="center"/>
          </w:tcPr>
          <w:p w14:paraId="18170538">
            <w:pPr>
              <w:adjustRightInd w:val="0"/>
              <w:snapToGrid w:val="0"/>
              <w:spacing w:line="300" w:lineRule="exact"/>
              <w:jc w:val="center"/>
              <w:rPr>
                <w:color w:val="auto"/>
                <w:sz w:val="18"/>
                <w:szCs w:val="18"/>
              </w:rPr>
            </w:pPr>
            <w:r>
              <w:rPr>
                <w:rFonts w:hAnsi="宋体"/>
                <w:color w:val="auto"/>
                <w:sz w:val="18"/>
                <w:szCs w:val="18"/>
              </w:rPr>
              <w:t>标准贯入</w:t>
            </w:r>
            <w:r>
              <w:rPr>
                <w:rFonts w:hint="eastAsia" w:hAnsi="宋体"/>
                <w:color w:val="auto"/>
                <w:sz w:val="18"/>
                <w:szCs w:val="18"/>
              </w:rPr>
              <w:t>试验锤</w:t>
            </w:r>
            <w:r>
              <w:rPr>
                <w:rFonts w:hAnsi="宋体"/>
                <w:color w:val="auto"/>
                <w:sz w:val="18"/>
                <w:szCs w:val="18"/>
              </w:rPr>
              <w:t>击数</w:t>
            </w:r>
            <w:r>
              <w:rPr>
                <w:i/>
                <w:color w:val="auto"/>
                <w:sz w:val="18"/>
                <w:szCs w:val="18"/>
              </w:rPr>
              <w:t>N</w:t>
            </w:r>
          </w:p>
        </w:tc>
        <w:tc>
          <w:tcPr>
            <w:tcW w:w="3818" w:type="dxa"/>
            <w:gridSpan w:val="2"/>
          </w:tcPr>
          <w:p w14:paraId="35E6086E">
            <w:pPr>
              <w:adjustRightInd w:val="0"/>
              <w:snapToGrid w:val="0"/>
              <w:spacing w:line="240" w:lineRule="exact"/>
              <w:jc w:val="center"/>
              <w:rPr>
                <w:color w:val="auto"/>
                <w:sz w:val="18"/>
                <w:szCs w:val="18"/>
              </w:rPr>
            </w:pPr>
            <w:r>
              <w:rPr>
                <w:rFonts w:hAnsi="宋体"/>
                <w:color w:val="auto"/>
                <w:sz w:val="18"/>
                <w:szCs w:val="18"/>
              </w:rPr>
              <w:t>静力触探比贯入阻力</w:t>
            </w:r>
            <w:r>
              <w:rPr>
                <w:i/>
                <w:iCs/>
                <w:color w:val="auto"/>
                <w:sz w:val="18"/>
                <w:szCs w:val="18"/>
              </w:rPr>
              <w:t>p</w:t>
            </w:r>
            <w:r>
              <w:rPr>
                <w:iCs/>
                <w:color w:val="auto"/>
                <w:sz w:val="18"/>
                <w:szCs w:val="18"/>
                <w:vertAlign w:val="subscript"/>
              </w:rPr>
              <w:t>s</w:t>
            </w:r>
            <w:r>
              <w:rPr>
                <w:color w:val="auto"/>
                <w:sz w:val="18"/>
                <w:szCs w:val="18"/>
              </w:rPr>
              <w:t>（</w:t>
            </w:r>
            <w:r>
              <w:rPr>
                <w:iCs/>
                <w:color w:val="auto"/>
                <w:sz w:val="18"/>
                <w:szCs w:val="18"/>
              </w:rPr>
              <w:t>MPa</w:t>
            </w:r>
            <w:r>
              <w:rPr>
                <w:color w:val="auto"/>
                <w:sz w:val="18"/>
                <w:szCs w:val="18"/>
              </w:rPr>
              <w:t>）</w:t>
            </w:r>
          </w:p>
        </w:tc>
        <w:tc>
          <w:tcPr>
            <w:tcW w:w="2938" w:type="dxa"/>
            <w:vMerge w:val="restart"/>
            <w:vAlign w:val="center"/>
          </w:tcPr>
          <w:p w14:paraId="2E4A6206">
            <w:pPr>
              <w:spacing w:line="300" w:lineRule="exact"/>
              <w:jc w:val="center"/>
              <w:rPr>
                <w:color w:val="auto"/>
                <w:sz w:val="18"/>
                <w:szCs w:val="18"/>
              </w:rPr>
            </w:pPr>
            <w:r>
              <w:rPr>
                <w:rFonts w:hAnsi="宋体"/>
                <w:color w:val="auto"/>
                <w:sz w:val="18"/>
                <w:szCs w:val="18"/>
              </w:rPr>
              <w:t>密</w:t>
            </w:r>
            <w:r>
              <w:rPr>
                <w:color w:val="auto"/>
                <w:sz w:val="18"/>
                <w:szCs w:val="18"/>
              </w:rPr>
              <w:t xml:space="preserve"> </w:t>
            </w:r>
            <w:r>
              <w:rPr>
                <w:rFonts w:hAnsi="宋体"/>
                <w:color w:val="auto"/>
                <w:sz w:val="18"/>
                <w:szCs w:val="18"/>
              </w:rPr>
              <w:t>实</w:t>
            </w:r>
            <w:r>
              <w:rPr>
                <w:color w:val="auto"/>
                <w:sz w:val="18"/>
                <w:szCs w:val="18"/>
              </w:rPr>
              <w:t xml:space="preserve"> </w:t>
            </w:r>
            <w:r>
              <w:rPr>
                <w:rFonts w:hAnsi="宋体"/>
                <w:color w:val="auto"/>
                <w:sz w:val="18"/>
                <w:szCs w:val="18"/>
              </w:rPr>
              <w:t>度</w:t>
            </w:r>
          </w:p>
        </w:tc>
      </w:tr>
      <w:tr w14:paraId="19FEB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vMerge w:val="continue"/>
            <w:vAlign w:val="center"/>
          </w:tcPr>
          <w:p w14:paraId="0FA5EB6F">
            <w:pPr>
              <w:adjustRightInd w:val="0"/>
              <w:snapToGrid w:val="0"/>
              <w:spacing w:line="300" w:lineRule="exact"/>
              <w:jc w:val="center"/>
              <w:rPr>
                <w:color w:val="auto"/>
                <w:sz w:val="18"/>
                <w:szCs w:val="18"/>
              </w:rPr>
            </w:pPr>
          </w:p>
        </w:tc>
        <w:tc>
          <w:tcPr>
            <w:tcW w:w="1972" w:type="dxa"/>
          </w:tcPr>
          <w:p w14:paraId="29285D75">
            <w:pPr>
              <w:adjustRightInd w:val="0"/>
              <w:snapToGrid w:val="0"/>
              <w:spacing w:line="240" w:lineRule="exact"/>
              <w:jc w:val="center"/>
              <w:rPr>
                <w:color w:val="auto"/>
                <w:sz w:val="18"/>
                <w:szCs w:val="18"/>
              </w:rPr>
            </w:pPr>
            <w:r>
              <w:rPr>
                <w:rFonts w:hAnsi="宋体"/>
                <w:color w:val="auto"/>
                <w:sz w:val="18"/>
                <w:szCs w:val="18"/>
              </w:rPr>
              <w:t>粉细砂</w:t>
            </w:r>
          </w:p>
        </w:tc>
        <w:tc>
          <w:tcPr>
            <w:tcW w:w="1846" w:type="dxa"/>
          </w:tcPr>
          <w:p w14:paraId="4C2CBD77">
            <w:pPr>
              <w:adjustRightInd w:val="0"/>
              <w:snapToGrid w:val="0"/>
              <w:spacing w:line="240" w:lineRule="exact"/>
              <w:jc w:val="center"/>
              <w:rPr>
                <w:color w:val="auto"/>
                <w:sz w:val="18"/>
                <w:szCs w:val="18"/>
              </w:rPr>
            </w:pPr>
            <w:r>
              <w:rPr>
                <w:rFonts w:hAnsi="宋体"/>
                <w:color w:val="auto"/>
                <w:sz w:val="18"/>
                <w:szCs w:val="18"/>
              </w:rPr>
              <w:t>中粗砂</w:t>
            </w:r>
          </w:p>
        </w:tc>
        <w:tc>
          <w:tcPr>
            <w:tcW w:w="2938" w:type="dxa"/>
            <w:vMerge w:val="continue"/>
            <w:vAlign w:val="center"/>
          </w:tcPr>
          <w:p w14:paraId="072592A8">
            <w:pPr>
              <w:spacing w:line="300" w:lineRule="exact"/>
              <w:jc w:val="center"/>
              <w:rPr>
                <w:color w:val="auto"/>
                <w:sz w:val="18"/>
                <w:szCs w:val="18"/>
              </w:rPr>
            </w:pPr>
          </w:p>
        </w:tc>
      </w:tr>
      <w:tr w14:paraId="77324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tcPr>
          <w:p w14:paraId="1FB10EBE">
            <w:pPr>
              <w:adjustRightInd w:val="0"/>
              <w:snapToGrid w:val="0"/>
              <w:spacing w:line="280" w:lineRule="exact"/>
              <w:jc w:val="center"/>
              <w:rPr>
                <w:color w:val="auto"/>
                <w:sz w:val="18"/>
                <w:szCs w:val="18"/>
              </w:rPr>
            </w:pPr>
            <w:r>
              <w:rPr>
                <w:i/>
                <w:color w:val="auto"/>
                <w:sz w:val="18"/>
                <w:szCs w:val="18"/>
              </w:rPr>
              <w:t>N</w:t>
            </w:r>
            <w:r>
              <w:rPr>
                <w:color w:val="auto"/>
                <w:sz w:val="18"/>
                <w:szCs w:val="18"/>
              </w:rPr>
              <w:t>≤10</w:t>
            </w:r>
          </w:p>
        </w:tc>
        <w:tc>
          <w:tcPr>
            <w:tcW w:w="1972" w:type="dxa"/>
          </w:tcPr>
          <w:p w14:paraId="1CFFB0DB">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≤4</w:t>
            </w:r>
          </w:p>
        </w:tc>
        <w:tc>
          <w:tcPr>
            <w:tcW w:w="1846" w:type="dxa"/>
          </w:tcPr>
          <w:p w14:paraId="7D3FBA8D">
            <w:pPr>
              <w:adjustRightInd w:val="0"/>
              <w:snapToGrid w:val="0"/>
              <w:spacing w:line="240" w:lineRule="exact"/>
              <w:jc w:val="center"/>
              <w:rPr>
                <w:color w:val="auto"/>
                <w:sz w:val="18"/>
                <w:szCs w:val="18"/>
              </w:rPr>
            </w:pPr>
            <w:r>
              <w:rPr>
                <w:color w:val="auto"/>
                <w:sz w:val="18"/>
                <w:szCs w:val="18"/>
              </w:rPr>
              <w:t>---</w:t>
            </w:r>
          </w:p>
        </w:tc>
        <w:tc>
          <w:tcPr>
            <w:tcW w:w="2938" w:type="dxa"/>
          </w:tcPr>
          <w:p w14:paraId="7CE99646">
            <w:pPr>
              <w:adjustRightInd w:val="0"/>
              <w:snapToGrid w:val="0"/>
              <w:spacing w:line="280" w:lineRule="exact"/>
              <w:jc w:val="center"/>
              <w:rPr>
                <w:color w:val="auto"/>
                <w:sz w:val="18"/>
                <w:szCs w:val="18"/>
              </w:rPr>
            </w:pPr>
            <w:r>
              <w:rPr>
                <w:rFonts w:hAnsi="宋体"/>
                <w:color w:val="auto"/>
                <w:sz w:val="18"/>
                <w:szCs w:val="18"/>
              </w:rPr>
              <w:t>松</w:t>
            </w:r>
            <w:r>
              <w:rPr>
                <w:color w:val="auto"/>
                <w:sz w:val="18"/>
                <w:szCs w:val="18"/>
              </w:rPr>
              <w:t xml:space="preserve">  </w:t>
            </w:r>
            <w:r>
              <w:rPr>
                <w:rFonts w:hAnsi="宋体"/>
                <w:color w:val="auto"/>
                <w:sz w:val="18"/>
                <w:szCs w:val="18"/>
              </w:rPr>
              <w:t>散</w:t>
            </w:r>
          </w:p>
        </w:tc>
      </w:tr>
      <w:tr w14:paraId="53F08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tcPr>
          <w:p w14:paraId="16ADCB4F">
            <w:pPr>
              <w:adjustRightInd w:val="0"/>
              <w:snapToGrid w:val="0"/>
              <w:spacing w:line="280" w:lineRule="exact"/>
              <w:jc w:val="center"/>
              <w:rPr>
                <w:color w:val="auto"/>
                <w:sz w:val="18"/>
                <w:szCs w:val="18"/>
              </w:rPr>
            </w:pPr>
            <w:r>
              <w:rPr>
                <w:color w:val="auto"/>
                <w:sz w:val="18"/>
                <w:szCs w:val="18"/>
              </w:rPr>
              <w:t>10</w:t>
            </w:r>
            <w:r>
              <w:rPr>
                <w:rFonts w:hAnsi="宋体"/>
                <w:color w:val="auto"/>
                <w:sz w:val="18"/>
                <w:szCs w:val="18"/>
              </w:rPr>
              <w:t>＜</w:t>
            </w:r>
            <w:r>
              <w:rPr>
                <w:i/>
                <w:color w:val="auto"/>
                <w:sz w:val="18"/>
                <w:szCs w:val="18"/>
              </w:rPr>
              <w:t>N</w:t>
            </w:r>
            <w:r>
              <w:rPr>
                <w:color w:val="auto"/>
                <w:sz w:val="18"/>
                <w:szCs w:val="18"/>
              </w:rPr>
              <w:t>≤15</w:t>
            </w:r>
          </w:p>
        </w:tc>
        <w:tc>
          <w:tcPr>
            <w:tcW w:w="1972" w:type="dxa"/>
          </w:tcPr>
          <w:p w14:paraId="61ADD7A7">
            <w:pPr>
              <w:adjustRightInd w:val="0"/>
              <w:snapToGrid w:val="0"/>
              <w:spacing w:line="240" w:lineRule="exact"/>
              <w:jc w:val="center"/>
              <w:rPr>
                <w:color w:val="auto"/>
                <w:sz w:val="18"/>
                <w:szCs w:val="18"/>
              </w:rPr>
            </w:pPr>
            <w:r>
              <w:rPr>
                <w:color w:val="auto"/>
                <w:sz w:val="18"/>
                <w:szCs w:val="18"/>
              </w:rPr>
              <w:t>4</w:t>
            </w:r>
            <w:r>
              <w:rPr>
                <w:rFonts w:hAnsi="宋体"/>
                <w:color w:val="auto"/>
                <w:sz w:val="18"/>
                <w:szCs w:val="18"/>
              </w:rPr>
              <w:t>＜</w:t>
            </w:r>
            <w:r>
              <w:rPr>
                <w:i/>
                <w:iCs/>
                <w:color w:val="auto"/>
                <w:sz w:val="18"/>
                <w:szCs w:val="18"/>
              </w:rPr>
              <w:t>p</w:t>
            </w:r>
            <w:r>
              <w:rPr>
                <w:iCs/>
                <w:color w:val="auto"/>
                <w:sz w:val="18"/>
                <w:szCs w:val="18"/>
                <w:vertAlign w:val="subscript"/>
              </w:rPr>
              <w:t>s</w:t>
            </w:r>
            <w:r>
              <w:rPr>
                <w:color w:val="auto"/>
                <w:sz w:val="18"/>
                <w:szCs w:val="18"/>
              </w:rPr>
              <w:t>≤6</w:t>
            </w:r>
          </w:p>
        </w:tc>
        <w:tc>
          <w:tcPr>
            <w:tcW w:w="1846" w:type="dxa"/>
          </w:tcPr>
          <w:p w14:paraId="5C7529D4">
            <w:pPr>
              <w:adjustRightInd w:val="0"/>
              <w:snapToGrid w:val="0"/>
              <w:spacing w:line="240" w:lineRule="exact"/>
              <w:jc w:val="center"/>
              <w:rPr>
                <w:color w:val="auto"/>
                <w:sz w:val="18"/>
                <w:szCs w:val="18"/>
              </w:rPr>
            </w:pPr>
            <w:r>
              <w:rPr>
                <w:color w:val="auto"/>
                <w:sz w:val="18"/>
                <w:szCs w:val="18"/>
              </w:rPr>
              <w:t>3＜</w:t>
            </w: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5</w:t>
            </w:r>
          </w:p>
        </w:tc>
        <w:tc>
          <w:tcPr>
            <w:tcW w:w="2938" w:type="dxa"/>
          </w:tcPr>
          <w:p w14:paraId="74736433">
            <w:pPr>
              <w:adjustRightInd w:val="0"/>
              <w:snapToGrid w:val="0"/>
              <w:spacing w:line="280" w:lineRule="exact"/>
              <w:jc w:val="center"/>
              <w:rPr>
                <w:color w:val="auto"/>
                <w:sz w:val="18"/>
                <w:szCs w:val="18"/>
              </w:rPr>
            </w:pPr>
            <w:r>
              <w:rPr>
                <w:rFonts w:hAnsi="宋体"/>
                <w:color w:val="auto"/>
                <w:sz w:val="18"/>
                <w:szCs w:val="18"/>
              </w:rPr>
              <w:t>稍</w:t>
            </w:r>
            <w:r>
              <w:rPr>
                <w:color w:val="auto"/>
                <w:sz w:val="18"/>
                <w:szCs w:val="18"/>
              </w:rPr>
              <w:t xml:space="preserve">  </w:t>
            </w:r>
            <w:r>
              <w:rPr>
                <w:rFonts w:hAnsi="宋体"/>
                <w:color w:val="auto"/>
                <w:sz w:val="18"/>
                <w:szCs w:val="18"/>
              </w:rPr>
              <w:t>密</w:t>
            </w:r>
          </w:p>
        </w:tc>
      </w:tr>
      <w:tr w14:paraId="021D53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tcPr>
          <w:p w14:paraId="4A694185">
            <w:pPr>
              <w:adjustRightInd w:val="0"/>
              <w:snapToGrid w:val="0"/>
              <w:spacing w:line="280" w:lineRule="exact"/>
              <w:jc w:val="center"/>
              <w:rPr>
                <w:color w:val="auto"/>
                <w:sz w:val="18"/>
                <w:szCs w:val="18"/>
              </w:rPr>
            </w:pPr>
            <w:r>
              <w:rPr>
                <w:color w:val="auto"/>
                <w:sz w:val="18"/>
                <w:szCs w:val="18"/>
              </w:rPr>
              <w:t>15</w:t>
            </w:r>
            <w:r>
              <w:rPr>
                <w:rFonts w:hAnsi="宋体"/>
                <w:color w:val="auto"/>
                <w:sz w:val="18"/>
                <w:szCs w:val="18"/>
              </w:rPr>
              <w:t>＜</w:t>
            </w:r>
            <w:r>
              <w:rPr>
                <w:i/>
                <w:color w:val="auto"/>
                <w:sz w:val="18"/>
                <w:szCs w:val="18"/>
              </w:rPr>
              <w:t>N</w:t>
            </w:r>
            <w:r>
              <w:rPr>
                <w:color w:val="auto"/>
                <w:sz w:val="18"/>
                <w:szCs w:val="18"/>
              </w:rPr>
              <w:t>≤30</w:t>
            </w:r>
          </w:p>
        </w:tc>
        <w:tc>
          <w:tcPr>
            <w:tcW w:w="1972" w:type="dxa"/>
          </w:tcPr>
          <w:p w14:paraId="0055A11F">
            <w:pPr>
              <w:adjustRightInd w:val="0"/>
              <w:snapToGrid w:val="0"/>
              <w:spacing w:line="240" w:lineRule="exact"/>
              <w:jc w:val="center"/>
              <w:rPr>
                <w:color w:val="auto"/>
                <w:sz w:val="18"/>
                <w:szCs w:val="18"/>
              </w:rPr>
            </w:pPr>
            <w:r>
              <w:rPr>
                <w:color w:val="auto"/>
                <w:sz w:val="18"/>
                <w:szCs w:val="18"/>
              </w:rPr>
              <w:t>6</w:t>
            </w:r>
            <w:r>
              <w:rPr>
                <w:rFonts w:hAnsi="宋体"/>
                <w:color w:val="auto"/>
                <w:sz w:val="18"/>
                <w:szCs w:val="18"/>
              </w:rPr>
              <w:t>＜</w:t>
            </w:r>
            <w:r>
              <w:rPr>
                <w:i/>
                <w:iCs/>
                <w:color w:val="auto"/>
                <w:sz w:val="18"/>
                <w:szCs w:val="18"/>
              </w:rPr>
              <w:t>p</w:t>
            </w:r>
            <w:r>
              <w:rPr>
                <w:iCs/>
                <w:color w:val="auto"/>
                <w:sz w:val="18"/>
                <w:szCs w:val="18"/>
                <w:vertAlign w:val="subscript"/>
              </w:rPr>
              <w:t>s</w:t>
            </w:r>
            <w:r>
              <w:rPr>
                <w:color w:val="auto"/>
                <w:sz w:val="18"/>
                <w:szCs w:val="18"/>
              </w:rPr>
              <w:t>≤11</w:t>
            </w:r>
          </w:p>
        </w:tc>
        <w:tc>
          <w:tcPr>
            <w:tcW w:w="1846" w:type="dxa"/>
          </w:tcPr>
          <w:p w14:paraId="21232892">
            <w:pPr>
              <w:adjustRightInd w:val="0"/>
              <w:snapToGrid w:val="0"/>
              <w:spacing w:line="240" w:lineRule="exact"/>
              <w:jc w:val="center"/>
              <w:rPr>
                <w:color w:val="auto"/>
                <w:sz w:val="18"/>
                <w:szCs w:val="18"/>
              </w:rPr>
            </w:pPr>
            <w:r>
              <w:rPr>
                <w:color w:val="auto"/>
                <w:sz w:val="18"/>
                <w:szCs w:val="18"/>
              </w:rPr>
              <w:t>5≤</w:t>
            </w: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8</w:t>
            </w:r>
          </w:p>
        </w:tc>
        <w:tc>
          <w:tcPr>
            <w:tcW w:w="2938" w:type="dxa"/>
          </w:tcPr>
          <w:p w14:paraId="224794C3">
            <w:pPr>
              <w:adjustRightInd w:val="0"/>
              <w:snapToGrid w:val="0"/>
              <w:spacing w:line="280" w:lineRule="exact"/>
              <w:jc w:val="center"/>
              <w:rPr>
                <w:color w:val="auto"/>
                <w:sz w:val="18"/>
                <w:szCs w:val="18"/>
              </w:rPr>
            </w:pPr>
            <w:r>
              <w:rPr>
                <w:rFonts w:hAnsi="宋体"/>
                <w:color w:val="auto"/>
                <w:sz w:val="18"/>
                <w:szCs w:val="18"/>
              </w:rPr>
              <w:t>中</w:t>
            </w:r>
            <w:r>
              <w:rPr>
                <w:color w:val="auto"/>
                <w:sz w:val="18"/>
                <w:szCs w:val="18"/>
              </w:rPr>
              <w:t xml:space="preserve">  </w:t>
            </w:r>
            <w:r>
              <w:rPr>
                <w:rFonts w:hAnsi="宋体"/>
                <w:color w:val="auto"/>
                <w:sz w:val="18"/>
                <w:szCs w:val="18"/>
              </w:rPr>
              <w:t>密</w:t>
            </w:r>
          </w:p>
        </w:tc>
      </w:tr>
      <w:tr w14:paraId="4BDDC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386" w:type="dxa"/>
          </w:tcPr>
          <w:p w14:paraId="58594BB7">
            <w:pPr>
              <w:adjustRightInd w:val="0"/>
              <w:snapToGrid w:val="0"/>
              <w:spacing w:line="280" w:lineRule="exact"/>
              <w:jc w:val="center"/>
              <w:rPr>
                <w:color w:val="auto"/>
                <w:sz w:val="18"/>
                <w:szCs w:val="18"/>
              </w:rPr>
            </w:pPr>
            <w:r>
              <w:rPr>
                <w:i/>
                <w:color w:val="auto"/>
                <w:sz w:val="18"/>
                <w:szCs w:val="18"/>
              </w:rPr>
              <w:t>N</w:t>
            </w:r>
            <w:r>
              <w:rPr>
                <w:rFonts w:hAnsi="宋体"/>
                <w:color w:val="auto"/>
                <w:sz w:val="18"/>
                <w:szCs w:val="18"/>
              </w:rPr>
              <w:t>＞</w:t>
            </w:r>
            <w:r>
              <w:rPr>
                <w:color w:val="auto"/>
                <w:sz w:val="18"/>
                <w:szCs w:val="18"/>
              </w:rPr>
              <w:t>30</w:t>
            </w:r>
          </w:p>
        </w:tc>
        <w:tc>
          <w:tcPr>
            <w:tcW w:w="1972" w:type="dxa"/>
          </w:tcPr>
          <w:p w14:paraId="2CAE1D25">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11</w:t>
            </w:r>
          </w:p>
        </w:tc>
        <w:tc>
          <w:tcPr>
            <w:tcW w:w="1846" w:type="dxa"/>
          </w:tcPr>
          <w:p w14:paraId="43E128A8">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iCs/>
                <w:color w:val="auto"/>
                <w:sz w:val="18"/>
                <w:szCs w:val="18"/>
              </w:rPr>
              <w:t>≥</w:t>
            </w:r>
            <w:r>
              <w:rPr>
                <w:color w:val="auto"/>
                <w:sz w:val="18"/>
                <w:szCs w:val="18"/>
              </w:rPr>
              <w:t>8</w:t>
            </w:r>
          </w:p>
        </w:tc>
        <w:tc>
          <w:tcPr>
            <w:tcW w:w="2938" w:type="dxa"/>
          </w:tcPr>
          <w:p w14:paraId="2B55B93C">
            <w:pPr>
              <w:adjustRightInd w:val="0"/>
              <w:snapToGrid w:val="0"/>
              <w:spacing w:line="280" w:lineRule="exact"/>
              <w:jc w:val="center"/>
              <w:rPr>
                <w:color w:val="auto"/>
                <w:sz w:val="18"/>
                <w:szCs w:val="18"/>
              </w:rPr>
            </w:pPr>
            <w:r>
              <w:rPr>
                <w:rFonts w:hAnsi="宋体"/>
                <w:color w:val="auto"/>
                <w:sz w:val="18"/>
                <w:szCs w:val="18"/>
              </w:rPr>
              <w:t>密</w:t>
            </w:r>
            <w:r>
              <w:rPr>
                <w:color w:val="auto"/>
                <w:sz w:val="18"/>
                <w:szCs w:val="18"/>
              </w:rPr>
              <w:t xml:space="preserve">  </w:t>
            </w:r>
            <w:r>
              <w:rPr>
                <w:rFonts w:hAnsi="宋体"/>
                <w:color w:val="auto"/>
                <w:sz w:val="18"/>
                <w:szCs w:val="18"/>
              </w:rPr>
              <w:t>实</w:t>
            </w:r>
          </w:p>
        </w:tc>
      </w:tr>
      <w:tr w14:paraId="2A67C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142" w:type="dxa"/>
            <w:gridSpan w:val="4"/>
          </w:tcPr>
          <w:p w14:paraId="23F7674C">
            <w:pPr>
              <w:adjustRightInd w:val="0"/>
              <w:snapToGrid w:val="0"/>
              <w:spacing w:line="240" w:lineRule="exact"/>
              <w:rPr>
                <w:color w:val="auto"/>
                <w:sz w:val="18"/>
                <w:szCs w:val="18"/>
              </w:rPr>
            </w:pPr>
            <w:r>
              <w:rPr>
                <w:rFonts w:hAnsi="宋体"/>
                <w:color w:val="auto"/>
                <w:sz w:val="18"/>
                <w:szCs w:val="18"/>
              </w:rPr>
              <w:t>注：表中</w:t>
            </w:r>
            <w:r>
              <w:rPr>
                <w:color w:val="auto"/>
                <w:position w:val="-6"/>
                <w:sz w:val="18"/>
                <w:szCs w:val="18"/>
              </w:rPr>
              <w:object>
                <v:shape id="_x0000_i1038" o:spt="75" type="#_x0000_t75" style="height:9pt;width:9pt;" o:ole="t" filled="f" o:preferrelative="t" stroked="f" coordsize="21600,21600">
                  <v:path/>
                  <v:fill on="f" focussize="0,0"/>
                  <v:stroke on="f" joinstyle="miter"/>
                  <v:imagedata r:id="rId38" o:title=""/>
                  <o:lock v:ext="edit" aspectratio="t"/>
                  <w10:wrap type="none"/>
                  <w10:anchorlock/>
                </v:shape>
                <o:OLEObject Type="Embed" ProgID="Equation.3" ShapeID="_x0000_i1038" DrawAspect="Content" ObjectID="_1468075738" r:id="rId37">
                  <o:LockedField>false</o:LockedField>
                </o:OLEObject>
              </w:object>
            </w:r>
            <w:r>
              <w:rPr>
                <w:rFonts w:hAnsi="宋体"/>
                <w:color w:val="auto"/>
                <w:sz w:val="18"/>
                <w:szCs w:val="18"/>
              </w:rPr>
              <w:t>为未经钻杆长度修正的平均值。</w:t>
            </w:r>
          </w:p>
        </w:tc>
      </w:tr>
    </w:tbl>
    <w:p w14:paraId="0E1A51F9">
      <w:pPr>
        <w:adjustRightInd w:val="0"/>
        <w:snapToGrid w:val="0"/>
        <w:spacing w:before="240" w:line="240" w:lineRule="atLeast"/>
        <w:rPr>
          <w:color w:val="auto"/>
          <w:szCs w:val="21"/>
        </w:rPr>
      </w:pPr>
      <w:r>
        <w:rPr>
          <w:b/>
          <w:bCs/>
          <w:color w:val="auto"/>
          <w:szCs w:val="21"/>
        </w:rPr>
        <w:t>6.1.9</w:t>
      </w:r>
      <w:r>
        <w:rPr>
          <w:color w:val="auto"/>
          <w:szCs w:val="21"/>
        </w:rPr>
        <w:t xml:space="preserve">  </w:t>
      </w:r>
      <w:r>
        <w:rPr>
          <w:rFonts w:hAnsi="宋体"/>
          <w:color w:val="auto"/>
          <w:szCs w:val="21"/>
        </w:rPr>
        <w:t>黏性土为塑性指数</w:t>
      </w:r>
      <w:r>
        <w:rPr>
          <w:i/>
          <w:color w:val="auto"/>
          <w:szCs w:val="21"/>
        </w:rPr>
        <w:t>I</w:t>
      </w:r>
      <w:r>
        <w:rPr>
          <w:iCs/>
          <w:color w:val="auto"/>
          <w:szCs w:val="15"/>
          <w:vertAlign w:val="subscript"/>
        </w:rPr>
        <w:t>p</w:t>
      </w:r>
      <w:r>
        <w:rPr>
          <w:rFonts w:hAnsi="宋体"/>
          <w:color w:val="auto"/>
          <w:szCs w:val="21"/>
        </w:rPr>
        <w:t>大于</w:t>
      </w:r>
      <w:r>
        <w:rPr>
          <w:color w:val="auto"/>
          <w:szCs w:val="21"/>
        </w:rPr>
        <w:t>10</w:t>
      </w:r>
      <w:r>
        <w:rPr>
          <w:rFonts w:hAnsi="宋体"/>
          <w:color w:val="auto"/>
          <w:szCs w:val="21"/>
        </w:rPr>
        <w:t>的土</w:t>
      </w:r>
      <w:r>
        <w:rPr>
          <w:iCs/>
          <w:color w:val="auto"/>
          <w:szCs w:val="21"/>
        </w:rPr>
        <w:t>，</w:t>
      </w:r>
      <w:r>
        <w:rPr>
          <w:rFonts w:hAnsi="宋体"/>
          <w:color w:val="auto"/>
          <w:szCs w:val="21"/>
        </w:rPr>
        <w:t>可按表</w:t>
      </w:r>
      <w:r>
        <w:rPr>
          <w:color w:val="auto"/>
          <w:szCs w:val="21"/>
        </w:rPr>
        <w:t>12</w:t>
      </w:r>
      <w:r>
        <w:rPr>
          <w:rFonts w:hAnsi="宋体"/>
          <w:color w:val="auto"/>
          <w:szCs w:val="21"/>
        </w:rPr>
        <w:t>分为黏土、粉质黏土。</w:t>
      </w:r>
    </w:p>
    <w:p w14:paraId="7ADA5CD1">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表12</w:t>
      </w:r>
      <w:r>
        <w:rPr>
          <w:rFonts w:hint="eastAsia" w:eastAsia="黑体"/>
          <w:b/>
          <w:bCs/>
          <w:color w:val="auto"/>
          <w:szCs w:val="21"/>
        </w:rPr>
        <w:t xml:space="preserve">  </w:t>
      </w:r>
      <w:r>
        <w:rPr>
          <w:rFonts w:eastAsia="黑体"/>
          <w:b/>
          <w:bCs/>
          <w:color w:val="auto"/>
          <w:szCs w:val="21"/>
        </w:rPr>
        <w:t>黏性土的分类</w:t>
      </w:r>
    </w:p>
    <w:tbl>
      <w:tblPr>
        <w:tblStyle w:val="36"/>
        <w:tblW w:w="90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608"/>
        <w:gridCol w:w="4479"/>
      </w:tblGrid>
      <w:tr w14:paraId="42DD9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08" w:type="dxa"/>
          </w:tcPr>
          <w:p w14:paraId="4CF530E7">
            <w:pPr>
              <w:adjustRightInd w:val="0"/>
              <w:snapToGrid w:val="0"/>
              <w:spacing w:line="260" w:lineRule="exact"/>
              <w:jc w:val="center"/>
              <w:rPr>
                <w:color w:val="auto"/>
                <w:sz w:val="18"/>
                <w:szCs w:val="18"/>
              </w:rPr>
            </w:pPr>
            <w:r>
              <w:rPr>
                <w:rFonts w:hAnsi="宋体"/>
                <w:color w:val="auto"/>
                <w:sz w:val="18"/>
                <w:szCs w:val="18"/>
              </w:rPr>
              <w:t>塑性指数</w:t>
            </w:r>
            <w:r>
              <w:rPr>
                <w:i/>
                <w:iCs/>
                <w:color w:val="auto"/>
                <w:sz w:val="18"/>
                <w:szCs w:val="18"/>
              </w:rPr>
              <w:t>I</w:t>
            </w:r>
            <w:r>
              <w:rPr>
                <w:iCs/>
                <w:color w:val="auto"/>
                <w:sz w:val="18"/>
                <w:szCs w:val="18"/>
                <w:vertAlign w:val="subscript"/>
              </w:rPr>
              <w:t>p</w:t>
            </w:r>
          </w:p>
        </w:tc>
        <w:tc>
          <w:tcPr>
            <w:tcW w:w="4479" w:type="dxa"/>
          </w:tcPr>
          <w:p w14:paraId="5347B41D">
            <w:pPr>
              <w:adjustRightInd w:val="0"/>
              <w:snapToGrid w:val="0"/>
              <w:spacing w:line="260" w:lineRule="exact"/>
              <w:jc w:val="center"/>
              <w:rPr>
                <w:color w:val="auto"/>
                <w:sz w:val="18"/>
                <w:szCs w:val="18"/>
              </w:rPr>
            </w:pPr>
            <w:r>
              <w:rPr>
                <w:rFonts w:hAnsi="宋体"/>
                <w:color w:val="auto"/>
                <w:sz w:val="18"/>
                <w:szCs w:val="18"/>
              </w:rPr>
              <w:t>土的名称</w:t>
            </w:r>
          </w:p>
        </w:tc>
      </w:tr>
      <w:tr w14:paraId="741DA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08" w:type="dxa"/>
          </w:tcPr>
          <w:p w14:paraId="748F49A2">
            <w:pPr>
              <w:adjustRightInd w:val="0"/>
              <w:snapToGrid w:val="0"/>
              <w:spacing w:line="260" w:lineRule="exact"/>
              <w:jc w:val="center"/>
              <w:rPr>
                <w:color w:val="auto"/>
                <w:sz w:val="18"/>
                <w:szCs w:val="18"/>
              </w:rPr>
            </w:pPr>
            <w:r>
              <w:rPr>
                <w:i/>
                <w:iCs/>
                <w:color w:val="auto"/>
                <w:sz w:val="18"/>
                <w:szCs w:val="18"/>
              </w:rPr>
              <w:t>I</w:t>
            </w:r>
            <w:r>
              <w:rPr>
                <w:iCs/>
                <w:color w:val="auto"/>
                <w:sz w:val="18"/>
                <w:szCs w:val="18"/>
                <w:vertAlign w:val="subscript"/>
              </w:rPr>
              <w:t>p</w:t>
            </w:r>
            <w:r>
              <w:rPr>
                <w:rFonts w:hAnsi="宋体"/>
                <w:color w:val="auto"/>
                <w:sz w:val="18"/>
                <w:szCs w:val="18"/>
              </w:rPr>
              <w:t>＞</w:t>
            </w:r>
            <w:r>
              <w:rPr>
                <w:color w:val="auto"/>
                <w:sz w:val="18"/>
                <w:szCs w:val="18"/>
              </w:rPr>
              <w:t>17</w:t>
            </w:r>
          </w:p>
        </w:tc>
        <w:tc>
          <w:tcPr>
            <w:tcW w:w="4479" w:type="dxa"/>
          </w:tcPr>
          <w:p w14:paraId="310360D7">
            <w:pPr>
              <w:adjustRightInd w:val="0"/>
              <w:snapToGrid w:val="0"/>
              <w:spacing w:line="260" w:lineRule="exact"/>
              <w:jc w:val="center"/>
              <w:rPr>
                <w:color w:val="auto"/>
                <w:sz w:val="18"/>
                <w:szCs w:val="18"/>
              </w:rPr>
            </w:pPr>
            <w:r>
              <w:rPr>
                <w:rFonts w:hAnsi="宋体"/>
                <w:color w:val="auto"/>
                <w:sz w:val="18"/>
                <w:szCs w:val="18"/>
              </w:rPr>
              <w:t>黏</w:t>
            </w:r>
            <w:r>
              <w:rPr>
                <w:color w:val="auto"/>
                <w:sz w:val="18"/>
                <w:szCs w:val="18"/>
              </w:rPr>
              <w:t xml:space="preserve">    </w:t>
            </w:r>
            <w:r>
              <w:rPr>
                <w:rFonts w:hAnsi="宋体"/>
                <w:color w:val="auto"/>
                <w:sz w:val="18"/>
                <w:szCs w:val="18"/>
              </w:rPr>
              <w:t>土</w:t>
            </w:r>
          </w:p>
        </w:tc>
      </w:tr>
      <w:tr w14:paraId="5557F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08" w:type="dxa"/>
          </w:tcPr>
          <w:p w14:paraId="163A23BD">
            <w:pPr>
              <w:adjustRightInd w:val="0"/>
              <w:snapToGrid w:val="0"/>
              <w:spacing w:line="260" w:lineRule="exact"/>
              <w:jc w:val="center"/>
              <w:rPr>
                <w:color w:val="auto"/>
                <w:sz w:val="18"/>
                <w:szCs w:val="18"/>
              </w:rPr>
            </w:pPr>
            <w:r>
              <w:rPr>
                <w:color w:val="auto"/>
                <w:sz w:val="18"/>
                <w:szCs w:val="18"/>
              </w:rPr>
              <w:t>10</w:t>
            </w:r>
            <w:r>
              <w:rPr>
                <w:rFonts w:hAnsi="宋体"/>
                <w:color w:val="auto"/>
                <w:sz w:val="18"/>
                <w:szCs w:val="18"/>
              </w:rPr>
              <w:t>＜</w:t>
            </w:r>
            <w:r>
              <w:rPr>
                <w:i/>
                <w:iCs/>
                <w:color w:val="auto"/>
                <w:sz w:val="18"/>
                <w:szCs w:val="18"/>
              </w:rPr>
              <w:t>I</w:t>
            </w:r>
            <w:r>
              <w:rPr>
                <w:iCs/>
                <w:color w:val="auto"/>
                <w:sz w:val="18"/>
                <w:szCs w:val="18"/>
                <w:vertAlign w:val="subscript"/>
              </w:rPr>
              <w:t>p</w:t>
            </w:r>
            <w:r>
              <w:rPr>
                <w:color w:val="auto"/>
                <w:sz w:val="18"/>
                <w:szCs w:val="18"/>
              </w:rPr>
              <w:t>≤17</w:t>
            </w:r>
          </w:p>
        </w:tc>
        <w:tc>
          <w:tcPr>
            <w:tcW w:w="4479" w:type="dxa"/>
          </w:tcPr>
          <w:p w14:paraId="20099192">
            <w:pPr>
              <w:adjustRightInd w:val="0"/>
              <w:snapToGrid w:val="0"/>
              <w:spacing w:line="260" w:lineRule="exact"/>
              <w:jc w:val="center"/>
              <w:rPr>
                <w:color w:val="auto"/>
                <w:sz w:val="18"/>
                <w:szCs w:val="18"/>
              </w:rPr>
            </w:pPr>
            <w:r>
              <w:rPr>
                <w:rFonts w:hAnsi="宋体"/>
                <w:color w:val="auto"/>
                <w:sz w:val="18"/>
                <w:szCs w:val="18"/>
              </w:rPr>
              <w:t>粉质黏土</w:t>
            </w:r>
          </w:p>
        </w:tc>
      </w:tr>
      <w:tr w14:paraId="187019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87" w:type="dxa"/>
            <w:gridSpan w:val="2"/>
          </w:tcPr>
          <w:p w14:paraId="353238D7">
            <w:pPr>
              <w:adjustRightInd w:val="0"/>
              <w:snapToGrid w:val="0"/>
              <w:spacing w:line="260" w:lineRule="exact"/>
              <w:rPr>
                <w:color w:val="auto"/>
                <w:sz w:val="18"/>
                <w:szCs w:val="18"/>
              </w:rPr>
            </w:pPr>
            <w:r>
              <w:rPr>
                <w:rFonts w:hAnsi="宋体"/>
                <w:color w:val="auto"/>
                <w:sz w:val="18"/>
                <w:szCs w:val="18"/>
              </w:rPr>
              <w:t>注：塑性指数由相应于</w:t>
            </w:r>
            <w:r>
              <w:rPr>
                <w:color w:val="auto"/>
                <w:sz w:val="18"/>
                <w:szCs w:val="18"/>
              </w:rPr>
              <w:t>76g</w:t>
            </w:r>
            <w:r>
              <w:rPr>
                <w:rFonts w:hAnsi="宋体"/>
                <w:color w:val="auto"/>
                <w:sz w:val="18"/>
                <w:szCs w:val="18"/>
              </w:rPr>
              <w:t>圆锥体沉入土样中深度为</w:t>
            </w:r>
            <w:r>
              <w:rPr>
                <w:color w:val="auto"/>
                <w:sz w:val="18"/>
                <w:szCs w:val="18"/>
              </w:rPr>
              <w:t>10mm</w:t>
            </w:r>
            <w:r>
              <w:rPr>
                <w:rFonts w:hAnsi="宋体"/>
                <w:color w:val="auto"/>
                <w:sz w:val="18"/>
                <w:szCs w:val="18"/>
              </w:rPr>
              <w:t>时测定的液限计算而得。</w:t>
            </w:r>
          </w:p>
        </w:tc>
      </w:tr>
    </w:tbl>
    <w:p w14:paraId="526C15ED">
      <w:pPr>
        <w:adjustRightInd w:val="0"/>
        <w:snapToGrid w:val="0"/>
        <w:spacing w:before="240" w:line="340" w:lineRule="exact"/>
        <w:rPr>
          <w:color w:val="auto"/>
          <w:szCs w:val="21"/>
        </w:rPr>
      </w:pPr>
      <w:r>
        <w:rPr>
          <w:b/>
          <w:bCs/>
          <w:color w:val="auto"/>
          <w:szCs w:val="21"/>
        </w:rPr>
        <w:t>6.1.10</w:t>
      </w:r>
      <w:r>
        <w:rPr>
          <w:color w:val="auto"/>
          <w:szCs w:val="21"/>
        </w:rPr>
        <w:t xml:space="preserve">  </w:t>
      </w:r>
      <w:r>
        <w:rPr>
          <w:rFonts w:hAnsi="宋体"/>
          <w:color w:val="auto"/>
          <w:szCs w:val="21"/>
        </w:rPr>
        <w:t>黏性土按地质年代、成因</w:t>
      </w:r>
      <w:r>
        <w:rPr>
          <w:iCs/>
          <w:color w:val="auto"/>
          <w:szCs w:val="21"/>
        </w:rPr>
        <w:t>，</w:t>
      </w:r>
      <w:r>
        <w:rPr>
          <w:rFonts w:hAnsi="宋体"/>
          <w:color w:val="auto"/>
          <w:szCs w:val="21"/>
        </w:rPr>
        <w:t>可分为老黏性土、一般黏性土、新近沉积黏性土。</w:t>
      </w:r>
    </w:p>
    <w:p w14:paraId="5AD43263">
      <w:pPr>
        <w:adjustRightInd w:val="0"/>
        <w:snapToGrid w:val="0"/>
        <w:spacing w:line="340" w:lineRule="exact"/>
        <w:ind w:firstLine="422" w:firstLineChars="200"/>
        <w:rPr>
          <w:color w:val="auto"/>
          <w:szCs w:val="21"/>
        </w:rPr>
      </w:pPr>
      <w:r>
        <w:rPr>
          <w:b/>
          <w:bCs/>
          <w:color w:val="auto"/>
          <w:szCs w:val="21"/>
        </w:rPr>
        <w:t xml:space="preserve">a) </w:t>
      </w:r>
      <w:r>
        <w:rPr>
          <w:color w:val="auto"/>
          <w:szCs w:val="21"/>
        </w:rPr>
        <w:t xml:space="preserve"> </w:t>
      </w:r>
      <w:r>
        <w:rPr>
          <w:rFonts w:hAnsi="宋体"/>
          <w:color w:val="auto"/>
          <w:szCs w:val="21"/>
        </w:rPr>
        <w:t>老黏性土为分布在江汉平原、襄樊平原等高阶地的第四纪晚更新世</w:t>
      </w:r>
      <w:r>
        <w:rPr>
          <w:color w:val="auto"/>
          <w:szCs w:val="21"/>
        </w:rPr>
        <w:t>（</w:t>
      </w:r>
      <w:r>
        <w:rPr>
          <w:i/>
          <w:color w:val="auto"/>
          <w:szCs w:val="21"/>
        </w:rPr>
        <w:t>Q</w:t>
      </w:r>
      <w:r>
        <w:rPr>
          <w:color w:val="auto"/>
          <w:sz w:val="18"/>
          <w:szCs w:val="21"/>
          <w:vertAlign w:val="subscript"/>
        </w:rPr>
        <w:t>3</w:t>
      </w:r>
      <w:r>
        <w:rPr>
          <w:color w:val="auto"/>
          <w:szCs w:val="21"/>
        </w:rPr>
        <w:t>）</w:t>
      </w:r>
      <w:r>
        <w:rPr>
          <w:rFonts w:hAnsi="宋体"/>
          <w:color w:val="auto"/>
          <w:szCs w:val="21"/>
        </w:rPr>
        <w:t>及其以前沉积的黏性土。现场鉴别可按本文件附录表</w:t>
      </w:r>
      <w:r>
        <w:rPr>
          <w:iCs/>
          <w:color w:val="auto"/>
          <w:szCs w:val="21"/>
        </w:rPr>
        <w:t>A</w:t>
      </w:r>
      <w:r>
        <w:rPr>
          <w:color w:val="auto"/>
          <w:szCs w:val="21"/>
        </w:rPr>
        <w:t>.5</w:t>
      </w:r>
      <w:r>
        <w:rPr>
          <w:rFonts w:hAnsi="宋体"/>
          <w:color w:val="auto"/>
          <w:szCs w:val="21"/>
        </w:rPr>
        <w:t>执行。</w:t>
      </w:r>
    </w:p>
    <w:p w14:paraId="67241992">
      <w:pPr>
        <w:adjustRightInd w:val="0"/>
        <w:snapToGrid w:val="0"/>
        <w:spacing w:line="340" w:lineRule="exact"/>
        <w:ind w:firstLine="422" w:firstLineChars="200"/>
        <w:rPr>
          <w:color w:val="auto"/>
          <w:szCs w:val="21"/>
        </w:rPr>
      </w:pPr>
      <w:r>
        <w:rPr>
          <w:b/>
          <w:bCs/>
          <w:color w:val="auto"/>
          <w:szCs w:val="21"/>
        </w:rPr>
        <w:t>b)</w:t>
      </w:r>
      <w:r>
        <w:rPr>
          <w:color w:val="auto"/>
          <w:szCs w:val="21"/>
        </w:rPr>
        <w:t xml:space="preserve">  </w:t>
      </w:r>
      <w:r>
        <w:rPr>
          <w:rFonts w:hAnsi="宋体"/>
          <w:color w:val="auto"/>
          <w:szCs w:val="21"/>
        </w:rPr>
        <w:t>一般黏性土为分布在平原河流两侧及湖泊边缘、高河漫滩或</w:t>
      </w:r>
      <w:r>
        <w:rPr>
          <w:iCs/>
          <w:color w:val="auto"/>
          <w:szCs w:val="21"/>
        </w:rPr>
        <w:t>一</w:t>
      </w:r>
      <w:r>
        <w:rPr>
          <w:rFonts w:hAnsi="宋体"/>
          <w:color w:val="auto"/>
          <w:szCs w:val="21"/>
        </w:rPr>
        <w:t>阶地前沿及冲沟凹地的第四纪全新世</w:t>
      </w:r>
      <w:r>
        <w:rPr>
          <w:color w:val="auto"/>
          <w:szCs w:val="21"/>
        </w:rPr>
        <w:t>（</w:t>
      </w:r>
      <w:r>
        <w:rPr>
          <w:i/>
          <w:color w:val="auto"/>
          <w:szCs w:val="21"/>
        </w:rPr>
        <w:t>Q</w:t>
      </w:r>
      <w:r>
        <w:rPr>
          <w:color w:val="auto"/>
          <w:sz w:val="18"/>
          <w:szCs w:val="21"/>
          <w:vertAlign w:val="subscript"/>
        </w:rPr>
        <w:t>4</w:t>
      </w:r>
      <w:r>
        <w:rPr>
          <w:color w:val="auto"/>
          <w:szCs w:val="21"/>
        </w:rPr>
        <w:t>）</w:t>
      </w:r>
      <w:r>
        <w:rPr>
          <w:rFonts w:hint="eastAsia"/>
          <w:color w:val="auto"/>
          <w:szCs w:val="21"/>
        </w:rPr>
        <w:t>早期</w:t>
      </w:r>
      <w:r>
        <w:rPr>
          <w:rFonts w:hAnsi="宋体"/>
          <w:color w:val="auto"/>
          <w:szCs w:val="21"/>
        </w:rPr>
        <w:t>沉积的黏性土。</w:t>
      </w:r>
    </w:p>
    <w:p w14:paraId="54F3CA9B">
      <w:pPr>
        <w:adjustRightInd w:val="0"/>
        <w:snapToGrid w:val="0"/>
        <w:spacing w:line="340" w:lineRule="exact"/>
        <w:ind w:firstLine="422" w:firstLineChars="200"/>
        <w:rPr>
          <w:color w:val="auto"/>
          <w:szCs w:val="21"/>
        </w:rPr>
      </w:pPr>
      <w:r>
        <w:rPr>
          <w:b/>
          <w:bCs/>
          <w:color w:val="auto"/>
          <w:szCs w:val="21"/>
        </w:rPr>
        <w:t>c)</w:t>
      </w:r>
      <w:r>
        <w:rPr>
          <w:color w:val="auto"/>
          <w:szCs w:val="21"/>
        </w:rPr>
        <w:t xml:space="preserve">  </w:t>
      </w:r>
      <w:r>
        <w:rPr>
          <w:rFonts w:hAnsi="宋体"/>
          <w:color w:val="auto"/>
          <w:szCs w:val="21"/>
        </w:rPr>
        <w:t>新近沉积黏性土为分布在湖、塘、沟、谷与河漫滩地段的第四纪全新世</w:t>
      </w:r>
      <w:r>
        <w:rPr>
          <w:rFonts w:hint="eastAsia" w:hAnsi="宋体"/>
          <w:color w:val="auto"/>
          <w:szCs w:val="21"/>
        </w:rPr>
        <w:t>中</w:t>
      </w:r>
      <w:r>
        <w:rPr>
          <w:rFonts w:hAnsi="宋体"/>
          <w:color w:val="auto"/>
          <w:szCs w:val="21"/>
        </w:rPr>
        <w:t>近期沉积的</w:t>
      </w:r>
      <w:r>
        <w:rPr>
          <w:rFonts w:hint="eastAsia" w:hAnsi="宋体"/>
          <w:color w:val="auto"/>
          <w:szCs w:val="21"/>
        </w:rPr>
        <w:t>黏性土，一般为</w:t>
      </w:r>
      <w:r>
        <w:rPr>
          <w:rFonts w:hAnsi="宋体"/>
          <w:color w:val="auto"/>
          <w:szCs w:val="21"/>
        </w:rPr>
        <w:t>欠固结土。现场鉴别方法可按本文件附录表</w:t>
      </w:r>
      <w:r>
        <w:rPr>
          <w:iCs/>
          <w:color w:val="auto"/>
          <w:szCs w:val="21"/>
        </w:rPr>
        <w:t>A</w:t>
      </w:r>
      <w:r>
        <w:rPr>
          <w:color w:val="auto"/>
          <w:szCs w:val="21"/>
        </w:rPr>
        <w:t>.6</w:t>
      </w:r>
      <w:r>
        <w:rPr>
          <w:rFonts w:hAnsi="宋体"/>
          <w:color w:val="auto"/>
          <w:szCs w:val="21"/>
        </w:rPr>
        <w:t>执行。</w:t>
      </w:r>
    </w:p>
    <w:p w14:paraId="73D0D492">
      <w:pPr>
        <w:adjustRightInd w:val="0"/>
        <w:snapToGrid w:val="0"/>
        <w:spacing w:line="340" w:lineRule="exact"/>
        <w:rPr>
          <w:color w:val="auto"/>
          <w:szCs w:val="21"/>
        </w:rPr>
      </w:pPr>
      <w:r>
        <w:rPr>
          <w:b/>
          <w:bCs/>
          <w:color w:val="auto"/>
          <w:szCs w:val="21"/>
        </w:rPr>
        <w:t>6.1.11</w:t>
      </w:r>
      <w:r>
        <w:rPr>
          <w:color w:val="auto"/>
          <w:szCs w:val="21"/>
        </w:rPr>
        <w:t xml:space="preserve">  </w:t>
      </w:r>
      <w:r>
        <w:rPr>
          <w:rFonts w:hAnsi="宋体"/>
          <w:color w:val="auto"/>
          <w:szCs w:val="21"/>
        </w:rPr>
        <w:t>黏性土的状态</w:t>
      </w:r>
      <w:r>
        <w:rPr>
          <w:iCs/>
          <w:color w:val="auto"/>
          <w:szCs w:val="21"/>
        </w:rPr>
        <w:t>，</w:t>
      </w:r>
      <w:r>
        <w:rPr>
          <w:rFonts w:hAnsi="宋体"/>
          <w:color w:val="auto"/>
          <w:szCs w:val="21"/>
        </w:rPr>
        <w:t>可根据土的液性指数，并参照标准贯入</w:t>
      </w:r>
      <w:r>
        <w:rPr>
          <w:rFonts w:hint="eastAsia" w:hAnsi="宋体"/>
          <w:color w:val="auto"/>
          <w:szCs w:val="21"/>
        </w:rPr>
        <w:t>试验</w:t>
      </w:r>
      <w:r>
        <w:rPr>
          <w:rFonts w:hAnsi="宋体"/>
          <w:color w:val="auto"/>
          <w:szCs w:val="21"/>
        </w:rPr>
        <w:t>锤击数、静力触探比贯入阻力的平均值，按表</w:t>
      </w:r>
      <w:r>
        <w:rPr>
          <w:color w:val="auto"/>
          <w:szCs w:val="21"/>
        </w:rPr>
        <w:t>13</w:t>
      </w:r>
      <w:r>
        <w:rPr>
          <w:rFonts w:hAnsi="宋体"/>
          <w:color w:val="auto"/>
          <w:szCs w:val="21"/>
        </w:rPr>
        <w:t>综合判别，差异过大时，应分析原因。</w:t>
      </w:r>
    </w:p>
    <w:p w14:paraId="54475219">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表13</w:t>
      </w:r>
      <w:r>
        <w:rPr>
          <w:rFonts w:hint="eastAsia" w:eastAsia="黑体"/>
          <w:b/>
          <w:bCs/>
          <w:color w:val="auto"/>
          <w:szCs w:val="21"/>
        </w:rPr>
        <w:t xml:space="preserve">  </w:t>
      </w:r>
      <w:r>
        <w:rPr>
          <w:rFonts w:eastAsia="黑体"/>
          <w:b/>
          <w:bCs/>
          <w:color w:val="auto"/>
          <w:szCs w:val="21"/>
        </w:rPr>
        <w:t>黏性土的状态按</w:t>
      </w:r>
      <w:r>
        <w:rPr>
          <w:rFonts w:eastAsia="黑体"/>
          <w:b/>
          <w:bCs/>
          <w:i/>
          <w:color w:val="auto"/>
          <w:szCs w:val="21"/>
        </w:rPr>
        <w:t>I</w:t>
      </w:r>
      <w:r>
        <w:rPr>
          <w:rFonts w:eastAsia="黑体"/>
          <w:b/>
          <w:bCs/>
          <w:i/>
          <w:color w:val="auto"/>
          <w:szCs w:val="21"/>
          <w:vertAlign w:val="subscript"/>
        </w:rPr>
        <w:t>L</w:t>
      </w:r>
      <w:r>
        <w:rPr>
          <w:rFonts w:eastAsia="黑体"/>
          <w:b/>
          <w:bCs/>
          <w:color w:val="auto"/>
          <w:szCs w:val="21"/>
        </w:rPr>
        <w:t>、</w:t>
      </w:r>
      <w:r>
        <w:rPr>
          <w:rFonts w:eastAsia="黑体"/>
          <w:b/>
          <w:bCs/>
          <w:i/>
          <w:color w:val="auto"/>
          <w:szCs w:val="21"/>
        </w:rPr>
        <w:t>N</w:t>
      </w:r>
      <w:r>
        <w:rPr>
          <w:rFonts w:eastAsia="黑体"/>
          <w:b/>
          <w:bCs/>
          <w:color w:val="auto"/>
          <w:szCs w:val="21"/>
        </w:rPr>
        <w:t>、</w:t>
      </w:r>
      <w:r>
        <w:rPr>
          <w:rFonts w:eastAsia="黑体"/>
          <w:b/>
          <w:bCs/>
          <w:i/>
          <w:color w:val="auto"/>
          <w:szCs w:val="21"/>
        </w:rPr>
        <w:t>p</w:t>
      </w:r>
      <w:r>
        <w:rPr>
          <w:rFonts w:eastAsia="黑体"/>
          <w:b/>
          <w:bCs/>
          <w:color w:val="auto"/>
          <w:szCs w:val="21"/>
          <w:vertAlign w:val="subscript"/>
        </w:rPr>
        <w:t>s</w:t>
      </w:r>
      <w:r>
        <w:rPr>
          <w:rFonts w:eastAsia="黑体"/>
          <w:b/>
          <w:bCs/>
          <w:color w:val="auto"/>
          <w:szCs w:val="21"/>
        </w:rPr>
        <w:t>分类</w:t>
      </w:r>
    </w:p>
    <w:tbl>
      <w:tblPr>
        <w:tblStyle w:val="36"/>
        <w:tblW w:w="91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34"/>
        <w:gridCol w:w="2138"/>
        <w:gridCol w:w="3282"/>
        <w:gridCol w:w="1447"/>
      </w:tblGrid>
      <w:tr w14:paraId="6E30CB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35AA7977">
            <w:pPr>
              <w:adjustRightInd w:val="0"/>
              <w:snapToGrid w:val="0"/>
              <w:spacing w:line="280" w:lineRule="exact"/>
              <w:jc w:val="center"/>
              <w:rPr>
                <w:color w:val="auto"/>
                <w:sz w:val="18"/>
                <w:szCs w:val="18"/>
              </w:rPr>
            </w:pPr>
            <w:r>
              <w:rPr>
                <w:rFonts w:hAnsi="宋体"/>
                <w:color w:val="auto"/>
                <w:sz w:val="18"/>
                <w:szCs w:val="18"/>
              </w:rPr>
              <w:t>液性指数</w:t>
            </w:r>
            <w:r>
              <w:rPr>
                <w:i/>
                <w:iCs/>
                <w:color w:val="auto"/>
                <w:sz w:val="18"/>
                <w:szCs w:val="18"/>
              </w:rPr>
              <w:t>I</w:t>
            </w:r>
            <w:r>
              <w:rPr>
                <w:iCs/>
                <w:color w:val="auto"/>
                <w:sz w:val="18"/>
                <w:szCs w:val="18"/>
                <w:vertAlign w:val="subscript"/>
              </w:rPr>
              <w:t>L</w:t>
            </w:r>
          </w:p>
        </w:tc>
        <w:tc>
          <w:tcPr>
            <w:tcW w:w="2138" w:type="dxa"/>
            <w:vAlign w:val="center"/>
          </w:tcPr>
          <w:p w14:paraId="0F450595">
            <w:pPr>
              <w:adjustRightInd w:val="0"/>
              <w:snapToGrid w:val="0"/>
              <w:spacing w:line="280" w:lineRule="exact"/>
              <w:jc w:val="center"/>
              <w:rPr>
                <w:color w:val="auto"/>
                <w:sz w:val="18"/>
                <w:szCs w:val="18"/>
              </w:rPr>
            </w:pPr>
            <w:r>
              <w:rPr>
                <w:rFonts w:hAnsi="宋体"/>
                <w:color w:val="auto"/>
                <w:sz w:val="18"/>
                <w:szCs w:val="18"/>
              </w:rPr>
              <w:t>标准贯入</w:t>
            </w:r>
            <w:r>
              <w:rPr>
                <w:rFonts w:hint="eastAsia" w:hAnsi="宋体"/>
                <w:color w:val="auto"/>
                <w:sz w:val="18"/>
                <w:szCs w:val="18"/>
              </w:rPr>
              <w:t>试验</w:t>
            </w:r>
            <w:r>
              <w:rPr>
                <w:rFonts w:hAnsi="宋体"/>
                <w:color w:val="auto"/>
                <w:sz w:val="18"/>
                <w:szCs w:val="18"/>
              </w:rPr>
              <w:t>锤击数</w:t>
            </w:r>
            <w:r>
              <w:rPr>
                <w:i/>
                <w:color w:val="auto"/>
                <w:sz w:val="18"/>
                <w:szCs w:val="18"/>
              </w:rPr>
              <w:t>N</w:t>
            </w:r>
          </w:p>
        </w:tc>
        <w:tc>
          <w:tcPr>
            <w:tcW w:w="3282" w:type="dxa"/>
            <w:vAlign w:val="center"/>
          </w:tcPr>
          <w:p w14:paraId="30095912">
            <w:pPr>
              <w:adjustRightInd w:val="0"/>
              <w:snapToGrid w:val="0"/>
              <w:spacing w:line="280" w:lineRule="exact"/>
              <w:jc w:val="center"/>
              <w:rPr>
                <w:color w:val="auto"/>
                <w:sz w:val="18"/>
                <w:szCs w:val="18"/>
              </w:rPr>
            </w:pPr>
            <w:r>
              <w:rPr>
                <w:rFonts w:hAnsi="宋体"/>
                <w:color w:val="auto"/>
                <w:sz w:val="18"/>
                <w:szCs w:val="18"/>
              </w:rPr>
              <w:t>静力触探比贯入阻力</w:t>
            </w:r>
            <w:r>
              <w:rPr>
                <w:i/>
                <w:iCs/>
                <w:color w:val="auto"/>
                <w:sz w:val="18"/>
                <w:szCs w:val="18"/>
              </w:rPr>
              <w:t>p</w:t>
            </w:r>
            <w:r>
              <w:rPr>
                <w:iCs/>
                <w:color w:val="auto"/>
                <w:sz w:val="18"/>
                <w:szCs w:val="18"/>
                <w:vertAlign w:val="subscript"/>
              </w:rPr>
              <w:t>s</w:t>
            </w:r>
            <w:r>
              <w:rPr>
                <w:color w:val="auto"/>
                <w:sz w:val="18"/>
                <w:szCs w:val="18"/>
              </w:rPr>
              <w:t>（</w:t>
            </w:r>
            <w:r>
              <w:rPr>
                <w:iCs/>
                <w:color w:val="auto"/>
                <w:sz w:val="18"/>
                <w:szCs w:val="18"/>
              </w:rPr>
              <w:t>MPa</w:t>
            </w:r>
            <w:r>
              <w:rPr>
                <w:color w:val="auto"/>
                <w:sz w:val="18"/>
                <w:szCs w:val="18"/>
              </w:rPr>
              <w:t>）</w:t>
            </w:r>
          </w:p>
        </w:tc>
        <w:tc>
          <w:tcPr>
            <w:tcW w:w="1447" w:type="dxa"/>
            <w:vAlign w:val="center"/>
          </w:tcPr>
          <w:p w14:paraId="4E7D4C64">
            <w:pPr>
              <w:adjustRightInd w:val="0"/>
              <w:snapToGrid w:val="0"/>
              <w:spacing w:line="280" w:lineRule="exact"/>
              <w:jc w:val="center"/>
              <w:rPr>
                <w:color w:val="auto"/>
                <w:sz w:val="18"/>
                <w:szCs w:val="18"/>
              </w:rPr>
            </w:pPr>
            <w:r>
              <w:rPr>
                <w:rFonts w:hAnsi="宋体"/>
                <w:color w:val="auto"/>
                <w:sz w:val="18"/>
                <w:szCs w:val="18"/>
              </w:rPr>
              <w:t>状态</w:t>
            </w:r>
          </w:p>
        </w:tc>
      </w:tr>
      <w:tr w14:paraId="0C3A74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0A714C37">
            <w:pPr>
              <w:adjustRightInd w:val="0"/>
              <w:snapToGrid w:val="0"/>
              <w:spacing w:line="280" w:lineRule="exac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2138" w:type="dxa"/>
            <w:vAlign w:val="center"/>
          </w:tcPr>
          <w:p w14:paraId="409F28B5">
            <w:pPr>
              <w:adjustRightInd w:val="0"/>
              <w:snapToGrid w:val="0"/>
              <w:spacing w:line="280" w:lineRule="exact"/>
              <w:jc w:val="center"/>
              <w:rPr>
                <w:color w:val="auto"/>
                <w:sz w:val="18"/>
                <w:szCs w:val="18"/>
              </w:rPr>
            </w:pPr>
            <w:r>
              <w:rPr>
                <w:i/>
                <w:color w:val="auto"/>
                <w:sz w:val="18"/>
                <w:szCs w:val="18"/>
              </w:rPr>
              <w:t>N</w:t>
            </w:r>
            <w:r>
              <w:rPr>
                <w:color w:val="auto"/>
                <w:sz w:val="18"/>
                <w:szCs w:val="18"/>
              </w:rPr>
              <w:t>≥25</w:t>
            </w:r>
          </w:p>
        </w:tc>
        <w:tc>
          <w:tcPr>
            <w:tcW w:w="3282" w:type="dxa"/>
            <w:vAlign w:val="center"/>
          </w:tcPr>
          <w:p w14:paraId="00B359D0">
            <w:pPr>
              <w:adjustRightInd w:val="0"/>
              <w:snapToGrid w:val="0"/>
              <w:spacing w:line="28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≥4.5</w:t>
            </w:r>
          </w:p>
        </w:tc>
        <w:tc>
          <w:tcPr>
            <w:tcW w:w="1447" w:type="dxa"/>
            <w:vAlign w:val="center"/>
          </w:tcPr>
          <w:p w14:paraId="1FC55BAF">
            <w:pPr>
              <w:adjustRightInd w:val="0"/>
              <w:snapToGrid w:val="0"/>
              <w:spacing w:line="280" w:lineRule="exact"/>
              <w:jc w:val="center"/>
              <w:rPr>
                <w:color w:val="auto"/>
                <w:sz w:val="18"/>
                <w:szCs w:val="18"/>
              </w:rPr>
            </w:pPr>
            <w:r>
              <w:rPr>
                <w:rFonts w:hAnsi="宋体"/>
                <w:color w:val="auto"/>
                <w:sz w:val="18"/>
                <w:szCs w:val="18"/>
              </w:rPr>
              <w:t>坚硬</w:t>
            </w:r>
          </w:p>
        </w:tc>
      </w:tr>
      <w:tr w14:paraId="711E8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335B6E76">
            <w:pPr>
              <w:adjustRightInd w:val="0"/>
              <w:snapToGrid w:val="0"/>
              <w:spacing w:line="280" w:lineRule="exact"/>
              <w:jc w:val="center"/>
              <w:rPr>
                <w:color w:val="auto"/>
                <w:sz w:val="18"/>
                <w:szCs w:val="18"/>
              </w:rPr>
            </w:pPr>
            <w:r>
              <w:rPr>
                <w:color w:val="auto"/>
                <w:sz w:val="18"/>
                <w:szCs w:val="18"/>
              </w:rPr>
              <w:t>0</w:t>
            </w:r>
            <w:r>
              <w:rPr>
                <w:rFonts w:hAnsi="宋体"/>
                <w:color w:val="auto"/>
                <w:sz w:val="18"/>
                <w:szCs w:val="18"/>
              </w:rPr>
              <w:t>＜</w:t>
            </w:r>
            <w:r>
              <w:rPr>
                <w:i/>
                <w:iCs/>
                <w:color w:val="auto"/>
                <w:sz w:val="18"/>
                <w:szCs w:val="18"/>
              </w:rPr>
              <w:t>I</w:t>
            </w:r>
            <w:r>
              <w:rPr>
                <w:iCs/>
                <w:color w:val="auto"/>
                <w:sz w:val="18"/>
                <w:szCs w:val="18"/>
                <w:vertAlign w:val="subscript"/>
              </w:rPr>
              <w:t>L</w:t>
            </w:r>
            <w:r>
              <w:rPr>
                <w:color w:val="auto"/>
                <w:sz w:val="18"/>
                <w:szCs w:val="18"/>
              </w:rPr>
              <w:t>≤0.25</w:t>
            </w:r>
          </w:p>
        </w:tc>
        <w:tc>
          <w:tcPr>
            <w:tcW w:w="2138" w:type="dxa"/>
            <w:vAlign w:val="center"/>
          </w:tcPr>
          <w:p w14:paraId="1F596EB1">
            <w:pPr>
              <w:adjustRightInd w:val="0"/>
              <w:snapToGrid w:val="0"/>
              <w:spacing w:line="280" w:lineRule="exact"/>
              <w:jc w:val="center"/>
              <w:rPr>
                <w:color w:val="auto"/>
                <w:sz w:val="18"/>
                <w:szCs w:val="18"/>
              </w:rPr>
            </w:pPr>
            <w:r>
              <w:rPr>
                <w:color w:val="auto"/>
                <w:sz w:val="18"/>
                <w:szCs w:val="18"/>
              </w:rPr>
              <w:t>10≤</w:t>
            </w:r>
            <w:r>
              <w:rPr>
                <w:i/>
                <w:color w:val="auto"/>
                <w:sz w:val="18"/>
                <w:szCs w:val="18"/>
              </w:rPr>
              <w:t>N</w:t>
            </w:r>
            <w:r>
              <w:rPr>
                <w:rFonts w:hAnsi="宋体"/>
                <w:color w:val="auto"/>
                <w:sz w:val="18"/>
                <w:szCs w:val="18"/>
              </w:rPr>
              <w:t>＜</w:t>
            </w:r>
            <w:r>
              <w:rPr>
                <w:color w:val="auto"/>
                <w:sz w:val="18"/>
                <w:szCs w:val="18"/>
              </w:rPr>
              <w:t>25</w:t>
            </w:r>
          </w:p>
        </w:tc>
        <w:tc>
          <w:tcPr>
            <w:tcW w:w="3282" w:type="dxa"/>
            <w:vAlign w:val="center"/>
          </w:tcPr>
          <w:p w14:paraId="06B6EADD">
            <w:pPr>
              <w:adjustRightInd w:val="0"/>
              <w:snapToGrid w:val="0"/>
              <w:spacing w:line="280" w:lineRule="exact"/>
              <w:jc w:val="center"/>
              <w:rPr>
                <w:color w:val="auto"/>
                <w:sz w:val="18"/>
                <w:szCs w:val="18"/>
              </w:rPr>
            </w:pPr>
            <w:r>
              <w:rPr>
                <w:color w:val="auto"/>
                <w:sz w:val="18"/>
                <w:szCs w:val="18"/>
              </w:rPr>
              <w:t>2.2</w:t>
            </w:r>
            <w:r>
              <w:rPr>
                <w:rFonts w:hAnsi="宋体"/>
                <w:color w:val="auto"/>
                <w:sz w:val="18"/>
                <w:szCs w:val="18"/>
              </w:rPr>
              <w:t>＜</w:t>
            </w: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4.5</w:t>
            </w:r>
          </w:p>
        </w:tc>
        <w:tc>
          <w:tcPr>
            <w:tcW w:w="1447" w:type="dxa"/>
            <w:vAlign w:val="center"/>
          </w:tcPr>
          <w:p w14:paraId="6EA3C8D8">
            <w:pPr>
              <w:adjustRightInd w:val="0"/>
              <w:snapToGrid w:val="0"/>
              <w:spacing w:line="280" w:lineRule="exact"/>
              <w:jc w:val="center"/>
              <w:rPr>
                <w:color w:val="auto"/>
                <w:sz w:val="18"/>
                <w:szCs w:val="18"/>
              </w:rPr>
            </w:pPr>
            <w:r>
              <w:rPr>
                <w:rFonts w:hAnsi="宋体"/>
                <w:color w:val="auto"/>
                <w:sz w:val="18"/>
                <w:szCs w:val="18"/>
              </w:rPr>
              <w:t>硬塑</w:t>
            </w:r>
          </w:p>
        </w:tc>
      </w:tr>
      <w:tr w14:paraId="72FF7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380ADABE">
            <w:pPr>
              <w:adjustRightInd w:val="0"/>
              <w:snapToGrid w:val="0"/>
              <w:spacing w:line="280" w:lineRule="exact"/>
              <w:jc w:val="center"/>
              <w:rPr>
                <w:color w:val="auto"/>
                <w:sz w:val="18"/>
                <w:szCs w:val="18"/>
              </w:rPr>
            </w:pPr>
            <w:r>
              <w:rPr>
                <w:color w:val="auto"/>
                <w:sz w:val="18"/>
                <w:szCs w:val="18"/>
              </w:rPr>
              <w:t>0.25</w:t>
            </w:r>
            <w:r>
              <w:rPr>
                <w:rFonts w:hAnsi="宋体"/>
                <w:color w:val="auto"/>
                <w:sz w:val="18"/>
                <w:szCs w:val="18"/>
              </w:rPr>
              <w:t>＜</w:t>
            </w:r>
            <w:r>
              <w:rPr>
                <w:i/>
                <w:iCs/>
                <w:color w:val="auto"/>
                <w:sz w:val="18"/>
                <w:szCs w:val="18"/>
              </w:rPr>
              <w:t>I</w:t>
            </w:r>
            <w:r>
              <w:rPr>
                <w:iCs/>
                <w:color w:val="auto"/>
                <w:sz w:val="18"/>
                <w:szCs w:val="18"/>
                <w:vertAlign w:val="subscript"/>
              </w:rPr>
              <w:t>L</w:t>
            </w:r>
            <w:r>
              <w:rPr>
                <w:color w:val="auto"/>
                <w:sz w:val="18"/>
                <w:szCs w:val="18"/>
              </w:rPr>
              <w:t>≤0.75</w:t>
            </w:r>
          </w:p>
        </w:tc>
        <w:tc>
          <w:tcPr>
            <w:tcW w:w="2138" w:type="dxa"/>
            <w:vAlign w:val="center"/>
          </w:tcPr>
          <w:p w14:paraId="68FAD04C">
            <w:pPr>
              <w:adjustRightInd w:val="0"/>
              <w:snapToGrid w:val="0"/>
              <w:spacing w:line="280" w:lineRule="exact"/>
              <w:jc w:val="center"/>
              <w:rPr>
                <w:color w:val="auto"/>
                <w:sz w:val="18"/>
                <w:szCs w:val="18"/>
              </w:rPr>
            </w:pPr>
            <w:r>
              <w:rPr>
                <w:color w:val="auto"/>
                <w:sz w:val="18"/>
                <w:szCs w:val="18"/>
              </w:rPr>
              <w:t>2.5≤</w:t>
            </w:r>
            <w:r>
              <w:rPr>
                <w:i/>
                <w:color w:val="auto"/>
                <w:sz w:val="18"/>
                <w:szCs w:val="18"/>
              </w:rPr>
              <w:t>N</w:t>
            </w:r>
            <w:r>
              <w:rPr>
                <w:rFonts w:hAnsi="宋体"/>
                <w:color w:val="auto"/>
                <w:sz w:val="18"/>
                <w:szCs w:val="18"/>
              </w:rPr>
              <w:t>＜</w:t>
            </w:r>
            <w:r>
              <w:rPr>
                <w:color w:val="auto"/>
                <w:sz w:val="18"/>
                <w:szCs w:val="18"/>
              </w:rPr>
              <w:t>10</w:t>
            </w:r>
          </w:p>
        </w:tc>
        <w:tc>
          <w:tcPr>
            <w:tcW w:w="3282" w:type="dxa"/>
            <w:vAlign w:val="center"/>
          </w:tcPr>
          <w:p w14:paraId="0F9948D7">
            <w:pPr>
              <w:adjustRightInd w:val="0"/>
              <w:snapToGrid w:val="0"/>
              <w:spacing w:line="280" w:lineRule="exact"/>
              <w:jc w:val="center"/>
              <w:rPr>
                <w:color w:val="auto"/>
                <w:sz w:val="18"/>
                <w:szCs w:val="18"/>
              </w:rPr>
            </w:pPr>
            <w:r>
              <w:rPr>
                <w:color w:val="auto"/>
                <w:sz w:val="18"/>
                <w:szCs w:val="18"/>
              </w:rPr>
              <w:t>0.7≤</w:t>
            </w:r>
            <w:r>
              <w:rPr>
                <w:i/>
                <w:iCs/>
                <w:color w:val="auto"/>
                <w:sz w:val="18"/>
                <w:szCs w:val="18"/>
              </w:rPr>
              <w:t>p</w:t>
            </w:r>
            <w:r>
              <w:rPr>
                <w:iCs/>
                <w:color w:val="auto"/>
                <w:sz w:val="18"/>
                <w:szCs w:val="18"/>
                <w:vertAlign w:val="subscript"/>
              </w:rPr>
              <w:t>s</w:t>
            </w:r>
            <w:r>
              <w:rPr>
                <w:color w:val="auto"/>
                <w:sz w:val="18"/>
                <w:szCs w:val="18"/>
              </w:rPr>
              <w:t>≤2.2</w:t>
            </w:r>
          </w:p>
        </w:tc>
        <w:tc>
          <w:tcPr>
            <w:tcW w:w="1447" w:type="dxa"/>
            <w:vAlign w:val="center"/>
          </w:tcPr>
          <w:p w14:paraId="36643406">
            <w:pPr>
              <w:adjustRightInd w:val="0"/>
              <w:snapToGrid w:val="0"/>
              <w:spacing w:line="280" w:lineRule="exact"/>
              <w:jc w:val="center"/>
              <w:rPr>
                <w:color w:val="auto"/>
                <w:sz w:val="18"/>
                <w:szCs w:val="18"/>
              </w:rPr>
            </w:pPr>
            <w:r>
              <w:rPr>
                <w:rFonts w:hAnsi="宋体"/>
                <w:color w:val="auto"/>
                <w:sz w:val="18"/>
                <w:szCs w:val="18"/>
              </w:rPr>
              <w:t>可塑</w:t>
            </w:r>
          </w:p>
        </w:tc>
      </w:tr>
      <w:tr w14:paraId="14D41E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12437F98">
            <w:pPr>
              <w:adjustRightInd w:val="0"/>
              <w:snapToGrid w:val="0"/>
              <w:spacing w:line="280" w:lineRule="exact"/>
              <w:jc w:val="center"/>
              <w:rPr>
                <w:color w:val="auto"/>
                <w:sz w:val="18"/>
                <w:szCs w:val="18"/>
              </w:rPr>
            </w:pPr>
            <w:r>
              <w:rPr>
                <w:color w:val="auto"/>
                <w:sz w:val="18"/>
                <w:szCs w:val="18"/>
              </w:rPr>
              <w:t>0.75</w:t>
            </w:r>
            <w:r>
              <w:rPr>
                <w:rFonts w:hAnsi="宋体"/>
                <w:color w:val="auto"/>
                <w:sz w:val="18"/>
                <w:szCs w:val="18"/>
              </w:rPr>
              <w:t>＜</w:t>
            </w:r>
            <w:r>
              <w:rPr>
                <w:i/>
                <w:iCs/>
                <w:color w:val="auto"/>
                <w:sz w:val="18"/>
                <w:szCs w:val="18"/>
              </w:rPr>
              <w:t>I</w:t>
            </w:r>
            <w:r>
              <w:rPr>
                <w:iCs/>
                <w:color w:val="auto"/>
                <w:sz w:val="18"/>
                <w:szCs w:val="18"/>
                <w:vertAlign w:val="subscript"/>
              </w:rPr>
              <w:t>L</w:t>
            </w:r>
            <w:r>
              <w:rPr>
                <w:color w:val="auto"/>
                <w:sz w:val="18"/>
                <w:szCs w:val="18"/>
              </w:rPr>
              <w:t>≤1</w:t>
            </w:r>
          </w:p>
        </w:tc>
        <w:tc>
          <w:tcPr>
            <w:tcW w:w="2138" w:type="dxa"/>
            <w:vAlign w:val="center"/>
          </w:tcPr>
          <w:p w14:paraId="664DD7FA">
            <w:pPr>
              <w:adjustRightInd w:val="0"/>
              <w:snapToGrid w:val="0"/>
              <w:spacing w:line="280" w:lineRule="exact"/>
              <w:jc w:val="center"/>
              <w:rPr>
                <w:color w:val="auto"/>
                <w:sz w:val="18"/>
                <w:szCs w:val="18"/>
              </w:rPr>
            </w:pPr>
            <w:r>
              <w:rPr>
                <w:color w:val="auto"/>
                <w:sz w:val="18"/>
                <w:szCs w:val="18"/>
              </w:rPr>
              <w:t>0.8≤</w:t>
            </w:r>
            <w:r>
              <w:rPr>
                <w:i/>
                <w:color w:val="auto"/>
                <w:sz w:val="18"/>
                <w:szCs w:val="18"/>
              </w:rPr>
              <w:t>N</w:t>
            </w:r>
            <w:r>
              <w:rPr>
                <w:rFonts w:hAnsi="宋体"/>
                <w:color w:val="auto"/>
                <w:sz w:val="18"/>
                <w:szCs w:val="18"/>
              </w:rPr>
              <w:t>＜</w:t>
            </w:r>
            <w:r>
              <w:rPr>
                <w:color w:val="auto"/>
                <w:sz w:val="18"/>
                <w:szCs w:val="18"/>
              </w:rPr>
              <w:t>2.5</w:t>
            </w:r>
          </w:p>
        </w:tc>
        <w:tc>
          <w:tcPr>
            <w:tcW w:w="3282" w:type="dxa"/>
            <w:vAlign w:val="center"/>
          </w:tcPr>
          <w:p w14:paraId="012344C6">
            <w:pPr>
              <w:adjustRightInd w:val="0"/>
              <w:snapToGrid w:val="0"/>
              <w:spacing w:line="280" w:lineRule="exact"/>
              <w:jc w:val="center"/>
              <w:rPr>
                <w:color w:val="auto"/>
                <w:sz w:val="18"/>
                <w:szCs w:val="18"/>
              </w:rPr>
            </w:pPr>
            <w:r>
              <w:rPr>
                <w:color w:val="auto"/>
                <w:sz w:val="18"/>
                <w:szCs w:val="18"/>
              </w:rPr>
              <w:t>0.4≤</w:t>
            </w: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0.7</w:t>
            </w:r>
          </w:p>
        </w:tc>
        <w:tc>
          <w:tcPr>
            <w:tcW w:w="1447" w:type="dxa"/>
            <w:vAlign w:val="center"/>
          </w:tcPr>
          <w:p w14:paraId="5F808B8F">
            <w:pPr>
              <w:adjustRightInd w:val="0"/>
              <w:snapToGrid w:val="0"/>
              <w:spacing w:line="280" w:lineRule="exact"/>
              <w:jc w:val="center"/>
              <w:rPr>
                <w:color w:val="auto"/>
                <w:sz w:val="18"/>
                <w:szCs w:val="18"/>
              </w:rPr>
            </w:pPr>
            <w:r>
              <w:rPr>
                <w:rFonts w:hAnsi="宋体"/>
                <w:color w:val="auto"/>
                <w:sz w:val="18"/>
                <w:szCs w:val="18"/>
              </w:rPr>
              <w:t>软塑</w:t>
            </w:r>
          </w:p>
        </w:tc>
      </w:tr>
      <w:tr w14:paraId="462A3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4" w:type="dxa"/>
            <w:vAlign w:val="center"/>
          </w:tcPr>
          <w:p w14:paraId="3ADF8535">
            <w:pPr>
              <w:adjustRightInd w:val="0"/>
              <w:snapToGrid w:val="0"/>
              <w:spacing w:line="280" w:lineRule="exact"/>
              <w:jc w:val="center"/>
              <w:rPr>
                <w:color w:val="auto"/>
                <w:sz w:val="18"/>
                <w:szCs w:val="18"/>
              </w:rPr>
            </w:pPr>
            <w:r>
              <w:rPr>
                <w:i/>
                <w:iCs/>
                <w:color w:val="auto"/>
                <w:sz w:val="18"/>
                <w:szCs w:val="18"/>
              </w:rPr>
              <w:t>I</w:t>
            </w:r>
            <w:r>
              <w:rPr>
                <w:iCs/>
                <w:color w:val="auto"/>
                <w:sz w:val="18"/>
                <w:szCs w:val="18"/>
                <w:vertAlign w:val="subscript"/>
              </w:rPr>
              <w:t>L</w:t>
            </w:r>
            <w:r>
              <w:rPr>
                <w:rFonts w:hAnsi="宋体"/>
                <w:color w:val="auto"/>
                <w:sz w:val="18"/>
                <w:szCs w:val="18"/>
              </w:rPr>
              <w:t>＞</w:t>
            </w:r>
            <w:r>
              <w:rPr>
                <w:color w:val="auto"/>
                <w:sz w:val="18"/>
                <w:szCs w:val="18"/>
              </w:rPr>
              <w:t>1</w:t>
            </w:r>
          </w:p>
        </w:tc>
        <w:tc>
          <w:tcPr>
            <w:tcW w:w="2138" w:type="dxa"/>
            <w:vAlign w:val="center"/>
          </w:tcPr>
          <w:p w14:paraId="69F8A681">
            <w:pPr>
              <w:adjustRightInd w:val="0"/>
              <w:snapToGrid w:val="0"/>
              <w:spacing w:line="280" w:lineRule="exact"/>
              <w:ind w:left="-288" w:leftChars="-137" w:right="-109" w:rightChars="-52"/>
              <w:jc w:val="center"/>
              <w:rPr>
                <w:color w:val="auto"/>
                <w:sz w:val="18"/>
                <w:szCs w:val="18"/>
              </w:rPr>
            </w:pPr>
            <w:r>
              <w:rPr>
                <w:i/>
                <w:color w:val="auto"/>
                <w:sz w:val="18"/>
                <w:szCs w:val="18"/>
              </w:rPr>
              <w:t>N</w:t>
            </w:r>
            <w:r>
              <w:rPr>
                <w:rFonts w:hAnsi="宋体"/>
                <w:color w:val="auto"/>
                <w:sz w:val="18"/>
                <w:szCs w:val="18"/>
              </w:rPr>
              <w:t>＜</w:t>
            </w:r>
            <w:r>
              <w:rPr>
                <w:color w:val="auto"/>
                <w:sz w:val="18"/>
                <w:szCs w:val="18"/>
              </w:rPr>
              <w:t>0.8</w:t>
            </w:r>
          </w:p>
        </w:tc>
        <w:tc>
          <w:tcPr>
            <w:tcW w:w="3282" w:type="dxa"/>
            <w:vAlign w:val="center"/>
          </w:tcPr>
          <w:p w14:paraId="40432B1C">
            <w:pPr>
              <w:adjustRightInd w:val="0"/>
              <w:snapToGrid w:val="0"/>
              <w:spacing w:line="280" w:lineRule="exact"/>
              <w:jc w:val="center"/>
              <w:rPr>
                <w:color w:val="auto"/>
                <w:sz w:val="18"/>
                <w:szCs w:val="18"/>
              </w:rPr>
            </w:pPr>
            <w:r>
              <w:rPr>
                <w:i/>
                <w:iCs/>
                <w:color w:val="auto"/>
                <w:sz w:val="18"/>
                <w:szCs w:val="18"/>
              </w:rPr>
              <w:t>p</w:t>
            </w:r>
            <w:r>
              <w:rPr>
                <w:iCs/>
                <w:color w:val="auto"/>
                <w:sz w:val="18"/>
                <w:szCs w:val="18"/>
                <w:vertAlign w:val="subscript"/>
              </w:rPr>
              <w:t>s</w:t>
            </w:r>
            <w:r>
              <w:rPr>
                <w:rFonts w:hAnsi="宋体"/>
                <w:color w:val="auto"/>
                <w:sz w:val="18"/>
                <w:szCs w:val="18"/>
              </w:rPr>
              <w:t>＜</w:t>
            </w:r>
            <w:r>
              <w:rPr>
                <w:color w:val="auto"/>
                <w:sz w:val="18"/>
                <w:szCs w:val="18"/>
              </w:rPr>
              <w:t>0.4</w:t>
            </w:r>
          </w:p>
        </w:tc>
        <w:tc>
          <w:tcPr>
            <w:tcW w:w="1447" w:type="dxa"/>
            <w:vAlign w:val="center"/>
          </w:tcPr>
          <w:p w14:paraId="6274DF08">
            <w:pPr>
              <w:adjustRightInd w:val="0"/>
              <w:snapToGrid w:val="0"/>
              <w:spacing w:line="280" w:lineRule="exact"/>
              <w:jc w:val="center"/>
              <w:rPr>
                <w:color w:val="auto"/>
                <w:sz w:val="18"/>
                <w:szCs w:val="18"/>
              </w:rPr>
            </w:pPr>
            <w:r>
              <w:rPr>
                <w:rFonts w:hAnsi="宋体"/>
                <w:color w:val="auto"/>
                <w:sz w:val="18"/>
                <w:szCs w:val="18"/>
              </w:rPr>
              <w:t>流塑</w:t>
            </w:r>
          </w:p>
        </w:tc>
      </w:tr>
      <w:tr w14:paraId="523B6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9101" w:type="dxa"/>
            <w:gridSpan w:val="4"/>
            <w:vAlign w:val="center"/>
          </w:tcPr>
          <w:p w14:paraId="782A6AE6">
            <w:pPr>
              <w:adjustRightInd w:val="0"/>
              <w:snapToGrid w:val="0"/>
              <w:rPr>
                <w:color w:val="auto"/>
                <w:sz w:val="18"/>
                <w:szCs w:val="18"/>
              </w:rPr>
            </w:pPr>
            <w:r>
              <w:rPr>
                <w:rFonts w:hAnsi="宋体"/>
                <w:color w:val="auto"/>
                <w:sz w:val="18"/>
                <w:szCs w:val="18"/>
              </w:rPr>
              <w:t>注</w:t>
            </w:r>
            <w:r>
              <w:rPr>
                <w:color w:val="auto"/>
                <w:sz w:val="18"/>
                <w:szCs w:val="18"/>
              </w:rPr>
              <w:t>1</w:t>
            </w:r>
            <w:r>
              <w:rPr>
                <w:rFonts w:hAnsi="宋体"/>
                <w:color w:val="auto"/>
                <w:sz w:val="18"/>
                <w:szCs w:val="18"/>
              </w:rPr>
              <w:t>：对低塑性的黏性土、粉土、粉砂互层中的黏性土的状态，应以原位测试判别为主；</w:t>
            </w:r>
          </w:p>
          <w:p w14:paraId="386CA0F2">
            <w:pPr>
              <w:adjustRightInd w:val="0"/>
              <w:snapToGrid w:val="0"/>
              <w:rPr>
                <w:color w:val="auto"/>
                <w:sz w:val="18"/>
                <w:szCs w:val="18"/>
              </w:rPr>
            </w:pPr>
            <w:r>
              <w:rPr>
                <w:rFonts w:hAnsi="宋体"/>
                <w:color w:val="auto"/>
                <w:sz w:val="18"/>
                <w:szCs w:val="18"/>
              </w:rPr>
              <w:t>注</w:t>
            </w:r>
            <w:r>
              <w:rPr>
                <w:color w:val="auto"/>
                <w:sz w:val="18"/>
                <w:szCs w:val="18"/>
              </w:rPr>
              <w:t>2</w:t>
            </w:r>
            <w:r>
              <w:rPr>
                <w:rFonts w:hAnsi="宋体"/>
                <w:color w:val="auto"/>
                <w:sz w:val="18"/>
                <w:szCs w:val="18"/>
              </w:rPr>
              <w:t>：表中</w:t>
            </w:r>
            <w:r>
              <w:rPr>
                <w:i/>
                <w:iCs/>
                <w:color w:val="auto"/>
                <w:sz w:val="18"/>
                <w:szCs w:val="18"/>
              </w:rPr>
              <w:t>N</w:t>
            </w:r>
            <w:r>
              <w:rPr>
                <w:rFonts w:hAnsi="宋体"/>
                <w:color w:val="auto"/>
                <w:sz w:val="18"/>
                <w:szCs w:val="18"/>
              </w:rPr>
              <w:t>为未经钻杆长度修正的平均值。</w:t>
            </w:r>
          </w:p>
        </w:tc>
      </w:tr>
    </w:tbl>
    <w:p w14:paraId="43CCA3E6">
      <w:pPr>
        <w:adjustRightInd w:val="0"/>
        <w:snapToGrid w:val="0"/>
        <w:spacing w:before="240" w:line="340" w:lineRule="exact"/>
        <w:rPr>
          <w:color w:val="auto"/>
          <w:szCs w:val="21"/>
        </w:rPr>
      </w:pPr>
      <w:r>
        <w:rPr>
          <w:b/>
          <w:bCs/>
          <w:color w:val="auto"/>
          <w:szCs w:val="21"/>
        </w:rPr>
        <w:t>6.1.12</w:t>
      </w:r>
      <w:r>
        <w:rPr>
          <w:color w:val="auto"/>
          <w:szCs w:val="21"/>
        </w:rPr>
        <w:t xml:space="preserve">  </w:t>
      </w:r>
      <w:r>
        <w:rPr>
          <w:rFonts w:hAnsi="宋体"/>
          <w:color w:val="auto"/>
          <w:szCs w:val="21"/>
        </w:rPr>
        <w:t>粉土为介于砂土与黏性土之间</w:t>
      </w:r>
      <w:r>
        <w:rPr>
          <w:iCs/>
          <w:color w:val="auto"/>
          <w:szCs w:val="21"/>
        </w:rPr>
        <w:t>，</w:t>
      </w:r>
      <w:r>
        <w:rPr>
          <w:rFonts w:hAnsi="宋体"/>
          <w:color w:val="auto"/>
          <w:szCs w:val="21"/>
        </w:rPr>
        <w:t>塑性指数</w:t>
      </w:r>
      <w:r>
        <w:rPr>
          <w:i/>
          <w:iCs/>
          <w:color w:val="auto"/>
          <w:szCs w:val="21"/>
        </w:rPr>
        <w:t>I</w:t>
      </w:r>
      <w:r>
        <w:rPr>
          <w:iCs/>
          <w:color w:val="auto"/>
          <w:szCs w:val="21"/>
          <w:vertAlign w:val="subscript"/>
        </w:rPr>
        <w:t>p</w:t>
      </w:r>
      <w:r>
        <w:rPr>
          <w:color w:val="auto"/>
          <w:szCs w:val="21"/>
        </w:rPr>
        <w:t>≤10</w:t>
      </w:r>
      <w:r>
        <w:rPr>
          <w:rFonts w:hAnsi="宋体"/>
          <w:color w:val="auto"/>
          <w:szCs w:val="21"/>
        </w:rPr>
        <w:t>且粒径大于</w:t>
      </w:r>
      <w:r>
        <w:rPr>
          <w:color w:val="auto"/>
          <w:szCs w:val="21"/>
        </w:rPr>
        <w:t>0.075</w:t>
      </w:r>
      <w:r>
        <w:rPr>
          <w:iCs/>
          <w:color w:val="auto"/>
          <w:szCs w:val="21"/>
        </w:rPr>
        <w:t>mm</w:t>
      </w:r>
      <w:r>
        <w:rPr>
          <w:rFonts w:hAnsi="宋体"/>
          <w:color w:val="auto"/>
          <w:szCs w:val="21"/>
        </w:rPr>
        <w:t>的颗粒</w:t>
      </w:r>
      <w:r>
        <w:rPr>
          <w:rFonts w:hint="eastAsia" w:hAnsi="宋体"/>
          <w:color w:val="auto"/>
          <w:szCs w:val="21"/>
        </w:rPr>
        <w:t>质量</w:t>
      </w:r>
      <w:r>
        <w:rPr>
          <w:rFonts w:hAnsi="宋体"/>
          <w:color w:val="auto"/>
          <w:szCs w:val="21"/>
        </w:rPr>
        <w:t>不超过总</w:t>
      </w:r>
      <w:r>
        <w:rPr>
          <w:rFonts w:hint="eastAsia" w:hAnsi="宋体"/>
          <w:color w:val="auto"/>
          <w:szCs w:val="21"/>
        </w:rPr>
        <w:t>质量</w:t>
      </w:r>
      <w:r>
        <w:rPr>
          <w:color w:val="auto"/>
          <w:szCs w:val="21"/>
        </w:rPr>
        <w:t>50%</w:t>
      </w:r>
      <w:r>
        <w:rPr>
          <w:rFonts w:hAnsi="宋体"/>
          <w:color w:val="auto"/>
          <w:szCs w:val="21"/>
        </w:rPr>
        <w:t>的土。</w:t>
      </w:r>
    </w:p>
    <w:p w14:paraId="1B05DAA5">
      <w:pPr>
        <w:adjustRightInd w:val="0"/>
        <w:snapToGrid w:val="0"/>
        <w:spacing w:line="340" w:lineRule="exact"/>
        <w:rPr>
          <w:color w:val="auto"/>
          <w:szCs w:val="21"/>
        </w:rPr>
      </w:pPr>
      <w:r>
        <w:rPr>
          <w:b/>
          <w:bCs/>
          <w:color w:val="auto"/>
          <w:szCs w:val="21"/>
        </w:rPr>
        <w:t>6.1.13</w:t>
      </w:r>
      <w:r>
        <w:rPr>
          <w:color w:val="auto"/>
          <w:szCs w:val="21"/>
        </w:rPr>
        <w:t xml:space="preserve">  </w:t>
      </w:r>
      <w:r>
        <w:rPr>
          <w:rFonts w:hAnsi="宋体"/>
          <w:color w:val="auto"/>
          <w:szCs w:val="21"/>
        </w:rPr>
        <w:t>粉土的密实度</w:t>
      </w:r>
      <w:r>
        <w:rPr>
          <w:iCs/>
          <w:color w:val="auto"/>
          <w:szCs w:val="21"/>
        </w:rPr>
        <w:t>，</w:t>
      </w:r>
      <w:r>
        <w:rPr>
          <w:rFonts w:hAnsi="宋体"/>
          <w:color w:val="auto"/>
          <w:szCs w:val="21"/>
        </w:rPr>
        <w:t>可根据土的孔隙比，并参照静力触探比贯入阻力的峰值平均值按表</w:t>
      </w:r>
      <w:r>
        <w:rPr>
          <w:color w:val="auto"/>
          <w:szCs w:val="21"/>
        </w:rPr>
        <w:t>14</w:t>
      </w:r>
      <w:r>
        <w:rPr>
          <w:rFonts w:hAnsi="宋体"/>
          <w:color w:val="auto"/>
          <w:szCs w:val="21"/>
        </w:rPr>
        <w:t>综合判别，差异过大时，应分析原因。</w:t>
      </w:r>
    </w:p>
    <w:p w14:paraId="243EC770">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表14</w:t>
      </w:r>
      <w:r>
        <w:rPr>
          <w:rFonts w:hint="eastAsia" w:eastAsia="黑体"/>
          <w:b/>
          <w:bCs/>
          <w:color w:val="auto"/>
          <w:szCs w:val="21"/>
        </w:rPr>
        <w:t xml:space="preserve">  </w:t>
      </w:r>
      <w:r>
        <w:rPr>
          <w:rFonts w:eastAsia="黑体"/>
          <w:b/>
          <w:bCs/>
          <w:color w:val="auto"/>
          <w:szCs w:val="21"/>
        </w:rPr>
        <w:t>粉土的密实度按</w:t>
      </w:r>
      <w:r>
        <w:rPr>
          <w:rFonts w:eastAsia="黑体"/>
          <w:b/>
          <w:bCs/>
          <w:i/>
          <w:color w:val="auto"/>
          <w:szCs w:val="21"/>
        </w:rPr>
        <w:t>e</w:t>
      </w:r>
      <w:r>
        <w:rPr>
          <w:rFonts w:hint="eastAsia"/>
          <w:i/>
          <w:color w:val="auto"/>
          <w:sz w:val="18"/>
          <w:szCs w:val="18"/>
        </w:rPr>
        <w:t>、</w:t>
      </w:r>
      <w:r>
        <w:rPr>
          <w:rFonts w:eastAsia="黑体"/>
          <w:b/>
          <w:bCs/>
          <w:i/>
          <w:color w:val="auto"/>
          <w:szCs w:val="21"/>
        </w:rPr>
        <w:t>p</w:t>
      </w:r>
      <w:r>
        <w:rPr>
          <w:rFonts w:eastAsia="黑体"/>
          <w:b/>
          <w:bCs/>
          <w:color w:val="auto"/>
          <w:szCs w:val="21"/>
          <w:vertAlign w:val="subscript"/>
        </w:rPr>
        <w:t>s</w:t>
      </w:r>
      <w:r>
        <w:rPr>
          <w:rFonts w:eastAsia="黑体"/>
          <w:b/>
          <w:bCs/>
          <w:color w:val="auto"/>
          <w:szCs w:val="21"/>
        </w:rPr>
        <w:t>分类</w:t>
      </w:r>
    </w:p>
    <w:tbl>
      <w:tblPr>
        <w:tblStyle w:val="36"/>
        <w:tblW w:w="91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633"/>
        <w:gridCol w:w="3666"/>
        <w:gridCol w:w="2858"/>
      </w:tblGrid>
      <w:tr w14:paraId="2A0AB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33" w:type="dxa"/>
          </w:tcPr>
          <w:p w14:paraId="5770D92C">
            <w:pPr>
              <w:adjustRightInd w:val="0"/>
              <w:snapToGrid w:val="0"/>
              <w:spacing w:line="300" w:lineRule="exact"/>
              <w:jc w:val="center"/>
              <w:rPr>
                <w:color w:val="auto"/>
                <w:sz w:val="18"/>
                <w:szCs w:val="18"/>
              </w:rPr>
            </w:pPr>
            <w:r>
              <w:rPr>
                <w:rFonts w:hAnsi="宋体"/>
                <w:color w:val="auto"/>
                <w:sz w:val="18"/>
                <w:szCs w:val="18"/>
              </w:rPr>
              <w:t>孔隙比</w:t>
            </w:r>
          </w:p>
        </w:tc>
        <w:tc>
          <w:tcPr>
            <w:tcW w:w="3666" w:type="dxa"/>
          </w:tcPr>
          <w:p w14:paraId="42D00CB9">
            <w:pPr>
              <w:adjustRightInd w:val="0"/>
              <w:snapToGrid w:val="0"/>
              <w:spacing w:line="300" w:lineRule="exact"/>
              <w:jc w:val="center"/>
              <w:rPr>
                <w:color w:val="auto"/>
                <w:sz w:val="18"/>
                <w:szCs w:val="18"/>
              </w:rPr>
            </w:pPr>
            <w:r>
              <w:rPr>
                <w:rFonts w:hAnsi="宋体"/>
                <w:color w:val="auto"/>
                <w:sz w:val="18"/>
                <w:szCs w:val="18"/>
              </w:rPr>
              <w:t>静力触探比贯入阻力</w:t>
            </w:r>
            <w:r>
              <w:rPr>
                <w:i/>
                <w:iCs/>
                <w:color w:val="auto"/>
                <w:sz w:val="18"/>
                <w:szCs w:val="18"/>
              </w:rPr>
              <w:t>p</w:t>
            </w:r>
            <w:r>
              <w:rPr>
                <w:color w:val="auto"/>
                <w:sz w:val="18"/>
                <w:szCs w:val="18"/>
                <w:vertAlign w:val="subscript"/>
              </w:rPr>
              <w:t>s</w:t>
            </w:r>
            <w:r>
              <w:rPr>
                <w:color w:val="auto"/>
                <w:sz w:val="18"/>
                <w:szCs w:val="18"/>
              </w:rPr>
              <w:t>（</w:t>
            </w:r>
            <w:r>
              <w:rPr>
                <w:iCs/>
                <w:color w:val="auto"/>
                <w:sz w:val="18"/>
                <w:szCs w:val="18"/>
              </w:rPr>
              <w:t>MPa</w:t>
            </w:r>
            <w:r>
              <w:rPr>
                <w:color w:val="auto"/>
                <w:sz w:val="18"/>
                <w:szCs w:val="18"/>
              </w:rPr>
              <w:t>）</w:t>
            </w:r>
          </w:p>
        </w:tc>
        <w:tc>
          <w:tcPr>
            <w:tcW w:w="2858" w:type="dxa"/>
          </w:tcPr>
          <w:p w14:paraId="680DBE5E">
            <w:pPr>
              <w:adjustRightInd w:val="0"/>
              <w:snapToGrid w:val="0"/>
              <w:spacing w:line="300" w:lineRule="exact"/>
              <w:jc w:val="center"/>
              <w:rPr>
                <w:color w:val="auto"/>
                <w:sz w:val="18"/>
                <w:szCs w:val="18"/>
              </w:rPr>
            </w:pPr>
            <w:r>
              <w:rPr>
                <w:rFonts w:hAnsi="宋体"/>
                <w:color w:val="auto"/>
                <w:sz w:val="18"/>
                <w:szCs w:val="18"/>
              </w:rPr>
              <w:t>密实度</w:t>
            </w:r>
          </w:p>
        </w:tc>
      </w:tr>
      <w:tr w14:paraId="11B5F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33" w:type="dxa"/>
          </w:tcPr>
          <w:p w14:paraId="000208F1">
            <w:pPr>
              <w:adjustRightInd w:val="0"/>
              <w:snapToGrid w:val="0"/>
              <w:spacing w:line="300" w:lineRule="exact"/>
              <w:jc w:val="center"/>
              <w:rPr>
                <w:color w:val="auto"/>
                <w:sz w:val="18"/>
                <w:szCs w:val="18"/>
              </w:rPr>
            </w:pPr>
            <w:r>
              <w:rPr>
                <w:i/>
                <w:color w:val="auto"/>
                <w:sz w:val="18"/>
                <w:szCs w:val="18"/>
              </w:rPr>
              <w:t>e</w:t>
            </w:r>
            <w:r>
              <w:rPr>
                <w:rFonts w:hAnsi="宋体"/>
                <w:color w:val="auto"/>
                <w:sz w:val="18"/>
                <w:szCs w:val="18"/>
              </w:rPr>
              <w:t>＞</w:t>
            </w:r>
            <w:r>
              <w:rPr>
                <w:color w:val="auto"/>
                <w:sz w:val="18"/>
                <w:szCs w:val="18"/>
              </w:rPr>
              <w:t>0.9</w:t>
            </w:r>
          </w:p>
        </w:tc>
        <w:tc>
          <w:tcPr>
            <w:tcW w:w="3666" w:type="dxa"/>
          </w:tcPr>
          <w:p w14:paraId="16844035">
            <w:pPr>
              <w:adjustRightInd w:val="0"/>
              <w:snapToGrid w:val="0"/>
              <w:spacing w:line="300" w:lineRule="exact"/>
              <w:jc w:val="center"/>
              <w:rPr>
                <w:color w:val="auto"/>
                <w:sz w:val="18"/>
                <w:szCs w:val="18"/>
              </w:rPr>
            </w:pPr>
            <w:r>
              <w:rPr>
                <w:i/>
                <w:iCs/>
                <w:color w:val="auto"/>
                <w:sz w:val="18"/>
                <w:szCs w:val="18"/>
              </w:rPr>
              <w:t>p</w:t>
            </w:r>
            <w:r>
              <w:rPr>
                <w:color w:val="auto"/>
                <w:sz w:val="18"/>
                <w:szCs w:val="18"/>
                <w:vertAlign w:val="subscript"/>
              </w:rPr>
              <w:t>s</w:t>
            </w:r>
            <w:r>
              <w:rPr>
                <w:color w:val="auto"/>
                <w:sz w:val="18"/>
                <w:szCs w:val="18"/>
              </w:rPr>
              <w:t>≤1.0</w:t>
            </w:r>
          </w:p>
        </w:tc>
        <w:tc>
          <w:tcPr>
            <w:tcW w:w="2858" w:type="dxa"/>
          </w:tcPr>
          <w:p w14:paraId="5375279E">
            <w:pPr>
              <w:adjustRightInd w:val="0"/>
              <w:snapToGrid w:val="0"/>
              <w:spacing w:line="300" w:lineRule="exact"/>
              <w:jc w:val="center"/>
              <w:rPr>
                <w:color w:val="auto"/>
                <w:sz w:val="18"/>
                <w:szCs w:val="18"/>
              </w:rPr>
            </w:pPr>
            <w:r>
              <w:rPr>
                <w:rFonts w:hAnsi="宋体"/>
                <w:color w:val="auto"/>
                <w:sz w:val="18"/>
                <w:szCs w:val="18"/>
              </w:rPr>
              <w:t>稍</w:t>
            </w:r>
            <w:r>
              <w:rPr>
                <w:color w:val="auto"/>
                <w:sz w:val="18"/>
                <w:szCs w:val="18"/>
              </w:rPr>
              <w:t xml:space="preserve">  </w:t>
            </w:r>
            <w:r>
              <w:rPr>
                <w:rFonts w:hAnsi="宋体"/>
                <w:color w:val="auto"/>
                <w:sz w:val="18"/>
                <w:szCs w:val="18"/>
              </w:rPr>
              <w:t>密</w:t>
            </w:r>
          </w:p>
        </w:tc>
      </w:tr>
      <w:tr w14:paraId="67B958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33" w:type="dxa"/>
          </w:tcPr>
          <w:p w14:paraId="58845BB5">
            <w:pPr>
              <w:adjustRightInd w:val="0"/>
              <w:snapToGrid w:val="0"/>
              <w:spacing w:line="300" w:lineRule="exact"/>
              <w:jc w:val="center"/>
              <w:rPr>
                <w:color w:val="auto"/>
                <w:sz w:val="18"/>
                <w:szCs w:val="18"/>
              </w:rPr>
            </w:pPr>
            <w:r>
              <w:rPr>
                <w:color w:val="auto"/>
                <w:sz w:val="18"/>
                <w:szCs w:val="18"/>
              </w:rPr>
              <w:t>0.75≤</w:t>
            </w:r>
            <w:r>
              <w:rPr>
                <w:i/>
                <w:color w:val="auto"/>
                <w:sz w:val="18"/>
                <w:szCs w:val="18"/>
              </w:rPr>
              <w:t>e</w:t>
            </w:r>
            <w:r>
              <w:rPr>
                <w:color w:val="auto"/>
                <w:sz w:val="18"/>
                <w:szCs w:val="18"/>
              </w:rPr>
              <w:t>≤0.9</w:t>
            </w:r>
          </w:p>
        </w:tc>
        <w:tc>
          <w:tcPr>
            <w:tcW w:w="3666" w:type="dxa"/>
          </w:tcPr>
          <w:p w14:paraId="0F158E5A">
            <w:pPr>
              <w:adjustRightInd w:val="0"/>
              <w:snapToGrid w:val="0"/>
              <w:spacing w:line="300" w:lineRule="exact"/>
              <w:jc w:val="center"/>
              <w:rPr>
                <w:color w:val="auto"/>
                <w:sz w:val="18"/>
                <w:szCs w:val="18"/>
              </w:rPr>
            </w:pPr>
            <w:r>
              <w:rPr>
                <w:color w:val="auto"/>
                <w:sz w:val="18"/>
                <w:szCs w:val="18"/>
              </w:rPr>
              <w:t>1.0</w:t>
            </w:r>
            <w:r>
              <w:rPr>
                <w:rFonts w:hAnsi="宋体"/>
                <w:color w:val="auto"/>
                <w:sz w:val="18"/>
                <w:szCs w:val="18"/>
              </w:rPr>
              <w:t>＜</w:t>
            </w:r>
            <w:r>
              <w:rPr>
                <w:i/>
                <w:iCs/>
                <w:color w:val="auto"/>
                <w:sz w:val="18"/>
                <w:szCs w:val="18"/>
              </w:rPr>
              <w:t>p</w:t>
            </w:r>
            <w:r>
              <w:rPr>
                <w:color w:val="auto"/>
                <w:sz w:val="18"/>
                <w:szCs w:val="18"/>
                <w:vertAlign w:val="subscript"/>
              </w:rPr>
              <w:t>s</w:t>
            </w:r>
            <w:r>
              <w:rPr>
                <w:color w:val="auto"/>
                <w:sz w:val="18"/>
                <w:szCs w:val="18"/>
              </w:rPr>
              <w:t>≤2.5</w:t>
            </w:r>
          </w:p>
        </w:tc>
        <w:tc>
          <w:tcPr>
            <w:tcW w:w="2858" w:type="dxa"/>
          </w:tcPr>
          <w:p w14:paraId="50ADCBCE">
            <w:pPr>
              <w:adjustRightInd w:val="0"/>
              <w:snapToGrid w:val="0"/>
              <w:spacing w:line="300" w:lineRule="exact"/>
              <w:jc w:val="center"/>
              <w:rPr>
                <w:color w:val="auto"/>
                <w:sz w:val="18"/>
                <w:szCs w:val="18"/>
              </w:rPr>
            </w:pPr>
            <w:r>
              <w:rPr>
                <w:rFonts w:hAnsi="宋体"/>
                <w:color w:val="auto"/>
                <w:sz w:val="18"/>
                <w:szCs w:val="18"/>
              </w:rPr>
              <w:t>中</w:t>
            </w:r>
            <w:r>
              <w:rPr>
                <w:color w:val="auto"/>
                <w:sz w:val="18"/>
                <w:szCs w:val="18"/>
              </w:rPr>
              <w:t xml:space="preserve">  </w:t>
            </w:r>
            <w:r>
              <w:rPr>
                <w:rFonts w:hAnsi="宋体"/>
                <w:color w:val="auto"/>
                <w:sz w:val="18"/>
                <w:szCs w:val="18"/>
              </w:rPr>
              <w:t>密</w:t>
            </w:r>
          </w:p>
        </w:tc>
      </w:tr>
      <w:tr w14:paraId="37E2AF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633" w:type="dxa"/>
          </w:tcPr>
          <w:p w14:paraId="393C6CBC">
            <w:pPr>
              <w:adjustRightInd w:val="0"/>
              <w:snapToGrid w:val="0"/>
              <w:spacing w:line="300" w:lineRule="exact"/>
              <w:jc w:val="center"/>
              <w:rPr>
                <w:color w:val="auto"/>
                <w:sz w:val="18"/>
                <w:szCs w:val="18"/>
              </w:rPr>
            </w:pPr>
            <w:r>
              <w:rPr>
                <w:i/>
                <w:color w:val="auto"/>
                <w:sz w:val="18"/>
                <w:szCs w:val="18"/>
              </w:rPr>
              <w:t>e</w:t>
            </w:r>
            <w:r>
              <w:rPr>
                <w:rFonts w:hAnsi="宋体"/>
                <w:color w:val="auto"/>
                <w:sz w:val="18"/>
                <w:szCs w:val="18"/>
              </w:rPr>
              <w:t>＜</w:t>
            </w:r>
            <w:r>
              <w:rPr>
                <w:color w:val="auto"/>
                <w:sz w:val="18"/>
                <w:szCs w:val="18"/>
              </w:rPr>
              <w:t>0.75</w:t>
            </w:r>
          </w:p>
        </w:tc>
        <w:tc>
          <w:tcPr>
            <w:tcW w:w="3666" w:type="dxa"/>
          </w:tcPr>
          <w:p w14:paraId="743C03F9">
            <w:pPr>
              <w:adjustRightInd w:val="0"/>
              <w:snapToGrid w:val="0"/>
              <w:spacing w:line="300" w:lineRule="exact"/>
              <w:jc w:val="center"/>
              <w:rPr>
                <w:color w:val="auto"/>
                <w:sz w:val="18"/>
                <w:szCs w:val="18"/>
              </w:rPr>
            </w:pPr>
            <w:r>
              <w:rPr>
                <w:i/>
                <w:iCs/>
                <w:color w:val="auto"/>
                <w:sz w:val="18"/>
                <w:szCs w:val="18"/>
              </w:rPr>
              <w:t>p</w:t>
            </w:r>
            <w:r>
              <w:rPr>
                <w:color w:val="auto"/>
                <w:sz w:val="18"/>
                <w:szCs w:val="18"/>
                <w:vertAlign w:val="subscript"/>
              </w:rPr>
              <w:t>s</w:t>
            </w:r>
            <w:r>
              <w:rPr>
                <w:rFonts w:hAnsi="宋体"/>
                <w:color w:val="auto"/>
                <w:sz w:val="18"/>
                <w:szCs w:val="18"/>
              </w:rPr>
              <w:t>＞</w:t>
            </w:r>
            <w:r>
              <w:rPr>
                <w:color w:val="auto"/>
                <w:sz w:val="18"/>
                <w:szCs w:val="18"/>
              </w:rPr>
              <w:t>2.5</w:t>
            </w:r>
          </w:p>
        </w:tc>
        <w:tc>
          <w:tcPr>
            <w:tcW w:w="2858" w:type="dxa"/>
          </w:tcPr>
          <w:p w14:paraId="37BF813F">
            <w:pPr>
              <w:adjustRightInd w:val="0"/>
              <w:snapToGrid w:val="0"/>
              <w:spacing w:line="300" w:lineRule="exact"/>
              <w:jc w:val="center"/>
              <w:rPr>
                <w:color w:val="auto"/>
                <w:sz w:val="18"/>
                <w:szCs w:val="18"/>
              </w:rPr>
            </w:pPr>
            <w:r>
              <w:rPr>
                <w:rFonts w:hAnsi="宋体"/>
                <w:color w:val="auto"/>
                <w:sz w:val="18"/>
                <w:szCs w:val="18"/>
              </w:rPr>
              <w:t>密</w:t>
            </w:r>
            <w:r>
              <w:rPr>
                <w:color w:val="auto"/>
                <w:sz w:val="18"/>
                <w:szCs w:val="18"/>
              </w:rPr>
              <w:t xml:space="preserve">  </w:t>
            </w:r>
            <w:r>
              <w:rPr>
                <w:rFonts w:hAnsi="宋体"/>
                <w:color w:val="auto"/>
                <w:sz w:val="18"/>
                <w:szCs w:val="18"/>
              </w:rPr>
              <w:t>实</w:t>
            </w:r>
          </w:p>
        </w:tc>
      </w:tr>
    </w:tbl>
    <w:p w14:paraId="7C0C017D">
      <w:pPr>
        <w:adjustRightInd w:val="0"/>
        <w:snapToGrid w:val="0"/>
        <w:spacing w:before="240" w:line="340" w:lineRule="exact"/>
        <w:rPr>
          <w:color w:val="auto"/>
          <w:szCs w:val="21"/>
        </w:rPr>
      </w:pPr>
      <w:r>
        <w:rPr>
          <w:b/>
          <w:bCs/>
          <w:color w:val="auto"/>
          <w:szCs w:val="21"/>
        </w:rPr>
        <w:t>6.1.14</w:t>
      </w:r>
      <w:r>
        <w:rPr>
          <w:color w:val="auto"/>
          <w:szCs w:val="21"/>
        </w:rPr>
        <w:t xml:space="preserve">  </w:t>
      </w:r>
      <w:r>
        <w:rPr>
          <w:rFonts w:hAnsi="宋体"/>
          <w:color w:val="auto"/>
          <w:szCs w:val="21"/>
        </w:rPr>
        <w:t>淤泥为在静水或缓慢的流水环境中沉积</w:t>
      </w:r>
      <w:r>
        <w:rPr>
          <w:iCs/>
          <w:color w:val="auto"/>
          <w:szCs w:val="21"/>
        </w:rPr>
        <w:t>，</w:t>
      </w:r>
      <w:r>
        <w:rPr>
          <w:rFonts w:hAnsi="宋体"/>
          <w:color w:val="auto"/>
          <w:szCs w:val="21"/>
        </w:rPr>
        <w:t>并经生物化学作用形成</w:t>
      </w:r>
      <w:r>
        <w:rPr>
          <w:iCs/>
          <w:color w:val="auto"/>
          <w:szCs w:val="21"/>
        </w:rPr>
        <w:t>，</w:t>
      </w:r>
      <w:r>
        <w:rPr>
          <w:rFonts w:hAnsi="宋体"/>
          <w:color w:val="auto"/>
          <w:szCs w:val="21"/>
        </w:rPr>
        <w:t>其天然含水</w:t>
      </w:r>
      <w:r>
        <w:rPr>
          <w:rFonts w:hint="eastAsia" w:hAnsi="宋体"/>
          <w:color w:val="auto"/>
          <w:szCs w:val="21"/>
        </w:rPr>
        <w:t>量</w:t>
      </w:r>
      <w:r>
        <w:rPr>
          <w:rFonts w:hAnsi="宋体"/>
          <w:color w:val="auto"/>
          <w:szCs w:val="21"/>
        </w:rPr>
        <w:t>大于液限、天然孔隙比不小于</w:t>
      </w:r>
      <w:r>
        <w:rPr>
          <w:color w:val="auto"/>
          <w:szCs w:val="21"/>
        </w:rPr>
        <w:t>1.5</w:t>
      </w:r>
      <w:r>
        <w:rPr>
          <w:rFonts w:hAnsi="宋体"/>
          <w:color w:val="auto"/>
          <w:szCs w:val="21"/>
        </w:rPr>
        <w:t>的黏性土。天然含水</w:t>
      </w:r>
      <w:r>
        <w:rPr>
          <w:rFonts w:hint="eastAsia" w:hAnsi="宋体"/>
          <w:color w:val="auto"/>
          <w:szCs w:val="21"/>
        </w:rPr>
        <w:t>量</w:t>
      </w:r>
      <w:r>
        <w:rPr>
          <w:rFonts w:hAnsi="宋体"/>
          <w:color w:val="auto"/>
          <w:szCs w:val="21"/>
        </w:rPr>
        <w:t>大于液限、天然孔隙比小于</w:t>
      </w:r>
      <w:r>
        <w:rPr>
          <w:color w:val="auto"/>
          <w:szCs w:val="21"/>
        </w:rPr>
        <w:t>1.5</w:t>
      </w:r>
      <w:r>
        <w:rPr>
          <w:rFonts w:hAnsi="宋体"/>
          <w:color w:val="auto"/>
          <w:szCs w:val="21"/>
        </w:rPr>
        <w:t>但不小于</w:t>
      </w:r>
      <w:r>
        <w:rPr>
          <w:color w:val="auto"/>
          <w:szCs w:val="21"/>
        </w:rPr>
        <w:t>1.0</w:t>
      </w:r>
      <w:r>
        <w:rPr>
          <w:rFonts w:hAnsi="宋体"/>
          <w:color w:val="auto"/>
          <w:szCs w:val="21"/>
        </w:rPr>
        <w:t>的黏性土或粉土为淤泥质土。</w:t>
      </w:r>
    </w:p>
    <w:p w14:paraId="330B5B9C">
      <w:pPr>
        <w:adjustRightInd w:val="0"/>
        <w:snapToGrid w:val="0"/>
        <w:spacing w:line="340" w:lineRule="exact"/>
        <w:rPr>
          <w:color w:val="auto"/>
          <w:szCs w:val="21"/>
        </w:rPr>
      </w:pPr>
      <w:r>
        <w:rPr>
          <w:b/>
          <w:bCs/>
          <w:color w:val="auto"/>
          <w:szCs w:val="21"/>
        </w:rPr>
        <w:t>6.1.15</w:t>
      </w:r>
      <w:r>
        <w:rPr>
          <w:color w:val="auto"/>
          <w:szCs w:val="21"/>
        </w:rPr>
        <w:t xml:space="preserve">  </w:t>
      </w:r>
      <w:r>
        <w:rPr>
          <w:rFonts w:hAnsi="宋体"/>
          <w:color w:val="auto"/>
          <w:szCs w:val="21"/>
        </w:rPr>
        <w:t>由细粒土和粗粒土混杂且缺乏中间粒径的土应定名为混合土。</w:t>
      </w:r>
    </w:p>
    <w:p w14:paraId="2F020441">
      <w:pPr>
        <w:adjustRightInd w:val="0"/>
        <w:snapToGrid w:val="0"/>
        <w:spacing w:line="340" w:lineRule="exact"/>
        <w:rPr>
          <w:color w:val="auto"/>
          <w:szCs w:val="21"/>
        </w:rPr>
      </w:pPr>
      <w:r>
        <w:rPr>
          <w:color w:val="auto"/>
          <w:szCs w:val="21"/>
        </w:rPr>
        <w:t xml:space="preserve">    </w:t>
      </w:r>
      <w:r>
        <w:rPr>
          <w:rFonts w:hAnsi="宋体"/>
          <w:color w:val="auto"/>
          <w:szCs w:val="21"/>
        </w:rPr>
        <w:t>当碎石土中粒径小于</w:t>
      </w:r>
      <w:r>
        <w:rPr>
          <w:color w:val="auto"/>
          <w:szCs w:val="21"/>
        </w:rPr>
        <w:t>0.075</w:t>
      </w:r>
      <w:r>
        <w:rPr>
          <w:iCs/>
          <w:color w:val="auto"/>
          <w:szCs w:val="21"/>
        </w:rPr>
        <w:t>mm</w:t>
      </w:r>
      <w:r>
        <w:rPr>
          <w:rFonts w:hAnsi="宋体"/>
          <w:color w:val="auto"/>
          <w:szCs w:val="21"/>
        </w:rPr>
        <w:t>的细粒土质量超过总质量的</w:t>
      </w:r>
      <w:r>
        <w:rPr>
          <w:color w:val="auto"/>
          <w:szCs w:val="21"/>
        </w:rPr>
        <w:t>25%</w:t>
      </w:r>
      <w:r>
        <w:rPr>
          <w:rFonts w:hAnsi="宋体"/>
          <w:color w:val="auto"/>
          <w:szCs w:val="21"/>
        </w:rPr>
        <w:t>时，应定名为粗粒混合土；当粉土或黏性土中粒径大于</w:t>
      </w:r>
      <w:r>
        <w:rPr>
          <w:color w:val="auto"/>
          <w:szCs w:val="21"/>
        </w:rPr>
        <w:t>2mm</w:t>
      </w:r>
      <w:r>
        <w:rPr>
          <w:rFonts w:hAnsi="宋体"/>
          <w:color w:val="auto"/>
          <w:szCs w:val="21"/>
        </w:rPr>
        <w:t>的粗粒土质量超过总质量的</w:t>
      </w:r>
      <w:r>
        <w:rPr>
          <w:color w:val="auto"/>
          <w:szCs w:val="21"/>
        </w:rPr>
        <w:t>25%</w:t>
      </w:r>
      <w:r>
        <w:rPr>
          <w:rFonts w:hAnsi="宋体"/>
          <w:color w:val="auto"/>
          <w:szCs w:val="21"/>
        </w:rPr>
        <w:t>时，应定名为细粒混合土。</w:t>
      </w:r>
    </w:p>
    <w:p w14:paraId="303F0DF1">
      <w:pPr>
        <w:adjustRightInd w:val="0"/>
        <w:snapToGrid w:val="0"/>
        <w:spacing w:line="340" w:lineRule="exact"/>
        <w:rPr>
          <w:rFonts w:hAnsi="宋体"/>
          <w:color w:val="auto"/>
          <w:szCs w:val="21"/>
        </w:rPr>
      </w:pPr>
      <w:r>
        <w:rPr>
          <w:b/>
          <w:bCs/>
          <w:color w:val="auto"/>
          <w:szCs w:val="21"/>
        </w:rPr>
        <w:t>6.1.16</w:t>
      </w:r>
      <w:r>
        <w:rPr>
          <w:rFonts w:hint="eastAsia"/>
          <w:color w:val="auto"/>
          <w:szCs w:val="21"/>
        </w:rPr>
        <w:t>红黏土分为原生红黏土和次生红黏土。颜色为棕红或褐黄，覆盖于碳酸盐岩系之上</w:t>
      </w:r>
      <w:r>
        <w:rPr>
          <w:rFonts w:hint="eastAsia" w:hAnsi="宋体"/>
          <w:color w:val="auto"/>
          <w:szCs w:val="21"/>
        </w:rPr>
        <w:t>，</w:t>
      </w:r>
      <w:r>
        <w:rPr>
          <w:rFonts w:hAnsi="宋体"/>
          <w:color w:val="auto"/>
          <w:szCs w:val="21"/>
        </w:rPr>
        <w:t>其液限大于</w:t>
      </w:r>
      <w:r>
        <w:rPr>
          <w:rFonts w:hint="eastAsia" w:hAnsi="宋体"/>
          <w:color w:val="auto"/>
          <w:szCs w:val="21"/>
        </w:rPr>
        <w:t>或等于</w:t>
      </w:r>
      <w:r>
        <w:rPr>
          <w:color w:val="auto"/>
          <w:szCs w:val="21"/>
        </w:rPr>
        <w:t>50%</w:t>
      </w:r>
      <w:r>
        <w:rPr>
          <w:rFonts w:hint="eastAsia"/>
          <w:color w:val="auto"/>
          <w:szCs w:val="21"/>
        </w:rPr>
        <w:t>的高塑性黏土，应判定为原生红黏土</w:t>
      </w:r>
      <w:r>
        <w:rPr>
          <w:rFonts w:hAnsi="宋体"/>
          <w:color w:val="auto"/>
          <w:szCs w:val="21"/>
        </w:rPr>
        <w:t>。现场鉴别可按本文件附录表</w:t>
      </w:r>
      <w:r>
        <w:rPr>
          <w:color w:val="auto"/>
          <w:szCs w:val="21"/>
        </w:rPr>
        <w:t>A.7</w:t>
      </w:r>
      <w:r>
        <w:rPr>
          <w:rFonts w:hAnsi="宋体"/>
          <w:color w:val="auto"/>
          <w:szCs w:val="21"/>
        </w:rPr>
        <w:t>执行。红黏土经再搬运后仍保留其基本特征，其液限大于</w:t>
      </w:r>
      <w:r>
        <w:rPr>
          <w:color w:val="auto"/>
          <w:szCs w:val="21"/>
        </w:rPr>
        <w:t>45%</w:t>
      </w:r>
      <w:r>
        <w:rPr>
          <w:rFonts w:hAnsi="宋体"/>
          <w:color w:val="auto"/>
          <w:szCs w:val="21"/>
        </w:rPr>
        <w:t>的土为次生红黏土。</w:t>
      </w:r>
      <w:r>
        <w:rPr>
          <w:rFonts w:hint="eastAsia" w:hAnsi="宋体"/>
          <w:color w:val="auto"/>
          <w:szCs w:val="21"/>
        </w:rPr>
        <w:t>红黏土的状态除按液性指数判定外，尚可根据含水比按表</w:t>
      </w:r>
      <w:r>
        <w:rPr>
          <w:rFonts w:hAnsi="宋体"/>
          <w:color w:val="auto"/>
          <w:szCs w:val="21"/>
        </w:rPr>
        <w:t>15</w:t>
      </w:r>
      <w:r>
        <w:rPr>
          <w:rFonts w:hint="eastAsia" w:hAnsi="宋体"/>
          <w:color w:val="auto"/>
          <w:szCs w:val="21"/>
        </w:rPr>
        <w:t>划分。</w:t>
      </w:r>
    </w:p>
    <w:p w14:paraId="5C3701D5">
      <w:pPr>
        <w:spacing w:before="156" w:beforeLines="50" w:after="156" w:afterLines="50"/>
        <w:jc w:val="center"/>
        <w:rPr>
          <w:rFonts w:ascii="黑体" w:hAnsi="黑体" w:eastAsia="黑体" w:cs="黑体"/>
          <w:bCs/>
          <w:color w:val="auto"/>
          <w:szCs w:val="21"/>
        </w:rPr>
      </w:pPr>
      <w:r>
        <w:rPr>
          <w:rFonts w:hint="eastAsia" w:ascii="黑体" w:hAnsi="黑体" w:eastAsia="黑体" w:cs="黑体"/>
          <w:bCs/>
          <w:color w:val="auto"/>
          <w:szCs w:val="21"/>
        </w:rPr>
        <w:t>表</w:t>
      </w:r>
      <w:r>
        <w:rPr>
          <w:rFonts w:ascii="黑体" w:hAnsi="黑体" w:eastAsia="黑体" w:cs="黑体"/>
          <w:bCs/>
          <w:color w:val="auto"/>
          <w:szCs w:val="21"/>
        </w:rPr>
        <w:t>15</w:t>
      </w:r>
      <w:r>
        <w:rPr>
          <w:rFonts w:hint="eastAsia" w:ascii="黑体" w:hAnsi="黑体" w:eastAsia="黑体" w:cs="黑体"/>
          <w:bCs/>
          <w:color w:val="auto"/>
          <w:szCs w:val="21"/>
        </w:rPr>
        <w:t xml:space="preserve">  红黏土的状态分类</w:t>
      </w:r>
    </w:p>
    <w:tbl>
      <w:tblPr>
        <w:tblStyle w:val="3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Layout w:type="autofit"/>
        <w:tblCellMar>
          <w:top w:w="0" w:type="dxa"/>
          <w:left w:w="108" w:type="dxa"/>
          <w:bottom w:w="0" w:type="dxa"/>
          <w:right w:w="108" w:type="dxa"/>
        </w:tblCellMar>
      </w:tblPr>
      <w:tblGrid>
        <w:gridCol w:w="4684"/>
        <w:gridCol w:w="4685"/>
      </w:tblGrid>
      <w:tr w14:paraId="63EF6AB2">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7F972451">
            <w:pPr>
              <w:jc w:val="center"/>
              <w:rPr>
                <w:color w:val="auto"/>
                <w:sz w:val="18"/>
                <w:szCs w:val="18"/>
              </w:rPr>
            </w:pPr>
            <w:r>
              <w:rPr>
                <w:color w:val="auto"/>
                <w:sz w:val="18"/>
                <w:szCs w:val="18"/>
              </w:rPr>
              <w:t>含水比</w:t>
            </w:r>
            <w:r>
              <w:rPr>
                <w:i/>
                <w:iCs/>
                <w:color w:val="auto"/>
                <w:sz w:val="18"/>
                <w:szCs w:val="18"/>
              </w:rPr>
              <w:t>α</w:t>
            </w:r>
            <w:r>
              <w:rPr>
                <w:color w:val="auto"/>
                <w:sz w:val="18"/>
                <w:szCs w:val="18"/>
                <w:vertAlign w:val="subscript"/>
              </w:rPr>
              <w:t>w</w:t>
            </w:r>
          </w:p>
        </w:tc>
        <w:tc>
          <w:tcPr>
            <w:tcW w:w="4685" w:type="dxa"/>
            <w:tcBorders>
              <w:tl2br w:val="nil"/>
              <w:tr2bl w:val="nil"/>
            </w:tcBorders>
            <w:vAlign w:val="center"/>
          </w:tcPr>
          <w:p w14:paraId="3635DBFA">
            <w:pPr>
              <w:jc w:val="center"/>
              <w:rPr>
                <w:color w:val="auto"/>
                <w:sz w:val="18"/>
                <w:szCs w:val="18"/>
              </w:rPr>
            </w:pPr>
            <w:r>
              <w:rPr>
                <w:color w:val="auto"/>
                <w:sz w:val="18"/>
                <w:szCs w:val="18"/>
              </w:rPr>
              <w:t>状态</w:t>
            </w:r>
          </w:p>
        </w:tc>
      </w:tr>
      <w:tr w14:paraId="1D2D02E1">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5F13103A">
            <w:pPr>
              <w:jc w:val="center"/>
              <w:rPr>
                <w:color w:val="auto"/>
                <w:sz w:val="18"/>
                <w:szCs w:val="18"/>
              </w:rPr>
            </w:pPr>
            <w:r>
              <w:rPr>
                <w:i/>
                <w:iCs/>
                <w:color w:val="auto"/>
                <w:sz w:val="18"/>
                <w:szCs w:val="18"/>
              </w:rPr>
              <w:t>α</w:t>
            </w:r>
            <w:r>
              <w:rPr>
                <w:color w:val="auto"/>
                <w:sz w:val="18"/>
                <w:szCs w:val="18"/>
                <w:vertAlign w:val="subscript"/>
              </w:rPr>
              <w:t>w</w:t>
            </w:r>
            <w:r>
              <w:rPr>
                <w:color w:val="auto"/>
                <w:sz w:val="18"/>
                <w:szCs w:val="18"/>
              </w:rPr>
              <w:t>≤0.55</w:t>
            </w:r>
          </w:p>
        </w:tc>
        <w:tc>
          <w:tcPr>
            <w:tcW w:w="4685" w:type="dxa"/>
            <w:tcBorders>
              <w:tl2br w:val="nil"/>
              <w:tr2bl w:val="nil"/>
            </w:tcBorders>
            <w:vAlign w:val="center"/>
          </w:tcPr>
          <w:p w14:paraId="54D1F070">
            <w:pPr>
              <w:jc w:val="center"/>
              <w:rPr>
                <w:color w:val="auto"/>
                <w:sz w:val="18"/>
                <w:szCs w:val="18"/>
              </w:rPr>
            </w:pPr>
            <w:r>
              <w:rPr>
                <w:color w:val="auto"/>
                <w:sz w:val="18"/>
                <w:szCs w:val="18"/>
              </w:rPr>
              <w:t>坚硬</w:t>
            </w:r>
          </w:p>
        </w:tc>
      </w:tr>
      <w:tr w14:paraId="74D68081">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2D01E527">
            <w:pPr>
              <w:jc w:val="center"/>
              <w:rPr>
                <w:color w:val="auto"/>
                <w:sz w:val="18"/>
                <w:szCs w:val="18"/>
              </w:rPr>
            </w:pPr>
            <w:r>
              <w:rPr>
                <w:color w:val="auto"/>
                <w:sz w:val="18"/>
                <w:szCs w:val="18"/>
              </w:rPr>
              <w:t>0.55＜</w:t>
            </w:r>
            <w:r>
              <w:rPr>
                <w:i/>
                <w:iCs/>
                <w:color w:val="auto"/>
                <w:sz w:val="18"/>
                <w:szCs w:val="18"/>
              </w:rPr>
              <w:t>α</w:t>
            </w:r>
            <w:r>
              <w:rPr>
                <w:color w:val="auto"/>
                <w:sz w:val="18"/>
                <w:szCs w:val="18"/>
                <w:vertAlign w:val="subscript"/>
              </w:rPr>
              <w:t>w</w:t>
            </w:r>
            <w:r>
              <w:rPr>
                <w:color w:val="auto"/>
                <w:sz w:val="18"/>
                <w:szCs w:val="18"/>
              </w:rPr>
              <w:t>≤0.70</w:t>
            </w:r>
          </w:p>
        </w:tc>
        <w:tc>
          <w:tcPr>
            <w:tcW w:w="4685" w:type="dxa"/>
            <w:tcBorders>
              <w:tl2br w:val="nil"/>
              <w:tr2bl w:val="nil"/>
            </w:tcBorders>
            <w:vAlign w:val="center"/>
          </w:tcPr>
          <w:p w14:paraId="7E6F4843">
            <w:pPr>
              <w:jc w:val="center"/>
              <w:rPr>
                <w:color w:val="auto"/>
                <w:sz w:val="18"/>
                <w:szCs w:val="18"/>
              </w:rPr>
            </w:pPr>
            <w:r>
              <w:rPr>
                <w:color w:val="auto"/>
                <w:sz w:val="18"/>
                <w:szCs w:val="18"/>
              </w:rPr>
              <w:t>硬塑</w:t>
            </w:r>
          </w:p>
        </w:tc>
      </w:tr>
      <w:tr w14:paraId="68F2FBD0">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7601A970">
            <w:pPr>
              <w:jc w:val="center"/>
              <w:rPr>
                <w:color w:val="auto"/>
                <w:sz w:val="18"/>
                <w:szCs w:val="18"/>
              </w:rPr>
            </w:pPr>
            <w:r>
              <w:rPr>
                <w:color w:val="auto"/>
                <w:sz w:val="18"/>
                <w:szCs w:val="18"/>
              </w:rPr>
              <w:t>0.70＜</w:t>
            </w:r>
            <w:r>
              <w:rPr>
                <w:i/>
                <w:iCs/>
                <w:color w:val="auto"/>
                <w:sz w:val="18"/>
                <w:szCs w:val="18"/>
              </w:rPr>
              <w:t>α</w:t>
            </w:r>
            <w:r>
              <w:rPr>
                <w:color w:val="auto"/>
                <w:sz w:val="18"/>
                <w:szCs w:val="18"/>
                <w:vertAlign w:val="subscript"/>
              </w:rPr>
              <w:t>w</w:t>
            </w:r>
            <w:r>
              <w:rPr>
                <w:color w:val="auto"/>
                <w:sz w:val="18"/>
                <w:szCs w:val="18"/>
              </w:rPr>
              <w:t>≤0.85</w:t>
            </w:r>
          </w:p>
        </w:tc>
        <w:tc>
          <w:tcPr>
            <w:tcW w:w="4685" w:type="dxa"/>
            <w:tcBorders>
              <w:tl2br w:val="nil"/>
              <w:tr2bl w:val="nil"/>
            </w:tcBorders>
            <w:vAlign w:val="center"/>
          </w:tcPr>
          <w:p w14:paraId="492BA345">
            <w:pPr>
              <w:jc w:val="center"/>
              <w:rPr>
                <w:color w:val="auto"/>
                <w:sz w:val="18"/>
                <w:szCs w:val="18"/>
              </w:rPr>
            </w:pPr>
            <w:r>
              <w:rPr>
                <w:color w:val="auto"/>
                <w:sz w:val="18"/>
                <w:szCs w:val="18"/>
              </w:rPr>
              <w:t>可塑</w:t>
            </w:r>
          </w:p>
        </w:tc>
      </w:tr>
      <w:tr w14:paraId="6B272DA6">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4F3D0016">
            <w:pPr>
              <w:jc w:val="center"/>
              <w:rPr>
                <w:color w:val="auto"/>
                <w:sz w:val="18"/>
                <w:szCs w:val="18"/>
              </w:rPr>
            </w:pPr>
            <w:r>
              <w:rPr>
                <w:color w:val="auto"/>
                <w:sz w:val="18"/>
                <w:szCs w:val="18"/>
              </w:rPr>
              <w:t>0.85＜</w:t>
            </w:r>
            <w:r>
              <w:rPr>
                <w:i/>
                <w:iCs/>
                <w:color w:val="auto"/>
                <w:sz w:val="18"/>
                <w:szCs w:val="18"/>
              </w:rPr>
              <w:t>α</w:t>
            </w:r>
            <w:r>
              <w:rPr>
                <w:color w:val="auto"/>
                <w:sz w:val="18"/>
                <w:szCs w:val="18"/>
                <w:vertAlign w:val="subscript"/>
              </w:rPr>
              <w:t>w</w:t>
            </w:r>
            <w:r>
              <w:rPr>
                <w:color w:val="auto"/>
                <w:sz w:val="18"/>
                <w:szCs w:val="18"/>
              </w:rPr>
              <w:t>≤1.00</w:t>
            </w:r>
          </w:p>
        </w:tc>
        <w:tc>
          <w:tcPr>
            <w:tcW w:w="4685" w:type="dxa"/>
            <w:tcBorders>
              <w:tl2br w:val="nil"/>
              <w:tr2bl w:val="nil"/>
            </w:tcBorders>
            <w:vAlign w:val="center"/>
          </w:tcPr>
          <w:p w14:paraId="531DD2B7">
            <w:pPr>
              <w:jc w:val="center"/>
              <w:rPr>
                <w:color w:val="auto"/>
                <w:sz w:val="18"/>
                <w:szCs w:val="18"/>
              </w:rPr>
            </w:pPr>
            <w:r>
              <w:rPr>
                <w:color w:val="auto"/>
                <w:sz w:val="18"/>
                <w:szCs w:val="18"/>
              </w:rPr>
              <w:t>软塑</w:t>
            </w:r>
          </w:p>
        </w:tc>
      </w:tr>
      <w:tr w14:paraId="7926D284">
        <w:tblPrEx>
          <w:tblBorders>
            <w:top w:val="single" w:color="auto" w:sz="2" w:space="0"/>
            <w:left w:val="single" w:color="auto" w:sz="2" w:space="0"/>
            <w:bottom w:val="single" w:color="auto" w:sz="2" w:space="0"/>
            <w:right w:val="single" w:color="auto" w:sz="2" w:space="0"/>
            <w:insideH w:val="single" w:color="auto" w:sz="2" w:space="0"/>
            <w:insideV w:val="single" w:color="auto" w:sz="4" w:space="0"/>
          </w:tblBorders>
          <w:tblCellMar>
            <w:top w:w="0" w:type="dxa"/>
            <w:left w:w="108" w:type="dxa"/>
            <w:bottom w:w="0" w:type="dxa"/>
            <w:right w:w="108" w:type="dxa"/>
          </w:tblCellMar>
        </w:tblPrEx>
        <w:trPr>
          <w:jc w:val="center"/>
        </w:trPr>
        <w:tc>
          <w:tcPr>
            <w:tcW w:w="4684" w:type="dxa"/>
            <w:tcBorders>
              <w:tl2br w:val="nil"/>
              <w:tr2bl w:val="nil"/>
            </w:tcBorders>
            <w:vAlign w:val="center"/>
          </w:tcPr>
          <w:p w14:paraId="14851524">
            <w:pPr>
              <w:jc w:val="center"/>
              <w:rPr>
                <w:color w:val="auto"/>
                <w:sz w:val="18"/>
                <w:szCs w:val="18"/>
              </w:rPr>
            </w:pPr>
            <w:r>
              <w:rPr>
                <w:i/>
                <w:iCs/>
                <w:color w:val="auto"/>
                <w:sz w:val="18"/>
                <w:szCs w:val="18"/>
              </w:rPr>
              <w:t>α</w:t>
            </w:r>
            <w:r>
              <w:rPr>
                <w:color w:val="auto"/>
                <w:sz w:val="18"/>
                <w:szCs w:val="18"/>
                <w:vertAlign w:val="subscript"/>
              </w:rPr>
              <w:t>w</w:t>
            </w:r>
            <w:r>
              <w:rPr>
                <w:color w:val="auto"/>
                <w:sz w:val="18"/>
                <w:szCs w:val="18"/>
              </w:rPr>
              <w:t>＞1.00</w:t>
            </w:r>
          </w:p>
        </w:tc>
        <w:tc>
          <w:tcPr>
            <w:tcW w:w="4685" w:type="dxa"/>
            <w:tcBorders>
              <w:tl2br w:val="nil"/>
              <w:tr2bl w:val="nil"/>
            </w:tcBorders>
            <w:vAlign w:val="center"/>
          </w:tcPr>
          <w:p w14:paraId="30F10E49">
            <w:pPr>
              <w:jc w:val="center"/>
              <w:rPr>
                <w:color w:val="auto"/>
                <w:sz w:val="18"/>
                <w:szCs w:val="18"/>
              </w:rPr>
            </w:pPr>
            <w:r>
              <w:rPr>
                <w:color w:val="auto"/>
                <w:sz w:val="18"/>
                <w:szCs w:val="18"/>
              </w:rPr>
              <w:t>流塑</w:t>
            </w:r>
          </w:p>
        </w:tc>
      </w:tr>
    </w:tbl>
    <w:p w14:paraId="108F1DF8">
      <w:pPr>
        <w:adjustRightInd w:val="0"/>
        <w:snapToGrid w:val="0"/>
        <w:spacing w:line="340" w:lineRule="exact"/>
        <w:rPr>
          <w:color w:val="auto"/>
          <w:szCs w:val="21"/>
        </w:rPr>
      </w:pPr>
      <w:r>
        <w:rPr>
          <w:b/>
          <w:bCs/>
          <w:color w:val="auto"/>
          <w:szCs w:val="21"/>
        </w:rPr>
        <w:t>6.1.17</w:t>
      </w:r>
      <w:r>
        <w:rPr>
          <w:color w:val="auto"/>
          <w:szCs w:val="21"/>
        </w:rPr>
        <w:t xml:space="preserve">  </w:t>
      </w:r>
      <w:r>
        <w:rPr>
          <w:rFonts w:hAnsi="宋体"/>
          <w:color w:val="auto"/>
          <w:szCs w:val="21"/>
        </w:rPr>
        <w:t>人工填土根据其组成和成因，可分为素填土、压实填土、杂填土、冲填土。</w:t>
      </w:r>
    </w:p>
    <w:p w14:paraId="1E45B66D">
      <w:pPr>
        <w:adjustRightInd w:val="0"/>
        <w:snapToGrid w:val="0"/>
        <w:spacing w:line="340" w:lineRule="exact"/>
        <w:ind w:firstLine="420" w:firstLineChars="200"/>
        <w:rPr>
          <w:color w:val="auto"/>
          <w:szCs w:val="21"/>
        </w:rPr>
      </w:pPr>
      <w:r>
        <w:rPr>
          <w:rFonts w:hAnsi="宋体"/>
          <w:color w:val="auto"/>
          <w:szCs w:val="21"/>
        </w:rPr>
        <w:t>素填土为由碎石土、砂土、粉土、黏性土等组成的填土。经过压实或夯实的填土为压实填土。杂填土为含有建筑垃圾、工业废料、生活垃圾等杂物的填土。冲填土为由水力冲填泥砂形成的填土。</w:t>
      </w:r>
    </w:p>
    <w:p w14:paraId="3428B582">
      <w:pPr>
        <w:adjustRightInd w:val="0"/>
        <w:snapToGrid w:val="0"/>
        <w:spacing w:line="340" w:lineRule="exact"/>
        <w:rPr>
          <w:color w:val="auto"/>
          <w:szCs w:val="21"/>
        </w:rPr>
      </w:pPr>
      <w:r>
        <w:rPr>
          <w:b/>
          <w:bCs/>
          <w:color w:val="auto"/>
          <w:szCs w:val="21"/>
        </w:rPr>
        <w:t>6.1.18</w:t>
      </w:r>
      <w:r>
        <w:rPr>
          <w:color w:val="auto"/>
          <w:szCs w:val="21"/>
        </w:rPr>
        <w:t xml:space="preserve">  </w:t>
      </w:r>
      <w:r>
        <w:rPr>
          <w:rFonts w:hAnsi="宋体"/>
          <w:color w:val="auto"/>
          <w:szCs w:val="21"/>
        </w:rPr>
        <w:t>膨胀土为土中黏粒成分主要由亲水性矿物组成，同时具有显著的吸水膨胀和失水收缩特性，其自由膨胀率大于或等于</w:t>
      </w:r>
      <w:r>
        <w:rPr>
          <w:color w:val="auto"/>
          <w:szCs w:val="21"/>
        </w:rPr>
        <w:t>40%</w:t>
      </w:r>
      <w:r>
        <w:rPr>
          <w:rFonts w:hAnsi="宋体"/>
          <w:color w:val="auto"/>
          <w:szCs w:val="21"/>
        </w:rPr>
        <w:t>的黏性土。现场鉴别可按本文件附录表</w:t>
      </w:r>
      <w:r>
        <w:rPr>
          <w:color w:val="auto"/>
          <w:szCs w:val="21"/>
        </w:rPr>
        <w:t>A.8</w:t>
      </w:r>
      <w:r>
        <w:rPr>
          <w:rFonts w:hAnsi="宋体"/>
          <w:color w:val="auto"/>
          <w:szCs w:val="21"/>
        </w:rPr>
        <w:t>执行。</w:t>
      </w:r>
    </w:p>
    <w:p w14:paraId="4FEFA414">
      <w:pPr>
        <w:adjustRightInd w:val="0"/>
        <w:snapToGrid w:val="0"/>
        <w:spacing w:line="340" w:lineRule="exact"/>
        <w:rPr>
          <w:color w:val="auto"/>
          <w:szCs w:val="21"/>
        </w:rPr>
      </w:pPr>
      <w:r>
        <w:rPr>
          <w:b/>
          <w:bCs/>
          <w:color w:val="auto"/>
          <w:szCs w:val="21"/>
        </w:rPr>
        <w:t>6.1.19</w:t>
      </w:r>
      <w:r>
        <w:rPr>
          <w:color w:val="auto"/>
          <w:szCs w:val="21"/>
        </w:rPr>
        <w:t xml:space="preserve">  </w:t>
      </w:r>
      <w:r>
        <w:rPr>
          <w:rFonts w:hAnsi="宋体"/>
          <w:color w:val="auto"/>
          <w:szCs w:val="21"/>
        </w:rPr>
        <w:t>残积土为由母岩完全风化而成且未经搬运的土，现场鉴别可按本文件附录表</w:t>
      </w:r>
      <w:r>
        <w:rPr>
          <w:iCs/>
          <w:color w:val="auto"/>
          <w:szCs w:val="21"/>
        </w:rPr>
        <w:t>A</w:t>
      </w:r>
      <w:r>
        <w:rPr>
          <w:color w:val="auto"/>
          <w:szCs w:val="21"/>
        </w:rPr>
        <w:t>.9</w:t>
      </w:r>
      <w:r>
        <w:rPr>
          <w:rFonts w:hAnsi="宋体"/>
          <w:color w:val="auto"/>
          <w:szCs w:val="21"/>
        </w:rPr>
        <w:t>执行。残积土与强风化岩可</w:t>
      </w:r>
      <w:r>
        <w:rPr>
          <w:rFonts w:hint="eastAsia" w:hAnsi="宋体"/>
          <w:color w:val="auto"/>
          <w:szCs w:val="21"/>
        </w:rPr>
        <w:t>根据标准贯入试验锤击数和剪切波速</w:t>
      </w:r>
      <w:r>
        <w:rPr>
          <w:rFonts w:hAnsi="宋体"/>
          <w:color w:val="auto"/>
          <w:szCs w:val="21"/>
        </w:rPr>
        <w:t>按表</w:t>
      </w:r>
      <w:r>
        <w:rPr>
          <w:color w:val="auto"/>
          <w:szCs w:val="21"/>
        </w:rPr>
        <w:t>16</w:t>
      </w:r>
      <w:r>
        <w:rPr>
          <w:rFonts w:hAnsi="宋体"/>
          <w:color w:val="auto"/>
          <w:szCs w:val="21"/>
        </w:rPr>
        <w:t>划分。</w:t>
      </w:r>
    </w:p>
    <w:p w14:paraId="5CF7C747">
      <w:pPr>
        <w:adjustRightInd w:val="0"/>
        <w:snapToGrid w:val="0"/>
        <w:spacing w:before="240" w:after="62" w:afterLines="20" w:line="240" w:lineRule="atLeast"/>
        <w:jc w:val="center"/>
        <w:rPr>
          <w:rFonts w:eastAsia="黑体"/>
          <w:b/>
          <w:bCs/>
          <w:color w:val="auto"/>
          <w:szCs w:val="21"/>
        </w:rPr>
      </w:pPr>
      <w:r>
        <w:rPr>
          <w:rFonts w:eastAsia="黑体"/>
          <w:b/>
          <w:bCs/>
          <w:color w:val="auto"/>
          <w:szCs w:val="21"/>
        </w:rPr>
        <w:t>表16</w:t>
      </w:r>
      <w:r>
        <w:rPr>
          <w:rFonts w:hint="eastAsia" w:eastAsia="黑体"/>
          <w:b/>
          <w:bCs/>
          <w:color w:val="auto"/>
          <w:szCs w:val="21"/>
        </w:rPr>
        <w:t xml:space="preserve">  </w:t>
      </w:r>
      <w:r>
        <w:rPr>
          <w:rFonts w:eastAsia="黑体"/>
          <w:b/>
          <w:bCs/>
          <w:color w:val="auto"/>
          <w:szCs w:val="21"/>
        </w:rPr>
        <w:t>残积土与强风化岩的划分</w:t>
      </w:r>
    </w:p>
    <w:tbl>
      <w:tblPr>
        <w:tblStyle w:val="36"/>
        <w:tblW w:w="925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6"/>
        <w:gridCol w:w="1770"/>
        <w:gridCol w:w="1833"/>
        <w:gridCol w:w="1736"/>
        <w:gridCol w:w="1625"/>
      </w:tblGrid>
      <w:tr w14:paraId="2A602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86" w:type="dxa"/>
            <w:vMerge w:val="restart"/>
            <w:vAlign w:val="center"/>
          </w:tcPr>
          <w:p w14:paraId="43FCCA7A">
            <w:pPr>
              <w:adjustRightInd w:val="0"/>
              <w:snapToGrid w:val="0"/>
              <w:spacing w:line="260" w:lineRule="exact"/>
              <w:jc w:val="center"/>
              <w:rPr>
                <w:color w:val="auto"/>
                <w:sz w:val="18"/>
                <w:szCs w:val="18"/>
              </w:rPr>
            </w:pPr>
            <w:r>
              <w:rPr>
                <w:rFonts w:hAnsi="宋体"/>
                <w:color w:val="auto"/>
                <w:sz w:val="18"/>
                <w:szCs w:val="18"/>
              </w:rPr>
              <w:t>判别指标</w:t>
            </w:r>
          </w:p>
        </w:tc>
        <w:tc>
          <w:tcPr>
            <w:tcW w:w="3603" w:type="dxa"/>
            <w:gridSpan w:val="2"/>
            <w:vAlign w:val="center"/>
          </w:tcPr>
          <w:p w14:paraId="7BBFA90A">
            <w:pPr>
              <w:adjustRightInd w:val="0"/>
              <w:snapToGrid w:val="0"/>
              <w:spacing w:line="260" w:lineRule="exact"/>
              <w:jc w:val="center"/>
              <w:rPr>
                <w:color w:val="auto"/>
                <w:sz w:val="18"/>
                <w:szCs w:val="18"/>
              </w:rPr>
            </w:pPr>
            <w:r>
              <w:rPr>
                <w:rFonts w:hAnsi="宋体"/>
                <w:color w:val="auto"/>
                <w:sz w:val="18"/>
                <w:szCs w:val="18"/>
              </w:rPr>
              <w:t>沉</w:t>
            </w:r>
            <w:r>
              <w:rPr>
                <w:color w:val="auto"/>
                <w:sz w:val="18"/>
                <w:szCs w:val="18"/>
              </w:rPr>
              <w:t xml:space="preserve"> </w:t>
            </w:r>
            <w:r>
              <w:rPr>
                <w:rFonts w:hAnsi="宋体"/>
                <w:color w:val="auto"/>
                <w:sz w:val="18"/>
                <w:szCs w:val="18"/>
              </w:rPr>
              <w:t>积</w:t>
            </w:r>
            <w:r>
              <w:rPr>
                <w:color w:val="auto"/>
                <w:sz w:val="18"/>
                <w:szCs w:val="18"/>
              </w:rPr>
              <w:t xml:space="preserve"> </w:t>
            </w:r>
            <w:r>
              <w:rPr>
                <w:rFonts w:hAnsi="宋体"/>
                <w:color w:val="auto"/>
                <w:sz w:val="18"/>
                <w:szCs w:val="18"/>
              </w:rPr>
              <w:t>岩</w:t>
            </w:r>
            <w:r>
              <w:rPr>
                <w:color w:val="auto"/>
                <w:sz w:val="18"/>
                <w:szCs w:val="18"/>
              </w:rPr>
              <w:t xml:space="preserve"> </w:t>
            </w:r>
            <w:r>
              <w:rPr>
                <w:rFonts w:hAnsi="宋体"/>
                <w:color w:val="auto"/>
                <w:sz w:val="18"/>
                <w:szCs w:val="18"/>
              </w:rPr>
              <w:t>类</w:t>
            </w:r>
          </w:p>
        </w:tc>
        <w:tc>
          <w:tcPr>
            <w:tcW w:w="3361" w:type="dxa"/>
            <w:gridSpan w:val="2"/>
            <w:vAlign w:val="center"/>
          </w:tcPr>
          <w:p w14:paraId="5B977C63">
            <w:pPr>
              <w:adjustRightInd w:val="0"/>
              <w:snapToGrid w:val="0"/>
              <w:spacing w:line="260" w:lineRule="exact"/>
              <w:jc w:val="center"/>
              <w:rPr>
                <w:color w:val="auto"/>
                <w:sz w:val="18"/>
                <w:szCs w:val="18"/>
              </w:rPr>
            </w:pPr>
            <w:r>
              <w:rPr>
                <w:rFonts w:hAnsi="宋体"/>
                <w:color w:val="auto"/>
                <w:sz w:val="18"/>
                <w:szCs w:val="18"/>
              </w:rPr>
              <w:t>花</w:t>
            </w:r>
            <w:r>
              <w:rPr>
                <w:color w:val="auto"/>
                <w:sz w:val="18"/>
                <w:szCs w:val="18"/>
              </w:rPr>
              <w:t xml:space="preserve"> </w:t>
            </w:r>
            <w:r>
              <w:rPr>
                <w:rFonts w:hAnsi="宋体"/>
                <w:color w:val="auto"/>
                <w:sz w:val="18"/>
                <w:szCs w:val="18"/>
              </w:rPr>
              <w:t>岗</w:t>
            </w:r>
            <w:r>
              <w:rPr>
                <w:color w:val="auto"/>
                <w:sz w:val="18"/>
                <w:szCs w:val="18"/>
              </w:rPr>
              <w:t xml:space="preserve"> </w:t>
            </w:r>
            <w:r>
              <w:rPr>
                <w:rFonts w:hAnsi="宋体"/>
                <w:color w:val="auto"/>
                <w:sz w:val="18"/>
                <w:szCs w:val="18"/>
              </w:rPr>
              <w:t>岩</w:t>
            </w:r>
            <w:r>
              <w:rPr>
                <w:color w:val="auto"/>
                <w:sz w:val="18"/>
                <w:szCs w:val="18"/>
              </w:rPr>
              <w:t xml:space="preserve"> </w:t>
            </w:r>
            <w:r>
              <w:rPr>
                <w:rFonts w:hAnsi="宋体"/>
                <w:color w:val="auto"/>
                <w:sz w:val="18"/>
                <w:szCs w:val="18"/>
              </w:rPr>
              <w:t>类</w:t>
            </w:r>
          </w:p>
        </w:tc>
      </w:tr>
      <w:tr w14:paraId="3C2A8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86" w:type="dxa"/>
            <w:vMerge w:val="continue"/>
            <w:vAlign w:val="center"/>
          </w:tcPr>
          <w:p w14:paraId="5FCC7D48">
            <w:pPr>
              <w:adjustRightInd w:val="0"/>
              <w:snapToGrid w:val="0"/>
              <w:spacing w:line="260" w:lineRule="exact"/>
              <w:jc w:val="center"/>
              <w:rPr>
                <w:color w:val="auto"/>
                <w:sz w:val="18"/>
                <w:szCs w:val="18"/>
              </w:rPr>
            </w:pPr>
          </w:p>
        </w:tc>
        <w:tc>
          <w:tcPr>
            <w:tcW w:w="1770" w:type="dxa"/>
            <w:vAlign w:val="center"/>
          </w:tcPr>
          <w:p w14:paraId="69367227">
            <w:pPr>
              <w:adjustRightInd w:val="0"/>
              <w:snapToGrid w:val="0"/>
              <w:spacing w:line="260" w:lineRule="exact"/>
              <w:jc w:val="center"/>
              <w:rPr>
                <w:color w:val="auto"/>
                <w:sz w:val="18"/>
                <w:szCs w:val="18"/>
              </w:rPr>
            </w:pPr>
            <w:r>
              <w:rPr>
                <w:rFonts w:hAnsi="宋体"/>
                <w:color w:val="auto"/>
                <w:sz w:val="18"/>
                <w:szCs w:val="18"/>
              </w:rPr>
              <w:t>强风化岩石</w:t>
            </w:r>
          </w:p>
        </w:tc>
        <w:tc>
          <w:tcPr>
            <w:tcW w:w="1833" w:type="dxa"/>
            <w:vAlign w:val="center"/>
          </w:tcPr>
          <w:p w14:paraId="10B8A306">
            <w:pPr>
              <w:adjustRightInd w:val="0"/>
              <w:snapToGrid w:val="0"/>
              <w:spacing w:line="260" w:lineRule="exact"/>
              <w:jc w:val="center"/>
              <w:rPr>
                <w:color w:val="auto"/>
                <w:sz w:val="18"/>
                <w:szCs w:val="18"/>
              </w:rPr>
            </w:pPr>
            <w:r>
              <w:rPr>
                <w:rFonts w:hAnsi="宋体"/>
                <w:color w:val="auto"/>
                <w:sz w:val="18"/>
                <w:szCs w:val="18"/>
              </w:rPr>
              <w:t>残</w:t>
            </w:r>
            <w:r>
              <w:rPr>
                <w:color w:val="auto"/>
                <w:sz w:val="18"/>
                <w:szCs w:val="18"/>
              </w:rPr>
              <w:t xml:space="preserve"> </w:t>
            </w:r>
            <w:r>
              <w:rPr>
                <w:rFonts w:hAnsi="宋体"/>
                <w:color w:val="auto"/>
                <w:sz w:val="18"/>
                <w:szCs w:val="18"/>
              </w:rPr>
              <w:t>积</w:t>
            </w:r>
            <w:r>
              <w:rPr>
                <w:color w:val="auto"/>
                <w:sz w:val="18"/>
                <w:szCs w:val="18"/>
              </w:rPr>
              <w:t xml:space="preserve"> </w:t>
            </w:r>
            <w:r>
              <w:rPr>
                <w:rFonts w:hAnsi="宋体"/>
                <w:color w:val="auto"/>
                <w:sz w:val="18"/>
                <w:szCs w:val="18"/>
              </w:rPr>
              <w:t>土</w:t>
            </w:r>
          </w:p>
        </w:tc>
        <w:tc>
          <w:tcPr>
            <w:tcW w:w="1736" w:type="dxa"/>
            <w:vAlign w:val="center"/>
          </w:tcPr>
          <w:p w14:paraId="545407CE">
            <w:pPr>
              <w:adjustRightInd w:val="0"/>
              <w:snapToGrid w:val="0"/>
              <w:spacing w:line="260" w:lineRule="exact"/>
              <w:jc w:val="center"/>
              <w:rPr>
                <w:color w:val="auto"/>
                <w:sz w:val="18"/>
                <w:szCs w:val="18"/>
              </w:rPr>
            </w:pPr>
            <w:r>
              <w:rPr>
                <w:rFonts w:hAnsi="宋体"/>
                <w:color w:val="auto"/>
                <w:sz w:val="18"/>
                <w:szCs w:val="18"/>
              </w:rPr>
              <w:t>强风化岩石</w:t>
            </w:r>
          </w:p>
        </w:tc>
        <w:tc>
          <w:tcPr>
            <w:tcW w:w="1625" w:type="dxa"/>
            <w:vAlign w:val="center"/>
          </w:tcPr>
          <w:p w14:paraId="0714C4C7">
            <w:pPr>
              <w:adjustRightInd w:val="0"/>
              <w:snapToGrid w:val="0"/>
              <w:spacing w:line="260" w:lineRule="exact"/>
              <w:jc w:val="center"/>
              <w:rPr>
                <w:color w:val="auto"/>
                <w:sz w:val="18"/>
                <w:szCs w:val="18"/>
              </w:rPr>
            </w:pPr>
            <w:r>
              <w:rPr>
                <w:rFonts w:hAnsi="宋体"/>
                <w:color w:val="auto"/>
                <w:sz w:val="18"/>
                <w:szCs w:val="18"/>
              </w:rPr>
              <w:t>残</w:t>
            </w:r>
            <w:r>
              <w:rPr>
                <w:color w:val="auto"/>
                <w:sz w:val="18"/>
                <w:szCs w:val="18"/>
              </w:rPr>
              <w:t xml:space="preserve"> </w:t>
            </w:r>
            <w:r>
              <w:rPr>
                <w:rFonts w:hAnsi="宋体"/>
                <w:color w:val="auto"/>
                <w:sz w:val="18"/>
                <w:szCs w:val="18"/>
              </w:rPr>
              <w:t>积</w:t>
            </w:r>
            <w:r>
              <w:rPr>
                <w:color w:val="auto"/>
                <w:sz w:val="18"/>
                <w:szCs w:val="18"/>
              </w:rPr>
              <w:t xml:space="preserve"> </w:t>
            </w:r>
            <w:r>
              <w:rPr>
                <w:rFonts w:hAnsi="宋体"/>
                <w:color w:val="auto"/>
                <w:sz w:val="18"/>
                <w:szCs w:val="18"/>
              </w:rPr>
              <w:t>土</w:t>
            </w:r>
          </w:p>
        </w:tc>
      </w:tr>
      <w:tr w14:paraId="549D06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86" w:type="dxa"/>
            <w:vAlign w:val="center"/>
          </w:tcPr>
          <w:p w14:paraId="32BE5E56">
            <w:pPr>
              <w:adjustRightInd w:val="0"/>
              <w:snapToGrid w:val="0"/>
              <w:spacing w:line="260" w:lineRule="exact"/>
              <w:jc w:val="center"/>
              <w:rPr>
                <w:color w:val="auto"/>
                <w:sz w:val="18"/>
                <w:szCs w:val="18"/>
              </w:rPr>
            </w:pPr>
            <w:r>
              <w:rPr>
                <w:rFonts w:hAnsi="宋体"/>
                <w:color w:val="auto"/>
                <w:sz w:val="18"/>
                <w:szCs w:val="18"/>
              </w:rPr>
              <w:t>标准贯入</w:t>
            </w:r>
            <w:r>
              <w:rPr>
                <w:rFonts w:hint="eastAsia" w:hAnsi="宋体"/>
                <w:color w:val="auto"/>
                <w:sz w:val="18"/>
                <w:szCs w:val="18"/>
              </w:rPr>
              <w:t>试验</w:t>
            </w:r>
            <w:r>
              <w:rPr>
                <w:rFonts w:hAnsi="宋体"/>
                <w:color w:val="auto"/>
                <w:sz w:val="18"/>
                <w:szCs w:val="18"/>
              </w:rPr>
              <w:t>锤击数</w:t>
            </w:r>
            <w:r>
              <w:rPr>
                <w:i/>
                <w:iCs/>
                <w:color w:val="auto"/>
                <w:sz w:val="18"/>
                <w:szCs w:val="18"/>
              </w:rPr>
              <w:t>N</w:t>
            </w:r>
          </w:p>
        </w:tc>
        <w:tc>
          <w:tcPr>
            <w:tcW w:w="1770" w:type="dxa"/>
            <w:vAlign w:val="center"/>
          </w:tcPr>
          <w:p w14:paraId="789FDF9B">
            <w:pPr>
              <w:adjustRightInd w:val="0"/>
              <w:snapToGrid w:val="0"/>
              <w:spacing w:line="260" w:lineRule="exact"/>
              <w:jc w:val="center"/>
              <w:rPr>
                <w:color w:val="auto"/>
                <w:sz w:val="18"/>
                <w:szCs w:val="18"/>
              </w:rPr>
            </w:pPr>
            <w:r>
              <w:rPr>
                <w:i/>
                <w:iCs/>
                <w:color w:val="auto"/>
                <w:sz w:val="18"/>
                <w:szCs w:val="18"/>
              </w:rPr>
              <w:t>N</w:t>
            </w:r>
            <w:r>
              <w:rPr>
                <w:color w:val="auto"/>
                <w:sz w:val="18"/>
                <w:szCs w:val="18"/>
              </w:rPr>
              <w:t>≥35</w:t>
            </w:r>
          </w:p>
        </w:tc>
        <w:tc>
          <w:tcPr>
            <w:tcW w:w="1833" w:type="dxa"/>
            <w:vAlign w:val="center"/>
          </w:tcPr>
          <w:p w14:paraId="53A143EB">
            <w:pPr>
              <w:adjustRightInd w:val="0"/>
              <w:snapToGrid w:val="0"/>
              <w:spacing w:line="260" w:lineRule="exact"/>
              <w:jc w:val="center"/>
              <w:rPr>
                <w:color w:val="auto"/>
                <w:sz w:val="18"/>
                <w:szCs w:val="18"/>
              </w:rPr>
            </w:pPr>
            <w:r>
              <w:rPr>
                <w:i/>
                <w:iCs/>
                <w:color w:val="auto"/>
                <w:sz w:val="18"/>
                <w:szCs w:val="18"/>
              </w:rPr>
              <w:t>N</w:t>
            </w:r>
            <w:r>
              <w:rPr>
                <w:rFonts w:hAnsi="宋体"/>
                <w:color w:val="auto"/>
                <w:sz w:val="18"/>
                <w:szCs w:val="18"/>
              </w:rPr>
              <w:t>＜</w:t>
            </w:r>
            <w:r>
              <w:rPr>
                <w:color w:val="auto"/>
                <w:sz w:val="18"/>
                <w:szCs w:val="18"/>
              </w:rPr>
              <w:t>35</w:t>
            </w:r>
          </w:p>
        </w:tc>
        <w:tc>
          <w:tcPr>
            <w:tcW w:w="1736" w:type="dxa"/>
            <w:vAlign w:val="center"/>
          </w:tcPr>
          <w:p w14:paraId="0E17AB54">
            <w:pPr>
              <w:adjustRightInd w:val="0"/>
              <w:snapToGrid w:val="0"/>
              <w:spacing w:line="260" w:lineRule="exact"/>
              <w:jc w:val="center"/>
              <w:rPr>
                <w:color w:val="auto"/>
                <w:sz w:val="18"/>
                <w:szCs w:val="18"/>
              </w:rPr>
            </w:pPr>
            <w:r>
              <w:rPr>
                <w:i/>
                <w:iCs/>
                <w:color w:val="auto"/>
                <w:sz w:val="18"/>
                <w:szCs w:val="18"/>
              </w:rPr>
              <w:t>N</w:t>
            </w:r>
            <w:r>
              <w:rPr>
                <w:color w:val="auto"/>
                <w:sz w:val="18"/>
                <w:szCs w:val="18"/>
              </w:rPr>
              <w:t>≥</w:t>
            </w:r>
            <w:r>
              <w:rPr>
                <w:rFonts w:hint="eastAsia"/>
                <w:color w:val="auto"/>
                <w:sz w:val="18"/>
                <w:szCs w:val="18"/>
              </w:rPr>
              <w:t>5</w:t>
            </w:r>
            <w:r>
              <w:rPr>
                <w:color w:val="auto"/>
                <w:sz w:val="18"/>
                <w:szCs w:val="18"/>
              </w:rPr>
              <w:t>0</w:t>
            </w:r>
          </w:p>
        </w:tc>
        <w:tc>
          <w:tcPr>
            <w:tcW w:w="1625" w:type="dxa"/>
            <w:vAlign w:val="center"/>
          </w:tcPr>
          <w:p w14:paraId="56497262">
            <w:pPr>
              <w:adjustRightInd w:val="0"/>
              <w:snapToGrid w:val="0"/>
              <w:spacing w:line="260" w:lineRule="exact"/>
              <w:jc w:val="center"/>
              <w:rPr>
                <w:color w:val="auto"/>
                <w:sz w:val="18"/>
                <w:szCs w:val="18"/>
              </w:rPr>
            </w:pPr>
            <w:r>
              <w:rPr>
                <w:i/>
                <w:iCs/>
                <w:color w:val="auto"/>
                <w:sz w:val="18"/>
                <w:szCs w:val="18"/>
              </w:rPr>
              <w:t>N</w:t>
            </w:r>
            <w:r>
              <w:rPr>
                <w:rFonts w:hAnsi="宋体"/>
                <w:color w:val="auto"/>
                <w:sz w:val="18"/>
                <w:szCs w:val="18"/>
              </w:rPr>
              <w:t>＜</w:t>
            </w:r>
            <w:r>
              <w:rPr>
                <w:rFonts w:hint="eastAsia" w:hAnsi="宋体"/>
                <w:color w:val="auto"/>
                <w:sz w:val="18"/>
                <w:szCs w:val="18"/>
              </w:rPr>
              <w:t>5</w:t>
            </w:r>
            <w:r>
              <w:rPr>
                <w:color w:val="auto"/>
                <w:sz w:val="18"/>
                <w:szCs w:val="18"/>
              </w:rPr>
              <w:t>0</w:t>
            </w:r>
          </w:p>
        </w:tc>
      </w:tr>
      <w:tr w14:paraId="399A8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86" w:type="dxa"/>
            <w:vAlign w:val="center"/>
          </w:tcPr>
          <w:p w14:paraId="4F9DB85B">
            <w:pPr>
              <w:adjustRightInd w:val="0"/>
              <w:snapToGrid w:val="0"/>
              <w:spacing w:line="260" w:lineRule="exact"/>
              <w:jc w:val="center"/>
              <w:rPr>
                <w:color w:val="auto"/>
                <w:sz w:val="18"/>
                <w:szCs w:val="18"/>
              </w:rPr>
            </w:pPr>
            <w:r>
              <w:rPr>
                <w:rFonts w:hAnsi="宋体"/>
                <w:color w:val="auto"/>
                <w:sz w:val="18"/>
                <w:szCs w:val="18"/>
              </w:rPr>
              <w:t>剪坡波速</w:t>
            </w:r>
            <w:r>
              <w:rPr>
                <w:i/>
                <w:iCs/>
                <w:color w:val="auto"/>
                <w:sz w:val="18"/>
                <w:szCs w:val="18"/>
              </w:rPr>
              <w:t>V</w:t>
            </w:r>
            <w:r>
              <w:rPr>
                <w:color w:val="auto"/>
                <w:sz w:val="18"/>
                <w:szCs w:val="18"/>
                <w:vertAlign w:val="subscript"/>
              </w:rPr>
              <w:t>s</w:t>
            </w:r>
            <w:r>
              <w:rPr>
                <w:color w:val="auto"/>
                <w:sz w:val="18"/>
                <w:szCs w:val="18"/>
              </w:rPr>
              <w:t>（</w:t>
            </w:r>
            <w:r>
              <w:rPr>
                <w:iCs/>
                <w:color w:val="auto"/>
                <w:sz w:val="18"/>
                <w:szCs w:val="18"/>
              </w:rPr>
              <w:t>m/s</w:t>
            </w:r>
            <w:r>
              <w:rPr>
                <w:color w:val="auto"/>
                <w:sz w:val="18"/>
                <w:szCs w:val="18"/>
              </w:rPr>
              <w:t>）</w:t>
            </w:r>
          </w:p>
        </w:tc>
        <w:tc>
          <w:tcPr>
            <w:tcW w:w="1770" w:type="dxa"/>
            <w:vAlign w:val="center"/>
          </w:tcPr>
          <w:p w14:paraId="33B15A6B">
            <w:pPr>
              <w:adjustRightInd w:val="0"/>
              <w:snapToGrid w:val="0"/>
              <w:spacing w:line="260" w:lineRule="exact"/>
              <w:jc w:val="center"/>
              <w:rPr>
                <w:color w:val="auto"/>
                <w:sz w:val="18"/>
                <w:szCs w:val="18"/>
              </w:rPr>
            </w:pPr>
            <w:r>
              <w:rPr>
                <w:i/>
                <w:iCs/>
                <w:color w:val="auto"/>
                <w:sz w:val="18"/>
                <w:szCs w:val="18"/>
              </w:rPr>
              <w:t>V</w:t>
            </w:r>
            <w:r>
              <w:rPr>
                <w:color w:val="auto"/>
                <w:sz w:val="18"/>
                <w:szCs w:val="18"/>
                <w:vertAlign w:val="subscript"/>
              </w:rPr>
              <w:t>s</w:t>
            </w:r>
            <w:r>
              <w:rPr>
                <w:color w:val="auto"/>
                <w:sz w:val="18"/>
                <w:szCs w:val="18"/>
              </w:rPr>
              <w:t>≥350</w:t>
            </w:r>
          </w:p>
        </w:tc>
        <w:tc>
          <w:tcPr>
            <w:tcW w:w="1833" w:type="dxa"/>
            <w:vAlign w:val="center"/>
          </w:tcPr>
          <w:p w14:paraId="5FD452C7">
            <w:pPr>
              <w:adjustRightInd w:val="0"/>
              <w:snapToGrid w:val="0"/>
              <w:spacing w:line="260" w:lineRule="exact"/>
              <w:jc w:val="center"/>
              <w:rPr>
                <w:color w:val="auto"/>
                <w:sz w:val="18"/>
                <w:szCs w:val="18"/>
              </w:rPr>
            </w:pPr>
            <w:r>
              <w:rPr>
                <w:color w:val="auto"/>
                <w:sz w:val="18"/>
                <w:szCs w:val="18"/>
              </w:rPr>
              <w:t>350</w:t>
            </w:r>
            <w:r>
              <w:rPr>
                <w:rFonts w:hAnsi="宋体"/>
                <w:color w:val="auto"/>
                <w:sz w:val="18"/>
                <w:szCs w:val="18"/>
              </w:rPr>
              <w:t>＞</w:t>
            </w:r>
            <w:r>
              <w:rPr>
                <w:i/>
                <w:iCs/>
                <w:color w:val="auto"/>
                <w:sz w:val="18"/>
                <w:szCs w:val="18"/>
              </w:rPr>
              <w:t>V</w:t>
            </w:r>
            <w:r>
              <w:rPr>
                <w:color w:val="auto"/>
                <w:sz w:val="18"/>
                <w:szCs w:val="18"/>
                <w:vertAlign w:val="subscript"/>
              </w:rPr>
              <w:t>s</w:t>
            </w:r>
            <w:r>
              <w:rPr>
                <w:rFonts w:hAnsi="宋体"/>
                <w:color w:val="auto"/>
                <w:sz w:val="18"/>
                <w:szCs w:val="18"/>
              </w:rPr>
              <w:t>＞</w:t>
            </w:r>
            <w:r>
              <w:rPr>
                <w:color w:val="auto"/>
                <w:sz w:val="18"/>
                <w:szCs w:val="18"/>
              </w:rPr>
              <w:t>210</w:t>
            </w:r>
          </w:p>
        </w:tc>
        <w:tc>
          <w:tcPr>
            <w:tcW w:w="1736" w:type="dxa"/>
            <w:vAlign w:val="center"/>
          </w:tcPr>
          <w:p w14:paraId="4FA9FF88">
            <w:pPr>
              <w:adjustRightInd w:val="0"/>
              <w:snapToGrid w:val="0"/>
              <w:spacing w:line="260" w:lineRule="exact"/>
              <w:jc w:val="center"/>
              <w:rPr>
                <w:color w:val="auto"/>
                <w:sz w:val="18"/>
                <w:szCs w:val="18"/>
              </w:rPr>
            </w:pPr>
            <w:r>
              <w:rPr>
                <w:i/>
                <w:iCs/>
                <w:color w:val="auto"/>
                <w:sz w:val="18"/>
                <w:szCs w:val="18"/>
              </w:rPr>
              <w:t>V</w:t>
            </w:r>
            <w:r>
              <w:rPr>
                <w:color w:val="auto"/>
                <w:sz w:val="18"/>
                <w:szCs w:val="18"/>
                <w:vertAlign w:val="subscript"/>
              </w:rPr>
              <w:t>s</w:t>
            </w:r>
            <w:r>
              <w:rPr>
                <w:color w:val="auto"/>
                <w:sz w:val="18"/>
                <w:szCs w:val="18"/>
              </w:rPr>
              <w:t>≥400</w:t>
            </w:r>
          </w:p>
        </w:tc>
        <w:tc>
          <w:tcPr>
            <w:tcW w:w="1625" w:type="dxa"/>
            <w:vAlign w:val="center"/>
          </w:tcPr>
          <w:p w14:paraId="5AB83CAA">
            <w:pPr>
              <w:adjustRightInd w:val="0"/>
              <w:snapToGrid w:val="0"/>
              <w:spacing w:line="260" w:lineRule="exact"/>
              <w:jc w:val="center"/>
              <w:rPr>
                <w:color w:val="auto"/>
                <w:sz w:val="18"/>
                <w:szCs w:val="18"/>
              </w:rPr>
            </w:pPr>
            <w:r>
              <w:rPr>
                <w:i/>
                <w:iCs/>
                <w:color w:val="auto"/>
                <w:sz w:val="18"/>
                <w:szCs w:val="18"/>
              </w:rPr>
              <w:t>V</w:t>
            </w:r>
            <w:r>
              <w:rPr>
                <w:color w:val="auto"/>
                <w:sz w:val="18"/>
                <w:szCs w:val="18"/>
                <w:vertAlign w:val="subscript"/>
              </w:rPr>
              <w:t>s</w:t>
            </w:r>
            <w:r>
              <w:rPr>
                <w:rFonts w:hAnsi="宋体"/>
                <w:color w:val="auto"/>
                <w:sz w:val="18"/>
                <w:szCs w:val="18"/>
              </w:rPr>
              <w:t>＜</w:t>
            </w:r>
            <w:r>
              <w:rPr>
                <w:color w:val="auto"/>
                <w:sz w:val="18"/>
                <w:szCs w:val="18"/>
              </w:rPr>
              <w:t>400</w:t>
            </w:r>
          </w:p>
        </w:tc>
      </w:tr>
      <w:tr w14:paraId="2E9E3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50" w:type="dxa"/>
            <w:gridSpan w:val="5"/>
            <w:vAlign w:val="center"/>
          </w:tcPr>
          <w:p w14:paraId="21699BB1">
            <w:pPr>
              <w:adjustRightInd w:val="0"/>
              <w:snapToGrid w:val="0"/>
              <w:spacing w:line="260" w:lineRule="exact"/>
              <w:rPr>
                <w:i/>
                <w:iCs/>
                <w:color w:val="auto"/>
                <w:sz w:val="18"/>
                <w:szCs w:val="18"/>
              </w:rPr>
            </w:pPr>
            <w:r>
              <w:rPr>
                <w:rFonts w:hAnsi="宋体"/>
                <w:bCs/>
                <w:color w:val="auto"/>
                <w:sz w:val="18"/>
                <w:szCs w:val="18"/>
              </w:rPr>
              <w:t>注：表中</w:t>
            </w:r>
            <w:r>
              <w:rPr>
                <w:bCs/>
                <w:i/>
                <w:iCs/>
                <w:color w:val="auto"/>
                <w:sz w:val="18"/>
                <w:szCs w:val="18"/>
              </w:rPr>
              <w:t>N</w:t>
            </w:r>
            <w:r>
              <w:rPr>
                <w:rFonts w:hAnsi="宋体"/>
                <w:bCs/>
                <w:color w:val="auto"/>
                <w:sz w:val="18"/>
                <w:szCs w:val="18"/>
              </w:rPr>
              <w:t>为未经钻杆长度修正的平均值。</w:t>
            </w:r>
          </w:p>
        </w:tc>
      </w:tr>
    </w:tbl>
    <w:p w14:paraId="10F728B8">
      <w:pPr>
        <w:adjustRightInd w:val="0"/>
        <w:snapToGrid w:val="0"/>
        <w:spacing w:line="340" w:lineRule="exact"/>
        <w:jc w:val="center"/>
        <w:rPr>
          <w:color w:val="auto"/>
          <w:szCs w:val="21"/>
        </w:rPr>
      </w:pPr>
    </w:p>
    <w:p w14:paraId="1D756259">
      <w:pPr>
        <w:adjustRightInd w:val="0"/>
        <w:snapToGrid w:val="0"/>
        <w:spacing w:line="340" w:lineRule="exact"/>
        <w:outlineLvl w:val="1"/>
        <w:rPr>
          <w:rFonts w:eastAsia="黑体"/>
          <w:b/>
          <w:bCs/>
          <w:color w:val="auto"/>
          <w:szCs w:val="21"/>
        </w:rPr>
      </w:pPr>
      <w:bookmarkStart w:id="11" w:name="_Toc199943574"/>
      <w:r>
        <w:rPr>
          <w:rFonts w:eastAsia="黑体"/>
          <w:b/>
          <w:bCs/>
          <w:color w:val="auto"/>
          <w:szCs w:val="21"/>
        </w:rPr>
        <w:t>6.2  工程特性指标</w:t>
      </w:r>
      <w:bookmarkEnd w:id="11"/>
    </w:p>
    <w:p w14:paraId="6A77112B">
      <w:pPr>
        <w:adjustRightInd w:val="0"/>
        <w:snapToGrid w:val="0"/>
        <w:jc w:val="center"/>
        <w:rPr>
          <w:b/>
          <w:bCs/>
          <w:color w:val="auto"/>
          <w:szCs w:val="21"/>
        </w:rPr>
      </w:pPr>
    </w:p>
    <w:p w14:paraId="645202CE">
      <w:pPr>
        <w:adjustRightInd w:val="0"/>
        <w:snapToGrid w:val="0"/>
        <w:spacing w:line="340" w:lineRule="exact"/>
        <w:rPr>
          <w:color w:val="auto"/>
          <w:szCs w:val="21"/>
        </w:rPr>
      </w:pPr>
      <w:r>
        <w:rPr>
          <w:b/>
          <w:bCs/>
          <w:color w:val="auto"/>
          <w:szCs w:val="21"/>
        </w:rPr>
        <w:t>6.2.1</w:t>
      </w:r>
      <w:r>
        <w:rPr>
          <w:color w:val="auto"/>
          <w:szCs w:val="21"/>
        </w:rPr>
        <w:t xml:space="preserve">  </w:t>
      </w:r>
      <w:r>
        <w:rPr>
          <w:rFonts w:hAnsi="宋体"/>
          <w:color w:val="auto"/>
          <w:szCs w:val="21"/>
        </w:rPr>
        <w:t>土的工程特性指标可采用强度指标、压缩性指标以及静力触探探头阻力、动力触探锤击数、标</w:t>
      </w:r>
      <w:r>
        <w:rPr>
          <w:color w:val="auto"/>
          <w:szCs w:val="21"/>
        </w:rPr>
        <w:t>准贯入试验锤击数、载荷试验承载力等特性指标表示。</w:t>
      </w:r>
    </w:p>
    <w:p w14:paraId="7E7B4206">
      <w:pPr>
        <w:adjustRightInd w:val="0"/>
        <w:snapToGrid w:val="0"/>
        <w:spacing w:line="340" w:lineRule="exact"/>
        <w:ind w:firstLine="420" w:firstLineChars="200"/>
        <w:rPr>
          <w:color w:val="auto"/>
          <w:szCs w:val="21"/>
        </w:rPr>
      </w:pPr>
      <w:r>
        <w:rPr>
          <w:color w:val="auto"/>
          <w:szCs w:val="21"/>
        </w:rPr>
        <w:t>每层土均应采取土试样或进行原位测试，其数量不宜少于6个。每一主要土层的工程特性指标及物理力学参数的统计数不应少于6个。</w:t>
      </w:r>
    </w:p>
    <w:p w14:paraId="0051E2ED">
      <w:pPr>
        <w:adjustRightInd w:val="0"/>
        <w:snapToGrid w:val="0"/>
        <w:spacing w:line="340" w:lineRule="exact"/>
        <w:rPr>
          <w:color w:val="auto"/>
          <w:szCs w:val="21"/>
        </w:rPr>
      </w:pPr>
      <w:r>
        <w:rPr>
          <w:b/>
          <w:bCs/>
          <w:color w:val="auto"/>
          <w:szCs w:val="21"/>
        </w:rPr>
        <w:t>6.2.2</w:t>
      </w:r>
      <w:r>
        <w:rPr>
          <w:color w:val="auto"/>
          <w:szCs w:val="21"/>
        </w:rPr>
        <w:t xml:space="preserve">  地基土工程特性指标的代表值应分别为标准值、平均值及特征值。抗剪强度指标应取标准值，压缩性指标应取平均值，载荷试验承载力应取特征值。</w:t>
      </w:r>
    </w:p>
    <w:p w14:paraId="5981BB77">
      <w:pPr>
        <w:adjustRightInd w:val="0"/>
        <w:snapToGrid w:val="0"/>
        <w:spacing w:line="340" w:lineRule="exact"/>
        <w:rPr>
          <w:color w:val="auto"/>
          <w:szCs w:val="21"/>
        </w:rPr>
      </w:pPr>
      <w:r>
        <w:rPr>
          <w:b/>
          <w:bCs/>
          <w:color w:val="auto"/>
          <w:szCs w:val="21"/>
        </w:rPr>
        <w:t>6.2.3</w:t>
      </w:r>
      <w:r>
        <w:rPr>
          <w:color w:val="auto"/>
          <w:szCs w:val="21"/>
        </w:rPr>
        <w:t xml:space="preserve">  载荷试验包括浅层平板载荷试验</w:t>
      </w:r>
      <w:r>
        <w:rPr>
          <w:rFonts w:hint="eastAsia"/>
          <w:color w:val="auto"/>
          <w:szCs w:val="21"/>
        </w:rPr>
        <w:t>和</w:t>
      </w:r>
      <w:r>
        <w:rPr>
          <w:color w:val="auto"/>
          <w:szCs w:val="21"/>
        </w:rPr>
        <w:t>深层平板载荷试验。浅层平板载荷试验适用于浅层地基，深层平板载荷试验适用于深层地基。两种载荷试验的试验要求应分别符合</w:t>
      </w:r>
      <w:r>
        <w:rPr>
          <w:iCs/>
          <w:color w:val="auto"/>
          <w:szCs w:val="21"/>
        </w:rPr>
        <w:t>GB</w:t>
      </w:r>
      <w:r>
        <w:rPr>
          <w:rFonts w:hint="eastAsia"/>
          <w:iCs/>
          <w:color w:val="auto"/>
          <w:szCs w:val="21"/>
        </w:rPr>
        <w:t xml:space="preserve"> </w:t>
      </w:r>
      <w:r>
        <w:rPr>
          <w:color w:val="auto"/>
          <w:szCs w:val="21"/>
        </w:rPr>
        <w:t>50007的规定。岩石地基载荷试验的试验要求应符合</w:t>
      </w:r>
      <w:r>
        <w:rPr>
          <w:iCs/>
          <w:color w:val="auto"/>
          <w:szCs w:val="21"/>
        </w:rPr>
        <w:t>GB</w:t>
      </w:r>
      <w:r>
        <w:rPr>
          <w:rFonts w:hint="eastAsia"/>
          <w:iCs/>
          <w:color w:val="auto"/>
          <w:szCs w:val="21"/>
        </w:rPr>
        <w:t xml:space="preserve"> </w:t>
      </w:r>
      <w:r>
        <w:rPr>
          <w:color w:val="auto"/>
          <w:szCs w:val="21"/>
        </w:rPr>
        <w:t>50007的规定。</w:t>
      </w:r>
    </w:p>
    <w:p w14:paraId="57EF35FA">
      <w:pPr>
        <w:adjustRightInd w:val="0"/>
        <w:snapToGrid w:val="0"/>
        <w:spacing w:line="340" w:lineRule="exact"/>
        <w:rPr>
          <w:color w:val="auto"/>
          <w:szCs w:val="21"/>
        </w:rPr>
      </w:pPr>
      <w:r>
        <w:rPr>
          <w:b/>
          <w:bCs/>
          <w:color w:val="auto"/>
          <w:szCs w:val="21"/>
        </w:rPr>
        <w:t>6.2.4</w:t>
      </w:r>
      <w:r>
        <w:rPr>
          <w:color w:val="auto"/>
          <w:szCs w:val="21"/>
        </w:rPr>
        <w:t xml:space="preserve">  以室内试验、标准贯入、动力触探、静力触探试验或现场鉴别等方法确定地基土（岩）承载力特征值和压缩性指标时，武汉地区及地质条件与武汉地区相类似的江汉平原宜按本文件附录</w:t>
      </w:r>
      <w:r>
        <w:rPr>
          <w:iCs/>
          <w:color w:val="auto"/>
          <w:szCs w:val="21"/>
        </w:rPr>
        <w:t>E中</w:t>
      </w:r>
      <w:r>
        <w:rPr>
          <w:color w:val="auto"/>
          <w:szCs w:val="21"/>
        </w:rPr>
        <w:t>的多种方法综合确定，其他地区应结合当地经验进行适当修正。</w:t>
      </w:r>
    </w:p>
    <w:p w14:paraId="22E0A656">
      <w:pPr>
        <w:adjustRightInd w:val="0"/>
        <w:snapToGrid w:val="0"/>
        <w:spacing w:line="340" w:lineRule="exact"/>
        <w:rPr>
          <w:color w:val="auto"/>
          <w:szCs w:val="21"/>
        </w:rPr>
      </w:pPr>
      <w:r>
        <w:rPr>
          <w:b/>
          <w:bCs/>
          <w:color w:val="auto"/>
          <w:szCs w:val="21"/>
        </w:rPr>
        <w:t>6.2.5</w:t>
      </w:r>
      <w:r>
        <w:rPr>
          <w:color w:val="auto"/>
          <w:szCs w:val="21"/>
        </w:rPr>
        <w:t xml:space="preserve">  土的抗剪强度指标</w:t>
      </w:r>
      <w:r>
        <w:rPr>
          <w:i/>
          <w:color w:val="auto"/>
          <w:szCs w:val="21"/>
        </w:rPr>
        <w:t>，</w:t>
      </w:r>
      <w:r>
        <w:rPr>
          <w:color w:val="auto"/>
          <w:szCs w:val="21"/>
        </w:rPr>
        <w:t>可采用原状土室内剪切试验、无侧限抗压强度试验、现场剪切试验、十字板剪切试验等方法测定。当采用室内剪切试验确定时，宜选择三轴压缩试验中的自重压力下预固结不排水试验。经过预压固结的地基可采用固结不排水试验。每层土的试验数量不得少于6组。室内试验抗剪强度指标</w:t>
      </w:r>
      <w:r>
        <w:rPr>
          <w:rFonts w:hint="eastAsia" w:eastAsia="方正小标宋简体"/>
          <w:i/>
          <w:color w:val="auto"/>
          <w:szCs w:val="21"/>
        </w:rPr>
        <w:t>c</w:t>
      </w:r>
      <w:r>
        <w:rPr>
          <w:rFonts w:eastAsia="方正小标宋简体"/>
          <w:color w:val="auto"/>
          <w:szCs w:val="21"/>
          <w:vertAlign w:val="subscript"/>
        </w:rPr>
        <w:t>k</w:t>
      </w:r>
      <w:r>
        <w:rPr>
          <w:color w:val="auto"/>
          <w:szCs w:val="21"/>
        </w:rPr>
        <w:t>、</w:t>
      </w:r>
      <w:r>
        <w:rPr>
          <w:rFonts w:eastAsia="方正小标宋简体"/>
          <w:i/>
          <w:color w:val="auto"/>
          <w:szCs w:val="21"/>
        </w:rPr>
        <w:t>φ</w:t>
      </w:r>
      <w:r>
        <w:rPr>
          <w:rFonts w:eastAsia="方正小标宋简体"/>
          <w:color w:val="auto"/>
          <w:szCs w:val="21"/>
          <w:vertAlign w:val="subscript"/>
        </w:rPr>
        <w:t>k</w:t>
      </w:r>
      <w:r>
        <w:rPr>
          <w:color w:val="auto"/>
          <w:szCs w:val="21"/>
        </w:rPr>
        <w:t>可按本文件附录C确定。</w:t>
      </w:r>
    </w:p>
    <w:p w14:paraId="4DCA12DD">
      <w:pPr>
        <w:adjustRightInd w:val="0"/>
        <w:snapToGrid w:val="0"/>
        <w:spacing w:line="340" w:lineRule="exact"/>
        <w:ind w:firstLine="420" w:firstLineChars="200"/>
        <w:rPr>
          <w:color w:val="auto"/>
          <w:szCs w:val="21"/>
        </w:rPr>
      </w:pPr>
      <w:r>
        <w:rPr>
          <w:rFonts w:hAnsi="宋体"/>
          <w:color w:val="auto"/>
          <w:szCs w:val="21"/>
        </w:rPr>
        <w:t>在验算坡体的稳定时，对于已有剪切破裂面或其他软弱结构面的抗剪强度，必要时可进行野外大型剪切试验或沿预定剪切面（裂隙、节理结构面）的室内剪切试验。</w:t>
      </w:r>
    </w:p>
    <w:p w14:paraId="587A0E83">
      <w:pPr>
        <w:adjustRightInd w:val="0"/>
        <w:snapToGrid w:val="0"/>
        <w:spacing w:line="340" w:lineRule="exact"/>
        <w:rPr>
          <w:color w:val="auto"/>
          <w:szCs w:val="21"/>
        </w:rPr>
      </w:pPr>
      <w:r>
        <w:rPr>
          <w:b/>
          <w:bCs/>
          <w:color w:val="auto"/>
          <w:szCs w:val="21"/>
        </w:rPr>
        <w:t>6.2.6</w:t>
      </w:r>
      <w:r>
        <w:rPr>
          <w:color w:val="auto"/>
          <w:szCs w:val="21"/>
        </w:rPr>
        <w:t xml:space="preserve">  </w:t>
      </w:r>
      <w:r>
        <w:rPr>
          <w:rFonts w:hAnsi="宋体"/>
          <w:color w:val="auto"/>
          <w:szCs w:val="21"/>
        </w:rPr>
        <w:t>土的压缩性指标可采用原状土室内压缩试验、原位浅层或深层平板载荷试验、旁压试验确定，并应符合下列规定：</w:t>
      </w:r>
    </w:p>
    <w:p w14:paraId="0628DCA3">
      <w:pPr>
        <w:adjustRightInd w:val="0"/>
        <w:snapToGrid w:val="0"/>
        <w:spacing w:line="340" w:lineRule="exact"/>
        <w:ind w:firstLine="422" w:firstLineChars="200"/>
        <w:rPr>
          <w:color w:val="auto"/>
          <w:szCs w:val="21"/>
        </w:rPr>
      </w:pPr>
      <w:r>
        <w:rPr>
          <w:rFonts w:eastAsia="黑体"/>
          <w:b/>
          <w:color w:val="auto"/>
          <w:szCs w:val="21"/>
        </w:rPr>
        <w:t xml:space="preserve">a) </w:t>
      </w:r>
      <w:r>
        <w:rPr>
          <w:rFonts w:hint="eastAsia" w:eastAsia="黑体"/>
          <w:b/>
          <w:color w:val="auto"/>
          <w:szCs w:val="21"/>
        </w:rPr>
        <w:t xml:space="preserve"> </w:t>
      </w:r>
      <w:r>
        <w:rPr>
          <w:rFonts w:hAnsi="宋体"/>
          <w:color w:val="auto"/>
          <w:szCs w:val="21"/>
        </w:rPr>
        <w:t>当采用室内压缩试验确定压缩模量时，试验所施加的最大压力应超过土自重压力与预计的附加压力之和，试验成果用</w:t>
      </w:r>
      <w:r>
        <w:rPr>
          <w:i/>
          <w:color w:val="auto"/>
          <w:szCs w:val="21"/>
        </w:rPr>
        <w:t>e</w:t>
      </w:r>
      <w:r>
        <w:rPr>
          <w:rFonts w:hint="eastAsia" w:hAnsi="宋体"/>
          <w:iCs/>
          <w:color w:val="auto"/>
          <w:szCs w:val="21"/>
        </w:rPr>
        <w:t>-</w:t>
      </w:r>
      <w:r>
        <w:rPr>
          <w:i/>
          <w:color w:val="auto"/>
          <w:szCs w:val="21"/>
        </w:rPr>
        <w:t>p</w:t>
      </w:r>
      <w:r>
        <w:rPr>
          <w:rFonts w:hAnsi="宋体"/>
          <w:color w:val="auto"/>
          <w:szCs w:val="21"/>
        </w:rPr>
        <w:t>曲线表示。</w:t>
      </w:r>
    </w:p>
    <w:p w14:paraId="6DBD7079">
      <w:pPr>
        <w:adjustRightInd w:val="0"/>
        <w:snapToGrid w:val="0"/>
        <w:spacing w:line="340" w:lineRule="exact"/>
        <w:ind w:firstLine="422" w:firstLineChars="200"/>
        <w:rPr>
          <w:color w:val="auto"/>
          <w:szCs w:val="21"/>
        </w:rPr>
      </w:pPr>
      <w:r>
        <w:rPr>
          <w:rFonts w:eastAsia="黑体"/>
          <w:b/>
          <w:color w:val="auto"/>
          <w:szCs w:val="21"/>
        </w:rPr>
        <w:t>b)</w:t>
      </w:r>
      <w:r>
        <w:rPr>
          <w:color w:val="auto"/>
          <w:szCs w:val="21"/>
        </w:rPr>
        <w:t xml:space="preserve"> </w:t>
      </w:r>
      <w:r>
        <w:rPr>
          <w:rFonts w:hint="eastAsia"/>
          <w:color w:val="auto"/>
          <w:szCs w:val="21"/>
        </w:rPr>
        <w:t xml:space="preserve"> </w:t>
      </w:r>
      <w:r>
        <w:rPr>
          <w:rFonts w:hAnsi="宋体"/>
          <w:color w:val="auto"/>
          <w:szCs w:val="21"/>
        </w:rPr>
        <w:t>当考虑土的应力历史进行沉降计算时，应进行高压固结试验，确定先期固结压力、压缩指数，试验成果用</w:t>
      </w:r>
      <w:r>
        <w:rPr>
          <w:i/>
          <w:color w:val="auto"/>
          <w:szCs w:val="21"/>
        </w:rPr>
        <w:t>e</w:t>
      </w:r>
      <w:r>
        <w:rPr>
          <w:rFonts w:hint="eastAsia" w:hAnsi="宋体"/>
          <w:iCs/>
          <w:color w:val="auto"/>
          <w:szCs w:val="21"/>
        </w:rPr>
        <w:t>-</w:t>
      </w:r>
      <w:r>
        <w:rPr>
          <w:color w:val="auto"/>
          <w:szCs w:val="21"/>
        </w:rPr>
        <w:t>l</w:t>
      </w:r>
      <w:r>
        <w:rPr>
          <w:iCs/>
          <w:color w:val="auto"/>
          <w:szCs w:val="21"/>
        </w:rPr>
        <w:t>g</w:t>
      </w:r>
      <w:r>
        <w:rPr>
          <w:i/>
          <w:color w:val="auto"/>
          <w:szCs w:val="21"/>
        </w:rPr>
        <w:t>p</w:t>
      </w:r>
      <w:r>
        <w:rPr>
          <w:rFonts w:hAnsi="宋体"/>
          <w:color w:val="auto"/>
          <w:szCs w:val="21"/>
        </w:rPr>
        <w:t>曲线表示。确定回弹指数</w:t>
      </w:r>
      <w:r>
        <w:rPr>
          <w:rFonts w:hint="eastAsia" w:hAnsi="宋体"/>
          <w:color w:val="auto"/>
          <w:szCs w:val="21"/>
        </w:rPr>
        <w:t>时</w:t>
      </w:r>
      <w:r>
        <w:rPr>
          <w:rFonts w:hAnsi="宋体"/>
          <w:color w:val="auto"/>
          <w:szCs w:val="21"/>
        </w:rPr>
        <w:t>，应在估计的先期固结压力之后进行一次卸荷，再继续加荷至预定的最后一级压力。</w:t>
      </w:r>
    </w:p>
    <w:p w14:paraId="566AFE92">
      <w:pPr>
        <w:adjustRightInd w:val="0"/>
        <w:snapToGrid w:val="0"/>
        <w:spacing w:line="340" w:lineRule="exact"/>
        <w:ind w:firstLine="422" w:firstLineChars="200"/>
        <w:rPr>
          <w:color w:val="auto"/>
          <w:szCs w:val="21"/>
        </w:rPr>
      </w:pPr>
      <w:r>
        <w:rPr>
          <w:rFonts w:eastAsia="黑体"/>
          <w:b/>
          <w:color w:val="auto"/>
          <w:szCs w:val="21"/>
        </w:rPr>
        <w:t>c)</w:t>
      </w:r>
      <w:r>
        <w:rPr>
          <w:color w:val="auto"/>
          <w:szCs w:val="21"/>
        </w:rPr>
        <w:t xml:space="preserve"> </w:t>
      </w:r>
      <w:r>
        <w:rPr>
          <w:rFonts w:hint="eastAsia"/>
          <w:color w:val="auto"/>
          <w:szCs w:val="21"/>
        </w:rPr>
        <w:t xml:space="preserve"> </w:t>
      </w:r>
      <w:r>
        <w:rPr>
          <w:rFonts w:hAnsi="宋体"/>
          <w:color w:val="auto"/>
          <w:szCs w:val="21"/>
        </w:rPr>
        <w:t>当存在深基坑开挖卸载和再加载时，应进行回弹再压缩试验，其压力的施加应与实际的加载状况一致。</w:t>
      </w:r>
    </w:p>
    <w:p w14:paraId="1B479B65">
      <w:pPr>
        <w:adjustRightInd w:val="0"/>
        <w:snapToGrid w:val="0"/>
        <w:spacing w:line="340" w:lineRule="exact"/>
        <w:ind w:firstLine="422" w:firstLineChars="200"/>
        <w:rPr>
          <w:color w:val="auto"/>
          <w:szCs w:val="21"/>
        </w:rPr>
      </w:pPr>
      <w:r>
        <w:rPr>
          <w:rFonts w:eastAsia="黑体"/>
          <w:b/>
          <w:color w:val="auto"/>
          <w:szCs w:val="21"/>
        </w:rPr>
        <w:t>d)</w:t>
      </w:r>
      <w:r>
        <w:rPr>
          <w:color w:val="auto"/>
          <w:szCs w:val="21"/>
        </w:rPr>
        <w:t xml:space="preserve"> </w:t>
      </w:r>
      <w:r>
        <w:rPr>
          <w:rFonts w:hint="eastAsia"/>
          <w:color w:val="auto"/>
          <w:szCs w:val="21"/>
        </w:rPr>
        <w:t xml:space="preserve"> </w:t>
      </w:r>
      <w:r>
        <w:rPr>
          <w:rFonts w:hAnsi="宋体"/>
          <w:color w:val="auto"/>
          <w:szCs w:val="21"/>
        </w:rPr>
        <w:t>地基土的压缩性可按</w:t>
      </w:r>
      <w:r>
        <w:rPr>
          <w:color w:val="auto"/>
          <w:position w:val="-12"/>
          <w:szCs w:val="21"/>
        </w:rPr>
        <w:object>
          <v:shape id="_x0000_i1039" o:spt="75" type="#_x0000_t75" style="height:18pt;width:12pt;" o:ole="t" filled="f" o:preferrelative="t" stroked="f" coordsize="21600,21600">
            <v:path/>
            <v:fill on="f" focussize="0,0"/>
            <v:stroke on="f" joinstyle="miter"/>
            <v:imagedata r:id="rId40" o:title=""/>
            <o:lock v:ext="edit" aspectratio="t"/>
            <w10:wrap type="none"/>
            <w10:anchorlock/>
          </v:shape>
          <o:OLEObject Type="Embed" ProgID="Equation.DSMT4" ShapeID="_x0000_i1039" DrawAspect="Content" ObjectID="_1468075739" r:id="rId39">
            <o:LockedField>false</o:LockedField>
          </o:OLEObject>
        </w:object>
      </w:r>
      <w:r>
        <w:rPr>
          <w:rFonts w:hAnsi="宋体"/>
          <w:color w:val="auto"/>
          <w:szCs w:val="21"/>
        </w:rPr>
        <w:t>为</w:t>
      </w:r>
      <w:r>
        <w:rPr>
          <w:color w:val="auto"/>
          <w:szCs w:val="21"/>
        </w:rPr>
        <w:t>100</w:t>
      </w:r>
      <w:r>
        <w:rPr>
          <w:iCs/>
          <w:color w:val="auto"/>
          <w:szCs w:val="21"/>
        </w:rPr>
        <w:t>kPa</w:t>
      </w:r>
      <w:r>
        <w:rPr>
          <w:rFonts w:hAnsi="宋体"/>
          <w:iCs/>
          <w:color w:val="auto"/>
          <w:szCs w:val="21"/>
        </w:rPr>
        <w:t>，</w:t>
      </w:r>
      <w:r>
        <w:rPr>
          <w:color w:val="auto"/>
          <w:position w:val="-12"/>
          <w:szCs w:val="21"/>
        </w:rPr>
        <w:object>
          <v:shape id="_x0000_i1040" o:spt="75" type="#_x0000_t75" style="height:18pt;width:12.75pt;" o:ole="t" filled="f" o:preferrelative="t" stroked="f" coordsize="21600,21600">
            <v:path/>
            <v:fill on="f" focussize="0,0"/>
            <v:stroke on="f" joinstyle="miter"/>
            <v:imagedata r:id="rId42" o:title=""/>
            <o:lock v:ext="edit" aspectratio="t"/>
            <w10:wrap type="none"/>
            <w10:anchorlock/>
          </v:shape>
          <o:OLEObject Type="Embed" ProgID="Equation.DSMT4" ShapeID="_x0000_i1040" DrawAspect="Content" ObjectID="_1468075740" r:id="rId41">
            <o:LockedField>false</o:LockedField>
          </o:OLEObject>
        </w:object>
      </w:r>
      <w:r>
        <w:rPr>
          <w:color w:val="auto"/>
          <w:szCs w:val="21"/>
          <w:vertAlign w:val="subscript"/>
        </w:rPr>
        <w:t xml:space="preserve"> </w:t>
      </w:r>
      <w:r>
        <w:rPr>
          <w:rFonts w:hAnsi="宋体"/>
          <w:color w:val="auto"/>
          <w:szCs w:val="21"/>
        </w:rPr>
        <w:t>为</w:t>
      </w:r>
      <w:r>
        <w:rPr>
          <w:color w:val="auto"/>
          <w:szCs w:val="21"/>
        </w:rPr>
        <w:t>200</w:t>
      </w:r>
      <w:r>
        <w:rPr>
          <w:iCs/>
          <w:color w:val="auto"/>
          <w:szCs w:val="21"/>
        </w:rPr>
        <w:t>kPa</w:t>
      </w:r>
      <w:r>
        <w:rPr>
          <w:rFonts w:hAnsi="宋体"/>
          <w:color w:val="auto"/>
          <w:szCs w:val="21"/>
        </w:rPr>
        <w:t>时相对应的压缩系数值</w:t>
      </w:r>
      <w:r>
        <w:rPr>
          <w:i/>
          <w:iCs/>
          <w:color w:val="auto"/>
          <w:szCs w:val="21"/>
        </w:rPr>
        <w:t>a</w:t>
      </w:r>
      <w:r>
        <w:rPr>
          <w:color w:val="auto"/>
          <w:szCs w:val="21"/>
          <w:vertAlign w:val="subscript"/>
        </w:rPr>
        <w:t>1-2</w:t>
      </w:r>
      <w:r>
        <w:rPr>
          <w:rFonts w:hAnsi="宋体"/>
          <w:color w:val="auto"/>
          <w:szCs w:val="21"/>
        </w:rPr>
        <w:t>划分为低、中、高压缩性</w:t>
      </w:r>
      <w:r>
        <w:rPr>
          <w:color w:val="auto"/>
          <w:szCs w:val="21"/>
        </w:rPr>
        <w:t>，</w:t>
      </w:r>
      <w:r>
        <w:rPr>
          <w:rFonts w:hAnsi="宋体"/>
          <w:color w:val="auto"/>
          <w:szCs w:val="21"/>
        </w:rPr>
        <w:t>并应按以下规定进行评价：</w:t>
      </w:r>
    </w:p>
    <w:p w14:paraId="7E86FD9E">
      <w:pPr>
        <w:adjustRightInd w:val="0"/>
        <w:snapToGrid w:val="0"/>
        <w:spacing w:line="340" w:lineRule="exact"/>
        <w:ind w:firstLine="422" w:firstLineChars="200"/>
        <w:rPr>
          <w:color w:val="auto"/>
          <w:szCs w:val="21"/>
        </w:rPr>
      </w:pPr>
      <w:r>
        <w:rPr>
          <w:rFonts w:eastAsia="黑体"/>
          <w:b/>
          <w:color w:val="auto"/>
          <w:szCs w:val="21"/>
        </w:rPr>
        <w:t>1）</w:t>
      </w:r>
      <w:r>
        <w:rPr>
          <w:rFonts w:hAnsi="宋体"/>
          <w:color w:val="auto"/>
          <w:szCs w:val="21"/>
        </w:rPr>
        <w:t>当</w:t>
      </w:r>
      <w:r>
        <w:rPr>
          <w:i/>
          <w:iCs/>
          <w:color w:val="auto"/>
          <w:szCs w:val="21"/>
        </w:rPr>
        <w:t>a</w:t>
      </w:r>
      <w:r>
        <w:rPr>
          <w:color w:val="auto"/>
          <w:szCs w:val="21"/>
          <w:vertAlign w:val="subscript"/>
        </w:rPr>
        <w:t>1-2</w:t>
      </w:r>
      <w:r>
        <w:rPr>
          <w:rFonts w:hAnsi="宋体"/>
          <w:color w:val="auto"/>
          <w:szCs w:val="21"/>
        </w:rPr>
        <w:t>＜</w:t>
      </w:r>
      <w:r>
        <w:rPr>
          <w:color w:val="auto"/>
          <w:szCs w:val="21"/>
        </w:rPr>
        <w:t>0.1</w:t>
      </w:r>
      <w:r>
        <w:rPr>
          <w:iCs/>
          <w:color w:val="auto"/>
          <w:szCs w:val="21"/>
        </w:rPr>
        <w:t>MPa</w:t>
      </w:r>
      <w:r>
        <w:rPr>
          <w:color w:val="auto"/>
          <w:szCs w:val="21"/>
          <w:vertAlign w:val="superscript"/>
        </w:rPr>
        <w:t>-1</w:t>
      </w:r>
      <w:r>
        <w:rPr>
          <w:rFonts w:hAnsi="宋体"/>
          <w:color w:val="auto"/>
          <w:szCs w:val="21"/>
        </w:rPr>
        <w:t>时，为低压缩性土；</w:t>
      </w:r>
    </w:p>
    <w:p w14:paraId="2BBBE7A0">
      <w:pPr>
        <w:adjustRightInd w:val="0"/>
        <w:snapToGrid w:val="0"/>
        <w:spacing w:line="340" w:lineRule="exact"/>
        <w:ind w:firstLine="422" w:firstLineChars="200"/>
        <w:rPr>
          <w:color w:val="auto"/>
          <w:szCs w:val="21"/>
        </w:rPr>
      </w:pPr>
      <w:r>
        <w:rPr>
          <w:rFonts w:eastAsia="黑体"/>
          <w:b/>
          <w:color w:val="auto"/>
          <w:szCs w:val="21"/>
        </w:rPr>
        <w:t>2）</w:t>
      </w:r>
      <w:r>
        <w:rPr>
          <w:rFonts w:hAnsi="宋体"/>
          <w:color w:val="auto"/>
          <w:szCs w:val="21"/>
        </w:rPr>
        <w:t>当</w:t>
      </w:r>
      <w:r>
        <w:rPr>
          <w:color w:val="auto"/>
          <w:szCs w:val="21"/>
        </w:rPr>
        <w:t xml:space="preserve">0.1 </w:t>
      </w:r>
      <w:r>
        <w:rPr>
          <w:iCs/>
          <w:color w:val="auto"/>
          <w:szCs w:val="21"/>
        </w:rPr>
        <w:t>MPa</w:t>
      </w:r>
      <w:r>
        <w:rPr>
          <w:color w:val="auto"/>
          <w:szCs w:val="21"/>
          <w:vertAlign w:val="superscript"/>
        </w:rPr>
        <w:t>-1</w:t>
      </w:r>
      <w:r>
        <w:rPr>
          <w:color w:val="auto"/>
          <w:szCs w:val="21"/>
        </w:rPr>
        <w:t>≤</w:t>
      </w:r>
      <w:r>
        <w:rPr>
          <w:i/>
          <w:iCs/>
          <w:color w:val="auto"/>
          <w:szCs w:val="21"/>
        </w:rPr>
        <w:t>a</w:t>
      </w:r>
      <w:r>
        <w:rPr>
          <w:color w:val="auto"/>
          <w:szCs w:val="21"/>
          <w:vertAlign w:val="subscript"/>
        </w:rPr>
        <w:t>1-2</w:t>
      </w:r>
      <w:r>
        <w:rPr>
          <w:rFonts w:hAnsi="宋体"/>
          <w:color w:val="auto"/>
          <w:szCs w:val="21"/>
        </w:rPr>
        <w:t>＜</w:t>
      </w:r>
      <w:r>
        <w:rPr>
          <w:color w:val="auto"/>
          <w:szCs w:val="21"/>
        </w:rPr>
        <w:t>0.5</w:t>
      </w:r>
      <w:r>
        <w:rPr>
          <w:iCs/>
          <w:color w:val="auto"/>
          <w:szCs w:val="21"/>
        </w:rPr>
        <w:t>MPa</w:t>
      </w:r>
      <w:r>
        <w:rPr>
          <w:color w:val="auto"/>
          <w:szCs w:val="21"/>
          <w:vertAlign w:val="superscript"/>
        </w:rPr>
        <w:t>-1</w:t>
      </w:r>
      <w:r>
        <w:rPr>
          <w:rFonts w:hAnsi="宋体"/>
          <w:color w:val="auto"/>
          <w:szCs w:val="21"/>
        </w:rPr>
        <w:t>时，为中压缩性土；</w:t>
      </w:r>
    </w:p>
    <w:p w14:paraId="498FA6AA">
      <w:pPr>
        <w:adjustRightInd w:val="0"/>
        <w:snapToGrid w:val="0"/>
        <w:spacing w:line="340" w:lineRule="exact"/>
        <w:ind w:firstLine="422" w:firstLineChars="200"/>
        <w:rPr>
          <w:color w:val="auto"/>
          <w:szCs w:val="21"/>
        </w:rPr>
      </w:pPr>
      <w:r>
        <w:rPr>
          <w:rFonts w:eastAsia="黑体"/>
          <w:b/>
          <w:color w:val="auto"/>
          <w:szCs w:val="21"/>
        </w:rPr>
        <w:t>3）</w:t>
      </w:r>
      <w:r>
        <w:rPr>
          <w:rFonts w:hAnsi="宋体"/>
          <w:color w:val="auto"/>
          <w:szCs w:val="21"/>
        </w:rPr>
        <w:t>当</w:t>
      </w:r>
      <w:r>
        <w:rPr>
          <w:i/>
          <w:iCs/>
          <w:color w:val="auto"/>
          <w:szCs w:val="21"/>
        </w:rPr>
        <w:t>a</w:t>
      </w:r>
      <w:r>
        <w:rPr>
          <w:color w:val="auto"/>
          <w:szCs w:val="21"/>
          <w:vertAlign w:val="subscript"/>
        </w:rPr>
        <w:t>1-2</w:t>
      </w:r>
      <w:r>
        <w:rPr>
          <w:color w:val="auto"/>
          <w:szCs w:val="21"/>
        </w:rPr>
        <w:t>≥0.5</w:t>
      </w:r>
      <w:r>
        <w:rPr>
          <w:iCs/>
          <w:color w:val="auto"/>
          <w:szCs w:val="21"/>
        </w:rPr>
        <w:t>MPa</w:t>
      </w:r>
      <w:r>
        <w:rPr>
          <w:color w:val="auto"/>
          <w:szCs w:val="21"/>
          <w:vertAlign w:val="superscript"/>
        </w:rPr>
        <w:t>-1</w:t>
      </w:r>
      <w:r>
        <w:rPr>
          <w:rFonts w:hAnsi="宋体"/>
          <w:color w:val="auto"/>
          <w:szCs w:val="21"/>
        </w:rPr>
        <w:t>时，为高压缩性土。</w:t>
      </w:r>
    </w:p>
    <w:p w14:paraId="1D0880A0">
      <w:pPr>
        <w:adjustRightInd w:val="0"/>
        <w:snapToGrid w:val="0"/>
        <w:spacing w:line="480" w:lineRule="exact"/>
        <w:rPr>
          <w:color w:val="auto"/>
          <w:szCs w:val="21"/>
        </w:rPr>
      </w:pPr>
    </w:p>
    <w:p w14:paraId="5E5881C0">
      <w:pPr>
        <w:numPr>
          <w:ilvl w:val="0"/>
          <w:numId w:val="1"/>
        </w:numPr>
        <w:adjustRightInd w:val="0"/>
        <w:snapToGrid w:val="0"/>
        <w:outlineLvl w:val="0"/>
        <w:rPr>
          <w:rFonts w:eastAsia="黑体"/>
          <w:b/>
          <w:color w:val="auto"/>
          <w:spacing w:val="8"/>
          <w:sz w:val="24"/>
        </w:rPr>
      </w:pPr>
      <w:bookmarkStart w:id="12" w:name="_Toc199943575"/>
      <w:r>
        <w:rPr>
          <w:rFonts w:eastAsia="黑体"/>
          <w:b/>
          <w:bCs/>
          <w:color w:val="auto"/>
          <w:sz w:val="24"/>
        </w:rPr>
        <w:t>天然地基设计计算</w:t>
      </w:r>
      <w:bookmarkEnd w:id="12"/>
    </w:p>
    <w:p w14:paraId="1BD44FE7">
      <w:pPr>
        <w:spacing w:line="340" w:lineRule="exact"/>
        <w:jc w:val="center"/>
        <w:rPr>
          <w:color w:val="auto"/>
        </w:rPr>
      </w:pPr>
    </w:p>
    <w:p w14:paraId="5942E085">
      <w:pPr>
        <w:adjustRightInd w:val="0"/>
        <w:snapToGrid w:val="0"/>
        <w:spacing w:line="340" w:lineRule="exact"/>
        <w:outlineLvl w:val="1"/>
        <w:rPr>
          <w:rFonts w:eastAsia="黑体"/>
          <w:b/>
          <w:color w:val="auto"/>
          <w:szCs w:val="21"/>
        </w:rPr>
      </w:pPr>
      <w:bookmarkStart w:id="13" w:name="_Toc199943576"/>
      <w:r>
        <w:rPr>
          <w:rFonts w:eastAsia="黑体"/>
          <w:b/>
          <w:bCs/>
          <w:color w:val="auto"/>
          <w:szCs w:val="21"/>
        </w:rPr>
        <w:t>7.1  基础埋置深度</w:t>
      </w:r>
      <w:bookmarkEnd w:id="13"/>
    </w:p>
    <w:p w14:paraId="5B4BBBDD">
      <w:pPr>
        <w:adjustRightInd w:val="0"/>
        <w:snapToGrid w:val="0"/>
        <w:spacing w:line="340" w:lineRule="exact"/>
        <w:ind w:left="3"/>
        <w:jc w:val="center"/>
        <w:rPr>
          <w:rFonts w:eastAsia="黑体"/>
          <w:b/>
          <w:color w:val="auto"/>
          <w:szCs w:val="21"/>
        </w:rPr>
      </w:pPr>
    </w:p>
    <w:p w14:paraId="2C9AC1B8">
      <w:pPr>
        <w:adjustRightInd w:val="0"/>
        <w:snapToGrid w:val="0"/>
        <w:spacing w:line="340" w:lineRule="exact"/>
        <w:ind w:left="3"/>
        <w:rPr>
          <w:color w:val="auto"/>
          <w:szCs w:val="21"/>
        </w:rPr>
      </w:pPr>
      <w:r>
        <w:rPr>
          <w:b/>
          <w:bCs/>
          <w:color w:val="auto"/>
          <w:szCs w:val="21"/>
        </w:rPr>
        <w:t>7.1.1</w:t>
      </w:r>
      <w:r>
        <w:rPr>
          <w:color w:val="auto"/>
          <w:szCs w:val="21"/>
        </w:rPr>
        <w:t xml:space="preserve">  基础埋置深度</w:t>
      </w:r>
      <w:r>
        <w:rPr>
          <w:rFonts w:hint="eastAsia"/>
          <w:color w:val="auto"/>
          <w:szCs w:val="21"/>
        </w:rPr>
        <w:t>，</w:t>
      </w:r>
      <w:r>
        <w:rPr>
          <w:color w:val="auto"/>
          <w:szCs w:val="21"/>
        </w:rPr>
        <w:t>应按下列条件确定：</w:t>
      </w:r>
    </w:p>
    <w:p w14:paraId="4DA0E677">
      <w:pPr>
        <w:adjustRightInd w:val="0"/>
        <w:snapToGrid w:val="0"/>
        <w:spacing w:line="340" w:lineRule="exact"/>
        <w:ind w:firstLine="422" w:firstLineChars="200"/>
        <w:rPr>
          <w:color w:val="auto"/>
          <w:szCs w:val="21"/>
        </w:rPr>
      </w:pPr>
      <w:r>
        <w:rPr>
          <w:b/>
          <w:bCs/>
          <w:color w:val="auto"/>
          <w:szCs w:val="21"/>
        </w:rPr>
        <w:t>a)</w:t>
      </w:r>
      <w:r>
        <w:rPr>
          <w:rFonts w:eastAsia="黑体"/>
          <w:b/>
          <w:color w:val="auto"/>
          <w:szCs w:val="21"/>
        </w:rPr>
        <w:t xml:space="preserve"> </w:t>
      </w:r>
      <w:r>
        <w:rPr>
          <w:color w:val="auto"/>
          <w:szCs w:val="21"/>
        </w:rPr>
        <w:t xml:space="preserve"> 建筑物的用途</w:t>
      </w:r>
      <w:r>
        <w:rPr>
          <w:rFonts w:hint="eastAsia"/>
          <w:color w:val="auto"/>
          <w:szCs w:val="21"/>
        </w:rPr>
        <w:t>，</w:t>
      </w:r>
      <w:r>
        <w:rPr>
          <w:color w:val="auto"/>
          <w:szCs w:val="21"/>
        </w:rPr>
        <w:t>有无地下室、设备基础和地下设施,基础的型式和构造；</w:t>
      </w:r>
    </w:p>
    <w:p w14:paraId="0FED6C7B">
      <w:pPr>
        <w:adjustRightInd w:val="0"/>
        <w:snapToGrid w:val="0"/>
        <w:spacing w:line="340" w:lineRule="exact"/>
        <w:ind w:firstLine="420" w:firstLineChars="200"/>
        <w:rPr>
          <w:color w:val="auto"/>
          <w:szCs w:val="21"/>
        </w:rPr>
      </w:pPr>
      <w:r>
        <w:rPr>
          <w:color w:val="auto"/>
          <w:szCs w:val="21"/>
        </w:rPr>
        <w:t>b)  建筑物的结构特点</w:t>
      </w:r>
      <w:r>
        <w:rPr>
          <w:rFonts w:hint="eastAsia"/>
          <w:color w:val="auto"/>
          <w:szCs w:val="21"/>
        </w:rPr>
        <w:t>，</w:t>
      </w:r>
      <w:r>
        <w:rPr>
          <w:color w:val="auto"/>
          <w:szCs w:val="21"/>
        </w:rPr>
        <w:t>包括高度</w:t>
      </w:r>
      <w:r>
        <w:rPr>
          <w:rFonts w:hint="eastAsia"/>
          <w:color w:val="auto"/>
          <w:szCs w:val="21"/>
        </w:rPr>
        <w:t>、</w:t>
      </w:r>
      <w:r>
        <w:rPr>
          <w:color w:val="auto"/>
          <w:szCs w:val="21"/>
        </w:rPr>
        <w:t>结构体系</w:t>
      </w:r>
      <w:r>
        <w:rPr>
          <w:rFonts w:hint="eastAsia"/>
          <w:color w:val="auto"/>
          <w:szCs w:val="21"/>
        </w:rPr>
        <w:t>、</w:t>
      </w:r>
      <w:r>
        <w:rPr>
          <w:color w:val="auto"/>
          <w:szCs w:val="21"/>
        </w:rPr>
        <w:t>高宽比等</w:t>
      </w:r>
      <w:r>
        <w:rPr>
          <w:rFonts w:hint="eastAsia"/>
          <w:color w:val="auto"/>
          <w:szCs w:val="21"/>
        </w:rPr>
        <w:t>；</w:t>
      </w:r>
    </w:p>
    <w:p w14:paraId="5F345C8C">
      <w:pPr>
        <w:adjustRightInd w:val="0"/>
        <w:snapToGrid w:val="0"/>
        <w:spacing w:line="340" w:lineRule="exact"/>
        <w:ind w:firstLine="422" w:firstLineChars="200"/>
        <w:rPr>
          <w:color w:val="auto"/>
          <w:szCs w:val="21"/>
        </w:rPr>
      </w:pPr>
      <w:r>
        <w:rPr>
          <w:b/>
          <w:bCs/>
          <w:color w:val="auto"/>
          <w:szCs w:val="21"/>
        </w:rPr>
        <w:t>c)</w:t>
      </w:r>
      <w:r>
        <w:rPr>
          <w:rFonts w:eastAsia="黑体"/>
          <w:b/>
          <w:color w:val="auto"/>
          <w:szCs w:val="21"/>
        </w:rPr>
        <w:t xml:space="preserve"> </w:t>
      </w:r>
      <w:r>
        <w:rPr>
          <w:color w:val="auto"/>
          <w:szCs w:val="21"/>
        </w:rPr>
        <w:t xml:space="preserve"> 作用在地基上的荷载大小和性质；</w:t>
      </w:r>
    </w:p>
    <w:p w14:paraId="6E59A230">
      <w:pPr>
        <w:adjustRightInd w:val="0"/>
        <w:snapToGrid w:val="0"/>
        <w:spacing w:line="340" w:lineRule="exact"/>
        <w:ind w:firstLine="422" w:firstLineChars="200"/>
        <w:rPr>
          <w:color w:val="auto"/>
          <w:szCs w:val="21"/>
        </w:rPr>
      </w:pPr>
      <w:r>
        <w:rPr>
          <w:b/>
          <w:bCs/>
          <w:color w:val="auto"/>
          <w:szCs w:val="21"/>
        </w:rPr>
        <w:t>d)</w:t>
      </w:r>
      <w:r>
        <w:rPr>
          <w:rFonts w:eastAsia="黑体"/>
          <w:b/>
          <w:color w:val="auto"/>
          <w:szCs w:val="21"/>
        </w:rPr>
        <w:t xml:space="preserve"> </w:t>
      </w:r>
      <w:r>
        <w:rPr>
          <w:color w:val="auto"/>
          <w:szCs w:val="21"/>
        </w:rPr>
        <w:t xml:space="preserve"> 工程地质和水文地质条件；</w:t>
      </w:r>
    </w:p>
    <w:p w14:paraId="16D9D9ED">
      <w:pPr>
        <w:adjustRightInd w:val="0"/>
        <w:snapToGrid w:val="0"/>
        <w:spacing w:line="340" w:lineRule="exact"/>
        <w:ind w:firstLine="422" w:firstLineChars="200"/>
        <w:rPr>
          <w:color w:val="auto"/>
          <w:szCs w:val="21"/>
        </w:rPr>
      </w:pPr>
      <w:r>
        <w:rPr>
          <w:b/>
          <w:bCs/>
          <w:color w:val="auto"/>
          <w:szCs w:val="21"/>
        </w:rPr>
        <w:t>e)</w:t>
      </w:r>
      <w:r>
        <w:rPr>
          <w:rFonts w:eastAsia="黑体"/>
          <w:b/>
          <w:color w:val="auto"/>
          <w:szCs w:val="21"/>
        </w:rPr>
        <w:t xml:space="preserve"> </w:t>
      </w:r>
      <w:r>
        <w:rPr>
          <w:color w:val="auto"/>
          <w:szCs w:val="21"/>
        </w:rPr>
        <w:t xml:space="preserve"> 相邻建筑物的基础埋深</w:t>
      </w:r>
      <w:r>
        <w:rPr>
          <w:rFonts w:hint="eastAsia"/>
          <w:color w:val="auto"/>
          <w:szCs w:val="21"/>
        </w:rPr>
        <w:t>与</w:t>
      </w:r>
      <w:r>
        <w:rPr>
          <w:color w:val="auto"/>
          <w:szCs w:val="21"/>
        </w:rPr>
        <w:t>基础形式；</w:t>
      </w:r>
    </w:p>
    <w:p w14:paraId="29403D9A">
      <w:pPr>
        <w:adjustRightInd w:val="0"/>
        <w:snapToGrid w:val="0"/>
        <w:spacing w:line="340" w:lineRule="exact"/>
        <w:ind w:firstLine="422" w:firstLineChars="200"/>
        <w:rPr>
          <w:color w:val="auto"/>
          <w:szCs w:val="21"/>
        </w:rPr>
      </w:pPr>
      <w:r>
        <w:rPr>
          <w:b/>
          <w:bCs/>
          <w:color w:val="auto"/>
          <w:szCs w:val="21"/>
        </w:rPr>
        <w:t>f)</w:t>
      </w:r>
      <w:r>
        <w:rPr>
          <w:rFonts w:eastAsia="黑体"/>
          <w:b/>
          <w:color w:val="auto"/>
          <w:szCs w:val="21"/>
        </w:rPr>
        <w:t xml:space="preserve"> </w:t>
      </w:r>
      <w:r>
        <w:rPr>
          <w:color w:val="auto"/>
          <w:szCs w:val="21"/>
        </w:rPr>
        <w:t xml:space="preserve"> 地基土的膨胀收缩特征。</w:t>
      </w:r>
    </w:p>
    <w:p w14:paraId="3817A67F">
      <w:pPr>
        <w:adjustRightInd w:val="0"/>
        <w:snapToGrid w:val="0"/>
        <w:spacing w:line="340" w:lineRule="exact"/>
        <w:rPr>
          <w:color w:val="auto"/>
          <w:szCs w:val="21"/>
        </w:rPr>
      </w:pPr>
      <w:r>
        <w:rPr>
          <w:b/>
          <w:bCs/>
          <w:color w:val="auto"/>
          <w:szCs w:val="21"/>
        </w:rPr>
        <w:t>7.1.2</w:t>
      </w:r>
      <w:r>
        <w:rPr>
          <w:color w:val="auto"/>
          <w:szCs w:val="21"/>
        </w:rPr>
        <w:t xml:space="preserve">  当上层土的承载力大于下层土且上层土有足够厚度时，宜利用上层土作持力层，在满足地基稳定和变形要求的前提下，基础宜浅埋。</w:t>
      </w:r>
      <w:r>
        <w:rPr>
          <w:rFonts w:hint="eastAsia"/>
          <w:color w:val="auto"/>
          <w:szCs w:val="21"/>
        </w:rPr>
        <w:t>除岩石地基外，基础埋深不宜小于</w:t>
      </w:r>
      <w:r>
        <w:rPr>
          <w:color w:val="auto"/>
          <w:szCs w:val="21"/>
        </w:rPr>
        <w:t>0.5</w:t>
      </w:r>
      <w:r>
        <w:rPr>
          <w:iCs/>
          <w:color w:val="auto"/>
          <w:szCs w:val="21"/>
        </w:rPr>
        <w:t>m</w:t>
      </w:r>
      <w:r>
        <w:rPr>
          <w:rFonts w:hint="eastAsia"/>
          <w:color w:val="auto"/>
          <w:szCs w:val="21"/>
        </w:rPr>
        <w:t>。</w:t>
      </w:r>
    </w:p>
    <w:p w14:paraId="3882194D">
      <w:pPr>
        <w:adjustRightInd w:val="0"/>
        <w:snapToGrid w:val="0"/>
        <w:spacing w:line="340" w:lineRule="exact"/>
        <w:rPr>
          <w:rFonts w:ascii="宋体" w:hAnsi="宋体"/>
          <w:bCs/>
          <w:color w:val="auto"/>
          <w:szCs w:val="21"/>
        </w:rPr>
      </w:pPr>
      <w:r>
        <w:rPr>
          <w:b/>
          <w:bCs/>
          <w:color w:val="auto"/>
          <w:szCs w:val="21"/>
        </w:rPr>
        <w:t>7.1.3</w:t>
      </w:r>
      <w:r>
        <w:rPr>
          <w:color w:val="auto"/>
          <w:szCs w:val="21"/>
        </w:rPr>
        <w:t xml:space="preserve">  </w:t>
      </w:r>
      <w:r>
        <w:rPr>
          <w:rFonts w:ascii="宋体" w:hAnsi="宋体"/>
          <w:bCs/>
          <w:color w:val="auto"/>
          <w:szCs w:val="21"/>
        </w:rPr>
        <w:t>高层建筑的基础埋置深度除应满足地基承载力、变形要求外</w:t>
      </w:r>
      <w:r>
        <w:rPr>
          <w:rFonts w:hint="eastAsia" w:ascii="宋体" w:hAnsi="宋体"/>
          <w:bCs/>
          <w:color w:val="auto"/>
          <w:szCs w:val="21"/>
        </w:rPr>
        <w:t>，尚应满足整体稳定性、抗倾覆稳定性和抗滑移稳定性的要求</w:t>
      </w:r>
      <w:r>
        <w:rPr>
          <w:rFonts w:ascii="宋体" w:hAnsi="宋体"/>
          <w:bCs/>
          <w:color w:val="auto"/>
          <w:szCs w:val="21"/>
        </w:rPr>
        <w:t>。</w:t>
      </w:r>
    </w:p>
    <w:p w14:paraId="34295EE5">
      <w:pPr>
        <w:adjustRightInd w:val="0"/>
        <w:snapToGrid w:val="0"/>
        <w:spacing w:line="340" w:lineRule="exact"/>
        <w:rPr>
          <w:color w:val="auto"/>
          <w:szCs w:val="21"/>
        </w:rPr>
      </w:pPr>
      <w:r>
        <w:rPr>
          <w:b/>
          <w:bCs/>
          <w:color w:val="auto"/>
          <w:szCs w:val="21"/>
        </w:rPr>
        <w:t>7.1.4</w:t>
      </w:r>
      <w:r>
        <w:rPr>
          <w:color w:val="auto"/>
          <w:szCs w:val="21"/>
        </w:rPr>
        <w:t xml:space="preserve">  高层建筑，除岩石地基外，天然地基、复合地基和经过处理的其他地基上的基础埋置深度不宜小于建筑物高度的1/15；除岩石地基外，高层建筑宜设地下室，高度超过50m的高层建筑应设地下室。</w:t>
      </w:r>
    </w:p>
    <w:p w14:paraId="731096A4">
      <w:pPr>
        <w:adjustRightInd w:val="0"/>
        <w:snapToGrid w:val="0"/>
        <w:spacing w:line="340" w:lineRule="exact"/>
        <w:rPr>
          <w:color w:val="auto"/>
          <w:szCs w:val="21"/>
        </w:rPr>
      </w:pPr>
      <w:r>
        <w:rPr>
          <w:b/>
          <w:bCs/>
          <w:color w:val="auto"/>
          <w:szCs w:val="21"/>
        </w:rPr>
        <w:t>7.1.5</w:t>
      </w:r>
      <w:r>
        <w:rPr>
          <w:color w:val="auto"/>
          <w:szCs w:val="21"/>
        </w:rPr>
        <w:t xml:space="preserve">  对临近边坡坡肩的建筑物，基础埋深应通过边坡稳定性分析确定。</w:t>
      </w:r>
    </w:p>
    <w:p w14:paraId="6E01F8EB">
      <w:pPr>
        <w:adjustRightInd w:val="0"/>
        <w:snapToGrid w:val="0"/>
        <w:spacing w:line="340" w:lineRule="exact"/>
        <w:rPr>
          <w:color w:val="auto"/>
          <w:szCs w:val="21"/>
        </w:rPr>
      </w:pPr>
      <w:r>
        <w:rPr>
          <w:b/>
          <w:bCs/>
          <w:color w:val="auto"/>
          <w:szCs w:val="21"/>
        </w:rPr>
        <w:t>7.1.6</w:t>
      </w:r>
      <w:r>
        <w:rPr>
          <w:color w:val="auto"/>
          <w:szCs w:val="21"/>
        </w:rPr>
        <w:t xml:space="preserve">  在膨胀土和红黏土分布区，基础埋深应符合本文件第11.1节、第11.2节的有关规定。</w:t>
      </w:r>
    </w:p>
    <w:p w14:paraId="25969509">
      <w:pPr>
        <w:adjustRightInd w:val="0"/>
        <w:snapToGrid w:val="0"/>
        <w:spacing w:line="340" w:lineRule="exact"/>
        <w:rPr>
          <w:color w:val="auto"/>
          <w:szCs w:val="21"/>
        </w:rPr>
      </w:pPr>
      <w:r>
        <w:rPr>
          <w:b/>
          <w:bCs/>
          <w:color w:val="auto"/>
          <w:szCs w:val="21"/>
        </w:rPr>
        <w:t>7.1.7</w:t>
      </w:r>
      <w:r>
        <w:rPr>
          <w:color w:val="auto"/>
          <w:szCs w:val="21"/>
        </w:rPr>
        <w:t xml:space="preserve">  相邻基础之间埋深的高差应视土质情况、荷载大小和基础形式而定，最大高差不宜大于两基础之间净距的二分之一。土质较好时上述限制可适当放宽。同一基础底面标高变化时，设置台阶的高宽比不宜大于1:2。山区地基按本文件第10.1.6条规定执行。</w:t>
      </w:r>
    </w:p>
    <w:p w14:paraId="06EDC382">
      <w:pPr>
        <w:adjustRightInd w:val="0"/>
        <w:snapToGrid w:val="0"/>
        <w:spacing w:line="340" w:lineRule="exact"/>
        <w:rPr>
          <w:color w:val="auto"/>
          <w:szCs w:val="21"/>
        </w:rPr>
      </w:pPr>
      <w:r>
        <w:rPr>
          <w:b/>
          <w:bCs/>
          <w:color w:val="auto"/>
          <w:szCs w:val="21"/>
        </w:rPr>
        <w:t>7.1.8</w:t>
      </w:r>
      <w:r>
        <w:rPr>
          <w:color w:val="auto"/>
          <w:spacing w:val="-2"/>
          <w:szCs w:val="21"/>
        </w:rPr>
        <w:t xml:space="preserve">  当相邻建筑物采用天然地基时，新建建筑物的基础埋深不宜大于原有建筑物基础埋深。当埋深大于原有建筑物基础时，</w:t>
      </w:r>
      <w:r>
        <w:rPr>
          <w:rFonts w:hint="eastAsia"/>
          <w:color w:val="auto"/>
          <w:spacing w:val="-2"/>
          <w:szCs w:val="21"/>
        </w:rPr>
        <w:t>两基础之间的高差应经计算确定，并满足本文件第</w:t>
      </w:r>
      <w:r>
        <w:rPr>
          <w:color w:val="auto"/>
          <w:spacing w:val="-2"/>
          <w:szCs w:val="21"/>
        </w:rPr>
        <w:t>7.1.7</w:t>
      </w:r>
      <w:r>
        <w:rPr>
          <w:rFonts w:hint="eastAsia"/>
          <w:color w:val="auto"/>
          <w:spacing w:val="-2"/>
          <w:szCs w:val="21"/>
        </w:rPr>
        <w:t>条的规定</w:t>
      </w:r>
      <w:r>
        <w:rPr>
          <w:color w:val="auto"/>
          <w:spacing w:val="-2"/>
          <w:szCs w:val="21"/>
        </w:rPr>
        <w:t>，必要</w:t>
      </w:r>
      <w:r>
        <w:rPr>
          <w:color w:val="auto"/>
          <w:szCs w:val="21"/>
        </w:rPr>
        <w:t>时应对相邻建筑物采取加固或可靠的隔离保护措施。</w:t>
      </w:r>
    </w:p>
    <w:p w14:paraId="2BACC229">
      <w:pPr>
        <w:adjustRightInd w:val="0"/>
        <w:snapToGrid w:val="0"/>
        <w:rPr>
          <w:color w:val="auto"/>
          <w:szCs w:val="21"/>
        </w:rPr>
      </w:pPr>
    </w:p>
    <w:p w14:paraId="0F9E8AC1">
      <w:pPr>
        <w:adjustRightInd w:val="0"/>
        <w:snapToGrid w:val="0"/>
        <w:spacing w:line="340" w:lineRule="exact"/>
        <w:outlineLvl w:val="1"/>
        <w:rPr>
          <w:rFonts w:eastAsia="黑体"/>
          <w:b/>
          <w:bCs/>
          <w:color w:val="auto"/>
          <w:szCs w:val="21"/>
        </w:rPr>
      </w:pPr>
      <w:bookmarkStart w:id="14" w:name="_Toc199943577"/>
      <w:r>
        <w:rPr>
          <w:rFonts w:eastAsia="黑体"/>
          <w:b/>
          <w:bCs/>
          <w:color w:val="auto"/>
          <w:szCs w:val="21"/>
        </w:rPr>
        <w:t>7.2  承载力计算</w:t>
      </w:r>
      <w:bookmarkEnd w:id="14"/>
    </w:p>
    <w:p w14:paraId="336F010B">
      <w:pPr>
        <w:adjustRightInd w:val="0"/>
        <w:snapToGrid w:val="0"/>
        <w:spacing w:line="340" w:lineRule="exact"/>
        <w:ind w:left="3"/>
        <w:jc w:val="center"/>
        <w:rPr>
          <w:rFonts w:eastAsia="黑体"/>
          <w:b/>
          <w:color w:val="auto"/>
          <w:szCs w:val="21"/>
        </w:rPr>
      </w:pPr>
    </w:p>
    <w:p w14:paraId="2ED684D4">
      <w:pPr>
        <w:adjustRightInd w:val="0"/>
        <w:snapToGrid w:val="0"/>
        <w:spacing w:line="340" w:lineRule="exact"/>
        <w:rPr>
          <w:color w:val="auto"/>
          <w:szCs w:val="21"/>
        </w:rPr>
      </w:pPr>
      <w:r>
        <w:rPr>
          <w:b/>
          <w:bCs/>
          <w:color w:val="auto"/>
          <w:szCs w:val="21"/>
        </w:rPr>
        <w:t>7.2.1</w:t>
      </w:r>
      <w:r>
        <w:rPr>
          <w:color w:val="auto"/>
          <w:szCs w:val="21"/>
        </w:rPr>
        <w:t xml:space="preserve">  基础底面的压力，应符合</w:t>
      </w:r>
      <w:r>
        <w:rPr>
          <w:rFonts w:hint="eastAsia"/>
          <w:color w:val="auto"/>
          <w:lang w:val="en-US" w:eastAsia="zh-CN"/>
        </w:rPr>
        <w:t>公式（5）~（6）</w:t>
      </w:r>
      <w:r>
        <w:rPr>
          <w:color w:val="auto"/>
          <w:szCs w:val="21"/>
        </w:rPr>
        <w:t>要求：</w:t>
      </w:r>
    </w:p>
    <w:p w14:paraId="7BBB593F">
      <w:pPr>
        <w:adjustRightInd w:val="0"/>
        <w:snapToGrid w:val="0"/>
        <w:spacing w:line="340" w:lineRule="exact"/>
        <w:ind w:firstLine="420"/>
        <w:rPr>
          <w:color w:val="auto"/>
          <w:szCs w:val="21"/>
        </w:rPr>
      </w:pPr>
      <w:r>
        <w:rPr>
          <w:color w:val="auto"/>
          <w:szCs w:val="21"/>
        </w:rPr>
        <w:t>当轴心荷载作用时</w:t>
      </w:r>
    </w:p>
    <w:p w14:paraId="1CB34F66">
      <w:pPr>
        <w:pStyle w:val="12"/>
        <w:jc w:val="right"/>
        <w:rPr>
          <w:color w:val="auto"/>
          <w:szCs w:val="21"/>
        </w:rPr>
      </w:pPr>
      <w:r>
        <w:rPr>
          <w:i/>
          <w:color w:val="auto"/>
          <w:szCs w:val="21"/>
        </w:rPr>
        <w:t xml:space="preserve">        </w:t>
      </w:r>
      <w:r>
        <w:rPr>
          <w:i/>
          <w:color w:val="auto"/>
          <w:position w:val="-12"/>
          <w:szCs w:val="21"/>
        </w:rPr>
        <w:object>
          <v:shape id="_x0000_i1041" o:spt="75" type="#_x0000_t75" style="height:18pt;width:15pt;" o:ole="t" filled="f" o:preferrelative="t" stroked="f" coordsize="21600,21600">
            <v:path/>
            <v:fill on="f" focussize="0,0"/>
            <v:stroke on="f" joinstyle="miter"/>
            <v:imagedata r:id="rId44" o:title=""/>
            <o:lock v:ext="edit" aspectratio="t"/>
            <w10:wrap type="none"/>
            <w10:anchorlock/>
          </v:shape>
          <o:OLEObject Type="Embed" ProgID="Equation.DSMT4" ShapeID="_x0000_i1041" DrawAspect="Content" ObjectID="_1468075741" r:id="rId43">
            <o:LockedField>false</o:LockedField>
          </o:OLEObject>
        </w:object>
      </w:r>
      <w:r>
        <w:rPr>
          <w:i/>
          <w:color w:val="auto"/>
          <w:szCs w:val="21"/>
        </w:rPr>
        <w:t>≤</w:t>
      </w:r>
      <w:r>
        <w:rPr>
          <w:i/>
          <w:color w:val="auto"/>
          <w:position w:val="-12"/>
          <w:szCs w:val="21"/>
        </w:rPr>
        <w:object>
          <v:shape id="_x0000_i1042" o:spt="75" type="#_x0000_t75" style="height:18pt;width:12.75pt;" o:ole="t" filled="f" o:preferrelative="t" stroked="f" coordsize="21600,21600">
            <v:path/>
            <v:fill on="f" focussize="0,0"/>
            <v:stroke on="f" joinstyle="miter"/>
            <v:imagedata r:id="rId46" o:title=""/>
            <o:lock v:ext="edit" aspectratio="t"/>
            <w10:wrap type="none"/>
            <w10:anchorlock/>
          </v:shape>
          <o:OLEObject Type="Embed" ProgID="Equation.DSMT4" ShapeID="_x0000_i1042" DrawAspect="Content" ObjectID="_1468075742" r:id="rId4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w:t>
      </w:r>
      <w:r>
        <w:rPr>
          <w:color w:val="auto"/>
          <w:szCs w:val="21"/>
        </w:rPr>
        <w:fldChar w:fldCharType="end"/>
      </w:r>
      <w:r>
        <w:rPr>
          <w:color w:val="auto"/>
          <w:szCs w:val="21"/>
        </w:rPr>
        <w:t>）</w:t>
      </w:r>
    </w:p>
    <w:p w14:paraId="628530DA">
      <w:pPr>
        <w:adjustRightInd w:val="0"/>
        <w:snapToGrid w:val="0"/>
        <w:spacing w:line="240" w:lineRule="atLeast"/>
        <w:rPr>
          <w:color w:val="auto"/>
          <w:szCs w:val="21"/>
        </w:rPr>
      </w:pPr>
      <w:r>
        <w:rPr>
          <w:color w:val="auto"/>
          <w:szCs w:val="21"/>
        </w:rPr>
        <w:t xml:space="preserve">式中  </w:t>
      </w:r>
      <w:r>
        <w:rPr>
          <w:i/>
          <w:color w:val="auto"/>
          <w:position w:val="-12"/>
          <w:szCs w:val="21"/>
        </w:rPr>
        <w:object>
          <v:shape id="_x0000_i1043" o:spt="75" type="#_x0000_t75" style="height:18pt;width:15pt;" o:ole="t" filled="f" o:preferrelative="t" stroked="f" coordsize="21600,21600">
            <v:path/>
            <v:fill on="f" focussize="0,0"/>
            <v:stroke on="f" joinstyle="miter"/>
            <v:imagedata r:id="rId44" o:title=""/>
            <o:lock v:ext="edit" aspectratio="t"/>
            <w10:wrap type="none"/>
            <w10:anchorlock/>
          </v:shape>
          <o:OLEObject Type="Embed" ProgID="Equation.DSMT4" ShapeID="_x0000_i1043" DrawAspect="Content" ObjectID="_1468075743" r:id="rId47">
            <o:LockedField>false</o:LockedField>
          </o:OLEObject>
        </w:object>
      </w:r>
      <w:r>
        <w:rPr>
          <w:color w:val="auto"/>
          <w:szCs w:val="21"/>
        </w:rPr>
        <w:t>——相应于作用的标准组合时，基础底面处的平均压力值（kPa）；</w:t>
      </w:r>
    </w:p>
    <w:p w14:paraId="6D7A9997">
      <w:pPr>
        <w:adjustRightInd w:val="0"/>
        <w:snapToGrid w:val="0"/>
        <w:spacing w:line="340" w:lineRule="exact"/>
        <w:ind w:left="1247" w:leftChars="313" w:hanging="590" w:hangingChars="281"/>
        <w:rPr>
          <w:color w:val="auto"/>
          <w:szCs w:val="21"/>
        </w:rPr>
      </w:pPr>
      <w:r>
        <w:rPr>
          <w:i/>
          <w:color w:val="auto"/>
          <w:position w:val="-12"/>
          <w:szCs w:val="21"/>
        </w:rPr>
        <w:object>
          <v:shape id="_x0000_i1044" o:spt="75" type="#_x0000_t75" style="height:18pt;width:12.75pt;" o:ole="t" filled="f" o:preferrelative="t" stroked="f" coordsize="21600,21600">
            <v:path/>
            <v:fill on="f" focussize="0,0"/>
            <v:stroke on="f" joinstyle="miter"/>
            <v:imagedata r:id="rId46" o:title=""/>
            <o:lock v:ext="edit" aspectratio="t"/>
            <w10:wrap type="none"/>
            <w10:anchorlock/>
          </v:shape>
          <o:OLEObject Type="Embed" ProgID="Equation.DSMT4" ShapeID="_x0000_i1044" DrawAspect="Content" ObjectID="_1468075744" r:id="rId48">
            <o:LockedField>false</o:LockedField>
          </o:OLEObject>
        </w:object>
      </w:r>
      <w:r>
        <w:rPr>
          <w:color w:val="auto"/>
          <w:szCs w:val="21"/>
        </w:rPr>
        <w:t>——按抗剪强度指标确定的地基承载力特征值或修正后的地基承载力特征值（kPa）。</w:t>
      </w:r>
    </w:p>
    <w:p w14:paraId="6BBF2ACA">
      <w:pPr>
        <w:adjustRightInd w:val="0"/>
        <w:snapToGrid w:val="0"/>
        <w:spacing w:line="340" w:lineRule="exact"/>
        <w:ind w:firstLine="420"/>
        <w:rPr>
          <w:color w:val="auto"/>
          <w:szCs w:val="21"/>
        </w:rPr>
      </w:pPr>
      <w:r>
        <w:rPr>
          <w:color w:val="auto"/>
          <w:szCs w:val="21"/>
        </w:rPr>
        <w:t>当偏心荷载作用时，除符合式(8.2.1-1)要求外，尚应符合下式要求：</w:t>
      </w:r>
    </w:p>
    <w:p w14:paraId="21A6AC08">
      <w:pPr>
        <w:pStyle w:val="12"/>
        <w:jc w:val="right"/>
        <w:rPr>
          <w:color w:val="auto"/>
          <w:szCs w:val="21"/>
        </w:rPr>
      </w:pPr>
      <w:r>
        <w:rPr>
          <w:i/>
          <w:color w:val="auto"/>
          <w:szCs w:val="21"/>
        </w:rPr>
        <w:t xml:space="preserve">        </w:t>
      </w:r>
      <w:r>
        <w:rPr>
          <w:i/>
          <w:color w:val="auto"/>
          <w:position w:val="-12"/>
          <w:szCs w:val="21"/>
        </w:rPr>
        <w:object>
          <v:shape id="_x0000_i1045" o:spt="75" type="#_x0000_t75" style="height:18pt;width:24.75pt;" o:ole="t" filled="f" o:preferrelative="t" stroked="f" coordsize="21600,21600">
            <v:path/>
            <v:fill on="f" focussize="0,0"/>
            <v:stroke on="f" joinstyle="miter"/>
            <v:imagedata r:id="rId50" o:title=""/>
            <o:lock v:ext="edit" aspectratio="t"/>
            <w10:wrap type="none"/>
            <w10:anchorlock/>
          </v:shape>
          <o:OLEObject Type="Embed" ProgID="Equation.DSMT4" ShapeID="_x0000_i1045" DrawAspect="Content" ObjectID="_1468075745" r:id="rId49">
            <o:LockedField>false</o:LockedField>
          </o:OLEObject>
        </w:object>
      </w:r>
      <w:r>
        <w:rPr>
          <w:i/>
          <w:color w:val="auto"/>
          <w:szCs w:val="21"/>
        </w:rPr>
        <w:t>≤</w:t>
      </w:r>
      <w:r>
        <w:rPr>
          <w:i/>
          <w:color w:val="auto"/>
          <w:position w:val="-12"/>
          <w:szCs w:val="21"/>
        </w:rPr>
        <w:object>
          <v:shape id="_x0000_i1046" o:spt="75" type="#_x0000_t75" style="height:18pt;width:24.75pt;" o:ole="t" filled="f" o:preferrelative="t" stroked="f" coordsize="21600,21600">
            <v:path/>
            <v:fill on="f" focussize="0,0"/>
            <v:stroke on="f" joinstyle="miter"/>
            <v:imagedata r:id="rId52" o:title=""/>
            <o:lock v:ext="edit" aspectratio="t"/>
            <w10:wrap type="none"/>
            <w10:anchorlock/>
          </v:shape>
          <o:OLEObject Type="Embed" ProgID="Equation.DSMT4" ShapeID="_x0000_i1046" DrawAspect="Content" ObjectID="_1468075746" r:id="rId51">
            <o:LockedField>false</o:LockedField>
          </o:OLEObject>
        </w:object>
      </w:r>
      <w:r>
        <w:rPr>
          <w:color w:val="auto"/>
          <w:szCs w:val="21"/>
          <w:vertAlign w:val="subscript"/>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w:t>
      </w:r>
      <w:r>
        <w:rPr>
          <w:color w:val="auto"/>
          <w:szCs w:val="21"/>
        </w:rPr>
        <w:fldChar w:fldCharType="end"/>
      </w:r>
      <w:r>
        <w:rPr>
          <w:color w:val="auto"/>
          <w:szCs w:val="21"/>
        </w:rPr>
        <w:t>)</w:t>
      </w:r>
    </w:p>
    <w:p w14:paraId="65CDE971">
      <w:pPr>
        <w:adjustRightInd w:val="0"/>
        <w:snapToGrid w:val="0"/>
        <w:spacing w:line="360" w:lineRule="atLeast"/>
        <w:ind w:left="1567" w:hanging="1566" w:hangingChars="746"/>
        <w:rPr>
          <w:color w:val="auto"/>
          <w:szCs w:val="21"/>
        </w:rPr>
      </w:pPr>
      <w:r>
        <w:rPr>
          <w:color w:val="auto"/>
          <w:szCs w:val="21"/>
        </w:rPr>
        <w:t xml:space="preserve">式中  </w:t>
      </w:r>
      <w:r>
        <w:rPr>
          <w:i/>
          <w:color w:val="auto"/>
          <w:position w:val="-12"/>
          <w:szCs w:val="21"/>
        </w:rPr>
        <w:object>
          <v:shape id="_x0000_i1047" o:spt="75" type="#_x0000_t75" style="height:18pt;width:24.75pt;" o:ole="t" filled="f" o:preferrelative="t" stroked="f" coordsize="21600,21600">
            <v:path/>
            <v:fill on="f" focussize="0,0"/>
            <v:stroke on="f" joinstyle="miter"/>
            <v:imagedata r:id="rId50" o:title=""/>
            <o:lock v:ext="edit" aspectratio="t"/>
            <w10:wrap type="none"/>
            <w10:anchorlock/>
          </v:shape>
          <o:OLEObject Type="Embed" ProgID="Equation.DSMT4" ShapeID="_x0000_i1047" DrawAspect="Content" ObjectID="_1468075747" r:id="rId53">
            <o:LockedField>false</o:LockedField>
          </o:OLEObject>
        </w:object>
      </w:r>
      <w:r>
        <w:rPr>
          <w:color w:val="auto"/>
          <w:szCs w:val="21"/>
        </w:rPr>
        <w:t>——相应于作用的标准组合时，基础底面边缘的最大压力值（kPa）。</w:t>
      </w:r>
    </w:p>
    <w:p w14:paraId="47603CFC">
      <w:pPr>
        <w:adjustRightInd w:val="0"/>
        <w:snapToGrid w:val="0"/>
        <w:spacing w:line="360" w:lineRule="atLeast"/>
        <w:rPr>
          <w:color w:val="auto"/>
          <w:szCs w:val="21"/>
        </w:rPr>
      </w:pPr>
      <w:r>
        <w:rPr>
          <w:b/>
          <w:bCs/>
          <w:color w:val="auto"/>
          <w:szCs w:val="21"/>
        </w:rPr>
        <w:t>7.2.2</w:t>
      </w:r>
      <w:r>
        <w:rPr>
          <w:color w:val="auto"/>
          <w:szCs w:val="21"/>
        </w:rPr>
        <w:t xml:space="preserve">  基础底面的压力，可按</w:t>
      </w:r>
      <w:r>
        <w:rPr>
          <w:rFonts w:hint="eastAsia"/>
          <w:color w:val="auto"/>
          <w:lang w:val="en-US" w:eastAsia="zh-CN"/>
        </w:rPr>
        <w:t>公式（7）~（9）</w:t>
      </w:r>
      <w:r>
        <w:rPr>
          <w:color w:val="auto"/>
          <w:szCs w:val="21"/>
        </w:rPr>
        <w:t>确定：</w:t>
      </w:r>
    </w:p>
    <w:p w14:paraId="7ADB0C21">
      <w:pPr>
        <w:adjustRightInd w:val="0"/>
        <w:snapToGrid w:val="0"/>
        <w:spacing w:line="360" w:lineRule="atLeast"/>
        <w:ind w:firstLine="422" w:firstLineChars="200"/>
        <w:rPr>
          <w:color w:val="auto"/>
          <w:szCs w:val="21"/>
        </w:rPr>
      </w:pPr>
      <w:r>
        <w:rPr>
          <w:b/>
          <w:bCs/>
          <w:color w:val="auto"/>
          <w:szCs w:val="21"/>
        </w:rPr>
        <w:t>a)</w:t>
      </w:r>
      <w:r>
        <w:rPr>
          <w:color w:val="auto"/>
          <w:szCs w:val="21"/>
        </w:rPr>
        <w:t xml:space="preserve">  当轴心荷载作用时</w:t>
      </w:r>
    </w:p>
    <w:p w14:paraId="45B75D5F">
      <w:pPr>
        <w:pStyle w:val="12"/>
        <w:jc w:val="right"/>
        <w:rPr>
          <w:color w:val="auto"/>
          <w:szCs w:val="21"/>
        </w:rPr>
      </w:pPr>
      <w:r>
        <w:rPr>
          <w:i/>
          <w:color w:val="auto"/>
          <w:szCs w:val="21"/>
        </w:rPr>
        <w:t xml:space="preserve">        </w:t>
      </w:r>
      <w:r>
        <w:rPr>
          <w:i/>
          <w:color w:val="auto"/>
          <w:position w:val="-24"/>
          <w:szCs w:val="21"/>
        </w:rPr>
        <w:object>
          <v:shape id="_x0000_i1048" o:spt="75" type="#_x0000_t75" style="height:30.75pt;width:69.75pt;" o:ole="t" filled="f" o:preferrelative="t" stroked="f" coordsize="21600,21600">
            <v:path/>
            <v:fill on="f" focussize="0,0"/>
            <v:stroke on="f" joinstyle="miter"/>
            <v:imagedata r:id="rId55" o:title=""/>
            <o:lock v:ext="edit" aspectratio="t"/>
            <w10:wrap type="none"/>
            <w10:anchorlock/>
          </v:shape>
          <o:OLEObject Type="Embed" ProgID="Equation.DSMT4" ShapeID="_x0000_i1048" DrawAspect="Content" ObjectID="_1468075748" r:id="rId54">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w:t>
      </w:r>
      <w:r>
        <w:rPr>
          <w:color w:val="auto"/>
          <w:szCs w:val="21"/>
        </w:rPr>
        <w:fldChar w:fldCharType="end"/>
      </w:r>
      <w:r>
        <w:rPr>
          <w:color w:val="auto"/>
          <w:szCs w:val="21"/>
        </w:rPr>
        <w:t>)</w:t>
      </w:r>
    </w:p>
    <w:p w14:paraId="280C0420">
      <w:pPr>
        <w:adjustRightInd w:val="0"/>
        <w:snapToGrid w:val="0"/>
        <w:spacing w:line="360" w:lineRule="atLeast"/>
        <w:ind w:left="1273" w:hanging="1272" w:hangingChars="606"/>
        <w:rPr>
          <w:color w:val="auto"/>
          <w:szCs w:val="21"/>
        </w:rPr>
      </w:pPr>
      <w:r>
        <w:rPr>
          <w:color w:val="auto"/>
          <w:szCs w:val="21"/>
        </w:rPr>
        <w:t xml:space="preserve">式中  </w:t>
      </w:r>
      <w:r>
        <w:rPr>
          <w:i/>
          <w:color w:val="auto"/>
          <w:szCs w:val="21"/>
        </w:rPr>
        <w:t>F</w:t>
      </w:r>
      <w:r>
        <w:rPr>
          <w:iCs/>
          <w:color w:val="auto"/>
          <w:szCs w:val="21"/>
          <w:vertAlign w:val="subscript"/>
        </w:rPr>
        <w:t>k</w:t>
      </w:r>
      <w:r>
        <w:rPr>
          <w:color w:val="auto"/>
          <w:szCs w:val="21"/>
        </w:rPr>
        <w:t>——相应于作用的标准组合时，上部结构传至基础顶面的竖向力值（kN）；</w:t>
      </w:r>
    </w:p>
    <w:p w14:paraId="3539643D">
      <w:pPr>
        <w:adjustRightInd w:val="0"/>
        <w:snapToGrid w:val="0"/>
        <w:spacing w:line="360" w:lineRule="atLeast"/>
        <w:ind w:left="-18" w:leftChars="-67" w:hanging="123" w:hangingChars="59"/>
        <w:rPr>
          <w:color w:val="auto"/>
          <w:szCs w:val="21"/>
        </w:rPr>
      </w:pPr>
      <w:r>
        <w:rPr>
          <w:color w:val="auto"/>
          <w:szCs w:val="21"/>
        </w:rPr>
        <w:t xml:space="preserve">       </w:t>
      </w:r>
      <w:r>
        <w:rPr>
          <w:i/>
          <w:color w:val="auto"/>
          <w:szCs w:val="21"/>
        </w:rPr>
        <w:t>G</w:t>
      </w:r>
      <w:r>
        <w:rPr>
          <w:iCs/>
          <w:color w:val="auto"/>
          <w:sz w:val="24"/>
          <w:szCs w:val="21"/>
          <w:vertAlign w:val="subscript"/>
        </w:rPr>
        <w:t>k</w:t>
      </w:r>
      <w:r>
        <w:rPr>
          <w:color w:val="auto"/>
          <w:szCs w:val="21"/>
        </w:rPr>
        <w:t>——基础自重和基础上的土重（kN）；</w:t>
      </w:r>
    </w:p>
    <w:p w14:paraId="2B890E5D">
      <w:pPr>
        <w:adjustRightInd w:val="0"/>
        <w:snapToGrid w:val="0"/>
        <w:spacing w:line="360" w:lineRule="atLeast"/>
        <w:ind w:left="-8" w:leftChars="-4" w:firstLine="720" w:firstLineChars="343"/>
        <w:rPr>
          <w:color w:val="auto"/>
          <w:szCs w:val="21"/>
        </w:rPr>
      </w:pPr>
      <w:r>
        <w:rPr>
          <w:i/>
          <w:color w:val="auto"/>
          <w:szCs w:val="21"/>
        </w:rPr>
        <w:t>A</w:t>
      </w:r>
      <w:r>
        <w:rPr>
          <w:color w:val="auto"/>
          <w:szCs w:val="21"/>
        </w:rPr>
        <w:t>——基础底面面积（m</w:t>
      </w:r>
      <w:r>
        <w:rPr>
          <w:color w:val="auto"/>
          <w:szCs w:val="21"/>
          <w:vertAlign w:val="superscript"/>
        </w:rPr>
        <w:t>2</w:t>
      </w:r>
      <w:r>
        <w:rPr>
          <w:color w:val="auto"/>
          <w:szCs w:val="21"/>
        </w:rPr>
        <w:t>）。</w:t>
      </w:r>
    </w:p>
    <w:p w14:paraId="06C2B490">
      <w:pPr>
        <w:adjustRightInd w:val="0"/>
        <w:snapToGrid w:val="0"/>
        <w:spacing w:line="360" w:lineRule="atLeast"/>
        <w:ind w:firstLine="422" w:firstLineChars="200"/>
        <w:rPr>
          <w:color w:val="auto"/>
          <w:szCs w:val="21"/>
        </w:rPr>
      </w:pPr>
      <w:r>
        <w:rPr>
          <w:b/>
          <w:bCs/>
          <w:color w:val="auto"/>
          <w:szCs w:val="21"/>
        </w:rPr>
        <w:t>b)</w:t>
      </w:r>
      <w:r>
        <w:rPr>
          <w:color w:val="auto"/>
          <w:szCs w:val="21"/>
        </w:rPr>
        <w:t xml:space="preserve">  当偏心荷载作用时</w:t>
      </w:r>
    </w:p>
    <w:p w14:paraId="39E7070B">
      <w:pPr>
        <w:pStyle w:val="12"/>
        <w:jc w:val="right"/>
        <w:rPr>
          <w:color w:val="auto"/>
          <w:szCs w:val="21"/>
        </w:rPr>
      </w:pPr>
      <w:r>
        <w:rPr>
          <w:i/>
          <w:color w:val="auto"/>
          <w:position w:val="-24"/>
          <w:szCs w:val="21"/>
        </w:rPr>
        <w:object>
          <v:shape id="_x0000_i1049" o:spt="75" type="#_x0000_t75" style="height:30.75pt;width:102pt;" o:ole="t" filled="f" o:preferrelative="t" stroked="f" coordsize="21600,21600">
            <v:path/>
            <v:fill on="f" focussize="0,0"/>
            <v:stroke on="f" joinstyle="miter"/>
            <v:imagedata r:id="rId57" o:title=""/>
            <o:lock v:ext="edit" aspectratio="t"/>
            <w10:wrap type="none"/>
            <w10:anchorlock/>
          </v:shape>
          <o:OLEObject Type="Embed" ProgID="Equation.DSMT4" ShapeID="_x0000_i1049" DrawAspect="Content" ObjectID="_1468075749" r:id="rId56">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w:t>
      </w:r>
      <w:r>
        <w:rPr>
          <w:color w:val="auto"/>
          <w:szCs w:val="21"/>
        </w:rPr>
        <w:fldChar w:fldCharType="end"/>
      </w:r>
      <w:r>
        <w:rPr>
          <w:color w:val="auto"/>
          <w:szCs w:val="21"/>
        </w:rPr>
        <w:t>)</w:t>
      </w:r>
    </w:p>
    <w:p w14:paraId="597F56D9">
      <w:pPr>
        <w:pStyle w:val="12"/>
        <w:jc w:val="right"/>
        <w:rPr>
          <w:color w:val="auto"/>
          <w:szCs w:val="21"/>
        </w:rPr>
      </w:pPr>
      <w:r>
        <w:rPr>
          <w:i/>
          <w:color w:val="auto"/>
          <w:position w:val="-24"/>
          <w:szCs w:val="21"/>
        </w:rPr>
        <w:object>
          <v:shape id="_x0000_i1050" o:spt="75" type="#_x0000_t75" style="height:30.75pt;width:102pt;" o:ole="t" filled="f" o:preferrelative="t" stroked="f" coordsize="21600,21600">
            <v:path/>
            <v:fill on="f" focussize="0,0"/>
            <v:stroke on="f" joinstyle="miter"/>
            <v:imagedata r:id="rId59" o:title=""/>
            <o:lock v:ext="edit" aspectratio="t"/>
            <w10:wrap type="none"/>
            <w10:anchorlock/>
          </v:shape>
          <o:OLEObject Type="Embed" ProgID="Equation.DSMT4" ShapeID="_x0000_i1050" DrawAspect="Content" ObjectID="_1468075750" r:id="rId58">
            <o:LockedField>false</o:LockedField>
          </o:OLEObject>
        </w:object>
      </w:r>
      <w:r>
        <w:rPr>
          <w:i/>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w:t>
      </w:r>
      <w:r>
        <w:rPr>
          <w:color w:val="auto"/>
          <w:szCs w:val="21"/>
        </w:rPr>
        <w:fldChar w:fldCharType="end"/>
      </w:r>
      <w:r>
        <w:rPr>
          <w:color w:val="auto"/>
          <w:szCs w:val="21"/>
        </w:rPr>
        <w:t>)</w:t>
      </w:r>
    </w:p>
    <w:p w14:paraId="5A44B175">
      <w:pPr>
        <w:adjustRightInd w:val="0"/>
        <w:snapToGrid w:val="0"/>
        <w:spacing w:line="360" w:lineRule="atLeast"/>
        <w:ind w:left="1315" w:hanging="1314" w:hangingChars="626"/>
        <w:rPr>
          <w:color w:val="auto"/>
          <w:szCs w:val="21"/>
        </w:rPr>
      </w:pPr>
      <w:r>
        <w:rPr>
          <w:color w:val="auto"/>
          <w:szCs w:val="21"/>
        </w:rPr>
        <mc:AlternateContent>
          <mc:Choice Requires="wps">
            <w:drawing>
              <wp:anchor distT="0" distB="0" distL="114300" distR="114300" simplePos="0" relativeHeight="251660288" behindDoc="1" locked="0" layoutInCell="1" allowOverlap="1">
                <wp:simplePos x="0" y="0"/>
                <wp:positionH relativeFrom="column">
                  <wp:posOffset>3517265</wp:posOffset>
                </wp:positionH>
                <wp:positionV relativeFrom="paragraph">
                  <wp:posOffset>123190</wp:posOffset>
                </wp:positionV>
                <wp:extent cx="2266950" cy="1981200"/>
                <wp:effectExtent l="0" t="3175" r="0" b="0"/>
                <wp:wrapTight wrapText="bothSides">
                  <wp:wrapPolygon>
                    <wp:start x="0" y="0"/>
                    <wp:lineTo x="21600" y="0"/>
                    <wp:lineTo x="21600" y="21600"/>
                    <wp:lineTo x="0" y="21600"/>
                    <wp:lineTo x="0" y="0"/>
                  </wp:wrapPolygon>
                </wp:wrapTight>
                <wp:docPr id="3" name="Text Box 23"/>
                <wp:cNvGraphicFramePr/>
                <a:graphic xmlns:a="http://schemas.openxmlformats.org/drawingml/2006/main">
                  <a:graphicData uri="http://schemas.microsoft.com/office/word/2010/wordprocessingShape">
                    <wps:wsp>
                      <wps:cNvSpPr txBox="1">
                        <a:spLocks noChangeArrowheads="1"/>
                      </wps:cNvSpPr>
                      <wps:spPr bwMode="auto">
                        <a:xfrm>
                          <a:off x="0" y="0"/>
                          <a:ext cx="2266950" cy="1981200"/>
                        </a:xfrm>
                        <a:prstGeom prst="rect">
                          <a:avLst/>
                        </a:prstGeom>
                        <a:noFill/>
                        <a:ln>
                          <a:noFill/>
                        </a:ln>
                        <a:effectLst/>
                      </wps:spPr>
                      <wps:txbx>
                        <w:txbxContent>
                          <w:p w14:paraId="715EAD9A">
                            <w:pPr>
                              <w:jc w:val="center"/>
                            </w:pPr>
                            <w:r>
                              <w:drawing>
                                <wp:inline distT="0" distB="0" distL="0" distR="0">
                                  <wp:extent cx="1590675" cy="1352550"/>
                                  <wp:effectExtent l="0" t="0" r="0" b="0"/>
                                  <wp:docPr id="331"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1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590675" cy="1352550"/>
                                          </a:xfrm>
                                          <a:prstGeom prst="rect">
                                            <a:avLst/>
                                          </a:prstGeom>
                                          <a:noFill/>
                                          <a:ln>
                                            <a:noFill/>
                                          </a:ln>
                                        </pic:spPr>
                                      </pic:pic>
                                    </a:graphicData>
                                  </a:graphic>
                                </wp:inline>
                              </w:drawing>
                            </w:r>
                          </w:p>
                          <w:p w14:paraId="036D47E9">
                            <w:pPr>
                              <w:snapToGrid w:val="0"/>
                              <w:spacing w:line="240" w:lineRule="atLeast"/>
                              <w:ind w:left="994" w:hanging="994" w:hangingChars="550"/>
                              <w:rPr>
                                <w:rFonts w:ascii="宋体" w:hAnsi="宋体"/>
                                <w:b/>
                                <w:sz w:val="18"/>
                                <w:szCs w:val="18"/>
                              </w:rPr>
                            </w:pPr>
                            <w:r>
                              <w:rPr>
                                <w:rFonts w:hint="eastAsia" w:ascii="宋体" w:hAnsi="宋体"/>
                                <w:b/>
                                <w:sz w:val="18"/>
                                <w:szCs w:val="18"/>
                              </w:rPr>
                              <w:t>图</w:t>
                            </w:r>
                            <w:r>
                              <w:rPr>
                                <w:b/>
                                <w:sz w:val="18"/>
                                <w:szCs w:val="18"/>
                              </w:rPr>
                              <w:t>1</w:t>
                            </w:r>
                            <w:r>
                              <w:rPr>
                                <w:rFonts w:hint="eastAsia" w:ascii="宋体" w:hAnsi="宋体"/>
                                <w:b/>
                                <w:sz w:val="18"/>
                                <w:szCs w:val="18"/>
                              </w:rPr>
                              <w:t xml:space="preserve"> 偏心荷载(</w:t>
                            </w:r>
                            <w:r>
                              <w:rPr>
                                <w:b/>
                                <w:i/>
                                <w:sz w:val="18"/>
                                <w:szCs w:val="18"/>
                              </w:rPr>
                              <w:t>e</w:t>
                            </w:r>
                            <w:r>
                              <w:rPr>
                                <w:rFonts w:hAnsi="宋体"/>
                                <w:b/>
                                <w:sz w:val="18"/>
                                <w:szCs w:val="18"/>
                              </w:rPr>
                              <w:t>＞</w:t>
                            </w:r>
                            <w:r>
                              <w:rPr>
                                <w:b/>
                                <w:i/>
                                <w:sz w:val="18"/>
                                <w:szCs w:val="18"/>
                              </w:rPr>
                              <w:t>b</w:t>
                            </w:r>
                            <w:r>
                              <w:rPr>
                                <w:b/>
                                <w:sz w:val="18"/>
                                <w:szCs w:val="18"/>
                              </w:rPr>
                              <w:t>/6</w:t>
                            </w:r>
                            <w:r>
                              <w:rPr>
                                <w:rFonts w:hint="eastAsia" w:ascii="宋体" w:hAnsi="宋体"/>
                                <w:b/>
                                <w:sz w:val="18"/>
                                <w:szCs w:val="18"/>
                              </w:rPr>
                              <w:t>)下基底压力计算示意图</w:t>
                            </w:r>
                          </w:p>
                          <w:p w14:paraId="256CE720">
                            <w:pPr>
                              <w:snapToGrid w:val="0"/>
                              <w:spacing w:line="240" w:lineRule="atLeast"/>
                              <w:ind w:firstLine="542" w:firstLineChars="300"/>
                              <w:rPr>
                                <w:rFonts w:ascii="宋体" w:hAnsi="宋体"/>
                                <w:b/>
                                <w:sz w:val="18"/>
                                <w:szCs w:val="18"/>
                              </w:rPr>
                            </w:pPr>
                            <w:r>
                              <w:rPr>
                                <w:b/>
                                <w:i/>
                                <w:iCs/>
                                <w:sz w:val="18"/>
                                <w:szCs w:val="18"/>
                              </w:rPr>
                              <w:t>b</w:t>
                            </w:r>
                            <w:r>
                              <w:rPr>
                                <w:rFonts w:hint="eastAsia" w:ascii="宋体" w:hAnsi="宋体"/>
                                <w:b/>
                                <w:sz w:val="18"/>
                                <w:szCs w:val="18"/>
                              </w:rPr>
                              <w:t>——力矩作用方向基础底面边长</w:t>
                            </w:r>
                          </w:p>
                          <w:p w14:paraId="147AE073"/>
                        </w:txbxContent>
                      </wps:txbx>
                      <wps:bodyPr rot="0" vert="horz" wrap="square" lIns="91440" tIns="45720" rIns="91440" bIns="45720" anchor="t" anchorCtr="0" upright="1">
                        <a:noAutofit/>
                      </wps:bodyPr>
                    </wps:wsp>
                  </a:graphicData>
                </a:graphic>
              </wp:anchor>
            </w:drawing>
          </mc:Choice>
          <mc:Fallback>
            <w:pict>
              <v:shape id="Text Box 23" o:spid="_x0000_s1026" o:spt="202" type="#_x0000_t202" style="position:absolute;left:0pt;margin-left:276.95pt;margin-top:9.7pt;height:156pt;width:178.5pt;mso-wrap-distance-left:9pt;mso-wrap-distance-right:9pt;z-index:-251656192;mso-width-relative:page;mso-height-relative:page;" filled="f" stroked="f" coordsize="21600,21600" wrapcoords="0 0 21600 0 21600 21600 0 21600 0 0" o:gfxdata="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SpWk41wAAAAoBAAAPAAAAAAAAAAEAIAAA&#10;ACIAAABkcnMvZG93bnJldi54bWxQSwECFAAUAAAACACHTuJAAQezYQ0CAAAkBAAADgAAAAAAAAAB&#10;ACAAAAAmAQAAZHJzL2Uyb0RvYy54bWxQSwUGAAAAAAYABgBZAQAApQUAAAAA&#10;">
                <v:fill on="f" focussize="0,0"/>
                <v:stroke on="f"/>
                <v:imagedata o:title=""/>
                <o:lock v:ext="edit" aspectratio="f"/>
                <v:textbox>
                  <w:txbxContent>
                    <w:p w14:paraId="715EAD9A">
                      <w:pPr>
                        <w:jc w:val="center"/>
                      </w:pPr>
                      <w:r>
                        <w:drawing>
                          <wp:inline distT="0" distB="0" distL="0" distR="0">
                            <wp:extent cx="1590675" cy="1352550"/>
                            <wp:effectExtent l="0" t="0" r="0" b="0"/>
                            <wp:docPr id="331"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1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590675" cy="1352550"/>
                                    </a:xfrm>
                                    <a:prstGeom prst="rect">
                                      <a:avLst/>
                                    </a:prstGeom>
                                    <a:noFill/>
                                    <a:ln>
                                      <a:noFill/>
                                    </a:ln>
                                  </pic:spPr>
                                </pic:pic>
                              </a:graphicData>
                            </a:graphic>
                          </wp:inline>
                        </w:drawing>
                      </w:r>
                    </w:p>
                    <w:p w14:paraId="036D47E9">
                      <w:pPr>
                        <w:snapToGrid w:val="0"/>
                        <w:spacing w:line="240" w:lineRule="atLeast"/>
                        <w:ind w:left="994" w:hanging="994" w:hangingChars="550"/>
                        <w:rPr>
                          <w:rFonts w:ascii="宋体" w:hAnsi="宋体"/>
                          <w:b/>
                          <w:sz w:val="18"/>
                          <w:szCs w:val="18"/>
                        </w:rPr>
                      </w:pPr>
                      <w:r>
                        <w:rPr>
                          <w:rFonts w:hint="eastAsia" w:ascii="宋体" w:hAnsi="宋体"/>
                          <w:b/>
                          <w:sz w:val="18"/>
                          <w:szCs w:val="18"/>
                        </w:rPr>
                        <w:t>图</w:t>
                      </w:r>
                      <w:r>
                        <w:rPr>
                          <w:b/>
                          <w:sz w:val="18"/>
                          <w:szCs w:val="18"/>
                        </w:rPr>
                        <w:t>1</w:t>
                      </w:r>
                      <w:r>
                        <w:rPr>
                          <w:rFonts w:hint="eastAsia" w:ascii="宋体" w:hAnsi="宋体"/>
                          <w:b/>
                          <w:sz w:val="18"/>
                          <w:szCs w:val="18"/>
                        </w:rPr>
                        <w:t xml:space="preserve"> 偏心荷载(</w:t>
                      </w:r>
                      <w:r>
                        <w:rPr>
                          <w:b/>
                          <w:i/>
                          <w:sz w:val="18"/>
                          <w:szCs w:val="18"/>
                        </w:rPr>
                        <w:t>e</w:t>
                      </w:r>
                      <w:r>
                        <w:rPr>
                          <w:rFonts w:hAnsi="宋体"/>
                          <w:b/>
                          <w:sz w:val="18"/>
                          <w:szCs w:val="18"/>
                        </w:rPr>
                        <w:t>＞</w:t>
                      </w:r>
                      <w:r>
                        <w:rPr>
                          <w:b/>
                          <w:i/>
                          <w:sz w:val="18"/>
                          <w:szCs w:val="18"/>
                        </w:rPr>
                        <w:t>b</w:t>
                      </w:r>
                      <w:r>
                        <w:rPr>
                          <w:b/>
                          <w:sz w:val="18"/>
                          <w:szCs w:val="18"/>
                        </w:rPr>
                        <w:t>/6</w:t>
                      </w:r>
                      <w:r>
                        <w:rPr>
                          <w:rFonts w:hint="eastAsia" w:ascii="宋体" w:hAnsi="宋体"/>
                          <w:b/>
                          <w:sz w:val="18"/>
                          <w:szCs w:val="18"/>
                        </w:rPr>
                        <w:t>)下基底压力计算示意图</w:t>
                      </w:r>
                    </w:p>
                    <w:p w14:paraId="256CE720">
                      <w:pPr>
                        <w:snapToGrid w:val="0"/>
                        <w:spacing w:line="240" w:lineRule="atLeast"/>
                        <w:ind w:firstLine="542" w:firstLineChars="300"/>
                        <w:rPr>
                          <w:rFonts w:ascii="宋体" w:hAnsi="宋体"/>
                          <w:b/>
                          <w:sz w:val="18"/>
                          <w:szCs w:val="18"/>
                        </w:rPr>
                      </w:pPr>
                      <w:r>
                        <w:rPr>
                          <w:b/>
                          <w:i/>
                          <w:iCs/>
                          <w:sz w:val="18"/>
                          <w:szCs w:val="18"/>
                        </w:rPr>
                        <w:t>b</w:t>
                      </w:r>
                      <w:r>
                        <w:rPr>
                          <w:rFonts w:hint="eastAsia" w:ascii="宋体" w:hAnsi="宋体"/>
                          <w:b/>
                          <w:sz w:val="18"/>
                          <w:szCs w:val="18"/>
                        </w:rPr>
                        <w:t>——力矩作用方向基础底面边长</w:t>
                      </w:r>
                    </w:p>
                    <w:p w14:paraId="147AE073"/>
                  </w:txbxContent>
                </v:textbox>
                <w10:wrap type="tight"/>
              </v:shape>
            </w:pict>
          </mc:Fallback>
        </mc:AlternateContent>
      </w:r>
      <w:r>
        <w:rPr>
          <w:color w:val="auto"/>
          <w:szCs w:val="21"/>
        </w:rPr>
        <w:t xml:space="preserve">式中  </w:t>
      </w:r>
      <w:r>
        <w:rPr>
          <w:i/>
          <w:color w:val="auto"/>
          <w:szCs w:val="21"/>
        </w:rPr>
        <w:t>M</w:t>
      </w:r>
      <w:r>
        <w:rPr>
          <w:iCs/>
          <w:color w:val="auto"/>
          <w:szCs w:val="21"/>
          <w:vertAlign w:val="subscript"/>
        </w:rPr>
        <w:t>k</w:t>
      </w:r>
      <w:r>
        <w:rPr>
          <w:color w:val="auto"/>
          <w:szCs w:val="21"/>
        </w:rPr>
        <w:t>——相应于作用的标准组合时，作用于基础底面的力矩值（kN•m）；；</w:t>
      </w:r>
    </w:p>
    <w:p w14:paraId="0A965544">
      <w:pPr>
        <w:adjustRightInd w:val="0"/>
        <w:snapToGrid w:val="0"/>
        <w:spacing w:line="360" w:lineRule="atLeast"/>
        <w:ind w:left="-13" w:leftChars="-6" w:firstLine="109" w:firstLineChars="52"/>
        <w:rPr>
          <w:color w:val="auto"/>
          <w:szCs w:val="21"/>
        </w:rPr>
      </w:pPr>
      <w:r>
        <w:rPr>
          <w:color w:val="auto"/>
          <w:szCs w:val="21"/>
        </w:rPr>
        <w:t xml:space="preserve">      </w:t>
      </w:r>
      <w:r>
        <w:rPr>
          <w:i/>
          <w:color w:val="auto"/>
          <w:szCs w:val="21"/>
        </w:rPr>
        <w:t>W</w:t>
      </w:r>
      <w:r>
        <w:rPr>
          <w:color w:val="auto"/>
          <w:szCs w:val="21"/>
        </w:rPr>
        <w:t>——基础底面的抵抗矩（m</w:t>
      </w:r>
      <w:r>
        <w:rPr>
          <w:color w:val="auto"/>
          <w:szCs w:val="21"/>
          <w:vertAlign w:val="superscript"/>
        </w:rPr>
        <w:t>3</w:t>
      </w:r>
      <w:r>
        <w:rPr>
          <w:color w:val="auto"/>
          <w:szCs w:val="21"/>
        </w:rPr>
        <w:t>）；</w:t>
      </w:r>
    </w:p>
    <w:p w14:paraId="2F6E20E1">
      <w:pPr>
        <w:adjustRightInd w:val="0"/>
        <w:snapToGrid w:val="0"/>
        <w:spacing w:line="360" w:lineRule="atLeast"/>
        <w:ind w:left="1312" w:leftChars="239" w:hanging="810" w:hangingChars="386"/>
        <w:rPr>
          <w:color w:val="auto"/>
          <w:szCs w:val="21"/>
        </w:rPr>
      </w:pPr>
      <w:r>
        <w:rPr>
          <w:i/>
          <w:color w:val="auto"/>
          <w:szCs w:val="21"/>
        </w:rPr>
        <w:t>p</w:t>
      </w:r>
      <w:r>
        <w:rPr>
          <w:iCs/>
          <w:color w:val="auto"/>
          <w:szCs w:val="21"/>
          <w:vertAlign w:val="subscript"/>
        </w:rPr>
        <w:t>km</w:t>
      </w:r>
      <w:r>
        <w:rPr>
          <w:i/>
          <w:color w:val="auto"/>
          <w:szCs w:val="21"/>
          <w:vertAlign w:val="subscript"/>
        </w:rPr>
        <w:t>i</w:t>
      </w:r>
      <w:r>
        <w:rPr>
          <w:iCs/>
          <w:color w:val="auto"/>
          <w:szCs w:val="21"/>
          <w:vertAlign w:val="subscript"/>
        </w:rPr>
        <w:t>n</w:t>
      </w:r>
      <w:r>
        <w:rPr>
          <w:color w:val="auto"/>
          <w:szCs w:val="21"/>
        </w:rPr>
        <w:t>——相应于作用的标准组合时，基础底面边缘的最小压力值（kPa）。</w:t>
      </w:r>
    </w:p>
    <w:p w14:paraId="29F69B71">
      <w:pPr>
        <w:adjustRightInd w:val="0"/>
        <w:snapToGrid w:val="0"/>
        <w:spacing w:line="360" w:lineRule="atLeast"/>
        <w:ind w:firstLine="420"/>
        <w:rPr>
          <w:color w:val="auto"/>
          <w:szCs w:val="21"/>
        </w:rPr>
      </w:pPr>
      <w:r>
        <w:rPr>
          <w:color w:val="auto"/>
          <w:szCs w:val="21"/>
        </w:rPr>
        <w:t>当偏心距</w:t>
      </w:r>
      <w:r>
        <w:rPr>
          <w:i/>
          <w:color w:val="auto"/>
          <w:szCs w:val="21"/>
        </w:rPr>
        <w:t>e</w:t>
      </w:r>
      <w:r>
        <w:rPr>
          <w:color w:val="auto"/>
          <w:szCs w:val="21"/>
        </w:rPr>
        <w:t>＞</w:t>
      </w:r>
      <w:r>
        <w:rPr>
          <w:i/>
          <w:color w:val="auto"/>
          <w:szCs w:val="21"/>
        </w:rPr>
        <w:t>b</w:t>
      </w:r>
      <w:r>
        <w:rPr>
          <w:color w:val="auto"/>
          <w:szCs w:val="21"/>
        </w:rPr>
        <w:t>/6时（图1），</w:t>
      </w:r>
      <w:r>
        <w:rPr>
          <w:i/>
          <w:color w:val="auto"/>
          <w:szCs w:val="21"/>
        </w:rPr>
        <w:t>p</w:t>
      </w:r>
      <w:r>
        <w:rPr>
          <w:iCs/>
          <w:color w:val="auto"/>
          <w:szCs w:val="21"/>
          <w:vertAlign w:val="subscript"/>
        </w:rPr>
        <w:t>kmax</w:t>
      </w:r>
      <w:r>
        <w:rPr>
          <w:color w:val="auto"/>
          <w:szCs w:val="21"/>
        </w:rPr>
        <w:t>应按</w:t>
      </w:r>
      <w:r>
        <w:rPr>
          <w:rFonts w:hint="eastAsia"/>
          <w:color w:val="auto"/>
          <w:lang w:val="en-US" w:eastAsia="zh-CN"/>
        </w:rPr>
        <w:t>公式（10）</w:t>
      </w:r>
      <w:r>
        <w:rPr>
          <w:color w:val="auto"/>
          <w:szCs w:val="21"/>
        </w:rPr>
        <w:t>计算：</w:t>
      </w:r>
    </w:p>
    <w:p w14:paraId="57E22A30">
      <w:pPr>
        <w:pStyle w:val="12"/>
        <w:jc w:val="right"/>
        <w:rPr>
          <w:color w:val="auto"/>
          <w:szCs w:val="21"/>
        </w:rPr>
      </w:pPr>
      <w:r>
        <w:rPr>
          <w:i/>
          <w:color w:val="auto"/>
          <w:position w:val="-24"/>
          <w:szCs w:val="21"/>
        </w:rPr>
        <w:object>
          <v:shape id="_x0000_i1051" o:spt="75" type="#_x0000_t75" style="height:30.75pt;width:89.25pt;" o:ole="t" filled="f" o:preferrelative="t" stroked="f" coordsize="21600,21600">
            <v:path/>
            <v:fill on="f" focussize="0,0"/>
            <v:stroke on="f" joinstyle="miter"/>
            <v:imagedata r:id="rId62" o:title=""/>
            <o:lock v:ext="edit" aspectratio="t"/>
            <w10:wrap type="none"/>
            <w10:anchorlock/>
          </v:shape>
          <o:OLEObject Type="Embed" ProgID="Equation.DSMT4" ShapeID="_x0000_i1051" DrawAspect="Content" ObjectID="_1468075751" r:id="rId6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w:t>
      </w:r>
      <w:r>
        <w:rPr>
          <w:color w:val="auto"/>
          <w:szCs w:val="21"/>
        </w:rPr>
        <w:fldChar w:fldCharType="end"/>
      </w:r>
      <w:r>
        <w:rPr>
          <w:color w:val="auto"/>
          <w:szCs w:val="21"/>
        </w:rPr>
        <w:t>)</w:t>
      </w:r>
    </w:p>
    <w:p w14:paraId="57515879">
      <w:pPr>
        <w:adjustRightInd w:val="0"/>
        <w:snapToGrid w:val="0"/>
        <w:spacing w:line="360" w:lineRule="atLeast"/>
        <w:ind w:left="1134" w:hanging="1134" w:hangingChars="540"/>
        <w:rPr>
          <w:color w:val="auto"/>
          <w:szCs w:val="21"/>
        </w:rPr>
      </w:pPr>
      <w:r>
        <w:rPr>
          <w:color w:val="auto"/>
          <w:szCs w:val="21"/>
        </w:rPr>
        <w:t xml:space="preserve">式中  </w:t>
      </w:r>
      <w:r>
        <w:rPr>
          <w:i/>
          <w:color w:val="auto"/>
          <w:szCs w:val="21"/>
        </w:rPr>
        <w:t>l</w:t>
      </w:r>
      <w:r>
        <w:rPr>
          <w:color w:val="auto"/>
          <w:szCs w:val="21"/>
        </w:rPr>
        <w:t>——垂直于力矩作用方向的基础底面边长</w:t>
      </w:r>
      <w:r>
        <w:rPr>
          <w:rFonts w:hint="eastAsia"/>
          <w:color w:val="auto"/>
          <w:szCs w:val="21"/>
        </w:rPr>
        <w:t>（</w:t>
      </w:r>
      <w:r>
        <w:rPr>
          <w:color w:val="auto"/>
          <w:szCs w:val="21"/>
        </w:rPr>
        <w:t>m</w:t>
      </w:r>
      <w:r>
        <w:rPr>
          <w:rFonts w:hint="eastAsia"/>
          <w:color w:val="auto"/>
          <w:szCs w:val="21"/>
        </w:rPr>
        <w:t>）</w:t>
      </w:r>
      <w:r>
        <w:rPr>
          <w:color w:val="auto"/>
          <w:szCs w:val="21"/>
        </w:rPr>
        <w:t>；</w:t>
      </w:r>
    </w:p>
    <w:p w14:paraId="1EA0F9DE">
      <w:pPr>
        <w:adjustRightInd w:val="0"/>
        <w:snapToGrid w:val="0"/>
        <w:spacing w:line="360" w:lineRule="atLeast"/>
        <w:ind w:left="1104" w:leftChars="272" w:hanging="533" w:hangingChars="254"/>
        <w:rPr>
          <w:color w:val="auto"/>
          <w:szCs w:val="21"/>
        </w:rPr>
      </w:pPr>
      <w:r>
        <w:rPr>
          <w:i/>
          <w:color w:val="auto"/>
          <w:szCs w:val="21"/>
        </w:rPr>
        <w:t>a</w:t>
      </w:r>
      <w:r>
        <w:rPr>
          <w:color w:val="auto"/>
          <w:szCs w:val="21"/>
        </w:rPr>
        <w:t>——合力作用点至基础底面最大压力边缘的距离</w:t>
      </w:r>
      <w:r>
        <w:rPr>
          <w:rFonts w:hint="eastAsia"/>
          <w:color w:val="auto"/>
          <w:szCs w:val="21"/>
        </w:rPr>
        <w:t>（</w:t>
      </w:r>
      <w:r>
        <w:rPr>
          <w:color w:val="auto"/>
          <w:szCs w:val="21"/>
        </w:rPr>
        <w:t>m</w:t>
      </w:r>
      <w:r>
        <w:rPr>
          <w:rFonts w:hint="eastAsia"/>
          <w:color w:val="auto"/>
          <w:szCs w:val="21"/>
        </w:rPr>
        <w:t>）</w:t>
      </w:r>
      <w:r>
        <w:rPr>
          <w:color w:val="auto"/>
          <w:szCs w:val="21"/>
        </w:rPr>
        <w:t>。</w:t>
      </w:r>
    </w:p>
    <w:p w14:paraId="567C2093">
      <w:pPr>
        <w:adjustRightInd w:val="0"/>
        <w:snapToGrid w:val="0"/>
        <w:spacing w:line="340" w:lineRule="exact"/>
        <w:rPr>
          <w:color w:val="auto"/>
          <w:szCs w:val="21"/>
        </w:rPr>
      </w:pPr>
      <w:r>
        <w:rPr>
          <w:b/>
          <w:bCs/>
          <w:color w:val="auto"/>
          <w:szCs w:val="21"/>
        </w:rPr>
        <w:t>7.2.3</w:t>
      </w:r>
      <w:r>
        <w:rPr>
          <w:color w:val="auto"/>
          <w:szCs w:val="21"/>
        </w:rPr>
        <w:t xml:space="preserve">  地基承载力特征值由载荷试验或其他原位测试、公式计算等方法，并结合工程经验综合确定。对甲级设计等级的建筑物应采用载荷试验结合理论公式计算或其他原位测试等方法确定；对乙级设计等级及表3以外丙级设计等级的建筑物应采用理论公式计算并结合本文件6.2.4条的规定确定；对表3所列的设计等级为丙级的不作沉降验算的建筑物可按本文件6.2.4条的规定或其他原位测试方法确定。</w:t>
      </w:r>
    </w:p>
    <w:p w14:paraId="3413D0BD">
      <w:pPr>
        <w:adjustRightInd w:val="0"/>
        <w:snapToGrid w:val="0"/>
        <w:spacing w:line="340" w:lineRule="exact"/>
        <w:rPr>
          <w:color w:val="auto"/>
          <w:szCs w:val="21"/>
        </w:rPr>
      </w:pPr>
      <w:r>
        <w:rPr>
          <w:b/>
          <w:bCs/>
          <w:color w:val="auto"/>
          <w:szCs w:val="21"/>
        </w:rPr>
        <w:t>7.2.4</w:t>
      </w:r>
      <w:r>
        <w:rPr>
          <w:color w:val="auto"/>
          <w:szCs w:val="21"/>
        </w:rPr>
        <w:t xml:space="preserve">  用公式计算地基承载力时，应符合</w:t>
      </w:r>
      <w:r>
        <w:rPr>
          <w:iCs/>
          <w:color w:val="auto"/>
          <w:szCs w:val="21"/>
        </w:rPr>
        <w:t>GB</w:t>
      </w:r>
      <w:r>
        <w:rPr>
          <w:rFonts w:hint="eastAsia"/>
          <w:iCs/>
          <w:color w:val="auto"/>
          <w:szCs w:val="21"/>
          <w:lang w:val="en-US" w:eastAsia="zh-CN"/>
        </w:rPr>
        <w:t xml:space="preserve"> </w:t>
      </w:r>
      <w:r>
        <w:rPr>
          <w:iCs/>
          <w:color w:val="auto"/>
          <w:szCs w:val="21"/>
        </w:rPr>
        <w:t>50007</w:t>
      </w:r>
      <w:r>
        <w:rPr>
          <w:color w:val="auto"/>
          <w:szCs w:val="21"/>
        </w:rPr>
        <w:t>的有关规定。</w:t>
      </w:r>
    </w:p>
    <w:p w14:paraId="6F3BEE58">
      <w:pPr>
        <w:adjustRightInd w:val="0"/>
        <w:snapToGrid w:val="0"/>
        <w:spacing w:line="340" w:lineRule="exact"/>
        <w:ind w:firstLine="420" w:firstLineChars="200"/>
        <w:rPr>
          <w:color w:val="auto"/>
          <w:szCs w:val="21"/>
        </w:rPr>
      </w:pPr>
      <w:r>
        <w:rPr>
          <w:color w:val="auto"/>
          <w:szCs w:val="21"/>
        </w:rPr>
        <w:t>对于甲级设计等级建筑物尚应</w:t>
      </w:r>
      <w:r>
        <w:rPr>
          <w:rFonts w:hint="eastAsia"/>
          <w:color w:val="auto"/>
          <w:szCs w:val="21"/>
        </w:rPr>
        <w:t>采用极限平衡法进行计算</w:t>
      </w:r>
      <w:r>
        <w:rPr>
          <w:color w:val="auto"/>
          <w:szCs w:val="21"/>
        </w:rPr>
        <w:t>，综合评价。极限平衡法应按</w:t>
      </w:r>
      <w:r>
        <w:rPr>
          <w:rFonts w:hint="eastAsia"/>
          <w:color w:val="auto"/>
          <w:lang w:val="en-US" w:eastAsia="zh-CN"/>
        </w:rPr>
        <w:t>公式（11）~（14）</w:t>
      </w:r>
      <w:r>
        <w:rPr>
          <w:color w:val="auto"/>
          <w:szCs w:val="21"/>
        </w:rPr>
        <w:t>计算极限承载力：</w:t>
      </w:r>
    </w:p>
    <w:p w14:paraId="4BFB1CE2">
      <w:pPr>
        <w:pStyle w:val="12"/>
        <w:jc w:val="right"/>
        <w:rPr>
          <w:color w:val="auto"/>
          <w:szCs w:val="21"/>
        </w:rPr>
      </w:pPr>
      <w:r>
        <w:rPr>
          <w:i/>
          <w:color w:val="auto"/>
          <w:position w:val="-14"/>
          <w:szCs w:val="21"/>
        </w:rPr>
        <w:object>
          <v:shape id="_x0000_i1052" o:spt="75" type="#_x0000_t75" style="height:18.75pt;width:162pt;" o:ole="t" filled="f" o:preferrelative="t" stroked="f" coordsize="21600,21600">
            <v:path/>
            <v:fill on="f" focussize="0,0"/>
            <v:stroke on="f" joinstyle="miter"/>
            <v:imagedata r:id="rId64" o:title=""/>
            <o:lock v:ext="edit" aspectratio="t"/>
            <w10:wrap type="none"/>
            <w10:anchorlock/>
          </v:shape>
          <o:OLEObject Type="Embed" ProgID="Equation.DSMT4" ShapeID="_x0000_i1052" DrawAspect="Content" ObjectID="_1468075752" r:id="rId63">
            <o:LockedField>false</o:LockedField>
          </o:OLEObject>
        </w:object>
      </w:r>
      <w:r>
        <w:rPr>
          <w:color w:val="auto"/>
          <w:szCs w:val="21"/>
          <w:vertAlign w:val="sub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11</w:t>
      </w:r>
      <w:r>
        <w:rPr>
          <w:color w:val="auto"/>
          <w:szCs w:val="21"/>
        </w:rPr>
        <w:fldChar w:fldCharType="end"/>
      </w:r>
      <w:r>
        <w:rPr>
          <w:color w:val="auto"/>
          <w:szCs w:val="21"/>
        </w:rPr>
        <w:t>)</w:t>
      </w:r>
    </w:p>
    <w:p w14:paraId="268EF6FE">
      <w:pPr>
        <w:pStyle w:val="12"/>
        <w:jc w:val="right"/>
        <w:rPr>
          <w:color w:val="auto"/>
          <w:szCs w:val="21"/>
        </w:rPr>
      </w:pPr>
      <w:r>
        <w:rPr>
          <w:i/>
          <w:color w:val="auto"/>
          <w:position w:val="-24"/>
          <w:szCs w:val="21"/>
        </w:rPr>
        <w:object>
          <v:shape id="_x0000_i1053" o:spt="75" type="#_x0000_t75" style="height:30.75pt;width:117.75pt;" o:ole="t" filled="f" o:preferrelative="t" stroked="f" coordsize="21600,21600">
            <v:path/>
            <v:fill on="f" focussize="0,0"/>
            <v:stroke on="f" joinstyle="miter"/>
            <v:imagedata r:id="rId66" o:title=""/>
            <o:lock v:ext="edit" aspectratio="t"/>
            <w10:wrap type="none"/>
            <w10:anchorlock/>
          </v:shape>
          <o:OLEObject Type="Embed" ProgID="Equation.DSMT4" ShapeID="_x0000_i1053" DrawAspect="Content" ObjectID="_1468075753" r:id="rId65">
            <o:LockedField>false</o:LockedField>
          </o:OLEObject>
        </w:object>
      </w:r>
      <w:r>
        <w:rPr>
          <w:i/>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12</w:t>
      </w:r>
      <w:r>
        <w:rPr>
          <w:color w:val="auto"/>
          <w:szCs w:val="21"/>
        </w:rPr>
        <w:fldChar w:fldCharType="end"/>
      </w:r>
      <w:r>
        <w:rPr>
          <w:color w:val="auto"/>
          <w:szCs w:val="21"/>
        </w:rPr>
        <w:t>)</w:t>
      </w:r>
    </w:p>
    <w:p w14:paraId="66CD46F6">
      <w:pPr>
        <w:pStyle w:val="12"/>
        <w:jc w:val="right"/>
        <w:rPr>
          <w:color w:val="auto"/>
          <w:szCs w:val="21"/>
        </w:rPr>
      </w:pPr>
      <w:r>
        <w:rPr>
          <w:color w:val="auto"/>
          <w:position w:val="-14"/>
          <w:szCs w:val="21"/>
        </w:rPr>
        <w:object>
          <v:shape id="_x0000_i1054" o:spt="75" type="#_x0000_t75" style="height:18.75pt;width:89.25pt;" o:ole="t" filled="f" o:preferrelative="t" stroked="f" coordsize="21600,21600">
            <v:path/>
            <v:fill on="f" focussize="0,0"/>
            <v:stroke on="f" joinstyle="miter"/>
            <v:imagedata r:id="rId68" o:title=""/>
            <o:lock v:ext="edit" aspectratio="t"/>
            <w10:wrap type="none"/>
            <w10:anchorlock/>
          </v:shape>
          <o:OLEObject Type="Embed" ProgID="Equation.DSMT4" ShapeID="_x0000_i1054" DrawAspect="Content" ObjectID="_1468075754" r:id="rId67">
            <o:LockedField>false</o:LockedField>
          </o:OLEObject>
        </w:object>
      </w:r>
      <w:r>
        <w:rPr>
          <w:color w:val="auto"/>
          <w:szCs w:val="21"/>
          <w:vertAlign w:val="subscript"/>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13</w:t>
      </w:r>
      <w:r>
        <w:rPr>
          <w:color w:val="auto"/>
          <w:szCs w:val="21"/>
        </w:rPr>
        <w:fldChar w:fldCharType="end"/>
      </w:r>
      <w:r>
        <w:rPr>
          <w:color w:val="auto"/>
          <w:szCs w:val="21"/>
        </w:rPr>
        <w:t>)</w:t>
      </w:r>
    </w:p>
    <w:p w14:paraId="7DDEA637">
      <w:pPr>
        <w:pStyle w:val="12"/>
        <w:jc w:val="right"/>
        <w:rPr>
          <w:color w:val="auto"/>
          <w:szCs w:val="21"/>
        </w:rPr>
      </w:pPr>
      <w:r>
        <w:rPr>
          <w:color w:val="auto"/>
          <w:position w:val="-14"/>
          <w:szCs w:val="21"/>
        </w:rPr>
        <w:object>
          <v:shape id="_x0000_i1055" o:spt="75" type="#_x0000_t75" style="height:18.75pt;width:96.75pt;" o:ole="t" filled="f" o:preferrelative="t" stroked="f" coordsize="21600,21600">
            <v:path/>
            <v:fill on="f" focussize="0,0"/>
            <v:stroke on="f" joinstyle="miter"/>
            <v:imagedata r:id="rId70" o:title=""/>
            <o:lock v:ext="edit" aspectratio="t"/>
            <w10:wrap type="none"/>
            <w10:anchorlock/>
          </v:shape>
          <o:OLEObject Type="Embed" ProgID="Equation.DSMT4" ShapeID="_x0000_i1055" DrawAspect="Content" ObjectID="_1468075755" r:id="rId69">
            <o:LockedField>false</o:LockedField>
          </o:OLEObject>
        </w:object>
      </w:r>
      <w:r>
        <w:rPr>
          <w:color w:val="auto"/>
          <w:szCs w:val="21"/>
          <w:vertAlign w:val="subscript"/>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14</w:t>
      </w:r>
      <w:r>
        <w:rPr>
          <w:color w:val="auto"/>
          <w:szCs w:val="21"/>
        </w:rPr>
        <w:fldChar w:fldCharType="end"/>
      </w:r>
      <w:r>
        <w:rPr>
          <w:color w:val="auto"/>
          <w:szCs w:val="21"/>
        </w:rPr>
        <w:t>)</w:t>
      </w:r>
    </w:p>
    <w:p w14:paraId="32382973">
      <w:pPr>
        <w:adjustRightInd w:val="0"/>
        <w:snapToGrid w:val="0"/>
        <w:spacing w:before="156" w:beforeLines="50" w:line="340" w:lineRule="exact"/>
        <w:rPr>
          <w:color w:val="auto"/>
          <w:szCs w:val="21"/>
        </w:rPr>
      </w:pPr>
      <w:r>
        <w:rPr>
          <w:color w:val="auto"/>
          <w:szCs w:val="21"/>
        </w:rPr>
        <w:t xml:space="preserve">式中        </w:t>
      </w:r>
      <w:r>
        <w:rPr>
          <w:i/>
          <w:color w:val="auto"/>
          <w:szCs w:val="21"/>
        </w:rPr>
        <w:t>f</w:t>
      </w:r>
      <w:r>
        <w:rPr>
          <w:iCs/>
          <w:color w:val="auto"/>
          <w:szCs w:val="21"/>
          <w:vertAlign w:val="subscript"/>
        </w:rPr>
        <w:t>u</w:t>
      </w:r>
      <w:r>
        <w:rPr>
          <w:color w:val="auto"/>
          <w:szCs w:val="21"/>
        </w:rPr>
        <w:t>——极限承载力（</w:t>
      </w:r>
      <w:r>
        <w:rPr>
          <w:iCs/>
          <w:color w:val="auto"/>
          <w:szCs w:val="21"/>
        </w:rPr>
        <w:t>kPa</w:t>
      </w:r>
      <w:r>
        <w:rPr>
          <w:color w:val="auto"/>
          <w:szCs w:val="21"/>
        </w:rPr>
        <w:t>）；</w:t>
      </w:r>
    </w:p>
    <w:p w14:paraId="05590C6C">
      <w:pPr>
        <w:adjustRightInd w:val="0"/>
        <w:snapToGrid w:val="0"/>
        <w:spacing w:line="240" w:lineRule="atLeast"/>
        <w:ind w:firstLine="42" w:firstLineChars="20"/>
        <w:rPr>
          <w:color w:val="auto"/>
          <w:szCs w:val="21"/>
        </w:rPr>
      </w:pPr>
      <w:r>
        <w:rPr>
          <w:color w:val="auto"/>
          <w:position w:val="-14"/>
          <w:szCs w:val="21"/>
        </w:rPr>
        <w:object>
          <v:shape id="_x0000_i1056" o:spt="75" type="#_x0000_t75" style="height:18.75pt;width:16.5pt;" o:ole="t" filled="f" o:preferrelative="t" stroked="f" coordsize="21600,21600">
            <v:path/>
            <v:fill on="f" focussize="0,0"/>
            <v:stroke on="f" joinstyle="miter"/>
            <v:imagedata r:id="rId72" o:title=""/>
            <o:lock v:ext="edit" aspectratio="t"/>
            <w10:wrap type="none"/>
            <w10:anchorlock/>
          </v:shape>
          <o:OLEObject Type="Embed" ProgID="Equation.DSMT4" ShapeID="_x0000_i1056" DrawAspect="Content" ObjectID="_1468075756" r:id="rId71">
            <o:LockedField>false</o:LockedField>
          </o:OLEObject>
        </w:object>
      </w:r>
      <w:r>
        <w:rPr>
          <w:color w:val="auto"/>
          <w:szCs w:val="21"/>
        </w:rPr>
        <w:t>、</w:t>
      </w:r>
      <w:r>
        <w:rPr>
          <w:color w:val="auto"/>
          <w:position w:val="-14"/>
          <w:szCs w:val="21"/>
        </w:rPr>
        <w:object>
          <v:shape id="_x0000_i1057" o:spt="75" type="#_x0000_t75" style="height:18.75pt;width:15pt;" o:ole="t" filled="f" o:preferrelative="t" stroked="f" coordsize="21600,21600">
            <v:path/>
            <v:fill on="f" focussize="0,0"/>
            <v:stroke on="f" joinstyle="miter"/>
            <v:imagedata r:id="rId74" o:title=""/>
            <o:lock v:ext="edit" aspectratio="t"/>
            <w10:wrap type="none"/>
            <w10:anchorlock/>
          </v:shape>
          <o:OLEObject Type="Embed" ProgID="Equation.DSMT4" ShapeID="_x0000_i1057" DrawAspect="Content" ObjectID="_1468075757" r:id="rId73">
            <o:LockedField>false</o:LockedField>
          </o:OLEObject>
        </w:object>
      </w:r>
      <w:r>
        <w:rPr>
          <w:color w:val="auto"/>
          <w:szCs w:val="21"/>
        </w:rPr>
        <w:t>、</w:t>
      </w:r>
      <w:r>
        <w:rPr>
          <w:color w:val="auto"/>
          <w:position w:val="-12"/>
          <w:szCs w:val="21"/>
        </w:rPr>
        <w:object>
          <v:shape id="_x0000_i1058" o:spt="75" type="#_x0000_t75" style="height:18pt;width:15pt;" o:ole="t" filled="f" o:preferrelative="t" stroked="f" coordsize="21600,21600">
            <v:path/>
            <v:fill on="f" focussize="0,0"/>
            <v:stroke on="f" joinstyle="miter"/>
            <v:imagedata r:id="rId76" o:title=""/>
            <o:lock v:ext="edit" aspectratio="t"/>
            <w10:wrap type="none"/>
            <w10:anchorlock/>
          </v:shape>
          <o:OLEObject Type="Embed" ProgID="Equation.DSMT4" ShapeID="_x0000_i1058" DrawAspect="Content" ObjectID="_1468075758" r:id="rId75">
            <o:LockedField>false</o:LockedField>
          </o:OLEObject>
        </w:object>
      </w:r>
      <w:r>
        <w:rPr>
          <w:color w:val="auto"/>
          <w:szCs w:val="21"/>
        </w:rPr>
        <w:t>——承载力系数，按表17根据</w:t>
      </w:r>
      <w:r>
        <w:rPr>
          <w:color w:val="auto"/>
          <w:position w:val="-12"/>
          <w:szCs w:val="21"/>
        </w:rPr>
        <w:object>
          <v:shape id="_x0000_i1059" o:spt="75" type="#_x0000_t75" style="height:18pt;width:15pt;" o:ole="t" filled="f" o:preferrelative="t" stroked="f" coordsize="21600,21600">
            <v:path/>
            <v:fill on="f" focussize="0,0"/>
            <v:stroke on="f" joinstyle="miter"/>
            <v:imagedata r:id="rId78" o:title=""/>
            <o:lock v:ext="edit" aspectratio="t"/>
            <w10:wrap type="none"/>
            <w10:anchorlock/>
          </v:shape>
          <o:OLEObject Type="Embed" ProgID="Equation.DSMT4" ShapeID="_x0000_i1059" DrawAspect="Content" ObjectID="_1468075759" r:id="rId77">
            <o:LockedField>false</o:LockedField>
          </o:OLEObject>
        </w:object>
      </w:r>
      <w:r>
        <w:rPr>
          <w:color w:val="auto"/>
          <w:szCs w:val="21"/>
        </w:rPr>
        <w:t>查表确定；</w:t>
      </w:r>
    </w:p>
    <w:p w14:paraId="746FC929">
      <w:pPr>
        <w:adjustRightInd w:val="0"/>
        <w:snapToGrid w:val="0"/>
        <w:spacing w:line="240" w:lineRule="atLeast"/>
        <w:ind w:firstLine="222" w:firstLineChars="106"/>
        <w:rPr>
          <w:color w:val="auto"/>
          <w:szCs w:val="21"/>
        </w:rPr>
      </w:pPr>
      <w:r>
        <w:rPr>
          <w:color w:val="auto"/>
          <w:position w:val="-14"/>
          <w:szCs w:val="21"/>
        </w:rPr>
        <w:object>
          <v:shape id="_x0000_i1060" o:spt="75" type="#_x0000_t75" style="height:18.75pt;width:12.75pt;" o:ole="t" filled="f" o:preferrelative="t" stroked="f" coordsize="21600,21600">
            <v:path/>
            <v:fill on="f" focussize="0,0"/>
            <v:stroke on="f" joinstyle="miter"/>
            <v:imagedata r:id="rId80" o:title=""/>
            <o:lock v:ext="edit" aspectratio="t"/>
            <w10:wrap type="none"/>
            <w10:anchorlock/>
          </v:shape>
          <o:OLEObject Type="Embed" ProgID="Equation.DSMT4" ShapeID="_x0000_i1060" DrawAspect="Content" ObjectID="_1468075760" r:id="rId79">
            <o:LockedField>false</o:LockedField>
          </o:OLEObject>
        </w:object>
      </w:r>
      <w:r>
        <w:rPr>
          <w:color w:val="auto"/>
          <w:szCs w:val="21"/>
        </w:rPr>
        <w:t>、</w:t>
      </w:r>
      <w:r>
        <w:rPr>
          <w:color w:val="auto"/>
          <w:position w:val="-14"/>
          <w:szCs w:val="21"/>
        </w:rPr>
        <w:object>
          <v:shape id="_x0000_i1061" o:spt="75" type="#_x0000_t75" style="height:18.75pt;width:12.75pt;" o:ole="t" filled="f" o:preferrelative="t" stroked="f" coordsize="21600,21600">
            <v:path/>
            <v:fill on="f" focussize="0,0"/>
            <v:stroke on="f" joinstyle="miter"/>
            <v:imagedata r:id="rId82" o:title=""/>
            <o:lock v:ext="edit" aspectratio="t"/>
            <w10:wrap type="none"/>
            <w10:anchorlock/>
          </v:shape>
          <o:OLEObject Type="Embed" ProgID="Equation.DSMT4" ShapeID="_x0000_i1061" DrawAspect="Content" ObjectID="_1468075761" r:id="rId81">
            <o:LockedField>false</o:LockedField>
          </o:OLEObject>
        </w:object>
      </w:r>
      <w:r>
        <w:rPr>
          <w:color w:val="auto"/>
          <w:szCs w:val="21"/>
        </w:rPr>
        <w:t>、</w:t>
      </w:r>
      <w:r>
        <w:rPr>
          <w:color w:val="auto"/>
          <w:position w:val="-12"/>
          <w:szCs w:val="21"/>
        </w:rPr>
        <w:object>
          <v:shape id="_x0000_i1062" o:spt="75" type="#_x0000_t75" style="height:18pt;width:11.25pt;" o:ole="t" filled="f" o:preferrelative="t" stroked="f" coordsize="21600,21600">
            <v:path/>
            <v:fill on="f" focussize="0,0"/>
            <v:stroke on="f" joinstyle="miter"/>
            <v:imagedata r:id="rId84" o:title=""/>
            <o:lock v:ext="edit" aspectratio="t"/>
            <w10:wrap type="none"/>
            <w10:anchorlock/>
          </v:shape>
          <o:OLEObject Type="Embed" ProgID="Equation.DSMT4" ShapeID="_x0000_i1062" DrawAspect="Content" ObjectID="_1468075762" r:id="rId83">
            <o:LockedField>false</o:LockedField>
          </o:OLEObject>
        </w:object>
      </w:r>
      <w:r>
        <w:rPr>
          <w:color w:val="auto"/>
          <w:szCs w:val="21"/>
        </w:rPr>
        <w:t>——基础形状系数，按表18确定；</w:t>
      </w:r>
    </w:p>
    <w:p w14:paraId="06D2946C">
      <w:pPr>
        <w:adjustRightInd w:val="0"/>
        <w:snapToGrid w:val="0"/>
        <w:spacing w:line="240" w:lineRule="atLeast"/>
        <w:ind w:left="1847" w:leftChars="293" w:hanging="1232" w:hangingChars="587"/>
        <w:rPr>
          <w:color w:val="auto"/>
          <w:szCs w:val="21"/>
        </w:rPr>
      </w:pPr>
      <w:r>
        <w:rPr>
          <w:color w:val="auto"/>
          <w:position w:val="-12"/>
          <w:szCs w:val="21"/>
        </w:rPr>
        <w:object>
          <v:shape id="_x0000_i1063" o:spt="75" type="#_x0000_t75" style="height:18pt;width:12pt;" o:ole="t" filled="f" o:preferrelative="t" stroked="f" coordsize="21600,21600">
            <v:path/>
            <v:fill on="f" focussize="0,0"/>
            <v:stroke on="f" joinstyle="miter"/>
            <v:imagedata r:id="rId86" o:title=""/>
            <o:lock v:ext="edit" aspectratio="t"/>
            <w10:wrap type="none"/>
            <w10:anchorlock/>
          </v:shape>
          <o:OLEObject Type="Embed" ProgID="Equation.DSMT4" ShapeID="_x0000_i1063" DrawAspect="Content" ObjectID="_1468075763" r:id="rId85">
            <o:LockedField>false</o:LockedField>
          </o:OLEObject>
        </w:object>
      </w:r>
      <w:r>
        <w:rPr>
          <w:i/>
          <w:color w:val="auto"/>
          <w:szCs w:val="21"/>
          <w:vertAlign w:val="subscript"/>
        </w:rPr>
        <w:t xml:space="preserve"> </w:t>
      </w:r>
      <w:r>
        <w:rPr>
          <w:color w:val="auto"/>
          <w:szCs w:val="21"/>
        </w:rPr>
        <w:t>、</w:t>
      </w:r>
      <w:r>
        <w:rPr>
          <w:color w:val="auto"/>
          <w:position w:val="-12"/>
          <w:szCs w:val="21"/>
        </w:rPr>
        <w:object>
          <v:shape id="_x0000_i1064" o:spt="75" type="#_x0000_t75" style="height:18pt;width:15pt;" o:ole="t" filled="f" o:preferrelative="t" stroked="f" coordsize="21600,21600">
            <v:path/>
            <v:fill on="f" focussize="0,0"/>
            <v:stroke on="f" joinstyle="miter"/>
            <v:imagedata r:id="rId88" o:title=""/>
            <o:lock v:ext="edit" aspectratio="t"/>
            <w10:wrap type="none"/>
            <w10:anchorlock/>
          </v:shape>
          <o:OLEObject Type="Embed" ProgID="Equation.DSMT4" ShapeID="_x0000_i1064" DrawAspect="Content" ObjectID="_1468075764" r:id="rId87">
            <o:LockedField>false</o:LockedField>
          </o:OLEObject>
        </w:object>
      </w:r>
      <w:r>
        <w:rPr>
          <w:color w:val="auto"/>
          <w:szCs w:val="21"/>
        </w:rPr>
        <w:t>——基础底面以下深度为一倍基础宽度的范围内的土层的黏聚力标准值（</w:t>
      </w:r>
      <w:r>
        <w:rPr>
          <w:iCs/>
          <w:color w:val="auto"/>
          <w:szCs w:val="21"/>
        </w:rPr>
        <w:t>kPa</w:t>
      </w:r>
      <w:r>
        <w:rPr>
          <w:color w:val="auto"/>
          <w:szCs w:val="21"/>
        </w:rPr>
        <w:t>）、内摩擦角标准值（</w:t>
      </w:r>
      <w:r>
        <w:rPr>
          <w:iCs/>
          <w:color w:val="auto"/>
          <w:szCs w:val="21"/>
        </w:rPr>
        <w:t>deg</w:t>
      </w:r>
      <w:r>
        <w:rPr>
          <w:color w:val="auto"/>
          <w:szCs w:val="21"/>
        </w:rPr>
        <w:t xml:space="preserve">），分层土取加权平均值； </w:t>
      </w:r>
    </w:p>
    <w:p w14:paraId="40C82620">
      <w:pPr>
        <w:adjustRightInd w:val="0"/>
        <w:snapToGrid w:val="0"/>
        <w:spacing w:line="340" w:lineRule="exact"/>
        <w:ind w:left="1791" w:leftChars="1" w:hanging="1789" w:hangingChars="852"/>
        <w:rPr>
          <w:color w:val="auto"/>
          <w:szCs w:val="21"/>
        </w:rPr>
      </w:pPr>
      <w:r>
        <w:rPr>
          <w:i/>
          <w:color w:val="auto"/>
          <w:szCs w:val="21"/>
        </w:rPr>
        <w:t xml:space="preserve">           </w:t>
      </w:r>
      <w:r>
        <w:rPr>
          <w:i/>
          <w:color w:val="auto"/>
          <w:position w:val="-10"/>
          <w:szCs w:val="21"/>
        </w:rPr>
        <w:object>
          <v:shape id="_x0000_i1065" o:spt="75" type="#_x0000_t75" style="height:12pt;width:9pt;" o:ole="t" filled="f" o:preferrelative="t" stroked="f" coordsize="21600,21600">
            <v:path/>
            <v:fill on="f" focussize="0,0"/>
            <v:stroke on="f" joinstyle="miter"/>
            <v:imagedata r:id="rId90" o:title=""/>
            <o:lock v:ext="edit" aspectratio="t"/>
            <w10:wrap type="none"/>
            <w10:anchorlock/>
          </v:shape>
          <o:OLEObject Type="Embed" ProgID="Equation.DSMT4" ShapeID="_x0000_i1065" DrawAspect="Content" ObjectID="_1468075765" r:id="rId89">
            <o:LockedField>false</o:LockedField>
          </o:OLEObject>
        </w:object>
      </w:r>
      <w:r>
        <w:rPr>
          <w:color w:val="auto"/>
          <w:szCs w:val="21"/>
        </w:rPr>
        <w:t>——基础底面以下土的重度（kN/m</w:t>
      </w:r>
      <w:r>
        <w:rPr>
          <w:color w:val="auto"/>
          <w:szCs w:val="21"/>
          <w:vertAlign w:val="superscript"/>
        </w:rPr>
        <w:t>3</w:t>
      </w:r>
      <w:r>
        <w:rPr>
          <w:color w:val="auto"/>
          <w:szCs w:val="21"/>
        </w:rPr>
        <w:t>）。当持力层为隔水层时取天然重度；当持力层为透水含水层时取浮重度；</w:t>
      </w:r>
    </w:p>
    <w:p w14:paraId="724FC06E">
      <w:pPr>
        <w:adjustRightInd w:val="0"/>
        <w:snapToGrid w:val="0"/>
        <w:spacing w:line="340" w:lineRule="exact"/>
        <w:ind w:left="1774" w:leftChars="500" w:hanging="724" w:hangingChars="345"/>
        <w:rPr>
          <w:color w:val="auto"/>
          <w:szCs w:val="21"/>
        </w:rPr>
      </w:pPr>
      <w:r>
        <w:rPr>
          <w:color w:val="auto"/>
          <w:position w:val="-12"/>
          <w:szCs w:val="21"/>
        </w:rPr>
        <w:object>
          <v:shape id="_x0000_i1066" o:spt="75" type="#_x0000_t75" style="height:18pt;width:15pt;" o:ole="t" filled="f" o:preferrelative="t" stroked="f" coordsize="21600,21600">
            <v:path/>
            <v:fill on="f" focussize="0,0"/>
            <v:stroke on="f" joinstyle="miter"/>
            <v:imagedata r:id="rId92" o:title=""/>
            <o:lock v:ext="edit" aspectratio="t"/>
            <w10:wrap type="none"/>
            <w10:anchorlock/>
          </v:shape>
          <o:OLEObject Type="Embed" ProgID="Equation.DSMT4" ShapeID="_x0000_i1066" DrawAspect="Content" ObjectID="_1468075766" r:id="rId91">
            <o:LockedField>false</o:LockedField>
          </o:OLEObject>
        </w:object>
      </w:r>
      <w:r>
        <w:rPr>
          <w:color w:val="auto"/>
          <w:szCs w:val="21"/>
        </w:rPr>
        <w:t>——基础底面以上土的加权平均重度</w:t>
      </w:r>
      <w:r>
        <w:rPr>
          <w:rFonts w:hint="eastAsia"/>
          <w:color w:val="auto"/>
          <w:szCs w:val="21"/>
        </w:rPr>
        <w:t>（</w:t>
      </w:r>
      <w:r>
        <w:rPr>
          <w:iCs/>
          <w:color w:val="auto"/>
          <w:szCs w:val="21"/>
        </w:rPr>
        <w:t>kN/m</w:t>
      </w:r>
      <w:r>
        <w:rPr>
          <w:iCs/>
          <w:color w:val="auto"/>
          <w:szCs w:val="21"/>
          <w:vertAlign w:val="superscript"/>
        </w:rPr>
        <w:t>3</w:t>
      </w:r>
      <w:r>
        <w:rPr>
          <w:rFonts w:hint="eastAsia"/>
          <w:color w:val="auto"/>
          <w:szCs w:val="21"/>
        </w:rPr>
        <w:t>）</w:t>
      </w:r>
      <w:r>
        <w:rPr>
          <w:color w:val="auto"/>
          <w:szCs w:val="21"/>
        </w:rPr>
        <w:t>。当持力层为隔水层时，采用基础底面以上土的天然重度加权平均值；当持力层为含水层时，按该含水层地下水位上、下分别取天然重度、浮重度进行加权平均；</w:t>
      </w:r>
    </w:p>
    <w:p w14:paraId="79076546">
      <w:pPr>
        <w:adjustRightInd w:val="0"/>
        <w:snapToGrid w:val="0"/>
        <w:spacing w:line="340" w:lineRule="exact"/>
        <w:ind w:left="1770" w:leftChars="-13" w:hanging="1797" w:hangingChars="856"/>
        <w:rPr>
          <w:color w:val="auto"/>
          <w:szCs w:val="21"/>
        </w:rPr>
      </w:pPr>
      <w:r>
        <w:rPr>
          <w:i/>
          <w:color w:val="auto"/>
          <w:szCs w:val="21"/>
        </w:rPr>
        <w:t xml:space="preserve">  </w:t>
      </w:r>
      <w:r>
        <w:rPr>
          <w:color w:val="auto"/>
          <w:szCs w:val="21"/>
        </w:rPr>
        <w:t xml:space="preserve">          </w:t>
      </w:r>
      <w:r>
        <w:rPr>
          <w:i/>
          <w:color w:val="auto"/>
          <w:szCs w:val="21"/>
        </w:rPr>
        <w:t>b</w:t>
      </w:r>
      <w:r>
        <w:rPr>
          <w:color w:val="auto"/>
          <w:szCs w:val="21"/>
        </w:rPr>
        <w:t>——基础底面宽度</w:t>
      </w:r>
      <w:r>
        <w:rPr>
          <w:rFonts w:hint="eastAsia"/>
          <w:color w:val="auto"/>
          <w:szCs w:val="21"/>
        </w:rPr>
        <w:t>（</w:t>
      </w:r>
      <w:r>
        <w:rPr>
          <w:iCs/>
          <w:color w:val="auto"/>
          <w:szCs w:val="21"/>
        </w:rPr>
        <w:t>m</w:t>
      </w:r>
      <w:r>
        <w:rPr>
          <w:rFonts w:hint="eastAsia"/>
          <w:color w:val="auto"/>
          <w:szCs w:val="21"/>
        </w:rPr>
        <w:t>）</w:t>
      </w:r>
      <w:r>
        <w:rPr>
          <w:color w:val="auto"/>
          <w:szCs w:val="21"/>
        </w:rPr>
        <w:t>，大于6m时按6m取值；</w:t>
      </w:r>
    </w:p>
    <w:p w14:paraId="6297A453">
      <w:pPr>
        <w:adjustRightInd w:val="0"/>
        <w:snapToGrid w:val="0"/>
        <w:spacing w:line="340" w:lineRule="exact"/>
        <w:ind w:left="1763" w:leftChars="594" w:hanging="516" w:hangingChars="246"/>
        <w:rPr>
          <w:color w:val="auto"/>
          <w:szCs w:val="21"/>
        </w:rPr>
      </w:pPr>
      <w:r>
        <w:rPr>
          <w:i/>
          <w:color w:val="auto"/>
          <w:szCs w:val="21"/>
        </w:rPr>
        <w:t>d</w:t>
      </w:r>
      <w:r>
        <w:rPr>
          <w:color w:val="auto"/>
          <w:szCs w:val="21"/>
        </w:rPr>
        <w:t>——基础埋置深度</w:t>
      </w:r>
      <w:r>
        <w:rPr>
          <w:rFonts w:hint="eastAsia"/>
          <w:color w:val="auto"/>
          <w:szCs w:val="21"/>
        </w:rPr>
        <w:t>（</w:t>
      </w:r>
      <w:r>
        <w:rPr>
          <w:iCs/>
          <w:color w:val="auto"/>
          <w:szCs w:val="21"/>
        </w:rPr>
        <w:t>m</w:t>
      </w:r>
      <w:r>
        <w:rPr>
          <w:rFonts w:hint="eastAsia"/>
          <w:color w:val="auto"/>
          <w:szCs w:val="21"/>
        </w:rPr>
        <w:t>）</w:t>
      </w:r>
      <w:r>
        <w:rPr>
          <w:color w:val="auto"/>
          <w:szCs w:val="21"/>
        </w:rPr>
        <w:t>，一般自室外地面标高算起；在填方整平地区，可自填土地面标高算起，但填土在上部结构施工后完成时，应自天然地面标高算起；对于地下室，如采用箱形基础或筏基，基础埋置深度自室外地面标高算起；如采用独立基础或条形基础，宜自室内地面标高算起。</w:t>
      </w:r>
    </w:p>
    <w:p w14:paraId="29836F1D">
      <w:pPr>
        <w:adjustRightInd w:val="0"/>
        <w:snapToGrid w:val="0"/>
        <w:spacing w:line="340" w:lineRule="exact"/>
        <w:ind w:left="1763" w:leftChars="193" w:hanging="1358" w:hangingChars="647"/>
        <w:rPr>
          <w:iCs/>
          <w:color w:val="auto"/>
          <w:szCs w:val="21"/>
        </w:rPr>
      </w:pPr>
      <w:r>
        <w:rPr>
          <w:iCs/>
          <w:color w:val="auto"/>
          <w:szCs w:val="21"/>
        </w:rPr>
        <w:t>地基承载力特征值由</w:t>
      </w:r>
      <w:r>
        <w:rPr>
          <w:rFonts w:hint="eastAsia"/>
          <w:color w:val="auto"/>
          <w:lang w:val="en-US" w:eastAsia="zh-CN"/>
        </w:rPr>
        <w:t>公式（15）</w:t>
      </w:r>
      <w:r>
        <w:rPr>
          <w:iCs/>
          <w:color w:val="auto"/>
          <w:szCs w:val="21"/>
        </w:rPr>
        <w:t>确定：</w:t>
      </w:r>
    </w:p>
    <w:p w14:paraId="3C603735">
      <w:pPr>
        <w:pStyle w:val="12"/>
        <w:jc w:val="right"/>
        <w:rPr>
          <w:iCs/>
          <w:color w:val="auto"/>
          <w:szCs w:val="21"/>
        </w:rPr>
      </w:pPr>
      <w:r>
        <w:rPr>
          <w:iCs/>
          <w:color w:val="auto"/>
          <w:position w:val="-12"/>
          <w:szCs w:val="21"/>
        </w:rPr>
        <w:object>
          <v:shape id="_x0000_i1067" o:spt="75" type="#_x0000_t75" style="height:18pt;width:48.75pt;" o:ole="t" filled="f" o:preferrelative="t" stroked="f" coordsize="21600,21600">
            <v:path/>
            <v:fill on="f" focussize="0,0"/>
            <v:stroke on="f" joinstyle="miter"/>
            <v:imagedata r:id="rId94" o:title=""/>
            <o:lock v:ext="edit" aspectratio="t"/>
            <w10:wrap type="none"/>
            <w10:anchorlock/>
          </v:shape>
          <o:OLEObject Type="Embed" ProgID="Equation.DSMT4" ShapeID="_x0000_i1067" DrawAspect="Content" ObjectID="_1468075767" r:id="rId93">
            <o:LockedField>false</o:LockedField>
          </o:OLEObject>
        </w:object>
      </w:r>
      <w:r>
        <w:rPr>
          <w:iCs/>
          <w:color w:val="auto"/>
          <w:szCs w:val="21"/>
        </w:rPr>
        <w:t xml:space="preserve">                                             (</w:t>
      </w:r>
      <w:r>
        <w:rPr>
          <w:iCs/>
          <w:color w:val="auto"/>
          <w:szCs w:val="21"/>
        </w:rPr>
        <w:fldChar w:fldCharType="begin"/>
      </w:r>
      <w:r>
        <w:rPr>
          <w:iCs/>
          <w:color w:val="auto"/>
          <w:szCs w:val="21"/>
        </w:rPr>
        <w:instrText xml:space="preserve"> SEQ Equation \* ARABIC </w:instrText>
      </w:r>
      <w:r>
        <w:rPr>
          <w:iCs/>
          <w:color w:val="auto"/>
          <w:szCs w:val="21"/>
        </w:rPr>
        <w:fldChar w:fldCharType="separate"/>
      </w:r>
      <w:r>
        <w:rPr>
          <w:iCs/>
          <w:color w:val="auto"/>
          <w:szCs w:val="21"/>
        </w:rPr>
        <w:t>15</w:t>
      </w:r>
      <w:r>
        <w:rPr>
          <w:iCs/>
          <w:color w:val="auto"/>
          <w:szCs w:val="21"/>
        </w:rPr>
        <w:fldChar w:fldCharType="end"/>
      </w:r>
      <w:r>
        <w:rPr>
          <w:iCs/>
          <w:color w:val="auto"/>
          <w:szCs w:val="21"/>
        </w:rPr>
        <w:t>)</w:t>
      </w:r>
    </w:p>
    <w:p w14:paraId="7EE8B569">
      <w:pPr>
        <w:adjustRightInd w:val="0"/>
        <w:snapToGrid w:val="0"/>
        <w:spacing w:line="340" w:lineRule="exact"/>
        <w:ind w:left="1188" w:leftChars="-7" w:hanging="1203" w:hangingChars="573"/>
        <w:rPr>
          <w:iCs/>
          <w:color w:val="auto"/>
          <w:szCs w:val="21"/>
        </w:rPr>
      </w:pPr>
      <w:r>
        <w:rPr>
          <w:iCs/>
          <w:color w:val="auto"/>
          <w:szCs w:val="21"/>
        </w:rPr>
        <w:t xml:space="preserve">式中  </w:t>
      </w:r>
      <w:r>
        <w:rPr>
          <w:i/>
          <w:color w:val="auto"/>
          <w:szCs w:val="21"/>
        </w:rPr>
        <w:t>k</w:t>
      </w:r>
      <w:r>
        <w:rPr>
          <w:color w:val="auto"/>
          <w:szCs w:val="21"/>
        </w:rPr>
        <w:t>——安全系数，确定地基土承载力特征值时，对黏性土取2；对老黏性土，取2.5～3.0；对砂类土，取4.0。</w:t>
      </w:r>
    </w:p>
    <w:p w14:paraId="1FA224DA">
      <w:pPr>
        <w:adjustRightInd w:val="0"/>
        <w:snapToGrid w:val="0"/>
        <w:spacing w:before="120" w:line="340" w:lineRule="atLeast"/>
        <w:jc w:val="center"/>
        <w:rPr>
          <w:rFonts w:eastAsia="黑体"/>
          <w:b/>
          <w:color w:val="auto"/>
          <w:szCs w:val="21"/>
        </w:rPr>
      </w:pPr>
      <w:r>
        <w:rPr>
          <w:rFonts w:eastAsia="黑体"/>
          <w:b/>
          <w:color w:val="auto"/>
          <w:szCs w:val="21"/>
        </w:rPr>
        <w:t xml:space="preserve">表17   </w:t>
      </w:r>
      <w:r>
        <w:rPr>
          <w:rFonts w:eastAsia="黑体"/>
          <w:b/>
          <w:i/>
          <w:color w:val="auto"/>
          <w:szCs w:val="21"/>
        </w:rPr>
        <w:t>N</w:t>
      </w:r>
      <w:r>
        <w:rPr>
          <w:rFonts w:eastAsia="黑体"/>
          <w:b/>
          <w:iCs/>
          <w:color w:val="auto"/>
          <w:szCs w:val="21"/>
          <w:vertAlign w:val="subscript"/>
        </w:rPr>
        <w:t>c</w:t>
      </w:r>
      <w:r>
        <w:rPr>
          <w:rFonts w:eastAsia="黑体"/>
          <w:b/>
          <w:iCs/>
          <w:color w:val="auto"/>
          <w:szCs w:val="21"/>
        </w:rPr>
        <w:t>、</w:t>
      </w:r>
      <w:r>
        <w:rPr>
          <w:rFonts w:eastAsia="黑体"/>
          <w:b/>
          <w:i/>
          <w:color w:val="auto"/>
          <w:szCs w:val="21"/>
        </w:rPr>
        <w:t>N</w:t>
      </w:r>
      <w:r>
        <w:rPr>
          <w:rFonts w:eastAsia="黑体"/>
          <w:b/>
          <w:iCs/>
          <w:color w:val="auto"/>
          <w:szCs w:val="21"/>
          <w:vertAlign w:val="subscript"/>
        </w:rPr>
        <w:t>q</w:t>
      </w:r>
      <w:r>
        <w:rPr>
          <w:rFonts w:eastAsia="黑体"/>
          <w:b/>
          <w:iCs/>
          <w:color w:val="auto"/>
          <w:szCs w:val="21"/>
        </w:rPr>
        <w:t>、</w:t>
      </w:r>
      <w:r>
        <w:rPr>
          <w:rFonts w:eastAsia="黑体"/>
          <w:b/>
          <w:i/>
          <w:color w:val="auto"/>
          <w:szCs w:val="21"/>
        </w:rPr>
        <w:t>N</w:t>
      </w:r>
      <w:r>
        <w:rPr>
          <w:rFonts w:eastAsia="黑体"/>
          <w:b/>
          <w:iCs/>
          <w:color w:val="auto"/>
          <w:szCs w:val="21"/>
          <w:vertAlign w:val="subscript"/>
        </w:rPr>
        <w:t>r</w:t>
      </w:r>
      <w:r>
        <w:rPr>
          <w:rFonts w:eastAsia="黑体"/>
          <w:b/>
          <w:color w:val="auto"/>
          <w:szCs w:val="21"/>
        </w:rPr>
        <w:t>系数表</w:t>
      </w:r>
    </w:p>
    <w:tbl>
      <w:tblPr>
        <w:tblStyle w:val="36"/>
        <w:tblW w:w="91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95"/>
        <w:gridCol w:w="1235"/>
        <w:gridCol w:w="1204"/>
        <w:gridCol w:w="1134"/>
        <w:gridCol w:w="1079"/>
        <w:gridCol w:w="1087"/>
        <w:gridCol w:w="1152"/>
        <w:gridCol w:w="1080"/>
      </w:tblGrid>
      <w:tr w14:paraId="5A1053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1195" w:type="dxa"/>
            <w:vAlign w:val="center"/>
          </w:tcPr>
          <w:p w14:paraId="2EF8863F">
            <w:pPr>
              <w:adjustRightInd w:val="0"/>
              <w:snapToGrid w:val="0"/>
              <w:spacing w:line="240" w:lineRule="atLeast"/>
              <w:ind w:left="4" w:leftChars="-5" w:right="-170" w:rightChars="-81" w:hanging="14" w:hangingChars="8"/>
              <w:jc w:val="center"/>
              <w:rPr>
                <w:color w:val="auto"/>
                <w:sz w:val="18"/>
                <w:szCs w:val="18"/>
              </w:rPr>
            </w:pPr>
            <w:r>
              <w:rPr>
                <w:color w:val="auto"/>
                <w:position w:val="-12"/>
                <w:sz w:val="18"/>
                <w:szCs w:val="18"/>
              </w:rPr>
              <w:object>
                <v:shape id="_x0000_i1068" o:spt="75" type="#_x0000_t75" style="height:18pt;width:12pt;" o:ole="t" filled="f" o:preferrelative="t" stroked="f" coordsize="21600,21600">
                  <v:path/>
                  <v:fill on="f" focussize="0,0"/>
                  <v:stroke on="f" joinstyle="miter"/>
                  <v:imagedata r:id="rId96" o:title=""/>
                  <o:lock v:ext="edit" aspectratio="t"/>
                  <w10:wrap type="none"/>
                  <w10:anchorlock/>
                </v:shape>
                <o:OLEObject Type="Embed" ProgID="Equation.DSMT4" ShapeID="_x0000_i1068" DrawAspect="Content" ObjectID="_1468075768" r:id="rId95">
                  <o:LockedField>false</o:LockedField>
                </o:OLEObject>
              </w:object>
            </w:r>
            <w:r>
              <w:rPr>
                <w:color w:val="auto"/>
                <w:sz w:val="18"/>
                <w:szCs w:val="18"/>
              </w:rPr>
              <w:t>（°）</w:t>
            </w:r>
          </w:p>
        </w:tc>
        <w:tc>
          <w:tcPr>
            <w:tcW w:w="1235" w:type="dxa"/>
            <w:vAlign w:val="center"/>
          </w:tcPr>
          <w:p w14:paraId="7AF296CF">
            <w:pPr>
              <w:adjustRightInd w:val="0"/>
              <w:snapToGrid w:val="0"/>
              <w:spacing w:line="240" w:lineRule="atLeast"/>
              <w:ind w:left="-5" w:right="-81"/>
              <w:jc w:val="center"/>
              <w:rPr>
                <w:color w:val="auto"/>
                <w:sz w:val="18"/>
                <w:szCs w:val="18"/>
              </w:rPr>
            </w:pPr>
            <w:r>
              <w:rPr>
                <w:i/>
                <w:color w:val="auto"/>
                <w:sz w:val="18"/>
                <w:szCs w:val="18"/>
              </w:rPr>
              <w:t>N</w:t>
            </w:r>
            <w:r>
              <w:rPr>
                <w:iCs/>
                <w:color w:val="auto"/>
                <w:sz w:val="18"/>
                <w:szCs w:val="18"/>
                <w:vertAlign w:val="subscript"/>
              </w:rPr>
              <w:t>c</w:t>
            </w:r>
          </w:p>
        </w:tc>
        <w:tc>
          <w:tcPr>
            <w:tcW w:w="1204" w:type="dxa"/>
            <w:vAlign w:val="center"/>
          </w:tcPr>
          <w:p w14:paraId="39743515">
            <w:pPr>
              <w:adjustRightInd w:val="0"/>
              <w:snapToGrid w:val="0"/>
              <w:spacing w:line="240" w:lineRule="atLeast"/>
              <w:ind w:left="-5" w:right="-81"/>
              <w:jc w:val="center"/>
              <w:rPr>
                <w:color w:val="auto"/>
                <w:sz w:val="18"/>
                <w:szCs w:val="18"/>
              </w:rPr>
            </w:pPr>
            <w:r>
              <w:rPr>
                <w:i/>
                <w:color w:val="auto"/>
                <w:sz w:val="18"/>
                <w:szCs w:val="18"/>
              </w:rPr>
              <w:t>N</w:t>
            </w:r>
            <w:r>
              <w:rPr>
                <w:iCs/>
                <w:color w:val="auto"/>
                <w:sz w:val="18"/>
                <w:szCs w:val="18"/>
                <w:vertAlign w:val="subscript"/>
              </w:rPr>
              <w:t>q</w:t>
            </w:r>
          </w:p>
        </w:tc>
        <w:tc>
          <w:tcPr>
            <w:tcW w:w="1134" w:type="dxa"/>
            <w:vAlign w:val="center"/>
          </w:tcPr>
          <w:p w14:paraId="54CD21B8">
            <w:pPr>
              <w:adjustRightInd w:val="0"/>
              <w:snapToGrid w:val="0"/>
              <w:spacing w:line="240" w:lineRule="atLeast"/>
              <w:ind w:left="-5" w:right="-81"/>
              <w:jc w:val="center"/>
              <w:rPr>
                <w:color w:val="auto"/>
                <w:sz w:val="18"/>
                <w:szCs w:val="18"/>
              </w:rPr>
            </w:pPr>
            <w:r>
              <w:rPr>
                <w:i/>
                <w:color w:val="auto"/>
                <w:sz w:val="18"/>
                <w:szCs w:val="18"/>
              </w:rPr>
              <w:t>N</w:t>
            </w:r>
            <w:r>
              <w:rPr>
                <w:iCs/>
                <w:color w:val="auto"/>
                <w:sz w:val="18"/>
                <w:szCs w:val="18"/>
                <w:vertAlign w:val="subscript"/>
              </w:rPr>
              <w:t>r</w:t>
            </w:r>
          </w:p>
        </w:tc>
        <w:tc>
          <w:tcPr>
            <w:tcW w:w="1079" w:type="dxa"/>
          </w:tcPr>
          <w:p w14:paraId="37F088F2">
            <w:pPr>
              <w:adjustRightInd w:val="0"/>
              <w:snapToGrid w:val="0"/>
              <w:spacing w:line="240" w:lineRule="atLeast"/>
              <w:ind w:left="20" w:leftChars="-42" w:right="-99" w:rightChars="-47" w:hanging="108" w:hangingChars="60"/>
              <w:jc w:val="center"/>
              <w:rPr>
                <w:color w:val="auto"/>
                <w:sz w:val="18"/>
                <w:szCs w:val="18"/>
              </w:rPr>
            </w:pPr>
            <w:r>
              <w:rPr>
                <w:color w:val="auto"/>
                <w:position w:val="-12"/>
                <w:sz w:val="18"/>
                <w:szCs w:val="18"/>
              </w:rPr>
              <w:object>
                <v:shape id="_x0000_i1069" o:spt="75" type="#_x0000_t75" style="height:18pt;width:12pt;" o:ole="t" filled="f" o:preferrelative="t" stroked="f" coordsize="21600,21600">
                  <v:path/>
                  <v:fill on="f" focussize="0,0"/>
                  <v:stroke on="f" joinstyle="miter"/>
                  <v:imagedata r:id="rId96" o:title=""/>
                  <o:lock v:ext="edit" aspectratio="t"/>
                  <w10:wrap type="none"/>
                  <w10:anchorlock/>
                </v:shape>
                <o:OLEObject Type="Embed" ProgID="Equation.DSMT4" ShapeID="_x0000_i1069" DrawAspect="Content" ObjectID="_1468075769" r:id="rId97">
                  <o:LockedField>false</o:LockedField>
                </o:OLEObject>
              </w:object>
            </w:r>
            <w:r>
              <w:rPr>
                <w:color w:val="auto"/>
                <w:sz w:val="18"/>
                <w:szCs w:val="18"/>
              </w:rPr>
              <w:t>（°）</w:t>
            </w:r>
          </w:p>
        </w:tc>
        <w:tc>
          <w:tcPr>
            <w:tcW w:w="1087" w:type="dxa"/>
          </w:tcPr>
          <w:p w14:paraId="46263D34">
            <w:pPr>
              <w:adjustRightInd w:val="0"/>
              <w:snapToGrid w:val="0"/>
              <w:spacing w:line="260" w:lineRule="exact"/>
              <w:jc w:val="center"/>
              <w:rPr>
                <w:color w:val="auto"/>
                <w:sz w:val="18"/>
                <w:szCs w:val="18"/>
              </w:rPr>
            </w:pPr>
            <w:r>
              <w:rPr>
                <w:i/>
                <w:color w:val="auto"/>
                <w:sz w:val="18"/>
                <w:szCs w:val="18"/>
              </w:rPr>
              <w:t>N</w:t>
            </w:r>
            <w:r>
              <w:rPr>
                <w:iCs/>
                <w:color w:val="auto"/>
                <w:sz w:val="18"/>
                <w:szCs w:val="18"/>
                <w:vertAlign w:val="subscript"/>
              </w:rPr>
              <w:t>c</w:t>
            </w:r>
          </w:p>
        </w:tc>
        <w:tc>
          <w:tcPr>
            <w:tcW w:w="1152" w:type="dxa"/>
          </w:tcPr>
          <w:p w14:paraId="5220A62E">
            <w:pPr>
              <w:adjustRightInd w:val="0"/>
              <w:snapToGrid w:val="0"/>
              <w:spacing w:line="260" w:lineRule="exact"/>
              <w:jc w:val="center"/>
              <w:rPr>
                <w:color w:val="auto"/>
                <w:sz w:val="18"/>
                <w:szCs w:val="18"/>
              </w:rPr>
            </w:pPr>
            <w:r>
              <w:rPr>
                <w:i/>
                <w:color w:val="auto"/>
                <w:sz w:val="18"/>
                <w:szCs w:val="18"/>
              </w:rPr>
              <w:t>N</w:t>
            </w:r>
            <w:r>
              <w:rPr>
                <w:iCs/>
                <w:color w:val="auto"/>
                <w:sz w:val="18"/>
                <w:szCs w:val="18"/>
                <w:vertAlign w:val="subscript"/>
              </w:rPr>
              <w:t>q</w:t>
            </w:r>
          </w:p>
        </w:tc>
        <w:tc>
          <w:tcPr>
            <w:tcW w:w="1080" w:type="dxa"/>
          </w:tcPr>
          <w:p w14:paraId="406F5A2C">
            <w:pPr>
              <w:adjustRightInd w:val="0"/>
              <w:snapToGrid w:val="0"/>
              <w:spacing w:line="260" w:lineRule="exact"/>
              <w:jc w:val="center"/>
              <w:rPr>
                <w:color w:val="auto"/>
                <w:sz w:val="18"/>
                <w:szCs w:val="18"/>
              </w:rPr>
            </w:pPr>
            <w:r>
              <w:rPr>
                <w:i/>
                <w:color w:val="auto"/>
                <w:sz w:val="18"/>
                <w:szCs w:val="18"/>
              </w:rPr>
              <w:t>N</w:t>
            </w:r>
            <w:r>
              <w:rPr>
                <w:iCs/>
                <w:color w:val="auto"/>
                <w:sz w:val="18"/>
                <w:szCs w:val="18"/>
                <w:vertAlign w:val="subscript"/>
              </w:rPr>
              <w:t>r</w:t>
            </w:r>
          </w:p>
        </w:tc>
      </w:tr>
      <w:tr w14:paraId="1A6F56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28" w:hRule="atLeast"/>
          <w:jc w:val="center"/>
        </w:trPr>
        <w:tc>
          <w:tcPr>
            <w:tcW w:w="1195" w:type="dxa"/>
          </w:tcPr>
          <w:p w14:paraId="13B93C5C">
            <w:pPr>
              <w:adjustRightInd w:val="0"/>
              <w:snapToGrid w:val="0"/>
              <w:spacing w:line="280" w:lineRule="exact"/>
              <w:jc w:val="center"/>
              <w:rPr>
                <w:color w:val="auto"/>
                <w:sz w:val="18"/>
                <w:szCs w:val="18"/>
              </w:rPr>
            </w:pPr>
            <w:r>
              <w:rPr>
                <w:color w:val="auto"/>
                <w:sz w:val="18"/>
                <w:szCs w:val="18"/>
              </w:rPr>
              <w:t>0</w:t>
            </w:r>
          </w:p>
          <w:p w14:paraId="31A7126B">
            <w:pPr>
              <w:adjustRightInd w:val="0"/>
              <w:snapToGrid w:val="0"/>
              <w:spacing w:line="280" w:lineRule="exact"/>
              <w:jc w:val="center"/>
              <w:rPr>
                <w:color w:val="auto"/>
                <w:sz w:val="18"/>
                <w:szCs w:val="18"/>
              </w:rPr>
            </w:pPr>
            <w:r>
              <w:rPr>
                <w:color w:val="auto"/>
                <w:sz w:val="18"/>
                <w:szCs w:val="18"/>
              </w:rPr>
              <w:t>1</w:t>
            </w:r>
          </w:p>
          <w:p w14:paraId="59AFA605">
            <w:pPr>
              <w:adjustRightInd w:val="0"/>
              <w:snapToGrid w:val="0"/>
              <w:spacing w:line="280" w:lineRule="exact"/>
              <w:jc w:val="center"/>
              <w:rPr>
                <w:color w:val="auto"/>
                <w:sz w:val="18"/>
                <w:szCs w:val="18"/>
              </w:rPr>
            </w:pPr>
            <w:r>
              <w:rPr>
                <w:color w:val="auto"/>
                <w:sz w:val="18"/>
                <w:szCs w:val="18"/>
              </w:rPr>
              <w:t>2</w:t>
            </w:r>
          </w:p>
          <w:p w14:paraId="1014BC12">
            <w:pPr>
              <w:adjustRightInd w:val="0"/>
              <w:snapToGrid w:val="0"/>
              <w:spacing w:line="280" w:lineRule="exact"/>
              <w:jc w:val="center"/>
              <w:rPr>
                <w:color w:val="auto"/>
                <w:sz w:val="18"/>
                <w:szCs w:val="18"/>
              </w:rPr>
            </w:pPr>
            <w:r>
              <w:rPr>
                <w:color w:val="auto"/>
                <w:sz w:val="18"/>
                <w:szCs w:val="18"/>
              </w:rPr>
              <w:t>3</w:t>
            </w:r>
          </w:p>
          <w:p w14:paraId="58626E5B">
            <w:pPr>
              <w:adjustRightInd w:val="0"/>
              <w:snapToGrid w:val="0"/>
              <w:spacing w:line="280" w:lineRule="exact"/>
              <w:jc w:val="center"/>
              <w:rPr>
                <w:color w:val="auto"/>
                <w:sz w:val="18"/>
                <w:szCs w:val="18"/>
              </w:rPr>
            </w:pPr>
            <w:r>
              <w:rPr>
                <w:color w:val="auto"/>
                <w:sz w:val="18"/>
                <w:szCs w:val="18"/>
              </w:rPr>
              <w:t>4</w:t>
            </w:r>
          </w:p>
          <w:p w14:paraId="002501F5">
            <w:pPr>
              <w:adjustRightInd w:val="0"/>
              <w:snapToGrid w:val="0"/>
              <w:spacing w:line="280" w:lineRule="exact"/>
              <w:jc w:val="center"/>
              <w:rPr>
                <w:color w:val="auto"/>
                <w:sz w:val="18"/>
                <w:szCs w:val="18"/>
              </w:rPr>
            </w:pPr>
            <w:r>
              <w:rPr>
                <w:color w:val="auto"/>
                <w:sz w:val="18"/>
                <w:szCs w:val="18"/>
              </w:rPr>
              <w:t>5</w:t>
            </w:r>
          </w:p>
          <w:p w14:paraId="4920F8BB">
            <w:pPr>
              <w:adjustRightInd w:val="0"/>
              <w:snapToGrid w:val="0"/>
              <w:spacing w:line="280" w:lineRule="exact"/>
              <w:jc w:val="center"/>
              <w:rPr>
                <w:color w:val="auto"/>
                <w:sz w:val="18"/>
                <w:szCs w:val="18"/>
              </w:rPr>
            </w:pPr>
            <w:r>
              <w:rPr>
                <w:color w:val="auto"/>
                <w:sz w:val="18"/>
                <w:szCs w:val="18"/>
              </w:rPr>
              <w:t>6</w:t>
            </w:r>
          </w:p>
          <w:p w14:paraId="7C2F55ED">
            <w:pPr>
              <w:adjustRightInd w:val="0"/>
              <w:snapToGrid w:val="0"/>
              <w:spacing w:line="280" w:lineRule="exact"/>
              <w:jc w:val="center"/>
              <w:rPr>
                <w:color w:val="auto"/>
                <w:sz w:val="18"/>
                <w:szCs w:val="18"/>
              </w:rPr>
            </w:pPr>
            <w:r>
              <w:rPr>
                <w:color w:val="auto"/>
                <w:sz w:val="18"/>
                <w:szCs w:val="18"/>
              </w:rPr>
              <w:t>7</w:t>
            </w:r>
          </w:p>
          <w:p w14:paraId="039E4E54">
            <w:pPr>
              <w:adjustRightInd w:val="0"/>
              <w:snapToGrid w:val="0"/>
              <w:spacing w:line="280" w:lineRule="exact"/>
              <w:jc w:val="center"/>
              <w:rPr>
                <w:color w:val="auto"/>
                <w:sz w:val="18"/>
                <w:szCs w:val="18"/>
              </w:rPr>
            </w:pPr>
            <w:r>
              <w:rPr>
                <w:color w:val="auto"/>
                <w:sz w:val="18"/>
                <w:szCs w:val="18"/>
              </w:rPr>
              <w:t>8</w:t>
            </w:r>
          </w:p>
          <w:p w14:paraId="7656694C">
            <w:pPr>
              <w:adjustRightInd w:val="0"/>
              <w:snapToGrid w:val="0"/>
              <w:spacing w:line="280" w:lineRule="exact"/>
              <w:jc w:val="center"/>
              <w:rPr>
                <w:color w:val="auto"/>
                <w:sz w:val="18"/>
                <w:szCs w:val="18"/>
              </w:rPr>
            </w:pPr>
            <w:r>
              <w:rPr>
                <w:color w:val="auto"/>
                <w:sz w:val="18"/>
                <w:szCs w:val="18"/>
              </w:rPr>
              <w:t>9</w:t>
            </w:r>
          </w:p>
          <w:p w14:paraId="6F36ED15">
            <w:pPr>
              <w:adjustRightInd w:val="0"/>
              <w:snapToGrid w:val="0"/>
              <w:spacing w:line="280" w:lineRule="exact"/>
              <w:jc w:val="center"/>
              <w:rPr>
                <w:color w:val="auto"/>
                <w:sz w:val="18"/>
                <w:szCs w:val="18"/>
              </w:rPr>
            </w:pPr>
            <w:r>
              <w:rPr>
                <w:color w:val="auto"/>
                <w:sz w:val="18"/>
                <w:szCs w:val="18"/>
              </w:rPr>
              <w:t>10</w:t>
            </w:r>
          </w:p>
          <w:p w14:paraId="44F82BBE">
            <w:pPr>
              <w:adjustRightInd w:val="0"/>
              <w:snapToGrid w:val="0"/>
              <w:spacing w:line="280" w:lineRule="exact"/>
              <w:jc w:val="center"/>
              <w:rPr>
                <w:color w:val="auto"/>
                <w:sz w:val="18"/>
                <w:szCs w:val="18"/>
              </w:rPr>
            </w:pPr>
            <w:r>
              <w:rPr>
                <w:color w:val="auto"/>
                <w:sz w:val="18"/>
                <w:szCs w:val="18"/>
              </w:rPr>
              <w:t>11</w:t>
            </w:r>
          </w:p>
          <w:p w14:paraId="59127072">
            <w:pPr>
              <w:adjustRightInd w:val="0"/>
              <w:snapToGrid w:val="0"/>
              <w:spacing w:line="280" w:lineRule="exact"/>
              <w:jc w:val="center"/>
              <w:rPr>
                <w:color w:val="auto"/>
                <w:sz w:val="18"/>
                <w:szCs w:val="18"/>
              </w:rPr>
            </w:pPr>
            <w:r>
              <w:rPr>
                <w:color w:val="auto"/>
                <w:sz w:val="18"/>
                <w:szCs w:val="18"/>
              </w:rPr>
              <w:t>12</w:t>
            </w:r>
          </w:p>
          <w:p w14:paraId="5BA5BF60">
            <w:pPr>
              <w:adjustRightInd w:val="0"/>
              <w:snapToGrid w:val="0"/>
              <w:spacing w:line="280" w:lineRule="exact"/>
              <w:jc w:val="center"/>
              <w:rPr>
                <w:color w:val="auto"/>
                <w:sz w:val="18"/>
                <w:szCs w:val="18"/>
              </w:rPr>
            </w:pPr>
            <w:r>
              <w:rPr>
                <w:color w:val="auto"/>
                <w:sz w:val="18"/>
                <w:szCs w:val="18"/>
              </w:rPr>
              <w:t>13</w:t>
            </w:r>
          </w:p>
          <w:p w14:paraId="487A2BD0">
            <w:pPr>
              <w:adjustRightInd w:val="0"/>
              <w:snapToGrid w:val="0"/>
              <w:spacing w:line="280" w:lineRule="exact"/>
              <w:jc w:val="center"/>
              <w:rPr>
                <w:color w:val="auto"/>
                <w:sz w:val="18"/>
                <w:szCs w:val="18"/>
              </w:rPr>
            </w:pPr>
            <w:r>
              <w:rPr>
                <w:color w:val="auto"/>
                <w:sz w:val="18"/>
                <w:szCs w:val="18"/>
              </w:rPr>
              <w:t>14</w:t>
            </w:r>
          </w:p>
          <w:p w14:paraId="2ACA0A05">
            <w:pPr>
              <w:adjustRightInd w:val="0"/>
              <w:snapToGrid w:val="0"/>
              <w:spacing w:line="280" w:lineRule="exact"/>
              <w:jc w:val="center"/>
              <w:rPr>
                <w:color w:val="auto"/>
                <w:sz w:val="18"/>
                <w:szCs w:val="18"/>
              </w:rPr>
            </w:pPr>
            <w:r>
              <w:rPr>
                <w:color w:val="auto"/>
                <w:sz w:val="18"/>
                <w:szCs w:val="18"/>
              </w:rPr>
              <w:t>15</w:t>
            </w:r>
          </w:p>
          <w:p w14:paraId="2C4DFB6A">
            <w:pPr>
              <w:adjustRightInd w:val="0"/>
              <w:snapToGrid w:val="0"/>
              <w:spacing w:line="280" w:lineRule="exact"/>
              <w:jc w:val="center"/>
              <w:rPr>
                <w:color w:val="auto"/>
                <w:sz w:val="18"/>
                <w:szCs w:val="18"/>
              </w:rPr>
            </w:pPr>
            <w:r>
              <w:rPr>
                <w:color w:val="auto"/>
                <w:sz w:val="18"/>
                <w:szCs w:val="18"/>
              </w:rPr>
              <w:t>16</w:t>
            </w:r>
          </w:p>
          <w:p w14:paraId="7B21AEF1">
            <w:pPr>
              <w:adjustRightInd w:val="0"/>
              <w:snapToGrid w:val="0"/>
              <w:spacing w:line="280" w:lineRule="exact"/>
              <w:jc w:val="center"/>
              <w:rPr>
                <w:color w:val="auto"/>
                <w:sz w:val="18"/>
                <w:szCs w:val="18"/>
              </w:rPr>
            </w:pPr>
            <w:r>
              <w:rPr>
                <w:color w:val="auto"/>
                <w:sz w:val="18"/>
                <w:szCs w:val="18"/>
              </w:rPr>
              <w:t>17</w:t>
            </w:r>
          </w:p>
          <w:p w14:paraId="620473E4">
            <w:pPr>
              <w:adjustRightInd w:val="0"/>
              <w:snapToGrid w:val="0"/>
              <w:spacing w:line="280" w:lineRule="exact"/>
              <w:jc w:val="center"/>
              <w:rPr>
                <w:color w:val="auto"/>
                <w:sz w:val="18"/>
                <w:szCs w:val="18"/>
              </w:rPr>
            </w:pPr>
            <w:r>
              <w:rPr>
                <w:color w:val="auto"/>
                <w:sz w:val="18"/>
                <w:szCs w:val="18"/>
              </w:rPr>
              <w:t>18</w:t>
            </w:r>
          </w:p>
          <w:p w14:paraId="7271662F">
            <w:pPr>
              <w:adjustRightInd w:val="0"/>
              <w:snapToGrid w:val="0"/>
              <w:spacing w:line="280" w:lineRule="exact"/>
              <w:jc w:val="center"/>
              <w:rPr>
                <w:color w:val="auto"/>
                <w:sz w:val="18"/>
                <w:szCs w:val="18"/>
              </w:rPr>
            </w:pPr>
            <w:r>
              <w:rPr>
                <w:color w:val="auto"/>
                <w:sz w:val="18"/>
                <w:szCs w:val="18"/>
              </w:rPr>
              <w:t>19</w:t>
            </w:r>
          </w:p>
          <w:p w14:paraId="0FB870F0">
            <w:pPr>
              <w:adjustRightInd w:val="0"/>
              <w:snapToGrid w:val="0"/>
              <w:spacing w:line="280" w:lineRule="exact"/>
              <w:jc w:val="center"/>
              <w:rPr>
                <w:color w:val="auto"/>
                <w:sz w:val="18"/>
                <w:szCs w:val="18"/>
              </w:rPr>
            </w:pPr>
            <w:r>
              <w:rPr>
                <w:color w:val="auto"/>
                <w:sz w:val="18"/>
                <w:szCs w:val="18"/>
              </w:rPr>
              <w:t>20</w:t>
            </w:r>
          </w:p>
          <w:p w14:paraId="48E7C605">
            <w:pPr>
              <w:adjustRightInd w:val="0"/>
              <w:snapToGrid w:val="0"/>
              <w:spacing w:line="280" w:lineRule="exact"/>
              <w:jc w:val="center"/>
              <w:rPr>
                <w:color w:val="auto"/>
                <w:sz w:val="18"/>
                <w:szCs w:val="18"/>
              </w:rPr>
            </w:pPr>
            <w:r>
              <w:rPr>
                <w:color w:val="auto"/>
                <w:sz w:val="18"/>
                <w:szCs w:val="18"/>
              </w:rPr>
              <w:t>21</w:t>
            </w:r>
          </w:p>
          <w:p w14:paraId="40380207">
            <w:pPr>
              <w:adjustRightInd w:val="0"/>
              <w:snapToGrid w:val="0"/>
              <w:spacing w:line="280" w:lineRule="exact"/>
              <w:jc w:val="center"/>
              <w:rPr>
                <w:color w:val="auto"/>
                <w:sz w:val="18"/>
                <w:szCs w:val="18"/>
              </w:rPr>
            </w:pPr>
            <w:r>
              <w:rPr>
                <w:color w:val="auto"/>
                <w:sz w:val="18"/>
                <w:szCs w:val="18"/>
              </w:rPr>
              <w:t>22</w:t>
            </w:r>
          </w:p>
          <w:p w14:paraId="62C9D7A3">
            <w:pPr>
              <w:adjustRightInd w:val="0"/>
              <w:snapToGrid w:val="0"/>
              <w:spacing w:line="280" w:lineRule="exact"/>
              <w:jc w:val="center"/>
              <w:rPr>
                <w:color w:val="auto"/>
                <w:sz w:val="18"/>
                <w:szCs w:val="18"/>
              </w:rPr>
            </w:pPr>
            <w:r>
              <w:rPr>
                <w:color w:val="auto"/>
                <w:sz w:val="18"/>
                <w:szCs w:val="18"/>
              </w:rPr>
              <w:t>23</w:t>
            </w:r>
          </w:p>
          <w:p w14:paraId="647F657C">
            <w:pPr>
              <w:adjustRightInd w:val="0"/>
              <w:snapToGrid w:val="0"/>
              <w:spacing w:line="280" w:lineRule="exact"/>
              <w:jc w:val="center"/>
              <w:rPr>
                <w:color w:val="auto"/>
                <w:sz w:val="18"/>
                <w:szCs w:val="18"/>
              </w:rPr>
            </w:pPr>
            <w:r>
              <w:rPr>
                <w:color w:val="auto"/>
                <w:sz w:val="18"/>
                <w:szCs w:val="18"/>
              </w:rPr>
              <w:t>24</w:t>
            </w:r>
          </w:p>
          <w:p w14:paraId="462F9F01">
            <w:pPr>
              <w:adjustRightInd w:val="0"/>
              <w:snapToGrid w:val="0"/>
              <w:spacing w:line="280" w:lineRule="exact"/>
              <w:jc w:val="center"/>
              <w:rPr>
                <w:color w:val="auto"/>
                <w:sz w:val="18"/>
                <w:szCs w:val="18"/>
              </w:rPr>
            </w:pPr>
            <w:r>
              <w:rPr>
                <w:color w:val="auto"/>
                <w:sz w:val="18"/>
                <w:szCs w:val="18"/>
              </w:rPr>
              <w:t>25</w:t>
            </w:r>
          </w:p>
        </w:tc>
        <w:tc>
          <w:tcPr>
            <w:tcW w:w="1235" w:type="dxa"/>
          </w:tcPr>
          <w:p w14:paraId="430F5228">
            <w:pPr>
              <w:adjustRightInd w:val="0"/>
              <w:snapToGrid w:val="0"/>
              <w:spacing w:line="280" w:lineRule="exact"/>
              <w:jc w:val="center"/>
              <w:rPr>
                <w:color w:val="auto"/>
                <w:sz w:val="18"/>
                <w:szCs w:val="18"/>
              </w:rPr>
            </w:pPr>
            <w:r>
              <w:rPr>
                <w:color w:val="auto"/>
                <w:sz w:val="18"/>
                <w:szCs w:val="18"/>
              </w:rPr>
              <w:t>5.14</w:t>
            </w:r>
          </w:p>
          <w:p w14:paraId="64715003">
            <w:pPr>
              <w:adjustRightInd w:val="0"/>
              <w:snapToGrid w:val="0"/>
              <w:spacing w:line="280" w:lineRule="exact"/>
              <w:jc w:val="center"/>
              <w:rPr>
                <w:color w:val="auto"/>
                <w:sz w:val="18"/>
                <w:szCs w:val="18"/>
              </w:rPr>
            </w:pPr>
            <w:r>
              <w:rPr>
                <w:color w:val="auto"/>
                <w:sz w:val="18"/>
                <w:szCs w:val="18"/>
              </w:rPr>
              <w:t>5.38</w:t>
            </w:r>
          </w:p>
          <w:p w14:paraId="27F16543">
            <w:pPr>
              <w:adjustRightInd w:val="0"/>
              <w:snapToGrid w:val="0"/>
              <w:spacing w:line="280" w:lineRule="exact"/>
              <w:jc w:val="center"/>
              <w:rPr>
                <w:color w:val="auto"/>
                <w:sz w:val="18"/>
                <w:szCs w:val="18"/>
              </w:rPr>
            </w:pPr>
            <w:r>
              <w:rPr>
                <w:color w:val="auto"/>
                <w:sz w:val="18"/>
                <w:szCs w:val="18"/>
              </w:rPr>
              <w:t>5.63</w:t>
            </w:r>
          </w:p>
          <w:p w14:paraId="0CAD2A7D">
            <w:pPr>
              <w:adjustRightInd w:val="0"/>
              <w:snapToGrid w:val="0"/>
              <w:spacing w:line="280" w:lineRule="exact"/>
              <w:jc w:val="center"/>
              <w:rPr>
                <w:color w:val="auto"/>
                <w:sz w:val="18"/>
                <w:szCs w:val="18"/>
              </w:rPr>
            </w:pPr>
            <w:r>
              <w:rPr>
                <w:color w:val="auto"/>
                <w:sz w:val="18"/>
                <w:szCs w:val="18"/>
              </w:rPr>
              <w:t>5.90</w:t>
            </w:r>
          </w:p>
          <w:p w14:paraId="735AEA22">
            <w:pPr>
              <w:adjustRightInd w:val="0"/>
              <w:snapToGrid w:val="0"/>
              <w:spacing w:line="280" w:lineRule="exact"/>
              <w:jc w:val="center"/>
              <w:rPr>
                <w:color w:val="auto"/>
                <w:sz w:val="18"/>
                <w:szCs w:val="18"/>
              </w:rPr>
            </w:pPr>
            <w:r>
              <w:rPr>
                <w:color w:val="auto"/>
                <w:sz w:val="18"/>
                <w:szCs w:val="18"/>
              </w:rPr>
              <w:t>6.19</w:t>
            </w:r>
          </w:p>
          <w:p w14:paraId="459BEA8A">
            <w:pPr>
              <w:adjustRightInd w:val="0"/>
              <w:snapToGrid w:val="0"/>
              <w:spacing w:line="280" w:lineRule="exact"/>
              <w:jc w:val="center"/>
              <w:rPr>
                <w:color w:val="auto"/>
                <w:sz w:val="18"/>
                <w:szCs w:val="18"/>
              </w:rPr>
            </w:pPr>
            <w:r>
              <w:rPr>
                <w:color w:val="auto"/>
                <w:sz w:val="18"/>
                <w:szCs w:val="18"/>
              </w:rPr>
              <w:t>6.49</w:t>
            </w:r>
          </w:p>
          <w:p w14:paraId="3BDA35A6">
            <w:pPr>
              <w:adjustRightInd w:val="0"/>
              <w:snapToGrid w:val="0"/>
              <w:spacing w:line="280" w:lineRule="exact"/>
              <w:jc w:val="center"/>
              <w:rPr>
                <w:color w:val="auto"/>
                <w:sz w:val="18"/>
                <w:szCs w:val="18"/>
              </w:rPr>
            </w:pPr>
            <w:r>
              <w:rPr>
                <w:color w:val="auto"/>
                <w:sz w:val="18"/>
                <w:szCs w:val="18"/>
              </w:rPr>
              <w:t>6.81</w:t>
            </w:r>
          </w:p>
          <w:p w14:paraId="79EC90AE">
            <w:pPr>
              <w:adjustRightInd w:val="0"/>
              <w:snapToGrid w:val="0"/>
              <w:spacing w:line="280" w:lineRule="exact"/>
              <w:jc w:val="center"/>
              <w:rPr>
                <w:color w:val="auto"/>
                <w:sz w:val="18"/>
                <w:szCs w:val="18"/>
              </w:rPr>
            </w:pPr>
            <w:r>
              <w:rPr>
                <w:color w:val="auto"/>
                <w:sz w:val="18"/>
                <w:szCs w:val="18"/>
              </w:rPr>
              <w:t>7.16</w:t>
            </w:r>
          </w:p>
          <w:p w14:paraId="27620866">
            <w:pPr>
              <w:adjustRightInd w:val="0"/>
              <w:snapToGrid w:val="0"/>
              <w:spacing w:line="280" w:lineRule="exact"/>
              <w:jc w:val="center"/>
              <w:rPr>
                <w:color w:val="auto"/>
                <w:sz w:val="18"/>
                <w:szCs w:val="18"/>
              </w:rPr>
            </w:pPr>
            <w:r>
              <w:rPr>
                <w:color w:val="auto"/>
                <w:sz w:val="18"/>
                <w:szCs w:val="18"/>
              </w:rPr>
              <w:t>7.53</w:t>
            </w:r>
          </w:p>
          <w:p w14:paraId="41868489">
            <w:pPr>
              <w:adjustRightInd w:val="0"/>
              <w:snapToGrid w:val="0"/>
              <w:spacing w:line="280" w:lineRule="exact"/>
              <w:jc w:val="center"/>
              <w:rPr>
                <w:color w:val="auto"/>
                <w:sz w:val="18"/>
                <w:szCs w:val="18"/>
              </w:rPr>
            </w:pPr>
            <w:r>
              <w:rPr>
                <w:color w:val="auto"/>
                <w:sz w:val="18"/>
                <w:szCs w:val="18"/>
              </w:rPr>
              <w:t>7.92</w:t>
            </w:r>
          </w:p>
          <w:p w14:paraId="26DE94CA">
            <w:pPr>
              <w:adjustRightInd w:val="0"/>
              <w:snapToGrid w:val="0"/>
              <w:spacing w:line="280" w:lineRule="exact"/>
              <w:jc w:val="center"/>
              <w:rPr>
                <w:color w:val="auto"/>
                <w:sz w:val="18"/>
                <w:szCs w:val="18"/>
              </w:rPr>
            </w:pPr>
            <w:r>
              <w:rPr>
                <w:color w:val="auto"/>
                <w:sz w:val="18"/>
                <w:szCs w:val="18"/>
              </w:rPr>
              <w:t>8.35</w:t>
            </w:r>
          </w:p>
          <w:p w14:paraId="658A4C0C">
            <w:pPr>
              <w:adjustRightInd w:val="0"/>
              <w:snapToGrid w:val="0"/>
              <w:spacing w:line="280" w:lineRule="exact"/>
              <w:jc w:val="center"/>
              <w:rPr>
                <w:color w:val="auto"/>
                <w:sz w:val="18"/>
                <w:szCs w:val="18"/>
              </w:rPr>
            </w:pPr>
            <w:r>
              <w:rPr>
                <w:color w:val="auto"/>
                <w:sz w:val="18"/>
                <w:szCs w:val="18"/>
              </w:rPr>
              <w:t>8.80</w:t>
            </w:r>
          </w:p>
          <w:p w14:paraId="7FEF8ECF">
            <w:pPr>
              <w:adjustRightInd w:val="0"/>
              <w:snapToGrid w:val="0"/>
              <w:spacing w:line="280" w:lineRule="exact"/>
              <w:jc w:val="center"/>
              <w:rPr>
                <w:color w:val="auto"/>
                <w:sz w:val="18"/>
                <w:szCs w:val="18"/>
              </w:rPr>
            </w:pPr>
            <w:r>
              <w:rPr>
                <w:color w:val="auto"/>
                <w:sz w:val="18"/>
                <w:szCs w:val="18"/>
              </w:rPr>
              <w:t>9.28</w:t>
            </w:r>
          </w:p>
          <w:p w14:paraId="7FC6C0B4">
            <w:pPr>
              <w:adjustRightInd w:val="0"/>
              <w:snapToGrid w:val="0"/>
              <w:spacing w:line="280" w:lineRule="exact"/>
              <w:jc w:val="center"/>
              <w:rPr>
                <w:color w:val="auto"/>
                <w:sz w:val="18"/>
                <w:szCs w:val="18"/>
              </w:rPr>
            </w:pPr>
            <w:r>
              <w:rPr>
                <w:color w:val="auto"/>
                <w:sz w:val="18"/>
                <w:szCs w:val="18"/>
              </w:rPr>
              <w:t>9.81</w:t>
            </w:r>
          </w:p>
          <w:p w14:paraId="2F895C40">
            <w:pPr>
              <w:adjustRightInd w:val="0"/>
              <w:snapToGrid w:val="0"/>
              <w:spacing w:line="280" w:lineRule="exact"/>
              <w:jc w:val="center"/>
              <w:rPr>
                <w:color w:val="auto"/>
                <w:sz w:val="18"/>
                <w:szCs w:val="18"/>
              </w:rPr>
            </w:pPr>
            <w:r>
              <w:rPr>
                <w:color w:val="auto"/>
                <w:sz w:val="18"/>
                <w:szCs w:val="18"/>
              </w:rPr>
              <w:t>10.37</w:t>
            </w:r>
          </w:p>
          <w:p w14:paraId="4576A3D3">
            <w:pPr>
              <w:adjustRightInd w:val="0"/>
              <w:snapToGrid w:val="0"/>
              <w:spacing w:line="280" w:lineRule="exact"/>
              <w:jc w:val="center"/>
              <w:rPr>
                <w:color w:val="auto"/>
                <w:sz w:val="18"/>
                <w:szCs w:val="18"/>
              </w:rPr>
            </w:pPr>
            <w:r>
              <w:rPr>
                <w:color w:val="auto"/>
                <w:sz w:val="18"/>
                <w:szCs w:val="18"/>
              </w:rPr>
              <w:t>10.98</w:t>
            </w:r>
          </w:p>
          <w:p w14:paraId="49877B00">
            <w:pPr>
              <w:adjustRightInd w:val="0"/>
              <w:snapToGrid w:val="0"/>
              <w:spacing w:line="280" w:lineRule="exact"/>
              <w:jc w:val="center"/>
              <w:rPr>
                <w:color w:val="auto"/>
                <w:sz w:val="18"/>
                <w:szCs w:val="18"/>
              </w:rPr>
            </w:pPr>
            <w:r>
              <w:rPr>
                <w:color w:val="auto"/>
                <w:sz w:val="18"/>
                <w:szCs w:val="18"/>
              </w:rPr>
              <w:t>11.63</w:t>
            </w:r>
          </w:p>
          <w:p w14:paraId="640E633B">
            <w:pPr>
              <w:adjustRightInd w:val="0"/>
              <w:snapToGrid w:val="0"/>
              <w:spacing w:line="280" w:lineRule="exact"/>
              <w:jc w:val="center"/>
              <w:rPr>
                <w:color w:val="auto"/>
                <w:sz w:val="18"/>
                <w:szCs w:val="18"/>
              </w:rPr>
            </w:pPr>
            <w:r>
              <w:rPr>
                <w:color w:val="auto"/>
                <w:sz w:val="18"/>
                <w:szCs w:val="18"/>
              </w:rPr>
              <w:t>12.34</w:t>
            </w:r>
          </w:p>
          <w:p w14:paraId="215A2DC3">
            <w:pPr>
              <w:adjustRightInd w:val="0"/>
              <w:snapToGrid w:val="0"/>
              <w:spacing w:line="280" w:lineRule="exact"/>
              <w:jc w:val="center"/>
              <w:rPr>
                <w:color w:val="auto"/>
                <w:sz w:val="18"/>
                <w:szCs w:val="18"/>
              </w:rPr>
            </w:pPr>
            <w:r>
              <w:rPr>
                <w:color w:val="auto"/>
                <w:sz w:val="18"/>
                <w:szCs w:val="18"/>
              </w:rPr>
              <w:t>13.10</w:t>
            </w:r>
          </w:p>
          <w:p w14:paraId="4B3CDF97">
            <w:pPr>
              <w:adjustRightInd w:val="0"/>
              <w:snapToGrid w:val="0"/>
              <w:spacing w:line="280" w:lineRule="exact"/>
              <w:jc w:val="center"/>
              <w:rPr>
                <w:color w:val="auto"/>
                <w:sz w:val="18"/>
                <w:szCs w:val="18"/>
              </w:rPr>
            </w:pPr>
            <w:r>
              <w:rPr>
                <w:color w:val="auto"/>
                <w:sz w:val="18"/>
                <w:szCs w:val="18"/>
              </w:rPr>
              <w:t>13.93</w:t>
            </w:r>
          </w:p>
          <w:p w14:paraId="0E369849">
            <w:pPr>
              <w:adjustRightInd w:val="0"/>
              <w:snapToGrid w:val="0"/>
              <w:spacing w:line="280" w:lineRule="exact"/>
              <w:jc w:val="center"/>
              <w:rPr>
                <w:color w:val="auto"/>
                <w:sz w:val="18"/>
                <w:szCs w:val="18"/>
              </w:rPr>
            </w:pPr>
            <w:r>
              <w:rPr>
                <w:color w:val="auto"/>
                <w:sz w:val="18"/>
                <w:szCs w:val="18"/>
              </w:rPr>
              <w:t>14.83</w:t>
            </w:r>
          </w:p>
          <w:p w14:paraId="58EF4E20">
            <w:pPr>
              <w:adjustRightInd w:val="0"/>
              <w:snapToGrid w:val="0"/>
              <w:spacing w:line="280" w:lineRule="exact"/>
              <w:jc w:val="center"/>
              <w:rPr>
                <w:color w:val="auto"/>
                <w:sz w:val="18"/>
                <w:szCs w:val="18"/>
              </w:rPr>
            </w:pPr>
            <w:r>
              <w:rPr>
                <w:color w:val="auto"/>
                <w:sz w:val="18"/>
                <w:szCs w:val="18"/>
              </w:rPr>
              <w:t>15.82</w:t>
            </w:r>
          </w:p>
          <w:p w14:paraId="0238A764">
            <w:pPr>
              <w:adjustRightInd w:val="0"/>
              <w:snapToGrid w:val="0"/>
              <w:spacing w:line="280" w:lineRule="exact"/>
              <w:jc w:val="center"/>
              <w:rPr>
                <w:color w:val="auto"/>
                <w:sz w:val="18"/>
                <w:szCs w:val="18"/>
              </w:rPr>
            </w:pPr>
            <w:r>
              <w:rPr>
                <w:color w:val="auto"/>
                <w:sz w:val="18"/>
                <w:szCs w:val="18"/>
              </w:rPr>
              <w:t>16.88</w:t>
            </w:r>
          </w:p>
          <w:p w14:paraId="422DBC21">
            <w:pPr>
              <w:adjustRightInd w:val="0"/>
              <w:snapToGrid w:val="0"/>
              <w:spacing w:line="280" w:lineRule="exact"/>
              <w:jc w:val="center"/>
              <w:rPr>
                <w:color w:val="auto"/>
                <w:sz w:val="18"/>
                <w:szCs w:val="18"/>
              </w:rPr>
            </w:pPr>
            <w:r>
              <w:rPr>
                <w:color w:val="auto"/>
                <w:sz w:val="18"/>
                <w:szCs w:val="18"/>
              </w:rPr>
              <w:t>18.05</w:t>
            </w:r>
          </w:p>
          <w:p w14:paraId="303E9727">
            <w:pPr>
              <w:adjustRightInd w:val="0"/>
              <w:snapToGrid w:val="0"/>
              <w:spacing w:line="280" w:lineRule="exact"/>
              <w:jc w:val="center"/>
              <w:rPr>
                <w:color w:val="auto"/>
                <w:sz w:val="18"/>
                <w:szCs w:val="18"/>
              </w:rPr>
            </w:pPr>
            <w:r>
              <w:rPr>
                <w:color w:val="auto"/>
                <w:sz w:val="18"/>
                <w:szCs w:val="18"/>
              </w:rPr>
              <w:t>19.32</w:t>
            </w:r>
          </w:p>
          <w:p w14:paraId="05E35875">
            <w:pPr>
              <w:adjustRightInd w:val="0"/>
              <w:snapToGrid w:val="0"/>
              <w:spacing w:line="280" w:lineRule="exact"/>
              <w:jc w:val="center"/>
              <w:rPr>
                <w:color w:val="auto"/>
                <w:sz w:val="18"/>
                <w:szCs w:val="18"/>
              </w:rPr>
            </w:pPr>
            <w:r>
              <w:rPr>
                <w:color w:val="auto"/>
                <w:sz w:val="18"/>
                <w:szCs w:val="18"/>
              </w:rPr>
              <w:t>20.72</w:t>
            </w:r>
          </w:p>
        </w:tc>
        <w:tc>
          <w:tcPr>
            <w:tcW w:w="1204" w:type="dxa"/>
          </w:tcPr>
          <w:p w14:paraId="35563A92">
            <w:pPr>
              <w:adjustRightInd w:val="0"/>
              <w:snapToGrid w:val="0"/>
              <w:spacing w:line="280" w:lineRule="exact"/>
              <w:jc w:val="center"/>
              <w:rPr>
                <w:color w:val="auto"/>
                <w:sz w:val="18"/>
                <w:szCs w:val="18"/>
              </w:rPr>
            </w:pPr>
            <w:r>
              <w:rPr>
                <w:color w:val="auto"/>
                <w:sz w:val="18"/>
                <w:szCs w:val="18"/>
              </w:rPr>
              <w:t>1.00</w:t>
            </w:r>
          </w:p>
          <w:p w14:paraId="6074B522">
            <w:pPr>
              <w:adjustRightInd w:val="0"/>
              <w:snapToGrid w:val="0"/>
              <w:spacing w:line="280" w:lineRule="exact"/>
              <w:jc w:val="center"/>
              <w:rPr>
                <w:color w:val="auto"/>
                <w:sz w:val="18"/>
                <w:szCs w:val="18"/>
              </w:rPr>
            </w:pPr>
            <w:r>
              <w:rPr>
                <w:color w:val="auto"/>
                <w:sz w:val="18"/>
                <w:szCs w:val="18"/>
              </w:rPr>
              <w:t>1.09</w:t>
            </w:r>
          </w:p>
          <w:p w14:paraId="1E45F20A">
            <w:pPr>
              <w:adjustRightInd w:val="0"/>
              <w:snapToGrid w:val="0"/>
              <w:spacing w:line="280" w:lineRule="exact"/>
              <w:jc w:val="center"/>
              <w:rPr>
                <w:color w:val="auto"/>
                <w:sz w:val="18"/>
                <w:szCs w:val="18"/>
              </w:rPr>
            </w:pPr>
            <w:r>
              <w:rPr>
                <w:color w:val="auto"/>
                <w:sz w:val="18"/>
                <w:szCs w:val="18"/>
              </w:rPr>
              <w:t>1.20</w:t>
            </w:r>
          </w:p>
          <w:p w14:paraId="30922603">
            <w:pPr>
              <w:adjustRightInd w:val="0"/>
              <w:snapToGrid w:val="0"/>
              <w:spacing w:line="280" w:lineRule="exact"/>
              <w:jc w:val="center"/>
              <w:rPr>
                <w:color w:val="auto"/>
                <w:sz w:val="18"/>
                <w:szCs w:val="18"/>
              </w:rPr>
            </w:pPr>
            <w:r>
              <w:rPr>
                <w:color w:val="auto"/>
                <w:sz w:val="18"/>
                <w:szCs w:val="18"/>
              </w:rPr>
              <w:t>1.31</w:t>
            </w:r>
          </w:p>
          <w:p w14:paraId="689D7E22">
            <w:pPr>
              <w:adjustRightInd w:val="0"/>
              <w:snapToGrid w:val="0"/>
              <w:spacing w:line="280" w:lineRule="exact"/>
              <w:jc w:val="center"/>
              <w:rPr>
                <w:color w:val="auto"/>
                <w:sz w:val="18"/>
                <w:szCs w:val="18"/>
              </w:rPr>
            </w:pPr>
            <w:r>
              <w:rPr>
                <w:color w:val="auto"/>
                <w:sz w:val="18"/>
                <w:szCs w:val="18"/>
              </w:rPr>
              <w:t>1.43</w:t>
            </w:r>
          </w:p>
          <w:p w14:paraId="478D5787">
            <w:pPr>
              <w:adjustRightInd w:val="0"/>
              <w:snapToGrid w:val="0"/>
              <w:spacing w:line="280" w:lineRule="exact"/>
              <w:jc w:val="center"/>
              <w:rPr>
                <w:color w:val="auto"/>
                <w:sz w:val="18"/>
                <w:szCs w:val="18"/>
              </w:rPr>
            </w:pPr>
            <w:r>
              <w:rPr>
                <w:color w:val="auto"/>
                <w:sz w:val="18"/>
                <w:szCs w:val="18"/>
              </w:rPr>
              <w:t>1.57</w:t>
            </w:r>
          </w:p>
          <w:p w14:paraId="072F7AAA">
            <w:pPr>
              <w:adjustRightInd w:val="0"/>
              <w:snapToGrid w:val="0"/>
              <w:spacing w:line="280" w:lineRule="exact"/>
              <w:jc w:val="center"/>
              <w:rPr>
                <w:color w:val="auto"/>
                <w:sz w:val="18"/>
                <w:szCs w:val="18"/>
              </w:rPr>
            </w:pPr>
            <w:r>
              <w:rPr>
                <w:color w:val="auto"/>
                <w:sz w:val="18"/>
                <w:szCs w:val="18"/>
              </w:rPr>
              <w:t>1.72</w:t>
            </w:r>
          </w:p>
          <w:p w14:paraId="7D7ADD6C">
            <w:pPr>
              <w:adjustRightInd w:val="0"/>
              <w:snapToGrid w:val="0"/>
              <w:spacing w:line="280" w:lineRule="exact"/>
              <w:jc w:val="center"/>
              <w:rPr>
                <w:color w:val="auto"/>
                <w:sz w:val="18"/>
                <w:szCs w:val="18"/>
              </w:rPr>
            </w:pPr>
            <w:r>
              <w:rPr>
                <w:color w:val="auto"/>
                <w:sz w:val="18"/>
                <w:szCs w:val="18"/>
              </w:rPr>
              <w:t>1.88</w:t>
            </w:r>
          </w:p>
          <w:p w14:paraId="45107110">
            <w:pPr>
              <w:adjustRightInd w:val="0"/>
              <w:snapToGrid w:val="0"/>
              <w:spacing w:line="280" w:lineRule="exact"/>
              <w:jc w:val="center"/>
              <w:rPr>
                <w:color w:val="auto"/>
                <w:sz w:val="18"/>
                <w:szCs w:val="18"/>
              </w:rPr>
            </w:pPr>
            <w:r>
              <w:rPr>
                <w:color w:val="auto"/>
                <w:sz w:val="18"/>
                <w:szCs w:val="18"/>
              </w:rPr>
              <w:t>2.06</w:t>
            </w:r>
          </w:p>
          <w:p w14:paraId="23B176DE">
            <w:pPr>
              <w:adjustRightInd w:val="0"/>
              <w:snapToGrid w:val="0"/>
              <w:spacing w:line="280" w:lineRule="exact"/>
              <w:jc w:val="center"/>
              <w:rPr>
                <w:color w:val="auto"/>
                <w:sz w:val="18"/>
                <w:szCs w:val="18"/>
              </w:rPr>
            </w:pPr>
            <w:r>
              <w:rPr>
                <w:color w:val="auto"/>
                <w:sz w:val="18"/>
                <w:szCs w:val="18"/>
              </w:rPr>
              <w:t>2.25</w:t>
            </w:r>
          </w:p>
          <w:p w14:paraId="2415B5AB">
            <w:pPr>
              <w:adjustRightInd w:val="0"/>
              <w:snapToGrid w:val="0"/>
              <w:spacing w:line="280" w:lineRule="exact"/>
              <w:jc w:val="center"/>
              <w:rPr>
                <w:color w:val="auto"/>
                <w:sz w:val="18"/>
                <w:szCs w:val="18"/>
              </w:rPr>
            </w:pPr>
            <w:r>
              <w:rPr>
                <w:color w:val="auto"/>
                <w:sz w:val="18"/>
                <w:szCs w:val="18"/>
              </w:rPr>
              <w:t>2.47</w:t>
            </w:r>
          </w:p>
          <w:p w14:paraId="7CBFEB92">
            <w:pPr>
              <w:adjustRightInd w:val="0"/>
              <w:snapToGrid w:val="0"/>
              <w:spacing w:line="280" w:lineRule="exact"/>
              <w:jc w:val="center"/>
              <w:rPr>
                <w:color w:val="auto"/>
                <w:sz w:val="18"/>
                <w:szCs w:val="18"/>
              </w:rPr>
            </w:pPr>
            <w:r>
              <w:rPr>
                <w:color w:val="auto"/>
                <w:sz w:val="18"/>
                <w:szCs w:val="18"/>
              </w:rPr>
              <w:t>2.71</w:t>
            </w:r>
          </w:p>
          <w:p w14:paraId="4FDA5140">
            <w:pPr>
              <w:adjustRightInd w:val="0"/>
              <w:snapToGrid w:val="0"/>
              <w:spacing w:line="280" w:lineRule="exact"/>
              <w:jc w:val="center"/>
              <w:rPr>
                <w:color w:val="auto"/>
                <w:sz w:val="18"/>
                <w:szCs w:val="18"/>
              </w:rPr>
            </w:pPr>
            <w:r>
              <w:rPr>
                <w:color w:val="auto"/>
                <w:sz w:val="18"/>
                <w:szCs w:val="18"/>
              </w:rPr>
              <w:t>2.97</w:t>
            </w:r>
          </w:p>
          <w:p w14:paraId="72A17DCE">
            <w:pPr>
              <w:adjustRightInd w:val="0"/>
              <w:snapToGrid w:val="0"/>
              <w:spacing w:line="280" w:lineRule="exact"/>
              <w:jc w:val="center"/>
              <w:rPr>
                <w:color w:val="auto"/>
                <w:sz w:val="18"/>
                <w:szCs w:val="18"/>
              </w:rPr>
            </w:pPr>
            <w:r>
              <w:rPr>
                <w:color w:val="auto"/>
                <w:sz w:val="18"/>
                <w:szCs w:val="18"/>
              </w:rPr>
              <w:t>3.26</w:t>
            </w:r>
          </w:p>
          <w:p w14:paraId="19E92BDB">
            <w:pPr>
              <w:adjustRightInd w:val="0"/>
              <w:snapToGrid w:val="0"/>
              <w:spacing w:line="280" w:lineRule="exact"/>
              <w:jc w:val="center"/>
              <w:rPr>
                <w:color w:val="auto"/>
                <w:sz w:val="18"/>
                <w:szCs w:val="18"/>
              </w:rPr>
            </w:pPr>
            <w:r>
              <w:rPr>
                <w:color w:val="auto"/>
                <w:sz w:val="18"/>
                <w:szCs w:val="18"/>
              </w:rPr>
              <w:t>3.59</w:t>
            </w:r>
          </w:p>
          <w:p w14:paraId="41B6AD97">
            <w:pPr>
              <w:adjustRightInd w:val="0"/>
              <w:snapToGrid w:val="0"/>
              <w:spacing w:line="280" w:lineRule="exact"/>
              <w:jc w:val="center"/>
              <w:rPr>
                <w:color w:val="auto"/>
                <w:sz w:val="18"/>
                <w:szCs w:val="18"/>
              </w:rPr>
            </w:pPr>
            <w:r>
              <w:rPr>
                <w:color w:val="auto"/>
                <w:sz w:val="18"/>
                <w:szCs w:val="18"/>
              </w:rPr>
              <w:t>3.94</w:t>
            </w:r>
          </w:p>
          <w:p w14:paraId="7023CD8B">
            <w:pPr>
              <w:adjustRightInd w:val="0"/>
              <w:snapToGrid w:val="0"/>
              <w:spacing w:line="280" w:lineRule="exact"/>
              <w:jc w:val="center"/>
              <w:rPr>
                <w:color w:val="auto"/>
                <w:sz w:val="18"/>
                <w:szCs w:val="18"/>
              </w:rPr>
            </w:pPr>
            <w:r>
              <w:rPr>
                <w:color w:val="auto"/>
                <w:sz w:val="18"/>
                <w:szCs w:val="18"/>
              </w:rPr>
              <w:t>4.34</w:t>
            </w:r>
          </w:p>
          <w:p w14:paraId="4D41D6E7">
            <w:pPr>
              <w:adjustRightInd w:val="0"/>
              <w:snapToGrid w:val="0"/>
              <w:spacing w:line="280" w:lineRule="exact"/>
              <w:jc w:val="center"/>
              <w:rPr>
                <w:color w:val="auto"/>
                <w:sz w:val="18"/>
                <w:szCs w:val="18"/>
              </w:rPr>
            </w:pPr>
            <w:r>
              <w:rPr>
                <w:color w:val="auto"/>
                <w:sz w:val="18"/>
                <w:szCs w:val="18"/>
              </w:rPr>
              <w:t>4.77</w:t>
            </w:r>
          </w:p>
          <w:p w14:paraId="77994F67">
            <w:pPr>
              <w:adjustRightInd w:val="0"/>
              <w:snapToGrid w:val="0"/>
              <w:spacing w:line="280" w:lineRule="exact"/>
              <w:jc w:val="center"/>
              <w:rPr>
                <w:color w:val="auto"/>
                <w:sz w:val="18"/>
                <w:szCs w:val="18"/>
              </w:rPr>
            </w:pPr>
            <w:r>
              <w:rPr>
                <w:color w:val="auto"/>
                <w:sz w:val="18"/>
                <w:szCs w:val="18"/>
              </w:rPr>
              <w:t>5.26</w:t>
            </w:r>
          </w:p>
          <w:p w14:paraId="51100ACC">
            <w:pPr>
              <w:adjustRightInd w:val="0"/>
              <w:snapToGrid w:val="0"/>
              <w:spacing w:line="280" w:lineRule="exact"/>
              <w:jc w:val="center"/>
              <w:rPr>
                <w:color w:val="auto"/>
                <w:sz w:val="18"/>
                <w:szCs w:val="18"/>
              </w:rPr>
            </w:pPr>
            <w:r>
              <w:rPr>
                <w:color w:val="auto"/>
                <w:sz w:val="18"/>
                <w:szCs w:val="18"/>
              </w:rPr>
              <w:t>5.80</w:t>
            </w:r>
          </w:p>
          <w:p w14:paraId="491FAA8E">
            <w:pPr>
              <w:adjustRightInd w:val="0"/>
              <w:snapToGrid w:val="0"/>
              <w:spacing w:line="280" w:lineRule="exact"/>
              <w:jc w:val="center"/>
              <w:rPr>
                <w:color w:val="auto"/>
                <w:sz w:val="18"/>
                <w:szCs w:val="18"/>
              </w:rPr>
            </w:pPr>
            <w:r>
              <w:rPr>
                <w:color w:val="auto"/>
                <w:sz w:val="18"/>
                <w:szCs w:val="18"/>
              </w:rPr>
              <w:t>6.40</w:t>
            </w:r>
          </w:p>
          <w:p w14:paraId="65BEAB96">
            <w:pPr>
              <w:adjustRightInd w:val="0"/>
              <w:snapToGrid w:val="0"/>
              <w:spacing w:line="280" w:lineRule="exact"/>
              <w:jc w:val="center"/>
              <w:rPr>
                <w:color w:val="auto"/>
                <w:sz w:val="18"/>
                <w:szCs w:val="18"/>
              </w:rPr>
            </w:pPr>
            <w:r>
              <w:rPr>
                <w:color w:val="auto"/>
                <w:sz w:val="18"/>
                <w:szCs w:val="18"/>
              </w:rPr>
              <w:t>7.07</w:t>
            </w:r>
          </w:p>
          <w:p w14:paraId="2EED0368">
            <w:pPr>
              <w:adjustRightInd w:val="0"/>
              <w:snapToGrid w:val="0"/>
              <w:spacing w:line="280" w:lineRule="exact"/>
              <w:jc w:val="center"/>
              <w:rPr>
                <w:color w:val="auto"/>
                <w:sz w:val="18"/>
                <w:szCs w:val="18"/>
              </w:rPr>
            </w:pPr>
            <w:r>
              <w:rPr>
                <w:color w:val="auto"/>
                <w:sz w:val="18"/>
                <w:szCs w:val="18"/>
              </w:rPr>
              <w:t>7.82</w:t>
            </w:r>
          </w:p>
          <w:p w14:paraId="736623CE">
            <w:pPr>
              <w:adjustRightInd w:val="0"/>
              <w:snapToGrid w:val="0"/>
              <w:spacing w:line="280" w:lineRule="exact"/>
              <w:jc w:val="center"/>
              <w:rPr>
                <w:color w:val="auto"/>
                <w:sz w:val="18"/>
                <w:szCs w:val="18"/>
              </w:rPr>
            </w:pPr>
            <w:r>
              <w:rPr>
                <w:color w:val="auto"/>
                <w:sz w:val="18"/>
                <w:szCs w:val="18"/>
              </w:rPr>
              <w:t>8.66</w:t>
            </w:r>
          </w:p>
          <w:p w14:paraId="1C191FE7">
            <w:pPr>
              <w:adjustRightInd w:val="0"/>
              <w:snapToGrid w:val="0"/>
              <w:spacing w:line="280" w:lineRule="exact"/>
              <w:jc w:val="center"/>
              <w:rPr>
                <w:color w:val="auto"/>
                <w:sz w:val="18"/>
                <w:szCs w:val="18"/>
              </w:rPr>
            </w:pPr>
            <w:r>
              <w:rPr>
                <w:color w:val="auto"/>
                <w:sz w:val="18"/>
                <w:szCs w:val="18"/>
              </w:rPr>
              <w:t>9.60</w:t>
            </w:r>
          </w:p>
          <w:p w14:paraId="43BF3720">
            <w:pPr>
              <w:adjustRightInd w:val="0"/>
              <w:snapToGrid w:val="0"/>
              <w:spacing w:line="280" w:lineRule="exact"/>
              <w:jc w:val="center"/>
              <w:rPr>
                <w:color w:val="auto"/>
                <w:sz w:val="18"/>
                <w:szCs w:val="18"/>
              </w:rPr>
            </w:pPr>
            <w:r>
              <w:rPr>
                <w:color w:val="auto"/>
                <w:sz w:val="18"/>
                <w:szCs w:val="18"/>
              </w:rPr>
              <w:t>10.66</w:t>
            </w:r>
          </w:p>
        </w:tc>
        <w:tc>
          <w:tcPr>
            <w:tcW w:w="1134" w:type="dxa"/>
          </w:tcPr>
          <w:p w14:paraId="4A05F86C">
            <w:pPr>
              <w:adjustRightInd w:val="0"/>
              <w:snapToGrid w:val="0"/>
              <w:spacing w:line="280" w:lineRule="exact"/>
              <w:jc w:val="center"/>
              <w:rPr>
                <w:color w:val="auto"/>
                <w:sz w:val="18"/>
                <w:szCs w:val="18"/>
              </w:rPr>
            </w:pPr>
            <w:r>
              <w:rPr>
                <w:color w:val="auto"/>
                <w:sz w:val="18"/>
                <w:szCs w:val="18"/>
              </w:rPr>
              <w:t>0.00</w:t>
            </w:r>
          </w:p>
          <w:p w14:paraId="62B41624">
            <w:pPr>
              <w:adjustRightInd w:val="0"/>
              <w:snapToGrid w:val="0"/>
              <w:spacing w:line="280" w:lineRule="exact"/>
              <w:jc w:val="center"/>
              <w:rPr>
                <w:color w:val="auto"/>
                <w:sz w:val="18"/>
                <w:szCs w:val="18"/>
              </w:rPr>
            </w:pPr>
            <w:r>
              <w:rPr>
                <w:color w:val="auto"/>
                <w:sz w:val="18"/>
                <w:szCs w:val="18"/>
              </w:rPr>
              <w:t>0.07</w:t>
            </w:r>
          </w:p>
          <w:p w14:paraId="6BB52BCA">
            <w:pPr>
              <w:adjustRightInd w:val="0"/>
              <w:snapToGrid w:val="0"/>
              <w:spacing w:line="280" w:lineRule="exact"/>
              <w:jc w:val="center"/>
              <w:rPr>
                <w:color w:val="auto"/>
                <w:sz w:val="18"/>
                <w:szCs w:val="18"/>
              </w:rPr>
            </w:pPr>
            <w:r>
              <w:rPr>
                <w:color w:val="auto"/>
                <w:sz w:val="18"/>
                <w:szCs w:val="18"/>
              </w:rPr>
              <w:t>0.15</w:t>
            </w:r>
          </w:p>
          <w:p w14:paraId="5B5F0BA8">
            <w:pPr>
              <w:adjustRightInd w:val="0"/>
              <w:snapToGrid w:val="0"/>
              <w:spacing w:line="280" w:lineRule="exact"/>
              <w:jc w:val="center"/>
              <w:rPr>
                <w:color w:val="auto"/>
                <w:sz w:val="18"/>
                <w:szCs w:val="18"/>
              </w:rPr>
            </w:pPr>
            <w:r>
              <w:rPr>
                <w:color w:val="auto"/>
                <w:sz w:val="18"/>
                <w:szCs w:val="18"/>
              </w:rPr>
              <w:t>0.24</w:t>
            </w:r>
          </w:p>
          <w:p w14:paraId="7A185303">
            <w:pPr>
              <w:adjustRightInd w:val="0"/>
              <w:snapToGrid w:val="0"/>
              <w:spacing w:line="280" w:lineRule="exact"/>
              <w:jc w:val="center"/>
              <w:rPr>
                <w:color w:val="auto"/>
                <w:sz w:val="18"/>
                <w:szCs w:val="18"/>
              </w:rPr>
            </w:pPr>
            <w:r>
              <w:rPr>
                <w:color w:val="auto"/>
                <w:sz w:val="18"/>
                <w:szCs w:val="18"/>
              </w:rPr>
              <w:t>0.34</w:t>
            </w:r>
          </w:p>
          <w:p w14:paraId="0DC09AD1">
            <w:pPr>
              <w:adjustRightInd w:val="0"/>
              <w:snapToGrid w:val="0"/>
              <w:spacing w:line="280" w:lineRule="exact"/>
              <w:jc w:val="center"/>
              <w:rPr>
                <w:color w:val="auto"/>
                <w:sz w:val="18"/>
                <w:szCs w:val="18"/>
              </w:rPr>
            </w:pPr>
            <w:r>
              <w:rPr>
                <w:color w:val="auto"/>
                <w:sz w:val="18"/>
                <w:szCs w:val="18"/>
              </w:rPr>
              <w:t>0.45</w:t>
            </w:r>
          </w:p>
          <w:p w14:paraId="209F8E31">
            <w:pPr>
              <w:adjustRightInd w:val="0"/>
              <w:snapToGrid w:val="0"/>
              <w:spacing w:line="280" w:lineRule="exact"/>
              <w:jc w:val="center"/>
              <w:rPr>
                <w:color w:val="auto"/>
                <w:sz w:val="18"/>
                <w:szCs w:val="18"/>
              </w:rPr>
            </w:pPr>
            <w:r>
              <w:rPr>
                <w:color w:val="auto"/>
                <w:sz w:val="18"/>
                <w:szCs w:val="18"/>
              </w:rPr>
              <w:t>0.57</w:t>
            </w:r>
          </w:p>
          <w:p w14:paraId="34F16BE7">
            <w:pPr>
              <w:adjustRightInd w:val="0"/>
              <w:snapToGrid w:val="0"/>
              <w:spacing w:line="280" w:lineRule="exact"/>
              <w:jc w:val="center"/>
              <w:rPr>
                <w:color w:val="auto"/>
                <w:sz w:val="18"/>
                <w:szCs w:val="18"/>
              </w:rPr>
            </w:pPr>
            <w:r>
              <w:rPr>
                <w:color w:val="auto"/>
                <w:sz w:val="18"/>
                <w:szCs w:val="18"/>
              </w:rPr>
              <w:t>0.71</w:t>
            </w:r>
          </w:p>
          <w:p w14:paraId="6DF6F52F">
            <w:pPr>
              <w:adjustRightInd w:val="0"/>
              <w:snapToGrid w:val="0"/>
              <w:spacing w:line="280" w:lineRule="exact"/>
              <w:jc w:val="center"/>
              <w:rPr>
                <w:color w:val="auto"/>
                <w:sz w:val="18"/>
                <w:szCs w:val="18"/>
              </w:rPr>
            </w:pPr>
            <w:r>
              <w:rPr>
                <w:color w:val="auto"/>
                <w:sz w:val="18"/>
                <w:szCs w:val="18"/>
              </w:rPr>
              <w:t>0.86</w:t>
            </w:r>
          </w:p>
          <w:p w14:paraId="51D40FBA">
            <w:pPr>
              <w:adjustRightInd w:val="0"/>
              <w:snapToGrid w:val="0"/>
              <w:spacing w:line="280" w:lineRule="exact"/>
              <w:jc w:val="center"/>
              <w:rPr>
                <w:color w:val="auto"/>
                <w:sz w:val="18"/>
                <w:szCs w:val="18"/>
              </w:rPr>
            </w:pPr>
            <w:r>
              <w:rPr>
                <w:color w:val="auto"/>
                <w:sz w:val="18"/>
                <w:szCs w:val="18"/>
              </w:rPr>
              <w:t>1.03</w:t>
            </w:r>
          </w:p>
          <w:p w14:paraId="078960C5">
            <w:pPr>
              <w:adjustRightInd w:val="0"/>
              <w:snapToGrid w:val="0"/>
              <w:spacing w:line="280" w:lineRule="exact"/>
              <w:jc w:val="center"/>
              <w:rPr>
                <w:color w:val="auto"/>
                <w:sz w:val="18"/>
                <w:szCs w:val="18"/>
              </w:rPr>
            </w:pPr>
            <w:r>
              <w:rPr>
                <w:color w:val="auto"/>
                <w:sz w:val="18"/>
                <w:szCs w:val="18"/>
              </w:rPr>
              <w:t>1.22</w:t>
            </w:r>
          </w:p>
          <w:p w14:paraId="39396108">
            <w:pPr>
              <w:adjustRightInd w:val="0"/>
              <w:snapToGrid w:val="0"/>
              <w:spacing w:line="280" w:lineRule="exact"/>
              <w:jc w:val="center"/>
              <w:rPr>
                <w:color w:val="auto"/>
                <w:sz w:val="18"/>
                <w:szCs w:val="18"/>
              </w:rPr>
            </w:pPr>
            <w:r>
              <w:rPr>
                <w:color w:val="auto"/>
                <w:sz w:val="18"/>
                <w:szCs w:val="18"/>
              </w:rPr>
              <w:t>1.44</w:t>
            </w:r>
          </w:p>
          <w:p w14:paraId="2F38CF2C">
            <w:pPr>
              <w:adjustRightInd w:val="0"/>
              <w:snapToGrid w:val="0"/>
              <w:spacing w:line="280" w:lineRule="exact"/>
              <w:jc w:val="center"/>
              <w:rPr>
                <w:color w:val="auto"/>
                <w:sz w:val="18"/>
                <w:szCs w:val="18"/>
              </w:rPr>
            </w:pPr>
            <w:r>
              <w:rPr>
                <w:color w:val="auto"/>
                <w:sz w:val="18"/>
                <w:szCs w:val="18"/>
              </w:rPr>
              <w:t>1.69</w:t>
            </w:r>
          </w:p>
          <w:p w14:paraId="7DC447C6">
            <w:pPr>
              <w:adjustRightInd w:val="0"/>
              <w:snapToGrid w:val="0"/>
              <w:spacing w:line="280" w:lineRule="exact"/>
              <w:jc w:val="center"/>
              <w:rPr>
                <w:color w:val="auto"/>
                <w:sz w:val="18"/>
                <w:szCs w:val="18"/>
              </w:rPr>
            </w:pPr>
            <w:r>
              <w:rPr>
                <w:color w:val="auto"/>
                <w:sz w:val="18"/>
                <w:szCs w:val="18"/>
              </w:rPr>
              <w:t>1.97</w:t>
            </w:r>
          </w:p>
          <w:p w14:paraId="1F900F10">
            <w:pPr>
              <w:adjustRightInd w:val="0"/>
              <w:snapToGrid w:val="0"/>
              <w:spacing w:line="280" w:lineRule="exact"/>
              <w:jc w:val="center"/>
              <w:rPr>
                <w:color w:val="auto"/>
                <w:sz w:val="18"/>
                <w:szCs w:val="18"/>
              </w:rPr>
            </w:pPr>
            <w:r>
              <w:rPr>
                <w:color w:val="auto"/>
                <w:sz w:val="18"/>
                <w:szCs w:val="18"/>
              </w:rPr>
              <w:t>2.29</w:t>
            </w:r>
          </w:p>
          <w:p w14:paraId="1F79D38C">
            <w:pPr>
              <w:adjustRightInd w:val="0"/>
              <w:snapToGrid w:val="0"/>
              <w:spacing w:line="280" w:lineRule="exact"/>
              <w:jc w:val="center"/>
              <w:rPr>
                <w:color w:val="auto"/>
                <w:sz w:val="18"/>
                <w:szCs w:val="18"/>
              </w:rPr>
            </w:pPr>
            <w:r>
              <w:rPr>
                <w:color w:val="auto"/>
                <w:sz w:val="18"/>
                <w:szCs w:val="18"/>
              </w:rPr>
              <w:t>2.65</w:t>
            </w:r>
          </w:p>
          <w:p w14:paraId="40EA8EA7">
            <w:pPr>
              <w:adjustRightInd w:val="0"/>
              <w:snapToGrid w:val="0"/>
              <w:spacing w:line="280" w:lineRule="exact"/>
              <w:jc w:val="center"/>
              <w:rPr>
                <w:color w:val="auto"/>
                <w:sz w:val="18"/>
                <w:szCs w:val="18"/>
              </w:rPr>
            </w:pPr>
            <w:r>
              <w:rPr>
                <w:color w:val="auto"/>
                <w:sz w:val="18"/>
                <w:szCs w:val="18"/>
              </w:rPr>
              <w:t>3.06</w:t>
            </w:r>
          </w:p>
          <w:p w14:paraId="63FDE5C9">
            <w:pPr>
              <w:adjustRightInd w:val="0"/>
              <w:snapToGrid w:val="0"/>
              <w:spacing w:line="280" w:lineRule="exact"/>
              <w:jc w:val="center"/>
              <w:rPr>
                <w:color w:val="auto"/>
                <w:sz w:val="18"/>
                <w:szCs w:val="18"/>
              </w:rPr>
            </w:pPr>
            <w:r>
              <w:rPr>
                <w:color w:val="auto"/>
                <w:sz w:val="18"/>
                <w:szCs w:val="18"/>
              </w:rPr>
              <w:t>3.53</w:t>
            </w:r>
          </w:p>
          <w:p w14:paraId="1F5DB654">
            <w:pPr>
              <w:adjustRightInd w:val="0"/>
              <w:snapToGrid w:val="0"/>
              <w:spacing w:line="280" w:lineRule="exact"/>
              <w:jc w:val="center"/>
              <w:rPr>
                <w:color w:val="auto"/>
                <w:sz w:val="18"/>
                <w:szCs w:val="18"/>
              </w:rPr>
            </w:pPr>
            <w:r>
              <w:rPr>
                <w:color w:val="auto"/>
                <w:sz w:val="18"/>
                <w:szCs w:val="18"/>
              </w:rPr>
              <w:t>4.07</w:t>
            </w:r>
          </w:p>
          <w:p w14:paraId="0860604D">
            <w:pPr>
              <w:adjustRightInd w:val="0"/>
              <w:snapToGrid w:val="0"/>
              <w:spacing w:line="280" w:lineRule="exact"/>
              <w:jc w:val="center"/>
              <w:rPr>
                <w:color w:val="auto"/>
                <w:sz w:val="18"/>
                <w:szCs w:val="18"/>
              </w:rPr>
            </w:pPr>
            <w:r>
              <w:rPr>
                <w:color w:val="auto"/>
                <w:sz w:val="18"/>
                <w:szCs w:val="18"/>
              </w:rPr>
              <w:t>4.68</w:t>
            </w:r>
          </w:p>
          <w:p w14:paraId="023DFD55">
            <w:pPr>
              <w:adjustRightInd w:val="0"/>
              <w:snapToGrid w:val="0"/>
              <w:spacing w:line="280" w:lineRule="exact"/>
              <w:jc w:val="center"/>
              <w:rPr>
                <w:color w:val="auto"/>
                <w:sz w:val="18"/>
                <w:szCs w:val="18"/>
              </w:rPr>
            </w:pPr>
            <w:r>
              <w:rPr>
                <w:color w:val="auto"/>
                <w:sz w:val="18"/>
                <w:szCs w:val="18"/>
              </w:rPr>
              <w:t>5.39</w:t>
            </w:r>
          </w:p>
          <w:p w14:paraId="026C3962">
            <w:pPr>
              <w:adjustRightInd w:val="0"/>
              <w:snapToGrid w:val="0"/>
              <w:spacing w:line="280" w:lineRule="exact"/>
              <w:jc w:val="center"/>
              <w:rPr>
                <w:color w:val="auto"/>
                <w:sz w:val="18"/>
                <w:szCs w:val="18"/>
              </w:rPr>
            </w:pPr>
            <w:r>
              <w:rPr>
                <w:color w:val="auto"/>
                <w:sz w:val="18"/>
                <w:szCs w:val="18"/>
              </w:rPr>
              <w:t>6.20</w:t>
            </w:r>
          </w:p>
          <w:p w14:paraId="7AD86D4E">
            <w:pPr>
              <w:adjustRightInd w:val="0"/>
              <w:snapToGrid w:val="0"/>
              <w:spacing w:line="280" w:lineRule="exact"/>
              <w:jc w:val="center"/>
              <w:rPr>
                <w:color w:val="auto"/>
                <w:sz w:val="18"/>
                <w:szCs w:val="18"/>
              </w:rPr>
            </w:pPr>
            <w:r>
              <w:rPr>
                <w:color w:val="auto"/>
                <w:sz w:val="18"/>
                <w:szCs w:val="18"/>
              </w:rPr>
              <w:t>7.13</w:t>
            </w:r>
          </w:p>
          <w:p w14:paraId="0F443765">
            <w:pPr>
              <w:adjustRightInd w:val="0"/>
              <w:snapToGrid w:val="0"/>
              <w:spacing w:line="280" w:lineRule="exact"/>
              <w:jc w:val="center"/>
              <w:rPr>
                <w:color w:val="auto"/>
                <w:sz w:val="18"/>
                <w:szCs w:val="18"/>
              </w:rPr>
            </w:pPr>
            <w:r>
              <w:rPr>
                <w:color w:val="auto"/>
                <w:sz w:val="18"/>
                <w:szCs w:val="18"/>
              </w:rPr>
              <w:t>8.20</w:t>
            </w:r>
          </w:p>
          <w:p w14:paraId="1C1C001B">
            <w:pPr>
              <w:adjustRightInd w:val="0"/>
              <w:snapToGrid w:val="0"/>
              <w:spacing w:line="280" w:lineRule="exact"/>
              <w:jc w:val="center"/>
              <w:rPr>
                <w:color w:val="auto"/>
                <w:sz w:val="18"/>
                <w:szCs w:val="18"/>
              </w:rPr>
            </w:pPr>
            <w:r>
              <w:rPr>
                <w:color w:val="auto"/>
                <w:sz w:val="18"/>
                <w:szCs w:val="18"/>
              </w:rPr>
              <w:t>9.44</w:t>
            </w:r>
          </w:p>
          <w:p w14:paraId="19074FCE">
            <w:pPr>
              <w:adjustRightInd w:val="0"/>
              <w:snapToGrid w:val="0"/>
              <w:spacing w:line="280" w:lineRule="exact"/>
              <w:jc w:val="center"/>
              <w:rPr>
                <w:color w:val="auto"/>
                <w:sz w:val="18"/>
                <w:szCs w:val="18"/>
              </w:rPr>
            </w:pPr>
            <w:r>
              <w:rPr>
                <w:color w:val="auto"/>
                <w:sz w:val="18"/>
                <w:szCs w:val="18"/>
              </w:rPr>
              <w:t>10.88</w:t>
            </w:r>
          </w:p>
        </w:tc>
        <w:tc>
          <w:tcPr>
            <w:tcW w:w="1079" w:type="dxa"/>
          </w:tcPr>
          <w:p w14:paraId="487B8882">
            <w:pPr>
              <w:adjustRightInd w:val="0"/>
              <w:snapToGrid w:val="0"/>
              <w:spacing w:line="280" w:lineRule="exact"/>
              <w:jc w:val="center"/>
              <w:rPr>
                <w:color w:val="auto"/>
                <w:sz w:val="18"/>
                <w:szCs w:val="18"/>
              </w:rPr>
            </w:pPr>
            <w:r>
              <w:rPr>
                <w:color w:val="auto"/>
                <w:sz w:val="18"/>
                <w:szCs w:val="18"/>
              </w:rPr>
              <w:t>26</w:t>
            </w:r>
          </w:p>
          <w:p w14:paraId="313B02EF">
            <w:pPr>
              <w:adjustRightInd w:val="0"/>
              <w:snapToGrid w:val="0"/>
              <w:spacing w:line="280" w:lineRule="exact"/>
              <w:jc w:val="center"/>
              <w:rPr>
                <w:color w:val="auto"/>
                <w:sz w:val="18"/>
                <w:szCs w:val="18"/>
              </w:rPr>
            </w:pPr>
            <w:r>
              <w:rPr>
                <w:color w:val="auto"/>
                <w:sz w:val="18"/>
                <w:szCs w:val="18"/>
              </w:rPr>
              <w:t>27</w:t>
            </w:r>
          </w:p>
          <w:p w14:paraId="3D873CDD">
            <w:pPr>
              <w:adjustRightInd w:val="0"/>
              <w:snapToGrid w:val="0"/>
              <w:spacing w:line="280" w:lineRule="exact"/>
              <w:jc w:val="center"/>
              <w:rPr>
                <w:color w:val="auto"/>
                <w:sz w:val="18"/>
                <w:szCs w:val="18"/>
              </w:rPr>
            </w:pPr>
            <w:r>
              <w:rPr>
                <w:color w:val="auto"/>
                <w:sz w:val="18"/>
                <w:szCs w:val="18"/>
              </w:rPr>
              <w:t>28</w:t>
            </w:r>
          </w:p>
          <w:p w14:paraId="08AB886C">
            <w:pPr>
              <w:adjustRightInd w:val="0"/>
              <w:snapToGrid w:val="0"/>
              <w:spacing w:line="280" w:lineRule="exact"/>
              <w:jc w:val="center"/>
              <w:rPr>
                <w:color w:val="auto"/>
                <w:sz w:val="18"/>
                <w:szCs w:val="18"/>
              </w:rPr>
            </w:pPr>
            <w:r>
              <w:rPr>
                <w:color w:val="auto"/>
                <w:sz w:val="18"/>
                <w:szCs w:val="18"/>
              </w:rPr>
              <w:t>29</w:t>
            </w:r>
          </w:p>
          <w:p w14:paraId="29B521BB">
            <w:pPr>
              <w:adjustRightInd w:val="0"/>
              <w:snapToGrid w:val="0"/>
              <w:spacing w:line="280" w:lineRule="exact"/>
              <w:jc w:val="center"/>
              <w:rPr>
                <w:color w:val="auto"/>
                <w:sz w:val="18"/>
                <w:szCs w:val="18"/>
              </w:rPr>
            </w:pPr>
            <w:r>
              <w:rPr>
                <w:color w:val="auto"/>
                <w:sz w:val="18"/>
                <w:szCs w:val="18"/>
              </w:rPr>
              <w:t>30</w:t>
            </w:r>
          </w:p>
          <w:p w14:paraId="7B0592F5">
            <w:pPr>
              <w:adjustRightInd w:val="0"/>
              <w:snapToGrid w:val="0"/>
              <w:spacing w:line="280" w:lineRule="exact"/>
              <w:jc w:val="center"/>
              <w:rPr>
                <w:color w:val="auto"/>
                <w:sz w:val="18"/>
                <w:szCs w:val="18"/>
              </w:rPr>
            </w:pPr>
            <w:r>
              <w:rPr>
                <w:color w:val="auto"/>
                <w:sz w:val="18"/>
                <w:szCs w:val="18"/>
              </w:rPr>
              <w:t>31</w:t>
            </w:r>
          </w:p>
          <w:p w14:paraId="08D883E8">
            <w:pPr>
              <w:adjustRightInd w:val="0"/>
              <w:snapToGrid w:val="0"/>
              <w:spacing w:line="280" w:lineRule="exact"/>
              <w:jc w:val="center"/>
              <w:rPr>
                <w:color w:val="auto"/>
                <w:sz w:val="18"/>
                <w:szCs w:val="18"/>
              </w:rPr>
            </w:pPr>
            <w:r>
              <w:rPr>
                <w:color w:val="auto"/>
                <w:sz w:val="18"/>
                <w:szCs w:val="18"/>
              </w:rPr>
              <w:t>32</w:t>
            </w:r>
          </w:p>
          <w:p w14:paraId="2FC9BDC3">
            <w:pPr>
              <w:adjustRightInd w:val="0"/>
              <w:snapToGrid w:val="0"/>
              <w:spacing w:line="280" w:lineRule="exact"/>
              <w:jc w:val="center"/>
              <w:rPr>
                <w:color w:val="auto"/>
                <w:sz w:val="18"/>
                <w:szCs w:val="18"/>
              </w:rPr>
            </w:pPr>
            <w:r>
              <w:rPr>
                <w:color w:val="auto"/>
                <w:sz w:val="18"/>
                <w:szCs w:val="18"/>
              </w:rPr>
              <w:t>33</w:t>
            </w:r>
          </w:p>
          <w:p w14:paraId="485BCC9D">
            <w:pPr>
              <w:adjustRightInd w:val="0"/>
              <w:snapToGrid w:val="0"/>
              <w:spacing w:line="280" w:lineRule="exact"/>
              <w:jc w:val="center"/>
              <w:rPr>
                <w:color w:val="auto"/>
                <w:sz w:val="18"/>
                <w:szCs w:val="18"/>
              </w:rPr>
            </w:pPr>
            <w:r>
              <w:rPr>
                <w:color w:val="auto"/>
                <w:sz w:val="18"/>
                <w:szCs w:val="18"/>
              </w:rPr>
              <w:t>34</w:t>
            </w:r>
          </w:p>
          <w:p w14:paraId="7AA87B3A">
            <w:pPr>
              <w:adjustRightInd w:val="0"/>
              <w:snapToGrid w:val="0"/>
              <w:spacing w:line="280" w:lineRule="exact"/>
              <w:jc w:val="center"/>
              <w:rPr>
                <w:color w:val="auto"/>
                <w:sz w:val="18"/>
                <w:szCs w:val="18"/>
              </w:rPr>
            </w:pPr>
            <w:r>
              <w:rPr>
                <w:color w:val="auto"/>
                <w:sz w:val="18"/>
                <w:szCs w:val="18"/>
              </w:rPr>
              <w:t>35</w:t>
            </w:r>
          </w:p>
          <w:p w14:paraId="1219F651">
            <w:pPr>
              <w:adjustRightInd w:val="0"/>
              <w:snapToGrid w:val="0"/>
              <w:spacing w:line="280" w:lineRule="exact"/>
              <w:jc w:val="center"/>
              <w:rPr>
                <w:color w:val="auto"/>
                <w:sz w:val="18"/>
                <w:szCs w:val="18"/>
              </w:rPr>
            </w:pPr>
            <w:r>
              <w:rPr>
                <w:color w:val="auto"/>
                <w:sz w:val="18"/>
                <w:szCs w:val="18"/>
              </w:rPr>
              <w:t>36</w:t>
            </w:r>
          </w:p>
          <w:p w14:paraId="559F7035">
            <w:pPr>
              <w:adjustRightInd w:val="0"/>
              <w:snapToGrid w:val="0"/>
              <w:spacing w:line="280" w:lineRule="exact"/>
              <w:jc w:val="center"/>
              <w:rPr>
                <w:color w:val="auto"/>
                <w:sz w:val="18"/>
                <w:szCs w:val="18"/>
              </w:rPr>
            </w:pPr>
            <w:r>
              <w:rPr>
                <w:color w:val="auto"/>
                <w:sz w:val="18"/>
                <w:szCs w:val="18"/>
              </w:rPr>
              <w:t>37</w:t>
            </w:r>
          </w:p>
          <w:p w14:paraId="77FD31FC">
            <w:pPr>
              <w:adjustRightInd w:val="0"/>
              <w:snapToGrid w:val="0"/>
              <w:spacing w:line="280" w:lineRule="exact"/>
              <w:jc w:val="center"/>
              <w:rPr>
                <w:color w:val="auto"/>
                <w:sz w:val="18"/>
                <w:szCs w:val="18"/>
              </w:rPr>
            </w:pPr>
            <w:r>
              <w:rPr>
                <w:color w:val="auto"/>
                <w:sz w:val="18"/>
                <w:szCs w:val="18"/>
              </w:rPr>
              <w:t>38</w:t>
            </w:r>
          </w:p>
          <w:p w14:paraId="51CFADC0">
            <w:pPr>
              <w:adjustRightInd w:val="0"/>
              <w:snapToGrid w:val="0"/>
              <w:spacing w:line="280" w:lineRule="exact"/>
              <w:jc w:val="center"/>
              <w:rPr>
                <w:color w:val="auto"/>
                <w:sz w:val="18"/>
                <w:szCs w:val="18"/>
              </w:rPr>
            </w:pPr>
            <w:r>
              <w:rPr>
                <w:color w:val="auto"/>
                <w:sz w:val="18"/>
                <w:szCs w:val="18"/>
              </w:rPr>
              <w:t>39</w:t>
            </w:r>
          </w:p>
          <w:p w14:paraId="32D222E7">
            <w:pPr>
              <w:adjustRightInd w:val="0"/>
              <w:snapToGrid w:val="0"/>
              <w:spacing w:line="280" w:lineRule="exact"/>
              <w:jc w:val="center"/>
              <w:rPr>
                <w:color w:val="auto"/>
                <w:sz w:val="18"/>
                <w:szCs w:val="18"/>
              </w:rPr>
            </w:pPr>
            <w:r>
              <w:rPr>
                <w:color w:val="auto"/>
                <w:sz w:val="18"/>
                <w:szCs w:val="18"/>
              </w:rPr>
              <w:t>40</w:t>
            </w:r>
          </w:p>
          <w:p w14:paraId="7EBFD05F">
            <w:pPr>
              <w:adjustRightInd w:val="0"/>
              <w:snapToGrid w:val="0"/>
              <w:spacing w:line="280" w:lineRule="exact"/>
              <w:jc w:val="center"/>
              <w:rPr>
                <w:color w:val="auto"/>
                <w:sz w:val="18"/>
                <w:szCs w:val="18"/>
              </w:rPr>
            </w:pPr>
            <w:r>
              <w:rPr>
                <w:color w:val="auto"/>
                <w:sz w:val="18"/>
                <w:szCs w:val="18"/>
              </w:rPr>
              <w:t>41</w:t>
            </w:r>
          </w:p>
          <w:p w14:paraId="2C51B38D">
            <w:pPr>
              <w:adjustRightInd w:val="0"/>
              <w:snapToGrid w:val="0"/>
              <w:spacing w:line="280" w:lineRule="exact"/>
              <w:jc w:val="center"/>
              <w:rPr>
                <w:color w:val="auto"/>
                <w:sz w:val="18"/>
                <w:szCs w:val="18"/>
              </w:rPr>
            </w:pPr>
            <w:r>
              <w:rPr>
                <w:color w:val="auto"/>
                <w:sz w:val="18"/>
                <w:szCs w:val="18"/>
              </w:rPr>
              <w:t>42</w:t>
            </w:r>
          </w:p>
          <w:p w14:paraId="46D60865">
            <w:pPr>
              <w:adjustRightInd w:val="0"/>
              <w:snapToGrid w:val="0"/>
              <w:spacing w:line="280" w:lineRule="exact"/>
              <w:jc w:val="center"/>
              <w:rPr>
                <w:color w:val="auto"/>
                <w:sz w:val="18"/>
                <w:szCs w:val="18"/>
              </w:rPr>
            </w:pPr>
            <w:r>
              <w:rPr>
                <w:color w:val="auto"/>
                <w:sz w:val="18"/>
                <w:szCs w:val="18"/>
              </w:rPr>
              <w:t>43</w:t>
            </w:r>
          </w:p>
          <w:p w14:paraId="009E8048">
            <w:pPr>
              <w:adjustRightInd w:val="0"/>
              <w:snapToGrid w:val="0"/>
              <w:spacing w:line="280" w:lineRule="exact"/>
              <w:jc w:val="center"/>
              <w:rPr>
                <w:color w:val="auto"/>
                <w:sz w:val="18"/>
                <w:szCs w:val="18"/>
              </w:rPr>
            </w:pPr>
            <w:r>
              <w:rPr>
                <w:color w:val="auto"/>
                <w:sz w:val="18"/>
                <w:szCs w:val="18"/>
              </w:rPr>
              <w:t>44</w:t>
            </w:r>
          </w:p>
          <w:p w14:paraId="23652EBB">
            <w:pPr>
              <w:adjustRightInd w:val="0"/>
              <w:snapToGrid w:val="0"/>
              <w:spacing w:line="280" w:lineRule="exact"/>
              <w:jc w:val="center"/>
              <w:rPr>
                <w:color w:val="auto"/>
                <w:sz w:val="18"/>
                <w:szCs w:val="18"/>
              </w:rPr>
            </w:pPr>
            <w:r>
              <w:rPr>
                <w:color w:val="auto"/>
                <w:sz w:val="18"/>
                <w:szCs w:val="18"/>
              </w:rPr>
              <w:t>45</w:t>
            </w:r>
          </w:p>
          <w:p w14:paraId="600FF8CF">
            <w:pPr>
              <w:adjustRightInd w:val="0"/>
              <w:snapToGrid w:val="0"/>
              <w:spacing w:line="280" w:lineRule="exact"/>
              <w:jc w:val="center"/>
              <w:rPr>
                <w:color w:val="auto"/>
                <w:sz w:val="18"/>
                <w:szCs w:val="18"/>
              </w:rPr>
            </w:pPr>
            <w:r>
              <w:rPr>
                <w:color w:val="auto"/>
                <w:sz w:val="18"/>
                <w:szCs w:val="18"/>
              </w:rPr>
              <w:t>46</w:t>
            </w:r>
          </w:p>
          <w:p w14:paraId="388DDF66">
            <w:pPr>
              <w:adjustRightInd w:val="0"/>
              <w:snapToGrid w:val="0"/>
              <w:spacing w:line="280" w:lineRule="exact"/>
              <w:jc w:val="center"/>
              <w:rPr>
                <w:color w:val="auto"/>
                <w:sz w:val="18"/>
                <w:szCs w:val="18"/>
              </w:rPr>
            </w:pPr>
            <w:r>
              <w:rPr>
                <w:color w:val="auto"/>
                <w:sz w:val="18"/>
                <w:szCs w:val="18"/>
              </w:rPr>
              <w:t>47</w:t>
            </w:r>
          </w:p>
          <w:p w14:paraId="15E1045C">
            <w:pPr>
              <w:adjustRightInd w:val="0"/>
              <w:snapToGrid w:val="0"/>
              <w:spacing w:line="280" w:lineRule="exact"/>
              <w:jc w:val="center"/>
              <w:rPr>
                <w:color w:val="auto"/>
                <w:sz w:val="18"/>
                <w:szCs w:val="18"/>
              </w:rPr>
            </w:pPr>
            <w:r>
              <w:rPr>
                <w:color w:val="auto"/>
                <w:sz w:val="18"/>
                <w:szCs w:val="18"/>
              </w:rPr>
              <w:t>48</w:t>
            </w:r>
          </w:p>
          <w:p w14:paraId="366658CC">
            <w:pPr>
              <w:adjustRightInd w:val="0"/>
              <w:snapToGrid w:val="0"/>
              <w:spacing w:line="280" w:lineRule="exact"/>
              <w:jc w:val="center"/>
              <w:rPr>
                <w:color w:val="auto"/>
                <w:sz w:val="18"/>
                <w:szCs w:val="18"/>
              </w:rPr>
            </w:pPr>
            <w:r>
              <w:rPr>
                <w:color w:val="auto"/>
                <w:sz w:val="18"/>
                <w:szCs w:val="18"/>
              </w:rPr>
              <w:t>49</w:t>
            </w:r>
          </w:p>
          <w:p w14:paraId="61F2796C">
            <w:pPr>
              <w:adjustRightInd w:val="0"/>
              <w:snapToGrid w:val="0"/>
              <w:spacing w:line="280" w:lineRule="exact"/>
              <w:jc w:val="center"/>
              <w:rPr>
                <w:color w:val="auto"/>
                <w:sz w:val="18"/>
                <w:szCs w:val="18"/>
              </w:rPr>
            </w:pPr>
            <w:r>
              <w:rPr>
                <w:color w:val="auto"/>
                <w:sz w:val="18"/>
                <w:szCs w:val="18"/>
              </w:rPr>
              <w:t>50</w:t>
            </w:r>
          </w:p>
        </w:tc>
        <w:tc>
          <w:tcPr>
            <w:tcW w:w="1087" w:type="dxa"/>
          </w:tcPr>
          <w:p w14:paraId="317E4C30">
            <w:pPr>
              <w:adjustRightInd w:val="0"/>
              <w:snapToGrid w:val="0"/>
              <w:spacing w:line="280" w:lineRule="exact"/>
              <w:jc w:val="center"/>
              <w:rPr>
                <w:color w:val="auto"/>
                <w:sz w:val="18"/>
                <w:szCs w:val="18"/>
              </w:rPr>
            </w:pPr>
            <w:r>
              <w:rPr>
                <w:color w:val="auto"/>
                <w:sz w:val="18"/>
                <w:szCs w:val="18"/>
              </w:rPr>
              <w:t>22.25</w:t>
            </w:r>
          </w:p>
          <w:p w14:paraId="1365EA15">
            <w:pPr>
              <w:adjustRightInd w:val="0"/>
              <w:snapToGrid w:val="0"/>
              <w:spacing w:line="280" w:lineRule="exact"/>
              <w:jc w:val="center"/>
              <w:rPr>
                <w:color w:val="auto"/>
                <w:sz w:val="18"/>
                <w:szCs w:val="18"/>
              </w:rPr>
            </w:pPr>
            <w:r>
              <w:rPr>
                <w:color w:val="auto"/>
                <w:sz w:val="18"/>
                <w:szCs w:val="18"/>
              </w:rPr>
              <w:t>23.94</w:t>
            </w:r>
          </w:p>
          <w:p w14:paraId="566D9AB3">
            <w:pPr>
              <w:adjustRightInd w:val="0"/>
              <w:snapToGrid w:val="0"/>
              <w:spacing w:line="280" w:lineRule="exact"/>
              <w:jc w:val="center"/>
              <w:rPr>
                <w:color w:val="auto"/>
                <w:sz w:val="18"/>
                <w:szCs w:val="18"/>
              </w:rPr>
            </w:pPr>
            <w:r>
              <w:rPr>
                <w:color w:val="auto"/>
                <w:sz w:val="18"/>
                <w:szCs w:val="18"/>
              </w:rPr>
              <w:t>25.80</w:t>
            </w:r>
          </w:p>
          <w:p w14:paraId="613ECA36">
            <w:pPr>
              <w:adjustRightInd w:val="0"/>
              <w:snapToGrid w:val="0"/>
              <w:spacing w:line="280" w:lineRule="exact"/>
              <w:jc w:val="center"/>
              <w:rPr>
                <w:color w:val="auto"/>
                <w:sz w:val="18"/>
                <w:szCs w:val="18"/>
              </w:rPr>
            </w:pPr>
            <w:r>
              <w:rPr>
                <w:color w:val="auto"/>
                <w:sz w:val="18"/>
                <w:szCs w:val="18"/>
              </w:rPr>
              <w:t>27.86</w:t>
            </w:r>
          </w:p>
          <w:p w14:paraId="4D50C44B">
            <w:pPr>
              <w:adjustRightInd w:val="0"/>
              <w:snapToGrid w:val="0"/>
              <w:spacing w:line="280" w:lineRule="exact"/>
              <w:jc w:val="center"/>
              <w:rPr>
                <w:color w:val="auto"/>
                <w:sz w:val="18"/>
                <w:szCs w:val="18"/>
              </w:rPr>
            </w:pPr>
            <w:r>
              <w:rPr>
                <w:color w:val="auto"/>
                <w:sz w:val="18"/>
                <w:szCs w:val="18"/>
              </w:rPr>
              <w:t>30.14</w:t>
            </w:r>
          </w:p>
          <w:p w14:paraId="5C10557A">
            <w:pPr>
              <w:adjustRightInd w:val="0"/>
              <w:snapToGrid w:val="0"/>
              <w:spacing w:line="280" w:lineRule="exact"/>
              <w:jc w:val="center"/>
              <w:rPr>
                <w:color w:val="auto"/>
                <w:sz w:val="18"/>
                <w:szCs w:val="18"/>
              </w:rPr>
            </w:pPr>
            <w:r>
              <w:rPr>
                <w:color w:val="auto"/>
                <w:sz w:val="18"/>
                <w:szCs w:val="18"/>
              </w:rPr>
              <w:t>32.67</w:t>
            </w:r>
          </w:p>
          <w:p w14:paraId="788DB3FA">
            <w:pPr>
              <w:adjustRightInd w:val="0"/>
              <w:snapToGrid w:val="0"/>
              <w:spacing w:line="280" w:lineRule="exact"/>
              <w:jc w:val="center"/>
              <w:rPr>
                <w:color w:val="auto"/>
                <w:sz w:val="18"/>
                <w:szCs w:val="18"/>
              </w:rPr>
            </w:pPr>
            <w:r>
              <w:rPr>
                <w:color w:val="auto"/>
                <w:sz w:val="18"/>
                <w:szCs w:val="18"/>
              </w:rPr>
              <w:t>35.49</w:t>
            </w:r>
          </w:p>
          <w:p w14:paraId="06AF254E">
            <w:pPr>
              <w:adjustRightInd w:val="0"/>
              <w:snapToGrid w:val="0"/>
              <w:spacing w:line="280" w:lineRule="exact"/>
              <w:jc w:val="center"/>
              <w:rPr>
                <w:color w:val="auto"/>
                <w:sz w:val="18"/>
                <w:szCs w:val="18"/>
              </w:rPr>
            </w:pPr>
            <w:r>
              <w:rPr>
                <w:color w:val="auto"/>
                <w:sz w:val="18"/>
                <w:szCs w:val="18"/>
              </w:rPr>
              <w:t>38.64</w:t>
            </w:r>
          </w:p>
          <w:p w14:paraId="4757F239">
            <w:pPr>
              <w:adjustRightInd w:val="0"/>
              <w:snapToGrid w:val="0"/>
              <w:spacing w:line="280" w:lineRule="exact"/>
              <w:jc w:val="center"/>
              <w:rPr>
                <w:color w:val="auto"/>
                <w:sz w:val="18"/>
                <w:szCs w:val="18"/>
              </w:rPr>
            </w:pPr>
            <w:r>
              <w:rPr>
                <w:color w:val="auto"/>
                <w:sz w:val="18"/>
                <w:szCs w:val="18"/>
              </w:rPr>
              <w:t>42.16</w:t>
            </w:r>
          </w:p>
          <w:p w14:paraId="338AF40B">
            <w:pPr>
              <w:adjustRightInd w:val="0"/>
              <w:snapToGrid w:val="0"/>
              <w:spacing w:line="280" w:lineRule="exact"/>
              <w:jc w:val="center"/>
              <w:rPr>
                <w:color w:val="auto"/>
                <w:sz w:val="18"/>
                <w:szCs w:val="18"/>
              </w:rPr>
            </w:pPr>
            <w:r>
              <w:rPr>
                <w:color w:val="auto"/>
                <w:sz w:val="18"/>
                <w:szCs w:val="18"/>
              </w:rPr>
              <w:t>46.12</w:t>
            </w:r>
          </w:p>
          <w:p w14:paraId="4ECF9B1C">
            <w:pPr>
              <w:adjustRightInd w:val="0"/>
              <w:snapToGrid w:val="0"/>
              <w:spacing w:line="280" w:lineRule="exact"/>
              <w:jc w:val="center"/>
              <w:rPr>
                <w:color w:val="auto"/>
                <w:sz w:val="18"/>
                <w:szCs w:val="18"/>
              </w:rPr>
            </w:pPr>
            <w:r>
              <w:rPr>
                <w:color w:val="auto"/>
                <w:sz w:val="18"/>
                <w:szCs w:val="18"/>
              </w:rPr>
              <w:t>50.59</w:t>
            </w:r>
          </w:p>
          <w:p w14:paraId="60C15C7D">
            <w:pPr>
              <w:adjustRightInd w:val="0"/>
              <w:snapToGrid w:val="0"/>
              <w:spacing w:line="280" w:lineRule="exact"/>
              <w:jc w:val="center"/>
              <w:rPr>
                <w:color w:val="auto"/>
                <w:sz w:val="18"/>
                <w:szCs w:val="18"/>
              </w:rPr>
            </w:pPr>
            <w:r>
              <w:rPr>
                <w:color w:val="auto"/>
                <w:sz w:val="18"/>
                <w:szCs w:val="18"/>
              </w:rPr>
              <w:t>55.63</w:t>
            </w:r>
          </w:p>
          <w:p w14:paraId="5226D231">
            <w:pPr>
              <w:adjustRightInd w:val="0"/>
              <w:snapToGrid w:val="0"/>
              <w:spacing w:line="280" w:lineRule="exact"/>
              <w:jc w:val="center"/>
              <w:rPr>
                <w:color w:val="auto"/>
                <w:sz w:val="18"/>
                <w:szCs w:val="18"/>
              </w:rPr>
            </w:pPr>
            <w:r>
              <w:rPr>
                <w:color w:val="auto"/>
                <w:sz w:val="18"/>
                <w:szCs w:val="18"/>
              </w:rPr>
              <w:t>61.35</w:t>
            </w:r>
          </w:p>
          <w:p w14:paraId="26CE2209">
            <w:pPr>
              <w:adjustRightInd w:val="0"/>
              <w:snapToGrid w:val="0"/>
              <w:spacing w:line="280" w:lineRule="exact"/>
              <w:jc w:val="center"/>
              <w:rPr>
                <w:color w:val="auto"/>
                <w:sz w:val="18"/>
                <w:szCs w:val="18"/>
              </w:rPr>
            </w:pPr>
            <w:r>
              <w:rPr>
                <w:color w:val="auto"/>
                <w:sz w:val="18"/>
                <w:szCs w:val="18"/>
              </w:rPr>
              <w:t>67.87</w:t>
            </w:r>
          </w:p>
          <w:p w14:paraId="5F048874">
            <w:pPr>
              <w:adjustRightInd w:val="0"/>
              <w:snapToGrid w:val="0"/>
              <w:spacing w:line="280" w:lineRule="exact"/>
              <w:jc w:val="center"/>
              <w:rPr>
                <w:color w:val="auto"/>
                <w:sz w:val="18"/>
                <w:szCs w:val="18"/>
              </w:rPr>
            </w:pPr>
            <w:r>
              <w:rPr>
                <w:color w:val="auto"/>
                <w:sz w:val="18"/>
                <w:szCs w:val="18"/>
              </w:rPr>
              <w:t>75.31</w:t>
            </w:r>
          </w:p>
          <w:p w14:paraId="737CADD3">
            <w:pPr>
              <w:adjustRightInd w:val="0"/>
              <w:snapToGrid w:val="0"/>
              <w:spacing w:line="280" w:lineRule="exact"/>
              <w:jc w:val="center"/>
              <w:rPr>
                <w:color w:val="auto"/>
                <w:sz w:val="18"/>
                <w:szCs w:val="18"/>
              </w:rPr>
            </w:pPr>
            <w:r>
              <w:rPr>
                <w:color w:val="auto"/>
                <w:sz w:val="18"/>
                <w:szCs w:val="18"/>
              </w:rPr>
              <w:t>83.86</w:t>
            </w:r>
          </w:p>
          <w:p w14:paraId="447D5355">
            <w:pPr>
              <w:adjustRightInd w:val="0"/>
              <w:snapToGrid w:val="0"/>
              <w:spacing w:line="280" w:lineRule="exact"/>
              <w:jc w:val="center"/>
              <w:rPr>
                <w:color w:val="auto"/>
                <w:sz w:val="18"/>
                <w:szCs w:val="18"/>
              </w:rPr>
            </w:pPr>
            <w:r>
              <w:rPr>
                <w:color w:val="auto"/>
                <w:sz w:val="18"/>
                <w:szCs w:val="18"/>
              </w:rPr>
              <w:t>93.71</w:t>
            </w:r>
          </w:p>
          <w:p w14:paraId="09174A0B">
            <w:pPr>
              <w:adjustRightInd w:val="0"/>
              <w:snapToGrid w:val="0"/>
              <w:spacing w:line="280" w:lineRule="exact"/>
              <w:jc w:val="center"/>
              <w:rPr>
                <w:color w:val="auto"/>
                <w:sz w:val="18"/>
                <w:szCs w:val="18"/>
              </w:rPr>
            </w:pPr>
            <w:r>
              <w:rPr>
                <w:color w:val="auto"/>
                <w:sz w:val="18"/>
                <w:szCs w:val="18"/>
              </w:rPr>
              <w:t>105.11</w:t>
            </w:r>
          </w:p>
          <w:p w14:paraId="2C4B12DB">
            <w:pPr>
              <w:adjustRightInd w:val="0"/>
              <w:snapToGrid w:val="0"/>
              <w:spacing w:line="280" w:lineRule="exact"/>
              <w:jc w:val="center"/>
              <w:rPr>
                <w:color w:val="auto"/>
                <w:sz w:val="18"/>
                <w:szCs w:val="18"/>
              </w:rPr>
            </w:pPr>
            <w:r>
              <w:rPr>
                <w:color w:val="auto"/>
                <w:sz w:val="18"/>
                <w:szCs w:val="18"/>
              </w:rPr>
              <w:t>118.37</w:t>
            </w:r>
          </w:p>
          <w:p w14:paraId="654608D3">
            <w:pPr>
              <w:adjustRightInd w:val="0"/>
              <w:snapToGrid w:val="0"/>
              <w:spacing w:line="280" w:lineRule="exact"/>
              <w:jc w:val="center"/>
              <w:rPr>
                <w:color w:val="auto"/>
                <w:sz w:val="18"/>
                <w:szCs w:val="18"/>
              </w:rPr>
            </w:pPr>
            <w:r>
              <w:rPr>
                <w:color w:val="auto"/>
                <w:sz w:val="18"/>
                <w:szCs w:val="18"/>
              </w:rPr>
              <w:t>133.88</w:t>
            </w:r>
          </w:p>
          <w:p w14:paraId="4E898D74">
            <w:pPr>
              <w:adjustRightInd w:val="0"/>
              <w:snapToGrid w:val="0"/>
              <w:spacing w:line="280" w:lineRule="exact"/>
              <w:jc w:val="center"/>
              <w:rPr>
                <w:color w:val="auto"/>
                <w:sz w:val="18"/>
                <w:szCs w:val="18"/>
              </w:rPr>
            </w:pPr>
            <w:r>
              <w:rPr>
                <w:color w:val="auto"/>
                <w:sz w:val="18"/>
                <w:szCs w:val="18"/>
              </w:rPr>
              <w:t>152.10</w:t>
            </w:r>
          </w:p>
          <w:p w14:paraId="441A39D7">
            <w:pPr>
              <w:adjustRightInd w:val="0"/>
              <w:snapToGrid w:val="0"/>
              <w:spacing w:line="280" w:lineRule="exact"/>
              <w:jc w:val="center"/>
              <w:rPr>
                <w:color w:val="auto"/>
                <w:sz w:val="18"/>
                <w:szCs w:val="18"/>
              </w:rPr>
            </w:pPr>
            <w:r>
              <w:rPr>
                <w:color w:val="auto"/>
                <w:sz w:val="18"/>
                <w:szCs w:val="18"/>
              </w:rPr>
              <w:t>173.64</w:t>
            </w:r>
          </w:p>
          <w:p w14:paraId="08F42851">
            <w:pPr>
              <w:adjustRightInd w:val="0"/>
              <w:snapToGrid w:val="0"/>
              <w:spacing w:line="280" w:lineRule="exact"/>
              <w:jc w:val="center"/>
              <w:rPr>
                <w:color w:val="auto"/>
                <w:sz w:val="18"/>
                <w:szCs w:val="18"/>
              </w:rPr>
            </w:pPr>
            <w:r>
              <w:rPr>
                <w:color w:val="auto"/>
                <w:sz w:val="18"/>
                <w:szCs w:val="18"/>
              </w:rPr>
              <w:t>199.26</w:t>
            </w:r>
          </w:p>
          <w:p w14:paraId="05E95F14">
            <w:pPr>
              <w:adjustRightInd w:val="0"/>
              <w:snapToGrid w:val="0"/>
              <w:spacing w:line="280" w:lineRule="exact"/>
              <w:jc w:val="center"/>
              <w:rPr>
                <w:color w:val="auto"/>
                <w:sz w:val="18"/>
                <w:szCs w:val="18"/>
              </w:rPr>
            </w:pPr>
            <w:r>
              <w:rPr>
                <w:color w:val="auto"/>
                <w:sz w:val="18"/>
                <w:szCs w:val="18"/>
              </w:rPr>
              <w:t>229.93</w:t>
            </w:r>
          </w:p>
          <w:p w14:paraId="3B736C26">
            <w:pPr>
              <w:adjustRightInd w:val="0"/>
              <w:snapToGrid w:val="0"/>
              <w:spacing w:line="280" w:lineRule="exact"/>
              <w:jc w:val="center"/>
              <w:rPr>
                <w:color w:val="auto"/>
                <w:sz w:val="18"/>
                <w:szCs w:val="18"/>
              </w:rPr>
            </w:pPr>
            <w:r>
              <w:rPr>
                <w:color w:val="auto"/>
                <w:sz w:val="18"/>
                <w:szCs w:val="18"/>
              </w:rPr>
              <w:t>266.89</w:t>
            </w:r>
          </w:p>
        </w:tc>
        <w:tc>
          <w:tcPr>
            <w:tcW w:w="1152" w:type="dxa"/>
          </w:tcPr>
          <w:p w14:paraId="7F216733">
            <w:pPr>
              <w:adjustRightInd w:val="0"/>
              <w:snapToGrid w:val="0"/>
              <w:spacing w:line="280" w:lineRule="exact"/>
              <w:jc w:val="center"/>
              <w:rPr>
                <w:color w:val="auto"/>
                <w:sz w:val="18"/>
                <w:szCs w:val="18"/>
              </w:rPr>
            </w:pPr>
            <w:r>
              <w:rPr>
                <w:color w:val="auto"/>
                <w:sz w:val="18"/>
                <w:szCs w:val="18"/>
              </w:rPr>
              <w:t>11.85</w:t>
            </w:r>
          </w:p>
          <w:p w14:paraId="57CE84A5">
            <w:pPr>
              <w:adjustRightInd w:val="0"/>
              <w:snapToGrid w:val="0"/>
              <w:spacing w:line="280" w:lineRule="exact"/>
              <w:jc w:val="center"/>
              <w:rPr>
                <w:color w:val="auto"/>
                <w:sz w:val="18"/>
                <w:szCs w:val="18"/>
              </w:rPr>
            </w:pPr>
            <w:r>
              <w:rPr>
                <w:color w:val="auto"/>
                <w:sz w:val="18"/>
                <w:szCs w:val="18"/>
              </w:rPr>
              <w:t>13.20</w:t>
            </w:r>
          </w:p>
          <w:p w14:paraId="613BD7C5">
            <w:pPr>
              <w:adjustRightInd w:val="0"/>
              <w:snapToGrid w:val="0"/>
              <w:spacing w:line="280" w:lineRule="exact"/>
              <w:jc w:val="center"/>
              <w:rPr>
                <w:color w:val="auto"/>
                <w:sz w:val="18"/>
                <w:szCs w:val="18"/>
              </w:rPr>
            </w:pPr>
            <w:r>
              <w:rPr>
                <w:color w:val="auto"/>
                <w:sz w:val="18"/>
                <w:szCs w:val="18"/>
              </w:rPr>
              <w:t>14.72</w:t>
            </w:r>
          </w:p>
          <w:p w14:paraId="0CF9025C">
            <w:pPr>
              <w:adjustRightInd w:val="0"/>
              <w:snapToGrid w:val="0"/>
              <w:spacing w:line="280" w:lineRule="exact"/>
              <w:jc w:val="center"/>
              <w:rPr>
                <w:color w:val="auto"/>
                <w:sz w:val="18"/>
                <w:szCs w:val="18"/>
              </w:rPr>
            </w:pPr>
            <w:r>
              <w:rPr>
                <w:color w:val="auto"/>
                <w:sz w:val="18"/>
                <w:szCs w:val="18"/>
              </w:rPr>
              <w:t>16.44</w:t>
            </w:r>
          </w:p>
          <w:p w14:paraId="5D9B79D6">
            <w:pPr>
              <w:adjustRightInd w:val="0"/>
              <w:snapToGrid w:val="0"/>
              <w:spacing w:line="280" w:lineRule="exact"/>
              <w:jc w:val="center"/>
              <w:rPr>
                <w:color w:val="auto"/>
                <w:sz w:val="18"/>
                <w:szCs w:val="18"/>
              </w:rPr>
            </w:pPr>
            <w:r>
              <w:rPr>
                <w:color w:val="auto"/>
                <w:sz w:val="18"/>
                <w:szCs w:val="18"/>
              </w:rPr>
              <w:t>18.40</w:t>
            </w:r>
          </w:p>
          <w:p w14:paraId="579247E9">
            <w:pPr>
              <w:adjustRightInd w:val="0"/>
              <w:snapToGrid w:val="0"/>
              <w:spacing w:line="280" w:lineRule="exact"/>
              <w:jc w:val="center"/>
              <w:rPr>
                <w:color w:val="auto"/>
                <w:sz w:val="18"/>
                <w:szCs w:val="18"/>
              </w:rPr>
            </w:pPr>
            <w:r>
              <w:rPr>
                <w:color w:val="auto"/>
                <w:sz w:val="18"/>
                <w:szCs w:val="18"/>
              </w:rPr>
              <w:t>20.63</w:t>
            </w:r>
          </w:p>
          <w:p w14:paraId="6D31BFE7">
            <w:pPr>
              <w:adjustRightInd w:val="0"/>
              <w:snapToGrid w:val="0"/>
              <w:spacing w:line="280" w:lineRule="exact"/>
              <w:jc w:val="center"/>
              <w:rPr>
                <w:color w:val="auto"/>
                <w:sz w:val="18"/>
                <w:szCs w:val="18"/>
              </w:rPr>
            </w:pPr>
            <w:r>
              <w:rPr>
                <w:color w:val="auto"/>
                <w:sz w:val="18"/>
                <w:szCs w:val="18"/>
              </w:rPr>
              <w:t>23.18</w:t>
            </w:r>
          </w:p>
          <w:p w14:paraId="23D35E60">
            <w:pPr>
              <w:adjustRightInd w:val="0"/>
              <w:snapToGrid w:val="0"/>
              <w:spacing w:line="280" w:lineRule="exact"/>
              <w:jc w:val="center"/>
              <w:rPr>
                <w:color w:val="auto"/>
                <w:sz w:val="18"/>
                <w:szCs w:val="18"/>
              </w:rPr>
            </w:pPr>
            <w:r>
              <w:rPr>
                <w:color w:val="auto"/>
                <w:sz w:val="18"/>
                <w:szCs w:val="18"/>
              </w:rPr>
              <w:t>26.09</w:t>
            </w:r>
          </w:p>
          <w:p w14:paraId="50A62721">
            <w:pPr>
              <w:adjustRightInd w:val="0"/>
              <w:snapToGrid w:val="0"/>
              <w:spacing w:line="280" w:lineRule="exact"/>
              <w:jc w:val="center"/>
              <w:rPr>
                <w:color w:val="auto"/>
                <w:sz w:val="18"/>
                <w:szCs w:val="18"/>
              </w:rPr>
            </w:pPr>
            <w:r>
              <w:rPr>
                <w:color w:val="auto"/>
                <w:sz w:val="18"/>
                <w:szCs w:val="18"/>
              </w:rPr>
              <w:t>29.44</w:t>
            </w:r>
          </w:p>
          <w:p w14:paraId="6ABD434B">
            <w:pPr>
              <w:adjustRightInd w:val="0"/>
              <w:snapToGrid w:val="0"/>
              <w:spacing w:line="280" w:lineRule="exact"/>
              <w:jc w:val="center"/>
              <w:rPr>
                <w:color w:val="auto"/>
                <w:sz w:val="18"/>
                <w:szCs w:val="18"/>
              </w:rPr>
            </w:pPr>
            <w:r>
              <w:rPr>
                <w:color w:val="auto"/>
                <w:sz w:val="18"/>
                <w:szCs w:val="18"/>
              </w:rPr>
              <w:t>33.30</w:t>
            </w:r>
          </w:p>
          <w:p w14:paraId="3A12B623">
            <w:pPr>
              <w:adjustRightInd w:val="0"/>
              <w:snapToGrid w:val="0"/>
              <w:spacing w:line="280" w:lineRule="exact"/>
              <w:jc w:val="center"/>
              <w:rPr>
                <w:color w:val="auto"/>
                <w:sz w:val="18"/>
                <w:szCs w:val="18"/>
              </w:rPr>
            </w:pPr>
            <w:r>
              <w:rPr>
                <w:color w:val="auto"/>
                <w:sz w:val="18"/>
                <w:szCs w:val="18"/>
              </w:rPr>
              <w:t>37.75</w:t>
            </w:r>
          </w:p>
          <w:p w14:paraId="3BB300A5">
            <w:pPr>
              <w:adjustRightInd w:val="0"/>
              <w:snapToGrid w:val="0"/>
              <w:spacing w:line="280" w:lineRule="exact"/>
              <w:jc w:val="center"/>
              <w:rPr>
                <w:color w:val="auto"/>
                <w:sz w:val="18"/>
                <w:szCs w:val="18"/>
              </w:rPr>
            </w:pPr>
            <w:r>
              <w:rPr>
                <w:color w:val="auto"/>
                <w:sz w:val="18"/>
                <w:szCs w:val="18"/>
              </w:rPr>
              <w:t>42.92</w:t>
            </w:r>
          </w:p>
          <w:p w14:paraId="75C3C1EA">
            <w:pPr>
              <w:adjustRightInd w:val="0"/>
              <w:snapToGrid w:val="0"/>
              <w:spacing w:line="280" w:lineRule="exact"/>
              <w:jc w:val="center"/>
              <w:rPr>
                <w:color w:val="auto"/>
                <w:sz w:val="18"/>
                <w:szCs w:val="18"/>
              </w:rPr>
            </w:pPr>
            <w:r>
              <w:rPr>
                <w:color w:val="auto"/>
                <w:sz w:val="18"/>
                <w:szCs w:val="18"/>
              </w:rPr>
              <w:t>48.93</w:t>
            </w:r>
          </w:p>
          <w:p w14:paraId="538CC9EC">
            <w:pPr>
              <w:adjustRightInd w:val="0"/>
              <w:snapToGrid w:val="0"/>
              <w:spacing w:line="280" w:lineRule="exact"/>
              <w:jc w:val="center"/>
              <w:rPr>
                <w:color w:val="auto"/>
                <w:sz w:val="18"/>
                <w:szCs w:val="18"/>
              </w:rPr>
            </w:pPr>
            <w:r>
              <w:rPr>
                <w:color w:val="auto"/>
                <w:sz w:val="18"/>
                <w:szCs w:val="18"/>
              </w:rPr>
              <w:t>55.96</w:t>
            </w:r>
          </w:p>
          <w:p w14:paraId="4BA10381">
            <w:pPr>
              <w:adjustRightInd w:val="0"/>
              <w:snapToGrid w:val="0"/>
              <w:spacing w:line="280" w:lineRule="exact"/>
              <w:jc w:val="center"/>
              <w:rPr>
                <w:color w:val="auto"/>
                <w:sz w:val="18"/>
                <w:szCs w:val="18"/>
              </w:rPr>
            </w:pPr>
            <w:r>
              <w:rPr>
                <w:color w:val="auto"/>
                <w:sz w:val="18"/>
                <w:szCs w:val="18"/>
              </w:rPr>
              <w:t>64.20</w:t>
            </w:r>
          </w:p>
          <w:p w14:paraId="569FE27E">
            <w:pPr>
              <w:adjustRightInd w:val="0"/>
              <w:snapToGrid w:val="0"/>
              <w:spacing w:line="280" w:lineRule="exact"/>
              <w:jc w:val="center"/>
              <w:rPr>
                <w:color w:val="auto"/>
                <w:sz w:val="18"/>
                <w:szCs w:val="18"/>
              </w:rPr>
            </w:pPr>
            <w:r>
              <w:rPr>
                <w:color w:val="auto"/>
                <w:sz w:val="18"/>
                <w:szCs w:val="18"/>
              </w:rPr>
              <w:t>73.90</w:t>
            </w:r>
          </w:p>
          <w:p w14:paraId="70874020">
            <w:pPr>
              <w:adjustRightInd w:val="0"/>
              <w:snapToGrid w:val="0"/>
              <w:spacing w:line="280" w:lineRule="exact"/>
              <w:jc w:val="center"/>
              <w:rPr>
                <w:color w:val="auto"/>
                <w:sz w:val="18"/>
                <w:szCs w:val="18"/>
              </w:rPr>
            </w:pPr>
            <w:r>
              <w:rPr>
                <w:color w:val="auto"/>
                <w:sz w:val="18"/>
                <w:szCs w:val="18"/>
              </w:rPr>
              <w:t>85.38</w:t>
            </w:r>
          </w:p>
          <w:p w14:paraId="1002A34B">
            <w:pPr>
              <w:adjustRightInd w:val="0"/>
              <w:snapToGrid w:val="0"/>
              <w:spacing w:line="280" w:lineRule="exact"/>
              <w:jc w:val="center"/>
              <w:rPr>
                <w:color w:val="auto"/>
                <w:sz w:val="18"/>
                <w:szCs w:val="18"/>
              </w:rPr>
            </w:pPr>
            <w:r>
              <w:rPr>
                <w:color w:val="auto"/>
                <w:sz w:val="18"/>
                <w:szCs w:val="18"/>
              </w:rPr>
              <w:t>99.02</w:t>
            </w:r>
          </w:p>
          <w:p w14:paraId="67D5E8C3">
            <w:pPr>
              <w:adjustRightInd w:val="0"/>
              <w:snapToGrid w:val="0"/>
              <w:spacing w:line="280" w:lineRule="exact"/>
              <w:jc w:val="center"/>
              <w:rPr>
                <w:color w:val="auto"/>
                <w:sz w:val="18"/>
                <w:szCs w:val="18"/>
              </w:rPr>
            </w:pPr>
            <w:r>
              <w:rPr>
                <w:color w:val="auto"/>
                <w:sz w:val="18"/>
                <w:szCs w:val="18"/>
              </w:rPr>
              <w:t>115.31</w:t>
            </w:r>
          </w:p>
          <w:p w14:paraId="69029645">
            <w:pPr>
              <w:adjustRightInd w:val="0"/>
              <w:snapToGrid w:val="0"/>
              <w:spacing w:line="280" w:lineRule="exact"/>
              <w:jc w:val="center"/>
              <w:rPr>
                <w:color w:val="auto"/>
                <w:sz w:val="18"/>
                <w:szCs w:val="18"/>
              </w:rPr>
            </w:pPr>
            <w:r>
              <w:rPr>
                <w:color w:val="auto"/>
                <w:sz w:val="18"/>
                <w:szCs w:val="18"/>
              </w:rPr>
              <w:t>134.88</w:t>
            </w:r>
          </w:p>
          <w:p w14:paraId="026A8841">
            <w:pPr>
              <w:adjustRightInd w:val="0"/>
              <w:snapToGrid w:val="0"/>
              <w:spacing w:line="280" w:lineRule="exact"/>
              <w:jc w:val="center"/>
              <w:rPr>
                <w:color w:val="auto"/>
                <w:sz w:val="18"/>
                <w:szCs w:val="18"/>
              </w:rPr>
            </w:pPr>
            <w:r>
              <w:rPr>
                <w:color w:val="auto"/>
                <w:sz w:val="18"/>
                <w:szCs w:val="18"/>
              </w:rPr>
              <w:t>158.51</w:t>
            </w:r>
          </w:p>
          <w:p w14:paraId="5DDEFA78">
            <w:pPr>
              <w:adjustRightInd w:val="0"/>
              <w:snapToGrid w:val="0"/>
              <w:spacing w:line="280" w:lineRule="exact"/>
              <w:jc w:val="center"/>
              <w:rPr>
                <w:color w:val="auto"/>
                <w:sz w:val="18"/>
                <w:szCs w:val="18"/>
              </w:rPr>
            </w:pPr>
            <w:r>
              <w:rPr>
                <w:color w:val="auto"/>
                <w:sz w:val="18"/>
                <w:szCs w:val="18"/>
              </w:rPr>
              <w:t>187.21</w:t>
            </w:r>
          </w:p>
          <w:p w14:paraId="5CD05706">
            <w:pPr>
              <w:adjustRightInd w:val="0"/>
              <w:snapToGrid w:val="0"/>
              <w:spacing w:line="280" w:lineRule="exact"/>
              <w:jc w:val="center"/>
              <w:rPr>
                <w:color w:val="auto"/>
                <w:sz w:val="18"/>
                <w:szCs w:val="18"/>
              </w:rPr>
            </w:pPr>
            <w:r>
              <w:rPr>
                <w:color w:val="auto"/>
                <w:sz w:val="18"/>
                <w:szCs w:val="18"/>
              </w:rPr>
              <w:t>222.31</w:t>
            </w:r>
          </w:p>
          <w:p w14:paraId="5DA6A407">
            <w:pPr>
              <w:adjustRightInd w:val="0"/>
              <w:snapToGrid w:val="0"/>
              <w:spacing w:line="280" w:lineRule="exact"/>
              <w:jc w:val="center"/>
              <w:rPr>
                <w:color w:val="auto"/>
                <w:sz w:val="18"/>
                <w:szCs w:val="18"/>
              </w:rPr>
            </w:pPr>
            <w:r>
              <w:rPr>
                <w:color w:val="auto"/>
                <w:sz w:val="18"/>
                <w:szCs w:val="18"/>
              </w:rPr>
              <w:t>265.51</w:t>
            </w:r>
          </w:p>
          <w:p w14:paraId="1846D401">
            <w:pPr>
              <w:adjustRightInd w:val="0"/>
              <w:snapToGrid w:val="0"/>
              <w:spacing w:line="280" w:lineRule="exact"/>
              <w:jc w:val="center"/>
              <w:rPr>
                <w:color w:val="auto"/>
                <w:sz w:val="18"/>
                <w:szCs w:val="18"/>
              </w:rPr>
            </w:pPr>
            <w:r>
              <w:rPr>
                <w:color w:val="auto"/>
                <w:sz w:val="18"/>
                <w:szCs w:val="18"/>
              </w:rPr>
              <w:t>319.07</w:t>
            </w:r>
          </w:p>
        </w:tc>
        <w:tc>
          <w:tcPr>
            <w:tcW w:w="1080" w:type="dxa"/>
          </w:tcPr>
          <w:p w14:paraId="481DDFAB">
            <w:pPr>
              <w:adjustRightInd w:val="0"/>
              <w:snapToGrid w:val="0"/>
              <w:spacing w:line="280" w:lineRule="exact"/>
              <w:jc w:val="center"/>
              <w:rPr>
                <w:color w:val="auto"/>
                <w:sz w:val="18"/>
                <w:szCs w:val="18"/>
              </w:rPr>
            </w:pPr>
            <w:r>
              <w:rPr>
                <w:color w:val="auto"/>
                <w:sz w:val="18"/>
                <w:szCs w:val="18"/>
              </w:rPr>
              <w:t>12.54</w:t>
            </w:r>
          </w:p>
          <w:p w14:paraId="6772111D">
            <w:pPr>
              <w:adjustRightInd w:val="0"/>
              <w:snapToGrid w:val="0"/>
              <w:spacing w:line="280" w:lineRule="exact"/>
              <w:jc w:val="center"/>
              <w:rPr>
                <w:color w:val="auto"/>
                <w:sz w:val="18"/>
                <w:szCs w:val="18"/>
              </w:rPr>
            </w:pPr>
            <w:r>
              <w:rPr>
                <w:color w:val="auto"/>
                <w:sz w:val="18"/>
                <w:szCs w:val="18"/>
              </w:rPr>
              <w:t>14.47</w:t>
            </w:r>
          </w:p>
          <w:p w14:paraId="7F461571">
            <w:pPr>
              <w:adjustRightInd w:val="0"/>
              <w:snapToGrid w:val="0"/>
              <w:spacing w:line="280" w:lineRule="exact"/>
              <w:jc w:val="center"/>
              <w:rPr>
                <w:color w:val="auto"/>
                <w:sz w:val="18"/>
                <w:szCs w:val="18"/>
              </w:rPr>
            </w:pPr>
            <w:r>
              <w:rPr>
                <w:color w:val="auto"/>
                <w:sz w:val="18"/>
                <w:szCs w:val="18"/>
              </w:rPr>
              <w:t>16.72</w:t>
            </w:r>
          </w:p>
          <w:p w14:paraId="0E075D6D">
            <w:pPr>
              <w:adjustRightInd w:val="0"/>
              <w:snapToGrid w:val="0"/>
              <w:spacing w:line="280" w:lineRule="exact"/>
              <w:jc w:val="center"/>
              <w:rPr>
                <w:color w:val="auto"/>
                <w:sz w:val="18"/>
                <w:szCs w:val="18"/>
              </w:rPr>
            </w:pPr>
            <w:r>
              <w:rPr>
                <w:color w:val="auto"/>
                <w:sz w:val="18"/>
                <w:szCs w:val="18"/>
              </w:rPr>
              <w:t>19.34</w:t>
            </w:r>
          </w:p>
          <w:p w14:paraId="4B580F9A">
            <w:pPr>
              <w:adjustRightInd w:val="0"/>
              <w:snapToGrid w:val="0"/>
              <w:spacing w:line="280" w:lineRule="exact"/>
              <w:jc w:val="center"/>
              <w:rPr>
                <w:color w:val="auto"/>
                <w:sz w:val="18"/>
                <w:szCs w:val="18"/>
              </w:rPr>
            </w:pPr>
            <w:r>
              <w:rPr>
                <w:color w:val="auto"/>
                <w:sz w:val="18"/>
                <w:szCs w:val="18"/>
              </w:rPr>
              <w:t>22.40</w:t>
            </w:r>
          </w:p>
          <w:p w14:paraId="5E6259CE">
            <w:pPr>
              <w:adjustRightInd w:val="0"/>
              <w:snapToGrid w:val="0"/>
              <w:spacing w:line="280" w:lineRule="exact"/>
              <w:jc w:val="center"/>
              <w:rPr>
                <w:color w:val="auto"/>
                <w:sz w:val="18"/>
                <w:szCs w:val="18"/>
              </w:rPr>
            </w:pPr>
            <w:r>
              <w:rPr>
                <w:color w:val="auto"/>
                <w:sz w:val="18"/>
                <w:szCs w:val="18"/>
              </w:rPr>
              <w:t>25.99</w:t>
            </w:r>
          </w:p>
          <w:p w14:paraId="4B0C0E68">
            <w:pPr>
              <w:adjustRightInd w:val="0"/>
              <w:snapToGrid w:val="0"/>
              <w:spacing w:line="280" w:lineRule="exact"/>
              <w:jc w:val="center"/>
              <w:rPr>
                <w:color w:val="auto"/>
                <w:sz w:val="18"/>
                <w:szCs w:val="18"/>
              </w:rPr>
            </w:pPr>
            <w:r>
              <w:rPr>
                <w:color w:val="auto"/>
                <w:sz w:val="18"/>
                <w:szCs w:val="18"/>
              </w:rPr>
              <w:t>30.22</w:t>
            </w:r>
          </w:p>
          <w:p w14:paraId="581DC606">
            <w:pPr>
              <w:adjustRightInd w:val="0"/>
              <w:snapToGrid w:val="0"/>
              <w:spacing w:line="280" w:lineRule="exact"/>
              <w:jc w:val="center"/>
              <w:rPr>
                <w:color w:val="auto"/>
                <w:sz w:val="18"/>
                <w:szCs w:val="18"/>
              </w:rPr>
            </w:pPr>
            <w:r>
              <w:rPr>
                <w:color w:val="auto"/>
                <w:sz w:val="18"/>
                <w:szCs w:val="18"/>
              </w:rPr>
              <w:t>35.19</w:t>
            </w:r>
          </w:p>
          <w:p w14:paraId="3E99B2DB">
            <w:pPr>
              <w:adjustRightInd w:val="0"/>
              <w:snapToGrid w:val="0"/>
              <w:spacing w:line="280" w:lineRule="exact"/>
              <w:jc w:val="center"/>
              <w:rPr>
                <w:color w:val="auto"/>
                <w:sz w:val="18"/>
                <w:szCs w:val="18"/>
              </w:rPr>
            </w:pPr>
            <w:r>
              <w:rPr>
                <w:color w:val="auto"/>
                <w:sz w:val="18"/>
                <w:szCs w:val="18"/>
              </w:rPr>
              <w:t>41.06</w:t>
            </w:r>
          </w:p>
          <w:p w14:paraId="5DE61698">
            <w:pPr>
              <w:adjustRightInd w:val="0"/>
              <w:snapToGrid w:val="0"/>
              <w:spacing w:line="280" w:lineRule="exact"/>
              <w:jc w:val="center"/>
              <w:rPr>
                <w:color w:val="auto"/>
                <w:sz w:val="18"/>
                <w:szCs w:val="18"/>
              </w:rPr>
            </w:pPr>
            <w:r>
              <w:rPr>
                <w:color w:val="auto"/>
                <w:sz w:val="18"/>
                <w:szCs w:val="18"/>
              </w:rPr>
              <w:t>48.03</w:t>
            </w:r>
          </w:p>
          <w:p w14:paraId="4517A3D9">
            <w:pPr>
              <w:adjustRightInd w:val="0"/>
              <w:snapToGrid w:val="0"/>
              <w:spacing w:line="280" w:lineRule="exact"/>
              <w:jc w:val="center"/>
              <w:rPr>
                <w:color w:val="auto"/>
                <w:sz w:val="18"/>
                <w:szCs w:val="18"/>
              </w:rPr>
            </w:pPr>
            <w:r>
              <w:rPr>
                <w:color w:val="auto"/>
                <w:sz w:val="18"/>
                <w:szCs w:val="18"/>
              </w:rPr>
              <w:t>56.31</w:t>
            </w:r>
          </w:p>
          <w:p w14:paraId="590D0109">
            <w:pPr>
              <w:adjustRightInd w:val="0"/>
              <w:snapToGrid w:val="0"/>
              <w:spacing w:line="280" w:lineRule="exact"/>
              <w:jc w:val="center"/>
              <w:rPr>
                <w:color w:val="auto"/>
                <w:sz w:val="18"/>
                <w:szCs w:val="18"/>
              </w:rPr>
            </w:pPr>
            <w:r>
              <w:rPr>
                <w:color w:val="auto"/>
                <w:sz w:val="18"/>
                <w:szCs w:val="18"/>
              </w:rPr>
              <w:t>66.19</w:t>
            </w:r>
          </w:p>
          <w:p w14:paraId="468B3275">
            <w:pPr>
              <w:adjustRightInd w:val="0"/>
              <w:snapToGrid w:val="0"/>
              <w:spacing w:line="280" w:lineRule="exact"/>
              <w:jc w:val="center"/>
              <w:rPr>
                <w:color w:val="auto"/>
                <w:sz w:val="18"/>
                <w:szCs w:val="18"/>
              </w:rPr>
            </w:pPr>
            <w:r>
              <w:rPr>
                <w:color w:val="auto"/>
                <w:sz w:val="18"/>
                <w:szCs w:val="18"/>
              </w:rPr>
              <w:t>78.03</w:t>
            </w:r>
          </w:p>
          <w:p w14:paraId="757B1E67">
            <w:pPr>
              <w:adjustRightInd w:val="0"/>
              <w:snapToGrid w:val="0"/>
              <w:spacing w:line="280" w:lineRule="exact"/>
              <w:jc w:val="center"/>
              <w:rPr>
                <w:color w:val="auto"/>
                <w:sz w:val="18"/>
                <w:szCs w:val="18"/>
              </w:rPr>
            </w:pPr>
            <w:r>
              <w:rPr>
                <w:color w:val="auto"/>
                <w:sz w:val="18"/>
                <w:szCs w:val="18"/>
              </w:rPr>
              <w:t>92.25</w:t>
            </w:r>
          </w:p>
          <w:p w14:paraId="0F1A8938">
            <w:pPr>
              <w:adjustRightInd w:val="0"/>
              <w:snapToGrid w:val="0"/>
              <w:spacing w:line="280" w:lineRule="exact"/>
              <w:jc w:val="center"/>
              <w:rPr>
                <w:color w:val="auto"/>
                <w:sz w:val="18"/>
                <w:szCs w:val="18"/>
              </w:rPr>
            </w:pPr>
            <w:r>
              <w:rPr>
                <w:color w:val="auto"/>
                <w:sz w:val="18"/>
                <w:szCs w:val="18"/>
              </w:rPr>
              <w:t>109.41</w:t>
            </w:r>
          </w:p>
          <w:p w14:paraId="11A72E0C">
            <w:pPr>
              <w:adjustRightInd w:val="0"/>
              <w:snapToGrid w:val="0"/>
              <w:spacing w:line="280" w:lineRule="exact"/>
              <w:jc w:val="center"/>
              <w:rPr>
                <w:color w:val="auto"/>
                <w:sz w:val="18"/>
                <w:szCs w:val="18"/>
              </w:rPr>
            </w:pPr>
            <w:r>
              <w:rPr>
                <w:color w:val="auto"/>
                <w:sz w:val="18"/>
                <w:szCs w:val="18"/>
              </w:rPr>
              <w:t>130.22</w:t>
            </w:r>
          </w:p>
          <w:p w14:paraId="1CEA5E07">
            <w:pPr>
              <w:adjustRightInd w:val="0"/>
              <w:snapToGrid w:val="0"/>
              <w:spacing w:line="280" w:lineRule="exact"/>
              <w:jc w:val="center"/>
              <w:rPr>
                <w:color w:val="auto"/>
                <w:sz w:val="18"/>
                <w:szCs w:val="18"/>
              </w:rPr>
            </w:pPr>
            <w:r>
              <w:rPr>
                <w:color w:val="auto"/>
                <w:sz w:val="18"/>
                <w:szCs w:val="18"/>
              </w:rPr>
              <w:t>155.55</w:t>
            </w:r>
          </w:p>
          <w:p w14:paraId="5923D385">
            <w:pPr>
              <w:adjustRightInd w:val="0"/>
              <w:snapToGrid w:val="0"/>
              <w:spacing w:line="280" w:lineRule="exact"/>
              <w:jc w:val="center"/>
              <w:rPr>
                <w:color w:val="auto"/>
                <w:sz w:val="18"/>
                <w:szCs w:val="18"/>
              </w:rPr>
            </w:pPr>
            <w:r>
              <w:rPr>
                <w:color w:val="auto"/>
                <w:sz w:val="18"/>
                <w:szCs w:val="18"/>
              </w:rPr>
              <w:t>186.54</w:t>
            </w:r>
          </w:p>
          <w:p w14:paraId="2C341027">
            <w:pPr>
              <w:adjustRightInd w:val="0"/>
              <w:snapToGrid w:val="0"/>
              <w:spacing w:line="280" w:lineRule="exact"/>
              <w:jc w:val="center"/>
              <w:rPr>
                <w:color w:val="auto"/>
                <w:sz w:val="18"/>
                <w:szCs w:val="18"/>
              </w:rPr>
            </w:pPr>
            <w:r>
              <w:rPr>
                <w:color w:val="auto"/>
                <w:sz w:val="18"/>
                <w:szCs w:val="18"/>
              </w:rPr>
              <w:t>222.64</w:t>
            </w:r>
          </w:p>
          <w:p w14:paraId="518D10E6">
            <w:pPr>
              <w:adjustRightInd w:val="0"/>
              <w:snapToGrid w:val="0"/>
              <w:spacing w:line="280" w:lineRule="exact"/>
              <w:jc w:val="center"/>
              <w:rPr>
                <w:color w:val="auto"/>
                <w:sz w:val="18"/>
                <w:szCs w:val="18"/>
              </w:rPr>
            </w:pPr>
            <w:r>
              <w:rPr>
                <w:color w:val="auto"/>
                <w:sz w:val="18"/>
                <w:szCs w:val="18"/>
              </w:rPr>
              <w:t>271.76</w:t>
            </w:r>
          </w:p>
          <w:p w14:paraId="5CD618BD">
            <w:pPr>
              <w:adjustRightInd w:val="0"/>
              <w:snapToGrid w:val="0"/>
              <w:spacing w:line="280" w:lineRule="exact"/>
              <w:jc w:val="center"/>
              <w:rPr>
                <w:color w:val="auto"/>
                <w:sz w:val="18"/>
                <w:szCs w:val="18"/>
              </w:rPr>
            </w:pPr>
            <w:r>
              <w:rPr>
                <w:color w:val="auto"/>
                <w:sz w:val="18"/>
                <w:szCs w:val="18"/>
              </w:rPr>
              <w:t>330.35</w:t>
            </w:r>
          </w:p>
          <w:p w14:paraId="5C794338">
            <w:pPr>
              <w:adjustRightInd w:val="0"/>
              <w:snapToGrid w:val="0"/>
              <w:spacing w:line="280" w:lineRule="exact"/>
              <w:jc w:val="center"/>
              <w:rPr>
                <w:color w:val="auto"/>
                <w:sz w:val="18"/>
                <w:szCs w:val="18"/>
              </w:rPr>
            </w:pPr>
            <w:r>
              <w:rPr>
                <w:color w:val="auto"/>
                <w:sz w:val="18"/>
                <w:szCs w:val="18"/>
              </w:rPr>
              <w:t>403.67</w:t>
            </w:r>
          </w:p>
          <w:p w14:paraId="65481E28">
            <w:pPr>
              <w:adjustRightInd w:val="0"/>
              <w:snapToGrid w:val="0"/>
              <w:spacing w:line="280" w:lineRule="exact"/>
              <w:jc w:val="center"/>
              <w:rPr>
                <w:color w:val="auto"/>
                <w:sz w:val="18"/>
                <w:szCs w:val="18"/>
              </w:rPr>
            </w:pPr>
            <w:r>
              <w:rPr>
                <w:color w:val="auto"/>
                <w:sz w:val="18"/>
                <w:szCs w:val="18"/>
              </w:rPr>
              <w:t>496.01</w:t>
            </w:r>
          </w:p>
          <w:p w14:paraId="1BC2B362">
            <w:pPr>
              <w:adjustRightInd w:val="0"/>
              <w:snapToGrid w:val="0"/>
              <w:spacing w:line="280" w:lineRule="exact"/>
              <w:jc w:val="center"/>
              <w:rPr>
                <w:color w:val="auto"/>
                <w:sz w:val="18"/>
                <w:szCs w:val="18"/>
              </w:rPr>
            </w:pPr>
            <w:r>
              <w:rPr>
                <w:color w:val="auto"/>
                <w:sz w:val="18"/>
                <w:szCs w:val="18"/>
              </w:rPr>
              <w:t>613.06</w:t>
            </w:r>
          </w:p>
          <w:p w14:paraId="77C516E5">
            <w:pPr>
              <w:adjustRightInd w:val="0"/>
              <w:snapToGrid w:val="0"/>
              <w:spacing w:line="280" w:lineRule="exact"/>
              <w:jc w:val="center"/>
              <w:rPr>
                <w:color w:val="auto"/>
                <w:sz w:val="18"/>
                <w:szCs w:val="18"/>
              </w:rPr>
            </w:pPr>
            <w:r>
              <w:rPr>
                <w:color w:val="auto"/>
                <w:sz w:val="18"/>
                <w:szCs w:val="18"/>
              </w:rPr>
              <w:t>762.86</w:t>
            </w:r>
          </w:p>
          <w:p w14:paraId="0708FB92">
            <w:pPr>
              <w:adjustRightInd w:val="0"/>
              <w:snapToGrid w:val="0"/>
              <w:spacing w:line="280" w:lineRule="exact"/>
              <w:jc w:val="center"/>
              <w:rPr>
                <w:color w:val="auto"/>
                <w:sz w:val="18"/>
                <w:szCs w:val="18"/>
              </w:rPr>
            </w:pPr>
          </w:p>
        </w:tc>
      </w:tr>
    </w:tbl>
    <w:p w14:paraId="5E8F1F96">
      <w:pPr>
        <w:adjustRightInd w:val="0"/>
        <w:snapToGrid w:val="0"/>
        <w:spacing w:before="240" w:line="360" w:lineRule="atLeast"/>
        <w:jc w:val="center"/>
        <w:rPr>
          <w:rFonts w:eastAsia="黑体"/>
          <w:b/>
          <w:color w:val="auto"/>
          <w:szCs w:val="21"/>
        </w:rPr>
      </w:pPr>
      <w:r>
        <w:rPr>
          <w:rFonts w:eastAsia="黑体"/>
          <w:b/>
          <w:color w:val="auto"/>
          <w:szCs w:val="21"/>
        </w:rPr>
        <w:br w:type="page"/>
      </w:r>
      <w:r>
        <w:rPr>
          <w:rFonts w:eastAsia="黑体"/>
          <w:b/>
          <w:color w:val="auto"/>
          <w:szCs w:val="21"/>
        </w:rPr>
        <w:t>表18   基础形状系数</w:t>
      </w:r>
    </w:p>
    <w:tbl>
      <w:tblPr>
        <w:tblStyle w:val="36"/>
        <w:tblW w:w="915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00"/>
        <w:gridCol w:w="2312"/>
        <w:gridCol w:w="2119"/>
        <w:gridCol w:w="2119"/>
      </w:tblGrid>
      <w:tr w14:paraId="5224A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00" w:type="dxa"/>
            <w:vAlign w:val="center"/>
          </w:tcPr>
          <w:p w14:paraId="6D14B2A2">
            <w:pPr>
              <w:adjustRightInd w:val="0"/>
              <w:snapToGrid w:val="0"/>
              <w:spacing w:line="240" w:lineRule="atLeast"/>
              <w:jc w:val="center"/>
              <w:rPr>
                <w:color w:val="auto"/>
                <w:sz w:val="18"/>
                <w:szCs w:val="18"/>
              </w:rPr>
            </w:pPr>
            <w:r>
              <w:rPr>
                <w:color w:val="auto"/>
                <w:sz w:val="18"/>
                <w:szCs w:val="18"/>
              </w:rPr>
              <w:t>基础形式</w:t>
            </w:r>
          </w:p>
        </w:tc>
        <w:tc>
          <w:tcPr>
            <w:tcW w:w="2312" w:type="dxa"/>
            <w:vAlign w:val="center"/>
          </w:tcPr>
          <w:p w14:paraId="68CE4A9C">
            <w:pPr>
              <w:adjustRightInd w:val="0"/>
              <w:snapToGrid w:val="0"/>
              <w:spacing w:line="240" w:lineRule="atLeast"/>
              <w:jc w:val="center"/>
              <w:rPr>
                <w:color w:val="auto"/>
                <w:spacing w:val="-8"/>
                <w:sz w:val="18"/>
                <w:szCs w:val="18"/>
              </w:rPr>
            </w:pPr>
            <w:r>
              <w:rPr>
                <w:i/>
                <w:color w:val="auto"/>
                <w:spacing w:val="-8"/>
                <w:sz w:val="18"/>
                <w:szCs w:val="18"/>
              </w:rPr>
              <w:t>ζ</w:t>
            </w:r>
            <w:r>
              <w:rPr>
                <w:i/>
                <w:color w:val="auto"/>
                <w:spacing w:val="-8"/>
                <w:sz w:val="18"/>
                <w:szCs w:val="18"/>
                <w:vertAlign w:val="subscript"/>
              </w:rPr>
              <w:t>r</w:t>
            </w:r>
          </w:p>
        </w:tc>
        <w:tc>
          <w:tcPr>
            <w:tcW w:w="2119" w:type="dxa"/>
            <w:vAlign w:val="center"/>
          </w:tcPr>
          <w:p w14:paraId="5B86E8FD">
            <w:pPr>
              <w:adjustRightInd w:val="0"/>
              <w:snapToGrid w:val="0"/>
              <w:spacing w:line="240" w:lineRule="atLeast"/>
              <w:jc w:val="center"/>
              <w:rPr>
                <w:color w:val="auto"/>
                <w:spacing w:val="-20"/>
                <w:sz w:val="18"/>
                <w:szCs w:val="18"/>
              </w:rPr>
            </w:pPr>
            <w:r>
              <w:rPr>
                <w:i/>
                <w:color w:val="auto"/>
                <w:spacing w:val="-20"/>
                <w:sz w:val="18"/>
                <w:szCs w:val="18"/>
              </w:rPr>
              <w:t>ζ</w:t>
            </w:r>
            <w:r>
              <w:rPr>
                <w:iCs/>
                <w:color w:val="auto"/>
                <w:spacing w:val="-16"/>
                <w:sz w:val="18"/>
                <w:szCs w:val="18"/>
                <w:vertAlign w:val="subscript"/>
              </w:rPr>
              <w:t>q</w:t>
            </w:r>
          </w:p>
        </w:tc>
        <w:tc>
          <w:tcPr>
            <w:tcW w:w="2119" w:type="dxa"/>
            <w:vAlign w:val="center"/>
          </w:tcPr>
          <w:p w14:paraId="7C349082">
            <w:pPr>
              <w:adjustRightInd w:val="0"/>
              <w:snapToGrid w:val="0"/>
              <w:spacing w:line="240" w:lineRule="atLeast"/>
              <w:jc w:val="center"/>
              <w:rPr>
                <w:color w:val="auto"/>
                <w:spacing w:val="-20"/>
                <w:sz w:val="18"/>
                <w:szCs w:val="18"/>
              </w:rPr>
            </w:pPr>
            <w:r>
              <w:rPr>
                <w:i/>
                <w:color w:val="auto"/>
                <w:spacing w:val="-20"/>
                <w:sz w:val="18"/>
                <w:szCs w:val="18"/>
              </w:rPr>
              <w:t>ζ</w:t>
            </w:r>
            <w:r>
              <w:rPr>
                <w:iCs/>
                <w:color w:val="auto"/>
                <w:spacing w:val="-14"/>
                <w:sz w:val="18"/>
                <w:szCs w:val="18"/>
                <w:vertAlign w:val="subscript"/>
              </w:rPr>
              <w:t>c</w:t>
            </w:r>
          </w:p>
        </w:tc>
      </w:tr>
      <w:tr w14:paraId="2279F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00" w:type="dxa"/>
            <w:vAlign w:val="center"/>
          </w:tcPr>
          <w:p w14:paraId="7680B7CC">
            <w:pPr>
              <w:adjustRightInd w:val="0"/>
              <w:snapToGrid w:val="0"/>
              <w:spacing w:line="240" w:lineRule="atLeast"/>
              <w:jc w:val="center"/>
              <w:rPr>
                <w:color w:val="auto"/>
                <w:sz w:val="18"/>
                <w:szCs w:val="18"/>
              </w:rPr>
            </w:pPr>
            <w:r>
              <w:rPr>
                <w:color w:val="auto"/>
                <w:sz w:val="18"/>
                <w:szCs w:val="18"/>
              </w:rPr>
              <w:t>条形</w:t>
            </w:r>
          </w:p>
        </w:tc>
        <w:tc>
          <w:tcPr>
            <w:tcW w:w="2312" w:type="dxa"/>
            <w:vAlign w:val="center"/>
          </w:tcPr>
          <w:p w14:paraId="09CCDBDA">
            <w:pPr>
              <w:adjustRightInd w:val="0"/>
              <w:snapToGrid w:val="0"/>
              <w:spacing w:line="240" w:lineRule="atLeast"/>
              <w:jc w:val="center"/>
              <w:rPr>
                <w:color w:val="auto"/>
                <w:sz w:val="18"/>
                <w:szCs w:val="18"/>
              </w:rPr>
            </w:pPr>
            <w:r>
              <w:rPr>
                <w:color w:val="auto"/>
                <w:sz w:val="18"/>
                <w:szCs w:val="18"/>
              </w:rPr>
              <w:t>1.00</w:t>
            </w:r>
          </w:p>
        </w:tc>
        <w:tc>
          <w:tcPr>
            <w:tcW w:w="2119" w:type="dxa"/>
            <w:vAlign w:val="center"/>
          </w:tcPr>
          <w:p w14:paraId="74135072">
            <w:pPr>
              <w:adjustRightInd w:val="0"/>
              <w:snapToGrid w:val="0"/>
              <w:spacing w:line="240" w:lineRule="atLeast"/>
              <w:jc w:val="center"/>
              <w:rPr>
                <w:color w:val="auto"/>
                <w:sz w:val="18"/>
                <w:szCs w:val="18"/>
              </w:rPr>
            </w:pPr>
            <w:r>
              <w:rPr>
                <w:color w:val="auto"/>
                <w:sz w:val="18"/>
                <w:szCs w:val="18"/>
              </w:rPr>
              <w:t>1.00</w:t>
            </w:r>
          </w:p>
        </w:tc>
        <w:tc>
          <w:tcPr>
            <w:tcW w:w="2119" w:type="dxa"/>
            <w:vAlign w:val="center"/>
          </w:tcPr>
          <w:p w14:paraId="37C8C1F5">
            <w:pPr>
              <w:adjustRightInd w:val="0"/>
              <w:snapToGrid w:val="0"/>
              <w:spacing w:line="240" w:lineRule="atLeast"/>
              <w:jc w:val="center"/>
              <w:rPr>
                <w:color w:val="auto"/>
                <w:sz w:val="18"/>
                <w:szCs w:val="18"/>
              </w:rPr>
            </w:pPr>
            <w:r>
              <w:rPr>
                <w:color w:val="auto"/>
                <w:sz w:val="18"/>
                <w:szCs w:val="18"/>
              </w:rPr>
              <w:t>1.00</w:t>
            </w:r>
          </w:p>
        </w:tc>
      </w:tr>
      <w:tr w14:paraId="4E187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00" w:type="dxa"/>
            <w:vAlign w:val="center"/>
          </w:tcPr>
          <w:p w14:paraId="3055214B">
            <w:pPr>
              <w:adjustRightInd w:val="0"/>
              <w:snapToGrid w:val="0"/>
              <w:spacing w:line="240" w:lineRule="atLeast"/>
              <w:jc w:val="center"/>
              <w:rPr>
                <w:color w:val="auto"/>
                <w:sz w:val="18"/>
                <w:szCs w:val="18"/>
              </w:rPr>
            </w:pPr>
            <w:r>
              <w:rPr>
                <w:color w:val="auto"/>
                <w:sz w:val="18"/>
                <w:szCs w:val="18"/>
              </w:rPr>
              <w:t>矩形</w:t>
            </w:r>
          </w:p>
        </w:tc>
        <w:tc>
          <w:tcPr>
            <w:tcW w:w="2312" w:type="dxa"/>
            <w:vAlign w:val="center"/>
          </w:tcPr>
          <w:p w14:paraId="05344935">
            <w:pPr>
              <w:adjustRightInd w:val="0"/>
              <w:snapToGrid w:val="0"/>
              <w:spacing w:line="240" w:lineRule="atLeast"/>
              <w:jc w:val="center"/>
              <w:rPr>
                <w:color w:val="auto"/>
                <w:sz w:val="18"/>
                <w:szCs w:val="18"/>
              </w:rPr>
            </w:pPr>
            <w:r>
              <w:rPr>
                <w:color w:val="auto"/>
                <w:sz w:val="18"/>
                <w:szCs w:val="18"/>
              </w:rPr>
              <w:t>1-0.4</w:t>
            </w:r>
            <w:r>
              <w:rPr>
                <w:i/>
                <w:color w:val="auto"/>
                <w:sz w:val="18"/>
                <w:szCs w:val="18"/>
              </w:rPr>
              <w:t>b</w:t>
            </w:r>
            <w:r>
              <w:rPr>
                <w:color w:val="auto"/>
                <w:sz w:val="18"/>
                <w:szCs w:val="18"/>
              </w:rPr>
              <w:t>/</w:t>
            </w:r>
            <w:r>
              <w:rPr>
                <w:i/>
                <w:color w:val="auto"/>
                <w:sz w:val="18"/>
                <w:szCs w:val="18"/>
              </w:rPr>
              <w:t>l</w:t>
            </w:r>
          </w:p>
        </w:tc>
        <w:tc>
          <w:tcPr>
            <w:tcW w:w="2119" w:type="dxa"/>
            <w:vAlign w:val="center"/>
          </w:tcPr>
          <w:p w14:paraId="44DBC41C">
            <w:pPr>
              <w:adjustRightInd w:val="0"/>
              <w:snapToGrid w:val="0"/>
              <w:spacing w:line="240" w:lineRule="atLeast"/>
              <w:jc w:val="center"/>
              <w:rPr>
                <w:color w:val="auto"/>
                <w:sz w:val="18"/>
                <w:szCs w:val="18"/>
              </w:rPr>
            </w:pPr>
            <w:r>
              <w:rPr>
                <w:color w:val="auto"/>
                <w:sz w:val="18"/>
                <w:szCs w:val="18"/>
              </w:rPr>
              <w:t>1+(</w:t>
            </w:r>
            <w:r>
              <w:rPr>
                <w:i/>
                <w:color w:val="auto"/>
                <w:sz w:val="18"/>
                <w:szCs w:val="18"/>
              </w:rPr>
              <w:t xml:space="preserve"> b </w:t>
            </w:r>
            <w:r>
              <w:rPr>
                <w:color w:val="auto"/>
                <w:sz w:val="18"/>
                <w:szCs w:val="18"/>
              </w:rPr>
              <w:t xml:space="preserve">/ </w:t>
            </w:r>
            <w:r>
              <w:rPr>
                <w:i/>
                <w:color w:val="auto"/>
                <w:sz w:val="18"/>
                <w:szCs w:val="18"/>
              </w:rPr>
              <w:t>l</w:t>
            </w:r>
            <w:r>
              <w:rPr>
                <w:color w:val="auto"/>
                <w:sz w:val="18"/>
                <w:szCs w:val="18"/>
              </w:rPr>
              <w:t>)tan</w:t>
            </w:r>
            <w:r>
              <w:rPr>
                <w:i/>
                <w:color w:val="auto"/>
                <w:position w:val="-12"/>
                <w:sz w:val="18"/>
                <w:szCs w:val="18"/>
              </w:rPr>
              <w:object>
                <v:shape id="_x0000_i1070" o:spt="75" type="#_x0000_t75" style="height:18pt;width:12pt;" o:ole="t" filled="f" o:preferrelative="t" stroked="f" coordsize="21600,21600">
                  <v:path/>
                  <v:fill on="f" focussize="0,0"/>
                  <v:stroke on="f" joinstyle="miter"/>
                  <v:imagedata r:id="rId99" o:title=""/>
                  <o:lock v:ext="edit" aspectratio="t"/>
                  <w10:wrap type="none"/>
                  <w10:anchorlock/>
                </v:shape>
                <o:OLEObject Type="Embed" ProgID="Equation.DSMT4" ShapeID="_x0000_i1070" DrawAspect="Content" ObjectID="_1468075770" r:id="rId98">
                  <o:LockedField>false</o:LockedField>
                </o:OLEObject>
              </w:object>
            </w:r>
          </w:p>
        </w:tc>
        <w:tc>
          <w:tcPr>
            <w:tcW w:w="2119" w:type="dxa"/>
            <w:vAlign w:val="center"/>
          </w:tcPr>
          <w:p w14:paraId="1D9A84E4">
            <w:pPr>
              <w:adjustRightInd w:val="0"/>
              <w:snapToGrid w:val="0"/>
              <w:spacing w:line="240" w:lineRule="atLeast"/>
              <w:jc w:val="center"/>
              <w:rPr>
                <w:color w:val="auto"/>
                <w:sz w:val="18"/>
                <w:szCs w:val="18"/>
              </w:rPr>
            </w:pPr>
            <w:r>
              <w:rPr>
                <w:color w:val="auto"/>
                <w:sz w:val="18"/>
                <w:szCs w:val="18"/>
              </w:rPr>
              <w:t>1+(</w:t>
            </w:r>
            <w:r>
              <w:rPr>
                <w:i/>
                <w:color w:val="auto"/>
                <w:sz w:val="18"/>
                <w:szCs w:val="18"/>
              </w:rPr>
              <w:t>b</w:t>
            </w:r>
            <w:r>
              <w:rPr>
                <w:color w:val="auto"/>
                <w:sz w:val="18"/>
                <w:szCs w:val="18"/>
              </w:rPr>
              <w:t>/</w:t>
            </w:r>
            <w:r>
              <w:rPr>
                <w:i/>
                <w:color w:val="auto"/>
                <w:sz w:val="18"/>
                <w:szCs w:val="18"/>
              </w:rPr>
              <w:t>l</w:t>
            </w:r>
            <w:r>
              <w:rPr>
                <w:color w:val="auto"/>
                <w:sz w:val="18"/>
                <w:szCs w:val="18"/>
              </w:rPr>
              <w:t>)(</w:t>
            </w:r>
            <w:r>
              <w:rPr>
                <w:i/>
                <w:color w:val="auto"/>
                <w:sz w:val="18"/>
                <w:szCs w:val="18"/>
              </w:rPr>
              <w:t>N</w:t>
            </w:r>
            <w:r>
              <w:rPr>
                <w:iCs/>
                <w:color w:val="auto"/>
                <w:sz w:val="18"/>
                <w:szCs w:val="18"/>
                <w:vertAlign w:val="subscript"/>
              </w:rPr>
              <w:t>q</w:t>
            </w:r>
            <w:r>
              <w:rPr>
                <w:color w:val="auto"/>
                <w:sz w:val="18"/>
                <w:szCs w:val="18"/>
              </w:rPr>
              <w:t>/</w:t>
            </w:r>
            <w:r>
              <w:rPr>
                <w:i/>
                <w:color w:val="auto"/>
                <w:sz w:val="18"/>
                <w:szCs w:val="18"/>
              </w:rPr>
              <w:t>N</w:t>
            </w:r>
            <w:r>
              <w:rPr>
                <w:iCs/>
                <w:color w:val="auto"/>
                <w:sz w:val="18"/>
                <w:szCs w:val="18"/>
                <w:vertAlign w:val="subscript"/>
              </w:rPr>
              <w:t>c</w:t>
            </w:r>
            <w:r>
              <w:rPr>
                <w:color w:val="auto"/>
                <w:sz w:val="18"/>
                <w:szCs w:val="18"/>
              </w:rPr>
              <w:t>)</w:t>
            </w:r>
          </w:p>
        </w:tc>
      </w:tr>
      <w:tr w14:paraId="30132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00" w:type="dxa"/>
            <w:vAlign w:val="center"/>
          </w:tcPr>
          <w:p w14:paraId="113D34A5">
            <w:pPr>
              <w:adjustRightInd w:val="0"/>
              <w:snapToGrid w:val="0"/>
              <w:spacing w:line="240" w:lineRule="atLeast"/>
              <w:jc w:val="center"/>
              <w:rPr>
                <w:color w:val="auto"/>
                <w:sz w:val="18"/>
                <w:szCs w:val="18"/>
              </w:rPr>
            </w:pPr>
            <w:r>
              <w:rPr>
                <w:color w:val="auto"/>
                <w:sz w:val="18"/>
                <w:szCs w:val="18"/>
              </w:rPr>
              <w:t>圆形和方形</w:t>
            </w:r>
          </w:p>
        </w:tc>
        <w:tc>
          <w:tcPr>
            <w:tcW w:w="2312" w:type="dxa"/>
            <w:vAlign w:val="center"/>
          </w:tcPr>
          <w:p w14:paraId="05DAE3FB">
            <w:pPr>
              <w:adjustRightInd w:val="0"/>
              <w:snapToGrid w:val="0"/>
              <w:spacing w:line="240" w:lineRule="atLeast"/>
              <w:jc w:val="center"/>
              <w:rPr>
                <w:color w:val="auto"/>
                <w:sz w:val="18"/>
                <w:szCs w:val="18"/>
              </w:rPr>
            </w:pPr>
            <w:r>
              <w:rPr>
                <w:color w:val="auto"/>
                <w:sz w:val="18"/>
                <w:szCs w:val="18"/>
              </w:rPr>
              <w:t>0.60</w:t>
            </w:r>
          </w:p>
        </w:tc>
        <w:tc>
          <w:tcPr>
            <w:tcW w:w="2119" w:type="dxa"/>
            <w:vAlign w:val="center"/>
          </w:tcPr>
          <w:p w14:paraId="1686B950">
            <w:pPr>
              <w:adjustRightInd w:val="0"/>
              <w:snapToGrid w:val="0"/>
              <w:spacing w:line="240" w:lineRule="atLeast"/>
              <w:jc w:val="center"/>
              <w:rPr>
                <w:color w:val="auto"/>
                <w:sz w:val="18"/>
                <w:szCs w:val="18"/>
              </w:rPr>
            </w:pPr>
            <w:r>
              <w:rPr>
                <w:color w:val="auto"/>
                <w:sz w:val="18"/>
                <w:szCs w:val="18"/>
              </w:rPr>
              <w:t>1+tan</w:t>
            </w:r>
            <w:r>
              <w:rPr>
                <w:i/>
                <w:color w:val="auto"/>
                <w:position w:val="-12"/>
                <w:sz w:val="18"/>
                <w:szCs w:val="18"/>
              </w:rPr>
              <w:object>
                <v:shape id="_x0000_i1071" o:spt="75" type="#_x0000_t75" style="height:18pt;width:12pt;" o:ole="t" filled="f" o:preferrelative="t" stroked="f" coordsize="21600,21600">
                  <v:path/>
                  <v:fill on="f" focussize="0,0"/>
                  <v:stroke on="f" joinstyle="miter"/>
                  <v:imagedata r:id="rId101" o:title=""/>
                  <o:lock v:ext="edit" aspectratio="t"/>
                  <w10:wrap type="none"/>
                  <w10:anchorlock/>
                </v:shape>
                <o:OLEObject Type="Embed" ProgID="Equation.DSMT4" ShapeID="_x0000_i1071" DrawAspect="Content" ObjectID="_1468075771" r:id="rId100">
                  <o:LockedField>false</o:LockedField>
                </o:OLEObject>
              </w:object>
            </w:r>
          </w:p>
        </w:tc>
        <w:tc>
          <w:tcPr>
            <w:tcW w:w="2119" w:type="dxa"/>
            <w:vAlign w:val="center"/>
          </w:tcPr>
          <w:p w14:paraId="4F968967">
            <w:pPr>
              <w:adjustRightInd w:val="0"/>
              <w:snapToGrid w:val="0"/>
              <w:spacing w:line="240" w:lineRule="atLeast"/>
              <w:jc w:val="center"/>
              <w:rPr>
                <w:color w:val="auto"/>
                <w:sz w:val="18"/>
                <w:szCs w:val="18"/>
              </w:rPr>
            </w:pPr>
            <w:r>
              <w:rPr>
                <w:color w:val="auto"/>
                <w:sz w:val="18"/>
                <w:szCs w:val="18"/>
              </w:rPr>
              <w:t>1+(</w:t>
            </w:r>
            <w:r>
              <w:rPr>
                <w:i/>
                <w:color w:val="auto"/>
                <w:sz w:val="18"/>
                <w:szCs w:val="18"/>
              </w:rPr>
              <w:t>N</w:t>
            </w:r>
            <w:r>
              <w:rPr>
                <w:iCs/>
                <w:color w:val="auto"/>
                <w:sz w:val="18"/>
                <w:szCs w:val="18"/>
                <w:vertAlign w:val="subscript"/>
              </w:rPr>
              <w:t>q</w:t>
            </w:r>
            <w:r>
              <w:rPr>
                <w:color w:val="auto"/>
                <w:sz w:val="18"/>
                <w:szCs w:val="18"/>
              </w:rPr>
              <w:t>/</w:t>
            </w:r>
            <w:r>
              <w:rPr>
                <w:i/>
                <w:color w:val="auto"/>
                <w:sz w:val="18"/>
                <w:szCs w:val="18"/>
              </w:rPr>
              <w:t>N</w:t>
            </w:r>
            <w:r>
              <w:rPr>
                <w:iCs/>
                <w:color w:val="auto"/>
                <w:sz w:val="18"/>
                <w:szCs w:val="18"/>
                <w:vertAlign w:val="subscript"/>
              </w:rPr>
              <w:t>c</w:t>
            </w:r>
            <w:r>
              <w:rPr>
                <w:color w:val="auto"/>
                <w:sz w:val="18"/>
                <w:szCs w:val="18"/>
              </w:rPr>
              <w:t>)</w:t>
            </w:r>
          </w:p>
        </w:tc>
      </w:tr>
      <w:tr w14:paraId="179EFC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50" w:type="dxa"/>
            <w:gridSpan w:val="4"/>
            <w:vAlign w:val="center"/>
          </w:tcPr>
          <w:p w14:paraId="1B798401">
            <w:pPr>
              <w:adjustRightInd w:val="0"/>
              <w:snapToGrid w:val="0"/>
              <w:spacing w:line="240" w:lineRule="atLeast"/>
              <w:rPr>
                <w:color w:val="auto"/>
                <w:sz w:val="18"/>
                <w:szCs w:val="18"/>
              </w:rPr>
            </w:pPr>
            <w:r>
              <w:rPr>
                <w:color w:val="auto"/>
                <w:sz w:val="18"/>
                <w:szCs w:val="18"/>
              </w:rPr>
              <w:t>注：</w:t>
            </w:r>
            <w:r>
              <w:rPr>
                <w:i/>
                <w:color w:val="auto"/>
                <w:sz w:val="18"/>
                <w:szCs w:val="18"/>
              </w:rPr>
              <w:t>b</w:t>
            </w:r>
            <w:r>
              <w:rPr>
                <w:color w:val="auto"/>
                <w:sz w:val="18"/>
                <w:szCs w:val="18"/>
              </w:rPr>
              <w:t>、</w:t>
            </w:r>
            <w:r>
              <w:rPr>
                <w:i/>
                <w:color w:val="auto"/>
                <w:sz w:val="18"/>
                <w:szCs w:val="18"/>
              </w:rPr>
              <w:t>l</w:t>
            </w:r>
            <w:r>
              <w:rPr>
                <w:color w:val="auto"/>
                <w:sz w:val="18"/>
                <w:szCs w:val="18"/>
              </w:rPr>
              <w:t>分别为基础底面宽度和长度。</w:t>
            </w:r>
          </w:p>
        </w:tc>
      </w:tr>
    </w:tbl>
    <w:p w14:paraId="0EB0CBD0">
      <w:pPr>
        <w:adjustRightInd w:val="0"/>
        <w:snapToGrid w:val="0"/>
        <w:spacing w:before="120" w:line="360" w:lineRule="atLeast"/>
        <w:rPr>
          <w:color w:val="auto"/>
          <w:szCs w:val="21"/>
        </w:rPr>
      </w:pPr>
      <w:r>
        <w:rPr>
          <w:b/>
          <w:bCs/>
          <w:color w:val="auto"/>
          <w:szCs w:val="21"/>
        </w:rPr>
        <w:t>7.2.5</w:t>
      </w:r>
      <w:r>
        <w:rPr>
          <w:color w:val="auto"/>
          <w:szCs w:val="21"/>
        </w:rPr>
        <w:t xml:space="preserve">  当基础宽度大于3</w:t>
      </w:r>
      <w:r>
        <w:rPr>
          <w:iCs/>
          <w:color w:val="auto"/>
          <w:szCs w:val="21"/>
        </w:rPr>
        <w:t>m</w:t>
      </w:r>
      <w:r>
        <w:rPr>
          <w:color w:val="auto"/>
          <w:szCs w:val="21"/>
        </w:rPr>
        <w:t>或埋置深度大于0.5</w:t>
      </w:r>
      <w:r>
        <w:rPr>
          <w:iCs/>
          <w:color w:val="auto"/>
          <w:szCs w:val="21"/>
        </w:rPr>
        <w:t>m</w:t>
      </w:r>
      <w:r>
        <w:rPr>
          <w:color w:val="auto"/>
          <w:szCs w:val="21"/>
        </w:rPr>
        <w:t>时，</w:t>
      </w:r>
      <w:r>
        <w:rPr>
          <w:color w:val="auto"/>
        </w:rPr>
        <w:t>以</w:t>
      </w:r>
      <w:r>
        <w:rPr>
          <w:color w:val="auto"/>
          <w:szCs w:val="21"/>
        </w:rPr>
        <w:t>载荷试验或其他原位测试、查承载力表等方法确定的地基承载力特征值，尚应按</w:t>
      </w:r>
      <w:r>
        <w:rPr>
          <w:rFonts w:hint="eastAsia"/>
          <w:color w:val="auto"/>
          <w:lang w:val="en-US" w:eastAsia="zh-CN"/>
        </w:rPr>
        <w:t>公式（16）</w:t>
      </w:r>
      <w:r>
        <w:rPr>
          <w:color w:val="auto"/>
          <w:szCs w:val="21"/>
        </w:rPr>
        <w:t>修正：</w:t>
      </w:r>
    </w:p>
    <w:p w14:paraId="52AA32CA">
      <w:pPr>
        <w:pStyle w:val="12"/>
        <w:jc w:val="right"/>
        <w:rPr>
          <w:color w:val="auto"/>
          <w:szCs w:val="21"/>
        </w:rPr>
      </w:pPr>
      <w:r>
        <w:rPr>
          <w:color w:val="auto"/>
          <w:position w:val="-12"/>
          <w:szCs w:val="21"/>
        </w:rPr>
        <w:object>
          <v:shape id="_x0000_i1072" o:spt="75" type="#_x0000_t75" style="height:18pt;width:162pt;" o:ole="t" filled="f" o:preferrelative="t" stroked="f" coordsize="21600,21600">
            <v:path/>
            <v:fill on="f" focussize="0,0"/>
            <v:stroke on="f" joinstyle="miter"/>
            <v:imagedata r:id="rId103" o:title=""/>
            <o:lock v:ext="edit" aspectratio="t"/>
            <w10:wrap type="none"/>
            <w10:anchorlock/>
          </v:shape>
          <o:OLEObject Type="Embed" ProgID="Equation.DSMT4" ShapeID="_x0000_i1072" DrawAspect="Content" ObjectID="_1468075772" r:id="rId10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16</w:t>
      </w:r>
      <w:r>
        <w:rPr>
          <w:color w:val="auto"/>
          <w:szCs w:val="21"/>
        </w:rPr>
        <w:fldChar w:fldCharType="end"/>
      </w:r>
      <w:r>
        <w:rPr>
          <w:color w:val="auto"/>
          <w:szCs w:val="21"/>
        </w:rPr>
        <w:t>)</w:t>
      </w:r>
    </w:p>
    <w:p w14:paraId="68787B14">
      <w:pPr>
        <w:adjustRightInd w:val="0"/>
        <w:snapToGrid w:val="0"/>
        <w:spacing w:before="120" w:line="340" w:lineRule="exact"/>
        <w:rPr>
          <w:color w:val="auto"/>
          <w:szCs w:val="21"/>
        </w:rPr>
      </w:pPr>
      <w:r>
        <w:rPr>
          <w:color w:val="auto"/>
          <w:szCs w:val="21"/>
        </w:rPr>
        <w:t xml:space="preserve">式中  </w:t>
      </w:r>
      <w:r>
        <w:rPr>
          <w:color w:val="auto"/>
          <w:position w:val="-12"/>
          <w:szCs w:val="21"/>
        </w:rPr>
        <w:object>
          <v:shape id="_x0000_i1073" o:spt="75" type="#_x0000_t75" style="height:18pt;width:12pt;" o:ole="t" filled="f" o:preferrelative="t" stroked="f" coordsize="21600,21600">
            <v:path/>
            <v:fill on="f" focussize="0,0"/>
            <v:stroke on="f" joinstyle="miter"/>
            <v:imagedata r:id="rId105" o:title=""/>
            <o:lock v:ext="edit" aspectratio="t"/>
            <w10:wrap type="none"/>
            <w10:anchorlock/>
          </v:shape>
          <o:OLEObject Type="Embed" ProgID="Equation.DSMT4" ShapeID="_x0000_i1073" DrawAspect="Content" ObjectID="_1468075773" r:id="rId104">
            <o:LockedField>false</o:LockedField>
          </o:OLEObject>
        </w:object>
      </w:r>
      <w:r>
        <w:rPr>
          <w:color w:val="auto"/>
          <w:szCs w:val="21"/>
        </w:rPr>
        <w:t>——修正后的地基承载力特征值（kPa）；</w:t>
      </w:r>
    </w:p>
    <w:p w14:paraId="70D1C16A">
      <w:pPr>
        <w:adjustRightInd w:val="0"/>
        <w:snapToGrid w:val="0"/>
        <w:spacing w:line="340" w:lineRule="exact"/>
        <w:ind w:left="1300" w:leftChars="-33" w:hanging="1369" w:hangingChars="652"/>
        <w:rPr>
          <w:color w:val="auto"/>
          <w:szCs w:val="21"/>
        </w:rPr>
      </w:pPr>
      <w:r>
        <w:rPr>
          <w:color w:val="auto"/>
          <w:szCs w:val="21"/>
        </w:rPr>
        <w:t xml:space="preserve">      </w:t>
      </w:r>
      <w:r>
        <w:rPr>
          <w:color w:val="auto"/>
          <w:position w:val="-12"/>
          <w:szCs w:val="21"/>
        </w:rPr>
        <w:object>
          <v:shape id="_x0000_i1074" o:spt="75" type="#_x0000_t75" style="height:18pt;width:16.5pt;" o:ole="t" filled="f" o:preferrelative="t" stroked="f" coordsize="21600,21600">
            <v:path/>
            <v:fill on="f" focussize="0,0"/>
            <v:stroke on="f" joinstyle="miter"/>
            <v:imagedata r:id="rId107" o:title=""/>
            <o:lock v:ext="edit" aspectratio="t"/>
            <w10:wrap type="none"/>
            <w10:anchorlock/>
          </v:shape>
          <o:OLEObject Type="Embed" ProgID="Equation.DSMT4" ShapeID="_x0000_i1074" DrawAspect="Content" ObjectID="_1468075774" r:id="rId106">
            <o:LockedField>false</o:LockedField>
          </o:OLEObject>
        </w:object>
      </w:r>
      <w:r>
        <w:rPr>
          <w:color w:val="auto"/>
          <w:szCs w:val="21"/>
        </w:rPr>
        <w:t>——通过查表、载荷试验或其他原位测试确定的地基承载力特征值（kPa）；</w:t>
      </w:r>
    </w:p>
    <w:p w14:paraId="7033419E">
      <w:pPr>
        <w:adjustRightInd w:val="0"/>
        <w:snapToGrid w:val="0"/>
        <w:spacing w:line="340" w:lineRule="exact"/>
        <w:ind w:left="1343" w:leftChars="73" w:hanging="1190" w:hangingChars="567"/>
        <w:rPr>
          <w:color w:val="auto"/>
          <w:szCs w:val="21"/>
        </w:rPr>
      </w:pPr>
      <w:r>
        <w:rPr>
          <w:color w:val="auto"/>
          <w:position w:val="-12"/>
          <w:szCs w:val="21"/>
        </w:rPr>
        <w:object>
          <v:shape id="_x0000_i1075" o:spt="75" type="#_x0000_t75" style="height:18pt;width:12.75pt;" o:ole="t" filled="f" o:preferrelative="t" stroked="f" coordsize="21600,21600">
            <v:path/>
            <v:fill on="f" focussize="0,0"/>
            <v:stroke on="f" joinstyle="miter"/>
            <v:imagedata r:id="rId109" o:title=""/>
            <o:lock v:ext="edit" aspectratio="t"/>
            <w10:wrap type="none"/>
            <w10:anchorlock/>
          </v:shape>
          <o:OLEObject Type="Embed" ProgID="Equation.DSMT4" ShapeID="_x0000_i1075" DrawAspect="Content" ObjectID="_1468075775" r:id="rId108">
            <o:LockedField>false</o:LockedField>
          </o:OLEObject>
        </w:object>
      </w:r>
      <w:r>
        <w:rPr>
          <w:color w:val="auto"/>
          <w:szCs w:val="21"/>
        </w:rPr>
        <w:t>、</w:t>
      </w:r>
      <w:r>
        <w:rPr>
          <w:color w:val="auto"/>
          <w:position w:val="-12"/>
          <w:szCs w:val="21"/>
        </w:rPr>
        <w:object>
          <v:shape id="_x0000_i1076" o:spt="75" type="#_x0000_t75" style="height:18pt;width:12.75pt;" o:ole="t" filled="f" o:preferrelative="t" stroked="f" coordsize="21600,21600">
            <v:path/>
            <v:fill on="f" focussize="0,0"/>
            <v:stroke on="f" joinstyle="miter"/>
            <v:imagedata r:id="rId111" o:title=""/>
            <o:lock v:ext="edit" aspectratio="t"/>
            <w10:wrap type="none"/>
            <w10:anchorlock/>
          </v:shape>
          <o:OLEObject Type="Embed" ProgID="Equation.DSMT4" ShapeID="_x0000_i1076" DrawAspect="Content" ObjectID="_1468075776" r:id="rId110">
            <o:LockedField>false</o:LockedField>
          </o:OLEObject>
        </w:object>
      </w:r>
      <w:r>
        <w:rPr>
          <w:color w:val="auto"/>
          <w:szCs w:val="21"/>
        </w:rPr>
        <w:t>——基础宽度和埋深的地基承载力修正系数，按基底下土类查表19取值。</w:t>
      </w:r>
    </w:p>
    <w:p w14:paraId="2F28F6ED">
      <w:pPr>
        <w:adjustRightInd w:val="0"/>
        <w:snapToGrid w:val="0"/>
        <w:spacing w:line="340" w:lineRule="exact"/>
        <w:ind w:left="1297" w:leftChars="333" w:hanging="598" w:hangingChars="285"/>
        <w:rPr>
          <w:color w:val="auto"/>
          <w:szCs w:val="21"/>
        </w:rPr>
      </w:pPr>
      <w:r>
        <w:rPr>
          <w:color w:val="auto"/>
          <w:position w:val="-6"/>
          <w:szCs w:val="21"/>
        </w:rPr>
        <w:object>
          <v:shape id="_x0000_i1077" o:spt="75" type="#_x0000_t75" style="height:12.75pt;width:9pt;" o:ole="t" filled="f" o:preferrelative="t" stroked="f" coordsize="21600,21600">
            <v:path/>
            <v:fill on="f" focussize="0,0"/>
            <v:stroke on="f" joinstyle="miter"/>
            <v:imagedata r:id="rId113" o:title=""/>
            <o:lock v:ext="edit" aspectratio="t"/>
            <w10:wrap type="none"/>
            <w10:anchorlock/>
          </v:shape>
          <o:OLEObject Type="Embed" ProgID="Equation.DSMT4" ShapeID="_x0000_i1077" DrawAspect="Content" ObjectID="_1468075777" r:id="rId112">
            <o:LockedField>false</o:LockedField>
          </o:OLEObject>
        </w:object>
      </w:r>
      <w:r>
        <w:rPr>
          <w:color w:val="auto"/>
          <w:szCs w:val="21"/>
        </w:rPr>
        <w:t>——基础底面宽度</w:t>
      </w:r>
      <w:r>
        <w:rPr>
          <w:rFonts w:hint="eastAsia"/>
          <w:color w:val="auto"/>
          <w:szCs w:val="21"/>
        </w:rPr>
        <w:t>（</w:t>
      </w:r>
      <w:r>
        <w:rPr>
          <w:iCs/>
          <w:color w:val="auto"/>
          <w:szCs w:val="21"/>
        </w:rPr>
        <w:t>m</w:t>
      </w:r>
      <w:r>
        <w:rPr>
          <w:rFonts w:hint="eastAsia"/>
          <w:color w:val="auto"/>
          <w:szCs w:val="21"/>
        </w:rPr>
        <w:t>）</w:t>
      </w:r>
      <w:r>
        <w:rPr>
          <w:color w:val="auto"/>
          <w:szCs w:val="21"/>
        </w:rPr>
        <w:t>，当基宽小于3</w:t>
      </w:r>
      <w:r>
        <w:rPr>
          <w:iCs/>
          <w:color w:val="auto"/>
          <w:szCs w:val="21"/>
        </w:rPr>
        <w:t>m</w:t>
      </w:r>
      <w:r>
        <w:rPr>
          <w:color w:val="auto"/>
          <w:szCs w:val="21"/>
        </w:rPr>
        <w:t>按3</w:t>
      </w:r>
      <w:r>
        <w:rPr>
          <w:iCs/>
          <w:color w:val="auto"/>
          <w:szCs w:val="21"/>
        </w:rPr>
        <w:t>m</w:t>
      </w:r>
      <w:r>
        <w:rPr>
          <w:color w:val="auto"/>
          <w:szCs w:val="21"/>
        </w:rPr>
        <w:t>取值，大于6</w:t>
      </w:r>
      <w:r>
        <w:rPr>
          <w:iCs/>
          <w:color w:val="auto"/>
          <w:szCs w:val="21"/>
        </w:rPr>
        <w:t>m</w:t>
      </w:r>
      <w:r>
        <w:rPr>
          <w:color w:val="auto"/>
          <w:szCs w:val="21"/>
        </w:rPr>
        <w:t>按6</w:t>
      </w:r>
      <w:r>
        <w:rPr>
          <w:iCs/>
          <w:color w:val="auto"/>
          <w:szCs w:val="21"/>
        </w:rPr>
        <w:t>m</w:t>
      </w:r>
      <w:r>
        <w:rPr>
          <w:color w:val="auto"/>
          <w:szCs w:val="21"/>
        </w:rPr>
        <w:t>取值；</w:t>
      </w:r>
    </w:p>
    <w:p w14:paraId="29499BEA">
      <w:pPr>
        <w:tabs>
          <w:tab w:val="left" w:pos="2033"/>
        </w:tabs>
        <w:adjustRightInd w:val="0"/>
        <w:snapToGrid w:val="0"/>
        <w:spacing w:line="340" w:lineRule="exact"/>
        <w:ind w:firstLine="178" w:firstLineChars="85"/>
        <w:rPr>
          <w:color w:val="auto"/>
          <w:szCs w:val="21"/>
        </w:rPr>
      </w:pPr>
      <w:r>
        <w:rPr>
          <w:color w:val="auto"/>
          <w:position w:val="-10"/>
          <w:szCs w:val="21"/>
        </w:rPr>
        <w:object>
          <v:shape id="_x0000_i1078" o:spt="75" type="#_x0000_t75" style="height:12.75pt;width:9.75pt;" o:ole="t" filled="f" o:preferrelative="t" stroked="f" coordsize="21600,21600">
            <v:path/>
            <v:fill on="f" focussize="0,0"/>
            <v:stroke on="f" joinstyle="miter"/>
            <v:imagedata r:id="rId115" o:title=""/>
            <o:lock v:ext="edit" aspectratio="t"/>
            <w10:wrap type="none"/>
            <w10:anchorlock/>
          </v:shape>
          <o:OLEObject Type="Embed" ProgID="Equation.DSMT4" ShapeID="_x0000_i1078" DrawAspect="Content" ObjectID="_1468075778" r:id="rId114">
            <o:LockedField>false</o:LockedField>
          </o:OLEObject>
        </w:object>
      </w:r>
      <w:r>
        <w:rPr>
          <w:color w:val="auto"/>
          <w:szCs w:val="21"/>
        </w:rPr>
        <w:t>、</w:t>
      </w:r>
      <w:r>
        <w:rPr>
          <w:color w:val="auto"/>
          <w:position w:val="-12"/>
          <w:szCs w:val="21"/>
        </w:rPr>
        <w:object>
          <v:shape id="_x0000_i1079" o:spt="75" type="#_x0000_t75" style="height:18pt;width:15pt;" o:ole="t" filled="f" o:preferrelative="t" stroked="f" coordsize="21600,21600">
            <v:path/>
            <v:fill on="f" focussize="0,0"/>
            <v:stroke on="f" joinstyle="miter"/>
            <v:imagedata r:id="rId92" o:title=""/>
            <o:lock v:ext="edit" aspectratio="t"/>
            <w10:wrap type="none"/>
            <w10:anchorlock/>
          </v:shape>
          <o:OLEObject Type="Embed" ProgID="Equation.DSMT4" ShapeID="_x0000_i1079" DrawAspect="Content" ObjectID="_1468075779" r:id="rId116">
            <o:LockedField>false</o:LockedField>
          </o:OLEObject>
        </w:object>
      </w:r>
      <w:r>
        <w:rPr>
          <w:color w:val="auto"/>
          <w:szCs w:val="21"/>
        </w:rPr>
        <w:t>——按本文件7.2.4条规定取值；</w:t>
      </w:r>
    </w:p>
    <w:p w14:paraId="1B13DFE2">
      <w:pPr>
        <w:adjustRightInd w:val="0"/>
        <w:snapToGrid w:val="0"/>
        <w:spacing w:line="340" w:lineRule="exact"/>
        <w:ind w:left="1312" w:leftChars="307" w:hanging="667" w:hangingChars="318"/>
        <w:rPr>
          <w:color w:val="auto"/>
          <w:szCs w:val="21"/>
        </w:rPr>
      </w:pPr>
      <w:r>
        <w:rPr>
          <w:color w:val="auto"/>
          <w:position w:val="-6"/>
          <w:szCs w:val="21"/>
        </w:rPr>
        <w:object>
          <v:shape id="_x0000_i1080" o:spt="75" type="#_x0000_t75" style="height:12.75pt;width:11.25pt;" o:ole="t" filled="f" o:preferrelative="t" stroked="f" coordsize="21600,21600">
            <v:path/>
            <v:fill on="f" focussize="0,0"/>
            <v:stroke on="f" joinstyle="miter"/>
            <v:imagedata r:id="rId118" o:title=""/>
            <o:lock v:ext="edit" aspectratio="t"/>
            <w10:wrap type="none"/>
            <w10:anchorlock/>
          </v:shape>
          <o:OLEObject Type="Embed" ProgID="Equation.DSMT4" ShapeID="_x0000_i1080" DrawAspect="Content" ObjectID="_1468075780" r:id="rId117">
            <o:LockedField>false</o:LockedField>
          </o:OLEObject>
        </w:object>
      </w:r>
      <w:r>
        <w:rPr>
          <w:color w:val="auto"/>
          <w:szCs w:val="21"/>
        </w:rPr>
        <w:t>——基础埋置深度</w:t>
      </w:r>
      <w:r>
        <w:rPr>
          <w:rFonts w:hint="eastAsia"/>
          <w:color w:val="auto"/>
          <w:szCs w:val="21"/>
        </w:rPr>
        <w:t>（</w:t>
      </w:r>
      <w:r>
        <w:rPr>
          <w:iCs/>
          <w:color w:val="auto"/>
          <w:szCs w:val="21"/>
        </w:rPr>
        <w:t>m</w:t>
      </w:r>
      <w:r>
        <w:rPr>
          <w:rFonts w:hint="eastAsia"/>
          <w:color w:val="auto"/>
          <w:szCs w:val="21"/>
        </w:rPr>
        <w:t>）</w:t>
      </w:r>
      <w:r>
        <w:rPr>
          <w:color w:val="auto"/>
          <w:szCs w:val="21"/>
        </w:rPr>
        <w:t>，按本文件7.2.4条规定取值。</w:t>
      </w:r>
    </w:p>
    <w:p w14:paraId="3AEF5CF4">
      <w:pPr>
        <w:spacing w:before="240"/>
        <w:jc w:val="center"/>
        <w:rPr>
          <w:rFonts w:eastAsia="黑体"/>
          <w:b/>
          <w:color w:val="auto"/>
          <w:szCs w:val="21"/>
        </w:rPr>
      </w:pPr>
      <w:r>
        <w:rPr>
          <w:rFonts w:eastAsia="黑体"/>
          <w:b/>
          <w:color w:val="auto"/>
          <w:szCs w:val="21"/>
        </w:rPr>
        <w:t>表19   承载力修正系数</w:t>
      </w:r>
    </w:p>
    <w:tbl>
      <w:tblPr>
        <w:tblStyle w:val="36"/>
        <w:tblW w:w="91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46"/>
        <w:gridCol w:w="4689"/>
        <w:gridCol w:w="1461"/>
        <w:gridCol w:w="1382"/>
      </w:tblGrid>
      <w:tr w14:paraId="44A98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335" w:type="dxa"/>
            <w:gridSpan w:val="2"/>
            <w:vAlign w:val="center"/>
          </w:tcPr>
          <w:p w14:paraId="58A751C8">
            <w:pPr>
              <w:adjustRightInd w:val="0"/>
              <w:snapToGrid w:val="0"/>
              <w:spacing w:line="240" w:lineRule="atLeast"/>
              <w:jc w:val="center"/>
              <w:rPr>
                <w:color w:val="auto"/>
                <w:sz w:val="18"/>
                <w:szCs w:val="18"/>
              </w:rPr>
            </w:pPr>
            <w:r>
              <w:rPr>
                <w:color w:val="auto"/>
                <w:sz w:val="18"/>
                <w:szCs w:val="18"/>
              </w:rPr>
              <w:t>土    的    类    别</w:t>
            </w:r>
          </w:p>
        </w:tc>
        <w:tc>
          <w:tcPr>
            <w:tcW w:w="1461" w:type="dxa"/>
            <w:vAlign w:val="center"/>
          </w:tcPr>
          <w:p w14:paraId="289CD838">
            <w:pPr>
              <w:adjustRightInd w:val="0"/>
              <w:snapToGrid w:val="0"/>
              <w:spacing w:line="240" w:lineRule="atLeast"/>
              <w:jc w:val="center"/>
              <w:rPr>
                <w:color w:val="auto"/>
                <w:sz w:val="18"/>
                <w:szCs w:val="18"/>
              </w:rPr>
            </w:pPr>
            <w:r>
              <w:rPr>
                <w:i/>
                <w:color w:val="auto"/>
                <w:position w:val="-12"/>
                <w:sz w:val="18"/>
                <w:szCs w:val="18"/>
              </w:rPr>
              <w:object>
                <v:shape id="_x0000_i1081" o:spt="75" type="#_x0000_t75" style="height:18pt;width:11.25pt;" o:ole="t" filled="f" o:preferrelative="t" stroked="f" coordsize="21600,21600">
                  <v:path/>
                  <v:fill on="f" focussize="0,0"/>
                  <v:stroke on="f" joinstyle="miter"/>
                  <v:imagedata r:id="rId120" o:title=""/>
                  <o:lock v:ext="edit" aspectratio="t"/>
                  <w10:wrap type="none"/>
                  <w10:anchorlock/>
                </v:shape>
                <o:OLEObject Type="Embed" ProgID="Equation.DSMT4" ShapeID="_x0000_i1081" DrawAspect="Content" ObjectID="_1468075781" r:id="rId119">
                  <o:LockedField>false</o:LockedField>
                </o:OLEObject>
              </w:object>
            </w:r>
          </w:p>
        </w:tc>
        <w:tc>
          <w:tcPr>
            <w:tcW w:w="1382" w:type="dxa"/>
            <w:vAlign w:val="center"/>
          </w:tcPr>
          <w:p w14:paraId="032BC327">
            <w:pPr>
              <w:adjustRightInd w:val="0"/>
              <w:snapToGrid w:val="0"/>
              <w:spacing w:line="240" w:lineRule="atLeast"/>
              <w:jc w:val="center"/>
              <w:rPr>
                <w:color w:val="auto"/>
                <w:sz w:val="18"/>
                <w:szCs w:val="18"/>
              </w:rPr>
            </w:pPr>
            <w:r>
              <w:rPr>
                <w:i/>
                <w:color w:val="auto"/>
                <w:position w:val="-12"/>
                <w:sz w:val="18"/>
                <w:szCs w:val="18"/>
              </w:rPr>
              <w:object>
                <v:shape id="_x0000_i1082" o:spt="75" type="#_x0000_t75" style="height:18pt;width:12pt;" o:ole="t" filled="f" o:preferrelative="t" stroked="f" coordsize="21600,21600">
                  <v:path/>
                  <v:fill on="f" focussize="0,0"/>
                  <v:stroke on="f" joinstyle="miter"/>
                  <v:imagedata r:id="rId122" o:title=""/>
                  <o:lock v:ext="edit" aspectratio="t"/>
                  <w10:wrap type="none"/>
                  <w10:anchorlock/>
                </v:shape>
                <o:OLEObject Type="Embed" ProgID="Equation.DSMT4" ShapeID="_x0000_i1082" DrawAspect="Content" ObjectID="_1468075782" r:id="rId121">
                  <o:LockedField>false</o:LockedField>
                </o:OLEObject>
              </w:object>
            </w:r>
          </w:p>
        </w:tc>
      </w:tr>
      <w:tr w14:paraId="5E4575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335" w:type="dxa"/>
            <w:gridSpan w:val="2"/>
            <w:vAlign w:val="center"/>
          </w:tcPr>
          <w:p w14:paraId="638AFC35">
            <w:pPr>
              <w:adjustRightInd w:val="0"/>
              <w:snapToGrid w:val="0"/>
              <w:spacing w:line="260" w:lineRule="exact"/>
              <w:rPr>
                <w:color w:val="auto"/>
                <w:sz w:val="18"/>
                <w:szCs w:val="18"/>
              </w:rPr>
            </w:pPr>
            <w:r>
              <w:rPr>
                <w:color w:val="auto"/>
                <w:sz w:val="18"/>
                <w:szCs w:val="18"/>
              </w:rPr>
              <w:t>淤泥和淤泥质土</w:t>
            </w:r>
          </w:p>
        </w:tc>
        <w:tc>
          <w:tcPr>
            <w:tcW w:w="1461" w:type="dxa"/>
            <w:vAlign w:val="center"/>
          </w:tcPr>
          <w:p w14:paraId="4CB6D157">
            <w:pPr>
              <w:adjustRightInd w:val="0"/>
              <w:snapToGrid w:val="0"/>
              <w:spacing w:line="260" w:lineRule="exact"/>
              <w:jc w:val="center"/>
              <w:rPr>
                <w:color w:val="auto"/>
                <w:sz w:val="18"/>
                <w:szCs w:val="18"/>
              </w:rPr>
            </w:pPr>
            <w:r>
              <w:rPr>
                <w:color w:val="auto"/>
                <w:sz w:val="18"/>
                <w:szCs w:val="18"/>
              </w:rPr>
              <w:t>0</w:t>
            </w:r>
          </w:p>
        </w:tc>
        <w:tc>
          <w:tcPr>
            <w:tcW w:w="1382" w:type="dxa"/>
            <w:vAlign w:val="center"/>
          </w:tcPr>
          <w:p w14:paraId="3213DC9A">
            <w:pPr>
              <w:adjustRightInd w:val="0"/>
              <w:snapToGrid w:val="0"/>
              <w:spacing w:line="260" w:lineRule="exact"/>
              <w:jc w:val="center"/>
              <w:rPr>
                <w:color w:val="auto"/>
                <w:sz w:val="18"/>
                <w:szCs w:val="18"/>
              </w:rPr>
            </w:pPr>
            <w:r>
              <w:rPr>
                <w:color w:val="auto"/>
                <w:sz w:val="18"/>
                <w:szCs w:val="18"/>
              </w:rPr>
              <w:t>1.0</w:t>
            </w:r>
          </w:p>
        </w:tc>
      </w:tr>
      <w:tr w14:paraId="2CC8D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335" w:type="dxa"/>
            <w:gridSpan w:val="2"/>
            <w:vAlign w:val="center"/>
          </w:tcPr>
          <w:p w14:paraId="068DA86A">
            <w:pPr>
              <w:adjustRightInd w:val="0"/>
              <w:snapToGrid w:val="0"/>
              <w:spacing w:line="260" w:lineRule="exact"/>
              <w:rPr>
                <w:color w:val="auto"/>
                <w:sz w:val="18"/>
                <w:szCs w:val="18"/>
              </w:rPr>
            </w:pPr>
            <w:r>
              <w:rPr>
                <w:color w:val="auto"/>
                <w:sz w:val="18"/>
                <w:szCs w:val="18"/>
              </w:rPr>
              <w:t>人工填土</w:t>
            </w:r>
          </w:p>
        </w:tc>
        <w:tc>
          <w:tcPr>
            <w:tcW w:w="1461" w:type="dxa"/>
            <w:vAlign w:val="center"/>
          </w:tcPr>
          <w:p w14:paraId="41AC21CE">
            <w:pPr>
              <w:adjustRightInd w:val="0"/>
              <w:snapToGrid w:val="0"/>
              <w:spacing w:line="260" w:lineRule="exact"/>
              <w:jc w:val="center"/>
              <w:rPr>
                <w:color w:val="auto"/>
                <w:sz w:val="18"/>
                <w:szCs w:val="18"/>
              </w:rPr>
            </w:pPr>
            <w:r>
              <w:rPr>
                <w:color w:val="auto"/>
                <w:sz w:val="18"/>
                <w:szCs w:val="18"/>
              </w:rPr>
              <w:t>0</w:t>
            </w:r>
          </w:p>
        </w:tc>
        <w:tc>
          <w:tcPr>
            <w:tcW w:w="1382" w:type="dxa"/>
            <w:vAlign w:val="center"/>
          </w:tcPr>
          <w:p w14:paraId="0421470E">
            <w:pPr>
              <w:adjustRightInd w:val="0"/>
              <w:snapToGrid w:val="0"/>
              <w:spacing w:line="260" w:lineRule="exact"/>
              <w:jc w:val="center"/>
              <w:rPr>
                <w:color w:val="auto"/>
                <w:sz w:val="18"/>
                <w:szCs w:val="18"/>
              </w:rPr>
            </w:pPr>
            <w:r>
              <w:rPr>
                <w:color w:val="auto"/>
                <w:sz w:val="18"/>
                <w:szCs w:val="18"/>
              </w:rPr>
              <w:t>1.0</w:t>
            </w:r>
          </w:p>
        </w:tc>
      </w:tr>
      <w:tr w14:paraId="5E63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646" w:type="dxa"/>
            <w:vAlign w:val="center"/>
          </w:tcPr>
          <w:p w14:paraId="25E80064">
            <w:pPr>
              <w:pStyle w:val="24"/>
              <w:pBdr>
                <w:bottom w:val="none" w:color="auto" w:sz="0" w:space="0"/>
              </w:pBdr>
              <w:tabs>
                <w:tab w:val="clear" w:pos="4153"/>
                <w:tab w:val="clear" w:pos="8306"/>
              </w:tabs>
              <w:adjustRightInd w:val="0"/>
              <w:jc w:val="both"/>
              <w:rPr>
                <w:color w:val="auto"/>
              </w:rPr>
            </w:pPr>
            <w:r>
              <w:rPr>
                <w:color w:val="auto"/>
              </w:rPr>
              <w:t>黏性土</w:t>
            </w:r>
          </w:p>
        </w:tc>
        <w:tc>
          <w:tcPr>
            <w:tcW w:w="4689" w:type="dxa"/>
            <w:vAlign w:val="center"/>
          </w:tcPr>
          <w:p w14:paraId="01A8707E">
            <w:pPr>
              <w:adjustRightInd w:val="0"/>
              <w:snapToGrid w:val="0"/>
              <w:jc w:val="left"/>
              <w:rPr>
                <w:color w:val="auto"/>
                <w:sz w:val="18"/>
                <w:szCs w:val="18"/>
              </w:rPr>
            </w:pPr>
            <w:r>
              <w:rPr>
                <w:i/>
                <w:color w:val="auto"/>
                <w:sz w:val="18"/>
                <w:szCs w:val="18"/>
              </w:rPr>
              <w:t>I</w:t>
            </w:r>
            <w:r>
              <w:rPr>
                <w:color w:val="auto"/>
                <w:sz w:val="18"/>
                <w:szCs w:val="18"/>
                <w:vertAlign w:val="subscript"/>
              </w:rPr>
              <w:t>L</w:t>
            </w:r>
            <w:r>
              <w:rPr>
                <w:color w:val="auto"/>
                <w:sz w:val="18"/>
                <w:szCs w:val="18"/>
              </w:rPr>
              <w:t>≥1.0</w:t>
            </w:r>
          </w:p>
          <w:p w14:paraId="7A0DB756">
            <w:pPr>
              <w:adjustRightInd w:val="0"/>
              <w:snapToGrid w:val="0"/>
              <w:jc w:val="left"/>
              <w:rPr>
                <w:color w:val="auto"/>
                <w:sz w:val="18"/>
                <w:szCs w:val="18"/>
              </w:rPr>
            </w:pPr>
            <w:r>
              <w:rPr>
                <w:i/>
                <w:color w:val="auto"/>
                <w:sz w:val="18"/>
                <w:szCs w:val="18"/>
              </w:rPr>
              <w:t>I</w:t>
            </w:r>
            <w:r>
              <w:rPr>
                <w:color w:val="auto"/>
                <w:sz w:val="18"/>
                <w:szCs w:val="18"/>
                <w:vertAlign w:val="subscript"/>
              </w:rPr>
              <w:t>L</w:t>
            </w:r>
            <w:r>
              <w:rPr>
                <w:color w:val="auto"/>
                <w:sz w:val="18"/>
                <w:szCs w:val="18"/>
              </w:rPr>
              <w:t>＝0.75</w:t>
            </w:r>
          </w:p>
          <w:p w14:paraId="6817492C">
            <w:pPr>
              <w:adjustRightInd w:val="0"/>
              <w:snapToGrid w:val="0"/>
              <w:jc w:val="left"/>
              <w:rPr>
                <w:color w:val="auto"/>
                <w:sz w:val="18"/>
                <w:szCs w:val="18"/>
              </w:rPr>
            </w:pPr>
            <w:r>
              <w:rPr>
                <w:i/>
                <w:color w:val="auto"/>
                <w:sz w:val="18"/>
                <w:szCs w:val="18"/>
              </w:rPr>
              <w:t>I</w:t>
            </w:r>
            <w:r>
              <w:rPr>
                <w:color w:val="auto"/>
                <w:sz w:val="18"/>
                <w:szCs w:val="18"/>
                <w:vertAlign w:val="subscript"/>
              </w:rPr>
              <w:t>L</w:t>
            </w:r>
            <w:r>
              <w:rPr>
                <w:color w:val="auto"/>
                <w:sz w:val="18"/>
                <w:szCs w:val="18"/>
              </w:rPr>
              <w:t>≤0.25</w:t>
            </w:r>
          </w:p>
        </w:tc>
        <w:tc>
          <w:tcPr>
            <w:tcW w:w="1461" w:type="dxa"/>
            <w:vAlign w:val="center"/>
          </w:tcPr>
          <w:p w14:paraId="7D657701">
            <w:pPr>
              <w:adjustRightInd w:val="0"/>
              <w:snapToGrid w:val="0"/>
              <w:jc w:val="center"/>
              <w:rPr>
                <w:color w:val="auto"/>
                <w:sz w:val="18"/>
                <w:szCs w:val="18"/>
              </w:rPr>
            </w:pPr>
            <w:r>
              <w:rPr>
                <w:color w:val="auto"/>
                <w:sz w:val="18"/>
                <w:szCs w:val="18"/>
              </w:rPr>
              <w:t>0</w:t>
            </w:r>
          </w:p>
          <w:p w14:paraId="026D94FD">
            <w:pPr>
              <w:adjustRightInd w:val="0"/>
              <w:snapToGrid w:val="0"/>
              <w:jc w:val="center"/>
              <w:rPr>
                <w:color w:val="auto"/>
                <w:sz w:val="18"/>
                <w:szCs w:val="18"/>
              </w:rPr>
            </w:pPr>
            <w:r>
              <w:rPr>
                <w:color w:val="auto"/>
                <w:sz w:val="18"/>
                <w:szCs w:val="18"/>
              </w:rPr>
              <w:t>0.1</w:t>
            </w:r>
          </w:p>
          <w:p w14:paraId="41C36D38">
            <w:pPr>
              <w:adjustRightInd w:val="0"/>
              <w:snapToGrid w:val="0"/>
              <w:jc w:val="center"/>
              <w:rPr>
                <w:color w:val="auto"/>
                <w:sz w:val="18"/>
                <w:szCs w:val="18"/>
              </w:rPr>
            </w:pPr>
            <w:r>
              <w:rPr>
                <w:color w:val="auto"/>
                <w:sz w:val="18"/>
                <w:szCs w:val="18"/>
              </w:rPr>
              <w:t>0.3</w:t>
            </w:r>
          </w:p>
        </w:tc>
        <w:tc>
          <w:tcPr>
            <w:tcW w:w="1382" w:type="dxa"/>
            <w:vAlign w:val="center"/>
          </w:tcPr>
          <w:p w14:paraId="579507BB">
            <w:pPr>
              <w:adjustRightInd w:val="0"/>
              <w:snapToGrid w:val="0"/>
              <w:jc w:val="center"/>
              <w:rPr>
                <w:color w:val="auto"/>
                <w:sz w:val="18"/>
                <w:szCs w:val="18"/>
              </w:rPr>
            </w:pPr>
            <w:r>
              <w:rPr>
                <w:color w:val="auto"/>
                <w:sz w:val="18"/>
                <w:szCs w:val="18"/>
              </w:rPr>
              <w:t>1.0</w:t>
            </w:r>
          </w:p>
          <w:p w14:paraId="29FB8797">
            <w:pPr>
              <w:adjustRightInd w:val="0"/>
              <w:snapToGrid w:val="0"/>
              <w:jc w:val="center"/>
              <w:rPr>
                <w:color w:val="auto"/>
                <w:sz w:val="18"/>
                <w:szCs w:val="18"/>
              </w:rPr>
            </w:pPr>
            <w:r>
              <w:rPr>
                <w:color w:val="auto"/>
                <w:sz w:val="18"/>
                <w:szCs w:val="18"/>
              </w:rPr>
              <w:t>1.</w:t>
            </w:r>
            <w:r>
              <w:rPr>
                <w:rFonts w:hint="eastAsia"/>
                <w:color w:val="auto"/>
                <w:sz w:val="18"/>
                <w:szCs w:val="18"/>
              </w:rPr>
              <w:t>4</w:t>
            </w:r>
          </w:p>
          <w:p w14:paraId="30DB0F1A">
            <w:pPr>
              <w:adjustRightInd w:val="0"/>
              <w:snapToGrid w:val="0"/>
              <w:jc w:val="center"/>
              <w:rPr>
                <w:color w:val="auto"/>
                <w:sz w:val="18"/>
                <w:szCs w:val="18"/>
              </w:rPr>
            </w:pPr>
            <w:r>
              <w:rPr>
                <w:color w:val="auto"/>
                <w:sz w:val="18"/>
                <w:szCs w:val="18"/>
              </w:rPr>
              <w:t>1.8</w:t>
            </w:r>
          </w:p>
        </w:tc>
      </w:tr>
      <w:tr w14:paraId="030EF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646" w:type="dxa"/>
            <w:vAlign w:val="center"/>
          </w:tcPr>
          <w:p w14:paraId="243A01A7">
            <w:pPr>
              <w:adjustRightInd w:val="0"/>
              <w:snapToGrid w:val="0"/>
              <w:rPr>
                <w:color w:val="auto"/>
                <w:sz w:val="18"/>
                <w:szCs w:val="18"/>
              </w:rPr>
            </w:pPr>
            <w:r>
              <w:rPr>
                <w:color w:val="auto"/>
                <w:sz w:val="18"/>
                <w:szCs w:val="18"/>
              </w:rPr>
              <w:t>红黏土</w:t>
            </w:r>
          </w:p>
        </w:tc>
        <w:tc>
          <w:tcPr>
            <w:tcW w:w="4689" w:type="dxa"/>
            <w:vAlign w:val="center"/>
          </w:tcPr>
          <w:p w14:paraId="66A92A0A">
            <w:pPr>
              <w:adjustRightInd w:val="0"/>
              <w:snapToGrid w:val="0"/>
              <w:spacing w:line="300" w:lineRule="exact"/>
              <w:jc w:val="left"/>
              <w:rPr>
                <w:color w:val="auto"/>
                <w:sz w:val="18"/>
                <w:szCs w:val="18"/>
              </w:rPr>
            </w:pPr>
            <w:r>
              <w:rPr>
                <w:color w:val="auto"/>
                <w:sz w:val="18"/>
                <w:szCs w:val="18"/>
              </w:rPr>
              <w:t>含水比</w:t>
            </w:r>
            <w:r>
              <w:rPr>
                <w:color w:val="auto"/>
                <w:position w:val="-12"/>
                <w:sz w:val="18"/>
                <w:szCs w:val="18"/>
              </w:rPr>
              <w:object>
                <v:shape id="_x0000_i1083" o:spt="75" type="#_x0000_t75" style="height:18pt;width:12.75pt;" o:ole="t" filled="f" o:preferrelative="t" stroked="f" coordsize="21600,21600">
                  <v:path/>
                  <v:fill on="f" focussize="0,0"/>
                  <v:stroke on="f" joinstyle="miter"/>
                  <v:imagedata r:id="rId124" o:title=""/>
                  <o:lock v:ext="edit" aspectratio="t"/>
                  <w10:wrap type="none"/>
                  <w10:anchorlock/>
                </v:shape>
                <o:OLEObject Type="Embed" ProgID="Equation.DSMT4" ShapeID="_x0000_i1083" DrawAspect="Content" ObjectID="_1468075783" r:id="rId123">
                  <o:LockedField>false</o:LockedField>
                </o:OLEObject>
              </w:object>
            </w:r>
            <w:r>
              <w:rPr>
                <w:color w:val="auto"/>
                <w:sz w:val="18"/>
                <w:szCs w:val="18"/>
              </w:rPr>
              <w:t>＞0.8</w:t>
            </w:r>
          </w:p>
          <w:p w14:paraId="3C953EA8">
            <w:pPr>
              <w:adjustRightInd w:val="0"/>
              <w:snapToGrid w:val="0"/>
              <w:spacing w:line="240" w:lineRule="atLeast"/>
              <w:jc w:val="left"/>
              <w:rPr>
                <w:color w:val="auto"/>
                <w:sz w:val="18"/>
                <w:szCs w:val="18"/>
              </w:rPr>
            </w:pPr>
            <w:r>
              <w:rPr>
                <w:color w:val="auto"/>
                <w:sz w:val="18"/>
                <w:szCs w:val="18"/>
              </w:rPr>
              <w:t>含水比</w:t>
            </w:r>
            <w:r>
              <w:rPr>
                <w:color w:val="auto"/>
                <w:position w:val="-12"/>
                <w:sz w:val="18"/>
                <w:szCs w:val="18"/>
              </w:rPr>
              <w:object>
                <v:shape id="_x0000_i1084" o:spt="75" type="#_x0000_t75" style="height:18pt;width:12.75pt;" o:ole="t" filled="f" o:preferrelative="t" stroked="f" coordsize="21600,21600">
                  <v:path/>
                  <v:fill on="f" focussize="0,0"/>
                  <v:stroke on="f" joinstyle="miter"/>
                  <v:imagedata r:id="rId124" o:title=""/>
                  <o:lock v:ext="edit" aspectratio="t"/>
                  <w10:wrap type="none"/>
                  <w10:anchorlock/>
                </v:shape>
                <o:OLEObject Type="Embed" ProgID="Equation.DSMT4" ShapeID="_x0000_i1084" DrawAspect="Content" ObjectID="_1468075784" r:id="rId125">
                  <o:LockedField>false</o:LockedField>
                </o:OLEObject>
              </w:object>
            </w:r>
            <w:r>
              <w:rPr>
                <w:color w:val="auto"/>
                <w:sz w:val="18"/>
                <w:szCs w:val="18"/>
              </w:rPr>
              <w:t>≤0.8</w:t>
            </w:r>
          </w:p>
        </w:tc>
        <w:tc>
          <w:tcPr>
            <w:tcW w:w="1461" w:type="dxa"/>
            <w:vAlign w:val="center"/>
          </w:tcPr>
          <w:p w14:paraId="1C1EFF34">
            <w:pPr>
              <w:adjustRightInd w:val="0"/>
              <w:snapToGrid w:val="0"/>
              <w:spacing w:line="300" w:lineRule="auto"/>
              <w:jc w:val="center"/>
              <w:rPr>
                <w:color w:val="auto"/>
                <w:sz w:val="18"/>
                <w:szCs w:val="18"/>
              </w:rPr>
            </w:pPr>
            <w:r>
              <w:rPr>
                <w:color w:val="auto"/>
                <w:sz w:val="18"/>
                <w:szCs w:val="18"/>
              </w:rPr>
              <w:t>0</w:t>
            </w:r>
          </w:p>
          <w:p w14:paraId="563ACB96">
            <w:pPr>
              <w:adjustRightInd w:val="0"/>
              <w:snapToGrid w:val="0"/>
              <w:spacing w:line="300" w:lineRule="auto"/>
              <w:jc w:val="center"/>
              <w:rPr>
                <w:color w:val="auto"/>
                <w:sz w:val="18"/>
                <w:szCs w:val="18"/>
              </w:rPr>
            </w:pPr>
            <w:r>
              <w:rPr>
                <w:color w:val="auto"/>
                <w:sz w:val="18"/>
                <w:szCs w:val="18"/>
              </w:rPr>
              <w:t>0.15</w:t>
            </w:r>
          </w:p>
        </w:tc>
        <w:tc>
          <w:tcPr>
            <w:tcW w:w="1382" w:type="dxa"/>
            <w:vAlign w:val="center"/>
          </w:tcPr>
          <w:p w14:paraId="2B5F6F52">
            <w:pPr>
              <w:adjustRightInd w:val="0"/>
              <w:snapToGrid w:val="0"/>
              <w:spacing w:line="300" w:lineRule="auto"/>
              <w:jc w:val="center"/>
              <w:rPr>
                <w:color w:val="auto"/>
                <w:sz w:val="18"/>
                <w:szCs w:val="18"/>
              </w:rPr>
            </w:pPr>
            <w:r>
              <w:rPr>
                <w:color w:val="auto"/>
                <w:sz w:val="18"/>
                <w:szCs w:val="18"/>
              </w:rPr>
              <w:t>1.2</w:t>
            </w:r>
          </w:p>
          <w:p w14:paraId="2A7EAB57">
            <w:pPr>
              <w:adjustRightInd w:val="0"/>
              <w:snapToGrid w:val="0"/>
              <w:spacing w:line="300" w:lineRule="auto"/>
              <w:jc w:val="center"/>
              <w:rPr>
                <w:color w:val="auto"/>
                <w:sz w:val="18"/>
                <w:szCs w:val="18"/>
              </w:rPr>
            </w:pPr>
            <w:r>
              <w:rPr>
                <w:color w:val="auto"/>
                <w:sz w:val="18"/>
                <w:szCs w:val="18"/>
              </w:rPr>
              <w:t>1.4</w:t>
            </w:r>
          </w:p>
        </w:tc>
      </w:tr>
      <w:tr w14:paraId="3CACD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46" w:type="dxa"/>
            <w:vAlign w:val="center"/>
          </w:tcPr>
          <w:p w14:paraId="4947B9AF">
            <w:pPr>
              <w:adjustRightInd w:val="0"/>
              <w:snapToGrid w:val="0"/>
              <w:rPr>
                <w:color w:val="auto"/>
                <w:sz w:val="18"/>
                <w:szCs w:val="18"/>
              </w:rPr>
            </w:pPr>
            <w:r>
              <w:rPr>
                <w:color w:val="auto"/>
                <w:sz w:val="18"/>
                <w:szCs w:val="18"/>
              </w:rPr>
              <w:t>大面积压实填土</w:t>
            </w:r>
          </w:p>
        </w:tc>
        <w:tc>
          <w:tcPr>
            <w:tcW w:w="4689" w:type="dxa"/>
            <w:vAlign w:val="center"/>
          </w:tcPr>
          <w:p w14:paraId="45607310">
            <w:pPr>
              <w:adjustRightInd w:val="0"/>
              <w:snapToGrid w:val="0"/>
              <w:rPr>
                <w:color w:val="auto"/>
                <w:sz w:val="18"/>
                <w:szCs w:val="18"/>
              </w:rPr>
            </w:pPr>
            <w:r>
              <w:rPr>
                <w:color w:val="auto"/>
                <w:sz w:val="18"/>
                <w:szCs w:val="18"/>
              </w:rPr>
              <w:t>压实系数大于0.95、黏粒含量</w:t>
            </w:r>
            <w:r>
              <w:rPr>
                <w:color w:val="auto"/>
                <w:position w:val="-12"/>
                <w:sz w:val="18"/>
                <w:szCs w:val="18"/>
              </w:rPr>
              <w:object>
                <v:shape id="_x0000_i1085" o:spt="75" type="#_x0000_t75" style="height:18pt;width:12pt;" o:ole="t" filled="f" o:preferrelative="t" stroked="f" coordsize="21600,21600">
                  <v:path/>
                  <v:fill on="f" focussize="0,0"/>
                  <v:stroke on="f" joinstyle="miter"/>
                  <v:imagedata r:id="rId127" o:title=""/>
                  <o:lock v:ext="edit" aspectratio="t"/>
                  <w10:wrap type="none"/>
                  <w10:anchorlock/>
                </v:shape>
                <o:OLEObject Type="Embed" ProgID="Equation.DSMT4" ShapeID="_x0000_i1085" DrawAspect="Content" ObjectID="_1468075785" r:id="rId126">
                  <o:LockedField>false</o:LockedField>
                </o:OLEObject>
              </w:object>
            </w:r>
            <w:r>
              <w:rPr>
                <w:color w:val="auto"/>
                <w:sz w:val="18"/>
                <w:szCs w:val="18"/>
              </w:rPr>
              <w:t>≥10%的粉土</w:t>
            </w:r>
          </w:p>
          <w:p w14:paraId="25E230B2">
            <w:pPr>
              <w:adjustRightInd w:val="0"/>
              <w:snapToGrid w:val="0"/>
              <w:rPr>
                <w:color w:val="auto"/>
                <w:sz w:val="18"/>
                <w:szCs w:val="18"/>
              </w:rPr>
            </w:pPr>
            <w:r>
              <w:rPr>
                <w:color w:val="auto"/>
                <w:sz w:val="18"/>
                <w:szCs w:val="18"/>
              </w:rPr>
              <w:t>最大干密度大于2.1</w:t>
            </w:r>
            <w:r>
              <w:rPr>
                <w:iCs/>
                <w:color w:val="auto"/>
                <w:sz w:val="18"/>
                <w:szCs w:val="18"/>
              </w:rPr>
              <w:t>t/m</w:t>
            </w:r>
            <w:r>
              <w:rPr>
                <w:iCs/>
                <w:color w:val="auto"/>
                <w:sz w:val="18"/>
                <w:szCs w:val="18"/>
                <w:vertAlign w:val="superscript"/>
              </w:rPr>
              <w:t>3</w:t>
            </w:r>
            <w:r>
              <w:rPr>
                <w:color w:val="auto"/>
                <w:sz w:val="18"/>
                <w:szCs w:val="18"/>
              </w:rPr>
              <w:t>的级配砂石</w:t>
            </w:r>
          </w:p>
        </w:tc>
        <w:tc>
          <w:tcPr>
            <w:tcW w:w="1461" w:type="dxa"/>
            <w:vAlign w:val="center"/>
          </w:tcPr>
          <w:p w14:paraId="5C2911B2">
            <w:pPr>
              <w:adjustRightInd w:val="0"/>
              <w:snapToGrid w:val="0"/>
              <w:jc w:val="center"/>
              <w:rPr>
                <w:color w:val="auto"/>
                <w:sz w:val="18"/>
                <w:szCs w:val="18"/>
              </w:rPr>
            </w:pPr>
            <w:r>
              <w:rPr>
                <w:color w:val="auto"/>
                <w:sz w:val="18"/>
                <w:szCs w:val="18"/>
              </w:rPr>
              <w:t>0</w:t>
            </w:r>
          </w:p>
          <w:p w14:paraId="448183B0">
            <w:pPr>
              <w:adjustRightInd w:val="0"/>
              <w:snapToGrid w:val="0"/>
              <w:jc w:val="center"/>
              <w:rPr>
                <w:color w:val="auto"/>
                <w:sz w:val="18"/>
                <w:szCs w:val="18"/>
              </w:rPr>
            </w:pPr>
            <w:r>
              <w:rPr>
                <w:color w:val="auto"/>
                <w:sz w:val="18"/>
                <w:szCs w:val="18"/>
              </w:rPr>
              <w:t>0</w:t>
            </w:r>
          </w:p>
        </w:tc>
        <w:tc>
          <w:tcPr>
            <w:tcW w:w="1382" w:type="dxa"/>
            <w:vAlign w:val="center"/>
          </w:tcPr>
          <w:p w14:paraId="564C05B5">
            <w:pPr>
              <w:adjustRightInd w:val="0"/>
              <w:snapToGrid w:val="0"/>
              <w:jc w:val="center"/>
              <w:rPr>
                <w:color w:val="auto"/>
                <w:sz w:val="18"/>
                <w:szCs w:val="18"/>
              </w:rPr>
            </w:pPr>
            <w:r>
              <w:rPr>
                <w:color w:val="auto"/>
                <w:sz w:val="18"/>
                <w:szCs w:val="18"/>
              </w:rPr>
              <w:t>1.5</w:t>
            </w:r>
          </w:p>
          <w:p w14:paraId="0F0FCA5D">
            <w:pPr>
              <w:adjustRightInd w:val="0"/>
              <w:snapToGrid w:val="0"/>
              <w:jc w:val="center"/>
              <w:rPr>
                <w:color w:val="auto"/>
                <w:sz w:val="18"/>
                <w:szCs w:val="18"/>
              </w:rPr>
            </w:pPr>
            <w:r>
              <w:rPr>
                <w:color w:val="auto"/>
                <w:sz w:val="18"/>
                <w:szCs w:val="18"/>
              </w:rPr>
              <w:t>2.0</w:t>
            </w:r>
          </w:p>
        </w:tc>
      </w:tr>
      <w:tr w14:paraId="2F0CC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1646" w:type="dxa"/>
            <w:vAlign w:val="center"/>
          </w:tcPr>
          <w:p w14:paraId="563DEABD">
            <w:pPr>
              <w:adjustRightInd w:val="0"/>
              <w:snapToGrid w:val="0"/>
              <w:rPr>
                <w:color w:val="auto"/>
                <w:sz w:val="18"/>
                <w:szCs w:val="18"/>
              </w:rPr>
            </w:pPr>
            <w:r>
              <w:rPr>
                <w:color w:val="auto"/>
                <w:sz w:val="18"/>
                <w:szCs w:val="18"/>
              </w:rPr>
              <w:t>粉土</w:t>
            </w:r>
          </w:p>
        </w:tc>
        <w:tc>
          <w:tcPr>
            <w:tcW w:w="4689" w:type="dxa"/>
            <w:vAlign w:val="center"/>
          </w:tcPr>
          <w:p w14:paraId="5F5AD292">
            <w:pPr>
              <w:adjustRightInd w:val="0"/>
              <w:snapToGrid w:val="0"/>
              <w:rPr>
                <w:color w:val="auto"/>
                <w:sz w:val="18"/>
                <w:szCs w:val="18"/>
              </w:rPr>
            </w:pPr>
            <w:r>
              <w:rPr>
                <w:color w:val="auto"/>
                <w:sz w:val="18"/>
                <w:szCs w:val="18"/>
              </w:rPr>
              <w:t>黏粒含量</w:t>
            </w:r>
            <w:r>
              <w:rPr>
                <w:color w:val="auto"/>
                <w:position w:val="-12"/>
                <w:sz w:val="18"/>
                <w:szCs w:val="18"/>
              </w:rPr>
              <w:object>
                <v:shape id="_x0000_i1086" o:spt="75" type="#_x0000_t75" style="height:18pt;width:12pt;" o:ole="t" filled="f" o:preferrelative="t" stroked="f" coordsize="21600,21600">
                  <v:path/>
                  <v:fill on="f" focussize="0,0"/>
                  <v:stroke on="f" joinstyle="miter"/>
                  <v:imagedata r:id="rId127" o:title=""/>
                  <o:lock v:ext="edit" aspectratio="t"/>
                  <w10:wrap type="none"/>
                  <w10:anchorlock/>
                </v:shape>
                <o:OLEObject Type="Embed" ProgID="Equation.DSMT4" ShapeID="_x0000_i1086" DrawAspect="Content" ObjectID="_1468075786" r:id="rId128">
                  <o:LockedField>false</o:LockedField>
                </o:OLEObject>
              </w:object>
            </w:r>
            <w:r>
              <w:rPr>
                <w:color w:val="auto"/>
                <w:sz w:val="18"/>
                <w:szCs w:val="18"/>
              </w:rPr>
              <w:t>≥10%的粉土</w:t>
            </w:r>
          </w:p>
          <w:p w14:paraId="445452CD">
            <w:pPr>
              <w:adjustRightInd w:val="0"/>
              <w:snapToGrid w:val="0"/>
              <w:spacing w:line="240" w:lineRule="atLeast"/>
              <w:rPr>
                <w:color w:val="auto"/>
                <w:sz w:val="18"/>
                <w:szCs w:val="18"/>
              </w:rPr>
            </w:pPr>
            <w:r>
              <w:rPr>
                <w:color w:val="auto"/>
                <w:sz w:val="18"/>
                <w:szCs w:val="18"/>
              </w:rPr>
              <w:t>黏粒含量</w:t>
            </w:r>
            <w:r>
              <w:rPr>
                <w:color w:val="auto"/>
                <w:position w:val="-12"/>
                <w:sz w:val="18"/>
                <w:szCs w:val="18"/>
              </w:rPr>
              <w:object>
                <v:shape id="_x0000_i1087" o:spt="75" type="#_x0000_t75" style="height:18pt;width:12pt;" o:ole="t" filled="f" o:preferrelative="t" stroked="f" coordsize="21600,21600">
                  <v:path/>
                  <v:fill on="f" focussize="0,0"/>
                  <v:stroke on="f" joinstyle="miter"/>
                  <v:imagedata r:id="rId127" o:title=""/>
                  <o:lock v:ext="edit" aspectratio="t"/>
                  <w10:wrap type="none"/>
                  <w10:anchorlock/>
                </v:shape>
                <o:OLEObject Type="Embed" ProgID="Equation.DSMT4" ShapeID="_x0000_i1087" DrawAspect="Content" ObjectID="_1468075787" r:id="rId129">
                  <o:LockedField>false</o:LockedField>
                </o:OLEObject>
              </w:object>
            </w:r>
            <w:r>
              <w:rPr>
                <w:color w:val="auto"/>
                <w:sz w:val="18"/>
                <w:szCs w:val="18"/>
              </w:rPr>
              <w:t>＜10%的粉土</w:t>
            </w:r>
          </w:p>
        </w:tc>
        <w:tc>
          <w:tcPr>
            <w:tcW w:w="1461" w:type="dxa"/>
            <w:vAlign w:val="center"/>
          </w:tcPr>
          <w:p w14:paraId="09C45DC5">
            <w:pPr>
              <w:adjustRightInd w:val="0"/>
              <w:snapToGrid w:val="0"/>
              <w:jc w:val="center"/>
              <w:rPr>
                <w:color w:val="auto"/>
                <w:sz w:val="18"/>
                <w:szCs w:val="18"/>
              </w:rPr>
            </w:pPr>
            <w:r>
              <w:rPr>
                <w:color w:val="auto"/>
                <w:sz w:val="18"/>
                <w:szCs w:val="18"/>
              </w:rPr>
              <w:t>0.3</w:t>
            </w:r>
          </w:p>
          <w:p w14:paraId="5ADD51A8">
            <w:pPr>
              <w:adjustRightInd w:val="0"/>
              <w:snapToGrid w:val="0"/>
              <w:jc w:val="center"/>
              <w:rPr>
                <w:color w:val="auto"/>
                <w:sz w:val="18"/>
                <w:szCs w:val="18"/>
              </w:rPr>
            </w:pPr>
            <w:r>
              <w:rPr>
                <w:color w:val="auto"/>
                <w:sz w:val="18"/>
                <w:szCs w:val="18"/>
              </w:rPr>
              <w:t>0.5</w:t>
            </w:r>
          </w:p>
        </w:tc>
        <w:tc>
          <w:tcPr>
            <w:tcW w:w="1382" w:type="dxa"/>
            <w:vAlign w:val="center"/>
          </w:tcPr>
          <w:p w14:paraId="0EBD8FD3">
            <w:pPr>
              <w:adjustRightInd w:val="0"/>
              <w:snapToGrid w:val="0"/>
              <w:jc w:val="center"/>
              <w:rPr>
                <w:color w:val="auto"/>
                <w:sz w:val="18"/>
                <w:szCs w:val="18"/>
              </w:rPr>
            </w:pPr>
            <w:r>
              <w:rPr>
                <w:color w:val="auto"/>
                <w:sz w:val="18"/>
                <w:szCs w:val="18"/>
              </w:rPr>
              <w:t>1.5</w:t>
            </w:r>
          </w:p>
          <w:p w14:paraId="1ACC71A6">
            <w:pPr>
              <w:adjustRightInd w:val="0"/>
              <w:snapToGrid w:val="0"/>
              <w:jc w:val="center"/>
              <w:rPr>
                <w:color w:val="auto"/>
                <w:sz w:val="18"/>
                <w:szCs w:val="18"/>
              </w:rPr>
            </w:pPr>
            <w:r>
              <w:rPr>
                <w:color w:val="auto"/>
                <w:sz w:val="18"/>
                <w:szCs w:val="18"/>
              </w:rPr>
              <w:t>2.0</w:t>
            </w:r>
          </w:p>
        </w:tc>
      </w:tr>
      <w:tr w14:paraId="467C9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6335" w:type="dxa"/>
            <w:gridSpan w:val="2"/>
            <w:vAlign w:val="center"/>
          </w:tcPr>
          <w:p w14:paraId="7EDDC89B">
            <w:pPr>
              <w:adjustRightInd w:val="0"/>
              <w:snapToGrid w:val="0"/>
              <w:spacing w:line="240" w:lineRule="atLeast"/>
              <w:rPr>
                <w:color w:val="auto"/>
                <w:sz w:val="18"/>
                <w:szCs w:val="18"/>
              </w:rPr>
            </w:pPr>
            <w:r>
              <w:rPr>
                <w:color w:val="auto"/>
                <w:sz w:val="18"/>
                <w:szCs w:val="18"/>
              </w:rPr>
              <w:t>粉砂、细砂</w:t>
            </w:r>
            <w:r>
              <w:rPr>
                <w:rFonts w:hint="eastAsia"/>
                <w:color w:val="auto"/>
                <w:sz w:val="18"/>
                <w:szCs w:val="18"/>
              </w:rPr>
              <w:t>（</w:t>
            </w:r>
            <w:r>
              <w:rPr>
                <w:color w:val="auto"/>
                <w:sz w:val="18"/>
                <w:szCs w:val="18"/>
              </w:rPr>
              <w:t>不包括很湿与饱和时的松散及稍密状态</w:t>
            </w:r>
            <w:r>
              <w:rPr>
                <w:rFonts w:hint="eastAsia"/>
                <w:color w:val="auto"/>
                <w:sz w:val="18"/>
                <w:szCs w:val="18"/>
              </w:rPr>
              <w:t>）</w:t>
            </w:r>
          </w:p>
          <w:p w14:paraId="03791BAF">
            <w:pPr>
              <w:adjustRightInd w:val="0"/>
              <w:snapToGrid w:val="0"/>
              <w:rPr>
                <w:color w:val="auto"/>
                <w:sz w:val="18"/>
                <w:szCs w:val="18"/>
              </w:rPr>
            </w:pPr>
            <w:r>
              <w:rPr>
                <w:color w:val="auto"/>
                <w:sz w:val="18"/>
                <w:szCs w:val="18"/>
              </w:rPr>
              <w:t>中砂、粗砂、砾砂和碎石土</w:t>
            </w:r>
          </w:p>
        </w:tc>
        <w:tc>
          <w:tcPr>
            <w:tcW w:w="1461" w:type="dxa"/>
            <w:vAlign w:val="center"/>
          </w:tcPr>
          <w:p w14:paraId="1A42ED78">
            <w:pPr>
              <w:adjustRightInd w:val="0"/>
              <w:snapToGrid w:val="0"/>
              <w:jc w:val="center"/>
              <w:rPr>
                <w:color w:val="auto"/>
                <w:sz w:val="18"/>
                <w:szCs w:val="18"/>
              </w:rPr>
            </w:pPr>
            <w:r>
              <w:rPr>
                <w:color w:val="auto"/>
                <w:sz w:val="18"/>
                <w:szCs w:val="18"/>
              </w:rPr>
              <w:t>2.0</w:t>
            </w:r>
          </w:p>
          <w:p w14:paraId="355EE675">
            <w:pPr>
              <w:adjustRightInd w:val="0"/>
              <w:snapToGrid w:val="0"/>
              <w:jc w:val="center"/>
              <w:rPr>
                <w:color w:val="auto"/>
                <w:sz w:val="18"/>
                <w:szCs w:val="18"/>
              </w:rPr>
            </w:pPr>
            <w:r>
              <w:rPr>
                <w:color w:val="auto"/>
                <w:sz w:val="18"/>
                <w:szCs w:val="18"/>
              </w:rPr>
              <w:t>3.0</w:t>
            </w:r>
          </w:p>
        </w:tc>
        <w:tc>
          <w:tcPr>
            <w:tcW w:w="1382" w:type="dxa"/>
            <w:vAlign w:val="center"/>
          </w:tcPr>
          <w:p w14:paraId="0BFB42E8">
            <w:pPr>
              <w:adjustRightInd w:val="0"/>
              <w:snapToGrid w:val="0"/>
              <w:jc w:val="center"/>
              <w:rPr>
                <w:color w:val="auto"/>
                <w:sz w:val="18"/>
                <w:szCs w:val="18"/>
              </w:rPr>
            </w:pPr>
            <w:r>
              <w:rPr>
                <w:color w:val="auto"/>
                <w:sz w:val="18"/>
                <w:szCs w:val="18"/>
              </w:rPr>
              <w:t>3.0</w:t>
            </w:r>
          </w:p>
          <w:p w14:paraId="1189E151">
            <w:pPr>
              <w:adjustRightInd w:val="0"/>
              <w:snapToGrid w:val="0"/>
              <w:jc w:val="center"/>
              <w:rPr>
                <w:color w:val="auto"/>
                <w:sz w:val="18"/>
                <w:szCs w:val="18"/>
              </w:rPr>
            </w:pPr>
            <w:r>
              <w:rPr>
                <w:color w:val="auto"/>
                <w:sz w:val="18"/>
                <w:szCs w:val="18"/>
              </w:rPr>
              <w:t>4.4</w:t>
            </w:r>
          </w:p>
        </w:tc>
      </w:tr>
      <w:tr w14:paraId="39A089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3" w:hRule="atLeast"/>
          <w:jc w:val="center"/>
        </w:trPr>
        <w:tc>
          <w:tcPr>
            <w:tcW w:w="9178" w:type="dxa"/>
            <w:gridSpan w:val="4"/>
            <w:vAlign w:val="center"/>
          </w:tcPr>
          <w:p w14:paraId="6462F083">
            <w:pPr>
              <w:pStyle w:val="20"/>
              <w:adjustRightInd w:val="0"/>
              <w:snapToGrid w:val="0"/>
              <w:ind w:left="0" w:leftChars="0"/>
              <w:rPr>
                <w:color w:val="auto"/>
                <w:sz w:val="18"/>
                <w:szCs w:val="18"/>
              </w:rPr>
            </w:pPr>
            <w:r>
              <w:rPr>
                <w:color w:val="auto"/>
                <w:sz w:val="18"/>
                <w:szCs w:val="18"/>
              </w:rPr>
              <w:t>注</w:t>
            </w:r>
            <w:r>
              <w:rPr>
                <w:bCs/>
                <w:color w:val="auto"/>
                <w:sz w:val="18"/>
                <w:szCs w:val="18"/>
              </w:rPr>
              <w:t>1</w:t>
            </w:r>
            <w:r>
              <w:rPr>
                <w:color w:val="auto"/>
                <w:sz w:val="18"/>
                <w:szCs w:val="18"/>
              </w:rPr>
              <w:t>：土的</w:t>
            </w:r>
            <w:r>
              <w:rPr>
                <w:i/>
                <w:color w:val="auto"/>
                <w:sz w:val="18"/>
                <w:szCs w:val="18"/>
              </w:rPr>
              <w:t>I</w:t>
            </w:r>
            <w:r>
              <w:rPr>
                <w:color w:val="auto"/>
                <w:sz w:val="18"/>
                <w:szCs w:val="18"/>
                <w:vertAlign w:val="subscript"/>
              </w:rPr>
              <w:t>L</w:t>
            </w:r>
            <w:r>
              <w:rPr>
                <w:color w:val="auto"/>
                <w:sz w:val="18"/>
                <w:szCs w:val="18"/>
              </w:rPr>
              <w:t>介于0.25与1.0之间时可插值确定</w:t>
            </w:r>
            <w:r>
              <w:rPr>
                <w:i/>
                <w:color w:val="auto"/>
                <w:position w:val="-12"/>
                <w:sz w:val="18"/>
                <w:szCs w:val="18"/>
              </w:rPr>
              <w:object>
                <v:shape id="_x0000_i1088" o:spt="75" type="#_x0000_t75" style="height:18pt;width:11.25pt;" o:ole="t" filled="f" o:preferrelative="t" stroked="f" coordsize="21600,21600">
                  <v:path/>
                  <v:fill on="f" focussize="0,0"/>
                  <v:stroke on="f" joinstyle="miter"/>
                  <v:imagedata r:id="rId120" o:title=""/>
                  <o:lock v:ext="edit" aspectratio="t"/>
                  <w10:wrap type="none"/>
                  <w10:anchorlock/>
                </v:shape>
                <o:OLEObject Type="Embed" ProgID="Equation.DSMT4" ShapeID="_x0000_i1088" DrawAspect="Content" ObjectID="_1468075788" r:id="rId130">
                  <o:LockedField>false</o:LockedField>
                </o:OLEObject>
              </w:object>
            </w:r>
            <w:r>
              <w:rPr>
                <w:color w:val="auto"/>
                <w:sz w:val="18"/>
                <w:szCs w:val="18"/>
              </w:rPr>
              <w:t>、</w:t>
            </w:r>
            <w:r>
              <w:rPr>
                <w:i/>
                <w:color w:val="auto"/>
                <w:position w:val="-12"/>
                <w:sz w:val="18"/>
                <w:szCs w:val="18"/>
              </w:rPr>
              <w:object>
                <v:shape id="_x0000_i1089" o:spt="75" type="#_x0000_t75" style="height:18pt;width:12pt;" o:ole="t" filled="f" o:preferrelative="t" stroked="f" coordsize="21600,21600">
                  <v:path/>
                  <v:fill on="f" focussize="0,0"/>
                  <v:stroke on="f" joinstyle="miter"/>
                  <v:imagedata r:id="rId122" o:title=""/>
                  <o:lock v:ext="edit" aspectratio="t"/>
                  <w10:wrap type="none"/>
                  <w10:anchorlock/>
                </v:shape>
                <o:OLEObject Type="Embed" ProgID="Equation.DSMT4" ShapeID="_x0000_i1089" DrawAspect="Content" ObjectID="_1468075789" r:id="rId131">
                  <o:LockedField>false</o:LockedField>
                </o:OLEObject>
              </w:object>
            </w:r>
            <w:r>
              <w:rPr>
                <w:color w:val="auto"/>
                <w:sz w:val="18"/>
                <w:szCs w:val="18"/>
              </w:rPr>
              <w:t>；</w:t>
            </w:r>
          </w:p>
          <w:p w14:paraId="53883F6C">
            <w:pPr>
              <w:adjustRightInd w:val="0"/>
              <w:snapToGrid w:val="0"/>
              <w:rPr>
                <w:color w:val="auto"/>
                <w:sz w:val="18"/>
                <w:szCs w:val="18"/>
              </w:rPr>
            </w:pPr>
            <w:r>
              <w:rPr>
                <w:bCs/>
                <w:color w:val="auto"/>
                <w:sz w:val="18"/>
                <w:szCs w:val="18"/>
              </w:rPr>
              <w:t>注2：</w:t>
            </w:r>
            <w:r>
              <w:rPr>
                <w:color w:val="auto"/>
                <w:sz w:val="18"/>
                <w:szCs w:val="18"/>
              </w:rPr>
              <w:t>强风化的岩石，可参照所风化成的相应土类取值，其他状态下的岩石不修正；</w:t>
            </w:r>
          </w:p>
          <w:p w14:paraId="5E1996B5">
            <w:pPr>
              <w:adjustRightInd w:val="0"/>
              <w:snapToGrid w:val="0"/>
              <w:rPr>
                <w:color w:val="auto"/>
                <w:sz w:val="18"/>
                <w:szCs w:val="18"/>
              </w:rPr>
            </w:pPr>
            <w:r>
              <w:rPr>
                <w:bCs/>
                <w:color w:val="auto"/>
                <w:sz w:val="18"/>
                <w:szCs w:val="18"/>
              </w:rPr>
              <w:t>注3：</w:t>
            </w:r>
            <w:r>
              <w:rPr>
                <w:color w:val="auto"/>
                <w:sz w:val="18"/>
                <w:szCs w:val="18"/>
              </w:rPr>
              <w:t>地基承载力按深层平板载荷试验确定时不进行深度修正；</w:t>
            </w:r>
          </w:p>
          <w:p w14:paraId="619FA813">
            <w:pPr>
              <w:adjustRightInd w:val="0"/>
              <w:snapToGrid w:val="0"/>
              <w:rPr>
                <w:color w:val="auto"/>
                <w:sz w:val="18"/>
                <w:szCs w:val="18"/>
              </w:rPr>
            </w:pPr>
            <w:r>
              <w:rPr>
                <w:color w:val="auto"/>
                <w:sz w:val="18"/>
                <w:szCs w:val="18"/>
              </w:rPr>
              <w:t>注4：大面积压实填土是指填土范围大于两倍基础宽度的填土；</w:t>
            </w:r>
          </w:p>
          <w:p w14:paraId="057DC34A">
            <w:pPr>
              <w:adjustRightInd w:val="0"/>
              <w:snapToGrid w:val="0"/>
              <w:rPr>
                <w:color w:val="auto"/>
                <w:sz w:val="18"/>
                <w:szCs w:val="18"/>
              </w:rPr>
            </w:pPr>
            <w:r>
              <w:rPr>
                <w:color w:val="auto"/>
                <w:sz w:val="18"/>
                <w:szCs w:val="18"/>
              </w:rPr>
              <w:t>注5：膨胀土深度修正应符合本文件第11.1.8条的规定；</w:t>
            </w:r>
          </w:p>
          <w:p w14:paraId="53C3B979">
            <w:pPr>
              <w:adjustRightInd w:val="0"/>
              <w:snapToGrid w:val="0"/>
              <w:rPr>
                <w:color w:val="auto"/>
                <w:sz w:val="18"/>
                <w:szCs w:val="18"/>
              </w:rPr>
            </w:pPr>
            <w:r>
              <w:rPr>
                <w:color w:val="auto"/>
                <w:sz w:val="18"/>
                <w:szCs w:val="18"/>
              </w:rPr>
              <w:t>注6：含水比是指天然含水率与液限的比值。</w:t>
            </w:r>
          </w:p>
        </w:tc>
      </w:tr>
    </w:tbl>
    <w:p w14:paraId="37BBEC4A">
      <w:pPr>
        <w:adjustRightInd w:val="0"/>
        <w:snapToGrid w:val="0"/>
        <w:spacing w:before="156" w:beforeLines="50" w:line="340" w:lineRule="exact"/>
        <w:rPr>
          <w:color w:val="auto"/>
          <w:szCs w:val="21"/>
        </w:rPr>
      </w:pPr>
      <w:r>
        <w:rPr>
          <w:b/>
          <w:bCs/>
          <w:color w:val="auto"/>
          <w:szCs w:val="21"/>
        </w:rPr>
        <w:t>7.2.6</w:t>
      </w:r>
      <w:r>
        <w:rPr>
          <w:color w:val="auto"/>
          <w:szCs w:val="21"/>
        </w:rPr>
        <w:t xml:space="preserve">  岩石地基承载力特征值可用岩基载荷试验并结合本文件附录表E.1综合确定。对完整、较完整和较破碎的岩石可按</w:t>
      </w:r>
      <w:r>
        <w:rPr>
          <w:rFonts w:hint="eastAsia"/>
          <w:color w:val="auto"/>
          <w:lang w:val="en-US" w:eastAsia="zh-CN"/>
        </w:rPr>
        <w:t>公式（17）</w:t>
      </w:r>
      <w:r>
        <w:rPr>
          <w:color w:val="auto"/>
          <w:szCs w:val="21"/>
        </w:rPr>
        <w:t>计算：</w:t>
      </w:r>
    </w:p>
    <w:p w14:paraId="2B0FE061">
      <w:pPr>
        <w:pStyle w:val="12"/>
        <w:jc w:val="right"/>
        <w:rPr>
          <w:color w:val="auto"/>
          <w:szCs w:val="21"/>
        </w:rPr>
      </w:pPr>
      <w:r>
        <w:rPr>
          <w:color w:val="auto"/>
          <w:position w:val="-12"/>
          <w:szCs w:val="21"/>
        </w:rPr>
        <w:object>
          <v:shape id="_x0000_i1090" o:spt="75" type="#_x0000_t75" style="height:18pt;width:48pt;" o:ole="t" filled="f" o:preferrelative="t" stroked="f" coordsize="21600,21600">
            <v:path/>
            <v:fill on="f" focussize="0,0"/>
            <v:stroke on="f" joinstyle="miter"/>
            <v:imagedata r:id="rId133" o:title=""/>
            <o:lock v:ext="edit" aspectratio="t"/>
            <w10:wrap type="none"/>
            <w10:anchorlock/>
          </v:shape>
          <o:OLEObject Type="Embed" ProgID="Equation.DSMT4" ShapeID="_x0000_i1090" DrawAspect="Content" ObjectID="_1468075790" r:id="rId13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17</w:t>
      </w:r>
      <w:r>
        <w:rPr>
          <w:color w:val="auto"/>
          <w:szCs w:val="21"/>
        </w:rPr>
        <w:fldChar w:fldCharType="end"/>
      </w:r>
      <w:r>
        <w:rPr>
          <w:color w:val="auto"/>
          <w:szCs w:val="21"/>
        </w:rPr>
        <w:t>)</w:t>
      </w:r>
    </w:p>
    <w:p w14:paraId="3BA810A2">
      <w:pPr>
        <w:adjustRightInd w:val="0"/>
        <w:snapToGrid w:val="0"/>
        <w:spacing w:before="93" w:beforeLines="30" w:line="380" w:lineRule="atLeast"/>
        <w:rPr>
          <w:color w:val="auto"/>
          <w:szCs w:val="21"/>
        </w:rPr>
      </w:pPr>
      <w:r>
        <w:rPr>
          <w:color w:val="auto"/>
          <w:szCs w:val="21"/>
        </w:rPr>
        <w:t xml:space="preserve">式中  </w:t>
      </w:r>
      <w:r>
        <w:rPr>
          <w:color w:val="auto"/>
          <w:position w:val="-12"/>
          <w:szCs w:val="21"/>
        </w:rPr>
        <w:object>
          <v:shape id="_x0000_i1091" o:spt="75" type="#_x0000_t75" style="height:18pt;width:12.75pt;" o:ole="t" filled="f" o:preferrelative="t" stroked="f" coordsize="21600,21600">
            <v:path/>
            <v:fill on="f" focussize="0,0"/>
            <v:stroke on="f" joinstyle="miter"/>
            <v:imagedata r:id="rId135" o:title=""/>
            <o:lock v:ext="edit" aspectratio="t"/>
            <w10:wrap type="none"/>
            <w10:anchorlock/>
          </v:shape>
          <o:OLEObject Type="Embed" ProgID="Equation.DSMT4" ShapeID="_x0000_i1091" DrawAspect="Content" ObjectID="_1468075791" r:id="rId134">
            <o:LockedField>false</o:LockedField>
          </o:OLEObject>
        </w:object>
      </w:r>
      <w:r>
        <w:rPr>
          <w:color w:val="auto"/>
          <w:szCs w:val="21"/>
        </w:rPr>
        <w:t>——岩石地基承载力特征值</w:t>
      </w:r>
      <w:r>
        <w:rPr>
          <w:rFonts w:hint="eastAsia"/>
          <w:color w:val="auto"/>
          <w:szCs w:val="21"/>
        </w:rPr>
        <w:t>（</w:t>
      </w:r>
      <w:r>
        <w:rPr>
          <w:color w:val="auto"/>
          <w:szCs w:val="21"/>
        </w:rPr>
        <w:t>kPa）；</w:t>
      </w:r>
    </w:p>
    <w:p w14:paraId="01814087">
      <w:pPr>
        <w:adjustRightInd w:val="0"/>
        <w:snapToGrid w:val="0"/>
        <w:spacing w:line="380" w:lineRule="atLeast"/>
        <w:ind w:firstLine="588" w:firstLineChars="280"/>
        <w:rPr>
          <w:color w:val="auto"/>
          <w:szCs w:val="21"/>
        </w:rPr>
      </w:pPr>
      <w:r>
        <w:rPr>
          <w:i/>
          <w:color w:val="auto"/>
          <w:position w:val="-12"/>
          <w:szCs w:val="21"/>
        </w:rPr>
        <w:object>
          <v:shape id="_x0000_i1092" o:spt="75" type="#_x0000_t75" style="height:18pt;width:16.5pt;" o:ole="t" filled="f" o:preferrelative="t" stroked="f" coordsize="21600,21600">
            <v:path/>
            <v:fill on="f" focussize="0,0"/>
            <v:stroke on="f" joinstyle="miter"/>
            <v:imagedata r:id="rId137" o:title=""/>
            <o:lock v:ext="edit" aspectratio="t"/>
            <w10:wrap type="none"/>
            <w10:anchorlock/>
          </v:shape>
          <o:OLEObject Type="Embed" ProgID="Equation.DSMT4" ShapeID="_x0000_i1092" DrawAspect="Content" ObjectID="_1468075792" r:id="rId136">
            <o:LockedField>false</o:LockedField>
          </o:OLEObject>
        </w:object>
      </w:r>
      <w:r>
        <w:rPr>
          <w:color w:val="auto"/>
          <w:szCs w:val="21"/>
        </w:rPr>
        <w:t>——岩石饱和单轴抗压强度标准值；</w:t>
      </w:r>
    </w:p>
    <w:p w14:paraId="5D2C63F9">
      <w:pPr>
        <w:adjustRightInd w:val="0"/>
        <w:snapToGrid w:val="0"/>
        <w:spacing w:line="380" w:lineRule="atLeast"/>
        <w:ind w:left="1314" w:leftChars="293" w:hanging="699" w:hangingChars="333"/>
        <w:rPr>
          <w:color w:val="auto"/>
          <w:szCs w:val="21"/>
        </w:rPr>
      </w:pPr>
      <w:r>
        <w:rPr>
          <w:i/>
          <w:color w:val="auto"/>
          <w:position w:val="-12"/>
          <w:szCs w:val="21"/>
        </w:rPr>
        <w:object>
          <v:shape id="_x0000_i1093" o:spt="75" type="#_x0000_t75" style="height:18pt;width:15pt;" o:ole="t" filled="f" o:preferrelative="t" stroked="f" coordsize="21600,21600">
            <v:path/>
            <v:fill on="f" focussize="0,0"/>
            <v:stroke on="f" joinstyle="miter"/>
            <v:imagedata r:id="rId139" o:title=""/>
            <o:lock v:ext="edit" aspectratio="t"/>
            <w10:wrap type="none"/>
            <w10:anchorlock/>
          </v:shape>
          <o:OLEObject Type="Embed" ProgID="Equation.DSMT4" ShapeID="_x0000_i1093" DrawAspect="Content" ObjectID="_1468075793" r:id="rId138">
            <o:LockedField>false</o:LockedField>
          </o:OLEObject>
        </w:object>
      </w:r>
      <w:r>
        <w:rPr>
          <w:color w:val="auto"/>
          <w:szCs w:val="21"/>
        </w:rPr>
        <w:t>——折减系数，根据地区经验确定。无经验时，对完整岩体可取0.5；对较完整岩体可取0.2～0.5；对较破碎岩体可取0.1～0.2。</w:t>
      </w:r>
    </w:p>
    <w:p w14:paraId="654E962B">
      <w:pPr>
        <w:adjustRightInd w:val="0"/>
        <w:snapToGrid w:val="0"/>
        <w:spacing w:line="380" w:lineRule="atLeast"/>
        <w:rPr>
          <w:color w:val="auto"/>
          <w:szCs w:val="21"/>
        </w:rPr>
      </w:pPr>
      <w:r>
        <w:rPr>
          <w:b/>
          <w:bCs/>
          <w:color w:val="auto"/>
          <w:szCs w:val="21"/>
        </w:rPr>
        <w:t>7.2.7</w:t>
      </w:r>
      <w:r>
        <w:rPr>
          <w:color w:val="auto"/>
          <w:szCs w:val="21"/>
        </w:rPr>
        <w:t xml:space="preserve">  当地基受力层范围内有软弱下卧层时，应按</w:t>
      </w:r>
      <w:r>
        <w:rPr>
          <w:rFonts w:hint="eastAsia"/>
          <w:color w:val="auto"/>
          <w:lang w:val="en-US" w:eastAsia="zh-CN"/>
        </w:rPr>
        <w:t>公式（18）</w:t>
      </w:r>
      <w:r>
        <w:rPr>
          <w:color w:val="auto"/>
          <w:szCs w:val="21"/>
        </w:rPr>
        <w:t>验算：</w:t>
      </w:r>
    </w:p>
    <w:p w14:paraId="0DF598EC">
      <w:pPr>
        <w:pStyle w:val="12"/>
        <w:jc w:val="right"/>
        <w:rPr>
          <w:color w:val="auto"/>
          <w:szCs w:val="21"/>
        </w:rPr>
      </w:pPr>
      <w:r>
        <w:rPr>
          <w:color w:val="auto"/>
          <w:position w:val="-12"/>
          <w:szCs w:val="21"/>
        </w:rPr>
        <w:object>
          <v:shape id="_x0000_i1094" o:spt="75" type="#_x0000_t75" style="height:18pt;width:39pt;" o:ole="t" filled="f" o:preferrelative="t" stroked="f" coordsize="21600,21600">
            <v:path/>
            <v:fill on="f" focussize="0,0"/>
            <v:stroke on="f" joinstyle="miter"/>
            <v:imagedata r:id="rId141" o:title=""/>
            <o:lock v:ext="edit" aspectratio="t"/>
            <w10:wrap type="none"/>
            <w10:anchorlock/>
          </v:shape>
          <o:OLEObject Type="Embed" ProgID="Equation.DSMT4" ShapeID="_x0000_i1094" DrawAspect="Content" ObjectID="_1468075794" r:id="rId140">
            <o:LockedField>false</o:LockedField>
          </o:OLEObject>
        </w:object>
      </w:r>
      <w:r>
        <w:rPr>
          <w:color w:val="auto"/>
          <w:szCs w:val="21"/>
        </w:rPr>
        <w:t>≤</w:t>
      </w:r>
      <w:r>
        <w:rPr>
          <w:color w:val="auto"/>
          <w:position w:val="-12"/>
          <w:szCs w:val="21"/>
        </w:rPr>
        <w:object>
          <v:shape id="_x0000_i1095" o:spt="75" type="#_x0000_t75" style="height:18pt;width:16.5pt;" o:ole="t" filled="f" o:preferrelative="t" stroked="f" coordsize="21600,21600">
            <v:path/>
            <v:fill on="f" focussize="0,0"/>
            <v:stroke on="f" joinstyle="miter"/>
            <v:imagedata r:id="rId143" o:title=""/>
            <o:lock v:ext="edit" aspectratio="t"/>
            <w10:wrap type="none"/>
            <w10:anchorlock/>
          </v:shape>
          <o:OLEObject Type="Embed" ProgID="Equation.DSMT4" ShapeID="_x0000_i1095" DrawAspect="Content" ObjectID="_1468075795" r:id="rId14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18</w:t>
      </w:r>
      <w:r>
        <w:rPr>
          <w:color w:val="auto"/>
          <w:szCs w:val="21"/>
        </w:rPr>
        <w:fldChar w:fldCharType="end"/>
      </w:r>
      <w:r>
        <w:rPr>
          <w:color w:val="auto"/>
          <w:szCs w:val="21"/>
        </w:rPr>
        <w:t>)</w:t>
      </w:r>
    </w:p>
    <w:p w14:paraId="6BB5F853">
      <w:pPr>
        <w:adjustRightInd w:val="0"/>
        <w:snapToGrid w:val="0"/>
        <w:spacing w:line="380" w:lineRule="atLeast"/>
        <w:ind w:left="1245" w:hanging="1245" w:hangingChars="593"/>
        <w:rPr>
          <w:color w:val="auto"/>
          <w:szCs w:val="21"/>
        </w:rPr>
      </w:pPr>
      <w:r>
        <w:rPr>
          <w:color w:val="auto"/>
          <w:szCs w:val="21"/>
        </w:rPr>
        <w:t xml:space="preserve">式中  </w:t>
      </w:r>
      <w:r>
        <w:rPr>
          <w:i/>
          <w:color w:val="auto"/>
          <w:szCs w:val="21"/>
        </w:rPr>
        <w:t>p</w:t>
      </w:r>
      <w:r>
        <w:rPr>
          <w:iCs/>
          <w:color w:val="auto"/>
          <w:szCs w:val="21"/>
          <w:vertAlign w:val="subscript"/>
        </w:rPr>
        <w:t>z</w:t>
      </w:r>
      <w:r>
        <w:rPr>
          <w:color w:val="auto"/>
          <w:szCs w:val="21"/>
        </w:rPr>
        <w:t>——相应于作用的标准组合时软弱下卧层顶面处的附加压力值；</w:t>
      </w:r>
    </w:p>
    <w:p w14:paraId="65A7E833">
      <w:pPr>
        <w:adjustRightInd w:val="0"/>
        <w:snapToGrid w:val="0"/>
        <w:spacing w:line="380" w:lineRule="atLeast"/>
        <w:ind w:firstLine="558" w:firstLineChars="266"/>
        <w:rPr>
          <w:color w:val="auto"/>
          <w:szCs w:val="21"/>
        </w:rPr>
      </w:pPr>
      <w:r>
        <w:rPr>
          <w:i/>
          <w:color w:val="auto"/>
          <w:szCs w:val="21"/>
        </w:rPr>
        <w:t>p</w:t>
      </w:r>
      <w:r>
        <w:rPr>
          <w:iCs/>
          <w:color w:val="auto"/>
          <w:szCs w:val="21"/>
          <w:vertAlign w:val="subscript"/>
        </w:rPr>
        <w:t>oz</w:t>
      </w:r>
      <w:r>
        <w:rPr>
          <w:color w:val="auto"/>
          <w:szCs w:val="21"/>
        </w:rPr>
        <w:t>——软弱下卧层顶面处土的自重压力值；</w:t>
      </w:r>
    </w:p>
    <w:p w14:paraId="074C7AF2">
      <w:pPr>
        <w:adjustRightInd w:val="0"/>
        <w:snapToGrid w:val="0"/>
        <w:spacing w:line="380" w:lineRule="atLeast"/>
        <w:ind w:left="1258" w:leftChars="287" w:hanging="655" w:hangingChars="312"/>
        <w:rPr>
          <w:color w:val="auto"/>
          <w:szCs w:val="21"/>
        </w:rPr>
      </w:pPr>
      <w:r>
        <w:rPr>
          <w:i/>
          <w:color w:val="auto"/>
          <w:szCs w:val="21"/>
        </w:rPr>
        <w:t>f</w:t>
      </w:r>
      <w:r>
        <w:rPr>
          <w:iCs/>
          <w:color w:val="auto"/>
          <w:szCs w:val="21"/>
          <w:vertAlign w:val="subscript"/>
        </w:rPr>
        <w:t>az</w:t>
      </w:r>
      <w:r>
        <w:rPr>
          <w:color w:val="auto"/>
          <w:szCs w:val="21"/>
        </w:rPr>
        <w:t>——</w:t>
      </w:r>
      <w:r>
        <w:rPr>
          <w:color w:val="auto"/>
          <w:spacing w:val="-4"/>
          <w:szCs w:val="21"/>
        </w:rPr>
        <w:t>软弱下卧层顶面处按抗剪强度指标计算或修正后的地基承载力特征值</w:t>
      </w:r>
      <w:r>
        <w:rPr>
          <w:color w:val="auto"/>
          <w:szCs w:val="21"/>
        </w:rPr>
        <w:t>。</w:t>
      </w:r>
    </w:p>
    <w:p w14:paraId="472C9D6B">
      <w:pPr>
        <w:adjustRightInd w:val="0"/>
        <w:snapToGrid w:val="0"/>
        <w:spacing w:line="380" w:lineRule="atLeast"/>
        <w:ind w:firstLine="420"/>
        <w:rPr>
          <w:color w:val="auto"/>
          <w:szCs w:val="21"/>
        </w:rPr>
      </w:pPr>
      <w:r>
        <w:rPr>
          <w:color w:val="auto"/>
          <w:szCs w:val="21"/>
        </w:rPr>
        <w:t>对条形和矩形基础，</w:t>
      </w:r>
      <w:r>
        <w:rPr>
          <w:i/>
          <w:color w:val="auto"/>
          <w:szCs w:val="21"/>
        </w:rPr>
        <w:t>p</w:t>
      </w:r>
      <w:r>
        <w:rPr>
          <w:iCs/>
          <w:color w:val="auto"/>
          <w:szCs w:val="21"/>
          <w:vertAlign w:val="subscript"/>
        </w:rPr>
        <w:t>z</w:t>
      </w:r>
      <w:r>
        <w:rPr>
          <w:color w:val="auto"/>
          <w:szCs w:val="21"/>
        </w:rPr>
        <w:t>值可按</w:t>
      </w:r>
      <w:r>
        <w:rPr>
          <w:rFonts w:hint="eastAsia"/>
          <w:color w:val="auto"/>
          <w:lang w:val="en-US" w:eastAsia="zh-CN"/>
        </w:rPr>
        <w:t>公式（19）~（20）</w:t>
      </w:r>
      <w:r>
        <w:rPr>
          <w:color w:val="auto"/>
          <w:szCs w:val="21"/>
        </w:rPr>
        <w:t>计算：</w:t>
      </w:r>
    </w:p>
    <w:p w14:paraId="0F692B9D">
      <w:pPr>
        <w:adjustRightInd w:val="0"/>
        <w:snapToGrid w:val="0"/>
        <w:spacing w:line="380" w:lineRule="atLeast"/>
        <w:ind w:firstLine="420"/>
        <w:rPr>
          <w:color w:val="auto"/>
          <w:szCs w:val="21"/>
        </w:rPr>
      </w:pPr>
      <w:r>
        <w:rPr>
          <w:color w:val="auto"/>
          <w:szCs w:val="21"/>
        </w:rPr>
        <w:t xml:space="preserve">    条形基础</w:t>
      </w:r>
    </w:p>
    <w:p w14:paraId="0CC82A51">
      <w:pPr>
        <w:pStyle w:val="12"/>
        <w:jc w:val="right"/>
        <w:rPr>
          <w:color w:val="auto"/>
          <w:szCs w:val="21"/>
        </w:rPr>
      </w:pPr>
      <w:r>
        <w:rPr>
          <w:i/>
          <w:color w:val="auto"/>
          <w:szCs w:val="21"/>
        </w:rPr>
        <w:t xml:space="preserve">            </w:t>
      </w:r>
      <w:r>
        <w:rPr>
          <w:i/>
          <w:color w:val="auto"/>
          <w:position w:val="-24"/>
          <w:szCs w:val="21"/>
        </w:rPr>
        <w:object>
          <v:shape id="_x0000_i1096" o:spt="75" type="#_x0000_t75" style="height:30.75pt;width:78.75pt;" o:ole="t" filled="f" o:preferrelative="t" stroked="f" coordsize="21600,21600">
            <v:path/>
            <v:fill on="f" focussize="0,0"/>
            <v:stroke on="f" joinstyle="miter"/>
            <v:imagedata r:id="rId145" o:title=""/>
            <o:lock v:ext="edit" aspectratio="t"/>
            <w10:wrap type="none"/>
            <w10:anchorlock/>
          </v:shape>
          <o:OLEObject Type="Embed" ProgID="Equation.DSMT4" ShapeID="_x0000_i1096" DrawAspect="Content" ObjectID="_1468075796" r:id="rId144">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19</w:t>
      </w:r>
      <w:r>
        <w:rPr>
          <w:color w:val="auto"/>
          <w:szCs w:val="21"/>
        </w:rPr>
        <w:fldChar w:fldCharType="end"/>
      </w:r>
      <w:r>
        <w:rPr>
          <w:color w:val="auto"/>
          <w:szCs w:val="21"/>
        </w:rPr>
        <w:t>)</w:t>
      </w:r>
    </w:p>
    <w:p w14:paraId="0401545F">
      <w:pPr>
        <w:adjustRightInd w:val="0"/>
        <w:snapToGrid w:val="0"/>
        <w:spacing w:line="360" w:lineRule="atLeast"/>
        <w:rPr>
          <w:color w:val="auto"/>
          <w:szCs w:val="21"/>
        </w:rPr>
      </w:pPr>
      <w:r>
        <w:rPr>
          <w:color w:val="auto"/>
          <w:szCs w:val="21"/>
        </w:rPr>
        <w:t xml:space="preserve">        矩形基础</w:t>
      </w:r>
    </w:p>
    <w:p w14:paraId="3DCA736A">
      <w:pPr>
        <w:pStyle w:val="12"/>
        <w:jc w:val="right"/>
        <w:rPr>
          <w:color w:val="auto"/>
          <w:szCs w:val="21"/>
        </w:rPr>
      </w:pPr>
      <w:r>
        <w:rPr>
          <w:color w:val="auto"/>
          <w:position w:val="-28"/>
          <w:szCs w:val="21"/>
        </w:rPr>
        <w:object>
          <v:shape id="_x0000_i1097" o:spt="75" type="#_x0000_t75" style="height:33pt;width:142.5pt;" o:ole="t" filled="f" o:preferrelative="t" stroked="f" coordsize="21600,21600">
            <v:path/>
            <v:fill on="f" focussize="0,0"/>
            <v:stroke on="f" joinstyle="miter"/>
            <v:imagedata r:id="rId147" o:title=""/>
            <o:lock v:ext="edit" aspectratio="t"/>
            <w10:wrap type="none"/>
            <w10:anchorlock/>
          </v:shape>
          <o:OLEObject Type="Embed" ProgID="Equation.DSMT4" ShapeID="_x0000_i1097" DrawAspect="Content" ObjectID="_1468075797" r:id="rId146">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20</w:t>
      </w:r>
      <w:r>
        <w:rPr>
          <w:color w:val="auto"/>
          <w:szCs w:val="21"/>
        </w:rPr>
        <w:fldChar w:fldCharType="end"/>
      </w:r>
      <w:r>
        <w:rPr>
          <w:color w:val="auto"/>
          <w:szCs w:val="21"/>
        </w:rPr>
        <w:t>)</w:t>
      </w:r>
    </w:p>
    <w:p w14:paraId="08056FCB">
      <w:pPr>
        <w:adjustRightInd w:val="0"/>
        <w:snapToGrid w:val="0"/>
        <w:spacing w:before="120" w:line="340" w:lineRule="exact"/>
        <w:rPr>
          <w:color w:val="auto"/>
          <w:szCs w:val="21"/>
        </w:rPr>
      </w:pPr>
      <w:r>
        <w:rPr>
          <w:color w:val="auto"/>
          <w:szCs w:val="21"/>
        </w:rPr>
        <w:t xml:space="preserve">式中  </w:t>
      </w:r>
      <w:r>
        <w:rPr>
          <w:i/>
          <w:color w:val="auto"/>
          <w:szCs w:val="21"/>
        </w:rPr>
        <w:t>b</w:t>
      </w:r>
      <w:r>
        <w:rPr>
          <w:color w:val="auto"/>
          <w:szCs w:val="21"/>
        </w:rPr>
        <w:t>——条形基础或矩形基础底边的宽度（m）；</w:t>
      </w:r>
    </w:p>
    <w:p w14:paraId="249116B2">
      <w:pPr>
        <w:adjustRightInd w:val="0"/>
        <w:snapToGrid w:val="0"/>
        <w:spacing w:line="340" w:lineRule="exact"/>
        <w:ind w:firstLine="672" w:firstLineChars="320"/>
        <w:rPr>
          <w:color w:val="auto"/>
          <w:szCs w:val="21"/>
        </w:rPr>
      </w:pPr>
      <w:r>
        <w:rPr>
          <w:i/>
          <w:color w:val="auto"/>
          <w:szCs w:val="21"/>
        </w:rPr>
        <w:t>l</w:t>
      </w:r>
      <w:r>
        <w:rPr>
          <w:color w:val="auto"/>
          <w:szCs w:val="21"/>
        </w:rPr>
        <w:t>——矩形基础底边的长度（m）；</w:t>
      </w:r>
    </w:p>
    <w:p w14:paraId="70760C51">
      <w:pPr>
        <w:adjustRightInd w:val="0"/>
        <w:snapToGrid w:val="0"/>
        <w:spacing w:line="340" w:lineRule="exact"/>
        <w:ind w:firstLine="539" w:firstLineChars="257"/>
        <w:rPr>
          <w:color w:val="auto"/>
          <w:szCs w:val="21"/>
        </w:rPr>
      </w:pPr>
      <w:r>
        <w:rPr>
          <w:i/>
          <w:color w:val="auto"/>
          <w:szCs w:val="21"/>
        </w:rPr>
        <w:t>p</w:t>
      </w:r>
      <w:r>
        <w:rPr>
          <w:iCs/>
          <w:color w:val="auto"/>
          <w:szCs w:val="21"/>
          <w:vertAlign w:val="subscript"/>
        </w:rPr>
        <w:t>o</w:t>
      </w:r>
      <w:r>
        <w:rPr>
          <w:color w:val="auto"/>
          <w:szCs w:val="21"/>
        </w:rPr>
        <w:t>——基础底面处土的自重压力值（kPa）；</w:t>
      </w:r>
    </w:p>
    <w:p w14:paraId="7D000023">
      <w:pPr>
        <w:adjustRightInd w:val="0"/>
        <w:snapToGrid w:val="0"/>
        <w:spacing w:line="340" w:lineRule="exact"/>
        <w:ind w:firstLine="630" w:firstLineChars="300"/>
        <w:rPr>
          <w:color w:val="auto"/>
          <w:szCs w:val="21"/>
        </w:rPr>
      </w:pPr>
      <w:r>
        <w:rPr>
          <w:i/>
          <w:color w:val="auto"/>
          <w:szCs w:val="21"/>
        </w:rPr>
        <w:t>z</w:t>
      </w:r>
      <w:r>
        <w:rPr>
          <w:color w:val="auto"/>
          <w:szCs w:val="21"/>
        </w:rPr>
        <w:t>——基础底面至软弱下卧层顶面的距离（m）；</w:t>
      </w:r>
    </w:p>
    <w:p w14:paraId="5C96A8C6">
      <w:pPr>
        <w:adjustRightInd w:val="0"/>
        <w:snapToGrid w:val="0"/>
        <w:spacing w:line="380" w:lineRule="exact"/>
        <w:ind w:left="1147" w:leftChars="286" w:hanging="546" w:hangingChars="260"/>
        <w:rPr>
          <w:color w:val="auto"/>
          <w:spacing w:val="-2"/>
          <w:szCs w:val="21"/>
        </w:rPr>
      </w:pPr>
      <w:r>
        <w:rPr>
          <w:i/>
          <w:color w:val="auto"/>
          <w:szCs w:val="21"/>
        </w:rPr>
        <w:t>θ</w:t>
      </w:r>
      <w:r>
        <w:rPr>
          <w:color w:val="auto"/>
          <w:szCs w:val="21"/>
        </w:rPr>
        <w:t>——</w:t>
      </w:r>
      <w:r>
        <w:rPr>
          <w:color w:val="auto"/>
          <w:spacing w:val="-2"/>
          <w:szCs w:val="21"/>
        </w:rPr>
        <w:t>地基压力扩散线与铅直线的夹角</w:t>
      </w:r>
      <w:r>
        <w:rPr>
          <w:rFonts w:hint="eastAsia"/>
          <w:color w:val="auto"/>
          <w:spacing w:val="-2"/>
          <w:szCs w:val="21"/>
        </w:rPr>
        <w:t>（压力扩散角）</w:t>
      </w:r>
      <w:r>
        <w:rPr>
          <w:rFonts w:hint="eastAsia"/>
          <w:color w:val="auto"/>
          <w:szCs w:val="21"/>
        </w:rPr>
        <w:t>，</w:t>
      </w:r>
      <w:r>
        <w:rPr>
          <w:i/>
          <w:color w:val="auto"/>
          <w:szCs w:val="21"/>
        </w:rPr>
        <w:t>θ</w:t>
      </w:r>
      <w:r>
        <w:rPr>
          <w:rFonts w:hint="eastAsia"/>
          <w:color w:val="auto"/>
          <w:szCs w:val="21"/>
        </w:rPr>
        <w:t>按表</w:t>
      </w:r>
      <w:r>
        <w:rPr>
          <w:color w:val="auto"/>
          <w:szCs w:val="21"/>
        </w:rPr>
        <w:t>20</w:t>
      </w:r>
      <w:r>
        <w:rPr>
          <w:rFonts w:hint="eastAsia"/>
          <w:color w:val="auto"/>
          <w:szCs w:val="21"/>
        </w:rPr>
        <w:t>取值。</w:t>
      </w:r>
    </w:p>
    <w:p w14:paraId="541ED5B8">
      <w:pPr>
        <w:spacing w:before="240"/>
        <w:jc w:val="center"/>
        <w:rPr>
          <w:rFonts w:ascii="宋体" w:hAnsi="宋体"/>
          <w:b/>
          <w:color w:val="auto"/>
          <w:szCs w:val="21"/>
        </w:rPr>
      </w:pPr>
      <w:r>
        <w:rPr>
          <w:rFonts w:hint="eastAsia" w:ascii="宋体" w:hAnsi="宋体"/>
          <w:b/>
          <w:color w:val="auto"/>
          <w:szCs w:val="21"/>
        </w:rPr>
        <w:t>表</w:t>
      </w:r>
      <w:r>
        <w:rPr>
          <w:rFonts w:ascii="宋体" w:hAnsi="宋体"/>
          <w:b/>
          <w:color w:val="auto"/>
          <w:szCs w:val="21"/>
        </w:rPr>
        <w:t>20</w:t>
      </w:r>
      <w:r>
        <w:rPr>
          <w:rFonts w:hint="eastAsia" w:ascii="宋体" w:hAnsi="宋体"/>
          <w:b/>
          <w:color w:val="auto"/>
          <w:szCs w:val="21"/>
        </w:rPr>
        <w:t xml:space="preserve">   压力</w:t>
      </w:r>
      <w:r>
        <w:rPr>
          <w:rFonts w:hint="eastAsia" w:eastAsia="黑体"/>
          <w:b/>
          <w:color w:val="auto"/>
          <w:szCs w:val="21"/>
        </w:rPr>
        <w:t>扩散</w:t>
      </w:r>
      <w:r>
        <w:rPr>
          <w:rFonts w:hint="eastAsia" w:ascii="宋体" w:hAnsi="宋体"/>
          <w:b/>
          <w:color w:val="auto"/>
          <w:szCs w:val="21"/>
        </w:rPr>
        <w:t>角</w:t>
      </w:r>
      <w:r>
        <w:rPr>
          <w:b/>
          <w:i/>
          <w:color w:val="auto"/>
          <w:szCs w:val="21"/>
        </w:rPr>
        <w:t>θ</w:t>
      </w:r>
      <w:r>
        <w:rPr>
          <w:rFonts w:hint="eastAsia" w:ascii="宋体" w:hAnsi="宋体"/>
          <w:b/>
          <w:color w:val="auto"/>
          <w:szCs w:val="21"/>
        </w:rPr>
        <w:t>值</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55"/>
        <w:gridCol w:w="2102"/>
        <w:gridCol w:w="5321"/>
      </w:tblGrid>
      <w:tr w14:paraId="69081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7" w:type="dxa"/>
            <w:gridSpan w:val="2"/>
            <w:shd w:val="clear" w:color="auto" w:fill="auto"/>
            <w:vAlign w:val="center"/>
          </w:tcPr>
          <w:p w14:paraId="57C5BAD5">
            <w:pPr>
              <w:snapToGrid w:val="0"/>
              <w:jc w:val="center"/>
              <w:rPr>
                <w:color w:val="auto"/>
                <w:sz w:val="18"/>
                <w:szCs w:val="18"/>
              </w:rPr>
            </w:pPr>
            <w:r>
              <w:rPr>
                <w:rFonts w:hint="eastAsia"/>
                <w:color w:val="auto"/>
                <w:sz w:val="18"/>
                <w:szCs w:val="18"/>
              </w:rPr>
              <w:t>基础宽度</w:t>
            </w:r>
            <w:r>
              <w:rPr>
                <w:rFonts w:hint="eastAsia"/>
                <w:i/>
                <w:color w:val="auto"/>
                <w:sz w:val="18"/>
                <w:szCs w:val="18"/>
              </w:rPr>
              <w:t>b</w:t>
            </w:r>
            <w:r>
              <w:rPr>
                <w:rFonts w:hint="eastAsia"/>
                <w:color w:val="auto"/>
                <w:sz w:val="18"/>
                <w:szCs w:val="18"/>
              </w:rPr>
              <w:t>、持力层厚度</w:t>
            </w:r>
            <w:r>
              <w:rPr>
                <w:rFonts w:hint="eastAsia"/>
                <w:i/>
                <w:color w:val="auto"/>
                <w:sz w:val="18"/>
                <w:szCs w:val="18"/>
              </w:rPr>
              <w:t>z</w:t>
            </w:r>
            <w:r>
              <w:rPr>
                <w:rFonts w:hint="eastAsia"/>
                <w:color w:val="auto"/>
                <w:sz w:val="18"/>
                <w:szCs w:val="18"/>
              </w:rPr>
              <w:t>和z/b</w:t>
            </w:r>
          </w:p>
        </w:tc>
        <w:tc>
          <w:tcPr>
            <w:tcW w:w="5321" w:type="dxa"/>
            <w:vAlign w:val="center"/>
          </w:tcPr>
          <w:p w14:paraId="28E7B289">
            <w:pPr>
              <w:snapToGrid w:val="0"/>
              <w:jc w:val="center"/>
              <w:rPr>
                <w:color w:val="auto"/>
                <w:sz w:val="18"/>
                <w:szCs w:val="18"/>
              </w:rPr>
            </w:pPr>
            <w:r>
              <w:rPr>
                <w:rFonts w:hint="eastAsia"/>
                <w:color w:val="auto"/>
                <w:sz w:val="18"/>
                <w:szCs w:val="18"/>
              </w:rPr>
              <w:t>扩散角</w:t>
            </w:r>
            <w:r>
              <w:rPr>
                <w:i/>
                <w:color w:val="auto"/>
                <w:szCs w:val="21"/>
              </w:rPr>
              <w:t>θ</w:t>
            </w:r>
            <w:r>
              <w:rPr>
                <w:rFonts w:hint="eastAsia" w:ascii="宋体" w:hAnsi="宋体"/>
                <w:color w:val="auto"/>
                <w:szCs w:val="21"/>
              </w:rPr>
              <w:t>值</w:t>
            </w:r>
          </w:p>
        </w:tc>
      </w:tr>
      <w:tr w14:paraId="340B4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55" w:type="dxa"/>
            <w:vMerge w:val="restart"/>
            <w:shd w:val="clear" w:color="auto" w:fill="auto"/>
            <w:vAlign w:val="center"/>
          </w:tcPr>
          <w:p w14:paraId="54CFA5AF">
            <w:pPr>
              <w:snapToGrid w:val="0"/>
              <w:jc w:val="center"/>
              <w:rPr>
                <w:color w:val="auto"/>
                <w:sz w:val="18"/>
                <w:szCs w:val="18"/>
              </w:rPr>
            </w:pPr>
            <w:r>
              <w:rPr>
                <w:rFonts w:hint="eastAsia"/>
                <w:i/>
                <w:color w:val="auto"/>
                <w:sz w:val="18"/>
                <w:szCs w:val="18"/>
              </w:rPr>
              <w:t>b</w:t>
            </w:r>
            <w:r>
              <w:rPr>
                <w:rFonts w:hint="eastAsia" w:hAnsi="宋体"/>
                <w:color w:val="auto"/>
                <w:sz w:val="18"/>
                <w:szCs w:val="18"/>
              </w:rPr>
              <w:t>≤1</w:t>
            </w:r>
            <w:r>
              <w:rPr>
                <w:color w:val="auto"/>
                <w:sz w:val="18"/>
                <w:szCs w:val="18"/>
              </w:rPr>
              <w:t>2m</w:t>
            </w:r>
          </w:p>
        </w:tc>
        <w:tc>
          <w:tcPr>
            <w:tcW w:w="2102" w:type="dxa"/>
            <w:vAlign w:val="center"/>
          </w:tcPr>
          <w:p w14:paraId="5EAC6EEE">
            <w:pPr>
              <w:snapToGrid w:val="0"/>
              <w:jc w:val="center"/>
              <w:rPr>
                <w:color w:val="auto"/>
                <w:sz w:val="18"/>
                <w:szCs w:val="18"/>
              </w:rPr>
            </w:pPr>
            <w:r>
              <w:rPr>
                <w:rFonts w:hint="eastAsia"/>
                <w:i/>
                <w:color w:val="auto"/>
                <w:sz w:val="18"/>
                <w:szCs w:val="18"/>
              </w:rPr>
              <w:t>z</w:t>
            </w:r>
            <w:r>
              <w:rPr>
                <w:rFonts w:hint="eastAsia"/>
                <w:color w:val="auto"/>
                <w:sz w:val="18"/>
                <w:szCs w:val="18"/>
              </w:rPr>
              <w:t>/</w:t>
            </w:r>
            <w:r>
              <w:rPr>
                <w:rFonts w:hint="eastAsia"/>
                <w:i/>
                <w:color w:val="auto"/>
                <w:sz w:val="18"/>
                <w:szCs w:val="18"/>
              </w:rPr>
              <w:t>b</w:t>
            </w:r>
            <w:r>
              <w:rPr>
                <w:rFonts w:hint="eastAsia"/>
                <w:color w:val="auto"/>
                <w:sz w:val="18"/>
                <w:szCs w:val="18"/>
              </w:rPr>
              <w:t>≥1或z≥3m</w:t>
            </w:r>
          </w:p>
        </w:tc>
        <w:tc>
          <w:tcPr>
            <w:tcW w:w="5321" w:type="dxa"/>
            <w:shd w:val="clear" w:color="auto" w:fill="auto"/>
            <w:vAlign w:val="center"/>
          </w:tcPr>
          <w:p w14:paraId="32C05E22">
            <w:pPr>
              <w:snapToGrid w:val="0"/>
              <w:jc w:val="center"/>
              <w:rPr>
                <w:color w:val="auto"/>
                <w:sz w:val="18"/>
                <w:szCs w:val="18"/>
              </w:rPr>
            </w:pPr>
            <w:r>
              <w:rPr>
                <w:rFonts w:hint="eastAsia"/>
                <w:color w:val="auto"/>
                <w:sz w:val="18"/>
                <w:szCs w:val="18"/>
              </w:rPr>
              <w:t>22º（30º）</w:t>
            </w:r>
          </w:p>
        </w:tc>
      </w:tr>
      <w:tr w14:paraId="4919B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55" w:type="dxa"/>
            <w:vMerge w:val="continue"/>
            <w:shd w:val="clear" w:color="auto" w:fill="auto"/>
            <w:vAlign w:val="center"/>
          </w:tcPr>
          <w:p w14:paraId="7959D60F">
            <w:pPr>
              <w:snapToGrid w:val="0"/>
              <w:jc w:val="center"/>
              <w:rPr>
                <w:color w:val="auto"/>
                <w:sz w:val="18"/>
                <w:szCs w:val="18"/>
              </w:rPr>
            </w:pPr>
          </w:p>
        </w:tc>
        <w:tc>
          <w:tcPr>
            <w:tcW w:w="2102" w:type="dxa"/>
            <w:vAlign w:val="center"/>
          </w:tcPr>
          <w:p w14:paraId="01326B29">
            <w:pPr>
              <w:snapToGrid w:val="0"/>
              <w:jc w:val="center"/>
              <w:rPr>
                <w:color w:val="auto"/>
                <w:sz w:val="18"/>
                <w:szCs w:val="18"/>
              </w:rPr>
            </w:pPr>
            <w:r>
              <w:rPr>
                <w:rFonts w:hint="eastAsia"/>
                <w:i/>
                <w:color w:val="auto"/>
                <w:sz w:val="18"/>
                <w:szCs w:val="18"/>
              </w:rPr>
              <w:t>z</w:t>
            </w:r>
            <w:r>
              <w:rPr>
                <w:rFonts w:hint="eastAsia"/>
                <w:color w:val="auto"/>
                <w:sz w:val="18"/>
                <w:szCs w:val="18"/>
              </w:rPr>
              <w:t>/</w:t>
            </w:r>
            <w:r>
              <w:rPr>
                <w:rFonts w:hint="eastAsia"/>
                <w:i/>
                <w:color w:val="auto"/>
                <w:sz w:val="18"/>
                <w:szCs w:val="18"/>
              </w:rPr>
              <w:t>b</w:t>
            </w:r>
            <w:r>
              <w:rPr>
                <w:rFonts w:hint="eastAsia"/>
                <w:color w:val="auto"/>
                <w:sz w:val="18"/>
                <w:szCs w:val="18"/>
              </w:rPr>
              <w:t>&lt;1且</w:t>
            </w:r>
            <w:r>
              <w:rPr>
                <w:rFonts w:hint="eastAsia"/>
                <w:i/>
                <w:color w:val="auto"/>
                <w:sz w:val="18"/>
                <w:szCs w:val="18"/>
              </w:rPr>
              <w:t>z</w:t>
            </w:r>
            <w:r>
              <w:rPr>
                <w:rFonts w:hint="eastAsia"/>
                <w:color w:val="auto"/>
                <w:sz w:val="18"/>
                <w:szCs w:val="18"/>
              </w:rPr>
              <w:t>≤1m</w:t>
            </w:r>
          </w:p>
        </w:tc>
        <w:tc>
          <w:tcPr>
            <w:tcW w:w="5321" w:type="dxa"/>
            <w:shd w:val="clear" w:color="auto" w:fill="auto"/>
            <w:vAlign w:val="center"/>
          </w:tcPr>
          <w:p w14:paraId="7D47AF78">
            <w:pPr>
              <w:snapToGrid w:val="0"/>
              <w:jc w:val="center"/>
              <w:rPr>
                <w:color w:val="auto"/>
                <w:sz w:val="18"/>
                <w:szCs w:val="18"/>
              </w:rPr>
            </w:pPr>
            <w:r>
              <w:rPr>
                <w:rFonts w:hint="eastAsia"/>
                <w:color w:val="auto"/>
                <w:sz w:val="18"/>
                <w:szCs w:val="18"/>
              </w:rPr>
              <w:t>0º</w:t>
            </w:r>
          </w:p>
        </w:tc>
      </w:tr>
      <w:tr w14:paraId="7B175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55" w:type="dxa"/>
            <w:vMerge w:val="restart"/>
            <w:vAlign w:val="center"/>
          </w:tcPr>
          <w:p w14:paraId="44548235">
            <w:pPr>
              <w:snapToGrid w:val="0"/>
              <w:jc w:val="center"/>
              <w:rPr>
                <w:color w:val="auto"/>
                <w:sz w:val="18"/>
                <w:szCs w:val="18"/>
              </w:rPr>
            </w:pPr>
            <w:r>
              <w:rPr>
                <w:rFonts w:hint="eastAsia"/>
                <w:i/>
                <w:color w:val="auto"/>
                <w:sz w:val="18"/>
                <w:szCs w:val="18"/>
              </w:rPr>
              <w:t>b</w:t>
            </w:r>
            <w:r>
              <w:rPr>
                <w:rFonts w:hint="eastAsia"/>
                <w:color w:val="auto"/>
                <w:sz w:val="18"/>
                <w:szCs w:val="18"/>
              </w:rPr>
              <w:t>&gt;12</w:t>
            </w:r>
            <w:r>
              <w:rPr>
                <w:color w:val="auto"/>
                <w:sz w:val="18"/>
                <w:szCs w:val="18"/>
              </w:rPr>
              <w:t>m</w:t>
            </w:r>
          </w:p>
        </w:tc>
        <w:tc>
          <w:tcPr>
            <w:tcW w:w="2102" w:type="dxa"/>
            <w:vAlign w:val="center"/>
          </w:tcPr>
          <w:p w14:paraId="66E0A56A">
            <w:pPr>
              <w:snapToGrid w:val="0"/>
              <w:jc w:val="center"/>
              <w:rPr>
                <w:color w:val="auto"/>
                <w:sz w:val="18"/>
                <w:szCs w:val="18"/>
              </w:rPr>
            </w:pPr>
            <w:r>
              <w:rPr>
                <w:rFonts w:hint="eastAsia"/>
                <w:i/>
                <w:color w:val="auto"/>
                <w:sz w:val="18"/>
                <w:szCs w:val="18"/>
              </w:rPr>
              <w:t>z</w:t>
            </w:r>
            <w:r>
              <w:rPr>
                <w:rFonts w:hint="eastAsia"/>
                <w:color w:val="auto"/>
                <w:sz w:val="18"/>
                <w:szCs w:val="18"/>
              </w:rPr>
              <w:t>/</w:t>
            </w:r>
            <w:r>
              <w:rPr>
                <w:rFonts w:hint="eastAsia"/>
                <w:i/>
                <w:color w:val="auto"/>
                <w:sz w:val="18"/>
                <w:szCs w:val="18"/>
              </w:rPr>
              <w:t>b</w:t>
            </w:r>
            <w:r>
              <w:rPr>
                <w:rFonts w:hint="eastAsia"/>
                <w:color w:val="auto"/>
                <w:sz w:val="18"/>
                <w:szCs w:val="18"/>
              </w:rPr>
              <w:t>≥1/4</w:t>
            </w:r>
          </w:p>
        </w:tc>
        <w:tc>
          <w:tcPr>
            <w:tcW w:w="5321" w:type="dxa"/>
            <w:shd w:val="clear" w:color="auto" w:fill="auto"/>
            <w:vAlign w:val="center"/>
          </w:tcPr>
          <w:p w14:paraId="2A7A73AB">
            <w:pPr>
              <w:snapToGrid w:val="0"/>
              <w:jc w:val="center"/>
              <w:rPr>
                <w:color w:val="auto"/>
                <w:sz w:val="18"/>
                <w:szCs w:val="18"/>
              </w:rPr>
            </w:pPr>
            <w:r>
              <w:rPr>
                <w:rFonts w:hint="eastAsia"/>
                <w:color w:val="auto"/>
                <w:sz w:val="18"/>
                <w:szCs w:val="18"/>
              </w:rPr>
              <w:t>22º（30º）</w:t>
            </w:r>
          </w:p>
        </w:tc>
      </w:tr>
      <w:tr w14:paraId="2C908A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55" w:type="dxa"/>
            <w:vMerge w:val="continue"/>
            <w:vAlign w:val="center"/>
          </w:tcPr>
          <w:p w14:paraId="5B829123">
            <w:pPr>
              <w:snapToGrid w:val="0"/>
              <w:jc w:val="center"/>
              <w:rPr>
                <w:color w:val="auto"/>
                <w:sz w:val="18"/>
                <w:szCs w:val="18"/>
              </w:rPr>
            </w:pPr>
          </w:p>
        </w:tc>
        <w:tc>
          <w:tcPr>
            <w:tcW w:w="2102" w:type="dxa"/>
            <w:vAlign w:val="center"/>
          </w:tcPr>
          <w:p w14:paraId="2CEC1A84">
            <w:pPr>
              <w:snapToGrid w:val="0"/>
              <w:jc w:val="center"/>
              <w:rPr>
                <w:color w:val="auto"/>
                <w:sz w:val="18"/>
                <w:szCs w:val="18"/>
              </w:rPr>
            </w:pPr>
            <w:r>
              <w:rPr>
                <w:rFonts w:hint="eastAsia"/>
                <w:i/>
                <w:color w:val="auto"/>
                <w:sz w:val="18"/>
                <w:szCs w:val="18"/>
              </w:rPr>
              <w:t>z</w:t>
            </w:r>
            <w:r>
              <w:rPr>
                <w:color w:val="auto"/>
                <w:sz w:val="18"/>
                <w:szCs w:val="18"/>
              </w:rPr>
              <w:t xml:space="preserve"> </w:t>
            </w:r>
            <w:r>
              <w:rPr>
                <w:rFonts w:hint="eastAsia"/>
                <w:color w:val="auto"/>
                <w:sz w:val="18"/>
                <w:szCs w:val="18"/>
              </w:rPr>
              <w:t>≤2m</w:t>
            </w:r>
          </w:p>
        </w:tc>
        <w:tc>
          <w:tcPr>
            <w:tcW w:w="5321" w:type="dxa"/>
            <w:shd w:val="clear" w:color="auto" w:fill="auto"/>
            <w:vAlign w:val="center"/>
          </w:tcPr>
          <w:p w14:paraId="05A8D5EC">
            <w:pPr>
              <w:snapToGrid w:val="0"/>
              <w:jc w:val="center"/>
              <w:rPr>
                <w:color w:val="auto"/>
                <w:sz w:val="18"/>
                <w:szCs w:val="18"/>
              </w:rPr>
            </w:pPr>
            <w:r>
              <w:rPr>
                <w:rFonts w:hint="eastAsia"/>
                <w:color w:val="auto"/>
                <w:sz w:val="18"/>
                <w:szCs w:val="18"/>
              </w:rPr>
              <w:t>0º</w:t>
            </w:r>
          </w:p>
        </w:tc>
      </w:tr>
      <w:tr w14:paraId="7C264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78" w:type="dxa"/>
            <w:gridSpan w:val="3"/>
          </w:tcPr>
          <w:p w14:paraId="0655D082">
            <w:pPr>
              <w:snapToGrid w:val="0"/>
              <w:spacing w:line="280" w:lineRule="atLeast"/>
              <w:rPr>
                <w:color w:val="auto"/>
                <w:sz w:val="18"/>
                <w:szCs w:val="18"/>
              </w:rPr>
            </w:pPr>
            <w:r>
              <w:rPr>
                <w:rFonts w:hint="eastAsia"/>
                <w:color w:val="auto"/>
                <w:sz w:val="18"/>
                <w:szCs w:val="18"/>
              </w:rPr>
              <w:t>注1：上表中可内插确定</w:t>
            </w:r>
            <w:r>
              <w:rPr>
                <w:i/>
                <w:color w:val="auto"/>
                <w:sz w:val="18"/>
                <w:szCs w:val="18"/>
              </w:rPr>
              <w:t>θ</w:t>
            </w:r>
            <w:r>
              <w:rPr>
                <w:rFonts w:hint="eastAsia"/>
                <w:color w:val="auto"/>
                <w:sz w:val="18"/>
                <w:szCs w:val="18"/>
              </w:rPr>
              <w:t>值；</w:t>
            </w:r>
          </w:p>
          <w:p w14:paraId="59331298">
            <w:pPr>
              <w:snapToGrid w:val="0"/>
              <w:spacing w:line="280" w:lineRule="atLeast"/>
              <w:ind w:left="540" w:hanging="540" w:hangingChars="300"/>
              <w:rPr>
                <w:color w:val="auto"/>
                <w:sz w:val="18"/>
                <w:szCs w:val="18"/>
              </w:rPr>
            </w:pPr>
            <w:r>
              <w:rPr>
                <w:rFonts w:hint="eastAsia"/>
                <w:color w:val="auto"/>
                <w:sz w:val="18"/>
                <w:szCs w:val="18"/>
              </w:rPr>
              <w:t>注2：括号内数字适用于密实碎石土、砾砂、粗砂、中砂及老黏土，括号外数字适用于其他土层；</w:t>
            </w:r>
          </w:p>
          <w:p w14:paraId="27F0F0A2">
            <w:pPr>
              <w:snapToGrid w:val="0"/>
              <w:spacing w:line="280" w:lineRule="atLeast"/>
              <w:rPr>
                <w:color w:val="auto"/>
                <w:sz w:val="18"/>
                <w:szCs w:val="18"/>
              </w:rPr>
            </w:pPr>
            <w:r>
              <w:rPr>
                <w:rFonts w:hint="eastAsia"/>
                <w:color w:val="auto"/>
                <w:sz w:val="18"/>
                <w:szCs w:val="18"/>
              </w:rPr>
              <w:t>注3：持力层承载力特征值≤140kPa时，</w:t>
            </w:r>
            <w:r>
              <w:rPr>
                <w:i/>
                <w:color w:val="auto"/>
                <w:sz w:val="18"/>
                <w:szCs w:val="18"/>
              </w:rPr>
              <w:t>θ</w:t>
            </w:r>
            <w:r>
              <w:rPr>
                <w:rFonts w:hint="eastAsia"/>
                <w:color w:val="auto"/>
                <w:sz w:val="18"/>
                <w:szCs w:val="18"/>
              </w:rPr>
              <w:t>角宜适当减小。</w:t>
            </w:r>
          </w:p>
        </w:tc>
      </w:tr>
    </w:tbl>
    <w:p w14:paraId="0E6224D0">
      <w:pPr>
        <w:adjustRightInd w:val="0"/>
        <w:snapToGrid w:val="0"/>
        <w:spacing w:before="240" w:line="380" w:lineRule="exact"/>
        <w:rPr>
          <w:color w:val="auto"/>
          <w:spacing w:val="-2"/>
          <w:szCs w:val="21"/>
        </w:rPr>
      </w:pPr>
      <w:r>
        <w:rPr>
          <w:b/>
          <w:bCs/>
          <w:color w:val="auto"/>
          <w:szCs w:val="21"/>
        </w:rPr>
        <w:t>7.2.8</w:t>
      </w:r>
      <w:r>
        <w:rPr>
          <w:color w:val="auto"/>
          <w:spacing w:val="-2"/>
          <w:szCs w:val="21"/>
        </w:rPr>
        <w:t xml:space="preserve">  既有建筑物加层改造时地基承载力特征值，宜通过试验确定。在房屋完好、变形基本稳定且原地基承载力在80</w:t>
      </w:r>
      <w:r>
        <w:rPr>
          <w:iCs/>
          <w:color w:val="auto"/>
          <w:spacing w:val="-2"/>
          <w:szCs w:val="21"/>
        </w:rPr>
        <w:t>kPa</w:t>
      </w:r>
      <w:r>
        <w:rPr>
          <w:color w:val="auto"/>
          <w:spacing w:val="-2"/>
          <w:szCs w:val="21"/>
        </w:rPr>
        <w:t>以上的条件下，也可按</w:t>
      </w:r>
      <w:r>
        <w:rPr>
          <w:rFonts w:hint="eastAsia"/>
          <w:color w:val="auto"/>
          <w:lang w:val="en-US" w:eastAsia="zh-CN"/>
        </w:rPr>
        <w:t>公式（21）</w:t>
      </w:r>
      <w:r>
        <w:rPr>
          <w:color w:val="auto"/>
          <w:spacing w:val="-2"/>
          <w:szCs w:val="21"/>
        </w:rPr>
        <w:t>确定：</w:t>
      </w:r>
    </w:p>
    <w:p w14:paraId="2D964F7C">
      <w:pPr>
        <w:pStyle w:val="12"/>
        <w:jc w:val="right"/>
        <w:rPr>
          <w:color w:val="auto"/>
          <w:szCs w:val="21"/>
        </w:rPr>
      </w:pPr>
      <w:r>
        <w:rPr>
          <w:color w:val="auto"/>
          <w:szCs w:val="21"/>
        </w:rPr>
        <w:t xml:space="preserve">             </w:t>
      </w:r>
      <w:r>
        <w:rPr>
          <w:color w:val="auto"/>
          <w:position w:val="-12"/>
          <w:szCs w:val="21"/>
        </w:rPr>
        <w:object>
          <v:shape id="_x0000_i1098" o:spt="75" type="#_x0000_t75" style="height:18pt;width:48pt;" o:ole="t" filled="f" o:preferrelative="t" stroked="f" coordsize="21600,21600">
            <v:path/>
            <v:fill on="f" focussize="0,0"/>
            <v:stroke on="f" joinstyle="miter"/>
            <v:imagedata r:id="rId149" o:title=""/>
            <o:lock v:ext="edit" aspectratio="t"/>
            <w10:wrap type="none"/>
            <w10:anchorlock/>
          </v:shape>
          <o:OLEObject Type="Embed" ProgID="Equation.DSMT4" ShapeID="_x0000_i1098" DrawAspect="Content" ObjectID="_1468075798" r:id="rId148">
            <o:LockedField>false</o:LockedField>
          </o:OLEObject>
        </w:object>
      </w:r>
      <w:r>
        <w:rPr>
          <w:color w:val="auto"/>
          <w:szCs w:val="21"/>
          <w:vertAlign w:val="subscript"/>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21</w:t>
      </w:r>
      <w:r>
        <w:rPr>
          <w:color w:val="auto"/>
          <w:szCs w:val="21"/>
        </w:rPr>
        <w:fldChar w:fldCharType="end"/>
      </w:r>
      <w:r>
        <w:rPr>
          <w:color w:val="auto"/>
          <w:szCs w:val="21"/>
        </w:rPr>
        <w:t>)</w:t>
      </w:r>
    </w:p>
    <w:p w14:paraId="1B36716C">
      <w:pPr>
        <w:adjustRightInd w:val="0"/>
        <w:snapToGrid w:val="0"/>
        <w:spacing w:before="120" w:line="360" w:lineRule="atLeast"/>
        <w:rPr>
          <w:color w:val="auto"/>
          <w:szCs w:val="21"/>
        </w:rPr>
      </w:pPr>
      <w:r>
        <w:rPr>
          <w:color w:val="auto"/>
          <w:szCs w:val="21"/>
        </w:rPr>
        <w:t xml:space="preserve">式中   </w:t>
      </w:r>
      <w:r>
        <w:rPr>
          <w:i/>
          <w:color w:val="auto"/>
          <w:szCs w:val="21"/>
        </w:rPr>
        <w:t>f</w:t>
      </w:r>
      <w:r>
        <w:rPr>
          <w:iCs/>
          <w:color w:val="auto"/>
          <w:szCs w:val="21"/>
          <w:vertAlign w:val="subscript"/>
        </w:rPr>
        <w:t>a</w:t>
      </w:r>
      <w:r>
        <w:rPr>
          <w:color w:val="auto"/>
          <w:szCs w:val="21"/>
        </w:rPr>
        <w:t>——加层改造设计时的地基承载力特征值（kPa）；</w:t>
      </w:r>
    </w:p>
    <w:p w14:paraId="4C73D510">
      <w:pPr>
        <w:adjustRightInd w:val="0"/>
        <w:snapToGrid w:val="0"/>
        <w:spacing w:line="360" w:lineRule="atLeast"/>
        <w:ind w:firstLine="657" w:firstLineChars="313"/>
        <w:rPr>
          <w:color w:val="auto"/>
          <w:szCs w:val="21"/>
        </w:rPr>
      </w:pPr>
      <w:r>
        <w:rPr>
          <w:i/>
          <w:color w:val="auto"/>
          <w:szCs w:val="21"/>
        </w:rPr>
        <w:t>f</w:t>
      </w:r>
      <w:r>
        <w:rPr>
          <w:iCs/>
          <w:color w:val="auto"/>
          <w:szCs w:val="21"/>
          <w:vertAlign w:val="subscript"/>
        </w:rPr>
        <w:t>oa</w:t>
      </w:r>
      <w:r>
        <w:rPr>
          <w:color w:val="auto"/>
          <w:szCs w:val="21"/>
        </w:rPr>
        <w:t>——原房屋设计时的地基承载力特征值（kPa）；</w:t>
      </w:r>
    </w:p>
    <w:p w14:paraId="2143E42D">
      <w:pPr>
        <w:adjustRightInd w:val="0"/>
        <w:snapToGrid w:val="0"/>
        <w:spacing w:line="360" w:lineRule="atLeast"/>
        <w:ind w:firstLine="588" w:firstLineChars="280"/>
        <w:rPr>
          <w:color w:val="auto"/>
          <w:szCs w:val="21"/>
        </w:rPr>
      </w:pPr>
      <w:r>
        <w:rPr>
          <w:color w:val="auto"/>
          <w:position w:val="-12"/>
          <w:szCs w:val="21"/>
        </w:rPr>
        <w:object>
          <v:shape id="_x0000_i1099" o:spt="75" type="#_x0000_t75" style="height:18pt;width:12.75pt;" o:ole="t" filled="f" o:preferrelative="t" stroked="f" coordsize="21600,21600">
            <v:path/>
            <v:fill on="f" focussize="0,0"/>
            <v:stroke on="f" joinstyle="miter"/>
            <v:imagedata r:id="rId151" o:title=""/>
            <o:lock v:ext="edit" aspectratio="t"/>
            <w10:wrap type="none"/>
            <w10:anchorlock/>
          </v:shape>
          <o:OLEObject Type="Embed" ProgID="Equation.DSMT4" ShapeID="_x0000_i1099" DrawAspect="Content" ObjectID="_1468075799" r:id="rId150">
            <o:LockedField>false</o:LockedField>
          </o:OLEObject>
        </w:object>
      </w:r>
      <w:r>
        <w:rPr>
          <w:color w:val="auto"/>
          <w:szCs w:val="21"/>
        </w:rPr>
        <w:t>——提高系数，</w:t>
      </w:r>
      <w:r>
        <w:rPr>
          <w:rFonts w:hint="eastAsia"/>
          <w:color w:val="auto"/>
          <w:szCs w:val="21"/>
        </w:rPr>
        <w:t>按表</w:t>
      </w:r>
      <w:r>
        <w:rPr>
          <w:color w:val="auto"/>
          <w:szCs w:val="21"/>
        </w:rPr>
        <w:t>21</w:t>
      </w:r>
      <w:r>
        <w:rPr>
          <w:rFonts w:hint="eastAsia"/>
          <w:color w:val="auto"/>
          <w:szCs w:val="21"/>
        </w:rPr>
        <w:t>采用</w:t>
      </w:r>
      <w:r>
        <w:rPr>
          <w:color w:val="auto"/>
          <w:szCs w:val="21"/>
        </w:rPr>
        <w:t>。</w:t>
      </w:r>
    </w:p>
    <w:p w14:paraId="7C738029">
      <w:pPr>
        <w:snapToGrid w:val="0"/>
        <w:spacing w:before="120"/>
        <w:jc w:val="center"/>
        <w:rPr>
          <w:rFonts w:eastAsia="黑体"/>
          <w:b/>
          <w:color w:val="auto"/>
          <w:szCs w:val="21"/>
        </w:rPr>
      </w:pPr>
      <w:r>
        <w:rPr>
          <w:rFonts w:eastAsia="黑体"/>
          <w:b/>
          <w:color w:val="auto"/>
          <w:szCs w:val="21"/>
        </w:rPr>
        <w:t>表21  提高系数</w:t>
      </w:r>
      <w:r>
        <w:rPr>
          <w:rFonts w:eastAsia="黑体"/>
          <w:b/>
          <w:color w:val="auto"/>
          <w:position w:val="-12"/>
          <w:szCs w:val="21"/>
        </w:rPr>
        <w:object>
          <v:shape id="_x0000_i1100" o:spt="75" type="#_x0000_t75" style="height:18pt;width:12.75pt;" o:ole="t" filled="f" o:preferrelative="t" stroked="f" coordsize="21600,21600">
            <v:path/>
            <v:fill on="f" focussize="0,0"/>
            <v:stroke on="f" joinstyle="miter"/>
            <v:imagedata r:id="rId153" o:title=""/>
            <o:lock v:ext="edit" aspectratio="t"/>
            <w10:wrap type="none"/>
            <w10:anchorlock/>
          </v:shape>
          <o:OLEObject Type="Embed" ProgID="Equation.DSMT4" ShapeID="_x0000_i1100" DrawAspect="Content" ObjectID="_1468075800" r:id="rId152">
            <o:LockedField>false</o:LockedField>
          </o:OLEObject>
        </w:object>
      </w:r>
      <w:r>
        <w:rPr>
          <w:rFonts w:eastAsia="黑体"/>
          <w:b/>
          <w:color w:val="auto"/>
          <w:szCs w:val="21"/>
        </w:rPr>
        <w:t>值</w:t>
      </w:r>
    </w:p>
    <w:tbl>
      <w:tblPr>
        <w:tblStyle w:val="36"/>
        <w:tblW w:w="916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87"/>
        <w:gridCol w:w="1484"/>
        <w:gridCol w:w="1605"/>
        <w:gridCol w:w="1529"/>
        <w:gridCol w:w="1596"/>
        <w:gridCol w:w="1466"/>
      </w:tblGrid>
      <w:tr w14:paraId="05C03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487" w:type="dxa"/>
            <w:vAlign w:val="center"/>
          </w:tcPr>
          <w:p w14:paraId="6DF838C8">
            <w:pPr>
              <w:adjustRightInd w:val="0"/>
              <w:snapToGrid w:val="0"/>
              <w:spacing w:line="260" w:lineRule="atLeast"/>
              <w:jc w:val="center"/>
              <w:rPr>
                <w:color w:val="auto"/>
                <w:sz w:val="18"/>
                <w:szCs w:val="18"/>
              </w:rPr>
            </w:pPr>
            <w:r>
              <w:rPr>
                <w:color w:val="auto"/>
                <w:position w:val="-12"/>
                <w:sz w:val="18"/>
                <w:szCs w:val="18"/>
              </w:rPr>
              <w:object>
                <v:shape id="_x0000_i1101" o:spt="75" type="#_x0000_t75" style="height:14.25pt;width:23.25pt;" o:ole="t" filled="f" o:preferrelative="t" stroked="f" coordsize="21600,21600">
                  <v:path/>
                  <v:fill on="f" focussize="0,0"/>
                  <v:stroke on="f" joinstyle="miter"/>
                  <v:imagedata r:id="rId155" o:title=""/>
                  <o:lock v:ext="edit" aspectratio="t"/>
                  <w10:wrap type="none"/>
                  <w10:anchorlock/>
                </v:shape>
                <o:OLEObject Type="Embed" ProgID="Equation.DSMT4" ShapeID="_x0000_i1101" DrawAspect="Content" ObjectID="_1468075801" r:id="rId154">
                  <o:LockedField>false</o:LockedField>
                </o:OLEObject>
              </w:object>
            </w:r>
          </w:p>
        </w:tc>
        <w:tc>
          <w:tcPr>
            <w:tcW w:w="1484" w:type="dxa"/>
            <w:vAlign w:val="center"/>
          </w:tcPr>
          <w:p w14:paraId="2EDB6F9F">
            <w:pPr>
              <w:adjustRightInd w:val="0"/>
              <w:snapToGrid w:val="0"/>
              <w:spacing w:line="260" w:lineRule="atLeast"/>
              <w:jc w:val="center"/>
              <w:rPr>
                <w:color w:val="auto"/>
                <w:sz w:val="18"/>
                <w:szCs w:val="18"/>
              </w:rPr>
            </w:pPr>
            <w:r>
              <w:rPr>
                <w:color w:val="auto"/>
                <w:sz w:val="18"/>
                <w:szCs w:val="18"/>
              </w:rPr>
              <w:t>1.0</w:t>
            </w:r>
          </w:p>
        </w:tc>
        <w:tc>
          <w:tcPr>
            <w:tcW w:w="1605" w:type="dxa"/>
            <w:vAlign w:val="center"/>
          </w:tcPr>
          <w:p w14:paraId="055236AD">
            <w:pPr>
              <w:adjustRightInd w:val="0"/>
              <w:snapToGrid w:val="0"/>
              <w:spacing w:line="260" w:lineRule="atLeast"/>
              <w:jc w:val="center"/>
              <w:rPr>
                <w:color w:val="auto"/>
                <w:sz w:val="18"/>
                <w:szCs w:val="18"/>
              </w:rPr>
            </w:pPr>
            <w:r>
              <w:rPr>
                <w:color w:val="auto"/>
                <w:sz w:val="18"/>
                <w:szCs w:val="18"/>
              </w:rPr>
              <w:t>0.8</w:t>
            </w:r>
          </w:p>
        </w:tc>
        <w:tc>
          <w:tcPr>
            <w:tcW w:w="1529" w:type="dxa"/>
            <w:vAlign w:val="center"/>
          </w:tcPr>
          <w:p w14:paraId="785EA7E4">
            <w:pPr>
              <w:adjustRightInd w:val="0"/>
              <w:snapToGrid w:val="0"/>
              <w:spacing w:line="260" w:lineRule="atLeast"/>
              <w:jc w:val="center"/>
              <w:rPr>
                <w:color w:val="auto"/>
                <w:sz w:val="18"/>
                <w:szCs w:val="18"/>
              </w:rPr>
            </w:pPr>
            <w:r>
              <w:rPr>
                <w:color w:val="auto"/>
                <w:sz w:val="18"/>
                <w:szCs w:val="18"/>
              </w:rPr>
              <w:t>0.4</w:t>
            </w:r>
          </w:p>
        </w:tc>
        <w:tc>
          <w:tcPr>
            <w:tcW w:w="1596" w:type="dxa"/>
            <w:vAlign w:val="center"/>
          </w:tcPr>
          <w:p w14:paraId="754529F4">
            <w:pPr>
              <w:adjustRightInd w:val="0"/>
              <w:snapToGrid w:val="0"/>
              <w:spacing w:line="260" w:lineRule="atLeast"/>
              <w:jc w:val="center"/>
              <w:rPr>
                <w:color w:val="auto"/>
                <w:sz w:val="18"/>
                <w:szCs w:val="18"/>
              </w:rPr>
            </w:pPr>
            <w:r>
              <w:rPr>
                <w:color w:val="auto"/>
                <w:sz w:val="18"/>
                <w:szCs w:val="18"/>
              </w:rPr>
              <w:t>&lt;0.4</w:t>
            </w:r>
          </w:p>
        </w:tc>
        <w:tc>
          <w:tcPr>
            <w:tcW w:w="1466" w:type="dxa"/>
            <w:vAlign w:val="center"/>
          </w:tcPr>
          <w:p w14:paraId="48EA6B38">
            <w:pPr>
              <w:adjustRightInd w:val="0"/>
              <w:snapToGrid w:val="0"/>
              <w:spacing w:line="260" w:lineRule="atLeast"/>
              <w:jc w:val="center"/>
              <w:rPr>
                <w:color w:val="auto"/>
                <w:sz w:val="18"/>
                <w:szCs w:val="18"/>
              </w:rPr>
            </w:pPr>
          </w:p>
        </w:tc>
      </w:tr>
      <w:tr w14:paraId="24F29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87" w:type="dxa"/>
            <w:vAlign w:val="center"/>
          </w:tcPr>
          <w:p w14:paraId="6A80AAAE">
            <w:pPr>
              <w:adjustRightInd w:val="0"/>
              <w:snapToGrid w:val="0"/>
              <w:spacing w:line="260" w:lineRule="atLeast"/>
              <w:jc w:val="center"/>
              <w:rPr>
                <w:color w:val="auto"/>
                <w:sz w:val="18"/>
                <w:szCs w:val="18"/>
              </w:rPr>
            </w:pPr>
            <w:r>
              <w:rPr>
                <w:color w:val="auto"/>
                <w:position w:val="-10"/>
                <w:sz w:val="18"/>
                <w:szCs w:val="18"/>
              </w:rPr>
              <w:object>
                <v:shape id="_x0000_i1102" o:spt="75" type="#_x0000_t75" style="height:12pt;width:9.75pt;" o:ole="t" filled="f" o:preferrelative="t" stroked="f" coordsize="21600,21600">
                  <v:path/>
                  <v:fill on="f" focussize="0,0"/>
                  <v:stroke on="f" joinstyle="miter"/>
                  <v:imagedata r:id="rId157" o:title=""/>
                  <o:lock v:ext="edit" aspectratio="t"/>
                  <w10:wrap type="none"/>
                  <w10:anchorlock/>
                </v:shape>
                <o:OLEObject Type="Embed" ProgID="Equation.3" ShapeID="_x0000_i1102" DrawAspect="Content" ObjectID="_1468075802" r:id="rId156">
                  <o:LockedField>false</o:LockedField>
                </o:OLEObject>
              </w:object>
            </w:r>
          </w:p>
        </w:tc>
        <w:tc>
          <w:tcPr>
            <w:tcW w:w="1484" w:type="dxa"/>
            <w:vAlign w:val="center"/>
          </w:tcPr>
          <w:p w14:paraId="1D5D45BB">
            <w:pPr>
              <w:adjustRightInd w:val="0"/>
              <w:snapToGrid w:val="0"/>
              <w:spacing w:line="260" w:lineRule="atLeast"/>
              <w:jc w:val="center"/>
              <w:rPr>
                <w:color w:val="auto"/>
                <w:sz w:val="18"/>
                <w:szCs w:val="18"/>
              </w:rPr>
            </w:pPr>
            <w:r>
              <w:rPr>
                <w:color w:val="auto"/>
                <w:sz w:val="18"/>
                <w:szCs w:val="18"/>
              </w:rPr>
              <w:t>1.2</w:t>
            </w:r>
          </w:p>
        </w:tc>
        <w:tc>
          <w:tcPr>
            <w:tcW w:w="1605" w:type="dxa"/>
            <w:vAlign w:val="center"/>
          </w:tcPr>
          <w:p w14:paraId="1D910305">
            <w:pPr>
              <w:adjustRightInd w:val="0"/>
              <w:snapToGrid w:val="0"/>
              <w:spacing w:line="260" w:lineRule="atLeast"/>
              <w:jc w:val="center"/>
              <w:rPr>
                <w:color w:val="auto"/>
                <w:sz w:val="18"/>
                <w:szCs w:val="18"/>
              </w:rPr>
            </w:pPr>
            <w:r>
              <w:rPr>
                <w:color w:val="auto"/>
                <w:sz w:val="18"/>
                <w:szCs w:val="18"/>
              </w:rPr>
              <w:t>1.1</w:t>
            </w:r>
          </w:p>
        </w:tc>
        <w:tc>
          <w:tcPr>
            <w:tcW w:w="1529" w:type="dxa"/>
            <w:vAlign w:val="center"/>
          </w:tcPr>
          <w:p w14:paraId="0BA22E9B">
            <w:pPr>
              <w:adjustRightInd w:val="0"/>
              <w:snapToGrid w:val="0"/>
              <w:spacing w:line="260" w:lineRule="atLeast"/>
              <w:jc w:val="center"/>
              <w:rPr>
                <w:color w:val="auto"/>
                <w:sz w:val="18"/>
                <w:szCs w:val="18"/>
              </w:rPr>
            </w:pPr>
            <w:r>
              <w:rPr>
                <w:color w:val="auto"/>
                <w:sz w:val="18"/>
                <w:szCs w:val="18"/>
              </w:rPr>
              <w:t>1.05</w:t>
            </w:r>
          </w:p>
        </w:tc>
        <w:tc>
          <w:tcPr>
            <w:tcW w:w="1596" w:type="dxa"/>
            <w:vAlign w:val="center"/>
          </w:tcPr>
          <w:p w14:paraId="7CEE53D0">
            <w:pPr>
              <w:adjustRightInd w:val="0"/>
              <w:snapToGrid w:val="0"/>
              <w:spacing w:line="260" w:lineRule="atLeast"/>
              <w:jc w:val="center"/>
              <w:rPr>
                <w:color w:val="auto"/>
                <w:sz w:val="18"/>
                <w:szCs w:val="18"/>
              </w:rPr>
            </w:pPr>
            <w:r>
              <w:rPr>
                <w:color w:val="auto"/>
                <w:sz w:val="18"/>
                <w:szCs w:val="18"/>
              </w:rPr>
              <w:t>1.0</w:t>
            </w:r>
          </w:p>
        </w:tc>
        <w:tc>
          <w:tcPr>
            <w:tcW w:w="1466" w:type="dxa"/>
            <w:vAlign w:val="center"/>
          </w:tcPr>
          <w:p w14:paraId="1B1FD111">
            <w:pPr>
              <w:adjustRightInd w:val="0"/>
              <w:snapToGrid w:val="0"/>
              <w:spacing w:line="260" w:lineRule="atLeast"/>
              <w:jc w:val="center"/>
              <w:rPr>
                <w:color w:val="auto"/>
                <w:sz w:val="18"/>
                <w:szCs w:val="18"/>
              </w:rPr>
            </w:pPr>
          </w:p>
        </w:tc>
      </w:tr>
      <w:tr w14:paraId="1ADBE2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9167" w:type="dxa"/>
            <w:gridSpan w:val="6"/>
            <w:vAlign w:val="center"/>
          </w:tcPr>
          <w:p w14:paraId="6ED05298">
            <w:pPr>
              <w:adjustRightInd w:val="0"/>
              <w:snapToGrid w:val="0"/>
              <w:rPr>
                <w:color w:val="auto"/>
                <w:sz w:val="18"/>
                <w:szCs w:val="18"/>
              </w:rPr>
            </w:pPr>
            <w:r>
              <w:rPr>
                <w:color w:val="auto"/>
                <w:sz w:val="18"/>
                <w:szCs w:val="18"/>
              </w:rPr>
              <w:t>注</w:t>
            </w:r>
            <w:r>
              <w:rPr>
                <w:bCs/>
                <w:color w:val="auto"/>
                <w:sz w:val="18"/>
                <w:szCs w:val="18"/>
              </w:rPr>
              <w:t>1：</w:t>
            </w:r>
            <w:r>
              <w:rPr>
                <w:bCs/>
                <w:i/>
                <w:color w:val="auto"/>
                <w:sz w:val="18"/>
                <w:szCs w:val="18"/>
              </w:rPr>
              <w:t>p</w:t>
            </w:r>
            <w:r>
              <w:rPr>
                <w:color w:val="auto"/>
                <w:sz w:val="18"/>
                <w:szCs w:val="18"/>
              </w:rPr>
              <w:t>为原房屋设计时相应于荷载标准组合时基础底面处的平均压力；</w:t>
            </w:r>
          </w:p>
          <w:p w14:paraId="1795133E">
            <w:pPr>
              <w:adjustRightInd w:val="0"/>
              <w:snapToGrid w:val="0"/>
              <w:ind w:left="520" w:hanging="520" w:hangingChars="289"/>
              <w:rPr>
                <w:color w:val="auto"/>
                <w:sz w:val="18"/>
                <w:szCs w:val="18"/>
              </w:rPr>
            </w:pPr>
            <w:r>
              <w:rPr>
                <w:bCs/>
                <w:color w:val="auto"/>
                <w:sz w:val="18"/>
                <w:szCs w:val="18"/>
              </w:rPr>
              <w:t>注2：</w:t>
            </w:r>
            <w:r>
              <w:rPr>
                <w:color w:val="auto"/>
                <w:sz w:val="18"/>
                <w:szCs w:val="18"/>
              </w:rPr>
              <w:t>采用本表的提高系数尚应满足以下房屋已使用年限：</w:t>
            </w:r>
            <w:r>
              <w:rPr>
                <w:rFonts w:hint="eastAsia"/>
                <w:color w:val="auto"/>
                <w:sz w:val="18"/>
                <w:szCs w:val="18"/>
              </w:rPr>
              <w:t>2年以上的砾、粗、中、细、粉砂</w:t>
            </w:r>
            <w:r>
              <w:rPr>
                <w:color w:val="auto"/>
                <w:sz w:val="18"/>
                <w:szCs w:val="18"/>
              </w:rPr>
              <w:t>；</w:t>
            </w:r>
            <w:r>
              <w:rPr>
                <w:rFonts w:hint="eastAsia"/>
                <w:color w:val="auto"/>
                <w:sz w:val="18"/>
                <w:szCs w:val="18"/>
              </w:rPr>
              <w:t>5 年以上的粉土和粉质黏土</w:t>
            </w:r>
            <w:r>
              <w:rPr>
                <w:color w:val="auto"/>
                <w:sz w:val="18"/>
                <w:szCs w:val="18"/>
              </w:rPr>
              <w:t>；</w:t>
            </w:r>
            <w:r>
              <w:rPr>
                <w:rFonts w:hint="eastAsia"/>
                <w:color w:val="auto"/>
                <w:sz w:val="18"/>
                <w:szCs w:val="18"/>
              </w:rPr>
              <w:t>8 年以上地基土静承载力标准值大于100kPa的黏土</w:t>
            </w:r>
            <w:r>
              <w:rPr>
                <w:color w:val="auto"/>
                <w:sz w:val="18"/>
                <w:szCs w:val="18"/>
              </w:rPr>
              <w:t>；使用</w:t>
            </w:r>
            <w:r>
              <w:rPr>
                <w:rFonts w:hint="eastAsia"/>
                <w:color w:val="auto"/>
                <w:sz w:val="18"/>
                <w:szCs w:val="18"/>
              </w:rPr>
              <w:t>期不够或岩石、碎石、其他软弱土，提高系数值可取 1</w:t>
            </w:r>
            <w:r>
              <w:rPr>
                <w:color w:val="auto"/>
                <w:sz w:val="18"/>
                <w:szCs w:val="18"/>
              </w:rPr>
              <w:t>.</w:t>
            </w:r>
            <w:r>
              <w:rPr>
                <w:rFonts w:hint="eastAsia"/>
                <w:color w:val="auto"/>
                <w:sz w:val="18"/>
                <w:szCs w:val="18"/>
              </w:rPr>
              <w:t>0；</w:t>
            </w:r>
          </w:p>
          <w:p w14:paraId="26F7153E">
            <w:pPr>
              <w:adjustRightInd w:val="0"/>
              <w:snapToGrid w:val="0"/>
              <w:ind w:left="571" w:hanging="570" w:hangingChars="317"/>
              <w:rPr>
                <w:color w:val="auto"/>
                <w:sz w:val="18"/>
                <w:szCs w:val="18"/>
              </w:rPr>
            </w:pPr>
            <w:r>
              <w:rPr>
                <w:bCs/>
                <w:color w:val="auto"/>
                <w:sz w:val="18"/>
                <w:szCs w:val="18"/>
              </w:rPr>
              <w:t>注3：</w:t>
            </w:r>
            <w:r>
              <w:rPr>
                <w:color w:val="auto"/>
                <w:sz w:val="18"/>
                <w:szCs w:val="18"/>
              </w:rPr>
              <w:t>当提高后的地基承载力特征值不满足要求时，可采用扩大基础面积、加固地基土等措施。</w:t>
            </w:r>
          </w:p>
        </w:tc>
      </w:tr>
    </w:tbl>
    <w:p w14:paraId="250A6041">
      <w:pPr>
        <w:adjustRightInd w:val="0"/>
        <w:snapToGrid w:val="0"/>
        <w:spacing w:line="340" w:lineRule="exact"/>
        <w:jc w:val="center"/>
        <w:rPr>
          <w:b/>
          <w:bCs/>
          <w:color w:val="auto"/>
          <w:szCs w:val="21"/>
        </w:rPr>
      </w:pPr>
    </w:p>
    <w:p w14:paraId="5BC21E71">
      <w:pPr>
        <w:adjustRightInd w:val="0"/>
        <w:snapToGrid w:val="0"/>
        <w:spacing w:line="340" w:lineRule="exact"/>
        <w:outlineLvl w:val="1"/>
        <w:rPr>
          <w:rFonts w:eastAsia="黑体"/>
          <w:b/>
          <w:color w:val="auto"/>
          <w:szCs w:val="21"/>
        </w:rPr>
      </w:pPr>
      <w:bookmarkStart w:id="15" w:name="_Toc199943578"/>
      <w:r>
        <w:rPr>
          <w:rFonts w:eastAsia="黑体"/>
          <w:b/>
          <w:bCs/>
          <w:color w:val="auto"/>
          <w:szCs w:val="21"/>
        </w:rPr>
        <w:t>7.3  变形计算</w:t>
      </w:r>
      <w:bookmarkEnd w:id="15"/>
    </w:p>
    <w:p w14:paraId="14447CC0">
      <w:pPr>
        <w:adjustRightInd w:val="0"/>
        <w:snapToGrid w:val="0"/>
        <w:jc w:val="center"/>
        <w:rPr>
          <w:b/>
          <w:color w:val="auto"/>
          <w:szCs w:val="21"/>
        </w:rPr>
      </w:pPr>
    </w:p>
    <w:p w14:paraId="09663354">
      <w:pPr>
        <w:adjustRightInd w:val="0"/>
        <w:snapToGrid w:val="0"/>
        <w:spacing w:before="93" w:beforeLines="30" w:line="340" w:lineRule="atLeast"/>
        <w:rPr>
          <w:color w:val="auto"/>
          <w:szCs w:val="21"/>
        </w:rPr>
      </w:pPr>
      <w:r>
        <w:rPr>
          <w:b/>
          <w:bCs/>
          <w:color w:val="auto"/>
          <w:szCs w:val="21"/>
        </w:rPr>
        <w:t>7.3.1</w:t>
      </w:r>
      <w:r>
        <w:rPr>
          <w:color w:val="auto"/>
          <w:szCs w:val="21"/>
        </w:rPr>
        <w:t xml:space="preserve">  计算地基变形时，可采用各向同性均质线性变形体理论计算地基内的应力分布。沉降量的计算可采用室内土工试验或原位测试得到的压缩性指标。地基的最终沉降量按</w:t>
      </w:r>
      <w:r>
        <w:rPr>
          <w:rFonts w:hint="eastAsia"/>
          <w:color w:val="auto"/>
          <w:lang w:val="en-US" w:eastAsia="zh-CN"/>
        </w:rPr>
        <w:t>公式（22）</w:t>
      </w:r>
      <w:r>
        <w:rPr>
          <w:color w:val="auto"/>
          <w:szCs w:val="21"/>
        </w:rPr>
        <w:t>计算：</w:t>
      </w:r>
    </w:p>
    <w:p w14:paraId="7C55ADD8">
      <w:pPr>
        <w:pStyle w:val="12"/>
        <w:jc w:val="right"/>
        <w:rPr>
          <w:color w:val="auto"/>
          <w:szCs w:val="21"/>
        </w:rPr>
      </w:pPr>
      <w:r>
        <w:rPr>
          <w:color w:val="auto"/>
          <w:position w:val="-10"/>
          <w:szCs w:val="21"/>
        </w:rPr>
        <w:object>
          <v:shape id="_x0000_i1103" o:spt="75" type="#_x0000_t75" style="height:17.25pt;width:9pt;" o:ole="t" filled="f" o:preferrelative="t" stroked="f" coordsize="21600,21600">
            <v:path/>
            <v:fill on="f" focussize="0,0"/>
            <v:stroke on="f" joinstyle="miter"/>
            <v:imagedata r:id="rId159" o:title=""/>
            <o:lock v:ext="edit" aspectratio="t"/>
            <w10:wrap type="none"/>
            <w10:anchorlock/>
          </v:shape>
          <o:OLEObject Type="Embed" ProgID="Equation.3" ShapeID="_x0000_i1103" DrawAspect="Content" ObjectID="_1468075803" r:id="rId158">
            <o:LockedField>false</o:LockedField>
          </o:OLEObject>
        </w:object>
      </w:r>
      <w:r>
        <w:rPr>
          <w:color w:val="auto"/>
          <w:position w:val="-30"/>
          <w:szCs w:val="21"/>
        </w:rPr>
        <w:object>
          <v:shape id="_x0000_i1104" o:spt="75" type="#_x0000_t75" style="height:33.75pt;width:153pt;" o:ole="t" filled="f" o:preferrelative="t" stroked="f" coordsize="21600,21600">
            <v:path/>
            <v:fill on="f" focussize="0,0"/>
            <v:stroke on="f" joinstyle="miter"/>
            <v:imagedata r:id="rId161" o:title=""/>
            <o:lock v:ext="edit" aspectratio="t"/>
            <w10:wrap type="none"/>
            <w10:anchorlock/>
          </v:shape>
          <o:OLEObject Type="Embed" ProgID="Equation.DSMT4" ShapeID="_x0000_i1104" DrawAspect="Content" ObjectID="_1468075804" r:id="rId16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22</w:t>
      </w:r>
      <w:r>
        <w:rPr>
          <w:color w:val="auto"/>
          <w:szCs w:val="21"/>
        </w:rPr>
        <w:fldChar w:fldCharType="end"/>
      </w:r>
      <w:r>
        <w:rPr>
          <w:color w:val="auto"/>
          <w:szCs w:val="21"/>
        </w:rPr>
        <w:t>)</w:t>
      </w:r>
    </w:p>
    <w:p w14:paraId="117551AB">
      <w:pPr>
        <w:adjustRightInd w:val="0"/>
        <w:snapToGrid w:val="0"/>
        <w:spacing w:line="340" w:lineRule="exact"/>
        <w:rPr>
          <w:color w:val="auto"/>
          <w:szCs w:val="21"/>
        </w:rPr>
      </w:pPr>
      <w:r>
        <w:rPr>
          <w:color w:val="auto"/>
          <w:szCs w:val="21"/>
        </w:rPr>
        <w:t xml:space="preserve">式中  </w:t>
      </w:r>
      <w:r>
        <w:rPr>
          <w:i/>
          <w:color w:val="auto"/>
          <w:szCs w:val="21"/>
        </w:rPr>
        <w:t>s</w:t>
      </w:r>
      <w:r>
        <w:rPr>
          <w:color w:val="auto"/>
          <w:szCs w:val="21"/>
        </w:rPr>
        <w:t>——地基最终沉降量</w:t>
      </w:r>
      <w:r>
        <w:rPr>
          <w:rFonts w:hint="eastAsia"/>
          <w:color w:val="auto"/>
          <w:szCs w:val="21"/>
        </w:rPr>
        <w:t>（</w:t>
      </w:r>
      <w:r>
        <w:rPr>
          <w:iCs/>
          <w:color w:val="auto"/>
          <w:szCs w:val="21"/>
        </w:rPr>
        <w:t>mm</w:t>
      </w:r>
      <w:r>
        <w:rPr>
          <w:rFonts w:hint="eastAsia"/>
          <w:color w:val="auto"/>
          <w:szCs w:val="21"/>
        </w:rPr>
        <w:t>）</w:t>
      </w:r>
      <w:r>
        <w:rPr>
          <w:color w:val="auto"/>
          <w:szCs w:val="21"/>
        </w:rPr>
        <w:t>；</w:t>
      </w:r>
    </w:p>
    <w:p w14:paraId="2A5597AC">
      <w:pPr>
        <w:adjustRightInd w:val="0"/>
        <w:snapToGrid w:val="0"/>
        <w:spacing w:line="340" w:lineRule="exact"/>
        <w:ind w:firstLine="504" w:firstLineChars="240"/>
        <w:rPr>
          <w:color w:val="auto"/>
          <w:szCs w:val="21"/>
        </w:rPr>
      </w:pPr>
      <w:r>
        <w:rPr>
          <w:color w:val="auto"/>
          <w:position w:val="-6"/>
          <w:szCs w:val="21"/>
        </w:rPr>
        <w:object>
          <v:shape id="_x0000_i1105" o:spt="75" type="#_x0000_t75" style="height:15pt;width:11.25pt;" o:ole="t" filled="f" o:preferrelative="t" stroked="f" coordsize="21600,21600">
            <v:path/>
            <v:fill on="f" focussize="0,0"/>
            <v:stroke on="f" joinstyle="miter"/>
            <v:imagedata r:id="rId163" o:title=""/>
            <o:lock v:ext="edit" aspectratio="t"/>
            <w10:wrap type="none"/>
            <w10:anchorlock/>
          </v:shape>
          <o:OLEObject Type="Embed" ProgID="Equation.DSMT4" ShapeID="_x0000_i1105" DrawAspect="Content" ObjectID="_1468075805" r:id="rId162">
            <o:LockedField>false</o:LockedField>
          </o:OLEObject>
        </w:object>
      </w:r>
      <w:r>
        <w:rPr>
          <w:color w:val="auto"/>
          <w:szCs w:val="21"/>
        </w:rPr>
        <w:softHyphen/>
      </w:r>
      <w:r>
        <w:rPr>
          <w:color w:val="auto"/>
          <w:szCs w:val="21"/>
        </w:rPr>
        <w:t>——按分层总和法计算出的地基沉降量</w:t>
      </w:r>
      <w:r>
        <w:rPr>
          <w:rFonts w:hint="eastAsia"/>
          <w:color w:val="auto"/>
          <w:szCs w:val="21"/>
        </w:rPr>
        <w:t>（</w:t>
      </w:r>
      <w:r>
        <w:rPr>
          <w:iCs/>
          <w:color w:val="auto"/>
          <w:szCs w:val="21"/>
        </w:rPr>
        <w:t>mm</w:t>
      </w:r>
      <w:r>
        <w:rPr>
          <w:rFonts w:hint="eastAsia"/>
          <w:color w:val="auto"/>
          <w:szCs w:val="21"/>
        </w:rPr>
        <w:t>）</w:t>
      </w:r>
      <w:r>
        <w:rPr>
          <w:color w:val="auto"/>
          <w:szCs w:val="21"/>
        </w:rPr>
        <w:t>；</w:t>
      </w:r>
    </w:p>
    <w:p w14:paraId="3F58B823">
      <w:pPr>
        <w:adjustRightInd w:val="0"/>
        <w:snapToGrid w:val="0"/>
        <w:spacing w:before="62" w:beforeLines="20" w:line="340" w:lineRule="exact"/>
        <w:ind w:left="1154" w:leftChars="213" w:hanging="707" w:hangingChars="337"/>
        <w:rPr>
          <w:color w:val="auto"/>
          <w:szCs w:val="21"/>
        </w:rPr>
      </w:pPr>
      <w:r>
        <w:rPr>
          <w:color w:val="auto"/>
          <w:position w:val="-12"/>
          <w:szCs w:val="21"/>
        </w:rPr>
        <w:object>
          <v:shape id="_x0000_i1106" o:spt="75" type="#_x0000_t75" style="height:18pt;width:15pt;" o:ole="t" filled="f" o:preferrelative="t" stroked="f" coordsize="21600,21600">
            <v:path/>
            <v:fill on="f" focussize="0,0"/>
            <v:stroke on="f" joinstyle="miter"/>
            <v:imagedata r:id="rId165" o:title=""/>
            <o:lock v:ext="edit" aspectratio="t"/>
            <w10:wrap type="none"/>
            <w10:anchorlock/>
          </v:shape>
          <o:OLEObject Type="Embed" ProgID="Equation.DSMT4" ShapeID="_x0000_i1106" DrawAspect="Content" ObjectID="_1468075806" r:id="rId164">
            <o:LockedField>false</o:LockedField>
          </o:OLEObject>
        </w:object>
      </w:r>
      <w:r>
        <w:rPr>
          <w:color w:val="auto"/>
          <w:szCs w:val="21"/>
        </w:rPr>
        <w:t>——沉降计算经验系数，根据地区沉降观测资料及经验确定，无地区经验时可采用表22的数值；</w:t>
      </w:r>
    </w:p>
    <w:p w14:paraId="33DB9270">
      <w:pPr>
        <w:adjustRightInd w:val="0"/>
        <w:snapToGrid w:val="0"/>
        <w:spacing w:line="340" w:lineRule="exact"/>
        <w:ind w:firstLine="600" w:firstLineChars="286"/>
        <w:rPr>
          <w:color w:val="auto"/>
          <w:szCs w:val="21"/>
        </w:rPr>
      </w:pPr>
      <w:r>
        <w:rPr>
          <w:i/>
          <w:color w:val="auto"/>
          <w:szCs w:val="21"/>
        </w:rPr>
        <w:t>n</w:t>
      </w:r>
      <w:r>
        <w:rPr>
          <w:color w:val="auto"/>
          <w:szCs w:val="21"/>
        </w:rPr>
        <w:t>——地基变形计算深度范围内所划分的土层数（图8.3.1）；</w:t>
      </w:r>
    </w:p>
    <w:p w14:paraId="4C0D8CE5">
      <w:pPr>
        <w:adjustRightInd w:val="0"/>
        <w:snapToGrid w:val="0"/>
        <w:spacing w:line="340" w:lineRule="exact"/>
        <w:ind w:left="1134" w:leftChars="166" w:hanging="785" w:hangingChars="374"/>
        <w:rPr>
          <w:color w:val="auto"/>
          <w:szCs w:val="21"/>
        </w:rPr>
      </w:pPr>
      <w:r>
        <w:rPr>
          <w:color w:val="auto"/>
          <w:position w:val="-12"/>
          <w:szCs w:val="21"/>
        </w:rPr>
        <w:object>
          <v:shape id="_x0000_i1107" o:spt="75" type="#_x0000_t75" style="height:18pt;width:18pt;" o:ole="t" filled="f" o:preferrelative="t" stroked="f" coordsize="21600,21600">
            <v:path/>
            <v:fill on="f" focussize="0,0"/>
            <v:stroke on="f" joinstyle="miter"/>
            <v:imagedata r:id="rId167" o:title=""/>
            <o:lock v:ext="edit" aspectratio="t"/>
            <w10:wrap type="none"/>
            <w10:anchorlock/>
          </v:shape>
          <o:OLEObject Type="Embed" ProgID="Equation.DSMT4" ShapeID="_x0000_i1107" DrawAspect="Content" ObjectID="_1468075807" r:id="rId166">
            <o:LockedField>false</o:LockedField>
          </o:OLEObject>
        </w:object>
      </w:r>
      <w:r>
        <w:rPr>
          <w:color w:val="auto"/>
          <w:szCs w:val="21"/>
        </w:rPr>
        <w:t>——对应于作用的准永久组合时的基础底面处的附加压力</w:t>
      </w:r>
      <w:r>
        <w:rPr>
          <w:rFonts w:hint="eastAsia"/>
          <w:color w:val="auto"/>
          <w:szCs w:val="21"/>
        </w:rPr>
        <w:t>（</w:t>
      </w:r>
      <w:r>
        <w:rPr>
          <w:iCs/>
          <w:color w:val="auto"/>
          <w:szCs w:val="21"/>
        </w:rPr>
        <w:t>kPa</w:t>
      </w:r>
      <w:r>
        <w:rPr>
          <w:rFonts w:hint="eastAsia"/>
          <w:color w:val="auto"/>
          <w:szCs w:val="21"/>
        </w:rPr>
        <w:t>）</w:t>
      </w:r>
      <w:r>
        <w:rPr>
          <w:color w:val="auto"/>
          <w:szCs w:val="21"/>
        </w:rPr>
        <w:t>；</w:t>
      </w:r>
    </w:p>
    <w:p w14:paraId="5D2EF253">
      <w:pPr>
        <w:adjustRightInd w:val="0"/>
        <w:snapToGrid w:val="0"/>
        <w:spacing w:line="340" w:lineRule="exact"/>
        <w:ind w:left="1156" w:leftChars="193" w:hanging="751" w:hangingChars="358"/>
        <w:rPr>
          <w:color w:val="auto"/>
          <w:szCs w:val="21"/>
        </w:rPr>
      </w:pPr>
      <w:r>
        <w:rPr>
          <w:color w:val="auto"/>
          <w:position w:val="-12"/>
          <w:szCs w:val="21"/>
        </w:rPr>
        <w:object>
          <v:shape id="_x0000_i1108" o:spt="75" type="#_x0000_t75" style="height:18pt;width:16.5pt;" o:ole="t" filled="f" o:preferrelative="t" stroked="f" coordsize="21600,21600">
            <v:path/>
            <v:fill on="f" focussize="0,0"/>
            <v:stroke on="f" joinstyle="miter"/>
            <v:imagedata r:id="rId169" o:title=""/>
            <o:lock v:ext="edit" aspectratio="t"/>
            <w10:wrap type="none"/>
            <w10:anchorlock/>
          </v:shape>
          <o:OLEObject Type="Embed" ProgID="Equation.DSMT4" ShapeID="_x0000_i1108" DrawAspect="Content" ObjectID="_1468075808" r:id="rId168">
            <o:LockedField>false</o:LockedField>
          </o:OLEObject>
        </w:object>
      </w:r>
      <w:r>
        <w:rPr>
          <w:color w:val="auto"/>
          <w:szCs w:val="21"/>
        </w:rPr>
        <w:t>——基础底面下第</w:t>
      </w:r>
      <w:r>
        <w:rPr>
          <w:i/>
          <w:color w:val="auto"/>
          <w:szCs w:val="21"/>
        </w:rPr>
        <w:t>i</w:t>
      </w:r>
      <w:r>
        <w:rPr>
          <w:color w:val="auto"/>
          <w:szCs w:val="21"/>
        </w:rPr>
        <w:t>层土的压缩模量</w:t>
      </w:r>
      <w:r>
        <w:rPr>
          <w:rFonts w:hint="eastAsia"/>
          <w:color w:val="auto"/>
          <w:szCs w:val="21"/>
        </w:rPr>
        <w:t>（</w:t>
      </w:r>
      <w:r>
        <w:rPr>
          <w:iCs/>
          <w:color w:val="auto"/>
          <w:szCs w:val="21"/>
        </w:rPr>
        <w:t>M</w:t>
      </w:r>
      <w:r>
        <w:rPr>
          <w:rFonts w:hint="eastAsia"/>
          <w:iCs/>
          <w:color w:val="auto"/>
          <w:szCs w:val="21"/>
        </w:rPr>
        <w:t>P</w:t>
      </w:r>
      <w:r>
        <w:rPr>
          <w:iCs/>
          <w:color w:val="auto"/>
          <w:szCs w:val="21"/>
        </w:rPr>
        <w:t>a</w:t>
      </w:r>
      <w:r>
        <w:rPr>
          <w:rFonts w:hint="eastAsia"/>
          <w:color w:val="auto"/>
          <w:szCs w:val="21"/>
        </w:rPr>
        <w:t>）</w:t>
      </w:r>
      <w:r>
        <w:rPr>
          <w:color w:val="auto"/>
          <w:szCs w:val="21"/>
        </w:rPr>
        <w:t>，应取土的自重压力至土的自重压力与附加压力之和的压力段计算；</w:t>
      </w:r>
    </w:p>
    <w:p w14:paraId="01350CE3">
      <w:pPr>
        <w:adjustRightInd w:val="0"/>
        <w:snapToGrid w:val="0"/>
        <w:spacing w:line="340" w:lineRule="exact"/>
        <w:ind w:leftChars="-20" w:hanging="42" w:hangingChars="20"/>
        <w:rPr>
          <w:color w:val="auto"/>
          <w:szCs w:val="21"/>
        </w:rPr>
      </w:pPr>
      <w:r>
        <w:rPr>
          <w:color w:val="auto"/>
          <w:position w:val="-12"/>
          <w:szCs w:val="21"/>
        </w:rPr>
        <w:object>
          <v:shape id="_x0000_i1109" o:spt="75" type="#_x0000_t75" style="height:18pt;width:11.25pt;" o:ole="t" filled="f" o:preferrelative="t" stroked="f" coordsize="21600,21600">
            <v:path/>
            <v:fill on="f" focussize="0,0"/>
            <v:stroke on="f" joinstyle="miter"/>
            <v:imagedata r:id="rId171" o:title=""/>
            <o:lock v:ext="edit" aspectratio="t"/>
            <w10:wrap type="none"/>
            <w10:anchorlock/>
          </v:shape>
          <o:OLEObject Type="Embed" ProgID="Equation.DSMT4" ShapeID="_x0000_i1109" DrawAspect="Content" ObjectID="_1468075809" r:id="rId170">
            <o:LockedField>false</o:LockedField>
          </o:OLEObject>
        </w:object>
      </w:r>
      <w:r>
        <w:rPr>
          <w:color w:val="auto"/>
          <w:szCs w:val="21"/>
        </w:rPr>
        <w:t>、</w:t>
      </w:r>
      <w:r>
        <w:rPr>
          <w:color w:val="auto"/>
          <w:position w:val="-12"/>
          <w:szCs w:val="21"/>
        </w:rPr>
        <w:object>
          <v:shape id="_x0000_i1110" o:spt="75" type="#_x0000_t75" style="height:18pt;width:17.25pt;" o:ole="t" filled="f" o:preferrelative="t" stroked="f" coordsize="21600,21600">
            <v:path/>
            <v:fill on="f" focussize="0,0"/>
            <v:stroke on="f" joinstyle="miter"/>
            <v:imagedata r:id="rId173" o:title=""/>
            <o:lock v:ext="edit" aspectratio="t"/>
            <w10:wrap type="none"/>
            <w10:anchorlock/>
          </v:shape>
          <o:OLEObject Type="Embed" ProgID="Equation.DSMT4" ShapeID="_x0000_i1110" DrawAspect="Content" ObjectID="_1468075810" r:id="rId172">
            <o:LockedField>false</o:LockedField>
          </o:OLEObject>
        </w:object>
      </w:r>
      <w:r>
        <w:rPr>
          <w:color w:val="auto"/>
          <w:szCs w:val="21"/>
        </w:rPr>
        <w:t>——基础底面至第</w:t>
      </w:r>
      <w:r>
        <w:rPr>
          <w:i/>
          <w:color w:val="auto"/>
          <w:szCs w:val="21"/>
        </w:rPr>
        <w:t>i</w:t>
      </w:r>
      <w:r>
        <w:rPr>
          <w:color w:val="auto"/>
          <w:szCs w:val="21"/>
        </w:rPr>
        <w:t>层土、第</w:t>
      </w:r>
      <w:r>
        <w:rPr>
          <w:i/>
          <w:color w:val="auto"/>
          <w:szCs w:val="21"/>
        </w:rPr>
        <w:t>i</w:t>
      </w:r>
      <w:r>
        <w:rPr>
          <w:color w:val="auto"/>
          <w:szCs w:val="21"/>
        </w:rPr>
        <w:t>−1层土底面的距离（</w:t>
      </w:r>
      <w:r>
        <w:rPr>
          <w:iCs/>
          <w:color w:val="auto"/>
          <w:szCs w:val="21"/>
        </w:rPr>
        <w:t>m</w:t>
      </w:r>
      <w:r>
        <w:rPr>
          <w:color w:val="auto"/>
          <w:szCs w:val="21"/>
        </w:rPr>
        <w:t>）；</w:t>
      </w:r>
    </w:p>
    <w:p w14:paraId="20A72F57">
      <w:pPr>
        <w:tabs>
          <w:tab w:val="left" w:pos="720"/>
        </w:tabs>
        <w:adjustRightInd w:val="0"/>
        <w:snapToGrid w:val="0"/>
        <w:spacing w:line="340" w:lineRule="exact"/>
        <w:ind w:left="1135" w:leftChars="-66" w:hanging="1274" w:hangingChars="607"/>
        <w:rPr>
          <w:color w:val="auto"/>
          <w:szCs w:val="21"/>
        </w:rPr>
      </w:pPr>
      <w:r>
        <w:rPr>
          <w:color w:val="auto"/>
          <w:position w:val="-12"/>
          <w:szCs w:val="21"/>
        </w:rPr>
        <w:object>
          <v:shape id="_x0000_i1111" o:spt="75" type="#_x0000_t75" style="height:18pt;width:12.75pt;" o:ole="t" filled="f" o:preferrelative="t" stroked="f" coordsize="21600,21600">
            <v:path/>
            <v:fill on="f" focussize="0,0"/>
            <v:stroke on="f" joinstyle="miter"/>
            <v:imagedata r:id="rId175" o:title=""/>
            <o:lock v:ext="edit" aspectratio="t"/>
            <w10:wrap type="none"/>
            <w10:anchorlock/>
          </v:shape>
          <o:OLEObject Type="Embed" ProgID="Equation.DSMT4" ShapeID="_x0000_i1111" DrawAspect="Content" ObjectID="_1468075811" r:id="rId174">
            <o:LockedField>false</o:LockedField>
          </o:OLEObject>
        </w:object>
      </w:r>
      <w:r>
        <w:rPr>
          <w:color w:val="auto"/>
          <w:szCs w:val="21"/>
        </w:rPr>
        <w:t>、</w:t>
      </w:r>
      <w:r>
        <w:rPr>
          <w:color w:val="auto"/>
          <w:position w:val="-12"/>
          <w:szCs w:val="21"/>
        </w:rPr>
        <w:object>
          <v:shape id="_x0000_i1112" o:spt="75" type="#_x0000_t75" style="height:18pt;width:18.75pt;" o:ole="t" filled="f" o:preferrelative="t" stroked="f" coordsize="21600,21600">
            <v:path/>
            <v:fill on="f" focussize="0,0"/>
            <v:stroke on="f" joinstyle="miter"/>
            <v:imagedata r:id="rId177" o:title=""/>
            <o:lock v:ext="edit" aspectratio="t"/>
            <w10:wrap type="none"/>
            <w10:anchorlock/>
          </v:shape>
          <o:OLEObject Type="Embed" ProgID="Equation.DSMT4" ShapeID="_x0000_i1112" DrawAspect="Content" ObjectID="_1468075812" r:id="rId176">
            <o:LockedField>false</o:LockedField>
          </o:OLEObject>
        </w:object>
      </w:r>
      <w:r>
        <w:rPr>
          <w:color w:val="auto"/>
          <w:szCs w:val="21"/>
        </w:rPr>
        <w:t>——基础底面计算点至第</w:t>
      </w:r>
      <w:r>
        <w:rPr>
          <w:i/>
          <w:color w:val="auto"/>
          <w:szCs w:val="21"/>
        </w:rPr>
        <w:t>i</w:t>
      </w:r>
      <w:r>
        <w:rPr>
          <w:color w:val="auto"/>
          <w:szCs w:val="21"/>
        </w:rPr>
        <w:t>层土、第</w:t>
      </w:r>
      <w:r>
        <w:rPr>
          <w:i/>
          <w:color w:val="auto"/>
          <w:szCs w:val="21"/>
        </w:rPr>
        <w:t>i</w:t>
      </w:r>
      <w:r>
        <w:rPr>
          <w:color w:val="auto"/>
          <w:szCs w:val="21"/>
        </w:rPr>
        <w:t>−1层土底面范围内平均附加应力系数，可按本文件附录</w:t>
      </w:r>
      <w:r>
        <w:rPr>
          <w:iCs/>
          <w:color w:val="auto"/>
          <w:szCs w:val="21"/>
        </w:rPr>
        <w:t>G</w:t>
      </w:r>
      <w:r>
        <w:rPr>
          <w:color w:val="auto"/>
          <w:szCs w:val="21"/>
        </w:rPr>
        <w:t>采用。</w:t>
      </w:r>
    </w:p>
    <w:p w14:paraId="7AA1F7BB">
      <w:pPr>
        <w:adjustRightInd w:val="0"/>
        <w:snapToGrid w:val="0"/>
        <w:spacing w:before="120" w:line="360" w:lineRule="atLeast"/>
        <w:jc w:val="center"/>
        <w:rPr>
          <w:rFonts w:eastAsia="黑体"/>
          <w:b/>
          <w:bCs/>
          <w:color w:val="auto"/>
          <w:szCs w:val="21"/>
        </w:rPr>
      </w:pPr>
      <w:r>
        <w:rPr>
          <w:rFonts w:eastAsia="黑体"/>
          <w:b/>
          <w:bCs/>
          <w:color w:val="auto"/>
          <w:szCs w:val="21"/>
        </w:rPr>
        <w:t>表22  沉降计算经验系数</w:t>
      </w:r>
      <w:r>
        <w:rPr>
          <w:rFonts w:eastAsia="黑体"/>
          <w:b/>
          <w:bCs/>
          <w:color w:val="auto"/>
          <w:position w:val="-12"/>
          <w:szCs w:val="21"/>
        </w:rPr>
        <w:object>
          <v:shape id="_x0000_i1113" o:spt="75" type="#_x0000_t75" style="height:18pt;width:15pt;" o:ole="t" filled="f" o:preferrelative="t" stroked="f" coordsize="21600,21600">
            <v:path/>
            <v:fill on="f" focussize="0,0"/>
            <v:stroke on="f" joinstyle="miter"/>
            <v:imagedata r:id="rId179" o:title=""/>
            <o:lock v:ext="edit" aspectratio="t"/>
            <w10:wrap type="none"/>
            <w10:anchorlock/>
          </v:shape>
          <o:OLEObject Type="Embed" ProgID="Equation.DSMT4" ShapeID="_x0000_i1113" DrawAspect="Content" ObjectID="_1468075813" r:id="rId178">
            <o:LockedField>false</o:LockedField>
          </o:OLEObject>
        </w:object>
      </w:r>
    </w:p>
    <w:tbl>
      <w:tblPr>
        <w:tblStyle w:val="36"/>
        <w:tblW w:w="92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46"/>
        <w:gridCol w:w="1391"/>
        <w:gridCol w:w="1353"/>
        <w:gridCol w:w="1347"/>
        <w:gridCol w:w="1391"/>
        <w:gridCol w:w="1350"/>
      </w:tblGrid>
      <w:tr w14:paraId="03BC3A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2446" w:type="dxa"/>
            <w:vMerge w:val="restart"/>
            <w:vAlign w:val="center"/>
          </w:tcPr>
          <w:p w14:paraId="021339A2">
            <w:pPr>
              <w:pStyle w:val="20"/>
              <w:adjustRightInd w:val="0"/>
              <w:snapToGrid w:val="0"/>
              <w:ind w:left="99" w:leftChars="47"/>
              <w:jc w:val="center"/>
              <w:rPr>
                <w:color w:val="auto"/>
                <w:sz w:val="18"/>
                <w:szCs w:val="18"/>
              </w:rPr>
            </w:pPr>
            <w:r>
              <w:rPr>
                <w:color w:val="auto"/>
                <w:position w:val="-6"/>
                <w:sz w:val="18"/>
                <w:szCs w:val="18"/>
              </w:rPr>
              <w:t>基底附加压力</w:t>
            </w:r>
          </w:p>
        </w:tc>
        <w:tc>
          <w:tcPr>
            <w:tcW w:w="6832" w:type="dxa"/>
            <w:gridSpan w:val="5"/>
            <w:vAlign w:val="center"/>
          </w:tcPr>
          <w:p w14:paraId="20D07734">
            <w:pPr>
              <w:adjustRightInd w:val="0"/>
              <w:snapToGrid w:val="0"/>
              <w:jc w:val="center"/>
              <w:rPr>
                <w:color w:val="auto"/>
                <w:sz w:val="18"/>
                <w:szCs w:val="18"/>
              </w:rPr>
            </w:pPr>
            <w:r>
              <w:rPr>
                <w:color w:val="auto"/>
                <w:position w:val="-12"/>
                <w:sz w:val="18"/>
                <w:szCs w:val="18"/>
              </w:rPr>
              <w:object>
                <v:shape id="_x0000_i1114" o:spt="75" type="#_x0000_t75" style="height:18pt;width:11.25pt;" o:ole="t" filled="f" o:preferrelative="t" stroked="f" coordsize="21600,21600">
                  <v:path/>
                  <v:fill on="f" focussize="0,0"/>
                  <v:stroke on="f" joinstyle="miter"/>
                  <v:imagedata r:id="rId181" o:title=""/>
                  <o:lock v:ext="edit" aspectratio="t"/>
                  <w10:wrap type="none"/>
                  <w10:anchorlock/>
                </v:shape>
                <o:OLEObject Type="Embed" ProgID="Equation.DSMT4" ShapeID="_x0000_i1114" DrawAspect="Content" ObjectID="_1468075814" r:id="rId180">
                  <o:LockedField>false</o:LockedField>
                </o:OLEObject>
              </w:object>
            </w:r>
            <w:r>
              <w:rPr>
                <w:color w:val="auto"/>
                <w:sz w:val="18"/>
                <w:szCs w:val="18"/>
              </w:rPr>
              <w:t>（</w:t>
            </w:r>
            <w:r>
              <w:rPr>
                <w:iCs/>
                <w:color w:val="auto"/>
                <w:sz w:val="18"/>
                <w:szCs w:val="18"/>
              </w:rPr>
              <w:t>MPa</w:t>
            </w:r>
            <w:r>
              <w:rPr>
                <w:color w:val="auto"/>
                <w:sz w:val="18"/>
                <w:szCs w:val="18"/>
              </w:rPr>
              <w:t>）</w:t>
            </w:r>
          </w:p>
        </w:tc>
      </w:tr>
      <w:tr w14:paraId="388661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2446" w:type="dxa"/>
            <w:vMerge w:val="continue"/>
            <w:vAlign w:val="center"/>
          </w:tcPr>
          <w:p w14:paraId="6785A945">
            <w:pPr>
              <w:pStyle w:val="20"/>
              <w:adjustRightInd w:val="0"/>
              <w:snapToGrid w:val="0"/>
              <w:ind w:left="99" w:leftChars="47"/>
              <w:rPr>
                <w:color w:val="auto"/>
                <w:position w:val="-6"/>
                <w:sz w:val="18"/>
                <w:szCs w:val="18"/>
              </w:rPr>
            </w:pPr>
          </w:p>
        </w:tc>
        <w:tc>
          <w:tcPr>
            <w:tcW w:w="1391" w:type="dxa"/>
            <w:vAlign w:val="center"/>
          </w:tcPr>
          <w:p w14:paraId="2EC8505A">
            <w:pPr>
              <w:adjustRightInd w:val="0"/>
              <w:snapToGrid w:val="0"/>
              <w:jc w:val="center"/>
              <w:rPr>
                <w:color w:val="auto"/>
                <w:sz w:val="18"/>
                <w:szCs w:val="18"/>
              </w:rPr>
            </w:pPr>
            <w:r>
              <w:rPr>
                <w:color w:val="auto"/>
                <w:sz w:val="18"/>
                <w:szCs w:val="18"/>
              </w:rPr>
              <w:t>2.5</w:t>
            </w:r>
          </w:p>
        </w:tc>
        <w:tc>
          <w:tcPr>
            <w:tcW w:w="1353" w:type="dxa"/>
            <w:vAlign w:val="center"/>
          </w:tcPr>
          <w:p w14:paraId="1384DDEF">
            <w:pPr>
              <w:adjustRightInd w:val="0"/>
              <w:snapToGrid w:val="0"/>
              <w:jc w:val="center"/>
              <w:rPr>
                <w:color w:val="auto"/>
                <w:sz w:val="18"/>
                <w:szCs w:val="18"/>
              </w:rPr>
            </w:pPr>
            <w:r>
              <w:rPr>
                <w:color w:val="auto"/>
                <w:sz w:val="18"/>
                <w:szCs w:val="18"/>
              </w:rPr>
              <w:t>4.0</w:t>
            </w:r>
          </w:p>
        </w:tc>
        <w:tc>
          <w:tcPr>
            <w:tcW w:w="1347" w:type="dxa"/>
            <w:vAlign w:val="center"/>
          </w:tcPr>
          <w:p w14:paraId="39774B29">
            <w:pPr>
              <w:adjustRightInd w:val="0"/>
              <w:snapToGrid w:val="0"/>
              <w:jc w:val="center"/>
              <w:rPr>
                <w:color w:val="auto"/>
                <w:sz w:val="18"/>
                <w:szCs w:val="18"/>
              </w:rPr>
            </w:pPr>
            <w:r>
              <w:rPr>
                <w:color w:val="auto"/>
                <w:sz w:val="18"/>
                <w:szCs w:val="18"/>
              </w:rPr>
              <w:t>7.0</w:t>
            </w:r>
          </w:p>
        </w:tc>
        <w:tc>
          <w:tcPr>
            <w:tcW w:w="1391" w:type="dxa"/>
            <w:vAlign w:val="center"/>
          </w:tcPr>
          <w:p w14:paraId="49BEE084">
            <w:pPr>
              <w:adjustRightInd w:val="0"/>
              <w:snapToGrid w:val="0"/>
              <w:jc w:val="center"/>
              <w:rPr>
                <w:color w:val="auto"/>
                <w:sz w:val="18"/>
                <w:szCs w:val="18"/>
              </w:rPr>
            </w:pPr>
            <w:r>
              <w:rPr>
                <w:color w:val="auto"/>
                <w:sz w:val="18"/>
                <w:szCs w:val="18"/>
              </w:rPr>
              <w:t>15.0</w:t>
            </w:r>
          </w:p>
        </w:tc>
        <w:tc>
          <w:tcPr>
            <w:tcW w:w="1350" w:type="dxa"/>
            <w:vAlign w:val="center"/>
          </w:tcPr>
          <w:p w14:paraId="78E797DA">
            <w:pPr>
              <w:adjustRightInd w:val="0"/>
              <w:snapToGrid w:val="0"/>
              <w:jc w:val="center"/>
              <w:rPr>
                <w:color w:val="auto"/>
                <w:sz w:val="18"/>
                <w:szCs w:val="18"/>
              </w:rPr>
            </w:pPr>
            <w:r>
              <w:rPr>
                <w:color w:val="auto"/>
                <w:sz w:val="18"/>
                <w:szCs w:val="18"/>
              </w:rPr>
              <w:t>20.0</w:t>
            </w:r>
          </w:p>
        </w:tc>
      </w:tr>
      <w:tr w14:paraId="1865D6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2446" w:type="dxa"/>
            <w:vAlign w:val="center"/>
          </w:tcPr>
          <w:p w14:paraId="6B870516">
            <w:pPr>
              <w:adjustRightInd w:val="0"/>
              <w:snapToGrid w:val="0"/>
              <w:jc w:val="center"/>
              <w:rPr>
                <w:color w:val="auto"/>
                <w:sz w:val="18"/>
                <w:szCs w:val="18"/>
              </w:rPr>
            </w:pPr>
            <w:r>
              <w:rPr>
                <w:color w:val="auto"/>
                <w:position w:val="-12"/>
                <w:sz w:val="18"/>
                <w:szCs w:val="18"/>
              </w:rPr>
              <w:object>
                <v:shape id="_x0000_i1115" o:spt="75" type="#_x0000_t75" style="height:17.25pt;width:14.25pt;" o:ole="t" filled="f" o:preferrelative="t" stroked="f" coordsize="21600,21600">
                  <v:path/>
                  <v:fill on="f" focussize="0,0"/>
                  <v:stroke on="f" joinstyle="miter"/>
                  <v:imagedata r:id="rId183" o:title=""/>
                  <o:lock v:ext="edit" aspectratio="t"/>
                  <w10:wrap type="none"/>
                  <w10:anchorlock/>
                </v:shape>
                <o:OLEObject Type="Embed" ProgID="Equation.DSMT4" ShapeID="_x0000_i1115" DrawAspect="Content" ObjectID="_1468075815" r:id="rId182">
                  <o:LockedField>false</o:LockedField>
                </o:OLEObject>
              </w:object>
            </w:r>
            <w:r>
              <w:rPr>
                <w:color w:val="auto"/>
                <w:sz w:val="18"/>
                <w:szCs w:val="18"/>
              </w:rPr>
              <w:t>≥</w:t>
            </w:r>
            <w:r>
              <w:rPr>
                <w:color w:val="auto"/>
                <w:position w:val="-12"/>
                <w:sz w:val="18"/>
                <w:szCs w:val="18"/>
              </w:rPr>
              <w:object>
                <v:shape id="_x0000_i1116" o:spt="75" type="#_x0000_t75" style="height:18pt;width:15pt;" o:ole="t" filled="f" o:preferrelative="t" stroked="f" coordsize="21600,21600">
                  <v:path/>
                  <v:fill on="f" focussize="0,0"/>
                  <v:stroke on="f" joinstyle="miter"/>
                  <v:imagedata r:id="rId185" o:title=""/>
                  <o:lock v:ext="edit" aspectratio="t"/>
                  <w10:wrap type="none"/>
                  <w10:anchorlock/>
                </v:shape>
                <o:OLEObject Type="Embed" ProgID="Equation.DSMT4" ShapeID="_x0000_i1116" DrawAspect="Content" ObjectID="_1468075816" r:id="rId184">
                  <o:LockedField>false</o:LockedField>
                </o:OLEObject>
              </w:object>
            </w:r>
          </w:p>
          <w:p w14:paraId="7FA6FF89">
            <w:pPr>
              <w:adjustRightInd w:val="0"/>
              <w:snapToGrid w:val="0"/>
              <w:jc w:val="center"/>
              <w:rPr>
                <w:color w:val="auto"/>
                <w:sz w:val="18"/>
                <w:szCs w:val="18"/>
              </w:rPr>
            </w:pPr>
            <w:r>
              <w:rPr>
                <w:color w:val="auto"/>
                <w:position w:val="-12"/>
                <w:sz w:val="18"/>
                <w:szCs w:val="18"/>
              </w:rPr>
              <w:object>
                <v:shape id="_x0000_i1117" o:spt="75" type="#_x0000_t75" style="height:18pt;width:15pt;" o:ole="t" filled="f" o:preferrelative="t" stroked="f" coordsize="21600,21600">
                  <v:path/>
                  <v:fill on="f" focussize="0,0"/>
                  <v:stroke on="f" joinstyle="miter"/>
                  <v:imagedata r:id="rId187" o:title=""/>
                  <o:lock v:ext="edit" aspectratio="t"/>
                  <w10:wrap type="none"/>
                  <w10:anchorlock/>
                </v:shape>
                <o:OLEObject Type="Embed" ProgID="Equation.DSMT4" ShapeID="_x0000_i1117" DrawAspect="Content" ObjectID="_1468075817" r:id="rId186">
                  <o:LockedField>false</o:LockedField>
                </o:OLEObject>
              </w:object>
            </w:r>
            <w:r>
              <w:rPr>
                <w:color w:val="auto"/>
                <w:sz w:val="18"/>
                <w:szCs w:val="18"/>
              </w:rPr>
              <w:t>≤</w:t>
            </w:r>
            <w:r>
              <w:rPr>
                <w:color w:val="auto"/>
                <w:position w:val="-12"/>
                <w:sz w:val="18"/>
                <w:szCs w:val="18"/>
              </w:rPr>
              <w:object>
                <v:shape id="_x0000_i1118" o:spt="75" type="#_x0000_t75" style="height:18pt;width:26.25pt;" o:ole="t" filled="f" o:preferrelative="t" stroked="f" coordsize="21600,21600">
                  <v:path/>
                  <v:fill on="f" focussize="0,0"/>
                  <v:stroke on="f" joinstyle="miter"/>
                  <v:imagedata r:id="rId189" o:title=""/>
                  <o:lock v:ext="edit" aspectratio="t"/>
                  <w10:wrap type="none"/>
                  <w10:anchorlock/>
                </v:shape>
                <o:OLEObject Type="Embed" ProgID="Equation.DSMT4" ShapeID="_x0000_i1118" DrawAspect="Content" ObjectID="_1468075818" r:id="rId188">
                  <o:LockedField>false</o:LockedField>
                </o:OLEObject>
              </w:object>
            </w:r>
          </w:p>
        </w:tc>
        <w:tc>
          <w:tcPr>
            <w:tcW w:w="1391" w:type="dxa"/>
            <w:vAlign w:val="center"/>
          </w:tcPr>
          <w:p w14:paraId="349731BE">
            <w:pPr>
              <w:adjustRightInd w:val="0"/>
              <w:snapToGrid w:val="0"/>
              <w:jc w:val="center"/>
              <w:rPr>
                <w:color w:val="auto"/>
                <w:sz w:val="18"/>
                <w:szCs w:val="18"/>
              </w:rPr>
            </w:pPr>
            <w:r>
              <w:rPr>
                <w:color w:val="auto"/>
                <w:sz w:val="18"/>
                <w:szCs w:val="18"/>
              </w:rPr>
              <w:t>1.4</w:t>
            </w:r>
          </w:p>
          <w:p w14:paraId="4CD14703">
            <w:pPr>
              <w:adjustRightInd w:val="0"/>
              <w:snapToGrid w:val="0"/>
              <w:jc w:val="center"/>
              <w:rPr>
                <w:color w:val="auto"/>
                <w:sz w:val="18"/>
                <w:szCs w:val="18"/>
              </w:rPr>
            </w:pPr>
            <w:r>
              <w:rPr>
                <w:color w:val="auto"/>
                <w:sz w:val="18"/>
                <w:szCs w:val="18"/>
              </w:rPr>
              <w:t>1.1</w:t>
            </w:r>
          </w:p>
        </w:tc>
        <w:tc>
          <w:tcPr>
            <w:tcW w:w="1353" w:type="dxa"/>
            <w:vAlign w:val="center"/>
          </w:tcPr>
          <w:p w14:paraId="5C4179E1">
            <w:pPr>
              <w:adjustRightInd w:val="0"/>
              <w:snapToGrid w:val="0"/>
              <w:jc w:val="center"/>
              <w:rPr>
                <w:color w:val="auto"/>
                <w:sz w:val="18"/>
                <w:szCs w:val="18"/>
              </w:rPr>
            </w:pPr>
            <w:r>
              <w:rPr>
                <w:color w:val="auto"/>
                <w:sz w:val="18"/>
                <w:szCs w:val="18"/>
              </w:rPr>
              <w:t>1.3</w:t>
            </w:r>
          </w:p>
          <w:p w14:paraId="24996891">
            <w:pPr>
              <w:adjustRightInd w:val="0"/>
              <w:snapToGrid w:val="0"/>
              <w:jc w:val="center"/>
              <w:rPr>
                <w:color w:val="auto"/>
                <w:sz w:val="18"/>
                <w:szCs w:val="18"/>
              </w:rPr>
            </w:pPr>
            <w:r>
              <w:rPr>
                <w:color w:val="auto"/>
                <w:sz w:val="18"/>
                <w:szCs w:val="18"/>
              </w:rPr>
              <w:t>1.0</w:t>
            </w:r>
          </w:p>
        </w:tc>
        <w:tc>
          <w:tcPr>
            <w:tcW w:w="1347" w:type="dxa"/>
            <w:vAlign w:val="center"/>
          </w:tcPr>
          <w:p w14:paraId="67F82F88">
            <w:pPr>
              <w:adjustRightInd w:val="0"/>
              <w:snapToGrid w:val="0"/>
              <w:jc w:val="center"/>
              <w:rPr>
                <w:color w:val="auto"/>
                <w:sz w:val="18"/>
                <w:szCs w:val="18"/>
              </w:rPr>
            </w:pPr>
            <w:r>
              <w:rPr>
                <w:color w:val="auto"/>
                <w:sz w:val="18"/>
                <w:szCs w:val="18"/>
              </w:rPr>
              <w:t>1.0</w:t>
            </w:r>
          </w:p>
          <w:p w14:paraId="7DD694D7">
            <w:pPr>
              <w:adjustRightInd w:val="0"/>
              <w:snapToGrid w:val="0"/>
              <w:jc w:val="center"/>
              <w:rPr>
                <w:color w:val="auto"/>
                <w:sz w:val="18"/>
                <w:szCs w:val="18"/>
              </w:rPr>
            </w:pPr>
            <w:r>
              <w:rPr>
                <w:color w:val="auto"/>
                <w:sz w:val="18"/>
                <w:szCs w:val="18"/>
              </w:rPr>
              <w:t>0.7</w:t>
            </w:r>
          </w:p>
        </w:tc>
        <w:tc>
          <w:tcPr>
            <w:tcW w:w="1391" w:type="dxa"/>
            <w:vAlign w:val="center"/>
          </w:tcPr>
          <w:p w14:paraId="2D3512AC">
            <w:pPr>
              <w:adjustRightInd w:val="0"/>
              <w:snapToGrid w:val="0"/>
              <w:jc w:val="center"/>
              <w:rPr>
                <w:color w:val="auto"/>
                <w:sz w:val="18"/>
                <w:szCs w:val="18"/>
              </w:rPr>
            </w:pPr>
            <w:r>
              <w:rPr>
                <w:color w:val="auto"/>
                <w:sz w:val="18"/>
                <w:szCs w:val="18"/>
              </w:rPr>
              <w:t>0.4</w:t>
            </w:r>
          </w:p>
          <w:p w14:paraId="40C573CC">
            <w:pPr>
              <w:adjustRightInd w:val="0"/>
              <w:snapToGrid w:val="0"/>
              <w:jc w:val="center"/>
              <w:rPr>
                <w:color w:val="auto"/>
                <w:sz w:val="18"/>
                <w:szCs w:val="18"/>
              </w:rPr>
            </w:pPr>
            <w:r>
              <w:rPr>
                <w:color w:val="auto"/>
                <w:sz w:val="18"/>
                <w:szCs w:val="18"/>
              </w:rPr>
              <w:t>0.4</w:t>
            </w:r>
          </w:p>
        </w:tc>
        <w:tc>
          <w:tcPr>
            <w:tcW w:w="1350" w:type="dxa"/>
            <w:vAlign w:val="center"/>
          </w:tcPr>
          <w:p w14:paraId="1CBD5427">
            <w:pPr>
              <w:adjustRightInd w:val="0"/>
              <w:snapToGrid w:val="0"/>
              <w:jc w:val="center"/>
              <w:rPr>
                <w:color w:val="auto"/>
                <w:sz w:val="18"/>
                <w:szCs w:val="18"/>
              </w:rPr>
            </w:pPr>
            <w:r>
              <w:rPr>
                <w:color w:val="auto"/>
                <w:sz w:val="18"/>
                <w:szCs w:val="18"/>
              </w:rPr>
              <w:t>0.2</w:t>
            </w:r>
          </w:p>
          <w:p w14:paraId="6E98847E">
            <w:pPr>
              <w:adjustRightInd w:val="0"/>
              <w:snapToGrid w:val="0"/>
              <w:jc w:val="center"/>
              <w:rPr>
                <w:color w:val="auto"/>
                <w:sz w:val="18"/>
                <w:szCs w:val="18"/>
              </w:rPr>
            </w:pPr>
            <w:r>
              <w:rPr>
                <w:color w:val="auto"/>
                <w:sz w:val="18"/>
                <w:szCs w:val="18"/>
              </w:rPr>
              <w:t>0.2</w:t>
            </w:r>
          </w:p>
        </w:tc>
      </w:tr>
      <w:tr w14:paraId="0CA95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2" w:hRule="atLeast"/>
          <w:jc w:val="center"/>
        </w:trPr>
        <w:tc>
          <w:tcPr>
            <w:tcW w:w="9278" w:type="dxa"/>
            <w:gridSpan w:val="6"/>
            <w:vAlign w:val="center"/>
          </w:tcPr>
          <w:p w14:paraId="7B98E6C8">
            <w:pPr>
              <w:adjustRightInd w:val="0"/>
              <w:snapToGrid w:val="0"/>
              <w:rPr>
                <w:color w:val="auto"/>
                <w:sz w:val="18"/>
                <w:szCs w:val="18"/>
              </w:rPr>
            </w:pPr>
            <w:r>
              <w:rPr>
                <w:color w:val="auto"/>
                <w:sz w:val="18"/>
                <w:szCs w:val="18"/>
              </w:rPr>
              <w:t>注：</w:t>
            </w:r>
            <w:r>
              <w:rPr>
                <w:color w:val="auto"/>
                <w:position w:val="-12"/>
                <w:sz w:val="18"/>
                <w:szCs w:val="18"/>
              </w:rPr>
              <w:object>
                <v:shape id="_x0000_i1119" o:spt="75" type="#_x0000_t75" style="height:18pt;width:12pt;" o:ole="t" filled="f" o:preferrelative="t" stroked="f" coordsize="21600,21600">
                  <v:path/>
                  <v:fill on="f" focussize="0,0"/>
                  <v:stroke on="f" joinstyle="miter"/>
                  <v:imagedata r:id="rId191" o:title=""/>
                  <o:lock v:ext="edit" aspectratio="t"/>
                  <w10:wrap type="none"/>
                  <w10:anchorlock/>
                </v:shape>
                <o:OLEObject Type="Embed" ProgID="Equation.DSMT4" ShapeID="_x0000_i1119" DrawAspect="Content" ObjectID="_1468075819" r:id="rId190">
                  <o:LockedField>false</o:LockedField>
                </o:OLEObject>
              </w:object>
            </w:r>
            <w:r>
              <w:rPr>
                <w:color w:val="auto"/>
                <w:sz w:val="18"/>
                <w:szCs w:val="18"/>
              </w:rPr>
              <w:t>为变形计算深度范围内压缩模量的当量值，应按下式计算：</w:t>
            </w:r>
          </w:p>
          <w:p w14:paraId="38AA695A">
            <w:pPr>
              <w:adjustRightInd w:val="0"/>
              <w:snapToGrid w:val="0"/>
              <w:ind w:firstLine="28"/>
              <w:jc w:val="center"/>
              <w:rPr>
                <w:color w:val="auto"/>
                <w:sz w:val="18"/>
                <w:szCs w:val="18"/>
              </w:rPr>
            </w:pPr>
            <w:r>
              <w:rPr>
                <w:color w:val="auto"/>
                <w:position w:val="-30"/>
                <w:sz w:val="18"/>
                <w:szCs w:val="18"/>
              </w:rPr>
              <w:object>
                <v:shape id="_x0000_i1120" o:spt="75" type="#_x0000_t75" style="height:28.5pt;width:51.75pt;" o:ole="t" filled="f" o:preferrelative="t" stroked="f" coordsize="21600,21600">
                  <v:path/>
                  <v:fill on="f" focussize="0,0"/>
                  <v:stroke on="f" joinstyle="miter"/>
                  <v:imagedata r:id="rId193" o:title=""/>
                  <o:lock v:ext="edit" aspectratio="t"/>
                  <w10:wrap type="none"/>
                  <w10:anchorlock/>
                </v:shape>
                <o:OLEObject Type="Embed" ProgID="Equation.DSMT4" ShapeID="_x0000_i1120" DrawAspect="Content" ObjectID="_1468075820" r:id="rId192">
                  <o:LockedField>false</o:LockedField>
                </o:OLEObject>
              </w:object>
            </w:r>
          </w:p>
          <w:p w14:paraId="5289A2C3">
            <w:pPr>
              <w:adjustRightInd w:val="0"/>
              <w:snapToGrid w:val="0"/>
              <w:rPr>
                <w:color w:val="auto"/>
                <w:sz w:val="18"/>
                <w:szCs w:val="18"/>
              </w:rPr>
            </w:pPr>
            <w:r>
              <w:rPr>
                <w:rFonts w:hint="eastAsia"/>
                <w:color w:val="auto"/>
                <w:sz w:val="18"/>
                <w:szCs w:val="18"/>
              </w:rPr>
              <w:t xml:space="preserve">     </w:t>
            </w:r>
            <w:r>
              <w:rPr>
                <w:color w:val="auto"/>
                <w:sz w:val="18"/>
                <w:szCs w:val="18"/>
              </w:rPr>
              <w:t xml:space="preserve">式中  </w:t>
            </w:r>
            <w:r>
              <w:rPr>
                <w:color w:val="auto"/>
                <w:position w:val="-12"/>
                <w:sz w:val="18"/>
                <w:szCs w:val="18"/>
              </w:rPr>
              <w:object>
                <v:shape id="_x0000_i1121" o:spt="75" type="#_x0000_t75" style="height:18pt;width:11.25pt;" o:ole="t" filled="f" o:preferrelative="t" stroked="f" coordsize="21600,21600">
                  <v:path/>
                  <v:fill on="f" focussize="0,0"/>
                  <v:stroke on="f" joinstyle="miter"/>
                  <v:imagedata r:id="rId195" o:title=""/>
                  <o:lock v:ext="edit" aspectratio="t"/>
                  <w10:wrap type="none"/>
                  <w10:anchorlock/>
                </v:shape>
                <o:OLEObject Type="Embed" ProgID="Equation.DSMT4" ShapeID="_x0000_i1121" DrawAspect="Content" ObjectID="_1468075821" r:id="rId194">
                  <o:LockedField>false</o:LockedField>
                </o:OLEObject>
              </w:object>
            </w:r>
            <w:r>
              <w:rPr>
                <w:color w:val="auto"/>
                <w:sz w:val="18"/>
                <w:szCs w:val="18"/>
              </w:rPr>
              <w:t>——第</w:t>
            </w:r>
            <w:r>
              <w:rPr>
                <w:i/>
                <w:color w:val="auto"/>
                <w:sz w:val="18"/>
                <w:szCs w:val="18"/>
              </w:rPr>
              <w:t>i</w:t>
            </w:r>
            <w:r>
              <w:rPr>
                <w:color w:val="auto"/>
                <w:sz w:val="18"/>
                <w:szCs w:val="18"/>
              </w:rPr>
              <w:t>层土附加应力系数沿土层厚度的积分值。</w:t>
            </w:r>
          </w:p>
        </w:tc>
      </w:tr>
    </w:tbl>
    <w:p w14:paraId="3C675EA6">
      <w:pPr>
        <w:adjustRightInd w:val="0"/>
        <w:snapToGrid w:val="0"/>
        <w:spacing w:before="360" w:line="360" w:lineRule="atLeast"/>
        <w:jc w:val="center"/>
        <w:rPr>
          <w:color w:val="auto"/>
          <w:sz w:val="24"/>
        </w:rPr>
      </w:pPr>
      <w:r>
        <w:rPr>
          <w:color w:val="auto"/>
          <w:sz w:val="18"/>
          <w:szCs w:val="18"/>
        </w:rPr>
        <w:drawing>
          <wp:inline distT="0" distB="0" distL="0" distR="0">
            <wp:extent cx="3019425" cy="2076450"/>
            <wp:effectExtent l="0" t="0" r="0" b="0"/>
            <wp:docPr id="9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a:xfrm>
                      <a:off x="0" y="0"/>
                      <a:ext cx="3019425" cy="2076450"/>
                    </a:xfrm>
                    <a:prstGeom prst="rect">
                      <a:avLst/>
                    </a:prstGeom>
                    <a:noFill/>
                    <a:ln>
                      <a:noFill/>
                    </a:ln>
                  </pic:spPr>
                </pic:pic>
              </a:graphicData>
            </a:graphic>
          </wp:inline>
        </w:drawing>
      </w:r>
    </w:p>
    <w:p w14:paraId="6C10CCB2">
      <w:pPr>
        <w:adjustRightInd w:val="0"/>
        <w:snapToGrid w:val="0"/>
        <w:spacing w:after="124" w:afterLines="40" w:line="360" w:lineRule="atLeast"/>
        <w:jc w:val="center"/>
        <w:rPr>
          <w:b/>
          <w:color w:val="auto"/>
          <w:sz w:val="18"/>
          <w:szCs w:val="18"/>
        </w:rPr>
      </w:pPr>
      <w:r>
        <w:rPr>
          <w:b/>
          <w:color w:val="auto"/>
          <w:sz w:val="18"/>
          <w:szCs w:val="18"/>
        </w:rPr>
        <w:t>图2  基础沉降计算的分层示意</w:t>
      </w:r>
    </w:p>
    <w:p w14:paraId="0295400A">
      <w:pPr>
        <w:adjustRightInd w:val="0"/>
        <w:snapToGrid w:val="0"/>
        <w:spacing w:before="120" w:line="360" w:lineRule="atLeast"/>
        <w:ind w:firstLine="720"/>
        <w:rPr>
          <w:color w:val="auto"/>
          <w:szCs w:val="21"/>
        </w:rPr>
      </w:pPr>
      <w:r>
        <w:rPr>
          <w:color w:val="auto"/>
          <w:szCs w:val="21"/>
        </w:rPr>
        <w:t>地基沉降计算深度</w:t>
      </w:r>
      <w:r>
        <w:rPr>
          <w:i/>
          <w:color w:val="auto"/>
          <w:szCs w:val="21"/>
        </w:rPr>
        <w:t>z</w:t>
      </w:r>
      <w:r>
        <w:rPr>
          <w:iCs/>
          <w:color w:val="auto"/>
          <w:szCs w:val="21"/>
          <w:vertAlign w:val="subscript"/>
        </w:rPr>
        <w:t>n</w:t>
      </w:r>
      <w:r>
        <w:rPr>
          <w:color w:val="auto"/>
          <w:szCs w:val="21"/>
        </w:rPr>
        <w:t>（图2），应符合</w:t>
      </w:r>
      <w:r>
        <w:rPr>
          <w:rFonts w:hint="eastAsia"/>
          <w:color w:val="auto"/>
          <w:lang w:val="en-US" w:eastAsia="zh-CN"/>
        </w:rPr>
        <w:t>公式（23）</w:t>
      </w:r>
      <w:r>
        <w:rPr>
          <w:color w:val="auto"/>
          <w:szCs w:val="21"/>
        </w:rPr>
        <w:t>要求：</w:t>
      </w:r>
    </w:p>
    <w:p w14:paraId="6217100C">
      <w:pPr>
        <w:pStyle w:val="12"/>
        <w:jc w:val="right"/>
        <w:rPr>
          <w:color w:val="auto"/>
          <w:szCs w:val="21"/>
        </w:rPr>
      </w:pPr>
      <w:r>
        <w:rPr>
          <w:color w:val="auto"/>
          <w:position w:val="-12"/>
          <w:szCs w:val="21"/>
        </w:rPr>
        <w:object>
          <v:shape id="_x0000_i1122" o:spt="75" type="#_x0000_t75" style="height:18pt;width:18pt;" o:ole="t" filled="f" o:preferrelative="t" stroked="f" coordsize="21600,21600">
            <v:path/>
            <v:fill on="f" focussize="0,0"/>
            <v:stroke on="f" joinstyle="miter"/>
            <v:imagedata r:id="rId198" o:title=""/>
            <o:lock v:ext="edit" aspectratio="t"/>
            <w10:wrap type="none"/>
            <w10:anchorlock/>
          </v:shape>
          <o:OLEObject Type="Embed" ProgID="Equation.DSMT4" ShapeID="_x0000_i1122" DrawAspect="Content" ObjectID="_1468075822" r:id="rId197">
            <o:LockedField>false</o:LockedField>
          </o:OLEObject>
        </w:object>
      </w:r>
      <w:r>
        <w:rPr>
          <w:color w:val="auto"/>
          <w:szCs w:val="21"/>
        </w:rPr>
        <w:t>≤</w:t>
      </w:r>
      <w:r>
        <w:rPr>
          <w:color w:val="auto"/>
          <w:position w:val="-22"/>
          <w:szCs w:val="21"/>
        </w:rPr>
        <w:object>
          <v:shape id="_x0000_i1123" o:spt="75" type="#_x0000_t75" style="height:33pt;width:57pt;" o:ole="t" filled="f" o:preferrelative="t" stroked="f" coordsize="21600,21600">
            <v:path/>
            <v:fill on="f" focussize="0,0"/>
            <v:stroke on="f" joinstyle="miter"/>
            <v:imagedata r:id="rId200" o:title=""/>
            <o:lock v:ext="edit" aspectratio="t"/>
            <w10:wrap type="none"/>
            <w10:anchorlock/>
          </v:shape>
          <o:OLEObject Type="Embed" ProgID="Equation.DSMT4" ShapeID="_x0000_i1123" DrawAspect="Content" ObjectID="_1468075823" r:id="rId19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23</w:t>
      </w:r>
      <w:r>
        <w:rPr>
          <w:color w:val="auto"/>
          <w:szCs w:val="21"/>
        </w:rPr>
        <w:fldChar w:fldCharType="end"/>
      </w:r>
      <w:r>
        <w:rPr>
          <w:color w:val="auto"/>
          <w:szCs w:val="21"/>
        </w:rPr>
        <w:t>)</w:t>
      </w:r>
    </w:p>
    <w:p w14:paraId="35729BF9">
      <w:pPr>
        <w:adjustRightInd w:val="0"/>
        <w:snapToGrid w:val="0"/>
        <w:spacing w:before="93" w:beforeLines="30" w:line="360" w:lineRule="atLeast"/>
        <w:rPr>
          <w:color w:val="auto"/>
          <w:szCs w:val="21"/>
        </w:rPr>
      </w:pPr>
      <w:r>
        <w:rPr>
          <w:color w:val="auto"/>
          <w:szCs w:val="21"/>
        </w:rPr>
        <w:t xml:space="preserve">式中  </w:t>
      </w:r>
      <w:r>
        <w:rPr>
          <w:color w:val="auto"/>
          <w:position w:val="-12"/>
          <w:szCs w:val="21"/>
        </w:rPr>
        <w:object>
          <v:shape id="_x0000_i1124" o:spt="75" type="#_x0000_t75" style="height:18pt;width:17.25pt;" o:ole="t" filled="f" o:preferrelative="t" stroked="f" coordsize="21600,21600">
            <v:path/>
            <v:fill on="f" focussize="0,0"/>
            <v:stroke on="f" joinstyle="miter"/>
            <v:imagedata r:id="rId202" o:title=""/>
            <o:lock v:ext="edit" aspectratio="t"/>
            <w10:wrap type="none"/>
            <w10:anchorlock/>
          </v:shape>
          <o:OLEObject Type="Embed" ProgID="Equation.DSMT4" ShapeID="_x0000_i1124" DrawAspect="Content" ObjectID="_1468075824" r:id="rId201">
            <o:LockedField>false</o:LockedField>
          </o:OLEObject>
        </w:object>
      </w:r>
      <w:r>
        <w:rPr>
          <w:color w:val="auto"/>
          <w:szCs w:val="21"/>
        </w:rPr>
        <w:t>——在计算深度范围内，第</w:t>
      </w:r>
      <w:r>
        <w:rPr>
          <w:i/>
          <w:color w:val="auto"/>
          <w:szCs w:val="21"/>
        </w:rPr>
        <w:t>i</w:t>
      </w:r>
      <w:r>
        <w:rPr>
          <w:color w:val="auto"/>
          <w:szCs w:val="21"/>
        </w:rPr>
        <w:t>层土的计算沉降值；</w:t>
      </w:r>
    </w:p>
    <w:p w14:paraId="74773649">
      <w:pPr>
        <w:adjustRightInd w:val="0"/>
        <w:snapToGrid w:val="0"/>
        <w:spacing w:line="340" w:lineRule="atLeast"/>
        <w:ind w:left="1434" w:leftChars="261" w:hanging="886" w:hangingChars="422"/>
        <w:rPr>
          <w:color w:val="auto"/>
          <w:szCs w:val="21"/>
        </w:rPr>
      </w:pPr>
      <w:r>
        <w:rPr>
          <w:color w:val="auto"/>
          <w:position w:val="-12"/>
          <w:szCs w:val="21"/>
        </w:rPr>
        <w:object>
          <v:shape id="_x0000_i1125" o:spt="75" type="#_x0000_t75" style="height:23.25pt;width:21pt;" o:ole="t" filled="f" o:preferrelative="t" stroked="f" coordsize="21600,21600">
            <v:path/>
            <v:fill on="f" focussize="0,0"/>
            <v:stroke on="f" joinstyle="miter"/>
            <v:imagedata r:id="rId204" o:title=""/>
            <o:lock v:ext="edit" aspectratio="t"/>
            <w10:wrap type="none"/>
            <w10:anchorlock/>
          </v:shape>
          <o:OLEObject Type="Embed" ProgID="Equation.DSMT4" ShapeID="_x0000_i1125" DrawAspect="Content" ObjectID="_1468075825" r:id="rId203">
            <o:LockedField>false</o:LockedField>
          </o:OLEObject>
        </w:object>
      </w:r>
      <w:r>
        <w:rPr>
          <w:color w:val="auto"/>
          <w:szCs w:val="21"/>
        </w:rPr>
        <w:t>——在由计算深度向上取厚度为</w:t>
      </w:r>
      <w:r>
        <w:rPr>
          <w:color w:val="auto"/>
          <w:position w:val="-4"/>
          <w:szCs w:val="21"/>
        </w:rPr>
        <w:object>
          <v:shape id="_x0000_i1126" o:spt="75" type="#_x0000_t75" style="height:10.5pt;width:14.25pt;" o:ole="t" filled="f" o:preferrelative="t" stroked="f" coordsize="21600,21600">
            <v:path/>
            <v:fill on="f" focussize="0,0"/>
            <v:stroke on="f" joinstyle="miter"/>
            <v:imagedata r:id="rId206" o:title=""/>
            <o:lock v:ext="edit" aspectratio="t"/>
            <w10:wrap type="none"/>
            <w10:anchorlock/>
          </v:shape>
          <o:OLEObject Type="Embed" ProgID="Equation.DSMT4" ShapeID="_x0000_i1126" DrawAspect="Content" ObjectID="_1468075826" r:id="rId205">
            <o:LockedField>false</o:LockedField>
          </o:OLEObject>
        </w:object>
      </w:r>
      <w:r>
        <w:rPr>
          <w:color w:val="auto"/>
          <w:szCs w:val="21"/>
        </w:rPr>
        <w:t>的土层计算沉降值，</w:t>
      </w:r>
      <w:r>
        <w:rPr>
          <w:color w:val="auto"/>
          <w:position w:val="-4"/>
          <w:szCs w:val="21"/>
        </w:rPr>
        <w:object>
          <v:shape id="_x0000_i1127" o:spt="75" type="#_x0000_t75" style="height:10.5pt;width:14.25pt;" o:ole="t" filled="f" o:preferrelative="t" stroked="f" coordsize="21600,21600">
            <v:path/>
            <v:fill on="f" focussize="0,0"/>
            <v:stroke on="f" joinstyle="miter"/>
            <v:imagedata r:id="rId208" o:title=""/>
            <o:lock v:ext="edit" aspectratio="t"/>
            <w10:wrap type="none"/>
            <w10:anchorlock/>
          </v:shape>
          <o:OLEObject Type="Embed" ProgID="Equation.DSMT4" ShapeID="_x0000_i1127" DrawAspect="Content" ObjectID="_1468075827" r:id="rId207">
            <o:LockedField>false</o:LockedField>
          </o:OLEObject>
        </w:object>
      </w:r>
      <w:r>
        <w:rPr>
          <w:color w:val="auto"/>
          <w:szCs w:val="21"/>
        </w:rPr>
        <w:t>见图8.3.1并按表23确定。</w:t>
      </w:r>
    </w:p>
    <w:p w14:paraId="77FD3CA6">
      <w:pPr>
        <w:adjustRightInd w:val="0"/>
        <w:snapToGrid w:val="0"/>
        <w:spacing w:line="360" w:lineRule="atLeast"/>
        <w:ind w:firstLine="420" w:firstLineChars="200"/>
        <w:rPr>
          <w:color w:val="auto"/>
          <w:szCs w:val="21"/>
        </w:rPr>
      </w:pPr>
      <w:r>
        <w:rPr>
          <w:color w:val="auto"/>
          <w:szCs w:val="21"/>
        </w:rPr>
        <w:t>如确定的计算深度下部仍有较软土层时，应继续计算。</w:t>
      </w:r>
    </w:p>
    <w:p w14:paraId="5540C305">
      <w:pPr>
        <w:adjustRightInd w:val="0"/>
        <w:snapToGrid w:val="0"/>
        <w:spacing w:before="120" w:line="360" w:lineRule="atLeast"/>
        <w:jc w:val="center"/>
        <w:rPr>
          <w:rFonts w:eastAsia="黑体"/>
          <w:b/>
          <w:bCs/>
          <w:color w:val="auto"/>
          <w:szCs w:val="21"/>
        </w:rPr>
      </w:pPr>
      <w:r>
        <w:rPr>
          <w:rFonts w:eastAsia="黑体"/>
          <w:b/>
          <w:bCs/>
          <w:color w:val="auto"/>
          <w:szCs w:val="21"/>
        </w:rPr>
        <w:t xml:space="preserve">表23   </w:t>
      </w:r>
      <w:r>
        <w:rPr>
          <w:rFonts w:eastAsia="黑体"/>
          <w:b/>
          <w:bCs/>
          <w:color w:val="auto"/>
          <w:position w:val="-4"/>
          <w:szCs w:val="21"/>
        </w:rPr>
        <w:object>
          <v:shape id="_x0000_i1128" o:spt="75" type="#_x0000_t75" style="height:12pt;width:15pt;" o:ole="t" filled="f" o:preferrelative="t" stroked="f" coordsize="21600,21600">
            <v:path/>
            <v:fill on="f" focussize="0,0"/>
            <v:stroke on="f" joinstyle="miter"/>
            <v:imagedata r:id="rId210" o:title=""/>
            <o:lock v:ext="edit" aspectratio="t"/>
            <w10:wrap type="none"/>
            <w10:anchorlock/>
          </v:shape>
          <o:OLEObject Type="Embed" ProgID="Equation.DSMT4" ShapeID="_x0000_i1128" DrawAspect="Content" ObjectID="_1468075828" r:id="rId209">
            <o:LockedField>false</o:LockedField>
          </o:OLEObject>
        </w:objec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33"/>
        <w:gridCol w:w="1872"/>
        <w:gridCol w:w="1873"/>
        <w:gridCol w:w="1872"/>
        <w:gridCol w:w="1873"/>
      </w:tblGrid>
      <w:tr w14:paraId="24923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33" w:type="dxa"/>
            <w:vAlign w:val="center"/>
          </w:tcPr>
          <w:p w14:paraId="7482F4C2">
            <w:pPr>
              <w:adjustRightInd w:val="0"/>
              <w:snapToGrid w:val="0"/>
              <w:spacing w:line="300" w:lineRule="atLeast"/>
              <w:jc w:val="center"/>
              <w:rPr>
                <w:color w:val="auto"/>
                <w:sz w:val="18"/>
                <w:szCs w:val="18"/>
              </w:rPr>
            </w:pPr>
            <w:r>
              <w:rPr>
                <w:i/>
                <w:color w:val="auto"/>
                <w:sz w:val="18"/>
                <w:szCs w:val="18"/>
              </w:rPr>
              <w:t>b</w:t>
            </w:r>
            <w:r>
              <w:rPr>
                <w:color w:val="auto"/>
                <w:sz w:val="18"/>
                <w:szCs w:val="18"/>
              </w:rPr>
              <w:t>（</w:t>
            </w:r>
            <w:r>
              <w:rPr>
                <w:iCs/>
                <w:color w:val="auto"/>
                <w:sz w:val="18"/>
                <w:szCs w:val="18"/>
              </w:rPr>
              <w:t>m</w:t>
            </w:r>
            <w:r>
              <w:rPr>
                <w:color w:val="auto"/>
                <w:sz w:val="18"/>
                <w:szCs w:val="18"/>
              </w:rPr>
              <w:t>）</w:t>
            </w:r>
          </w:p>
        </w:tc>
        <w:tc>
          <w:tcPr>
            <w:tcW w:w="1872" w:type="dxa"/>
            <w:vAlign w:val="center"/>
          </w:tcPr>
          <w:p w14:paraId="66C28A3F">
            <w:pPr>
              <w:adjustRightInd w:val="0"/>
              <w:snapToGrid w:val="0"/>
              <w:spacing w:line="300" w:lineRule="atLeast"/>
              <w:jc w:val="center"/>
              <w:rPr>
                <w:color w:val="auto"/>
                <w:sz w:val="18"/>
                <w:szCs w:val="18"/>
              </w:rPr>
            </w:pPr>
            <w:r>
              <w:rPr>
                <w:i/>
                <w:color w:val="auto"/>
                <w:sz w:val="18"/>
                <w:szCs w:val="18"/>
              </w:rPr>
              <w:t>b</w:t>
            </w:r>
            <w:r>
              <w:rPr>
                <w:color w:val="auto"/>
                <w:sz w:val="18"/>
                <w:szCs w:val="18"/>
              </w:rPr>
              <w:t>≤2</w:t>
            </w:r>
          </w:p>
        </w:tc>
        <w:tc>
          <w:tcPr>
            <w:tcW w:w="1873" w:type="dxa"/>
            <w:vAlign w:val="center"/>
          </w:tcPr>
          <w:p w14:paraId="0C8B6233">
            <w:pPr>
              <w:adjustRightInd w:val="0"/>
              <w:snapToGrid w:val="0"/>
              <w:spacing w:line="300" w:lineRule="atLeast"/>
              <w:jc w:val="center"/>
              <w:rPr>
                <w:color w:val="auto"/>
                <w:sz w:val="18"/>
                <w:szCs w:val="18"/>
              </w:rPr>
            </w:pPr>
            <w:r>
              <w:rPr>
                <w:color w:val="auto"/>
                <w:sz w:val="18"/>
                <w:szCs w:val="18"/>
              </w:rPr>
              <w:t>2＜</w:t>
            </w:r>
            <w:r>
              <w:rPr>
                <w:i/>
                <w:color w:val="auto"/>
                <w:sz w:val="18"/>
                <w:szCs w:val="18"/>
              </w:rPr>
              <w:t>b</w:t>
            </w:r>
            <w:r>
              <w:rPr>
                <w:color w:val="auto"/>
                <w:sz w:val="18"/>
                <w:szCs w:val="18"/>
              </w:rPr>
              <w:t>≤4</w:t>
            </w:r>
          </w:p>
        </w:tc>
        <w:tc>
          <w:tcPr>
            <w:tcW w:w="1872" w:type="dxa"/>
            <w:vAlign w:val="center"/>
          </w:tcPr>
          <w:p w14:paraId="19395677">
            <w:pPr>
              <w:adjustRightInd w:val="0"/>
              <w:snapToGrid w:val="0"/>
              <w:spacing w:line="300" w:lineRule="atLeast"/>
              <w:jc w:val="center"/>
              <w:rPr>
                <w:color w:val="auto"/>
                <w:sz w:val="18"/>
                <w:szCs w:val="18"/>
              </w:rPr>
            </w:pPr>
            <w:r>
              <w:rPr>
                <w:color w:val="auto"/>
                <w:sz w:val="18"/>
                <w:szCs w:val="18"/>
              </w:rPr>
              <w:t>4＜</w:t>
            </w:r>
            <w:r>
              <w:rPr>
                <w:i/>
                <w:color w:val="auto"/>
                <w:sz w:val="18"/>
                <w:szCs w:val="18"/>
              </w:rPr>
              <w:t>b</w:t>
            </w:r>
            <w:r>
              <w:rPr>
                <w:color w:val="auto"/>
                <w:sz w:val="18"/>
                <w:szCs w:val="18"/>
              </w:rPr>
              <w:t>≤8</w:t>
            </w:r>
          </w:p>
        </w:tc>
        <w:tc>
          <w:tcPr>
            <w:tcW w:w="1873" w:type="dxa"/>
            <w:vAlign w:val="center"/>
          </w:tcPr>
          <w:p w14:paraId="1BD4612B">
            <w:pPr>
              <w:adjustRightInd w:val="0"/>
              <w:snapToGrid w:val="0"/>
              <w:spacing w:line="300" w:lineRule="atLeast"/>
              <w:jc w:val="center"/>
              <w:rPr>
                <w:color w:val="auto"/>
                <w:sz w:val="18"/>
                <w:szCs w:val="18"/>
              </w:rPr>
            </w:pPr>
            <w:r>
              <w:rPr>
                <w:color w:val="auto"/>
                <w:sz w:val="18"/>
                <w:szCs w:val="18"/>
              </w:rPr>
              <w:t>8＜</w:t>
            </w:r>
            <w:r>
              <w:rPr>
                <w:i/>
                <w:color w:val="auto"/>
                <w:sz w:val="18"/>
                <w:szCs w:val="18"/>
              </w:rPr>
              <w:t>b</w:t>
            </w:r>
          </w:p>
        </w:tc>
      </w:tr>
      <w:tr w14:paraId="46655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33" w:type="dxa"/>
            <w:vAlign w:val="center"/>
          </w:tcPr>
          <w:p w14:paraId="0E517D6F">
            <w:pPr>
              <w:adjustRightInd w:val="0"/>
              <w:snapToGrid w:val="0"/>
              <w:spacing w:line="300" w:lineRule="atLeast"/>
              <w:jc w:val="center"/>
              <w:rPr>
                <w:color w:val="auto"/>
                <w:sz w:val="18"/>
                <w:szCs w:val="18"/>
              </w:rPr>
            </w:pPr>
            <w:r>
              <w:rPr>
                <w:color w:val="auto"/>
                <w:position w:val="-4"/>
                <w:sz w:val="18"/>
                <w:szCs w:val="18"/>
              </w:rPr>
              <w:object>
                <v:shape id="_x0000_i1129" o:spt="75" type="#_x0000_t75" style="height:11.25pt;width:15pt;" o:ole="t" filled="f" o:preferrelative="t" stroked="f" coordsize="21600,21600">
                  <v:path/>
                  <v:fill on="f" focussize="0,0"/>
                  <v:stroke on="f" joinstyle="miter"/>
                  <v:imagedata r:id="rId212" o:title=""/>
                  <o:lock v:ext="edit" aspectratio="t"/>
                  <w10:wrap type="none"/>
                  <w10:anchorlock/>
                </v:shape>
                <o:OLEObject Type="Embed" ProgID="Equation.DSMT4" ShapeID="_x0000_i1129" DrawAspect="Content" ObjectID="_1468075829" r:id="rId211">
                  <o:LockedField>false</o:LockedField>
                </o:OLEObject>
              </w:object>
            </w:r>
            <w:r>
              <w:rPr>
                <w:color w:val="auto"/>
                <w:sz w:val="18"/>
                <w:szCs w:val="18"/>
              </w:rPr>
              <w:t>（</w:t>
            </w:r>
            <w:r>
              <w:rPr>
                <w:iCs/>
                <w:color w:val="auto"/>
                <w:sz w:val="18"/>
                <w:szCs w:val="18"/>
              </w:rPr>
              <w:t>m</w:t>
            </w:r>
            <w:r>
              <w:rPr>
                <w:color w:val="auto"/>
                <w:sz w:val="18"/>
                <w:szCs w:val="18"/>
              </w:rPr>
              <w:t>）</w:t>
            </w:r>
          </w:p>
        </w:tc>
        <w:tc>
          <w:tcPr>
            <w:tcW w:w="1872" w:type="dxa"/>
            <w:vAlign w:val="center"/>
          </w:tcPr>
          <w:p w14:paraId="5794973B">
            <w:pPr>
              <w:pStyle w:val="24"/>
              <w:pBdr>
                <w:bottom w:val="none" w:color="auto" w:sz="0" w:space="0"/>
              </w:pBdr>
              <w:tabs>
                <w:tab w:val="clear" w:pos="4153"/>
                <w:tab w:val="clear" w:pos="8306"/>
              </w:tabs>
              <w:adjustRightInd w:val="0"/>
              <w:spacing w:line="300" w:lineRule="atLeast"/>
              <w:rPr>
                <w:color w:val="auto"/>
              </w:rPr>
            </w:pPr>
            <w:r>
              <w:rPr>
                <w:color w:val="auto"/>
              </w:rPr>
              <w:t>0.3</w:t>
            </w:r>
          </w:p>
        </w:tc>
        <w:tc>
          <w:tcPr>
            <w:tcW w:w="1873" w:type="dxa"/>
            <w:vAlign w:val="center"/>
          </w:tcPr>
          <w:p w14:paraId="6EF76A6F">
            <w:pPr>
              <w:adjustRightInd w:val="0"/>
              <w:snapToGrid w:val="0"/>
              <w:spacing w:line="300" w:lineRule="atLeast"/>
              <w:jc w:val="center"/>
              <w:rPr>
                <w:color w:val="auto"/>
                <w:sz w:val="18"/>
                <w:szCs w:val="18"/>
              </w:rPr>
            </w:pPr>
            <w:r>
              <w:rPr>
                <w:color w:val="auto"/>
                <w:sz w:val="18"/>
                <w:szCs w:val="18"/>
              </w:rPr>
              <w:t>0.6</w:t>
            </w:r>
          </w:p>
        </w:tc>
        <w:tc>
          <w:tcPr>
            <w:tcW w:w="1872" w:type="dxa"/>
            <w:vAlign w:val="center"/>
          </w:tcPr>
          <w:p w14:paraId="480A8BD9">
            <w:pPr>
              <w:adjustRightInd w:val="0"/>
              <w:snapToGrid w:val="0"/>
              <w:spacing w:line="300" w:lineRule="atLeast"/>
              <w:jc w:val="center"/>
              <w:rPr>
                <w:color w:val="auto"/>
                <w:sz w:val="18"/>
                <w:szCs w:val="18"/>
              </w:rPr>
            </w:pPr>
            <w:r>
              <w:rPr>
                <w:color w:val="auto"/>
                <w:sz w:val="18"/>
                <w:szCs w:val="18"/>
              </w:rPr>
              <w:t>0.8</w:t>
            </w:r>
          </w:p>
        </w:tc>
        <w:tc>
          <w:tcPr>
            <w:tcW w:w="1873" w:type="dxa"/>
            <w:vAlign w:val="center"/>
          </w:tcPr>
          <w:p w14:paraId="31677B3C">
            <w:pPr>
              <w:adjustRightInd w:val="0"/>
              <w:snapToGrid w:val="0"/>
              <w:spacing w:line="300" w:lineRule="atLeast"/>
              <w:jc w:val="center"/>
              <w:rPr>
                <w:color w:val="auto"/>
                <w:sz w:val="18"/>
                <w:szCs w:val="18"/>
              </w:rPr>
            </w:pPr>
            <w:r>
              <w:rPr>
                <w:color w:val="auto"/>
                <w:sz w:val="18"/>
                <w:szCs w:val="18"/>
              </w:rPr>
              <w:t>1.0</w:t>
            </w:r>
          </w:p>
        </w:tc>
      </w:tr>
    </w:tbl>
    <w:p w14:paraId="3BD525D3">
      <w:pPr>
        <w:adjustRightInd w:val="0"/>
        <w:snapToGrid w:val="0"/>
        <w:spacing w:before="120" w:line="340" w:lineRule="exact"/>
        <w:ind w:firstLine="482"/>
        <w:rPr>
          <w:color w:val="auto"/>
          <w:szCs w:val="21"/>
        </w:rPr>
      </w:pPr>
      <w:r>
        <w:rPr>
          <w:color w:val="auto"/>
          <w:szCs w:val="21"/>
        </w:rPr>
        <w:t>当无相邻荷载影响，基础宽度在1</w:t>
      </w:r>
      <w:r>
        <w:rPr>
          <w:iCs/>
          <w:color w:val="auto"/>
          <w:szCs w:val="21"/>
        </w:rPr>
        <w:t>m</w:t>
      </w:r>
      <w:r>
        <w:rPr>
          <w:color w:val="auto"/>
          <w:szCs w:val="21"/>
        </w:rPr>
        <w:t>～30</w:t>
      </w:r>
      <w:r>
        <w:rPr>
          <w:iCs/>
          <w:color w:val="auto"/>
          <w:szCs w:val="21"/>
        </w:rPr>
        <w:t>m</w:t>
      </w:r>
      <w:r>
        <w:rPr>
          <w:color w:val="auto"/>
          <w:szCs w:val="21"/>
        </w:rPr>
        <w:t>范围内时，基础中点的地基沉降计算深度也可按下列简化</w:t>
      </w:r>
      <w:r>
        <w:rPr>
          <w:rFonts w:hint="eastAsia"/>
          <w:color w:val="auto"/>
          <w:lang w:val="en-US" w:eastAsia="zh-CN"/>
        </w:rPr>
        <w:t>公式（24）</w:t>
      </w:r>
      <w:r>
        <w:rPr>
          <w:color w:val="auto"/>
          <w:szCs w:val="21"/>
        </w:rPr>
        <w:t>计算：</w:t>
      </w:r>
    </w:p>
    <w:p w14:paraId="109A3BBA">
      <w:pPr>
        <w:pStyle w:val="12"/>
        <w:jc w:val="right"/>
        <w:rPr>
          <w:color w:val="auto"/>
          <w:szCs w:val="21"/>
        </w:rPr>
      </w:pPr>
      <w:r>
        <w:rPr>
          <w:color w:val="auto"/>
          <w:position w:val="-12"/>
          <w:szCs w:val="21"/>
        </w:rPr>
        <w:object>
          <v:shape id="_x0000_i1130" o:spt="75" type="#_x0000_t75" style="height:26.25pt;width:109.5pt;" o:ole="t" filled="f" o:preferrelative="t" stroked="f" coordsize="21600,21600">
            <v:path/>
            <v:fill on="f" focussize="0,0"/>
            <v:stroke on="f" joinstyle="miter"/>
            <v:imagedata r:id="rId214" o:title=""/>
            <o:lock v:ext="edit" aspectratio="t"/>
            <w10:wrap type="none"/>
            <w10:anchorlock/>
          </v:shape>
          <o:OLEObject Type="Embed" ProgID="Equation.DSMT4" ShapeID="_x0000_i1130" DrawAspect="Content" ObjectID="_1468075830" r:id="rId213">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24</w:t>
      </w:r>
      <w:r>
        <w:rPr>
          <w:color w:val="auto"/>
          <w:szCs w:val="21"/>
        </w:rPr>
        <w:fldChar w:fldCharType="end"/>
      </w:r>
      <w:r>
        <w:rPr>
          <w:color w:val="auto"/>
          <w:szCs w:val="21"/>
        </w:rPr>
        <w:t>)</w:t>
      </w:r>
    </w:p>
    <w:p w14:paraId="42EE8F87">
      <w:pPr>
        <w:adjustRightInd w:val="0"/>
        <w:snapToGrid w:val="0"/>
        <w:spacing w:before="120" w:line="340" w:lineRule="exact"/>
        <w:rPr>
          <w:color w:val="auto"/>
          <w:szCs w:val="21"/>
        </w:rPr>
      </w:pPr>
      <w:r>
        <w:rPr>
          <w:color w:val="auto"/>
          <w:szCs w:val="21"/>
        </w:rPr>
        <w:t xml:space="preserve">式中  </w:t>
      </w:r>
      <w:r>
        <w:rPr>
          <w:i/>
          <w:color w:val="auto"/>
          <w:szCs w:val="21"/>
        </w:rPr>
        <w:t>b</w:t>
      </w:r>
      <w:r>
        <w:rPr>
          <w:color w:val="auto"/>
          <w:szCs w:val="21"/>
        </w:rPr>
        <w:t>——基础宽度（</w:t>
      </w:r>
      <w:r>
        <w:rPr>
          <w:iCs/>
          <w:color w:val="auto"/>
          <w:szCs w:val="21"/>
        </w:rPr>
        <w:t>m</w:t>
      </w:r>
      <w:r>
        <w:rPr>
          <w:color w:val="auto"/>
          <w:szCs w:val="21"/>
        </w:rPr>
        <w:t>）。</w:t>
      </w:r>
    </w:p>
    <w:p w14:paraId="7BAC04FC">
      <w:pPr>
        <w:adjustRightInd w:val="0"/>
        <w:snapToGrid w:val="0"/>
        <w:spacing w:before="120" w:line="340" w:lineRule="exact"/>
        <w:ind w:firstLine="420" w:firstLineChars="200"/>
        <w:rPr>
          <w:color w:val="auto"/>
          <w:szCs w:val="21"/>
        </w:rPr>
      </w:pPr>
      <w:r>
        <w:rPr>
          <w:color w:val="auto"/>
          <w:szCs w:val="21"/>
        </w:rPr>
        <w:t>在计算深度范围内存在基岩时，</w:t>
      </w:r>
      <w:r>
        <w:rPr>
          <w:rFonts w:hint="eastAsia"/>
          <w:i/>
          <w:color w:val="auto"/>
          <w:szCs w:val="21"/>
        </w:rPr>
        <w:t>z</w:t>
      </w:r>
      <w:r>
        <w:rPr>
          <w:rFonts w:hint="eastAsia"/>
          <w:color w:val="auto"/>
          <w:szCs w:val="21"/>
          <w:vertAlign w:val="subscript"/>
        </w:rPr>
        <w:t>n</w:t>
      </w:r>
      <w:r>
        <w:rPr>
          <w:color w:val="auto"/>
          <w:szCs w:val="21"/>
        </w:rPr>
        <w:t>可取至基岩表面；当存在较厚的坚硬黏性土层或密实砂卵石层，建筑物对沉降无特殊要求时，</w:t>
      </w:r>
      <w:r>
        <w:rPr>
          <w:rFonts w:hint="eastAsia"/>
          <w:i/>
          <w:color w:val="auto"/>
          <w:szCs w:val="21"/>
        </w:rPr>
        <w:t>z</w:t>
      </w:r>
      <w:r>
        <w:rPr>
          <w:rFonts w:hint="eastAsia"/>
          <w:color w:val="auto"/>
          <w:szCs w:val="21"/>
          <w:vertAlign w:val="subscript"/>
        </w:rPr>
        <w:t>n</w:t>
      </w:r>
      <w:r>
        <w:rPr>
          <w:color w:val="auto"/>
          <w:szCs w:val="21"/>
        </w:rPr>
        <w:t>可取至该土层表面。</w:t>
      </w:r>
    </w:p>
    <w:p w14:paraId="061F7399">
      <w:pPr>
        <w:adjustRightInd w:val="0"/>
        <w:snapToGrid w:val="0"/>
        <w:spacing w:line="340" w:lineRule="exact"/>
        <w:rPr>
          <w:color w:val="auto"/>
          <w:szCs w:val="21"/>
        </w:rPr>
      </w:pPr>
      <w:r>
        <w:rPr>
          <w:b/>
          <w:bCs/>
          <w:color w:val="auto"/>
          <w:szCs w:val="21"/>
        </w:rPr>
        <w:t>7.3.2</w:t>
      </w:r>
      <w:r>
        <w:rPr>
          <w:color w:val="auto"/>
          <w:szCs w:val="21"/>
        </w:rPr>
        <w:t xml:space="preserve">  对甲级建筑物尚宜采用考虑地基土的应力历史的方法，按</w:t>
      </w:r>
      <w:r>
        <w:rPr>
          <w:rFonts w:hint="eastAsia"/>
          <w:color w:val="auto"/>
          <w:lang w:val="en-US" w:eastAsia="zh-CN"/>
        </w:rPr>
        <w:t>公式（25）~（28）</w:t>
      </w:r>
      <w:r>
        <w:rPr>
          <w:color w:val="auto"/>
          <w:szCs w:val="21"/>
        </w:rPr>
        <w:t>计算地基沉降量：</w:t>
      </w:r>
    </w:p>
    <w:p w14:paraId="6C62444C">
      <w:pPr>
        <w:adjustRightInd w:val="0"/>
        <w:snapToGrid w:val="0"/>
        <w:spacing w:line="340" w:lineRule="exact"/>
        <w:ind w:firstLine="422" w:firstLineChars="200"/>
        <w:rPr>
          <w:color w:val="auto"/>
          <w:szCs w:val="21"/>
        </w:rPr>
      </w:pPr>
      <w:r>
        <w:rPr>
          <w:b/>
          <w:bCs/>
          <w:color w:val="auto"/>
          <w:szCs w:val="21"/>
        </w:rPr>
        <w:t>a)</w:t>
      </w:r>
      <w:r>
        <w:rPr>
          <w:color w:val="auto"/>
          <w:szCs w:val="21"/>
        </w:rPr>
        <w:t xml:space="preserve">  对正常固结土</w:t>
      </w:r>
    </w:p>
    <w:p w14:paraId="2EFCEA5D">
      <w:pPr>
        <w:pStyle w:val="12"/>
        <w:jc w:val="right"/>
        <w:rPr>
          <w:color w:val="auto"/>
          <w:szCs w:val="21"/>
        </w:rPr>
      </w:pPr>
      <w:r>
        <w:rPr>
          <w:color w:val="auto"/>
          <w:position w:val="-32"/>
          <w:szCs w:val="21"/>
        </w:rPr>
        <w:object>
          <v:shape id="_x0000_i1131" o:spt="75" type="#_x0000_t75" style="height:38.25pt;width:142.5pt;" o:ole="t" filled="f" o:preferrelative="t" stroked="f" coordsize="21600,21600">
            <v:path/>
            <v:fill on="f" focussize="0,0"/>
            <v:stroke on="f" joinstyle="miter"/>
            <v:imagedata r:id="rId216" o:title=""/>
            <o:lock v:ext="edit" aspectratio="t"/>
            <w10:wrap type="none"/>
            <w10:anchorlock/>
          </v:shape>
          <o:OLEObject Type="Embed" ProgID="Equation.DSMT4" ShapeID="_x0000_i1131" DrawAspect="Content" ObjectID="_1468075831" r:id="rId21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25</w:t>
      </w:r>
      <w:r>
        <w:rPr>
          <w:color w:val="auto"/>
          <w:szCs w:val="21"/>
        </w:rPr>
        <w:fldChar w:fldCharType="end"/>
      </w:r>
      <w:r>
        <w:rPr>
          <w:color w:val="auto"/>
          <w:szCs w:val="21"/>
        </w:rPr>
        <w:t>)</w:t>
      </w:r>
    </w:p>
    <w:p w14:paraId="0C116C23">
      <w:pPr>
        <w:adjustRightInd w:val="0"/>
        <w:snapToGrid w:val="0"/>
        <w:spacing w:line="360" w:lineRule="atLeast"/>
        <w:ind w:firstLine="422" w:firstLineChars="200"/>
        <w:rPr>
          <w:color w:val="auto"/>
          <w:szCs w:val="21"/>
        </w:rPr>
      </w:pPr>
      <w:r>
        <w:rPr>
          <w:b/>
          <w:bCs/>
          <w:color w:val="auto"/>
          <w:szCs w:val="21"/>
        </w:rPr>
        <w:t>b)</w:t>
      </w:r>
      <w:r>
        <w:rPr>
          <w:color w:val="auto"/>
          <w:szCs w:val="21"/>
        </w:rPr>
        <w:t xml:space="preserve">  对超固结土</w:t>
      </w:r>
    </w:p>
    <w:p w14:paraId="50E733F0">
      <w:pPr>
        <w:adjustRightInd w:val="0"/>
        <w:snapToGrid w:val="0"/>
        <w:spacing w:line="360" w:lineRule="atLeast"/>
        <w:ind w:left="420" w:leftChars="200" w:firstLine="294" w:firstLineChars="140"/>
        <w:rPr>
          <w:color w:val="auto"/>
          <w:szCs w:val="21"/>
        </w:rPr>
      </w:pPr>
      <w:r>
        <w:rPr>
          <w:color w:val="auto"/>
          <w:szCs w:val="21"/>
        </w:rPr>
        <w:t>当</w:t>
      </w:r>
      <w:r>
        <w:rPr>
          <w:i/>
          <w:color w:val="auto"/>
          <w:szCs w:val="21"/>
        </w:rPr>
        <w:t>p</w:t>
      </w:r>
      <w:r>
        <w:rPr>
          <w:color w:val="auto"/>
          <w:sz w:val="24"/>
          <w:szCs w:val="21"/>
          <w:vertAlign w:val="subscript"/>
        </w:rPr>
        <w:t>0</w:t>
      </w:r>
      <w:r>
        <w:rPr>
          <w:i/>
          <w:color w:val="auto"/>
          <w:szCs w:val="21"/>
          <w:vertAlign w:val="subscript"/>
        </w:rPr>
        <w:t>i</w:t>
      </w:r>
      <w:r>
        <w:rPr>
          <w:i/>
          <w:color w:val="auto"/>
          <w:szCs w:val="21"/>
        </w:rPr>
        <w:t xml:space="preserve"> </w:t>
      </w:r>
      <w:r>
        <w:rPr>
          <w:color w:val="auto"/>
          <w:szCs w:val="21"/>
        </w:rPr>
        <w:t>+</w:t>
      </w:r>
      <w:r>
        <w:rPr>
          <w:i/>
          <w:color w:val="auto"/>
          <w:szCs w:val="21"/>
        </w:rPr>
        <w:t xml:space="preserve"> p</w:t>
      </w:r>
      <w:r>
        <w:rPr>
          <w:iCs/>
          <w:color w:val="auto"/>
          <w:sz w:val="28"/>
          <w:szCs w:val="21"/>
          <w:vertAlign w:val="subscript"/>
        </w:rPr>
        <w:t>z</w:t>
      </w:r>
      <w:r>
        <w:rPr>
          <w:i/>
          <w:color w:val="auto"/>
          <w:szCs w:val="21"/>
          <w:vertAlign w:val="subscript"/>
        </w:rPr>
        <w:t>i</w:t>
      </w:r>
      <w:r>
        <w:rPr>
          <w:color w:val="auto"/>
          <w:szCs w:val="21"/>
        </w:rPr>
        <w:t>≤</w:t>
      </w:r>
      <w:r>
        <w:rPr>
          <w:i/>
          <w:color w:val="auto"/>
          <w:szCs w:val="21"/>
        </w:rPr>
        <w:t>p</w:t>
      </w:r>
      <w:r>
        <w:rPr>
          <w:color w:val="auto"/>
          <w:sz w:val="24"/>
          <w:szCs w:val="21"/>
          <w:vertAlign w:val="subscript"/>
        </w:rPr>
        <w:t>c</w:t>
      </w:r>
      <w:r>
        <w:rPr>
          <w:i/>
          <w:color w:val="auto"/>
          <w:szCs w:val="21"/>
          <w:vertAlign w:val="subscript"/>
        </w:rPr>
        <w:t>i</w:t>
      </w:r>
      <w:r>
        <w:rPr>
          <w:color w:val="auto"/>
          <w:szCs w:val="21"/>
        </w:rPr>
        <w:t>时</w:t>
      </w:r>
    </w:p>
    <w:p w14:paraId="7E1EF66A">
      <w:pPr>
        <w:pStyle w:val="12"/>
        <w:jc w:val="right"/>
        <w:rPr>
          <w:color w:val="auto"/>
          <w:szCs w:val="21"/>
        </w:rPr>
      </w:pPr>
      <w:r>
        <w:rPr>
          <w:color w:val="auto"/>
          <w:position w:val="-10"/>
          <w:szCs w:val="21"/>
        </w:rPr>
        <w:object>
          <v:shape id="_x0000_i1132" o:spt="75" type="#_x0000_t75" style="height:17.25pt;width:9pt;" o:ole="t" filled="f" o:preferrelative="t" stroked="f" coordsize="21600,21600">
            <v:path/>
            <v:fill on="f" focussize="0,0"/>
            <v:stroke on="f" joinstyle="miter"/>
            <v:imagedata r:id="rId159" o:title=""/>
            <o:lock v:ext="edit" aspectratio="t"/>
            <w10:wrap type="none"/>
            <w10:anchorlock/>
          </v:shape>
          <o:OLEObject Type="Embed" ProgID="Equation.3" ShapeID="_x0000_i1132" DrawAspect="Content" ObjectID="_1468075832" r:id="rId217">
            <o:LockedField>false</o:LockedField>
          </o:OLEObject>
        </w:object>
      </w:r>
      <w:r>
        <w:rPr>
          <w:color w:val="auto"/>
          <w:position w:val="-30"/>
          <w:szCs w:val="21"/>
        </w:rPr>
        <w:object>
          <v:shape id="_x0000_i1133" o:spt="75" type="#_x0000_t75" style="height:36.75pt;width:141.75pt;" o:ole="t" filled="f" o:preferrelative="t" stroked="f" coordsize="21600,21600">
            <v:path/>
            <v:fill on="f" focussize="0,0"/>
            <v:stroke on="f" joinstyle="miter"/>
            <v:imagedata r:id="rId219" o:title=""/>
            <o:lock v:ext="edit" aspectratio="t"/>
            <w10:wrap type="none"/>
            <w10:anchorlock/>
          </v:shape>
          <o:OLEObject Type="Embed" ProgID="Equation.DSMT4" ShapeID="_x0000_i1133" DrawAspect="Content" ObjectID="_1468075833" r:id="rId218">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26</w:t>
      </w:r>
      <w:r>
        <w:rPr>
          <w:color w:val="auto"/>
          <w:szCs w:val="21"/>
        </w:rPr>
        <w:fldChar w:fldCharType="end"/>
      </w:r>
      <w:r>
        <w:rPr>
          <w:color w:val="auto"/>
          <w:szCs w:val="21"/>
        </w:rPr>
        <w:t>)</w:t>
      </w:r>
    </w:p>
    <w:p w14:paraId="50E87A78">
      <w:pPr>
        <w:adjustRightInd w:val="0"/>
        <w:snapToGrid w:val="0"/>
        <w:spacing w:line="360" w:lineRule="atLeast"/>
        <w:ind w:left="420" w:firstLine="294" w:firstLineChars="140"/>
        <w:rPr>
          <w:color w:val="auto"/>
          <w:szCs w:val="21"/>
        </w:rPr>
      </w:pPr>
      <w:r>
        <w:rPr>
          <w:color w:val="auto"/>
          <w:szCs w:val="21"/>
        </w:rPr>
        <w:t>当</w:t>
      </w:r>
      <w:r>
        <w:rPr>
          <w:i/>
          <w:color w:val="auto"/>
          <w:szCs w:val="21"/>
        </w:rPr>
        <w:t>p</w:t>
      </w:r>
      <w:r>
        <w:rPr>
          <w:color w:val="auto"/>
          <w:sz w:val="24"/>
          <w:szCs w:val="21"/>
          <w:vertAlign w:val="subscript"/>
        </w:rPr>
        <w:t>0</w:t>
      </w:r>
      <w:r>
        <w:rPr>
          <w:i/>
          <w:color w:val="auto"/>
          <w:szCs w:val="21"/>
          <w:vertAlign w:val="subscript"/>
        </w:rPr>
        <w:t>i</w:t>
      </w:r>
      <w:r>
        <w:rPr>
          <w:i/>
          <w:color w:val="auto"/>
          <w:szCs w:val="21"/>
        </w:rPr>
        <w:t xml:space="preserve"> </w:t>
      </w:r>
      <w:r>
        <w:rPr>
          <w:color w:val="auto"/>
          <w:szCs w:val="21"/>
        </w:rPr>
        <w:t>+</w:t>
      </w:r>
      <w:r>
        <w:rPr>
          <w:i/>
          <w:color w:val="auto"/>
          <w:szCs w:val="21"/>
        </w:rPr>
        <w:t xml:space="preserve"> p</w:t>
      </w:r>
      <w:r>
        <w:rPr>
          <w:iCs/>
          <w:color w:val="auto"/>
          <w:sz w:val="28"/>
          <w:szCs w:val="21"/>
          <w:vertAlign w:val="subscript"/>
        </w:rPr>
        <w:t>z</w:t>
      </w:r>
      <w:r>
        <w:rPr>
          <w:i/>
          <w:color w:val="auto"/>
          <w:szCs w:val="21"/>
          <w:vertAlign w:val="subscript"/>
        </w:rPr>
        <w:t>i</w:t>
      </w:r>
      <w:r>
        <w:rPr>
          <w:iCs/>
          <w:color w:val="auto"/>
          <w:szCs w:val="21"/>
        </w:rPr>
        <w:t>＞</w:t>
      </w:r>
      <w:r>
        <w:rPr>
          <w:i/>
          <w:color w:val="auto"/>
          <w:szCs w:val="21"/>
        </w:rPr>
        <w:t>p</w:t>
      </w:r>
      <w:r>
        <w:rPr>
          <w:iCs/>
          <w:color w:val="auto"/>
          <w:sz w:val="28"/>
          <w:szCs w:val="21"/>
          <w:vertAlign w:val="subscript"/>
        </w:rPr>
        <w:t>c</w:t>
      </w:r>
      <w:r>
        <w:rPr>
          <w:i/>
          <w:color w:val="auto"/>
          <w:szCs w:val="21"/>
          <w:vertAlign w:val="subscript"/>
        </w:rPr>
        <w:t>i</w:t>
      </w:r>
      <w:r>
        <w:rPr>
          <w:color w:val="auto"/>
          <w:szCs w:val="21"/>
        </w:rPr>
        <w:t>时</w:t>
      </w:r>
    </w:p>
    <w:p w14:paraId="365286B3">
      <w:pPr>
        <w:pStyle w:val="12"/>
        <w:jc w:val="right"/>
        <w:rPr>
          <w:color w:val="auto"/>
          <w:szCs w:val="21"/>
        </w:rPr>
      </w:pPr>
      <w:r>
        <w:rPr>
          <w:color w:val="auto"/>
          <w:position w:val="-10"/>
          <w:szCs w:val="21"/>
        </w:rPr>
        <w:object>
          <v:shape id="_x0000_i1134" o:spt="75" type="#_x0000_t75" style="height:17.25pt;width:9pt;" o:ole="t" filled="f" o:preferrelative="t" stroked="f" coordsize="21600,21600">
            <v:path/>
            <v:fill on="f" focussize="0,0"/>
            <v:stroke on="f" joinstyle="miter"/>
            <v:imagedata r:id="rId159" o:title=""/>
            <o:lock v:ext="edit" aspectratio="t"/>
            <w10:wrap type="none"/>
            <w10:anchorlock/>
          </v:shape>
          <o:OLEObject Type="Embed" ProgID="Equation.3" ShapeID="_x0000_i1134" DrawAspect="Content" ObjectID="_1468075834" r:id="rId220">
            <o:LockedField>false</o:LockedField>
          </o:OLEObject>
        </w:object>
      </w:r>
      <w:r>
        <w:rPr>
          <w:color w:val="auto"/>
          <w:position w:val="-30"/>
          <w:szCs w:val="21"/>
        </w:rPr>
        <w:object>
          <v:shape id="_x0000_i1135" o:spt="75" type="#_x0000_t75" style="height:36.75pt;width:195pt;" o:ole="t" filled="f" o:preferrelative="t" stroked="f" coordsize="21600,21600">
            <v:path/>
            <v:fill on="f" focussize="0,0"/>
            <v:stroke on="f" joinstyle="miter"/>
            <v:imagedata r:id="rId222" o:title=""/>
            <o:lock v:ext="edit" aspectratio="t"/>
            <w10:wrap type="none"/>
            <w10:anchorlock/>
          </v:shape>
          <o:OLEObject Type="Embed" ProgID="Equation.DSMT4" ShapeID="_x0000_i1135" DrawAspect="Content" ObjectID="_1468075835" r:id="rId22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27</w:t>
      </w:r>
      <w:r>
        <w:rPr>
          <w:color w:val="auto"/>
          <w:szCs w:val="21"/>
        </w:rPr>
        <w:fldChar w:fldCharType="end"/>
      </w:r>
      <w:r>
        <w:rPr>
          <w:color w:val="auto"/>
          <w:szCs w:val="21"/>
        </w:rPr>
        <w:t>)</w:t>
      </w:r>
    </w:p>
    <w:p w14:paraId="00B540BB">
      <w:pPr>
        <w:adjustRightInd w:val="0"/>
        <w:snapToGrid w:val="0"/>
        <w:spacing w:line="360" w:lineRule="atLeast"/>
        <w:ind w:firstLine="422" w:firstLineChars="200"/>
        <w:rPr>
          <w:color w:val="auto"/>
          <w:szCs w:val="21"/>
        </w:rPr>
      </w:pPr>
      <w:r>
        <w:rPr>
          <w:b/>
          <w:bCs/>
          <w:color w:val="auto"/>
          <w:szCs w:val="21"/>
        </w:rPr>
        <w:t>c)</w:t>
      </w:r>
      <w:r>
        <w:rPr>
          <w:color w:val="auto"/>
          <w:szCs w:val="21"/>
        </w:rPr>
        <w:t xml:space="preserve">  总沉降量</w:t>
      </w:r>
    </w:p>
    <w:p w14:paraId="066790F4">
      <w:pPr>
        <w:pStyle w:val="12"/>
        <w:jc w:val="right"/>
        <w:rPr>
          <w:bCs/>
          <w:color w:val="auto"/>
          <w:szCs w:val="21"/>
        </w:rPr>
      </w:pPr>
      <w:r>
        <w:rPr>
          <w:i/>
          <w:color w:val="auto"/>
          <w:szCs w:val="21"/>
        </w:rPr>
        <w:t xml:space="preserve">  </w:t>
      </w:r>
      <w:r>
        <w:rPr>
          <w:color w:val="auto"/>
          <w:szCs w:val="21"/>
          <w:vertAlign w:val="subscript"/>
        </w:rPr>
        <w:t xml:space="preserve">              </w:t>
      </w:r>
      <w:r>
        <w:rPr>
          <w:color w:val="auto"/>
          <w:position w:val="-12"/>
          <w:szCs w:val="21"/>
          <w:vertAlign w:val="subscript"/>
        </w:rPr>
        <w:object>
          <v:shape id="_x0000_i1136" o:spt="75" type="#_x0000_t75" style="height:18pt;width:74.25pt;" o:ole="t" filled="f" o:preferrelative="t" stroked="f" coordsize="21600,21600">
            <v:path/>
            <v:fill on="f" focussize="0,0"/>
            <v:stroke on="f" joinstyle="miter"/>
            <v:imagedata r:id="rId224" o:title=""/>
            <o:lock v:ext="edit" aspectratio="t"/>
            <w10:wrap type="none"/>
            <w10:anchorlock/>
          </v:shape>
          <o:OLEObject Type="Embed" ProgID="Equation.DSMT4" ShapeID="_x0000_i1136" DrawAspect="Content" ObjectID="_1468075836" r:id="rId223">
            <o:LockedField>false</o:LockedField>
          </o:OLEObject>
        </w:object>
      </w:r>
      <w:r>
        <w:rPr>
          <w:color w:val="auto"/>
          <w:szCs w:val="21"/>
          <w:vertAlign w:val="subscript"/>
        </w:rPr>
        <w:t xml:space="preserve">                                               </w:t>
      </w:r>
      <w:r>
        <w:rPr>
          <w:bCs/>
          <w:color w:val="auto"/>
          <w:szCs w:val="21"/>
          <w:vertAlign w:val="subscript"/>
        </w:rPr>
        <w:t xml:space="preserve">   </w:t>
      </w:r>
      <w:r>
        <w:rPr>
          <w:bCs/>
          <w:color w:val="auto"/>
          <w:szCs w:val="21"/>
        </w:rPr>
        <w:t>(</w:t>
      </w:r>
      <w:r>
        <w:rPr>
          <w:bCs/>
          <w:color w:val="auto"/>
          <w:szCs w:val="21"/>
        </w:rPr>
        <w:fldChar w:fldCharType="begin"/>
      </w:r>
      <w:r>
        <w:rPr>
          <w:bCs/>
          <w:color w:val="auto"/>
          <w:szCs w:val="21"/>
        </w:rPr>
        <w:instrText xml:space="preserve"> SEQ Equation \* ARABIC </w:instrText>
      </w:r>
      <w:r>
        <w:rPr>
          <w:bCs/>
          <w:color w:val="auto"/>
          <w:szCs w:val="21"/>
        </w:rPr>
        <w:fldChar w:fldCharType="separate"/>
      </w:r>
      <w:r>
        <w:rPr>
          <w:bCs/>
          <w:color w:val="auto"/>
          <w:szCs w:val="21"/>
        </w:rPr>
        <w:t>28</w:t>
      </w:r>
      <w:r>
        <w:rPr>
          <w:bCs/>
          <w:color w:val="auto"/>
          <w:szCs w:val="21"/>
        </w:rPr>
        <w:fldChar w:fldCharType="end"/>
      </w:r>
      <w:r>
        <w:rPr>
          <w:bCs/>
          <w:color w:val="auto"/>
          <w:szCs w:val="21"/>
        </w:rPr>
        <w:t>)</w:t>
      </w:r>
    </w:p>
    <w:p w14:paraId="0E80AE6E">
      <w:pPr>
        <w:adjustRightInd w:val="0"/>
        <w:snapToGrid w:val="0"/>
        <w:spacing w:before="120" w:line="340" w:lineRule="exact"/>
        <w:ind w:left="1764" w:hanging="1764" w:hangingChars="840"/>
        <w:rPr>
          <w:color w:val="auto"/>
          <w:szCs w:val="21"/>
        </w:rPr>
      </w:pPr>
      <w:r>
        <w:rPr>
          <w:color w:val="auto"/>
          <w:szCs w:val="21"/>
        </w:rPr>
        <w:t xml:space="preserve">式中  </w:t>
      </w:r>
      <w:r>
        <w:rPr>
          <w:color w:val="auto"/>
          <w:position w:val="-12"/>
          <w:szCs w:val="21"/>
        </w:rPr>
        <w:object>
          <v:shape id="_x0000_i1137" o:spt="75" type="#_x0000_t75" style="height:18pt;width:11.25pt;" o:ole="t" filled="f" o:preferrelative="t" stroked="f" coordsize="21600,21600">
            <v:path/>
            <v:fill on="f" focussize="0,0"/>
            <v:stroke on="f" joinstyle="miter"/>
            <v:imagedata r:id="rId226" o:title=""/>
            <o:lock v:ext="edit" aspectratio="t"/>
            <w10:wrap type="none"/>
            <w10:anchorlock/>
          </v:shape>
          <o:OLEObject Type="Embed" ProgID="Equation.DSMT4" ShapeID="_x0000_i1137" DrawAspect="Content" ObjectID="_1468075837" r:id="rId225">
            <o:LockedField>false</o:LockedField>
          </o:OLEObject>
        </w:object>
      </w:r>
      <w:r>
        <w:rPr>
          <w:color w:val="auto"/>
          <w:szCs w:val="21"/>
        </w:rPr>
        <w:t>、</w:t>
      </w:r>
      <w:r>
        <w:rPr>
          <w:color w:val="auto"/>
          <w:position w:val="-12"/>
          <w:szCs w:val="21"/>
        </w:rPr>
        <w:object>
          <v:shape id="_x0000_i1138" o:spt="75" type="#_x0000_t75" style="height:18pt;width:15pt;" o:ole="t" filled="f" o:preferrelative="t" stroked="f" coordsize="21600,21600">
            <v:path/>
            <v:fill on="f" focussize="0,0"/>
            <v:stroke on="f" joinstyle="miter"/>
            <v:imagedata r:id="rId228" o:title=""/>
            <o:lock v:ext="edit" aspectratio="t"/>
            <w10:wrap type="none"/>
            <w10:anchorlock/>
          </v:shape>
          <o:OLEObject Type="Embed" ProgID="Equation.DSMT4" ShapeID="_x0000_i1138" DrawAspect="Content" ObjectID="_1468075838" r:id="rId227">
            <o:LockedField>false</o:LockedField>
          </o:OLEObject>
        </w:object>
      </w:r>
      <w:r>
        <w:rPr>
          <w:color w:val="auto"/>
          <w:szCs w:val="21"/>
        </w:rPr>
        <w:t>——地基压</w:t>
      </w:r>
      <w:r>
        <w:rPr>
          <w:color w:val="auto"/>
          <w:szCs w:val="21"/>
        </w:rPr>
        <w:softHyphen/>
      </w:r>
      <w:r>
        <w:rPr>
          <w:color w:val="auto"/>
          <w:szCs w:val="21"/>
        </w:rPr>
        <w:softHyphen/>
      </w:r>
      <w:r>
        <w:rPr>
          <w:color w:val="auto"/>
          <w:szCs w:val="21"/>
        </w:rPr>
        <w:t xml:space="preserve">缩层范围内符合式8.3.2-1条件的计算分层数、累计沉降量； </w:t>
      </w:r>
    </w:p>
    <w:p w14:paraId="1A1347DE">
      <w:pPr>
        <w:adjustRightInd w:val="0"/>
        <w:snapToGrid w:val="0"/>
        <w:spacing w:line="340" w:lineRule="exact"/>
        <w:ind w:left="1800" w:leftChars="25" w:hanging="1747" w:hangingChars="832"/>
        <w:rPr>
          <w:color w:val="auto"/>
          <w:szCs w:val="21"/>
        </w:rPr>
      </w:pPr>
      <w:r>
        <w:rPr>
          <w:i/>
          <w:color w:val="auto"/>
          <w:szCs w:val="21"/>
        </w:rPr>
        <w:t xml:space="preserve">     </w:t>
      </w:r>
      <w:r>
        <w:rPr>
          <w:color w:val="auto"/>
          <w:position w:val="-12"/>
          <w:szCs w:val="21"/>
        </w:rPr>
        <w:object>
          <v:shape id="_x0000_i1139" o:spt="75" type="#_x0000_t75" style="height:18pt;width:12pt;" o:ole="t" filled="f" o:preferrelative="t" stroked="f" coordsize="21600,21600">
            <v:path/>
            <v:fill on="f" focussize="0,0"/>
            <v:stroke on="f" joinstyle="miter"/>
            <v:imagedata r:id="rId230" o:title=""/>
            <o:lock v:ext="edit" aspectratio="t"/>
            <w10:wrap type="none"/>
            <w10:anchorlock/>
          </v:shape>
          <o:OLEObject Type="Embed" ProgID="Equation.DSMT4" ShapeID="_x0000_i1139" DrawAspect="Content" ObjectID="_1468075839" r:id="rId229">
            <o:LockedField>false</o:LockedField>
          </o:OLEObject>
        </w:object>
      </w:r>
      <w:r>
        <w:rPr>
          <w:color w:val="auto"/>
          <w:szCs w:val="21"/>
        </w:rPr>
        <w:t>、</w:t>
      </w:r>
      <w:r>
        <w:rPr>
          <w:color w:val="auto"/>
          <w:position w:val="-12"/>
          <w:szCs w:val="21"/>
        </w:rPr>
        <w:object>
          <v:shape id="_x0000_i1140" o:spt="75" type="#_x0000_t75" style="height:18pt;width:15pt;" o:ole="t" filled="f" o:preferrelative="t" stroked="f" coordsize="21600,21600">
            <v:path/>
            <v:fill on="f" focussize="0,0"/>
            <v:stroke on="f" joinstyle="miter"/>
            <v:imagedata r:id="rId232" o:title=""/>
            <o:lock v:ext="edit" aspectratio="t"/>
            <w10:wrap type="none"/>
            <w10:anchorlock/>
          </v:shape>
          <o:OLEObject Type="Embed" ProgID="Equation.DSMT4" ShapeID="_x0000_i1140" DrawAspect="Content" ObjectID="_1468075840" r:id="rId231">
            <o:LockedField>false</o:LockedField>
          </o:OLEObject>
        </w:object>
      </w:r>
      <w:r>
        <w:rPr>
          <w:color w:val="auto"/>
          <w:szCs w:val="21"/>
        </w:rPr>
        <w:t>——地基压</w:t>
      </w:r>
      <w:r>
        <w:rPr>
          <w:color w:val="auto"/>
          <w:szCs w:val="21"/>
        </w:rPr>
        <w:softHyphen/>
      </w:r>
      <w:r>
        <w:rPr>
          <w:color w:val="auto"/>
          <w:szCs w:val="21"/>
        </w:rPr>
        <w:softHyphen/>
      </w:r>
      <w:r>
        <w:rPr>
          <w:color w:val="auto"/>
          <w:szCs w:val="21"/>
        </w:rPr>
        <w:t>缩层范围内符合式8.3.2-2条件的计算分层数、累计沉降量；</w:t>
      </w:r>
    </w:p>
    <w:p w14:paraId="549FE70E">
      <w:pPr>
        <w:adjustRightInd w:val="0"/>
        <w:snapToGrid w:val="0"/>
        <w:spacing w:line="340" w:lineRule="exact"/>
        <w:ind w:left="1732" w:leftChars="278" w:hanging="1148" w:hangingChars="547"/>
        <w:rPr>
          <w:color w:val="auto"/>
          <w:szCs w:val="21"/>
        </w:rPr>
      </w:pPr>
      <w:r>
        <w:rPr>
          <w:color w:val="auto"/>
          <w:position w:val="-12"/>
          <w:szCs w:val="21"/>
        </w:rPr>
        <w:object>
          <v:shape id="_x0000_i1141" o:spt="75" type="#_x0000_t75" style="height:18pt;width:12pt;" o:ole="t" filled="f" o:preferrelative="t" stroked="f" coordsize="21600,21600">
            <v:path/>
            <v:fill on="f" focussize="0,0"/>
            <v:stroke on="f" joinstyle="miter"/>
            <v:imagedata r:id="rId234" o:title=""/>
            <o:lock v:ext="edit" aspectratio="t"/>
            <w10:wrap type="none"/>
            <w10:anchorlock/>
          </v:shape>
          <o:OLEObject Type="Embed" ProgID="Equation.DSMT4" ShapeID="_x0000_i1141" DrawAspect="Content" ObjectID="_1468075841" r:id="rId233">
            <o:LockedField>false</o:LockedField>
          </o:OLEObject>
        </w:object>
      </w:r>
      <w:r>
        <w:rPr>
          <w:color w:val="auto"/>
          <w:szCs w:val="21"/>
        </w:rPr>
        <w:t>、</w:t>
      </w:r>
      <w:r>
        <w:rPr>
          <w:color w:val="auto"/>
          <w:position w:val="-12"/>
          <w:szCs w:val="21"/>
        </w:rPr>
        <w:object>
          <v:shape id="_x0000_i1142" o:spt="75" type="#_x0000_t75" style="height:18pt;width:15pt;" o:ole="t" filled="f" o:preferrelative="t" stroked="f" coordsize="21600,21600">
            <v:path/>
            <v:fill on="f" focussize="0,0"/>
            <v:stroke on="f" joinstyle="miter"/>
            <v:imagedata r:id="rId236" o:title=""/>
            <o:lock v:ext="edit" aspectratio="t"/>
            <w10:wrap type="none"/>
            <w10:anchorlock/>
          </v:shape>
          <o:OLEObject Type="Embed" ProgID="Equation.DSMT4" ShapeID="_x0000_i1142" DrawAspect="Content" ObjectID="_1468075842" r:id="rId235">
            <o:LockedField>false</o:LockedField>
          </o:OLEObject>
        </w:object>
      </w:r>
      <w:r>
        <w:rPr>
          <w:color w:val="auto"/>
          <w:szCs w:val="21"/>
        </w:rPr>
        <w:t>——地基压</w:t>
      </w:r>
      <w:r>
        <w:rPr>
          <w:color w:val="auto"/>
          <w:szCs w:val="21"/>
        </w:rPr>
        <w:softHyphen/>
      </w:r>
      <w:r>
        <w:rPr>
          <w:color w:val="auto"/>
          <w:szCs w:val="21"/>
        </w:rPr>
        <w:softHyphen/>
      </w:r>
      <w:r>
        <w:rPr>
          <w:color w:val="auto"/>
          <w:szCs w:val="21"/>
        </w:rPr>
        <w:t>缩层范围内符合式8.3.2-3条件的计算分层数、累计沉降量；</w:t>
      </w:r>
    </w:p>
    <w:p w14:paraId="7DF892C9">
      <w:pPr>
        <w:adjustRightInd w:val="0"/>
        <w:snapToGrid w:val="0"/>
        <w:spacing w:line="340" w:lineRule="exact"/>
        <w:ind w:firstLine="951" w:firstLineChars="453"/>
        <w:rPr>
          <w:color w:val="auto"/>
          <w:szCs w:val="21"/>
        </w:rPr>
      </w:pPr>
      <w:r>
        <w:rPr>
          <w:color w:val="auto"/>
          <w:szCs w:val="21"/>
        </w:rPr>
        <w:t xml:space="preserve"> </w:t>
      </w:r>
      <w:r>
        <w:rPr>
          <w:i/>
          <w:color w:val="auto"/>
          <w:szCs w:val="21"/>
        </w:rPr>
        <w:t>h</w:t>
      </w:r>
      <w:r>
        <w:rPr>
          <w:i/>
          <w:color w:val="auto"/>
          <w:szCs w:val="21"/>
          <w:vertAlign w:val="subscript"/>
        </w:rPr>
        <w:t>i</w:t>
      </w:r>
      <w:r>
        <w:rPr>
          <w:color w:val="auto"/>
          <w:szCs w:val="21"/>
          <w:vertAlign w:val="subscript"/>
        </w:rPr>
        <w:t xml:space="preserve">  </w:t>
      </w:r>
      <w:r>
        <w:rPr>
          <w:color w:val="auto"/>
          <w:szCs w:val="21"/>
        </w:rPr>
        <w:t>——第</w:t>
      </w:r>
      <w:r>
        <w:rPr>
          <w:i/>
          <w:color w:val="auto"/>
          <w:szCs w:val="21"/>
        </w:rPr>
        <w:t>i</w:t>
      </w:r>
      <w:r>
        <w:rPr>
          <w:color w:val="auto"/>
          <w:szCs w:val="21"/>
        </w:rPr>
        <w:t>层分层厚度；</w:t>
      </w:r>
    </w:p>
    <w:p w14:paraId="0AF05AC5">
      <w:pPr>
        <w:adjustRightInd w:val="0"/>
        <w:snapToGrid w:val="0"/>
        <w:spacing w:line="340" w:lineRule="exact"/>
        <w:ind w:firstLine="1062" w:firstLineChars="506"/>
        <w:rPr>
          <w:color w:val="auto"/>
          <w:szCs w:val="21"/>
        </w:rPr>
      </w:pPr>
      <w:r>
        <w:rPr>
          <w:i/>
          <w:color w:val="auto"/>
          <w:szCs w:val="21"/>
        </w:rPr>
        <w:t>e</w:t>
      </w:r>
      <w:r>
        <w:rPr>
          <w:iCs/>
          <w:color w:val="auto"/>
          <w:sz w:val="24"/>
          <w:szCs w:val="21"/>
          <w:vertAlign w:val="subscript"/>
        </w:rPr>
        <w:t>0</w:t>
      </w:r>
      <w:r>
        <w:rPr>
          <w:i/>
          <w:color w:val="auto"/>
          <w:szCs w:val="21"/>
          <w:vertAlign w:val="subscript"/>
        </w:rPr>
        <w:t>i</w:t>
      </w:r>
      <w:r>
        <w:rPr>
          <w:color w:val="auto"/>
          <w:szCs w:val="21"/>
          <w:vertAlign w:val="subscript"/>
        </w:rPr>
        <w:t xml:space="preserve"> </w:t>
      </w:r>
      <w:r>
        <w:rPr>
          <w:color w:val="auto"/>
          <w:szCs w:val="21"/>
        </w:rPr>
        <w:t>——第</w:t>
      </w:r>
      <w:r>
        <w:rPr>
          <w:i/>
          <w:color w:val="auto"/>
          <w:szCs w:val="21"/>
        </w:rPr>
        <w:t>i</w:t>
      </w:r>
      <w:r>
        <w:rPr>
          <w:color w:val="auto"/>
          <w:szCs w:val="21"/>
        </w:rPr>
        <w:t>层初始孔隙比；</w:t>
      </w:r>
    </w:p>
    <w:p w14:paraId="0E552998">
      <w:pPr>
        <w:adjustRightInd w:val="0"/>
        <w:snapToGrid w:val="0"/>
        <w:spacing w:line="340" w:lineRule="exact"/>
        <w:ind w:firstLine="714" w:firstLineChars="340"/>
        <w:rPr>
          <w:color w:val="auto"/>
          <w:szCs w:val="21"/>
        </w:rPr>
      </w:pPr>
      <w:r>
        <w:rPr>
          <w:i/>
          <w:color w:val="auto"/>
          <w:szCs w:val="21"/>
        </w:rPr>
        <w:t>c</w:t>
      </w:r>
      <w:r>
        <w:rPr>
          <w:iCs/>
          <w:color w:val="auto"/>
          <w:szCs w:val="21"/>
          <w:vertAlign w:val="subscript"/>
        </w:rPr>
        <w:t>s</w:t>
      </w:r>
      <w:r>
        <w:rPr>
          <w:i/>
          <w:color w:val="auto"/>
          <w:szCs w:val="21"/>
          <w:vertAlign w:val="subscript"/>
        </w:rPr>
        <w:t>i</w:t>
      </w:r>
      <w:r>
        <w:rPr>
          <w:color w:val="auto"/>
          <w:szCs w:val="21"/>
        </w:rPr>
        <w:t>、</w:t>
      </w:r>
      <w:r>
        <w:rPr>
          <w:i/>
          <w:color w:val="auto"/>
          <w:szCs w:val="21"/>
        </w:rPr>
        <w:t>c</w:t>
      </w:r>
      <w:r>
        <w:rPr>
          <w:iCs/>
          <w:color w:val="auto"/>
          <w:szCs w:val="21"/>
          <w:vertAlign w:val="subscript"/>
        </w:rPr>
        <w:t>c</w:t>
      </w:r>
      <w:r>
        <w:rPr>
          <w:i/>
          <w:color w:val="auto"/>
          <w:szCs w:val="21"/>
          <w:vertAlign w:val="subscript"/>
        </w:rPr>
        <w:t>i</w:t>
      </w:r>
      <w:r>
        <w:rPr>
          <w:color w:val="auto"/>
          <w:szCs w:val="21"/>
        </w:rPr>
        <w:t>——分别为第</w:t>
      </w:r>
      <w:r>
        <w:rPr>
          <w:i/>
          <w:color w:val="auto"/>
          <w:szCs w:val="21"/>
        </w:rPr>
        <w:t>i</w:t>
      </w:r>
      <w:r>
        <w:rPr>
          <w:color w:val="auto"/>
          <w:szCs w:val="21"/>
        </w:rPr>
        <w:t>层土的回弹指数和压缩指数；</w:t>
      </w:r>
    </w:p>
    <w:p w14:paraId="2CE51403">
      <w:pPr>
        <w:adjustRightInd w:val="0"/>
        <w:snapToGrid w:val="0"/>
        <w:spacing w:line="340" w:lineRule="exact"/>
        <w:ind w:firstLine="1079" w:firstLineChars="514"/>
        <w:rPr>
          <w:color w:val="auto"/>
          <w:szCs w:val="21"/>
        </w:rPr>
      </w:pPr>
      <w:r>
        <w:rPr>
          <w:i/>
          <w:color w:val="auto"/>
          <w:szCs w:val="21"/>
        </w:rPr>
        <w:t>p</w:t>
      </w:r>
      <w:r>
        <w:rPr>
          <w:iCs/>
          <w:color w:val="auto"/>
          <w:szCs w:val="21"/>
          <w:vertAlign w:val="subscript"/>
        </w:rPr>
        <w:t>0</w:t>
      </w:r>
      <w:r>
        <w:rPr>
          <w:i/>
          <w:color w:val="auto"/>
          <w:szCs w:val="21"/>
          <w:vertAlign w:val="subscript"/>
        </w:rPr>
        <w:t>i</w:t>
      </w:r>
      <w:r>
        <w:rPr>
          <w:color w:val="auto"/>
          <w:szCs w:val="21"/>
        </w:rPr>
        <w:t>——第</w:t>
      </w:r>
      <w:r>
        <w:rPr>
          <w:i/>
          <w:color w:val="auto"/>
          <w:szCs w:val="21"/>
        </w:rPr>
        <w:t>i</w:t>
      </w:r>
      <w:r>
        <w:rPr>
          <w:color w:val="auto"/>
          <w:szCs w:val="21"/>
        </w:rPr>
        <w:t>层土自重压力平均值（kPa）；</w:t>
      </w:r>
    </w:p>
    <w:p w14:paraId="3AD06AA7">
      <w:pPr>
        <w:adjustRightInd w:val="0"/>
        <w:snapToGrid w:val="0"/>
        <w:spacing w:line="340" w:lineRule="exact"/>
        <w:ind w:left="1730" w:leftChars="514" w:hanging="651" w:hangingChars="310"/>
        <w:rPr>
          <w:color w:val="auto"/>
          <w:szCs w:val="21"/>
        </w:rPr>
      </w:pPr>
      <w:r>
        <w:rPr>
          <w:i/>
          <w:color w:val="auto"/>
          <w:szCs w:val="21"/>
        </w:rPr>
        <w:t>p</w:t>
      </w:r>
      <w:r>
        <w:rPr>
          <w:iCs/>
          <w:color w:val="auto"/>
          <w:szCs w:val="21"/>
          <w:vertAlign w:val="subscript"/>
        </w:rPr>
        <w:t>z</w:t>
      </w:r>
      <w:r>
        <w:rPr>
          <w:i/>
          <w:color w:val="auto"/>
          <w:szCs w:val="21"/>
          <w:vertAlign w:val="subscript"/>
        </w:rPr>
        <w:t>i</w:t>
      </w:r>
      <w:r>
        <w:rPr>
          <w:color w:val="auto"/>
          <w:szCs w:val="21"/>
        </w:rPr>
        <w:t>——</w:t>
      </w:r>
      <w:r>
        <w:rPr>
          <w:color w:val="auto"/>
          <w:spacing w:val="-4"/>
          <w:szCs w:val="21"/>
        </w:rPr>
        <w:t>相应于作用的准永久组合时第</w:t>
      </w:r>
      <w:r>
        <w:rPr>
          <w:i/>
          <w:color w:val="auto"/>
          <w:spacing w:val="-4"/>
          <w:szCs w:val="21"/>
        </w:rPr>
        <w:t>i</w:t>
      </w:r>
      <w:r>
        <w:rPr>
          <w:color w:val="auto"/>
          <w:spacing w:val="-4"/>
          <w:szCs w:val="21"/>
        </w:rPr>
        <w:t>层土附加压力平均值（kPa），附加压力系数见附录</w:t>
      </w:r>
      <w:r>
        <w:rPr>
          <w:iCs/>
          <w:color w:val="auto"/>
          <w:spacing w:val="-4"/>
          <w:szCs w:val="21"/>
        </w:rPr>
        <w:t>G</w:t>
      </w:r>
      <w:r>
        <w:rPr>
          <w:color w:val="auto"/>
          <w:spacing w:val="-4"/>
          <w:szCs w:val="21"/>
        </w:rPr>
        <w:t>；</w:t>
      </w:r>
    </w:p>
    <w:p w14:paraId="4A5AC771">
      <w:pPr>
        <w:adjustRightInd w:val="0"/>
        <w:snapToGrid w:val="0"/>
        <w:spacing w:line="340" w:lineRule="exact"/>
        <w:ind w:firstLine="1077" w:firstLineChars="513"/>
        <w:rPr>
          <w:color w:val="auto"/>
          <w:szCs w:val="21"/>
        </w:rPr>
      </w:pPr>
      <w:r>
        <w:rPr>
          <w:i/>
          <w:color w:val="auto"/>
          <w:szCs w:val="21"/>
        </w:rPr>
        <w:t>p</w:t>
      </w:r>
      <w:r>
        <w:rPr>
          <w:iCs/>
          <w:color w:val="auto"/>
          <w:szCs w:val="21"/>
          <w:vertAlign w:val="subscript"/>
        </w:rPr>
        <w:t>c</w:t>
      </w:r>
      <w:r>
        <w:rPr>
          <w:i/>
          <w:color w:val="auto"/>
          <w:szCs w:val="21"/>
          <w:vertAlign w:val="subscript"/>
        </w:rPr>
        <w:t>i</w:t>
      </w:r>
      <w:r>
        <w:rPr>
          <w:color w:val="auto"/>
          <w:szCs w:val="21"/>
        </w:rPr>
        <w:t>——第</w:t>
      </w:r>
      <w:r>
        <w:rPr>
          <w:i/>
          <w:color w:val="auto"/>
          <w:szCs w:val="21"/>
        </w:rPr>
        <w:t>i</w:t>
      </w:r>
      <w:r>
        <w:rPr>
          <w:color w:val="auto"/>
          <w:szCs w:val="21"/>
        </w:rPr>
        <w:t>层土前期固结压力平均值（kPa）</w:t>
      </w:r>
      <w:r>
        <w:rPr>
          <w:rFonts w:hint="eastAsia"/>
          <w:color w:val="auto"/>
          <w:szCs w:val="21"/>
        </w:rPr>
        <w:t>。</w:t>
      </w:r>
    </w:p>
    <w:p w14:paraId="2326C1DB">
      <w:pPr>
        <w:adjustRightInd w:val="0"/>
        <w:snapToGrid w:val="0"/>
        <w:spacing w:line="340" w:lineRule="exact"/>
        <w:ind w:firstLine="422" w:firstLineChars="200"/>
        <w:rPr>
          <w:color w:val="auto"/>
          <w:szCs w:val="21"/>
        </w:rPr>
      </w:pPr>
      <w:r>
        <w:rPr>
          <w:b/>
          <w:bCs/>
          <w:color w:val="auto"/>
          <w:szCs w:val="21"/>
        </w:rPr>
        <w:t>d)</w:t>
      </w:r>
      <w:r>
        <w:rPr>
          <w:color w:val="auto"/>
          <w:szCs w:val="21"/>
        </w:rPr>
        <w:t xml:space="preserve">  地基压缩层深度</w:t>
      </w:r>
      <w:r>
        <w:rPr>
          <w:rFonts w:hint="eastAsia"/>
          <w:color w:val="auto"/>
          <w:szCs w:val="21"/>
        </w:rPr>
        <w:t>取</w:t>
      </w:r>
      <w:r>
        <w:rPr>
          <w:color w:val="auto"/>
          <w:szCs w:val="21"/>
        </w:rPr>
        <w:t>附加压力等于土自重压力20%处，对于软土</w:t>
      </w:r>
      <w:r>
        <w:rPr>
          <w:rFonts w:hint="eastAsia"/>
          <w:color w:val="auto"/>
          <w:szCs w:val="21"/>
        </w:rPr>
        <w:t>取</w:t>
      </w:r>
      <w:r>
        <w:rPr>
          <w:color w:val="auto"/>
          <w:szCs w:val="21"/>
        </w:rPr>
        <w:t>土自重压力10%处。</w:t>
      </w:r>
    </w:p>
    <w:p w14:paraId="3CCD0D37">
      <w:pPr>
        <w:adjustRightInd w:val="0"/>
        <w:snapToGrid w:val="0"/>
        <w:spacing w:line="340" w:lineRule="exact"/>
        <w:rPr>
          <w:color w:val="auto"/>
          <w:szCs w:val="21"/>
        </w:rPr>
      </w:pPr>
      <w:r>
        <w:rPr>
          <w:b/>
          <w:bCs/>
          <w:color w:val="auto"/>
          <w:szCs w:val="21"/>
        </w:rPr>
        <w:t>7.3.3</w:t>
      </w:r>
      <w:r>
        <w:rPr>
          <w:color w:val="auto"/>
          <w:szCs w:val="21"/>
        </w:rPr>
        <w:t xml:space="preserve">  </w:t>
      </w:r>
      <w:r>
        <w:rPr>
          <w:rFonts w:hint="eastAsia"/>
          <w:color w:val="auto"/>
          <w:szCs w:val="21"/>
        </w:rPr>
        <w:t>对不能准确取得压缩模量的地基土，包括碎石土、砂土、花岗岩残积土、全风化岩、强风化岩等，可按JGJ∕T 72-2017附录 C的规定，采用变形模量估算天然地基的最终沉降量。</w:t>
      </w:r>
    </w:p>
    <w:p w14:paraId="57C3C329">
      <w:pPr>
        <w:adjustRightInd w:val="0"/>
        <w:snapToGrid w:val="0"/>
        <w:spacing w:line="340" w:lineRule="exact"/>
        <w:rPr>
          <w:color w:val="auto"/>
          <w:szCs w:val="21"/>
        </w:rPr>
      </w:pPr>
      <w:r>
        <w:rPr>
          <w:b/>
          <w:bCs/>
          <w:color w:val="auto"/>
          <w:szCs w:val="21"/>
        </w:rPr>
        <w:t>7.3.4</w:t>
      </w:r>
      <w:r>
        <w:rPr>
          <w:color w:val="auto"/>
          <w:szCs w:val="21"/>
        </w:rPr>
        <w:t xml:space="preserve">  计算地基变形时应考虑相邻荷载的影响，其值可按应力叠加原理，采用角点法计算。</w:t>
      </w:r>
    </w:p>
    <w:p w14:paraId="652A9BEE">
      <w:pPr>
        <w:adjustRightInd w:val="0"/>
        <w:snapToGrid w:val="0"/>
        <w:spacing w:line="340" w:lineRule="exact"/>
        <w:rPr>
          <w:color w:val="auto"/>
          <w:szCs w:val="21"/>
        </w:rPr>
      </w:pPr>
      <w:r>
        <w:rPr>
          <w:b/>
          <w:bCs/>
          <w:color w:val="auto"/>
          <w:szCs w:val="21"/>
        </w:rPr>
        <w:t>7.3.5</w:t>
      </w:r>
      <w:r>
        <w:rPr>
          <w:color w:val="auto"/>
          <w:szCs w:val="21"/>
        </w:rPr>
        <w:t xml:space="preserve">  当建筑物地下室基础埋置较深时，地基土的回弹变形量可按</w:t>
      </w:r>
      <w:r>
        <w:rPr>
          <w:rFonts w:hint="eastAsia"/>
          <w:color w:val="auto"/>
          <w:lang w:val="en-US" w:eastAsia="zh-CN"/>
        </w:rPr>
        <w:t>公式（29）</w:t>
      </w:r>
      <w:r>
        <w:rPr>
          <w:color w:val="auto"/>
          <w:szCs w:val="21"/>
        </w:rPr>
        <w:t>进行计算：</w:t>
      </w:r>
    </w:p>
    <w:p w14:paraId="7E0B1368">
      <w:pPr>
        <w:pStyle w:val="12"/>
        <w:jc w:val="right"/>
        <w:rPr>
          <w:color w:val="auto"/>
          <w:szCs w:val="21"/>
        </w:rPr>
      </w:pPr>
      <w:r>
        <w:rPr>
          <w:color w:val="auto"/>
          <w:position w:val="-30"/>
          <w:szCs w:val="21"/>
        </w:rPr>
        <w:object>
          <v:shape id="_x0000_i1143" o:spt="75" type="#_x0000_t75" style="height:33.75pt;width:158.25pt;" o:ole="t" filled="f" o:preferrelative="t" stroked="f" coordsize="21600,21600">
            <v:path/>
            <v:fill on="f" focussize="0,0"/>
            <v:stroke on="f" joinstyle="miter"/>
            <v:imagedata r:id="rId238" o:title=""/>
            <o:lock v:ext="edit" aspectratio="t"/>
            <w10:wrap type="none"/>
            <w10:anchorlock/>
          </v:shape>
          <o:OLEObject Type="Embed" ProgID="Equation.DSMT4" ShapeID="_x0000_i1143" DrawAspect="Content" ObjectID="_1468075843" r:id="rId237">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29</w:t>
      </w:r>
      <w:r>
        <w:rPr>
          <w:color w:val="auto"/>
          <w:szCs w:val="21"/>
        </w:rPr>
        <w:fldChar w:fldCharType="end"/>
      </w:r>
      <w:r>
        <w:rPr>
          <w:color w:val="auto"/>
          <w:szCs w:val="21"/>
        </w:rPr>
        <w:t>)</w:t>
      </w:r>
    </w:p>
    <w:p w14:paraId="61A4D817">
      <w:pPr>
        <w:adjustRightInd w:val="0"/>
        <w:snapToGrid w:val="0"/>
        <w:spacing w:before="120" w:line="340" w:lineRule="exact"/>
        <w:rPr>
          <w:color w:val="auto"/>
          <w:szCs w:val="21"/>
        </w:rPr>
      </w:pPr>
      <w:r>
        <w:rPr>
          <w:color w:val="auto"/>
          <w:szCs w:val="21"/>
        </w:rPr>
        <w:t xml:space="preserve">式中  </w:t>
      </w:r>
      <w:r>
        <w:rPr>
          <w:i/>
          <w:iCs/>
          <w:color w:val="auto"/>
          <w:szCs w:val="21"/>
        </w:rPr>
        <w:t>s</w:t>
      </w:r>
      <w:r>
        <w:rPr>
          <w:iCs/>
          <w:color w:val="auto"/>
          <w:sz w:val="24"/>
          <w:szCs w:val="21"/>
          <w:vertAlign w:val="subscript"/>
        </w:rPr>
        <w:t>c</w:t>
      </w:r>
      <w:r>
        <w:rPr>
          <w:color w:val="auto"/>
          <w:szCs w:val="21"/>
        </w:rPr>
        <w:t>——地基回弹变形量（mm）；</w:t>
      </w:r>
    </w:p>
    <w:p w14:paraId="0FE5EC0D">
      <w:pPr>
        <w:adjustRightInd w:val="0"/>
        <w:snapToGrid w:val="0"/>
        <w:spacing w:line="340" w:lineRule="exact"/>
        <w:ind w:firstLine="588" w:firstLineChars="280"/>
        <w:rPr>
          <w:color w:val="auto"/>
          <w:szCs w:val="21"/>
        </w:rPr>
      </w:pPr>
      <w:r>
        <w:rPr>
          <w:i/>
          <w:color w:val="auto"/>
          <w:szCs w:val="21"/>
        </w:rPr>
        <w:t>ψ</w:t>
      </w:r>
      <w:r>
        <w:rPr>
          <w:iCs/>
          <w:color w:val="auto"/>
          <w:sz w:val="24"/>
          <w:szCs w:val="21"/>
          <w:vertAlign w:val="subscript"/>
        </w:rPr>
        <w:t>c</w:t>
      </w:r>
      <w:r>
        <w:rPr>
          <w:color w:val="auto"/>
          <w:szCs w:val="21"/>
        </w:rPr>
        <w:t>——回弹量计算的经验系数，无地区经验时可取1.0；</w:t>
      </w:r>
    </w:p>
    <w:p w14:paraId="2A245155">
      <w:pPr>
        <w:adjustRightInd w:val="0"/>
        <w:snapToGrid w:val="0"/>
        <w:spacing w:line="340" w:lineRule="exact"/>
        <w:ind w:firstLine="602"/>
        <w:rPr>
          <w:color w:val="auto"/>
          <w:szCs w:val="21"/>
        </w:rPr>
      </w:pPr>
      <w:r>
        <w:rPr>
          <w:i/>
          <w:color w:val="auto"/>
          <w:szCs w:val="21"/>
        </w:rPr>
        <w:t>p</w:t>
      </w:r>
      <w:r>
        <w:rPr>
          <w:iCs/>
          <w:color w:val="auto"/>
          <w:sz w:val="24"/>
          <w:szCs w:val="21"/>
          <w:vertAlign w:val="subscript"/>
        </w:rPr>
        <w:t>c</w:t>
      </w:r>
      <w:r>
        <w:rPr>
          <w:color w:val="auto"/>
          <w:szCs w:val="21"/>
        </w:rPr>
        <w:t>——基坑底面以上土的自重压力（kPa），地下水位以下应扣除浮力；</w:t>
      </w:r>
    </w:p>
    <w:p w14:paraId="1BCE861C">
      <w:pPr>
        <w:adjustRightInd w:val="0"/>
        <w:snapToGrid w:val="0"/>
        <w:spacing w:line="340" w:lineRule="exact"/>
        <w:ind w:left="1230" w:leftChars="12" w:hanging="1205" w:hangingChars="574"/>
        <w:rPr>
          <w:color w:val="auto"/>
          <w:szCs w:val="21"/>
        </w:rPr>
      </w:pPr>
      <w:r>
        <w:rPr>
          <w:color w:val="auto"/>
          <w:szCs w:val="21"/>
        </w:rPr>
        <w:t xml:space="preserve">    </w:t>
      </w:r>
      <w:r>
        <w:rPr>
          <w:color w:val="auto"/>
          <w:position w:val="-12"/>
          <w:szCs w:val="21"/>
        </w:rPr>
        <w:object>
          <v:shape id="_x0000_i1144" o:spt="75" type="#_x0000_t75" style="height:18pt;width:16.5pt;" o:ole="t" filled="f" o:preferrelative="t" stroked="f" coordsize="21600,21600">
            <v:path/>
            <v:fill on="f" focussize="0,0"/>
            <v:stroke on="f" joinstyle="miter"/>
            <v:imagedata r:id="rId240" o:title=""/>
            <o:lock v:ext="edit" aspectratio="t"/>
            <w10:wrap type="none"/>
            <w10:anchorlock/>
          </v:shape>
          <o:OLEObject Type="Embed" ProgID="Equation.DSMT4" ShapeID="_x0000_i1144" DrawAspect="Content" ObjectID="_1468075844" r:id="rId239">
            <o:LockedField>false</o:LockedField>
          </o:OLEObject>
        </w:object>
      </w:r>
      <w:r>
        <w:rPr>
          <w:color w:val="auto"/>
          <w:szCs w:val="21"/>
        </w:rPr>
        <w:t>——土的回弹模量（MPa），按现行国家标准GB/T 50123中土的固结试验回弹曲线的不同应力段计算。</w:t>
      </w:r>
    </w:p>
    <w:p w14:paraId="0BF41B2E">
      <w:pPr>
        <w:adjustRightInd w:val="0"/>
        <w:snapToGrid w:val="0"/>
        <w:spacing w:line="340" w:lineRule="exact"/>
        <w:rPr>
          <w:color w:val="auto"/>
          <w:szCs w:val="21"/>
        </w:rPr>
      </w:pPr>
      <w:r>
        <w:rPr>
          <w:b/>
          <w:bCs/>
          <w:color w:val="auto"/>
          <w:szCs w:val="21"/>
        </w:rPr>
        <w:t xml:space="preserve">7.3.6 </w:t>
      </w:r>
      <w:r>
        <w:rPr>
          <w:color w:val="auto"/>
          <w:szCs w:val="21"/>
        </w:rPr>
        <w:t xml:space="preserve"> 回弹再压缩变形量计算可采用再加荷的压力小于卸载土的自重压力段内再压缩变形线性分布的假定按</w:t>
      </w:r>
      <w:r>
        <w:rPr>
          <w:rFonts w:hint="eastAsia"/>
          <w:color w:val="auto"/>
          <w:lang w:val="en-US" w:eastAsia="zh-CN"/>
        </w:rPr>
        <w:t>公式（30）</w:t>
      </w:r>
      <w:r>
        <w:rPr>
          <w:color w:val="auto"/>
          <w:szCs w:val="21"/>
        </w:rPr>
        <w:t>进行计算：</w:t>
      </w:r>
    </w:p>
    <w:p w14:paraId="186885AA">
      <w:pPr>
        <w:pStyle w:val="12"/>
        <w:jc w:val="right"/>
        <w:rPr>
          <w:color w:val="auto"/>
          <w:szCs w:val="21"/>
        </w:rPr>
      </w:pPr>
      <w:r>
        <w:rPr>
          <w:color w:val="auto"/>
          <w:position w:val="-70"/>
          <w:szCs w:val="21"/>
        </w:rPr>
        <w:object>
          <v:shape id="_x0000_i1145" o:spt="75" type="#_x0000_t75" style="height:75.75pt;width:252.75pt;" o:ole="t" filled="f" o:preferrelative="t" stroked="f" coordsize="21600,21600">
            <v:path/>
            <v:fill on="f" focussize="0,0"/>
            <v:stroke on="f" joinstyle="miter"/>
            <v:imagedata r:id="rId242" o:title=""/>
            <o:lock v:ext="edit" aspectratio="t"/>
            <w10:wrap type="none"/>
            <w10:anchorlock/>
          </v:shape>
          <o:OLEObject Type="Embed" ProgID="Equation.DSMT4" ShapeID="_x0000_i1145" DrawAspect="Content" ObjectID="_1468075845" r:id="rId24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30</w:t>
      </w:r>
      <w:r>
        <w:rPr>
          <w:color w:val="auto"/>
          <w:szCs w:val="21"/>
        </w:rPr>
        <w:fldChar w:fldCharType="end"/>
      </w:r>
      <w:r>
        <w:rPr>
          <w:color w:val="auto"/>
          <w:szCs w:val="21"/>
        </w:rPr>
        <w:t>)</w:t>
      </w:r>
    </w:p>
    <w:p w14:paraId="16AED702">
      <w:pPr>
        <w:adjustRightInd w:val="0"/>
        <w:snapToGrid w:val="0"/>
        <w:spacing w:before="240" w:line="340" w:lineRule="exact"/>
        <w:rPr>
          <w:color w:val="auto"/>
          <w:szCs w:val="21"/>
        </w:rPr>
      </w:pPr>
      <w:r>
        <w:rPr>
          <w:color w:val="auto"/>
          <w:szCs w:val="21"/>
        </w:rPr>
        <w:t xml:space="preserve">式中  </w:t>
      </w:r>
      <w:r>
        <w:rPr>
          <w:color w:val="auto"/>
          <w:position w:val="-12"/>
        </w:rPr>
        <w:object>
          <v:shape id="_x0000_i1146" o:spt="75" type="#_x0000_t75" style="height:18pt;width:12pt;" o:ole="t" filled="f" o:preferrelative="t" stroked="f" coordsize="21600,21600">
            <v:path/>
            <v:fill on="f" focussize="0,0"/>
            <v:stroke on="f" joinstyle="miter"/>
            <v:imagedata r:id="rId244" o:title=""/>
            <o:lock v:ext="edit" aspectratio="t"/>
            <w10:wrap type="none"/>
            <w10:anchorlock/>
          </v:shape>
          <o:OLEObject Type="Embed" ProgID="Equation.DSMT4" ShapeID="_x0000_i1146" DrawAspect="Content" ObjectID="_1468075846" r:id="rId243">
            <o:LockedField>false</o:LockedField>
          </o:OLEObject>
        </w:object>
      </w:r>
      <w:r>
        <w:rPr>
          <w:color w:val="auto"/>
        </w:rPr>
        <w:t>——</w:t>
      </w:r>
      <w:r>
        <w:rPr>
          <w:color w:val="auto"/>
          <w:szCs w:val="21"/>
        </w:rPr>
        <w:t>地基土回弹再压缩变形量（mm）；</w:t>
      </w:r>
    </w:p>
    <w:p w14:paraId="49212326">
      <w:pPr>
        <w:adjustRightInd w:val="0"/>
        <w:snapToGrid w:val="0"/>
        <w:spacing w:line="340" w:lineRule="exact"/>
        <w:rPr>
          <w:color w:val="auto"/>
          <w:szCs w:val="21"/>
        </w:rPr>
      </w:pPr>
      <w:r>
        <w:rPr>
          <w:color w:val="auto"/>
          <w:szCs w:val="21"/>
        </w:rPr>
        <w:t xml:space="preserve">      </w:t>
      </w:r>
      <w:r>
        <w:rPr>
          <w:color w:val="auto"/>
          <w:position w:val="-12"/>
        </w:rPr>
        <w:object>
          <v:shape id="_x0000_i1147" o:spt="75" type="#_x0000_t75" style="height:18pt;width:12pt;" o:ole="t" filled="f" o:preferrelative="t" stroked="f" coordsize="21600,21600">
            <v:path/>
            <v:fill on="f" focussize="0,0"/>
            <v:stroke on="f" joinstyle="miter"/>
            <v:imagedata r:id="rId246" o:title=""/>
            <o:lock v:ext="edit" aspectratio="t"/>
            <w10:wrap type="none"/>
            <w10:anchorlock/>
          </v:shape>
          <o:OLEObject Type="Embed" ProgID="Equation.DSMT4" ShapeID="_x0000_i1147" DrawAspect="Content" ObjectID="_1468075847" r:id="rId245">
            <o:LockedField>false</o:LockedField>
          </o:OLEObject>
        </w:object>
      </w:r>
      <w:r>
        <w:rPr>
          <w:color w:val="auto"/>
        </w:rPr>
        <w:t>——</w:t>
      </w:r>
      <w:r>
        <w:rPr>
          <w:color w:val="auto"/>
          <w:szCs w:val="21"/>
        </w:rPr>
        <w:t>地基的回弹变形量（mm）；</w:t>
      </w:r>
    </w:p>
    <w:p w14:paraId="4D7BBFD3">
      <w:pPr>
        <w:adjustRightInd w:val="0"/>
        <w:snapToGrid w:val="0"/>
        <w:spacing w:line="340" w:lineRule="exact"/>
        <w:ind w:left="1275" w:hanging="1274" w:hangingChars="607"/>
        <w:rPr>
          <w:color w:val="auto"/>
          <w:szCs w:val="21"/>
        </w:rPr>
      </w:pPr>
      <w:r>
        <w:rPr>
          <w:color w:val="auto"/>
          <w:szCs w:val="21"/>
        </w:rPr>
        <w:t xml:space="preserve">      </w:t>
      </w:r>
      <w:r>
        <w:rPr>
          <w:color w:val="auto"/>
          <w:position w:val="-12"/>
        </w:rPr>
        <w:object>
          <v:shape id="_x0000_i1148" o:spt="75" type="#_x0000_t75" style="height:18pt;width:12pt;" o:ole="t" filled="f" o:preferrelative="t" stroked="f" coordsize="21600,21600">
            <v:path/>
            <v:fill on="f" focussize="0,0"/>
            <v:stroke on="f" joinstyle="miter"/>
            <v:imagedata r:id="rId248" o:title=""/>
            <o:lock v:ext="edit" aspectratio="t"/>
            <w10:wrap type="none"/>
            <w10:anchorlock/>
          </v:shape>
          <o:OLEObject Type="Embed" ProgID="Equation.DSMT4" ShapeID="_x0000_i1148" DrawAspect="Content" ObjectID="_1468075848" r:id="rId247">
            <o:LockedField>false</o:LockedField>
          </o:OLEObject>
        </w:object>
      </w:r>
      <w:r>
        <w:rPr>
          <w:color w:val="auto"/>
        </w:rPr>
        <w:t>——</w:t>
      </w:r>
      <w:r>
        <w:rPr>
          <w:color w:val="auto"/>
          <w:szCs w:val="21"/>
        </w:rPr>
        <w:t>临界再压缩比率，相应于再压缩比率与再加荷比关系曲线上两段线性交点对应的再压缩比率，由土的固结回弹再压缩试验确定；</w:t>
      </w:r>
    </w:p>
    <w:p w14:paraId="49554EAB">
      <w:pPr>
        <w:adjustRightInd w:val="0"/>
        <w:snapToGrid w:val="0"/>
        <w:spacing w:line="340" w:lineRule="exact"/>
        <w:ind w:left="1287" w:leftChars="20" w:hanging="1245" w:hangingChars="593"/>
        <w:rPr>
          <w:color w:val="auto"/>
          <w:szCs w:val="21"/>
        </w:rPr>
      </w:pPr>
      <w:r>
        <w:rPr>
          <w:color w:val="auto"/>
          <w:szCs w:val="21"/>
        </w:rPr>
        <w:t xml:space="preserve">     </w:t>
      </w:r>
      <w:r>
        <w:rPr>
          <w:color w:val="auto"/>
          <w:position w:val="-12"/>
        </w:rPr>
        <w:object>
          <v:shape id="_x0000_i1149" o:spt="75" type="#_x0000_t75" style="height:18pt;width:15pt;" o:ole="t" filled="f" o:preferrelative="t" stroked="f" coordsize="21600,21600">
            <v:path/>
            <v:fill on="f" focussize="0,0"/>
            <v:stroke on="f" joinstyle="miter"/>
            <v:imagedata r:id="rId250" o:title=""/>
            <o:lock v:ext="edit" aspectratio="t"/>
            <w10:wrap type="none"/>
            <w10:anchorlock/>
          </v:shape>
          <o:OLEObject Type="Embed" ProgID="Equation.DSMT4" ShapeID="_x0000_i1149" DrawAspect="Content" ObjectID="_1468075849" r:id="rId249">
            <o:LockedField>false</o:LockedField>
          </o:OLEObject>
        </w:object>
      </w:r>
      <w:r>
        <w:rPr>
          <w:color w:val="auto"/>
        </w:rPr>
        <w:t>——</w:t>
      </w:r>
      <w:r>
        <w:rPr>
          <w:color w:val="auto"/>
          <w:szCs w:val="21"/>
        </w:rPr>
        <w:t>临界再加荷比，相应于再压缩比率与再加荷比关系曲线上两段线性交点对应的再加荷比，由土的固结回弹再压缩试验确定；</w:t>
      </w:r>
    </w:p>
    <w:p w14:paraId="4084D845">
      <w:pPr>
        <w:adjustRightInd w:val="0"/>
        <w:snapToGrid w:val="0"/>
        <w:spacing w:line="340" w:lineRule="exact"/>
        <w:ind w:left="1273" w:hanging="1272" w:hangingChars="606"/>
        <w:rPr>
          <w:color w:val="auto"/>
          <w:szCs w:val="21"/>
        </w:rPr>
      </w:pPr>
      <w:r>
        <w:rPr>
          <w:color w:val="auto"/>
          <w:szCs w:val="21"/>
        </w:rPr>
        <w:t xml:space="preserve">   </w:t>
      </w:r>
      <w:r>
        <w:rPr>
          <w:color w:val="auto"/>
          <w:position w:val="-12"/>
        </w:rPr>
        <w:object>
          <v:shape id="_x0000_i1150" o:spt="75" type="#_x0000_t75" style="height:18pt;width:26.25pt;" o:ole="t" filled="f" o:preferrelative="t" stroked="f" coordsize="21600,21600">
            <v:path/>
            <v:fill on="f" focussize="0,0"/>
            <v:stroke on="f" joinstyle="miter"/>
            <v:imagedata r:id="rId252" o:title=""/>
            <o:lock v:ext="edit" aspectratio="t"/>
            <w10:wrap type="none"/>
            <w10:anchorlock/>
          </v:shape>
          <o:OLEObject Type="Embed" ProgID="Equation.DSMT4" ShapeID="_x0000_i1150" DrawAspect="Content" ObjectID="_1468075850" r:id="rId251">
            <o:LockedField>false</o:LockedField>
          </o:OLEObject>
        </w:object>
      </w:r>
      <w:r>
        <w:rPr>
          <w:color w:val="auto"/>
        </w:rPr>
        <w:t>——</w:t>
      </w:r>
      <w:r>
        <w:rPr>
          <w:color w:val="auto"/>
          <w:szCs w:val="21"/>
        </w:rPr>
        <w:t>对应于再加荷比R＇=1.0时的再压缩比率，由土的固结回弹再压缩试验确定，其值等于回弹再压缩变形增大系数；</w:t>
      </w:r>
    </w:p>
    <w:p w14:paraId="2C71C974">
      <w:pPr>
        <w:adjustRightInd w:val="0"/>
        <w:snapToGrid w:val="0"/>
        <w:spacing w:line="340" w:lineRule="exact"/>
        <w:rPr>
          <w:color w:val="auto"/>
          <w:szCs w:val="21"/>
        </w:rPr>
      </w:pPr>
      <w:r>
        <w:rPr>
          <w:color w:val="auto"/>
          <w:szCs w:val="21"/>
        </w:rPr>
        <w:t xml:space="preserve">      </w:t>
      </w:r>
      <w:r>
        <w:rPr>
          <w:i/>
          <w:color w:val="auto"/>
          <w:szCs w:val="21"/>
        </w:rPr>
        <w:t xml:space="preserve"> p</w:t>
      </w:r>
      <w:r>
        <w:rPr>
          <w:color w:val="auto"/>
          <w:szCs w:val="21"/>
        </w:rPr>
        <w:t>——再加荷的基底压力（kPa）。</w:t>
      </w:r>
    </w:p>
    <w:p w14:paraId="00503DB8">
      <w:pPr>
        <w:adjustRightInd w:val="0"/>
        <w:snapToGrid w:val="0"/>
        <w:spacing w:line="340" w:lineRule="exact"/>
        <w:rPr>
          <w:color w:val="auto"/>
          <w:szCs w:val="21"/>
        </w:rPr>
      </w:pPr>
      <w:r>
        <w:rPr>
          <w:b/>
          <w:bCs/>
          <w:color w:val="auto"/>
          <w:szCs w:val="21"/>
        </w:rPr>
        <w:t xml:space="preserve">7.3.7  </w:t>
      </w:r>
      <w:r>
        <w:rPr>
          <w:color w:val="auto"/>
          <w:szCs w:val="21"/>
        </w:rPr>
        <w:t>在同一整体大面积基础上建有多栋高层和低层建筑，应按照上部结构、基础与地基的共同作用进行变形计算。</w:t>
      </w:r>
      <w:r>
        <w:rPr>
          <w:rFonts w:hint="eastAsia"/>
          <w:color w:val="auto"/>
          <w:szCs w:val="21"/>
        </w:rPr>
        <w:t>上部结构、基础与地基的共同作用分析应符合下列规定：</w:t>
      </w:r>
    </w:p>
    <w:p w14:paraId="7FDC9494">
      <w:pPr>
        <w:adjustRightInd w:val="0"/>
        <w:snapToGrid w:val="0"/>
        <w:spacing w:line="340" w:lineRule="exact"/>
        <w:ind w:firstLine="420" w:firstLineChars="200"/>
        <w:rPr>
          <w:color w:val="auto"/>
          <w:szCs w:val="21"/>
        </w:rPr>
      </w:pPr>
      <w:r>
        <w:rPr>
          <w:color w:val="auto"/>
          <w:szCs w:val="21"/>
        </w:rPr>
        <w:t>a)</w:t>
      </w:r>
      <w:r>
        <w:rPr>
          <w:rFonts w:hint="eastAsia"/>
          <w:color w:val="auto"/>
          <w:szCs w:val="21"/>
        </w:rPr>
        <w:t xml:space="preserve">  共同作用分析的地基反力和变形结果及其分布规律应同时符合理论及工程实践经验；</w:t>
      </w:r>
    </w:p>
    <w:p w14:paraId="68550CCF">
      <w:pPr>
        <w:adjustRightInd w:val="0"/>
        <w:snapToGrid w:val="0"/>
        <w:spacing w:line="340" w:lineRule="exact"/>
        <w:ind w:firstLine="420" w:firstLineChars="200"/>
        <w:rPr>
          <w:color w:val="auto"/>
          <w:szCs w:val="21"/>
        </w:rPr>
      </w:pPr>
      <w:r>
        <w:rPr>
          <w:color w:val="auto"/>
          <w:szCs w:val="21"/>
        </w:rPr>
        <w:t>b)</w:t>
      </w:r>
      <w:r>
        <w:rPr>
          <w:rFonts w:hint="eastAsia"/>
          <w:color w:val="auto"/>
          <w:szCs w:val="21"/>
        </w:rPr>
        <w:t xml:space="preserve">  当采用线弹性模型分析计算时，地基模型可采用有限压缩层模型，地基反力分析应采用迭代计算；</w:t>
      </w:r>
    </w:p>
    <w:p w14:paraId="2547DFDF">
      <w:pPr>
        <w:adjustRightInd w:val="0"/>
        <w:snapToGrid w:val="0"/>
        <w:spacing w:line="340" w:lineRule="exact"/>
        <w:ind w:firstLine="420" w:firstLineChars="200"/>
        <w:rPr>
          <w:color w:val="auto"/>
          <w:szCs w:val="21"/>
        </w:rPr>
      </w:pPr>
      <w:r>
        <w:rPr>
          <w:color w:val="auto"/>
          <w:szCs w:val="21"/>
        </w:rPr>
        <w:t>c)</w:t>
      </w:r>
      <w:r>
        <w:rPr>
          <w:rFonts w:hint="eastAsia"/>
          <w:color w:val="auto"/>
          <w:szCs w:val="21"/>
        </w:rPr>
        <w:t xml:space="preserve">  共同作用分析也可采用非线性弹性地基模型进行分析计算；</w:t>
      </w:r>
    </w:p>
    <w:p w14:paraId="788762F2">
      <w:pPr>
        <w:adjustRightInd w:val="0"/>
        <w:snapToGrid w:val="0"/>
        <w:spacing w:line="340" w:lineRule="exact"/>
        <w:ind w:firstLine="420" w:firstLineChars="200"/>
        <w:rPr>
          <w:rFonts w:eastAsia="黑体"/>
          <w:color w:val="auto"/>
          <w:szCs w:val="21"/>
        </w:rPr>
      </w:pPr>
      <w:r>
        <w:rPr>
          <w:color w:val="auto"/>
          <w:szCs w:val="21"/>
        </w:rPr>
        <w:t>d)</w:t>
      </w:r>
      <w:r>
        <w:rPr>
          <w:rFonts w:hint="eastAsia"/>
          <w:color w:val="auto"/>
          <w:szCs w:val="21"/>
        </w:rPr>
        <w:t xml:space="preserve">  共同作用分析应按回弹再压缩变形段及压缩变形段分别确定计算参数。</w:t>
      </w:r>
    </w:p>
    <w:p w14:paraId="542601D6">
      <w:pPr>
        <w:adjustRightInd w:val="0"/>
        <w:snapToGrid w:val="0"/>
        <w:spacing w:line="340" w:lineRule="exact"/>
        <w:rPr>
          <w:color w:val="auto"/>
          <w:szCs w:val="21"/>
        </w:rPr>
      </w:pPr>
      <w:r>
        <w:rPr>
          <w:b/>
          <w:bCs/>
          <w:color w:val="auto"/>
          <w:szCs w:val="21"/>
        </w:rPr>
        <w:t>7.3.8</w:t>
      </w:r>
      <w:r>
        <w:rPr>
          <w:color w:val="auto"/>
          <w:szCs w:val="21"/>
        </w:rPr>
        <w:t xml:space="preserve">  大面积地面荷载引起的沉降，可按本文件第8.6节有关规定进行计算。</w:t>
      </w:r>
    </w:p>
    <w:p w14:paraId="716A3183">
      <w:pPr>
        <w:adjustRightInd w:val="0"/>
        <w:snapToGrid w:val="0"/>
        <w:spacing w:line="340" w:lineRule="exact"/>
        <w:rPr>
          <w:color w:val="auto"/>
          <w:szCs w:val="21"/>
        </w:rPr>
      </w:pPr>
      <w:r>
        <w:rPr>
          <w:b/>
          <w:bCs/>
          <w:color w:val="auto"/>
          <w:szCs w:val="21"/>
        </w:rPr>
        <w:t xml:space="preserve">7.3.9  </w:t>
      </w:r>
      <w:r>
        <w:rPr>
          <w:color w:val="auto"/>
          <w:szCs w:val="21"/>
        </w:rPr>
        <w:t>对于间距较密（压力扩散角线相互交叉）的基础，验算软弱下卧层强度及地基变形时，应考虑地基压力扩散重叠的影响。</w:t>
      </w:r>
    </w:p>
    <w:p w14:paraId="66D8A957">
      <w:pPr>
        <w:adjustRightInd w:val="0"/>
        <w:snapToGrid w:val="0"/>
        <w:spacing w:line="340" w:lineRule="exact"/>
        <w:ind w:firstLine="420" w:firstLineChars="200"/>
        <w:rPr>
          <w:color w:val="auto"/>
          <w:szCs w:val="21"/>
        </w:rPr>
      </w:pPr>
      <w:r>
        <w:rPr>
          <w:rFonts w:hint="eastAsia"/>
          <w:color w:val="auto"/>
          <w:szCs w:val="21"/>
        </w:rPr>
        <w:t>当建筑物采用条形基础，且条形基础净面积和基础外包面积之比大于</w:t>
      </w:r>
      <w:r>
        <w:rPr>
          <w:color w:val="auto"/>
          <w:szCs w:val="21"/>
        </w:rPr>
        <w:t>0.6</w:t>
      </w:r>
      <w:r>
        <w:rPr>
          <w:rFonts w:hint="eastAsia"/>
          <w:color w:val="auto"/>
          <w:szCs w:val="21"/>
        </w:rPr>
        <w:t>时，可按筏板基础计算地基变形。</w:t>
      </w:r>
    </w:p>
    <w:p w14:paraId="3DAC8A74">
      <w:pPr>
        <w:adjustRightInd w:val="0"/>
        <w:snapToGrid w:val="0"/>
        <w:spacing w:line="340" w:lineRule="exact"/>
        <w:rPr>
          <w:color w:val="auto"/>
          <w:szCs w:val="21"/>
        </w:rPr>
      </w:pPr>
    </w:p>
    <w:p w14:paraId="41FACE36">
      <w:pPr>
        <w:adjustRightInd w:val="0"/>
        <w:snapToGrid w:val="0"/>
        <w:spacing w:line="340" w:lineRule="exact"/>
        <w:outlineLvl w:val="1"/>
        <w:rPr>
          <w:rFonts w:eastAsia="黑体"/>
          <w:b/>
          <w:bCs/>
          <w:color w:val="auto"/>
          <w:szCs w:val="21"/>
        </w:rPr>
      </w:pPr>
      <w:bookmarkStart w:id="16" w:name="_Toc199943579"/>
      <w:r>
        <w:rPr>
          <w:rFonts w:eastAsia="黑体"/>
          <w:b/>
          <w:bCs/>
          <w:color w:val="auto"/>
          <w:szCs w:val="21"/>
        </w:rPr>
        <w:t>7.4  稳定性计算</w:t>
      </w:r>
      <w:bookmarkEnd w:id="16"/>
    </w:p>
    <w:p w14:paraId="7F19018D">
      <w:pPr>
        <w:adjustRightInd w:val="0"/>
        <w:snapToGrid w:val="0"/>
        <w:spacing w:line="340" w:lineRule="exact"/>
        <w:jc w:val="center"/>
        <w:rPr>
          <w:b/>
          <w:color w:val="auto"/>
          <w:szCs w:val="21"/>
        </w:rPr>
      </w:pPr>
    </w:p>
    <w:p w14:paraId="1461D182">
      <w:pPr>
        <w:adjustRightInd w:val="0"/>
        <w:snapToGrid w:val="0"/>
        <w:spacing w:line="340" w:lineRule="exact"/>
        <w:rPr>
          <w:color w:val="auto"/>
          <w:szCs w:val="21"/>
        </w:rPr>
      </w:pPr>
      <w:r>
        <w:rPr>
          <w:b/>
          <w:bCs/>
          <w:color w:val="auto"/>
          <w:szCs w:val="21"/>
        </w:rPr>
        <w:t>7.4.1</w:t>
      </w:r>
      <w:r>
        <w:rPr>
          <w:color w:val="auto"/>
          <w:szCs w:val="21"/>
        </w:rPr>
        <w:t xml:space="preserve">  </w:t>
      </w:r>
      <w:r>
        <w:rPr>
          <w:rFonts w:hint="eastAsia"/>
          <w:color w:val="auto"/>
          <w:szCs w:val="21"/>
        </w:rPr>
        <w:t>采用圆弧滑动法计算地基稳定时，对天然地基，稳定安全系数不应小于1.2。</w:t>
      </w:r>
    </w:p>
    <w:p w14:paraId="5B4446CF">
      <w:pPr>
        <w:adjustRightInd w:val="0"/>
        <w:snapToGrid w:val="0"/>
        <w:spacing w:line="340" w:lineRule="exact"/>
        <w:rPr>
          <w:color w:val="auto"/>
          <w:szCs w:val="21"/>
        </w:rPr>
      </w:pPr>
      <w:r>
        <w:rPr>
          <w:b/>
          <w:bCs/>
          <w:color w:val="auto"/>
          <w:szCs w:val="21"/>
        </w:rPr>
        <w:t>7.4.</w:t>
      </w:r>
      <w:r>
        <w:rPr>
          <w:rFonts w:hint="eastAsia"/>
          <w:b/>
          <w:bCs/>
          <w:color w:val="auto"/>
          <w:szCs w:val="21"/>
        </w:rPr>
        <w:t>2</w:t>
      </w:r>
      <w:r>
        <w:rPr>
          <w:color w:val="auto"/>
          <w:szCs w:val="21"/>
        </w:rPr>
        <w:t xml:space="preserve">  建筑物位于斜坡场地或边坡坡顶附近时</w:t>
      </w:r>
      <w:r>
        <w:rPr>
          <w:rFonts w:hint="eastAsia"/>
          <w:color w:val="auto"/>
          <w:szCs w:val="21"/>
        </w:rPr>
        <w:t>，</w:t>
      </w:r>
      <w:r>
        <w:rPr>
          <w:color w:val="auto"/>
          <w:szCs w:val="21"/>
        </w:rPr>
        <w:t>应按</w:t>
      </w:r>
      <w:r>
        <w:rPr>
          <w:rFonts w:hint="eastAsia"/>
          <w:color w:val="auto"/>
          <w:szCs w:val="21"/>
        </w:rPr>
        <w:t>GB</w:t>
      </w:r>
      <w:r>
        <w:rPr>
          <w:rFonts w:hint="eastAsia"/>
          <w:color w:val="auto"/>
          <w:szCs w:val="21"/>
          <w:lang w:val="en-US" w:eastAsia="zh-CN"/>
        </w:rPr>
        <w:t xml:space="preserve"> </w:t>
      </w:r>
      <w:r>
        <w:rPr>
          <w:rFonts w:hint="eastAsia"/>
          <w:color w:val="auto"/>
          <w:szCs w:val="21"/>
        </w:rPr>
        <w:t>50330及</w:t>
      </w:r>
      <w:r>
        <w:rPr>
          <w:color w:val="auto"/>
          <w:szCs w:val="21"/>
        </w:rPr>
        <w:t>本文件第10章的有关规定进行稳定性验算。</w:t>
      </w:r>
    </w:p>
    <w:p w14:paraId="63EBC74D">
      <w:pPr>
        <w:adjustRightInd w:val="0"/>
        <w:snapToGrid w:val="0"/>
        <w:spacing w:line="340" w:lineRule="exact"/>
        <w:rPr>
          <w:color w:val="auto"/>
          <w:szCs w:val="21"/>
        </w:rPr>
      </w:pPr>
      <w:r>
        <w:rPr>
          <w:b/>
          <w:bCs/>
          <w:color w:val="auto"/>
          <w:szCs w:val="21"/>
        </w:rPr>
        <w:t>7.4.</w:t>
      </w:r>
      <w:r>
        <w:rPr>
          <w:rFonts w:hint="eastAsia"/>
          <w:b/>
          <w:bCs/>
          <w:color w:val="auto"/>
          <w:szCs w:val="21"/>
        </w:rPr>
        <w:t>3</w:t>
      </w:r>
      <w:r>
        <w:rPr>
          <w:color w:val="auto"/>
          <w:szCs w:val="21"/>
        </w:rPr>
        <w:t xml:space="preserve">  位于稳定土坡坡顶附近的建筑，基础底面外缘距坡顶边缘的距离尚应符合</w:t>
      </w:r>
      <w:r>
        <w:rPr>
          <w:iCs/>
          <w:color w:val="auto"/>
          <w:szCs w:val="21"/>
        </w:rPr>
        <w:t>GB</w:t>
      </w:r>
      <w:r>
        <w:rPr>
          <w:rFonts w:hint="eastAsia"/>
          <w:iCs/>
          <w:color w:val="auto"/>
          <w:szCs w:val="21"/>
          <w:lang w:val="en-US" w:eastAsia="zh-CN"/>
        </w:rPr>
        <w:t xml:space="preserve"> </w:t>
      </w:r>
      <w:r>
        <w:rPr>
          <w:color w:val="auto"/>
          <w:szCs w:val="21"/>
        </w:rPr>
        <w:t>50007的有关规定。</w:t>
      </w:r>
    </w:p>
    <w:p w14:paraId="5760E3BE">
      <w:pPr>
        <w:adjustRightInd w:val="0"/>
        <w:snapToGrid w:val="0"/>
        <w:spacing w:line="340" w:lineRule="exact"/>
        <w:rPr>
          <w:rFonts w:hint="eastAsia"/>
          <w:color w:val="auto"/>
          <w:szCs w:val="21"/>
        </w:rPr>
      </w:pPr>
    </w:p>
    <w:p w14:paraId="7AF683B6">
      <w:pPr>
        <w:numPr>
          <w:ilvl w:val="0"/>
          <w:numId w:val="1"/>
        </w:numPr>
        <w:adjustRightInd w:val="0"/>
        <w:snapToGrid w:val="0"/>
        <w:outlineLvl w:val="0"/>
        <w:rPr>
          <w:rFonts w:eastAsia="黑体"/>
          <w:b/>
          <w:color w:val="auto"/>
          <w:sz w:val="24"/>
        </w:rPr>
      </w:pPr>
      <w:bookmarkStart w:id="17" w:name="_Toc199943580"/>
      <w:bookmarkStart w:id="18" w:name="_Toc289960108"/>
      <w:r>
        <w:rPr>
          <w:rFonts w:eastAsia="黑体"/>
          <w:b/>
          <w:bCs/>
          <w:color w:val="auto"/>
          <w:sz w:val="24"/>
        </w:rPr>
        <w:t>软弱地基</w:t>
      </w:r>
      <w:bookmarkEnd w:id="17"/>
    </w:p>
    <w:p w14:paraId="3CFC2894">
      <w:pPr>
        <w:adjustRightInd w:val="0"/>
        <w:snapToGrid w:val="0"/>
        <w:spacing w:line="340" w:lineRule="exact"/>
        <w:jc w:val="center"/>
        <w:rPr>
          <w:color w:val="auto"/>
          <w:spacing w:val="8"/>
          <w:sz w:val="28"/>
        </w:rPr>
      </w:pPr>
    </w:p>
    <w:p w14:paraId="14193EFE">
      <w:pPr>
        <w:adjustRightInd w:val="0"/>
        <w:snapToGrid w:val="0"/>
        <w:spacing w:line="340" w:lineRule="exact"/>
        <w:outlineLvl w:val="1"/>
        <w:rPr>
          <w:rFonts w:eastAsia="黑体"/>
          <w:b/>
          <w:bCs/>
          <w:color w:val="auto"/>
          <w:szCs w:val="21"/>
        </w:rPr>
      </w:pPr>
      <w:bookmarkStart w:id="19" w:name="_Toc199943581"/>
      <w:r>
        <w:rPr>
          <w:rFonts w:eastAsia="黑体"/>
          <w:b/>
          <w:bCs/>
          <w:color w:val="auto"/>
          <w:szCs w:val="21"/>
        </w:rPr>
        <w:t>8.1  一般规定</w:t>
      </w:r>
      <w:bookmarkEnd w:id="19"/>
    </w:p>
    <w:p w14:paraId="365CBA86">
      <w:pPr>
        <w:adjustRightInd w:val="0"/>
        <w:snapToGrid w:val="0"/>
        <w:spacing w:line="340" w:lineRule="exact"/>
        <w:jc w:val="center"/>
        <w:rPr>
          <w:rFonts w:eastAsia="黑体"/>
          <w:b/>
          <w:bCs/>
          <w:color w:val="auto"/>
          <w:szCs w:val="21"/>
        </w:rPr>
      </w:pPr>
    </w:p>
    <w:p w14:paraId="57336682">
      <w:pPr>
        <w:adjustRightInd w:val="0"/>
        <w:snapToGrid w:val="0"/>
        <w:spacing w:line="340" w:lineRule="exact"/>
        <w:rPr>
          <w:color w:val="auto"/>
          <w:szCs w:val="21"/>
        </w:rPr>
      </w:pPr>
      <w:r>
        <w:rPr>
          <w:rFonts w:eastAsia="黑体"/>
          <w:b/>
          <w:bCs/>
          <w:color w:val="auto"/>
          <w:szCs w:val="21"/>
        </w:rPr>
        <w:t xml:space="preserve">8.1.1  </w:t>
      </w:r>
      <w:r>
        <w:rPr>
          <w:rFonts w:hAnsi="宋体"/>
          <w:color w:val="auto"/>
          <w:szCs w:val="21"/>
        </w:rPr>
        <w:t>主要由淤泥、淤泥质土、人工填土或其他高压缩性土层构成的地基，应按软弱地基进行设计。在建筑地基的局部范围内有高压缩性土层时，应按局部软弱土层考虑。</w:t>
      </w:r>
    </w:p>
    <w:p w14:paraId="2E967195">
      <w:pPr>
        <w:adjustRightInd w:val="0"/>
        <w:snapToGrid w:val="0"/>
        <w:spacing w:line="340" w:lineRule="exact"/>
        <w:ind w:firstLine="392" w:firstLineChars="187"/>
        <w:rPr>
          <w:color w:val="auto"/>
          <w:szCs w:val="21"/>
        </w:rPr>
      </w:pPr>
      <w:r>
        <w:rPr>
          <w:rFonts w:hAnsi="宋体"/>
          <w:color w:val="auto"/>
          <w:szCs w:val="21"/>
        </w:rPr>
        <w:t>经扰动后的软黏性土应根据其灵敏度适当降低承载力。灵敏度</w:t>
      </w:r>
      <w:r>
        <w:rPr>
          <w:i/>
          <w:iCs/>
          <w:color w:val="auto"/>
          <w:szCs w:val="21"/>
        </w:rPr>
        <w:t>S</w:t>
      </w:r>
      <w:r>
        <w:rPr>
          <w:iCs/>
          <w:color w:val="auto"/>
          <w:sz w:val="28"/>
          <w:szCs w:val="21"/>
          <w:vertAlign w:val="subscript"/>
        </w:rPr>
        <w:t>t</w:t>
      </w:r>
      <w:r>
        <w:rPr>
          <w:rFonts w:hAnsi="宋体"/>
          <w:color w:val="auto"/>
          <w:szCs w:val="21"/>
        </w:rPr>
        <w:t>为原状土的无侧限抗压强度与重塑土的无侧限抗压强度之比。黏性土的灵敏度，按表</w:t>
      </w:r>
      <w:r>
        <w:rPr>
          <w:color w:val="auto"/>
          <w:szCs w:val="21"/>
        </w:rPr>
        <w:t>24</w:t>
      </w:r>
      <w:r>
        <w:rPr>
          <w:rFonts w:hAnsi="宋体"/>
          <w:color w:val="auto"/>
          <w:szCs w:val="21"/>
        </w:rPr>
        <w:t>分为四类：</w:t>
      </w:r>
    </w:p>
    <w:p w14:paraId="49654C59">
      <w:pPr>
        <w:adjustRightInd w:val="0"/>
        <w:snapToGrid w:val="0"/>
        <w:spacing w:before="120" w:line="340" w:lineRule="atLeast"/>
        <w:jc w:val="center"/>
        <w:rPr>
          <w:rFonts w:eastAsia="黑体"/>
          <w:b/>
          <w:color w:val="auto"/>
          <w:szCs w:val="21"/>
        </w:rPr>
      </w:pPr>
      <w:r>
        <w:rPr>
          <w:rFonts w:eastAsia="黑体"/>
          <w:b/>
          <w:color w:val="auto"/>
          <w:szCs w:val="21"/>
        </w:rPr>
        <w:t>表24   黏性土的灵敏度</w:t>
      </w:r>
    </w:p>
    <w:tbl>
      <w:tblPr>
        <w:tblStyle w:val="36"/>
        <w:tblW w:w="91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22"/>
        <w:gridCol w:w="2393"/>
        <w:gridCol w:w="2337"/>
        <w:gridCol w:w="2294"/>
      </w:tblGrid>
      <w:tr w14:paraId="05850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2122" w:type="dxa"/>
          </w:tcPr>
          <w:p w14:paraId="120850A7">
            <w:pPr>
              <w:adjustRightInd w:val="0"/>
              <w:snapToGrid w:val="0"/>
              <w:spacing w:line="320" w:lineRule="atLeast"/>
              <w:jc w:val="center"/>
              <w:rPr>
                <w:color w:val="auto"/>
                <w:sz w:val="18"/>
                <w:szCs w:val="18"/>
              </w:rPr>
            </w:pPr>
            <w:r>
              <w:rPr>
                <w:i/>
                <w:color w:val="auto"/>
                <w:sz w:val="18"/>
                <w:szCs w:val="18"/>
              </w:rPr>
              <w:t>S</w:t>
            </w:r>
            <w:r>
              <w:rPr>
                <w:iCs/>
                <w:color w:val="auto"/>
                <w:sz w:val="18"/>
                <w:szCs w:val="18"/>
                <w:vertAlign w:val="subscript"/>
              </w:rPr>
              <w:t>t</w:t>
            </w:r>
            <w:r>
              <w:rPr>
                <w:rFonts w:hAnsi="宋体"/>
                <w:color w:val="auto"/>
                <w:sz w:val="18"/>
                <w:szCs w:val="18"/>
              </w:rPr>
              <w:t>＜</w:t>
            </w:r>
            <w:r>
              <w:rPr>
                <w:color w:val="auto"/>
                <w:sz w:val="18"/>
                <w:szCs w:val="18"/>
              </w:rPr>
              <w:t>2</w:t>
            </w:r>
          </w:p>
        </w:tc>
        <w:tc>
          <w:tcPr>
            <w:tcW w:w="2393" w:type="dxa"/>
          </w:tcPr>
          <w:p w14:paraId="5D746F94">
            <w:pPr>
              <w:adjustRightInd w:val="0"/>
              <w:snapToGrid w:val="0"/>
              <w:spacing w:line="320" w:lineRule="atLeast"/>
              <w:jc w:val="center"/>
              <w:rPr>
                <w:color w:val="auto"/>
                <w:sz w:val="18"/>
                <w:szCs w:val="18"/>
              </w:rPr>
            </w:pPr>
            <w:r>
              <w:rPr>
                <w:color w:val="auto"/>
                <w:sz w:val="18"/>
                <w:szCs w:val="18"/>
              </w:rPr>
              <w:t>2≤</w:t>
            </w:r>
            <w:r>
              <w:rPr>
                <w:i/>
                <w:color w:val="auto"/>
                <w:sz w:val="18"/>
                <w:szCs w:val="18"/>
              </w:rPr>
              <w:t>S</w:t>
            </w:r>
            <w:r>
              <w:rPr>
                <w:iCs/>
                <w:color w:val="auto"/>
                <w:sz w:val="18"/>
                <w:szCs w:val="18"/>
                <w:vertAlign w:val="subscript"/>
              </w:rPr>
              <w:t>t</w:t>
            </w:r>
            <w:r>
              <w:rPr>
                <w:rFonts w:hAnsi="宋体"/>
                <w:color w:val="auto"/>
                <w:sz w:val="18"/>
                <w:szCs w:val="18"/>
              </w:rPr>
              <w:t>＜</w:t>
            </w:r>
            <w:r>
              <w:rPr>
                <w:color w:val="auto"/>
                <w:sz w:val="18"/>
                <w:szCs w:val="18"/>
              </w:rPr>
              <w:t>4</w:t>
            </w:r>
          </w:p>
        </w:tc>
        <w:tc>
          <w:tcPr>
            <w:tcW w:w="2337" w:type="dxa"/>
          </w:tcPr>
          <w:p w14:paraId="7130C23A">
            <w:pPr>
              <w:adjustRightInd w:val="0"/>
              <w:snapToGrid w:val="0"/>
              <w:spacing w:line="320" w:lineRule="atLeast"/>
              <w:jc w:val="center"/>
              <w:rPr>
                <w:color w:val="auto"/>
                <w:sz w:val="18"/>
                <w:szCs w:val="18"/>
              </w:rPr>
            </w:pPr>
            <w:r>
              <w:rPr>
                <w:color w:val="auto"/>
                <w:sz w:val="18"/>
                <w:szCs w:val="18"/>
              </w:rPr>
              <w:t>4≤</w:t>
            </w:r>
            <w:r>
              <w:rPr>
                <w:i/>
                <w:color w:val="auto"/>
                <w:sz w:val="18"/>
                <w:szCs w:val="18"/>
              </w:rPr>
              <w:t>S</w:t>
            </w:r>
            <w:r>
              <w:rPr>
                <w:iCs/>
                <w:color w:val="auto"/>
                <w:sz w:val="18"/>
                <w:szCs w:val="18"/>
                <w:vertAlign w:val="subscript"/>
              </w:rPr>
              <w:t>t</w:t>
            </w:r>
            <w:r>
              <w:rPr>
                <w:rFonts w:hAnsi="宋体"/>
                <w:color w:val="auto"/>
                <w:sz w:val="18"/>
                <w:szCs w:val="18"/>
              </w:rPr>
              <w:t>＜</w:t>
            </w:r>
            <w:r>
              <w:rPr>
                <w:color w:val="auto"/>
                <w:sz w:val="18"/>
                <w:szCs w:val="18"/>
              </w:rPr>
              <w:t>8</w:t>
            </w:r>
          </w:p>
        </w:tc>
        <w:tc>
          <w:tcPr>
            <w:tcW w:w="2294" w:type="dxa"/>
          </w:tcPr>
          <w:p w14:paraId="02C1D3BD">
            <w:pPr>
              <w:adjustRightInd w:val="0"/>
              <w:snapToGrid w:val="0"/>
              <w:spacing w:line="320" w:lineRule="atLeast"/>
              <w:jc w:val="center"/>
              <w:rPr>
                <w:color w:val="auto"/>
                <w:sz w:val="18"/>
                <w:szCs w:val="18"/>
              </w:rPr>
            </w:pPr>
            <w:r>
              <w:rPr>
                <w:i/>
                <w:color w:val="auto"/>
                <w:sz w:val="18"/>
                <w:szCs w:val="18"/>
              </w:rPr>
              <w:t>S</w:t>
            </w:r>
            <w:r>
              <w:rPr>
                <w:iCs/>
                <w:color w:val="auto"/>
                <w:sz w:val="18"/>
                <w:szCs w:val="18"/>
                <w:vertAlign w:val="subscript"/>
              </w:rPr>
              <w:t>t</w:t>
            </w:r>
            <w:r>
              <w:rPr>
                <w:color w:val="auto"/>
                <w:sz w:val="18"/>
                <w:szCs w:val="18"/>
              </w:rPr>
              <w:t>≥8</w:t>
            </w:r>
          </w:p>
        </w:tc>
      </w:tr>
      <w:tr w14:paraId="5A7B4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2" w:hRule="atLeast"/>
          <w:jc w:val="center"/>
        </w:trPr>
        <w:tc>
          <w:tcPr>
            <w:tcW w:w="2122" w:type="dxa"/>
          </w:tcPr>
          <w:p w14:paraId="5ACE32A8">
            <w:pPr>
              <w:adjustRightInd w:val="0"/>
              <w:snapToGrid w:val="0"/>
              <w:spacing w:line="320" w:lineRule="atLeast"/>
              <w:jc w:val="center"/>
              <w:rPr>
                <w:color w:val="auto"/>
                <w:sz w:val="18"/>
                <w:szCs w:val="18"/>
              </w:rPr>
            </w:pPr>
            <w:r>
              <w:rPr>
                <w:rFonts w:hAnsi="宋体"/>
                <w:color w:val="auto"/>
                <w:sz w:val="18"/>
                <w:szCs w:val="18"/>
              </w:rPr>
              <w:t>不灵敏</w:t>
            </w:r>
          </w:p>
        </w:tc>
        <w:tc>
          <w:tcPr>
            <w:tcW w:w="2393" w:type="dxa"/>
          </w:tcPr>
          <w:p w14:paraId="4D7F3A8A">
            <w:pPr>
              <w:adjustRightInd w:val="0"/>
              <w:snapToGrid w:val="0"/>
              <w:spacing w:line="320" w:lineRule="atLeast"/>
              <w:jc w:val="center"/>
              <w:rPr>
                <w:color w:val="auto"/>
                <w:sz w:val="18"/>
                <w:szCs w:val="18"/>
              </w:rPr>
            </w:pPr>
            <w:r>
              <w:rPr>
                <w:rFonts w:hAnsi="宋体"/>
                <w:color w:val="auto"/>
                <w:sz w:val="18"/>
                <w:szCs w:val="18"/>
              </w:rPr>
              <w:t>中等灵敏</w:t>
            </w:r>
          </w:p>
        </w:tc>
        <w:tc>
          <w:tcPr>
            <w:tcW w:w="2337" w:type="dxa"/>
          </w:tcPr>
          <w:p w14:paraId="32185517">
            <w:pPr>
              <w:adjustRightInd w:val="0"/>
              <w:snapToGrid w:val="0"/>
              <w:spacing w:line="320" w:lineRule="atLeast"/>
              <w:jc w:val="center"/>
              <w:rPr>
                <w:color w:val="auto"/>
                <w:sz w:val="18"/>
                <w:szCs w:val="18"/>
              </w:rPr>
            </w:pPr>
            <w:r>
              <w:rPr>
                <w:rFonts w:hAnsi="宋体"/>
                <w:color w:val="auto"/>
                <w:sz w:val="18"/>
                <w:szCs w:val="18"/>
              </w:rPr>
              <w:t>灵敏</w:t>
            </w:r>
          </w:p>
        </w:tc>
        <w:tc>
          <w:tcPr>
            <w:tcW w:w="2294" w:type="dxa"/>
          </w:tcPr>
          <w:p w14:paraId="3F57DAE3">
            <w:pPr>
              <w:adjustRightInd w:val="0"/>
              <w:snapToGrid w:val="0"/>
              <w:spacing w:line="320" w:lineRule="atLeast"/>
              <w:jc w:val="center"/>
              <w:rPr>
                <w:color w:val="auto"/>
                <w:sz w:val="18"/>
                <w:szCs w:val="18"/>
              </w:rPr>
            </w:pPr>
            <w:r>
              <w:rPr>
                <w:rFonts w:hAnsi="宋体"/>
                <w:color w:val="auto"/>
                <w:sz w:val="18"/>
                <w:szCs w:val="18"/>
              </w:rPr>
              <w:t>极灵敏</w:t>
            </w:r>
          </w:p>
        </w:tc>
      </w:tr>
    </w:tbl>
    <w:p w14:paraId="0B792A9B">
      <w:pPr>
        <w:adjustRightInd w:val="0"/>
        <w:snapToGrid w:val="0"/>
        <w:spacing w:before="120" w:line="340" w:lineRule="exact"/>
        <w:rPr>
          <w:color w:val="auto"/>
          <w:szCs w:val="21"/>
        </w:rPr>
      </w:pPr>
      <w:r>
        <w:rPr>
          <w:rFonts w:eastAsia="黑体"/>
          <w:b/>
          <w:bCs/>
          <w:color w:val="auto"/>
          <w:szCs w:val="21"/>
        </w:rPr>
        <w:t>8.1.2</w:t>
      </w:r>
      <w:r>
        <w:rPr>
          <w:color w:val="auto"/>
          <w:szCs w:val="21"/>
        </w:rPr>
        <w:t xml:space="preserve">  </w:t>
      </w:r>
      <w:r>
        <w:rPr>
          <w:rFonts w:hAnsi="宋体"/>
          <w:color w:val="auto"/>
          <w:szCs w:val="21"/>
        </w:rPr>
        <w:t>软弱地基设计应对建筑体型、荷载情况、结构类型、地质条件和经济指标等进行综合分析，确定合理的基础设计方案和技术措施。</w:t>
      </w:r>
    </w:p>
    <w:p w14:paraId="6F1E7AB5">
      <w:pPr>
        <w:adjustRightInd w:val="0"/>
        <w:snapToGrid w:val="0"/>
        <w:spacing w:line="340" w:lineRule="exact"/>
        <w:rPr>
          <w:color w:val="auto"/>
          <w:szCs w:val="21"/>
        </w:rPr>
      </w:pPr>
      <w:r>
        <w:rPr>
          <w:rFonts w:eastAsia="黑体"/>
          <w:b/>
          <w:bCs/>
          <w:color w:val="auto"/>
          <w:szCs w:val="21"/>
        </w:rPr>
        <w:t xml:space="preserve">8.1.3  </w:t>
      </w:r>
      <w:r>
        <w:rPr>
          <w:rFonts w:hAnsi="宋体"/>
          <w:color w:val="auto"/>
          <w:szCs w:val="21"/>
        </w:rPr>
        <w:t>当软弱地基的承载力和变形能满足多层建筑的地基基础设计要求时，可采用天然地基。否则，应采用地基处理或桩基等其他方案。</w:t>
      </w:r>
    </w:p>
    <w:p w14:paraId="0A3201D0">
      <w:pPr>
        <w:adjustRightInd w:val="0"/>
        <w:snapToGrid w:val="0"/>
        <w:spacing w:line="340" w:lineRule="exact"/>
        <w:rPr>
          <w:color w:val="auto"/>
          <w:szCs w:val="21"/>
        </w:rPr>
      </w:pPr>
      <w:r>
        <w:rPr>
          <w:rFonts w:eastAsia="黑体"/>
          <w:b/>
          <w:bCs/>
          <w:color w:val="auto"/>
          <w:szCs w:val="21"/>
        </w:rPr>
        <w:t xml:space="preserve">8.1.4  </w:t>
      </w:r>
      <w:r>
        <w:rPr>
          <w:rFonts w:hAnsi="宋体"/>
          <w:color w:val="auto"/>
          <w:szCs w:val="21"/>
        </w:rPr>
        <w:t>带有轨道行吊的轻钢厂房，采用天然地基、复合地基、换填等人工地基时，应按本文件第</w:t>
      </w:r>
      <w:r>
        <w:rPr>
          <w:color w:val="auto"/>
          <w:szCs w:val="21"/>
        </w:rPr>
        <w:t>5.2</w:t>
      </w:r>
      <w:r>
        <w:rPr>
          <w:rFonts w:hAnsi="宋体"/>
          <w:color w:val="auto"/>
          <w:szCs w:val="21"/>
        </w:rPr>
        <w:t>条、第</w:t>
      </w:r>
      <w:r>
        <w:rPr>
          <w:color w:val="auto"/>
          <w:szCs w:val="21"/>
        </w:rPr>
        <w:t>5.5</w:t>
      </w:r>
      <w:r>
        <w:rPr>
          <w:rFonts w:hAnsi="宋体"/>
          <w:color w:val="auto"/>
          <w:szCs w:val="21"/>
        </w:rPr>
        <w:t>条的规定进行变形验算，变形验算应考虑动荷载作用下软土流变的不利影响；当吊车起重量大于</w:t>
      </w:r>
      <w:r>
        <w:rPr>
          <w:color w:val="auto"/>
          <w:szCs w:val="21"/>
        </w:rPr>
        <w:t>20</w:t>
      </w:r>
      <w:r>
        <w:rPr>
          <w:rFonts w:hint="eastAsia"/>
          <w:color w:val="auto"/>
          <w:szCs w:val="21"/>
        </w:rPr>
        <w:t>t</w:t>
      </w:r>
      <w:r>
        <w:rPr>
          <w:rFonts w:hAnsi="宋体"/>
          <w:color w:val="auto"/>
          <w:szCs w:val="21"/>
        </w:rPr>
        <w:t>或吊车工作级别高于</w:t>
      </w:r>
      <w:r>
        <w:rPr>
          <w:color w:val="auto"/>
          <w:szCs w:val="21"/>
        </w:rPr>
        <w:t>A5</w:t>
      </w:r>
      <w:r>
        <w:rPr>
          <w:rFonts w:hAnsi="宋体"/>
          <w:color w:val="auto"/>
          <w:szCs w:val="21"/>
        </w:rPr>
        <w:t>时，宜采用桩基础。</w:t>
      </w:r>
    </w:p>
    <w:p w14:paraId="27DD9AE7">
      <w:pPr>
        <w:adjustRightInd w:val="0"/>
        <w:snapToGrid w:val="0"/>
        <w:rPr>
          <w:rFonts w:eastAsia="黑体"/>
          <w:b/>
          <w:bCs/>
          <w:color w:val="auto"/>
          <w:szCs w:val="21"/>
        </w:rPr>
      </w:pPr>
      <w:r>
        <w:rPr>
          <w:rFonts w:eastAsia="黑体"/>
          <w:b/>
          <w:bCs/>
          <w:color w:val="auto"/>
          <w:szCs w:val="21"/>
        </w:rPr>
        <w:t xml:space="preserve">8.1.5 </w:t>
      </w:r>
      <w:r>
        <w:rPr>
          <w:rFonts w:ascii="宋体" w:hAnsi="宋体"/>
          <w:bCs/>
          <w:color w:val="auto"/>
          <w:szCs w:val="21"/>
        </w:rPr>
        <w:t xml:space="preserve"> 在深厚软土区域进行工程建设时</w:t>
      </w:r>
      <w:r>
        <w:rPr>
          <w:rFonts w:hint="eastAsia" w:ascii="宋体" w:hAnsi="宋体"/>
          <w:bCs/>
          <w:color w:val="auto"/>
          <w:szCs w:val="21"/>
        </w:rPr>
        <w:t>，</w:t>
      </w:r>
      <w:r>
        <w:rPr>
          <w:rFonts w:ascii="宋体" w:hAnsi="宋体"/>
          <w:bCs/>
          <w:color w:val="auto"/>
          <w:szCs w:val="21"/>
        </w:rPr>
        <w:t>应采取措施对建设场地的地面沉降进行防控</w:t>
      </w:r>
      <w:r>
        <w:rPr>
          <w:rFonts w:hint="eastAsia" w:ascii="宋体" w:hAnsi="宋体"/>
          <w:bCs/>
          <w:color w:val="auto"/>
          <w:szCs w:val="21"/>
        </w:rPr>
        <w:t>；建筑物周边的散水、平台、坡道的地基，建筑物进出口处的台阶、道路的地基，广场、室外地面停车场等硬质铺地的地基，室外管线及相应构筑物（如检查井、阀门井、电缆井等)、地下水池、化粪池、储油罐等范围内的地基均应进行处理或采取有效的结构措施。</w:t>
      </w:r>
    </w:p>
    <w:p w14:paraId="1E9854EB">
      <w:pPr>
        <w:adjustRightInd w:val="0"/>
        <w:snapToGrid w:val="0"/>
        <w:rPr>
          <w:rFonts w:eastAsia="黑体"/>
          <w:b/>
          <w:bCs/>
          <w:color w:val="auto"/>
          <w:szCs w:val="21"/>
        </w:rPr>
      </w:pPr>
    </w:p>
    <w:p w14:paraId="5CC3E954">
      <w:pPr>
        <w:adjustRightInd w:val="0"/>
        <w:snapToGrid w:val="0"/>
        <w:spacing w:line="340" w:lineRule="exact"/>
        <w:outlineLvl w:val="1"/>
        <w:rPr>
          <w:rFonts w:eastAsia="黑体"/>
          <w:b/>
          <w:bCs/>
          <w:color w:val="auto"/>
          <w:szCs w:val="21"/>
        </w:rPr>
      </w:pPr>
      <w:bookmarkStart w:id="20" w:name="_Toc199943582"/>
      <w:r>
        <w:rPr>
          <w:rFonts w:eastAsia="黑体"/>
          <w:b/>
          <w:bCs/>
          <w:color w:val="auto"/>
          <w:szCs w:val="21"/>
        </w:rPr>
        <w:t>8.2  软弱地基计算</w:t>
      </w:r>
      <w:bookmarkEnd w:id="20"/>
    </w:p>
    <w:p w14:paraId="652A552B">
      <w:pPr>
        <w:adjustRightInd w:val="0"/>
        <w:snapToGrid w:val="0"/>
        <w:jc w:val="center"/>
        <w:rPr>
          <w:rFonts w:eastAsia="黑体"/>
          <w:b/>
          <w:bCs/>
          <w:color w:val="auto"/>
          <w:szCs w:val="21"/>
        </w:rPr>
      </w:pPr>
    </w:p>
    <w:p w14:paraId="3748731D">
      <w:pPr>
        <w:adjustRightInd w:val="0"/>
        <w:snapToGrid w:val="0"/>
        <w:spacing w:before="60" w:line="340" w:lineRule="exact"/>
        <w:rPr>
          <w:color w:val="auto"/>
          <w:szCs w:val="21"/>
        </w:rPr>
      </w:pPr>
      <w:r>
        <w:rPr>
          <w:rFonts w:eastAsia="黑体"/>
          <w:b/>
          <w:bCs/>
          <w:color w:val="auto"/>
          <w:szCs w:val="21"/>
        </w:rPr>
        <w:t xml:space="preserve">8.2.1  </w:t>
      </w:r>
      <w:r>
        <w:rPr>
          <w:rFonts w:hAnsi="宋体"/>
          <w:color w:val="auto"/>
          <w:szCs w:val="21"/>
        </w:rPr>
        <w:t>多层建筑在地基土比较均匀的条件下，宜使基础平面形心与结构竖向永久荷载重心重合。当不能重合时，在作用的准永久组合下，偏心距宜符合</w:t>
      </w:r>
      <w:r>
        <w:rPr>
          <w:rFonts w:hint="eastAsia"/>
          <w:color w:val="auto"/>
          <w:lang w:val="en-US" w:eastAsia="zh-CN"/>
        </w:rPr>
        <w:t>公式（31）~（32）</w:t>
      </w:r>
      <w:r>
        <w:rPr>
          <w:rFonts w:hAnsi="宋体"/>
          <w:color w:val="auto"/>
          <w:szCs w:val="21"/>
        </w:rPr>
        <w:t>要求：</w:t>
      </w:r>
    </w:p>
    <w:p w14:paraId="34D8BB41">
      <w:pPr>
        <w:pStyle w:val="12"/>
        <w:jc w:val="right"/>
        <w:rPr>
          <w:color w:val="auto"/>
          <w:szCs w:val="21"/>
        </w:rPr>
      </w:pPr>
      <w:r>
        <w:rPr>
          <w:rFonts w:hint="eastAsia"/>
          <w:i/>
          <w:iCs/>
          <w:color w:val="auto"/>
          <w:szCs w:val="21"/>
        </w:rPr>
        <w:t xml:space="preserve">  </w:t>
      </w:r>
      <w:r>
        <w:rPr>
          <w:i/>
          <w:iCs/>
          <w:color w:val="auto"/>
          <w:position w:val="-24"/>
          <w:szCs w:val="21"/>
        </w:rPr>
        <w:object>
          <v:shape id="_x0000_i1151" o:spt="75" type="#_x0000_t75" style="height:30.75pt;width:48pt;" o:ole="t" filled="f" o:preferrelative="t" stroked="f" coordsize="21600,21600">
            <v:path/>
            <v:fill on="f" focussize="0,0"/>
            <v:stroke on="f" joinstyle="miter"/>
            <v:imagedata r:id="rId254" o:title=""/>
            <o:lock v:ext="edit" aspectratio="t"/>
            <w10:wrap type="none"/>
            <w10:anchorlock/>
          </v:shape>
          <o:OLEObject Type="Embed" ProgID="Equation.DSMT4" ShapeID="_x0000_i1151" DrawAspect="Content" ObjectID="_1468075851" r:id="rId253">
            <o:LockedField>false</o:LockedField>
          </o:OLEObject>
        </w:object>
      </w:r>
      <w:r>
        <w:rPr>
          <w:i/>
          <w:iCs/>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31</w:t>
      </w:r>
      <w:r>
        <w:rPr>
          <w:color w:val="auto"/>
          <w:szCs w:val="21"/>
        </w:rPr>
        <w:fldChar w:fldCharType="end"/>
      </w:r>
      <w:r>
        <w:rPr>
          <w:color w:val="auto"/>
          <w:szCs w:val="21"/>
        </w:rPr>
        <w:t>)</w:t>
      </w:r>
    </w:p>
    <w:p w14:paraId="64BB76A8">
      <w:pPr>
        <w:pStyle w:val="12"/>
        <w:jc w:val="right"/>
        <w:rPr>
          <w:i/>
          <w:iCs/>
          <w:color w:val="auto"/>
          <w:szCs w:val="21"/>
        </w:rPr>
      </w:pPr>
      <w:r>
        <w:rPr>
          <w:rFonts w:ascii="宋体" w:hAnsi="宋体" w:eastAsia="宋体"/>
          <w:color w:val="auto"/>
          <w:sz w:val="21"/>
          <w:szCs w:val="21"/>
        </w:rPr>
        <w:t>当筏板基础为矩形时</w:t>
      </w:r>
      <w:r>
        <w:rPr>
          <w:color w:val="auto"/>
          <w:szCs w:val="21"/>
        </w:rPr>
        <w:t xml:space="preserve">                       </w:t>
      </w:r>
      <w:r>
        <w:rPr>
          <w:i/>
          <w:iCs/>
          <w:color w:val="auto"/>
          <w:position w:val="-10"/>
          <w:szCs w:val="21"/>
        </w:rPr>
        <w:object>
          <v:shape id="_x0000_i1152" o:spt="75" type="#_x0000_t75" style="height:16.5pt;width:51pt;" o:ole="t" filled="f" o:preferrelative="t" stroked="f" coordsize="21600,21600">
            <v:path/>
            <v:fill on="f" focussize="0,0"/>
            <v:stroke on="f" joinstyle="miter"/>
            <v:imagedata r:id="rId256" o:title=""/>
            <o:lock v:ext="edit" aspectratio="t"/>
            <w10:wrap type="none"/>
            <w10:anchorlock/>
          </v:shape>
          <o:OLEObject Type="Embed" ProgID="Equation.DSMT4" ShapeID="_x0000_i1152" DrawAspect="Content" ObjectID="_1468075852" r:id="rId255">
            <o:LockedField>false</o:LockedField>
          </o:OLEObject>
        </w:object>
      </w:r>
      <w:r>
        <w:rPr>
          <w:i/>
          <w:iCs/>
          <w:color w:val="auto"/>
          <w:szCs w:val="21"/>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32</w:t>
      </w:r>
      <w:r>
        <w:rPr>
          <w:color w:val="auto"/>
          <w:szCs w:val="21"/>
        </w:rPr>
        <w:fldChar w:fldCharType="end"/>
      </w:r>
      <w:r>
        <w:rPr>
          <w:color w:val="auto"/>
          <w:szCs w:val="21"/>
        </w:rPr>
        <w:t>)</w:t>
      </w:r>
    </w:p>
    <w:p w14:paraId="6F439700">
      <w:pPr>
        <w:adjustRightInd w:val="0"/>
        <w:snapToGrid w:val="0"/>
        <w:spacing w:before="120" w:line="340" w:lineRule="exact"/>
        <w:rPr>
          <w:color w:val="auto"/>
          <w:szCs w:val="21"/>
        </w:rPr>
      </w:pPr>
      <w:r>
        <w:rPr>
          <w:rFonts w:hAnsi="宋体"/>
          <w:color w:val="auto"/>
          <w:szCs w:val="21"/>
        </w:rPr>
        <w:t>式中</w:t>
      </w:r>
      <w:r>
        <w:rPr>
          <w:color w:val="auto"/>
          <w:szCs w:val="21"/>
        </w:rPr>
        <w:t xml:space="preserve">  </w:t>
      </w:r>
      <w:r>
        <w:rPr>
          <w:i/>
          <w:color w:val="auto"/>
          <w:szCs w:val="21"/>
        </w:rPr>
        <w:t>W</w:t>
      </w:r>
      <w:r>
        <w:rPr>
          <w:color w:val="auto"/>
          <w:szCs w:val="21"/>
        </w:rPr>
        <w:t>——</w:t>
      </w:r>
      <w:r>
        <w:rPr>
          <w:rFonts w:hAnsi="宋体"/>
          <w:color w:val="auto"/>
          <w:szCs w:val="21"/>
        </w:rPr>
        <w:t>与偏心距方向一致的基础底面边缘抵抗矩</w:t>
      </w:r>
      <w:r>
        <w:rPr>
          <w:rFonts w:hint="eastAsia" w:hAnsi="宋体"/>
          <w:color w:val="auto"/>
          <w:szCs w:val="21"/>
        </w:rPr>
        <w:t>（m</w:t>
      </w:r>
      <w:r>
        <w:rPr>
          <w:rFonts w:hint="eastAsia" w:hAnsi="宋体"/>
          <w:color w:val="auto"/>
          <w:szCs w:val="21"/>
          <w:vertAlign w:val="superscript"/>
        </w:rPr>
        <w:t>3</w:t>
      </w:r>
      <w:r>
        <w:rPr>
          <w:rFonts w:hint="eastAsia" w:hAnsi="宋体"/>
          <w:color w:val="auto"/>
          <w:szCs w:val="21"/>
        </w:rPr>
        <w:t>）</w:t>
      </w:r>
      <w:r>
        <w:rPr>
          <w:rFonts w:hAnsi="宋体"/>
          <w:color w:val="auto"/>
          <w:szCs w:val="21"/>
        </w:rPr>
        <w:t>；</w:t>
      </w:r>
    </w:p>
    <w:p w14:paraId="40EBDC7A">
      <w:pPr>
        <w:adjustRightInd w:val="0"/>
        <w:snapToGrid w:val="0"/>
        <w:spacing w:line="340" w:lineRule="exact"/>
        <w:ind w:firstLine="642" w:firstLineChars="306"/>
        <w:rPr>
          <w:color w:val="auto"/>
          <w:szCs w:val="21"/>
        </w:rPr>
      </w:pPr>
      <w:r>
        <w:rPr>
          <w:i/>
          <w:color w:val="auto"/>
          <w:szCs w:val="21"/>
        </w:rPr>
        <w:t>A</w:t>
      </w:r>
      <w:r>
        <w:rPr>
          <w:color w:val="auto"/>
          <w:szCs w:val="21"/>
        </w:rPr>
        <w:t>——</w:t>
      </w:r>
      <w:r>
        <w:rPr>
          <w:rFonts w:hAnsi="宋体"/>
          <w:color w:val="auto"/>
          <w:szCs w:val="21"/>
        </w:rPr>
        <w:t>基础底面积</w:t>
      </w:r>
      <w:r>
        <w:rPr>
          <w:rFonts w:hint="eastAsia" w:hAnsi="宋体"/>
          <w:color w:val="auto"/>
          <w:szCs w:val="21"/>
        </w:rPr>
        <w:t>（m</w:t>
      </w:r>
      <w:r>
        <w:rPr>
          <w:rFonts w:hint="eastAsia" w:hAnsi="宋体"/>
          <w:color w:val="auto"/>
          <w:szCs w:val="21"/>
          <w:vertAlign w:val="superscript"/>
        </w:rPr>
        <w:t>2</w:t>
      </w:r>
      <w:r>
        <w:rPr>
          <w:rFonts w:hint="eastAsia" w:hAnsi="宋体"/>
          <w:color w:val="auto"/>
          <w:szCs w:val="21"/>
        </w:rPr>
        <w:t>）</w:t>
      </w:r>
      <w:r>
        <w:rPr>
          <w:rFonts w:hAnsi="宋体"/>
          <w:color w:val="auto"/>
          <w:szCs w:val="21"/>
        </w:rPr>
        <w:t>；</w:t>
      </w:r>
    </w:p>
    <w:p w14:paraId="77C11388">
      <w:pPr>
        <w:adjustRightInd w:val="0"/>
        <w:snapToGrid w:val="0"/>
        <w:spacing w:line="340" w:lineRule="exact"/>
        <w:ind w:firstLine="684" w:firstLineChars="326"/>
        <w:rPr>
          <w:color w:val="auto"/>
          <w:szCs w:val="21"/>
        </w:rPr>
      </w:pPr>
      <w:r>
        <w:rPr>
          <w:i/>
          <w:color w:val="auto"/>
          <w:szCs w:val="21"/>
        </w:rPr>
        <w:t>b</w:t>
      </w:r>
      <w:r>
        <w:rPr>
          <w:color w:val="auto"/>
          <w:szCs w:val="21"/>
        </w:rPr>
        <w:t>——</w:t>
      </w:r>
      <w:r>
        <w:rPr>
          <w:rFonts w:hAnsi="宋体"/>
          <w:color w:val="auto"/>
          <w:szCs w:val="21"/>
        </w:rPr>
        <w:t>与偏心距方向一致的筏基底面宽度</w:t>
      </w:r>
      <w:r>
        <w:rPr>
          <w:rFonts w:hint="eastAsia" w:hAnsi="宋体"/>
          <w:color w:val="auto"/>
          <w:szCs w:val="21"/>
        </w:rPr>
        <w:t>（m）</w:t>
      </w:r>
      <w:r>
        <w:rPr>
          <w:rFonts w:hAnsi="宋体"/>
          <w:color w:val="auto"/>
          <w:szCs w:val="21"/>
        </w:rPr>
        <w:t>。</w:t>
      </w:r>
    </w:p>
    <w:p w14:paraId="329D9B69">
      <w:pPr>
        <w:adjustRightInd w:val="0"/>
        <w:snapToGrid w:val="0"/>
        <w:spacing w:line="340" w:lineRule="exact"/>
        <w:rPr>
          <w:color w:val="auto"/>
          <w:szCs w:val="21"/>
        </w:rPr>
      </w:pPr>
      <w:r>
        <w:rPr>
          <w:rFonts w:eastAsia="黑体"/>
          <w:b/>
          <w:bCs/>
          <w:color w:val="auto"/>
          <w:szCs w:val="21"/>
        </w:rPr>
        <w:t xml:space="preserve">8.2.2  </w:t>
      </w:r>
      <w:r>
        <w:rPr>
          <w:rFonts w:hAnsi="宋体"/>
          <w:color w:val="auto"/>
          <w:szCs w:val="21"/>
        </w:rPr>
        <w:t>当按地基承载力计算基础面积时，对不均匀沉降要求严格的建筑物，在作用的准永久组合下，基础底面处的附加压力值不</w:t>
      </w:r>
      <w:r>
        <w:rPr>
          <w:rFonts w:hint="eastAsia" w:hAnsi="宋体"/>
          <w:color w:val="auto"/>
          <w:szCs w:val="21"/>
        </w:rPr>
        <w:t>宜</w:t>
      </w:r>
      <w:r>
        <w:rPr>
          <w:rFonts w:hAnsi="宋体"/>
          <w:color w:val="auto"/>
          <w:szCs w:val="21"/>
        </w:rPr>
        <w:t>大于</w:t>
      </w:r>
      <w:r>
        <w:rPr>
          <w:color w:val="auto"/>
          <w:szCs w:val="21"/>
        </w:rPr>
        <w:t>0.75</w:t>
      </w:r>
      <w:r>
        <w:rPr>
          <w:rFonts w:hAnsi="宋体"/>
          <w:color w:val="auto"/>
          <w:szCs w:val="21"/>
        </w:rPr>
        <w:t>倍地基承载力特征值</w:t>
      </w:r>
      <w:r>
        <w:rPr>
          <w:i/>
          <w:iCs/>
          <w:color w:val="auto"/>
          <w:szCs w:val="21"/>
        </w:rPr>
        <w:t>f</w:t>
      </w:r>
      <w:r>
        <w:rPr>
          <w:color w:val="auto"/>
          <w:szCs w:val="21"/>
          <w:vertAlign w:val="subscript"/>
        </w:rPr>
        <w:t>ak</w:t>
      </w:r>
      <w:r>
        <w:rPr>
          <w:rFonts w:hAnsi="宋体"/>
          <w:color w:val="auto"/>
          <w:szCs w:val="21"/>
        </w:rPr>
        <w:t>。</w:t>
      </w:r>
    </w:p>
    <w:p w14:paraId="7E7BB3FF">
      <w:pPr>
        <w:adjustRightInd w:val="0"/>
        <w:snapToGrid w:val="0"/>
        <w:spacing w:line="340" w:lineRule="exact"/>
        <w:rPr>
          <w:color w:val="auto"/>
          <w:szCs w:val="21"/>
        </w:rPr>
      </w:pPr>
      <w:r>
        <w:rPr>
          <w:rFonts w:eastAsia="黑体"/>
          <w:b/>
          <w:bCs/>
          <w:color w:val="auto"/>
          <w:spacing w:val="-4"/>
          <w:szCs w:val="21"/>
        </w:rPr>
        <w:t xml:space="preserve">8.2.3  </w:t>
      </w:r>
      <w:r>
        <w:rPr>
          <w:rFonts w:hAnsi="宋体"/>
          <w:color w:val="auto"/>
          <w:szCs w:val="21"/>
        </w:rPr>
        <w:t>地基设计时，应考虑大面积填土荷载引起软弱土层的变形量。新近人工填土引起淤泥和淤泥质土的附加变形量，可考虑在建筑物施工期间只完成其最终变形量的</w:t>
      </w:r>
      <w:r>
        <w:rPr>
          <w:color w:val="auto"/>
          <w:szCs w:val="21"/>
        </w:rPr>
        <w:t>5%</w:t>
      </w:r>
      <w:r>
        <w:rPr>
          <w:rFonts w:hAnsi="宋体"/>
          <w:color w:val="auto"/>
          <w:szCs w:val="21"/>
        </w:rPr>
        <w:t>～</w:t>
      </w:r>
      <w:r>
        <w:rPr>
          <w:color w:val="auto"/>
          <w:szCs w:val="21"/>
        </w:rPr>
        <w:t>20%</w:t>
      </w:r>
      <w:r>
        <w:rPr>
          <w:rFonts w:hAnsi="宋体"/>
          <w:color w:val="auto"/>
          <w:szCs w:val="21"/>
        </w:rPr>
        <w:t>。</w:t>
      </w:r>
    </w:p>
    <w:p w14:paraId="4C2EA02F">
      <w:pPr>
        <w:adjustRightInd w:val="0"/>
        <w:snapToGrid w:val="0"/>
        <w:spacing w:line="340" w:lineRule="exact"/>
        <w:rPr>
          <w:color w:val="auto"/>
          <w:szCs w:val="21"/>
        </w:rPr>
      </w:pPr>
      <w:r>
        <w:rPr>
          <w:rFonts w:eastAsia="黑体"/>
          <w:b/>
          <w:bCs/>
          <w:color w:val="auto"/>
          <w:szCs w:val="21"/>
        </w:rPr>
        <w:t>8.2.4</w:t>
      </w:r>
      <w:r>
        <w:rPr>
          <w:color w:val="auto"/>
          <w:szCs w:val="21"/>
        </w:rPr>
        <w:t xml:space="preserve">  </w:t>
      </w:r>
      <w:r>
        <w:rPr>
          <w:rFonts w:hAnsi="宋体"/>
          <w:color w:val="auto"/>
          <w:szCs w:val="21"/>
        </w:rPr>
        <w:t>软弱地基设计尚应符合本文件第</w:t>
      </w:r>
      <w:r>
        <w:rPr>
          <w:color w:val="auto"/>
          <w:szCs w:val="21"/>
        </w:rPr>
        <w:t>7</w:t>
      </w:r>
      <w:r>
        <w:rPr>
          <w:rFonts w:hAnsi="宋体"/>
          <w:color w:val="auto"/>
          <w:szCs w:val="21"/>
        </w:rPr>
        <w:t>章及第</w:t>
      </w:r>
      <w:r>
        <w:rPr>
          <w:color w:val="auto"/>
          <w:szCs w:val="21"/>
        </w:rPr>
        <w:t>13</w:t>
      </w:r>
      <w:r>
        <w:rPr>
          <w:rFonts w:hAnsi="宋体"/>
          <w:color w:val="auto"/>
          <w:szCs w:val="21"/>
        </w:rPr>
        <w:t>章的有关规定。</w:t>
      </w:r>
    </w:p>
    <w:p w14:paraId="687BE7B5">
      <w:pPr>
        <w:adjustRightInd w:val="0"/>
        <w:snapToGrid w:val="0"/>
        <w:spacing w:line="340" w:lineRule="exact"/>
        <w:jc w:val="center"/>
        <w:rPr>
          <w:rFonts w:eastAsia="黑体"/>
          <w:b/>
          <w:bCs/>
          <w:color w:val="auto"/>
          <w:szCs w:val="21"/>
        </w:rPr>
      </w:pPr>
    </w:p>
    <w:p w14:paraId="5D394EDF">
      <w:pPr>
        <w:adjustRightInd w:val="0"/>
        <w:snapToGrid w:val="0"/>
        <w:spacing w:line="340" w:lineRule="exact"/>
        <w:outlineLvl w:val="1"/>
        <w:rPr>
          <w:rFonts w:eastAsia="黑体"/>
          <w:b/>
          <w:bCs/>
          <w:color w:val="auto"/>
          <w:szCs w:val="21"/>
        </w:rPr>
      </w:pPr>
      <w:bookmarkStart w:id="21" w:name="_Toc199943583"/>
      <w:r>
        <w:rPr>
          <w:rFonts w:eastAsia="黑体"/>
          <w:b/>
          <w:bCs/>
          <w:color w:val="auto"/>
          <w:szCs w:val="21"/>
        </w:rPr>
        <w:t>8.3  建筑措施</w:t>
      </w:r>
      <w:bookmarkEnd w:id="21"/>
    </w:p>
    <w:p w14:paraId="497C2AC3">
      <w:pPr>
        <w:adjustRightInd w:val="0"/>
        <w:snapToGrid w:val="0"/>
        <w:spacing w:line="340" w:lineRule="exact"/>
        <w:jc w:val="center"/>
        <w:rPr>
          <w:rFonts w:eastAsia="黑体"/>
          <w:b/>
          <w:bCs/>
          <w:color w:val="auto"/>
          <w:szCs w:val="21"/>
        </w:rPr>
      </w:pPr>
    </w:p>
    <w:p w14:paraId="0E1874DD">
      <w:pPr>
        <w:adjustRightInd w:val="0"/>
        <w:snapToGrid w:val="0"/>
        <w:spacing w:line="340" w:lineRule="exact"/>
        <w:rPr>
          <w:color w:val="auto"/>
          <w:szCs w:val="21"/>
        </w:rPr>
      </w:pPr>
      <w:r>
        <w:rPr>
          <w:rFonts w:eastAsia="黑体"/>
          <w:b/>
          <w:bCs/>
          <w:color w:val="auto"/>
          <w:szCs w:val="21"/>
        </w:rPr>
        <w:t xml:space="preserve">8.3.1  </w:t>
      </w:r>
      <w:r>
        <w:rPr>
          <w:rFonts w:hAnsi="宋体"/>
          <w:color w:val="auto"/>
          <w:szCs w:val="21"/>
        </w:rPr>
        <w:t>在满足使用和其他要求的前提下，建筑体型应力求简单。当建筑体型比较复杂</w:t>
      </w:r>
      <w:r>
        <w:rPr>
          <w:rFonts w:hint="eastAsia" w:hAnsi="宋体"/>
          <w:color w:val="auto"/>
          <w:szCs w:val="21"/>
        </w:rPr>
        <w:t>、高度差异或荷载差异较大</w:t>
      </w:r>
      <w:r>
        <w:rPr>
          <w:rFonts w:hAnsi="宋体"/>
          <w:color w:val="auto"/>
          <w:szCs w:val="21"/>
        </w:rPr>
        <w:t>时，宜根据其平面形状和荷载的差异情况，在适当部位设置沉降缝将其划分成若干个刚度较好的结构单元。当</w:t>
      </w:r>
      <w:r>
        <w:rPr>
          <w:rFonts w:hint="eastAsia" w:hAnsi="宋体"/>
          <w:color w:val="auto"/>
          <w:szCs w:val="21"/>
        </w:rPr>
        <w:t>沉降缝两侧的结构</w:t>
      </w:r>
      <w:r>
        <w:rPr>
          <w:rFonts w:hAnsi="宋体"/>
          <w:color w:val="auto"/>
          <w:szCs w:val="21"/>
        </w:rPr>
        <w:t>单元连接时，应采用能自由沉降的悬挑等连接构造。对于后期不均匀沉降量较大的建筑物，两单元间不应采用简支连接的结构型式。</w:t>
      </w:r>
    </w:p>
    <w:p w14:paraId="7C91EF85">
      <w:pPr>
        <w:adjustRightInd w:val="0"/>
        <w:snapToGrid w:val="0"/>
        <w:spacing w:line="340" w:lineRule="exact"/>
        <w:rPr>
          <w:color w:val="auto"/>
          <w:szCs w:val="21"/>
        </w:rPr>
      </w:pPr>
      <w:r>
        <w:rPr>
          <w:rFonts w:eastAsia="黑体"/>
          <w:b/>
          <w:bCs/>
          <w:color w:val="auto"/>
          <w:szCs w:val="21"/>
        </w:rPr>
        <w:t xml:space="preserve">8.3.2  </w:t>
      </w:r>
      <w:r>
        <w:rPr>
          <w:rFonts w:hAnsi="宋体"/>
          <w:color w:val="auto"/>
          <w:szCs w:val="21"/>
        </w:rPr>
        <w:t>建筑物的下列部位宜设置沉降缝：</w:t>
      </w:r>
    </w:p>
    <w:p w14:paraId="2E8BFBD2">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建筑平面的转折部位；</w:t>
      </w:r>
    </w:p>
    <w:p w14:paraId="4B6D2555">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建筑物高度差异或荷载差异处；</w:t>
      </w:r>
    </w:p>
    <w:p w14:paraId="253CF305">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 xml:space="preserve">c) </w:t>
      </w:r>
      <w:r>
        <w:rPr>
          <w:color w:val="auto"/>
          <w:szCs w:val="21"/>
        </w:rPr>
        <w:t xml:space="preserve"> </w:t>
      </w:r>
      <w:r>
        <w:rPr>
          <w:rFonts w:hAnsi="宋体"/>
          <w:color w:val="auto"/>
          <w:szCs w:val="21"/>
        </w:rPr>
        <w:t>长高比过大的砌体承重结构或钢筋混凝土框架结构的适当部位；</w:t>
      </w:r>
    </w:p>
    <w:p w14:paraId="339A6DFF">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 xml:space="preserve">d) </w:t>
      </w:r>
      <w:r>
        <w:rPr>
          <w:color w:val="auto"/>
          <w:szCs w:val="21"/>
        </w:rPr>
        <w:t xml:space="preserve"> </w:t>
      </w:r>
      <w:r>
        <w:rPr>
          <w:rFonts w:hAnsi="宋体"/>
          <w:color w:val="auto"/>
          <w:szCs w:val="21"/>
        </w:rPr>
        <w:t>地基土的压缩性有显著差异处；</w:t>
      </w:r>
    </w:p>
    <w:p w14:paraId="0B17F5F1">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 xml:space="preserve">e) </w:t>
      </w:r>
      <w:r>
        <w:rPr>
          <w:color w:val="auto"/>
          <w:szCs w:val="21"/>
        </w:rPr>
        <w:t xml:space="preserve"> </w:t>
      </w:r>
      <w:r>
        <w:rPr>
          <w:rFonts w:hAnsi="宋体"/>
          <w:color w:val="auto"/>
          <w:szCs w:val="21"/>
        </w:rPr>
        <w:t>建筑结构或基础类型不同处；</w:t>
      </w:r>
    </w:p>
    <w:p w14:paraId="3D3FD474">
      <w:pPr>
        <w:tabs>
          <w:tab w:val="left" w:pos="360"/>
        </w:tabs>
        <w:adjustRightInd w:val="0"/>
        <w:snapToGrid w:val="0"/>
        <w:spacing w:line="340" w:lineRule="exact"/>
        <w:ind w:left="-2" w:leftChars="-1" w:firstLine="434" w:firstLineChars="206"/>
        <w:rPr>
          <w:color w:val="auto"/>
          <w:szCs w:val="21"/>
        </w:rPr>
      </w:pPr>
      <w:r>
        <w:rPr>
          <w:rFonts w:eastAsia="黑体"/>
          <w:b/>
          <w:bCs/>
          <w:color w:val="auto"/>
          <w:szCs w:val="21"/>
        </w:rPr>
        <w:t>f)</w:t>
      </w:r>
      <w:r>
        <w:rPr>
          <w:b/>
          <w:bCs/>
          <w:color w:val="auto"/>
          <w:szCs w:val="21"/>
        </w:rPr>
        <w:t xml:space="preserve"> </w:t>
      </w:r>
      <w:r>
        <w:rPr>
          <w:color w:val="auto"/>
          <w:szCs w:val="21"/>
        </w:rPr>
        <w:t xml:space="preserve"> </w:t>
      </w:r>
      <w:r>
        <w:rPr>
          <w:rFonts w:hAnsi="宋体"/>
          <w:color w:val="auto"/>
          <w:szCs w:val="21"/>
        </w:rPr>
        <w:t>分期建造房屋的交界处。</w:t>
      </w:r>
    </w:p>
    <w:p w14:paraId="3E680C62">
      <w:pPr>
        <w:adjustRightInd w:val="0"/>
        <w:snapToGrid w:val="0"/>
        <w:spacing w:line="340" w:lineRule="exact"/>
        <w:ind w:firstLine="420" w:firstLineChars="200"/>
        <w:rPr>
          <w:color w:val="auto"/>
          <w:szCs w:val="21"/>
        </w:rPr>
      </w:pPr>
      <w:r>
        <w:rPr>
          <w:rFonts w:hAnsi="宋体"/>
          <w:color w:val="auto"/>
          <w:szCs w:val="21"/>
        </w:rPr>
        <w:t>沉降缝应有足够的宽度，沉降缝的缝宽可按</w:t>
      </w:r>
      <w:r>
        <w:rPr>
          <w:rFonts w:hint="eastAsia"/>
          <w:color w:val="auto"/>
          <w:lang w:val="en-US" w:eastAsia="zh-CN"/>
        </w:rPr>
        <w:t>公式（33）</w:t>
      </w:r>
      <w:r>
        <w:rPr>
          <w:rFonts w:hAnsi="宋体"/>
          <w:color w:val="auto"/>
          <w:szCs w:val="21"/>
        </w:rPr>
        <w:t>计算</w:t>
      </w:r>
      <w:r>
        <w:rPr>
          <w:color w:val="auto"/>
          <w:szCs w:val="21"/>
        </w:rPr>
        <w:t>:</w:t>
      </w:r>
    </w:p>
    <w:p w14:paraId="793F7CDA">
      <w:pPr>
        <w:pStyle w:val="12"/>
        <w:jc w:val="right"/>
        <w:rPr>
          <w:color w:val="auto"/>
          <w:szCs w:val="21"/>
        </w:rPr>
      </w:pPr>
      <w:r>
        <w:rPr>
          <w:color w:val="auto"/>
          <w:position w:val="-12"/>
          <w:szCs w:val="21"/>
        </w:rPr>
        <w:object>
          <v:shape id="_x0000_i1153" o:spt="75" type="#_x0000_t75" style="height:18pt;width:66pt;" o:ole="t" filled="f" o:preferrelative="t" stroked="f" coordsize="21600,21600">
            <v:path/>
            <v:fill on="f" focussize="0,0"/>
            <v:stroke on="f" joinstyle="miter"/>
            <v:imagedata r:id="rId258" o:title=""/>
            <o:lock v:ext="edit" aspectratio="t"/>
            <w10:wrap type="none"/>
            <w10:anchorlock/>
          </v:shape>
          <o:OLEObject Type="Embed" ProgID="Equation.DSMT4" ShapeID="_x0000_i1153" DrawAspect="Content" ObjectID="_1468075853" r:id="rId257">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33</w:t>
      </w:r>
      <w:r>
        <w:rPr>
          <w:color w:val="auto"/>
          <w:szCs w:val="21"/>
        </w:rPr>
        <w:fldChar w:fldCharType="end"/>
      </w:r>
      <w:r>
        <w:rPr>
          <w:color w:val="auto"/>
          <w:szCs w:val="21"/>
        </w:rPr>
        <w:t>)</w:t>
      </w:r>
    </w:p>
    <w:p w14:paraId="6021C998">
      <w:pPr>
        <w:adjustRightInd w:val="0"/>
        <w:snapToGrid w:val="0"/>
        <w:spacing w:line="340" w:lineRule="exact"/>
        <w:rPr>
          <w:color w:val="auto"/>
          <w:szCs w:val="21"/>
        </w:rPr>
      </w:pPr>
      <w:r>
        <w:rPr>
          <w:rFonts w:hAnsi="宋体"/>
          <w:color w:val="auto"/>
          <w:szCs w:val="21"/>
        </w:rPr>
        <w:t>式中</w:t>
      </w:r>
      <w:r>
        <w:rPr>
          <w:color w:val="auto"/>
          <w:szCs w:val="21"/>
        </w:rPr>
        <w:t xml:space="preserve">  </w:t>
      </w:r>
      <w:r>
        <w:rPr>
          <w:color w:val="auto"/>
          <w:position w:val="-12"/>
          <w:szCs w:val="21"/>
        </w:rPr>
        <w:object>
          <v:shape id="_x0000_i1154" o:spt="75" type="#_x0000_t75" style="height:18pt;width:15pt;" o:ole="t" filled="f" o:preferrelative="t" stroked="f" coordsize="21600,21600">
            <v:path/>
            <v:fill on="f" focussize="0,0"/>
            <v:stroke on="f" joinstyle="miter"/>
            <v:imagedata r:id="rId260" o:title=""/>
            <o:lock v:ext="edit" aspectratio="t"/>
            <w10:wrap type="none"/>
            <w10:anchorlock/>
          </v:shape>
          <o:OLEObject Type="Embed" ProgID="Equation.DSMT4" ShapeID="_x0000_i1154" DrawAspect="Content" ObjectID="_1468075854" r:id="rId259">
            <o:LockedField>false</o:LockedField>
          </o:OLEObject>
        </w:object>
      </w:r>
      <w:r>
        <w:rPr>
          <w:color w:val="auto"/>
          <w:szCs w:val="21"/>
        </w:rPr>
        <w:t>——</w:t>
      </w:r>
      <w:r>
        <w:rPr>
          <w:rFonts w:hAnsi="宋体"/>
          <w:color w:val="auto"/>
          <w:szCs w:val="21"/>
        </w:rPr>
        <w:t>沉降缝的宽度值</w:t>
      </w:r>
      <w:r>
        <w:rPr>
          <w:rFonts w:hint="eastAsia"/>
          <w:color w:val="auto"/>
          <w:szCs w:val="21"/>
        </w:rPr>
        <w:t>（</w:t>
      </w:r>
      <w:r>
        <w:rPr>
          <w:color w:val="auto"/>
          <w:szCs w:val="21"/>
        </w:rPr>
        <w:t>mm</w:t>
      </w:r>
      <w:r>
        <w:rPr>
          <w:rFonts w:hint="eastAsia"/>
          <w:color w:val="auto"/>
          <w:szCs w:val="21"/>
        </w:rPr>
        <w:t>）</w:t>
      </w:r>
      <w:r>
        <w:rPr>
          <w:rFonts w:hAnsi="宋体"/>
          <w:color w:val="auto"/>
          <w:szCs w:val="21"/>
        </w:rPr>
        <w:t>，</w:t>
      </w:r>
      <w:r>
        <w:rPr>
          <w:i/>
          <w:color w:val="auto"/>
          <w:szCs w:val="21"/>
        </w:rPr>
        <w:t>w</w:t>
      </w:r>
      <w:r>
        <w:rPr>
          <w:iCs/>
          <w:color w:val="auto"/>
          <w:szCs w:val="21"/>
          <w:vertAlign w:val="subscript"/>
        </w:rPr>
        <w:t>f</w:t>
      </w:r>
      <w:r>
        <w:rPr>
          <w:rFonts w:hAnsi="宋体"/>
          <w:color w:val="auto"/>
          <w:szCs w:val="21"/>
        </w:rPr>
        <w:t>不应小于</w:t>
      </w:r>
      <w:r>
        <w:rPr>
          <w:color w:val="auto"/>
          <w:szCs w:val="21"/>
        </w:rPr>
        <w:t>60mm</w:t>
      </w:r>
      <w:r>
        <w:rPr>
          <w:rFonts w:hAnsi="宋体"/>
          <w:color w:val="auto"/>
          <w:szCs w:val="21"/>
        </w:rPr>
        <w:t>；</w:t>
      </w:r>
    </w:p>
    <w:p w14:paraId="5A5BE635">
      <w:pPr>
        <w:adjustRightInd w:val="0"/>
        <w:snapToGrid w:val="0"/>
        <w:spacing w:line="340" w:lineRule="exact"/>
        <w:ind w:firstLine="658"/>
        <w:rPr>
          <w:color w:val="auto"/>
          <w:spacing w:val="-2"/>
          <w:szCs w:val="21"/>
        </w:rPr>
      </w:pPr>
      <w:r>
        <w:rPr>
          <w:i/>
          <w:iCs/>
          <w:color w:val="auto"/>
          <w:spacing w:val="-2"/>
          <w:szCs w:val="21"/>
        </w:rPr>
        <w:t>H</w:t>
      </w:r>
      <w:r>
        <w:rPr>
          <w:color w:val="auto"/>
          <w:spacing w:val="-2"/>
          <w:sz w:val="18"/>
          <w:szCs w:val="21"/>
          <w:vertAlign w:val="subscript"/>
        </w:rPr>
        <w:t>f1</w:t>
      </w:r>
      <w:r>
        <w:rPr>
          <w:color w:val="auto"/>
          <w:spacing w:val="-2"/>
          <w:szCs w:val="21"/>
        </w:rPr>
        <w:t>——</w:t>
      </w:r>
      <w:r>
        <w:rPr>
          <w:rFonts w:hAnsi="宋体"/>
          <w:color w:val="auto"/>
          <w:spacing w:val="-4"/>
          <w:szCs w:val="21"/>
        </w:rPr>
        <w:t>自基础底面标高算起至建筑物沉降缝侧边顶面的高度</w:t>
      </w:r>
      <w:r>
        <w:rPr>
          <w:color w:val="auto"/>
          <w:spacing w:val="-4"/>
          <w:szCs w:val="21"/>
        </w:rPr>
        <w:t>（m）</w:t>
      </w:r>
      <w:r>
        <w:rPr>
          <w:rFonts w:hAnsi="宋体"/>
          <w:color w:val="auto"/>
          <w:spacing w:val="-4"/>
          <w:szCs w:val="21"/>
        </w:rPr>
        <w:t>。</w:t>
      </w:r>
    </w:p>
    <w:p w14:paraId="3B358086">
      <w:pPr>
        <w:adjustRightInd w:val="0"/>
        <w:snapToGrid w:val="0"/>
        <w:spacing w:line="340" w:lineRule="exact"/>
        <w:ind w:firstLine="420" w:firstLineChars="200"/>
        <w:rPr>
          <w:color w:val="auto"/>
          <w:szCs w:val="21"/>
        </w:rPr>
      </w:pPr>
      <w:r>
        <w:rPr>
          <w:rFonts w:hAnsi="宋体"/>
          <w:color w:val="auto"/>
          <w:szCs w:val="21"/>
        </w:rPr>
        <w:t>高耸建筑物沉降缝宽度应按本文件表</w:t>
      </w:r>
      <w:r>
        <w:rPr>
          <w:color w:val="auto"/>
          <w:szCs w:val="21"/>
        </w:rPr>
        <w:t>2</w:t>
      </w:r>
      <w:r>
        <w:rPr>
          <w:rFonts w:hAnsi="宋体"/>
          <w:color w:val="auto"/>
          <w:szCs w:val="21"/>
        </w:rPr>
        <w:t>允许倾斜值经计算确定。</w:t>
      </w:r>
    </w:p>
    <w:p w14:paraId="6E9AD16F">
      <w:pPr>
        <w:adjustRightInd w:val="0"/>
        <w:snapToGrid w:val="0"/>
        <w:spacing w:line="340" w:lineRule="exact"/>
        <w:ind w:firstLine="420" w:firstLineChars="200"/>
        <w:rPr>
          <w:color w:val="auto"/>
          <w:szCs w:val="21"/>
        </w:rPr>
      </w:pPr>
      <w:r>
        <w:rPr>
          <w:rFonts w:hAnsi="宋体"/>
          <w:color w:val="auto"/>
          <w:szCs w:val="21"/>
        </w:rPr>
        <w:t>当沉降缝两侧单元建筑物顶高度不同时，缝宽</w:t>
      </w:r>
      <w:r>
        <w:rPr>
          <w:rFonts w:hint="eastAsia" w:hAnsi="宋体"/>
          <w:color w:val="auto"/>
          <w:szCs w:val="21"/>
        </w:rPr>
        <w:t>计算</w:t>
      </w:r>
      <w:r>
        <w:rPr>
          <w:rFonts w:hAnsi="宋体"/>
          <w:color w:val="auto"/>
          <w:szCs w:val="21"/>
        </w:rPr>
        <w:t>应按</w:t>
      </w:r>
      <w:r>
        <w:rPr>
          <w:color w:val="auto"/>
          <w:szCs w:val="21"/>
        </w:rPr>
        <w:t>H</w:t>
      </w:r>
      <w:r>
        <w:rPr>
          <w:iCs/>
          <w:color w:val="auto"/>
          <w:szCs w:val="21"/>
          <w:vertAlign w:val="subscript"/>
        </w:rPr>
        <w:t>f1</w:t>
      </w:r>
      <w:r>
        <w:rPr>
          <w:rFonts w:hAnsi="宋体"/>
          <w:color w:val="auto"/>
          <w:szCs w:val="21"/>
        </w:rPr>
        <w:t>的低值取用。沉降缝内不应填塞碎砖、碎木块、混凝土或砂浆碎块等建筑垃圾。</w:t>
      </w:r>
    </w:p>
    <w:p w14:paraId="5DAF78A4">
      <w:pPr>
        <w:adjustRightInd w:val="0"/>
        <w:snapToGrid w:val="0"/>
        <w:spacing w:line="340" w:lineRule="exact"/>
        <w:ind w:firstLine="420" w:firstLineChars="200"/>
        <w:rPr>
          <w:color w:val="auto"/>
          <w:szCs w:val="21"/>
        </w:rPr>
      </w:pPr>
      <w:r>
        <w:rPr>
          <w:rFonts w:hAnsi="宋体"/>
          <w:color w:val="auto"/>
          <w:szCs w:val="21"/>
        </w:rPr>
        <w:t>抗震设计时，沉降缝宽度尚应满足抗震缝宽度要求。</w:t>
      </w:r>
    </w:p>
    <w:p w14:paraId="579F0E8B">
      <w:pPr>
        <w:adjustRightInd w:val="0"/>
        <w:snapToGrid w:val="0"/>
        <w:spacing w:line="340" w:lineRule="exact"/>
        <w:rPr>
          <w:color w:val="auto"/>
          <w:szCs w:val="21"/>
        </w:rPr>
      </w:pPr>
      <w:r>
        <w:rPr>
          <w:rFonts w:eastAsia="黑体"/>
          <w:b/>
          <w:bCs/>
          <w:color w:val="auto"/>
          <w:szCs w:val="21"/>
        </w:rPr>
        <w:t xml:space="preserve">8.3.3  </w:t>
      </w:r>
      <w:r>
        <w:rPr>
          <w:rFonts w:hAnsi="宋体"/>
          <w:color w:val="auto"/>
          <w:szCs w:val="21"/>
        </w:rPr>
        <w:t>相邻建筑物基础间净距，可根据相邻建筑物的不同基础情况，按下列条件确定：</w:t>
      </w:r>
    </w:p>
    <w:p w14:paraId="68B3B4A1">
      <w:pPr>
        <w:adjustRightInd w:val="0"/>
        <w:snapToGrid w:val="0"/>
        <w:spacing w:line="340" w:lineRule="exact"/>
        <w:ind w:firstLine="422" w:firstLineChars="200"/>
        <w:rPr>
          <w:color w:val="auto"/>
          <w:szCs w:val="21"/>
        </w:rPr>
      </w:pPr>
      <w:r>
        <w:rPr>
          <w:rFonts w:eastAsia="黑体"/>
          <w:b/>
          <w:bCs/>
          <w:color w:val="auto"/>
          <w:szCs w:val="21"/>
        </w:rPr>
        <w:t>a)</w:t>
      </w:r>
      <w:r>
        <w:rPr>
          <w:color w:val="auto"/>
          <w:szCs w:val="21"/>
        </w:rPr>
        <w:t xml:space="preserve">  </w:t>
      </w:r>
      <w:r>
        <w:rPr>
          <w:rFonts w:hAnsi="宋体"/>
          <w:color w:val="auto"/>
          <w:szCs w:val="21"/>
        </w:rPr>
        <w:t>相邻建筑物均采用天然地基时，可按表</w:t>
      </w:r>
      <w:r>
        <w:rPr>
          <w:color w:val="auto"/>
          <w:szCs w:val="21"/>
        </w:rPr>
        <w:t>25</w:t>
      </w:r>
      <w:r>
        <w:rPr>
          <w:rFonts w:hAnsi="宋体"/>
          <w:color w:val="auto"/>
          <w:szCs w:val="21"/>
        </w:rPr>
        <w:t>选用。</w:t>
      </w:r>
    </w:p>
    <w:p w14:paraId="743025D5">
      <w:pPr>
        <w:adjustRightInd w:val="0"/>
        <w:snapToGrid w:val="0"/>
        <w:spacing w:before="120" w:line="340" w:lineRule="atLeast"/>
        <w:jc w:val="center"/>
        <w:rPr>
          <w:rFonts w:eastAsia="黑体"/>
          <w:b/>
          <w:color w:val="auto"/>
          <w:szCs w:val="21"/>
        </w:rPr>
      </w:pPr>
      <w:r>
        <w:rPr>
          <w:rFonts w:eastAsia="黑体"/>
          <w:b/>
          <w:color w:val="auto"/>
          <w:szCs w:val="21"/>
        </w:rPr>
        <w:t>表</w:t>
      </w:r>
      <w:r>
        <w:rPr>
          <w:rFonts w:eastAsia="黑体"/>
          <w:b/>
          <w:bCs/>
          <w:color w:val="auto"/>
          <w:szCs w:val="21"/>
        </w:rPr>
        <w:t>25</w:t>
      </w:r>
      <w:r>
        <w:rPr>
          <w:rFonts w:eastAsia="黑体"/>
          <w:b/>
          <w:color w:val="auto"/>
          <w:szCs w:val="21"/>
        </w:rPr>
        <w:t xml:space="preserve">   相邻建筑物基础间的净距           单位为m</w:t>
      </w:r>
    </w:p>
    <w:tbl>
      <w:tblPr>
        <w:tblStyle w:val="36"/>
        <w:tblW w:w="912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596"/>
        <w:gridCol w:w="2129"/>
        <w:gridCol w:w="3402"/>
      </w:tblGrid>
      <w:tr w14:paraId="1BF5A4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3596" w:type="dxa"/>
            <w:vMerge w:val="restart"/>
            <w:vAlign w:val="center"/>
          </w:tcPr>
          <w:p w14:paraId="147F4A7B">
            <w:pPr>
              <w:adjustRightInd w:val="0"/>
              <w:snapToGrid w:val="0"/>
              <w:spacing w:line="240" w:lineRule="exact"/>
              <w:ind w:left="13" w:leftChars="-26" w:hanging="68" w:hangingChars="40"/>
              <w:jc w:val="center"/>
              <w:rPr>
                <w:color w:val="auto"/>
                <w:sz w:val="18"/>
                <w:szCs w:val="18"/>
              </w:rPr>
            </w:pPr>
            <w:r>
              <w:rPr>
                <w:rFonts w:hAnsi="宋体"/>
                <w:color w:val="auto"/>
                <w:spacing w:val="-4"/>
                <w:sz w:val="18"/>
                <w:szCs w:val="18"/>
              </w:rPr>
              <w:t>影响建筑物的预估中心沉降量</w:t>
            </w:r>
            <w:r>
              <w:rPr>
                <w:color w:val="auto"/>
                <w:spacing w:val="-4"/>
                <w:sz w:val="18"/>
                <w:szCs w:val="18"/>
              </w:rPr>
              <w:t>（</w:t>
            </w:r>
            <w:r>
              <w:rPr>
                <w:iCs/>
                <w:color w:val="auto"/>
                <w:spacing w:val="-4"/>
                <w:sz w:val="18"/>
                <w:szCs w:val="18"/>
              </w:rPr>
              <w:t>mm</w:t>
            </w:r>
            <w:r>
              <w:rPr>
                <w:color w:val="auto"/>
                <w:spacing w:val="-4"/>
                <w:sz w:val="18"/>
                <w:szCs w:val="18"/>
              </w:rPr>
              <w:t>）</w:t>
            </w:r>
          </w:p>
        </w:tc>
        <w:tc>
          <w:tcPr>
            <w:tcW w:w="5531" w:type="dxa"/>
            <w:gridSpan w:val="2"/>
            <w:vAlign w:val="center"/>
          </w:tcPr>
          <w:p w14:paraId="77B7E39E">
            <w:pPr>
              <w:adjustRightInd w:val="0"/>
              <w:snapToGrid w:val="0"/>
              <w:spacing w:line="240" w:lineRule="atLeast"/>
              <w:jc w:val="center"/>
              <w:rPr>
                <w:color w:val="auto"/>
                <w:sz w:val="18"/>
                <w:szCs w:val="18"/>
              </w:rPr>
            </w:pPr>
            <w:r>
              <w:rPr>
                <w:rFonts w:hAnsi="宋体"/>
                <w:color w:val="auto"/>
                <w:spacing w:val="-4"/>
                <w:sz w:val="18"/>
                <w:szCs w:val="18"/>
              </w:rPr>
              <w:t>被影响建筑物的长高比</w:t>
            </w:r>
          </w:p>
        </w:tc>
      </w:tr>
      <w:tr w14:paraId="0A3A8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3596" w:type="dxa"/>
            <w:vMerge w:val="continue"/>
          </w:tcPr>
          <w:p w14:paraId="54EEC9AF">
            <w:pPr>
              <w:adjustRightInd w:val="0"/>
              <w:snapToGrid w:val="0"/>
              <w:spacing w:line="240" w:lineRule="exact"/>
              <w:ind w:left="17" w:leftChars="-26" w:hanging="72" w:hangingChars="40"/>
              <w:rPr>
                <w:color w:val="auto"/>
                <w:sz w:val="18"/>
                <w:szCs w:val="18"/>
              </w:rPr>
            </w:pPr>
          </w:p>
        </w:tc>
        <w:tc>
          <w:tcPr>
            <w:tcW w:w="2129" w:type="dxa"/>
            <w:vAlign w:val="center"/>
          </w:tcPr>
          <w:p w14:paraId="7E3403C8">
            <w:pPr>
              <w:adjustRightInd w:val="0"/>
              <w:snapToGrid w:val="0"/>
              <w:spacing w:line="240" w:lineRule="atLeast"/>
              <w:jc w:val="center"/>
              <w:rPr>
                <w:color w:val="auto"/>
                <w:sz w:val="18"/>
                <w:szCs w:val="18"/>
              </w:rPr>
            </w:pPr>
            <w:r>
              <w:rPr>
                <w:color w:val="auto"/>
                <w:position w:val="-12"/>
                <w:sz w:val="18"/>
                <w:szCs w:val="18"/>
              </w:rPr>
              <w:object>
                <v:shape id="_x0000_i1155" o:spt="75" type="#_x0000_t75" style="height:16.5pt;width:22.5pt;" o:ole="t" filled="f" o:preferrelative="t" stroked="f" coordsize="21600,21600">
                  <v:path/>
                  <v:fill on="f" focussize="0,0"/>
                  <v:stroke on="f" joinstyle="miter"/>
                  <v:imagedata r:id="rId262" o:title=""/>
                  <o:lock v:ext="edit" aspectratio="t"/>
                  <w10:wrap type="none"/>
                  <w10:anchorlock/>
                </v:shape>
                <o:OLEObject Type="Embed" ProgID="Equation.DSMT4" ShapeID="_x0000_i1155" DrawAspect="Content" ObjectID="_1468075855" r:id="rId261">
                  <o:LockedField>false</o:LockedField>
                </o:OLEObject>
              </w:object>
            </w:r>
            <w:r>
              <w:rPr>
                <w:color w:val="auto"/>
                <w:sz w:val="18"/>
                <w:szCs w:val="18"/>
              </w:rPr>
              <w:t>≤2.5</w:t>
            </w:r>
          </w:p>
        </w:tc>
        <w:tc>
          <w:tcPr>
            <w:tcW w:w="3402" w:type="dxa"/>
            <w:vAlign w:val="center"/>
          </w:tcPr>
          <w:p w14:paraId="2CD91402">
            <w:pPr>
              <w:adjustRightInd w:val="0"/>
              <w:snapToGrid w:val="0"/>
              <w:spacing w:line="240" w:lineRule="atLeast"/>
              <w:jc w:val="center"/>
              <w:rPr>
                <w:color w:val="auto"/>
                <w:sz w:val="18"/>
                <w:szCs w:val="18"/>
              </w:rPr>
            </w:pPr>
            <w:r>
              <w:rPr>
                <w:color w:val="auto"/>
                <w:position w:val="-12"/>
                <w:sz w:val="18"/>
                <w:szCs w:val="18"/>
              </w:rPr>
              <w:object>
                <v:shape id="_x0000_i1156" o:spt="75" type="#_x0000_t75" style="height:16.5pt;width:63.75pt;" o:ole="t" filled="f" o:preferrelative="t" stroked="f" coordsize="21600,21600">
                  <v:path/>
                  <v:fill on="f" focussize="0,0"/>
                  <v:stroke on="f" joinstyle="miter"/>
                  <v:imagedata r:id="rId264" o:title=""/>
                  <o:lock v:ext="edit" aspectratio="t"/>
                  <w10:wrap type="none"/>
                  <w10:anchorlock/>
                </v:shape>
                <o:OLEObject Type="Embed" ProgID="Equation.DSMT4" ShapeID="_x0000_i1156" DrawAspect="Content" ObjectID="_1468075856" r:id="rId263">
                  <o:LockedField>false</o:LockedField>
                </o:OLEObject>
              </w:object>
            </w:r>
          </w:p>
        </w:tc>
      </w:tr>
      <w:tr w14:paraId="29A9C6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6" w:type="dxa"/>
            <w:vAlign w:val="center"/>
          </w:tcPr>
          <w:p w14:paraId="4F1868DC">
            <w:pPr>
              <w:adjustRightInd w:val="0"/>
              <w:snapToGrid w:val="0"/>
              <w:spacing w:line="260" w:lineRule="atLeast"/>
              <w:jc w:val="center"/>
              <w:rPr>
                <w:color w:val="auto"/>
                <w:sz w:val="18"/>
                <w:szCs w:val="18"/>
              </w:rPr>
            </w:pPr>
            <w:r>
              <w:rPr>
                <w:color w:val="auto"/>
                <w:sz w:val="18"/>
                <w:szCs w:val="18"/>
              </w:rPr>
              <w:t>70</w:t>
            </w:r>
            <w:r>
              <w:rPr>
                <w:rFonts w:hAnsi="宋体"/>
                <w:color w:val="auto"/>
                <w:sz w:val="18"/>
                <w:szCs w:val="18"/>
              </w:rPr>
              <w:t>～</w:t>
            </w:r>
            <w:r>
              <w:rPr>
                <w:color w:val="auto"/>
                <w:sz w:val="18"/>
                <w:szCs w:val="18"/>
              </w:rPr>
              <w:t>150</w:t>
            </w:r>
          </w:p>
        </w:tc>
        <w:tc>
          <w:tcPr>
            <w:tcW w:w="2129" w:type="dxa"/>
            <w:vAlign w:val="center"/>
          </w:tcPr>
          <w:p w14:paraId="23F6D567">
            <w:pPr>
              <w:pStyle w:val="24"/>
              <w:pBdr>
                <w:bottom w:val="none" w:color="auto" w:sz="0" w:space="0"/>
              </w:pBdr>
              <w:tabs>
                <w:tab w:val="clear" w:pos="4153"/>
                <w:tab w:val="clear" w:pos="8306"/>
              </w:tabs>
              <w:spacing w:line="260" w:lineRule="atLeast"/>
              <w:rPr>
                <w:color w:val="auto"/>
              </w:rPr>
            </w:pPr>
            <w:r>
              <w:rPr>
                <w:color w:val="auto"/>
              </w:rPr>
              <w:t>2</w:t>
            </w:r>
            <w:r>
              <w:rPr>
                <w:rFonts w:hAnsi="宋体"/>
                <w:color w:val="auto"/>
              </w:rPr>
              <w:t>～</w:t>
            </w:r>
            <w:r>
              <w:rPr>
                <w:color w:val="auto"/>
              </w:rPr>
              <w:t>4</w:t>
            </w:r>
          </w:p>
        </w:tc>
        <w:tc>
          <w:tcPr>
            <w:tcW w:w="3402" w:type="dxa"/>
            <w:vAlign w:val="center"/>
          </w:tcPr>
          <w:p w14:paraId="7FE6ED3B">
            <w:pPr>
              <w:adjustRightInd w:val="0"/>
              <w:snapToGrid w:val="0"/>
              <w:spacing w:line="260" w:lineRule="atLeast"/>
              <w:jc w:val="center"/>
              <w:rPr>
                <w:color w:val="auto"/>
                <w:sz w:val="18"/>
                <w:szCs w:val="18"/>
              </w:rPr>
            </w:pPr>
            <w:r>
              <w:rPr>
                <w:color w:val="auto"/>
                <w:sz w:val="18"/>
                <w:szCs w:val="18"/>
              </w:rPr>
              <w:t>3</w:t>
            </w:r>
            <w:r>
              <w:rPr>
                <w:rFonts w:hAnsi="宋体"/>
                <w:color w:val="auto"/>
                <w:sz w:val="18"/>
                <w:szCs w:val="18"/>
              </w:rPr>
              <w:t>～</w:t>
            </w:r>
            <w:r>
              <w:rPr>
                <w:color w:val="auto"/>
                <w:sz w:val="18"/>
                <w:szCs w:val="18"/>
              </w:rPr>
              <w:t>6</w:t>
            </w:r>
          </w:p>
        </w:tc>
      </w:tr>
      <w:tr w14:paraId="14CAB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6" w:type="dxa"/>
            <w:vAlign w:val="center"/>
          </w:tcPr>
          <w:p w14:paraId="05F49D8C">
            <w:pPr>
              <w:adjustRightInd w:val="0"/>
              <w:snapToGrid w:val="0"/>
              <w:spacing w:line="260" w:lineRule="atLeast"/>
              <w:jc w:val="center"/>
              <w:rPr>
                <w:color w:val="auto"/>
                <w:sz w:val="18"/>
                <w:szCs w:val="18"/>
              </w:rPr>
            </w:pPr>
            <w:r>
              <w:rPr>
                <w:color w:val="auto"/>
                <w:sz w:val="18"/>
                <w:szCs w:val="18"/>
              </w:rPr>
              <w:t>160</w:t>
            </w:r>
            <w:r>
              <w:rPr>
                <w:rFonts w:hAnsi="宋体"/>
                <w:color w:val="auto"/>
                <w:sz w:val="18"/>
                <w:szCs w:val="18"/>
              </w:rPr>
              <w:t>～</w:t>
            </w:r>
            <w:r>
              <w:rPr>
                <w:color w:val="auto"/>
                <w:sz w:val="18"/>
                <w:szCs w:val="18"/>
              </w:rPr>
              <w:t>250</w:t>
            </w:r>
          </w:p>
        </w:tc>
        <w:tc>
          <w:tcPr>
            <w:tcW w:w="2129" w:type="dxa"/>
            <w:vAlign w:val="center"/>
          </w:tcPr>
          <w:p w14:paraId="50E8D4F7">
            <w:pPr>
              <w:adjustRightInd w:val="0"/>
              <w:snapToGrid w:val="0"/>
              <w:spacing w:line="260" w:lineRule="atLeast"/>
              <w:jc w:val="center"/>
              <w:rPr>
                <w:color w:val="auto"/>
                <w:sz w:val="18"/>
                <w:szCs w:val="18"/>
              </w:rPr>
            </w:pPr>
            <w:r>
              <w:rPr>
                <w:color w:val="auto"/>
                <w:sz w:val="18"/>
                <w:szCs w:val="18"/>
              </w:rPr>
              <w:t>4</w:t>
            </w:r>
            <w:r>
              <w:rPr>
                <w:rFonts w:hAnsi="宋体"/>
                <w:color w:val="auto"/>
                <w:sz w:val="18"/>
                <w:szCs w:val="18"/>
              </w:rPr>
              <w:t>～</w:t>
            </w:r>
            <w:r>
              <w:rPr>
                <w:color w:val="auto"/>
                <w:sz w:val="18"/>
                <w:szCs w:val="18"/>
              </w:rPr>
              <w:t>6</w:t>
            </w:r>
          </w:p>
        </w:tc>
        <w:tc>
          <w:tcPr>
            <w:tcW w:w="3402" w:type="dxa"/>
            <w:vAlign w:val="center"/>
          </w:tcPr>
          <w:p w14:paraId="7BEAE9AA">
            <w:pPr>
              <w:adjustRightInd w:val="0"/>
              <w:snapToGrid w:val="0"/>
              <w:spacing w:line="260" w:lineRule="atLeast"/>
              <w:jc w:val="center"/>
              <w:rPr>
                <w:color w:val="auto"/>
                <w:sz w:val="18"/>
                <w:szCs w:val="18"/>
              </w:rPr>
            </w:pPr>
            <w:r>
              <w:rPr>
                <w:color w:val="auto"/>
                <w:sz w:val="18"/>
                <w:szCs w:val="18"/>
              </w:rPr>
              <w:t>6</w:t>
            </w:r>
            <w:r>
              <w:rPr>
                <w:rFonts w:hAnsi="宋体"/>
                <w:color w:val="auto"/>
                <w:sz w:val="18"/>
                <w:szCs w:val="18"/>
              </w:rPr>
              <w:t>～</w:t>
            </w:r>
            <w:r>
              <w:rPr>
                <w:color w:val="auto"/>
                <w:sz w:val="18"/>
                <w:szCs w:val="18"/>
              </w:rPr>
              <w:t>9</w:t>
            </w:r>
          </w:p>
        </w:tc>
      </w:tr>
      <w:tr w14:paraId="3E7AC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6" w:type="dxa"/>
            <w:vAlign w:val="center"/>
          </w:tcPr>
          <w:p w14:paraId="109DD9CD">
            <w:pPr>
              <w:adjustRightInd w:val="0"/>
              <w:snapToGrid w:val="0"/>
              <w:spacing w:line="260" w:lineRule="atLeast"/>
              <w:jc w:val="center"/>
              <w:rPr>
                <w:color w:val="auto"/>
                <w:sz w:val="18"/>
                <w:szCs w:val="18"/>
              </w:rPr>
            </w:pPr>
            <w:r>
              <w:rPr>
                <w:color w:val="auto"/>
                <w:sz w:val="18"/>
                <w:szCs w:val="18"/>
              </w:rPr>
              <w:t>260</w:t>
            </w:r>
            <w:r>
              <w:rPr>
                <w:rFonts w:hAnsi="宋体"/>
                <w:color w:val="auto"/>
                <w:sz w:val="18"/>
                <w:szCs w:val="18"/>
              </w:rPr>
              <w:t>～</w:t>
            </w:r>
            <w:r>
              <w:rPr>
                <w:color w:val="auto"/>
                <w:sz w:val="18"/>
                <w:szCs w:val="18"/>
              </w:rPr>
              <w:t>400</w:t>
            </w:r>
          </w:p>
        </w:tc>
        <w:tc>
          <w:tcPr>
            <w:tcW w:w="2129" w:type="dxa"/>
            <w:vAlign w:val="center"/>
          </w:tcPr>
          <w:p w14:paraId="6F4DACA0">
            <w:pPr>
              <w:adjustRightInd w:val="0"/>
              <w:snapToGrid w:val="0"/>
              <w:spacing w:line="260" w:lineRule="atLeast"/>
              <w:jc w:val="center"/>
              <w:rPr>
                <w:color w:val="auto"/>
                <w:sz w:val="18"/>
                <w:szCs w:val="18"/>
              </w:rPr>
            </w:pPr>
            <w:r>
              <w:rPr>
                <w:color w:val="auto"/>
                <w:sz w:val="18"/>
                <w:szCs w:val="18"/>
              </w:rPr>
              <w:t>6</w:t>
            </w:r>
            <w:r>
              <w:rPr>
                <w:rFonts w:hAnsi="宋体"/>
                <w:color w:val="auto"/>
                <w:sz w:val="18"/>
                <w:szCs w:val="18"/>
              </w:rPr>
              <w:t>～</w:t>
            </w:r>
            <w:r>
              <w:rPr>
                <w:color w:val="auto"/>
                <w:sz w:val="18"/>
                <w:szCs w:val="18"/>
              </w:rPr>
              <w:t>9</w:t>
            </w:r>
          </w:p>
        </w:tc>
        <w:tc>
          <w:tcPr>
            <w:tcW w:w="3402" w:type="dxa"/>
            <w:vAlign w:val="center"/>
          </w:tcPr>
          <w:p w14:paraId="630E94F2">
            <w:pPr>
              <w:adjustRightInd w:val="0"/>
              <w:snapToGrid w:val="0"/>
              <w:spacing w:line="260" w:lineRule="atLeast"/>
              <w:jc w:val="center"/>
              <w:rPr>
                <w:color w:val="auto"/>
                <w:sz w:val="18"/>
                <w:szCs w:val="18"/>
              </w:rPr>
            </w:pPr>
            <w:r>
              <w:rPr>
                <w:color w:val="auto"/>
                <w:sz w:val="18"/>
                <w:szCs w:val="18"/>
              </w:rPr>
              <w:t>9</w:t>
            </w:r>
            <w:r>
              <w:rPr>
                <w:rFonts w:hAnsi="宋体"/>
                <w:color w:val="auto"/>
                <w:sz w:val="18"/>
                <w:szCs w:val="18"/>
              </w:rPr>
              <w:t>～</w:t>
            </w:r>
            <w:r>
              <w:rPr>
                <w:color w:val="auto"/>
                <w:sz w:val="18"/>
                <w:szCs w:val="18"/>
              </w:rPr>
              <w:t>12</w:t>
            </w:r>
          </w:p>
        </w:tc>
      </w:tr>
      <w:tr w14:paraId="63399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3" w:hRule="atLeast"/>
          <w:jc w:val="center"/>
        </w:trPr>
        <w:tc>
          <w:tcPr>
            <w:tcW w:w="9127" w:type="dxa"/>
            <w:gridSpan w:val="3"/>
          </w:tcPr>
          <w:p w14:paraId="65F36A77">
            <w:pPr>
              <w:adjustRightInd w:val="0"/>
              <w:snapToGrid w:val="0"/>
              <w:spacing w:before="62" w:beforeLines="20"/>
              <w:ind w:left="517" w:hanging="516" w:hangingChars="287"/>
              <w:rPr>
                <w:color w:val="auto"/>
                <w:sz w:val="18"/>
                <w:szCs w:val="18"/>
              </w:rPr>
            </w:pPr>
            <w:r>
              <w:rPr>
                <w:rFonts w:hAnsi="宋体"/>
                <w:bCs/>
                <w:color w:val="auto"/>
                <w:sz w:val="18"/>
                <w:szCs w:val="18"/>
              </w:rPr>
              <w:t>注</w:t>
            </w:r>
            <w:r>
              <w:rPr>
                <w:color w:val="auto"/>
                <w:sz w:val="18"/>
                <w:szCs w:val="18"/>
              </w:rPr>
              <w:t>1</w:t>
            </w:r>
            <w:r>
              <w:rPr>
                <w:rFonts w:hAnsi="宋体"/>
                <w:bCs/>
                <w:color w:val="auto"/>
                <w:sz w:val="18"/>
                <w:szCs w:val="18"/>
              </w:rPr>
              <w:t>：</w:t>
            </w:r>
            <w:r>
              <w:rPr>
                <w:rFonts w:hAnsi="宋体"/>
                <w:color w:val="auto"/>
                <w:sz w:val="18"/>
                <w:szCs w:val="18"/>
              </w:rPr>
              <w:t>表中</w:t>
            </w:r>
            <w:r>
              <w:rPr>
                <w:iCs/>
                <w:color w:val="auto"/>
                <w:sz w:val="18"/>
                <w:szCs w:val="18"/>
              </w:rPr>
              <w:t>L</w:t>
            </w:r>
            <w:r>
              <w:rPr>
                <w:rFonts w:hAnsi="宋体"/>
                <w:color w:val="auto"/>
                <w:sz w:val="18"/>
                <w:szCs w:val="18"/>
              </w:rPr>
              <w:t>为建筑物长度或沉降缝分隔的单元长度</w:t>
            </w:r>
            <w:r>
              <w:rPr>
                <w:color w:val="auto"/>
                <w:sz w:val="18"/>
                <w:szCs w:val="18"/>
              </w:rPr>
              <w:t>（</w:t>
            </w:r>
            <w:r>
              <w:rPr>
                <w:iCs/>
                <w:color w:val="auto"/>
                <w:sz w:val="18"/>
                <w:szCs w:val="18"/>
              </w:rPr>
              <w:t>m</w:t>
            </w:r>
            <w:r>
              <w:rPr>
                <w:color w:val="auto"/>
                <w:sz w:val="18"/>
                <w:szCs w:val="18"/>
              </w:rPr>
              <w:t>）</w:t>
            </w:r>
            <w:r>
              <w:rPr>
                <w:rFonts w:hAnsi="宋体"/>
                <w:color w:val="auto"/>
                <w:sz w:val="18"/>
                <w:szCs w:val="18"/>
              </w:rPr>
              <w:t>；</w:t>
            </w:r>
            <w:r>
              <w:rPr>
                <w:i/>
                <w:color w:val="auto"/>
                <w:sz w:val="18"/>
                <w:szCs w:val="18"/>
              </w:rPr>
              <w:t>H</w:t>
            </w:r>
            <w:r>
              <w:rPr>
                <w:iCs/>
                <w:color w:val="auto"/>
                <w:sz w:val="18"/>
                <w:szCs w:val="18"/>
                <w:vertAlign w:val="subscript"/>
              </w:rPr>
              <w:t>f</w:t>
            </w:r>
            <w:r>
              <w:rPr>
                <w:rFonts w:hAnsi="宋体"/>
                <w:color w:val="auto"/>
                <w:sz w:val="18"/>
                <w:szCs w:val="18"/>
              </w:rPr>
              <w:t>为自基础底面标高算起至建筑物主要屋面的高度</w:t>
            </w:r>
            <w:r>
              <w:rPr>
                <w:color w:val="auto"/>
                <w:sz w:val="18"/>
                <w:szCs w:val="18"/>
              </w:rPr>
              <w:t>（</w:t>
            </w:r>
            <w:r>
              <w:rPr>
                <w:iCs/>
                <w:color w:val="auto"/>
                <w:sz w:val="18"/>
                <w:szCs w:val="18"/>
              </w:rPr>
              <w:t>m</w:t>
            </w:r>
            <w:r>
              <w:rPr>
                <w:color w:val="auto"/>
                <w:sz w:val="18"/>
                <w:szCs w:val="18"/>
              </w:rPr>
              <w:t>）</w:t>
            </w:r>
            <w:r>
              <w:rPr>
                <w:rFonts w:hAnsi="宋体"/>
                <w:color w:val="auto"/>
                <w:sz w:val="18"/>
                <w:szCs w:val="18"/>
              </w:rPr>
              <w:t>。</w:t>
            </w:r>
          </w:p>
          <w:p w14:paraId="1D6F1746">
            <w:pPr>
              <w:adjustRightInd w:val="0"/>
              <w:snapToGrid w:val="0"/>
              <w:rPr>
                <w:color w:val="auto"/>
                <w:sz w:val="18"/>
                <w:szCs w:val="18"/>
              </w:rPr>
            </w:pPr>
            <w:r>
              <w:rPr>
                <w:color w:val="auto"/>
                <w:sz w:val="18"/>
                <w:szCs w:val="18"/>
              </w:rPr>
              <w:t>注2：</w:t>
            </w:r>
            <w:r>
              <w:rPr>
                <w:rFonts w:hAnsi="宋体"/>
                <w:color w:val="auto"/>
                <w:sz w:val="18"/>
                <w:szCs w:val="18"/>
              </w:rPr>
              <w:t>当被影响建筑物的刚度较好时，其间净距可适当缩小。</w:t>
            </w:r>
          </w:p>
          <w:p w14:paraId="22339CE7">
            <w:pPr>
              <w:adjustRightInd w:val="0"/>
              <w:snapToGrid w:val="0"/>
              <w:rPr>
                <w:color w:val="auto"/>
                <w:sz w:val="18"/>
                <w:szCs w:val="18"/>
              </w:rPr>
            </w:pPr>
            <w:r>
              <w:rPr>
                <w:color w:val="auto"/>
                <w:sz w:val="18"/>
                <w:szCs w:val="18"/>
              </w:rPr>
              <w:t>注3：</w:t>
            </w:r>
            <w:r>
              <w:rPr>
                <w:rFonts w:hAnsi="宋体"/>
                <w:color w:val="auto"/>
                <w:sz w:val="18"/>
                <w:szCs w:val="18"/>
              </w:rPr>
              <w:t>当有下列情况时，可不受表</w:t>
            </w:r>
            <w:r>
              <w:rPr>
                <w:color w:val="auto"/>
                <w:sz w:val="18"/>
                <w:szCs w:val="18"/>
              </w:rPr>
              <w:t>6.3.3</w:t>
            </w:r>
            <w:r>
              <w:rPr>
                <w:rFonts w:hAnsi="宋体"/>
                <w:color w:val="auto"/>
                <w:sz w:val="18"/>
                <w:szCs w:val="18"/>
              </w:rPr>
              <w:t>的限制：</w:t>
            </w:r>
          </w:p>
          <w:p w14:paraId="2F16FCB9">
            <w:pPr>
              <w:adjustRightInd w:val="0"/>
              <w:snapToGrid w:val="0"/>
              <w:ind w:firstLine="613" w:firstLineChars="341"/>
              <w:rPr>
                <w:color w:val="auto"/>
                <w:sz w:val="18"/>
                <w:szCs w:val="18"/>
              </w:rPr>
            </w:pPr>
            <w:r>
              <w:rPr>
                <w:color w:val="auto"/>
                <w:sz w:val="18"/>
                <w:szCs w:val="18"/>
              </w:rPr>
              <w:t xml:space="preserve">1) </w:t>
            </w:r>
            <w:r>
              <w:rPr>
                <w:rFonts w:hAnsi="宋体"/>
                <w:color w:val="auto"/>
                <w:sz w:val="18"/>
                <w:szCs w:val="18"/>
              </w:rPr>
              <w:t>影响建筑物的预估中心沉降量小于</w:t>
            </w:r>
            <w:r>
              <w:rPr>
                <w:color w:val="auto"/>
                <w:sz w:val="18"/>
                <w:szCs w:val="18"/>
              </w:rPr>
              <w:t>40mm</w:t>
            </w:r>
            <w:r>
              <w:rPr>
                <w:rFonts w:hAnsi="宋体"/>
                <w:color w:val="auto"/>
                <w:sz w:val="18"/>
                <w:szCs w:val="18"/>
              </w:rPr>
              <w:t>时；</w:t>
            </w:r>
          </w:p>
          <w:p w14:paraId="7FA2DAC6">
            <w:pPr>
              <w:adjustRightInd w:val="0"/>
              <w:snapToGrid w:val="0"/>
              <w:ind w:firstLine="613" w:firstLineChars="341"/>
              <w:rPr>
                <w:color w:val="auto"/>
                <w:sz w:val="18"/>
                <w:szCs w:val="18"/>
              </w:rPr>
            </w:pPr>
            <w:r>
              <w:rPr>
                <w:color w:val="auto"/>
                <w:sz w:val="18"/>
                <w:szCs w:val="18"/>
              </w:rPr>
              <w:t xml:space="preserve">2) </w:t>
            </w:r>
            <w:r>
              <w:rPr>
                <w:rFonts w:hAnsi="宋体"/>
                <w:color w:val="auto"/>
                <w:sz w:val="18"/>
                <w:szCs w:val="18"/>
              </w:rPr>
              <w:t>当相邻建筑物基础间主要受力层内采用排桩、地下连续墙等隔离措施时。</w:t>
            </w:r>
          </w:p>
          <w:p w14:paraId="026F0C25">
            <w:pPr>
              <w:adjustRightInd w:val="0"/>
              <w:snapToGrid w:val="0"/>
              <w:spacing w:after="62" w:afterLines="20"/>
              <w:rPr>
                <w:color w:val="auto"/>
                <w:sz w:val="18"/>
                <w:szCs w:val="18"/>
              </w:rPr>
            </w:pPr>
            <w:r>
              <w:rPr>
                <w:color w:val="auto"/>
                <w:sz w:val="18"/>
                <w:szCs w:val="18"/>
              </w:rPr>
              <w:t>注4：</w:t>
            </w:r>
            <w:r>
              <w:rPr>
                <w:rFonts w:hAnsi="宋体"/>
                <w:color w:val="auto"/>
                <w:sz w:val="18"/>
                <w:szCs w:val="18"/>
              </w:rPr>
              <w:t>当被影响建筑物属于对变形有严格要求的建筑物时，基础间净距应通过计算确定。</w:t>
            </w:r>
          </w:p>
        </w:tc>
      </w:tr>
    </w:tbl>
    <w:p w14:paraId="322EE48C">
      <w:pPr>
        <w:adjustRightInd w:val="0"/>
        <w:snapToGrid w:val="0"/>
        <w:spacing w:before="120" w:line="340" w:lineRule="exact"/>
        <w:ind w:firstLine="422" w:firstLineChars="200"/>
        <w:rPr>
          <w:color w:val="auto"/>
          <w:szCs w:val="21"/>
        </w:rPr>
      </w:pPr>
      <w:r>
        <w:rPr>
          <w:rFonts w:eastAsia="黑体"/>
          <w:b/>
          <w:bCs/>
          <w:color w:val="auto"/>
          <w:szCs w:val="21"/>
        </w:rPr>
        <w:t>b)</w:t>
      </w:r>
      <w:r>
        <w:rPr>
          <w:color w:val="auto"/>
          <w:szCs w:val="21"/>
        </w:rPr>
        <w:t xml:space="preserve">  </w:t>
      </w:r>
      <w:r>
        <w:rPr>
          <w:rFonts w:hAnsi="宋体"/>
          <w:color w:val="auto"/>
          <w:szCs w:val="21"/>
        </w:rPr>
        <w:t>当被影响建筑物采用桩基础，影响建筑物采用浅埋天然地基时，或当被影响建筑物采用天然地基，影响建筑物采用桩基础时，基础间净距应根据工程具体情况并考虑施工影响后确定，不受表</w:t>
      </w:r>
      <w:r>
        <w:rPr>
          <w:color w:val="auto"/>
          <w:szCs w:val="21"/>
        </w:rPr>
        <w:t>9.3.3</w:t>
      </w:r>
      <w:r>
        <w:rPr>
          <w:rFonts w:hAnsi="宋体"/>
          <w:color w:val="auto"/>
          <w:szCs w:val="21"/>
        </w:rPr>
        <w:t>规定限制。</w:t>
      </w:r>
    </w:p>
    <w:p w14:paraId="7EC924CF">
      <w:pPr>
        <w:adjustRightInd w:val="0"/>
        <w:snapToGrid w:val="0"/>
        <w:spacing w:line="340" w:lineRule="exact"/>
        <w:ind w:firstLine="422" w:firstLineChars="200"/>
        <w:rPr>
          <w:color w:val="auto"/>
          <w:szCs w:val="21"/>
        </w:rPr>
      </w:pPr>
      <w:r>
        <w:rPr>
          <w:rFonts w:eastAsia="黑体"/>
          <w:b/>
          <w:bCs/>
          <w:color w:val="auto"/>
          <w:szCs w:val="21"/>
        </w:rPr>
        <w:t>c)</w:t>
      </w:r>
      <w:r>
        <w:rPr>
          <w:b/>
          <w:bCs/>
          <w:color w:val="auto"/>
          <w:szCs w:val="21"/>
        </w:rPr>
        <w:t xml:space="preserve">  </w:t>
      </w:r>
      <w:r>
        <w:rPr>
          <w:rFonts w:hAnsi="宋体"/>
          <w:color w:val="auto"/>
          <w:szCs w:val="21"/>
        </w:rPr>
        <w:t>在确定相邻建筑物净距时，尚应考虑被影响建筑物的现状。</w:t>
      </w:r>
    </w:p>
    <w:p w14:paraId="5D7A8DD2">
      <w:pPr>
        <w:adjustRightInd w:val="0"/>
        <w:snapToGrid w:val="0"/>
        <w:spacing w:line="340" w:lineRule="exact"/>
        <w:rPr>
          <w:color w:val="auto"/>
          <w:szCs w:val="21"/>
        </w:rPr>
      </w:pPr>
      <w:r>
        <w:rPr>
          <w:rFonts w:eastAsia="黑体"/>
          <w:b/>
          <w:bCs/>
          <w:color w:val="auto"/>
          <w:szCs w:val="21"/>
        </w:rPr>
        <w:t xml:space="preserve">8.3.4  </w:t>
      </w:r>
      <w:r>
        <w:rPr>
          <w:rFonts w:hAnsi="宋体"/>
          <w:color w:val="auto"/>
          <w:szCs w:val="21"/>
        </w:rPr>
        <w:t>建筑物各组成部分的标高，应根据基础的预估沉降值，采取下列相应措施适当调整：</w:t>
      </w:r>
    </w:p>
    <w:p w14:paraId="14CC6011">
      <w:pPr>
        <w:adjustRightInd w:val="0"/>
        <w:snapToGrid w:val="0"/>
        <w:spacing w:line="340" w:lineRule="exact"/>
        <w:ind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室内地坪和地下设施的标高应予以抬高；</w:t>
      </w:r>
    </w:p>
    <w:p w14:paraId="3DB6AC0F">
      <w:pPr>
        <w:adjustRightInd w:val="0"/>
        <w:snapToGrid w:val="0"/>
        <w:spacing w:line="34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建筑物各部分</w:t>
      </w:r>
      <w:r>
        <w:rPr>
          <w:color w:val="auto"/>
          <w:szCs w:val="21"/>
        </w:rPr>
        <w:t>（</w:t>
      </w:r>
      <w:r>
        <w:rPr>
          <w:rFonts w:hAnsi="宋体"/>
          <w:color w:val="auto"/>
          <w:szCs w:val="21"/>
        </w:rPr>
        <w:t>或设备之间</w:t>
      </w:r>
      <w:r>
        <w:rPr>
          <w:color w:val="auto"/>
          <w:szCs w:val="21"/>
        </w:rPr>
        <w:t>）</w:t>
      </w:r>
      <w:r>
        <w:rPr>
          <w:rFonts w:hAnsi="宋体"/>
          <w:color w:val="auto"/>
          <w:szCs w:val="21"/>
        </w:rPr>
        <w:t>使用功能有联系时，可将沉降较大者标高予以提高；</w:t>
      </w:r>
    </w:p>
    <w:p w14:paraId="5F0638E9">
      <w:pPr>
        <w:adjustRightInd w:val="0"/>
        <w:snapToGrid w:val="0"/>
        <w:spacing w:line="340" w:lineRule="exact"/>
        <w:ind w:firstLine="422" w:firstLineChars="200"/>
        <w:rPr>
          <w:color w:val="auto"/>
          <w:szCs w:val="21"/>
        </w:rPr>
      </w:pPr>
      <w:r>
        <w:rPr>
          <w:rFonts w:eastAsia="黑体"/>
          <w:b/>
          <w:bCs/>
          <w:color w:val="auto"/>
          <w:szCs w:val="21"/>
        </w:rPr>
        <w:t xml:space="preserve">c) </w:t>
      </w:r>
      <w:r>
        <w:rPr>
          <w:color w:val="auto"/>
          <w:szCs w:val="21"/>
        </w:rPr>
        <w:t xml:space="preserve"> </w:t>
      </w:r>
      <w:r>
        <w:rPr>
          <w:rFonts w:hAnsi="宋体"/>
          <w:color w:val="auto"/>
          <w:szCs w:val="21"/>
        </w:rPr>
        <w:t>应考虑建筑物与设备之间的沉降差，并留有足够的净空；</w:t>
      </w:r>
    </w:p>
    <w:p w14:paraId="54455928">
      <w:pPr>
        <w:adjustRightInd w:val="0"/>
        <w:snapToGrid w:val="0"/>
        <w:spacing w:line="340" w:lineRule="exact"/>
        <w:ind w:firstLine="422" w:firstLineChars="200"/>
        <w:rPr>
          <w:color w:val="auto"/>
          <w:szCs w:val="21"/>
        </w:rPr>
      </w:pPr>
      <w:r>
        <w:rPr>
          <w:rFonts w:eastAsia="黑体"/>
          <w:b/>
          <w:bCs/>
          <w:color w:val="auto"/>
          <w:szCs w:val="21"/>
        </w:rPr>
        <w:t xml:space="preserve">d) </w:t>
      </w:r>
      <w:r>
        <w:rPr>
          <w:color w:val="auto"/>
          <w:szCs w:val="21"/>
        </w:rPr>
        <w:t xml:space="preserve"> </w:t>
      </w:r>
      <w:r>
        <w:rPr>
          <w:rFonts w:hAnsi="宋体"/>
          <w:color w:val="auto"/>
          <w:szCs w:val="21"/>
        </w:rPr>
        <w:t>建筑物有管道穿过时，应预留足够尺寸的孔洞，管道应采用柔性接头等；</w:t>
      </w:r>
    </w:p>
    <w:p w14:paraId="261C232D">
      <w:pPr>
        <w:adjustRightInd w:val="0"/>
        <w:snapToGrid w:val="0"/>
        <w:spacing w:line="340" w:lineRule="exact"/>
        <w:ind w:left="1" w:firstLine="422" w:firstLineChars="200"/>
        <w:rPr>
          <w:color w:val="auto"/>
          <w:szCs w:val="21"/>
        </w:rPr>
      </w:pPr>
      <w:r>
        <w:rPr>
          <w:rFonts w:eastAsia="黑体"/>
          <w:b/>
          <w:bCs/>
          <w:color w:val="auto"/>
          <w:szCs w:val="21"/>
        </w:rPr>
        <w:t xml:space="preserve">e) </w:t>
      </w:r>
      <w:r>
        <w:rPr>
          <w:color w:val="auto"/>
          <w:szCs w:val="21"/>
        </w:rPr>
        <w:t xml:space="preserve"> </w:t>
      </w:r>
      <w:r>
        <w:rPr>
          <w:rFonts w:hAnsi="宋体"/>
          <w:color w:val="auto"/>
          <w:szCs w:val="21"/>
        </w:rPr>
        <w:t>必要时，可在建</w:t>
      </w:r>
      <w:r>
        <w:rPr>
          <w:color w:val="auto"/>
          <w:szCs w:val="21"/>
        </w:rPr>
        <w:t>（</w:t>
      </w:r>
      <w:r>
        <w:rPr>
          <w:rFonts w:hAnsi="宋体"/>
          <w:color w:val="auto"/>
          <w:szCs w:val="21"/>
        </w:rPr>
        <w:t>构</w:t>
      </w:r>
      <w:r>
        <w:rPr>
          <w:color w:val="auto"/>
          <w:szCs w:val="21"/>
        </w:rPr>
        <w:t>）</w:t>
      </w:r>
      <w:r>
        <w:rPr>
          <w:rFonts w:hAnsi="宋体"/>
          <w:color w:val="auto"/>
          <w:szCs w:val="21"/>
        </w:rPr>
        <w:t>筑物</w:t>
      </w:r>
      <w:r>
        <w:rPr>
          <w:color w:val="auto"/>
          <w:szCs w:val="21"/>
        </w:rPr>
        <w:t>（</w:t>
      </w:r>
      <w:r>
        <w:rPr>
          <w:rFonts w:hAnsi="宋体"/>
          <w:color w:val="auto"/>
          <w:szCs w:val="21"/>
        </w:rPr>
        <w:t>如</w:t>
      </w:r>
      <w:r>
        <w:rPr>
          <w:rFonts w:hint="eastAsia" w:hAnsi="宋体"/>
          <w:color w:val="auto"/>
          <w:szCs w:val="21"/>
        </w:rPr>
        <w:t>钢结构等</w:t>
      </w:r>
      <w:r>
        <w:rPr>
          <w:color w:val="auto"/>
          <w:szCs w:val="21"/>
        </w:rPr>
        <w:t>）</w:t>
      </w:r>
      <w:r>
        <w:rPr>
          <w:rFonts w:hAnsi="宋体"/>
          <w:color w:val="auto"/>
          <w:szCs w:val="21"/>
        </w:rPr>
        <w:t>的</w:t>
      </w:r>
      <w:r>
        <w:rPr>
          <w:rFonts w:hint="eastAsia" w:hAnsi="宋体"/>
          <w:color w:val="auto"/>
          <w:szCs w:val="21"/>
        </w:rPr>
        <w:t>竖向</w:t>
      </w:r>
      <w:r>
        <w:rPr>
          <w:rFonts w:hAnsi="宋体"/>
          <w:color w:val="auto"/>
          <w:szCs w:val="21"/>
        </w:rPr>
        <w:t>承重构件中，设置千斤顶支座，以备将来调整标高时安设千斤顶。</w:t>
      </w:r>
    </w:p>
    <w:p w14:paraId="174A70ED">
      <w:pPr>
        <w:adjustRightInd w:val="0"/>
        <w:snapToGrid w:val="0"/>
        <w:spacing w:line="340" w:lineRule="exact"/>
        <w:jc w:val="center"/>
        <w:rPr>
          <w:rFonts w:eastAsia="黑体"/>
          <w:b/>
          <w:bCs/>
          <w:color w:val="auto"/>
          <w:szCs w:val="21"/>
        </w:rPr>
      </w:pPr>
    </w:p>
    <w:p w14:paraId="244FB601">
      <w:pPr>
        <w:adjustRightInd w:val="0"/>
        <w:snapToGrid w:val="0"/>
        <w:spacing w:line="340" w:lineRule="exact"/>
        <w:outlineLvl w:val="1"/>
        <w:rPr>
          <w:rFonts w:eastAsia="黑体"/>
          <w:b/>
          <w:bCs/>
          <w:color w:val="auto"/>
          <w:szCs w:val="21"/>
        </w:rPr>
      </w:pPr>
      <w:bookmarkStart w:id="22" w:name="_Toc199943584"/>
      <w:r>
        <w:rPr>
          <w:rFonts w:eastAsia="黑体"/>
          <w:b/>
          <w:bCs/>
          <w:color w:val="auto"/>
          <w:szCs w:val="21"/>
        </w:rPr>
        <w:t>8.4  结构措施</w:t>
      </w:r>
      <w:bookmarkEnd w:id="22"/>
    </w:p>
    <w:p w14:paraId="11122E92">
      <w:pPr>
        <w:adjustRightInd w:val="0"/>
        <w:snapToGrid w:val="0"/>
        <w:jc w:val="center"/>
        <w:rPr>
          <w:color w:val="auto"/>
          <w:szCs w:val="21"/>
        </w:rPr>
      </w:pPr>
    </w:p>
    <w:p w14:paraId="527572FC">
      <w:pPr>
        <w:adjustRightInd w:val="0"/>
        <w:snapToGrid w:val="0"/>
        <w:spacing w:line="340" w:lineRule="exact"/>
        <w:rPr>
          <w:color w:val="auto"/>
          <w:szCs w:val="21"/>
        </w:rPr>
      </w:pPr>
      <w:r>
        <w:rPr>
          <w:rFonts w:eastAsia="黑体"/>
          <w:b/>
          <w:bCs/>
          <w:color w:val="auto"/>
          <w:szCs w:val="21"/>
        </w:rPr>
        <w:t xml:space="preserve">8.4.1  </w:t>
      </w:r>
      <w:r>
        <w:rPr>
          <w:rFonts w:hAnsi="宋体"/>
          <w:color w:val="auto"/>
          <w:szCs w:val="21"/>
        </w:rPr>
        <w:t>根据不同结构型式和地质条件，可按下述条件选用处理方案：</w:t>
      </w:r>
    </w:p>
    <w:p w14:paraId="2D596CCF">
      <w:pPr>
        <w:adjustRightInd w:val="0"/>
        <w:snapToGrid w:val="0"/>
        <w:spacing w:line="340" w:lineRule="exact"/>
        <w:ind w:left="1"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对于地层较均匀，建筑体型较规则，荷载或荷载差异不大的建筑物，可采用加强基础整体刚度的方法，如采用交叉梁系基础，筏板基础或箱形基础等；</w:t>
      </w:r>
    </w:p>
    <w:p w14:paraId="6BFFABED">
      <w:pPr>
        <w:adjustRightInd w:val="0"/>
        <w:snapToGrid w:val="0"/>
        <w:spacing w:line="340" w:lineRule="exact"/>
        <w:ind w:left="1"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当条件许可时，可采用加大基础埋深，设置半地下室或地下室的补偿基础，采用覆土少、自重轻的基础形式；</w:t>
      </w:r>
    </w:p>
    <w:p w14:paraId="2A271EAC">
      <w:pPr>
        <w:adjustRightInd w:val="0"/>
        <w:snapToGrid w:val="0"/>
        <w:spacing w:line="340" w:lineRule="exact"/>
        <w:rPr>
          <w:color w:val="auto"/>
          <w:szCs w:val="21"/>
        </w:rPr>
      </w:pPr>
      <w:r>
        <w:rPr>
          <w:color w:val="auto"/>
          <w:szCs w:val="21"/>
        </w:rPr>
        <w:t xml:space="preserve">   </w:t>
      </w:r>
      <w:r>
        <w:rPr>
          <w:rFonts w:eastAsia="黑体"/>
          <w:b/>
          <w:bCs/>
          <w:color w:val="auto"/>
          <w:szCs w:val="21"/>
        </w:rPr>
        <w:t xml:space="preserve"> c) </w:t>
      </w:r>
      <w:r>
        <w:rPr>
          <w:color w:val="auto"/>
          <w:szCs w:val="21"/>
        </w:rPr>
        <w:t xml:space="preserve"> </w:t>
      </w:r>
      <w:r>
        <w:rPr>
          <w:rFonts w:hAnsi="宋体"/>
          <w:color w:val="auto"/>
          <w:szCs w:val="21"/>
        </w:rPr>
        <w:t>当地基承载力或变形不能满足设计要求时，宜对地基进行处理，可选用机械压</w:t>
      </w:r>
      <w:r>
        <w:rPr>
          <w:color w:val="auto"/>
          <w:szCs w:val="21"/>
        </w:rPr>
        <w:t>（</w:t>
      </w:r>
      <w:r>
        <w:rPr>
          <w:rFonts w:hAnsi="宋体"/>
          <w:color w:val="auto"/>
          <w:szCs w:val="21"/>
        </w:rPr>
        <w:t>夯</w:t>
      </w:r>
      <w:r>
        <w:rPr>
          <w:color w:val="auto"/>
          <w:szCs w:val="21"/>
        </w:rPr>
        <w:t>）</w:t>
      </w:r>
      <w:r>
        <w:rPr>
          <w:rFonts w:hAnsi="宋体"/>
          <w:color w:val="auto"/>
          <w:szCs w:val="21"/>
        </w:rPr>
        <w:t>实、换填垫层或复合地基等方法；</w:t>
      </w:r>
    </w:p>
    <w:p w14:paraId="3656C44F">
      <w:pPr>
        <w:adjustRightInd w:val="0"/>
        <w:snapToGrid w:val="0"/>
        <w:spacing w:line="340" w:lineRule="exact"/>
        <w:ind w:left="1" w:firstLine="422" w:firstLineChars="200"/>
        <w:rPr>
          <w:rFonts w:hAnsi="宋体"/>
          <w:color w:val="auto"/>
          <w:szCs w:val="21"/>
        </w:rPr>
      </w:pPr>
      <w:r>
        <w:rPr>
          <w:rFonts w:eastAsia="黑体"/>
          <w:b/>
          <w:bCs/>
          <w:color w:val="auto"/>
          <w:szCs w:val="21"/>
        </w:rPr>
        <w:t xml:space="preserve">d) </w:t>
      </w:r>
      <w:r>
        <w:rPr>
          <w:color w:val="auto"/>
          <w:szCs w:val="21"/>
        </w:rPr>
        <w:t xml:space="preserve"> </w:t>
      </w:r>
      <w:r>
        <w:rPr>
          <w:rFonts w:hAnsi="宋体"/>
          <w:color w:val="auto"/>
          <w:szCs w:val="21"/>
        </w:rPr>
        <w:t>对于地质条件复杂，建筑体型复杂、荷载或荷载差异较大的建筑物，可采用桩基</w:t>
      </w:r>
      <w:r>
        <w:rPr>
          <w:rFonts w:hint="eastAsia" w:hAnsi="宋体"/>
          <w:color w:val="auto"/>
          <w:szCs w:val="21"/>
        </w:rPr>
        <w:t>；</w:t>
      </w:r>
    </w:p>
    <w:p w14:paraId="155C7E16">
      <w:pPr>
        <w:adjustRightInd w:val="0"/>
        <w:snapToGrid w:val="0"/>
        <w:spacing w:line="340" w:lineRule="exact"/>
        <w:ind w:left="1" w:firstLine="422" w:firstLineChars="200"/>
        <w:rPr>
          <w:color w:val="auto"/>
          <w:szCs w:val="21"/>
        </w:rPr>
      </w:pPr>
      <w:r>
        <w:rPr>
          <w:rFonts w:eastAsia="黑体"/>
          <w:b/>
          <w:bCs/>
          <w:color w:val="auto"/>
          <w:szCs w:val="21"/>
        </w:rPr>
        <w:t>e)</w:t>
      </w:r>
      <w:r>
        <w:rPr>
          <w:rFonts w:hint="eastAsia" w:eastAsia="黑体"/>
          <w:b/>
          <w:bCs/>
          <w:color w:val="auto"/>
          <w:szCs w:val="21"/>
        </w:rPr>
        <w:t xml:space="preserve">  </w:t>
      </w:r>
      <w:r>
        <w:rPr>
          <w:rFonts w:hint="eastAsia" w:hAnsi="宋体"/>
          <w:color w:val="auto"/>
          <w:szCs w:val="21"/>
        </w:rPr>
        <w:t>同一结构单元不应采用不同基础型式。自承重砌体墙及外阳台不应支承在未经处理的填土或软土上。</w:t>
      </w:r>
    </w:p>
    <w:p w14:paraId="53F2C54C">
      <w:pPr>
        <w:adjustRightInd w:val="0"/>
        <w:snapToGrid w:val="0"/>
        <w:spacing w:line="340" w:lineRule="exact"/>
        <w:rPr>
          <w:color w:val="auto"/>
          <w:szCs w:val="21"/>
        </w:rPr>
      </w:pPr>
      <w:r>
        <w:rPr>
          <w:rFonts w:eastAsia="黑体"/>
          <w:b/>
          <w:bCs/>
          <w:color w:val="auto"/>
          <w:szCs w:val="21"/>
        </w:rPr>
        <w:t xml:space="preserve">8.4.2  </w:t>
      </w:r>
      <w:r>
        <w:rPr>
          <w:rFonts w:hAnsi="宋体"/>
          <w:color w:val="auto"/>
          <w:szCs w:val="21"/>
        </w:rPr>
        <w:t>为减少建筑物沉降和不均匀沉降，可采用下列措施：</w:t>
      </w:r>
    </w:p>
    <w:p w14:paraId="24DA610A">
      <w:pPr>
        <w:adjustRightInd w:val="0"/>
        <w:snapToGrid w:val="0"/>
        <w:spacing w:line="340" w:lineRule="exact"/>
        <w:ind w:firstLine="413" w:firstLineChars="196"/>
        <w:rPr>
          <w:color w:val="auto"/>
          <w:szCs w:val="21"/>
        </w:rPr>
      </w:pPr>
      <w:r>
        <w:rPr>
          <w:rFonts w:eastAsia="黑体"/>
          <w:b/>
          <w:bCs/>
          <w:color w:val="auto"/>
          <w:szCs w:val="21"/>
        </w:rPr>
        <w:t xml:space="preserve">a) </w:t>
      </w:r>
      <w:r>
        <w:rPr>
          <w:color w:val="auto"/>
          <w:szCs w:val="21"/>
        </w:rPr>
        <w:t xml:space="preserve"> </w:t>
      </w:r>
      <w:r>
        <w:rPr>
          <w:rFonts w:hAnsi="宋体"/>
          <w:color w:val="auto"/>
          <w:szCs w:val="21"/>
        </w:rPr>
        <w:t>选用轻型结构，减轻墙体自重，采用架空地板代替填土；</w:t>
      </w:r>
    </w:p>
    <w:p w14:paraId="679E8FAD">
      <w:pPr>
        <w:adjustRightInd w:val="0"/>
        <w:snapToGrid w:val="0"/>
        <w:spacing w:line="340" w:lineRule="exact"/>
        <w:ind w:firstLine="434"/>
        <w:rPr>
          <w:color w:val="auto"/>
          <w:szCs w:val="21"/>
        </w:rPr>
      </w:pPr>
      <w:r>
        <w:rPr>
          <w:rFonts w:eastAsia="黑体"/>
          <w:b/>
          <w:bCs/>
          <w:color w:val="auto"/>
          <w:szCs w:val="21"/>
        </w:rPr>
        <w:t xml:space="preserve">b) </w:t>
      </w:r>
      <w:r>
        <w:rPr>
          <w:color w:val="auto"/>
          <w:szCs w:val="21"/>
        </w:rPr>
        <w:t xml:space="preserve"> </w:t>
      </w:r>
      <w:r>
        <w:rPr>
          <w:rFonts w:hAnsi="宋体"/>
          <w:color w:val="auto"/>
          <w:szCs w:val="21"/>
        </w:rPr>
        <w:t>调整各部分的荷载分布、基础宽度或埋置深度；</w:t>
      </w:r>
    </w:p>
    <w:p w14:paraId="7FEDDABC">
      <w:pPr>
        <w:adjustRightInd w:val="0"/>
        <w:snapToGrid w:val="0"/>
        <w:spacing w:line="340" w:lineRule="exact"/>
        <w:ind w:firstLine="434"/>
        <w:rPr>
          <w:color w:val="auto"/>
          <w:szCs w:val="21"/>
        </w:rPr>
      </w:pPr>
      <w:r>
        <w:rPr>
          <w:rFonts w:eastAsia="黑体"/>
          <w:b/>
          <w:bCs/>
          <w:color w:val="auto"/>
          <w:szCs w:val="21"/>
        </w:rPr>
        <w:t>c)</w:t>
      </w:r>
      <w:r>
        <w:rPr>
          <w:b/>
          <w:bCs/>
          <w:color w:val="auto"/>
          <w:szCs w:val="21"/>
        </w:rPr>
        <w:t xml:space="preserve">  </w:t>
      </w:r>
      <w:r>
        <w:rPr>
          <w:rFonts w:hAnsi="宋体"/>
          <w:color w:val="auto"/>
          <w:szCs w:val="21"/>
        </w:rPr>
        <w:t>加强基础及上部结构刚度。</w:t>
      </w:r>
    </w:p>
    <w:p w14:paraId="0A172FD2">
      <w:pPr>
        <w:adjustRightInd w:val="0"/>
        <w:snapToGrid w:val="0"/>
        <w:spacing w:line="340" w:lineRule="exact"/>
        <w:rPr>
          <w:color w:val="auto"/>
          <w:szCs w:val="21"/>
        </w:rPr>
      </w:pPr>
      <w:r>
        <w:rPr>
          <w:rFonts w:eastAsia="黑体"/>
          <w:b/>
          <w:bCs/>
          <w:color w:val="auto"/>
          <w:szCs w:val="21"/>
        </w:rPr>
        <w:t xml:space="preserve">8.4.3  </w:t>
      </w:r>
      <w:r>
        <w:rPr>
          <w:rFonts w:hAnsi="宋体"/>
          <w:color w:val="auto"/>
          <w:szCs w:val="21"/>
        </w:rPr>
        <w:t>对于砌体承重结构的房屋，宜采用下列措施增强整体刚度和强度：</w:t>
      </w:r>
    </w:p>
    <w:p w14:paraId="173AFCCE">
      <w:pPr>
        <w:adjustRightInd w:val="0"/>
        <w:snapToGrid w:val="0"/>
        <w:spacing w:line="340" w:lineRule="exact"/>
        <w:ind w:left="1" w:firstLine="422" w:firstLineChars="200"/>
        <w:rPr>
          <w:color w:val="auto"/>
          <w:spacing w:val="-2"/>
          <w:szCs w:val="21"/>
        </w:rPr>
      </w:pPr>
      <w:r>
        <w:rPr>
          <w:rFonts w:eastAsia="黑体"/>
          <w:b/>
          <w:bCs/>
          <w:color w:val="auto"/>
          <w:szCs w:val="21"/>
        </w:rPr>
        <w:t xml:space="preserve">a) </w:t>
      </w:r>
      <w:r>
        <w:rPr>
          <w:color w:val="auto"/>
          <w:szCs w:val="21"/>
        </w:rPr>
        <w:t xml:space="preserve"> </w:t>
      </w:r>
      <w:r>
        <w:rPr>
          <w:rFonts w:hAnsi="宋体"/>
          <w:color w:val="auto"/>
          <w:szCs w:val="21"/>
        </w:rPr>
        <w:t>对</w:t>
      </w:r>
      <w:r>
        <w:rPr>
          <w:rFonts w:hAnsi="宋体"/>
          <w:color w:val="auto"/>
          <w:spacing w:val="-2"/>
          <w:szCs w:val="21"/>
        </w:rPr>
        <w:t>于三层和三层以上的房屋，其长高比</w:t>
      </w:r>
      <w:r>
        <w:rPr>
          <w:i/>
          <w:color w:val="auto"/>
          <w:spacing w:val="-2"/>
          <w:szCs w:val="21"/>
        </w:rPr>
        <w:t>L</w:t>
      </w:r>
      <w:r>
        <w:rPr>
          <w:color w:val="auto"/>
          <w:spacing w:val="-2"/>
          <w:szCs w:val="21"/>
        </w:rPr>
        <w:t>/</w:t>
      </w:r>
      <w:r>
        <w:rPr>
          <w:i/>
          <w:color w:val="auto"/>
          <w:spacing w:val="-2"/>
          <w:szCs w:val="21"/>
        </w:rPr>
        <w:t>H</w:t>
      </w:r>
      <w:r>
        <w:rPr>
          <w:iCs/>
          <w:color w:val="auto"/>
          <w:spacing w:val="-2"/>
          <w:szCs w:val="21"/>
          <w:vertAlign w:val="subscript"/>
        </w:rPr>
        <w:t>f</w:t>
      </w:r>
      <w:r>
        <w:rPr>
          <w:rFonts w:hAnsi="宋体"/>
          <w:color w:val="auto"/>
          <w:spacing w:val="-2"/>
          <w:szCs w:val="21"/>
        </w:rPr>
        <w:t>不宜大于</w:t>
      </w:r>
      <w:r>
        <w:rPr>
          <w:color w:val="auto"/>
          <w:spacing w:val="-2"/>
          <w:szCs w:val="21"/>
        </w:rPr>
        <w:t>2.5</w:t>
      </w:r>
      <w:r>
        <w:rPr>
          <w:rFonts w:hAnsi="宋体"/>
          <w:color w:val="auto"/>
          <w:spacing w:val="-2"/>
          <w:szCs w:val="21"/>
        </w:rPr>
        <w:t>；当房屋的长高比为</w:t>
      </w:r>
      <w:r>
        <w:rPr>
          <w:color w:val="auto"/>
          <w:spacing w:val="-2"/>
          <w:szCs w:val="21"/>
        </w:rPr>
        <w:t>2.5</w:t>
      </w:r>
      <w:r>
        <w:rPr>
          <w:rFonts w:hAnsi="宋体"/>
          <w:color w:val="auto"/>
          <w:spacing w:val="-2"/>
          <w:szCs w:val="21"/>
        </w:rPr>
        <w:t>＜</w:t>
      </w:r>
      <w:r>
        <w:rPr>
          <w:i/>
          <w:color w:val="auto"/>
          <w:spacing w:val="-2"/>
          <w:szCs w:val="21"/>
        </w:rPr>
        <w:t>L</w:t>
      </w:r>
      <w:r>
        <w:rPr>
          <w:color w:val="auto"/>
          <w:spacing w:val="-2"/>
          <w:szCs w:val="21"/>
        </w:rPr>
        <w:t>/</w:t>
      </w:r>
      <w:r>
        <w:rPr>
          <w:i/>
          <w:color w:val="auto"/>
          <w:spacing w:val="-2"/>
          <w:szCs w:val="21"/>
        </w:rPr>
        <w:t>H</w:t>
      </w:r>
      <w:r>
        <w:rPr>
          <w:iCs/>
          <w:color w:val="auto"/>
          <w:spacing w:val="-2"/>
          <w:szCs w:val="21"/>
          <w:vertAlign w:val="subscript"/>
        </w:rPr>
        <w:t>f</w:t>
      </w:r>
      <w:r>
        <w:rPr>
          <w:color w:val="auto"/>
          <w:spacing w:val="-2"/>
          <w:szCs w:val="21"/>
        </w:rPr>
        <w:t>≤3.0</w:t>
      </w:r>
      <w:r>
        <w:rPr>
          <w:rFonts w:hAnsi="宋体"/>
          <w:color w:val="auto"/>
          <w:spacing w:val="-2"/>
          <w:szCs w:val="21"/>
        </w:rPr>
        <w:t>时，宜合理布置纵横墙，做到纵横墙不转折或少转折，并应控制其内横墙间距或增强基础刚度和强度。当房屋的预估最大沉降量不大于</w:t>
      </w:r>
      <w:r>
        <w:rPr>
          <w:color w:val="auto"/>
          <w:spacing w:val="-2"/>
          <w:szCs w:val="21"/>
        </w:rPr>
        <w:t>120mm</w:t>
      </w:r>
      <w:r>
        <w:rPr>
          <w:rFonts w:hAnsi="宋体"/>
          <w:color w:val="auto"/>
          <w:spacing w:val="-2"/>
          <w:szCs w:val="21"/>
        </w:rPr>
        <w:t>时，其长高比可适当放宽。</w:t>
      </w:r>
    </w:p>
    <w:p w14:paraId="639A3735">
      <w:pPr>
        <w:adjustRightInd w:val="0"/>
        <w:snapToGrid w:val="0"/>
        <w:spacing w:line="34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墙体内宜设置钢筋混凝土圈梁。</w:t>
      </w:r>
    </w:p>
    <w:p w14:paraId="4FBCDDB3">
      <w:pPr>
        <w:adjustRightInd w:val="0"/>
        <w:snapToGrid w:val="0"/>
        <w:spacing w:line="340" w:lineRule="exact"/>
        <w:ind w:firstLine="422" w:firstLineChars="200"/>
        <w:rPr>
          <w:color w:val="auto"/>
          <w:szCs w:val="21"/>
        </w:rPr>
      </w:pPr>
      <w:r>
        <w:rPr>
          <w:rFonts w:eastAsia="黑体"/>
          <w:b/>
          <w:bCs/>
          <w:color w:val="auto"/>
          <w:szCs w:val="21"/>
        </w:rPr>
        <w:t xml:space="preserve">c) </w:t>
      </w:r>
      <w:r>
        <w:rPr>
          <w:color w:val="auto"/>
          <w:szCs w:val="21"/>
        </w:rPr>
        <w:t xml:space="preserve"> </w:t>
      </w:r>
      <w:r>
        <w:rPr>
          <w:rFonts w:hAnsi="宋体"/>
          <w:color w:val="auto"/>
          <w:szCs w:val="21"/>
        </w:rPr>
        <w:t>在墙体上开洞时，宜在开洞部位采用构造柱及圈梁加强。</w:t>
      </w:r>
    </w:p>
    <w:p w14:paraId="12A43E14">
      <w:pPr>
        <w:adjustRightInd w:val="0"/>
        <w:snapToGrid w:val="0"/>
        <w:spacing w:line="340" w:lineRule="exact"/>
        <w:rPr>
          <w:color w:val="auto"/>
          <w:szCs w:val="21"/>
        </w:rPr>
      </w:pPr>
      <w:r>
        <w:rPr>
          <w:rFonts w:eastAsia="黑体"/>
          <w:b/>
          <w:bCs/>
          <w:color w:val="auto"/>
          <w:szCs w:val="21"/>
        </w:rPr>
        <w:t xml:space="preserve">8.4.4  </w:t>
      </w:r>
      <w:r>
        <w:rPr>
          <w:rFonts w:hAnsi="宋体"/>
          <w:color w:val="auto"/>
          <w:szCs w:val="21"/>
        </w:rPr>
        <w:t>圈梁应按下列要求设置：</w:t>
      </w:r>
    </w:p>
    <w:p w14:paraId="5F79B2CD">
      <w:pPr>
        <w:adjustRightInd w:val="0"/>
        <w:snapToGrid w:val="0"/>
        <w:spacing w:line="330" w:lineRule="exact"/>
        <w:ind w:left="1"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在多层房屋的基础和顶层处应各设置一道圈梁，其他各层亦</w:t>
      </w:r>
      <w:r>
        <w:rPr>
          <w:rFonts w:hint="eastAsia" w:hAnsi="宋体"/>
          <w:color w:val="auto"/>
          <w:szCs w:val="21"/>
        </w:rPr>
        <w:t>应</w:t>
      </w:r>
      <w:r>
        <w:rPr>
          <w:rFonts w:hAnsi="宋体"/>
          <w:color w:val="auto"/>
          <w:szCs w:val="21"/>
        </w:rPr>
        <w:t>每层设置圈梁。单层工业厂房、仓库可结合基础梁、联系梁、过梁等酌情设置；</w:t>
      </w:r>
    </w:p>
    <w:p w14:paraId="55A069BF">
      <w:pPr>
        <w:adjustRightInd w:val="0"/>
        <w:snapToGrid w:val="0"/>
        <w:spacing w:line="33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圈梁应设置在外墙、内纵墙和主要内横墙上，且宜在平面内连成封闭系统。</w:t>
      </w:r>
    </w:p>
    <w:p w14:paraId="174F59DE">
      <w:pPr>
        <w:adjustRightInd w:val="0"/>
        <w:snapToGrid w:val="0"/>
        <w:spacing w:line="330" w:lineRule="exact"/>
        <w:rPr>
          <w:color w:val="auto"/>
          <w:szCs w:val="21"/>
        </w:rPr>
      </w:pPr>
      <w:r>
        <w:rPr>
          <w:rFonts w:eastAsia="黑体"/>
          <w:b/>
          <w:bCs/>
          <w:color w:val="auto"/>
          <w:szCs w:val="21"/>
        </w:rPr>
        <w:t xml:space="preserve">8.4.5  </w:t>
      </w:r>
      <w:r>
        <w:rPr>
          <w:rFonts w:hAnsi="宋体"/>
          <w:color w:val="auto"/>
          <w:szCs w:val="21"/>
        </w:rPr>
        <w:t>当建筑物的长高比大于</w:t>
      </w:r>
      <w:r>
        <w:rPr>
          <w:color w:val="auto"/>
          <w:szCs w:val="21"/>
        </w:rPr>
        <w:t>2.5</w:t>
      </w:r>
      <w:r>
        <w:rPr>
          <w:rFonts w:hAnsi="宋体"/>
          <w:color w:val="auto"/>
          <w:szCs w:val="21"/>
        </w:rPr>
        <w:t>时，为减少房屋中部沉降，宜采用下列措施：</w:t>
      </w:r>
    </w:p>
    <w:p w14:paraId="14F77E92">
      <w:pPr>
        <w:adjustRightInd w:val="0"/>
        <w:snapToGrid w:val="0"/>
        <w:spacing w:line="330" w:lineRule="exact"/>
        <w:ind w:left="1"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当采用筏板基础时，纵向两端宜少挑出，其挑出的长度从轴线算起一般不宜大于</w:t>
      </w:r>
      <w:r>
        <w:rPr>
          <w:color w:val="auto"/>
          <w:szCs w:val="21"/>
        </w:rPr>
        <w:t>1000mm</w:t>
      </w:r>
      <w:r>
        <w:rPr>
          <w:rFonts w:hAnsi="宋体"/>
          <w:color w:val="auto"/>
          <w:szCs w:val="21"/>
        </w:rPr>
        <w:t>。横向挑出可为不等宽，即中部较宽，两端较窄，当横向挑出长度大于</w:t>
      </w:r>
      <w:r>
        <w:rPr>
          <w:color w:val="auto"/>
          <w:szCs w:val="21"/>
        </w:rPr>
        <w:t>1500mm</w:t>
      </w:r>
      <w:r>
        <w:rPr>
          <w:rFonts w:hAnsi="宋体"/>
          <w:color w:val="auto"/>
          <w:szCs w:val="21"/>
        </w:rPr>
        <w:t>时，宜增设基础挑梁。</w:t>
      </w:r>
    </w:p>
    <w:p w14:paraId="009A871F">
      <w:pPr>
        <w:adjustRightInd w:val="0"/>
        <w:snapToGrid w:val="0"/>
        <w:spacing w:line="33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其他类型基础宜采取降低建筑物中部基底附加应力的措施。</w:t>
      </w:r>
    </w:p>
    <w:p w14:paraId="1D6BA4F3">
      <w:pPr>
        <w:adjustRightInd w:val="0"/>
        <w:snapToGrid w:val="0"/>
        <w:spacing w:line="330" w:lineRule="exact"/>
        <w:rPr>
          <w:color w:val="auto"/>
          <w:szCs w:val="21"/>
        </w:rPr>
      </w:pPr>
      <w:r>
        <w:rPr>
          <w:rFonts w:eastAsia="黑体"/>
          <w:b/>
          <w:bCs/>
          <w:color w:val="auto"/>
          <w:szCs w:val="21"/>
        </w:rPr>
        <w:t xml:space="preserve">8.4.6  </w:t>
      </w:r>
      <w:r>
        <w:rPr>
          <w:rFonts w:hAnsi="宋体"/>
          <w:color w:val="auto"/>
          <w:szCs w:val="21"/>
        </w:rPr>
        <w:t>当沉降缝设置在建筑物中部时，宜采用下列措施：</w:t>
      </w:r>
    </w:p>
    <w:p w14:paraId="4D2C5C44">
      <w:pPr>
        <w:adjustRightInd w:val="0"/>
        <w:snapToGrid w:val="0"/>
        <w:spacing w:line="330" w:lineRule="exact"/>
        <w:ind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邻近沉降缝两边的上部结构宜选用轻质材料，减轻墙体自重，采用架空地板代替室内填土。</w:t>
      </w:r>
    </w:p>
    <w:p w14:paraId="213C1D97">
      <w:pPr>
        <w:adjustRightInd w:val="0"/>
        <w:snapToGrid w:val="0"/>
        <w:spacing w:line="33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邻近沉降缝两边的基础可选用较小的基底压力。</w:t>
      </w:r>
    </w:p>
    <w:p w14:paraId="65A88C14">
      <w:pPr>
        <w:adjustRightInd w:val="0"/>
        <w:snapToGrid w:val="0"/>
        <w:spacing w:line="330" w:lineRule="exact"/>
        <w:rPr>
          <w:color w:val="auto"/>
          <w:szCs w:val="21"/>
        </w:rPr>
      </w:pPr>
      <w:r>
        <w:rPr>
          <w:rFonts w:eastAsia="黑体"/>
          <w:b/>
          <w:bCs/>
          <w:color w:val="auto"/>
          <w:szCs w:val="21"/>
        </w:rPr>
        <w:t xml:space="preserve">8.4.7  </w:t>
      </w:r>
      <w:r>
        <w:rPr>
          <w:rFonts w:hAnsi="宋体"/>
          <w:color w:val="auto"/>
          <w:szCs w:val="21"/>
        </w:rPr>
        <w:t>当采用地下室和箱形基础作为补偿基础时，可采用灌水等预压措施，灌水预压时间可结合沉降观测确定，并宜控制基底最大压力不大于地基承载力特征值。</w:t>
      </w:r>
    </w:p>
    <w:p w14:paraId="21B86063">
      <w:pPr>
        <w:adjustRightInd w:val="0"/>
        <w:snapToGrid w:val="0"/>
        <w:spacing w:line="330" w:lineRule="exact"/>
        <w:rPr>
          <w:rFonts w:hAnsi="宋体"/>
          <w:color w:val="auto"/>
          <w:szCs w:val="21"/>
        </w:rPr>
      </w:pPr>
      <w:r>
        <w:rPr>
          <w:rFonts w:eastAsia="黑体"/>
          <w:b/>
          <w:bCs/>
          <w:color w:val="auto"/>
          <w:szCs w:val="21"/>
        </w:rPr>
        <w:t xml:space="preserve">8.4.8  </w:t>
      </w:r>
      <w:r>
        <w:rPr>
          <w:rFonts w:hAnsi="宋体"/>
          <w:color w:val="auto"/>
          <w:szCs w:val="21"/>
        </w:rPr>
        <w:t>当建筑物与其邻接的附房</w:t>
      </w:r>
      <w:r>
        <w:rPr>
          <w:color w:val="auto"/>
          <w:szCs w:val="21"/>
        </w:rPr>
        <w:t>（</w:t>
      </w:r>
      <w:r>
        <w:rPr>
          <w:rFonts w:hAnsi="宋体"/>
          <w:color w:val="auto"/>
          <w:szCs w:val="21"/>
        </w:rPr>
        <w:t>如门罩、连廊及低层用房等</w:t>
      </w:r>
      <w:r>
        <w:rPr>
          <w:color w:val="auto"/>
          <w:szCs w:val="21"/>
        </w:rPr>
        <w:t>）</w:t>
      </w:r>
      <w:r>
        <w:rPr>
          <w:rFonts w:hAnsi="宋体"/>
          <w:color w:val="auto"/>
          <w:szCs w:val="21"/>
        </w:rPr>
        <w:t>用沉降缝分隔时，附房基础方案的选择，应考虑附房沉降与主楼相协调。</w:t>
      </w:r>
    </w:p>
    <w:p w14:paraId="74151488">
      <w:pPr>
        <w:adjustRightInd w:val="0"/>
        <w:snapToGrid w:val="0"/>
        <w:rPr>
          <w:color w:val="auto"/>
          <w:szCs w:val="21"/>
        </w:rPr>
      </w:pPr>
    </w:p>
    <w:p w14:paraId="6C8B3CEF">
      <w:pPr>
        <w:adjustRightInd w:val="0"/>
        <w:snapToGrid w:val="0"/>
        <w:spacing w:line="340" w:lineRule="exact"/>
        <w:outlineLvl w:val="1"/>
        <w:rPr>
          <w:rFonts w:eastAsia="黑体"/>
          <w:b/>
          <w:bCs/>
          <w:color w:val="auto"/>
          <w:szCs w:val="21"/>
        </w:rPr>
      </w:pPr>
      <w:bookmarkStart w:id="23" w:name="_Toc199943585"/>
      <w:r>
        <w:rPr>
          <w:rFonts w:eastAsia="黑体"/>
          <w:b/>
          <w:bCs/>
          <w:color w:val="auto"/>
          <w:szCs w:val="21"/>
        </w:rPr>
        <w:t>8.5  施工措施及使用维护</w:t>
      </w:r>
      <w:bookmarkEnd w:id="23"/>
    </w:p>
    <w:p w14:paraId="6241D4B1">
      <w:pPr>
        <w:adjustRightInd w:val="0"/>
        <w:snapToGrid w:val="0"/>
        <w:spacing w:line="340" w:lineRule="exact"/>
        <w:jc w:val="center"/>
        <w:rPr>
          <w:rFonts w:eastAsia="黑体"/>
          <w:b/>
          <w:bCs/>
          <w:color w:val="auto"/>
          <w:szCs w:val="21"/>
        </w:rPr>
      </w:pPr>
    </w:p>
    <w:p w14:paraId="63A0A2D0">
      <w:pPr>
        <w:tabs>
          <w:tab w:val="left" w:pos="1276"/>
        </w:tabs>
        <w:adjustRightInd w:val="0"/>
        <w:snapToGrid w:val="0"/>
        <w:spacing w:line="340" w:lineRule="exact"/>
        <w:rPr>
          <w:color w:val="auto"/>
          <w:szCs w:val="21"/>
        </w:rPr>
      </w:pPr>
      <w:r>
        <w:rPr>
          <w:rFonts w:eastAsia="黑体"/>
          <w:b/>
          <w:bCs/>
          <w:color w:val="auto"/>
          <w:szCs w:val="21"/>
        </w:rPr>
        <w:t xml:space="preserve">8.5.1  </w:t>
      </w:r>
      <w:r>
        <w:rPr>
          <w:rFonts w:hAnsi="宋体"/>
          <w:color w:val="auto"/>
          <w:szCs w:val="21"/>
        </w:rPr>
        <w:t>应选择合理的施工程序，对荷载差异较大的建筑物，宜先建重、高部分，后建轻、低部分。对基础埋深不同的建筑物，宜先深后浅。</w:t>
      </w:r>
    </w:p>
    <w:p w14:paraId="417F7AC4">
      <w:pPr>
        <w:adjustRightInd w:val="0"/>
        <w:snapToGrid w:val="0"/>
        <w:spacing w:line="340" w:lineRule="exact"/>
        <w:rPr>
          <w:b/>
          <w:bCs/>
          <w:color w:val="auto"/>
          <w:szCs w:val="21"/>
        </w:rPr>
      </w:pPr>
      <w:r>
        <w:rPr>
          <w:rFonts w:eastAsia="黑体"/>
          <w:b/>
          <w:bCs/>
          <w:color w:val="auto"/>
          <w:szCs w:val="21"/>
        </w:rPr>
        <w:t>8.5.2</w:t>
      </w:r>
      <w:r>
        <w:rPr>
          <w:b/>
          <w:bCs/>
          <w:color w:val="auto"/>
          <w:szCs w:val="21"/>
        </w:rPr>
        <w:t xml:space="preserve">  </w:t>
      </w:r>
      <w:r>
        <w:rPr>
          <w:rFonts w:hAnsi="宋体"/>
          <w:color w:val="auto"/>
          <w:szCs w:val="21"/>
        </w:rPr>
        <w:t>施工时，宜采取下列措施：</w:t>
      </w:r>
    </w:p>
    <w:p w14:paraId="70941E94">
      <w:pPr>
        <w:adjustRightInd w:val="0"/>
        <w:snapToGrid w:val="0"/>
        <w:spacing w:line="340" w:lineRule="exact"/>
        <w:ind w:left="2" w:leftChars="1"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当开挖基坑采用明沟排水时，应先挖好集水井，井底铺设滤水层。排水沟随基坑开挖逐步加深。水应连续排出，及时引开，严禁昼排夜淹。</w:t>
      </w:r>
    </w:p>
    <w:p w14:paraId="1D6181D9">
      <w:pPr>
        <w:adjustRightInd w:val="0"/>
        <w:snapToGrid w:val="0"/>
        <w:spacing w:line="340" w:lineRule="exact"/>
        <w:ind w:firstLine="420" w:firstLineChars="200"/>
        <w:rPr>
          <w:color w:val="auto"/>
          <w:szCs w:val="21"/>
        </w:rPr>
      </w:pPr>
      <w:r>
        <w:rPr>
          <w:rFonts w:hAnsi="宋体"/>
          <w:color w:val="auto"/>
          <w:szCs w:val="21"/>
        </w:rPr>
        <w:t>雨季施工时，应加强地面有组织排水，防止地面水及管道漏水流入基坑造成基坑边坡塌方和坑底土浸泡软化、膨胀隆起等现象发生。</w:t>
      </w:r>
    </w:p>
    <w:p w14:paraId="2A0452B0">
      <w:pPr>
        <w:adjustRightInd w:val="0"/>
        <w:snapToGrid w:val="0"/>
        <w:spacing w:line="340" w:lineRule="exact"/>
        <w:ind w:left="2" w:leftChars="1"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基坑开挖时，弃土应随挖随运，不得堆置坑边，如必须临时堆置时，应验算边坡稳定及坑底隆起。在坑边设置重型设备时，也应考虑其影响。</w:t>
      </w:r>
    </w:p>
    <w:p w14:paraId="63BF7AA2">
      <w:pPr>
        <w:adjustRightInd w:val="0"/>
        <w:snapToGrid w:val="0"/>
        <w:spacing w:line="340" w:lineRule="exact"/>
        <w:ind w:firstLine="420" w:firstLineChars="199"/>
        <w:rPr>
          <w:color w:val="auto"/>
          <w:szCs w:val="21"/>
        </w:rPr>
      </w:pPr>
      <w:r>
        <w:rPr>
          <w:b/>
          <w:bCs/>
          <w:color w:val="auto"/>
          <w:szCs w:val="21"/>
        </w:rPr>
        <w:t xml:space="preserve">c) </w:t>
      </w:r>
      <w:r>
        <w:rPr>
          <w:color w:val="auto"/>
          <w:szCs w:val="21"/>
        </w:rPr>
        <w:t xml:space="preserve"> </w:t>
      </w:r>
      <w:r>
        <w:rPr>
          <w:rFonts w:hAnsi="宋体"/>
          <w:color w:val="auto"/>
          <w:szCs w:val="21"/>
        </w:rPr>
        <w:t>施工时应注意对基坑底面软土的保护，减少扰动，宜采取在坑底铺设不小于厚</w:t>
      </w:r>
      <w:r>
        <w:rPr>
          <w:color w:val="auto"/>
          <w:szCs w:val="21"/>
        </w:rPr>
        <w:t>200mm</w:t>
      </w:r>
      <w:r>
        <w:rPr>
          <w:rFonts w:hAnsi="宋体"/>
          <w:color w:val="auto"/>
          <w:szCs w:val="21"/>
        </w:rPr>
        <w:t>压实的中砂或碎石保护层。</w:t>
      </w:r>
    </w:p>
    <w:p w14:paraId="704B6175">
      <w:pPr>
        <w:adjustRightInd w:val="0"/>
        <w:snapToGrid w:val="0"/>
        <w:spacing w:line="340" w:lineRule="exact"/>
        <w:ind w:firstLine="422" w:firstLineChars="200"/>
        <w:rPr>
          <w:color w:val="auto"/>
          <w:spacing w:val="-2"/>
          <w:szCs w:val="21"/>
        </w:rPr>
      </w:pPr>
      <w:r>
        <w:rPr>
          <w:rFonts w:eastAsia="黑体"/>
          <w:b/>
          <w:bCs/>
          <w:color w:val="auto"/>
          <w:szCs w:val="21"/>
        </w:rPr>
        <w:t>d)</w:t>
      </w:r>
      <w:r>
        <w:rPr>
          <w:b/>
          <w:bCs/>
          <w:color w:val="auto"/>
          <w:spacing w:val="-2"/>
          <w:szCs w:val="21"/>
        </w:rPr>
        <w:t xml:space="preserve"> </w:t>
      </w:r>
      <w:r>
        <w:rPr>
          <w:color w:val="auto"/>
          <w:spacing w:val="-2"/>
          <w:szCs w:val="21"/>
        </w:rPr>
        <w:t xml:space="preserve"> </w:t>
      </w:r>
      <w:r>
        <w:rPr>
          <w:rFonts w:hAnsi="宋体"/>
          <w:color w:val="auto"/>
          <w:spacing w:val="-2"/>
          <w:szCs w:val="21"/>
        </w:rPr>
        <w:t>基坑挖好后，应立即组织基础施工，基坑不得长期暴露和泡水。</w:t>
      </w:r>
    </w:p>
    <w:p w14:paraId="3DDFA0F7">
      <w:pPr>
        <w:adjustRightInd w:val="0"/>
        <w:snapToGrid w:val="0"/>
        <w:spacing w:line="340" w:lineRule="exact"/>
        <w:ind w:firstLine="422" w:firstLineChars="200"/>
        <w:rPr>
          <w:color w:val="auto"/>
          <w:szCs w:val="21"/>
        </w:rPr>
      </w:pPr>
      <w:r>
        <w:rPr>
          <w:rFonts w:eastAsia="黑体"/>
          <w:b/>
          <w:bCs/>
          <w:color w:val="auto"/>
          <w:szCs w:val="21"/>
        </w:rPr>
        <w:t>e)</w:t>
      </w:r>
      <w:r>
        <w:rPr>
          <w:b/>
          <w:bCs/>
          <w:color w:val="auto"/>
          <w:szCs w:val="21"/>
        </w:rPr>
        <w:t xml:space="preserve"> </w:t>
      </w:r>
      <w:r>
        <w:rPr>
          <w:color w:val="auto"/>
          <w:szCs w:val="21"/>
        </w:rPr>
        <w:t xml:space="preserve"> </w:t>
      </w:r>
      <w:r>
        <w:rPr>
          <w:rFonts w:hAnsi="宋体"/>
          <w:color w:val="auto"/>
          <w:szCs w:val="21"/>
        </w:rPr>
        <w:t>基坑回填前应将积水排除。填土应均衡分层回填压实。</w:t>
      </w:r>
    </w:p>
    <w:p w14:paraId="12A5CA2E">
      <w:pPr>
        <w:adjustRightInd w:val="0"/>
        <w:snapToGrid w:val="0"/>
        <w:spacing w:line="340" w:lineRule="exact"/>
        <w:ind w:firstLine="422" w:firstLineChars="200"/>
        <w:rPr>
          <w:color w:val="auto"/>
          <w:szCs w:val="21"/>
        </w:rPr>
      </w:pPr>
      <w:r>
        <w:rPr>
          <w:rFonts w:eastAsia="黑体"/>
          <w:b/>
          <w:bCs/>
          <w:color w:val="auto"/>
          <w:szCs w:val="21"/>
        </w:rPr>
        <w:t>f)</w:t>
      </w:r>
      <w:r>
        <w:rPr>
          <w:b/>
          <w:bCs/>
          <w:color w:val="auto"/>
          <w:szCs w:val="21"/>
        </w:rPr>
        <w:t xml:space="preserve"> </w:t>
      </w:r>
      <w:r>
        <w:rPr>
          <w:color w:val="auto"/>
          <w:szCs w:val="21"/>
        </w:rPr>
        <w:t xml:space="preserve"> </w:t>
      </w:r>
      <w:r>
        <w:rPr>
          <w:rFonts w:hAnsi="宋体"/>
          <w:color w:val="auto"/>
          <w:szCs w:val="21"/>
        </w:rPr>
        <w:t>建筑物施工期间，应根据沉降观测资料，控制施工速度</w:t>
      </w:r>
      <w:r>
        <w:rPr>
          <w:rFonts w:hint="eastAsia" w:hAnsi="宋体"/>
          <w:color w:val="auto"/>
          <w:szCs w:val="21"/>
        </w:rPr>
        <w:t>、</w:t>
      </w:r>
      <w:r>
        <w:rPr>
          <w:rFonts w:hAnsi="宋体"/>
          <w:color w:val="auto"/>
          <w:szCs w:val="21"/>
        </w:rPr>
        <w:t>沉降差和</w:t>
      </w:r>
      <w:r>
        <w:rPr>
          <w:rFonts w:hint="eastAsia" w:hAnsi="宋体"/>
          <w:color w:val="auto"/>
          <w:szCs w:val="21"/>
        </w:rPr>
        <w:t>沉降速率</w:t>
      </w:r>
      <w:r>
        <w:rPr>
          <w:rFonts w:hAnsi="宋体"/>
          <w:color w:val="auto"/>
          <w:szCs w:val="21"/>
        </w:rPr>
        <w:t>。如发现沉降量或沉降差异值</w:t>
      </w:r>
      <w:r>
        <w:rPr>
          <w:rFonts w:hint="eastAsia" w:hAnsi="宋体"/>
          <w:color w:val="auto"/>
          <w:szCs w:val="21"/>
        </w:rPr>
        <w:t>异常</w:t>
      </w:r>
      <w:r>
        <w:rPr>
          <w:rFonts w:hAnsi="宋体"/>
          <w:color w:val="auto"/>
          <w:szCs w:val="21"/>
        </w:rPr>
        <w:t>时，应分析原因，采取措施后方可继续施工。</w:t>
      </w:r>
    </w:p>
    <w:p w14:paraId="753CBD84">
      <w:pPr>
        <w:adjustRightInd w:val="0"/>
        <w:snapToGrid w:val="0"/>
        <w:spacing w:line="340" w:lineRule="exact"/>
        <w:rPr>
          <w:color w:val="auto"/>
          <w:szCs w:val="21"/>
        </w:rPr>
      </w:pPr>
      <w:r>
        <w:rPr>
          <w:rFonts w:eastAsia="黑体"/>
          <w:b/>
          <w:bCs/>
          <w:color w:val="auto"/>
          <w:szCs w:val="21"/>
        </w:rPr>
        <w:t xml:space="preserve">8.5.3  </w:t>
      </w:r>
      <w:r>
        <w:rPr>
          <w:rFonts w:hAnsi="宋体"/>
          <w:color w:val="auto"/>
          <w:szCs w:val="21"/>
        </w:rPr>
        <w:t>施工及使用期间，不宜在天然地基浅基础邻近开挖深沟</w:t>
      </w:r>
      <w:r>
        <w:rPr>
          <w:color w:val="auto"/>
          <w:szCs w:val="21"/>
        </w:rPr>
        <w:t>（</w:t>
      </w:r>
      <w:r>
        <w:rPr>
          <w:rFonts w:hAnsi="宋体"/>
          <w:color w:val="auto"/>
          <w:szCs w:val="21"/>
        </w:rPr>
        <w:t>坑</w:t>
      </w:r>
      <w:r>
        <w:rPr>
          <w:color w:val="auto"/>
          <w:szCs w:val="21"/>
        </w:rPr>
        <w:t>）</w:t>
      </w:r>
      <w:r>
        <w:rPr>
          <w:rFonts w:hAnsi="宋体"/>
          <w:color w:val="auto"/>
          <w:szCs w:val="21"/>
        </w:rPr>
        <w:t>及堆载。邻近浅埋基础的给排水管网，应防止水管渗漏。</w:t>
      </w:r>
    </w:p>
    <w:p w14:paraId="4BE3A89A">
      <w:pPr>
        <w:adjustRightInd w:val="0"/>
        <w:snapToGrid w:val="0"/>
        <w:spacing w:line="340" w:lineRule="exact"/>
        <w:rPr>
          <w:color w:val="auto"/>
          <w:szCs w:val="21"/>
        </w:rPr>
      </w:pPr>
      <w:r>
        <w:rPr>
          <w:rFonts w:eastAsia="黑体"/>
          <w:b/>
          <w:bCs/>
          <w:color w:val="auto"/>
          <w:szCs w:val="21"/>
        </w:rPr>
        <w:t xml:space="preserve">8.5.4  </w:t>
      </w:r>
      <w:r>
        <w:rPr>
          <w:rFonts w:hAnsi="宋体"/>
          <w:color w:val="auto"/>
          <w:szCs w:val="21"/>
        </w:rPr>
        <w:t>活荷载较大的建筑物</w:t>
      </w:r>
      <w:r>
        <w:rPr>
          <w:color w:val="auto"/>
          <w:szCs w:val="21"/>
        </w:rPr>
        <w:t>（</w:t>
      </w:r>
      <w:r>
        <w:rPr>
          <w:rFonts w:hAnsi="宋体"/>
          <w:color w:val="auto"/>
          <w:szCs w:val="21"/>
        </w:rPr>
        <w:t>如书库、仓库等</w:t>
      </w:r>
      <w:r>
        <w:rPr>
          <w:color w:val="auto"/>
          <w:szCs w:val="21"/>
        </w:rPr>
        <w:t>）</w:t>
      </w:r>
      <w:r>
        <w:rPr>
          <w:rFonts w:hAnsi="宋体"/>
          <w:color w:val="auto"/>
          <w:szCs w:val="21"/>
        </w:rPr>
        <w:t>与构筑物群</w:t>
      </w:r>
      <w:r>
        <w:rPr>
          <w:color w:val="auto"/>
          <w:szCs w:val="21"/>
        </w:rPr>
        <w:t>（</w:t>
      </w:r>
      <w:r>
        <w:rPr>
          <w:rFonts w:hAnsi="宋体"/>
          <w:color w:val="auto"/>
          <w:szCs w:val="21"/>
        </w:rPr>
        <w:t>如筒仓料库、油罐等</w:t>
      </w:r>
      <w:r>
        <w:rPr>
          <w:color w:val="auto"/>
          <w:szCs w:val="21"/>
        </w:rPr>
        <w:t>）</w:t>
      </w:r>
      <w:r>
        <w:rPr>
          <w:rFonts w:hAnsi="宋体"/>
          <w:color w:val="auto"/>
          <w:szCs w:val="21"/>
        </w:rPr>
        <w:t>，使用初期应根据沉降情况合理地控制加荷速率和加荷顺序，掌握加荷间隔时间。</w:t>
      </w:r>
    </w:p>
    <w:p w14:paraId="17EB096A">
      <w:pPr>
        <w:adjustRightInd w:val="0"/>
        <w:snapToGrid w:val="0"/>
        <w:spacing w:line="340" w:lineRule="exact"/>
        <w:rPr>
          <w:color w:val="auto"/>
          <w:szCs w:val="21"/>
        </w:rPr>
      </w:pPr>
      <w:r>
        <w:rPr>
          <w:rFonts w:eastAsia="黑体"/>
          <w:b/>
          <w:bCs/>
          <w:color w:val="auto"/>
          <w:szCs w:val="21"/>
        </w:rPr>
        <w:t xml:space="preserve">8.5.5 </w:t>
      </w:r>
      <w:r>
        <w:rPr>
          <w:b/>
          <w:bCs/>
          <w:color w:val="auto"/>
          <w:szCs w:val="21"/>
        </w:rPr>
        <w:t xml:space="preserve"> </w:t>
      </w:r>
      <w:r>
        <w:rPr>
          <w:rFonts w:hAnsi="宋体"/>
          <w:color w:val="auto"/>
          <w:szCs w:val="21"/>
        </w:rPr>
        <w:t>建筑物不应在使用期间改变用途，随意增大荷载值或改变荷载分布。</w:t>
      </w:r>
      <w:r>
        <w:rPr>
          <w:rFonts w:hint="eastAsia" w:hAnsi="宋体"/>
          <w:color w:val="auto"/>
          <w:szCs w:val="21"/>
        </w:rPr>
        <w:t>建筑物、道路、重要管线、室外地面等应进行长期沉降观测，发现问题及时处理。</w:t>
      </w:r>
    </w:p>
    <w:p w14:paraId="50E6BA9F">
      <w:pPr>
        <w:adjustRightInd w:val="0"/>
        <w:snapToGrid w:val="0"/>
        <w:rPr>
          <w:color w:val="auto"/>
          <w:szCs w:val="21"/>
        </w:rPr>
      </w:pPr>
    </w:p>
    <w:p w14:paraId="165E694D">
      <w:pPr>
        <w:adjustRightInd w:val="0"/>
        <w:snapToGrid w:val="0"/>
        <w:spacing w:line="340" w:lineRule="exact"/>
        <w:outlineLvl w:val="1"/>
        <w:rPr>
          <w:rFonts w:eastAsia="黑体"/>
          <w:b/>
          <w:bCs/>
          <w:color w:val="auto"/>
          <w:szCs w:val="21"/>
        </w:rPr>
      </w:pPr>
      <w:bookmarkStart w:id="24" w:name="_Toc199943586"/>
      <w:r>
        <w:rPr>
          <w:rFonts w:eastAsia="黑体"/>
          <w:b/>
          <w:bCs/>
          <w:color w:val="auto"/>
          <w:szCs w:val="21"/>
        </w:rPr>
        <w:t>8.6  大面积地面荷载</w:t>
      </w:r>
      <w:bookmarkEnd w:id="24"/>
    </w:p>
    <w:p w14:paraId="530AECA2">
      <w:pPr>
        <w:adjustRightInd w:val="0"/>
        <w:snapToGrid w:val="0"/>
        <w:rPr>
          <w:color w:val="auto"/>
          <w:szCs w:val="21"/>
        </w:rPr>
      </w:pPr>
    </w:p>
    <w:p w14:paraId="6B6F354F">
      <w:pPr>
        <w:adjustRightInd w:val="0"/>
        <w:snapToGrid w:val="0"/>
        <w:spacing w:line="340" w:lineRule="exact"/>
        <w:rPr>
          <w:color w:val="auto"/>
          <w:szCs w:val="21"/>
        </w:rPr>
      </w:pPr>
      <w:r>
        <w:rPr>
          <w:rFonts w:eastAsia="黑体"/>
          <w:b/>
          <w:bCs/>
          <w:color w:val="auto"/>
          <w:szCs w:val="21"/>
        </w:rPr>
        <w:t>8.6.1</w:t>
      </w:r>
      <w:r>
        <w:rPr>
          <w:b/>
          <w:bCs/>
          <w:color w:val="auto"/>
          <w:szCs w:val="21"/>
        </w:rPr>
        <w:t xml:space="preserve">  </w:t>
      </w:r>
      <w:r>
        <w:rPr>
          <w:rFonts w:hAnsi="宋体"/>
          <w:color w:val="auto"/>
          <w:szCs w:val="21"/>
        </w:rPr>
        <w:t>考虑由于地面荷载所产生的地基不均匀变形及其对上部结构的不利影响，在建筑范围内有地面荷载的单层工业厂房、露天车间和单层仓库的设计，应预估沉降量和不均匀沉降量。当有条件时，宜利用堆载预压过的建筑场地。</w:t>
      </w:r>
    </w:p>
    <w:p w14:paraId="29AA8221">
      <w:pPr>
        <w:adjustRightInd w:val="0"/>
        <w:snapToGrid w:val="0"/>
        <w:spacing w:line="340" w:lineRule="exact"/>
        <w:ind w:firstLine="360" w:firstLineChars="200"/>
        <w:rPr>
          <w:color w:val="auto"/>
          <w:sz w:val="18"/>
          <w:szCs w:val="18"/>
        </w:rPr>
      </w:pPr>
      <w:r>
        <w:rPr>
          <w:bCs/>
          <w:color w:val="auto"/>
          <w:sz w:val="18"/>
          <w:szCs w:val="18"/>
        </w:rPr>
        <w:t>注</w:t>
      </w:r>
      <w:r>
        <w:rPr>
          <w:color w:val="auto"/>
          <w:sz w:val="18"/>
          <w:szCs w:val="18"/>
        </w:rPr>
        <w:t>：地面荷载系指生产堆料、工业设备等地面堆载和天然地面上的大面积填土荷载。</w:t>
      </w:r>
    </w:p>
    <w:p w14:paraId="5FD27C66">
      <w:pPr>
        <w:adjustRightInd w:val="0"/>
        <w:snapToGrid w:val="0"/>
        <w:spacing w:before="40" w:line="340" w:lineRule="exact"/>
        <w:rPr>
          <w:color w:val="auto"/>
          <w:szCs w:val="21"/>
        </w:rPr>
      </w:pPr>
      <w:r>
        <w:rPr>
          <w:rFonts w:eastAsia="黑体"/>
          <w:b/>
          <w:bCs/>
          <w:color w:val="auto"/>
          <w:szCs w:val="21"/>
        </w:rPr>
        <w:t>8.6.2</w:t>
      </w:r>
      <w:r>
        <w:rPr>
          <w:b/>
          <w:bCs/>
          <w:color w:val="auto"/>
          <w:szCs w:val="21"/>
        </w:rPr>
        <w:t xml:space="preserve">  </w:t>
      </w:r>
      <w:r>
        <w:rPr>
          <w:rFonts w:hAnsi="宋体"/>
          <w:color w:val="auto"/>
          <w:szCs w:val="21"/>
        </w:rPr>
        <w:t>地面堆载应均衡，应按设计要求有控制地分期施加，避免大量、快速、集中堆载，根据使用要求、堆载特点、结构类型和地质条件确定允许堆载量和范围。</w:t>
      </w:r>
    </w:p>
    <w:p w14:paraId="6B9AB68F">
      <w:pPr>
        <w:adjustRightInd w:val="0"/>
        <w:snapToGrid w:val="0"/>
        <w:spacing w:before="40" w:line="340" w:lineRule="exact"/>
        <w:rPr>
          <w:color w:val="auto"/>
          <w:szCs w:val="21"/>
        </w:rPr>
      </w:pPr>
      <w:r>
        <w:rPr>
          <w:rFonts w:eastAsia="黑体"/>
          <w:b/>
          <w:bCs/>
          <w:color w:val="auto"/>
          <w:szCs w:val="21"/>
        </w:rPr>
        <w:t>8.6.3</w:t>
      </w:r>
      <w:r>
        <w:rPr>
          <w:b/>
          <w:bCs/>
          <w:color w:val="auto"/>
          <w:szCs w:val="21"/>
        </w:rPr>
        <w:t xml:space="preserve">  </w:t>
      </w:r>
      <w:r>
        <w:rPr>
          <w:rFonts w:hAnsi="宋体"/>
          <w:color w:val="auto"/>
          <w:szCs w:val="21"/>
        </w:rPr>
        <w:t>地面堆载应满足地基承载力、变形、稳定性的要求，并应考虑对周边环境的影响。当堆载量超过地基承载力特征值时应进行专项设计。</w:t>
      </w:r>
    </w:p>
    <w:p w14:paraId="0CC864B1">
      <w:pPr>
        <w:adjustRightInd w:val="0"/>
        <w:snapToGrid w:val="0"/>
        <w:spacing w:line="340" w:lineRule="exact"/>
        <w:rPr>
          <w:color w:val="auto"/>
          <w:szCs w:val="21"/>
        </w:rPr>
      </w:pPr>
      <w:r>
        <w:rPr>
          <w:rFonts w:eastAsia="黑体"/>
          <w:b/>
          <w:bCs/>
          <w:color w:val="auto"/>
          <w:szCs w:val="21"/>
        </w:rPr>
        <w:t>8.6.4</w:t>
      </w:r>
      <w:r>
        <w:rPr>
          <w:b/>
          <w:bCs/>
          <w:color w:val="auto"/>
          <w:szCs w:val="21"/>
        </w:rPr>
        <w:t xml:space="preserve">  </w:t>
      </w:r>
      <w:r>
        <w:rPr>
          <w:rFonts w:hAnsi="宋体"/>
          <w:color w:val="auto"/>
          <w:szCs w:val="21"/>
        </w:rPr>
        <w:t>厂房和仓库的结构设计，宜考虑不均匀沉降产生的次应力，可适当提高柱、墙的抗弯能力，改善节点构造，增强房屋的刚度。对于中、小型仓库和厂房，宜采用静定结构。</w:t>
      </w:r>
    </w:p>
    <w:p w14:paraId="0DD215E8">
      <w:pPr>
        <w:adjustRightInd w:val="0"/>
        <w:snapToGrid w:val="0"/>
        <w:spacing w:line="340" w:lineRule="exact"/>
        <w:rPr>
          <w:color w:val="auto"/>
          <w:szCs w:val="21"/>
        </w:rPr>
      </w:pPr>
      <w:r>
        <w:rPr>
          <w:rFonts w:eastAsia="黑体"/>
          <w:b/>
          <w:bCs/>
          <w:color w:val="auto"/>
          <w:szCs w:val="21"/>
        </w:rPr>
        <w:t>8.6.5</w:t>
      </w:r>
      <w:r>
        <w:rPr>
          <w:b/>
          <w:bCs/>
          <w:color w:val="auto"/>
          <w:szCs w:val="21"/>
        </w:rPr>
        <w:t xml:space="preserve">  </w:t>
      </w:r>
      <w:r>
        <w:rPr>
          <w:rFonts w:hAnsi="宋体"/>
          <w:color w:val="auto"/>
          <w:szCs w:val="21"/>
        </w:rPr>
        <w:t>对于在使用过程中允许调整吊车轨道的单层钢筋混凝土工业厂房和露天车间的天然地基设计，除应遵守本文件第</w:t>
      </w:r>
      <w:r>
        <w:rPr>
          <w:color w:val="auto"/>
          <w:szCs w:val="21"/>
        </w:rPr>
        <w:t>7</w:t>
      </w:r>
      <w:r>
        <w:rPr>
          <w:rFonts w:hAnsi="宋体"/>
          <w:color w:val="auto"/>
          <w:szCs w:val="21"/>
        </w:rPr>
        <w:t>章有关规定外，尚应符合</w:t>
      </w:r>
      <w:r>
        <w:rPr>
          <w:rFonts w:hint="eastAsia"/>
          <w:color w:val="auto"/>
          <w:lang w:val="en-US" w:eastAsia="zh-CN"/>
        </w:rPr>
        <w:t>公式（34）</w:t>
      </w:r>
      <w:r>
        <w:rPr>
          <w:rFonts w:hAnsi="宋体"/>
          <w:color w:val="auto"/>
          <w:szCs w:val="21"/>
        </w:rPr>
        <w:t>要求：</w:t>
      </w:r>
    </w:p>
    <w:p w14:paraId="03EC4914">
      <w:pPr>
        <w:pStyle w:val="12"/>
        <w:jc w:val="right"/>
        <w:rPr>
          <w:b/>
          <w:bCs/>
          <w:color w:val="auto"/>
          <w:szCs w:val="21"/>
        </w:rPr>
      </w:pPr>
      <w:r>
        <w:rPr>
          <w:color w:val="auto"/>
          <w:position w:val="-14"/>
          <w:szCs w:val="21"/>
        </w:rPr>
        <w:object>
          <v:shape id="_x0000_i1157" o:spt="75" type="#_x0000_t75" style="height:18.75pt;width:12pt;" o:ole="t" filled="f" o:preferrelative="t" stroked="f" coordsize="21600,21600">
            <v:path/>
            <v:fill on="f" focussize="0,0"/>
            <v:stroke on="f" joinstyle="miter"/>
            <v:imagedata r:id="rId266" o:title=""/>
            <o:lock v:ext="edit" aspectratio="t"/>
            <w10:wrap type="none"/>
            <w10:anchorlock/>
          </v:shape>
          <o:OLEObject Type="Embed" ProgID="Equation.DSMT4" ShapeID="_x0000_i1157" DrawAspect="Content" ObjectID="_1468075857" r:id="rId265">
            <o:LockedField>false</o:LockedField>
          </o:OLEObject>
        </w:object>
      </w:r>
      <w:r>
        <w:rPr>
          <w:color w:val="auto"/>
          <w:szCs w:val="21"/>
        </w:rPr>
        <w:t>≤</w:t>
      </w:r>
      <w:r>
        <w:rPr>
          <w:color w:val="auto"/>
          <w:position w:val="-14"/>
          <w:szCs w:val="21"/>
        </w:rPr>
        <w:object>
          <v:shape id="_x0000_i1158" o:spt="75" type="#_x0000_t75" style="height:18.75pt;width:18.75pt;" o:ole="t" filled="f" o:preferrelative="t" stroked="f" coordsize="21600,21600">
            <v:path/>
            <v:fill on="f" focussize="0,0"/>
            <v:stroke on="f" joinstyle="miter"/>
            <v:imagedata r:id="rId268" o:title=""/>
            <o:lock v:ext="edit" aspectratio="t"/>
            <w10:wrap type="none"/>
            <w10:anchorlock/>
          </v:shape>
          <o:OLEObject Type="Embed" ProgID="Equation.DSMT4" ShapeID="_x0000_i1158" DrawAspect="Content" ObjectID="_1468075858" r:id="rId267">
            <o:LockedField>false</o:LockedField>
          </o:OLEObject>
        </w:object>
      </w:r>
      <w:r>
        <w:rPr>
          <w:b/>
          <w:bCs/>
          <w:i/>
          <w:iCs/>
          <w:color w:val="auto"/>
          <w:szCs w:val="21"/>
        </w:rPr>
        <w:t xml:space="preserve"> </w:t>
      </w:r>
      <w:r>
        <w:rPr>
          <w:b/>
          <w:bCs/>
          <w:color w:val="auto"/>
          <w:szCs w:val="21"/>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34</w:t>
      </w:r>
      <w:r>
        <w:rPr>
          <w:color w:val="auto"/>
          <w:szCs w:val="21"/>
        </w:rPr>
        <w:fldChar w:fldCharType="end"/>
      </w:r>
      <w:r>
        <w:rPr>
          <w:color w:val="auto"/>
          <w:szCs w:val="21"/>
        </w:rPr>
        <w:t>)</w:t>
      </w:r>
    </w:p>
    <w:p w14:paraId="3968D149">
      <w:pPr>
        <w:adjustRightInd w:val="0"/>
        <w:snapToGrid w:val="0"/>
        <w:spacing w:line="340" w:lineRule="atLeast"/>
        <w:ind w:left="1245" w:hanging="1245" w:hangingChars="593"/>
        <w:rPr>
          <w:color w:val="auto"/>
          <w:szCs w:val="21"/>
        </w:rPr>
      </w:pPr>
      <w:r>
        <w:rPr>
          <w:rFonts w:hAnsi="宋体"/>
          <w:color w:val="auto"/>
          <w:szCs w:val="21"/>
        </w:rPr>
        <w:t>式中</w:t>
      </w:r>
      <w:r>
        <w:rPr>
          <w:color w:val="auto"/>
          <w:szCs w:val="21"/>
        </w:rPr>
        <w:t xml:space="preserve">  </w:t>
      </w:r>
      <w:r>
        <w:rPr>
          <w:color w:val="auto"/>
          <w:position w:val="-14"/>
          <w:szCs w:val="21"/>
        </w:rPr>
        <w:object>
          <v:shape id="_x0000_i1159" o:spt="75" type="#_x0000_t75" style="height:18.75pt;width:12pt;" o:ole="t" filled="f" o:preferrelative="t" stroked="f" coordsize="21600,21600">
            <v:path/>
            <v:fill on="f" focussize="0,0"/>
            <v:stroke on="f" joinstyle="miter"/>
            <v:imagedata r:id="rId270" o:title=""/>
            <o:lock v:ext="edit" aspectratio="t"/>
            <w10:wrap type="none"/>
            <w10:anchorlock/>
          </v:shape>
          <o:OLEObject Type="Embed" ProgID="Equation.DSMT4" ShapeID="_x0000_i1159" DrawAspect="Content" ObjectID="_1468075859" r:id="rId269">
            <o:LockedField>false</o:LockedField>
          </o:OLEObject>
        </w:object>
      </w:r>
      <w:r>
        <w:rPr>
          <w:i/>
          <w:iCs/>
          <w:color w:val="auto"/>
          <w:szCs w:val="21"/>
        </w:rPr>
        <w:t>——</w:t>
      </w:r>
      <w:r>
        <w:rPr>
          <w:rFonts w:hAnsi="宋体"/>
          <w:color w:val="auto"/>
          <w:szCs w:val="21"/>
        </w:rPr>
        <w:t>由地面荷载引起柱基内侧边缘中点的地基附加沉降量计算值，可按</w:t>
      </w:r>
      <w:r>
        <w:rPr>
          <w:iCs/>
          <w:color w:val="auto"/>
          <w:szCs w:val="21"/>
        </w:rPr>
        <w:t>GB</w:t>
      </w:r>
      <w:r>
        <w:rPr>
          <w:rFonts w:hint="eastAsia"/>
          <w:iCs/>
          <w:color w:val="auto"/>
          <w:szCs w:val="21"/>
          <w:lang w:val="en-US" w:eastAsia="zh-CN"/>
        </w:rPr>
        <w:t xml:space="preserve"> </w:t>
      </w:r>
      <w:r>
        <w:rPr>
          <w:iCs/>
          <w:color w:val="auto"/>
          <w:szCs w:val="21"/>
        </w:rPr>
        <w:t>50007</w:t>
      </w:r>
      <w:r>
        <w:rPr>
          <w:rFonts w:hAnsi="宋体"/>
          <w:color w:val="auto"/>
          <w:szCs w:val="21"/>
        </w:rPr>
        <w:t>有关规定进行计算；</w:t>
      </w:r>
    </w:p>
    <w:p w14:paraId="34F7BAD9">
      <w:pPr>
        <w:adjustRightInd w:val="0"/>
        <w:snapToGrid w:val="0"/>
        <w:spacing w:line="340" w:lineRule="atLeast"/>
        <w:ind w:left="1352" w:leftChars="247" w:hanging="833" w:hangingChars="397"/>
        <w:rPr>
          <w:color w:val="auto"/>
          <w:szCs w:val="21"/>
        </w:rPr>
      </w:pPr>
      <w:r>
        <w:rPr>
          <w:i/>
          <w:iCs/>
          <w:color w:val="auto"/>
          <w:position w:val="-14"/>
          <w:szCs w:val="21"/>
        </w:rPr>
        <w:object>
          <v:shape id="_x0000_i1160" o:spt="75" type="#_x0000_t75" style="height:18.75pt;width:18.75pt;" o:ole="t" filled="f" o:preferrelative="t" stroked="f" coordsize="21600,21600">
            <v:path/>
            <v:fill on="f" focussize="0,0"/>
            <v:stroke on="f" joinstyle="miter"/>
            <v:imagedata r:id="rId272" o:title=""/>
            <o:lock v:ext="edit" aspectratio="t"/>
            <w10:wrap type="none"/>
            <w10:anchorlock/>
          </v:shape>
          <o:OLEObject Type="Embed" ProgID="Equation.DSMT4" ShapeID="_x0000_i1160" DrawAspect="Content" ObjectID="_1468075860" r:id="rId271">
            <o:LockedField>false</o:LockedField>
          </o:OLEObject>
        </w:object>
      </w:r>
      <w:r>
        <w:rPr>
          <w:i/>
          <w:iCs/>
          <w:color w:val="auto"/>
          <w:szCs w:val="21"/>
        </w:rPr>
        <w:t>——</w:t>
      </w:r>
      <w:r>
        <w:rPr>
          <w:rFonts w:hAnsi="宋体"/>
          <w:color w:val="auto"/>
          <w:szCs w:val="21"/>
        </w:rPr>
        <w:t>由地面荷载引起柱基内侧边缘中点的地基附加沉降允许值，可按表</w:t>
      </w:r>
      <w:r>
        <w:rPr>
          <w:color w:val="auto"/>
          <w:szCs w:val="21"/>
        </w:rPr>
        <w:t>26</w:t>
      </w:r>
      <w:r>
        <w:rPr>
          <w:rFonts w:hAnsi="宋体"/>
          <w:color w:val="auto"/>
          <w:szCs w:val="21"/>
        </w:rPr>
        <w:t>采用。</w:t>
      </w:r>
    </w:p>
    <w:p w14:paraId="46A94851">
      <w:pPr>
        <w:adjustRightInd w:val="0"/>
        <w:snapToGrid w:val="0"/>
        <w:spacing w:before="120" w:line="340" w:lineRule="atLeast"/>
        <w:jc w:val="center"/>
        <w:rPr>
          <w:rFonts w:eastAsia="黑体"/>
          <w:b/>
          <w:color w:val="auto"/>
          <w:szCs w:val="21"/>
        </w:rPr>
      </w:pPr>
      <w:r>
        <w:rPr>
          <w:rFonts w:eastAsia="黑体"/>
          <w:b/>
          <w:color w:val="auto"/>
          <w:szCs w:val="21"/>
        </w:rPr>
        <w:t xml:space="preserve">                 </w:t>
      </w:r>
      <w:r>
        <w:rPr>
          <w:rFonts w:hint="eastAsia" w:eastAsia="黑体"/>
          <w:b/>
          <w:color w:val="auto"/>
          <w:szCs w:val="21"/>
        </w:rPr>
        <w:t xml:space="preserve">        </w:t>
      </w:r>
      <w:r>
        <w:rPr>
          <w:rFonts w:eastAsia="黑体"/>
          <w:b/>
          <w:color w:val="auto"/>
          <w:szCs w:val="21"/>
        </w:rPr>
        <w:t xml:space="preserve"> 表26   地基附加沉降量允许值</w:t>
      </w:r>
      <w:r>
        <w:rPr>
          <w:i/>
          <w:iCs/>
          <w:color w:val="auto"/>
          <w:position w:val="-14"/>
          <w:szCs w:val="21"/>
        </w:rPr>
        <w:object>
          <v:shape id="_x0000_i1161" o:spt="75" type="#_x0000_t75" style="height:18.75pt;width:18.75pt;" o:ole="t" filled="f" o:preferrelative="t" stroked="f" coordsize="21600,21600">
            <v:path/>
            <v:fill on="f" focussize="0,0"/>
            <v:stroke on="f" joinstyle="miter"/>
            <v:imagedata r:id="rId272" o:title=""/>
            <o:lock v:ext="edit" aspectratio="t"/>
            <w10:wrap type="none"/>
            <w10:anchorlock/>
          </v:shape>
          <o:OLEObject Type="Embed" ProgID="Equation.DSMT4" ShapeID="_x0000_i1161" DrawAspect="Content" ObjectID="_1468075861" r:id="rId273">
            <o:LockedField>false</o:LockedField>
          </o:OLEObject>
        </w:object>
      </w:r>
      <w:r>
        <w:rPr>
          <w:rFonts w:eastAsia="黑体"/>
          <w:b/>
          <w:color w:val="auto"/>
          <w:szCs w:val="21"/>
        </w:rPr>
        <w:t xml:space="preserve">      </w:t>
      </w:r>
      <w:r>
        <w:rPr>
          <w:rFonts w:hint="eastAsia" w:eastAsia="黑体"/>
          <w:b/>
          <w:color w:val="auto"/>
          <w:szCs w:val="21"/>
        </w:rPr>
        <w:t xml:space="preserve">     </w:t>
      </w:r>
      <w:r>
        <w:rPr>
          <w:rFonts w:eastAsia="黑体"/>
          <w:b/>
          <w:color w:val="auto"/>
          <w:szCs w:val="21"/>
        </w:rPr>
        <w:t xml:space="preserve">      </w:t>
      </w:r>
      <w:r>
        <w:rPr>
          <w:rFonts w:hint="eastAsia" w:eastAsia="黑体"/>
          <w:b/>
          <w:color w:val="auto"/>
          <w:szCs w:val="21"/>
          <w:lang w:eastAsia="zh-CN"/>
        </w:rPr>
        <w:t>（</w:t>
      </w:r>
      <w:r>
        <w:rPr>
          <w:rFonts w:eastAsia="黑体"/>
          <w:b/>
          <w:color w:val="auto"/>
          <w:szCs w:val="21"/>
        </w:rPr>
        <w:t>单位</w:t>
      </w:r>
      <w:r>
        <w:rPr>
          <w:rFonts w:hint="eastAsia" w:eastAsia="黑体"/>
          <w:b/>
          <w:color w:val="auto"/>
          <w:szCs w:val="21"/>
          <w:lang w:eastAsia="zh-CN"/>
        </w:rPr>
        <w:t>：</w:t>
      </w:r>
      <w:r>
        <w:rPr>
          <w:rFonts w:eastAsia="黑体"/>
          <w:b/>
          <w:color w:val="auto"/>
          <w:szCs w:val="21"/>
        </w:rPr>
        <w:t>mm</w:t>
      </w:r>
      <w:r>
        <w:rPr>
          <w:rFonts w:hint="eastAsia" w:eastAsia="黑体"/>
          <w:b/>
          <w:color w:val="auto"/>
          <w:szCs w:val="21"/>
          <w:lang w:eastAsia="zh-CN"/>
        </w:rPr>
        <w:t>）</w:t>
      </w:r>
    </w:p>
    <w:tbl>
      <w:tblPr>
        <w:tblStyle w:val="36"/>
        <w:tblW w:w="90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38"/>
        <w:gridCol w:w="1012"/>
        <w:gridCol w:w="936"/>
        <w:gridCol w:w="934"/>
        <w:gridCol w:w="936"/>
        <w:gridCol w:w="936"/>
        <w:gridCol w:w="934"/>
        <w:gridCol w:w="930"/>
        <w:gridCol w:w="942"/>
      </w:tblGrid>
      <w:tr w14:paraId="1730E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538" w:type="dxa"/>
            <w:vMerge w:val="restart"/>
            <w:vAlign w:val="center"/>
          </w:tcPr>
          <w:p w14:paraId="1F7B5044">
            <w:pPr>
              <w:adjustRightInd w:val="0"/>
              <w:snapToGrid w:val="0"/>
              <w:spacing w:line="240" w:lineRule="atLeast"/>
              <w:jc w:val="center"/>
              <w:rPr>
                <w:i/>
                <w:color w:val="auto"/>
                <w:sz w:val="18"/>
                <w:szCs w:val="18"/>
              </w:rPr>
            </w:pPr>
            <w:r>
              <w:rPr>
                <w:i/>
                <w:iCs/>
                <w:color w:val="auto"/>
                <w:sz w:val="18"/>
                <w:szCs w:val="18"/>
              </w:rPr>
              <w:t>b</w:t>
            </w:r>
          </w:p>
        </w:tc>
        <w:tc>
          <w:tcPr>
            <w:tcW w:w="7560" w:type="dxa"/>
            <w:gridSpan w:val="8"/>
            <w:vAlign w:val="center"/>
          </w:tcPr>
          <w:p w14:paraId="140A9BA9">
            <w:pPr>
              <w:adjustRightInd w:val="0"/>
              <w:snapToGrid w:val="0"/>
              <w:spacing w:line="240" w:lineRule="atLeast"/>
              <w:jc w:val="center"/>
              <w:rPr>
                <w:color w:val="auto"/>
                <w:sz w:val="18"/>
                <w:szCs w:val="18"/>
              </w:rPr>
            </w:pPr>
            <w:r>
              <w:rPr>
                <w:i/>
                <w:color w:val="auto"/>
                <w:sz w:val="18"/>
                <w:szCs w:val="18"/>
              </w:rPr>
              <w:t xml:space="preserve">  a</w:t>
            </w:r>
          </w:p>
        </w:tc>
      </w:tr>
      <w:tr w14:paraId="2153E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538" w:type="dxa"/>
            <w:vMerge w:val="continue"/>
            <w:vAlign w:val="center"/>
          </w:tcPr>
          <w:p w14:paraId="64CE1440">
            <w:pPr>
              <w:adjustRightInd w:val="0"/>
              <w:snapToGrid w:val="0"/>
              <w:spacing w:line="240" w:lineRule="atLeast"/>
              <w:jc w:val="center"/>
              <w:rPr>
                <w:i/>
                <w:iCs/>
                <w:color w:val="auto"/>
                <w:sz w:val="18"/>
                <w:szCs w:val="18"/>
              </w:rPr>
            </w:pPr>
          </w:p>
        </w:tc>
        <w:tc>
          <w:tcPr>
            <w:tcW w:w="1012" w:type="dxa"/>
            <w:vAlign w:val="center"/>
          </w:tcPr>
          <w:p w14:paraId="0412B61B">
            <w:pPr>
              <w:pStyle w:val="24"/>
              <w:pBdr>
                <w:bottom w:val="none" w:color="auto" w:sz="0" w:space="0"/>
              </w:pBdr>
              <w:tabs>
                <w:tab w:val="clear" w:pos="4153"/>
                <w:tab w:val="clear" w:pos="8306"/>
              </w:tabs>
              <w:rPr>
                <w:color w:val="auto"/>
              </w:rPr>
            </w:pPr>
            <w:r>
              <w:rPr>
                <w:color w:val="auto"/>
              </w:rPr>
              <w:t>6</w:t>
            </w:r>
          </w:p>
        </w:tc>
        <w:tc>
          <w:tcPr>
            <w:tcW w:w="936" w:type="dxa"/>
            <w:vAlign w:val="center"/>
          </w:tcPr>
          <w:p w14:paraId="5BD44A3A">
            <w:pPr>
              <w:pStyle w:val="24"/>
              <w:pBdr>
                <w:bottom w:val="none" w:color="auto" w:sz="0" w:space="0"/>
              </w:pBdr>
              <w:tabs>
                <w:tab w:val="clear" w:pos="4153"/>
                <w:tab w:val="clear" w:pos="8306"/>
              </w:tabs>
              <w:rPr>
                <w:color w:val="auto"/>
              </w:rPr>
            </w:pPr>
            <w:r>
              <w:rPr>
                <w:color w:val="auto"/>
              </w:rPr>
              <w:t>10</w:t>
            </w:r>
          </w:p>
        </w:tc>
        <w:tc>
          <w:tcPr>
            <w:tcW w:w="934" w:type="dxa"/>
            <w:vAlign w:val="center"/>
          </w:tcPr>
          <w:p w14:paraId="573F367A">
            <w:pPr>
              <w:adjustRightInd w:val="0"/>
              <w:snapToGrid w:val="0"/>
              <w:jc w:val="center"/>
              <w:rPr>
                <w:color w:val="auto"/>
                <w:sz w:val="18"/>
                <w:szCs w:val="18"/>
              </w:rPr>
            </w:pPr>
            <w:r>
              <w:rPr>
                <w:color w:val="auto"/>
                <w:sz w:val="18"/>
                <w:szCs w:val="18"/>
              </w:rPr>
              <w:t>20</w:t>
            </w:r>
          </w:p>
        </w:tc>
        <w:tc>
          <w:tcPr>
            <w:tcW w:w="936" w:type="dxa"/>
            <w:vAlign w:val="center"/>
          </w:tcPr>
          <w:p w14:paraId="6D54DBDC">
            <w:pPr>
              <w:adjustRightInd w:val="0"/>
              <w:snapToGrid w:val="0"/>
              <w:jc w:val="center"/>
              <w:rPr>
                <w:color w:val="auto"/>
                <w:sz w:val="18"/>
                <w:szCs w:val="18"/>
              </w:rPr>
            </w:pPr>
            <w:r>
              <w:rPr>
                <w:color w:val="auto"/>
                <w:sz w:val="18"/>
                <w:szCs w:val="18"/>
              </w:rPr>
              <w:t>30</w:t>
            </w:r>
          </w:p>
        </w:tc>
        <w:tc>
          <w:tcPr>
            <w:tcW w:w="936" w:type="dxa"/>
            <w:vAlign w:val="center"/>
          </w:tcPr>
          <w:p w14:paraId="08326B86">
            <w:pPr>
              <w:adjustRightInd w:val="0"/>
              <w:snapToGrid w:val="0"/>
              <w:jc w:val="center"/>
              <w:rPr>
                <w:color w:val="auto"/>
                <w:sz w:val="18"/>
                <w:szCs w:val="18"/>
              </w:rPr>
            </w:pPr>
            <w:r>
              <w:rPr>
                <w:color w:val="auto"/>
                <w:sz w:val="18"/>
                <w:szCs w:val="18"/>
              </w:rPr>
              <w:t>40</w:t>
            </w:r>
          </w:p>
        </w:tc>
        <w:tc>
          <w:tcPr>
            <w:tcW w:w="934" w:type="dxa"/>
            <w:vAlign w:val="center"/>
          </w:tcPr>
          <w:p w14:paraId="50459CD9">
            <w:pPr>
              <w:adjustRightInd w:val="0"/>
              <w:snapToGrid w:val="0"/>
              <w:jc w:val="center"/>
              <w:rPr>
                <w:color w:val="auto"/>
                <w:sz w:val="18"/>
                <w:szCs w:val="18"/>
              </w:rPr>
            </w:pPr>
            <w:r>
              <w:rPr>
                <w:color w:val="auto"/>
                <w:sz w:val="18"/>
                <w:szCs w:val="18"/>
              </w:rPr>
              <w:t>50</w:t>
            </w:r>
          </w:p>
        </w:tc>
        <w:tc>
          <w:tcPr>
            <w:tcW w:w="930" w:type="dxa"/>
            <w:vAlign w:val="center"/>
          </w:tcPr>
          <w:p w14:paraId="7EB66EFD">
            <w:pPr>
              <w:adjustRightInd w:val="0"/>
              <w:snapToGrid w:val="0"/>
              <w:ind w:right="-107" w:rightChars="-51"/>
              <w:jc w:val="center"/>
              <w:rPr>
                <w:color w:val="auto"/>
                <w:sz w:val="18"/>
                <w:szCs w:val="18"/>
              </w:rPr>
            </w:pPr>
            <w:r>
              <w:rPr>
                <w:color w:val="auto"/>
                <w:sz w:val="18"/>
                <w:szCs w:val="18"/>
              </w:rPr>
              <w:t>60</w:t>
            </w:r>
          </w:p>
        </w:tc>
        <w:tc>
          <w:tcPr>
            <w:tcW w:w="942" w:type="dxa"/>
            <w:vAlign w:val="center"/>
          </w:tcPr>
          <w:p w14:paraId="28AE4639">
            <w:pPr>
              <w:adjustRightInd w:val="0"/>
              <w:snapToGrid w:val="0"/>
              <w:jc w:val="center"/>
              <w:rPr>
                <w:color w:val="auto"/>
                <w:sz w:val="18"/>
                <w:szCs w:val="18"/>
              </w:rPr>
            </w:pPr>
            <w:r>
              <w:rPr>
                <w:color w:val="auto"/>
                <w:sz w:val="18"/>
                <w:szCs w:val="18"/>
              </w:rPr>
              <w:t>70</w:t>
            </w:r>
          </w:p>
        </w:tc>
      </w:tr>
      <w:tr w14:paraId="54DA5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8" w:type="dxa"/>
          </w:tcPr>
          <w:p w14:paraId="2304F07C">
            <w:pPr>
              <w:adjustRightInd w:val="0"/>
              <w:snapToGrid w:val="0"/>
              <w:spacing w:line="300" w:lineRule="exact"/>
              <w:jc w:val="center"/>
              <w:rPr>
                <w:color w:val="auto"/>
                <w:sz w:val="18"/>
                <w:szCs w:val="18"/>
              </w:rPr>
            </w:pPr>
            <w:r>
              <w:rPr>
                <w:color w:val="auto"/>
                <w:sz w:val="18"/>
                <w:szCs w:val="18"/>
              </w:rPr>
              <w:t>1</w:t>
            </w:r>
          </w:p>
        </w:tc>
        <w:tc>
          <w:tcPr>
            <w:tcW w:w="1012" w:type="dxa"/>
          </w:tcPr>
          <w:p w14:paraId="1E1994C4">
            <w:pPr>
              <w:pStyle w:val="24"/>
              <w:pBdr>
                <w:bottom w:val="none" w:color="auto" w:sz="0" w:space="0"/>
              </w:pBdr>
              <w:tabs>
                <w:tab w:val="clear" w:pos="4153"/>
                <w:tab w:val="clear" w:pos="8306"/>
              </w:tabs>
              <w:spacing w:line="300" w:lineRule="exact"/>
              <w:rPr>
                <w:color w:val="auto"/>
              </w:rPr>
            </w:pPr>
            <w:r>
              <w:rPr>
                <w:color w:val="auto"/>
              </w:rPr>
              <w:t>40</w:t>
            </w:r>
          </w:p>
        </w:tc>
        <w:tc>
          <w:tcPr>
            <w:tcW w:w="936" w:type="dxa"/>
          </w:tcPr>
          <w:p w14:paraId="6338FAAF">
            <w:pPr>
              <w:adjustRightInd w:val="0"/>
              <w:snapToGrid w:val="0"/>
              <w:spacing w:line="300" w:lineRule="exact"/>
              <w:jc w:val="center"/>
              <w:rPr>
                <w:color w:val="auto"/>
                <w:sz w:val="18"/>
                <w:szCs w:val="18"/>
              </w:rPr>
            </w:pPr>
            <w:r>
              <w:rPr>
                <w:color w:val="auto"/>
                <w:sz w:val="18"/>
                <w:szCs w:val="18"/>
              </w:rPr>
              <w:t>45</w:t>
            </w:r>
          </w:p>
        </w:tc>
        <w:tc>
          <w:tcPr>
            <w:tcW w:w="934" w:type="dxa"/>
          </w:tcPr>
          <w:p w14:paraId="7AFFA2AE">
            <w:pPr>
              <w:adjustRightInd w:val="0"/>
              <w:snapToGrid w:val="0"/>
              <w:spacing w:line="300" w:lineRule="exact"/>
              <w:jc w:val="center"/>
              <w:rPr>
                <w:color w:val="auto"/>
                <w:sz w:val="18"/>
                <w:szCs w:val="18"/>
              </w:rPr>
            </w:pPr>
            <w:r>
              <w:rPr>
                <w:color w:val="auto"/>
                <w:sz w:val="18"/>
                <w:szCs w:val="18"/>
              </w:rPr>
              <w:t>50</w:t>
            </w:r>
          </w:p>
        </w:tc>
        <w:tc>
          <w:tcPr>
            <w:tcW w:w="936" w:type="dxa"/>
          </w:tcPr>
          <w:p w14:paraId="09025C39">
            <w:pPr>
              <w:adjustRightInd w:val="0"/>
              <w:snapToGrid w:val="0"/>
              <w:spacing w:line="300" w:lineRule="exact"/>
              <w:jc w:val="center"/>
              <w:rPr>
                <w:color w:val="auto"/>
                <w:sz w:val="18"/>
                <w:szCs w:val="18"/>
              </w:rPr>
            </w:pPr>
            <w:r>
              <w:rPr>
                <w:color w:val="auto"/>
                <w:sz w:val="18"/>
                <w:szCs w:val="18"/>
              </w:rPr>
              <w:t>55</w:t>
            </w:r>
          </w:p>
        </w:tc>
        <w:tc>
          <w:tcPr>
            <w:tcW w:w="936" w:type="dxa"/>
          </w:tcPr>
          <w:p w14:paraId="1DA12904">
            <w:pPr>
              <w:adjustRightInd w:val="0"/>
              <w:snapToGrid w:val="0"/>
              <w:spacing w:line="300" w:lineRule="exact"/>
              <w:jc w:val="center"/>
              <w:rPr>
                <w:color w:val="auto"/>
                <w:sz w:val="18"/>
                <w:szCs w:val="18"/>
              </w:rPr>
            </w:pPr>
            <w:r>
              <w:rPr>
                <w:color w:val="auto"/>
                <w:sz w:val="18"/>
                <w:szCs w:val="18"/>
              </w:rPr>
              <w:t>55</w:t>
            </w:r>
          </w:p>
        </w:tc>
        <w:tc>
          <w:tcPr>
            <w:tcW w:w="934" w:type="dxa"/>
          </w:tcPr>
          <w:p w14:paraId="61A924BE">
            <w:pPr>
              <w:adjustRightInd w:val="0"/>
              <w:snapToGrid w:val="0"/>
              <w:spacing w:line="300" w:lineRule="exact"/>
              <w:jc w:val="center"/>
              <w:rPr>
                <w:color w:val="auto"/>
                <w:sz w:val="18"/>
                <w:szCs w:val="18"/>
              </w:rPr>
            </w:pPr>
          </w:p>
        </w:tc>
        <w:tc>
          <w:tcPr>
            <w:tcW w:w="930" w:type="dxa"/>
          </w:tcPr>
          <w:p w14:paraId="46839814">
            <w:pPr>
              <w:adjustRightInd w:val="0"/>
              <w:snapToGrid w:val="0"/>
              <w:spacing w:line="300" w:lineRule="exact"/>
              <w:jc w:val="center"/>
              <w:rPr>
                <w:color w:val="auto"/>
                <w:sz w:val="18"/>
                <w:szCs w:val="18"/>
              </w:rPr>
            </w:pPr>
          </w:p>
        </w:tc>
        <w:tc>
          <w:tcPr>
            <w:tcW w:w="942" w:type="dxa"/>
          </w:tcPr>
          <w:p w14:paraId="77BE565B">
            <w:pPr>
              <w:adjustRightInd w:val="0"/>
              <w:snapToGrid w:val="0"/>
              <w:spacing w:line="300" w:lineRule="exact"/>
              <w:jc w:val="center"/>
              <w:rPr>
                <w:color w:val="auto"/>
                <w:sz w:val="18"/>
                <w:szCs w:val="18"/>
              </w:rPr>
            </w:pPr>
          </w:p>
        </w:tc>
      </w:tr>
      <w:tr w14:paraId="24979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8" w:type="dxa"/>
          </w:tcPr>
          <w:p w14:paraId="0967CC01">
            <w:pPr>
              <w:adjustRightInd w:val="0"/>
              <w:snapToGrid w:val="0"/>
              <w:spacing w:line="300" w:lineRule="exact"/>
              <w:jc w:val="center"/>
              <w:rPr>
                <w:color w:val="auto"/>
                <w:sz w:val="18"/>
                <w:szCs w:val="18"/>
              </w:rPr>
            </w:pPr>
            <w:r>
              <w:rPr>
                <w:color w:val="auto"/>
                <w:sz w:val="18"/>
                <w:szCs w:val="18"/>
              </w:rPr>
              <w:t>2</w:t>
            </w:r>
          </w:p>
        </w:tc>
        <w:tc>
          <w:tcPr>
            <w:tcW w:w="1012" w:type="dxa"/>
          </w:tcPr>
          <w:p w14:paraId="27105313">
            <w:pPr>
              <w:adjustRightInd w:val="0"/>
              <w:snapToGrid w:val="0"/>
              <w:spacing w:line="300" w:lineRule="exact"/>
              <w:jc w:val="center"/>
              <w:rPr>
                <w:color w:val="auto"/>
                <w:sz w:val="18"/>
                <w:szCs w:val="18"/>
              </w:rPr>
            </w:pPr>
            <w:r>
              <w:rPr>
                <w:color w:val="auto"/>
                <w:sz w:val="18"/>
                <w:szCs w:val="18"/>
              </w:rPr>
              <w:t>45</w:t>
            </w:r>
          </w:p>
        </w:tc>
        <w:tc>
          <w:tcPr>
            <w:tcW w:w="936" w:type="dxa"/>
          </w:tcPr>
          <w:p w14:paraId="079AF969">
            <w:pPr>
              <w:pStyle w:val="24"/>
              <w:pBdr>
                <w:bottom w:val="none" w:color="auto" w:sz="0" w:space="0"/>
              </w:pBdr>
              <w:tabs>
                <w:tab w:val="clear" w:pos="4153"/>
                <w:tab w:val="clear" w:pos="8306"/>
              </w:tabs>
              <w:spacing w:line="300" w:lineRule="exact"/>
              <w:rPr>
                <w:color w:val="auto"/>
              </w:rPr>
            </w:pPr>
            <w:r>
              <w:rPr>
                <w:color w:val="auto"/>
              </w:rPr>
              <w:t>50</w:t>
            </w:r>
          </w:p>
        </w:tc>
        <w:tc>
          <w:tcPr>
            <w:tcW w:w="934" w:type="dxa"/>
          </w:tcPr>
          <w:p w14:paraId="55D2BA1A">
            <w:pPr>
              <w:adjustRightInd w:val="0"/>
              <w:snapToGrid w:val="0"/>
              <w:spacing w:line="300" w:lineRule="exact"/>
              <w:jc w:val="center"/>
              <w:rPr>
                <w:color w:val="auto"/>
                <w:sz w:val="18"/>
                <w:szCs w:val="18"/>
              </w:rPr>
            </w:pPr>
            <w:r>
              <w:rPr>
                <w:color w:val="auto"/>
                <w:sz w:val="18"/>
                <w:szCs w:val="18"/>
              </w:rPr>
              <w:t>55</w:t>
            </w:r>
          </w:p>
        </w:tc>
        <w:tc>
          <w:tcPr>
            <w:tcW w:w="936" w:type="dxa"/>
          </w:tcPr>
          <w:p w14:paraId="24C41AC1">
            <w:pPr>
              <w:adjustRightInd w:val="0"/>
              <w:snapToGrid w:val="0"/>
              <w:spacing w:line="300" w:lineRule="exact"/>
              <w:jc w:val="center"/>
              <w:rPr>
                <w:color w:val="auto"/>
                <w:sz w:val="18"/>
                <w:szCs w:val="18"/>
              </w:rPr>
            </w:pPr>
            <w:r>
              <w:rPr>
                <w:color w:val="auto"/>
                <w:sz w:val="18"/>
                <w:szCs w:val="18"/>
              </w:rPr>
              <w:t>60</w:t>
            </w:r>
          </w:p>
        </w:tc>
        <w:tc>
          <w:tcPr>
            <w:tcW w:w="936" w:type="dxa"/>
          </w:tcPr>
          <w:p w14:paraId="519555D1">
            <w:pPr>
              <w:adjustRightInd w:val="0"/>
              <w:snapToGrid w:val="0"/>
              <w:spacing w:line="300" w:lineRule="exact"/>
              <w:jc w:val="center"/>
              <w:rPr>
                <w:color w:val="auto"/>
                <w:sz w:val="18"/>
                <w:szCs w:val="18"/>
              </w:rPr>
            </w:pPr>
            <w:r>
              <w:rPr>
                <w:color w:val="auto"/>
                <w:sz w:val="18"/>
                <w:szCs w:val="18"/>
              </w:rPr>
              <w:t>60</w:t>
            </w:r>
          </w:p>
        </w:tc>
        <w:tc>
          <w:tcPr>
            <w:tcW w:w="934" w:type="dxa"/>
          </w:tcPr>
          <w:p w14:paraId="4D2D6706">
            <w:pPr>
              <w:adjustRightInd w:val="0"/>
              <w:snapToGrid w:val="0"/>
              <w:spacing w:line="300" w:lineRule="exact"/>
              <w:jc w:val="center"/>
              <w:rPr>
                <w:color w:val="auto"/>
                <w:sz w:val="18"/>
                <w:szCs w:val="18"/>
              </w:rPr>
            </w:pPr>
          </w:p>
        </w:tc>
        <w:tc>
          <w:tcPr>
            <w:tcW w:w="930" w:type="dxa"/>
          </w:tcPr>
          <w:p w14:paraId="1E927314">
            <w:pPr>
              <w:adjustRightInd w:val="0"/>
              <w:snapToGrid w:val="0"/>
              <w:spacing w:line="300" w:lineRule="exact"/>
              <w:jc w:val="center"/>
              <w:rPr>
                <w:color w:val="auto"/>
                <w:sz w:val="18"/>
                <w:szCs w:val="18"/>
              </w:rPr>
            </w:pPr>
          </w:p>
        </w:tc>
        <w:tc>
          <w:tcPr>
            <w:tcW w:w="942" w:type="dxa"/>
          </w:tcPr>
          <w:p w14:paraId="69ADAB56">
            <w:pPr>
              <w:adjustRightInd w:val="0"/>
              <w:snapToGrid w:val="0"/>
              <w:spacing w:line="300" w:lineRule="exact"/>
              <w:jc w:val="center"/>
              <w:rPr>
                <w:color w:val="auto"/>
                <w:sz w:val="18"/>
                <w:szCs w:val="18"/>
              </w:rPr>
            </w:pPr>
          </w:p>
        </w:tc>
      </w:tr>
      <w:tr w14:paraId="1438C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8" w:type="dxa"/>
          </w:tcPr>
          <w:p w14:paraId="456E248A">
            <w:pPr>
              <w:adjustRightInd w:val="0"/>
              <w:snapToGrid w:val="0"/>
              <w:spacing w:line="300" w:lineRule="exact"/>
              <w:jc w:val="center"/>
              <w:rPr>
                <w:color w:val="auto"/>
                <w:sz w:val="18"/>
                <w:szCs w:val="18"/>
              </w:rPr>
            </w:pPr>
            <w:r>
              <w:rPr>
                <w:color w:val="auto"/>
                <w:sz w:val="18"/>
                <w:szCs w:val="18"/>
              </w:rPr>
              <w:t>3</w:t>
            </w:r>
          </w:p>
        </w:tc>
        <w:tc>
          <w:tcPr>
            <w:tcW w:w="1012" w:type="dxa"/>
          </w:tcPr>
          <w:p w14:paraId="61981007">
            <w:pPr>
              <w:adjustRightInd w:val="0"/>
              <w:snapToGrid w:val="0"/>
              <w:spacing w:line="300" w:lineRule="exact"/>
              <w:jc w:val="center"/>
              <w:rPr>
                <w:color w:val="auto"/>
                <w:sz w:val="18"/>
                <w:szCs w:val="18"/>
              </w:rPr>
            </w:pPr>
            <w:r>
              <w:rPr>
                <w:color w:val="auto"/>
                <w:sz w:val="18"/>
                <w:szCs w:val="18"/>
              </w:rPr>
              <w:t>50</w:t>
            </w:r>
          </w:p>
        </w:tc>
        <w:tc>
          <w:tcPr>
            <w:tcW w:w="936" w:type="dxa"/>
          </w:tcPr>
          <w:p w14:paraId="443A1A67">
            <w:pPr>
              <w:adjustRightInd w:val="0"/>
              <w:snapToGrid w:val="0"/>
              <w:spacing w:line="300" w:lineRule="exact"/>
              <w:jc w:val="center"/>
              <w:rPr>
                <w:color w:val="auto"/>
                <w:sz w:val="18"/>
                <w:szCs w:val="18"/>
              </w:rPr>
            </w:pPr>
            <w:r>
              <w:rPr>
                <w:color w:val="auto"/>
                <w:sz w:val="18"/>
                <w:szCs w:val="18"/>
              </w:rPr>
              <w:t>55</w:t>
            </w:r>
          </w:p>
        </w:tc>
        <w:tc>
          <w:tcPr>
            <w:tcW w:w="934" w:type="dxa"/>
          </w:tcPr>
          <w:p w14:paraId="711380D7">
            <w:pPr>
              <w:adjustRightInd w:val="0"/>
              <w:snapToGrid w:val="0"/>
              <w:spacing w:line="300" w:lineRule="exact"/>
              <w:jc w:val="center"/>
              <w:rPr>
                <w:color w:val="auto"/>
                <w:sz w:val="18"/>
                <w:szCs w:val="18"/>
              </w:rPr>
            </w:pPr>
            <w:r>
              <w:rPr>
                <w:color w:val="auto"/>
                <w:sz w:val="18"/>
                <w:szCs w:val="18"/>
              </w:rPr>
              <w:t>60</w:t>
            </w:r>
          </w:p>
        </w:tc>
        <w:tc>
          <w:tcPr>
            <w:tcW w:w="936" w:type="dxa"/>
          </w:tcPr>
          <w:p w14:paraId="66EBB2DA">
            <w:pPr>
              <w:adjustRightInd w:val="0"/>
              <w:snapToGrid w:val="0"/>
              <w:spacing w:line="300" w:lineRule="exact"/>
              <w:jc w:val="center"/>
              <w:rPr>
                <w:color w:val="auto"/>
                <w:sz w:val="18"/>
                <w:szCs w:val="18"/>
              </w:rPr>
            </w:pPr>
            <w:r>
              <w:rPr>
                <w:color w:val="auto"/>
                <w:sz w:val="18"/>
                <w:szCs w:val="18"/>
              </w:rPr>
              <w:t>65</w:t>
            </w:r>
          </w:p>
        </w:tc>
        <w:tc>
          <w:tcPr>
            <w:tcW w:w="936" w:type="dxa"/>
          </w:tcPr>
          <w:p w14:paraId="3B8F67D9">
            <w:pPr>
              <w:adjustRightInd w:val="0"/>
              <w:snapToGrid w:val="0"/>
              <w:spacing w:line="300" w:lineRule="exact"/>
              <w:jc w:val="center"/>
              <w:rPr>
                <w:color w:val="auto"/>
                <w:sz w:val="18"/>
                <w:szCs w:val="18"/>
              </w:rPr>
            </w:pPr>
            <w:r>
              <w:rPr>
                <w:color w:val="auto"/>
                <w:sz w:val="18"/>
                <w:szCs w:val="18"/>
              </w:rPr>
              <w:t>70</w:t>
            </w:r>
          </w:p>
        </w:tc>
        <w:tc>
          <w:tcPr>
            <w:tcW w:w="934" w:type="dxa"/>
          </w:tcPr>
          <w:p w14:paraId="33B7655A">
            <w:pPr>
              <w:adjustRightInd w:val="0"/>
              <w:snapToGrid w:val="0"/>
              <w:spacing w:line="300" w:lineRule="exact"/>
              <w:jc w:val="center"/>
              <w:rPr>
                <w:color w:val="auto"/>
                <w:sz w:val="18"/>
                <w:szCs w:val="18"/>
              </w:rPr>
            </w:pPr>
            <w:r>
              <w:rPr>
                <w:color w:val="auto"/>
                <w:sz w:val="18"/>
                <w:szCs w:val="18"/>
              </w:rPr>
              <w:t>75</w:t>
            </w:r>
          </w:p>
        </w:tc>
        <w:tc>
          <w:tcPr>
            <w:tcW w:w="930" w:type="dxa"/>
          </w:tcPr>
          <w:p w14:paraId="6A843382">
            <w:pPr>
              <w:adjustRightInd w:val="0"/>
              <w:snapToGrid w:val="0"/>
              <w:spacing w:line="300" w:lineRule="exact"/>
              <w:jc w:val="center"/>
              <w:rPr>
                <w:color w:val="auto"/>
                <w:sz w:val="18"/>
                <w:szCs w:val="18"/>
              </w:rPr>
            </w:pPr>
          </w:p>
        </w:tc>
        <w:tc>
          <w:tcPr>
            <w:tcW w:w="942" w:type="dxa"/>
          </w:tcPr>
          <w:p w14:paraId="2A8DC910">
            <w:pPr>
              <w:adjustRightInd w:val="0"/>
              <w:snapToGrid w:val="0"/>
              <w:spacing w:line="300" w:lineRule="exact"/>
              <w:jc w:val="center"/>
              <w:rPr>
                <w:color w:val="auto"/>
                <w:sz w:val="18"/>
                <w:szCs w:val="18"/>
              </w:rPr>
            </w:pPr>
          </w:p>
        </w:tc>
      </w:tr>
      <w:tr w14:paraId="1FB485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8" w:type="dxa"/>
          </w:tcPr>
          <w:p w14:paraId="3A2F66A8">
            <w:pPr>
              <w:adjustRightInd w:val="0"/>
              <w:snapToGrid w:val="0"/>
              <w:spacing w:line="300" w:lineRule="exact"/>
              <w:jc w:val="center"/>
              <w:rPr>
                <w:color w:val="auto"/>
                <w:sz w:val="18"/>
                <w:szCs w:val="18"/>
              </w:rPr>
            </w:pPr>
            <w:r>
              <w:rPr>
                <w:color w:val="auto"/>
                <w:sz w:val="18"/>
                <w:szCs w:val="18"/>
              </w:rPr>
              <w:t>4</w:t>
            </w:r>
          </w:p>
        </w:tc>
        <w:tc>
          <w:tcPr>
            <w:tcW w:w="1012" w:type="dxa"/>
          </w:tcPr>
          <w:p w14:paraId="0316BEA9">
            <w:pPr>
              <w:adjustRightInd w:val="0"/>
              <w:snapToGrid w:val="0"/>
              <w:spacing w:line="300" w:lineRule="exact"/>
              <w:jc w:val="center"/>
              <w:rPr>
                <w:color w:val="auto"/>
                <w:sz w:val="18"/>
                <w:szCs w:val="18"/>
              </w:rPr>
            </w:pPr>
            <w:r>
              <w:rPr>
                <w:color w:val="auto"/>
                <w:sz w:val="18"/>
                <w:szCs w:val="18"/>
              </w:rPr>
              <w:t>55</w:t>
            </w:r>
          </w:p>
        </w:tc>
        <w:tc>
          <w:tcPr>
            <w:tcW w:w="936" w:type="dxa"/>
          </w:tcPr>
          <w:p w14:paraId="72E97D8E">
            <w:pPr>
              <w:adjustRightInd w:val="0"/>
              <w:snapToGrid w:val="0"/>
              <w:spacing w:line="300" w:lineRule="exact"/>
              <w:jc w:val="center"/>
              <w:rPr>
                <w:color w:val="auto"/>
                <w:sz w:val="18"/>
                <w:szCs w:val="18"/>
              </w:rPr>
            </w:pPr>
            <w:r>
              <w:rPr>
                <w:color w:val="auto"/>
                <w:sz w:val="18"/>
                <w:szCs w:val="18"/>
              </w:rPr>
              <w:t>60</w:t>
            </w:r>
          </w:p>
        </w:tc>
        <w:tc>
          <w:tcPr>
            <w:tcW w:w="934" w:type="dxa"/>
          </w:tcPr>
          <w:p w14:paraId="6D1DD4A5">
            <w:pPr>
              <w:adjustRightInd w:val="0"/>
              <w:snapToGrid w:val="0"/>
              <w:spacing w:line="300" w:lineRule="exact"/>
              <w:jc w:val="center"/>
              <w:rPr>
                <w:color w:val="auto"/>
                <w:sz w:val="18"/>
                <w:szCs w:val="18"/>
              </w:rPr>
            </w:pPr>
            <w:r>
              <w:rPr>
                <w:color w:val="auto"/>
                <w:sz w:val="18"/>
                <w:szCs w:val="18"/>
              </w:rPr>
              <w:t>65</w:t>
            </w:r>
          </w:p>
        </w:tc>
        <w:tc>
          <w:tcPr>
            <w:tcW w:w="936" w:type="dxa"/>
          </w:tcPr>
          <w:p w14:paraId="4959C0C9">
            <w:pPr>
              <w:adjustRightInd w:val="0"/>
              <w:snapToGrid w:val="0"/>
              <w:spacing w:line="300" w:lineRule="exact"/>
              <w:jc w:val="center"/>
              <w:rPr>
                <w:color w:val="auto"/>
                <w:sz w:val="18"/>
                <w:szCs w:val="18"/>
              </w:rPr>
            </w:pPr>
            <w:r>
              <w:rPr>
                <w:color w:val="auto"/>
                <w:sz w:val="18"/>
                <w:szCs w:val="18"/>
              </w:rPr>
              <w:t>70</w:t>
            </w:r>
          </w:p>
        </w:tc>
        <w:tc>
          <w:tcPr>
            <w:tcW w:w="936" w:type="dxa"/>
          </w:tcPr>
          <w:p w14:paraId="67E231BC">
            <w:pPr>
              <w:adjustRightInd w:val="0"/>
              <w:snapToGrid w:val="0"/>
              <w:spacing w:line="300" w:lineRule="exact"/>
              <w:jc w:val="center"/>
              <w:rPr>
                <w:color w:val="auto"/>
                <w:sz w:val="18"/>
                <w:szCs w:val="18"/>
              </w:rPr>
            </w:pPr>
            <w:r>
              <w:rPr>
                <w:color w:val="auto"/>
                <w:sz w:val="18"/>
                <w:szCs w:val="18"/>
              </w:rPr>
              <w:t>75</w:t>
            </w:r>
          </w:p>
        </w:tc>
        <w:tc>
          <w:tcPr>
            <w:tcW w:w="934" w:type="dxa"/>
          </w:tcPr>
          <w:p w14:paraId="03B6F988">
            <w:pPr>
              <w:adjustRightInd w:val="0"/>
              <w:snapToGrid w:val="0"/>
              <w:spacing w:line="300" w:lineRule="exact"/>
              <w:jc w:val="center"/>
              <w:rPr>
                <w:color w:val="auto"/>
                <w:sz w:val="18"/>
                <w:szCs w:val="18"/>
              </w:rPr>
            </w:pPr>
            <w:r>
              <w:rPr>
                <w:color w:val="auto"/>
                <w:sz w:val="18"/>
                <w:szCs w:val="18"/>
              </w:rPr>
              <w:t>80</w:t>
            </w:r>
          </w:p>
        </w:tc>
        <w:tc>
          <w:tcPr>
            <w:tcW w:w="930" w:type="dxa"/>
          </w:tcPr>
          <w:p w14:paraId="65D37687">
            <w:pPr>
              <w:adjustRightInd w:val="0"/>
              <w:snapToGrid w:val="0"/>
              <w:spacing w:line="300" w:lineRule="exact"/>
              <w:jc w:val="center"/>
              <w:rPr>
                <w:color w:val="auto"/>
                <w:sz w:val="18"/>
                <w:szCs w:val="18"/>
              </w:rPr>
            </w:pPr>
            <w:r>
              <w:rPr>
                <w:color w:val="auto"/>
                <w:sz w:val="18"/>
                <w:szCs w:val="18"/>
              </w:rPr>
              <w:t>85</w:t>
            </w:r>
          </w:p>
        </w:tc>
        <w:tc>
          <w:tcPr>
            <w:tcW w:w="942" w:type="dxa"/>
          </w:tcPr>
          <w:p w14:paraId="792CF161">
            <w:pPr>
              <w:adjustRightInd w:val="0"/>
              <w:snapToGrid w:val="0"/>
              <w:spacing w:line="300" w:lineRule="exact"/>
              <w:jc w:val="center"/>
              <w:rPr>
                <w:color w:val="auto"/>
                <w:sz w:val="18"/>
                <w:szCs w:val="18"/>
              </w:rPr>
            </w:pPr>
            <w:r>
              <w:rPr>
                <w:color w:val="auto"/>
                <w:sz w:val="18"/>
                <w:szCs w:val="18"/>
              </w:rPr>
              <w:t>90</w:t>
            </w:r>
          </w:p>
        </w:tc>
      </w:tr>
      <w:tr w14:paraId="08909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38" w:type="dxa"/>
          </w:tcPr>
          <w:p w14:paraId="3FE478B0">
            <w:pPr>
              <w:adjustRightInd w:val="0"/>
              <w:snapToGrid w:val="0"/>
              <w:spacing w:line="300" w:lineRule="exact"/>
              <w:jc w:val="center"/>
              <w:rPr>
                <w:color w:val="auto"/>
                <w:sz w:val="18"/>
                <w:szCs w:val="18"/>
              </w:rPr>
            </w:pPr>
            <w:r>
              <w:rPr>
                <w:color w:val="auto"/>
                <w:sz w:val="18"/>
                <w:szCs w:val="18"/>
              </w:rPr>
              <w:t>5</w:t>
            </w:r>
          </w:p>
        </w:tc>
        <w:tc>
          <w:tcPr>
            <w:tcW w:w="1012" w:type="dxa"/>
          </w:tcPr>
          <w:p w14:paraId="7B53A5AA">
            <w:pPr>
              <w:pStyle w:val="24"/>
              <w:pBdr>
                <w:bottom w:val="none" w:color="auto" w:sz="0" w:space="0"/>
              </w:pBdr>
              <w:tabs>
                <w:tab w:val="clear" w:pos="4153"/>
                <w:tab w:val="clear" w:pos="8306"/>
              </w:tabs>
              <w:spacing w:line="300" w:lineRule="exact"/>
              <w:rPr>
                <w:color w:val="auto"/>
              </w:rPr>
            </w:pPr>
            <w:r>
              <w:rPr>
                <w:color w:val="auto"/>
              </w:rPr>
              <w:t>65</w:t>
            </w:r>
          </w:p>
        </w:tc>
        <w:tc>
          <w:tcPr>
            <w:tcW w:w="936" w:type="dxa"/>
          </w:tcPr>
          <w:p w14:paraId="41740015">
            <w:pPr>
              <w:adjustRightInd w:val="0"/>
              <w:snapToGrid w:val="0"/>
              <w:spacing w:line="300" w:lineRule="exact"/>
              <w:jc w:val="center"/>
              <w:rPr>
                <w:color w:val="auto"/>
                <w:sz w:val="18"/>
                <w:szCs w:val="18"/>
              </w:rPr>
            </w:pPr>
            <w:r>
              <w:rPr>
                <w:color w:val="auto"/>
                <w:sz w:val="18"/>
                <w:szCs w:val="18"/>
              </w:rPr>
              <w:t>70</w:t>
            </w:r>
          </w:p>
        </w:tc>
        <w:tc>
          <w:tcPr>
            <w:tcW w:w="934" w:type="dxa"/>
          </w:tcPr>
          <w:p w14:paraId="103052A8">
            <w:pPr>
              <w:adjustRightInd w:val="0"/>
              <w:snapToGrid w:val="0"/>
              <w:spacing w:line="300" w:lineRule="exact"/>
              <w:jc w:val="center"/>
              <w:rPr>
                <w:color w:val="auto"/>
                <w:sz w:val="18"/>
                <w:szCs w:val="18"/>
              </w:rPr>
            </w:pPr>
            <w:r>
              <w:rPr>
                <w:color w:val="auto"/>
                <w:sz w:val="18"/>
                <w:szCs w:val="18"/>
              </w:rPr>
              <w:t>75</w:t>
            </w:r>
          </w:p>
        </w:tc>
        <w:tc>
          <w:tcPr>
            <w:tcW w:w="936" w:type="dxa"/>
          </w:tcPr>
          <w:p w14:paraId="125AF261">
            <w:pPr>
              <w:adjustRightInd w:val="0"/>
              <w:snapToGrid w:val="0"/>
              <w:spacing w:line="300" w:lineRule="exact"/>
              <w:jc w:val="center"/>
              <w:rPr>
                <w:color w:val="auto"/>
                <w:sz w:val="18"/>
                <w:szCs w:val="18"/>
              </w:rPr>
            </w:pPr>
            <w:r>
              <w:rPr>
                <w:color w:val="auto"/>
                <w:sz w:val="18"/>
                <w:szCs w:val="18"/>
              </w:rPr>
              <w:t>80</w:t>
            </w:r>
          </w:p>
        </w:tc>
        <w:tc>
          <w:tcPr>
            <w:tcW w:w="936" w:type="dxa"/>
          </w:tcPr>
          <w:p w14:paraId="773ACADB">
            <w:pPr>
              <w:adjustRightInd w:val="0"/>
              <w:snapToGrid w:val="0"/>
              <w:spacing w:line="300" w:lineRule="exact"/>
              <w:jc w:val="center"/>
              <w:rPr>
                <w:color w:val="auto"/>
                <w:sz w:val="18"/>
                <w:szCs w:val="18"/>
              </w:rPr>
            </w:pPr>
            <w:r>
              <w:rPr>
                <w:color w:val="auto"/>
                <w:sz w:val="18"/>
                <w:szCs w:val="18"/>
              </w:rPr>
              <w:t>85</w:t>
            </w:r>
          </w:p>
        </w:tc>
        <w:tc>
          <w:tcPr>
            <w:tcW w:w="934" w:type="dxa"/>
          </w:tcPr>
          <w:p w14:paraId="752FD2EC">
            <w:pPr>
              <w:adjustRightInd w:val="0"/>
              <w:snapToGrid w:val="0"/>
              <w:spacing w:line="300" w:lineRule="exact"/>
              <w:jc w:val="center"/>
              <w:rPr>
                <w:color w:val="auto"/>
                <w:sz w:val="18"/>
                <w:szCs w:val="18"/>
              </w:rPr>
            </w:pPr>
            <w:r>
              <w:rPr>
                <w:color w:val="auto"/>
                <w:sz w:val="18"/>
                <w:szCs w:val="18"/>
              </w:rPr>
              <w:t>90</w:t>
            </w:r>
          </w:p>
        </w:tc>
        <w:tc>
          <w:tcPr>
            <w:tcW w:w="930" w:type="dxa"/>
          </w:tcPr>
          <w:p w14:paraId="2AF1B3DC">
            <w:pPr>
              <w:adjustRightInd w:val="0"/>
              <w:snapToGrid w:val="0"/>
              <w:spacing w:line="300" w:lineRule="exact"/>
              <w:jc w:val="center"/>
              <w:rPr>
                <w:color w:val="auto"/>
                <w:sz w:val="18"/>
                <w:szCs w:val="18"/>
              </w:rPr>
            </w:pPr>
            <w:r>
              <w:rPr>
                <w:color w:val="auto"/>
                <w:sz w:val="18"/>
                <w:szCs w:val="18"/>
              </w:rPr>
              <w:t>95</w:t>
            </w:r>
          </w:p>
        </w:tc>
        <w:tc>
          <w:tcPr>
            <w:tcW w:w="942" w:type="dxa"/>
          </w:tcPr>
          <w:p w14:paraId="6EE76D1D">
            <w:pPr>
              <w:adjustRightInd w:val="0"/>
              <w:snapToGrid w:val="0"/>
              <w:spacing w:line="300" w:lineRule="exact"/>
              <w:jc w:val="center"/>
              <w:rPr>
                <w:color w:val="auto"/>
                <w:sz w:val="18"/>
                <w:szCs w:val="18"/>
              </w:rPr>
            </w:pPr>
            <w:r>
              <w:rPr>
                <w:color w:val="auto"/>
                <w:sz w:val="18"/>
                <w:szCs w:val="18"/>
              </w:rPr>
              <w:t>100</w:t>
            </w:r>
          </w:p>
        </w:tc>
      </w:tr>
      <w:tr w14:paraId="68AB2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9098" w:type="dxa"/>
            <w:gridSpan w:val="9"/>
          </w:tcPr>
          <w:p w14:paraId="46671416">
            <w:pPr>
              <w:adjustRightInd w:val="0"/>
              <w:snapToGrid w:val="0"/>
              <w:spacing w:line="300" w:lineRule="exact"/>
              <w:rPr>
                <w:color w:val="auto"/>
                <w:sz w:val="18"/>
                <w:szCs w:val="18"/>
              </w:rPr>
            </w:pPr>
            <w:r>
              <w:rPr>
                <w:color w:val="auto"/>
                <w:sz w:val="18"/>
                <w:szCs w:val="18"/>
              </w:rPr>
              <w:t>注：表中</w:t>
            </w:r>
            <w:r>
              <w:rPr>
                <w:i/>
                <w:color w:val="auto"/>
                <w:sz w:val="18"/>
                <w:szCs w:val="18"/>
              </w:rPr>
              <w:t>a</w:t>
            </w:r>
            <w:r>
              <w:rPr>
                <w:color w:val="auto"/>
                <w:sz w:val="18"/>
                <w:szCs w:val="18"/>
              </w:rPr>
              <w:t>为地面荷载的纵向长度（</w:t>
            </w:r>
            <w:r>
              <w:rPr>
                <w:iCs/>
                <w:color w:val="auto"/>
                <w:sz w:val="18"/>
                <w:szCs w:val="18"/>
              </w:rPr>
              <w:t>m</w:t>
            </w:r>
            <w:r>
              <w:rPr>
                <w:color w:val="auto"/>
                <w:sz w:val="18"/>
                <w:szCs w:val="18"/>
              </w:rPr>
              <w:t>）；</w:t>
            </w:r>
            <w:r>
              <w:rPr>
                <w:iCs/>
                <w:color w:val="auto"/>
                <w:sz w:val="18"/>
                <w:szCs w:val="18"/>
              </w:rPr>
              <w:t>b</w:t>
            </w:r>
            <w:r>
              <w:rPr>
                <w:color w:val="auto"/>
                <w:sz w:val="18"/>
                <w:szCs w:val="18"/>
              </w:rPr>
              <w:t>为车间跨度方向基础底面边长（</w:t>
            </w:r>
            <w:r>
              <w:rPr>
                <w:iCs/>
                <w:color w:val="auto"/>
                <w:sz w:val="18"/>
                <w:szCs w:val="18"/>
              </w:rPr>
              <w:t>m</w:t>
            </w:r>
            <w:r>
              <w:rPr>
                <w:color w:val="auto"/>
                <w:sz w:val="18"/>
                <w:szCs w:val="18"/>
              </w:rPr>
              <w:t>）。</w:t>
            </w:r>
          </w:p>
        </w:tc>
      </w:tr>
    </w:tbl>
    <w:p w14:paraId="16519FB4">
      <w:pPr>
        <w:tabs>
          <w:tab w:val="left" w:pos="1440"/>
        </w:tabs>
        <w:adjustRightInd w:val="0"/>
        <w:snapToGrid w:val="0"/>
        <w:spacing w:before="240" w:line="360" w:lineRule="atLeast"/>
        <w:rPr>
          <w:color w:val="auto"/>
          <w:szCs w:val="21"/>
        </w:rPr>
      </w:pPr>
      <w:r>
        <w:rPr>
          <w:rFonts w:eastAsia="黑体"/>
          <w:b/>
          <w:bCs/>
          <w:color w:val="auto"/>
          <w:szCs w:val="21"/>
        </w:rPr>
        <w:t xml:space="preserve">8.6.6 </w:t>
      </w:r>
      <w:r>
        <w:rPr>
          <w:b/>
          <w:bCs/>
          <w:color w:val="auto"/>
          <w:szCs w:val="21"/>
        </w:rPr>
        <w:t xml:space="preserve"> </w:t>
      </w:r>
      <w:r>
        <w:rPr>
          <w:rFonts w:hAnsi="宋体"/>
          <w:color w:val="auto"/>
          <w:szCs w:val="21"/>
        </w:rPr>
        <w:t>按本文件第</w:t>
      </w:r>
      <w:r>
        <w:rPr>
          <w:color w:val="auto"/>
          <w:szCs w:val="21"/>
        </w:rPr>
        <w:t>8.6.5</w:t>
      </w:r>
      <w:r>
        <w:rPr>
          <w:rFonts w:hAnsi="宋体"/>
          <w:color w:val="auto"/>
          <w:szCs w:val="21"/>
        </w:rPr>
        <w:t>条设计时，应考虑在使用过程中垫高或移动吊车轨道和吊车梁的可能性。应增大吊车顶面与屋架下弦间的净空和吊车边缘</w:t>
      </w:r>
      <w:r>
        <w:rPr>
          <w:rFonts w:hint="eastAsia" w:hAnsi="宋体"/>
          <w:color w:val="auto"/>
          <w:szCs w:val="21"/>
        </w:rPr>
        <w:t>与上柱边缘</w:t>
      </w:r>
      <w:r>
        <w:rPr>
          <w:rFonts w:hAnsi="宋体"/>
          <w:color w:val="auto"/>
          <w:szCs w:val="21"/>
        </w:rPr>
        <w:t>间的净距，当地基土平均压缩模量</w:t>
      </w:r>
      <w:r>
        <w:rPr>
          <w:i/>
          <w:color w:val="auto"/>
          <w:szCs w:val="21"/>
        </w:rPr>
        <w:t>E</w:t>
      </w:r>
      <w:r>
        <w:rPr>
          <w:iCs/>
          <w:color w:val="auto"/>
          <w:szCs w:val="21"/>
          <w:vertAlign w:val="subscript"/>
        </w:rPr>
        <w:t>s</w:t>
      </w:r>
      <w:r>
        <w:rPr>
          <w:rFonts w:hAnsi="宋体"/>
          <w:color w:val="auto"/>
          <w:szCs w:val="21"/>
        </w:rPr>
        <w:t>为</w:t>
      </w:r>
      <w:r>
        <w:rPr>
          <w:color w:val="auto"/>
          <w:szCs w:val="21"/>
        </w:rPr>
        <w:t>3MPa</w:t>
      </w:r>
      <w:r>
        <w:rPr>
          <w:rFonts w:hAnsi="宋体"/>
          <w:color w:val="auto"/>
          <w:szCs w:val="21"/>
        </w:rPr>
        <w:t>左右，地面平均荷载大于</w:t>
      </w:r>
      <w:r>
        <w:rPr>
          <w:color w:val="auto"/>
          <w:szCs w:val="21"/>
        </w:rPr>
        <w:t>25kN/m</w:t>
      </w:r>
      <w:r>
        <w:rPr>
          <w:color w:val="auto"/>
          <w:szCs w:val="21"/>
          <w:vertAlign w:val="superscript"/>
        </w:rPr>
        <w:t>2</w:t>
      </w:r>
      <w:r>
        <w:rPr>
          <w:rFonts w:hAnsi="宋体"/>
          <w:color w:val="auto"/>
          <w:szCs w:val="21"/>
        </w:rPr>
        <w:t>时，净空宜大于</w:t>
      </w:r>
      <w:r>
        <w:rPr>
          <w:color w:val="auto"/>
          <w:szCs w:val="21"/>
        </w:rPr>
        <w:t>300mm</w:t>
      </w:r>
      <w:r>
        <w:rPr>
          <w:rFonts w:hAnsi="宋体"/>
          <w:color w:val="auto"/>
          <w:szCs w:val="21"/>
        </w:rPr>
        <w:t>，净距宜大于</w:t>
      </w:r>
      <w:r>
        <w:rPr>
          <w:color w:val="auto"/>
          <w:szCs w:val="21"/>
        </w:rPr>
        <w:t>200mm</w:t>
      </w:r>
      <w:r>
        <w:rPr>
          <w:rFonts w:hAnsi="宋体"/>
          <w:color w:val="auto"/>
          <w:szCs w:val="21"/>
        </w:rPr>
        <w:t>。并应按吊车轨道可能移动的幅度，加宽钢筋混凝土吊车梁腹部并配置抗扭钢筋。</w:t>
      </w:r>
    </w:p>
    <w:bookmarkEnd w:id="18"/>
    <w:p w14:paraId="5E7D6734">
      <w:pPr>
        <w:adjustRightInd w:val="0"/>
        <w:snapToGrid w:val="0"/>
        <w:spacing w:line="340" w:lineRule="exact"/>
        <w:rPr>
          <w:color w:val="auto"/>
          <w:szCs w:val="21"/>
        </w:rPr>
      </w:pPr>
      <w:r>
        <w:rPr>
          <w:rFonts w:eastAsia="黑体"/>
          <w:b/>
          <w:bCs/>
          <w:color w:val="auto"/>
          <w:szCs w:val="21"/>
        </w:rPr>
        <w:t>8.6.7</w:t>
      </w:r>
      <w:r>
        <w:rPr>
          <w:b/>
          <w:bCs/>
          <w:color w:val="auto"/>
          <w:szCs w:val="21"/>
        </w:rPr>
        <w:t xml:space="preserve">  </w:t>
      </w:r>
      <w:r>
        <w:rPr>
          <w:rFonts w:hAnsi="宋体"/>
          <w:color w:val="auto"/>
          <w:szCs w:val="21"/>
        </w:rPr>
        <w:t>当地面堆载较大或使用功能有要求时，宜采用下列措施：</w:t>
      </w:r>
    </w:p>
    <w:p w14:paraId="1B0FD0C7">
      <w:pPr>
        <w:adjustRightInd w:val="0"/>
        <w:snapToGrid w:val="0"/>
        <w:spacing w:line="340" w:lineRule="exact"/>
        <w:ind w:firstLine="422" w:firstLineChars="200"/>
        <w:rPr>
          <w:color w:val="auto"/>
          <w:szCs w:val="21"/>
        </w:rPr>
      </w:pPr>
      <w:r>
        <w:rPr>
          <w:rFonts w:eastAsia="黑体"/>
          <w:b/>
          <w:bCs/>
          <w:color w:val="auto"/>
          <w:szCs w:val="21"/>
        </w:rPr>
        <w:t xml:space="preserve">a) </w:t>
      </w:r>
      <w:r>
        <w:rPr>
          <w:color w:val="auto"/>
          <w:szCs w:val="21"/>
        </w:rPr>
        <w:t xml:space="preserve"> </w:t>
      </w:r>
      <w:r>
        <w:rPr>
          <w:rFonts w:hAnsi="宋体"/>
          <w:color w:val="auto"/>
          <w:szCs w:val="21"/>
        </w:rPr>
        <w:t>堆载地坪下采用地基处理措施；</w:t>
      </w:r>
    </w:p>
    <w:p w14:paraId="33E2B4F6">
      <w:pPr>
        <w:adjustRightInd w:val="0"/>
        <w:snapToGrid w:val="0"/>
        <w:spacing w:line="340" w:lineRule="exact"/>
        <w:ind w:firstLine="422" w:firstLineChars="200"/>
        <w:rPr>
          <w:color w:val="auto"/>
          <w:szCs w:val="21"/>
        </w:rPr>
      </w:pPr>
      <w:r>
        <w:rPr>
          <w:rFonts w:eastAsia="黑体"/>
          <w:b/>
          <w:bCs/>
          <w:color w:val="auto"/>
          <w:szCs w:val="21"/>
        </w:rPr>
        <w:t xml:space="preserve">b) </w:t>
      </w:r>
      <w:r>
        <w:rPr>
          <w:color w:val="auto"/>
          <w:szCs w:val="21"/>
        </w:rPr>
        <w:t xml:space="preserve"> </w:t>
      </w:r>
      <w:r>
        <w:rPr>
          <w:rFonts w:hAnsi="宋体"/>
          <w:color w:val="auto"/>
          <w:szCs w:val="21"/>
        </w:rPr>
        <w:t>主体结构采用桩基。</w:t>
      </w:r>
    </w:p>
    <w:p w14:paraId="1320132E">
      <w:pPr>
        <w:spacing w:line="400" w:lineRule="atLeast"/>
        <w:rPr>
          <w:color w:val="auto"/>
          <w:szCs w:val="21"/>
        </w:rPr>
      </w:pPr>
    </w:p>
    <w:p w14:paraId="7EA1703F">
      <w:pPr>
        <w:numPr>
          <w:ilvl w:val="0"/>
          <w:numId w:val="1"/>
        </w:numPr>
        <w:adjustRightInd w:val="0"/>
        <w:snapToGrid w:val="0"/>
        <w:outlineLvl w:val="0"/>
        <w:rPr>
          <w:rFonts w:eastAsia="黑体"/>
          <w:b/>
          <w:color w:val="auto"/>
          <w:sz w:val="24"/>
        </w:rPr>
      </w:pPr>
      <w:bookmarkStart w:id="25" w:name="_Toc199943587"/>
      <w:r>
        <w:rPr>
          <w:rFonts w:eastAsia="黑体"/>
          <w:b/>
          <w:bCs/>
          <w:color w:val="auto"/>
          <w:sz w:val="24"/>
        </w:rPr>
        <w:t>地基处理</w:t>
      </w:r>
      <w:bookmarkEnd w:id="25"/>
    </w:p>
    <w:p w14:paraId="138E64E9">
      <w:pPr>
        <w:snapToGrid w:val="0"/>
        <w:spacing w:line="340" w:lineRule="exact"/>
        <w:jc w:val="center"/>
        <w:rPr>
          <w:rFonts w:eastAsia="黑体"/>
          <w:b/>
          <w:bCs/>
          <w:color w:val="auto"/>
          <w:sz w:val="32"/>
        </w:rPr>
      </w:pPr>
    </w:p>
    <w:p w14:paraId="2219DA98">
      <w:pPr>
        <w:adjustRightInd w:val="0"/>
        <w:snapToGrid w:val="0"/>
        <w:spacing w:line="340" w:lineRule="exact"/>
        <w:outlineLvl w:val="1"/>
        <w:rPr>
          <w:rFonts w:eastAsia="黑体"/>
          <w:b/>
          <w:bCs/>
          <w:color w:val="auto"/>
          <w:szCs w:val="21"/>
        </w:rPr>
      </w:pPr>
      <w:bookmarkStart w:id="26" w:name="_Toc199943588"/>
      <w:r>
        <w:rPr>
          <w:rFonts w:eastAsia="黑体"/>
          <w:b/>
          <w:bCs/>
          <w:color w:val="auto"/>
          <w:szCs w:val="21"/>
        </w:rPr>
        <w:t>9.1  一般规定</w:t>
      </w:r>
      <w:bookmarkEnd w:id="26"/>
    </w:p>
    <w:p w14:paraId="71F00AD0">
      <w:pPr>
        <w:adjustRightInd w:val="0"/>
        <w:snapToGrid w:val="0"/>
        <w:spacing w:line="340" w:lineRule="exact"/>
        <w:jc w:val="center"/>
        <w:rPr>
          <w:b/>
          <w:bCs/>
          <w:color w:val="auto"/>
          <w:szCs w:val="21"/>
        </w:rPr>
      </w:pPr>
    </w:p>
    <w:p w14:paraId="6770AC9B">
      <w:pPr>
        <w:adjustRightInd w:val="0"/>
        <w:snapToGrid w:val="0"/>
        <w:spacing w:line="340" w:lineRule="exact"/>
        <w:rPr>
          <w:color w:val="auto"/>
          <w:szCs w:val="21"/>
        </w:rPr>
      </w:pPr>
      <w:r>
        <w:rPr>
          <w:b/>
          <w:bCs/>
          <w:color w:val="auto"/>
          <w:szCs w:val="21"/>
        </w:rPr>
        <w:t xml:space="preserve">9.1.1 </w:t>
      </w:r>
      <w:r>
        <w:rPr>
          <w:color w:val="auto"/>
          <w:szCs w:val="21"/>
        </w:rPr>
        <w:t xml:space="preserve"> 地基处理方法的确定宜按下列步骤进行：</w:t>
      </w:r>
    </w:p>
    <w:p w14:paraId="6B9AE183">
      <w:pPr>
        <w:adjustRightInd w:val="0"/>
        <w:snapToGrid w:val="0"/>
        <w:spacing w:line="340" w:lineRule="exact"/>
        <w:ind w:left="2" w:firstLine="422" w:firstLineChars="200"/>
        <w:rPr>
          <w:color w:val="auto"/>
          <w:szCs w:val="21"/>
        </w:rPr>
      </w:pPr>
      <w:r>
        <w:rPr>
          <w:b/>
          <w:bCs/>
          <w:color w:val="auto"/>
          <w:szCs w:val="21"/>
        </w:rPr>
        <w:t xml:space="preserve">a)  </w:t>
      </w:r>
      <w:r>
        <w:rPr>
          <w:color w:val="auto"/>
          <w:szCs w:val="21"/>
        </w:rPr>
        <w:t>根据建筑物的特点及场地</w:t>
      </w:r>
      <w:r>
        <w:rPr>
          <w:rFonts w:hint="eastAsia"/>
          <w:color w:val="auto"/>
          <w:szCs w:val="21"/>
        </w:rPr>
        <w:t>岩土工程条件</w:t>
      </w:r>
      <w:r>
        <w:rPr>
          <w:color w:val="auto"/>
          <w:szCs w:val="21"/>
        </w:rPr>
        <w:t>，初步选出几种可供考虑的地基处理方案，包括两种或多种地基处理措施组成的综合处理方案。</w:t>
      </w:r>
    </w:p>
    <w:p w14:paraId="7CC14914">
      <w:pPr>
        <w:adjustRightInd w:val="0"/>
        <w:snapToGrid w:val="0"/>
        <w:spacing w:line="340" w:lineRule="exact"/>
        <w:ind w:left="1" w:firstLine="422" w:firstLineChars="200"/>
        <w:rPr>
          <w:color w:val="auto"/>
          <w:szCs w:val="21"/>
        </w:rPr>
      </w:pPr>
      <w:r>
        <w:rPr>
          <w:b/>
          <w:bCs/>
          <w:color w:val="auto"/>
          <w:szCs w:val="21"/>
        </w:rPr>
        <w:t xml:space="preserve">b)  </w:t>
      </w:r>
      <w:r>
        <w:rPr>
          <w:color w:val="auto"/>
          <w:szCs w:val="21"/>
        </w:rPr>
        <w:t>对初步选出的各种地基处理方案，分别从对环境的影响、工程造价、施工工期、施工复杂程度、本地区施工技术水平等方面进行综合性技术经济比较，优化地基处理方法。</w:t>
      </w:r>
    </w:p>
    <w:p w14:paraId="66741003">
      <w:pPr>
        <w:adjustRightInd w:val="0"/>
        <w:snapToGrid w:val="0"/>
        <w:spacing w:line="340" w:lineRule="exact"/>
        <w:ind w:left="1" w:firstLine="422" w:firstLineChars="200"/>
        <w:rPr>
          <w:color w:val="auto"/>
          <w:szCs w:val="21"/>
        </w:rPr>
      </w:pPr>
      <w:r>
        <w:rPr>
          <w:b/>
          <w:bCs/>
          <w:color w:val="auto"/>
          <w:szCs w:val="21"/>
        </w:rPr>
        <w:t xml:space="preserve">c)  </w:t>
      </w:r>
      <w:r>
        <w:rPr>
          <w:color w:val="auto"/>
          <w:szCs w:val="21"/>
        </w:rPr>
        <w:t>对已选定的地基处理方法，宜在有代表性的场地上进行相应的试验，并进行必要的测试，以检验设计参数和处理效果。如达不到设计要求，应查明原因，修改设计参数或选择其他合适的地基处理方法。</w:t>
      </w:r>
    </w:p>
    <w:p w14:paraId="4BAD98A5">
      <w:pPr>
        <w:adjustRightInd w:val="0"/>
        <w:snapToGrid w:val="0"/>
        <w:spacing w:line="340" w:lineRule="exact"/>
        <w:rPr>
          <w:color w:val="auto"/>
          <w:szCs w:val="21"/>
          <w:u w:val="single"/>
        </w:rPr>
      </w:pPr>
      <w:r>
        <w:rPr>
          <w:b/>
          <w:bCs/>
          <w:color w:val="auto"/>
          <w:szCs w:val="21"/>
        </w:rPr>
        <w:t xml:space="preserve">9.1.2 </w:t>
      </w:r>
      <w:r>
        <w:rPr>
          <w:color w:val="auto"/>
          <w:szCs w:val="21"/>
        </w:rPr>
        <w:t xml:space="preserve"> 经处理后的地基，当按地基承载力确定基础底面积及埋深而需要对地基承载力特征值进行修正时，基础宽度的地基承载力修正系数应取零，基础埋深的地基承载力修正系数应取1.0。</w:t>
      </w:r>
    </w:p>
    <w:p w14:paraId="42C005C3">
      <w:pPr>
        <w:spacing w:line="340" w:lineRule="exact"/>
        <w:rPr>
          <w:rFonts w:eastAsia="黑体"/>
          <w:b/>
          <w:color w:val="auto"/>
          <w:szCs w:val="21"/>
        </w:rPr>
      </w:pPr>
      <w:r>
        <w:rPr>
          <w:rFonts w:eastAsia="黑体"/>
          <w:b/>
          <w:color w:val="auto"/>
          <w:szCs w:val="21"/>
        </w:rPr>
        <w:t xml:space="preserve">9.1.3 </w:t>
      </w:r>
      <w:r>
        <w:rPr>
          <w:rFonts w:hint="eastAsia" w:eastAsia="黑体"/>
          <w:b/>
          <w:color w:val="auto"/>
          <w:szCs w:val="21"/>
        </w:rPr>
        <w:t xml:space="preserve"> </w:t>
      </w:r>
      <w:r>
        <w:rPr>
          <w:color w:val="auto"/>
          <w:szCs w:val="21"/>
        </w:rPr>
        <w:t>处理后的地基应满足建筑物</w:t>
      </w:r>
      <w:r>
        <w:rPr>
          <w:rFonts w:hint="eastAsia"/>
          <w:color w:val="auto"/>
          <w:szCs w:val="21"/>
        </w:rPr>
        <w:t>地基</w:t>
      </w:r>
      <w:r>
        <w:rPr>
          <w:color w:val="auto"/>
          <w:szCs w:val="21"/>
        </w:rPr>
        <w:t>承载力、变形和稳定性要求，地基处理的设计尚应符合下列规定：</w:t>
      </w:r>
    </w:p>
    <w:p w14:paraId="5FA72EB3">
      <w:pPr>
        <w:spacing w:line="340" w:lineRule="exact"/>
        <w:ind w:firstLine="301" w:firstLineChars="143"/>
        <w:rPr>
          <w:rFonts w:eastAsia="黑体"/>
          <w:b/>
          <w:color w:val="auto"/>
          <w:szCs w:val="21"/>
        </w:rPr>
      </w:pPr>
      <w:r>
        <w:rPr>
          <w:rFonts w:eastAsia="黑体"/>
          <w:b/>
          <w:color w:val="auto"/>
          <w:szCs w:val="21"/>
        </w:rPr>
        <w:t>a)</w:t>
      </w:r>
      <w:r>
        <w:rPr>
          <w:rFonts w:hint="eastAsia" w:eastAsia="黑体"/>
          <w:b/>
          <w:color w:val="auto"/>
          <w:szCs w:val="21"/>
        </w:rPr>
        <w:t xml:space="preserve">  </w:t>
      </w:r>
      <w:r>
        <w:rPr>
          <w:color w:val="auto"/>
          <w:szCs w:val="21"/>
        </w:rPr>
        <w:t>经处理后的地基，</w:t>
      </w:r>
      <w:r>
        <w:rPr>
          <w:rFonts w:hint="eastAsia"/>
          <w:color w:val="auto"/>
          <w:szCs w:val="21"/>
        </w:rPr>
        <w:t>承载力验算应同时满足轴心荷载作用和偏心荷载作用要求；</w:t>
      </w:r>
      <w:r>
        <w:rPr>
          <w:color w:val="auto"/>
          <w:szCs w:val="21"/>
        </w:rPr>
        <w:t>当在受力层范围内仍存在软弱下卧层时，应进行软弱下卧层地基承载力验算；</w:t>
      </w:r>
    </w:p>
    <w:p w14:paraId="476EAB96">
      <w:pPr>
        <w:spacing w:line="340" w:lineRule="exact"/>
        <w:ind w:firstLine="310" w:firstLineChars="147"/>
        <w:rPr>
          <w:rFonts w:eastAsia="黑体"/>
          <w:b/>
          <w:color w:val="auto"/>
          <w:szCs w:val="21"/>
        </w:rPr>
      </w:pPr>
      <w:r>
        <w:rPr>
          <w:rFonts w:eastAsia="黑体"/>
          <w:b/>
          <w:color w:val="auto"/>
          <w:szCs w:val="21"/>
        </w:rPr>
        <w:t xml:space="preserve">b) </w:t>
      </w:r>
      <w:r>
        <w:rPr>
          <w:rFonts w:hint="eastAsia" w:eastAsia="黑体"/>
          <w:b/>
          <w:color w:val="auto"/>
          <w:szCs w:val="21"/>
        </w:rPr>
        <w:t xml:space="preserve"> </w:t>
      </w:r>
      <w:r>
        <w:rPr>
          <w:color w:val="auto"/>
          <w:szCs w:val="21"/>
        </w:rPr>
        <w:t>按地基变形设计或应作变形验算且需进行地基处理的建筑物或构筑物，应对处理后的地基进行变形验算；</w:t>
      </w:r>
    </w:p>
    <w:p w14:paraId="2D818E81">
      <w:pPr>
        <w:spacing w:line="340" w:lineRule="exact"/>
        <w:ind w:firstLine="310" w:firstLineChars="147"/>
        <w:rPr>
          <w:rFonts w:eastAsia="黑体"/>
          <w:b/>
          <w:color w:val="auto"/>
          <w:szCs w:val="21"/>
        </w:rPr>
      </w:pPr>
      <w:r>
        <w:rPr>
          <w:rFonts w:eastAsia="黑体"/>
          <w:b/>
          <w:color w:val="auto"/>
          <w:szCs w:val="21"/>
        </w:rPr>
        <w:t>c)</w:t>
      </w:r>
      <w:r>
        <w:rPr>
          <w:rFonts w:hint="eastAsia" w:eastAsia="黑体"/>
          <w:b/>
          <w:color w:val="auto"/>
          <w:szCs w:val="21"/>
        </w:rPr>
        <w:t xml:space="preserve"> </w:t>
      </w:r>
      <w:r>
        <w:rPr>
          <w:color w:val="auto"/>
          <w:szCs w:val="21"/>
        </w:rPr>
        <w:t>对建造在处理后的地基上受较大水平荷载或位于斜坡上的建筑物及构筑物，应进行地基稳定性验算。</w:t>
      </w:r>
    </w:p>
    <w:p w14:paraId="403F298B">
      <w:pPr>
        <w:spacing w:line="340" w:lineRule="exact"/>
        <w:rPr>
          <w:color w:val="auto"/>
          <w:szCs w:val="21"/>
        </w:rPr>
      </w:pPr>
      <w:r>
        <w:rPr>
          <w:b/>
          <w:color w:val="auto"/>
          <w:szCs w:val="21"/>
        </w:rPr>
        <w:t>9.1.4</w:t>
      </w:r>
      <w:r>
        <w:rPr>
          <w:color w:val="auto"/>
          <w:szCs w:val="21"/>
        </w:rPr>
        <w:t xml:space="preserve"> </w:t>
      </w:r>
      <w:r>
        <w:rPr>
          <w:rFonts w:hint="eastAsia"/>
          <w:color w:val="auto"/>
          <w:szCs w:val="21"/>
        </w:rPr>
        <w:t xml:space="preserve"> </w:t>
      </w:r>
      <w:r>
        <w:rPr>
          <w:color w:val="auto"/>
          <w:szCs w:val="21"/>
        </w:rPr>
        <w:t>对路基、堆场处理后的地基，应</w:t>
      </w:r>
      <w:r>
        <w:rPr>
          <w:rFonts w:hint="eastAsia"/>
          <w:color w:val="auto"/>
          <w:szCs w:val="21"/>
        </w:rPr>
        <w:t>采用圆弧滑动法</w:t>
      </w:r>
      <w:r>
        <w:rPr>
          <w:color w:val="auto"/>
          <w:szCs w:val="21"/>
        </w:rPr>
        <w:t>进行地基整体稳定性分析，分析时应考虑增强体抗弯破坏后其抗剪强度降低的不利情况，其稳定安全系数不应小于1.30。</w:t>
      </w:r>
    </w:p>
    <w:p w14:paraId="3C59A9E8">
      <w:pPr>
        <w:spacing w:line="340" w:lineRule="exact"/>
        <w:rPr>
          <w:color w:val="auto"/>
          <w:szCs w:val="21"/>
        </w:rPr>
      </w:pPr>
      <w:r>
        <w:rPr>
          <w:b/>
          <w:color w:val="auto"/>
          <w:szCs w:val="21"/>
        </w:rPr>
        <w:t>9.1.5</w:t>
      </w:r>
      <w:r>
        <w:rPr>
          <w:color w:val="auto"/>
          <w:szCs w:val="21"/>
        </w:rPr>
        <w:t xml:space="preserve"> </w:t>
      </w:r>
      <w:r>
        <w:rPr>
          <w:rFonts w:hint="eastAsia"/>
          <w:color w:val="auto"/>
          <w:szCs w:val="21"/>
        </w:rPr>
        <w:t xml:space="preserve"> </w:t>
      </w:r>
      <w:r>
        <w:rPr>
          <w:color w:val="auto"/>
          <w:szCs w:val="21"/>
        </w:rPr>
        <w:t>刚度差异较大的整体大面积基础的地基处理，宜考虑上部结构、基础和地基共同作用进行地基承载力和变形验算。</w:t>
      </w:r>
    </w:p>
    <w:p w14:paraId="72F0B9D2">
      <w:pPr>
        <w:spacing w:line="340" w:lineRule="exact"/>
        <w:rPr>
          <w:color w:val="auto"/>
        </w:rPr>
      </w:pPr>
      <w:r>
        <w:rPr>
          <w:rFonts w:eastAsia="黑体"/>
          <w:b/>
          <w:color w:val="auto"/>
        </w:rPr>
        <w:t>9.1.6</w:t>
      </w:r>
      <w:r>
        <w:rPr>
          <w:rFonts w:hint="eastAsia" w:eastAsia="黑体"/>
          <w:b/>
          <w:color w:val="auto"/>
        </w:rPr>
        <w:t xml:space="preserve"> </w:t>
      </w:r>
      <w:r>
        <w:rPr>
          <w:rFonts w:eastAsia="黑体"/>
          <w:b/>
          <w:color w:val="auto"/>
        </w:rPr>
        <w:t xml:space="preserve"> </w:t>
      </w:r>
      <w:r>
        <w:rPr>
          <w:color w:val="auto"/>
        </w:rPr>
        <w:t>处理后的地基应进行地基承载力检测、加固深度范围内地基的均匀性检测以及复合地基增强体的成桩质量和承载力检测。</w:t>
      </w:r>
    </w:p>
    <w:p w14:paraId="5DA0A9CF">
      <w:pPr>
        <w:spacing w:line="340" w:lineRule="exact"/>
        <w:ind w:left="422" w:hanging="422"/>
        <w:rPr>
          <w:color w:val="auto"/>
          <w:szCs w:val="21"/>
        </w:rPr>
      </w:pPr>
      <w:r>
        <w:rPr>
          <w:b/>
          <w:color w:val="auto"/>
          <w:szCs w:val="21"/>
        </w:rPr>
        <w:t>9.1.7</w:t>
      </w:r>
      <w:r>
        <w:rPr>
          <w:rFonts w:hint="eastAsia"/>
          <w:b/>
          <w:color w:val="auto"/>
          <w:szCs w:val="21"/>
        </w:rPr>
        <w:t xml:space="preserve"> </w:t>
      </w:r>
      <w:r>
        <w:rPr>
          <w:b/>
          <w:color w:val="auto"/>
          <w:szCs w:val="21"/>
        </w:rPr>
        <w:t xml:space="preserve"> </w:t>
      </w:r>
      <w:r>
        <w:rPr>
          <w:color w:val="auto"/>
          <w:szCs w:val="21"/>
        </w:rPr>
        <w:t>地基处理所采用的材料，应符合耐久性设计</w:t>
      </w:r>
      <w:r>
        <w:rPr>
          <w:rFonts w:hint="eastAsia"/>
          <w:color w:val="auto"/>
          <w:szCs w:val="21"/>
        </w:rPr>
        <w:t>和绿色环保</w:t>
      </w:r>
      <w:r>
        <w:rPr>
          <w:color w:val="auto"/>
          <w:szCs w:val="21"/>
        </w:rPr>
        <w:t>的要求。</w:t>
      </w:r>
    </w:p>
    <w:p w14:paraId="1ABC40D3">
      <w:pPr>
        <w:adjustRightInd w:val="0"/>
        <w:snapToGrid w:val="0"/>
        <w:spacing w:line="340" w:lineRule="exact"/>
        <w:ind w:left="23" w:hanging="23" w:hangingChars="11"/>
        <w:rPr>
          <w:color w:val="auto"/>
          <w:szCs w:val="21"/>
        </w:rPr>
      </w:pPr>
    </w:p>
    <w:p w14:paraId="1E4C70BF">
      <w:pPr>
        <w:adjustRightInd w:val="0"/>
        <w:snapToGrid w:val="0"/>
        <w:spacing w:line="340" w:lineRule="exact"/>
        <w:outlineLvl w:val="1"/>
        <w:rPr>
          <w:rFonts w:eastAsia="黑体"/>
          <w:b/>
          <w:bCs/>
          <w:color w:val="auto"/>
          <w:szCs w:val="21"/>
        </w:rPr>
      </w:pPr>
      <w:bookmarkStart w:id="27" w:name="_Toc199943589"/>
      <w:r>
        <w:rPr>
          <w:rFonts w:eastAsia="黑体"/>
          <w:b/>
          <w:bCs/>
          <w:color w:val="auto"/>
          <w:szCs w:val="21"/>
        </w:rPr>
        <w:t>9.2  水泥土搅拌桩复合地基</w:t>
      </w:r>
      <w:bookmarkEnd w:id="27"/>
    </w:p>
    <w:p w14:paraId="3D4AD389">
      <w:pPr>
        <w:adjustRightInd w:val="0"/>
        <w:snapToGrid w:val="0"/>
        <w:spacing w:line="340" w:lineRule="exact"/>
        <w:ind w:left="510" w:firstLine="2951" w:firstLineChars="1400"/>
        <w:rPr>
          <w:b/>
          <w:bCs/>
          <w:color w:val="auto"/>
          <w:szCs w:val="21"/>
        </w:rPr>
      </w:pPr>
    </w:p>
    <w:p w14:paraId="511F9399">
      <w:pPr>
        <w:adjustRightInd w:val="0"/>
        <w:snapToGrid w:val="0"/>
        <w:spacing w:line="340" w:lineRule="exact"/>
        <w:ind w:left="2"/>
        <w:rPr>
          <w:color w:val="auto"/>
          <w:szCs w:val="21"/>
        </w:rPr>
      </w:pPr>
      <w:r>
        <w:rPr>
          <w:b/>
          <w:bCs/>
          <w:color w:val="auto"/>
          <w:szCs w:val="21"/>
        </w:rPr>
        <w:t xml:space="preserve">9.2.1 </w:t>
      </w:r>
      <w:r>
        <w:rPr>
          <w:color w:val="auto"/>
          <w:szCs w:val="21"/>
        </w:rPr>
        <w:t xml:space="preserve"> </w:t>
      </w:r>
      <w:r>
        <w:rPr>
          <w:color w:val="auto"/>
        </w:rPr>
        <w:t>水泥土搅拌桩的施工工艺分为浆液搅拌法（以下简称湿法）和粉体搅拌法（以下简称干法）。</w:t>
      </w:r>
      <w:r>
        <w:rPr>
          <w:color w:val="auto"/>
          <w:szCs w:val="21"/>
        </w:rPr>
        <w:t>水泥土搅拌桩适用于处理正常固结的淤泥、淤泥质土、素填土、粉土、黏性土以及松散—稍密砂土等地基。适用于七层及以下的民用建筑或相当的工业建筑的地基处理，且其基础为条基、十字交叉梁基础或筏基，不宜用于荷载较大的独立基础的建筑物。</w:t>
      </w:r>
    </w:p>
    <w:p w14:paraId="1B868DB0">
      <w:pPr>
        <w:adjustRightInd w:val="0"/>
        <w:snapToGrid w:val="0"/>
        <w:spacing w:line="340" w:lineRule="exact"/>
        <w:ind w:left="2" w:leftChars="1" w:firstLine="420" w:firstLineChars="200"/>
        <w:rPr>
          <w:color w:val="auto"/>
        </w:rPr>
      </w:pPr>
      <w:r>
        <w:rPr>
          <w:color w:val="auto"/>
        </w:rPr>
        <w:t>水泥土搅拌桩应进行工艺性试桩，数量不应少于3根，多轴搅拌施工不应少于3组；应对工艺性试桩的质量进行必要的检验，确定施工参数；工艺性试桩可结合承载力试桩进行。</w:t>
      </w:r>
    </w:p>
    <w:p w14:paraId="701CAA28">
      <w:pPr>
        <w:snapToGrid w:val="0"/>
        <w:spacing w:line="340" w:lineRule="exact"/>
        <w:rPr>
          <w:b/>
          <w:color w:val="auto"/>
        </w:rPr>
      </w:pPr>
      <w:r>
        <w:rPr>
          <w:rFonts w:eastAsia="黑体"/>
          <w:b/>
          <w:color w:val="auto"/>
          <w:spacing w:val="-6"/>
        </w:rPr>
        <w:t>9.2.2</w:t>
      </w:r>
      <w:r>
        <w:rPr>
          <w:rFonts w:eastAsia="黑体"/>
          <w:b/>
          <w:color w:val="auto"/>
        </w:rPr>
        <w:t xml:space="preserve">  </w:t>
      </w:r>
      <w:r>
        <w:rPr>
          <w:color w:val="auto"/>
          <w:szCs w:val="21"/>
        </w:rPr>
        <w:t>水泥土搅拌</w:t>
      </w:r>
      <w:r>
        <w:rPr>
          <w:rFonts w:hint="eastAsia"/>
          <w:color w:val="auto"/>
          <w:szCs w:val="21"/>
        </w:rPr>
        <w:t>桩</w:t>
      </w:r>
      <w:r>
        <w:rPr>
          <w:color w:val="auto"/>
          <w:szCs w:val="21"/>
        </w:rPr>
        <w:t>用于处理泥炭土、有机质土</w:t>
      </w:r>
      <w:r>
        <w:rPr>
          <w:rFonts w:hint="eastAsia"/>
          <w:color w:val="auto"/>
          <w:szCs w:val="21"/>
        </w:rPr>
        <w:t>、</w:t>
      </w:r>
      <w:r>
        <w:rPr>
          <w:color w:val="auto"/>
          <w:szCs w:val="21"/>
        </w:rPr>
        <w:t>pH值小于4的酸性土、塑性指数大于25的黏土</w:t>
      </w:r>
      <w:r>
        <w:rPr>
          <w:rFonts w:hint="eastAsia"/>
          <w:color w:val="auto"/>
          <w:szCs w:val="21"/>
        </w:rPr>
        <w:t>，</w:t>
      </w:r>
      <w:r>
        <w:rPr>
          <w:color w:val="auto"/>
          <w:szCs w:val="21"/>
        </w:rPr>
        <w:t>或在腐蚀性环境中以及无工程经验的地区使用时，必须通过现场和室内试验确定其适用性。</w:t>
      </w:r>
    </w:p>
    <w:p w14:paraId="48F9143D">
      <w:pPr>
        <w:adjustRightInd w:val="0"/>
        <w:snapToGrid w:val="0"/>
        <w:spacing w:line="340" w:lineRule="exact"/>
        <w:rPr>
          <w:color w:val="auto"/>
          <w:szCs w:val="21"/>
          <w:u w:val="single"/>
        </w:rPr>
      </w:pPr>
      <w:r>
        <w:rPr>
          <w:b/>
          <w:bCs/>
          <w:color w:val="auto"/>
          <w:szCs w:val="21"/>
        </w:rPr>
        <w:t xml:space="preserve">9.2.3 </w:t>
      </w:r>
      <w:r>
        <w:rPr>
          <w:color w:val="auto"/>
          <w:szCs w:val="21"/>
        </w:rPr>
        <w:t xml:space="preserve"> 固化剂水泥掺量</w:t>
      </w:r>
      <w:r>
        <w:rPr>
          <w:color w:val="auto"/>
        </w:rPr>
        <w:t>不</w:t>
      </w:r>
      <w:r>
        <w:rPr>
          <w:color w:val="auto"/>
          <w:szCs w:val="21"/>
        </w:rPr>
        <w:t>宜</w:t>
      </w:r>
      <w:r>
        <w:rPr>
          <w:color w:val="auto"/>
        </w:rPr>
        <w:t>小于</w:t>
      </w:r>
      <w:r>
        <w:rPr>
          <w:color w:val="auto"/>
          <w:szCs w:val="21"/>
        </w:rPr>
        <w:t>被加固湿土质量的15%。湿法的水泥浆水灰比可选用</w:t>
      </w:r>
      <w:r>
        <w:rPr>
          <w:color w:val="auto"/>
        </w:rPr>
        <w:t>0.5～0.6</w:t>
      </w:r>
      <w:r>
        <w:rPr>
          <w:color w:val="auto"/>
          <w:szCs w:val="21"/>
        </w:rPr>
        <w:t>。对无工程经验的土层应进行水泥与土的配合比试验。</w:t>
      </w:r>
      <w:r>
        <w:rPr>
          <w:rFonts w:hint="eastAsia"/>
          <w:color w:val="auto"/>
          <w:szCs w:val="21"/>
        </w:rPr>
        <w:t>当地基土的天然含水量小于30%时，不宜采用干法。</w:t>
      </w:r>
    </w:p>
    <w:p w14:paraId="65DD346C">
      <w:pPr>
        <w:adjustRightInd w:val="0"/>
        <w:snapToGrid w:val="0"/>
        <w:spacing w:line="340" w:lineRule="exact"/>
        <w:rPr>
          <w:color w:val="auto"/>
          <w:szCs w:val="21"/>
        </w:rPr>
      </w:pPr>
      <w:r>
        <w:rPr>
          <w:b/>
          <w:bCs/>
          <w:color w:val="auto"/>
          <w:szCs w:val="21"/>
        </w:rPr>
        <w:t>9.2.4</w:t>
      </w:r>
      <w:r>
        <w:rPr>
          <w:color w:val="auto"/>
          <w:szCs w:val="21"/>
        </w:rPr>
        <w:t xml:space="preserve">  水泥土搅拌桩应穿透软弱土层或液化土层，桩端到达承载力相对较高的土层。</w:t>
      </w:r>
      <w:r>
        <w:rPr>
          <w:color w:val="auto"/>
        </w:rPr>
        <w:t>设置的搅拌桩同时为提高地基抗滑稳定性时，其桩长超过</w:t>
      </w:r>
      <w:r>
        <w:rPr>
          <w:rFonts w:hint="eastAsia"/>
          <w:color w:val="auto"/>
        </w:rPr>
        <w:t>潜在最</w:t>
      </w:r>
      <w:r>
        <w:rPr>
          <w:color w:val="auto"/>
        </w:rPr>
        <w:t>危险滑弧以下不应少于2.0m。</w:t>
      </w:r>
      <w:r>
        <w:rPr>
          <w:rFonts w:hint="eastAsia"/>
          <w:color w:val="auto"/>
        </w:rPr>
        <w:t>单轴与双轴搅拌桩的加固深度不宜大于18m，三轴搅拌桩加固深度不宜大于30m。水泥土搅拌的桩径不宜小于0.5m，相邻桩的间距不应大于4倍桩径。</w:t>
      </w:r>
    </w:p>
    <w:p w14:paraId="1D4BD24C">
      <w:pPr>
        <w:adjustRightInd w:val="0"/>
        <w:snapToGrid w:val="0"/>
        <w:spacing w:line="340" w:lineRule="exact"/>
        <w:rPr>
          <w:color w:val="auto"/>
          <w:szCs w:val="21"/>
        </w:rPr>
      </w:pPr>
      <w:r>
        <w:rPr>
          <w:b/>
          <w:bCs/>
          <w:color w:val="auto"/>
          <w:szCs w:val="21"/>
        </w:rPr>
        <w:t>9.2.5</w:t>
      </w:r>
      <w:r>
        <w:rPr>
          <w:color w:val="auto"/>
          <w:szCs w:val="21"/>
        </w:rPr>
        <w:t xml:space="preserve">  水泥土搅拌桩复合地基的承载力特征值应通过现场单桩或多桩复合地基</w:t>
      </w:r>
      <w:r>
        <w:rPr>
          <w:rFonts w:hint="eastAsia"/>
          <w:color w:val="auto"/>
          <w:szCs w:val="21"/>
        </w:rPr>
        <w:t>静</w:t>
      </w:r>
      <w:r>
        <w:rPr>
          <w:color w:val="auto"/>
          <w:szCs w:val="21"/>
        </w:rPr>
        <w:t>载试验确定，试验数量不应少于3点。初步设计时可按</w:t>
      </w:r>
      <w:r>
        <w:rPr>
          <w:rFonts w:hint="eastAsia"/>
          <w:color w:val="auto"/>
          <w:lang w:val="en-US" w:eastAsia="zh-CN"/>
        </w:rPr>
        <w:t>公式（35）</w:t>
      </w:r>
      <w:r>
        <w:rPr>
          <w:color w:val="auto"/>
          <w:szCs w:val="21"/>
        </w:rPr>
        <w:t>估算：</w:t>
      </w:r>
    </w:p>
    <w:p w14:paraId="21B85A56">
      <w:pPr>
        <w:pStyle w:val="12"/>
        <w:jc w:val="right"/>
        <w:rPr>
          <w:color w:val="auto"/>
          <w:szCs w:val="21"/>
        </w:rPr>
      </w:pPr>
      <w:r>
        <w:rPr>
          <w:rFonts w:hint="eastAsia"/>
          <w:color w:val="auto"/>
          <w:position w:val="-32"/>
          <w:szCs w:val="21"/>
        </w:rPr>
        <w:t xml:space="preserve">                            </w:t>
      </w:r>
      <w:r>
        <w:rPr>
          <w:color w:val="auto"/>
          <w:position w:val="-32"/>
          <w:szCs w:val="21"/>
        </w:rPr>
        <w:object>
          <v:shape id="_x0000_i1162" o:spt="75" type="#_x0000_t75" style="height:35.25pt;width:108.75pt;" o:ole="t" filled="f" o:preferrelative="t" stroked="f" coordsize="21600,21600">
            <v:path/>
            <v:fill on="f" focussize="0,0"/>
            <v:stroke on="f" joinstyle="miter"/>
            <v:imagedata r:id="rId275" o:title=""/>
            <o:lock v:ext="edit" aspectratio="t"/>
            <w10:wrap type="none"/>
            <w10:anchorlock/>
          </v:shape>
          <o:OLEObject Type="Embed" ProgID="Equation.DSMT4" ShapeID="_x0000_i1162" DrawAspect="Content" ObjectID="_1468075862" r:id="rId274">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35</w:t>
      </w:r>
      <w:r>
        <w:rPr>
          <w:color w:val="auto"/>
          <w:szCs w:val="21"/>
        </w:rPr>
        <w:fldChar w:fldCharType="end"/>
      </w:r>
      <w:r>
        <w:rPr>
          <w:color w:val="auto"/>
          <w:szCs w:val="21"/>
        </w:rPr>
        <w:t>)</w:t>
      </w:r>
    </w:p>
    <w:p w14:paraId="406A0602">
      <w:pPr>
        <w:adjustRightInd w:val="0"/>
        <w:snapToGrid w:val="0"/>
        <w:spacing w:line="240" w:lineRule="atLeast"/>
        <w:rPr>
          <w:color w:val="auto"/>
          <w:szCs w:val="21"/>
        </w:rPr>
      </w:pPr>
      <w:r>
        <w:rPr>
          <w:color w:val="auto"/>
          <w:szCs w:val="21"/>
        </w:rPr>
        <w:t xml:space="preserve">式中  </w:t>
      </w:r>
      <w:r>
        <w:rPr>
          <w:color w:val="auto"/>
          <w:position w:val="-14"/>
          <w:szCs w:val="21"/>
        </w:rPr>
        <w:object>
          <v:shape id="_x0000_i1163" o:spt="75" type="#_x0000_t75" style="height:18.75pt;width:18.75pt;" o:ole="t" filled="f" o:preferrelative="t" stroked="f" coordsize="21600,21600">
            <v:path/>
            <v:fill on="f" focussize="0,0"/>
            <v:stroke on="f" joinstyle="miter"/>
            <v:imagedata r:id="rId277" o:title=""/>
            <o:lock v:ext="edit" aspectratio="t"/>
            <w10:wrap type="none"/>
            <w10:anchorlock/>
          </v:shape>
          <o:OLEObject Type="Embed" ProgID="Equation.DSMT4" ShapeID="_x0000_i1163" DrawAspect="Content" ObjectID="_1468075863" r:id="rId276">
            <o:LockedField>false</o:LockedField>
          </o:OLEObject>
        </w:object>
      </w:r>
      <w:r>
        <w:rPr>
          <w:color w:val="auto"/>
          <w:szCs w:val="21"/>
        </w:rPr>
        <w:t>——水泥土搅拌桩复合地基承载力特征值（</w:t>
      </w:r>
      <w:r>
        <w:rPr>
          <w:iCs/>
          <w:color w:val="auto"/>
          <w:szCs w:val="21"/>
        </w:rPr>
        <w:t>kPa</w:t>
      </w:r>
      <w:r>
        <w:rPr>
          <w:color w:val="auto"/>
          <w:szCs w:val="21"/>
        </w:rPr>
        <w:t>）；</w:t>
      </w:r>
    </w:p>
    <w:p w14:paraId="7F60AFB3">
      <w:pPr>
        <w:adjustRightInd w:val="0"/>
        <w:snapToGrid w:val="0"/>
        <w:spacing w:line="340" w:lineRule="exact"/>
        <w:ind w:firstLine="852" w:firstLineChars="406"/>
        <w:rPr>
          <w:color w:val="auto"/>
          <w:szCs w:val="21"/>
        </w:rPr>
      </w:pPr>
      <w:r>
        <w:rPr>
          <w:i/>
          <w:color w:val="auto"/>
          <w:szCs w:val="21"/>
        </w:rPr>
        <w:t>m</w:t>
      </w:r>
      <w:r>
        <w:rPr>
          <w:color w:val="auto"/>
          <w:szCs w:val="21"/>
        </w:rPr>
        <w:t>——面积置换率；</w:t>
      </w:r>
    </w:p>
    <w:p w14:paraId="7D80DA66">
      <w:pPr>
        <w:adjustRightInd w:val="0"/>
        <w:snapToGrid w:val="0"/>
        <w:spacing w:line="340" w:lineRule="exact"/>
        <w:ind w:firstLine="798" w:firstLineChars="380"/>
        <w:rPr>
          <w:color w:val="auto"/>
          <w:szCs w:val="21"/>
        </w:rPr>
      </w:pPr>
      <w:r>
        <w:rPr>
          <w:i/>
          <w:color w:val="auto"/>
          <w:szCs w:val="21"/>
        </w:rPr>
        <w:t>A</w:t>
      </w:r>
      <w:r>
        <w:rPr>
          <w:iCs/>
          <w:color w:val="auto"/>
          <w:szCs w:val="21"/>
          <w:vertAlign w:val="subscript"/>
        </w:rPr>
        <w:t>p</w:t>
      </w:r>
      <w:r>
        <w:rPr>
          <w:color w:val="auto"/>
          <w:szCs w:val="21"/>
        </w:rPr>
        <w:t>——水泥土搅拌桩的截面积（</w:t>
      </w:r>
      <w:r>
        <w:rPr>
          <w:iCs/>
          <w:color w:val="auto"/>
          <w:szCs w:val="21"/>
        </w:rPr>
        <w:t>m</w:t>
      </w:r>
      <w:r>
        <w:rPr>
          <w:color w:val="auto"/>
          <w:szCs w:val="21"/>
          <w:vertAlign w:val="superscript"/>
        </w:rPr>
        <w:t>2</w:t>
      </w:r>
      <w:r>
        <w:rPr>
          <w:color w:val="auto"/>
          <w:szCs w:val="21"/>
        </w:rPr>
        <w:t>）；</w:t>
      </w:r>
    </w:p>
    <w:p w14:paraId="14371328">
      <w:pPr>
        <w:adjustRightInd w:val="0"/>
        <w:snapToGrid w:val="0"/>
        <w:spacing w:line="240" w:lineRule="atLeast"/>
        <w:ind w:firstLine="657" w:firstLineChars="313"/>
        <w:rPr>
          <w:color w:val="auto"/>
          <w:szCs w:val="21"/>
        </w:rPr>
      </w:pPr>
      <w:r>
        <w:rPr>
          <w:color w:val="auto"/>
          <w:position w:val="-12"/>
          <w:szCs w:val="21"/>
        </w:rPr>
        <w:object>
          <v:shape id="_x0000_i1164" o:spt="75" type="#_x0000_t75" style="height:18pt;width:16.5pt;" o:ole="t" filled="f" o:preferrelative="t" stroked="f" coordsize="21600,21600">
            <v:path/>
            <v:fill on="f" focussize="0,0"/>
            <v:stroke on="f" joinstyle="miter"/>
            <v:imagedata r:id="rId279" o:title=""/>
            <o:lock v:ext="edit" aspectratio="t"/>
            <w10:wrap type="none"/>
            <w10:anchorlock/>
          </v:shape>
          <o:OLEObject Type="Embed" ProgID="Equation.DSMT4" ShapeID="_x0000_i1164" DrawAspect="Content" ObjectID="_1468075864" r:id="rId278">
            <o:LockedField>false</o:LockedField>
          </o:OLEObject>
        </w:object>
      </w:r>
      <w:r>
        <w:rPr>
          <w:color w:val="auto"/>
          <w:szCs w:val="21"/>
        </w:rPr>
        <w:t>——</w:t>
      </w:r>
      <w:r>
        <w:rPr>
          <w:rFonts w:hint="eastAsia"/>
          <w:color w:val="auto"/>
          <w:szCs w:val="21"/>
        </w:rPr>
        <w:t>处理后桩间土承载力特征值，取</w:t>
      </w:r>
      <w:r>
        <w:rPr>
          <w:color w:val="auto"/>
          <w:szCs w:val="21"/>
        </w:rPr>
        <w:t>桩间天然地基土承载力特征值（</w:t>
      </w:r>
      <w:r>
        <w:rPr>
          <w:iCs/>
          <w:color w:val="auto"/>
          <w:szCs w:val="21"/>
        </w:rPr>
        <w:t>kPa</w:t>
      </w:r>
      <w:r>
        <w:rPr>
          <w:color w:val="auto"/>
          <w:szCs w:val="21"/>
        </w:rPr>
        <w:t>）；</w:t>
      </w:r>
    </w:p>
    <w:p w14:paraId="14D561E2">
      <w:pPr>
        <w:adjustRightInd w:val="0"/>
        <w:snapToGrid w:val="0"/>
        <w:spacing w:line="340" w:lineRule="exact"/>
        <w:ind w:left="1426" w:leftChars="367" w:hanging="655" w:hangingChars="312"/>
        <w:rPr>
          <w:color w:val="auto"/>
          <w:szCs w:val="21"/>
        </w:rPr>
      </w:pPr>
      <w:r>
        <w:rPr>
          <w:color w:val="auto"/>
          <w:position w:val="-10"/>
          <w:szCs w:val="21"/>
        </w:rPr>
        <w:object>
          <v:shape id="_x0000_i1165" o:spt="75" type="#_x0000_t75" style="height:15pt;width:12pt;" o:ole="t" filled="f" o:preferrelative="t" stroked="f" coordsize="21600,21600">
            <v:path/>
            <v:fill on="f" focussize="0,0"/>
            <v:stroke on="f" joinstyle="miter"/>
            <v:imagedata r:id="rId281" o:title=""/>
            <o:lock v:ext="edit" aspectratio="t"/>
            <w10:wrap type="none"/>
            <w10:anchorlock/>
          </v:shape>
          <o:OLEObject Type="Embed" ProgID="Equation.DSMT4" ShapeID="_x0000_i1165" DrawAspect="Content" ObjectID="_1468075865" r:id="rId280">
            <o:LockedField>false</o:LockedField>
          </o:OLEObject>
        </w:object>
      </w:r>
      <w:r>
        <w:rPr>
          <w:color w:val="auto"/>
          <w:szCs w:val="21"/>
        </w:rPr>
        <w:t>——桩间土承载力发挥系数，</w:t>
      </w:r>
      <w:r>
        <w:rPr>
          <w:color w:val="auto"/>
        </w:rPr>
        <w:t>加固土层为淤泥</w:t>
      </w:r>
      <w:r>
        <w:rPr>
          <w:rFonts w:hint="eastAsia"/>
          <w:color w:val="auto"/>
        </w:rPr>
        <w:t>、</w:t>
      </w:r>
      <w:r>
        <w:rPr>
          <w:color w:val="auto"/>
        </w:rPr>
        <w:t>淤泥质土、流塑状软土时，可取0.1～0.4，其他土层可取0.4～0.8，加固土层强度高或设置褥垫层或土被封闭在格栅</w:t>
      </w:r>
      <w:r>
        <w:rPr>
          <w:rFonts w:hint="eastAsia"/>
          <w:color w:val="auto"/>
        </w:rPr>
        <w:t>加固体</w:t>
      </w:r>
      <w:r>
        <w:rPr>
          <w:color w:val="auto"/>
        </w:rPr>
        <w:t>中时取高值，桩端持力层土层强度高时取低值</w:t>
      </w:r>
      <w:r>
        <w:rPr>
          <w:rFonts w:hint="eastAsia"/>
          <w:color w:val="auto"/>
        </w:rPr>
        <w:t>；</w:t>
      </w:r>
    </w:p>
    <w:p w14:paraId="1199740D">
      <w:pPr>
        <w:adjustRightInd w:val="0"/>
        <w:snapToGrid w:val="0"/>
        <w:spacing w:line="340" w:lineRule="exact"/>
        <w:ind w:firstLine="783" w:firstLineChars="373"/>
        <w:rPr>
          <w:color w:val="auto"/>
          <w:szCs w:val="21"/>
        </w:rPr>
      </w:pPr>
      <w:r>
        <w:rPr>
          <w:i/>
          <w:color w:val="auto"/>
          <w:szCs w:val="21"/>
        </w:rPr>
        <w:t>R</w:t>
      </w:r>
      <w:r>
        <w:rPr>
          <w:iCs/>
          <w:color w:val="auto"/>
          <w:szCs w:val="21"/>
          <w:vertAlign w:val="subscript"/>
        </w:rPr>
        <w:t>a</w:t>
      </w:r>
      <w:r>
        <w:rPr>
          <w:color w:val="auto"/>
          <w:szCs w:val="21"/>
        </w:rPr>
        <w:t>——水泥土搅拌桩单桩竖向承载力特征值（</w:t>
      </w:r>
      <w:r>
        <w:rPr>
          <w:iCs/>
          <w:color w:val="auto"/>
          <w:szCs w:val="21"/>
        </w:rPr>
        <w:t>kN</w:t>
      </w:r>
      <w:r>
        <w:rPr>
          <w:color w:val="auto"/>
          <w:szCs w:val="21"/>
        </w:rPr>
        <w:t>）。</w:t>
      </w:r>
    </w:p>
    <w:p w14:paraId="77E6A2E1">
      <w:pPr>
        <w:adjustRightInd w:val="0"/>
        <w:snapToGrid w:val="0"/>
        <w:spacing w:line="340" w:lineRule="exact"/>
        <w:rPr>
          <w:color w:val="auto"/>
          <w:szCs w:val="21"/>
        </w:rPr>
      </w:pPr>
      <w:r>
        <w:rPr>
          <w:b/>
          <w:bCs/>
          <w:color w:val="auto"/>
          <w:szCs w:val="21"/>
        </w:rPr>
        <w:t xml:space="preserve">9.2.6 </w:t>
      </w:r>
      <w:r>
        <w:rPr>
          <w:color w:val="auto"/>
          <w:szCs w:val="21"/>
        </w:rPr>
        <w:t xml:space="preserve"> </w:t>
      </w:r>
      <w:r>
        <w:rPr>
          <w:color w:val="auto"/>
        </w:rPr>
        <w:t>单桩承载力特征值应通过现场静载试验确定，试验数量不应少于3根。</w:t>
      </w:r>
      <w:r>
        <w:rPr>
          <w:color w:val="auto"/>
          <w:szCs w:val="21"/>
        </w:rPr>
        <w:t>初步设计时可按</w:t>
      </w:r>
      <w:r>
        <w:rPr>
          <w:rFonts w:hint="eastAsia"/>
          <w:color w:val="auto"/>
          <w:lang w:val="en-US" w:eastAsia="zh-CN"/>
        </w:rPr>
        <w:t>公式（36）</w:t>
      </w:r>
      <w:r>
        <w:rPr>
          <w:color w:val="auto"/>
          <w:szCs w:val="21"/>
        </w:rPr>
        <w:t>估算单桩承载力特征值，并应同时满足</w:t>
      </w:r>
      <w:r>
        <w:rPr>
          <w:rFonts w:hint="eastAsia"/>
          <w:color w:val="auto"/>
          <w:lang w:val="en-US" w:eastAsia="zh-CN"/>
        </w:rPr>
        <w:t>公式（37）</w:t>
      </w:r>
      <w:r>
        <w:rPr>
          <w:color w:val="auto"/>
          <w:szCs w:val="21"/>
        </w:rPr>
        <w:t>的要求：</w:t>
      </w:r>
    </w:p>
    <w:p w14:paraId="3C0DB972">
      <w:pPr>
        <w:pStyle w:val="12"/>
        <w:jc w:val="right"/>
        <w:rPr>
          <w:color w:val="auto"/>
          <w:szCs w:val="21"/>
        </w:rPr>
      </w:pPr>
      <w:r>
        <w:rPr>
          <w:color w:val="auto"/>
          <w:position w:val="-22"/>
        </w:rPr>
        <w:object>
          <v:shape id="_x0000_i1166" o:spt="75" type="#_x0000_t75" style="height:28.5pt;width:108.75pt;" o:ole="t" filled="f" o:preferrelative="t" stroked="f" coordsize="21600,21600">
            <v:path/>
            <v:fill on="f" focussize="0,0"/>
            <v:stroke on="f" joinstyle="miter"/>
            <v:imagedata r:id="rId283" o:title=""/>
            <o:lock v:ext="edit" aspectratio="t"/>
            <w10:wrap type="none"/>
            <w10:anchorlock/>
          </v:shape>
          <o:OLEObject Type="Embed" ProgID="Equation.DSMT4" ShapeID="_x0000_i1166" DrawAspect="Content" ObjectID="_1468075866" r:id="rId282">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36</w:t>
      </w:r>
      <w:r>
        <w:rPr>
          <w:color w:val="auto"/>
          <w:szCs w:val="21"/>
        </w:rPr>
        <w:fldChar w:fldCharType="end"/>
      </w:r>
      <w:r>
        <w:rPr>
          <w:color w:val="auto"/>
          <w:szCs w:val="21"/>
        </w:rPr>
        <w:t>)</w:t>
      </w:r>
    </w:p>
    <w:p w14:paraId="2069C872">
      <w:pPr>
        <w:pStyle w:val="12"/>
        <w:jc w:val="right"/>
        <w:rPr>
          <w:color w:val="auto"/>
          <w:szCs w:val="21"/>
        </w:rPr>
      </w:pPr>
      <w:r>
        <w:rPr>
          <w:color w:val="auto"/>
          <w:position w:val="-14"/>
          <w:szCs w:val="21"/>
        </w:rPr>
        <w:object>
          <v:shape id="_x0000_i1167" o:spt="75" type="#_x0000_t75" style="height:18.75pt;width:56.25pt;" o:ole="t" filled="f" o:preferrelative="t" stroked="f" coordsize="21600,21600">
            <v:path/>
            <v:fill on="f" focussize="0,0"/>
            <v:stroke on="f" joinstyle="miter"/>
            <v:imagedata r:id="rId285" o:title=""/>
            <o:lock v:ext="edit" aspectratio="t"/>
            <w10:wrap type="none"/>
            <w10:anchorlock/>
          </v:shape>
          <o:OLEObject Type="Embed" ProgID="Equation.DSMT4" ShapeID="_x0000_i1167" DrawAspect="Content" ObjectID="_1468075867" r:id="rId284">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37</w:t>
      </w:r>
      <w:r>
        <w:rPr>
          <w:color w:val="auto"/>
          <w:szCs w:val="21"/>
        </w:rPr>
        <w:fldChar w:fldCharType="end"/>
      </w:r>
      <w:r>
        <w:rPr>
          <w:color w:val="auto"/>
          <w:szCs w:val="21"/>
        </w:rPr>
        <w:t>)</w:t>
      </w:r>
    </w:p>
    <w:p w14:paraId="4D33BDDD">
      <w:pPr>
        <w:adjustRightInd w:val="0"/>
        <w:snapToGrid w:val="0"/>
        <w:spacing w:before="120" w:line="340" w:lineRule="exact"/>
        <w:ind w:left="1407" w:leftChars="49" w:hanging="1304" w:hangingChars="621"/>
        <w:rPr>
          <w:color w:val="auto"/>
          <w:szCs w:val="21"/>
        </w:rPr>
      </w:pPr>
      <w:r>
        <w:rPr>
          <w:color w:val="auto"/>
          <w:szCs w:val="21"/>
        </w:rPr>
        <w:t>式中</w:t>
      </w:r>
      <w:r>
        <w:rPr>
          <w:color w:val="auto"/>
          <w:sz w:val="10"/>
          <w:szCs w:val="10"/>
        </w:rPr>
        <w:t xml:space="preserve">  </w:t>
      </w:r>
      <w:r>
        <w:rPr>
          <w:color w:val="auto"/>
          <w:position w:val="-12"/>
          <w:szCs w:val="21"/>
        </w:rPr>
        <w:object>
          <v:shape id="_x0000_i1168" o:spt="75" type="#_x0000_t75" style="height:18pt;width:16.5pt;" o:ole="t" filled="f" o:preferrelative="t" stroked="f" coordsize="21600,21600">
            <v:path/>
            <v:fill on="f" focussize="0,0"/>
            <v:stroke on="f" joinstyle="miter"/>
            <v:imagedata r:id="rId287" o:title=""/>
            <o:lock v:ext="edit" aspectratio="t"/>
            <w10:wrap type="none"/>
            <w10:anchorlock/>
          </v:shape>
          <o:OLEObject Type="Embed" ProgID="Equation.DSMT4" ShapeID="_x0000_i1168" DrawAspect="Content" ObjectID="_1468075868" r:id="rId286">
            <o:LockedField>false</o:LockedField>
          </o:OLEObject>
        </w:object>
      </w:r>
      <w:r>
        <w:rPr>
          <w:color w:val="auto"/>
          <w:szCs w:val="21"/>
        </w:rPr>
        <w:t>——与搅拌桩桩身水泥土配比相同的室内加固土试块（边长为70.7</w:t>
      </w:r>
      <w:r>
        <w:rPr>
          <w:iCs/>
          <w:color w:val="auto"/>
          <w:szCs w:val="21"/>
        </w:rPr>
        <w:t>mm</w:t>
      </w:r>
      <w:r>
        <w:rPr>
          <w:color w:val="auto"/>
          <w:szCs w:val="21"/>
        </w:rPr>
        <w:t>立方体，也可采用边长为50</w:t>
      </w:r>
      <w:r>
        <w:rPr>
          <w:iCs/>
          <w:color w:val="auto"/>
          <w:szCs w:val="21"/>
        </w:rPr>
        <w:t>mm</w:t>
      </w:r>
      <w:r>
        <w:rPr>
          <w:color w:val="auto"/>
          <w:szCs w:val="21"/>
        </w:rPr>
        <w:t>的立方体）在标准养护条件下90</w:t>
      </w:r>
      <w:r>
        <w:rPr>
          <w:iCs/>
          <w:color w:val="auto"/>
          <w:szCs w:val="21"/>
        </w:rPr>
        <w:t>d</w:t>
      </w:r>
      <w:r>
        <w:rPr>
          <w:color w:val="auto"/>
          <w:szCs w:val="21"/>
        </w:rPr>
        <w:t>龄期的立方体抗压强度</w:t>
      </w:r>
      <w:r>
        <w:rPr>
          <w:rFonts w:hint="eastAsia"/>
          <w:color w:val="auto"/>
          <w:szCs w:val="21"/>
        </w:rPr>
        <w:t>平均</w:t>
      </w:r>
      <w:r>
        <w:rPr>
          <w:color w:val="auto"/>
          <w:szCs w:val="21"/>
        </w:rPr>
        <w:t>值（</w:t>
      </w:r>
      <w:r>
        <w:rPr>
          <w:iCs/>
          <w:color w:val="auto"/>
          <w:szCs w:val="21"/>
        </w:rPr>
        <w:t>kPa</w:t>
      </w:r>
      <w:r>
        <w:rPr>
          <w:color w:val="auto"/>
          <w:szCs w:val="21"/>
        </w:rPr>
        <w:t>）；</w:t>
      </w:r>
    </w:p>
    <w:p w14:paraId="7302AC6F">
      <w:pPr>
        <w:adjustRightInd w:val="0"/>
        <w:snapToGrid w:val="0"/>
        <w:spacing w:line="340" w:lineRule="exact"/>
        <w:ind w:left="1438" w:leftChars="371" w:hanging="659" w:hangingChars="314"/>
        <w:rPr>
          <w:color w:val="auto"/>
          <w:szCs w:val="21"/>
        </w:rPr>
      </w:pPr>
      <w:r>
        <w:rPr>
          <w:color w:val="auto"/>
          <w:position w:val="-10"/>
          <w:szCs w:val="21"/>
        </w:rPr>
        <w:object>
          <v:shape id="_x0000_i1169" o:spt="75" type="#_x0000_t75" style="height:12.75pt;width:9.75pt;" o:ole="t" filled="f" o:preferrelative="t" stroked="f" coordsize="21600,21600">
            <v:path/>
            <v:fill on="f" focussize="0,0"/>
            <v:stroke on="f" joinstyle="miter"/>
            <v:imagedata r:id="rId289" o:title=""/>
            <o:lock v:ext="edit" aspectratio="t"/>
            <w10:wrap type="none"/>
            <w10:anchorlock/>
          </v:shape>
          <o:OLEObject Type="Embed" ProgID="Equation.DSMT4" ShapeID="_x0000_i1169" DrawAspect="Content" ObjectID="_1468075869" r:id="rId288">
            <o:LockedField>false</o:LockedField>
          </o:OLEObject>
        </w:object>
      </w:r>
      <w:r>
        <w:rPr>
          <w:color w:val="auto"/>
          <w:szCs w:val="21"/>
        </w:rPr>
        <w:t>——桩身强度折减系数，干法可取0.20～0.</w:t>
      </w:r>
      <w:r>
        <w:rPr>
          <w:rFonts w:hint="eastAsia"/>
          <w:color w:val="auto"/>
          <w:szCs w:val="21"/>
        </w:rPr>
        <w:t>25</w:t>
      </w:r>
      <w:r>
        <w:rPr>
          <w:color w:val="auto"/>
          <w:szCs w:val="21"/>
        </w:rPr>
        <w:t>；湿法可取0.25；</w:t>
      </w:r>
    </w:p>
    <w:p w14:paraId="4BF65633">
      <w:pPr>
        <w:adjustRightInd w:val="0"/>
        <w:snapToGrid w:val="0"/>
        <w:spacing w:line="240" w:lineRule="atLeast"/>
        <w:ind w:firstLine="722" w:firstLineChars="344"/>
        <w:rPr>
          <w:color w:val="auto"/>
          <w:szCs w:val="21"/>
        </w:rPr>
      </w:pPr>
      <w:r>
        <w:rPr>
          <w:color w:val="auto"/>
          <w:position w:val="-14"/>
          <w:szCs w:val="21"/>
        </w:rPr>
        <w:object>
          <v:shape id="_x0000_i1170" o:spt="75" type="#_x0000_t75" style="height:16.5pt;width:12.75pt;" o:ole="t" filled="f" o:preferrelative="t" stroked="f" coordsize="21600,21600">
            <v:path/>
            <v:fill on="f" focussize="0,0"/>
            <v:stroke on="f" joinstyle="miter"/>
            <v:imagedata r:id="rId291" o:title=""/>
            <o:lock v:ext="edit" aspectratio="t"/>
            <w10:wrap type="none"/>
            <w10:anchorlock/>
          </v:shape>
          <o:OLEObject Type="Embed" ProgID="Equation.DSMT4" ShapeID="_x0000_i1170" DrawAspect="Content" ObjectID="_1468075870" r:id="rId290">
            <o:LockedField>false</o:LockedField>
          </o:OLEObject>
        </w:object>
      </w:r>
      <w:r>
        <w:rPr>
          <w:color w:val="auto"/>
          <w:szCs w:val="21"/>
        </w:rPr>
        <w:t>——桩的横截面周长（</w:t>
      </w:r>
      <w:r>
        <w:rPr>
          <w:iCs/>
          <w:color w:val="auto"/>
          <w:szCs w:val="21"/>
        </w:rPr>
        <w:t>m</w:t>
      </w:r>
      <w:r>
        <w:rPr>
          <w:color w:val="auto"/>
          <w:szCs w:val="21"/>
        </w:rPr>
        <w:t>）；</w:t>
      </w:r>
    </w:p>
    <w:p w14:paraId="4C1420D3">
      <w:pPr>
        <w:adjustRightInd w:val="0"/>
        <w:snapToGrid w:val="0"/>
        <w:spacing w:line="340" w:lineRule="exact"/>
        <w:ind w:firstLine="768" w:firstLineChars="366"/>
        <w:rPr>
          <w:color w:val="auto"/>
          <w:szCs w:val="21"/>
        </w:rPr>
      </w:pPr>
      <w:r>
        <w:rPr>
          <w:color w:val="auto"/>
          <w:position w:val="-6"/>
          <w:szCs w:val="21"/>
        </w:rPr>
        <w:object>
          <v:shape id="_x0000_i1171" o:spt="75" type="#_x0000_t75" style="height:11.25pt;width:9.75pt;" o:ole="t" filled="f" o:preferrelative="t" stroked="f" coordsize="21600,21600">
            <v:path/>
            <v:fill on="f" focussize="0,0"/>
            <v:stroke on="f" joinstyle="miter"/>
            <v:imagedata r:id="rId293" o:title=""/>
            <o:lock v:ext="edit" aspectratio="t"/>
            <w10:wrap type="none"/>
            <w10:anchorlock/>
          </v:shape>
          <o:OLEObject Type="Embed" ProgID="Equation.3" ShapeID="_x0000_i1171" DrawAspect="Content" ObjectID="_1468075871" r:id="rId292">
            <o:LockedField>false</o:LockedField>
          </o:OLEObject>
        </w:object>
      </w:r>
      <w:r>
        <w:rPr>
          <w:color w:val="auto"/>
          <w:szCs w:val="21"/>
        </w:rPr>
        <w:t>——桩长范围内所划分的土层数；</w:t>
      </w:r>
    </w:p>
    <w:p w14:paraId="784F1B64">
      <w:pPr>
        <w:adjustRightInd w:val="0"/>
        <w:snapToGrid w:val="0"/>
        <w:spacing w:line="340" w:lineRule="exact"/>
        <w:ind w:left="1413" w:leftChars="293" w:hanging="798" w:hangingChars="380"/>
        <w:rPr>
          <w:color w:val="auto"/>
          <w:szCs w:val="21"/>
        </w:rPr>
      </w:pPr>
      <w:r>
        <w:rPr>
          <w:color w:val="auto"/>
          <w:position w:val="-12"/>
          <w:szCs w:val="21"/>
        </w:rPr>
        <w:object>
          <v:shape id="_x0000_i1172" o:spt="75" type="#_x0000_t75" style="height:18pt;width:18pt;" o:ole="t" filled="f" o:preferrelative="t" stroked="f" coordsize="21600,21600">
            <v:path/>
            <v:fill on="f" focussize="0,0"/>
            <v:stroke on="f" joinstyle="miter"/>
            <v:imagedata r:id="rId295" o:title=""/>
            <o:lock v:ext="edit" aspectratio="t"/>
            <w10:wrap type="none"/>
            <w10:anchorlock/>
          </v:shape>
          <o:OLEObject Type="Embed" ProgID="Equation.DSMT4" ShapeID="_x0000_i1172" DrawAspect="Content" ObjectID="_1468075872" r:id="rId294">
            <o:LockedField>false</o:LockedField>
          </o:OLEObject>
        </w:object>
      </w:r>
      <w:r>
        <w:rPr>
          <w:color w:val="auto"/>
          <w:szCs w:val="21"/>
        </w:rPr>
        <w:t>——桩侧第</w:t>
      </w:r>
      <w:r>
        <w:rPr>
          <w:i/>
          <w:color w:val="auto"/>
          <w:szCs w:val="21"/>
        </w:rPr>
        <w:t>i</w:t>
      </w:r>
      <w:r>
        <w:rPr>
          <w:color w:val="auto"/>
          <w:szCs w:val="21"/>
        </w:rPr>
        <w:t>层土的摩阻力特征值（</w:t>
      </w:r>
      <w:r>
        <w:rPr>
          <w:iCs/>
          <w:color w:val="auto"/>
          <w:szCs w:val="21"/>
        </w:rPr>
        <w:t>kPa</w:t>
      </w:r>
      <w:r>
        <w:rPr>
          <w:color w:val="auto"/>
          <w:szCs w:val="21"/>
        </w:rPr>
        <w:t>），按本文件附录F表F.3取值；</w:t>
      </w:r>
    </w:p>
    <w:p w14:paraId="24BB9B24">
      <w:pPr>
        <w:adjustRightInd w:val="0"/>
        <w:snapToGrid w:val="0"/>
        <w:spacing w:line="340" w:lineRule="exact"/>
        <w:ind w:left="714" w:leftChars="340" w:firstLine="84" w:firstLineChars="40"/>
        <w:rPr>
          <w:color w:val="auto"/>
          <w:szCs w:val="21"/>
        </w:rPr>
      </w:pPr>
      <w:r>
        <w:rPr>
          <w:color w:val="auto"/>
          <w:position w:val="-12"/>
          <w:szCs w:val="21"/>
        </w:rPr>
        <w:object>
          <v:shape id="_x0000_i1173" o:spt="75" type="#_x0000_t75" style="height:18pt;width:9pt;" o:ole="t" filled="f" o:preferrelative="t" stroked="f" coordsize="21600,21600">
            <v:path/>
            <v:fill on="f" focussize="0,0"/>
            <v:stroke on="f" joinstyle="miter"/>
            <v:imagedata r:id="rId297" o:title=""/>
            <o:lock v:ext="edit" aspectratio="t"/>
            <w10:wrap type="none"/>
            <w10:anchorlock/>
          </v:shape>
          <o:OLEObject Type="Embed" ProgID="Equation.DSMT4" ShapeID="_x0000_i1173" DrawAspect="Content" ObjectID="_1468075873" r:id="rId296">
            <o:LockedField>false</o:LockedField>
          </o:OLEObject>
        </w:object>
      </w:r>
      <w:r>
        <w:rPr>
          <w:color w:val="auto"/>
          <w:szCs w:val="21"/>
        </w:rPr>
        <w:t>——桩长范围内第</w:t>
      </w:r>
      <w:r>
        <w:rPr>
          <w:i/>
          <w:color w:val="auto"/>
          <w:szCs w:val="21"/>
        </w:rPr>
        <w:t>i</w:t>
      </w:r>
      <w:r>
        <w:rPr>
          <w:color w:val="auto"/>
          <w:szCs w:val="21"/>
        </w:rPr>
        <w:t>层土的厚度（</w:t>
      </w:r>
      <w:r>
        <w:rPr>
          <w:iCs/>
          <w:color w:val="auto"/>
          <w:szCs w:val="21"/>
        </w:rPr>
        <w:t>m</w:t>
      </w:r>
      <w:r>
        <w:rPr>
          <w:color w:val="auto"/>
          <w:szCs w:val="21"/>
        </w:rPr>
        <w:t>）；</w:t>
      </w:r>
    </w:p>
    <w:p w14:paraId="33CDC041">
      <w:pPr>
        <w:adjustRightInd w:val="0"/>
        <w:snapToGrid w:val="0"/>
        <w:spacing w:line="240" w:lineRule="atLeast"/>
        <w:ind w:left="1337" w:leftChars="333" w:hanging="638" w:hangingChars="304"/>
        <w:rPr>
          <w:color w:val="auto"/>
          <w:szCs w:val="21"/>
        </w:rPr>
      </w:pPr>
      <w:r>
        <w:rPr>
          <w:color w:val="auto"/>
          <w:position w:val="-14"/>
          <w:szCs w:val="21"/>
        </w:rPr>
        <w:object>
          <v:shape id="_x0000_i1174" o:spt="75" type="#_x0000_t75" style="height:18.75pt;width:12.75pt;" o:ole="t" filled="f" o:preferrelative="t" stroked="f" coordsize="21600,21600">
            <v:path/>
            <v:fill on="f" focussize="0,0"/>
            <v:stroke on="f" joinstyle="miter"/>
            <v:imagedata r:id="rId299" o:title=""/>
            <o:lock v:ext="edit" aspectratio="t"/>
            <w10:wrap type="none"/>
            <w10:anchorlock/>
          </v:shape>
          <o:OLEObject Type="Embed" ProgID="Equation.DSMT4" ShapeID="_x0000_i1174" DrawAspect="Content" ObjectID="_1468075874" r:id="rId298">
            <o:LockedField>false</o:LockedField>
          </o:OLEObject>
        </w:object>
      </w:r>
      <w:r>
        <w:rPr>
          <w:color w:val="auto"/>
          <w:szCs w:val="21"/>
        </w:rPr>
        <w:t>——桩端土阻力，采用桩端地基土未经修正的承载力特征值（</w:t>
      </w:r>
      <w:r>
        <w:rPr>
          <w:iCs/>
          <w:color w:val="auto"/>
          <w:szCs w:val="21"/>
        </w:rPr>
        <w:t>kPa</w:t>
      </w:r>
      <w:r>
        <w:rPr>
          <w:color w:val="auto"/>
          <w:szCs w:val="21"/>
        </w:rPr>
        <w:t>）；</w:t>
      </w:r>
    </w:p>
    <w:p w14:paraId="4254C5D9">
      <w:pPr>
        <w:tabs>
          <w:tab w:val="left" w:pos="-284"/>
        </w:tabs>
        <w:adjustRightInd w:val="0"/>
        <w:snapToGrid w:val="0"/>
        <w:spacing w:line="340" w:lineRule="exact"/>
        <w:ind w:left="1310" w:leftChars="340" w:hanging="596" w:hangingChars="284"/>
        <w:rPr>
          <w:color w:val="auto"/>
          <w:szCs w:val="21"/>
        </w:rPr>
      </w:pPr>
      <w:r>
        <w:rPr>
          <w:color w:val="auto"/>
          <w:position w:val="-6"/>
          <w:szCs w:val="21"/>
        </w:rPr>
        <w:object>
          <v:shape id="_x0000_i1175" o:spt="75" type="#_x0000_t75" style="height:11.25pt;width:11.25pt;" o:ole="t" filled="f" o:preferrelative="t" stroked="f" coordsize="21600,21600">
            <v:path/>
            <v:fill on="f" focussize="0,0"/>
            <v:stroke on="f" joinstyle="miter"/>
            <v:imagedata r:id="rId301" o:title=""/>
            <o:lock v:ext="edit" aspectratio="t"/>
            <w10:wrap type="none"/>
            <w10:anchorlock/>
          </v:shape>
          <o:OLEObject Type="Embed" ProgID="Equation.DSMT4" ShapeID="_x0000_i1175" DrawAspect="Content" ObjectID="_1468075875" r:id="rId300">
            <o:LockedField>false</o:LockedField>
          </o:OLEObject>
        </w:object>
      </w:r>
      <w:r>
        <w:rPr>
          <w:color w:val="auto"/>
          <w:szCs w:val="21"/>
        </w:rPr>
        <w:t>——桩端天然地基土的承载力折减系数，可取0.4～0.6，承载力高时取低值。</w:t>
      </w:r>
    </w:p>
    <w:p w14:paraId="7A38CD5D">
      <w:pPr>
        <w:tabs>
          <w:tab w:val="left" w:pos="1420"/>
        </w:tabs>
        <w:adjustRightInd w:val="0"/>
        <w:snapToGrid w:val="0"/>
        <w:spacing w:line="340" w:lineRule="exact"/>
        <w:rPr>
          <w:color w:val="auto"/>
          <w:szCs w:val="21"/>
        </w:rPr>
      </w:pPr>
      <w:r>
        <w:rPr>
          <w:b/>
          <w:bCs/>
          <w:color w:val="auto"/>
          <w:szCs w:val="21"/>
        </w:rPr>
        <w:t xml:space="preserve">9.2.7  </w:t>
      </w:r>
      <w:r>
        <w:rPr>
          <w:color w:val="auto"/>
          <w:szCs w:val="21"/>
        </w:rPr>
        <w:t>搅拌桩复合地基承载力特征值不宜大于180</w:t>
      </w:r>
      <w:r>
        <w:rPr>
          <w:iCs/>
          <w:color w:val="auto"/>
          <w:szCs w:val="21"/>
        </w:rPr>
        <w:t>kPa</w:t>
      </w:r>
      <w:r>
        <w:rPr>
          <w:color w:val="auto"/>
          <w:szCs w:val="21"/>
        </w:rPr>
        <w:t>，桩径500</w:t>
      </w:r>
      <w:r>
        <w:rPr>
          <w:iCs/>
          <w:color w:val="auto"/>
          <w:szCs w:val="21"/>
        </w:rPr>
        <w:t>mm</w:t>
      </w:r>
      <w:r>
        <w:rPr>
          <w:color w:val="auto"/>
          <w:szCs w:val="21"/>
        </w:rPr>
        <w:t>的搅拌桩单桩承载力特征值不宜大于120</w:t>
      </w:r>
      <w:r>
        <w:rPr>
          <w:iCs/>
          <w:color w:val="auto"/>
          <w:szCs w:val="21"/>
        </w:rPr>
        <w:t>kN</w:t>
      </w:r>
      <w:r>
        <w:rPr>
          <w:color w:val="auto"/>
          <w:szCs w:val="21"/>
        </w:rPr>
        <w:t>。</w:t>
      </w:r>
      <w:r>
        <w:rPr>
          <w:color w:val="auto"/>
        </w:rPr>
        <w:t>当搅拌桩处理范围以下存在软弱下卧层时，应按现行国家标准GB 50007的有关规定进行</w:t>
      </w:r>
      <w:r>
        <w:rPr>
          <w:rFonts w:hint="eastAsia"/>
          <w:color w:val="auto"/>
        </w:rPr>
        <w:t>软弱</w:t>
      </w:r>
      <w:r>
        <w:rPr>
          <w:color w:val="auto"/>
        </w:rPr>
        <w:t>下卧层</w:t>
      </w:r>
      <w:r>
        <w:rPr>
          <w:rFonts w:hint="eastAsia"/>
          <w:color w:val="auto"/>
        </w:rPr>
        <w:t>地基</w:t>
      </w:r>
      <w:r>
        <w:rPr>
          <w:color w:val="auto"/>
        </w:rPr>
        <w:t>承载力验算。</w:t>
      </w:r>
    </w:p>
    <w:p w14:paraId="406D7A95">
      <w:pPr>
        <w:adjustRightInd w:val="0"/>
        <w:snapToGrid w:val="0"/>
        <w:spacing w:line="340" w:lineRule="exact"/>
        <w:rPr>
          <w:color w:val="auto"/>
          <w:szCs w:val="21"/>
        </w:rPr>
      </w:pPr>
      <w:r>
        <w:rPr>
          <w:b/>
          <w:bCs/>
          <w:color w:val="auto"/>
          <w:szCs w:val="21"/>
        </w:rPr>
        <w:t xml:space="preserve">9.2.8 </w:t>
      </w:r>
      <w:r>
        <w:rPr>
          <w:color w:val="auto"/>
          <w:szCs w:val="21"/>
        </w:rPr>
        <w:t xml:space="preserve"> 搅拌桩复合地基应在基础和桩之间设置褥垫层。褥垫层厚度宜取150</w:t>
      </w:r>
      <w:r>
        <w:rPr>
          <w:iCs/>
          <w:color w:val="auto"/>
          <w:szCs w:val="21"/>
        </w:rPr>
        <w:t>mm</w:t>
      </w:r>
      <w:r>
        <w:rPr>
          <w:color w:val="auto"/>
          <w:szCs w:val="21"/>
        </w:rPr>
        <w:t>～300</w:t>
      </w:r>
      <w:r>
        <w:rPr>
          <w:iCs/>
          <w:color w:val="auto"/>
          <w:szCs w:val="21"/>
        </w:rPr>
        <w:t>mm</w:t>
      </w:r>
      <w:r>
        <w:rPr>
          <w:color w:val="auto"/>
          <w:szCs w:val="21"/>
        </w:rPr>
        <w:t>。其材料可选用中砂、粗砂或级配砂石等，最大粒径不宜大于20</w:t>
      </w:r>
      <w:r>
        <w:rPr>
          <w:iCs/>
          <w:color w:val="auto"/>
          <w:szCs w:val="21"/>
        </w:rPr>
        <w:t>mm</w:t>
      </w:r>
      <w:r>
        <w:rPr>
          <w:rFonts w:hint="eastAsia"/>
          <w:iCs/>
          <w:color w:val="auto"/>
          <w:szCs w:val="21"/>
        </w:rPr>
        <w:t>，</w:t>
      </w:r>
      <w:r>
        <w:rPr>
          <w:rFonts w:hint="eastAsia"/>
          <w:color w:val="auto"/>
          <w:szCs w:val="21"/>
        </w:rPr>
        <w:t>褥垫层</w:t>
      </w:r>
      <w:r>
        <w:rPr>
          <w:rFonts w:hint="eastAsia"/>
          <w:iCs/>
          <w:color w:val="auto"/>
          <w:szCs w:val="21"/>
        </w:rPr>
        <w:t>的夯填度（夯实后的厚度与虚铺厚度的比值）不应大于</w:t>
      </w:r>
      <w:r>
        <w:rPr>
          <w:iCs/>
          <w:color w:val="auto"/>
          <w:szCs w:val="21"/>
        </w:rPr>
        <w:t>0.9</w:t>
      </w:r>
      <w:r>
        <w:rPr>
          <w:color w:val="auto"/>
          <w:szCs w:val="21"/>
        </w:rPr>
        <w:t>。</w:t>
      </w:r>
    </w:p>
    <w:p w14:paraId="141F4B15">
      <w:pPr>
        <w:adjustRightInd w:val="0"/>
        <w:snapToGrid w:val="0"/>
        <w:spacing w:line="340" w:lineRule="exact"/>
        <w:rPr>
          <w:color w:val="auto"/>
          <w:szCs w:val="21"/>
        </w:rPr>
      </w:pPr>
      <w:r>
        <w:rPr>
          <w:b/>
          <w:bCs/>
          <w:color w:val="auto"/>
          <w:szCs w:val="21"/>
        </w:rPr>
        <w:t xml:space="preserve">9.2.9 </w:t>
      </w:r>
      <w:r>
        <w:rPr>
          <w:color w:val="auto"/>
          <w:szCs w:val="21"/>
        </w:rPr>
        <w:t xml:space="preserve"> 搅拌桩复合地基中的桩长超过10</w:t>
      </w:r>
      <w:r>
        <w:rPr>
          <w:iCs/>
          <w:color w:val="auto"/>
          <w:szCs w:val="21"/>
        </w:rPr>
        <w:t>m</w:t>
      </w:r>
      <w:r>
        <w:rPr>
          <w:color w:val="auto"/>
          <w:szCs w:val="21"/>
        </w:rPr>
        <w:t>时，</w:t>
      </w:r>
      <w:r>
        <w:rPr>
          <w:rFonts w:hint="eastAsia"/>
          <w:color w:val="auto"/>
          <w:szCs w:val="21"/>
        </w:rPr>
        <w:t>经试验后方可采用固化剂变掺量设计。</w:t>
      </w:r>
      <w:r>
        <w:rPr>
          <w:color w:val="auto"/>
          <w:szCs w:val="21"/>
        </w:rPr>
        <w:t>在全桩长水泥总掺量不变的前提下，</w:t>
      </w:r>
      <w:r>
        <w:rPr>
          <w:rFonts w:hint="eastAsia"/>
          <w:color w:val="auto"/>
          <w:szCs w:val="21"/>
        </w:rPr>
        <w:t>桩身上部1/3桩长范围内，可适当增加水泥掺量和搅拌次数</w:t>
      </w:r>
      <w:r>
        <w:rPr>
          <w:color w:val="auto"/>
          <w:szCs w:val="21"/>
        </w:rPr>
        <w:t>。</w:t>
      </w:r>
    </w:p>
    <w:p w14:paraId="4E3E7D89">
      <w:pPr>
        <w:adjustRightInd w:val="0"/>
        <w:snapToGrid w:val="0"/>
        <w:spacing w:line="340" w:lineRule="exact"/>
        <w:rPr>
          <w:color w:val="auto"/>
          <w:szCs w:val="21"/>
        </w:rPr>
      </w:pPr>
      <w:r>
        <w:rPr>
          <w:b/>
          <w:bCs/>
          <w:color w:val="auto"/>
          <w:szCs w:val="21"/>
        </w:rPr>
        <w:t xml:space="preserve">9.2.10 </w:t>
      </w:r>
      <w:r>
        <w:rPr>
          <w:color w:val="auto"/>
          <w:szCs w:val="21"/>
        </w:rPr>
        <w:t xml:space="preserve"> 竖向承载搅拌桩可只在基础平面范围内布置，桩间距不宜小于2倍桩径。</w:t>
      </w:r>
      <w:r>
        <w:rPr>
          <w:rFonts w:hint="eastAsia"/>
          <w:color w:val="auto"/>
          <w:szCs w:val="21"/>
        </w:rPr>
        <w:t>独立基础下的桩数不宜少于4根。</w:t>
      </w:r>
    </w:p>
    <w:p w14:paraId="36A062C0">
      <w:pPr>
        <w:jc w:val="left"/>
        <w:rPr>
          <w:b/>
          <w:bCs/>
          <w:color w:val="auto"/>
          <w:szCs w:val="21"/>
        </w:rPr>
      </w:pPr>
      <w:r>
        <w:rPr>
          <w:b/>
          <w:bCs/>
          <w:color w:val="auto"/>
          <w:szCs w:val="21"/>
        </w:rPr>
        <w:t xml:space="preserve">9.2.11  </w:t>
      </w:r>
      <w:r>
        <w:rPr>
          <w:color w:val="auto"/>
          <w:szCs w:val="21"/>
        </w:rPr>
        <w:t>水泥土搅拌桩复合地基的沉降计算应符合下列规定：</w:t>
      </w:r>
    </w:p>
    <w:p w14:paraId="0221C6BD">
      <w:pPr>
        <w:ind w:firstLine="413" w:firstLineChars="196"/>
        <w:jc w:val="left"/>
        <w:rPr>
          <w:color w:val="auto"/>
          <w:szCs w:val="21"/>
        </w:rPr>
      </w:pPr>
      <w:r>
        <w:rPr>
          <w:b/>
          <w:bCs/>
          <w:color w:val="auto"/>
          <w:szCs w:val="21"/>
        </w:rPr>
        <w:t xml:space="preserve">a)  </w:t>
      </w:r>
      <w:r>
        <w:rPr>
          <w:color w:val="auto"/>
          <w:szCs w:val="21"/>
        </w:rPr>
        <w:t>水泥土搅拌桩复合地基的最终沉降量，采用分层总和法按现行国家标准GB 50007有关公式计算，地基沉降计算深度必须大于复合土层的深度。</w:t>
      </w:r>
      <w:r>
        <w:rPr>
          <w:color w:val="auto"/>
        </w:rPr>
        <w:t>复合土层的分层与天然地基相同，各</w:t>
      </w:r>
      <w:r>
        <w:rPr>
          <w:color w:val="auto"/>
          <w:szCs w:val="21"/>
        </w:rPr>
        <w:t>复合土层的压缩模量等于该层天然地基压缩模量的ζ倍，ζ值可按</w:t>
      </w:r>
      <w:r>
        <w:rPr>
          <w:rFonts w:hint="eastAsia"/>
          <w:color w:val="auto"/>
          <w:lang w:val="en-US" w:eastAsia="zh-CN"/>
        </w:rPr>
        <w:t>公式（38）</w:t>
      </w:r>
      <w:r>
        <w:rPr>
          <w:color w:val="auto"/>
          <w:szCs w:val="21"/>
        </w:rPr>
        <w:t>确定：</w:t>
      </w:r>
    </w:p>
    <w:p w14:paraId="723539E2">
      <w:pPr>
        <w:pStyle w:val="12"/>
        <w:jc w:val="right"/>
        <w:rPr>
          <w:color w:val="auto"/>
          <w:szCs w:val="21"/>
        </w:rPr>
      </w:pPr>
      <w:r>
        <w:rPr>
          <w:color w:val="auto"/>
          <w:position w:val="-30"/>
          <w:szCs w:val="21"/>
        </w:rPr>
        <w:t xml:space="preserve">              </w:t>
      </w:r>
      <w:r>
        <w:rPr>
          <w:color w:val="auto"/>
          <w:position w:val="-30"/>
          <w:szCs w:val="21"/>
        </w:rPr>
        <w:object>
          <v:shape id="_x0000_i1176" o:spt="75" type="#_x0000_t75" style="height:38.25pt;width:47.25pt;" o:ole="t" filled="f" o:preferrelative="t" stroked="f" coordsize="21600,21600">
            <v:path/>
            <v:fill on="f" focussize="0,0"/>
            <v:stroke on="f" joinstyle="miter"/>
            <v:imagedata r:id="rId303" o:title=""/>
            <o:lock v:ext="edit" aspectratio="t"/>
            <w10:wrap type="none"/>
            <w10:anchorlock/>
          </v:shape>
          <o:OLEObject Type="Embed" ProgID="Equation.3" ShapeID="_x0000_i1176" DrawAspect="Content" ObjectID="_1468075876" r:id="rId302">
            <o:LockedField>false</o:LockedField>
          </o:OLEObject>
        </w:object>
      </w:r>
      <w:r>
        <w:rPr>
          <w:color w:val="auto"/>
          <w:szCs w:val="21"/>
        </w:rPr>
        <w:t xml:space="preserve">    </w:t>
      </w:r>
      <w:r>
        <w:rPr>
          <w:rFonts w:hint="eastAsia"/>
          <w:color w:val="auto"/>
          <w:szCs w:val="21"/>
          <w:lang w:val="en-US" w:eastAsia="zh-CN"/>
        </w:rPr>
        <w:t xml:space="preserve">    </w:t>
      </w:r>
      <w:r>
        <w:rPr>
          <w:color w:val="auto"/>
          <w:szCs w:val="21"/>
        </w:rPr>
        <w:t xml:space="preserve">                             </w:t>
      </w:r>
      <w:r>
        <w:rPr>
          <w:i/>
          <w:color w:val="auto"/>
          <w:szCs w:val="21"/>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38</w:t>
      </w:r>
      <w:r>
        <w:rPr>
          <w:color w:val="auto"/>
          <w:szCs w:val="21"/>
        </w:rPr>
        <w:fldChar w:fldCharType="end"/>
      </w:r>
      <w:r>
        <w:rPr>
          <w:color w:val="auto"/>
          <w:szCs w:val="21"/>
        </w:rPr>
        <w:t>)</w:t>
      </w:r>
    </w:p>
    <w:p w14:paraId="72BF1867">
      <w:pPr>
        <w:snapToGrid w:val="0"/>
        <w:spacing w:line="340" w:lineRule="atLeast"/>
        <w:ind w:left="226" w:leftChars="13" w:hanging="199" w:hangingChars="95"/>
        <w:jc w:val="left"/>
        <w:rPr>
          <w:color w:val="auto"/>
        </w:rPr>
      </w:pPr>
      <w:r>
        <w:rPr>
          <w:color w:val="auto"/>
          <w:szCs w:val="21"/>
        </w:rPr>
        <w:t>式中：</w:t>
      </w:r>
      <w:r>
        <w:rPr>
          <w:color w:val="auto"/>
          <w:kern w:val="0"/>
          <w:position w:val="-12"/>
          <w:szCs w:val="21"/>
        </w:rPr>
        <w:object>
          <v:shape id="_x0000_i1177" o:spt="75" type="#_x0000_t75" style="height:18pt;width:17.25pt;" o:ole="t" filled="f" o:preferrelative="t" stroked="f" coordsize="21600,21600">
            <v:path/>
            <v:fill on="f" focussize="0,0"/>
            <v:stroke on="f" joinstyle="miter"/>
            <v:imagedata r:id="rId305" o:title=""/>
            <o:lock v:ext="edit" aspectratio="t"/>
            <w10:wrap type="none"/>
            <w10:anchorlock/>
          </v:shape>
          <o:OLEObject Type="Embed" ProgID="Equation.DSMT4" ShapeID="_x0000_i1177" DrawAspect="Content" ObjectID="_1468075877" r:id="rId304">
            <o:LockedField>false</o:LockedField>
          </o:OLEObject>
        </w:object>
      </w:r>
      <w:r>
        <w:rPr>
          <w:color w:val="auto"/>
          <w:kern w:val="0"/>
          <w:szCs w:val="21"/>
        </w:rPr>
        <w:t>——基础底面下天然地基承载力特征值（kPa）。</w:t>
      </w:r>
    </w:p>
    <w:p w14:paraId="500656CB">
      <w:pPr>
        <w:snapToGrid w:val="0"/>
        <w:spacing w:line="340" w:lineRule="atLeast"/>
        <w:ind w:left="55" w:leftChars="26" w:firstLine="514" w:firstLineChars="245"/>
        <w:jc w:val="left"/>
        <w:rPr>
          <w:color w:val="auto"/>
          <w:szCs w:val="21"/>
        </w:rPr>
      </w:pPr>
      <w:r>
        <w:rPr>
          <w:color w:val="auto"/>
          <w:szCs w:val="21"/>
        </w:rPr>
        <w:t>复合地基的沉降计算经验系数</w:t>
      </w:r>
      <w:r>
        <w:rPr>
          <w:color w:val="auto"/>
          <w:position w:val="-12"/>
        </w:rPr>
        <w:object>
          <v:shape id="_x0000_i1178" o:spt="75" type="#_x0000_t75" style="height:18pt;width:15pt;" o:ole="t" filled="f" o:preferrelative="t" stroked="f" coordsize="21600,21600">
            <v:path/>
            <v:fill on="f" focussize="0,0"/>
            <v:stroke on="f" joinstyle="miter"/>
            <v:imagedata r:id="rId307" o:title=""/>
            <o:lock v:ext="edit" aspectratio="t"/>
            <w10:wrap type="none"/>
            <w10:anchorlock/>
          </v:shape>
          <o:OLEObject Type="Embed" ProgID="Equation.3" ShapeID="_x0000_i1178" DrawAspect="Content" ObjectID="_1468075878" r:id="rId306">
            <o:LockedField>false</o:LockedField>
          </o:OLEObject>
        </w:object>
      </w:r>
      <w:r>
        <w:rPr>
          <w:color w:val="auto"/>
          <w:szCs w:val="21"/>
        </w:rPr>
        <w:t>可采用表27的数值。</w:t>
      </w:r>
    </w:p>
    <w:p w14:paraId="321C5028">
      <w:pPr>
        <w:adjustRightInd w:val="0"/>
        <w:snapToGrid w:val="0"/>
        <w:spacing w:before="240"/>
        <w:jc w:val="center"/>
        <w:rPr>
          <w:rFonts w:eastAsia="黑体"/>
          <w:b/>
          <w:color w:val="auto"/>
          <w:position w:val="-12"/>
        </w:rPr>
      </w:pPr>
      <w:r>
        <w:rPr>
          <w:rFonts w:eastAsia="黑体"/>
          <w:b/>
          <w:color w:val="auto"/>
          <w:szCs w:val="21"/>
        </w:rPr>
        <w:t>表27  复合地基沉降计算经验系数</w:t>
      </w:r>
      <w:r>
        <w:rPr>
          <w:rFonts w:eastAsia="黑体"/>
          <w:b/>
          <w:color w:val="auto"/>
          <w:position w:val="-12"/>
        </w:rPr>
        <w:object>
          <v:shape id="_x0000_i1179" o:spt="75" type="#_x0000_t75" style="height:18pt;width:15pt;" o:ole="t" filled="f" o:preferrelative="t" stroked="f" coordsize="21600,21600">
            <v:path/>
            <v:fill on="f" focussize="0,0"/>
            <v:stroke on="f" joinstyle="miter"/>
            <v:imagedata r:id="rId307" o:title=""/>
            <o:lock v:ext="edit" aspectratio="t"/>
            <w10:wrap type="none"/>
            <w10:anchorlock/>
          </v:shape>
          <o:OLEObject Type="Embed" ProgID="Equation.3" ShapeID="_x0000_i1179" DrawAspect="Content" ObjectID="_1468075879" r:id="rId308">
            <o:LockedField>false</o:LockedField>
          </o:OLEObject>
        </w:object>
      </w:r>
    </w:p>
    <w:tbl>
      <w:tblPr>
        <w:tblStyle w:val="36"/>
        <w:tblW w:w="486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453"/>
        <w:gridCol w:w="1455"/>
        <w:gridCol w:w="1454"/>
        <w:gridCol w:w="1454"/>
        <w:gridCol w:w="1454"/>
        <w:gridCol w:w="1872"/>
      </w:tblGrid>
      <w:tr w14:paraId="27D6D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95" w:type="pct"/>
            <w:shd w:val="clear" w:color="auto" w:fill="auto"/>
            <w:vAlign w:val="center"/>
          </w:tcPr>
          <w:p w14:paraId="31A5F7BE">
            <w:pPr>
              <w:adjustRightInd w:val="0"/>
              <w:snapToGrid w:val="0"/>
              <w:jc w:val="center"/>
              <w:rPr>
                <w:color w:val="auto"/>
                <w:szCs w:val="21"/>
              </w:rPr>
            </w:pPr>
            <w:r>
              <w:rPr>
                <w:color w:val="auto"/>
                <w:position w:val="-12"/>
              </w:rPr>
              <w:object>
                <v:shape id="_x0000_i1180" o:spt="75" type="#_x0000_t75" style="height:16.5pt;width:14.25pt;" o:ole="t" filled="f" o:preferrelative="t" stroked="f" coordsize="21600,21600">
                  <v:path/>
                  <v:fill on="f" focussize="0,0"/>
                  <v:stroke on="f" joinstyle="miter"/>
                  <v:imagedata r:id="rId310" o:title=""/>
                  <o:lock v:ext="edit" aspectratio="t"/>
                  <w10:wrap type="none"/>
                  <w10:anchorlock/>
                </v:shape>
                <o:OLEObject Type="Embed" ProgID="Equation.3" ShapeID="_x0000_i1180" DrawAspect="Content" ObjectID="_1468075880" r:id="rId309">
                  <o:LockedField>false</o:LockedField>
                </o:OLEObject>
              </w:object>
            </w:r>
            <w:r>
              <w:rPr>
                <w:color w:val="auto"/>
              </w:rPr>
              <w:t>（MPa）</w:t>
            </w:r>
          </w:p>
        </w:tc>
        <w:tc>
          <w:tcPr>
            <w:tcW w:w="796" w:type="pct"/>
            <w:shd w:val="clear" w:color="auto" w:fill="auto"/>
            <w:vAlign w:val="center"/>
          </w:tcPr>
          <w:p w14:paraId="1C42F96B">
            <w:pPr>
              <w:adjustRightInd w:val="0"/>
              <w:snapToGrid w:val="0"/>
              <w:jc w:val="center"/>
              <w:rPr>
                <w:color w:val="auto"/>
                <w:szCs w:val="21"/>
              </w:rPr>
            </w:pPr>
            <w:r>
              <w:rPr>
                <w:color w:val="auto"/>
                <w:szCs w:val="21"/>
              </w:rPr>
              <w:t>4.0</w:t>
            </w:r>
          </w:p>
        </w:tc>
        <w:tc>
          <w:tcPr>
            <w:tcW w:w="795" w:type="pct"/>
            <w:shd w:val="clear" w:color="auto" w:fill="auto"/>
            <w:vAlign w:val="center"/>
          </w:tcPr>
          <w:p w14:paraId="550728D7">
            <w:pPr>
              <w:adjustRightInd w:val="0"/>
              <w:snapToGrid w:val="0"/>
              <w:jc w:val="center"/>
              <w:rPr>
                <w:color w:val="auto"/>
                <w:szCs w:val="21"/>
              </w:rPr>
            </w:pPr>
            <w:r>
              <w:rPr>
                <w:color w:val="auto"/>
                <w:szCs w:val="21"/>
              </w:rPr>
              <w:t>7.0</w:t>
            </w:r>
          </w:p>
        </w:tc>
        <w:tc>
          <w:tcPr>
            <w:tcW w:w="795" w:type="pct"/>
            <w:shd w:val="clear" w:color="auto" w:fill="auto"/>
            <w:vAlign w:val="center"/>
          </w:tcPr>
          <w:p w14:paraId="6D1B0C9E">
            <w:pPr>
              <w:adjustRightInd w:val="0"/>
              <w:snapToGrid w:val="0"/>
              <w:jc w:val="center"/>
              <w:rPr>
                <w:color w:val="auto"/>
                <w:szCs w:val="21"/>
              </w:rPr>
            </w:pPr>
            <w:r>
              <w:rPr>
                <w:color w:val="auto"/>
                <w:szCs w:val="21"/>
              </w:rPr>
              <w:t>15.0</w:t>
            </w:r>
          </w:p>
        </w:tc>
        <w:tc>
          <w:tcPr>
            <w:tcW w:w="795" w:type="pct"/>
            <w:shd w:val="clear" w:color="auto" w:fill="auto"/>
            <w:vAlign w:val="center"/>
          </w:tcPr>
          <w:p w14:paraId="0DC9000B">
            <w:pPr>
              <w:adjustRightInd w:val="0"/>
              <w:snapToGrid w:val="0"/>
              <w:jc w:val="center"/>
              <w:rPr>
                <w:color w:val="auto"/>
                <w:szCs w:val="21"/>
              </w:rPr>
            </w:pPr>
            <w:r>
              <w:rPr>
                <w:color w:val="auto"/>
                <w:szCs w:val="21"/>
              </w:rPr>
              <w:t>20.0</w:t>
            </w:r>
          </w:p>
        </w:tc>
        <w:tc>
          <w:tcPr>
            <w:tcW w:w="1024" w:type="pct"/>
            <w:shd w:val="clear" w:color="auto" w:fill="auto"/>
            <w:vAlign w:val="center"/>
          </w:tcPr>
          <w:p w14:paraId="7DD0F5D3">
            <w:pPr>
              <w:adjustRightInd w:val="0"/>
              <w:snapToGrid w:val="0"/>
              <w:jc w:val="center"/>
              <w:rPr>
                <w:color w:val="auto"/>
                <w:szCs w:val="21"/>
              </w:rPr>
            </w:pPr>
            <w:r>
              <w:rPr>
                <w:color w:val="auto"/>
                <w:szCs w:val="21"/>
              </w:rPr>
              <w:t>35.0</w:t>
            </w:r>
          </w:p>
        </w:tc>
      </w:tr>
      <w:tr w14:paraId="713CB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95" w:type="pct"/>
            <w:shd w:val="clear" w:color="auto" w:fill="auto"/>
            <w:vAlign w:val="center"/>
          </w:tcPr>
          <w:p w14:paraId="62260E25">
            <w:pPr>
              <w:adjustRightInd w:val="0"/>
              <w:snapToGrid w:val="0"/>
              <w:jc w:val="center"/>
              <w:rPr>
                <w:color w:val="auto"/>
                <w:szCs w:val="21"/>
              </w:rPr>
            </w:pPr>
            <w:r>
              <w:rPr>
                <w:color w:val="auto"/>
                <w:position w:val="-12"/>
              </w:rPr>
              <w:object>
                <v:shape id="_x0000_i1181" o:spt="75" type="#_x0000_t75" style="height:18pt;width:15pt;" o:ole="t" filled="f" o:preferrelative="t" stroked="f" coordsize="21600,21600">
                  <v:path/>
                  <v:fill on="f" focussize="0,0"/>
                  <v:stroke on="f" joinstyle="miter"/>
                  <v:imagedata r:id="rId307" o:title=""/>
                  <o:lock v:ext="edit" aspectratio="t"/>
                  <w10:wrap type="none"/>
                  <w10:anchorlock/>
                </v:shape>
                <o:OLEObject Type="Embed" ProgID="Equation.3" ShapeID="_x0000_i1181" DrawAspect="Content" ObjectID="_1468075881" r:id="rId311">
                  <o:LockedField>false</o:LockedField>
                </o:OLEObject>
              </w:object>
            </w:r>
          </w:p>
        </w:tc>
        <w:tc>
          <w:tcPr>
            <w:tcW w:w="796" w:type="pct"/>
            <w:shd w:val="clear" w:color="auto" w:fill="auto"/>
            <w:vAlign w:val="center"/>
          </w:tcPr>
          <w:p w14:paraId="12AE14ED">
            <w:pPr>
              <w:adjustRightInd w:val="0"/>
              <w:snapToGrid w:val="0"/>
              <w:jc w:val="center"/>
              <w:rPr>
                <w:color w:val="auto"/>
                <w:szCs w:val="21"/>
              </w:rPr>
            </w:pPr>
            <w:r>
              <w:rPr>
                <w:color w:val="auto"/>
                <w:szCs w:val="21"/>
              </w:rPr>
              <w:t>1.0</w:t>
            </w:r>
          </w:p>
        </w:tc>
        <w:tc>
          <w:tcPr>
            <w:tcW w:w="795" w:type="pct"/>
            <w:shd w:val="clear" w:color="auto" w:fill="auto"/>
            <w:vAlign w:val="center"/>
          </w:tcPr>
          <w:p w14:paraId="348C11CE">
            <w:pPr>
              <w:adjustRightInd w:val="0"/>
              <w:snapToGrid w:val="0"/>
              <w:jc w:val="center"/>
              <w:rPr>
                <w:color w:val="auto"/>
                <w:szCs w:val="21"/>
              </w:rPr>
            </w:pPr>
            <w:r>
              <w:rPr>
                <w:color w:val="auto"/>
                <w:szCs w:val="21"/>
              </w:rPr>
              <w:t>0.7</w:t>
            </w:r>
          </w:p>
        </w:tc>
        <w:tc>
          <w:tcPr>
            <w:tcW w:w="795" w:type="pct"/>
            <w:shd w:val="clear" w:color="auto" w:fill="auto"/>
            <w:vAlign w:val="center"/>
          </w:tcPr>
          <w:p w14:paraId="2C80926C">
            <w:pPr>
              <w:adjustRightInd w:val="0"/>
              <w:snapToGrid w:val="0"/>
              <w:jc w:val="center"/>
              <w:rPr>
                <w:color w:val="auto"/>
                <w:szCs w:val="21"/>
              </w:rPr>
            </w:pPr>
            <w:r>
              <w:rPr>
                <w:color w:val="auto"/>
                <w:szCs w:val="21"/>
              </w:rPr>
              <w:t>0.4</w:t>
            </w:r>
          </w:p>
        </w:tc>
        <w:tc>
          <w:tcPr>
            <w:tcW w:w="795" w:type="pct"/>
            <w:shd w:val="clear" w:color="auto" w:fill="auto"/>
            <w:vAlign w:val="center"/>
          </w:tcPr>
          <w:p w14:paraId="38C34B81">
            <w:pPr>
              <w:adjustRightInd w:val="0"/>
              <w:snapToGrid w:val="0"/>
              <w:jc w:val="center"/>
              <w:rPr>
                <w:color w:val="auto"/>
                <w:szCs w:val="21"/>
              </w:rPr>
            </w:pPr>
            <w:r>
              <w:rPr>
                <w:color w:val="auto"/>
                <w:szCs w:val="21"/>
              </w:rPr>
              <w:t>0.25</w:t>
            </w:r>
          </w:p>
        </w:tc>
        <w:tc>
          <w:tcPr>
            <w:tcW w:w="1024" w:type="pct"/>
            <w:shd w:val="clear" w:color="auto" w:fill="auto"/>
            <w:vAlign w:val="center"/>
          </w:tcPr>
          <w:p w14:paraId="24DBA1B5">
            <w:pPr>
              <w:adjustRightInd w:val="0"/>
              <w:snapToGrid w:val="0"/>
              <w:jc w:val="center"/>
              <w:rPr>
                <w:color w:val="auto"/>
                <w:szCs w:val="21"/>
              </w:rPr>
            </w:pPr>
            <w:r>
              <w:rPr>
                <w:color w:val="auto"/>
                <w:szCs w:val="21"/>
              </w:rPr>
              <w:t>0.2</w:t>
            </w:r>
          </w:p>
        </w:tc>
      </w:tr>
      <w:tr w14:paraId="6B060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6"/>
            <w:shd w:val="clear" w:color="auto" w:fill="auto"/>
            <w:vAlign w:val="center"/>
          </w:tcPr>
          <w:p w14:paraId="34002D7B">
            <w:pPr>
              <w:pStyle w:val="18"/>
              <w:adjustRightInd w:val="0"/>
              <w:snapToGrid w:val="0"/>
              <w:spacing w:line="340" w:lineRule="atLeast"/>
              <w:textAlignment w:val="baseline"/>
              <w:rPr>
                <w:rFonts w:ascii="Times New Roman" w:hAnsi="Times New Roman"/>
                <w:color w:val="auto"/>
                <w:sz w:val="18"/>
                <w:szCs w:val="18"/>
              </w:rPr>
            </w:pPr>
            <w:r>
              <w:rPr>
                <w:rFonts w:ascii="Times New Roman" w:hAnsi="Times New Roman"/>
                <w:color w:val="auto"/>
                <w:sz w:val="18"/>
                <w:szCs w:val="18"/>
              </w:rPr>
              <w:t>注：</w:t>
            </w:r>
            <w:r>
              <w:rPr>
                <w:color w:val="auto"/>
                <w:position w:val="-12"/>
              </w:rPr>
              <w:object>
                <v:shape id="_x0000_i1182" o:spt="75" type="#_x0000_t75" style="height:16.5pt;width:14.25pt;" o:ole="t" filled="f" o:preferrelative="t" stroked="f" coordsize="21600,21600">
                  <v:path/>
                  <v:fill on="f" focussize="0,0"/>
                  <v:stroke on="f" joinstyle="miter"/>
                  <v:imagedata r:id="rId310" o:title=""/>
                  <o:lock v:ext="edit" aspectratio="t"/>
                  <w10:wrap type="none"/>
                  <w10:anchorlock/>
                </v:shape>
                <o:OLEObject Type="Embed" ProgID="Equation.3" ShapeID="_x0000_i1182" DrawAspect="Content" ObjectID="_1468075882" r:id="rId312">
                  <o:LockedField>false</o:LockedField>
                </o:OLEObject>
              </w:object>
            </w:r>
            <w:r>
              <w:rPr>
                <w:rFonts w:ascii="Times New Roman" w:hAnsi="Times New Roman"/>
                <w:color w:val="auto"/>
                <w:sz w:val="18"/>
                <w:szCs w:val="18"/>
              </w:rPr>
              <w:t>为沉降计算深度范围内压缩模量的当量值，应按</w:t>
            </w:r>
            <w:r>
              <w:rPr>
                <w:rFonts w:hint="eastAsia"/>
                <w:color w:val="auto"/>
                <w:lang w:val="en-US" w:eastAsia="zh-CN"/>
              </w:rPr>
              <w:t>公式（39）</w:t>
            </w:r>
            <w:r>
              <w:rPr>
                <w:rFonts w:ascii="Times New Roman" w:hAnsi="Times New Roman"/>
                <w:color w:val="auto"/>
                <w:sz w:val="18"/>
                <w:szCs w:val="18"/>
              </w:rPr>
              <w:t>计算：</w:t>
            </w:r>
          </w:p>
          <w:p w14:paraId="3B647AB6">
            <w:pPr>
              <w:pStyle w:val="12"/>
              <w:rPr>
                <w:rFonts w:ascii="Times New Roman" w:hAnsi="Times New Roman"/>
                <w:color w:val="auto"/>
              </w:rPr>
            </w:pPr>
            <w:r>
              <w:rPr>
                <w:rFonts w:ascii="Times New Roman" w:hAnsi="Times New Roman"/>
                <w:color w:val="auto"/>
              </w:rPr>
              <w:t xml:space="preserve">                              </w:t>
            </w:r>
            <w:r>
              <w:rPr>
                <w:rFonts w:ascii="Times New Roman" w:hAnsi="Times New Roman"/>
                <w:color w:val="auto"/>
                <w:position w:val="-66"/>
              </w:rPr>
              <w:object>
                <v:shape id="_x0000_i1183" o:spt="75" type="#_x0000_t75" style="height:63.75pt;width:93.75pt;" o:ole="t" filled="f" o:preferrelative="t" stroked="f" coordsize="21600,21600">
                  <v:path/>
                  <v:fill on="f" focussize="0,0"/>
                  <v:stroke on="f" joinstyle="miter"/>
                  <v:imagedata r:id="rId314" o:title=""/>
                  <o:lock v:ext="edit" aspectratio="t"/>
                  <w10:wrap type="none"/>
                  <w10:anchorlock/>
                </v:shape>
                <o:OLEObject Type="Embed" ProgID="Equation.DSMT4" ShapeID="_x0000_i1183" DrawAspect="Content" ObjectID="_1468075883" r:id="rId313">
                  <o:LockedField>false</o:LockedField>
                </o:OLEObject>
              </w:object>
            </w:r>
            <w:r>
              <w:rPr>
                <w:rFonts w:ascii="Times New Roman" w:hAnsi="Times New Roman"/>
                <w:color w:val="auto"/>
              </w:rPr>
              <w:t xml:space="preserve">               </w:t>
            </w:r>
            <w:r>
              <w:rPr>
                <w:rFonts w:ascii="Times New Roman" w:hAnsi="Times New Roman"/>
                <w:color w:val="auto"/>
                <w:szCs w:val="21"/>
              </w:rPr>
              <w:t>(</w:t>
            </w:r>
            <w:r>
              <w:rPr>
                <w:rFonts w:ascii="Times New Roman" w:hAnsi="Times New Roman"/>
                <w:color w:val="auto"/>
                <w:szCs w:val="21"/>
              </w:rPr>
              <w:fldChar w:fldCharType="begin"/>
            </w:r>
            <w:r>
              <w:rPr>
                <w:rFonts w:ascii="Times New Roman" w:hAnsi="Times New Roman"/>
                <w:color w:val="auto"/>
                <w:szCs w:val="21"/>
              </w:rPr>
              <w:instrText xml:space="preserve"> SEQ Equation \* ARABIC </w:instrText>
            </w:r>
            <w:r>
              <w:rPr>
                <w:rFonts w:ascii="Times New Roman" w:hAnsi="Times New Roman"/>
                <w:color w:val="auto"/>
                <w:szCs w:val="21"/>
              </w:rPr>
              <w:fldChar w:fldCharType="separate"/>
            </w:r>
            <w:r>
              <w:rPr>
                <w:rFonts w:ascii="Times New Roman" w:hAnsi="Times New Roman"/>
                <w:color w:val="auto"/>
                <w:szCs w:val="21"/>
              </w:rPr>
              <w:t>39</w:t>
            </w:r>
            <w:r>
              <w:rPr>
                <w:rFonts w:ascii="Times New Roman" w:hAnsi="Times New Roman"/>
                <w:color w:val="auto"/>
                <w:szCs w:val="21"/>
              </w:rPr>
              <w:fldChar w:fldCharType="end"/>
            </w:r>
            <w:r>
              <w:rPr>
                <w:rFonts w:ascii="Times New Roman" w:hAnsi="Times New Roman"/>
                <w:color w:val="auto"/>
                <w:szCs w:val="21"/>
              </w:rPr>
              <w:t>)</w:t>
            </w:r>
          </w:p>
          <w:p w14:paraId="41F2CBEA">
            <w:pPr>
              <w:pStyle w:val="18"/>
              <w:adjustRightInd w:val="0"/>
              <w:spacing w:line="360" w:lineRule="exact"/>
              <w:ind w:firstLine="1170" w:firstLineChars="650"/>
              <w:textAlignment w:val="baseline"/>
              <w:rPr>
                <w:rFonts w:ascii="Times New Roman" w:hAnsi="Times New Roman"/>
                <w:color w:val="auto"/>
                <w:sz w:val="18"/>
                <w:szCs w:val="18"/>
              </w:rPr>
            </w:pPr>
            <w:r>
              <w:rPr>
                <w:rFonts w:ascii="Times New Roman" w:hAnsi="Times New Roman"/>
                <w:color w:val="auto"/>
                <w:sz w:val="18"/>
                <w:szCs w:val="18"/>
              </w:rPr>
              <w:t>式中：</w:t>
            </w:r>
            <w:r>
              <w:rPr>
                <w:rFonts w:ascii="Times New Roman" w:hAnsi="Times New Roman"/>
                <w:i/>
                <w:color w:val="auto"/>
                <w:sz w:val="18"/>
                <w:szCs w:val="18"/>
              </w:rPr>
              <w:t>A</w:t>
            </w:r>
            <w:r>
              <w:rPr>
                <w:rFonts w:ascii="Times New Roman" w:hAnsi="Times New Roman"/>
                <w:color w:val="auto"/>
                <w:sz w:val="18"/>
                <w:szCs w:val="18"/>
                <w:vertAlign w:val="subscript"/>
              </w:rPr>
              <w:t>i</w:t>
            </w:r>
            <w:r>
              <w:rPr>
                <w:rFonts w:ascii="Times New Roman" w:hAnsi="Times New Roman"/>
                <w:color w:val="auto"/>
                <w:sz w:val="18"/>
                <w:szCs w:val="18"/>
              </w:rPr>
              <w:t>——加固土层第</w:t>
            </w:r>
            <w:r>
              <w:rPr>
                <w:rFonts w:ascii="Times New Roman" w:hAnsi="Times New Roman"/>
                <w:i/>
                <w:color w:val="auto"/>
                <w:sz w:val="18"/>
                <w:szCs w:val="18"/>
              </w:rPr>
              <w:t>i</w:t>
            </w:r>
            <w:r>
              <w:rPr>
                <w:rFonts w:ascii="Times New Roman" w:hAnsi="Times New Roman"/>
                <w:color w:val="auto"/>
                <w:sz w:val="18"/>
                <w:szCs w:val="18"/>
              </w:rPr>
              <w:t>层土附加应力系数沿土层厚度的积分值；</w:t>
            </w:r>
          </w:p>
          <w:p w14:paraId="14C19F54">
            <w:pPr>
              <w:snapToGrid w:val="0"/>
              <w:spacing w:line="340" w:lineRule="atLeast"/>
              <w:ind w:left="55" w:leftChars="26" w:firstLine="441" w:firstLineChars="245"/>
              <w:jc w:val="left"/>
              <w:rPr>
                <w:color w:val="auto"/>
                <w:szCs w:val="21"/>
              </w:rPr>
            </w:pPr>
            <w:r>
              <w:rPr>
                <w:color w:val="auto"/>
                <w:sz w:val="18"/>
                <w:szCs w:val="18"/>
              </w:rPr>
              <w:t xml:space="preserve">      </w:t>
            </w:r>
            <w:r>
              <w:rPr>
                <w:i/>
                <w:color w:val="auto"/>
                <w:sz w:val="18"/>
                <w:szCs w:val="18"/>
              </w:rPr>
              <w:t>A</w:t>
            </w:r>
            <w:r>
              <w:rPr>
                <w:color w:val="auto"/>
                <w:sz w:val="18"/>
                <w:szCs w:val="18"/>
                <w:vertAlign w:val="subscript"/>
              </w:rPr>
              <w:t>j</w:t>
            </w:r>
            <w:r>
              <w:rPr>
                <w:color w:val="auto"/>
                <w:sz w:val="18"/>
                <w:szCs w:val="18"/>
              </w:rPr>
              <w:t>——加固土层下第</w:t>
            </w:r>
            <w:r>
              <w:rPr>
                <w:i/>
                <w:color w:val="auto"/>
                <w:sz w:val="18"/>
                <w:szCs w:val="18"/>
              </w:rPr>
              <w:t>j</w:t>
            </w:r>
            <w:r>
              <w:rPr>
                <w:color w:val="auto"/>
                <w:sz w:val="18"/>
                <w:szCs w:val="18"/>
              </w:rPr>
              <w:t>层土附加应力系数沿土层厚度的积分值。</w:t>
            </w:r>
          </w:p>
        </w:tc>
      </w:tr>
    </w:tbl>
    <w:p w14:paraId="417BE671">
      <w:pPr>
        <w:adjustRightInd w:val="0"/>
        <w:snapToGrid w:val="0"/>
        <w:spacing w:before="240" w:line="340" w:lineRule="exact"/>
        <w:ind w:firstLine="413" w:firstLineChars="196"/>
        <w:rPr>
          <w:color w:val="auto"/>
          <w:szCs w:val="21"/>
        </w:rPr>
      </w:pPr>
      <w:r>
        <w:rPr>
          <w:b/>
          <w:bCs/>
          <w:color w:val="auto"/>
          <w:szCs w:val="21"/>
        </w:rPr>
        <w:t xml:space="preserve">b)  </w:t>
      </w:r>
      <w:r>
        <w:rPr>
          <w:bCs/>
          <w:color w:val="auto"/>
          <w:szCs w:val="21"/>
        </w:rPr>
        <w:t>当桩周为深厚淤泥、淤泥质土时，</w:t>
      </w:r>
      <w:r>
        <w:rPr>
          <w:color w:val="auto"/>
          <w:szCs w:val="21"/>
        </w:rPr>
        <w:t>复合地基沉降计算中桩端以下未加固土层的压缩变形可按本文件第12.4节中等代实体基础法进行计算，沉降经验系数按本文件表22取值。</w:t>
      </w:r>
      <w:r>
        <w:rPr>
          <w:rFonts w:hint="eastAsia"/>
          <w:color w:val="auto"/>
          <w:szCs w:val="21"/>
        </w:rPr>
        <w:t>水泥土</w:t>
      </w:r>
      <w:r>
        <w:rPr>
          <w:color w:val="auto"/>
          <w:szCs w:val="21"/>
        </w:rPr>
        <w:t>搅拌桩复合土层的压缩变形仍按本条第a)款的规定计算。</w:t>
      </w:r>
    </w:p>
    <w:p w14:paraId="2F15415F">
      <w:pPr>
        <w:adjustRightInd w:val="0"/>
        <w:snapToGrid w:val="0"/>
        <w:spacing w:line="340" w:lineRule="exact"/>
        <w:rPr>
          <w:color w:val="auto"/>
          <w:szCs w:val="21"/>
        </w:rPr>
      </w:pPr>
      <w:r>
        <w:rPr>
          <w:b/>
          <w:bCs/>
          <w:color w:val="auto"/>
          <w:szCs w:val="21"/>
        </w:rPr>
        <w:t>9.2.12</w:t>
      </w:r>
      <w:r>
        <w:rPr>
          <w:color w:val="auto"/>
          <w:szCs w:val="21"/>
        </w:rPr>
        <w:t xml:space="preserve">  </w:t>
      </w:r>
      <w:r>
        <w:rPr>
          <w:rFonts w:hint="eastAsia"/>
          <w:color w:val="auto"/>
          <w:szCs w:val="21"/>
        </w:rPr>
        <w:t>水泥土</w:t>
      </w:r>
      <w:r>
        <w:rPr>
          <w:color w:val="auto"/>
          <w:szCs w:val="21"/>
        </w:rPr>
        <w:t>搅拌桩施工时，停浆（灰）面高于桩顶设计标高不应小于500</w:t>
      </w:r>
      <w:r>
        <w:rPr>
          <w:iCs/>
          <w:color w:val="auto"/>
          <w:szCs w:val="21"/>
        </w:rPr>
        <w:t>mm</w:t>
      </w:r>
      <w:r>
        <w:rPr>
          <w:color w:val="auto"/>
          <w:szCs w:val="21"/>
        </w:rPr>
        <w:t>。超长部分应采用人工或专用机械截桩。</w:t>
      </w:r>
    </w:p>
    <w:p w14:paraId="0D631D55">
      <w:pPr>
        <w:adjustRightInd w:val="0"/>
        <w:snapToGrid w:val="0"/>
        <w:spacing w:line="340" w:lineRule="exact"/>
        <w:ind w:left="2"/>
        <w:rPr>
          <w:color w:val="auto"/>
          <w:szCs w:val="21"/>
        </w:rPr>
      </w:pPr>
      <w:r>
        <w:rPr>
          <w:b/>
          <w:bCs/>
          <w:color w:val="auto"/>
          <w:szCs w:val="21"/>
        </w:rPr>
        <w:t>9.2.13</w:t>
      </w:r>
      <w:r>
        <w:rPr>
          <w:color w:val="auto"/>
          <w:szCs w:val="21"/>
        </w:rPr>
        <w:t xml:space="preserve">  当水泥土搅拌桩桩侧为成层土时，宜对相对软层增加搅拌次数或增加水泥掺量。</w:t>
      </w:r>
    </w:p>
    <w:p w14:paraId="527F6D2A">
      <w:pPr>
        <w:adjustRightInd w:val="0"/>
        <w:snapToGrid w:val="0"/>
        <w:spacing w:line="340" w:lineRule="exact"/>
        <w:rPr>
          <w:color w:val="auto"/>
          <w:szCs w:val="21"/>
        </w:rPr>
      </w:pPr>
      <w:r>
        <w:rPr>
          <w:b/>
          <w:bCs/>
          <w:color w:val="auto"/>
          <w:szCs w:val="21"/>
        </w:rPr>
        <w:t>9.2.14</w:t>
      </w:r>
      <w:r>
        <w:rPr>
          <w:color w:val="auto"/>
          <w:szCs w:val="21"/>
        </w:rPr>
        <w:t xml:space="preserve">  施工中应保持搅拌机底盘的水平和导向架的竖直，</w:t>
      </w:r>
      <w:r>
        <w:rPr>
          <w:rFonts w:hint="eastAsia"/>
          <w:color w:val="auto"/>
          <w:szCs w:val="21"/>
        </w:rPr>
        <w:t>水泥土</w:t>
      </w:r>
      <w:r>
        <w:rPr>
          <w:color w:val="auto"/>
          <w:szCs w:val="21"/>
        </w:rPr>
        <w:t>搅拌桩的垂直</w:t>
      </w:r>
      <w:r>
        <w:rPr>
          <w:rFonts w:hint="eastAsia"/>
          <w:color w:val="auto"/>
          <w:szCs w:val="21"/>
        </w:rPr>
        <w:t>度</w:t>
      </w:r>
      <w:r>
        <w:rPr>
          <w:color w:val="auto"/>
          <w:szCs w:val="21"/>
        </w:rPr>
        <w:t>偏差不得大于1%；桩位偏差</w:t>
      </w:r>
      <w:r>
        <w:rPr>
          <w:iCs/>
          <w:color w:val="auto"/>
          <w:szCs w:val="21"/>
        </w:rPr>
        <w:t>对条形基础的边桩沿垂直轴线方向应</w:t>
      </w:r>
      <w:r>
        <w:rPr>
          <w:rFonts w:hint="eastAsia"/>
          <w:iCs/>
          <w:color w:val="auto"/>
          <w:szCs w:val="21"/>
        </w:rPr>
        <w:t>不</w:t>
      </w:r>
      <w:r>
        <w:rPr>
          <w:iCs/>
          <w:color w:val="auto"/>
          <w:szCs w:val="21"/>
        </w:rPr>
        <w:t>大于桩径的</w:t>
      </w:r>
      <w:r>
        <w:rPr>
          <w:rFonts w:hint="eastAsia"/>
          <w:iCs/>
          <w:color w:val="auto"/>
          <w:szCs w:val="21"/>
        </w:rPr>
        <w:t>1/6，其它情况</w:t>
      </w:r>
      <w:r>
        <w:rPr>
          <w:color w:val="auto"/>
          <w:szCs w:val="21"/>
        </w:rPr>
        <w:t>不得大于150</w:t>
      </w:r>
      <w:r>
        <w:rPr>
          <w:iCs/>
          <w:color w:val="auto"/>
          <w:szCs w:val="21"/>
        </w:rPr>
        <w:t>mm</w:t>
      </w:r>
      <w:r>
        <w:rPr>
          <w:color w:val="auto"/>
          <w:szCs w:val="21"/>
        </w:rPr>
        <w:t>；成桩直径和桩长不得小于设计值。</w:t>
      </w:r>
    </w:p>
    <w:p w14:paraId="7199208D">
      <w:pPr>
        <w:adjustRightInd w:val="0"/>
        <w:snapToGrid w:val="0"/>
        <w:spacing w:line="340" w:lineRule="exact"/>
        <w:rPr>
          <w:color w:val="auto"/>
          <w:szCs w:val="21"/>
        </w:rPr>
      </w:pPr>
      <w:r>
        <w:rPr>
          <w:b/>
          <w:bCs/>
          <w:color w:val="auto"/>
          <w:szCs w:val="21"/>
        </w:rPr>
        <w:t xml:space="preserve">9.2.15  </w:t>
      </w:r>
      <w:r>
        <w:rPr>
          <w:color w:val="auto"/>
          <w:szCs w:val="21"/>
        </w:rPr>
        <w:t>水泥土搅拌桩干法施工机械应配置经国家计量部门确认的具有能瞬时检测并记录出</w:t>
      </w:r>
      <w:r>
        <w:rPr>
          <w:rFonts w:hint="eastAsia"/>
          <w:color w:val="auto"/>
          <w:szCs w:val="21"/>
        </w:rPr>
        <w:t>粉体</w:t>
      </w:r>
      <w:r>
        <w:rPr>
          <w:color w:val="auto"/>
          <w:szCs w:val="21"/>
        </w:rPr>
        <w:t>计量装置及搅拌深度自动记录仪</w:t>
      </w:r>
      <w:r>
        <w:rPr>
          <w:rFonts w:hint="eastAsia"/>
          <w:color w:val="auto"/>
          <w:szCs w:val="21"/>
        </w:rPr>
        <w:t>，并应对该装置定期标定。应定期检查钻头磨损情况，当直径磨损量大于10mm时，必须更换钻头</w:t>
      </w:r>
      <w:r>
        <w:rPr>
          <w:color w:val="auto"/>
          <w:szCs w:val="21"/>
        </w:rPr>
        <w:t>。</w:t>
      </w:r>
    </w:p>
    <w:p w14:paraId="12D59651">
      <w:pPr>
        <w:adjustRightInd w:val="0"/>
        <w:snapToGrid w:val="0"/>
        <w:spacing w:line="340" w:lineRule="exact"/>
        <w:rPr>
          <w:color w:val="auto"/>
          <w:szCs w:val="21"/>
        </w:rPr>
      </w:pPr>
      <w:r>
        <w:rPr>
          <w:b/>
          <w:bCs/>
          <w:color w:val="auto"/>
          <w:szCs w:val="21"/>
        </w:rPr>
        <w:t>9.2.16</w:t>
      </w:r>
      <w:r>
        <w:rPr>
          <w:color w:val="auto"/>
          <w:szCs w:val="21"/>
        </w:rPr>
        <w:t xml:space="preserve">  水泥土搅拌法施工</w:t>
      </w:r>
      <w:r>
        <w:rPr>
          <w:rFonts w:hint="eastAsia"/>
          <w:color w:val="auto"/>
          <w:szCs w:val="21"/>
        </w:rPr>
        <w:t>提钻喷浆（粉）速度不得大于</w:t>
      </w:r>
      <w:r>
        <w:rPr>
          <w:color w:val="auto"/>
          <w:szCs w:val="21"/>
        </w:rPr>
        <w:t>0.9</w:t>
      </w:r>
      <w:r>
        <w:rPr>
          <w:iCs/>
          <w:color w:val="auto"/>
          <w:szCs w:val="21"/>
        </w:rPr>
        <w:t>m/min</w:t>
      </w:r>
      <w:r>
        <w:rPr>
          <w:color w:val="auto"/>
          <w:szCs w:val="21"/>
        </w:rPr>
        <w:t>，宜全桩长复搅</w:t>
      </w:r>
      <w:r>
        <w:rPr>
          <w:rFonts w:hint="eastAsia"/>
          <w:color w:val="auto"/>
          <w:szCs w:val="21"/>
        </w:rPr>
        <w:t>，复搅速度宜为0.5</w:t>
      </w:r>
      <w:r>
        <w:rPr>
          <w:color w:val="auto"/>
          <w:szCs w:val="21"/>
        </w:rPr>
        <w:t>m/min</w:t>
      </w:r>
      <w:r>
        <w:rPr>
          <w:rFonts w:hint="eastAsia"/>
          <w:color w:val="auto"/>
          <w:szCs w:val="21"/>
        </w:rPr>
        <w:t>～0.8m/min。对地基土进行干法咬合加固时，如复搅困难，可采用慢速搅拌，保证搅拌的均匀性。</w:t>
      </w:r>
    </w:p>
    <w:p w14:paraId="258869D8">
      <w:pPr>
        <w:adjustRightInd w:val="0"/>
        <w:snapToGrid w:val="0"/>
        <w:spacing w:line="340" w:lineRule="exact"/>
        <w:rPr>
          <w:color w:val="auto"/>
          <w:szCs w:val="21"/>
        </w:rPr>
      </w:pPr>
      <w:r>
        <w:rPr>
          <w:b/>
          <w:bCs/>
          <w:color w:val="auto"/>
          <w:szCs w:val="21"/>
        </w:rPr>
        <w:t>9.2.17</w:t>
      </w:r>
      <w:r>
        <w:rPr>
          <w:color w:val="auto"/>
          <w:szCs w:val="21"/>
        </w:rPr>
        <w:t xml:space="preserve">  水泥土搅拌桩施工过程中必须随时检查施工记录和计量记录。重点检查水泥用量、桩长、搅拌头转数和提升速度、复搅次数、复搅深度和停浆处理方法等。</w:t>
      </w:r>
    </w:p>
    <w:p w14:paraId="5A9B7028">
      <w:pPr>
        <w:snapToGrid w:val="0"/>
        <w:spacing w:line="340" w:lineRule="exact"/>
        <w:rPr>
          <w:color w:val="auto"/>
        </w:rPr>
      </w:pPr>
      <w:r>
        <w:rPr>
          <w:b/>
          <w:bCs/>
          <w:color w:val="auto"/>
          <w:szCs w:val="21"/>
        </w:rPr>
        <w:t>9.2.18</w:t>
      </w:r>
      <w:r>
        <w:rPr>
          <w:color w:val="auto"/>
          <w:szCs w:val="21"/>
        </w:rPr>
        <w:t xml:space="preserve">  </w:t>
      </w:r>
      <w:r>
        <w:rPr>
          <w:color w:val="auto"/>
        </w:rPr>
        <w:t xml:space="preserve">水泥土搅拌桩的施工质量检验可采用以下方法： </w:t>
      </w:r>
    </w:p>
    <w:p w14:paraId="72F28CDE">
      <w:pPr>
        <w:snapToGrid w:val="0"/>
        <w:spacing w:line="340" w:lineRule="exact"/>
        <w:rPr>
          <w:rFonts w:eastAsia="黑体"/>
          <w:b/>
          <w:color w:val="auto"/>
          <w:spacing w:val="-6"/>
        </w:rPr>
      </w:pPr>
      <w:r>
        <w:rPr>
          <w:rFonts w:hint="eastAsia"/>
          <w:b/>
          <w:color w:val="auto"/>
          <w:spacing w:val="-6"/>
        </w:rPr>
        <w:t xml:space="preserve">    </w:t>
      </w:r>
      <w:r>
        <w:rPr>
          <w:b/>
          <w:color w:val="auto"/>
          <w:spacing w:val="-6"/>
        </w:rPr>
        <w:t xml:space="preserve">a) </w:t>
      </w:r>
      <w:r>
        <w:rPr>
          <w:rFonts w:hint="eastAsia"/>
          <w:b/>
          <w:color w:val="auto"/>
          <w:spacing w:val="-6"/>
        </w:rPr>
        <w:t xml:space="preserve"> </w:t>
      </w:r>
      <w:r>
        <w:rPr>
          <w:color w:val="auto"/>
        </w:rPr>
        <w:t>成桩28d后，桩身均匀性应采用</w:t>
      </w:r>
      <w:r>
        <w:rPr>
          <w:i/>
          <w:color w:val="auto"/>
        </w:rPr>
        <w:t>N</w:t>
      </w:r>
      <w:r>
        <w:rPr>
          <w:color w:val="auto"/>
          <w:vertAlign w:val="subscript"/>
        </w:rPr>
        <w:t>63.5</w:t>
      </w:r>
      <w:r>
        <w:rPr>
          <w:color w:val="auto"/>
        </w:rPr>
        <w:t>动力触探检测，检测数量根据工程具体情况确定；</w:t>
      </w:r>
    </w:p>
    <w:p w14:paraId="401C8BDC">
      <w:pPr>
        <w:snapToGrid w:val="0"/>
        <w:spacing w:line="340" w:lineRule="exact"/>
        <w:rPr>
          <w:color w:val="auto"/>
        </w:rPr>
      </w:pPr>
      <w:r>
        <w:rPr>
          <w:rFonts w:hint="eastAsia" w:eastAsia="黑体"/>
          <w:b/>
          <w:color w:val="auto"/>
          <w:spacing w:val="-6"/>
        </w:rPr>
        <w:t xml:space="preserve">    </w:t>
      </w:r>
      <w:r>
        <w:rPr>
          <w:rFonts w:eastAsia="黑体"/>
          <w:b/>
          <w:color w:val="auto"/>
          <w:spacing w:val="-6"/>
        </w:rPr>
        <w:t>b)</w:t>
      </w:r>
      <w:r>
        <w:rPr>
          <w:rFonts w:hint="eastAsia" w:eastAsia="黑体"/>
          <w:b/>
          <w:color w:val="auto"/>
          <w:spacing w:val="-6"/>
        </w:rPr>
        <w:t xml:space="preserve"> </w:t>
      </w:r>
      <w:r>
        <w:rPr>
          <w:color w:val="auto"/>
        </w:rPr>
        <w:t xml:space="preserve"> 对重要的、变形要求严格的工程或经触探和静载试验检</w:t>
      </w:r>
      <w:r>
        <w:rPr>
          <w:rFonts w:hint="eastAsia"/>
          <w:color w:val="auto"/>
        </w:rPr>
        <w:t>测</w:t>
      </w:r>
      <w:r>
        <w:rPr>
          <w:color w:val="auto"/>
        </w:rPr>
        <w:t>后对桩身质量有怀疑时，应在成桩28d后，采用双管单动取样器钻取芯样作水泥土抗压强度检</w:t>
      </w:r>
      <w:r>
        <w:rPr>
          <w:rFonts w:hint="eastAsia"/>
          <w:color w:val="auto"/>
        </w:rPr>
        <w:t>测</w:t>
      </w:r>
      <w:r>
        <w:rPr>
          <w:color w:val="auto"/>
        </w:rPr>
        <w:t>，并对桩身均匀性进行描述；</w:t>
      </w:r>
      <w:r>
        <w:rPr>
          <w:rFonts w:hint="eastAsia"/>
          <w:color w:val="auto"/>
        </w:rPr>
        <w:t>检测数量为施工总桩数的</w:t>
      </w:r>
      <w:r>
        <w:rPr>
          <w:color w:val="auto"/>
        </w:rPr>
        <w:t>0.5%，且不应少于6点。</w:t>
      </w:r>
    </w:p>
    <w:p w14:paraId="012D69DD">
      <w:pPr>
        <w:adjustRightInd w:val="0"/>
        <w:snapToGrid w:val="0"/>
        <w:spacing w:line="340" w:lineRule="exact"/>
        <w:rPr>
          <w:color w:val="auto"/>
          <w:szCs w:val="21"/>
        </w:rPr>
      </w:pPr>
      <w:r>
        <w:rPr>
          <w:b/>
          <w:bCs/>
          <w:color w:val="auto"/>
          <w:szCs w:val="21"/>
        </w:rPr>
        <w:t>9.2.19</w:t>
      </w:r>
      <w:r>
        <w:rPr>
          <w:color w:val="auto"/>
          <w:szCs w:val="21"/>
        </w:rPr>
        <w:t xml:space="preserve">  水泥土搅拌桩复合地基验收检测应采用单桩静载试验、单桩或多桩复合地基静载试验检</w:t>
      </w:r>
      <w:r>
        <w:rPr>
          <w:rFonts w:hint="eastAsia"/>
          <w:color w:val="auto"/>
          <w:szCs w:val="21"/>
        </w:rPr>
        <w:t>测</w:t>
      </w:r>
      <w:r>
        <w:rPr>
          <w:color w:val="auto"/>
          <w:szCs w:val="21"/>
        </w:rPr>
        <w:t>承载力。</w:t>
      </w:r>
      <w:r>
        <w:rPr>
          <w:color w:val="auto"/>
        </w:rPr>
        <w:t>静</w:t>
      </w:r>
      <w:r>
        <w:rPr>
          <w:color w:val="auto"/>
          <w:szCs w:val="21"/>
        </w:rPr>
        <w:t>载试验宜在成桩28</w:t>
      </w:r>
      <w:r>
        <w:rPr>
          <w:iCs/>
          <w:color w:val="auto"/>
          <w:szCs w:val="21"/>
        </w:rPr>
        <w:t>d</w:t>
      </w:r>
      <w:r>
        <w:rPr>
          <w:color w:val="auto"/>
          <w:szCs w:val="21"/>
        </w:rPr>
        <w:t>后进行，</w:t>
      </w:r>
      <w:r>
        <w:rPr>
          <w:color w:val="auto"/>
        </w:rPr>
        <w:t>验收检</w:t>
      </w:r>
      <w:r>
        <w:rPr>
          <w:rFonts w:hint="eastAsia"/>
          <w:color w:val="auto"/>
        </w:rPr>
        <w:t>测</w:t>
      </w:r>
      <w:r>
        <w:rPr>
          <w:color w:val="auto"/>
        </w:rPr>
        <w:t>数量</w:t>
      </w:r>
      <w:r>
        <w:rPr>
          <w:rFonts w:hint="eastAsia"/>
          <w:color w:val="auto"/>
        </w:rPr>
        <w:t>单桩和复合地基</w:t>
      </w:r>
      <w:r>
        <w:rPr>
          <w:color w:val="auto"/>
        </w:rPr>
        <w:t>各不应少于桩总数的1%，</w:t>
      </w:r>
      <w:r>
        <w:rPr>
          <w:color w:val="auto"/>
          <w:szCs w:val="21"/>
        </w:rPr>
        <w:t>且每项单体工程的单桩和复合地基</w:t>
      </w:r>
      <w:r>
        <w:rPr>
          <w:color w:val="auto"/>
        </w:rPr>
        <w:t>静</w:t>
      </w:r>
      <w:r>
        <w:rPr>
          <w:color w:val="auto"/>
          <w:szCs w:val="21"/>
        </w:rPr>
        <w:t>载试验各不应少于3点</w:t>
      </w:r>
      <w:r>
        <w:rPr>
          <w:rFonts w:hint="eastAsia"/>
          <w:color w:val="auto"/>
          <w:szCs w:val="21"/>
        </w:rPr>
        <w:t>（多轴搅拌不应少于3组）</w:t>
      </w:r>
      <w:r>
        <w:rPr>
          <w:color w:val="auto"/>
          <w:szCs w:val="21"/>
        </w:rPr>
        <w:t>。</w:t>
      </w:r>
      <w:r>
        <w:rPr>
          <w:color w:val="auto"/>
        </w:rPr>
        <w:t>对重要的、变形要求严格的工程宜进行多桩复合地基静载试验。</w:t>
      </w:r>
    </w:p>
    <w:p w14:paraId="66380ACF">
      <w:pPr>
        <w:snapToGrid w:val="0"/>
        <w:spacing w:line="340" w:lineRule="exact"/>
        <w:rPr>
          <w:color w:val="auto"/>
        </w:rPr>
      </w:pPr>
      <w:r>
        <w:rPr>
          <w:rFonts w:eastAsia="黑体"/>
          <w:b/>
          <w:color w:val="auto"/>
          <w:spacing w:val="-6"/>
        </w:rPr>
        <w:t xml:space="preserve">9.2.20 </w:t>
      </w:r>
      <w:r>
        <w:rPr>
          <w:color w:val="auto"/>
        </w:rPr>
        <w:t xml:space="preserve"> 基槽开挖后，应检验桩位、桩数与桩顶质量，如不符合设计要求，应采取有效补强措施。</w:t>
      </w:r>
    </w:p>
    <w:p w14:paraId="518FA2C1">
      <w:pPr>
        <w:adjustRightInd w:val="0"/>
        <w:snapToGrid w:val="0"/>
        <w:spacing w:line="340" w:lineRule="exact"/>
        <w:rPr>
          <w:b/>
          <w:bCs/>
          <w:color w:val="auto"/>
          <w:szCs w:val="21"/>
        </w:rPr>
      </w:pPr>
    </w:p>
    <w:p w14:paraId="0140E1BD">
      <w:pPr>
        <w:adjustRightInd w:val="0"/>
        <w:snapToGrid w:val="0"/>
        <w:spacing w:line="340" w:lineRule="exact"/>
        <w:outlineLvl w:val="1"/>
        <w:rPr>
          <w:rFonts w:eastAsia="黑体"/>
          <w:b/>
          <w:bCs/>
          <w:color w:val="auto"/>
          <w:szCs w:val="21"/>
        </w:rPr>
      </w:pPr>
      <w:bookmarkStart w:id="28" w:name="_Toc199943590"/>
      <w:r>
        <w:rPr>
          <w:rFonts w:eastAsia="黑体"/>
          <w:b/>
          <w:bCs/>
          <w:color w:val="auto"/>
          <w:szCs w:val="21"/>
        </w:rPr>
        <w:t>9.3  混凝土桩复合地基</w:t>
      </w:r>
      <w:bookmarkEnd w:id="28"/>
    </w:p>
    <w:p w14:paraId="52DE1CF0">
      <w:pPr>
        <w:adjustRightInd w:val="0"/>
        <w:snapToGrid w:val="0"/>
        <w:spacing w:line="340" w:lineRule="exact"/>
        <w:jc w:val="center"/>
        <w:rPr>
          <w:b/>
          <w:bCs/>
          <w:color w:val="auto"/>
          <w:szCs w:val="21"/>
        </w:rPr>
      </w:pPr>
    </w:p>
    <w:p w14:paraId="5A4E5503">
      <w:pPr>
        <w:adjustRightInd w:val="0"/>
        <w:snapToGrid w:val="0"/>
        <w:spacing w:line="340" w:lineRule="exact"/>
        <w:rPr>
          <w:color w:val="auto"/>
          <w:szCs w:val="21"/>
        </w:rPr>
      </w:pPr>
      <w:r>
        <w:rPr>
          <w:b/>
          <w:bCs/>
          <w:color w:val="auto"/>
          <w:szCs w:val="21"/>
        </w:rPr>
        <w:t>9.3.1</w:t>
      </w:r>
      <w:r>
        <w:rPr>
          <w:color w:val="auto"/>
          <w:szCs w:val="21"/>
        </w:rPr>
        <w:t xml:space="preserve">  混凝土桩复合地基处理应符合下列规定：</w:t>
      </w:r>
    </w:p>
    <w:p w14:paraId="4A47BFC9">
      <w:pPr>
        <w:adjustRightInd w:val="0"/>
        <w:snapToGrid w:val="0"/>
        <w:spacing w:line="340" w:lineRule="exact"/>
        <w:rPr>
          <w:color w:val="auto"/>
          <w:szCs w:val="21"/>
        </w:rPr>
      </w:pPr>
      <w:r>
        <w:rPr>
          <w:color w:val="auto"/>
          <w:szCs w:val="21"/>
        </w:rPr>
        <w:t xml:space="preserve">    </w:t>
      </w:r>
      <w:r>
        <w:rPr>
          <w:b/>
          <w:bCs/>
          <w:color w:val="auto"/>
          <w:szCs w:val="21"/>
        </w:rPr>
        <w:t xml:space="preserve">a)  </w:t>
      </w:r>
      <w:r>
        <w:rPr>
          <w:color w:val="auto"/>
          <w:szCs w:val="21"/>
        </w:rPr>
        <w:t>根据桩体材料和施工方法的不同，混凝土桩复合地基可分为水泥粉煤灰碎石桩（</w:t>
      </w:r>
      <w:r>
        <w:rPr>
          <w:iCs/>
          <w:color w:val="auto"/>
          <w:szCs w:val="21"/>
        </w:rPr>
        <w:t>CFG</w:t>
      </w:r>
      <w:r>
        <w:rPr>
          <w:color w:val="auto"/>
          <w:szCs w:val="21"/>
        </w:rPr>
        <w:t>桩）复合地基、混凝土灌注桩复合地基和预制混凝土桩复合地基以及其他具有一定强度混合材料桩复合地基。</w:t>
      </w:r>
    </w:p>
    <w:p w14:paraId="2D13D32A">
      <w:pPr>
        <w:adjustRightInd w:val="0"/>
        <w:snapToGrid w:val="0"/>
        <w:spacing w:line="340" w:lineRule="exact"/>
        <w:ind w:firstLine="411" w:firstLineChars="195"/>
        <w:rPr>
          <w:color w:val="auto"/>
          <w:szCs w:val="21"/>
        </w:rPr>
      </w:pPr>
      <w:r>
        <w:rPr>
          <w:b/>
          <w:bCs/>
          <w:color w:val="auto"/>
          <w:szCs w:val="21"/>
        </w:rPr>
        <w:t>b)</w:t>
      </w:r>
      <w:r>
        <w:rPr>
          <w:color w:val="auto"/>
          <w:szCs w:val="21"/>
        </w:rPr>
        <w:t xml:space="preserve">  </w:t>
      </w:r>
      <w:r>
        <w:rPr>
          <w:rFonts w:hint="eastAsia"/>
          <w:color w:val="auto"/>
          <w:szCs w:val="21"/>
        </w:rPr>
        <w:t>混凝土桩复合地基法适用于处理正常固结的黏性土、粉土、砂类土、填土和淤泥质土等地基。</w:t>
      </w:r>
    </w:p>
    <w:p w14:paraId="0CD3C436">
      <w:pPr>
        <w:adjustRightInd w:val="0"/>
        <w:snapToGrid w:val="0"/>
        <w:spacing w:line="340" w:lineRule="exact"/>
        <w:rPr>
          <w:color w:val="auto"/>
          <w:szCs w:val="21"/>
        </w:rPr>
      </w:pPr>
      <w:r>
        <w:rPr>
          <w:b/>
          <w:bCs/>
          <w:color w:val="auto"/>
          <w:szCs w:val="21"/>
        </w:rPr>
        <w:t>9.3.2</w:t>
      </w:r>
      <w:r>
        <w:rPr>
          <w:color w:val="auto"/>
          <w:szCs w:val="21"/>
        </w:rPr>
        <w:t xml:space="preserve">  混凝土桩复合地基设计应符合下列规定：</w:t>
      </w:r>
    </w:p>
    <w:p w14:paraId="7C289131">
      <w:pPr>
        <w:adjustRightInd w:val="0"/>
        <w:snapToGrid w:val="0"/>
        <w:spacing w:line="340" w:lineRule="exact"/>
        <w:ind w:firstLine="422" w:firstLineChars="200"/>
        <w:rPr>
          <w:color w:val="auto"/>
          <w:szCs w:val="21"/>
        </w:rPr>
      </w:pPr>
      <w:r>
        <w:rPr>
          <w:b/>
          <w:bCs/>
          <w:color w:val="auto"/>
          <w:szCs w:val="21"/>
        </w:rPr>
        <w:t xml:space="preserve">a)  </w:t>
      </w:r>
      <w:r>
        <w:rPr>
          <w:color w:val="auto"/>
          <w:szCs w:val="21"/>
        </w:rPr>
        <w:t>应选择承载力相对较高的土层作为桩端持力层；基础下持力层应为正常固结且承载力特征值不宜小于80</w:t>
      </w:r>
      <w:r>
        <w:rPr>
          <w:iCs/>
          <w:color w:val="auto"/>
          <w:szCs w:val="21"/>
        </w:rPr>
        <w:t>kPa</w:t>
      </w:r>
      <w:r>
        <w:rPr>
          <w:color w:val="auto"/>
          <w:szCs w:val="21"/>
        </w:rPr>
        <w:t>的土层或经处理后的适宜土层；</w:t>
      </w:r>
    </w:p>
    <w:p w14:paraId="5D11E7C3">
      <w:pPr>
        <w:adjustRightInd w:val="0"/>
        <w:snapToGrid w:val="0"/>
        <w:spacing w:line="340" w:lineRule="exact"/>
        <w:ind w:firstLine="422" w:firstLineChars="200"/>
        <w:rPr>
          <w:color w:val="auto"/>
          <w:szCs w:val="21"/>
        </w:rPr>
      </w:pPr>
      <w:r>
        <w:rPr>
          <w:b/>
          <w:bCs/>
          <w:color w:val="auto"/>
          <w:szCs w:val="21"/>
        </w:rPr>
        <w:t xml:space="preserve">b)  </w:t>
      </w:r>
      <w:r>
        <w:rPr>
          <w:color w:val="auto"/>
          <w:szCs w:val="21"/>
        </w:rPr>
        <w:t>桩在使用荷载作用下应能产生一定的沉降或向褥垫层内的刺入变形；混凝土桩复合地基应在基础与桩之间设置褥垫层，褥垫层的厚度宜取150</w:t>
      </w:r>
      <w:r>
        <w:rPr>
          <w:iCs/>
          <w:color w:val="auto"/>
          <w:szCs w:val="21"/>
        </w:rPr>
        <w:t>mm</w:t>
      </w:r>
      <w:r>
        <w:rPr>
          <w:color w:val="auto"/>
          <w:szCs w:val="21"/>
        </w:rPr>
        <w:t>～300</w:t>
      </w:r>
      <w:r>
        <w:rPr>
          <w:iCs/>
          <w:color w:val="auto"/>
          <w:szCs w:val="21"/>
        </w:rPr>
        <w:t>mm</w:t>
      </w:r>
      <w:r>
        <w:rPr>
          <w:color w:val="auto"/>
          <w:szCs w:val="21"/>
        </w:rPr>
        <w:t>，当桩顶沉降小时，取高值。垫层材料宜选择中粗砂、级配砂石（砂与碎石的体积比宜取2:1），碎石最大粒径不宜超过30</w:t>
      </w:r>
      <w:r>
        <w:rPr>
          <w:iCs/>
          <w:color w:val="auto"/>
          <w:szCs w:val="21"/>
        </w:rPr>
        <w:t>mm</w:t>
      </w:r>
      <w:r>
        <w:rPr>
          <w:rFonts w:hint="eastAsia"/>
          <w:iCs/>
          <w:color w:val="auto"/>
          <w:szCs w:val="21"/>
        </w:rPr>
        <w:t>，</w:t>
      </w:r>
      <w:r>
        <w:rPr>
          <w:color w:val="auto"/>
          <w:szCs w:val="21"/>
        </w:rPr>
        <w:t>褥垫层</w:t>
      </w:r>
      <w:r>
        <w:rPr>
          <w:iCs/>
          <w:color w:val="auto"/>
          <w:szCs w:val="21"/>
        </w:rPr>
        <w:t>的夯填度</w:t>
      </w:r>
      <w:r>
        <w:rPr>
          <w:rFonts w:hint="eastAsia"/>
          <w:iCs/>
          <w:color w:val="auto"/>
          <w:szCs w:val="21"/>
        </w:rPr>
        <w:t>不应大于0</w:t>
      </w:r>
      <w:r>
        <w:rPr>
          <w:iCs/>
          <w:color w:val="auto"/>
          <w:szCs w:val="21"/>
        </w:rPr>
        <w:t>.9</w:t>
      </w:r>
      <w:r>
        <w:rPr>
          <w:color w:val="auto"/>
          <w:szCs w:val="21"/>
        </w:rPr>
        <w:t>。</w:t>
      </w:r>
    </w:p>
    <w:p w14:paraId="74A553A0">
      <w:pPr>
        <w:adjustRightInd w:val="0"/>
        <w:snapToGrid w:val="0"/>
        <w:spacing w:line="340" w:lineRule="exact"/>
        <w:ind w:left="1" w:firstLine="422" w:firstLineChars="200"/>
        <w:rPr>
          <w:color w:val="auto"/>
          <w:szCs w:val="21"/>
        </w:rPr>
      </w:pPr>
      <w:r>
        <w:rPr>
          <w:b/>
          <w:bCs/>
          <w:color w:val="auto"/>
          <w:szCs w:val="21"/>
        </w:rPr>
        <w:t xml:space="preserve">c)  </w:t>
      </w:r>
      <w:r>
        <w:rPr>
          <w:color w:val="auto"/>
          <w:szCs w:val="21"/>
        </w:rPr>
        <w:t>混凝土桩可只布置在基础平面范围内。条形基础可在轴线下单排布桩，进行条基底板的抗弯计算时，基底平均反力不宜小于基底地基土承载力特征值。条基下多排布桩时应按桩基进行底板计算。独立基础计算应按桩基有关规定执行，冲切力计算时可扣除冲切锥下承台底桩、土净反力。</w:t>
      </w:r>
    </w:p>
    <w:p w14:paraId="30837AA4">
      <w:pPr>
        <w:adjustRightInd w:val="0"/>
        <w:snapToGrid w:val="0"/>
        <w:spacing w:line="340" w:lineRule="exact"/>
        <w:ind w:firstLine="422" w:firstLineChars="200"/>
        <w:rPr>
          <w:color w:val="auto"/>
          <w:szCs w:val="21"/>
        </w:rPr>
      </w:pPr>
      <w:r>
        <w:rPr>
          <w:b/>
          <w:bCs/>
          <w:color w:val="auto"/>
          <w:szCs w:val="21"/>
        </w:rPr>
        <w:t xml:space="preserve">d)  </w:t>
      </w:r>
      <w:r>
        <w:rPr>
          <w:color w:val="auto"/>
          <w:szCs w:val="21"/>
        </w:rPr>
        <w:t>桩中心距不宜小于3.5倍桩身直径；</w:t>
      </w:r>
    </w:p>
    <w:p w14:paraId="2E1F418C">
      <w:pPr>
        <w:adjustRightInd w:val="0"/>
        <w:snapToGrid w:val="0"/>
        <w:spacing w:line="340" w:lineRule="exact"/>
        <w:ind w:firstLine="422" w:firstLineChars="200"/>
        <w:rPr>
          <w:color w:val="auto"/>
          <w:szCs w:val="21"/>
        </w:rPr>
      </w:pPr>
      <w:r>
        <w:rPr>
          <w:b/>
          <w:bCs/>
          <w:color w:val="auto"/>
          <w:szCs w:val="21"/>
        </w:rPr>
        <w:t xml:space="preserve">e) </w:t>
      </w:r>
      <w:r>
        <w:rPr>
          <w:color w:val="auto"/>
          <w:szCs w:val="21"/>
        </w:rPr>
        <w:t xml:space="preserve"> </w:t>
      </w:r>
      <w:r>
        <w:rPr>
          <w:rFonts w:hint="eastAsia"/>
          <w:color w:val="auto"/>
          <w:szCs w:val="21"/>
        </w:rPr>
        <w:t>建筑物地基处理</w:t>
      </w:r>
      <w:r>
        <w:rPr>
          <w:color w:val="auto"/>
          <w:szCs w:val="21"/>
        </w:rPr>
        <w:t>设计采用的桩身混凝土强度等级不</w:t>
      </w:r>
      <w:r>
        <w:rPr>
          <w:rFonts w:hint="eastAsia"/>
          <w:color w:val="auto"/>
          <w:szCs w:val="21"/>
        </w:rPr>
        <w:t>宜</w:t>
      </w:r>
      <w:r>
        <w:rPr>
          <w:color w:val="auto"/>
          <w:szCs w:val="21"/>
        </w:rPr>
        <w:t>低于</w:t>
      </w:r>
      <w:r>
        <w:rPr>
          <w:iCs/>
          <w:color w:val="auto"/>
          <w:szCs w:val="21"/>
        </w:rPr>
        <w:t>C25</w:t>
      </w:r>
      <w:r>
        <w:rPr>
          <w:rFonts w:hint="eastAsia"/>
          <w:color w:val="auto"/>
          <w:szCs w:val="21"/>
        </w:rPr>
        <w:t>，桩顶以下适当长度宜配置构造钢筋。道路路基加固桩身混凝土强度等级不应低于C</w:t>
      </w:r>
      <w:r>
        <w:rPr>
          <w:color w:val="auto"/>
          <w:szCs w:val="21"/>
        </w:rPr>
        <w:t>20。</w:t>
      </w:r>
    </w:p>
    <w:p w14:paraId="7544395C">
      <w:pPr>
        <w:adjustRightInd w:val="0"/>
        <w:snapToGrid w:val="0"/>
        <w:spacing w:line="340" w:lineRule="exact"/>
        <w:ind w:firstLine="413" w:firstLineChars="196"/>
        <w:rPr>
          <w:color w:val="auto"/>
          <w:szCs w:val="21"/>
        </w:rPr>
      </w:pPr>
      <w:r>
        <w:rPr>
          <w:b/>
          <w:bCs/>
          <w:color w:val="auto"/>
          <w:szCs w:val="21"/>
        </w:rPr>
        <w:t xml:space="preserve">f) </w:t>
      </w:r>
      <w:r>
        <w:rPr>
          <w:color w:val="auto"/>
          <w:szCs w:val="21"/>
        </w:rPr>
        <w:t xml:space="preserve"> 混凝土桩复合地基承载力特征值应通过现场复合地基载荷试验确定，试验数量不得少于3点。初步设计时可按</w:t>
      </w:r>
      <w:r>
        <w:rPr>
          <w:rFonts w:hint="eastAsia"/>
          <w:color w:val="auto"/>
          <w:lang w:val="en-US" w:eastAsia="zh-CN"/>
        </w:rPr>
        <w:t>公式（40）</w:t>
      </w:r>
      <w:r>
        <w:rPr>
          <w:color w:val="auto"/>
          <w:szCs w:val="21"/>
        </w:rPr>
        <w:t>估算：</w:t>
      </w:r>
    </w:p>
    <w:p w14:paraId="1AA74073">
      <w:pPr>
        <w:pStyle w:val="12"/>
        <w:jc w:val="right"/>
        <w:rPr>
          <w:color w:val="auto"/>
          <w:szCs w:val="21"/>
        </w:rPr>
      </w:pPr>
      <w:r>
        <w:rPr>
          <w:color w:val="auto"/>
          <w:szCs w:val="21"/>
        </w:rPr>
        <w:t xml:space="preserve"> </w:t>
      </w:r>
      <w:r>
        <w:rPr>
          <w:color w:val="auto"/>
          <w:position w:val="-32"/>
          <w:szCs w:val="21"/>
        </w:rPr>
        <w:object>
          <v:shape id="_x0000_i1184" o:spt="75" type="#_x0000_t75" style="height:35.25pt;width:115.5pt;" o:ole="t" filled="f" o:preferrelative="t" stroked="f" coordsize="21600,21600">
            <v:path/>
            <v:fill on="f" focussize="0,0"/>
            <v:stroke on="f" joinstyle="miter"/>
            <v:imagedata r:id="rId316" o:title=""/>
            <o:lock v:ext="edit" aspectratio="t"/>
            <w10:wrap type="none"/>
            <w10:anchorlock/>
          </v:shape>
          <o:OLEObject Type="Embed" ProgID="Equation.DSMT4" ShapeID="_x0000_i1184" DrawAspect="Content" ObjectID="_1468075884" r:id="rId31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40</w:t>
      </w:r>
      <w:r>
        <w:rPr>
          <w:color w:val="auto"/>
          <w:szCs w:val="21"/>
        </w:rPr>
        <w:fldChar w:fldCharType="end"/>
      </w:r>
      <w:r>
        <w:rPr>
          <w:color w:val="auto"/>
          <w:szCs w:val="21"/>
        </w:rPr>
        <w:t>)</w:t>
      </w:r>
    </w:p>
    <w:p w14:paraId="3D6FEE1C">
      <w:pPr>
        <w:tabs>
          <w:tab w:val="left" w:pos="1575"/>
        </w:tabs>
        <w:adjustRightInd w:val="0"/>
        <w:snapToGrid w:val="0"/>
        <w:spacing w:line="360" w:lineRule="atLeast"/>
        <w:rPr>
          <w:color w:val="auto"/>
          <w:szCs w:val="21"/>
        </w:rPr>
      </w:pPr>
      <w:r>
        <w:rPr>
          <w:color w:val="auto"/>
          <w:szCs w:val="21"/>
        </w:rPr>
        <w:t xml:space="preserve">式中   </w:t>
      </w:r>
      <w:r>
        <w:rPr>
          <w:color w:val="auto"/>
          <w:position w:val="-14"/>
          <w:szCs w:val="21"/>
        </w:rPr>
        <w:object>
          <v:shape id="_x0000_i1185" o:spt="75" type="#_x0000_t75" style="height:18.75pt;width:18.75pt;" o:ole="t" filled="f" o:preferrelative="t" stroked="f" coordsize="21600,21600">
            <v:path/>
            <v:fill on="f" focussize="0,0"/>
            <v:stroke on="f" joinstyle="miter"/>
            <v:imagedata r:id="rId277" o:title=""/>
            <o:lock v:ext="edit" aspectratio="t"/>
            <w10:wrap type="none"/>
            <w10:anchorlock/>
          </v:shape>
          <o:OLEObject Type="Embed" ProgID="Equation.DSMT4" ShapeID="_x0000_i1185" DrawAspect="Content" ObjectID="_1468075885" r:id="rId317">
            <o:LockedField>false</o:LockedField>
          </o:OLEObject>
        </w:object>
      </w:r>
      <w:r>
        <w:rPr>
          <w:color w:val="auto"/>
          <w:szCs w:val="21"/>
        </w:rPr>
        <w:t>——混凝土桩复合地基承载力特征值（</w:t>
      </w:r>
      <w:r>
        <w:rPr>
          <w:iCs/>
          <w:color w:val="auto"/>
          <w:szCs w:val="21"/>
        </w:rPr>
        <w:t>kPa</w:t>
      </w:r>
      <w:r>
        <w:rPr>
          <w:color w:val="auto"/>
          <w:szCs w:val="21"/>
        </w:rPr>
        <w:t>）；</w:t>
      </w:r>
    </w:p>
    <w:p w14:paraId="6CB3CED5">
      <w:pPr>
        <w:adjustRightInd w:val="0"/>
        <w:snapToGrid w:val="0"/>
        <w:spacing w:line="360" w:lineRule="atLeast"/>
        <w:ind w:firstLine="965" w:firstLineChars="460"/>
        <w:rPr>
          <w:color w:val="auto"/>
          <w:szCs w:val="21"/>
        </w:rPr>
      </w:pPr>
      <w:r>
        <w:rPr>
          <w:i/>
          <w:iCs/>
          <w:color w:val="auto"/>
          <w:szCs w:val="21"/>
        </w:rPr>
        <w:t>m</w:t>
      </w:r>
      <w:r>
        <w:rPr>
          <w:color w:val="auto"/>
          <w:szCs w:val="21"/>
        </w:rPr>
        <w:t>——面积置换率；</w:t>
      </w:r>
    </w:p>
    <w:p w14:paraId="4911A218">
      <w:pPr>
        <w:adjustRightInd w:val="0"/>
        <w:snapToGrid w:val="0"/>
        <w:spacing w:line="360" w:lineRule="atLeast"/>
        <w:ind w:firstLine="867" w:firstLineChars="413"/>
        <w:rPr>
          <w:color w:val="auto"/>
          <w:szCs w:val="21"/>
        </w:rPr>
      </w:pPr>
      <w:r>
        <w:rPr>
          <w:i/>
          <w:iCs/>
          <w:color w:val="auto"/>
          <w:szCs w:val="21"/>
        </w:rPr>
        <w:t>R</w:t>
      </w:r>
      <w:r>
        <w:rPr>
          <w:color w:val="auto"/>
          <w:szCs w:val="21"/>
          <w:vertAlign w:val="subscript"/>
        </w:rPr>
        <w:t>a</w:t>
      </w:r>
      <w:r>
        <w:rPr>
          <w:i/>
          <w:iCs/>
          <w:color w:val="auto"/>
          <w:szCs w:val="21"/>
          <w:vertAlign w:val="subscript"/>
        </w:rPr>
        <w:t xml:space="preserve"> </w:t>
      </w:r>
      <w:r>
        <w:rPr>
          <w:color w:val="auto"/>
          <w:szCs w:val="21"/>
        </w:rPr>
        <w:t>——混凝土桩单桩竖向承载力特征值（</w:t>
      </w:r>
      <w:r>
        <w:rPr>
          <w:iCs/>
          <w:color w:val="auto"/>
          <w:szCs w:val="21"/>
        </w:rPr>
        <w:t>kN</w:t>
      </w:r>
      <w:r>
        <w:rPr>
          <w:color w:val="auto"/>
          <w:szCs w:val="21"/>
        </w:rPr>
        <w:t>）；</w:t>
      </w:r>
    </w:p>
    <w:p w14:paraId="72FA1C98">
      <w:pPr>
        <w:adjustRightInd w:val="0"/>
        <w:snapToGrid w:val="0"/>
        <w:spacing w:line="360" w:lineRule="atLeast"/>
        <w:ind w:firstLine="894" w:firstLineChars="426"/>
        <w:rPr>
          <w:color w:val="auto"/>
          <w:szCs w:val="21"/>
        </w:rPr>
      </w:pPr>
      <w:r>
        <w:rPr>
          <w:i/>
          <w:iCs/>
          <w:color w:val="auto"/>
          <w:szCs w:val="21"/>
        </w:rPr>
        <w:t>A</w:t>
      </w:r>
      <w:r>
        <w:rPr>
          <w:color w:val="auto"/>
          <w:szCs w:val="21"/>
          <w:vertAlign w:val="subscript"/>
        </w:rPr>
        <w:t>p</w:t>
      </w:r>
      <w:r>
        <w:rPr>
          <w:color w:val="auto"/>
          <w:szCs w:val="21"/>
        </w:rPr>
        <w:t>——混凝土桩的截面积（</w:t>
      </w:r>
      <w:r>
        <w:rPr>
          <w:iCs/>
          <w:color w:val="auto"/>
          <w:szCs w:val="21"/>
        </w:rPr>
        <w:t>m</w:t>
      </w:r>
      <w:r>
        <w:rPr>
          <w:color w:val="auto"/>
          <w:szCs w:val="21"/>
          <w:vertAlign w:val="superscript"/>
        </w:rPr>
        <w:t>2</w:t>
      </w:r>
      <w:r>
        <w:rPr>
          <w:color w:val="auto"/>
          <w:szCs w:val="21"/>
        </w:rPr>
        <w:t>）；</w:t>
      </w:r>
    </w:p>
    <w:p w14:paraId="7F93F9CB">
      <w:pPr>
        <w:adjustRightInd w:val="0"/>
        <w:snapToGrid w:val="0"/>
        <w:spacing w:line="360" w:lineRule="atLeast"/>
        <w:ind w:firstLine="783" w:firstLineChars="373"/>
        <w:rPr>
          <w:color w:val="auto"/>
          <w:szCs w:val="21"/>
        </w:rPr>
      </w:pPr>
      <w:r>
        <w:rPr>
          <w:color w:val="auto"/>
          <w:position w:val="-12"/>
          <w:szCs w:val="21"/>
        </w:rPr>
        <w:object>
          <v:shape id="_x0000_i1186" o:spt="75" type="#_x0000_t75" style="height:18pt;width:16.5pt;" o:ole="t" filled="f" o:preferrelative="t" stroked="f" coordsize="21600,21600">
            <v:path/>
            <v:fill on="f" focussize="0,0"/>
            <v:stroke on="f" joinstyle="miter"/>
            <v:imagedata r:id="rId319" o:title=""/>
            <o:lock v:ext="edit" aspectratio="t"/>
            <w10:wrap type="none"/>
            <w10:anchorlock/>
          </v:shape>
          <o:OLEObject Type="Embed" ProgID="Equation.DSMT4" ShapeID="_x0000_i1186" DrawAspect="Content" ObjectID="_1468075886" r:id="rId318">
            <o:LockedField>false</o:LockedField>
          </o:OLEObject>
        </w:object>
      </w:r>
      <w:r>
        <w:rPr>
          <w:color w:val="auto"/>
          <w:szCs w:val="21"/>
        </w:rPr>
        <w:t>——</w:t>
      </w:r>
      <w:r>
        <w:rPr>
          <w:rFonts w:hint="eastAsia"/>
          <w:color w:val="auto"/>
          <w:szCs w:val="21"/>
        </w:rPr>
        <w:t>处理后</w:t>
      </w:r>
      <w:r>
        <w:rPr>
          <w:color w:val="auto"/>
          <w:szCs w:val="21"/>
        </w:rPr>
        <w:t>桩间土承载力特征值，</w:t>
      </w:r>
      <w:r>
        <w:rPr>
          <w:rFonts w:hint="eastAsia"/>
          <w:color w:val="auto"/>
          <w:szCs w:val="21"/>
        </w:rPr>
        <w:t>取</w:t>
      </w:r>
      <w:r>
        <w:rPr>
          <w:color w:val="auto"/>
          <w:szCs w:val="21"/>
        </w:rPr>
        <w:t>桩间天然地基土承载力特征值（</w:t>
      </w:r>
      <w:r>
        <w:rPr>
          <w:iCs/>
          <w:color w:val="auto"/>
          <w:szCs w:val="21"/>
        </w:rPr>
        <w:t>kPa</w:t>
      </w:r>
      <w:r>
        <w:rPr>
          <w:color w:val="auto"/>
          <w:szCs w:val="21"/>
        </w:rPr>
        <w:t>）；</w:t>
      </w:r>
    </w:p>
    <w:p w14:paraId="5BE9949B">
      <w:pPr>
        <w:adjustRightInd w:val="0"/>
        <w:snapToGrid w:val="0"/>
        <w:spacing w:line="360" w:lineRule="atLeast"/>
        <w:ind w:left="1539" w:leftChars="412" w:hanging="674" w:hangingChars="321"/>
        <w:rPr>
          <w:color w:val="auto"/>
          <w:szCs w:val="21"/>
        </w:rPr>
      </w:pPr>
      <w:r>
        <w:rPr>
          <w:color w:val="auto"/>
          <w:position w:val="-10"/>
          <w:szCs w:val="21"/>
        </w:rPr>
        <w:object>
          <v:shape id="_x0000_i1187" o:spt="75" type="#_x0000_t75" style="height:15pt;width:12pt;" o:ole="t" filled="f" o:preferrelative="t" stroked="f" coordsize="21600,21600">
            <v:path/>
            <v:fill on="f" focussize="0,0"/>
            <v:stroke on="f" joinstyle="miter"/>
            <v:imagedata r:id="rId321" o:title=""/>
            <o:lock v:ext="edit" aspectratio="t"/>
            <w10:wrap type="none"/>
            <w10:anchorlock/>
          </v:shape>
          <o:OLEObject Type="Embed" ProgID="Equation.DSMT4" ShapeID="_x0000_i1187" DrawAspect="Content" ObjectID="_1468075887" r:id="rId320">
            <o:LockedField>false</o:LockedField>
          </o:OLEObject>
        </w:object>
      </w:r>
      <w:r>
        <w:rPr>
          <w:color w:val="auto"/>
          <w:szCs w:val="21"/>
        </w:rPr>
        <w:t>——桩间土承载力发挥系数，可取0.7～0.9，当桩间土承载力较低，桩顶沉降小时取低值。</w:t>
      </w:r>
    </w:p>
    <w:p w14:paraId="55A0AFF4">
      <w:pPr>
        <w:adjustRightInd w:val="0"/>
        <w:snapToGrid w:val="0"/>
        <w:spacing w:line="360" w:lineRule="atLeast"/>
        <w:ind w:firstLine="413" w:firstLineChars="196"/>
        <w:rPr>
          <w:color w:val="auto"/>
          <w:szCs w:val="21"/>
        </w:rPr>
      </w:pPr>
      <w:r>
        <w:rPr>
          <w:b/>
          <w:bCs/>
          <w:color w:val="auto"/>
          <w:szCs w:val="21"/>
        </w:rPr>
        <w:t>g)</w:t>
      </w:r>
      <w:r>
        <w:rPr>
          <w:color w:val="auto"/>
          <w:szCs w:val="21"/>
        </w:rPr>
        <w:t xml:space="preserve">  单桩竖向承载力特征值</w:t>
      </w:r>
      <w:r>
        <w:rPr>
          <w:i/>
          <w:iCs/>
          <w:color w:val="auto"/>
          <w:szCs w:val="21"/>
        </w:rPr>
        <w:t>R</w:t>
      </w:r>
      <w:r>
        <w:rPr>
          <w:color w:val="auto"/>
          <w:szCs w:val="21"/>
          <w:vertAlign w:val="subscript"/>
        </w:rPr>
        <w:t>a</w:t>
      </w:r>
      <w:r>
        <w:rPr>
          <w:color w:val="auto"/>
          <w:szCs w:val="21"/>
        </w:rPr>
        <w:t>的取值，应符合下列规定：</w:t>
      </w:r>
    </w:p>
    <w:p w14:paraId="2ECA5F4C">
      <w:pPr>
        <w:adjustRightInd w:val="0"/>
        <w:snapToGrid w:val="0"/>
        <w:spacing w:line="360" w:lineRule="atLeast"/>
        <w:ind w:firstLine="690" w:firstLineChars="347"/>
        <w:rPr>
          <w:color w:val="auto"/>
          <w:szCs w:val="21"/>
        </w:rPr>
      </w:pPr>
      <w:r>
        <w:rPr>
          <w:rFonts w:eastAsia="黑体"/>
          <w:b/>
          <w:color w:val="auto"/>
          <w:spacing w:val="-6"/>
        </w:rPr>
        <w:t>1</w:t>
      </w:r>
      <w:r>
        <w:rPr>
          <w:rFonts w:hint="eastAsia" w:eastAsia="黑体"/>
          <w:b/>
          <w:color w:val="auto"/>
          <w:spacing w:val="-6"/>
        </w:rPr>
        <w:t>）</w:t>
      </w:r>
      <w:r>
        <w:rPr>
          <w:color w:val="auto"/>
          <w:szCs w:val="21"/>
        </w:rPr>
        <w:t>单桩竖向承载力特征值应通过静载试验确定，试验数量不应少于3根。</w:t>
      </w:r>
    </w:p>
    <w:p w14:paraId="4E77801D">
      <w:pPr>
        <w:adjustRightInd w:val="0"/>
        <w:snapToGrid w:val="0"/>
        <w:spacing w:line="360" w:lineRule="atLeast"/>
        <w:ind w:firstLine="690" w:firstLineChars="347"/>
        <w:rPr>
          <w:color w:val="auto"/>
          <w:szCs w:val="21"/>
        </w:rPr>
      </w:pPr>
      <w:r>
        <w:rPr>
          <w:rFonts w:eastAsia="黑体"/>
          <w:b/>
          <w:color w:val="auto"/>
          <w:spacing w:val="-6"/>
        </w:rPr>
        <w:t>2</w:t>
      </w:r>
      <w:r>
        <w:rPr>
          <w:rFonts w:hint="eastAsia" w:eastAsia="黑体"/>
          <w:b/>
          <w:color w:val="auto"/>
          <w:spacing w:val="-6"/>
        </w:rPr>
        <w:t>）</w:t>
      </w:r>
      <w:r>
        <w:rPr>
          <w:color w:val="auto"/>
          <w:szCs w:val="21"/>
        </w:rPr>
        <w:t>初步设计时，可按</w:t>
      </w:r>
      <w:r>
        <w:rPr>
          <w:rFonts w:hint="eastAsia"/>
          <w:color w:val="auto"/>
          <w:lang w:val="en-US" w:eastAsia="zh-CN"/>
        </w:rPr>
        <w:t>公式（41）</w:t>
      </w:r>
      <w:r>
        <w:rPr>
          <w:color w:val="auto"/>
          <w:szCs w:val="21"/>
        </w:rPr>
        <w:t>估算</w:t>
      </w:r>
      <w:r>
        <w:rPr>
          <w:rFonts w:hint="eastAsia"/>
          <w:color w:val="auto"/>
          <w:szCs w:val="21"/>
        </w:rPr>
        <w:t>，并应考虑淤泥质土、填土等桩周负摩擦影响</w:t>
      </w:r>
      <w:r>
        <w:rPr>
          <w:color w:val="auto"/>
          <w:szCs w:val="21"/>
        </w:rPr>
        <w:t>：</w:t>
      </w:r>
    </w:p>
    <w:p w14:paraId="3988E0DC">
      <w:pPr>
        <w:pStyle w:val="12"/>
        <w:jc w:val="right"/>
        <w:rPr>
          <w:color w:val="auto"/>
          <w:szCs w:val="21"/>
        </w:rPr>
      </w:pPr>
      <w:r>
        <w:rPr>
          <w:color w:val="auto"/>
          <w:position w:val="-24"/>
          <w:szCs w:val="21"/>
        </w:rPr>
        <w:object>
          <v:shape id="_x0000_i1188" o:spt="75" type="#_x0000_t75" style="height:30pt;width:99pt;" o:ole="t" filled="f" o:preferrelative="t" stroked="f" coordsize="21600,21600">
            <v:path/>
            <v:fill on="f" focussize="0,0"/>
            <v:stroke on="f" joinstyle="miter"/>
            <v:imagedata r:id="rId323" o:title=""/>
            <o:lock v:ext="edit" aspectratio="t"/>
            <w10:wrap type="none"/>
            <w10:anchorlock/>
          </v:shape>
          <o:OLEObject Type="Embed" ProgID="Equation.DSMT4" ShapeID="_x0000_i1188" DrawAspect="Content" ObjectID="_1468075888" r:id="rId32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41</w:t>
      </w:r>
      <w:r>
        <w:rPr>
          <w:color w:val="auto"/>
          <w:szCs w:val="21"/>
        </w:rPr>
        <w:fldChar w:fldCharType="end"/>
      </w:r>
      <w:r>
        <w:rPr>
          <w:color w:val="auto"/>
          <w:szCs w:val="21"/>
        </w:rPr>
        <w:t>)</w:t>
      </w:r>
    </w:p>
    <w:p w14:paraId="1C718D20">
      <w:pPr>
        <w:adjustRightInd w:val="0"/>
        <w:snapToGrid w:val="0"/>
        <w:spacing w:line="240" w:lineRule="atLeast"/>
        <w:rPr>
          <w:color w:val="auto"/>
          <w:szCs w:val="21"/>
        </w:rPr>
      </w:pPr>
      <w:r>
        <w:rPr>
          <w:color w:val="auto"/>
          <w:szCs w:val="21"/>
        </w:rPr>
        <w:t xml:space="preserve">式中：  </w:t>
      </w:r>
      <w:r>
        <w:rPr>
          <w:color w:val="auto"/>
          <w:position w:val="-14"/>
          <w:szCs w:val="21"/>
        </w:rPr>
        <w:object>
          <v:shape id="_x0000_i1189" o:spt="75" type="#_x0000_t75" style="height:18.75pt;width:12.75pt;" o:ole="t" filled="f" o:preferrelative="t" stroked="f" coordsize="21600,21600">
            <v:path/>
            <v:fill on="f" focussize="0,0"/>
            <v:stroke on="f" joinstyle="miter"/>
            <v:imagedata r:id="rId291" o:title=""/>
            <o:lock v:ext="edit" aspectratio="t"/>
            <w10:wrap type="none"/>
            <w10:anchorlock/>
          </v:shape>
          <o:OLEObject Type="Embed" ProgID="Equation.DSMT4" ShapeID="_x0000_i1189" DrawAspect="Content" ObjectID="_1468075889" r:id="rId324">
            <o:LockedField>false</o:LockedField>
          </o:OLEObject>
        </w:object>
      </w:r>
      <w:r>
        <w:rPr>
          <w:color w:val="auto"/>
          <w:szCs w:val="21"/>
        </w:rPr>
        <w:t>——桩的周长（</w:t>
      </w:r>
      <w:r>
        <w:rPr>
          <w:iCs/>
          <w:color w:val="auto"/>
          <w:szCs w:val="21"/>
        </w:rPr>
        <w:t>m</w:t>
      </w:r>
      <w:r>
        <w:rPr>
          <w:color w:val="auto"/>
          <w:szCs w:val="21"/>
        </w:rPr>
        <w:t>）；</w:t>
      </w:r>
    </w:p>
    <w:p w14:paraId="0FE8E69B">
      <w:pPr>
        <w:adjustRightInd w:val="0"/>
        <w:snapToGrid w:val="0"/>
        <w:spacing w:line="340" w:lineRule="exact"/>
        <w:ind w:firstLine="993" w:firstLineChars="473"/>
        <w:rPr>
          <w:color w:val="auto"/>
          <w:szCs w:val="21"/>
        </w:rPr>
      </w:pPr>
      <w:r>
        <w:rPr>
          <w:i/>
          <w:iCs/>
          <w:color w:val="auto"/>
          <w:szCs w:val="21"/>
        </w:rPr>
        <w:t>n</w:t>
      </w:r>
      <w:r>
        <w:rPr>
          <w:color w:val="auto"/>
          <w:szCs w:val="21"/>
        </w:rPr>
        <w:t>——桩长范围内所划分的土层数；</w:t>
      </w:r>
    </w:p>
    <w:p w14:paraId="51779800">
      <w:pPr>
        <w:adjustRightInd w:val="0"/>
        <w:snapToGrid w:val="0"/>
        <w:spacing w:line="340" w:lineRule="exact"/>
        <w:ind w:left="1522" w:leftChars="212" w:hanging="1077" w:hangingChars="513"/>
        <w:rPr>
          <w:color w:val="auto"/>
          <w:szCs w:val="21"/>
        </w:rPr>
      </w:pPr>
      <w:r>
        <w:rPr>
          <w:color w:val="auto"/>
          <w:position w:val="-14"/>
          <w:szCs w:val="21"/>
        </w:rPr>
        <w:object>
          <v:shape id="_x0000_i1190" o:spt="75" type="#_x0000_t75" style="height:18.75pt;width:33pt;" o:ole="t" filled="f" o:preferrelative="t" stroked="f" coordsize="21600,21600">
            <v:path/>
            <v:fill on="f" focussize="0,0"/>
            <v:stroke on="f" joinstyle="miter"/>
            <v:imagedata r:id="rId326" o:title=""/>
            <o:lock v:ext="edit" aspectratio="t"/>
            <w10:wrap type="none"/>
            <w10:anchorlock/>
          </v:shape>
          <o:OLEObject Type="Embed" ProgID="Equation.DSMT4" ShapeID="_x0000_i1190" DrawAspect="Content" ObjectID="_1468075890" r:id="rId325">
            <o:LockedField>false</o:LockedField>
          </o:OLEObject>
        </w:object>
      </w:r>
      <w:r>
        <w:rPr>
          <w:color w:val="auto"/>
          <w:szCs w:val="21"/>
        </w:rPr>
        <w:t>——桩侧第</w:t>
      </w:r>
      <w:r>
        <w:rPr>
          <w:i/>
          <w:color w:val="auto"/>
          <w:szCs w:val="21"/>
        </w:rPr>
        <w:t>i</w:t>
      </w:r>
      <w:r>
        <w:rPr>
          <w:color w:val="auto"/>
          <w:szCs w:val="21"/>
        </w:rPr>
        <w:t>层土的侧阻力、桩端端阻力特征值（</w:t>
      </w:r>
      <w:r>
        <w:rPr>
          <w:iCs/>
          <w:color w:val="auto"/>
          <w:szCs w:val="21"/>
        </w:rPr>
        <w:t>kPa</w:t>
      </w:r>
      <w:r>
        <w:rPr>
          <w:color w:val="auto"/>
          <w:szCs w:val="21"/>
        </w:rPr>
        <w:t>），可按本文件附录F取值；</w:t>
      </w:r>
    </w:p>
    <w:p w14:paraId="110E06A2">
      <w:pPr>
        <w:adjustRightInd w:val="0"/>
        <w:snapToGrid w:val="0"/>
        <w:spacing w:line="340" w:lineRule="exact"/>
        <w:ind w:firstLine="825" w:firstLineChars="393"/>
        <w:rPr>
          <w:color w:val="auto"/>
          <w:szCs w:val="21"/>
        </w:rPr>
      </w:pPr>
      <w:r>
        <w:rPr>
          <w:color w:val="auto"/>
          <w:szCs w:val="21"/>
        </w:rPr>
        <w:t xml:space="preserve"> </w:t>
      </w:r>
      <w:r>
        <w:rPr>
          <w:color w:val="auto"/>
          <w:position w:val="-12"/>
          <w:szCs w:val="21"/>
        </w:rPr>
        <w:object>
          <v:shape id="_x0000_i1191" o:spt="75" type="#_x0000_t75" style="height:18pt;width:9pt;" o:ole="t" filled="f" o:preferrelative="t" stroked="f" coordsize="21600,21600">
            <v:path/>
            <v:fill on="f" focussize="0,0"/>
            <v:stroke on="f" joinstyle="miter"/>
            <v:imagedata r:id="rId297" o:title=""/>
            <o:lock v:ext="edit" aspectratio="t"/>
            <w10:wrap type="none"/>
            <w10:anchorlock/>
          </v:shape>
          <o:OLEObject Type="Embed" ProgID="Equation.DSMT4" ShapeID="_x0000_i1191" DrawAspect="Content" ObjectID="_1468075891" r:id="rId327">
            <o:LockedField>false</o:LockedField>
          </o:OLEObject>
        </w:object>
      </w:r>
      <w:r>
        <w:rPr>
          <w:color w:val="auto"/>
          <w:szCs w:val="21"/>
        </w:rPr>
        <w:t>——第</w:t>
      </w:r>
      <w:r>
        <w:rPr>
          <w:i/>
          <w:color w:val="auto"/>
          <w:szCs w:val="21"/>
        </w:rPr>
        <w:t>i</w:t>
      </w:r>
      <w:r>
        <w:rPr>
          <w:color w:val="auto"/>
          <w:szCs w:val="21"/>
        </w:rPr>
        <w:t>层土的厚度（</w:t>
      </w:r>
      <w:r>
        <w:rPr>
          <w:iCs/>
          <w:color w:val="auto"/>
          <w:szCs w:val="21"/>
        </w:rPr>
        <w:t>m</w:t>
      </w:r>
      <w:r>
        <w:rPr>
          <w:color w:val="auto"/>
          <w:szCs w:val="21"/>
        </w:rPr>
        <w:t>）。</w:t>
      </w:r>
    </w:p>
    <w:p w14:paraId="2E04238A">
      <w:pPr>
        <w:adjustRightInd w:val="0"/>
        <w:snapToGrid w:val="0"/>
        <w:spacing w:line="340" w:lineRule="exact"/>
        <w:ind w:left="715" w:leftChars="200" w:hanging="295" w:hangingChars="140"/>
        <w:rPr>
          <w:color w:val="auto"/>
          <w:szCs w:val="21"/>
        </w:rPr>
      </w:pPr>
      <w:r>
        <w:rPr>
          <w:b/>
          <w:bCs/>
          <w:color w:val="auto"/>
          <w:szCs w:val="21"/>
        </w:rPr>
        <w:t>h)</w:t>
      </w:r>
      <w:r>
        <w:rPr>
          <w:color w:val="auto"/>
          <w:szCs w:val="21"/>
        </w:rPr>
        <w:t xml:space="preserve">  桩体混凝土强度应满足</w:t>
      </w:r>
      <w:r>
        <w:rPr>
          <w:rFonts w:hint="eastAsia"/>
          <w:color w:val="auto"/>
          <w:lang w:val="en-US" w:eastAsia="zh-CN"/>
        </w:rPr>
        <w:t>公式（42）</w:t>
      </w:r>
      <w:r>
        <w:rPr>
          <w:color w:val="auto"/>
          <w:szCs w:val="21"/>
        </w:rPr>
        <w:t>要求；当复合地基承载力验算进行基础埋深的深度修正时，桩体的混凝土强度应满足</w:t>
      </w:r>
      <w:r>
        <w:rPr>
          <w:rFonts w:hint="eastAsia"/>
          <w:color w:val="auto"/>
          <w:lang w:val="en-US" w:eastAsia="zh-CN"/>
        </w:rPr>
        <w:t>公式（43）</w:t>
      </w:r>
      <w:r>
        <w:rPr>
          <w:color w:val="auto"/>
          <w:szCs w:val="21"/>
        </w:rPr>
        <w:t>的要求：</w:t>
      </w:r>
    </w:p>
    <w:p w14:paraId="3D5C7843">
      <w:pPr>
        <w:pStyle w:val="12"/>
        <w:jc w:val="right"/>
        <w:rPr>
          <w:color w:val="auto"/>
          <w:szCs w:val="21"/>
        </w:rPr>
      </w:pPr>
      <w:r>
        <w:rPr>
          <w:color w:val="auto"/>
          <w:position w:val="-12"/>
          <w:szCs w:val="21"/>
        </w:rPr>
        <w:object>
          <v:shape id="_x0000_i1192" o:spt="75" type="#_x0000_t75" style="height:18pt;width:15pt;" o:ole="t" filled="f" o:preferrelative="t" stroked="f" coordsize="21600,21600">
            <v:path/>
            <v:fill on="f" focussize="0,0"/>
            <v:stroke on="f" joinstyle="miter"/>
            <v:imagedata r:id="rId329" o:title=""/>
            <o:lock v:ext="edit" aspectratio="t"/>
            <w10:wrap type="none"/>
            <w10:anchorlock/>
          </v:shape>
          <o:OLEObject Type="Embed" ProgID="Equation.DSMT4" ShapeID="_x0000_i1192" DrawAspect="Content" ObjectID="_1468075892" r:id="rId328">
            <o:LockedField>false</o:LockedField>
          </o:OLEObject>
        </w:object>
      </w:r>
      <w:r>
        <w:rPr>
          <w:color w:val="auto"/>
          <w:szCs w:val="21"/>
        </w:rPr>
        <w:t>≥</w:t>
      </w:r>
      <w:r>
        <w:rPr>
          <w:color w:val="auto"/>
          <w:position w:val="-32"/>
          <w:szCs w:val="21"/>
        </w:rPr>
        <w:object>
          <v:shape id="_x0000_i1193" o:spt="75" type="#_x0000_t75" style="height:35.25pt;width:24.75pt;" o:ole="t" filled="f" o:preferrelative="t" stroked="f" coordsize="21600,21600">
            <v:path/>
            <v:fill on="f" focussize="0,0"/>
            <v:stroke on="f" joinstyle="miter"/>
            <v:imagedata r:id="rId331" o:title=""/>
            <o:lock v:ext="edit" aspectratio="t"/>
            <w10:wrap type="none"/>
            <w10:anchorlock/>
          </v:shape>
          <o:OLEObject Type="Embed" ProgID="Equation.DSMT4" ShapeID="_x0000_i1193" DrawAspect="Content" ObjectID="_1468075893" r:id="rId33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42</w:t>
      </w:r>
      <w:r>
        <w:rPr>
          <w:color w:val="auto"/>
          <w:szCs w:val="21"/>
        </w:rPr>
        <w:fldChar w:fldCharType="end"/>
      </w:r>
      <w:r>
        <w:rPr>
          <w:color w:val="auto"/>
          <w:szCs w:val="21"/>
        </w:rPr>
        <w:t>)</w:t>
      </w:r>
    </w:p>
    <w:p w14:paraId="3871C93F">
      <w:pPr>
        <w:pStyle w:val="12"/>
        <w:jc w:val="right"/>
        <w:rPr>
          <w:color w:val="auto"/>
          <w:szCs w:val="21"/>
        </w:rPr>
      </w:pPr>
      <w:r>
        <w:rPr>
          <w:color w:val="auto"/>
          <w:position w:val="-12"/>
          <w:szCs w:val="21"/>
        </w:rPr>
        <w:object>
          <v:shape id="_x0000_i1194" o:spt="75" type="#_x0000_t75" style="height:18pt;width:15pt;" o:ole="t" filled="f" o:preferrelative="t" stroked="f" coordsize="21600,21600">
            <v:path/>
            <v:fill on="f" focussize="0,0"/>
            <v:stroke on="f" joinstyle="miter"/>
            <v:imagedata r:id="rId333" o:title=""/>
            <o:lock v:ext="edit" aspectratio="t"/>
            <w10:wrap type="none"/>
            <w10:anchorlock/>
          </v:shape>
          <o:OLEObject Type="Embed" ProgID="Equation.DSMT4" ShapeID="_x0000_i1194" DrawAspect="Content" ObjectID="_1468075894" r:id="rId332">
            <o:LockedField>false</o:LockedField>
          </o:OLEObject>
        </w:object>
      </w:r>
      <w:r>
        <w:rPr>
          <w:color w:val="auto"/>
          <w:szCs w:val="21"/>
        </w:rPr>
        <w:t>≥</w:t>
      </w:r>
      <w:r>
        <w:rPr>
          <w:color w:val="auto"/>
          <w:position w:val="-34"/>
          <w:szCs w:val="21"/>
        </w:rPr>
        <w:object>
          <v:shape id="_x0000_i1195" o:spt="75" type="#_x0000_t75" style="height:39.75pt;width:105pt;" o:ole="t" filled="f" o:preferrelative="t" stroked="f" coordsize="21600,21600">
            <v:path/>
            <v:fill on="f" focussize="0,0"/>
            <v:stroke on="f" joinstyle="miter"/>
            <v:imagedata r:id="rId335" o:title=""/>
            <o:lock v:ext="edit" aspectratio="t"/>
            <w10:wrap type="none"/>
            <w10:anchorlock/>
          </v:shape>
          <o:OLEObject Type="Embed" ProgID="Equation.DSMT4" ShapeID="_x0000_i1195" DrawAspect="Content" ObjectID="_1468075895" r:id="rId334">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43</w:t>
      </w:r>
      <w:r>
        <w:rPr>
          <w:color w:val="auto"/>
          <w:szCs w:val="21"/>
        </w:rPr>
        <w:fldChar w:fldCharType="end"/>
      </w:r>
      <w:r>
        <w:rPr>
          <w:color w:val="auto"/>
          <w:szCs w:val="21"/>
        </w:rPr>
        <w:t>)</w:t>
      </w:r>
    </w:p>
    <w:p w14:paraId="2B2D3B7F">
      <w:pPr>
        <w:adjustRightInd w:val="0"/>
        <w:snapToGrid w:val="0"/>
        <w:ind w:left="1357" w:hanging="1356" w:hangingChars="646"/>
        <w:rPr>
          <w:color w:val="auto"/>
          <w:szCs w:val="21"/>
        </w:rPr>
      </w:pPr>
      <w:r>
        <w:rPr>
          <w:color w:val="auto"/>
          <w:szCs w:val="21"/>
        </w:rPr>
        <w:t>式中：</w:t>
      </w:r>
      <w:r>
        <w:rPr>
          <w:color w:val="auto"/>
          <w:position w:val="-12"/>
        </w:rPr>
        <w:object>
          <v:shape id="_x0000_i1196" o:spt="75" type="#_x0000_t75" style="height:18pt;width:15pt;" o:ole="t" filled="f" o:preferrelative="t" stroked="f" coordsize="21600,21600">
            <v:path/>
            <v:fill on="f" focussize="0,0"/>
            <v:stroke on="f" joinstyle="miter"/>
            <v:imagedata r:id="rId337" o:title=""/>
            <o:lock v:ext="edit" aspectratio="t"/>
            <w10:wrap type="none"/>
            <w10:anchorlock/>
          </v:shape>
          <o:OLEObject Type="Embed" ProgID="Equation.DSMT4" ShapeID="_x0000_i1196" DrawAspect="Content" ObjectID="_1468075896" r:id="rId336">
            <o:LockedField>false</o:LockedField>
          </o:OLEObject>
        </w:object>
      </w:r>
      <w:r>
        <w:rPr>
          <w:color w:val="auto"/>
          <w:szCs w:val="21"/>
        </w:rPr>
        <w:t>——桩体</w:t>
      </w:r>
      <w:r>
        <w:rPr>
          <w:rFonts w:hint="eastAsia"/>
          <w:color w:val="auto"/>
          <w:szCs w:val="21"/>
        </w:rPr>
        <w:t>材料试块(150mm立方体)标准养护28天的立方体抗压强度平均值</w:t>
      </w:r>
      <w:r>
        <w:rPr>
          <w:color w:val="auto"/>
          <w:szCs w:val="21"/>
        </w:rPr>
        <w:t>（</w:t>
      </w:r>
      <w:r>
        <w:rPr>
          <w:iCs/>
          <w:color w:val="auto"/>
          <w:szCs w:val="21"/>
        </w:rPr>
        <w:t>kPa</w:t>
      </w:r>
      <w:r>
        <w:rPr>
          <w:color w:val="auto"/>
          <w:szCs w:val="21"/>
        </w:rPr>
        <w:t>）；</w:t>
      </w:r>
    </w:p>
    <w:p w14:paraId="7E6C777E">
      <w:pPr>
        <w:adjustRightInd w:val="0"/>
        <w:snapToGrid w:val="0"/>
        <w:spacing w:line="370" w:lineRule="atLeast"/>
        <w:ind w:left="1289" w:leftChars="386" w:hanging="478" w:hangingChars="228"/>
        <w:rPr>
          <w:color w:val="auto"/>
          <w:szCs w:val="21"/>
        </w:rPr>
      </w:pPr>
      <w:r>
        <w:rPr>
          <w:i/>
          <w:color w:val="auto"/>
          <w:szCs w:val="21"/>
        </w:rPr>
        <w:t>d</w:t>
      </w:r>
      <w:r>
        <w:rPr>
          <w:color w:val="auto"/>
          <w:szCs w:val="21"/>
        </w:rPr>
        <w:t>——基础埋置深度（m）；</w:t>
      </w:r>
    </w:p>
    <w:p w14:paraId="461AF6F6">
      <w:pPr>
        <w:adjustRightInd w:val="0"/>
        <w:snapToGrid w:val="0"/>
        <w:spacing w:line="370" w:lineRule="atLeast"/>
        <w:ind w:left="1294" w:leftChars="346" w:hanging="567" w:hangingChars="270"/>
        <w:rPr>
          <w:color w:val="auto"/>
          <w:szCs w:val="21"/>
        </w:rPr>
      </w:pPr>
      <w:r>
        <w:rPr>
          <w:rFonts w:eastAsia="仿宋_GB2312"/>
          <w:i/>
          <w:color w:val="auto"/>
          <w:szCs w:val="21"/>
        </w:rPr>
        <w:t>γ</w:t>
      </w:r>
      <w:r>
        <w:rPr>
          <w:color w:val="auto"/>
          <w:szCs w:val="21"/>
          <w:vertAlign w:val="subscript"/>
        </w:rPr>
        <w:t>m</w:t>
      </w:r>
      <w:r>
        <w:rPr>
          <w:color w:val="auto"/>
          <w:szCs w:val="21"/>
        </w:rPr>
        <w:t>——基础底面以上土的加权平均重度（kN/m</w:t>
      </w:r>
      <w:r>
        <w:rPr>
          <w:color w:val="auto"/>
          <w:szCs w:val="21"/>
          <w:vertAlign w:val="superscript"/>
        </w:rPr>
        <w:t>3</w:t>
      </w:r>
      <w:r>
        <w:rPr>
          <w:color w:val="auto"/>
          <w:szCs w:val="21"/>
        </w:rPr>
        <w:t>），地下水位以下取浮重度；</w:t>
      </w:r>
    </w:p>
    <w:p w14:paraId="44B1B613">
      <w:pPr>
        <w:adjustRightInd w:val="0"/>
        <w:snapToGrid w:val="0"/>
        <w:spacing w:line="370" w:lineRule="atLeast"/>
        <w:ind w:left="1294" w:leftChars="326" w:hanging="609" w:hangingChars="290"/>
        <w:rPr>
          <w:color w:val="auto"/>
          <w:szCs w:val="21"/>
        </w:rPr>
      </w:pPr>
      <w:r>
        <w:rPr>
          <w:rFonts w:eastAsia="仿宋_GB2312"/>
          <w:i/>
          <w:color w:val="auto"/>
          <w:szCs w:val="21"/>
        </w:rPr>
        <w:t>f</w:t>
      </w:r>
      <w:r>
        <w:rPr>
          <w:rFonts w:eastAsia="仿宋_GB2312"/>
          <w:color w:val="auto"/>
          <w:szCs w:val="21"/>
          <w:vertAlign w:val="subscript"/>
        </w:rPr>
        <w:t>spa</w:t>
      </w:r>
      <w:r>
        <w:rPr>
          <w:color w:val="auto"/>
          <w:szCs w:val="21"/>
        </w:rPr>
        <w:t>——深度修正后的复合地基承载力特征值（kPa）。</w:t>
      </w:r>
    </w:p>
    <w:p w14:paraId="5B6289DE">
      <w:pPr>
        <w:adjustRightInd w:val="0"/>
        <w:snapToGrid w:val="0"/>
        <w:spacing w:line="370" w:lineRule="atLeast"/>
        <w:ind w:firstLine="413" w:firstLineChars="196"/>
        <w:rPr>
          <w:color w:val="auto"/>
          <w:szCs w:val="21"/>
        </w:rPr>
      </w:pPr>
      <w:r>
        <w:rPr>
          <w:b/>
          <w:bCs/>
          <w:color w:val="auto"/>
          <w:szCs w:val="21"/>
        </w:rPr>
        <w:t xml:space="preserve">i)  </w:t>
      </w:r>
      <w:r>
        <w:rPr>
          <w:color w:val="auto"/>
          <w:szCs w:val="21"/>
        </w:rPr>
        <w:t>地基处理后的变形计算应按本文件第9.2.11条的有关规定执行。</w:t>
      </w:r>
    </w:p>
    <w:p w14:paraId="41E54A0B">
      <w:pPr>
        <w:adjustRightInd w:val="0"/>
        <w:snapToGrid w:val="0"/>
        <w:spacing w:line="370" w:lineRule="atLeast"/>
        <w:rPr>
          <w:color w:val="auto"/>
          <w:szCs w:val="21"/>
        </w:rPr>
      </w:pPr>
      <w:r>
        <w:rPr>
          <w:b/>
          <w:bCs/>
          <w:color w:val="auto"/>
          <w:szCs w:val="21"/>
        </w:rPr>
        <w:t xml:space="preserve">9.3.3  </w:t>
      </w:r>
      <w:r>
        <w:rPr>
          <w:color w:val="auto"/>
          <w:szCs w:val="21"/>
        </w:rPr>
        <w:t>混凝土桩复合地基的施工应符合下列规定：</w:t>
      </w:r>
    </w:p>
    <w:p w14:paraId="6B605502">
      <w:pPr>
        <w:adjustRightInd w:val="0"/>
        <w:snapToGrid w:val="0"/>
        <w:spacing w:line="370" w:lineRule="atLeast"/>
        <w:ind w:firstLine="411" w:firstLineChars="195"/>
        <w:rPr>
          <w:color w:val="auto"/>
          <w:szCs w:val="21"/>
        </w:rPr>
      </w:pPr>
      <w:r>
        <w:rPr>
          <w:b/>
          <w:bCs/>
          <w:color w:val="auto"/>
          <w:szCs w:val="21"/>
        </w:rPr>
        <w:t>a)</w:t>
      </w:r>
      <w:r>
        <w:rPr>
          <w:color w:val="auto"/>
          <w:szCs w:val="21"/>
        </w:rPr>
        <w:t xml:space="preserve">  宜采用长螺旋钻孔工艺施工，当采用振动、锤击或静压工艺施工时，应适当加大桩距并采取防止地面隆起的措施。</w:t>
      </w:r>
    </w:p>
    <w:p w14:paraId="308B9786">
      <w:pPr>
        <w:adjustRightInd w:val="0"/>
        <w:snapToGrid w:val="0"/>
        <w:spacing w:line="370" w:lineRule="atLeast"/>
        <w:ind w:left="1" w:firstLine="413" w:firstLineChars="196"/>
        <w:rPr>
          <w:color w:val="auto"/>
          <w:szCs w:val="21"/>
        </w:rPr>
      </w:pPr>
      <w:r>
        <w:rPr>
          <w:b/>
          <w:bCs/>
          <w:color w:val="auto"/>
          <w:szCs w:val="21"/>
        </w:rPr>
        <w:t>b)</w:t>
      </w:r>
      <w:r>
        <w:rPr>
          <w:color w:val="auto"/>
          <w:szCs w:val="21"/>
        </w:rPr>
        <w:t xml:space="preserve">  长螺旋钻孔泵压混凝土成桩施工可按本文件第15.5节执行。沉管成桩施工和回转钻进成桩施工应执行国家现行有关规定。</w:t>
      </w:r>
    </w:p>
    <w:p w14:paraId="630D96C2">
      <w:pPr>
        <w:adjustRightInd w:val="0"/>
        <w:snapToGrid w:val="0"/>
        <w:spacing w:line="370" w:lineRule="atLeast"/>
        <w:ind w:left="1" w:firstLine="413" w:firstLineChars="196"/>
        <w:rPr>
          <w:color w:val="auto"/>
          <w:szCs w:val="21"/>
        </w:rPr>
      </w:pPr>
      <w:r>
        <w:rPr>
          <w:b/>
          <w:bCs/>
          <w:color w:val="auto"/>
          <w:szCs w:val="21"/>
        </w:rPr>
        <w:t>c)</w:t>
      </w:r>
      <w:r>
        <w:rPr>
          <w:color w:val="auto"/>
          <w:szCs w:val="21"/>
        </w:rPr>
        <w:t xml:space="preserve">  混凝土桩复合地基基槽宜采用人工开挖。凿除桩头时不应采用大锤敲击桩头，宜采用小凿沿桩周边对称截桩或采用专用机械截桩。</w:t>
      </w:r>
    </w:p>
    <w:p w14:paraId="58B2E965">
      <w:pPr>
        <w:adjustRightInd w:val="0"/>
        <w:snapToGrid w:val="0"/>
        <w:spacing w:line="360" w:lineRule="atLeast"/>
        <w:ind w:left="2" w:leftChars="1" w:firstLine="413" w:firstLineChars="196"/>
        <w:rPr>
          <w:color w:val="auto"/>
          <w:szCs w:val="21"/>
        </w:rPr>
      </w:pPr>
      <w:r>
        <w:rPr>
          <w:b/>
          <w:bCs/>
          <w:color w:val="auto"/>
          <w:szCs w:val="21"/>
        </w:rPr>
        <w:t>d)</w:t>
      </w:r>
      <w:r>
        <w:rPr>
          <w:color w:val="auto"/>
          <w:szCs w:val="21"/>
        </w:rPr>
        <w:t xml:space="preserve">  褥垫层铺设宜采用静力压实法，当基础底面下桩间土的含水率较小且褥垫层较厚时，也可采用动力夯实法。</w:t>
      </w:r>
    </w:p>
    <w:p w14:paraId="544EA62F">
      <w:pPr>
        <w:adjustRightInd w:val="0"/>
        <w:snapToGrid w:val="0"/>
        <w:spacing w:line="360" w:lineRule="atLeast"/>
        <w:ind w:left="1" w:firstLine="413" w:firstLineChars="196"/>
        <w:rPr>
          <w:color w:val="auto"/>
          <w:szCs w:val="21"/>
        </w:rPr>
      </w:pPr>
      <w:r>
        <w:rPr>
          <w:b/>
          <w:bCs/>
          <w:color w:val="auto"/>
          <w:szCs w:val="21"/>
        </w:rPr>
        <w:t>e)</w:t>
      </w:r>
      <w:r>
        <w:rPr>
          <w:color w:val="auto"/>
          <w:szCs w:val="21"/>
        </w:rPr>
        <w:t xml:space="preserve">  混凝土桩施工垂直度偏差不应大于1%；对满堂布桩基础，桩位偏差不应大于0.4倍桩径；对柱下独立承台，中间桩位偏差不应大于0.4倍桩径，边桩桩位偏差不应大于0.25倍桩径；对条形基础，顺轴向桩位偏差不应大于0.4倍桩径，垂直轴向桩位偏差不应大于0.25倍桩径。</w:t>
      </w:r>
    </w:p>
    <w:p w14:paraId="12F7308D">
      <w:pPr>
        <w:adjustRightInd w:val="0"/>
        <w:snapToGrid w:val="0"/>
        <w:spacing w:line="360" w:lineRule="atLeast"/>
        <w:ind w:left="1" w:firstLine="411" w:firstLineChars="195"/>
        <w:rPr>
          <w:color w:val="auto"/>
          <w:szCs w:val="21"/>
        </w:rPr>
      </w:pPr>
      <w:r>
        <w:rPr>
          <w:b/>
          <w:bCs/>
          <w:color w:val="auto"/>
          <w:szCs w:val="21"/>
        </w:rPr>
        <w:t>f)</w:t>
      </w:r>
      <w:r>
        <w:rPr>
          <w:color w:val="auto"/>
          <w:szCs w:val="21"/>
        </w:rPr>
        <w:t xml:space="preserve">  施工质量检验主要应检查施工记录、混凝土坍落度、桩数、桩位偏差、褥垫层厚度、夯填密实度和桩体试块抗压强度等。</w:t>
      </w:r>
    </w:p>
    <w:p w14:paraId="4DD229F9">
      <w:pPr>
        <w:adjustRightInd w:val="0"/>
        <w:snapToGrid w:val="0"/>
        <w:spacing w:line="360" w:lineRule="atLeast"/>
        <w:rPr>
          <w:color w:val="auto"/>
          <w:szCs w:val="21"/>
        </w:rPr>
      </w:pPr>
      <w:r>
        <w:rPr>
          <w:b/>
          <w:bCs/>
          <w:color w:val="auto"/>
          <w:szCs w:val="21"/>
        </w:rPr>
        <w:t xml:space="preserve">9.3.4 </w:t>
      </w:r>
      <w:r>
        <w:rPr>
          <w:color w:val="auto"/>
          <w:szCs w:val="21"/>
        </w:rPr>
        <w:t xml:space="preserve"> 混凝土桩复合地基质量检验应符合下列规定：</w:t>
      </w:r>
    </w:p>
    <w:p w14:paraId="40533F9E">
      <w:pPr>
        <w:adjustRightInd w:val="0"/>
        <w:snapToGrid w:val="0"/>
        <w:spacing w:line="360" w:lineRule="atLeast"/>
        <w:ind w:left="2" w:leftChars="1" w:firstLine="413" w:firstLineChars="196"/>
        <w:rPr>
          <w:color w:val="auto"/>
          <w:szCs w:val="21"/>
        </w:rPr>
      </w:pPr>
      <w:r>
        <w:rPr>
          <w:b/>
          <w:bCs/>
          <w:color w:val="auto"/>
          <w:szCs w:val="21"/>
        </w:rPr>
        <w:t>a)</w:t>
      </w:r>
      <w:r>
        <w:rPr>
          <w:color w:val="auto"/>
          <w:szCs w:val="21"/>
        </w:rPr>
        <w:t xml:space="preserve">  桩身质量检测宜采用低应变动测法。抽检桩数不应少于总桩数的30</w:t>
      </w:r>
      <w:r>
        <w:rPr>
          <w:rFonts w:hint="eastAsia"/>
          <w:color w:val="auto"/>
          <w:szCs w:val="21"/>
        </w:rPr>
        <w:t>%</w:t>
      </w:r>
      <w:r>
        <w:rPr>
          <w:color w:val="auto"/>
          <w:szCs w:val="21"/>
        </w:rPr>
        <w:t>且不应少于20根。</w:t>
      </w:r>
    </w:p>
    <w:p w14:paraId="75826FC9">
      <w:pPr>
        <w:adjustRightInd w:val="0"/>
        <w:snapToGrid w:val="0"/>
        <w:spacing w:line="360" w:lineRule="atLeast"/>
        <w:ind w:left="1" w:firstLine="413" w:firstLineChars="196"/>
        <w:rPr>
          <w:rFonts w:eastAsia="黑体"/>
          <w:b/>
          <w:color w:val="auto"/>
          <w:szCs w:val="21"/>
        </w:rPr>
      </w:pPr>
      <w:r>
        <w:rPr>
          <w:b/>
          <w:bCs/>
          <w:color w:val="auto"/>
          <w:szCs w:val="21"/>
        </w:rPr>
        <w:t>b)</w:t>
      </w:r>
      <w:r>
        <w:rPr>
          <w:color w:val="auto"/>
          <w:szCs w:val="21"/>
        </w:rPr>
        <w:t xml:space="preserve">  混凝土桩复合地基承载力验收检测应采用复合地基载荷试验和单桩载荷试验。</w:t>
      </w:r>
    </w:p>
    <w:p w14:paraId="1EC48AE4">
      <w:pPr>
        <w:adjustRightInd w:val="0"/>
        <w:snapToGrid w:val="0"/>
        <w:spacing w:line="360" w:lineRule="atLeast"/>
        <w:ind w:left="1" w:firstLine="413" w:firstLineChars="196"/>
        <w:rPr>
          <w:rFonts w:eastAsia="黑体"/>
          <w:b/>
          <w:color w:val="auto"/>
          <w:szCs w:val="21"/>
        </w:rPr>
      </w:pPr>
      <w:r>
        <w:rPr>
          <w:b/>
          <w:bCs/>
          <w:color w:val="auto"/>
          <w:szCs w:val="21"/>
        </w:rPr>
        <w:t xml:space="preserve">c)  </w:t>
      </w:r>
      <w:r>
        <w:rPr>
          <w:bCs/>
          <w:color w:val="auto"/>
          <w:szCs w:val="21"/>
        </w:rPr>
        <w:t>复合地基和单桩载荷</w:t>
      </w:r>
      <w:r>
        <w:rPr>
          <w:color w:val="auto"/>
          <w:szCs w:val="21"/>
        </w:rPr>
        <w:t>试验数量均不宜少于总桩数的1%，且单体工程的试验数量均不应少于3点。</w:t>
      </w:r>
    </w:p>
    <w:p w14:paraId="167B06FF">
      <w:pPr>
        <w:adjustRightInd w:val="0"/>
        <w:snapToGrid w:val="0"/>
        <w:ind w:left="1"/>
        <w:rPr>
          <w:b/>
          <w:bCs/>
          <w:color w:val="auto"/>
          <w:szCs w:val="21"/>
        </w:rPr>
      </w:pPr>
    </w:p>
    <w:p w14:paraId="6FAC2FDE">
      <w:pPr>
        <w:adjustRightInd w:val="0"/>
        <w:snapToGrid w:val="0"/>
        <w:spacing w:line="340" w:lineRule="exact"/>
        <w:outlineLvl w:val="1"/>
        <w:rPr>
          <w:rFonts w:eastAsia="黑体"/>
          <w:b/>
          <w:bCs/>
          <w:color w:val="auto"/>
          <w:szCs w:val="21"/>
        </w:rPr>
      </w:pPr>
      <w:bookmarkStart w:id="29" w:name="_Toc199943591"/>
      <w:r>
        <w:rPr>
          <w:rFonts w:eastAsia="黑体"/>
          <w:b/>
          <w:bCs/>
          <w:color w:val="auto"/>
          <w:szCs w:val="21"/>
        </w:rPr>
        <w:t>9.4  石灰桩复合地基</w:t>
      </w:r>
      <w:bookmarkEnd w:id="29"/>
    </w:p>
    <w:p w14:paraId="41F9A22C">
      <w:pPr>
        <w:adjustRightInd w:val="0"/>
        <w:snapToGrid w:val="0"/>
        <w:spacing w:line="340" w:lineRule="exact"/>
        <w:jc w:val="center"/>
        <w:rPr>
          <w:b/>
          <w:bCs/>
          <w:color w:val="auto"/>
          <w:szCs w:val="21"/>
        </w:rPr>
      </w:pPr>
    </w:p>
    <w:p w14:paraId="06EBEA00">
      <w:pPr>
        <w:adjustRightInd w:val="0"/>
        <w:snapToGrid w:val="0"/>
        <w:spacing w:line="340" w:lineRule="exact"/>
        <w:rPr>
          <w:color w:val="auto"/>
          <w:szCs w:val="21"/>
        </w:rPr>
      </w:pPr>
      <w:r>
        <w:rPr>
          <w:b/>
          <w:bCs/>
          <w:color w:val="auto"/>
          <w:szCs w:val="21"/>
        </w:rPr>
        <w:t xml:space="preserve">9.4.1 </w:t>
      </w:r>
      <w:r>
        <w:rPr>
          <w:color w:val="auto"/>
          <w:szCs w:val="21"/>
        </w:rPr>
        <w:t xml:space="preserve"> 石灰桩复合地基处理应符合下列规定：</w:t>
      </w:r>
    </w:p>
    <w:p w14:paraId="2D33A63C">
      <w:pPr>
        <w:adjustRightInd w:val="0"/>
        <w:snapToGrid w:val="0"/>
        <w:spacing w:line="340" w:lineRule="exact"/>
        <w:ind w:firstLine="422" w:firstLineChars="200"/>
        <w:rPr>
          <w:b/>
          <w:bCs/>
          <w:color w:val="auto"/>
          <w:szCs w:val="21"/>
        </w:rPr>
      </w:pPr>
      <w:r>
        <w:rPr>
          <w:b/>
          <w:bCs/>
          <w:color w:val="auto"/>
          <w:szCs w:val="21"/>
        </w:rPr>
        <w:t xml:space="preserve">a)  </w:t>
      </w:r>
      <w:r>
        <w:rPr>
          <w:bCs/>
          <w:color w:val="auto"/>
          <w:szCs w:val="21"/>
        </w:rPr>
        <w:t>石灰桩根据成孔方法不同，可分为人工洛阳铲成孔法、机动洛阳铲成孔法以及沉管法等；根据投料方式不同，可分为管内投料法和管外投料法；</w:t>
      </w:r>
    </w:p>
    <w:p w14:paraId="519E910B">
      <w:pPr>
        <w:adjustRightInd w:val="0"/>
        <w:snapToGrid w:val="0"/>
        <w:spacing w:line="340" w:lineRule="exact"/>
        <w:ind w:firstLine="422" w:firstLineChars="200"/>
        <w:rPr>
          <w:color w:val="auto"/>
          <w:szCs w:val="21"/>
        </w:rPr>
      </w:pPr>
      <w:r>
        <w:rPr>
          <w:b/>
          <w:bCs/>
          <w:color w:val="auto"/>
          <w:szCs w:val="21"/>
        </w:rPr>
        <w:t xml:space="preserve">b)  </w:t>
      </w:r>
      <w:r>
        <w:rPr>
          <w:color w:val="auto"/>
          <w:szCs w:val="21"/>
        </w:rPr>
        <w:t>石灰桩适用于处理饱和黏性土、粉土、淤泥、淤泥质土、填土等地基。施工前应经过现场试验，验证成孔成桩的可行性。</w:t>
      </w:r>
    </w:p>
    <w:p w14:paraId="1769C82E">
      <w:pPr>
        <w:adjustRightInd w:val="0"/>
        <w:snapToGrid w:val="0"/>
        <w:spacing w:line="340" w:lineRule="exact"/>
        <w:ind w:firstLine="413" w:firstLineChars="196"/>
        <w:rPr>
          <w:color w:val="auto"/>
          <w:szCs w:val="21"/>
        </w:rPr>
      </w:pPr>
      <w:r>
        <w:rPr>
          <w:b/>
          <w:bCs/>
          <w:color w:val="auto"/>
          <w:szCs w:val="21"/>
        </w:rPr>
        <w:t>c)</w:t>
      </w:r>
      <w:r>
        <w:rPr>
          <w:color w:val="auto"/>
          <w:szCs w:val="21"/>
        </w:rPr>
        <w:t xml:space="preserve">  石灰桩的主要固化剂为生石灰，掺合料宜优先选用粉煤灰、炉渣等工业废料。生石灰与掺合料的配合比宜根据地质情况确定，生石灰与掺合料的体积比一般情况下选用1:2，加固淤泥、淤泥质土及新填土时选用1:1，桩顶附近生石灰用量宜适当减少。</w:t>
      </w:r>
    </w:p>
    <w:p w14:paraId="697578BC">
      <w:pPr>
        <w:adjustRightInd w:val="0"/>
        <w:snapToGrid w:val="0"/>
        <w:spacing w:line="340" w:lineRule="exact"/>
        <w:rPr>
          <w:color w:val="auto"/>
          <w:szCs w:val="21"/>
        </w:rPr>
      </w:pPr>
      <w:r>
        <w:rPr>
          <w:b/>
          <w:bCs/>
          <w:color w:val="auto"/>
          <w:szCs w:val="21"/>
        </w:rPr>
        <w:t>9.4.2</w:t>
      </w:r>
      <w:r>
        <w:rPr>
          <w:color w:val="auto"/>
          <w:szCs w:val="21"/>
        </w:rPr>
        <w:t xml:space="preserve">  石灰桩复合地基设计应符合下列规定：</w:t>
      </w:r>
    </w:p>
    <w:p w14:paraId="645100D4">
      <w:pPr>
        <w:adjustRightInd w:val="0"/>
        <w:snapToGrid w:val="0"/>
        <w:spacing w:line="340" w:lineRule="exact"/>
        <w:ind w:firstLine="422" w:firstLineChars="200"/>
        <w:rPr>
          <w:color w:val="auto"/>
          <w:szCs w:val="21"/>
        </w:rPr>
      </w:pPr>
      <w:r>
        <w:rPr>
          <w:b/>
          <w:bCs/>
          <w:color w:val="auto"/>
          <w:szCs w:val="21"/>
        </w:rPr>
        <w:t xml:space="preserve">a)  </w:t>
      </w:r>
      <w:r>
        <w:rPr>
          <w:color w:val="auto"/>
          <w:szCs w:val="21"/>
        </w:rPr>
        <w:t>石灰桩桩顶施工标高应高出设计桩顶标高100</w:t>
      </w:r>
      <w:r>
        <w:rPr>
          <w:iCs/>
          <w:color w:val="auto"/>
          <w:szCs w:val="21"/>
        </w:rPr>
        <w:t>mm</w:t>
      </w:r>
      <w:r>
        <w:rPr>
          <w:color w:val="auto"/>
          <w:szCs w:val="21"/>
        </w:rPr>
        <w:t>以上，石灰桩宜留300</w:t>
      </w:r>
      <w:r>
        <w:rPr>
          <w:iCs/>
          <w:color w:val="auto"/>
          <w:szCs w:val="21"/>
        </w:rPr>
        <w:t>mm</w:t>
      </w:r>
      <w:r>
        <w:rPr>
          <w:color w:val="auto"/>
          <w:szCs w:val="21"/>
        </w:rPr>
        <w:t>以上的孔口高度，并用含水率适当的黏性土夯实封口。</w:t>
      </w:r>
    </w:p>
    <w:p w14:paraId="3ECC4C21">
      <w:pPr>
        <w:adjustRightInd w:val="0"/>
        <w:snapToGrid w:val="0"/>
        <w:spacing w:line="340" w:lineRule="exact"/>
        <w:ind w:firstLine="413" w:firstLineChars="196"/>
        <w:rPr>
          <w:color w:val="auto"/>
          <w:szCs w:val="21"/>
        </w:rPr>
      </w:pPr>
      <w:r>
        <w:rPr>
          <w:b/>
          <w:bCs/>
          <w:color w:val="auto"/>
          <w:szCs w:val="21"/>
        </w:rPr>
        <w:t>b)</w:t>
      </w:r>
      <w:r>
        <w:rPr>
          <w:color w:val="auto"/>
          <w:szCs w:val="21"/>
        </w:rPr>
        <w:t xml:space="preserve">  石灰桩成孔直径可采用250mm～400</w:t>
      </w:r>
      <w:r>
        <w:rPr>
          <w:iCs/>
          <w:color w:val="auto"/>
          <w:szCs w:val="21"/>
        </w:rPr>
        <w:t>mm</w:t>
      </w:r>
      <w:r>
        <w:rPr>
          <w:color w:val="auto"/>
          <w:szCs w:val="21"/>
        </w:rPr>
        <w:t>，桩距可用2倍～3倍成孔直径。石灰桩可只布置在基础底</w:t>
      </w:r>
      <w:r>
        <w:rPr>
          <w:rFonts w:hint="eastAsia"/>
          <w:color w:val="auto"/>
          <w:szCs w:val="21"/>
        </w:rPr>
        <w:t>面</w:t>
      </w:r>
      <w:r>
        <w:rPr>
          <w:color w:val="auto"/>
          <w:szCs w:val="21"/>
        </w:rPr>
        <w:t>范围内，当基底土的承载力特征值小于70</w:t>
      </w:r>
      <w:r>
        <w:rPr>
          <w:iCs/>
          <w:color w:val="auto"/>
          <w:szCs w:val="21"/>
        </w:rPr>
        <w:t>kPa</w:t>
      </w:r>
      <w:r>
        <w:rPr>
          <w:color w:val="auto"/>
          <w:szCs w:val="21"/>
        </w:rPr>
        <w:t>时，可在基础以外布置1排～2排围护桩。</w:t>
      </w:r>
    </w:p>
    <w:p w14:paraId="238A3DAC">
      <w:pPr>
        <w:adjustRightInd w:val="0"/>
        <w:snapToGrid w:val="0"/>
        <w:spacing w:line="340" w:lineRule="exact"/>
        <w:ind w:firstLine="413" w:firstLineChars="196"/>
        <w:rPr>
          <w:color w:val="auto"/>
          <w:szCs w:val="21"/>
        </w:rPr>
      </w:pPr>
      <w:r>
        <w:rPr>
          <w:b/>
          <w:bCs/>
          <w:color w:val="auto"/>
          <w:szCs w:val="21"/>
        </w:rPr>
        <w:t>c)</w:t>
      </w:r>
      <w:r>
        <w:rPr>
          <w:color w:val="auto"/>
          <w:szCs w:val="21"/>
        </w:rPr>
        <w:t xml:space="preserve">  洛阳铲成孔桩长不宜超过6</w:t>
      </w:r>
      <w:r>
        <w:rPr>
          <w:iCs/>
          <w:color w:val="auto"/>
          <w:szCs w:val="21"/>
        </w:rPr>
        <w:t>m</w:t>
      </w:r>
      <w:r>
        <w:rPr>
          <w:color w:val="auto"/>
          <w:szCs w:val="21"/>
        </w:rPr>
        <w:t>；机械成孔管外投料时，桩长不宜超过8</w:t>
      </w:r>
      <w:r>
        <w:rPr>
          <w:iCs/>
          <w:color w:val="auto"/>
          <w:szCs w:val="21"/>
        </w:rPr>
        <w:t>m</w:t>
      </w:r>
      <w:r>
        <w:rPr>
          <w:color w:val="auto"/>
          <w:szCs w:val="21"/>
        </w:rPr>
        <w:t>。</w:t>
      </w:r>
    </w:p>
    <w:p w14:paraId="29F1DDE7">
      <w:pPr>
        <w:adjustRightInd w:val="0"/>
        <w:snapToGrid w:val="0"/>
        <w:spacing w:line="340" w:lineRule="exact"/>
        <w:ind w:firstLine="413" w:firstLineChars="196"/>
        <w:rPr>
          <w:color w:val="auto"/>
          <w:szCs w:val="21"/>
        </w:rPr>
      </w:pPr>
      <w:r>
        <w:rPr>
          <w:b/>
          <w:bCs/>
          <w:color w:val="auto"/>
          <w:szCs w:val="21"/>
        </w:rPr>
        <w:t>d)</w:t>
      </w:r>
      <w:r>
        <w:rPr>
          <w:color w:val="auto"/>
          <w:szCs w:val="21"/>
        </w:rPr>
        <w:t xml:space="preserve">  石灰桩复合地基承载力特征值不宜超过160</w:t>
      </w:r>
      <w:r>
        <w:rPr>
          <w:iCs/>
          <w:color w:val="auto"/>
          <w:szCs w:val="21"/>
        </w:rPr>
        <w:t>kPa</w:t>
      </w:r>
      <w:r>
        <w:rPr>
          <w:color w:val="auto"/>
          <w:szCs w:val="21"/>
        </w:rPr>
        <w:t>，当土质较好并采取保证桩身强度的措施时，经试验后可适当提高。</w:t>
      </w:r>
    </w:p>
    <w:p w14:paraId="52DB7871">
      <w:pPr>
        <w:adjustRightInd w:val="0"/>
        <w:snapToGrid w:val="0"/>
        <w:spacing w:line="340" w:lineRule="exact"/>
        <w:ind w:firstLine="413" w:firstLineChars="196"/>
        <w:rPr>
          <w:color w:val="auto"/>
          <w:szCs w:val="21"/>
        </w:rPr>
      </w:pPr>
      <w:r>
        <w:rPr>
          <w:b/>
          <w:bCs/>
          <w:color w:val="auto"/>
          <w:szCs w:val="21"/>
        </w:rPr>
        <w:t>e)</w:t>
      </w:r>
      <w:r>
        <w:rPr>
          <w:color w:val="auto"/>
          <w:szCs w:val="21"/>
        </w:rPr>
        <w:t xml:space="preserve">  需利用桩身排水固结作用时桩顶宜设置200</w:t>
      </w:r>
      <w:r>
        <w:rPr>
          <w:iCs/>
          <w:color w:val="auto"/>
          <w:szCs w:val="21"/>
        </w:rPr>
        <w:t>mm</w:t>
      </w:r>
      <w:r>
        <w:rPr>
          <w:color w:val="auto"/>
          <w:szCs w:val="21"/>
        </w:rPr>
        <w:t>厚的砂石垫层。</w:t>
      </w:r>
    </w:p>
    <w:p w14:paraId="3EF33D95">
      <w:pPr>
        <w:adjustRightInd w:val="0"/>
        <w:snapToGrid w:val="0"/>
        <w:spacing w:line="340" w:lineRule="exact"/>
        <w:ind w:firstLine="413" w:firstLineChars="196"/>
        <w:rPr>
          <w:color w:val="auto"/>
          <w:szCs w:val="21"/>
        </w:rPr>
      </w:pPr>
      <w:r>
        <w:rPr>
          <w:b/>
          <w:bCs/>
          <w:color w:val="auto"/>
          <w:szCs w:val="21"/>
        </w:rPr>
        <w:t>f)</w:t>
      </w:r>
      <w:r>
        <w:rPr>
          <w:color w:val="auto"/>
          <w:szCs w:val="21"/>
        </w:rPr>
        <w:t xml:space="preserve">  石灰桩复合地基承载力特征值应通过单桩或多桩复合地基载荷试验确定，试验不得少于3点，初步设计时，可按</w:t>
      </w:r>
      <w:r>
        <w:rPr>
          <w:rFonts w:hint="eastAsia"/>
          <w:color w:val="auto"/>
          <w:lang w:val="en-US" w:eastAsia="zh-CN"/>
        </w:rPr>
        <w:t>公式（44）</w:t>
      </w:r>
      <w:r>
        <w:rPr>
          <w:color w:val="auto"/>
          <w:szCs w:val="21"/>
        </w:rPr>
        <w:t>估算：</w:t>
      </w:r>
    </w:p>
    <w:p w14:paraId="541851D7">
      <w:pPr>
        <w:pStyle w:val="12"/>
        <w:jc w:val="right"/>
        <w:rPr>
          <w:color w:val="auto"/>
          <w:szCs w:val="21"/>
        </w:rPr>
      </w:pPr>
      <w:r>
        <w:rPr>
          <w:color w:val="auto"/>
          <w:szCs w:val="21"/>
        </w:rPr>
        <w:t xml:space="preserve">         </w:t>
      </w:r>
      <w:r>
        <w:rPr>
          <w:color w:val="auto"/>
          <w:position w:val="-14"/>
          <w:szCs w:val="21"/>
        </w:rPr>
        <w:object>
          <v:shape id="_x0000_i1197" o:spt="75" type="#_x0000_t75" style="height:21.75pt;width:100.5pt;" o:ole="t" filled="f" o:preferrelative="t" stroked="f" coordsize="21600,21600">
            <v:path/>
            <v:fill on="f" focussize="0,0"/>
            <v:stroke on="f" joinstyle="miter"/>
            <v:imagedata r:id="rId339" o:title=""/>
            <o:lock v:ext="edit" aspectratio="t"/>
            <w10:wrap type="none"/>
            <w10:anchorlock/>
          </v:shape>
          <o:OLEObject Type="Embed" ProgID="Equation.DSMT4" ShapeID="_x0000_i1197" DrawAspect="Content" ObjectID="_1468075897" r:id="rId338">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44</w:t>
      </w:r>
      <w:r>
        <w:rPr>
          <w:color w:val="auto"/>
          <w:szCs w:val="21"/>
        </w:rPr>
        <w:fldChar w:fldCharType="end"/>
      </w:r>
      <w:r>
        <w:rPr>
          <w:color w:val="auto"/>
          <w:szCs w:val="21"/>
        </w:rPr>
        <w:t>)</w:t>
      </w:r>
    </w:p>
    <w:p w14:paraId="1A6F6741">
      <w:pPr>
        <w:adjustRightInd w:val="0"/>
        <w:snapToGrid w:val="0"/>
        <w:spacing w:line="240" w:lineRule="atLeast"/>
        <w:ind w:leftChars="-13" w:hanging="27" w:hangingChars="13"/>
        <w:rPr>
          <w:color w:val="auto"/>
          <w:szCs w:val="21"/>
        </w:rPr>
      </w:pPr>
      <w:r>
        <w:rPr>
          <w:color w:val="auto"/>
          <w:szCs w:val="21"/>
        </w:rPr>
        <w:t xml:space="preserve">式中  </w:t>
      </w:r>
      <w:r>
        <w:rPr>
          <w:color w:val="auto"/>
          <w:position w:val="-14"/>
          <w:szCs w:val="21"/>
        </w:rPr>
        <w:object>
          <v:shape id="_x0000_i1198" o:spt="75" type="#_x0000_t75" style="height:21.75pt;width:21.75pt;" o:ole="t" filled="f" o:preferrelative="t" stroked="f" coordsize="21600,21600">
            <v:path/>
            <v:fill on="f" focussize="0,0"/>
            <v:stroke on="f" joinstyle="miter"/>
            <v:imagedata r:id="rId341" o:title=""/>
            <o:lock v:ext="edit" aspectratio="t"/>
            <w10:wrap type="none"/>
            <w10:anchorlock/>
          </v:shape>
          <o:OLEObject Type="Embed" ProgID="Equation.DSMT4" ShapeID="_x0000_i1198" DrawAspect="Content" ObjectID="_1468075898" r:id="rId340">
            <o:LockedField>false</o:LockedField>
          </o:OLEObject>
        </w:object>
      </w:r>
      <w:r>
        <w:rPr>
          <w:color w:val="auto"/>
          <w:szCs w:val="21"/>
        </w:rPr>
        <w:t>——石灰桩复合地基承载力特征值（</w:t>
      </w:r>
      <w:r>
        <w:rPr>
          <w:iCs/>
          <w:color w:val="auto"/>
          <w:szCs w:val="21"/>
        </w:rPr>
        <w:t>kPa</w:t>
      </w:r>
      <w:r>
        <w:rPr>
          <w:color w:val="auto"/>
          <w:szCs w:val="21"/>
        </w:rPr>
        <w:t>）；</w:t>
      </w:r>
    </w:p>
    <w:p w14:paraId="04BCBF31">
      <w:pPr>
        <w:tabs>
          <w:tab w:val="left" w:pos="720"/>
        </w:tabs>
        <w:adjustRightInd w:val="0"/>
        <w:snapToGrid w:val="0"/>
        <w:spacing w:line="240" w:lineRule="atLeast"/>
        <w:ind w:left="1407" w:leftChars="300" w:hanging="777" w:hangingChars="370"/>
        <w:rPr>
          <w:color w:val="auto"/>
          <w:szCs w:val="21"/>
        </w:rPr>
      </w:pPr>
      <w:r>
        <w:rPr>
          <w:color w:val="auto"/>
          <w:position w:val="-14"/>
          <w:szCs w:val="21"/>
        </w:rPr>
        <w:object>
          <v:shape id="_x0000_i1199" o:spt="75" type="#_x0000_t75" style="height:21.75pt;width:15pt;" o:ole="t" filled="f" o:preferrelative="t" stroked="f" coordsize="21600,21600">
            <v:path/>
            <v:fill on="f" focussize="0,0"/>
            <v:stroke on="f" joinstyle="miter"/>
            <v:imagedata r:id="rId343" o:title=""/>
            <o:lock v:ext="edit" aspectratio="t"/>
            <w10:wrap type="none"/>
            <w10:anchorlock/>
          </v:shape>
          <o:OLEObject Type="Embed" ProgID="Equation.DSMT4" ShapeID="_x0000_i1199" DrawAspect="Content" ObjectID="_1468075899" r:id="rId342">
            <o:LockedField>false</o:LockedField>
          </o:OLEObject>
        </w:object>
      </w:r>
      <w:r>
        <w:rPr>
          <w:color w:val="auto"/>
          <w:szCs w:val="21"/>
        </w:rPr>
        <w:t>——桩身抗压强度比例界限值（kPa），由单桩竖向载荷试验确定，无试验资料时，可取350kPa～500</w:t>
      </w:r>
      <w:r>
        <w:rPr>
          <w:iCs/>
          <w:color w:val="auto"/>
          <w:szCs w:val="21"/>
        </w:rPr>
        <w:t>kPa</w:t>
      </w:r>
      <w:r>
        <w:rPr>
          <w:color w:val="auto"/>
          <w:szCs w:val="21"/>
        </w:rPr>
        <w:t>，土质软弱时取低值；</w:t>
      </w:r>
    </w:p>
    <w:p w14:paraId="41CD1179">
      <w:pPr>
        <w:tabs>
          <w:tab w:val="left" w:pos="720"/>
          <w:tab w:val="left" w:pos="1080"/>
        </w:tabs>
        <w:adjustRightInd w:val="0"/>
        <w:snapToGrid w:val="0"/>
        <w:spacing w:line="240" w:lineRule="atLeast"/>
        <w:ind w:left="1396" w:leftChars="307" w:hanging="751" w:hangingChars="358"/>
        <w:rPr>
          <w:color w:val="auto"/>
          <w:szCs w:val="21"/>
        </w:rPr>
      </w:pPr>
      <w:r>
        <w:rPr>
          <w:color w:val="auto"/>
          <w:position w:val="-12"/>
          <w:szCs w:val="21"/>
        </w:rPr>
        <w:object>
          <v:shape id="_x0000_i1200" o:spt="75" type="#_x0000_t75" style="height:21.75pt;width:15pt;" o:ole="t" filled="f" o:preferrelative="t" stroked="f" coordsize="21600,21600">
            <v:path/>
            <v:fill on="f" focussize="0,0"/>
            <v:stroke on="f" joinstyle="miter"/>
            <v:imagedata r:id="rId345" o:title=""/>
            <o:lock v:ext="edit" aspectratio="t"/>
            <w10:wrap type="none"/>
            <w10:anchorlock/>
          </v:shape>
          <o:OLEObject Type="Embed" ProgID="Equation.DSMT4" ShapeID="_x0000_i1200" DrawAspect="Content" ObjectID="_1468075900" r:id="rId344">
            <o:LockedField>false</o:LockedField>
          </o:OLEObject>
        </w:object>
      </w:r>
      <w:r>
        <w:rPr>
          <w:color w:val="auto"/>
          <w:szCs w:val="21"/>
        </w:rPr>
        <w:t>——桩间土承载力特征值（kPa），取天然地基承载力特征值的1.05～1.2倍，土质软弱或置换率大时取高值；</w:t>
      </w:r>
    </w:p>
    <w:p w14:paraId="0A1C1249">
      <w:pPr>
        <w:tabs>
          <w:tab w:val="left" w:pos="720"/>
          <w:tab w:val="left" w:pos="1080"/>
        </w:tabs>
        <w:adjustRightInd w:val="0"/>
        <w:snapToGrid w:val="0"/>
        <w:spacing w:line="340" w:lineRule="exact"/>
        <w:ind w:left="1386" w:leftChars="387" w:hanging="573" w:hangingChars="273"/>
        <w:rPr>
          <w:color w:val="auto"/>
          <w:szCs w:val="21"/>
        </w:rPr>
      </w:pPr>
      <w:r>
        <w:rPr>
          <w:i/>
          <w:iCs/>
          <w:color w:val="auto"/>
          <w:szCs w:val="21"/>
        </w:rPr>
        <w:t>m</w:t>
      </w:r>
      <w:r>
        <w:rPr>
          <w:color w:val="auto"/>
          <w:szCs w:val="21"/>
        </w:rPr>
        <w:t>——面积置换率，为一根桩横截面积与一根桩所处理的地基面积之比，也可按基础下各桩横截面积之和与基础底面积之比进行计算，石灰桩面积按1.1～1.2倍成桩直径计算，土质软弱时取高值。</w:t>
      </w:r>
    </w:p>
    <w:p w14:paraId="1D49BC1B">
      <w:pPr>
        <w:tabs>
          <w:tab w:val="left" w:pos="720"/>
          <w:tab w:val="left" w:pos="1080"/>
        </w:tabs>
        <w:adjustRightInd w:val="0"/>
        <w:snapToGrid w:val="0"/>
        <w:spacing w:line="340" w:lineRule="exact"/>
        <w:ind w:firstLine="413" w:firstLineChars="196"/>
        <w:rPr>
          <w:color w:val="auto"/>
          <w:szCs w:val="21"/>
        </w:rPr>
      </w:pPr>
      <w:r>
        <w:rPr>
          <w:b/>
          <w:bCs/>
          <w:color w:val="auto"/>
          <w:szCs w:val="21"/>
        </w:rPr>
        <w:t xml:space="preserve">g)  </w:t>
      </w:r>
      <w:r>
        <w:rPr>
          <w:color w:val="auto"/>
          <w:szCs w:val="21"/>
        </w:rPr>
        <w:t>石灰桩复合地基的沉降验算应符合本文件第7.3节有关规定。石灰桩桩端下为软弱土层时，尚应符合本文件第8章的要求。</w:t>
      </w:r>
    </w:p>
    <w:p w14:paraId="760EDEB0">
      <w:pPr>
        <w:adjustRightInd w:val="0"/>
        <w:snapToGrid w:val="0"/>
        <w:spacing w:line="340" w:lineRule="exact"/>
        <w:ind w:firstLine="413" w:firstLineChars="196"/>
        <w:rPr>
          <w:color w:val="auto"/>
          <w:szCs w:val="21"/>
        </w:rPr>
      </w:pPr>
      <w:r>
        <w:rPr>
          <w:b/>
          <w:bCs/>
          <w:color w:val="auto"/>
          <w:szCs w:val="21"/>
        </w:rPr>
        <w:t>h)</w:t>
      </w:r>
      <w:r>
        <w:rPr>
          <w:color w:val="auto"/>
          <w:szCs w:val="21"/>
        </w:rPr>
        <w:t xml:space="preserve">  石灰桩复合土层的压缩模量宜通过桩身及桩间土压缩试验确定，初步设计可按</w:t>
      </w:r>
      <w:r>
        <w:rPr>
          <w:rFonts w:hint="eastAsia"/>
          <w:color w:val="auto"/>
          <w:lang w:val="en-US" w:eastAsia="zh-CN"/>
        </w:rPr>
        <w:t>公式（45）</w:t>
      </w:r>
      <w:r>
        <w:rPr>
          <w:color w:val="auto"/>
          <w:szCs w:val="21"/>
        </w:rPr>
        <w:t>计算：</w:t>
      </w:r>
    </w:p>
    <w:p w14:paraId="5AE02637">
      <w:pPr>
        <w:pStyle w:val="12"/>
        <w:jc w:val="right"/>
        <w:rPr>
          <w:color w:val="auto"/>
        </w:rPr>
      </w:pPr>
      <w:r>
        <w:rPr>
          <w:color w:val="auto"/>
          <w:position w:val="-14"/>
        </w:rPr>
        <w:object>
          <v:shape id="_x0000_i1201" o:spt="75" type="#_x0000_t75" style="height:21.75pt;width:100.5pt;" o:ole="t" filled="f" o:preferrelative="t" stroked="f" coordsize="21600,21600">
            <v:path/>
            <v:fill on="f" focussize="0,0"/>
            <v:stroke on="f" joinstyle="miter"/>
            <v:imagedata r:id="rId347" o:title=""/>
            <o:lock v:ext="edit" aspectratio="t"/>
            <w10:wrap type="none"/>
            <w10:anchorlock/>
          </v:shape>
          <o:OLEObject Type="Embed" ProgID="Equation.DSMT4" ShapeID="_x0000_i1201" DrawAspect="Content" ObjectID="_1468075901" r:id="rId346">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45</w:t>
      </w:r>
      <w:r>
        <w:rPr>
          <w:color w:val="auto"/>
        </w:rPr>
        <w:fldChar w:fldCharType="end"/>
      </w:r>
      <w:r>
        <w:rPr>
          <w:color w:val="auto"/>
        </w:rPr>
        <w:t>)</w:t>
      </w:r>
    </w:p>
    <w:p w14:paraId="4B484432">
      <w:pPr>
        <w:tabs>
          <w:tab w:val="left" w:pos="1080"/>
        </w:tabs>
        <w:adjustRightInd w:val="0"/>
        <w:snapToGrid w:val="0"/>
        <w:spacing w:line="240" w:lineRule="atLeast"/>
        <w:rPr>
          <w:color w:val="auto"/>
          <w:szCs w:val="21"/>
        </w:rPr>
      </w:pPr>
      <w:r>
        <w:rPr>
          <w:color w:val="auto"/>
          <w:szCs w:val="21"/>
        </w:rPr>
        <w:t xml:space="preserve">式中  </w:t>
      </w:r>
      <w:r>
        <w:rPr>
          <w:color w:val="auto"/>
          <w:position w:val="-14"/>
        </w:rPr>
        <w:object>
          <v:shape id="_x0000_i1202" o:spt="75" type="#_x0000_t75" style="height:21.75pt;width:15pt;" o:ole="t" filled="f" o:preferrelative="t" stroked="f" coordsize="21600,21600">
            <v:path/>
            <v:fill on="f" focussize="0,0"/>
            <v:stroke on="f" joinstyle="miter"/>
            <v:imagedata r:id="rId349" o:title=""/>
            <o:lock v:ext="edit" aspectratio="t"/>
            <w10:wrap type="none"/>
            <w10:anchorlock/>
          </v:shape>
          <o:OLEObject Type="Embed" ProgID="Equation.DSMT4" ShapeID="_x0000_i1202" DrawAspect="Content" ObjectID="_1468075902" r:id="rId348">
            <o:LockedField>false</o:LockedField>
          </o:OLEObject>
        </w:object>
      </w:r>
      <w:r>
        <w:rPr>
          <w:color w:val="auto"/>
          <w:szCs w:val="21"/>
        </w:rPr>
        <w:t>——复合土层的压缩模量（MPa）；</w:t>
      </w:r>
    </w:p>
    <w:p w14:paraId="72BE59D5">
      <w:pPr>
        <w:tabs>
          <w:tab w:val="left" w:pos="1080"/>
        </w:tabs>
        <w:adjustRightInd w:val="0"/>
        <w:snapToGrid w:val="0"/>
        <w:spacing w:line="340" w:lineRule="exact"/>
        <w:ind w:left="1478" w:leftChars="350" w:hanging="743" w:hangingChars="354"/>
        <w:rPr>
          <w:color w:val="auto"/>
          <w:szCs w:val="21"/>
        </w:rPr>
      </w:pPr>
      <w:r>
        <w:rPr>
          <w:color w:val="auto"/>
          <w:position w:val="-6"/>
          <w:szCs w:val="21"/>
        </w:rPr>
        <w:object>
          <v:shape id="_x0000_i1203" o:spt="75" type="#_x0000_t75" style="height:15pt;width:15pt;" o:ole="t" filled="f" o:preferrelative="t" stroked="f" coordsize="21600,21600">
            <v:path/>
            <v:fill on="f" focussize="0,0"/>
            <v:stroke on="f" joinstyle="miter"/>
            <v:imagedata r:id="rId351" o:title=""/>
            <o:lock v:ext="edit" aspectratio="t"/>
            <w10:wrap type="none"/>
            <w10:anchorlock/>
          </v:shape>
          <o:OLEObject Type="Embed" ProgID="Equation.DSMT4" ShapeID="_x0000_i1203" DrawAspect="Content" ObjectID="_1468075903" r:id="rId350">
            <o:LockedField>false</o:LockedField>
          </o:OLEObject>
        </w:object>
      </w:r>
      <w:r>
        <w:rPr>
          <w:color w:val="auto"/>
          <w:szCs w:val="21"/>
        </w:rPr>
        <w:t>——系数，可取1.1～1.3，可挤密的土中挤土成孔或置换率大时取高值；</w:t>
      </w:r>
    </w:p>
    <w:p w14:paraId="0FDFFF15">
      <w:pPr>
        <w:tabs>
          <w:tab w:val="left" w:pos="1080"/>
        </w:tabs>
        <w:adjustRightInd w:val="0"/>
        <w:snapToGrid w:val="0"/>
        <w:spacing w:line="340" w:lineRule="exact"/>
        <w:ind w:firstLine="840" w:firstLineChars="400"/>
        <w:rPr>
          <w:color w:val="auto"/>
          <w:szCs w:val="21"/>
        </w:rPr>
      </w:pPr>
      <w:r>
        <w:rPr>
          <w:i/>
          <w:iCs/>
          <w:color w:val="auto"/>
          <w:szCs w:val="21"/>
        </w:rPr>
        <w:t>n</w:t>
      </w:r>
      <w:r>
        <w:rPr>
          <w:color w:val="auto"/>
          <w:szCs w:val="21"/>
        </w:rPr>
        <w:t>——桩土应力比，可取3～4，长桩取大值；</w:t>
      </w:r>
    </w:p>
    <w:p w14:paraId="327DFD4F">
      <w:pPr>
        <w:adjustRightInd w:val="0"/>
        <w:snapToGrid w:val="0"/>
        <w:spacing w:line="340" w:lineRule="exact"/>
        <w:ind w:firstLine="758" w:firstLineChars="361"/>
        <w:rPr>
          <w:color w:val="auto"/>
          <w:szCs w:val="21"/>
        </w:rPr>
      </w:pPr>
      <w:r>
        <w:rPr>
          <w:i/>
          <w:iCs/>
          <w:color w:val="auto"/>
          <w:szCs w:val="21"/>
        </w:rPr>
        <w:t>E</w:t>
      </w:r>
      <w:r>
        <w:rPr>
          <w:color w:val="auto"/>
          <w:szCs w:val="21"/>
          <w:vertAlign w:val="subscript"/>
        </w:rPr>
        <w:t>s</w:t>
      </w:r>
      <w:r>
        <w:rPr>
          <w:color w:val="auto"/>
          <w:szCs w:val="21"/>
        </w:rPr>
        <w:t>——天然土的压缩模量（</w:t>
      </w:r>
      <w:r>
        <w:rPr>
          <w:iCs/>
          <w:color w:val="auto"/>
          <w:szCs w:val="21"/>
        </w:rPr>
        <w:t>MPa</w:t>
      </w:r>
      <w:r>
        <w:rPr>
          <w:color w:val="auto"/>
          <w:szCs w:val="21"/>
        </w:rPr>
        <w:t>）。</w:t>
      </w:r>
    </w:p>
    <w:p w14:paraId="176F5255">
      <w:pPr>
        <w:adjustRightInd w:val="0"/>
        <w:snapToGrid w:val="0"/>
        <w:spacing w:line="340" w:lineRule="exact"/>
        <w:ind w:left="23" w:hanging="23" w:hangingChars="11"/>
        <w:rPr>
          <w:b/>
          <w:bCs/>
          <w:color w:val="auto"/>
          <w:szCs w:val="21"/>
        </w:rPr>
      </w:pPr>
      <w:r>
        <w:rPr>
          <w:b/>
          <w:bCs/>
          <w:color w:val="auto"/>
          <w:szCs w:val="21"/>
        </w:rPr>
        <w:t xml:space="preserve">9.4.3  </w:t>
      </w:r>
      <w:r>
        <w:rPr>
          <w:bCs/>
          <w:color w:val="auto"/>
          <w:szCs w:val="21"/>
        </w:rPr>
        <w:t>石灰桩施工应符合下列规定：</w:t>
      </w:r>
    </w:p>
    <w:p w14:paraId="6324ACE2">
      <w:pPr>
        <w:adjustRightInd w:val="0"/>
        <w:snapToGrid w:val="0"/>
        <w:spacing w:line="340" w:lineRule="exact"/>
        <w:ind w:left="23" w:leftChars="11" w:firstLine="413" w:firstLineChars="196"/>
        <w:rPr>
          <w:color w:val="auto"/>
          <w:szCs w:val="21"/>
        </w:rPr>
      </w:pPr>
      <w:r>
        <w:rPr>
          <w:b/>
          <w:bCs/>
          <w:color w:val="auto"/>
          <w:szCs w:val="21"/>
        </w:rPr>
        <w:t>a)</w:t>
      </w:r>
      <w:r>
        <w:rPr>
          <w:color w:val="auto"/>
          <w:szCs w:val="21"/>
        </w:rPr>
        <w:t xml:space="preserve">  石灰材料应选用新鲜生石灰块，有效氧化钙含量不宜低于70%，进入现场的生石灰应有防水、防雨措施，宜做到随用随进，使用前应进行破碎，粒径不应大于70</w:t>
      </w:r>
      <w:r>
        <w:rPr>
          <w:iCs/>
          <w:color w:val="auto"/>
          <w:szCs w:val="21"/>
        </w:rPr>
        <w:t>mm</w:t>
      </w:r>
      <w:r>
        <w:rPr>
          <w:color w:val="auto"/>
          <w:szCs w:val="21"/>
        </w:rPr>
        <w:t>，消石灰粉含量不宜超过15%。</w:t>
      </w:r>
    </w:p>
    <w:p w14:paraId="456AD78D">
      <w:pPr>
        <w:adjustRightInd w:val="0"/>
        <w:snapToGrid w:val="0"/>
        <w:spacing w:line="340" w:lineRule="exact"/>
        <w:ind w:left="23" w:leftChars="11" w:firstLine="413" w:firstLineChars="196"/>
        <w:rPr>
          <w:color w:val="auto"/>
          <w:szCs w:val="21"/>
        </w:rPr>
      </w:pPr>
      <w:r>
        <w:rPr>
          <w:b/>
          <w:bCs/>
          <w:color w:val="auto"/>
          <w:szCs w:val="21"/>
        </w:rPr>
        <w:t>b)</w:t>
      </w:r>
      <w:r>
        <w:rPr>
          <w:color w:val="auto"/>
          <w:szCs w:val="21"/>
        </w:rPr>
        <w:t xml:space="preserve">  掺合料的含水率宜控制在30%左右。无经验时宜进行成桩工艺试验，确定密实度的施工控制指标。</w:t>
      </w:r>
    </w:p>
    <w:p w14:paraId="59CC08D4">
      <w:pPr>
        <w:adjustRightInd w:val="0"/>
        <w:snapToGrid w:val="0"/>
        <w:spacing w:line="340" w:lineRule="exact"/>
        <w:ind w:left="23" w:leftChars="11" w:firstLine="413" w:firstLineChars="196"/>
        <w:rPr>
          <w:color w:val="auto"/>
          <w:szCs w:val="21"/>
        </w:rPr>
      </w:pPr>
      <w:r>
        <w:rPr>
          <w:b/>
          <w:bCs/>
          <w:color w:val="auto"/>
          <w:szCs w:val="21"/>
        </w:rPr>
        <w:t>c)</w:t>
      </w:r>
      <w:r>
        <w:rPr>
          <w:color w:val="auto"/>
          <w:szCs w:val="21"/>
        </w:rPr>
        <w:t xml:space="preserve">  施工前应做好场地排水设施，防止场地积水。</w:t>
      </w:r>
    </w:p>
    <w:p w14:paraId="020E47C0">
      <w:pPr>
        <w:adjustRightInd w:val="0"/>
        <w:snapToGrid w:val="0"/>
        <w:spacing w:line="340" w:lineRule="exact"/>
        <w:ind w:left="23" w:leftChars="11" w:firstLine="413" w:firstLineChars="196"/>
        <w:rPr>
          <w:color w:val="auto"/>
          <w:szCs w:val="21"/>
        </w:rPr>
      </w:pPr>
      <w:r>
        <w:rPr>
          <w:b/>
          <w:bCs/>
          <w:color w:val="auto"/>
          <w:szCs w:val="21"/>
        </w:rPr>
        <w:t>d)</w:t>
      </w:r>
      <w:r>
        <w:rPr>
          <w:color w:val="auto"/>
          <w:szCs w:val="21"/>
        </w:rPr>
        <w:t xml:space="preserve">  施工顺序宜由外围或两侧向中间进行，在软土中宜间隔成桩。</w:t>
      </w:r>
    </w:p>
    <w:p w14:paraId="75B0F63E">
      <w:pPr>
        <w:adjustRightInd w:val="0"/>
        <w:snapToGrid w:val="0"/>
        <w:spacing w:line="320" w:lineRule="exact"/>
        <w:ind w:left="23" w:leftChars="11" w:firstLine="413" w:firstLineChars="196"/>
        <w:rPr>
          <w:color w:val="auto"/>
          <w:szCs w:val="21"/>
        </w:rPr>
      </w:pPr>
      <w:r>
        <w:rPr>
          <w:b/>
          <w:bCs/>
          <w:color w:val="auto"/>
          <w:szCs w:val="21"/>
        </w:rPr>
        <w:t>e)</w:t>
      </w:r>
      <w:r>
        <w:rPr>
          <w:color w:val="auto"/>
          <w:szCs w:val="21"/>
        </w:rPr>
        <w:t xml:space="preserve">  管外投料或人工填料时应采取有效措施减少地下水渗入孔内的速度，成孔后填料前应排除孔底积水。填料时必须分段夯实，每次填料厚度不应大于400</w:t>
      </w:r>
      <w:r>
        <w:rPr>
          <w:iCs/>
          <w:color w:val="auto"/>
          <w:szCs w:val="21"/>
        </w:rPr>
        <w:t>mm</w:t>
      </w:r>
      <w:r>
        <w:rPr>
          <w:color w:val="auto"/>
          <w:szCs w:val="21"/>
        </w:rPr>
        <w:t>。</w:t>
      </w:r>
    </w:p>
    <w:p w14:paraId="3CA00520">
      <w:pPr>
        <w:adjustRightInd w:val="0"/>
        <w:snapToGrid w:val="0"/>
        <w:spacing w:line="320" w:lineRule="exact"/>
        <w:ind w:left="734" w:leftChars="200" w:hanging="314" w:hangingChars="149"/>
        <w:rPr>
          <w:color w:val="auto"/>
          <w:szCs w:val="21"/>
        </w:rPr>
      </w:pPr>
      <w:r>
        <w:rPr>
          <w:b/>
          <w:bCs/>
          <w:color w:val="auto"/>
          <w:szCs w:val="21"/>
        </w:rPr>
        <w:t>f)</w:t>
      </w:r>
      <w:r>
        <w:rPr>
          <w:color w:val="auto"/>
          <w:szCs w:val="21"/>
        </w:rPr>
        <w:t xml:space="preserve">  </w:t>
      </w:r>
      <w:r>
        <w:rPr>
          <w:rFonts w:hint="eastAsia"/>
          <w:color w:val="auto"/>
          <w:szCs w:val="21"/>
        </w:rPr>
        <w:t>桩位</w:t>
      </w:r>
      <w:r>
        <w:rPr>
          <w:rFonts w:hint="eastAsia"/>
          <w:color w:val="auto"/>
        </w:rPr>
        <w:t>允许偏差为</w:t>
      </w:r>
      <w:r>
        <w:rPr>
          <w:color w:val="auto"/>
        </w:rPr>
        <w:t>0.5</w:t>
      </w:r>
      <w:r>
        <w:rPr>
          <w:rFonts w:hint="eastAsia"/>
          <w:color w:val="auto"/>
        </w:rPr>
        <w:t>倍桩径</w:t>
      </w:r>
      <w:r>
        <w:rPr>
          <w:rFonts w:hint="eastAsia"/>
          <w:color w:val="auto"/>
          <w:szCs w:val="21"/>
        </w:rPr>
        <w:t>。</w:t>
      </w:r>
    </w:p>
    <w:p w14:paraId="13924DB5">
      <w:pPr>
        <w:adjustRightInd w:val="0"/>
        <w:snapToGrid w:val="0"/>
        <w:spacing w:line="320" w:lineRule="exact"/>
        <w:ind w:left="23" w:leftChars="11" w:firstLine="413" w:firstLineChars="196"/>
        <w:rPr>
          <w:color w:val="auto"/>
          <w:szCs w:val="21"/>
        </w:rPr>
      </w:pPr>
      <w:r>
        <w:rPr>
          <w:b/>
          <w:bCs/>
          <w:color w:val="auto"/>
          <w:szCs w:val="21"/>
        </w:rPr>
        <w:t>g)</w:t>
      </w:r>
      <w:r>
        <w:rPr>
          <w:color w:val="auto"/>
          <w:szCs w:val="21"/>
        </w:rPr>
        <w:t xml:space="preserve">  石灰桩施工中应做好施工记录，记录内容主要包括成孔直径、成孔深度、桩底土层种类及性状、填料、配合比、填料次数及夯实情况等。</w:t>
      </w:r>
    </w:p>
    <w:p w14:paraId="5AB98D78">
      <w:pPr>
        <w:adjustRightInd w:val="0"/>
        <w:snapToGrid w:val="0"/>
        <w:spacing w:line="320" w:lineRule="exact"/>
        <w:rPr>
          <w:b/>
          <w:bCs/>
          <w:color w:val="auto"/>
          <w:szCs w:val="21"/>
        </w:rPr>
      </w:pPr>
      <w:r>
        <w:rPr>
          <w:b/>
          <w:bCs/>
          <w:color w:val="auto"/>
          <w:szCs w:val="21"/>
        </w:rPr>
        <w:t xml:space="preserve">9.4.4  </w:t>
      </w:r>
      <w:r>
        <w:rPr>
          <w:bCs/>
          <w:color w:val="auto"/>
          <w:szCs w:val="21"/>
        </w:rPr>
        <w:t>石灰桩复合地基质量检验应符合下列规定：</w:t>
      </w:r>
    </w:p>
    <w:p w14:paraId="77F0BFDB">
      <w:pPr>
        <w:adjustRightInd w:val="0"/>
        <w:snapToGrid w:val="0"/>
        <w:spacing w:line="320" w:lineRule="exact"/>
        <w:ind w:left="23" w:leftChars="11" w:firstLine="413" w:firstLineChars="196"/>
        <w:rPr>
          <w:color w:val="auto"/>
          <w:szCs w:val="21"/>
        </w:rPr>
      </w:pPr>
      <w:r>
        <w:rPr>
          <w:b/>
          <w:bCs/>
          <w:color w:val="auto"/>
          <w:szCs w:val="21"/>
        </w:rPr>
        <w:t>a)</w:t>
      </w:r>
      <w:r>
        <w:rPr>
          <w:color w:val="auto"/>
          <w:szCs w:val="21"/>
        </w:rPr>
        <w:t xml:space="preserve">  </w:t>
      </w:r>
      <w:r>
        <w:rPr>
          <w:bCs/>
          <w:color w:val="auto"/>
          <w:szCs w:val="21"/>
          <w:lang w:val="en-GB"/>
        </w:rPr>
        <w:t>石灰桩复合地基检测与检验可根据工程要求和当地经验采用开挖检查、静力触探或标准贯入、竖向抗压载荷试验等方法进行检验，并结合工程测试及观测资料综合评价加固效果。</w:t>
      </w:r>
      <w:r>
        <w:rPr>
          <w:color w:val="auto"/>
        </w:rPr>
        <w:t>施工检测宜在施工后7d~10d进行。</w:t>
      </w:r>
    </w:p>
    <w:p w14:paraId="391518F5">
      <w:pPr>
        <w:adjustRightInd w:val="0"/>
        <w:snapToGrid w:val="0"/>
        <w:spacing w:line="320" w:lineRule="exact"/>
        <w:ind w:left="23" w:leftChars="11" w:firstLine="413" w:firstLineChars="196"/>
        <w:rPr>
          <w:color w:val="auto"/>
          <w:szCs w:val="21"/>
        </w:rPr>
      </w:pPr>
      <w:r>
        <w:rPr>
          <w:b/>
          <w:bCs/>
          <w:color w:val="auto"/>
          <w:szCs w:val="21"/>
        </w:rPr>
        <w:t xml:space="preserve">b)  </w:t>
      </w:r>
      <w:r>
        <w:rPr>
          <w:bCs/>
          <w:color w:val="auto"/>
          <w:szCs w:val="21"/>
          <w:lang w:val="en-GB"/>
        </w:rPr>
        <w:t>采用静力触探或标准贯入试验检测时，检测部位应为桩中心及桩间土，每两点为一组。检测组数由设计单位根据工程情况提出具体要求。</w:t>
      </w:r>
    </w:p>
    <w:p w14:paraId="4F187FD5">
      <w:pPr>
        <w:adjustRightInd w:val="0"/>
        <w:snapToGrid w:val="0"/>
        <w:spacing w:line="320" w:lineRule="exact"/>
        <w:ind w:left="23" w:leftChars="11" w:firstLine="413" w:firstLineChars="196"/>
        <w:rPr>
          <w:color w:val="auto"/>
          <w:szCs w:val="21"/>
        </w:rPr>
      </w:pPr>
      <w:r>
        <w:rPr>
          <w:b/>
          <w:bCs/>
          <w:color w:val="auto"/>
          <w:szCs w:val="21"/>
          <w:lang w:val="en-GB"/>
        </w:rPr>
        <w:t xml:space="preserve">c)  </w:t>
      </w:r>
      <w:r>
        <w:rPr>
          <w:color w:val="auto"/>
          <w:szCs w:val="21"/>
        </w:rPr>
        <w:t>石灰桩复合地基验收检测应采用单桩或多桩复合地基</w:t>
      </w:r>
      <w:r>
        <w:rPr>
          <w:rFonts w:hint="eastAsia"/>
          <w:color w:val="auto"/>
          <w:szCs w:val="21"/>
        </w:rPr>
        <w:t>静</w:t>
      </w:r>
      <w:r>
        <w:rPr>
          <w:color w:val="auto"/>
          <w:szCs w:val="21"/>
        </w:rPr>
        <w:t>载试验检测承载力。检测数量每200</w:t>
      </w:r>
      <w:r>
        <w:rPr>
          <w:iCs/>
          <w:color w:val="auto"/>
          <w:szCs w:val="21"/>
        </w:rPr>
        <w:t>m</w:t>
      </w:r>
      <w:r>
        <w:rPr>
          <w:color w:val="auto"/>
          <w:szCs w:val="21"/>
          <w:vertAlign w:val="superscript"/>
        </w:rPr>
        <w:t>2</w:t>
      </w:r>
      <w:r>
        <w:rPr>
          <w:color w:val="auto"/>
          <w:szCs w:val="21"/>
        </w:rPr>
        <w:t>处理面积不应少于1点，且每一单体工程不</w:t>
      </w:r>
      <w:r>
        <w:rPr>
          <w:rFonts w:hint="eastAsia"/>
          <w:color w:val="auto"/>
          <w:szCs w:val="21"/>
        </w:rPr>
        <w:t>应</w:t>
      </w:r>
      <w:r>
        <w:rPr>
          <w:color w:val="auto"/>
          <w:szCs w:val="21"/>
        </w:rPr>
        <w:t>少于6点。</w:t>
      </w:r>
      <w:r>
        <w:rPr>
          <w:rFonts w:hint="eastAsia"/>
          <w:bCs/>
          <w:color w:val="auto"/>
          <w:szCs w:val="21"/>
          <w:lang w:val="en-GB"/>
        </w:rPr>
        <w:t>静载</w:t>
      </w:r>
      <w:r>
        <w:rPr>
          <w:bCs/>
          <w:color w:val="auto"/>
          <w:szCs w:val="21"/>
          <w:lang w:val="en-GB"/>
        </w:rPr>
        <w:t>试验应在桩体强度满足试验荷载条件，并宜在成桩28d后进行。检测数量由设计单位根据工程情况提出具体要求。</w:t>
      </w:r>
    </w:p>
    <w:p w14:paraId="49195413">
      <w:pPr>
        <w:adjustRightInd w:val="0"/>
        <w:snapToGrid w:val="0"/>
        <w:ind w:left="1"/>
        <w:rPr>
          <w:b/>
          <w:bCs/>
          <w:color w:val="auto"/>
          <w:szCs w:val="21"/>
        </w:rPr>
      </w:pPr>
    </w:p>
    <w:p w14:paraId="035499CA">
      <w:pPr>
        <w:adjustRightInd w:val="0"/>
        <w:snapToGrid w:val="0"/>
        <w:spacing w:line="340" w:lineRule="exact"/>
        <w:outlineLvl w:val="1"/>
        <w:rPr>
          <w:rFonts w:eastAsia="黑体"/>
          <w:b/>
          <w:bCs/>
          <w:color w:val="auto"/>
          <w:szCs w:val="21"/>
        </w:rPr>
      </w:pPr>
      <w:bookmarkStart w:id="30" w:name="_Toc199943592"/>
      <w:r>
        <w:rPr>
          <w:rFonts w:eastAsia="黑体"/>
          <w:b/>
          <w:bCs/>
          <w:color w:val="auto"/>
          <w:szCs w:val="21"/>
        </w:rPr>
        <w:t>9.5  强夯法和强夯置换法</w:t>
      </w:r>
      <w:bookmarkEnd w:id="30"/>
    </w:p>
    <w:p w14:paraId="35142ED8">
      <w:pPr>
        <w:adjustRightInd w:val="0"/>
        <w:snapToGrid w:val="0"/>
        <w:rPr>
          <w:b/>
          <w:bCs/>
          <w:color w:val="auto"/>
          <w:szCs w:val="21"/>
        </w:rPr>
      </w:pPr>
    </w:p>
    <w:p w14:paraId="6CB3DD03">
      <w:pPr>
        <w:adjustRightInd w:val="0"/>
        <w:snapToGrid w:val="0"/>
        <w:spacing w:line="360" w:lineRule="atLeast"/>
        <w:rPr>
          <w:color w:val="auto"/>
        </w:rPr>
      </w:pPr>
      <w:r>
        <w:rPr>
          <w:b/>
          <w:bCs/>
          <w:color w:val="auto"/>
          <w:szCs w:val="21"/>
        </w:rPr>
        <w:t>9.5.1</w:t>
      </w:r>
      <w:r>
        <w:rPr>
          <w:color w:val="auto"/>
          <w:szCs w:val="21"/>
        </w:rPr>
        <w:t xml:space="preserve">  </w:t>
      </w:r>
      <w:r>
        <w:rPr>
          <w:color w:val="auto"/>
        </w:rPr>
        <w:t>强夯法和强夯置换法处理地基应符合下列规定：</w:t>
      </w:r>
    </w:p>
    <w:p w14:paraId="447B8A24">
      <w:pPr>
        <w:adjustRightInd w:val="0"/>
        <w:snapToGrid w:val="0"/>
        <w:spacing w:line="360" w:lineRule="atLeast"/>
        <w:ind w:firstLine="422" w:firstLineChars="200"/>
        <w:rPr>
          <w:color w:val="auto"/>
          <w:szCs w:val="21"/>
        </w:rPr>
      </w:pPr>
      <w:r>
        <w:rPr>
          <w:b/>
          <w:color w:val="auto"/>
          <w:szCs w:val="21"/>
        </w:rPr>
        <w:t xml:space="preserve">a) </w:t>
      </w:r>
      <w:r>
        <w:rPr>
          <w:color w:val="auto"/>
          <w:szCs w:val="21"/>
        </w:rPr>
        <w:t xml:space="preserve"> 强夯法适用于处理碎石土、砂土、杂填土、素填土和低饱和度的粉土与黏性土等地基。强夯置换法可用于高饱和度的粉土与软塑～流塑状态的黏性土等地基并对变形要求不严格的工程。</w:t>
      </w:r>
    </w:p>
    <w:p w14:paraId="75ADE800">
      <w:pPr>
        <w:adjustRightInd w:val="0"/>
        <w:snapToGrid w:val="0"/>
        <w:spacing w:line="360" w:lineRule="atLeast"/>
        <w:ind w:firstLine="422" w:firstLineChars="200"/>
        <w:rPr>
          <w:color w:val="auto"/>
          <w:szCs w:val="21"/>
        </w:rPr>
      </w:pPr>
      <w:r>
        <w:rPr>
          <w:b/>
          <w:color w:val="auto"/>
          <w:szCs w:val="21"/>
        </w:rPr>
        <w:t xml:space="preserve">b)  </w:t>
      </w:r>
      <w:r>
        <w:rPr>
          <w:color w:val="auto"/>
          <w:szCs w:val="21"/>
        </w:rPr>
        <w:t>强夯和强夯置换施工前，应在施工现场有代表性的场地上选取一个或几个试验区，进行试夯或试验性施工。一个试验区的面积不宜小于20m×20m ,试验区数量应根据建筑场地复杂程度、建筑规模及建筑类型确定。</w:t>
      </w:r>
    </w:p>
    <w:p w14:paraId="023B27E0">
      <w:pPr>
        <w:adjustRightInd w:val="0"/>
        <w:snapToGrid w:val="0"/>
        <w:spacing w:line="360" w:lineRule="atLeast"/>
        <w:ind w:firstLine="422" w:firstLineChars="200"/>
        <w:rPr>
          <w:b/>
          <w:color w:val="auto"/>
          <w:szCs w:val="21"/>
        </w:rPr>
      </w:pPr>
      <w:r>
        <w:rPr>
          <w:b/>
          <w:color w:val="auto"/>
          <w:szCs w:val="21"/>
        </w:rPr>
        <w:t xml:space="preserve">c)  </w:t>
      </w:r>
      <w:r>
        <w:rPr>
          <w:color w:val="auto"/>
          <w:szCs w:val="21"/>
        </w:rPr>
        <w:t>场地地下水位高，影响施工或夯实效果时，应采取降水或其他技术措施。</w:t>
      </w:r>
    </w:p>
    <w:p w14:paraId="0EF8C6F4">
      <w:pPr>
        <w:adjustRightInd w:val="0"/>
        <w:snapToGrid w:val="0"/>
        <w:spacing w:line="360" w:lineRule="atLeast"/>
        <w:rPr>
          <w:b/>
          <w:bCs/>
          <w:color w:val="auto"/>
          <w:szCs w:val="21"/>
        </w:rPr>
      </w:pPr>
      <w:r>
        <w:rPr>
          <w:b/>
          <w:bCs/>
          <w:color w:val="auto"/>
          <w:szCs w:val="21"/>
        </w:rPr>
        <w:t xml:space="preserve">9.5.2  </w:t>
      </w:r>
      <w:r>
        <w:rPr>
          <w:color w:val="auto"/>
          <w:szCs w:val="21"/>
        </w:rPr>
        <w:t>强夯置换处理地基</w:t>
      </w:r>
      <w:r>
        <w:rPr>
          <w:rFonts w:hint="eastAsia"/>
          <w:color w:val="auto"/>
          <w:szCs w:val="21"/>
        </w:rPr>
        <w:t>，</w:t>
      </w:r>
      <w:r>
        <w:rPr>
          <w:color w:val="auto"/>
          <w:szCs w:val="21"/>
        </w:rPr>
        <w:t>必须通过现场试验确定其适用性和处理效果。</w:t>
      </w:r>
    </w:p>
    <w:p w14:paraId="52174A82">
      <w:pPr>
        <w:adjustRightInd w:val="0"/>
        <w:snapToGrid w:val="0"/>
        <w:spacing w:line="360" w:lineRule="atLeast"/>
        <w:rPr>
          <w:color w:val="auto"/>
        </w:rPr>
      </w:pPr>
      <w:r>
        <w:rPr>
          <w:b/>
          <w:bCs/>
          <w:color w:val="auto"/>
          <w:szCs w:val="21"/>
        </w:rPr>
        <w:t xml:space="preserve">9.5.3  </w:t>
      </w:r>
      <w:r>
        <w:rPr>
          <w:color w:val="auto"/>
        </w:rPr>
        <w:t>强夯法处理地基的设计应符合下列规定：</w:t>
      </w:r>
    </w:p>
    <w:p w14:paraId="063381AF">
      <w:pPr>
        <w:pStyle w:val="33"/>
        <w:spacing w:before="0" w:beforeAutospacing="0" w:after="0" w:afterAutospacing="0" w:line="400" w:lineRule="atLeast"/>
        <w:ind w:left="0" w:firstLine="422" w:firstLineChars="200"/>
        <w:rPr>
          <w:rFonts w:ascii="Times New Roman" w:hAnsi="Times New Roman" w:cs="Times New Roman"/>
          <w:color w:val="auto"/>
          <w:sz w:val="21"/>
          <w:szCs w:val="21"/>
        </w:rPr>
      </w:pPr>
      <w:r>
        <w:rPr>
          <w:rFonts w:ascii="Times New Roman" w:hAnsi="Times New Roman" w:cs="Times New Roman"/>
          <w:b/>
          <w:color w:val="auto"/>
          <w:sz w:val="21"/>
          <w:szCs w:val="21"/>
        </w:rPr>
        <w:t>a)</w:t>
      </w:r>
      <w:r>
        <w:rPr>
          <w:rFonts w:ascii="Times New Roman" w:hAnsi="Times New Roman" w:cs="Times New Roman"/>
          <w:color w:val="auto"/>
          <w:sz w:val="21"/>
          <w:szCs w:val="21"/>
        </w:rPr>
        <w:t xml:space="preserve"> 强夯的有效加固深度应根据现场试夯或地区经验确定。在缺少试验资料或经验时可按表28预估；</w:t>
      </w:r>
    </w:p>
    <w:p w14:paraId="4EDDBDCF">
      <w:pPr>
        <w:pStyle w:val="33"/>
        <w:spacing w:before="0" w:beforeAutospacing="0" w:after="0" w:afterAutospacing="0" w:line="400" w:lineRule="atLeast"/>
        <w:ind w:left="215" w:leftChars="8" w:hanging="198" w:hangingChars="94"/>
        <w:jc w:val="center"/>
        <w:rPr>
          <w:rFonts w:ascii="Times New Roman" w:hAnsi="Times New Roman" w:cs="Times New Roman"/>
          <w:color w:val="auto"/>
          <w:sz w:val="21"/>
          <w:szCs w:val="21"/>
        </w:rPr>
      </w:pPr>
      <w:r>
        <w:rPr>
          <w:rFonts w:hint="eastAsia" w:ascii="Times New Roman" w:hAnsi="Times New Roman" w:eastAsia="黑体" w:cs="Times New Roman"/>
          <w:b/>
          <w:color w:val="auto"/>
          <w:sz w:val="21"/>
          <w:szCs w:val="21"/>
        </w:rPr>
        <w:t xml:space="preserve">              </w:t>
      </w:r>
      <w:r>
        <w:rPr>
          <w:rFonts w:ascii="Times New Roman" w:hAnsi="Times New Roman" w:eastAsia="黑体" w:cs="Times New Roman"/>
          <w:b/>
          <w:color w:val="auto"/>
          <w:sz w:val="21"/>
          <w:szCs w:val="21"/>
        </w:rPr>
        <w:t>表</w:t>
      </w:r>
      <w:r>
        <w:rPr>
          <w:rFonts w:ascii="Times New Roman" w:hAnsi="Times New Roman" w:cs="Times New Roman"/>
          <w:b/>
          <w:color w:val="auto"/>
          <w:sz w:val="21"/>
          <w:szCs w:val="21"/>
        </w:rPr>
        <w:t>28</w:t>
      </w:r>
      <w:r>
        <w:rPr>
          <w:rFonts w:hint="eastAsia" w:ascii="Times New Roman" w:hAnsi="Times New Roman" w:cs="Times New Roman"/>
          <w:b/>
          <w:color w:val="auto"/>
          <w:sz w:val="21"/>
          <w:szCs w:val="21"/>
        </w:rPr>
        <w:t xml:space="preserve">  </w:t>
      </w:r>
      <w:r>
        <w:rPr>
          <w:rFonts w:ascii="Times New Roman" w:hAnsi="Times New Roman" w:eastAsia="黑体" w:cs="Times New Roman"/>
          <w:b/>
          <w:color w:val="auto"/>
          <w:sz w:val="21"/>
          <w:szCs w:val="21"/>
        </w:rPr>
        <w:t>强夯的有效加固深度</w:t>
      </w:r>
      <w:r>
        <w:rPr>
          <w:rFonts w:hint="eastAsia" w:ascii="Times New Roman" w:hAnsi="Times New Roman" w:eastAsia="黑体" w:cs="Times New Roman"/>
          <w:b/>
          <w:color w:val="auto"/>
          <w:sz w:val="21"/>
          <w:szCs w:val="21"/>
        </w:rPr>
        <w:t xml:space="preserve">              </w:t>
      </w:r>
      <w:r>
        <w:rPr>
          <w:rFonts w:ascii="Times New Roman" w:hAnsi="Times New Roman" w:eastAsia="黑体" w:cs="Times New Roman"/>
          <w:b/>
          <w:color w:val="auto"/>
          <w:sz w:val="21"/>
          <w:szCs w:val="21"/>
        </w:rPr>
        <w:t>（</w:t>
      </w:r>
      <w:r>
        <w:rPr>
          <w:rFonts w:hint="eastAsia" w:ascii="Times New Roman" w:hAnsi="Times New Roman" w:eastAsia="黑体" w:cs="Times New Roman"/>
          <w:b/>
          <w:color w:val="auto"/>
          <w:sz w:val="21"/>
          <w:szCs w:val="21"/>
        </w:rPr>
        <w:t>单位</w:t>
      </w:r>
      <w:r>
        <w:rPr>
          <w:rFonts w:hint="eastAsia" w:ascii="Times New Roman" w:hAnsi="Times New Roman" w:eastAsia="黑体" w:cs="Times New Roman"/>
          <w:b/>
          <w:color w:val="auto"/>
          <w:sz w:val="21"/>
          <w:szCs w:val="21"/>
          <w:lang w:eastAsia="zh-CN"/>
        </w:rPr>
        <w:t>：</w:t>
      </w:r>
      <w:r>
        <w:rPr>
          <w:rFonts w:ascii="Times New Roman" w:hAnsi="Times New Roman" w:eastAsia="黑体" w:cs="Times New Roman"/>
          <w:b/>
          <w:color w:val="auto"/>
          <w:sz w:val="21"/>
          <w:szCs w:val="21"/>
        </w:rPr>
        <w:t>m）</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867"/>
        <w:gridCol w:w="3085"/>
        <w:gridCol w:w="3153"/>
      </w:tblGrid>
      <w:tr w14:paraId="035EA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5C2F01E3">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单击夯击能</w:t>
            </w:r>
            <w:r>
              <w:rPr>
                <w:rFonts w:ascii="Times New Roman" w:hAnsi="Times New Roman" w:cs="Times New Roman"/>
                <w:i/>
                <w:color w:val="auto"/>
                <w:sz w:val="18"/>
                <w:szCs w:val="18"/>
              </w:rPr>
              <w:t>E</w:t>
            </w:r>
            <w:r>
              <w:rPr>
                <w:rFonts w:ascii="Times New Roman" w:hAnsi="Times New Roman" w:cs="Times New Roman"/>
                <w:color w:val="auto"/>
                <w:sz w:val="18"/>
                <w:szCs w:val="18"/>
              </w:rPr>
              <w:t xml:space="preserve"> （kN·m）</w:t>
            </w:r>
          </w:p>
        </w:tc>
        <w:tc>
          <w:tcPr>
            <w:tcW w:w="3085" w:type="dxa"/>
            <w:vAlign w:val="center"/>
          </w:tcPr>
          <w:p w14:paraId="06071A15">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碎石土、砂土等粗颗粒土</w:t>
            </w:r>
          </w:p>
        </w:tc>
        <w:tc>
          <w:tcPr>
            <w:tcW w:w="3153" w:type="dxa"/>
            <w:vAlign w:val="center"/>
          </w:tcPr>
          <w:p w14:paraId="673F96E5">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粉土、黏性土等细颗粒土</w:t>
            </w:r>
          </w:p>
        </w:tc>
      </w:tr>
      <w:tr w14:paraId="01FC0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0F5429D3">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1,000</w:t>
            </w:r>
          </w:p>
        </w:tc>
        <w:tc>
          <w:tcPr>
            <w:tcW w:w="3085" w:type="dxa"/>
            <w:vAlign w:val="center"/>
          </w:tcPr>
          <w:p w14:paraId="0088E6A7">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4</w:t>
            </w:r>
            <w:r>
              <w:rPr>
                <w:rFonts w:ascii="Times New Roman" w:hAnsi="Times New Roman" w:cs="Times New Roman"/>
                <w:color w:val="auto"/>
                <w:sz w:val="18"/>
                <w:szCs w:val="18"/>
              </w:rPr>
              <w:t>.0~</w:t>
            </w:r>
            <w:r>
              <w:rPr>
                <w:rFonts w:hint="eastAsia" w:ascii="Times New Roman" w:hAnsi="Times New Roman" w:cs="Times New Roman"/>
                <w:color w:val="auto"/>
                <w:sz w:val="18"/>
                <w:szCs w:val="18"/>
              </w:rPr>
              <w:t>5</w:t>
            </w:r>
            <w:r>
              <w:rPr>
                <w:rFonts w:ascii="Times New Roman" w:hAnsi="Times New Roman" w:cs="Times New Roman"/>
                <w:color w:val="auto"/>
                <w:sz w:val="18"/>
                <w:szCs w:val="18"/>
              </w:rPr>
              <w:t>.0</w:t>
            </w:r>
          </w:p>
        </w:tc>
        <w:tc>
          <w:tcPr>
            <w:tcW w:w="3153" w:type="dxa"/>
            <w:vAlign w:val="center"/>
          </w:tcPr>
          <w:p w14:paraId="16504C93">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3</w:t>
            </w:r>
            <w:r>
              <w:rPr>
                <w:rFonts w:ascii="Times New Roman" w:hAnsi="Times New Roman" w:cs="Times New Roman"/>
                <w:color w:val="auto"/>
                <w:sz w:val="18"/>
                <w:szCs w:val="18"/>
              </w:rPr>
              <w:t>.0~</w:t>
            </w:r>
            <w:r>
              <w:rPr>
                <w:rFonts w:hint="eastAsia" w:ascii="Times New Roman" w:hAnsi="Times New Roman" w:cs="Times New Roman"/>
                <w:color w:val="auto"/>
                <w:sz w:val="18"/>
                <w:szCs w:val="18"/>
              </w:rPr>
              <w:t>4</w:t>
            </w:r>
            <w:r>
              <w:rPr>
                <w:rFonts w:ascii="Times New Roman" w:hAnsi="Times New Roman" w:cs="Times New Roman"/>
                <w:color w:val="auto"/>
                <w:sz w:val="18"/>
                <w:szCs w:val="18"/>
              </w:rPr>
              <w:t>.0</w:t>
            </w:r>
          </w:p>
        </w:tc>
      </w:tr>
      <w:tr w14:paraId="75181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0D669FF9">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2,000</w:t>
            </w:r>
          </w:p>
        </w:tc>
        <w:tc>
          <w:tcPr>
            <w:tcW w:w="3085" w:type="dxa"/>
            <w:vAlign w:val="center"/>
          </w:tcPr>
          <w:p w14:paraId="0E21715F">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5</w:t>
            </w:r>
            <w:r>
              <w:rPr>
                <w:rFonts w:ascii="Times New Roman" w:hAnsi="Times New Roman" w:cs="Times New Roman"/>
                <w:color w:val="auto"/>
                <w:sz w:val="18"/>
                <w:szCs w:val="18"/>
              </w:rPr>
              <w:t>.0~</w:t>
            </w:r>
            <w:r>
              <w:rPr>
                <w:rFonts w:hint="eastAsia" w:ascii="Times New Roman" w:hAnsi="Times New Roman" w:cs="Times New Roman"/>
                <w:color w:val="auto"/>
                <w:sz w:val="18"/>
                <w:szCs w:val="18"/>
              </w:rPr>
              <w:t>6</w:t>
            </w:r>
            <w:r>
              <w:rPr>
                <w:rFonts w:ascii="Times New Roman" w:hAnsi="Times New Roman" w:cs="Times New Roman"/>
                <w:color w:val="auto"/>
                <w:sz w:val="18"/>
                <w:szCs w:val="18"/>
              </w:rPr>
              <w:t>.0</w:t>
            </w:r>
          </w:p>
        </w:tc>
        <w:tc>
          <w:tcPr>
            <w:tcW w:w="3153" w:type="dxa"/>
            <w:vAlign w:val="center"/>
          </w:tcPr>
          <w:p w14:paraId="4C10CA56">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4</w:t>
            </w:r>
            <w:r>
              <w:rPr>
                <w:rFonts w:ascii="Times New Roman" w:hAnsi="Times New Roman" w:cs="Times New Roman"/>
                <w:color w:val="auto"/>
                <w:sz w:val="18"/>
                <w:szCs w:val="18"/>
              </w:rPr>
              <w:t>.0~</w:t>
            </w:r>
            <w:r>
              <w:rPr>
                <w:rFonts w:hint="eastAsia" w:ascii="Times New Roman" w:hAnsi="Times New Roman" w:cs="Times New Roman"/>
                <w:color w:val="auto"/>
                <w:sz w:val="18"/>
                <w:szCs w:val="18"/>
              </w:rPr>
              <w:t>5</w:t>
            </w:r>
            <w:r>
              <w:rPr>
                <w:rFonts w:ascii="Times New Roman" w:hAnsi="Times New Roman" w:cs="Times New Roman"/>
                <w:color w:val="auto"/>
                <w:sz w:val="18"/>
                <w:szCs w:val="18"/>
              </w:rPr>
              <w:t>.0</w:t>
            </w:r>
          </w:p>
        </w:tc>
      </w:tr>
      <w:tr w14:paraId="1F7CD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08FE306A">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3,000</w:t>
            </w:r>
          </w:p>
        </w:tc>
        <w:tc>
          <w:tcPr>
            <w:tcW w:w="3085" w:type="dxa"/>
            <w:vAlign w:val="center"/>
          </w:tcPr>
          <w:p w14:paraId="289384A8">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6</w:t>
            </w:r>
            <w:r>
              <w:rPr>
                <w:rFonts w:ascii="Times New Roman" w:hAnsi="Times New Roman" w:cs="Times New Roman"/>
                <w:color w:val="auto"/>
                <w:sz w:val="18"/>
                <w:szCs w:val="18"/>
              </w:rPr>
              <w:t>.0~</w:t>
            </w:r>
            <w:r>
              <w:rPr>
                <w:rFonts w:hint="eastAsia" w:ascii="Times New Roman" w:hAnsi="Times New Roman" w:cs="Times New Roman"/>
                <w:color w:val="auto"/>
                <w:sz w:val="18"/>
                <w:szCs w:val="18"/>
              </w:rPr>
              <w:t>7</w:t>
            </w:r>
            <w:r>
              <w:rPr>
                <w:rFonts w:ascii="Times New Roman" w:hAnsi="Times New Roman" w:cs="Times New Roman"/>
                <w:color w:val="auto"/>
                <w:sz w:val="18"/>
                <w:szCs w:val="18"/>
              </w:rPr>
              <w:t>.0</w:t>
            </w:r>
          </w:p>
        </w:tc>
        <w:tc>
          <w:tcPr>
            <w:tcW w:w="3153" w:type="dxa"/>
            <w:vAlign w:val="center"/>
          </w:tcPr>
          <w:p w14:paraId="03845B45">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5</w:t>
            </w:r>
            <w:r>
              <w:rPr>
                <w:rFonts w:ascii="Times New Roman" w:hAnsi="Times New Roman" w:cs="Times New Roman"/>
                <w:color w:val="auto"/>
                <w:sz w:val="18"/>
                <w:szCs w:val="18"/>
              </w:rPr>
              <w:t>.0~</w:t>
            </w:r>
            <w:r>
              <w:rPr>
                <w:rFonts w:hint="eastAsia" w:ascii="Times New Roman" w:hAnsi="Times New Roman" w:cs="Times New Roman"/>
                <w:color w:val="auto"/>
                <w:sz w:val="18"/>
                <w:szCs w:val="18"/>
              </w:rPr>
              <w:t>6</w:t>
            </w:r>
            <w:r>
              <w:rPr>
                <w:rFonts w:ascii="Times New Roman" w:hAnsi="Times New Roman" w:cs="Times New Roman"/>
                <w:color w:val="auto"/>
                <w:sz w:val="18"/>
                <w:szCs w:val="18"/>
              </w:rPr>
              <w:t>.0</w:t>
            </w:r>
          </w:p>
        </w:tc>
      </w:tr>
      <w:tr w14:paraId="7F35F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184A1872">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4,000</w:t>
            </w:r>
          </w:p>
        </w:tc>
        <w:tc>
          <w:tcPr>
            <w:tcW w:w="3085" w:type="dxa"/>
            <w:vAlign w:val="center"/>
          </w:tcPr>
          <w:p w14:paraId="39AA3A4D">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7</w:t>
            </w:r>
            <w:r>
              <w:rPr>
                <w:rFonts w:ascii="Times New Roman" w:hAnsi="Times New Roman" w:cs="Times New Roman"/>
                <w:color w:val="auto"/>
                <w:sz w:val="18"/>
                <w:szCs w:val="18"/>
              </w:rPr>
              <w:t>.0~</w:t>
            </w:r>
            <w:r>
              <w:rPr>
                <w:rFonts w:hint="eastAsia" w:ascii="Times New Roman" w:hAnsi="Times New Roman" w:cs="Times New Roman"/>
                <w:color w:val="auto"/>
                <w:sz w:val="18"/>
                <w:szCs w:val="18"/>
              </w:rPr>
              <w:t>8</w:t>
            </w:r>
            <w:r>
              <w:rPr>
                <w:rFonts w:ascii="Times New Roman" w:hAnsi="Times New Roman" w:cs="Times New Roman"/>
                <w:color w:val="auto"/>
                <w:sz w:val="18"/>
                <w:szCs w:val="18"/>
              </w:rPr>
              <w:t>.0</w:t>
            </w:r>
          </w:p>
        </w:tc>
        <w:tc>
          <w:tcPr>
            <w:tcW w:w="3153" w:type="dxa"/>
            <w:vAlign w:val="center"/>
          </w:tcPr>
          <w:p w14:paraId="4E3D82C2">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6</w:t>
            </w:r>
            <w:r>
              <w:rPr>
                <w:rFonts w:ascii="Times New Roman" w:hAnsi="Times New Roman" w:cs="Times New Roman"/>
                <w:color w:val="auto"/>
                <w:sz w:val="18"/>
                <w:szCs w:val="18"/>
              </w:rPr>
              <w:t>.0~</w:t>
            </w:r>
            <w:r>
              <w:rPr>
                <w:rFonts w:hint="eastAsia" w:ascii="Times New Roman" w:hAnsi="Times New Roman" w:cs="Times New Roman"/>
                <w:color w:val="auto"/>
                <w:sz w:val="18"/>
                <w:szCs w:val="18"/>
              </w:rPr>
              <w:t>7</w:t>
            </w:r>
            <w:r>
              <w:rPr>
                <w:rFonts w:ascii="Times New Roman" w:hAnsi="Times New Roman" w:cs="Times New Roman"/>
                <w:color w:val="auto"/>
                <w:sz w:val="18"/>
                <w:szCs w:val="18"/>
              </w:rPr>
              <w:t>.0</w:t>
            </w:r>
          </w:p>
        </w:tc>
      </w:tr>
      <w:tr w14:paraId="4B72F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5AC7A811">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5,000</w:t>
            </w:r>
          </w:p>
        </w:tc>
        <w:tc>
          <w:tcPr>
            <w:tcW w:w="3085" w:type="dxa"/>
            <w:vAlign w:val="center"/>
          </w:tcPr>
          <w:p w14:paraId="4A97D07B">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8</w:t>
            </w:r>
            <w:r>
              <w:rPr>
                <w:rFonts w:ascii="Times New Roman" w:hAnsi="Times New Roman" w:cs="Times New Roman"/>
                <w:color w:val="auto"/>
                <w:sz w:val="18"/>
                <w:szCs w:val="18"/>
              </w:rPr>
              <w:t>.0~</w:t>
            </w:r>
            <w:r>
              <w:rPr>
                <w:rFonts w:hint="eastAsia" w:ascii="Times New Roman" w:hAnsi="Times New Roman" w:cs="Times New Roman"/>
                <w:color w:val="auto"/>
                <w:sz w:val="18"/>
                <w:szCs w:val="18"/>
              </w:rPr>
              <w:t>8</w:t>
            </w:r>
            <w:r>
              <w:rPr>
                <w:rFonts w:ascii="Times New Roman" w:hAnsi="Times New Roman" w:cs="Times New Roman"/>
                <w:color w:val="auto"/>
                <w:sz w:val="18"/>
                <w:szCs w:val="18"/>
              </w:rPr>
              <w:t>.5</w:t>
            </w:r>
          </w:p>
        </w:tc>
        <w:tc>
          <w:tcPr>
            <w:tcW w:w="3153" w:type="dxa"/>
            <w:vAlign w:val="center"/>
          </w:tcPr>
          <w:p w14:paraId="741E3996">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7</w:t>
            </w:r>
            <w:r>
              <w:rPr>
                <w:rFonts w:ascii="Times New Roman" w:hAnsi="Times New Roman" w:cs="Times New Roman"/>
                <w:color w:val="auto"/>
                <w:sz w:val="18"/>
                <w:szCs w:val="18"/>
              </w:rPr>
              <w:t>.0~</w:t>
            </w:r>
            <w:r>
              <w:rPr>
                <w:rFonts w:hint="eastAsia" w:ascii="Times New Roman" w:hAnsi="Times New Roman" w:cs="Times New Roman"/>
                <w:color w:val="auto"/>
                <w:sz w:val="18"/>
                <w:szCs w:val="18"/>
              </w:rPr>
              <w:t>7</w:t>
            </w:r>
            <w:r>
              <w:rPr>
                <w:rFonts w:ascii="Times New Roman" w:hAnsi="Times New Roman" w:cs="Times New Roman"/>
                <w:color w:val="auto"/>
                <w:sz w:val="18"/>
                <w:szCs w:val="18"/>
              </w:rPr>
              <w:t>.5</w:t>
            </w:r>
          </w:p>
        </w:tc>
      </w:tr>
      <w:tr w14:paraId="4DD35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060F93BD">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6,000</w:t>
            </w:r>
          </w:p>
        </w:tc>
        <w:tc>
          <w:tcPr>
            <w:tcW w:w="3085" w:type="dxa"/>
            <w:vAlign w:val="center"/>
          </w:tcPr>
          <w:p w14:paraId="79DB3AED">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8</w:t>
            </w:r>
            <w:r>
              <w:rPr>
                <w:rFonts w:ascii="Times New Roman" w:hAnsi="Times New Roman" w:cs="Times New Roman"/>
                <w:color w:val="auto"/>
                <w:sz w:val="18"/>
                <w:szCs w:val="18"/>
              </w:rPr>
              <w:t>.5~</w:t>
            </w:r>
            <w:r>
              <w:rPr>
                <w:rFonts w:hint="eastAsia" w:ascii="Times New Roman" w:hAnsi="Times New Roman" w:cs="Times New Roman"/>
                <w:color w:val="auto"/>
                <w:sz w:val="18"/>
                <w:szCs w:val="18"/>
              </w:rPr>
              <w:t>9</w:t>
            </w:r>
            <w:r>
              <w:rPr>
                <w:rFonts w:ascii="Times New Roman" w:hAnsi="Times New Roman" w:cs="Times New Roman"/>
                <w:color w:val="auto"/>
                <w:sz w:val="18"/>
                <w:szCs w:val="18"/>
              </w:rPr>
              <w:t>.0</w:t>
            </w:r>
          </w:p>
        </w:tc>
        <w:tc>
          <w:tcPr>
            <w:tcW w:w="3153" w:type="dxa"/>
            <w:vAlign w:val="center"/>
          </w:tcPr>
          <w:p w14:paraId="6BA85A4D">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7</w:t>
            </w:r>
            <w:r>
              <w:rPr>
                <w:rFonts w:ascii="Times New Roman" w:hAnsi="Times New Roman" w:cs="Times New Roman"/>
                <w:color w:val="auto"/>
                <w:sz w:val="18"/>
                <w:szCs w:val="18"/>
              </w:rPr>
              <w:t>.5~</w:t>
            </w:r>
            <w:r>
              <w:rPr>
                <w:rFonts w:hint="eastAsia" w:ascii="Times New Roman" w:hAnsi="Times New Roman" w:cs="Times New Roman"/>
                <w:color w:val="auto"/>
                <w:sz w:val="18"/>
                <w:szCs w:val="18"/>
              </w:rPr>
              <w:t>8</w:t>
            </w:r>
            <w:r>
              <w:rPr>
                <w:rFonts w:ascii="Times New Roman" w:hAnsi="Times New Roman" w:cs="Times New Roman"/>
                <w:color w:val="auto"/>
                <w:sz w:val="18"/>
                <w:szCs w:val="18"/>
              </w:rPr>
              <w:t>.0</w:t>
            </w:r>
          </w:p>
        </w:tc>
      </w:tr>
      <w:tr w14:paraId="51A5A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2BCD8519">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8,000</w:t>
            </w:r>
          </w:p>
        </w:tc>
        <w:tc>
          <w:tcPr>
            <w:tcW w:w="3085" w:type="dxa"/>
            <w:vAlign w:val="center"/>
          </w:tcPr>
          <w:p w14:paraId="2732C8E4">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9</w:t>
            </w:r>
            <w:r>
              <w:rPr>
                <w:rFonts w:ascii="Times New Roman" w:hAnsi="Times New Roman" w:cs="Times New Roman"/>
                <w:color w:val="auto"/>
                <w:sz w:val="18"/>
                <w:szCs w:val="18"/>
              </w:rPr>
              <w:t>.0~</w:t>
            </w:r>
            <w:r>
              <w:rPr>
                <w:rFonts w:hint="eastAsia" w:ascii="Times New Roman" w:hAnsi="Times New Roman" w:cs="Times New Roman"/>
                <w:color w:val="auto"/>
                <w:sz w:val="18"/>
                <w:szCs w:val="18"/>
              </w:rPr>
              <w:t>9</w:t>
            </w:r>
            <w:r>
              <w:rPr>
                <w:rFonts w:ascii="Times New Roman" w:hAnsi="Times New Roman" w:cs="Times New Roman"/>
                <w:color w:val="auto"/>
                <w:sz w:val="18"/>
                <w:szCs w:val="18"/>
              </w:rPr>
              <w:t>.5</w:t>
            </w:r>
          </w:p>
        </w:tc>
        <w:tc>
          <w:tcPr>
            <w:tcW w:w="3153" w:type="dxa"/>
            <w:vAlign w:val="center"/>
          </w:tcPr>
          <w:p w14:paraId="0AAF0A69">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8</w:t>
            </w:r>
            <w:r>
              <w:rPr>
                <w:rFonts w:ascii="Times New Roman" w:hAnsi="Times New Roman" w:cs="Times New Roman"/>
                <w:color w:val="auto"/>
                <w:sz w:val="18"/>
                <w:szCs w:val="18"/>
              </w:rPr>
              <w:t>.0~</w:t>
            </w:r>
            <w:r>
              <w:rPr>
                <w:rFonts w:hint="eastAsia" w:ascii="Times New Roman" w:hAnsi="Times New Roman" w:cs="Times New Roman"/>
                <w:color w:val="auto"/>
                <w:sz w:val="18"/>
                <w:szCs w:val="18"/>
              </w:rPr>
              <w:t>8</w:t>
            </w:r>
            <w:r>
              <w:rPr>
                <w:rFonts w:ascii="Times New Roman" w:hAnsi="Times New Roman" w:cs="Times New Roman"/>
                <w:color w:val="auto"/>
                <w:sz w:val="18"/>
                <w:szCs w:val="18"/>
              </w:rPr>
              <w:t>.5</w:t>
            </w:r>
          </w:p>
        </w:tc>
      </w:tr>
      <w:tr w14:paraId="343F67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73678D35">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10,000</w:t>
            </w:r>
          </w:p>
        </w:tc>
        <w:tc>
          <w:tcPr>
            <w:tcW w:w="3085" w:type="dxa"/>
            <w:vAlign w:val="center"/>
          </w:tcPr>
          <w:p w14:paraId="4ACADF27">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9</w:t>
            </w:r>
            <w:r>
              <w:rPr>
                <w:rFonts w:ascii="Times New Roman" w:hAnsi="Times New Roman" w:cs="Times New Roman"/>
                <w:color w:val="auto"/>
                <w:sz w:val="18"/>
                <w:szCs w:val="18"/>
              </w:rPr>
              <w:t>.5~1</w:t>
            </w:r>
            <w:r>
              <w:rPr>
                <w:rFonts w:hint="eastAsia" w:ascii="Times New Roman" w:hAnsi="Times New Roman" w:cs="Times New Roman"/>
                <w:color w:val="auto"/>
                <w:sz w:val="18"/>
                <w:szCs w:val="18"/>
              </w:rPr>
              <w:t>0</w:t>
            </w:r>
            <w:r>
              <w:rPr>
                <w:rFonts w:ascii="Times New Roman" w:hAnsi="Times New Roman" w:cs="Times New Roman"/>
                <w:color w:val="auto"/>
                <w:sz w:val="18"/>
                <w:szCs w:val="18"/>
              </w:rPr>
              <w:t>.0</w:t>
            </w:r>
          </w:p>
        </w:tc>
        <w:tc>
          <w:tcPr>
            <w:tcW w:w="3153" w:type="dxa"/>
            <w:vAlign w:val="center"/>
          </w:tcPr>
          <w:p w14:paraId="567F3217">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8</w:t>
            </w:r>
            <w:r>
              <w:rPr>
                <w:rFonts w:ascii="Times New Roman" w:hAnsi="Times New Roman" w:cs="Times New Roman"/>
                <w:color w:val="auto"/>
                <w:sz w:val="18"/>
                <w:szCs w:val="18"/>
              </w:rPr>
              <w:t>.5~</w:t>
            </w:r>
            <w:r>
              <w:rPr>
                <w:rFonts w:hint="eastAsia" w:ascii="Times New Roman" w:hAnsi="Times New Roman" w:cs="Times New Roman"/>
                <w:color w:val="auto"/>
                <w:sz w:val="18"/>
                <w:szCs w:val="18"/>
              </w:rPr>
              <w:t>9</w:t>
            </w:r>
            <w:r>
              <w:rPr>
                <w:rFonts w:ascii="Times New Roman" w:hAnsi="Times New Roman" w:cs="Times New Roman"/>
                <w:color w:val="auto"/>
                <w:sz w:val="18"/>
                <w:szCs w:val="18"/>
              </w:rPr>
              <w:t>.0</w:t>
            </w:r>
          </w:p>
        </w:tc>
      </w:tr>
      <w:tr w14:paraId="13508C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7" w:type="dxa"/>
            <w:vAlign w:val="center"/>
          </w:tcPr>
          <w:p w14:paraId="493E0D77">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12,000</w:t>
            </w:r>
          </w:p>
        </w:tc>
        <w:tc>
          <w:tcPr>
            <w:tcW w:w="3085" w:type="dxa"/>
            <w:vAlign w:val="center"/>
          </w:tcPr>
          <w:p w14:paraId="7A382490">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1</w:t>
            </w:r>
            <w:r>
              <w:rPr>
                <w:rFonts w:hint="eastAsia" w:ascii="Times New Roman" w:hAnsi="Times New Roman" w:cs="Times New Roman"/>
                <w:color w:val="auto"/>
                <w:sz w:val="18"/>
                <w:szCs w:val="18"/>
              </w:rPr>
              <w:t>0</w:t>
            </w:r>
            <w:r>
              <w:rPr>
                <w:rFonts w:ascii="Times New Roman" w:hAnsi="Times New Roman" w:cs="Times New Roman"/>
                <w:color w:val="auto"/>
                <w:sz w:val="18"/>
                <w:szCs w:val="18"/>
              </w:rPr>
              <w:t>.0~1</w:t>
            </w:r>
            <w:r>
              <w:rPr>
                <w:rFonts w:hint="eastAsia" w:ascii="Times New Roman" w:hAnsi="Times New Roman" w:cs="Times New Roman"/>
                <w:color w:val="auto"/>
                <w:sz w:val="18"/>
                <w:szCs w:val="18"/>
              </w:rPr>
              <w:t>1</w:t>
            </w:r>
            <w:r>
              <w:rPr>
                <w:rFonts w:ascii="Times New Roman" w:hAnsi="Times New Roman" w:cs="Times New Roman"/>
                <w:color w:val="auto"/>
                <w:sz w:val="18"/>
                <w:szCs w:val="18"/>
              </w:rPr>
              <w:t>.0</w:t>
            </w:r>
          </w:p>
        </w:tc>
        <w:tc>
          <w:tcPr>
            <w:tcW w:w="3153" w:type="dxa"/>
            <w:vAlign w:val="center"/>
          </w:tcPr>
          <w:p w14:paraId="0E94BDCC">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hint="eastAsia" w:ascii="Times New Roman" w:hAnsi="Times New Roman" w:cs="Times New Roman"/>
                <w:color w:val="auto"/>
                <w:sz w:val="18"/>
                <w:szCs w:val="18"/>
              </w:rPr>
              <w:t>9</w:t>
            </w:r>
            <w:r>
              <w:rPr>
                <w:rFonts w:ascii="Times New Roman" w:hAnsi="Times New Roman" w:cs="Times New Roman"/>
                <w:color w:val="auto"/>
                <w:sz w:val="18"/>
                <w:szCs w:val="18"/>
              </w:rPr>
              <w:t>.0~1</w:t>
            </w:r>
            <w:r>
              <w:rPr>
                <w:rFonts w:hint="eastAsia" w:ascii="Times New Roman" w:hAnsi="Times New Roman" w:cs="Times New Roman"/>
                <w:color w:val="auto"/>
                <w:sz w:val="18"/>
                <w:szCs w:val="18"/>
              </w:rPr>
              <w:t>0</w:t>
            </w:r>
            <w:r>
              <w:rPr>
                <w:rFonts w:ascii="Times New Roman" w:hAnsi="Times New Roman" w:cs="Times New Roman"/>
                <w:color w:val="auto"/>
                <w:sz w:val="18"/>
                <w:szCs w:val="18"/>
              </w:rPr>
              <w:t>.0</w:t>
            </w:r>
          </w:p>
        </w:tc>
      </w:tr>
      <w:tr w14:paraId="441044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105" w:type="dxa"/>
            <w:gridSpan w:val="3"/>
            <w:vAlign w:val="center"/>
          </w:tcPr>
          <w:p w14:paraId="558C3054">
            <w:pPr>
              <w:pStyle w:val="33"/>
              <w:adjustRightInd w:val="0"/>
              <w:snapToGrid w:val="0"/>
              <w:spacing w:before="0" w:beforeAutospacing="0" w:after="0" w:afterAutospacing="0" w:line="240" w:lineRule="auto"/>
              <w:ind w:left="360" w:hanging="360"/>
              <w:rPr>
                <w:rFonts w:ascii="Times New Roman" w:hAnsi="Times New Roman" w:cs="Times New Roman"/>
                <w:color w:val="auto"/>
                <w:sz w:val="18"/>
                <w:szCs w:val="18"/>
              </w:rPr>
            </w:pPr>
            <w:r>
              <w:rPr>
                <w:rFonts w:ascii="Times New Roman" w:hAnsi="Times New Roman" w:cs="Times New Roman"/>
                <w:color w:val="auto"/>
                <w:sz w:val="18"/>
                <w:szCs w:val="18"/>
              </w:rPr>
              <w:t>注：强夯法的有效加固深度应从最初起夯面算起；单击夯击能</w:t>
            </w:r>
            <w:r>
              <w:rPr>
                <w:rFonts w:ascii="Times New Roman" w:hAnsi="Times New Roman" w:cs="Times New Roman"/>
                <w:i/>
                <w:color w:val="auto"/>
                <w:sz w:val="18"/>
                <w:szCs w:val="18"/>
              </w:rPr>
              <w:t>E</w:t>
            </w:r>
            <w:r>
              <w:rPr>
                <w:rFonts w:ascii="Times New Roman" w:hAnsi="Times New Roman" w:cs="Times New Roman"/>
                <w:color w:val="auto"/>
                <w:sz w:val="18"/>
                <w:szCs w:val="18"/>
              </w:rPr>
              <w:t>（</w:t>
            </w:r>
            <w:r>
              <w:rPr>
                <w:rFonts w:ascii="Times New Roman" w:hAnsi="Times New Roman" w:cs="Times New Roman"/>
                <w:color w:val="auto"/>
                <w:sz w:val="21"/>
                <w:szCs w:val="21"/>
              </w:rPr>
              <w:t>kN·m</w:t>
            </w:r>
            <w:r>
              <w:rPr>
                <w:rFonts w:ascii="Times New Roman" w:hAnsi="Times New Roman" w:cs="Times New Roman"/>
                <w:color w:val="auto"/>
                <w:sz w:val="18"/>
                <w:szCs w:val="18"/>
              </w:rPr>
              <w:t>）大于</w:t>
            </w:r>
            <w:r>
              <w:rPr>
                <w:rFonts w:ascii="Times New Roman" w:hAnsi="Times New Roman" w:cs="Times New Roman"/>
                <w:color w:val="auto"/>
                <w:sz w:val="21"/>
                <w:szCs w:val="21"/>
              </w:rPr>
              <w:t>12,000</w:t>
            </w:r>
            <w:r>
              <w:rPr>
                <w:rFonts w:ascii="Times New Roman" w:hAnsi="Times New Roman" w:cs="Times New Roman"/>
                <w:color w:val="auto"/>
                <w:sz w:val="18"/>
                <w:szCs w:val="18"/>
              </w:rPr>
              <w:t>时，强夯的有效加固深度应通过试验确定。</w:t>
            </w:r>
          </w:p>
        </w:tc>
      </w:tr>
    </w:tbl>
    <w:p w14:paraId="0B39AD36">
      <w:pPr>
        <w:pStyle w:val="33"/>
        <w:spacing w:before="240" w:beforeAutospacing="0" w:after="0" w:afterAutospacing="0" w:line="340" w:lineRule="atLeast"/>
        <w:ind w:left="195" w:leftChars="93" w:firstLine="211" w:firstLineChars="100"/>
        <w:rPr>
          <w:rFonts w:ascii="Times New Roman" w:hAnsi="Times New Roman" w:cs="Times New Roman"/>
          <w:color w:val="auto"/>
          <w:sz w:val="21"/>
          <w:szCs w:val="21"/>
        </w:rPr>
      </w:pPr>
      <w:r>
        <w:rPr>
          <w:rFonts w:ascii="Times New Roman" w:hAnsi="Times New Roman" w:cs="Times New Roman"/>
          <w:b/>
          <w:color w:val="auto"/>
          <w:sz w:val="21"/>
          <w:szCs w:val="21"/>
        </w:rPr>
        <w:t>b)</w:t>
      </w:r>
      <w:r>
        <w:rPr>
          <w:rFonts w:ascii="Times New Roman" w:hAnsi="Times New Roman" w:cs="Times New Roman"/>
          <w:color w:val="auto"/>
          <w:sz w:val="21"/>
          <w:szCs w:val="21"/>
        </w:rPr>
        <w:t xml:space="preserve"> 夯点的夯击次数，应按现场试夯得到的夯击次数和夯沉量关系曲线确定，并应同时满足下列条件：</w:t>
      </w:r>
    </w:p>
    <w:p w14:paraId="3E947C90">
      <w:pPr>
        <w:pStyle w:val="33"/>
        <w:spacing w:before="0" w:beforeAutospacing="0" w:after="0" w:afterAutospacing="0" w:line="340" w:lineRule="atLeast"/>
        <w:ind w:left="99" w:leftChars="47" w:firstLine="641" w:firstLineChars="304"/>
        <w:rPr>
          <w:rFonts w:ascii="Times New Roman" w:hAnsi="Times New Roman" w:cs="Times New Roman"/>
          <w:color w:val="auto"/>
          <w:sz w:val="21"/>
          <w:szCs w:val="21"/>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最后两击的平均夯沉量宜符合表29的要求，当单击夯击能</w:t>
      </w:r>
      <w:r>
        <w:rPr>
          <w:rFonts w:ascii="Times New Roman" w:hAnsi="Times New Roman" w:cs="Times New Roman"/>
          <w:i/>
          <w:color w:val="auto"/>
          <w:sz w:val="21"/>
          <w:szCs w:val="21"/>
        </w:rPr>
        <w:t>E</w:t>
      </w:r>
      <w:r>
        <w:rPr>
          <w:rFonts w:ascii="Times New Roman" w:hAnsi="Times New Roman" w:cs="Times New Roman"/>
          <w:color w:val="auto"/>
          <w:sz w:val="18"/>
          <w:szCs w:val="18"/>
        </w:rPr>
        <w:t xml:space="preserve"> （</w:t>
      </w:r>
      <w:r>
        <w:rPr>
          <w:rFonts w:ascii="Times New Roman" w:hAnsi="Times New Roman" w:cs="Times New Roman"/>
          <w:color w:val="auto"/>
          <w:sz w:val="21"/>
          <w:szCs w:val="21"/>
        </w:rPr>
        <w:t>kN·m</w:t>
      </w:r>
      <w:r>
        <w:rPr>
          <w:rFonts w:ascii="Times New Roman" w:hAnsi="Times New Roman" w:cs="Times New Roman"/>
          <w:color w:val="auto"/>
          <w:sz w:val="18"/>
          <w:szCs w:val="18"/>
        </w:rPr>
        <w:t>）</w:t>
      </w:r>
      <w:r>
        <w:rPr>
          <w:rFonts w:ascii="Times New Roman" w:hAnsi="Times New Roman" w:cs="Times New Roman"/>
          <w:color w:val="auto"/>
          <w:sz w:val="21"/>
          <w:szCs w:val="21"/>
        </w:rPr>
        <w:t xml:space="preserve"> 大于12,000时，应通过试验确定；</w:t>
      </w:r>
    </w:p>
    <w:p w14:paraId="3FECA773">
      <w:pPr>
        <w:pStyle w:val="33"/>
        <w:spacing w:before="240" w:beforeAutospacing="0" w:after="0" w:afterAutospacing="0" w:line="400" w:lineRule="atLeast"/>
        <w:ind w:firstLine="211" w:firstLineChars="100"/>
        <w:jc w:val="center"/>
        <w:rPr>
          <w:rFonts w:ascii="Times New Roman" w:hAnsi="Times New Roman" w:cs="Times New Roman"/>
          <w:b/>
          <w:color w:val="auto"/>
          <w:sz w:val="21"/>
          <w:szCs w:val="21"/>
        </w:rPr>
      </w:pPr>
      <w:r>
        <w:rPr>
          <w:rFonts w:hint="eastAsia" w:ascii="Times New Roman" w:hAnsi="Times New Roman" w:eastAsia="黑体" w:cs="Times New Roman"/>
          <w:b/>
          <w:color w:val="auto"/>
          <w:sz w:val="21"/>
          <w:szCs w:val="21"/>
        </w:rPr>
        <w:t xml:space="preserve">         </w:t>
      </w:r>
      <w:r>
        <w:rPr>
          <w:rFonts w:ascii="Times New Roman" w:hAnsi="Times New Roman" w:eastAsia="黑体" w:cs="Times New Roman"/>
          <w:b/>
          <w:color w:val="auto"/>
          <w:sz w:val="21"/>
          <w:szCs w:val="21"/>
        </w:rPr>
        <w:t>表</w:t>
      </w:r>
      <w:r>
        <w:rPr>
          <w:rFonts w:ascii="Times New Roman" w:hAnsi="Times New Roman" w:cs="Times New Roman"/>
          <w:b/>
          <w:color w:val="auto"/>
          <w:sz w:val="21"/>
          <w:szCs w:val="21"/>
        </w:rPr>
        <w:t xml:space="preserve">29   </w:t>
      </w:r>
      <w:r>
        <w:rPr>
          <w:rFonts w:ascii="Times New Roman" w:hAnsi="Times New Roman" w:eastAsia="黑体" w:cs="Times New Roman"/>
          <w:b/>
          <w:color w:val="auto"/>
          <w:sz w:val="21"/>
          <w:szCs w:val="21"/>
        </w:rPr>
        <w:t>强夯法最后两击平均夯沉量</w:t>
      </w:r>
      <w:r>
        <w:rPr>
          <w:rFonts w:hint="eastAsia" w:ascii="Times New Roman" w:hAnsi="Times New Roman" w:eastAsia="黑体" w:cs="Times New Roman"/>
          <w:b/>
          <w:color w:val="auto"/>
          <w:sz w:val="21"/>
          <w:szCs w:val="21"/>
        </w:rPr>
        <w:t xml:space="preserve">        单位为</w:t>
      </w:r>
      <w:r>
        <w:rPr>
          <w:rFonts w:ascii="Times New Roman" w:hAnsi="Times New Roman" w:eastAsia="黑体" w:cs="Times New Roman"/>
          <w:b/>
          <w:color w:val="auto"/>
          <w:sz w:val="21"/>
          <w:szCs w:val="21"/>
        </w:rPr>
        <w:t>（mm）</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597"/>
        <w:gridCol w:w="4451"/>
      </w:tblGrid>
      <w:tr w14:paraId="119AB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597" w:type="dxa"/>
            <w:vAlign w:val="center"/>
          </w:tcPr>
          <w:p w14:paraId="4E93F01A">
            <w:pPr>
              <w:autoSpaceDE w:val="0"/>
              <w:autoSpaceDN w:val="0"/>
              <w:adjustRightInd w:val="0"/>
              <w:spacing w:line="330" w:lineRule="exact"/>
              <w:ind w:left="360" w:hanging="360"/>
              <w:jc w:val="center"/>
              <w:rPr>
                <w:color w:val="auto"/>
                <w:kern w:val="0"/>
                <w:sz w:val="18"/>
                <w:szCs w:val="18"/>
              </w:rPr>
            </w:pPr>
            <w:r>
              <w:rPr>
                <w:color w:val="auto"/>
                <w:kern w:val="0"/>
                <w:sz w:val="18"/>
                <w:szCs w:val="18"/>
              </w:rPr>
              <w:t xml:space="preserve">单击夯击能 </w:t>
            </w:r>
            <w:r>
              <w:rPr>
                <w:i/>
                <w:color w:val="auto"/>
                <w:kern w:val="0"/>
                <w:sz w:val="18"/>
                <w:szCs w:val="18"/>
              </w:rPr>
              <w:t>E</w:t>
            </w:r>
            <w:r>
              <w:rPr>
                <w:color w:val="auto"/>
                <w:kern w:val="0"/>
                <w:sz w:val="18"/>
                <w:szCs w:val="18"/>
              </w:rPr>
              <w:t xml:space="preserve"> （kN·m）</w:t>
            </w:r>
          </w:p>
        </w:tc>
        <w:tc>
          <w:tcPr>
            <w:tcW w:w="4451" w:type="dxa"/>
            <w:vAlign w:val="center"/>
          </w:tcPr>
          <w:p w14:paraId="103756A1">
            <w:pPr>
              <w:autoSpaceDE w:val="0"/>
              <w:autoSpaceDN w:val="0"/>
              <w:adjustRightInd w:val="0"/>
              <w:spacing w:line="330" w:lineRule="exact"/>
              <w:ind w:left="360" w:hanging="360"/>
              <w:jc w:val="center"/>
              <w:rPr>
                <w:color w:val="auto"/>
                <w:kern w:val="0"/>
                <w:sz w:val="18"/>
                <w:szCs w:val="18"/>
              </w:rPr>
            </w:pPr>
            <w:r>
              <w:rPr>
                <w:color w:val="auto"/>
                <w:kern w:val="0"/>
                <w:sz w:val="18"/>
                <w:szCs w:val="18"/>
              </w:rPr>
              <w:t>最后两击平均夯沉量不大于（mm）</w:t>
            </w:r>
          </w:p>
        </w:tc>
      </w:tr>
      <w:tr w14:paraId="5141F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597" w:type="dxa"/>
            <w:vAlign w:val="center"/>
          </w:tcPr>
          <w:p w14:paraId="25E8586C">
            <w:pPr>
              <w:autoSpaceDE w:val="0"/>
              <w:autoSpaceDN w:val="0"/>
              <w:adjustRightInd w:val="0"/>
              <w:spacing w:line="330" w:lineRule="exact"/>
              <w:ind w:left="360" w:hanging="360"/>
              <w:jc w:val="center"/>
              <w:rPr>
                <w:color w:val="auto"/>
                <w:kern w:val="0"/>
                <w:sz w:val="18"/>
                <w:szCs w:val="18"/>
              </w:rPr>
            </w:pPr>
            <w:r>
              <w:rPr>
                <w:i/>
                <w:color w:val="auto"/>
                <w:kern w:val="0"/>
                <w:sz w:val="18"/>
                <w:szCs w:val="18"/>
              </w:rPr>
              <w:t>E</w:t>
            </w:r>
            <w:r>
              <w:rPr>
                <w:color w:val="auto"/>
                <w:kern w:val="0"/>
                <w:sz w:val="18"/>
                <w:szCs w:val="18"/>
              </w:rPr>
              <w:t>＜4,000</w:t>
            </w:r>
          </w:p>
        </w:tc>
        <w:tc>
          <w:tcPr>
            <w:tcW w:w="4451" w:type="dxa"/>
            <w:vAlign w:val="center"/>
          </w:tcPr>
          <w:p w14:paraId="6E08784C">
            <w:pPr>
              <w:autoSpaceDE w:val="0"/>
              <w:autoSpaceDN w:val="0"/>
              <w:adjustRightInd w:val="0"/>
              <w:spacing w:line="330" w:lineRule="exact"/>
              <w:ind w:left="360" w:hanging="360"/>
              <w:jc w:val="center"/>
              <w:rPr>
                <w:color w:val="auto"/>
                <w:kern w:val="0"/>
                <w:sz w:val="18"/>
                <w:szCs w:val="18"/>
              </w:rPr>
            </w:pPr>
            <w:r>
              <w:rPr>
                <w:color w:val="auto"/>
                <w:kern w:val="0"/>
                <w:sz w:val="18"/>
                <w:szCs w:val="18"/>
              </w:rPr>
              <w:t>50</w:t>
            </w:r>
          </w:p>
        </w:tc>
      </w:tr>
      <w:tr w14:paraId="451D83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597" w:type="dxa"/>
            <w:vAlign w:val="center"/>
          </w:tcPr>
          <w:p w14:paraId="06639F75">
            <w:pPr>
              <w:autoSpaceDE w:val="0"/>
              <w:autoSpaceDN w:val="0"/>
              <w:adjustRightInd w:val="0"/>
              <w:spacing w:line="330" w:lineRule="exact"/>
              <w:ind w:left="360" w:hanging="360"/>
              <w:jc w:val="center"/>
              <w:rPr>
                <w:color w:val="auto"/>
                <w:kern w:val="0"/>
                <w:sz w:val="18"/>
                <w:szCs w:val="18"/>
              </w:rPr>
            </w:pPr>
            <w:r>
              <w:rPr>
                <w:color w:val="auto"/>
                <w:kern w:val="0"/>
                <w:sz w:val="18"/>
                <w:szCs w:val="18"/>
              </w:rPr>
              <w:t>4,000≤</w:t>
            </w:r>
            <w:r>
              <w:rPr>
                <w:i/>
                <w:color w:val="auto"/>
                <w:kern w:val="0"/>
                <w:sz w:val="18"/>
                <w:szCs w:val="18"/>
              </w:rPr>
              <w:t>E</w:t>
            </w:r>
            <w:r>
              <w:rPr>
                <w:color w:val="auto"/>
                <w:kern w:val="0"/>
                <w:sz w:val="18"/>
                <w:szCs w:val="18"/>
              </w:rPr>
              <w:t>＜6,000</w:t>
            </w:r>
          </w:p>
        </w:tc>
        <w:tc>
          <w:tcPr>
            <w:tcW w:w="4451" w:type="dxa"/>
            <w:vAlign w:val="center"/>
          </w:tcPr>
          <w:p w14:paraId="01499949">
            <w:pPr>
              <w:autoSpaceDE w:val="0"/>
              <w:autoSpaceDN w:val="0"/>
              <w:adjustRightInd w:val="0"/>
              <w:spacing w:line="330" w:lineRule="exact"/>
              <w:ind w:left="360" w:hanging="360"/>
              <w:jc w:val="center"/>
              <w:rPr>
                <w:color w:val="auto"/>
                <w:kern w:val="0"/>
                <w:sz w:val="18"/>
                <w:szCs w:val="18"/>
              </w:rPr>
            </w:pPr>
            <w:r>
              <w:rPr>
                <w:color w:val="auto"/>
                <w:kern w:val="0"/>
                <w:sz w:val="18"/>
                <w:szCs w:val="18"/>
              </w:rPr>
              <w:t>100</w:t>
            </w:r>
          </w:p>
        </w:tc>
      </w:tr>
      <w:tr w14:paraId="67F867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597" w:type="dxa"/>
            <w:vAlign w:val="center"/>
          </w:tcPr>
          <w:p w14:paraId="23CD9DD6">
            <w:pPr>
              <w:autoSpaceDE w:val="0"/>
              <w:autoSpaceDN w:val="0"/>
              <w:adjustRightInd w:val="0"/>
              <w:spacing w:line="330" w:lineRule="exact"/>
              <w:ind w:left="360" w:hanging="360"/>
              <w:jc w:val="center"/>
              <w:rPr>
                <w:color w:val="auto"/>
                <w:kern w:val="0"/>
                <w:sz w:val="18"/>
                <w:szCs w:val="18"/>
              </w:rPr>
            </w:pPr>
            <w:r>
              <w:rPr>
                <w:color w:val="auto"/>
                <w:kern w:val="0"/>
                <w:sz w:val="18"/>
                <w:szCs w:val="18"/>
              </w:rPr>
              <w:t>6,000≤</w:t>
            </w:r>
            <w:r>
              <w:rPr>
                <w:i/>
                <w:color w:val="auto"/>
                <w:kern w:val="0"/>
                <w:sz w:val="18"/>
                <w:szCs w:val="18"/>
              </w:rPr>
              <w:t>E</w:t>
            </w:r>
            <w:r>
              <w:rPr>
                <w:color w:val="auto"/>
                <w:kern w:val="0"/>
                <w:sz w:val="18"/>
                <w:szCs w:val="18"/>
              </w:rPr>
              <w:t>＜8,000</w:t>
            </w:r>
          </w:p>
        </w:tc>
        <w:tc>
          <w:tcPr>
            <w:tcW w:w="4451" w:type="dxa"/>
            <w:vAlign w:val="center"/>
          </w:tcPr>
          <w:p w14:paraId="0EA8D6AE">
            <w:pPr>
              <w:autoSpaceDE w:val="0"/>
              <w:autoSpaceDN w:val="0"/>
              <w:adjustRightInd w:val="0"/>
              <w:spacing w:line="330" w:lineRule="exact"/>
              <w:ind w:left="360" w:hanging="360"/>
              <w:jc w:val="center"/>
              <w:rPr>
                <w:color w:val="auto"/>
                <w:kern w:val="0"/>
                <w:sz w:val="18"/>
                <w:szCs w:val="18"/>
              </w:rPr>
            </w:pPr>
            <w:r>
              <w:rPr>
                <w:color w:val="auto"/>
                <w:kern w:val="0"/>
                <w:sz w:val="18"/>
                <w:szCs w:val="18"/>
              </w:rPr>
              <w:t>150</w:t>
            </w:r>
          </w:p>
        </w:tc>
      </w:tr>
      <w:tr w14:paraId="54414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597" w:type="dxa"/>
            <w:vAlign w:val="center"/>
          </w:tcPr>
          <w:p w14:paraId="7167AC9F">
            <w:pPr>
              <w:autoSpaceDE w:val="0"/>
              <w:autoSpaceDN w:val="0"/>
              <w:adjustRightInd w:val="0"/>
              <w:spacing w:line="330" w:lineRule="exact"/>
              <w:ind w:left="360" w:hanging="360"/>
              <w:jc w:val="center"/>
              <w:rPr>
                <w:color w:val="auto"/>
                <w:kern w:val="0"/>
                <w:sz w:val="18"/>
                <w:szCs w:val="18"/>
              </w:rPr>
            </w:pPr>
            <w:bookmarkStart w:id="31" w:name="OLE_LINK5"/>
            <w:bookmarkStart w:id="32" w:name="OLE_LINK6"/>
            <w:r>
              <w:rPr>
                <w:color w:val="auto"/>
                <w:kern w:val="0"/>
                <w:sz w:val="18"/>
                <w:szCs w:val="18"/>
              </w:rPr>
              <w:t>8,000≤</w:t>
            </w:r>
            <w:r>
              <w:rPr>
                <w:i/>
                <w:color w:val="auto"/>
                <w:kern w:val="0"/>
                <w:sz w:val="18"/>
                <w:szCs w:val="18"/>
              </w:rPr>
              <w:t>E</w:t>
            </w:r>
            <w:r>
              <w:rPr>
                <w:color w:val="auto"/>
                <w:kern w:val="0"/>
                <w:sz w:val="18"/>
                <w:szCs w:val="18"/>
              </w:rPr>
              <w:t>＜12,000</w:t>
            </w:r>
            <w:bookmarkEnd w:id="31"/>
            <w:bookmarkEnd w:id="32"/>
          </w:p>
        </w:tc>
        <w:tc>
          <w:tcPr>
            <w:tcW w:w="4451" w:type="dxa"/>
            <w:vAlign w:val="center"/>
          </w:tcPr>
          <w:p w14:paraId="352DC26E">
            <w:pPr>
              <w:autoSpaceDE w:val="0"/>
              <w:autoSpaceDN w:val="0"/>
              <w:adjustRightInd w:val="0"/>
              <w:spacing w:line="330" w:lineRule="exact"/>
              <w:ind w:left="360" w:hanging="360"/>
              <w:jc w:val="center"/>
              <w:rPr>
                <w:color w:val="auto"/>
                <w:kern w:val="0"/>
                <w:sz w:val="18"/>
                <w:szCs w:val="18"/>
              </w:rPr>
            </w:pPr>
            <w:r>
              <w:rPr>
                <w:color w:val="auto"/>
                <w:kern w:val="0"/>
                <w:sz w:val="18"/>
                <w:szCs w:val="18"/>
              </w:rPr>
              <w:t>200</w:t>
            </w:r>
          </w:p>
        </w:tc>
      </w:tr>
    </w:tbl>
    <w:p w14:paraId="2095024C">
      <w:pPr>
        <w:pStyle w:val="33"/>
        <w:widowControl w:val="0"/>
        <w:spacing w:before="240" w:beforeAutospacing="0" w:after="0" w:afterAutospacing="0" w:line="400" w:lineRule="atLeast"/>
        <w:ind w:left="1076" w:leftChars="353" w:hanging="335" w:hangingChars="159"/>
        <w:jc w:val="both"/>
        <w:rPr>
          <w:rFonts w:ascii="Times New Roman" w:hAnsi="Times New Roman" w:cs="Times New Roman"/>
          <w:color w:val="auto"/>
          <w:sz w:val="21"/>
          <w:szCs w:val="21"/>
        </w:rPr>
      </w:pPr>
      <w:r>
        <w:rPr>
          <w:rFonts w:ascii="Times New Roman" w:hAnsi="Times New Roman" w:cs="Times New Roman"/>
          <w:b/>
          <w:color w:val="auto"/>
          <w:sz w:val="21"/>
          <w:szCs w:val="21"/>
        </w:rPr>
        <w:t>2</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夯坑周围地面不应发生过大的隆起；</w:t>
      </w:r>
    </w:p>
    <w:p w14:paraId="0BC79E38">
      <w:pPr>
        <w:pStyle w:val="33"/>
        <w:widowControl w:val="0"/>
        <w:snapToGrid w:val="0"/>
        <w:spacing w:before="0" w:beforeAutospacing="0" w:after="0" w:afterAutospacing="0" w:line="340" w:lineRule="atLeast"/>
        <w:ind w:left="1076" w:leftChars="353" w:hanging="335" w:hangingChars="159"/>
        <w:jc w:val="both"/>
        <w:rPr>
          <w:rFonts w:ascii="Times New Roman" w:hAnsi="Times New Roman" w:cs="Times New Roman"/>
          <w:color w:val="auto"/>
          <w:sz w:val="21"/>
          <w:szCs w:val="21"/>
        </w:rPr>
      </w:pPr>
      <w:r>
        <w:rPr>
          <w:rFonts w:ascii="Times New Roman" w:hAnsi="Times New Roman" w:cs="Times New Roman"/>
          <w:b/>
          <w:color w:val="auto"/>
          <w:sz w:val="21"/>
          <w:szCs w:val="21"/>
        </w:rPr>
        <w:t>3</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不因夯坑过深而发生提锤困难。</w:t>
      </w:r>
    </w:p>
    <w:p w14:paraId="38E86A2B">
      <w:pPr>
        <w:pStyle w:val="33"/>
        <w:widowControl w:val="0"/>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c)</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夯击遍数应根据地基土的性质确定，可采用点夯（2～4）遍，对于渗透性较差的细颗粒土必要时可适当增加夯击遍数；最后以低能量满夯2遍，满夯可采用轻锤或低落距锤多次夯击，锤印搭接；</w:t>
      </w:r>
    </w:p>
    <w:p w14:paraId="5B7692DF">
      <w:pPr>
        <w:pStyle w:val="33"/>
        <w:widowControl w:val="0"/>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d)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两遍夯击之间应有一定的时间间隔，间隔时间取决于土中超静孔隙水压力的消散时间。当缺少实测资料时，可根据地基土的渗透性确定，对于渗透性较差的黏性土地基，间隔时间不应少于（2～3）周；对于渗透性好的地基可连续夯击；</w:t>
      </w:r>
    </w:p>
    <w:p w14:paraId="35A2B9F8">
      <w:pPr>
        <w:pStyle w:val="33"/>
        <w:widowControl w:val="0"/>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e)</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夯击点位置可根据基底平面形状，采用等边三角形、等腰三角形或正方形布置。第一遍夯击点间距可取夯锤直径的（2.5～3.5）倍，第二遍夯击点位于第一遍夯击点之间。以后各遍夯击点间距可适当减小。对处理深度较深或单击夯击能较大的工程，第一遍夯击点间距宜适当增大；</w:t>
      </w:r>
    </w:p>
    <w:p w14:paraId="2C4C9339">
      <w:pPr>
        <w:pStyle w:val="33"/>
        <w:widowControl w:val="0"/>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f)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强夯处理范围应大于建筑物基础范围，每边超出基础外缘的宽度宜为基底下设计处理深度的1/2至2/3，并不应小于3m；对可液化地基，基础边缘以外的处理宽度，不应小于5m； </w:t>
      </w:r>
    </w:p>
    <w:p w14:paraId="5662BD99">
      <w:pPr>
        <w:pStyle w:val="33"/>
        <w:widowControl w:val="0"/>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g)</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根据初步确定的强夯参数，提出强夯试验方案，进行现场试夯。应根据不同土质条件待试夯结束一至数周后，对试夯场地进行检测，并与夯前测试数据进行对比，检验强夯效果，确定工程采用的各项强夯参数；</w:t>
      </w:r>
    </w:p>
    <w:p w14:paraId="23294304">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h)</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根据基础埋深和试夯时所测得的夯沉量，确定起夯面标高、夯坑回填方式和夯后标高；</w:t>
      </w:r>
    </w:p>
    <w:p w14:paraId="21FCAFEF">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i)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强夯地基承载力特征值应通过现场静载荷试验、原位测试和土工试验，按现行国家标准GB 50007</w:t>
      </w:r>
      <w:r>
        <w:rPr>
          <w:rFonts w:hint="eastAsia" w:ascii="Times New Roman" w:hAnsi="Times New Roman" w:cs="Times New Roman"/>
          <w:color w:val="auto"/>
          <w:sz w:val="21"/>
          <w:szCs w:val="21"/>
          <w:lang w:val="en-US" w:eastAsia="zh-CN"/>
        </w:rPr>
        <w:t>:</w:t>
      </w:r>
      <w:r>
        <w:rPr>
          <w:rFonts w:ascii="Times New Roman" w:hAnsi="Times New Roman" w:cs="Times New Roman"/>
          <w:color w:val="auto"/>
          <w:sz w:val="21"/>
          <w:szCs w:val="21"/>
        </w:rPr>
        <w:t>有关规定确定，初步设计时可根据地区经验确定；</w:t>
      </w:r>
    </w:p>
    <w:p w14:paraId="241C1049">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j)</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强夯地基变形计算应符合现行国家标准GB 50007有关规定。夯后有效加固深度内土层的压缩模量应通过原位测试或土工试验确定。</w:t>
      </w:r>
    </w:p>
    <w:p w14:paraId="489DF803">
      <w:pPr>
        <w:snapToGrid w:val="0"/>
        <w:spacing w:line="340" w:lineRule="atLeast"/>
        <w:ind w:left="422" w:hanging="422"/>
        <w:rPr>
          <w:color w:val="auto"/>
        </w:rPr>
      </w:pPr>
      <w:r>
        <w:rPr>
          <w:b/>
          <w:color w:val="auto"/>
        </w:rPr>
        <w:t>9.5.4</w:t>
      </w:r>
      <w:r>
        <w:rPr>
          <w:color w:val="auto"/>
        </w:rPr>
        <w:t xml:space="preserve"> 强夯法处理地基的施工应符合下列规定：</w:t>
      </w:r>
    </w:p>
    <w:p w14:paraId="2459598C">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a)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强夯夯锤质量可取10t～60t，其底面形式宜采用圆形，锤底面积宜按土的性质确定，锤底静接地压力值可取25kPa～80kPa，单击夯击能高时取较大值，单击夯击能低时取较小值，对于细颗粒土宜取较小值。锤的底面宜对称设置若干个与其顶面贯通的排气孔，孔径可取300mm～400mm</w:t>
      </w:r>
      <w:r>
        <w:rPr>
          <w:rFonts w:hint="eastAsia" w:ascii="Times New Roman" w:hAnsi="Times New Roman" w:cs="Times New Roman"/>
          <w:color w:val="auto"/>
          <w:sz w:val="21"/>
          <w:szCs w:val="21"/>
        </w:rPr>
        <w:t>。</w:t>
      </w:r>
    </w:p>
    <w:p w14:paraId="221A5AB5">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b)</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强夯法施工应按下列步骤进行：</w:t>
      </w:r>
    </w:p>
    <w:p w14:paraId="1E5566D5">
      <w:pPr>
        <w:pStyle w:val="33"/>
        <w:snapToGrid w:val="0"/>
        <w:spacing w:before="0" w:beforeAutospacing="0" w:after="0" w:afterAutospacing="0" w:line="340" w:lineRule="atLeast"/>
        <w:ind w:left="237" w:leftChars="113" w:firstLine="481" w:firstLineChars="228"/>
        <w:jc w:val="both"/>
        <w:rPr>
          <w:rFonts w:ascii="Times New Roman" w:hAnsi="Times New Roman" w:cs="Times New Roman"/>
          <w:color w:val="auto"/>
          <w:sz w:val="21"/>
          <w:szCs w:val="21"/>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清理并平整施工场地；</w:t>
      </w:r>
    </w:p>
    <w:p w14:paraId="4B07A88B">
      <w:pPr>
        <w:pStyle w:val="33"/>
        <w:snapToGrid w:val="0"/>
        <w:spacing w:before="0" w:beforeAutospacing="0" w:after="0" w:afterAutospacing="0" w:line="340" w:lineRule="atLeast"/>
        <w:ind w:left="237" w:leftChars="113" w:firstLine="481" w:firstLineChars="228"/>
        <w:jc w:val="both"/>
        <w:rPr>
          <w:rFonts w:ascii="Times New Roman" w:hAnsi="Times New Roman" w:cs="Times New Roman"/>
          <w:color w:val="auto"/>
          <w:sz w:val="21"/>
          <w:szCs w:val="21"/>
        </w:rPr>
      </w:pPr>
      <w:r>
        <w:rPr>
          <w:rFonts w:ascii="Times New Roman" w:hAnsi="Times New Roman" w:cs="Times New Roman"/>
          <w:b/>
          <w:color w:val="auto"/>
          <w:sz w:val="21"/>
          <w:szCs w:val="21"/>
        </w:rPr>
        <w:t>2</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标出第一遍夯点位置，并测量场地高程；</w:t>
      </w:r>
    </w:p>
    <w:p w14:paraId="0F9BB553">
      <w:pPr>
        <w:pStyle w:val="33"/>
        <w:snapToGrid w:val="0"/>
        <w:spacing w:before="0" w:beforeAutospacing="0" w:after="0" w:afterAutospacing="0" w:line="340" w:lineRule="atLeast"/>
        <w:ind w:left="237" w:leftChars="113" w:firstLine="481" w:firstLineChars="228"/>
        <w:jc w:val="both"/>
        <w:rPr>
          <w:rFonts w:ascii="Times New Roman" w:hAnsi="Times New Roman" w:cs="Times New Roman"/>
          <w:color w:val="auto"/>
          <w:sz w:val="21"/>
          <w:szCs w:val="21"/>
        </w:rPr>
      </w:pPr>
      <w:r>
        <w:rPr>
          <w:rFonts w:ascii="Times New Roman" w:hAnsi="Times New Roman" w:cs="Times New Roman"/>
          <w:b/>
          <w:color w:val="auto"/>
          <w:sz w:val="21"/>
          <w:szCs w:val="21"/>
        </w:rPr>
        <w:t>3</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起重机就位，夯锤置于夯点位置；</w:t>
      </w:r>
    </w:p>
    <w:p w14:paraId="42B08E22">
      <w:pPr>
        <w:pStyle w:val="33"/>
        <w:snapToGrid w:val="0"/>
        <w:spacing w:before="0" w:beforeAutospacing="0" w:after="0" w:afterAutospacing="0" w:line="340" w:lineRule="atLeast"/>
        <w:ind w:left="237" w:leftChars="113" w:firstLine="481" w:firstLineChars="228"/>
        <w:jc w:val="both"/>
        <w:rPr>
          <w:rFonts w:ascii="Times New Roman" w:hAnsi="Times New Roman" w:cs="Times New Roman"/>
          <w:color w:val="auto"/>
          <w:sz w:val="21"/>
          <w:szCs w:val="21"/>
        </w:rPr>
      </w:pPr>
      <w:r>
        <w:rPr>
          <w:rFonts w:ascii="Times New Roman" w:hAnsi="Times New Roman" w:cs="Times New Roman"/>
          <w:b/>
          <w:color w:val="auto"/>
          <w:sz w:val="21"/>
          <w:szCs w:val="21"/>
        </w:rPr>
        <w:t>4</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测量夯前锤顶高程；</w:t>
      </w:r>
    </w:p>
    <w:p w14:paraId="65B3C38C">
      <w:pPr>
        <w:pStyle w:val="33"/>
        <w:snapToGrid w:val="0"/>
        <w:spacing w:before="0" w:beforeAutospacing="0" w:after="0" w:afterAutospacing="0" w:line="340" w:lineRule="atLeast"/>
        <w:ind w:left="0" w:firstLine="717" w:firstLineChars="340"/>
        <w:jc w:val="both"/>
        <w:rPr>
          <w:rFonts w:ascii="Times New Roman" w:hAnsi="Times New Roman" w:cs="Times New Roman"/>
          <w:color w:val="auto"/>
          <w:sz w:val="21"/>
          <w:szCs w:val="21"/>
        </w:rPr>
      </w:pPr>
      <w:r>
        <w:rPr>
          <w:rFonts w:ascii="Times New Roman" w:hAnsi="Times New Roman" w:cs="Times New Roman"/>
          <w:b/>
          <w:color w:val="auto"/>
          <w:sz w:val="21"/>
          <w:szCs w:val="21"/>
        </w:rPr>
        <w:t>5</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将夯锤起吊到预定高度，开启脱钩装置，待夯锤脱钩自由下落后，放下吊钩，测量锤顶高程，若发现因坑底倾斜而造成夯锤歪斜时，应及时将坑底整平；</w:t>
      </w:r>
    </w:p>
    <w:p w14:paraId="609FB751">
      <w:pPr>
        <w:pStyle w:val="33"/>
        <w:snapToGrid w:val="0"/>
        <w:spacing w:before="0" w:beforeAutospacing="0" w:after="0" w:afterAutospacing="0" w:line="340" w:lineRule="atLeast"/>
        <w:ind w:left="0" w:firstLine="717" w:firstLineChars="340"/>
        <w:jc w:val="both"/>
        <w:rPr>
          <w:rFonts w:ascii="Times New Roman" w:hAnsi="Times New Roman" w:cs="Times New Roman"/>
          <w:color w:val="auto"/>
          <w:sz w:val="21"/>
          <w:szCs w:val="21"/>
        </w:rPr>
      </w:pPr>
      <w:r>
        <w:rPr>
          <w:rFonts w:ascii="Times New Roman" w:hAnsi="Times New Roman" w:cs="Times New Roman"/>
          <w:b/>
          <w:color w:val="auto"/>
          <w:sz w:val="21"/>
          <w:szCs w:val="21"/>
        </w:rPr>
        <w:t>6</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重复步骤5</w:t>
      </w:r>
      <w:r>
        <w:rPr>
          <w:rFonts w:hint="eastAsia" w:ascii="Times New Roman" w:hAnsi="Times New Roman" w:cs="Times New Roman"/>
          <w:color w:val="auto"/>
          <w:sz w:val="21"/>
          <w:szCs w:val="21"/>
        </w:rPr>
        <w:t>）</w:t>
      </w:r>
      <w:r>
        <w:rPr>
          <w:rFonts w:ascii="Times New Roman" w:hAnsi="Times New Roman" w:cs="Times New Roman"/>
          <w:color w:val="auto"/>
          <w:sz w:val="21"/>
          <w:szCs w:val="21"/>
        </w:rPr>
        <w:t>，按设计规定的夯击次数及控制标准，完成一个夯点的夯击。当夯坑过深出现提锤困难，但无明显隆起，而尚未达到控制标准时，宜将夯坑回填至与坑顶齐平后，继续夯击；</w:t>
      </w:r>
    </w:p>
    <w:p w14:paraId="7C699C20">
      <w:pPr>
        <w:pStyle w:val="33"/>
        <w:snapToGrid w:val="0"/>
        <w:spacing w:before="0" w:beforeAutospacing="0" w:after="0" w:afterAutospacing="0" w:line="340" w:lineRule="atLeast"/>
        <w:ind w:left="657" w:leftChars="313" w:firstLine="0" w:firstLineChars="0"/>
        <w:jc w:val="both"/>
        <w:rPr>
          <w:rFonts w:ascii="Times New Roman" w:hAnsi="Times New Roman" w:cs="Times New Roman"/>
          <w:color w:val="auto"/>
          <w:sz w:val="21"/>
          <w:szCs w:val="21"/>
        </w:rPr>
      </w:pPr>
      <w:r>
        <w:rPr>
          <w:rFonts w:ascii="Times New Roman" w:hAnsi="Times New Roman" w:cs="Times New Roman"/>
          <w:b/>
          <w:color w:val="auto"/>
          <w:sz w:val="21"/>
          <w:szCs w:val="21"/>
        </w:rPr>
        <w:t>7</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换夯点，重复步骤3</w:t>
      </w:r>
      <w:r>
        <w:rPr>
          <w:rFonts w:hint="eastAsia" w:ascii="Times New Roman" w:hAnsi="Times New Roman" w:cs="Times New Roman"/>
          <w:color w:val="auto"/>
          <w:sz w:val="21"/>
          <w:szCs w:val="21"/>
        </w:rPr>
        <w:t>）</w:t>
      </w:r>
      <w:r>
        <w:rPr>
          <w:rFonts w:ascii="Times New Roman" w:hAnsi="Times New Roman" w:cs="Times New Roman"/>
          <w:color w:val="auto"/>
          <w:sz w:val="21"/>
          <w:szCs w:val="21"/>
        </w:rPr>
        <w:t>至6</w:t>
      </w:r>
      <w:r>
        <w:rPr>
          <w:rFonts w:hint="eastAsia" w:ascii="Times New Roman" w:hAnsi="Times New Roman" w:cs="Times New Roman"/>
          <w:color w:val="auto"/>
          <w:sz w:val="21"/>
          <w:szCs w:val="21"/>
        </w:rPr>
        <w:t>）</w:t>
      </w:r>
      <w:r>
        <w:rPr>
          <w:rFonts w:ascii="Times New Roman" w:hAnsi="Times New Roman" w:cs="Times New Roman"/>
          <w:color w:val="auto"/>
          <w:sz w:val="21"/>
          <w:szCs w:val="21"/>
        </w:rPr>
        <w:t>，完成第一遍全部夯点的夯击；</w:t>
      </w:r>
    </w:p>
    <w:p w14:paraId="5AC233B1">
      <w:pPr>
        <w:pStyle w:val="33"/>
        <w:snapToGrid w:val="0"/>
        <w:spacing w:before="0" w:beforeAutospacing="0" w:after="0" w:afterAutospacing="0" w:line="340" w:lineRule="atLeast"/>
        <w:ind w:left="657" w:leftChars="313" w:firstLine="0" w:firstLineChars="0"/>
        <w:jc w:val="both"/>
        <w:rPr>
          <w:rFonts w:ascii="Times New Roman" w:hAnsi="Times New Roman" w:cs="Times New Roman"/>
          <w:color w:val="auto"/>
          <w:sz w:val="21"/>
          <w:szCs w:val="21"/>
        </w:rPr>
      </w:pPr>
      <w:r>
        <w:rPr>
          <w:rFonts w:ascii="Times New Roman" w:hAnsi="Times New Roman" w:cs="Times New Roman"/>
          <w:b/>
          <w:color w:val="auto"/>
          <w:sz w:val="21"/>
          <w:szCs w:val="21"/>
        </w:rPr>
        <w:t>8</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用推土机将夯坑填平，并测量场地高程；</w:t>
      </w:r>
    </w:p>
    <w:p w14:paraId="4DA7EAE9">
      <w:pPr>
        <w:pStyle w:val="33"/>
        <w:snapToGrid w:val="0"/>
        <w:spacing w:before="0" w:beforeAutospacing="0" w:after="0" w:afterAutospacing="0" w:line="340" w:lineRule="atLeast"/>
        <w:ind w:left="0" w:firstLine="732" w:firstLineChars="347"/>
        <w:jc w:val="both"/>
        <w:rPr>
          <w:rFonts w:ascii="Times New Roman" w:hAnsi="Times New Roman" w:cs="Times New Roman"/>
          <w:color w:val="auto"/>
          <w:sz w:val="21"/>
          <w:szCs w:val="21"/>
        </w:rPr>
      </w:pPr>
      <w:r>
        <w:rPr>
          <w:rFonts w:ascii="Times New Roman" w:hAnsi="Times New Roman" w:cs="Times New Roman"/>
          <w:b/>
          <w:color w:val="auto"/>
          <w:sz w:val="21"/>
          <w:szCs w:val="21"/>
        </w:rPr>
        <w:t>9</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在规定的间隔时间后，按上述步骤逐次完成全部夯击遍数，最后用低能量满夯，将场地表层松土夯实，并测量夯后场地高程。</w:t>
      </w:r>
    </w:p>
    <w:p w14:paraId="2B3C4012">
      <w:pPr>
        <w:snapToGrid w:val="0"/>
        <w:spacing w:line="340" w:lineRule="atLeast"/>
        <w:ind w:left="422" w:hanging="422"/>
        <w:rPr>
          <w:color w:val="auto"/>
        </w:rPr>
      </w:pPr>
      <w:r>
        <w:rPr>
          <w:b/>
          <w:color w:val="auto"/>
        </w:rPr>
        <w:t>9.5.5</w:t>
      </w:r>
      <w:r>
        <w:rPr>
          <w:rFonts w:hint="eastAsia"/>
          <w:b/>
          <w:color w:val="auto"/>
        </w:rPr>
        <w:t xml:space="preserve"> </w:t>
      </w:r>
      <w:r>
        <w:rPr>
          <w:b/>
          <w:color w:val="auto"/>
        </w:rPr>
        <w:t xml:space="preserve"> </w:t>
      </w:r>
      <w:r>
        <w:rPr>
          <w:color w:val="auto"/>
        </w:rPr>
        <w:t>强夯置换法处理地基的设计应符合下列规定：</w:t>
      </w:r>
    </w:p>
    <w:p w14:paraId="70D0C48F">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a)</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强夯置换墩的深度由土质条件决定，除厚层饱和粉土外，应穿透软土层，到达较硬土层上，深度不宜超过7m，采用柱锤时不宜超过10m</w:t>
      </w:r>
      <w:r>
        <w:rPr>
          <w:rFonts w:hint="eastAsia" w:ascii="Times New Roman" w:hAnsi="Times New Roman" w:cs="Times New Roman"/>
          <w:color w:val="auto"/>
          <w:sz w:val="21"/>
          <w:szCs w:val="21"/>
        </w:rPr>
        <w:t>。</w:t>
      </w:r>
    </w:p>
    <w:p w14:paraId="33B79FC5">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b)</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强夯置换的单击夯击能应根据现场试验确定</w:t>
      </w:r>
      <w:r>
        <w:rPr>
          <w:rFonts w:hint="eastAsia" w:ascii="Times New Roman" w:hAnsi="Times New Roman" w:cs="Times New Roman"/>
          <w:color w:val="auto"/>
          <w:sz w:val="21"/>
          <w:szCs w:val="21"/>
        </w:rPr>
        <w:t>。</w:t>
      </w:r>
    </w:p>
    <w:p w14:paraId="0CC4B92D">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c)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墩体材料可采用级配良好的块石、碎石、矿渣、工业废渣、建筑垃圾等坚硬粗颗粒材料，粒径大于300mm的颗粒含量不宜超过全重的30%</w:t>
      </w:r>
      <w:r>
        <w:rPr>
          <w:rFonts w:hint="eastAsia" w:ascii="Times New Roman" w:hAnsi="Times New Roman" w:cs="Times New Roman"/>
          <w:color w:val="auto"/>
          <w:sz w:val="21"/>
          <w:szCs w:val="21"/>
        </w:rPr>
        <w:t>。</w:t>
      </w:r>
    </w:p>
    <w:p w14:paraId="6F7E997E">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d)</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夯点的夯击次数应通过现场试夯确定，且应同时满足下列条件：</w:t>
      </w:r>
    </w:p>
    <w:p w14:paraId="3AB9AD19">
      <w:pPr>
        <w:pStyle w:val="33"/>
        <w:snapToGrid w:val="0"/>
        <w:spacing w:before="0" w:beforeAutospacing="0" w:after="0" w:afterAutospacing="0" w:line="340" w:lineRule="atLeast"/>
        <w:ind w:left="397" w:leftChars="189" w:firstLine="219" w:firstLineChars="104"/>
        <w:jc w:val="both"/>
        <w:rPr>
          <w:rFonts w:ascii="Times New Roman" w:hAnsi="Times New Roman" w:cs="Times New Roman"/>
          <w:color w:val="auto"/>
          <w:sz w:val="21"/>
          <w:szCs w:val="21"/>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墩底穿透软弱土层，且达到设计墩长；</w:t>
      </w:r>
    </w:p>
    <w:p w14:paraId="06F3F443">
      <w:pPr>
        <w:pStyle w:val="33"/>
        <w:snapToGrid w:val="0"/>
        <w:spacing w:before="0" w:beforeAutospacing="0" w:after="0" w:afterAutospacing="0" w:line="340" w:lineRule="atLeast"/>
        <w:ind w:left="397" w:leftChars="189" w:firstLine="219" w:firstLineChars="104"/>
        <w:jc w:val="both"/>
        <w:rPr>
          <w:rFonts w:ascii="Times New Roman" w:hAnsi="Times New Roman" w:cs="Times New Roman"/>
          <w:color w:val="auto"/>
          <w:sz w:val="21"/>
          <w:szCs w:val="21"/>
        </w:rPr>
      </w:pPr>
      <w:r>
        <w:rPr>
          <w:rFonts w:ascii="Times New Roman" w:hAnsi="Times New Roman" w:cs="Times New Roman"/>
          <w:b/>
          <w:color w:val="auto"/>
          <w:sz w:val="21"/>
          <w:szCs w:val="21"/>
        </w:rPr>
        <w:t>2</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累计夯沉量为设计墩长的（1.5～2.0）倍；</w:t>
      </w:r>
    </w:p>
    <w:p w14:paraId="1C0DCCD3">
      <w:pPr>
        <w:pStyle w:val="33"/>
        <w:snapToGrid w:val="0"/>
        <w:spacing w:before="0" w:beforeAutospacing="0" w:after="0" w:afterAutospacing="0" w:line="340" w:lineRule="atLeast"/>
        <w:ind w:left="397" w:leftChars="189" w:firstLine="219" w:firstLineChars="104"/>
        <w:jc w:val="both"/>
        <w:rPr>
          <w:rFonts w:ascii="Times New Roman" w:hAnsi="Times New Roman" w:cs="Times New Roman"/>
          <w:color w:val="auto"/>
          <w:sz w:val="21"/>
          <w:szCs w:val="21"/>
        </w:rPr>
      </w:pPr>
      <w:r>
        <w:rPr>
          <w:rFonts w:ascii="Times New Roman" w:hAnsi="Times New Roman" w:cs="Times New Roman"/>
          <w:b/>
          <w:color w:val="auto"/>
          <w:sz w:val="21"/>
          <w:szCs w:val="21"/>
        </w:rPr>
        <w:t>3</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最后两击的平均夯沉量宜按表29确定</w:t>
      </w:r>
      <w:r>
        <w:rPr>
          <w:rFonts w:hint="eastAsia" w:ascii="Times New Roman" w:hAnsi="Times New Roman" w:cs="Times New Roman"/>
          <w:color w:val="auto"/>
          <w:sz w:val="21"/>
          <w:szCs w:val="21"/>
        </w:rPr>
        <w:t>。</w:t>
      </w:r>
    </w:p>
    <w:p w14:paraId="568010D1">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e)</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墩位布置宜采用等边三角形或正方形。对独立基础或条形基础可根据基础形状与宽度相应布置</w:t>
      </w:r>
      <w:r>
        <w:rPr>
          <w:rFonts w:hint="eastAsia" w:ascii="Times New Roman" w:hAnsi="Times New Roman" w:cs="Times New Roman"/>
          <w:color w:val="auto"/>
          <w:sz w:val="21"/>
          <w:szCs w:val="21"/>
        </w:rPr>
        <w:t>。</w:t>
      </w:r>
    </w:p>
    <w:p w14:paraId="36FAF708">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f)</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墩间距应根据荷载大小和原土的承载力选定，当满堂布置时可取夯锤直径的（2～3）倍。对独立基础或条形基础可取夯锤直径的（1.5～2.0）倍。墩的计算直径可取夯锤直径的（1.1～1.2）倍；</w:t>
      </w:r>
    </w:p>
    <w:p w14:paraId="130990FF">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g)</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强夯置换法处理范围应符合本文件第9.5.3第f</w:t>
      </w:r>
      <w:r>
        <w:rPr>
          <w:rFonts w:hint="eastAsia" w:ascii="Times New Roman" w:hAnsi="Times New Roman" w:cs="Times New Roman"/>
          <w:color w:val="auto"/>
          <w:sz w:val="21"/>
          <w:szCs w:val="21"/>
          <w:lang w:eastAsia="zh-CN"/>
        </w:rPr>
        <w:t>）</w:t>
      </w:r>
      <w:r>
        <w:rPr>
          <w:rFonts w:ascii="Times New Roman" w:hAnsi="Times New Roman" w:cs="Times New Roman"/>
          <w:color w:val="auto"/>
          <w:sz w:val="21"/>
          <w:szCs w:val="21"/>
        </w:rPr>
        <w:t>款的规定</w:t>
      </w:r>
      <w:r>
        <w:rPr>
          <w:rFonts w:hint="eastAsia" w:ascii="Times New Roman" w:hAnsi="Times New Roman" w:cs="Times New Roman"/>
          <w:color w:val="auto"/>
          <w:sz w:val="21"/>
          <w:szCs w:val="21"/>
        </w:rPr>
        <w:t>。</w:t>
      </w:r>
    </w:p>
    <w:p w14:paraId="5165CF2A">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h)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墩顶应铺设一层厚度不小于500mm的压实垫层，垫层材料宜与墩体材料相同，粒径不宜大于100mm</w:t>
      </w:r>
      <w:r>
        <w:rPr>
          <w:rFonts w:hint="eastAsia" w:ascii="Times New Roman" w:hAnsi="Times New Roman" w:cs="Times New Roman"/>
          <w:color w:val="auto"/>
          <w:sz w:val="21"/>
          <w:szCs w:val="21"/>
        </w:rPr>
        <w:t>。</w:t>
      </w:r>
    </w:p>
    <w:p w14:paraId="0FE6C475">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i)</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强夯置换设计时，应预估地面抬高值，并在试夯时校正</w:t>
      </w:r>
      <w:r>
        <w:rPr>
          <w:rFonts w:hint="eastAsia" w:ascii="Times New Roman" w:hAnsi="Times New Roman" w:cs="Times New Roman"/>
          <w:color w:val="auto"/>
          <w:sz w:val="21"/>
          <w:szCs w:val="21"/>
        </w:rPr>
        <w:t>。</w:t>
      </w:r>
    </w:p>
    <w:p w14:paraId="1A36FF33">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j)</w:t>
      </w:r>
      <w:r>
        <w:rPr>
          <w:rFonts w:hint="eastAsia" w:ascii="Times New Roman" w:hAnsi="Times New Roman" w:cs="Times New Roman"/>
          <w:b/>
          <w:color w:val="auto"/>
          <w:sz w:val="21"/>
          <w:szCs w:val="21"/>
        </w:rPr>
        <w:t xml:space="preserve"> </w:t>
      </w:r>
      <w:r>
        <w:rPr>
          <w:rFonts w:ascii="Times New Roman" w:hAnsi="Times New Roman" w:cs="Times New Roman"/>
          <w:b/>
          <w:color w:val="auto"/>
          <w:sz w:val="21"/>
          <w:szCs w:val="21"/>
        </w:rPr>
        <w:t xml:space="preserve"> </w:t>
      </w:r>
      <w:r>
        <w:rPr>
          <w:rFonts w:ascii="Times New Roman" w:hAnsi="Times New Roman" w:cs="Times New Roman"/>
          <w:color w:val="auto"/>
          <w:sz w:val="21"/>
          <w:szCs w:val="21"/>
        </w:rPr>
        <w:t>强夯置换地基处理试验方案的确定，应符合本文件第9.5.3第g)款的规定。检测项目除进行现场静载荷试验检测承载力和变形模量外，尚应采用超重型或重型动力触探等方法，检查置换墩着底情况</w:t>
      </w:r>
      <w:r>
        <w:rPr>
          <w:rFonts w:hint="eastAsia" w:ascii="Times New Roman" w:hAnsi="Times New Roman" w:cs="Times New Roman"/>
          <w:color w:val="auto"/>
          <w:sz w:val="21"/>
          <w:szCs w:val="21"/>
        </w:rPr>
        <w:t>，以</w:t>
      </w:r>
      <w:r>
        <w:rPr>
          <w:rFonts w:ascii="Times New Roman" w:hAnsi="Times New Roman" w:cs="Times New Roman"/>
          <w:color w:val="auto"/>
          <w:sz w:val="21"/>
          <w:szCs w:val="21"/>
        </w:rPr>
        <w:t>及</w:t>
      </w:r>
      <w:r>
        <w:rPr>
          <w:rFonts w:hint="eastAsia" w:ascii="Times New Roman" w:hAnsi="Times New Roman" w:cs="Times New Roman"/>
          <w:color w:val="auto"/>
          <w:sz w:val="21"/>
          <w:szCs w:val="21"/>
        </w:rPr>
        <w:t>地基土的</w:t>
      </w:r>
      <w:r>
        <w:rPr>
          <w:rFonts w:ascii="Times New Roman" w:hAnsi="Times New Roman" w:cs="Times New Roman"/>
          <w:color w:val="auto"/>
          <w:sz w:val="21"/>
          <w:szCs w:val="21"/>
        </w:rPr>
        <w:t>承载力与密度随深度的变化</w:t>
      </w:r>
      <w:r>
        <w:rPr>
          <w:rFonts w:hint="eastAsia" w:ascii="Times New Roman" w:hAnsi="Times New Roman" w:cs="Times New Roman"/>
          <w:color w:val="auto"/>
          <w:sz w:val="21"/>
          <w:szCs w:val="21"/>
        </w:rPr>
        <w:t>。</w:t>
      </w:r>
    </w:p>
    <w:p w14:paraId="45EFCD6E">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k)</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 xml:space="preserve"> 确定软</w:t>
      </w:r>
      <w:r>
        <w:rPr>
          <w:rFonts w:hint="eastAsia" w:ascii="Times New Roman" w:hAnsi="Times New Roman" w:cs="Times New Roman"/>
          <w:color w:val="auto"/>
          <w:sz w:val="21"/>
          <w:szCs w:val="21"/>
        </w:rPr>
        <w:t>弱</w:t>
      </w:r>
      <w:r>
        <w:rPr>
          <w:rFonts w:ascii="Times New Roman" w:hAnsi="Times New Roman" w:cs="Times New Roman"/>
          <w:color w:val="auto"/>
          <w:sz w:val="21"/>
          <w:szCs w:val="21"/>
        </w:rPr>
        <w:t>黏性土中强夯置换地基承载力特征值时，可只考虑墩体，不考虑墩间土的作用，其承载力应通过现场单墩静载荷试验确定；对饱和粉土地基，当处理后墩间土能形成2.0m以上厚度的硬层时，其承载力可通过现场单墩复合地基静载荷试验确定</w:t>
      </w:r>
      <w:r>
        <w:rPr>
          <w:rFonts w:hint="eastAsia" w:ascii="Times New Roman" w:hAnsi="Times New Roman" w:cs="Times New Roman"/>
          <w:color w:val="auto"/>
          <w:sz w:val="21"/>
          <w:szCs w:val="21"/>
        </w:rPr>
        <w:t>。</w:t>
      </w:r>
    </w:p>
    <w:p w14:paraId="54EA7389">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l)</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强夯置换地基的变形宜按单墩承受的荷载，采用单墩静载荷试验确定的变形模量计算加固区的地基变形，对墩下地基土的变形可按置换墩材料的压力扩散角计算传至墩下土层的附加应力，按现行国家标准GB 50007的有关规定计算确定；对饱和粉土地基，当处理后墩间土能形成2.0m以上厚度的硬层时，可按本文件第9.2.11条的规定计算确定。</w:t>
      </w:r>
    </w:p>
    <w:p w14:paraId="601EB877">
      <w:pPr>
        <w:snapToGrid w:val="0"/>
        <w:spacing w:line="340" w:lineRule="atLeast"/>
        <w:ind w:left="422" w:hanging="422"/>
        <w:rPr>
          <w:color w:val="auto"/>
        </w:rPr>
      </w:pPr>
      <w:r>
        <w:rPr>
          <w:b/>
          <w:color w:val="auto"/>
        </w:rPr>
        <w:t xml:space="preserve">9.5.6  </w:t>
      </w:r>
      <w:r>
        <w:rPr>
          <w:color w:val="auto"/>
        </w:rPr>
        <w:t>强夯置换法处理地基的施工应符合下列规定：</w:t>
      </w:r>
    </w:p>
    <w:p w14:paraId="5E2499ED">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a)</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强夯置换夯锤底面形式宜采用圆形，夯锤底静接地压力值宜大于80 kPa，可取100kPa～200kPa。</w:t>
      </w:r>
    </w:p>
    <w:p w14:paraId="3CF309A9">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b) </w:t>
      </w:r>
      <w:r>
        <w:rPr>
          <w:rFonts w:hint="eastAsia" w:ascii="Times New Roman" w:hAnsi="Times New Roman" w:cs="Times New Roman"/>
          <w:b/>
          <w:color w:val="auto"/>
          <w:sz w:val="21"/>
          <w:szCs w:val="21"/>
        </w:rPr>
        <w:t xml:space="preserve"> </w:t>
      </w:r>
      <w:r>
        <w:rPr>
          <w:rFonts w:ascii="Times New Roman" w:hAnsi="Times New Roman" w:cs="Times New Roman"/>
          <w:color w:val="auto"/>
          <w:sz w:val="21"/>
          <w:szCs w:val="21"/>
        </w:rPr>
        <w:t>强夯置换施工应按下列步骤进行：</w:t>
      </w:r>
    </w:p>
    <w:p w14:paraId="3AC80866">
      <w:pPr>
        <w:pStyle w:val="33"/>
        <w:snapToGrid w:val="0"/>
        <w:spacing w:before="0" w:beforeAutospacing="0" w:after="0" w:afterAutospacing="0" w:line="340" w:lineRule="atLeast"/>
        <w:ind w:left="0" w:firstLine="613" w:firstLineChars="291"/>
        <w:jc w:val="both"/>
        <w:rPr>
          <w:rFonts w:ascii="Times New Roman" w:hAnsi="Times New Roman" w:cs="Times New Roman"/>
          <w:color w:val="auto"/>
          <w:sz w:val="21"/>
          <w:szCs w:val="21"/>
        </w:rPr>
      </w:pPr>
      <w:r>
        <w:rPr>
          <w:rFonts w:ascii="Times New Roman" w:hAnsi="Times New Roman" w:cs="Times New Roman"/>
          <w:b/>
          <w:color w:val="auto"/>
          <w:sz w:val="21"/>
          <w:szCs w:val="21"/>
        </w:rPr>
        <w:t>1</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清理并平整施工场地，当表层土松软时可铺设一层厚度为1.0 m～2.0 m的砂石施工垫层；</w:t>
      </w:r>
    </w:p>
    <w:p w14:paraId="35930E2B">
      <w:pPr>
        <w:pStyle w:val="33"/>
        <w:snapToGrid w:val="0"/>
        <w:spacing w:before="0" w:beforeAutospacing="0" w:after="0" w:afterAutospacing="0" w:line="340" w:lineRule="atLeast"/>
        <w:ind w:left="657" w:leftChars="294" w:hanging="40" w:hangingChars="19"/>
        <w:jc w:val="both"/>
        <w:rPr>
          <w:rFonts w:ascii="Times New Roman" w:hAnsi="Times New Roman" w:cs="Times New Roman"/>
          <w:color w:val="auto"/>
          <w:sz w:val="21"/>
          <w:szCs w:val="21"/>
        </w:rPr>
      </w:pPr>
      <w:r>
        <w:rPr>
          <w:rFonts w:ascii="Times New Roman" w:hAnsi="Times New Roman" w:cs="Times New Roman"/>
          <w:b/>
          <w:color w:val="auto"/>
          <w:sz w:val="21"/>
          <w:szCs w:val="21"/>
        </w:rPr>
        <w:t>2</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标出夯点位置，并测量场地高程；</w:t>
      </w:r>
    </w:p>
    <w:p w14:paraId="632C9DC1">
      <w:pPr>
        <w:pStyle w:val="33"/>
        <w:snapToGrid w:val="0"/>
        <w:spacing w:before="0" w:beforeAutospacing="0" w:after="0" w:afterAutospacing="0" w:line="340" w:lineRule="atLeast"/>
        <w:ind w:left="657" w:leftChars="294" w:hanging="40" w:hangingChars="19"/>
        <w:jc w:val="both"/>
        <w:rPr>
          <w:rFonts w:ascii="Times New Roman" w:hAnsi="Times New Roman" w:cs="Times New Roman"/>
          <w:color w:val="auto"/>
          <w:sz w:val="21"/>
          <w:szCs w:val="21"/>
        </w:rPr>
      </w:pPr>
      <w:r>
        <w:rPr>
          <w:rFonts w:ascii="Times New Roman" w:hAnsi="Times New Roman" w:cs="Times New Roman"/>
          <w:b/>
          <w:color w:val="auto"/>
          <w:sz w:val="21"/>
          <w:szCs w:val="21"/>
        </w:rPr>
        <w:t>3</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起重机就位，夯锤置于夯点位置；</w:t>
      </w:r>
    </w:p>
    <w:p w14:paraId="3FA8F645">
      <w:pPr>
        <w:pStyle w:val="33"/>
        <w:snapToGrid w:val="0"/>
        <w:spacing w:before="0" w:beforeAutospacing="0" w:after="0" w:afterAutospacing="0" w:line="340" w:lineRule="atLeast"/>
        <w:ind w:left="657" w:leftChars="294" w:hanging="40" w:hangingChars="19"/>
        <w:jc w:val="both"/>
        <w:rPr>
          <w:rFonts w:ascii="Times New Roman" w:hAnsi="Times New Roman" w:cs="Times New Roman"/>
          <w:color w:val="auto"/>
          <w:sz w:val="21"/>
          <w:szCs w:val="21"/>
        </w:rPr>
      </w:pPr>
      <w:r>
        <w:rPr>
          <w:rFonts w:ascii="Times New Roman" w:hAnsi="Times New Roman" w:cs="Times New Roman"/>
          <w:b/>
          <w:color w:val="auto"/>
          <w:sz w:val="21"/>
          <w:szCs w:val="21"/>
        </w:rPr>
        <w:t>4</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测量夯前锤顶高程；</w:t>
      </w:r>
    </w:p>
    <w:p w14:paraId="683E9871">
      <w:pPr>
        <w:pStyle w:val="33"/>
        <w:snapToGrid w:val="0"/>
        <w:spacing w:before="0" w:beforeAutospacing="0" w:after="0" w:afterAutospacing="0" w:line="340" w:lineRule="atLeast"/>
        <w:ind w:left="0" w:firstLine="613" w:firstLineChars="291"/>
        <w:jc w:val="both"/>
        <w:rPr>
          <w:rFonts w:ascii="Times New Roman" w:hAnsi="Times New Roman" w:cs="Times New Roman"/>
          <w:color w:val="auto"/>
          <w:sz w:val="21"/>
          <w:szCs w:val="21"/>
        </w:rPr>
      </w:pPr>
      <w:r>
        <w:rPr>
          <w:rFonts w:ascii="Times New Roman" w:hAnsi="Times New Roman" w:cs="Times New Roman"/>
          <w:b/>
          <w:color w:val="auto"/>
          <w:sz w:val="21"/>
          <w:szCs w:val="21"/>
        </w:rPr>
        <w:t>5</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夯击并逐击记录夯坑深度。当夯坑过深而发生起锤困难时停夯，向坑内填料直至与坑顶齐平，记录填料数量，如此重复直至满足规定的夯击次数及控制标准完成一个墩体的夯击。当夯点周围软土挤出影响施工时，</w:t>
      </w:r>
      <w:r>
        <w:rPr>
          <w:rFonts w:hint="eastAsia" w:ascii="Times New Roman" w:hAnsi="Times New Roman" w:cs="Times New Roman"/>
          <w:color w:val="auto"/>
          <w:sz w:val="21"/>
          <w:szCs w:val="21"/>
        </w:rPr>
        <w:t>应</w:t>
      </w:r>
      <w:r>
        <w:rPr>
          <w:rFonts w:ascii="Times New Roman" w:hAnsi="Times New Roman" w:cs="Times New Roman"/>
          <w:color w:val="auto"/>
          <w:sz w:val="21"/>
          <w:szCs w:val="21"/>
        </w:rPr>
        <w:t>随时清理</w:t>
      </w:r>
      <w:r>
        <w:rPr>
          <w:rFonts w:hint="eastAsia" w:ascii="Times New Roman" w:hAnsi="Times New Roman" w:cs="Times New Roman"/>
          <w:color w:val="auto"/>
          <w:sz w:val="21"/>
          <w:szCs w:val="21"/>
        </w:rPr>
        <w:t>，</w:t>
      </w:r>
      <w:r>
        <w:rPr>
          <w:rFonts w:ascii="Times New Roman" w:hAnsi="Times New Roman" w:cs="Times New Roman"/>
          <w:color w:val="auto"/>
          <w:sz w:val="21"/>
          <w:szCs w:val="21"/>
        </w:rPr>
        <w:t>并在夯点周围铺垫碎石，继续施工；</w:t>
      </w:r>
    </w:p>
    <w:p w14:paraId="11A931DD">
      <w:pPr>
        <w:pStyle w:val="33"/>
        <w:snapToGrid w:val="0"/>
        <w:spacing w:before="0" w:beforeAutospacing="0" w:after="0" w:afterAutospacing="0" w:line="340" w:lineRule="atLeast"/>
        <w:ind w:left="1079" w:leftChars="287" w:hanging="476" w:hangingChars="226"/>
        <w:jc w:val="both"/>
        <w:rPr>
          <w:rFonts w:ascii="Times New Roman" w:hAnsi="Times New Roman" w:cs="Times New Roman"/>
          <w:color w:val="auto"/>
          <w:sz w:val="21"/>
          <w:szCs w:val="21"/>
        </w:rPr>
      </w:pPr>
      <w:r>
        <w:rPr>
          <w:rFonts w:ascii="Times New Roman" w:hAnsi="Times New Roman" w:cs="Times New Roman"/>
          <w:b/>
          <w:color w:val="auto"/>
          <w:sz w:val="21"/>
          <w:szCs w:val="21"/>
        </w:rPr>
        <w:t>6</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按</w:t>
      </w:r>
      <w:r>
        <w:rPr>
          <w:rFonts w:hint="eastAsia" w:ascii="Times New Roman" w:hAnsi="Times New Roman" w:cs="Times New Roman"/>
          <w:color w:val="auto"/>
          <w:sz w:val="21"/>
          <w:szCs w:val="21"/>
        </w:rPr>
        <w:t>照“</w:t>
      </w:r>
      <w:r>
        <w:rPr>
          <w:rFonts w:ascii="Times New Roman" w:hAnsi="Times New Roman" w:cs="Times New Roman"/>
          <w:color w:val="auto"/>
          <w:sz w:val="21"/>
          <w:szCs w:val="21"/>
        </w:rPr>
        <w:t>由内而外，隔行跳打</w:t>
      </w:r>
      <w:r>
        <w:rPr>
          <w:rFonts w:hint="eastAsia" w:ascii="Times New Roman" w:hAnsi="Times New Roman" w:cs="Times New Roman"/>
          <w:color w:val="auto"/>
          <w:sz w:val="21"/>
          <w:szCs w:val="21"/>
        </w:rPr>
        <w:t>”的</w:t>
      </w:r>
      <w:r>
        <w:rPr>
          <w:rFonts w:ascii="Times New Roman" w:hAnsi="Times New Roman" w:cs="Times New Roman"/>
          <w:color w:val="auto"/>
          <w:sz w:val="21"/>
          <w:szCs w:val="21"/>
        </w:rPr>
        <w:t>原则</w:t>
      </w:r>
      <w:r>
        <w:rPr>
          <w:rFonts w:hint="eastAsia" w:ascii="Times New Roman" w:hAnsi="Times New Roman" w:cs="Times New Roman"/>
          <w:color w:val="auto"/>
          <w:sz w:val="21"/>
          <w:szCs w:val="21"/>
        </w:rPr>
        <w:t>，</w:t>
      </w:r>
      <w:r>
        <w:rPr>
          <w:rFonts w:ascii="Times New Roman" w:hAnsi="Times New Roman" w:cs="Times New Roman"/>
          <w:color w:val="auto"/>
          <w:sz w:val="21"/>
          <w:szCs w:val="21"/>
        </w:rPr>
        <w:t xml:space="preserve">完成全部夯点的施工； </w:t>
      </w:r>
    </w:p>
    <w:p w14:paraId="71B40EAF">
      <w:pPr>
        <w:pStyle w:val="33"/>
        <w:snapToGrid w:val="0"/>
        <w:spacing w:before="0" w:beforeAutospacing="0" w:after="0" w:afterAutospacing="0" w:line="340" w:lineRule="atLeast"/>
        <w:ind w:left="1079" w:leftChars="287" w:hanging="476" w:hangingChars="226"/>
        <w:jc w:val="both"/>
        <w:rPr>
          <w:rFonts w:ascii="Times New Roman" w:hAnsi="Times New Roman" w:cs="Times New Roman"/>
          <w:color w:val="auto"/>
          <w:sz w:val="21"/>
          <w:szCs w:val="21"/>
        </w:rPr>
      </w:pPr>
      <w:r>
        <w:rPr>
          <w:rFonts w:ascii="Times New Roman" w:hAnsi="Times New Roman" w:cs="Times New Roman"/>
          <w:b/>
          <w:color w:val="auto"/>
          <w:sz w:val="21"/>
          <w:szCs w:val="21"/>
        </w:rPr>
        <w:t>7</w:t>
      </w:r>
      <w:r>
        <w:rPr>
          <w:rFonts w:hint="eastAsia" w:ascii="Times New Roman" w:hAnsi="Times New Roman" w:cs="Times New Roman"/>
          <w:b/>
          <w:color w:val="auto"/>
          <w:sz w:val="21"/>
          <w:szCs w:val="21"/>
        </w:rPr>
        <w:t>）</w:t>
      </w:r>
      <w:r>
        <w:rPr>
          <w:rFonts w:ascii="Times New Roman" w:hAnsi="Times New Roman" w:cs="Times New Roman"/>
          <w:color w:val="auto"/>
          <w:sz w:val="21"/>
          <w:szCs w:val="21"/>
        </w:rPr>
        <w:t>推平场地，用低能量满夯，将场地表层松土夯实，并测量夯后场地高程；</w:t>
      </w:r>
    </w:p>
    <w:p w14:paraId="4EA6908E">
      <w:pPr>
        <w:snapToGrid w:val="0"/>
        <w:spacing w:line="340" w:lineRule="atLeast"/>
        <w:ind w:firstLine="613" w:firstLineChars="291"/>
        <w:rPr>
          <w:color w:val="auto"/>
        </w:rPr>
      </w:pPr>
      <w:r>
        <w:rPr>
          <w:b/>
          <w:color w:val="auto"/>
          <w:kern w:val="0"/>
          <w:szCs w:val="21"/>
        </w:rPr>
        <w:t>8</w:t>
      </w:r>
      <w:r>
        <w:rPr>
          <w:rFonts w:hint="eastAsia"/>
          <w:b/>
          <w:color w:val="auto"/>
          <w:kern w:val="0"/>
          <w:szCs w:val="21"/>
        </w:rPr>
        <w:t>）</w:t>
      </w:r>
      <w:r>
        <w:rPr>
          <w:color w:val="auto"/>
        </w:rPr>
        <w:t>铺设垫层，并分层碾压密实。</w:t>
      </w:r>
    </w:p>
    <w:p w14:paraId="1D27A1D9">
      <w:pPr>
        <w:snapToGrid w:val="0"/>
        <w:spacing w:line="340" w:lineRule="atLeast"/>
        <w:rPr>
          <w:color w:val="auto"/>
        </w:rPr>
      </w:pPr>
      <w:r>
        <w:rPr>
          <w:b/>
          <w:bCs/>
          <w:color w:val="auto"/>
        </w:rPr>
        <w:t>9.5.7</w:t>
      </w:r>
      <w:r>
        <w:rPr>
          <w:bCs/>
          <w:color w:val="auto"/>
        </w:rPr>
        <w:t xml:space="preserve"> </w:t>
      </w:r>
      <w:r>
        <w:rPr>
          <w:rFonts w:hint="eastAsia"/>
          <w:bCs/>
          <w:color w:val="auto"/>
        </w:rPr>
        <w:t xml:space="preserve"> </w:t>
      </w:r>
      <w:r>
        <w:rPr>
          <w:bCs/>
          <w:color w:val="auto"/>
        </w:rPr>
        <w:t>强夯和强夯置换施工时，起吊夯锤的起重机械宜采用带有自动脱钩装置履带式起重机、专用施工机械</w:t>
      </w:r>
      <w:r>
        <w:rPr>
          <w:color w:val="auto"/>
        </w:rPr>
        <w:t>或其他可靠的起重设备，夯锤的质量不应超过起重机械额定起重质量。采用履带式起重机时，可在臂杆端部设置辅助门架，或采取其他安全措施，防止起落锤时机架倾覆。</w:t>
      </w:r>
    </w:p>
    <w:p w14:paraId="5AE98000">
      <w:pPr>
        <w:snapToGrid w:val="0"/>
        <w:spacing w:line="340" w:lineRule="atLeast"/>
        <w:rPr>
          <w:color w:val="auto"/>
        </w:rPr>
      </w:pPr>
      <w:r>
        <w:rPr>
          <w:b/>
          <w:color w:val="auto"/>
        </w:rPr>
        <w:t>9.5.8</w:t>
      </w:r>
      <w:r>
        <w:rPr>
          <w:color w:val="auto"/>
        </w:rPr>
        <w:t xml:space="preserve"> </w:t>
      </w:r>
      <w:r>
        <w:rPr>
          <w:rFonts w:hint="eastAsia"/>
          <w:color w:val="auto"/>
        </w:rPr>
        <w:t xml:space="preserve"> </w:t>
      </w:r>
      <w:r>
        <w:rPr>
          <w:color w:val="auto"/>
        </w:rPr>
        <w:t>当场地表层土软弱或地下水位较高，夯坑底积水影响施工质量时，宜采用人工降低地下水位或铺填一定厚度的砂石材料的施工措施。施工时地下水位宜低于坑底面以下2m。坑内或场地积水应及时排除，对细颗粒土，尚应采取晾晒等措施降低含水率。当地基土的含水率低，影响处理效果时，宜采取增湿措施。</w:t>
      </w:r>
    </w:p>
    <w:p w14:paraId="5D824182">
      <w:pPr>
        <w:snapToGrid w:val="0"/>
        <w:spacing w:line="340" w:lineRule="atLeast"/>
        <w:rPr>
          <w:color w:val="auto"/>
        </w:rPr>
      </w:pPr>
      <w:r>
        <w:rPr>
          <w:b/>
          <w:color w:val="auto"/>
        </w:rPr>
        <w:t xml:space="preserve">9.5.9 </w:t>
      </w:r>
      <w:r>
        <w:rPr>
          <w:rFonts w:hint="eastAsia"/>
          <w:b/>
          <w:color w:val="auto"/>
        </w:rPr>
        <w:t xml:space="preserve"> </w:t>
      </w:r>
      <w:r>
        <w:rPr>
          <w:color w:val="auto"/>
        </w:rPr>
        <w:t>施工前应查明影响范围内地下构筑物和地下管线的位置及标高等，并采取必要措施予以保护，以免因施工而造成损坏。</w:t>
      </w:r>
    </w:p>
    <w:p w14:paraId="62EFCAC2">
      <w:pPr>
        <w:snapToGrid w:val="0"/>
        <w:spacing w:line="340" w:lineRule="atLeast"/>
        <w:rPr>
          <w:rFonts w:eastAsia="黑体"/>
          <w:b/>
          <w:color w:val="auto"/>
          <w:szCs w:val="21"/>
        </w:rPr>
      </w:pPr>
      <w:r>
        <w:rPr>
          <w:b/>
          <w:color w:val="auto"/>
          <w:szCs w:val="21"/>
        </w:rPr>
        <w:t>9.5.10</w:t>
      </w:r>
      <w:r>
        <w:rPr>
          <w:rFonts w:hint="eastAsia"/>
          <w:b/>
          <w:color w:val="auto"/>
          <w:szCs w:val="21"/>
        </w:rPr>
        <w:t xml:space="preserve"> </w:t>
      </w:r>
      <w:r>
        <w:rPr>
          <w:b/>
          <w:color w:val="auto"/>
          <w:szCs w:val="21"/>
        </w:rPr>
        <w:t xml:space="preserve"> </w:t>
      </w:r>
      <w:r>
        <w:rPr>
          <w:color w:val="auto"/>
          <w:szCs w:val="21"/>
        </w:rPr>
        <w:t>当强夯施工所引起的振动和侧向挤压对邻近建构筑物产生不利影响时，应设置监测点，并采取挖隔振沟等隔振或防振措施。</w:t>
      </w:r>
    </w:p>
    <w:p w14:paraId="0570C6F6">
      <w:pPr>
        <w:snapToGrid w:val="0"/>
        <w:spacing w:line="340" w:lineRule="atLeast"/>
        <w:ind w:left="422" w:hanging="422"/>
        <w:rPr>
          <w:color w:val="auto"/>
        </w:rPr>
      </w:pPr>
      <w:r>
        <w:rPr>
          <w:b/>
          <w:color w:val="auto"/>
        </w:rPr>
        <w:t>9.5.11</w:t>
      </w:r>
      <w:r>
        <w:rPr>
          <w:rFonts w:hint="eastAsia"/>
          <w:b/>
          <w:color w:val="auto"/>
        </w:rPr>
        <w:t xml:space="preserve"> </w:t>
      </w:r>
      <w:r>
        <w:rPr>
          <w:color w:val="auto"/>
        </w:rPr>
        <w:t xml:space="preserve"> 施工过程中</w:t>
      </w:r>
      <w:r>
        <w:rPr>
          <w:rFonts w:hint="eastAsia"/>
          <w:color w:val="auto"/>
        </w:rPr>
        <w:t>的监</w:t>
      </w:r>
      <w:r>
        <w:rPr>
          <w:color w:val="auto"/>
        </w:rPr>
        <w:t>测工作应</w:t>
      </w:r>
      <w:r>
        <w:rPr>
          <w:rFonts w:hint="eastAsia"/>
          <w:color w:val="auto"/>
        </w:rPr>
        <w:t>符合下列规定</w:t>
      </w:r>
      <w:r>
        <w:rPr>
          <w:color w:val="auto"/>
        </w:rPr>
        <w:t xml:space="preserve">： </w:t>
      </w:r>
    </w:p>
    <w:p w14:paraId="4FCDE3E5">
      <w:pPr>
        <w:pStyle w:val="33"/>
        <w:snapToGrid w:val="0"/>
        <w:spacing w:before="0" w:beforeAutospacing="0" w:after="0" w:afterAutospacing="0" w:line="340" w:lineRule="atLeast"/>
        <w:ind w:left="0" w:firstLine="442" w:firstLineChars="200"/>
        <w:jc w:val="both"/>
        <w:rPr>
          <w:rFonts w:ascii="Times New Roman" w:hAnsi="Times New Roman" w:cs="Times New Roman"/>
          <w:color w:val="auto"/>
          <w:szCs w:val="21"/>
        </w:rPr>
      </w:pPr>
      <w:r>
        <w:rPr>
          <w:rFonts w:ascii="Times New Roman" w:hAnsi="Times New Roman" w:cs="Times New Roman"/>
          <w:b/>
          <w:color w:val="auto"/>
          <w:szCs w:val="21"/>
        </w:rPr>
        <w:t>a)</w:t>
      </w:r>
      <w:r>
        <w:rPr>
          <w:rFonts w:hint="eastAsia" w:ascii="Times New Roman" w:hAnsi="Times New Roman" w:cs="Times New Roman"/>
          <w:b/>
          <w:color w:val="auto"/>
          <w:szCs w:val="21"/>
        </w:rPr>
        <w:t xml:space="preserve"> </w:t>
      </w:r>
      <w:r>
        <w:rPr>
          <w:rFonts w:ascii="Times New Roman" w:hAnsi="Times New Roman" w:cs="Times New Roman"/>
          <w:color w:val="auto"/>
          <w:szCs w:val="21"/>
        </w:rPr>
        <w:t xml:space="preserve"> </w:t>
      </w:r>
      <w:r>
        <w:rPr>
          <w:rFonts w:ascii="Times New Roman" w:hAnsi="Times New Roman" w:eastAsia="宋体" w:cs="Times New Roman"/>
          <w:color w:val="auto"/>
          <w:kern w:val="2"/>
          <w:sz w:val="21"/>
          <w:szCs w:val="21"/>
          <w:lang w:val="en-US" w:eastAsia="zh-CN" w:bidi="ar-SA"/>
        </w:rPr>
        <w:t>开夯前应检查夯锤质量和落距，以确保单击夯击能量符合设计要求</w:t>
      </w:r>
      <w:r>
        <w:rPr>
          <w:rFonts w:ascii="Times New Roman" w:hAnsi="Times New Roman" w:cs="Times New Roman"/>
          <w:color w:val="auto"/>
          <w:szCs w:val="21"/>
        </w:rPr>
        <w:t xml:space="preserve">； </w:t>
      </w:r>
    </w:p>
    <w:p w14:paraId="142F0696">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Cs w:val="21"/>
        </w:rPr>
      </w:pPr>
      <w:r>
        <w:rPr>
          <w:rFonts w:ascii="Times New Roman" w:hAnsi="Times New Roman" w:cs="Times New Roman"/>
          <w:b/>
          <w:color w:val="auto"/>
          <w:sz w:val="21"/>
          <w:szCs w:val="21"/>
        </w:rPr>
        <w:t>b)</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在每一遍夯击前，应对夯点放线进行复核，夯完后检查夯坑位置，发现偏差或</w:t>
      </w:r>
      <w:r>
        <w:rPr>
          <w:rFonts w:ascii="Times New Roman" w:hAnsi="Times New Roman" w:cs="Times New Roman"/>
          <w:color w:val="auto"/>
          <w:szCs w:val="21"/>
        </w:rPr>
        <w:t>漏夯应及时纠正；</w:t>
      </w:r>
    </w:p>
    <w:p w14:paraId="0E724ADA">
      <w:pPr>
        <w:pStyle w:val="33"/>
        <w:snapToGrid w:val="0"/>
        <w:spacing w:before="0" w:beforeAutospacing="0" w:after="0" w:afterAutospacing="0" w:line="340" w:lineRule="atLeast"/>
        <w:ind w:left="0" w:firstLine="442" w:firstLineChars="200"/>
        <w:jc w:val="both"/>
        <w:rPr>
          <w:rFonts w:ascii="Times New Roman" w:hAnsi="Times New Roman" w:cs="Times New Roman"/>
          <w:color w:val="auto"/>
          <w:sz w:val="21"/>
          <w:szCs w:val="21"/>
        </w:rPr>
      </w:pPr>
      <w:r>
        <w:rPr>
          <w:rFonts w:ascii="Times New Roman" w:hAnsi="Times New Roman" w:cs="Times New Roman"/>
          <w:b/>
          <w:color w:val="auto"/>
          <w:szCs w:val="21"/>
        </w:rPr>
        <w:t>c)</w:t>
      </w:r>
      <w:r>
        <w:rPr>
          <w:rFonts w:ascii="Times New Roman" w:hAnsi="Times New Roman" w:cs="Times New Roman"/>
          <w:color w:val="auto"/>
          <w:szCs w:val="21"/>
        </w:rPr>
        <w:t xml:space="preserve"> </w:t>
      </w:r>
      <w:r>
        <w:rPr>
          <w:rFonts w:hint="eastAsia" w:ascii="Times New Roman" w:hAnsi="Times New Roman" w:cs="Times New Roman"/>
          <w:color w:val="auto"/>
          <w:szCs w:val="21"/>
        </w:rPr>
        <w:t xml:space="preserve"> </w:t>
      </w:r>
      <w:r>
        <w:rPr>
          <w:rFonts w:ascii="Times New Roman" w:hAnsi="Times New Roman" w:cs="Times New Roman"/>
          <w:color w:val="auto"/>
          <w:sz w:val="21"/>
          <w:szCs w:val="21"/>
        </w:rPr>
        <w:t>按设计要求检查每个夯点的夯击次数、每击的夯沉量、最后两击的平均夯沉量和总夯沉量、夯点施工起止时间。对强夯置换尚应检查置换深度。</w:t>
      </w:r>
    </w:p>
    <w:p w14:paraId="13196FBA">
      <w:pPr>
        <w:snapToGrid w:val="0"/>
        <w:spacing w:line="340" w:lineRule="atLeast"/>
        <w:ind w:left="420" w:leftChars="200"/>
        <w:rPr>
          <w:color w:val="auto"/>
        </w:rPr>
      </w:pPr>
      <w:r>
        <w:rPr>
          <w:b/>
          <w:color w:val="auto"/>
        </w:rPr>
        <w:t>d)</w:t>
      </w:r>
      <w:r>
        <w:rPr>
          <w:rFonts w:hint="eastAsia"/>
          <w:b/>
          <w:color w:val="auto"/>
        </w:rPr>
        <w:t xml:space="preserve"> </w:t>
      </w:r>
      <w:r>
        <w:rPr>
          <w:b/>
          <w:color w:val="auto"/>
        </w:rPr>
        <w:t xml:space="preserve"> </w:t>
      </w:r>
      <w:r>
        <w:rPr>
          <w:color w:val="auto"/>
        </w:rPr>
        <w:t>施工过程中应对各项参数及情况进行详细记录。</w:t>
      </w:r>
    </w:p>
    <w:p w14:paraId="79EAFA4E">
      <w:pPr>
        <w:snapToGrid w:val="0"/>
        <w:spacing w:line="340" w:lineRule="atLeast"/>
        <w:rPr>
          <w:color w:val="auto"/>
        </w:rPr>
      </w:pPr>
      <w:r>
        <w:rPr>
          <w:b/>
          <w:color w:val="auto"/>
        </w:rPr>
        <w:t>9.5.12</w:t>
      </w:r>
      <w:r>
        <w:rPr>
          <w:rFonts w:hint="eastAsia"/>
          <w:b/>
          <w:color w:val="auto"/>
        </w:rPr>
        <w:t xml:space="preserve"> </w:t>
      </w:r>
      <w:r>
        <w:rPr>
          <w:color w:val="auto"/>
        </w:rPr>
        <w:t xml:space="preserve"> 强夯和强夯置换施工结束后应根据地基土的性质及所采用的施工工艺，待土层休止期结束后再进行基础施工。</w:t>
      </w:r>
    </w:p>
    <w:p w14:paraId="462AFF5D">
      <w:pPr>
        <w:pStyle w:val="33"/>
        <w:snapToGrid w:val="0"/>
        <w:spacing w:before="0" w:beforeAutospacing="0" w:after="0" w:afterAutospacing="0" w:line="340" w:lineRule="atLeast"/>
        <w:ind w:left="0" w:firstLine="0" w:firstLineChars="0"/>
        <w:jc w:val="both"/>
        <w:rPr>
          <w:rFonts w:ascii="Times New Roman" w:hAnsi="Times New Roman" w:eastAsia="黑体" w:cs="Times New Roman"/>
          <w:b/>
          <w:color w:val="auto"/>
          <w:sz w:val="21"/>
          <w:szCs w:val="21"/>
        </w:rPr>
      </w:pPr>
      <w:r>
        <w:rPr>
          <w:rFonts w:ascii="Times New Roman" w:hAnsi="Times New Roman" w:cs="Times New Roman"/>
          <w:b/>
          <w:color w:val="auto"/>
          <w:sz w:val="21"/>
          <w:szCs w:val="21"/>
        </w:rPr>
        <w:t>9.5.13</w:t>
      </w:r>
      <w:r>
        <w:rPr>
          <w:rFonts w:ascii="Times New Roman" w:hAnsi="Times New Roman" w:eastAsia="黑体" w:cs="Times New Roman"/>
          <w:b/>
          <w:color w:val="auto"/>
          <w:sz w:val="21"/>
          <w:szCs w:val="21"/>
        </w:rPr>
        <w:t xml:space="preserve"> </w:t>
      </w:r>
      <w:r>
        <w:rPr>
          <w:rFonts w:hint="eastAsia" w:ascii="Times New Roman" w:hAnsi="Times New Roman" w:eastAsia="黑体" w:cs="Times New Roman"/>
          <w:b/>
          <w:color w:val="auto"/>
          <w:sz w:val="21"/>
          <w:szCs w:val="21"/>
        </w:rPr>
        <w:t xml:space="preserve"> </w:t>
      </w:r>
      <w:r>
        <w:rPr>
          <w:rFonts w:ascii="Times New Roman" w:hAnsi="Times New Roman" w:cs="Times New Roman"/>
          <w:color w:val="auto"/>
          <w:kern w:val="2"/>
          <w:sz w:val="21"/>
          <w:szCs w:val="21"/>
        </w:rPr>
        <w:t>强夯处理后的地基竣工验收，承载力检验应根据静载荷试验、其他原位测试和室内土工试验等方法综合确定。强夯置换法后的地基竣工验收，除应采用单墩静载荷试验进行承载力检验外，尚应采用动力触探等查明置换墩着底情况及密度随深度的变化情况。</w:t>
      </w:r>
    </w:p>
    <w:p w14:paraId="06CAA607">
      <w:pPr>
        <w:snapToGrid w:val="0"/>
        <w:spacing w:line="340" w:lineRule="atLeast"/>
        <w:ind w:left="422" w:hanging="422"/>
        <w:rPr>
          <w:color w:val="auto"/>
        </w:rPr>
      </w:pPr>
      <w:r>
        <w:rPr>
          <w:b/>
          <w:color w:val="auto"/>
        </w:rPr>
        <w:t>9.5.14</w:t>
      </w:r>
      <w:r>
        <w:rPr>
          <w:color w:val="auto"/>
        </w:rPr>
        <w:t xml:space="preserve"> </w:t>
      </w:r>
      <w:r>
        <w:rPr>
          <w:rFonts w:hint="eastAsia"/>
          <w:color w:val="auto"/>
        </w:rPr>
        <w:t xml:space="preserve"> </w:t>
      </w:r>
      <w:r>
        <w:rPr>
          <w:color w:val="auto"/>
        </w:rPr>
        <w:t>强夯法和强夯置换法处理地基的质量检验应符合下列规定：</w:t>
      </w:r>
    </w:p>
    <w:p w14:paraId="45654798">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a)</w:t>
      </w:r>
      <w:r>
        <w:rPr>
          <w:rFonts w:ascii="Times New Roman" w:hAnsi="Times New Roman" w:cs="Times New Roman"/>
          <w:color w:val="auto"/>
          <w:sz w:val="21"/>
          <w:szCs w:val="21"/>
        </w:rPr>
        <w:t xml:space="preserve">  检查施工过程中的各项测试数据和施工记录，不符合设计要求时应补夯或采取其他有效措施</w:t>
      </w:r>
      <w:r>
        <w:rPr>
          <w:rFonts w:hint="eastAsia" w:ascii="Times New Roman" w:hAnsi="Times New Roman" w:cs="Times New Roman"/>
          <w:color w:val="auto"/>
          <w:sz w:val="21"/>
          <w:szCs w:val="21"/>
        </w:rPr>
        <w:t>。</w:t>
      </w:r>
    </w:p>
    <w:p w14:paraId="38A03649">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b)</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强夯处理后的地基竣工验收承载力检验，应在施工结束后间隔一定时间进行，对于碎石土和砂土地基，其间隔时间可取（7～14）d；粉土和黏性土地基可取（14～28）d。强夯置换地基间隔时间可取28d</w:t>
      </w:r>
      <w:r>
        <w:rPr>
          <w:rFonts w:hint="eastAsia" w:ascii="Times New Roman" w:hAnsi="Times New Roman" w:cs="Times New Roman"/>
          <w:color w:val="auto"/>
          <w:sz w:val="21"/>
          <w:szCs w:val="21"/>
        </w:rPr>
        <w:t>。</w:t>
      </w:r>
    </w:p>
    <w:p w14:paraId="507D2E54">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c)  </w:t>
      </w:r>
      <w:r>
        <w:rPr>
          <w:rFonts w:ascii="Times New Roman" w:hAnsi="Times New Roman" w:cs="Times New Roman"/>
          <w:color w:val="auto"/>
          <w:sz w:val="21"/>
          <w:szCs w:val="21"/>
        </w:rPr>
        <w:t>强夯地基均匀性检验，可采用动力触探试验或标准贯入试验、静力触探试验等原位测试，以及室内土工试验。检验点的数量应根据场地复杂程度和建筑物的重要性确定，对于简单场地上的一般建筑物，每个建筑地基每400m</w:t>
      </w:r>
      <w:r>
        <w:rPr>
          <w:rFonts w:ascii="Times New Roman" w:hAnsi="Times New Roman" w:cs="Times New Roman"/>
          <w:color w:val="auto"/>
          <w:sz w:val="21"/>
          <w:szCs w:val="21"/>
          <w:vertAlign w:val="superscript"/>
        </w:rPr>
        <w:t>2</w:t>
      </w:r>
      <w:r>
        <w:rPr>
          <w:rFonts w:ascii="Times New Roman" w:hAnsi="Times New Roman" w:cs="Times New Roman"/>
          <w:color w:val="auto"/>
          <w:sz w:val="21"/>
          <w:szCs w:val="21"/>
        </w:rPr>
        <w:t>宜布置一个检测点，且不应少于3点；对于复杂场地或重要建筑地基，每300m</w:t>
      </w:r>
      <w:r>
        <w:rPr>
          <w:rFonts w:ascii="Times New Roman" w:hAnsi="Times New Roman" w:cs="Times New Roman"/>
          <w:color w:val="auto"/>
          <w:sz w:val="21"/>
          <w:szCs w:val="21"/>
          <w:vertAlign w:val="superscript"/>
        </w:rPr>
        <w:t>2</w:t>
      </w:r>
      <w:r>
        <w:rPr>
          <w:rFonts w:ascii="Times New Roman" w:hAnsi="Times New Roman" w:cs="Times New Roman"/>
          <w:color w:val="auto"/>
          <w:sz w:val="21"/>
          <w:szCs w:val="21"/>
        </w:rPr>
        <w:t>宜布置一个检验点，且不应少于3点。强夯置换地基可采用超重型或重型动力触探试验等方法，检查置换墩着底情况及承载力与密度随深度的变化，检验数量不应少于墩点数的3%，且不应少于3点。</w:t>
      </w:r>
    </w:p>
    <w:p w14:paraId="2297EBF5">
      <w:pPr>
        <w:pStyle w:val="33"/>
        <w:snapToGrid w:val="0"/>
        <w:spacing w:before="0" w:beforeAutospacing="0" w:after="0" w:afterAutospacing="0" w:line="340" w:lineRule="atLeast"/>
        <w:ind w:left="0" w:firstLine="422" w:firstLineChars="200"/>
        <w:jc w:val="both"/>
        <w:rPr>
          <w:rFonts w:ascii="Times New Roman" w:hAnsi="Times New Roman" w:cs="Times New Roman"/>
          <w:color w:val="auto"/>
          <w:sz w:val="21"/>
          <w:szCs w:val="21"/>
        </w:rPr>
      </w:pPr>
      <w:r>
        <w:rPr>
          <w:rFonts w:ascii="Times New Roman" w:hAnsi="Times New Roman" w:cs="Times New Roman"/>
          <w:b/>
          <w:color w:val="auto"/>
          <w:sz w:val="21"/>
          <w:szCs w:val="21"/>
        </w:rPr>
        <w:t xml:space="preserve">d)  </w:t>
      </w:r>
      <w:r>
        <w:rPr>
          <w:rFonts w:ascii="Times New Roman" w:hAnsi="Times New Roman" w:cs="Times New Roman"/>
          <w:color w:val="auto"/>
          <w:sz w:val="21"/>
          <w:szCs w:val="21"/>
        </w:rPr>
        <w:t>强夯地基承载力检验的数量，应根据场地复杂程度和建筑物的重要性确定，对于简单场地上的一般建筑，每个建筑地基载荷试验检验点不应少于3点；对于复杂场地或重要建筑地基应增加检验点数。检测结果的评价应考虑夯点和夯间位置的差异。强夯置换地基单墩载荷试验检验数量不应少于墩点数的1%，且不应少于3点；对饱和粉土地基，当处理后墩间土能形成2.0m以上厚度的硬层时，其地基承载力可通过现场单墩复合地基静载荷试验确定，检验数量不应少于墩点数的1%，每个建筑载荷试验检验点不应少于3点。</w:t>
      </w:r>
    </w:p>
    <w:p w14:paraId="5AE41712">
      <w:pPr>
        <w:snapToGrid w:val="0"/>
        <w:spacing w:line="340" w:lineRule="atLeast"/>
        <w:rPr>
          <w:color w:val="auto"/>
        </w:rPr>
      </w:pPr>
    </w:p>
    <w:p w14:paraId="2563CFBE">
      <w:pPr>
        <w:adjustRightInd w:val="0"/>
        <w:snapToGrid w:val="0"/>
        <w:spacing w:line="340" w:lineRule="exact"/>
        <w:outlineLvl w:val="1"/>
        <w:rPr>
          <w:rFonts w:eastAsia="黑体"/>
          <w:b/>
          <w:bCs/>
          <w:color w:val="auto"/>
          <w:szCs w:val="21"/>
        </w:rPr>
      </w:pPr>
      <w:bookmarkStart w:id="33" w:name="_Toc199943593"/>
      <w:bookmarkStart w:id="34" w:name="_Toc289960133"/>
      <w:bookmarkStart w:id="35" w:name="_Toc266992580"/>
      <w:r>
        <w:rPr>
          <w:rFonts w:eastAsia="黑体"/>
          <w:b/>
          <w:bCs/>
          <w:color w:val="auto"/>
          <w:szCs w:val="21"/>
        </w:rPr>
        <w:t>9.6  多桩型复合地基</w:t>
      </w:r>
      <w:bookmarkEnd w:id="33"/>
      <w:bookmarkEnd w:id="34"/>
      <w:bookmarkEnd w:id="35"/>
    </w:p>
    <w:p w14:paraId="4E720782">
      <w:pPr>
        <w:snapToGrid w:val="0"/>
        <w:spacing w:line="340" w:lineRule="atLeast"/>
        <w:rPr>
          <w:b/>
          <w:color w:val="auto"/>
          <w:kern w:val="0"/>
          <w:szCs w:val="21"/>
        </w:rPr>
      </w:pPr>
    </w:p>
    <w:p w14:paraId="0FE27F1E">
      <w:pPr>
        <w:snapToGrid w:val="0"/>
        <w:spacing w:line="340" w:lineRule="atLeast"/>
        <w:rPr>
          <w:color w:val="auto"/>
          <w:szCs w:val="21"/>
        </w:rPr>
      </w:pPr>
      <w:r>
        <w:rPr>
          <w:b/>
          <w:color w:val="auto"/>
          <w:kern w:val="0"/>
          <w:szCs w:val="21"/>
        </w:rPr>
        <w:t xml:space="preserve">9.6.1  </w:t>
      </w:r>
      <w:r>
        <w:rPr>
          <w:color w:val="auto"/>
          <w:szCs w:val="21"/>
        </w:rPr>
        <w:t>多桩型复合地基</w:t>
      </w:r>
      <w:r>
        <w:rPr>
          <w:color w:val="auto"/>
          <w:kern w:val="0"/>
          <w:szCs w:val="21"/>
        </w:rPr>
        <w:t>适用于处理不同深度</w:t>
      </w:r>
      <w:r>
        <w:rPr>
          <w:rFonts w:hint="eastAsia"/>
          <w:color w:val="auto"/>
          <w:kern w:val="0"/>
          <w:szCs w:val="21"/>
        </w:rPr>
        <w:t>存在相对硬层</w:t>
      </w:r>
      <w:r>
        <w:rPr>
          <w:color w:val="auto"/>
          <w:kern w:val="0"/>
          <w:szCs w:val="21"/>
        </w:rPr>
        <w:t>的正常固结土，或浅层存在欠固结土、可液化土等特殊土，</w:t>
      </w:r>
      <w:r>
        <w:rPr>
          <w:rFonts w:hint="eastAsia"/>
          <w:color w:val="auto"/>
          <w:kern w:val="0"/>
          <w:szCs w:val="21"/>
        </w:rPr>
        <w:t>以及</w:t>
      </w:r>
      <w:r>
        <w:rPr>
          <w:color w:val="auto"/>
          <w:kern w:val="0"/>
          <w:szCs w:val="21"/>
        </w:rPr>
        <w:t>对地基承载力和变形要求较高的地基。</w:t>
      </w:r>
    </w:p>
    <w:p w14:paraId="2CB56FEA">
      <w:pPr>
        <w:snapToGrid w:val="0"/>
        <w:spacing w:line="340" w:lineRule="atLeast"/>
        <w:ind w:left="422" w:hanging="422"/>
        <w:rPr>
          <w:color w:val="auto"/>
          <w:kern w:val="0"/>
          <w:szCs w:val="21"/>
        </w:rPr>
      </w:pPr>
      <w:r>
        <w:rPr>
          <w:b/>
          <w:color w:val="auto"/>
          <w:kern w:val="0"/>
          <w:szCs w:val="21"/>
        </w:rPr>
        <w:t>9.6.2</w:t>
      </w:r>
      <w:r>
        <w:rPr>
          <w:color w:val="auto"/>
          <w:kern w:val="0"/>
          <w:szCs w:val="21"/>
        </w:rPr>
        <w:t xml:space="preserve">  多桩型复合地基的设计应符合下列原则：</w:t>
      </w:r>
    </w:p>
    <w:p w14:paraId="14EBBF72">
      <w:pPr>
        <w:snapToGrid w:val="0"/>
        <w:spacing w:line="340" w:lineRule="atLeast"/>
        <w:ind w:firstLine="316" w:firstLineChars="150"/>
        <w:rPr>
          <w:color w:val="auto"/>
          <w:kern w:val="0"/>
          <w:szCs w:val="21"/>
        </w:rPr>
      </w:pPr>
      <w:r>
        <w:rPr>
          <w:b/>
          <w:color w:val="auto"/>
          <w:kern w:val="0"/>
          <w:szCs w:val="21"/>
        </w:rPr>
        <w:t>a)</w:t>
      </w:r>
      <w:r>
        <w:rPr>
          <w:rFonts w:hint="eastAsia"/>
          <w:b/>
          <w:color w:val="auto"/>
          <w:kern w:val="0"/>
          <w:szCs w:val="21"/>
        </w:rPr>
        <w:t xml:space="preserve"> </w:t>
      </w:r>
      <w:r>
        <w:rPr>
          <w:color w:val="auto"/>
          <w:kern w:val="0"/>
          <w:szCs w:val="21"/>
        </w:rPr>
        <w:t>桩型及施工工艺的确定应考虑土层情况、承载力与变形控制要求、经济性、环境要求等综合因素；</w:t>
      </w:r>
    </w:p>
    <w:p w14:paraId="32B9D1CD">
      <w:pPr>
        <w:snapToGrid w:val="0"/>
        <w:spacing w:line="340" w:lineRule="atLeast"/>
        <w:ind w:firstLine="316" w:firstLineChars="150"/>
        <w:rPr>
          <w:color w:val="auto"/>
          <w:kern w:val="0"/>
          <w:szCs w:val="21"/>
        </w:rPr>
      </w:pPr>
      <w:r>
        <w:rPr>
          <w:b/>
          <w:color w:val="auto"/>
          <w:kern w:val="0"/>
          <w:szCs w:val="21"/>
        </w:rPr>
        <w:t>b)</w:t>
      </w:r>
      <w:r>
        <w:rPr>
          <w:rFonts w:hint="eastAsia"/>
          <w:b/>
          <w:color w:val="auto"/>
          <w:kern w:val="0"/>
          <w:szCs w:val="21"/>
        </w:rPr>
        <w:t xml:space="preserve"> </w:t>
      </w:r>
      <w:r>
        <w:rPr>
          <w:rFonts w:hint="eastAsia"/>
          <w:color w:val="auto"/>
          <w:kern w:val="0"/>
          <w:szCs w:val="21"/>
        </w:rPr>
        <w:t>对复合地基</w:t>
      </w:r>
      <w:r>
        <w:rPr>
          <w:color w:val="auto"/>
          <w:kern w:val="0"/>
          <w:szCs w:val="21"/>
        </w:rPr>
        <w:t>承载力</w:t>
      </w:r>
      <w:r>
        <w:rPr>
          <w:rFonts w:hint="eastAsia"/>
          <w:color w:val="auto"/>
          <w:kern w:val="0"/>
          <w:szCs w:val="21"/>
        </w:rPr>
        <w:t>贡献</w:t>
      </w:r>
      <w:r>
        <w:rPr>
          <w:color w:val="auto"/>
          <w:kern w:val="0"/>
          <w:szCs w:val="21"/>
        </w:rPr>
        <w:t>较大或用于控制</w:t>
      </w:r>
      <w:r>
        <w:rPr>
          <w:rFonts w:hint="eastAsia"/>
          <w:color w:val="auto"/>
          <w:kern w:val="0"/>
          <w:szCs w:val="21"/>
        </w:rPr>
        <w:t>复合</w:t>
      </w:r>
      <w:r>
        <w:rPr>
          <w:color w:val="auto"/>
          <w:kern w:val="0"/>
          <w:szCs w:val="21"/>
        </w:rPr>
        <w:t>土层变形的</w:t>
      </w:r>
      <w:r>
        <w:rPr>
          <w:rFonts w:hint="eastAsia"/>
          <w:color w:val="auto"/>
          <w:kern w:val="0"/>
          <w:szCs w:val="21"/>
        </w:rPr>
        <w:t>长桩</w:t>
      </w:r>
      <w:r>
        <w:rPr>
          <w:color w:val="auto"/>
          <w:kern w:val="0"/>
          <w:szCs w:val="21"/>
        </w:rPr>
        <w:t>，应选择相对较好的持力层；</w:t>
      </w:r>
      <w:r>
        <w:rPr>
          <w:rFonts w:hint="eastAsia"/>
          <w:color w:val="auto"/>
          <w:kern w:val="0"/>
          <w:szCs w:val="21"/>
        </w:rPr>
        <w:t>对</w:t>
      </w:r>
      <w:r>
        <w:rPr>
          <w:color w:val="auto"/>
          <w:kern w:val="0"/>
          <w:szCs w:val="21"/>
        </w:rPr>
        <w:t>处理欠固结土的增强体，其长度应穿越欠固结土层；</w:t>
      </w:r>
      <w:r>
        <w:rPr>
          <w:rFonts w:hint="eastAsia"/>
          <w:color w:val="auto"/>
          <w:kern w:val="0"/>
          <w:szCs w:val="21"/>
        </w:rPr>
        <w:t>对</w:t>
      </w:r>
      <w:r>
        <w:rPr>
          <w:color w:val="auto"/>
          <w:kern w:val="0"/>
          <w:szCs w:val="21"/>
        </w:rPr>
        <w:t>处理液化土的增强体，其长度宜穿过可液化土层；</w:t>
      </w:r>
    </w:p>
    <w:p w14:paraId="39D0FBA0">
      <w:pPr>
        <w:snapToGrid w:val="0"/>
        <w:spacing w:line="340" w:lineRule="atLeast"/>
        <w:ind w:firstLine="316" w:firstLineChars="150"/>
        <w:rPr>
          <w:color w:val="auto"/>
          <w:kern w:val="0"/>
          <w:szCs w:val="21"/>
        </w:rPr>
      </w:pPr>
      <w:r>
        <w:rPr>
          <w:b/>
          <w:color w:val="auto"/>
          <w:kern w:val="0"/>
          <w:szCs w:val="21"/>
        </w:rPr>
        <w:t>c)</w:t>
      </w:r>
      <w:r>
        <w:rPr>
          <w:color w:val="auto"/>
          <w:kern w:val="0"/>
          <w:szCs w:val="21"/>
        </w:rPr>
        <w:t xml:space="preserve"> </w:t>
      </w:r>
      <w:r>
        <w:rPr>
          <w:rFonts w:hint="eastAsia"/>
          <w:color w:val="auto"/>
          <w:kern w:val="0"/>
          <w:szCs w:val="21"/>
        </w:rPr>
        <w:t xml:space="preserve"> 当</w:t>
      </w:r>
      <w:r>
        <w:rPr>
          <w:color w:val="auto"/>
          <w:kern w:val="0"/>
          <w:szCs w:val="21"/>
        </w:rPr>
        <w:t>地基浅部存在软土或欠固结土</w:t>
      </w:r>
      <w:r>
        <w:rPr>
          <w:rFonts w:hint="eastAsia"/>
          <w:color w:val="auto"/>
          <w:kern w:val="0"/>
          <w:szCs w:val="21"/>
        </w:rPr>
        <w:t>时</w:t>
      </w:r>
      <w:r>
        <w:rPr>
          <w:color w:val="auto"/>
          <w:kern w:val="0"/>
          <w:szCs w:val="21"/>
        </w:rPr>
        <w:t>，</w:t>
      </w:r>
      <w:r>
        <w:rPr>
          <w:rFonts w:hint="eastAsia"/>
          <w:color w:val="auto"/>
          <w:kern w:val="0"/>
          <w:szCs w:val="21"/>
        </w:rPr>
        <w:t>宜</w:t>
      </w:r>
      <w:r>
        <w:rPr>
          <w:color w:val="auto"/>
          <w:kern w:val="0"/>
          <w:szCs w:val="21"/>
        </w:rPr>
        <w:t>先采用</w:t>
      </w:r>
      <w:r>
        <w:rPr>
          <w:rFonts w:hint="eastAsia"/>
          <w:color w:val="auto"/>
          <w:kern w:val="0"/>
          <w:szCs w:val="21"/>
        </w:rPr>
        <w:t>预压、</w:t>
      </w:r>
      <w:r>
        <w:rPr>
          <w:color w:val="auto"/>
          <w:kern w:val="0"/>
          <w:szCs w:val="21"/>
        </w:rPr>
        <w:t>压实、</w:t>
      </w:r>
      <w:r>
        <w:rPr>
          <w:rFonts w:hint="eastAsia"/>
          <w:color w:val="auto"/>
          <w:kern w:val="0"/>
          <w:szCs w:val="21"/>
        </w:rPr>
        <w:t>夯实、</w:t>
      </w:r>
      <w:r>
        <w:rPr>
          <w:color w:val="auto"/>
          <w:kern w:val="0"/>
          <w:szCs w:val="21"/>
        </w:rPr>
        <w:t>挤密等方法或低强度桩复合地基法等处理浅层地基，</w:t>
      </w:r>
      <w:r>
        <w:rPr>
          <w:rFonts w:hint="eastAsia"/>
          <w:color w:val="auto"/>
          <w:kern w:val="0"/>
          <w:szCs w:val="21"/>
        </w:rPr>
        <w:t>再</w:t>
      </w:r>
      <w:r>
        <w:rPr>
          <w:color w:val="auto"/>
          <w:kern w:val="0"/>
          <w:szCs w:val="21"/>
        </w:rPr>
        <w:t>采用桩身强度相对较高的长桩进行</w:t>
      </w:r>
      <w:r>
        <w:rPr>
          <w:rFonts w:hint="eastAsia"/>
          <w:color w:val="auto"/>
          <w:kern w:val="0"/>
          <w:szCs w:val="21"/>
        </w:rPr>
        <w:t>地基</w:t>
      </w:r>
      <w:r>
        <w:rPr>
          <w:color w:val="auto"/>
          <w:kern w:val="0"/>
          <w:szCs w:val="21"/>
        </w:rPr>
        <w:t>处理；</w:t>
      </w:r>
    </w:p>
    <w:p w14:paraId="1E0D494B">
      <w:pPr>
        <w:snapToGrid w:val="0"/>
        <w:spacing w:line="340" w:lineRule="atLeast"/>
        <w:ind w:firstLine="316" w:firstLineChars="150"/>
        <w:rPr>
          <w:color w:val="auto"/>
          <w:kern w:val="0"/>
          <w:szCs w:val="21"/>
        </w:rPr>
      </w:pPr>
      <w:r>
        <w:rPr>
          <w:b/>
          <w:color w:val="auto"/>
          <w:kern w:val="0"/>
          <w:szCs w:val="21"/>
        </w:rPr>
        <w:t>d)</w:t>
      </w:r>
      <w:r>
        <w:rPr>
          <w:color w:val="auto"/>
          <w:kern w:val="0"/>
          <w:szCs w:val="21"/>
        </w:rPr>
        <w:t xml:space="preserve"> </w:t>
      </w:r>
      <w:r>
        <w:rPr>
          <w:rFonts w:hint="eastAsia"/>
          <w:color w:val="auto"/>
          <w:kern w:val="0"/>
          <w:szCs w:val="21"/>
        </w:rPr>
        <w:t xml:space="preserve"> </w:t>
      </w:r>
      <w:r>
        <w:rPr>
          <w:color w:val="auto"/>
          <w:kern w:val="0"/>
          <w:szCs w:val="21"/>
        </w:rPr>
        <w:t>对可液化地基，可采用挤密碎石桩等处理液化土层，再采用</w:t>
      </w:r>
      <w:r>
        <w:rPr>
          <w:color w:val="auto"/>
        </w:rPr>
        <w:t>有黏结强度</w:t>
      </w:r>
      <w:r>
        <w:rPr>
          <w:color w:val="auto"/>
          <w:kern w:val="0"/>
          <w:szCs w:val="21"/>
        </w:rPr>
        <w:t>桩进行处理的方案。</w:t>
      </w:r>
    </w:p>
    <w:p w14:paraId="58B89EDD">
      <w:pPr>
        <w:rPr>
          <w:color w:val="auto"/>
        </w:rPr>
      </w:pPr>
      <w:r>
        <w:rPr>
          <w:b/>
          <w:color w:val="auto"/>
        </w:rPr>
        <w:t>9.6.3</w:t>
      </w:r>
      <w:r>
        <w:rPr>
          <w:rFonts w:hint="eastAsia"/>
          <w:b/>
          <w:color w:val="auto"/>
        </w:rPr>
        <w:t xml:space="preserve"> </w:t>
      </w:r>
      <w:r>
        <w:rPr>
          <w:color w:val="auto"/>
        </w:rPr>
        <w:t xml:space="preserve"> 多桩型复合地基单桩承载力应采用静载试验确定，</w:t>
      </w:r>
      <w:r>
        <w:rPr>
          <w:rFonts w:hint="eastAsia"/>
          <w:color w:val="auto"/>
        </w:rPr>
        <w:t>各桩型</w:t>
      </w:r>
      <w:r>
        <w:rPr>
          <w:color w:val="auto"/>
        </w:rPr>
        <w:t>检测数量</w:t>
      </w:r>
      <w:r>
        <w:rPr>
          <w:rFonts w:hint="eastAsia"/>
          <w:color w:val="auto"/>
        </w:rPr>
        <w:t>均</w:t>
      </w:r>
      <w:r>
        <w:rPr>
          <w:color w:val="auto"/>
        </w:rPr>
        <w:t>不应少于3点；对施工扰动敏感的土层，应考虑后施工桩对已施工桩的单桩承载力的影响。</w:t>
      </w:r>
    </w:p>
    <w:p w14:paraId="7C105290">
      <w:pPr>
        <w:snapToGrid w:val="0"/>
        <w:spacing w:line="340" w:lineRule="atLeast"/>
        <w:rPr>
          <w:color w:val="auto"/>
          <w:kern w:val="0"/>
          <w:szCs w:val="21"/>
        </w:rPr>
      </w:pPr>
      <w:r>
        <w:rPr>
          <w:b/>
          <w:color w:val="auto"/>
          <w:kern w:val="0"/>
          <w:szCs w:val="21"/>
        </w:rPr>
        <w:t>9.6.4</w:t>
      </w:r>
      <w:r>
        <w:rPr>
          <w:rFonts w:hint="eastAsia"/>
          <w:b/>
          <w:color w:val="auto"/>
          <w:kern w:val="0"/>
          <w:szCs w:val="21"/>
        </w:rPr>
        <w:t xml:space="preserve"> </w:t>
      </w:r>
      <w:r>
        <w:rPr>
          <w:color w:val="auto"/>
          <w:kern w:val="0"/>
          <w:szCs w:val="21"/>
        </w:rPr>
        <w:t>多桩型复合地基的布桩宜采用正方形或三角形间隔布置，刚性桩可仅在基础范围内布置，其他增强体桩位布置应满足</w:t>
      </w:r>
      <w:r>
        <w:rPr>
          <w:rFonts w:hint="eastAsia"/>
          <w:color w:val="auto"/>
          <w:kern w:val="0"/>
          <w:szCs w:val="21"/>
        </w:rPr>
        <w:t>填土地基、</w:t>
      </w:r>
      <w:r>
        <w:rPr>
          <w:color w:val="auto"/>
          <w:kern w:val="0"/>
          <w:szCs w:val="21"/>
        </w:rPr>
        <w:t>液化土地基对不同性质土处理范围的要求。</w:t>
      </w:r>
    </w:p>
    <w:p w14:paraId="25A5942B">
      <w:pPr>
        <w:snapToGrid w:val="0"/>
        <w:spacing w:line="340" w:lineRule="atLeast"/>
        <w:rPr>
          <w:color w:val="auto"/>
          <w:kern w:val="0"/>
          <w:szCs w:val="21"/>
        </w:rPr>
      </w:pPr>
      <w:r>
        <w:rPr>
          <w:b/>
          <w:color w:val="auto"/>
          <w:kern w:val="0"/>
          <w:szCs w:val="21"/>
        </w:rPr>
        <w:t>9.6.5</w:t>
      </w:r>
      <w:r>
        <w:rPr>
          <w:rFonts w:hint="eastAsia"/>
          <w:b/>
          <w:color w:val="auto"/>
          <w:kern w:val="0"/>
          <w:szCs w:val="21"/>
        </w:rPr>
        <w:t xml:space="preserve">  </w:t>
      </w:r>
      <w:r>
        <w:rPr>
          <w:color w:val="auto"/>
          <w:kern w:val="0"/>
          <w:szCs w:val="21"/>
        </w:rPr>
        <w:t>多桩型复合地基垫层的厚度宜根据构成复合地基的各桩的类型选取，对桩身强度较高的刚性桩与其他材料增强体组合的复合地基，垫层厚度宜取刚性桩直径的1/2。</w:t>
      </w:r>
    </w:p>
    <w:p w14:paraId="746BEB5E">
      <w:pPr>
        <w:snapToGrid w:val="0"/>
        <w:spacing w:line="340" w:lineRule="atLeast"/>
        <w:rPr>
          <w:color w:val="auto"/>
          <w:szCs w:val="21"/>
        </w:rPr>
      </w:pPr>
      <w:r>
        <w:rPr>
          <w:b/>
          <w:color w:val="auto"/>
          <w:kern w:val="0"/>
          <w:szCs w:val="21"/>
        </w:rPr>
        <w:t>9.6.6</w:t>
      </w:r>
      <w:r>
        <w:rPr>
          <w:color w:val="auto"/>
          <w:kern w:val="0"/>
          <w:szCs w:val="21"/>
        </w:rPr>
        <w:t xml:space="preserve"> </w:t>
      </w:r>
      <w:r>
        <w:rPr>
          <w:rFonts w:hint="eastAsia"/>
          <w:color w:val="auto"/>
          <w:kern w:val="0"/>
          <w:szCs w:val="21"/>
        </w:rPr>
        <w:t xml:space="preserve"> </w:t>
      </w:r>
      <w:r>
        <w:rPr>
          <w:color w:val="auto"/>
          <w:kern w:val="0"/>
          <w:szCs w:val="21"/>
        </w:rPr>
        <w:t>多桩型复合地基承载力特征值应通过多桩复合地基静载试验确定，试验数量不应少于3点。初步设计时可采用</w:t>
      </w:r>
      <w:r>
        <w:rPr>
          <w:rFonts w:hint="eastAsia"/>
          <w:color w:val="auto"/>
          <w:lang w:val="en-US" w:eastAsia="zh-CN"/>
        </w:rPr>
        <w:t>公式（46）</w:t>
      </w:r>
      <w:r>
        <w:rPr>
          <w:color w:val="auto"/>
          <w:kern w:val="0"/>
          <w:szCs w:val="21"/>
        </w:rPr>
        <w:t>估算：</w:t>
      </w:r>
    </w:p>
    <w:p w14:paraId="779640E5">
      <w:pPr>
        <w:autoSpaceDE w:val="0"/>
        <w:autoSpaceDN w:val="0"/>
        <w:adjustRightInd w:val="0"/>
        <w:snapToGrid w:val="0"/>
        <w:spacing w:line="340" w:lineRule="atLeast"/>
        <w:ind w:firstLine="420" w:firstLineChars="199"/>
        <w:rPr>
          <w:color w:val="auto"/>
          <w:kern w:val="0"/>
          <w:szCs w:val="21"/>
        </w:rPr>
      </w:pPr>
      <w:r>
        <w:rPr>
          <w:b/>
          <w:color w:val="auto"/>
          <w:kern w:val="0"/>
          <w:szCs w:val="21"/>
        </w:rPr>
        <w:t xml:space="preserve">a)  </w:t>
      </w:r>
      <w:r>
        <w:rPr>
          <w:color w:val="auto"/>
          <w:kern w:val="0"/>
          <w:szCs w:val="21"/>
        </w:rPr>
        <w:t>由具有不同黏结强度的桩组合形成的多桩型复合地基：</w:t>
      </w:r>
    </w:p>
    <w:p w14:paraId="2A5E2F1B">
      <w:pPr>
        <w:pStyle w:val="12"/>
        <w:jc w:val="right"/>
        <w:rPr>
          <w:color w:val="auto"/>
          <w:kern w:val="0"/>
          <w:szCs w:val="21"/>
        </w:rPr>
      </w:pPr>
      <w:r>
        <w:rPr>
          <w:color w:val="auto"/>
          <w:position w:val="-32"/>
          <w:szCs w:val="21"/>
        </w:rPr>
        <w:object>
          <v:shape id="_x0000_i1204" o:spt="75" type="#_x0000_t75" style="height:36.75pt;width:208.5pt;" o:ole="t" filled="f" o:preferrelative="t" stroked="f" coordsize="21600,21600">
            <v:path/>
            <v:fill on="f" focussize="0,0"/>
            <v:stroke on="f" joinstyle="miter"/>
            <v:imagedata r:id="rId353" o:title=""/>
            <o:lock v:ext="edit" aspectratio="t"/>
            <w10:wrap type="none"/>
            <w10:anchorlock/>
          </v:shape>
          <o:OLEObject Type="Embed" ProgID="Equation.DSMT4" ShapeID="_x0000_i1204" DrawAspect="Content" ObjectID="_1468075904" r:id="rId352">
            <o:LockedField>false</o:LockedField>
          </o:OLEObject>
        </w:object>
      </w:r>
      <w:r>
        <w:rPr>
          <w:color w:val="auto"/>
          <w:kern w:val="0"/>
          <w:szCs w:val="21"/>
        </w:rPr>
        <w:t xml:space="preserve">                (</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46</w:t>
      </w:r>
      <w:r>
        <w:rPr>
          <w:color w:val="auto"/>
          <w:kern w:val="0"/>
          <w:szCs w:val="21"/>
        </w:rPr>
        <w:fldChar w:fldCharType="end"/>
      </w:r>
      <w:r>
        <w:rPr>
          <w:rFonts w:hint="eastAsia"/>
          <w:color w:val="auto"/>
          <w:kern w:val="0"/>
          <w:szCs w:val="21"/>
        </w:rPr>
        <w:t>)</w:t>
      </w:r>
    </w:p>
    <w:p w14:paraId="7213E0E7">
      <w:pPr>
        <w:autoSpaceDE w:val="0"/>
        <w:autoSpaceDN w:val="0"/>
        <w:adjustRightInd w:val="0"/>
        <w:snapToGrid w:val="0"/>
        <w:spacing w:line="340" w:lineRule="atLeast"/>
        <w:ind w:left="209" w:leftChars="5" w:hanging="199" w:hangingChars="95"/>
        <w:jc w:val="left"/>
        <w:rPr>
          <w:color w:val="auto"/>
          <w:kern w:val="0"/>
          <w:szCs w:val="21"/>
        </w:rPr>
      </w:pPr>
      <w:r>
        <w:rPr>
          <w:color w:val="auto"/>
          <w:kern w:val="0"/>
          <w:szCs w:val="21"/>
        </w:rPr>
        <w:t>式中：</w:t>
      </w:r>
      <w:r>
        <w:rPr>
          <w:i/>
          <w:color w:val="auto"/>
          <w:kern w:val="0"/>
          <w:szCs w:val="21"/>
        </w:rPr>
        <w:t>m</w:t>
      </w:r>
      <w:r>
        <w:rPr>
          <w:color w:val="auto"/>
          <w:kern w:val="0"/>
          <w:szCs w:val="21"/>
          <w:vertAlign w:val="subscript"/>
        </w:rPr>
        <w:t>l</w:t>
      </w:r>
      <w:r>
        <w:rPr>
          <w:color w:val="auto"/>
          <w:kern w:val="0"/>
          <w:szCs w:val="21"/>
        </w:rPr>
        <w:t>、</w:t>
      </w:r>
      <w:r>
        <w:rPr>
          <w:i/>
          <w:color w:val="auto"/>
          <w:kern w:val="0"/>
          <w:szCs w:val="21"/>
        </w:rPr>
        <w:t>m</w:t>
      </w:r>
      <w:r>
        <w:rPr>
          <w:color w:val="auto"/>
          <w:kern w:val="0"/>
          <w:szCs w:val="21"/>
          <w:vertAlign w:val="subscript"/>
        </w:rPr>
        <w:t>2</w:t>
      </w:r>
      <w:r>
        <w:rPr>
          <w:color w:val="auto"/>
          <w:kern w:val="0"/>
          <w:szCs w:val="21"/>
        </w:rPr>
        <w:t xml:space="preserve"> ——分别为桩1、桩2的面积置换率；</w:t>
      </w:r>
    </w:p>
    <w:p w14:paraId="71432C06">
      <w:pPr>
        <w:autoSpaceDE w:val="0"/>
        <w:autoSpaceDN w:val="0"/>
        <w:adjustRightInd w:val="0"/>
        <w:snapToGrid w:val="0"/>
        <w:spacing w:line="340" w:lineRule="atLeast"/>
        <w:ind w:left="1761" w:leftChars="173" w:hanging="1398" w:hangingChars="666"/>
        <w:rPr>
          <w:color w:val="auto"/>
          <w:u w:val="single"/>
        </w:rPr>
      </w:pPr>
      <w:r>
        <w:rPr>
          <w:color w:val="auto"/>
          <w:kern w:val="0"/>
          <w:szCs w:val="21"/>
        </w:rPr>
        <w:t xml:space="preserve">  </w:t>
      </w:r>
      <w:r>
        <w:rPr>
          <w:color w:val="auto"/>
          <w:position w:val="-10"/>
        </w:rPr>
        <w:object>
          <v:shape id="_x0000_i1205" o:spt="75" type="#_x0000_t75" style="height:15pt;width:15pt;" o:ole="t" filled="f" o:preferrelative="t" stroked="f" coordsize="21600,21600">
            <v:path/>
            <v:fill on="f" focussize="0,0"/>
            <v:stroke on="f" joinstyle="miter"/>
            <v:imagedata r:id="rId355" o:title=""/>
            <o:lock v:ext="edit" aspectratio="t"/>
            <w10:wrap type="none"/>
            <w10:anchorlock/>
          </v:shape>
          <o:OLEObject Type="Embed" ProgID="Equation.3" ShapeID="_x0000_i1205" DrawAspect="Content" ObjectID="_1468075905" r:id="rId354">
            <o:LockedField>false</o:LockedField>
          </o:OLEObject>
        </w:object>
      </w:r>
      <w:r>
        <w:rPr>
          <w:color w:val="auto"/>
        </w:rPr>
        <w:t>、</w:t>
      </w:r>
      <w:r>
        <w:rPr>
          <w:color w:val="auto"/>
          <w:position w:val="-10"/>
        </w:rPr>
        <w:object>
          <v:shape id="_x0000_i1206" o:spt="75" type="#_x0000_t75" style="height:15pt;width:15pt;" o:ole="t" filled="f" o:preferrelative="t" stroked="f" coordsize="21600,21600">
            <v:path/>
            <v:fill on="f" focussize="0,0"/>
            <v:stroke on="f" joinstyle="miter"/>
            <v:imagedata r:id="rId357" o:title=""/>
            <o:lock v:ext="edit" aspectratio="t"/>
            <w10:wrap type="none"/>
            <w10:anchorlock/>
          </v:shape>
          <o:OLEObject Type="Embed" ProgID="Equation.3" ShapeID="_x0000_i1206" DrawAspect="Content" ObjectID="_1468075906" r:id="rId356">
            <o:LockedField>false</o:LockedField>
          </o:OLEObject>
        </w:object>
      </w:r>
      <w:r>
        <w:rPr>
          <w:color w:val="auto"/>
        </w:rPr>
        <w:t>——分别为桩1、桩2的单桩承载力发挥系数，应由</w:t>
      </w:r>
      <w:r>
        <w:rPr>
          <w:rFonts w:hint="eastAsia"/>
          <w:color w:val="auto"/>
        </w:rPr>
        <w:t>单桩复合地基静载试验按</w:t>
      </w:r>
      <w:r>
        <w:rPr>
          <w:color w:val="auto"/>
        </w:rPr>
        <w:t>等变形准则</w:t>
      </w:r>
      <w:r>
        <w:rPr>
          <w:rFonts w:hint="eastAsia"/>
          <w:color w:val="auto"/>
        </w:rPr>
        <w:t>或多桩复合地基静载试验</w:t>
      </w:r>
      <w:r>
        <w:rPr>
          <w:color w:val="auto"/>
        </w:rPr>
        <w:t>确定，有地区经验时也可按地区经验确定，无经验时可参照表30取值；</w:t>
      </w:r>
    </w:p>
    <w:p w14:paraId="17EF57E9">
      <w:pPr>
        <w:autoSpaceDE w:val="0"/>
        <w:autoSpaceDN w:val="0"/>
        <w:adjustRightInd w:val="0"/>
        <w:snapToGrid w:val="0"/>
        <w:spacing w:line="340" w:lineRule="atLeast"/>
        <w:ind w:firstLine="405" w:firstLineChars="193"/>
        <w:jc w:val="left"/>
        <w:rPr>
          <w:color w:val="auto"/>
          <w:kern w:val="0"/>
          <w:szCs w:val="21"/>
        </w:rPr>
      </w:pPr>
      <w:r>
        <w:rPr>
          <w:color w:val="auto"/>
          <w:kern w:val="0"/>
          <w:position w:val="-12"/>
          <w:szCs w:val="21"/>
        </w:rPr>
        <w:object>
          <v:shape id="_x0000_i1207" o:spt="75" type="#_x0000_t75" style="height:21.75pt;width:15pt;" o:ole="t" filled="f" o:preferrelative="t" stroked="f" coordsize="21600,21600">
            <v:path/>
            <v:fill on="f" focussize="0,0"/>
            <v:stroke on="f" joinstyle="miter"/>
            <v:imagedata r:id="rId359" o:title=""/>
            <o:lock v:ext="edit" aspectratio="t"/>
            <w10:wrap type="none"/>
            <w10:anchorlock/>
          </v:shape>
          <o:OLEObject Type="Embed" ProgID="Equation.DSMT4" ShapeID="_x0000_i1207" DrawAspect="Content" ObjectID="_1468075907" r:id="rId358">
            <o:LockedField>false</o:LockedField>
          </o:OLEObject>
        </w:object>
      </w:r>
      <w:r>
        <w:rPr>
          <w:color w:val="auto"/>
          <w:kern w:val="0"/>
          <w:szCs w:val="21"/>
        </w:rPr>
        <w:t>、</w:t>
      </w:r>
      <w:r>
        <w:rPr>
          <w:color w:val="auto"/>
          <w:kern w:val="0"/>
          <w:position w:val="-12"/>
          <w:szCs w:val="21"/>
        </w:rPr>
        <w:object>
          <v:shape id="_x0000_i1208" o:spt="75" type="#_x0000_t75" style="height:21.75pt;width:21.75pt;" o:ole="t" filled="f" o:preferrelative="t" stroked="f" coordsize="21600,21600">
            <v:path/>
            <v:fill on="f" focussize="0,0"/>
            <v:stroke on="f" joinstyle="miter"/>
            <v:imagedata r:id="rId361" o:title=""/>
            <o:lock v:ext="edit" aspectratio="t"/>
            <w10:wrap type="none"/>
            <w10:anchorlock/>
          </v:shape>
          <o:OLEObject Type="Embed" ProgID="Equation.DSMT4" ShapeID="_x0000_i1208" DrawAspect="Content" ObjectID="_1468075908" r:id="rId360">
            <o:LockedField>false</o:LockedField>
          </o:OLEObject>
        </w:object>
      </w:r>
      <w:r>
        <w:rPr>
          <w:color w:val="auto"/>
          <w:kern w:val="0"/>
          <w:szCs w:val="21"/>
        </w:rPr>
        <w:t>——分别为桩1、桩2的单桩承载力特征值（kN）；</w:t>
      </w:r>
    </w:p>
    <w:p w14:paraId="11B5204E">
      <w:pPr>
        <w:autoSpaceDE w:val="0"/>
        <w:autoSpaceDN w:val="0"/>
        <w:adjustRightInd w:val="0"/>
        <w:snapToGrid w:val="0"/>
        <w:spacing w:line="340" w:lineRule="atLeast"/>
        <w:ind w:left="225" w:leftChars="107" w:firstLine="151" w:firstLineChars="72"/>
        <w:jc w:val="left"/>
        <w:rPr>
          <w:color w:val="auto"/>
          <w:kern w:val="0"/>
          <w:szCs w:val="21"/>
        </w:rPr>
      </w:pPr>
      <w:r>
        <w:rPr>
          <w:color w:val="auto"/>
          <w:position w:val="-14"/>
        </w:rPr>
        <w:object>
          <v:shape id="_x0000_i1209" o:spt="75" type="#_x0000_t75" style="height:21.75pt;width:21.75pt;" o:ole="t" filled="f" o:preferrelative="t" stroked="f" coordsize="21600,21600">
            <v:path/>
            <v:fill on="f" focussize="0,0"/>
            <v:stroke on="f" joinstyle="miter"/>
            <v:imagedata r:id="rId363" o:title=""/>
            <o:lock v:ext="edit" aspectratio="t"/>
            <w10:wrap type="none"/>
            <w10:anchorlock/>
          </v:shape>
          <o:OLEObject Type="Embed" ProgID="Equation.DSMT4" ShapeID="_x0000_i1209" DrawAspect="Content" ObjectID="_1468075909" r:id="rId362">
            <o:LockedField>false</o:LockedField>
          </o:OLEObject>
        </w:object>
      </w:r>
      <w:r>
        <w:rPr>
          <w:color w:val="auto"/>
          <w:kern w:val="0"/>
          <w:szCs w:val="21"/>
        </w:rPr>
        <w:t>、</w:t>
      </w:r>
      <w:r>
        <w:rPr>
          <w:color w:val="auto"/>
          <w:position w:val="-14"/>
        </w:rPr>
        <w:object>
          <v:shape id="_x0000_i1210" o:spt="75" type="#_x0000_t75" style="height:21.75pt;width:21.75pt;" o:ole="t" filled="f" o:preferrelative="t" stroked="f" coordsize="21600,21600">
            <v:path/>
            <v:fill on="f" focussize="0,0"/>
            <v:stroke on="f" joinstyle="miter"/>
            <v:imagedata r:id="rId365" o:title=""/>
            <o:lock v:ext="edit" aspectratio="t"/>
            <w10:wrap type="none"/>
            <w10:anchorlock/>
          </v:shape>
          <o:OLEObject Type="Embed" ProgID="Equation.DSMT4" ShapeID="_x0000_i1210" DrawAspect="Content" ObjectID="_1468075910" r:id="rId364">
            <o:LockedField>false</o:LockedField>
          </o:OLEObject>
        </w:object>
      </w:r>
      <w:r>
        <w:rPr>
          <w:color w:val="auto"/>
          <w:kern w:val="0"/>
          <w:szCs w:val="21"/>
        </w:rPr>
        <w:t>——分别为桩1、桩2的截面面积（m</w:t>
      </w:r>
      <w:r>
        <w:rPr>
          <w:color w:val="auto"/>
          <w:kern w:val="0"/>
          <w:szCs w:val="21"/>
          <w:vertAlign w:val="superscript"/>
        </w:rPr>
        <w:t>2</w:t>
      </w:r>
      <w:r>
        <w:rPr>
          <w:color w:val="auto"/>
          <w:kern w:val="0"/>
          <w:szCs w:val="21"/>
        </w:rPr>
        <w:t>）；</w:t>
      </w:r>
    </w:p>
    <w:p w14:paraId="277A14D8">
      <w:pPr>
        <w:autoSpaceDE w:val="0"/>
        <w:autoSpaceDN w:val="0"/>
        <w:adjustRightInd w:val="0"/>
        <w:snapToGrid w:val="0"/>
        <w:spacing w:line="340" w:lineRule="atLeast"/>
        <w:ind w:left="1789" w:leftChars="512" w:hanging="714" w:hangingChars="340"/>
        <w:rPr>
          <w:color w:val="auto"/>
          <w:u w:val="single"/>
        </w:rPr>
      </w:pPr>
      <w:r>
        <w:rPr>
          <w:color w:val="auto"/>
          <w:position w:val="-10"/>
        </w:rPr>
        <w:object>
          <v:shape id="_x0000_i1211" o:spt="75" type="#_x0000_t75" style="height:15pt;width:15pt;" o:ole="t" filled="f" o:preferrelative="t" stroked="f" coordsize="21600,21600">
            <v:path/>
            <v:fill on="f" focussize="0,0"/>
            <v:stroke on="f" joinstyle="miter"/>
            <v:imagedata r:id="rId367" o:title=""/>
            <o:lock v:ext="edit" aspectratio="t"/>
            <w10:wrap type="none"/>
            <w10:anchorlock/>
          </v:shape>
          <o:OLEObject Type="Embed" ProgID="Equation.3" ShapeID="_x0000_i1211" DrawAspect="Content" ObjectID="_1468075911" r:id="rId366">
            <o:LockedField>false</o:LockedField>
          </o:OLEObject>
        </w:object>
      </w:r>
      <w:r>
        <w:rPr>
          <w:color w:val="auto"/>
        </w:rPr>
        <w:t>——桩间土承载力发挥系数，按地区经验确定</w:t>
      </w:r>
      <w:r>
        <w:rPr>
          <w:rFonts w:hint="eastAsia"/>
          <w:color w:val="auto"/>
        </w:rPr>
        <w:t>，无经验时可取0.9～1.0</w:t>
      </w:r>
      <w:r>
        <w:rPr>
          <w:color w:val="auto"/>
        </w:rPr>
        <w:t>；</w:t>
      </w:r>
    </w:p>
    <w:p w14:paraId="48A85BFC">
      <w:pPr>
        <w:autoSpaceDE w:val="0"/>
        <w:autoSpaceDN w:val="0"/>
        <w:adjustRightInd w:val="0"/>
        <w:snapToGrid w:val="0"/>
        <w:spacing w:line="340" w:lineRule="atLeast"/>
        <w:ind w:left="225" w:leftChars="107" w:firstLine="795" w:firstLineChars="379"/>
        <w:jc w:val="left"/>
        <w:rPr>
          <w:color w:val="auto"/>
          <w:kern w:val="0"/>
          <w:szCs w:val="21"/>
        </w:rPr>
      </w:pPr>
      <w:r>
        <w:rPr>
          <w:color w:val="auto"/>
          <w:position w:val="-12"/>
        </w:rPr>
        <w:object>
          <v:shape id="_x0000_i1212" o:spt="75" type="#_x0000_t75" style="height:21.75pt;width:15pt;" o:ole="t" filled="f" o:preferrelative="t" stroked="f" coordsize="21600,21600">
            <v:path/>
            <v:fill on="f" focussize="0,0"/>
            <v:stroke on="f" joinstyle="miter"/>
            <v:imagedata r:id="rId369" o:title=""/>
            <o:lock v:ext="edit" aspectratio="t"/>
            <w10:wrap type="none"/>
            <w10:anchorlock/>
          </v:shape>
          <o:OLEObject Type="Embed" ProgID="Equation.DSMT4" ShapeID="_x0000_i1212" DrawAspect="Content" ObjectID="_1468075912" r:id="rId368">
            <o:LockedField>false</o:LockedField>
          </o:OLEObject>
        </w:object>
      </w:r>
      <w:r>
        <w:rPr>
          <w:color w:val="auto"/>
          <w:kern w:val="0"/>
          <w:szCs w:val="21"/>
        </w:rPr>
        <w:t>——处理后复合地基桩间土承载力特征值（kPa）。</w:t>
      </w:r>
    </w:p>
    <w:p w14:paraId="24E791D5">
      <w:pPr>
        <w:pStyle w:val="33"/>
        <w:spacing w:before="240" w:beforeAutospacing="0" w:after="0" w:afterAutospacing="0" w:line="400" w:lineRule="atLeast"/>
        <w:ind w:left="215" w:leftChars="8" w:hanging="198" w:hangingChars="94"/>
        <w:jc w:val="center"/>
        <w:rPr>
          <w:rFonts w:ascii="Times New Roman" w:hAnsi="Times New Roman" w:eastAsia="黑体" w:cs="Times New Roman"/>
          <w:color w:val="auto"/>
          <w:sz w:val="21"/>
          <w:szCs w:val="21"/>
        </w:rPr>
      </w:pPr>
      <w:r>
        <w:rPr>
          <w:rFonts w:ascii="Times New Roman" w:hAnsi="Times New Roman" w:eastAsia="黑体" w:cs="Times New Roman"/>
          <w:b/>
          <w:color w:val="auto"/>
          <w:sz w:val="21"/>
          <w:szCs w:val="21"/>
        </w:rPr>
        <w:t>表30</w:t>
      </w:r>
      <w:r>
        <w:rPr>
          <w:rFonts w:ascii="Times New Roman" w:hAnsi="Times New Roman" w:cs="Times New Roman"/>
          <w:b/>
          <w:color w:val="auto"/>
          <w:sz w:val="21"/>
          <w:szCs w:val="21"/>
        </w:rPr>
        <w:t xml:space="preserve">  </w:t>
      </w:r>
      <w:r>
        <w:rPr>
          <w:rFonts w:ascii="Times New Roman" w:hAnsi="Times New Roman" w:eastAsia="黑体" w:cs="Times New Roman"/>
          <w:b/>
          <w:color w:val="auto"/>
          <w:sz w:val="21"/>
          <w:szCs w:val="21"/>
        </w:rPr>
        <w:t>桩体承载力发挥系数取值</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033"/>
        <w:gridCol w:w="3238"/>
        <w:gridCol w:w="2900"/>
      </w:tblGrid>
      <w:tr w14:paraId="1E0F0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33" w:type="dxa"/>
            <w:vAlign w:val="center"/>
          </w:tcPr>
          <w:p w14:paraId="20027131">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多桩复合地基类型</w:t>
            </w:r>
          </w:p>
        </w:tc>
        <w:tc>
          <w:tcPr>
            <w:tcW w:w="3238" w:type="dxa"/>
            <w:vAlign w:val="center"/>
          </w:tcPr>
          <w:p w14:paraId="5D5EA0BA">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position w:val="-10"/>
                <w:sz w:val="18"/>
                <w:szCs w:val="18"/>
              </w:rPr>
              <w:object>
                <v:shape id="_x0000_i1213" o:spt="75" type="#_x0000_t75" style="height:15pt;width:15pt;" o:ole="t" filled="f" o:preferrelative="t" stroked="f" coordsize="21600,21600">
                  <v:path/>
                  <v:fill on="f" focussize="0,0"/>
                  <v:stroke on="f" joinstyle="miter"/>
                  <v:imagedata r:id="rId355" o:title=""/>
                  <o:lock v:ext="edit" aspectratio="t"/>
                  <w10:wrap type="none"/>
                  <w10:anchorlock/>
                </v:shape>
                <o:OLEObject Type="Embed" ProgID="Equation.3" ShapeID="_x0000_i1213" DrawAspect="Content" ObjectID="_1468075913" r:id="rId370">
                  <o:LockedField>false</o:LockedField>
                </o:OLEObject>
              </w:object>
            </w:r>
          </w:p>
        </w:tc>
        <w:tc>
          <w:tcPr>
            <w:tcW w:w="2900" w:type="dxa"/>
            <w:vAlign w:val="center"/>
          </w:tcPr>
          <w:p w14:paraId="052EE50B">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position w:val="-10"/>
                <w:sz w:val="18"/>
                <w:szCs w:val="18"/>
              </w:rPr>
              <w:object>
                <v:shape id="_x0000_i1214" o:spt="75" type="#_x0000_t75" style="height:15pt;width:15pt;" o:ole="t" filled="f" o:preferrelative="t" stroked="f" coordsize="21600,21600">
                  <v:path/>
                  <v:fill on="f" focussize="0,0"/>
                  <v:stroke on="f" joinstyle="miter"/>
                  <v:imagedata r:id="rId357" o:title=""/>
                  <o:lock v:ext="edit" aspectratio="t"/>
                  <w10:wrap type="none"/>
                  <w10:anchorlock/>
                </v:shape>
                <o:OLEObject Type="Embed" ProgID="Equation.3" ShapeID="_x0000_i1214" DrawAspect="Content" ObjectID="_1468075914" r:id="rId371">
                  <o:LockedField>false</o:LockedField>
                </o:OLEObject>
              </w:object>
            </w:r>
          </w:p>
        </w:tc>
      </w:tr>
      <w:tr w14:paraId="10128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33" w:type="dxa"/>
            <w:vAlign w:val="center"/>
          </w:tcPr>
          <w:p w14:paraId="11D0E3B0">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混凝土桩＋水泥土搅拌桩</w:t>
            </w:r>
          </w:p>
        </w:tc>
        <w:tc>
          <w:tcPr>
            <w:tcW w:w="3238" w:type="dxa"/>
            <w:vAlign w:val="center"/>
          </w:tcPr>
          <w:p w14:paraId="39440510">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0.9~1.0</w:t>
            </w:r>
          </w:p>
        </w:tc>
        <w:tc>
          <w:tcPr>
            <w:tcW w:w="2900" w:type="dxa"/>
            <w:vAlign w:val="center"/>
          </w:tcPr>
          <w:p w14:paraId="683F9223">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0.7~</w:t>
            </w:r>
            <w:r>
              <w:rPr>
                <w:rFonts w:hint="eastAsia" w:ascii="Times New Roman" w:hAnsi="Times New Roman" w:cs="Times New Roman"/>
                <w:color w:val="auto"/>
                <w:sz w:val="18"/>
                <w:szCs w:val="18"/>
              </w:rPr>
              <w:t>0</w:t>
            </w:r>
            <w:r>
              <w:rPr>
                <w:rFonts w:ascii="Times New Roman" w:hAnsi="Times New Roman" w:cs="Times New Roman"/>
                <w:color w:val="auto"/>
                <w:sz w:val="18"/>
                <w:szCs w:val="18"/>
              </w:rPr>
              <w:t>.</w:t>
            </w:r>
            <w:r>
              <w:rPr>
                <w:rFonts w:hint="eastAsia" w:ascii="Times New Roman" w:hAnsi="Times New Roman" w:cs="Times New Roman"/>
                <w:color w:val="auto"/>
                <w:sz w:val="18"/>
                <w:szCs w:val="18"/>
              </w:rPr>
              <w:t>9</w:t>
            </w:r>
          </w:p>
        </w:tc>
      </w:tr>
      <w:tr w14:paraId="00D07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71" w:type="dxa"/>
            <w:gridSpan w:val="3"/>
            <w:vAlign w:val="center"/>
          </w:tcPr>
          <w:p w14:paraId="642E016B">
            <w:pPr>
              <w:pStyle w:val="33"/>
              <w:adjustRightInd w:val="0"/>
              <w:snapToGrid w:val="0"/>
              <w:spacing w:before="0" w:beforeAutospacing="0" w:after="0" w:afterAutospacing="0" w:line="240" w:lineRule="auto"/>
              <w:ind w:left="360" w:hanging="360"/>
              <w:jc w:val="center"/>
              <w:rPr>
                <w:rFonts w:ascii="Times New Roman" w:hAnsi="Times New Roman" w:cs="Times New Roman"/>
                <w:color w:val="auto"/>
                <w:sz w:val="18"/>
                <w:szCs w:val="18"/>
              </w:rPr>
            </w:pPr>
            <w:r>
              <w:rPr>
                <w:rFonts w:ascii="Times New Roman" w:hAnsi="Times New Roman" w:cs="Times New Roman"/>
                <w:color w:val="auto"/>
                <w:sz w:val="18"/>
                <w:szCs w:val="18"/>
              </w:rPr>
              <w:t>注：当桩1的桩端置于坚硬土层，桩顶</w:t>
            </w:r>
            <w:r>
              <w:rPr>
                <w:rFonts w:hint="eastAsia" w:ascii="Times New Roman" w:hAnsi="Times New Roman" w:cs="Times New Roman"/>
                <w:color w:val="auto"/>
                <w:sz w:val="18"/>
                <w:szCs w:val="18"/>
              </w:rPr>
              <w:t>未</w:t>
            </w:r>
            <w:r>
              <w:rPr>
                <w:rFonts w:ascii="Times New Roman" w:hAnsi="Times New Roman" w:cs="Times New Roman"/>
                <w:color w:val="auto"/>
                <w:sz w:val="18"/>
                <w:szCs w:val="18"/>
              </w:rPr>
              <w:t>设置褥垫层或褥垫层厚度较薄时，表中数值取低值，否则取高值。</w:t>
            </w:r>
          </w:p>
        </w:tc>
      </w:tr>
    </w:tbl>
    <w:p w14:paraId="15394D39">
      <w:pPr>
        <w:autoSpaceDE w:val="0"/>
        <w:autoSpaceDN w:val="0"/>
        <w:adjustRightInd w:val="0"/>
        <w:snapToGrid w:val="0"/>
        <w:spacing w:line="300" w:lineRule="auto"/>
        <w:ind w:left="721" w:leftChars="172" w:hanging="360" w:hangingChars="200"/>
        <w:jc w:val="left"/>
        <w:rPr>
          <w:color w:val="auto"/>
          <w:kern w:val="0"/>
          <w:sz w:val="18"/>
          <w:szCs w:val="18"/>
        </w:rPr>
      </w:pPr>
    </w:p>
    <w:p w14:paraId="4D6323B8">
      <w:pPr>
        <w:autoSpaceDE w:val="0"/>
        <w:autoSpaceDN w:val="0"/>
        <w:adjustRightInd w:val="0"/>
        <w:snapToGrid w:val="0"/>
        <w:spacing w:line="340" w:lineRule="atLeast"/>
        <w:ind w:firstLine="422" w:firstLineChars="200"/>
        <w:jc w:val="left"/>
        <w:rPr>
          <w:color w:val="auto"/>
          <w:kern w:val="0"/>
          <w:szCs w:val="21"/>
        </w:rPr>
      </w:pPr>
      <w:r>
        <w:rPr>
          <w:b/>
          <w:color w:val="auto"/>
          <w:kern w:val="0"/>
          <w:szCs w:val="21"/>
        </w:rPr>
        <w:t>b)</w:t>
      </w:r>
      <w:r>
        <w:rPr>
          <w:color w:val="auto"/>
          <w:kern w:val="0"/>
          <w:szCs w:val="21"/>
        </w:rPr>
        <w:t xml:space="preserve">  由具有黏结强度桩与散体材料桩或石灰桩组合形成的复合地基承载力特征值</w:t>
      </w:r>
      <w:r>
        <w:rPr>
          <w:rFonts w:hint="eastAsia"/>
          <w:color w:val="auto"/>
          <w:kern w:val="0"/>
          <w:szCs w:val="21"/>
          <w:lang w:val="en-US" w:eastAsia="zh-CN"/>
        </w:rPr>
        <w:t>按</w:t>
      </w:r>
      <w:r>
        <w:rPr>
          <w:rFonts w:hint="eastAsia"/>
          <w:color w:val="auto"/>
          <w:lang w:val="en-US" w:eastAsia="zh-CN"/>
        </w:rPr>
        <w:t>公式（47）~（48）计算</w:t>
      </w:r>
      <w:r>
        <w:rPr>
          <w:color w:val="auto"/>
          <w:kern w:val="0"/>
          <w:szCs w:val="21"/>
        </w:rPr>
        <w:t>：</w:t>
      </w:r>
    </w:p>
    <w:p w14:paraId="63A99CBD">
      <w:pPr>
        <w:pStyle w:val="12"/>
        <w:jc w:val="right"/>
        <w:rPr>
          <w:color w:val="auto"/>
          <w:kern w:val="0"/>
          <w:szCs w:val="21"/>
        </w:rPr>
      </w:pPr>
      <w:r>
        <w:rPr>
          <w:color w:val="auto"/>
          <w:kern w:val="0"/>
          <w:szCs w:val="21"/>
        </w:rPr>
        <w:t xml:space="preserve">                   </w:t>
      </w:r>
      <w:r>
        <w:rPr>
          <w:color w:val="auto"/>
          <w:position w:val="-32"/>
          <w:szCs w:val="21"/>
        </w:rPr>
        <w:object>
          <v:shape id="_x0000_i1215" o:spt="75" type="#_x0000_t75" style="height:36.75pt;width:187.5pt;" o:ole="t" filled="f" o:preferrelative="t" stroked="f" coordsize="21600,21600">
            <v:path/>
            <v:fill on="f" focussize="0,0"/>
            <v:stroke on="f" joinstyle="miter"/>
            <v:imagedata r:id="rId373" o:title=""/>
            <o:lock v:ext="edit" aspectratio="t"/>
            <w10:wrap type="none"/>
            <w10:anchorlock/>
          </v:shape>
          <o:OLEObject Type="Embed" ProgID="Equation.DSMT4" ShapeID="_x0000_i1215" DrawAspect="Content" ObjectID="_1468075915" r:id="rId372">
            <o:LockedField>false</o:LockedField>
          </o:OLEObject>
        </w:object>
      </w:r>
      <w:r>
        <w:rPr>
          <w:color w:val="auto"/>
          <w:kern w:val="0"/>
          <w:szCs w:val="21"/>
        </w:rPr>
        <w:t xml:space="preserve"> </w:t>
      </w:r>
      <w:r>
        <w:rPr>
          <w:b/>
          <w:color w:val="auto"/>
        </w:rPr>
        <w:t xml:space="preserve">                    </w:t>
      </w:r>
      <w:r>
        <w:rPr>
          <w:color w:val="auto"/>
          <w:kern w:val="0"/>
          <w:szCs w:val="21"/>
        </w:rPr>
        <w:t xml:space="preserve"> (</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47</w:t>
      </w:r>
      <w:r>
        <w:rPr>
          <w:color w:val="auto"/>
          <w:kern w:val="0"/>
          <w:szCs w:val="21"/>
        </w:rPr>
        <w:fldChar w:fldCharType="end"/>
      </w:r>
      <w:r>
        <w:rPr>
          <w:color w:val="auto"/>
          <w:kern w:val="0"/>
          <w:szCs w:val="21"/>
        </w:rPr>
        <w:t>)</w:t>
      </w:r>
    </w:p>
    <w:p w14:paraId="16C0B710">
      <w:pPr>
        <w:pStyle w:val="12"/>
        <w:jc w:val="right"/>
        <w:rPr>
          <w:color w:val="auto"/>
          <w:kern w:val="0"/>
          <w:szCs w:val="21"/>
        </w:rPr>
      </w:pPr>
      <w:r>
        <w:rPr>
          <w:color w:val="auto"/>
          <w:kern w:val="0"/>
          <w:szCs w:val="21"/>
        </w:rPr>
        <w:t xml:space="preserve">                    </w:t>
      </w:r>
      <w:r>
        <w:rPr>
          <w:color w:val="auto"/>
          <w:position w:val="-32"/>
          <w:szCs w:val="21"/>
        </w:rPr>
        <w:object>
          <v:shape id="_x0000_i1216" o:spt="75" type="#_x0000_t75" style="height:36.75pt;width:187.5pt;" o:ole="t" filled="f" o:preferrelative="t" stroked="f" coordsize="21600,21600">
            <v:path/>
            <v:fill on="f" focussize="0,0"/>
            <v:stroke on="f" joinstyle="miter"/>
            <v:imagedata r:id="rId375" o:title=""/>
            <o:lock v:ext="edit" aspectratio="t"/>
            <w10:wrap type="none"/>
            <w10:anchorlock/>
          </v:shape>
          <o:OLEObject Type="Embed" ProgID="Equation.DSMT4" ShapeID="_x0000_i1216" DrawAspect="Content" ObjectID="_1468075916" r:id="rId374">
            <o:LockedField>false</o:LockedField>
          </o:OLEObject>
        </w:object>
      </w:r>
      <w:r>
        <w:rPr>
          <w:b/>
          <w:color w:val="auto"/>
        </w:rPr>
        <w:t xml:space="preserve">                    </w:t>
      </w:r>
      <w:r>
        <w:rPr>
          <w:color w:val="auto"/>
          <w:kern w:val="0"/>
          <w:szCs w:val="21"/>
        </w:rPr>
        <w:t xml:space="preserve"> (</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48</w:t>
      </w:r>
      <w:r>
        <w:rPr>
          <w:color w:val="auto"/>
          <w:kern w:val="0"/>
          <w:szCs w:val="21"/>
        </w:rPr>
        <w:fldChar w:fldCharType="end"/>
      </w:r>
      <w:r>
        <w:rPr>
          <w:color w:val="auto"/>
          <w:kern w:val="0"/>
          <w:szCs w:val="21"/>
        </w:rPr>
        <w:t>)</w:t>
      </w:r>
    </w:p>
    <w:p w14:paraId="6833EE0F">
      <w:pPr>
        <w:autoSpaceDE w:val="0"/>
        <w:autoSpaceDN w:val="0"/>
        <w:adjustRightInd w:val="0"/>
        <w:snapToGrid w:val="0"/>
        <w:spacing w:line="340" w:lineRule="atLeast"/>
        <w:ind w:left="1464" w:leftChars="47" w:hanging="1365" w:hangingChars="650"/>
        <w:rPr>
          <w:color w:val="auto"/>
        </w:rPr>
      </w:pPr>
      <w:r>
        <w:rPr>
          <w:color w:val="auto"/>
          <w:kern w:val="0"/>
          <w:szCs w:val="21"/>
        </w:rPr>
        <w:t>式中：</w:t>
      </w:r>
      <w:r>
        <w:rPr>
          <w:color w:val="auto"/>
          <w:position w:val="-10"/>
        </w:rPr>
        <w:object>
          <v:shape id="_x0000_i1217" o:spt="75" type="#_x0000_t75" style="height:15pt;width:15pt;" o:ole="t" filled="f" o:preferrelative="t" stroked="f" coordsize="21600,21600">
            <v:path/>
            <v:fill on="f" focussize="0,0"/>
            <v:stroke on="f" joinstyle="miter"/>
            <v:imagedata r:id="rId355" o:title=""/>
            <o:lock v:ext="edit" aspectratio="t"/>
            <w10:wrap type="none"/>
            <w10:anchorlock/>
          </v:shape>
          <o:OLEObject Type="Embed" ProgID="Equation.3" ShapeID="_x0000_i1217" DrawAspect="Content" ObjectID="_1468075917" r:id="rId376">
            <o:LockedField>false</o:LockedField>
          </o:OLEObject>
        </w:object>
      </w:r>
      <w:r>
        <w:rPr>
          <w:color w:val="auto"/>
        </w:rPr>
        <w:t>——桩1的单桩承载力发挥系数，应由复合地基等变形准则确定，一般情况下可取1.0；</w:t>
      </w:r>
    </w:p>
    <w:p w14:paraId="0697BD42">
      <w:pPr>
        <w:autoSpaceDE w:val="0"/>
        <w:autoSpaceDN w:val="0"/>
        <w:adjustRightInd w:val="0"/>
        <w:snapToGrid w:val="0"/>
        <w:spacing w:line="340" w:lineRule="atLeast"/>
        <w:ind w:left="1411" w:leftChars="349" w:hanging="678" w:hangingChars="323"/>
        <w:jc w:val="left"/>
        <w:rPr>
          <w:color w:val="auto"/>
        </w:rPr>
      </w:pPr>
      <w:r>
        <w:rPr>
          <w:color w:val="auto"/>
          <w:position w:val="-10"/>
        </w:rPr>
        <w:object>
          <v:shape id="_x0000_i1218" o:spt="75" type="#_x0000_t75" style="height:15pt;width:15pt;" o:ole="t" filled="f" o:preferrelative="t" stroked="f" coordsize="21600,21600">
            <v:path/>
            <v:fill on="f" focussize="0,0"/>
            <v:stroke on="f" joinstyle="miter"/>
            <v:imagedata r:id="rId378" o:title=""/>
            <o:lock v:ext="edit" aspectratio="t"/>
            <w10:wrap type="none"/>
            <w10:anchorlock/>
          </v:shape>
          <o:OLEObject Type="Embed" ProgID="Equation.3" ShapeID="_x0000_i1218" DrawAspect="Content" ObjectID="_1468075918" r:id="rId377">
            <o:LockedField>false</o:LockedField>
          </o:OLEObject>
        </w:object>
      </w:r>
      <w:r>
        <w:rPr>
          <w:color w:val="auto"/>
        </w:rPr>
        <w:t>——仅由</w:t>
      </w:r>
      <w:r>
        <w:rPr>
          <w:color w:val="auto"/>
          <w:kern w:val="0"/>
          <w:szCs w:val="21"/>
        </w:rPr>
        <w:t>散体材料</w:t>
      </w:r>
      <w:r>
        <w:rPr>
          <w:color w:val="auto"/>
        </w:rPr>
        <w:t>桩加固处理形成的复合地基承载力发挥系数，一般可取0.6~1.0；当桩1的桩端为坚硬土层时，取低值，桩顶未设置褥垫层或褥垫层厚度较薄时，取低值；</w:t>
      </w:r>
    </w:p>
    <w:p w14:paraId="23F9C815">
      <w:pPr>
        <w:autoSpaceDE w:val="0"/>
        <w:autoSpaceDN w:val="0"/>
        <w:adjustRightInd w:val="0"/>
        <w:snapToGrid w:val="0"/>
        <w:spacing w:line="340" w:lineRule="atLeast"/>
        <w:ind w:left="197" w:leftChars="13" w:hanging="170" w:hangingChars="81"/>
        <w:jc w:val="left"/>
        <w:rPr>
          <w:color w:val="auto"/>
        </w:rPr>
      </w:pPr>
      <w:r>
        <w:rPr>
          <w:color w:val="auto"/>
          <w:kern w:val="0"/>
          <w:szCs w:val="21"/>
        </w:rPr>
        <w:t xml:space="preserve">        </w:t>
      </w:r>
      <w:r>
        <w:rPr>
          <w:i/>
          <w:color w:val="auto"/>
        </w:rPr>
        <w:t>n</w:t>
      </w:r>
      <w:r>
        <w:rPr>
          <w:color w:val="auto"/>
        </w:rPr>
        <w:t>——仅由</w:t>
      </w:r>
      <w:r>
        <w:rPr>
          <w:color w:val="auto"/>
          <w:kern w:val="0"/>
          <w:szCs w:val="21"/>
        </w:rPr>
        <w:t>散体材料</w:t>
      </w:r>
      <w:r>
        <w:rPr>
          <w:color w:val="auto"/>
        </w:rPr>
        <w:t>桩加固处理形成复合地基的桩土应力比；</w:t>
      </w:r>
    </w:p>
    <w:p w14:paraId="23D8914F">
      <w:pPr>
        <w:autoSpaceDE w:val="0"/>
        <w:autoSpaceDN w:val="0"/>
        <w:adjustRightInd w:val="0"/>
        <w:snapToGrid w:val="0"/>
        <w:spacing w:line="340" w:lineRule="atLeast"/>
        <w:ind w:left="420" w:hanging="392"/>
        <w:jc w:val="left"/>
        <w:rPr>
          <w:color w:val="auto"/>
        </w:rPr>
      </w:pPr>
      <w:r>
        <w:rPr>
          <w:color w:val="auto"/>
        </w:rPr>
        <w:t xml:space="preserve">      </w:t>
      </w:r>
      <w:r>
        <w:rPr>
          <w:color w:val="auto"/>
          <w:position w:val="-12"/>
        </w:rPr>
        <w:object>
          <v:shape id="_x0000_i1219" o:spt="75" type="#_x0000_t75" style="height:21.75pt;width:15pt;" o:ole="t" filled="f" o:preferrelative="t" stroked="f" coordsize="21600,21600">
            <v:path/>
            <v:fill on="f" focussize="0,0"/>
            <v:stroke on="f" joinstyle="miter"/>
            <v:imagedata r:id="rId380" o:title=""/>
            <o:lock v:ext="edit" aspectratio="t"/>
            <w10:wrap type="none"/>
            <w10:anchorlock/>
          </v:shape>
          <o:OLEObject Type="Embed" ProgID="Equation.DSMT4" ShapeID="_x0000_i1219" DrawAspect="Content" ObjectID="_1468075919" r:id="rId379">
            <o:LockedField>false</o:LockedField>
          </o:OLEObject>
        </w:object>
      </w:r>
      <w:r>
        <w:rPr>
          <w:color w:val="auto"/>
          <w:kern w:val="0"/>
          <w:szCs w:val="21"/>
        </w:rPr>
        <w:t>——</w:t>
      </w:r>
      <w:r>
        <w:rPr>
          <w:color w:val="auto"/>
        </w:rPr>
        <w:t>仅由</w:t>
      </w:r>
      <w:r>
        <w:rPr>
          <w:color w:val="auto"/>
          <w:kern w:val="0"/>
          <w:szCs w:val="21"/>
        </w:rPr>
        <w:t>散体材料</w:t>
      </w:r>
      <w:r>
        <w:rPr>
          <w:color w:val="auto"/>
        </w:rPr>
        <w:t>桩或石灰桩加固处理后桩间土承载力特征值</w:t>
      </w:r>
      <w:r>
        <w:rPr>
          <w:color w:val="auto"/>
          <w:kern w:val="0"/>
          <w:szCs w:val="21"/>
        </w:rPr>
        <w:t>（kPa）</w:t>
      </w:r>
      <w:r>
        <w:rPr>
          <w:color w:val="auto"/>
        </w:rPr>
        <w:t>；</w:t>
      </w:r>
    </w:p>
    <w:p w14:paraId="64C515E1">
      <w:pPr>
        <w:autoSpaceDE w:val="0"/>
        <w:autoSpaceDN w:val="0"/>
        <w:adjustRightInd w:val="0"/>
        <w:snapToGrid w:val="0"/>
        <w:spacing w:line="340" w:lineRule="atLeast"/>
        <w:ind w:left="420" w:hanging="420"/>
        <w:jc w:val="left"/>
        <w:rPr>
          <w:color w:val="auto"/>
        </w:rPr>
      </w:pPr>
      <w:r>
        <w:rPr>
          <w:color w:val="auto"/>
        </w:rPr>
        <w:t xml:space="preserve">      </w:t>
      </w:r>
      <w:r>
        <w:rPr>
          <w:color w:val="auto"/>
          <w:position w:val="-14"/>
        </w:rPr>
        <w:object>
          <v:shape id="_x0000_i1220" o:spt="75" type="#_x0000_t75" style="height:21.75pt;width:15pt;" o:ole="t" filled="f" o:preferrelative="t" stroked="f" coordsize="21600,21600">
            <v:path/>
            <v:fill on="f" focussize="0,0"/>
            <v:stroke on="f" joinstyle="miter"/>
            <v:imagedata r:id="rId382" o:title=""/>
            <o:lock v:ext="edit" aspectratio="t"/>
            <w10:wrap type="none"/>
            <w10:anchorlock/>
          </v:shape>
          <o:OLEObject Type="Embed" ProgID="Equation.DSMT4" ShapeID="_x0000_i1220" DrawAspect="Content" ObjectID="_1468075920" r:id="rId381">
            <o:LockedField>false</o:LockedField>
          </o:OLEObject>
        </w:object>
      </w:r>
      <w:r>
        <w:rPr>
          <w:color w:val="auto"/>
          <w:kern w:val="0"/>
          <w:szCs w:val="21"/>
        </w:rPr>
        <w:t>——</w:t>
      </w:r>
      <w:r>
        <w:rPr>
          <w:color w:val="auto"/>
        </w:rPr>
        <w:t>石灰桩身抗压强度比例界限值</w:t>
      </w:r>
      <w:r>
        <w:rPr>
          <w:color w:val="auto"/>
          <w:kern w:val="0"/>
          <w:szCs w:val="21"/>
        </w:rPr>
        <w:t>（kPa）</w:t>
      </w:r>
      <w:r>
        <w:rPr>
          <w:color w:val="auto"/>
        </w:rPr>
        <w:t>；</w:t>
      </w:r>
    </w:p>
    <w:p w14:paraId="0711495A">
      <w:pPr>
        <w:autoSpaceDE w:val="0"/>
        <w:autoSpaceDN w:val="0"/>
        <w:adjustRightInd w:val="0"/>
        <w:snapToGrid w:val="0"/>
        <w:spacing w:line="340" w:lineRule="atLeast"/>
        <w:ind w:left="420" w:leftChars="200" w:firstLine="237" w:firstLineChars="113"/>
        <w:jc w:val="left"/>
        <w:rPr>
          <w:color w:val="auto"/>
        </w:rPr>
      </w:pPr>
      <w:r>
        <w:rPr>
          <w:color w:val="auto"/>
          <w:position w:val="-12"/>
        </w:rPr>
        <w:object>
          <v:shape id="_x0000_i1221" o:spt="75" type="#_x0000_t75" style="height:21.75pt;width:15pt;" o:ole="t" filled="f" o:preferrelative="t" stroked="f" coordsize="21600,21600">
            <v:path/>
            <v:fill on="f" focussize="0,0"/>
            <v:stroke on="f" joinstyle="miter"/>
            <v:imagedata r:id="rId384" o:title=""/>
            <o:lock v:ext="edit" aspectratio="t"/>
            <w10:wrap type="none"/>
            <w10:anchorlock/>
          </v:shape>
          <o:OLEObject Type="Embed" ProgID="Equation.DSMT4" ShapeID="_x0000_i1221" DrawAspect="Content" ObjectID="_1468075921" r:id="rId383">
            <o:LockedField>false</o:LockedField>
          </o:OLEObject>
        </w:object>
      </w:r>
      <w:r>
        <w:rPr>
          <w:color w:val="auto"/>
        </w:rPr>
        <w:t>——</w:t>
      </w:r>
      <w:r>
        <w:rPr>
          <w:color w:val="auto"/>
          <w:kern w:val="0"/>
          <w:szCs w:val="21"/>
        </w:rPr>
        <w:t>有黏结强度桩的面积置换率；</w:t>
      </w:r>
    </w:p>
    <w:p w14:paraId="75AB569E">
      <w:pPr>
        <w:autoSpaceDE w:val="0"/>
        <w:autoSpaceDN w:val="0"/>
        <w:adjustRightInd w:val="0"/>
        <w:snapToGrid w:val="0"/>
        <w:spacing w:line="340" w:lineRule="atLeast"/>
        <w:ind w:left="420" w:leftChars="200" w:firstLine="222" w:firstLineChars="106"/>
        <w:jc w:val="left"/>
        <w:rPr>
          <w:color w:val="auto"/>
          <w:kern w:val="0"/>
          <w:szCs w:val="21"/>
        </w:rPr>
      </w:pPr>
      <w:r>
        <w:rPr>
          <w:color w:val="auto"/>
          <w:position w:val="-12"/>
        </w:rPr>
        <w:object>
          <v:shape id="_x0000_i1222" o:spt="75" type="#_x0000_t75" style="height:21.75pt;width:15pt;" o:ole="t" filled="f" o:preferrelative="t" stroked="f" coordsize="21600,21600">
            <v:path/>
            <v:fill on="f" focussize="0,0"/>
            <v:stroke on="f" joinstyle="miter"/>
            <v:imagedata r:id="rId386" o:title=""/>
            <o:lock v:ext="edit" aspectratio="t"/>
            <w10:wrap type="none"/>
            <w10:anchorlock/>
          </v:shape>
          <o:OLEObject Type="Embed" ProgID="Equation.DSMT4" ShapeID="_x0000_i1222" DrawAspect="Content" ObjectID="_1468075922" r:id="rId385">
            <o:LockedField>false</o:LockedField>
          </o:OLEObject>
        </w:object>
      </w:r>
      <w:r>
        <w:rPr>
          <w:color w:val="auto"/>
        </w:rPr>
        <w:t>——</w:t>
      </w:r>
      <w:r>
        <w:rPr>
          <w:color w:val="auto"/>
          <w:kern w:val="0"/>
          <w:szCs w:val="21"/>
        </w:rPr>
        <w:t>散体材料桩或石灰桩的面积置换率。</w:t>
      </w:r>
    </w:p>
    <w:p w14:paraId="52EDABCA">
      <w:pPr>
        <w:adjustRightInd w:val="0"/>
        <w:snapToGrid w:val="0"/>
        <w:spacing w:line="340" w:lineRule="atLeast"/>
        <w:ind w:left="715" w:leftChars="200" w:hanging="295" w:hangingChars="140"/>
        <w:rPr>
          <w:color w:val="auto"/>
          <w:szCs w:val="21"/>
        </w:rPr>
      </w:pPr>
      <w:r>
        <w:rPr>
          <w:b/>
          <w:color w:val="auto"/>
          <w:kern w:val="0"/>
          <w:szCs w:val="21"/>
        </w:rPr>
        <w:t>c)</w:t>
      </w:r>
      <w:r>
        <w:rPr>
          <w:color w:val="auto"/>
          <w:kern w:val="0"/>
          <w:szCs w:val="21"/>
        </w:rPr>
        <w:t xml:space="preserve">  当桩1为混凝土桩时，</w:t>
      </w:r>
      <w:r>
        <w:rPr>
          <w:color w:val="auto"/>
          <w:szCs w:val="21"/>
        </w:rPr>
        <w:t>桩体强度应符合本文件第9.3.2条的有关规定</w:t>
      </w:r>
      <w:r>
        <w:rPr>
          <w:rFonts w:hint="eastAsia"/>
          <w:color w:val="auto"/>
          <w:szCs w:val="21"/>
        </w:rPr>
        <w:t>。</w:t>
      </w:r>
    </w:p>
    <w:p w14:paraId="46678633">
      <w:pPr>
        <w:autoSpaceDE w:val="0"/>
        <w:autoSpaceDN w:val="0"/>
        <w:adjustRightInd w:val="0"/>
        <w:snapToGrid w:val="0"/>
        <w:spacing w:line="340" w:lineRule="atLeast"/>
        <w:rPr>
          <w:color w:val="auto"/>
        </w:rPr>
      </w:pPr>
      <w:r>
        <w:rPr>
          <w:b/>
          <w:color w:val="auto"/>
        </w:rPr>
        <w:t>9.6.7</w:t>
      </w:r>
      <w:r>
        <w:rPr>
          <w:color w:val="auto"/>
        </w:rPr>
        <w:t xml:space="preserve">  多桩型复合地基面积置换率应根据基础面积与该面积范围内实际的桩1、桩2布桩数分别进行计算，当基础面积较大时，也可以单元面积置换率替代。</w:t>
      </w:r>
    </w:p>
    <w:p w14:paraId="2A939297">
      <w:pPr>
        <w:rPr>
          <w:color w:val="auto"/>
        </w:rPr>
      </w:pPr>
      <w:r>
        <w:rPr>
          <w:b/>
          <w:bCs/>
          <w:color w:val="auto"/>
          <w:kern w:val="0"/>
        </w:rPr>
        <w:t>9</w:t>
      </w:r>
      <w:r>
        <w:rPr>
          <w:color w:val="auto"/>
        </w:rPr>
        <w:t>.6.8</w:t>
      </w:r>
      <w:r>
        <w:rPr>
          <w:rFonts w:hint="eastAsia"/>
          <w:color w:val="auto"/>
        </w:rPr>
        <w:t xml:space="preserve"> </w:t>
      </w:r>
      <w:r>
        <w:rPr>
          <w:color w:val="auto"/>
        </w:rPr>
        <w:t xml:space="preserve"> 多桩型复合地基变形计算可按本文件第9.2.</w:t>
      </w:r>
      <w:r>
        <w:rPr>
          <w:rFonts w:hint="eastAsia"/>
          <w:color w:val="auto"/>
        </w:rPr>
        <w:t>11</w:t>
      </w:r>
      <w:r>
        <w:rPr>
          <w:color w:val="auto"/>
        </w:rPr>
        <w:t>条的有关规定进行，复合土层的压缩模量计算可按下列要求进行：</w:t>
      </w:r>
    </w:p>
    <w:p w14:paraId="02E2B536">
      <w:pPr>
        <w:ind w:firstLine="422" w:firstLineChars="200"/>
        <w:rPr>
          <w:color w:val="auto"/>
        </w:rPr>
      </w:pPr>
      <w:r>
        <w:rPr>
          <w:b/>
          <w:bCs/>
          <w:color w:val="auto"/>
          <w:kern w:val="0"/>
        </w:rPr>
        <w:t>a)</w:t>
      </w:r>
      <w:r>
        <w:rPr>
          <w:color w:val="auto"/>
        </w:rPr>
        <w:t xml:space="preserve"> </w:t>
      </w:r>
      <w:r>
        <w:rPr>
          <w:rFonts w:hint="eastAsia"/>
          <w:color w:val="auto"/>
        </w:rPr>
        <w:t xml:space="preserve"> </w:t>
      </w:r>
      <w:r>
        <w:rPr>
          <w:color w:val="auto"/>
        </w:rPr>
        <w:t>具有黏结强度增强体的长桩型和短桩型所形成的复合加固区、</w:t>
      </w:r>
      <w:r>
        <w:rPr>
          <w:color w:val="auto"/>
          <w:kern w:val="0"/>
          <w:szCs w:val="21"/>
        </w:rPr>
        <w:t>短桩桩端至长桩桩端加固区的地基土</w:t>
      </w:r>
      <w:r>
        <w:rPr>
          <w:color w:val="auto"/>
        </w:rPr>
        <w:t>模量提高系数</w:t>
      </w:r>
      <w:r>
        <w:rPr>
          <w:color w:val="auto"/>
          <w:kern w:val="0"/>
          <w:szCs w:val="21"/>
        </w:rPr>
        <w:t>分别按</w:t>
      </w:r>
      <w:r>
        <w:rPr>
          <w:rFonts w:hint="eastAsia"/>
          <w:color w:val="auto"/>
          <w:lang w:val="en-US" w:eastAsia="zh-CN"/>
        </w:rPr>
        <w:t>公式（49）~（50）</w:t>
      </w:r>
      <w:r>
        <w:rPr>
          <w:color w:val="auto"/>
          <w:kern w:val="0"/>
          <w:szCs w:val="21"/>
        </w:rPr>
        <w:t>计算：</w:t>
      </w:r>
    </w:p>
    <w:p w14:paraId="49DADB54">
      <w:pPr>
        <w:pStyle w:val="12"/>
        <w:jc w:val="right"/>
        <w:rPr>
          <w:color w:val="auto"/>
        </w:rPr>
      </w:pPr>
      <w:r>
        <w:rPr>
          <w:color w:val="auto"/>
          <w:position w:val="-30"/>
        </w:rPr>
        <w:object>
          <v:shape id="_x0000_i1223" o:spt="75" type="#_x0000_t75" style="height:36.75pt;width:43.5pt;" o:ole="t" filled="f" o:preferrelative="t" stroked="f" coordsize="21600,21600">
            <v:path/>
            <v:fill on="f" focussize="0,0"/>
            <v:stroke on="f" joinstyle="miter"/>
            <v:imagedata r:id="rId388" o:title=""/>
            <o:lock v:ext="edit" aspectratio="t"/>
            <w10:wrap type="none"/>
            <w10:anchorlock/>
          </v:shape>
          <o:OLEObject Type="Embed" ProgID="Equation.DSMT4" ShapeID="_x0000_i1223" DrawAspect="Content" ObjectID="_1468075923" r:id="rId387">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49</w:t>
      </w:r>
      <w:r>
        <w:rPr>
          <w:color w:val="auto"/>
        </w:rPr>
        <w:fldChar w:fldCharType="end"/>
      </w:r>
      <w:r>
        <w:rPr>
          <w:color w:val="auto"/>
        </w:rPr>
        <w:t>)</w:t>
      </w:r>
    </w:p>
    <w:p w14:paraId="0CD35D2E">
      <w:pPr>
        <w:pStyle w:val="12"/>
        <w:jc w:val="right"/>
        <w:rPr>
          <w:color w:val="auto"/>
        </w:rPr>
      </w:pPr>
      <w:r>
        <w:rPr>
          <w:color w:val="auto"/>
        </w:rPr>
        <w:t xml:space="preserve">                              </w:t>
      </w:r>
      <w:r>
        <w:rPr>
          <w:color w:val="auto"/>
          <w:position w:val="-30"/>
        </w:rPr>
        <w:object>
          <v:shape id="_x0000_i1224" o:spt="75" type="#_x0000_t75" style="height:36.75pt;width:51pt;" o:ole="t" filled="f" o:preferrelative="t" stroked="f" coordsize="21600,21600">
            <v:path/>
            <v:fill on="f" focussize="0,0"/>
            <v:stroke on="f" joinstyle="miter"/>
            <v:imagedata r:id="rId390" o:title=""/>
            <o:lock v:ext="edit" aspectratio="t"/>
            <w10:wrap type="none"/>
            <w10:anchorlock/>
          </v:shape>
          <o:OLEObject Type="Embed" ProgID="Equation.DSMT4" ShapeID="_x0000_i1224" DrawAspect="Content" ObjectID="_1468075924" r:id="rId389">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50</w:t>
      </w:r>
      <w:r>
        <w:rPr>
          <w:color w:val="auto"/>
        </w:rPr>
        <w:fldChar w:fldCharType="end"/>
      </w:r>
      <w:r>
        <w:rPr>
          <w:color w:val="auto"/>
        </w:rPr>
        <w:t xml:space="preserve">) </w:t>
      </w:r>
    </w:p>
    <w:p w14:paraId="3F5007A0">
      <w:pPr>
        <w:rPr>
          <w:color w:val="auto"/>
          <w:kern w:val="0"/>
          <w:szCs w:val="21"/>
        </w:rPr>
      </w:pPr>
      <w:r>
        <w:rPr>
          <w:color w:val="auto"/>
          <w:kern w:val="0"/>
          <w:szCs w:val="21"/>
        </w:rPr>
        <w:t>式中：</w:t>
      </w:r>
      <w:r>
        <w:rPr>
          <w:color w:val="auto"/>
          <w:position w:val="-14"/>
        </w:rPr>
        <w:object>
          <v:shape id="_x0000_i1225" o:spt="75" type="#_x0000_t75" style="height:21.75pt;width:21.75pt;" o:ole="t" filled="f" o:preferrelative="t" stroked="f" coordsize="21600,21600">
            <v:path/>
            <v:fill on="f" focussize="0,0"/>
            <v:stroke on="f" joinstyle="miter"/>
            <v:imagedata r:id="rId392" o:title=""/>
            <o:lock v:ext="edit" aspectratio="t"/>
            <w10:wrap type="none"/>
            <w10:anchorlock/>
          </v:shape>
          <o:OLEObject Type="Embed" ProgID="Equation.DSMT4" ShapeID="_x0000_i1225" DrawAspect="Content" ObjectID="_1468075925" r:id="rId391">
            <o:LockedField>false</o:LockedField>
          </o:OLEObject>
        </w:object>
      </w:r>
      <w:r>
        <w:rPr>
          <w:color w:val="auto"/>
          <w:kern w:val="0"/>
          <w:szCs w:val="21"/>
        </w:rPr>
        <w:t>、</w:t>
      </w:r>
      <w:r>
        <w:rPr>
          <w:color w:val="auto"/>
          <w:position w:val="-14"/>
        </w:rPr>
        <w:object>
          <v:shape id="_x0000_i1226" o:spt="75" type="#_x0000_t75" style="height:21.75pt;width:21.75pt;" o:ole="t" filled="f" o:preferrelative="t" stroked="f" coordsize="21600,21600">
            <v:path/>
            <v:fill on="f" focussize="0,0"/>
            <v:stroke on="f" joinstyle="miter"/>
            <v:imagedata r:id="rId394" o:title=""/>
            <o:lock v:ext="edit" aspectratio="t"/>
            <w10:wrap type="none"/>
            <w10:anchorlock/>
          </v:shape>
          <o:OLEObject Type="Embed" ProgID="Equation.DSMT4" ShapeID="_x0000_i1226" DrawAspect="Content" ObjectID="_1468075926" r:id="rId393">
            <o:LockedField>false</o:LockedField>
          </o:OLEObject>
        </w:object>
      </w:r>
      <w:r>
        <w:rPr>
          <w:color w:val="auto"/>
          <w:kern w:val="0"/>
          <w:szCs w:val="21"/>
        </w:rPr>
        <w:t>——分别为</w:t>
      </w:r>
      <w:r>
        <w:rPr>
          <w:color w:val="auto"/>
          <w:kern w:val="0"/>
        </w:rPr>
        <w:t>由</w:t>
      </w:r>
      <w:r>
        <w:rPr>
          <w:color w:val="auto"/>
        </w:rPr>
        <w:t>长桩型和短桩型</w:t>
      </w:r>
      <w:r>
        <w:rPr>
          <w:color w:val="auto"/>
          <w:kern w:val="0"/>
        </w:rPr>
        <w:t>处理形成的</w:t>
      </w:r>
      <w:r>
        <w:rPr>
          <w:color w:val="auto"/>
          <w:kern w:val="0"/>
          <w:szCs w:val="21"/>
        </w:rPr>
        <w:t>复合地基承载力特征值和仅由长桩型</w:t>
      </w:r>
      <w:r>
        <w:rPr>
          <w:color w:val="auto"/>
          <w:kern w:val="0"/>
        </w:rPr>
        <w:t>处理形成的</w:t>
      </w:r>
      <w:r>
        <w:rPr>
          <w:color w:val="auto"/>
          <w:kern w:val="0"/>
          <w:szCs w:val="21"/>
        </w:rPr>
        <w:t>复合地基承载力特征值（kPa）；</w:t>
      </w:r>
    </w:p>
    <w:p w14:paraId="153CDC52">
      <w:pPr>
        <w:rPr>
          <w:color w:val="auto"/>
          <w:kern w:val="0"/>
          <w:szCs w:val="21"/>
        </w:rPr>
      </w:pPr>
      <w:r>
        <w:rPr>
          <w:color w:val="auto"/>
          <w:kern w:val="0"/>
          <w:szCs w:val="21"/>
        </w:rPr>
        <w:t xml:space="preserve">         </w:t>
      </w:r>
      <w:r>
        <w:rPr>
          <w:color w:val="auto"/>
          <w:position w:val="-10"/>
        </w:rPr>
        <w:object>
          <v:shape id="_x0000_i1227" o:spt="75" type="#_x0000_t75" style="height:15pt;width:15pt;" o:ole="t" filled="f" o:preferrelative="t" stroked="f" coordsize="21600,21600">
            <v:path/>
            <v:fill on="f" focussize="0,0"/>
            <v:stroke on="f" joinstyle="miter"/>
            <v:imagedata r:id="rId396" o:title=""/>
            <o:lock v:ext="edit" aspectratio="t"/>
            <w10:wrap type="none"/>
            <w10:anchorlock/>
          </v:shape>
          <o:OLEObject Type="Embed" ProgID="Equation.3" ShapeID="_x0000_i1227" DrawAspect="Content" ObjectID="_1468075927" r:id="rId395">
            <o:LockedField>false</o:LockedField>
          </o:OLEObject>
        </w:object>
      </w:r>
      <w:r>
        <w:rPr>
          <w:color w:val="auto"/>
        </w:rPr>
        <w:t>、</w:t>
      </w:r>
      <w:r>
        <w:rPr>
          <w:color w:val="auto"/>
          <w:position w:val="-10"/>
        </w:rPr>
        <w:object>
          <v:shape id="_x0000_i1228" o:spt="75" type="#_x0000_t75" style="height:15pt;width:15pt;" o:ole="t" filled="f" o:preferrelative="t" stroked="f" coordsize="21600,21600">
            <v:path/>
            <v:fill on="f" focussize="0,0"/>
            <v:stroke on="f" joinstyle="miter"/>
            <v:imagedata r:id="rId398" o:title=""/>
            <o:lock v:ext="edit" aspectratio="t"/>
            <w10:wrap type="none"/>
            <w10:anchorlock/>
          </v:shape>
          <o:OLEObject Type="Embed" ProgID="Equation.3" ShapeID="_x0000_i1228" DrawAspect="Content" ObjectID="_1468075928" r:id="rId397">
            <o:LockedField>false</o:LockedField>
          </o:OLEObject>
        </w:object>
      </w:r>
      <w:r>
        <w:rPr>
          <w:color w:val="auto"/>
          <w:kern w:val="0"/>
          <w:szCs w:val="21"/>
        </w:rPr>
        <w:t>——分别为</w:t>
      </w:r>
      <w:r>
        <w:rPr>
          <w:color w:val="auto"/>
          <w:kern w:val="0"/>
        </w:rPr>
        <w:t>由</w:t>
      </w:r>
      <w:r>
        <w:rPr>
          <w:color w:val="auto"/>
        </w:rPr>
        <w:t>长桩型和短桩型</w:t>
      </w:r>
      <w:r>
        <w:rPr>
          <w:color w:val="auto"/>
          <w:kern w:val="0"/>
        </w:rPr>
        <w:t>处理形成的</w:t>
      </w:r>
      <w:r>
        <w:rPr>
          <w:color w:val="auto"/>
          <w:kern w:val="0"/>
          <w:szCs w:val="21"/>
        </w:rPr>
        <w:t>复合地基承载力提高系数和仅由长桩型处理</w:t>
      </w:r>
      <w:r>
        <w:rPr>
          <w:color w:val="auto"/>
          <w:kern w:val="0"/>
        </w:rPr>
        <w:t>形成的</w:t>
      </w:r>
      <w:r>
        <w:rPr>
          <w:color w:val="auto"/>
          <w:kern w:val="0"/>
          <w:szCs w:val="21"/>
        </w:rPr>
        <w:t>复合地基承载力提高系数；</w:t>
      </w:r>
    </w:p>
    <w:p w14:paraId="18314253">
      <w:pPr>
        <w:rPr>
          <w:color w:val="auto"/>
          <w:kern w:val="0"/>
          <w:szCs w:val="21"/>
        </w:rPr>
      </w:pPr>
      <w:r>
        <w:rPr>
          <w:color w:val="auto"/>
          <w:kern w:val="0"/>
          <w:szCs w:val="21"/>
        </w:rPr>
        <w:t xml:space="preserve">             </w:t>
      </w:r>
      <w:r>
        <w:rPr>
          <w:color w:val="auto"/>
          <w:position w:val="-12"/>
        </w:rPr>
        <w:object>
          <v:shape id="_x0000_i1229" o:spt="75" type="#_x0000_t75" style="height:21.75pt;width:15pt;" o:ole="t" filled="f" o:preferrelative="t" stroked="f" coordsize="21600,21600">
            <v:path/>
            <v:fill on="f" focussize="0,0"/>
            <v:stroke on="f" joinstyle="miter"/>
            <v:imagedata r:id="rId400" o:title=""/>
            <o:lock v:ext="edit" aspectratio="t"/>
            <w10:wrap type="none"/>
            <w10:anchorlock/>
          </v:shape>
          <o:OLEObject Type="Embed" ProgID="Equation.DSMT4" ShapeID="_x0000_i1229" DrawAspect="Content" ObjectID="_1468075929" r:id="rId399">
            <o:LockedField>false</o:LockedField>
          </o:OLEObject>
        </w:object>
      </w:r>
      <w:r>
        <w:rPr>
          <w:color w:val="auto"/>
        </w:rPr>
        <w:t>——天然地基承载力</w:t>
      </w:r>
      <w:r>
        <w:rPr>
          <w:color w:val="auto"/>
          <w:kern w:val="0"/>
          <w:szCs w:val="21"/>
        </w:rPr>
        <w:t>特征值（kPa）。</w:t>
      </w:r>
    </w:p>
    <w:p w14:paraId="7119AB36">
      <w:pPr>
        <w:ind w:firstLine="422" w:firstLineChars="200"/>
        <w:rPr>
          <w:color w:val="auto"/>
        </w:rPr>
      </w:pPr>
      <w:r>
        <w:rPr>
          <w:b/>
          <w:color w:val="auto"/>
        </w:rPr>
        <w:t xml:space="preserve">b)  </w:t>
      </w:r>
      <w:r>
        <w:rPr>
          <w:color w:val="auto"/>
        </w:rPr>
        <w:t>对由具有黏结强度的桩与散体材料桩组合处理后的复合土层，地基土模量提高系数按</w:t>
      </w:r>
      <w:r>
        <w:rPr>
          <w:rFonts w:hint="eastAsia"/>
          <w:color w:val="auto"/>
          <w:lang w:val="en-US" w:eastAsia="zh-CN"/>
        </w:rPr>
        <w:t>公式（51）</w:t>
      </w:r>
      <w:r>
        <w:rPr>
          <w:color w:val="auto"/>
        </w:rPr>
        <w:t>计算：</w:t>
      </w:r>
    </w:p>
    <w:p w14:paraId="4FFC1617">
      <w:pPr>
        <w:pStyle w:val="12"/>
        <w:jc w:val="right"/>
        <w:rPr>
          <w:color w:val="auto"/>
        </w:rPr>
      </w:pPr>
      <w:r>
        <w:rPr>
          <w:color w:val="auto"/>
        </w:rPr>
        <w:t xml:space="preserve">                     </w:t>
      </w:r>
      <w:r>
        <w:rPr>
          <w:color w:val="auto"/>
          <w:position w:val="-32"/>
        </w:rPr>
        <w:object>
          <v:shape id="_x0000_i1230" o:spt="75" type="#_x0000_t75" style="height:36.75pt;width:115.5pt;" o:ole="t" filled="f" o:preferrelative="t" stroked="f" coordsize="21600,21600">
            <v:path/>
            <v:fill on="f" focussize="0,0"/>
            <v:stroke on="f" joinstyle="miter"/>
            <v:imagedata r:id="rId402" o:title=""/>
            <o:lock v:ext="edit" aspectratio="t"/>
            <w10:wrap type="none"/>
            <w10:anchorlock/>
          </v:shape>
          <o:OLEObject Type="Embed" ProgID="Equation.DSMT4" ShapeID="_x0000_i1230" DrawAspect="Content" ObjectID="_1468075930" r:id="rId401">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51</w:t>
      </w:r>
      <w:r>
        <w:rPr>
          <w:color w:val="auto"/>
        </w:rPr>
        <w:fldChar w:fldCharType="end"/>
      </w:r>
      <w:r>
        <w:rPr>
          <w:color w:val="auto"/>
        </w:rPr>
        <w:t xml:space="preserve">) </w:t>
      </w:r>
    </w:p>
    <w:p w14:paraId="64DD1006">
      <w:pPr>
        <w:rPr>
          <w:color w:val="auto"/>
        </w:rPr>
      </w:pPr>
      <w:r>
        <w:rPr>
          <w:color w:val="auto"/>
        </w:rPr>
        <w:t>式中：</w:t>
      </w:r>
      <w:r>
        <w:rPr>
          <w:color w:val="auto"/>
          <w:position w:val="-14"/>
        </w:rPr>
        <w:object>
          <v:shape id="_x0000_i1231" o:spt="75" type="#_x0000_t75" style="height:21.75pt;width:21.75pt;" o:ole="t" filled="f" o:preferrelative="t" stroked="f" coordsize="21600,21600">
            <v:path/>
            <v:fill on="f" focussize="0,0"/>
            <v:stroke on="f" joinstyle="miter"/>
            <v:imagedata r:id="rId404" o:title=""/>
            <o:lock v:ext="edit" aspectratio="t"/>
            <w10:wrap type="none"/>
            <w10:anchorlock/>
          </v:shape>
          <o:OLEObject Type="Embed" ProgID="Equation.DSMT4" ShapeID="_x0000_i1231" DrawAspect="Content" ObjectID="_1468075931" r:id="rId403">
            <o:LockedField>false</o:LockedField>
          </o:OLEObject>
        </w:object>
      </w:r>
      <w:r>
        <w:rPr>
          <w:color w:val="auto"/>
        </w:rPr>
        <w:t>——仅由散体材料桩处理形成的复合地基承载力特征值（kPa）；</w:t>
      </w:r>
    </w:p>
    <w:p w14:paraId="63AE12EE">
      <w:pPr>
        <w:rPr>
          <w:color w:val="auto"/>
        </w:rPr>
      </w:pPr>
      <w:r>
        <w:rPr>
          <w:rFonts w:hint="eastAsia"/>
          <w:color w:val="auto"/>
        </w:rPr>
        <w:t xml:space="preserve">      </w:t>
      </w:r>
      <w:r>
        <w:rPr>
          <w:color w:val="auto"/>
          <w:position w:val="-6"/>
        </w:rPr>
        <w:object>
          <v:shape id="_x0000_i1232" o:spt="75" type="#_x0000_t75" style="height:15pt;width:15pt;" o:ole="t" filled="f" o:preferrelative="t" stroked="f" coordsize="21600,21600">
            <v:path/>
            <v:fill on="f" focussize="0,0"/>
            <v:stroke on="f" joinstyle="miter"/>
            <v:imagedata r:id="rId406" o:title=""/>
            <o:lock v:ext="edit" aspectratio="t"/>
            <w10:wrap type="none"/>
            <w10:anchorlock/>
          </v:shape>
          <o:OLEObject Type="Embed" ProgID="Equation.DSMT4" ShapeID="_x0000_i1232" DrawAspect="Content" ObjectID="_1468075932" r:id="rId405">
            <o:LockedField>false</o:LockedField>
          </o:OLEObject>
        </w:object>
      </w:r>
      <w:r>
        <w:rPr>
          <w:color w:val="auto"/>
        </w:rPr>
        <w:t>——</w:t>
      </w:r>
      <w:r>
        <w:rPr>
          <w:rFonts w:hint="eastAsia"/>
          <w:color w:val="auto"/>
        </w:rPr>
        <w:t>处理后桩间土承载力调整系数，</w:t>
      </w:r>
      <w:r>
        <w:rPr>
          <w:color w:val="auto"/>
          <w:position w:val="-6"/>
        </w:rPr>
        <w:object>
          <v:shape id="_x0000_i1233" o:spt="75" type="#_x0000_t75" style="height:15pt;width:15pt;" o:ole="t" filled="f" o:preferrelative="t" stroked="f" coordsize="21600,21600">
            <v:path/>
            <v:fill on="f" focussize="0,0"/>
            <v:stroke on="f" joinstyle="miter"/>
            <v:imagedata r:id="rId408" o:title=""/>
            <o:lock v:ext="edit" aspectratio="t"/>
            <w10:wrap type="none"/>
            <w10:anchorlock/>
          </v:shape>
          <o:OLEObject Type="Embed" ProgID="Equation.DSMT4" ShapeID="_x0000_i1233" DrawAspect="Content" ObjectID="_1468075933" r:id="rId407">
            <o:LockedField>false</o:LockedField>
          </o:OLEObject>
        </w:object>
      </w:r>
      <w:r>
        <w:rPr>
          <w:rFonts w:hint="eastAsia"/>
          <w:color w:val="auto"/>
        </w:rPr>
        <w:t>=</w:t>
      </w:r>
      <w:r>
        <w:rPr>
          <w:rFonts w:hint="eastAsia"/>
          <w:i/>
          <w:color w:val="auto"/>
        </w:rPr>
        <w:t>f</w:t>
      </w:r>
      <w:r>
        <w:rPr>
          <w:rFonts w:hint="eastAsia"/>
          <w:color w:val="auto"/>
          <w:vertAlign w:val="subscript"/>
        </w:rPr>
        <w:t>sk</w:t>
      </w:r>
      <w:r>
        <w:rPr>
          <w:rFonts w:hint="eastAsia"/>
          <w:color w:val="auto"/>
        </w:rPr>
        <w:t>/</w:t>
      </w:r>
      <w:r>
        <w:rPr>
          <w:rFonts w:hint="eastAsia"/>
          <w:i/>
          <w:color w:val="auto"/>
        </w:rPr>
        <w:t>f</w:t>
      </w:r>
      <w:r>
        <w:rPr>
          <w:rFonts w:hint="eastAsia"/>
          <w:color w:val="auto"/>
          <w:vertAlign w:val="subscript"/>
        </w:rPr>
        <w:t>ak</w:t>
      </w:r>
    </w:p>
    <w:p w14:paraId="11C0BD16">
      <w:pPr>
        <w:ind w:firstLine="630" w:firstLineChars="300"/>
        <w:rPr>
          <w:color w:val="auto"/>
        </w:rPr>
      </w:pPr>
      <w:r>
        <w:rPr>
          <w:i/>
          <w:color w:val="auto"/>
        </w:rPr>
        <w:t>m</w:t>
      </w:r>
      <w:r>
        <w:rPr>
          <w:color w:val="auto"/>
          <w:vertAlign w:val="subscript"/>
        </w:rPr>
        <w:t>2</w:t>
      </w:r>
      <w:r>
        <w:rPr>
          <w:i/>
          <w:color w:val="auto"/>
        </w:rPr>
        <w:t>——</w:t>
      </w:r>
      <w:r>
        <w:rPr>
          <w:color w:val="auto"/>
        </w:rPr>
        <w:t>散体材料桩的面积置换率。</w:t>
      </w:r>
    </w:p>
    <w:p w14:paraId="0673E5FC">
      <w:pPr>
        <w:rPr>
          <w:color w:val="auto"/>
        </w:rPr>
      </w:pPr>
      <w:r>
        <w:rPr>
          <w:b/>
          <w:color w:val="auto"/>
        </w:rPr>
        <w:t xml:space="preserve">9.6.9 </w:t>
      </w:r>
      <w:r>
        <w:rPr>
          <w:rFonts w:hint="eastAsia"/>
          <w:b/>
          <w:color w:val="auto"/>
        </w:rPr>
        <w:t xml:space="preserve"> </w:t>
      </w:r>
      <w:r>
        <w:rPr>
          <w:color w:val="auto"/>
        </w:rPr>
        <w:t>复合地基变形计算深度应大于复合土层的厚度，并应满足现行国家标准GB 50007中地基变形计算深度的有关规定。</w:t>
      </w:r>
    </w:p>
    <w:p w14:paraId="22B4ACC7">
      <w:pPr>
        <w:rPr>
          <w:color w:val="auto"/>
        </w:rPr>
      </w:pPr>
      <w:r>
        <w:rPr>
          <w:b/>
          <w:color w:val="auto"/>
        </w:rPr>
        <w:t>9.6.10</w:t>
      </w:r>
      <w:r>
        <w:rPr>
          <w:color w:val="auto"/>
        </w:rPr>
        <w:t xml:space="preserve"> </w:t>
      </w:r>
      <w:r>
        <w:rPr>
          <w:rFonts w:hint="eastAsia"/>
          <w:color w:val="auto"/>
        </w:rPr>
        <w:t xml:space="preserve"> </w:t>
      </w:r>
      <w:r>
        <w:rPr>
          <w:color w:val="auto"/>
        </w:rPr>
        <w:t>多桩型复合地基的施工应符合下列原则：</w:t>
      </w:r>
    </w:p>
    <w:p w14:paraId="0EBBFB31">
      <w:pPr>
        <w:rPr>
          <w:color w:val="auto"/>
        </w:rPr>
      </w:pPr>
      <w:r>
        <w:rPr>
          <w:color w:val="auto"/>
        </w:rPr>
        <w:t xml:space="preserve">    </w:t>
      </w:r>
      <w:r>
        <w:rPr>
          <w:b/>
          <w:color w:val="auto"/>
        </w:rPr>
        <w:t>a)</w:t>
      </w:r>
      <w:r>
        <w:rPr>
          <w:rFonts w:hint="eastAsia"/>
          <w:b/>
          <w:color w:val="auto"/>
        </w:rPr>
        <w:t xml:space="preserve"> </w:t>
      </w:r>
      <w:r>
        <w:rPr>
          <w:color w:val="auto"/>
        </w:rPr>
        <w:t xml:space="preserve"> 对需要处理液化的地基，应先施工消除液化的增强体；</w:t>
      </w:r>
    </w:p>
    <w:p w14:paraId="69D382E8">
      <w:pPr>
        <w:rPr>
          <w:color w:val="auto"/>
        </w:rPr>
      </w:pPr>
      <w:r>
        <w:rPr>
          <w:color w:val="auto"/>
        </w:rPr>
        <w:t xml:space="preserve">    </w:t>
      </w:r>
      <w:r>
        <w:rPr>
          <w:b/>
          <w:color w:val="auto"/>
        </w:rPr>
        <w:t xml:space="preserve">b) </w:t>
      </w:r>
      <w:r>
        <w:rPr>
          <w:rFonts w:hint="eastAsia"/>
          <w:b/>
          <w:color w:val="auto"/>
        </w:rPr>
        <w:t xml:space="preserve"> </w:t>
      </w:r>
      <w:r>
        <w:rPr>
          <w:color w:val="auto"/>
        </w:rPr>
        <w:t>应采取措施降低或减小后施工增强体对已施工增强体的质量和承载力的影响。</w:t>
      </w:r>
    </w:p>
    <w:p w14:paraId="450D6902">
      <w:pPr>
        <w:rPr>
          <w:color w:val="auto"/>
        </w:rPr>
      </w:pPr>
      <w:r>
        <w:rPr>
          <w:b/>
          <w:color w:val="auto"/>
        </w:rPr>
        <w:t>9.6.11</w:t>
      </w:r>
      <w:r>
        <w:rPr>
          <w:color w:val="auto"/>
        </w:rPr>
        <w:t xml:space="preserve"> </w:t>
      </w:r>
      <w:r>
        <w:rPr>
          <w:rFonts w:hint="eastAsia"/>
          <w:color w:val="auto"/>
        </w:rPr>
        <w:t xml:space="preserve"> </w:t>
      </w:r>
      <w:r>
        <w:rPr>
          <w:color w:val="auto"/>
        </w:rPr>
        <w:t>多桩型复合地基的质量检</w:t>
      </w:r>
      <w:r>
        <w:rPr>
          <w:rFonts w:hint="eastAsia"/>
          <w:color w:val="auto"/>
        </w:rPr>
        <w:t>测</w:t>
      </w:r>
      <w:r>
        <w:rPr>
          <w:color w:val="auto"/>
        </w:rPr>
        <w:t>应符合下列规定：</w:t>
      </w:r>
    </w:p>
    <w:p w14:paraId="2907C19B">
      <w:pPr>
        <w:ind w:firstLine="422" w:firstLineChars="200"/>
        <w:rPr>
          <w:color w:val="auto"/>
        </w:rPr>
      </w:pPr>
      <w:r>
        <w:rPr>
          <w:b/>
          <w:color w:val="auto"/>
        </w:rPr>
        <w:t>a)</w:t>
      </w:r>
      <w:r>
        <w:rPr>
          <w:color w:val="auto"/>
        </w:rPr>
        <w:t xml:space="preserve"> </w:t>
      </w:r>
      <w:r>
        <w:rPr>
          <w:rFonts w:hint="eastAsia"/>
          <w:color w:val="auto"/>
        </w:rPr>
        <w:t xml:space="preserve"> </w:t>
      </w:r>
      <w:r>
        <w:rPr>
          <w:color w:val="auto"/>
        </w:rPr>
        <w:t>竣工验收时，多桩型复合地基承载力检</w:t>
      </w:r>
      <w:r>
        <w:rPr>
          <w:rFonts w:hint="eastAsia"/>
          <w:color w:val="auto"/>
        </w:rPr>
        <w:t>测</w:t>
      </w:r>
      <w:r>
        <w:rPr>
          <w:color w:val="auto"/>
        </w:rPr>
        <w:t>应采用多桩型复合地基静载试验和单桩静载试验，复合地基载荷板尺寸应按多桩复合单元确定</w:t>
      </w:r>
      <w:r>
        <w:rPr>
          <w:rFonts w:hint="eastAsia"/>
          <w:color w:val="auto"/>
        </w:rPr>
        <w:t>；</w:t>
      </w:r>
    </w:p>
    <w:p w14:paraId="45EE0E44">
      <w:pPr>
        <w:ind w:firstLine="422" w:firstLineChars="200"/>
        <w:rPr>
          <w:color w:val="auto"/>
        </w:rPr>
      </w:pPr>
      <w:r>
        <w:rPr>
          <w:b/>
          <w:color w:val="auto"/>
        </w:rPr>
        <w:t>b)</w:t>
      </w:r>
      <w:r>
        <w:rPr>
          <w:color w:val="auto"/>
        </w:rPr>
        <w:t xml:space="preserve"> </w:t>
      </w:r>
      <w:r>
        <w:rPr>
          <w:rFonts w:hint="eastAsia"/>
          <w:color w:val="auto"/>
        </w:rPr>
        <w:t xml:space="preserve"> </w:t>
      </w:r>
      <w:r>
        <w:rPr>
          <w:color w:val="auto"/>
        </w:rPr>
        <w:t>多桩复合地基静载试验的数量对每一单体工程不</w:t>
      </w:r>
      <w:r>
        <w:rPr>
          <w:rFonts w:hint="eastAsia"/>
          <w:color w:val="auto"/>
        </w:rPr>
        <w:t>应</w:t>
      </w:r>
      <w:r>
        <w:rPr>
          <w:color w:val="auto"/>
        </w:rPr>
        <w:t>少于3点</w:t>
      </w:r>
      <w:r>
        <w:rPr>
          <w:rFonts w:hint="eastAsia"/>
          <w:color w:val="auto"/>
        </w:rPr>
        <w:t>，单桩静载试验</w:t>
      </w:r>
      <w:r>
        <w:rPr>
          <w:color w:val="auto"/>
        </w:rPr>
        <w:t>检</w:t>
      </w:r>
      <w:r>
        <w:rPr>
          <w:rFonts w:hint="eastAsia"/>
          <w:color w:val="auto"/>
        </w:rPr>
        <w:t>测</w:t>
      </w:r>
      <w:r>
        <w:rPr>
          <w:color w:val="auto"/>
        </w:rPr>
        <w:t>数量</w:t>
      </w:r>
      <w:r>
        <w:rPr>
          <w:rFonts w:hint="eastAsia"/>
          <w:color w:val="auto"/>
        </w:rPr>
        <w:t>对每一单体工程</w:t>
      </w:r>
      <w:r>
        <w:rPr>
          <w:color w:val="auto"/>
        </w:rPr>
        <w:t>不</w:t>
      </w:r>
      <w:r>
        <w:rPr>
          <w:rFonts w:hint="eastAsia"/>
          <w:color w:val="auto"/>
        </w:rPr>
        <w:t>应</w:t>
      </w:r>
      <w:r>
        <w:rPr>
          <w:color w:val="auto"/>
        </w:rPr>
        <w:t>少于总桩数的1%</w:t>
      </w:r>
      <w:r>
        <w:rPr>
          <w:rFonts w:hint="eastAsia"/>
          <w:color w:val="auto"/>
        </w:rPr>
        <w:t>，且不应少于3根</w:t>
      </w:r>
      <w:r>
        <w:rPr>
          <w:color w:val="auto"/>
        </w:rPr>
        <w:t>；</w:t>
      </w:r>
    </w:p>
    <w:p w14:paraId="06016BD4">
      <w:pPr>
        <w:ind w:firstLine="422" w:firstLineChars="200"/>
        <w:rPr>
          <w:color w:val="auto"/>
        </w:rPr>
      </w:pPr>
      <w:r>
        <w:rPr>
          <w:b/>
          <w:color w:val="auto"/>
        </w:rPr>
        <w:t>c)</w:t>
      </w:r>
      <w:r>
        <w:rPr>
          <w:color w:val="auto"/>
        </w:rPr>
        <w:t xml:space="preserve"> </w:t>
      </w:r>
      <w:r>
        <w:rPr>
          <w:rFonts w:hint="eastAsia"/>
          <w:color w:val="auto"/>
        </w:rPr>
        <w:t xml:space="preserve"> </w:t>
      </w:r>
      <w:r>
        <w:rPr>
          <w:color w:val="auto"/>
        </w:rPr>
        <w:t>增强体施工质量检</w:t>
      </w:r>
      <w:r>
        <w:rPr>
          <w:rFonts w:hint="eastAsia"/>
          <w:color w:val="auto"/>
        </w:rPr>
        <w:t>测，</w:t>
      </w:r>
      <w:r>
        <w:rPr>
          <w:color w:val="auto"/>
        </w:rPr>
        <w:t>对</w:t>
      </w:r>
      <w:r>
        <w:rPr>
          <w:rFonts w:hint="eastAsia"/>
          <w:color w:val="auto"/>
        </w:rPr>
        <w:t>散体材料增强体</w:t>
      </w:r>
      <w:r>
        <w:rPr>
          <w:color w:val="auto"/>
        </w:rPr>
        <w:t>的检</w:t>
      </w:r>
      <w:r>
        <w:rPr>
          <w:rFonts w:hint="eastAsia"/>
          <w:color w:val="auto"/>
        </w:rPr>
        <w:t>测</w:t>
      </w:r>
      <w:r>
        <w:rPr>
          <w:color w:val="auto"/>
        </w:rPr>
        <w:t>数量不应少于其桩数的2%，对具有黏结强度的增强体的完整性检</w:t>
      </w:r>
      <w:r>
        <w:rPr>
          <w:rFonts w:hint="eastAsia"/>
          <w:color w:val="auto"/>
        </w:rPr>
        <w:t>测</w:t>
      </w:r>
      <w:r>
        <w:rPr>
          <w:color w:val="auto"/>
        </w:rPr>
        <w:t>数量不应少于其桩数的30%。</w:t>
      </w:r>
    </w:p>
    <w:p w14:paraId="4FE22E2F">
      <w:pPr>
        <w:adjustRightInd w:val="0"/>
        <w:snapToGrid w:val="0"/>
        <w:spacing w:line="360" w:lineRule="atLeast"/>
        <w:rPr>
          <w:color w:val="auto"/>
        </w:rPr>
      </w:pPr>
    </w:p>
    <w:p w14:paraId="78E60575">
      <w:pPr>
        <w:numPr>
          <w:ilvl w:val="0"/>
          <w:numId w:val="1"/>
        </w:numPr>
        <w:adjustRightInd w:val="0"/>
        <w:snapToGrid w:val="0"/>
        <w:outlineLvl w:val="0"/>
        <w:rPr>
          <w:rFonts w:eastAsia="黑体"/>
          <w:b/>
          <w:bCs/>
          <w:color w:val="auto"/>
          <w:sz w:val="24"/>
        </w:rPr>
      </w:pPr>
      <w:bookmarkStart w:id="36" w:name="_Toc199943594"/>
      <w:r>
        <w:rPr>
          <w:rFonts w:eastAsia="黑体"/>
          <w:b/>
          <w:bCs/>
          <w:color w:val="auto"/>
          <w:sz w:val="24"/>
        </w:rPr>
        <w:t>山区地基</w:t>
      </w:r>
      <w:bookmarkEnd w:id="36"/>
    </w:p>
    <w:p w14:paraId="7590BE93">
      <w:pPr>
        <w:pStyle w:val="32"/>
        <w:adjustRightInd w:val="0"/>
        <w:snapToGrid w:val="0"/>
        <w:spacing w:line="340" w:lineRule="exact"/>
        <w:ind w:left="565" w:hanging="565" w:hangingChars="250"/>
        <w:rPr>
          <w:color w:val="auto"/>
          <w:spacing w:val="8"/>
          <w:szCs w:val="21"/>
        </w:rPr>
      </w:pPr>
    </w:p>
    <w:p w14:paraId="5EE2032C">
      <w:pPr>
        <w:adjustRightInd w:val="0"/>
        <w:snapToGrid w:val="0"/>
        <w:spacing w:line="340" w:lineRule="exact"/>
        <w:outlineLvl w:val="1"/>
        <w:rPr>
          <w:rFonts w:eastAsia="黑体"/>
          <w:b/>
          <w:bCs/>
          <w:color w:val="auto"/>
          <w:szCs w:val="21"/>
        </w:rPr>
      </w:pPr>
      <w:bookmarkStart w:id="37" w:name="_Toc199943595"/>
      <w:r>
        <w:rPr>
          <w:rFonts w:eastAsia="黑体"/>
          <w:b/>
          <w:bCs/>
          <w:color w:val="auto"/>
          <w:szCs w:val="21"/>
        </w:rPr>
        <w:t>10.1  一般规定</w:t>
      </w:r>
      <w:bookmarkEnd w:id="37"/>
    </w:p>
    <w:p w14:paraId="70658F7A">
      <w:pPr>
        <w:jc w:val="center"/>
        <w:rPr>
          <w:rFonts w:eastAsia="黑体"/>
          <w:b/>
          <w:color w:val="auto"/>
          <w:szCs w:val="21"/>
        </w:rPr>
      </w:pPr>
    </w:p>
    <w:p w14:paraId="5BAED49A">
      <w:pPr>
        <w:rPr>
          <w:color w:val="auto"/>
          <w:szCs w:val="21"/>
        </w:rPr>
      </w:pPr>
      <w:r>
        <w:rPr>
          <w:rFonts w:eastAsia="黑体"/>
          <w:b/>
          <w:color w:val="auto"/>
        </w:rPr>
        <w:t xml:space="preserve">10.1.1  </w:t>
      </w:r>
      <w:r>
        <w:rPr>
          <w:color w:val="auto"/>
          <w:szCs w:val="21"/>
        </w:rPr>
        <w:t>山区（包括丘陵地带）地基的设计，应对下列设计条件分析认定：</w:t>
      </w:r>
    </w:p>
    <w:p w14:paraId="032577AA">
      <w:pPr>
        <w:rPr>
          <w:color w:val="auto"/>
          <w:szCs w:val="21"/>
        </w:rPr>
      </w:pPr>
      <w:r>
        <w:rPr>
          <w:rFonts w:eastAsia="黑体"/>
          <w:b/>
          <w:color w:val="auto"/>
        </w:rPr>
        <w:t xml:space="preserve">     a)  </w:t>
      </w:r>
      <w:r>
        <w:rPr>
          <w:color w:val="auto"/>
          <w:szCs w:val="21"/>
        </w:rPr>
        <w:t>建设场区内，在自然条件下，有无滑坡</w:t>
      </w:r>
      <w:r>
        <w:rPr>
          <w:rFonts w:hint="eastAsia"/>
          <w:color w:val="auto"/>
          <w:szCs w:val="21"/>
        </w:rPr>
        <w:t>不良地质</w:t>
      </w:r>
      <w:r>
        <w:rPr>
          <w:color w:val="auto"/>
          <w:szCs w:val="21"/>
        </w:rPr>
        <w:t>现象，有无影响场地稳定性的断层、破碎带；</w:t>
      </w:r>
    </w:p>
    <w:p w14:paraId="43E4B0ED">
      <w:pPr>
        <w:rPr>
          <w:rFonts w:eastAsia="黑体"/>
          <w:b/>
          <w:color w:val="auto"/>
        </w:rPr>
      </w:pPr>
      <w:r>
        <w:rPr>
          <w:rFonts w:eastAsia="黑体"/>
          <w:b/>
          <w:color w:val="auto"/>
        </w:rPr>
        <w:t xml:space="preserve">     b)  </w:t>
      </w:r>
      <w:r>
        <w:rPr>
          <w:color w:val="auto"/>
          <w:szCs w:val="21"/>
        </w:rPr>
        <w:t>在建设场地周围，有无不稳定的边坡；</w:t>
      </w:r>
    </w:p>
    <w:p w14:paraId="7C1EED4D">
      <w:pPr>
        <w:rPr>
          <w:rFonts w:eastAsia="黑体"/>
          <w:b/>
          <w:color w:val="auto"/>
        </w:rPr>
      </w:pPr>
      <w:r>
        <w:rPr>
          <w:rFonts w:eastAsia="黑体"/>
          <w:b/>
          <w:color w:val="auto"/>
        </w:rPr>
        <w:t xml:space="preserve">     c)  </w:t>
      </w:r>
      <w:r>
        <w:rPr>
          <w:color w:val="auto"/>
          <w:szCs w:val="21"/>
        </w:rPr>
        <w:t>施工过程中，因挖方、填方、堆载和卸载等对山坡稳定性的影响；</w:t>
      </w:r>
    </w:p>
    <w:p w14:paraId="528AFBEC">
      <w:pPr>
        <w:rPr>
          <w:color w:val="auto"/>
          <w:szCs w:val="21"/>
        </w:rPr>
      </w:pPr>
      <w:r>
        <w:rPr>
          <w:rFonts w:eastAsia="黑体"/>
          <w:b/>
          <w:color w:val="auto"/>
        </w:rPr>
        <w:t xml:space="preserve">     d)  </w:t>
      </w:r>
      <w:r>
        <w:rPr>
          <w:color w:val="auto"/>
          <w:szCs w:val="21"/>
        </w:rPr>
        <w:t>地基内岩石厚度及空间分布情况、基岩面的起伏情况、有无影响地基稳定性的临空面；</w:t>
      </w:r>
    </w:p>
    <w:p w14:paraId="3A9E106F">
      <w:pPr>
        <w:rPr>
          <w:rFonts w:eastAsia="黑体"/>
          <w:b/>
          <w:color w:val="auto"/>
        </w:rPr>
      </w:pPr>
      <w:r>
        <w:rPr>
          <w:rFonts w:eastAsia="黑体"/>
          <w:b/>
          <w:color w:val="auto"/>
        </w:rPr>
        <w:t xml:space="preserve">     e)  </w:t>
      </w:r>
      <w:r>
        <w:rPr>
          <w:color w:val="auto"/>
          <w:szCs w:val="21"/>
        </w:rPr>
        <w:t>建筑地基的不均匀性；</w:t>
      </w:r>
    </w:p>
    <w:p w14:paraId="36999BC0">
      <w:pPr>
        <w:rPr>
          <w:rFonts w:eastAsia="黑体"/>
          <w:b/>
          <w:color w:val="auto"/>
        </w:rPr>
      </w:pPr>
      <w:r>
        <w:rPr>
          <w:rFonts w:eastAsia="黑体"/>
          <w:b/>
          <w:color w:val="auto"/>
        </w:rPr>
        <w:t xml:space="preserve">     f)  </w:t>
      </w:r>
      <w:r>
        <w:rPr>
          <w:color w:val="auto"/>
          <w:szCs w:val="21"/>
        </w:rPr>
        <w:t>岩溶、土洞的发育程度，有无采空区；</w:t>
      </w:r>
    </w:p>
    <w:p w14:paraId="72E65A54">
      <w:pPr>
        <w:ind w:firstLine="517" w:firstLineChars="245"/>
        <w:rPr>
          <w:rFonts w:eastAsia="黑体"/>
          <w:b/>
          <w:color w:val="auto"/>
        </w:rPr>
      </w:pPr>
      <w:r>
        <w:rPr>
          <w:rFonts w:eastAsia="黑体"/>
          <w:b/>
          <w:color w:val="auto"/>
        </w:rPr>
        <w:t xml:space="preserve">g) </w:t>
      </w:r>
      <w:r>
        <w:rPr>
          <w:color w:val="auto"/>
          <w:szCs w:val="21"/>
        </w:rPr>
        <w:t xml:space="preserve"> 出现危岩崩塌、泥石流等不良地质现象的可能性；</w:t>
      </w:r>
    </w:p>
    <w:p w14:paraId="168B66FF">
      <w:pPr>
        <w:ind w:firstLine="517" w:firstLineChars="245"/>
        <w:rPr>
          <w:rFonts w:eastAsia="黑体"/>
          <w:b/>
          <w:color w:val="auto"/>
        </w:rPr>
      </w:pPr>
      <w:r>
        <w:rPr>
          <w:rFonts w:eastAsia="黑体"/>
          <w:b/>
          <w:color w:val="auto"/>
        </w:rPr>
        <w:t xml:space="preserve">h)  </w:t>
      </w:r>
      <w:r>
        <w:rPr>
          <w:color w:val="auto"/>
          <w:szCs w:val="21"/>
        </w:rPr>
        <w:t>地表水、地下水对建筑地基和建设场区的影响。</w:t>
      </w:r>
    </w:p>
    <w:p w14:paraId="2AB51A85">
      <w:pPr>
        <w:rPr>
          <w:color w:val="auto"/>
        </w:rPr>
      </w:pPr>
      <w:r>
        <w:rPr>
          <w:b/>
          <w:color w:val="auto"/>
        </w:rPr>
        <w:t xml:space="preserve">10.1.2  </w:t>
      </w:r>
      <w:r>
        <w:rPr>
          <w:color w:val="auto"/>
        </w:rPr>
        <w:t>受滑坡、泥石流、崩塌等严重地质灾害威胁的地带不宜选作建筑场地。处于不稳定斜坡地段未经可靠整治不得进行建筑。</w:t>
      </w:r>
    </w:p>
    <w:p w14:paraId="38675D04">
      <w:pPr>
        <w:rPr>
          <w:color w:val="auto"/>
        </w:rPr>
      </w:pPr>
      <w:r>
        <w:rPr>
          <w:b/>
          <w:color w:val="auto"/>
        </w:rPr>
        <w:t>10.1.3</w:t>
      </w:r>
      <w:r>
        <w:rPr>
          <w:color w:val="auto"/>
        </w:rPr>
        <w:t xml:space="preserve">  山区建设工程的总体规划，应根据使用要求、地形地貌合理布置。竖向设计宜结合地形考虑，避免大填大挖。主体建筑应布置在较好的地基上，使地基条件满足上部结构要求。</w:t>
      </w:r>
    </w:p>
    <w:p w14:paraId="18FD4290">
      <w:pPr>
        <w:rPr>
          <w:color w:val="auto"/>
        </w:rPr>
      </w:pPr>
      <w:r>
        <w:rPr>
          <w:b/>
          <w:color w:val="auto"/>
        </w:rPr>
        <w:t>10.1.4</w:t>
      </w:r>
      <w:r>
        <w:rPr>
          <w:color w:val="auto"/>
        </w:rPr>
        <w:t xml:space="preserve">  山区建设中应充分利用和保护天然排水系统和山地植被。必须改变排水系统时，应在易于导流或拦截的部位将水引出场外。受山洪影响的地段，应采取相应</w:t>
      </w:r>
      <w:r>
        <w:rPr>
          <w:rFonts w:hint="eastAsia"/>
          <w:color w:val="auto"/>
        </w:rPr>
        <w:t>的</w:t>
      </w:r>
      <w:r>
        <w:rPr>
          <w:color w:val="auto"/>
        </w:rPr>
        <w:t>排水措施。</w:t>
      </w:r>
    </w:p>
    <w:p w14:paraId="39B6799B">
      <w:pPr>
        <w:rPr>
          <w:color w:val="auto"/>
        </w:rPr>
      </w:pPr>
      <w:r>
        <w:rPr>
          <w:b/>
          <w:color w:val="auto"/>
        </w:rPr>
        <w:t>10.1.5</w:t>
      </w:r>
      <w:r>
        <w:rPr>
          <w:color w:val="auto"/>
        </w:rPr>
        <w:t xml:space="preserve">  由于建设工程改变斜坡的自然平衡条件而影响其稳定或江、河、湖水涨落影响边坡稳定时，地基基础设计应同时考虑边坡加固。</w:t>
      </w:r>
    </w:p>
    <w:p w14:paraId="022344A5">
      <w:pPr>
        <w:rPr>
          <w:color w:val="auto"/>
        </w:rPr>
      </w:pPr>
      <w:r>
        <w:rPr>
          <w:b/>
          <w:color w:val="auto"/>
        </w:rPr>
        <w:t>10.1.6</w:t>
      </w:r>
      <w:r>
        <w:rPr>
          <w:color w:val="auto"/>
        </w:rPr>
        <w:t xml:space="preserve">  同一建筑及相邻建筑物基础的基础底面高差应根据地形、地貌及地基条件，经地基稳定验算后确定。必要时可采取支挡措施解决基底高差问题。</w:t>
      </w:r>
    </w:p>
    <w:p w14:paraId="4F0DDBEE">
      <w:pPr>
        <w:rPr>
          <w:color w:val="auto"/>
        </w:rPr>
      </w:pPr>
      <w:r>
        <w:rPr>
          <w:b/>
          <w:color w:val="auto"/>
        </w:rPr>
        <w:t>10.1.7</w:t>
      </w:r>
      <w:r>
        <w:rPr>
          <w:color w:val="auto"/>
        </w:rPr>
        <w:t xml:space="preserve">  岩石地基的承载力特征值应按本文件第7.2.6条、附录D、附录K及岩石地基载荷试验确定，初步设计时可按本文件附录表E.1估算。</w:t>
      </w:r>
    </w:p>
    <w:p w14:paraId="3782A023">
      <w:pPr>
        <w:rPr>
          <w:color w:val="auto"/>
        </w:rPr>
      </w:pPr>
      <w:r>
        <w:rPr>
          <w:b/>
          <w:color w:val="auto"/>
        </w:rPr>
        <w:t>10.1.8</w:t>
      </w:r>
      <w:r>
        <w:rPr>
          <w:color w:val="auto"/>
        </w:rPr>
        <w:t xml:space="preserve"> </w:t>
      </w:r>
      <w:r>
        <w:rPr>
          <w:rFonts w:hint="eastAsia"/>
          <w:color w:val="auto"/>
        </w:rPr>
        <w:t xml:space="preserve"> </w:t>
      </w:r>
      <w:r>
        <w:rPr>
          <w:color w:val="auto"/>
        </w:rPr>
        <w:t>基岩面坡度较大，不宜设置沉降缝分隔且开挖深度受限制时的建筑地基，可采用墩基过渡型式。在满足变形控制的条件下也可采用大直径桩。</w:t>
      </w:r>
    </w:p>
    <w:p w14:paraId="16577FAE">
      <w:pPr>
        <w:pStyle w:val="20"/>
        <w:adjustRightInd w:val="0"/>
        <w:snapToGrid w:val="0"/>
        <w:spacing w:line="340" w:lineRule="exact"/>
        <w:ind w:left="5250"/>
        <w:rPr>
          <w:color w:val="auto"/>
          <w:szCs w:val="21"/>
        </w:rPr>
      </w:pPr>
    </w:p>
    <w:p w14:paraId="2A6FCFD7">
      <w:pPr>
        <w:adjustRightInd w:val="0"/>
        <w:snapToGrid w:val="0"/>
        <w:spacing w:line="340" w:lineRule="exact"/>
        <w:outlineLvl w:val="1"/>
        <w:rPr>
          <w:rFonts w:eastAsia="黑体"/>
          <w:b/>
          <w:bCs/>
          <w:color w:val="auto"/>
          <w:szCs w:val="21"/>
        </w:rPr>
      </w:pPr>
      <w:bookmarkStart w:id="38" w:name="_Toc199943596"/>
      <w:r>
        <w:rPr>
          <w:rFonts w:eastAsia="黑体"/>
          <w:b/>
          <w:bCs/>
          <w:color w:val="auto"/>
          <w:szCs w:val="21"/>
        </w:rPr>
        <w:t>10.2  勘察要求</w:t>
      </w:r>
      <w:bookmarkEnd w:id="38"/>
    </w:p>
    <w:p w14:paraId="5911C4CA">
      <w:pPr>
        <w:adjustRightInd w:val="0"/>
        <w:snapToGrid w:val="0"/>
        <w:spacing w:line="340" w:lineRule="exact"/>
        <w:jc w:val="center"/>
        <w:rPr>
          <w:rFonts w:eastAsia="黑体"/>
          <w:b/>
          <w:bCs/>
          <w:color w:val="auto"/>
          <w:szCs w:val="21"/>
        </w:rPr>
      </w:pPr>
    </w:p>
    <w:p w14:paraId="5FCF1DA0">
      <w:pPr>
        <w:rPr>
          <w:color w:val="auto"/>
        </w:rPr>
      </w:pPr>
      <w:r>
        <w:rPr>
          <w:b/>
          <w:bCs/>
          <w:color w:val="auto"/>
        </w:rPr>
        <w:t>10.2.1</w:t>
      </w:r>
      <w:r>
        <w:rPr>
          <w:rFonts w:hint="eastAsia"/>
          <w:color w:val="auto"/>
        </w:rPr>
        <w:t xml:space="preserve">  </w:t>
      </w:r>
      <w:r>
        <w:rPr>
          <w:color w:val="auto"/>
        </w:rPr>
        <w:t>在山区建设时详勘阶段岩土工程勘察工作除应符合GB</w:t>
      </w:r>
      <w:r>
        <w:rPr>
          <w:rFonts w:hint="eastAsia"/>
          <w:color w:val="auto"/>
          <w:lang w:val="en-US" w:eastAsia="zh-CN"/>
        </w:rPr>
        <w:t xml:space="preserve"> </w:t>
      </w:r>
      <w:r>
        <w:rPr>
          <w:color w:val="auto"/>
        </w:rPr>
        <w:t>50021及本文件</w:t>
      </w:r>
      <w:r>
        <w:rPr>
          <w:rFonts w:hint="eastAsia"/>
          <w:color w:val="auto"/>
        </w:rPr>
        <w:t>第</w:t>
      </w:r>
      <w:r>
        <w:rPr>
          <w:color w:val="auto"/>
        </w:rPr>
        <w:t>5</w:t>
      </w:r>
      <w:r>
        <w:rPr>
          <w:rFonts w:hint="eastAsia"/>
          <w:color w:val="auto"/>
        </w:rPr>
        <w:t>章的相关</w:t>
      </w:r>
      <w:r>
        <w:rPr>
          <w:color w:val="auto"/>
        </w:rPr>
        <w:t>要求外，尚应符合以下要求：</w:t>
      </w:r>
    </w:p>
    <w:p w14:paraId="7C0F5750">
      <w:pPr>
        <w:rPr>
          <w:color w:val="auto"/>
        </w:rPr>
      </w:pPr>
      <w:r>
        <w:rPr>
          <w:color w:val="auto"/>
        </w:rPr>
        <w:t xml:space="preserve">   </w:t>
      </w:r>
      <w:r>
        <w:rPr>
          <w:b/>
          <w:bCs/>
          <w:color w:val="auto"/>
        </w:rPr>
        <w:t>a)</w:t>
      </w:r>
      <w:r>
        <w:rPr>
          <w:color w:val="auto"/>
        </w:rPr>
        <w:t xml:space="preserve">  查明山区建设场地稳定性和工程建设适宜性；查明不良地质作用和地质灾害类型、分布、稳定性等；调查地表水、地下水的影响；调查地下水的汇水面积；</w:t>
      </w:r>
    </w:p>
    <w:p w14:paraId="64659FF1">
      <w:pPr>
        <w:ind w:firstLine="316" w:firstLineChars="150"/>
        <w:rPr>
          <w:color w:val="auto"/>
        </w:rPr>
      </w:pPr>
      <w:r>
        <w:rPr>
          <w:b/>
          <w:bCs/>
          <w:color w:val="auto"/>
        </w:rPr>
        <w:t>b)</w:t>
      </w:r>
      <w:r>
        <w:rPr>
          <w:color w:val="auto"/>
        </w:rPr>
        <w:t xml:space="preserve">  应查明基岩的岩性、结构、构造、岩面变化、风化程度，确定其坚硬程度、完整程度和基本质量等级，查明临空面、破碎带、软弱岩层、破碎岩体、洞穴及充填等情况；</w:t>
      </w:r>
    </w:p>
    <w:p w14:paraId="018BFD08">
      <w:pPr>
        <w:ind w:firstLine="316" w:firstLineChars="150"/>
        <w:rPr>
          <w:color w:val="auto"/>
        </w:rPr>
      </w:pPr>
      <w:r>
        <w:rPr>
          <w:b/>
          <w:bCs/>
          <w:color w:val="auto"/>
        </w:rPr>
        <w:t>c)</w:t>
      </w:r>
      <w:r>
        <w:rPr>
          <w:color w:val="auto"/>
        </w:rPr>
        <w:t xml:space="preserve">  查明特殊性岩土性质、特征及分布范围；</w:t>
      </w:r>
    </w:p>
    <w:p w14:paraId="1521FC62">
      <w:pPr>
        <w:rPr>
          <w:color w:val="auto"/>
        </w:rPr>
      </w:pPr>
      <w:r>
        <w:rPr>
          <w:color w:val="auto"/>
        </w:rPr>
        <w:t xml:space="preserve">   </w:t>
      </w:r>
      <w:r>
        <w:rPr>
          <w:b/>
          <w:bCs/>
          <w:color w:val="auto"/>
        </w:rPr>
        <w:t>d)</w:t>
      </w:r>
      <w:r>
        <w:rPr>
          <w:color w:val="auto"/>
        </w:rPr>
        <w:t xml:space="preserve">  对岩土组合地基，应查明岩土交界面展布方向（单倾斜面、相向倾斜面、相反倾斜面）及微地貌特征；应查明对工程有影响的石芽或大块孤石的出露范围、规模；查明溶沟、溶槽</w:t>
      </w:r>
      <w:r>
        <w:rPr>
          <w:rFonts w:hint="eastAsia"/>
          <w:color w:val="auto"/>
        </w:rPr>
        <w:t>发育情况；</w:t>
      </w:r>
    </w:p>
    <w:p w14:paraId="34B66038">
      <w:pPr>
        <w:rPr>
          <w:color w:val="auto"/>
        </w:rPr>
      </w:pPr>
      <w:r>
        <w:rPr>
          <w:color w:val="auto"/>
        </w:rPr>
        <w:t xml:space="preserve">   </w:t>
      </w:r>
      <w:r>
        <w:rPr>
          <w:b/>
          <w:bCs/>
          <w:color w:val="auto"/>
        </w:rPr>
        <w:t>e)</w:t>
      </w:r>
      <w:r>
        <w:rPr>
          <w:color w:val="auto"/>
        </w:rPr>
        <w:t xml:space="preserve">  抗震设防烈度为7度的重大工程场地，应进行活动性断裂勘察，查明活动性断裂分布和类型，分析其活动性和地震效应，评价断裂对工程建设可能产生的影响，并提出处理方案建议。</w:t>
      </w:r>
    </w:p>
    <w:p w14:paraId="1849CBD6">
      <w:pPr>
        <w:rPr>
          <w:color w:val="auto"/>
        </w:rPr>
      </w:pPr>
      <w:r>
        <w:rPr>
          <w:b/>
          <w:bCs/>
          <w:color w:val="auto"/>
        </w:rPr>
        <w:t>10.2.2</w:t>
      </w:r>
      <w:r>
        <w:rPr>
          <w:color w:val="auto"/>
        </w:rPr>
        <w:t xml:space="preserve">  山区地基岩土工程分析评价和勘察报告除应符合GB</w:t>
      </w:r>
      <w:r>
        <w:rPr>
          <w:rFonts w:hint="eastAsia"/>
          <w:color w:val="auto"/>
          <w:lang w:val="en-US" w:eastAsia="zh-CN"/>
        </w:rPr>
        <w:t xml:space="preserve"> </w:t>
      </w:r>
      <w:r>
        <w:rPr>
          <w:color w:val="auto"/>
        </w:rPr>
        <w:t>50021外，尚应符合以下要求：</w:t>
      </w:r>
    </w:p>
    <w:p w14:paraId="0190FE7D">
      <w:pPr>
        <w:ind w:firstLine="420"/>
        <w:rPr>
          <w:color w:val="auto"/>
        </w:rPr>
      </w:pPr>
      <w:r>
        <w:rPr>
          <w:b/>
          <w:bCs/>
          <w:color w:val="auto"/>
        </w:rPr>
        <w:t>a)</w:t>
      </w:r>
      <w:r>
        <w:rPr>
          <w:color w:val="auto"/>
        </w:rPr>
        <w:t xml:space="preserve">  评价山区地基的稳定性、均匀性，当地基岩土压缩性差异较大时，应评价对地基变形的影响，</w:t>
      </w:r>
      <w:r>
        <w:rPr>
          <w:rFonts w:hint="eastAsia"/>
          <w:color w:val="auto"/>
        </w:rPr>
        <w:t>必要</w:t>
      </w:r>
      <w:r>
        <w:rPr>
          <w:color w:val="auto"/>
        </w:rPr>
        <w:t>时应估算差异沉降；</w:t>
      </w:r>
    </w:p>
    <w:p w14:paraId="7B5E5775">
      <w:pPr>
        <w:ind w:firstLine="420"/>
        <w:rPr>
          <w:color w:val="auto"/>
        </w:rPr>
      </w:pPr>
      <w:r>
        <w:rPr>
          <w:b/>
          <w:bCs/>
          <w:color w:val="auto"/>
        </w:rPr>
        <w:t>b)</w:t>
      </w:r>
      <w:r>
        <w:rPr>
          <w:color w:val="auto"/>
        </w:rPr>
        <w:t xml:space="preserve">  根据土岩组合地基基岩顶面的倾斜类型，评价对地基不均匀变形的影响；</w:t>
      </w:r>
    </w:p>
    <w:p w14:paraId="58E97551">
      <w:pPr>
        <w:ind w:firstLine="420"/>
        <w:rPr>
          <w:color w:val="auto"/>
        </w:rPr>
      </w:pPr>
      <w:r>
        <w:rPr>
          <w:b/>
          <w:bCs/>
          <w:color w:val="auto"/>
        </w:rPr>
        <w:t>c)</w:t>
      </w:r>
      <w:r>
        <w:rPr>
          <w:color w:val="auto"/>
        </w:rPr>
        <w:t xml:space="preserve">  位于边坡坡顶或邻近边坡下的建筑物应评价边坡的整体稳定性；根据边坡的稳定性提出建筑物离坡肩或坡脚的安全距离的建议或措施；</w:t>
      </w:r>
    </w:p>
    <w:p w14:paraId="56387104">
      <w:pPr>
        <w:ind w:firstLine="420"/>
        <w:rPr>
          <w:color w:val="auto"/>
        </w:rPr>
      </w:pPr>
      <w:r>
        <w:rPr>
          <w:b/>
          <w:bCs/>
          <w:color w:val="auto"/>
        </w:rPr>
        <w:t>d)</w:t>
      </w:r>
      <w:r>
        <w:rPr>
          <w:color w:val="auto"/>
        </w:rPr>
        <w:t xml:space="preserve">  评价地表水、地下水作用对建设场地和地基基础的影响；</w:t>
      </w:r>
    </w:p>
    <w:p w14:paraId="3AF6C06F">
      <w:pPr>
        <w:ind w:firstLine="420"/>
        <w:rPr>
          <w:color w:val="auto"/>
        </w:rPr>
      </w:pPr>
      <w:r>
        <w:rPr>
          <w:b/>
          <w:bCs/>
          <w:color w:val="auto"/>
        </w:rPr>
        <w:t>e)</w:t>
      </w:r>
      <w:r>
        <w:rPr>
          <w:color w:val="auto"/>
        </w:rPr>
        <w:t xml:space="preserve">  预测在施工过程中由于挖方、填方、堆载或卸载等对建设场地稳定性的影响，并提出预防措施的建议。</w:t>
      </w:r>
    </w:p>
    <w:p w14:paraId="7E14BD8C">
      <w:pPr>
        <w:ind w:firstLine="420"/>
        <w:rPr>
          <w:color w:val="auto"/>
        </w:rPr>
      </w:pPr>
      <w:r>
        <w:rPr>
          <w:b/>
          <w:bCs/>
          <w:color w:val="auto"/>
        </w:rPr>
        <w:t>f)</w:t>
      </w:r>
      <w:r>
        <w:rPr>
          <w:color w:val="auto"/>
        </w:rPr>
        <w:t xml:space="preserve">  评价滑坡、崩塌、泥石流、岩溶等不良地质作用及地质灾害对工程建设的影响，并提出防治措施的建议。</w:t>
      </w:r>
    </w:p>
    <w:p w14:paraId="3578A6FD">
      <w:pPr>
        <w:rPr>
          <w:color w:val="auto"/>
        </w:rPr>
      </w:pPr>
      <w:r>
        <w:rPr>
          <w:b/>
          <w:bCs/>
          <w:color w:val="auto"/>
        </w:rPr>
        <w:t>10.2.3</w:t>
      </w:r>
      <w:r>
        <w:rPr>
          <w:rFonts w:hint="eastAsia"/>
          <w:b/>
          <w:bCs/>
          <w:color w:val="auto"/>
        </w:rPr>
        <w:t xml:space="preserve"> </w:t>
      </w:r>
      <w:r>
        <w:rPr>
          <w:color w:val="auto"/>
        </w:rPr>
        <w:t xml:space="preserve"> 山区边坡勘察除应符合GB</w:t>
      </w:r>
      <w:r>
        <w:rPr>
          <w:rFonts w:hint="eastAsia"/>
          <w:color w:val="auto"/>
          <w:lang w:val="en-US" w:eastAsia="zh-CN"/>
        </w:rPr>
        <w:t xml:space="preserve"> </w:t>
      </w:r>
      <w:r>
        <w:rPr>
          <w:color w:val="auto"/>
        </w:rPr>
        <w:t>50330有关规定外，尚应符合以下要求：</w:t>
      </w:r>
    </w:p>
    <w:p w14:paraId="74028068">
      <w:pPr>
        <w:ind w:firstLine="413" w:firstLineChars="196"/>
        <w:rPr>
          <w:color w:val="auto"/>
        </w:rPr>
      </w:pPr>
      <w:r>
        <w:rPr>
          <w:b/>
          <w:bCs/>
          <w:color w:val="auto"/>
        </w:rPr>
        <w:t>a)</w:t>
      </w:r>
      <w:r>
        <w:rPr>
          <w:color w:val="auto"/>
        </w:rPr>
        <w:t xml:space="preserve">  </w:t>
      </w:r>
      <w:r>
        <w:rPr>
          <w:rFonts w:hint="eastAsia"/>
          <w:color w:val="auto"/>
        </w:rPr>
        <w:t>应先进行地形、地貌及工程地质测绘和调查。边坡勘探应采用钻探（直孔、斜孔）、坑（井）探、槽探等方法，勘探点深度应进入最下层潜在滑动面2.0m～5.0m。对于复杂重要的边坡工程可辅以洞探。位于岩溶发育区的边坡除采用上述方法外，尚应采用物探</w:t>
      </w:r>
      <w:r>
        <w:rPr>
          <w:color w:val="auto"/>
        </w:rPr>
        <w:t>；</w:t>
      </w:r>
    </w:p>
    <w:p w14:paraId="73DB6CB0">
      <w:pPr>
        <w:ind w:firstLine="422" w:firstLineChars="200"/>
        <w:rPr>
          <w:color w:val="auto"/>
        </w:rPr>
      </w:pPr>
      <w:r>
        <w:rPr>
          <w:b/>
          <w:bCs/>
          <w:color w:val="auto"/>
        </w:rPr>
        <w:t>b)</w:t>
      </w:r>
      <w:r>
        <w:rPr>
          <w:color w:val="auto"/>
        </w:rPr>
        <w:t xml:space="preserve">  边坡剖面图应能反映边坡全貌。每一单独边坡段应有勘探线、勘探点控制；</w:t>
      </w:r>
    </w:p>
    <w:p w14:paraId="1A4F0144">
      <w:pPr>
        <w:rPr>
          <w:color w:val="auto"/>
        </w:rPr>
      </w:pPr>
      <w:r>
        <w:rPr>
          <w:color w:val="auto"/>
        </w:rPr>
        <w:t xml:space="preserve"> </w:t>
      </w:r>
      <w:r>
        <w:rPr>
          <w:b/>
          <w:bCs/>
          <w:color w:val="auto"/>
        </w:rPr>
        <w:t xml:space="preserve">   c)</w:t>
      </w:r>
      <w:r>
        <w:rPr>
          <w:color w:val="auto"/>
        </w:rPr>
        <w:t xml:space="preserve">  对建筑物安全有影响的边坡，应查明可能的滑动面、可能破坏模式</w:t>
      </w:r>
      <w:r>
        <w:rPr>
          <w:rFonts w:hint="eastAsia"/>
          <w:color w:val="auto"/>
        </w:rPr>
        <w:t>，</w:t>
      </w:r>
      <w:r>
        <w:rPr>
          <w:color w:val="auto"/>
        </w:rPr>
        <w:t>提供有关边坡稳定计算参数</w:t>
      </w:r>
      <w:r>
        <w:rPr>
          <w:rFonts w:hint="eastAsia"/>
          <w:color w:val="auto"/>
        </w:rPr>
        <w:t>，</w:t>
      </w:r>
      <w:r>
        <w:rPr>
          <w:color w:val="auto"/>
        </w:rPr>
        <w:t>进行边坡现状和建筑物建成后边坡稳定性定性分析及定量计算；对不稳定边坡提出治理措施和监测方案的建议；</w:t>
      </w:r>
    </w:p>
    <w:p w14:paraId="5EAF5AAA">
      <w:pPr>
        <w:ind w:firstLine="422" w:firstLineChars="200"/>
        <w:rPr>
          <w:color w:val="auto"/>
        </w:rPr>
      </w:pPr>
      <w:r>
        <w:rPr>
          <w:b/>
          <w:bCs/>
          <w:color w:val="auto"/>
        </w:rPr>
        <w:t>d)</w:t>
      </w:r>
      <w:r>
        <w:rPr>
          <w:color w:val="auto"/>
        </w:rPr>
        <w:t xml:space="preserve">  分析边坡开挖对坡上或坡下邻近建筑物、道路、市政管线稳定性影响，提出应采取措施的建议；</w:t>
      </w:r>
    </w:p>
    <w:p w14:paraId="1F92F1FB">
      <w:pPr>
        <w:ind w:firstLine="422" w:firstLineChars="200"/>
        <w:rPr>
          <w:color w:val="auto"/>
        </w:rPr>
      </w:pPr>
      <w:r>
        <w:rPr>
          <w:b/>
          <w:bCs/>
          <w:color w:val="auto"/>
        </w:rPr>
        <w:t>e)</w:t>
      </w:r>
      <w:r>
        <w:rPr>
          <w:color w:val="auto"/>
        </w:rPr>
        <w:t xml:space="preserve">  对于抗震设防烈度为7度的场地，应评价地震引发崩塌、滑坡等地质灾害的可能性，并提出地质灾害防治措施建议。</w:t>
      </w:r>
    </w:p>
    <w:p w14:paraId="5CCD84BF">
      <w:pPr>
        <w:adjustRightInd w:val="0"/>
        <w:snapToGrid w:val="0"/>
        <w:spacing w:line="340" w:lineRule="exact"/>
        <w:jc w:val="center"/>
        <w:rPr>
          <w:rFonts w:eastAsia="黑体"/>
          <w:b/>
          <w:color w:val="auto"/>
          <w:szCs w:val="21"/>
        </w:rPr>
      </w:pPr>
    </w:p>
    <w:p w14:paraId="5D2E9434">
      <w:pPr>
        <w:adjustRightInd w:val="0"/>
        <w:snapToGrid w:val="0"/>
        <w:spacing w:line="340" w:lineRule="exact"/>
        <w:outlineLvl w:val="1"/>
        <w:rPr>
          <w:rFonts w:eastAsia="黑体"/>
          <w:b/>
          <w:bCs/>
          <w:color w:val="auto"/>
          <w:szCs w:val="21"/>
        </w:rPr>
      </w:pPr>
      <w:bookmarkStart w:id="39" w:name="_Toc199943597"/>
      <w:r>
        <w:rPr>
          <w:rFonts w:eastAsia="黑体"/>
          <w:b/>
          <w:bCs/>
          <w:color w:val="auto"/>
          <w:szCs w:val="21"/>
        </w:rPr>
        <w:t>10.3  岩石地基</w:t>
      </w:r>
      <w:bookmarkEnd w:id="39"/>
    </w:p>
    <w:p w14:paraId="09E785B9">
      <w:pPr>
        <w:adjustRightInd w:val="0"/>
        <w:snapToGrid w:val="0"/>
        <w:spacing w:line="340" w:lineRule="exact"/>
        <w:rPr>
          <w:b/>
          <w:bCs/>
          <w:color w:val="auto"/>
          <w:szCs w:val="21"/>
        </w:rPr>
      </w:pPr>
    </w:p>
    <w:p w14:paraId="3E5FF699">
      <w:pPr>
        <w:adjustRightInd w:val="0"/>
        <w:snapToGrid w:val="0"/>
        <w:spacing w:line="340" w:lineRule="exact"/>
        <w:rPr>
          <w:color w:val="auto"/>
          <w:szCs w:val="21"/>
        </w:rPr>
      </w:pPr>
      <w:r>
        <w:rPr>
          <w:b/>
          <w:bCs/>
          <w:color w:val="auto"/>
          <w:szCs w:val="21"/>
        </w:rPr>
        <w:t>10.3.1</w:t>
      </w:r>
      <w:r>
        <w:rPr>
          <w:b/>
          <w:color w:val="auto"/>
          <w:szCs w:val="21"/>
        </w:rPr>
        <w:t xml:space="preserve">  </w:t>
      </w:r>
      <w:r>
        <w:rPr>
          <w:color w:val="auto"/>
          <w:szCs w:val="21"/>
        </w:rPr>
        <w:t>岩石地基基础设计应符合下列规定：</w:t>
      </w:r>
    </w:p>
    <w:p w14:paraId="1496938B">
      <w:pPr>
        <w:ind w:firstLine="413" w:firstLineChars="196"/>
        <w:rPr>
          <w:color w:val="auto"/>
        </w:rPr>
      </w:pPr>
      <w:r>
        <w:rPr>
          <w:b/>
          <w:bCs/>
          <w:color w:val="auto"/>
        </w:rPr>
        <w:t>a)</w:t>
      </w:r>
      <w:r>
        <w:rPr>
          <w:color w:val="auto"/>
        </w:rPr>
        <w:t xml:space="preserve">  置于完整、较完整、较破碎岩体上的建筑物可仅进行地基承载力计算。</w:t>
      </w:r>
    </w:p>
    <w:p w14:paraId="1BF05408">
      <w:pPr>
        <w:ind w:firstLine="422" w:firstLineChars="200"/>
        <w:rPr>
          <w:color w:val="auto"/>
        </w:rPr>
      </w:pPr>
      <w:r>
        <w:rPr>
          <w:b/>
          <w:bCs/>
          <w:color w:val="auto"/>
        </w:rPr>
        <w:t>b)</w:t>
      </w:r>
      <w:r>
        <w:rPr>
          <w:color w:val="auto"/>
        </w:rPr>
        <w:t xml:space="preserve">  地基基础设计等级为甲、乙级的建筑物，同一建筑物的地基存在坚硬程度不同，</w:t>
      </w:r>
      <w:r>
        <w:rPr>
          <w:rFonts w:hint="eastAsia"/>
          <w:color w:val="auto"/>
        </w:rPr>
        <w:t>且</w:t>
      </w:r>
      <w:r>
        <w:rPr>
          <w:color w:val="auto"/>
        </w:rPr>
        <w:t>两种或多种岩体变形模量差异达2倍及2倍以上，应进行地基变形验算。</w:t>
      </w:r>
    </w:p>
    <w:p w14:paraId="09097637">
      <w:pPr>
        <w:ind w:firstLine="422" w:firstLineChars="200"/>
        <w:rPr>
          <w:color w:val="auto"/>
        </w:rPr>
      </w:pPr>
      <w:r>
        <w:rPr>
          <w:b/>
          <w:bCs/>
          <w:color w:val="auto"/>
        </w:rPr>
        <w:t>c)</w:t>
      </w:r>
      <w:r>
        <w:rPr>
          <w:color w:val="auto"/>
        </w:rPr>
        <w:t xml:space="preserve">  地基主要受力层深度内存在软弱下卧岩层时，应考虑软弱下卧层的影响进行地基承载力、变形和稳定性验算。</w:t>
      </w:r>
    </w:p>
    <w:p w14:paraId="43E50391">
      <w:pPr>
        <w:ind w:firstLine="422" w:firstLineChars="200"/>
        <w:rPr>
          <w:color w:val="auto"/>
        </w:rPr>
      </w:pPr>
      <w:r>
        <w:rPr>
          <w:b/>
          <w:bCs/>
          <w:color w:val="auto"/>
        </w:rPr>
        <w:t>d)</w:t>
      </w:r>
      <w:r>
        <w:rPr>
          <w:color w:val="auto"/>
        </w:rPr>
        <w:t xml:space="preserve">  当基岩面起伏较大，且均使用岩石地基时，同一建筑物可以采用多种基础形式。同一基础可以放阶处理，但应满足稳定要求。</w:t>
      </w:r>
    </w:p>
    <w:p w14:paraId="44B93E74">
      <w:pPr>
        <w:ind w:firstLine="422" w:firstLineChars="200"/>
        <w:rPr>
          <w:color w:val="auto"/>
        </w:rPr>
      </w:pPr>
      <w:r>
        <w:rPr>
          <w:b/>
          <w:bCs/>
          <w:color w:val="auto"/>
        </w:rPr>
        <w:t>e)</w:t>
      </w:r>
      <w:r>
        <w:rPr>
          <w:color w:val="auto"/>
        </w:rPr>
        <w:t xml:space="preserve">  当基础附近有临空面时，应验算基础稳定性，存在不稳定临空面时，应根据具体情况，采取加大基础埋深，增设抗滑构件等措施。</w:t>
      </w:r>
    </w:p>
    <w:p w14:paraId="2273C5F2">
      <w:pPr>
        <w:ind w:firstLine="422" w:firstLineChars="200"/>
        <w:rPr>
          <w:color w:val="auto"/>
        </w:rPr>
      </w:pPr>
      <w:r>
        <w:rPr>
          <w:b/>
          <w:bCs/>
          <w:color w:val="auto"/>
        </w:rPr>
        <w:t>f)</w:t>
      </w:r>
      <w:r>
        <w:rPr>
          <w:color w:val="auto"/>
        </w:rPr>
        <w:t xml:space="preserve">  高层建筑基础嵌入硬质岩石时，宜在基础周边及底面设置砂质或其他材料褥垫层，垫层厚度可取50mm～100mm，不宜采用肥槽填充混凝土的做法。</w:t>
      </w:r>
    </w:p>
    <w:p w14:paraId="426EC645">
      <w:pPr>
        <w:adjustRightInd w:val="0"/>
        <w:snapToGrid w:val="0"/>
        <w:spacing w:line="340" w:lineRule="exact"/>
        <w:rPr>
          <w:color w:val="auto"/>
          <w:szCs w:val="21"/>
        </w:rPr>
      </w:pPr>
      <w:r>
        <w:rPr>
          <w:b/>
          <w:bCs/>
          <w:color w:val="auto"/>
          <w:szCs w:val="21"/>
        </w:rPr>
        <w:t>10.3.2</w:t>
      </w:r>
      <w:r>
        <w:rPr>
          <w:color w:val="auto"/>
          <w:szCs w:val="21"/>
        </w:rPr>
        <w:t xml:space="preserve">  对处于断层破碎带范围内的地基、因爆破施工造成岩石松动破碎的地基，宜适当降低承载力特征值并加大基础埋深。需要对岩石进行爆破时，应采用控制爆破。</w:t>
      </w:r>
    </w:p>
    <w:p w14:paraId="35F08197">
      <w:pPr>
        <w:adjustRightInd w:val="0"/>
        <w:snapToGrid w:val="0"/>
        <w:spacing w:line="340" w:lineRule="exact"/>
        <w:rPr>
          <w:color w:val="auto"/>
          <w:szCs w:val="21"/>
        </w:rPr>
      </w:pPr>
      <w:r>
        <w:rPr>
          <w:b/>
          <w:bCs/>
          <w:color w:val="auto"/>
          <w:szCs w:val="21"/>
        </w:rPr>
        <w:t>10.3.3</w:t>
      </w:r>
      <w:r>
        <w:rPr>
          <w:color w:val="auto"/>
          <w:szCs w:val="21"/>
        </w:rPr>
        <w:t xml:space="preserve">  地基中有软硬交替的岩层时，应采取在硬层分布区设褥垫或在软层分布区超挖回填混凝土等措施，减少不均匀沉降。</w:t>
      </w:r>
    </w:p>
    <w:p w14:paraId="3C69229A">
      <w:pPr>
        <w:adjustRightInd w:val="0"/>
        <w:snapToGrid w:val="0"/>
        <w:spacing w:line="340" w:lineRule="exact"/>
        <w:rPr>
          <w:color w:val="auto"/>
          <w:szCs w:val="21"/>
        </w:rPr>
      </w:pPr>
      <w:r>
        <w:rPr>
          <w:b/>
          <w:bCs/>
          <w:color w:val="auto"/>
          <w:szCs w:val="21"/>
        </w:rPr>
        <w:t>10.3.4</w:t>
      </w:r>
      <w:r>
        <w:rPr>
          <w:color w:val="auto"/>
          <w:szCs w:val="21"/>
        </w:rPr>
        <w:t xml:space="preserve">  对遇水易软化或膨胀的岩石地基，应采取防水、止水措施，缩短暴露时间，必要时宜降低地基承载力特征值。</w:t>
      </w:r>
    </w:p>
    <w:p w14:paraId="1D10B817">
      <w:pPr>
        <w:adjustRightInd w:val="0"/>
        <w:snapToGrid w:val="0"/>
        <w:spacing w:line="340" w:lineRule="exact"/>
        <w:rPr>
          <w:color w:val="auto"/>
          <w:szCs w:val="21"/>
        </w:rPr>
      </w:pPr>
      <w:r>
        <w:rPr>
          <w:b/>
          <w:bCs/>
          <w:color w:val="auto"/>
          <w:szCs w:val="21"/>
        </w:rPr>
        <w:t xml:space="preserve">10.3.5 </w:t>
      </w:r>
      <w:r>
        <w:rPr>
          <w:color w:val="auto"/>
          <w:szCs w:val="21"/>
        </w:rPr>
        <w:t xml:space="preserve"> 对岩层面（或软弱结构面）倾角小于边坡坡角的顺向坡，地基基础设计时应进行沿层面（或软弱结构面）滑动稳定性的验算。在确定基础埋深时，应考虑相邻基础之间的相互影响。</w:t>
      </w:r>
    </w:p>
    <w:p w14:paraId="681F4784">
      <w:pPr>
        <w:adjustRightInd w:val="0"/>
        <w:snapToGrid w:val="0"/>
        <w:spacing w:line="340" w:lineRule="exact"/>
        <w:rPr>
          <w:color w:val="auto"/>
          <w:szCs w:val="21"/>
        </w:rPr>
      </w:pPr>
      <w:r>
        <w:rPr>
          <w:b/>
          <w:bCs/>
          <w:color w:val="auto"/>
          <w:szCs w:val="21"/>
        </w:rPr>
        <w:t>10.3.6</w:t>
      </w:r>
      <w:r>
        <w:rPr>
          <w:color w:val="auto"/>
          <w:szCs w:val="21"/>
        </w:rPr>
        <w:t xml:space="preserve">  对承受上拔力或较大水平力的基础或需要抗浮的基础，可采用岩石锚杆</w:t>
      </w:r>
      <w:r>
        <w:rPr>
          <w:rFonts w:hint="eastAsia"/>
          <w:color w:val="auto"/>
          <w:szCs w:val="21"/>
        </w:rPr>
        <w:t>等</w:t>
      </w:r>
      <w:r>
        <w:rPr>
          <w:color w:val="auto"/>
          <w:szCs w:val="21"/>
        </w:rPr>
        <w:t>予以锚固。</w:t>
      </w:r>
    </w:p>
    <w:p w14:paraId="1F1B0398">
      <w:pPr>
        <w:adjustRightInd w:val="0"/>
        <w:snapToGrid w:val="0"/>
        <w:spacing w:line="340" w:lineRule="exact"/>
        <w:rPr>
          <w:color w:val="auto"/>
          <w:szCs w:val="21"/>
        </w:rPr>
      </w:pPr>
    </w:p>
    <w:p w14:paraId="139F47BE">
      <w:pPr>
        <w:adjustRightInd w:val="0"/>
        <w:snapToGrid w:val="0"/>
        <w:spacing w:line="340" w:lineRule="exact"/>
        <w:outlineLvl w:val="1"/>
        <w:rPr>
          <w:rFonts w:eastAsia="黑体"/>
          <w:b/>
          <w:bCs/>
          <w:color w:val="auto"/>
          <w:szCs w:val="21"/>
        </w:rPr>
      </w:pPr>
      <w:bookmarkStart w:id="40" w:name="_Toc199943598"/>
      <w:r>
        <w:rPr>
          <w:rFonts w:eastAsia="黑体"/>
          <w:b/>
          <w:bCs/>
          <w:color w:val="auto"/>
          <w:szCs w:val="21"/>
        </w:rPr>
        <w:t>10.4  土岩组合地基</w:t>
      </w:r>
      <w:bookmarkEnd w:id="40"/>
    </w:p>
    <w:p w14:paraId="0961E2FA">
      <w:pPr>
        <w:adjustRightInd w:val="0"/>
        <w:snapToGrid w:val="0"/>
        <w:spacing w:line="340" w:lineRule="exact"/>
        <w:rPr>
          <w:b/>
          <w:color w:val="auto"/>
          <w:szCs w:val="21"/>
        </w:rPr>
      </w:pPr>
    </w:p>
    <w:p w14:paraId="4CE84180">
      <w:pPr>
        <w:adjustRightInd w:val="0"/>
        <w:snapToGrid w:val="0"/>
        <w:spacing w:line="340" w:lineRule="exact"/>
        <w:rPr>
          <w:color w:val="auto"/>
          <w:szCs w:val="21"/>
        </w:rPr>
      </w:pPr>
      <w:r>
        <w:rPr>
          <w:b/>
          <w:bCs/>
          <w:color w:val="auto"/>
          <w:szCs w:val="21"/>
        </w:rPr>
        <w:t>10.4.1</w:t>
      </w:r>
      <w:r>
        <w:rPr>
          <w:b/>
          <w:color w:val="auto"/>
          <w:szCs w:val="21"/>
        </w:rPr>
        <w:t xml:space="preserve">  </w:t>
      </w:r>
      <w:r>
        <w:rPr>
          <w:color w:val="auto"/>
          <w:szCs w:val="21"/>
        </w:rPr>
        <w:t>建筑地基的主要受力层范围内，如遇下列情况之一者，属于土岩组合地基：</w:t>
      </w:r>
    </w:p>
    <w:p w14:paraId="75D7F445">
      <w:pPr>
        <w:adjustRightInd w:val="0"/>
        <w:snapToGrid w:val="0"/>
        <w:spacing w:line="340" w:lineRule="exact"/>
        <w:ind w:left="432"/>
        <w:rPr>
          <w:color w:val="auto"/>
          <w:szCs w:val="21"/>
        </w:rPr>
      </w:pPr>
      <w:r>
        <w:rPr>
          <w:b/>
          <w:bCs/>
          <w:color w:val="auto"/>
          <w:szCs w:val="21"/>
        </w:rPr>
        <w:t xml:space="preserve">a) </w:t>
      </w:r>
      <w:r>
        <w:rPr>
          <w:color w:val="auto"/>
          <w:szCs w:val="21"/>
        </w:rPr>
        <w:t xml:space="preserve"> 下卧基岩表面坡度较大；</w:t>
      </w:r>
    </w:p>
    <w:p w14:paraId="16B018B9">
      <w:pPr>
        <w:adjustRightInd w:val="0"/>
        <w:snapToGrid w:val="0"/>
        <w:spacing w:line="340" w:lineRule="exact"/>
        <w:ind w:left="432"/>
        <w:rPr>
          <w:color w:val="auto"/>
          <w:szCs w:val="21"/>
        </w:rPr>
      </w:pPr>
      <w:r>
        <w:rPr>
          <w:b/>
          <w:bCs/>
          <w:color w:val="auto"/>
          <w:szCs w:val="21"/>
        </w:rPr>
        <w:t xml:space="preserve">b) </w:t>
      </w:r>
      <w:r>
        <w:rPr>
          <w:color w:val="auto"/>
          <w:szCs w:val="21"/>
        </w:rPr>
        <w:t xml:space="preserve"> 石芽密布并有出露；</w:t>
      </w:r>
    </w:p>
    <w:p w14:paraId="3D77440B">
      <w:pPr>
        <w:adjustRightInd w:val="0"/>
        <w:snapToGrid w:val="0"/>
        <w:spacing w:line="340" w:lineRule="exact"/>
        <w:ind w:left="432"/>
        <w:rPr>
          <w:color w:val="auto"/>
          <w:szCs w:val="21"/>
        </w:rPr>
      </w:pPr>
      <w:r>
        <w:rPr>
          <w:b/>
          <w:bCs/>
          <w:color w:val="auto"/>
          <w:szCs w:val="21"/>
        </w:rPr>
        <w:t xml:space="preserve">c) </w:t>
      </w:r>
      <w:r>
        <w:rPr>
          <w:color w:val="auto"/>
          <w:szCs w:val="21"/>
        </w:rPr>
        <w:t xml:space="preserve"> 大块孤石或个别石芽出露。</w:t>
      </w:r>
    </w:p>
    <w:p w14:paraId="56E25E34">
      <w:pPr>
        <w:adjustRightInd w:val="0"/>
        <w:snapToGrid w:val="0"/>
        <w:spacing w:line="340" w:lineRule="exact"/>
        <w:rPr>
          <w:color w:val="auto"/>
          <w:szCs w:val="21"/>
        </w:rPr>
      </w:pPr>
      <w:r>
        <w:rPr>
          <w:b/>
          <w:bCs/>
          <w:color w:val="auto"/>
          <w:szCs w:val="21"/>
        </w:rPr>
        <w:t>10.4.2</w:t>
      </w:r>
      <w:r>
        <w:rPr>
          <w:color w:val="auto"/>
          <w:szCs w:val="21"/>
        </w:rPr>
        <w:t xml:space="preserve">  石芽密布并有出露的地基，当石芽间距小于2</w:t>
      </w:r>
      <w:r>
        <w:rPr>
          <w:iCs/>
          <w:color w:val="auto"/>
          <w:szCs w:val="21"/>
        </w:rPr>
        <w:t>m</w:t>
      </w:r>
      <w:r>
        <w:rPr>
          <w:color w:val="auto"/>
          <w:szCs w:val="21"/>
        </w:rPr>
        <w:t>，其间为硬塑或坚硬状态的黏</w:t>
      </w:r>
      <w:r>
        <w:rPr>
          <w:rFonts w:hint="eastAsia"/>
          <w:color w:val="auto"/>
          <w:szCs w:val="21"/>
        </w:rPr>
        <w:t>性</w:t>
      </w:r>
      <w:r>
        <w:rPr>
          <w:color w:val="auto"/>
          <w:szCs w:val="21"/>
        </w:rPr>
        <w:t>土时，对于六层和六层以下的砌体承重结构、三层和三层以下的框架结构或具有15</w:t>
      </w:r>
      <w:r>
        <w:rPr>
          <w:iCs/>
          <w:color w:val="auto"/>
          <w:szCs w:val="21"/>
        </w:rPr>
        <w:t>t</w:t>
      </w:r>
      <w:r>
        <w:rPr>
          <w:color w:val="auto"/>
          <w:szCs w:val="21"/>
        </w:rPr>
        <w:t>和15</w:t>
      </w:r>
      <w:r>
        <w:rPr>
          <w:iCs/>
          <w:color w:val="auto"/>
          <w:szCs w:val="21"/>
        </w:rPr>
        <w:t>t</w:t>
      </w:r>
      <w:r>
        <w:rPr>
          <w:color w:val="auto"/>
          <w:szCs w:val="21"/>
        </w:rPr>
        <w:t>以下吊车的单层排架结构，其基底压力小于200</w:t>
      </w:r>
      <w:r>
        <w:rPr>
          <w:iCs/>
          <w:color w:val="auto"/>
          <w:szCs w:val="21"/>
        </w:rPr>
        <w:t>kPa</w:t>
      </w:r>
      <w:r>
        <w:rPr>
          <w:color w:val="auto"/>
          <w:szCs w:val="21"/>
        </w:rPr>
        <w:t>时，可不作地基处理。</w:t>
      </w:r>
    </w:p>
    <w:p w14:paraId="4D132E0E">
      <w:pPr>
        <w:adjustRightInd w:val="0"/>
        <w:snapToGrid w:val="0"/>
        <w:spacing w:line="340" w:lineRule="exact"/>
        <w:rPr>
          <w:color w:val="auto"/>
          <w:szCs w:val="21"/>
        </w:rPr>
      </w:pPr>
      <w:r>
        <w:rPr>
          <w:color w:val="auto"/>
          <w:szCs w:val="21"/>
        </w:rPr>
        <w:t xml:space="preserve">    如不能满足上述要求，可利用经检验稳定性可靠的石芽做支墩式基础，也可在石芽出露部位作褥垫。当石芽间有较厚的软弱土层时，可用碎石、土夹石等进行置换。</w:t>
      </w:r>
    </w:p>
    <w:p w14:paraId="1186EC1D">
      <w:pPr>
        <w:adjustRightInd w:val="0"/>
        <w:snapToGrid w:val="0"/>
        <w:spacing w:line="340" w:lineRule="exact"/>
        <w:rPr>
          <w:color w:val="auto"/>
          <w:szCs w:val="21"/>
        </w:rPr>
      </w:pPr>
      <w:r>
        <w:rPr>
          <w:b/>
          <w:bCs/>
          <w:color w:val="auto"/>
          <w:szCs w:val="21"/>
        </w:rPr>
        <w:t>10.4.3</w:t>
      </w:r>
      <w:r>
        <w:rPr>
          <w:b/>
          <w:color w:val="auto"/>
          <w:szCs w:val="21"/>
        </w:rPr>
        <w:t xml:space="preserve">  </w:t>
      </w:r>
      <w:r>
        <w:rPr>
          <w:color w:val="auto"/>
          <w:szCs w:val="21"/>
        </w:rPr>
        <w:t>对于大块孤石或个别石芽出露的地基，</w:t>
      </w:r>
      <w:r>
        <w:rPr>
          <w:rFonts w:hint="eastAsia"/>
          <w:color w:val="auto"/>
          <w:szCs w:val="21"/>
        </w:rPr>
        <w:t>如土层承载力特征值大于</w:t>
      </w:r>
      <w:r>
        <w:rPr>
          <w:color w:val="auto"/>
          <w:szCs w:val="21"/>
        </w:rPr>
        <w:t>150</w:t>
      </w:r>
      <w:r>
        <w:rPr>
          <w:iCs/>
          <w:color w:val="auto"/>
          <w:szCs w:val="21"/>
        </w:rPr>
        <w:t>kPa</w:t>
      </w:r>
      <w:r>
        <w:rPr>
          <w:rFonts w:hint="eastAsia"/>
          <w:color w:val="auto"/>
          <w:szCs w:val="21"/>
        </w:rPr>
        <w:t>、房屋为单层排架结构或一、二层砌体承重结构时，</w:t>
      </w:r>
      <w:r>
        <w:rPr>
          <w:color w:val="auto"/>
          <w:szCs w:val="21"/>
        </w:rPr>
        <w:t>宜在基础与岩石接触部位采用褥垫进行处理。对于多层砌体承重结构，应根据土质情况，结合本文件第10.4.5条、第10.4.6条的规定综合处理。</w:t>
      </w:r>
    </w:p>
    <w:p w14:paraId="296ECF09">
      <w:pPr>
        <w:adjustRightInd w:val="0"/>
        <w:snapToGrid w:val="0"/>
        <w:spacing w:line="340" w:lineRule="exact"/>
        <w:rPr>
          <w:color w:val="auto"/>
          <w:szCs w:val="21"/>
        </w:rPr>
      </w:pPr>
      <w:r>
        <w:rPr>
          <w:b/>
          <w:bCs/>
          <w:color w:val="auto"/>
          <w:szCs w:val="21"/>
        </w:rPr>
        <w:t>10.4.4</w:t>
      </w:r>
      <w:r>
        <w:rPr>
          <w:color w:val="auto"/>
          <w:szCs w:val="21"/>
        </w:rPr>
        <w:t xml:space="preserve">  褥垫可采用炉渣、中砂、粗砂、土夹石等材料，其厚度宜取300</w:t>
      </w:r>
      <w:r>
        <w:rPr>
          <w:iCs/>
          <w:color w:val="auto"/>
          <w:szCs w:val="21"/>
        </w:rPr>
        <w:t>mm</w:t>
      </w:r>
      <w:r>
        <w:rPr>
          <w:color w:val="auto"/>
          <w:szCs w:val="21"/>
        </w:rPr>
        <w:t>～500</w:t>
      </w:r>
      <w:r>
        <w:rPr>
          <w:iCs/>
          <w:color w:val="auto"/>
          <w:szCs w:val="21"/>
        </w:rPr>
        <w:t>mm</w:t>
      </w:r>
      <w:r>
        <w:rPr>
          <w:color w:val="auto"/>
          <w:szCs w:val="21"/>
        </w:rPr>
        <w:t>，夯填度根据试验确定。当无资料时，可参照下列数值进行设计：</w:t>
      </w:r>
    </w:p>
    <w:p w14:paraId="0395036F">
      <w:pPr>
        <w:adjustRightInd w:val="0"/>
        <w:snapToGrid w:val="0"/>
        <w:spacing w:line="340" w:lineRule="exact"/>
        <w:ind w:firstLine="420"/>
        <w:rPr>
          <w:color w:val="auto"/>
          <w:szCs w:val="21"/>
        </w:rPr>
      </w:pPr>
      <w:r>
        <w:rPr>
          <w:color w:val="auto"/>
          <w:szCs w:val="21"/>
        </w:rPr>
        <w:t xml:space="preserve">中砂、粗砂               </w:t>
      </w:r>
      <w:r>
        <w:rPr>
          <w:rFonts w:hint="eastAsia"/>
          <w:color w:val="auto"/>
          <w:szCs w:val="21"/>
        </w:rPr>
        <w:t xml:space="preserve">   </w:t>
      </w:r>
      <w:r>
        <w:rPr>
          <w:color w:val="auto"/>
          <w:szCs w:val="21"/>
        </w:rPr>
        <w:t xml:space="preserve">  </w:t>
      </w:r>
      <w:r>
        <w:rPr>
          <w:color w:val="auto"/>
          <w:szCs w:val="21"/>
          <w:vertAlign w:val="subscript"/>
        </w:rPr>
        <w:t xml:space="preserve"> </w:t>
      </w:r>
      <w:r>
        <w:rPr>
          <w:color w:val="auto"/>
          <w:szCs w:val="21"/>
        </w:rPr>
        <w:t xml:space="preserve">        0.87±0.05</w:t>
      </w:r>
    </w:p>
    <w:p w14:paraId="3AF2F97E">
      <w:pPr>
        <w:adjustRightInd w:val="0"/>
        <w:snapToGrid w:val="0"/>
        <w:spacing w:line="340" w:lineRule="exact"/>
        <w:ind w:firstLine="420"/>
        <w:rPr>
          <w:color w:val="auto"/>
          <w:szCs w:val="21"/>
        </w:rPr>
      </w:pPr>
      <w:r>
        <w:rPr>
          <w:color w:val="auto"/>
          <w:szCs w:val="21"/>
        </w:rPr>
        <w:t>土夹石（其中碎石含量为20%～30%）     0.70±0.05</w:t>
      </w:r>
    </w:p>
    <w:p w14:paraId="139E5F2F">
      <w:pPr>
        <w:adjustRightInd w:val="0"/>
        <w:snapToGrid w:val="0"/>
        <w:spacing w:line="340" w:lineRule="exact"/>
        <w:ind w:firstLine="420"/>
        <w:rPr>
          <w:color w:val="auto"/>
          <w:sz w:val="18"/>
          <w:szCs w:val="18"/>
        </w:rPr>
      </w:pPr>
    </w:p>
    <w:p w14:paraId="71559234">
      <w:pPr>
        <w:adjustRightInd w:val="0"/>
        <w:snapToGrid w:val="0"/>
        <w:spacing w:before="120" w:line="340" w:lineRule="exact"/>
        <w:rPr>
          <w:color w:val="auto"/>
          <w:szCs w:val="21"/>
        </w:rPr>
      </w:pPr>
      <w:r>
        <w:rPr>
          <w:b/>
          <w:bCs/>
          <w:color w:val="auto"/>
          <w:szCs w:val="21"/>
        </w:rPr>
        <w:t>10.4.5</w:t>
      </w:r>
      <w:r>
        <w:rPr>
          <w:color w:val="auto"/>
          <w:szCs w:val="21"/>
        </w:rPr>
        <w:t xml:space="preserve">  当建筑物对地基变形要求较高或地质条件比较复杂不宜按本文件第10.4.2条、第10.4.3条有关规定进行地基处理时，可适当调整建筑平面位置，也可采用墩基、桩基或梁、拱跨越等处理措施。</w:t>
      </w:r>
    </w:p>
    <w:p w14:paraId="3E6740F0">
      <w:pPr>
        <w:adjustRightInd w:val="0"/>
        <w:snapToGrid w:val="0"/>
        <w:spacing w:line="340" w:lineRule="exact"/>
        <w:rPr>
          <w:color w:val="auto"/>
          <w:spacing w:val="-4"/>
          <w:szCs w:val="21"/>
        </w:rPr>
      </w:pPr>
      <w:r>
        <w:rPr>
          <w:b/>
          <w:bCs/>
          <w:color w:val="auto"/>
          <w:szCs w:val="21"/>
        </w:rPr>
        <w:t xml:space="preserve">10.4.6 </w:t>
      </w:r>
      <w:r>
        <w:rPr>
          <w:color w:val="auto"/>
          <w:spacing w:val="-4"/>
          <w:szCs w:val="21"/>
        </w:rPr>
        <w:t xml:space="preserve"> 在地基压缩性相差较大的部位，宜结合建筑平面形状、荷载条件设置沉降缝。沉降缝宽度</w:t>
      </w:r>
      <w:r>
        <w:rPr>
          <w:rFonts w:hint="eastAsia"/>
          <w:color w:val="auto"/>
          <w:spacing w:val="-4"/>
          <w:szCs w:val="21"/>
        </w:rPr>
        <w:t>按本文件第</w:t>
      </w:r>
      <w:r>
        <w:rPr>
          <w:color w:val="auto"/>
          <w:spacing w:val="-4"/>
          <w:szCs w:val="21"/>
        </w:rPr>
        <w:t>8</w:t>
      </w:r>
      <w:r>
        <w:rPr>
          <w:rFonts w:hint="eastAsia"/>
          <w:color w:val="auto"/>
          <w:spacing w:val="-4"/>
          <w:szCs w:val="21"/>
        </w:rPr>
        <w:t>.3.2条确定</w:t>
      </w:r>
      <w:r>
        <w:rPr>
          <w:color w:val="auto"/>
          <w:spacing w:val="-4"/>
          <w:szCs w:val="21"/>
        </w:rPr>
        <w:t>。</w:t>
      </w:r>
    </w:p>
    <w:p w14:paraId="598CDC63">
      <w:pPr>
        <w:adjustRightInd w:val="0"/>
        <w:snapToGrid w:val="0"/>
        <w:spacing w:line="340" w:lineRule="exact"/>
        <w:jc w:val="center"/>
        <w:rPr>
          <w:b/>
          <w:color w:val="auto"/>
          <w:szCs w:val="21"/>
        </w:rPr>
      </w:pPr>
    </w:p>
    <w:p w14:paraId="3577A0BA">
      <w:pPr>
        <w:adjustRightInd w:val="0"/>
        <w:snapToGrid w:val="0"/>
        <w:spacing w:line="340" w:lineRule="exact"/>
        <w:outlineLvl w:val="1"/>
        <w:rPr>
          <w:rFonts w:eastAsia="黑体"/>
          <w:b/>
          <w:bCs/>
          <w:color w:val="auto"/>
          <w:szCs w:val="21"/>
        </w:rPr>
      </w:pPr>
      <w:bookmarkStart w:id="41" w:name="_Toc199943599"/>
      <w:r>
        <w:rPr>
          <w:rFonts w:eastAsia="黑体"/>
          <w:b/>
          <w:bCs/>
          <w:color w:val="auto"/>
          <w:szCs w:val="21"/>
        </w:rPr>
        <w:t>10.5  岩土边坡治理</w:t>
      </w:r>
      <w:bookmarkEnd w:id="41"/>
    </w:p>
    <w:p w14:paraId="5175838F">
      <w:pPr>
        <w:adjustRightInd w:val="0"/>
        <w:snapToGrid w:val="0"/>
        <w:spacing w:line="340" w:lineRule="exact"/>
        <w:rPr>
          <w:b/>
          <w:color w:val="auto"/>
          <w:szCs w:val="21"/>
        </w:rPr>
      </w:pPr>
    </w:p>
    <w:p w14:paraId="4078374D">
      <w:pPr>
        <w:pStyle w:val="20"/>
        <w:ind w:left="0" w:leftChars="0"/>
        <w:rPr>
          <w:color w:val="auto"/>
        </w:rPr>
      </w:pPr>
      <w:r>
        <w:rPr>
          <w:b/>
          <w:bCs/>
          <w:color w:val="auto"/>
        </w:rPr>
        <w:t>10.5.1</w:t>
      </w:r>
      <w:r>
        <w:rPr>
          <w:color w:val="auto"/>
        </w:rPr>
        <w:t xml:space="preserve">  </w:t>
      </w:r>
      <w:r>
        <w:rPr>
          <w:color w:val="auto"/>
          <w:szCs w:val="21"/>
        </w:rPr>
        <w:t>在建设场区内，由于施工或其他因素的影响有可能</w:t>
      </w:r>
      <w:r>
        <w:rPr>
          <w:rFonts w:hint="eastAsia"/>
          <w:color w:val="auto"/>
          <w:szCs w:val="21"/>
        </w:rPr>
        <w:t>诱发</w:t>
      </w:r>
      <w:r>
        <w:rPr>
          <w:color w:val="auto"/>
          <w:szCs w:val="21"/>
        </w:rPr>
        <w:t>滑坡</w:t>
      </w:r>
      <w:r>
        <w:rPr>
          <w:rFonts w:hint="eastAsia"/>
          <w:color w:val="auto"/>
          <w:szCs w:val="21"/>
        </w:rPr>
        <w:t>、</w:t>
      </w:r>
      <w:r>
        <w:rPr>
          <w:color w:val="auto"/>
          <w:szCs w:val="21"/>
        </w:rPr>
        <w:t>崩塌等地质灾害的地段，应采取可靠的预防措施。对具有发展趋势并威胁建</w:t>
      </w:r>
      <w:r>
        <w:rPr>
          <w:rFonts w:hint="eastAsia"/>
          <w:color w:val="auto"/>
          <w:szCs w:val="21"/>
        </w:rPr>
        <w:t>（构）</w:t>
      </w:r>
      <w:r>
        <w:rPr>
          <w:color w:val="auto"/>
          <w:szCs w:val="21"/>
        </w:rPr>
        <w:t>筑物安全使用的滑坡与崩塌，应</w:t>
      </w:r>
      <w:r>
        <w:rPr>
          <w:rFonts w:hint="eastAsia"/>
          <w:color w:val="auto"/>
          <w:szCs w:val="21"/>
        </w:rPr>
        <w:t>采取</w:t>
      </w:r>
      <w:r>
        <w:rPr>
          <w:color w:val="auto"/>
          <w:szCs w:val="21"/>
        </w:rPr>
        <w:t>处置</w:t>
      </w:r>
      <w:r>
        <w:rPr>
          <w:rFonts w:hint="eastAsia"/>
          <w:color w:val="auto"/>
          <w:szCs w:val="21"/>
        </w:rPr>
        <w:t>措施消除隐患</w:t>
      </w:r>
      <w:r>
        <w:rPr>
          <w:color w:val="auto"/>
          <w:szCs w:val="21"/>
        </w:rPr>
        <w:t>。</w:t>
      </w:r>
    </w:p>
    <w:p w14:paraId="461D3BB6">
      <w:pPr>
        <w:pStyle w:val="20"/>
        <w:ind w:left="0" w:leftChars="0"/>
        <w:rPr>
          <w:color w:val="auto"/>
        </w:rPr>
      </w:pPr>
      <w:r>
        <w:rPr>
          <w:b/>
          <w:bCs/>
          <w:color w:val="auto"/>
        </w:rPr>
        <w:t>10.5.</w:t>
      </w:r>
      <w:r>
        <w:rPr>
          <w:rFonts w:hint="eastAsia"/>
          <w:b/>
          <w:bCs/>
          <w:color w:val="auto"/>
        </w:rPr>
        <w:t>2</w:t>
      </w:r>
      <w:r>
        <w:rPr>
          <w:color w:val="auto"/>
        </w:rPr>
        <w:t xml:space="preserve">  </w:t>
      </w:r>
      <w:r>
        <w:rPr>
          <w:rFonts w:hint="eastAsia"/>
          <w:color w:val="auto"/>
          <w:szCs w:val="21"/>
        </w:rPr>
        <w:t>建筑边坡（包括土质边坡和岩质边坡）工程的设计工作年限不应低于被保护的建（构）筑物设计工作年限</w:t>
      </w:r>
      <w:r>
        <w:rPr>
          <w:color w:val="auto"/>
          <w:szCs w:val="21"/>
        </w:rPr>
        <w:t>。</w:t>
      </w:r>
    </w:p>
    <w:p w14:paraId="086ABA00">
      <w:pPr>
        <w:adjustRightInd w:val="0"/>
        <w:snapToGrid w:val="0"/>
        <w:spacing w:line="340" w:lineRule="exact"/>
        <w:rPr>
          <w:bCs/>
          <w:color w:val="auto"/>
          <w:szCs w:val="21"/>
        </w:rPr>
      </w:pPr>
      <w:r>
        <w:rPr>
          <w:b/>
          <w:bCs/>
          <w:color w:val="auto"/>
        </w:rPr>
        <w:t>10.5.</w:t>
      </w:r>
      <w:r>
        <w:rPr>
          <w:rFonts w:hint="eastAsia"/>
          <w:b/>
          <w:bCs/>
          <w:color w:val="auto"/>
        </w:rPr>
        <w:t>3</w:t>
      </w:r>
      <w:r>
        <w:rPr>
          <w:b/>
          <w:bCs/>
          <w:color w:val="auto"/>
        </w:rPr>
        <w:t xml:space="preserve">  </w:t>
      </w:r>
      <w:r>
        <w:rPr>
          <w:bCs/>
          <w:color w:val="auto"/>
          <w:szCs w:val="21"/>
        </w:rPr>
        <w:t>边坡工程应按其损坏后可能造成的破坏后果（危及人的生命、造成经济损失、产生社会不良影响）的严重性、边坡类型和坡高等因素，根据表31确定安全等级。岩质边坡的岩体分类应符合表32的规定。岩质边坡岩体完整程度划分应符合表33的规定。</w:t>
      </w:r>
    </w:p>
    <w:p w14:paraId="1C2267A3">
      <w:pPr>
        <w:adjustRightInd w:val="0"/>
        <w:snapToGrid w:val="0"/>
        <w:jc w:val="center"/>
        <w:rPr>
          <w:rFonts w:eastAsia="黑体"/>
          <w:b/>
          <w:color w:val="auto"/>
          <w:szCs w:val="21"/>
        </w:rPr>
      </w:pPr>
      <w:r>
        <w:rPr>
          <w:rFonts w:eastAsia="黑体"/>
          <w:b/>
          <w:color w:val="auto"/>
          <w:sz w:val="18"/>
          <w:szCs w:val="18"/>
        </w:rPr>
        <w:br w:type="page"/>
      </w:r>
      <w:r>
        <w:rPr>
          <w:rFonts w:eastAsia="黑体"/>
          <w:b/>
          <w:color w:val="auto"/>
          <w:szCs w:val="21"/>
        </w:rPr>
        <w:t>表31   边坡工程安全等级</w:t>
      </w:r>
    </w:p>
    <w:tbl>
      <w:tblPr>
        <w:tblStyle w:val="36"/>
        <w:tblW w:w="917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1534"/>
        <w:gridCol w:w="1991"/>
        <w:gridCol w:w="2241"/>
        <w:gridCol w:w="2221"/>
      </w:tblGrid>
      <w:tr w14:paraId="2CDCB2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5" w:hRule="atLeast"/>
          <w:jc w:val="center"/>
        </w:trPr>
        <w:tc>
          <w:tcPr>
            <w:tcW w:w="2718" w:type="dxa"/>
            <w:gridSpan w:val="2"/>
            <w:vAlign w:val="center"/>
          </w:tcPr>
          <w:p w14:paraId="32C58864">
            <w:pPr>
              <w:adjustRightInd w:val="0"/>
              <w:snapToGrid w:val="0"/>
              <w:spacing w:line="260" w:lineRule="exact"/>
              <w:jc w:val="center"/>
              <w:rPr>
                <w:bCs/>
                <w:color w:val="auto"/>
                <w:sz w:val="18"/>
                <w:szCs w:val="18"/>
              </w:rPr>
            </w:pPr>
            <w:r>
              <w:rPr>
                <w:bCs/>
                <w:color w:val="auto"/>
                <w:sz w:val="18"/>
                <w:szCs w:val="18"/>
              </w:rPr>
              <w:t>边坡类型</w:t>
            </w:r>
          </w:p>
        </w:tc>
        <w:tc>
          <w:tcPr>
            <w:tcW w:w="1991" w:type="dxa"/>
            <w:vAlign w:val="center"/>
          </w:tcPr>
          <w:p w14:paraId="25F15AF2">
            <w:pPr>
              <w:adjustRightInd w:val="0"/>
              <w:snapToGrid w:val="0"/>
              <w:spacing w:line="260" w:lineRule="exact"/>
              <w:jc w:val="center"/>
              <w:rPr>
                <w:bCs/>
                <w:color w:val="auto"/>
                <w:sz w:val="18"/>
                <w:szCs w:val="18"/>
              </w:rPr>
            </w:pPr>
            <w:r>
              <w:rPr>
                <w:bCs/>
                <w:color w:val="auto"/>
                <w:sz w:val="18"/>
                <w:szCs w:val="18"/>
              </w:rPr>
              <w:t>边坡高度</w:t>
            </w:r>
            <w:r>
              <w:rPr>
                <w:bCs/>
                <w:i/>
                <w:color w:val="auto"/>
                <w:sz w:val="18"/>
                <w:szCs w:val="18"/>
              </w:rPr>
              <w:t>H</w:t>
            </w:r>
            <w:r>
              <w:rPr>
                <w:bCs/>
                <w:color w:val="auto"/>
                <w:sz w:val="18"/>
                <w:szCs w:val="18"/>
              </w:rPr>
              <w:t>（</w:t>
            </w:r>
            <w:r>
              <w:rPr>
                <w:bCs/>
                <w:iCs/>
                <w:color w:val="auto"/>
                <w:sz w:val="18"/>
                <w:szCs w:val="18"/>
              </w:rPr>
              <w:t>m</w:t>
            </w:r>
            <w:r>
              <w:rPr>
                <w:bCs/>
                <w:color w:val="auto"/>
                <w:sz w:val="18"/>
                <w:szCs w:val="18"/>
              </w:rPr>
              <w:t>）</w:t>
            </w:r>
          </w:p>
        </w:tc>
        <w:tc>
          <w:tcPr>
            <w:tcW w:w="2241" w:type="dxa"/>
            <w:vAlign w:val="center"/>
          </w:tcPr>
          <w:p w14:paraId="5D4C0844">
            <w:pPr>
              <w:adjustRightInd w:val="0"/>
              <w:snapToGrid w:val="0"/>
              <w:spacing w:line="260" w:lineRule="exact"/>
              <w:jc w:val="center"/>
              <w:rPr>
                <w:bCs/>
                <w:color w:val="auto"/>
                <w:sz w:val="18"/>
                <w:szCs w:val="18"/>
              </w:rPr>
            </w:pPr>
            <w:r>
              <w:rPr>
                <w:bCs/>
                <w:color w:val="auto"/>
                <w:sz w:val="18"/>
                <w:szCs w:val="18"/>
              </w:rPr>
              <w:t>破坏后果</w:t>
            </w:r>
          </w:p>
        </w:tc>
        <w:tc>
          <w:tcPr>
            <w:tcW w:w="2221" w:type="dxa"/>
            <w:vAlign w:val="center"/>
          </w:tcPr>
          <w:p w14:paraId="040B133A">
            <w:pPr>
              <w:adjustRightInd w:val="0"/>
              <w:snapToGrid w:val="0"/>
              <w:spacing w:line="260" w:lineRule="exact"/>
              <w:jc w:val="center"/>
              <w:rPr>
                <w:bCs/>
                <w:color w:val="auto"/>
                <w:sz w:val="18"/>
                <w:szCs w:val="18"/>
              </w:rPr>
            </w:pPr>
            <w:r>
              <w:rPr>
                <w:bCs/>
                <w:color w:val="auto"/>
                <w:sz w:val="18"/>
                <w:szCs w:val="18"/>
              </w:rPr>
              <w:t>安全等级</w:t>
            </w:r>
          </w:p>
        </w:tc>
      </w:tr>
      <w:tr w14:paraId="12276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5" w:hRule="atLeast"/>
          <w:jc w:val="center"/>
        </w:trPr>
        <w:tc>
          <w:tcPr>
            <w:tcW w:w="1184" w:type="dxa"/>
            <w:vMerge w:val="restart"/>
            <w:vAlign w:val="center"/>
          </w:tcPr>
          <w:p w14:paraId="7D64C33A">
            <w:pPr>
              <w:adjustRightInd w:val="0"/>
              <w:snapToGrid w:val="0"/>
              <w:spacing w:line="260" w:lineRule="exact"/>
              <w:jc w:val="center"/>
              <w:rPr>
                <w:bCs/>
                <w:color w:val="auto"/>
                <w:sz w:val="18"/>
                <w:szCs w:val="18"/>
              </w:rPr>
            </w:pPr>
            <w:r>
              <w:rPr>
                <w:bCs/>
                <w:color w:val="auto"/>
                <w:sz w:val="18"/>
                <w:szCs w:val="18"/>
              </w:rPr>
              <w:t>岩质边坡</w:t>
            </w:r>
          </w:p>
        </w:tc>
        <w:tc>
          <w:tcPr>
            <w:tcW w:w="1534" w:type="dxa"/>
            <w:vMerge w:val="restart"/>
            <w:vAlign w:val="center"/>
          </w:tcPr>
          <w:p w14:paraId="4517A66D">
            <w:pPr>
              <w:adjustRightInd w:val="0"/>
              <w:snapToGrid w:val="0"/>
              <w:spacing w:line="260" w:lineRule="exact"/>
              <w:jc w:val="center"/>
              <w:rPr>
                <w:bCs/>
                <w:color w:val="auto"/>
                <w:sz w:val="18"/>
                <w:szCs w:val="18"/>
              </w:rPr>
            </w:pPr>
            <w:r>
              <w:rPr>
                <w:bCs/>
                <w:color w:val="auto"/>
                <w:sz w:val="18"/>
                <w:szCs w:val="18"/>
              </w:rPr>
              <w:t>岩体类型</w:t>
            </w:r>
          </w:p>
          <w:p w14:paraId="76F0F8A6">
            <w:pPr>
              <w:adjustRightInd w:val="0"/>
              <w:snapToGrid w:val="0"/>
              <w:spacing w:line="260" w:lineRule="exact"/>
              <w:jc w:val="center"/>
              <w:rPr>
                <w:bCs/>
                <w:color w:val="auto"/>
                <w:sz w:val="18"/>
                <w:szCs w:val="18"/>
              </w:rPr>
            </w:pPr>
            <w:r>
              <w:rPr>
                <w:bCs/>
                <w:color w:val="auto"/>
                <w:sz w:val="18"/>
                <w:szCs w:val="18"/>
              </w:rPr>
              <w:t>为</w:t>
            </w:r>
            <w:r>
              <w:rPr>
                <w:rFonts w:hAnsi="宋体"/>
                <w:bCs/>
                <w:color w:val="auto"/>
                <w:sz w:val="18"/>
                <w:szCs w:val="18"/>
              </w:rPr>
              <w:t>Ⅰ</w:t>
            </w:r>
            <w:r>
              <w:rPr>
                <w:bCs/>
                <w:color w:val="auto"/>
                <w:sz w:val="18"/>
                <w:szCs w:val="18"/>
              </w:rPr>
              <w:t>或</w:t>
            </w:r>
            <w:r>
              <w:rPr>
                <w:rFonts w:hAnsi="宋体"/>
                <w:bCs/>
                <w:color w:val="auto"/>
                <w:sz w:val="18"/>
                <w:szCs w:val="18"/>
              </w:rPr>
              <w:t>Ⅱ</w:t>
            </w:r>
            <w:r>
              <w:rPr>
                <w:bCs/>
                <w:color w:val="auto"/>
                <w:sz w:val="18"/>
                <w:szCs w:val="18"/>
              </w:rPr>
              <w:t>类</w:t>
            </w:r>
          </w:p>
        </w:tc>
        <w:tc>
          <w:tcPr>
            <w:tcW w:w="1991" w:type="dxa"/>
            <w:vMerge w:val="restart"/>
            <w:vAlign w:val="center"/>
          </w:tcPr>
          <w:p w14:paraId="26955EBF">
            <w:pPr>
              <w:adjustRightInd w:val="0"/>
              <w:snapToGrid w:val="0"/>
              <w:spacing w:line="260" w:lineRule="exact"/>
              <w:jc w:val="center"/>
              <w:rPr>
                <w:bCs/>
                <w:color w:val="auto"/>
                <w:sz w:val="18"/>
                <w:szCs w:val="18"/>
              </w:rPr>
            </w:pPr>
            <w:r>
              <w:rPr>
                <w:bCs/>
                <w:i/>
                <w:color w:val="auto"/>
                <w:sz w:val="18"/>
                <w:szCs w:val="18"/>
              </w:rPr>
              <w:t>H</w:t>
            </w:r>
            <w:r>
              <w:rPr>
                <w:bCs/>
                <w:color w:val="auto"/>
                <w:sz w:val="18"/>
                <w:szCs w:val="18"/>
              </w:rPr>
              <w:t>≤30</w:t>
            </w:r>
          </w:p>
        </w:tc>
        <w:tc>
          <w:tcPr>
            <w:tcW w:w="2241" w:type="dxa"/>
            <w:vAlign w:val="center"/>
          </w:tcPr>
          <w:p w14:paraId="40DCD4D0">
            <w:pPr>
              <w:adjustRightInd w:val="0"/>
              <w:snapToGrid w:val="0"/>
              <w:spacing w:line="260" w:lineRule="exact"/>
              <w:jc w:val="center"/>
              <w:rPr>
                <w:bCs/>
                <w:color w:val="auto"/>
                <w:sz w:val="18"/>
                <w:szCs w:val="18"/>
              </w:rPr>
            </w:pPr>
            <w:r>
              <w:rPr>
                <w:bCs/>
                <w:color w:val="auto"/>
                <w:sz w:val="18"/>
                <w:szCs w:val="18"/>
              </w:rPr>
              <w:t>很严重</w:t>
            </w:r>
          </w:p>
        </w:tc>
        <w:tc>
          <w:tcPr>
            <w:tcW w:w="2221" w:type="dxa"/>
            <w:vAlign w:val="center"/>
          </w:tcPr>
          <w:p w14:paraId="0CF39913">
            <w:pPr>
              <w:adjustRightInd w:val="0"/>
              <w:snapToGrid w:val="0"/>
              <w:spacing w:line="260" w:lineRule="exact"/>
              <w:jc w:val="center"/>
              <w:rPr>
                <w:bCs/>
                <w:color w:val="auto"/>
                <w:sz w:val="18"/>
                <w:szCs w:val="18"/>
              </w:rPr>
            </w:pPr>
            <w:r>
              <w:rPr>
                <w:bCs/>
                <w:color w:val="auto"/>
                <w:sz w:val="18"/>
                <w:szCs w:val="18"/>
              </w:rPr>
              <w:t>一级</w:t>
            </w:r>
          </w:p>
        </w:tc>
      </w:tr>
      <w:tr w14:paraId="335FE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77E19426">
            <w:pPr>
              <w:adjustRightInd w:val="0"/>
              <w:snapToGrid w:val="0"/>
              <w:spacing w:line="260" w:lineRule="exact"/>
              <w:jc w:val="center"/>
              <w:rPr>
                <w:bCs/>
                <w:color w:val="auto"/>
                <w:sz w:val="18"/>
                <w:szCs w:val="18"/>
              </w:rPr>
            </w:pPr>
          </w:p>
        </w:tc>
        <w:tc>
          <w:tcPr>
            <w:tcW w:w="1534" w:type="dxa"/>
            <w:vMerge w:val="continue"/>
            <w:vAlign w:val="center"/>
          </w:tcPr>
          <w:p w14:paraId="79BD96CF">
            <w:pPr>
              <w:adjustRightInd w:val="0"/>
              <w:snapToGrid w:val="0"/>
              <w:spacing w:line="260" w:lineRule="exact"/>
              <w:jc w:val="center"/>
              <w:rPr>
                <w:bCs/>
                <w:color w:val="auto"/>
                <w:sz w:val="18"/>
                <w:szCs w:val="18"/>
              </w:rPr>
            </w:pPr>
          </w:p>
        </w:tc>
        <w:tc>
          <w:tcPr>
            <w:tcW w:w="1991" w:type="dxa"/>
            <w:vMerge w:val="continue"/>
            <w:vAlign w:val="center"/>
          </w:tcPr>
          <w:p w14:paraId="59FA97DD">
            <w:pPr>
              <w:adjustRightInd w:val="0"/>
              <w:snapToGrid w:val="0"/>
              <w:spacing w:line="260" w:lineRule="exact"/>
              <w:jc w:val="center"/>
              <w:rPr>
                <w:bCs/>
                <w:color w:val="auto"/>
                <w:sz w:val="18"/>
                <w:szCs w:val="18"/>
              </w:rPr>
            </w:pPr>
          </w:p>
        </w:tc>
        <w:tc>
          <w:tcPr>
            <w:tcW w:w="2241" w:type="dxa"/>
            <w:vAlign w:val="center"/>
          </w:tcPr>
          <w:p w14:paraId="15201CDF">
            <w:pPr>
              <w:adjustRightInd w:val="0"/>
              <w:snapToGrid w:val="0"/>
              <w:spacing w:line="260" w:lineRule="exact"/>
              <w:jc w:val="center"/>
              <w:rPr>
                <w:bCs/>
                <w:color w:val="auto"/>
                <w:sz w:val="18"/>
                <w:szCs w:val="18"/>
              </w:rPr>
            </w:pPr>
            <w:r>
              <w:rPr>
                <w:bCs/>
                <w:color w:val="auto"/>
                <w:sz w:val="18"/>
                <w:szCs w:val="18"/>
              </w:rPr>
              <w:t>严重</w:t>
            </w:r>
          </w:p>
        </w:tc>
        <w:tc>
          <w:tcPr>
            <w:tcW w:w="2221" w:type="dxa"/>
            <w:vAlign w:val="center"/>
          </w:tcPr>
          <w:p w14:paraId="379292EF">
            <w:pPr>
              <w:adjustRightInd w:val="0"/>
              <w:snapToGrid w:val="0"/>
              <w:spacing w:line="260" w:lineRule="exact"/>
              <w:jc w:val="center"/>
              <w:rPr>
                <w:bCs/>
                <w:color w:val="auto"/>
                <w:sz w:val="18"/>
                <w:szCs w:val="18"/>
              </w:rPr>
            </w:pPr>
            <w:r>
              <w:rPr>
                <w:bCs/>
                <w:color w:val="auto"/>
                <w:sz w:val="18"/>
                <w:szCs w:val="18"/>
              </w:rPr>
              <w:t>二级</w:t>
            </w:r>
          </w:p>
        </w:tc>
      </w:tr>
      <w:tr w14:paraId="090DA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2F7E1BBC">
            <w:pPr>
              <w:adjustRightInd w:val="0"/>
              <w:snapToGrid w:val="0"/>
              <w:spacing w:line="260" w:lineRule="exact"/>
              <w:jc w:val="center"/>
              <w:rPr>
                <w:bCs/>
                <w:color w:val="auto"/>
                <w:sz w:val="18"/>
                <w:szCs w:val="18"/>
              </w:rPr>
            </w:pPr>
          </w:p>
        </w:tc>
        <w:tc>
          <w:tcPr>
            <w:tcW w:w="1534" w:type="dxa"/>
            <w:vMerge w:val="continue"/>
            <w:vAlign w:val="center"/>
          </w:tcPr>
          <w:p w14:paraId="536FC5ED">
            <w:pPr>
              <w:adjustRightInd w:val="0"/>
              <w:snapToGrid w:val="0"/>
              <w:spacing w:line="260" w:lineRule="exact"/>
              <w:jc w:val="center"/>
              <w:rPr>
                <w:bCs/>
                <w:color w:val="auto"/>
                <w:sz w:val="18"/>
                <w:szCs w:val="18"/>
              </w:rPr>
            </w:pPr>
          </w:p>
        </w:tc>
        <w:tc>
          <w:tcPr>
            <w:tcW w:w="1991" w:type="dxa"/>
            <w:vMerge w:val="continue"/>
            <w:vAlign w:val="center"/>
          </w:tcPr>
          <w:p w14:paraId="67559D07">
            <w:pPr>
              <w:adjustRightInd w:val="0"/>
              <w:snapToGrid w:val="0"/>
              <w:spacing w:line="260" w:lineRule="exact"/>
              <w:jc w:val="center"/>
              <w:rPr>
                <w:bCs/>
                <w:color w:val="auto"/>
                <w:sz w:val="18"/>
                <w:szCs w:val="18"/>
              </w:rPr>
            </w:pPr>
          </w:p>
        </w:tc>
        <w:tc>
          <w:tcPr>
            <w:tcW w:w="2241" w:type="dxa"/>
            <w:vAlign w:val="center"/>
          </w:tcPr>
          <w:p w14:paraId="287DD93E">
            <w:pPr>
              <w:adjustRightInd w:val="0"/>
              <w:snapToGrid w:val="0"/>
              <w:spacing w:line="260" w:lineRule="exact"/>
              <w:jc w:val="center"/>
              <w:rPr>
                <w:bCs/>
                <w:color w:val="auto"/>
                <w:sz w:val="18"/>
                <w:szCs w:val="18"/>
              </w:rPr>
            </w:pPr>
            <w:r>
              <w:rPr>
                <w:bCs/>
                <w:color w:val="auto"/>
                <w:sz w:val="18"/>
                <w:szCs w:val="18"/>
              </w:rPr>
              <w:t>不严重</w:t>
            </w:r>
          </w:p>
        </w:tc>
        <w:tc>
          <w:tcPr>
            <w:tcW w:w="2221" w:type="dxa"/>
            <w:vAlign w:val="center"/>
          </w:tcPr>
          <w:p w14:paraId="0BF4680C">
            <w:pPr>
              <w:pStyle w:val="24"/>
              <w:pBdr>
                <w:bottom w:val="none" w:color="auto" w:sz="0" w:space="0"/>
              </w:pBdr>
              <w:tabs>
                <w:tab w:val="clear" w:pos="4153"/>
                <w:tab w:val="clear" w:pos="8306"/>
              </w:tabs>
              <w:spacing w:line="260" w:lineRule="exact"/>
              <w:rPr>
                <w:bCs/>
                <w:color w:val="auto"/>
              </w:rPr>
            </w:pPr>
            <w:r>
              <w:rPr>
                <w:bCs/>
                <w:color w:val="auto"/>
              </w:rPr>
              <w:t>三级</w:t>
            </w:r>
          </w:p>
        </w:tc>
      </w:tr>
      <w:tr w14:paraId="417EC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604FE319">
            <w:pPr>
              <w:adjustRightInd w:val="0"/>
              <w:snapToGrid w:val="0"/>
              <w:spacing w:line="260" w:lineRule="exact"/>
              <w:jc w:val="center"/>
              <w:rPr>
                <w:bCs/>
                <w:color w:val="auto"/>
                <w:sz w:val="18"/>
                <w:szCs w:val="18"/>
              </w:rPr>
            </w:pPr>
          </w:p>
        </w:tc>
        <w:tc>
          <w:tcPr>
            <w:tcW w:w="1534" w:type="dxa"/>
            <w:vMerge w:val="restart"/>
            <w:vAlign w:val="center"/>
          </w:tcPr>
          <w:p w14:paraId="56D8D487">
            <w:pPr>
              <w:adjustRightInd w:val="0"/>
              <w:snapToGrid w:val="0"/>
              <w:spacing w:line="260" w:lineRule="exact"/>
              <w:jc w:val="center"/>
              <w:rPr>
                <w:bCs/>
                <w:color w:val="auto"/>
                <w:sz w:val="18"/>
                <w:szCs w:val="18"/>
              </w:rPr>
            </w:pPr>
            <w:r>
              <w:rPr>
                <w:bCs/>
                <w:color w:val="auto"/>
                <w:sz w:val="18"/>
                <w:szCs w:val="18"/>
              </w:rPr>
              <w:t>岩体类型</w:t>
            </w:r>
          </w:p>
          <w:p w14:paraId="32CF551A">
            <w:pPr>
              <w:adjustRightInd w:val="0"/>
              <w:snapToGrid w:val="0"/>
              <w:spacing w:line="260" w:lineRule="exact"/>
              <w:jc w:val="center"/>
              <w:rPr>
                <w:bCs/>
                <w:color w:val="auto"/>
                <w:sz w:val="18"/>
                <w:szCs w:val="18"/>
              </w:rPr>
            </w:pPr>
            <w:r>
              <w:rPr>
                <w:bCs/>
                <w:color w:val="auto"/>
                <w:sz w:val="18"/>
                <w:szCs w:val="18"/>
              </w:rPr>
              <w:t>为</w:t>
            </w:r>
            <w:r>
              <w:rPr>
                <w:rFonts w:hAnsi="宋体"/>
                <w:bCs/>
                <w:color w:val="auto"/>
                <w:sz w:val="18"/>
                <w:szCs w:val="18"/>
              </w:rPr>
              <w:t>Ⅲ</w:t>
            </w:r>
            <w:r>
              <w:rPr>
                <w:bCs/>
                <w:color w:val="auto"/>
                <w:sz w:val="18"/>
                <w:szCs w:val="18"/>
              </w:rPr>
              <w:t>或</w:t>
            </w:r>
            <w:r>
              <w:rPr>
                <w:rFonts w:hAnsi="宋体"/>
                <w:bCs/>
                <w:color w:val="auto"/>
                <w:sz w:val="18"/>
                <w:szCs w:val="18"/>
              </w:rPr>
              <w:t>Ⅳ</w:t>
            </w:r>
            <w:r>
              <w:rPr>
                <w:bCs/>
                <w:color w:val="auto"/>
                <w:sz w:val="18"/>
                <w:szCs w:val="18"/>
              </w:rPr>
              <w:t>类</w:t>
            </w:r>
          </w:p>
        </w:tc>
        <w:tc>
          <w:tcPr>
            <w:tcW w:w="1991" w:type="dxa"/>
            <w:vMerge w:val="restart"/>
            <w:vAlign w:val="center"/>
          </w:tcPr>
          <w:p w14:paraId="6F451806">
            <w:pPr>
              <w:adjustRightInd w:val="0"/>
              <w:snapToGrid w:val="0"/>
              <w:spacing w:line="260" w:lineRule="exact"/>
              <w:jc w:val="center"/>
              <w:rPr>
                <w:bCs/>
                <w:color w:val="auto"/>
                <w:sz w:val="18"/>
                <w:szCs w:val="18"/>
              </w:rPr>
            </w:pPr>
            <w:r>
              <w:rPr>
                <w:bCs/>
                <w:color w:val="auto"/>
                <w:sz w:val="18"/>
                <w:szCs w:val="18"/>
              </w:rPr>
              <w:t>15＜</w:t>
            </w:r>
            <w:r>
              <w:rPr>
                <w:bCs/>
                <w:i/>
                <w:color w:val="auto"/>
                <w:sz w:val="18"/>
                <w:szCs w:val="18"/>
              </w:rPr>
              <w:t>H</w:t>
            </w:r>
            <w:r>
              <w:rPr>
                <w:bCs/>
                <w:color w:val="auto"/>
                <w:sz w:val="18"/>
                <w:szCs w:val="18"/>
              </w:rPr>
              <w:t>≤30</w:t>
            </w:r>
          </w:p>
        </w:tc>
        <w:tc>
          <w:tcPr>
            <w:tcW w:w="2241" w:type="dxa"/>
            <w:vAlign w:val="center"/>
          </w:tcPr>
          <w:p w14:paraId="3C24BB37">
            <w:pPr>
              <w:adjustRightInd w:val="0"/>
              <w:snapToGrid w:val="0"/>
              <w:spacing w:line="260" w:lineRule="exact"/>
              <w:jc w:val="center"/>
              <w:rPr>
                <w:bCs/>
                <w:color w:val="auto"/>
                <w:sz w:val="18"/>
                <w:szCs w:val="18"/>
              </w:rPr>
            </w:pPr>
            <w:r>
              <w:rPr>
                <w:bCs/>
                <w:color w:val="auto"/>
                <w:sz w:val="18"/>
                <w:szCs w:val="18"/>
              </w:rPr>
              <w:t>很严重</w:t>
            </w:r>
          </w:p>
        </w:tc>
        <w:tc>
          <w:tcPr>
            <w:tcW w:w="2221" w:type="dxa"/>
            <w:vAlign w:val="center"/>
          </w:tcPr>
          <w:p w14:paraId="09D3A9BF">
            <w:pPr>
              <w:adjustRightInd w:val="0"/>
              <w:snapToGrid w:val="0"/>
              <w:spacing w:line="260" w:lineRule="exact"/>
              <w:jc w:val="center"/>
              <w:rPr>
                <w:bCs/>
                <w:color w:val="auto"/>
                <w:sz w:val="18"/>
                <w:szCs w:val="18"/>
              </w:rPr>
            </w:pPr>
            <w:r>
              <w:rPr>
                <w:bCs/>
                <w:color w:val="auto"/>
                <w:sz w:val="18"/>
                <w:szCs w:val="18"/>
              </w:rPr>
              <w:t>一级</w:t>
            </w:r>
          </w:p>
        </w:tc>
      </w:tr>
      <w:tr w14:paraId="0C2CD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787F4195">
            <w:pPr>
              <w:adjustRightInd w:val="0"/>
              <w:snapToGrid w:val="0"/>
              <w:spacing w:line="260" w:lineRule="exact"/>
              <w:jc w:val="center"/>
              <w:rPr>
                <w:bCs/>
                <w:color w:val="auto"/>
                <w:sz w:val="18"/>
                <w:szCs w:val="18"/>
              </w:rPr>
            </w:pPr>
          </w:p>
        </w:tc>
        <w:tc>
          <w:tcPr>
            <w:tcW w:w="1534" w:type="dxa"/>
            <w:vMerge w:val="continue"/>
            <w:vAlign w:val="center"/>
          </w:tcPr>
          <w:p w14:paraId="6C890BC2">
            <w:pPr>
              <w:adjustRightInd w:val="0"/>
              <w:snapToGrid w:val="0"/>
              <w:spacing w:line="260" w:lineRule="exact"/>
              <w:jc w:val="center"/>
              <w:rPr>
                <w:bCs/>
                <w:color w:val="auto"/>
                <w:sz w:val="18"/>
                <w:szCs w:val="18"/>
              </w:rPr>
            </w:pPr>
          </w:p>
        </w:tc>
        <w:tc>
          <w:tcPr>
            <w:tcW w:w="1991" w:type="dxa"/>
            <w:vMerge w:val="continue"/>
            <w:vAlign w:val="center"/>
          </w:tcPr>
          <w:p w14:paraId="5A27BDC9">
            <w:pPr>
              <w:adjustRightInd w:val="0"/>
              <w:snapToGrid w:val="0"/>
              <w:spacing w:line="260" w:lineRule="exact"/>
              <w:jc w:val="center"/>
              <w:rPr>
                <w:bCs/>
                <w:color w:val="auto"/>
                <w:sz w:val="18"/>
                <w:szCs w:val="18"/>
              </w:rPr>
            </w:pPr>
          </w:p>
        </w:tc>
        <w:tc>
          <w:tcPr>
            <w:tcW w:w="2241" w:type="dxa"/>
            <w:vAlign w:val="center"/>
          </w:tcPr>
          <w:p w14:paraId="49389894">
            <w:pPr>
              <w:adjustRightInd w:val="0"/>
              <w:snapToGrid w:val="0"/>
              <w:spacing w:line="260" w:lineRule="exact"/>
              <w:jc w:val="center"/>
              <w:rPr>
                <w:bCs/>
                <w:color w:val="auto"/>
                <w:sz w:val="18"/>
                <w:szCs w:val="18"/>
              </w:rPr>
            </w:pPr>
            <w:r>
              <w:rPr>
                <w:bCs/>
                <w:color w:val="auto"/>
                <w:sz w:val="18"/>
                <w:szCs w:val="18"/>
              </w:rPr>
              <w:t>严重</w:t>
            </w:r>
          </w:p>
        </w:tc>
        <w:tc>
          <w:tcPr>
            <w:tcW w:w="2221" w:type="dxa"/>
            <w:vAlign w:val="center"/>
          </w:tcPr>
          <w:p w14:paraId="1FC56495">
            <w:pPr>
              <w:adjustRightInd w:val="0"/>
              <w:snapToGrid w:val="0"/>
              <w:spacing w:line="260" w:lineRule="exact"/>
              <w:jc w:val="center"/>
              <w:rPr>
                <w:bCs/>
                <w:color w:val="auto"/>
                <w:sz w:val="18"/>
                <w:szCs w:val="18"/>
              </w:rPr>
            </w:pPr>
            <w:r>
              <w:rPr>
                <w:bCs/>
                <w:color w:val="auto"/>
                <w:sz w:val="18"/>
                <w:szCs w:val="18"/>
              </w:rPr>
              <w:t>二级</w:t>
            </w:r>
          </w:p>
        </w:tc>
      </w:tr>
      <w:tr w14:paraId="0EC0C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6D52E5BD">
            <w:pPr>
              <w:adjustRightInd w:val="0"/>
              <w:snapToGrid w:val="0"/>
              <w:spacing w:line="260" w:lineRule="exact"/>
              <w:jc w:val="center"/>
              <w:rPr>
                <w:bCs/>
                <w:color w:val="auto"/>
                <w:sz w:val="18"/>
                <w:szCs w:val="18"/>
              </w:rPr>
            </w:pPr>
          </w:p>
        </w:tc>
        <w:tc>
          <w:tcPr>
            <w:tcW w:w="1534" w:type="dxa"/>
            <w:vMerge w:val="continue"/>
            <w:vAlign w:val="center"/>
          </w:tcPr>
          <w:p w14:paraId="1E25F82E">
            <w:pPr>
              <w:adjustRightInd w:val="0"/>
              <w:snapToGrid w:val="0"/>
              <w:spacing w:line="260" w:lineRule="exact"/>
              <w:jc w:val="center"/>
              <w:rPr>
                <w:bCs/>
                <w:color w:val="auto"/>
                <w:sz w:val="18"/>
                <w:szCs w:val="18"/>
              </w:rPr>
            </w:pPr>
          </w:p>
        </w:tc>
        <w:tc>
          <w:tcPr>
            <w:tcW w:w="1991" w:type="dxa"/>
            <w:vMerge w:val="restart"/>
            <w:vAlign w:val="center"/>
          </w:tcPr>
          <w:p w14:paraId="05BD92DB">
            <w:pPr>
              <w:adjustRightInd w:val="0"/>
              <w:snapToGrid w:val="0"/>
              <w:spacing w:line="260" w:lineRule="exact"/>
              <w:jc w:val="center"/>
              <w:rPr>
                <w:bCs/>
                <w:color w:val="auto"/>
                <w:sz w:val="18"/>
                <w:szCs w:val="18"/>
              </w:rPr>
            </w:pPr>
            <w:r>
              <w:rPr>
                <w:bCs/>
                <w:i/>
                <w:color w:val="auto"/>
                <w:sz w:val="18"/>
                <w:szCs w:val="18"/>
              </w:rPr>
              <w:t>H</w:t>
            </w:r>
            <w:r>
              <w:rPr>
                <w:bCs/>
                <w:color w:val="auto"/>
                <w:sz w:val="18"/>
                <w:szCs w:val="18"/>
              </w:rPr>
              <w:t>≤15</w:t>
            </w:r>
          </w:p>
        </w:tc>
        <w:tc>
          <w:tcPr>
            <w:tcW w:w="2241" w:type="dxa"/>
            <w:vAlign w:val="center"/>
          </w:tcPr>
          <w:p w14:paraId="6301B0F9">
            <w:pPr>
              <w:pStyle w:val="24"/>
              <w:pBdr>
                <w:bottom w:val="none" w:color="auto" w:sz="0" w:space="0"/>
              </w:pBdr>
              <w:tabs>
                <w:tab w:val="clear" w:pos="4153"/>
                <w:tab w:val="clear" w:pos="8306"/>
              </w:tabs>
              <w:spacing w:line="260" w:lineRule="exact"/>
              <w:rPr>
                <w:bCs/>
                <w:color w:val="auto"/>
              </w:rPr>
            </w:pPr>
            <w:r>
              <w:rPr>
                <w:bCs/>
                <w:color w:val="auto"/>
              </w:rPr>
              <w:t>很严重</w:t>
            </w:r>
          </w:p>
        </w:tc>
        <w:tc>
          <w:tcPr>
            <w:tcW w:w="2221" w:type="dxa"/>
            <w:vAlign w:val="center"/>
          </w:tcPr>
          <w:p w14:paraId="48E849C5">
            <w:pPr>
              <w:adjustRightInd w:val="0"/>
              <w:snapToGrid w:val="0"/>
              <w:spacing w:line="260" w:lineRule="exact"/>
              <w:jc w:val="center"/>
              <w:rPr>
                <w:bCs/>
                <w:color w:val="auto"/>
                <w:sz w:val="18"/>
                <w:szCs w:val="18"/>
              </w:rPr>
            </w:pPr>
            <w:r>
              <w:rPr>
                <w:bCs/>
                <w:color w:val="auto"/>
                <w:sz w:val="18"/>
                <w:szCs w:val="18"/>
              </w:rPr>
              <w:t>一级</w:t>
            </w:r>
          </w:p>
        </w:tc>
      </w:tr>
      <w:tr w14:paraId="7E95E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6C596D5F">
            <w:pPr>
              <w:adjustRightInd w:val="0"/>
              <w:snapToGrid w:val="0"/>
              <w:spacing w:line="260" w:lineRule="exact"/>
              <w:jc w:val="center"/>
              <w:rPr>
                <w:bCs/>
                <w:color w:val="auto"/>
                <w:sz w:val="18"/>
                <w:szCs w:val="18"/>
              </w:rPr>
            </w:pPr>
          </w:p>
        </w:tc>
        <w:tc>
          <w:tcPr>
            <w:tcW w:w="1534" w:type="dxa"/>
            <w:vMerge w:val="continue"/>
            <w:vAlign w:val="center"/>
          </w:tcPr>
          <w:p w14:paraId="24C3E80D">
            <w:pPr>
              <w:adjustRightInd w:val="0"/>
              <w:snapToGrid w:val="0"/>
              <w:spacing w:line="260" w:lineRule="exact"/>
              <w:jc w:val="center"/>
              <w:rPr>
                <w:bCs/>
                <w:color w:val="auto"/>
                <w:sz w:val="18"/>
                <w:szCs w:val="18"/>
              </w:rPr>
            </w:pPr>
          </w:p>
        </w:tc>
        <w:tc>
          <w:tcPr>
            <w:tcW w:w="1991" w:type="dxa"/>
            <w:vMerge w:val="continue"/>
            <w:vAlign w:val="center"/>
          </w:tcPr>
          <w:p w14:paraId="1C5B0D11">
            <w:pPr>
              <w:adjustRightInd w:val="0"/>
              <w:snapToGrid w:val="0"/>
              <w:spacing w:line="260" w:lineRule="exact"/>
              <w:jc w:val="center"/>
              <w:rPr>
                <w:bCs/>
                <w:color w:val="auto"/>
                <w:sz w:val="18"/>
                <w:szCs w:val="18"/>
              </w:rPr>
            </w:pPr>
          </w:p>
        </w:tc>
        <w:tc>
          <w:tcPr>
            <w:tcW w:w="2241" w:type="dxa"/>
            <w:vAlign w:val="center"/>
          </w:tcPr>
          <w:p w14:paraId="2A1CD0EE">
            <w:pPr>
              <w:adjustRightInd w:val="0"/>
              <w:snapToGrid w:val="0"/>
              <w:spacing w:line="260" w:lineRule="exact"/>
              <w:jc w:val="center"/>
              <w:rPr>
                <w:bCs/>
                <w:color w:val="auto"/>
                <w:sz w:val="18"/>
                <w:szCs w:val="18"/>
              </w:rPr>
            </w:pPr>
            <w:r>
              <w:rPr>
                <w:bCs/>
                <w:color w:val="auto"/>
                <w:sz w:val="18"/>
                <w:szCs w:val="18"/>
              </w:rPr>
              <w:t>严重</w:t>
            </w:r>
          </w:p>
        </w:tc>
        <w:tc>
          <w:tcPr>
            <w:tcW w:w="2221" w:type="dxa"/>
            <w:vAlign w:val="center"/>
          </w:tcPr>
          <w:p w14:paraId="2D2B401B">
            <w:pPr>
              <w:adjustRightInd w:val="0"/>
              <w:snapToGrid w:val="0"/>
              <w:spacing w:line="260" w:lineRule="exact"/>
              <w:jc w:val="center"/>
              <w:rPr>
                <w:bCs/>
                <w:color w:val="auto"/>
                <w:sz w:val="18"/>
                <w:szCs w:val="18"/>
              </w:rPr>
            </w:pPr>
            <w:r>
              <w:rPr>
                <w:bCs/>
                <w:color w:val="auto"/>
                <w:sz w:val="18"/>
                <w:szCs w:val="18"/>
              </w:rPr>
              <w:t>二级</w:t>
            </w:r>
          </w:p>
        </w:tc>
      </w:tr>
      <w:tr w14:paraId="1F0559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1184" w:type="dxa"/>
            <w:vMerge w:val="continue"/>
            <w:vAlign w:val="center"/>
          </w:tcPr>
          <w:p w14:paraId="180B46C4">
            <w:pPr>
              <w:adjustRightInd w:val="0"/>
              <w:snapToGrid w:val="0"/>
              <w:spacing w:line="260" w:lineRule="exact"/>
              <w:jc w:val="center"/>
              <w:rPr>
                <w:bCs/>
                <w:color w:val="auto"/>
                <w:sz w:val="18"/>
                <w:szCs w:val="18"/>
              </w:rPr>
            </w:pPr>
          </w:p>
        </w:tc>
        <w:tc>
          <w:tcPr>
            <w:tcW w:w="1534" w:type="dxa"/>
            <w:vMerge w:val="continue"/>
            <w:vAlign w:val="center"/>
          </w:tcPr>
          <w:p w14:paraId="12B55D5D">
            <w:pPr>
              <w:adjustRightInd w:val="0"/>
              <w:snapToGrid w:val="0"/>
              <w:spacing w:line="260" w:lineRule="exact"/>
              <w:jc w:val="center"/>
              <w:rPr>
                <w:bCs/>
                <w:color w:val="auto"/>
                <w:sz w:val="18"/>
                <w:szCs w:val="18"/>
              </w:rPr>
            </w:pPr>
          </w:p>
        </w:tc>
        <w:tc>
          <w:tcPr>
            <w:tcW w:w="1991" w:type="dxa"/>
            <w:vMerge w:val="continue"/>
            <w:vAlign w:val="center"/>
          </w:tcPr>
          <w:p w14:paraId="2B6743D1">
            <w:pPr>
              <w:adjustRightInd w:val="0"/>
              <w:snapToGrid w:val="0"/>
              <w:spacing w:line="260" w:lineRule="exact"/>
              <w:jc w:val="center"/>
              <w:rPr>
                <w:bCs/>
                <w:color w:val="auto"/>
                <w:sz w:val="18"/>
                <w:szCs w:val="18"/>
              </w:rPr>
            </w:pPr>
          </w:p>
        </w:tc>
        <w:tc>
          <w:tcPr>
            <w:tcW w:w="2241" w:type="dxa"/>
            <w:vAlign w:val="center"/>
          </w:tcPr>
          <w:p w14:paraId="68FB8D24">
            <w:pPr>
              <w:adjustRightInd w:val="0"/>
              <w:snapToGrid w:val="0"/>
              <w:spacing w:line="260" w:lineRule="exact"/>
              <w:jc w:val="center"/>
              <w:rPr>
                <w:bCs/>
                <w:color w:val="auto"/>
                <w:sz w:val="18"/>
                <w:szCs w:val="18"/>
              </w:rPr>
            </w:pPr>
            <w:r>
              <w:rPr>
                <w:bCs/>
                <w:color w:val="auto"/>
                <w:sz w:val="18"/>
                <w:szCs w:val="18"/>
              </w:rPr>
              <w:t>不严重</w:t>
            </w:r>
          </w:p>
        </w:tc>
        <w:tc>
          <w:tcPr>
            <w:tcW w:w="2221" w:type="dxa"/>
            <w:vAlign w:val="center"/>
          </w:tcPr>
          <w:p w14:paraId="763BFB44">
            <w:pPr>
              <w:adjustRightInd w:val="0"/>
              <w:snapToGrid w:val="0"/>
              <w:spacing w:line="260" w:lineRule="exact"/>
              <w:jc w:val="center"/>
              <w:rPr>
                <w:bCs/>
                <w:color w:val="auto"/>
                <w:sz w:val="18"/>
                <w:szCs w:val="18"/>
              </w:rPr>
            </w:pPr>
            <w:r>
              <w:rPr>
                <w:bCs/>
                <w:color w:val="auto"/>
                <w:sz w:val="18"/>
                <w:szCs w:val="18"/>
              </w:rPr>
              <w:t>三级</w:t>
            </w:r>
          </w:p>
        </w:tc>
      </w:tr>
      <w:tr w14:paraId="46BE5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5" w:hRule="atLeast"/>
          <w:jc w:val="center"/>
        </w:trPr>
        <w:tc>
          <w:tcPr>
            <w:tcW w:w="2718" w:type="dxa"/>
            <w:gridSpan w:val="2"/>
            <w:vMerge w:val="restart"/>
            <w:vAlign w:val="center"/>
          </w:tcPr>
          <w:p w14:paraId="4231F501">
            <w:pPr>
              <w:pStyle w:val="24"/>
              <w:pBdr>
                <w:bottom w:val="none" w:color="auto" w:sz="0" w:space="0"/>
              </w:pBdr>
              <w:tabs>
                <w:tab w:val="clear" w:pos="4153"/>
                <w:tab w:val="clear" w:pos="8306"/>
              </w:tabs>
              <w:spacing w:line="260" w:lineRule="exact"/>
              <w:rPr>
                <w:bCs/>
                <w:color w:val="auto"/>
              </w:rPr>
            </w:pPr>
            <w:r>
              <w:rPr>
                <w:bCs/>
                <w:color w:val="auto"/>
              </w:rPr>
              <w:t>土质边坡</w:t>
            </w:r>
          </w:p>
        </w:tc>
        <w:tc>
          <w:tcPr>
            <w:tcW w:w="1991" w:type="dxa"/>
            <w:vMerge w:val="restart"/>
            <w:vAlign w:val="center"/>
          </w:tcPr>
          <w:p w14:paraId="32DCA441">
            <w:pPr>
              <w:adjustRightInd w:val="0"/>
              <w:snapToGrid w:val="0"/>
              <w:spacing w:line="260" w:lineRule="exact"/>
              <w:jc w:val="center"/>
              <w:rPr>
                <w:bCs/>
                <w:color w:val="auto"/>
                <w:sz w:val="18"/>
                <w:szCs w:val="18"/>
              </w:rPr>
            </w:pPr>
            <w:r>
              <w:rPr>
                <w:bCs/>
                <w:color w:val="auto"/>
                <w:sz w:val="18"/>
                <w:szCs w:val="18"/>
              </w:rPr>
              <w:t>10＜</w:t>
            </w:r>
            <w:r>
              <w:rPr>
                <w:bCs/>
                <w:i/>
                <w:color w:val="auto"/>
                <w:sz w:val="18"/>
                <w:szCs w:val="18"/>
              </w:rPr>
              <w:t>H</w:t>
            </w:r>
            <w:r>
              <w:rPr>
                <w:bCs/>
                <w:color w:val="auto"/>
                <w:sz w:val="18"/>
                <w:szCs w:val="18"/>
              </w:rPr>
              <w:t>≤15</w:t>
            </w:r>
          </w:p>
        </w:tc>
        <w:tc>
          <w:tcPr>
            <w:tcW w:w="2241" w:type="dxa"/>
            <w:vAlign w:val="center"/>
          </w:tcPr>
          <w:p w14:paraId="0D469C54">
            <w:pPr>
              <w:adjustRightInd w:val="0"/>
              <w:snapToGrid w:val="0"/>
              <w:spacing w:line="260" w:lineRule="exact"/>
              <w:jc w:val="center"/>
              <w:rPr>
                <w:bCs/>
                <w:color w:val="auto"/>
                <w:sz w:val="18"/>
                <w:szCs w:val="18"/>
              </w:rPr>
            </w:pPr>
            <w:r>
              <w:rPr>
                <w:bCs/>
                <w:color w:val="auto"/>
                <w:sz w:val="18"/>
                <w:szCs w:val="18"/>
              </w:rPr>
              <w:t>很严重</w:t>
            </w:r>
          </w:p>
        </w:tc>
        <w:tc>
          <w:tcPr>
            <w:tcW w:w="2221" w:type="dxa"/>
            <w:vAlign w:val="center"/>
          </w:tcPr>
          <w:p w14:paraId="7994FA03">
            <w:pPr>
              <w:adjustRightInd w:val="0"/>
              <w:snapToGrid w:val="0"/>
              <w:spacing w:line="260" w:lineRule="exact"/>
              <w:jc w:val="center"/>
              <w:rPr>
                <w:bCs/>
                <w:color w:val="auto"/>
                <w:sz w:val="18"/>
                <w:szCs w:val="18"/>
              </w:rPr>
            </w:pPr>
            <w:r>
              <w:rPr>
                <w:bCs/>
                <w:color w:val="auto"/>
                <w:sz w:val="18"/>
                <w:szCs w:val="18"/>
              </w:rPr>
              <w:t>一级</w:t>
            </w:r>
          </w:p>
        </w:tc>
      </w:tr>
      <w:tr w14:paraId="728E6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2718" w:type="dxa"/>
            <w:gridSpan w:val="2"/>
            <w:vMerge w:val="continue"/>
            <w:vAlign w:val="center"/>
          </w:tcPr>
          <w:p w14:paraId="76EC9619">
            <w:pPr>
              <w:adjustRightInd w:val="0"/>
              <w:snapToGrid w:val="0"/>
              <w:spacing w:line="260" w:lineRule="exact"/>
              <w:jc w:val="center"/>
              <w:rPr>
                <w:bCs/>
                <w:color w:val="auto"/>
                <w:sz w:val="18"/>
                <w:szCs w:val="18"/>
              </w:rPr>
            </w:pPr>
          </w:p>
        </w:tc>
        <w:tc>
          <w:tcPr>
            <w:tcW w:w="1991" w:type="dxa"/>
            <w:vMerge w:val="continue"/>
            <w:vAlign w:val="center"/>
          </w:tcPr>
          <w:p w14:paraId="08208097">
            <w:pPr>
              <w:adjustRightInd w:val="0"/>
              <w:snapToGrid w:val="0"/>
              <w:spacing w:line="260" w:lineRule="exact"/>
              <w:jc w:val="center"/>
              <w:rPr>
                <w:bCs/>
                <w:color w:val="auto"/>
                <w:sz w:val="18"/>
                <w:szCs w:val="18"/>
              </w:rPr>
            </w:pPr>
          </w:p>
        </w:tc>
        <w:tc>
          <w:tcPr>
            <w:tcW w:w="2241" w:type="dxa"/>
            <w:vAlign w:val="center"/>
          </w:tcPr>
          <w:p w14:paraId="1AFD006B">
            <w:pPr>
              <w:adjustRightInd w:val="0"/>
              <w:snapToGrid w:val="0"/>
              <w:spacing w:line="260" w:lineRule="exact"/>
              <w:jc w:val="center"/>
              <w:rPr>
                <w:bCs/>
                <w:color w:val="auto"/>
                <w:sz w:val="18"/>
                <w:szCs w:val="18"/>
              </w:rPr>
            </w:pPr>
            <w:r>
              <w:rPr>
                <w:bCs/>
                <w:color w:val="auto"/>
                <w:sz w:val="18"/>
                <w:szCs w:val="18"/>
              </w:rPr>
              <w:t>严重</w:t>
            </w:r>
          </w:p>
        </w:tc>
        <w:tc>
          <w:tcPr>
            <w:tcW w:w="2221" w:type="dxa"/>
            <w:vAlign w:val="center"/>
          </w:tcPr>
          <w:p w14:paraId="1673ED2B">
            <w:pPr>
              <w:adjustRightInd w:val="0"/>
              <w:snapToGrid w:val="0"/>
              <w:spacing w:line="260" w:lineRule="exact"/>
              <w:jc w:val="center"/>
              <w:rPr>
                <w:bCs/>
                <w:color w:val="auto"/>
                <w:sz w:val="18"/>
                <w:szCs w:val="18"/>
              </w:rPr>
            </w:pPr>
            <w:r>
              <w:rPr>
                <w:bCs/>
                <w:color w:val="auto"/>
                <w:sz w:val="18"/>
                <w:szCs w:val="18"/>
              </w:rPr>
              <w:t>二级</w:t>
            </w:r>
          </w:p>
        </w:tc>
      </w:tr>
      <w:tr w14:paraId="3E5B9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2718" w:type="dxa"/>
            <w:gridSpan w:val="2"/>
            <w:vMerge w:val="continue"/>
            <w:vAlign w:val="center"/>
          </w:tcPr>
          <w:p w14:paraId="63CA737C">
            <w:pPr>
              <w:adjustRightInd w:val="0"/>
              <w:snapToGrid w:val="0"/>
              <w:spacing w:line="260" w:lineRule="exact"/>
              <w:jc w:val="center"/>
              <w:rPr>
                <w:bCs/>
                <w:color w:val="auto"/>
                <w:sz w:val="18"/>
                <w:szCs w:val="18"/>
              </w:rPr>
            </w:pPr>
          </w:p>
        </w:tc>
        <w:tc>
          <w:tcPr>
            <w:tcW w:w="1991" w:type="dxa"/>
            <w:vMerge w:val="restart"/>
            <w:vAlign w:val="center"/>
          </w:tcPr>
          <w:p w14:paraId="5BA48AC5">
            <w:pPr>
              <w:adjustRightInd w:val="0"/>
              <w:snapToGrid w:val="0"/>
              <w:spacing w:line="260" w:lineRule="exact"/>
              <w:jc w:val="center"/>
              <w:rPr>
                <w:bCs/>
                <w:color w:val="auto"/>
                <w:sz w:val="18"/>
                <w:szCs w:val="18"/>
              </w:rPr>
            </w:pPr>
            <w:r>
              <w:rPr>
                <w:bCs/>
                <w:i/>
                <w:color w:val="auto"/>
                <w:sz w:val="18"/>
                <w:szCs w:val="18"/>
              </w:rPr>
              <w:t>H</w:t>
            </w:r>
            <w:r>
              <w:rPr>
                <w:bCs/>
                <w:color w:val="auto"/>
                <w:sz w:val="18"/>
                <w:szCs w:val="18"/>
              </w:rPr>
              <w:t>≤10</w:t>
            </w:r>
          </w:p>
        </w:tc>
        <w:tc>
          <w:tcPr>
            <w:tcW w:w="2241" w:type="dxa"/>
            <w:vAlign w:val="center"/>
          </w:tcPr>
          <w:p w14:paraId="773149D8">
            <w:pPr>
              <w:adjustRightInd w:val="0"/>
              <w:snapToGrid w:val="0"/>
              <w:spacing w:line="260" w:lineRule="exact"/>
              <w:jc w:val="center"/>
              <w:rPr>
                <w:bCs/>
                <w:color w:val="auto"/>
                <w:sz w:val="18"/>
                <w:szCs w:val="18"/>
              </w:rPr>
            </w:pPr>
            <w:r>
              <w:rPr>
                <w:bCs/>
                <w:color w:val="auto"/>
                <w:sz w:val="18"/>
                <w:szCs w:val="18"/>
              </w:rPr>
              <w:t>很严重</w:t>
            </w:r>
          </w:p>
        </w:tc>
        <w:tc>
          <w:tcPr>
            <w:tcW w:w="2221" w:type="dxa"/>
            <w:vAlign w:val="center"/>
          </w:tcPr>
          <w:p w14:paraId="632CF4F2">
            <w:pPr>
              <w:adjustRightInd w:val="0"/>
              <w:snapToGrid w:val="0"/>
              <w:spacing w:line="260" w:lineRule="exact"/>
              <w:jc w:val="center"/>
              <w:rPr>
                <w:bCs/>
                <w:color w:val="auto"/>
                <w:sz w:val="18"/>
                <w:szCs w:val="18"/>
              </w:rPr>
            </w:pPr>
            <w:r>
              <w:rPr>
                <w:bCs/>
                <w:color w:val="auto"/>
                <w:sz w:val="18"/>
                <w:szCs w:val="18"/>
              </w:rPr>
              <w:t>一级</w:t>
            </w:r>
          </w:p>
        </w:tc>
      </w:tr>
      <w:tr w14:paraId="6D83F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2718" w:type="dxa"/>
            <w:gridSpan w:val="2"/>
            <w:vMerge w:val="continue"/>
            <w:vAlign w:val="center"/>
          </w:tcPr>
          <w:p w14:paraId="0345DDE2">
            <w:pPr>
              <w:adjustRightInd w:val="0"/>
              <w:snapToGrid w:val="0"/>
              <w:spacing w:line="260" w:lineRule="exact"/>
              <w:jc w:val="center"/>
              <w:rPr>
                <w:bCs/>
                <w:color w:val="auto"/>
                <w:sz w:val="18"/>
                <w:szCs w:val="18"/>
              </w:rPr>
            </w:pPr>
          </w:p>
        </w:tc>
        <w:tc>
          <w:tcPr>
            <w:tcW w:w="1991" w:type="dxa"/>
            <w:vMerge w:val="continue"/>
            <w:vAlign w:val="center"/>
          </w:tcPr>
          <w:p w14:paraId="710E3226">
            <w:pPr>
              <w:adjustRightInd w:val="0"/>
              <w:snapToGrid w:val="0"/>
              <w:spacing w:line="260" w:lineRule="exact"/>
              <w:jc w:val="center"/>
              <w:rPr>
                <w:bCs/>
                <w:color w:val="auto"/>
                <w:sz w:val="18"/>
                <w:szCs w:val="18"/>
              </w:rPr>
            </w:pPr>
          </w:p>
        </w:tc>
        <w:tc>
          <w:tcPr>
            <w:tcW w:w="2241" w:type="dxa"/>
            <w:vAlign w:val="center"/>
          </w:tcPr>
          <w:p w14:paraId="3DEED827">
            <w:pPr>
              <w:adjustRightInd w:val="0"/>
              <w:snapToGrid w:val="0"/>
              <w:spacing w:line="260" w:lineRule="exact"/>
              <w:jc w:val="center"/>
              <w:rPr>
                <w:bCs/>
                <w:color w:val="auto"/>
                <w:sz w:val="18"/>
                <w:szCs w:val="18"/>
              </w:rPr>
            </w:pPr>
            <w:r>
              <w:rPr>
                <w:bCs/>
                <w:color w:val="auto"/>
                <w:sz w:val="18"/>
                <w:szCs w:val="18"/>
              </w:rPr>
              <w:t>严重</w:t>
            </w:r>
          </w:p>
        </w:tc>
        <w:tc>
          <w:tcPr>
            <w:tcW w:w="2221" w:type="dxa"/>
            <w:vAlign w:val="center"/>
          </w:tcPr>
          <w:p w14:paraId="3C2996E5">
            <w:pPr>
              <w:adjustRightInd w:val="0"/>
              <w:snapToGrid w:val="0"/>
              <w:spacing w:line="260" w:lineRule="exact"/>
              <w:jc w:val="center"/>
              <w:rPr>
                <w:bCs/>
                <w:color w:val="auto"/>
                <w:sz w:val="18"/>
                <w:szCs w:val="18"/>
              </w:rPr>
            </w:pPr>
            <w:r>
              <w:rPr>
                <w:bCs/>
                <w:color w:val="auto"/>
                <w:sz w:val="18"/>
                <w:szCs w:val="18"/>
              </w:rPr>
              <w:t>二级</w:t>
            </w:r>
          </w:p>
        </w:tc>
      </w:tr>
      <w:tr w14:paraId="3CAEB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 w:hRule="atLeast"/>
          <w:jc w:val="center"/>
        </w:trPr>
        <w:tc>
          <w:tcPr>
            <w:tcW w:w="2718" w:type="dxa"/>
            <w:gridSpan w:val="2"/>
            <w:vMerge w:val="continue"/>
            <w:vAlign w:val="center"/>
          </w:tcPr>
          <w:p w14:paraId="5A8D62BD">
            <w:pPr>
              <w:adjustRightInd w:val="0"/>
              <w:snapToGrid w:val="0"/>
              <w:spacing w:line="260" w:lineRule="exact"/>
              <w:jc w:val="center"/>
              <w:rPr>
                <w:bCs/>
                <w:color w:val="auto"/>
                <w:sz w:val="18"/>
                <w:szCs w:val="18"/>
              </w:rPr>
            </w:pPr>
          </w:p>
        </w:tc>
        <w:tc>
          <w:tcPr>
            <w:tcW w:w="1991" w:type="dxa"/>
            <w:vMerge w:val="continue"/>
            <w:vAlign w:val="center"/>
          </w:tcPr>
          <w:p w14:paraId="3FF1A0B5">
            <w:pPr>
              <w:adjustRightInd w:val="0"/>
              <w:snapToGrid w:val="0"/>
              <w:spacing w:line="260" w:lineRule="exact"/>
              <w:jc w:val="center"/>
              <w:rPr>
                <w:bCs/>
                <w:color w:val="auto"/>
                <w:sz w:val="18"/>
                <w:szCs w:val="18"/>
              </w:rPr>
            </w:pPr>
          </w:p>
        </w:tc>
        <w:tc>
          <w:tcPr>
            <w:tcW w:w="2241" w:type="dxa"/>
            <w:vAlign w:val="center"/>
          </w:tcPr>
          <w:p w14:paraId="43AC975D">
            <w:pPr>
              <w:adjustRightInd w:val="0"/>
              <w:snapToGrid w:val="0"/>
              <w:spacing w:line="260" w:lineRule="exact"/>
              <w:jc w:val="center"/>
              <w:rPr>
                <w:bCs/>
                <w:color w:val="auto"/>
                <w:sz w:val="18"/>
                <w:szCs w:val="18"/>
              </w:rPr>
            </w:pPr>
            <w:r>
              <w:rPr>
                <w:bCs/>
                <w:color w:val="auto"/>
                <w:sz w:val="18"/>
                <w:szCs w:val="18"/>
              </w:rPr>
              <w:t>不严重</w:t>
            </w:r>
          </w:p>
        </w:tc>
        <w:tc>
          <w:tcPr>
            <w:tcW w:w="2221" w:type="dxa"/>
            <w:vAlign w:val="center"/>
          </w:tcPr>
          <w:p w14:paraId="7EEB2C51">
            <w:pPr>
              <w:adjustRightInd w:val="0"/>
              <w:snapToGrid w:val="0"/>
              <w:spacing w:line="260" w:lineRule="exact"/>
              <w:jc w:val="center"/>
              <w:rPr>
                <w:bCs/>
                <w:color w:val="auto"/>
                <w:sz w:val="18"/>
                <w:szCs w:val="18"/>
              </w:rPr>
            </w:pPr>
            <w:r>
              <w:rPr>
                <w:bCs/>
                <w:color w:val="auto"/>
                <w:sz w:val="18"/>
                <w:szCs w:val="18"/>
              </w:rPr>
              <w:t>三级</w:t>
            </w:r>
          </w:p>
        </w:tc>
      </w:tr>
      <w:tr w14:paraId="61C8F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2" w:hRule="atLeast"/>
          <w:jc w:val="center"/>
        </w:trPr>
        <w:tc>
          <w:tcPr>
            <w:tcW w:w="9171" w:type="dxa"/>
            <w:gridSpan w:val="5"/>
            <w:vAlign w:val="center"/>
          </w:tcPr>
          <w:p w14:paraId="53C0AC80">
            <w:pPr>
              <w:adjustRightInd w:val="0"/>
              <w:snapToGrid w:val="0"/>
              <w:rPr>
                <w:bCs/>
                <w:color w:val="auto"/>
                <w:sz w:val="18"/>
                <w:szCs w:val="18"/>
              </w:rPr>
            </w:pPr>
            <w:r>
              <w:rPr>
                <w:bCs/>
                <w:color w:val="auto"/>
                <w:sz w:val="18"/>
                <w:szCs w:val="18"/>
              </w:rPr>
              <w:t>注</w:t>
            </w:r>
            <w:r>
              <w:rPr>
                <w:b/>
                <w:color w:val="auto"/>
                <w:sz w:val="18"/>
                <w:szCs w:val="18"/>
              </w:rPr>
              <w:t>1</w:t>
            </w:r>
            <w:r>
              <w:rPr>
                <w:rFonts w:hint="eastAsia"/>
                <w:b/>
                <w:color w:val="auto"/>
                <w:sz w:val="18"/>
                <w:szCs w:val="18"/>
              </w:rPr>
              <w:t>：</w:t>
            </w:r>
            <w:r>
              <w:rPr>
                <w:bCs/>
                <w:color w:val="auto"/>
                <w:sz w:val="18"/>
                <w:szCs w:val="18"/>
              </w:rPr>
              <w:t>一个边坡工程的各段，可根据实际情况采用不同的安全等级；</w:t>
            </w:r>
          </w:p>
          <w:p w14:paraId="3D4550E1">
            <w:pPr>
              <w:adjustRightInd w:val="0"/>
              <w:snapToGrid w:val="0"/>
              <w:rPr>
                <w:bCs/>
                <w:color w:val="auto"/>
                <w:sz w:val="18"/>
                <w:szCs w:val="18"/>
              </w:rPr>
            </w:pPr>
            <w:r>
              <w:rPr>
                <w:bCs/>
                <w:color w:val="auto"/>
                <w:sz w:val="18"/>
                <w:szCs w:val="18"/>
              </w:rPr>
              <w:t>注</w:t>
            </w:r>
            <w:r>
              <w:rPr>
                <w:b/>
                <w:color w:val="auto"/>
                <w:sz w:val="18"/>
                <w:szCs w:val="18"/>
              </w:rPr>
              <w:t>2</w:t>
            </w:r>
            <w:r>
              <w:rPr>
                <w:rFonts w:hint="eastAsia"/>
                <w:b/>
                <w:color w:val="auto"/>
                <w:sz w:val="18"/>
                <w:szCs w:val="18"/>
              </w:rPr>
              <w:t>：</w:t>
            </w:r>
            <w:r>
              <w:rPr>
                <w:bCs/>
                <w:color w:val="auto"/>
                <w:sz w:val="18"/>
                <w:szCs w:val="18"/>
              </w:rPr>
              <w:t>对危害性极严重、环境和地质条件复杂的特殊边坡工程，其安全等级应根据工程情况适当提高。</w:t>
            </w:r>
          </w:p>
          <w:p w14:paraId="6BFEE5DA">
            <w:pPr>
              <w:adjustRightInd w:val="0"/>
              <w:snapToGrid w:val="0"/>
              <w:rPr>
                <w:bCs/>
                <w:color w:val="auto"/>
                <w:sz w:val="18"/>
                <w:szCs w:val="18"/>
              </w:rPr>
            </w:pPr>
            <w:r>
              <w:rPr>
                <w:rFonts w:hint="eastAsia"/>
                <w:bCs/>
                <w:color w:val="auto"/>
                <w:sz w:val="18"/>
                <w:szCs w:val="18"/>
              </w:rPr>
              <w:t>注</w:t>
            </w:r>
            <w:r>
              <w:rPr>
                <w:rFonts w:hint="eastAsia"/>
                <w:b/>
                <w:color w:val="auto"/>
                <w:sz w:val="18"/>
                <w:szCs w:val="18"/>
              </w:rPr>
              <w:t>3</w:t>
            </w:r>
            <w:r>
              <w:rPr>
                <w:rFonts w:hint="eastAsia"/>
                <w:bCs/>
                <w:color w:val="auto"/>
                <w:sz w:val="18"/>
                <w:szCs w:val="18"/>
              </w:rPr>
              <w:t>：很严重：造成重大人员伤亡或财产损失；严重：可能造成人员伤亡或财产损失；不严重：可能造成财产损失。</w:t>
            </w:r>
          </w:p>
        </w:tc>
      </w:tr>
    </w:tbl>
    <w:p w14:paraId="1771E5CB">
      <w:pPr>
        <w:adjustRightInd w:val="0"/>
        <w:snapToGrid w:val="0"/>
        <w:spacing w:line="360" w:lineRule="atLeast"/>
        <w:jc w:val="center"/>
        <w:rPr>
          <w:rFonts w:eastAsia="黑体"/>
          <w:b/>
          <w:bCs/>
          <w:color w:val="auto"/>
          <w:szCs w:val="21"/>
        </w:rPr>
      </w:pPr>
      <w:r>
        <w:rPr>
          <w:rFonts w:eastAsia="黑体"/>
          <w:b/>
          <w:bCs/>
          <w:color w:val="auto"/>
          <w:szCs w:val="21"/>
        </w:rPr>
        <w:t>表32   岩质边坡的岩体分类</w:t>
      </w:r>
    </w:p>
    <w:tbl>
      <w:tblPr>
        <w:tblStyle w:val="36"/>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183"/>
        <w:gridCol w:w="1509"/>
        <w:gridCol w:w="3159"/>
        <w:gridCol w:w="2107"/>
      </w:tblGrid>
      <w:tr w14:paraId="64C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05" w:type="dxa"/>
            <w:vMerge w:val="restart"/>
            <w:tcBorders>
              <w:top w:val="single" w:color="auto" w:sz="12" w:space="0"/>
              <w:left w:val="single" w:color="auto" w:sz="12" w:space="0"/>
              <w:bottom w:val="single" w:color="auto" w:sz="6" w:space="0"/>
              <w:right w:val="single" w:color="auto" w:sz="6" w:space="0"/>
            </w:tcBorders>
            <w:vAlign w:val="center"/>
          </w:tcPr>
          <w:p w14:paraId="7099CB2E">
            <w:pPr>
              <w:adjustRightInd w:val="0"/>
              <w:snapToGrid w:val="0"/>
              <w:ind w:left="1" w:leftChars="-31" w:right="-101" w:rightChars="-48" w:hanging="66" w:hangingChars="37"/>
              <w:jc w:val="center"/>
              <w:rPr>
                <w:color w:val="auto"/>
                <w:sz w:val="18"/>
                <w:szCs w:val="18"/>
              </w:rPr>
            </w:pPr>
            <w:r>
              <w:rPr>
                <w:color w:val="auto"/>
                <w:sz w:val="18"/>
                <w:szCs w:val="18"/>
              </w:rPr>
              <w:t>边坡岩体类型</w:t>
            </w:r>
          </w:p>
        </w:tc>
        <w:tc>
          <w:tcPr>
            <w:tcW w:w="7958" w:type="dxa"/>
            <w:gridSpan w:val="4"/>
            <w:tcBorders>
              <w:top w:val="single" w:color="auto" w:sz="12" w:space="0"/>
              <w:left w:val="single" w:color="auto" w:sz="6" w:space="0"/>
              <w:bottom w:val="single" w:color="auto" w:sz="6" w:space="0"/>
              <w:right w:val="single" w:color="auto" w:sz="12" w:space="0"/>
            </w:tcBorders>
          </w:tcPr>
          <w:p w14:paraId="614978B9">
            <w:pPr>
              <w:adjustRightInd w:val="0"/>
              <w:snapToGrid w:val="0"/>
              <w:jc w:val="center"/>
              <w:rPr>
                <w:color w:val="auto"/>
                <w:sz w:val="18"/>
                <w:szCs w:val="18"/>
              </w:rPr>
            </w:pPr>
            <w:r>
              <w:rPr>
                <w:color w:val="auto"/>
                <w:sz w:val="18"/>
                <w:szCs w:val="18"/>
              </w:rPr>
              <w:t>判   定   条   件</w:t>
            </w:r>
          </w:p>
        </w:tc>
      </w:tr>
      <w:tr w14:paraId="09F6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 w:hRule="atLeast"/>
          <w:jc w:val="center"/>
        </w:trPr>
        <w:tc>
          <w:tcPr>
            <w:tcW w:w="1205" w:type="dxa"/>
            <w:vMerge w:val="continue"/>
            <w:tcBorders>
              <w:top w:val="single" w:color="auto" w:sz="6" w:space="0"/>
              <w:left w:val="single" w:color="auto" w:sz="12" w:space="0"/>
              <w:bottom w:val="single" w:color="auto" w:sz="6" w:space="0"/>
              <w:right w:val="single" w:color="auto" w:sz="6" w:space="0"/>
            </w:tcBorders>
          </w:tcPr>
          <w:p w14:paraId="562F15F6">
            <w:pPr>
              <w:adjustRightInd w:val="0"/>
              <w:snapToGrid w:val="0"/>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tcPr>
          <w:p w14:paraId="736DBA57">
            <w:pPr>
              <w:adjustRightInd w:val="0"/>
              <w:snapToGrid w:val="0"/>
              <w:ind w:left="1" w:leftChars="-31" w:right="-101" w:rightChars="-48" w:hanging="66" w:hangingChars="37"/>
              <w:jc w:val="center"/>
              <w:rPr>
                <w:color w:val="auto"/>
                <w:sz w:val="18"/>
                <w:szCs w:val="18"/>
              </w:rPr>
            </w:pPr>
            <w:r>
              <w:rPr>
                <w:color w:val="auto"/>
                <w:sz w:val="18"/>
                <w:szCs w:val="18"/>
              </w:rPr>
              <w:t>岩体完整程度</w:t>
            </w:r>
          </w:p>
        </w:tc>
        <w:tc>
          <w:tcPr>
            <w:tcW w:w="1509" w:type="dxa"/>
            <w:tcBorders>
              <w:top w:val="single" w:color="auto" w:sz="6" w:space="0"/>
              <w:left w:val="single" w:color="auto" w:sz="6" w:space="0"/>
              <w:bottom w:val="single" w:color="auto" w:sz="6" w:space="0"/>
              <w:right w:val="single" w:color="auto" w:sz="6" w:space="0"/>
            </w:tcBorders>
          </w:tcPr>
          <w:p w14:paraId="215E784C">
            <w:pPr>
              <w:pStyle w:val="24"/>
              <w:pBdr>
                <w:bottom w:val="none" w:color="auto" w:sz="0" w:space="0"/>
              </w:pBdr>
              <w:tabs>
                <w:tab w:val="clear" w:pos="4153"/>
                <w:tab w:val="clear" w:pos="8306"/>
              </w:tabs>
              <w:jc w:val="left"/>
              <w:rPr>
                <w:color w:val="auto"/>
              </w:rPr>
            </w:pPr>
            <w:r>
              <w:rPr>
                <w:color w:val="auto"/>
              </w:rPr>
              <w:t>结构面结合程度</w:t>
            </w:r>
          </w:p>
        </w:tc>
        <w:tc>
          <w:tcPr>
            <w:tcW w:w="3159" w:type="dxa"/>
            <w:tcBorders>
              <w:top w:val="single" w:color="auto" w:sz="6" w:space="0"/>
              <w:left w:val="single" w:color="auto" w:sz="6" w:space="0"/>
              <w:bottom w:val="single" w:color="auto" w:sz="6" w:space="0"/>
              <w:right w:val="single" w:color="auto" w:sz="6" w:space="0"/>
            </w:tcBorders>
            <w:vAlign w:val="center"/>
          </w:tcPr>
          <w:p w14:paraId="6E71591C">
            <w:pPr>
              <w:adjustRightInd w:val="0"/>
              <w:snapToGrid w:val="0"/>
              <w:jc w:val="center"/>
              <w:rPr>
                <w:color w:val="auto"/>
                <w:sz w:val="18"/>
                <w:szCs w:val="18"/>
              </w:rPr>
            </w:pPr>
            <w:r>
              <w:rPr>
                <w:color w:val="auto"/>
                <w:sz w:val="18"/>
                <w:szCs w:val="18"/>
              </w:rPr>
              <w:t>结构面产状</w:t>
            </w:r>
          </w:p>
        </w:tc>
        <w:tc>
          <w:tcPr>
            <w:tcW w:w="2107" w:type="dxa"/>
            <w:tcBorders>
              <w:top w:val="single" w:color="auto" w:sz="6" w:space="0"/>
              <w:left w:val="single" w:color="auto" w:sz="6" w:space="0"/>
              <w:bottom w:val="single" w:color="auto" w:sz="6" w:space="0"/>
              <w:right w:val="single" w:color="auto" w:sz="12" w:space="0"/>
            </w:tcBorders>
            <w:vAlign w:val="center"/>
          </w:tcPr>
          <w:p w14:paraId="741E43EE">
            <w:pPr>
              <w:adjustRightInd w:val="0"/>
              <w:snapToGrid w:val="0"/>
              <w:jc w:val="center"/>
              <w:rPr>
                <w:color w:val="auto"/>
                <w:sz w:val="18"/>
                <w:szCs w:val="18"/>
              </w:rPr>
            </w:pPr>
            <w:r>
              <w:rPr>
                <w:color w:val="auto"/>
                <w:sz w:val="18"/>
                <w:szCs w:val="18"/>
              </w:rPr>
              <w:t>直立边坡自稳能力</w:t>
            </w:r>
          </w:p>
        </w:tc>
      </w:tr>
      <w:tr w14:paraId="036F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05" w:type="dxa"/>
            <w:tcBorders>
              <w:top w:val="single" w:color="auto" w:sz="6" w:space="0"/>
              <w:left w:val="single" w:color="auto" w:sz="12" w:space="0"/>
              <w:bottom w:val="single" w:color="auto" w:sz="6" w:space="0"/>
              <w:right w:val="single" w:color="auto" w:sz="6" w:space="0"/>
            </w:tcBorders>
            <w:vAlign w:val="center"/>
          </w:tcPr>
          <w:p w14:paraId="3AC0870F">
            <w:pPr>
              <w:adjustRightInd w:val="0"/>
              <w:snapToGrid w:val="0"/>
              <w:jc w:val="center"/>
              <w:rPr>
                <w:color w:val="auto"/>
                <w:sz w:val="18"/>
                <w:szCs w:val="18"/>
              </w:rPr>
            </w:pPr>
            <w:r>
              <w:rPr>
                <w:rFonts w:hAnsi="宋体"/>
                <w:color w:val="auto"/>
                <w:sz w:val="18"/>
                <w:szCs w:val="18"/>
              </w:rPr>
              <w:t>Ⅰ</w:t>
            </w:r>
          </w:p>
        </w:tc>
        <w:tc>
          <w:tcPr>
            <w:tcW w:w="1183" w:type="dxa"/>
            <w:tcBorders>
              <w:top w:val="single" w:color="auto" w:sz="6" w:space="0"/>
              <w:left w:val="single" w:color="auto" w:sz="6" w:space="0"/>
              <w:bottom w:val="single" w:color="auto" w:sz="6" w:space="0"/>
              <w:right w:val="single" w:color="auto" w:sz="6" w:space="0"/>
            </w:tcBorders>
            <w:vAlign w:val="center"/>
          </w:tcPr>
          <w:p w14:paraId="547944AB">
            <w:pPr>
              <w:adjustRightInd w:val="0"/>
              <w:snapToGrid w:val="0"/>
              <w:jc w:val="center"/>
              <w:rPr>
                <w:color w:val="auto"/>
                <w:sz w:val="18"/>
                <w:szCs w:val="18"/>
              </w:rPr>
            </w:pPr>
            <w:r>
              <w:rPr>
                <w:color w:val="auto"/>
                <w:sz w:val="18"/>
                <w:szCs w:val="18"/>
              </w:rPr>
              <w:t>完整</w:t>
            </w:r>
          </w:p>
        </w:tc>
        <w:tc>
          <w:tcPr>
            <w:tcW w:w="1509" w:type="dxa"/>
            <w:tcBorders>
              <w:top w:val="single" w:color="auto" w:sz="6" w:space="0"/>
              <w:left w:val="single" w:color="auto" w:sz="6" w:space="0"/>
              <w:bottom w:val="single" w:color="auto" w:sz="6" w:space="0"/>
              <w:right w:val="single" w:color="auto" w:sz="6" w:space="0"/>
            </w:tcBorders>
            <w:vAlign w:val="center"/>
          </w:tcPr>
          <w:p w14:paraId="3AC3FD74">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tcPr>
          <w:p w14:paraId="45577FB1">
            <w:pPr>
              <w:adjustRightInd w:val="0"/>
              <w:snapToGrid w:val="0"/>
              <w:rPr>
                <w:color w:val="auto"/>
                <w:sz w:val="18"/>
                <w:szCs w:val="18"/>
              </w:rPr>
            </w:pPr>
            <w:r>
              <w:rPr>
                <w:color w:val="auto"/>
                <w:sz w:val="18"/>
                <w:szCs w:val="18"/>
              </w:rPr>
              <w:t>外倾结构面或外倾不同结构面的组合线倾角＞75°或＜</w:t>
            </w:r>
            <w:r>
              <w:rPr>
                <w:rFonts w:hint="eastAsia"/>
                <w:color w:val="auto"/>
                <w:sz w:val="18"/>
                <w:szCs w:val="18"/>
              </w:rPr>
              <w:t>27</w:t>
            </w:r>
            <w:r>
              <w:rPr>
                <w:color w:val="auto"/>
                <w:sz w:val="18"/>
                <w:szCs w:val="18"/>
              </w:rPr>
              <w:t>°</w:t>
            </w:r>
          </w:p>
        </w:tc>
        <w:tc>
          <w:tcPr>
            <w:tcW w:w="2107" w:type="dxa"/>
            <w:tcBorders>
              <w:top w:val="single" w:color="auto" w:sz="6" w:space="0"/>
              <w:left w:val="single" w:color="auto" w:sz="6" w:space="0"/>
              <w:bottom w:val="single" w:color="auto" w:sz="6" w:space="0"/>
              <w:right w:val="single" w:color="auto" w:sz="12" w:space="0"/>
            </w:tcBorders>
          </w:tcPr>
          <w:p w14:paraId="14935B43">
            <w:pPr>
              <w:adjustRightInd w:val="0"/>
              <w:snapToGrid w:val="0"/>
              <w:rPr>
                <w:color w:val="auto"/>
                <w:sz w:val="18"/>
                <w:szCs w:val="18"/>
              </w:rPr>
            </w:pPr>
            <w:r>
              <w:rPr>
                <w:color w:val="auto"/>
                <w:sz w:val="18"/>
                <w:szCs w:val="18"/>
              </w:rPr>
              <w:t>30</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边坡长期稳定，偶有掉块</w:t>
            </w:r>
          </w:p>
        </w:tc>
      </w:tr>
      <w:tr w14:paraId="735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205" w:type="dxa"/>
            <w:vMerge w:val="restart"/>
            <w:tcBorders>
              <w:top w:val="single" w:color="auto" w:sz="6" w:space="0"/>
              <w:left w:val="single" w:color="auto" w:sz="12" w:space="0"/>
              <w:bottom w:val="single" w:color="auto" w:sz="6" w:space="0"/>
              <w:right w:val="single" w:color="auto" w:sz="6" w:space="0"/>
            </w:tcBorders>
            <w:vAlign w:val="center"/>
          </w:tcPr>
          <w:p w14:paraId="1B1C4577">
            <w:pPr>
              <w:adjustRightInd w:val="0"/>
              <w:snapToGrid w:val="0"/>
              <w:jc w:val="center"/>
              <w:rPr>
                <w:color w:val="auto"/>
                <w:sz w:val="18"/>
                <w:szCs w:val="18"/>
              </w:rPr>
            </w:pPr>
            <w:r>
              <w:rPr>
                <w:rFonts w:hAnsi="宋体"/>
                <w:color w:val="auto"/>
                <w:sz w:val="18"/>
                <w:szCs w:val="18"/>
              </w:rPr>
              <w:t>Ⅱ</w:t>
            </w:r>
          </w:p>
        </w:tc>
        <w:tc>
          <w:tcPr>
            <w:tcW w:w="1183" w:type="dxa"/>
            <w:tcBorders>
              <w:top w:val="single" w:color="auto" w:sz="6" w:space="0"/>
              <w:left w:val="single" w:color="auto" w:sz="6" w:space="0"/>
              <w:bottom w:val="single" w:color="auto" w:sz="6" w:space="0"/>
              <w:right w:val="single" w:color="auto" w:sz="6" w:space="0"/>
            </w:tcBorders>
            <w:vAlign w:val="center"/>
          </w:tcPr>
          <w:p w14:paraId="30C37F25">
            <w:pPr>
              <w:adjustRightInd w:val="0"/>
              <w:snapToGrid w:val="0"/>
              <w:jc w:val="center"/>
              <w:rPr>
                <w:color w:val="auto"/>
                <w:sz w:val="18"/>
                <w:szCs w:val="18"/>
              </w:rPr>
            </w:pPr>
            <w:r>
              <w:rPr>
                <w:color w:val="auto"/>
                <w:sz w:val="18"/>
                <w:szCs w:val="18"/>
              </w:rPr>
              <w:t>完整</w:t>
            </w:r>
          </w:p>
        </w:tc>
        <w:tc>
          <w:tcPr>
            <w:tcW w:w="1509" w:type="dxa"/>
            <w:tcBorders>
              <w:top w:val="single" w:color="auto" w:sz="6" w:space="0"/>
              <w:left w:val="single" w:color="auto" w:sz="6" w:space="0"/>
              <w:bottom w:val="single" w:color="auto" w:sz="6" w:space="0"/>
              <w:right w:val="single" w:color="auto" w:sz="6" w:space="0"/>
            </w:tcBorders>
            <w:vAlign w:val="center"/>
          </w:tcPr>
          <w:p w14:paraId="3A676D2D">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tcPr>
          <w:p w14:paraId="2DEAB0E7">
            <w:pPr>
              <w:adjustRightInd w:val="0"/>
              <w:snapToGrid w:val="0"/>
              <w:rPr>
                <w:color w:val="auto"/>
                <w:sz w:val="18"/>
                <w:szCs w:val="18"/>
              </w:rPr>
            </w:pPr>
            <w:r>
              <w:rPr>
                <w:color w:val="auto"/>
                <w:sz w:val="18"/>
                <w:szCs w:val="18"/>
              </w:rPr>
              <w:t xml:space="preserve">外倾结构面或外倾不同结构面的组合线倾角 </w:t>
            </w:r>
            <w:r>
              <w:rPr>
                <w:rFonts w:hint="eastAsia"/>
                <w:color w:val="auto"/>
                <w:sz w:val="18"/>
                <w:szCs w:val="18"/>
              </w:rPr>
              <w:t>27</w:t>
            </w:r>
            <w:r>
              <w:rPr>
                <w:color w:val="auto"/>
                <w:sz w:val="18"/>
                <w:szCs w:val="18"/>
              </w:rPr>
              <w:t>°～75°</w:t>
            </w:r>
          </w:p>
        </w:tc>
        <w:tc>
          <w:tcPr>
            <w:tcW w:w="2107" w:type="dxa"/>
            <w:vMerge w:val="restart"/>
            <w:tcBorders>
              <w:top w:val="single" w:color="auto" w:sz="6" w:space="0"/>
              <w:left w:val="single" w:color="auto" w:sz="6" w:space="0"/>
              <w:bottom w:val="single" w:color="auto" w:sz="6" w:space="0"/>
              <w:right w:val="single" w:color="auto" w:sz="12" w:space="0"/>
            </w:tcBorders>
          </w:tcPr>
          <w:p w14:paraId="433B972A">
            <w:pPr>
              <w:adjustRightInd w:val="0"/>
              <w:snapToGrid w:val="0"/>
              <w:rPr>
                <w:color w:val="auto"/>
                <w:sz w:val="18"/>
                <w:szCs w:val="18"/>
              </w:rPr>
            </w:pPr>
            <w:r>
              <w:rPr>
                <w:color w:val="auto"/>
                <w:sz w:val="18"/>
                <w:szCs w:val="18"/>
              </w:rPr>
              <w:t>15</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边坡稳定，15</w:t>
            </w:r>
            <w:r>
              <w:rPr>
                <w:iCs/>
                <w:color w:val="auto"/>
                <w:sz w:val="18"/>
                <w:szCs w:val="18"/>
              </w:rPr>
              <w:t>m</w:t>
            </w:r>
            <w:r>
              <w:rPr>
                <w:color w:val="auto"/>
                <w:sz w:val="18"/>
                <w:szCs w:val="18"/>
              </w:rPr>
              <w:t>～</w:t>
            </w:r>
            <w:r>
              <w:rPr>
                <w:rFonts w:hint="eastAsia"/>
                <w:color w:val="auto"/>
                <w:sz w:val="18"/>
                <w:szCs w:val="18"/>
              </w:rPr>
              <w:t>30</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边坡欠稳定</w:t>
            </w:r>
          </w:p>
        </w:tc>
      </w:tr>
      <w:tr w14:paraId="2503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 w:hRule="atLeast"/>
          <w:jc w:val="center"/>
        </w:trPr>
        <w:tc>
          <w:tcPr>
            <w:tcW w:w="1205" w:type="dxa"/>
            <w:vMerge w:val="continue"/>
            <w:tcBorders>
              <w:top w:val="single" w:color="auto" w:sz="6" w:space="0"/>
              <w:left w:val="single" w:color="auto" w:sz="12" w:space="0"/>
              <w:bottom w:val="single" w:color="auto" w:sz="6" w:space="0"/>
              <w:right w:val="single" w:color="auto" w:sz="6" w:space="0"/>
            </w:tcBorders>
          </w:tcPr>
          <w:p w14:paraId="66E21A6A">
            <w:pPr>
              <w:adjustRightInd w:val="0"/>
              <w:snapToGrid w:val="0"/>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77A57EE6">
            <w:pPr>
              <w:adjustRightInd w:val="0"/>
              <w:snapToGrid w:val="0"/>
              <w:jc w:val="center"/>
              <w:rPr>
                <w:color w:val="auto"/>
                <w:sz w:val="18"/>
                <w:szCs w:val="18"/>
              </w:rPr>
            </w:pPr>
            <w:r>
              <w:rPr>
                <w:color w:val="auto"/>
                <w:sz w:val="18"/>
                <w:szCs w:val="18"/>
              </w:rPr>
              <w:t>完整</w:t>
            </w:r>
          </w:p>
        </w:tc>
        <w:tc>
          <w:tcPr>
            <w:tcW w:w="1509" w:type="dxa"/>
            <w:tcBorders>
              <w:top w:val="single" w:color="auto" w:sz="6" w:space="0"/>
              <w:left w:val="single" w:color="auto" w:sz="6" w:space="0"/>
              <w:bottom w:val="single" w:color="auto" w:sz="6" w:space="0"/>
              <w:right w:val="single" w:color="auto" w:sz="6" w:space="0"/>
            </w:tcBorders>
            <w:vAlign w:val="center"/>
          </w:tcPr>
          <w:p w14:paraId="18899E71">
            <w:pPr>
              <w:adjustRightInd w:val="0"/>
              <w:snapToGrid w:val="0"/>
              <w:jc w:val="left"/>
              <w:rPr>
                <w:color w:val="auto"/>
                <w:sz w:val="18"/>
                <w:szCs w:val="18"/>
              </w:rPr>
            </w:pPr>
            <w:r>
              <w:rPr>
                <w:rFonts w:hint="eastAsia"/>
                <w:color w:val="auto"/>
                <w:sz w:val="18"/>
                <w:szCs w:val="18"/>
              </w:rPr>
              <w:t>结构面结合差</w:t>
            </w:r>
          </w:p>
        </w:tc>
        <w:tc>
          <w:tcPr>
            <w:tcW w:w="3159" w:type="dxa"/>
            <w:tcBorders>
              <w:top w:val="single" w:color="auto" w:sz="6" w:space="0"/>
              <w:left w:val="single" w:color="auto" w:sz="6" w:space="0"/>
              <w:bottom w:val="single" w:color="auto" w:sz="6" w:space="0"/>
              <w:right w:val="single" w:color="auto" w:sz="6" w:space="0"/>
            </w:tcBorders>
          </w:tcPr>
          <w:p w14:paraId="48E0F491">
            <w:pPr>
              <w:adjustRightInd w:val="0"/>
              <w:snapToGrid w:val="0"/>
              <w:rPr>
                <w:color w:val="auto"/>
                <w:sz w:val="18"/>
                <w:szCs w:val="18"/>
              </w:rPr>
            </w:pPr>
            <w:r>
              <w:rPr>
                <w:color w:val="auto"/>
                <w:sz w:val="18"/>
                <w:szCs w:val="18"/>
              </w:rPr>
              <w:t>外倾结构面或外倾不同结构面的组合线倾角＞75°或＜</w:t>
            </w:r>
            <w:r>
              <w:rPr>
                <w:rFonts w:hint="eastAsia"/>
                <w:color w:val="auto"/>
                <w:sz w:val="18"/>
                <w:szCs w:val="18"/>
              </w:rPr>
              <w:t>27</w:t>
            </w:r>
            <w:r>
              <w:rPr>
                <w:color w:val="auto"/>
                <w:sz w:val="18"/>
                <w:szCs w:val="18"/>
              </w:rPr>
              <w:t>°</w:t>
            </w:r>
          </w:p>
        </w:tc>
        <w:tc>
          <w:tcPr>
            <w:tcW w:w="2107" w:type="dxa"/>
            <w:vMerge w:val="continue"/>
            <w:tcBorders>
              <w:top w:val="single" w:color="auto" w:sz="6" w:space="0"/>
              <w:left w:val="single" w:color="auto" w:sz="6" w:space="0"/>
              <w:bottom w:val="single" w:color="auto" w:sz="6" w:space="0"/>
              <w:right w:val="single" w:color="auto" w:sz="12" w:space="0"/>
            </w:tcBorders>
          </w:tcPr>
          <w:p w14:paraId="57A6EBE9">
            <w:pPr>
              <w:adjustRightInd w:val="0"/>
              <w:snapToGrid w:val="0"/>
              <w:rPr>
                <w:color w:val="auto"/>
                <w:sz w:val="18"/>
                <w:szCs w:val="18"/>
              </w:rPr>
            </w:pPr>
          </w:p>
        </w:tc>
      </w:tr>
      <w:tr w14:paraId="13C7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205" w:type="dxa"/>
            <w:vMerge w:val="continue"/>
            <w:tcBorders>
              <w:top w:val="single" w:color="auto" w:sz="6" w:space="0"/>
              <w:left w:val="single" w:color="auto" w:sz="12" w:space="0"/>
              <w:bottom w:val="single" w:color="auto" w:sz="6" w:space="0"/>
              <w:right w:val="single" w:color="auto" w:sz="6" w:space="0"/>
            </w:tcBorders>
          </w:tcPr>
          <w:p w14:paraId="70AACB39">
            <w:pPr>
              <w:adjustRightInd w:val="0"/>
              <w:snapToGrid w:val="0"/>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50524EEE">
            <w:pPr>
              <w:adjustRightInd w:val="0"/>
              <w:snapToGrid w:val="0"/>
              <w:jc w:val="center"/>
              <w:rPr>
                <w:color w:val="auto"/>
                <w:sz w:val="18"/>
                <w:szCs w:val="18"/>
              </w:rPr>
            </w:pPr>
            <w:r>
              <w:rPr>
                <w:color w:val="auto"/>
                <w:sz w:val="18"/>
                <w:szCs w:val="18"/>
              </w:rPr>
              <w:t>较完整</w:t>
            </w:r>
          </w:p>
        </w:tc>
        <w:tc>
          <w:tcPr>
            <w:tcW w:w="1509" w:type="dxa"/>
            <w:tcBorders>
              <w:top w:val="single" w:color="auto" w:sz="6" w:space="0"/>
              <w:left w:val="single" w:color="auto" w:sz="6" w:space="0"/>
              <w:bottom w:val="single" w:color="auto" w:sz="6" w:space="0"/>
              <w:right w:val="single" w:color="auto" w:sz="6" w:space="0"/>
            </w:tcBorders>
            <w:vAlign w:val="center"/>
          </w:tcPr>
          <w:p w14:paraId="27299131">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tcPr>
          <w:p w14:paraId="414FC8E1">
            <w:pPr>
              <w:adjustRightInd w:val="0"/>
              <w:snapToGrid w:val="0"/>
              <w:rPr>
                <w:color w:val="auto"/>
                <w:sz w:val="18"/>
                <w:szCs w:val="18"/>
              </w:rPr>
            </w:pPr>
            <w:r>
              <w:rPr>
                <w:color w:val="auto"/>
                <w:sz w:val="18"/>
                <w:szCs w:val="18"/>
              </w:rPr>
              <w:t>外倾结构面或外倾不同结构面的组合线倾角＞75°或＜</w:t>
            </w:r>
            <w:r>
              <w:rPr>
                <w:rFonts w:hint="eastAsia"/>
                <w:color w:val="auto"/>
                <w:sz w:val="18"/>
                <w:szCs w:val="18"/>
              </w:rPr>
              <w:t>27</w:t>
            </w:r>
            <w:r>
              <w:rPr>
                <w:color w:val="auto"/>
                <w:sz w:val="18"/>
                <w:szCs w:val="18"/>
              </w:rPr>
              <w:t>°</w:t>
            </w:r>
          </w:p>
        </w:tc>
        <w:tc>
          <w:tcPr>
            <w:tcW w:w="2107" w:type="dxa"/>
            <w:tcBorders>
              <w:top w:val="single" w:color="auto" w:sz="6" w:space="0"/>
              <w:left w:val="single" w:color="auto" w:sz="6" w:space="0"/>
              <w:bottom w:val="single" w:color="auto" w:sz="6" w:space="0"/>
              <w:right w:val="single" w:color="auto" w:sz="12" w:space="0"/>
            </w:tcBorders>
          </w:tcPr>
          <w:p w14:paraId="2188F4F7">
            <w:pPr>
              <w:adjustRightInd w:val="0"/>
              <w:snapToGrid w:val="0"/>
              <w:rPr>
                <w:color w:val="auto"/>
                <w:sz w:val="18"/>
                <w:szCs w:val="18"/>
              </w:rPr>
            </w:pPr>
            <w:r>
              <w:rPr>
                <w:color w:val="auto"/>
                <w:sz w:val="18"/>
                <w:szCs w:val="18"/>
              </w:rPr>
              <w:t>边坡出现局部塌落</w:t>
            </w:r>
          </w:p>
        </w:tc>
      </w:tr>
      <w:tr w14:paraId="7D14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1205" w:type="dxa"/>
            <w:vMerge w:val="restart"/>
            <w:tcBorders>
              <w:top w:val="single" w:color="auto" w:sz="6" w:space="0"/>
              <w:left w:val="single" w:color="auto" w:sz="12" w:space="0"/>
              <w:bottom w:val="single" w:color="auto" w:sz="6" w:space="0"/>
              <w:right w:val="single" w:color="auto" w:sz="6" w:space="0"/>
            </w:tcBorders>
            <w:vAlign w:val="center"/>
          </w:tcPr>
          <w:p w14:paraId="16B7CC10">
            <w:pPr>
              <w:adjustRightInd w:val="0"/>
              <w:snapToGrid w:val="0"/>
              <w:jc w:val="center"/>
              <w:rPr>
                <w:color w:val="auto"/>
                <w:sz w:val="18"/>
                <w:szCs w:val="18"/>
              </w:rPr>
            </w:pPr>
            <w:r>
              <w:rPr>
                <w:rFonts w:hAnsi="宋体"/>
                <w:color w:val="auto"/>
                <w:sz w:val="18"/>
                <w:szCs w:val="18"/>
              </w:rPr>
              <w:t>Ⅲ</w:t>
            </w:r>
          </w:p>
        </w:tc>
        <w:tc>
          <w:tcPr>
            <w:tcW w:w="1183" w:type="dxa"/>
            <w:tcBorders>
              <w:top w:val="single" w:color="auto" w:sz="6" w:space="0"/>
              <w:left w:val="single" w:color="auto" w:sz="6" w:space="0"/>
              <w:bottom w:val="single" w:color="auto" w:sz="6" w:space="0"/>
              <w:right w:val="single" w:color="auto" w:sz="6" w:space="0"/>
            </w:tcBorders>
            <w:vAlign w:val="center"/>
          </w:tcPr>
          <w:p w14:paraId="5AD37571">
            <w:pPr>
              <w:adjustRightInd w:val="0"/>
              <w:snapToGrid w:val="0"/>
              <w:jc w:val="center"/>
              <w:rPr>
                <w:color w:val="auto"/>
                <w:sz w:val="18"/>
                <w:szCs w:val="18"/>
              </w:rPr>
            </w:pPr>
            <w:r>
              <w:rPr>
                <w:color w:val="auto"/>
                <w:sz w:val="18"/>
                <w:szCs w:val="18"/>
              </w:rPr>
              <w:t>完整</w:t>
            </w:r>
          </w:p>
        </w:tc>
        <w:tc>
          <w:tcPr>
            <w:tcW w:w="1509" w:type="dxa"/>
            <w:tcBorders>
              <w:top w:val="single" w:color="auto" w:sz="6" w:space="0"/>
              <w:left w:val="single" w:color="auto" w:sz="6" w:space="0"/>
              <w:bottom w:val="single" w:color="auto" w:sz="6" w:space="0"/>
              <w:right w:val="single" w:color="auto" w:sz="6" w:space="0"/>
            </w:tcBorders>
            <w:vAlign w:val="center"/>
          </w:tcPr>
          <w:p w14:paraId="7856D604">
            <w:pPr>
              <w:adjustRightInd w:val="0"/>
              <w:snapToGrid w:val="0"/>
              <w:jc w:val="left"/>
              <w:rPr>
                <w:color w:val="auto"/>
                <w:sz w:val="18"/>
                <w:szCs w:val="18"/>
              </w:rPr>
            </w:pPr>
            <w:r>
              <w:rPr>
                <w:rFonts w:hint="eastAsia"/>
                <w:color w:val="auto"/>
                <w:sz w:val="18"/>
                <w:szCs w:val="18"/>
              </w:rPr>
              <w:t>结构面结合差</w:t>
            </w:r>
          </w:p>
        </w:tc>
        <w:tc>
          <w:tcPr>
            <w:tcW w:w="3159" w:type="dxa"/>
            <w:tcBorders>
              <w:top w:val="single" w:color="auto" w:sz="6" w:space="0"/>
              <w:left w:val="single" w:color="auto" w:sz="6" w:space="0"/>
              <w:bottom w:val="single" w:color="auto" w:sz="6" w:space="0"/>
              <w:right w:val="single" w:color="auto" w:sz="6" w:space="0"/>
            </w:tcBorders>
          </w:tcPr>
          <w:p w14:paraId="2115F85F">
            <w:pPr>
              <w:adjustRightInd w:val="0"/>
              <w:snapToGrid w:val="0"/>
              <w:rPr>
                <w:color w:val="auto"/>
                <w:sz w:val="18"/>
                <w:szCs w:val="18"/>
              </w:rPr>
            </w:pPr>
            <w:r>
              <w:rPr>
                <w:color w:val="auto"/>
                <w:sz w:val="18"/>
                <w:szCs w:val="18"/>
              </w:rPr>
              <w:t>外倾结构面或外倾不同结构面的组合线倾角</w:t>
            </w:r>
            <w:r>
              <w:rPr>
                <w:rFonts w:hint="eastAsia"/>
                <w:color w:val="auto"/>
                <w:sz w:val="18"/>
                <w:szCs w:val="18"/>
              </w:rPr>
              <w:t>27</w:t>
            </w:r>
            <w:r>
              <w:rPr>
                <w:color w:val="auto"/>
                <w:sz w:val="18"/>
                <w:szCs w:val="18"/>
              </w:rPr>
              <w:t>°～75°</w:t>
            </w:r>
          </w:p>
        </w:tc>
        <w:tc>
          <w:tcPr>
            <w:tcW w:w="2107" w:type="dxa"/>
            <w:vMerge w:val="restart"/>
            <w:tcBorders>
              <w:top w:val="single" w:color="auto" w:sz="6" w:space="0"/>
              <w:left w:val="single" w:color="auto" w:sz="6" w:space="0"/>
              <w:bottom w:val="single" w:color="auto" w:sz="6" w:space="0"/>
              <w:right w:val="single" w:color="auto" w:sz="12" w:space="0"/>
            </w:tcBorders>
            <w:vAlign w:val="center"/>
          </w:tcPr>
          <w:p w14:paraId="12B04126">
            <w:pPr>
              <w:adjustRightInd w:val="0"/>
              <w:snapToGrid w:val="0"/>
              <w:rPr>
                <w:color w:val="auto"/>
                <w:sz w:val="18"/>
                <w:szCs w:val="18"/>
              </w:rPr>
            </w:pPr>
            <w:r>
              <w:rPr>
                <w:color w:val="auto"/>
                <w:sz w:val="18"/>
                <w:szCs w:val="18"/>
              </w:rPr>
              <w:t>8</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边坡稳定，15</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边坡欠稳定</w:t>
            </w:r>
          </w:p>
          <w:p w14:paraId="7575FF87">
            <w:pPr>
              <w:adjustRightInd w:val="0"/>
              <w:snapToGrid w:val="0"/>
              <w:rPr>
                <w:color w:val="auto"/>
                <w:sz w:val="18"/>
                <w:szCs w:val="18"/>
              </w:rPr>
            </w:pPr>
            <w:r>
              <w:rPr>
                <w:color w:val="auto"/>
                <w:sz w:val="18"/>
                <w:szCs w:val="18"/>
              </w:rPr>
              <w:t xml:space="preserve">  </w:t>
            </w:r>
          </w:p>
        </w:tc>
      </w:tr>
      <w:tr w14:paraId="77AE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4F12EBF4">
            <w:pPr>
              <w:adjustRightInd w:val="0"/>
              <w:snapToGrid w:val="0"/>
              <w:spacing w:line="360" w:lineRule="atLeast"/>
              <w:jc w:val="center"/>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2D37308F">
            <w:pPr>
              <w:adjustRightInd w:val="0"/>
              <w:snapToGrid w:val="0"/>
              <w:spacing w:line="360" w:lineRule="atLeast"/>
              <w:jc w:val="center"/>
              <w:rPr>
                <w:color w:val="auto"/>
                <w:sz w:val="18"/>
                <w:szCs w:val="18"/>
              </w:rPr>
            </w:pPr>
            <w:r>
              <w:rPr>
                <w:color w:val="auto"/>
                <w:sz w:val="18"/>
                <w:szCs w:val="18"/>
              </w:rPr>
              <w:t>较完整</w:t>
            </w:r>
          </w:p>
        </w:tc>
        <w:tc>
          <w:tcPr>
            <w:tcW w:w="1509" w:type="dxa"/>
            <w:tcBorders>
              <w:top w:val="single" w:color="auto" w:sz="6" w:space="0"/>
              <w:left w:val="single" w:color="auto" w:sz="6" w:space="0"/>
              <w:bottom w:val="single" w:color="auto" w:sz="6" w:space="0"/>
              <w:right w:val="single" w:color="auto" w:sz="6" w:space="0"/>
            </w:tcBorders>
            <w:vAlign w:val="center"/>
          </w:tcPr>
          <w:p w14:paraId="5A1C635B">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tcPr>
          <w:p w14:paraId="170DCA95">
            <w:pPr>
              <w:adjustRightInd w:val="0"/>
              <w:snapToGrid w:val="0"/>
              <w:rPr>
                <w:color w:val="auto"/>
                <w:sz w:val="18"/>
                <w:szCs w:val="18"/>
              </w:rPr>
            </w:pPr>
            <w:r>
              <w:rPr>
                <w:color w:val="auto"/>
                <w:sz w:val="18"/>
                <w:szCs w:val="18"/>
              </w:rPr>
              <w:t>外倾结构面或外倾不同结构面的组合线倾角</w:t>
            </w:r>
            <w:r>
              <w:rPr>
                <w:rFonts w:hint="eastAsia"/>
                <w:color w:val="auto"/>
                <w:sz w:val="18"/>
                <w:szCs w:val="18"/>
              </w:rPr>
              <w:t>27</w:t>
            </w:r>
            <w:r>
              <w:rPr>
                <w:color w:val="auto"/>
                <w:sz w:val="18"/>
                <w:szCs w:val="18"/>
              </w:rPr>
              <w:t>°～75°</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66C5F588">
            <w:pPr>
              <w:adjustRightInd w:val="0"/>
              <w:snapToGrid w:val="0"/>
              <w:spacing w:line="360" w:lineRule="atLeast"/>
              <w:rPr>
                <w:color w:val="auto"/>
                <w:sz w:val="18"/>
                <w:szCs w:val="18"/>
              </w:rPr>
            </w:pPr>
          </w:p>
        </w:tc>
      </w:tr>
      <w:tr w14:paraId="7F10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17112715">
            <w:pPr>
              <w:adjustRightInd w:val="0"/>
              <w:snapToGrid w:val="0"/>
              <w:spacing w:line="360" w:lineRule="atLeast"/>
              <w:jc w:val="center"/>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078D932D">
            <w:pPr>
              <w:adjustRightInd w:val="0"/>
              <w:snapToGrid w:val="0"/>
              <w:jc w:val="center"/>
              <w:rPr>
                <w:color w:val="auto"/>
                <w:sz w:val="18"/>
                <w:szCs w:val="18"/>
              </w:rPr>
            </w:pPr>
            <w:r>
              <w:rPr>
                <w:color w:val="auto"/>
                <w:sz w:val="18"/>
                <w:szCs w:val="18"/>
              </w:rPr>
              <w:t>较完整</w:t>
            </w:r>
          </w:p>
        </w:tc>
        <w:tc>
          <w:tcPr>
            <w:tcW w:w="1509" w:type="dxa"/>
            <w:tcBorders>
              <w:top w:val="single" w:color="auto" w:sz="6" w:space="0"/>
              <w:left w:val="single" w:color="auto" w:sz="6" w:space="0"/>
              <w:bottom w:val="single" w:color="auto" w:sz="6" w:space="0"/>
              <w:right w:val="single" w:color="auto" w:sz="6" w:space="0"/>
            </w:tcBorders>
            <w:vAlign w:val="center"/>
          </w:tcPr>
          <w:p w14:paraId="78C001CA">
            <w:pPr>
              <w:adjustRightInd w:val="0"/>
              <w:snapToGrid w:val="0"/>
              <w:jc w:val="left"/>
              <w:rPr>
                <w:color w:val="auto"/>
                <w:sz w:val="18"/>
                <w:szCs w:val="18"/>
              </w:rPr>
            </w:pPr>
            <w:r>
              <w:rPr>
                <w:rFonts w:hint="eastAsia"/>
                <w:color w:val="auto"/>
                <w:sz w:val="18"/>
                <w:szCs w:val="18"/>
              </w:rPr>
              <w:t>结构面结合差</w:t>
            </w:r>
          </w:p>
        </w:tc>
        <w:tc>
          <w:tcPr>
            <w:tcW w:w="3159" w:type="dxa"/>
            <w:tcBorders>
              <w:top w:val="single" w:color="auto" w:sz="6" w:space="0"/>
              <w:left w:val="single" w:color="auto" w:sz="6" w:space="0"/>
              <w:bottom w:val="single" w:color="auto" w:sz="6" w:space="0"/>
              <w:right w:val="single" w:color="auto" w:sz="6" w:space="0"/>
            </w:tcBorders>
          </w:tcPr>
          <w:p w14:paraId="479F1271">
            <w:pPr>
              <w:adjustRightInd w:val="0"/>
              <w:snapToGrid w:val="0"/>
              <w:rPr>
                <w:color w:val="auto"/>
                <w:sz w:val="18"/>
                <w:szCs w:val="18"/>
              </w:rPr>
            </w:pPr>
            <w:r>
              <w:rPr>
                <w:color w:val="auto"/>
                <w:sz w:val="18"/>
                <w:szCs w:val="18"/>
              </w:rPr>
              <w:t>外倾结构面或外倾不同结构面的组合线倾角＞75°或＜</w:t>
            </w:r>
            <w:r>
              <w:rPr>
                <w:rFonts w:hint="eastAsia"/>
                <w:color w:val="auto"/>
                <w:sz w:val="18"/>
                <w:szCs w:val="18"/>
              </w:rPr>
              <w:t>27</w:t>
            </w:r>
            <w:r>
              <w:rPr>
                <w:color w:val="auto"/>
                <w:sz w:val="18"/>
                <w:szCs w:val="18"/>
              </w:rPr>
              <w:t>°</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2E6FCFA5">
            <w:pPr>
              <w:adjustRightInd w:val="0"/>
              <w:snapToGrid w:val="0"/>
              <w:spacing w:line="360" w:lineRule="atLeast"/>
              <w:rPr>
                <w:color w:val="auto"/>
                <w:sz w:val="18"/>
                <w:szCs w:val="18"/>
              </w:rPr>
            </w:pPr>
          </w:p>
        </w:tc>
      </w:tr>
      <w:tr w14:paraId="341A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3484A6AB">
            <w:pPr>
              <w:adjustRightInd w:val="0"/>
              <w:snapToGrid w:val="0"/>
              <w:spacing w:line="360" w:lineRule="atLeast"/>
              <w:jc w:val="center"/>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366B564B">
            <w:pPr>
              <w:adjustRightInd w:val="0"/>
              <w:snapToGrid w:val="0"/>
              <w:jc w:val="center"/>
              <w:rPr>
                <w:color w:val="auto"/>
                <w:sz w:val="18"/>
                <w:szCs w:val="18"/>
              </w:rPr>
            </w:pPr>
            <w:r>
              <w:rPr>
                <w:color w:val="auto"/>
                <w:sz w:val="18"/>
                <w:szCs w:val="18"/>
              </w:rPr>
              <w:t>较</w:t>
            </w:r>
            <w:r>
              <w:rPr>
                <w:rFonts w:hint="eastAsia"/>
                <w:color w:val="auto"/>
                <w:sz w:val="18"/>
                <w:szCs w:val="18"/>
              </w:rPr>
              <w:t>破碎</w:t>
            </w:r>
          </w:p>
        </w:tc>
        <w:tc>
          <w:tcPr>
            <w:tcW w:w="1509" w:type="dxa"/>
            <w:tcBorders>
              <w:top w:val="single" w:color="auto" w:sz="6" w:space="0"/>
              <w:left w:val="single" w:color="auto" w:sz="6" w:space="0"/>
              <w:bottom w:val="single" w:color="auto" w:sz="6" w:space="0"/>
              <w:right w:val="single" w:color="auto" w:sz="6" w:space="0"/>
            </w:tcBorders>
            <w:vAlign w:val="center"/>
          </w:tcPr>
          <w:p w14:paraId="4DDE9218">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tcPr>
          <w:p w14:paraId="40BB648B">
            <w:pPr>
              <w:adjustRightInd w:val="0"/>
              <w:snapToGrid w:val="0"/>
              <w:rPr>
                <w:color w:val="auto"/>
                <w:sz w:val="18"/>
                <w:szCs w:val="18"/>
              </w:rPr>
            </w:pPr>
            <w:r>
              <w:rPr>
                <w:color w:val="auto"/>
                <w:sz w:val="18"/>
                <w:szCs w:val="18"/>
              </w:rPr>
              <w:t>外倾结构面或外倾不同结构面的组合线倾角＞75°或＜</w:t>
            </w:r>
            <w:r>
              <w:rPr>
                <w:rFonts w:hint="eastAsia"/>
                <w:color w:val="auto"/>
                <w:sz w:val="18"/>
                <w:szCs w:val="18"/>
              </w:rPr>
              <w:t>27</w:t>
            </w:r>
            <w:r>
              <w:rPr>
                <w:color w:val="auto"/>
                <w:sz w:val="18"/>
                <w:szCs w:val="18"/>
              </w:rPr>
              <w:t>°</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32D454C4">
            <w:pPr>
              <w:adjustRightInd w:val="0"/>
              <w:snapToGrid w:val="0"/>
              <w:spacing w:line="360" w:lineRule="atLeast"/>
              <w:rPr>
                <w:color w:val="auto"/>
                <w:sz w:val="18"/>
                <w:szCs w:val="18"/>
              </w:rPr>
            </w:pPr>
          </w:p>
        </w:tc>
      </w:tr>
      <w:tr w14:paraId="24D6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12D64859">
            <w:pPr>
              <w:adjustRightInd w:val="0"/>
              <w:snapToGrid w:val="0"/>
              <w:spacing w:line="360" w:lineRule="atLeast"/>
              <w:jc w:val="center"/>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5255FFDF">
            <w:pPr>
              <w:adjustRightInd w:val="0"/>
              <w:snapToGrid w:val="0"/>
              <w:ind w:left="3" w:leftChars="-7" w:right="-88" w:rightChars="-42" w:hanging="18" w:hangingChars="10"/>
              <w:rPr>
                <w:color w:val="auto"/>
                <w:sz w:val="18"/>
                <w:szCs w:val="18"/>
              </w:rPr>
            </w:pPr>
            <w:r>
              <w:rPr>
                <w:color w:val="auto"/>
                <w:sz w:val="18"/>
                <w:szCs w:val="18"/>
              </w:rPr>
              <w:t xml:space="preserve">  较</w:t>
            </w:r>
            <w:r>
              <w:rPr>
                <w:rFonts w:hint="eastAsia"/>
                <w:color w:val="auto"/>
                <w:sz w:val="18"/>
                <w:szCs w:val="18"/>
              </w:rPr>
              <w:t>破碎</w:t>
            </w:r>
          </w:p>
          <w:p w14:paraId="61B4C0B2">
            <w:pPr>
              <w:adjustRightInd w:val="0"/>
              <w:snapToGrid w:val="0"/>
              <w:ind w:left="3" w:leftChars="-7" w:right="-88" w:rightChars="-42" w:hanging="18" w:hangingChars="10"/>
              <w:rPr>
                <w:color w:val="auto"/>
                <w:sz w:val="18"/>
                <w:szCs w:val="18"/>
              </w:rPr>
            </w:pPr>
            <w:r>
              <w:rPr>
                <w:color w:val="auto"/>
                <w:sz w:val="18"/>
                <w:szCs w:val="18"/>
              </w:rPr>
              <w:t>（碎裂镶嵌）</w:t>
            </w:r>
          </w:p>
        </w:tc>
        <w:tc>
          <w:tcPr>
            <w:tcW w:w="1509" w:type="dxa"/>
            <w:tcBorders>
              <w:top w:val="single" w:color="auto" w:sz="6" w:space="0"/>
              <w:left w:val="single" w:color="auto" w:sz="6" w:space="0"/>
              <w:bottom w:val="single" w:color="auto" w:sz="6" w:space="0"/>
              <w:right w:val="single" w:color="auto" w:sz="6" w:space="0"/>
            </w:tcBorders>
            <w:vAlign w:val="center"/>
          </w:tcPr>
          <w:p w14:paraId="556AE216">
            <w:pPr>
              <w:adjustRightInd w:val="0"/>
              <w:snapToGrid w:val="0"/>
              <w:jc w:val="left"/>
              <w:rPr>
                <w:color w:val="auto"/>
                <w:sz w:val="18"/>
                <w:szCs w:val="18"/>
              </w:rPr>
            </w:pPr>
            <w:r>
              <w:rPr>
                <w:rFonts w:hint="eastAsia"/>
                <w:color w:val="auto"/>
                <w:sz w:val="18"/>
                <w:szCs w:val="18"/>
              </w:rPr>
              <w:t>结构面结合良好或一般</w:t>
            </w:r>
          </w:p>
        </w:tc>
        <w:tc>
          <w:tcPr>
            <w:tcW w:w="3159" w:type="dxa"/>
            <w:tcBorders>
              <w:top w:val="single" w:color="auto" w:sz="6" w:space="0"/>
              <w:left w:val="single" w:color="auto" w:sz="6" w:space="0"/>
              <w:bottom w:val="single" w:color="auto" w:sz="6" w:space="0"/>
              <w:right w:val="single" w:color="auto" w:sz="6" w:space="0"/>
            </w:tcBorders>
            <w:vAlign w:val="center"/>
          </w:tcPr>
          <w:p w14:paraId="2333A29C">
            <w:pPr>
              <w:adjustRightInd w:val="0"/>
              <w:snapToGrid w:val="0"/>
              <w:rPr>
                <w:color w:val="auto"/>
                <w:sz w:val="18"/>
                <w:szCs w:val="18"/>
              </w:rPr>
            </w:pPr>
            <w:r>
              <w:rPr>
                <w:color w:val="auto"/>
                <w:sz w:val="18"/>
                <w:szCs w:val="18"/>
              </w:rPr>
              <w:t>结构面无明显规律</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78DC1903">
            <w:pPr>
              <w:adjustRightInd w:val="0"/>
              <w:snapToGrid w:val="0"/>
              <w:spacing w:line="360" w:lineRule="atLeast"/>
              <w:rPr>
                <w:color w:val="auto"/>
                <w:sz w:val="18"/>
                <w:szCs w:val="18"/>
              </w:rPr>
            </w:pPr>
          </w:p>
        </w:tc>
      </w:tr>
      <w:tr w14:paraId="78CD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205" w:type="dxa"/>
            <w:vMerge w:val="restart"/>
            <w:tcBorders>
              <w:top w:val="single" w:color="auto" w:sz="6" w:space="0"/>
              <w:left w:val="single" w:color="auto" w:sz="12" w:space="0"/>
              <w:bottom w:val="single" w:color="auto" w:sz="6" w:space="0"/>
              <w:right w:val="single" w:color="auto" w:sz="6" w:space="0"/>
            </w:tcBorders>
            <w:vAlign w:val="center"/>
          </w:tcPr>
          <w:p w14:paraId="1EEC38D9">
            <w:pPr>
              <w:adjustRightInd w:val="0"/>
              <w:snapToGrid w:val="0"/>
              <w:spacing w:line="360" w:lineRule="atLeast"/>
              <w:jc w:val="center"/>
              <w:rPr>
                <w:color w:val="auto"/>
                <w:sz w:val="18"/>
                <w:szCs w:val="18"/>
              </w:rPr>
            </w:pPr>
            <w:r>
              <w:rPr>
                <w:rFonts w:hAnsi="宋体"/>
                <w:color w:val="auto"/>
                <w:sz w:val="18"/>
                <w:szCs w:val="18"/>
              </w:rPr>
              <w:t>Ⅳ</w:t>
            </w:r>
          </w:p>
        </w:tc>
        <w:tc>
          <w:tcPr>
            <w:tcW w:w="1183" w:type="dxa"/>
            <w:tcBorders>
              <w:top w:val="single" w:color="auto" w:sz="6" w:space="0"/>
              <w:left w:val="single" w:color="auto" w:sz="6" w:space="0"/>
              <w:bottom w:val="single" w:color="auto" w:sz="6" w:space="0"/>
              <w:right w:val="single" w:color="auto" w:sz="6" w:space="0"/>
            </w:tcBorders>
            <w:vAlign w:val="center"/>
          </w:tcPr>
          <w:p w14:paraId="09525063">
            <w:pPr>
              <w:adjustRightInd w:val="0"/>
              <w:snapToGrid w:val="0"/>
              <w:jc w:val="center"/>
              <w:rPr>
                <w:color w:val="auto"/>
                <w:sz w:val="18"/>
                <w:szCs w:val="18"/>
              </w:rPr>
            </w:pPr>
            <w:r>
              <w:rPr>
                <w:color w:val="auto"/>
                <w:sz w:val="18"/>
                <w:szCs w:val="18"/>
              </w:rPr>
              <w:t>较完整</w:t>
            </w:r>
          </w:p>
        </w:tc>
        <w:tc>
          <w:tcPr>
            <w:tcW w:w="1509" w:type="dxa"/>
            <w:tcBorders>
              <w:top w:val="single" w:color="auto" w:sz="6" w:space="0"/>
              <w:left w:val="single" w:color="auto" w:sz="6" w:space="0"/>
              <w:bottom w:val="single" w:color="auto" w:sz="6" w:space="0"/>
              <w:right w:val="single" w:color="auto" w:sz="6" w:space="0"/>
            </w:tcBorders>
            <w:vAlign w:val="center"/>
          </w:tcPr>
          <w:p w14:paraId="7CF197F5">
            <w:pPr>
              <w:adjustRightInd w:val="0"/>
              <w:snapToGrid w:val="0"/>
              <w:jc w:val="left"/>
              <w:rPr>
                <w:color w:val="auto"/>
                <w:sz w:val="18"/>
                <w:szCs w:val="18"/>
              </w:rPr>
            </w:pPr>
            <w:r>
              <w:rPr>
                <w:rFonts w:hint="eastAsia"/>
                <w:color w:val="auto"/>
                <w:sz w:val="18"/>
                <w:szCs w:val="18"/>
              </w:rPr>
              <w:t>结构面结合差或很差</w:t>
            </w:r>
          </w:p>
        </w:tc>
        <w:tc>
          <w:tcPr>
            <w:tcW w:w="3159" w:type="dxa"/>
            <w:tcBorders>
              <w:top w:val="single" w:color="auto" w:sz="6" w:space="0"/>
              <w:left w:val="single" w:color="auto" w:sz="6" w:space="0"/>
              <w:bottom w:val="single" w:color="auto" w:sz="6" w:space="0"/>
              <w:right w:val="single" w:color="auto" w:sz="6" w:space="0"/>
            </w:tcBorders>
          </w:tcPr>
          <w:p w14:paraId="041164B1">
            <w:pPr>
              <w:adjustRightInd w:val="0"/>
              <w:snapToGrid w:val="0"/>
              <w:rPr>
                <w:color w:val="auto"/>
                <w:sz w:val="18"/>
                <w:szCs w:val="18"/>
              </w:rPr>
            </w:pPr>
            <w:r>
              <w:rPr>
                <w:color w:val="auto"/>
                <w:sz w:val="18"/>
                <w:szCs w:val="18"/>
              </w:rPr>
              <w:t>外倾结构面以层面为主，倾角多为</w:t>
            </w:r>
          </w:p>
          <w:p w14:paraId="16B16D41">
            <w:pPr>
              <w:adjustRightInd w:val="0"/>
              <w:snapToGrid w:val="0"/>
              <w:rPr>
                <w:color w:val="auto"/>
                <w:sz w:val="18"/>
                <w:szCs w:val="18"/>
              </w:rPr>
            </w:pPr>
            <w:r>
              <w:rPr>
                <w:rFonts w:hint="eastAsia"/>
                <w:color w:val="auto"/>
                <w:sz w:val="18"/>
                <w:szCs w:val="18"/>
              </w:rPr>
              <w:t>27</w:t>
            </w:r>
            <w:r>
              <w:rPr>
                <w:color w:val="auto"/>
                <w:sz w:val="18"/>
                <w:szCs w:val="18"/>
              </w:rPr>
              <w:t>°～75°</w:t>
            </w:r>
          </w:p>
        </w:tc>
        <w:tc>
          <w:tcPr>
            <w:tcW w:w="2107" w:type="dxa"/>
            <w:vMerge w:val="restart"/>
            <w:tcBorders>
              <w:top w:val="single" w:color="auto" w:sz="6" w:space="0"/>
              <w:left w:val="single" w:color="auto" w:sz="6" w:space="0"/>
              <w:bottom w:val="single" w:color="auto" w:sz="6" w:space="0"/>
              <w:right w:val="single" w:color="auto" w:sz="12" w:space="0"/>
            </w:tcBorders>
            <w:vAlign w:val="center"/>
          </w:tcPr>
          <w:p w14:paraId="2398A807">
            <w:pPr>
              <w:adjustRightInd w:val="0"/>
              <w:snapToGrid w:val="0"/>
              <w:rPr>
                <w:color w:val="auto"/>
                <w:sz w:val="18"/>
                <w:szCs w:val="18"/>
              </w:rPr>
            </w:pPr>
            <w:r>
              <w:rPr>
                <w:color w:val="auto"/>
                <w:sz w:val="18"/>
                <w:szCs w:val="18"/>
              </w:rPr>
              <w:t>8</w:t>
            </w:r>
            <w:r>
              <w:rPr>
                <w:iCs/>
                <w:color w:val="auto"/>
                <w:sz w:val="18"/>
                <w:szCs w:val="18"/>
              </w:rPr>
              <w:t>m</w:t>
            </w:r>
            <w:r>
              <w:rPr>
                <w:color w:val="auto"/>
                <w:sz w:val="18"/>
                <w:szCs w:val="18"/>
              </w:rPr>
              <w:t>高</w:t>
            </w:r>
            <w:r>
              <w:rPr>
                <w:rFonts w:hint="eastAsia"/>
                <w:color w:val="auto"/>
                <w:sz w:val="18"/>
                <w:szCs w:val="18"/>
              </w:rPr>
              <w:t>的</w:t>
            </w:r>
            <w:r>
              <w:rPr>
                <w:color w:val="auto"/>
                <w:sz w:val="18"/>
                <w:szCs w:val="18"/>
              </w:rPr>
              <w:t>边坡不稳定</w:t>
            </w:r>
          </w:p>
        </w:tc>
      </w:tr>
      <w:tr w14:paraId="1381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2FA6423B">
            <w:pPr>
              <w:adjustRightInd w:val="0"/>
              <w:snapToGrid w:val="0"/>
              <w:spacing w:line="360" w:lineRule="atLeast"/>
              <w:jc w:val="center"/>
              <w:rPr>
                <w:rFonts w:hAnsi="宋体"/>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7193E14E">
            <w:pPr>
              <w:adjustRightInd w:val="0"/>
              <w:snapToGrid w:val="0"/>
              <w:jc w:val="center"/>
              <w:rPr>
                <w:color w:val="auto"/>
                <w:sz w:val="18"/>
                <w:szCs w:val="18"/>
              </w:rPr>
            </w:pPr>
            <w:r>
              <w:rPr>
                <w:color w:val="auto"/>
                <w:sz w:val="18"/>
                <w:szCs w:val="18"/>
              </w:rPr>
              <w:t>较</w:t>
            </w:r>
            <w:r>
              <w:rPr>
                <w:rFonts w:hint="eastAsia"/>
                <w:color w:val="auto"/>
                <w:sz w:val="18"/>
                <w:szCs w:val="18"/>
              </w:rPr>
              <w:t>破碎</w:t>
            </w:r>
          </w:p>
        </w:tc>
        <w:tc>
          <w:tcPr>
            <w:tcW w:w="1509" w:type="dxa"/>
            <w:tcBorders>
              <w:top w:val="single" w:color="auto" w:sz="6" w:space="0"/>
              <w:left w:val="single" w:color="auto" w:sz="6" w:space="0"/>
              <w:bottom w:val="single" w:color="auto" w:sz="6" w:space="0"/>
              <w:right w:val="single" w:color="auto" w:sz="6" w:space="0"/>
            </w:tcBorders>
            <w:vAlign w:val="center"/>
          </w:tcPr>
          <w:p w14:paraId="66201601">
            <w:pPr>
              <w:adjustRightInd w:val="0"/>
              <w:snapToGrid w:val="0"/>
              <w:jc w:val="left"/>
              <w:rPr>
                <w:color w:val="auto"/>
                <w:sz w:val="18"/>
                <w:szCs w:val="18"/>
              </w:rPr>
            </w:pPr>
            <w:r>
              <w:rPr>
                <w:rFonts w:hint="eastAsia"/>
                <w:color w:val="auto"/>
                <w:sz w:val="18"/>
                <w:szCs w:val="18"/>
              </w:rPr>
              <w:t>结构面结合一般或差</w:t>
            </w:r>
          </w:p>
        </w:tc>
        <w:tc>
          <w:tcPr>
            <w:tcW w:w="3159" w:type="dxa"/>
            <w:tcBorders>
              <w:top w:val="single" w:color="auto" w:sz="6" w:space="0"/>
              <w:left w:val="single" w:color="auto" w:sz="6" w:space="0"/>
              <w:bottom w:val="single" w:color="auto" w:sz="6" w:space="0"/>
              <w:right w:val="single" w:color="auto" w:sz="6" w:space="0"/>
            </w:tcBorders>
          </w:tcPr>
          <w:p w14:paraId="207C2696">
            <w:pPr>
              <w:adjustRightInd w:val="0"/>
              <w:snapToGrid w:val="0"/>
              <w:rPr>
                <w:color w:val="auto"/>
                <w:sz w:val="18"/>
                <w:szCs w:val="18"/>
              </w:rPr>
            </w:pPr>
            <w:r>
              <w:rPr>
                <w:rFonts w:hint="eastAsia"/>
                <w:color w:val="auto"/>
                <w:sz w:val="18"/>
                <w:szCs w:val="18"/>
              </w:rPr>
              <w:t>外倾结构或外倾不同结构的组合线倾角27</w:t>
            </w:r>
            <w:r>
              <w:rPr>
                <w:color w:val="auto"/>
                <w:sz w:val="18"/>
                <w:szCs w:val="18"/>
              </w:rPr>
              <w:t>°～75°</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06A115DA">
            <w:pPr>
              <w:adjustRightInd w:val="0"/>
              <w:snapToGrid w:val="0"/>
              <w:rPr>
                <w:color w:val="auto"/>
                <w:sz w:val="18"/>
                <w:szCs w:val="18"/>
              </w:rPr>
            </w:pPr>
          </w:p>
        </w:tc>
      </w:tr>
      <w:tr w14:paraId="751B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 w:hRule="atLeast"/>
          <w:jc w:val="center"/>
        </w:trPr>
        <w:tc>
          <w:tcPr>
            <w:tcW w:w="1205" w:type="dxa"/>
            <w:vMerge w:val="continue"/>
            <w:tcBorders>
              <w:top w:val="single" w:color="auto" w:sz="6" w:space="0"/>
              <w:left w:val="single" w:color="auto" w:sz="12" w:space="0"/>
              <w:bottom w:val="single" w:color="auto" w:sz="6" w:space="0"/>
              <w:right w:val="single" w:color="auto" w:sz="6" w:space="0"/>
            </w:tcBorders>
            <w:vAlign w:val="center"/>
          </w:tcPr>
          <w:p w14:paraId="10968043">
            <w:pPr>
              <w:adjustRightInd w:val="0"/>
              <w:snapToGrid w:val="0"/>
              <w:spacing w:line="360" w:lineRule="atLeast"/>
              <w:jc w:val="center"/>
              <w:rPr>
                <w:color w:val="auto"/>
                <w:sz w:val="18"/>
                <w:szCs w:val="18"/>
              </w:rPr>
            </w:pPr>
          </w:p>
        </w:tc>
        <w:tc>
          <w:tcPr>
            <w:tcW w:w="1183" w:type="dxa"/>
            <w:tcBorders>
              <w:top w:val="single" w:color="auto" w:sz="6" w:space="0"/>
              <w:left w:val="single" w:color="auto" w:sz="6" w:space="0"/>
              <w:bottom w:val="single" w:color="auto" w:sz="6" w:space="0"/>
              <w:right w:val="single" w:color="auto" w:sz="6" w:space="0"/>
            </w:tcBorders>
            <w:vAlign w:val="center"/>
          </w:tcPr>
          <w:p w14:paraId="40B8CF96">
            <w:pPr>
              <w:adjustRightInd w:val="0"/>
              <w:snapToGrid w:val="0"/>
              <w:ind w:left="1" w:leftChars="-33" w:right="-130" w:rightChars="-62" w:hanging="70" w:hangingChars="39"/>
              <w:rPr>
                <w:color w:val="auto"/>
                <w:sz w:val="18"/>
                <w:szCs w:val="18"/>
              </w:rPr>
            </w:pPr>
            <w:r>
              <w:rPr>
                <w:rFonts w:hint="eastAsia"/>
                <w:color w:val="auto"/>
                <w:sz w:val="18"/>
                <w:szCs w:val="18"/>
              </w:rPr>
              <w:t>破碎或极破碎</w:t>
            </w:r>
          </w:p>
        </w:tc>
        <w:tc>
          <w:tcPr>
            <w:tcW w:w="1509" w:type="dxa"/>
            <w:tcBorders>
              <w:top w:val="single" w:color="auto" w:sz="6" w:space="0"/>
              <w:left w:val="single" w:color="auto" w:sz="6" w:space="0"/>
              <w:bottom w:val="single" w:color="auto" w:sz="6" w:space="0"/>
              <w:right w:val="single" w:color="auto" w:sz="6" w:space="0"/>
            </w:tcBorders>
            <w:vAlign w:val="center"/>
          </w:tcPr>
          <w:p w14:paraId="2130484C">
            <w:pPr>
              <w:pStyle w:val="24"/>
              <w:pBdr>
                <w:bottom w:val="none" w:color="auto" w:sz="0" w:space="0"/>
              </w:pBdr>
              <w:tabs>
                <w:tab w:val="clear" w:pos="4153"/>
                <w:tab w:val="clear" w:pos="8306"/>
              </w:tabs>
              <w:rPr>
                <w:color w:val="auto"/>
              </w:rPr>
            </w:pPr>
            <w:r>
              <w:rPr>
                <w:color w:val="auto"/>
              </w:rPr>
              <w:t>碎块间结合很差</w:t>
            </w:r>
          </w:p>
        </w:tc>
        <w:tc>
          <w:tcPr>
            <w:tcW w:w="3159" w:type="dxa"/>
            <w:tcBorders>
              <w:top w:val="single" w:color="auto" w:sz="6" w:space="0"/>
              <w:left w:val="single" w:color="auto" w:sz="6" w:space="0"/>
              <w:bottom w:val="single" w:color="auto" w:sz="6" w:space="0"/>
              <w:right w:val="single" w:color="auto" w:sz="6" w:space="0"/>
            </w:tcBorders>
            <w:vAlign w:val="center"/>
          </w:tcPr>
          <w:p w14:paraId="0F60098B">
            <w:pPr>
              <w:adjustRightInd w:val="0"/>
              <w:snapToGrid w:val="0"/>
              <w:rPr>
                <w:color w:val="auto"/>
                <w:sz w:val="18"/>
                <w:szCs w:val="18"/>
              </w:rPr>
            </w:pPr>
            <w:r>
              <w:rPr>
                <w:color w:val="auto"/>
                <w:sz w:val="18"/>
                <w:szCs w:val="18"/>
              </w:rPr>
              <w:t>结构面无明显规律</w:t>
            </w:r>
          </w:p>
        </w:tc>
        <w:tc>
          <w:tcPr>
            <w:tcW w:w="2107" w:type="dxa"/>
            <w:vMerge w:val="continue"/>
            <w:tcBorders>
              <w:top w:val="single" w:color="auto" w:sz="6" w:space="0"/>
              <w:left w:val="single" w:color="auto" w:sz="6" w:space="0"/>
              <w:bottom w:val="single" w:color="auto" w:sz="6" w:space="0"/>
              <w:right w:val="single" w:color="auto" w:sz="12" w:space="0"/>
            </w:tcBorders>
            <w:vAlign w:val="center"/>
          </w:tcPr>
          <w:p w14:paraId="57DEBCAD">
            <w:pPr>
              <w:adjustRightInd w:val="0"/>
              <w:snapToGrid w:val="0"/>
              <w:spacing w:line="360" w:lineRule="atLeast"/>
              <w:rPr>
                <w:color w:val="auto"/>
                <w:sz w:val="18"/>
                <w:szCs w:val="18"/>
              </w:rPr>
            </w:pPr>
          </w:p>
        </w:tc>
      </w:tr>
      <w:tr w14:paraId="5F5F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9163" w:type="dxa"/>
            <w:gridSpan w:val="5"/>
            <w:tcBorders>
              <w:top w:val="single" w:color="auto" w:sz="6" w:space="0"/>
              <w:left w:val="single" w:color="auto" w:sz="12" w:space="0"/>
              <w:bottom w:val="single" w:color="auto" w:sz="12" w:space="0"/>
              <w:right w:val="single" w:color="auto" w:sz="12" w:space="0"/>
            </w:tcBorders>
            <w:vAlign w:val="center"/>
          </w:tcPr>
          <w:p w14:paraId="229261CF">
            <w:pPr>
              <w:adjustRightInd w:val="0"/>
              <w:snapToGrid w:val="0"/>
              <w:spacing w:line="280" w:lineRule="atLeast"/>
              <w:rPr>
                <w:color w:val="auto"/>
                <w:sz w:val="18"/>
                <w:szCs w:val="18"/>
              </w:rPr>
            </w:pPr>
            <w:r>
              <w:rPr>
                <w:color w:val="auto"/>
                <w:sz w:val="18"/>
                <w:szCs w:val="18"/>
              </w:rPr>
              <w:t>注</w:t>
            </w:r>
            <w:r>
              <w:rPr>
                <w:b/>
                <w:color w:val="auto"/>
                <w:sz w:val="18"/>
                <w:szCs w:val="18"/>
              </w:rPr>
              <w:t>1</w:t>
            </w:r>
            <w:r>
              <w:rPr>
                <w:rFonts w:hint="eastAsia"/>
                <w:color w:val="auto"/>
                <w:sz w:val="18"/>
                <w:szCs w:val="18"/>
              </w:rPr>
              <w:t>：表中结构面指原生结构面和构造结构面，不包括风化裂隙</w:t>
            </w:r>
            <w:r>
              <w:rPr>
                <w:color w:val="auto"/>
                <w:sz w:val="18"/>
                <w:szCs w:val="18"/>
              </w:rPr>
              <w:t>；</w:t>
            </w:r>
          </w:p>
          <w:p w14:paraId="6274EA9A">
            <w:pPr>
              <w:adjustRightInd w:val="0"/>
              <w:snapToGrid w:val="0"/>
              <w:rPr>
                <w:color w:val="auto"/>
                <w:sz w:val="18"/>
                <w:szCs w:val="18"/>
              </w:rPr>
            </w:pPr>
            <w:r>
              <w:rPr>
                <w:color w:val="auto"/>
                <w:sz w:val="18"/>
                <w:szCs w:val="18"/>
              </w:rPr>
              <w:t>注</w:t>
            </w:r>
            <w:r>
              <w:rPr>
                <w:b/>
                <w:color w:val="auto"/>
                <w:sz w:val="18"/>
                <w:szCs w:val="18"/>
              </w:rPr>
              <w:t>2</w:t>
            </w:r>
            <w:r>
              <w:rPr>
                <w:rFonts w:hint="eastAsia"/>
                <w:color w:val="auto"/>
                <w:sz w:val="18"/>
                <w:szCs w:val="18"/>
              </w:rPr>
              <w:t>：</w:t>
            </w:r>
            <w:r>
              <w:rPr>
                <w:rFonts w:hint="eastAsia" w:hAnsi="宋体"/>
                <w:color w:val="auto"/>
                <w:sz w:val="18"/>
                <w:szCs w:val="18"/>
              </w:rPr>
              <w:t>表中外倾结构面系指倾向与坡向的夹角小于30</w:t>
            </w:r>
            <w:r>
              <w:rPr>
                <w:color w:val="auto"/>
                <w:sz w:val="18"/>
                <w:szCs w:val="18"/>
              </w:rPr>
              <w:t>°</w:t>
            </w:r>
            <w:r>
              <w:rPr>
                <w:rFonts w:hint="eastAsia" w:hAnsi="宋体"/>
                <w:color w:val="auto"/>
                <w:sz w:val="18"/>
                <w:szCs w:val="18"/>
              </w:rPr>
              <w:t>的结构面</w:t>
            </w:r>
            <w:r>
              <w:rPr>
                <w:color w:val="auto"/>
                <w:sz w:val="18"/>
                <w:szCs w:val="18"/>
              </w:rPr>
              <w:t>；</w:t>
            </w:r>
          </w:p>
          <w:p w14:paraId="3409F370">
            <w:pPr>
              <w:adjustRightInd w:val="0"/>
              <w:snapToGrid w:val="0"/>
              <w:rPr>
                <w:color w:val="auto"/>
                <w:sz w:val="18"/>
                <w:szCs w:val="18"/>
              </w:rPr>
            </w:pPr>
            <w:r>
              <w:rPr>
                <w:color w:val="auto"/>
                <w:sz w:val="18"/>
                <w:szCs w:val="18"/>
              </w:rPr>
              <w:t>注</w:t>
            </w:r>
            <w:r>
              <w:rPr>
                <w:b/>
                <w:color w:val="auto"/>
                <w:sz w:val="18"/>
                <w:szCs w:val="18"/>
              </w:rPr>
              <w:t>3</w:t>
            </w:r>
            <w:r>
              <w:rPr>
                <w:rFonts w:hint="eastAsia"/>
                <w:color w:val="auto"/>
                <w:sz w:val="18"/>
                <w:szCs w:val="18"/>
              </w:rPr>
              <w:t>：表中不包括全风化基岩</w:t>
            </w:r>
            <w:r>
              <w:rPr>
                <w:color w:val="auto"/>
                <w:sz w:val="18"/>
                <w:szCs w:val="18"/>
              </w:rPr>
              <w:t>；</w:t>
            </w:r>
            <w:r>
              <w:rPr>
                <w:rFonts w:hint="eastAsia"/>
                <w:color w:val="auto"/>
                <w:sz w:val="18"/>
                <w:szCs w:val="18"/>
              </w:rPr>
              <w:t>全风化基岩可视为土体；</w:t>
            </w:r>
          </w:p>
          <w:p w14:paraId="6B11C362">
            <w:pPr>
              <w:adjustRightInd w:val="0"/>
              <w:snapToGrid w:val="0"/>
              <w:rPr>
                <w:color w:val="auto"/>
                <w:sz w:val="18"/>
                <w:szCs w:val="18"/>
              </w:rPr>
            </w:pPr>
            <w:r>
              <w:rPr>
                <w:color w:val="auto"/>
                <w:sz w:val="18"/>
                <w:szCs w:val="18"/>
              </w:rPr>
              <w:t>注</w:t>
            </w:r>
            <w:r>
              <w:rPr>
                <w:b/>
                <w:color w:val="auto"/>
                <w:sz w:val="18"/>
                <w:szCs w:val="18"/>
              </w:rPr>
              <w:t>4</w:t>
            </w:r>
            <w:r>
              <w:rPr>
                <w:rFonts w:hint="eastAsia"/>
                <w:color w:val="auto"/>
                <w:sz w:val="18"/>
                <w:szCs w:val="18"/>
              </w:rPr>
              <w:t>：Ⅰ类岩体为软岩，应降为Ⅱ类岩体；Ⅰ类岩体为较软岩且边坡高度大于15m时，可降为Ⅱ类</w:t>
            </w:r>
            <w:r>
              <w:rPr>
                <w:color w:val="auto"/>
                <w:sz w:val="18"/>
                <w:szCs w:val="18"/>
              </w:rPr>
              <w:t>；</w:t>
            </w:r>
          </w:p>
          <w:p w14:paraId="64D0789E">
            <w:pPr>
              <w:adjustRightInd w:val="0"/>
              <w:snapToGrid w:val="0"/>
              <w:rPr>
                <w:color w:val="auto"/>
                <w:sz w:val="18"/>
                <w:szCs w:val="18"/>
              </w:rPr>
            </w:pPr>
            <w:r>
              <w:rPr>
                <w:color w:val="auto"/>
                <w:sz w:val="18"/>
                <w:szCs w:val="18"/>
              </w:rPr>
              <w:t>注</w:t>
            </w:r>
            <w:r>
              <w:rPr>
                <w:b/>
                <w:color w:val="auto"/>
                <w:sz w:val="18"/>
                <w:szCs w:val="18"/>
              </w:rPr>
              <w:t>5</w:t>
            </w:r>
            <w:r>
              <w:rPr>
                <w:rFonts w:hint="eastAsia"/>
                <w:color w:val="auto"/>
                <w:sz w:val="18"/>
                <w:szCs w:val="18"/>
              </w:rPr>
              <w:t>：当地下水发育时，Ⅱ、Ⅲ类岩体可根据具体情况降低一档</w:t>
            </w:r>
            <w:r>
              <w:rPr>
                <w:color w:val="auto"/>
                <w:sz w:val="18"/>
                <w:szCs w:val="18"/>
              </w:rPr>
              <w:t>；</w:t>
            </w:r>
          </w:p>
          <w:p w14:paraId="02012356">
            <w:pPr>
              <w:adjustRightInd w:val="0"/>
              <w:snapToGrid w:val="0"/>
              <w:rPr>
                <w:color w:val="auto"/>
                <w:sz w:val="18"/>
                <w:szCs w:val="18"/>
              </w:rPr>
            </w:pPr>
            <w:r>
              <w:rPr>
                <w:color w:val="auto"/>
                <w:sz w:val="18"/>
                <w:szCs w:val="18"/>
              </w:rPr>
              <w:t>注</w:t>
            </w:r>
            <w:r>
              <w:rPr>
                <w:b/>
                <w:color w:val="auto"/>
                <w:sz w:val="18"/>
                <w:szCs w:val="18"/>
              </w:rPr>
              <w:t>6</w:t>
            </w:r>
            <w:r>
              <w:rPr>
                <w:rFonts w:hint="eastAsia"/>
                <w:color w:val="auto"/>
                <w:sz w:val="18"/>
                <w:szCs w:val="18"/>
              </w:rPr>
              <w:t>：强风化岩应划为Ⅳ类；完整的极软岩可划为Ⅲ类或Ⅳ类；</w:t>
            </w:r>
          </w:p>
          <w:p w14:paraId="59ACEB27">
            <w:pPr>
              <w:adjustRightInd w:val="0"/>
              <w:snapToGrid w:val="0"/>
              <w:ind w:left="481" w:hanging="480" w:hangingChars="267"/>
              <w:rPr>
                <w:color w:val="auto"/>
                <w:sz w:val="18"/>
                <w:szCs w:val="18"/>
              </w:rPr>
            </w:pPr>
            <w:r>
              <w:rPr>
                <w:rFonts w:hint="eastAsia"/>
                <w:color w:val="auto"/>
                <w:sz w:val="18"/>
                <w:szCs w:val="18"/>
              </w:rPr>
              <w:t>注</w:t>
            </w:r>
            <w:r>
              <w:rPr>
                <w:rFonts w:hint="eastAsia"/>
                <w:b/>
                <w:color w:val="auto"/>
                <w:sz w:val="18"/>
                <w:szCs w:val="18"/>
              </w:rPr>
              <w:t>7</w:t>
            </w:r>
            <w:r>
              <w:rPr>
                <w:rFonts w:hint="eastAsia"/>
                <w:color w:val="auto"/>
                <w:sz w:val="18"/>
                <w:szCs w:val="18"/>
              </w:rPr>
              <w:t>：当边坡岩体较完整、结构面结合差或很差、外倾结构面或外倾不同结构面的组合线倾角27</w:t>
            </w:r>
            <w:r>
              <w:rPr>
                <w:color w:val="auto"/>
                <w:sz w:val="18"/>
                <w:szCs w:val="18"/>
              </w:rPr>
              <w:t>°～75°</w:t>
            </w:r>
            <w:r>
              <w:rPr>
                <w:rFonts w:hint="eastAsia"/>
                <w:color w:val="auto"/>
                <w:sz w:val="18"/>
                <w:szCs w:val="18"/>
              </w:rPr>
              <w:t>，结构面贯通性差时，可划为Ⅲ类</w:t>
            </w:r>
            <w:r>
              <w:rPr>
                <w:color w:val="auto"/>
                <w:sz w:val="18"/>
                <w:szCs w:val="18"/>
              </w:rPr>
              <w:t>。</w:t>
            </w:r>
          </w:p>
          <w:p w14:paraId="51816433">
            <w:pPr>
              <w:adjustRightInd w:val="0"/>
              <w:snapToGrid w:val="0"/>
              <w:rPr>
                <w:color w:val="auto"/>
                <w:sz w:val="18"/>
                <w:szCs w:val="18"/>
              </w:rPr>
            </w:pPr>
            <w:r>
              <w:rPr>
                <w:color w:val="auto"/>
                <w:sz w:val="18"/>
                <w:szCs w:val="18"/>
              </w:rPr>
              <w:t>注</w:t>
            </w:r>
            <w:r>
              <w:rPr>
                <w:rFonts w:hint="eastAsia"/>
                <w:color w:val="auto"/>
                <w:sz w:val="18"/>
                <w:szCs w:val="18"/>
              </w:rPr>
              <w:t>8：当有贯通性较好的外倾结构面时应验算该结构面破坏的稳定性。</w:t>
            </w:r>
          </w:p>
        </w:tc>
      </w:tr>
    </w:tbl>
    <w:p w14:paraId="31E7566B">
      <w:pPr>
        <w:adjustRightInd w:val="0"/>
        <w:snapToGrid w:val="0"/>
        <w:spacing w:before="120" w:line="360" w:lineRule="atLeast"/>
        <w:jc w:val="center"/>
        <w:rPr>
          <w:rFonts w:eastAsia="黑体"/>
          <w:b/>
          <w:bCs/>
          <w:color w:val="auto"/>
          <w:szCs w:val="21"/>
        </w:rPr>
      </w:pPr>
    </w:p>
    <w:p w14:paraId="2BA41451">
      <w:pPr>
        <w:adjustRightInd w:val="0"/>
        <w:snapToGrid w:val="0"/>
        <w:spacing w:before="120" w:line="360" w:lineRule="atLeast"/>
        <w:jc w:val="center"/>
        <w:rPr>
          <w:rFonts w:eastAsia="黑体"/>
          <w:b/>
          <w:bCs/>
          <w:color w:val="auto"/>
          <w:szCs w:val="21"/>
        </w:rPr>
      </w:pPr>
      <w:r>
        <w:rPr>
          <w:rFonts w:eastAsia="黑体"/>
          <w:b/>
          <w:bCs/>
          <w:color w:val="auto"/>
          <w:szCs w:val="21"/>
        </w:rPr>
        <w:t>表33   岩质边坡岩体完整程度划分</w:t>
      </w:r>
    </w:p>
    <w:tbl>
      <w:tblPr>
        <w:tblStyle w:val="36"/>
        <w:tblW w:w="91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4"/>
        <w:gridCol w:w="784"/>
        <w:gridCol w:w="1358"/>
        <w:gridCol w:w="2625"/>
        <w:gridCol w:w="1373"/>
        <w:gridCol w:w="1737"/>
      </w:tblGrid>
      <w:tr w14:paraId="278607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 w:hRule="atLeast"/>
          <w:jc w:val="center"/>
        </w:trPr>
        <w:tc>
          <w:tcPr>
            <w:tcW w:w="1234" w:type="dxa"/>
            <w:vMerge w:val="restart"/>
            <w:vAlign w:val="center"/>
          </w:tcPr>
          <w:p w14:paraId="5E3DBF81">
            <w:pPr>
              <w:adjustRightInd w:val="0"/>
              <w:snapToGrid w:val="0"/>
              <w:ind w:left="-1" w:leftChars="-67" w:right="-107" w:rightChars="-51" w:hanging="140" w:hangingChars="78"/>
              <w:jc w:val="center"/>
              <w:rPr>
                <w:color w:val="auto"/>
                <w:sz w:val="18"/>
                <w:szCs w:val="18"/>
              </w:rPr>
            </w:pPr>
            <w:r>
              <w:rPr>
                <w:color w:val="auto"/>
                <w:sz w:val="18"/>
                <w:szCs w:val="18"/>
              </w:rPr>
              <w:t>岩体完整程度</w:t>
            </w:r>
          </w:p>
        </w:tc>
        <w:tc>
          <w:tcPr>
            <w:tcW w:w="2142" w:type="dxa"/>
            <w:gridSpan w:val="2"/>
            <w:vAlign w:val="center"/>
          </w:tcPr>
          <w:p w14:paraId="48363D3F">
            <w:pPr>
              <w:adjustRightInd w:val="0"/>
              <w:snapToGrid w:val="0"/>
              <w:spacing w:line="260" w:lineRule="atLeast"/>
              <w:jc w:val="center"/>
              <w:rPr>
                <w:color w:val="auto"/>
                <w:sz w:val="18"/>
                <w:szCs w:val="18"/>
              </w:rPr>
            </w:pPr>
            <w:r>
              <w:rPr>
                <w:color w:val="auto"/>
                <w:sz w:val="18"/>
                <w:szCs w:val="18"/>
              </w:rPr>
              <w:t>结构面发育程度</w:t>
            </w:r>
          </w:p>
        </w:tc>
        <w:tc>
          <w:tcPr>
            <w:tcW w:w="2625" w:type="dxa"/>
            <w:vMerge w:val="restart"/>
            <w:vAlign w:val="center"/>
          </w:tcPr>
          <w:p w14:paraId="6B8EAABF">
            <w:pPr>
              <w:adjustRightInd w:val="0"/>
              <w:snapToGrid w:val="0"/>
              <w:spacing w:line="300" w:lineRule="atLeast"/>
              <w:jc w:val="center"/>
              <w:rPr>
                <w:color w:val="auto"/>
                <w:sz w:val="18"/>
                <w:szCs w:val="18"/>
              </w:rPr>
            </w:pPr>
            <w:r>
              <w:rPr>
                <w:color w:val="auto"/>
                <w:sz w:val="18"/>
                <w:szCs w:val="18"/>
              </w:rPr>
              <w:t>结 构 类 型</w:t>
            </w:r>
          </w:p>
        </w:tc>
        <w:tc>
          <w:tcPr>
            <w:tcW w:w="1373" w:type="dxa"/>
            <w:vMerge w:val="restart"/>
            <w:vAlign w:val="center"/>
          </w:tcPr>
          <w:p w14:paraId="58371F5C">
            <w:pPr>
              <w:adjustRightInd w:val="0"/>
              <w:snapToGrid w:val="0"/>
              <w:jc w:val="center"/>
              <w:rPr>
                <w:color w:val="auto"/>
                <w:sz w:val="18"/>
                <w:szCs w:val="18"/>
              </w:rPr>
            </w:pPr>
            <w:r>
              <w:rPr>
                <w:color w:val="auto"/>
                <w:sz w:val="18"/>
                <w:szCs w:val="18"/>
              </w:rPr>
              <w:t>完整性指数</w:t>
            </w:r>
            <w:r>
              <w:rPr>
                <w:i/>
                <w:color w:val="auto"/>
                <w:sz w:val="18"/>
                <w:szCs w:val="18"/>
              </w:rPr>
              <w:t>K</w:t>
            </w:r>
            <w:r>
              <w:rPr>
                <w:iCs/>
                <w:color w:val="auto"/>
                <w:sz w:val="18"/>
                <w:szCs w:val="18"/>
                <w:vertAlign w:val="subscript"/>
              </w:rPr>
              <w:t>v</w:t>
            </w:r>
          </w:p>
        </w:tc>
        <w:tc>
          <w:tcPr>
            <w:tcW w:w="1737" w:type="dxa"/>
            <w:vMerge w:val="restart"/>
            <w:vAlign w:val="center"/>
          </w:tcPr>
          <w:p w14:paraId="06DF6FBD">
            <w:pPr>
              <w:adjustRightInd w:val="0"/>
              <w:snapToGrid w:val="0"/>
              <w:jc w:val="center"/>
              <w:rPr>
                <w:color w:val="auto"/>
                <w:sz w:val="18"/>
                <w:szCs w:val="18"/>
              </w:rPr>
            </w:pPr>
            <w:r>
              <w:rPr>
                <w:color w:val="auto"/>
                <w:sz w:val="18"/>
                <w:szCs w:val="18"/>
              </w:rPr>
              <w:t>岩体体积结构面数</w:t>
            </w:r>
          </w:p>
        </w:tc>
      </w:tr>
      <w:tr w14:paraId="27721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0" w:hRule="atLeast"/>
          <w:jc w:val="center"/>
        </w:trPr>
        <w:tc>
          <w:tcPr>
            <w:tcW w:w="1234" w:type="dxa"/>
            <w:vMerge w:val="continue"/>
            <w:vAlign w:val="center"/>
          </w:tcPr>
          <w:p w14:paraId="096E5E3C">
            <w:pPr>
              <w:adjustRightInd w:val="0"/>
              <w:snapToGrid w:val="0"/>
              <w:jc w:val="center"/>
              <w:rPr>
                <w:color w:val="auto"/>
                <w:sz w:val="18"/>
                <w:szCs w:val="18"/>
              </w:rPr>
            </w:pPr>
          </w:p>
        </w:tc>
        <w:tc>
          <w:tcPr>
            <w:tcW w:w="784" w:type="dxa"/>
            <w:vAlign w:val="center"/>
          </w:tcPr>
          <w:p w14:paraId="20B14A22">
            <w:pPr>
              <w:pStyle w:val="24"/>
              <w:pBdr>
                <w:bottom w:val="none" w:color="auto" w:sz="0" w:space="0"/>
              </w:pBdr>
              <w:tabs>
                <w:tab w:val="clear" w:pos="4153"/>
                <w:tab w:val="clear" w:pos="8306"/>
              </w:tabs>
              <w:spacing w:line="260" w:lineRule="atLeast"/>
              <w:rPr>
                <w:color w:val="auto"/>
              </w:rPr>
            </w:pPr>
            <w:r>
              <w:rPr>
                <w:color w:val="auto"/>
              </w:rPr>
              <w:t>组数</w:t>
            </w:r>
          </w:p>
        </w:tc>
        <w:tc>
          <w:tcPr>
            <w:tcW w:w="1358" w:type="dxa"/>
            <w:vAlign w:val="center"/>
          </w:tcPr>
          <w:p w14:paraId="73D876D8">
            <w:pPr>
              <w:adjustRightInd w:val="0"/>
              <w:snapToGrid w:val="0"/>
              <w:spacing w:line="260" w:lineRule="atLeast"/>
              <w:ind w:left="19" w:leftChars="-44" w:right="-71" w:rightChars="-34" w:hanging="111" w:hangingChars="62"/>
              <w:jc w:val="center"/>
              <w:rPr>
                <w:color w:val="auto"/>
                <w:sz w:val="18"/>
                <w:szCs w:val="18"/>
              </w:rPr>
            </w:pPr>
            <w:r>
              <w:rPr>
                <w:color w:val="auto"/>
                <w:sz w:val="18"/>
                <w:szCs w:val="18"/>
              </w:rPr>
              <w:t>平均间距（</w:t>
            </w:r>
            <w:r>
              <w:rPr>
                <w:iCs/>
                <w:color w:val="auto"/>
                <w:sz w:val="18"/>
                <w:szCs w:val="18"/>
              </w:rPr>
              <w:t>m）</w:t>
            </w:r>
          </w:p>
        </w:tc>
        <w:tc>
          <w:tcPr>
            <w:tcW w:w="2625" w:type="dxa"/>
            <w:vMerge w:val="continue"/>
            <w:vAlign w:val="center"/>
          </w:tcPr>
          <w:p w14:paraId="47EEBE1E">
            <w:pPr>
              <w:adjustRightInd w:val="0"/>
              <w:snapToGrid w:val="0"/>
              <w:spacing w:line="300" w:lineRule="atLeast"/>
              <w:jc w:val="center"/>
              <w:rPr>
                <w:color w:val="auto"/>
                <w:sz w:val="18"/>
                <w:szCs w:val="18"/>
              </w:rPr>
            </w:pPr>
          </w:p>
        </w:tc>
        <w:tc>
          <w:tcPr>
            <w:tcW w:w="1373" w:type="dxa"/>
            <w:vMerge w:val="continue"/>
            <w:vAlign w:val="center"/>
          </w:tcPr>
          <w:p w14:paraId="06841103">
            <w:pPr>
              <w:adjustRightInd w:val="0"/>
              <w:snapToGrid w:val="0"/>
              <w:jc w:val="center"/>
              <w:rPr>
                <w:color w:val="auto"/>
                <w:sz w:val="18"/>
                <w:szCs w:val="18"/>
              </w:rPr>
            </w:pPr>
          </w:p>
        </w:tc>
        <w:tc>
          <w:tcPr>
            <w:tcW w:w="1737" w:type="dxa"/>
            <w:vMerge w:val="continue"/>
            <w:vAlign w:val="center"/>
          </w:tcPr>
          <w:p w14:paraId="5553D930">
            <w:pPr>
              <w:adjustRightInd w:val="0"/>
              <w:snapToGrid w:val="0"/>
              <w:jc w:val="center"/>
              <w:rPr>
                <w:color w:val="auto"/>
                <w:sz w:val="18"/>
                <w:szCs w:val="18"/>
              </w:rPr>
            </w:pPr>
          </w:p>
        </w:tc>
      </w:tr>
      <w:tr w14:paraId="3F391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 w:hRule="atLeast"/>
          <w:jc w:val="center"/>
        </w:trPr>
        <w:tc>
          <w:tcPr>
            <w:tcW w:w="1234" w:type="dxa"/>
            <w:vAlign w:val="center"/>
          </w:tcPr>
          <w:p w14:paraId="0D3334D6">
            <w:pPr>
              <w:adjustRightInd w:val="0"/>
              <w:snapToGrid w:val="0"/>
              <w:spacing w:line="260" w:lineRule="exact"/>
              <w:jc w:val="center"/>
              <w:rPr>
                <w:color w:val="auto"/>
                <w:sz w:val="18"/>
                <w:szCs w:val="18"/>
              </w:rPr>
            </w:pPr>
            <w:r>
              <w:rPr>
                <w:color w:val="auto"/>
                <w:sz w:val="18"/>
                <w:szCs w:val="18"/>
              </w:rPr>
              <w:t>完整</w:t>
            </w:r>
          </w:p>
        </w:tc>
        <w:tc>
          <w:tcPr>
            <w:tcW w:w="784" w:type="dxa"/>
            <w:vAlign w:val="center"/>
          </w:tcPr>
          <w:p w14:paraId="4A68CE59">
            <w:pPr>
              <w:adjustRightInd w:val="0"/>
              <w:snapToGrid w:val="0"/>
              <w:spacing w:line="260" w:lineRule="exact"/>
              <w:jc w:val="center"/>
              <w:rPr>
                <w:color w:val="auto"/>
                <w:sz w:val="18"/>
                <w:szCs w:val="18"/>
              </w:rPr>
            </w:pPr>
            <w:r>
              <w:rPr>
                <w:color w:val="auto"/>
                <w:sz w:val="18"/>
                <w:szCs w:val="18"/>
              </w:rPr>
              <w:t>1～2</w:t>
            </w:r>
          </w:p>
        </w:tc>
        <w:tc>
          <w:tcPr>
            <w:tcW w:w="1358" w:type="dxa"/>
            <w:vAlign w:val="center"/>
          </w:tcPr>
          <w:p w14:paraId="448DCBB3">
            <w:pPr>
              <w:adjustRightInd w:val="0"/>
              <w:snapToGrid w:val="0"/>
              <w:spacing w:line="260" w:lineRule="exact"/>
              <w:jc w:val="center"/>
              <w:rPr>
                <w:color w:val="auto"/>
                <w:sz w:val="18"/>
                <w:szCs w:val="18"/>
              </w:rPr>
            </w:pPr>
            <w:r>
              <w:rPr>
                <w:color w:val="auto"/>
                <w:sz w:val="18"/>
                <w:szCs w:val="18"/>
              </w:rPr>
              <w:t>＞1.0</w:t>
            </w:r>
          </w:p>
        </w:tc>
        <w:tc>
          <w:tcPr>
            <w:tcW w:w="2625" w:type="dxa"/>
            <w:vAlign w:val="center"/>
          </w:tcPr>
          <w:p w14:paraId="1DD3DCEE">
            <w:pPr>
              <w:adjustRightInd w:val="0"/>
              <w:snapToGrid w:val="0"/>
              <w:spacing w:line="260" w:lineRule="exact"/>
              <w:jc w:val="center"/>
              <w:rPr>
                <w:color w:val="auto"/>
                <w:sz w:val="18"/>
                <w:szCs w:val="18"/>
              </w:rPr>
            </w:pPr>
            <w:r>
              <w:rPr>
                <w:color w:val="auto"/>
                <w:sz w:val="18"/>
                <w:szCs w:val="18"/>
              </w:rPr>
              <w:t>整体状</w:t>
            </w:r>
          </w:p>
        </w:tc>
        <w:tc>
          <w:tcPr>
            <w:tcW w:w="1373" w:type="dxa"/>
            <w:vAlign w:val="center"/>
          </w:tcPr>
          <w:p w14:paraId="4B8B61E9">
            <w:pPr>
              <w:adjustRightInd w:val="0"/>
              <w:snapToGrid w:val="0"/>
              <w:spacing w:line="260" w:lineRule="exact"/>
              <w:jc w:val="center"/>
              <w:rPr>
                <w:color w:val="auto"/>
                <w:sz w:val="18"/>
                <w:szCs w:val="18"/>
              </w:rPr>
            </w:pPr>
            <w:r>
              <w:rPr>
                <w:color w:val="auto"/>
                <w:sz w:val="18"/>
                <w:szCs w:val="18"/>
              </w:rPr>
              <w:t>＞0.75</w:t>
            </w:r>
          </w:p>
        </w:tc>
        <w:tc>
          <w:tcPr>
            <w:tcW w:w="1737" w:type="dxa"/>
            <w:vAlign w:val="center"/>
          </w:tcPr>
          <w:p w14:paraId="2F3ECE03">
            <w:pPr>
              <w:adjustRightInd w:val="0"/>
              <w:snapToGrid w:val="0"/>
              <w:spacing w:line="260" w:lineRule="exact"/>
              <w:jc w:val="center"/>
              <w:rPr>
                <w:color w:val="auto"/>
                <w:sz w:val="18"/>
                <w:szCs w:val="18"/>
              </w:rPr>
            </w:pPr>
            <w:r>
              <w:rPr>
                <w:color w:val="auto"/>
                <w:sz w:val="18"/>
                <w:szCs w:val="18"/>
              </w:rPr>
              <w:t>＜3</w:t>
            </w:r>
          </w:p>
        </w:tc>
      </w:tr>
      <w:tr w14:paraId="352D2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 w:hRule="atLeast"/>
          <w:jc w:val="center"/>
        </w:trPr>
        <w:tc>
          <w:tcPr>
            <w:tcW w:w="1234" w:type="dxa"/>
            <w:vAlign w:val="center"/>
          </w:tcPr>
          <w:p w14:paraId="0C64D765">
            <w:pPr>
              <w:adjustRightInd w:val="0"/>
              <w:snapToGrid w:val="0"/>
              <w:jc w:val="center"/>
              <w:rPr>
                <w:color w:val="auto"/>
                <w:sz w:val="18"/>
                <w:szCs w:val="18"/>
              </w:rPr>
            </w:pPr>
            <w:r>
              <w:rPr>
                <w:color w:val="auto"/>
                <w:sz w:val="18"/>
                <w:szCs w:val="18"/>
              </w:rPr>
              <w:t>较完整</w:t>
            </w:r>
          </w:p>
        </w:tc>
        <w:tc>
          <w:tcPr>
            <w:tcW w:w="784" w:type="dxa"/>
            <w:vAlign w:val="center"/>
          </w:tcPr>
          <w:p w14:paraId="47C3C2C8">
            <w:pPr>
              <w:adjustRightInd w:val="0"/>
              <w:snapToGrid w:val="0"/>
              <w:jc w:val="center"/>
              <w:rPr>
                <w:color w:val="auto"/>
                <w:sz w:val="18"/>
                <w:szCs w:val="18"/>
              </w:rPr>
            </w:pPr>
            <w:r>
              <w:rPr>
                <w:color w:val="auto"/>
                <w:sz w:val="18"/>
                <w:szCs w:val="18"/>
              </w:rPr>
              <w:t>2～3</w:t>
            </w:r>
          </w:p>
        </w:tc>
        <w:tc>
          <w:tcPr>
            <w:tcW w:w="1358" w:type="dxa"/>
            <w:vAlign w:val="center"/>
          </w:tcPr>
          <w:p w14:paraId="2B23B304">
            <w:pPr>
              <w:adjustRightInd w:val="0"/>
              <w:snapToGrid w:val="0"/>
              <w:jc w:val="center"/>
              <w:rPr>
                <w:color w:val="auto"/>
                <w:sz w:val="18"/>
                <w:szCs w:val="18"/>
              </w:rPr>
            </w:pPr>
            <w:r>
              <w:rPr>
                <w:color w:val="auto"/>
                <w:sz w:val="18"/>
                <w:szCs w:val="18"/>
              </w:rPr>
              <w:t>1.0～0.3</w:t>
            </w:r>
          </w:p>
        </w:tc>
        <w:tc>
          <w:tcPr>
            <w:tcW w:w="2625" w:type="dxa"/>
            <w:vAlign w:val="center"/>
          </w:tcPr>
          <w:p w14:paraId="1F908BE7">
            <w:pPr>
              <w:adjustRightInd w:val="0"/>
              <w:snapToGrid w:val="0"/>
              <w:rPr>
                <w:color w:val="auto"/>
                <w:sz w:val="18"/>
                <w:szCs w:val="18"/>
              </w:rPr>
            </w:pPr>
            <w:r>
              <w:rPr>
                <w:color w:val="auto"/>
                <w:sz w:val="18"/>
                <w:szCs w:val="18"/>
              </w:rPr>
              <w:t>厚层状结构、块状结构、层状结构和镶嵌碎裂结构</w:t>
            </w:r>
          </w:p>
        </w:tc>
        <w:tc>
          <w:tcPr>
            <w:tcW w:w="1373" w:type="dxa"/>
            <w:vAlign w:val="center"/>
          </w:tcPr>
          <w:p w14:paraId="50FA55E3">
            <w:pPr>
              <w:adjustRightInd w:val="0"/>
              <w:snapToGrid w:val="0"/>
              <w:jc w:val="center"/>
              <w:rPr>
                <w:color w:val="auto"/>
                <w:sz w:val="18"/>
                <w:szCs w:val="18"/>
              </w:rPr>
            </w:pPr>
            <w:r>
              <w:rPr>
                <w:color w:val="auto"/>
                <w:sz w:val="18"/>
                <w:szCs w:val="18"/>
              </w:rPr>
              <w:t>0.75～0.35</w:t>
            </w:r>
          </w:p>
        </w:tc>
        <w:tc>
          <w:tcPr>
            <w:tcW w:w="1737" w:type="dxa"/>
            <w:vAlign w:val="center"/>
          </w:tcPr>
          <w:p w14:paraId="6CEDA27A">
            <w:pPr>
              <w:adjustRightInd w:val="0"/>
              <w:snapToGrid w:val="0"/>
              <w:jc w:val="center"/>
              <w:rPr>
                <w:color w:val="auto"/>
                <w:sz w:val="18"/>
                <w:szCs w:val="18"/>
              </w:rPr>
            </w:pPr>
            <w:r>
              <w:rPr>
                <w:color w:val="auto"/>
                <w:sz w:val="18"/>
                <w:szCs w:val="18"/>
              </w:rPr>
              <w:t>3～20</w:t>
            </w:r>
          </w:p>
        </w:tc>
      </w:tr>
      <w:tr w14:paraId="14FE9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 w:hRule="atLeast"/>
          <w:jc w:val="center"/>
        </w:trPr>
        <w:tc>
          <w:tcPr>
            <w:tcW w:w="1234" w:type="dxa"/>
            <w:vAlign w:val="center"/>
          </w:tcPr>
          <w:p w14:paraId="4FC5A753">
            <w:pPr>
              <w:adjustRightInd w:val="0"/>
              <w:snapToGrid w:val="0"/>
              <w:jc w:val="center"/>
              <w:rPr>
                <w:color w:val="auto"/>
                <w:sz w:val="18"/>
                <w:szCs w:val="18"/>
              </w:rPr>
            </w:pPr>
            <w:r>
              <w:rPr>
                <w:color w:val="auto"/>
                <w:sz w:val="18"/>
                <w:szCs w:val="18"/>
              </w:rPr>
              <w:t>不完整</w:t>
            </w:r>
          </w:p>
        </w:tc>
        <w:tc>
          <w:tcPr>
            <w:tcW w:w="784" w:type="dxa"/>
            <w:vAlign w:val="center"/>
          </w:tcPr>
          <w:p w14:paraId="26198A86">
            <w:pPr>
              <w:adjustRightInd w:val="0"/>
              <w:snapToGrid w:val="0"/>
              <w:jc w:val="center"/>
              <w:rPr>
                <w:color w:val="auto"/>
                <w:sz w:val="18"/>
                <w:szCs w:val="18"/>
              </w:rPr>
            </w:pPr>
            <w:r>
              <w:rPr>
                <w:color w:val="auto"/>
                <w:sz w:val="18"/>
                <w:szCs w:val="18"/>
              </w:rPr>
              <w:t>＞3</w:t>
            </w:r>
          </w:p>
        </w:tc>
        <w:tc>
          <w:tcPr>
            <w:tcW w:w="1358" w:type="dxa"/>
            <w:vAlign w:val="center"/>
          </w:tcPr>
          <w:p w14:paraId="54DD1591">
            <w:pPr>
              <w:adjustRightInd w:val="0"/>
              <w:snapToGrid w:val="0"/>
              <w:jc w:val="center"/>
              <w:rPr>
                <w:color w:val="auto"/>
                <w:sz w:val="18"/>
                <w:szCs w:val="18"/>
              </w:rPr>
            </w:pPr>
            <w:r>
              <w:rPr>
                <w:color w:val="auto"/>
                <w:sz w:val="18"/>
                <w:szCs w:val="18"/>
              </w:rPr>
              <w:t>＜0.3</w:t>
            </w:r>
          </w:p>
        </w:tc>
        <w:tc>
          <w:tcPr>
            <w:tcW w:w="2625" w:type="dxa"/>
            <w:vAlign w:val="center"/>
          </w:tcPr>
          <w:p w14:paraId="2CE33B46">
            <w:pPr>
              <w:adjustRightInd w:val="0"/>
              <w:snapToGrid w:val="0"/>
              <w:rPr>
                <w:color w:val="auto"/>
                <w:sz w:val="18"/>
                <w:szCs w:val="18"/>
              </w:rPr>
            </w:pPr>
            <w:r>
              <w:rPr>
                <w:color w:val="auto"/>
                <w:sz w:val="18"/>
                <w:szCs w:val="18"/>
              </w:rPr>
              <w:t>裂隙块状结构、碎裂结构、散体结构</w:t>
            </w:r>
          </w:p>
        </w:tc>
        <w:tc>
          <w:tcPr>
            <w:tcW w:w="1373" w:type="dxa"/>
            <w:vAlign w:val="center"/>
          </w:tcPr>
          <w:p w14:paraId="562597AD">
            <w:pPr>
              <w:adjustRightInd w:val="0"/>
              <w:snapToGrid w:val="0"/>
              <w:jc w:val="center"/>
              <w:rPr>
                <w:color w:val="auto"/>
                <w:sz w:val="18"/>
                <w:szCs w:val="18"/>
              </w:rPr>
            </w:pPr>
            <w:r>
              <w:rPr>
                <w:color w:val="auto"/>
                <w:sz w:val="18"/>
                <w:szCs w:val="18"/>
              </w:rPr>
              <w:t>＜0.35</w:t>
            </w:r>
          </w:p>
        </w:tc>
        <w:tc>
          <w:tcPr>
            <w:tcW w:w="1737" w:type="dxa"/>
            <w:vAlign w:val="center"/>
          </w:tcPr>
          <w:p w14:paraId="4DF176C3">
            <w:pPr>
              <w:adjustRightInd w:val="0"/>
              <w:snapToGrid w:val="0"/>
              <w:jc w:val="center"/>
              <w:rPr>
                <w:color w:val="auto"/>
                <w:sz w:val="18"/>
                <w:szCs w:val="18"/>
              </w:rPr>
            </w:pPr>
            <w:r>
              <w:rPr>
                <w:color w:val="auto"/>
                <w:sz w:val="18"/>
                <w:szCs w:val="18"/>
              </w:rPr>
              <w:t>＞20</w:t>
            </w:r>
          </w:p>
        </w:tc>
      </w:tr>
      <w:tr w14:paraId="36053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1" w:hRule="atLeast"/>
          <w:jc w:val="center"/>
        </w:trPr>
        <w:tc>
          <w:tcPr>
            <w:tcW w:w="9111" w:type="dxa"/>
            <w:gridSpan w:val="6"/>
            <w:vAlign w:val="center"/>
          </w:tcPr>
          <w:p w14:paraId="1C42B740">
            <w:pPr>
              <w:adjustRightInd w:val="0"/>
              <w:snapToGrid w:val="0"/>
              <w:ind w:left="453" w:leftChars="-1" w:hanging="455" w:hangingChars="253"/>
              <w:rPr>
                <w:color w:val="auto"/>
                <w:sz w:val="18"/>
                <w:szCs w:val="18"/>
              </w:rPr>
            </w:pPr>
            <w:r>
              <w:rPr>
                <w:color w:val="auto"/>
                <w:sz w:val="18"/>
                <w:szCs w:val="18"/>
              </w:rPr>
              <w:t>注</w:t>
            </w:r>
            <w:r>
              <w:rPr>
                <w:b/>
                <w:color w:val="auto"/>
                <w:sz w:val="18"/>
                <w:szCs w:val="18"/>
              </w:rPr>
              <w:t>1</w:t>
            </w:r>
            <w:r>
              <w:rPr>
                <w:rFonts w:hint="eastAsia"/>
                <w:b/>
                <w:color w:val="auto"/>
                <w:sz w:val="18"/>
                <w:szCs w:val="18"/>
              </w:rPr>
              <w:t>:</w:t>
            </w:r>
            <w:r>
              <w:rPr>
                <w:rFonts w:hint="eastAsia"/>
                <w:color w:val="auto"/>
                <w:sz w:val="18"/>
                <w:szCs w:val="18"/>
              </w:rPr>
              <w:t xml:space="preserve"> </w:t>
            </w:r>
            <w:r>
              <w:rPr>
                <w:color w:val="auto"/>
                <w:sz w:val="18"/>
                <w:szCs w:val="18"/>
              </w:rPr>
              <w:t>结构类型的划分应符合现行国家标准</w:t>
            </w:r>
            <w:r>
              <w:rPr>
                <w:iCs/>
                <w:color w:val="auto"/>
                <w:sz w:val="18"/>
                <w:szCs w:val="18"/>
              </w:rPr>
              <w:t>GB</w:t>
            </w:r>
            <w:r>
              <w:rPr>
                <w:rFonts w:hint="eastAsia"/>
                <w:iCs/>
                <w:color w:val="auto"/>
                <w:sz w:val="18"/>
                <w:szCs w:val="18"/>
                <w:lang w:val="en-US" w:eastAsia="zh-CN"/>
              </w:rPr>
              <w:t xml:space="preserve"> </w:t>
            </w:r>
            <w:r>
              <w:rPr>
                <w:color w:val="auto"/>
                <w:sz w:val="18"/>
                <w:szCs w:val="18"/>
              </w:rPr>
              <w:t>50021的有关规定；镶嵌碎裂结构为碎裂结构中碎块较大且相互咬合、稳定性相对较好的一种类型；</w:t>
            </w:r>
          </w:p>
          <w:p w14:paraId="794E2F68">
            <w:pPr>
              <w:adjustRightInd w:val="0"/>
              <w:snapToGrid w:val="0"/>
              <w:rPr>
                <w:color w:val="auto"/>
                <w:sz w:val="18"/>
                <w:szCs w:val="18"/>
              </w:rPr>
            </w:pPr>
            <w:r>
              <w:rPr>
                <w:color w:val="auto"/>
                <w:sz w:val="18"/>
                <w:szCs w:val="18"/>
              </w:rPr>
              <w:t>注</w:t>
            </w:r>
            <w:r>
              <w:rPr>
                <w:b/>
                <w:color w:val="auto"/>
                <w:sz w:val="18"/>
                <w:szCs w:val="18"/>
              </w:rPr>
              <w:t>2</w:t>
            </w:r>
            <w:r>
              <w:rPr>
                <w:rFonts w:hint="eastAsia"/>
                <w:b/>
                <w:color w:val="auto"/>
                <w:sz w:val="18"/>
                <w:szCs w:val="18"/>
              </w:rPr>
              <w:t>:</w:t>
            </w:r>
            <w:r>
              <w:rPr>
                <w:rFonts w:hint="eastAsia"/>
                <w:color w:val="auto"/>
                <w:sz w:val="18"/>
                <w:szCs w:val="18"/>
              </w:rPr>
              <w:t xml:space="preserve"> </w:t>
            </w:r>
            <w:r>
              <w:rPr>
                <w:color w:val="auto"/>
                <w:sz w:val="18"/>
                <w:szCs w:val="18"/>
              </w:rPr>
              <w:t>岩体体积结构面数系指单位体积内的结构面数目（条/</w:t>
            </w:r>
            <w:r>
              <w:rPr>
                <w:iCs/>
                <w:color w:val="auto"/>
                <w:sz w:val="18"/>
                <w:szCs w:val="18"/>
              </w:rPr>
              <w:t>m</w:t>
            </w:r>
            <w:r>
              <w:rPr>
                <w:iCs/>
                <w:color w:val="auto"/>
                <w:sz w:val="18"/>
                <w:szCs w:val="18"/>
                <w:vertAlign w:val="superscript"/>
              </w:rPr>
              <w:t>3</w:t>
            </w:r>
            <w:r>
              <w:rPr>
                <w:iCs/>
                <w:color w:val="auto"/>
                <w:sz w:val="18"/>
                <w:szCs w:val="18"/>
              </w:rPr>
              <w:t>）</w:t>
            </w:r>
            <w:r>
              <w:rPr>
                <w:color w:val="auto"/>
                <w:sz w:val="18"/>
                <w:szCs w:val="18"/>
              </w:rPr>
              <w:t>。</w:t>
            </w:r>
          </w:p>
        </w:tc>
      </w:tr>
    </w:tbl>
    <w:p w14:paraId="5DCA0A8E">
      <w:pPr>
        <w:adjustRightInd w:val="0"/>
        <w:snapToGrid w:val="0"/>
        <w:spacing w:line="340" w:lineRule="exact"/>
        <w:rPr>
          <w:color w:val="auto"/>
          <w:szCs w:val="21"/>
        </w:rPr>
      </w:pPr>
      <w:r>
        <w:rPr>
          <w:b/>
          <w:bCs/>
          <w:color w:val="auto"/>
          <w:szCs w:val="21"/>
        </w:rPr>
        <w:t>10.5.</w:t>
      </w:r>
      <w:r>
        <w:rPr>
          <w:rFonts w:hint="eastAsia"/>
          <w:b/>
          <w:bCs/>
          <w:color w:val="auto"/>
          <w:szCs w:val="21"/>
        </w:rPr>
        <w:t>4</w:t>
      </w:r>
      <w:r>
        <w:rPr>
          <w:color w:val="auto"/>
          <w:szCs w:val="21"/>
        </w:rPr>
        <w:t xml:space="preserve">  破坏后果很严重、严重的下列边坡工程，其安全等级应定为一级：</w:t>
      </w:r>
    </w:p>
    <w:p w14:paraId="4D492B39">
      <w:pPr>
        <w:adjustRightInd w:val="0"/>
        <w:snapToGrid w:val="0"/>
        <w:spacing w:line="340" w:lineRule="exact"/>
        <w:ind w:firstLine="420" w:firstLineChars="200"/>
        <w:rPr>
          <w:color w:val="auto"/>
          <w:szCs w:val="21"/>
        </w:rPr>
      </w:pPr>
      <w:r>
        <w:rPr>
          <w:color w:val="auto"/>
          <w:szCs w:val="21"/>
        </w:rPr>
        <w:t>a)  由外倾软弱结构面控制的边坡工程；</w:t>
      </w:r>
    </w:p>
    <w:p w14:paraId="188F7BCB">
      <w:pPr>
        <w:adjustRightInd w:val="0"/>
        <w:snapToGrid w:val="0"/>
        <w:spacing w:line="340" w:lineRule="exact"/>
        <w:ind w:firstLine="420" w:firstLineChars="200"/>
        <w:rPr>
          <w:color w:val="auto"/>
          <w:szCs w:val="21"/>
        </w:rPr>
      </w:pPr>
      <w:r>
        <w:rPr>
          <w:color w:val="auto"/>
          <w:szCs w:val="21"/>
        </w:rPr>
        <w:t xml:space="preserve">b)  </w:t>
      </w:r>
      <w:r>
        <w:rPr>
          <w:rFonts w:hint="eastAsia"/>
          <w:color w:val="auto"/>
          <w:szCs w:val="21"/>
        </w:rPr>
        <w:t>工程</w:t>
      </w:r>
      <w:r>
        <w:rPr>
          <w:color w:val="auto"/>
          <w:szCs w:val="21"/>
        </w:rPr>
        <w:t>滑坡地段的边坡工程；</w:t>
      </w:r>
    </w:p>
    <w:p w14:paraId="00773A97">
      <w:pPr>
        <w:adjustRightInd w:val="0"/>
        <w:snapToGrid w:val="0"/>
        <w:spacing w:line="340" w:lineRule="exact"/>
        <w:ind w:firstLine="420" w:firstLineChars="200"/>
        <w:rPr>
          <w:color w:val="auto"/>
          <w:szCs w:val="21"/>
        </w:rPr>
      </w:pPr>
      <w:r>
        <w:rPr>
          <w:color w:val="auto"/>
          <w:szCs w:val="21"/>
        </w:rPr>
        <w:t>c)  边坡塌滑区有重要建</w:t>
      </w:r>
      <w:r>
        <w:rPr>
          <w:rFonts w:hint="eastAsia"/>
          <w:color w:val="auto"/>
          <w:szCs w:val="21"/>
        </w:rPr>
        <w:t>（构）</w:t>
      </w:r>
      <w:r>
        <w:rPr>
          <w:color w:val="auto"/>
          <w:szCs w:val="21"/>
        </w:rPr>
        <w:t>筑物的边坡工程。</w:t>
      </w:r>
    </w:p>
    <w:p w14:paraId="7B4CE8D5">
      <w:pPr>
        <w:adjustRightInd w:val="0"/>
        <w:snapToGrid w:val="0"/>
        <w:spacing w:line="340" w:lineRule="exact"/>
        <w:rPr>
          <w:rFonts w:eastAsia="黑体"/>
          <w:b/>
          <w:bCs/>
          <w:color w:val="auto"/>
          <w:szCs w:val="21"/>
        </w:rPr>
      </w:pPr>
      <w:r>
        <w:rPr>
          <w:b/>
          <w:bCs/>
          <w:color w:val="auto"/>
          <w:szCs w:val="21"/>
        </w:rPr>
        <w:t>10.5.</w:t>
      </w:r>
      <w:r>
        <w:rPr>
          <w:rFonts w:hint="eastAsia"/>
          <w:b/>
          <w:bCs/>
          <w:color w:val="auto"/>
          <w:szCs w:val="21"/>
        </w:rPr>
        <w:t>5</w:t>
      </w:r>
      <w:r>
        <w:rPr>
          <w:b/>
          <w:bCs/>
          <w:color w:val="auto"/>
          <w:szCs w:val="21"/>
        </w:rPr>
        <w:t xml:space="preserve"> </w:t>
      </w:r>
      <w:r>
        <w:rPr>
          <w:b/>
          <w:color w:val="auto"/>
          <w:szCs w:val="21"/>
        </w:rPr>
        <w:t xml:space="preserve"> </w:t>
      </w:r>
      <w:r>
        <w:rPr>
          <w:rFonts w:hint="eastAsia"/>
          <w:color w:val="auto"/>
          <w:szCs w:val="21"/>
        </w:rPr>
        <w:t>边坡支护结构设计时应进行下列计算和验算</w:t>
      </w:r>
      <w:r>
        <w:rPr>
          <w:color w:val="auto"/>
          <w:szCs w:val="21"/>
        </w:rPr>
        <w:t>：</w:t>
      </w:r>
    </w:p>
    <w:p w14:paraId="6ABC3A8C">
      <w:pPr>
        <w:adjustRightInd w:val="0"/>
        <w:snapToGrid w:val="0"/>
        <w:spacing w:line="340" w:lineRule="exact"/>
        <w:ind w:firstLine="420" w:firstLineChars="200"/>
        <w:rPr>
          <w:bCs/>
          <w:color w:val="auto"/>
          <w:szCs w:val="21"/>
        </w:rPr>
      </w:pPr>
      <w:r>
        <w:rPr>
          <w:bCs/>
          <w:color w:val="auto"/>
          <w:szCs w:val="21"/>
        </w:rPr>
        <w:t xml:space="preserve">a) </w:t>
      </w:r>
      <w:r>
        <w:rPr>
          <w:rFonts w:hint="eastAsia"/>
          <w:bCs/>
          <w:color w:val="auto"/>
          <w:szCs w:val="21"/>
        </w:rPr>
        <w:t>支护结构上的作用荷载计算；</w:t>
      </w:r>
    </w:p>
    <w:p w14:paraId="64CECD03">
      <w:pPr>
        <w:adjustRightInd w:val="0"/>
        <w:snapToGrid w:val="0"/>
        <w:spacing w:line="340" w:lineRule="exact"/>
        <w:ind w:firstLine="422" w:firstLineChars="200"/>
        <w:rPr>
          <w:color w:val="auto"/>
          <w:szCs w:val="21"/>
        </w:rPr>
      </w:pPr>
      <w:r>
        <w:rPr>
          <w:b/>
          <w:bCs/>
          <w:color w:val="auto"/>
          <w:szCs w:val="21"/>
        </w:rPr>
        <w:t xml:space="preserve">b) </w:t>
      </w:r>
      <w:r>
        <w:rPr>
          <w:bCs/>
          <w:color w:val="auto"/>
          <w:szCs w:val="21"/>
        </w:rPr>
        <w:t xml:space="preserve"> </w:t>
      </w:r>
      <w:r>
        <w:rPr>
          <w:rFonts w:hint="eastAsia"/>
          <w:color w:val="auto"/>
          <w:szCs w:val="21"/>
        </w:rPr>
        <w:t>支护结构及其基础的抗压、抗弯、抗剪、局部抗压承载力的计算；支护结构基础的地基承载力计算</w:t>
      </w:r>
      <w:r>
        <w:rPr>
          <w:color w:val="auto"/>
          <w:szCs w:val="21"/>
        </w:rPr>
        <w:t>；</w:t>
      </w:r>
    </w:p>
    <w:p w14:paraId="5D9F8042">
      <w:pPr>
        <w:adjustRightInd w:val="0"/>
        <w:snapToGrid w:val="0"/>
        <w:spacing w:line="340" w:lineRule="exact"/>
        <w:ind w:firstLine="422" w:firstLineChars="200"/>
        <w:rPr>
          <w:rFonts w:eastAsia="黑体"/>
          <w:b/>
          <w:bCs/>
          <w:color w:val="auto"/>
          <w:szCs w:val="21"/>
        </w:rPr>
      </w:pPr>
      <w:r>
        <w:rPr>
          <w:b/>
          <w:bCs/>
          <w:color w:val="auto"/>
          <w:szCs w:val="21"/>
        </w:rPr>
        <w:t>c)</w:t>
      </w:r>
      <w:r>
        <w:rPr>
          <w:rFonts w:eastAsia="黑体"/>
          <w:b/>
          <w:bCs/>
          <w:color w:val="auto"/>
          <w:szCs w:val="21"/>
        </w:rPr>
        <w:t xml:space="preserve">  </w:t>
      </w:r>
      <w:r>
        <w:rPr>
          <w:rFonts w:hint="eastAsia"/>
          <w:color w:val="auto"/>
          <w:szCs w:val="21"/>
        </w:rPr>
        <w:t>锚杆锚固体的抗拔承载力及锚杆杆体抗拉承载力的计算</w:t>
      </w:r>
      <w:r>
        <w:rPr>
          <w:color w:val="auto"/>
          <w:szCs w:val="21"/>
        </w:rPr>
        <w:t>；</w:t>
      </w:r>
    </w:p>
    <w:p w14:paraId="429DC2FB">
      <w:pPr>
        <w:adjustRightInd w:val="0"/>
        <w:snapToGrid w:val="0"/>
        <w:spacing w:line="340" w:lineRule="exact"/>
        <w:ind w:firstLine="413" w:firstLineChars="196"/>
        <w:rPr>
          <w:color w:val="auto"/>
          <w:szCs w:val="21"/>
        </w:rPr>
      </w:pPr>
      <w:r>
        <w:rPr>
          <w:b/>
          <w:bCs/>
          <w:color w:val="auto"/>
          <w:szCs w:val="21"/>
        </w:rPr>
        <w:t>d)</w:t>
      </w:r>
      <w:r>
        <w:rPr>
          <w:rFonts w:eastAsia="黑体"/>
          <w:b/>
          <w:bCs/>
          <w:color w:val="auto"/>
          <w:szCs w:val="21"/>
        </w:rPr>
        <w:t xml:space="preserve">  </w:t>
      </w:r>
      <w:r>
        <w:rPr>
          <w:rFonts w:hint="eastAsia"/>
          <w:color w:val="auto"/>
          <w:szCs w:val="21"/>
        </w:rPr>
        <w:t>支护结构稳定性验算；</w:t>
      </w:r>
    </w:p>
    <w:p w14:paraId="761506A8">
      <w:pPr>
        <w:adjustRightInd w:val="0"/>
        <w:snapToGrid w:val="0"/>
        <w:spacing w:line="340" w:lineRule="exact"/>
        <w:ind w:firstLine="411" w:firstLineChars="196"/>
        <w:rPr>
          <w:bCs/>
          <w:color w:val="auto"/>
          <w:szCs w:val="21"/>
        </w:rPr>
      </w:pPr>
      <w:r>
        <w:rPr>
          <w:color w:val="auto"/>
          <w:szCs w:val="21"/>
        </w:rPr>
        <w:t xml:space="preserve">e)  </w:t>
      </w:r>
      <w:r>
        <w:rPr>
          <w:rFonts w:hint="eastAsia"/>
          <w:color w:val="auto"/>
          <w:szCs w:val="21"/>
        </w:rPr>
        <w:t>对边坡变形有控制要求的支护结构变形分析计算。</w:t>
      </w:r>
    </w:p>
    <w:p w14:paraId="658D5A8A">
      <w:pPr>
        <w:adjustRightInd w:val="0"/>
        <w:snapToGrid w:val="0"/>
        <w:spacing w:line="340" w:lineRule="exact"/>
        <w:rPr>
          <w:bCs/>
          <w:color w:val="auto"/>
          <w:szCs w:val="21"/>
        </w:rPr>
      </w:pPr>
      <w:r>
        <w:rPr>
          <w:b/>
          <w:bCs/>
          <w:color w:val="auto"/>
          <w:szCs w:val="21"/>
        </w:rPr>
        <w:t>10.5.</w:t>
      </w:r>
      <w:r>
        <w:rPr>
          <w:rFonts w:hint="eastAsia"/>
          <w:b/>
          <w:bCs/>
          <w:color w:val="auto"/>
          <w:szCs w:val="21"/>
        </w:rPr>
        <w:t>6</w:t>
      </w:r>
      <w:r>
        <w:rPr>
          <w:b/>
          <w:color w:val="auto"/>
          <w:szCs w:val="21"/>
        </w:rPr>
        <w:t xml:space="preserve">  </w:t>
      </w:r>
      <w:r>
        <w:rPr>
          <w:bCs/>
          <w:color w:val="auto"/>
          <w:szCs w:val="21"/>
        </w:rPr>
        <w:t>边坡塌滑区范围可按</w:t>
      </w:r>
      <w:r>
        <w:rPr>
          <w:rFonts w:hint="eastAsia"/>
          <w:color w:val="auto"/>
          <w:lang w:val="en-US" w:eastAsia="zh-CN"/>
        </w:rPr>
        <w:t>公式（52）</w:t>
      </w:r>
      <w:r>
        <w:rPr>
          <w:bCs/>
          <w:color w:val="auto"/>
          <w:szCs w:val="21"/>
        </w:rPr>
        <w:t>估算：</w:t>
      </w:r>
    </w:p>
    <w:p w14:paraId="2EB337C6">
      <w:pPr>
        <w:pStyle w:val="12"/>
        <w:jc w:val="right"/>
        <w:rPr>
          <w:bCs/>
          <w:color w:val="auto"/>
          <w:szCs w:val="21"/>
        </w:rPr>
      </w:pPr>
      <w:r>
        <w:rPr>
          <w:bCs/>
          <w:color w:val="auto"/>
          <w:position w:val="-28"/>
          <w:szCs w:val="21"/>
        </w:rPr>
        <w:object>
          <v:shape id="_x0000_i1234" o:spt="75" type="#_x0000_t75" style="height:36pt;width:36pt;" o:ole="t" filled="f" o:preferrelative="t" stroked="f" coordsize="21600,21600">
            <v:path/>
            <v:fill on="f" focussize="0,0"/>
            <v:stroke on="f" joinstyle="miter"/>
            <v:imagedata r:id="rId410" o:title=""/>
            <o:lock v:ext="edit" aspectratio="t"/>
            <w10:wrap type="none"/>
            <w10:anchorlock/>
          </v:shape>
          <o:OLEObject Type="Embed" ProgID="Equation.DSMT4" ShapeID="_x0000_i1234" DrawAspect="Content" ObjectID="_1468075934" r:id="rId409">
            <o:LockedField>false</o:LockedField>
          </o:OLEObject>
        </w:object>
      </w:r>
      <w:r>
        <w:rPr>
          <w:bCs/>
          <w:color w:val="auto"/>
          <w:szCs w:val="21"/>
        </w:rPr>
        <w:t xml:space="preserve">                                 (</w:t>
      </w:r>
      <w:r>
        <w:rPr>
          <w:bCs/>
          <w:color w:val="auto"/>
          <w:szCs w:val="21"/>
        </w:rPr>
        <w:fldChar w:fldCharType="begin"/>
      </w:r>
      <w:r>
        <w:rPr>
          <w:bCs/>
          <w:color w:val="auto"/>
          <w:szCs w:val="21"/>
        </w:rPr>
        <w:instrText xml:space="preserve"> SEQ Equation \* ARABIC </w:instrText>
      </w:r>
      <w:r>
        <w:rPr>
          <w:bCs/>
          <w:color w:val="auto"/>
          <w:szCs w:val="21"/>
        </w:rPr>
        <w:fldChar w:fldCharType="separate"/>
      </w:r>
      <w:r>
        <w:rPr>
          <w:bCs/>
          <w:color w:val="auto"/>
          <w:szCs w:val="21"/>
        </w:rPr>
        <w:t>52</w:t>
      </w:r>
      <w:r>
        <w:rPr>
          <w:bCs/>
          <w:color w:val="auto"/>
          <w:szCs w:val="21"/>
        </w:rPr>
        <w:fldChar w:fldCharType="end"/>
      </w:r>
      <w:r>
        <w:rPr>
          <w:bCs/>
          <w:color w:val="auto"/>
          <w:szCs w:val="21"/>
        </w:rPr>
        <w:t>)</w:t>
      </w:r>
    </w:p>
    <w:p w14:paraId="1052AE67">
      <w:pPr>
        <w:adjustRightInd w:val="0"/>
        <w:snapToGrid w:val="0"/>
        <w:spacing w:line="340" w:lineRule="exact"/>
        <w:rPr>
          <w:bCs/>
          <w:color w:val="auto"/>
          <w:szCs w:val="21"/>
        </w:rPr>
      </w:pPr>
      <w:r>
        <w:rPr>
          <w:bCs/>
          <w:color w:val="auto"/>
          <w:szCs w:val="21"/>
        </w:rPr>
        <w:t xml:space="preserve">式中  </w:t>
      </w:r>
      <w:r>
        <w:rPr>
          <w:bCs/>
          <w:i/>
          <w:color w:val="auto"/>
          <w:szCs w:val="21"/>
        </w:rPr>
        <w:t>L</w:t>
      </w:r>
      <w:r>
        <w:rPr>
          <w:bCs/>
          <w:color w:val="auto"/>
          <w:szCs w:val="21"/>
        </w:rPr>
        <w:t>——边坡顶塌滑区边缘至坡底边缘的水平投影距离（</w:t>
      </w:r>
      <w:r>
        <w:rPr>
          <w:bCs/>
          <w:iCs/>
          <w:color w:val="auto"/>
          <w:szCs w:val="21"/>
        </w:rPr>
        <w:t>m</w:t>
      </w:r>
      <w:r>
        <w:rPr>
          <w:bCs/>
          <w:color w:val="auto"/>
          <w:szCs w:val="21"/>
        </w:rPr>
        <w:t>）；</w:t>
      </w:r>
    </w:p>
    <w:p w14:paraId="1A732646">
      <w:pPr>
        <w:adjustRightInd w:val="0"/>
        <w:snapToGrid w:val="0"/>
        <w:spacing w:line="340" w:lineRule="exact"/>
        <w:ind w:firstLine="616"/>
        <w:rPr>
          <w:bCs/>
          <w:color w:val="auto"/>
          <w:szCs w:val="21"/>
        </w:rPr>
      </w:pPr>
      <w:r>
        <w:rPr>
          <w:bCs/>
          <w:i/>
          <w:color w:val="auto"/>
          <w:szCs w:val="21"/>
        </w:rPr>
        <w:t>H</w:t>
      </w:r>
      <w:r>
        <w:rPr>
          <w:bCs/>
          <w:color w:val="auto"/>
          <w:szCs w:val="21"/>
        </w:rPr>
        <w:t>——边坡高度（</w:t>
      </w:r>
      <w:r>
        <w:rPr>
          <w:bCs/>
          <w:iCs/>
          <w:color w:val="auto"/>
          <w:szCs w:val="21"/>
        </w:rPr>
        <w:t>m</w:t>
      </w:r>
      <w:r>
        <w:rPr>
          <w:bCs/>
          <w:color w:val="auto"/>
          <w:szCs w:val="21"/>
        </w:rPr>
        <w:t>）；</w:t>
      </w:r>
    </w:p>
    <w:p w14:paraId="1217EE06">
      <w:pPr>
        <w:adjustRightInd w:val="0"/>
        <w:snapToGrid w:val="0"/>
        <w:spacing w:line="340" w:lineRule="exact"/>
        <w:ind w:left="1201" w:leftChars="279" w:hanging="615" w:hangingChars="293"/>
        <w:rPr>
          <w:bCs/>
          <w:color w:val="auto"/>
          <w:szCs w:val="21"/>
        </w:rPr>
      </w:pPr>
      <w:r>
        <w:rPr>
          <w:bCs/>
          <w:i/>
          <w:color w:val="auto"/>
          <w:position w:val="-6"/>
          <w:szCs w:val="21"/>
        </w:rPr>
        <w:object>
          <v:shape id="_x0000_i1235" o:spt="75" type="#_x0000_t75" style="height:14.25pt;width:7.5pt;" o:ole="t" filled="f" o:preferrelative="t" stroked="f" coordsize="21600,21600">
            <v:path/>
            <v:fill on="f" focussize="0,0"/>
            <v:stroke on="f" joinstyle="miter"/>
            <v:imagedata r:id="rId412" o:title=""/>
            <o:lock v:ext="edit" aspectratio="t"/>
            <w10:wrap type="none"/>
            <w10:anchorlock/>
          </v:shape>
          <o:OLEObject Type="Embed" ProgID="Equation.DSMT4" ShapeID="_x0000_i1235" DrawAspect="Content" ObjectID="_1468075935" r:id="rId411">
            <o:LockedField>false</o:LockedField>
          </o:OLEObject>
        </w:object>
      </w:r>
      <w:r>
        <w:rPr>
          <w:bCs/>
          <w:color w:val="auto"/>
          <w:szCs w:val="21"/>
        </w:rPr>
        <w:t>——</w:t>
      </w:r>
      <w:r>
        <w:rPr>
          <w:rFonts w:hint="eastAsia"/>
          <w:bCs/>
          <w:color w:val="auto"/>
          <w:szCs w:val="21"/>
        </w:rPr>
        <w:t>坡顶无荷载时</w:t>
      </w:r>
      <w:r>
        <w:rPr>
          <w:bCs/>
          <w:color w:val="auto"/>
          <w:szCs w:val="21"/>
        </w:rPr>
        <w:t>边坡的破裂角（°）。对于</w:t>
      </w:r>
      <w:r>
        <w:rPr>
          <w:rFonts w:hint="eastAsia"/>
          <w:bCs/>
          <w:color w:val="auto"/>
          <w:szCs w:val="21"/>
        </w:rPr>
        <w:t>直立</w:t>
      </w:r>
      <w:r>
        <w:rPr>
          <w:bCs/>
          <w:color w:val="auto"/>
          <w:szCs w:val="21"/>
        </w:rPr>
        <w:t>土质边坡可取45°+</w:t>
      </w:r>
      <w:r>
        <w:rPr>
          <w:bCs/>
          <w:color w:val="auto"/>
          <w:position w:val="-10"/>
          <w:szCs w:val="21"/>
        </w:rPr>
        <w:object>
          <v:shape id="_x0000_i1236" o:spt="75" type="#_x0000_t75" style="height:14.25pt;width:7.5pt;" o:ole="t" filled="f" o:preferrelative="t" stroked="f" coordsize="21600,21600">
            <v:path/>
            <v:fill on="f" focussize="0,0"/>
            <v:stroke on="f" joinstyle="miter"/>
            <v:imagedata r:id="rId414" o:title=""/>
            <o:lock v:ext="edit" aspectratio="t"/>
            <w10:wrap type="none"/>
            <w10:anchorlock/>
          </v:shape>
          <o:OLEObject Type="Embed" ProgID="Equation.DSMT4" ShapeID="_x0000_i1236" DrawAspect="Content" ObjectID="_1468075936" r:id="rId413">
            <o:LockedField>false</o:LockedField>
          </o:OLEObject>
        </w:object>
      </w:r>
      <w:r>
        <w:rPr>
          <w:bCs/>
          <w:color w:val="auto"/>
          <w:szCs w:val="21"/>
        </w:rPr>
        <w:t>/2，</w:t>
      </w:r>
      <w:r>
        <w:rPr>
          <w:rFonts w:hint="eastAsia"/>
          <w:bCs/>
          <w:color w:val="auto"/>
          <w:szCs w:val="21"/>
        </w:rPr>
        <w:t>对斜面土质边坡，可取</w:t>
      </w:r>
      <w:r>
        <w:rPr>
          <w:bCs/>
          <w:color w:val="auto"/>
          <w:position w:val="-10"/>
          <w:szCs w:val="21"/>
        </w:rPr>
        <w:object>
          <v:shape id="_x0000_i1237" o:spt="75" type="#_x0000_t75" style="height:14.25pt;width:43.5pt;" o:ole="t" filled="f" o:preferrelative="t" stroked="f" coordsize="21600,21600">
            <v:path/>
            <v:fill on="f" focussize="0,0"/>
            <v:stroke on="f" joinstyle="miter"/>
            <v:imagedata r:id="rId416" o:title=""/>
            <o:lock v:ext="edit" aspectratio="t"/>
            <w10:wrap type="none"/>
            <w10:anchorlock/>
          </v:shape>
          <o:OLEObject Type="Embed" ProgID="Equation.DSMT4" ShapeID="_x0000_i1237" DrawAspect="Content" ObjectID="_1468075937" r:id="rId415">
            <o:LockedField>false</o:LockedField>
          </o:OLEObject>
        </w:object>
      </w:r>
      <w:r>
        <w:rPr>
          <w:rFonts w:hint="eastAsia"/>
          <w:bCs/>
          <w:color w:val="auto"/>
          <w:szCs w:val="21"/>
        </w:rPr>
        <w:t>，</w:t>
      </w:r>
      <w:r>
        <w:rPr>
          <w:bCs/>
          <w:color w:val="auto"/>
          <w:szCs w:val="21"/>
        </w:rPr>
        <w:t xml:space="preserve"> </w:t>
      </w:r>
      <w:r>
        <w:rPr>
          <w:bCs/>
          <w:color w:val="auto"/>
          <w:position w:val="-10"/>
          <w:szCs w:val="21"/>
        </w:rPr>
        <w:object>
          <v:shape id="_x0000_i1238" o:spt="75" type="#_x0000_t75" style="height:15pt;width:8.25pt;" o:ole="t" filled="f" o:preferrelative="t" stroked="f" coordsize="21600,21600">
            <v:path/>
            <v:fill on="f" focussize="0,0"/>
            <v:stroke on="f" joinstyle="miter"/>
            <v:imagedata r:id="rId418" o:title=""/>
            <o:lock v:ext="edit" aspectratio="t"/>
            <w10:wrap type="none"/>
            <w10:anchorlock/>
          </v:shape>
          <o:OLEObject Type="Embed" ProgID="Equation.DSMT4" ShapeID="_x0000_i1238" DrawAspect="Content" ObjectID="_1468075938" r:id="rId417">
            <o:LockedField>false</o:LockedField>
          </o:OLEObject>
        </w:object>
      </w:r>
      <w:r>
        <w:rPr>
          <w:bCs/>
          <w:color w:val="auto"/>
          <w:szCs w:val="21"/>
        </w:rPr>
        <w:t>为土体的内摩擦角</w:t>
      </w:r>
      <w:r>
        <w:rPr>
          <w:rFonts w:hint="eastAsia"/>
          <w:bCs/>
          <w:color w:val="auto"/>
          <w:szCs w:val="21"/>
        </w:rPr>
        <w:t>，</w:t>
      </w:r>
      <w:r>
        <w:rPr>
          <w:color w:val="auto"/>
          <w:position w:val="-10"/>
        </w:rPr>
        <w:object>
          <v:shape id="_x0000_i1239" o:spt="75" type="#_x0000_t75" style="height:15pt;width:15pt;" o:ole="t" filled="f" o:preferrelative="t" stroked="f" coordsize="21600,21600">
            <v:path/>
            <v:fill on="f" focussize="0,0"/>
            <v:stroke on="f" joinstyle="miter"/>
            <v:imagedata r:id="rId420" o:title=""/>
            <o:lock v:ext="edit" aspectratio="t"/>
            <w10:wrap type="none"/>
            <w10:anchorlock/>
          </v:shape>
          <o:OLEObject Type="Embed" ProgID="Equation.DSMT4" ShapeID="_x0000_i1239" DrawAspect="Content" ObjectID="_1468075939" r:id="rId419">
            <o:LockedField>false</o:LockedField>
          </o:OLEObject>
        </w:object>
      </w:r>
      <w:r>
        <w:rPr>
          <w:rFonts w:hint="eastAsia"/>
          <w:color w:val="auto"/>
        </w:rPr>
        <w:t>为坡面与水平面夹角</w:t>
      </w:r>
      <w:r>
        <w:rPr>
          <w:bCs/>
          <w:color w:val="auto"/>
          <w:szCs w:val="21"/>
        </w:rPr>
        <w:t>；对于岩质边坡可按</w:t>
      </w:r>
      <w:r>
        <w:rPr>
          <w:bCs/>
          <w:iCs/>
          <w:color w:val="auto"/>
          <w:szCs w:val="21"/>
        </w:rPr>
        <w:t>GB</w:t>
      </w:r>
      <w:r>
        <w:rPr>
          <w:rFonts w:hint="eastAsia"/>
          <w:bCs/>
          <w:iCs/>
          <w:color w:val="auto"/>
          <w:szCs w:val="21"/>
          <w:lang w:val="en-US" w:eastAsia="zh-CN"/>
        </w:rPr>
        <w:t xml:space="preserve"> </w:t>
      </w:r>
      <w:r>
        <w:rPr>
          <w:bCs/>
          <w:color w:val="auto"/>
          <w:szCs w:val="21"/>
        </w:rPr>
        <w:t>50330的有关规定确定。</w:t>
      </w:r>
    </w:p>
    <w:p w14:paraId="1AC9D31B">
      <w:pPr>
        <w:adjustRightInd w:val="0"/>
        <w:snapToGrid w:val="0"/>
        <w:spacing w:line="340" w:lineRule="exact"/>
        <w:rPr>
          <w:color w:val="auto"/>
          <w:szCs w:val="21"/>
        </w:rPr>
      </w:pPr>
      <w:r>
        <w:rPr>
          <w:b/>
          <w:bCs/>
          <w:color w:val="auto"/>
          <w:szCs w:val="21"/>
        </w:rPr>
        <w:t>10.5.</w:t>
      </w:r>
      <w:r>
        <w:rPr>
          <w:rFonts w:hint="eastAsia"/>
          <w:b/>
          <w:bCs/>
          <w:color w:val="auto"/>
          <w:szCs w:val="21"/>
        </w:rPr>
        <w:t>7</w:t>
      </w:r>
      <w:r>
        <w:rPr>
          <w:b/>
          <w:color w:val="auto"/>
          <w:szCs w:val="21"/>
        </w:rPr>
        <w:t xml:space="preserve">  </w:t>
      </w:r>
      <w:r>
        <w:rPr>
          <w:rFonts w:hint="eastAsia"/>
          <w:color w:val="auto"/>
          <w:szCs w:val="21"/>
        </w:rPr>
        <w:t>岩体结构面抗剪强度指标的试验应符合国家现行标准GB/T 50266的有关规定。当无条件进行试验时，结构面的抗剪强度指标标准值在初步设计时可按表</w:t>
      </w:r>
      <w:r>
        <w:rPr>
          <w:color w:val="auto"/>
          <w:szCs w:val="21"/>
        </w:rPr>
        <w:t>34</w:t>
      </w:r>
      <w:r>
        <w:rPr>
          <w:rFonts w:hint="eastAsia"/>
          <w:color w:val="auto"/>
          <w:szCs w:val="21"/>
        </w:rPr>
        <w:t>并结合类似工程经验确定。</w:t>
      </w:r>
    </w:p>
    <w:p w14:paraId="7ACC4C61">
      <w:pPr>
        <w:adjustRightInd w:val="0"/>
        <w:snapToGrid w:val="0"/>
        <w:spacing w:before="120" w:line="360" w:lineRule="atLeast"/>
        <w:jc w:val="center"/>
        <w:rPr>
          <w:rFonts w:eastAsia="黑体"/>
          <w:b/>
          <w:bCs/>
          <w:color w:val="auto"/>
          <w:szCs w:val="21"/>
        </w:rPr>
      </w:pPr>
      <w:r>
        <w:rPr>
          <w:rFonts w:hint="eastAsia" w:eastAsia="黑体"/>
          <w:b/>
          <w:bCs/>
          <w:color w:val="auto"/>
          <w:szCs w:val="21"/>
        </w:rPr>
        <w:t>表</w:t>
      </w:r>
      <w:r>
        <w:rPr>
          <w:rFonts w:eastAsia="黑体"/>
          <w:b/>
          <w:bCs/>
          <w:color w:val="auto"/>
          <w:szCs w:val="21"/>
        </w:rPr>
        <w:t>34</w:t>
      </w:r>
      <w:r>
        <w:rPr>
          <w:rFonts w:hint="eastAsia" w:eastAsia="黑体"/>
          <w:b/>
          <w:bCs/>
          <w:color w:val="auto"/>
          <w:szCs w:val="21"/>
        </w:rPr>
        <w:t xml:space="preserve">  结构面抗剪强度指标标准值</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41"/>
        <w:gridCol w:w="742"/>
        <w:gridCol w:w="2127"/>
        <w:gridCol w:w="2351"/>
        <w:gridCol w:w="2606"/>
      </w:tblGrid>
      <w:tr w14:paraId="1CC896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083" w:type="dxa"/>
            <w:gridSpan w:val="2"/>
            <w:tcBorders>
              <w:top w:val="single" w:color="auto" w:sz="12" w:space="0"/>
              <w:left w:val="single" w:color="auto" w:sz="12" w:space="0"/>
              <w:bottom w:val="single" w:color="auto" w:sz="6" w:space="0"/>
            </w:tcBorders>
            <w:vAlign w:val="center"/>
          </w:tcPr>
          <w:p w14:paraId="46316D74">
            <w:pPr>
              <w:tabs>
                <w:tab w:val="center" w:pos="4153"/>
                <w:tab w:val="right" w:pos="8306"/>
              </w:tabs>
              <w:snapToGrid w:val="0"/>
              <w:jc w:val="center"/>
              <w:rPr>
                <w:color w:val="auto"/>
                <w:sz w:val="18"/>
                <w:szCs w:val="21"/>
              </w:rPr>
            </w:pPr>
            <w:r>
              <w:rPr>
                <w:color w:val="auto"/>
                <w:sz w:val="18"/>
                <w:szCs w:val="21"/>
              </w:rPr>
              <w:t>结构面类型</w:t>
            </w:r>
          </w:p>
        </w:tc>
        <w:tc>
          <w:tcPr>
            <w:tcW w:w="2127" w:type="dxa"/>
            <w:tcBorders>
              <w:top w:val="single" w:color="auto" w:sz="12" w:space="0"/>
              <w:bottom w:val="single" w:color="auto" w:sz="6" w:space="0"/>
            </w:tcBorders>
            <w:vAlign w:val="center"/>
          </w:tcPr>
          <w:p w14:paraId="5B3D866D">
            <w:pPr>
              <w:tabs>
                <w:tab w:val="center" w:pos="4153"/>
                <w:tab w:val="right" w:pos="8306"/>
              </w:tabs>
              <w:snapToGrid w:val="0"/>
              <w:jc w:val="center"/>
              <w:rPr>
                <w:color w:val="auto"/>
                <w:sz w:val="18"/>
                <w:szCs w:val="21"/>
              </w:rPr>
            </w:pPr>
            <w:r>
              <w:rPr>
                <w:color w:val="auto"/>
                <w:sz w:val="18"/>
                <w:szCs w:val="21"/>
              </w:rPr>
              <w:t>结构面结合程度</w:t>
            </w:r>
          </w:p>
        </w:tc>
        <w:tc>
          <w:tcPr>
            <w:tcW w:w="2351" w:type="dxa"/>
            <w:tcBorders>
              <w:top w:val="single" w:color="auto" w:sz="12" w:space="0"/>
              <w:bottom w:val="single" w:color="auto" w:sz="6" w:space="0"/>
            </w:tcBorders>
            <w:vAlign w:val="center"/>
          </w:tcPr>
          <w:p w14:paraId="47DE7165">
            <w:pPr>
              <w:tabs>
                <w:tab w:val="center" w:pos="4153"/>
                <w:tab w:val="right" w:pos="8306"/>
              </w:tabs>
              <w:snapToGrid w:val="0"/>
              <w:jc w:val="center"/>
              <w:rPr>
                <w:color w:val="auto"/>
                <w:sz w:val="18"/>
                <w:szCs w:val="21"/>
              </w:rPr>
            </w:pPr>
            <w:r>
              <w:rPr>
                <w:color w:val="auto"/>
                <w:sz w:val="18"/>
                <w:szCs w:val="21"/>
              </w:rPr>
              <w:t>内摩擦角</w:t>
            </w:r>
            <w:r>
              <w:rPr>
                <w:color w:val="auto"/>
                <w:position w:val="-10"/>
                <w:sz w:val="18"/>
                <w:szCs w:val="21"/>
              </w:rPr>
              <w:object>
                <v:shape id="_x0000_i1240" o:spt="75" type="#_x0000_t75" style="height:15pt;width:15pt;" o:ole="t" filled="f" o:preferrelative="t" stroked="f" coordsize="21600,21600">
                  <v:path/>
                  <v:fill on="f" focussize="0,0"/>
                  <v:stroke on="f" joinstyle="miter"/>
                  <v:imagedata r:id="rId422" o:title=""/>
                  <o:lock v:ext="edit" aspectratio="t"/>
                  <w10:wrap type="none"/>
                  <w10:anchorlock/>
                </v:shape>
                <o:OLEObject Type="Embed" ProgID="Equation.3" ShapeID="_x0000_i1240" DrawAspect="Content" ObjectID="_1468075940" r:id="rId421">
                  <o:LockedField>false</o:LockedField>
                </o:OLEObject>
              </w:object>
            </w:r>
            <w:r>
              <w:rPr>
                <w:color w:val="auto"/>
                <w:sz w:val="18"/>
                <w:szCs w:val="21"/>
              </w:rPr>
              <w:t>（°）</w:t>
            </w:r>
          </w:p>
        </w:tc>
        <w:tc>
          <w:tcPr>
            <w:tcW w:w="2606" w:type="dxa"/>
            <w:tcBorders>
              <w:top w:val="single" w:color="auto" w:sz="12" w:space="0"/>
              <w:bottom w:val="single" w:color="auto" w:sz="6" w:space="0"/>
              <w:right w:val="single" w:color="auto" w:sz="12" w:space="0"/>
            </w:tcBorders>
            <w:vAlign w:val="center"/>
          </w:tcPr>
          <w:p w14:paraId="0F1ED68A">
            <w:pPr>
              <w:tabs>
                <w:tab w:val="center" w:pos="4153"/>
                <w:tab w:val="right" w:pos="8306"/>
              </w:tabs>
              <w:snapToGrid w:val="0"/>
              <w:jc w:val="center"/>
              <w:rPr>
                <w:i/>
                <w:color w:val="auto"/>
                <w:sz w:val="18"/>
                <w:szCs w:val="21"/>
              </w:rPr>
            </w:pPr>
            <w:r>
              <w:rPr>
                <w:color w:val="auto"/>
                <w:sz w:val="18"/>
                <w:szCs w:val="21"/>
              </w:rPr>
              <w:t>黏聚力</w:t>
            </w:r>
            <w:r>
              <w:rPr>
                <w:i/>
                <w:color w:val="auto"/>
                <w:sz w:val="18"/>
                <w:szCs w:val="21"/>
              </w:rPr>
              <w:t>c</w:t>
            </w:r>
            <w:r>
              <w:rPr>
                <w:color w:val="auto"/>
                <w:sz w:val="18"/>
                <w:szCs w:val="21"/>
              </w:rPr>
              <w:t>（MPa）</w:t>
            </w:r>
          </w:p>
        </w:tc>
      </w:tr>
      <w:tr w14:paraId="764296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41" w:type="dxa"/>
            <w:vMerge w:val="restart"/>
            <w:tcBorders>
              <w:top w:val="single" w:color="auto" w:sz="6" w:space="0"/>
              <w:left w:val="single" w:color="auto" w:sz="12" w:space="0"/>
              <w:bottom w:val="single" w:color="auto" w:sz="6" w:space="0"/>
            </w:tcBorders>
            <w:vAlign w:val="center"/>
          </w:tcPr>
          <w:p w14:paraId="7DE805B1">
            <w:pPr>
              <w:tabs>
                <w:tab w:val="center" w:pos="4153"/>
                <w:tab w:val="right" w:pos="8306"/>
              </w:tabs>
              <w:snapToGrid w:val="0"/>
              <w:jc w:val="center"/>
              <w:rPr>
                <w:color w:val="auto"/>
                <w:sz w:val="18"/>
                <w:szCs w:val="21"/>
              </w:rPr>
            </w:pPr>
            <w:r>
              <w:rPr>
                <w:color w:val="auto"/>
                <w:sz w:val="18"/>
                <w:szCs w:val="21"/>
              </w:rPr>
              <w:t>硬性结构面</w:t>
            </w:r>
          </w:p>
        </w:tc>
        <w:tc>
          <w:tcPr>
            <w:tcW w:w="742" w:type="dxa"/>
            <w:tcBorders>
              <w:top w:val="single" w:color="auto" w:sz="6" w:space="0"/>
              <w:bottom w:val="single" w:color="auto" w:sz="6" w:space="0"/>
            </w:tcBorders>
            <w:vAlign w:val="center"/>
          </w:tcPr>
          <w:p w14:paraId="40902BE5">
            <w:pPr>
              <w:tabs>
                <w:tab w:val="center" w:pos="4153"/>
                <w:tab w:val="right" w:pos="8306"/>
              </w:tabs>
              <w:snapToGrid w:val="0"/>
              <w:jc w:val="center"/>
              <w:rPr>
                <w:color w:val="auto"/>
                <w:sz w:val="18"/>
                <w:szCs w:val="21"/>
              </w:rPr>
            </w:pPr>
            <w:r>
              <w:rPr>
                <w:color w:val="auto"/>
                <w:sz w:val="18"/>
                <w:szCs w:val="21"/>
              </w:rPr>
              <w:t>1</w:t>
            </w:r>
          </w:p>
        </w:tc>
        <w:tc>
          <w:tcPr>
            <w:tcW w:w="2127" w:type="dxa"/>
            <w:tcBorders>
              <w:top w:val="single" w:color="auto" w:sz="6" w:space="0"/>
              <w:bottom w:val="single" w:color="auto" w:sz="6" w:space="0"/>
            </w:tcBorders>
            <w:vAlign w:val="center"/>
          </w:tcPr>
          <w:p w14:paraId="752263EB">
            <w:pPr>
              <w:tabs>
                <w:tab w:val="center" w:pos="4153"/>
                <w:tab w:val="right" w:pos="8306"/>
              </w:tabs>
              <w:adjustRightInd w:val="0"/>
              <w:snapToGrid w:val="0"/>
              <w:jc w:val="center"/>
              <w:rPr>
                <w:color w:val="auto"/>
                <w:sz w:val="18"/>
                <w:szCs w:val="21"/>
              </w:rPr>
            </w:pPr>
            <w:r>
              <w:rPr>
                <w:color w:val="auto"/>
                <w:sz w:val="18"/>
                <w:szCs w:val="21"/>
              </w:rPr>
              <w:t>结合好</w:t>
            </w:r>
          </w:p>
        </w:tc>
        <w:tc>
          <w:tcPr>
            <w:tcW w:w="2351" w:type="dxa"/>
            <w:tcBorders>
              <w:top w:val="single" w:color="auto" w:sz="6" w:space="0"/>
              <w:bottom w:val="single" w:color="auto" w:sz="6" w:space="0"/>
            </w:tcBorders>
            <w:vAlign w:val="center"/>
          </w:tcPr>
          <w:p w14:paraId="2572523A">
            <w:pPr>
              <w:tabs>
                <w:tab w:val="center" w:pos="4153"/>
                <w:tab w:val="right" w:pos="8306"/>
              </w:tabs>
              <w:adjustRightInd w:val="0"/>
              <w:snapToGrid w:val="0"/>
              <w:jc w:val="center"/>
              <w:rPr>
                <w:color w:val="auto"/>
                <w:sz w:val="18"/>
                <w:szCs w:val="21"/>
              </w:rPr>
            </w:pPr>
            <w:r>
              <w:rPr>
                <w:color w:val="auto"/>
                <w:sz w:val="18"/>
                <w:szCs w:val="21"/>
              </w:rPr>
              <w:t>＞35</w:t>
            </w:r>
          </w:p>
        </w:tc>
        <w:tc>
          <w:tcPr>
            <w:tcW w:w="2606" w:type="dxa"/>
            <w:tcBorders>
              <w:top w:val="single" w:color="auto" w:sz="6" w:space="0"/>
              <w:bottom w:val="single" w:color="auto" w:sz="6" w:space="0"/>
              <w:right w:val="single" w:color="auto" w:sz="12" w:space="0"/>
            </w:tcBorders>
            <w:vAlign w:val="center"/>
          </w:tcPr>
          <w:p w14:paraId="1482C208">
            <w:pPr>
              <w:tabs>
                <w:tab w:val="center" w:pos="4153"/>
                <w:tab w:val="right" w:pos="8306"/>
              </w:tabs>
              <w:adjustRightInd w:val="0"/>
              <w:snapToGrid w:val="0"/>
              <w:jc w:val="center"/>
              <w:rPr>
                <w:color w:val="auto"/>
                <w:sz w:val="18"/>
                <w:szCs w:val="21"/>
              </w:rPr>
            </w:pPr>
            <w:r>
              <w:rPr>
                <w:color w:val="auto"/>
                <w:sz w:val="18"/>
                <w:szCs w:val="21"/>
              </w:rPr>
              <w:t>＞0.13</w:t>
            </w:r>
          </w:p>
        </w:tc>
      </w:tr>
      <w:tr w14:paraId="29CCF7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41" w:type="dxa"/>
            <w:vMerge w:val="continue"/>
            <w:tcBorders>
              <w:top w:val="single" w:color="auto" w:sz="6" w:space="0"/>
              <w:left w:val="single" w:color="auto" w:sz="12" w:space="0"/>
              <w:bottom w:val="single" w:color="auto" w:sz="6" w:space="0"/>
            </w:tcBorders>
            <w:vAlign w:val="center"/>
          </w:tcPr>
          <w:p w14:paraId="52F6D72D">
            <w:pPr>
              <w:tabs>
                <w:tab w:val="center" w:pos="4153"/>
                <w:tab w:val="right" w:pos="8306"/>
              </w:tabs>
              <w:snapToGrid w:val="0"/>
              <w:jc w:val="center"/>
              <w:rPr>
                <w:color w:val="auto"/>
                <w:sz w:val="18"/>
                <w:szCs w:val="21"/>
              </w:rPr>
            </w:pPr>
          </w:p>
        </w:tc>
        <w:tc>
          <w:tcPr>
            <w:tcW w:w="742" w:type="dxa"/>
            <w:tcBorders>
              <w:top w:val="single" w:color="auto" w:sz="6" w:space="0"/>
              <w:bottom w:val="single" w:color="auto" w:sz="6" w:space="0"/>
            </w:tcBorders>
            <w:vAlign w:val="center"/>
          </w:tcPr>
          <w:p w14:paraId="7F6D6611">
            <w:pPr>
              <w:tabs>
                <w:tab w:val="center" w:pos="4153"/>
                <w:tab w:val="right" w:pos="8306"/>
              </w:tabs>
              <w:snapToGrid w:val="0"/>
              <w:jc w:val="center"/>
              <w:rPr>
                <w:color w:val="auto"/>
                <w:sz w:val="18"/>
                <w:szCs w:val="21"/>
              </w:rPr>
            </w:pPr>
            <w:r>
              <w:rPr>
                <w:color w:val="auto"/>
                <w:sz w:val="18"/>
                <w:szCs w:val="21"/>
              </w:rPr>
              <w:t>2</w:t>
            </w:r>
          </w:p>
        </w:tc>
        <w:tc>
          <w:tcPr>
            <w:tcW w:w="2127" w:type="dxa"/>
            <w:tcBorders>
              <w:top w:val="single" w:color="auto" w:sz="6" w:space="0"/>
              <w:bottom w:val="single" w:color="auto" w:sz="6" w:space="0"/>
            </w:tcBorders>
            <w:vAlign w:val="center"/>
          </w:tcPr>
          <w:p w14:paraId="1DF80ADB">
            <w:pPr>
              <w:tabs>
                <w:tab w:val="center" w:pos="4153"/>
                <w:tab w:val="right" w:pos="8306"/>
              </w:tabs>
              <w:adjustRightInd w:val="0"/>
              <w:snapToGrid w:val="0"/>
              <w:jc w:val="center"/>
              <w:rPr>
                <w:color w:val="auto"/>
                <w:sz w:val="18"/>
                <w:szCs w:val="21"/>
              </w:rPr>
            </w:pPr>
            <w:r>
              <w:rPr>
                <w:color w:val="auto"/>
                <w:sz w:val="18"/>
                <w:szCs w:val="21"/>
              </w:rPr>
              <w:t>结合一般</w:t>
            </w:r>
          </w:p>
        </w:tc>
        <w:tc>
          <w:tcPr>
            <w:tcW w:w="2351" w:type="dxa"/>
            <w:tcBorders>
              <w:top w:val="single" w:color="auto" w:sz="6" w:space="0"/>
              <w:bottom w:val="single" w:color="auto" w:sz="6" w:space="0"/>
            </w:tcBorders>
            <w:vAlign w:val="center"/>
          </w:tcPr>
          <w:p w14:paraId="60CE5E9A">
            <w:pPr>
              <w:tabs>
                <w:tab w:val="center" w:pos="4153"/>
                <w:tab w:val="right" w:pos="8306"/>
              </w:tabs>
              <w:adjustRightInd w:val="0"/>
              <w:snapToGrid w:val="0"/>
              <w:jc w:val="center"/>
              <w:rPr>
                <w:color w:val="auto"/>
                <w:sz w:val="18"/>
                <w:szCs w:val="21"/>
              </w:rPr>
            </w:pPr>
            <w:r>
              <w:rPr>
                <w:color w:val="auto"/>
                <w:sz w:val="18"/>
                <w:szCs w:val="21"/>
              </w:rPr>
              <w:t>35~27</w:t>
            </w:r>
          </w:p>
        </w:tc>
        <w:tc>
          <w:tcPr>
            <w:tcW w:w="2606" w:type="dxa"/>
            <w:tcBorders>
              <w:top w:val="single" w:color="auto" w:sz="6" w:space="0"/>
              <w:bottom w:val="single" w:color="auto" w:sz="6" w:space="0"/>
              <w:right w:val="single" w:color="auto" w:sz="12" w:space="0"/>
            </w:tcBorders>
            <w:vAlign w:val="center"/>
          </w:tcPr>
          <w:p w14:paraId="73C60D79">
            <w:pPr>
              <w:tabs>
                <w:tab w:val="center" w:pos="4153"/>
                <w:tab w:val="right" w:pos="8306"/>
              </w:tabs>
              <w:adjustRightInd w:val="0"/>
              <w:snapToGrid w:val="0"/>
              <w:jc w:val="center"/>
              <w:rPr>
                <w:color w:val="auto"/>
                <w:sz w:val="18"/>
                <w:szCs w:val="21"/>
              </w:rPr>
            </w:pPr>
            <w:r>
              <w:rPr>
                <w:color w:val="auto"/>
                <w:sz w:val="18"/>
                <w:szCs w:val="21"/>
              </w:rPr>
              <w:t>0.13~0.09</w:t>
            </w:r>
          </w:p>
        </w:tc>
      </w:tr>
      <w:tr w14:paraId="38BBE1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41" w:type="dxa"/>
            <w:vMerge w:val="continue"/>
            <w:tcBorders>
              <w:top w:val="single" w:color="auto" w:sz="6" w:space="0"/>
              <w:left w:val="single" w:color="auto" w:sz="12" w:space="0"/>
              <w:bottom w:val="single" w:color="auto" w:sz="6" w:space="0"/>
            </w:tcBorders>
            <w:vAlign w:val="center"/>
          </w:tcPr>
          <w:p w14:paraId="4E98EF0F">
            <w:pPr>
              <w:tabs>
                <w:tab w:val="center" w:pos="4153"/>
                <w:tab w:val="right" w:pos="8306"/>
              </w:tabs>
              <w:snapToGrid w:val="0"/>
              <w:jc w:val="center"/>
              <w:rPr>
                <w:color w:val="auto"/>
                <w:sz w:val="18"/>
                <w:szCs w:val="21"/>
              </w:rPr>
            </w:pPr>
          </w:p>
        </w:tc>
        <w:tc>
          <w:tcPr>
            <w:tcW w:w="742" w:type="dxa"/>
            <w:tcBorders>
              <w:top w:val="single" w:color="auto" w:sz="6" w:space="0"/>
              <w:bottom w:val="single" w:color="auto" w:sz="6" w:space="0"/>
            </w:tcBorders>
            <w:vAlign w:val="center"/>
          </w:tcPr>
          <w:p w14:paraId="0C0D3E2D">
            <w:pPr>
              <w:tabs>
                <w:tab w:val="center" w:pos="4153"/>
                <w:tab w:val="right" w:pos="8306"/>
              </w:tabs>
              <w:snapToGrid w:val="0"/>
              <w:jc w:val="center"/>
              <w:rPr>
                <w:color w:val="auto"/>
                <w:sz w:val="18"/>
                <w:szCs w:val="21"/>
              </w:rPr>
            </w:pPr>
            <w:r>
              <w:rPr>
                <w:color w:val="auto"/>
                <w:sz w:val="18"/>
                <w:szCs w:val="21"/>
              </w:rPr>
              <w:t>3</w:t>
            </w:r>
          </w:p>
        </w:tc>
        <w:tc>
          <w:tcPr>
            <w:tcW w:w="2127" w:type="dxa"/>
            <w:tcBorders>
              <w:top w:val="single" w:color="auto" w:sz="6" w:space="0"/>
              <w:bottom w:val="single" w:color="auto" w:sz="6" w:space="0"/>
            </w:tcBorders>
            <w:vAlign w:val="center"/>
          </w:tcPr>
          <w:p w14:paraId="7A554FF7">
            <w:pPr>
              <w:tabs>
                <w:tab w:val="center" w:pos="4153"/>
                <w:tab w:val="right" w:pos="8306"/>
              </w:tabs>
              <w:adjustRightInd w:val="0"/>
              <w:snapToGrid w:val="0"/>
              <w:jc w:val="center"/>
              <w:rPr>
                <w:color w:val="auto"/>
                <w:sz w:val="18"/>
                <w:szCs w:val="21"/>
              </w:rPr>
            </w:pPr>
            <w:r>
              <w:rPr>
                <w:color w:val="auto"/>
                <w:sz w:val="18"/>
                <w:szCs w:val="21"/>
              </w:rPr>
              <w:t>结合差</w:t>
            </w:r>
          </w:p>
        </w:tc>
        <w:tc>
          <w:tcPr>
            <w:tcW w:w="2351" w:type="dxa"/>
            <w:tcBorders>
              <w:top w:val="single" w:color="auto" w:sz="6" w:space="0"/>
              <w:bottom w:val="single" w:color="auto" w:sz="6" w:space="0"/>
            </w:tcBorders>
            <w:vAlign w:val="center"/>
          </w:tcPr>
          <w:p w14:paraId="6B84D81A">
            <w:pPr>
              <w:tabs>
                <w:tab w:val="center" w:pos="4153"/>
                <w:tab w:val="right" w:pos="8306"/>
              </w:tabs>
              <w:adjustRightInd w:val="0"/>
              <w:snapToGrid w:val="0"/>
              <w:jc w:val="center"/>
              <w:rPr>
                <w:color w:val="auto"/>
                <w:sz w:val="18"/>
                <w:szCs w:val="21"/>
              </w:rPr>
            </w:pPr>
            <w:r>
              <w:rPr>
                <w:color w:val="auto"/>
                <w:sz w:val="18"/>
                <w:szCs w:val="21"/>
              </w:rPr>
              <w:t>27~18</w:t>
            </w:r>
          </w:p>
        </w:tc>
        <w:tc>
          <w:tcPr>
            <w:tcW w:w="2606" w:type="dxa"/>
            <w:tcBorders>
              <w:top w:val="single" w:color="auto" w:sz="6" w:space="0"/>
              <w:bottom w:val="single" w:color="auto" w:sz="6" w:space="0"/>
              <w:right w:val="single" w:color="auto" w:sz="12" w:space="0"/>
            </w:tcBorders>
            <w:vAlign w:val="center"/>
          </w:tcPr>
          <w:p w14:paraId="0238882B">
            <w:pPr>
              <w:tabs>
                <w:tab w:val="center" w:pos="4153"/>
                <w:tab w:val="right" w:pos="8306"/>
              </w:tabs>
              <w:adjustRightInd w:val="0"/>
              <w:snapToGrid w:val="0"/>
              <w:jc w:val="center"/>
              <w:rPr>
                <w:color w:val="auto"/>
                <w:sz w:val="18"/>
                <w:szCs w:val="21"/>
              </w:rPr>
            </w:pPr>
            <w:r>
              <w:rPr>
                <w:color w:val="auto"/>
                <w:sz w:val="18"/>
                <w:szCs w:val="21"/>
              </w:rPr>
              <w:t>0.09~0.05</w:t>
            </w:r>
          </w:p>
        </w:tc>
      </w:tr>
      <w:tr w14:paraId="0CCAAA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41" w:type="dxa"/>
            <w:vMerge w:val="restart"/>
            <w:tcBorders>
              <w:top w:val="single" w:color="auto" w:sz="6" w:space="0"/>
              <w:left w:val="single" w:color="auto" w:sz="12" w:space="0"/>
              <w:bottom w:val="single" w:color="auto" w:sz="6" w:space="0"/>
            </w:tcBorders>
            <w:vAlign w:val="center"/>
          </w:tcPr>
          <w:p w14:paraId="0CA3C949">
            <w:pPr>
              <w:tabs>
                <w:tab w:val="center" w:pos="4153"/>
                <w:tab w:val="right" w:pos="8306"/>
              </w:tabs>
              <w:snapToGrid w:val="0"/>
              <w:jc w:val="center"/>
              <w:rPr>
                <w:color w:val="auto"/>
                <w:sz w:val="18"/>
                <w:szCs w:val="21"/>
              </w:rPr>
            </w:pPr>
            <w:r>
              <w:rPr>
                <w:color w:val="auto"/>
                <w:sz w:val="18"/>
                <w:szCs w:val="21"/>
              </w:rPr>
              <w:t>软弱结构面</w:t>
            </w:r>
          </w:p>
        </w:tc>
        <w:tc>
          <w:tcPr>
            <w:tcW w:w="742" w:type="dxa"/>
            <w:tcBorders>
              <w:top w:val="single" w:color="auto" w:sz="6" w:space="0"/>
              <w:bottom w:val="single" w:color="auto" w:sz="6" w:space="0"/>
            </w:tcBorders>
            <w:vAlign w:val="center"/>
          </w:tcPr>
          <w:p w14:paraId="07B8A61D">
            <w:pPr>
              <w:tabs>
                <w:tab w:val="center" w:pos="4153"/>
                <w:tab w:val="right" w:pos="8306"/>
              </w:tabs>
              <w:snapToGrid w:val="0"/>
              <w:jc w:val="center"/>
              <w:rPr>
                <w:color w:val="auto"/>
                <w:sz w:val="18"/>
                <w:szCs w:val="21"/>
              </w:rPr>
            </w:pPr>
            <w:r>
              <w:rPr>
                <w:color w:val="auto"/>
                <w:sz w:val="18"/>
                <w:szCs w:val="21"/>
              </w:rPr>
              <w:t>4</w:t>
            </w:r>
          </w:p>
        </w:tc>
        <w:tc>
          <w:tcPr>
            <w:tcW w:w="2127" w:type="dxa"/>
            <w:tcBorders>
              <w:top w:val="single" w:color="auto" w:sz="6" w:space="0"/>
              <w:bottom w:val="single" w:color="auto" w:sz="6" w:space="0"/>
            </w:tcBorders>
            <w:vAlign w:val="center"/>
          </w:tcPr>
          <w:p w14:paraId="2E067C6D">
            <w:pPr>
              <w:tabs>
                <w:tab w:val="center" w:pos="4153"/>
                <w:tab w:val="right" w:pos="8306"/>
              </w:tabs>
              <w:adjustRightInd w:val="0"/>
              <w:snapToGrid w:val="0"/>
              <w:jc w:val="center"/>
              <w:rPr>
                <w:color w:val="auto"/>
                <w:sz w:val="18"/>
                <w:szCs w:val="21"/>
              </w:rPr>
            </w:pPr>
            <w:r>
              <w:rPr>
                <w:color w:val="auto"/>
                <w:sz w:val="18"/>
                <w:szCs w:val="21"/>
              </w:rPr>
              <w:t>结合很差</w:t>
            </w:r>
          </w:p>
        </w:tc>
        <w:tc>
          <w:tcPr>
            <w:tcW w:w="2351" w:type="dxa"/>
            <w:tcBorders>
              <w:top w:val="single" w:color="auto" w:sz="6" w:space="0"/>
              <w:bottom w:val="single" w:color="auto" w:sz="6" w:space="0"/>
            </w:tcBorders>
            <w:vAlign w:val="center"/>
          </w:tcPr>
          <w:p w14:paraId="2118DE66">
            <w:pPr>
              <w:tabs>
                <w:tab w:val="center" w:pos="4153"/>
                <w:tab w:val="right" w:pos="8306"/>
              </w:tabs>
              <w:adjustRightInd w:val="0"/>
              <w:snapToGrid w:val="0"/>
              <w:jc w:val="center"/>
              <w:rPr>
                <w:color w:val="auto"/>
                <w:sz w:val="18"/>
                <w:szCs w:val="21"/>
              </w:rPr>
            </w:pPr>
            <w:r>
              <w:rPr>
                <w:color w:val="auto"/>
                <w:sz w:val="18"/>
                <w:szCs w:val="21"/>
              </w:rPr>
              <w:t>18~12</w:t>
            </w:r>
          </w:p>
        </w:tc>
        <w:tc>
          <w:tcPr>
            <w:tcW w:w="2606" w:type="dxa"/>
            <w:tcBorders>
              <w:top w:val="single" w:color="auto" w:sz="6" w:space="0"/>
              <w:bottom w:val="single" w:color="auto" w:sz="6" w:space="0"/>
              <w:right w:val="single" w:color="auto" w:sz="12" w:space="0"/>
            </w:tcBorders>
            <w:vAlign w:val="center"/>
          </w:tcPr>
          <w:p w14:paraId="78F23557">
            <w:pPr>
              <w:tabs>
                <w:tab w:val="center" w:pos="4153"/>
                <w:tab w:val="right" w:pos="8306"/>
              </w:tabs>
              <w:adjustRightInd w:val="0"/>
              <w:snapToGrid w:val="0"/>
              <w:jc w:val="center"/>
              <w:rPr>
                <w:color w:val="auto"/>
                <w:sz w:val="18"/>
                <w:szCs w:val="21"/>
              </w:rPr>
            </w:pPr>
            <w:r>
              <w:rPr>
                <w:color w:val="auto"/>
                <w:sz w:val="18"/>
                <w:szCs w:val="21"/>
              </w:rPr>
              <w:t>0.05~0.02</w:t>
            </w:r>
          </w:p>
        </w:tc>
      </w:tr>
      <w:tr w14:paraId="107E51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341" w:type="dxa"/>
            <w:vMerge w:val="continue"/>
            <w:tcBorders>
              <w:top w:val="single" w:color="auto" w:sz="6" w:space="0"/>
              <w:left w:val="single" w:color="auto" w:sz="12" w:space="0"/>
              <w:bottom w:val="single" w:color="auto" w:sz="6" w:space="0"/>
            </w:tcBorders>
            <w:vAlign w:val="center"/>
          </w:tcPr>
          <w:p w14:paraId="20738049">
            <w:pPr>
              <w:tabs>
                <w:tab w:val="center" w:pos="4153"/>
                <w:tab w:val="right" w:pos="8306"/>
              </w:tabs>
              <w:snapToGrid w:val="0"/>
              <w:jc w:val="center"/>
              <w:rPr>
                <w:color w:val="auto"/>
                <w:sz w:val="18"/>
                <w:szCs w:val="21"/>
              </w:rPr>
            </w:pPr>
          </w:p>
        </w:tc>
        <w:tc>
          <w:tcPr>
            <w:tcW w:w="742" w:type="dxa"/>
            <w:tcBorders>
              <w:top w:val="single" w:color="auto" w:sz="6" w:space="0"/>
              <w:bottom w:val="single" w:color="auto" w:sz="6" w:space="0"/>
            </w:tcBorders>
            <w:vAlign w:val="center"/>
          </w:tcPr>
          <w:p w14:paraId="240F7DE4">
            <w:pPr>
              <w:tabs>
                <w:tab w:val="center" w:pos="4153"/>
                <w:tab w:val="right" w:pos="8306"/>
              </w:tabs>
              <w:snapToGrid w:val="0"/>
              <w:jc w:val="center"/>
              <w:rPr>
                <w:color w:val="auto"/>
                <w:sz w:val="18"/>
                <w:szCs w:val="21"/>
              </w:rPr>
            </w:pPr>
            <w:r>
              <w:rPr>
                <w:color w:val="auto"/>
                <w:sz w:val="18"/>
                <w:szCs w:val="21"/>
              </w:rPr>
              <w:t>5</w:t>
            </w:r>
          </w:p>
        </w:tc>
        <w:tc>
          <w:tcPr>
            <w:tcW w:w="2127" w:type="dxa"/>
            <w:tcBorders>
              <w:top w:val="single" w:color="auto" w:sz="6" w:space="0"/>
              <w:bottom w:val="single" w:color="auto" w:sz="6" w:space="0"/>
            </w:tcBorders>
            <w:vAlign w:val="center"/>
          </w:tcPr>
          <w:p w14:paraId="2966BA52">
            <w:pPr>
              <w:tabs>
                <w:tab w:val="center" w:pos="4153"/>
                <w:tab w:val="right" w:pos="8306"/>
              </w:tabs>
              <w:adjustRightInd w:val="0"/>
              <w:snapToGrid w:val="0"/>
              <w:jc w:val="center"/>
              <w:rPr>
                <w:color w:val="auto"/>
                <w:sz w:val="18"/>
                <w:szCs w:val="21"/>
              </w:rPr>
            </w:pPr>
            <w:r>
              <w:rPr>
                <w:color w:val="auto"/>
                <w:sz w:val="18"/>
                <w:szCs w:val="21"/>
              </w:rPr>
              <w:t>结合极差（泥化层）</w:t>
            </w:r>
          </w:p>
        </w:tc>
        <w:tc>
          <w:tcPr>
            <w:tcW w:w="2351" w:type="dxa"/>
            <w:tcBorders>
              <w:top w:val="single" w:color="auto" w:sz="6" w:space="0"/>
              <w:bottom w:val="single" w:color="auto" w:sz="6" w:space="0"/>
            </w:tcBorders>
            <w:vAlign w:val="center"/>
          </w:tcPr>
          <w:p w14:paraId="37A1F08B">
            <w:pPr>
              <w:tabs>
                <w:tab w:val="center" w:pos="4153"/>
                <w:tab w:val="right" w:pos="8306"/>
              </w:tabs>
              <w:adjustRightInd w:val="0"/>
              <w:snapToGrid w:val="0"/>
              <w:jc w:val="center"/>
              <w:rPr>
                <w:color w:val="auto"/>
                <w:sz w:val="18"/>
                <w:szCs w:val="21"/>
              </w:rPr>
            </w:pPr>
            <w:r>
              <w:rPr>
                <w:color w:val="auto"/>
                <w:sz w:val="18"/>
                <w:szCs w:val="21"/>
              </w:rPr>
              <w:t>＜12</w:t>
            </w:r>
          </w:p>
        </w:tc>
        <w:tc>
          <w:tcPr>
            <w:tcW w:w="2606" w:type="dxa"/>
            <w:tcBorders>
              <w:top w:val="single" w:color="auto" w:sz="6" w:space="0"/>
              <w:bottom w:val="single" w:color="auto" w:sz="6" w:space="0"/>
              <w:right w:val="single" w:color="auto" w:sz="12" w:space="0"/>
            </w:tcBorders>
            <w:vAlign w:val="center"/>
          </w:tcPr>
          <w:p w14:paraId="49B65B28">
            <w:pPr>
              <w:tabs>
                <w:tab w:val="center" w:pos="4153"/>
                <w:tab w:val="right" w:pos="8306"/>
              </w:tabs>
              <w:adjustRightInd w:val="0"/>
              <w:snapToGrid w:val="0"/>
              <w:jc w:val="center"/>
              <w:rPr>
                <w:color w:val="auto"/>
                <w:sz w:val="18"/>
                <w:szCs w:val="21"/>
              </w:rPr>
            </w:pPr>
            <w:r>
              <w:rPr>
                <w:color w:val="auto"/>
                <w:sz w:val="18"/>
                <w:szCs w:val="21"/>
              </w:rPr>
              <w:t>＜0.02</w:t>
            </w:r>
          </w:p>
        </w:tc>
      </w:tr>
      <w:tr w14:paraId="729DD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167" w:type="dxa"/>
            <w:gridSpan w:val="5"/>
            <w:tcBorders>
              <w:top w:val="single" w:color="auto" w:sz="6" w:space="0"/>
              <w:left w:val="single" w:color="auto" w:sz="12" w:space="0"/>
              <w:bottom w:val="single" w:color="auto" w:sz="12" w:space="0"/>
              <w:right w:val="single" w:color="auto" w:sz="12" w:space="0"/>
            </w:tcBorders>
            <w:vAlign w:val="center"/>
          </w:tcPr>
          <w:p w14:paraId="19F9B250">
            <w:pPr>
              <w:snapToGrid w:val="0"/>
              <w:rPr>
                <w:color w:val="auto"/>
                <w:sz w:val="18"/>
                <w:szCs w:val="18"/>
              </w:rPr>
            </w:pPr>
            <w:r>
              <w:rPr>
                <w:rFonts w:hAnsi="宋体"/>
                <w:color w:val="auto"/>
                <w:sz w:val="18"/>
                <w:szCs w:val="18"/>
              </w:rPr>
              <w:t>注</w:t>
            </w:r>
            <w:r>
              <w:rPr>
                <w:b/>
                <w:color w:val="auto"/>
                <w:sz w:val="18"/>
                <w:szCs w:val="18"/>
              </w:rPr>
              <w:t>1</w:t>
            </w:r>
            <w:r>
              <w:rPr>
                <w:rFonts w:hAnsi="宋体"/>
                <w:color w:val="auto"/>
                <w:sz w:val="18"/>
                <w:szCs w:val="18"/>
              </w:rPr>
              <w:t>：</w:t>
            </w:r>
            <w:r>
              <w:rPr>
                <w:rFonts w:hint="eastAsia" w:hAnsi="宋体"/>
                <w:color w:val="auto"/>
                <w:sz w:val="18"/>
                <w:szCs w:val="18"/>
              </w:rPr>
              <w:t>除表中1、5项外，结构面两壁岩性为极软岩、软岩时取表中较低值</w:t>
            </w:r>
            <w:r>
              <w:rPr>
                <w:color w:val="auto"/>
                <w:sz w:val="18"/>
                <w:szCs w:val="18"/>
              </w:rPr>
              <w:t>；</w:t>
            </w:r>
          </w:p>
          <w:p w14:paraId="5E494D07">
            <w:pPr>
              <w:snapToGrid w:val="0"/>
              <w:rPr>
                <w:color w:val="auto"/>
                <w:sz w:val="18"/>
                <w:szCs w:val="18"/>
              </w:rPr>
            </w:pPr>
            <w:r>
              <w:rPr>
                <w:rFonts w:hAnsi="宋体"/>
                <w:color w:val="auto"/>
                <w:sz w:val="18"/>
                <w:szCs w:val="18"/>
              </w:rPr>
              <w:t>注</w:t>
            </w:r>
            <w:r>
              <w:rPr>
                <w:b/>
                <w:color w:val="auto"/>
                <w:sz w:val="18"/>
                <w:szCs w:val="18"/>
              </w:rPr>
              <w:t>2</w:t>
            </w:r>
            <w:r>
              <w:rPr>
                <w:rFonts w:hAnsi="宋体"/>
                <w:color w:val="auto"/>
                <w:sz w:val="18"/>
                <w:szCs w:val="18"/>
              </w:rPr>
              <w:t>：</w:t>
            </w:r>
            <w:r>
              <w:rPr>
                <w:rFonts w:hint="eastAsia" w:hAnsi="宋体"/>
                <w:color w:val="auto"/>
                <w:sz w:val="18"/>
                <w:szCs w:val="18"/>
              </w:rPr>
              <w:t>取值时应考虑结构面的贯通程度</w:t>
            </w:r>
            <w:r>
              <w:rPr>
                <w:rFonts w:hAnsi="宋体"/>
                <w:color w:val="auto"/>
                <w:sz w:val="18"/>
                <w:szCs w:val="18"/>
              </w:rPr>
              <w:t>；</w:t>
            </w:r>
          </w:p>
          <w:p w14:paraId="080166C4">
            <w:pPr>
              <w:snapToGrid w:val="0"/>
              <w:rPr>
                <w:color w:val="auto"/>
                <w:sz w:val="18"/>
                <w:szCs w:val="18"/>
              </w:rPr>
            </w:pPr>
            <w:r>
              <w:rPr>
                <w:rFonts w:hAnsi="宋体"/>
                <w:color w:val="auto"/>
                <w:sz w:val="18"/>
                <w:szCs w:val="18"/>
              </w:rPr>
              <w:t>注</w:t>
            </w:r>
            <w:r>
              <w:rPr>
                <w:b/>
                <w:color w:val="auto"/>
                <w:sz w:val="18"/>
                <w:szCs w:val="18"/>
              </w:rPr>
              <w:t>3</w:t>
            </w:r>
            <w:r>
              <w:rPr>
                <w:rFonts w:hAnsi="宋体"/>
                <w:color w:val="auto"/>
                <w:sz w:val="18"/>
                <w:szCs w:val="18"/>
              </w:rPr>
              <w:t>：结构面浸水时取较低值</w:t>
            </w:r>
            <w:r>
              <w:rPr>
                <w:color w:val="auto"/>
                <w:sz w:val="18"/>
                <w:szCs w:val="18"/>
              </w:rPr>
              <w:t>；</w:t>
            </w:r>
          </w:p>
          <w:p w14:paraId="0A0D6067">
            <w:pPr>
              <w:snapToGrid w:val="0"/>
              <w:rPr>
                <w:color w:val="auto"/>
                <w:sz w:val="18"/>
                <w:szCs w:val="18"/>
              </w:rPr>
            </w:pPr>
            <w:r>
              <w:rPr>
                <w:rFonts w:hAnsi="宋体"/>
                <w:color w:val="auto"/>
                <w:sz w:val="18"/>
                <w:szCs w:val="18"/>
              </w:rPr>
              <w:t>注</w:t>
            </w:r>
            <w:r>
              <w:rPr>
                <w:rFonts w:hint="eastAsia"/>
                <w:b/>
                <w:color w:val="auto"/>
                <w:sz w:val="18"/>
                <w:szCs w:val="18"/>
              </w:rPr>
              <w:t>4</w:t>
            </w:r>
            <w:r>
              <w:rPr>
                <w:rFonts w:hAnsi="宋体"/>
                <w:color w:val="auto"/>
                <w:sz w:val="18"/>
                <w:szCs w:val="18"/>
              </w:rPr>
              <w:t>：</w:t>
            </w:r>
            <w:r>
              <w:rPr>
                <w:rFonts w:hint="eastAsia" w:hAnsi="宋体"/>
                <w:color w:val="auto"/>
                <w:sz w:val="18"/>
                <w:szCs w:val="18"/>
              </w:rPr>
              <w:t>临时性边坡可取高值</w:t>
            </w:r>
            <w:r>
              <w:rPr>
                <w:color w:val="auto"/>
                <w:sz w:val="18"/>
                <w:szCs w:val="18"/>
              </w:rPr>
              <w:t>；</w:t>
            </w:r>
          </w:p>
          <w:p w14:paraId="390C5D2E">
            <w:pPr>
              <w:snapToGrid w:val="0"/>
              <w:rPr>
                <w:color w:val="auto"/>
                <w:sz w:val="18"/>
                <w:szCs w:val="18"/>
              </w:rPr>
            </w:pPr>
            <w:r>
              <w:rPr>
                <w:rFonts w:hAnsi="宋体"/>
                <w:color w:val="auto"/>
                <w:sz w:val="18"/>
                <w:szCs w:val="18"/>
              </w:rPr>
              <w:t>注</w:t>
            </w:r>
            <w:r>
              <w:rPr>
                <w:b/>
                <w:color w:val="auto"/>
                <w:sz w:val="18"/>
                <w:szCs w:val="18"/>
              </w:rPr>
              <w:t>5</w:t>
            </w:r>
            <w:r>
              <w:rPr>
                <w:rFonts w:hAnsi="宋体"/>
                <w:color w:val="auto"/>
                <w:sz w:val="18"/>
                <w:szCs w:val="18"/>
              </w:rPr>
              <w:t>：已考虑结构面的时间效应</w:t>
            </w:r>
            <w:r>
              <w:rPr>
                <w:color w:val="auto"/>
                <w:sz w:val="18"/>
                <w:szCs w:val="18"/>
              </w:rPr>
              <w:t>；</w:t>
            </w:r>
          </w:p>
          <w:p w14:paraId="793CF68F">
            <w:pPr>
              <w:tabs>
                <w:tab w:val="center" w:pos="4153"/>
                <w:tab w:val="right" w:pos="8306"/>
              </w:tabs>
              <w:adjustRightInd w:val="0"/>
              <w:snapToGrid w:val="0"/>
              <w:ind w:left="495" w:hanging="495" w:hangingChars="275"/>
              <w:jc w:val="left"/>
              <w:rPr>
                <w:color w:val="auto"/>
                <w:sz w:val="18"/>
                <w:szCs w:val="21"/>
              </w:rPr>
            </w:pPr>
            <w:r>
              <w:rPr>
                <w:rFonts w:hAnsi="宋体"/>
                <w:color w:val="auto"/>
                <w:sz w:val="18"/>
                <w:szCs w:val="18"/>
              </w:rPr>
              <w:t>注</w:t>
            </w:r>
            <w:r>
              <w:rPr>
                <w:b/>
                <w:color w:val="auto"/>
                <w:sz w:val="18"/>
                <w:szCs w:val="18"/>
              </w:rPr>
              <w:t>6</w:t>
            </w:r>
            <w:r>
              <w:rPr>
                <w:rFonts w:hAnsi="宋体"/>
                <w:color w:val="auto"/>
                <w:sz w:val="18"/>
                <w:szCs w:val="18"/>
              </w:rPr>
              <w:t>：</w:t>
            </w:r>
            <w:r>
              <w:rPr>
                <w:color w:val="auto"/>
                <w:sz w:val="18"/>
                <w:szCs w:val="18"/>
              </w:rPr>
              <w:t>未考虑结构面参数在施工期和运行期受其它因素影响发生的变化，当判定为不利因素时，可进行适当折减。</w:t>
            </w:r>
          </w:p>
        </w:tc>
      </w:tr>
    </w:tbl>
    <w:p w14:paraId="263164E5">
      <w:pPr>
        <w:adjustRightInd w:val="0"/>
        <w:snapToGrid w:val="0"/>
        <w:spacing w:line="340" w:lineRule="exact"/>
        <w:rPr>
          <w:b/>
          <w:bCs/>
          <w:color w:val="auto"/>
          <w:szCs w:val="21"/>
        </w:rPr>
      </w:pPr>
      <w:r>
        <w:rPr>
          <w:rFonts w:hint="eastAsia"/>
          <w:b/>
          <w:bCs/>
          <w:color w:val="auto"/>
          <w:szCs w:val="21"/>
        </w:rPr>
        <w:t>1</w:t>
      </w:r>
      <w:r>
        <w:rPr>
          <w:b/>
          <w:bCs/>
          <w:color w:val="auto"/>
          <w:szCs w:val="21"/>
        </w:rPr>
        <w:t>0.</w:t>
      </w:r>
      <w:r>
        <w:rPr>
          <w:rFonts w:hint="eastAsia"/>
          <w:b/>
          <w:bCs/>
          <w:color w:val="auto"/>
          <w:szCs w:val="21"/>
        </w:rPr>
        <w:t>5</w:t>
      </w:r>
      <w:r>
        <w:rPr>
          <w:b/>
          <w:bCs/>
          <w:color w:val="auto"/>
          <w:szCs w:val="21"/>
        </w:rPr>
        <w:t>.</w:t>
      </w:r>
      <w:r>
        <w:rPr>
          <w:rFonts w:hint="eastAsia"/>
          <w:b/>
          <w:bCs/>
          <w:color w:val="auto"/>
          <w:szCs w:val="21"/>
        </w:rPr>
        <w:t>8</w:t>
      </w:r>
      <w:r>
        <w:rPr>
          <w:b/>
          <w:bCs/>
          <w:color w:val="auto"/>
          <w:szCs w:val="21"/>
        </w:rPr>
        <w:t xml:space="preserve">  </w:t>
      </w:r>
      <w:r>
        <w:rPr>
          <w:bCs/>
          <w:color w:val="auto"/>
          <w:szCs w:val="21"/>
        </w:rPr>
        <w:t>岩体结构面的结合程度可按表35确定。</w:t>
      </w:r>
    </w:p>
    <w:p w14:paraId="2901B344">
      <w:pPr>
        <w:adjustRightInd w:val="0"/>
        <w:snapToGrid w:val="0"/>
        <w:spacing w:before="120" w:line="360" w:lineRule="atLeast"/>
        <w:jc w:val="center"/>
        <w:rPr>
          <w:rFonts w:eastAsia="黑体"/>
          <w:b/>
          <w:bCs/>
          <w:color w:val="auto"/>
          <w:szCs w:val="21"/>
        </w:rPr>
      </w:pPr>
      <w:r>
        <w:rPr>
          <w:rFonts w:hint="eastAsia" w:eastAsia="黑体"/>
          <w:b/>
          <w:bCs/>
          <w:color w:val="auto"/>
          <w:szCs w:val="21"/>
        </w:rPr>
        <w:t>表</w:t>
      </w:r>
      <w:r>
        <w:rPr>
          <w:rFonts w:eastAsia="黑体"/>
          <w:b/>
          <w:bCs/>
          <w:color w:val="auto"/>
          <w:szCs w:val="21"/>
        </w:rPr>
        <w:t>35</w:t>
      </w:r>
      <w:r>
        <w:rPr>
          <w:rFonts w:hint="eastAsia" w:eastAsia="黑体"/>
          <w:b/>
          <w:bCs/>
          <w:color w:val="auto"/>
          <w:szCs w:val="21"/>
        </w:rPr>
        <w:t xml:space="preserve">  结构面的结合程度</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0"/>
        <w:gridCol w:w="1436"/>
        <w:gridCol w:w="1385"/>
        <w:gridCol w:w="1780"/>
        <w:gridCol w:w="1800"/>
        <w:gridCol w:w="1616"/>
      </w:tblGrid>
      <w:tr w14:paraId="1AAA8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Align w:val="center"/>
          </w:tcPr>
          <w:p w14:paraId="430514BB">
            <w:pPr>
              <w:tabs>
                <w:tab w:val="center" w:pos="4153"/>
                <w:tab w:val="right" w:pos="8306"/>
              </w:tabs>
              <w:adjustRightInd w:val="0"/>
              <w:snapToGrid w:val="0"/>
              <w:jc w:val="center"/>
              <w:rPr>
                <w:color w:val="auto"/>
                <w:sz w:val="18"/>
                <w:szCs w:val="18"/>
              </w:rPr>
            </w:pPr>
            <w:r>
              <w:rPr>
                <w:rFonts w:hAnsi="宋体"/>
                <w:color w:val="auto"/>
                <w:sz w:val="18"/>
                <w:szCs w:val="18"/>
              </w:rPr>
              <w:t>结合程度</w:t>
            </w:r>
          </w:p>
        </w:tc>
        <w:tc>
          <w:tcPr>
            <w:tcW w:w="1436" w:type="dxa"/>
            <w:vAlign w:val="center"/>
          </w:tcPr>
          <w:p w14:paraId="1D9717E1">
            <w:pPr>
              <w:tabs>
                <w:tab w:val="center" w:pos="4153"/>
                <w:tab w:val="right" w:pos="8306"/>
              </w:tabs>
              <w:adjustRightInd w:val="0"/>
              <w:snapToGrid w:val="0"/>
              <w:jc w:val="center"/>
              <w:rPr>
                <w:color w:val="auto"/>
                <w:sz w:val="18"/>
                <w:szCs w:val="18"/>
              </w:rPr>
            </w:pPr>
            <w:r>
              <w:rPr>
                <w:rFonts w:hAnsi="宋体"/>
                <w:color w:val="auto"/>
                <w:sz w:val="18"/>
                <w:szCs w:val="18"/>
              </w:rPr>
              <w:t>结合状况</w:t>
            </w:r>
          </w:p>
        </w:tc>
        <w:tc>
          <w:tcPr>
            <w:tcW w:w="1385" w:type="dxa"/>
            <w:vAlign w:val="center"/>
          </w:tcPr>
          <w:p w14:paraId="3590403F">
            <w:pPr>
              <w:tabs>
                <w:tab w:val="center" w:pos="4153"/>
                <w:tab w:val="right" w:pos="8306"/>
              </w:tabs>
              <w:adjustRightInd w:val="0"/>
              <w:snapToGrid w:val="0"/>
              <w:jc w:val="center"/>
              <w:rPr>
                <w:color w:val="auto"/>
                <w:sz w:val="18"/>
                <w:szCs w:val="18"/>
              </w:rPr>
            </w:pPr>
            <w:r>
              <w:rPr>
                <w:rFonts w:hAnsi="宋体"/>
                <w:color w:val="auto"/>
                <w:sz w:val="18"/>
                <w:szCs w:val="18"/>
              </w:rPr>
              <w:t>起伏粗</w:t>
            </w:r>
            <w:r>
              <w:rPr>
                <w:rFonts w:hint="eastAsia" w:hAnsi="宋体"/>
                <w:color w:val="auto"/>
                <w:sz w:val="18"/>
                <w:szCs w:val="18"/>
              </w:rPr>
              <w:t>糙</w:t>
            </w:r>
            <w:r>
              <w:rPr>
                <w:rFonts w:hAnsi="宋体"/>
                <w:color w:val="auto"/>
                <w:sz w:val="18"/>
                <w:szCs w:val="18"/>
              </w:rPr>
              <w:t>程度</w:t>
            </w:r>
          </w:p>
        </w:tc>
        <w:tc>
          <w:tcPr>
            <w:tcW w:w="1780" w:type="dxa"/>
            <w:vAlign w:val="center"/>
          </w:tcPr>
          <w:p w14:paraId="3E82995B">
            <w:pPr>
              <w:tabs>
                <w:tab w:val="center" w:pos="4153"/>
                <w:tab w:val="right" w:pos="8306"/>
              </w:tabs>
              <w:adjustRightInd w:val="0"/>
              <w:snapToGrid w:val="0"/>
              <w:jc w:val="center"/>
              <w:rPr>
                <w:color w:val="auto"/>
                <w:sz w:val="18"/>
                <w:szCs w:val="18"/>
              </w:rPr>
            </w:pPr>
            <w:r>
              <w:rPr>
                <w:rFonts w:hAnsi="宋体"/>
                <w:color w:val="auto"/>
                <w:sz w:val="18"/>
                <w:szCs w:val="18"/>
              </w:rPr>
              <w:t>结构面张开度</w:t>
            </w:r>
            <w:r>
              <w:rPr>
                <w:color w:val="auto"/>
                <w:sz w:val="18"/>
                <w:szCs w:val="18"/>
              </w:rPr>
              <w:t>mm</w:t>
            </w:r>
          </w:p>
        </w:tc>
        <w:tc>
          <w:tcPr>
            <w:tcW w:w="1800" w:type="dxa"/>
            <w:vAlign w:val="center"/>
          </w:tcPr>
          <w:p w14:paraId="5D9119F5">
            <w:pPr>
              <w:tabs>
                <w:tab w:val="center" w:pos="4153"/>
                <w:tab w:val="right" w:pos="8306"/>
              </w:tabs>
              <w:adjustRightInd w:val="0"/>
              <w:snapToGrid w:val="0"/>
              <w:jc w:val="center"/>
              <w:rPr>
                <w:color w:val="auto"/>
                <w:sz w:val="18"/>
                <w:szCs w:val="18"/>
              </w:rPr>
            </w:pPr>
            <w:r>
              <w:rPr>
                <w:rFonts w:hAnsi="宋体"/>
                <w:color w:val="auto"/>
                <w:sz w:val="18"/>
                <w:szCs w:val="18"/>
              </w:rPr>
              <w:t>充填状况</w:t>
            </w:r>
          </w:p>
        </w:tc>
        <w:tc>
          <w:tcPr>
            <w:tcW w:w="1616" w:type="dxa"/>
            <w:vAlign w:val="center"/>
          </w:tcPr>
          <w:p w14:paraId="65314708">
            <w:pPr>
              <w:tabs>
                <w:tab w:val="center" w:pos="4153"/>
                <w:tab w:val="right" w:pos="8306"/>
              </w:tabs>
              <w:adjustRightInd w:val="0"/>
              <w:snapToGrid w:val="0"/>
              <w:jc w:val="center"/>
              <w:rPr>
                <w:color w:val="auto"/>
                <w:sz w:val="18"/>
                <w:szCs w:val="18"/>
              </w:rPr>
            </w:pPr>
            <w:r>
              <w:rPr>
                <w:rFonts w:hAnsi="宋体"/>
                <w:color w:val="auto"/>
                <w:sz w:val="18"/>
                <w:szCs w:val="18"/>
              </w:rPr>
              <w:t>岩体状况</w:t>
            </w:r>
          </w:p>
        </w:tc>
      </w:tr>
      <w:tr w14:paraId="64552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Align w:val="center"/>
          </w:tcPr>
          <w:p w14:paraId="70C9453C">
            <w:pPr>
              <w:tabs>
                <w:tab w:val="center" w:pos="4153"/>
                <w:tab w:val="right" w:pos="8306"/>
              </w:tabs>
              <w:adjustRightInd w:val="0"/>
              <w:snapToGrid w:val="0"/>
              <w:jc w:val="center"/>
              <w:rPr>
                <w:color w:val="auto"/>
                <w:sz w:val="18"/>
                <w:szCs w:val="18"/>
              </w:rPr>
            </w:pPr>
            <w:r>
              <w:rPr>
                <w:rFonts w:hAnsi="宋体"/>
                <w:color w:val="auto"/>
                <w:sz w:val="18"/>
                <w:szCs w:val="18"/>
              </w:rPr>
              <w:t>结合</w:t>
            </w:r>
            <w:r>
              <w:rPr>
                <w:rFonts w:hint="eastAsia" w:hAnsi="宋体"/>
                <w:color w:val="auto"/>
                <w:sz w:val="18"/>
                <w:szCs w:val="18"/>
              </w:rPr>
              <w:t>良</w:t>
            </w:r>
            <w:r>
              <w:rPr>
                <w:rFonts w:hAnsi="宋体"/>
                <w:color w:val="auto"/>
                <w:sz w:val="18"/>
                <w:szCs w:val="18"/>
              </w:rPr>
              <w:t>好</w:t>
            </w:r>
          </w:p>
        </w:tc>
        <w:tc>
          <w:tcPr>
            <w:tcW w:w="1436" w:type="dxa"/>
            <w:vAlign w:val="center"/>
          </w:tcPr>
          <w:p w14:paraId="3DC99E4B">
            <w:pPr>
              <w:tabs>
                <w:tab w:val="center" w:pos="4153"/>
                <w:tab w:val="right" w:pos="8306"/>
              </w:tabs>
              <w:adjustRightInd w:val="0"/>
              <w:snapToGrid w:val="0"/>
              <w:jc w:val="center"/>
              <w:rPr>
                <w:color w:val="auto"/>
                <w:sz w:val="18"/>
                <w:szCs w:val="18"/>
              </w:rPr>
            </w:pPr>
            <w:r>
              <w:rPr>
                <w:rFonts w:hAnsi="宋体"/>
                <w:color w:val="auto"/>
                <w:sz w:val="18"/>
                <w:szCs w:val="18"/>
              </w:rPr>
              <w:t>铁硅钙质胶结</w:t>
            </w:r>
          </w:p>
        </w:tc>
        <w:tc>
          <w:tcPr>
            <w:tcW w:w="1385" w:type="dxa"/>
            <w:vAlign w:val="center"/>
          </w:tcPr>
          <w:p w14:paraId="0FBEF330">
            <w:pPr>
              <w:tabs>
                <w:tab w:val="center" w:pos="4153"/>
                <w:tab w:val="right" w:pos="8306"/>
              </w:tabs>
              <w:adjustRightInd w:val="0"/>
              <w:snapToGrid w:val="0"/>
              <w:jc w:val="center"/>
              <w:rPr>
                <w:color w:val="auto"/>
                <w:sz w:val="18"/>
                <w:szCs w:val="18"/>
              </w:rPr>
            </w:pPr>
            <w:r>
              <w:rPr>
                <w:rFonts w:hAnsi="宋体"/>
                <w:color w:val="auto"/>
                <w:sz w:val="18"/>
                <w:szCs w:val="18"/>
              </w:rPr>
              <w:t>起伏粗糙</w:t>
            </w:r>
          </w:p>
        </w:tc>
        <w:tc>
          <w:tcPr>
            <w:tcW w:w="1780" w:type="dxa"/>
            <w:vAlign w:val="center"/>
          </w:tcPr>
          <w:p w14:paraId="5531948D">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p>
        </w:tc>
        <w:tc>
          <w:tcPr>
            <w:tcW w:w="1800" w:type="dxa"/>
            <w:vAlign w:val="center"/>
          </w:tcPr>
          <w:p w14:paraId="713A2968">
            <w:pPr>
              <w:tabs>
                <w:tab w:val="center" w:pos="4153"/>
                <w:tab w:val="right" w:pos="8306"/>
              </w:tabs>
              <w:adjustRightInd w:val="0"/>
              <w:snapToGrid w:val="0"/>
              <w:jc w:val="center"/>
              <w:rPr>
                <w:color w:val="auto"/>
                <w:sz w:val="18"/>
                <w:szCs w:val="18"/>
              </w:rPr>
            </w:pPr>
            <w:r>
              <w:rPr>
                <w:rFonts w:hAnsi="宋体"/>
                <w:color w:val="auto"/>
                <w:sz w:val="18"/>
                <w:szCs w:val="18"/>
              </w:rPr>
              <w:t>胶结</w:t>
            </w:r>
          </w:p>
        </w:tc>
        <w:tc>
          <w:tcPr>
            <w:tcW w:w="1616" w:type="dxa"/>
            <w:vAlign w:val="center"/>
          </w:tcPr>
          <w:p w14:paraId="4289A946">
            <w:pPr>
              <w:tabs>
                <w:tab w:val="center" w:pos="4153"/>
                <w:tab w:val="right" w:pos="8306"/>
              </w:tabs>
              <w:adjustRightInd w:val="0"/>
              <w:snapToGrid w:val="0"/>
              <w:rPr>
                <w:color w:val="auto"/>
                <w:sz w:val="18"/>
                <w:szCs w:val="18"/>
              </w:rPr>
            </w:pPr>
            <w:r>
              <w:rPr>
                <w:rFonts w:hAnsi="宋体"/>
                <w:color w:val="auto"/>
                <w:sz w:val="18"/>
                <w:szCs w:val="18"/>
              </w:rPr>
              <w:t>硬岩或较软岩</w:t>
            </w:r>
          </w:p>
        </w:tc>
      </w:tr>
      <w:tr w14:paraId="1CC16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restart"/>
            <w:vAlign w:val="center"/>
          </w:tcPr>
          <w:p w14:paraId="15A6F267">
            <w:pPr>
              <w:tabs>
                <w:tab w:val="center" w:pos="4153"/>
                <w:tab w:val="right" w:pos="8306"/>
              </w:tabs>
              <w:adjustRightInd w:val="0"/>
              <w:snapToGrid w:val="0"/>
              <w:jc w:val="center"/>
              <w:rPr>
                <w:color w:val="auto"/>
                <w:sz w:val="18"/>
                <w:szCs w:val="18"/>
              </w:rPr>
            </w:pPr>
            <w:r>
              <w:rPr>
                <w:rFonts w:hAnsi="宋体"/>
                <w:color w:val="auto"/>
                <w:sz w:val="18"/>
                <w:szCs w:val="18"/>
              </w:rPr>
              <w:t>结合一般</w:t>
            </w:r>
          </w:p>
        </w:tc>
        <w:tc>
          <w:tcPr>
            <w:tcW w:w="1436" w:type="dxa"/>
            <w:vAlign w:val="center"/>
          </w:tcPr>
          <w:p w14:paraId="45164EB1">
            <w:pPr>
              <w:tabs>
                <w:tab w:val="center" w:pos="4153"/>
                <w:tab w:val="right" w:pos="8306"/>
              </w:tabs>
              <w:adjustRightInd w:val="0"/>
              <w:snapToGrid w:val="0"/>
              <w:jc w:val="center"/>
              <w:rPr>
                <w:color w:val="auto"/>
                <w:sz w:val="18"/>
                <w:szCs w:val="18"/>
              </w:rPr>
            </w:pPr>
            <w:r>
              <w:rPr>
                <w:rFonts w:hAnsi="宋体"/>
                <w:color w:val="auto"/>
                <w:sz w:val="18"/>
                <w:szCs w:val="18"/>
              </w:rPr>
              <w:t>铁硅钙质胶结</w:t>
            </w:r>
          </w:p>
        </w:tc>
        <w:tc>
          <w:tcPr>
            <w:tcW w:w="1385" w:type="dxa"/>
            <w:vAlign w:val="center"/>
          </w:tcPr>
          <w:p w14:paraId="6054CD86">
            <w:pPr>
              <w:tabs>
                <w:tab w:val="center" w:pos="4153"/>
                <w:tab w:val="right" w:pos="8306"/>
              </w:tabs>
              <w:adjustRightInd w:val="0"/>
              <w:snapToGrid w:val="0"/>
              <w:jc w:val="center"/>
              <w:rPr>
                <w:color w:val="auto"/>
                <w:sz w:val="18"/>
                <w:szCs w:val="18"/>
              </w:rPr>
            </w:pPr>
            <w:r>
              <w:rPr>
                <w:rFonts w:hAnsi="宋体"/>
                <w:color w:val="auto"/>
                <w:sz w:val="18"/>
                <w:szCs w:val="18"/>
              </w:rPr>
              <w:t>起伏粗糙</w:t>
            </w:r>
          </w:p>
        </w:tc>
        <w:tc>
          <w:tcPr>
            <w:tcW w:w="1780" w:type="dxa"/>
            <w:vAlign w:val="center"/>
          </w:tcPr>
          <w:p w14:paraId="4960038B">
            <w:pPr>
              <w:tabs>
                <w:tab w:val="center" w:pos="4153"/>
                <w:tab w:val="right" w:pos="8306"/>
              </w:tabs>
              <w:adjustRightInd w:val="0"/>
              <w:snapToGrid w:val="0"/>
              <w:jc w:val="center"/>
              <w:rPr>
                <w:color w:val="auto"/>
                <w:sz w:val="18"/>
                <w:szCs w:val="18"/>
              </w:rPr>
            </w:pPr>
            <w:r>
              <w:rPr>
                <w:color w:val="auto"/>
                <w:sz w:val="18"/>
                <w:szCs w:val="18"/>
              </w:rPr>
              <w:t>3</w:t>
            </w:r>
            <w:r>
              <w:rPr>
                <w:rFonts w:hAnsi="宋体"/>
                <w:color w:val="auto"/>
                <w:sz w:val="18"/>
                <w:szCs w:val="18"/>
              </w:rPr>
              <w:t>~</w:t>
            </w:r>
            <w:r>
              <w:rPr>
                <w:color w:val="auto"/>
                <w:sz w:val="18"/>
                <w:szCs w:val="18"/>
              </w:rPr>
              <w:t>5</w:t>
            </w:r>
          </w:p>
        </w:tc>
        <w:tc>
          <w:tcPr>
            <w:tcW w:w="1800" w:type="dxa"/>
            <w:vAlign w:val="center"/>
          </w:tcPr>
          <w:p w14:paraId="04EB55A3">
            <w:pPr>
              <w:tabs>
                <w:tab w:val="center" w:pos="4153"/>
                <w:tab w:val="right" w:pos="8306"/>
              </w:tabs>
              <w:adjustRightInd w:val="0"/>
              <w:snapToGrid w:val="0"/>
              <w:jc w:val="center"/>
              <w:rPr>
                <w:color w:val="auto"/>
                <w:sz w:val="18"/>
                <w:szCs w:val="18"/>
              </w:rPr>
            </w:pPr>
            <w:r>
              <w:rPr>
                <w:rFonts w:hAnsi="宋体"/>
                <w:color w:val="auto"/>
                <w:sz w:val="18"/>
                <w:szCs w:val="18"/>
              </w:rPr>
              <w:t>胶结</w:t>
            </w:r>
          </w:p>
        </w:tc>
        <w:tc>
          <w:tcPr>
            <w:tcW w:w="1616" w:type="dxa"/>
            <w:vAlign w:val="center"/>
          </w:tcPr>
          <w:p w14:paraId="79A3E856">
            <w:pPr>
              <w:tabs>
                <w:tab w:val="center" w:pos="4153"/>
                <w:tab w:val="right" w:pos="8306"/>
              </w:tabs>
              <w:adjustRightInd w:val="0"/>
              <w:snapToGrid w:val="0"/>
              <w:rPr>
                <w:color w:val="auto"/>
                <w:sz w:val="18"/>
                <w:szCs w:val="18"/>
              </w:rPr>
            </w:pPr>
            <w:r>
              <w:rPr>
                <w:rFonts w:hAnsi="宋体"/>
                <w:color w:val="auto"/>
                <w:sz w:val="18"/>
                <w:szCs w:val="18"/>
              </w:rPr>
              <w:t>硬岩或较软岩</w:t>
            </w:r>
          </w:p>
        </w:tc>
      </w:tr>
      <w:tr w14:paraId="0EEA5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53F47A96">
            <w:pPr>
              <w:tabs>
                <w:tab w:val="center" w:pos="4153"/>
                <w:tab w:val="right" w:pos="8306"/>
              </w:tabs>
              <w:adjustRightInd w:val="0"/>
              <w:snapToGrid w:val="0"/>
              <w:jc w:val="center"/>
              <w:rPr>
                <w:color w:val="auto"/>
                <w:sz w:val="18"/>
                <w:szCs w:val="18"/>
              </w:rPr>
            </w:pPr>
          </w:p>
        </w:tc>
        <w:tc>
          <w:tcPr>
            <w:tcW w:w="1436" w:type="dxa"/>
            <w:vAlign w:val="center"/>
          </w:tcPr>
          <w:p w14:paraId="05F31E13">
            <w:pPr>
              <w:tabs>
                <w:tab w:val="center" w:pos="4153"/>
                <w:tab w:val="right" w:pos="8306"/>
              </w:tabs>
              <w:adjustRightInd w:val="0"/>
              <w:snapToGrid w:val="0"/>
              <w:jc w:val="center"/>
              <w:rPr>
                <w:color w:val="auto"/>
                <w:sz w:val="18"/>
                <w:szCs w:val="18"/>
              </w:rPr>
            </w:pPr>
            <w:r>
              <w:rPr>
                <w:rFonts w:hAnsi="宋体"/>
                <w:color w:val="auto"/>
                <w:sz w:val="18"/>
                <w:szCs w:val="18"/>
              </w:rPr>
              <w:t>铁硅钙质胶结</w:t>
            </w:r>
          </w:p>
        </w:tc>
        <w:tc>
          <w:tcPr>
            <w:tcW w:w="1385" w:type="dxa"/>
            <w:vAlign w:val="center"/>
          </w:tcPr>
          <w:p w14:paraId="3A4F5B12">
            <w:pPr>
              <w:tabs>
                <w:tab w:val="center" w:pos="4153"/>
                <w:tab w:val="right" w:pos="8306"/>
              </w:tabs>
              <w:adjustRightInd w:val="0"/>
              <w:snapToGrid w:val="0"/>
              <w:jc w:val="center"/>
              <w:rPr>
                <w:color w:val="auto"/>
                <w:sz w:val="18"/>
                <w:szCs w:val="18"/>
              </w:rPr>
            </w:pPr>
            <w:r>
              <w:rPr>
                <w:rFonts w:hAnsi="宋体"/>
                <w:color w:val="auto"/>
                <w:sz w:val="18"/>
                <w:szCs w:val="18"/>
              </w:rPr>
              <w:t>起伏粗糙</w:t>
            </w:r>
          </w:p>
        </w:tc>
        <w:tc>
          <w:tcPr>
            <w:tcW w:w="1780" w:type="dxa"/>
            <w:vAlign w:val="center"/>
          </w:tcPr>
          <w:p w14:paraId="7147D567">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p>
        </w:tc>
        <w:tc>
          <w:tcPr>
            <w:tcW w:w="1800" w:type="dxa"/>
            <w:vAlign w:val="center"/>
          </w:tcPr>
          <w:p w14:paraId="6D572B29">
            <w:pPr>
              <w:tabs>
                <w:tab w:val="center" w:pos="4153"/>
                <w:tab w:val="right" w:pos="8306"/>
              </w:tabs>
              <w:adjustRightInd w:val="0"/>
              <w:snapToGrid w:val="0"/>
              <w:jc w:val="center"/>
              <w:rPr>
                <w:color w:val="auto"/>
                <w:sz w:val="18"/>
                <w:szCs w:val="18"/>
              </w:rPr>
            </w:pPr>
            <w:r>
              <w:rPr>
                <w:rFonts w:hAnsi="宋体"/>
                <w:color w:val="auto"/>
                <w:sz w:val="18"/>
                <w:szCs w:val="18"/>
              </w:rPr>
              <w:t>胶结</w:t>
            </w:r>
          </w:p>
        </w:tc>
        <w:tc>
          <w:tcPr>
            <w:tcW w:w="1616" w:type="dxa"/>
            <w:vAlign w:val="center"/>
          </w:tcPr>
          <w:p w14:paraId="61C3DB3F">
            <w:pPr>
              <w:tabs>
                <w:tab w:val="center" w:pos="4153"/>
                <w:tab w:val="right" w:pos="8306"/>
              </w:tabs>
              <w:adjustRightInd w:val="0"/>
              <w:snapToGrid w:val="0"/>
              <w:jc w:val="center"/>
              <w:rPr>
                <w:color w:val="auto"/>
                <w:sz w:val="18"/>
                <w:szCs w:val="18"/>
              </w:rPr>
            </w:pPr>
            <w:r>
              <w:rPr>
                <w:rFonts w:hAnsi="宋体"/>
                <w:color w:val="auto"/>
                <w:sz w:val="18"/>
                <w:szCs w:val="18"/>
              </w:rPr>
              <w:t>软岩</w:t>
            </w:r>
          </w:p>
        </w:tc>
      </w:tr>
      <w:tr w14:paraId="0CFD7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0B0A2535">
            <w:pPr>
              <w:tabs>
                <w:tab w:val="center" w:pos="4153"/>
                <w:tab w:val="right" w:pos="8306"/>
              </w:tabs>
              <w:adjustRightInd w:val="0"/>
              <w:snapToGrid w:val="0"/>
              <w:jc w:val="center"/>
              <w:rPr>
                <w:color w:val="auto"/>
                <w:sz w:val="18"/>
                <w:szCs w:val="18"/>
              </w:rPr>
            </w:pPr>
          </w:p>
        </w:tc>
        <w:tc>
          <w:tcPr>
            <w:tcW w:w="1436" w:type="dxa"/>
            <w:vAlign w:val="center"/>
          </w:tcPr>
          <w:p w14:paraId="1874F2F7">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669A99CD">
            <w:pPr>
              <w:tabs>
                <w:tab w:val="center" w:pos="4153"/>
                <w:tab w:val="right" w:pos="8306"/>
              </w:tabs>
              <w:adjustRightInd w:val="0"/>
              <w:snapToGrid w:val="0"/>
              <w:jc w:val="center"/>
              <w:rPr>
                <w:color w:val="auto"/>
                <w:sz w:val="18"/>
                <w:szCs w:val="18"/>
              </w:rPr>
            </w:pPr>
            <w:r>
              <w:rPr>
                <w:rFonts w:hAnsi="宋体"/>
                <w:color w:val="auto"/>
                <w:sz w:val="18"/>
                <w:szCs w:val="18"/>
              </w:rPr>
              <w:t>起伏粗糙</w:t>
            </w:r>
          </w:p>
        </w:tc>
        <w:tc>
          <w:tcPr>
            <w:tcW w:w="1780" w:type="dxa"/>
            <w:vAlign w:val="center"/>
          </w:tcPr>
          <w:p w14:paraId="0C581393">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r>
              <w:rPr>
                <w:rFonts w:hAnsi="宋体"/>
                <w:color w:val="auto"/>
                <w:sz w:val="18"/>
                <w:szCs w:val="18"/>
              </w:rPr>
              <w:t>（无充填时）</w:t>
            </w:r>
          </w:p>
        </w:tc>
        <w:tc>
          <w:tcPr>
            <w:tcW w:w="1800" w:type="dxa"/>
            <w:vAlign w:val="center"/>
          </w:tcPr>
          <w:p w14:paraId="7EBE05EE">
            <w:pPr>
              <w:tabs>
                <w:tab w:val="center" w:pos="4153"/>
                <w:tab w:val="right" w:pos="8306"/>
              </w:tabs>
              <w:adjustRightInd w:val="0"/>
              <w:snapToGrid w:val="0"/>
              <w:rPr>
                <w:color w:val="auto"/>
                <w:sz w:val="18"/>
                <w:szCs w:val="18"/>
              </w:rPr>
            </w:pPr>
            <w:r>
              <w:rPr>
                <w:rFonts w:hAnsi="宋体"/>
                <w:color w:val="auto"/>
                <w:sz w:val="18"/>
                <w:szCs w:val="18"/>
              </w:rPr>
              <w:t>无充填或岩块、岩屑充填</w:t>
            </w:r>
          </w:p>
        </w:tc>
        <w:tc>
          <w:tcPr>
            <w:tcW w:w="1616" w:type="dxa"/>
            <w:vAlign w:val="center"/>
          </w:tcPr>
          <w:p w14:paraId="625F9FB6">
            <w:pPr>
              <w:tabs>
                <w:tab w:val="center" w:pos="4153"/>
                <w:tab w:val="right" w:pos="8306"/>
              </w:tabs>
              <w:adjustRightInd w:val="0"/>
              <w:snapToGrid w:val="0"/>
              <w:rPr>
                <w:color w:val="auto"/>
                <w:sz w:val="18"/>
                <w:szCs w:val="18"/>
              </w:rPr>
            </w:pPr>
            <w:r>
              <w:rPr>
                <w:rFonts w:hAnsi="宋体"/>
                <w:color w:val="auto"/>
                <w:sz w:val="18"/>
                <w:szCs w:val="18"/>
              </w:rPr>
              <w:t>硬岩或较软岩</w:t>
            </w:r>
          </w:p>
        </w:tc>
      </w:tr>
      <w:tr w14:paraId="7A714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restart"/>
            <w:vAlign w:val="center"/>
          </w:tcPr>
          <w:p w14:paraId="1D44C7E7">
            <w:pPr>
              <w:tabs>
                <w:tab w:val="center" w:pos="4153"/>
                <w:tab w:val="right" w:pos="8306"/>
              </w:tabs>
              <w:adjustRightInd w:val="0"/>
              <w:snapToGrid w:val="0"/>
              <w:jc w:val="center"/>
              <w:rPr>
                <w:color w:val="auto"/>
                <w:sz w:val="18"/>
                <w:szCs w:val="18"/>
              </w:rPr>
            </w:pPr>
            <w:r>
              <w:rPr>
                <w:rFonts w:hAnsi="宋体"/>
                <w:color w:val="auto"/>
                <w:sz w:val="18"/>
                <w:szCs w:val="18"/>
              </w:rPr>
              <w:t>结合差</w:t>
            </w:r>
          </w:p>
        </w:tc>
        <w:tc>
          <w:tcPr>
            <w:tcW w:w="1436" w:type="dxa"/>
            <w:vAlign w:val="center"/>
          </w:tcPr>
          <w:p w14:paraId="1E79AD98">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20530BA1">
            <w:pPr>
              <w:tabs>
                <w:tab w:val="center" w:pos="4153"/>
                <w:tab w:val="right" w:pos="8306"/>
              </w:tabs>
              <w:adjustRightInd w:val="0"/>
              <w:snapToGrid w:val="0"/>
              <w:jc w:val="center"/>
              <w:rPr>
                <w:color w:val="auto"/>
                <w:sz w:val="18"/>
                <w:szCs w:val="18"/>
              </w:rPr>
            </w:pPr>
            <w:r>
              <w:rPr>
                <w:rFonts w:hAnsi="宋体"/>
                <w:color w:val="auto"/>
                <w:sz w:val="18"/>
                <w:szCs w:val="18"/>
              </w:rPr>
              <w:t>起伏粗糙</w:t>
            </w:r>
          </w:p>
        </w:tc>
        <w:tc>
          <w:tcPr>
            <w:tcW w:w="1780" w:type="dxa"/>
            <w:vAlign w:val="center"/>
          </w:tcPr>
          <w:p w14:paraId="05DABE07">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p>
        </w:tc>
        <w:tc>
          <w:tcPr>
            <w:tcW w:w="1800" w:type="dxa"/>
            <w:vAlign w:val="center"/>
          </w:tcPr>
          <w:p w14:paraId="02BA80DD">
            <w:pPr>
              <w:tabs>
                <w:tab w:val="center" w:pos="4153"/>
                <w:tab w:val="right" w:pos="8306"/>
              </w:tabs>
              <w:adjustRightInd w:val="0"/>
              <w:snapToGrid w:val="0"/>
              <w:jc w:val="center"/>
              <w:rPr>
                <w:color w:val="auto"/>
                <w:sz w:val="18"/>
                <w:szCs w:val="18"/>
              </w:rPr>
            </w:pPr>
            <w:r>
              <w:rPr>
                <w:rFonts w:hAnsi="宋体"/>
                <w:color w:val="auto"/>
                <w:sz w:val="18"/>
                <w:szCs w:val="18"/>
              </w:rPr>
              <w:t>干净无充填</w:t>
            </w:r>
          </w:p>
        </w:tc>
        <w:tc>
          <w:tcPr>
            <w:tcW w:w="1616" w:type="dxa"/>
            <w:vAlign w:val="center"/>
          </w:tcPr>
          <w:p w14:paraId="3E07C833">
            <w:pPr>
              <w:tabs>
                <w:tab w:val="center" w:pos="4153"/>
                <w:tab w:val="right" w:pos="8306"/>
              </w:tabs>
              <w:adjustRightInd w:val="0"/>
              <w:snapToGrid w:val="0"/>
              <w:jc w:val="center"/>
              <w:rPr>
                <w:color w:val="auto"/>
                <w:sz w:val="18"/>
                <w:szCs w:val="18"/>
              </w:rPr>
            </w:pPr>
            <w:r>
              <w:rPr>
                <w:rFonts w:hAnsi="宋体"/>
                <w:color w:val="auto"/>
                <w:sz w:val="18"/>
                <w:szCs w:val="18"/>
              </w:rPr>
              <w:t>软岩</w:t>
            </w:r>
          </w:p>
        </w:tc>
      </w:tr>
      <w:tr w14:paraId="5F911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36E24624">
            <w:pPr>
              <w:tabs>
                <w:tab w:val="center" w:pos="4153"/>
                <w:tab w:val="right" w:pos="8306"/>
              </w:tabs>
              <w:adjustRightInd w:val="0"/>
              <w:snapToGrid w:val="0"/>
              <w:jc w:val="center"/>
              <w:rPr>
                <w:color w:val="auto"/>
                <w:sz w:val="18"/>
                <w:szCs w:val="18"/>
              </w:rPr>
            </w:pPr>
          </w:p>
        </w:tc>
        <w:tc>
          <w:tcPr>
            <w:tcW w:w="1436" w:type="dxa"/>
            <w:vAlign w:val="center"/>
          </w:tcPr>
          <w:p w14:paraId="4BB1F4C2">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007D3607">
            <w:pPr>
              <w:tabs>
                <w:tab w:val="center" w:pos="4153"/>
                <w:tab w:val="right" w:pos="8306"/>
              </w:tabs>
              <w:adjustRightInd w:val="0"/>
              <w:snapToGrid w:val="0"/>
              <w:jc w:val="center"/>
              <w:rPr>
                <w:color w:val="auto"/>
                <w:sz w:val="18"/>
                <w:szCs w:val="18"/>
              </w:rPr>
            </w:pPr>
            <w:r>
              <w:rPr>
                <w:rFonts w:hAnsi="宋体"/>
                <w:color w:val="auto"/>
                <w:sz w:val="18"/>
                <w:szCs w:val="18"/>
              </w:rPr>
              <w:t>平直光滑</w:t>
            </w:r>
          </w:p>
        </w:tc>
        <w:tc>
          <w:tcPr>
            <w:tcW w:w="1780" w:type="dxa"/>
            <w:vAlign w:val="center"/>
          </w:tcPr>
          <w:p w14:paraId="489AEEF3">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r>
              <w:rPr>
                <w:rFonts w:hAnsi="宋体"/>
                <w:color w:val="auto"/>
                <w:sz w:val="18"/>
                <w:szCs w:val="18"/>
              </w:rPr>
              <w:t>（无充填时）</w:t>
            </w:r>
          </w:p>
        </w:tc>
        <w:tc>
          <w:tcPr>
            <w:tcW w:w="1800" w:type="dxa"/>
            <w:vAlign w:val="center"/>
          </w:tcPr>
          <w:p w14:paraId="6A43E3AC">
            <w:pPr>
              <w:tabs>
                <w:tab w:val="center" w:pos="4153"/>
                <w:tab w:val="right" w:pos="8306"/>
              </w:tabs>
              <w:adjustRightInd w:val="0"/>
              <w:snapToGrid w:val="0"/>
              <w:rPr>
                <w:color w:val="auto"/>
                <w:sz w:val="18"/>
                <w:szCs w:val="18"/>
              </w:rPr>
            </w:pPr>
            <w:r>
              <w:rPr>
                <w:rFonts w:hAnsi="宋体"/>
                <w:color w:val="auto"/>
                <w:sz w:val="18"/>
                <w:szCs w:val="18"/>
              </w:rPr>
              <w:t>无充填或岩块、岩屑充填</w:t>
            </w:r>
          </w:p>
        </w:tc>
        <w:tc>
          <w:tcPr>
            <w:tcW w:w="1616" w:type="dxa"/>
            <w:vAlign w:val="center"/>
          </w:tcPr>
          <w:p w14:paraId="10AEE99E">
            <w:pPr>
              <w:tabs>
                <w:tab w:val="center" w:pos="4153"/>
                <w:tab w:val="right" w:pos="8306"/>
              </w:tabs>
              <w:adjustRightInd w:val="0"/>
              <w:snapToGrid w:val="0"/>
              <w:jc w:val="center"/>
              <w:rPr>
                <w:color w:val="auto"/>
                <w:sz w:val="18"/>
                <w:szCs w:val="18"/>
              </w:rPr>
            </w:pPr>
            <w:r>
              <w:rPr>
                <w:rFonts w:hAnsi="宋体"/>
                <w:color w:val="auto"/>
                <w:sz w:val="18"/>
                <w:szCs w:val="18"/>
              </w:rPr>
              <w:t>各种</w:t>
            </w:r>
            <w:r>
              <w:rPr>
                <w:rFonts w:hint="eastAsia" w:hAnsi="宋体"/>
                <w:color w:val="auto"/>
                <w:sz w:val="18"/>
                <w:szCs w:val="18"/>
              </w:rPr>
              <w:t>岩</w:t>
            </w:r>
            <w:r>
              <w:rPr>
                <w:rFonts w:hAnsi="宋体"/>
                <w:color w:val="auto"/>
                <w:sz w:val="18"/>
                <w:szCs w:val="18"/>
              </w:rPr>
              <w:t>层</w:t>
            </w:r>
          </w:p>
        </w:tc>
      </w:tr>
      <w:tr w14:paraId="0941E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0AB90730">
            <w:pPr>
              <w:tabs>
                <w:tab w:val="center" w:pos="4153"/>
                <w:tab w:val="right" w:pos="8306"/>
              </w:tabs>
              <w:adjustRightInd w:val="0"/>
              <w:snapToGrid w:val="0"/>
              <w:jc w:val="center"/>
              <w:rPr>
                <w:color w:val="auto"/>
                <w:sz w:val="18"/>
                <w:szCs w:val="18"/>
              </w:rPr>
            </w:pPr>
          </w:p>
        </w:tc>
        <w:tc>
          <w:tcPr>
            <w:tcW w:w="1436" w:type="dxa"/>
            <w:vAlign w:val="center"/>
          </w:tcPr>
          <w:p w14:paraId="5B29C5B4">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5B1D9058">
            <w:pPr>
              <w:tabs>
                <w:tab w:val="center" w:pos="4153"/>
                <w:tab w:val="right" w:pos="8306"/>
              </w:tabs>
              <w:adjustRightInd w:val="0"/>
              <w:snapToGrid w:val="0"/>
              <w:jc w:val="center"/>
              <w:rPr>
                <w:color w:val="auto"/>
                <w:sz w:val="18"/>
                <w:szCs w:val="18"/>
              </w:rPr>
            </w:pPr>
            <w:r>
              <w:rPr>
                <w:rFonts w:hAnsi="宋体"/>
                <w:color w:val="auto"/>
                <w:sz w:val="18"/>
                <w:szCs w:val="18"/>
              </w:rPr>
              <w:t>平直光滑</w:t>
            </w:r>
          </w:p>
        </w:tc>
        <w:tc>
          <w:tcPr>
            <w:tcW w:w="1780" w:type="dxa"/>
            <w:vAlign w:val="center"/>
          </w:tcPr>
          <w:p w14:paraId="0F4A8B36">
            <w:pPr>
              <w:tabs>
                <w:tab w:val="center" w:pos="4153"/>
                <w:tab w:val="right" w:pos="8306"/>
              </w:tabs>
              <w:adjustRightInd w:val="0"/>
              <w:snapToGrid w:val="0"/>
              <w:jc w:val="center"/>
              <w:rPr>
                <w:color w:val="auto"/>
                <w:sz w:val="18"/>
                <w:szCs w:val="18"/>
              </w:rPr>
            </w:pPr>
          </w:p>
        </w:tc>
        <w:tc>
          <w:tcPr>
            <w:tcW w:w="1800" w:type="dxa"/>
            <w:vAlign w:val="center"/>
          </w:tcPr>
          <w:p w14:paraId="60671ADE">
            <w:pPr>
              <w:tabs>
                <w:tab w:val="center" w:pos="4153"/>
                <w:tab w:val="right" w:pos="8306"/>
              </w:tabs>
              <w:adjustRightInd w:val="0"/>
              <w:snapToGrid w:val="0"/>
              <w:rPr>
                <w:color w:val="auto"/>
                <w:sz w:val="18"/>
                <w:szCs w:val="18"/>
              </w:rPr>
            </w:pPr>
            <w:r>
              <w:rPr>
                <w:rFonts w:hAnsi="宋体"/>
                <w:color w:val="auto"/>
                <w:sz w:val="18"/>
                <w:szCs w:val="18"/>
              </w:rPr>
              <w:t>岩块、岩屑夹泥或附泥膜</w:t>
            </w:r>
          </w:p>
        </w:tc>
        <w:tc>
          <w:tcPr>
            <w:tcW w:w="1616" w:type="dxa"/>
            <w:vAlign w:val="center"/>
          </w:tcPr>
          <w:p w14:paraId="60EBFCA5">
            <w:pPr>
              <w:tabs>
                <w:tab w:val="center" w:pos="4153"/>
                <w:tab w:val="right" w:pos="8306"/>
              </w:tabs>
              <w:adjustRightInd w:val="0"/>
              <w:snapToGrid w:val="0"/>
              <w:jc w:val="center"/>
              <w:rPr>
                <w:color w:val="auto"/>
                <w:sz w:val="18"/>
                <w:szCs w:val="18"/>
              </w:rPr>
            </w:pPr>
            <w:r>
              <w:rPr>
                <w:rFonts w:hAnsi="宋体"/>
                <w:color w:val="auto"/>
                <w:sz w:val="18"/>
                <w:szCs w:val="18"/>
              </w:rPr>
              <w:t>各种</w:t>
            </w:r>
            <w:r>
              <w:rPr>
                <w:rFonts w:hint="eastAsia" w:hAnsi="宋体"/>
                <w:color w:val="auto"/>
                <w:sz w:val="18"/>
                <w:szCs w:val="18"/>
              </w:rPr>
              <w:t>岩</w:t>
            </w:r>
            <w:r>
              <w:rPr>
                <w:rFonts w:hAnsi="宋体"/>
                <w:color w:val="auto"/>
                <w:sz w:val="18"/>
                <w:szCs w:val="18"/>
              </w:rPr>
              <w:t>层</w:t>
            </w:r>
          </w:p>
        </w:tc>
      </w:tr>
      <w:tr w14:paraId="2A660D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7BCB26D9">
            <w:pPr>
              <w:tabs>
                <w:tab w:val="center" w:pos="4153"/>
                <w:tab w:val="right" w:pos="8306"/>
              </w:tabs>
              <w:adjustRightInd w:val="0"/>
              <w:snapToGrid w:val="0"/>
              <w:jc w:val="center"/>
              <w:rPr>
                <w:color w:val="auto"/>
                <w:sz w:val="18"/>
                <w:szCs w:val="18"/>
              </w:rPr>
            </w:pPr>
          </w:p>
        </w:tc>
        <w:tc>
          <w:tcPr>
            <w:tcW w:w="1436" w:type="dxa"/>
            <w:vAlign w:val="center"/>
          </w:tcPr>
          <w:p w14:paraId="172F610B">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729A4F30">
            <w:pPr>
              <w:tabs>
                <w:tab w:val="center" w:pos="4153"/>
                <w:tab w:val="right" w:pos="8306"/>
              </w:tabs>
              <w:adjustRightInd w:val="0"/>
              <w:snapToGrid w:val="0"/>
              <w:jc w:val="center"/>
              <w:rPr>
                <w:color w:val="auto"/>
                <w:sz w:val="18"/>
                <w:szCs w:val="18"/>
              </w:rPr>
            </w:pPr>
            <w:r>
              <w:rPr>
                <w:rFonts w:hAnsi="宋体"/>
                <w:color w:val="auto"/>
                <w:sz w:val="18"/>
                <w:szCs w:val="18"/>
              </w:rPr>
              <w:t>平直光滑、</w:t>
            </w:r>
          </w:p>
          <w:p w14:paraId="619E0F89">
            <w:pPr>
              <w:tabs>
                <w:tab w:val="center" w:pos="4153"/>
                <w:tab w:val="right" w:pos="8306"/>
              </w:tabs>
              <w:adjustRightInd w:val="0"/>
              <w:snapToGrid w:val="0"/>
              <w:jc w:val="center"/>
              <w:rPr>
                <w:color w:val="auto"/>
                <w:sz w:val="18"/>
                <w:szCs w:val="18"/>
              </w:rPr>
            </w:pPr>
            <w:r>
              <w:rPr>
                <w:rFonts w:hAnsi="宋体"/>
                <w:color w:val="auto"/>
                <w:sz w:val="18"/>
                <w:szCs w:val="18"/>
              </w:rPr>
              <w:t>略有起伏</w:t>
            </w:r>
          </w:p>
        </w:tc>
        <w:tc>
          <w:tcPr>
            <w:tcW w:w="1780" w:type="dxa"/>
            <w:vAlign w:val="center"/>
          </w:tcPr>
          <w:p w14:paraId="66FAAEE6">
            <w:pPr>
              <w:tabs>
                <w:tab w:val="center" w:pos="4153"/>
                <w:tab w:val="right" w:pos="8306"/>
              </w:tabs>
              <w:adjustRightInd w:val="0"/>
              <w:snapToGrid w:val="0"/>
              <w:jc w:val="center"/>
              <w:rPr>
                <w:color w:val="auto"/>
                <w:sz w:val="18"/>
                <w:szCs w:val="18"/>
              </w:rPr>
            </w:pPr>
          </w:p>
        </w:tc>
        <w:tc>
          <w:tcPr>
            <w:tcW w:w="1800" w:type="dxa"/>
            <w:vAlign w:val="center"/>
          </w:tcPr>
          <w:p w14:paraId="33280777">
            <w:pPr>
              <w:tabs>
                <w:tab w:val="center" w:pos="4153"/>
                <w:tab w:val="right" w:pos="8306"/>
              </w:tabs>
              <w:adjustRightInd w:val="0"/>
              <w:snapToGrid w:val="0"/>
              <w:rPr>
                <w:color w:val="auto"/>
                <w:sz w:val="18"/>
                <w:szCs w:val="18"/>
              </w:rPr>
            </w:pPr>
            <w:r>
              <w:rPr>
                <w:rFonts w:hAnsi="宋体"/>
                <w:color w:val="auto"/>
                <w:sz w:val="18"/>
                <w:szCs w:val="18"/>
              </w:rPr>
              <w:t>泥质或泥夹岩屑充填</w:t>
            </w:r>
          </w:p>
        </w:tc>
        <w:tc>
          <w:tcPr>
            <w:tcW w:w="1616" w:type="dxa"/>
            <w:vAlign w:val="center"/>
          </w:tcPr>
          <w:p w14:paraId="4FB03B81">
            <w:pPr>
              <w:tabs>
                <w:tab w:val="center" w:pos="4153"/>
                <w:tab w:val="right" w:pos="8306"/>
              </w:tabs>
              <w:adjustRightInd w:val="0"/>
              <w:snapToGrid w:val="0"/>
              <w:jc w:val="center"/>
              <w:rPr>
                <w:color w:val="auto"/>
                <w:sz w:val="18"/>
                <w:szCs w:val="18"/>
              </w:rPr>
            </w:pPr>
            <w:r>
              <w:rPr>
                <w:rFonts w:hAnsi="宋体"/>
                <w:color w:val="auto"/>
                <w:sz w:val="18"/>
                <w:szCs w:val="18"/>
              </w:rPr>
              <w:t>各种</w:t>
            </w:r>
            <w:r>
              <w:rPr>
                <w:rFonts w:hint="eastAsia" w:hAnsi="宋体"/>
                <w:color w:val="auto"/>
                <w:sz w:val="18"/>
                <w:szCs w:val="18"/>
              </w:rPr>
              <w:t>岩</w:t>
            </w:r>
            <w:r>
              <w:rPr>
                <w:rFonts w:hAnsi="宋体"/>
                <w:color w:val="auto"/>
                <w:sz w:val="18"/>
                <w:szCs w:val="18"/>
              </w:rPr>
              <w:t>层</w:t>
            </w:r>
          </w:p>
        </w:tc>
      </w:tr>
      <w:tr w14:paraId="6B7F3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Merge w:val="continue"/>
            <w:vAlign w:val="center"/>
          </w:tcPr>
          <w:p w14:paraId="0520AF36">
            <w:pPr>
              <w:tabs>
                <w:tab w:val="center" w:pos="4153"/>
                <w:tab w:val="right" w:pos="8306"/>
              </w:tabs>
              <w:adjustRightInd w:val="0"/>
              <w:snapToGrid w:val="0"/>
              <w:jc w:val="center"/>
              <w:rPr>
                <w:color w:val="auto"/>
                <w:sz w:val="18"/>
                <w:szCs w:val="18"/>
              </w:rPr>
            </w:pPr>
          </w:p>
        </w:tc>
        <w:tc>
          <w:tcPr>
            <w:tcW w:w="1436" w:type="dxa"/>
            <w:vAlign w:val="center"/>
          </w:tcPr>
          <w:p w14:paraId="5B0B8304">
            <w:pPr>
              <w:tabs>
                <w:tab w:val="center" w:pos="4153"/>
                <w:tab w:val="right" w:pos="8306"/>
              </w:tabs>
              <w:adjustRightInd w:val="0"/>
              <w:snapToGrid w:val="0"/>
              <w:jc w:val="center"/>
              <w:rPr>
                <w:color w:val="auto"/>
                <w:sz w:val="18"/>
                <w:szCs w:val="18"/>
              </w:rPr>
            </w:pPr>
            <w:r>
              <w:rPr>
                <w:rFonts w:hAnsi="宋体"/>
                <w:color w:val="auto"/>
                <w:sz w:val="18"/>
                <w:szCs w:val="18"/>
              </w:rPr>
              <w:t>分离</w:t>
            </w:r>
          </w:p>
        </w:tc>
        <w:tc>
          <w:tcPr>
            <w:tcW w:w="1385" w:type="dxa"/>
            <w:vAlign w:val="center"/>
          </w:tcPr>
          <w:p w14:paraId="5B963F4F">
            <w:pPr>
              <w:tabs>
                <w:tab w:val="center" w:pos="4153"/>
                <w:tab w:val="right" w:pos="8306"/>
              </w:tabs>
              <w:adjustRightInd w:val="0"/>
              <w:snapToGrid w:val="0"/>
              <w:jc w:val="center"/>
              <w:rPr>
                <w:color w:val="auto"/>
                <w:sz w:val="18"/>
                <w:szCs w:val="18"/>
              </w:rPr>
            </w:pPr>
            <w:r>
              <w:rPr>
                <w:rFonts w:hAnsi="宋体"/>
                <w:color w:val="auto"/>
                <w:sz w:val="18"/>
                <w:szCs w:val="18"/>
              </w:rPr>
              <w:t>平直很光滑</w:t>
            </w:r>
          </w:p>
        </w:tc>
        <w:tc>
          <w:tcPr>
            <w:tcW w:w="1780" w:type="dxa"/>
            <w:vAlign w:val="center"/>
          </w:tcPr>
          <w:p w14:paraId="1E0996A8">
            <w:pPr>
              <w:tabs>
                <w:tab w:val="center" w:pos="4153"/>
                <w:tab w:val="right" w:pos="8306"/>
              </w:tabs>
              <w:adjustRightInd w:val="0"/>
              <w:snapToGrid w:val="0"/>
              <w:jc w:val="center"/>
              <w:rPr>
                <w:color w:val="auto"/>
                <w:sz w:val="18"/>
                <w:szCs w:val="18"/>
              </w:rPr>
            </w:pPr>
            <w:r>
              <w:rPr>
                <w:rFonts w:hint="eastAsia" w:hAnsi="宋体"/>
                <w:color w:val="auto"/>
                <w:sz w:val="18"/>
                <w:szCs w:val="18"/>
              </w:rPr>
              <w:t>≤</w:t>
            </w:r>
            <w:r>
              <w:rPr>
                <w:color w:val="auto"/>
                <w:sz w:val="18"/>
                <w:szCs w:val="18"/>
              </w:rPr>
              <w:t>3</w:t>
            </w:r>
          </w:p>
        </w:tc>
        <w:tc>
          <w:tcPr>
            <w:tcW w:w="1800" w:type="dxa"/>
            <w:vAlign w:val="center"/>
          </w:tcPr>
          <w:p w14:paraId="639BF498">
            <w:pPr>
              <w:tabs>
                <w:tab w:val="center" w:pos="4153"/>
                <w:tab w:val="right" w:pos="8306"/>
              </w:tabs>
              <w:adjustRightInd w:val="0"/>
              <w:snapToGrid w:val="0"/>
              <w:jc w:val="center"/>
              <w:rPr>
                <w:color w:val="auto"/>
                <w:sz w:val="18"/>
                <w:szCs w:val="18"/>
              </w:rPr>
            </w:pPr>
            <w:r>
              <w:rPr>
                <w:rFonts w:hAnsi="宋体"/>
                <w:color w:val="auto"/>
                <w:sz w:val="18"/>
                <w:szCs w:val="18"/>
              </w:rPr>
              <w:t>无充填</w:t>
            </w:r>
          </w:p>
        </w:tc>
        <w:tc>
          <w:tcPr>
            <w:tcW w:w="1616" w:type="dxa"/>
            <w:vAlign w:val="center"/>
          </w:tcPr>
          <w:p w14:paraId="0EA23CE2">
            <w:pPr>
              <w:tabs>
                <w:tab w:val="center" w:pos="4153"/>
                <w:tab w:val="right" w:pos="8306"/>
              </w:tabs>
              <w:adjustRightInd w:val="0"/>
              <w:snapToGrid w:val="0"/>
              <w:jc w:val="center"/>
              <w:rPr>
                <w:color w:val="auto"/>
                <w:sz w:val="18"/>
                <w:szCs w:val="18"/>
              </w:rPr>
            </w:pPr>
            <w:r>
              <w:rPr>
                <w:rFonts w:hAnsi="宋体"/>
                <w:color w:val="auto"/>
                <w:sz w:val="18"/>
                <w:szCs w:val="18"/>
              </w:rPr>
              <w:t>各种</w:t>
            </w:r>
            <w:r>
              <w:rPr>
                <w:rFonts w:hint="eastAsia" w:hAnsi="宋体"/>
                <w:color w:val="auto"/>
                <w:sz w:val="18"/>
                <w:szCs w:val="18"/>
              </w:rPr>
              <w:t>岩</w:t>
            </w:r>
            <w:r>
              <w:rPr>
                <w:rFonts w:hAnsi="宋体"/>
                <w:color w:val="auto"/>
                <w:sz w:val="18"/>
                <w:szCs w:val="18"/>
              </w:rPr>
              <w:t>层</w:t>
            </w:r>
          </w:p>
        </w:tc>
      </w:tr>
      <w:tr w14:paraId="4DC9C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0" w:type="dxa"/>
            <w:vAlign w:val="center"/>
          </w:tcPr>
          <w:p w14:paraId="08A53C79">
            <w:pPr>
              <w:tabs>
                <w:tab w:val="center" w:pos="4153"/>
                <w:tab w:val="right" w:pos="8306"/>
              </w:tabs>
              <w:adjustRightInd w:val="0"/>
              <w:snapToGrid w:val="0"/>
              <w:jc w:val="center"/>
              <w:rPr>
                <w:color w:val="auto"/>
                <w:sz w:val="18"/>
                <w:szCs w:val="18"/>
              </w:rPr>
            </w:pPr>
            <w:r>
              <w:rPr>
                <w:rFonts w:hAnsi="宋体"/>
                <w:color w:val="auto"/>
                <w:sz w:val="18"/>
                <w:szCs w:val="18"/>
              </w:rPr>
              <w:t>结合极差</w:t>
            </w:r>
          </w:p>
        </w:tc>
        <w:tc>
          <w:tcPr>
            <w:tcW w:w="1436" w:type="dxa"/>
            <w:vAlign w:val="center"/>
          </w:tcPr>
          <w:p w14:paraId="1E2301F0">
            <w:pPr>
              <w:tabs>
                <w:tab w:val="center" w:pos="4153"/>
                <w:tab w:val="right" w:pos="8306"/>
              </w:tabs>
              <w:adjustRightInd w:val="0"/>
              <w:snapToGrid w:val="0"/>
              <w:jc w:val="center"/>
              <w:rPr>
                <w:color w:val="auto"/>
                <w:sz w:val="18"/>
                <w:szCs w:val="18"/>
              </w:rPr>
            </w:pPr>
            <w:r>
              <w:rPr>
                <w:rFonts w:hAnsi="宋体"/>
                <w:color w:val="auto"/>
                <w:sz w:val="18"/>
                <w:szCs w:val="18"/>
              </w:rPr>
              <w:t>结合极差</w:t>
            </w:r>
          </w:p>
        </w:tc>
        <w:tc>
          <w:tcPr>
            <w:tcW w:w="1385" w:type="dxa"/>
            <w:vAlign w:val="center"/>
          </w:tcPr>
          <w:p w14:paraId="0393ABDA">
            <w:pPr>
              <w:tabs>
                <w:tab w:val="center" w:pos="4153"/>
                <w:tab w:val="right" w:pos="8306"/>
              </w:tabs>
              <w:adjustRightInd w:val="0"/>
              <w:snapToGrid w:val="0"/>
              <w:jc w:val="center"/>
              <w:rPr>
                <w:color w:val="auto"/>
                <w:sz w:val="18"/>
                <w:szCs w:val="18"/>
              </w:rPr>
            </w:pPr>
            <w:r>
              <w:rPr>
                <w:rFonts w:hint="eastAsia"/>
                <w:color w:val="auto"/>
                <w:sz w:val="18"/>
                <w:szCs w:val="18"/>
              </w:rPr>
              <w:t>－</w:t>
            </w:r>
          </w:p>
        </w:tc>
        <w:tc>
          <w:tcPr>
            <w:tcW w:w="1780" w:type="dxa"/>
            <w:vAlign w:val="center"/>
          </w:tcPr>
          <w:p w14:paraId="4D1990AC">
            <w:pPr>
              <w:tabs>
                <w:tab w:val="center" w:pos="4153"/>
                <w:tab w:val="right" w:pos="8306"/>
              </w:tabs>
              <w:adjustRightInd w:val="0"/>
              <w:snapToGrid w:val="0"/>
              <w:jc w:val="center"/>
              <w:rPr>
                <w:color w:val="auto"/>
                <w:sz w:val="18"/>
                <w:szCs w:val="18"/>
              </w:rPr>
            </w:pPr>
            <w:r>
              <w:rPr>
                <w:rFonts w:hint="eastAsia"/>
                <w:color w:val="auto"/>
                <w:sz w:val="18"/>
                <w:szCs w:val="18"/>
              </w:rPr>
              <w:t>－</w:t>
            </w:r>
          </w:p>
        </w:tc>
        <w:tc>
          <w:tcPr>
            <w:tcW w:w="1800" w:type="dxa"/>
            <w:vAlign w:val="center"/>
          </w:tcPr>
          <w:p w14:paraId="73C1EC29">
            <w:pPr>
              <w:tabs>
                <w:tab w:val="center" w:pos="4153"/>
                <w:tab w:val="right" w:pos="8306"/>
              </w:tabs>
              <w:adjustRightInd w:val="0"/>
              <w:snapToGrid w:val="0"/>
              <w:jc w:val="center"/>
              <w:rPr>
                <w:color w:val="auto"/>
                <w:sz w:val="18"/>
                <w:szCs w:val="18"/>
              </w:rPr>
            </w:pPr>
            <w:r>
              <w:rPr>
                <w:rFonts w:hAnsi="宋体"/>
                <w:color w:val="auto"/>
                <w:sz w:val="18"/>
                <w:szCs w:val="18"/>
              </w:rPr>
              <w:t>泥化夹层</w:t>
            </w:r>
          </w:p>
        </w:tc>
        <w:tc>
          <w:tcPr>
            <w:tcW w:w="1616" w:type="dxa"/>
            <w:vAlign w:val="center"/>
          </w:tcPr>
          <w:p w14:paraId="02122E76">
            <w:pPr>
              <w:tabs>
                <w:tab w:val="center" w:pos="4153"/>
                <w:tab w:val="right" w:pos="8306"/>
              </w:tabs>
              <w:adjustRightInd w:val="0"/>
              <w:snapToGrid w:val="0"/>
              <w:jc w:val="center"/>
              <w:rPr>
                <w:color w:val="auto"/>
                <w:sz w:val="18"/>
                <w:szCs w:val="18"/>
              </w:rPr>
            </w:pPr>
            <w:r>
              <w:rPr>
                <w:rFonts w:hAnsi="宋体"/>
                <w:color w:val="auto"/>
                <w:sz w:val="18"/>
                <w:szCs w:val="18"/>
              </w:rPr>
              <w:t>各种</w:t>
            </w:r>
            <w:r>
              <w:rPr>
                <w:rFonts w:hint="eastAsia" w:hAnsi="宋体"/>
                <w:color w:val="auto"/>
                <w:sz w:val="18"/>
                <w:szCs w:val="18"/>
              </w:rPr>
              <w:t>岩</w:t>
            </w:r>
            <w:r>
              <w:rPr>
                <w:rFonts w:hAnsi="宋体"/>
                <w:color w:val="auto"/>
                <w:sz w:val="18"/>
                <w:szCs w:val="18"/>
              </w:rPr>
              <w:t>层</w:t>
            </w:r>
          </w:p>
        </w:tc>
      </w:tr>
      <w:tr w14:paraId="60CB7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47" w:type="dxa"/>
            <w:gridSpan w:val="6"/>
            <w:vAlign w:val="center"/>
          </w:tcPr>
          <w:p w14:paraId="038A7010">
            <w:pPr>
              <w:snapToGrid w:val="0"/>
              <w:spacing w:line="240" w:lineRule="exact"/>
              <w:ind w:left="486" w:hanging="486" w:hangingChars="270"/>
              <w:rPr>
                <w:color w:val="auto"/>
                <w:sz w:val="18"/>
                <w:szCs w:val="18"/>
              </w:rPr>
            </w:pPr>
            <w:r>
              <w:rPr>
                <w:color w:val="auto"/>
                <w:sz w:val="18"/>
                <w:szCs w:val="18"/>
              </w:rPr>
              <w:t>注</w:t>
            </w:r>
            <w:r>
              <w:rPr>
                <w:b/>
                <w:color w:val="auto"/>
                <w:sz w:val="18"/>
                <w:szCs w:val="18"/>
              </w:rPr>
              <w:t>1</w:t>
            </w:r>
            <w:r>
              <w:rPr>
                <w:color w:val="auto"/>
                <w:sz w:val="18"/>
                <w:szCs w:val="18"/>
              </w:rPr>
              <w:t>：起伏度：当</w:t>
            </w:r>
            <w:r>
              <w:rPr>
                <w:i/>
                <w:color w:val="auto"/>
                <w:sz w:val="18"/>
                <w:szCs w:val="18"/>
              </w:rPr>
              <w:t>R</w:t>
            </w:r>
            <w:r>
              <w:rPr>
                <w:color w:val="auto"/>
                <w:sz w:val="18"/>
                <w:szCs w:val="18"/>
                <w:vertAlign w:val="subscript"/>
              </w:rPr>
              <w:t>A</w:t>
            </w:r>
            <w:r>
              <w:rPr>
                <w:color w:val="auto"/>
                <w:sz w:val="18"/>
                <w:szCs w:val="18"/>
              </w:rPr>
              <w:t>≤1%，平直；1％&lt;</w:t>
            </w:r>
            <w:r>
              <w:rPr>
                <w:i/>
                <w:color w:val="auto"/>
                <w:sz w:val="18"/>
                <w:szCs w:val="18"/>
              </w:rPr>
              <w:t>R</w:t>
            </w:r>
            <w:r>
              <w:rPr>
                <w:color w:val="auto"/>
                <w:sz w:val="18"/>
                <w:szCs w:val="18"/>
                <w:vertAlign w:val="subscript"/>
              </w:rPr>
              <w:t>A</w:t>
            </w:r>
            <w:r>
              <w:rPr>
                <w:color w:val="auto"/>
                <w:sz w:val="18"/>
                <w:szCs w:val="18"/>
              </w:rPr>
              <w:t>≤2%时，略有起伏，2％&lt;</w:t>
            </w:r>
            <w:r>
              <w:rPr>
                <w:i/>
                <w:color w:val="auto"/>
                <w:sz w:val="18"/>
                <w:szCs w:val="18"/>
              </w:rPr>
              <w:t>R</w:t>
            </w:r>
            <w:r>
              <w:rPr>
                <w:color w:val="auto"/>
                <w:sz w:val="18"/>
                <w:szCs w:val="18"/>
                <w:vertAlign w:val="subscript"/>
              </w:rPr>
              <w:t>A</w:t>
            </w:r>
            <w:r>
              <w:rPr>
                <w:color w:val="auto"/>
                <w:sz w:val="18"/>
                <w:szCs w:val="18"/>
              </w:rPr>
              <w:t>时为起伏，其中</w:t>
            </w:r>
            <w:r>
              <w:rPr>
                <w:i/>
                <w:color w:val="auto"/>
                <w:sz w:val="18"/>
                <w:szCs w:val="18"/>
              </w:rPr>
              <w:t>R</w:t>
            </w:r>
            <w:r>
              <w:rPr>
                <w:color w:val="auto"/>
                <w:sz w:val="18"/>
                <w:szCs w:val="18"/>
                <w:vertAlign w:val="subscript"/>
              </w:rPr>
              <w:t>A</w:t>
            </w:r>
            <w:r>
              <w:rPr>
                <w:color w:val="auto"/>
                <w:sz w:val="18"/>
                <w:szCs w:val="18"/>
              </w:rPr>
              <w:t>=</w:t>
            </w:r>
            <w:r>
              <w:rPr>
                <w:i/>
                <w:color w:val="auto"/>
                <w:sz w:val="18"/>
                <w:szCs w:val="18"/>
              </w:rPr>
              <w:t>A/L</w:t>
            </w:r>
            <w:r>
              <w:rPr>
                <w:color w:val="auto"/>
                <w:sz w:val="18"/>
                <w:szCs w:val="18"/>
              </w:rPr>
              <w:t>，A为连续结构面起伏幅度（cm），</w:t>
            </w:r>
            <w:r>
              <w:rPr>
                <w:i/>
                <w:color w:val="auto"/>
                <w:sz w:val="18"/>
                <w:szCs w:val="18"/>
              </w:rPr>
              <w:t>L</w:t>
            </w:r>
            <w:r>
              <w:rPr>
                <w:color w:val="auto"/>
                <w:sz w:val="18"/>
                <w:szCs w:val="18"/>
              </w:rPr>
              <w:t>为连续结构面取样长度（cm），测量范围</w:t>
            </w:r>
            <w:r>
              <w:rPr>
                <w:i/>
                <w:color w:val="auto"/>
                <w:sz w:val="18"/>
                <w:szCs w:val="18"/>
              </w:rPr>
              <w:t>L</w:t>
            </w:r>
            <w:r>
              <w:rPr>
                <w:color w:val="auto"/>
                <w:sz w:val="18"/>
                <w:szCs w:val="18"/>
              </w:rPr>
              <w:t>一般为（1.0~3.0）m；</w:t>
            </w:r>
          </w:p>
          <w:p w14:paraId="34ABE035">
            <w:pPr>
              <w:snapToGrid w:val="0"/>
              <w:spacing w:line="240" w:lineRule="exact"/>
              <w:ind w:left="472" w:hanging="472" w:hangingChars="295"/>
              <w:rPr>
                <w:color w:val="auto"/>
                <w:sz w:val="18"/>
                <w:szCs w:val="18"/>
              </w:rPr>
            </w:pPr>
            <w:r>
              <w:rPr>
                <w:rFonts w:hint="eastAsia"/>
                <w:color w:val="auto"/>
                <w:spacing w:val="-10"/>
                <w:sz w:val="18"/>
                <w:szCs w:val="18"/>
              </w:rPr>
              <w:t>注2</w:t>
            </w:r>
            <w:r>
              <w:rPr>
                <w:rFonts w:hint="eastAsia"/>
                <w:color w:val="auto"/>
                <w:sz w:val="18"/>
                <w:szCs w:val="18"/>
              </w:rPr>
              <w:t>：</w:t>
            </w:r>
            <w:r>
              <w:rPr>
                <w:color w:val="auto"/>
                <w:sz w:val="18"/>
                <w:szCs w:val="18"/>
              </w:rPr>
              <w:t>粗糙度：很光滑，感觉非常细腻如镜面；光滑，感觉比较细腻，无颗粒感觉；较粗糙，可以感觉到一定的颗粒状；粗糙，明显感觉到的颗粒状。</w:t>
            </w:r>
          </w:p>
        </w:tc>
      </w:tr>
    </w:tbl>
    <w:p w14:paraId="1247B0F1">
      <w:pPr>
        <w:rPr>
          <w:color w:val="auto"/>
        </w:rPr>
      </w:pPr>
    </w:p>
    <w:p w14:paraId="3CF60235">
      <w:pPr>
        <w:spacing w:line="340" w:lineRule="exact"/>
        <w:rPr>
          <w:color w:val="auto"/>
          <w:szCs w:val="21"/>
        </w:rPr>
      </w:pPr>
      <w:r>
        <w:rPr>
          <w:rFonts w:hint="eastAsia"/>
          <w:b/>
          <w:bCs/>
          <w:color w:val="auto"/>
          <w:szCs w:val="21"/>
        </w:rPr>
        <w:t>1</w:t>
      </w:r>
      <w:r>
        <w:rPr>
          <w:b/>
          <w:bCs/>
          <w:color w:val="auto"/>
          <w:szCs w:val="21"/>
        </w:rPr>
        <w:t>0.</w:t>
      </w:r>
      <w:r>
        <w:rPr>
          <w:rFonts w:hint="eastAsia"/>
          <w:b/>
          <w:bCs/>
          <w:color w:val="auto"/>
          <w:szCs w:val="21"/>
        </w:rPr>
        <w:t>5</w:t>
      </w:r>
      <w:r>
        <w:rPr>
          <w:b/>
          <w:bCs/>
          <w:color w:val="auto"/>
          <w:szCs w:val="21"/>
        </w:rPr>
        <w:t>.</w:t>
      </w:r>
      <w:r>
        <w:rPr>
          <w:rFonts w:hint="eastAsia"/>
          <w:b/>
          <w:bCs/>
          <w:color w:val="auto"/>
          <w:szCs w:val="21"/>
        </w:rPr>
        <w:t>9</w:t>
      </w:r>
      <w:r>
        <w:rPr>
          <w:b/>
          <w:color w:val="auto"/>
          <w:szCs w:val="21"/>
        </w:rPr>
        <w:t xml:space="preserve">  </w:t>
      </w:r>
      <w:r>
        <w:rPr>
          <w:rFonts w:hint="eastAsia" w:ascii="宋体" w:hAnsi="宋体"/>
          <w:color w:val="auto"/>
          <w:szCs w:val="21"/>
        </w:rPr>
        <w:t>当无试验资料和缺少当地经验时，天然状态或饱和状态岩体内摩擦角标准值可根据天然状态或饱和状态岩块的内摩擦角标准值结合边坡岩体完整程度按表</w:t>
      </w:r>
      <w:r>
        <w:rPr>
          <w:color w:val="auto"/>
          <w:szCs w:val="21"/>
        </w:rPr>
        <w:t>36</w:t>
      </w:r>
      <w:r>
        <w:rPr>
          <w:rFonts w:hint="eastAsia"/>
          <w:color w:val="auto"/>
          <w:szCs w:val="21"/>
        </w:rPr>
        <w:t>中系数</w:t>
      </w:r>
      <w:r>
        <w:rPr>
          <w:rFonts w:hint="eastAsia" w:ascii="宋体" w:hAnsi="宋体"/>
          <w:color w:val="auto"/>
          <w:szCs w:val="21"/>
        </w:rPr>
        <w:t>折减确定</w:t>
      </w:r>
      <w:r>
        <w:rPr>
          <w:rFonts w:hAnsi="宋体"/>
          <w:color w:val="auto"/>
          <w:szCs w:val="21"/>
        </w:rPr>
        <w:t>。</w:t>
      </w:r>
    </w:p>
    <w:p w14:paraId="74C8A0D7">
      <w:pPr>
        <w:adjustRightInd w:val="0"/>
        <w:snapToGrid w:val="0"/>
        <w:spacing w:before="120" w:line="360" w:lineRule="atLeast"/>
        <w:jc w:val="center"/>
        <w:rPr>
          <w:rFonts w:eastAsia="黑体"/>
          <w:b/>
          <w:bCs/>
          <w:color w:val="auto"/>
          <w:szCs w:val="21"/>
        </w:rPr>
      </w:pPr>
      <w:r>
        <w:rPr>
          <w:rFonts w:hint="eastAsia" w:eastAsia="黑体"/>
          <w:b/>
          <w:bCs/>
          <w:color w:val="auto"/>
          <w:szCs w:val="21"/>
        </w:rPr>
        <w:t>表</w:t>
      </w:r>
      <w:r>
        <w:rPr>
          <w:rFonts w:eastAsia="黑体"/>
          <w:b/>
          <w:bCs/>
          <w:color w:val="auto"/>
          <w:szCs w:val="21"/>
        </w:rPr>
        <w:t>36</w:t>
      </w:r>
      <w:r>
        <w:rPr>
          <w:rFonts w:hint="eastAsia" w:eastAsia="黑体"/>
          <w:b/>
          <w:bCs/>
          <w:color w:val="auto"/>
          <w:szCs w:val="21"/>
        </w:rPr>
        <w:t xml:space="preserve">  边坡岩体内摩擦角的折减系数</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542"/>
        <w:gridCol w:w="5650"/>
      </w:tblGrid>
      <w:tr w14:paraId="4B570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2" w:type="dxa"/>
            <w:vAlign w:val="center"/>
          </w:tcPr>
          <w:p w14:paraId="3D2DE305">
            <w:pPr>
              <w:tabs>
                <w:tab w:val="center" w:pos="4153"/>
                <w:tab w:val="right" w:pos="8306"/>
              </w:tabs>
              <w:snapToGrid w:val="0"/>
              <w:jc w:val="center"/>
              <w:rPr>
                <w:color w:val="auto"/>
                <w:sz w:val="18"/>
                <w:szCs w:val="18"/>
              </w:rPr>
            </w:pPr>
            <w:r>
              <w:rPr>
                <w:color w:val="auto"/>
                <w:sz w:val="18"/>
                <w:szCs w:val="18"/>
              </w:rPr>
              <w:t>边坡岩体完整程度</w:t>
            </w:r>
          </w:p>
        </w:tc>
        <w:tc>
          <w:tcPr>
            <w:tcW w:w="5650" w:type="dxa"/>
            <w:vAlign w:val="center"/>
          </w:tcPr>
          <w:p w14:paraId="1989F4CE">
            <w:pPr>
              <w:tabs>
                <w:tab w:val="center" w:pos="4153"/>
                <w:tab w:val="right" w:pos="8306"/>
              </w:tabs>
              <w:adjustRightInd w:val="0"/>
              <w:snapToGrid w:val="0"/>
              <w:jc w:val="center"/>
              <w:rPr>
                <w:color w:val="auto"/>
                <w:sz w:val="18"/>
                <w:szCs w:val="18"/>
              </w:rPr>
            </w:pPr>
            <w:r>
              <w:rPr>
                <w:rFonts w:hAnsi="宋体"/>
                <w:color w:val="auto"/>
                <w:sz w:val="18"/>
                <w:szCs w:val="18"/>
              </w:rPr>
              <w:t>内摩擦角的折减系数</w:t>
            </w:r>
          </w:p>
        </w:tc>
      </w:tr>
      <w:tr w14:paraId="0183E5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2" w:type="dxa"/>
            <w:vAlign w:val="center"/>
          </w:tcPr>
          <w:p w14:paraId="25392D5C">
            <w:pPr>
              <w:tabs>
                <w:tab w:val="center" w:pos="4153"/>
                <w:tab w:val="right" w:pos="8306"/>
              </w:tabs>
              <w:adjustRightInd w:val="0"/>
              <w:snapToGrid w:val="0"/>
              <w:jc w:val="center"/>
              <w:rPr>
                <w:color w:val="auto"/>
                <w:sz w:val="18"/>
                <w:szCs w:val="18"/>
              </w:rPr>
            </w:pPr>
            <w:r>
              <w:rPr>
                <w:rFonts w:hAnsi="宋体"/>
                <w:color w:val="auto"/>
                <w:sz w:val="18"/>
                <w:szCs w:val="18"/>
              </w:rPr>
              <w:t>完整</w:t>
            </w:r>
          </w:p>
        </w:tc>
        <w:tc>
          <w:tcPr>
            <w:tcW w:w="5650" w:type="dxa"/>
            <w:vAlign w:val="center"/>
          </w:tcPr>
          <w:p w14:paraId="4246A87C">
            <w:pPr>
              <w:tabs>
                <w:tab w:val="center" w:pos="4153"/>
                <w:tab w:val="right" w:pos="8306"/>
              </w:tabs>
              <w:adjustRightInd w:val="0"/>
              <w:snapToGrid w:val="0"/>
              <w:jc w:val="center"/>
              <w:rPr>
                <w:color w:val="auto"/>
                <w:sz w:val="18"/>
                <w:szCs w:val="18"/>
              </w:rPr>
            </w:pPr>
            <w:r>
              <w:rPr>
                <w:color w:val="auto"/>
                <w:sz w:val="18"/>
                <w:szCs w:val="18"/>
              </w:rPr>
              <w:t>0.95~0.90</w:t>
            </w:r>
          </w:p>
        </w:tc>
      </w:tr>
      <w:tr w14:paraId="19D77E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2" w:type="dxa"/>
            <w:vAlign w:val="center"/>
          </w:tcPr>
          <w:p w14:paraId="57CE9B00">
            <w:pPr>
              <w:tabs>
                <w:tab w:val="center" w:pos="4153"/>
                <w:tab w:val="right" w:pos="8306"/>
              </w:tabs>
              <w:adjustRightInd w:val="0"/>
              <w:snapToGrid w:val="0"/>
              <w:jc w:val="center"/>
              <w:rPr>
                <w:color w:val="auto"/>
                <w:sz w:val="18"/>
                <w:szCs w:val="18"/>
              </w:rPr>
            </w:pPr>
            <w:r>
              <w:rPr>
                <w:rFonts w:hAnsi="宋体"/>
                <w:color w:val="auto"/>
                <w:sz w:val="18"/>
                <w:szCs w:val="18"/>
              </w:rPr>
              <w:t>较完整</w:t>
            </w:r>
          </w:p>
        </w:tc>
        <w:tc>
          <w:tcPr>
            <w:tcW w:w="5650" w:type="dxa"/>
            <w:vAlign w:val="center"/>
          </w:tcPr>
          <w:p w14:paraId="4206625E">
            <w:pPr>
              <w:tabs>
                <w:tab w:val="center" w:pos="4153"/>
                <w:tab w:val="right" w:pos="8306"/>
              </w:tabs>
              <w:adjustRightInd w:val="0"/>
              <w:snapToGrid w:val="0"/>
              <w:jc w:val="center"/>
              <w:rPr>
                <w:color w:val="auto"/>
                <w:sz w:val="18"/>
                <w:szCs w:val="18"/>
              </w:rPr>
            </w:pPr>
            <w:r>
              <w:rPr>
                <w:color w:val="auto"/>
                <w:sz w:val="18"/>
                <w:szCs w:val="18"/>
              </w:rPr>
              <w:t>0.90~0.85</w:t>
            </w:r>
          </w:p>
        </w:tc>
      </w:tr>
      <w:tr w14:paraId="2725B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2" w:type="dxa"/>
            <w:vAlign w:val="center"/>
          </w:tcPr>
          <w:p w14:paraId="7CC5FD9E">
            <w:pPr>
              <w:tabs>
                <w:tab w:val="center" w:pos="4153"/>
                <w:tab w:val="right" w:pos="8306"/>
              </w:tabs>
              <w:adjustRightInd w:val="0"/>
              <w:snapToGrid w:val="0"/>
              <w:jc w:val="center"/>
              <w:rPr>
                <w:color w:val="auto"/>
                <w:sz w:val="18"/>
                <w:szCs w:val="18"/>
              </w:rPr>
            </w:pPr>
            <w:r>
              <w:rPr>
                <w:rFonts w:hAnsi="宋体"/>
                <w:color w:val="auto"/>
                <w:sz w:val="18"/>
                <w:szCs w:val="18"/>
              </w:rPr>
              <w:t>较破碎</w:t>
            </w:r>
          </w:p>
        </w:tc>
        <w:tc>
          <w:tcPr>
            <w:tcW w:w="5650" w:type="dxa"/>
            <w:vAlign w:val="center"/>
          </w:tcPr>
          <w:p w14:paraId="64A20832">
            <w:pPr>
              <w:tabs>
                <w:tab w:val="center" w:pos="4153"/>
                <w:tab w:val="right" w:pos="8306"/>
              </w:tabs>
              <w:adjustRightInd w:val="0"/>
              <w:snapToGrid w:val="0"/>
              <w:jc w:val="center"/>
              <w:rPr>
                <w:color w:val="auto"/>
                <w:sz w:val="18"/>
                <w:szCs w:val="18"/>
              </w:rPr>
            </w:pPr>
            <w:r>
              <w:rPr>
                <w:color w:val="auto"/>
                <w:sz w:val="18"/>
                <w:szCs w:val="18"/>
              </w:rPr>
              <w:t>0.85~0.80</w:t>
            </w:r>
          </w:p>
        </w:tc>
      </w:tr>
      <w:tr w14:paraId="667F2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92" w:type="dxa"/>
            <w:gridSpan w:val="2"/>
            <w:vAlign w:val="center"/>
          </w:tcPr>
          <w:p w14:paraId="2EF1F0FE">
            <w:pPr>
              <w:snapToGrid w:val="0"/>
              <w:spacing w:line="240" w:lineRule="atLeast"/>
              <w:rPr>
                <w:color w:val="auto"/>
                <w:sz w:val="18"/>
                <w:szCs w:val="18"/>
              </w:rPr>
            </w:pPr>
            <w:r>
              <w:rPr>
                <w:color w:val="auto"/>
                <w:sz w:val="18"/>
                <w:szCs w:val="18"/>
              </w:rPr>
              <w:t>注</w:t>
            </w:r>
            <w:r>
              <w:rPr>
                <w:b/>
                <w:color w:val="auto"/>
                <w:sz w:val="18"/>
                <w:szCs w:val="18"/>
              </w:rPr>
              <w:t>1</w:t>
            </w:r>
            <w:r>
              <w:rPr>
                <w:color w:val="auto"/>
                <w:sz w:val="18"/>
                <w:szCs w:val="18"/>
              </w:rPr>
              <w:t>：</w:t>
            </w:r>
            <w:r>
              <w:rPr>
                <w:rFonts w:hint="eastAsia"/>
                <w:color w:val="auto"/>
                <w:sz w:val="18"/>
                <w:szCs w:val="18"/>
              </w:rPr>
              <w:t>残积土层</w:t>
            </w:r>
            <w:r>
              <w:rPr>
                <w:color w:val="auto"/>
                <w:sz w:val="18"/>
                <w:szCs w:val="18"/>
              </w:rPr>
              <w:t>可按成份相同的土层考虑；</w:t>
            </w:r>
          </w:p>
          <w:p w14:paraId="7B682A37">
            <w:pPr>
              <w:snapToGrid w:val="0"/>
              <w:spacing w:line="240" w:lineRule="atLeast"/>
              <w:rPr>
                <w:color w:val="auto"/>
                <w:sz w:val="18"/>
                <w:szCs w:val="18"/>
              </w:rPr>
            </w:pPr>
            <w:r>
              <w:rPr>
                <w:color w:val="auto"/>
                <w:sz w:val="18"/>
                <w:szCs w:val="18"/>
              </w:rPr>
              <w:t>注</w:t>
            </w:r>
            <w:r>
              <w:rPr>
                <w:b/>
                <w:color w:val="auto"/>
                <w:sz w:val="18"/>
                <w:szCs w:val="18"/>
              </w:rPr>
              <w:t>2</w:t>
            </w:r>
            <w:r>
              <w:rPr>
                <w:color w:val="auto"/>
                <w:sz w:val="18"/>
                <w:szCs w:val="18"/>
              </w:rPr>
              <w:t>：强风化基岩可根据地方经验进行适当折减。</w:t>
            </w:r>
          </w:p>
        </w:tc>
      </w:tr>
    </w:tbl>
    <w:p w14:paraId="6EB9788A">
      <w:pPr>
        <w:snapToGrid w:val="0"/>
        <w:spacing w:line="340" w:lineRule="atLeast"/>
        <w:rPr>
          <w:color w:val="auto"/>
          <w:szCs w:val="21"/>
        </w:rPr>
      </w:pPr>
    </w:p>
    <w:p w14:paraId="588C8BA2">
      <w:pPr>
        <w:snapToGrid w:val="0"/>
        <w:spacing w:line="340" w:lineRule="atLeast"/>
        <w:rPr>
          <w:color w:val="auto"/>
          <w:szCs w:val="21"/>
        </w:rPr>
      </w:pPr>
      <w:r>
        <w:rPr>
          <w:rFonts w:hint="eastAsia"/>
          <w:b/>
          <w:bCs/>
          <w:color w:val="auto"/>
          <w:szCs w:val="21"/>
        </w:rPr>
        <w:t>1</w:t>
      </w:r>
      <w:r>
        <w:rPr>
          <w:b/>
          <w:bCs/>
          <w:color w:val="auto"/>
          <w:szCs w:val="21"/>
        </w:rPr>
        <w:t>0.</w:t>
      </w:r>
      <w:r>
        <w:rPr>
          <w:rFonts w:hint="eastAsia"/>
          <w:b/>
          <w:bCs/>
          <w:color w:val="auto"/>
          <w:szCs w:val="21"/>
        </w:rPr>
        <w:t>5</w:t>
      </w:r>
      <w:r>
        <w:rPr>
          <w:b/>
          <w:bCs/>
          <w:color w:val="auto"/>
          <w:szCs w:val="21"/>
        </w:rPr>
        <w:t>.</w:t>
      </w:r>
      <w:r>
        <w:rPr>
          <w:rFonts w:hint="eastAsia"/>
          <w:b/>
          <w:bCs/>
          <w:color w:val="auto"/>
          <w:szCs w:val="21"/>
        </w:rPr>
        <w:t>10</w:t>
      </w:r>
      <w:r>
        <w:rPr>
          <w:color w:val="auto"/>
          <w:szCs w:val="21"/>
        </w:rPr>
        <w:t xml:space="preserve">  </w:t>
      </w:r>
      <w:r>
        <w:rPr>
          <w:rFonts w:hint="eastAsia" w:ascii="宋体" w:hAnsi="宋体"/>
          <w:color w:val="auto"/>
          <w:szCs w:val="21"/>
        </w:rPr>
        <w:t>边坡岩体等效内摩擦角宜按当地经验确定。当缺乏当地经验时，可按</w:t>
      </w:r>
      <w:r>
        <w:rPr>
          <w:rFonts w:hAnsi="宋体"/>
          <w:color w:val="auto"/>
          <w:szCs w:val="21"/>
        </w:rPr>
        <w:t>表</w:t>
      </w:r>
      <w:r>
        <w:rPr>
          <w:color w:val="auto"/>
          <w:szCs w:val="21"/>
        </w:rPr>
        <w:t>37</w:t>
      </w:r>
      <w:r>
        <w:rPr>
          <w:rFonts w:hint="eastAsia" w:ascii="宋体" w:hAnsi="宋体"/>
          <w:color w:val="auto"/>
          <w:szCs w:val="21"/>
        </w:rPr>
        <w:t>取值</w:t>
      </w:r>
      <w:r>
        <w:rPr>
          <w:rFonts w:hAnsi="宋体"/>
          <w:color w:val="auto"/>
          <w:szCs w:val="21"/>
        </w:rPr>
        <w:t>。</w:t>
      </w:r>
    </w:p>
    <w:p w14:paraId="59418CE0">
      <w:pPr>
        <w:adjustRightInd w:val="0"/>
        <w:snapToGrid w:val="0"/>
        <w:spacing w:before="120" w:line="360" w:lineRule="atLeast"/>
        <w:jc w:val="center"/>
        <w:rPr>
          <w:rFonts w:eastAsia="黑体"/>
          <w:b/>
          <w:bCs/>
          <w:color w:val="auto"/>
          <w:szCs w:val="21"/>
        </w:rPr>
      </w:pPr>
      <w:r>
        <w:rPr>
          <w:rFonts w:eastAsia="黑体"/>
          <w:b/>
          <w:bCs/>
          <w:color w:val="auto"/>
          <w:szCs w:val="21"/>
        </w:rPr>
        <w:t>表37</w:t>
      </w:r>
      <w:r>
        <w:rPr>
          <w:rFonts w:hint="eastAsia" w:eastAsia="黑体"/>
          <w:b/>
          <w:bCs/>
          <w:color w:val="auto"/>
          <w:szCs w:val="21"/>
        </w:rPr>
        <w:t xml:space="preserve">  边坡岩体等效内摩擦角标准值</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45"/>
        <w:gridCol w:w="1778"/>
        <w:gridCol w:w="1820"/>
        <w:gridCol w:w="1800"/>
        <w:gridCol w:w="1741"/>
      </w:tblGrid>
      <w:tr w14:paraId="167F3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045" w:type="dxa"/>
            <w:vAlign w:val="center"/>
          </w:tcPr>
          <w:p w14:paraId="0400FCA5">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边坡岩体类型</w:t>
            </w:r>
          </w:p>
        </w:tc>
        <w:tc>
          <w:tcPr>
            <w:tcW w:w="1778" w:type="dxa"/>
            <w:vAlign w:val="center"/>
          </w:tcPr>
          <w:p w14:paraId="0FD6EFD1">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Ⅰ</w:t>
            </w:r>
          </w:p>
        </w:tc>
        <w:tc>
          <w:tcPr>
            <w:tcW w:w="1820" w:type="dxa"/>
            <w:vAlign w:val="center"/>
          </w:tcPr>
          <w:p w14:paraId="1E9C35C5">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Ⅱ</w:t>
            </w:r>
          </w:p>
        </w:tc>
        <w:tc>
          <w:tcPr>
            <w:tcW w:w="1800" w:type="dxa"/>
            <w:vAlign w:val="center"/>
          </w:tcPr>
          <w:p w14:paraId="486951BC">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Ⅲ</w:t>
            </w:r>
          </w:p>
        </w:tc>
        <w:tc>
          <w:tcPr>
            <w:tcW w:w="1741" w:type="dxa"/>
            <w:vAlign w:val="center"/>
          </w:tcPr>
          <w:p w14:paraId="1869C128">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Ⅳ</w:t>
            </w:r>
          </w:p>
        </w:tc>
      </w:tr>
      <w:tr w14:paraId="17175D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045" w:type="dxa"/>
            <w:vAlign w:val="center"/>
          </w:tcPr>
          <w:p w14:paraId="789FAD68">
            <w:pPr>
              <w:tabs>
                <w:tab w:val="center" w:pos="4153"/>
                <w:tab w:val="right" w:pos="8306"/>
              </w:tabs>
              <w:snapToGrid w:val="0"/>
              <w:jc w:val="center"/>
              <w:rPr>
                <w:rFonts w:ascii="Goudy Old Style" w:hAnsi="Goudy Old Style"/>
                <w:color w:val="auto"/>
                <w:sz w:val="18"/>
                <w:szCs w:val="18"/>
              </w:rPr>
            </w:pPr>
            <w:r>
              <w:rPr>
                <w:rFonts w:ascii="Goudy Old Style" w:hAnsi="宋体"/>
                <w:color w:val="auto"/>
                <w:sz w:val="18"/>
                <w:szCs w:val="18"/>
              </w:rPr>
              <w:t>等效内摩擦角</w:t>
            </w:r>
          </w:p>
          <w:p w14:paraId="786A638C">
            <w:pPr>
              <w:tabs>
                <w:tab w:val="center" w:pos="4153"/>
                <w:tab w:val="right" w:pos="8306"/>
              </w:tabs>
              <w:snapToGrid w:val="0"/>
              <w:jc w:val="center"/>
              <w:rPr>
                <w:rFonts w:ascii="Goudy Old Style" w:hAnsi="Goudy Old Style"/>
                <w:color w:val="auto"/>
                <w:sz w:val="18"/>
                <w:szCs w:val="18"/>
              </w:rPr>
            </w:pPr>
            <w:r>
              <w:rPr>
                <w:rFonts w:ascii="Goudy Old Style" w:hAnsi="Goudy Old Style"/>
                <w:i/>
                <w:color w:val="auto"/>
                <w:position w:val="-12"/>
                <w:sz w:val="18"/>
                <w:szCs w:val="18"/>
              </w:rPr>
              <w:object>
                <v:shape id="_x0000_i1241" o:spt="75" type="#_x0000_t75" style="height:15pt;width:15pt;" o:ole="t" filled="f" o:preferrelative="t" stroked="f" coordsize="21600,21600">
                  <v:path/>
                  <v:fill on="f" focussize="0,0"/>
                  <v:stroke on="f" joinstyle="miter"/>
                  <v:imagedata r:id="rId424" o:title=""/>
                  <o:lock v:ext="edit" aspectratio="t"/>
                  <w10:wrap type="none"/>
                  <w10:anchorlock/>
                </v:shape>
                <o:OLEObject Type="Embed" ProgID="Equation.3" ShapeID="_x0000_i1241" DrawAspect="Content" ObjectID="_1468075941" r:id="rId423">
                  <o:LockedField>false</o:LockedField>
                </o:OLEObject>
              </w:object>
            </w:r>
            <w:r>
              <w:rPr>
                <w:rFonts w:ascii="Goudy Old Style" w:hAnsi="宋体"/>
                <w:color w:val="auto"/>
                <w:sz w:val="18"/>
                <w:szCs w:val="18"/>
              </w:rPr>
              <w:t>（</w:t>
            </w:r>
            <w:r>
              <w:rPr>
                <w:rFonts w:ascii="Goudy Old Style" w:hAnsi="Goudy Old Style"/>
                <w:color w:val="auto"/>
                <w:sz w:val="18"/>
                <w:szCs w:val="18"/>
              </w:rPr>
              <w:t>°</w:t>
            </w:r>
            <w:r>
              <w:rPr>
                <w:rFonts w:ascii="Goudy Old Style" w:hAnsi="宋体"/>
                <w:color w:val="auto"/>
                <w:sz w:val="18"/>
                <w:szCs w:val="18"/>
              </w:rPr>
              <w:t>）</w:t>
            </w:r>
          </w:p>
        </w:tc>
        <w:tc>
          <w:tcPr>
            <w:tcW w:w="1778" w:type="dxa"/>
            <w:vAlign w:val="center"/>
          </w:tcPr>
          <w:p w14:paraId="321FBAF2">
            <w:pPr>
              <w:tabs>
                <w:tab w:val="center" w:pos="4153"/>
                <w:tab w:val="right" w:pos="8306"/>
              </w:tabs>
              <w:snapToGrid w:val="0"/>
              <w:jc w:val="center"/>
              <w:rPr>
                <w:rFonts w:ascii="Goudy Old Style" w:hAnsi="Goudy Old Style"/>
                <w:color w:val="auto"/>
                <w:sz w:val="18"/>
                <w:szCs w:val="18"/>
              </w:rPr>
            </w:pPr>
            <w:r>
              <w:rPr>
                <w:rFonts w:ascii="Goudy Old Style" w:hAnsi="Goudy Old Style"/>
                <w:i/>
                <w:color w:val="auto"/>
                <w:position w:val="-12"/>
                <w:sz w:val="18"/>
                <w:szCs w:val="18"/>
              </w:rPr>
              <w:object>
                <v:shape id="_x0000_i1242" o:spt="75" type="#_x0000_t75" style="height:15pt;width:15pt;" o:ole="t" filled="f" o:preferrelative="t" stroked="f" coordsize="21600,21600">
                  <v:path/>
                  <v:fill on="f" focussize="0,0"/>
                  <v:stroke on="f" joinstyle="miter"/>
                  <v:imagedata r:id="rId426" o:title=""/>
                  <o:lock v:ext="edit" aspectratio="t"/>
                  <w10:wrap type="none"/>
                  <w10:anchorlock/>
                </v:shape>
                <o:OLEObject Type="Embed" ProgID="Equation.3" ShapeID="_x0000_i1242" DrawAspect="Content" ObjectID="_1468075942" r:id="rId425">
                  <o:LockedField>false</o:LockedField>
                </o:OLEObject>
              </w:object>
            </w:r>
            <w:r>
              <w:rPr>
                <w:rFonts w:ascii="Goudy Old Style" w:hAnsi="Goudy Old Style"/>
                <w:color w:val="auto"/>
                <w:sz w:val="18"/>
                <w:szCs w:val="18"/>
              </w:rPr>
              <w:t>&gt;</w:t>
            </w:r>
            <w:r>
              <w:rPr>
                <w:color w:val="auto"/>
                <w:sz w:val="18"/>
                <w:szCs w:val="18"/>
              </w:rPr>
              <w:t>72</w:t>
            </w:r>
          </w:p>
        </w:tc>
        <w:tc>
          <w:tcPr>
            <w:tcW w:w="1820" w:type="dxa"/>
            <w:vAlign w:val="center"/>
          </w:tcPr>
          <w:p w14:paraId="26DEFF3B">
            <w:pPr>
              <w:tabs>
                <w:tab w:val="center" w:pos="4153"/>
                <w:tab w:val="right" w:pos="8306"/>
              </w:tabs>
              <w:snapToGrid w:val="0"/>
              <w:jc w:val="center"/>
              <w:rPr>
                <w:rFonts w:ascii="Goudy Old Style" w:hAnsi="Goudy Old Style"/>
                <w:color w:val="auto"/>
                <w:sz w:val="18"/>
                <w:szCs w:val="18"/>
              </w:rPr>
            </w:pPr>
            <w:r>
              <w:rPr>
                <w:color w:val="auto"/>
                <w:sz w:val="18"/>
                <w:szCs w:val="18"/>
              </w:rPr>
              <w:t>72</w:t>
            </w:r>
            <w:r>
              <w:rPr>
                <w:rFonts w:ascii="Goudy Old Style" w:hAnsi="Goudy Old Style"/>
                <w:color w:val="auto"/>
                <w:sz w:val="18"/>
                <w:szCs w:val="18"/>
              </w:rPr>
              <w:t>≥</w:t>
            </w:r>
            <w:r>
              <w:rPr>
                <w:rFonts w:ascii="Goudy Old Style" w:hAnsi="Goudy Old Style"/>
                <w:i/>
                <w:color w:val="auto"/>
                <w:position w:val="-12"/>
                <w:sz w:val="18"/>
                <w:szCs w:val="18"/>
              </w:rPr>
              <w:object>
                <v:shape id="_x0000_i1243" o:spt="75" type="#_x0000_t75" style="height:15pt;width:15pt;" o:ole="t" filled="f" o:preferrelative="t" stroked="f" coordsize="21600,21600">
                  <v:path/>
                  <v:fill on="f" focussize="0,0"/>
                  <v:stroke on="f" joinstyle="miter"/>
                  <v:imagedata r:id="rId426" o:title=""/>
                  <o:lock v:ext="edit" aspectratio="t"/>
                  <w10:wrap type="none"/>
                  <w10:anchorlock/>
                </v:shape>
                <o:OLEObject Type="Embed" ProgID="Equation.3" ShapeID="_x0000_i1243" DrawAspect="Content" ObjectID="_1468075943" r:id="rId427">
                  <o:LockedField>false</o:LockedField>
                </o:OLEObject>
              </w:object>
            </w:r>
            <w:r>
              <w:rPr>
                <w:rFonts w:ascii="Goudy Old Style" w:hAnsi="宋体"/>
                <w:color w:val="auto"/>
                <w:sz w:val="18"/>
                <w:szCs w:val="18"/>
              </w:rPr>
              <w:t>＞</w:t>
            </w:r>
            <w:r>
              <w:rPr>
                <w:color w:val="auto"/>
                <w:sz w:val="18"/>
                <w:szCs w:val="18"/>
              </w:rPr>
              <w:t>62</w:t>
            </w:r>
          </w:p>
        </w:tc>
        <w:tc>
          <w:tcPr>
            <w:tcW w:w="1800" w:type="dxa"/>
            <w:vAlign w:val="center"/>
          </w:tcPr>
          <w:p w14:paraId="3BDFAFB6">
            <w:pPr>
              <w:tabs>
                <w:tab w:val="center" w:pos="4153"/>
                <w:tab w:val="right" w:pos="8306"/>
              </w:tabs>
              <w:snapToGrid w:val="0"/>
              <w:jc w:val="center"/>
              <w:rPr>
                <w:rFonts w:ascii="Goudy Old Style" w:hAnsi="Goudy Old Style"/>
                <w:color w:val="auto"/>
                <w:sz w:val="18"/>
                <w:szCs w:val="18"/>
              </w:rPr>
            </w:pPr>
            <w:r>
              <w:rPr>
                <w:color w:val="auto"/>
                <w:sz w:val="18"/>
                <w:szCs w:val="18"/>
              </w:rPr>
              <w:t>62</w:t>
            </w:r>
            <w:r>
              <w:rPr>
                <w:rFonts w:ascii="Goudy Old Style" w:hAnsi="Goudy Old Style"/>
                <w:color w:val="auto"/>
                <w:sz w:val="18"/>
                <w:szCs w:val="18"/>
              </w:rPr>
              <w:t>≥</w:t>
            </w:r>
            <w:r>
              <w:rPr>
                <w:rFonts w:ascii="Goudy Old Style" w:hAnsi="Goudy Old Style"/>
                <w:i/>
                <w:color w:val="auto"/>
                <w:position w:val="-12"/>
                <w:sz w:val="18"/>
                <w:szCs w:val="18"/>
              </w:rPr>
              <w:object>
                <v:shape id="_x0000_i1244" o:spt="75" type="#_x0000_t75" style="height:15pt;width:15pt;" o:ole="t" filled="f" o:preferrelative="t" stroked="f" coordsize="21600,21600">
                  <v:path/>
                  <v:fill on="f" focussize="0,0"/>
                  <v:stroke on="f" joinstyle="miter"/>
                  <v:imagedata r:id="rId426" o:title=""/>
                  <o:lock v:ext="edit" aspectratio="t"/>
                  <w10:wrap type="none"/>
                  <w10:anchorlock/>
                </v:shape>
                <o:OLEObject Type="Embed" ProgID="Equation.3" ShapeID="_x0000_i1244" DrawAspect="Content" ObjectID="_1468075944" r:id="rId428">
                  <o:LockedField>false</o:LockedField>
                </o:OLEObject>
              </w:object>
            </w:r>
            <w:r>
              <w:rPr>
                <w:rFonts w:ascii="Goudy Old Style" w:hAnsi="宋体"/>
                <w:color w:val="auto"/>
                <w:sz w:val="18"/>
                <w:szCs w:val="18"/>
              </w:rPr>
              <w:t>＞</w:t>
            </w:r>
            <w:r>
              <w:rPr>
                <w:color w:val="auto"/>
                <w:sz w:val="18"/>
                <w:szCs w:val="18"/>
              </w:rPr>
              <w:t>52</w:t>
            </w:r>
          </w:p>
        </w:tc>
        <w:tc>
          <w:tcPr>
            <w:tcW w:w="1741" w:type="dxa"/>
            <w:vAlign w:val="center"/>
          </w:tcPr>
          <w:p w14:paraId="3AF3B866">
            <w:pPr>
              <w:tabs>
                <w:tab w:val="center" w:pos="4153"/>
                <w:tab w:val="right" w:pos="8306"/>
              </w:tabs>
              <w:snapToGrid w:val="0"/>
              <w:jc w:val="center"/>
              <w:rPr>
                <w:rFonts w:ascii="Goudy Old Style" w:hAnsi="Goudy Old Style"/>
                <w:color w:val="auto"/>
                <w:sz w:val="18"/>
                <w:szCs w:val="18"/>
              </w:rPr>
            </w:pPr>
            <w:r>
              <w:rPr>
                <w:color w:val="auto"/>
                <w:sz w:val="18"/>
                <w:szCs w:val="18"/>
              </w:rPr>
              <w:t>52</w:t>
            </w:r>
            <w:r>
              <w:rPr>
                <w:rFonts w:ascii="Goudy Old Style" w:hAnsi="Goudy Old Style"/>
                <w:color w:val="auto"/>
                <w:sz w:val="18"/>
                <w:szCs w:val="18"/>
              </w:rPr>
              <w:t>≥</w:t>
            </w:r>
            <w:r>
              <w:rPr>
                <w:rFonts w:ascii="Goudy Old Style" w:hAnsi="Goudy Old Style"/>
                <w:i/>
                <w:color w:val="auto"/>
                <w:position w:val="-12"/>
                <w:sz w:val="18"/>
                <w:szCs w:val="18"/>
              </w:rPr>
              <w:object>
                <v:shape id="_x0000_i1245" o:spt="75" type="#_x0000_t75" style="height:15pt;width:15pt;" o:ole="t" filled="f" o:preferrelative="t" stroked="f" coordsize="21600,21600">
                  <v:path/>
                  <v:fill on="f" focussize="0,0"/>
                  <v:stroke on="f" joinstyle="miter"/>
                  <v:imagedata r:id="rId426" o:title=""/>
                  <o:lock v:ext="edit" aspectratio="t"/>
                  <w10:wrap type="none"/>
                  <w10:anchorlock/>
                </v:shape>
                <o:OLEObject Type="Embed" ProgID="Equation.3" ShapeID="_x0000_i1245" DrawAspect="Content" ObjectID="_1468075945" r:id="rId429">
                  <o:LockedField>false</o:LockedField>
                </o:OLEObject>
              </w:object>
            </w:r>
            <w:r>
              <w:rPr>
                <w:rFonts w:ascii="Goudy Old Style" w:hAnsi="宋体"/>
                <w:color w:val="auto"/>
                <w:sz w:val="18"/>
                <w:szCs w:val="18"/>
              </w:rPr>
              <w:t>＞</w:t>
            </w:r>
            <w:r>
              <w:rPr>
                <w:color w:val="auto"/>
                <w:sz w:val="18"/>
                <w:szCs w:val="18"/>
              </w:rPr>
              <w:t>42</w:t>
            </w:r>
          </w:p>
        </w:tc>
      </w:tr>
      <w:tr w14:paraId="718DD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84" w:type="dxa"/>
            <w:gridSpan w:val="5"/>
            <w:vAlign w:val="center"/>
          </w:tcPr>
          <w:p w14:paraId="367101F7">
            <w:pPr>
              <w:snapToGrid w:val="0"/>
              <w:spacing w:line="240" w:lineRule="atLeast"/>
              <w:rPr>
                <w:color w:val="auto"/>
                <w:sz w:val="18"/>
                <w:szCs w:val="18"/>
              </w:rPr>
            </w:pPr>
            <w:r>
              <w:rPr>
                <w:color w:val="auto"/>
                <w:sz w:val="18"/>
                <w:szCs w:val="18"/>
              </w:rPr>
              <w:t>注</w:t>
            </w:r>
            <w:r>
              <w:rPr>
                <w:b/>
                <w:color w:val="auto"/>
                <w:sz w:val="18"/>
                <w:szCs w:val="18"/>
              </w:rPr>
              <w:t>1</w:t>
            </w:r>
            <w:r>
              <w:rPr>
                <w:color w:val="auto"/>
                <w:sz w:val="18"/>
                <w:szCs w:val="18"/>
              </w:rPr>
              <w:t>：适用于高度为不大于30m的边坡。当高度大于30m时，应做专门研究；</w:t>
            </w:r>
          </w:p>
          <w:p w14:paraId="0CEB744C">
            <w:pPr>
              <w:snapToGrid w:val="0"/>
              <w:spacing w:line="240" w:lineRule="atLeast"/>
              <w:ind w:left="540" w:hanging="540" w:hangingChars="300"/>
              <w:rPr>
                <w:color w:val="auto"/>
                <w:sz w:val="18"/>
                <w:szCs w:val="18"/>
              </w:rPr>
            </w:pPr>
            <w:r>
              <w:rPr>
                <w:color w:val="auto"/>
                <w:sz w:val="18"/>
                <w:szCs w:val="18"/>
              </w:rPr>
              <w:t>注</w:t>
            </w:r>
            <w:r>
              <w:rPr>
                <w:b/>
                <w:color w:val="auto"/>
                <w:sz w:val="18"/>
                <w:szCs w:val="18"/>
              </w:rPr>
              <w:t>2</w:t>
            </w:r>
            <w:r>
              <w:rPr>
                <w:color w:val="auto"/>
                <w:sz w:val="18"/>
                <w:szCs w:val="18"/>
              </w:rPr>
              <w:t>： 边坡高度较大时宜取较小值；高度较小时宜取较大值；当边坡岩体变化较大时，应按同等高度段分别取值；</w:t>
            </w:r>
          </w:p>
          <w:p w14:paraId="6A65964B">
            <w:pPr>
              <w:snapToGrid w:val="0"/>
              <w:spacing w:line="240" w:lineRule="atLeast"/>
              <w:ind w:left="540" w:hanging="540" w:hangingChars="300"/>
              <w:rPr>
                <w:color w:val="auto"/>
                <w:sz w:val="18"/>
                <w:szCs w:val="18"/>
              </w:rPr>
            </w:pPr>
            <w:r>
              <w:rPr>
                <w:color w:val="auto"/>
                <w:sz w:val="18"/>
                <w:szCs w:val="18"/>
              </w:rPr>
              <w:t>注</w:t>
            </w:r>
            <w:r>
              <w:rPr>
                <w:b/>
                <w:color w:val="auto"/>
                <w:sz w:val="18"/>
                <w:szCs w:val="18"/>
              </w:rPr>
              <w:t>3</w:t>
            </w:r>
            <w:r>
              <w:rPr>
                <w:color w:val="auto"/>
                <w:sz w:val="18"/>
                <w:szCs w:val="18"/>
              </w:rPr>
              <w:t>：已考虑时间效应，对于</w:t>
            </w:r>
            <w:r>
              <w:rPr>
                <w:rFonts w:hAnsi="宋体"/>
                <w:color w:val="auto"/>
                <w:sz w:val="18"/>
                <w:szCs w:val="18"/>
              </w:rPr>
              <w:t>Ⅱ</w:t>
            </w:r>
            <w:r>
              <w:rPr>
                <w:color w:val="auto"/>
                <w:sz w:val="18"/>
                <w:szCs w:val="18"/>
              </w:rPr>
              <w:t>、</w:t>
            </w:r>
            <w:r>
              <w:rPr>
                <w:rFonts w:hAnsi="宋体"/>
                <w:color w:val="auto"/>
                <w:sz w:val="18"/>
                <w:szCs w:val="18"/>
              </w:rPr>
              <w:t>Ⅲ</w:t>
            </w:r>
            <w:r>
              <w:rPr>
                <w:color w:val="auto"/>
                <w:sz w:val="18"/>
                <w:szCs w:val="18"/>
              </w:rPr>
              <w:t>、</w:t>
            </w:r>
            <w:r>
              <w:rPr>
                <w:rFonts w:ascii="宋体" w:hAnsi="宋体"/>
                <w:color w:val="auto"/>
                <w:sz w:val="18"/>
                <w:szCs w:val="18"/>
              </w:rPr>
              <w:t>Ⅳ</w:t>
            </w:r>
            <w:r>
              <w:rPr>
                <w:color w:val="auto"/>
                <w:sz w:val="18"/>
                <w:szCs w:val="18"/>
              </w:rPr>
              <w:t>类岩质临时边坡可取表中上限值，</w:t>
            </w:r>
            <w:r>
              <w:rPr>
                <w:rFonts w:hAnsi="宋体"/>
                <w:color w:val="auto"/>
                <w:sz w:val="18"/>
                <w:szCs w:val="18"/>
              </w:rPr>
              <w:t>Ⅰ</w:t>
            </w:r>
            <w:r>
              <w:rPr>
                <w:color w:val="auto"/>
                <w:sz w:val="18"/>
                <w:szCs w:val="18"/>
              </w:rPr>
              <w:t>类岩质临时边坡可根据</w:t>
            </w:r>
            <w:r>
              <w:rPr>
                <w:rFonts w:hint="eastAsia"/>
                <w:color w:val="auto"/>
                <w:sz w:val="18"/>
                <w:szCs w:val="18"/>
              </w:rPr>
              <w:t>岩体强度及</w:t>
            </w:r>
            <w:r>
              <w:rPr>
                <w:color w:val="auto"/>
                <w:sz w:val="18"/>
                <w:szCs w:val="18"/>
              </w:rPr>
              <w:t>岩体完整程度</w:t>
            </w:r>
            <w:r>
              <w:rPr>
                <w:rFonts w:hint="eastAsia"/>
                <w:color w:val="auto"/>
                <w:sz w:val="18"/>
                <w:szCs w:val="18"/>
              </w:rPr>
              <w:t>取大于72°的数值</w:t>
            </w:r>
            <w:r>
              <w:rPr>
                <w:color w:val="auto"/>
                <w:sz w:val="18"/>
                <w:szCs w:val="18"/>
              </w:rPr>
              <w:t>；</w:t>
            </w:r>
          </w:p>
          <w:p w14:paraId="3ABA617A">
            <w:pPr>
              <w:snapToGrid w:val="0"/>
              <w:spacing w:line="240" w:lineRule="atLeast"/>
              <w:ind w:left="540" w:hanging="540" w:hangingChars="300"/>
              <w:rPr>
                <w:color w:val="auto"/>
                <w:sz w:val="18"/>
                <w:szCs w:val="18"/>
              </w:rPr>
            </w:pPr>
            <w:r>
              <w:rPr>
                <w:color w:val="auto"/>
                <w:sz w:val="18"/>
                <w:szCs w:val="18"/>
              </w:rPr>
              <w:t>注</w:t>
            </w:r>
            <w:r>
              <w:rPr>
                <w:b/>
                <w:color w:val="auto"/>
                <w:sz w:val="18"/>
                <w:szCs w:val="18"/>
              </w:rPr>
              <w:t>4</w:t>
            </w:r>
            <w:r>
              <w:rPr>
                <w:color w:val="auto"/>
                <w:sz w:val="18"/>
                <w:szCs w:val="18"/>
              </w:rPr>
              <w:t>：适用于完整、较完整的岩体；破碎、较破碎的岩体可根据地方经验在表中数值的基础上适当折减。</w:t>
            </w:r>
          </w:p>
        </w:tc>
      </w:tr>
    </w:tbl>
    <w:p w14:paraId="296FA476">
      <w:pPr>
        <w:spacing w:line="360" w:lineRule="exact"/>
        <w:rPr>
          <w:color w:val="auto"/>
          <w:szCs w:val="21"/>
        </w:rPr>
      </w:pPr>
      <w:r>
        <w:rPr>
          <w:b/>
          <w:color w:val="auto"/>
          <w:szCs w:val="21"/>
        </w:rPr>
        <w:t>10.5.11</w:t>
      </w:r>
      <w:r>
        <w:rPr>
          <w:color w:val="auto"/>
          <w:szCs w:val="21"/>
        </w:rPr>
        <w:t xml:space="preserve">  </w:t>
      </w:r>
      <w:r>
        <w:rPr>
          <w:rFonts w:hAnsi="宋体"/>
          <w:color w:val="auto"/>
          <w:szCs w:val="21"/>
        </w:rPr>
        <w:t>边坡稳定性计算应根据不同的工况选择相应的抗剪强度指标。土质边坡按水土合算原则计算时，地下水位以下宜采用土的饱和自重固结不排水抗剪强度指标；按水土分算原则计算时，地下水位以下宜采用土的有效抗剪强度指标</w:t>
      </w:r>
      <w:r>
        <w:rPr>
          <w:color w:val="auto"/>
          <w:szCs w:val="21"/>
        </w:rPr>
        <w:t>。</w:t>
      </w:r>
    </w:p>
    <w:p w14:paraId="40D71DA9">
      <w:pPr>
        <w:spacing w:line="360" w:lineRule="exact"/>
        <w:rPr>
          <w:b/>
          <w:color w:val="auto"/>
          <w:szCs w:val="21"/>
        </w:rPr>
      </w:pPr>
      <w:r>
        <w:rPr>
          <w:b/>
          <w:color w:val="auto"/>
          <w:szCs w:val="21"/>
        </w:rPr>
        <w:t>10.5.12</w:t>
      </w:r>
      <w:r>
        <w:rPr>
          <w:color w:val="auto"/>
          <w:szCs w:val="21"/>
        </w:rPr>
        <w:t>　填土边坡的力学参数宜根据试验并结合当地经验确定。试验方法应根据工程要求、填料的性质和施工质量等确定，试验条件应尽可能接近实际状况</w:t>
      </w:r>
      <w:r>
        <w:rPr>
          <w:rFonts w:hAnsi="宋体"/>
          <w:color w:val="auto"/>
          <w:szCs w:val="21"/>
        </w:rPr>
        <w:t>。</w:t>
      </w:r>
    </w:p>
    <w:p w14:paraId="34D7D956">
      <w:pPr>
        <w:spacing w:line="360" w:lineRule="exact"/>
        <w:rPr>
          <w:color w:val="auto"/>
          <w:szCs w:val="21"/>
        </w:rPr>
      </w:pPr>
      <w:r>
        <w:rPr>
          <w:b/>
          <w:color w:val="auto"/>
          <w:szCs w:val="21"/>
        </w:rPr>
        <w:t>10.5.13</w:t>
      </w:r>
      <w:r>
        <w:rPr>
          <w:color w:val="auto"/>
          <w:szCs w:val="21"/>
        </w:rPr>
        <w:t xml:space="preserve">  土质边坡抗剪强度试验方法的选择应符合下列规定：</w:t>
      </w:r>
    </w:p>
    <w:p w14:paraId="02D77113">
      <w:pPr>
        <w:spacing w:line="360" w:lineRule="exact"/>
        <w:ind w:firstLine="413" w:firstLineChars="196"/>
        <w:rPr>
          <w:color w:val="auto"/>
          <w:szCs w:val="21"/>
        </w:rPr>
      </w:pPr>
      <w:r>
        <w:rPr>
          <w:b/>
          <w:color w:val="auto"/>
          <w:szCs w:val="21"/>
        </w:rPr>
        <w:t>a)</w:t>
      </w:r>
      <w:r>
        <w:rPr>
          <w:color w:val="auto"/>
          <w:szCs w:val="21"/>
        </w:rPr>
        <w:t xml:space="preserve">  根据坡体内的含水状态选择天然或饱和状态的抗剪强度试验方法；</w:t>
      </w:r>
    </w:p>
    <w:p w14:paraId="60ECA6C0">
      <w:pPr>
        <w:spacing w:line="360" w:lineRule="exact"/>
        <w:ind w:firstLine="413" w:firstLineChars="196"/>
        <w:rPr>
          <w:color w:val="auto"/>
          <w:szCs w:val="21"/>
        </w:rPr>
      </w:pPr>
      <w:r>
        <w:rPr>
          <w:b/>
          <w:color w:val="auto"/>
          <w:szCs w:val="21"/>
        </w:rPr>
        <w:t>b)</w:t>
      </w:r>
      <w:r>
        <w:rPr>
          <w:color w:val="auto"/>
          <w:szCs w:val="21"/>
        </w:rPr>
        <w:t xml:space="preserve">  用于土质边坡，在计算土压力和抗倾覆计算时，对黏土、粉质黏土宜选择直剪固结快剪或三轴固结不排水剪，对粉土、砂土和碎石土宜选择有效应力强度指标；</w:t>
      </w:r>
    </w:p>
    <w:p w14:paraId="17489F54">
      <w:pPr>
        <w:spacing w:line="360" w:lineRule="exact"/>
        <w:ind w:firstLine="413" w:firstLineChars="196"/>
        <w:rPr>
          <w:color w:val="auto"/>
          <w:szCs w:val="21"/>
        </w:rPr>
      </w:pPr>
      <w:r>
        <w:rPr>
          <w:b/>
          <w:color w:val="auto"/>
          <w:szCs w:val="21"/>
        </w:rPr>
        <w:t>c)</w:t>
      </w:r>
      <w:r>
        <w:rPr>
          <w:color w:val="auto"/>
          <w:szCs w:val="21"/>
        </w:rPr>
        <w:t xml:space="preserve">  用于土质边坡计算整体稳定、局部稳定和抗滑稳定性时，对一般的黏性土、砂土和碎石土，按第b)款相同的试验方法，但对饱和软黏性土，宜选择直剪快剪、三轴不固结不排水试验或十字板剪切试验。</w:t>
      </w:r>
    </w:p>
    <w:p w14:paraId="0D235BCF">
      <w:pPr>
        <w:spacing w:line="360" w:lineRule="exact"/>
        <w:rPr>
          <w:b/>
          <w:color w:val="auto"/>
          <w:szCs w:val="21"/>
        </w:rPr>
      </w:pPr>
      <w:r>
        <w:rPr>
          <w:b/>
          <w:color w:val="auto"/>
          <w:szCs w:val="21"/>
        </w:rPr>
        <w:t>10.5.1</w:t>
      </w:r>
      <w:r>
        <w:rPr>
          <w:rFonts w:hint="eastAsia"/>
          <w:b/>
          <w:color w:val="auto"/>
          <w:szCs w:val="21"/>
        </w:rPr>
        <w:t>4</w:t>
      </w:r>
      <w:r>
        <w:rPr>
          <w:color w:val="auto"/>
          <w:szCs w:val="21"/>
        </w:rPr>
        <w:t>　</w:t>
      </w:r>
      <w:r>
        <w:rPr>
          <w:rFonts w:hint="eastAsia"/>
          <w:color w:val="auto"/>
          <w:szCs w:val="21"/>
        </w:rPr>
        <w:t>抗震设防烈度为7度的地区，永久边坡应按现行标准的规定进行抗震计算，6度区可不进行抗震计算，但应采取抗震构造措施</w:t>
      </w:r>
      <w:r>
        <w:rPr>
          <w:rFonts w:hAnsi="宋体"/>
          <w:color w:val="auto"/>
          <w:szCs w:val="21"/>
        </w:rPr>
        <w:t>。</w:t>
      </w:r>
    </w:p>
    <w:p w14:paraId="56A1AE96">
      <w:pPr>
        <w:spacing w:line="360" w:lineRule="exact"/>
        <w:rPr>
          <w:b/>
          <w:color w:val="auto"/>
          <w:szCs w:val="21"/>
        </w:rPr>
      </w:pPr>
      <w:r>
        <w:rPr>
          <w:b/>
          <w:color w:val="auto"/>
          <w:szCs w:val="21"/>
        </w:rPr>
        <w:t>10.5.1</w:t>
      </w:r>
      <w:r>
        <w:rPr>
          <w:rFonts w:hint="eastAsia"/>
          <w:b/>
          <w:color w:val="auto"/>
          <w:szCs w:val="21"/>
        </w:rPr>
        <w:t>5</w:t>
      </w:r>
      <w:r>
        <w:rPr>
          <w:color w:val="auto"/>
          <w:szCs w:val="21"/>
        </w:rPr>
        <w:t>　</w:t>
      </w:r>
      <w:r>
        <w:rPr>
          <w:rFonts w:hint="eastAsia"/>
          <w:color w:val="auto"/>
          <w:szCs w:val="21"/>
        </w:rPr>
        <w:t>坡顶有重要建筑物的边坡设计应符合GB</w:t>
      </w:r>
      <w:r>
        <w:rPr>
          <w:rFonts w:hint="eastAsia"/>
          <w:color w:val="auto"/>
          <w:szCs w:val="21"/>
          <w:lang w:val="en-US" w:eastAsia="zh-CN"/>
        </w:rPr>
        <w:t xml:space="preserve"> </w:t>
      </w:r>
      <w:r>
        <w:rPr>
          <w:rFonts w:hint="eastAsia"/>
          <w:color w:val="auto"/>
          <w:szCs w:val="21"/>
        </w:rPr>
        <w:t>50330的相关规定</w:t>
      </w:r>
      <w:r>
        <w:rPr>
          <w:rFonts w:hAnsi="宋体"/>
          <w:color w:val="auto"/>
          <w:szCs w:val="21"/>
        </w:rPr>
        <w:t>。</w:t>
      </w:r>
    </w:p>
    <w:p w14:paraId="4BD87A00">
      <w:pPr>
        <w:spacing w:line="360" w:lineRule="exact"/>
        <w:rPr>
          <w:color w:val="auto"/>
          <w:szCs w:val="21"/>
        </w:rPr>
      </w:pPr>
      <w:r>
        <w:rPr>
          <w:b/>
          <w:color w:val="auto"/>
          <w:szCs w:val="21"/>
        </w:rPr>
        <w:t>10.5.1</w:t>
      </w:r>
      <w:r>
        <w:rPr>
          <w:rFonts w:hint="eastAsia"/>
          <w:b/>
          <w:color w:val="auto"/>
          <w:szCs w:val="21"/>
        </w:rPr>
        <w:t xml:space="preserve">6  </w:t>
      </w:r>
      <w:r>
        <w:rPr>
          <w:rFonts w:hint="eastAsia"/>
          <w:color w:val="auto"/>
          <w:szCs w:val="21"/>
        </w:rPr>
        <w:t>岩质</w:t>
      </w:r>
      <w:r>
        <w:rPr>
          <w:color w:val="auto"/>
          <w:szCs w:val="21"/>
        </w:rPr>
        <w:t>边坡</w:t>
      </w:r>
      <w:r>
        <w:rPr>
          <w:rFonts w:hint="eastAsia"/>
          <w:color w:val="auto"/>
          <w:szCs w:val="21"/>
        </w:rPr>
        <w:t>的</w:t>
      </w:r>
      <w:r>
        <w:rPr>
          <w:color w:val="auto"/>
          <w:szCs w:val="21"/>
        </w:rPr>
        <w:t>侧向岩石压力和破裂角计算应符合下列规定：</w:t>
      </w:r>
    </w:p>
    <w:p w14:paraId="0E8C2E9F">
      <w:pPr>
        <w:pStyle w:val="18"/>
        <w:spacing w:line="340" w:lineRule="atLeast"/>
        <w:ind w:firstLine="422" w:firstLineChars="200"/>
        <w:rPr>
          <w:rFonts w:ascii="Times New Roman" w:hAnsi="Times New Roman"/>
          <w:color w:val="auto"/>
          <w:szCs w:val="21"/>
        </w:rPr>
      </w:pPr>
      <w:r>
        <w:rPr>
          <w:rFonts w:ascii="Times New Roman" w:hAnsi="Times New Roman"/>
          <w:b/>
          <w:color w:val="auto"/>
          <w:szCs w:val="21"/>
        </w:rPr>
        <w:t>a)</w:t>
      </w:r>
      <w:r>
        <w:rPr>
          <w:rFonts w:ascii="Times New Roman" w:hAnsi="Times New Roman"/>
          <w:color w:val="auto"/>
          <w:szCs w:val="21"/>
        </w:rPr>
        <w:t xml:space="preserve">  对无外倾结构面的岩质边坡，以岩体等效内摩擦角按侧向土压力方法计算侧向岩石压力；</w:t>
      </w:r>
      <w:r>
        <w:rPr>
          <w:rFonts w:hint="eastAsia" w:ascii="Times New Roman" w:hAnsi="Times New Roman"/>
          <w:color w:val="auto"/>
          <w:szCs w:val="21"/>
        </w:rPr>
        <w:t>对坡顶无建筑荷载的永久边坡和坡顶有建筑荷载的临时边坡；</w:t>
      </w:r>
      <w:r>
        <w:rPr>
          <w:rFonts w:ascii="Times New Roman" w:hAnsi="Times New Roman"/>
          <w:color w:val="auto"/>
          <w:szCs w:val="21"/>
        </w:rPr>
        <w:t>破裂角按45</w:t>
      </w:r>
      <w:r>
        <w:rPr>
          <w:rFonts w:hint="eastAsia" w:ascii="Times New Roman" w:hAnsi="Times New Roman"/>
          <w:color w:val="auto"/>
          <w:szCs w:val="21"/>
        </w:rPr>
        <w:t>°</w:t>
      </w:r>
      <w:r>
        <w:rPr>
          <w:rFonts w:ascii="Times New Roman" w:hAnsi="Times New Roman"/>
          <w:color w:val="auto"/>
          <w:szCs w:val="21"/>
        </w:rPr>
        <w:t>＋</w:t>
      </w:r>
      <w:r>
        <w:rPr>
          <w:rFonts w:ascii="Times New Roman" w:hAnsi="Times New Roman"/>
          <w:i/>
          <w:color w:val="auto"/>
          <w:szCs w:val="21"/>
        </w:rPr>
        <w:sym w:font="Symbol" w:char="F06A"/>
      </w:r>
      <w:r>
        <w:rPr>
          <w:rFonts w:ascii="Times New Roman" w:hAnsi="Times New Roman"/>
          <w:color w:val="auto"/>
          <w:szCs w:val="21"/>
        </w:rPr>
        <w:t>/2确定，</w:t>
      </w:r>
      <w:r>
        <w:rPr>
          <w:rFonts w:ascii="Times New Roman" w:hAnsi="宋体"/>
          <w:color w:val="auto"/>
          <w:szCs w:val="21"/>
        </w:rPr>
        <w:t>Ⅰ</w:t>
      </w:r>
      <w:r>
        <w:rPr>
          <w:rFonts w:ascii="Times New Roman" w:hAnsi="Times New Roman"/>
          <w:color w:val="auto"/>
          <w:szCs w:val="21"/>
        </w:rPr>
        <w:t>类岩体边坡可取75°左右；</w:t>
      </w:r>
      <w:r>
        <w:rPr>
          <w:rFonts w:hint="eastAsia" w:ascii="Times New Roman" w:hAnsi="Times New Roman"/>
          <w:color w:val="auto"/>
          <w:szCs w:val="21"/>
        </w:rPr>
        <w:t>坡顶无建筑荷载的临时边坡的破裂角，</w:t>
      </w:r>
      <w:r>
        <w:rPr>
          <w:rFonts w:ascii="Times New Roman" w:hAnsi="宋体"/>
          <w:color w:val="auto"/>
          <w:szCs w:val="21"/>
        </w:rPr>
        <w:t>Ⅰ</w:t>
      </w:r>
      <w:r>
        <w:rPr>
          <w:rFonts w:ascii="Times New Roman" w:hAnsi="Times New Roman"/>
          <w:color w:val="auto"/>
          <w:szCs w:val="21"/>
        </w:rPr>
        <w:t>类岩体边坡</w:t>
      </w:r>
      <w:r>
        <w:rPr>
          <w:rFonts w:hint="eastAsia" w:ascii="Times New Roman" w:hAnsi="Times New Roman"/>
          <w:color w:val="auto"/>
          <w:szCs w:val="21"/>
        </w:rPr>
        <w:t>取82°，Ⅱ类岩体边坡取72°，Ⅲ类岩体边坡取62°，Ⅳ类岩体边坡取45°+</w:t>
      </w:r>
      <w:r>
        <w:rPr>
          <w:rFonts w:ascii="Times New Roman" w:hAnsi="Times New Roman"/>
          <w:i/>
          <w:color w:val="auto"/>
          <w:szCs w:val="21"/>
        </w:rPr>
        <w:sym w:font="Symbol" w:char="F06A"/>
      </w:r>
      <w:r>
        <w:rPr>
          <w:rFonts w:ascii="Times New Roman" w:hAnsi="Times New Roman"/>
          <w:color w:val="auto"/>
          <w:szCs w:val="21"/>
        </w:rPr>
        <w:t>/2</w:t>
      </w:r>
      <w:r>
        <w:rPr>
          <w:rFonts w:hint="eastAsia" w:ascii="Times New Roman" w:hAnsi="Times New Roman"/>
          <w:color w:val="auto"/>
          <w:szCs w:val="21"/>
        </w:rPr>
        <w:t>°。</w:t>
      </w:r>
    </w:p>
    <w:p w14:paraId="2A8BCAA0">
      <w:pPr>
        <w:pStyle w:val="18"/>
        <w:spacing w:line="340" w:lineRule="atLeast"/>
        <w:ind w:firstLine="422" w:firstLineChars="200"/>
        <w:rPr>
          <w:rFonts w:ascii="Times New Roman" w:hAnsi="Times New Roman"/>
          <w:color w:val="auto"/>
          <w:szCs w:val="21"/>
        </w:rPr>
      </w:pPr>
      <w:r>
        <w:rPr>
          <w:rFonts w:ascii="Times New Roman" w:hAnsi="Times New Roman"/>
          <w:b/>
          <w:color w:val="auto"/>
          <w:szCs w:val="21"/>
        </w:rPr>
        <w:t>b)</w:t>
      </w:r>
      <w:r>
        <w:rPr>
          <w:rFonts w:ascii="Times New Roman" w:hAnsi="Times New Roman"/>
          <w:color w:val="auto"/>
          <w:szCs w:val="21"/>
        </w:rPr>
        <w:t xml:space="preserve">  当有外倾硬性结构面时，应</w:t>
      </w:r>
      <w:r>
        <w:rPr>
          <w:rFonts w:hint="eastAsia" w:ascii="Times New Roman" w:hAnsi="Times New Roman"/>
          <w:color w:val="auto"/>
          <w:szCs w:val="21"/>
        </w:rPr>
        <w:t>按GB</w:t>
      </w:r>
      <w:r>
        <w:rPr>
          <w:rFonts w:hint="eastAsia" w:ascii="Times New Roman" w:hAnsi="Times New Roman"/>
          <w:color w:val="auto"/>
          <w:szCs w:val="21"/>
          <w:lang w:val="en-US" w:eastAsia="zh-CN"/>
        </w:rPr>
        <w:t xml:space="preserve"> </w:t>
      </w:r>
      <w:r>
        <w:rPr>
          <w:rFonts w:hint="eastAsia" w:ascii="Times New Roman" w:hAnsi="Times New Roman"/>
          <w:color w:val="auto"/>
          <w:szCs w:val="21"/>
        </w:rPr>
        <w:t>50330的相关规定计算岩石压力</w:t>
      </w:r>
      <w:r>
        <w:rPr>
          <w:rFonts w:ascii="Times New Roman" w:hAnsi="Times New Roman"/>
          <w:color w:val="auto"/>
          <w:szCs w:val="21"/>
        </w:rPr>
        <w:t xml:space="preserve">； </w:t>
      </w:r>
    </w:p>
    <w:p w14:paraId="270BDCC7">
      <w:pPr>
        <w:pStyle w:val="18"/>
        <w:spacing w:line="340" w:lineRule="atLeast"/>
        <w:ind w:firstLine="420"/>
        <w:rPr>
          <w:rFonts w:ascii="Times New Roman" w:hAnsi="Times New Roman"/>
          <w:color w:val="auto"/>
          <w:szCs w:val="21"/>
        </w:rPr>
      </w:pPr>
      <w:r>
        <w:rPr>
          <w:rFonts w:ascii="Times New Roman" w:hAnsi="Times New Roman"/>
          <w:b/>
          <w:color w:val="auto"/>
          <w:szCs w:val="21"/>
        </w:rPr>
        <w:t>c)</w:t>
      </w:r>
      <w:r>
        <w:rPr>
          <w:rFonts w:ascii="Times New Roman" w:hAnsi="Times New Roman"/>
          <w:color w:val="auto"/>
          <w:szCs w:val="21"/>
        </w:rPr>
        <w:t xml:space="preserve">  当边坡沿外倾软弱结构面破坏时，侧向岩石压力按</w:t>
      </w:r>
      <w:r>
        <w:rPr>
          <w:rFonts w:hint="eastAsia" w:ascii="Times New Roman" w:hAnsi="Times New Roman"/>
          <w:color w:val="auto"/>
          <w:szCs w:val="21"/>
        </w:rPr>
        <w:t>GB</w:t>
      </w:r>
      <w:r>
        <w:rPr>
          <w:rFonts w:hint="eastAsia" w:ascii="Times New Roman" w:hAnsi="Times New Roman"/>
          <w:color w:val="auto"/>
          <w:szCs w:val="21"/>
          <w:lang w:val="en-US" w:eastAsia="zh-CN"/>
        </w:rPr>
        <w:t xml:space="preserve"> </w:t>
      </w:r>
      <w:r>
        <w:rPr>
          <w:rFonts w:hint="eastAsia" w:ascii="Times New Roman" w:hAnsi="Times New Roman"/>
          <w:color w:val="auto"/>
          <w:szCs w:val="21"/>
        </w:rPr>
        <w:t>50330的相关规定计算</w:t>
      </w:r>
      <w:r>
        <w:rPr>
          <w:rFonts w:ascii="Times New Roman" w:hAnsi="Times New Roman"/>
          <w:color w:val="auto"/>
          <w:szCs w:val="21"/>
        </w:rPr>
        <w:t>，破裂角取该外倾结构面的倾角，同时应按本条a)款进行验算。</w:t>
      </w:r>
    </w:p>
    <w:p w14:paraId="3935DF22">
      <w:pPr>
        <w:adjustRightInd w:val="0"/>
        <w:snapToGrid w:val="0"/>
        <w:spacing w:line="340" w:lineRule="exact"/>
        <w:rPr>
          <w:color w:val="auto"/>
          <w:szCs w:val="21"/>
        </w:rPr>
      </w:pPr>
      <w:r>
        <w:rPr>
          <w:b/>
          <w:bCs/>
          <w:color w:val="auto"/>
          <w:szCs w:val="21"/>
        </w:rPr>
        <w:t>10.5.</w:t>
      </w:r>
      <w:r>
        <w:rPr>
          <w:rFonts w:hint="eastAsia"/>
          <w:b/>
          <w:bCs/>
          <w:color w:val="auto"/>
          <w:szCs w:val="21"/>
        </w:rPr>
        <w:t>17</w:t>
      </w:r>
      <w:r>
        <w:rPr>
          <w:b/>
          <w:color w:val="auto"/>
          <w:szCs w:val="21"/>
        </w:rPr>
        <w:t xml:space="preserve">  </w:t>
      </w:r>
      <w:r>
        <w:rPr>
          <w:color w:val="auto"/>
          <w:szCs w:val="21"/>
        </w:rPr>
        <w:t>对拟布置建筑物的斜坡应进行稳定性分析。边坡稳定性计算方法，根据边坡类型和可能的破坏形式，可按下列原则确定：</w:t>
      </w:r>
    </w:p>
    <w:p w14:paraId="76C49421">
      <w:pPr>
        <w:adjustRightInd w:val="0"/>
        <w:snapToGrid w:val="0"/>
        <w:spacing w:line="340" w:lineRule="exact"/>
        <w:ind w:left="432"/>
        <w:rPr>
          <w:color w:val="auto"/>
          <w:szCs w:val="21"/>
        </w:rPr>
      </w:pPr>
      <w:r>
        <w:rPr>
          <w:b/>
          <w:bCs/>
          <w:color w:val="auto"/>
          <w:szCs w:val="21"/>
        </w:rPr>
        <w:t xml:space="preserve">a) </w:t>
      </w:r>
      <w:r>
        <w:rPr>
          <w:color w:val="auto"/>
          <w:szCs w:val="21"/>
        </w:rPr>
        <w:t xml:space="preserve"> 土质边坡</w:t>
      </w:r>
      <w:r>
        <w:rPr>
          <w:rFonts w:hint="eastAsia"/>
          <w:color w:val="auto"/>
          <w:szCs w:val="21"/>
        </w:rPr>
        <w:t>、极软</w:t>
      </w:r>
      <w:r>
        <w:rPr>
          <w:color w:val="auto"/>
          <w:szCs w:val="21"/>
        </w:rPr>
        <w:t>岩质边坡</w:t>
      </w:r>
      <w:r>
        <w:rPr>
          <w:rFonts w:hint="eastAsia"/>
          <w:color w:val="auto"/>
          <w:szCs w:val="21"/>
        </w:rPr>
        <w:t>、破碎或极破碎岩质边坡，</w:t>
      </w:r>
      <w:r>
        <w:rPr>
          <w:color w:val="auto"/>
          <w:szCs w:val="21"/>
        </w:rPr>
        <w:t>可采用圆弧滑动面法计算；</w:t>
      </w:r>
    </w:p>
    <w:p w14:paraId="591FED18">
      <w:pPr>
        <w:adjustRightInd w:val="0"/>
        <w:snapToGrid w:val="0"/>
        <w:spacing w:line="340" w:lineRule="exact"/>
        <w:ind w:left="432"/>
        <w:rPr>
          <w:color w:val="auto"/>
          <w:szCs w:val="21"/>
        </w:rPr>
      </w:pPr>
      <w:r>
        <w:rPr>
          <w:b/>
          <w:bCs/>
          <w:color w:val="auto"/>
          <w:szCs w:val="21"/>
        </w:rPr>
        <w:t xml:space="preserve">b) </w:t>
      </w:r>
      <w:r>
        <w:rPr>
          <w:color w:val="auto"/>
          <w:szCs w:val="21"/>
        </w:rPr>
        <w:t xml:space="preserve"> 对可能产生平面滑动的边坡可采用平面滑动面法计算；</w:t>
      </w:r>
    </w:p>
    <w:p w14:paraId="57F7E33F">
      <w:pPr>
        <w:adjustRightInd w:val="0"/>
        <w:snapToGrid w:val="0"/>
        <w:spacing w:line="340" w:lineRule="exact"/>
        <w:ind w:left="432"/>
        <w:rPr>
          <w:color w:val="auto"/>
          <w:szCs w:val="21"/>
        </w:rPr>
      </w:pPr>
      <w:r>
        <w:rPr>
          <w:b/>
          <w:bCs/>
          <w:color w:val="auto"/>
          <w:szCs w:val="21"/>
        </w:rPr>
        <w:t xml:space="preserve">c) </w:t>
      </w:r>
      <w:r>
        <w:rPr>
          <w:color w:val="auto"/>
          <w:szCs w:val="21"/>
        </w:rPr>
        <w:t xml:space="preserve"> 对可能产生折线滑动的边坡可采用折线滑动面法计算；</w:t>
      </w:r>
    </w:p>
    <w:p w14:paraId="2678EE22">
      <w:pPr>
        <w:adjustRightInd w:val="0"/>
        <w:snapToGrid w:val="0"/>
        <w:spacing w:line="340" w:lineRule="exact"/>
        <w:ind w:left="1" w:firstLine="428" w:firstLineChars="203"/>
        <w:rPr>
          <w:color w:val="auto"/>
          <w:szCs w:val="21"/>
        </w:rPr>
      </w:pPr>
      <w:r>
        <w:rPr>
          <w:b/>
          <w:bCs/>
          <w:color w:val="auto"/>
          <w:szCs w:val="21"/>
        </w:rPr>
        <w:t xml:space="preserve">d) </w:t>
      </w:r>
      <w:r>
        <w:rPr>
          <w:color w:val="auto"/>
          <w:szCs w:val="21"/>
        </w:rPr>
        <w:t xml:space="preserve"> 对结构复杂的岩质边坡，可配合采用赤平极射投影法和实体比例投影法分析，并采用三维刚体平衡法计算；</w:t>
      </w:r>
    </w:p>
    <w:p w14:paraId="5882AD4B">
      <w:pPr>
        <w:adjustRightInd w:val="0"/>
        <w:snapToGrid w:val="0"/>
        <w:spacing w:line="340" w:lineRule="exact"/>
        <w:ind w:left="432"/>
        <w:rPr>
          <w:color w:val="auto"/>
          <w:szCs w:val="21"/>
        </w:rPr>
      </w:pPr>
      <w:r>
        <w:rPr>
          <w:b/>
          <w:bCs/>
          <w:color w:val="auto"/>
          <w:szCs w:val="21"/>
        </w:rPr>
        <w:t xml:space="preserve">e) </w:t>
      </w:r>
      <w:r>
        <w:rPr>
          <w:color w:val="auto"/>
          <w:szCs w:val="21"/>
        </w:rPr>
        <w:t xml:space="preserve"> 当边坡破坏机制复杂时，宜结合数值方法进行分析；</w:t>
      </w:r>
    </w:p>
    <w:p w14:paraId="684EFE7B">
      <w:pPr>
        <w:adjustRightInd w:val="0"/>
        <w:snapToGrid w:val="0"/>
        <w:spacing w:line="340" w:lineRule="exact"/>
        <w:ind w:left="432"/>
        <w:rPr>
          <w:color w:val="auto"/>
          <w:szCs w:val="21"/>
        </w:rPr>
      </w:pPr>
      <w:r>
        <w:rPr>
          <w:b/>
          <w:bCs/>
          <w:color w:val="auto"/>
          <w:szCs w:val="21"/>
        </w:rPr>
        <w:t xml:space="preserve">f) </w:t>
      </w:r>
      <w:r>
        <w:rPr>
          <w:color w:val="auto"/>
          <w:szCs w:val="21"/>
        </w:rPr>
        <w:t xml:space="preserve"> 边坡稳定性分析的岩土指标，应采用试验和反算相结合的方法选取；</w:t>
      </w:r>
    </w:p>
    <w:p w14:paraId="1213EB3C">
      <w:pPr>
        <w:adjustRightInd w:val="0"/>
        <w:snapToGrid w:val="0"/>
        <w:spacing w:line="340" w:lineRule="exact"/>
        <w:ind w:left="432"/>
        <w:rPr>
          <w:color w:val="auto"/>
          <w:szCs w:val="21"/>
        </w:rPr>
      </w:pPr>
      <w:r>
        <w:rPr>
          <w:b/>
          <w:bCs/>
          <w:color w:val="auto"/>
          <w:szCs w:val="21"/>
        </w:rPr>
        <w:t xml:space="preserve">g) </w:t>
      </w:r>
      <w:r>
        <w:rPr>
          <w:color w:val="auto"/>
          <w:szCs w:val="21"/>
        </w:rPr>
        <w:t xml:space="preserve"> 边坡稳定安全系数应满足表38规定的要求，否则应对边坡进行处理。</w:t>
      </w:r>
    </w:p>
    <w:p w14:paraId="26E83962">
      <w:pPr>
        <w:adjustRightInd w:val="0"/>
        <w:snapToGrid w:val="0"/>
        <w:spacing w:before="120" w:line="360" w:lineRule="atLeast"/>
        <w:jc w:val="center"/>
        <w:rPr>
          <w:rFonts w:eastAsia="黑体"/>
          <w:b/>
          <w:bCs/>
          <w:color w:val="auto"/>
          <w:szCs w:val="21"/>
        </w:rPr>
      </w:pPr>
      <w:r>
        <w:rPr>
          <w:rFonts w:eastAsia="黑体"/>
          <w:b/>
          <w:bCs/>
          <w:color w:val="auto"/>
          <w:szCs w:val="21"/>
        </w:rPr>
        <w:br w:type="page"/>
      </w:r>
      <w:r>
        <w:rPr>
          <w:rFonts w:eastAsia="黑体"/>
          <w:b/>
          <w:bCs/>
          <w:color w:val="auto"/>
          <w:szCs w:val="21"/>
        </w:rPr>
        <w:t>表38   边坡稳定安全系数</w:t>
      </w:r>
    </w:p>
    <w:tbl>
      <w:tblPr>
        <w:tblStyle w:val="36"/>
        <w:tblW w:w="91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935"/>
        <w:gridCol w:w="2083"/>
        <w:gridCol w:w="2214"/>
        <w:gridCol w:w="2176"/>
      </w:tblGrid>
      <w:tr w14:paraId="12E8E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2655" w:type="dxa"/>
            <w:gridSpan w:val="2"/>
            <w:vMerge w:val="restart"/>
            <w:vAlign w:val="center"/>
          </w:tcPr>
          <w:p w14:paraId="342F2E18">
            <w:pPr>
              <w:adjustRightInd w:val="0"/>
              <w:snapToGrid w:val="0"/>
              <w:jc w:val="center"/>
              <w:rPr>
                <w:color w:val="auto"/>
                <w:sz w:val="18"/>
                <w:szCs w:val="18"/>
              </w:rPr>
            </w:pPr>
            <w:r>
              <w:rPr>
                <w:rFonts w:hint="eastAsia"/>
                <w:color w:val="auto"/>
                <w:sz w:val="18"/>
                <w:szCs w:val="18"/>
              </w:rPr>
              <w:t>边坡类型</w:t>
            </w:r>
          </w:p>
        </w:tc>
        <w:tc>
          <w:tcPr>
            <w:tcW w:w="6473" w:type="dxa"/>
            <w:gridSpan w:val="3"/>
            <w:vAlign w:val="center"/>
          </w:tcPr>
          <w:p w14:paraId="5396810C">
            <w:pPr>
              <w:adjustRightInd w:val="0"/>
              <w:snapToGrid w:val="0"/>
              <w:spacing w:line="260" w:lineRule="exact"/>
              <w:jc w:val="center"/>
              <w:rPr>
                <w:color w:val="auto"/>
                <w:sz w:val="18"/>
                <w:szCs w:val="18"/>
              </w:rPr>
            </w:pPr>
            <w:r>
              <w:rPr>
                <w:rFonts w:hint="eastAsia"/>
                <w:color w:val="auto"/>
                <w:sz w:val="18"/>
                <w:szCs w:val="18"/>
              </w:rPr>
              <w:t>安全等级</w:t>
            </w:r>
          </w:p>
        </w:tc>
      </w:tr>
      <w:tr w14:paraId="5FD3A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3" w:hRule="atLeast"/>
          <w:jc w:val="center"/>
        </w:trPr>
        <w:tc>
          <w:tcPr>
            <w:tcW w:w="2655" w:type="dxa"/>
            <w:gridSpan w:val="2"/>
            <w:vMerge w:val="continue"/>
            <w:vAlign w:val="center"/>
          </w:tcPr>
          <w:p w14:paraId="75FFEFE2">
            <w:pPr>
              <w:adjustRightInd w:val="0"/>
              <w:snapToGrid w:val="0"/>
              <w:jc w:val="left"/>
              <w:rPr>
                <w:color w:val="auto"/>
                <w:sz w:val="18"/>
                <w:szCs w:val="18"/>
              </w:rPr>
            </w:pPr>
          </w:p>
        </w:tc>
        <w:tc>
          <w:tcPr>
            <w:tcW w:w="2083" w:type="dxa"/>
            <w:vAlign w:val="center"/>
          </w:tcPr>
          <w:p w14:paraId="57C37052">
            <w:pPr>
              <w:pStyle w:val="24"/>
              <w:pBdr>
                <w:bottom w:val="none" w:color="auto" w:sz="0" w:space="0"/>
              </w:pBdr>
              <w:tabs>
                <w:tab w:val="clear" w:pos="4153"/>
                <w:tab w:val="clear" w:pos="8306"/>
              </w:tabs>
              <w:spacing w:line="260" w:lineRule="exact"/>
              <w:rPr>
                <w:color w:val="auto"/>
              </w:rPr>
            </w:pPr>
            <w:r>
              <w:rPr>
                <w:color w:val="auto"/>
              </w:rPr>
              <w:t>一级</w:t>
            </w:r>
          </w:p>
        </w:tc>
        <w:tc>
          <w:tcPr>
            <w:tcW w:w="2214" w:type="dxa"/>
            <w:vAlign w:val="center"/>
          </w:tcPr>
          <w:p w14:paraId="65143E18">
            <w:pPr>
              <w:adjustRightInd w:val="0"/>
              <w:snapToGrid w:val="0"/>
              <w:spacing w:line="260" w:lineRule="exact"/>
              <w:jc w:val="center"/>
              <w:rPr>
                <w:color w:val="auto"/>
                <w:sz w:val="18"/>
                <w:szCs w:val="18"/>
              </w:rPr>
            </w:pPr>
            <w:r>
              <w:rPr>
                <w:color w:val="auto"/>
                <w:sz w:val="18"/>
                <w:szCs w:val="18"/>
              </w:rPr>
              <w:t>二级</w:t>
            </w:r>
          </w:p>
        </w:tc>
        <w:tc>
          <w:tcPr>
            <w:tcW w:w="2176" w:type="dxa"/>
            <w:vAlign w:val="center"/>
          </w:tcPr>
          <w:p w14:paraId="3BFD68F6">
            <w:pPr>
              <w:adjustRightInd w:val="0"/>
              <w:snapToGrid w:val="0"/>
              <w:spacing w:line="260" w:lineRule="exact"/>
              <w:jc w:val="center"/>
              <w:rPr>
                <w:color w:val="auto"/>
                <w:sz w:val="18"/>
                <w:szCs w:val="18"/>
              </w:rPr>
            </w:pPr>
            <w:r>
              <w:rPr>
                <w:color w:val="auto"/>
                <w:sz w:val="18"/>
                <w:szCs w:val="18"/>
              </w:rPr>
              <w:t>三级</w:t>
            </w:r>
          </w:p>
        </w:tc>
      </w:tr>
      <w:tr w14:paraId="0593D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720" w:type="dxa"/>
            <w:vMerge w:val="restart"/>
            <w:vAlign w:val="center"/>
          </w:tcPr>
          <w:p w14:paraId="2DC9B147">
            <w:pPr>
              <w:adjustRightInd w:val="0"/>
              <w:snapToGrid w:val="0"/>
              <w:jc w:val="center"/>
              <w:rPr>
                <w:color w:val="auto"/>
                <w:sz w:val="18"/>
                <w:szCs w:val="18"/>
              </w:rPr>
            </w:pPr>
            <w:r>
              <w:rPr>
                <w:rFonts w:hint="eastAsia"/>
                <w:color w:val="auto"/>
                <w:sz w:val="18"/>
                <w:szCs w:val="18"/>
              </w:rPr>
              <w:t>永久边坡</w:t>
            </w:r>
          </w:p>
        </w:tc>
        <w:tc>
          <w:tcPr>
            <w:tcW w:w="1935" w:type="dxa"/>
            <w:vAlign w:val="center"/>
          </w:tcPr>
          <w:p w14:paraId="2C9A3FE9">
            <w:pPr>
              <w:adjustRightInd w:val="0"/>
              <w:snapToGrid w:val="0"/>
              <w:jc w:val="center"/>
              <w:rPr>
                <w:color w:val="auto"/>
                <w:sz w:val="18"/>
                <w:szCs w:val="18"/>
              </w:rPr>
            </w:pPr>
            <w:r>
              <w:rPr>
                <w:rFonts w:hint="eastAsia"/>
                <w:color w:val="auto"/>
                <w:sz w:val="18"/>
                <w:szCs w:val="18"/>
              </w:rPr>
              <w:t>一般工况</w:t>
            </w:r>
          </w:p>
        </w:tc>
        <w:tc>
          <w:tcPr>
            <w:tcW w:w="2083" w:type="dxa"/>
            <w:vAlign w:val="center"/>
          </w:tcPr>
          <w:p w14:paraId="491F0BFF">
            <w:pPr>
              <w:pStyle w:val="24"/>
              <w:pBdr>
                <w:bottom w:val="none" w:color="auto" w:sz="0" w:space="0"/>
              </w:pBdr>
              <w:tabs>
                <w:tab w:val="clear" w:pos="4153"/>
                <w:tab w:val="clear" w:pos="8306"/>
              </w:tabs>
              <w:rPr>
                <w:color w:val="auto"/>
              </w:rPr>
            </w:pPr>
            <w:r>
              <w:rPr>
                <w:color w:val="auto"/>
              </w:rPr>
              <w:t>1.35</w:t>
            </w:r>
          </w:p>
        </w:tc>
        <w:tc>
          <w:tcPr>
            <w:tcW w:w="2214" w:type="dxa"/>
            <w:vAlign w:val="center"/>
          </w:tcPr>
          <w:p w14:paraId="2DD041EE">
            <w:pPr>
              <w:adjustRightInd w:val="0"/>
              <w:snapToGrid w:val="0"/>
              <w:spacing w:line="260" w:lineRule="exact"/>
              <w:jc w:val="center"/>
              <w:rPr>
                <w:color w:val="auto"/>
                <w:sz w:val="18"/>
                <w:szCs w:val="18"/>
              </w:rPr>
            </w:pPr>
            <w:r>
              <w:rPr>
                <w:color w:val="auto"/>
                <w:sz w:val="18"/>
                <w:szCs w:val="18"/>
              </w:rPr>
              <w:t>1.3</w:t>
            </w:r>
            <w:r>
              <w:rPr>
                <w:rFonts w:hint="eastAsia"/>
                <w:color w:val="auto"/>
                <w:sz w:val="18"/>
                <w:szCs w:val="18"/>
              </w:rPr>
              <w:t>0</w:t>
            </w:r>
          </w:p>
        </w:tc>
        <w:tc>
          <w:tcPr>
            <w:tcW w:w="2176" w:type="dxa"/>
            <w:vAlign w:val="center"/>
          </w:tcPr>
          <w:p w14:paraId="178E0D49">
            <w:pPr>
              <w:adjustRightInd w:val="0"/>
              <w:snapToGrid w:val="0"/>
              <w:jc w:val="center"/>
              <w:rPr>
                <w:color w:val="auto"/>
                <w:sz w:val="18"/>
                <w:szCs w:val="18"/>
              </w:rPr>
            </w:pPr>
            <w:r>
              <w:rPr>
                <w:color w:val="auto"/>
                <w:sz w:val="18"/>
                <w:szCs w:val="18"/>
              </w:rPr>
              <w:t>1.25</w:t>
            </w:r>
          </w:p>
        </w:tc>
      </w:tr>
      <w:tr w14:paraId="0ADAE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720" w:type="dxa"/>
            <w:vMerge w:val="continue"/>
            <w:vAlign w:val="center"/>
          </w:tcPr>
          <w:p w14:paraId="6D771665">
            <w:pPr>
              <w:adjustRightInd w:val="0"/>
              <w:snapToGrid w:val="0"/>
              <w:jc w:val="center"/>
              <w:rPr>
                <w:color w:val="auto"/>
                <w:sz w:val="18"/>
                <w:szCs w:val="18"/>
              </w:rPr>
            </w:pPr>
          </w:p>
        </w:tc>
        <w:tc>
          <w:tcPr>
            <w:tcW w:w="1935" w:type="dxa"/>
            <w:vAlign w:val="center"/>
          </w:tcPr>
          <w:p w14:paraId="247393D4">
            <w:pPr>
              <w:adjustRightInd w:val="0"/>
              <w:snapToGrid w:val="0"/>
              <w:jc w:val="center"/>
              <w:rPr>
                <w:color w:val="auto"/>
                <w:sz w:val="18"/>
                <w:szCs w:val="18"/>
              </w:rPr>
            </w:pPr>
            <w:r>
              <w:rPr>
                <w:rFonts w:hint="eastAsia"/>
                <w:color w:val="auto"/>
                <w:sz w:val="18"/>
                <w:szCs w:val="18"/>
              </w:rPr>
              <w:t>地震工况</w:t>
            </w:r>
          </w:p>
        </w:tc>
        <w:tc>
          <w:tcPr>
            <w:tcW w:w="2083" w:type="dxa"/>
            <w:vAlign w:val="center"/>
          </w:tcPr>
          <w:p w14:paraId="19682603">
            <w:pPr>
              <w:adjustRightInd w:val="0"/>
              <w:snapToGrid w:val="0"/>
              <w:spacing w:line="260" w:lineRule="exact"/>
              <w:jc w:val="center"/>
              <w:rPr>
                <w:color w:val="auto"/>
                <w:sz w:val="18"/>
                <w:szCs w:val="18"/>
              </w:rPr>
            </w:pPr>
            <w:r>
              <w:rPr>
                <w:color w:val="auto"/>
                <w:sz w:val="18"/>
                <w:szCs w:val="18"/>
              </w:rPr>
              <w:t>1.</w:t>
            </w:r>
            <w:r>
              <w:rPr>
                <w:rFonts w:hint="eastAsia"/>
                <w:color w:val="auto"/>
                <w:sz w:val="18"/>
                <w:szCs w:val="18"/>
              </w:rPr>
              <w:t>15</w:t>
            </w:r>
          </w:p>
        </w:tc>
        <w:tc>
          <w:tcPr>
            <w:tcW w:w="2214" w:type="dxa"/>
            <w:vAlign w:val="center"/>
          </w:tcPr>
          <w:p w14:paraId="7D447981">
            <w:pPr>
              <w:adjustRightInd w:val="0"/>
              <w:snapToGrid w:val="0"/>
              <w:spacing w:line="260" w:lineRule="exact"/>
              <w:jc w:val="center"/>
              <w:rPr>
                <w:color w:val="auto"/>
                <w:sz w:val="18"/>
                <w:szCs w:val="18"/>
              </w:rPr>
            </w:pPr>
            <w:r>
              <w:rPr>
                <w:rFonts w:hint="eastAsia"/>
                <w:color w:val="auto"/>
                <w:sz w:val="18"/>
                <w:szCs w:val="18"/>
              </w:rPr>
              <w:t>1.10</w:t>
            </w:r>
          </w:p>
        </w:tc>
        <w:tc>
          <w:tcPr>
            <w:tcW w:w="2176" w:type="dxa"/>
            <w:vAlign w:val="center"/>
          </w:tcPr>
          <w:p w14:paraId="13694BE2">
            <w:pPr>
              <w:adjustRightInd w:val="0"/>
              <w:snapToGrid w:val="0"/>
              <w:jc w:val="center"/>
              <w:rPr>
                <w:color w:val="auto"/>
                <w:sz w:val="18"/>
                <w:szCs w:val="18"/>
              </w:rPr>
            </w:pPr>
            <w:r>
              <w:rPr>
                <w:rFonts w:hint="eastAsia"/>
                <w:color w:val="auto"/>
                <w:sz w:val="18"/>
                <w:szCs w:val="18"/>
              </w:rPr>
              <w:t>1.05</w:t>
            </w:r>
          </w:p>
        </w:tc>
      </w:tr>
      <w:tr w14:paraId="79E44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55" w:type="dxa"/>
            <w:gridSpan w:val="2"/>
            <w:vAlign w:val="center"/>
          </w:tcPr>
          <w:p w14:paraId="51EC1FEF">
            <w:pPr>
              <w:pStyle w:val="24"/>
              <w:pBdr>
                <w:bottom w:val="none" w:color="auto" w:sz="0" w:space="0"/>
              </w:pBdr>
              <w:tabs>
                <w:tab w:val="clear" w:pos="4153"/>
                <w:tab w:val="clear" w:pos="8306"/>
              </w:tabs>
              <w:spacing w:line="260" w:lineRule="exact"/>
              <w:rPr>
                <w:color w:val="auto"/>
              </w:rPr>
            </w:pPr>
            <w:r>
              <w:rPr>
                <w:rFonts w:hint="eastAsia"/>
                <w:color w:val="auto"/>
              </w:rPr>
              <w:t>临时边坡</w:t>
            </w:r>
          </w:p>
        </w:tc>
        <w:tc>
          <w:tcPr>
            <w:tcW w:w="2083" w:type="dxa"/>
            <w:vAlign w:val="center"/>
          </w:tcPr>
          <w:p w14:paraId="3E0ADEAF">
            <w:pPr>
              <w:adjustRightInd w:val="0"/>
              <w:snapToGrid w:val="0"/>
              <w:spacing w:line="260" w:lineRule="exact"/>
              <w:jc w:val="center"/>
              <w:rPr>
                <w:color w:val="auto"/>
                <w:sz w:val="18"/>
                <w:szCs w:val="18"/>
              </w:rPr>
            </w:pPr>
            <w:r>
              <w:rPr>
                <w:color w:val="auto"/>
                <w:sz w:val="18"/>
                <w:szCs w:val="18"/>
              </w:rPr>
              <w:t>1.</w:t>
            </w:r>
            <w:r>
              <w:rPr>
                <w:rFonts w:hint="eastAsia"/>
                <w:color w:val="auto"/>
                <w:sz w:val="18"/>
                <w:szCs w:val="18"/>
              </w:rPr>
              <w:t>25</w:t>
            </w:r>
          </w:p>
        </w:tc>
        <w:tc>
          <w:tcPr>
            <w:tcW w:w="2214" w:type="dxa"/>
            <w:vAlign w:val="center"/>
          </w:tcPr>
          <w:p w14:paraId="29A4BACB">
            <w:pPr>
              <w:adjustRightInd w:val="0"/>
              <w:snapToGrid w:val="0"/>
              <w:spacing w:line="260" w:lineRule="exact"/>
              <w:jc w:val="center"/>
              <w:rPr>
                <w:color w:val="auto"/>
                <w:sz w:val="18"/>
                <w:szCs w:val="18"/>
              </w:rPr>
            </w:pPr>
            <w:r>
              <w:rPr>
                <w:color w:val="auto"/>
                <w:sz w:val="18"/>
                <w:szCs w:val="18"/>
              </w:rPr>
              <w:t>1.2</w:t>
            </w:r>
            <w:r>
              <w:rPr>
                <w:rFonts w:hint="eastAsia"/>
                <w:color w:val="auto"/>
                <w:sz w:val="18"/>
                <w:szCs w:val="18"/>
              </w:rPr>
              <w:t>0</w:t>
            </w:r>
          </w:p>
        </w:tc>
        <w:tc>
          <w:tcPr>
            <w:tcW w:w="2176" w:type="dxa"/>
            <w:vAlign w:val="center"/>
          </w:tcPr>
          <w:p w14:paraId="5608A55D">
            <w:pPr>
              <w:adjustRightInd w:val="0"/>
              <w:snapToGrid w:val="0"/>
              <w:spacing w:line="260" w:lineRule="exact"/>
              <w:jc w:val="center"/>
              <w:rPr>
                <w:color w:val="auto"/>
                <w:sz w:val="18"/>
                <w:szCs w:val="18"/>
              </w:rPr>
            </w:pPr>
            <w:r>
              <w:rPr>
                <w:color w:val="auto"/>
                <w:sz w:val="18"/>
                <w:szCs w:val="18"/>
              </w:rPr>
              <w:t>1.</w:t>
            </w:r>
            <w:r>
              <w:rPr>
                <w:rFonts w:hint="eastAsia"/>
                <w:color w:val="auto"/>
                <w:sz w:val="18"/>
                <w:szCs w:val="18"/>
              </w:rPr>
              <w:t>15</w:t>
            </w:r>
          </w:p>
        </w:tc>
      </w:tr>
      <w:tr w14:paraId="6E6DC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9128" w:type="dxa"/>
            <w:gridSpan w:val="5"/>
            <w:vAlign w:val="center"/>
          </w:tcPr>
          <w:p w14:paraId="55E53FA2">
            <w:pPr>
              <w:adjustRightInd w:val="0"/>
              <w:snapToGrid w:val="0"/>
              <w:spacing w:before="62" w:beforeLines="20" w:line="280" w:lineRule="atLeast"/>
              <w:ind w:left="495" w:hanging="495" w:hangingChars="275"/>
              <w:rPr>
                <w:color w:val="auto"/>
                <w:sz w:val="18"/>
                <w:szCs w:val="18"/>
              </w:rPr>
            </w:pPr>
            <w:r>
              <w:rPr>
                <w:color w:val="auto"/>
                <w:sz w:val="18"/>
                <w:szCs w:val="18"/>
              </w:rPr>
              <w:t>注</w:t>
            </w:r>
            <w:r>
              <w:rPr>
                <w:b/>
                <w:color w:val="auto"/>
                <w:sz w:val="18"/>
                <w:szCs w:val="18"/>
              </w:rPr>
              <w:t>1</w:t>
            </w:r>
            <w:r>
              <w:rPr>
                <w:rFonts w:hint="eastAsia"/>
                <w:b/>
                <w:color w:val="auto"/>
                <w:sz w:val="18"/>
                <w:szCs w:val="18"/>
              </w:rPr>
              <w:t>：</w:t>
            </w:r>
            <w:r>
              <w:rPr>
                <w:color w:val="auto"/>
                <w:sz w:val="18"/>
                <w:szCs w:val="18"/>
              </w:rPr>
              <w:t>表列各种计算应符合</w:t>
            </w:r>
            <w:r>
              <w:rPr>
                <w:iCs/>
                <w:color w:val="auto"/>
                <w:sz w:val="18"/>
                <w:szCs w:val="18"/>
              </w:rPr>
              <w:t>GB</w:t>
            </w:r>
            <w:r>
              <w:rPr>
                <w:color w:val="auto"/>
                <w:sz w:val="18"/>
                <w:szCs w:val="18"/>
              </w:rPr>
              <w:t xml:space="preserve"> 50330的有关规定，计算时应考虑拟建建筑物的荷载，并考虑开挖暴露后岩土性质改变、强度下降的可能性；</w:t>
            </w:r>
          </w:p>
          <w:p w14:paraId="2D661747">
            <w:pPr>
              <w:adjustRightInd w:val="0"/>
              <w:snapToGrid w:val="0"/>
              <w:spacing w:line="280" w:lineRule="atLeast"/>
              <w:rPr>
                <w:color w:val="auto"/>
                <w:sz w:val="18"/>
                <w:szCs w:val="18"/>
              </w:rPr>
            </w:pPr>
            <w:r>
              <w:rPr>
                <w:color w:val="auto"/>
                <w:sz w:val="18"/>
                <w:szCs w:val="18"/>
              </w:rPr>
              <w:t>注</w:t>
            </w:r>
            <w:r>
              <w:rPr>
                <w:b/>
                <w:color w:val="auto"/>
                <w:sz w:val="18"/>
                <w:szCs w:val="18"/>
              </w:rPr>
              <w:t>2</w:t>
            </w:r>
            <w:r>
              <w:rPr>
                <w:rFonts w:hint="eastAsia"/>
                <w:b/>
                <w:color w:val="auto"/>
                <w:sz w:val="18"/>
                <w:szCs w:val="18"/>
              </w:rPr>
              <w:t>：</w:t>
            </w:r>
            <w:r>
              <w:rPr>
                <w:color w:val="auto"/>
                <w:sz w:val="18"/>
                <w:szCs w:val="18"/>
              </w:rPr>
              <w:t>对地质条件很复杂或破坏后果极严重的边坡工程，其稳定安全系数宜适当提高。</w:t>
            </w:r>
          </w:p>
          <w:p w14:paraId="3F1D5D27">
            <w:pPr>
              <w:adjustRightInd w:val="0"/>
              <w:snapToGrid w:val="0"/>
              <w:spacing w:line="280" w:lineRule="atLeast"/>
              <w:ind w:left="481" w:hanging="480" w:hangingChars="267"/>
              <w:rPr>
                <w:color w:val="auto"/>
                <w:sz w:val="18"/>
                <w:szCs w:val="18"/>
              </w:rPr>
            </w:pPr>
            <w:r>
              <w:rPr>
                <w:color w:val="auto"/>
                <w:sz w:val="18"/>
                <w:szCs w:val="18"/>
              </w:rPr>
              <w:t>注</w:t>
            </w:r>
            <w:r>
              <w:rPr>
                <w:b/>
                <w:color w:val="auto"/>
                <w:sz w:val="18"/>
                <w:szCs w:val="18"/>
              </w:rPr>
              <w:t>3</w:t>
            </w:r>
            <w:r>
              <w:rPr>
                <w:rFonts w:hint="eastAsia"/>
                <w:color w:val="auto"/>
                <w:sz w:val="18"/>
                <w:szCs w:val="18"/>
              </w:rPr>
              <w:t>：7度区的永久边坡应进行地震工况边坡稳定性校核，表中的安全系数仅适用于坍塌区内无重要建（构）筑物的边坡。</w:t>
            </w:r>
          </w:p>
        </w:tc>
      </w:tr>
    </w:tbl>
    <w:p w14:paraId="2265E0F5">
      <w:pPr>
        <w:adjustRightInd w:val="0"/>
        <w:snapToGrid w:val="0"/>
        <w:spacing w:before="120" w:line="340" w:lineRule="atLeast"/>
        <w:rPr>
          <w:color w:val="auto"/>
          <w:szCs w:val="21"/>
        </w:rPr>
      </w:pPr>
      <w:r>
        <w:rPr>
          <w:b/>
          <w:bCs/>
          <w:color w:val="auto"/>
          <w:szCs w:val="21"/>
        </w:rPr>
        <w:t>10.5.</w:t>
      </w:r>
      <w:r>
        <w:rPr>
          <w:rFonts w:hint="eastAsia"/>
          <w:b/>
          <w:bCs/>
          <w:color w:val="auto"/>
          <w:szCs w:val="21"/>
        </w:rPr>
        <w:t>18</w:t>
      </w:r>
      <w:r>
        <w:rPr>
          <w:color w:val="auto"/>
          <w:szCs w:val="21"/>
        </w:rPr>
        <w:t xml:space="preserve">  岩土边坡治理方法可根据不同情况按下列原则确定：</w:t>
      </w:r>
    </w:p>
    <w:p w14:paraId="6B64D90A">
      <w:pPr>
        <w:adjustRightInd w:val="0"/>
        <w:snapToGrid w:val="0"/>
        <w:spacing w:line="340" w:lineRule="atLeast"/>
        <w:ind w:firstLine="422" w:firstLineChars="200"/>
        <w:rPr>
          <w:color w:val="auto"/>
          <w:szCs w:val="21"/>
        </w:rPr>
      </w:pPr>
      <w:r>
        <w:rPr>
          <w:b/>
          <w:bCs/>
          <w:color w:val="auto"/>
          <w:szCs w:val="21"/>
        </w:rPr>
        <w:t xml:space="preserve">a) </w:t>
      </w:r>
      <w:r>
        <w:rPr>
          <w:color w:val="auto"/>
          <w:szCs w:val="21"/>
        </w:rPr>
        <w:t xml:space="preserve"> 当场地宽敞时，宜优先采用坡率法；</w:t>
      </w:r>
    </w:p>
    <w:p w14:paraId="34ABF688">
      <w:pPr>
        <w:adjustRightInd w:val="0"/>
        <w:snapToGrid w:val="0"/>
        <w:spacing w:line="340" w:lineRule="atLeast"/>
        <w:ind w:firstLine="422" w:firstLineChars="200"/>
        <w:rPr>
          <w:color w:val="auto"/>
          <w:szCs w:val="21"/>
        </w:rPr>
      </w:pPr>
      <w:r>
        <w:rPr>
          <w:b/>
          <w:bCs/>
          <w:color w:val="auto"/>
          <w:szCs w:val="21"/>
        </w:rPr>
        <w:t xml:space="preserve">b) </w:t>
      </w:r>
      <w:r>
        <w:rPr>
          <w:color w:val="auto"/>
          <w:szCs w:val="21"/>
        </w:rPr>
        <w:t xml:space="preserve"> 土质边坡高度不大于8</w:t>
      </w:r>
      <w:r>
        <w:rPr>
          <w:iCs/>
          <w:color w:val="auto"/>
          <w:szCs w:val="21"/>
        </w:rPr>
        <w:t>m</w:t>
      </w:r>
      <w:r>
        <w:rPr>
          <w:color w:val="auto"/>
          <w:szCs w:val="21"/>
        </w:rPr>
        <w:t>，岩质边坡高度不大于10</w:t>
      </w:r>
      <w:r>
        <w:rPr>
          <w:iCs/>
          <w:color w:val="auto"/>
          <w:szCs w:val="21"/>
        </w:rPr>
        <w:t>m</w:t>
      </w:r>
      <w:r>
        <w:rPr>
          <w:color w:val="auto"/>
          <w:szCs w:val="21"/>
        </w:rPr>
        <w:t>时可采用重力式挡墙或扶壁式挡墙，后填土支挡可采用扶壁衡重式挡墙</w:t>
      </w:r>
      <w:r>
        <w:rPr>
          <w:rFonts w:hint="eastAsia"/>
          <w:color w:val="auto"/>
          <w:szCs w:val="21"/>
        </w:rPr>
        <w:t>、锚锭板挡墙或土工格栅加筋挡墙</w:t>
      </w:r>
      <w:r>
        <w:rPr>
          <w:color w:val="auto"/>
          <w:szCs w:val="21"/>
        </w:rPr>
        <w:t>；</w:t>
      </w:r>
    </w:p>
    <w:p w14:paraId="0EF4FFE9">
      <w:pPr>
        <w:adjustRightInd w:val="0"/>
        <w:snapToGrid w:val="0"/>
        <w:spacing w:line="340" w:lineRule="atLeast"/>
        <w:ind w:firstLine="422" w:firstLineChars="200"/>
        <w:rPr>
          <w:color w:val="auto"/>
          <w:szCs w:val="21"/>
        </w:rPr>
      </w:pPr>
      <w:r>
        <w:rPr>
          <w:b/>
          <w:bCs/>
          <w:color w:val="auto"/>
          <w:szCs w:val="21"/>
        </w:rPr>
        <w:t xml:space="preserve">c) </w:t>
      </w:r>
      <w:r>
        <w:rPr>
          <w:color w:val="auto"/>
          <w:szCs w:val="21"/>
        </w:rPr>
        <w:t xml:space="preserve"> 对场地狭小、高度较大、变形控制要求严格的边坡可采用排桩式锚杆挡墙、板肋式锚杆挡墙、格构式锚杆挡墙；</w:t>
      </w:r>
    </w:p>
    <w:p w14:paraId="69D304A3">
      <w:pPr>
        <w:adjustRightInd w:val="0"/>
        <w:snapToGrid w:val="0"/>
        <w:spacing w:line="340" w:lineRule="atLeast"/>
        <w:ind w:firstLine="422" w:firstLineChars="200"/>
        <w:rPr>
          <w:color w:val="auto"/>
          <w:szCs w:val="21"/>
        </w:rPr>
      </w:pPr>
      <w:r>
        <w:rPr>
          <w:b/>
          <w:bCs/>
          <w:color w:val="auto"/>
          <w:szCs w:val="21"/>
        </w:rPr>
        <w:t>d)</w:t>
      </w:r>
      <w:r>
        <w:rPr>
          <w:color w:val="auto"/>
          <w:szCs w:val="21"/>
        </w:rPr>
        <w:t xml:space="preserve">  滑坡防治可采用排水、卸载、反压、支挡等综合措施。</w:t>
      </w:r>
    </w:p>
    <w:p w14:paraId="40C00643">
      <w:pPr>
        <w:adjustRightInd w:val="0"/>
        <w:snapToGrid w:val="0"/>
        <w:spacing w:line="340" w:lineRule="atLeast"/>
        <w:rPr>
          <w:color w:val="auto"/>
          <w:sz w:val="24"/>
        </w:rPr>
      </w:pPr>
      <w:r>
        <w:rPr>
          <w:b/>
          <w:bCs/>
          <w:color w:val="auto"/>
          <w:szCs w:val="21"/>
        </w:rPr>
        <w:t>10.5.</w:t>
      </w:r>
      <w:r>
        <w:rPr>
          <w:rFonts w:hint="eastAsia"/>
          <w:b/>
          <w:bCs/>
          <w:color w:val="auto"/>
          <w:szCs w:val="21"/>
        </w:rPr>
        <w:t>19</w:t>
      </w:r>
      <w:r>
        <w:rPr>
          <w:color w:val="auto"/>
          <w:szCs w:val="21"/>
        </w:rPr>
        <w:t xml:space="preserve">  岩、土质边坡坡率允许值应根据当地经验确定。当土质均匀良好、地下水贫乏、无不良地质现象时，土质边坡坡率允许值可按表39确定</w:t>
      </w:r>
      <w:r>
        <w:rPr>
          <w:rFonts w:hint="eastAsia"/>
          <w:color w:val="auto"/>
          <w:szCs w:val="21"/>
        </w:rPr>
        <w:t>；</w:t>
      </w:r>
      <w:r>
        <w:rPr>
          <w:color w:val="auto"/>
          <w:szCs w:val="21"/>
        </w:rPr>
        <w:t>岩质边坡坡率允许值可按表40确定</w:t>
      </w:r>
      <w:r>
        <w:rPr>
          <w:rFonts w:hint="eastAsia"/>
          <w:color w:val="auto"/>
          <w:szCs w:val="21"/>
        </w:rPr>
        <w:t>；</w:t>
      </w:r>
      <w:r>
        <w:rPr>
          <w:color w:val="auto"/>
          <w:szCs w:val="21"/>
        </w:rPr>
        <w:t>边坡较高时宜分级放坡</w:t>
      </w:r>
      <w:r>
        <w:rPr>
          <w:rFonts w:hint="eastAsia"/>
          <w:color w:val="auto"/>
          <w:szCs w:val="21"/>
        </w:rPr>
        <w:t>，分级放坡时应验算边坡整体稳定性和各级边坡稳定性；对有外倾软弱结构面的岩质边坡、土质较软的边坡、坡顶边缘附近有较大荷载的边坡、边坡高度超过以上两表范围的边坡等，坡率允许值应通过稳定性计算分析确定</w:t>
      </w:r>
      <w:r>
        <w:rPr>
          <w:color w:val="auto"/>
          <w:szCs w:val="21"/>
        </w:rPr>
        <w:t xml:space="preserve">。 </w:t>
      </w:r>
    </w:p>
    <w:p w14:paraId="7C04D232">
      <w:pPr>
        <w:adjustRightInd w:val="0"/>
        <w:snapToGrid w:val="0"/>
        <w:spacing w:before="240" w:line="340" w:lineRule="atLeast"/>
        <w:jc w:val="center"/>
        <w:rPr>
          <w:rFonts w:eastAsia="黑体"/>
          <w:b/>
          <w:bCs/>
          <w:color w:val="auto"/>
          <w:szCs w:val="21"/>
        </w:rPr>
      </w:pPr>
      <w:r>
        <w:rPr>
          <w:rFonts w:eastAsia="黑体"/>
          <w:b/>
          <w:bCs/>
          <w:color w:val="auto"/>
          <w:szCs w:val="21"/>
        </w:rPr>
        <w:t>表39   土质边坡坡率允许值</w:t>
      </w:r>
    </w:p>
    <w:tbl>
      <w:tblPr>
        <w:tblStyle w:val="36"/>
        <w:tblW w:w="91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0"/>
        <w:gridCol w:w="1723"/>
        <w:gridCol w:w="2624"/>
        <w:gridCol w:w="2993"/>
      </w:tblGrid>
      <w:tr w14:paraId="463BC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780" w:type="dxa"/>
            <w:vMerge w:val="restart"/>
            <w:vAlign w:val="center"/>
          </w:tcPr>
          <w:p w14:paraId="1FB14744">
            <w:pPr>
              <w:adjustRightInd w:val="0"/>
              <w:snapToGrid w:val="0"/>
              <w:spacing w:line="360" w:lineRule="atLeast"/>
              <w:jc w:val="center"/>
              <w:rPr>
                <w:color w:val="auto"/>
                <w:sz w:val="18"/>
                <w:szCs w:val="18"/>
              </w:rPr>
            </w:pPr>
            <w:r>
              <w:rPr>
                <w:color w:val="auto"/>
                <w:sz w:val="18"/>
                <w:szCs w:val="18"/>
              </w:rPr>
              <w:t>边坡土体类别</w:t>
            </w:r>
          </w:p>
        </w:tc>
        <w:tc>
          <w:tcPr>
            <w:tcW w:w="1723" w:type="dxa"/>
            <w:vMerge w:val="restart"/>
            <w:vAlign w:val="center"/>
          </w:tcPr>
          <w:p w14:paraId="6312ADC6">
            <w:pPr>
              <w:pStyle w:val="24"/>
              <w:pBdr>
                <w:bottom w:val="none" w:color="auto" w:sz="0" w:space="0"/>
              </w:pBdr>
              <w:tabs>
                <w:tab w:val="clear" w:pos="4153"/>
                <w:tab w:val="clear" w:pos="8306"/>
              </w:tabs>
              <w:spacing w:line="360" w:lineRule="atLeast"/>
              <w:rPr>
                <w:color w:val="auto"/>
              </w:rPr>
            </w:pPr>
            <w:r>
              <w:rPr>
                <w:color w:val="auto"/>
              </w:rPr>
              <w:t>状  态</w:t>
            </w:r>
          </w:p>
        </w:tc>
        <w:tc>
          <w:tcPr>
            <w:tcW w:w="5617" w:type="dxa"/>
            <w:gridSpan w:val="2"/>
            <w:vAlign w:val="center"/>
          </w:tcPr>
          <w:p w14:paraId="47628928">
            <w:pPr>
              <w:adjustRightInd w:val="0"/>
              <w:snapToGrid w:val="0"/>
              <w:spacing w:line="280" w:lineRule="exact"/>
              <w:jc w:val="center"/>
              <w:rPr>
                <w:color w:val="auto"/>
                <w:sz w:val="18"/>
                <w:szCs w:val="18"/>
              </w:rPr>
            </w:pPr>
            <w:r>
              <w:rPr>
                <w:color w:val="auto"/>
                <w:sz w:val="18"/>
                <w:szCs w:val="18"/>
              </w:rPr>
              <w:t>坡率允许值（高宽比）</w:t>
            </w:r>
          </w:p>
        </w:tc>
      </w:tr>
      <w:tr w14:paraId="41F3C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1780" w:type="dxa"/>
            <w:vMerge w:val="continue"/>
            <w:vAlign w:val="center"/>
          </w:tcPr>
          <w:p w14:paraId="7878D631">
            <w:pPr>
              <w:adjustRightInd w:val="0"/>
              <w:snapToGrid w:val="0"/>
              <w:spacing w:line="360" w:lineRule="atLeast"/>
              <w:jc w:val="center"/>
              <w:rPr>
                <w:color w:val="auto"/>
                <w:sz w:val="18"/>
                <w:szCs w:val="18"/>
              </w:rPr>
            </w:pPr>
          </w:p>
        </w:tc>
        <w:tc>
          <w:tcPr>
            <w:tcW w:w="1723" w:type="dxa"/>
            <w:vMerge w:val="continue"/>
            <w:vAlign w:val="center"/>
          </w:tcPr>
          <w:p w14:paraId="047967E9">
            <w:pPr>
              <w:adjustRightInd w:val="0"/>
              <w:snapToGrid w:val="0"/>
              <w:spacing w:line="360" w:lineRule="atLeast"/>
              <w:jc w:val="center"/>
              <w:rPr>
                <w:color w:val="auto"/>
                <w:sz w:val="18"/>
                <w:szCs w:val="18"/>
              </w:rPr>
            </w:pPr>
          </w:p>
        </w:tc>
        <w:tc>
          <w:tcPr>
            <w:tcW w:w="2624" w:type="dxa"/>
            <w:vAlign w:val="center"/>
          </w:tcPr>
          <w:p w14:paraId="04464BA2">
            <w:pPr>
              <w:adjustRightInd w:val="0"/>
              <w:snapToGrid w:val="0"/>
              <w:spacing w:line="280" w:lineRule="exact"/>
              <w:jc w:val="center"/>
              <w:rPr>
                <w:color w:val="auto"/>
                <w:sz w:val="18"/>
                <w:szCs w:val="18"/>
              </w:rPr>
            </w:pPr>
            <w:r>
              <w:rPr>
                <w:color w:val="auto"/>
                <w:sz w:val="18"/>
                <w:szCs w:val="18"/>
              </w:rPr>
              <w:t>坡高小于5</w:t>
            </w:r>
            <w:r>
              <w:rPr>
                <w:iCs/>
                <w:color w:val="auto"/>
                <w:sz w:val="18"/>
                <w:szCs w:val="18"/>
              </w:rPr>
              <w:t>m</w:t>
            </w:r>
          </w:p>
        </w:tc>
        <w:tc>
          <w:tcPr>
            <w:tcW w:w="2993" w:type="dxa"/>
            <w:vAlign w:val="center"/>
          </w:tcPr>
          <w:p w14:paraId="65996552">
            <w:pPr>
              <w:adjustRightInd w:val="0"/>
              <w:snapToGrid w:val="0"/>
              <w:spacing w:line="280" w:lineRule="exact"/>
              <w:jc w:val="center"/>
              <w:rPr>
                <w:color w:val="auto"/>
                <w:sz w:val="18"/>
                <w:szCs w:val="18"/>
              </w:rPr>
            </w:pPr>
            <w:r>
              <w:rPr>
                <w:color w:val="auto"/>
                <w:sz w:val="18"/>
                <w:szCs w:val="18"/>
              </w:rPr>
              <w:t>坡高5</w:t>
            </w:r>
            <w:r>
              <w:rPr>
                <w:iCs/>
                <w:color w:val="auto"/>
                <w:sz w:val="18"/>
                <w:szCs w:val="18"/>
              </w:rPr>
              <w:t xml:space="preserve"> m</w:t>
            </w:r>
            <w:r>
              <w:rPr>
                <w:color w:val="auto"/>
                <w:sz w:val="18"/>
                <w:szCs w:val="18"/>
              </w:rPr>
              <w:t>～10</w:t>
            </w:r>
            <w:r>
              <w:rPr>
                <w:iCs/>
                <w:color w:val="auto"/>
                <w:sz w:val="18"/>
                <w:szCs w:val="18"/>
              </w:rPr>
              <w:t>m</w:t>
            </w:r>
          </w:p>
        </w:tc>
      </w:tr>
      <w:tr w14:paraId="006C13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1780" w:type="dxa"/>
            <w:vAlign w:val="center"/>
          </w:tcPr>
          <w:p w14:paraId="42BEB455">
            <w:pPr>
              <w:adjustRightInd w:val="0"/>
              <w:snapToGrid w:val="0"/>
              <w:spacing w:line="280" w:lineRule="atLeast"/>
              <w:jc w:val="center"/>
              <w:rPr>
                <w:color w:val="auto"/>
                <w:sz w:val="18"/>
                <w:szCs w:val="18"/>
              </w:rPr>
            </w:pPr>
            <w:r>
              <w:rPr>
                <w:color w:val="auto"/>
                <w:sz w:val="18"/>
                <w:szCs w:val="18"/>
              </w:rPr>
              <w:t>碎石土</w:t>
            </w:r>
          </w:p>
        </w:tc>
        <w:tc>
          <w:tcPr>
            <w:tcW w:w="1723" w:type="dxa"/>
            <w:vAlign w:val="center"/>
          </w:tcPr>
          <w:p w14:paraId="1C791036">
            <w:pPr>
              <w:adjustRightInd w:val="0"/>
              <w:snapToGrid w:val="0"/>
              <w:spacing w:line="280" w:lineRule="atLeast"/>
              <w:jc w:val="center"/>
              <w:rPr>
                <w:color w:val="auto"/>
                <w:sz w:val="18"/>
                <w:szCs w:val="18"/>
              </w:rPr>
            </w:pPr>
            <w:r>
              <w:rPr>
                <w:color w:val="auto"/>
                <w:sz w:val="18"/>
                <w:szCs w:val="18"/>
              </w:rPr>
              <w:t>密实</w:t>
            </w:r>
          </w:p>
          <w:p w14:paraId="25DED567">
            <w:pPr>
              <w:adjustRightInd w:val="0"/>
              <w:snapToGrid w:val="0"/>
              <w:spacing w:line="280" w:lineRule="atLeast"/>
              <w:jc w:val="center"/>
              <w:rPr>
                <w:color w:val="auto"/>
                <w:sz w:val="18"/>
                <w:szCs w:val="18"/>
              </w:rPr>
            </w:pPr>
            <w:r>
              <w:rPr>
                <w:color w:val="auto"/>
                <w:sz w:val="18"/>
                <w:szCs w:val="18"/>
              </w:rPr>
              <w:t>中密</w:t>
            </w:r>
          </w:p>
          <w:p w14:paraId="1CF2A232">
            <w:pPr>
              <w:adjustRightInd w:val="0"/>
              <w:snapToGrid w:val="0"/>
              <w:spacing w:line="280" w:lineRule="atLeast"/>
              <w:jc w:val="center"/>
              <w:rPr>
                <w:color w:val="auto"/>
                <w:sz w:val="18"/>
                <w:szCs w:val="18"/>
              </w:rPr>
            </w:pPr>
            <w:r>
              <w:rPr>
                <w:color w:val="auto"/>
                <w:sz w:val="18"/>
                <w:szCs w:val="18"/>
              </w:rPr>
              <w:t>稍密</w:t>
            </w:r>
          </w:p>
        </w:tc>
        <w:tc>
          <w:tcPr>
            <w:tcW w:w="2624" w:type="dxa"/>
            <w:vAlign w:val="center"/>
          </w:tcPr>
          <w:p w14:paraId="0A645260">
            <w:pPr>
              <w:adjustRightInd w:val="0"/>
              <w:snapToGrid w:val="0"/>
              <w:spacing w:line="280" w:lineRule="atLeast"/>
              <w:jc w:val="center"/>
              <w:rPr>
                <w:color w:val="auto"/>
                <w:sz w:val="18"/>
                <w:szCs w:val="18"/>
              </w:rPr>
            </w:pPr>
            <w:r>
              <w:rPr>
                <w:color w:val="auto"/>
                <w:sz w:val="18"/>
                <w:szCs w:val="18"/>
              </w:rPr>
              <w:t>1：0.35～1：0.50</w:t>
            </w:r>
          </w:p>
          <w:p w14:paraId="66360FD0">
            <w:pPr>
              <w:adjustRightInd w:val="0"/>
              <w:snapToGrid w:val="0"/>
              <w:spacing w:line="280" w:lineRule="atLeast"/>
              <w:jc w:val="center"/>
              <w:rPr>
                <w:color w:val="auto"/>
                <w:sz w:val="18"/>
                <w:szCs w:val="18"/>
              </w:rPr>
            </w:pPr>
            <w:r>
              <w:rPr>
                <w:color w:val="auto"/>
                <w:sz w:val="18"/>
                <w:szCs w:val="18"/>
              </w:rPr>
              <w:t>1：0.50～1：0.75</w:t>
            </w:r>
          </w:p>
          <w:p w14:paraId="5242FD0C">
            <w:pPr>
              <w:adjustRightInd w:val="0"/>
              <w:snapToGrid w:val="0"/>
              <w:spacing w:line="280" w:lineRule="atLeast"/>
              <w:jc w:val="center"/>
              <w:rPr>
                <w:color w:val="auto"/>
                <w:sz w:val="18"/>
                <w:szCs w:val="18"/>
              </w:rPr>
            </w:pPr>
            <w:r>
              <w:rPr>
                <w:color w:val="auto"/>
                <w:sz w:val="18"/>
                <w:szCs w:val="18"/>
              </w:rPr>
              <w:t>1：0.75～1：1.00</w:t>
            </w:r>
          </w:p>
        </w:tc>
        <w:tc>
          <w:tcPr>
            <w:tcW w:w="2993" w:type="dxa"/>
            <w:vAlign w:val="center"/>
          </w:tcPr>
          <w:p w14:paraId="7971AFAA">
            <w:pPr>
              <w:adjustRightInd w:val="0"/>
              <w:snapToGrid w:val="0"/>
              <w:spacing w:line="280" w:lineRule="atLeast"/>
              <w:jc w:val="center"/>
              <w:rPr>
                <w:color w:val="auto"/>
                <w:sz w:val="18"/>
                <w:szCs w:val="18"/>
              </w:rPr>
            </w:pPr>
            <w:r>
              <w:rPr>
                <w:color w:val="auto"/>
                <w:sz w:val="18"/>
                <w:szCs w:val="18"/>
              </w:rPr>
              <w:t>1：0.50～1：0.75</w:t>
            </w:r>
          </w:p>
          <w:p w14:paraId="2ABDF1C8">
            <w:pPr>
              <w:adjustRightInd w:val="0"/>
              <w:snapToGrid w:val="0"/>
              <w:spacing w:line="280" w:lineRule="atLeast"/>
              <w:jc w:val="center"/>
              <w:rPr>
                <w:color w:val="auto"/>
                <w:sz w:val="18"/>
                <w:szCs w:val="18"/>
              </w:rPr>
            </w:pPr>
            <w:r>
              <w:rPr>
                <w:color w:val="auto"/>
                <w:sz w:val="18"/>
                <w:szCs w:val="18"/>
              </w:rPr>
              <w:t>1：0.75～1：1.00</w:t>
            </w:r>
          </w:p>
          <w:p w14:paraId="2B1236FA">
            <w:pPr>
              <w:adjustRightInd w:val="0"/>
              <w:snapToGrid w:val="0"/>
              <w:spacing w:line="280" w:lineRule="atLeast"/>
              <w:jc w:val="center"/>
              <w:rPr>
                <w:color w:val="auto"/>
                <w:sz w:val="18"/>
                <w:szCs w:val="18"/>
              </w:rPr>
            </w:pPr>
            <w:r>
              <w:rPr>
                <w:color w:val="auto"/>
                <w:sz w:val="18"/>
                <w:szCs w:val="18"/>
              </w:rPr>
              <w:t>1：1.00～1：1.25</w:t>
            </w:r>
          </w:p>
        </w:tc>
      </w:tr>
      <w:tr w14:paraId="4C297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1780" w:type="dxa"/>
            <w:vAlign w:val="center"/>
          </w:tcPr>
          <w:p w14:paraId="5996518F">
            <w:pPr>
              <w:adjustRightInd w:val="0"/>
              <w:snapToGrid w:val="0"/>
              <w:spacing w:line="280" w:lineRule="atLeast"/>
              <w:jc w:val="center"/>
              <w:rPr>
                <w:color w:val="auto"/>
                <w:sz w:val="18"/>
                <w:szCs w:val="18"/>
              </w:rPr>
            </w:pPr>
            <w:r>
              <w:rPr>
                <w:color w:val="auto"/>
                <w:sz w:val="18"/>
                <w:szCs w:val="18"/>
              </w:rPr>
              <w:t>黏性土</w:t>
            </w:r>
          </w:p>
        </w:tc>
        <w:tc>
          <w:tcPr>
            <w:tcW w:w="1723" w:type="dxa"/>
            <w:vAlign w:val="center"/>
          </w:tcPr>
          <w:p w14:paraId="12C416D8">
            <w:pPr>
              <w:adjustRightInd w:val="0"/>
              <w:snapToGrid w:val="0"/>
              <w:spacing w:line="280" w:lineRule="atLeast"/>
              <w:jc w:val="center"/>
              <w:rPr>
                <w:color w:val="auto"/>
                <w:sz w:val="18"/>
                <w:szCs w:val="18"/>
              </w:rPr>
            </w:pPr>
            <w:r>
              <w:rPr>
                <w:color w:val="auto"/>
                <w:sz w:val="18"/>
                <w:szCs w:val="18"/>
              </w:rPr>
              <w:t>坚硬</w:t>
            </w:r>
          </w:p>
          <w:p w14:paraId="39DDD6F6">
            <w:pPr>
              <w:adjustRightInd w:val="0"/>
              <w:snapToGrid w:val="0"/>
              <w:spacing w:line="280" w:lineRule="atLeast"/>
              <w:jc w:val="center"/>
              <w:rPr>
                <w:color w:val="auto"/>
                <w:sz w:val="18"/>
                <w:szCs w:val="18"/>
              </w:rPr>
            </w:pPr>
            <w:r>
              <w:rPr>
                <w:color w:val="auto"/>
                <w:sz w:val="18"/>
                <w:szCs w:val="18"/>
              </w:rPr>
              <w:t>硬塑</w:t>
            </w:r>
          </w:p>
        </w:tc>
        <w:tc>
          <w:tcPr>
            <w:tcW w:w="2624" w:type="dxa"/>
            <w:vAlign w:val="center"/>
          </w:tcPr>
          <w:p w14:paraId="4E0884C8">
            <w:pPr>
              <w:adjustRightInd w:val="0"/>
              <w:snapToGrid w:val="0"/>
              <w:spacing w:line="280" w:lineRule="atLeast"/>
              <w:jc w:val="center"/>
              <w:rPr>
                <w:color w:val="auto"/>
                <w:sz w:val="18"/>
                <w:szCs w:val="18"/>
              </w:rPr>
            </w:pPr>
            <w:r>
              <w:rPr>
                <w:color w:val="auto"/>
                <w:sz w:val="18"/>
                <w:szCs w:val="18"/>
              </w:rPr>
              <w:t>1：0.75～1：1.00</w:t>
            </w:r>
          </w:p>
          <w:p w14:paraId="6C8BFA62">
            <w:pPr>
              <w:adjustRightInd w:val="0"/>
              <w:snapToGrid w:val="0"/>
              <w:spacing w:line="280" w:lineRule="atLeast"/>
              <w:jc w:val="center"/>
              <w:rPr>
                <w:color w:val="auto"/>
                <w:sz w:val="18"/>
                <w:szCs w:val="18"/>
              </w:rPr>
            </w:pPr>
            <w:r>
              <w:rPr>
                <w:color w:val="auto"/>
                <w:sz w:val="18"/>
                <w:szCs w:val="18"/>
              </w:rPr>
              <w:t>1：1.00～1：1.25</w:t>
            </w:r>
          </w:p>
        </w:tc>
        <w:tc>
          <w:tcPr>
            <w:tcW w:w="2993" w:type="dxa"/>
            <w:vAlign w:val="center"/>
          </w:tcPr>
          <w:p w14:paraId="3069DCB7">
            <w:pPr>
              <w:adjustRightInd w:val="0"/>
              <w:snapToGrid w:val="0"/>
              <w:spacing w:line="280" w:lineRule="atLeast"/>
              <w:jc w:val="center"/>
              <w:rPr>
                <w:color w:val="auto"/>
                <w:sz w:val="18"/>
                <w:szCs w:val="18"/>
              </w:rPr>
            </w:pPr>
            <w:r>
              <w:rPr>
                <w:color w:val="auto"/>
                <w:sz w:val="18"/>
                <w:szCs w:val="18"/>
              </w:rPr>
              <w:t>1：1.00～1：1.25</w:t>
            </w:r>
          </w:p>
          <w:p w14:paraId="1A78D7F1">
            <w:pPr>
              <w:adjustRightInd w:val="0"/>
              <w:snapToGrid w:val="0"/>
              <w:spacing w:line="280" w:lineRule="atLeast"/>
              <w:jc w:val="center"/>
              <w:rPr>
                <w:color w:val="auto"/>
                <w:sz w:val="18"/>
                <w:szCs w:val="18"/>
              </w:rPr>
            </w:pPr>
            <w:r>
              <w:rPr>
                <w:color w:val="auto"/>
                <w:sz w:val="18"/>
                <w:szCs w:val="18"/>
              </w:rPr>
              <w:t>1：1.25～1：1.50</w:t>
            </w:r>
          </w:p>
        </w:tc>
      </w:tr>
      <w:tr w14:paraId="62356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9120" w:type="dxa"/>
            <w:gridSpan w:val="4"/>
            <w:vAlign w:val="center"/>
          </w:tcPr>
          <w:p w14:paraId="5DDC4F29">
            <w:pPr>
              <w:adjustRightInd w:val="0"/>
              <w:snapToGrid w:val="0"/>
              <w:spacing w:line="280" w:lineRule="atLeast"/>
              <w:rPr>
                <w:color w:val="auto"/>
                <w:sz w:val="18"/>
                <w:szCs w:val="18"/>
              </w:rPr>
            </w:pPr>
            <w:r>
              <w:rPr>
                <w:color w:val="auto"/>
                <w:sz w:val="18"/>
                <w:szCs w:val="18"/>
              </w:rPr>
              <w:t>注1：碎石土的充填物应为坚硬或硬塑状态的黏性土；</w:t>
            </w:r>
          </w:p>
          <w:p w14:paraId="1628BE12">
            <w:pPr>
              <w:adjustRightInd w:val="0"/>
              <w:snapToGrid w:val="0"/>
              <w:spacing w:line="280" w:lineRule="atLeast"/>
              <w:rPr>
                <w:color w:val="auto"/>
                <w:sz w:val="18"/>
                <w:szCs w:val="18"/>
              </w:rPr>
            </w:pPr>
            <w:r>
              <w:rPr>
                <w:color w:val="auto"/>
                <w:sz w:val="18"/>
                <w:szCs w:val="18"/>
              </w:rPr>
              <w:t>注2：对于砂土或充填物为砂土的碎石土，其边坡坡率允许值应按自然休止角确定；</w:t>
            </w:r>
          </w:p>
          <w:p w14:paraId="4869801F">
            <w:pPr>
              <w:adjustRightInd w:val="0"/>
              <w:snapToGrid w:val="0"/>
              <w:spacing w:line="280" w:lineRule="atLeast"/>
              <w:rPr>
                <w:color w:val="auto"/>
                <w:sz w:val="18"/>
                <w:szCs w:val="18"/>
              </w:rPr>
            </w:pPr>
            <w:r>
              <w:rPr>
                <w:color w:val="auto"/>
                <w:sz w:val="18"/>
                <w:szCs w:val="18"/>
              </w:rPr>
              <w:t>注3：采取坡面保护措施或破坏后果不严重时可取较大坡率值。</w:t>
            </w:r>
          </w:p>
        </w:tc>
      </w:tr>
    </w:tbl>
    <w:p w14:paraId="5E042D83">
      <w:pPr>
        <w:adjustRightInd w:val="0"/>
        <w:snapToGrid w:val="0"/>
        <w:spacing w:before="240" w:line="340" w:lineRule="atLeast"/>
        <w:jc w:val="center"/>
        <w:rPr>
          <w:rFonts w:eastAsia="黑体"/>
          <w:b/>
          <w:bCs/>
          <w:color w:val="auto"/>
          <w:szCs w:val="21"/>
        </w:rPr>
      </w:pPr>
    </w:p>
    <w:p w14:paraId="165CB8F7">
      <w:pPr>
        <w:adjustRightInd w:val="0"/>
        <w:snapToGrid w:val="0"/>
        <w:spacing w:before="240" w:line="340" w:lineRule="atLeast"/>
        <w:jc w:val="center"/>
        <w:rPr>
          <w:rFonts w:eastAsia="黑体"/>
          <w:b/>
          <w:bCs/>
          <w:color w:val="auto"/>
          <w:szCs w:val="21"/>
        </w:rPr>
      </w:pPr>
      <w:r>
        <w:rPr>
          <w:rFonts w:eastAsia="黑体"/>
          <w:b/>
          <w:bCs/>
          <w:color w:val="auto"/>
          <w:szCs w:val="21"/>
        </w:rPr>
        <w:br w:type="page"/>
      </w:r>
      <w:r>
        <w:rPr>
          <w:rFonts w:eastAsia="黑体"/>
          <w:b/>
          <w:bCs/>
          <w:color w:val="auto"/>
          <w:szCs w:val="21"/>
        </w:rPr>
        <w:t>表40   岩质边坡坡率允许值</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3"/>
        <w:gridCol w:w="1365"/>
        <w:gridCol w:w="2005"/>
        <w:gridCol w:w="2054"/>
        <w:gridCol w:w="2245"/>
      </w:tblGrid>
      <w:tr w14:paraId="08403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restart"/>
            <w:vAlign w:val="center"/>
          </w:tcPr>
          <w:p w14:paraId="1811AFA6">
            <w:pPr>
              <w:adjustRightInd w:val="0"/>
              <w:snapToGrid w:val="0"/>
              <w:jc w:val="center"/>
              <w:rPr>
                <w:color w:val="auto"/>
                <w:sz w:val="18"/>
                <w:szCs w:val="18"/>
              </w:rPr>
            </w:pPr>
            <w:r>
              <w:rPr>
                <w:color w:val="auto"/>
                <w:sz w:val="18"/>
                <w:szCs w:val="18"/>
              </w:rPr>
              <w:t>边坡岩体</w:t>
            </w:r>
          </w:p>
          <w:p w14:paraId="511CBF30">
            <w:pPr>
              <w:adjustRightInd w:val="0"/>
              <w:snapToGrid w:val="0"/>
              <w:jc w:val="center"/>
              <w:rPr>
                <w:color w:val="auto"/>
                <w:sz w:val="18"/>
                <w:szCs w:val="18"/>
              </w:rPr>
            </w:pPr>
            <w:r>
              <w:rPr>
                <w:color w:val="auto"/>
                <w:sz w:val="18"/>
                <w:szCs w:val="18"/>
              </w:rPr>
              <w:t>类型</w:t>
            </w:r>
          </w:p>
        </w:tc>
        <w:tc>
          <w:tcPr>
            <w:tcW w:w="1365" w:type="dxa"/>
            <w:vMerge w:val="restart"/>
            <w:vAlign w:val="center"/>
          </w:tcPr>
          <w:p w14:paraId="45C69E6C">
            <w:pPr>
              <w:adjustRightInd w:val="0"/>
              <w:snapToGrid w:val="0"/>
              <w:spacing w:line="340" w:lineRule="atLeast"/>
              <w:jc w:val="center"/>
              <w:rPr>
                <w:color w:val="auto"/>
                <w:sz w:val="18"/>
                <w:szCs w:val="18"/>
              </w:rPr>
            </w:pPr>
            <w:r>
              <w:rPr>
                <w:color w:val="auto"/>
                <w:sz w:val="18"/>
                <w:szCs w:val="18"/>
              </w:rPr>
              <w:t>风化程度</w:t>
            </w:r>
          </w:p>
        </w:tc>
        <w:tc>
          <w:tcPr>
            <w:tcW w:w="6304" w:type="dxa"/>
            <w:gridSpan w:val="3"/>
            <w:vAlign w:val="center"/>
          </w:tcPr>
          <w:p w14:paraId="005BCE39">
            <w:pPr>
              <w:adjustRightInd w:val="0"/>
              <w:snapToGrid w:val="0"/>
              <w:spacing w:line="260" w:lineRule="atLeast"/>
              <w:jc w:val="center"/>
              <w:rPr>
                <w:color w:val="auto"/>
                <w:sz w:val="18"/>
                <w:szCs w:val="18"/>
              </w:rPr>
            </w:pPr>
            <w:r>
              <w:rPr>
                <w:color w:val="auto"/>
                <w:sz w:val="18"/>
                <w:szCs w:val="18"/>
              </w:rPr>
              <w:t>坡率允许值（高宽比）</w:t>
            </w:r>
          </w:p>
        </w:tc>
      </w:tr>
      <w:tr w14:paraId="395A3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continue"/>
          </w:tcPr>
          <w:p w14:paraId="6F5F050A">
            <w:pPr>
              <w:adjustRightInd w:val="0"/>
              <w:snapToGrid w:val="0"/>
              <w:spacing w:line="340" w:lineRule="atLeast"/>
              <w:rPr>
                <w:color w:val="auto"/>
                <w:sz w:val="18"/>
                <w:szCs w:val="18"/>
              </w:rPr>
            </w:pPr>
          </w:p>
        </w:tc>
        <w:tc>
          <w:tcPr>
            <w:tcW w:w="1365" w:type="dxa"/>
            <w:vMerge w:val="continue"/>
          </w:tcPr>
          <w:p w14:paraId="42584112">
            <w:pPr>
              <w:adjustRightInd w:val="0"/>
              <w:snapToGrid w:val="0"/>
              <w:spacing w:line="340" w:lineRule="atLeast"/>
              <w:rPr>
                <w:color w:val="auto"/>
                <w:sz w:val="18"/>
                <w:szCs w:val="18"/>
              </w:rPr>
            </w:pPr>
          </w:p>
        </w:tc>
        <w:tc>
          <w:tcPr>
            <w:tcW w:w="2005" w:type="dxa"/>
            <w:vAlign w:val="center"/>
          </w:tcPr>
          <w:p w14:paraId="1597BDFB">
            <w:pPr>
              <w:adjustRightInd w:val="0"/>
              <w:snapToGrid w:val="0"/>
              <w:spacing w:line="260" w:lineRule="atLeast"/>
              <w:jc w:val="center"/>
              <w:rPr>
                <w:color w:val="auto"/>
                <w:sz w:val="18"/>
                <w:szCs w:val="18"/>
              </w:rPr>
            </w:pPr>
            <w:r>
              <w:rPr>
                <w:i/>
                <w:color w:val="auto"/>
                <w:sz w:val="18"/>
                <w:szCs w:val="18"/>
              </w:rPr>
              <w:t>H</w:t>
            </w:r>
            <w:r>
              <w:rPr>
                <w:color w:val="auto"/>
                <w:sz w:val="18"/>
                <w:szCs w:val="18"/>
              </w:rPr>
              <w:t>＜8</w:t>
            </w:r>
            <w:r>
              <w:rPr>
                <w:iCs/>
                <w:color w:val="auto"/>
                <w:sz w:val="18"/>
                <w:szCs w:val="18"/>
              </w:rPr>
              <w:t>m</w:t>
            </w:r>
          </w:p>
        </w:tc>
        <w:tc>
          <w:tcPr>
            <w:tcW w:w="2054" w:type="dxa"/>
            <w:vAlign w:val="center"/>
          </w:tcPr>
          <w:p w14:paraId="16AEC2B0">
            <w:pPr>
              <w:adjustRightInd w:val="0"/>
              <w:snapToGrid w:val="0"/>
              <w:spacing w:line="260" w:lineRule="atLeast"/>
              <w:jc w:val="center"/>
              <w:rPr>
                <w:color w:val="auto"/>
                <w:sz w:val="18"/>
                <w:szCs w:val="18"/>
              </w:rPr>
            </w:pPr>
            <w:r>
              <w:rPr>
                <w:color w:val="auto"/>
                <w:sz w:val="18"/>
                <w:szCs w:val="18"/>
              </w:rPr>
              <w:t>8</w:t>
            </w:r>
            <w:r>
              <w:rPr>
                <w:iCs/>
                <w:color w:val="auto"/>
                <w:sz w:val="18"/>
                <w:szCs w:val="18"/>
              </w:rPr>
              <w:t>m</w:t>
            </w:r>
            <w:r>
              <w:rPr>
                <w:color w:val="auto"/>
                <w:sz w:val="18"/>
                <w:szCs w:val="18"/>
              </w:rPr>
              <w:t>≤</w:t>
            </w:r>
            <w:r>
              <w:rPr>
                <w:i/>
                <w:color w:val="auto"/>
                <w:sz w:val="18"/>
                <w:szCs w:val="18"/>
              </w:rPr>
              <w:t>H</w:t>
            </w:r>
            <w:r>
              <w:rPr>
                <w:color w:val="auto"/>
                <w:sz w:val="18"/>
                <w:szCs w:val="18"/>
              </w:rPr>
              <w:t>＜15</w:t>
            </w:r>
            <w:r>
              <w:rPr>
                <w:iCs/>
                <w:color w:val="auto"/>
                <w:sz w:val="18"/>
                <w:szCs w:val="18"/>
              </w:rPr>
              <w:t>m</w:t>
            </w:r>
          </w:p>
        </w:tc>
        <w:tc>
          <w:tcPr>
            <w:tcW w:w="2245" w:type="dxa"/>
            <w:vAlign w:val="center"/>
          </w:tcPr>
          <w:p w14:paraId="69281F76">
            <w:pPr>
              <w:adjustRightInd w:val="0"/>
              <w:snapToGrid w:val="0"/>
              <w:spacing w:line="260" w:lineRule="atLeast"/>
              <w:jc w:val="center"/>
              <w:rPr>
                <w:color w:val="auto"/>
                <w:sz w:val="18"/>
                <w:szCs w:val="18"/>
              </w:rPr>
            </w:pPr>
            <w:r>
              <w:rPr>
                <w:color w:val="auto"/>
                <w:sz w:val="18"/>
                <w:szCs w:val="18"/>
              </w:rPr>
              <w:t>15</w:t>
            </w:r>
            <w:r>
              <w:rPr>
                <w:iCs/>
                <w:color w:val="auto"/>
                <w:sz w:val="18"/>
                <w:szCs w:val="18"/>
              </w:rPr>
              <w:t>m</w:t>
            </w:r>
            <w:r>
              <w:rPr>
                <w:color w:val="auto"/>
                <w:sz w:val="18"/>
                <w:szCs w:val="18"/>
              </w:rPr>
              <w:t>≤</w:t>
            </w:r>
            <w:r>
              <w:rPr>
                <w:i/>
                <w:color w:val="auto"/>
                <w:sz w:val="18"/>
                <w:szCs w:val="18"/>
              </w:rPr>
              <w:t>H</w:t>
            </w:r>
            <w:r>
              <w:rPr>
                <w:color w:val="auto"/>
                <w:sz w:val="18"/>
                <w:szCs w:val="18"/>
              </w:rPr>
              <w:t>＜25</w:t>
            </w:r>
            <w:r>
              <w:rPr>
                <w:iCs/>
                <w:color w:val="auto"/>
                <w:sz w:val="18"/>
                <w:szCs w:val="18"/>
              </w:rPr>
              <w:t>m</w:t>
            </w:r>
          </w:p>
        </w:tc>
      </w:tr>
      <w:tr w14:paraId="1F39B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restart"/>
            <w:vAlign w:val="center"/>
          </w:tcPr>
          <w:p w14:paraId="575E2E52">
            <w:pPr>
              <w:adjustRightInd w:val="0"/>
              <w:snapToGrid w:val="0"/>
              <w:jc w:val="center"/>
              <w:rPr>
                <w:color w:val="auto"/>
                <w:sz w:val="18"/>
                <w:szCs w:val="18"/>
              </w:rPr>
            </w:pPr>
            <w:r>
              <w:rPr>
                <w:color w:val="auto"/>
                <w:sz w:val="18"/>
                <w:szCs w:val="18"/>
              </w:rPr>
              <w:t>Ⅰ类</w:t>
            </w:r>
          </w:p>
        </w:tc>
        <w:tc>
          <w:tcPr>
            <w:tcW w:w="1365" w:type="dxa"/>
            <w:vAlign w:val="center"/>
          </w:tcPr>
          <w:p w14:paraId="2C9B8EB4">
            <w:pPr>
              <w:adjustRightInd w:val="0"/>
              <w:snapToGrid w:val="0"/>
              <w:jc w:val="center"/>
              <w:rPr>
                <w:color w:val="auto"/>
                <w:sz w:val="18"/>
                <w:szCs w:val="18"/>
              </w:rPr>
            </w:pPr>
            <w:r>
              <w:rPr>
                <w:color w:val="auto"/>
                <w:sz w:val="18"/>
                <w:szCs w:val="18"/>
              </w:rPr>
              <w:t>微风化</w:t>
            </w:r>
          </w:p>
        </w:tc>
        <w:tc>
          <w:tcPr>
            <w:tcW w:w="2005" w:type="dxa"/>
            <w:vAlign w:val="center"/>
          </w:tcPr>
          <w:p w14:paraId="1E4E43B8">
            <w:pPr>
              <w:adjustRightInd w:val="0"/>
              <w:snapToGrid w:val="0"/>
              <w:jc w:val="center"/>
              <w:rPr>
                <w:color w:val="auto"/>
                <w:sz w:val="18"/>
                <w:szCs w:val="18"/>
              </w:rPr>
            </w:pPr>
            <w:r>
              <w:rPr>
                <w:color w:val="auto"/>
                <w:sz w:val="18"/>
                <w:szCs w:val="18"/>
              </w:rPr>
              <w:t>1：0.00～1：0.10</w:t>
            </w:r>
          </w:p>
        </w:tc>
        <w:tc>
          <w:tcPr>
            <w:tcW w:w="2054" w:type="dxa"/>
            <w:vAlign w:val="center"/>
          </w:tcPr>
          <w:p w14:paraId="64F9E5B0">
            <w:pPr>
              <w:adjustRightInd w:val="0"/>
              <w:snapToGrid w:val="0"/>
              <w:jc w:val="center"/>
              <w:rPr>
                <w:color w:val="auto"/>
                <w:sz w:val="18"/>
                <w:szCs w:val="18"/>
              </w:rPr>
            </w:pPr>
            <w:r>
              <w:rPr>
                <w:color w:val="auto"/>
                <w:sz w:val="18"/>
                <w:szCs w:val="18"/>
              </w:rPr>
              <w:t>1：0.10～1：0.15</w:t>
            </w:r>
          </w:p>
        </w:tc>
        <w:tc>
          <w:tcPr>
            <w:tcW w:w="2245" w:type="dxa"/>
            <w:vAlign w:val="center"/>
          </w:tcPr>
          <w:p w14:paraId="56DFEB67">
            <w:pPr>
              <w:adjustRightInd w:val="0"/>
              <w:snapToGrid w:val="0"/>
              <w:jc w:val="center"/>
              <w:rPr>
                <w:color w:val="auto"/>
                <w:sz w:val="18"/>
                <w:szCs w:val="18"/>
              </w:rPr>
            </w:pPr>
            <w:r>
              <w:rPr>
                <w:color w:val="auto"/>
                <w:sz w:val="18"/>
                <w:szCs w:val="18"/>
              </w:rPr>
              <w:t>1：0.15～1：0.25</w:t>
            </w:r>
          </w:p>
        </w:tc>
      </w:tr>
      <w:tr w14:paraId="7FA9A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continue"/>
            <w:vAlign w:val="center"/>
          </w:tcPr>
          <w:p w14:paraId="001D3584">
            <w:pPr>
              <w:adjustRightInd w:val="0"/>
              <w:snapToGrid w:val="0"/>
              <w:jc w:val="center"/>
              <w:rPr>
                <w:color w:val="auto"/>
                <w:sz w:val="18"/>
                <w:szCs w:val="18"/>
              </w:rPr>
            </w:pPr>
          </w:p>
        </w:tc>
        <w:tc>
          <w:tcPr>
            <w:tcW w:w="1365" w:type="dxa"/>
            <w:vAlign w:val="center"/>
          </w:tcPr>
          <w:p w14:paraId="15A2FB01">
            <w:pPr>
              <w:adjustRightInd w:val="0"/>
              <w:snapToGrid w:val="0"/>
              <w:jc w:val="center"/>
              <w:rPr>
                <w:color w:val="auto"/>
                <w:sz w:val="18"/>
                <w:szCs w:val="18"/>
              </w:rPr>
            </w:pPr>
            <w:r>
              <w:rPr>
                <w:color w:val="auto"/>
                <w:sz w:val="18"/>
                <w:szCs w:val="18"/>
              </w:rPr>
              <w:t>中等风化</w:t>
            </w:r>
          </w:p>
        </w:tc>
        <w:tc>
          <w:tcPr>
            <w:tcW w:w="2005" w:type="dxa"/>
            <w:vAlign w:val="center"/>
          </w:tcPr>
          <w:p w14:paraId="0DE5C241">
            <w:pPr>
              <w:adjustRightInd w:val="0"/>
              <w:snapToGrid w:val="0"/>
              <w:jc w:val="center"/>
              <w:rPr>
                <w:color w:val="auto"/>
                <w:sz w:val="18"/>
                <w:szCs w:val="18"/>
              </w:rPr>
            </w:pPr>
            <w:r>
              <w:rPr>
                <w:color w:val="auto"/>
                <w:sz w:val="18"/>
                <w:szCs w:val="18"/>
              </w:rPr>
              <w:t>1：0.10～1：0.15</w:t>
            </w:r>
          </w:p>
        </w:tc>
        <w:tc>
          <w:tcPr>
            <w:tcW w:w="2054" w:type="dxa"/>
            <w:vAlign w:val="center"/>
          </w:tcPr>
          <w:p w14:paraId="6A7D1F26">
            <w:pPr>
              <w:adjustRightInd w:val="0"/>
              <w:snapToGrid w:val="0"/>
              <w:jc w:val="center"/>
              <w:rPr>
                <w:color w:val="auto"/>
                <w:sz w:val="18"/>
                <w:szCs w:val="18"/>
              </w:rPr>
            </w:pPr>
            <w:r>
              <w:rPr>
                <w:color w:val="auto"/>
                <w:sz w:val="18"/>
                <w:szCs w:val="18"/>
              </w:rPr>
              <w:t>1：0.15～1：0.25</w:t>
            </w:r>
          </w:p>
        </w:tc>
        <w:tc>
          <w:tcPr>
            <w:tcW w:w="2245" w:type="dxa"/>
            <w:vAlign w:val="center"/>
          </w:tcPr>
          <w:p w14:paraId="39517169">
            <w:pPr>
              <w:adjustRightInd w:val="0"/>
              <w:snapToGrid w:val="0"/>
              <w:jc w:val="center"/>
              <w:rPr>
                <w:color w:val="auto"/>
                <w:sz w:val="18"/>
                <w:szCs w:val="18"/>
              </w:rPr>
            </w:pPr>
            <w:r>
              <w:rPr>
                <w:color w:val="auto"/>
                <w:sz w:val="18"/>
                <w:szCs w:val="18"/>
              </w:rPr>
              <w:t>1：0.25～1：0.35</w:t>
            </w:r>
          </w:p>
        </w:tc>
      </w:tr>
      <w:tr w14:paraId="4616D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restart"/>
            <w:vAlign w:val="center"/>
          </w:tcPr>
          <w:p w14:paraId="2BBDD90B">
            <w:pPr>
              <w:adjustRightInd w:val="0"/>
              <w:snapToGrid w:val="0"/>
              <w:jc w:val="center"/>
              <w:rPr>
                <w:color w:val="auto"/>
                <w:sz w:val="18"/>
                <w:szCs w:val="18"/>
              </w:rPr>
            </w:pPr>
            <w:r>
              <w:rPr>
                <w:color w:val="auto"/>
                <w:sz w:val="18"/>
                <w:szCs w:val="18"/>
              </w:rPr>
              <w:t>Ⅱ类</w:t>
            </w:r>
          </w:p>
        </w:tc>
        <w:tc>
          <w:tcPr>
            <w:tcW w:w="1365" w:type="dxa"/>
            <w:vAlign w:val="center"/>
          </w:tcPr>
          <w:p w14:paraId="4C584970">
            <w:pPr>
              <w:adjustRightInd w:val="0"/>
              <w:snapToGrid w:val="0"/>
              <w:jc w:val="center"/>
              <w:rPr>
                <w:color w:val="auto"/>
                <w:sz w:val="18"/>
                <w:szCs w:val="18"/>
              </w:rPr>
            </w:pPr>
            <w:r>
              <w:rPr>
                <w:color w:val="auto"/>
                <w:sz w:val="18"/>
                <w:szCs w:val="18"/>
              </w:rPr>
              <w:t>微风化</w:t>
            </w:r>
          </w:p>
        </w:tc>
        <w:tc>
          <w:tcPr>
            <w:tcW w:w="2005" w:type="dxa"/>
            <w:vAlign w:val="center"/>
          </w:tcPr>
          <w:p w14:paraId="777EAE06">
            <w:pPr>
              <w:adjustRightInd w:val="0"/>
              <w:snapToGrid w:val="0"/>
              <w:jc w:val="center"/>
              <w:rPr>
                <w:color w:val="auto"/>
                <w:sz w:val="18"/>
                <w:szCs w:val="18"/>
              </w:rPr>
            </w:pPr>
            <w:r>
              <w:rPr>
                <w:color w:val="auto"/>
                <w:sz w:val="18"/>
                <w:szCs w:val="18"/>
              </w:rPr>
              <w:t>1：0.10～1：0.15</w:t>
            </w:r>
          </w:p>
        </w:tc>
        <w:tc>
          <w:tcPr>
            <w:tcW w:w="2054" w:type="dxa"/>
            <w:vAlign w:val="center"/>
          </w:tcPr>
          <w:p w14:paraId="1E081BE0">
            <w:pPr>
              <w:adjustRightInd w:val="0"/>
              <w:snapToGrid w:val="0"/>
              <w:jc w:val="center"/>
              <w:rPr>
                <w:color w:val="auto"/>
                <w:sz w:val="18"/>
                <w:szCs w:val="18"/>
              </w:rPr>
            </w:pPr>
            <w:r>
              <w:rPr>
                <w:color w:val="auto"/>
                <w:sz w:val="18"/>
                <w:szCs w:val="18"/>
              </w:rPr>
              <w:t>1：0.15～1：0.25</w:t>
            </w:r>
          </w:p>
        </w:tc>
        <w:tc>
          <w:tcPr>
            <w:tcW w:w="2245" w:type="dxa"/>
            <w:vAlign w:val="center"/>
          </w:tcPr>
          <w:p w14:paraId="14C79F6C">
            <w:pPr>
              <w:adjustRightInd w:val="0"/>
              <w:snapToGrid w:val="0"/>
              <w:jc w:val="center"/>
              <w:rPr>
                <w:color w:val="auto"/>
                <w:sz w:val="18"/>
                <w:szCs w:val="18"/>
              </w:rPr>
            </w:pPr>
            <w:r>
              <w:rPr>
                <w:color w:val="auto"/>
                <w:sz w:val="18"/>
                <w:szCs w:val="18"/>
              </w:rPr>
              <w:t>1：0.25～1：0.35</w:t>
            </w:r>
          </w:p>
        </w:tc>
      </w:tr>
      <w:tr w14:paraId="7C168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continue"/>
            <w:vAlign w:val="center"/>
          </w:tcPr>
          <w:p w14:paraId="43E2A404">
            <w:pPr>
              <w:adjustRightInd w:val="0"/>
              <w:snapToGrid w:val="0"/>
              <w:jc w:val="center"/>
              <w:rPr>
                <w:color w:val="auto"/>
                <w:sz w:val="18"/>
                <w:szCs w:val="18"/>
              </w:rPr>
            </w:pPr>
          </w:p>
        </w:tc>
        <w:tc>
          <w:tcPr>
            <w:tcW w:w="1365" w:type="dxa"/>
            <w:vAlign w:val="center"/>
          </w:tcPr>
          <w:p w14:paraId="79E40E52">
            <w:pPr>
              <w:adjustRightInd w:val="0"/>
              <w:snapToGrid w:val="0"/>
              <w:jc w:val="center"/>
              <w:rPr>
                <w:color w:val="auto"/>
                <w:sz w:val="18"/>
                <w:szCs w:val="18"/>
              </w:rPr>
            </w:pPr>
            <w:r>
              <w:rPr>
                <w:color w:val="auto"/>
                <w:sz w:val="18"/>
                <w:szCs w:val="18"/>
              </w:rPr>
              <w:t>中等风化</w:t>
            </w:r>
          </w:p>
        </w:tc>
        <w:tc>
          <w:tcPr>
            <w:tcW w:w="2005" w:type="dxa"/>
            <w:vAlign w:val="center"/>
          </w:tcPr>
          <w:p w14:paraId="3015812F">
            <w:pPr>
              <w:adjustRightInd w:val="0"/>
              <w:snapToGrid w:val="0"/>
              <w:jc w:val="center"/>
              <w:rPr>
                <w:color w:val="auto"/>
                <w:sz w:val="18"/>
                <w:szCs w:val="18"/>
              </w:rPr>
            </w:pPr>
            <w:r>
              <w:rPr>
                <w:color w:val="auto"/>
                <w:sz w:val="18"/>
                <w:szCs w:val="18"/>
              </w:rPr>
              <w:t>1：0.15～1：0.25</w:t>
            </w:r>
          </w:p>
        </w:tc>
        <w:tc>
          <w:tcPr>
            <w:tcW w:w="2054" w:type="dxa"/>
            <w:vAlign w:val="center"/>
          </w:tcPr>
          <w:p w14:paraId="4E7D1521">
            <w:pPr>
              <w:adjustRightInd w:val="0"/>
              <w:snapToGrid w:val="0"/>
              <w:jc w:val="center"/>
              <w:rPr>
                <w:color w:val="auto"/>
                <w:sz w:val="18"/>
                <w:szCs w:val="18"/>
              </w:rPr>
            </w:pPr>
            <w:r>
              <w:rPr>
                <w:color w:val="auto"/>
                <w:sz w:val="18"/>
                <w:szCs w:val="18"/>
              </w:rPr>
              <w:t>1：0.25～1：0.35</w:t>
            </w:r>
          </w:p>
        </w:tc>
        <w:tc>
          <w:tcPr>
            <w:tcW w:w="2245" w:type="dxa"/>
            <w:vAlign w:val="center"/>
          </w:tcPr>
          <w:p w14:paraId="7EEE57B8">
            <w:pPr>
              <w:adjustRightInd w:val="0"/>
              <w:snapToGrid w:val="0"/>
              <w:jc w:val="center"/>
              <w:rPr>
                <w:color w:val="auto"/>
                <w:sz w:val="18"/>
                <w:szCs w:val="18"/>
              </w:rPr>
            </w:pPr>
            <w:r>
              <w:rPr>
                <w:color w:val="auto"/>
                <w:sz w:val="18"/>
                <w:szCs w:val="18"/>
              </w:rPr>
              <w:t>1：0.35～1：0.50</w:t>
            </w:r>
          </w:p>
        </w:tc>
      </w:tr>
      <w:tr w14:paraId="67FAB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restart"/>
            <w:vAlign w:val="center"/>
          </w:tcPr>
          <w:p w14:paraId="59047D82">
            <w:pPr>
              <w:adjustRightInd w:val="0"/>
              <w:snapToGrid w:val="0"/>
              <w:jc w:val="center"/>
              <w:rPr>
                <w:color w:val="auto"/>
                <w:sz w:val="18"/>
                <w:szCs w:val="18"/>
              </w:rPr>
            </w:pPr>
            <w:r>
              <w:rPr>
                <w:color w:val="auto"/>
                <w:sz w:val="18"/>
                <w:szCs w:val="18"/>
              </w:rPr>
              <w:t>Ⅲ类</w:t>
            </w:r>
          </w:p>
        </w:tc>
        <w:tc>
          <w:tcPr>
            <w:tcW w:w="1365" w:type="dxa"/>
            <w:vAlign w:val="center"/>
          </w:tcPr>
          <w:p w14:paraId="3786C4C7">
            <w:pPr>
              <w:adjustRightInd w:val="0"/>
              <w:snapToGrid w:val="0"/>
              <w:jc w:val="center"/>
              <w:rPr>
                <w:color w:val="auto"/>
                <w:sz w:val="18"/>
                <w:szCs w:val="18"/>
              </w:rPr>
            </w:pPr>
            <w:r>
              <w:rPr>
                <w:color w:val="auto"/>
                <w:sz w:val="18"/>
                <w:szCs w:val="18"/>
              </w:rPr>
              <w:t>微风化</w:t>
            </w:r>
          </w:p>
        </w:tc>
        <w:tc>
          <w:tcPr>
            <w:tcW w:w="2005" w:type="dxa"/>
            <w:vAlign w:val="center"/>
          </w:tcPr>
          <w:p w14:paraId="26D3A1B5">
            <w:pPr>
              <w:adjustRightInd w:val="0"/>
              <w:snapToGrid w:val="0"/>
              <w:jc w:val="center"/>
              <w:rPr>
                <w:color w:val="auto"/>
                <w:sz w:val="18"/>
                <w:szCs w:val="18"/>
              </w:rPr>
            </w:pPr>
            <w:r>
              <w:rPr>
                <w:color w:val="auto"/>
                <w:sz w:val="18"/>
                <w:szCs w:val="18"/>
              </w:rPr>
              <w:t>1：0.25～1：0.35</w:t>
            </w:r>
          </w:p>
        </w:tc>
        <w:tc>
          <w:tcPr>
            <w:tcW w:w="2054" w:type="dxa"/>
            <w:vAlign w:val="center"/>
          </w:tcPr>
          <w:p w14:paraId="4C05F676">
            <w:pPr>
              <w:adjustRightInd w:val="0"/>
              <w:snapToGrid w:val="0"/>
              <w:jc w:val="center"/>
              <w:rPr>
                <w:color w:val="auto"/>
                <w:sz w:val="18"/>
                <w:szCs w:val="18"/>
              </w:rPr>
            </w:pPr>
            <w:r>
              <w:rPr>
                <w:color w:val="auto"/>
                <w:sz w:val="18"/>
                <w:szCs w:val="18"/>
              </w:rPr>
              <w:t>1：0.35～1：0.50</w:t>
            </w:r>
          </w:p>
        </w:tc>
        <w:tc>
          <w:tcPr>
            <w:tcW w:w="2245" w:type="dxa"/>
            <w:vAlign w:val="center"/>
          </w:tcPr>
          <w:p w14:paraId="1992E306">
            <w:pPr>
              <w:adjustRightInd w:val="0"/>
              <w:snapToGrid w:val="0"/>
              <w:jc w:val="center"/>
              <w:rPr>
                <w:color w:val="auto"/>
                <w:sz w:val="18"/>
                <w:szCs w:val="18"/>
              </w:rPr>
            </w:pPr>
          </w:p>
        </w:tc>
      </w:tr>
      <w:tr w14:paraId="789614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continue"/>
            <w:vAlign w:val="center"/>
          </w:tcPr>
          <w:p w14:paraId="4AF5CD05">
            <w:pPr>
              <w:adjustRightInd w:val="0"/>
              <w:snapToGrid w:val="0"/>
              <w:jc w:val="center"/>
              <w:rPr>
                <w:color w:val="auto"/>
                <w:sz w:val="18"/>
                <w:szCs w:val="18"/>
              </w:rPr>
            </w:pPr>
          </w:p>
        </w:tc>
        <w:tc>
          <w:tcPr>
            <w:tcW w:w="1365" w:type="dxa"/>
            <w:vAlign w:val="center"/>
          </w:tcPr>
          <w:p w14:paraId="4CC8C1DA">
            <w:pPr>
              <w:adjustRightInd w:val="0"/>
              <w:snapToGrid w:val="0"/>
              <w:jc w:val="center"/>
              <w:rPr>
                <w:color w:val="auto"/>
                <w:sz w:val="18"/>
                <w:szCs w:val="18"/>
              </w:rPr>
            </w:pPr>
            <w:r>
              <w:rPr>
                <w:color w:val="auto"/>
                <w:sz w:val="18"/>
                <w:szCs w:val="18"/>
              </w:rPr>
              <w:t>中等风化</w:t>
            </w:r>
          </w:p>
        </w:tc>
        <w:tc>
          <w:tcPr>
            <w:tcW w:w="2005" w:type="dxa"/>
            <w:vAlign w:val="center"/>
          </w:tcPr>
          <w:p w14:paraId="5E02A86C">
            <w:pPr>
              <w:adjustRightInd w:val="0"/>
              <w:snapToGrid w:val="0"/>
              <w:jc w:val="center"/>
              <w:rPr>
                <w:color w:val="auto"/>
                <w:sz w:val="18"/>
                <w:szCs w:val="18"/>
              </w:rPr>
            </w:pPr>
            <w:r>
              <w:rPr>
                <w:color w:val="auto"/>
                <w:sz w:val="18"/>
                <w:szCs w:val="18"/>
              </w:rPr>
              <w:t>1：0.35～1：0.50</w:t>
            </w:r>
          </w:p>
        </w:tc>
        <w:tc>
          <w:tcPr>
            <w:tcW w:w="2054" w:type="dxa"/>
            <w:vAlign w:val="center"/>
          </w:tcPr>
          <w:p w14:paraId="2F7D79C6">
            <w:pPr>
              <w:adjustRightInd w:val="0"/>
              <w:snapToGrid w:val="0"/>
              <w:jc w:val="center"/>
              <w:rPr>
                <w:color w:val="auto"/>
                <w:sz w:val="18"/>
                <w:szCs w:val="18"/>
              </w:rPr>
            </w:pPr>
            <w:r>
              <w:rPr>
                <w:color w:val="auto"/>
                <w:sz w:val="18"/>
                <w:szCs w:val="18"/>
              </w:rPr>
              <w:t>1：0.50～1：0.75</w:t>
            </w:r>
          </w:p>
        </w:tc>
        <w:tc>
          <w:tcPr>
            <w:tcW w:w="2245" w:type="dxa"/>
            <w:vAlign w:val="center"/>
          </w:tcPr>
          <w:p w14:paraId="0715BCD4">
            <w:pPr>
              <w:pStyle w:val="20"/>
              <w:adjustRightInd w:val="0"/>
              <w:snapToGrid w:val="0"/>
              <w:ind w:left="5250"/>
              <w:jc w:val="center"/>
              <w:rPr>
                <w:color w:val="auto"/>
                <w:sz w:val="18"/>
                <w:szCs w:val="18"/>
              </w:rPr>
            </w:pPr>
          </w:p>
        </w:tc>
      </w:tr>
      <w:tr w14:paraId="32A21B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restart"/>
            <w:vAlign w:val="center"/>
          </w:tcPr>
          <w:p w14:paraId="6B067738">
            <w:pPr>
              <w:adjustRightInd w:val="0"/>
              <w:snapToGrid w:val="0"/>
              <w:jc w:val="center"/>
              <w:rPr>
                <w:color w:val="auto"/>
                <w:sz w:val="18"/>
                <w:szCs w:val="18"/>
              </w:rPr>
            </w:pPr>
            <w:r>
              <w:rPr>
                <w:color w:val="auto"/>
                <w:sz w:val="18"/>
                <w:szCs w:val="18"/>
              </w:rPr>
              <w:t>Ⅳ类</w:t>
            </w:r>
          </w:p>
        </w:tc>
        <w:tc>
          <w:tcPr>
            <w:tcW w:w="1365" w:type="dxa"/>
            <w:vAlign w:val="center"/>
          </w:tcPr>
          <w:p w14:paraId="5A74D985">
            <w:pPr>
              <w:adjustRightInd w:val="0"/>
              <w:snapToGrid w:val="0"/>
              <w:jc w:val="center"/>
              <w:rPr>
                <w:color w:val="auto"/>
                <w:sz w:val="18"/>
                <w:szCs w:val="18"/>
              </w:rPr>
            </w:pPr>
            <w:r>
              <w:rPr>
                <w:color w:val="auto"/>
                <w:sz w:val="18"/>
                <w:szCs w:val="18"/>
              </w:rPr>
              <w:t>中等风化</w:t>
            </w:r>
          </w:p>
        </w:tc>
        <w:tc>
          <w:tcPr>
            <w:tcW w:w="2005" w:type="dxa"/>
            <w:vAlign w:val="center"/>
          </w:tcPr>
          <w:p w14:paraId="694A9559">
            <w:pPr>
              <w:adjustRightInd w:val="0"/>
              <w:snapToGrid w:val="0"/>
              <w:jc w:val="center"/>
              <w:rPr>
                <w:color w:val="auto"/>
                <w:sz w:val="18"/>
                <w:szCs w:val="18"/>
              </w:rPr>
            </w:pPr>
            <w:r>
              <w:rPr>
                <w:color w:val="auto"/>
                <w:sz w:val="18"/>
                <w:szCs w:val="18"/>
              </w:rPr>
              <w:t>1：0.50～1：0.75</w:t>
            </w:r>
          </w:p>
        </w:tc>
        <w:tc>
          <w:tcPr>
            <w:tcW w:w="2054" w:type="dxa"/>
            <w:vAlign w:val="center"/>
          </w:tcPr>
          <w:p w14:paraId="2379AC0B">
            <w:pPr>
              <w:adjustRightInd w:val="0"/>
              <w:snapToGrid w:val="0"/>
              <w:jc w:val="center"/>
              <w:rPr>
                <w:color w:val="auto"/>
                <w:sz w:val="18"/>
                <w:szCs w:val="18"/>
              </w:rPr>
            </w:pPr>
            <w:r>
              <w:rPr>
                <w:color w:val="auto"/>
                <w:sz w:val="18"/>
                <w:szCs w:val="18"/>
              </w:rPr>
              <w:t>1：0.75～1：1.00</w:t>
            </w:r>
          </w:p>
        </w:tc>
        <w:tc>
          <w:tcPr>
            <w:tcW w:w="2245" w:type="dxa"/>
            <w:vAlign w:val="center"/>
          </w:tcPr>
          <w:p w14:paraId="70A6D309">
            <w:pPr>
              <w:adjustRightInd w:val="0"/>
              <w:snapToGrid w:val="0"/>
              <w:jc w:val="center"/>
              <w:rPr>
                <w:color w:val="auto"/>
                <w:sz w:val="18"/>
                <w:szCs w:val="18"/>
              </w:rPr>
            </w:pPr>
          </w:p>
        </w:tc>
      </w:tr>
      <w:tr w14:paraId="5E1D3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423" w:type="dxa"/>
            <w:vMerge w:val="continue"/>
          </w:tcPr>
          <w:p w14:paraId="55FD0892">
            <w:pPr>
              <w:adjustRightInd w:val="0"/>
              <w:snapToGrid w:val="0"/>
              <w:spacing w:line="340" w:lineRule="atLeast"/>
              <w:rPr>
                <w:color w:val="auto"/>
                <w:sz w:val="18"/>
                <w:szCs w:val="18"/>
              </w:rPr>
            </w:pPr>
          </w:p>
        </w:tc>
        <w:tc>
          <w:tcPr>
            <w:tcW w:w="1365" w:type="dxa"/>
            <w:vAlign w:val="center"/>
          </w:tcPr>
          <w:p w14:paraId="43FDF8B0">
            <w:pPr>
              <w:adjustRightInd w:val="0"/>
              <w:snapToGrid w:val="0"/>
              <w:spacing w:line="340" w:lineRule="atLeast"/>
              <w:jc w:val="center"/>
              <w:rPr>
                <w:color w:val="auto"/>
                <w:sz w:val="18"/>
                <w:szCs w:val="18"/>
              </w:rPr>
            </w:pPr>
            <w:r>
              <w:rPr>
                <w:color w:val="auto"/>
                <w:sz w:val="18"/>
                <w:szCs w:val="18"/>
              </w:rPr>
              <w:t>强风化</w:t>
            </w:r>
          </w:p>
        </w:tc>
        <w:tc>
          <w:tcPr>
            <w:tcW w:w="2005" w:type="dxa"/>
          </w:tcPr>
          <w:p w14:paraId="610173F8">
            <w:pPr>
              <w:adjustRightInd w:val="0"/>
              <w:snapToGrid w:val="0"/>
              <w:spacing w:line="260" w:lineRule="atLeast"/>
              <w:rPr>
                <w:color w:val="auto"/>
                <w:sz w:val="18"/>
                <w:szCs w:val="18"/>
              </w:rPr>
            </w:pPr>
            <w:r>
              <w:rPr>
                <w:color w:val="auto"/>
                <w:sz w:val="18"/>
                <w:szCs w:val="18"/>
              </w:rPr>
              <w:t>1：0.75～1：1.0</w:t>
            </w:r>
          </w:p>
        </w:tc>
        <w:tc>
          <w:tcPr>
            <w:tcW w:w="2054" w:type="dxa"/>
          </w:tcPr>
          <w:p w14:paraId="1FD4B8C2">
            <w:pPr>
              <w:adjustRightInd w:val="0"/>
              <w:snapToGrid w:val="0"/>
              <w:spacing w:line="260" w:lineRule="atLeast"/>
              <w:rPr>
                <w:color w:val="auto"/>
                <w:sz w:val="18"/>
                <w:szCs w:val="18"/>
              </w:rPr>
            </w:pPr>
          </w:p>
        </w:tc>
        <w:tc>
          <w:tcPr>
            <w:tcW w:w="2245" w:type="dxa"/>
          </w:tcPr>
          <w:p w14:paraId="14EF7E0D">
            <w:pPr>
              <w:adjustRightInd w:val="0"/>
              <w:snapToGrid w:val="0"/>
              <w:spacing w:line="260" w:lineRule="atLeast"/>
              <w:rPr>
                <w:color w:val="auto"/>
                <w:sz w:val="18"/>
                <w:szCs w:val="18"/>
              </w:rPr>
            </w:pPr>
          </w:p>
        </w:tc>
      </w:tr>
      <w:tr w14:paraId="4BE35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jc w:val="center"/>
        </w:trPr>
        <w:tc>
          <w:tcPr>
            <w:tcW w:w="9092" w:type="dxa"/>
            <w:gridSpan w:val="5"/>
          </w:tcPr>
          <w:p w14:paraId="1BC0C3E0">
            <w:pPr>
              <w:adjustRightInd w:val="0"/>
              <w:snapToGrid w:val="0"/>
              <w:jc w:val="left"/>
              <w:rPr>
                <w:color w:val="auto"/>
                <w:sz w:val="18"/>
                <w:szCs w:val="18"/>
              </w:rPr>
            </w:pPr>
            <w:r>
              <w:rPr>
                <w:color w:val="auto"/>
                <w:sz w:val="18"/>
                <w:szCs w:val="18"/>
              </w:rPr>
              <w:t>注</w:t>
            </w:r>
            <w:r>
              <w:rPr>
                <w:b/>
                <w:color w:val="auto"/>
                <w:sz w:val="18"/>
                <w:szCs w:val="18"/>
              </w:rPr>
              <w:t>1</w:t>
            </w:r>
            <w:r>
              <w:rPr>
                <w:rFonts w:hint="eastAsia"/>
                <w:b/>
                <w:color w:val="auto"/>
                <w:sz w:val="18"/>
                <w:szCs w:val="18"/>
              </w:rPr>
              <w:t>:</w:t>
            </w:r>
            <w:r>
              <w:rPr>
                <w:rFonts w:hint="eastAsia"/>
                <w:color w:val="auto"/>
                <w:sz w:val="18"/>
                <w:szCs w:val="18"/>
              </w:rPr>
              <w:t xml:space="preserve"> </w:t>
            </w:r>
            <w:r>
              <w:rPr>
                <w:color w:val="auto"/>
                <w:sz w:val="18"/>
                <w:szCs w:val="18"/>
              </w:rPr>
              <w:t>表中</w:t>
            </w:r>
            <w:r>
              <w:rPr>
                <w:iCs/>
                <w:color w:val="auto"/>
                <w:sz w:val="18"/>
                <w:szCs w:val="18"/>
              </w:rPr>
              <w:t>H</w:t>
            </w:r>
            <w:r>
              <w:rPr>
                <w:color w:val="auto"/>
                <w:sz w:val="18"/>
                <w:szCs w:val="18"/>
              </w:rPr>
              <w:t>为边坡高度；</w:t>
            </w:r>
          </w:p>
          <w:p w14:paraId="4E91DA71">
            <w:pPr>
              <w:adjustRightInd w:val="0"/>
              <w:snapToGrid w:val="0"/>
              <w:jc w:val="left"/>
              <w:rPr>
                <w:color w:val="auto"/>
                <w:sz w:val="18"/>
                <w:szCs w:val="18"/>
              </w:rPr>
            </w:pPr>
            <w:r>
              <w:rPr>
                <w:color w:val="auto"/>
                <w:sz w:val="18"/>
                <w:szCs w:val="18"/>
              </w:rPr>
              <w:t>注</w:t>
            </w:r>
            <w:r>
              <w:rPr>
                <w:b/>
                <w:color w:val="auto"/>
                <w:sz w:val="18"/>
                <w:szCs w:val="18"/>
              </w:rPr>
              <w:t>2</w:t>
            </w:r>
            <w:r>
              <w:rPr>
                <w:rFonts w:hint="eastAsia"/>
                <w:b/>
                <w:color w:val="auto"/>
                <w:sz w:val="18"/>
                <w:szCs w:val="18"/>
              </w:rPr>
              <w:t xml:space="preserve">: </w:t>
            </w:r>
            <w:r>
              <w:rPr>
                <w:color w:val="auto"/>
                <w:sz w:val="18"/>
                <w:szCs w:val="18"/>
              </w:rPr>
              <w:t>Ⅳ类强风化包括各类风化程度的极软岩；</w:t>
            </w:r>
          </w:p>
          <w:p w14:paraId="23BA924C">
            <w:pPr>
              <w:adjustRightInd w:val="0"/>
              <w:snapToGrid w:val="0"/>
              <w:jc w:val="left"/>
              <w:rPr>
                <w:color w:val="auto"/>
                <w:sz w:val="18"/>
                <w:szCs w:val="18"/>
              </w:rPr>
            </w:pPr>
            <w:r>
              <w:rPr>
                <w:color w:val="auto"/>
                <w:sz w:val="18"/>
                <w:szCs w:val="18"/>
              </w:rPr>
              <w:t>注</w:t>
            </w:r>
            <w:r>
              <w:rPr>
                <w:b/>
                <w:color w:val="auto"/>
                <w:sz w:val="18"/>
                <w:szCs w:val="18"/>
              </w:rPr>
              <w:t>3</w:t>
            </w:r>
            <w:r>
              <w:rPr>
                <w:rFonts w:hint="eastAsia"/>
                <w:b/>
                <w:color w:val="auto"/>
                <w:sz w:val="18"/>
                <w:szCs w:val="18"/>
              </w:rPr>
              <w:t>:</w:t>
            </w:r>
            <w:r>
              <w:rPr>
                <w:rFonts w:hint="eastAsia"/>
                <w:color w:val="auto"/>
                <w:sz w:val="18"/>
                <w:szCs w:val="18"/>
              </w:rPr>
              <w:t xml:space="preserve"> </w:t>
            </w:r>
            <w:r>
              <w:rPr>
                <w:color w:val="auto"/>
                <w:sz w:val="18"/>
                <w:szCs w:val="18"/>
              </w:rPr>
              <w:t>采取坡面保护措施或破坏后果不严重时可取较大坡率值；</w:t>
            </w:r>
          </w:p>
          <w:p w14:paraId="32470B1A">
            <w:pPr>
              <w:adjustRightInd w:val="0"/>
              <w:snapToGrid w:val="0"/>
              <w:jc w:val="left"/>
              <w:rPr>
                <w:color w:val="auto"/>
                <w:sz w:val="18"/>
                <w:szCs w:val="18"/>
              </w:rPr>
            </w:pPr>
            <w:r>
              <w:rPr>
                <w:color w:val="auto"/>
                <w:sz w:val="18"/>
                <w:szCs w:val="18"/>
              </w:rPr>
              <w:t>注</w:t>
            </w:r>
            <w:r>
              <w:rPr>
                <w:b/>
                <w:color w:val="auto"/>
                <w:sz w:val="18"/>
                <w:szCs w:val="18"/>
              </w:rPr>
              <w:t>4</w:t>
            </w:r>
            <w:r>
              <w:rPr>
                <w:rFonts w:hint="eastAsia"/>
                <w:b/>
                <w:color w:val="auto"/>
                <w:sz w:val="18"/>
                <w:szCs w:val="18"/>
              </w:rPr>
              <w:t>:</w:t>
            </w:r>
            <w:r>
              <w:rPr>
                <w:rFonts w:hint="eastAsia"/>
                <w:color w:val="auto"/>
                <w:sz w:val="18"/>
                <w:szCs w:val="18"/>
              </w:rPr>
              <w:t xml:space="preserve"> </w:t>
            </w:r>
            <w:r>
              <w:rPr>
                <w:color w:val="auto"/>
                <w:sz w:val="18"/>
                <w:szCs w:val="18"/>
              </w:rPr>
              <w:t>本表不适合于由外倾软弱结构面控制的边坡和倾倒崩塌型破坏的边坡。</w:t>
            </w:r>
          </w:p>
        </w:tc>
      </w:tr>
    </w:tbl>
    <w:p w14:paraId="53062400">
      <w:pPr>
        <w:adjustRightInd w:val="0"/>
        <w:snapToGrid w:val="0"/>
        <w:spacing w:before="120" w:line="360" w:lineRule="atLeast"/>
        <w:rPr>
          <w:color w:val="auto"/>
          <w:szCs w:val="21"/>
        </w:rPr>
      </w:pPr>
      <w:r>
        <w:rPr>
          <w:b/>
          <w:bCs/>
          <w:color w:val="auto"/>
          <w:szCs w:val="21"/>
        </w:rPr>
        <w:t>10.5.</w:t>
      </w:r>
      <w:r>
        <w:rPr>
          <w:rFonts w:hint="eastAsia"/>
          <w:b/>
          <w:bCs/>
          <w:color w:val="auto"/>
          <w:szCs w:val="21"/>
        </w:rPr>
        <w:t>20</w:t>
      </w:r>
      <w:r>
        <w:rPr>
          <w:color w:val="auto"/>
          <w:szCs w:val="21"/>
        </w:rPr>
        <w:t xml:space="preserve">  重力式挡墙类型应根据使用要求、地形和施工条件综合考虑确定，挡土高度不宜大于8m，岩</w:t>
      </w:r>
      <w:r>
        <w:rPr>
          <w:rFonts w:hint="eastAsia"/>
          <w:color w:val="auto"/>
          <w:szCs w:val="21"/>
        </w:rPr>
        <w:t>质</w:t>
      </w:r>
      <w:r>
        <w:rPr>
          <w:color w:val="auto"/>
          <w:szCs w:val="21"/>
        </w:rPr>
        <w:t>边坡不宜大于10m。对岩质边坡和挖方形成的土质边坡宜采用仰斜式，高度较大的土质边坡宜采用衡重式或仰斜式。挡墙施工中开挖土石方危及相邻建筑物安全的边坡不应采用重力式挡墙。</w:t>
      </w:r>
    </w:p>
    <w:p w14:paraId="262BFFA2">
      <w:pPr>
        <w:adjustRightInd w:val="0"/>
        <w:snapToGrid w:val="0"/>
        <w:spacing w:line="360" w:lineRule="atLeast"/>
        <w:rPr>
          <w:color w:val="auto"/>
          <w:szCs w:val="21"/>
        </w:rPr>
      </w:pPr>
      <w:r>
        <w:rPr>
          <w:b/>
          <w:color w:val="auto"/>
          <w:szCs w:val="21"/>
        </w:rPr>
        <w:t>10.5.</w:t>
      </w:r>
      <w:r>
        <w:rPr>
          <w:rFonts w:hint="eastAsia"/>
          <w:b/>
          <w:color w:val="auto"/>
          <w:szCs w:val="21"/>
        </w:rPr>
        <w:t>21</w:t>
      </w:r>
      <w:r>
        <w:rPr>
          <w:color w:val="auto"/>
          <w:szCs w:val="21"/>
        </w:rPr>
        <w:t xml:space="preserve">  作用于挡土墙背的主动土压力应按</w:t>
      </w:r>
      <w:r>
        <w:rPr>
          <w:rFonts w:hint="eastAsia"/>
          <w:color w:val="auto"/>
          <w:lang w:val="en-US" w:eastAsia="zh-CN"/>
        </w:rPr>
        <w:t>公式（53）</w:t>
      </w:r>
      <w:r>
        <w:rPr>
          <w:color w:val="auto"/>
          <w:szCs w:val="21"/>
        </w:rPr>
        <w:t>进行计算：</w:t>
      </w:r>
    </w:p>
    <w:p w14:paraId="35ED741D">
      <w:pPr>
        <w:pStyle w:val="12"/>
        <w:jc w:val="right"/>
        <w:rPr>
          <w:color w:val="auto"/>
          <w:szCs w:val="21"/>
        </w:rPr>
      </w:pPr>
      <w:r>
        <w:rPr>
          <w:color w:val="auto"/>
          <w:position w:val="-24"/>
          <w:szCs w:val="21"/>
        </w:rPr>
        <w:object>
          <v:shape id="_x0000_i1246" o:spt="75" type="#_x0000_t75" style="height:28.5pt;width:72pt;" o:ole="t" filled="f" o:preferrelative="t" stroked="f" coordsize="21600,21600">
            <v:path/>
            <v:fill on="f" focussize="0,0"/>
            <v:stroke on="f" joinstyle="miter"/>
            <v:imagedata r:id="rId431" o:title=""/>
            <o:lock v:ext="edit" aspectratio="t"/>
            <w10:wrap type="none"/>
            <w10:anchorlock/>
          </v:shape>
          <o:OLEObject Type="Embed" ProgID="Equation.DSMT4" ShapeID="_x0000_i1246" DrawAspect="Content" ObjectID="_1468075946" r:id="rId43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53</w:t>
      </w:r>
      <w:r>
        <w:rPr>
          <w:color w:val="auto"/>
          <w:szCs w:val="21"/>
        </w:rPr>
        <w:fldChar w:fldCharType="end"/>
      </w:r>
      <w:r>
        <w:rPr>
          <w:color w:val="auto"/>
          <w:szCs w:val="21"/>
        </w:rPr>
        <w:t>)</w:t>
      </w:r>
    </w:p>
    <w:p w14:paraId="796E5B46">
      <w:pPr>
        <w:adjustRightInd w:val="0"/>
        <w:snapToGrid w:val="0"/>
        <w:spacing w:before="120" w:line="360" w:lineRule="atLeast"/>
        <w:ind w:firstLine="420" w:firstLineChars="200"/>
        <w:rPr>
          <w:color w:val="auto"/>
          <w:szCs w:val="21"/>
        </w:rPr>
      </w:pPr>
      <w:r>
        <w:rPr>
          <w:color w:val="auto"/>
          <w:position w:val="-28"/>
          <w:szCs w:val="21"/>
        </w:rPr>
        <w:object>
          <v:shape id="_x0000_i1247" o:spt="75" type="#_x0000_t75" style="height:36.75pt;width:201pt;" o:ole="t" filled="f" o:preferrelative="t" stroked="f" coordsize="21600,21600">
            <v:path/>
            <v:fill on="f" focussize="0,0"/>
            <v:stroke on="f" joinstyle="miter"/>
            <v:imagedata r:id="rId433" o:title=""/>
            <o:lock v:ext="edit" aspectratio="t"/>
            <w10:wrap type="none"/>
            <w10:anchorlock/>
          </v:shape>
          <o:OLEObject Type="Embed" ProgID="Equation.DSMT4" ShapeID="_x0000_i1247" DrawAspect="Content" ObjectID="_1468075947" r:id="rId432">
            <o:LockedField>false</o:LockedField>
          </o:OLEObject>
        </w:object>
      </w:r>
    </w:p>
    <w:p w14:paraId="2BCB18D8">
      <w:pPr>
        <w:adjustRightInd w:val="0"/>
        <w:snapToGrid w:val="0"/>
        <w:spacing w:before="120" w:line="360" w:lineRule="atLeast"/>
        <w:ind w:firstLine="420" w:firstLineChars="200"/>
        <w:rPr>
          <w:color w:val="auto"/>
          <w:szCs w:val="21"/>
        </w:rPr>
      </w:pPr>
      <w:r>
        <w:rPr>
          <w:color w:val="auto"/>
          <w:position w:val="-14"/>
          <w:szCs w:val="21"/>
        </w:rPr>
        <w:object>
          <v:shape id="_x0000_i1248" o:spt="75" type="#_x0000_t75" style="height:21.75pt;width:216pt;" o:ole="t" filled="f" o:preferrelative="t" stroked="f" coordsize="21600,21600">
            <v:path/>
            <v:fill on="f" focussize="0,0"/>
            <v:stroke on="f" joinstyle="miter"/>
            <v:imagedata r:id="rId435" o:title=""/>
            <o:lock v:ext="edit" aspectratio="t"/>
            <w10:wrap type="none"/>
            <w10:anchorlock/>
          </v:shape>
          <o:OLEObject Type="Embed" ProgID="Equation.DSMT4" ShapeID="_x0000_i1248" DrawAspect="Content" ObjectID="_1468075948" r:id="rId434">
            <o:LockedField>false</o:LockedField>
          </o:OLEObject>
        </w:object>
      </w:r>
    </w:p>
    <w:p w14:paraId="24F318C3">
      <w:pPr>
        <w:adjustRightInd w:val="0"/>
        <w:snapToGrid w:val="0"/>
        <w:spacing w:before="120" w:line="360" w:lineRule="atLeast"/>
        <w:ind w:firstLine="420" w:firstLineChars="200"/>
        <w:rPr>
          <w:color w:val="auto"/>
          <w:szCs w:val="21"/>
        </w:rPr>
      </w:pPr>
      <w:r>
        <w:rPr>
          <w:color w:val="auto"/>
          <w:position w:val="-12"/>
          <w:szCs w:val="21"/>
        </w:rPr>
        <w:object>
          <v:shape id="_x0000_i1249" o:spt="75" type="#_x0000_t75" style="height:21.75pt;width:157.5pt;" o:ole="t" filled="f" o:preferrelative="t" stroked="f" coordsize="21600,21600">
            <v:path/>
            <v:fill on="f" focussize="0,0"/>
            <v:stroke on="f" joinstyle="miter"/>
            <v:imagedata r:id="rId437" o:title=""/>
            <o:lock v:ext="edit" aspectratio="t"/>
            <w10:wrap type="none"/>
            <w10:anchorlock/>
          </v:shape>
          <o:OLEObject Type="Embed" ProgID="Equation.DSMT4" ShapeID="_x0000_i1249" DrawAspect="Content" ObjectID="_1468075949" r:id="rId436">
            <o:LockedField>false</o:LockedField>
          </o:OLEObject>
        </w:object>
      </w:r>
    </w:p>
    <w:p w14:paraId="01104835">
      <w:pPr>
        <w:adjustRightInd w:val="0"/>
        <w:snapToGrid w:val="0"/>
        <w:spacing w:before="240" w:line="360" w:lineRule="atLeast"/>
        <w:ind w:left="420" w:leftChars="200"/>
        <w:rPr>
          <w:color w:val="auto"/>
          <w:szCs w:val="21"/>
        </w:rPr>
      </w:pPr>
      <w:r>
        <w:rPr>
          <w:color w:val="auto"/>
          <w:position w:val="-16"/>
          <w:szCs w:val="21"/>
        </w:rPr>
        <w:object>
          <v:shape id="_x0000_i1250" o:spt="75" type="#_x0000_t75" style="height:21.75pt;width:195pt;" o:ole="t" filled="f" o:preferrelative="t" stroked="f" coordsize="21600,21600">
            <v:path/>
            <v:fill on="f" focussize="0,0"/>
            <v:stroke on="f" joinstyle="miter"/>
            <v:imagedata r:id="rId439" o:title=""/>
            <o:lock v:ext="edit" aspectratio="t"/>
            <w10:wrap type="none"/>
            <w10:anchorlock/>
          </v:shape>
          <o:OLEObject Type="Embed" ProgID="Equation.DSMT4" ShapeID="_x0000_i1250" DrawAspect="Content" ObjectID="_1468075950" r:id="rId438">
            <o:LockedField>false</o:LockedField>
          </o:OLEObject>
        </w:object>
      </w:r>
      <w:r>
        <w:rPr>
          <w:color w:val="auto"/>
          <w:szCs w:val="21"/>
        </w:rPr>
        <w:t xml:space="preserve"> </w:t>
      </w:r>
    </w:p>
    <w:p w14:paraId="727FCBBD">
      <w:pPr>
        <w:adjustRightInd w:val="0"/>
        <w:snapToGrid w:val="0"/>
        <w:spacing w:before="240" w:line="360" w:lineRule="atLeast"/>
        <w:ind w:left="420" w:leftChars="200"/>
        <w:rPr>
          <w:color w:val="auto"/>
          <w:szCs w:val="21"/>
        </w:rPr>
      </w:pPr>
      <w:r>
        <w:rPr>
          <w:color w:val="auto"/>
          <w:position w:val="-16"/>
          <w:szCs w:val="21"/>
        </w:rPr>
        <w:object>
          <v:shape id="_x0000_i1251" o:spt="75" type="#_x0000_t75" style="height:21.75pt;width:187.5pt;" o:ole="t" filled="f" o:preferrelative="t" stroked="f" coordsize="21600,21600">
            <v:path/>
            <v:fill on="f" focussize="0,0"/>
            <v:stroke on="f" joinstyle="miter"/>
            <v:imagedata r:id="rId441" o:title=""/>
            <o:lock v:ext="edit" aspectratio="t"/>
            <w10:wrap type="none"/>
            <w10:anchorlock/>
          </v:shape>
          <o:OLEObject Type="Embed" ProgID="Equation.DSMT4" ShapeID="_x0000_i1251" DrawAspect="Content" ObjectID="_1468075951" r:id="rId440">
            <o:LockedField>false</o:LockedField>
          </o:OLEObject>
        </w:object>
      </w:r>
    </w:p>
    <w:p w14:paraId="43119D20">
      <w:pPr>
        <w:adjustRightInd w:val="0"/>
        <w:snapToGrid w:val="0"/>
        <w:spacing w:line="360" w:lineRule="atLeast"/>
        <w:ind w:firstLine="420" w:firstLineChars="200"/>
        <w:rPr>
          <w:color w:val="auto"/>
          <w:szCs w:val="21"/>
        </w:rPr>
      </w:pPr>
      <w:r>
        <w:rPr>
          <w:color w:val="auto"/>
          <w:position w:val="-28"/>
          <w:szCs w:val="21"/>
        </w:rPr>
        <w:object>
          <v:shape id="_x0000_i1252" o:spt="75" type="#_x0000_t75" style="height:36pt;width:100.5pt;" o:ole="t" filled="f" o:preferrelative="t" stroked="f" coordsize="21600,21600">
            <v:path/>
            <v:fill on="f" focussize="0,0"/>
            <v:stroke on="f" joinstyle="miter"/>
            <v:imagedata r:id="rId443" o:title=""/>
            <o:lock v:ext="edit" aspectratio="t"/>
            <w10:wrap type="none"/>
            <w10:anchorlock/>
          </v:shape>
          <o:OLEObject Type="Embed" ProgID="Equation.DSMT4" ShapeID="_x0000_i1252" DrawAspect="Content" ObjectID="_1468075952" r:id="rId442">
            <o:LockedField>false</o:LockedField>
          </o:OLEObject>
        </w:object>
      </w:r>
      <w:r>
        <w:rPr>
          <w:color w:val="auto"/>
          <w:szCs w:val="21"/>
        </w:rPr>
        <w:t xml:space="preserve">        </w:t>
      </w:r>
    </w:p>
    <w:p w14:paraId="17744FF6">
      <w:pPr>
        <w:adjustRightInd w:val="0"/>
        <w:snapToGrid w:val="0"/>
        <w:spacing w:line="360" w:lineRule="atLeast"/>
        <w:ind w:firstLine="420" w:firstLineChars="200"/>
        <w:rPr>
          <w:color w:val="auto"/>
          <w:szCs w:val="21"/>
        </w:rPr>
      </w:pPr>
      <w:r>
        <w:rPr>
          <w:color w:val="auto"/>
          <w:position w:val="-28"/>
          <w:szCs w:val="21"/>
        </w:rPr>
        <w:object>
          <v:shape id="_x0000_i1253" o:spt="75" type="#_x0000_t75" style="height:36pt;width:36pt;" o:ole="t" filled="f" o:preferrelative="t" stroked="f" coordsize="21600,21600">
            <v:path/>
            <v:fill on="f" focussize="0,0"/>
            <v:stroke on="f" joinstyle="miter"/>
            <v:imagedata r:id="rId445" o:title=""/>
            <o:lock v:ext="edit" aspectratio="t"/>
            <w10:wrap type="none"/>
            <w10:anchorlock/>
          </v:shape>
          <o:OLEObject Type="Embed" ProgID="Equation.DSMT4" ShapeID="_x0000_i1253" DrawAspect="Content" ObjectID="_1468075953" r:id="rId444">
            <o:LockedField>false</o:LockedField>
          </o:OLEObject>
        </w:object>
      </w:r>
    </w:p>
    <w:p w14:paraId="46D61C38">
      <w:pPr>
        <w:adjustRightInd w:val="0"/>
        <w:snapToGrid w:val="0"/>
        <w:spacing w:before="120" w:line="340" w:lineRule="atLeast"/>
        <w:rPr>
          <w:color w:val="auto"/>
          <w:szCs w:val="21"/>
        </w:rPr>
      </w:pPr>
      <w:r>
        <w:rPr>
          <w:color w:val="auto"/>
          <w:szCs w:val="21"/>
        </w:rPr>
        <w:t xml:space="preserve">式中  </w:t>
      </w:r>
      <w:r>
        <w:rPr>
          <w:color w:val="auto"/>
          <w:position w:val="-12"/>
          <w:szCs w:val="21"/>
        </w:rPr>
        <w:object>
          <v:shape id="_x0000_i1254" o:spt="75" type="#_x0000_t75" style="height:21.75pt;width:15pt;" o:ole="t" filled="f" o:preferrelative="t" stroked="f" coordsize="21600,21600">
            <v:path/>
            <v:fill on="f" focussize="0,0"/>
            <v:stroke on="f" joinstyle="miter"/>
            <v:imagedata r:id="rId447" o:title=""/>
            <o:lock v:ext="edit" aspectratio="t"/>
            <w10:wrap type="none"/>
            <w10:anchorlock/>
          </v:shape>
          <o:OLEObject Type="Embed" ProgID="Equation.DSMT4" ShapeID="_x0000_i1254" DrawAspect="Content" ObjectID="_1468075954" r:id="rId446">
            <o:LockedField>false</o:LockedField>
          </o:OLEObject>
        </w:object>
      </w:r>
      <w:r>
        <w:rPr>
          <w:color w:val="auto"/>
          <w:szCs w:val="21"/>
        </w:rPr>
        <w:t>——主动土压力合力（kN/m）；</w:t>
      </w:r>
    </w:p>
    <w:p w14:paraId="40ED2B8C">
      <w:pPr>
        <w:adjustRightInd w:val="0"/>
        <w:snapToGrid w:val="0"/>
        <w:spacing w:line="340" w:lineRule="atLeast"/>
        <w:ind w:left="1329" w:leftChars="320" w:hanging="657" w:hangingChars="313"/>
        <w:rPr>
          <w:color w:val="auto"/>
          <w:szCs w:val="21"/>
        </w:rPr>
      </w:pPr>
      <w:r>
        <w:rPr>
          <w:color w:val="auto"/>
          <w:szCs w:val="21"/>
        </w:rPr>
        <mc:AlternateContent>
          <mc:Choice Requires="wps">
            <w:drawing>
              <wp:anchor distT="0" distB="0" distL="114300" distR="114300" simplePos="0" relativeHeight="251668480" behindDoc="0" locked="0" layoutInCell="1" allowOverlap="1">
                <wp:simplePos x="0" y="0"/>
                <wp:positionH relativeFrom="column">
                  <wp:posOffset>3926840</wp:posOffset>
                </wp:positionH>
                <wp:positionV relativeFrom="paragraph">
                  <wp:posOffset>303530</wp:posOffset>
                </wp:positionV>
                <wp:extent cx="2112010" cy="1648460"/>
                <wp:effectExtent l="0" t="0" r="2540" b="1270"/>
                <wp:wrapSquare wrapText="bothSides"/>
                <wp:docPr id="319" name="矩形 319"/>
                <wp:cNvGraphicFramePr/>
                <a:graphic xmlns:a="http://schemas.openxmlformats.org/drawingml/2006/main">
                  <a:graphicData uri="http://schemas.microsoft.com/office/word/2010/wordprocessingShape">
                    <wps:wsp>
                      <wps:cNvSpPr>
                        <a:spLocks noChangeArrowheads="1"/>
                      </wps:cNvSpPr>
                      <wps:spPr bwMode="auto">
                        <a:xfrm>
                          <a:off x="0" y="0"/>
                          <a:ext cx="2112010" cy="1648460"/>
                        </a:xfrm>
                        <a:prstGeom prst="rect">
                          <a:avLst/>
                        </a:prstGeom>
                        <a:noFill/>
                        <a:ln>
                          <a:noFill/>
                        </a:ln>
                        <a:effectLst/>
                      </wps:spPr>
                      <wps:txbx>
                        <w:txbxContent>
                          <w:p w14:paraId="0BB6DF3E">
                            <w:pPr>
                              <w:pStyle w:val="24"/>
                              <w:pBdr>
                                <w:bottom w:val="none" w:color="auto" w:sz="0" w:space="0"/>
                              </w:pBdr>
                              <w:tabs>
                                <w:tab w:val="clear" w:pos="4153"/>
                                <w:tab w:val="clear" w:pos="8306"/>
                              </w:tabs>
                            </w:pPr>
                            <w:r>
                              <w:drawing>
                                <wp:inline distT="0" distB="0" distL="0" distR="0">
                                  <wp:extent cx="1143000" cy="1276350"/>
                                  <wp:effectExtent l="0" t="0" r="0" b="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a:xfrm>
                                            <a:off x="0" y="0"/>
                                            <a:ext cx="1143000" cy="1276350"/>
                                          </a:xfrm>
                                          <a:prstGeom prst="rect">
                                            <a:avLst/>
                                          </a:prstGeom>
                                          <a:noFill/>
                                          <a:ln>
                                            <a:noFill/>
                                          </a:ln>
                                        </pic:spPr>
                                      </pic:pic>
                                    </a:graphicData>
                                  </a:graphic>
                                </wp:inline>
                              </w:drawing>
                            </w:r>
                          </w:p>
                          <w:p w14:paraId="52481EA0">
                            <w:pPr>
                              <w:ind w:firstLine="542" w:firstLineChars="300"/>
                              <w:rPr>
                                <w:rFonts w:ascii="宋体" w:hAnsi="宋体"/>
                                <w:b/>
                                <w:sz w:val="18"/>
                                <w:szCs w:val="18"/>
                              </w:rPr>
                            </w:pPr>
                            <w:r>
                              <w:rPr>
                                <w:rFonts w:hint="eastAsia" w:ascii="宋体" w:hAnsi="宋体"/>
                                <w:b/>
                                <w:sz w:val="18"/>
                                <w:szCs w:val="18"/>
                              </w:rPr>
                              <w:t>图</w:t>
                            </w:r>
                            <w:r>
                              <w:rPr>
                                <w:rFonts w:ascii="宋体" w:hAnsi="宋体"/>
                                <w:b/>
                                <w:sz w:val="18"/>
                                <w:szCs w:val="18"/>
                              </w:rPr>
                              <w:t xml:space="preserve">3 </w:t>
                            </w:r>
                            <w:r>
                              <w:rPr>
                                <w:rFonts w:hint="eastAsia" w:ascii="宋体" w:hAnsi="宋体"/>
                                <w:b/>
                                <w:sz w:val="18"/>
                                <w:szCs w:val="18"/>
                              </w:rPr>
                              <w:t xml:space="preserve"> 挡土墙背土压力计算简图</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9.2pt;margin-top:23.9pt;height:129.8pt;width:166.3pt;mso-wrap-distance-bottom:0pt;mso-wrap-distance-left:9pt;mso-wrap-distance-right:9pt;mso-wrap-distance-top:0pt;z-index:251668480;mso-width-relative:page;mso-height-relative:page;" filled="f" stroked="f" coordsize="21600,21600" o:gfxdata="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DaX12wAAAAoBAAAPAAAA&#10;AAAAAAEAIAAAACIAAABkcnMvZG93bnJldi54bWxQSwECFAAUAAAACACHTuJA0ldu8hICAAAbBAAA&#10;DgAAAAAAAAABACAAAAAqAQAAZHJzL2Uyb0RvYy54bWxQSwUGAAAAAAYABgBZAQAArgUAAAAA&#10;">
                <v:fill on="f" focussize="0,0"/>
                <v:stroke on="f"/>
                <v:imagedata o:title=""/>
                <o:lock v:ext="edit" aspectratio="f"/>
                <v:textbox>
                  <w:txbxContent>
                    <w:p w14:paraId="0BB6DF3E">
                      <w:pPr>
                        <w:pStyle w:val="24"/>
                        <w:pBdr>
                          <w:bottom w:val="none" w:color="auto" w:sz="0" w:space="0"/>
                        </w:pBdr>
                        <w:tabs>
                          <w:tab w:val="clear" w:pos="4153"/>
                          <w:tab w:val="clear" w:pos="8306"/>
                        </w:tabs>
                      </w:pPr>
                      <w:r>
                        <w:drawing>
                          <wp:inline distT="0" distB="0" distL="0" distR="0">
                            <wp:extent cx="1143000" cy="1276350"/>
                            <wp:effectExtent l="0" t="0" r="0" b="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a:xfrm>
                                      <a:off x="0" y="0"/>
                                      <a:ext cx="1143000" cy="1276350"/>
                                    </a:xfrm>
                                    <a:prstGeom prst="rect">
                                      <a:avLst/>
                                    </a:prstGeom>
                                    <a:noFill/>
                                    <a:ln>
                                      <a:noFill/>
                                    </a:ln>
                                  </pic:spPr>
                                </pic:pic>
                              </a:graphicData>
                            </a:graphic>
                          </wp:inline>
                        </w:drawing>
                      </w:r>
                    </w:p>
                    <w:p w14:paraId="52481EA0">
                      <w:pPr>
                        <w:ind w:firstLine="542" w:firstLineChars="300"/>
                        <w:rPr>
                          <w:rFonts w:ascii="宋体" w:hAnsi="宋体"/>
                          <w:b/>
                          <w:sz w:val="18"/>
                          <w:szCs w:val="18"/>
                        </w:rPr>
                      </w:pPr>
                      <w:r>
                        <w:rPr>
                          <w:rFonts w:hint="eastAsia" w:ascii="宋体" w:hAnsi="宋体"/>
                          <w:b/>
                          <w:sz w:val="18"/>
                          <w:szCs w:val="18"/>
                        </w:rPr>
                        <w:t>图</w:t>
                      </w:r>
                      <w:r>
                        <w:rPr>
                          <w:rFonts w:ascii="宋体" w:hAnsi="宋体"/>
                          <w:b/>
                          <w:sz w:val="18"/>
                          <w:szCs w:val="18"/>
                        </w:rPr>
                        <w:t xml:space="preserve">3 </w:t>
                      </w:r>
                      <w:r>
                        <w:rPr>
                          <w:rFonts w:hint="eastAsia" w:ascii="宋体" w:hAnsi="宋体"/>
                          <w:b/>
                          <w:sz w:val="18"/>
                          <w:szCs w:val="18"/>
                        </w:rPr>
                        <w:t xml:space="preserve"> 挡土墙背土压力计算简图</w:t>
                      </w:r>
                    </w:p>
                  </w:txbxContent>
                </v:textbox>
                <w10:wrap type="square"/>
              </v:rect>
            </w:pict>
          </mc:Fallback>
        </mc:AlternateContent>
      </w:r>
      <w:r>
        <w:rPr>
          <w:i/>
          <w:color w:val="auto"/>
          <w:szCs w:val="21"/>
        </w:rPr>
        <w:t>ψ</w:t>
      </w:r>
      <w:r>
        <w:rPr>
          <w:iCs/>
          <w:color w:val="auto"/>
          <w:szCs w:val="21"/>
          <w:vertAlign w:val="subscript"/>
        </w:rPr>
        <w:t>c</w:t>
      </w:r>
      <w:r>
        <w:rPr>
          <w:color w:val="auto"/>
          <w:szCs w:val="21"/>
        </w:rPr>
        <w:t>——主动土压力增大系数，土坡高度小于5</w:t>
      </w:r>
      <w:r>
        <w:rPr>
          <w:iCs/>
          <w:color w:val="auto"/>
          <w:szCs w:val="21"/>
        </w:rPr>
        <w:t>m</w:t>
      </w:r>
      <w:r>
        <w:rPr>
          <w:color w:val="auto"/>
          <w:szCs w:val="21"/>
        </w:rPr>
        <w:t>时宜取1.0；高度为5</w:t>
      </w:r>
      <w:r>
        <w:rPr>
          <w:iCs/>
          <w:color w:val="auto"/>
          <w:szCs w:val="21"/>
        </w:rPr>
        <w:t>m</w:t>
      </w:r>
      <w:r>
        <w:rPr>
          <w:color w:val="auto"/>
          <w:szCs w:val="21"/>
        </w:rPr>
        <w:t>～8</w:t>
      </w:r>
      <w:r>
        <w:rPr>
          <w:iCs/>
          <w:color w:val="auto"/>
          <w:szCs w:val="21"/>
        </w:rPr>
        <w:t>m</w:t>
      </w:r>
      <w:r>
        <w:rPr>
          <w:color w:val="auto"/>
          <w:szCs w:val="21"/>
        </w:rPr>
        <w:t>时宜取1.1；高度大于8</w:t>
      </w:r>
      <w:r>
        <w:rPr>
          <w:iCs/>
          <w:color w:val="auto"/>
          <w:szCs w:val="21"/>
        </w:rPr>
        <w:t>m</w:t>
      </w:r>
      <w:r>
        <w:rPr>
          <w:color w:val="auto"/>
          <w:szCs w:val="21"/>
        </w:rPr>
        <w:t xml:space="preserve">时宜取1.2； </w:t>
      </w:r>
    </w:p>
    <w:p w14:paraId="3535E805">
      <w:pPr>
        <w:tabs>
          <w:tab w:val="left" w:pos="1330"/>
        </w:tabs>
        <w:adjustRightInd w:val="0"/>
        <w:snapToGrid w:val="0"/>
        <w:spacing w:line="340" w:lineRule="atLeast"/>
        <w:ind w:firstLine="157" w:firstLineChars="75"/>
        <w:rPr>
          <w:color w:val="auto"/>
          <w:szCs w:val="21"/>
        </w:rPr>
      </w:pPr>
      <w:r>
        <w:rPr>
          <w:color w:val="auto"/>
          <w:szCs w:val="21"/>
        </w:rPr>
        <w:t xml:space="preserve">      </w:t>
      </w:r>
      <w:r>
        <w:rPr>
          <w:i/>
          <w:color w:val="auto"/>
          <w:szCs w:val="21"/>
        </w:rPr>
        <w:t>γ</w:t>
      </w:r>
      <w:r>
        <w:rPr>
          <w:color w:val="auto"/>
          <w:szCs w:val="21"/>
        </w:rPr>
        <w:t>——墙背土的重度（kN/m</w:t>
      </w:r>
      <w:r>
        <w:rPr>
          <w:color w:val="auto"/>
          <w:szCs w:val="21"/>
          <w:vertAlign w:val="superscript"/>
        </w:rPr>
        <w:t>3</w:t>
      </w:r>
      <w:r>
        <w:rPr>
          <w:color w:val="auto"/>
          <w:szCs w:val="21"/>
        </w:rPr>
        <w:t>）；</w:t>
      </w:r>
    </w:p>
    <w:p w14:paraId="33B04516">
      <w:pPr>
        <w:adjustRightInd w:val="0"/>
        <w:snapToGrid w:val="0"/>
        <w:spacing w:line="340" w:lineRule="atLeast"/>
        <w:ind w:firstLine="756" w:firstLineChars="360"/>
        <w:rPr>
          <w:color w:val="auto"/>
          <w:szCs w:val="21"/>
        </w:rPr>
      </w:pPr>
      <w:r>
        <w:rPr>
          <w:i/>
          <w:color w:val="auto"/>
          <w:szCs w:val="21"/>
        </w:rPr>
        <w:t>h</w:t>
      </w:r>
      <w:r>
        <w:rPr>
          <w:color w:val="auto"/>
          <w:szCs w:val="21"/>
        </w:rPr>
        <w:t>——挡土结构的高度（m）；</w:t>
      </w:r>
    </w:p>
    <w:p w14:paraId="0C2DBD6A">
      <w:pPr>
        <w:adjustRightInd w:val="0"/>
        <w:snapToGrid w:val="0"/>
        <w:spacing w:line="340" w:lineRule="atLeast"/>
        <w:ind w:firstLine="709" w:firstLineChars="338"/>
        <w:rPr>
          <w:color w:val="auto"/>
          <w:szCs w:val="21"/>
        </w:rPr>
      </w:pPr>
      <w:r>
        <w:rPr>
          <w:i/>
          <w:color w:val="auto"/>
          <w:szCs w:val="21"/>
        </w:rPr>
        <w:t>k</w:t>
      </w:r>
      <w:r>
        <w:rPr>
          <w:iCs/>
          <w:color w:val="auto"/>
          <w:szCs w:val="21"/>
          <w:vertAlign w:val="subscript"/>
        </w:rPr>
        <w:t>a</w:t>
      </w:r>
      <w:r>
        <w:rPr>
          <w:color w:val="auto"/>
          <w:szCs w:val="21"/>
        </w:rPr>
        <w:t>——主动土压力系数；</w:t>
      </w:r>
    </w:p>
    <w:p w14:paraId="58C81B47">
      <w:pPr>
        <w:adjustRightInd w:val="0"/>
        <w:snapToGrid w:val="0"/>
        <w:spacing w:line="340" w:lineRule="atLeast"/>
        <w:ind w:firstLine="787" w:firstLineChars="375"/>
        <w:rPr>
          <w:color w:val="auto"/>
          <w:szCs w:val="21"/>
        </w:rPr>
      </w:pPr>
      <w:r>
        <w:rPr>
          <w:i/>
          <w:color w:val="auto"/>
          <w:szCs w:val="21"/>
        </w:rPr>
        <w:t>δ</w:t>
      </w:r>
      <w:r>
        <w:rPr>
          <w:color w:val="auto"/>
          <w:szCs w:val="21"/>
        </w:rPr>
        <w:t>——土对挡土墙墙背的摩擦角（°）；可按表41选用；</w:t>
      </w:r>
    </w:p>
    <w:p w14:paraId="7DCB4736">
      <w:pPr>
        <w:adjustRightInd w:val="0"/>
        <w:snapToGrid w:val="0"/>
        <w:spacing w:line="340" w:lineRule="atLeast"/>
        <w:ind w:left="1343" w:leftChars="373" w:hanging="560" w:hangingChars="267"/>
        <w:rPr>
          <w:color w:val="auto"/>
          <w:szCs w:val="21"/>
        </w:rPr>
      </w:pPr>
      <w:r>
        <w:rPr>
          <w:i/>
          <w:color w:val="auto"/>
          <w:szCs w:val="21"/>
        </w:rPr>
        <w:t>q</w:t>
      </w:r>
      <w:r>
        <w:rPr>
          <w:color w:val="auto"/>
          <w:szCs w:val="21"/>
        </w:rPr>
        <w:t>——地表均布荷载（kN/m</w:t>
      </w:r>
      <w:r>
        <w:rPr>
          <w:color w:val="auto"/>
          <w:szCs w:val="21"/>
          <w:vertAlign w:val="superscript"/>
        </w:rPr>
        <w:t>2</w:t>
      </w:r>
      <w:r>
        <w:rPr>
          <w:color w:val="auto"/>
          <w:szCs w:val="21"/>
        </w:rPr>
        <w:t>），以单位水平投影面上的荷载强度计；</w:t>
      </w:r>
    </w:p>
    <w:p w14:paraId="09EAA602">
      <w:pPr>
        <w:adjustRightInd w:val="0"/>
        <w:snapToGrid w:val="0"/>
        <w:spacing w:line="340" w:lineRule="atLeast"/>
        <w:ind w:left="1325" w:leftChars="326" w:hanging="640" w:hangingChars="305"/>
        <w:rPr>
          <w:color w:val="auto"/>
          <w:szCs w:val="21"/>
        </w:rPr>
      </w:pPr>
      <w:r>
        <w:rPr>
          <w:color w:val="auto"/>
          <w:position w:val="-6"/>
          <w:szCs w:val="21"/>
        </w:rPr>
        <w:object>
          <v:shape id="_x0000_i1255" o:spt="75" type="#_x0000_t75" style="height:15pt;width:8.25pt;" o:ole="t" filled="f" o:preferrelative="t" stroked="f" coordsize="21600,21600">
            <v:path/>
            <v:fill on="f" focussize="0,0"/>
            <v:stroke on="f" joinstyle="miter"/>
            <v:imagedata r:id="rId450" o:title=""/>
            <o:lock v:ext="edit" aspectratio="t"/>
            <w10:wrap type="none"/>
            <w10:anchorlock/>
          </v:shape>
          <o:OLEObject Type="Embed" ProgID="Equation.DSMT4" ShapeID="_x0000_i1255" DrawAspect="Content" ObjectID="_1468075955" r:id="rId449">
            <o:LockedField>false</o:LockedField>
          </o:OLEObject>
        </w:object>
      </w:r>
      <w:r>
        <w:rPr>
          <w:color w:val="auto"/>
          <w:szCs w:val="21"/>
        </w:rPr>
        <w:t>——滑裂面与水平面的夹角（°）。</w:t>
      </w:r>
    </w:p>
    <w:p w14:paraId="5E09FDF6">
      <w:pPr>
        <w:adjustRightInd w:val="0"/>
        <w:snapToGrid w:val="0"/>
        <w:spacing w:line="340" w:lineRule="atLeast"/>
        <w:ind w:firstLine="420" w:firstLineChars="200"/>
        <w:rPr>
          <w:color w:val="auto"/>
          <w:szCs w:val="21"/>
        </w:rPr>
      </w:pPr>
      <w:r>
        <w:rPr>
          <w:color w:val="auto"/>
          <w:szCs w:val="21"/>
        </w:rPr>
        <w:t>其余符号见图3。</w:t>
      </w:r>
    </w:p>
    <w:p w14:paraId="39C452EC">
      <w:pPr>
        <w:adjustRightInd w:val="0"/>
        <w:snapToGrid w:val="0"/>
        <w:spacing w:before="240" w:line="360" w:lineRule="atLeast"/>
        <w:jc w:val="center"/>
        <w:rPr>
          <w:rFonts w:eastAsia="黑体"/>
          <w:b/>
          <w:color w:val="auto"/>
          <w:szCs w:val="21"/>
        </w:rPr>
      </w:pPr>
      <w:r>
        <w:rPr>
          <w:rFonts w:eastAsia="黑体"/>
          <w:b/>
          <w:bCs/>
          <w:color w:val="auto"/>
          <w:szCs w:val="21"/>
        </w:rPr>
        <w:t>表41</w:t>
      </w:r>
      <w:r>
        <w:rPr>
          <w:rFonts w:eastAsia="黑体"/>
          <w:color w:val="auto"/>
          <w:szCs w:val="21"/>
        </w:rPr>
        <w:t xml:space="preserve">  </w:t>
      </w:r>
      <w:r>
        <w:rPr>
          <w:rFonts w:eastAsia="黑体"/>
          <w:b/>
          <w:color w:val="auto"/>
          <w:szCs w:val="21"/>
        </w:rPr>
        <w:t>土对挡土墙背的摩擦角</w:t>
      </w:r>
      <w:r>
        <w:rPr>
          <w:rFonts w:eastAsia="黑体"/>
          <w:b/>
          <w:i/>
          <w:color w:val="auto"/>
          <w:szCs w:val="21"/>
        </w:rPr>
        <w:t>δ</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0"/>
        <w:gridCol w:w="1874"/>
        <w:gridCol w:w="2945"/>
        <w:gridCol w:w="1887"/>
      </w:tblGrid>
      <w:tr w14:paraId="06FAC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vAlign w:val="center"/>
          </w:tcPr>
          <w:p w14:paraId="5F5228A4">
            <w:pPr>
              <w:adjustRightInd w:val="0"/>
              <w:snapToGrid w:val="0"/>
              <w:spacing w:line="300" w:lineRule="atLeast"/>
              <w:jc w:val="center"/>
              <w:rPr>
                <w:color w:val="auto"/>
                <w:sz w:val="18"/>
                <w:szCs w:val="18"/>
              </w:rPr>
            </w:pPr>
            <w:r>
              <w:rPr>
                <w:color w:val="auto"/>
                <w:sz w:val="18"/>
                <w:szCs w:val="18"/>
              </w:rPr>
              <w:t>挡土墙情况</w:t>
            </w:r>
          </w:p>
        </w:tc>
        <w:tc>
          <w:tcPr>
            <w:tcW w:w="1874" w:type="dxa"/>
            <w:vAlign w:val="center"/>
          </w:tcPr>
          <w:p w14:paraId="0D933C0C">
            <w:pPr>
              <w:adjustRightInd w:val="0"/>
              <w:snapToGrid w:val="0"/>
              <w:spacing w:line="300" w:lineRule="atLeast"/>
              <w:jc w:val="center"/>
              <w:rPr>
                <w:color w:val="auto"/>
                <w:sz w:val="18"/>
                <w:szCs w:val="18"/>
              </w:rPr>
            </w:pPr>
            <w:r>
              <w:rPr>
                <w:color w:val="auto"/>
                <w:sz w:val="18"/>
                <w:szCs w:val="18"/>
              </w:rPr>
              <w:t>摩擦角</w:t>
            </w:r>
            <w:r>
              <w:rPr>
                <w:i/>
                <w:color w:val="auto"/>
                <w:sz w:val="18"/>
                <w:szCs w:val="18"/>
              </w:rPr>
              <w:t>δ</w:t>
            </w:r>
          </w:p>
        </w:tc>
        <w:tc>
          <w:tcPr>
            <w:tcW w:w="2945" w:type="dxa"/>
            <w:vAlign w:val="center"/>
          </w:tcPr>
          <w:p w14:paraId="4D05B7EB">
            <w:pPr>
              <w:adjustRightInd w:val="0"/>
              <w:snapToGrid w:val="0"/>
              <w:spacing w:line="300" w:lineRule="atLeast"/>
              <w:jc w:val="center"/>
              <w:rPr>
                <w:color w:val="auto"/>
                <w:sz w:val="18"/>
                <w:szCs w:val="18"/>
              </w:rPr>
            </w:pPr>
            <w:r>
              <w:rPr>
                <w:color w:val="auto"/>
                <w:sz w:val="18"/>
                <w:szCs w:val="18"/>
              </w:rPr>
              <w:t>挡土墙情况</w:t>
            </w:r>
          </w:p>
        </w:tc>
        <w:tc>
          <w:tcPr>
            <w:tcW w:w="1887" w:type="dxa"/>
            <w:vAlign w:val="center"/>
          </w:tcPr>
          <w:p w14:paraId="092F9BC1">
            <w:pPr>
              <w:adjustRightInd w:val="0"/>
              <w:snapToGrid w:val="0"/>
              <w:spacing w:line="300" w:lineRule="atLeast"/>
              <w:jc w:val="center"/>
              <w:rPr>
                <w:color w:val="auto"/>
                <w:sz w:val="18"/>
                <w:szCs w:val="18"/>
              </w:rPr>
            </w:pPr>
            <w:r>
              <w:rPr>
                <w:color w:val="auto"/>
                <w:sz w:val="18"/>
                <w:szCs w:val="18"/>
              </w:rPr>
              <w:t>摩擦角</w:t>
            </w:r>
            <w:r>
              <w:rPr>
                <w:i/>
                <w:color w:val="auto"/>
                <w:sz w:val="18"/>
                <w:szCs w:val="18"/>
              </w:rPr>
              <w:t>δ</w:t>
            </w:r>
          </w:p>
        </w:tc>
      </w:tr>
      <w:tr w14:paraId="44220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vAlign w:val="center"/>
          </w:tcPr>
          <w:p w14:paraId="016A467A">
            <w:pPr>
              <w:adjustRightInd w:val="0"/>
              <w:snapToGrid w:val="0"/>
              <w:spacing w:line="300" w:lineRule="atLeast"/>
              <w:jc w:val="center"/>
              <w:rPr>
                <w:color w:val="auto"/>
                <w:sz w:val="18"/>
                <w:szCs w:val="18"/>
              </w:rPr>
            </w:pPr>
            <w:r>
              <w:rPr>
                <w:color w:val="auto"/>
                <w:sz w:val="18"/>
                <w:szCs w:val="18"/>
              </w:rPr>
              <w:t>墙背平滑，排水不良</w:t>
            </w:r>
          </w:p>
        </w:tc>
        <w:tc>
          <w:tcPr>
            <w:tcW w:w="1874" w:type="dxa"/>
            <w:vAlign w:val="center"/>
          </w:tcPr>
          <w:p w14:paraId="3DE900EA">
            <w:pPr>
              <w:adjustRightInd w:val="0"/>
              <w:snapToGrid w:val="0"/>
              <w:spacing w:line="300" w:lineRule="atLeast"/>
              <w:jc w:val="center"/>
              <w:rPr>
                <w:color w:val="auto"/>
                <w:sz w:val="18"/>
                <w:szCs w:val="18"/>
              </w:rPr>
            </w:pPr>
            <w:r>
              <w:rPr>
                <w:color w:val="auto"/>
                <w:sz w:val="18"/>
                <w:szCs w:val="18"/>
              </w:rPr>
              <w:t>(0～0.33)</w:t>
            </w:r>
            <w:r>
              <w:rPr>
                <w:i/>
                <w:color w:val="auto"/>
                <w:sz w:val="18"/>
                <w:szCs w:val="18"/>
              </w:rPr>
              <w:t>φ</w:t>
            </w:r>
            <w:r>
              <w:rPr>
                <w:color w:val="auto"/>
                <w:sz w:val="18"/>
                <w:szCs w:val="18"/>
                <w:vertAlign w:val="subscript"/>
              </w:rPr>
              <w:t>k</w:t>
            </w:r>
          </w:p>
        </w:tc>
        <w:tc>
          <w:tcPr>
            <w:tcW w:w="2945" w:type="dxa"/>
            <w:vAlign w:val="center"/>
          </w:tcPr>
          <w:p w14:paraId="23528F3C">
            <w:pPr>
              <w:adjustRightInd w:val="0"/>
              <w:snapToGrid w:val="0"/>
              <w:spacing w:line="300" w:lineRule="atLeast"/>
              <w:jc w:val="center"/>
              <w:rPr>
                <w:color w:val="auto"/>
                <w:sz w:val="18"/>
                <w:szCs w:val="18"/>
              </w:rPr>
            </w:pPr>
            <w:r>
              <w:rPr>
                <w:color w:val="auto"/>
                <w:sz w:val="18"/>
                <w:szCs w:val="18"/>
              </w:rPr>
              <w:t>墙背很粗糙，排水良好</w:t>
            </w:r>
          </w:p>
        </w:tc>
        <w:tc>
          <w:tcPr>
            <w:tcW w:w="1887" w:type="dxa"/>
            <w:vAlign w:val="center"/>
          </w:tcPr>
          <w:p w14:paraId="7AB7CAFD">
            <w:pPr>
              <w:adjustRightInd w:val="0"/>
              <w:snapToGrid w:val="0"/>
              <w:spacing w:line="300" w:lineRule="atLeast"/>
              <w:jc w:val="center"/>
              <w:rPr>
                <w:color w:val="auto"/>
                <w:sz w:val="18"/>
                <w:szCs w:val="18"/>
              </w:rPr>
            </w:pPr>
            <w:r>
              <w:rPr>
                <w:color w:val="auto"/>
                <w:sz w:val="18"/>
                <w:szCs w:val="18"/>
              </w:rPr>
              <w:t>(0.50～0.67)</w:t>
            </w:r>
            <w:r>
              <w:rPr>
                <w:i/>
                <w:color w:val="auto"/>
                <w:sz w:val="18"/>
                <w:szCs w:val="18"/>
              </w:rPr>
              <w:t>φ</w:t>
            </w:r>
            <w:r>
              <w:rPr>
                <w:color w:val="auto"/>
                <w:sz w:val="18"/>
                <w:szCs w:val="18"/>
                <w:vertAlign w:val="subscript"/>
              </w:rPr>
              <w:t>k</w:t>
            </w:r>
          </w:p>
        </w:tc>
      </w:tr>
      <w:tr w14:paraId="46359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vAlign w:val="center"/>
          </w:tcPr>
          <w:p w14:paraId="1CF0C30F">
            <w:pPr>
              <w:adjustRightInd w:val="0"/>
              <w:snapToGrid w:val="0"/>
              <w:spacing w:line="300" w:lineRule="atLeast"/>
              <w:jc w:val="center"/>
              <w:rPr>
                <w:color w:val="auto"/>
                <w:sz w:val="18"/>
                <w:szCs w:val="18"/>
              </w:rPr>
            </w:pPr>
            <w:r>
              <w:rPr>
                <w:color w:val="auto"/>
                <w:sz w:val="18"/>
                <w:szCs w:val="18"/>
              </w:rPr>
              <w:t>墙背粗糙，排水良好</w:t>
            </w:r>
          </w:p>
        </w:tc>
        <w:tc>
          <w:tcPr>
            <w:tcW w:w="1874" w:type="dxa"/>
            <w:vAlign w:val="center"/>
          </w:tcPr>
          <w:p w14:paraId="770D64EE">
            <w:pPr>
              <w:adjustRightInd w:val="0"/>
              <w:snapToGrid w:val="0"/>
              <w:spacing w:line="300" w:lineRule="atLeast"/>
              <w:jc w:val="center"/>
              <w:rPr>
                <w:color w:val="auto"/>
                <w:sz w:val="18"/>
                <w:szCs w:val="18"/>
              </w:rPr>
            </w:pPr>
            <w:r>
              <w:rPr>
                <w:color w:val="auto"/>
                <w:sz w:val="18"/>
                <w:szCs w:val="18"/>
              </w:rPr>
              <w:t>(0.33～0.50)</w:t>
            </w:r>
            <w:r>
              <w:rPr>
                <w:i/>
                <w:color w:val="auto"/>
                <w:sz w:val="18"/>
                <w:szCs w:val="18"/>
              </w:rPr>
              <w:t>φ</w:t>
            </w:r>
            <w:r>
              <w:rPr>
                <w:color w:val="auto"/>
                <w:sz w:val="18"/>
                <w:szCs w:val="18"/>
                <w:vertAlign w:val="subscript"/>
              </w:rPr>
              <w:t>k</w:t>
            </w:r>
          </w:p>
        </w:tc>
        <w:tc>
          <w:tcPr>
            <w:tcW w:w="2945" w:type="dxa"/>
            <w:vAlign w:val="center"/>
          </w:tcPr>
          <w:p w14:paraId="308CE2DC">
            <w:pPr>
              <w:adjustRightInd w:val="0"/>
              <w:snapToGrid w:val="0"/>
              <w:spacing w:line="300" w:lineRule="atLeast"/>
              <w:jc w:val="center"/>
              <w:rPr>
                <w:color w:val="auto"/>
                <w:sz w:val="18"/>
                <w:szCs w:val="18"/>
              </w:rPr>
            </w:pPr>
            <w:r>
              <w:rPr>
                <w:color w:val="auto"/>
                <w:sz w:val="18"/>
                <w:szCs w:val="18"/>
              </w:rPr>
              <w:t>墙背与填土间不可能滑动</w:t>
            </w:r>
          </w:p>
        </w:tc>
        <w:tc>
          <w:tcPr>
            <w:tcW w:w="1887" w:type="dxa"/>
            <w:vAlign w:val="center"/>
          </w:tcPr>
          <w:p w14:paraId="4B80330A">
            <w:pPr>
              <w:adjustRightInd w:val="0"/>
              <w:snapToGrid w:val="0"/>
              <w:spacing w:line="300" w:lineRule="atLeast"/>
              <w:jc w:val="center"/>
              <w:rPr>
                <w:color w:val="auto"/>
                <w:sz w:val="18"/>
                <w:szCs w:val="18"/>
              </w:rPr>
            </w:pPr>
            <w:r>
              <w:rPr>
                <w:color w:val="auto"/>
                <w:sz w:val="18"/>
                <w:szCs w:val="18"/>
              </w:rPr>
              <w:t>(0.67～1.00)</w:t>
            </w:r>
            <w:r>
              <w:rPr>
                <w:i/>
                <w:color w:val="auto"/>
                <w:sz w:val="18"/>
                <w:szCs w:val="18"/>
              </w:rPr>
              <w:t>φ</w:t>
            </w:r>
            <w:r>
              <w:rPr>
                <w:color w:val="auto"/>
                <w:sz w:val="18"/>
                <w:szCs w:val="18"/>
                <w:vertAlign w:val="subscript"/>
              </w:rPr>
              <w:t>k</w:t>
            </w:r>
          </w:p>
        </w:tc>
      </w:tr>
      <w:tr w14:paraId="76DB5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46" w:type="dxa"/>
            <w:gridSpan w:val="4"/>
            <w:vAlign w:val="center"/>
          </w:tcPr>
          <w:p w14:paraId="49F595A7">
            <w:pPr>
              <w:adjustRightInd w:val="0"/>
              <w:snapToGrid w:val="0"/>
              <w:spacing w:line="300" w:lineRule="atLeast"/>
              <w:jc w:val="left"/>
              <w:rPr>
                <w:color w:val="auto"/>
                <w:sz w:val="18"/>
                <w:szCs w:val="18"/>
              </w:rPr>
            </w:pPr>
            <w:r>
              <w:rPr>
                <w:color w:val="auto"/>
                <w:sz w:val="18"/>
                <w:szCs w:val="18"/>
              </w:rPr>
              <w:t>注：</w:t>
            </w:r>
            <w:r>
              <w:rPr>
                <w:i/>
                <w:color w:val="auto"/>
                <w:sz w:val="18"/>
                <w:szCs w:val="18"/>
              </w:rPr>
              <w:t>φ</w:t>
            </w:r>
            <w:r>
              <w:rPr>
                <w:color w:val="auto"/>
                <w:sz w:val="18"/>
                <w:szCs w:val="18"/>
                <w:vertAlign w:val="subscript"/>
              </w:rPr>
              <w:t>k</w:t>
            </w:r>
            <w:r>
              <w:rPr>
                <w:color w:val="auto"/>
                <w:sz w:val="18"/>
                <w:szCs w:val="18"/>
              </w:rPr>
              <w:t>为墙背填土内摩擦角。</w:t>
            </w:r>
          </w:p>
        </w:tc>
      </w:tr>
    </w:tbl>
    <w:p w14:paraId="0DCDF6C2">
      <w:pPr>
        <w:adjustRightInd w:val="0"/>
        <w:snapToGrid w:val="0"/>
        <w:spacing w:before="120" w:line="360" w:lineRule="atLeast"/>
        <w:rPr>
          <w:color w:val="auto"/>
          <w:szCs w:val="21"/>
        </w:rPr>
      </w:pPr>
      <w:r>
        <w:rPr>
          <w:color w:val="auto"/>
          <w:szCs w:val="21"/>
        </w:rPr>
        <mc:AlternateContent>
          <mc:Choice Requires="wps">
            <w:drawing>
              <wp:anchor distT="0" distB="0" distL="114300" distR="114300" simplePos="0" relativeHeight="251671552" behindDoc="1" locked="0" layoutInCell="1" allowOverlap="1">
                <wp:simplePos x="0" y="0"/>
                <wp:positionH relativeFrom="column">
                  <wp:posOffset>4321810</wp:posOffset>
                </wp:positionH>
                <wp:positionV relativeFrom="paragraph">
                  <wp:posOffset>359410</wp:posOffset>
                </wp:positionV>
                <wp:extent cx="1528445" cy="1680845"/>
                <wp:effectExtent l="0" t="0" r="0" b="0"/>
                <wp:wrapTight wrapText="bothSides">
                  <wp:wrapPolygon>
                    <wp:start x="538" y="0"/>
                    <wp:lineTo x="538" y="21298"/>
                    <wp:lineTo x="20730" y="21298"/>
                    <wp:lineTo x="20730" y="0"/>
                    <wp:lineTo x="538" y="0"/>
                  </wp:wrapPolygon>
                </wp:wrapTight>
                <wp:docPr id="317" name="矩形 317"/>
                <wp:cNvGraphicFramePr/>
                <a:graphic xmlns:a="http://schemas.openxmlformats.org/drawingml/2006/main">
                  <a:graphicData uri="http://schemas.microsoft.com/office/word/2010/wordprocessingShape">
                    <wps:wsp>
                      <wps:cNvSpPr>
                        <a:spLocks noChangeArrowheads="1"/>
                      </wps:cNvSpPr>
                      <wps:spPr bwMode="auto">
                        <a:xfrm>
                          <a:off x="0" y="0"/>
                          <a:ext cx="1528445" cy="1680845"/>
                        </a:xfrm>
                        <a:prstGeom prst="rect">
                          <a:avLst/>
                        </a:prstGeom>
                        <a:noFill/>
                        <a:ln>
                          <a:noFill/>
                        </a:ln>
                        <a:effectLst/>
                      </wps:spPr>
                      <wps:txbx>
                        <w:txbxContent>
                          <w:p w14:paraId="2EB5A2E2">
                            <w:pPr>
                              <w:pStyle w:val="24"/>
                              <w:pBdr>
                                <w:bottom w:val="none" w:color="auto" w:sz="0" w:space="0"/>
                              </w:pBdr>
                              <w:tabs>
                                <w:tab w:val="clear" w:pos="4153"/>
                                <w:tab w:val="clear" w:pos="8306"/>
                              </w:tabs>
                            </w:pPr>
                            <w:r>
                              <w:drawing>
                                <wp:inline distT="0" distB="0" distL="0" distR="0">
                                  <wp:extent cx="1571625" cy="1304925"/>
                                  <wp:effectExtent l="0" t="0" r="9525" b="9525"/>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a:xfrm>
                                            <a:off x="0" y="0"/>
                                            <a:ext cx="1571625" cy="1304925"/>
                                          </a:xfrm>
                                          <a:prstGeom prst="rect">
                                            <a:avLst/>
                                          </a:prstGeom>
                                          <a:noFill/>
                                          <a:ln>
                                            <a:noFill/>
                                          </a:ln>
                                        </pic:spPr>
                                      </pic:pic>
                                    </a:graphicData>
                                  </a:graphic>
                                </wp:inline>
                              </w:drawing>
                            </w:r>
                          </w:p>
                          <w:p w14:paraId="47593F97">
                            <w:pPr>
                              <w:adjustRightInd w:val="0"/>
                              <w:snapToGrid w:val="0"/>
                              <w:ind w:firstLine="180" w:firstLineChars="100"/>
                              <w:rPr>
                                <w:rFonts w:ascii="黑体" w:eastAsia="黑体"/>
                                <w:sz w:val="15"/>
                                <w:szCs w:val="15"/>
                              </w:rPr>
                            </w:pPr>
                            <w:r>
                              <w:rPr>
                                <w:rFonts w:hint="eastAsia" w:ascii="宋体" w:hAnsi="宋体"/>
                                <w:sz w:val="18"/>
                                <w:szCs w:val="18"/>
                              </w:rPr>
                              <w:t>图</w:t>
                            </w:r>
                            <w:r>
                              <w:rPr>
                                <w:rFonts w:ascii="宋体" w:hAnsi="宋体"/>
                                <w:sz w:val="18"/>
                                <w:szCs w:val="18"/>
                              </w:rPr>
                              <w:t>4</w:t>
                            </w:r>
                            <w:r>
                              <w:rPr>
                                <w:rFonts w:hint="eastAsia" w:ascii="宋体" w:hAnsi="宋体"/>
                                <w:sz w:val="18"/>
                                <w:szCs w:val="18"/>
                              </w:rPr>
                              <w:t xml:space="preserve"> 有限范围填土土压力计算</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40.3pt;margin-top:28.3pt;height:132.35pt;width:120.35pt;mso-wrap-distance-left:9pt;mso-wrap-distance-right:9pt;z-index:-251644928;mso-width-relative:page;mso-height-relative:page;" filled="f" stroked="f" coordsize="21600,21600" wrapcoords="538 0 538 21298 20730 21298 20730 0 538 0" o:gfxdata="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FLRYPaAAAACgEAAA8AAAAA&#10;AAAAAQAgAAAAIgAAAGRycy9kb3ducmV2LnhtbFBLAQIUABQAAAAIAIdO4kAtuFh2EgIAABsEAAAO&#10;AAAAAAAAAAEAIAAAACkBAABkcnMvZTJvRG9jLnhtbFBLBQYAAAAABgAGAFkBAACtBQAAAAA=&#10;">
                <v:fill on="f" focussize="0,0"/>
                <v:stroke on="f"/>
                <v:imagedata o:title=""/>
                <o:lock v:ext="edit" aspectratio="f"/>
                <v:textbox>
                  <w:txbxContent>
                    <w:p w14:paraId="2EB5A2E2">
                      <w:pPr>
                        <w:pStyle w:val="24"/>
                        <w:pBdr>
                          <w:bottom w:val="none" w:color="auto" w:sz="0" w:space="0"/>
                        </w:pBdr>
                        <w:tabs>
                          <w:tab w:val="clear" w:pos="4153"/>
                          <w:tab w:val="clear" w:pos="8306"/>
                        </w:tabs>
                      </w:pPr>
                      <w:r>
                        <w:drawing>
                          <wp:inline distT="0" distB="0" distL="0" distR="0">
                            <wp:extent cx="1571625" cy="1304925"/>
                            <wp:effectExtent l="0" t="0" r="9525" b="9525"/>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a:xfrm>
                                      <a:off x="0" y="0"/>
                                      <a:ext cx="1571625" cy="1304925"/>
                                    </a:xfrm>
                                    <a:prstGeom prst="rect">
                                      <a:avLst/>
                                    </a:prstGeom>
                                    <a:noFill/>
                                    <a:ln>
                                      <a:noFill/>
                                    </a:ln>
                                  </pic:spPr>
                                </pic:pic>
                              </a:graphicData>
                            </a:graphic>
                          </wp:inline>
                        </w:drawing>
                      </w:r>
                    </w:p>
                    <w:p w14:paraId="47593F97">
                      <w:pPr>
                        <w:adjustRightInd w:val="0"/>
                        <w:snapToGrid w:val="0"/>
                        <w:ind w:firstLine="180" w:firstLineChars="100"/>
                        <w:rPr>
                          <w:rFonts w:ascii="黑体" w:eastAsia="黑体"/>
                          <w:sz w:val="15"/>
                          <w:szCs w:val="15"/>
                        </w:rPr>
                      </w:pPr>
                      <w:r>
                        <w:rPr>
                          <w:rFonts w:hint="eastAsia" w:ascii="宋体" w:hAnsi="宋体"/>
                          <w:sz w:val="18"/>
                          <w:szCs w:val="18"/>
                        </w:rPr>
                        <w:t>图</w:t>
                      </w:r>
                      <w:r>
                        <w:rPr>
                          <w:rFonts w:ascii="宋体" w:hAnsi="宋体"/>
                          <w:sz w:val="18"/>
                          <w:szCs w:val="18"/>
                        </w:rPr>
                        <w:t>4</w:t>
                      </w:r>
                      <w:r>
                        <w:rPr>
                          <w:rFonts w:hint="eastAsia" w:ascii="宋体" w:hAnsi="宋体"/>
                          <w:sz w:val="18"/>
                          <w:szCs w:val="18"/>
                        </w:rPr>
                        <w:t xml:space="preserve"> 有限范围填土土压力计算</w:t>
                      </w:r>
                    </w:p>
                  </w:txbxContent>
                </v:textbox>
                <w10:wrap type="tight"/>
              </v:rect>
            </w:pict>
          </mc:Fallback>
        </mc:AlternateContent>
      </w:r>
      <w:r>
        <w:rPr>
          <w:b/>
          <w:color w:val="auto"/>
          <w:spacing w:val="-4"/>
          <w:szCs w:val="21"/>
        </w:rPr>
        <w:t>10.5.</w:t>
      </w:r>
      <w:r>
        <w:rPr>
          <w:rFonts w:hint="eastAsia"/>
          <w:b/>
          <w:color w:val="auto"/>
          <w:spacing w:val="-4"/>
          <w:szCs w:val="21"/>
        </w:rPr>
        <w:t>22</w:t>
      </w:r>
      <w:r>
        <w:rPr>
          <w:color w:val="auto"/>
          <w:spacing w:val="-4"/>
          <w:szCs w:val="21"/>
        </w:rPr>
        <w:t xml:space="preserve">  当挡土结构后缘有较陡峻的稳定岩石坡面，岩坡的坡角</w:t>
      </w:r>
      <w:r>
        <w:rPr>
          <w:i/>
          <w:color w:val="auto"/>
          <w:spacing w:val="-4"/>
          <w:szCs w:val="21"/>
        </w:rPr>
        <w:t>θ</w:t>
      </w:r>
      <w:r>
        <w:rPr>
          <w:color w:val="auto"/>
          <w:spacing w:val="-4"/>
          <w:szCs w:val="21"/>
        </w:rPr>
        <w:t>＞45°+</w:t>
      </w:r>
      <w:r>
        <w:rPr>
          <w:i/>
          <w:color w:val="auto"/>
          <w:spacing w:val="-4"/>
          <w:szCs w:val="21"/>
        </w:rPr>
        <w:t>φ</w:t>
      </w:r>
      <w:r>
        <w:rPr>
          <w:color w:val="auto"/>
          <w:spacing w:val="-4"/>
          <w:szCs w:val="21"/>
        </w:rPr>
        <w:t>/2时（图4），应按</w:t>
      </w:r>
      <w:r>
        <w:rPr>
          <w:rFonts w:hint="eastAsia"/>
          <w:color w:val="auto"/>
          <w:lang w:val="en-US" w:eastAsia="zh-CN"/>
        </w:rPr>
        <w:t>公式（54）</w:t>
      </w:r>
      <w:r>
        <w:rPr>
          <w:color w:val="auto"/>
          <w:spacing w:val="-4"/>
          <w:szCs w:val="21"/>
        </w:rPr>
        <w:t>（有限范围填土）计算土压力</w:t>
      </w:r>
      <w:r>
        <w:rPr>
          <w:color w:val="auto"/>
          <w:szCs w:val="21"/>
        </w:rPr>
        <w:t>系数。</w:t>
      </w:r>
    </w:p>
    <w:p w14:paraId="1A11358C">
      <w:pPr>
        <w:pStyle w:val="12"/>
        <w:jc w:val="right"/>
        <w:rPr>
          <w:color w:val="auto"/>
          <w:szCs w:val="21"/>
        </w:rPr>
      </w:pPr>
      <w:r>
        <w:rPr>
          <w:color w:val="auto"/>
          <w:szCs w:val="21"/>
        </w:rPr>
        <mc:AlternateContent>
          <mc:Choice Requires="wps">
            <w:drawing>
              <wp:anchor distT="0" distB="0" distL="114300" distR="114300" simplePos="0" relativeHeight="251670528" behindDoc="0" locked="0" layoutInCell="1" allowOverlap="1">
                <wp:simplePos x="0" y="0"/>
                <wp:positionH relativeFrom="column">
                  <wp:posOffset>3926840</wp:posOffset>
                </wp:positionH>
                <wp:positionV relativeFrom="paragraph">
                  <wp:posOffset>272415</wp:posOffset>
                </wp:positionV>
                <wp:extent cx="2108835" cy="1727200"/>
                <wp:effectExtent l="0" t="3175" r="0" b="3175"/>
                <wp:wrapNone/>
                <wp:docPr id="315" name="矩形 315"/>
                <wp:cNvGraphicFramePr/>
                <a:graphic xmlns:a="http://schemas.openxmlformats.org/drawingml/2006/main">
                  <a:graphicData uri="http://schemas.microsoft.com/office/word/2010/wordprocessingShape">
                    <wps:wsp>
                      <wps:cNvSpPr>
                        <a:spLocks noChangeArrowheads="1"/>
                      </wps:cNvSpPr>
                      <wps:spPr bwMode="auto">
                        <a:xfrm>
                          <a:off x="0" y="0"/>
                          <a:ext cx="2108835" cy="1727200"/>
                        </a:xfrm>
                        <a:prstGeom prst="rect">
                          <a:avLst/>
                        </a:prstGeom>
                        <a:no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9.2pt;margin-top:21.45pt;height:136pt;width:166.05pt;z-index:251670528;mso-width-relative:page;mso-height-relative:page;" filled="f" stroked="f" coordsize="21600,21600" o:gfxdata="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SUUMDbAAAACgEAAA8AAAAAAAAA&#10;AQAgAAAAIgAAAGRycy9kb3ducmV2LnhtbFBLAQIUABQAAAAIAIdO4kBXUck+DgIAABAEAAAOAAAA&#10;AAAAAAEAIAAAACoBAABkcnMvZTJvRG9jLnhtbFBLBQYAAAAABgAGAFkBAACqBQAAAAA=&#10;">
                <v:fill on="f" focussize="0,0"/>
                <v:stroke on="f"/>
                <v:imagedata o:title=""/>
                <o:lock v:ext="edit" aspectratio="f"/>
              </v:rect>
            </w:pict>
          </mc:Fallback>
        </mc:AlternateContent>
      </w:r>
      <w:r>
        <w:rPr>
          <w:color w:val="auto"/>
          <w:position w:val="-30"/>
          <w:szCs w:val="21"/>
        </w:rPr>
        <w:object>
          <v:shape id="_x0000_i1256" o:spt="75" type="#_x0000_t75" style="height:28.5pt;width:275.25pt;" o:ole="t" filled="f" o:preferrelative="t" stroked="f" coordsize="21600,21600">
            <v:path/>
            <v:fill on="f" focussize="0,0"/>
            <v:stroke on="f" joinstyle="miter"/>
            <v:imagedata r:id="rId453" o:title=""/>
            <o:lock v:ext="edit" aspectratio="t"/>
            <w10:wrap type="none"/>
            <w10:anchorlock/>
          </v:shape>
          <o:OLEObject Type="Embed" ProgID="Equation.DSMT4" ShapeID="_x0000_i1256" DrawAspect="Content" ObjectID="_1468075956" r:id="rId45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54</w:t>
      </w:r>
      <w:r>
        <w:rPr>
          <w:color w:val="auto"/>
          <w:szCs w:val="21"/>
        </w:rPr>
        <w:fldChar w:fldCharType="end"/>
      </w:r>
      <w:r>
        <w:rPr>
          <w:color w:val="auto"/>
          <w:szCs w:val="21"/>
        </w:rPr>
        <w:t>)</w:t>
      </w:r>
    </w:p>
    <w:p w14:paraId="3F45172B">
      <w:pPr>
        <w:adjustRightInd w:val="0"/>
        <w:snapToGrid w:val="0"/>
        <w:spacing w:line="340" w:lineRule="atLeast"/>
        <w:rPr>
          <w:color w:val="auto"/>
          <w:spacing w:val="-4"/>
          <w:szCs w:val="21"/>
        </w:rPr>
      </w:pPr>
      <w:r>
        <w:rPr>
          <w:color w:val="auto"/>
          <w:szCs w:val="21"/>
        </w:rPr>
        <mc:AlternateContent>
          <mc:Choice Requires="wps">
            <w:drawing>
              <wp:anchor distT="0" distB="0" distL="114300" distR="114300" simplePos="0" relativeHeight="251669504" behindDoc="0" locked="0" layoutInCell="1" allowOverlap="1">
                <wp:simplePos x="0" y="0"/>
                <wp:positionH relativeFrom="column">
                  <wp:posOffset>4114800</wp:posOffset>
                </wp:positionH>
                <wp:positionV relativeFrom="paragraph">
                  <wp:posOffset>90170</wp:posOffset>
                </wp:positionV>
                <wp:extent cx="1600200" cy="1783080"/>
                <wp:effectExtent l="0" t="0" r="2540" b="2540"/>
                <wp:wrapNone/>
                <wp:docPr id="314" name="矩形 314"/>
                <wp:cNvGraphicFramePr/>
                <a:graphic xmlns:a="http://schemas.openxmlformats.org/drawingml/2006/main">
                  <a:graphicData uri="http://schemas.microsoft.com/office/word/2010/wordprocessingShape">
                    <wps:wsp>
                      <wps:cNvSpPr>
                        <a:spLocks noChangeArrowheads="1"/>
                      </wps:cNvSpPr>
                      <wps:spPr bwMode="auto">
                        <a:xfrm>
                          <a:off x="0" y="0"/>
                          <a:ext cx="1600200" cy="1783080"/>
                        </a:xfrm>
                        <a:prstGeom prst="rect">
                          <a:avLst/>
                        </a:prstGeom>
                        <a:no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24pt;margin-top:7.1pt;height:140.4pt;width:126pt;z-index:251669504;mso-width-relative:page;mso-height-relative:page;" filled="f" stroked="f" coordsize="21600,21600" o:gfxdata="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wPDxdoAAAAKAQAADwAAAAAAAAAB&#10;ACAAAAAiAAAAZHJzL2Rvd25yZXYueG1sUEsBAhQAFAAAAAgAh07iQG1xQIAOAgAAEAQAAA4AAAAA&#10;AAAAAQAgAAAAKQEAAGRycy9lMm9Eb2MueG1sUEsFBgAAAAAGAAYAWQEAAKkFAAAAAA==&#10;">
                <v:fill on="f" focussize="0,0"/>
                <v:stroke on="f"/>
                <v:imagedata o:title=""/>
                <o:lock v:ext="edit" aspectratio="f"/>
              </v:rect>
            </w:pict>
          </mc:Fallback>
        </mc:AlternateContent>
      </w:r>
      <w:r>
        <w:rPr>
          <w:color w:val="auto"/>
          <w:szCs w:val="21"/>
        </w:rPr>
        <w:t xml:space="preserve">式中  </w:t>
      </w:r>
      <w:r>
        <w:rPr>
          <w:color w:val="auto"/>
          <w:spacing w:val="-4"/>
          <w:position w:val="-6"/>
          <w:szCs w:val="21"/>
        </w:rPr>
        <w:object>
          <v:shape id="_x0000_i1257" o:spt="75" type="#_x0000_t75" style="height:15pt;width:8.25pt;" o:ole="t" filled="f" o:preferrelative="t" stroked="f" coordsize="21600,21600">
            <v:path/>
            <v:fill on="f" focussize="0,0"/>
            <v:stroke on="f" joinstyle="miter"/>
            <v:imagedata r:id="rId450" o:title=""/>
            <o:lock v:ext="edit" aspectratio="t"/>
            <w10:wrap type="none"/>
            <w10:anchorlock/>
          </v:shape>
          <o:OLEObject Type="Embed" ProgID="Equation.DSMT4" ShapeID="_x0000_i1257" DrawAspect="Content" ObjectID="_1468075957" r:id="rId454">
            <o:LockedField>false</o:LockedField>
          </o:OLEObject>
        </w:object>
      </w:r>
      <w:r>
        <w:rPr>
          <w:color w:val="auto"/>
          <w:spacing w:val="-4"/>
          <w:szCs w:val="21"/>
        </w:rPr>
        <w:t>——稳定岩石坡面的倾角（°）；</w:t>
      </w:r>
    </w:p>
    <w:p w14:paraId="258F40E0">
      <w:pPr>
        <w:adjustRightInd w:val="0"/>
        <w:snapToGrid w:val="0"/>
        <w:spacing w:line="340" w:lineRule="exact"/>
        <w:ind w:left="1245" w:leftChars="320" w:hanging="573" w:hangingChars="273"/>
        <w:rPr>
          <w:color w:val="auto"/>
          <w:szCs w:val="21"/>
        </w:rPr>
      </w:pPr>
      <w:r>
        <w:rPr>
          <w:i/>
          <w:color w:val="auto"/>
          <w:szCs w:val="21"/>
        </w:rPr>
        <w:t>δ</w:t>
      </w:r>
      <w:r>
        <w:rPr>
          <w:iCs/>
          <w:color w:val="auto"/>
          <w:szCs w:val="21"/>
          <w:vertAlign w:val="subscript"/>
        </w:rPr>
        <w:t>r</w:t>
      </w:r>
      <w:r>
        <w:rPr>
          <w:color w:val="auto"/>
          <w:szCs w:val="21"/>
        </w:rPr>
        <w:t>——稳定岩石坡面与填土间的摩擦角（°），根据试验确定。当无试验资料时可取</w:t>
      </w:r>
      <w:r>
        <w:rPr>
          <w:i/>
          <w:color w:val="auto"/>
          <w:szCs w:val="21"/>
        </w:rPr>
        <w:t>δ</w:t>
      </w:r>
      <w:r>
        <w:rPr>
          <w:iCs/>
          <w:color w:val="auto"/>
          <w:szCs w:val="21"/>
          <w:vertAlign w:val="subscript"/>
        </w:rPr>
        <w:t>r</w:t>
      </w:r>
      <w:r>
        <w:rPr>
          <w:color w:val="auto"/>
          <w:szCs w:val="21"/>
        </w:rPr>
        <w:t xml:space="preserve"> =</w:t>
      </w:r>
      <w:r>
        <w:rPr>
          <w:rFonts w:hint="eastAsia"/>
          <w:color w:val="auto"/>
          <w:szCs w:val="21"/>
        </w:rPr>
        <w:t>（0.4~0.7）</w:t>
      </w:r>
      <w:r>
        <w:rPr>
          <w:color w:val="auto"/>
          <w:position w:val="-12"/>
          <w:szCs w:val="21"/>
        </w:rPr>
        <w:object>
          <v:shape id="_x0000_i1258" o:spt="75" type="#_x0000_t75" style="height:21.75pt;width:15pt;" o:ole="t" filled="f" o:preferrelative="t" stroked="f" coordsize="21600,21600">
            <v:path/>
            <v:fill on="f" focussize="0,0"/>
            <v:stroke on="f" joinstyle="miter"/>
            <v:imagedata r:id="rId456" o:title=""/>
            <o:lock v:ext="edit" aspectratio="t"/>
            <w10:wrap type="none"/>
            <w10:anchorlock/>
          </v:shape>
          <o:OLEObject Type="Embed" ProgID="Equation.DSMT4" ShapeID="_x0000_i1258" DrawAspect="Content" ObjectID="_1468075958" r:id="rId455">
            <o:LockedField>false</o:LockedField>
          </o:OLEObject>
        </w:object>
      </w:r>
      <w:r>
        <w:rPr>
          <w:color w:val="auto"/>
          <w:szCs w:val="21"/>
        </w:rPr>
        <w:t>，</w:t>
      </w:r>
      <w:r>
        <w:rPr>
          <w:color w:val="auto"/>
          <w:position w:val="-12"/>
          <w:szCs w:val="21"/>
        </w:rPr>
        <w:object>
          <v:shape id="_x0000_i1259" o:spt="75" type="#_x0000_t75" style="height:21.75pt;width:15pt;" o:ole="t" filled="f" o:preferrelative="t" stroked="f" coordsize="21600,21600">
            <v:path/>
            <v:fill on="f" focussize="0,0"/>
            <v:stroke on="f" joinstyle="miter"/>
            <v:imagedata r:id="rId456" o:title=""/>
            <o:lock v:ext="edit" aspectratio="t"/>
            <w10:wrap type="none"/>
            <w10:anchorlock/>
          </v:shape>
          <o:OLEObject Type="Embed" ProgID="Equation.DSMT4" ShapeID="_x0000_i1259" DrawAspect="Content" ObjectID="_1468075959" r:id="rId457">
            <o:LockedField>false</o:LockedField>
          </o:OLEObject>
        </w:object>
      </w:r>
      <w:r>
        <w:rPr>
          <w:color w:val="auto"/>
          <w:szCs w:val="21"/>
        </w:rPr>
        <w:t>为填土内摩擦角标准值（°），砂类土取高值。</w:t>
      </w:r>
    </w:p>
    <w:p w14:paraId="778DE661">
      <w:pPr>
        <w:adjustRightInd w:val="0"/>
        <w:snapToGrid w:val="0"/>
        <w:spacing w:line="340" w:lineRule="exact"/>
        <w:rPr>
          <w:color w:val="auto"/>
          <w:szCs w:val="21"/>
        </w:rPr>
      </w:pPr>
      <w:r>
        <w:rPr>
          <w:b/>
          <w:color w:val="auto"/>
          <w:szCs w:val="21"/>
        </w:rPr>
        <w:t>10.5.</w:t>
      </w:r>
      <w:r>
        <w:rPr>
          <w:rFonts w:hint="eastAsia"/>
          <w:b/>
          <w:color w:val="auto"/>
          <w:szCs w:val="21"/>
        </w:rPr>
        <w:t>23</w:t>
      </w:r>
      <w:r>
        <w:rPr>
          <w:color w:val="auto"/>
          <w:szCs w:val="21"/>
        </w:rPr>
        <w:t xml:space="preserve">  重力式挡墙的抗滑稳定性应按</w:t>
      </w:r>
      <w:r>
        <w:rPr>
          <w:rFonts w:hint="eastAsia"/>
          <w:color w:val="auto"/>
          <w:lang w:val="en-US" w:eastAsia="zh-CN"/>
        </w:rPr>
        <w:t>公式（55）</w:t>
      </w:r>
      <w:r>
        <w:rPr>
          <w:color w:val="auto"/>
          <w:szCs w:val="21"/>
        </w:rPr>
        <w:t>验算：</w:t>
      </w:r>
    </w:p>
    <w:p w14:paraId="423E9EDB">
      <w:pPr>
        <w:pStyle w:val="12"/>
        <w:jc w:val="right"/>
        <w:rPr>
          <w:color w:val="auto"/>
          <w:szCs w:val="21"/>
        </w:rPr>
      </w:pPr>
      <w:r>
        <w:rPr>
          <w:color w:val="auto"/>
          <w:position w:val="-30"/>
          <w:szCs w:val="21"/>
        </w:rPr>
        <w:object>
          <v:shape id="_x0000_i1260" o:spt="75" type="#_x0000_t75" style="height:28.5pt;width:70.5pt;" o:ole="t" filled="f" o:preferrelative="t" stroked="f" coordsize="21600,21600">
            <v:path/>
            <v:fill on="f" focussize="0,0"/>
            <v:stroke on="f" joinstyle="miter"/>
            <v:imagedata r:id="rId459" o:title=""/>
            <o:lock v:ext="edit" aspectratio="t"/>
            <w10:wrap type="none"/>
            <w10:anchorlock/>
          </v:shape>
          <o:OLEObject Type="Embed" ProgID="Equation.DSMT4" ShapeID="_x0000_i1260" DrawAspect="Content" ObjectID="_1468075960" r:id="rId458">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55</w:t>
      </w:r>
      <w:r>
        <w:rPr>
          <w:color w:val="auto"/>
          <w:szCs w:val="21"/>
        </w:rPr>
        <w:fldChar w:fldCharType="end"/>
      </w:r>
      <w:r>
        <w:rPr>
          <w:color w:val="auto"/>
          <w:szCs w:val="21"/>
        </w:rPr>
        <w:t>)</w:t>
      </w:r>
    </w:p>
    <w:p w14:paraId="0B333946">
      <w:pPr>
        <w:adjustRightInd w:val="0"/>
        <w:snapToGrid w:val="0"/>
        <w:spacing w:line="360" w:lineRule="atLeast"/>
        <w:ind w:firstLine="1260" w:firstLineChars="600"/>
        <w:rPr>
          <w:color w:val="auto"/>
          <w:szCs w:val="21"/>
        </w:rPr>
      </w:pPr>
      <w:r>
        <w:rPr>
          <w:color w:val="auto"/>
          <w:szCs w:val="21"/>
        </w:rPr>
        <mc:AlternateContent>
          <mc:Choice Requires="wps">
            <w:drawing>
              <wp:anchor distT="0" distB="0" distL="114300" distR="114300" simplePos="0" relativeHeight="251669504" behindDoc="1" locked="0" layoutInCell="1" allowOverlap="1">
                <wp:simplePos x="0" y="0"/>
                <wp:positionH relativeFrom="column">
                  <wp:posOffset>3698240</wp:posOffset>
                </wp:positionH>
                <wp:positionV relativeFrom="paragraph">
                  <wp:posOffset>212725</wp:posOffset>
                </wp:positionV>
                <wp:extent cx="2052320" cy="1917065"/>
                <wp:effectExtent l="0" t="0" r="0" b="0"/>
                <wp:wrapTight wrapText="bothSides">
                  <wp:wrapPolygon>
                    <wp:start x="0" y="0"/>
                    <wp:lineTo x="21600" y="0"/>
                    <wp:lineTo x="21600" y="21600"/>
                    <wp:lineTo x="0" y="21600"/>
                    <wp:lineTo x="0" y="0"/>
                  </wp:wrapPolygon>
                </wp:wrapTight>
                <wp:docPr id="313" name="矩形 313"/>
                <wp:cNvGraphicFramePr/>
                <a:graphic xmlns:a="http://schemas.openxmlformats.org/drawingml/2006/main">
                  <a:graphicData uri="http://schemas.microsoft.com/office/word/2010/wordprocessingShape">
                    <wps:wsp>
                      <wps:cNvSpPr>
                        <a:spLocks noChangeArrowheads="1"/>
                      </wps:cNvSpPr>
                      <wps:spPr bwMode="auto">
                        <a:xfrm>
                          <a:off x="0" y="0"/>
                          <a:ext cx="2052320" cy="1917065"/>
                        </a:xfrm>
                        <a:prstGeom prst="rect">
                          <a:avLst/>
                        </a:prstGeom>
                        <a:noFill/>
                        <a:ln>
                          <a:noFill/>
                        </a:ln>
                        <a:effectLst/>
                      </wps:spPr>
                      <wps:txbx>
                        <w:txbxContent>
                          <w:p w14:paraId="1BEAE937">
                            <w:pPr>
                              <w:jc w:val="center"/>
                            </w:pPr>
                            <w:r>
                              <w:rPr>
                                <w:rFonts w:hint="eastAsia"/>
                                <w:sz w:val="18"/>
                                <w:szCs w:val="18"/>
                              </w:rPr>
                              <w:t xml:space="preserve"> </w:t>
                            </w:r>
                            <w:r>
                              <w:rPr>
                                <w:sz w:val="18"/>
                                <w:szCs w:val="18"/>
                              </w:rPr>
                              <w:drawing>
                                <wp:inline distT="0" distB="0" distL="0" distR="0">
                                  <wp:extent cx="1314450" cy="1333500"/>
                                  <wp:effectExtent l="0" t="0" r="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a:xfrm>
                                            <a:off x="0" y="0"/>
                                            <a:ext cx="1314450" cy="1333500"/>
                                          </a:xfrm>
                                          <a:prstGeom prst="rect">
                                            <a:avLst/>
                                          </a:prstGeom>
                                          <a:noFill/>
                                          <a:ln>
                                            <a:noFill/>
                                          </a:ln>
                                        </pic:spPr>
                                      </pic:pic>
                                    </a:graphicData>
                                  </a:graphic>
                                </wp:inline>
                              </w:drawing>
                            </w:r>
                          </w:p>
                          <w:p w14:paraId="404BB974">
                            <w:pPr>
                              <w:snapToGrid w:val="0"/>
                              <w:spacing w:before="120"/>
                              <w:jc w:val="center"/>
                              <w:rPr>
                                <w:rFonts w:ascii="宋体" w:hAnsi="宋体"/>
                                <w:b/>
                                <w:sz w:val="18"/>
                                <w:szCs w:val="18"/>
                              </w:rPr>
                            </w:pPr>
                            <w:r>
                              <w:rPr>
                                <w:rFonts w:hint="eastAsia" w:ascii="黑体" w:eastAsia="黑体"/>
                                <w:b/>
                                <w:sz w:val="18"/>
                                <w:szCs w:val="18"/>
                              </w:rPr>
                              <w:t xml:space="preserve"> </w:t>
                            </w:r>
                            <w:r>
                              <w:rPr>
                                <w:rFonts w:hint="eastAsia" w:ascii="宋体" w:hAnsi="宋体"/>
                                <w:b/>
                                <w:sz w:val="18"/>
                                <w:szCs w:val="18"/>
                              </w:rPr>
                              <w:t>图</w:t>
                            </w:r>
                            <w:r>
                              <w:rPr>
                                <w:b/>
                                <w:sz w:val="18"/>
                                <w:szCs w:val="18"/>
                              </w:rPr>
                              <w:t>5</w:t>
                            </w:r>
                            <w:r>
                              <w:rPr>
                                <w:rFonts w:hint="eastAsia" w:ascii="宋体" w:hAnsi="宋体"/>
                                <w:b/>
                                <w:sz w:val="18"/>
                                <w:szCs w:val="18"/>
                              </w:rPr>
                              <w:t xml:space="preserve">  挡土墙抗滑稳定性验算示意</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1.2pt;margin-top:16.75pt;height:150.95pt;width:161.6pt;mso-wrap-distance-left:9pt;mso-wrap-distance-right:9pt;z-index:-251646976;mso-width-relative:page;mso-height-relative:page;" filled="f" stroked="f" coordsize="21600,21600" wrapcoords="0 0 21600 0 21600 21600 0 21600 0 0" o:gfxdata="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BRg+XbAAAACgEAAA8A&#10;AAAAAAAAAQAgAAAAIgAAAGRycy9kb3ducmV2LnhtbFBLAQIUABQAAAAIAIdO4kBBzzF1FAIAABsE&#10;AAAOAAAAAAAAAAEAIAAAACoBAABkcnMvZTJvRG9jLnhtbFBLBQYAAAAABgAGAFkBAACwBQAAAAA=&#10;">
                <v:fill on="f" focussize="0,0"/>
                <v:stroke on="f"/>
                <v:imagedata o:title=""/>
                <o:lock v:ext="edit" aspectratio="f"/>
                <v:textbox>
                  <w:txbxContent>
                    <w:p w14:paraId="1BEAE937">
                      <w:pPr>
                        <w:jc w:val="center"/>
                      </w:pPr>
                      <w:r>
                        <w:rPr>
                          <w:rFonts w:hint="eastAsia"/>
                          <w:sz w:val="18"/>
                          <w:szCs w:val="18"/>
                        </w:rPr>
                        <w:t xml:space="preserve"> </w:t>
                      </w:r>
                      <w:r>
                        <w:rPr>
                          <w:sz w:val="18"/>
                          <w:szCs w:val="18"/>
                        </w:rPr>
                        <w:drawing>
                          <wp:inline distT="0" distB="0" distL="0" distR="0">
                            <wp:extent cx="1314450" cy="1333500"/>
                            <wp:effectExtent l="0" t="0" r="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a:xfrm>
                                      <a:off x="0" y="0"/>
                                      <a:ext cx="1314450" cy="1333500"/>
                                    </a:xfrm>
                                    <a:prstGeom prst="rect">
                                      <a:avLst/>
                                    </a:prstGeom>
                                    <a:noFill/>
                                    <a:ln>
                                      <a:noFill/>
                                    </a:ln>
                                  </pic:spPr>
                                </pic:pic>
                              </a:graphicData>
                            </a:graphic>
                          </wp:inline>
                        </w:drawing>
                      </w:r>
                    </w:p>
                    <w:p w14:paraId="404BB974">
                      <w:pPr>
                        <w:snapToGrid w:val="0"/>
                        <w:spacing w:before="120"/>
                        <w:jc w:val="center"/>
                        <w:rPr>
                          <w:rFonts w:ascii="宋体" w:hAnsi="宋体"/>
                          <w:b/>
                          <w:sz w:val="18"/>
                          <w:szCs w:val="18"/>
                        </w:rPr>
                      </w:pPr>
                      <w:r>
                        <w:rPr>
                          <w:rFonts w:hint="eastAsia" w:ascii="黑体" w:eastAsia="黑体"/>
                          <w:b/>
                          <w:sz w:val="18"/>
                          <w:szCs w:val="18"/>
                        </w:rPr>
                        <w:t xml:space="preserve"> </w:t>
                      </w:r>
                      <w:r>
                        <w:rPr>
                          <w:rFonts w:hint="eastAsia" w:ascii="宋体" w:hAnsi="宋体"/>
                          <w:b/>
                          <w:sz w:val="18"/>
                          <w:szCs w:val="18"/>
                        </w:rPr>
                        <w:t>图</w:t>
                      </w:r>
                      <w:r>
                        <w:rPr>
                          <w:b/>
                          <w:sz w:val="18"/>
                          <w:szCs w:val="18"/>
                        </w:rPr>
                        <w:t>5</w:t>
                      </w:r>
                      <w:r>
                        <w:rPr>
                          <w:rFonts w:hint="eastAsia" w:ascii="宋体" w:hAnsi="宋体"/>
                          <w:b/>
                          <w:sz w:val="18"/>
                          <w:szCs w:val="18"/>
                        </w:rPr>
                        <w:t xml:space="preserve">  挡土墙抗滑稳定性验算示意</w:t>
                      </w:r>
                    </w:p>
                  </w:txbxContent>
                </v:textbox>
                <w10:wrap type="tight"/>
              </v:rect>
            </w:pict>
          </mc:Fallback>
        </mc:AlternateContent>
      </w:r>
      <w:r>
        <w:rPr>
          <w:color w:val="auto"/>
          <w:position w:val="-12"/>
          <w:szCs w:val="21"/>
        </w:rPr>
        <w:object>
          <v:shape id="_x0000_i1261" o:spt="75" type="#_x0000_t75" style="height:21.75pt;width:64.5pt;" o:ole="t" filled="f" o:preferrelative="t" stroked="f" coordsize="21600,21600">
            <v:path/>
            <v:fill on="f" focussize="0,0"/>
            <v:stroke on="f" joinstyle="miter"/>
            <v:imagedata r:id="rId462" o:title=""/>
            <o:lock v:ext="edit" aspectratio="t"/>
            <w10:wrap type="none"/>
            <w10:anchorlock/>
          </v:shape>
          <o:OLEObject Type="Embed" ProgID="Equation.DSMT4" ShapeID="_x0000_i1261" DrawAspect="Content" ObjectID="_1468075961" r:id="rId461">
            <o:LockedField>false</o:LockedField>
          </o:OLEObject>
        </w:object>
      </w:r>
    </w:p>
    <w:p w14:paraId="5AB87CA0">
      <w:pPr>
        <w:adjustRightInd w:val="0"/>
        <w:snapToGrid w:val="0"/>
        <w:spacing w:line="360" w:lineRule="atLeast"/>
        <w:ind w:firstLine="1260" w:firstLineChars="600"/>
        <w:rPr>
          <w:color w:val="auto"/>
          <w:szCs w:val="21"/>
        </w:rPr>
      </w:pPr>
      <w:r>
        <w:rPr>
          <w:color w:val="auto"/>
          <w:position w:val="-12"/>
          <w:szCs w:val="21"/>
        </w:rPr>
        <w:object>
          <v:shape id="_x0000_i1262" o:spt="75" type="#_x0000_t75" style="height:21.75pt;width:57.75pt;" o:ole="t" filled="f" o:preferrelative="t" stroked="f" coordsize="21600,21600">
            <v:path/>
            <v:fill on="f" focussize="0,0"/>
            <v:stroke on="f" joinstyle="miter"/>
            <v:imagedata r:id="rId464" o:title=""/>
            <o:lock v:ext="edit" aspectratio="t"/>
            <w10:wrap type="none"/>
            <w10:anchorlock/>
          </v:shape>
          <o:OLEObject Type="Embed" ProgID="Equation.DSMT4" ShapeID="_x0000_i1262" DrawAspect="Content" ObjectID="_1468075962" r:id="rId463">
            <o:LockedField>false</o:LockedField>
          </o:OLEObject>
        </w:object>
      </w:r>
    </w:p>
    <w:p w14:paraId="2949F57C">
      <w:pPr>
        <w:adjustRightInd w:val="0"/>
        <w:snapToGrid w:val="0"/>
        <w:spacing w:line="360" w:lineRule="atLeast"/>
        <w:ind w:firstLine="1203" w:firstLineChars="573"/>
        <w:rPr>
          <w:color w:val="auto"/>
          <w:szCs w:val="21"/>
        </w:rPr>
      </w:pPr>
      <w:r>
        <w:rPr>
          <w:color w:val="auto"/>
          <w:position w:val="-12"/>
          <w:szCs w:val="21"/>
        </w:rPr>
        <w:object>
          <v:shape id="_x0000_i1263" o:spt="75" type="#_x0000_t75" style="height:21.75pt;width:108pt;" o:ole="t" filled="f" o:preferrelative="t" stroked="f" coordsize="21600,21600">
            <v:path/>
            <v:fill on="f" focussize="0,0"/>
            <v:stroke on="f" joinstyle="miter"/>
            <v:imagedata r:id="rId466" o:title=""/>
            <o:lock v:ext="edit" aspectratio="t"/>
            <w10:wrap type="none"/>
            <w10:anchorlock/>
          </v:shape>
          <o:OLEObject Type="Embed" ProgID="Equation.DSMT4" ShapeID="_x0000_i1263" DrawAspect="Content" ObjectID="_1468075963" r:id="rId465">
            <o:LockedField>false</o:LockedField>
          </o:OLEObject>
        </w:object>
      </w:r>
    </w:p>
    <w:p w14:paraId="530586C8">
      <w:pPr>
        <w:adjustRightInd w:val="0"/>
        <w:snapToGrid w:val="0"/>
        <w:spacing w:line="360" w:lineRule="atLeast"/>
        <w:ind w:firstLine="1188" w:firstLineChars="566"/>
        <w:rPr>
          <w:color w:val="auto"/>
          <w:szCs w:val="21"/>
        </w:rPr>
      </w:pPr>
      <w:r>
        <w:rPr>
          <w:color w:val="auto"/>
          <w:position w:val="-12"/>
          <w:szCs w:val="21"/>
        </w:rPr>
        <w:object>
          <v:shape id="_x0000_i1264" o:spt="75" type="#_x0000_t75" style="height:21.75pt;width:108pt;" o:ole="t" filled="f" o:preferrelative="t" stroked="f" coordsize="21600,21600">
            <v:path/>
            <v:fill on="f" focussize="0,0"/>
            <v:stroke on="f" joinstyle="miter"/>
            <v:imagedata r:id="rId468" o:title=""/>
            <o:lock v:ext="edit" aspectratio="t"/>
            <w10:wrap type="none"/>
            <w10:anchorlock/>
          </v:shape>
          <o:OLEObject Type="Embed" ProgID="Equation.DSMT4" ShapeID="_x0000_i1264" DrawAspect="Content" ObjectID="_1468075964" r:id="rId467">
            <o:LockedField>false</o:LockedField>
          </o:OLEObject>
        </w:object>
      </w:r>
    </w:p>
    <w:p w14:paraId="720B24DA">
      <w:pPr>
        <w:adjustRightInd w:val="0"/>
        <w:snapToGrid w:val="0"/>
        <w:spacing w:line="360" w:lineRule="atLeast"/>
        <w:rPr>
          <w:color w:val="auto"/>
          <w:szCs w:val="21"/>
        </w:rPr>
      </w:pPr>
      <w:r>
        <w:rPr>
          <w:color w:val="auto"/>
          <w:szCs w:val="21"/>
        </w:rPr>
        <w:t xml:space="preserve">式中： </w:t>
      </w:r>
      <w:r>
        <w:rPr>
          <w:i/>
          <w:color w:val="auto"/>
          <w:szCs w:val="21"/>
        </w:rPr>
        <w:t>G</w:t>
      </w:r>
      <w:r>
        <w:rPr>
          <w:color w:val="auto"/>
          <w:szCs w:val="21"/>
        </w:rPr>
        <w:t>——挡土墙每延米自重（kN）；</w:t>
      </w:r>
    </w:p>
    <w:p w14:paraId="6097243A">
      <w:pPr>
        <w:adjustRightInd w:val="0"/>
        <w:snapToGrid w:val="0"/>
        <w:spacing w:line="360" w:lineRule="atLeast"/>
        <w:ind w:firstLine="697" w:firstLineChars="332"/>
        <w:rPr>
          <w:color w:val="auto"/>
          <w:szCs w:val="21"/>
        </w:rPr>
      </w:pPr>
      <w:r>
        <w:rPr>
          <w:i/>
          <w:color w:val="auto"/>
          <w:szCs w:val="21"/>
        </w:rPr>
        <w:t>α</w:t>
      </w:r>
      <w:r>
        <w:rPr>
          <w:color w:val="auto"/>
          <w:szCs w:val="21"/>
          <w:vertAlign w:val="subscript"/>
        </w:rPr>
        <w:t>0</w:t>
      </w:r>
      <w:r>
        <w:rPr>
          <w:color w:val="auto"/>
          <w:szCs w:val="21"/>
        </w:rPr>
        <w:t>——挡土墙基底的倾角（°）；</w:t>
      </w:r>
    </w:p>
    <w:p w14:paraId="54C8CD0E">
      <w:pPr>
        <w:adjustRightInd w:val="0"/>
        <w:snapToGrid w:val="0"/>
        <w:spacing w:line="360" w:lineRule="atLeast"/>
        <w:ind w:firstLine="756" w:firstLineChars="360"/>
        <w:rPr>
          <w:color w:val="auto"/>
          <w:szCs w:val="21"/>
        </w:rPr>
      </w:pPr>
      <w:r>
        <w:rPr>
          <w:i/>
          <w:color w:val="auto"/>
          <w:szCs w:val="21"/>
        </w:rPr>
        <w:t>α</w:t>
      </w:r>
      <w:r>
        <w:rPr>
          <w:color w:val="auto"/>
          <w:szCs w:val="21"/>
        </w:rPr>
        <w:t>——挡土墙墙背的倾角（°）；</w:t>
      </w:r>
    </w:p>
    <w:p w14:paraId="3E1A6896">
      <w:pPr>
        <w:adjustRightInd w:val="0"/>
        <w:snapToGrid w:val="0"/>
        <w:spacing w:line="360" w:lineRule="atLeast"/>
        <w:ind w:left="1314" w:leftChars="360" w:hanging="558" w:hangingChars="266"/>
        <w:rPr>
          <w:color w:val="auto"/>
          <w:szCs w:val="21"/>
        </w:rPr>
      </w:pPr>
      <w:r>
        <w:rPr>
          <w:i/>
          <w:color w:val="auto"/>
          <w:szCs w:val="21"/>
        </w:rPr>
        <w:t>μ</w:t>
      </w:r>
      <w:r>
        <w:rPr>
          <w:color w:val="auto"/>
          <w:szCs w:val="21"/>
        </w:rPr>
        <w:t>——土对挡土墙基底的摩擦系数，由试验确定，也可按表42选用。</w:t>
      </w:r>
    </w:p>
    <w:p w14:paraId="2414E210">
      <w:pPr>
        <w:adjustRightInd w:val="0"/>
        <w:snapToGrid w:val="0"/>
        <w:spacing w:before="320" w:line="360" w:lineRule="atLeast"/>
        <w:jc w:val="center"/>
        <w:rPr>
          <w:rFonts w:eastAsia="黑体"/>
          <w:b/>
          <w:color w:val="auto"/>
          <w:szCs w:val="21"/>
        </w:rPr>
      </w:pPr>
      <w:r>
        <w:rPr>
          <w:rFonts w:eastAsia="黑体"/>
          <w:b/>
          <w:bCs/>
          <w:color w:val="auto"/>
          <w:szCs w:val="21"/>
        </w:rPr>
        <w:t>表42</w:t>
      </w:r>
      <w:r>
        <w:rPr>
          <w:rFonts w:eastAsia="黑体"/>
          <w:color w:val="auto"/>
          <w:szCs w:val="21"/>
        </w:rPr>
        <w:t xml:space="preserve">   </w:t>
      </w:r>
      <w:r>
        <w:rPr>
          <w:rFonts w:eastAsia="黑体"/>
          <w:b/>
          <w:color w:val="auto"/>
          <w:szCs w:val="21"/>
        </w:rPr>
        <w:t>岩土对挡土墙基底的摩擦系数</w:t>
      </w:r>
      <w:r>
        <w:rPr>
          <w:rFonts w:eastAsia="黑体"/>
          <w:b/>
          <w:i/>
          <w:color w:val="auto"/>
          <w:szCs w:val="21"/>
        </w:rPr>
        <w:t>μ</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28"/>
        <w:gridCol w:w="3765"/>
        <w:gridCol w:w="3248"/>
      </w:tblGrid>
      <w:tr w14:paraId="0C068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3DE535D5">
            <w:pPr>
              <w:adjustRightInd w:val="0"/>
              <w:snapToGrid w:val="0"/>
              <w:spacing w:line="300" w:lineRule="atLeast"/>
              <w:jc w:val="center"/>
              <w:rPr>
                <w:color w:val="auto"/>
                <w:sz w:val="18"/>
                <w:szCs w:val="18"/>
              </w:rPr>
            </w:pPr>
            <w:r>
              <w:rPr>
                <w:color w:val="auto"/>
                <w:sz w:val="18"/>
                <w:szCs w:val="18"/>
              </w:rPr>
              <w:t>岩土类别</w:t>
            </w:r>
          </w:p>
        </w:tc>
        <w:tc>
          <w:tcPr>
            <w:tcW w:w="3248" w:type="dxa"/>
            <w:vAlign w:val="center"/>
          </w:tcPr>
          <w:p w14:paraId="1D74DC9C">
            <w:pPr>
              <w:adjustRightInd w:val="0"/>
              <w:snapToGrid w:val="0"/>
              <w:spacing w:line="300" w:lineRule="atLeast"/>
              <w:jc w:val="center"/>
              <w:rPr>
                <w:color w:val="auto"/>
                <w:sz w:val="18"/>
                <w:szCs w:val="18"/>
              </w:rPr>
            </w:pPr>
            <w:r>
              <w:rPr>
                <w:color w:val="auto"/>
                <w:sz w:val="18"/>
                <w:szCs w:val="18"/>
              </w:rPr>
              <w:t>摩擦系数</w:t>
            </w:r>
            <w:r>
              <w:rPr>
                <w:i/>
                <w:color w:val="auto"/>
                <w:sz w:val="18"/>
                <w:szCs w:val="18"/>
              </w:rPr>
              <w:t>μ</w:t>
            </w:r>
          </w:p>
        </w:tc>
      </w:tr>
      <w:tr w14:paraId="75AFB6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128" w:type="dxa"/>
            <w:vAlign w:val="center"/>
          </w:tcPr>
          <w:p w14:paraId="3E2BDFB1">
            <w:pPr>
              <w:pStyle w:val="24"/>
              <w:pBdr>
                <w:bottom w:val="none" w:color="auto" w:sz="0" w:space="0"/>
              </w:pBdr>
              <w:tabs>
                <w:tab w:val="clear" w:pos="4153"/>
                <w:tab w:val="clear" w:pos="8306"/>
              </w:tabs>
              <w:spacing w:line="300" w:lineRule="atLeast"/>
              <w:rPr>
                <w:color w:val="auto"/>
              </w:rPr>
            </w:pPr>
            <w:r>
              <w:rPr>
                <w:color w:val="auto"/>
              </w:rPr>
              <w:t>黏性土</w:t>
            </w:r>
          </w:p>
        </w:tc>
        <w:tc>
          <w:tcPr>
            <w:tcW w:w="3765" w:type="dxa"/>
            <w:vAlign w:val="center"/>
          </w:tcPr>
          <w:p w14:paraId="1536AB4E">
            <w:pPr>
              <w:adjustRightInd w:val="0"/>
              <w:snapToGrid w:val="0"/>
              <w:jc w:val="center"/>
              <w:rPr>
                <w:color w:val="auto"/>
                <w:sz w:val="18"/>
                <w:szCs w:val="18"/>
              </w:rPr>
            </w:pPr>
            <w:r>
              <w:rPr>
                <w:color w:val="auto"/>
                <w:sz w:val="18"/>
                <w:szCs w:val="18"/>
              </w:rPr>
              <w:t>可塑</w:t>
            </w:r>
          </w:p>
          <w:p w14:paraId="7A64054B">
            <w:pPr>
              <w:adjustRightInd w:val="0"/>
              <w:snapToGrid w:val="0"/>
              <w:jc w:val="center"/>
              <w:rPr>
                <w:color w:val="auto"/>
                <w:sz w:val="18"/>
                <w:szCs w:val="18"/>
              </w:rPr>
            </w:pPr>
            <w:r>
              <w:rPr>
                <w:color w:val="auto"/>
                <w:sz w:val="18"/>
                <w:szCs w:val="18"/>
              </w:rPr>
              <w:t>硬塑</w:t>
            </w:r>
          </w:p>
          <w:p w14:paraId="265104A0">
            <w:pPr>
              <w:adjustRightInd w:val="0"/>
              <w:snapToGrid w:val="0"/>
              <w:jc w:val="center"/>
              <w:rPr>
                <w:color w:val="auto"/>
                <w:sz w:val="18"/>
                <w:szCs w:val="18"/>
              </w:rPr>
            </w:pPr>
            <w:r>
              <w:rPr>
                <w:color w:val="auto"/>
                <w:sz w:val="18"/>
                <w:szCs w:val="18"/>
              </w:rPr>
              <w:t>坚硬</w:t>
            </w:r>
          </w:p>
        </w:tc>
        <w:tc>
          <w:tcPr>
            <w:tcW w:w="3248" w:type="dxa"/>
            <w:vAlign w:val="center"/>
          </w:tcPr>
          <w:p w14:paraId="20A6220E">
            <w:pPr>
              <w:adjustRightInd w:val="0"/>
              <w:snapToGrid w:val="0"/>
              <w:jc w:val="center"/>
              <w:rPr>
                <w:color w:val="auto"/>
                <w:sz w:val="18"/>
                <w:szCs w:val="18"/>
              </w:rPr>
            </w:pPr>
            <w:r>
              <w:rPr>
                <w:color w:val="auto"/>
                <w:sz w:val="18"/>
                <w:szCs w:val="18"/>
              </w:rPr>
              <w:t>0.20～0.25</w:t>
            </w:r>
          </w:p>
          <w:p w14:paraId="419DF3AE">
            <w:pPr>
              <w:adjustRightInd w:val="0"/>
              <w:snapToGrid w:val="0"/>
              <w:jc w:val="center"/>
              <w:rPr>
                <w:color w:val="auto"/>
                <w:sz w:val="18"/>
                <w:szCs w:val="18"/>
              </w:rPr>
            </w:pPr>
            <w:r>
              <w:rPr>
                <w:color w:val="auto"/>
                <w:sz w:val="18"/>
                <w:szCs w:val="18"/>
              </w:rPr>
              <w:t>0.25～0.30</w:t>
            </w:r>
          </w:p>
          <w:p w14:paraId="1FF9A6B2">
            <w:pPr>
              <w:adjustRightInd w:val="0"/>
              <w:snapToGrid w:val="0"/>
              <w:jc w:val="center"/>
              <w:rPr>
                <w:color w:val="auto"/>
                <w:sz w:val="18"/>
                <w:szCs w:val="18"/>
              </w:rPr>
            </w:pPr>
            <w:r>
              <w:rPr>
                <w:color w:val="auto"/>
                <w:sz w:val="18"/>
                <w:szCs w:val="18"/>
              </w:rPr>
              <w:t>0.30～0.40</w:t>
            </w:r>
          </w:p>
        </w:tc>
      </w:tr>
      <w:tr w14:paraId="0176C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01B6E520">
            <w:pPr>
              <w:pStyle w:val="24"/>
              <w:pBdr>
                <w:bottom w:val="none" w:color="auto" w:sz="0" w:space="0"/>
              </w:pBdr>
              <w:tabs>
                <w:tab w:val="clear" w:pos="4153"/>
                <w:tab w:val="clear" w:pos="8306"/>
              </w:tabs>
              <w:spacing w:line="260" w:lineRule="atLeast"/>
              <w:rPr>
                <w:color w:val="auto"/>
              </w:rPr>
            </w:pPr>
            <w:r>
              <w:rPr>
                <w:color w:val="auto"/>
              </w:rPr>
              <w:t>粉土</w:t>
            </w:r>
          </w:p>
        </w:tc>
        <w:tc>
          <w:tcPr>
            <w:tcW w:w="3248" w:type="dxa"/>
            <w:vAlign w:val="center"/>
          </w:tcPr>
          <w:p w14:paraId="6AF1B460">
            <w:pPr>
              <w:adjustRightInd w:val="0"/>
              <w:snapToGrid w:val="0"/>
              <w:spacing w:line="260" w:lineRule="atLeast"/>
              <w:jc w:val="center"/>
              <w:rPr>
                <w:color w:val="auto"/>
                <w:sz w:val="18"/>
                <w:szCs w:val="18"/>
              </w:rPr>
            </w:pPr>
            <w:r>
              <w:rPr>
                <w:color w:val="auto"/>
                <w:sz w:val="18"/>
                <w:szCs w:val="18"/>
              </w:rPr>
              <w:t>0.25～0.35</w:t>
            </w:r>
          </w:p>
        </w:tc>
      </w:tr>
      <w:tr w14:paraId="43392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79418D7A">
            <w:pPr>
              <w:pStyle w:val="24"/>
              <w:pBdr>
                <w:bottom w:val="none" w:color="auto" w:sz="0" w:space="0"/>
              </w:pBdr>
              <w:tabs>
                <w:tab w:val="clear" w:pos="4153"/>
                <w:tab w:val="clear" w:pos="8306"/>
              </w:tabs>
              <w:spacing w:line="260" w:lineRule="atLeast"/>
              <w:rPr>
                <w:color w:val="auto"/>
              </w:rPr>
            </w:pPr>
            <w:r>
              <w:rPr>
                <w:color w:val="auto"/>
              </w:rPr>
              <w:t>中砂、粗砂、砾砂</w:t>
            </w:r>
          </w:p>
        </w:tc>
        <w:tc>
          <w:tcPr>
            <w:tcW w:w="3248" w:type="dxa"/>
            <w:vAlign w:val="center"/>
          </w:tcPr>
          <w:p w14:paraId="6EB3878D">
            <w:pPr>
              <w:adjustRightInd w:val="0"/>
              <w:snapToGrid w:val="0"/>
              <w:spacing w:line="260" w:lineRule="atLeast"/>
              <w:jc w:val="center"/>
              <w:rPr>
                <w:color w:val="auto"/>
                <w:sz w:val="18"/>
                <w:szCs w:val="18"/>
              </w:rPr>
            </w:pPr>
            <w:r>
              <w:rPr>
                <w:color w:val="auto"/>
                <w:sz w:val="18"/>
                <w:szCs w:val="18"/>
              </w:rPr>
              <w:t>0.35～0.4</w:t>
            </w:r>
            <w:r>
              <w:rPr>
                <w:rFonts w:hint="eastAsia"/>
                <w:color w:val="auto"/>
                <w:sz w:val="18"/>
                <w:szCs w:val="18"/>
              </w:rPr>
              <w:t>0</w:t>
            </w:r>
          </w:p>
        </w:tc>
      </w:tr>
      <w:tr w14:paraId="0CC9F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7FF7BE0D">
            <w:pPr>
              <w:adjustRightInd w:val="0"/>
              <w:snapToGrid w:val="0"/>
              <w:spacing w:line="260" w:lineRule="atLeast"/>
              <w:jc w:val="center"/>
              <w:rPr>
                <w:color w:val="auto"/>
                <w:sz w:val="18"/>
                <w:szCs w:val="18"/>
              </w:rPr>
            </w:pPr>
            <w:r>
              <w:rPr>
                <w:color w:val="auto"/>
                <w:sz w:val="18"/>
                <w:szCs w:val="18"/>
              </w:rPr>
              <w:t>碎石土</w:t>
            </w:r>
          </w:p>
        </w:tc>
        <w:tc>
          <w:tcPr>
            <w:tcW w:w="3248" w:type="dxa"/>
            <w:vAlign w:val="center"/>
          </w:tcPr>
          <w:p w14:paraId="6160F652">
            <w:pPr>
              <w:adjustRightInd w:val="0"/>
              <w:snapToGrid w:val="0"/>
              <w:spacing w:line="260" w:lineRule="atLeast"/>
              <w:jc w:val="center"/>
              <w:rPr>
                <w:color w:val="auto"/>
                <w:sz w:val="18"/>
                <w:szCs w:val="18"/>
              </w:rPr>
            </w:pPr>
            <w:r>
              <w:rPr>
                <w:color w:val="auto"/>
                <w:sz w:val="18"/>
                <w:szCs w:val="18"/>
              </w:rPr>
              <w:t>0.40～0.50</w:t>
            </w:r>
          </w:p>
        </w:tc>
      </w:tr>
      <w:tr w14:paraId="3B6D0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7E2ECB73">
            <w:pPr>
              <w:adjustRightInd w:val="0"/>
              <w:snapToGrid w:val="0"/>
              <w:spacing w:line="260" w:lineRule="atLeast"/>
              <w:jc w:val="center"/>
              <w:rPr>
                <w:color w:val="auto"/>
                <w:sz w:val="18"/>
                <w:szCs w:val="18"/>
              </w:rPr>
            </w:pPr>
            <w:r>
              <w:rPr>
                <w:color w:val="auto"/>
                <w:sz w:val="18"/>
                <w:szCs w:val="18"/>
              </w:rPr>
              <w:t>极软岩、软岩、较软岩</w:t>
            </w:r>
          </w:p>
        </w:tc>
        <w:tc>
          <w:tcPr>
            <w:tcW w:w="3248" w:type="dxa"/>
            <w:vAlign w:val="center"/>
          </w:tcPr>
          <w:p w14:paraId="13035B53">
            <w:pPr>
              <w:adjustRightInd w:val="0"/>
              <w:snapToGrid w:val="0"/>
              <w:spacing w:line="260" w:lineRule="atLeast"/>
              <w:jc w:val="center"/>
              <w:rPr>
                <w:color w:val="auto"/>
                <w:sz w:val="18"/>
                <w:szCs w:val="18"/>
              </w:rPr>
            </w:pPr>
            <w:r>
              <w:rPr>
                <w:color w:val="auto"/>
                <w:sz w:val="18"/>
                <w:szCs w:val="18"/>
              </w:rPr>
              <w:t>0.40～0.60</w:t>
            </w:r>
          </w:p>
        </w:tc>
      </w:tr>
      <w:tr w14:paraId="30D9D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893" w:type="dxa"/>
            <w:gridSpan w:val="2"/>
            <w:vAlign w:val="center"/>
          </w:tcPr>
          <w:p w14:paraId="7368B7F4">
            <w:pPr>
              <w:adjustRightInd w:val="0"/>
              <w:snapToGrid w:val="0"/>
              <w:spacing w:line="260" w:lineRule="atLeast"/>
              <w:jc w:val="center"/>
              <w:rPr>
                <w:color w:val="auto"/>
                <w:sz w:val="18"/>
                <w:szCs w:val="18"/>
              </w:rPr>
            </w:pPr>
            <w:r>
              <w:rPr>
                <w:color w:val="auto"/>
                <w:sz w:val="18"/>
                <w:szCs w:val="18"/>
              </w:rPr>
              <w:t>表面粗糙的坚硬岩、较硬岩</w:t>
            </w:r>
          </w:p>
        </w:tc>
        <w:tc>
          <w:tcPr>
            <w:tcW w:w="3248" w:type="dxa"/>
            <w:vAlign w:val="center"/>
          </w:tcPr>
          <w:p w14:paraId="56280808">
            <w:pPr>
              <w:adjustRightInd w:val="0"/>
              <w:snapToGrid w:val="0"/>
              <w:spacing w:line="260" w:lineRule="atLeast"/>
              <w:jc w:val="center"/>
              <w:rPr>
                <w:color w:val="auto"/>
                <w:sz w:val="18"/>
                <w:szCs w:val="18"/>
              </w:rPr>
            </w:pPr>
            <w:r>
              <w:rPr>
                <w:color w:val="auto"/>
                <w:sz w:val="18"/>
                <w:szCs w:val="18"/>
              </w:rPr>
              <w:t>0.65～0.75</w:t>
            </w:r>
          </w:p>
        </w:tc>
      </w:tr>
      <w:tr w14:paraId="750A5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141" w:type="dxa"/>
            <w:gridSpan w:val="3"/>
            <w:vAlign w:val="center"/>
          </w:tcPr>
          <w:p w14:paraId="57514980">
            <w:pPr>
              <w:adjustRightInd w:val="0"/>
              <w:snapToGrid w:val="0"/>
              <w:spacing w:line="260" w:lineRule="atLeast"/>
              <w:jc w:val="left"/>
              <w:rPr>
                <w:color w:val="auto"/>
                <w:sz w:val="18"/>
                <w:szCs w:val="18"/>
              </w:rPr>
            </w:pPr>
            <w:r>
              <w:rPr>
                <w:color w:val="auto"/>
                <w:sz w:val="18"/>
                <w:szCs w:val="18"/>
              </w:rPr>
              <w:t>注：对易风化的软质岩、塑性指数大于22的黏性土及碎石土，基底摩擦系数应通过试验确定。</w:t>
            </w:r>
          </w:p>
        </w:tc>
      </w:tr>
    </w:tbl>
    <w:p w14:paraId="65A48EC9">
      <w:pPr>
        <w:adjustRightInd w:val="0"/>
        <w:snapToGrid w:val="0"/>
        <w:spacing w:before="240" w:line="360" w:lineRule="atLeast"/>
        <w:rPr>
          <w:color w:val="auto"/>
          <w:szCs w:val="21"/>
        </w:rPr>
      </w:pPr>
      <w:r>
        <w:rPr>
          <w:b/>
          <w:bCs/>
          <w:color w:val="auto"/>
          <w:szCs w:val="21"/>
        </w:rPr>
        <w:t>10.5.</w:t>
      </w:r>
      <w:r>
        <w:rPr>
          <w:rFonts w:hint="eastAsia"/>
          <w:b/>
          <w:bCs/>
          <w:color w:val="auto"/>
          <w:szCs w:val="21"/>
        </w:rPr>
        <w:t>24</w:t>
      </w:r>
      <w:r>
        <w:rPr>
          <w:color w:val="auto"/>
          <w:szCs w:val="21"/>
        </w:rPr>
        <w:t xml:space="preserve">  重力式挡墙的抗倾覆稳定性应按</w:t>
      </w:r>
      <w:r>
        <w:rPr>
          <w:rFonts w:hint="eastAsia"/>
          <w:color w:val="auto"/>
          <w:lang w:val="en-US" w:eastAsia="zh-CN"/>
        </w:rPr>
        <w:t>公式（56）</w:t>
      </w:r>
      <w:r>
        <w:rPr>
          <w:color w:val="auto"/>
          <w:szCs w:val="21"/>
        </w:rPr>
        <w:t>验算：</w:t>
      </w:r>
    </w:p>
    <w:p w14:paraId="35538504">
      <w:pPr>
        <w:pStyle w:val="12"/>
        <w:jc w:val="right"/>
        <w:rPr>
          <w:color w:val="auto"/>
          <w:szCs w:val="21"/>
        </w:rPr>
      </w:pPr>
      <w:r>
        <w:rPr>
          <w:color w:val="auto"/>
          <w:position w:val="-30"/>
          <w:szCs w:val="21"/>
        </w:rPr>
        <w:object>
          <v:shape id="_x0000_i1265" o:spt="75" type="#_x0000_t75" style="height:36.75pt;width:57.75pt;" o:ole="t" filled="f" o:preferrelative="t" stroked="f" coordsize="21600,21600">
            <v:path/>
            <v:fill on="f" focussize="0,0"/>
            <v:stroke on="f" joinstyle="miter"/>
            <v:imagedata r:id="rId470" o:title=""/>
            <o:lock v:ext="edit" aspectratio="t"/>
            <w10:wrap type="none"/>
            <w10:anchorlock/>
          </v:shape>
          <o:OLEObject Type="Embed" ProgID="Equation.DSMT4" ShapeID="_x0000_i1265" DrawAspect="Content" ObjectID="_1468075965" r:id="rId469">
            <o:LockedField>false</o:LockedField>
          </o:OLEObject>
        </w:object>
      </w:r>
      <w:r>
        <w:rPr>
          <w:color w:val="auto"/>
          <w:szCs w:val="21"/>
        </w:rPr>
        <w:t>≥1.6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56</w:t>
      </w:r>
      <w:r>
        <w:rPr>
          <w:color w:val="auto"/>
          <w:szCs w:val="21"/>
        </w:rPr>
        <w:fldChar w:fldCharType="end"/>
      </w:r>
      <w:r>
        <w:rPr>
          <w:color w:val="auto"/>
          <w:szCs w:val="21"/>
        </w:rPr>
        <w:t>)</w:t>
      </w:r>
    </w:p>
    <w:p w14:paraId="78AE29B9">
      <w:pPr>
        <w:framePr w:w="3406" w:h="2797" w:hSpace="180" w:wrap="around" w:vAnchor="text" w:hAnchor="page" w:x="7156" w:y="77"/>
        <w:adjustRightInd w:val="0"/>
        <w:snapToGrid w:val="0"/>
        <w:jc w:val="center"/>
        <w:rPr>
          <w:color w:val="auto"/>
          <w:szCs w:val="21"/>
        </w:rPr>
      </w:pPr>
      <w:r>
        <w:rPr>
          <w:color w:val="auto"/>
          <w:szCs w:val="21"/>
        </w:rPr>
        <w:drawing>
          <wp:inline distT="0" distB="0" distL="0" distR="0">
            <wp:extent cx="1476375" cy="1790700"/>
            <wp:effectExtent l="0" t="0" r="9525"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a:xfrm>
                      <a:off x="0" y="0"/>
                      <a:ext cx="1476375" cy="1790700"/>
                    </a:xfrm>
                    <a:prstGeom prst="rect">
                      <a:avLst/>
                    </a:prstGeom>
                    <a:noFill/>
                    <a:ln>
                      <a:noFill/>
                    </a:ln>
                  </pic:spPr>
                </pic:pic>
              </a:graphicData>
            </a:graphic>
          </wp:inline>
        </w:drawing>
      </w:r>
    </w:p>
    <w:p w14:paraId="6FB95EE9">
      <w:pPr>
        <w:framePr w:w="3406" w:h="2797" w:hSpace="180" w:wrap="around" w:vAnchor="text" w:hAnchor="page" w:x="7156" w:y="77"/>
        <w:snapToGrid w:val="0"/>
        <w:jc w:val="center"/>
        <w:rPr>
          <w:b/>
          <w:color w:val="auto"/>
          <w:sz w:val="18"/>
          <w:szCs w:val="18"/>
        </w:rPr>
      </w:pPr>
      <w:r>
        <w:rPr>
          <w:rFonts w:hint="eastAsia"/>
          <w:b/>
          <w:color w:val="auto"/>
          <w:sz w:val="18"/>
          <w:szCs w:val="18"/>
        </w:rPr>
        <w:t xml:space="preserve"> </w:t>
      </w:r>
      <w:r>
        <w:rPr>
          <w:b/>
          <w:color w:val="auto"/>
          <w:sz w:val="18"/>
          <w:szCs w:val="18"/>
        </w:rPr>
        <w:t xml:space="preserve"> 图6 挡土墙抗倾覆稳定性验算示意</w:t>
      </w:r>
    </w:p>
    <w:p w14:paraId="4912F102">
      <w:pPr>
        <w:adjustRightInd w:val="0"/>
        <w:snapToGrid w:val="0"/>
        <w:spacing w:before="120" w:line="340" w:lineRule="atLeast"/>
        <w:rPr>
          <w:color w:val="auto"/>
          <w:szCs w:val="21"/>
        </w:rPr>
      </w:pPr>
      <w:r>
        <w:rPr>
          <w:color w:val="auto"/>
          <w:szCs w:val="21"/>
        </w:rPr>
        <w:t xml:space="preserve">         </w:t>
      </w:r>
      <w:r>
        <w:rPr>
          <w:color w:val="auto"/>
          <w:position w:val="-12"/>
          <w:szCs w:val="21"/>
        </w:rPr>
        <w:object>
          <v:shape id="_x0000_i1266" o:spt="75" type="#_x0000_t75" style="height:21.75pt;width:87pt;" o:ole="t" filled="f" o:preferrelative="t" stroked="f" coordsize="21600,21600">
            <v:path/>
            <v:fill on="f" focussize="0,0"/>
            <v:stroke on="f" joinstyle="miter"/>
            <v:imagedata r:id="rId473" o:title=""/>
            <o:lock v:ext="edit" aspectratio="t"/>
            <w10:wrap type="none"/>
            <w10:anchorlock/>
          </v:shape>
          <o:OLEObject Type="Embed" ProgID="Equation.DSMT4" ShapeID="_x0000_i1266" DrawAspect="Content" ObjectID="_1468075966" r:id="rId472">
            <o:LockedField>false</o:LockedField>
          </o:OLEObject>
        </w:object>
      </w:r>
    </w:p>
    <w:p w14:paraId="184586C7">
      <w:pPr>
        <w:adjustRightInd w:val="0"/>
        <w:snapToGrid w:val="0"/>
        <w:spacing w:before="120" w:line="340" w:lineRule="atLeast"/>
        <w:rPr>
          <w:color w:val="auto"/>
          <w:szCs w:val="21"/>
        </w:rPr>
      </w:pPr>
      <w:r>
        <w:rPr>
          <w:color w:val="auto"/>
          <w:szCs w:val="21"/>
        </w:rPr>
        <w:t xml:space="preserve">         </w:t>
      </w:r>
      <w:r>
        <w:rPr>
          <w:color w:val="auto"/>
          <w:position w:val="-12"/>
          <w:szCs w:val="21"/>
        </w:rPr>
        <w:object>
          <v:shape id="_x0000_i1267" o:spt="75" type="#_x0000_t75" style="height:21.75pt;width:87pt;" o:ole="t" filled="f" o:preferrelative="t" stroked="f" coordsize="21600,21600">
            <v:path/>
            <v:fill on="f" focussize="0,0"/>
            <v:stroke on="f" joinstyle="miter"/>
            <v:imagedata r:id="rId475" o:title=""/>
            <o:lock v:ext="edit" aspectratio="t"/>
            <w10:wrap type="none"/>
            <w10:anchorlock/>
          </v:shape>
          <o:OLEObject Type="Embed" ProgID="Equation.DSMT4" ShapeID="_x0000_i1267" DrawAspect="Content" ObjectID="_1468075967" r:id="rId474">
            <o:LockedField>false</o:LockedField>
          </o:OLEObject>
        </w:object>
      </w:r>
    </w:p>
    <w:p w14:paraId="1A203A08">
      <w:pPr>
        <w:adjustRightInd w:val="0"/>
        <w:snapToGrid w:val="0"/>
        <w:spacing w:before="120" w:line="340" w:lineRule="atLeast"/>
        <w:rPr>
          <w:i/>
          <w:color w:val="auto"/>
          <w:szCs w:val="21"/>
        </w:rPr>
      </w:pPr>
      <w:r>
        <w:rPr>
          <w:color w:val="auto"/>
          <w:szCs w:val="21"/>
        </w:rPr>
        <w:t xml:space="preserve">          </w:t>
      </w:r>
      <w:r>
        <w:rPr>
          <w:color w:val="auto"/>
          <w:position w:val="-12"/>
          <w:szCs w:val="21"/>
        </w:rPr>
        <w:object>
          <v:shape id="_x0000_i1268" o:spt="75" type="#_x0000_t75" style="height:21.75pt;width:72pt;" o:ole="t" filled="f" o:preferrelative="t" stroked="f" coordsize="21600,21600">
            <v:path/>
            <v:fill on="f" focussize="0,0"/>
            <v:stroke on="f" joinstyle="miter"/>
            <v:imagedata r:id="rId477" o:title=""/>
            <o:lock v:ext="edit" aspectratio="t"/>
            <w10:wrap type="none"/>
            <w10:anchorlock/>
          </v:shape>
          <o:OLEObject Type="Embed" ProgID="Equation.DSMT4" ShapeID="_x0000_i1268" DrawAspect="Content" ObjectID="_1468075968" r:id="rId476">
            <o:LockedField>false</o:LockedField>
          </o:OLEObject>
        </w:object>
      </w:r>
    </w:p>
    <w:p w14:paraId="230CE622">
      <w:pPr>
        <w:adjustRightInd w:val="0"/>
        <w:snapToGrid w:val="0"/>
        <w:spacing w:before="120" w:line="340" w:lineRule="atLeast"/>
        <w:ind w:firstLine="210" w:firstLineChars="100"/>
        <w:rPr>
          <w:iCs/>
          <w:color w:val="auto"/>
          <w:szCs w:val="21"/>
          <w:vertAlign w:val="subscript"/>
        </w:rPr>
      </w:pPr>
      <w:r>
        <w:rPr>
          <w:i/>
          <w:color w:val="auto"/>
          <w:szCs w:val="21"/>
        </w:rPr>
        <w:t xml:space="preserve">        </w:t>
      </w:r>
      <w:r>
        <w:rPr>
          <w:i/>
          <w:color w:val="auto"/>
          <w:position w:val="-12"/>
          <w:szCs w:val="21"/>
        </w:rPr>
        <w:object>
          <v:shape id="_x0000_i1269" o:spt="75" type="#_x0000_t75" style="height:21.75pt;width:80.25pt;" o:ole="t" filled="f" o:preferrelative="t" stroked="f" coordsize="21600,21600">
            <v:path/>
            <v:fill on="f" focussize="0,0"/>
            <v:stroke on="f" joinstyle="miter"/>
            <v:imagedata r:id="rId479" o:title=""/>
            <o:lock v:ext="edit" aspectratio="t"/>
            <w10:wrap type="none"/>
            <w10:anchorlock/>
          </v:shape>
          <o:OLEObject Type="Embed" ProgID="Equation.DSMT4" ShapeID="_x0000_i1269" DrawAspect="Content" ObjectID="_1468075969" r:id="rId478">
            <o:LockedField>false</o:LockedField>
          </o:OLEObject>
        </w:object>
      </w:r>
    </w:p>
    <w:p w14:paraId="4E5729D7">
      <w:pPr>
        <w:adjustRightInd w:val="0"/>
        <w:snapToGrid w:val="0"/>
        <w:spacing w:line="340" w:lineRule="atLeast"/>
        <w:ind w:left="1203" w:hanging="1203" w:hangingChars="573"/>
        <w:rPr>
          <w:color w:val="auto"/>
          <w:szCs w:val="21"/>
        </w:rPr>
      </w:pPr>
      <w:r>
        <w:rPr>
          <w:color w:val="auto"/>
          <w:szCs w:val="21"/>
        </w:rPr>
        <w:t xml:space="preserve">式中  </w:t>
      </w:r>
      <w:r>
        <w:rPr>
          <w:i/>
          <w:color w:val="auto"/>
          <w:szCs w:val="21"/>
        </w:rPr>
        <w:t>z</w:t>
      </w:r>
      <w:r>
        <w:rPr>
          <w:color w:val="auto"/>
          <w:szCs w:val="21"/>
        </w:rPr>
        <w:t>——土压力作用点离墙踵的高度（m）；</w:t>
      </w:r>
    </w:p>
    <w:p w14:paraId="5A75B52A">
      <w:pPr>
        <w:adjustRightInd w:val="0"/>
        <w:snapToGrid w:val="0"/>
        <w:spacing w:line="340" w:lineRule="atLeast"/>
        <w:ind w:left="1188" w:leftChars="261" w:hanging="640" w:hangingChars="305"/>
        <w:rPr>
          <w:color w:val="auto"/>
          <w:szCs w:val="21"/>
        </w:rPr>
      </w:pPr>
      <w:r>
        <w:rPr>
          <w:i/>
          <w:color w:val="auto"/>
          <w:szCs w:val="21"/>
        </w:rPr>
        <w:t>x</w:t>
      </w:r>
      <w:r>
        <w:rPr>
          <w:color w:val="auto"/>
          <w:sz w:val="18"/>
          <w:szCs w:val="21"/>
          <w:vertAlign w:val="subscript"/>
        </w:rPr>
        <w:t>0</w:t>
      </w:r>
      <w:r>
        <w:rPr>
          <w:color w:val="auto"/>
          <w:szCs w:val="21"/>
        </w:rPr>
        <w:t>——挡土墙重心离墙趾的水平距离（m）；</w:t>
      </w:r>
    </w:p>
    <w:p w14:paraId="0F5755ED">
      <w:pPr>
        <w:adjustRightInd w:val="0"/>
        <w:snapToGrid w:val="0"/>
        <w:spacing w:line="340" w:lineRule="atLeast"/>
        <w:ind w:firstLine="84" w:firstLineChars="40"/>
        <w:rPr>
          <w:color w:val="auto"/>
          <w:szCs w:val="21"/>
        </w:rPr>
      </w:pPr>
      <w:r>
        <w:rPr>
          <w:color w:val="auto"/>
          <w:szCs w:val="21"/>
        </w:rPr>
        <w:t xml:space="preserve">     </w:t>
      </w:r>
      <w:r>
        <w:rPr>
          <w:i/>
          <w:color w:val="auto"/>
          <w:szCs w:val="21"/>
        </w:rPr>
        <w:t>b</w:t>
      </w:r>
      <w:r>
        <w:rPr>
          <w:color w:val="auto"/>
          <w:szCs w:val="21"/>
        </w:rPr>
        <w:t>——基底的水平投影宽度（m）。</w:t>
      </w:r>
    </w:p>
    <w:p w14:paraId="0E98DD9E">
      <w:pPr>
        <w:adjustRightInd w:val="0"/>
        <w:snapToGrid w:val="0"/>
        <w:spacing w:line="340" w:lineRule="atLeast"/>
        <w:rPr>
          <w:color w:val="auto"/>
          <w:szCs w:val="21"/>
        </w:rPr>
      </w:pPr>
      <w:r>
        <w:rPr>
          <w:b/>
          <w:bCs/>
          <w:color w:val="auto"/>
          <w:szCs w:val="21"/>
        </w:rPr>
        <w:t>10.5.</w:t>
      </w:r>
      <w:r>
        <w:rPr>
          <w:rFonts w:hint="eastAsia"/>
          <w:b/>
          <w:bCs/>
          <w:color w:val="auto"/>
          <w:szCs w:val="21"/>
        </w:rPr>
        <w:t>25</w:t>
      </w:r>
      <w:r>
        <w:rPr>
          <w:color w:val="auto"/>
          <w:szCs w:val="21"/>
        </w:rPr>
        <w:t xml:space="preserve">  块石挡土墙的墙顶宽度不宜小于400</w:t>
      </w:r>
      <w:r>
        <w:rPr>
          <w:iCs/>
          <w:color w:val="auto"/>
          <w:szCs w:val="21"/>
        </w:rPr>
        <w:t>mm</w:t>
      </w:r>
      <w:r>
        <w:rPr>
          <w:color w:val="auto"/>
          <w:szCs w:val="21"/>
        </w:rPr>
        <w:t>，混凝土挡土墙的墙顶宽度不宜小于200</w:t>
      </w:r>
      <w:r>
        <w:rPr>
          <w:iCs/>
          <w:color w:val="auto"/>
          <w:szCs w:val="21"/>
        </w:rPr>
        <w:t>mm</w:t>
      </w:r>
      <w:r>
        <w:rPr>
          <w:color w:val="auto"/>
          <w:szCs w:val="21"/>
        </w:rPr>
        <w:t>。应每隔10</w:t>
      </w:r>
      <w:r>
        <w:rPr>
          <w:iCs/>
          <w:color w:val="auto"/>
          <w:szCs w:val="21"/>
        </w:rPr>
        <w:t>m</w:t>
      </w:r>
      <w:r>
        <w:rPr>
          <w:color w:val="auto"/>
          <w:szCs w:val="21"/>
        </w:rPr>
        <w:t>～20</w:t>
      </w:r>
      <w:r>
        <w:rPr>
          <w:iCs/>
          <w:color w:val="auto"/>
          <w:szCs w:val="21"/>
        </w:rPr>
        <w:t>m</w:t>
      </w:r>
      <w:r>
        <w:rPr>
          <w:color w:val="auto"/>
          <w:szCs w:val="21"/>
        </w:rPr>
        <w:t>设置一道伸缩缝。墙身应布置适当数量的泄水孔，在墙背泄水孔附近应设反滤层。其余构造设计应符合</w:t>
      </w:r>
      <w:r>
        <w:rPr>
          <w:iCs/>
          <w:color w:val="auto"/>
          <w:szCs w:val="21"/>
        </w:rPr>
        <w:t>GB</w:t>
      </w:r>
      <w:r>
        <w:rPr>
          <w:rFonts w:hint="eastAsia"/>
          <w:iCs/>
          <w:color w:val="auto"/>
          <w:szCs w:val="21"/>
          <w:lang w:val="en-US" w:eastAsia="zh-CN"/>
        </w:rPr>
        <w:t xml:space="preserve"> </w:t>
      </w:r>
      <w:r>
        <w:rPr>
          <w:color w:val="auto"/>
          <w:szCs w:val="21"/>
        </w:rPr>
        <w:t>50007和</w:t>
      </w:r>
      <w:r>
        <w:rPr>
          <w:iCs/>
          <w:color w:val="auto"/>
          <w:szCs w:val="21"/>
        </w:rPr>
        <w:t>GB</w:t>
      </w:r>
      <w:r>
        <w:rPr>
          <w:rFonts w:hint="eastAsia"/>
          <w:iCs/>
          <w:color w:val="auto"/>
          <w:szCs w:val="21"/>
          <w:lang w:val="en-US" w:eastAsia="zh-CN"/>
        </w:rPr>
        <w:t xml:space="preserve"> </w:t>
      </w:r>
      <w:r>
        <w:rPr>
          <w:color w:val="auto"/>
          <w:szCs w:val="21"/>
        </w:rPr>
        <w:t>50330的有关规定。</w:t>
      </w:r>
    </w:p>
    <w:p w14:paraId="0F2AD7A3">
      <w:pPr>
        <w:adjustRightInd w:val="0"/>
        <w:snapToGrid w:val="0"/>
        <w:spacing w:line="340" w:lineRule="atLeast"/>
        <w:rPr>
          <w:color w:val="auto"/>
          <w:szCs w:val="21"/>
        </w:rPr>
      </w:pPr>
      <w:r>
        <w:rPr>
          <w:b/>
          <w:bCs/>
          <w:color w:val="auto"/>
          <w:szCs w:val="21"/>
        </w:rPr>
        <w:t>10.5.</w:t>
      </w:r>
      <w:r>
        <w:rPr>
          <w:rFonts w:hint="eastAsia"/>
          <w:b/>
          <w:bCs/>
          <w:color w:val="auto"/>
          <w:szCs w:val="21"/>
        </w:rPr>
        <w:t xml:space="preserve">26 </w:t>
      </w:r>
      <w:r>
        <w:rPr>
          <w:color w:val="auto"/>
          <w:szCs w:val="21"/>
        </w:rPr>
        <w:t xml:space="preserve"> 各类锚杆挡墙、岩石喷锚支护可按</w:t>
      </w:r>
      <w:r>
        <w:rPr>
          <w:iCs/>
          <w:color w:val="auto"/>
          <w:szCs w:val="21"/>
        </w:rPr>
        <w:t>GB</w:t>
      </w:r>
      <w:r>
        <w:rPr>
          <w:rFonts w:hint="eastAsia"/>
          <w:iCs/>
          <w:color w:val="auto"/>
          <w:szCs w:val="21"/>
          <w:lang w:val="en-US" w:eastAsia="zh-CN"/>
        </w:rPr>
        <w:t xml:space="preserve"> </w:t>
      </w:r>
      <w:r>
        <w:rPr>
          <w:color w:val="auto"/>
          <w:szCs w:val="21"/>
        </w:rPr>
        <w:t>50007及</w:t>
      </w:r>
      <w:r>
        <w:rPr>
          <w:iCs/>
          <w:color w:val="auto"/>
          <w:szCs w:val="21"/>
        </w:rPr>
        <w:t>GB</w:t>
      </w:r>
      <w:r>
        <w:rPr>
          <w:rFonts w:hint="eastAsia"/>
          <w:iCs/>
          <w:color w:val="auto"/>
          <w:szCs w:val="21"/>
          <w:lang w:val="en-US" w:eastAsia="zh-CN"/>
        </w:rPr>
        <w:t xml:space="preserve"> </w:t>
      </w:r>
      <w:r>
        <w:rPr>
          <w:color w:val="auto"/>
          <w:szCs w:val="21"/>
        </w:rPr>
        <w:t>50330的有关规定进行设计。</w:t>
      </w:r>
    </w:p>
    <w:p w14:paraId="50D25ADE">
      <w:pPr>
        <w:adjustRightInd w:val="0"/>
        <w:snapToGrid w:val="0"/>
        <w:spacing w:line="340" w:lineRule="atLeast"/>
        <w:rPr>
          <w:color w:val="auto"/>
          <w:szCs w:val="21"/>
        </w:rPr>
      </w:pPr>
      <w:r>
        <w:rPr>
          <w:b/>
          <w:bCs/>
          <w:color w:val="auto"/>
          <w:szCs w:val="21"/>
        </w:rPr>
        <w:t>10.5.</w:t>
      </w:r>
      <w:r>
        <w:rPr>
          <w:rFonts w:hint="eastAsia"/>
          <w:b/>
          <w:bCs/>
          <w:color w:val="auto"/>
          <w:szCs w:val="21"/>
        </w:rPr>
        <w:t>27</w:t>
      </w:r>
      <w:r>
        <w:rPr>
          <w:color w:val="auto"/>
          <w:szCs w:val="21"/>
        </w:rPr>
        <w:t xml:space="preserve">  </w:t>
      </w:r>
      <w:r>
        <w:rPr>
          <w:rFonts w:hint="eastAsia"/>
          <w:color w:val="auto"/>
          <w:szCs w:val="21"/>
        </w:rPr>
        <w:t>永久边坡的支护排桩桩身混凝土、配筋等应符合本文件第</w:t>
      </w:r>
      <w:r>
        <w:rPr>
          <w:color w:val="auto"/>
          <w:szCs w:val="21"/>
        </w:rPr>
        <w:t>12</w:t>
      </w:r>
      <w:r>
        <w:rPr>
          <w:rFonts w:hint="eastAsia"/>
          <w:color w:val="auto"/>
          <w:szCs w:val="21"/>
        </w:rPr>
        <w:t>章的相关规定。一、二级安全等级永久边坡的排桩应进行桩身抗裂验算及变形验算。各级临时边坡的变形允许值应符合DB42/T</w:t>
      </w:r>
      <w:r>
        <w:rPr>
          <w:rFonts w:hint="eastAsia"/>
          <w:color w:val="auto"/>
          <w:szCs w:val="21"/>
          <w:lang w:val="en-US" w:eastAsia="zh-CN"/>
        </w:rPr>
        <w:t xml:space="preserve"> </w:t>
      </w:r>
      <w:r>
        <w:rPr>
          <w:rFonts w:hint="eastAsia"/>
          <w:color w:val="auto"/>
          <w:szCs w:val="21"/>
        </w:rPr>
        <w:t>159的有关规定</w:t>
      </w:r>
      <w:r>
        <w:rPr>
          <w:color w:val="auto"/>
          <w:szCs w:val="21"/>
        </w:rPr>
        <w:t>。</w:t>
      </w:r>
      <w:r>
        <w:rPr>
          <w:rFonts w:hint="eastAsia"/>
          <w:color w:val="auto"/>
          <w:szCs w:val="21"/>
        </w:rPr>
        <w:t>永久边坡变形允许值应根据使用要求、支护类型、环境条件等综合考虑。</w:t>
      </w:r>
    </w:p>
    <w:p w14:paraId="6506FE6B">
      <w:pPr>
        <w:adjustRightInd w:val="0"/>
        <w:snapToGrid w:val="0"/>
        <w:spacing w:line="340" w:lineRule="atLeast"/>
        <w:rPr>
          <w:color w:val="auto"/>
          <w:szCs w:val="21"/>
        </w:rPr>
      </w:pPr>
      <w:r>
        <w:rPr>
          <w:b/>
          <w:bCs/>
          <w:color w:val="auto"/>
          <w:szCs w:val="21"/>
        </w:rPr>
        <w:t>10.5.</w:t>
      </w:r>
      <w:r>
        <w:rPr>
          <w:rFonts w:hint="eastAsia"/>
          <w:b/>
          <w:bCs/>
          <w:color w:val="auto"/>
          <w:szCs w:val="21"/>
        </w:rPr>
        <w:t>28</w:t>
      </w:r>
      <w:r>
        <w:rPr>
          <w:color w:val="auto"/>
          <w:szCs w:val="21"/>
        </w:rPr>
        <w:t xml:space="preserve">  采用排桩支护的一级</w:t>
      </w:r>
      <w:r>
        <w:rPr>
          <w:rFonts w:hint="eastAsia"/>
          <w:color w:val="auto"/>
          <w:szCs w:val="21"/>
        </w:rPr>
        <w:t>、二级永久</w:t>
      </w:r>
      <w:r>
        <w:rPr>
          <w:color w:val="auto"/>
          <w:szCs w:val="21"/>
        </w:rPr>
        <w:t>边坡，排桩应全数进行低应变检测，钻芯检测数量不少于3%且不少于3根。有条件时宜进行单桩水平载荷试验。</w:t>
      </w:r>
      <w:r>
        <w:rPr>
          <w:rFonts w:hint="eastAsia"/>
          <w:color w:val="auto"/>
          <w:szCs w:val="21"/>
        </w:rPr>
        <w:t>其他安全等级的边坡，低应变检测数量不应少于总桩数的30%。</w:t>
      </w:r>
    </w:p>
    <w:p w14:paraId="5C77EA09">
      <w:pPr>
        <w:autoSpaceDE w:val="0"/>
        <w:autoSpaceDN w:val="0"/>
        <w:adjustRightInd w:val="0"/>
        <w:snapToGrid w:val="0"/>
        <w:rPr>
          <w:rFonts w:ascii="宋体" w:hAnsi="宋体" w:cs="宋体"/>
          <w:color w:val="auto"/>
          <w:kern w:val="0"/>
          <w:szCs w:val="21"/>
        </w:rPr>
      </w:pPr>
      <w:r>
        <w:rPr>
          <w:b/>
          <w:bCs/>
          <w:color w:val="auto"/>
          <w:szCs w:val="21"/>
        </w:rPr>
        <w:t>10.5.29</w:t>
      </w:r>
      <w:r>
        <w:rPr>
          <w:color w:val="auto"/>
          <w:szCs w:val="21"/>
        </w:rPr>
        <w:t xml:space="preserve">  </w:t>
      </w:r>
      <w:r>
        <w:rPr>
          <w:rFonts w:hint="eastAsia" w:ascii="宋体" w:hAnsi="宋体" w:cs="宋体"/>
          <w:color w:val="auto"/>
          <w:kern w:val="0"/>
          <w:szCs w:val="21"/>
        </w:rPr>
        <w:t>下列边坡工程应进行专项论证：</w:t>
      </w:r>
    </w:p>
    <w:p w14:paraId="62E711A2">
      <w:pPr>
        <w:adjustRightInd w:val="0"/>
        <w:snapToGrid w:val="0"/>
        <w:spacing w:line="340" w:lineRule="exact"/>
        <w:ind w:firstLine="420" w:firstLineChars="200"/>
        <w:rPr>
          <w:rFonts w:ascii="宋体" w:hAnsi="宋体" w:cs="宋体"/>
          <w:color w:val="auto"/>
          <w:szCs w:val="21"/>
        </w:rPr>
      </w:pPr>
      <w:r>
        <w:rPr>
          <w:rFonts w:ascii="宋体" w:hAnsi="宋体" w:cs="宋体"/>
          <w:color w:val="auto"/>
          <w:szCs w:val="21"/>
        </w:rPr>
        <w:t xml:space="preserve">a)  </w:t>
      </w:r>
      <w:r>
        <w:rPr>
          <w:rFonts w:hint="eastAsia" w:ascii="宋体" w:hAnsi="宋体" w:cs="宋体"/>
          <w:color w:val="auto"/>
          <w:szCs w:val="21"/>
        </w:rPr>
        <w:t>边坡高度大于3</w:t>
      </w:r>
      <w:r>
        <w:rPr>
          <w:rFonts w:ascii="宋体" w:hAnsi="宋体" w:cs="宋体"/>
          <w:color w:val="auto"/>
          <w:szCs w:val="21"/>
        </w:rPr>
        <w:t>0</w:t>
      </w:r>
      <w:r>
        <w:rPr>
          <w:rFonts w:hint="eastAsia" w:ascii="宋体" w:hAnsi="宋体" w:cs="宋体"/>
          <w:color w:val="auto"/>
          <w:szCs w:val="21"/>
        </w:rPr>
        <w:t>m的岩质边坡；</w:t>
      </w:r>
    </w:p>
    <w:p w14:paraId="146F6F4B">
      <w:pPr>
        <w:adjustRightInd w:val="0"/>
        <w:snapToGrid w:val="0"/>
        <w:spacing w:line="340" w:lineRule="exact"/>
        <w:ind w:firstLine="420" w:firstLineChars="200"/>
        <w:rPr>
          <w:rFonts w:ascii="宋体" w:hAnsi="宋体" w:cs="宋体"/>
          <w:color w:val="auto"/>
          <w:szCs w:val="21"/>
        </w:rPr>
      </w:pPr>
      <w:r>
        <w:rPr>
          <w:rFonts w:ascii="宋体" w:hAnsi="宋体" w:cs="宋体"/>
          <w:color w:val="auto"/>
          <w:szCs w:val="21"/>
        </w:rPr>
        <w:t>b)</w:t>
      </w:r>
      <w:r>
        <w:rPr>
          <w:rFonts w:hint="eastAsia" w:ascii="宋体" w:hAnsi="宋体" w:cs="宋体"/>
          <w:color w:val="auto"/>
          <w:szCs w:val="21"/>
        </w:rPr>
        <w:t xml:space="preserve">  边坡高度大于</w:t>
      </w:r>
      <w:r>
        <w:rPr>
          <w:rFonts w:ascii="宋体" w:hAnsi="宋体" w:cs="宋体"/>
          <w:color w:val="auto"/>
          <w:szCs w:val="21"/>
        </w:rPr>
        <w:t>15</w:t>
      </w:r>
      <w:r>
        <w:rPr>
          <w:rFonts w:hint="eastAsia" w:ascii="宋体" w:hAnsi="宋体" w:cs="宋体"/>
          <w:color w:val="auto"/>
          <w:szCs w:val="21"/>
        </w:rPr>
        <w:t>m的土质边坡；</w:t>
      </w:r>
    </w:p>
    <w:p w14:paraId="5F895AA1">
      <w:pPr>
        <w:adjustRightInd w:val="0"/>
        <w:snapToGrid w:val="0"/>
        <w:spacing w:line="340" w:lineRule="exact"/>
        <w:ind w:firstLine="420" w:firstLineChars="200"/>
        <w:rPr>
          <w:rFonts w:ascii="宋体" w:hAnsi="宋体" w:cs="宋体"/>
          <w:color w:val="auto"/>
          <w:szCs w:val="21"/>
        </w:rPr>
      </w:pPr>
      <w:r>
        <w:rPr>
          <w:rFonts w:ascii="宋体" w:hAnsi="宋体" w:cs="宋体"/>
          <w:color w:val="auto"/>
          <w:szCs w:val="21"/>
        </w:rPr>
        <w:t>c)  土</w:t>
      </w:r>
      <w:r>
        <w:rPr>
          <w:rFonts w:hint="eastAsia" w:ascii="宋体" w:hAnsi="宋体" w:cs="宋体"/>
          <w:color w:val="auto"/>
          <w:szCs w:val="21"/>
        </w:rPr>
        <w:t>、</w:t>
      </w:r>
      <w:r>
        <w:rPr>
          <w:rFonts w:ascii="宋体" w:hAnsi="宋体" w:cs="宋体"/>
          <w:color w:val="auto"/>
          <w:szCs w:val="21"/>
        </w:rPr>
        <w:t>岩混合及地质环境条件复杂的边坡</w:t>
      </w:r>
      <w:r>
        <w:rPr>
          <w:rFonts w:hint="eastAsia" w:ascii="宋体" w:hAnsi="宋体" w:cs="宋体"/>
          <w:color w:val="auto"/>
          <w:szCs w:val="21"/>
        </w:rPr>
        <w:t>；</w:t>
      </w:r>
    </w:p>
    <w:p w14:paraId="4D72797C">
      <w:pPr>
        <w:adjustRightInd w:val="0"/>
        <w:snapToGrid w:val="0"/>
        <w:spacing w:line="340" w:lineRule="exact"/>
        <w:ind w:firstLine="420" w:firstLineChars="200"/>
        <w:rPr>
          <w:rFonts w:ascii="宋体" w:hAnsi="宋体" w:cs="宋体"/>
          <w:color w:val="auto"/>
          <w:szCs w:val="21"/>
        </w:rPr>
      </w:pPr>
      <w:r>
        <w:rPr>
          <w:rFonts w:ascii="宋体" w:hAnsi="宋体" w:cs="宋体"/>
          <w:color w:val="auto"/>
          <w:szCs w:val="21"/>
        </w:rPr>
        <w:t>d)</w:t>
      </w:r>
      <w:r>
        <w:rPr>
          <w:rFonts w:hint="eastAsia" w:ascii="宋体" w:hAnsi="宋体" w:cs="宋体"/>
          <w:color w:val="auto"/>
          <w:szCs w:val="21"/>
        </w:rPr>
        <w:t xml:space="preserve">  已有崩塌、滑坡的边坡；</w:t>
      </w:r>
    </w:p>
    <w:p w14:paraId="60950CED">
      <w:pPr>
        <w:adjustRightInd w:val="0"/>
        <w:snapToGrid w:val="0"/>
        <w:spacing w:line="340" w:lineRule="exact"/>
        <w:ind w:firstLine="420" w:firstLineChars="200"/>
        <w:rPr>
          <w:rFonts w:ascii="宋体" w:hAnsi="宋体" w:cs="宋体"/>
          <w:color w:val="auto"/>
          <w:szCs w:val="21"/>
        </w:rPr>
      </w:pPr>
      <w:r>
        <w:rPr>
          <w:rFonts w:ascii="宋体" w:hAnsi="宋体" w:cs="宋体"/>
          <w:color w:val="auto"/>
          <w:szCs w:val="21"/>
        </w:rPr>
        <w:t>e)</w:t>
      </w:r>
      <w:r>
        <w:rPr>
          <w:rFonts w:hint="eastAsia" w:ascii="宋体" w:hAnsi="宋体" w:cs="宋体"/>
          <w:color w:val="auto"/>
          <w:szCs w:val="21"/>
        </w:rPr>
        <w:t xml:space="preserve">  周边已有永久性建（构）筑物与市政工程需要保护的边坡；</w:t>
      </w:r>
    </w:p>
    <w:p w14:paraId="237B8E9E">
      <w:pPr>
        <w:adjustRightInd w:val="0"/>
        <w:snapToGrid w:val="0"/>
        <w:ind w:firstLine="420" w:firstLineChars="200"/>
        <w:rPr>
          <w:rFonts w:ascii="宋体" w:hAnsi="宋体" w:cs="宋体"/>
          <w:color w:val="auto"/>
          <w:szCs w:val="21"/>
        </w:rPr>
      </w:pPr>
      <w:r>
        <w:rPr>
          <w:rFonts w:ascii="宋体" w:hAnsi="宋体" w:cs="宋体"/>
          <w:color w:val="auto"/>
          <w:szCs w:val="21"/>
        </w:rPr>
        <w:t>f)</w:t>
      </w:r>
      <w:r>
        <w:rPr>
          <w:rFonts w:hint="eastAsia" w:ascii="宋体" w:hAnsi="宋体" w:cs="宋体"/>
          <w:color w:val="auto"/>
          <w:szCs w:val="21"/>
        </w:rPr>
        <w:t xml:space="preserve">  外倾结构面并有软弱夹层的边坡；</w:t>
      </w:r>
    </w:p>
    <w:p w14:paraId="0C68BBF1">
      <w:pPr>
        <w:adjustRightInd w:val="0"/>
        <w:snapToGrid w:val="0"/>
        <w:ind w:firstLine="420" w:firstLineChars="200"/>
        <w:rPr>
          <w:rFonts w:ascii="宋体" w:hAnsi="宋体" w:cs="宋体"/>
          <w:color w:val="auto"/>
          <w:szCs w:val="21"/>
        </w:rPr>
      </w:pPr>
      <w:r>
        <w:rPr>
          <w:rFonts w:ascii="宋体" w:hAnsi="宋体" w:cs="宋体"/>
          <w:color w:val="auto"/>
          <w:szCs w:val="21"/>
        </w:rPr>
        <w:t>g)</w:t>
      </w:r>
      <w:r>
        <w:rPr>
          <w:rFonts w:hint="eastAsia" w:ascii="宋体" w:hAnsi="宋体" w:cs="宋体"/>
          <w:color w:val="auto"/>
          <w:szCs w:val="21"/>
        </w:rPr>
        <w:t xml:space="preserve">  膨胀土边坡；</w:t>
      </w:r>
    </w:p>
    <w:p w14:paraId="056CA4B2">
      <w:pPr>
        <w:adjustRightInd w:val="0"/>
        <w:snapToGrid w:val="0"/>
        <w:ind w:firstLine="420" w:firstLineChars="200"/>
        <w:rPr>
          <w:color w:val="auto"/>
          <w:szCs w:val="21"/>
        </w:rPr>
      </w:pPr>
      <w:r>
        <w:rPr>
          <w:color w:val="auto"/>
          <w:szCs w:val="21"/>
        </w:rPr>
        <w:t>h)</w:t>
      </w:r>
      <w:r>
        <w:rPr>
          <w:rFonts w:hint="eastAsia"/>
          <w:color w:val="auto"/>
          <w:szCs w:val="21"/>
        </w:rPr>
        <w:t xml:space="preserve">  采用新结构、新技术的边坡。</w:t>
      </w:r>
    </w:p>
    <w:p w14:paraId="446A1FAB">
      <w:pPr>
        <w:adjustRightInd w:val="0"/>
        <w:snapToGrid w:val="0"/>
        <w:rPr>
          <w:color w:val="auto"/>
          <w:szCs w:val="21"/>
        </w:rPr>
      </w:pPr>
    </w:p>
    <w:p w14:paraId="4C985C29">
      <w:pPr>
        <w:adjustRightInd w:val="0"/>
        <w:snapToGrid w:val="0"/>
        <w:spacing w:line="340" w:lineRule="exact"/>
        <w:outlineLvl w:val="1"/>
        <w:rPr>
          <w:rFonts w:eastAsia="黑体"/>
          <w:b/>
          <w:bCs/>
          <w:color w:val="auto"/>
          <w:szCs w:val="21"/>
        </w:rPr>
      </w:pPr>
      <w:bookmarkStart w:id="42" w:name="_Toc199943600"/>
      <w:r>
        <w:rPr>
          <w:rFonts w:eastAsia="黑体"/>
          <w:b/>
          <w:bCs/>
          <w:color w:val="auto"/>
          <w:szCs w:val="21"/>
        </w:rPr>
        <w:t>10.6  压实填土地基</w:t>
      </w:r>
      <w:bookmarkEnd w:id="42"/>
    </w:p>
    <w:p w14:paraId="40122368">
      <w:pPr>
        <w:adjustRightInd w:val="0"/>
        <w:snapToGrid w:val="0"/>
        <w:rPr>
          <w:b/>
          <w:color w:val="auto"/>
          <w:szCs w:val="21"/>
        </w:rPr>
      </w:pPr>
    </w:p>
    <w:p w14:paraId="28BFEEE4">
      <w:pPr>
        <w:adjustRightInd w:val="0"/>
        <w:snapToGrid w:val="0"/>
        <w:spacing w:line="340" w:lineRule="exact"/>
        <w:rPr>
          <w:color w:val="auto"/>
          <w:szCs w:val="21"/>
        </w:rPr>
      </w:pPr>
      <w:r>
        <w:rPr>
          <w:b/>
          <w:bCs/>
          <w:color w:val="auto"/>
          <w:szCs w:val="21"/>
        </w:rPr>
        <w:t>10.6.1</w:t>
      </w:r>
      <w:r>
        <w:rPr>
          <w:b/>
          <w:color w:val="auto"/>
          <w:szCs w:val="21"/>
        </w:rPr>
        <w:t xml:space="preserve">  </w:t>
      </w:r>
      <w:r>
        <w:rPr>
          <w:color w:val="auto"/>
          <w:szCs w:val="21"/>
        </w:rPr>
        <w:t>当利用压实填土作为建筑工程的地基持力层时，在平整场地前，应根据结构类型、填料性能和现场条件等，对拟压实的填土提出质量要求。未经检验查明以及不符合质量要求的压实填土，均不应作为建筑工程的地基持力层。</w:t>
      </w:r>
    </w:p>
    <w:p w14:paraId="759C71E3">
      <w:pPr>
        <w:adjustRightInd w:val="0"/>
        <w:snapToGrid w:val="0"/>
        <w:spacing w:line="340" w:lineRule="exact"/>
        <w:rPr>
          <w:color w:val="auto"/>
          <w:szCs w:val="21"/>
        </w:rPr>
      </w:pPr>
      <w:r>
        <w:rPr>
          <w:b/>
          <w:bCs/>
          <w:color w:val="auto"/>
          <w:szCs w:val="21"/>
        </w:rPr>
        <w:t>10.6.2</w:t>
      </w:r>
      <w:r>
        <w:rPr>
          <w:color w:val="auto"/>
          <w:szCs w:val="21"/>
        </w:rPr>
        <w:t xml:space="preserve">  对于填土厚度大于5</w:t>
      </w:r>
      <w:r>
        <w:rPr>
          <w:iCs/>
          <w:color w:val="auto"/>
          <w:szCs w:val="21"/>
        </w:rPr>
        <w:t>m</w:t>
      </w:r>
      <w:r>
        <w:rPr>
          <w:color w:val="auto"/>
          <w:szCs w:val="21"/>
        </w:rPr>
        <w:t>或重大的填土工程，在施工前应选择试验场区，进行填方试验，取得填方参数，指导设计和施工。</w:t>
      </w:r>
    </w:p>
    <w:p w14:paraId="2713D75B">
      <w:pPr>
        <w:adjustRightInd w:val="0"/>
        <w:snapToGrid w:val="0"/>
        <w:spacing w:line="340" w:lineRule="exact"/>
        <w:rPr>
          <w:color w:val="auto"/>
          <w:szCs w:val="21"/>
        </w:rPr>
      </w:pPr>
      <w:r>
        <w:rPr>
          <w:b/>
          <w:bCs/>
          <w:color w:val="auto"/>
          <w:szCs w:val="21"/>
        </w:rPr>
        <w:t>10.6.3</w:t>
      </w:r>
      <w:r>
        <w:rPr>
          <w:color w:val="auto"/>
          <w:szCs w:val="21"/>
        </w:rPr>
        <w:t xml:space="preserve">  压实填土地基设计前应具备详细的地形、地貌及岩土工程勘察资料。位于塘、沟、积水洼地等场地的填土，应查明地下水及地表水的排泄条件</w:t>
      </w:r>
      <w:r>
        <w:rPr>
          <w:rFonts w:hint="eastAsia"/>
          <w:color w:val="auto"/>
          <w:szCs w:val="21"/>
        </w:rPr>
        <w:t>、</w:t>
      </w:r>
      <w:r>
        <w:rPr>
          <w:color w:val="auto"/>
          <w:szCs w:val="21"/>
        </w:rPr>
        <w:t>地层软土的分布与性质。</w:t>
      </w:r>
    </w:p>
    <w:p w14:paraId="07E8ABDE">
      <w:pPr>
        <w:adjustRightInd w:val="0"/>
        <w:snapToGrid w:val="0"/>
        <w:spacing w:line="340" w:lineRule="exact"/>
        <w:rPr>
          <w:color w:val="auto"/>
          <w:szCs w:val="21"/>
        </w:rPr>
      </w:pPr>
      <w:r>
        <w:rPr>
          <w:b/>
          <w:bCs/>
          <w:color w:val="auto"/>
          <w:szCs w:val="21"/>
        </w:rPr>
        <w:t>10.6.4</w:t>
      </w:r>
      <w:r>
        <w:rPr>
          <w:color w:val="auto"/>
          <w:szCs w:val="21"/>
        </w:rPr>
        <w:t xml:space="preserve">  在厚度较大的压实填土或厚薄不均的压实填土上进行建筑时，应查明压缩层的变形指标，进行沉降验算。高填方压实填土区不经二次处理不宜作为重要建筑物的建筑场地。设置在斜坡上的压实填土，应验算其稳定性。当天然地面坡度大于20</w:t>
      </w:r>
      <w:r>
        <w:rPr>
          <w:rFonts w:hint="eastAsia"/>
          <w:color w:val="auto"/>
          <w:szCs w:val="21"/>
        </w:rPr>
        <w:t>%</w:t>
      </w:r>
      <w:r>
        <w:rPr>
          <w:color w:val="auto"/>
          <w:szCs w:val="21"/>
        </w:rPr>
        <w:t>时，应采用防止压实填土可能沿坡面滑动的措施，并应避免雨水沿斜坡排泄。</w:t>
      </w:r>
    </w:p>
    <w:p w14:paraId="0BE82A75">
      <w:pPr>
        <w:adjustRightInd w:val="0"/>
        <w:snapToGrid w:val="0"/>
        <w:spacing w:line="340" w:lineRule="exact"/>
        <w:rPr>
          <w:color w:val="auto"/>
          <w:szCs w:val="21"/>
        </w:rPr>
      </w:pPr>
      <w:r>
        <w:rPr>
          <w:b/>
          <w:bCs/>
          <w:color w:val="auto"/>
          <w:szCs w:val="21"/>
        </w:rPr>
        <w:t>10.6.5</w:t>
      </w:r>
      <w:r>
        <w:rPr>
          <w:color w:val="auto"/>
          <w:szCs w:val="21"/>
        </w:rPr>
        <w:t xml:space="preserve">  当压实填土地基不能满足承载力和变形要求时，可采用其他地基处理方法综合治理。选择填料时应考虑后续处理的可能性。</w:t>
      </w:r>
    </w:p>
    <w:p w14:paraId="040BA6B6">
      <w:pPr>
        <w:adjustRightInd w:val="0"/>
        <w:snapToGrid w:val="0"/>
        <w:spacing w:line="340" w:lineRule="exact"/>
        <w:rPr>
          <w:color w:val="auto"/>
          <w:szCs w:val="21"/>
        </w:rPr>
      </w:pPr>
      <w:r>
        <w:rPr>
          <w:b/>
          <w:bCs/>
          <w:color w:val="auto"/>
          <w:szCs w:val="21"/>
        </w:rPr>
        <w:t>10.6.6</w:t>
      </w:r>
      <w:r>
        <w:rPr>
          <w:color w:val="auto"/>
          <w:szCs w:val="21"/>
        </w:rPr>
        <w:t xml:space="preserve">  压实填土地基承载力特征值，应根据现场原位测试结果确定，对于甲、乙级设计等级的建筑物应采用载荷试验，结合静力、动力触探的方法进行测试，丙级设计等级建筑物可采用静力、动力触探进行测试。</w:t>
      </w:r>
      <w:r>
        <w:rPr>
          <w:rFonts w:hint="eastAsia"/>
          <w:color w:val="auto"/>
          <w:szCs w:val="21"/>
        </w:rPr>
        <w:t>甲级设计等级的建筑物不宜以深厚填土作基础持力层。</w:t>
      </w:r>
    </w:p>
    <w:p w14:paraId="238574B6">
      <w:pPr>
        <w:adjustRightInd w:val="0"/>
        <w:snapToGrid w:val="0"/>
        <w:spacing w:line="340" w:lineRule="exact"/>
        <w:rPr>
          <w:color w:val="auto"/>
          <w:szCs w:val="21"/>
        </w:rPr>
      </w:pPr>
      <w:r>
        <w:rPr>
          <w:color w:val="auto"/>
          <w:szCs w:val="21"/>
        </w:rPr>
        <w:t xml:space="preserve">    初步设计时，对于压实的碎石、卵石预估的承载力特征值不宜大于250</w:t>
      </w:r>
      <w:r>
        <w:rPr>
          <w:iCs/>
          <w:color w:val="auto"/>
          <w:szCs w:val="21"/>
        </w:rPr>
        <w:t>kPa</w:t>
      </w:r>
      <w:r>
        <w:rPr>
          <w:color w:val="auto"/>
          <w:szCs w:val="21"/>
        </w:rPr>
        <w:t>，压实的土夹石不宜大于180</w:t>
      </w:r>
      <w:r>
        <w:rPr>
          <w:iCs/>
          <w:color w:val="auto"/>
          <w:szCs w:val="21"/>
        </w:rPr>
        <w:t>kPa</w:t>
      </w:r>
      <w:r>
        <w:rPr>
          <w:color w:val="auto"/>
          <w:szCs w:val="21"/>
        </w:rPr>
        <w:t>，压实的黏性土、粉土不宜大于150</w:t>
      </w:r>
      <w:r>
        <w:rPr>
          <w:iCs/>
          <w:color w:val="auto"/>
          <w:szCs w:val="21"/>
        </w:rPr>
        <w:t>kPa</w:t>
      </w:r>
      <w:r>
        <w:rPr>
          <w:color w:val="auto"/>
          <w:szCs w:val="21"/>
        </w:rPr>
        <w:t>。</w:t>
      </w:r>
    </w:p>
    <w:p w14:paraId="4C20A7A2">
      <w:pPr>
        <w:adjustRightInd w:val="0"/>
        <w:snapToGrid w:val="0"/>
        <w:spacing w:line="340" w:lineRule="exact"/>
        <w:rPr>
          <w:color w:val="auto"/>
          <w:szCs w:val="21"/>
        </w:rPr>
      </w:pPr>
      <w:r>
        <w:rPr>
          <w:b/>
          <w:bCs/>
          <w:color w:val="auto"/>
          <w:szCs w:val="21"/>
        </w:rPr>
        <w:t>10.6.7</w:t>
      </w:r>
      <w:r>
        <w:rPr>
          <w:color w:val="auto"/>
          <w:szCs w:val="21"/>
        </w:rPr>
        <w:t xml:space="preserve">  压实填土的填料，应符合下列规定：</w:t>
      </w:r>
    </w:p>
    <w:p w14:paraId="59E5E4B5">
      <w:pPr>
        <w:adjustRightInd w:val="0"/>
        <w:snapToGrid w:val="0"/>
        <w:spacing w:line="340" w:lineRule="exact"/>
        <w:ind w:firstLine="422" w:firstLineChars="200"/>
        <w:rPr>
          <w:color w:val="auto"/>
          <w:szCs w:val="21"/>
        </w:rPr>
      </w:pPr>
      <w:r>
        <w:rPr>
          <w:b/>
          <w:bCs/>
          <w:color w:val="auto"/>
          <w:szCs w:val="21"/>
        </w:rPr>
        <w:t xml:space="preserve">a) </w:t>
      </w:r>
      <w:r>
        <w:rPr>
          <w:color w:val="auto"/>
          <w:szCs w:val="21"/>
        </w:rPr>
        <w:t xml:space="preserve"> 级配良好的砂土或碎石土；</w:t>
      </w:r>
    </w:p>
    <w:p w14:paraId="7A09F3BE">
      <w:pPr>
        <w:adjustRightInd w:val="0"/>
        <w:snapToGrid w:val="0"/>
        <w:spacing w:line="340" w:lineRule="exact"/>
        <w:ind w:firstLine="422" w:firstLineChars="200"/>
        <w:rPr>
          <w:color w:val="auto"/>
          <w:szCs w:val="21"/>
        </w:rPr>
      </w:pPr>
      <w:r>
        <w:rPr>
          <w:b/>
          <w:bCs/>
          <w:color w:val="auto"/>
          <w:szCs w:val="21"/>
        </w:rPr>
        <w:t xml:space="preserve">b) </w:t>
      </w:r>
      <w:r>
        <w:rPr>
          <w:color w:val="auto"/>
          <w:szCs w:val="21"/>
        </w:rPr>
        <w:t xml:space="preserve"> 性能稳定的工业废料；</w:t>
      </w:r>
    </w:p>
    <w:p w14:paraId="68C23F4C">
      <w:pPr>
        <w:adjustRightInd w:val="0"/>
        <w:snapToGrid w:val="0"/>
        <w:spacing w:line="340" w:lineRule="exact"/>
        <w:ind w:left="2" w:firstLine="422" w:firstLineChars="200"/>
        <w:rPr>
          <w:color w:val="auto"/>
          <w:szCs w:val="21"/>
        </w:rPr>
      </w:pPr>
      <w:r>
        <w:rPr>
          <w:b/>
          <w:bCs/>
          <w:color w:val="auto"/>
          <w:szCs w:val="21"/>
        </w:rPr>
        <w:t xml:space="preserve">c) </w:t>
      </w:r>
      <w:r>
        <w:rPr>
          <w:color w:val="auto"/>
          <w:szCs w:val="21"/>
        </w:rPr>
        <w:t xml:space="preserve"> 以砾石、卵石或块石作填料时，分层夯实时其最大粒径不宜大于400</w:t>
      </w:r>
      <w:r>
        <w:rPr>
          <w:iCs/>
          <w:color w:val="auto"/>
          <w:szCs w:val="21"/>
        </w:rPr>
        <w:t>mm</w:t>
      </w:r>
      <w:r>
        <w:rPr>
          <w:color w:val="auto"/>
          <w:szCs w:val="21"/>
        </w:rPr>
        <w:t>；分层压实时其最大粒径不宜大于200</w:t>
      </w:r>
      <w:r>
        <w:rPr>
          <w:iCs/>
          <w:color w:val="auto"/>
          <w:szCs w:val="21"/>
        </w:rPr>
        <w:t>mm</w:t>
      </w:r>
      <w:r>
        <w:rPr>
          <w:color w:val="auto"/>
          <w:szCs w:val="21"/>
        </w:rPr>
        <w:t>；</w:t>
      </w:r>
    </w:p>
    <w:p w14:paraId="12B23C11">
      <w:pPr>
        <w:adjustRightInd w:val="0"/>
        <w:snapToGrid w:val="0"/>
        <w:spacing w:line="340" w:lineRule="exact"/>
        <w:ind w:firstLine="422" w:firstLineChars="200"/>
        <w:rPr>
          <w:color w:val="auto"/>
          <w:szCs w:val="21"/>
        </w:rPr>
      </w:pPr>
      <w:r>
        <w:rPr>
          <w:b/>
          <w:bCs/>
          <w:color w:val="auto"/>
          <w:szCs w:val="21"/>
        </w:rPr>
        <w:t xml:space="preserve">d) </w:t>
      </w:r>
      <w:r>
        <w:rPr>
          <w:color w:val="auto"/>
          <w:szCs w:val="21"/>
        </w:rPr>
        <w:t xml:space="preserve"> 以粉质黏土、粉土作填料时，其含水率宜为最优含水率，可采用击实试验确定；</w:t>
      </w:r>
    </w:p>
    <w:p w14:paraId="67E10BF2">
      <w:pPr>
        <w:adjustRightInd w:val="0"/>
        <w:snapToGrid w:val="0"/>
        <w:spacing w:line="340" w:lineRule="exact"/>
        <w:ind w:firstLine="422" w:firstLineChars="200"/>
        <w:rPr>
          <w:color w:val="auto"/>
          <w:szCs w:val="21"/>
        </w:rPr>
      </w:pPr>
      <w:r>
        <w:rPr>
          <w:b/>
          <w:bCs/>
          <w:color w:val="auto"/>
          <w:szCs w:val="21"/>
        </w:rPr>
        <w:t xml:space="preserve">e) </w:t>
      </w:r>
      <w:r>
        <w:rPr>
          <w:color w:val="auto"/>
          <w:szCs w:val="21"/>
        </w:rPr>
        <w:t xml:space="preserve"> 挖高填低或开山填沟的土料和石料，应符合设计要求；</w:t>
      </w:r>
    </w:p>
    <w:p w14:paraId="1378E775">
      <w:pPr>
        <w:adjustRightInd w:val="0"/>
        <w:snapToGrid w:val="0"/>
        <w:spacing w:line="340" w:lineRule="exact"/>
        <w:ind w:firstLine="422" w:firstLineChars="200"/>
        <w:rPr>
          <w:color w:val="auto"/>
          <w:szCs w:val="21"/>
        </w:rPr>
      </w:pPr>
      <w:r>
        <w:rPr>
          <w:b/>
          <w:bCs/>
          <w:color w:val="auto"/>
          <w:szCs w:val="21"/>
        </w:rPr>
        <w:t xml:space="preserve">f) </w:t>
      </w:r>
      <w:r>
        <w:rPr>
          <w:color w:val="auto"/>
          <w:szCs w:val="21"/>
        </w:rPr>
        <w:t xml:space="preserve"> 不得使用淤泥、耕土、冻土、膨胀性土以及有机质含量大于5%的土。</w:t>
      </w:r>
    </w:p>
    <w:p w14:paraId="0F7A9E9C">
      <w:pPr>
        <w:adjustRightInd w:val="0"/>
        <w:snapToGrid w:val="0"/>
        <w:spacing w:line="340" w:lineRule="exact"/>
        <w:rPr>
          <w:color w:val="auto"/>
          <w:szCs w:val="21"/>
        </w:rPr>
      </w:pPr>
      <w:r>
        <w:rPr>
          <w:b/>
          <w:bCs/>
          <w:color w:val="auto"/>
          <w:szCs w:val="21"/>
        </w:rPr>
        <w:t>10.6.8</w:t>
      </w:r>
      <w:r>
        <w:rPr>
          <w:color w:val="auto"/>
          <w:szCs w:val="21"/>
        </w:rPr>
        <w:t xml:space="preserve">  压实填土的施工，应符合下列规定：</w:t>
      </w:r>
    </w:p>
    <w:p w14:paraId="2F8AF670">
      <w:pPr>
        <w:adjustRightInd w:val="0"/>
        <w:snapToGrid w:val="0"/>
        <w:spacing w:line="340" w:lineRule="exact"/>
        <w:ind w:firstLine="422" w:firstLineChars="200"/>
        <w:rPr>
          <w:color w:val="auto"/>
          <w:szCs w:val="21"/>
        </w:rPr>
      </w:pPr>
      <w:r>
        <w:rPr>
          <w:b/>
          <w:bCs/>
          <w:color w:val="auto"/>
          <w:szCs w:val="21"/>
        </w:rPr>
        <w:t xml:space="preserve">a) </w:t>
      </w:r>
      <w:r>
        <w:rPr>
          <w:color w:val="auto"/>
          <w:szCs w:val="21"/>
        </w:rPr>
        <w:t xml:space="preserve"> 铺填料前，应清除或处理场地内填土层底面以下的耕土和软弱土层</w:t>
      </w:r>
      <w:r>
        <w:rPr>
          <w:rFonts w:hint="eastAsia"/>
          <w:color w:val="auto"/>
          <w:szCs w:val="21"/>
        </w:rPr>
        <w:t>，对斜坡宜开挖形成1:2（高宽比）台阶，分层压实</w:t>
      </w:r>
      <w:r>
        <w:rPr>
          <w:color w:val="auto"/>
          <w:szCs w:val="21"/>
        </w:rPr>
        <w:t>；</w:t>
      </w:r>
    </w:p>
    <w:p w14:paraId="65DED656">
      <w:pPr>
        <w:adjustRightInd w:val="0"/>
        <w:snapToGrid w:val="0"/>
        <w:spacing w:line="340" w:lineRule="exact"/>
        <w:ind w:firstLine="422" w:firstLineChars="200"/>
        <w:rPr>
          <w:color w:val="auto"/>
          <w:szCs w:val="21"/>
        </w:rPr>
      </w:pPr>
      <w:r>
        <w:rPr>
          <w:b/>
          <w:bCs/>
          <w:color w:val="auto"/>
          <w:szCs w:val="21"/>
        </w:rPr>
        <w:t xml:space="preserve">b) </w:t>
      </w:r>
      <w:r>
        <w:rPr>
          <w:color w:val="auto"/>
          <w:szCs w:val="21"/>
        </w:rPr>
        <w:t xml:space="preserve"> 分层填料的厚度、分层压实的遍数，应根据所选用的压实设备，通过试验确定；</w:t>
      </w:r>
    </w:p>
    <w:p w14:paraId="3758E88D">
      <w:pPr>
        <w:adjustRightInd w:val="0"/>
        <w:snapToGrid w:val="0"/>
        <w:spacing w:line="340" w:lineRule="exact"/>
        <w:ind w:left="2" w:firstLine="422" w:firstLineChars="200"/>
        <w:rPr>
          <w:color w:val="auto"/>
          <w:szCs w:val="21"/>
        </w:rPr>
      </w:pPr>
      <w:r>
        <w:rPr>
          <w:b/>
          <w:bCs/>
          <w:color w:val="auto"/>
          <w:szCs w:val="21"/>
        </w:rPr>
        <w:t xml:space="preserve">c) </w:t>
      </w:r>
      <w:r>
        <w:rPr>
          <w:color w:val="auto"/>
          <w:szCs w:val="21"/>
        </w:rPr>
        <w:t xml:space="preserve"> 在雨季、冬季进行压实填土施工时，应采取防雨、防冻措施，防止填料受雨水淋湿或冻结，并应采取措施防止出现</w:t>
      </w:r>
      <w:r>
        <w:rPr>
          <w:rFonts w:hint="eastAsia"/>
          <w:color w:val="auto"/>
          <w:szCs w:val="21"/>
        </w:rPr>
        <w:t>“</w:t>
      </w:r>
      <w:r>
        <w:rPr>
          <w:color w:val="auto"/>
          <w:szCs w:val="21"/>
        </w:rPr>
        <w:t>橡皮</w:t>
      </w:r>
      <w:r>
        <w:rPr>
          <w:rFonts w:hint="eastAsia"/>
          <w:color w:val="auto"/>
          <w:szCs w:val="21"/>
        </w:rPr>
        <w:t>”</w:t>
      </w:r>
      <w:r>
        <w:rPr>
          <w:color w:val="auto"/>
          <w:szCs w:val="21"/>
        </w:rPr>
        <w:t>土；</w:t>
      </w:r>
    </w:p>
    <w:p w14:paraId="36AF64E9">
      <w:pPr>
        <w:adjustRightInd w:val="0"/>
        <w:snapToGrid w:val="0"/>
        <w:spacing w:line="340" w:lineRule="exact"/>
        <w:ind w:firstLine="422" w:firstLineChars="200"/>
        <w:rPr>
          <w:color w:val="auto"/>
          <w:szCs w:val="21"/>
        </w:rPr>
      </w:pPr>
      <w:r>
        <w:rPr>
          <w:b/>
          <w:bCs/>
          <w:color w:val="auto"/>
          <w:szCs w:val="21"/>
        </w:rPr>
        <w:t xml:space="preserve">d) </w:t>
      </w:r>
      <w:r>
        <w:rPr>
          <w:color w:val="auto"/>
          <w:szCs w:val="21"/>
        </w:rPr>
        <w:t xml:space="preserve"> </w:t>
      </w:r>
      <w:r>
        <w:rPr>
          <w:rFonts w:hint="eastAsia"/>
          <w:color w:val="auto"/>
          <w:szCs w:val="21"/>
        </w:rPr>
        <w:t>各层</w:t>
      </w:r>
      <w:r>
        <w:rPr>
          <w:color w:val="auto"/>
          <w:szCs w:val="21"/>
        </w:rPr>
        <w:t>压实填土的施工缝应错开搭接，在施工缝的搭接处，应适当增加压实遍数。</w:t>
      </w:r>
    </w:p>
    <w:p w14:paraId="7EF39136">
      <w:pPr>
        <w:adjustRightInd w:val="0"/>
        <w:snapToGrid w:val="0"/>
        <w:spacing w:line="340" w:lineRule="exact"/>
        <w:rPr>
          <w:color w:val="auto"/>
          <w:szCs w:val="21"/>
        </w:rPr>
      </w:pPr>
      <w:r>
        <w:rPr>
          <w:b/>
          <w:bCs/>
          <w:color w:val="auto"/>
          <w:szCs w:val="21"/>
        </w:rPr>
        <w:t>10.6.9</w:t>
      </w:r>
      <w:r>
        <w:rPr>
          <w:color w:val="auto"/>
          <w:szCs w:val="21"/>
        </w:rPr>
        <w:t xml:space="preserve">  压实填土的质量以压实系数</w:t>
      </w:r>
      <w:r>
        <w:rPr>
          <w:color w:val="auto"/>
          <w:position w:val="-12"/>
          <w:szCs w:val="21"/>
        </w:rPr>
        <w:object>
          <v:shape id="_x0000_i1270" o:spt="75" type="#_x0000_t75" style="height:21.75pt;width:15pt;" o:ole="t" filled="f" o:preferrelative="t" stroked="f" coordsize="21600,21600">
            <v:path/>
            <v:fill on="f" focussize="0,0"/>
            <v:stroke on="f" joinstyle="miter"/>
            <v:imagedata r:id="rId481" o:title=""/>
            <o:lock v:ext="edit" aspectratio="t"/>
            <w10:wrap type="none"/>
            <w10:anchorlock/>
          </v:shape>
          <o:OLEObject Type="Embed" ProgID="Equation.DSMT4" ShapeID="_x0000_i1270" DrawAspect="Content" ObjectID="_1468075970" r:id="rId480">
            <o:LockedField>false</o:LockedField>
          </o:OLEObject>
        </w:object>
      </w:r>
      <w:r>
        <w:rPr>
          <w:color w:val="auto"/>
          <w:szCs w:val="21"/>
        </w:rPr>
        <w:t>控制，并应根据结构类型和压实填土所在部位按表43的数值确定。</w:t>
      </w:r>
    </w:p>
    <w:p w14:paraId="726E946A">
      <w:pPr>
        <w:adjustRightInd w:val="0"/>
        <w:snapToGrid w:val="0"/>
        <w:spacing w:line="360" w:lineRule="atLeast"/>
        <w:jc w:val="center"/>
        <w:rPr>
          <w:rFonts w:eastAsia="黑体"/>
          <w:b/>
          <w:bCs/>
          <w:color w:val="auto"/>
          <w:szCs w:val="21"/>
        </w:rPr>
      </w:pPr>
      <w:r>
        <w:rPr>
          <w:rFonts w:eastAsia="黑体"/>
          <w:b/>
          <w:bCs/>
          <w:color w:val="auto"/>
          <w:szCs w:val="21"/>
        </w:rPr>
        <w:t>表43   压实填土的质量控制</w:t>
      </w:r>
    </w:p>
    <w:tbl>
      <w:tblPr>
        <w:tblStyle w:val="36"/>
        <w:tblW w:w="92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96"/>
        <w:gridCol w:w="3291"/>
        <w:gridCol w:w="1722"/>
        <w:gridCol w:w="1905"/>
      </w:tblGrid>
      <w:tr w14:paraId="10BEF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296" w:type="dxa"/>
            <w:vAlign w:val="center"/>
          </w:tcPr>
          <w:p w14:paraId="407F8D60">
            <w:pPr>
              <w:adjustRightInd w:val="0"/>
              <w:snapToGrid w:val="0"/>
              <w:spacing w:line="300" w:lineRule="exact"/>
              <w:jc w:val="center"/>
              <w:rPr>
                <w:color w:val="auto"/>
                <w:sz w:val="18"/>
                <w:szCs w:val="18"/>
              </w:rPr>
            </w:pPr>
            <w:r>
              <w:rPr>
                <w:color w:val="auto"/>
                <w:sz w:val="18"/>
                <w:szCs w:val="18"/>
              </w:rPr>
              <w:t>结构类型</w:t>
            </w:r>
          </w:p>
        </w:tc>
        <w:tc>
          <w:tcPr>
            <w:tcW w:w="3291" w:type="dxa"/>
            <w:vAlign w:val="center"/>
          </w:tcPr>
          <w:p w14:paraId="1874EAB1">
            <w:pPr>
              <w:adjustRightInd w:val="0"/>
              <w:snapToGrid w:val="0"/>
              <w:spacing w:line="260" w:lineRule="exact"/>
              <w:jc w:val="center"/>
              <w:rPr>
                <w:color w:val="auto"/>
                <w:sz w:val="18"/>
                <w:szCs w:val="18"/>
              </w:rPr>
            </w:pPr>
            <w:r>
              <w:rPr>
                <w:color w:val="auto"/>
                <w:sz w:val="18"/>
                <w:szCs w:val="18"/>
              </w:rPr>
              <w:t>填土部位</w:t>
            </w:r>
          </w:p>
        </w:tc>
        <w:tc>
          <w:tcPr>
            <w:tcW w:w="1722" w:type="dxa"/>
            <w:vAlign w:val="center"/>
          </w:tcPr>
          <w:p w14:paraId="30A628F6">
            <w:pPr>
              <w:adjustRightInd w:val="0"/>
              <w:snapToGrid w:val="0"/>
              <w:spacing w:line="240" w:lineRule="atLeast"/>
              <w:jc w:val="center"/>
              <w:rPr>
                <w:color w:val="auto"/>
                <w:sz w:val="18"/>
                <w:szCs w:val="18"/>
              </w:rPr>
            </w:pPr>
            <w:r>
              <w:rPr>
                <w:color w:val="auto"/>
                <w:sz w:val="18"/>
                <w:szCs w:val="18"/>
              </w:rPr>
              <w:t>压实系数</w:t>
            </w:r>
            <w:r>
              <w:rPr>
                <w:color w:val="auto"/>
                <w:position w:val="-12"/>
                <w:sz w:val="18"/>
                <w:szCs w:val="18"/>
              </w:rPr>
              <w:object>
                <v:shape id="_x0000_i1271" o:spt="75" type="#_x0000_t75" style="height:21.75pt;width:8.25pt;" o:ole="t" filled="f" o:preferrelative="t" stroked="f" coordsize="21600,21600">
                  <v:path/>
                  <v:fill on="f" focussize="0,0"/>
                  <v:stroke on="f" joinstyle="miter"/>
                  <v:imagedata r:id="rId483" o:title=""/>
                  <o:lock v:ext="edit" aspectratio="t"/>
                  <w10:wrap type="none"/>
                  <w10:anchorlock/>
                </v:shape>
                <o:OLEObject Type="Embed" ProgID="Equation.DSMT4" ShapeID="_x0000_i1271" DrawAspect="Content" ObjectID="_1468075971" r:id="rId482">
                  <o:LockedField>false</o:LockedField>
                </o:OLEObject>
              </w:object>
            </w:r>
          </w:p>
        </w:tc>
        <w:tc>
          <w:tcPr>
            <w:tcW w:w="1905" w:type="dxa"/>
            <w:vAlign w:val="center"/>
          </w:tcPr>
          <w:p w14:paraId="7817C99E">
            <w:pPr>
              <w:adjustRightInd w:val="0"/>
              <w:snapToGrid w:val="0"/>
              <w:spacing w:line="300" w:lineRule="exact"/>
              <w:jc w:val="center"/>
              <w:rPr>
                <w:color w:val="auto"/>
                <w:sz w:val="18"/>
                <w:szCs w:val="18"/>
              </w:rPr>
            </w:pPr>
            <w:r>
              <w:rPr>
                <w:color w:val="auto"/>
                <w:sz w:val="18"/>
                <w:szCs w:val="18"/>
              </w:rPr>
              <w:t>控制含水率（%）</w:t>
            </w:r>
          </w:p>
        </w:tc>
      </w:tr>
      <w:tr w14:paraId="4888E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296" w:type="dxa"/>
            <w:vMerge w:val="restart"/>
            <w:vAlign w:val="center"/>
          </w:tcPr>
          <w:p w14:paraId="204CB148">
            <w:pPr>
              <w:adjustRightInd w:val="0"/>
              <w:snapToGrid w:val="0"/>
              <w:jc w:val="center"/>
              <w:rPr>
                <w:color w:val="auto"/>
                <w:sz w:val="18"/>
                <w:szCs w:val="18"/>
              </w:rPr>
            </w:pPr>
            <w:r>
              <w:rPr>
                <w:color w:val="auto"/>
                <w:sz w:val="18"/>
                <w:szCs w:val="18"/>
              </w:rPr>
              <w:t>砌体承重结构和框架结构</w:t>
            </w:r>
          </w:p>
        </w:tc>
        <w:tc>
          <w:tcPr>
            <w:tcW w:w="3291" w:type="dxa"/>
            <w:vAlign w:val="center"/>
          </w:tcPr>
          <w:p w14:paraId="1399DAB5">
            <w:pPr>
              <w:adjustRightInd w:val="0"/>
              <w:snapToGrid w:val="0"/>
              <w:spacing w:line="260" w:lineRule="exact"/>
              <w:rPr>
                <w:color w:val="auto"/>
                <w:sz w:val="18"/>
                <w:szCs w:val="18"/>
              </w:rPr>
            </w:pPr>
            <w:r>
              <w:rPr>
                <w:color w:val="auto"/>
                <w:sz w:val="18"/>
                <w:szCs w:val="18"/>
              </w:rPr>
              <w:t>在地基主要受力层范围内</w:t>
            </w:r>
          </w:p>
        </w:tc>
        <w:tc>
          <w:tcPr>
            <w:tcW w:w="1722" w:type="dxa"/>
            <w:vAlign w:val="center"/>
          </w:tcPr>
          <w:p w14:paraId="4D00AE30">
            <w:pPr>
              <w:adjustRightInd w:val="0"/>
              <w:snapToGrid w:val="0"/>
              <w:spacing w:line="260" w:lineRule="exact"/>
              <w:jc w:val="center"/>
              <w:rPr>
                <w:color w:val="auto"/>
                <w:sz w:val="18"/>
                <w:szCs w:val="18"/>
              </w:rPr>
            </w:pPr>
            <w:r>
              <w:rPr>
                <w:color w:val="auto"/>
                <w:sz w:val="18"/>
                <w:szCs w:val="18"/>
              </w:rPr>
              <w:t>≥0.97</w:t>
            </w:r>
          </w:p>
        </w:tc>
        <w:tc>
          <w:tcPr>
            <w:tcW w:w="1905" w:type="dxa"/>
            <w:vMerge w:val="restart"/>
            <w:vAlign w:val="center"/>
          </w:tcPr>
          <w:p w14:paraId="2BEB4FFF">
            <w:pPr>
              <w:adjustRightInd w:val="0"/>
              <w:snapToGrid w:val="0"/>
              <w:spacing w:line="240" w:lineRule="atLeast"/>
              <w:jc w:val="center"/>
              <w:rPr>
                <w:color w:val="auto"/>
                <w:sz w:val="18"/>
                <w:szCs w:val="18"/>
              </w:rPr>
            </w:pPr>
            <w:r>
              <w:rPr>
                <w:color w:val="auto"/>
                <w:position w:val="-14"/>
                <w:sz w:val="18"/>
                <w:szCs w:val="18"/>
              </w:rPr>
              <w:object>
                <v:shape id="_x0000_i1272" o:spt="75" type="#_x0000_t75" style="height:21.75pt;width:28.5pt;" o:ole="t" filled="f" o:preferrelative="t" stroked="f" coordsize="21600,21600">
                  <v:path/>
                  <v:fill on="f" focussize="0,0"/>
                  <v:stroke on="f" joinstyle="miter"/>
                  <v:imagedata r:id="rId485" o:title=""/>
                  <o:lock v:ext="edit" aspectratio="t"/>
                  <w10:wrap type="none"/>
                  <w10:anchorlock/>
                </v:shape>
                <o:OLEObject Type="Embed" ProgID="Equation.DSMT4" ShapeID="_x0000_i1272" DrawAspect="Content" ObjectID="_1468075972" r:id="rId484">
                  <o:LockedField>false</o:LockedField>
                </o:OLEObject>
              </w:object>
            </w:r>
          </w:p>
        </w:tc>
      </w:tr>
      <w:tr w14:paraId="1B13E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296" w:type="dxa"/>
            <w:vMerge w:val="continue"/>
            <w:vAlign w:val="center"/>
          </w:tcPr>
          <w:p w14:paraId="75F2F213">
            <w:pPr>
              <w:adjustRightInd w:val="0"/>
              <w:snapToGrid w:val="0"/>
              <w:spacing w:line="300" w:lineRule="exact"/>
              <w:jc w:val="center"/>
              <w:rPr>
                <w:color w:val="auto"/>
                <w:sz w:val="18"/>
                <w:szCs w:val="18"/>
              </w:rPr>
            </w:pPr>
          </w:p>
        </w:tc>
        <w:tc>
          <w:tcPr>
            <w:tcW w:w="3291" w:type="dxa"/>
            <w:vAlign w:val="center"/>
          </w:tcPr>
          <w:p w14:paraId="046FAE13">
            <w:pPr>
              <w:adjustRightInd w:val="0"/>
              <w:snapToGrid w:val="0"/>
              <w:spacing w:line="260" w:lineRule="exact"/>
              <w:rPr>
                <w:color w:val="auto"/>
                <w:sz w:val="18"/>
                <w:szCs w:val="18"/>
              </w:rPr>
            </w:pPr>
            <w:r>
              <w:rPr>
                <w:color w:val="auto"/>
                <w:sz w:val="18"/>
                <w:szCs w:val="18"/>
              </w:rPr>
              <w:t>在地基主要受力层范围以下</w:t>
            </w:r>
          </w:p>
        </w:tc>
        <w:tc>
          <w:tcPr>
            <w:tcW w:w="1722" w:type="dxa"/>
            <w:vAlign w:val="center"/>
          </w:tcPr>
          <w:p w14:paraId="3EF89DD5">
            <w:pPr>
              <w:adjustRightInd w:val="0"/>
              <w:snapToGrid w:val="0"/>
              <w:spacing w:line="260" w:lineRule="exact"/>
              <w:jc w:val="center"/>
              <w:rPr>
                <w:color w:val="auto"/>
                <w:sz w:val="18"/>
                <w:szCs w:val="18"/>
              </w:rPr>
            </w:pPr>
            <w:r>
              <w:rPr>
                <w:color w:val="auto"/>
                <w:sz w:val="18"/>
                <w:szCs w:val="18"/>
              </w:rPr>
              <w:t>≥0.95</w:t>
            </w:r>
          </w:p>
        </w:tc>
        <w:tc>
          <w:tcPr>
            <w:tcW w:w="1905" w:type="dxa"/>
            <w:vMerge w:val="continue"/>
            <w:vAlign w:val="center"/>
          </w:tcPr>
          <w:p w14:paraId="426E8E1C">
            <w:pPr>
              <w:adjustRightInd w:val="0"/>
              <w:snapToGrid w:val="0"/>
              <w:spacing w:line="300" w:lineRule="exact"/>
              <w:jc w:val="center"/>
              <w:rPr>
                <w:color w:val="auto"/>
                <w:sz w:val="18"/>
                <w:szCs w:val="18"/>
              </w:rPr>
            </w:pPr>
          </w:p>
        </w:tc>
      </w:tr>
      <w:tr w14:paraId="75E91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296" w:type="dxa"/>
            <w:vMerge w:val="restart"/>
            <w:vAlign w:val="center"/>
          </w:tcPr>
          <w:p w14:paraId="2A3D9B3C">
            <w:pPr>
              <w:adjustRightInd w:val="0"/>
              <w:snapToGrid w:val="0"/>
              <w:spacing w:line="300" w:lineRule="exact"/>
              <w:jc w:val="center"/>
              <w:rPr>
                <w:color w:val="auto"/>
                <w:sz w:val="18"/>
                <w:szCs w:val="18"/>
              </w:rPr>
            </w:pPr>
            <w:r>
              <w:rPr>
                <w:color w:val="auto"/>
                <w:sz w:val="18"/>
                <w:szCs w:val="18"/>
              </w:rPr>
              <w:t>排架结构</w:t>
            </w:r>
          </w:p>
        </w:tc>
        <w:tc>
          <w:tcPr>
            <w:tcW w:w="3291" w:type="dxa"/>
            <w:vAlign w:val="center"/>
          </w:tcPr>
          <w:p w14:paraId="2A4D2F76">
            <w:pPr>
              <w:adjustRightInd w:val="0"/>
              <w:snapToGrid w:val="0"/>
              <w:spacing w:line="260" w:lineRule="exact"/>
              <w:rPr>
                <w:color w:val="auto"/>
                <w:sz w:val="18"/>
                <w:szCs w:val="18"/>
              </w:rPr>
            </w:pPr>
            <w:r>
              <w:rPr>
                <w:color w:val="auto"/>
                <w:sz w:val="18"/>
                <w:szCs w:val="18"/>
              </w:rPr>
              <w:t>在地基主要受力层范围内</w:t>
            </w:r>
          </w:p>
        </w:tc>
        <w:tc>
          <w:tcPr>
            <w:tcW w:w="1722" w:type="dxa"/>
            <w:vAlign w:val="center"/>
          </w:tcPr>
          <w:p w14:paraId="694E4AF9">
            <w:pPr>
              <w:adjustRightInd w:val="0"/>
              <w:snapToGrid w:val="0"/>
              <w:spacing w:line="260" w:lineRule="exact"/>
              <w:jc w:val="center"/>
              <w:rPr>
                <w:color w:val="auto"/>
                <w:sz w:val="18"/>
                <w:szCs w:val="18"/>
              </w:rPr>
            </w:pPr>
            <w:r>
              <w:rPr>
                <w:color w:val="auto"/>
                <w:sz w:val="18"/>
                <w:szCs w:val="18"/>
              </w:rPr>
              <w:t>≥0.96</w:t>
            </w:r>
          </w:p>
        </w:tc>
        <w:tc>
          <w:tcPr>
            <w:tcW w:w="1905" w:type="dxa"/>
            <w:vMerge w:val="continue"/>
            <w:vAlign w:val="center"/>
          </w:tcPr>
          <w:p w14:paraId="083369CC">
            <w:pPr>
              <w:adjustRightInd w:val="0"/>
              <w:snapToGrid w:val="0"/>
              <w:spacing w:line="300" w:lineRule="exact"/>
              <w:jc w:val="center"/>
              <w:rPr>
                <w:color w:val="auto"/>
                <w:sz w:val="18"/>
                <w:szCs w:val="18"/>
              </w:rPr>
            </w:pPr>
          </w:p>
        </w:tc>
      </w:tr>
      <w:tr w14:paraId="5C1E3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296" w:type="dxa"/>
            <w:vMerge w:val="continue"/>
            <w:vAlign w:val="center"/>
          </w:tcPr>
          <w:p w14:paraId="502ADA7E">
            <w:pPr>
              <w:adjustRightInd w:val="0"/>
              <w:snapToGrid w:val="0"/>
              <w:spacing w:line="300" w:lineRule="exact"/>
              <w:jc w:val="center"/>
              <w:rPr>
                <w:color w:val="auto"/>
                <w:sz w:val="18"/>
                <w:szCs w:val="18"/>
              </w:rPr>
            </w:pPr>
          </w:p>
        </w:tc>
        <w:tc>
          <w:tcPr>
            <w:tcW w:w="3291" w:type="dxa"/>
            <w:vAlign w:val="center"/>
          </w:tcPr>
          <w:p w14:paraId="6FA4181E">
            <w:pPr>
              <w:adjustRightInd w:val="0"/>
              <w:snapToGrid w:val="0"/>
              <w:spacing w:line="260" w:lineRule="exact"/>
              <w:rPr>
                <w:color w:val="auto"/>
                <w:sz w:val="18"/>
                <w:szCs w:val="18"/>
              </w:rPr>
            </w:pPr>
            <w:r>
              <w:rPr>
                <w:color w:val="auto"/>
                <w:sz w:val="18"/>
                <w:szCs w:val="18"/>
              </w:rPr>
              <w:t>在地基主要受力层范围以下</w:t>
            </w:r>
          </w:p>
        </w:tc>
        <w:tc>
          <w:tcPr>
            <w:tcW w:w="1722" w:type="dxa"/>
            <w:vAlign w:val="center"/>
          </w:tcPr>
          <w:p w14:paraId="47AEEB0D">
            <w:pPr>
              <w:adjustRightInd w:val="0"/>
              <w:snapToGrid w:val="0"/>
              <w:spacing w:line="260" w:lineRule="exact"/>
              <w:jc w:val="center"/>
              <w:rPr>
                <w:color w:val="auto"/>
                <w:sz w:val="18"/>
                <w:szCs w:val="18"/>
              </w:rPr>
            </w:pPr>
            <w:r>
              <w:rPr>
                <w:color w:val="auto"/>
                <w:sz w:val="18"/>
                <w:szCs w:val="18"/>
              </w:rPr>
              <w:t>≥0.94</w:t>
            </w:r>
          </w:p>
        </w:tc>
        <w:tc>
          <w:tcPr>
            <w:tcW w:w="1905" w:type="dxa"/>
            <w:vMerge w:val="continue"/>
            <w:vAlign w:val="center"/>
          </w:tcPr>
          <w:p w14:paraId="3DE74955">
            <w:pPr>
              <w:adjustRightInd w:val="0"/>
              <w:snapToGrid w:val="0"/>
              <w:spacing w:line="300" w:lineRule="exact"/>
              <w:jc w:val="center"/>
              <w:rPr>
                <w:color w:val="auto"/>
                <w:sz w:val="18"/>
                <w:szCs w:val="18"/>
              </w:rPr>
            </w:pPr>
          </w:p>
        </w:tc>
      </w:tr>
      <w:tr w14:paraId="683AB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jc w:val="center"/>
        </w:trPr>
        <w:tc>
          <w:tcPr>
            <w:tcW w:w="9214" w:type="dxa"/>
            <w:gridSpan w:val="4"/>
            <w:vAlign w:val="center"/>
          </w:tcPr>
          <w:p w14:paraId="2C54FACC">
            <w:pPr>
              <w:adjustRightInd w:val="0"/>
              <w:snapToGrid w:val="0"/>
              <w:spacing w:line="200" w:lineRule="atLeast"/>
              <w:ind w:left="508" w:hanging="507" w:hangingChars="282"/>
              <w:rPr>
                <w:color w:val="auto"/>
                <w:sz w:val="18"/>
                <w:szCs w:val="18"/>
              </w:rPr>
            </w:pPr>
            <w:r>
              <w:rPr>
                <w:color w:val="auto"/>
                <w:sz w:val="18"/>
                <w:szCs w:val="18"/>
              </w:rPr>
              <w:t>注</w:t>
            </w:r>
            <w:r>
              <w:rPr>
                <w:b/>
                <w:bCs/>
                <w:color w:val="auto"/>
                <w:sz w:val="18"/>
                <w:szCs w:val="18"/>
              </w:rPr>
              <w:t>1</w:t>
            </w:r>
            <w:r>
              <w:rPr>
                <w:rFonts w:hint="eastAsia"/>
                <w:b/>
                <w:bCs/>
                <w:color w:val="auto"/>
                <w:sz w:val="18"/>
                <w:szCs w:val="18"/>
              </w:rPr>
              <w:t>:</w:t>
            </w:r>
            <w:r>
              <w:rPr>
                <w:rFonts w:hint="eastAsia"/>
                <w:color w:val="auto"/>
                <w:sz w:val="18"/>
                <w:szCs w:val="18"/>
              </w:rPr>
              <w:t xml:space="preserve"> </w:t>
            </w:r>
            <w:r>
              <w:rPr>
                <w:color w:val="auto"/>
                <w:sz w:val="18"/>
                <w:szCs w:val="18"/>
              </w:rPr>
              <w:t>压实系数</w:t>
            </w:r>
            <w:r>
              <w:rPr>
                <w:color w:val="auto"/>
                <w:position w:val="-12"/>
                <w:sz w:val="18"/>
                <w:szCs w:val="18"/>
              </w:rPr>
              <w:object>
                <v:shape id="_x0000_i1273" o:spt="75" type="#_x0000_t75" style="height:21.75pt;width:8.25pt;" o:ole="t" filled="f" o:preferrelative="t" stroked="f" coordsize="21600,21600">
                  <v:path/>
                  <v:fill on="f" focussize="0,0"/>
                  <v:stroke on="f" joinstyle="miter"/>
                  <v:imagedata r:id="rId483" o:title=""/>
                  <o:lock v:ext="edit" aspectratio="t"/>
                  <w10:wrap type="none"/>
                  <w10:anchorlock/>
                </v:shape>
                <o:OLEObject Type="Embed" ProgID="Equation.DSMT4" ShapeID="_x0000_i1273" DrawAspect="Content" ObjectID="_1468075973" r:id="rId486">
                  <o:LockedField>false</o:LockedField>
                </o:OLEObject>
              </w:object>
            </w:r>
            <w:r>
              <w:rPr>
                <w:color w:val="auto"/>
                <w:sz w:val="18"/>
                <w:szCs w:val="18"/>
              </w:rPr>
              <w:t>为压实填土的控制干密度</w:t>
            </w:r>
            <w:r>
              <w:rPr>
                <w:color w:val="auto"/>
                <w:position w:val="-12"/>
                <w:sz w:val="18"/>
                <w:szCs w:val="18"/>
              </w:rPr>
              <w:object>
                <v:shape id="_x0000_i1274" o:spt="75" type="#_x0000_t75" style="height:21.75pt;width:15pt;" o:ole="t" filled="f" o:preferrelative="t" stroked="f" coordsize="21600,21600">
                  <v:path/>
                  <v:fill on="f" focussize="0,0"/>
                  <v:stroke on="f" joinstyle="miter"/>
                  <v:imagedata r:id="rId488" o:title=""/>
                  <o:lock v:ext="edit" aspectratio="t"/>
                  <w10:wrap type="none"/>
                  <w10:anchorlock/>
                </v:shape>
                <o:OLEObject Type="Embed" ProgID="Equation.DSMT4" ShapeID="_x0000_i1274" DrawAspect="Content" ObjectID="_1468075974" r:id="rId487">
                  <o:LockedField>false</o:LockedField>
                </o:OLEObject>
              </w:object>
            </w:r>
            <w:r>
              <w:rPr>
                <w:color w:val="auto"/>
                <w:sz w:val="18"/>
                <w:szCs w:val="18"/>
              </w:rPr>
              <w:t>与最大干密度</w:t>
            </w:r>
            <w:r>
              <w:rPr>
                <w:color w:val="auto"/>
                <w:position w:val="-12"/>
                <w:sz w:val="18"/>
                <w:szCs w:val="18"/>
              </w:rPr>
              <w:object>
                <v:shape id="_x0000_i1275" o:spt="75" type="#_x0000_t75" style="height:21.75pt;width:21.75pt;" o:ole="t" filled="f" o:preferrelative="t" stroked="f" coordsize="21600,21600">
                  <v:path/>
                  <v:fill on="f" focussize="0,0"/>
                  <v:stroke on="f" joinstyle="miter"/>
                  <v:imagedata r:id="rId490" o:title=""/>
                  <o:lock v:ext="edit" aspectratio="t"/>
                  <w10:wrap type="none"/>
                  <w10:anchorlock/>
                </v:shape>
                <o:OLEObject Type="Embed" ProgID="Equation.DSMT4" ShapeID="_x0000_i1275" DrawAspect="Content" ObjectID="_1468075975" r:id="rId489">
                  <o:LockedField>false</o:LockedField>
                </o:OLEObject>
              </w:object>
            </w:r>
            <w:r>
              <w:rPr>
                <w:color w:val="auto"/>
                <w:sz w:val="18"/>
                <w:szCs w:val="18"/>
              </w:rPr>
              <w:t>的比值，</w:t>
            </w:r>
            <w:r>
              <w:rPr>
                <w:color w:val="auto"/>
                <w:position w:val="-14"/>
                <w:sz w:val="18"/>
                <w:szCs w:val="18"/>
              </w:rPr>
              <w:object>
                <v:shape id="_x0000_i1276" o:spt="75" type="#_x0000_t75" style="height:21.75pt;width:15pt;" o:ole="t" filled="f" o:preferrelative="t" stroked="f" coordsize="21600,21600">
                  <v:path/>
                  <v:fill on="f" focussize="0,0"/>
                  <v:stroke on="f" joinstyle="miter"/>
                  <v:imagedata r:id="rId492" o:title=""/>
                  <o:lock v:ext="edit" aspectratio="t"/>
                  <w10:wrap type="none"/>
                  <w10:anchorlock/>
                </v:shape>
                <o:OLEObject Type="Embed" ProgID="Equation.DSMT4" ShapeID="_x0000_i1276" DrawAspect="Content" ObjectID="_1468075976" r:id="rId491">
                  <o:LockedField>false</o:LockedField>
                </o:OLEObject>
              </w:object>
            </w:r>
            <w:r>
              <w:rPr>
                <w:color w:val="auto"/>
                <w:sz w:val="18"/>
                <w:szCs w:val="18"/>
              </w:rPr>
              <w:t>为最优含水率；压实系数采用轻型击实试验确定</w:t>
            </w:r>
            <w:r>
              <w:rPr>
                <w:rFonts w:hint="eastAsia"/>
                <w:color w:val="auto"/>
                <w:sz w:val="18"/>
                <w:szCs w:val="18"/>
              </w:rPr>
              <w:t>，道路工程采用重型击实试验确定</w:t>
            </w:r>
            <w:r>
              <w:rPr>
                <w:color w:val="auto"/>
                <w:sz w:val="18"/>
                <w:szCs w:val="18"/>
              </w:rPr>
              <w:t>。</w:t>
            </w:r>
          </w:p>
          <w:p w14:paraId="3F671DCF">
            <w:pPr>
              <w:adjustRightInd w:val="0"/>
              <w:snapToGrid w:val="0"/>
              <w:spacing w:line="240" w:lineRule="atLeast"/>
              <w:ind w:firstLine="18" w:firstLineChars="10"/>
              <w:rPr>
                <w:color w:val="auto"/>
                <w:sz w:val="18"/>
                <w:szCs w:val="18"/>
              </w:rPr>
            </w:pPr>
            <w:r>
              <w:rPr>
                <w:color w:val="auto"/>
                <w:sz w:val="18"/>
                <w:szCs w:val="18"/>
              </w:rPr>
              <w:t>注</w:t>
            </w:r>
            <w:r>
              <w:rPr>
                <w:b/>
                <w:bCs/>
                <w:color w:val="auto"/>
                <w:sz w:val="18"/>
                <w:szCs w:val="18"/>
              </w:rPr>
              <w:t>2</w:t>
            </w:r>
            <w:r>
              <w:rPr>
                <w:rFonts w:hint="eastAsia"/>
                <w:b/>
                <w:bCs/>
                <w:color w:val="auto"/>
                <w:sz w:val="18"/>
                <w:szCs w:val="18"/>
              </w:rPr>
              <w:t>:</w:t>
            </w:r>
            <w:r>
              <w:rPr>
                <w:rFonts w:hint="eastAsia"/>
                <w:color w:val="auto"/>
                <w:sz w:val="18"/>
                <w:szCs w:val="18"/>
              </w:rPr>
              <w:t xml:space="preserve"> </w:t>
            </w:r>
            <w:r>
              <w:rPr>
                <w:color w:val="auto"/>
                <w:sz w:val="18"/>
                <w:szCs w:val="18"/>
              </w:rPr>
              <w:t>地坪垫层以下及基础底面标高以上的压实填土，压实系数不应小于0.94。</w:t>
            </w:r>
          </w:p>
        </w:tc>
      </w:tr>
    </w:tbl>
    <w:p w14:paraId="33862585">
      <w:pPr>
        <w:adjustRightInd w:val="0"/>
        <w:snapToGrid w:val="0"/>
        <w:spacing w:before="120" w:line="360" w:lineRule="atLeast"/>
        <w:rPr>
          <w:color w:val="auto"/>
          <w:szCs w:val="21"/>
        </w:rPr>
      </w:pPr>
      <w:r>
        <w:rPr>
          <w:b/>
          <w:bCs/>
          <w:color w:val="auto"/>
          <w:szCs w:val="21"/>
        </w:rPr>
        <w:t>10.6.10</w:t>
      </w:r>
      <w:r>
        <w:rPr>
          <w:color w:val="auto"/>
          <w:szCs w:val="21"/>
        </w:rPr>
        <w:t xml:space="preserve">  压实填土的最大干密度和最优含水率，宜采用击实试验确定，当无试验资料时，最大干密度可按</w:t>
      </w:r>
      <w:r>
        <w:rPr>
          <w:rFonts w:hint="eastAsia"/>
          <w:color w:val="auto"/>
          <w:lang w:val="en-US" w:eastAsia="zh-CN"/>
        </w:rPr>
        <w:t>公式（57）</w:t>
      </w:r>
      <w:r>
        <w:rPr>
          <w:color w:val="auto"/>
          <w:szCs w:val="21"/>
        </w:rPr>
        <w:t>计算：</w:t>
      </w:r>
    </w:p>
    <w:p w14:paraId="3651F8E2">
      <w:pPr>
        <w:pStyle w:val="12"/>
        <w:jc w:val="right"/>
        <w:rPr>
          <w:color w:val="auto"/>
          <w:szCs w:val="21"/>
        </w:rPr>
      </w:pPr>
      <w:r>
        <w:rPr>
          <w:color w:val="auto"/>
          <w:position w:val="-32"/>
          <w:szCs w:val="21"/>
        </w:rPr>
        <w:object>
          <v:shape id="_x0000_i1277" o:spt="75" type="#_x0000_t75" style="height:36.75pt;width:108pt;" o:ole="t" filled="f" o:preferrelative="t" stroked="f" coordsize="21600,21600">
            <v:path/>
            <v:fill on="f" focussize="0,0"/>
            <v:stroke on="f" joinstyle="miter"/>
            <v:imagedata r:id="rId494" o:title=""/>
            <o:lock v:ext="edit" aspectratio="t"/>
            <w10:wrap type="none"/>
            <w10:anchorlock/>
          </v:shape>
          <o:OLEObject Type="Embed" ProgID="Equation.DSMT4" ShapeID="_x0000_i1277" DrawAspect="Content" ObjectID="_1468075977" r:id="rId493">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57</w:t>
      </w:r>
      <w:r>
        <w:rPr>
          <w:color w:val="auto"/>
          <w:szCs w:val="21"/>
        </w:rPr>
        <w:fldChar w:fldCharType="end"/>
      </w:r>
      <w:r>
        <w:rPr>
          <w:color w:val="auto"/>
          <w:szCs w:val="21"/>
        </w:rPr>
        <w:t>)</w:t>
      </w:r>
    </w:p>
    <w:p w14:paraId="3CD15B66">
      <w:pPr>
        <w:adjustRightInd w:val="0"/>
        <w:snapToGrid w:val="0"/>
        <w:spacing w:before="120" w:line="340" w:lineRule="atLeast"/>
        <w:rPr>
          <w:color w:val="auto"/>
          <w:szCs w:val="21"/>
        </w:rPr>
      </w:pPr>
      <w:r>
        <w:rPr>
          <w:color w:val="auto"/>
          <w:szCs w:val="21"/>
        </w:rPr>
        <w:t xml:space="preserve">式中   </w:t>
      </w:r>
      <w:r>
        <w:rPr>
          <w:color w:val="auto"/>
          <w:position w:val="-12"/>
          <w:szCs w:val="21"/>
        </w:rPr>
        <w:object>
          <v:shape id="_x0000_i1278" o:spt="75" type="#_x0000_t75" style="height:21.75pt;width:28.5pt;" o:ole="t" filled="f" o:preferrelative="t" stroked="f" coordsize="21600,21600">
            <v:path/>
            <v:fill on="f" focussize="0,0"/>
            <v:stroke on="f" joinstyle="miter"/>
            <v:imagedata r:id="rId496" o:title=""/>
            <o:lock v:ext="edit" aspectratio="t"/>
            <w10:wrap type="none"/>
            <w10:anchorlock/>
          </v:shape>
          <o:OLEObject Type="Embed" ProgID="Equation.DSMT4" ShapeID="_x0000_i1278" DrawAspect="Content" ObjectID="_1468075978" r:id="rId495">
            <o:LockedField>false</o:LockedField>
          </o:OLEObject>
        </w:object>
      </w:r>
      <w:r>
        <w:rPr>
          <w:color w:val="auto"/>
          <w:szCs w:val="21"/>
        </w:rPr>
        <w:t>——分层压实填土最大干密度；</w:t>
      </w:r>
    </w:p>
    <w:p w14:paraId="5B5ABDFB">
      <w:pPr>
        <w:adjustRightInd w:val="0"/>
        <w:snapToGrid w:val="0"/>
        <w:spacing w:line="340" w:lineRule="atLeast"/>
        <w:ind w:firstLine="1080"/>
        <w:rPr>
          <w:color w:val="auto"/>
          <w:szCs w:val="21"/>
        </w:rPr>
      </w:pPr>
      <w:r>
        <w:rPr>
          <w:color w:val="auto"/>
          <w:position w:val="-10"/>
          <w:szCs w:val="21"/>
        </w:rPr>
        <w:object>
          <v:shape id="_x0000_i1279" o:spt="75" type="#_x0000_t75" style="height:15pt;width:8.25pt;" o:ole="t" filled="f" o:preferrelative="t" stroked="f" coordsize="21600,21600">
            <v:path/>
            <v:fill on="f" focussize="0,0"/>
            <v:stroke on="f" joinstyle="miter"/>
            <v:imagedata r:id="rId498" o:title=""/>
            <o:lock v:ext="edit" aspectratio="t"/>
            <w10:wrap type="none"/>
            <w10:anchorlock/>
          </v:shape>
          <o:OLEObject Type="Embed" ProgID="Equation.DSMT4" ShapeID="_x0000_i1279" DrawAspect="Content" ObjectID="_1468075979" r:id="rId497">
            <o:LockedField>false</o:LockedField>
          </o:OLEObject>
        </w:object>
      </w:r>
      <w:r>
        <w:rPr>
          <w:color w:val="auto"/>
          <w:szCs w:val="21"/>
        </w:rPr>
        <w:t>——经验系数，粉质黏土取0.96，粉土取0.97；</w:t>
      </w:r>
    </w:p>
    <w:p w14:paraId="25AF0DEF">
      <w:pPr>
        <w:adjustRightInd w:val="0"/>
        <w:snapToGrid w:val="0"/>
        <w:spacing w:line="340" w:lineRule="atLeast"/>
        <w:ind w:firstLine="952"/>
        <w:rPr>
          <w:color w:val="auto"/>
          <w:szCs w:val="21"/>
        </w:rPr>
      </w:pPr>
      <w:r>
        <w:rPr>
          <w:color w:val="auto"/>
          <w:position w:val="-12"/>
          <w:szCs w:val="21"/>
        </w:rPr>
        <w:object>
          <v:shape id="_x0000_i1280" o:spt="75" type="#_x0000_t75" style="height:21.75pt;width:15pt;" o:ole="t" filled="f" o:preferrelative="t" stroked="f" coordsize="21600,21600">
            <v:path/>
            <v:fill on="f" focussize="0,0"/>
            <v:stroke on="f" joinstyle="miter"/>
            <v:imagedata r:id="rId500" o:title=""/>
            <o:lock v:ext="edit" aspectratio="t"/>
            <w10:wrap type="none"/>
            <w10:anchorlock/>
          </v:shape>
          <o:OLEObject Type="Embed" ProgID="Equation.DSMT4" ShapeID="_x0000_i1280" DrawAspect="Content" ObjectID="_1468075980" r:id="rId499">
            <o:LockedField>false</o:LockedField>
          </o:OLEObject>
        </w:object>
      </w:r>
      <w:r>
        <w:rPr>
          <w:color w:val="auto"/>
          <w:szCs w:val="21"/>
        </w:rPr>
        <w:t>——水的密度；</w:t>
      </w:r>
    </w:p>
    <w:p w14:paraId="1B610E92">
      <w:pPr>
        <w:adjustRightInd w:val="0"/>
        <w:snapToGrid w:val="0"/>
        <w:spacing w:line="340" w:lineRule="atLeast"/>
        <w:ind w:firstLine="1022"/>
        <w:rPr>
          <w:color w:val="auto"/>
          <w:szCs w:val="21"/>
        </w:rPr>
      </w:pPr>
      <w:r>
        <w:rPr>
          <w:color w:val="auto"/>
          <w:position w:val="-12"/>
          <w:szCs w:val="21"/>
        </w:rPr>
        <w:object>
          <v:shape id="_x0000_i1281" o:spt="75" type="#_x0000_t75" style="height:21.75pt;width:15pt;" o:ole="t" filled="f" o:preferrelative="t" stroked="f" coordsize="21600,21600">
            <v:path/>
            <v:fill on="f" focussize="0,0"/>
            <v:stroke on="f" joinstyle="miter"/>
            <v:imagedata r:id="rId502" o:title=""/>
            <o:lock v:ext="edit" aspectratio="t"/>
            <w10:wrap type="none"/>
            <w10:anchorlock/>
          </v:shape>
          <o:OLEObject Type="Embed" ProgID="Equation.DSMT4" ShapeID="_x0000_i1281" DrawAspect="Content" ObjectID="_1468075981" r:id="rId501">
            <o:LockedField>false</o:LockedField>
          </o:OLEObject>
        </w:object>
      </w:r>
      <w:r>
        <w:rPr>
          <w:color w:val="auto"/>
          <w:szCs w:val="21"/>
        </w:rPr>
        <w:t>——土粒相对密度（比重）；</w:t>
      </w:r>
    </w:p>
    <w:p w14:paraId="55969C56">
      <w:pPr>
        <w:adjustRightInd w:val="0"/>
        <w:snapToGrid w:val="0"/>
        <w:spacing w:line="340" w:lineRule="atLeast"/>
        <w:ind w:firstLine="896"/>
        <w:rPr>
          <w:color w:val="auto"/>
          <w:szCs w:val="21"/>
        </w:rPr>
      </w:pPr>
      <w:r>
        <w:rPr>
          <w:color w:val="auto"/>
          <w:position w:val="-14"/>
          <w:szCs w:val="21"/>
        </w:rPr>
        <w:object>
          <v:shape id="_x0000_i1282" o:spt="75" type="#_x0000_t75" style="height:21.75pt;width:21.75pt;" o:ole="t" filled="f" o:preferrelative="t" stroked="f" coordsize="21600,21600">
            <v:path/>
            <v:fill on="f" focussize="0,0"/>
            <v:stroke on="f" joinstyle="miter"/>
            <v:imagedata r:id="rId504" o:title=""/>
            <o:lock v:ext="edit" aspectratio="t"/>
            <w10:wrap type="none"/>
            <w10:anchorlock/>
          </v:shape>
          <o:OLEObject Type="Embed" ProgID="Equation.DSMT4" ShapeID="_x0000_i1282" DrawAspect="Content" ObjectID="_1468075982" r:id="rId503">
            <o:LockedField>false</o:LockedField>
          </o:OLEObject>
        </w:object>
      </w:r>
      <w:r>
        <w:rPr>
          <w:color w:val="auto"/>
          <w:szCs w:val="21"/>
        </w:rPr>
        <w:t>——填料的最优含水率。</w:t>
      </w:r>
    </w:p>
    <w:p w14:paraId="49F8055D">
      <w:pPr>
        <w:adjustRightInd w:val="0"/>
        <w:snapToGrid w:val="0"/>
        <w:spacing w:line="340" w:lineRule="atLeast"/>
        <w:rPr>
          <w:color w:val="auto"/>
          <w:szCs w:val="21"/>
        </w:rPr>
      </w:pPr>
      <w:r>
        <w:rPr>
          <w:color w:val="auto"/>
          <w:szCs w:val="21"/>
        </w:rPr>
        <w:t xml:space="preserve">    当填料为碎石或卵石时，其最大干密度可取2</w:t>
      </w:r>
      <w:r>
        <w:rPr>
          <w:rFonts w:hint="eastAsia"/>
          <w:color w:val="auto"/>
          <w:szCs w:val="21"/>
        </w:rPr>
        <w:t>10</w:t>
      </w:r>
      <w:r>
        <w:rPr>
          <w:color w:val="auto"/>
          <w:szCs w:val="21"/>
        </w:rPr>
        <w:t xml:space="preserve">0 </w:t>
      </w:r>
      <w:r>
        <w:rPr>
          <w:rFonts w:hint="eastAsia"/>
          <w:color w:val="auto"/>
          <w:szCs w:val="21"/>
        </w:rPr>
        <w:t>kg</w:t>
      </w:r>
      <w:r>
        <w:rPr>
          <w:color w:val="auto"/>
          <w:szCs w:val="21"/>
        </w:rPr>
        <w:t>/m</w:t>
      </w:r>
      <w:r>
        <w:rPr>
          <w:color w:val="auto"/>
          <w:szCs w:val="21"/>
          <w:vertAlign w:val="superscript"/>
        </w:rPr>
        <w:t>3</w:t>
      </w:r>
      <w:r>
        <w:rPr>
          <w:color w:val="auto"/>
          <w:szCs w:val="21"/>
        </w:rPr>
        <w:t>～22</w:t>
      </w:r>
      <w:r>
        <w:rPr>
          <w:rFonts w:hint="eastAsia"/>
          <w:color w:val="auto"/>
          <w:szCs w:val="21"/>
        </w:rPr>
        <w:t>00kg</w:t>
      </w:r>
      <w:r>
        <w:rPr>
          <w:color w:val="auto"/>
          <w:szCs w:val="21"/>
        </w:rPr>
        <w:t>/m</w:t>
      </w:r>
      <w:r>
        <w:rPr>
          <w:color w:val="auto"/>
          <w:szCs w:val="21"/>
          <w:vertAlign w:val="superscript"/>
        </w:rPr>
        <w:t>3</w:t>
      </w:r>
      <w:r>
        <w:rPr>
          <w:color w:val="auto"/>
          <w:szCs w:val="21"/>
        </w:rPr>
        <w:t>。</w:t>
      </w:r>
    </w:p>
    <w:p w14:paraId="2298C4C2">
      <w:pPr>
        <w:adjustRightInd w:val="0"/>
        <w:snapToGrid w:val="0"/>
        <w:spacing w:line="340" w:lineRule="atLeast"/>
        <w:rPr>
          <w:color w:val="auto"/>
          <w:szCs w:val="21"/>
        </w:rPr>
      </w:pPr>
      <w:r>
        <w:rPr>
          <w:b/>
          <w:bCs/>
          <w:color w:val="auto"/>
          <w:szCs w:val="21"/>
        </w:rPr>
        <w:t>10.6.11</w:t>
      </w:r>
      <w:r>
        <w:rPr>
          <w:color w:val="auto"/>
          <w:szCs w:val="21"/>
        </w:rPr>
        <w:t xml:space="preserve">  压实填土的边坡允许值，应根据其厚度、填料性质等因素，按表44的数值确定。</w:t>
      </w:r>
    </w:p>
    <w:p w14:paraId="174F7139">
      <w:pPr>
        <w:adjustRightInd w:val="0"/>
        <w:snapToGrid w:val="0"/>
        <w:spacing w:before="240" w:line="360" w:lineRule="atLeast"/>
        <w:jc w:val="center"/>
        <w:rPr>
          <w:rFonts w:eastAsia="黑体"/>
          <w:b/>
          <w:bCs/>
          <w:color w:val="auto"/>
          <w:szCs w:val="21"/>
        </w:rPr>
      </w:pPr>
      <w:r>
        <w:rPr>
          <w:rFonts w:eastAsia="黑体"/>
          <w:b/>
          <w:bCs/>
          <w:color w:val="auto"/>
          <w:szCs w:val="21"/>
        </w:rPr>
        <w:t>表44    压实填土的边坡允许值</w:t>
      </w:r>
    </w:p>
    <w:tbl>
      <w:tblPr>
        <w:tblStyle w:val="36"/>
        <w:tblW w:w="91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64"/>
        <w:gridCol w:w="1236"/>
        <w:gridCol w:w="1269"/>
        <w:gridCol w:w="1333"/>
        <w:gridCol w:w="1377"/>
        <w:gridCol w:w="1343"/>
      </w:tblGrid>
      <w:tr w14:paraId="28AB2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 w:hRule="atLeast"/>
          <w:jc w:val="center"/>
        </w:trPr>
        <w:tc>
          <w:tcPr>
            <w:tcW w:w="2564" w:type="dxa"/>
            <w:vMerge w:val="restart"/>
            <w:vAlign w:val="center"/>
          </w:tcPr>
          <w:p w14:paraId="7F2BA91F">
            <w:pPr>
              <w:adjustRightInd w:val="0"/>
              <w:snapToGrid w:val="0"/>
              <w:jc w:val="center"/>
              <w:rPr>
                <w:color w:val="auto"/>
                <w:sz w:val="18"/>
                <w:szCs w:val="18"/>
              </w:rPr>
            </w:pPr>
            <w:r>
              <w:rPr>
                <w:color w:val="auto"/>
                <w:sz w:val="18"/>
                <w:szCs w:val="18"/>
              </w:rPr>
              <w:t>填 料 类 别</w:t>
            </w:r>
          </w:p>
        </w:tc>
        <w:tc>
          <w:tcPr>
            <w:tcW w:w="1236" w:type="dxa"/>
            <w:vMerge w:val="restart"/>
            <w:vAlign w:val="center"/>
          </w:tcPr>
          <w:p w14:paraId="53C89518">
            <w:pPr>
              <w:adjustRightInd w:val="0"/>
              <w:snapToGrid w:val="0"/>
              <w:jc w:val="center"/>
              <w:rPr>
                <w:color w:val="auto"/>
                <w:sz w:val="18"/>
                <w:szCs w:val="18"/>
              </w:rPr>
            </w:pPr>
            <w:r>
              <w:rPr>
                <w:color w:val="auto"/>
                <w:sz w:val="18"/>
                <w:szCs w:val="18"/>
              </w:rPr>
              <w:t>压实系数</w:t>
            </w:r>
            <w:r>
              <w:rPr>
                <w:color w:val="auto"/>
                <w:position w:val="-12"/>
                <w:sz w:val="18"/>
                <w:szCs w:val="18"/>
              </w:rPr>
              <w:object>
                <v:shape id="_x0000_i1283" o:spt="75" type="#_x0000_t75" style="height:21.75pt;width:15pt;" o:ole="t" filled="f" o:preferrelative="t" stroked="f" coordsize="21600,21600">
                  <v:path/>
                  <v:fill on="f" focussize="0,0"/>
                  <v:stroke on="f" joinstyle="miter"/>
                  <v:imagedata r:id="rId506" o:title=""/>
                  <o:lock v:ext="edit" aspectratio="t"/>
                  <w10:wrap type="none"/>
                  <w10:anchorlock/>
                </v:shape>
                <o:OLEObject Type="Embed" ProgID="Equation.DSMT4" ShapeID="_x0000_i1283" DrawAspect="Content" ObjectID="_1468075983" r:id="rId505">
                  <o:LockedField>false</o:LockedField>
                </o:OLEObject>
              </w:object>
            </w:r>
          </w:p>
        </w:tc>
        <w:tc>
          <w:tcPr>
            <w:tcW w:w="5322" w:type="dxa"/>
            <w:gridSpan w:val="4"/>
            <w:vAlign w:val="center"/>
          </w:tcPr>
          <w:p w14:paraId="27000579">
            <w:pPr>
              <w:adjustRightInd w:val="0"/>
              <w:snapToGrid w:val="0"/>
              <w:spacing w:line="300" w:lineRule="exact"/>
              <w:jc w:val="center"/>
              <w:rPr>
                <w:color w:val="auto"/>
                <w:spacing w:val="80"/>
                <w:sz w:val="18"/>
                <w:szCs w:val="18"/>
              </w:rPr>
            </w:pPr>
            <w:r>
              <w:rPr>
                <w:color w:val="auto"/>
                <w:spacing w:val="80"/>
                <w:sz w:val="18"/>
                <w:szCs w:val="18"/>
              </w:rPr>
              <w:t>边坡允许值</w:t>
            </w:r>
            <w:r>
              <w:rPr>
                <w:color w:val="auto"/>
                <w:sz w:val="18"/>
                <w:szCs w:val="18"/>
              </w:rPr>
              <w:t>（高宽比）</w:t>
            </w:r>
          </w:p>
        </w:tc>
      </w:tr>
      <w:tr w14:paraId="6D164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4" w:hRule="atLeast"/>
          <w:jc w:val="center"/>
        </w:trPr>
        <w:tc>
          <w:tcPr>
            <w:tcW w:w="2564" w:type="dxa"/>
            <w:vMerge w:val="continue"/>
            <w:vAlign w:val="center"/>
          </w:tcPr>
          <w:p w14:paraId="7E108CC2">
            <w:pPr>
              <w:adjustRightInd w:val="0"/>
              <w:snapToGrid w:val="0"/>
              <w:jc w:val="center"/>
              <w:rPr>
                <w:color w:val="auto"/>
                <w:sz w:val="18"/>
                <w:szCs w:val="18"/>
              </w:rPr>
            </w:pPr>
          </w:p>
        </w:tc>
        <w:tc>
          <w:tcPr>
            <w:tcW w:w="1236" w:type="dxa"/>
            <w:vMerge w:val="continue"/>
            <w:vAlign w:val="center"/>
          </w:tcPr>
          <w:p w14:paraId="74CBB575">
            <w:pPr>
              <w:adjustRightInd w:val="0"/>
              <w:snapToGrid w:val="0"/>
              <w:jc w:val="center"/>
              <w:rPr>
                <w:color w:val="auto"/>
                <w:sz w:val="18"/>
                <w:szCs w:val="18"/>
              </w:rPr>
            </w:pPr>
          </w:p>
        </w:tc>
        <w:tc>
          <w:tcPr>
            <w:tcW w:w="5322" w:type="dxa"/>
            <w:gridSpan w:val="4"/>
            <w:vAlign w:val="center"/>
          </w:tcPr>
          <w:p w14:paraId="211DCEAE">
            <w:pPr>
              <w:adjustRightInd w:val="0"/>
              <w:snapToGrid w:val="0"/>
              <w:spacing w:line="300" w:lineRule="exact"/>
              <w:jc w:val="center"/>
              <w:rPr>
                <w:color w:val="auto"/>
                <w:sz w:val="18"/>
                <w:szCs w:val="18"/>
              </w:rPr>
            </w:pPr>
            <w:r>
              <w:rPr>
                <w:color w:val="auto"/>
                <w:sz w:val="18"/>
                <w:szCs w:val="18"/>
              </w:rPr>
              <w:t>填土厚度</w:t>
            </w:r>
            <w:r>
              <w:rPr>
                <w:i/>
                <w:color w:val="auto"/>
                <w:sz w:val="18"/>
                <w:szCs w:val="18"/>
              </w:rPr>
              <w:t>H</w:t>
            </w:r>
            <w:r>
              <w:rPr>
                <w:color w:val="auto"/>
                <w:sz w:val="18"/>
                <w:szCs w:val="18"/>
              </w:rPr>
              <w:t>（</w:t>
            </w:r>
            <w:r>
              <w:rPr>
                <w:iCs/>
                <w:color w:val="auto"/>
                <w:sz w:val="18"/>
                <w:szCs w:val="18"/>
              </w:rPr>
              <w:t>m</w:t>
            </w:r>
            <w:r>
              <w:rPr>
                <w:color w:val="auto"/>
                <w:sz w:val="18"/>
                <w:szCs w:val="18"/>
              </w:rPr>
              <w:t>）</w:t>
            </w:r>
          </w:p>
        </w:tc>
      </w:tr>
      <w:tr w14:paraId="4DB75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4" w:hRule="atLeast"/>
          <w:jc w:val="center"/>
        </w:trPr>
        <w:tc>
          <w:tcPr>
            <w:tcW w:w="2564" w:type="dxa"/>
            <w:vMerge w:val="continue"/>
            <w:vAlign w:val="center"/>
          </w:tcPr>
          <w:p w14:paraId="73F275DA">
            <w:pPr>
              <w:adjustRightInd w:val="0"/>
              <w:snapToGrid w:val="0"/>
              <w:jc w:val="center"/>
              <w:rPr>
                <w:color w:val="auto"/>
                <w:sz w:val="18"/>
                <w:szCs w:val="18"/>
              </w:rPr>
            </w:pPr>
          </w:p>
        </w:tc>
        <w:tc>
          <w:tcPr>
            <w:tcW w:w="1236" w:type="dxa"/>
            <w:vMerge w:val="continue"/>
            <w:vAlign w:val="center"/>
          </w:tcPr>
          <w:p w14:paraId="69D07B56">
            <w:pPr>
              <w:adjustRightInd w:val="0"/>
              <w:snapToGrid w:val="0"/>
              <w:jc w:val="center"/>
              <w:rPr>
                <w:color w:val="auto"/>
                <w:sz w:val="18"/>
                <w:szCs w:val="18"/>
              </w:rPr>
            </w:pPr>
          </w:p>
        </w:tc>
        <w:tc>
          <w:tcPr>
            <w:tcW w:w="1269" w:type="dxa"/>
            <w:vAlign w:val="center"/>
          </w:tcPr>
          <w:p w14:paraId="71453A9E">
            <w:pPr>
              <w:adjustRightInd w:val="0"/>
              <w:snapToGrid w:val="0"/>
              <w:spacing w:line="300" w:lineRule="exact"/>
              <w:jc w:val="center"/>
              <w:rPr>
                <w:color w:val="auto"/>
                <w:sz w:val="18"/>
                <w:szCs w:val="18"/>
              </w:rPr>
            </w:pPr>
            <w:r>
              <w:rPr>
                <w:i/>
                <w:color w:val="auto"/>
                <w:sz w:val="18"/>
                <w:szCs w:val="18"/>
              </w:rPr>
              <w:t>H</w:t>
            </w:r>
            <w:r>
              <w:rPr>
                <w:color w:val="auto"/>
                <w:sz w:val="18"/>
                <w:szCs w:val="18"/>
              </w:rPr>
              <w:t>≤5</w:t>
            </w:r>
          </w:p>
        </w:tc>
        <w:tc>
          <w:tcPr>
            <w:tcW w:w="1333" w:type="dxa"/>
            <w:vAlign w:val="center"/>
          </w:tcPr>
          <w:p w14:paraId="7242EED8">
            <w:pPr>
              <w:adjustRightInd w:val="0"/>
              <w:snapToGrid w:val="0"/>
              <w:spacing w:line="300" w:lineRule="exact"/>
              <w:jc w:val="center"/>
              <w:rPr>
                <w:color w:val="auto"/>
                <w:sz w:val="18"/>
                <w:szCs w:val="18"/>
              </w:rPr>
            </w:pPr>
            <w:r>
              <w:rPr>
                <w:color w:val="auto"/>
                <w:sz w:val="18"/>
                <w:szCs w:val="18"/>
              </w:rPr>
              <w:t>5＜</w:t>
            </w:r>
            <w:r>
              <w:rPr>
                <w:i/>
                <w:color w:val="auto"/>
                <w:sz w:val="18"/>
                <w:szCs w:val="18"/>
              </w:rPr>
              <w:t>H</w:t>
            </w:r>
            <w:r>
              <w:rPr>
                <w:color w:val="auto"/>
                <w:sz w:val="18"/>
                <w:szCs w:val="18"/>
              </w:rPr>
              <w:t>≤10</w:t>
            </w:r>
          </w:p>
        </w:tc>
        <w:tc>
          <w:tcPr>
            <w:tcW w:w="1377" w:type="dxa"/>
            <w:vAlign w:val="center"/>
          </w:tcPr>
          <w:p w14:paraId="6396BE71">
            <w:pPr>
              <w:adjustRightInd w:val="0"/>
              <w:snapToGrid w:val="0"/>
              <w:jc w:val="center"/>
              <w:rPr>
                <w:color w:val="auto"/>
                <w:sz w:val="18"/>
                <w:szCs w:val="18"/>
              </w:rPr>
            </w:pPr>
            <w:r>
              <w:rPr>
                <w:color w:val="auto"/>
                <w:sz w:val="18"/>
                <w:szCs w:val="18"/>
              </w:rPr>
              <w:t>10＜</w:t>
            </w:r>
            <w:r>
              <w:rPr>
                <w:i/>
                <w:color w:val="auto"/>
                <w:sz w:val="18"/>
                <w:szCs w:val="18"/>
              </w:rPr>
              <w:t>H</w:t>
            </w:r>
            <w:r>
              <w:rPr>
                <w:color w:val="auto"/>
                <w:sz w:val="18"/>
                <w:szCs w:val="18"/>
              </w:rPr>
              <w:t>≤15</w:t>
            </w:r>
          </w:p>
        </w:tc>
        <w:tc>
          <w:tcPr>
            <w:tcW w:w="1343" w:type="dxa"/>
            <w:vAlign w:val="center"/>
          </w:tcPr>
          <w:p w14:paraId="5A7D4C54">
            <w:pPr>
              <w:adjustRightInd w:val="0"/>
              <w:snapToGrid w:val="0"/>
              <w:jc w:val="center"/>
              <w:rPr>
                <w:color w:val="auto"/>
                <w:sz w:val="18"/>
                <w:szCs w:val="18"/>
              </w:rPr>
            </w:pPr>
            <w:r>
              <w:rPr>
                <w:color w:val="auto"/>
                <w:sz w:val="18"/>
                <w:szCs w:val="18"/>
              </w:rPr>
              <w:t>15＜</w:t>
            </w:r>
            <w:r>
              <w:rPr>
                <w:i/>
                <w:color w:val="auto"/>
                <w:sz w:val="18"/>
                <w:szCs w:val="18"/>
              </w:rPr>
              <w:t>H</w:t>
            </w:r>
            <w:r>
              <w:rPr>
                <w:color w:val="auto"/>
                <w:sz w:val="18"/>
                <w:szCs w:val="18"/>
              </w:rPr>
              <w:t>≤20</w:t>
            </w:r>
          </w:p>
        </w:tc>
      </w:tr>
      <w:tr w14:paraId="19BF6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0" w:hRule="atLeast"/>
          <w:jc w:val="center"/>
        </w:trPr>
        <w:tc>
          <w:tcPr>
            <w:tcW w:w="2564" w:type="dxa"/>
            <w:vAlign w:val="center"/>
          </w:tcPr>
          <w:p w14:paraId="26051C46">
            <w:pPr>
              <w:adjustRightInd w:val="0"/>
              <w:snapToGrid w:val="0"/>
              <w:jc w:val="center"/>
              <w:rPr>
                <w:color w:val="auto"/>
                <w:sz w:val="18"/>
                <w:szCs w:val="18"/>
              </w:rPr>
            </w:pPr>
            <w:r>
              <w:rPr>
                <w:color w:val="auto"/>
                <w:sz w:val="18"/>
                <w:szCs w:val="18"/>
              </w:rPr>
              <w:t>碎石、卵石</w:t>
            </w:r>
          </w:p>
        </w:tc>
        <w:tc>
          <w:tcPr>
            <w:tcW w:w="1236" w:type="dxa"/>
            <w:vMerge w:val="restart"/>
            <w:vAlign w:val="center"/>
          </w:tcPr>
          <w:p w14:paraId="285E600C">
            <w:pPr>
              <w:adjustRightInd w:val="0"/>
              <w:snapToGrid w:val="0"/>
              <w:jc w:val="center"/>
              <w:rPr>
                <w:color w:val="auto"/>
                <w:sz w:val="18"/>
                <w:szCs w:val="18"/>
              </w:rPr>
            </w:pPr>
            <w:r>
              <w:rPr>
                <w:color w:val="auto"/>
                <w:sz w:val="18"/>
                <w:szCs w:val="18"/>
              </w:rPr>
              <w:t>0.94～0.97</w:t>
            </w:r>
          </w:p>
        </w:tc>
        <w:tc>
          <w:tcPr>
            <w:tcW w:w="1269" w:type="dxa"/>
            <w:vAlign w:val="center"/>
          </w:tcPr>
          <w:p w14:paraId="2345DED6">
            <w:pPr>
              <w:adjustRightInd w:val="0"/>
              <w:snapToGrid w:val="0"/>
              <w:spacing w:line="300" w:lineRule="exact"/>
              <w:jc w:val="center"/>
              <w:rPr>
                <w:color w:val="auto"/>
                <w:sz w:val="18"/>
                <w:szCs w:val="18"/>
              </w:rPr>
            </w:pPr>
            <w:r>
              <w:rPr>
                <w:color w:val="auto"/>
                <w:sz w:val="18"/>
                <w:szCs w:val="18"/>
              </w:rPr>
              <w:t>1:1.25</w:t>
            </w:r>
          </w:p>
        </w:tc>
        <w:tc>
          <w:tcPr>
            <w:tcW w:w="1333" w:type="dxa"/>
            <w:vAlign w:val="center"/>
          </w:tcPr>
          <w:p w14:paraId="3252A241">
            <w:pPr>
              <w:adjustRightInd w:val="0"/>
              <w:snapToGrid w:val="0"/>
              <w:spacing w:line="300" w:lineRule="exact"/>
              <w:jc w:val="center"/>
              <w:rPr>
                <w:color w:val="auto"/>
                <w:sz w:val="18"/>
                <w:szCs w:val="18"/>
              </w:rPr>
            </w:pPr>
            <w:r>
              <w:rPr>
                <w:color w:val="auto"/>
                <w:sz w:val="18"/>
                <w:szCs w:val="18"/>
              </w:rPr>
              <w:t>1:1.50</w:t>
            </w:r>
          </w:p>
        </w:tc>
        <w:tc>
          <w:tcPr>
            <w:tcW w:w="1377" w:type="dxa"/>
            <w:vAlign w:val="center"/>
          </w:tcPr>
          <w:p w14:paraId="36EA22F1">
            <w:pPr>
              <w:adjustRightInd w:val="0"/>
              <w:snapToGrid w:val="0"/>
              <w:jc w:val="center"/>
              <w:rPr>
                <w:color w:val="auto"/>
                <w:sz w:val="18"/>
                <w:szCs w:val="18"/>
              </w:rPr>
            </w:pPr>
            <w:r>
              <w:rPr>
                <w:color w:val="auto"/>
                <w:sz w:val="18"/>
                <w:szCs w:val="18"/>
              </w:rPr>
              <w:t>1:1.75</w:t>
            </w:r>
          </w:p>
        </w:tc>
        <w:tc>
          <w:tcPr>
            <w:tcW w:w="1343" w:type="dxa"/>
            <w:vAlign w:val="center"/>
          </w:tcPr>
          <w:p w14:paraId="2C8E7FD1">
            <w:pPr>
              <w:adjustRightInd w:val="0"/>
              <w:snapToGrid w:val="0"/>
              <w:jc w:val="center"/>
              <w:rPr>
                <w:color w:val="auto"/>
                <w:sz w:val="18"/>
                <w:szCs w:val="18"/>
              </w:rPr>
            </w:pPr>
            <w:r>
              <w:rPr>
                <w:color w:val="auto"/>
                <w:sz w:val="18"/>
                <w:szCs w:val="18"/>
              </w:rPr>
              <w:t>1:2.00</w:t>
            </w:r>
          </w:p>
        </w:tc>
      </w:tr>
      <w:tr w14:paraId="09EDE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0" w:hRule="atLeast"/>
          <w:jc w:val="center"/>
        </w:trPr>
        <w:tc>
          <w:tcPr>
            <w:tcW w:w="2564" w:type="dxa"/>
            <w:vAlign w:val="center"/>
          </w:tcPr>
          <w:p w14:paraId="72B278F1">
            <w:pPr>
              <w:adjustRightInd w:val="0"/>
              <w:snapToGrid w:val="0"/>
              <w:jc w:val="center"/>
              <w:rPr>
                <w:color w:val="auto"/>
                <w:sz w:val="18"/>
                <w:szCs w:val="18"/>
              </w:rPr>
            </w:pPr>
            <w:r>
              <w:rPr>
                <w:color w:val="auto"/>
                <w:sz w:val="18"/>
                <w:szCs w:val="18"/>
              </w:rPr>
              <w:t>砂夹石（其中碎石、卵石占全重30%～50%）</w:t>
            </w:r>
          </w:p>
        </w:tc>
        <w:tc>
          <w:tcPr>
            <w:tcW w:w="1236" w:type="dxa"/>
            <w:vMerge w:val="continue"/>
            <w:vAlign w:val="center"/>
          </w:tcPr>
          <w:p w14:paraId="129F06F6">
            <w:pPr>
              <w:adjustRightInd w:val="0"/>
              <w:snapToGrid w:val="0"/>
              <w:jc w:val="center"/>
              <w:rPr>
                <w:color w:val="auto"/>
                <w:sz w:val="18"/>
                <w:szCs w:val="18"/>
              </w:rPr>
            </w:pPr>
          </w:p>
        </w:tc>
        <w:tc>
          <w:tcPr>
            <w:tcW w:w="1269" w:type="dxa"/>
            <w:vAlign w:val="center"/>
          </w:tcPr>
          <w:p w14:paraId="49E81CE1">
            <w:pPr>
              <w:adjustRightInd w:val="0"/>
              <w:snapToGrid w:val="0"/>
              <w:jc w:val="center"/>
              <w:rPr>
                <w:color w:val="auto"/>
                <w:sz w:val="18"/>
                <w:szCs w:val="18"/>
              </w:rPr>
            </w:pPr>
            <w:r>
              <w:rPr>
                <w:color w:val="auto"/>
                <w:sz w:val="18"/>
                <w:szCs w:val="18"/>
              </w:rPr>
              <w:t>1:1.25</w:t>
            </w:r>
          </w:p>
        </w:tc>
        <w:tc>
          <w:tcPr>
            <w:tcW w:w="1333" w:type="dxa"/>
            <w:vAlign w:val="center"/>
          </w:tcPr>
          <w:p w14:paraId="32875F21">
            <w:pPr>
              <w:adjustRightInd w:val="0"/>
              <w:snapToGrid w:val="0"/>
              <w:jc w:val="center"/>
              <w:rPr>
                <w:color w:val="auto"/>
                <w:sz w:val="18"/>
                <w:szCs w:val="18"/>
              </w:rPr>
            </w:pPr>
            <w:r>
              <w:rPr>
                <w:color w:val="auto"/>
                <w:sz w:val="18"/>
                <w:szCs w:val="18"/>
              </w:rPr>
              <w:t>1:1.50</w:t>
            </w:r>
          </w:p>
        </w:tc>
        <w:tc>
          <w:tcPr>
            <w:tcW w:w="1377" w:type="dxa"/>
            <w:vAlign w:val="center"/>
          </w:tcPr>
          <w:p w14:paraId="6902281C">
            <w:pPr>
              <w:adjustRightInd w:val="0"/>
              <w:snapToGrid w:val="0"/>
              <w:jc w:val="center"/>
              <w:rPr>
                <w:color w:val="auto"/>
                <w:sz w:val="18"/>
                <w:szCs w:val="18"/>
              </w:rPr>
            </w:pPr>
            <w:r>
              <w:rPr>
                <w:color w:val="auto"/>
                <w:sz w:val="18"/>
                <w:szCs w:val="18"/>
              </w:rPr>
              <w:t>1:1.75</w:t>
            </w:r>
          </w:p>
        </w:tc>
        <w:tc>
          <w:tcPr>
            <w:tcW w:w="1343" w:type="dxa"/>
            <w:vAlign w:val="center"/>
          </w:tcPr>
          <w:p w14:paraId="38470C47">
            <w:pPr>
              <w:adjustRightInd w:val="0"/>
              <w:snapToGrid w:val="0"/>
              <w:jc w:val="center"/>
              <w:rPr>
                <w:color w:val="auto"/>
                <w:sz w:val="18"/>
                <w:szCs w:val="18"/>
              </w:rPr>
            </w:pPr>
            <w:r>
              <w:rPr>
                <w:color w:val="auto"/>
                <w:sz w:val="18"/>
                <w:szCs w:val="18"/>
              </w:rPr>
              <w:t>1:2.00</w:t>
            </w:r>
          </w:p>
        </w:tc>
      </w:tr>
      <w:tr w14:paraId="60B0B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0" w:hRule="atLeast"/>
          <w:jc w:val="center"/>
        </w:trPr>
        <w:tc>
          <w:tcPr>
            <w:tcW w:w="2564" w:type="dxa"/>
            <w:vAlign w:val="center"/>
          </w:tcPr>
          <w:p w14:paraId="2BD2681E">
            <w:pPr>
              <w:adjustRightInd w:val="0"/>
              <w:snapToGrid w:val="0"/>
              <w:jc w:val="center"/>
              <w:rPr>
                <w:color w:val="auto"/>
                <w:sz w:val="18"/>
                <w:szCs w:val="18"/>
              </w:rPr>
            </w:pPr>
            <w:r>
              <w:rPr>
                <w:color w:val="auto"/>
                <w:sz w:val="18"/>
                <w:szCs w:val="18"/>
              </w:rPr>
              <w:t>土夹石（其中碎石、卵石占全重30%～50%）</w:t>
            </w:r>
          </w:p>
        </w:tc>
        <w:tc>
          <w:tcPr>
            <w:tcW w:w="1236" w:type="dxa"/>
            <w:vMerge w:val="continue"/>
            <w:vAlign w:val="center"/>
          </w:tcPr>
          <w:p w14:paraId="3CF1AECD">
            <w:pPr>
              <w:adjustRightInd w:val="0"/>
              <w:snapToGrid w:val="0"/>
              <w:jc w:val="center"/>
              <w:rPr>
                <w:color w:val="auto"/>
                <w:sz w:val="18"/>
                <w:szCs w:val="18"/>
              </w:rPr>
            </w:pPr>
          </w:p>
        </w:tc>
        <w:tc>
          <w:tcPr>
            <w:tcW w:w="1269" w:type="dxa"/>
            <w:vAlign w:val="center"/>
          </w:tcPr>
          <w:p w14:paraId="6B6D3086">
            <w:pPr>
              <w:adjustRightInd w:val="0"/>
              <w:snapToGrid w:val="0"/>
              <w:jc w:val="center"/>
              <w:rPr>
                <w:color w:val="auto"/>
                <w:sz w:val="18"/>
                <w:szCs w:val="18"/>
              </w:rPr>
            </w:pPr>
            <w:r>
              <w:rPr>
                <w:color w:val="auto"/>
                <w:sz w:val="18"/>
                <w:szCs w:val="18"/>
              </w:rPr>
              <w:t>1:1.25</w:t>
            </w:r>
          </w:p>
        </w:tc>
        <w:tc>
          <w:tcPr>
            <w:tcW w:w="1333" w:type="dxa"/>
            <w:vAlign w:val="center"/>
          </w:tcPr>
          <w:p w14:paraId="2EF04A52">
            <w:pPr>
              <w:adjustRightInd w:val="0"/>
              <w:snapToGrid w:val="0"/>
              <w:jc w:val="center"/>
              <w:rPr>
                <w:color w:val="auto"/>
                <w:sz w:val="18"/>
                <w:szCs w:val="18"/>
              </w:rPr>
            </w:pPr>
            <w:r>
              <w:rPr>
                <w:color w:val="auto"/>
                <w:sz w:val="18"/>
                <w:szCs w:val="18"/>
              </w:rPr>
              <w:t>1:1.50</w:t>
            </w:r>
          </w:p>
        </w:tc>
        <w:tc>
          <w:tcPr>
            <w:tcW w:w="1377" w:type="dxa"/>
            <w:vAlign w:val="center"/>
          </w:tcPr>
          <w:p w14:paraId="323F2BD7">
            <w:pPr>
              <w:adjustRightInd w:val="0"/>
              <w:snapToGrid w:val="0"/>
              <w:jc w:val="center"/>
              <w:rPr>
                <w:color w:val="auto"/>
                <w:sz w:val="18"/>
                <w:szCs w:val="18"/>
              </w:rPr>
            </w:pPr>
            <w:r>
              <w:rPr>
                <w:color w:val="auto"/>
                <w:sz w:val="18"/>
                <w:szCs w:val="18"/>
              </w:rPr>
              <w:t>1:1.75</w:t>
            </w:r>
          </w:p>
        </w:tc>
        <w:tc>
          <w:tcPr>
            <w:tcW w:w="1343" w:type="dxa"/>
            <w:vAlign w:val="center"/>
          </w:tcPr>
          <w:p w14:paraId="37790B5E">
            <w:pPr>
              <w:adjustRightInd w:val="0"/>
              <w:snapToGrid w:val="0"/>
              <w:jc w:val="center"/>
              <w:rPr>
                <w:color w:val="auto"/>
                <w:sz w:val="18"/>
                <w:szCs w:val="18"/>
              </w:rPr>
            </w:pPr>
            <w:r>
              <w:rPr>
                <w:color w:val="auto"/>
                <w:sz w:val="18"/>
                <w:szCs w:val="18"/>
              </w:rPr>
              <w:t>1:2.00</w:t>
            </w:r>
          </w:p>
        </w:tc>
      </w:tr>
      <w:tr w14:paraId="1EFF7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4" w:hRule="atLeast"/>
          <w:jc w:val="center"/>
        </w:trPr>
        <w:tc>
          <w:tcPr>
            <w:tcW w:w="2564" w:type="dxa"/>
            <w:vAlign w:val="center"/>
          </w:tcPr>
          <w:p w14:paraId="22EB2582">
            <w:pPr>
              <w:adjustRightInd w:val="0"/>
              <w:snapToGrid w:val="0"/>
              <w:spacing w:line="240" w:lineRule="atLeast"/>
              <w:jc w:val="center"/>
              <w:rPr>
                <w:color w:val="auto"/>
                <w:sz w:val="18"/>
                <w:szCs w:val="18"/>
              </w:rPr>
            </w:pPr>
            <w:r>
              <w:rPr>
                <w:color w:val="auto"/>
                <w:sz w:val="18"/>
                <w:szCs w:val="18"/>
              </w:rPr>
              <w:t>粉质黏土、黏粒含量</w:t>
            </w:r>
            <w:r>
              <w:rPr>
                <w:color w:val="auto"/>
                <w:position w:val="-12"/>
                <w:sz w:val="18"/>
                <w:szCs w:val="18"/>
              </w:rPr>
              <w:object>
                <v:shape id="_x0000_i1284" o:spt="75" type="#_x0000_t75" style="height:21.75pt;width:15pt;" o:ole="t" filled="f" o:preferrelative="t" stroked="f" coordsize="21600,21600">
                  <v:path/>
                  <v:fill on="f" focussize="0,0"/>
                  <v:stroke on="f" joinstyle="miter"/>
                  <v:imagedata r:id="rId508" o:title=""/>
                  <o:lock v:ext="edit" aspectratio="t"/>
                  <w10:wrap type="none"/>
                  <w10:anchorlock/>
                </v:shape>
                <o:OLEObject Type="Embed" ProgID="Equation.DSMT4" ShapeID="_x0000_i1284" DrawAspect="Content" ObjectID="_1468075984" r:id="rId507">
                  <o:LockedField>false</o:LockedField>
                </o:OLEObject>
              </w:object>
            </w:r>
            <w:r>
              <w:rPr>
                <w:color w:val="auto"/>
                <w:sz w:val="18"/>
                <w:szCs w:val="18"/>
              </w:rPr>
              <w:t>≥10%的粉土</w:t>
            </w:r>
          </w:p>
        </w:tc>
        <w:tc>
          <w:tcPr>
            <w:tcW w:w="1236" w:type="dxa"/>
            <w:vMerge w:val="continue"/>
            <w:vAlign w:val="center"/>
          </w:tcPr>
          <w:p w14:paraId="408C0991">
            <w:pPr>
              <w:adjustRightInd w:val="0"/>
              <w:snapToGrid w:val="0"/>
              <w:spacing w:line="240" w:lineRule="atLeast"/>
              <w:jc w:val="center"/>
              <w:rPr>
                <w:color w:val="auto"/>
                <w:sz w:val="18"/>
                <w:szCs w:val="18"/>
              </w:rPr>
            </w:pPr>
          </w:p>
        </w:tc>
        <w:tc>
          <w:tcPr>
            <w:tcW w:w="1269" w:type="dxa"/>
            <w:vAlign w:val="center"/>
          </w:tcPr>
          <w:p w14:paraId="2C31E788">
            <w:pPr>
              <w:adjustRightInd w:val="0"/>
              <w:snapToGrid w:val="0"/>
              <w:spacing w:line="240" w:lineRule="atLeast"/>
              <w:jc w:val="center"/>
              <w:rPr>
                <w:color w:val="auto"/>
                <w:sz w:val="18"/>
                <w:szCs w:val="18"/>
              </w:rPr>
            </w:pPr>
            <w:r>
              <w:rPr>
                <w:color w:val="auto"/>
                <w:sz w:val="18"/>
                <w:szCs w:val="18"/>
              </w:rPr>
              <w:t>1:1.50</w:t>
            </w:r>
          </w:p>
        </w:tc>
        <w:tc>
          <w:tcPr>
            <w:tcW w:w="1333" w:type="dxa"/>
            <w:vAlign w:val="center"/>
          </w:tcPr>
          <w:p w14:paraId="297A515F">
            <w:pPr>
              <w:adjustRightInd w:val="0"/>
              <w:snapToGrid w:val="0"/>
              <w:spacing w:line="240" w:lineRule="atLeast"/>
              <w:jc w:val="center"/>
              <w:rPr>
                <w:color w:val="auto"/>
                <w:sz w:val="18"/>
                <w:szCs w:val="18"/>
              </w:rPr>
            </w:pPr>
            <w:r>
              <w:rPr>
                <w:color w:val="auto"/>
                <w:sz w:val="18"/>
                <w:szCs w:val="18"/>
              </w:rPr>
              <w:t>1:1.75</w:t>
            </w:r>
          </w:p>
        </w:tc>
        <w:tc>
          <w:tcPr>
            <w:tcW w:w="1377" w:type="dxa"/>
            <w:vAlign w:val="center"/>
          </w:tcPr>
          <w:p w14:paraId="621BB222">
            <w:pPr>
              <w:adjustRightInd w:val="0"/>
              <w:snapToGrid w:val="0"/>
              <w:spacing w:line="240" w:lineRule="atLeast"/>
              <w:jc w:val="center"/>
              <w:rPr>
                <w:color w:val="auto"/>
                <w:sz w:val="18"/>
                <w:szCs w:val="18"/>
              </w:rPr>
            </w:pPr>
            <w:r>
              <w:rPr>
                <w:color w:val="auto"/>
                <w:sz w:val="18"/>
                <w:szCs w:val="18"/>
              </w:rPr>
              <w:t>1:2.00</w:t>
            </w:r>
          </w:p>
        </w:tc>
        <w:tc>
          <w:tcPr>
            <w:tcW w:w="1343" w:type="dxa"/>
            <w:vAlign w:val="center"/>
          </w:tcPr>
          <w:p w14:paraId="0344273F">
            <w:pPr>
              <w:adjustRightInd w:val="0"/>
              <w:snapToGrid w:val="0"/>
              <w:spacing w:line="240" w:lineRule="atLeast"/>
              <w:jc w:val="center"/>
              <w:rPr>
                <w:color w:val="auto"/>
                <w:sz w:val="18"/>
                <w:szCs w:val="18"/>
              </w:rPr>
            </w:pPr>
            <w:r>
              <w:rPr>
                <w:color w:val="auto"/>
                <w:sz w:val="18"/>
                <w:szCs w:val="18"/>
              </w:rPr>
              <w:t>1:2.25</w:t>
            </w:r>
          </w:p>
        </w:tc>
      </w:tr>
      <w:tr w14:paraId="2FDE6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4" w:hRule="atLeast"/>
          <w:jc w:val="center"/>
        </w:trPr>
        <w:tc>
          <w:tcPr>
            <w:tcW w:w="9122" w:type="dxa"/>
            <w:gridSpan w:val="6"/>
            <w:vAlign w:val="center"/>
          </w:tcPr>
          <w:p w14:paraId="1DC418F1">
            <w:pPr>
              <w:adjustRightInd w:val="0"/>
              <w:snapToGrid w:val="0"/>
              <w:spacing w:line="300" w:lineRule="exact"/>
              <w:rPr>
                <w:color w:val="auto"/>
                <w:sz w:val="18"/>
                <w:szCs w:val="18"/>
              </w:rPr>
            </w:pPr>
            <w:r>
              <w:rPr>
                <w:color w:val="auto"/>
                <w:sz w:val="18"/>
                <w:szCs w:val="18"/>
              </w:rPr>
              <w:t>注：当压实填土厚度大于20</w:t>
            </w:r>
            <w:r>
              <w:rPr>
                <w:iCs/>
                <w:color w:val="auto"/>
                <w:sz w:val="18"/>
                <w:szCs w:val="18"/>
              </w:rPr>
              <w:t>m</w:t>
            </w:r>
            <w:r>
              <w:rPr>
                <w:color w:val="auto"/>
                <w:sz w:val="18"/>
                <w:szCs w:val="18"/>
              </w:rPr>
              <w:t>时，可设计成台阶进行压实填土的施工。</w:t>
            </w:r>
          </w:p>
        </w:tc>
      </w:tr>
    </w:tbl>
    <w:p w14:paraId="3DA16796">
      <w:pPr>
        <w:adjustRightInd w:val="0"/>
        <w:snapToGrid w:val="0"/>
        <w:spacing w:before="120" w:line="360" w:lineRule="atLeast"/>
        <w:rPr>
          <w:color w:val="auto"/>
          <w:szCs w:val="21"/>
        </w:rPr>
      </w:pPr>
      <w:r>
        <w:rPr>
          <w:b/>
          <w:bCs/>
          <w:color w:val="auto"/>
          <w:szCs w:val="21"/>
        </w:rPr>
        <w:t>10.6.12</w:t>
      </w:r>
      <w:r>
        <w:rPr>
          <w:color w:val="auto"/>
          <w:szCs w:val="21"/>
        </w:rPr>
        <w:t xml:space="preserve">  当压实填土阻碍原地表水畅通排泄时，应根据地形修筑雨水截水沟，并采取防渗、防漏措施。</w:t>
      </w:r>
    </w:p>
    <w:p w14:paraId="67A2E899">
      <w:pPr>
        <w:pStyle w:val="20"/>
        <w:adjustRightInd w:val="0"/>
        <w:snapToGrid w:val="0"/>
        <w:spacing w:line="360" w:lineRule="atLeast"/>
        <w:ind w:left="0" w:leftChars="0"/>
        <w:rPr>
          <w:color w:val="auto"/>
        </w:rPr>
      </w:pPr>
      <w:r>
        <w:rPr>
          <w:b/>
          <w:bCs/>
          <w:color w:val="auto"/>
        </w:rPr>
        <w:t>10.6.13</w:t>
      </w:r>
      <w:r>
        <w:rPr>
          <w:color w:val="auto"/>
        </w:rPr>
        <w:t xml:space="preserve">  高填方压实填土宜采用高能量压（振）实机械进行压实，或采用分层强夯进行夯实，压实系数不宜小于0.95。高填方压实填土场地的高层建筑及对变形敏感的建筑物宜采用桩基等进行二次处理。</w:t>
      </w:r>
    </w:p>
    <w:p w14:paraId="6EE371B9">
      <w:pPr>
        <w:pStyle w:val="20"/>
        <w:adjustRightInd w:val="0"/>
        <w:snapToGrid w:val="0"/>
        <w:spacing w:line="360" w:lineRule="atLeast"/>
        <w:ind w:left="0" w:leftChars="0"/>
        <w:rPr>
          <w:color w:val="auto"/>
        </w:rPr>
      </w:pPr>
      <w:r>
        <w:rPr>
          <w:b/>
          <w:bCs/>
          <w:color w:val="auto"/>
        </w:rPr>
        <w:t>10.6.14</w:t>
      </w:r>
      <w:r>
        <w:rPr>
          <w:color w:val="auto"/>
        </w:rPr>
        <w:t xml:space="preserve">  当利用厚度较大的压实填土作为天然地基的持力层时，建筑物的刚度应适当增加，长高比不应大于2.5；同一结构单元的建筑物不应建在填土厚度差异较大的场地。</w:t>
      </w:r>
    </w:p>
    <w:p w14:paraId="74C13263">
      <w:pPr>
        <w:pStyle w:val="20"/>
        <w:adjustRightInd w:val="0"/>
        <w:snapToGrid w:val="0"/>
        <w:spacing w:line="360" w:lineRule="atLeast"/>
        <w:ind w:left="0" w:leftChars="0"/>
        <w:rPr>
          <w:color w:val="auto"/>
          <w:sz w:val="24"/>
        </w:rPr>
      </w:pPr>
      <w:r>
        <w:rPr>
          <w:b/>
          <w:bCs/>
          <w:color w:val="auto"/>
        </w:rPr>
        <w:t xml:space="preserve">10.6.15  </w:t>
      </w:r>
      <w:r>
        <w:rPr>
          <w:color w:val="auto"/>
        </w:rPr>
        <w:t>压实填土宜采用</w:t>
      </w:r>
      <w:r>
        <w:rPr>
          <w:rFonts w:hint="eastAsia"/>
          <w:color w:val="auto"/>
        </w:rPr>
        <w:t>环刀法或</w:t>
      </w:r>
      <w:r>
        <w:rPr>
          <w:color w:val="auto"/>
        </w:rPr>
        <w:t>核子密度仪进行分层检测。验收检测宜采用载荷试验配合静力触探、动力触探等原位测试方法进行承载力及填筑均匀性检测。载荷试验数量每单体建筑不应少于3点。</w:t>
      </w:r>
    </w:p>
    <w:p w14:paraId="058F454F">
      <w:pPr>
        <w:adjustRightInd w:val="0"/>
        <w:snapToGrid w:val="0"/>
        <w:jc w:val="center"/>
        <w:rPr>
          <w:color w:val="auto"/>
        </w:rPr>
      </w:pPr>
    </w:p>
    <w:p w14:paraId="12FAAA32">
      <w:pPr>
        <w:numPr>
          <w:ilvl w:val="0"/>
          <w:numId w:val="1"/>
        </w:numPr>
        <w:adjustRightInd w:val="0"/>
        <w:snapToGrid w:val="0"/>
        <w:outlineLvl w:val="0"/>
        <w:rPr>
          <w:rFonts w:eastAsia="黑体"/>
          <w:b/>
          <w:color w:val="auto"/>
          <w:sz w:val="24"/>
        </w:rPr>
      </w:pPr>
      <w:bookmarkStart w:id="43" w:name="_Toc199943601"/>
      <w:r>
        <w:rPr>
          <w:rFonts w:eastAsia="黑体"/>
          <w:b/>
          <w:bCs/>
          <w:color w:val="auto"/>
          <w:sz w:val="24"/>
        </w:rPr>
        <w:t>特殊土地基及特殊场地</w:t>
      </w:r>
      <w:bookmarkEnd w:id="43"/>
    </w:p>
    <w:p w14:paraId="49F3A1FC">
      <w:pPr>
        <w:adjustRightInd w:val="0"/>
        <w:snapToGrid w:val="0"/>
        <w:spacing w:line="360" w:lineRule="auto"/>
        <w:jc w:val="center"/>
        <w:rPr>
          <w:rFonts w:eastAsia="黑体"/>
          <w:b/>
          <w:color w:val="auto"/>
          <w:szCs w:val="21"/>
        </w:rPr>
      </w:pPr>
    </w:p>
    <w:p w14:paraId="57C18B49">
      <w:pPr>
        <w:adjustRightInd w:val="0"/>
        <w:snapToGrid w:val="0"/>
        <w:spacing w:line="340" w:lineRule="exact"/>
        <w:outlineLvl w:val="1"/>
        <w:rPr>
          <w:rFonts w:eastAsia="黑体"/>
          <w:b/>
          <w:bCs/>
          <w:color w:val="auto"/>
          <w:szCs w:val="21"/>
        </w:rPr>
      </w:pPr>
      <w:bookmarkStart w:id="44" w:name="_Toc199943602"/>
      <w:r>
        <w:rPr>
          <w:rFonts w:eastAsia="黑体"/>
          <w:b/>
          <w:bCs/>
          <w:color w:val="auto"/>
          <w:szCs w:val="21"/>
        </w:rPr>
        <w:t>11.1  膨胀土地基</w:t>
      </w:r>
      <w:bookmarkEnd w:id="44"/>
    </w:p>
    <w:p w14:paraId="6738AF4D">
      <w:pPr>
        <w:adjustRightInd w:val="0"/>
        <w:snapToGrid w:val="0"/>
        <w:spacing w:line="340" w:lineRule="atLeast"/>
        <w:ind w:firstLine="1876" w:firstLineChars="890"/>
        <w:rPr>
          <w:b/>
          <w:color w:val="auto"/>
          <w:szCs w:val="21"/>
        </w:rPr>
      </w:pPr>
    </w:p>
    <w:p w14:paraId="33F764C9">
      <w:pPr>
        <w:adjustRightInd w:val="0"/>
        <w:snapToGrid w:val="0"/>
        <w:spacing w:line="340" w:lineRule="atLeast"/>
        <w:rPr>
          <w:color w:val="auto"/>
          <w:szCs w:val="21"/>
        </w:rPr>
      </w:pPr>
      <w:r>
        <w:rPr>
          <w:b/>
          <w:color w:val="auto"/>
          <w:szCs w:val="21"/>
        </w:rPr>
        <w:t xml:space="preserve">11.1.1  </w:t>
      </w:r>
      <w:r>
        <w:rPr>
          <w:color w:val="auto"/>
          <w:szCs w:val="21"/>
        </w:rPr>
        <w:t>勘探点的布置、孔深和土样采取除符合现行国家标准GB</w:t>
      </w:r>
      <w:r>
        <w:rPr>
          <w:rFonts w:hint="eastAsia"/>
          <w:color w:val="auto"/>
          <w:szCs w:val="21"/>
        </w:rPr>
        <w:t xml:space="preserve"> </w:t>
      </w:r>
      <w:r>
        <w:rPr>
          <w:color w:val="auto"/>
          <w:szCs w:val="21"/>
        </w:rPr>
        <w:t>50021有关规定外，尚应符合下列要求：</w:t>
      </w:r>
    </w:p>
    <w:p w14:paraId="7213205F">
      <w:pPr>
        <w:adjustRightInd w:val="0"/>
        <w:snapToGrid w:val="0"/>
        <w:spacing w:line="340" w:lineRule="atLeast"/>
        <w:ind w:firstLine="422" w:firstLineChars="200"/>
        <w:rPr>
          <w:color w:val="auto"/>
          <w:szCs w:val="21"/>
        </w:rPr>
      </w:pPr>
      <w:r>
        <w:rPr>
          <w:b/>
          <w:color w:val="auto"/>
          <w:szCs w:val="21"/>
        </w:rPr>
        <w:t>a)</w:t>
      </w:r>
      <w:r>
        <w:rPr>
          <w:color w:val="auto"/>
          <w:szCs w:val="21"/>
        </w:rPr>
        <w:t xml:space="preserve">  勘探点的布置及控制性钻孔深度应根据地形地貌条件和地基基础设计等级确定，钻孔深度不应小于大气影响深度，且控制性勘探孔不应小于8m，一般性勘探孔不应小于5m；</w:t>
      </w:r>
    </w:p>
    <w:p w14:paraId="1795F317">
      <w:pPr>
        <w:adjustRightInd w:val="0"/>
        <w:snapToGrid w:val="0"/>
        <w:spacing w:line="340" w:lineRule="atLeast"/>
        <w:ind w:firstLine="413" w:firstLineChars="196"/>
        <w:rPr>
          <w:color w:val="auto"/>
          <w:szCs w:val="21"/>
        </w:rPr>
      </w:pPr>
      <w:r>
        <w:rPr>
          <w:b/>
          <w:color w:val="auto"/>
          <w:szCs w:val="21"/>
        </w:rPr>
        <w:t>b)</w:t>
      </w:r>
      <w:r>
        <w:rPr>
          <w:color w:val="auto"/>
          <w:szCs w:val="21"/>
        </w:rPr>
        <w:t xml:space="preserve">  取原状土样的勘探点应根据地基基础设计等级、地貌单元和地基土胀缩等级布置，其数量不应少于勘探点总数的1/2；详细勘察阶段，地基基础设计等级为甲级的建筑物，不应少于勘探点总数的2/3，且不得少于3个勘探点；</w:t>
      </w:r>
    </w:p>
    <w:p w14:paraId="53299F71">
      <w:pPr>
        <w:adjustRightInd w:val="0"/>
        <w:snapToGrid w:val="0"/>
        <w:spacing w:line="340" w:lineRule="atLeast"/>
        <w:ind w:firstLine="422" w:firstLineChars="200"/>
        <w:rPr>
          <w:color w:val="auto"/>
          <w:szCs w:val="21"/>
        </w:rPr>
      </w:pPr>
      <w:r>
        <w:rPr>
          <w:b/>
          <w:color w:val="auto"/>
          <w:szCs w:val="21"/>
        </w:rPr>
        <w:t>c)</w:t>
      </w:r>
      <w:r>
        <w:rPr>
          <w:color w:val="auto"/>
          <w:szCs w:val="21"/>
        </w:rPr>
        <w:t xml:space="preserve">  采取原状土样应从地表下1m处开始，在1m至大气影响深度内每米取土样1件；土层有明显变化处，宜增加取土数量；大气影响深度以下，可适当加大取土间距。</w:t>
      </w:r>
      <w:r>
        <w:rPr>
          <w:rFonts w:hint="eastAsia"/>
          <w:color w:val="auto"/>
          <w:szCs w:val="21"/>
        </w:rPr>
        <w:t>在大气影响深度内，每个控制性勘探孔均应采取Ⅰ、Ⅱ级土试样，取样间距不应大于1.0 m，在大气影响深度以下，取样间距可为1.5 m～2.0 m；一般性勘探孔从地表下l m开始至5 m深度内，可取Ⅲ级土试样，测定天然含水量。</w:t>
      </w:r>
    </w:p>
    <w:p w14:paraId="0C171A8E">
      <w:pPr>
        <w:adjustRightInd w:val="0"/>
        <w:snapToGrid w:val="0"/>
        <w:spacing w:line="340" w:lineRule="atLeast"/>
        <w:ind w:firstLine="422" w:firstLineChars="200"/>
        <w:rPr>
          <w:color w:val="auto"/>
          <w:szCs w:val="21"/>
        </w:rPr>
      </w:pPr>
      <w:r>
        <w:rPr>
          <w:b/>
          <w:color w:val="auto"/>
          <w:szCs w:val="21"/>
        </w:rPr>
        <w:t>d)</w:t>
      </w:r>
      <w:r>
        <w:rPr>
          <w:color w:val="auto"/>
          <w:szCs w:val="21"/>
        </w:rPr>
        <w:t xml:space="preserve">  钻探时，严禁向孔内注水。</w:t>
      </w:r>
    </w:p>
    <w:p w14:paraId="5D6B3BF1">
      <w:pPr>
        <w:tabs>
          <w:tab w:val="left" w:pos="3668"/>
        </w:tabs>
        <w:adjustRightInd w:val="0"/>
        <w:snapToGrid w:val="0"/>
        <w:spacing w:line="340" w:lineRule="atLeast"/>
        <w:ind w:right="-12"/>
        <w:rPr>
          <w:color w:val="auto"/>
          <w:szCs w:val="21"/>
        </w:rPr>
      </w:pPr>
      <w:r>
        <w:rPr>
          <w:b/>
          <w:color w:val="auto"/>
          <w:szCs w:val="21"/>
        </w:rPr>
        <w:t xml:space="preserve">11.1.2  </w:t>
      </w:r>
      <w:r>
        <w:rPr>
          <w:color w:val="auto"/>
          <w:szCs w:val="21"/>
        </w:rPr>
        <w:t>初步勘察或详细勘察应采取适量的原状土样进行室内基本物理力学性质试验及自由膨胀率试验，初判为膨胀土时，应进行收缩试验和50kPa压力下的膨胀率试验，判定膨胀潜势和胀缩等级。</w:t>
      </w:r>
      <w:r>
        <w:rPr>
          <w:rFonts w:hint="eastAsia"/>
          <w:color w:val="auto"/>
          <w:szCs w:val="21"/>
        </w:rPr>
        <w:t>对膨胀土应进行黏土矿物成分、体膨胀量和无侧限抗压强度试验。对各向异性膨胀土，应测定其不同方向的膨胀率、膨胀力和收缩系数。</w:t>
      </w:r>
      <w:r>
        <w:rPr>
          <w:color w:val="auto"/>
          <w:szCs w:val="21"/>
        </w:rPr>
        <w:t>查明场地滑坡、地裂等不良地质作用，预估地下水位季节性变化的影响，并评价其危害程度。自由膨胀率试验方法应符合GB</w:t>
      </w:r>
      <w:r>
        <w:rPr>
          <w:rFonts w:hint="eastAsia"/>
          <w:color w:val="auto"/>
          <w:szCs w:val="21"/>
        </w:rPr>
        <w:t xml:space="preserve"> 5011</w:t>
      </w:r>
      <w:r>
        <w:rPr>
          <w:color w:val="auto"/>
          <w:szCs w:val="21"/>
        </w:rPr>
        <w:t>2的规定。</w:t>
      </w:r>
    </w:p>
    <w:p w14:paraId="1B457C10">
      <w:pPr>
        <w:tabs>
          <w:tab w:val="left" w:pos="3668"/>
        </w:tabs>
        <w:adjustRightInd w:val="0"/>
        <w:snapToGrid w:val="0"/>
        <w:spacing w:line="340" w:lineRule="atLeast"/>
        <w:ind w:right="-12" w:firstLine="420" w:firstLineChars="200"/>
        <w:rPr>
          <w:color w:val="auto"/>
          <w:szCs w:val="21"/>
        </w:rPr>
      </w:pPr>
      <w:r>
        <w:rPr>
          <w:color w:val="auto"/>
          <w:szCs w:val="21"/>
        </w:rPr>
        <w:t>膨胀土的膨胀潜势按表45分为三类。</w:t>
      </w:r>
    </w:p>
    <w:p w14:paraId="1F6FFA0A">
      <w:pPr>
        <w:adjustRightInd w:val="0"/>
        <w:snapToGrid w:val="0"/>
        <w:spacing w:before="240" w:line="340" w:lineRule="atLeast"/>
        <w:ind w:right="482"/>
        <w:jc w:val="center"/>
        <w:rPr>
          <w:rFonts w:eastAsia="黑体"/>
          <w:b/>
          <w:color w:val="auto"/>
          <w:szCs w:val="21"/>
        </w:rPr>
      </w:pPr>
      <w:r>
        <w:rPr>
          <w:rFonts w:eastAsia="黑体"/>
          <w:b/>
          <w:color w:val="auto"/>
          <w:szCs w:val="21"/>
        </w:rPr>
        <w:t>表45  膨胀土的膨胀潜势分类</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03"/>
        <w:gridCol w:w="4481"/>
      </w:tblGrid>
      <w:tr w14:paraId="48A39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703" w:type="dxa"/>
          </w:tcPr>
          <w:p w14:paraId="6BF0DF08">
            <w:pPr>
              <w:tabs>
                <w:tab w:val="left" w:pos="3668"/>
              </w:tabs>
              <w:adjustRightInd w:val="0"/>
              <w:snapToGrid w:val="0"/>
              <w:spacing w:line="340" w:lineRule="atLeast"/>
              <w:ind w:right="-12"/>
              <w:jc w:val="center"/>
              <w:rPr>
                <w:color w:val="auto"/>
                <w:sz w:val="18"/>
                <w:szCs w:val="18"/>
              </w:rPr>
            </w:pPr>
            <w:r>
              <w:rPr>
                <w:color w:val="auto"/>
                <w:sz w:val="18"/>
                <w:szCs w:val="18"/>
              </w:rPr>
              <w:t>自由膨胀率</w:t>
            </w:r>
            <w:r>
              <w:rPr>
                <w:i/>
                <w:color w:val="auto"/>
                <w:sz w:val="18"/>
                <w:szCs w:val="18"/>
              </w:rPr>
              <w:t>δ</w:t>
            </w:r>
            <w:r>
              <w:rPr>
                <w:color w:val="auto"/>
                <w:sz w:val="18"/>
                <w:szCs w:val="18"/>
                <w:vertAlign w:val="subscript"/>
              </w:rPr>
              <w:t>ef</w:t>
            </w:r>
            <w:r>
              <w:rPr>
                <w:rFonts w:hint="eastAsia"/>
                <w:color w:val="auto"/>
                <w:sz w:val="18"/>
                <w:szCs w:val="18"/>
              </w:rPr>
              <w:t>（%）</w:t>
            </w:r>
          </w:p>
        </w:tc>
        <w:tc>
          <w:tcPr>
            <w:tcW w:w="4481" w:type="dxa"/>
          </w:tcPr>
          <w:p w14:paraId="78B0377A">
            <w:pPr>
              <w:tabs>
                <w:tab w:val="left" w:pos="3668"/>
              </w:tabs>
              <w:adjustRightInd w:val="0"/>
              <w:snapToGrid w:val="0"/>
              <w:spacing w:line="340" w:lineRule="atLeast"/>
              <w:ind w:right="-12"/>
              <w:jc w:val="center"/>
              <w:rPr>
                <w:color w:val="auto"/>
                <w:sz w:val="18"/>
                <w:szCs w:val="18"/>
              </w:rPr>
            </w:pPr>
            <w:r>
              <w:rPr>
                <w:color w:val="auto"/>
                <w:sz w:val="18"/>
                <w:szCs w:val="18"/>
              </w:rPr>
              <w:t>膨胀潜势</w:t>
            </w:r>
          </w:p>
        </w:tc>
      </w:tr>
      <w:tr w14:paraId="25CE0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703" w:type="dxa"/>
          </w:tcPr>
          <w:p w14:paraId="1845EBEC">
            <w:pPr>
              <w:tabs>
                <w:tab w:val="left" w:pos="3668"/>
              </w:tabs>
              <w:adjustRightInd w:val="0"/>
              <w:snapToGrid w:val="0"/>
              <w:spacing w:line="340" w:lineRule="atLeast"/>
              <w:ind w:right="-12"/>
              <w:jc w:val="center"/>
              <w:rPr>
                <w:color w:val="auto"/>
                <w:sz w:val="18"/>
                <w:szCs w:val="18"/>
              </w:rPr>
            </w:pPr>
            <w:r>
              <w:rPr>
                <w:color w:val="auto"/>
                <w:sz w:val="18"/>
                <w:szCs w:val="18"/>
              </w:rPr>
              <w:t>40≤</w:t>
            </w:r>
            <w:r>
              <w:rPr>
                <w:i/>
                <w:color w:val="auto"/>
                <w:sz w:val="18"/>
                <w:szCs w:val="18"/>
              </w:rPr>
              <w:t>δ</w:t>
            </w:r>
            <w:r>
              <w:rPr>
                <w:color w:val="auto"/>
                <w:sz w:val="18"/>
                <w:szCs w:val="18"/>
                <w:vertAlign w:val="subscript"/>
              </w:rPr>
              <w:t>ef</w:t>
            </w:r>
            <w:r>
              <w:rPr>
                <w:color w:val="auto"/>
                <w:sz w:val="18"/>
                <w:szCs w:val="18"/>
              </w:rPr>
              <w:t>＜65</w:t>
            </w:r>
          </w:p>
        </w:tc>
        <w:tc>
          <w:tcPr>
            <w:tcW w:w="4481" w:type="dxa"/>
          </w:tcPr>
          <w:p w14:paraId="433323C7">
            <w:pPr>
              <w:tabs>
                <w:tab w:val="left" w:pos="3668"/>
              </w:tabs>
              <w:adjustRightInd w:val="0"/>
              <w:snapToGrid w:val="0"/>
              <w:spacing w:line="340" w:lineRule="atLeast"/>
              <w:ind w:right="-12"/>
              <w:jc w:val="center"/>
              <w:rPr>
                <w:color w:val="auto"/>
                <w:sz w:val="18"/>
                <w:szCs w:val="18"/>
              </w:rPr>
            </w:pPr>
            <w:r>
              <w:rPr>
                <w:color w:val="auto"/>
                <w:sz w:val="18"/>
                <w:szCs w:val="18"/>
              </w:rPr>
              <w:t>弱</w:t>
            </w:r>
          </w:p>
        </w:tc>
      </w:tr>
      <w:tr w14:paraId="37FF7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703" w:type="dxa"/>
          </w:tcPr>
          <w:p w14:paraId="1DF7EEF2">
            <w:pPr>
              <w:tabs>
                <w:tab w:val="left" w:pos="3668"/>
              </w:tabs>
              <w:adjustRightInd w:val="0"/>
              <w:snapToGrid w:val="0"/>
              <w:spacing w:line="340" w:lineRule="atLeast"/>
              <w:ind w:right="-12"/>
              <w:jc w:val="center"/>
              <w:rPr>
                <w:color w:val="auto"/>
                <w:sz w:val="18"/>
                <w:szCs w:val="18"/>
              </w:rPr>
            </w:pPr>
            <w:r>
              <w:rPr>
                <w:color w:val="auto"/>
                <w:sz w:val="18"/>
                <w:szCs w:val="18"/>
              </w:rPr>
              <w:t>65≤</w:t>
            </w:r>
            <w:r>
              <w:rPr>
                <w:i/>
                <w:color w:val="auto"/>
                <w:sz w:val="18"/>
                <w:szCs w:val="18"/>
              </w:rPr>
              <w:t>δ</w:t>
            </w:r>
            <w:r>
              <w:rPr>
                <w:color w:val="auto"/>
                <w:sz w:val="18"/>
                <w:szCs w:val="18"/>
                <w:vertAlign w:val="subscript"/>
              </w:rPr>
              <w:t>ef</w:t>
            </w:r>
            <w:r>
              <w:rPr>
                <w:color w:val="auto"/>
                <w:sz w:val="18"/>
                <w:szCs w:val="18"/>
              </w:rPr>
              <w:t>＜90</w:t>
            </w:r>
          </w:p>
        </w:tc>
        <w:tc>
          <w:tcPr>
            <w:tcW w:w="4481" w:type="dxa"/>
          </w:tcPr>
          <w:p w14:paraId="09B14AC9">
            <w:pPr>
              <w:tabs>
                <w:tab w:val="left" w:pos="3668"/>
              </w:tabs>
              <w:adjustRightInd w:val="0"/>
              <w:snapToGrid w:val="0"/>
              <w:spacing w:line="340" w:lineRule="atLeast"/>
              <w:ind w:right="-12"/>
              <w:jc w:val="center"/>
              <w:rPr>
                <w:color w:val="auto"/>
                <w:sz w:val="18"/>
                <w:szCs w:val="18"/>
              </w:rPr>
            </w:pPr>
            <w:r>
              <w:rPr>
                <w:color w:val="auto"/>
                <w:sz w:val="18"/>
                <w:szCs w:val="18"/>
              </w:rPr>
              <w:t>中</w:t>
            </w:r>
          </w:p>
        </w:tc>
      </w:tr>
      <w:tr w14:paraId="03E54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703" w:type="dxa"/>
          </w:tcPr>
          <w:p w14:paraId="0C58C1B1">
            <w:pPr>
              <w:tabs>
                <w:tab w:val="left" w:pos="3668"/>
              </w:tabs>
              <w:adjustRightInd w:val="0"/>
              <w:snapToGrid w:val="0"/>
              <w:spacing w:line="340" w:lineRule="atLeast"/>
              <w:ind w:right="-12"/>
              <w:jc w:val="center"/>
              <w:rPr>
                <w:color w:val="auto"/>
                <w:sz w:val="18"/>
                <w:szCs w:val="18"/>
              </w:rPr>
            </w:pPr>
            <w:r>
              <w:rPr>
                <w:i/>
                <w:color w:val="auto"/>
                <w:sz w:val="18"/>
                <w:szCs w:val="18"/>
              </w:rPr>
              <w:t>δ</w:t>
            </w:r>
            <w:r>
              <w:rPr>
                <w:color w:val="auto"/>
                <w:sz w:val="18"/>
                <w:szCs w:val="18"/>
                <w:vertAlign w:val="subscript"/>
              </w:rPr>
              <w:t>ef</w:t>
            </w:r>
            <w:r>
              <w:rPr>
                <w:color w:val="auto"/>
                <w:sz w:val="18"/>
                <w:szCs w:val="18"/>
              </w:rPr>
              <w:t>≥90</w:t>
            </w:r>
          </w:p>
        </w:tc>
        <w:tc>
          <w:tcPr>
            <w:tcW w:w="4481" w:type="dxa"/>
          </w:tcPr>
          <w:p w14:paraId="7C0A5824">
            <w:pPr>
              <w:tabs>
                <w:tab w:val="left" w:pos="3668"/>
              </w:tabs>
              <w:adjustRightInd w:val="0"/>
              <w:snapToGrid w:val="0"/>
              <w:spacing w:line="340" w:lineRule="atLeast"/>
              <w:ind w:right="-12"/>
              <w:jc w:val="center"/>
              <w:rPr>
                <w:color w:val="auto"/>
                <w:sz w:val="18"/>
                <w:szCs w:val="18"/>
              </w:rPr>
            </w:pPr>
            <w:r>
              <w:rPr>
                <w:color w:val="auto"/>
                <w:sz w:val="18"/>
                <w:szCs w:val="18"/>
              </w:rPr>
              <w:t>强</w:t>
            </w:r>
          </w:p>
        </w:tc>
      </w:tr>
    </w:tbl>
    <w:p w14:paraId="2F319D66">
      <w:pPr>
        <w:tabs>
          <w:tab w:val="left" w:pos="3668"/>
        </w:tabs>
        <w:adjustRightInd w:val="0"/>
        <w:snapToGrid w:val="0"/>
        <w:spacing w:before="240" w:line="340" w:lineRule="atLeast"/>
        <w:ind w:right="-12" w:firstLine="420" w:firstLineChars="200"/>
        <w:rPr>
          <w:color w:val="auto"/>
          <w:szCs w:val="21"/>
        </w:rPr>
      </w:pPr>
      <w:r>
        <w:rPr>
          <w:color w:val="auto"/>
          <w:szCs w:val="21"/>
        </w:rPr>
        <w:t>膨胀土地基的胀缩等级可根据地基分级变形量按表46分为三级。</w:t>
      </w:r>
    </w:p>
    <w:p w14:paraId="16ADEC48">
      <w:pPr>
        <w:tabs>
          <w:tab w:val="left" w:pos="3668"/>
        </w:tabs>
        <w:adjustRightInd w:val="0"/>
        <w:snapToGrid w:val="0"/>
        <w:spacing w:line="340" w:lineRule="atLeast"/>
        <w:ind w:right="-12"/>
        <w:rPr>
          <w:color w:val="auto"/>
          <w:szCs w:val="21"/>
        </w:rPr>
      </w:pPr>
    </w:p>
    <w:p w14:paraId="3D12CE62">
      <w:pPr>
        <w:adjustRightInd w:val="0"/>
        <w:snapToGrid w:val="0"/>
        <w:spacing w:before="240" w:line="340" w:lineRule="atLeast"/>
        <w:ind w:right="482"/>
        <w:jc w:val="center"/>
        <w:rPr>
          <w:rFonts w:eastAsia="黑体"/>
          <w:b/>
          <w:color w:val="auto"/>
          <w:szCs w:val="21"/>
        </w:rPr>
      </w:pPr>
      <w:r>
        <w:rPr>
          <w:rFonts w:eastAsia="黑体"/>
          <w:b/>
          <w:color w:val="auto"/>
          <w:szCs w:val="21"/>
        </w:rPr>
        <w:t>表46  膨胀土地基的胀缩等级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5"/>
        <w:gridCol w:w="4355"/>
      </w:tblGrid>
      <w:tr w14:paraId="178A7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865" w:type="dxa"/>
          </w:tcPr>
          <w:p w14:paraId="0D680D90">
            <w:pPr>
              <w:tabs>
                <w:tab w:val="left" w:pos="3668"/>
              </w:tabs>
              <w:adjustRightInd w:val="0"/>
              <w:snapToGrid w:val="0"/>
              <w:spacing w:line="340" w:lineRule="atLeast"/>
              <w:ind w:right="-12"/>
              <w:jc w:val="center"/>
              <w:rPr>
                <w:color w:val="auto"/>
                <w:sz w:val="18"/>
                <w:szCs w:val="18"/>
              </w:rPr>
            </w:pPr>
            <w:r>
              <w:rPr>
                <w:color w:val="auto"/>
                <w:sz w:val="18"/>
                <w:szCs w:val="18"/>
              </w:rPr>
              <w:t>地基分</w:t>
            </w:r>
            <w:r>
              <w:rPr>
                <w:rFonts w:hint="eastAsia"/>
                <w:color w:val="auto"/>
                <w:sz w:val="18"/>
                <w:szCs w:val="18"/>
              </w:rPr>
              <w:t>级</w:t>
            </w:r>
            <w:r>
              <w:rPr>
                <w:color w:val="auto"/>
                <w:sz w:val="18"/>
                <w:szCs w:val="18"/>
              </w:rPr>
              <w:t>变形量</w:t>
            </w:r>
            <w:r>
              <w:rPr>
                <w:rFonts w:hint="eastAsia"/>
                <w:color w:val="auto"/>
                <w:sz w:val="18"/>
                <w:szCs w:val="18"/>
              </w:rPr>
              <w:t>（mm）</w:t>
            </w:r>
          </w:p>
        </w:tc>
        <w:tc>
          <w:tcPr>
            <w:tcW w:w="4355" w:type="dxa"/>
          </w:tcPr>
          <w:p w14:paraId="52E17FDB">
            <w:pPr>
              <w:tabs>
                <w:tab w:val="left" w:pos="3668"/>
              </w:tabs>
              <w:adjustRightInd w:val="0"/>
              <w:snapToGrid w:val="0"/>
              <w:spacing w:line="340" w:lineRule="atLeast"/>
              <w:ind w:right="-12"/>
              <w:jc w:val="center"/>
              <w:rPr>
                <w:color w:val="auto"/>
                <w:sz w:val="18"/>
                <w:szCs w:val="18"/>
              </w:rPr>
            </w:pPr>
            <w:r>
              <w:rPr>
                <w:color w:val="auto"/>
                <w:sz w:val="18"/>
                <w:szCs w:val="18"/>
              </w:rPr>
              <w:t>等级</w:t>
            </w:r>
          </w:p>
        </w:tc>
      </w:tr>
      <w:tr w14:paraId="260AD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865" w:type="dxa"/>
          </w:tcPr>
          <w:p w14:paraId="64BC54A6">
            <w:pPr>
              <w:tabs>
                <w:tab w:val="left" w:pos="3668"/>
              </w:tabs>
              <w:adjustRightInd w:val="0"/>
              <w:snapToGrid w:val="0"/>
              <w:spacing w:line="340" w:lineRule="atLeast"/>
              <w:ind w:right="-12"/>
              <w:jc w:val="center"/>
              <w:rPr>
                <w:color w:val="auto"/>
                <w:sz w:val="18"/>
                <w:szCs w:val="18"/>
              </w:rPr>
            </w:pPr>
            <w:r>
              <w:rPr>
                <w:color w:val="auto"/>
                <w:sz w:val="18"/>
                <w:szCs w:val="18"/>
              </w:rPr>
              <w:t>15≤</w:t>
            </w:r>
            <w:r>
              <w:rPr>
                <w:i/>
                <w:color w:val="auto"/>
                <w:sz w:val="18"/>
                <w:szCs w:val="18"/>
              </w:rPr>
              <w:t>S</w:t>
            </w:r>
            <w:r>
              <w:rPr>
                <w:color w:val="auto"/>
                <w:sz w:val="18"/>
                <w:szCs w:val="18"/>
                <w:vertAlign w:val="subscript"/>
              </w:rPr>
              <w:t>c</w:t>
            </w:r>
            <w:r>
              <w:rPr>
                <w:color w:val="auto"/>
                <w:sz w:val="18"/>
                <w:szCs w:val="18"/>
              </w:rPr>
              <w:t>＜35</w:t>
            </w:r>
          </w:p>
        </w:tc>
        <w:tc>
          <w:tcPr>
            <w:tcW w:w="4355" w:type="dxa"/>
          </w:tcPr>
          <w:p w14:paraId="2642E958">
            <w:pPr>
              <w:tabs>
                <w:tab w:val="left" w:pos="3668"/>
              </w:tabs>
              <w:adjustRightInd w:val="0"/>
              <w:snapToGrid w:val="0"/>
              <w:spacing w:line="340" w:lineRule="atLeast"/>
              <w:ind w:right="-12"/>
              <w:jc w:val="center"/>
              <w:rPr>
                <w:color w:val="auto"/>
                <w:sz w:val="18"/>
                <w:szCs w:val="18"/>
              </w:rPr>
            </w:pPr>
            <w:r>
              <w:rPr>
                <w:rFonts w:hAnsi="宋体"/>
                <w:color w:val="auto"/>
                <w:sz w:val="18"/>
                <w:szCs w:val="18"/>
              </w:rPr>
              <w:t>Ⅰ</w:t>
            </w:r>
          </w:p>
        </w:tc>
      </w:tr>
      <w:tr w14:paraId="5926F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865" w:type="dxa"/>
          </w:tcPr>
          <w:p w14:paraId="6A64270C">
            <w:pPr>
              <w:tabs>
                <w:tab w:val="left" w:pos="3668"/>
              </w:tabs>
              <w:adjustRightInd w:val="0"/>
              <w:snapToGrid w:val="0"/>
              <w:spacing w:line="340" w:lineRule="atLeast"/>
              <w:ind w:right="-12"/>
              <w:jc w:val="center"/>
              <w:rPr>
                <w:color w:val="auto"/>
                <w:sz w:val="18"/>
                <w:szCs w:val="18"/>
              </w:rPr>
            </w:pPr>
            <w:r>
              <w:rPr>
                <w:color w:val="auto"/>
                <w:sz w:val="18"/>
                <w:szCs w:val="18"/>
              </w:rPr>
              <w:t>35≤</w:t>
            </w:r>
            <w:r>
              <w:rPr>
                <w:i/>
                <w:color w:val="auto"/>
                <w:sz w:val="18"/>
                <w:szCs w:val="18"/>
              </w:rPr>
              <w:t>S</w:t>
            </w:r>
            <w:r>
              <w:rPr>
                <w:color w:val="auto"/>
                <w:sz w:val="18"/>
                <w:szCs w:val="18"/>
                <w:vertAlign w:val="subscript"/>
              </w:rPr>
              <w:t>c</w:t>
            </w:r>
            <w:r>
              <w:rPr>
                <w:color w:val="auto"/>
                <w:sz w:val="18"/>
                <w:szCs w:val="18"/>
              </w:rPr>
              <w:t>＜70</w:t>
            </w:r>
          </w:p>
        </w:tc>
        <w:tc>
          <w:tcPr>
            <w:tcW w:w="4355" w:type="dxa"/>
          </w:tcPr>
          <w:p w14:paraId="361746B7">
            <w:pPr>
              <w:tabs>
                <w:tab w:val="left" w:pos="3668"/>
              </w:tabs>
              <w:adjustRightInd w:val="0"/>
              <w:snapToGrid w:val="0"/>
              <w:spacing w:line="340" w:lineRule="atLeast"/>
              <w:ind w:right="-12"/>
              <w:jc w:val="center"/>
              <w:rPr>
                <w:color w:val="auto"/>
                <w:sz w:val="18"/>
                <w:szCs w:val="18"/>
              </w:rPr>
            </w:pPr>
            <w:r>
              <w:rPr>
                <w:rFonts w:hAnsi="宋体"/>
                <w:color w:val="auto"/>
                <w:sz w:val="18"/>
                <w:szCs w:val="18"/>
              </w:rPr>
              <w:t>Ⅱ</w:t>
            </w:r>
          </w:p>
        </w:tc>
      </w:tr>
      <w:tr w14:paraId="04922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4865" w:type="dxa"/>
          </w:tcPr>
          <w:p w14:paraId="3D56A327">
            <w:pPr>
              <w:tabs>
                <w:tab w:val="left" w:pos="3668"/>
              </w:tabs>
              <w:adjustRightInd w:val="0"/>
              <w:snapToGrid w:val="0"/>
              <w:spacing w:line="340" w:lineRule="atLeast"/>
              <w:ind w:right="-12"/>
              <w:jc w:val="center"/>
              <w:rPr>
                <w:color w:val="auto"/>
                <w:sz w:val="18"/>
                <w:szCs w:val="18"/>
              </w:rPr>
            </w:pPr>
            <w:r>
              <w:rPr>
                <w:i/>
                <w:color w:val="auto"/>
                <w:sz w:val="18"/>
                <w:szCs w:val="18"/>
              </w:rPr>
              <w:t>S</w:t>
            </w:r>
            <w:r>
              <w:rPr>
                <w:color w:val="auto"/>
                <w:sz w:val="18"/>
                <w:szCs w:val="18"/>
                <w:vertAlign w:val="subscript"/>
              </w:rPr>
              <w:t>c</w:t>
            </w:r>
            <w:r>
              <w:rPr>
                <w:color w:val="auto"/>
                <w:sz w:val="18"/>
                <w:szCs w:val="18"/>
              </w:rPr>
              <w:t>≥70</w:t>
            </w:r>
          </w:p>
        </w:tc>
        <w:tc>
          <w:tcPr>
            <w:tcW w:w="4355" w:type="dxa"/>
          </w:tcPr>
          <w:p w14:paraId="2742203D">
            <w:pPr>
              <w:tabs>
                <w:tab w:val="left" w:pos="3668"/>
              </w:tabs>
              <w:adjustRightInd w:val="0"/>
              <w:snapToGrid w:val="0"/>
              <w:spacing w:line="340" w:lineRule="atLeast"/>
              <w:ind w:right="-12"/>
              <w:jc w:val="center"/>
              <w:rPr>
                <w:color w:val="auto"/>
                <w:sz w:val="18"/>
                <w:szCs w:val="18"/>
              </w:rPr>
            </w:pPr>
            <w:r>
              <w:rPr>
                <w:rFonts w:hAnsi="宋体"/>
                <w:color w:val="auto"/>
                <w:sz w:val="18"/>
                <w:szCs w:val="18"/>
              </w:rPr>
              <w:t>Ⅲ</w:t>
            </w:r>
          </w:p>
        </w:tc>
      </w:tr>
      <w:tr w14:paraId="5ACCA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9220" w:type="dxa"/>
            <w:gridSpan w:val="2"/>
          </w:tcPr>
          <w:p w14:paraId="42D5440A">
            <w:pPr>
              <w:tabs>
                <w:tab w:val="left" w:pos="3668"/>
              </w:tabs>
              <w:adjustRightInd w:val="0"/>
              <w:snapToGrid w:val="0"/>
              <w:spacing w:line="340" w:lineRule="atLeast"/>
              <w:ind w:right="-12"/>
              <w:jc w:val="left"/>
              <w:rPr>
                <w:color w:val="auto"/>
                <w:sz w:val="18"/>
                <w:szCs w:val="18"/>
              </w:rPr>
            </w:pPr>
            <w:r>
              <w:rPr>
                <w:color w:val="auto"/>
                <w:sz w:val="18"/>
                <w:szCs w:val="18"/>
              </w:rPr>
              <w:t>注：地基分级变形量按本文件式</w:t>
            </w:r>
            <w:r>
              <w:rPr>
                <w:rFonts w:hint="eastAsia"/>
                <w:color w:val="auto"/>
                <w:sz w:val="18"/>
                <w:szCs w:val="18"/>
              </w:rPr>
              <w:t>（5</w:t>
            </w:r>
            <w:r>
              <w:rPr>
                <w:color w:val="auto"/>
                <w:sz w:val="18"/>
                <w:szCs w:val="18"/>
              </w:rPr>
              <w:t>9</w:t>
            </w:r>
            <w:r>
              <w:rPr>
                <w:rFonts w:hint="eastAsia"/>
                <w:color w:val="auto"/>
                <w:sz w:val="18"/>
                <w:szCs w:val="18"/>
              </w:rPr>
              <w:t>）</w:t>
            </w:r>
            <w:r>
              <w:rPr>
                <w:color w:val="auto"/>
                <w:sz w:val="18"/>
                <w:szCs w:val="18"/>
              </w:rPr>
              <w:t>、式</w:t>
            </w:r>
            <w:r>
              <w:rPr>
                <w:rFonts w:hint="eastAsia"/>
                <w:color w:val="auto"/>
                <w:sz w:val="18"/>
                <w:szCs w:val="18"/>
              </w:rPr>
              <w:t>（6</w:t>
            </w:r>
            <w:r>
              <w:rPr>
                <w:color w:val="auto"/>
                <w:sz w:val="18"/>
                <w:szCs w:val="18"/>
              </w:rPr>
              <w:t>0</w:t>
            </w:r>
            <w:r>
              <w:rPr>
                <w:rFonts w:hint="eastAsia"/>
                <w:color w:val="auto"/>
                <w:sz w:val="18"/>
                <w:szCs w:val="18"/>
              </w:rPr>
              <w:t>）</w:t>
            </w:r>
            <w:r>
              <w:rPr>
                <w:color w:val="auto"/>
                <w:sz w:val="18"/>
                <w:szCs w:val="18"/>
              </w:rPr>
              <w:t>、式</w:t>
            </w:r>
            <w:r>
              <w:rPr>
                <w:rFonts w:hint="eastAsia"/>
                <w:color w:val="auto"/>
                <w:sz w:val="18"/>
                <w:szCs w:val="18"/>
              </w:rPr>
              <w:t>（6</w:t>
            </w:r>
            <w:r>
              <w:rPr>
                <w:color w:val="auto"/>
                <w:sz w:val="18"/>
                <w:szCs w:val="18"/>
              </w:rPr>
              <w:t>4</w:t>
            </w:r>
            <w:r>
              <w:rPr>
                <w:rFonts w:hint="eastAsia"/>
                <w:color w:val="auto"/>
                <w:sz w:val="18"/>
                <w:szCs w:val="18"/>
              </w:rPr>
              <w:t>）</w:t>
            </w:r>
            <w:r>
              <w:rPr>
                <w:color w:val="auto"/>
                <w:sz w:val="18"/>
                <w:szCs w:val="18"/>
              </w:rPr>
              <w:t>进行计算。</w:t>
            </w:r>
          </w:p>
        </w:tc>
      </w:tr>
    </w:tbl>
    <w:p w14:paraId="230C3C55">
      <w:pPr>
        <w:tabs>
          <w:tab w:val="left" w:pos="3668"/>
        </w:tabs>
        <w:adjustRightInd w:val="0"/>
        <w:snapToGrid w:val="0"/>
        <w:spacing w:before="240" w:line="340" w:lineRule="atLeast"/>
        <w:ind w:right="-12"/>
        <w:rPr>
          <w:color w:val="auto"/>
          <w:szCs w:val="21"/>
        </w:rPr>
      </w:pPr>
      <w:r>
        <w:rPr>
          <w:b/>
          <w:color w:val="auto"/>
          <w:szCs w:val="21"/>
        </w:rPr>
        <w:t>11.1.3</w:t>
      </w:r>
      <w:r>
        <w:rPr>
          <w:color w:val="auto"/>
          <w:szCs w:val="21"/>
        </w:rPr>
        <w:t xml:space="preserve"> </w:t>
      </w:r>
      <w:r>
        <w:rPr>
          <w:rFonts w:hint="eastAsia"/>
          <w:color w:val="auto"/>
          <w:szCs w:val="21"/>
        </w:rPr>
        <w:t xml:space="preserve"> </w:t>
      </w:r>
      <w:r>
        <w:rPr>
          <w:color w:val="auto"/>
          <w:szCs w:val="21"/>
        </w:rPr>
        <w:t>地基承载力特征值应考虑地基土吸水膨胀后强度衰减的可能性，可由载荷试验或其他原位测试、并结合工程实践经验等方法综合确定。</w:t>
      </w:r>
    </w:p>
    <w:p w14:paraId="7E61459A">
      <w:pPr>
        <w:tabs>
          <w:tab w:val="left" w:pos="3668"/>
        </w:tabs>
        <w:adjustRightInd w:val="0"/>
        <w:snapToGrid w:val="0"/>
        <w:spacing w:line="340" w:lineRule="atLeast"/>
        <w:ind w:right="-27" w:rightChars="-13" w:firstLine="422" w:firstLineChars="200"/>
        <w:rPr>
          <w:color w:val="auto"/>
          <w:szCs w:val="21"/>
        </w:rPr>
      </w:pPr>
      <w:r>
        <w:rPr>
          <w:b/>
          <w:color w:val="auto"/>
          <w:szCs w:val="21"/>
        </w:rPr>
        <w:t>a)</w:t>
      </w:r>
      <w:r>
        <w:rPr>
          <w:color w:val="auto"/>
          <w:szCs w:val="21"/>
        </w:rPr>
        <w:t xml:space="preserve">  荷载较大的重要建筑物宜采用GB</w:t>
      </w:r>
      <w:r>
        <w:rPr>
          <w:rFonts w:hint="eastAsia"/>
          <w:color w:val="auto"/>
          <w:szCs w:val="21"/>
        </w:rPr>
        <w:t xml:space="preserve"> 50</w:t>
      </w:r>
      <w:r>
        <w:rPr>
          <w:color w:val="auto"/>
          <w:szCs w:val="21"/>
        </w:rPr>
        <w:t>112现场浸水载荷试验</w:t>
      </w:r>
      <w:r>
        <w:rPr>
          <w:rFonts w:hint="eastAsia"/>
          <w:color w:val="auto"/>
          <w:szCs w:val="21"/>
        </w:rPr>
        <w:t>、剪切试验或旁压试验综合</w:t>
      </w:r>
      <w:r>
        <w:rPr>
          <w:color w:val="auto"/>
          <w:szCs w:val="21"/>
        </w:rPr>
        <w:t>确定；</w:t>
      </w:r>
    </w:p>
    <w:p w14:paraId="13DF7A02">
      <w:pPr>
        <w:adjustRightInd w:val="0"/>
        <w:snapToGrid w:val="0"/>
        <w:spacing w:line="340" w:lineRule="atLeast"/>
        <w:ind w:firstLine="422" w:firstLineChars="200"/>
        <w:rPr>
          <w:color w:val="auto"/>
          <w:szCs w:val="21"/>
        </w:rPr>
      </w:pPr>
      <w:r>
        <w:rPr>
          <w:b/>
          <w:color w:val="auto"/>
          <w:szCs w:val="21"/>
        </w:rPr>
        <w:t>b)</w:t>
      </w:r>
      <w:r>
        <w:rPr>
          <w:color w:val="auto"/>
          <w:szCs w:val="21"/>
        </w:rPr>
        <w:t xml:space="preserve">  已有大量试验资料和工程经验的地区，可按当地经验确定。</w:t>
      </w:r>
    </w:p>
    <w:p w14:paraId="2D90F0AB">
      <w:pPr>
        <w:adjustRightInd w:val="0"/>
        <w:snapToGrid w:val="0"/>
        <w:spacing w:line="340" w:lineRule="atLeast"/>
        <w:rPr>
          <w:color w:val="auto"/>
          <w:szCs w:val="21"/>
        </w:rPr>
      </w:pPr>
      <w:r>
        <w:rPr>
          <w:b/>
          <w:color w:val="auto"/>
          <w:szCs w:val="21"/>
        </w:rPr>
        <w:t xml:space="preserve">11.1.4  </w:t>
      </w:r>
      <w:r>
        <w:rPr>
          <w:color w:val="auto"/>
          <w:szCs w:val="21"/>
        </w:rPr>
        <w:t>确定膨胀土地基上建筑物的基础埋置深度，应综合考虑下列条件：</w:t>
      </w:r>
    </w:p>
    <w:p w14:paraId="22283A0E">
      <w:pPr>
        <w:adjustRightInd w:val="0"/>
        <w:snapToGrid w:val="0"/>
        <w:spacing w:line="340" w:lineRule="atLeast"/>
        <w:ind w:firstLine="316" w:firstLineChars="150"/>
        <w:rPr>
          <w:color w:val="auto"/>
          <w:szCs w:val="21"/>
        </w:rPr>
      </w:pPr>
      <w:r>
        <w:rPr>
          <w:b/>
          <w:color w:val="auto"/>
          <w:szCs w:val="21"/>
        </w:rPr>
        <w:t xml:space="preserve">a) </w:t>
      </w:r>
      <w:r>
        <w:rPr>
          <w:color w:val="auto"/>
          <w:szCs w:val="21"/>
        </w:rPr>
        <w:t xml:space="preserve"> 场地类型；</w:t>
      </w:r>
    </w:p>
    <w:p w14:paraId="794B9B2C">
      <w:pPr>
        <w:adjustRightInd w:val="0"/>
        <w:snapToGrid w:val="0"/>
        <w:spacing w:line="340" w:lineRule="atLeast"/>
        <w:ind w:firstLine="316" w:firstLineChars="150"/>
        <w:rPr>
          <w:color w:val="auto"/>
          <w:szCs w:val="21"/>
        </w:rPr>
      </w:pPr>
      <w:r>
        <w:rPr>
          <w:b/>
          <w:color w:val="auto"/>
          <w:szCs w:val="21"/>
        </w:rPr>
        <w:t>b)</w:t>
      </w:r>
      <w:r>
        <w:rPr>
          <w:color w:val="auto"/>
          <w:szCs w:val="21"/>
        </w:rPr>
        <w:t xml:space="preserve">  膨胀土地基胀缩等级；</w:t>
      </w:r>
    </w:p>
    <w:p w14:paraId="4A35DE90">
      <w:pPr>
        <w:adjustRightInd w:val="0"/>
        <w:snapToGrid w:val="0"/>
        <w:spacing w:line="340" w:lineRule="atLeast"/>
        <w:ind w:firstLine="316" w:firstLineChars="150"/>
        <w:rPr>
          <w:color w:val="auto"/>
          <w:szCs w:val="21"/>
        </w:rPr>
      </w:pPr>
      <w:r>
        <w:rPr>
          <w:b/>
          <w:color w:val="auto"/>
          <w:szCs w:val="21"/>
        </w:rPr>
        <w:t>c)</w:t>
      </w:r>
      <w:r>
        <w:rPr>
          <w:color w:val="auto"/>
          <w:szCs w:val="21"/>
        </w:rPr>
        <w:t xml:space="preserve">  大气影响急剧层深度；</w:t>
      </w:r>
    </w:p>
    <w:p w14:paraId="7E07D0B4">
      <w:pPr>
        <w:adjustRightInd w:val="0"/>
        <w:snapToGrid w:val="0"/>
        <w:spacing w:line="340" w:lineRule="atLeast"/>
        <w:ind w:firstLine="316" w:firstLineChars="150"/>
        <w:rPr>
          <w:color w:val="auto"/>
          <w:szCs w:val="21"/>
        </w:rPr>
      </w:pPr>
      <w:r>
        <w:rPr>
          <w:b/>
          <w:color w:val="auto"/>
          <w:szCs w:val="21"/>
        </w:rPr>
        <w:t>d)</w:t>
      </w:r>
      <w:r>
        <w:rPr>
          <w:color w:val="auto"/>
          <w:szCs w:val="21"/>
        </w:rPr>
        <w:t xml:space="preserve">  建筑物的结构类型；</w:t>
      </w:r>
    </w:p>
    <w:p w14:paraId="5E849B4C">
      <w:pPr>
        <w:adjustRightInd w:val="0"/>
        <w:snapToGrid w:val="0"/>
        <w:spacing w:line="340" w:lineRule="atLeast"/>
        <w:ind w:firstLine="316" w:firstLineChars="150"/>
        <w:rPr>
          <w:color w:val="auto"/>
          <w:szCs w:val="21"/>
        </w:rPr>
      </w:pPr>
      <w:r>
        <w:rPr>
          <w:b/>
          <w:color w:val="auto"/>
          <w:szCs w:val="21"/>
        </w:rPr>
        <w:t>e)</w:t>
      </w:r>
      <w:r>
        <w:rPr>
          <w:color w:val="auto"/>
          <w:szCs w:val="21"/>
        </w:rPr>
        <w:t xml:space="preserve">  作用在地基上的荷载大小和性质；</w:t>
      </w:r>
    </w:p>
    <w:p w14:paraId="393FF661">
      <w:pPr>
        <w:adjustRightInd w:val="0"/>
        <w:snapToGrid w:val="0"/>
        <w:spacing w:line="340" w:lineRule="atLeast"/>
        <w:ind w:firstLine="316" w:firstLineChars="150"/>
        <w:rPr>
          <w:color w:val="auto"/>
          <w:szCs w:val="21"/>
        </w:rPr>
      </w:pPr>
      <w:r>
        <w:rPr>
          <w:b/>
          <w:color w:val="auto"/>
          <w:szCs w:val="21"/>
        </w:rPr>
        <w:t>f)</w:t>
      </w:r>
      <w:r>
        <w:rPr>
          <w:color w:val="auto"/>
          <w:szCs w:val="21"/>
        </w:rPr>
        <w:t xml:space="preserve">  建筑物的用途，有无地下室、设备基础和地下设施，基础型式和构造；</w:t>
      </w:r>
    </w:p>
    <w:p w14:paraId="255FD98C">
      <w:pPr>
        <w:adjustRightInd w:val="0"/>
        <w:snapToGrid w:val="0"/>
        <w:spacing w:line="340" w:lineRule="atLeast"/>
        <w:ind w:firstLine="316" w:firstLineChars="150"/>
        <w:rPr>
          <w:color w:val="auto"/>
          <w:szCs w:val="21"/>
        </w:rPr>
      </w:pPr>
      <w:r>
        <w:rPr>
          <w:b/>
          <w:color w:val="auto"/>
          <w:szCs w:val="21"/>
        </w:rPr>
        <w:t>g)</w:t>
      </w:r>
      <w:r>
        <w:rPr>
          <w:color w:val="auto"/>
          <w:szCs w:val="21"/>
        </w:rPr>
        <w:t xml:space="preserve">  相邻建筑物的基础埋深；</w:t>
      </w:r>
    </w:p>
    <w:p w14:paraId="72F45496">
      <w:pPr>
        <w:adjustRightInd w:val="0"/>
        <w:snapToGrid w:val="0"/>
        <w:spacing w:line="340" w:lineRule="atLeast"/>
        <w:ind w:firstLine="316" w:firstLineChars="150"/>
        <w:rPr>
          <w:color w:val="auto"/>
          <w:szCs w:val="21"/>
        </w:rPr>
      </w:pPr>
      <w:r>
        <w:rPr>
          <w:b/>
          <w:color w:val="auto"/>
          <w:szCs w:val="21"/>
        </w:rPr>
        <w:t>h)</w:t>
      </w:r>
      <w:r>
        <w:rPr>
          <w:color w:val="auto"/>
          <w:szCs w:val="21"/>
        </w:rPr>
        <w:t xml:space="preserve">  地下水位的影响；</w:t>
      </w:r>
    </w:p>
    <w:p w14:paraId="222945A4">
      <w:pPr>
        <w:adjustRightInd w:val="0"/>
        <w:snapToGrid w:val="0"/>
        <w:spacing w:line="340" w:lineRule="atLeast"/>
        <w:ind w:firstLine="316" w:firstLineChars="150"/>
        <w:rPr>
          <w:color w:val="auto"/>
          <w:szCs w:val="21"/>
        </w:rPr>
      </w:pPr>
      <w:r>
        <w:rPr>
          <w:b/>
          <w:color w:val="auto"/>
          <w:szCs w:val="21"/>
        </w:rPr>
        <w:t>i)</w:t>
      </w:r>
      <w:r>
        <w:rPr>
          <w:color w:val="auto"/>
          <w:szCs w:val="21"/>
        </w:rPr>
        <w:t xml:space="preserve">  地基稳定性。</w:t>
      </w:r>
    </w:p>
    <w:p w14:paraId="2927CB6F">
      <w:pPr>
        <w:adjustRightInd w:val="0"/>
        <w:snapToGrid w:val="0"/>
        <w:spacing w:line="340" w:lineRule="atLeast"/>
        <w:rPr>
          <w:rFonts w:eastAsia="黑体"/>
          <w:b/>
          <w:color w:val="auto"/>
          <w:szCs w:val="21"/>
        </w:rPr>
      </w:pPr>
      <w:r>
        <w:rPr>
          <w:b/>
          <w:color w:val="auto"/>
          <w:szCs w:val="21"/>
        </w:rPr>
        <w:t>11.1.5</w:t>
      </w:r>
      <w:r>
        <w:rPr>
          <w:rFonts w:eastAsia="黑体"/>
          <w:b/>
          <w:color w:val="auto"/>
          <w:szCs w:val="21"/>
        </w:rPr>
        <w:t xml:space="preserve">  </w:t>
      </w:r>
      <w:r>
        <w:rPr>
          <w:color w:val="auto"/>
          <w:szCs w:val="21"/>
        </w:rPr>
        <w:t>膨胀土地基上建筑物的基础埋置深度不应小于1m。</w:t>
      </w:r>
      <w:r>
        <w:rPr>
          <w:rFonts w:hint="eastAsia"/>
          <w:color w:val="auto"/>
          <w:szCs w:val="21"/>
        </w:rPr>
        <w:t>膨胀土地基稳定性验算时应计取水平膨胀力的作用。膨胀土地区建(构)筑物应采取预防胀缩变形的地基基础措施、建筑措施与结构措施。</w:t>
      </w:r>
    </w:p>
    <w:p w14:paraId="6C7C2EE9">
      <w:pPr>
        <w:adjustRightInd w:val="0"/>
        <w:snapToGrid w:val="0"/>
        <w:spacing w:line="340" w:lineRule="atLeast"/>
        <w:rPr>
          <w:color w:val="auto"/>
          <w:szCs w:val="21"/>
          <w:shd w:val="pct10" w:color="auto" w:fill="FFFFFF"/>
        </w:rPr>
      </w:pPr>
      <w:r>
        <w:rPr>
          <w:b/>
          <w:color w:val="auto"/>
          <w:szCs w:val="21"/>
        </w:rPr>
        <w:t xml:space="preserve">11.1.6  </w:t>
      </w:r>
      <w:r>
        <w:rPr>
          <w:color w:val="auto"/>
          <w:szCs w:val="21"/>
        </w:rPr>
        <w:t>平坦场地上的多层建筑物，以基础埋深为主要防治措施时，基础最小埋深不应小于大气影响急剧层深度；对于坡地，可按本文件11.1.7条确定。建筑物对变形有特殊要求时，应通过地基胀缩变形计算确定，必要时，尚应采取其他措施。</w:t>
      </w:r>
    </w:p>
    <w:p w14:paraId="57674BA8">
      <w:pPr>
        <w:adjustRightInd w:val="0"/>
        <w:snapToGrid w:val="0"/>
        <w:spacing w:line="340" w:lineRule="atLeast"/>
        <w:rPr>
          <w:color w:val="auto"/>
          <w:szCs w:val="21"/>
        </w:rPr>
      </w:pPr>
      <w:r>
        <w:rPr>
          <w:b/>
          <w:color w:val="auto"/>
          <w:szCs w:val="21"/>
        </w:rPr>
        <w:t xml:space="preserve">11.1.7  </w:t>
      </w:r>
      <w:r>
        <w:rPr>
          <w:color w:val="auto"/>
          <w:szCs w:val="21"/>
        </w:rPr>
        <w:t>当坡地坡角为5°～14°，基础外边缘至坡肩的水平距离为5m～10m时，基础埋深（图7）可按</w:t>
      </w:r>
      <w:r>
        <w:rPr>
          <w:rFonts w:hint="eastAsia"/>
          <w:color w:val="auto"/>
          <w:lang w:val="en-US" w:eastAsia="zh-CN"/>
        </w:rPr>
        <w:t>公式（58）</w:t>
      </w:r>
      <w:r>
        <w:rPr>
          <w:color w:val="auto"/>
          <w:szCs w:val="21"/>
        </w:rPr>
        <w:t>确定：</w:t>
      </w:r>
    </w:p>
    <w:p w14:paraId="6D5606FF">
      <w:pPr>
        <w:pStyle w:val="12"/>
        <w:jc w:val="right"/>
        <w:rPr>
          <w:color w:val="auto"/>
          <w:szCs w:val="21"/>
        </w:rPr>
      </w:pPr>
      <w:r>
        <w:rPr>
          <w:color w:val="auto"/>
          <w:position w:val="-14"/>
          <w:szCs w:val="21"/>
        </w:rPr>
        <w:object>
          <v:shape id="_x0000_i1285" o:spt="75" type="#_x0000_t75" style="height:21.75pt;width:159pt;" o:ole="t" filled="f" o:preferrelative="t" stroked="f" coordsize="21600,21600">
            <v:path/>
            <v:fill on="f" focussize="0,0"/>
            <v:stroke on="f" joinstyle="miter"/>
            <v:imagedata r:id="rId510" o:title=""/>
            <o:lock v:ext="edit" aspectratio="t"/>
            <w10:wrap type="none"/>
            <w10:anchorlock/>
          </v:shape>
          <o:OLEObject Type="Embed" ProgID="Equation.3" ShapeID="_x0000_i1285" DrawAspect="Content" ObjectID="_1468075985" r:id="rId50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58</w:t>
      </w:r>
      <w:r>
        <w:rPr>
          <w:color w:val="auto"/>
          <w:szCs w:val="21"/>
        </w:rPr>
        <w:fldChar w:fldCharType="end"/>
      </w:r>
      <w:r>
        <w:rPr>
          <w:color w:val="auto"/>
          <w:szCs w:val="21"/>
        </w:rPr>
        <w:t>）</w:t>
      </w:r>
    </w:p>
    <w:p w14:paraId="2CF1DDD2">
      <w:pPr>
        <w:tabs>
          <w:tab w:val="left" w:pos="1684"/>
        </w:tabs>
        <w:adjustRightInd w:val="0"/>
        <w:snapToGrid w:val="0"/>
        <w:spacing w:line="340" w:lineRule="atLeast"/>
        <w:jc w:val="left"/>
        <w:rPr>
          <w:color w:val="auto"/>
          <w:szCs w:val="21"/>
        </w:rPr>
      </w:pPr>
      <w:r>
        <w:rPr>
          <w:color w:val="auto"/>
          <w:szCs w:val="21"/>
        </w:rPr>
        <w:t>式中</w:t>
      </w:r>
      <w:r>
        <w:rPr>
          <w:rFonts w:hint="eastAsia"/>
          <w:color w:val="auto"/>
          <w:szCs w:val="21"/>
        </w:rPr>
        <w:t xml:space="preserve">  </w:t>
      </w:r>
      <w:r>
        <w:rPr>
          <w:color w:val="auto"/>
          <w:position w:val="-6"/>
          <w:szCs w:val="21"/>
        </w:rPr>
        <w:object>
          <v:shape id="_x0000_i1286" o:spt="75" type="#_x0000_t75" style="height:15pt;width:15pt;" o:ole="t" filled="f" o:preferrelative="t" stroked="f" coordsize="21600,21600">
            <v:path/>
            <v:fill on="f" focussize="0,0"/>
            <v:stroke on="f" joinstyle="miter"/>
            <v:imagedata r:id="rId512" o:title=""/>
            <o:lock v:ext="edit" aspectratio="t"/>
            <w10:wrap type="none"/>
            <w10:anchorlock/>
          </v:shape>
          <o:OLEObject Type="Embed" ProgID="Equation.3" ShapeID="_x0000_i1286" DrawAspect="Content" ObjectID="_1468075986" r:id="rId511">
            <o:LockedField>false</o:LockedField>
          </o:OLEObject>
        </w:object>
      </w:r>
      <w:r>
        <w:rPr>
          <w:color w:val="auto"/>
          <w:szCs w:val="21"/>
        </w:rPr>
        <w:t>——基础埋置深度（</w:t>
      </w:r>
      <w:r>
        <w:rPr>
          <w:color w:val="auto"/>
          <w:position w:val="-6"/>
          <w:szCs w:val="21"/>
        </w:rPr>
        <w:object>
          <v:shape id="_x0000_i1287" o:spt="75" type="#_x0000_t75" style="height:15pt;width:15pt;" o:ole="t" filled="f" o:preferrelative="t" stroked="f" coordsize="21600,21600">
            <v:path/>
            <v:fill on="f" focussize="0,0"/>
            <v:stroke on="f" joinstyle="miter"/>
            <v:imagedata r:id="rId514" o:title=""/>
            <o:lock v:ext="edit" aspectratio="t"/>
            <w10:wrap type="none"/>
            <w10:anchorlock/>
          </v:shape>
          <o:OLEObject Type="Embed" ProgID="Equation.3" ShapeID="_x0000_i1287" DrawAspect="Content" ObjectID="_1468075987" r:id="rId513">
            <o:LockedField>false</o:LockedField>
          </o:OLEObject>
        </w:object>
      </w:r>
      <w:r>
        <w:rPr>
          <w:color w:val="auto"/>
          <w:szCs w:val="21"/>
        </w:rPr>
        <w:t>）；</w:t>
      </w:r>
    </w:p>
    <w:p w14:paraId="55AE7C18">
      <w:pPr>
        <w:tabs>
          <w:tab w:val="left" w:pos="1684"/>
        </w:tabs>
        <w:adjustRightInd w:val="0"/>
        <w:snapToGrid w:val="0"/>
        <w:spacing w:line="340" w:lineRule="atLeast"/>
        <w:ind w:leftChars="-20" w:hanging="42" w:hangingChars="20"/>
        <w:jc w:val="left"/>
        <w:rPr>
          <w:color w:val="auto"/>
          <w:szCs w:val="21"/>
        </w:rPr>
      </w:pPr>
      <w:r>
        <w:rPr>
          <w:color w:val="auto"/>
          <w:szCs w:val="21"/>
        </w:rPr>
        <w:t xml:space="preserve">      </w:t>
      </w:r>
      <w:r>
        <w:rPr>
          <w:color w:val="auto"/>
          <w:position w:val="-12"/>
          <w:szCs w:val="21"/>
        </w:rPr>
        <w:object>
          <v:shape id="_x0000_i1288" o:spt="75" type="#_x0000_t75" style="height:21.75pt;width:15pt;" o:ole="t" filled="f" o:preferrelative="t" stroked="f" coordsize="21600,21600">
            <v:path/>
            <v:fill on="f" focussize="0,0"/>
            <v:stroke on="f" joinstyle="miter"/>
            <v:imagedata r:id="rId516" o:title=""/>
            <o:lock v:ext="edit" aspectratio="t"/>
            <w10:wrap type="none"/>
            <w10:anchorlock/>
          </v:shape>
          <o:OLEObject Type="Embed" ProgID="Equation.3" ShapeID="_x0000_i1288" DrawAspect="Content" ObjectID="_1468075988" r:id="rId515">
            <o:LockedField>false</o:LockedField>
          </o:OLEObject>
        </w:object>
      </w:r>
      <w:r>
        <w:rPr>
          <w:color w:val="auto"/>
          <w:szCs w:val="21"/>
        </w:rPr>
        <w:t>——大气影响深度（</w:t>
      </w:r>
      <w:r>
        <w:rPr>
          <w:color w:val="auto"/>
          <w:position w:val="-6"/>
          <w:szCs w:val="21"/>
        </w:rPr>
        <w:object>
          <v:shape id="_x0000_i1289" o:spt="75" type="#_x0000_t75" style="height:15pt;width:15pt;" o:ole="t" filled="f" o:preferrelative="t" stroked="f" coordsize="21600,21600">
            <v:path/>
            <v:fill on="f" focussize="0,0"/>
            <v:stroke on="f" joinstyle="miter"/>
            <v:imagedata r:id="rId518" o:title=""/>
            <o:lock v:ext="edit" aspectratio="t"/>
            <w10:wrap type="none"/>
            <w10:anchorlock/>
          </v:shape>
          <o:OLEObject Type="Embed" ProgID="Equation.3" ShapeID="_x0000_i1289" DrawAspect="Content" ObjectID="_1468075989" r:id="rId517">
            <o:LockedField>false</o:LockedField>
          </o:OLEObject>
        </w:object>
      </w:r>
      <w:r>
        <w:rPr>
          <w:color w:val="auto"/>
          <w:szCs w:val="21"/>
        </w:rPr>
        <w:t>）；</w:t>
      </w:r>
    </w:p>
    <w:p w14:paraId="5408B93B">
      <w:pPr>
        <w:tabs>
          <w:tab w:val="left" w:pos="1684"/>
        </w:tabs>
        <w:adjustRightInd w:val="0"/>
        <w:snapToGrid w:val="0"/>
        <w:spacing w:line="340" w:lineRule="atLeast"/>
        <w:ind w:firstLine="615" w:firstLineChars="293"/>
        <w:jc w:val="left"/>
        <w:rPr>
          <w:color w:val="auto"/>
          <w:szCs w:val="21"/>
        </w:rPr>
      </w:pPr>
      <w:r>
        <w:rPr>
          <w:color w:val="auto"/>
          <w:position w:val="-10"/>
          <w:szCs w:val="21"/>
        </w:rPr>
        <w:object>
          <v:shape id="_x0000_i1290" o:spt="75" type="#_x0000_t75" style="height:15pt;width:15pt;" o:ole="t" filled="f" o:preferrelative="t" stroked="f" coordsize="21600,21600">
            <v:path/>
            <v:fill on="f" focussize="0,0"/>
            <v:stroke on="f" joinstyle="miter"/>
            <v:imagedata r:id="rId520" o:title=""/>
            <o:lock v:ext="edit" aspectratio="t"/>
            <w10:wrap type="none"/>
            <w10:anchorlock/>
          </v:shape>
          <o:OLEObject Type="Embed" ProgID="Equation.3" ShapeID="_x0000_i1290" DrawAspect="Content" ObjectID="_1468075990" r:id="rId519">
            <o:LockedField>false</o:LockedField>
          </o:OLEObject>
        </w:object>
      </w:r>
      <w:r>
        <w:rPr>
          <w:color w:val="auto"/>
          <w:szCs w:val="21"/>
        </w:rPr>
        <w:t>——设计斜坡坡角（°）；</w:t>
      </w:r>
    </w:p>
    <w:p w14:paraId="7EA92CD8">
      <w:pPr>
        <w:tabs>
          <w:tab w:val="left" w:pos="1684"/>
        </w:tabs>
        <w:adjustRightInd w:val="0"/>
        <w:snapToGrid w:val="0"/>
        <w:spacing w:line="340" w:lineRule="atLeast"/>
        <w:ind w:firstLine="615" w:firstLineChars="293"/>
        <w:jc w:val="left"/>
        <w:rPr>
          <w:color w:val="auto"/>
          <w:szCs w:val="21"/>
        </w:rPr>
      </w:pPr>
      <w:r>
        <w:rPr>
          <w:color w:val="auto"/>
          <w:position w:val="-14"/>
          <w:szCs w:val="21"/>
        </w:rPr>
        <w:object>
          <v:shape id="_x0000_i1291" o:spt="75" type="#_x0000_t75" style="height:21.75pt;width:15pt;" o:ole="t" filled="f" o:preferrelative="t" stroked="f" coordsize="21600,21600">
            <v:path/>
            <v:fill on="f" focussize="0,0"/>
            <v:stroke on="f" joinstyle="miter"/>
            <v:imagedata r:id="rId522" o:title=""/>
            <o:lock v:ext="edit" aspectratio="t"/>
            <w10:wrap type="none"/>
            <w10:anchorlock/>
          </v:shape>
          <o:OLEObject Type="Embed" ProgID="Equation.3" ShapeID="_x0000_i1291" DrawAspect="Content" ObjectID="_1468075991" r:id="rId521">
            <o:LockedField>false</o:LockedField>
          </o:OLEObject>
        </w:object>
      </w:r>
      <w:r>
        <w:rPr>
          <w:color w:val="auto"/>
          <w:szCs w:val="21"/>
        </w:rPr>
        <w:t>——基础外边缘至坡肩的水平距离（</w:t>
      </w:r>
      <w:r>
        <w:rPr>
          <w:color w:val="auto"/>
          <w:position w:val="-6"/>
          <w:szCs w:val="21"/>
        </w:rPr>
        <w:object>
          <v:shape id="_x0000_i1292" o:spt="75" type="#_x0000_t75" style="height:15pt;width:15pt;" o:ole="t" filled="f" o:preferrelative="t" stroked="f" coordsize="21600,21600">
            <v:path/>
            <v:fill on="f" focussize="0,0"/>
            <v:stroke on="f" joinstyle="miter"/>
            <v:imagedata r:id="rId518" o:title=""/>
            <o:lock v:ext="edit" aspectratio="t"/>
            <w10:wrap type="none"/>
            <w10:anchorlock/>
          </v:shape>
          <o:OLEObject Type="Embed" ProgID="Equation.3" ShapeID="_x0000_i1292" DrawAspect="Content" ObjectID="_1468075992" r:id="rId523">
            <o:LockedField>false</o:LockedField>
          </o:OLEObject>
        </w:object>
      </w:r>
      <w:r>
        <w:rPr>
          <w:color w:val="auto"/>
          <w:szCs w:val="21"/>
        </w:rPr>
        <w:t>）。</w:t>
      </w:r>
    </w:p>
    <w:p w14:paraId="42939CF9">
      <w:pPr>
        <w:adjustRightInd w:val="0"/>
        <w:snapToGrid w:val="0"/>
        <w:spacing w:line="340" w:lineRule="atLeast"/>
        <w:ind w:firstLine="735" w:firstLineChars="350"/>
        <w:rPr>
          <w:color w:val="auto"/>
          <w:szCs w:val="21"/>
        </w:rPr>
      </w:pPr>
    </w:p>
    <w:p w14:paraId="44C489CA">
      <w:pPr>
        <w:adjustRightInd w:val="0"/>
        <w:snapToGrid w:val="0"/>
        <w:spacing w:line="340" w:lineRule="atLeast"/>
        <w:jc w:val="center"/>
        <w:rPr>
          <w:color w:val="auto"/>
          <w:szCs w:val="21"/>
        </w:rPr>
      </w:pPr>
      <w:r>
        <w:rPr>
          <w:color w:val="auto"/>
          <w:szCs w:val="21"/>
        </w:rPr>
        <w:object>
          <v:shape id="_x0000_i1293" o:spt="75" type="#_x0000_t75" style="height:86.25pt;width:259.5pt;" o:ole="t" filled="f" o:preferrelative="t" stroked="f" coordsize="21600,21600">
            <v:path/>
            <v:fill on="f" focussize="0,0"/>
            <v:stroke on="f" joinstyle="miter"/>
            <v:imagedata r:id="rId525" cropleft="6472f" croptop="18724f" cropright="6461f" cropbottom="14319f" o:title=""/>
            <o:lock v:ext="edit" aspectratio="t"/>
            <w10:wrap type="none"/>
            <w10:anchorlock/>
          </v:shape>
          <o:OLEObject Type="Embed" ProgID="AutoCAD.Drawing.16" ShapeID="_x0000_i1293" DrawAspect="Content" ObjectID="_1468075993" r:id="rId524">
            <o:LockedField>false</o:LockedField>
          </o:OLEObject>
        </w:object>
      </w:r>
    </w:p>
    <w:p w14:paraId="30292B76">
      <w:pPr>
        <w:adjustRightInd w:val="0"/>
        <w:snapToGrid w:val="0"/>
        <w:spacing w:line="340" w:lineRule="atLeast"/>
        <w:ind w:firstLine="361" w:firstLineChars="200"/>
        <w:jc w:val="center"/>
        <w:rPr>
          <w:b/>
          <w:color w:val="auto"/>
          <w:sz w:val="18"/>
          <w:szCs w:val="18"/>
        </w:rPr>
      </w:pPr>
      <w:r>
        <w:rPr>
          <w:b/>
          <w:color w:val="auto"/>
          <w:sz w:val="18"/>
          <w:szCs w:val="18"/>
        </w:rPr>
        <w:t>图7  坡地上基础埋深计算示意图</w:t>
      </w:r>
    </w:p>
    <w:p w14:paraId="308B6247">
      <w:pPr>
        <w:adjustRightInd w:val="0"/>
        <w:snapToGrid w:val="0"/>
        <w:spacing w:before="240" w:line="340" w:lineRule="atLeast"/>
        <w:ind w:right="480"/>
        <w:rPr>
          <w:color w:val="auto"/>
          <w:szCs w:val="21"/>
        </w:rPr>
      </w:pPr>
      <w:r>
        <w:rPr>
          <w:b/>
          <w:color w:val="auto"/>
          <w:szCs w:val="21"/>
        </w:rPr>
        <w:t>11.1.8</w:t>
      </w:r>
      <w:r>
        <w:rPr>
          <w:color w:val="auto"/>
          <w:szCs w:val="21"/>
        </w:rPr>
        <w:t xml:space="preserve">  修正后的地基承载力特征值应按</w:t>
      </w:r>
      <w:r>
        <w:rPr>
          <w:rFonts w:hint="eastAsia"/>
          <w:color w:val="auto"/>
          <w:lang w:val="en-US" w:eastAsia="zh-CN"/>
        </w:rPr>
        <w:t>公式（59）</w:t>
      </w:r>
      <w:r>
        <w:rPr>
          <w:color w:val="auto"/>
          <w:szCs w:val="21"/>
        </w:rPr>
        <w:t>计算：</w:t>
      </w:r>
    </w:p>
    <w:p w14:paraId="39097075">
      <w:pPr>
        <w:pStyle w:val="12"/>
        <w:jc w:val="right"/>
        <w:rPr>
          <w:color w:val="auto"/>
          <w:szCs w:val="21"/>
        </w:rPr>
      </w:pPr>
      <w:r>
        <w:rPr>
          <w:color w:val="auto"/>
          <w:position w:val="-12"/>
          <w:szCs w:val="21"/>
        </w:rPr>
        <w:object>
          <v:shape id="_x0000_i1294" o:spt="75" type="#_x0000_t75" style="height:21.75pt;width:108.75pt;" o:ole="t" filled="f" o:preferrelative="t" stroked="f" coordsize="21600,21600">
            <v:path/>
            <v:fill on="f" focussize="0,0"/>
            <v:stroke on="f" joinstyle="miter"/>
            <v:imagedata r:id="rId527" o:title=""/>
            <o:lock v:ext="edit" aspectratio="t"/>
            <w10:wrap type="none"/>
            <w10:anchorlock/>
          </v:shape>
          <o:OLEObject Type="Embed" ProgID="Equation.3" ShapeID="_x0000_i1294" DrawAspect="Content" ObjectID="_1468075994" r:id="rId526">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59</w:t>
      </w:r>
      <w:r>
        <w:rPr>
          <w:color w:val="auto"/>
          <w:szCs w:val="21"/>
        </w:rPr>
        <w:fldChar w:fldCharType="end"/>
      </w:r>
      <w:r>
        <w:rPr>
          <w:color w:val="auto"/>
          <w:szCs w:val="21"/>
        </w:rPr>
        <w:t>）</w:t>
      </w:r>
    </w:p>
    <w:p w14:paraId="4FF78014">
      <w:pPr>
        <w:tabs>
          <w:tab w:val="left" w:pos="1684"/>
        </w:tabs>
        <w:adjustRightInd w:val="0"/>
        <w:snapToGrid w:val="0"/>
        <w:spacing w:line="340" w:lineRule="atLeast"/>
        <w:ind w:left="-107" w:leftChars="-51" w:firstLine="432" w:firstLineChars="206"/>
        <w:jc w:val="left"/>
        <w:rPr>
          <w:color w:val="auto"/>
          <w:szCs w:val="21"/>
        </w:rPr>
      </w:pPr>
      <w:r>
        <w:rPr>
          <w:color w:val="auto"/>
          <w:szCs w:val="21"/>
        </w:rPr>
        <w:t>式中</w:t>
      </w:r>
      <w:r>
        <w:rPr>
          <w:rFonts w:hint="eastAsia"/>
          <w:color w:val="auto"/>
          <w:szCs w:val="21"/>
        </w:rPr>
        <w:t xml:space="preserve">  </w:t>
      </w:r>
      <w:r>
        <w:rPr>
          <w:color w:val="auto"/>
          <w:position w:val="-12"/>
          <w:szCs w:val="21"/>
        </w:rPr>
        <w:object>
          <v:shape id="_x0000_i1295" o:spt="75" type="#_x0000_t75" style="height:21.75pt;width:15pt;" o:ole="t" filled="f" o:preferrelative="t" stroked="f" coordsize="21600,21600">
            <v:path/>
            <v:fill on="f" focussize="0,0"/>
            <v:stroke on="f" joinstyle="miter"/>
            <v:imagedata r:id="rId529" o:title=""/>
            <o:lock v:ext="edit" aspectratio="t"/>
            <w10:wrap type="none"/>
            <w10:anchorlock/>
          </v:shape>
          <o:OLEObject Type="Embed" ProgID="Equation.3" ShapeID="_x0000_i1295" DrawAspect="Content" ObjectID="_1468075995" r:id="rId528">
            <o:LockedField>false</o:LockedField>
          </o:OLEObject>
        </w:object>
      </w:r>
      <w:r>
        <w:rPr>
          <w:color w:val="auto"/>
          <w:szCs w:val="21"/>
        </w:rPr>
        <w:t>——地基承载力特征值（</w:t>
      </w:r>
      <w:r>
        <w:rPr>
          <w:rFonts w:hint="eastAsia"/>
          <w:color w:val="auto"/>
          <w:szCs w:val="21"/>
        </w:rPr>
        <w:t>kPa</w:t>
      </w:r>
      <w:r>
        <w:rPr>
          <w:color w:val="auto"/>
          <w:szCs w:val="21"/>
        </w:rPr>
        <w:t>），按本文件第</w:t>
      </w:r>
      <w:r>
        <w:rPr>
          <w:rFonts w:hint="eastAsia"/>
          <w:color w:val="auto"/>
          <w:szCs w:val="21"/>
        </w:rPr>
        <w:t>1</w:t>
      </w:r>
      <w:r>
        <w:rPr>
          <w:color w:val="auto"/>
          <w:szCs w:val="21"/>
        </w:rPr>
        <w:t>1</w:t>
      </w:r>
      <w:r>
        <w:rPr>
          <w:rFonts w:hint="eastAsia"/>
          <w:color w:val="auto"/>
          <w:szCs w:val="21"/>
        </w:rPr>
        <w:t>.1</w:t>
      </w:r>
      <w:r>
        <w:rPr>
          <w:color w:val="auto"/>
          <w:szCs w:val="21"/>
        </w:rPr>
        <w:t>.3条的原则确定；</w:t>
      </w:r>
    </w:p>
    <w:p w14:paraId="21FC0263">
      <w:pPr>
        <w:tabs>
          <w:tab w:val="left" w:pos="1684"/>
        </w:tabs>
        <w:adjustRightInd w:val="0"/>
        <w:snapToGrid w:val="0"/>
        <w:spacing w:line="340" w:lineRule="atLeast"/>
        <w:ind w:left="-107" w:leftChars="-51" w:firstLine="1062" w:firstLineChars="506"/>
        <w:jc w:val="left"/>
        <w:rPr>
          <w:color w:val="auto"/>
          <w:szCs w:val="21"/>
        </w:rPr>
      </w:pPr>
      <w:r>
        <w:rPr>
          <w:color w:val="auto"/>
          <w:position w:val="-10"/>
          <w:szCs w:val="21"/>
        </w:rPr>
        <w:object>
          <v:shape id="_x0000_i1296" o:spt="75" type="#_x0000_t75" style="height:15pt;width:15pt;" o:ole="t" filled="f" o:preferrelative="t" stroked="f" coordsize="21600,21600">
            <v:path/>
            <v:fill on="f" focussize="0,0"/>
            <v:stroke on="f" joinstyle="miter"/>
            <v:imagedata r:id="rId531" o:title=""/>
            <o:lock v:ext="edit" aspectratio="t"/>
            <w10:wrap type="none"/>
            <w10:anchorlock/>
          </v:shape>
          <o:OLEObject Type="Embed" ProgID="Equation.3" ShapeID="_x0000_i1296" DrawAspect="Content" ObjectID="_1468075996" r:id="rId530">
            <o:LockedField>false</o:LockedField>
          </o:OLEObject>
        </w:object>
      </w:r>
      <w:r>
        <w:rPr>
          <w:color w:val="auto"/>
          <w:szCs w:val="21"/>
        </w:rPr>
        <w:t>——基础底面以上土的加权平均重度（kN/m</w:t>
      </w:r>
      <w:r>
        <w:rPr>
          <w:color w:val="auto"/>
          <w:szCs w:val="21"/>
          <w:vertAlign w:val="superscript"/>
        </w:rPr>
        <w:t>3</w:t>
      </w:r>
      <w:r>
        <w:rPr>
          <w:color w:val="auto"/>
          <w:szCs w:val="21"/>
        </w:rPr>
        <w:t>），地下水位以下取浮重度。</w:t>
      </w:r>
    </w:p>
    <w:p w14:paraId="02A1614D">
      <w:pPr>
        <w:adjustRightInd w:val="0"/>
        <w:snapToGrid w:val="0"/>
        <w:spacing w:line="340" w:lineRule="atLeast"/>
        <w:ind w:right="480"/>
        <w:rPr>
          <w:color w:val="auto"/>
          <w:szCs w:val="21"/>
          <w:shd w:val="clear" w:color="auto" w:fill="FF6600"/>
        </w:rPr>
      </w:pPr>
      <w:r>
        <w:rPr>
          <w:b/>
          <w:color w:val="auto"/>
          <w:szCs w:val="21"/>
        </w:rPr>
        <w:t>11.1.9</w:t>
      </w:r>
      <w:r>
        <w:rPr>
          <w:color w:val="auto"/>
          <w:szCs w:val="21"/>
        </w:rPr>
        <w:t xml:space="preserve">  膨胀土地基变形量，可按下列</w:t>
      </w:r>
      <w:r>
        <w:rPr>
          <w:rFonts w:hint="eastAsia"/>
          <w:color w:val="auto"/>
          <w:szCs w:val="21"/>
        </w:rPr>
        <w:t>变形特征分别计算</w:t>
      </w:r>
      <w:r>
        <w:rPr>
          <w:color w:val="auto"/>
          <w:szCs w:val="21"/>
        </w:rPr>
        <w:t>：</w:t>
      </w:r>
    </w:p>
    <w:p w14:paraId="4D3CD1D2">
      <w:pPr>
        <w:adjustRightInd w:val="0"/>
        <w:snapToGrid w:val="0"/>
        <w:spacing w:line="340" w:lineRule="atLeast"/>
        <w:ind w:left="772" w:leftChars="200" w:right="48" w:hanging="352" w:hangingChars="167"/>
        <w:rPr>
          <w:color w:val="auto"/>
          <w:szCs w:val="21"/>
        </w:rPr>
      </w:pPr>
      <w:r>
        <w:rPr>
          <w:b/>
          <w:color w:val="auto"/>
          <w:szCs w:val="21"/>
        </w:rPr>
        <w:t>a)</w:t>
      </w:r>
      <w:r>
        <w:rPr>
          <w:color w:val="auto"/>
          <w:szCs w:val="21"/>
        </w:rPr>
        <w:t xml:space="preserve">  场地天然地表下1m处土的含水率等于或接近最小值（按本文件</w:t>
      </w:r>
      <w:r>
        <w:rPr>
          <w:rFonts w:hint="eastAsia"/>
          <w:color w:val="auto"/>
          <w:lang w:val="en-US" w:eastAsia="zh-CN"/>
        </w:rPr>
        <w:t>公式（62）</w:t>
      </w:r>
      <w:r>
        <w:rPr>
          <w:color w:val="auto"/>
          <w:szCs w:val="21"/>
        </w:rPr>
        <w:t>计算，Δ</w:t>
      </w:r>
      <w:r>
        <w:rPr>
          <w:rFonts w:hint="eastAsia"/>
          <w:i/>
          <w:color w:val="auto"/>
          <w:szCs w:val="21"/>
        </w:rPr>
        <w:t>w</w:t>
      </w:r>
      <w:r>
        <w:rPr>
          <w:color w:val="auto"/>
          <w:szCs w:val="21"/>
          <w:vertAlign w:val="subscript"/>
        </w:rPr>
        <w:t>1</w:t>
      </w:r>
      <w:r>
        <w:rPr>
          <w:color w:val="auto"/>
          <w:szCs w:val="21"/>
        </w:rPr>
        <w:t>为零时的含水率）时，或地面有覆盖且无蒸发可能时，以及建筑物在使用期间，经常有水浸湿的地基，可按膨胀变形量计算；</w:t>
      </w:r>
    </w:p>
    <w:p w14:paraId="094937EE">
      <w:pPr>
        <w:adjustRightInd w:val="0"/>
        <w:snapToGrid w:val="0"/>
        <w:spacing w:line="340" w:lineRule="atLeast"/>
        <w:ind w:left="772" w:leftChars="200" w:right="48" w:hanging="352" w:hangingChars="167"/>
        <w:rPr>
          <w:color w:val="auto"/>
          <w:szCs w:val="21"/>
        </w:rPr>
      </w:pPr>
      <w:r>
        <w:rPr>
          <w:b/>
          <w:color w:val="auto"/>
          <w:szCs w:val="21"/>
        </w:rPr>
        <w:t>b)</w:t>
      </w:r>
      <w:r>
        <w:rPr>
          <w:color w:val="auto"/>
          <w:szCs w:val="21"/>
        </w:rPr>
        <w:t xml:space="preserve">  场地天然地表下1m处土的含水率大于1.2倍塑限含水率时，或直接受高温作用的地基，可按收缩变形量计算；</w:t>
      </w:r>
    </w:p>
    <w:p w14:paraId="05A3B8E3">
      <w:pPr>
        <w:adjustRightInd w:val="0"/>
        <w:snapToGrid w:val="0"/>
        <w:spacing w:line="340" w:lineRule="atLeast"/>
        <w:ind w:right="48" w:firstLine="413" w:firstLineChars="196"/>
        <w:rPr>
          <w:bCs/>
          <w:color w:val="auto"/>
          <w:szCs w:val="21"/>
        </w:rPr>
      </w:pPr>
      <w:r>
        <w:rPr>
          <w:b/>
          <w:color w:val="auto"/>
          <w:szCs w:val="21"/>
        </w:rPr>
        <w:t>c)</w:t>
      </w:r>
      <w:r>
        <w:rPr>
          <w:bCs/>
          <w:color w:val="auto"/>
          <w:szCs w:val="21"/>
        </w:rPr>
        <w:t xml:space="preserve">  其他情况下按胀缩变形量计算。</w:t>
      </w:r>
    </w:p>
    <w:p w14:paraId="663FC3A4">
      <w:pPr>
        <w:adjustRightInd w:val="0"/>
        <w:snapToGrid w:val="0"/>
        <w:spacing w:line="340" w:lineRule="atLeast"/>
        <w:rPr>
          <w:color w:val="auto"/>
          <w:szCs w:val="21"/>
        </w:rPr>
      </w:pPr>
      <w:r>
        <w:rPr>
          <w:b/>
          <w:color w:val="auto"/>
          <w:szCs w:val="21"/>
        </w:rPr>
        <w:t xml:space="preserve">11.1.10  </w:t>
      </w:r>
      <w:r>
        <w:rPr>
          <w:color w:val="auto"/>
          <w:szCs w:val="21"/>
        </w:rPr>
        <w:t>地基土的膨胀变形量（图8）应按</w:t>
      </w:r>
      <w:r>
        <w:rPr>
          <w:rFonts w:hint="eastAsia"/>
          <w:color w:val="auto"/>
          <w:lang w:val="en-US" w:eastAsia="zh-CN"/>
        </w:rPr>
        <w:t>公式（60）</w:t>
      </w:r>
      <w:r>
        <w:rPr>
          <w:color w:val="auto"/>
          <w:szCs w:val="21"/>
        </w:rPr>
        <w:t>计算：</w:t>
      </w:r>
    </w:p>
    <w:p w14:paraId="3E6212EA">
      <w:pPr>
        <w:pStyle w:val="12"/>
        <w:jc w:val="right"/>
        <w:rPr>
          <w:color w:val="auto"/>
          <w:kern w:val="0"/>
          <w:szCs w:val="21"/>
        </w:rPr>
      </w:pPr>
      <w:r>
        <w:rPr>
          <w:color w:val="auto"/>
          <w:position w:val="-28"/>
          <w:szCs w:val="21"/>
        </w:rPr>
        <w:object>
          <v:shape id="_x0000_i1297" o:spt="75" type="#_x0000_t75" style="height:36.75pt;width:87pt;" o:ole="t" filled="f" o:preferrelative="t" stroked="f" coordsize="21600,21600">
            <v:path/>
            <v:fill on="f" focussize="0,0"/>
            <v:stroke on="f" joinstyle="miter"/>
            <v:imagedata r:id="rId533" o:title=""/>
            <o:lock v:ext="edit" aspectratio="t"/>
            <w10:wrap type="none"/>
            <w10:anchorlock/>
          </v:shape>
          <o:OLEObject Type="Embed" ProgID="Equation.3" ShapeID="_x0000_i1297" DrawAspect="Content" ObjectID="_1468075997" r:id="rId532">
            <o:LockedField>false</o:LockedField>
          </o:OLEObject>
        </w:object>
      </w:r>
      <w:r>
        <w:rPr>
          <w:color w:val="auto"/>
          <w:kern w:val="0"/>
          <w:szCs w:val="21"/>
        </w:rPr>
        <w:t xml:space="preserve">                                      (</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60</w:t>
      </w:r>
      <w:r>
        <w:rPr>
          <w:color w:val="auto"/>
          <w:kern w:val="0"/>
          <w:szCs w:val="21"/>
        </w:rPr>
        <w:fldChar w:fldCharType="end"/>
      </w:r>
      <w:r>
        <w:rPr>
          <w:color w:val="auto"/>
          <w:kern w:val="0"/>
          <w:szCs w:val="21"/>
        </w:rPr>
        <w:t>)</w:t>
      </w:r>
    </w:p>
    <w:p w14:paraId="50DF796C">
      <w:pPr>
        <w:tabs>
          <w:tab w:val="left" w:pos="1684"/>
        </w:tabs>
        <w:adjustRightInd w:val="0"/>
        <w:snapToGrid w:val="0"/>
        <w:spacing w:line="340" w:lineRule="atLeast"/>
        <w:jc w:val="left"/>
        <w:rPr>
          <w:color w:val="auto"/>
          <w:szCs w:val="21"/>
        </w:rPr>
      </w:pPr>
      <w:r>
        <w:rPr>
          <w:color w:val="auto"/>
          <w:kern w:val="0"/>
          <w:szCs w:val="21"/>
        </w:rPr>
        <w:t>式中</w:t>
      </w:r>
      <w:r>
        <w:rPr>
          <w:rFonts w:hint="eastAsia"/>
          <w:color w:val="auto"/>
          <w:szCs w:val="21"/>
        </w:rPr>
        <w:t xml:space="preserve">  </w:t>
      </w:r>
      <w:r>
        <w:rPr>
          <w:color w:val="auto"/>
          <w:kern w:val="0"/>
          <w:position w:val="-12"/>
          <w:szCs w:val="21"/>
        </w:rPr>
        <w:object>
          <v:shape id="_x0000_i1298" o:spt="75" type="#_x0000_t75" style="height:21.75pt;width:15pt;" o:ole="t" filled="f" o:preferrelative="t" stroked="f" coordsize="21600,21600">
            <v:path/>
            <v:fill on="f" focussize="0,0"/>
            <v:stroke on="f" joinstyle="miter"/>
            <v:imagedata r:id="rId535" o:title=""/>
            <o:lock v:ext="edit" aspectratio="t"/>
            <w10:wrap type="none"/>
            <w10:anchorlock/>
          </v:shape>
          <o:OLEObject Type="Embed" ProgID="Equation.3" ShapeID="_x0000_i1298" DrawAspect="Content" ObjectID="_1468075998" r:id="rId534">
            <o:LockedField>false</o:LockedField>
          </o:OLEObject>
        </w:object>
      </w:r>
      <w:r>
        <w:rPr>
          <w:color w:val="auto"/>
          <w:szCs w:val="21"/>
        </w:rPr>
        <w:t>——</w:t>
      </w:r>
      <w:r>
        <w:rPr>
          <w:color w:val="auto"/>
          <w:kern w:val="0"/>
          <w:szCs w:val="21"/>
        </w:rPr>
        <w:t>地基土的膨胀变形量（</w:t>
      </w:r>
      <w:r>
        <w:rPr>
          <w:color w:val="auto"/>
          <w:szCs w:val="21"/>
        </w:rPr>
        <w:t>mm</w:t>
      </w:r>
      <w:r>
        <w:rPr>
          <w:color w:val="auto"/>
          <w:kern w:val="0"/>
          <w:szCs w:val="21"/>
        </w:rPr>
        <w:t>）；</w:t>
      </w:r>
    </w:p>
    <w:p w14:paraId="4CBAFB12">
      <w:pPr>
        <w:tabs>
          <w:tab w:val="left" w:pos="1684"/>
        </w:tabs>
        <w:adjustRightInd w:val="0"/>
        <w:snapToGrid w:val="0"/>
        <w:spacing w:line="340" w:lineRule="atLeast"/>
        <w:ind w:left="1272" w:leftChars="260" w:hanging="726" w:hangingChars="346"/>
        <w:jc w:val="left"/>
        <w:rPr>
          <w:color w:val="auto"/>
          <w:szCs w:val="21"/>
        </w:rPr>
      </w:pPr>
      <w:r>
        <w:rPr>
          <w:color w:val="auto"/>
          <w:kern w:val="0"/>
          <w:position w:val="-12"/>
          <w:szCs w:val="21"/>
        </w:rPr>
        <w:object>
          <v:shape id="_x0000_i1299" o:spt="75" type="#_x0000_t75" style="height:21.75pt;width:15pt;" o:ole="t" filled="f" o:preferrelative="t" stroked="f" coordsize="21600,21600">
            <v:path/>
            <v:fill on="f" focussize="0,0"/>
            <v:stroke on="f" joinstyle="miter"/>
            <v:imagedata r:id="rId537" o:title=""/>
            <o:lock v:ext="edit" aspectratio="t"/>
            <w10:wrap type="none"/>
            <w10:anchorlock/>
          </v:shape>
          <o:OLEObject Type="Embed" ProgID="Equation.3" ShapeID="_x0000_i1299" DrawAspect="Content" ObjectID="_1468075999" r:id="rId536">
            <o:LockedField>false</o:LockedField>
          </o:OLEObject>
        </w:object>
      </w:r>
      <w:r>
        <w:rPr>
          <w:color w:val="auto"/>
          <w:szCs w:val="21"/>
        </w:rPr>
        <w:t>——</w:t>
      </w:r>
      <w:r>
        <w:rPr>
          <w:color w:val="auto"/>
          <w:kern w:val="0"/>
          <w:szCs w:val="21"/>
        </w:rPr>
        <w:t>计算膨胀变形量的经验系数，宜根据当地经验确定，无可依据经验时，三层及三层以下建筑物可采用0.6；</w:t>
      </w:r>
    </w:p>
    <w:p w14:paraId="5D654349">
      <w:pPr>
        <w:tabs>
          <w:tab w:val="left" w:pos="1684"/>
        </w:tabs>
        <w:adjustRightInd w:val="0"/>
        <w:snapToGrid w:val="0"/>
        <w:spacing w:line="340" w:lineRule="atLeast"/>
        <w:ind w:left="1287" w:leftChars="226" w:hanging="812" w:hangingChars="387"/>
        <w:jc w:val="left"/>
        <w:rPr>
          <w:color w:val="auto"/>
          <w:szCs w:val="21"/>
        </w:rPr>
      </w:pPr>
      <w:r>
        <w:rPr>
          <w:color w:val="auto"/>
          <w:kern w:val="0"/>
          <w:position w:val="-14"/>
          <w:szCs w:val="21"/>
        </w:rPr>
        <w:object>
          <v:shape id="_x0000_i1300" o:spt="75" type="#_x0000_t75" style="height:21.75pt;width:21.75pt;" o:ole="t" filled="f" o:preferrelative="t" stroked="f" coordsize="21600,21600">
            <v:path/>
            <v:fill on="f" focussize="0,0"/>
            <v:stroke on="f" joinstyle="miter"/>
            <v:imagedata r:id="rId539" o:title=""/>
            <o:lock v:ext="edit" aspectratio="t"/>
            <w10:wrap type="none"/>
            <w10:anchorlock/>
          </v:shape>
          <o:OLEObject Type="Embed" ProgID="Equation.3" ShapeID="_x0000_i1300" DrawAspect="Content" ObjectID="_1468076000" r:id="rId538">
            <o:LockedField>false</o:LockedField>
          </o:OLEObject>
        </w:object>
      </w:r>
      <w:r>
        <w:rPr>
          <w:color w:val="auto"/>
          <w:szCs w:val="21"/>
        </w:rPr>
        <w:t>——</w:t>
      </w:r>
      <w:r>
        <w:rPr>
          <w:color w:val="auto"/>
          <w:kern w:val="0"/>
          <w:szCs w:val="21"/>
        </w:rPr>
        <w:t>基础底面下第</w:t>
      </w:r>
      <w:r>
        <w:rPr>
          <w:color w:val="auto"/>
          <w:kern w:val="0"/>
          <w:position w:val="-6"/>
          <w:szCs w:val="21"/>
        </w:rPr>
        <w:object>
          <v:shape id="_x0000_i1301" o:spt="75" type="#_x0000_t75" style="height:15pt;width:8.25pt;" o:ole="t" filled="f" o:preferrelative="t" stroked="f" coordsize="21600,21600">
            <v:path/>
            <v:fill on="f" focussize="0,0"/>
            <v:stroke on="f" joinstyle="miter"/>
            <v:imagedata r:id="rId541" o:title=""/>
            <o:lock v:ext="edit" aspectratio="t"/>
            <w10:wrap type="none"/>
            <w10:anchorlock/>
          </v:shape>
          <o:OLEObject Type="Embed" ProgID="Equation.3" ShapeID="_x0000_i1301" DrawAspect="Content" ObjectID="_1468076001" r:id="rId540">
            <o:LockedField>false</o:LockedField>
          </o:OLEObject>
        </w:object>
      </w:r>
      <w:r>
        <w:rPr>
          <w:color w:val="auto"/>
          <w:kern w:val="0"/>
          <w:szCs w:val="21"/>
        </w:rPr>
        <w:t>层土在该层土的平均自重压力与对应于荷载效应准永久组合时的平均附加压力之和作用下的膨胀率</w:t>
      </w:r>
      <w:r>
        <w:rPr>
          <w:rFonts w:hint="eastAsia"/>
          <w:color w:val="auto"/>
          <w:kern w:val="0"/>
          <w:szCs w:val="21"/>
        </w:rPr>
        <w:t>(用小数计)</w:t>
      </w:r>
      <w:r>
        <w:rPr>
          <w:color w:val="auto"/>
          <w:kern w:val="0"/>
          <w:szCs w:val="21"/>
        </w:rPr>
        <w:t>，由室内试验确定；</w:t>
      </w:r>
    </w:p>
    <w:p w14:paraId="235D06D5">
      <w:pPr>
        <w:tabs>
          <w:tab w:val="left" w:pos="1684"/>
        </w:tabs>
        <w:adjustRightInd w:val="0"/>
        <w:snapToGrid w:val="0"/>
        <w:spacing w:line="340" w:lineRule="atLeast"/>
        <w:ind w:firstLine="546" w:firstLineChars="260"/>
        <w:jc w:val="left"/>
        <w:rPr>
          <w:color w:val="auto"/>
          <w:szCs w:val="21"/>
        </w:rPr>
      </w:pPr>
      <w:r>
        <w:rPr>
          <w:color w:val="auto"/>
          <w:position w:val="-10"/>
          <w:szCs w:val="21"/>
        </w:rPr>
        <w:object>
          <v:shape id="_x0000_i1302" o:spt="75" type="#_x0000_t75" style="height:15pt;width:15pt;" o:ole="t" filled="f" o:preferrelative="t" stroked="f" coordsize="21600,21600">
            <v:path/>
            <v:fill on="f" focussize="0,0"/>
            <v:stroke on="f" joinstyle="miter"/>
            <v:imagedata r:id="rId543" o:title=""/>
            <o:lock v:ext="edit" aspectratio="t"/>
            <w10:wrap type="none"/>
            <w10:anchorlock/>
          </v:shape>
          <o:OLEObject Type="Embed" ProgID="Equation.3" ShapeID="_x0000_i1302" DrawAspect="Content" ObjectID="_1468076002" r:id="rId542">
            <o:LockedField>false</o:LockedField>
          </o:OLEObject>
        </w:object>
      </w:r>
      <w:r>
        <w:rPr>
          <w:color w:val="auto"/>
          <w:szCs w:val="21"/>
        </w:rPr>
        <w:t>——</w:t>
      </w:r>
      <w:r>
        <w:rPr>
          <w:color w:val="auto"/>
          <w:kern w:val="0"/>
          <w:szCs w:val="21"/>
        </w:rPr>
        <w:t>第i层土的计算厚度（</w:t>
      </w:r>
      <w:r>
        <w:rPr>
          <w:color w:val="auto"/>
          <w:szCs w:val="21"/>
        </w:rPr>
        <w:t>mm</w:t>
      </w:r>
      <w:r>
        <w:rPr>
          <w:color w:val="auto"/>
          <w:kern w:val="0"/>
          <w:szCs w:val="21"/>
        </w:rPr>
        <w:t>）；</w:t>
      </w:r>
    </w:p>
    <w:p w14:paraId="159D315E">
      <w:pPr>
        <w:tabs>
          <w:tab w:val="left" w:pos="1684"/>
        </w:tabs>
        <w:adjustRightInd w:val="0"/>
        <w:snapToGrid w:val="0"/>
        <w:spacing w:line="340" w:lineRule="atLeast"/>
        <w:ind w:firstLine="504" w:firstLineChars="240"/>
        <w:jc w:val="left"/>
        <w:rPr>
          <w:color w:val="auto"/>
          <w:kern w:val="0"/>
          <w:szCs w:val="21"/>
        </w:rPr>
      </w:pPr>
      <w:r>
        <w:rPr>
          <w:color w:val="auto"/>
          <w:kern w:val="0"/>
          <w:position w:val="-12"/>
          <w:szCs w:val="21"/>
        </w:rPr>
        <w:object>
          <v:shape id="_x0000_i1303" o:spt="75" type="#_x0000_t75" style="height:21.75pt;width:15pt;" o:ole="t" filled="f" o:preferrelative="t" stroked="f" coordsize="21600,21600">
            <v:path/>
            <v:fill on="f" focussize="0,0"/>
            <v:stroke on="f" joinstyle="miter"/>
            <v:imagedata r:id="rId545" o:title=""/>
            <o:lock v:ext="edit" aspectratio="t"/>
            <w10:wrap type="none"/>
            <w10:anchorlock/>
          </v:shape>
          <o:OLEObject Type="Embed" ProgID="Equation.3" ShapeID="_x0000_i1303" DrawAspect="Content" ObjectID="_1468076003" r:id="rId544">
            <o:LockedField>false</o:LockedField>
          </o:OLEObject>
        </w:object>
      </w:r>
      <w:r>
        <w:rPr>
          <w:color w:val="auto"/>
          <w:szCs w:val="21"/>
        </w:rPr>
        <w:t>——膨胀变形</w:t>
      </w:r>
      <w:r>
        <w:rPr>
          <w:color w:val="auto"/>
          <w:kern w:val="0"/>
          <w:szCs w:val="21"/>
        </w:rPr>
        <w:t>计算深度。应根据大气影响深度确定，有浸水可能时可按浸水影响深度确定；</w:t>
      </w:r>
    </w:p>
    <w:p w14:paraId="521C807F">
      <w:pPr>
        <w:tabs>
          <w:tab w:val="left" w:pos="1684"/>
        </w:tabs>
        <w:adjustRightInd w:val="0"/>
        <w:snapToGrid w:val="0"/>
        <w:spacing w:line="340" w:lineRule="atLeast"/>
        <w:ind w:firstLine="630" w:firstLineChars="300"/>
        <w:jc w:val="left"/>
        <w:rPr>
          <w:color w:val="auto"/>
          <w:szCs w:val="21"/>
        </w:rPr>
      </w:pPr>
      <w:r>
        <w:rPr>
          <w:color w:val="auto"/>
          <w:kern w:val="0"/>
          <w:position w:val="-6"/>
          <w:szCs w:val="21"/>
        </w:rPr>
        <w:object>
          <v:shape id="_x0000_i1304" o:spt="75" type="#_x0000_t75" style="height:8.25pt;width:8.25pt;" o:ole="t" filled="f" o:preferrelative="t" stroked="f" coordsize="21600,21600">
            <v:path/>
            <v:fill on="f" focussize="0,0"/>
            <v:stroke on="f" joinstyle="miter"/>
            <v:imagedata r:id="rId547" o:title=""/>
            <o:lock v:ext="edit" aspectratio="t"/>
            <w10:wrap type="none"/>
            <w10:anchorlock/>
          </v:shape>
          <o:OLEObject Type="Embed" ProgID="Equation.3" ShapeID="_x0000_i1304" DrawAspect="Content" ObjectID="_1468076004" r:id="rId546">
            <o:LockedField>false</o:LockedField>
          </o:OLEObject>
        </w:object>
      </w:r>
      <w:r>
        <w:rPr>
          <w:color w:val="auto"/>
          <w:szCs w:val="21"/>
        </w:rPr>
        <w:t>——</w:t>
      </w:r>
      <w:r>
        <w:rPr>
          <w:color w:val="auto"/>
          <w:kern w:val="0"/>
          <w:szCs w:val="21"/>
        </w:rPr>
        <w:t>基础底面至计算深度内所划分的土层数。</w:t>
      </w:r>
    </w:p>
    <w:p w14:paraId="758CF44E">
      <w:pPr>
        <w:adjustRightInd w:val="0"/>
        <w:snapToGrid w:val="0"/>
        <w:spacing w:line="340" w:lineRule="atLeast"/>
        <w:ind w:left="1491" w:leftChars="400" w:hanging="651" w:hangingChars="310"/>
        <w:jc w:val="center"/>
        <w:rPr>
          <w:color w:val="auto"/>
          <w:szCs w:val="21"/>
        </w:rPr>
      </w:pPr>
      <w:r>
        <w:rPr>
          <w:color w:val="auto"/>
          <w:szCs w:val="21"/>
        </w:rPr>
        <w:object>
          <v:shape id="_x0000_i1305" o:spt="75" type="#_x0000_t75" style="height:195pt;width:165.75pt;" o:ole="t" filled="f" o:preferrelative="t" stroked="f" coordsize="21600,21600">
            <v:path/>
            <v:fill on="f" focussize="0,0"/>
            <v:stroke on="f" joinstyle="miter"/>
            <v:imagedata r:id="rId549" cropleft="6741f" croptop="12047f" cropright="41667f" cropbottom="16223f" o:title=""/>
            <o:lock v:ext="edit" aspectratio="t"/>
            <w10:wrap type="none"/>
            <w10:anchorlock/>
          </v:shape>
          <o:OLEObject Type="Embed" ProgID="AutoCAD.Drawing.16" ShapeID="_x0000_i1305" DrawAspect="Content" ObjectID="_1468076005" r:id="rId548">
            <o:LockedField>false</o:LockedField>
          </o:OLEObject>
        </w:object>
      </w:r>
    </w:p>
    <w:p w14:paraId="723EA776">
      <w:pPr>
        <w:adjustRightInd w:val="0"/>
        <w:snapToGrid w:val="0"/>
        <w:spacing w:line="340" w:lineRule="atLeast"/>
        <w:ind w:left="1400" w:leftChars="400" w:hanging="560" w:hangingChars="310"/>
        <w:jc w:val="center"/>
        <w:rPr>
          <w:b/>
          <w:color w:val="auto"/>
          <w:sz w:val="18"/>
          <w:szCs w:val="18"/>
        </w:rPr>
      </w:pPr>
      <w:r>
        <w:rPr>
          <w:b/>
          <w:color w:val="auto"/>
          <w:sz w:val="18"/>
          <w:szCs w:val="18"/>
        </w:rPr>
        <w:t>图8  地基土的膨胀变形计算示意图</w:t>
      </w:r>
    </w:p>
    <w:p w14:paraId="510045ED">
      <w:pPr>
        <w:adjustRightInd w:val="0"/>
        <w:snapToGrid w:val="0"/>
        <w:spacing w:line="340" w:lineRule="atLeast"/>
        <w:ind w:left="1491" w:leftChars="400" w:hanging="651" w:hangingChars="310"/>
        <w:jc w:val="center"/>
        <w:rPr>
          <w:color w:val="auto"/>
          <w:szCs w:val="21"/>
        </w:rPr>
      </w:pPr>
    </w:p>
    <w:p w14:paraId="5C95CCCC">
      <w:pPr>
        <w:adjustRightInd w:val="0"/>
        <w:snapToGrid w:val="0"/>
        <w:spacing w:line="340" w:lineRule="atLeast"/>
        <w:rPr>
          <w:color w:val="auto"/>
          <w:szCs w:val="21"/>
        </w:rPr>
      </w:pPr>
      <w:r>
        <w:rPr>
          <w:b/>
          <w:color w:val="auto"/>
          <w:szCs w:val="21"/>
        </w:rPr>
        <w:t xml:space="preserve">11.1.11  </w:t>
      </w:r>
      <w:r>
        <w:rPr>
          <w:color w:val="auto"/>
          <w:szCs w:val="21"/>
        </w:rPr>
        <w:t>地基土的收缩变形量应按</w:t>
      </w:r>
      <w:r>
        <w:rPr>
          <w:rFonts w:hint="eastAsia"/>
          <w:color w:val="auto"/>
          <w:lang w:val="en-US" w:eastAsia="zh-CN"/>
        </w:rPr>
        <w:t>公式（61）</w:t>
      </w:r>
      <w:r>
        <w:rPr>
          <w:color w:val="auto"/>
          <w:szCs w:val="21"/>
        </w:rPr>
        <w:t>计算：</w:t>
      </w:r>
    </w:p>
    <w:p w14:paraId="79E27039">
      <w:pPr>
        <w:pStyle w:val="12"/>
        <w:jc w:val="right"/>
        <w:rPr>
          <w:color w:val="auto"/>
          <w:szCs w:val="21"/>
        </w:rPr>
      </w:pPr>
      <w:r>
        <w:rPr>
          <w:color w:val="auto"/>
          <w:position w:val="-28"/>
          <w:szCs w:val="21"/>
        </w:rPr>
        <w:object>
          <v:shape id="_x0000_i1306" o:spt="75" type="#_x0000_t75" style="height:36.75pt;width:108pt;" o:ole="t" filled="f" o:preferrelative="t" stroked="f" coordsize="21600,21600">
            <v:path/>
            <v:fill on="f" focussize="0,0"/>
            <v:stroke on="f" joinstyle="miter"/>
            <v:imagedata r:id="rId551" o:title=""/>
            <o:lock v:ext="edit" aspectratio="t"/>
            <w10:wrap type="none"/>
            <w10:anchorlock/>
          </v:shape>
          <o:OLEObject Type="Embed" ProgID="Equation.3" ShapeID="_x0000_i1306" DrawAspect="Content" ObjectID="_1468076006" r:id="rId550">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61</w:t>
      </w:r>
      <w:r>
        <w:rPr>
          <w:color w:val="auto"/>
          <w:szCs w:val="21"/>
        </w:rPr>
        <w:fldChar w:fldCharType="end"/>
      </w:r>
      <w:r>
        <w:rPr>
          <w:color w:val="auto"/>
          <w:szCs w:val="21"/>
        </w:rPr>
        <w:t>)</w:t>
      </w:r>
    </w:p>
    <w:p w14:paraId="4B1277A5">
      <w:pPr>
        <w:tabs>
          <w:tab w:val="left" w:pos="1684"/>
        </w:tabs>
        <w:adjustRightInd w:val="0"/>
        <w:snapToGrid w:val="0"/>
        <w:spacing w:line="340" w:lineRule="atLeast"/>
        <w:jc w:val="left"/>
        <w:rPr>
          <w:color w:val="auto"/>
          <w:szCs w:val="21"/>
        </w:rPr>
      </w:pPr>
      <w:r>
        <w:rPr>
          <w:color w:val="auto"/>
          <w:kern w:val="0"/>
          <w:szCs w:val="21"/>
        </w:rPr>
        <w:t>式中</w:t>
      </w:r>
      <w:r>
        <w:rPr>
          <w:rFonts w:hint="eastAsia"/>
          <w:color w:val="auto"/>
          <w:szCs w:val="21"/>
        </w:rPr>
        <w:t xml:space="preserve">  </w:t>
      </w:r>
      <w:r>
        <w:rPr>
          <w:color w:val="auto"/>
          <w:position w:val="-12"/>
          <w:szCs w:val="21"/>
        </w:rPr>
        <w:object>
          <v:shape id="_x0000_i1307" o:spt="75" type="#_x0000_t75" style="height:21.75pt;width:15pt;" o:ole="t" filled="f" o:preferrelative="t" stroked="f" coordsize="21600,21600">
            <v:path/>
            <v:fill on="f" focussize="0,0"/>
            <v:stroke on="f" joinstyle="miter"/>
            <v:imagedata r:id="rId553" o:title=""/>
            <o:lock v:ext="edit" aspectratio="t"/>
            <w10:wrap type="none"/>
            <w10:anchorlock/>
          </v:shape>
          <o:OLEObject Type="Embed" ProgID="Equation.3" ShapeID="_x0000_i1307" DrawAspect="Content" ObjectID="_1468076007" r:id="rId552">
            <o:LockedField>false</o:LockedField>
          </o:OLEObject>
        </w:object>
      </w:r>
      <w:r>
        <w:rPr>
          <w:color w:val="auto"/>
          <w:szCs w:val="21"/>
        </w:rPr>
        <w:t>——</w:t>
      </w:r>
      <w:r>
        <w:rPr>
          <w:color w:val="auto"/>
          <w:kern w:val="0"/>
          <w:szCs w:val="21"/>
        </w:rPr>
        <w:t>地基土的收缩变形量（</w:t>
      </w:r>
      <w:r>
        <w:rPr>
          <w:color w:val="auto"/>
          <w:szCs w:val="21"/>
        </w:rPr>
        <w:t>mm</w:t>
      </w:r>
      <w:r>
        <w:rPr>
          <w:color w:val="auto"/>
          <w:kern w:val="0"/>
          <w:szCs w:val="21"/>
        </w:rPr>
        <w:t>）；</w:t>
      </w:r>
    </w:p>
    <w:p w14:paraId="404EAACE">
      <w:pPr>
        <w:tabs>
          <w:tab w:val="left" w:pos="1684"/>
        </w:tabs>
        <w:adjustRightInd w:val="0"/>
        <w:snapToGrid w:val="0"/>
        <w:spacing w:line="340" w:lineRule="atLeast"/>
        <w:ind w:left="1329" w:leftChars="273" w:hanging="756" w:hangingChars="360"/>
        <w:jc w:val="left"/>
        <w:rPr>
          <w:color w:val="auto"/>
          <w:szCs w:val="21"/>
        </w:rPr>
      </w:pPr>
      <w:r>
        <w:rPr>
          <w:color w:val="auto"/>
          <w:position w:val="-12"/>
          <w:szCs w:val="21"/>
        </w:rPr>
        <w:object>
          <v:shape id="_x0000_i1308" o:spt="75" type="#_x0000_t75" style="height:21.75pt;width:15pt;" o:ole="t" filled="f" o:preferrelative="t" stroked="f" coordsize="21600,21600">
            <v:path/>
            <v:fill on="f" focussize="0,0"/>
            <v:stroke on="f" joinstyle="miter"/>
            <v:imagedata r:id="rId555" o:title=""/>
            <o:lock v:ext="edit" aspectratio="t"/>
            <w10:wrap type="none"/>
            <w10:anchorlock/>
          </v:shape>
          <o:OLEObject Type="Embed" ProgID="Equation.3" ShapeID="_x0000_i1308" DrawAspect="Content" ObjectID="_1468076008" r:id="rId554">
            <o:LockedField>false</o:LockedField>
          </o:OLEObject>
        </w:object>
      </w:r>
      <w:r>
        <w:rPr>
          <w:color w:val="auto"/>
          <w:szCs w:val="21"/>
        </w:rPr>
        <w:t>——</w:t>
      </w:r>
      <w:r>
        <w:rPr>
          <w:color w:val="auto"/>
          <w:kern w:val="0"/>
          <w:szCs w:val="21"/>
        </w:rPr>
        <w:t>计算收缩变形量的经验系数，宜根据当地经验确定，无可依据经验时，三层及三层以下建筑物可采用0.8；</w:t>
      </w:r>
    </w:p>
    <w:p w14:paraId="2A125EE7">
      <w:pPr>
        <w:tabs>
          <w:tab w:val="left" w:pos="1684"/>
        </w:tabs>
        <w:adjustRightInd w:val="0"/>
        <w:snapToGrid w:val="0"/>
        <w:spacing w:line="340" w:lineRule="atLeast"/>
        <w:ind w:left="1329" w:leftChars="293" w:hanging="714" w:hangingChars="340"/>
        <w:jc w:val="left"/>
        <w:rPr>
          <w:color w:val="auto"/>
          <w:kern w:val="0"/>
          <w:szCs w:val="21"/>
        </w:rPr>
      </w:pPr>
      <w:r>
        <w:rPr>
          <w:color w:val="auto"/>
          <w:position w:val="-12"/>
          <w:szCs w:val="21"/>
        </w:rPr>
        <w:object>
          <v:shape id="_x0000_i1309" o:spt="75" type="#_x0000_t75" style="height:21.75pt;width:15pt;" o:ole="t" filled="f" o:preferrelative="t" stroked="f" coordsize="21600,21600">
            <v:path/>
            <v:fill on="f" focussize="0,0"/>
            <v:stroke on="f" joinstyle="miter"/>
            <v:imagedata r:id="rId557" o:title=""/>
            <o:lock v:ext="edit" aspectratio="t"/>
            <w10:wrap type="none"/>
            <w10:anchorlock/>
          </v:shape>
          <o:OLEObject Type="Embed" ProgID="Equation.3" ShapeID="_x0000_i1309" DrawAspect="Content" ObjectID="_1468076009" r:id="rId556">
            <o:LockedField>false</o:LockedField>
          </o:OLEObject>
        </w:object>
      </w:r>
      <w:r>
        <w:rPr>
          <w:color w:val="auto"/>
          <w:szCs w:val="21"/>
        </w:rPr>
        <w:t>——</w:t>
      </w:r>
      <w:r>
        <w:rPr>
          <w:color w:val="auto"/>
          <w:kern w:val="0"/>
          <w:szCs w:val="21"/>
        </w:rPr>
        <w:t>基础底面下第</w:t>
      </w:r>
      <w:r>
        <w:rPr>
          <w:color w:val="auto"/>
          <w:kern w:val="0"/>
          <w:position w:val="-6"/>
          <w:szCs w:val="21"/>
        </w:rPr>
        <w:object>
          <v:shape id="_x0000_i1310" o:spt="75" type="#_x0000_t75" style="height:15pt;width:8.25pt;" o:ole="t" filled="f" o:preferrelative="t" stroked="f" coordsize="21600,21600">
            <v:path/>
            <v:fill on="f" focussize="0,0"/>
            <v:stroke on="f" joinstyle="miter"/>
            <v:imagedata r:id="rId559" o:title=""/>
            <o:lock v:ext="edit" aspectratio="t"/>
            <w10:wrap type="none"/>
            <w10:anchorlock/>
          </v:shape>
          <o:OLEObject Type="Embed" ProgID="Equation.3" ShapeID="_x0000_i1310" DrawAspect="Content" ObjectID="_1468076010" r:id="rId558">
            <o:LockedField>false</o:LockedField>
          </o:OLEObject>
        </w:object>
      </w:r>
      <w:r>
        <w:rPr>
          <w:color w:val="auto"/>
          <w:kern w:val="0"/>
          <w:szCs w:val="21"/>
        </w:rPr>
        <w:t>层土的收缩系数，由室内试验确定，试验方法应符合GB</w:t>
      </w:r>
      <w:r>
        <w:rPr>
          <w:rFonts w:hint="eastAsia"/>
          <w:color w:val="auto"/>
          <w:kern w:val="0"/>
          <w:szCs w:val="21"/>
          <w:lang w:val="en-US" w:eastAsia="zh-CN"/>
        </w:rPr>
        <w:t xml:space="preserve"> </w:t>
      </w:r>
      <w:r>
        <w:rPr>
          <w:color w:val="auto"/>
          <w:kern w:val="0"/>
          <w:szCs w:val="21"/>
        </w:rPr>
        <w:t>50112的规定；</w:t>
      </w:r>
    </w:p>
    <w:p w14:paraId="1C1B280C">
      <w:pPr>
        <w:tabs>
          <w:tab w:val="left" w:pos="1684"/>
        </w:tabs>
        <w:adjustRightInd w:val="0"/>
        <w:snapToGrid w:val="0"/>
        <w:spacing w:line="340" w:lineRule="atLeast"/>
        <w:ind w:left="1329" w:leftChars="240" w:hanging="825" w:hangingChars="393"/>
        <w:jc w:val="left"/>
        <w:rPr>
          <w:color w:val="auto"/>
          <w:kern w:val="0"/>
          <w:szCs w:val="21"/>
        </w:rPr>
      </w:pPr>
      <w:r>
        <w:rPr>
          <w:color w:val="auto"/>
          <w:kern w:val="0"/>
          <w:position w:val="-10"/>
          <w:szCs w:val="21"/>
        </w:rPr>
        <w:object>
          <v:shape id="_x0000_i1311" o:spt="75" type="#_x0000_t75" style="height:15pt;width:21.75pt;" o:ole="t" filled="f" o:preferrelative="t" stroked="f" coordsize="21600,21600">
            <v:path/>
            <v:fill on="f" focussize="0,0"/>
            <v:stroke on="f" joinstyle="miter"/>
            <v:imagedata r:id="rId561" o:title=""/>
            <o:lock v:ext="edit" aspectratio="t"/>
            <w10:wrap type="none"/>
            <w10:anchorlock/>
          </v:shape>
          <o:OLEObject Type="Embed" ProgID="Equation.3" ShapeID="_x0000_i1311" DrawAspect="Content" ObjectID="_1468076011" r:id="rId560">
            <o:LockedField>false</o:LockedField>
          </o:OLEObject>
        </w:object>
      </w:r>
      <w:r>
        <w:rPr>
          <w:color w:val="auto"/>
          <w:szCs w:val="21"/>
        </w:rPr>
        <w:t>——</w:t>
      </w:r>
      <w:r>
        <w:rPr>
          <w:color w:val="auto"/>
          <w:kern w:val="0"/>
          <w:szCs w:val="21"/>
        </w:rPr>
        <w:t>地基土收缩过程中，第</w:t>
      </w:r>
      <w:r>
        <w:rPr>
          <w:color w:val="auto"/>
          <w:kern w:val="0"/>
          <w:position w:val="-6"/>
          <w:szCs w:val="21"/>
        </w:rPr>
        <w:object>
          <v:shape id="_x0000_i1312" o:spt="75" type="#_x0000_t75" style="height:15pt;width:8.25pt;" o:ole="t" filled="f" o:preferrelative="t" stroked="f" coordsize="21600,21600">
            <v:path/>
            <v:fill on="f" focussize="0,0"/>
            <v:stroke on="f" joinstyle="miter"/>
            <v:imagedata r:id="rId563" o:title=""/>
            <o:lock v:ext="edit" aspectratio="t"/>
            <w10:wrap type="none"/>
            <w10:anchorlock/>
          </v:shape>
          <o:OLEObject Type="Embed" ProgID="Equation.3" ShapeID="_x0000_i1312" DrawAspect="Content" ObjectID="_1468076012" r:id="rId562">
            <o:LockedField>false</o:LockedField>
          </o:OLEObject>
        </w:object>
      </w:r>
      <w:r>
        <w:rPr>
          <w:color w:val="auto"/>
          <w:kern w:val="0"/>
          <w:szCs w:val="21"/>
        </w:rPr>
        <w:t>层土可能发生的含水率</w:t>
      </w:r>
      <w:r>
        <w:rPr>
          <w:color w:val="auto"/>
          <w:szCs w:val="21"/>
        </w:rPr>
        <w:t>变化平均值（以小数表示），按</w:t>
      </w:r>
      <w:r>
        <w:rPr>
          <w:rFonts w:hint="eastAsia"/>
          <w:color w:val="auto"/>
          <w:lang w:val="en-US" w:eastAsia="zh-CN"/>
        </w:rPr>
        <w:t>公式（62）</w:t>
      </w:r>
      <w:r>
        <w:rPr>
          <w:color w:val="auto"/>
          <w:szCs w:val="21"/>
        </w:rPr>
        <w:t>计算；</w:t>
      </w:r>
    </w:p>
    <w:p w14:paraId="102607CC">
      <w:pPr>
        <w:tabs>
          <w:tab w:val="left" w:pos="1684"/>
        </w:tabs>
        <w:adjustRightInd w:val="0"/>
        <w:snapToGrid w:val="0"/>
        <w:spacing w:line="340" w:lineRule="atLeast"/>
        <w:ind w:left="1346" w:leftChars="301" w:hanging="714" w:hangingChars="340"/>
        <w:jc w:val="left"/>
        <w:rPr>
          <w:color w:val="auto"/>
          <w:kern w:val="0"/>
          <w:szCs w:val="21"/>
        </w:rPr>
      </w:pPr>
      <w:r>
        <w:rPr>
          <w:color w:val="auto"/>
          <w:kern w:val="0"/>
          <w:position w:val="-12"/>
          <w:szCs w:val="21"/>
        </w:rPr>
        <w:object>
          <v:shape id="_x0000_i1313" o:spt="75" type="#_x0000_t75" style="height:21.75pt;width:15pt;" o:ole="t" filled="f" o:preferrelative="t" stroked="f" coordsize="21600,21600">
            <v:path/>
            <v:fill on="f" focussize="0,0"/>
            <v:stroke on="f" joinstyle="miter"/>
            <v:imagedata r:id="rId565" o:title=""/>
            <o:lock v:ext="edit" aspectratio="t"/>
            <w10:wrap type="none"/>
            <w10:anchorlock/>
          </v:shape>
          <o:OLEObject Type="Embed" ProgID="Equation.3" ShapeID="_x0000_i1313" DrawAspect="Content" ObjectID="_1468076013" r:id="rId564">
            <o:LockedField>false</o:LockedField>
          </o:OLEObject>
        </w:object>
      </w:r>
      <w:r>
        <w:rPr>
          <w:color w:val="auto"/>
          <w:szCs w:val="21"/>
        </w:rPr>
        <w:t>——</w:t>
      </w:r>
      <w:r>
        <w:rPr>
          <w:color w:val="auto"/>
          <w:kern w:val="0"/>
          <w:szCs w:val="21"/>
        </w:rPr>
        <w:t>收缩变形计算深度。应根据大气影响深度确定；当有热源影响时，可按热源影响深度确定；在计算深度内有稳定地下水位时，可计算至水位以上3m。</w:t>
      </w:r>
    </w:p>
    <w:p w14:paraId="08B2B54B">
      <w:pPr>
        <w:adjustRightInd w:val="0"/>
        <w:snapToGrid w:val="0"/>
        <w:spacing w:line="340" w:lineRule="atLeast"/>
        <w:rPr>
          <w:color w:val="auto"/>
          <w:szCs w:val="21"/>
        </w:rPr>
      </w:pPr>
      <w:r>
        <w:rPr>
          <w:b/>
          <w:color w:val="auto"/>
          <w:szCs w:val="21"/>
        </w:rPr>
        <w:t xml:space="preserve">11.1.12  </w:t>
      </w:r>
      <w:r>
        <w:rPr>
          <w:rFonts w:hint="eastAsia"/>
          <w:color w:val="auto"/>
          <w:szCs w:val="21"/>
        </w:rPr>
        <w:t>收缩变形</w:t>
      </w:r>
      <w:r>
        <w:rPr>
          <w:color w:val="auto"/>
          <w:szCs w:val="21"/>
        </w:rPr>
        <w:t>计算深度内各土层的含水率变化值</w:t>
      </w:r>
      <w:r>
        <w:rPr>
          <w:color w:val="auto"/>
          <w:kern w:val="0"/>
          <w:szCs w:val="21"/>
        </w:rPr>
        <w:t>（图9</w:t>
      </w:r>
      <w:r>
        <w:rPr>
          <w:i/>
          <w:color w:val="auto"/>
          <w:kern w:val="0"/>
          <w:szCs w:val="21"/>
        </w:rPr>
        <w:t>a</w:t>
      </w:r>
      <w:r>
        <w:rPr>
          <w:color w:val="auto"/>
          <w:kern w:val="0"/>
          <w:szCs w:val="21"/>
        </w:rPr>
        <w:t>）</w:t>
      </w:r>
      <w:r>
        <w:rPr>
          <w:color w:val="auto"/>
          <w:szCs w:val="21"/>
        </w:rPr>
        <w:t>，应按</w:t>
      </w:r>
      <w:r>
        <w:rPr>
          <w:rFonts w:hint="eastAsia"/>
          <w:color w:val="auto"/>
          <w:lang w:val="en-US" w:eastAsia="zh-CN"/>
        </w:rPr>
        <w:t>公式（62）~（63）</w:t>
      </w:r>
      <w:r>
        <w:rPr>
          <w:color w:val="auto"/>
          <w:szCs w:val="21"/>
        </w:rPr>
        <w:t>计算。地表下4m深度内存在不透水基岩时，可假定含水率变化值为常数（图9</w:t>
      </w:r>
      <w:r>
        <w:rPr>
          <w:i/>
          <w:color w:val="auto"/>
          <w:szCs w:val="21"/>
        </w:rPr>
        <w:t>b</w:t>
      </w:r>
      <w:r>
        <w:rPr>
          <w:color w:val="auto"/>
          <w:szCs w:val="21"/>
        </w:rPr>
        <w:t>）：</w:t>
      </w:r>
    </w:p>
    <w:p w14:paraId="5C61D3D7">
      <w:pPr>
        <w:adjustRightInd w:val="0"/>
        <w:snapToGrid w:val="0"/>
        <w:spacing w:line="340" w:lineRule="atLeast"/>
        <w:ind w:firstLine="525" w:firstLineChars="250"/>
        <w:jc w:val="center"/>
        <w:rPr>
          <w:color w:val="auto"/>
          <w:szCs w:val="21"/>
        </w:rPr>
      </w:pPr>
      <w:r>
        <w:rPr>
          <w:color w:val="auto"/>
          <w:szCs w:val="21"/>
        </w:rPr>
        <w:object>
          <v:shape id="_x0000_i1314" o:spt="75" type="#_x0000_t75" style="height:129.75pt;width:288pt;" o:ole="t" filled="f" o:preferrelative="t" stroked="f" coordsize="21600,21600">
            <v:path/>
            <v:fill on="f" focussize="0,0"/>
            <v:stroke on="f" joinstyle="miter"/>
            <v:imagedata r:id="rId567" cropleft="28099f" croptop="21563f" cropright="6310f" cropbottom="17338f" o:title=""/>
            <o:lock v:ext="edit" aspectratio="t"/>
            <w10:wrap type="none"/>
            <w10:anchorlock/>
          </v:shape>
          <o:OLEObject Type="Embed" ProgID="AutoCAD.Drawing.16" ShapeID="_x0000_i1314" DrawAspect="Content" ObjectID="_1468076014" r:id="rId566">
            <o:LockedField>false</o:LockedField>
          </o:OLEObject>
        </w:object>
      </w:r>
    </w:p>
    <w:p w14:paraId="6FD970B0">
      <w:pPr>
        <w:snapToGrid w:val="0"/>
        <w:spacing w:line="340" w:lineRule="atLeast"/>
        <w:ind w:firstLine="3150" w:firstLineChars="1500"/>
        <w:rPr>
          <w:color w:val="auto"/>
          <w:szCs w:val="21"/>
        </w:rPr>
      </w:pPr>
      <w:r>
        <w:rPr>
          <w:color w:val="auto"/>
          <w:szCs w:val="21"/>
        </w:rPr>
        <w:t>(</w:t>
      </w:r>
      <w:r>
        <w:rPr>
          <w:i/>
          <w:color w:val="auto"/>
          <w:szCs w:val="21"/>
        </w:rPr>
        <w:t>a</w:t>
      </w:r>
      <w:r>
        <w:rPr>
          <w:color w:val="auto"/>
          <w:szCs w:val="21"/>
        </w:rPr>
        <w:t>)                            (</w:t>
      </w:r>
      <w:r>
        <w:rPr>
          <w:i/>
          <w:color w:val="auto"/>
          <w:szCs w:val="21"/>
        </w:rPr>
        <w:t>b</w:t>
      </w:r>
      <w:r>
        <w:rPr>
          <w:color w:val="auto"/>
          <w:szCs w:val="21"/>
        </w:rPr>
        <w:t>)</w:t>
      </w:r>
    </w:p>
    <w:p w14:paraId="6DCDE15C">
      <w:pPr>
        <w:adjustRightInd w:val="0"/>
        <w:snapToGrid w:val="0"/>
        <w:spacing w:after="312" w:afterLines="100" w:line="340" w:lineRule="atLeast"/>
        <w:ind w:firstLine="361" w:firstLineChars="200"/>
        <w:jc w:val="center"/>
        <w:rPr>
          <w:b/>
          <w:color w:val="auto"/>
          <w:sz w:val="18"/>
          <w:szCs w:val="18"/>
        </w:rPr>
      </w:pPr>
      <w:r>
        <w:rPr>
          <w:b/>
          <w:color w:val="auto"/>
          <w:sz w:val="18"/>
          <w:szCs w:val="18"/>
        </w:rPr>
        <w:t>图9  地基土收缩变形计算含水率变化示意图</w:t>
      </w:r>
    </w:p>
    <w:p w14:paraId="4ED6A028">
      <w:pPr>
        <w:pStyle w:val="12"/>
        <w:jc w:val="right"/>
        <w:rPr>
          <w:color w:val="auto"/>
          <w:kern w:val="0"/>
          <w:szCs w:val="21"/>
        </w:rPr>
      </w:pPr>
      <w:r>
        <w:rPr>
          <w:color w:val="auto"/>
          <w:position w:val="-30"/>
          <w:szCs w:val="21"/>
        </w:rPr>
        <w:object>
          <v:shape id="_x0000_i1315" o:spt="75" type="#_x0000_t75" style="height:36.75pt;width:151.5pt;" o:ole="t" filled="f" o:preferrelative="t" stroked="f" coordsize="21600,21600">
            <v:path/>
            <v:fill on="f" focussize="0,0"/>
            <v:stroke on="f" joinstyle="miter"/>
            <v:imagedata r:id="rId569" o:title=""/>
            <o:lock v:ext="edit" aspectratio="t"/>
            <w10:wrap type="none"/>
            <w10:anchorlock/>
          </v:shape>
          <o:OLEObject Type="Embed" ProgID="Equation.3" ShapeID="_x0000_i1315" DrawAspect="Content" ObjectID="_1468076015" r:id="rId568">
            <o:LockedField>false</o:LockedField>
          </o:OLEObject>
        </w:object>
      </w:r>
      <w:r>
        <w:rPr>
          <w:color w:val="auto"/>
          <w:szCs w:val="21"/>
        </w:rPr>
        <w:t xml:space="preserve">                       </w:t>
      </w:r>
      <w:r>
        <w:rPr>
          <w:color w:val="auto"/>
          <w:kern w:val="0"/>
          <w:szCs w:val="21"/>
        </w:rPr>
        <w:t>(</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62</w:t>
      </w:r>
      <w:r>
        <w:rPr>
          <w:color w:val="auto"/>
          <w:kern w:val="0"/>
          <w:szCs w:val="21"/>
        </w:rPr>
        <w:fldChar w:fldCharType="end"/>
      </w:r>
      <w:r>
        <w:rPr>
          <w:color w:val="auto"/>
          <w:kern w:val="0"/>
          <w:szCs w:val="21"/>
        </w:rPr>
        <w:t>)</w:t>
      </w:r>
    </w:p>
    <w:p w14:paraId="55D1C8E6">
      <w:pPr>
        <w:pStyle w:val="12"/>
        <w:jc w:val="right"/>
        <w:rPr>
          <w:color w:val="auto"/>
          <w:kern w:val="0"/>
          <w:szCs w:val="21"/>
        </w:rPr>
      </w:pPr>
      <w:r>
        <w:rPr>
          <w:color w:val="auto"/>
          <w:position w:val="-14"/>
          <w:szCs w:val="21"/>
        </w:rPr>
        <w:object>
          <v:shape id="_x0000_i1316" o:spt="75" type="#_x0000_t75" style="height:21.75pt;width:87pt;" o:ole="t" filled="f" o:preferrelative="t" stroked="f" coordsize="21600,21600">
            <v:path/>
            <v:fill on="f" focussize="0,0"/>
            <v:stroke on="f" joinstyle="miter"/>
            <v:imagedata r:id="rId571" o:title=""/>
            <o:lock v:ext="edit" aspectratio="t"/>
            <w10:wrap type="none"/>
            <w10:anchorlock/>
          </v:shape>
          <o:OLEObject Type="Embed" ProgID="Equation.3" ShapeID="_x0000_i1316" DrawAspect="Content" ObjectID="_1468076016" r:id="rId570">
            <o:LockedField>false</o:LockedField>
          </o:OLEObject>
        </w:object>
      </w:r>
      <w:r>
        <w:rPr>
          <w:color w:val="auto"/>
          <w:szCs w:val="21"/>
        </w:rPr>
        <w:t xml:space="preserve">                                    </w:t>
      </w:r>
      <w:r>
        <w:rPr>
          <w:color w:val="auto"/>
          <w:kern w:val="0"/>
          <w:szCs w:val="21"/>
        </w:rPr>
        <w:t>(</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63</w:t>
      </w:r>
      <w:r>
        <w:rPr>
          <w:color w:val="auto"/>
          <w:kern w:val="0"/>
          <w:szCs w:val="21"/>
        </w:rPr>
        <w:fldChar w:fldCharType="end"/>
      </w:r>
      <w:r>
        <w:rPr>
          <w:color w:val="auto"/>
          <w:kern w:val="0"/>
          <w:szCs w:val="21"/>
        </w:rPr>
        <w:t>)</w:t>
      </w:r>
    </w:p>
    <w:p w14:paraId="64E57DBF">
      <w:pPr>
        <w:tabs>
          <w:tab w:val="left" w:pos="1998"/>
        </w:tabs>
        <w:adjustRightInd w:val="0"/>
        <w:snapToGrid w:val="0"/>
        <w:spacing w:line="340" w:lineRule="atLeast"/>
        <w:ind w:leftChars="-20" w:hanging="42" w:hangingChars="20"/>
        <w:jc w:val="left"/>
        <w:rPr>
          <w:color w:val="auto"/>
          <w:kern w:val="0"/>
          <w:szCs w:val="21"/>
        </w:rPr>
      </w:pPr>
      <w:r>
        <w:rPr>
          <w:color w:val="auto"/>
          <w:kern w:val="0"/>
          <w:szCs w:val="21"/>
        </w:rPr>
        <w:t>式中</w:t>
      </w:r>
      <w:r>
        <w:rPr>
          <w:rFonts w:hint="eastAsia"/>
          <w:color w:val="auto"/>
          <w:szCs w:val="21"/>
        </w:rPr>
        <w:t xml:space="preserve">  </w:t>
      </w:r>
      <w:r>
        <w:rPr>
          <w:color w:val="auto"/>
          <w:position w:val="-10"/>
          <w:szCs w:val="21"/>
        </w:rPr>
        <w:object>
          <v:shape id="_x0000_i1317" o:spt="75" type="#_x0000_t75" style="height:15pt;width:21.75pt;" o:ole="t" filled="f" o:preferrelative="t" stroked="f" coordsize="21600,21600">
            <v:path/>
            <v:fill on="f" focussize="0,0"/>
            <v:stroke on="f" joinstyle="miter"/>
            <v:imagedata r:id="rId573" o:title=""/>
            <o:lock v:ext="edit" aspectratio="t"/>
            <w10:wrap type="none"/>
            <w10:anchorlock/>
          </v:shape>
          <o:OLEObject Type="Embed" ProgID="Equation.3" ShapeID="_x0000_i1317" DrawAspect="Content" ObjectID="_1468076017" r:id="rId572">
            <o:LockedField>false</o:LockedField>
          </o:OLEObject>
        </w:object>
      </w:r>
      <w:r>
        <w:rPr>
          <w:color w:val="auto"/>
          <w:szCs w:val="21"/>
        </w:rPr>
        <w:t>——</w:t>
      </w:r>
      <w:r>
        <w:rPr>
          <w:color w:val="auto"/>
          <w:kern w:val="0"/>
          <w:szCs w:val="21"/>
        </w:rPr>
        <w:t>第</w:t>
      </w:r>
      <w:r>
        <w:rPr>
          <w:color w:val="auto"/>
          <w:kern w:val="0"/>
          <w:position w:val="-6"/>
          <w:szCs w:val="21"/>
        </w:rPr>
        <w:object>
          <v:shape id="_x0000_i1318" o:spt="75" type="#_x0000_t75" style="height:15pt;width:8.25pt;" o:ole="t" filled="f" o:preferrelative="t" stroked="f" coordsize="21600,21600">
            <v:path/>
            <v:fill on="f" focussize="0,0"/>
            <v:stroke on="f" joinstyle="miter"/>
            <v:imagedata r:id="rId559" o:title=""/>
            <o:lock v:ext="edit" aspectratio="t"/>
            <w10:wrap type="none"/>
            <w10:anchorlock/>
          </v:shape>
          <o:OLEObject Type="Embed" ProgID="Equation.3" ShapeID="_x0000_i1318" DrawAspect="Content" ObjectID="_1468076018" r:id="rId574">
            <o:LockedField>false</o:LockedField>
          </o:OLEObject>
        </w:object>
      </w:r>
      <w:r>
        <w:rPr>
          <w:color w:val="auto"/>
          <w:kern w:val="0"/>
          <w:szCs w:val="21"/>
        </w:rPr>
        <w:t>层土的</w:t>
      </w:r>
      <w:r>
        <w:rPr>
          <w:color w:val="auto"/>
          <w:szCs w:val="21"/>
        </w:rPr>
        <w:t>含水率变化值</w:t>
      </w:r>
      <w:r>
        <w:rPr>
          <w:color w:val="auto"/>
          <w:kern w:val="0"/>
          <w:szCs w:val="21"/>
        </w:rPr>
        <w:t>（以小数表示）</w:t>
      </w:r>
      <w:r>
        <w:rPr>
          <w:color w:val="auto"/>
          <w:szCs w:val="21"/>
        </w:rPr>
        <w:t>；</w:t>
      </w:r>
    </w:p>
    <w:p w14:paraId="772A29E4">
      <w:pPr>
        <w:tabs>
          <w:tab w:val="left" w:pos="1998"/>
        </w:tabs>
        <w:adjustRightInd w:val="0"/>
        <w:snapToGrid w:val="0"/>
        <w:spacing w:line="340" w:lineRule="atLeast"/>
        <w:ind w:firstLine="558" w:firstLineChars="266"/>
        <w:jc w:val="left"/>
        <w:rPr>
          <w:color w:val="auto"/>
          <w:kern w:val="0"/>
          <w:szCs w:val="21"/>
        </w:rPr>
      </w:pPr>
      <w:r>
        <w:rPr>
          <w:color w:val="auto"/>
          <w:position w:val="-10"/>
          <w:szCs w:val="21"/>
        </w:rPr>
        <w:object>
          <v:shape id="_x0000_i1319" o:spt="75" type="#_x0000_t75" style="height:15pt;width:21.75pt;" o:ole="t" filled="f" o:preferrelative="t" stroked="f" coordsize="21600,21600">
            <v:path/>
            <v:fill on="f" focussize="0,0"/>
            <v:stroke on="f" joinstyle="miter"/>
            <v:imagedata r:id="rId576" o:title=""/>
            <o:lock v:ext="edit" aspectratio="t"/>
            <w10:wrap type="none"/>
            <w10:anchorlock/>
          </v:shape>
          <o:OLEObject Type="Embed" ProgID="Equation.3" ShapeID="_x0000_i1319" DrawAspect="Content" ObjectID="_1468076019" r:id="rId575">
            <o:LockedField>false</o:LockedField>
          </o:OLEObject>
        </w:object>
      </w:r>
      <w:r>
        <w:rPr>
          <w:color w:val="auto"/>
          <w:szCs w:val="21"/>
        </w:rPr>
        <w:t>——</w:t>
      </w:r>
      <w:r>
        <w:rPr>
          <w:color w:val="auto"/>
          <w:kern w:val="0"/>
          <w:szCs w:val="21"/>
        </w:rPr>
        <w:t>地表下1m处土的</w:t>
      </w:r>
      <w:r>
        <w:rPr>
          <w:color w:val="auto"/>
          <w:szCs w:val="21"/>
        </w:rPr>
        <w:t>含水率变化值</w:t>
      </w:r>
      <w:r>
        <w:rPr>
          <w:color w:val="auto"/>
          <w:kern w:val="0"/>
          <w:szCs w:val="21"/>
        </w:rPr>
        <w:t>（以小数表示）</w:t>
      </w:r>
      <w:r>
        <w:rPr>
          <w:color w:val="auto"/>
          <w:szCs w:val="21"/>
        </w:rPr>
        <w:t>；</w:t>
      </w:r>
    </w:p>
    <w:p w14:paraId="13C4D2C4">
      <w:pPr>
        <w:tabs>
          <w:tab w:val="left" w:pos="1998"/>
        </w:tabs>
        <w:adjustRightInd w:val="0"/>
        <w:snapToGrid w:val="0"/>
        <w:spacing w:line="340" w:lineRule="atLeast"/>
        <w:ind w:firstLine="237" w:firstLineChars="113"/>
        <w:jc w:val="left"/>
        <w:rPr>
          <w:color w:val="auto"/>
          <w:szCs w:val="21"/>
        </w:rPr>
      </w:pPr>
      <w:r>
        <w:rPr>
          <w:color w:val="auto"/>
          <w:position w:val="-14"/>
          <w:szCs w:val="21"/>
        </w:rPr>
        <w:object>
          <v:shape id="_x0000_i1320" o:spt="75" type="#_x0000_t75" style="height:21.75pt;width:36pt;" o:ole="t" filled="f" o:preferrelative="t" stroked="f" coordsize="21600,21600">
            <v:path/>
            <v:fill on="f" focussize="0,0"/>
            <v:stroke on="f" joinstyle="miter"/>
            <v:imagedata r:id="rId578" o:title=""/>
            <o:lock v:ext="edit" aspectratio="t"/>
            <w10:wrap type="none"/>
            <w10:anchorlock/>
          </v:shape>
          <o:OLEObject Type="Embed" ProgID="Equation.3" ShapeID="_x0000_i1320" DrawAspect="Content" ObjectID="_1468076020" r:id="rId577">
            <o:LockedField>false</o:LockedField>
          </o:OLEObject>
        </w:object>
      </w:r>
      <w:r>
        <w:rPr>
          <w:color w:val="auto"/>
          <w:szCs w:val="21"/>
        </w:rPr>
        <w:t>——</w:t>
      </w:r>
      <w:r>
        <w:rPr>
          <w:color w:val="auto"/>
          <w:kern w:val="0"/>
          <w:szCs w:val="21"/>
        </w:rPr>
        <w:t>地表下1m处土的天然含水率和塑限（以小数表示）；</w:t>
      </w:r>
    </w:p>
    <w:p w14:paraId="6DCAE5B8">
      <w:pPr>
        <w:tabs>
          <w:tab w:val="left" w:pos="1998"/>
        </w:tabs>
        <w:adjustRightInd w:val="0"/>
        <w:snapToGrid w:val="0"/>
        <w:spacing w:line="340" w:lineRule="atLeast"/>
        <w:ind w:left="1440" w:leftChars="307" w:hanging="795" w:hangingChars="379"/>
        <w:jc w:val="left"/>
        <w:rPr>
          <w:color w:val="auto"/>
          <w:szCs w:val="21"/>
        </w:rPr>
      </w:pPr>
      <w:r>
        <w:rPr>
          <w:color w:val="auto"/>
          <w:kern w:val="0"/>
          <w:position w:val="-12"/>
          <w:szCs w:val="21"/>
        </w:rPr>
        <w:object>
          <v:shape id="_x0000_i1321" o:spt="75" type="#_x0000_t75" style="height:15pt;width:15pt;" o:ole="t" filled="f" o:preferrelative="t" stroked="f" coordsize="21600,21600">
            <v:path/>
            <v:fill on="f" focussize="0,0"/>
            <v:stroke on="f" joinstyle="miter"/>
            <v:imagedata r:id="rId580" o:title=""/>
            <o:lock v:ext="edit" aspectratio="t"/>
            <w10:wrap type="none"/>
            <w10:anchorlock/>
          </v:shape>
          <o:OLEObject Type="Embed" ProgID="Equation.3" ShapeID="_x0000_i1321" DrawAspect="Content" ObjectID="_1468076021" r:id="rId579">
            <o:LockedField>false</o:LockedField>
          </o:OLEObject>
        </w:object>
      </w:r>
      <w:r>
        <w:rPr>
          <w:color w:val="auto"/>
          <w:szCs w:val="21"/>
        </w:rPr>
        <w:t>——土的湿度系数，在自然气候影响下，地表下1m处土层含水率可能达到的最小值与其塑限之比</w:t>
      </w:r>
      <w:r>
        <w:rPr>
          <w:color w:val="auto"/>
          <w:kern w:val="0"/>
          <w:szCs w:val="21"/>
        </w:rPr>
        <w:t>。</w:t>
      </w:r>
    </w:p>
    <w:p w14:paraId="0D493568">
      <w:pPr>
        <w:adjustRightInd w:val="0"/>
        <w:snapToGrid w:val="0"/>
        <w:spacing w:line="340" w:lineRule="atLeast"/>
        <w:ind w:right="18"/>
        <w:rPr>
          <w:color w:val="auto"/>
          <w:szCs w:val="21"/>
        </w:rPr>
      </w:pPr>
      <w:r>
        <w:rPr>
          <w:b/>
          <w:color w:val="auto"/>
          <w:szCs w:val="21"/>
        </w:rPr>
        <w:t>11.1.13</w:t>
      </w:r>
      <w:r>
        <w:rPr>
          <w:b/>
          <w:bCs/>
          <w:color w:val="auto"/>
          <w:szCs w:val="21"/>
        </w:rPr>
        <w:t xml:space="preserve">  </w:t>
      </w:r>
      <w:r>
        <w:rPr>
          <w:color w:val="auto"/>
          <w:szCs w:val="21"/>
        </w:rPr>
        <w:t>土的湿度系数应根据当地10年以上土的含水率变化确定，无资料时，可根据当地有关气象资料按</w:t>
      </w:r>
      <w:r>
        <w:rPr>
          <w:rFonts w:hint="eastAsia"/>
          <w:color w:val="auto"/>
          <w:lang w:val="en-US" w:eastAsia="zh-CN"/>
        </w:rPr>
        <w:t>公式（64）</w:t>
      </w:r>
      <w:r>
        <w:rPr>
          <w:color w:val="auto"/>
          <w:szCs w:val="21"/>
        </w:rPr>
        <w:t>计算：</w:t>
      </w:r>
    </w:p>
    <w:p w14:paraId="3CA64618">
      <w:pPr>
        <w:pStyle w:val="12"/>
        <w:jc w:val="right"/>
        <w:rPr>
          <w:bCs/>
          <w:color w:val="auto"/>
          <w:szCs w:val="21"/>
        </w:rPr>
      </w:pPr>
      <w:r>
        <w:rPr>
          <w:color w:val="auto"/>
          <w:position w:val="-12"/>
          <w:szCs w:val="21"/>
        </w:rPr>
        <w:object>
          <v:shape id="_x0000_i1322" o:spt="75" type="#_x0000_t75" style="height:15pt;width:159pt;" o:ole="t" filled="f" o:preferrelative="t" stroked="f" coordsize="21600,21600">
            <v:path/>
            <v:fill on="f" focussize="0,0"/>
            <v:stroke on="f" joinstyle="miter"/>
            <v:imagedata r:id="rId582" o:title=""/>
            <o:lock v:ext="edit" aspectratio="t"/>
            <w10:wrap type="none"/>
            <w10:anchorlock/>
          </v:shape>
          <o:OLEObject Type="Embed" ProgID="Equation.3" ShapeID="_x0000_i1322" DrawAspect="Content" ObjectID="_1468076022" r:id="rId581">
            <o:LockedField>false</o:LockedField>
          </o:OLEObject>
        </w:object>
      </w:r>
      <w:r>
        <w:rPr>
          <w:bCs/>
          <w:color w:val="auto"/>
          <w:szCs w:val="21"/>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64</w:t>
      </w:r>
      <w:r>
        <w:rPr>
          <w:color w:val="auto"/>
          <w:szCs w:val="21"/>
        </w:rPr>
        <w:fldChar w:fldCharType="end"/>
      </w:r>
      <w:r>
        <w:rPr>
          <w:color w:val="auto"/>
          <w:szCs w:val="21"/>
        </w:rPr>
        <w:t>）</w:t>
      </w:r>
    </w:p>
    <w:p w14:paraId="2A4F2524">
      <w:pPr>
        <w:tabs>
          <w:tab w:val="left" w:pos="1998"/>
        </w:tabs>
        <w:adjustRightInd w:val="0"/>
        <w:snapToGrid w:val="0"/>
        <w:spacing w:line="340" w:lineRule="atLeast"/>
        <w:ind w:left="1287" w:hanging="1287" w:hangingChars="613"/>
        <w:jc w:val="left"/>
        <w:rPr>
          <w:color w:val="auto"/>
          <w:szCs w:val="21"/>
        </w:rPr>
      </w:pPr>
      <w:r>
        <w:rPr>
          <w:color w:val="auto"/>
          <w:szCs w:val="21"/>
        </w:rPr>
        <w:t>式中</w:t>
      </w:r>
      <w:r>
        <w:rPr>
          <w:rFonts w:hint="eastAsia"/>
          <w:color w:val="auto"/>
          <w:szCs w:val="21"/>
        </w:rPr>
        <w:t xml:space="preserve">  </w:t>
      </w:r>
      <w:r>
        <w:rPr>
          <w:bCs/>
          <w:color w:val="auto"/>
          <w:position w:val="-6"/>
          <w:szCs w:val="21"/>
        </w:rPr>
        <w:object>
          <v:shape id="_x0000_i1323" o:spt="75" type="#_x0000_t75" style="height:15pt;width:15pt;" o:ole="t" filled="f" o:preferrelative="t" stroked="f" coordsize="21600,21600">
            <v:path/>
            <v:fill on="f" focussize="0,0"/>
            <v:stroke on="f" joinstyle="miter"/>
            <v:imagedata r:id="rId584" o:title=""/>
            <o:lock v:ext="edit" aspectratio="t"/>
            <w10:wrap type="none"/>
            <w10:anchorlock/>
          </v:shape>
          <o:OLEObject Type="Embed" ProgID="Equation.3" ShapeID="_x0000_i1323" DrawAspect="Content" ObjectID="_1468076023" r:id="rId583">
            <o:LockedField>false</o:LockedField>
          </o:OLEObject>
        </w:object>
      </w:r>
      <w:r>
        <w:rPr>
          <w:color w:val="auto"/>
          <w:szCs w:val="21"/>
        </w:rPr>
        <w:t>——当地9月至次年2月的月份蒸发力之和与全年蒸发力之比值（月平均气温小于0</w:t>
      </w:r>
      <w:r>
        <w:rPr>
          <w:rFonts w:hAnsi="宋体"/>
          <w:color w:val="auto"/>
          <w:szCs w:val="21"/>
        </w:rPr>
        <w:t>℃</w:t>
      </w:r>
      <w:r>
        <w:rPr>
          <w:color w:val="auto"/>
          <w:szCs w:val="21"/>
        </w:rPr>
        <w:t>的月份不统计在内）。</w:t>
      </w:r>
    </w:p>
    <w:p w14:paraId="16C294D0">
      <w:pPr>
        <w:tabs>
          <w:tab w:val="left" w:pos="2044"/>
        </w:tabs>
        <w:adjustRightInd w:val="0"/>
        <w:snapToGrid w:val="0"/>
        <w:spacing w:line="340" w:lineRule="atLeast"/>
        <w:ind w:left="1285" w:leftChars="320" w:hanging="613" w:hangingChars="292"/>
        <w:jc w:val="left"/>
        <w:rPr>
          <w:color w:val="auto"/>
          <w:szCs w:val="21"/>
        </w:rPr>
      </w:pPr>
      <w:r>
        <w:rPr>
          <w:bCs/>
          <w:color w:val="auto"/>
          <w:position w:val="-6"/>
          <w:szCs w:val="21"/>
        </w:rPr>
        <w:object>
          <v:shape id="_x0000_i1324" o:spt="75" type="#_x0000_t75" style="height:15pt;width:8.25pt;" o:ole="t" filled="f" o:preferrelative="t" stroked="f" coordsize="21600,21600">
            <v:path/>
            <v:fill on="f" focussize="0,0"/>
            <v:stroke on="f" joinstyle="miter"/>
            <v:imagedata r:id="rId586" o:title=""/>
            <o:lock v:ext="edit" aspectratio="t"/>
            <w10:wrap type="none"/>
            <w10:anchorlock/>
          </v:shape>
          <o:OLEObject Type="Embed" ProgID="Equation.3" ShapeID="_x0000_i1324" DrawAspect="Content" ObjectID="_1468076024" r:id="rId585">
            <o:LockedField>false</o:LockedField>
          </o:OLEObject>
        </w:object>
      </w:r>
      <w:r>
        <w:rPr>
          <w:color w:val="auto"/>
          <w:szCs w:val="21"/>
        </w:rPr>
        <w:t>——全年中干燥度大于1.0且月平均气温大于0</w:t>
      </w:r>
      <w:r>
        <w:rPr>
          <w:rFonts w:hAnsi="宋体"/>
          <w:color w:val="auto"/>
          <w:szCs w:val="21"/>
        </w:rPr>
        <w:t>℃</w:t>
      </w:r>
      <w:r>
        <w:rPr>
          <w:color w:val="auto"/>
          <w:szCs w:val="21"/>
        </w:rPr>
        <w:t>月份的蒸发力与降水量差值之总和（mm），干燥度为蒸发力与降水量之比值。</w:t>
      </w:r>
    </w:p>
    <w:p w14:paraId="58CC669D">
      <w:pPr>
        <w:adjustRightInd w:val="0"/>
        <w:snapToGrid w:val="0"/>
        <w:spacing w:line="340" w:lineRule="atLeast"/>
        <w:ind w:right="-12"/>
        <w:rPr>
          <w:color w:val="auto"/>
          <w:szCs w:val="21"/>
        </w:rPr>
      </w:pPr>
      <w:r>
        <w:rPr>
          <w:b/>
          <w:color w:val="auto"/>
          <w:szCs w:val="21"/>
        </w:rPr>
        <w:t xml:space="preserve">11.1.14  </w:t>
      </w:r>
      <w:r>
        <w:rPr>
          <w:color w:val="auto"/>
          <w:szCs w:val="21"/>
        </w:rPr>
        <w:t>大气影响深度应由各气候区土的深层变形观测或含水率观测及地温观测资料确定；无此资料时，可按表47及表48采用。</w:t>
      </w:r>
    </w:p>
    <w:p w14:paraId="6D46AA53">
      <w:pPr>
        <w:adjustRightInd w:val="0"/>
        <w:snapToGrid w:val="0"/>
        <w:spacing w:before="240" w:line="340" w:lineRule="atLeast"/>
        <w:ind w:right="482"/>
        <w:jc w:val="center"/>
        <w:rPr>
          <w:rFonts w:eastAsia="黑体"/>
          <w:b/>
          <w:color w:val="auto"/>
          <w:szCs w:val="21"/>
        </w:rPr>
      </w:pPr>
      <w:r>
        <w:rPr>
          <w:rFonts w:eastAsia="黑体"/>
          <w:b/>
          <w:color w:val="auto"/>
          <w:szCs w:val="21"/>
        </w:rPr>
        <w:t>表47   大气影响深度（m）</w:t>
      </w:r>
    </w:p>
    <w:tbl>
      <w:tblPr>
        <w:tblStyle w:val="36"/>
        <w:tblW w:w="0" w:type="auto"/>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365"/>
        <w:gridCol w:w="4778"/>
      </w:tblGrid>
      <w:tr w14:paraId="6C79D21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365" w:type="dxa"/>
            <w:tcBorders>
              <w:left w:val="single" w:color="auto" w:sz="6" w:space="0"/>
            </w:tcBorders>
            <w:vAlign w:val="center"/>
          </w:tcPr>
          <w:p w14:paraId="41B30759">
            <w:pPr>
              <w:adjustRightInd w:val="0"/>
              <w:snapToGrid w:val="0"/>
              <w:spacing w:line="340" w:lineRule="atLeast"/>
              <w:jc w:val="center"/>
              <w:rPr>
                <w:b/>
                <w:i/>
                <w:color w:val="auto"/>
                <w:sz w:val="18"/>
                <w:szCs w:val="18"/>
              </w:rPr>
            </w:pPr>
            <w:r>
              <w:rPr>
                <w:color w:val="auto"/>
                <w:sz w:val="18"/>
                <w:szCs w:val="18"/>
              </w:rPr>
              <w:t>土的湿度系数</w:t>
            </w:r>
            <w:r>
              <w:rPr>
                <w:b/>
                <w:i/>
                <w:color w:val="auto"/>
                <w:position w:val="-12"/>
                <w:sz w:val="18"/>
                <w:szCs w:val="18"/>
              </w:rPr>
              <w:object>
                <v:shape id="_x0000_i1325" o:spt="75" type="#_x0000_t75" style="height:15pt;width:15pt;" o:ole="t" filled="f" o:preferrelative="t" stroked="f" coordsize="21600,21600">
                  <v:path/>
                  <v:fill on="f" focussize="0,0"/>
                  <v:stroke on="f" joinstyle="miter"/>
                  <v:imagedata r:id="rId588" o:title=""/>
                  <o:lock v:ext="edit" aspectratio="t"/>
                  <w10:wrap type="none"/>
                  <w10:anchorlock/>
                </v:shape>
                <o:OLEObject Type="Embed" ProgID="Equation.3" ShapeID="_x0000_i1325" DrawAspect="Content" ObjectID="_1468076025" r:id="rId587">
                  <o:LockedField>false</o:LockedField>
                </o:OLEObject>
              </w:object>
            </w:r>
          </w:p>
        </w:tc>
        <w:tc>
          <w:tcPr>
            <w:tcW w:w="4778" w:type="dxa"/>
            <w:tcBorders>
              <w:right w:val="single" w:color="auto" w:sz="6" w:space="0"/>
            </w:tcBorders>
            <w:vAlign w:val="center"/>
          </w:tcPr>
          <w:p w14:paraId="2588B732">
            <w:pPr>
              <w:adjustRightInd w:val="0"/>
              <w:snapToGrid w:val="0"/>
              <w:spacing w:line="340" w:lineRule="atLeast"/>
              <w:jc w:val="center"/>
              <w:rPr>
                <w:color w:val="auto"/>
                <w:sz w:val="18"/>
                <w:szCs w:val="18"/>
              </w:rPr>
            </w:pPr>
            <w:r>
              <w:rPr>
                <w:color w:val="auto"/>
                <w:sz w:val="18"/>
                <w:szCs w:val="18"/>
              </w:rPr>
              <w:t>大气影响深度</w:t>
            </w:r>
            <w:r>
              <w:rPr>
                <w:color w:val="auto"/>
                <w:position w:val="-12"/>
                <w:sz w:val="18"/>
                <w:szCs w:val="18"/>
              </w:rPr>
              <w:object>
                <v:shape id="_x0000_i1326" o:spt="75" type="#_x0000_t75" style="height:21.75pt;width:15pt;" o:ole="t" filled="f" o:preferrelative="t" stroked="f" coordsize="21600,21600">
                  <v:path/>
                  <v:fill on="f" focussize="0,0"/>
                  <v:stroke on="f" joinstyle="miter"/>
                  <v:imagedata r:id="rId590" o:title=""/>
                  <o:lock v:ext="edit" aspectratio="t"/>
                  <w10:wrap type="none"/>
                  <w10:anchorlock/>
                </v:shape>
                <o:OLEObject Type="Embed" ProgID="Equation.3" ShapeID="_x0000_i1326" DrawAspect="Content" ObjectID="_1468076026" r:id="rId589">
                  <o:LockedField>false</o:LockedField>
                </o:OLEObject>
              </w:object>
            </w:r>
          </w:p>
        </w:tc>
      </w:tr>
      <w:tr w14:paraId="6C3258A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365" w:type="dxa"/>
            <w:tcBorders>
              <w:left w:val="single" w:color="auto" w:sz="6" w:space="0"/>
              <w:bottom w:val="single" w:color="auto" w:sz="4" w:space="0"/>
              <w:right w:val="single" w:color="auto" w:sz="6" w:space="0"/>
            </w:tcBorders>
            <w:vAlign w:val="center"/>
          </w:tcPr>
          <w:p w14:paraId="4FF3100B">
            <w:pPr>
              <w:adjustRightInd w:val="0"/>
              <w:snapToGrid w:val="0"/>
              <w:spacing w:line="340" w:lineRule="atLeast"/>
              <w:jc w:val="center"/>
              <w:rPr>
                <w:color w:val="auto"/>
                <w:sz w:val="18"/>
                <w:szCs w:val="18"/>
              </w:rPr>
            </w:pPr>
            <w:r>
              <w:rPr>
                <w:color w:val="auto"/>
                <w:sz w:val="18"/>
                <w:szCs w:val="18"/>
              </w:rPr>
              <w:t>0.6</w:t>
            </w:r>
          </w:p>
        </w:tc>
        <w:tc>
          <w:tcPr>
            <w:tcW w:w="4778" w:type="dxa"/>
            <w:tcBorders>
              <w:left w:val="single" w:color="auto" w:sz="6" w:space="0"/>
              <w:bottom w:val="single" w:color="auto" w:sz="4" w:space="0"/>
              <w:right w:val="single" w:color="auto" w:sz="6" w:space="0"/>
            </w:tcBorders>
            <w:vAlign w:val="center"/>
          </w:tcPr>
          <w:p w14:paraId="22D4BF31">
            <w:pPr>
              <w:adjustRightInd w:val="0"/>
              <w:snapToGrid w:val="0"/>
              <w:spacing w:line="340" w:lineRule="atLeast"/>
              <w:jc w:val="center"/>
              <w:rPr>
                <w:color w:val="auto"/>
                <w:sz w:val="18"/>
                <w:szCs w:val="18"/>
              </w:rPr>
            </w:pPr>
            <w:r>
              <w:rPr>
                <w:color w:val="auto"/>
                <w:sz w:val="18"/>
                <w:szCs w:val="18"/>
              </w:rPr>
              <w:t>5.0</w:t>
            </w:r>
          </w:p>
        </w:tc>
      </w:tr>
      <w:tr w14:paraId="7CA9B1E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365" w:type="dxa"/>
            <w:tcBorders>
              <w:top w:val="single" w:color="auto" w:sz="4" w:space="0"/>
              <w:left w:val="single" w:color="auto" w:sz="6" w:space="0"/>
              <w:bottom w:val="single" w:color="auto" w:sz="4" w:space="0"/>
              <w:right w:val="single" w:color="auto" w:sz="6" w:space="0"/>
            </w:tcBorders>
            <w:vAlign w:val="center"/>
          </w:tcPr>
          <w:p w14:paraId="2615D2C8">
            <w:pPr>
              <w:adjustRightInd w:val="0"/>
              <w:snapToGrid w:val="0"/>
              <w:spacing w:line="340" w:lineRule="atLeast"/>
              <w:jc w:val="center"/>
              <w:rPr>
                <w:color w:val="auto"/>
                <w:sz w:val="18"/>
                <w:szCs w:val="18"/>
              </w:rPr>
            </w:pPr>
            <w:r>
              <w:rPr>
                <w:color w:val="auto"/>
                <w:sz w:val="18"/>
                <w:szCs w:val="18"/>
              </w:rPr>
              <w:t>0.7</w:t>
            </w:r>
          </w:p>
        </w:tc>
        <w:tc>
          <w:tcPr>
            <w:tcW w:w="4778" w:type="dxa"/>
            <w:tcBorders>
              <w:top w:val="single" w:color="auto" w:sz="4" w:space="0"/>
              <w:left w:val="single" w:color="auto" w:sz="6" w:space="0"/>
              <w:bottom w:val="single" w:color="auto" w:sz="4" w:space="0"/>
              <w:right w:val="single" w:color="auto" w:sz="6" w:space="0"/>
            </w:tcBorders>
            <w:vAlign w:val="center"/>
          </w:tcPr>
          <w:p w14:paraId="0DB05A1F">
            <w:pPr>
              <w:adjustRightInd w:val="0"/>
              <w:snapToGrid w:val="0"/>
              <w:spacing w:line="340" w:lineRule="atLeast"/>
              <w:jc w:val="center"/>
              <w:rPr>
                <w:color w:val="auto"/>
                <w:sz w:val="18"/>
                <w:szCs w:val="18"/>
              </w:rPr>
            </w:pPr>
            <w:r>
              <w:rPr>
                <w:color w:val="auto"/>
                <w:sz w:val="18"/>
                <w:szCs w:val="18"/>
              </w:rPr>
              <w:t>4.0</w:t>
            </w:r>
          </w:p>
        </w:tc>
      </w:tr>
      <w:tr w14:paraId="6EC81F6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365" w:type="dxa"/>
            <w:tcBorders>
              <w:top w:val="single" w:color="auto" w:sz="4" w:space="0"/>
              <w:left w:val="single" w:color="auto" w:sz="6" w:space="0"/>
              <w:bottom w:val="single" w:color="auto" w:sz="4" w:space="0"/>
              <w:right w:val="single" w:color="auto" w:sz="6" w:space="0"/>
            </w:tcBorders>
            <w:vAlign w:val="center"/>
          </w:tcPr>
          <w:p w14:paraId="463E2D9F">
            <w:pPr>
              <w:adjustRightInd w:val="0"/>
              <w:snapToGrid w:val="0"/>
              <w:spacing w:line="340" w:lineRule="atLeast"/>
              <w:jc w:val="center"/>
              <w:rPr>
                <w:color w:val="auto"/>
                <w:sz w:val="18"/>
                <w:szCs w:val="18"/>
              </w:rPr>
            </w:pPr>
            <w:r>
              <w:rPr>
                <w:color w:val="auto"/>
                <w:sz w:val="18"/>
                <w:szCs w:val="18"/>
              </w:rPr>
              <w:t>0.8</w:t>
            </w:r>
          </w:p>
        </w:tc>
        <w:tc>
          <w:tcPr>
            <w:tcW w:w="4778" w:type="dxa"/>
            <w:tcBorders>
              <w:top w:val="single" w:color="auto" w:sz="4" w:space="0"/>
              <w:left w:val="single" w:color="auto" w:sz="6" w:space="0"/>
              <w:bottom w:val="single" w:color="auto" w:sz="4" w:space="0"/>
              <w:right w:val="single" w:color="auto" w:sz="6" w:space="0"/>
            </w:tcBorders>
            <w:vAlign w:val="center"/>
          </w:tcPr>
          <w:p w14:paraId="32E58310">
            <w:pPr>
              <w:adjustRightInd w:val="0"/>
              <w:snapToGrid w:val="0"/>
              <w:spacing w:line="340" w:lineRule="atLeast"/>
              <w:jc w:val="center"/>
              <w:rPr>
                <w:color w:val="auto"/>
                <w:sz w:val="18"/>
                <w:szCs w:val="18"/>
              </w:rPr>
            </w:pPr>
            <w:r>
              <w:rPr>
                <w:color w:val="auto"/>
                <w:sz w:val="18"/>
                <w:szCs w:val="18"/>
              </w:rPr>
              <w:t>3.5</w:t>
            </w:r>
          </w:p>
        </w:tc>
      </w:tr>
      <w:tr w14:paraId="30CD236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365" w:type="dxa"/>
            <w:tcBorders>
              <w:top w:val="single" w:color="auto" w:sz="4" w:space="0"/>
              <w:left w:val="single" w:color="auto" w:sz="6" w:space="0"/>
              <w:bottom w:val="single" w:color="auto" w:sz="4" w:space="0"/>
              <w:right w:val="single" w:color="auto" w:sz="6" w:space="0"/>
            </w:tcBorders>
            <w:vAlign w:val="center"/>
          </w:tcPr>
          <w:p w14:paraId="2E56BA36">
            <w:pPr>
              <w:adjustRightInd w:val="0"/>
              <w:snapToGrid w:val="0"/>
              <w:spacing w:line="340" w:lineRule="atLeast"/>
              <w:jc w:val="center"/>
              <w:rPr>
                <w:color w:val="auto"/>
                <w:sz w:val="18"/>
                <w:szCs w:val="18"/>
              </w:rPr>
            </w:pPr>
            <w:r>
              <w:rPr>
                <w:color w:val="auto"/>
                <w:sz w:val="18"/>
                <w:szCs w:val="18"/>
              </w:rPr>
              <w:t>0.9</w:t>
            </w:r>
          </w:p>
        </w:tc>
        <w:tc>
          <w:tcPr>
            <w:tcW w:w="4778" w:type="dxa"/>
            <w:tcBorders>
              <w:top w:val="single" w:color="auto" w:sz="4" w:space="0"/>
              <w:left w:val="single" w:color="auto" w:sz="6" w:space="0"/>
              <w:bottom w:val="single" w:color="auto" w:sz="4" w:space="0"/>
              <w:right w:val="single" w:color="auto" w:sz="6" w:space="0"/>
            </w:tcBorders>
            <w:vAlign w:val="center"/>
          </w:tcPr>
          <w:p w14:paraId="26038FE1">
            <w:pPr>
              <w:adjustRightInd w:val="0"/>
              <w:snapToGrid w:val="0"/>
              <w:spacing w:line="340" w:lineRule="atLeast"/>
              <w:jc w:val="center"/>
              <w:rPr>
                <w:color w:val="auto"/>
                <w:sz w:val="18"/>
                <w:szCs w:val="18"/>
              </w:rPr>
            </w:pPr>
            <w:r>
              <w:rPr>
                <w:color w:val="auto"/>
                <w:sz w:val="18"/>
                <w:szCs w:val="18"/>
              </w:rPr>
              <w:t>3.0</w:t>
            </w:r>
          </w:p>
        </w:tc>
      </w:tr>
      <w:tr w14:paraId="218CEC5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9143" w:type="dxa"/>
            <w:gridSpan w:val="2"/>
            <w:tcBorders>
              <w:top w:val="single" w:color="auto" w:sz="4" w:space="0"/>
              <w:left w:val="single" w:color="auto" w:sz="6" w:space="0"/>
              <w:bottom w:val="single" w:color="auto" w:sz="6" w:space="0"/>
              <w:right w:val="single" w:color="auto" w:sz="6" w:space="0"/>
            </w:tcBorders>
            <w:vAlign w:val="center"/>
          </w:tcPr>
          <w:p w14:paraId="0D6855B7">
            <w:pPr>
              <w:adjustRightInd w:val="0"/>
              <w:snapToGrid w:val="0"/>
              <w:spacing w:line="340" w:lineRule="atLeast"/>
              <w:jc w:val="left"/>
              <w:rPr>
                <w:color w:val="auto"/>
                <w:sz w:val="18"/>
                <w:szCs w:val="18"/>
              </w:rPr>
            </w:pPr>
            <w:r>
              <w:rPr>
                <w:color w:val="auto"/>
                <w:sz w:val="18"/>
                <w:szCs w:val="18"/>
              </w:rPr>
              <w:t>注：大气影响急剧层深度可按表中大气影响深度层乘以0.45采用。</w:t>
            </w:r>
          </w:p>
        </w:tc>
      </w:tr>
    </w:tbl>
    <w:p w14:paraId="3C9B71EB">
      <w:pPr>
        <w:adjustRightInd w:val="0"/>
        <w:snapToGrid w:val="0"/>
        <w:spacing w:before="240" w:line="340" w:lineRule="atLeast"/>
        <w:ind w:right="482"/>
        <w:jc w:val="center"/>
        <w:rPr>
          <w:rFonts w:eastAsia="黑体"/>
          <w:b/>
          <w:color w:val="auto"/>
          <w:szCs w:val="21"/>
        </w:rPr>
      </w:pPr>
    </w:p>
    <w:p w14:paraId="4D871C06">
      <w:pPr>
        <w:adjustRightInd w:val="0"/>
        <w:snapToGrid w:val="0"/>
        <w:spacing w:before="240" w:line="340" w:lineRule="atLeast"/>
        <w:ind w:right="482"/>
        <w:jc w:val="center"/>
        <w:rPr>
          <w:rFonts w:eastAsia="黑体"/>
          <w:b/>
          <w:color w:val="auto"/>
          <w:szCs w:val="21"/>
        </w:rPr>
      </w:pPr>
      <w:r>
        <w:rPr>
          <w:rFonts w:eastAsia="黑体"/>
          <w:b/>
          <w:color w:val="auto"/>
          <w:szCs w:val="21"/>
        </w:rPr>
        <w:t>表48   大气影响和影响急剧层深度（m）</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286"/>
        <w:gridCol w:w="1221"/>
        <w:gridCol w:w="1304"/>
        <w:gridCol w:w="1366"/>
      </w:tblGrid>
      <w:tr w14:paraId="4BE9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0DD4456F">
            <w:pPr>
              <w:spacing w:line="350" w:lineRule="exact"/>
              <w:jc w:val="center"/>
              <w:rPr>
                <w:color w:val="auto"/>
                <w:spacing w:val="-4"/>
                <w:sz w:val="18"/>
                <w:szCs w:val="18"/>
              </w:rPr>
            </w:pPr>
            <w:r>
              <w:rPr>
                <w:color w:val="auto"/>
                <w:spacing w:val="-4"/>
                <w:sz w:val="18"/>
                <w:szCs w:val="18"/>
              </w:rPr>
              <w:t>项   目</w:t>
            </w:r>
          </w:p>
        </w:tc>
        <w:tc>
          <w:tcPr>
            <w:tcW w:w="1286" w:type="dxa"/>
          </w:tcPr>
          <w:p w14:paraId="2AE0BFF0">
            <w:pPr>
              <w:spacing w:line="350" w:lineRule="exact"/>
              <w:jc w:val="center"/>
              <w:rPr>
                <w:color w:val="auto"/>
                <w:spacing w:val="-4"/>
                <w:sz w:val="18"/>
                <w:szCs w:val="18"/>
              </w:rPr>
            </w:pPr>
            <w:r>
              <w:rPr>
                <w:color w:val="auto"/>
                <w:spacing w:val="-4"/>
                <w:sz w:val="18"/>
                <w:szCs w:val="18"/>
              </w:rPr>
              <w:t>郧 阳</w:t>
            </w:r>
          </w:p>
        </w:tc>
        <w:tc>
          <w:tcPr>
            <w:tcW w:w="1221" w:type="dxa"/>
          </w:tcPr>
          <w:p w14:paraId="1E935521">
            <w:pPr>
              <w:spacing w:line="350" w:lineRule="exact"/>
              <w:jc w:val="center"/>
              <w:rPr>
                <w:color w:val="auto"/>
                <w:spacing w:val="-4"/>
                <w:sz w:val="18"/>
                <w:szCs w:val="18"/>
              </w:rPr>
            </w:pPr>
            <w:r>
              <w:rPr>
                <w:color w:val="auto"/>
                <w:spacing w:val="-4"/>
                <w:sz w:val="18"/>
                <w:szCs w:val="18"/>
              </w:rPr>
              <w:t>钟 祥</w:t>
            </w:r>
          </w:p>
        </w:tc>
        <w:tc>
          <w:tcPr>
            <w:tcW w:w="1304" w:type="dxa"/>
          </w:tcPr>
          <w:p w14:paraId="77761233">
            <w:pPr>
              <w:spacing w:line="350" w:lineRule="exact"/>
              <w:jc w:val="center"/>
              <w:rPr>
                <w:color w:val="auto"/>
                <w:spacing w:val="-4"/>
                <w:sz w:val="18"/>
                <w:szCs w:val="18"/>
              </w:rPr>
            </w:pPr>
            <w:r>
              <w:rPr>
                <w:color w:val="auto"/>
                <w:spacing w:val="-4"/>
                <w:sz w:val="18"/>
                <w:szCs w:val="18"/>
              </w:rPr>
              <w:t>江陵荆州</w:t>
            </w:r>
          </w:p>
        </w:tc>
        <w:tc>
          <w:tcPr>
            <w:tcW w:w="1366" w:type="dxa"/>
          </w:tcPr>
          <w:p w14:paraId="5616A49B">
            <w:pPr>
              <w:spacing w:line="350" w:lineRule="exact"/>
              <w:jc w:val="center"/>
              <w:rPr>
                <w:color w:val="auto"/>
                <w:spacing w:val="-4"/>
                <w:sz w:val="18"/>
                <w:szCs w:val="18"/>
              </w:rPr>
            </w:pPr>
            <w:r>
              <w:rPr>
                <w:color w:val="auto"/>
                <w:spacing w:val="-4"/>
                <w:sz w:val="18"/>
                <w:szCs w:val="18"/>
              </w:rPr>
              <w:t>武  汉</w:t>
            </w:r>
          </w:p>
        </w:tc>
      </w:tr>
      <w:tr w14:paraId="23D5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58A48C8E">
            <w:pPr>
              <w:spacing w:line="350" w:lineRule="exact"/>
              <w:jc w:val="center"/>
              <w:rPr>
                <w:color w:val="auto"/>
                <w:spacing w:val="-4"/>
                <w:sz w:val="18"/>
                <w:szCs w:val="18"/>
              </w:rPr>
            </w:pPr>
            <w:r>
              <w:rPr>
                <w:color w:val="auto"/>
                <w:spacing w:val="-4"/>
                <w:sz w:val="18"/>
                <w:szCs w:val="18"/>
              </w:rPr>
              <w:t>全年蒸发力之和</w:t>
            </w:r>
          </w:p>
        </w:tc>
        <w:tc>
          <w:tcPr>
            <w:tcW w:w="1286" w:type="dxa"/>
          </w:tcPr>
          <w:p w14:paraId="243D2F16">
            <w:pPr>
              <w:spacing w:line="350" w:lineRule="exact"/>
              <w:jc w:val="center"/>
              <w:rPr>
                <w:color w:val="auto"/>
                <w:spacing w:val="-4"/>
                <w:sz w:val="18"/>
                <w:szCs w:val="18"/>
              </w:rPr>
            </w:pPr>
            <w:r>
              <w:rPr>
                <w:color w:val="auto"/>
                <w:spacing w:val="-4"/>
                <w:sz w:val="18"/>
                <w:szCs w:val="18"/>
              </w:rPr>
              <w:t>809.9</w:t>
            </w:r>
          </w:p>
        </w:tc>
        <w:tc>
          <w:tcPr>
            <w:tcW w:w="1221" w:type="dxa"/>
          </w:tcPr>
          <w:p w14:paraId="36F88AE6">
            <w:pPr>
              <w:spacing w:line="350" w:lineRule="exact"/>
              <w:jc w:val="center"/>
              <w:rPr>
                <w:color w:val="auto"/>
                <w:spacing w:val="-4"/>
                <w:sz w:val="18"/>
                <w:szCs w:val="18"/>
              </w:rPr>
            </w:pPr>
            <w:r>
              <w:rPr>
                <w:color w:val="auto"/>
                <w:spacing w:val="-4"/>
                <w:sz w:val="18"/>
                <w:szCs w:val="18"/>
              </w:rPr>
              <w:t>918.5</w:t>
            </w:r>
          </w:p>
        </w:tc>
        <w:tc>
          <w:tcPr>
            <w:tcW w:w="1304" w:type="dxa"/>
          </w:tcPr>
          <w:p w14:paraId="04E9CE4C">
            <w:pPr>
              <w:spacing w:line="350" w:lineRule="exact"/>
              <w:jc w:val="center"/>
              <w:rPr>
                <w:color w:val="auto"/>
                <w:spacing w:val="-4"/>
                <w:sz w:val="18"/>
                <w:szCs w:val="18"/>
              </w:rPr>
            </w:pPr>
            <w:r>
              <w:rPr>
                <w:color w:val="auto"/>
                <w:spacing w:val="-4"/>
                <w:sz w:val="18"/>
                <w:szCs w:val="18"/>
              </w:rPr>
              <w:t>835.1</w:t>
            </w:r>
          </w:p>
        </w:tc>
        <w:tc>
          <w:tcPr>
            <w:tcW w:w="1366" w:type="dxa"/>
          </w:tcPr>
          <w:p w14:paraId="5DD40172">
            <w:pPr>
              <w:spacing w:line="350" w:lineRule="exact"/>
              <w:jc w:val="center"/>
              <w:rPr>
                <w:color w:val="auto"/>
                <w:spacing w:val="-4"/>
                <w:sz w:val="18"/>
                <w:szCs w:val="18"/>
              </w:rPr>
            </w:pPr>
            <w:r>
              <w:rPr>
                <w:color w:val="auto"/>
                <w:spacing w:val="-4"/>
                <w:sz w:val="18"/>
                <w:szCs w:val="18"/>
              </w:rPr>
              <w:t>865.4</w:t>
            </w:r>
          </w:p>
        </w:tc>
      </w:tr>
      <w:tr w14:paraId="2FA2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47B44A70">
            <w:pPr>
              <w:spacing w:line="350" w:lineRule="exact"/>
              <w:jc w:val="center"/>
              <w:rPr>
                <w:color w:val="auto"/>
                <w:spacing w:val="-4"/>
                <w:sz w:val="18"/>
                <w:szCs w:val="18"/>
              </w:rPr>
            </w:pPr>
            <w:r>
              <w:rPr>
                <w:color w:val="auto"/>
                <w:spacing w:val="-4"/>
                <w:sz w:val="18"/>
                <w:szCs w:val="18"/>
              </w:rPr>
              <w:t>9月至次年2月的蒸发力之和</w:t>
            </w:r>
          </w:p>
        </w:tc>
        <w:tc>
          <w:tcPr>
            <w:tcW w:w="1286" w:type="dxa"/>
          </w:tcPr>
          <w:p w14:paraId="03744CF6">
            <w:pPr>
              <w:spacing w:line="350" w:lineRule="exact"/>
              <w:jc w:val="center"/>
              <w:rPr>
                <w:color w:val="auto"/>
                <w:spacing w:val="-4"/>
                <w:sz w:val="18"/>
                <w:szCs w:val="18"/>
              </w:rPr>
            </w:pPr>
            <w:r>
              <w:rPr>
                <w:color w:val="auto"/>
                <w:spacing w:val="-4"/>
                <w:sz w:val="18"/>
                <w:szCs w:val="18"/>
              </w:rPr>
              <w:t>198.7</w:t>
            </w:r>
          </w:p>
        </w:tc>
        <w:tc>
          <w:tcPr>
            <w:tcW w:w="1221" w:type="dxa"/>
          </w:tcPr>
          <w:p w14:paraId="3C8B570B">
            <w:pPr>
              <w:spacing w:line="350" w:lineRule="exact"/>
              <w:jc w:val="center"/>
              <w:rPr>
                <w:color w:val="auto"/>
                <w:spacing w:val="-4"/>
                <w:sz w:val="18"/>
                <w:szCs w:val="18"/>
              </w:rPr>
            </w:pPr>
            <w:r>
              <w:rPr>
                <w:color w:val="auto"/>
                <w:spacing w:val="-4"/>
                <w:sz w:val="18"/>
                <w:szCs w:val="18"/>
              </w:rPr>
              <w:t>258.5</w:t>
            </w:r>
          </w:p>
        </w:tc>
        <w:tc>
          <w:tcPr>
            <w:tcW w:w="1304" w:type="dxa"/>
          </w:tcPr>
          <w:p w14:paraId="4B354278">
            <w:pPr>
              <w:spacing w:line="350" w:lineRule="exact"/>
              <w:jc w:val="center"/>
              <w:rPr>
                <w:color w:val="auto"/>
                <w:spacing w:val="-4"/>
                <w:sz w:val="18"/>
                <w:szCs w:val="18"/>
              </w:rPr>
            </w:pPr>
            <w:r>
              <w:rPr>
                <w:color w:val="auto"/>
                <w:spacing w:val="-4"/>
                <w:sz w:val="18"/>
                <w:szCs w:val="18"/>
              </w:rPr>
              <w:t>227.4</w:t>
            </w:r>
          </w:p>
        </w:tc>
        <w:tc>
          <w:tcPr>
            <w:tcW w:w="1366" w:type="dxa"/>
          </w:tcPr>
          <w:p w14:paraId="0E264F9B">
            <w:pPr>
              <w:spacing w:line="350" w:lineRule="exact"/>
              <w:jc w:val="center"/>
              <w:rPr>
                <w:color w:val="auto"/>
                <w:spacing w:val="-4"/>
                <w:sz w:val="18"/>
                <w:szCs w:val="18"/>
              </w:rPr>
            </w:pPr>
            <w:r>
              <w:rPr>
                <w:color w:val="auto"/>
                <w:spacing w:val="-4"/>
                <w:sz w:val="18"/>
                <w:szCs w:val="18"/>
              </w:rPr>
              <w:t>225</w:t>
            </w:r>
          </w:p>
        </w:tc>
      </w:tr>
      <w:tr w14:paraId="0286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6E041974">
            <w:pPr>
              <w:spacing w:line="350" w:lineRule="exact"/>
              <w:jc w:val="center"/>
              <w:rPr>
                <w:color w:val="auto"/>
                <w:spacing w:val="-4"/>
                <w:sz w:val="18"/>
                <w:szCs w:val="18"/>
              </w:rPr>
            </w:pPr>
            <w:r>
              <w:rPr>
                <w:bCs/>
                <w:color w:val="auto"/>
                <w:position w:val="-6"/>
                <w:szCs w:val="21"/>
              </w:rPr>
              <w:object>
                <v:shape id="_x0000_i1327" o:spt="75" type="#_x0000_t75" style="height:15pt;width:15pt;" o:ole="t" filled="f" o:preferrelative="t" stroked="f" coordsize="21600,21600">
                  <v:path/>
                  <v:fill on="f" focussize="0,0"/>
                  <v:stroke on="f" joinstyle="miter"/>
                  <v:imagedata r:id="rId584" o:title=""/>
                  <o:lock v:ext="edit" aspectratio="t"/>
                  <w10:wrap type="none"/>
                  <w10:anchorlock/>
                </v:shape>
                <o:OLEObject Type="Embed" ProgID="Equation.3" ShapeID="_x0000_i1327" DrawAspect="Content" ObjectID="_1468076027" r:id="rId591">
                  <o:LockedField>false</o:LockedField>
                </o:OLEObject>
              </w:object>
            </w:r>
          </w:p>
        </w:tc>
        <w:tc>
          <w:tcPr>
            <w:tcW w:w="1286" w:type="dxa"/>
          </w:tcPr>
          <w:p w14:paraId="399EB842">
            <w:pPr>
              <w:spacing w:line="350" w:lineRule="exact"/>
              <w:jc w:val="center"/>
              <w:rPr>
                <w:color w:val="auto"/>
                <w:spacing w:val="-4"/>
                <w:sz w:val="18"/>
                <w:szCs w:val="18"/>
              </w:rPr>
            </w:pPr>
            <w:r>
              <w:rPr>
                <w:color w:val="auto"/>
                <w:spacing w:val="-4"/>
                <w:sz w:val="18"/>
                <w:szCs w:val="18"/>
              </w:rPr>
              <w:t>0.245</w:t>
            </w:r>
          </w:p>
        </w:tc>
        <w:tc>
          <w:tcPr>
            <w:tcW w:w="1221" w:type="dxa"/>
          </w:tcPr>
          <w:p w14:paraId="413E62B1">
            <w:pPr>
              <w:spacing w:line="350" w:lineRule="exact"/>
              <w:jc w:val="center"/>
              <w:rPr>
                <w:color w:val="auto"/>
                <w:spacing w:val="-4"/>
                <w:sz w:val="18"/>
                <w:szCs w:val="18"/>
              </w:rPr>
            </w:pPr>
            <w:r>
              <w:rPr>
                <w:color w:val="auto"/>
                <w:spacing w:val="-4"/>
                <w:sz w:val="18"/>
                <w:szCs w:val="18"/>
              </w:rPr>
              <w:t>0.281</w:t>
            </w:r>
          </w:p>
        </w:tc>
        <w:tc>
          <w:tcPr>
            <w:tcW w:w="1304" w:type="dxa"/>
          </w:tcPr>
          <w:p w14:paraId="3677F90D">
            <w:pPr>
              <w:spacing w:line="350" w:lineRule="exact"/>
              <w:jc w:val="center"/>
              <w:rPr>
                <w:color w:val="auto"/>
                <w:spacing w:val="-4"/>
                <w:sz w:val="18"/>
                <w:szCs w:val="18"/>
              </w:rPr>
            </w:pPr>
            <w:r>
              <w:rPr>
                <w:color w:val="auto"/>
                <w:spacing w:val="-4"/>
                <w:sz w:val="18"/>
                <w:szCs w:val="18"/>
              </w:rPr>
              <w:t>0.272</w:t>
            </w:r>
          </w:p>
        </w:tc>
        <w:tc>
          <w:tcPr>
            <w:tcW w:w="1366" w:type="dxa"/>
          </w:tcPr>
          <w:p w14:paraId="61D22012">
            <w:pPr>
              <w:spacing w:line="350" w:lineRule="exact"/>
              <w:jc w:val="center"/>
              <w:rPr>
                <w:color w:val="auto"/>
                <w:spacing w:val="-4"/>
                <w:sz w:val="18"/>
                <w:szCs w:val="18"/>
              </w:rPr>
            </w:pPr>
            <w:r>
              <w:rPr>
                <w:color w:val="auto"/>
                <w:spacing w:val="-4"/>
                <w:sz w:val="18"/>
                <w:szCs w:val="18"/>
              </w:rPr>
              <w:t>0.260</w:t>
            </w:r>
          </w:p>
        </w:tc>
      </w:tr>
      <w:tr w14:paraId="6276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69" w:type="dxa"/>
            <w:vAlign w:val="center"/>
          </w:tcPr>
          <w:p w14:paraId="300B7F61">
            <w:pPr>
              <w:snapToGrid w:val="0"/>
              <w:jc w:val="center"/>
              <w:rPr>
                <w:color w:val="auto"/>
                <w:spacing w:val="-4"/>
                <w:sz w:val="18"/>
                <w:szCs w:val="18"/>
              </w:rPr>
            </w:pPr>
            <w:r>
              <w:rPr>
                <w:color w:val="auto"/>
                <w:spacing w:val="-4"/>
                <w:sz w:val="18"/>
                <w:szCs w:val="18"/>
              </w:rPr>
              <w:t>K</w:t>
            </w:r>
            <w:r>
              <w:rPr>
                <w:color w:val="auto"/>
                <w:spacing w:val="-4"/>
                <w:sz w:val="18"/>
                <w:szCs w:val="18"/>
                <w:vertAlign w:val="subscript"/>
              </w:rPr>
              <w:t>c</w:t>
            </w:r>
            <w:r>
              <w:rPr>
                <w:color w:val="auto"/>
                <w:spacing w:val="-4"/>
                <w:sz w:val="18"/>
                <w:szCs w:val="18"/>
              </w:rPr>
              <w:t>大于1</w:t>
            </w:r>
            <w:r>
              <w:rPr>
                <w:rFonts w:hint="eastAsia"/>
                <w:color w:val="auto"/>
                <w:spacing w:val="-4"/>
                <w:sz w:val="18"/>
                <w:szCs w:val="18"/>
              </w:rPr>
              <w:t>.0的</w:t>
            </w:r>
            <w:r>
              <w:rPr>
                <w:color w:val="auto"/>
                <w:spacing w:val="-4"/>
                <w:sz w:val="18"/>
                <w:szCs w:val="18"/>
              </w:rPr>
              <w:t>月份的蒸发力减降水量差值的总和C</w:t>
            </w:r>
          </w:p>
        </w:tc>
        <w:tc>
          <w:tcPr>
            <w:tcW w:w="1286" w:type="dxa"/>
          </w:tcPr>
          <w:p w14:paraId="1956E0E1">
            <w:pPr>
              <w:spacing w:line="350" w:lineRule="exact"/>
              <w:jc w:val="center"/>
              <w:rPr>
                <w:color w:val="auto"/>
                <w:spacing w:val="-4"/>
                <w:sz w:val="18"/>
                <w:szCs w:val="18"/>
              </w:rPr>
            </w:pPr>
            <w:r>
              <w:rPr>
                <w:color w:val="auto"/>
                <w:spacing w:val="-4"/>
                <w:sz w:val="18"/>
                <w:szCs w:val="18"/>
              </w:rPr>
              <w:t>99.5</w:t>
            </w:r>
          </w:p>
        </w:tc>
        <w:tc>
          <w:tcPr>
            <w:tcW w:w="1221" w:type="dxa"/>
          </w:tcPr>
          <w:p w14:paraId="2BFF90BA">
            <w:pPr>
              <w:spacing w:line="350" w:lineRule="exact"/>
              <w:jc w:val="center"/>
              <w:rPr>
                <w:color w:val="auto"/>
                <w:spacing w:val="-4"/>
                <w:sz w:val="18"/>
                <w:szCs w:val="18"/>
              </w:rPr>
            </w:pPr>
            <w:r>
              <w:rPr>
                <w:color w:val="auto"/>
                <w:spacing w:val="-4"/>
                <w:sz w:val="18"/>
                <w:szCs w:val="18"/>
              </w:rPr>
              <w:t>57.8</w:t>
            </w:r>
          </w:p>
        </w:tc>
        <w:tc>
          <w:tcPr>
            <w:tcW w:w="1304" w:type="dxa"/>
          </w:tcPr>
          <w:p w14:paraId="3C7EFFA7">
            <w:pPr>
              <w:spacing w:line="350" w:lineRule="exact"/>
              <w:jc w:val="center"/>
              <w:rPr>
                <w:color w:val="auto"/>
                <w:spacing w:val="-4"/>
                <w:sz w:val="18"/>
                <w:szCs w:val="18"/>
              </w:rPr>
            </w:pPr>
            <w:r>
              <w:rPr>
                <w:color w:val="auto"/>
                <w:spacing w:val="-4"/>
                <w:sz w:val="18"/>
                <w:szCs w:val="18"/>
              </w:rPr>
              <w:t>24.6</w:t>
            </w:r>
          </w:p>
        </w:tc>
        <w:tc>
          <w:tcPr>
            <w:tcW w:w="1366" w:type="dxa"/>
          </w:tcPr>
          <w:p w14:paraId="069CD35B">
            <w:pPr>
              <w:spacing w:line="350" w:lineRule="exact"/>
              <w:jc w:val="center"/>
              <w:rPr>
                <w:color w:val="auto"/>
                <w:spacing w:val="-4"/>
                <w:sz w:val="18"/>
                <w:szCs w:val="18"/>
              </w:rPr>
            </w:pPr>
            <w:r>
              <w:rPr>
                <w:color w:val="auto"/>
                <w:spacing w:val="-4"/>
                <w:sz w:val="18"/>
                <w:szCs w:val="18"/>
              </w:rPr>
              <w:t>26.3</w:t>
            </w:r>
          </w:p>
        </w:tc>
      </w:tr>
      <w:tr w14:paraId="2C76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69EFDB42">
            <w:pPr>
              <w:spacing w:line="350" w:lineRule="exact"/>
              <w:jc w:val="center"/>
              <w:rPr>
                <w:color w:val="auto"/>
                <w:spacing w:val="-4"/>
                <w:sz w:val="18"/>
                <w:szCs w:val="18"/>
              </w:rPr>
            </w:pPr>
            <w:r>
              <w:rPr>
                <w:color w:val="auto"/>
                <w:spacing w:val="-4"/>
                <w:sz w:val="18"/>
                <w:szCs w:val="18"/>
              </w:rPr>
              <w:t>湿度系数</w:t>
            </w:r>
            <w:r>
              <w:rPr>
                <w:color w:val="auto"/>
                <w:spacing w:val="-4"/>
                <w:position w:val="-10"/>
                <w:sz w:val="18"/>
                <w:szCs w:val="18"/>
              </w:rPr>
              <w:object>
                <v:shape id="_x0000_i1328" o:spt="75" type="#_x0000_t75" style="height:15pt;width:15pt;" o:ole="t" filled="f" o:preferrelative="t" stroked="f" coordsize="21600,21600">
                  <v:path/>
                  <v:fill on="f" focussize="0,0"/>
                  <v:stroke on="f" joinstyle="miter"/>
                  <v:imagedata r:id="rId593" o:title=""/>
                  <o:lock v:ext="edit" aspectratio="t"/>
                  <w10:wrap type="none"/>
                  <w10:anchorlock/>
                </v:shape>
                <o:OLEObject Type="Embed" ProgID="Equation.3" ShapeID="_x0000_i1328" DrawAspect="Content" ObjectID="_1468076028" r:id="rId592">
                  <o:LockedField>false</o:LockedField>
                </o:OLEObject>
              </w:object>
            </w:r>
          </w:p>
        </w:tc>
        <w:tc>
          <w:tcPr>
            <w:tcW w:w="1286" w:type="dxa"/>
          </w:tcPr>
          <w:p w14:paraId="0A3A5920">
            <w:pPr>
              <w:spacing w:line="350" w:lineRule="exact"/>
              <w:jc w:val="center"/>
              <w:rPr>
                <w:color w:val="auto"/>
                <w:spacing w:val="-4"/>
                <w:sz w:val="18"/>
                <w:szCs w:val="18"/>
              </w:rPr>
            </w:pPr>
            <w:r>
              <w:rPr>
                <w:color w:val="auto"/>
                <w:spacing w:val="-4"/>
                <w:sz w:val="18"/>
                <w:szCs w:val="18"/>
              </w:rPr>
              <w:t>0.86</w:t>
            </w:r>
          </w:p>
        </w:tc>
        <w:tc>
          <w:tcPr>
            <w:tcW w:w="1221" w:type="dxa"/>
          </w:tcPr>
          <w:p w14:paraId="7DBBD5F0">
            <w:pPr>
              <w:spacing w:line="350" w:lineRule="exact"/>
              <w:jc w:val="center"/>
              <w:rPr>
                <w:color w:val="auto"/>
                <w:spacing w:val="-4"/>
                <w:sz w:val="18"/>
                <w:szCs w:val="18"/>
              </w:rPr>
            </w:pPr>
            <w:r>
              <w:rPr>
                <w:color w:val="auto"/>
                <w:spacing w:val="-4"/>
                <w:sz w:val="18"/>
                <w:szCs w:val="18"/>
              </w:rPr>
              <w:t>0.88</w:t>
            </w:r>
          </w:p>
        </w:tc>
        <w:tc>
          <w:tcPr>
            <w:tcW w:w="1304" w:type="dxa"/>
          </w:tcPr>
          <w:p w14:paraId="5F09A8D3">
            <w:pPr>
              <w:spacing w:line="350" w:lineRule="exact"/>
              <w:jc w:val="center"/>
              <w:rPr>
                <w:color w:val="auto"/>
                <w:spacing w:val="-4"/>
                <w:sz w:val="18"/>
                <w:szCs w:val="18"/>
              </w:rPr>
            </w:pPr>
            <w:r>
              <w:rPr>
                <w:color w:val="auto"/>
                <w:spacing w:val="-4"/>
                <w:sz w:val="18"/>
                <w:szCs w:val="18"/>
              </w:rPr>
              <w:t>0.92～0.90</w:t>
            </w:r>
          </w:p>
        </w:tc>
        <w:tc>
          <w:tcPr>
            <w:tcW w:w="1366" w:type="dxa"/>
          </w:tcPr>
          <w:p w14:paraId="099EF1C5">
            <w:pPr>
              <w:spacing w:line="350" w:lineRule="exact"/>
              <w:jc w:val="center"/>
              <w:rPr>
                <w:color w:val="auto"/>
                <w:spacing w:val="-4"/>
                <w:sz w:val="18"/>
                <w:szCs w:val="18"/>
              </w:rPr>
            </w:pPr>
            <w:r>
              <w:rPr>
                <w:color w:val="auto"/>
                <w:spacing w:val="-4"/>
                <w:sz w:val="18"/>
                <w:szCs w:val="18"/>
              </w:rPr>
              <w:t>0.93～0.90</w:t>
            </w:r>
          </w:p>
        </w:tc>
      </w:tr>
      <w:tr w14:paraId="32B7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69" w:type="dxa"/>
            <w:vAlign w:val="center"/>
          </w:tcPr>
          <w:p w14:paraId="0B71C82D">
            <w:pPr>
              <w:spacing w:line="350" w:lineRule="exact"/>
              <w:jc w:val="center"/>
              <w:rPr>
                <w:color w:val="auto"/>
                <w:spacing w:val="-4"/>
                <w:sz w:val="18"/>
                <w:szCs w:val="18"/>
              </w:rPr>
            </w:pPr>
            <w:r>
              <w:rPr>
                <w:color w:val="auto"/>
                <w:spacing w:val="-4"/>
                <w:sz w:val="18"/>
                <w:szCs w:val="18"/>
              </w:rPr>
              <w:t>大气影响深度d</w:t>
            </w:r>
            <w:r>
              <w:rPr>
                <w:color w:val="auto"/>
                <w:spacing w:val="-4"/>
                <w:sz w:val="18"/>
                <w:szCs w:val="18"/>
                <w:vertAlign w:val="subscript"/>
              </w:rPr>
              <w:t>a</w:t>
            </w:r>
            <w:r>
              <w:rPr>
                <w:color w:val="auto"/>
                <w:spacing w:val="-4"/>
                <w:sz w:val="18"/>
                <w:szCs w:val="18"/>
              </w:rPr>
              <w:t>（m）</w:t>
            </w:r>
          </w:p>
        </w:tc>
        <w:tc>
          <w:tcPr>
            <w:tcW w:w="1286" w:type="dxa"/>
          </w:tcPr>
          <w:p w14:paraId="3677CC8E">
            <w:pPr>
              <w:spacing w:line="350" w:lineRule="exact"/>
              <w:jc w:val="center"/>
              <w:rPr>
                <w:color w:val="auto"/>
                <w:spacing w:val="-4"/>
                <w:sz w:val="18"/>
                <w:szCs w:val="18"/>
              </w:rPr>
            </w:pPr>
            <w:r>
              <w:rPr>
                <w:color w:val="auto"/>
                <w:spacing w:val="-4"/>
                <w:sz w:val="18"/>
                <w:szCs w:val="18"/>
              </w:rPr>
              <w:t>3.20</w:t>
            </w:r>
          </w:p>
        </w:tc>
        <w:tc>
          <w:tcPr>
            <w:tcW w:w="1221" w:type="dxa"/>
          </w:tcPr>
          <w:p w14:paraId="0F076951">
            <w:pPr>
              <w:spacing w:line="350" w:lineRule="exact"/>
              <w:jc w:val="center"/>
              <w:rPr>
                <w:color w:val="auto"/>
                <w:spacing w:val="-4"/>
                <w:sz w:val="18"/>
                <w:szCs w:val="18"/>
              </w:rPr>
            </w:pPr>
            <w:r>
              <w:rPr>
                <w:color w:val="auto"/>
                <w:spacing w:val="-4"/>
                <w:sz w:val="18"/>
                <w:szCs w:val="18"/>
              </w:rPr>
              <w:t>3.10</w:t>
            </w:r>
          </w:p>
        </w:tc>
        <w:tc>
          <w:tcPr>
            <w:tcW w:w="1304" w:type="dxa"/>
          </w:tcPr>
          <w:p w14:paraId="7EB9C538">
            <w:pPr>
              <w:spacing w:line="350" w:lineRule="exact"/>
              <w:jc w:val="center"/>
              <w:rPr>
                <w:color w:val="auto"/>
                <w:spacing w:val="-4"/>
                <w:sz w:val="18"/>
                <w:szCs w:val="18"/>
              </w:rPr>
            </w:pPr>
            <w:r>
              <w:rPr>
                <w:color w:val="auto"/>
                <w:spacing w:val="-4"/>
                <w:sz w:val="18"/>
                <w:szCs w:val="18"/>
              </w:rPr>
              <w:t>3.00</w:t>
            </w:r>
          </w:p>
        </w:tc>
        <w:tc>
          <w:tcPr>
            <w:tcW w:w="1366" w:type="dxa"/>
          </w:tcPr>
          <w:p w14:paraId="2B62C0BA">
            <w:pPr>
              <w:spacing w:line="350" w:lineRule="exact"/>
              <w:jc w:val="center"/>
              <w:rPr>
                <w:color w:val="auto"/>
                <w:spacing w:val="-4"/>
                <w:sz w:val="18"/>
                <w:szCs w:val="18"/>
              </w:rPr>
            </w:pPr>
            <w:r>
              <w:rPr>
                <w:color w:val="auto"/>
                <w:spacing w:val="-4"/>
                <w:sz w:val="18"/>
                <w:szCs w:val="18"/>
              </w:rPr>
              <w:t>3.00</w:t>
            </w:r>
          </w:p>
        </w:tc>
      </w:tr>
      <w:tr w14:paraId="7A85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969" w:type="dxa"/>
            <w:vAlign w:val="center"/>
          </w:tcPr>
          <w:p w14:paraId="390213D1">
            <w:pPr>
              <w:spacing w:line="350" w:lineRule="exact"/>
              <w:jc w:val="center"/>
              <w:rPr>
                <w:color w:val="auto"/>
                <w:spacing w:val="-4"/>
                <w:sz w:val="18"/>
                <w:szCs w:val="18"/>
              </w:rPr>
            </w:pPr>
            <w:r>
              <w:rPr>
                <w:color w:val="auto"/>
                <w:spacing w:val="-4"/>
                <w:sz w:val="18"/>
                <w:szCs w:val="18"/>
              </w:rPr>
              <w:t>大气影响急剧层深度（m）</w:t>
            </w:r>
          </w:p>
        </w:tc>
        <w:tc>
          <w:tcPr>
            <w:tcW w:w="1286" w:type="dxa"/>
          </w:tcPr>
          <w:p w14:paraId="21CC7403">
            <w:pPr>
              <w:spacing w:line="350" w:lineRule="exact"/>
              <w:jc w:val="center"/>
              <w:rPr>
                <w:color w:val="auto"/>
                <w:spacing w:val="-4"/>
                <w:sz w:val="18"/>
                <w:szCs w:val="18"/>
              </w:rPr>
            </w:pPr>
            <w:r>
              <w:rPr>
                <w:color w:val="auto"/>
                <w:spacing w:val="-4"/>
                <w:sz w:val="18"/>
                <w:szCs w:val="18"/>
              </w:rPr>
              <w:t>1.45</w:t>
            </w:r>
          </w:p>
        </w:tc>
        <w:tc>
          <w:tcPr>
            <w:tcW w:w="1221" w:type="dxa"/>
          </w:tcPr>
          <w:p w14:paraId="3E5C56DF">
            <w:pPr>
              <w:spacing w:line="350" w:lineRule="exact"/>
              <w:jc w:val="center"/>
              <w:rPr>
                <w:color w:val="auto"/>
                <w:spacing w:val="-4"/>
                <w:sz w:val="18"/>
                <w:szCs w:val="18"/>
              </w:rPr>
            </w:pPr>
            <w:r>
              <w:rPr>
                <w:color w:val="auto"/>
                <w:spacing w:val="-4"/>
                <w:sz w:val="18"/>
                <w:szCs w:val="18"/>
              </w:rPr>
              <w:t>1.40</w:t>
            </w:r>
          </w:p>
        </w:tc>
        <w:tc>
          <w:tcPr>
            <w:tcW w:w="1304" w:type="dxa"/>
          </w:tcPr>
          <w:p w14:paraId="3FED95E6">
            <w:pPr>
              <w:spacing w:line="350" w:lineRule="exact"/>
              <w:jc w:val="center"/>
              <w:rPr>
                <w:color w:val="auto"/>
                <w:spacing w:val="-4"/>
                <w:sz w:val="18"/>
                <w:szCs w:val="18"/>
              </w:rPr>
            </w:pPr>
            <w:r>
              <w:rPr>
                <w:color w:val="auto"/>
                <w:spacing w:val="-4"/>
                <w:sz w:val="18"/>
                <w:szCs w:val="18"/>
              </w:rPr>
              <w:t>1.35</w:t>
            </w:r>
          </w:p>
        </w:tc>
        <w:tc>
          <w:tcPr>
            <w:tcW w:w="1366" w:type="dxa"/>
          </w:tcPr>
          <w:p w14:paraId="6252B0F7">
            <w:pPr>
              <w:spacing w:line="350" w:lineRule="exact"/>
              <w:jc w:val="center"/>
              <w:rPr>
                <w:color w:val="auto"/>
                <w:spacing w:val="-4"/>
                <w:sz w:val="18"/>
                <w:szCs w:val="18"/>
              </w:rPr>
            </w:pPr>
            <w:r>
              <w:rPr>
                <w:color w:val="auto"/>
                <w:spacing w:val="-4"/>
                <w:sz w:val="18"/>
                <w:szCs w:val="18"/>
              </w:rPr>
              <w:t>1.35</w:t>
            </w:r>
          </w:p>
        </w:tc>
      </w:tr>
    </w:tbl>
    <w:p w14:paraId="107C4525">
      <w:pPr>
        <w:adjustRightInd w:val="0"/>
        <w:snapToGrid w:val="0"/>
        <w:spacing w:before="240" w:line="340" w:lineRule="atLeast"/>
        <w:rPr>
          <w:color w:val="auto"/>
          <w:kern w:val="0"/>
          <w:szCs w:val="21"/>
        </w:rPr>
      </w:pPr>
      <w:r>
        <w:rPr>
          <w:b/>
          <w:color w:val="auto"/>
          <w:szCs w:val="21"/>
        </w:rPr>
        <w:t xml:space="preserve">11.1.15  </w:t>
      </w:r>
      <w:r>
        <w:rPr>
          <w:color w:val="auto"/>
          <w:kern w:val="0"/>
          <w:szCs w:val="21"/>
        </w:rPr>
        <w:t>地基土的胀缩变形量应按</w:t>
      </w:r>
      <w:r>
        <w:rPr>
          <w:rFonts w:hint="eastAsia"/>
          <w:color w:val="auto"/>
          <w:lang w:val="en-US" w:eastAsia="zh-CN"/>
        </w:rPr>
        <w:t>公式（65）</w:t>
      </w:r>
      <w:r>
        <w:rPr>
          <w:color w:val="auto"/>
          <w:kern w:val="0"/>
          <w:szCs w:val="21"/>
        </w:rPr>
        <w:t>计算：</w:t>
      </w:r>
    </w:p>
    <w:p w14:paraId="62DE1900">
      <w:pPr>
        <w:pStyle w:val="12"/>
        <w:jc w:val="right"/>
        <w:rPr>
          <w:color w:val="auto"/>
          <w:kern w:val="0"/>
          <w:szCs w:val="21"/>
        </w:rPr>
      </w:pPr>
      <w:r>
        <w:rPr>
          <w:color w:val="auto"/>
          <w:kern w:val="0"/>
          <w:position w:val="-28"/>
          <w:szCs w:val="21"/>
        </w:rPr>
        <w:object>
          <v:shape id="_x0000_i1329" o:spt="75" type="#_x0000_t75" style="height:36.75pt;width:144pt;" o:ole="t" filled="f" o:preferrelative="t" stroked="f" coordsize="21600,21600">
            <v:path/>
            <v:fill on="f" focussize="0,0"/>
            <v:stroke on="f" joinstyle="miter"/>
            <v:imagedata r:id="rId595" o:title=""/>
            <o:lock v:ext="edit" aspectratio="t"/>
            <w10:wrap type="none"/>
            <w10:anchorlock/>
          </v:shape>
          <o:OLEObject Type="Embed" ProgID="Equation.3" ShapeID="_x0000_i1329" DrawAspect="Content" ObjectID="_1468076029" r:id="rId594">
            <o:LockedField>false</o:LockedField>
          </o:OLEObject>
        </w:object>
      </w:r>
      <w:r>
        <w:rPr>
          <w:color w:val="auto"/>
          <w:kern w:val="0"/>
          <w:szCs w:val="21"/>
        </w:rPr>
        <w:t xml:space="preserve">                      (</w:t>
      </w:r>
      <w:r>
        <w:rPr>
          <w:color w:val="auto"/>
          <w:kern w:val="0"/>
          <w:szCs w:val="21"/>
        </w:rPr>
        <w:fldChar w:fldCharType="begin"/>
      </w:r>
      <w:r>
        <w:rPr>
          <w:color w:val="auto"/>
          <w:kern w:val="0"/>
          <w:szCs w:val="21"/>
        </w:rPr>
        <w:instrText xml:space="preserve"> SEQ Equation \* ARABIC </w:instrText>
      </w:r>
      <w:r>
        <w:rPr>
          <w:color w:val="auto"/>
          <w:kern w:val="0"/>
          <w:szCs w:val="21"/>
        </w:rPr>
        <w:fldChar w:fldCharType="separate"/>
      </w:r>
      <w:r>
        <w:rPr>
          <w:color w:val="auto"/>
          <w:kern w:val="0"/>
          <w:szCs w:val="21"/>
        </w:rPr>
        <w:t>65</w:t>
      </w:r>
      <w:r>
        <w:rPr>
          <w:color w:val="auto"/>
          <w:kern w:val="0"/>
          <w:szCs w:val="21"/>
        </w:rPr>
        <w:fldChar w:fldCharType="end"/>
      </w:r>
      <w:r>
        <w:rPr>
          <w:color w:val="auto"/>
          <w:kern w:val="0"/>
          <w:szCs w:val="21"/>
        </w:rPr>
        <w:t>)</w:t>
      </w:r>
    </w:p>
    <w:p w14:paraId="128BDA5C">
      <w:pPr>
        <w:tabs>
          <w:tab w:val="left" w:pos="1998"/>
        </w:tabs>
        <w:adjustRightInd w:val="0"/>
        <w:snapToGrid w:val="0"/>
        <w:spacing w:line="340" w:lineRule="atLeast"/>
        <w:jc w:val="left"/>
        <w:rPr>
          <w:color w:val="auto"/>
          <w:kern w:val="0"/>
          <w:szCs w:val="21"/>
        </w:rPr>
      </w:pPr>
      <w:r>
        <w:rPr>
          <w:color w:val="auto"/>
          <w:kern w:val="0"/>
          <w:szCs w:val="21"/>
        </w:rPr>
        <w:t>式中</w:t>
      </w:r>
      <w:r>
        <w:rPr>
          <w:rFonts w:hint="eastAsia"/>
          <w:color w:val="auto"/>
          <w:szCs w:val="21"/>
        </w:rPr>
        <w:t xml:space="preserve">  </w:t>
      </w:r>
      <w:r>
        <w:rPr>
          <w:color w:val="auto"/>
          <w:position w:val="-12"/>
          <w:szCs w:val="21"/>
        </w:rPr>
        <w:object>
          <v:shape id="_x0000_i1330" o:spt="75" type="#_x0000_t75" style="height:21.75pt;width:15pt;" o:ole="t" filled="f" o:preferrelative="t" stroked="f" coordsize="21600,21600">
            <v:path/>
            <v:fill on="f" focussize="0,0"/>
            <v:stroke on="f" joinstyle="miter"/>
            <v:imagedata r:id="rId597" o:title=""/>
            <o:lock v:ext="edit" aspectratio="t"/>
            <w10:wrap type="none"/>
            <w10:anchorlock/>
          </v:shape>
          <o:OLEObject Type="Embed" ProgID="Equation.3" ShapeID="_x0000_i1330" DrawAspect="Content" ObjectID="_1468076030" r:id="rId596">
            <o:LockedField>false</o:LockedField>
          </o:OLEObject>
        </w:object>
      </w:r>
      <w:r>
        <w:rPr>
          <w:color w:val="auto"/>
          <w:szCs w:val="21"/>
        </w:rPr>
        <w:t>——</w:t>
      </w:r>
      <w:r>
        <w:rPr>
          <w:color w:val="auto"/>
          <w:kern w:val="0"/>
          <w:szCs w:val="21"/>
        </w:rPr>
        <w:t>地基土的胀缩变形量（</w:t>
      </w:r>
      <w:r>
        <w:rPr>
          <w:color w:val="auto"/>
          <w:szCs w:val="21"/>
        </w:rPr>
        <w:t>mm</w:t>
      </w:r>
      <w:r>
        <w:rPr>
          <w:color w:val="auto"/>
          <w:kern w:val="0"/>
          <w:szCs w:val="21"/>
        </w:rPr>
        <w:t>）；</w:t>
      </w:r>
    </w:p>
    <w:p w14:paraId="0F8B6DC5">
      <w:pPr>
        <w:tabs>
          <w:tab w:val="left" w:pos="1998"/>
        </w:tabs>
        <w:adjustRightInd w:val="0"/>
        <w:snapToGrid w:val="0"/>
        <w:spacing w:line="340" w:lineRule="atLeast"/>
        <w:ind w:left="1354" w:leftChars="265" w:hanging="798" w:hangingChars="380"/>
        <w:jc w:val="left"/>
        <w:rPr>
          <w:color w:val="auto"/>
          <w:kern w:val="0"/>
          <w:szCs w:val="21"/>
        </w:rPr>
      </w:pPr>
      <w:r>
        <w:rPr>
          <w:color w:val="auto"/>
          <w:position w:val="-12"/>
          <w:szCs w:val="21"/>
        </w:rPr>
        <w:object>
          <v:shape id="_x0000_i1331" o:spt="75" type="#_x0000_t75" style="height:15pt;width:15pt;" o:ole="t" filled="f" o:preferrelative="t" stroked="f" coordsize="21600,21600">
            <v:path/>
            <v:fill on="f" focussize="0,0"/>
            <v:stroke on="f" joinstyle="miter"/>
            <v:imagedata r:id="rId599" o:title=""/>
            <o:lock v:ext="edit" aspectratio="t"/>
            <w10:wrap type="none"/>
            <w10:anchorlock/>
          </v:shape>
          <o:OLEObject Type="Embed" ProgID="Equation.3" ShapeID="_x0000_i1331" DrawAspect="Content" ObjectID="_1468076031" r:id="rId598">
            <o:LockedField>false</o:LockedField>
          </o:OLEObject>
        </w:object>
      </w:r>
      <w:r>
        <w:rPr>
          <w:color w:val="auto"/>
          <w:szCs w:val="21"/>
        </w:rPr>
        <w:t>——</w:t>
      </w:r>
      <w:r>
        <w:rPr>
          <w:color w:val="auto"/>
          <w:kern w:val="0"/>
          <w:szCs w:val="21"/>
        </w:rPr>
        <w:t>计算胀缩变形量的经验系数，宜根据当地经验确定，无可依据经验时，三层及三层以下可取0.7。</w:t>
      </w:r>
    </w:p>
    <w:p w14:paraId="1BDE179E">
      <w:pPr>
        <w:adjustRightInd w:val="0"/>
        <w:snapToGrid w:val="0"/>
        <w:spacing w:line="340" w:lineRule="atLeast"/>
        <w:ind w:right="482"/>
        <w:rPr>
          <w:bCs/>
          <w:color w:val="auto"/>
          <w:szCs w:val="21"/>
        </w:rPr>
      </w:pPr>
      <w:r>
        <w:rPr>
          <w:b/>
          <w:color w:val="auto"/>
          <w:szCs w:val="21"/>
        </w:rPr>
        <w:t>11.1.16</w:t>
      </w:r>
      <w:r>
        <w:rPr>
          <w:b/>
          <w:bCs/>
          <w:color w:val="auto"/>
          <w:szCs w:val="21"/>
        </w:rPr>
        <w:t xml:space="preserve">  </w:t>
      </w:r>
      <w:r>
        <w:rPr>
          <w:bCs/>
          <w:color w:val="auto"/>
          <w:szCs w:val="21"/>
        </w:rPr>
        <w:t>膨胀土地基变形量取值，应符合下列规定：</w:t>
      </w:r>
    </w:p>
    <w:p w14:paraId="21469C45">
      <w:pPr>
        <w:adjustRightInd w:val="0"/>
        <w:snapToGrid w:val="0"/>
        <w:spacing w:line="340" w:lineRule="atLeast"/>
        <w:ind w:right="480" w:firstLine="413" w:firstLineChars="196"/>
        <w:rPr>
          <w:bCs/>
          <w:color w:val="auto"/>
          <w:szCs w:val="21"/>
        </w:rPr>
      </w:pPr>
      <w:r>
        <w:rPr>
          <w:b/>
          <w:color w:val="auto"/>
          <w:szCs w:val="21"/>
        </w:rPr>
        <w:t>a)</w:t>
      </w:r>
      <w:r>
        <w:rPr>
          <w:bCs/>
          <w:color w:val="auto"/>
          <w:szCs w:val="21"/>
        </w:rPr>
        <w:t xml:space="preserve">  膨胀变形量应取基础的最大膨胀上升量；</w:t>
      </w:r>
    </w:p>
    <w:p w14:paraId="58E528EF">
      <w:pPr>
        <w:adjustRightInd w:val="0"/>
        <w:snapToGrid w:val="0"/>
        <w:spacing w:line="340" w:lineRule="atLeast"/>
        <w:ind w:right="480" w:firstLine="422" w:firstLineChars="200"/>
        <w:rPr>
          <w:bCs/>
          <w:color w:val="auto"/>
          <w:szCs w:val="21"/>
        </w:rPr>
      </w:pPr>
      <w:r>
        <w:rPr>
          <w:b/>
          <w:color w:val="auto"/>
          <w:szCs w:val="21"/>
        </w:rPr>
        <w:t>b)</w:t>
      </w:r>
      <w:r>
        <w:rPr>
          <w:bCs/>
          <w:color w:val="auto"/>
          <w:szCs w:val="21"/>
        </w:rPr>
        <w:t xml:space="preserve">  收缩变形量应取基础的最大收缩下沉量；</w:t>
      </w:r>
    </w:p>
    <w:p w14:paraId="011E6025">
      <w:pPr>
        <w:adjustRightInd w:val="0"/>
        <w:snapToGrid w:val="0"/>
        <w:spacing w:line="340" w:lineRule="atLeast"/>
        <w:ind w:right="480" w:firstLine="422" w:firstLineChars="200"/>
        <w:rPr>
          <w:bCs/>
          <w:color w:val="auto"/>
          <w:szCs w:val="21"/>
        </w:rPr>
      </w:pPr>
      <w:r>
        <w:rPr>
          <w:b/>
          <w:color w:val="auto"/>
          <w:szCs w:val="21"/>
        </w:rPr>
        <w:t>c)</w:t>
      </w:r>
      <w:r>
        <w:rPr>
          <w:bCs/>
          <w:color w:val="auto"/>
          <w:szCs w:val="21"/>
        </w:rPr>
        <w:t xml:space="preserve">  胀缩变形量应取基础的最大</w:t>
      </w:r>
      <w:r>
        <w:rPr>
          <w:color w:val="auto"/>
          <w:kern w:val="0"/>
          <w:szCs w:val="21"/>
        </w:rPr>
        <w:t>胀缩变形量</w:t>
      </w:r>
      <w:r>
        <w:rPr>
          <w:bCs/>
          <w:color w:val="auto"/>
          <w:szCs w:val="21"/>
        </w:rPr>
        <w:t>；</w:t>
      </w:r>
    </w:p>
    <w:p w14:paraId="33DCC7B1">
      <w:pPr>
        <w:adjustRightInd w:val="0"/>
        <w:snapToGrid w:val="0"/>
        <w:spacing w:line="340" w:lineRule="atLeast"/>
        <w:ind w:right="480" w:firstLine="422" w:firstLineChars="200"/>
        <w:rPr>
          <w:bCs/>
          <w:color w:val="auto"/>
          <w:szCs w:val="21"/>
        </w:rPr>
      </w:pPr>
      <w:r>
        <w:rPr>
          <w:b/>
          <w:color w:val="auto"/>
          <w:szCs w:val="21"/>
        </w:rPr>
        <w:t>d)</w:t>
      </w:r>
      <w:r>
        <w:rPr>
          <w:bCs/>
          <w:color w:val="auto"/>
          <w:szCs w:val="21"/>
        </w:rPr>
        <w:t xml:space="preserve">  变形差应取相邻两基础的变形量之差；</w:t>
      </w:r>
    </w:p>
    <w:p w14:paraId="16EDD26F">
      <w:pPr>
        <w:adjustRightInd w:val="0"/>
        <w:snapToGrid w:val="0"/>
        <w:spacing w:line="340" w:lineRule="atLeast"/>
        <w:ind w:right="-12" w:firstLine="422" w:firstLineChars="200"/>
        <w:rPr>
          <w:color w:val="auto"/>
          <w:szCs w:val="21"/>
        </w:rPr>
      </w:pPr>
      <w:r>
        <w:rPr>
          <w:b/>
          <w:color w:val="auto"/>
          <w:szCs w:val="21"/>
        </w:rPr>
        <w:t>e)</w:t>
      </w:r>
      <w:r>
        <w:rPr>
          <w:bCs/>
          <w:color w:val="auto"/>
          <w:szCs w:val="21"/>
        </w:rPr>
        <w:t xml:space="preserve">  局部倾斜应取砌体承重结构沿纵墙6m～10m内基础两点的变形量之差与其距离的比值。</w:t>
      </w:r>
    </w:p>
    <w:p w14:paraId="4CA38545">
      <w:pPr>
        <w:adjustRightInd w:val="0"/>
        <w:snapToGrid w:val="0"/>
        <w:spacing w:line="340" w:lineRule="atLeast"/>
        <w:ind w:right="-28"/>
        <w:rPr>
          <w:rFonts w:ascii="黑体" w:eastAsia="黑体"/>
          <w:b/>
          <w:color w:val="auto"/>
          <w:szCs w:val="21"/>
        </w:rPr>
      </w:pPr>
      <w:r>
        <w:rPr>
          <w:b/>
          <w:color w:val="auto"/>
        </w:rPr>
        <w:t>11.1.17</w:t>
      </w:r>
      <w:r>
        <w:rPr>
          <w:b/>
          <w:bCs/>
          <w:color w:val="auto"/>
        </w:rPr>
        <w:t xml:space="preserve"> </w:t>
      </w:r>
      <w:r>
        <w:rPr>
          <w:rFonts w:hint="eastAsia" w:ascii="黑体" w:eastAsia="黑体"/>
          <w:b/>
          <w:bCs/>
          <w:color w:val="auto"/>
        </w:rPr>
        <w:t xml:space="preserve"> </w:t>
      </w:r>
      <w:r>
        <w:rPr>
          <w:rFonts w:hint="eastAsia"/>
          <w:color w:val="auto"/>
          <w:szCs w:val="21"/>
        </w:rPr>
        <w:t>建筑物的地基变形计算值，不应大于地基变形允许值。地基变形允许值应符合表</w:t>
      </w:r>
      <w:r>
        <w:rPr>
          <w:color w:val="auto"/>
          <w:szCs w:val="21"/>
        </w:rPr>
        <w:t>49</w:t>
      </w:r>
      <w:r>
        <w:rPr>
          <w:rFonts w:hint="eastAsia"/>
          <w:color w:val="auto"/>
          <w:szCs w:val="21"/>
        </w:rPr>
        <w:t>的规定。表中未包括的建筑物，应根据上部结构对地基变形的适应能力及功能要求确定。</w:t>
      </w:r>
    </w:p>
    <w:p w14:paraId="6B2583D7">
      <w:pPr>
        <w:snapToGrid w:val="0"/>
        <w:spacing w:before="240" w:line="340" w:lineRule="atLeast"/>
        <w:ind w:firstLine="211" w:firstLineChars="100"/>
        <w:jc w:val="center"/>
        <w:rPr>
          <w:rFonts w:eastAsia="黑体"/>
          <w:b/>
          <w:bCs/>
          <w:color w:val="auto"/>
          <w:szCs w:val="21"/>
        </w:rPr>
      </w:pPr>
      <w:r>
        <w:rPr>
          <w:rFonts w:eastAsia="黑体"/>
          <w:b/>
          <w:bCs/>
          <w:color w:val="auto"/>
          <w:szCs w:val="21"/>
        </w:rPr>
        <w:t>表49   建筑物地基变形允许值</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2"/>
        <w:gridCol w:w="1702"/>
        <w:gridCol w:w="1603"/>
        <w:gridCol w:w="1529"/>
      </w:tblGrid>
      <w:tr w14:paraId="3C2F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72" w:type="dxa"/>
            <w:vMerge w:val="restart"/>
            <w:vAlign w:val="center"/>
          </w:tcPr>
          <w:p w14:paraId="1867195E">
            <w:pPr>
              <w:adjustRightInd w:val="0"/>
              <w:snapToGrid w:val="0"/>
              <w:spacing w:line="240" w:lineRule="atLeast"/>
              <w:jc w:val="center"/>
              <w:rPr>
                <w:color w:val="auto"/>
                <w:szCs w:val="21"/>
              </w:rPr>
            </w:pPr>
            <w:r>
              <w:rPr>
                <w:color w:val="auto"/>
                <w:szCs w:val="21"/>
              </w:rPr>
              <w:t>结构类型</w:t>
            </w:r>
          </w:p>
        </w:tc>
        <w:tc>
          <w:tcPr>
            <w:tcW w:w="3305" w:type="dxa"/>
            <w:gridSpan w:val="2"/>
            <w:vAlign w:val="center"/>
          </w:tcPr>
          <w:p w14:paraId="2369E2E6">
            <w:pPr>
              <w:adjustRightInd w:val="0"/>
              <w:snapToGrid w:val="0"/>
              <w:spacing w:line="240" w:lineRule="atLeast"/>
              <w:jc w:val="center"/>
              <w:rPr>
                <w:color w:val="auto"/>
                <w:szCs w:val="21"/>
              </w:rPr>
            </w:pPr>
            <w:r>
              <w:rPr>
                <w:color w:val="auto"/>
                <w:szCs w:val="21"/>
              </w:rPr>
              <w:t>相对变形</w:t>
            </w:r>
          </w:p>
        </w:tc>
        <w:tc>
          <w:tcPr>
            <w:tcW w:w="1529" w:type="dxa"/>
            <w:vMerge w:val="restart"/>
            <w:vAlign w:val="center"/>
          </w:tcPr>
          <w:p w14:paraId="33D1CF68">
            <w:pPr>
              <w:adjustRightInd w:val="0"/>
              <w:snapToGrid w:val="0"/>
              <w:spacing w:line="240" w:lineRule="atLeast"/>
              <w:jc w:val="center"/>
              <w:rPr>
                <w:color w:val="auto"/>
                <w:szCs w:val="21"/>
              </w:rPr>
            </w:pPr>
            <w:r>
              <w:rPr>
                <w:color w:val="auto"/>
                <w:szCs w:val="21"/>
              </w:rPr>
              <w:t>变形量</w:t>
            </w:r>
          </w:p>
          <w:p w14:paraId="6925CE74">
            <w:pPr>
              <w:adjustRightInd w:val="0"/>
              <w:snapToGrid w:val="0"/>
              <w:spacing w:line="240" w:lineRule="atLeast"/>
              <w:jc w:val="center"/>
              <w:rPr>
                <w:color w:val="auto"/>
                <w:szCs w:val="21"/>
              </w:rPr>
            </w:pPr>
            <w:r>
              <w:rPr>
                <w:color w:val="auto"/>
                <w:szCs w:val="21"/>
              </w:rPr>
              <w:t>（</w:t>
            </w:r>
            <w:r>
              <w:rPr>
                <w:color w:val="auto"/>
                <w:szCs w:val="21"/>
              </w:rPr>
              <w:object>
                <v:shape id="_x0000_i1332" o:spt="75" type="#_x0000_t75" style="height:8.25pt;width:15pt;" o:ole="t" filled="f" o:preferrelative="t" stroked="f" coordsize="21600,21600">
                  <v:path/>
                  <v:fill on="f" focussize="0,0"/>
                  <v:stroke on="f" joinstyle="miter"/>
                  <v:imagedata r:id="rId601" o:title=""/>
                  <o:lock v:ext="edit" aspectratio="t"/>
                  <w10:wrap type="none"/>
                  <w10:anchorlock/>
                </v:shape>
                <o:OLEObject Type="Embed" ProgID="Equation.3" ShapeID="_x0000_i1332" DrawAspect="Content" ObjectID="_1468076032" r:id="rId600">
                  <o:LockedField>false</o:LockedField>
                </o:OLEObject>
              </w:object>
            </w:r>
            <w:r>
              <w:rPr>
                <w:color w:val="auto"/>
                <w:szCs w:val="21"/>
              </w:rPr>
              <w:t>）</w:t>
            </w:r>
          </w:p>
        </w:tc>
      </w:tr>
      <w:tr w14:paraId="073F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72" w:type="dxa"/>
            <w:vMerge w:val="continue"/>
            <w:vAlign w:val="center"/>
          </w:tcPr>
          <w:p w14:paraId="03838B02">
            <w:pPr>
              <w:adjustRightInd w:val="0"/>
              <w:snapToGrid w:val="0"/>
              <w:spacing w:line="340" w:lineRule="atLeast"/>
              <w:jc w:val="center"/>
              <w:rPr>
                <w:color w:val="auto"/>
                <w:szCs w:val="21"/>
              </w:rPr>
            </w:pPr>
          </w:p>
        </w:tc>
        <w:tc>
          <w:tcPr>
            <w:tcW w:w="1702" w:type="dxa"/>
            <w:vAlign w:val="center"/>
          </w:tcPr>
          <w:p w14:paraId="1D988CE7">
            <w:pPr>
              <w:adjustRightInd w:val="0"/>
              <w:snapToGrid w:val="0"/>
              <w:spacing w:line="240" w:lineRule="atLeast"/>
              <w:jc w:val="center"/>
              <w:rPr>
                <w:color w:val="auto"/>
                <w:szCs w:val="21"/>
              </w:rPr>
            </w:pPr>
            <w:r>
              <w:rPr>
                <w:color w:val="auto"/>
                <w:szCs w:val="21"/>
              </w:rPr>
              <w:t>种类</w:t>
            </w:r>
          </w:p>
        </w:tc>
        <w:tc>
          <w:tcPr>
            <w:tcW w:w="1603" w:type="dxa"/>
            <w:vAlign w:val="center"/>
          </w:tcPr>
          <w:p w14:paraId="237EE936">
            <w:pPr>
              <w:adjustRightInd w:val="0"/>
              <w:snapToGrid w:val="0"/>
              <w:spacing w:line="240" w:lineRule="atLeast"/>
              <w:ind w:right="-73" w:rightChars="-35"/>
              <w:jc w:val="center"/>
              <w:rPr>
                <w:color w:val="auto"/>
                <w:szCs w:val="21"/>
              </w:rPr>
            </w:pPr>
            <w:r>
              <w:rPr>
                <w:color w:val="auto"/>
                <w:szCs w:val="21"/>
              </w:rPr>
              <w:t>数值</w:t>
            </w:r>
          </w:p>
        </w:tc>
        <w:tc>
          <w:tcPr>
            <w:tcW w:w="1529" w:type="dxa"/>
            <w:vMerge w:val="continue"/>
          </w:tcPr>
          <w:p w14:paraId="4647A68E">
            <w:pPr>
              <w:adjustRightInd w:val="0"/>
              <w:snapToGrid w:val="0"/>
              <w:spacing w:line="340" w:lineRule="atLeast"/>
              <w:rPr>
                <w:color w:val="auto"/>
                <w:szCs w:val="21"/>
              </w:rPr>
            </w:pPr>
          </w:p>
        </w:tc>
      </w:tr>
      <w:tr w14:paraId="3C46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2" w:type="dxa"/>
            <w:vAlign w:val="center"/>
          </w:tcPr>
          <w:p w14:paraId="67DED979">
            <w:pPr>
              <w:adjustRightInd w:val="0"/>
              <w:snapToGrid w:val="0"/>
              <w:spacing w:line="340" w:lineRule="atLeast"/>
              <w:rPr>
                <w:color w:val="auto"/>
                <w:szCs w:val="21"/>
              </w:rPr>
            </w:pPr>
            <w:r>
              <w:rPr>
                <w:color w:val="auto"/>
                <w:szCs w:val="21"/>
              </w:rPr>
              <w:t>砌体结构</w:t>
            </w:r>
          </w:p>
        </w:tc>
        <w:tc>
          <w:tcPr>
            <w:tcW w:w="1702" w:type="dxa"/>
            <w:vAlign w:val="center"/>
          </w:tcPr>
          <w:p w14:paraId="0D4355F5">
            <w:pPr>
              <w:adjustRightInd w:val="0"/>
              <w:snapToGrid w:val="0"/>
              <w:spacing w:line="340" w:lineRule="atLeast"/>
              <w:jc w:val="center"/>
              <w:rPr>
                <w:color w:val="auto"/>
                <w:szCs w:val="21"/>
              </w:rPr>
            </w:pPr>
            <w:r>
              <w:rPr>
                <w:color w:val="auto"/>
                <w:szCs w:val="21"/>
              </w:rPr>
              <w:t>局部倾斜</w:t>
            </w:r>
          </w:p>
        </w:tc>
        <w:tc>
          <w:tcPr>
            <w:tcW w:w="1603" w:type="dxa"/>
            <w:vAlign w:val="center"/>
          </w:tcPr>
          <w:p w14:paraId="2CB72FD0">
            <w:pPr>
              <w:adjustRightInd w:val="0"/>
              <w:snapToGrid w:val="0"/>
              <w:spacing w:line="340" w:lineRule="atLeast"/>
              <w:jc w:val="center"/>
              <w:rPr>
                <w:color w:val="auto"/>
                <w:szCs w:val="21"/>
              </w:rPr>
            </w:pPr>
            <w:r>
              <w:rPr>
                <w:color w:val="auto"/>
                <w:szCs w:val="21"/>
              </w:rPr>
              <w:t>0.001</w:t>
            </w:r>
          </w:p>
        </w:tc>
        <w:tc>
          <w:tcPr>
            <w:tcW w:w="1529" w:type="dxa"/>
            <w:vAlign w:val="center"/>
          </w:tcPr>
          <w:p w14:paraId="0342C37C">
            <w:pPr>
              <w:adjustRightInd w:val="0"/>
              <w:snapToGrid w:val="0"/>
              <w:spacing w:line="340" w:lineRule="atLeast"/>
              <w:jc w:val="center"/>
              <w:rPr>
                <w:color w:val="auto"/>
                <w:szCs w:val="21"/>
              </w:rPr>
            </w:pPr>
            <w:r>
              <w:rPr>
                <w:color w:val="auto"/>
                <w:szCs w:val="21"/>
              </w:rPr>
              <w:t>15</w:t>
            </w:r>
          </w:p>
        </w:tc>
      </w:tr>
      <w:tr w14:paraId="074C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2" w:type="dxa"/>
            <w:tcBorders>
              <w:bottom w:val="single" w:color="auto" w:sz="4" w:space="0"/>
            </w:tcBorders>
            <w:vAlign w:val="center"/>
          </w:tcPr>
          <w:p w14:paraId="35BE4329">
            <w:pPr>
              <w:adjustRightInd w:val="0"/>
              <w:snapToGrid w:val="0"/>
              <w:spacing w:line="240" w:lineRule="atLeast"/>
              <w:rPr>
                <w:color w:val="auto"/>
                <w:szCs w:val="21"/>
              </w:rPr>
            </w:pPr>
            <w:r>
              <w:rPr>
                <w:color w:val="auto"/>
                <w:szCs w:val="21"/>
              </w:rPr>
              <w:t>房屋长度三到四开间及四角有构造柱或配筋砌体承重结构</w:t>
            </w:r>
          </w:p>
        </w:tc>
        <w:tc>
          <w:tcPr>
            <w:tcW w:w="1702" w:type="dxa"/>
            <w:tcBorders>
              <w:bottom w:val="single" w:color="auto" w:sz="4" w:space="0"/>
            </w:tcBorders>
            <w:vAlign w:val="center"/>
          </w:tcPr>
          <w:p w14:paraId="180ABBD1">
            <w:pPr>
              <w:adjustRightInd w:val="0"/>
              <w:snapToGrid w:val="0"/>
              <w:spacing w:line="240" w:lineRule="atLeast"/>
              <w:jc w:val="center"/>
              <w:rPr>
                <w:color w:val="auto"/>
                <w:szCs w:val="21"/>
              </w:rPr>
            </w:pPr>
            <w:r>
              <w:rPr>
                <w:color w:val="auto"/>
                <w:szCs w:val="21"/>
              </w:rPr>
              <w:t>局部倾斜</w:t>
            </w:r>
          </w:p>
        </w:tc>
        <w:tc>
          <w:tcPr>
            <w:tcW w:w="1603" w:type="dxa"/>
            <w:tcBorders>
              <w:bottom w:val="single" w:color="auto" w:sz="4" w:space="0"/>
            </w:tcBorders>
            <w:vAlign w:val="center"/>
          </w:tcPr>
          <w:p w14:paraId="3246D11F">
            <w:pPr>
              <w:adjustRightInd w:val="0"/>
              <w:snapToGrid w:val="0"/>
              <w:spacing w:line="240" w:lineRule="atLeast"/>
              <w:jc w:val="center"/>
              <w:rPr>
                <w:color w:val="auto"/>
                <w:szCs w:val="21"/>
              </w:rPr>
            </w:pPr>
            <w:r>
              <w:rPr>
                <w:color w:val="auto"/>
                <w:szCs w:val="21"/>
              </w:rPr>
              <w:t>0.0015</w:t>
            </w:r>
          </w:p>
        </w:tc>
        <w:tc>
          <w:tcPr>
            <w:tcW w:w="1529" w:type="dxa"/>
            <w:tcBorders>
              <w:bottom w:val="single" w:color="auto" w:sz="4" w:space="0"/>
            </w:tcBorders>
            <w:vAlign w:val="center"/>
          </w:tcPr>
          <w:p w14:paraId="15A6479D">
            <w:pPr>
              <w:adjustRightInd w:val="0"/>
              <w:snapToGrid w:val="0"/>
              <w:spacing w:line="240" w:lineRule="atLeast"/>
              <w:jc w:val="center"/>
              <w:rPr>
                <w:color w:val="auto"/>
                <w:szCs w:val="21"/>
              </w:rPr>
            </w:pPr>
            <w:r>
              <w:rPr>
                <w:color w:val="auto"/>
                <w:szCs w:val="21"/>
              </w:rPr>
              <w:t>30</w:t>
            </w:r>
          </w:p>
        </w:tc>
      </w:tr>
      <w:tr w14:paraId="3877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2" w:type="dxa"/>
            <w:tcBorders>
              <w:bottom w:val="nil"/>
            </w:tcBorders>
            <w:vAlign w:val="center"/>
          </w:tcPr>
          <w:p w14:paraId="70FB00B2">
            <w:pPr>
              <w:adjustRightInd w:val="0"/>
              <w:snapToGrid w:val="0"/>
              <w:spacing w:line="240" w:lineRule="atLeast"/>
              <w:rPr>
                <w:color w:val="auto"/>
                <w:szCs w:val="21"/>
              </w:rPr>
            </w:pPr>
            <w:r>
              <w:rPr>
                <w:color w:val="auto"/>
                <w:szCs w:val="21"/>
              </w:rPr>
              <w:t>工业与民用建筑相邻柱基</w:t>
            </w:r>
          </w:p>
          <w:p w14:paraId="5DB5519D">
            <w:pPr>
              <w:adjustRightInd w:val="0"/>
              <w:snapToGrid w:val="0"/>
              <w:spacing w:line="240" w:lineRule="atLeast"/>
              <w:rPr>
                <w:color w:val="auto"/>
                <w:szCs w:val="21"/>
              </w:rPr>
            </w:pPr>
            <w:r>
              <w:rPr>
                <w:color w:val="auto"/>
                <w:szCs w:val="21"/>
              </w:rPr>
              <w:t>1  框架结构无填充墙时</w:t>
            </w:r>
          </w:p>
        </w:tc>
        <w:tc>
          <w:tcPr>
            <w:tcW w:w="1702" w:type="dxa"/>
            <w:tcBorders>
              <w:bottom w:val="nil"/>
            </w:tcBorders>
            <w:vAlign w:val="center"/>
          </w:tcPr>
          <w:p w14:paraId="2BF48966">
            <w:pPr>
              <w:adjustRightInd w:val="0"/>
              <w:snapToGrid w:val="0"/>
              <w:spacing w:line="240" w:lineRule="atLeast"/>
              <w:jc w:val="center"/>
              <w:rPr>
                <w:color w:val="auto"/>
                <w:szCs w:val="21"/>
              </w:rPr>
            </w:pPr>
          </w:p>
          <w:p w14:paraId="2C660EBC">
            <w:pPr>
              <w:adjustRightInd w:val="0"/>
              <w:snapToGrid w:val="0"/>
              <w:spacing w:line="240" w:lineRule="atLeast"/>
              <w:jc w:val="center"/>
              <w:rPr>
                <w:color w:val="auto"/>
                <w:szCs w:val="21"/>
              </w:rPr>
            </w:pPr>
            <w:r>
              <w:rPr>
                <w:color w:val="auto"/>
                <w:szCs w:val="21"/>
              </w:rPr>
              <w:t>变形差</w:t>
            </w:r>
          </w:p>
        </w:tc>
        <w:tc>
          <w:tcPr>
            <w:tcW w:w="1603" w:type="dxa"/>
            <w:tcBorders>
              <w:bottom w:val="nil"/>
            </w:tcBorders>
            <w:vAlign w:val="center"/>
          </w:tcPr>
          <w:p w14:paraId="2F94C8B3">
            <w:pPr>
              <w:adjustRightInd w:val="0"/>
              <w:snapToGrid w:val="0"/>
              <w:spacing w:line="240" w:lineRule="atLeast"/>
              <w:jc w:val="center"/>
              <w:rPr>
                <w:color w:val="auto"/>
                <w:szCs w:val="21"/>
              </w:rPr>
            </w:pPr>
          </w:p>
          <w:p w14:paraId="0054A41C">
            <w:pPr>
              <w:adjustRightInd w:val="0"/>
              <w:snapToGrid w:val="0"/>
              <w:spacing w:line="240" w:lineRule="atLeast"/>
              <w:jc w:val="center"/>
              <w:rPr>
                <w:color w:val="auto"/>
                <w:szCs w:val="21"/>
              </w:rPr>
            </w:pPr>
            <w:r>
              <w:rPr>
                <w:color w:val="auto"/>
                <w:szCs w:val="21"/>
              </w:rPr>
              <w:t>0.001</w:t>
            </w:r>
            <w:r>
              <w:rPr>
                <w:rFonts w:hint="eastAsia"/>
                <w:color w:val="auto"/>
                <w:szCs w:val="21"/>
              </w:rPr>
              <w:t xml:space="preserve"> l</w:t>
            </w:r>
          </w:p>
        </w:tc>
        <w:tc>
          <w:tcPr>
            <w:tcW w:w="1529" w:type="dxa"/>
            <w:tcBorders>
              <w:bottom w:val="nil"/>
            </w:tcBorders>
            <w:vAlign w:val="center"/>
          </w:tcPr>
          <w:p w14:paraId="1C763995">
            <w:pPr>
              <w:adjustRightInd w:val="0"/>
              <w:snapToGrid w:val="0"/>
              <w:spacing w:line="240" w:lineRule="atLeast"/>
              <w:jc w:val="center"/>
              <w:rPr>
                <w:color w:val="auto"/>
                <w:szCs w:val="21"/>
              </w:rPr>
            </w:pPr>
          </w:p>
          <w:p w14:paraId="1EAEA90D">
            <w:pPr>
              <w:adjustRightInd w:val="0"/>
              <w:snapToGrid w:val="0"/>
              <w:spacing w:line="240" w:lineRule="atLeast"/>
              <w:jc w:val="center"/>
              <w:rPr>
                <w:color w:val="auto"/>
                <w:szCs w:val="21"/>
              </w:rPr>
            </w:pPr>
            <w:r>
              <w:rPr>
                <w:color w:val="auto"/>
                <w:szCs w:val="21"/>
              </w:rPr>
              <w:t>30</w:t>
            </w:r>
          </w:p>
        </w:tc>
      </w:tr>
      <w:tr w14:paraId="3114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2" w:type="dxa"/>
            <w:tcBorders>
              <w:top w:val="nil"/>
              <w:bottom w:val="nil"/>
            </w:tcBorders>
            <w:vAlign w:val="center"/>
          </w:tcPr>
          <w:p w14:paraId="3318D1C3">
            <w:pPr>
              <w:adjustRightInd w:val="0"/>
              <w:snapToGrid w:val="0"/>
              <w:spacing w:line="240" w:lineRule="atLeast"/>
              <w:rPr>
                <w:color w:val="auto"/>
                <w:szCs w:val="21"/>
              </w:rPr>
            </w:pPr>
            <w:r>
              <w:rPr>
                <w:color w:val="auto"/>
                <w:szCs w:val="21"/>
              </w:rPr>
              <w:t>2  框架结构有填充墙时</w:t>
            </w:r>
          </w:p>
        </w:tc>
        <w:tc>
          <w:tcPr>
            <w:tcW w:w="1702" w:type="dxa"/>
            <w:tcBorders>
              <w:top w:val="nil"/>
              <w:bottom w:val="nil"/>
            </w:tcBorders>
            <w:vAlign w:val="center"/>
          </w:tcPr>
          <w:p w14:paraId="714EFCDC">
            <w:pPr>
              <w:adjustRightInd w:val="0"/>
              <w:snapToGrid w:val="0"/>
              <w:spacing w:line="240" w:lineRule="atLeast"/>
              <w:jc w:val="center"/>
              <w:rPr>
                <w:color w:val="auto"/>
                <w:szCs w:val="21"/>
              </w:rPr>
            </w:pPr>
            <w:r>
              <w:rPr>
                <w:color w:val="auto"/>
                <w:szCs w:val="21"/>
              </w:rPr>
              <w:t>变形差</w:t>
            </w:r>
          </w:p>
        </w:tc>
        <w:tc>
          <w:tcPr>
            <w:tcW w:w="1603" w:type="dxa"/>
            <w:tcBorders>
              <w:top w:val="nil"/>
              <w:bottom w:val="nil"/>
            </w:tcBorders>
            <w:vAlign w:val="center"/>
          </w:tcPr>
          <w:p w14:paraId="48F1B05D">
            <w:pPr>
              <w:adjustRightInd w:val="0"/>
              <w:snapToGrid w:val="0"/>
              <w:spacing w:line="240" w:lineRule="atLeast"/>
              <w:jc w:val="center"/>
              <w:rPr>
                <w:color w:val="auto"/>
                <w:szCs w:val="21"/>
              </w:rPr>
            </w:pPr>
            <w:r>
              <w:rPr>
                <w:color w:val="auto"/>
                <w:szCs w:val="21"/>
              </w:rPr>
              <w:t>0.0005</w:t>
            </w:r>
            <w:r>
              <w:rPr>
                <w:rFonts w:hint="eastAsia"/>
                <w:color w:val="auto"/>
                <w:szCs w:val="21"/>
              </w:rPr>
              <w:t xml:space="preserve"> l</w:t>
            </w:r>
          </w:p>
        </w:tc>
        <w:tc>
          <w:tcPr>
            <w:tcW w:w="1529" w:type="dxa"/>
            <w:tcBorders>
              <w:top w:val="nil"/>
              <w:bottom w:val="nil"/>
            </w:tcBorders>
            <w:vAlign w:val="center"/>
          </w:tcPr>
          <w:p w14:paraId="7387E0B9">
            <w:pPr>
              <w:adjustRightInd w:val="0"/>
              <w:snapToGrid w:val="0"/>
              <w:spacing w:line="240" w:lineRule="atLeast"/>
              <w:jc w:val="center"/>
              <w:rPr>
                <w:color w:val="auto"/>
                <w:szCs w:val="21"/>
              </w:rPr>
            </w:pPr>
            <w:r>
              <w:rPr>
                <w:color w:val="auto"/>
                <w:szCs w:val="21"/>
              </w:rPr>
              <w:t>20</w:t>
            </w:r>
          </w:p>
        </w:tc>
      </w:tr>
      <w:tr w14:paraId="3B0B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2" w:type="dxa"/>
            <w:tcBorders>
              <w:top w:val="nil"/>
              <w:bottom w:val="single" w:color="auto" w:sz="4" w:space="0"/>
            </w:tcBorders>
            <w:vAlign w:val="center"/>
          </w:tcPr>
          <w:p w14:paraId="14F64F8B">
            <w:pPr>
              <w:adjustRightInd w:val="0"/>
              <w:snapToGrid w:val="0"/>
              <w:spacing w:line="240" w:lineRule="atLeast"/>
              <w:ind w:left="323" w:hanging="323" w:hangingChars="154"/>
              <w:rPr>
                <w:color w:val="auto"/>
                <w:szCs w:val="21"/>
              </w:rPr>
            </w:pPr>
            <w:r>
              <w:rPr>
                <w:color w:val="auto"/>
                <w:szCs w:val="21"/>
              </w:rPr>
              <w:t>3  当基础不均匀升降时不产生附加应力的结构</w:t>
            </w:r>
          </w:p>
        </w:tc>
        <w:tc>
          <w:tcPr>
            <w:tcW w:w="1702" w:type="dxa"/>
            <w:tcBorders>
              <w:top w:val="nil"/>
              <w:bottom w:val="single" w:color="auto" w:sz="4" w:space="0"/>
            </w:tcBorders>
            <w:vAlign w:val="center"/>
          </w:tcPr>
          <w:p w14:paraId="1174DD2A">
            <w:pPr>
              <w:adjustRightInd w:val="0"/>
              <w:snapToGrid w:val="0"/>
              <w:spacing w:line="240" w:lineRule="atLeast"/>
              <w:jc w:val="center"/>
              <w:rPr>
                <w:color w:val="auto"/>
                <w:szCs w:val="21"/>
              </w:rPr>
            </w:pPr>
            <w:r>
              <w:rPr>
                <w:color w:val="auto"/>
                <w:szCs w:val="21"/>
              </w:rPr>
              <w:t>变形差</w:t>
            </w:r>
          </w:p>
        </w:tc>
        <w:tc>
          <w:tcPr>
            <w:tcW w:w="1603" w:type="dxa"/>
            <w:tcBorders>
              <w:top w:val="nil"/>
              <w:bottom w:val="single" w:color="auto" w:sz="4" w:space="0"/>
            </w:tcBorders>
            <w:vAlign w:val="center"/>
          </w:tcPr>
          <w:p w14:paraId="3ABC8E18">
            <w:pPr>
              <w:adjustRightInd w:val="0"/>
              <w:snapToGrid w:val="0"/>
              <w:spacing w:line="240" w:lineRule="atLeast"/>
              <w:jc w:val="center"/>
              <w:rPr>
                <w:color w:val="auto"/>
                <w:szCs w:val="21"/>
              </w:rPr>
            </w:pPr>
            <w:r>
              <w:rPr>
                <w:color w:val="auto"/>
                <w:szCs w:val="21"/>
              </w:rPr>
              <w:t>0.003</w:t>
            </w:r>
            <w:r>
              <w:rPr>
                <w:rFonts w:hint="eastAsia"/>
                <w:color w:val="auto"/>
                <w:szCs w:val="21"/>
              </w:rPr>
              <w:t xml:space="preserve"> l</w:t>
            </w:r>
          </w:p>
        </w:tc>
        <w:tc>
          <w:tcPr>
            <w:tcW w:w="1529" w:type="dxa"/>
            <w:tcBorders>
              <w:top w:val="nil"/>
              <w:bottom w:val="single" w:color="auto" w:sz="4" w:space="0"/>
            </w:tcBorders>
            <w:vAlign w:val="center"/>
          </w:tcPr>
          <w:p w14:paraId="7F60D593">
            <w:pPr>
              <w:adjustRightInd w:val="0"/>
              <w:snapToGrid w:val="0"/>
              <w:spacing w:line="240" w:lineRule="atLeast"/>
              <w:jc w:val="center"/>
              <w:rPr>
                <w:color w:val="auto"/>
                <w:szCs w:val="21"/>
              </w:rPr>
            </w:pPr>
            <w:r>
              <w:rPr>
                <w:color w:val="auto"/>
                <w:szCs w:val="21"/>
              </w:rPr>
              <w:t>40</w:t>
            </w:r>
          </w:p>
        </w:tc>
      </w:tr>
      <w:tr w14:paraId="18A1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6" w:type="dxa"/>
            <w:gridSpan w:val="4"/>
            <w:tcBorders>
              <w:top w:val="single" w:color="auto" w:sz="4" w:space="0"/>
            </w:tcBorders>
            <w:vAlign w:val="center"/>
          </w:tcPr>
          <w:p w14:paraId="65492FB3">
            <w:pPr>
              <w:adjustRightInd w:val="0"/>
              <w:snapToGrid w:val="0"/>
              <w:spacing w:line="340" w:lineRule="atLeast"/>
              <w:ind w:right="482"/>
              <w:rPr>
                <w:color w:val="auto"/>
                <w:szCs w:val="21"/>
              </w:rPr>
            </w:pPr>
            <w:r>
              <w:rPr>
                <w:color w:val="auto"/>
                <w:szCs w:val="21"/>
              </w:rPr>
              <w:t>注：</w:t>
            </w:r>
            <w:r>
              <w:rPr>
                <w:rFonts w:hint="eastAsia"/>
                <w:color w:val="auto"/>
                <w:szCs w:val="21"/>
              </w:rPr>
              <w:t>l</w:t>
            </w:r>
            <w:r>
              <w:rPr>
                <w:color w:val="auto"/>
                <w:szCs w:val="21"/>
              </w:rPr>
              <w:t>为相邻柱基的中心距离（m）。</w:t>
            </w:r>
          </w:p>
        </w:tc>
      </w:tr>
    </w:tbl>
    <w:p w14:paraId="5A9AAB87">
      <w:pPr>
        <w:adjustRightInd w:val="0"/>
        <w:snapToGrid w:val="0"/>
        <w:spacing w:before="240" w:line="340" w:lineRule="atLeast"/>
        <w:ind w:right="480"/>
        <w:rPr>
          <w:color w:val="auto"/>
          <w:szCs w:val="21"/>
        </w:rPr>
      </w:pPr>
      <w:r>
        <w:rPr>
          <w:b/>
          <w:color w:val="auto"/>
          <w:szCs w:val="21"/>
        </w:rPr>
        <w:t>11.1.18</w:t>
      </w:r>
      <w:r>
        <w:rPr>
          <w:b/>
          <w:bCs/>
          <w:color w:val="auto"/>
          <w:szCs w:val="21"/>
        </w:rPr>
        <w:t xml:space="preserve">  </w:t>
      </w:r>
      <w:r>
        <w:rPr>
          <w:color w:val="auto"/>
          <w:szCs w:val="21"/>
        </w:rPr>
        <w:t>位于坡地场地上的建筑物地基稳定性，应按下列规定进行验算：</w:t>
      </w:r>
    </w:p>
    <w:p w14:paraId="67BEF5FC">
      <w:pPr>
        <w:adjustRightInd w:val="0"/>
        <w:snapToGrid w:val="0"/>
        <w:spacing w:line="340" w:lineRule="atLeast"/>
        <w:ind w:right="480" w:firstLine="422" w:firstLineChars="200"/>
        <w:rPr>
          <w:color w:val="auto"/>
          <w:szCs w:val="21"/>
        </w:rPr>
      </w:pPr>
      <w:r>
        <w:rPr>
          <w:b/>
          <w:color w:val="auto"/>
          <w:szCs w:val="21"/>
        </w:rPr>
        <w:t>a)</w:t>
      </w:r>
      <w:r>
        <w:rPr>
          <w:color w:val="auto"/>
          <w:szCs w:val="21"/>
        </w:rPr>
        <w:t xml:space="preserve">  土质较均匀按圆弧滑动法验算；</w:t>
      </w:r>
    </w:p>
    <w:p w14:paraId="0D594573">
      <w:pPr>
        <w:adjustRightInd w:val="0"/>
        <w:snapToGrid w:val="0"/>
        <w:spacing w:line="340" w:lineRule="atLeast"/>
        <w:ind w:right="480" w:firstLine="422" w:firstLineChars="200"/>
        <w:rPr>
          <w:color w:val="auto"/>
          <w:szCs w:val="21"/>
        </w:rPr>
      </w:pPr>
      <w:r>
        <w:rPr>
          <w:b/>
          <w:color w:val="auto"/>
          <w:szCs w:val="21"/>
        </w:rPr>
        <w:t>b)</w:t>
      </w:r>
      <w:r>
        <w:rPr>
          <w:color w:val="auto"/>
          <w:szCs w:val="21"/>
        </w:rPr>
        <w:t xml:space="preserve">  土层较薄，土层与岩层间存在软弱层时，取软弱层面为滑动面进行验算；</w:t>
      </w:r>
    </w:p>
    <w:p w14:paraId="6DFD6A67">
      <w:pPr>
        <w:adjustRightInd w:val="0"/>
        <w:snapToGrid w:val="0"/>
        <w:spacing w:line="340" w:lineRule="atLeast"/>
        <w:ind w:right="480" w:firstLine="422" w:firstLineChars="200"/>
        <w:rPr>
          <w:color w:val="auto"/>
          <w:szCs w:val="21"/>
        </w:rPr>
      </w:pPr>
      <w:r>
        <w:rPr>
          <w:b/>
          <w:color w:val="auto"/>
          <w:szCs w:val="21"/>
        </w:rPr>
        <w:t>c)</w:t>
      </w:r>
      <w:r>
        <w:rPr>
          <w:color w:val="auto"/>
          <w:szCs w:val="21"/>
        </w:rPr>
        <w:t xml:space="preserve">  层状构造的膨胀土，如层面与坡面斜交，且交角小于45°时，</w:t>
      </w:r>
      <w:r>
        <w:rPr>
          <w:rFonts w:hint="eastAsia"/>
          <w:color w:val="auto"/>
          <w:szCs w:val="21"/>
        </w:rPr>
        <w:t>应</w:t>
      </w:r>
      <w:r>
        <w:rPr>
          <w:color w:val="auto"/>
          <w:szCs w:val="21"/>
        </w:rPr>
        <w:t>验算层面的稳定性。</w:t>
      </w:r>
    </w:p>
    <w:p w14:paraId="6D5286D7">
      <w:pPr>
        <w:adjustRightInd w:val="0"/>
        <w:snapToGrid w:val="0"/>
        <w:spacing w:line="340" w:lineRule="atLeast"/>
        <w:rPr>
          <w:color w:val="auto"/>
          <w:szCs w:val="21"/>
        </w:rPr>
      </w:pPr>
      <w:r>
        <w:rPr>
          <w:b/>
          <w:color w:val="auto"/>
          <w:szCs w:val="21"/>
        </w:rPr>
        <w:t>11.1.19</w:t>
      </w:r>
      <w:r>
        <w:rPr>
          <w:b/>
          <w:bCs/>
          <w:color w:val="auto"/>
          <w:szCs w:val="21"/>
        </w:rPr>
        <w:t xml:space="preserve">  </w:t>
      </w:r>
      <w:r>
        <w:rPr>
          <w:color w:val="auto"/>
          <w:szCs w:val="21"/>
        </w:rPr>
        <w:t>地基稳定性安全系数可取1.2。验算时，应考虑下列因素：</w:t>
      </w:r>
    </w:p>
    <w:p w14:paraId="3BF1E558">
      <w:pPr>
        <w:adjustRightInd w:val="0"/>
        <w:snapToGrid w:val="0"/>
        <w:spacing w:line="340" w:lineRule="atLeast"/>
        <w:ind w:firstLine="422" w:firstLineChars="200"/>
        <w:rPr>
          <w:color w:val="auto"/>
          <w:szCs w:val="21"/>
        </w:rPr>
      </w:pPr>
      <w:r>
        <w:rPr>
          <w:b/>
          <w:color w:val="auto"/>
          <w:szCs w:val="21"/>
        </w:rPr>
        <w:t>a)</w:t>
      </w:r>
      <w:r>
        <w:rPr>
          <w:color w:val="auto"/>
          <w:szCs w:val="21"/>
        </w:rPr>
        <w:t xml:space="preserve">  建筑物和堆料的荷载；</w:t>
      </w:r>
    </w:p>
    <w:p w14:paraId="0F8F8A77">
      <w:pPr>
        <w:adjustRightInd w:val="0"/>
        <w:snapToGrid w:val="0"/>
        <w:spacing w:line="340" w:lineRule="atLeast"/>
        <w:ind w:firstLine="422" w:firstLineChars="200"/>
        <w:rPr>
          <w:color w:val="auto"/>
          <w:szCs w:val="21"/>
        </w:rPr>
      </w:pPr>
      <w:r>
        <w:rPr>
          <w:b/>
          <w:color w:val="auto"/>
          <w:szCs w:val="21"/>
        </w:rPr>
        <w:t>b)</w:t>
      </w:r>
      <w:r>
        <w:rPr>
          <w:color w:val="auto"/>
          <w:szCs w:val="21"/>
        </w:rPr>
        <w:t xml:space="preserve">  削坡卸荷时应力释放；</w:t>
      </w:r>
    </w:p>
    <w:p w14:paraId="7F8514EB">
      <w:pPr>
        <w:adjustRightInd w:val="0"/>
        <w:snapToGrid w:val="0"/>
        <w:spacing w:line="340" w:lineRule="atLeast"/>
        <w:ind w:firstLine="422" w:firstLineChars="200"/>
        <w:rPr>
          <w:color w:val="auto"/>
          <w:szCs w:val="21"/>
        </w:rPr>
      </w:pPr>
      <w:r>
        <w:rPr>
          <w:b/>
          <w:color w:val="auto"/>
          <w:szCs w:val="21"/>
        </w:rPr>
        <w:t>c)</w:t>
      </w:r>
      <w:r>
        <w:rPr>
          <w:color w:val="auto"/>
          <w:szCs w:val="21"/>
        </w:rPr>
        <w:t xml:space="preserve">  水平膨胀力；</w:t>
      </w:r>
    </w:p>
    <w:p w14:paraId="6636952B">
      <w:pPr>
        <w:snapToGrid w:val="0"/>
        <w:spacing w:line="340" w:lineRule="atLeast"/>
        <w:rPr>
          <w:color w:val="auto"/>
          <w:szCs w:val="21"/>
        </w:rPr>
      </w:pPr>
      <w:r>
        <w:rPr>
          <w:color w:val="auto"/>
          <w:szCs w:val="21"/>
        </w:rPr>
        <w:t xml:space="preserve">    </w:t>
      </w:r>
      <w:r>
        <w:rPr>
          <w:b/>
          <w:color w:val="auto"/>
          <w:szCs w:val="21"/>
        </w:rPr>
        <w:t>d)</w:t>
      </w:r>
      <w:r>
        <w:rPr>
          <w:color w:val="auto"/>
          <w:szCs w:val="21"/>
        </w:rPr>
        <w:t xml:space="preserve">  土体吸水膨胀后强度的衰减。</w:t>
      </w:r>
    </w:p>
    <w:p w14:paraId="35D0B6A5">
      <w:pPr>
        <w:adjustRightInd w:val="0"/>
        <w:snapToGrid w:val="0"/>
        <w:spacing w:line="340" w:lineRule="atLeast"/>
        <w:ind w:right="-28"/>
        <w:rPr>
          <w:rFonts w:eastAsia="黑体"/>
          <w:color w:val="auto"/>
          <w:szCs w:val="21"/>
        </w:rPr>
      </w:pPr>
      <w:r>
        <w:rPr>
          <w:b/>
          <w:color w:val="auto"/>
        </w:rPr>
        <w:t xml:space="preserve">11.1.20  </w:t>
      </w:r>
      <w:r>
        <w:rPr>
          <w:color w:val="auto"/>
        </w:rPr>
        <w:t>建筑措施应符合下列要求：</w:t>
      </w:r>
    </w:p>
    <w:p w14:paraId="618A6EBB">
      <w:pPr>
        <w:adjustRightInd w:val="0"/>
        <w:snapToGrid w:val="0"/>
        <w:spacing w:line="360" w:lineRule="auto"/>
        <w:ind w:firstLine="413" w:firstLineChars="196"/>
        <w:rPr>
          <w:color w:val="auto"/>
          <w:szCs w:val="21"/>
        </w:rPr>
      </w:pPr>
      <w:bookmarkStart w:id="45" w:name="_Toc257967211"/>
      <w:bookmarkStart w:id="46" w:name="_Toc258338219"/>
      <w:r>
        <w:rPr>
          <w:b/>
          <w:color w:val="auto"/>
          <w:szCs w:val="21"/>
        </w:rPr>
        <w:t>a)</w:t>
      </w:r>
      <w:r>
        <w:rPr>
          <w:b/>
          <w:color w:val="auto"/>
        </w:rPr>
        <w:t xml:space="preserve">  </w:t>
      </w:r>
      <w:r>
        <w:rPr>
          <w:color w:val="auto"/>
          <w:szCs w:val="21"/>
        </w:rPr>
        <w:t xml:space="preserve">在满足使用功能的前提下，建筑物的体型应力求简单。 </w:t>
      </w:r>
    </w:p>
    <w:p w14:paraId="7289FAF9">
      <w:pPr>
        <w:adjustRightInd w:val="0"/>
        <w:snapToGrid w:val="0"/>
        <w:spacing w:line="360" w:lineRule="auto"/>
        <w:ind w:firstLine="422" w:firstLineChars="200"/>
        <w:rPr>
          <w:color w:val="auto"/>
          <w:szCs w:val="21"/>
        </w:rPr>
      </w:pPr>
      <w:r>
        <w:rPr>
          <w:b/>
          <w:color w:val="auto"/>
          <w:szCs w:val="21"/>
        </w:rPr>
        <w:t>b)</w:t>
      </w:r>
      <w:r>
        <w:rPr>
          <w:color w:val="auto"/>
          <w:szCs w:val="21"/>
        </w:rPr>
        <w:t xml:space="preserve">  建筑物宜置于膨胀土层厚度均匀，地形坡度小的地段。</w:t>
      </w:r>
    </w:p>
    <w:p w14:paraId="756A04AB">
      <w:pPr>
        <w:adjustRightInd w:val="0"/>
        <w:snapToGrid w:val="0"/>
        <w:spacing w:line="360" w:lineRule="auto"/>
        <w:ind w:left="757" w:leftChars="200" w:hanging="337" w:hangingChars="160"/>
        <w:rPr>
          <w:color w:val="auto"/>
          <w:szCs w:val="21"/>
        </w:rPr>
      </w:pPr>
      <w:r>
        <w:rPr>
          <w:b/>
          <w:color w:val="auto"/>
          <w:szCs w:val="21"/>
        </w:rPr>
        <w:t>c)</w:t>
      </w:r>
      <w:r>
        <w:rPr>
          <w:color w:val="auto"/>
          <w:szCs w:val="21"/>
        </w:rPr>
        <w:t xml:space="preserve">  建筑物宜避让胀缩性相差较大的土层，应避开地裂带，不宜建在地下水位升降变化大的地段，无法避免时，应采取设置沉降缝或提高建筑结构整体抗变形能力等措施。</w:t>
      </w:r>
    </w:p>
    <w:p w14:paraId="46FEE506">
      <w:pPr>
        <w:adjustRightInd w:val="0"/>
        <w:snapToGrid w:val="0"/>
        <w:spacing w:line="360" w:lineRule="auto"/>
        <w:ind w:left="757" w:leftChars="200" w:hanging="337" w:hangingChars="160"/>
        <w:rPr>
          <w:b/>
          <w:color w:val="auto"/>
          <w:szCs w:val="21"/>
        </w:rPr>
      </w:pPr>
      <w:r>
        <w:rPr>
          <w:b/>
          <w:color w:val="auto"/>
          <w:szCs w:val="21"/>
        </w:rPr>
        <w:t xml:space="preserve">d)  </w:t>
      </w:r>
      <w:r>
        <w:rPr>
          <w:color w:val="auto"/>
          <w:szCs w:val="21"/>
        </w:rPr>
        <w:t>建筑物在挖方与填方交界处或地基土显著不均匀处，建筑物平面转折部位、高度或荷重有显著差异部位及建筑结构或基础类型不同部位宜设置沉降缝。</w:t>
      </w:r>
    </w:p>
    <w:p w14:paraId="6EC2099B">
      <w:pPr>
        <w:adjustRightInd w:val="0"/>
        <w:snapToGrid w:val="0"/>
        <w:spacing w:line="360" w:lineRule="auto"/>
        <w:ind w:left="757" w:leftChars="200" w:hanging="337" w:hangingChars="160"/>
        <w:rPr>
          <w:b/>
          <w:color w:val="auto"/>
          <w:szCs w:val="21"/>
        </w:rPr>
      </w:pPr>
      <w:r>
        <w:rPr>
          <w:b/>
          <w:color w:val="auto"/>
          <w:szCs w:val="21"/>
        </w:rPr>
        <w:t xml:space="preserve">e)  </w:t>
      </w:r>
      <w:r>
        <w:rPr>
          <w:color w:val="auto"/>
          <w:szCs w:val="21"/>
        </w:rPr>
        <w:t>屋面排水宜采用外排水，水落管不得设在沉降缝处，且其下端距散水面不应大于300mm。建筑物场地应设置有组织的排水系统。</w:t>
      </w:r>
    </w:p>
    <w:p w14:paraId="7FFCB149">
      <w:pPr>
        <w:adjustRightInd w:val="0"/>
        <w:snapToGrid w:val="0"/>
        <w:spacing w:line="360" w:lineRule="auto"/>
        <w:ind w:firstLine="413" w:firstLineChars="196"/>
        <w:rPr>
          <w:color w:val="auto"/>
          <w:szCs w:val="21"/>
        </w:rPr>
      </w:pPr>
      <w:r>
        <w:rPr>
          <w:b/>
          <w:color w:val="auto"/>
        </w:rPr>
        <w:t xml:space="preserve">f)  </w:t>
      </w:r>
      <w:r>
        <w:rPr>
          <w:color w:val="auto"/>
          <w:szCs w:val="21"/>
        </w:rPr>
        <w:t>建筑物四周应设散水，并宜符合下列规定（构造做法见图10）：</w:t>
      </w:r>
    </w:p>
    <w:p w14:paraId="6D4DC862">
      <w:pPr>
        <w:adjustRightInd w:val="0"/>
        <w:snapToGrid w:val="0"/>
        <w:spacing w:line="360" w:lineRule="auto"/>
        <w:jc w:val="center"/>
        <w:rPr>
          <w:color w:val="auto"/>
          <w:szCs w:val="21"/>
        </w:rPr>
      </w:pPr>
      <w:r>
        <w:rPr>
          <w:color w:val="auto"/>
        </w:rPr>
        <w:object>
          <v:shape id="_x0000_i1333" o:spt="75" type="#_x0000_t75" style="height:136.5pt;width:331.15pt;" o:ole="t" filled="f" o:preferrelative="t" stroked="f" coordsize="21600,21600">
            <v:path/>
            <v:fill on="f" focussize="0,0"/>
            <v:stroke on="f" joinstyle="miter"/>
            <v:imagedata r:id="rId603" cropleft="9754f" croptop="6773f" cropright="7414f" cropbottom="23904f" o:title=""/>
            <o:lock v:ext="edit" aspectratio="t"/>
            <w10:wrap type="none"/>
            <w10:anchorlock/>
          </v:shape>
          <o:OLEObject Type="Embed" ProgID="AutoCAD.Drawing.16" ShapeID="_x0000_i1333" DrawAspect="Content" ObjectID="_1468076033" r:id="rId602">
            <o:LockedField>false</o:LockedField>
          </o:OLEObject>
        </w:object>
      </w:r>
    </w:p>
    <w:p w14:paraId="05F6BF23">
      <w:pPr>
        <w:adjustRightInd w:val="0"/>
        <w:snapToGrid w:val="0"/>
        <w:spacing w:line="360" w:lineRule="auto"/>
        <w:jc w:val="center"/>
        <w:rPr>
          <w:color w:val="auto"/>
          <w:szCs w:val="21"/>
        </w:rPr>
      </w:pPr>
      <w:r>
        <w:rPr>
          <w:color w:val="auto"/>
          <w:sz w:val="18"/>
          <w:szCs w:val="18"/>
        </w:rPr>
        <w:t>1-外墙；2-交接缝；3-垫层；4-面层</w:t>
      </w:r>
    </w:p>
    <w:p w14:paraId="2E4BEB9B">
      <w:pPr>
        <w:adjustRightInd w:val="0"/>
        <w:snapToGrid w:val="0"/>
        <w:spacing w:line="360" w:lineRule="auto"/>
        <w:jc w:val="center"/>
        <w:rPr>
          <w:b/>
          <w:color w:val="auto"/>
          <w:sz w:val="18"/>
          <w:szCs w:val="18"/>
        </w:rPr>
      </w:pPr>
      <w:r>
        <w:rPr>
          <w:b/>
          <w:color w:val="auto"/>
          <w:sz w:val="18"/>
          <w:szCs w:val="18"/>
        </w:rPr>
        <w:t>图10  散水构造示意图</w:t>
      </w:r>
    </w:p>
    <w:p w14:paraId="492E1730">
      <w:pPr>
        <w:adjustRightInd w:val="0"/>
        <w:snapToGrid w:val="0"/>
        <w:jc w:val="center"/>
        <w:rPr>
          <w:color w:val="auto"/>
          <w:szCs w:val="21"/>
        </w:rPr>
      </w:pPr>
    </w:p>
    <w:p w14:paraId="16D71564">
      <w:pPr>
        <w:adjustRightInd w:val="0"/>
        <w:snapToGrid w:val="0"/>
        <w:spacing w:line="340" w:lineRule="atLeast"/>
        <w:ind w:firstLine="727" w:firstLineChars="345"/>
        <w:rPr>
          <w:color w:val="auto"/>
          <w:szCs w:val="21"/>
        </w:rPr>
      </w:pPr>
      <w:r>
        <w:rPr>
          <w:b/>
          <w:color w:val="auto"/>
          <w:szCs w:val="21"/>
        </w:rPr>
        <w:t>1)</w:t>
      </w:r>
      <w:r>
        <w:rPr>
          <w:color w:val="auto"/>
          <w:szCs w:val="21"/>
        </w:rPr>
        <w:t xml:space="preserve"> 散水面层采用C15混凝土或沥青混凝土，垫层宜采用2:8灰土或三合土，厚度按表50选用；</w:t>
      </w:r>
    </w:p>
    <w:p w14:paraId="0B8717B3">
      <w:pPr>
        <w:adjustRightInd w:val="0"/>
        <w:snapToGrid w:val="0"/>
        <w:spacing w:line="340" w:lineRule="atLeast"/>
        <w:ind w:firstLine="727" w:firstLineChars="345"/>
        <w:rPr>
          <w:color w:val="auto"/>
          <w:szCs w:val="21"/>
        </w:rPr>
      </w:pPr>
      <w:r>
        <w:rPr>
          <w:b/>
          <w:color w:val="auto"/>
          <w:szCs w:val="21"/>
        </w:rPr>
        <w:t>2)</w:t>
      </w:r>
      <w:r>
        <w:rPr>
          <w:color w:val="auto"/>
          <w:szCs w:val="21"/>
        </w:rPr>
        <w:t xml:space="preserve"> 散水面层的伸缩缝间距不应大于3m；</w:t>
      </w:r>
    </w:p>
    <w:p w14:paraId="161D6F9F">
      <w:pPr>
        <w:adjustRightInd w:val="0"/>
        <w:snapToGrid w:val="0"/>
        <w:spacing w:line="340" w:lineRule="atLeast"/>
        <w:ind w:firstLine="727" w:firstLineChars="345"/>
        <w:rPr>
          <w:color w:val="auto"/>
          <w:szCs w:val="21"/>
        </w:rPr>
      </w:pPr>
      <w:r>
        <w:rPr>
          <w:b/>
          <w:color w:val="auto"/>
          <w:szCs w:val="21"/>
        </w:rPr>
        <w:t>3)</w:t>
      </w:r>
      <w:r>
        <w:rPr>
          <w:color w:val="auto"/>
          <w:szCs w:val="21"/>
        </w:rPr>
        <w:t xml:space="preserve"> 散水最小宽度按表50选用。散水外缘应超出基槽300mm，坡度为3%～5%；</w:t>
      </w:r>
    </w:p>
    <w:p w14:paraId="042B078C">
      <w:pPr>
        <w:adjustRightInd w:val="0"/>
        <w:snapToGrid w:val="0"/>
        <w:spacing w:line="340" w:lineRule="atLeast"/>
        <w:ind w:firstLine="727" w:firstLineChars="345"/>
        <w:rPr>
          <w:color w:val="auto"/>
          <w:szCs w:val="21"/>
        </w:rPr>
      </w:pPr>
      <w:r>
        <w:rPr>
          <w:b/>
          <w:color w:val="auto"/>
          <w:szCs w:val="21"/>
        </w:rPr>
        <w:t>4)</w:t>
      </w:r>
      <w:r>
        <w:rPr>
          <w:color w:val="auto"/>
          <w:szCs w:val="21"/>
        </w:rPr>
        <w:t xml:space="preserve"> 散水与外墙的交接缝和散水之间的伸缩缝，均应填以柔性防水材料。</w:t>
      </w:r>
    </w:p>
    <w:p w14:paraId="0B8B9F1E">
      <w:pPr>
        <w:adjustRightInd w:val="0"/>
        <w:snapToGrid w:val="0"/>
        <w:spacing w:before="240"/>
        <w:jc w:val="center"/>
        <w:rPr>
          <w:b/>
          <w:color w:val="auto"/>
          <w:szCs w:val="21"/>
        </w:rPr>
      </w:pPr>
      <w:r>
        <w:rPr>
          <w:b/>
          <w:color w:val="auto"/>
          <w:szCs w:val="21"/>
        </w:rPr>
        <w:t>表50  散水构造尺寸</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09"/>
        <w:gridCol w:w="2647"/>
        <w:gridCol w:w="2280"/>
        <w:gridCol w:w="2192"/>
      </w:tblGrid>
      <w:tr w14:paraId="7E182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09" w:type="dxa"/>
            <w:vAlign w:val="center"/>
          </w:tcPr>
          <w:p w14:paraId="4F9A7BFD">
            <w:pPr>
              <w:jc w:val="center"/>
              <w:rPr>
                <w:color w:val="auto"/>
                <w:sz w:val="18"/>
                <w:szCs w:val="18"/>
              </w:rPr>
            </w:pPr>
            <w:r>
              <w:rPr>
                <w:color w:val="auto"/>
                <w:sz w:val="18"/>
                <w:szCs w:val="18"/>
              </w:rPr>
              <w:t>地基胀缩等级</w:t>
            </w:r>
          </w:p>
        </w:tc>
        <w:tc>
          <w:tcPr>
            <w:tcW w:w="2647" w:type="dxa"/>
            <w:vAlign w:val="center"/>
          </w:tcPr>
          <w:p w14:paraId="37331E84">
            <w:pPr>
              <w:jc w:val="center"/>
              <w:rPr>
                <w:color w:val="auto"/>
                <w:sz w:val="18"/>
                <w:szCs w:val="18"/>
              </w:rPr>
            </w:pPr>
            <w:r>
              <w:rPr>
                <w:color w:val="auto"/>
                <w:sz w:val="18"/>
                <w:szCs w:val="18"/>
              </w:rPr>
              <w:t>散水最小宽度L（</w:t>
            </w:r>
            <w:r>
              <w:rPr>
                <w:rFonts w:hint="eastAsia" w:eastAsia="黑体"/>
                <w:color w:val="auto"/>
                <w:sz w:val="18"/>
                <w:szCs w:val="18"/>
              </w:rPr>
              <w:t>m</w:t>
            </w:r>
            <w:r>
              <w:rPr>
                <w:color w:val="auto"/>
                <w:sz w:val="18"/>
                <w:szCs w:val="18"/>
              </w:rPr>
              <w:t>）</w:t>
            </w:r>
          </w:p>
        </w:tc>
        <w:tc>
          <w:tcPr>
            <w:tcW w:w="2280" w:type="dxa"/>
            <w:vAlign w:val="center"/>
          </w:tcPr>
          <w:p w14:paraId="3BB30716">
            <w:pPr>
              <w:jc w:val="center"/>
              <w:rPr>
                <w:color w:val="auto"/>
                <w:sz w:val="18"/>
                <w:szCs w:val="18"/>
              </w:rPr>
            </w:pPr>
            <w:r>
              <w:rPr>
                <w:color w:val="auto"/>
                <w:sz w:val="18"/>
                <w:szCs w:val="18"/>
              </w:rPr>
              <w:t>面层厚度（</w:t>
            </w:r>
            <w:r>
              <w:rPr>
                <w:rFonts w:hint="eastAsia"/>
                <w:color w:val="auto"/>
                <w:sz w:val="18"/>
                <w:szCs w:val="18"/>
              </w:rPr>
              <w:t>mm</w:t>
            </w:r>
            <w:r>
              <w:rPr>
                <w:color w:val="auto"/>
                <w:sz w:val="18"/>
                <w:szCs w:val="18"/>
              </w:rPr>
              <w:t>）</w:t>
            </w:r>
          </w:p>
        </w:tc>
        <w:tc>
          <w:tcPr>
            <w:tcW w:w="2192" w:type="dxa"/>
            <w:vAlign w:val="center"/>
          </w:tcPr>
          <w:p w14:paraId="343E96B8">
            <w:pPr>
              <w:jc w:val="center"/>
              <w:rPr>
                <w:color w:val="auto"/>
                <w:sz w:val="18"/>
                <w:szCs w:val="18"/>
              </w:rPr>
            </w:pPr>
            <w:r>
              <w:rPr>
                <w:color w:val="auto"/>
                <w:sz w:val="18"/>
                <w:szCs w:val="18"/>
              </w:rPr>
              <w:t>垫层厚度（</w:t>
            </w:r>
            <w:r>
              <w:rPr>
                <w:rFonts w:hint="eastAsia" w:eastAsia="黑体"/>
                <w:color w:val="auto"/>
                <w:sz w:val="18"/>
                <w:szCs w:val="18"/>
              </w:rPr>
              <w:t>mm</w:t>
            </w:r>
            <w:r>
              <w:rPr>
                <w:color w:val="auto"/>
                <w:sz w:val="18"/>
                <w:szCs w:val="18"/>
              </w:rPr>
              <w:t>）</w:t>
            </w:r>
          </w:p>
        </w:tc>
      </w:tr>
      <w:tr w14:paraId="4D69C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09" w:type="dxa"/>
            <w:vAlign w:val="center"/>
          </w:tcPr>
          <w:p w14:paraId="553521A4">
            <w:pPr>
              <w:jc w:val="center"/>
              <w:rPr>
                <w:color w:val="auto"/>
                <w:sz w:val="18"/>
                <w:szCs w:val="18"/>
              </w:rPr>
            </w:pPr>
            <w:r>
              <w:rPr>
                <w:color w:val="auto"/>
                <w:sz w:val="18"/>
                <w:szCs w:val="18"/>
              </w:rPr>
              <w:fldChar w:fldCharType="begin"/>
            </w:r>
            <w:r>
              <w:rPr>
                <w:color w:val="auto"/>
                <w:sz w:val="18"/>
                <w:szCs w:val="18"/>
              </w:rPr>
              <w:instrText xml:space="preserve"> = 1 \* ROMAN </w:instrText>
            </w:r>
            <w:r>
              <w:rPr>
                <w:color w:val="auto"/>
                <w:sz w:val="18"/>
                <w:szCs w:val="18"/>
              </w:rPr>
              <w:fldChar w:fldCharType="separate"/>
            </w:r>
            <w:r>
              <w:rPr>
                <w:color w:val="auto"/>
                <w:sz w:val="18"/>
                <w:szCs w:val="18"/>
              </w:rPr>
              <w:t>I</w:t>
            </w:r>
            <w:r>
              <w:rPr>
                <w:color w:val="auto"/>
                <w:sz w:val="18"/>
                <w:szCs w:val="18"/>
              </w:rPr>
              <w:fldChar w:fldCharType="end"/>
            </w:r>
          </w:p>
        </w:tc>
        <w:tc>
          <w:tcPr>
            <w:tcW w:w="2647" w:type="dxa"/>
            <w:vAlign w:val="center"/>
          </w:tcPr>
          <w:p w14:paraId="6639B14D">
            <w:pPr>
              <w:jc w:val="center"/>
              <w:rPr>
                <w:color w:val="auto"/>
                <w:sz w:val="18"/>
                <w:szCs w:val="18"/>
              </w:rPr>
            </w:pPr>
            <w:r>
              <w:rPr>
                <w:color w:val="auto"/>
                <w:sz w:val="18"/>
                <w:szCs w:val="18"/>
              </w:rPr>
              <w:t>1.2</w:t>
            </w:r>
          </w:p>
        </w:tc>
        <w:tc>
          <w:tcPr>
            <w:tcW w:w="2280" w:type="dxa"/>
            <w:vAlign w:val="center"/>
          </w:tcPr>
          <w:p w14:paraId="64298974">
            <w:pPr>
              <w:jc w:val="center"/>
              <w:rPr>
                <w:color w:val="auto"/>
                <w:sz w:val="18"/>
                <w:szCs w:val="18"/>
              </w:rPr>
            </w:pPr>
            <w:r>
              <w:rPr>
                <w:color w:val="auto"/>
                <w:sz w:val="18"/>
                <w:szCs w:val="18"/>
              </w:rPr>
              <w:t>≥100</w:t>
            </w:r>
          </w:p>
        </w:tc>
        <w:tc>
          <w:tcPr>
            <w:tcW w:w="2192" w:type="dxa"/>
            <w:vAlign w:val="center"/>
          </w:tcPr>
          <w:p w14:paraId="07BF73C2">
            <w:pPr>
              <w:jc w:val="center"/>
              <w:rPr>
                <w:color w:val="auto"/>
                <w:sz w:val="18"/>
                <w:szCs w:val="18"/>
              </w:rPr>
            </w:pPr>
            <w:r>
              <w:rPr>
                <w:color w:val="auto"/>
                <w:sz w:val="18"/>
                <w:szCs w:val="18"/>
              </w:rPr>
              <w:t>≥100</w:t>
            </w:r>
          </w:p>
        </w:tc>
      </w:tr>
      <w:tr w14:paraId="5E142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09" w:type="dxa"/>
            <w:vAlign w:val="center"/>
          </w:tcPr>
          <w:p w14:paraId="534179EB">
            <w:pPr>
              <w:jc w:val="center"/>
              <w:rPr>
                <w:color w:val="auto"/>
                <w:sz w:val="18"/>
                <w:szCs w:val="18"/>
              </w:rPr>
            </w:pPr>
            <w:r>
              <w:rPr>
                <w:color w:val="auto"/>
                <w:sz w:val="18"/>
                <w:szCs w:val="18"/>
              </w:rPr>
              <w:fldChar w:fldCharType="begin"/>
            </w:r>
            <w:r>
              <w:rPr>
                <w:color w:val="auto"/>
                <w:sz w:val="18"/>
                <w:szCs w:val="18"/>
              </w:rPr>
              <w:instrText xml:space="preserve"> = 2 \* ROMAN </w:instrText>
            </w:r>
            <w:r>
              <w:rPr>
                <w:color w:val="auto"/>
                <w:sz w:val="18"/>
                <w:szCs w:val="18"/>
              </w:rPr>
              <w:fldChar w:fldCharType="separate"/>
            </w:r>
            <w:r>
              <w:rPr>
                <w:color w:val="auto"/>
                <w:sz w:val="18"/>
                <w:szCs w:val="18"/>
              </w:rPr>
              <w:t>II</w:t>
            </w:r>
            <w:r>
              <w:rPr>
                <w:color w:val="auto"/>
                <w:sz w:val="18"/>
                <w:szCs w:val="18"/>
              </w:rPr>
              <w:fldChar w:fldCharType="end"/>
            </w:r>
          </w:p>
        </w:tc>
        <w:tc>
          <w:tcPr>
            <w:tcW w:w="2647" w:type="dxa"/>
            <w:vAlign w:val="center"/>
          </w:tcPr>
          <w:p w14:paraId="1999F1FA">
            <w:pPr>
              <w:jc w:val="center"/>
              <w:rPr>
                <w:color w:val="auto"/>
                <w:sz w:val="18"/>
                <w:szCs w:val="18"/>
              </w:rPr>
            </w:pPr>
            <w:r>
              <w:rPr>
                <w:color w:val="auto"/>
                <w:sz w:val="18"/>
                <w:szCs w:val="18"/>
              </w:rPr>
              <w:t>1.5</w:t>
            </w:r>
          </w:p>
        </w:tc>
        <w:tc>
          <w:tcPr>
            <w:tcW w:w="2280" w:type="dxa"/>
            <w:vAlign w:val="center"/>
          </w:tcPr>
          <w:p w14:paraId="575B2B53">
            <w:pPr>
              <w:jc w:val="center"/>
              <w:rPr>
                <w:color w:val="auto"/>
                <w:sz w:val="18"/>
                <w:szCs w:val="18"/>
              </w:rPr>
            </w:pPr>
            <w:r>
              <w:rPr>
                <w:color w:val="auto"/>
                <w:sz w:val="18"/>
                <w:szCs w:val="18"/>
              </w:rPr>
              <w:t>≥100</w:t>
            </w:r>
          </w:p>
        </w:tc>
        <w:tc>
          <w:tcPr>
            <w:tcW w:w="2192" w:type="dxa"/>
            <w:vAlign w:val="center"/>
          </w:tcPr>
          <w:p w14:paraId="184D699C">
            <w:pPr>
              <w:jc w:val="center"/>
              <w:rPr>
                <w:color w:val="auto"/>
                <w:sz w:val="18"/>
                <w:szCs w:val="18"/>
              </w:rPr>
            </w:pPr>
            <w:r>
              <w:rPr>
                <w:color w:val="auto"/>
                <w:sz w:val="18"/>
                <w:szCs w:val="18"/>
              </w:rPr>
              <w:t>≥150</w:t>
            </w:r>
          </w:p>
        </w:tc>
      </w:tr>
      <w:tr w14:paraId="2A984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09" w:type="dxa"/>
            <w:vAlign w:val="center"/>
          </w:tcPr>
          <w:p w14:paraId="53C44949">
            <w:pPr>
              <w:jc w:val="center"/>
              <w:rPr>
                <w:color w:val="auto"/>
                <w:sz w:val="18"/>
                <w:szCs w:val="18"/>
              </w:rPr>
            </w:pPr>
            <w:r>
              <w:rPr>
                <w:color w:val="auto"/>
                <w:sz w:val="18"/>
                <w:szCs w:val="18"/>
              </w:rPr>
              <w:fldChar w:fldCharType="begin"/>
            </w:r>
            <w:r>
              <w:rPr>
                <w:color w:val="auto"/>
                <w:sz w:val="18"/>
                <w:szCs w:val="18"/>
              </w:rPr>
              <w:instrText xml:space="preserve"> = 3 \* ROMAN </w:instrText>
            </w:r>
            <w:r>
              <w:rPr>
                <w:color w:val="auto"/>
                <w:sz w:val="18"/>
                <w:szCs w:val="18"/>
              </w:rPr>
              <w:fldChar w:fldCharType="separate"/>
            </w:r>
            <w:r>
              <w:rPr>
                <w:color w:val="auto"/>
                <w:sz w:val="18"/>
                <w:szCs w:val="18"/>
              </w:rPr>
              <w:t>III</w:t>
            </w:r>
            <w:r>
              <w:rPr>
                <w:color w:val="auto"/>
                <w:sz w:val="18"/>
                <w:szCs w:val="18"/>
              </w:rPr>
              <w:fldChar w:fldCharType="end"/>
            </w:r>
          </w:p>
        </w:tc>
        <w:tc>
          <w:tcPr>
            <w:tcW w:w="2647" w:type="dxa"/>
            <w:vAlign w:val="center"/>
          </w:tcPr>
          <w:p w14:paraId="6C576C9B">
            <w:pPr>
              <w:jc w:val="center"/>
              <w:rPr>
                <w:color w:val="auto"/>
                <w:sz w:val="18"/>
                <w:szCs w:val="18"/>
              </w:rPr>
            </w:pPr>
            <w:r>
              <w:rPr>
                <w:color w:val="auto"/>
                <w:sz w:val="18"/>
                <w:szCs w:val="18"/>
              </w:rPr>
              <w:t>2.0</w:t>
            </w:r>
          </w:p>
        </w:tc>
        <w:tc>
          <w:tcPr>
            <w:tcW w:w="2280" w:type="dxa"/>
            <w:vAlign w:val="center"/>
          </w:tcPr>
          <w:p w14:paraId="0FF332D2">
            <w:pPr>
              <w:jc w:val="center"/>
              <w:rPr>
                <w:color w:val="auto"/>
                <w:sz w:val="18"/>
                <w:szCs w:val="18"/>
              </w:rPr>
            </w:pPr>
            <w:r>
              <w:rPr>
                <w:color w:val="auto"/>
                <w:sz w:val="18"/>
                <w:szCs w:val="18"/>
              </w:rPr>
              <w:t>≥120</w:t>
            </w:r>
          </w:p>
        </w:tc>
        <w:tc>
          <w:tcPr>
            <w:tcW w:w="2192" w:type="dxa"/>
            <w:vAlign w:val="center"/>
          </w:tcPr>
          <w:p w14:paraId="7A8D0E12">
            <w:pPr>
              <w:jc w:val="center"/>
              <w:rPr>
                <w:color w:val="auto"/>
                <w:sz w:val="18"/>
                <w:szCs w:val="18"/>
              </w:rPr>
            </w:pPr>
            <w:r>
              <w:rPr>
                <w:color w:val="auto"/>
                <w:sz w:val="18"/>
                <w:szCs w:val="18"/>
              </w:rPr>
              <w:t>≥200</w:t>
            </w:r>
          </w:p>
        </w:tc>
      </w:tr>
    </w:tbl>
    <w:p w14:paraId="742092DA">
      <w:pPr>
        <w:adjustRightInd w:val="0"/>
        <w:snapToGrid w:val="0"/>
        <w:jc w:val="center"/>
        <w:rPr>
          <w:color w:val="auto"/>
          <w:szCs w:val="21"/>
        </w:rPr>
      </w:pPr>
    </w:p>
    <w:p w14:paraId="1056F975">
      <w:pPr>
        <w:adjustRightInd w:val="0"/>
        <w:snapToGrid w:val="0"/>
        <w:spacing w:line="340" w:lineRule="atLeast"/>
        <w:ind w:firstLine="413" w:firstLineChars="196"/>
        <w:rPr>
          <w:color w:val="auto"/>
          <w:szCs w:val="21"/>
        </w:rPr>
      </w:pPr>
      <w:r>
        <w:rPr>
          <w:b/>
          <w:color w:val="auto"/>
          <w:szCs w:val="21"/>
        </w:rPr>
        <w:t xml:space="preserve">g)  </w:t>
      </w:r>
      <w:r>
        <w:rPr>
          <w:color w:val="auto"/>
          <w:szCs w:val="21"/>
        </w:rPr>
        <w:t>平坦场地胀缩等级为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 xml:space="preserve">级的膨胀土地基，采用宽散水作为主要防治措施时，应符合下列规定（构造做法见图11）： </w:t>
      </w:r>
    </w:p>
    <w:p w14:paraId="3CCE5536">
      <w:pPr>
        <w:adjustRightInd w:val="0"/>
        <w:snapToGrid w:val="0"/>
        <w:spacing w:line="360" w:lineRule="auto"/>
        <w:ind w:left="741" w:leftChars="200" w:hanging="321" w:hangingChars="153"/>
        <w:jc w:val="center"/>
        <w:rPr>
          <w:color w:val="auto"/>
        </w:rPr>
      </w:pPr>
      <w:r>
        <w:rPr>
          <w:color w:val="auto"/>
        </w:rPr>
        <w:object>
          <v:shape id="_x0000_i1334" o:spt="75" type="#_x0000_t75" style="height:108pt;width:301.5pt;" o:ole="t" filled="f" o:preferrelative="t" stroked="f" coordsize="21600,21600">
            <v:path/>
            <v:fill on="f" focussize="0,0"/>
            <v:stroke on="f" joinstyle="miter"/>
            <v:imagedata r:id="rId605" cropleft="6846f" croptop="13379f" cropright="7978f" cropbottom="19956f" o:title=""/>
            <o:lock v:ext="edit" aspectratio="t"/>
            <w10:wrap type="none"/>
            <w10:anchorlock/>
          </v:shape>
          <o:OLEObject Type="Embed" ProgID="AutoCAD.Drawing.16" ShapeID="_x0000_i1334" DrawAspect="Content" ObjectID="_1468076034" r:id="rId604">
            <o:LockedField>false</o:LockedField>
          </o:OLEObject>
        </w:object>
      </w:r>
    </w:p>
    <w:p w14:paraId="5DF3C0C1">
      <w:pPr>
        <w:adjustRightInd w:val="0"/>
        <w:snapToGrid w:val="0"/>
        <w:spacing w:line="360" w:lineRule="auto"/>
        <w:ind w:left="695" w:leftChars="200" w:hanging="275" w:hangingChars="153"/>
        <w:jc w:val="center"/>
        <w:rPr>
          <w:color w:val="auto"/>
          <w:szCs w:val="21"/>
        </w:rPr>
      </w:pPr>
      <w:r>
        <w:rPr>
          <w:color w:val="auto"/>
          <w:sz w:val="18"/>
          <w:szCs w:val="18"/>
        </w:rPr>
        <w:t>1-外墙；2-交接缝；3-垫层；4-隔热保温层；5-面层</w:t>
      </w:r>
    </w:p>
    <w:p w14:paraId="0041311E">
      <w:pPr>
        <w:adjustRightInd w:val="0"/>
        <w:snapToGrid w:val="0"/>
        <w:spacing w:line="360" w:lineRule="auto"/>
        <w:jc w:val="center"/>
        <w:rPr>
          <w:b/>
          <w:color w:val="auto"/>
          <w:sz w:val="18"/>
          <w:szCs w:val="18"/>
        </w:rPr>
      </w:pPr>
      <w:r>
        <w:rPr>
          <w:b/>
          <w:color w:val="auto"/>
          <w:sz w:val="18"/>
          <w:szCs w:val="18"/>
        </w:rPr>
        <w:t>图11  宽散水构造示意图</w:t>
      </w:r>
    </w:p>
    <w:p w14:paraId="5B1C357D">
      <w:pPr>
        <w:adjustRightInd w:val="0"/>
        <w:snapToGrid w:val="0"/>
        <w:spacing w:before="240" w:line="360" w:lineRule="atLeast"/>
        <w:ind w:firstLine="727" w:firstLineChars="345"/>
        <w:rPr>
          <w:color w:val="auto"/>
          <w:szCs w:val="21"/>
        </w:rPr>
      </w:pPr>
      <w:r>
        <w:rPr>
          <w:b/>
          <w:color w:val="auto"/>
          <w:szCs w:val="21"/>
        </w:rPr>
        <w:t>1</w:t>
      </w:r>
      <w:r>
        <w:rPr>
          <w:rFonts w:hint="eastAsia"/>
          <w:b/>
          <w:color w:val="auto"/>
          <w:szCs w:val="21"/>
        </w:rPr>
        <w:t>）</w:t>
      </w:r>
      <w:r>
        <w:rPr>
          <w:color w:val="auto"/>
          <w:szCs w:val="21"/>
        </w:rPr>
        <w:t>面层可采用强度等级C15的混凝土或沥青混凝土，厚度不小于100mm；</w:t>
      </w:r>
    </w:p>
    <w:p w14:paraId="4BFE09AD">
      <w:pPr>
        <w:adjustRightInd w:val="0"/>
        <w:snapToGrid w:val="0"/>
        <w:spacing w:line="360" w:lineRule="atLeast"/>
        <w:ind w:firstLine="727" w:firstLineChars="345"/>
        <w:rPr>
          <w:color w:val="auto"/>
          <w:szCs w:val="21"/>
        </w:rPr>
      </w:pPr>
      <w:r>
        <w:rPr>
          <w:b/>
          <w:color w:val="auto"/>
          <w:szCs w:val="21"/>
        </w:rPr>
        <w:t>2</w:t>
      </w:r>
      <w:r>
        <w:rPr>
          <w:rFonts w:hint="eastAsia"/>
          <w:b/>
          <w:color w:val="auto"/>
          <w:szCs w:val="21"/>
        </w:rPr>
        <w:t>）</w:t>
      </w:r>
      <w:r>
        <w:rPr>
          <w:color w:val="auto"/>
          <w:szCs w:val="21"/>
        </w:rPr>
        <w:t>隔热保温层可采用1:3石灰焦渣，厚度100mm～200mm；</w:t>
      </w:r>
    </w:p>
    <w:p w14:paraId="79FD6407">
      <w:pPr>
        <w:adjustRightInd w:val="0"/>
        <w:snapToGrid w:val="0"/>
        <w:spacing w:line="360" w:lineRule="atLeast"/>
        <w:ind w:firstLine="727" w:firstLineChars="345"/>
        <w:rPr>
          <w:color w:val="auto"/>
          <w:szCs w:val="21"/>
        </w:rPr>
      </w:pPr>
      <w:r>
        <w:rPr>
          <w:b/>
          <w:color w:val="auto"/>
          <w:szCs w:val="21"/>
        </w:rPr>
        <w:t>3</w:t>
      </w:r>
      <w:r>
        <w:rPr>
          <w:rFonts w:hint="eastAsia"/>
          <w:b/>
          <w:color w:val="auto"/>
          <w:szCs w:val="21"/>
        </w:rPr>
        <w:t>）</w:t>
      </w:r>
      <w:r>
        <w:rPr>
          <w:color w:val="auto"/>
          <w:szCs w:val="21"/>
        </w:rPr>
        <w:t>垫层可采用2:8灰土或三合土，厚度100mm～200mm；</w:t>
      </w:r>
    </w:p>
    <w:p w14:paraId="52262719">
      <w:pPr>
        <w:adjustRightInd w:val="0"/>
        <w:snapToGrid w:val="0"/>
        <w:spacing w:line="360" w:lineRule="atLeast"/>
        <w:ind w:firstLine="727" w:firstLineChars="345"/>
        <w:rPr>
          <w:color w:val="auto"/>
          <w:szCs w:val="21"/>
        </w:rPr>
      </w:pPr>
      <w:r>
        <w:rPr>
          <w:b/>
          <w:color w:val="auto"/>
          <w:szCs w:val="21"/>
        </w:rPr>
        <w:t>4</w:t>
      </w:r>
      <w:r>
        <w:rPr>
          <w:rFonts w:hint="eastAsia"/>
          <w:b/>
          <w:color w:val="auto"/>
          <w:szCs w:val="21"/>
        </w:rPr>
        <w:t>）</w:t>
      </w:r>
      <w:r>
        <w:rPr>
          <w:color w:val="auto"/>
          <w:szCs w:val="21"/>
        </w:rPr>
        <w:t>胀缩等级为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级的膨胀土地基宽散水宽度不应小于2m，胀缩等级为</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级的膨胀土地基宽散水宽度不应小于3m，坡度宜为3%～5%。</w:t>
      </w:r>
    </w:p>
    <w:p w14:paraId="18BB4C88">
      <w:pPr>
        <w:adjustRightInd w:val="0"/>
        <w:snapToGrid w:val="0"/>
        <w:spacing w:line="360" w:lineRule="atLeast"/>
        <w:ind w:firstLine="413" w:firstLineChars="196"/>
        <w:rPr>
          <w:color w:val="auto"/>
          <w:szCs w:val="21"/>
        </w:rPr>
      </w:pPr>
      <w:r>
        <w:rPr>
          <w:b/>
          <w:color w:val="auto"/>
        </w:rPr>
        <w:t xml:space="preserve">h)  </w:t>
      </w:r>
      <w:r>
        <w:rPr>
          <w:color w:val="auto"/>
          <w:szCs w:val="21"/>
        </w:rPr>
        <w:t>建筑物的室内地面设计应符合下列要求：</w:t>
      </w:r>
    </w:p>
    <w:p w14:paraId="2FFFC3FB">
      <w:pPr>
        <w:adjustRightInd w:val="0"/>
        <w:snapToGrid w:val="0"/>
        <w:spacing w:line="360" w:lineRule="atLeast"/>
        <w:ind w:firstLine="713" w:firstLineChars="338"/>
        <w:rPr>
          <w:color w:val="auto"/>
          <w:szCs w:val="21"/>
        </w:rPr>
      </w:pPr>
      <w:r>
        <w:rPr>
          <w:b/>
          <w:color w:val="auto"/>
          <w:szCs w:val="21"/>
        </w:rPr>
        <w:t>1</w:t>
      </w:r>
      <w:r>
        <w:rPr>
          <w:rFonts w:hint="eastAsia"/>
          <w:b/>
          <w:color w:val="auto"/>
          <w:szCs w:val="21"/>
        </w:rPr>
        <w:t>）</w:t>
      </w:r>
      <w:r>
        <w:rPr>
          <w:color w:val="auto"/>
          <w:szCs w:val="21"/>
        </w:rPr>
        <w:t>对使用要求严格的地面，可根据地基土的胀缩等级要求采取相应的设计措施。胀缩等级为</w:t>
      </w:r>
      <w:r>
        <w:rPr>
          <w:color w:val="auto"/>
          <w:szCs w:val="21"/>
        </w:rPr>
        <w:fldChar w:fldCharType="begin"/>
      </w:r>
      <w:r>
        <w:rPr>
          <w:color w:val="auto"/>
          <w:szCs w:val="21"/>
        </w:rPr>
        <w:instrText xml:space="preserve"> = 3 \* ROMAN </w:instrText>
      </w:r>
      <w:r>
        <w:rPr>
          <w:color w:val="auto"/>
          <w:szCs w:val="21"/>
        </w:rPr>
        <w:fldChar w:fldCharType="separate"/>
      </w:r>
      <w:r>
        <w:rPr>
          <w:color w:val="auto"/>
          <w:szCs w:val="21"/>
        </w:rPr>
        <w:t>III</w:t>
      </w:r>
      <w:r>
        <w:rPr>
          <w:color w:val="auto"/>
          <w:szCs w:val="21"/>
        </w:rPr>
        <w:fldChar w:fldCharType="end"/>
      </w:r>
      <w:r>
        <w:rPr>
          <w:color w:val="auto"/>
          <w:szCs w:val="21"/>
        </w:rPr>
        <w:t>级的膨胀土地基和使用要求特别严格的地面，可采取地面配筋或地面架空等措施。经常用水房间的地面应设防水层，并保持排水通畅；</w:t>
      </w:r>
    </w:p>
    <w:p w14:paraId="100C1481">
      <w:pPr>
        <w:adjustRightInd w:val="0"/>
        <w:snapToGrid w:val="0"/>
        <w:spacing w:line="360" w:lineRule="atLeast"/>
        <w:ind w:firstLine="713" w:firstLineChars="338"/>
        <w:rPr>
          <w:color w:val="auto"/>
          <w:szCs w:val="21"/>
        </w:rPr>
      </w:pPr>
      <w:r>
        <w:rPr>
          <w:b/>
          <w:color w:val="auto"/>
          <w:szCs w:val="21"/>
        </w:rPr>
        <w:t>2</w:t>
      </w:r>
      <w:r>
        <w:rPr>
          <w:rFonts w:hint="eastAsia"/>
          <w:b/>
          <w:color w:val="auto"/>
          <w:szCs w:val="21"/>
        </w:rPr>
        <w:t>）</w:t>
      </w:r>
      <w:r>
        <w:rPr>
          <w:color w:val="auto"/>
          <w:szCs w:val="21"/>
        </w:rPr>
        <w:t>对使用要求不严格的工业与民用建筑地面，可按一般方法进行设计；</w:t>
      </w:r>
    </w:p>
    <w:p w14:paraId="17EE5166">
      <w:pPr>
        <w:adjustRightInd w:val="0"/>
        <w:snapToGrid w:val="0"/>
        <w:spacing w:line="360" w:lineRule="atLeast"/>
        <w:ind w:firstLine="713" w:firstLineChars="338"/>
        <w:rPr>
          <w:color w:val="auto"/>
          <w:szCs w:val="21"/>
        </w:rPr>
      </w:pPr>
      <w:r>
        <w:rPr>
          <w:b/>
          <w:color w:val="auto"/>
          <w:szCs w:val="21"/>
        </w:rPr>
        <w:t>3</w:t>
      </w:r>
      <w:r>
        <w:rPr>
          <w:rFonts w:hint="eastAsia"/>
          <w:b/>
          <w:color w:val="auto"/>
          <w:szCs w:val="21"/>
        </w:rPr>
        <w:t>）</w:t>
      </w:r>
      <w:r>
        <w:rPr>
          <w:color w:val="auto"/>
          <w:szCs w:val="21"/>
        </w:rPr>
        <w:t>大面积地面应做分格变形缝。地面、墙体、地沟、地坑和设备基础之间宜采用变形缝隔开。变形缝均应填嵌柔性防水材料</w:t>
      </w:r>
      <w:r>
        <w:rPr>
          <w:rFonts w:hint="eastAsia"/>
          <w:color w:val="auto"/>
          <w:szCs w:val="21"/>
        </w:rPr>
        <w:t>。</w:t>
      </w:r>
    </w:p>
    <w:p w14:paraId="07142D81">
      <w:pPr>
        <w:adjustRightInd w:val="0"/>
        <w:snapToGrid w:val="0"/>
        <w:spacing w:line="360" w:lineRule="atLeast"/>
        <w:ind w:firstLine="413" w:firstLineChars="196"/>
        <w:rPr>
          <w:color w:val="auto"/>
          <w:szCs w:val="21"/>
          <w:shd w:val="pct10" w:color="auto" w:fill="FFFFFF"/>
        </w:rPr>
      </w:pPr>
      <w:r>
        <w:rPr>
          <w:b/>
          <w:color w:val="auto"/>
        </w:rPr>
        <w:t xml:space="preserve">i)  </w:t>
      </w:r>
      <w:r>
        <w:rPr>
          <w:color w:val="auto"/>
          <w:szCs w:val="21"/>
        </w:rPr>
        <w:t>建筑物周围的广场、场区道路和人行便道设计应符合下列要求 ：</w:t>
      </w:r>
    </w:p>
    <w:p w14:paraId="29EBB1A5">
      <w:pPr>
        <w:adjustRightInd w:val="0"/>
        <w:snapToGrid w:val="0"/>
        <w:spacing w:line="360" w:lineRule="atLeast"/>
        <w:ind w:firstLine="727" w:firstLineChars="345"/>
        <w:rPr>
          <w:color w:val="auto"/>
          <w:szCs w:val="21"/>
        </w:rPr>
      </w:pPr>
      <w:r>
        <w:rPr>
          <w:b/>
          <w:color w:val="auto"/>
          <w:szCs w:val="21"/>
        </w:rPr>
        <w:t>1</w:t>
      </w:r>
      <w:r>
        <w:rPr>
          <w:rFonts w:hint="eastAsia"/>
          <w:b/>
          <w:color w:val="auto"/>
          <w:szCs w:val="21"/>
        </w:rPr>
        <w:t>）</w:t>
      </w:r>
      <w:r>
        <w:rPr>
          <w:color w:val="auto"/>
          <w:szCs w:val="21"/>
        </w:rPr>
        <w:t>建筑物周围的广场、场区道路和人行便道的标高应低于散水外缘；</w:t>
      </w:r>
    </w:p>
    <w:p w14:paraId="107FC03E">
      <w:pPr>
        <w:adjustRightInd w:val="0"/>
        <w:snapToGrid w:val="0"/>
        <w:spacing w:line="360" w:lineRule="atLeast"/>
        <w:ind w:left="241" w:leftChars="115" w:firstLine="472" w:firstLineChars="224"/>
        <w:rPr>
          <w:color w:val="auto"/>
          <w:szCs w:val="21"/>
        </w:rPr>
      </w:pPr>
      <w:r>
        <w:rPr>
          <w:b/>
          <w:color w:val="auto"/>
          <w:szCs w:val="21"/>
        </w:rPr>
        <w:t>2</w:t>
      </w:r>
      <w:r>
        <w:rPr>
          <w:rFonts w:hint="eastAsia"/>
          <w:b/>
          <w:color w:val="auto"/>
          <w:szCs w:val="21"/>
        </w:rPr>
        <w:t>）</w:t>
      </w:r>
      <w:r>
        <w:rPr>
          <w:color w:val="auto"/>
          <w:szCs w:val="21"/>
        </w:rPr>
        <w:t>场区道路宜采用灰土上铺砌大块石及砂卵石垫层、沥青混凝土或沥青表面处置面层。路肩宽度不应小于0.8m；</w:t>
      </w:r>
    </w:p>
    <w:p w14:paraId="7A8A1C70">
      <w:pPr>
        <w:adjustRightInd w:val="0"/>
        <w:snapToGrid w:val="0"/>
        <w:spacing w:line="360" w:lineRule="atLeast"/>
        <w:ind w:firstLine="713" w:firstLineChars="338"/>
        <w:rPr>
          <w:color w:val="auto"/>
        </w:rPr>
      </w:pPr>
      <w:r>
        <w:rPr>
          <w:b/>
          <w:color w:val="auto"/>
          <w:szCs w:val="21"/>
        </w:rPr>
        <w:t>3</w:t>
      </w:r>
      <w:r>
        <w:rPr>
          <w:rFonts w:hint="eastAsia"/>
          <w:b/>
          <w:color w:val="auto"/>
          <w:szCs w:val="21"/>
        </w:rPr>
        <w:t>）</w:t>
      </w:r>
      <w:r>
        <w:rPr>
          <w:color w:val="auto"/>
        </w:rPr>
        <w:t>人行便道宜采用预制块铺设，并宜与房屋散水相连接</w:t>
      </w:r>
      <w:bookmarkStart w:id="47" w:name="_Toc268878832"/>
      <w:bookmarkStart w:id="48" w:name="_Toc266953986"/>
      <w:bookmarkStart w:id="49" w:name="_Toc304381237"/>
      <w:bookmarkStart w:id="50" w:name="_Toc266438535"/>
      <w:r>
        <w:rPr>
          <w:rFonts w:hint="eastAsia"/>
          <w:color w:val="auto"/>
        </w:rPr>
        <w:t>；</w:t>
      </w:r>
    </w:p>
    <w:p w14:paraId="11697C01">
      <w:pPr>
        <w:adjustRightInd w:val="0"/>
        <w:snapToGrid w:val="0"/>
        <w:spacing w:line="360" w:lineRule="atLeast"/>
        <w:ind w:firstLine="713" w:firstLineChars="338"/>
        <w:rPr>
          <w:color w:val="auto"/>
          <w:szCs w:val="21"/>
        </w:rPr>
      </w:pPr>
      <w:r>
        <w:rPr>
          <w:rFonts w:hint="eastAsia"/>
          <w:b/>
          <w:color w:val="auto"/>
          <w:szCs w:val="21"/>
        </w:rPr>
        <w:t>4）</w:t>
      </w:r>
      <w:r>
        <w:rPr>
          <w:rFonts w:hint="eastAsia"/>
          <w:color w:val="auto"/>
          <w:szCs w:val="21"/>
        </w:rPr>
        <w:t>广场应设置有组织的截、排水系统。</w:t>
      </w:r>
    </w:p>
    <w:p w14:paraId="10CA2075">
      <w:pPr>
        <w:adjustRightInd w:val="0"/>
        <w:snapToGrid w:val="0"/>
        <w:spacing w:line="360" w:lineRule="atLeast"/>
        <w:rPr>
          <w:color w:val="auto"/>
        </w:rPr>
      </w:pPr>
      <w:r>
        <w:rPr>
          <w:b/>
          <w:color w:val="auto"/>
        </w:rPr>
        <w:t xml:space="preserve">11.1.21 </w:t>
      </w:r>
      <w:r>
        <w:rPr>
          <w:color w:val="auto"/>
          <w:szCs w:val="21"/>
        </w:rPr>
        <w:t xml:space="preserve"> </w:t>
      </w:r>
      <w:r>
        <w:rPr>
          <w:color w:val="auto"/>
        </w:rPr>
        <w:t>结构</w:t>
      </w:r>
      <w:bookmarkEnd w:id="45"/>
      <w:bookmarkEnd w:id="46"/>
      <w:r>
        <w:rPr>
          <w:color w:val="auto"/>
        </w:rPr>
        <w:t>措施</w:t>
      </w:r>
      <w:bookmarkEnd w:id="47"/>
      <w:bookmarkEnd w:id="48"/>
      <w:bookmarkEnd w:id="49"/>
      <w:bookmarkEnd w:id="50"/>
      <w:r>
        <w:rPr>
          <w:color w:val="auto"/>
        </w:rPr>
        <w:t>应符合下列规定：</w:t>
      </w:r>
    </w:p>
    <w:p w14:paraId="1094B919">
      <w:pPr>
        <w:adjustRightInd w:val="0"/>
        <w:snapToGrid w:val="0"/>
        <w:spacing w:line="360" w:lineRule="atLeast"/>
        <w:ind w:left="743" w:leftChars="200" w:hanging="323" w:hangingChars="153"/>
        <w:rPr>
          <w:color w:val="auto"/>
          <w:szCs w:val="21"/>
        </w:rPr>
      </w:pPr>
      <w:bookmarkStart w:id="51" w:name="_Toc258338220"/>
      <w:bookmarkStart w:id="52" w:name="_Toc257967212"/>
      <w:r>
        <w:rPr>
          <w:b/>
          <w:color w:val="auto"/>
        </w:rPr>
        <w:t>a)</w:t>
      </w:r>
      <w:r>
        <w:rPr>
          <w:color w:val="auto"/>
          <w:szCs w:val="21"/>
        </w:rPr>
        <w:t xml:space="preserve">  选择适宜的结构体系和基础型式，加强基础和上部结构的整体强度和刚度，并预留适应升降的空间。</w:t>
      </w:r>
    </w:p>
    <w:p w14:paraId="2C999CCB">
      <w:pPr>
        <w:adjustRightInd w:val="0"/>
        <w:snapToGrid w:val="0"/>
        <w:spacing w:line="360" w:lineRule="atLeast"/>
        <w:ind w:left="743" w:leftChars="200" w:hanging="323" w:hangingChars="153"/>
        <w:rPr>
          <w:color w:val="auto"/>
          <w:szCs w:val="21"/>
        </w:rPr>
      </w:pPr>
      <w:r>
        <w:rPr>
          <w:b/>
          <w:color w:val="auto"/>
        </w:rPr>
        <w:t>b)</w:t>
      </w:r>
      <w:r>
        <w:rPr>
          <w:color w:val="auto"/>
          <w:szCs w:val="21"/>
        </w:rPr>
        <w:t xml:space="preserve">  承重墙体应采用实心墙，墙厚不应小于240mm，砌体强度等级不应低于M</w:t>
      </w:r>
      <w:r>
        <w:rPr>
          <w:rFonts w:hint="eastAsia"/>
          <w:color w:val="auto"/>
          <w:szCs w:val="21"/>
        </w:rPr>
        <w:t>U</w:t>
      </w:r>
      <w:r>
        <w:rPr>
          <w:color w:val="auto"/>
          <w:szCs w:val="21"/>
        </w:rPr>
        <w:t>10，砌筑砂浆强度等级不应低于M5。不应采用空斗墙、砖拱、无砂大孔混凝土和无筋中型砌块；</w:t>
      </w:r>
    </w:p>
    <w:p w14:paraId="28378F4A">
      <w:pPr>
        <w:adjustRightInd w:val="0"/>
        <w:snapToGrid w:val="0"/>
        <w:spacing w:line="360" w:lineRule="atLeast"/>
        <w:ind w:left="757" w:leftChars="200" w:hanging="337" w:hangingChars="160"/>
        <w:rPr>
          <w:color w:val="auto"/>
          <w:szCs w:val="21"/>
        </w:rPr>
      </w:pPr>
      <w:r>
        <w:rPr>
          <w:b/>
          <w:color w:val="auto"/>
        </w:rPr>
        <w:t>c)</w:t>
      </w:r>
      <w:r>
        <w:rPr>
          <w:color w:val="auto"/>
          <w:szCs w:val="21"/>
        </w:rPr>
        <w:t xml:space="preserve">  建筑平面拐角部位不应设置门窗洞，墙体尽端至门窗洞边的有效宽度不宜小于1m；楼梯间不宜设在建筑物端部。</w:t>
      </w:r>
    </w:p>
    <w:p w14:paraId="17C6577C">
      <w:pPr>
        <w:adjustRightInd w:val="0"/>
        <w:snapToGrid w:val="0"/>
        <w:spacing w:line="360" w:lineRule="atLeast"/>
        <w:ind w:firstLine="413" w:firstLineChars="196"/>
        <w:rPr>
          <w:color w:val="auto"/>
          <w:szCs w:val="21"/>
        </w:rPr>
      </w:pPr>
      <w:r>
        <w:rPr>
          <w:b/>
          <w:color w:val="auto"/>
        </w:rPr>
        <w:t xml:space="preserve">d)  </w:t>
      </w:r>
      <w:r>
        <w:rPr>
          <w:color w:val="auto"/>
          <w:szCs w:val="21"/>
        </w:rPr>
        <w:t>砌体结构的圈梁设置应符合下列要求：</w:t>
      </w:r>
    </w:p>
    <w:p w14:paraId="58052678">
      <w:pPr>
        <w:adjustRightInd w:val="0"/>
        <w:snapToGrid w:val="0"/>
        <w:spacing w:line="360" w:lineRule="atLeast"/>
        <w:ind w:firstLine="727" w:firstLineChars="345"/>
        <w:rPr>
          <w:color w:val="auto"/>
          <w:szCs w:val="21"/>
        </w:rPr>
      </w:pPr>
      <w:r>
        <w:rPr>
          <w:b/>
          <w:color w:val="auto"/>
        </w:rPr>
        <w:t>1）</w:t>
      </w:r>
      <w:r>
        <w:rPr>
          <w:color w:val="auto"/>
          <w:szCs w:val="21"/>
        </w:rPr>
        <w:t>砌体结构应在基础顶部和屋盖处各设置一道钢筋混凝土圈梁，多层房屋的其他楼层处当为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级膨胀土地基时可隔层设置，当为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级膨胀土地基时应每层设置；</w:t>
      </w:r>
    </w:p>
    <w:p w14:paraId="02436795">
      <w:pPr>
        <w:adjustRightInd w:val="0"/>
        <w:snapToGrid w:val="0"/>
        <w:spacing w:line="360" w:lineRule="atLeast"/>
        <w:ind w:firstLine="727" w:firstLineChars="345"/>
        <w:rPr>
          <w:color w:val="auto"/>
          <w:szCs w:val="21"/>
        </w:rPr>
      </w:pPr>
      <w:r>
        <w:rPr>
          <w:b/>
          <w:color w:val="auto"/>
        </w:rPr>
        <w:t>2</w:t>
      </w:r>
      <w:r>
        <w:rPr>
          <w:rFonts w:hint="eastAsia"/>
          <w:b/>
          <w:color w:val="auto"/>
        </w:rPr>
        <w:t>）</w:t>
      </w:r>
      <w:r>
        <w:rPr>
          <w:color w:val="auto"/>
          <w:szCs w:val="21"/>
        </w:rPr>
        <w:t>单层厂房的围护墙体应在基础顶部和屋盖处各设置一道钢筋混凝土圈梁，当为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级膨胀土地基时沿墙高每隔4m增设一道、当为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 xml:space="preserve">级膨胀土地基时沿墙高每隔3m增设一道； </w:t>
      </w:r>
    </w:p>
    <w:p w14:paraId="74F26944">
      <w:pPr>
        <w:adjustRightInd w:val="0"/>
        <w:snapToGrid w:val="0"/>
        <w:spacing w:line="360" w:lineRule="atLeast"/>
        <w:ind w:firstLine="727" w:firstLineChars="345"/>
        <w:rPr>
          <w:color w:val="auto"/>
          <w:szCs w:val="21"/>
        </w:rPr>
      </w:pPr>
      <w:r>
        <w:rPr>
          <w:b/>
          <w:color w:val="auto"/>
        </w:rPr>
        <w:t>3</w:t>
      </w:r>
      <w:r>
        <w:rPr>
          <w:rFonts w:hint="eastAsia"/>
          <w:b/>
          <w:color w:val="auto"/>
        </w:rPr>
        <w:t>）</w:t>
      </w:r>
      <w:r>
        <w:rPr>
          <w:color w:val="auto"/>
          <w:szCs w:val="21"/>
        </w:rPr>
        <w:t>圈梁应在同一平面内闭合；</w:t>
      </w:r>
    </w:p>
    <w:p w14:paraId="7B40DCC6">
      <w:pPr>
        <w:adjustRightInd w:val="0"/>
        <w:snapToGrid w:val="0"/>
        <w:spacing w:line="360" w:lineRule="atLeast"/>
        <w:ind w:firstLine="727" w:firstLineChars="345"/>
        <w:rPr>
          <w:color w:val="auto"/>
          <w:szCs w:val="21"/>
        </w:rPr>
      </w:pPr>
      <w:r>
        <w:rPr>
          <w:b/>
          <w:color w:val="auto"/>
        </w:rPr>
        <w:t>4</w:t>
      </w:r>
      <w:r>
        <w:rPr>
          <w:rFonts w:hint="eastAsia"/>
          <w:b/>
          <w:color w:val="auto"/>
        </w:rPr>
        <w:t>）</w:t>
      </w:r>
      <w:r>
        <w:rPr>
          <w:color w:val="auto"/>
          <w:szCs w:val="21"/>
        </w:rPr>
        <w:t>基础顶面和屋盖处的圈梁高度不应小于240mm，其他位置不应小于180mm。圈梁的纵筋</w:t>
      </w:r>
      <w:r>
        <w:rPr>
          <w:rFonts w:hint="eastAsia"/>
          <w:color w:val="auto"/>
          <w:szCs w:val="21"/>
        </w:rPr>
        <w:t>直径</w:t>
      </w:r>
      <w:r>
        <w:rPr>
          <w:color w:val="auto"/>
          <w:szCs w:val="21"/>
        </w:rPr>
        <w:t>不小于</w:t>
      </w:r>
      <w:r>
        <w:rPr>
          <w:rFonts w:hint="eastAsia"/>
          <w:color w:val="auto"/>
          <w:szCs w:val="21"/>
        </w:rPr>
        <w:t>12mm，根数不少于</w:t>
      </w:r>
      <w:r>
        <w:rPr>
          <w:color w:val="auto"/>
          <w:szCs w:val="21"/>
        </w:rPr>
        <w:t>4</w:t>
      </w:r>
      <w:r>
        <w:rPr>
          <w:rFonts w:hint="eastAsia"/>
          <w:color w:val="auto"/>
          <w:szCs w:val="21"/>
        </w:rPr>
        <w:t>根</w:t>
      </w:r>
      <w:r>
        <w:rPr>
          <w:color w:val="auto"/>
          <w:szCs w:val="21"/>
        </w:rPr>
        <w:t>，箍筋</w:t>
      </w:r>
      <w:r>
        <w:rPr>
          <w:rFonts w:hint="eastAsia"/>
          <w:color w:val="auto"/>
          <w:szCs w:val="21"/>
        </w:rPr>
        <w:t>直径</w:t>
      </w:r>
      <w:r>
        <w:rPr>
          <w:color w:val="auto"/>
          <w:szCs w:val="21"/>
        </w:rPr>
        <w:t>不小于6</w:t>
      </w:r>
      <w:r>
        <w:rPr>
          <w:rFonts w:hint="eastAsia"/>
          <w:color w:val="auto"/>
          <w:szCs w:val="21"/>
        </w:rPr>
        <w:t>mm，间距不大于</w:t>
      </w:r>
      <w:r>
        <w:rPr>
          <w:color w:val="auto"/>
          <w:szCs w:val="21"/>
        </w:rPr>
        <w:t>200</w:t>
      </w:r>
      <w:r>
        <w:rPr>
          <w:rFonts w:hint="eastAsia"/>
          <w:color w:val="auto"/>
          <w:szCs w:val="21"/>
        </w:rPr>
        <w:t>mm</w:t>
      </w:r>
      <w:r>
        <w:rPr>
          <w:color w:val="auto"/>
          <w:szCs w:val="21"/>
        </w:rPr>
        <w:t>。基础圈梁混凝土强度等级不低于C25，其他圈梁混凝土强度等级不低于C20；</w:t>
      </w:r>
    </w:p>
    <w:p w14:paraId="116D4F96">
      <w:pPr>
        <w:adjustRightInd w:val="0"/>
        <w:snapToGrid w:val="0"/>
        <w:spacing w:line="360" w:lineRule="atLeast"/>
        <w:ind w:firstLine="413" w:firstLineChars="196"/>
        <w:rPr>
          <w:color w:val="auto"/>
          <w:szCs w:val="21"/>
        </w:rPr>
      </w:pPr>
      <w:r>
        <w:rPr>
          <w:b/>
          <w:color w:val="auto"/>
        </w:rPr>
        <w:t xml:space="preserve">e) </w:t>
      </w:r>
      <w:r>
        <w:rPr>
          <w:b/>
          <w:color w:val="auto"/>
          <w:szCs w:val="21"/>
        </w:rPr>
        <w:t xml:space="preserve"> </w:t>
      </w:r>
      <w:r>
        <w:rPr>
          <w:color w:val="auto"/>
          <w:szCs w:val="21"/>
        </w:rPr>
        <w:t xml:space="preserve">砌体结构应设置构造柱，并应符合下列要求： </w:t>
      </w:r>
    </w:p>
    <w:p w14:paraId="083AE6E7">
      <w:pPr>
        <w:adjustRightInd w:val="0"/>
        <w:snapToGrid w:val="0"/>
        <w:spacing w:line="360" w:lineRule="atLeast"/>
        <w:ind w:firstLine="713" w:firstLineChars="338"/>
        <w:rPr>
          <w:color w:val="auto"/>
          <w:szCs w:val="21"/>
        </w:rPr>
      </w:pPr>
      <w:r>
        <w:rPr>
          <w:b/>
          <w:color w:val="auto"/>
        </w:rPr>
        <w:t>1</w:t>
      </w:r>
      <w:r>
        <w:rPr>
          <w:rFonts w:hint="eastAsia"/>
          <w:b/>
          <w:color w:val="auto"/>
        </w:rPr>
        <w:t>）</w:t>
      </w:r>
      <w:r>
        <w:rPr>
          <w:color w:val="auto"/>
          <w:szCs w:val="21"/>
        </w:rPr>
        <w:t>构造柱</w:t>
      </w:r>
      <w:r>
        <w:rPr>
          <w:rFonts w:hint="eastAsia"/>
          <w:color w:val="auto"/>
          <w:szCs w:val="21"/>
        </w:rPr>
        <w:t>应</w:t>
      </w:r>
      <w:r>
        <w:rPr>
          <w:color w:val="auto"/>
          <w:szCs w:val="21"/>
        </w:rPr>
        <w:t>设置</w:t>
      </w:r>
      <w:r>
        <w:rPr>
          <w:rFonts w:hint="eastAsia"/>
          <w:color w:val="auto"/>
          <w:szCs w:val="21"/>
        </w:rPr>
        <w:t>在</w:t>
      </w:r>
      <w:r>
        <w:rPr>
          <w:color w:val="auto"/>
          <w:szCs w:val="21"/>
        </w:rPr>
        <w:t>：房屋的外墙拐角，楼（电）梯间，内、外墙交接处，开间大于4.2m的房间纵、横墙交接处，隔开间横墙与内纵墙交接处；</w:t>
      </w:r>
    </w:p>
    <w:p w14:paraId="20C9E602">
      <w:pPr>
        <w:adjustRightInd w:val="0"/>
        <w:snapToGrid w:val="0"/>
        <w:spacing w:line="360" w:lineRule="atLeast"/>
        <w:ind w:firstLine="713" w:firstLineChars="338"/>
        <w:rPr>
          <w:color w:val="auto"/>
          <w:szCs w:val="21"/>
        </w:rPr>
      </w:pPr>
      <w:r>
        <w:rPr>
          <w:b/>
          <w:color w:val="auto"/>
        </w:rPr>
        <w:t>2</w:t>
      </w:r>
      <w:r>
        <w:rPr>
          <w:rFonts w:hint="eastAsia"/>
          <w:b/>
          <w:color w:val="auto"/>
        </w:rPr>
        <w:t>）</w:t>
      </w:r>
      <w:r>
        <w:rPr>
          <w:color w:val="auto"/>
          <w:szCs w:val="21"/>
        </w:rPr>
        <w:t>构造柱的截面不</w:t>
      </w:r>
      <w:r>
        <w:rPr>
          <w:rFonts w:hint="eastAsia"/>
          <w:color w:val="auto"/>
          <w:szCs w:val="21"/>
        </w:rPr>
        <w:t>应</w:t>
      </w:r>
      <w:r>
        <w:rPr>
          <w:color w:val="auto"/>
          <w:szCs w:val="21"/>
        </w:rPr>
        <w:t>小于240mm×240mm，纵向钢筋</w:t>
      </w:r>
      <w:r>
        <w:rPr>
          <w:rFonts w:hint="eastAsia"/>
          <w:color w:val="auto"/>
          <w:szCs w:val="21"/>
        </w:rPr>
        <w:t>直径</w:t>
      </w:r>
      <w:r>
        <w:rPr>
          <w:color w:val="auto"/>
          <w:szCs w:val="21"/>
        </w:rPr>
        <w:t>不</w:t>
      </w:r>
      <w:r>
        <w:rPr>
          <w:rFonts w:hint="eastAsia"/>
          <w:color w:val="auto"/>
          <w:szCs w:val="21"/>
        </w:rPr>
        <w:t>应</w:t>
      </w:r>
      <w:r>
        <w:rPr>
          <w:color w:val="auto"/>
          <w:szCs w:val="21"/>
        </w:rPr>
        <w:t>小于</w:t>
      </w:r>
      <w:r>
        <w:rPr>
          <w:rFonts w:hint="eastAsia"/>
          <w:color w:val="auto"/>
          <w:szCs w:val="21"/>
        </w:rPr>
        <w:t>12mm，根数不少于</w:t>
      </w:r>
      <w:r>
        <w:rPr>
          <w:color w:val="auto"/>
          <w:szCs w:val="21"/>
        </w:rPr>
        <w:t>4</w:t>
      </w:r>
      <w:r>
        <w:rPr>
          <w:rFonts w:hint="eastAsia"/>
          <w:color w:val="auto"/>
          <w:szCs w:val="21"/>
        </w:rPr>
        <w:t>根</w:t>
      </w:r>
      <w:r>
        <w:rPr>
          <w:color w:val="auto"/>
          <w:szCs w:val="21"/>
        </w:rPr>
        <w:t>，箍筋</w:t>
      </w:r>
      <w:r>
        <w:rPr>
          <w:rFonts w:hint="eastAsia"/>
          <w:color w:val="auto"/>
          <w:szCs w:val="21"/>
        </w:rPr>
        <w:t>直径</w:t>
      </w:r>
      <w:r>
        <w:rPr>
          <w:color w:val="auto"/>
          <w:szCs w:val="21"/>
        </w:rPr>
        <w:t>不</w:t>
      </w:r>
      <w:r>
        <w:rPr>
          <w:rFonts w:hint="eastAsia"/>
          <w:color w:val="auto"/>
          <w:szCs w:val="21"/>
        </w:rPr>
        <w:t>应</w:t>
      </w:r>
      <w:r>
        <w:rPr>
          <w:color w:val="auto"/>
          <w:szCs w:val="21"/>
        </w:rPr>
        <w:t>小于6</w:t>
      </w:r>
      <w:r>
        <w:rPr>
          <w:rFonts w:hint="eastAsia"/>
          <w:color w:val="auto"/>
          <w:szCs w:val="21"/>
        </w:rPr>
        <w:t>mm，间距不应大于</w:t>
      </w:r>
      <w:r>
        <w:rPr>
          <w:color w:val="auto"/>
          <w:szCs w:val="21"/>
        </w:rPr>
        <w:t>200</w:t>
      </w:r>
      <w:r>
        <w:rPr>
          <w:rFonts w:hint="eastAsia"/>
          <w:color w:val="auto"/>
          <w:szCs w:val="21"/>
        </w:rPr>
        <w:t>mm</w:t>
      </w:r>
      <w:r>
        <w:rPr>
          <w:color w:val="auto"/>
          <w:szCs w:val="21"/>
        </w:rPr>
        <w:t>，混凝土强度等级不</w:t>
      </w:r>
      <w:r>
        <w:rPr>
          <w:rFonts w:hint="eastAsia"/>
          <w:color w:val="auto"/>
          <w:szCs w:val="21"/>
        </w:rPr>
        <w:t>应</w:t>
      </w:r>
      <w:r>
        <w:rPr>
          <w:color w:val="auto"/>
          <w:szCs w:val="21"/>
        </w:rPr>
        <w:t>低于C20；</w:t>
      </w:r>
    </w:p>
    <w:p w14:paraId="33B7B7B0">
      <w:pPr>
        <w:adjustRightInd w:val="0"/>
        <w:snapToGrid w:val="0"/>
        <w:spacing w:line="360" w:lineRule="atLeast"/>
        <w:ind w:firstLine="713" w:firstLineChars="338"/>
        <w:rPr>
          <w:color w:val="auto"/>
          <w:szCs w:val="21"/>
        </w:rPr>
      </w:pPr>
      <w:r>
        <w:rPr>
          <w:b/>
          <w:color w:val="auto"/>
        </w:rPr>
        <w:t>3</w:t>
      </w:r>
      <w:r>
        <w:rPr>
          <w:rFonts w:hint="eastAsia"/>
          <w:b/>
          <w:color w:val="auto"/>
        </w:rPr>
        <w:t>）</w:t>
      </w:r>
      <w:r>
        <w:rPr>
          <w:color w:val="auto"/>
          <w:szCs w:val="21"/>
        </w:rPr>
        <w:t>构造柱与圈梁连接处，构造柱的纵筋应上下贯通穿过圈梁，或锚入圈梁不小于35d；</w:t>
      </w:r>
    </w:p>
    <w:p w14:paraId="6C0B7AE4">
      <w:pPr>
        <w:adjustRightInd w:val="0"/>
        <w:snapToGrid w:val="0"/>
        <w:spacing w:line="360" w:lineRule="atLeast"/>
        <w:ind w:firstLine="713" w:firstLineChars="338"/>
        <w:rPr>
          <w:color w:val="auto"/>
          <w:szCs w:val="21"/>
        </w:rPr>
      </w:pPr>
      <w:r>
        <w:rPr>
          <w:b/>
          <w:color w:val="auto"/>
        </w:rPr>
        <w:t>4</w:t>
      </w:r>
      <w:r>
        <w:rPr>
          <w:rFonts w:hint="eastAsia"/>
          <w:b/>
          <w:color w:val="auto"/>
        </w:rPr>
        <w:t>）</w:t>
      </w:r>
      <w:r>
        <w:rPr>
          <w:color w:val="auto"/>
          <w:szCs w:val="21"/>
        </w:rPr>
        <w:t xml:space="preserve">构造柱可不单独设置基础，但纵筋应伸入基础圈梁或基础梁内35d。 </w:t>
      </w:r>
    </w:p>
    <w:p w14:paraId="7A71BAEF">
      <w:pPr>
        <w:adjustRightInd w:val="0"/>
        <w:snapToGrid w:val="0"/>
        <w:spacing w:line="360" w:lineRule="atLeast"/>
        <w:ind w:left="726" w:leftChars="196" w:hanging="314" w:hangingChars="149"/>
        <w:rPr>
          <w:color w:val="auto"/>
          <w:szCs w:val="21"/>
        </w:rPr>
      </w:pPr>
      <w:r>
        <w:rPr>
          <w:b/>
          <w:color w:val="auto"/>
        </w:rPr>
        <w:t xml:space="preserve">f)  </w:t>
      </w:r>
      <w:r>
        <w:rPr>
          <w:color w:val="auto"/>
          <w:szCs w:val="21"/>
        </w:rPr>
        <w:t>门窗或其他洞孔宽度大于等于600mm时，均应采用钢筋混凝土过梁，严禁采用砖拱过梁。在底层窗台处宜设置60mm厚的钢筋混凝土带并与构造柱拉接。</w:t>
      </w:r>
    </w:p>
    <w:p w14:paraId="4971FF37">
      <w:pPr>
        <w:adjustRightInd w:val="0"/>
        <w:snapToGrid w:val="0"/>
        <w:spacing w:line="360" w:lineRule="atLeast"/>
        <w:ind w:left="713" w:leftChars="197" w:hanging="299" w:hangingChars="142"/>
        <w:rPr>
          <w:color w:val="auto"/>
          <w:szCs w:val="21"/>
        </w:rPr>
      </w:pPr>
      <w:r>
        <w:rPr>
          <w:b/>
          <w:color w:val="auto"/>
        </w:rPr>
        <w:t xml:space="preserve">g)  </w:t>
      </w:r>
      <w:r>
        <w:rPr>
          <w:color w:val="auto"/>
          <w:szCs w:val="21"/>
        </w:rPr>
        <w:t xml:space="preserve">预制钢筋混凝土梁支承在墙体上的长度不应小于240mm；预制钢筋混凝土板支承在墙体的长度不应小于100mm、在梁上不应小于80mm。预制钢筋混凝土梁、板与支承部位应可靠拉接。 </w:t>
      </w:r>
    </w:p>
    <w:p w14:paraId="2E0A06DC">
      <w:pPr>
        <w:adjustRightInd w:val="0"/>
        <w:snapToGrid w:val="0"/>
        <w:spacing w:line="360" w:lineRule="atLeast"/>
        <w:ind w:left="726" w:leftChars="196" w:hanging="314" w:hangingChars="149"/>
        <w:rPr>
          <w:color w:val="auto"/>
          <w:szCs w:val="21"/>
        </w:rPr>
      </w:pPr>
      <w:r>
        <w:rPr>
          <w:b/>
          <w:color w:val="auto"/>
        </w:rPr>
        <w:t xml:space="preserve">h)  </w:t>
      </w:r>
      <w:r>
        <w:rPr>
          <w:color w:val="auto"/>
          <w:szCs w:val="21"/>
        </w:rPr>
        <w:t>框</w:t>
      </w:r>
      <w:r>
        <w:rPr>
          <w:rFonts w:hint="eastAsia"/>
          <w:color w:val="auto"/>
          <w:szCs w:val="21"/>
        </w:rPr>
        <w:t>架</w:t>
      </w:r>
      <w:r>
        <w:rPr>
          <w:color w:val="auto"/>
          <w:szCs w:val="21"/>
        </w:rPr>
        <w:t>、排架结构的围护墙体应与柱有可靠拉接，</w:t>
      </w:r>
      <w:r>
        <w:rPr>
          <w:rFonts w:hint="eastAsia"/>
          <w:color w:val="auto"/>
          <w:szCs w:val="21"/>
        </w:rPr>
        <w:t>且</w:t>
      </w:r>
      <w:r>
        <w:rPr>
          <w:color w:val="auto"/>
          <w:szCs w:val="21"/>
        </w:rPr>
        <w:t>宜砌置在基础梁上，基础梁下宜预留100mm空隙，并</w:t>
      </w:r>
      <w:r>
        <w:rPr>
          <w:rFonts w:hint="eastAsia"/>
          <w:color w:val="auto"/>
          <w:szCs w:val="21"/>
        </w:rPr>
        <w:t>应</w:t>
      </w:r>
      <w:r>
        <w:rPr>
          <w:color w:val="auto"/>
          <w:szCs w:val="21"/>
        </w:rPr>
        <w:t>做防水处理。</w:t>
      </w:r>
    </w:p>
    <w:p w14:paraId="317D31DB">
      <w:pPr>
        <w:adjustRightInd w:val="0"/>
        <w:snapToGrid w:val="0"/>
        <w:spacing w:line="360" w:lineRule="atLeast"/>
        <w:ind w:left="726" w:leftChars="196" w:hanging="314" w:hangingChars="149"/>
        <w:rPr>
          <w:color w:val="auto"/>
        </w:rPr>
      </w:pPr>
      <w:r>
        <w:rPr>
          <w:b/>
          <w:color w:val="auto"/>
        </w:rPr>
        <w:t xml:space="preserve">i)  </w:t>
      </w:r>
      <w:r>
        <w:rPr>
          <w:color w:val="auto"/>
        </w:rPr>
        <w:t>吊车梁应采用简支梁，吊车梁与吊车轨道之间应采用便于调整的连接方式。吊车顶面与屋架下弦的净空不宜小于200mm。</w:t>
      </w:r>
      <w:bookmarkEnd w:id="51"/>
      <w:bookmarkEnd w:id="52"/>
      <w:bookmarkStart w:id="53" w:name="_Toc257967213"/>
      <w:bookmarkStart w:id="54" w:name="_Toc258338221"/>
      <w:bookmarkStart w:id="55" w:name="_Toc266953987"/>
      <w:bookmarkStart w:id="56" w:name="_Toc266438536"/>
      <w:bookmarkStart w:id="57" w:name="_Toc304381238"/>
      <w:bookmarkStart w:id="58" w:name="_Toc268878833"/>
    </w:p>
    <w:bookmarkEnd w:id="53"/>
    <w:bookmarkEnd w:id="54"/>
    <w:p w14:paraId="6D551DE2">
      <w:pPr>
        <w:adjustRightInd w:val="0"/>
        <w:snapToGrid w:val="0"/>
        <w:spacing w:line="360" w:lineRule="atLeast"/>
        <w:rPr>
          <w:color w:val="auto"/>
        </w:rPr>
      </w:pPr>
      <w:r>
        <w:rPr>
          <w:b/>
          <w:color w:val="auto"/>
        </w:rPr>
        <w:t xml:space="preserve">11.1.22 </w:t>
      </w:r>
      <w:r>
        <w:rPr>
          <w:color w:val="auto"/>
        </w:rPr>
        <w:t xml:space="preserve"> 地基基础</w:t>
      </w:r>
      <w:bookmarkEnd w:id="55"/>
      <w:bookmarkEnd w:id="56"/>
      <w:bookmarkEnd w:id="57"/>
      <w:bookmarkEnd w:id="58"/>
      <w:r>
        <w:rPr>
          <w:color w:val="auto"/>
        </w:rPr>
        <w:t>设计应采用下列措施：</w:t>
      </w:r>
    </w:p>
    <w:p w14:paraId="233955F9">
      <w:pPr>
        <w:adjustRightInd w:val="0"/>
        <w:snapToGrid w:val="0"/>
        <w:spacing w:line="360" w:lineRule="atLeast"/>
        <w:ind w:firstLine="413" w:firstLineChars="196"/>
        <w:rPr>
          <w:color w:val="auto"/>
          <w:szCs w:val="21"/>
        </w:rPr>
      </w:pPr>
      <w:r>
        <w:rPr>
          <w:b/>
          <w:color w:val="auto"/>
        </w:rPr>
        <w:t xml:space="preserve">a)  </w:t>
      </w:r>
      <w:r>
        <w:rPr>
          <w:color w:val="auto"/>
          <w:szCs w:val="21"/>
        </w:rPr>
        <w:t>膨胀土的地基处理可采用换土、土性改良、砂石或灰土垫层等方法。</w:t>
      </w:r>
    </w:p>
    <w:p w14:paraId="2E58D388">
      <w:pPr>
        <w:adjustRightInd w:val="0"/>
        <w:snapToGrid w:val="0"/>
        <w:spacing w:line="360" w:lineRule="atLeast"/>
        <w:ind w:left="726" w:leftChars="196" w:hanging="314" w:hangingChars="149"/>
        <w:rPr>
          <w:b/>
          <w:color w:val="auto"/>
          <w:szCs w:val="21"/>
        </w:rPr>
      </w:pPr>
      <w:r>
        <w:rPr>
          <w:b/>
          <w:color w:val="auto"/>
        </w:rPr>
        <w:t xml:space="preserve">b)  </w:t>
      </w:r>
      <w:r>
        <w:rPr>
          <w:color w:val="auto"/>
          <w:szCs w:val="21"/>
        </w:rPr>
        <w:t>换土可采用非膨胀性土、灰土或改良土，换土厚度应通过变形计算确定。膨胀土土性改良可采用掺和水泥、石灰等材料，掺和比和施工工艺应通过试验确定。</w:t>
      </w:r>
    </w:p>
    <w:p w14:paraId="2DF9D74D">
      <w:pPr>
        <w:adjustRightInd w:val="0"/>
        <w:snapToGrid w:val="0"/>
        <w:spacing w:line="360" w:lineRule="atLeast"/>
        <w:ind w:left="713" w:leftChars="197" w:hanging="299" w:hangingChars="142"/>
        <w:rPr>
          <w:color w:val="auto"/>
          <w:szCs w:val="21"/>
        </w:rPr>
      </w:pPr>
      <w:r>
        <w:rPr>
          <w:b/>
          <w:color w:val="auto"/>
        </w:rPr>
        <w:t xml:space="preserve">c)  </w:t>
      </w:r>
      <w:r>
        <w:rPr>
          <w:color w:val="auto"/>
          <w:szCs w:val="21"/>
        </w:rPr>
        <w:t>平坦场地上胀缩等级为</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级的膨胀土地基宜采用砂、碎石垫层。垫层厚度不应小于300mm。垫层宽度应大于基底宽度，两侧宜采用与垫层相同的材料回填，并应做好防</w:t>
      </w:r>
      <w:r>
        <w:rPr>
          <w:rFonts w:hint="eastAsia"/>
          <w:color w:val="auto"/>
          <w:szCs w:val="21"/>
        </w:rPr>
        <w:t>水</w:t>
      </w:r>
      <w:r>
        <w:rPr>
          <w:color w:val="auto"/>
          <w:szCs w:val="21"/>
        </w:rPr>
        <w:t>、隔水处理。</w:t>
      </w:r>
    </w:p>
    <w:p w14:paraId="034559B7">
      <w:pPr>
        <w:adjustRightInd w:val="0"/>
        <w:snapToGrid w:val="0"/>
        <w:spacing w:line="360" w:lineRule="atLeast"/>
        <w:ind w:left="726" w:leftChars="196" w:hanging="314" w:hangingChars="149"/>
        <w:rPr>
          <w:color w:val="auto"/>
          <w:szCs w:val="21"/>
        </w:rPr>
      </w:pPr>
      <w:r>
        <w:rPr>
          <w:b/>
          <w:color w:val="auto"/>
        </w:rPr>
        <w:t xml:space="preserve">d)  </w:t>
      </w:r>
      <w:r>
        <w:rPr>
          <w:color w:val="auto"/>
          <w:szCs w:val="21"/>
        </w:rPr>
        <w:t>对较均匀胀缩等级为I级的膨胀土地基，可采用条形基础，基础埋深较大或基底压力较小时，宜采用墩基础；对胀缩等级为</w:t>
      </w:r>
      <w:r>
        <w:rPr>
          <w:rFonts w:hAnsi="宋体"/>
          <w:color w:val="auto"/>
          <w:szCs w:val="21"/>
        </w:rPr>
        <w:t>Ⅱ</w:t>
      </w:r>
      <w:r>
        <w:rPr>
          <w:color w:val="auto"/>
          <w:szCs w:val="21"/>
        </w:rPr>
        <w:t>、</w:t>
      </w:r>
      <w:r>
        <w:rPr>
          <w:rFonts w:hAnsi="宋体"/>
          <w:color w:val="auto"/>
          <w:szCs w:val="21"/>
        </w:rPr>
        <w:t>Ⅲ</w:t>
      </w:r>
      <w:r>
        <w:rPr>
          <w:color w:val="auto"/>
          <w:szCs w:val="21"/>
        </w:rPr>
        <w:t>级的膨胀土地基，宜进行地基处理或采用桩基础。</w:t>
      </w:r>
    </w:p>
    <w:p w14:paraId="79DFF4FE">
      <w:pPr>
        <w:adjustRightInd w:val="0"/>
        <w:snapToGrid w:val="0"/>
        <w:spacing w:line="360" w:lineRule="atLeast"/>
        <w:rPr>
          <w:color w:val="auto"/>
          <w:szCs w:val="21"/>
        </w:rPr>
      </w:pPr>
      <w:r>
        <w:rPr>
          <w:b/>
          <w:color w:val="auto"/>
        </w:rPr>
        <w:t xml:space="preserve">11.1.23  </w:t>
      </w:r>
      <w:r>
        <w:rPr>
          <w:color w:val="auto"/>
          <w:szCs w:val="21"/>
        </w:rPr>
        <w:t>桩基础设计应符合下列规定：</w:t>
      </w:r>
    </w:p>
    <w:p w14:paraId="35890253">
      <w:pPr>
        <w:adjustRightInd w:val="0"/>
        <w:snapToGrid w:val="0"/>
        <w:spacing w:line="360" w:lineRule="atLeast"/>
        <w:ind w:firstLine="420"/>
        <w:rPr>
          <w:color w:val="auto"/>
          <w:szCs w:val="21"/>
        </w:rPr>
      </w:pPr>
      <w:r>
        <w:rPr>
          <w:b/>
          <w:color w:val="auto"/>
        </w:rPr>
        <w:t>a)</w:t>
      </w:r>
      <w:r>
        <w:rPr>
          <w:color w:val="auto"/>
          <w:szCs w:val="21"/>
        </w:rPr>
        <w:t xml:space="preserve">  桩顶标高低于大气影响急剧层</w:t>
      </w:r>
      <w:r>
        <w:rPr>
          <w:rFonts w:hint="eastAsia"/>
          <w:color w:val="auto"/>
          <w:szCs w:val="21"/>
        </w:rPr>
        <w:t>深度</w:t>
      </w:r>
      <w:r>
        <w:rPr>
          <w:color w:val="auto"/>
          <w:szCs w:val="21"/>
        </w:rPr>
        <w:t>的高、重建筑物，可按一般桩基础进行设计；</w:t>
      </w:r>
    </w:p>
    <w:p w14:paraId="0A415441">
      <w:pPr>
        <w:adjustRightInd w:val="0"/>
        <w:snapToGrid w:val="0"/>
        <w:spacing w:line="360" w:lineRule="atLeast"/>
        <w:ind w:left="772" w:leftChars="200" w:hanging="352"/>
        <w:rPr>
          <w:color w:val="auto"/>
          <w:szCs w:val="21"/>
        </w:rPr>
      </w:pPr>
      <w:r>
        <w:rPr>
          <w:b/>
          <w:color w:val="auto"/>
        </w:rPr>
        <w:t>b)</w:t>
      </w:r>
      <w:r>
        <w:rPr>
          <w:color w:val="auto"/>
          <w:szCs w:val="21"/>
        </w:rPr>
        <w:t xml:space="preserve">  桩顶标高位于大气影响急剧层</w:t>
      </w:r>
      <w:r>
        <w:rPr>
          <w:rFonts w:hint="eastAsia"/>
          <w:color w:val="auto"/>
          <w:szCs w:val="21"/>
        </w:rPr>
        <w:t>深度</w:t>
      </w:r>
      <w:r>
        <w:rPr>
          <w:color w:val="auto"/>
          <w:szCs w:val="21"/>
        </w:rPr>
        <w:t>内的三层及三层以下的轻型建筑物，桩基础设计应符合下列要求：</w:t>
      </w:r>
    </w:p>
    <w:p w14:paraId="3EB32925">
      <w:pPr>
        <w:adjustRightInd w:val="0"/>
        <w:snapToGrid w:val="0"/>
        <w:spacing w:line="360" w:lineRule="atLeast"/>
        <w:ind w:firstLine="740" w:firstLineChars="351"/>
        <w:rPr>
          <w:color w:val="auto"/>
          <w:szCs w:val="21"/>
        </w:rPr>
      </w:pPr>
      <w:r>
        <w:rPr>
          <w:b/>
          <w:color w:val="auto"/>
        </w:rPr>
        <w:t>1）</w:t>
      </w:r>
      <w:r>
        <w:rPr>
          <w:color w:val="auto"/>
          <w:szCs w:val="21"/>
        </w:rPr>
        <w:t>按承载力计算时应考虑土中水份变化对其承载力的影响。单桩承载力特征值可根据当地经验确定。无资料时，应通过现场载荷试验确定；</w:t>
      </w:r>
    </w:p>
    <w:p w14:paraId="11AB42C3">
      <w:pPr>
        <w:adjustRightInd w:val="0"/>
        <w:snapToGrid w:val="0"/>
        <w:spacing w:line="360" w:lineRule="atLeast"/>
        <w:ind w:left="6" w:leftChars="3" w:firstLine="740" w:firstLineChars="351"/>
        <w:rPr>
          <w:color w:val="auto"/>
          <w:szCs w:val="21"/>
        </w:rPr>
      </w:pPr>
      <w:r>
        <w:rPr>
          <w:b/>
          <w:color w:val="auto"/>
        </w:rPr>
        <w:t>2）</w:t>
      </w:r>
      <w:r>
        <w:rPr>
          <w:color w:val="auto"/>
          <w:szCs w:val="21"/>
        </w:rPr>
        <w:t>桩端进入大气影响急剧层</w:t>
      </w:r>
      <w:r>
        <w:rPr>
          <w:rFonts w:hint="eastAsia"/>
          <w:color w:val="auto"/>
          <w:szCs w:val="21"/>
        </w:rPr>
        <w:t>深度</w:t>
      </w:r>
      <w:r>
        <w:rPr>
          <w:color w:val="auto"/>
          <w:szCs w:val="21"/>
        </w:rPr>
        <w:t>以下或非膨胀土层中的长度应满足下列要求：</w:t>
      </w:r>
    </w:p>
    <w:p w14:paraId="098A198C">
      <w:pPr>
        <w:adjustRightInd w:val="0"/>
        <w:snapToGrid w:val="0"/>
        <w:spacing w:line="360" w:lineRule="atLeast"/>
        <w:ind w:firstLine="420" w:firstLineChars="200"/>
        <w:rPr>
          <w:color w:val="auto"/>
          <w:szCs w:val="21"/>
        </w:rPr>
      </w:pPr>
      <w:r>
        <w:rPr>
          <w:color w:val="auto"/>
          <w:szCs w:val="21"/>
        </w:rPr>
        <w:t>按膨胀变形计算时，应符合</w:t>
      </w:r>
      <w:r>
        <w:rPr>
          <w:rFonts w:hint="eastAsia"/>
          <w:color w:val="auto"/>
          <w:lang w:val="en-US" w:eastAsia="zh-CN"/>
        </w:rPr>
        <w:t>公式（66）</w:t>
      </w:r>
      <w:r>
        <w:rPr>
          <w:color w:val="auto"/>
          <w:szCs w:val="21"/>
        </w:rPr>
        <w:t>要求：</w:t>
      </w:r>
    </w:p>
    <w:p w14:paraId="177CFC42">
      <w:pPr>
        <w:pStyle w:val="12"/>
        <w:jc w:val="right"/>
        <w:rPr>
          <w:color w:val="auto"/>
          <w:szCs w:val="21"/>
        </w:rPr>
      </w:pPr>
      <w:r>
        <w:rPr>
          <w:color w:val="auto"/>
          <w:position w:val="-32"/>
          <w:szCs w:val="21"/>
        </w:rPr>
        <w:object>
          <v:shape id="_x0000_i1335" o:spt="75" type="#_x0000_t75" style="height:36.75pt;width:72pt;" o:ole="t" filled="f" o:preferrelative="t" stroked="f" coordsize="21600,21600">
            <v:path/>
            <v:fill on="f" focussize="0,0"/>
            <v:stroke on="f" joinstyle="miter"/>
            <v:imagedata r:id="rId607" o:title=""/>
            <o:lock v:ext="edit" aspectratio="t"/>
            <w10:wrap type="none"/>
            <w10:anchorlock/>
          </v:shape>
          <o:OLEObject Type="Embed" ProgID="Equation.3" ShapeID="_x0000_i1335" DrawAspect="Content" ObjectID="_1468076035" r:id="rId606">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66</w:t>
      </w:r>
      <w:r>
        <w:rPr>
          <w:color w:val="auto"/>
          <w:szCs w:val="21"/>
        </w:rPr>
        <w:fldChar w:fldCharType="end"/>
      </w:r>
      <w:r>
        <w:rPr>
          <w:color w:val="auto"/>
          <w:szCs w:val="21"/>
        </w:rPr>
        <w:t>）</w:t>
      </w:r>
    </w:p>
    <w:p w14:paraId="1B06D918">
      <w:pPr>
        <w:adjustRightInd w:val="0"/>
        <w:snapToGrid w:val="0"/>
        <w:spacing w:line="360" w:lineRule="atLeast"/>
        <w:ind w:firstLine="420" w:firstLineChars="200"/>
        <w:rPr>
          <w:color w:val="auto"/>
          <w:szCs w:val="21"/>
        </w:rPr>
      </w:pPr>
      <w:r>
        <w:rPr>
          <w:color w:val="auto"/>
          <w:szCs w:val="21"/>
        </w:rPr>
        <w:t>按收缩变形计算时，应符合</w:t>
      </w:r>
      <w:r>
        <w:rPr>
          <w:rFonts w:hint="eastAsia"/>
          <w:color w:val="auto"/>
          <w:lang w:val="en-US" w:eastAsia="zh-CN"/>
        </w:rPr>
        <w:t>公式（67）</w:t>
      </w:r>
      <w:r>
        <w:rPr>
          <w:color w:val="auto"/>
          <w:szCs w:val="21"/>
        </w:rPr>
        <w:t>要求：</w:t>
      </w:r>
    </w:p>
    <w:p w14:paraId="384FCB70">
      <w:pPr>
        <w:pStyle w:val="12"/>
        <w:jc w:val="right"/>
        <w:rPr>
          <w:color w:val="auto"/>
          <w:szCs w:val="21"/>
        </w:rPr>
      </w:pPr>
      <w:r>
        <w:rPr>
          <w:color w:val="auto"/>
          <w:position w:val="-32"/>
          <w:szCs w:val="21"/>
        </w:rPr>
        <w:object>
          <v:shape id="_x0000_i1336" o:spt="75" type="#_x0000_t75" style="height:36.75pt;width:87pt;" o:ole="t" filled="f" o:preferrelative="t" stroked="f" coordsize="21600,21600">
            <v:path/>
            <v:fill on="f" focussize="0,0"/>
            <v:stroke on="f" joinstyle="miter"/>
            <v:imagedata r:id="rId609" o:title=""/>
            <o:lock v:ext="edit" aspectratio="t"/>
            <w10:wrap type="none"/>
            <w10:anchorlock/>
          </v:shape>
          <o:OLEObject Type="Embed" ProgID="Equation.3" ShapeID="_x0000_i1336" DrawAspect="Content" ObjectID="_1468076036" r:id="rId608">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67</w:t>
      </w:r>
      <w:r>
        <w:rPr>
          <w:color w:val="auto"/>
          <w:szCs w:val="21"/>
        </w:rPr>
        <w:fldChar w:fldCharType="end"/>
      </w:r>
      <w:r>
        <w:rPr>
          <w:color w:val="auto"/>
          <w:szCs w:val="21"/>
        </w:rPr>
        <w:t>）</w:t>
      </w:r>
    </w:p>
    <w:p w14:paraId="2C907CE5">
      <w:pPr>
        <w:adjustRightInd w:val="0"/>
        <w:snapToGrid w:val="0"/>
        <w:spacing w:line="360" w:lineRule="atLeast"/>
        <w:ind w:firstLine="420" w:firstLineChars="200"/>
        <w:rPr>
          <w:color w:val="auto"/>
          <w:szCs w:val="21"/>
        </w:rPr>
      </w:pPr>
      <w:r>
        <w:rPr>
          <w:color w:val="auto"/>
          <w:szCs w:val="21"/>
        </w:rPr>
        <w:t>按胀缩变形计算时，计算长度应取式（65）和式（66）中的较大值， 且不得小于4倍桩径及1倍扩大端的直径，最小长度应大于1.5m。</w:t>
      </w:r>
    </w:p>
    <w:p w14:paraId="29E0CB1E">
      <w:pPr>
        <w:tabs>
          <w:tab w:val="left" w:pos="1276"/>
          <w:tab w:val="left" w:pos="1998"/>
        </w:tabs>
        <w:adjustRightInd w:val="0"/>
        <w:snapToGrid w:val="0"/>
        <w:spacing w:line="360" w:lineRule="atLeast"/>
        <w:jc w:val="left"/>
        <w:rPr>
          <w:color w:val="auto"/>
          <w:kern w:val="0"/>
          <w:szCs w:val="21"/>
        </w:rPr>
      </w:pPr>
      <w:r>
        <w:rPr>
          <w:color w:val="auto"/>
          <w:szCs w:val="21"/>
        </w:rPr>
        <w:t>式中：</w:t>
      </w:r>
      <w:r>
        <w:rPr>
          <w:color w:val="auto"/>
          <w:position w:val="-12"/>
          <w:szCs w:val="21"/>
        </w:rPr>
        <w:object>
          <v:shape id="_x0000_i1337" o:spt="75" type="#_x0000_t75" style="height:21.75pt;width:8.25pt;" o:ole="t" filled="f" o:preferrelative="t" stroked="f" coordsize="21600,21600">
            <v:path/>
            <v:fill on="f" focussize="0,0"/>
            <v:stroke on="f" joinstyle="miter"/>
            <v:imagedata r:id="rId611" o:title=""/>
            <o:lock v:ext="edit" aspectratio="t"/>
            <w10:wrap type="none"/>
            <w10:anchorlock/>
          </v:shape>
          <o:OLEObject Type="Embed" ProgID="Equation.3" ShapeID="_x0000_i1337" DrawAspect="Content" ObjectID="_1468076037" r:id="rId610">
            <o:LockedField>false</o:LockedField>
          </o:OLEObject>
        </w:object>
      </w:r>
      <w:r>
        <w:rPr>
          <w:color w:val="auto"/>
          <w:szCs w:val="21"/>
        </w:rPr>
        <w:t>——桩端进入大气影响急剧层以下或非膨胀土层中的长度（</w:t>
      </w:r>
      <w:r>
        <w:rPr>
          <w:rFonts w:hint="eastAsia"/>
          <w:color w:val="auto"/>
          <w:szCs w:val="21"/>
        </w:rPr>
        <w:t>m</w:t>
      </w:r>
      <w:r>
        <w:rPr>
          <w:color w:val="auto"/>
          <w:szCs w:val="21"/>
        </w:rPr>
        <w:t>）；</w:t>
      </w:r>
    </w:p>
    <w:p w14:paraId="1B1D8F23">
      <w:pPr>
        <w:tabs>
          <w:tab w:val="left" w:pos="1998"/>
        </w:tabs>
        <w:adjustRightInd w:val="0"/>
        <w:snapToGrid w:val="0"/>
        <w:spacing w:line="360" w:lineRule="atLeast"/>
        <w:ind w:firstLine="573" w:firstLineChars="273"/>
        <w:jc w:val="left"/>
        <w:rPr>
          <w:color w:val="auto"/>
          <w:kern w:val="0"/>
          <w:szCs w:val="21"/>
        </w:rPr>
      </w:pPr>
      <w:r>
        <w:rPr>
          <w:color w:val="auto"/>
          <w:position w:val="-12"/>
          <w:szCs w:val="21"/>
        </w:rPr>
        <w:object>
          <v:shape id="_x0000_i1338" o:spt="75" type="#_x0000_t75" style="height:21.75pt;width:15pt;" o:ole="t" filled="f" o:preferrelative="t" stroked="f" coordsize="21600,21600">
            <v:path/>
            <v:fill on="f" focussize="0,0"/>
            <v:stroke on="f" joinstyle="miter"/>
            <v:imagedata r:id="rId613" o:title=""/>
            <o:lock v:ext="edit" aspectratio="t"/>
            <w10:wrap type="none"/>
            <w10:anchorlock/>
          </v:shape>
          <o:OLEObject Type="Embed" ProgID="Equation.3" ShapeID="_x0000_i1338" DrawAspect="Content" ObjectID="_1468076038" r:id="rId612">
            <o:LockedField>false</o:LockedField>
          </o:OLEObject>
        </w:object>
      </w:r>
      <w:r>
        <w:rPr>
          <w:color w:val="auto"/>
          <w:szCs w:val="21"/>
        </w:rPr>
        <w:t>——在大气影响急剧层内桩侧土的最大胀拔力标准值，应由当地经验或试验确定（</w:t>
      </w:r>
      <w:r>
        <w:rPr>
          <w:rFonts w:hint="eastAsia"/>
          <w:color w:val="auto"/>
          <w:szCs w:val="21"/>
        </w:rPr>
        <w:t>kN</w:t>
      </w:r>
      <w:r>
        <w:rPr>
          <w:color w:val="auto"/>
          <w:szCs w:val="21"/>
        </w:rPr>
        <w:t>）；</w:t>
      </w:r>
    </w:p>
    <w:p w14:paraId="1F0BC71D">
      <w:pPr>
        <w:tabs>
          <w:tab w:val="left" w:pos="1998"/>
        </w:tabs>
        <w:adjustRightInd w:val="0"/>
        <w:snapToGrid w:val="0"/>
        <w:spacing w:line="360" w:lineRule="atLeast"/>
        <w:ind w:left="1257" w:leftChars="232" w:hanging="770" w:hangingChars="367"/>
        <w:jc w:val="left"/>
        <w:rPr>
          <w:color w:val="auto"/>
          <w:kern w:val="0"/>
          <w:szCs w:val="21"/>
        </w:rPr>
      </w:pPr>
      <w:r>
        <w:rPr>
          <w:color w:val="auto"/>
          <w:position w:val="-12"/>
          <w:szCs w:val="21"/>
        </w:rPr>
        <w:object>
          <v:shape id="_x0000_i1339" o:spt="75" type="#_x0000_t75" style="height:21.75pt;width:15pt;" o:ole="t" filled="f" o:preferrelative="t" stroked="f" coordsize="21600,21600">
            <v:path/>
            <v:fill on="f" focussize="0,0"/>
            <v:stroke on="f" joinstyle="miter"/>
            <v:imagedata r:id="rId615" o:title=""/>
            <o:lock v:ext="edit" aspectratio="t"/>
            <w10:wrap type="none"/>
            <w10:anchorlock/>
          </v:shape>
          <o:OLEObject Type="Embed" ProgID="Equation.DSMT4" ShapeID="_x0000_i1339" DrawAspect="Content" ObjectID="_1468076039" r:id="rId614">
            <o:LockedField>false</o:LockedField>
          </o:OLEObject>
        </w:object>
      </w:r>
      <w:r>
        <w:rPr>
          <w:color w:val="auto"/>
          <w:szCs w:val="21"/>
        </w:rPr>
        <w:t>——对应于荷载效应标准组合，最不利工况下作用于桩顶的竖向力，包括承台和承台上土的自重（</w:t>
      </w:r>
      <w:r>
        <w:rPr>
          <w:rFonts w:hint="eastAsia"/>
          <w:color w:val="auto"/>
          <w:szCs w:val="21"/>
        </w:rPr>
        <w:t>kN</w:t>
      </w:r>
      <w:r>
        <w:rPr>
          <w:color w:val="auto"/>
          <w:szCs w:val="21"/>
        </w:rPr>
        <w:t>）；</w:t>
      </w:r>
    </w:p>
    <w:p w14:paraId="5FB0A23A">
      <w:pPr>
        <w:tabs>
          <w:tab w:val="left" w:pos="1998"/>
        </w:tabs>
        <w:adjustRightInd w:val="0"/>
        <w:snapToGrid w:val="0"/>
        <w:spacing w:line="360" w:lineRule="atLeast"/>
        <w:ind w:firstLine="525" w:firstLineChars="250"/>
        <w:jc w:val="left"/>
        <w:rPr>
          <w:color w:val="auto"/>
          <w:kern w:val="0"/>
          <w:szCs w:val="21"/>
        </w:rPr>
      </w:pPr>
      <w:r>
        <w:rPr>
          <w:color w:val="auto"/>
          <w:position w:val="-14"/>
          <w:szCs w:val="21"/>
        </w:rPr>
        <w:object>
          <v:shape id="_x0000_i1340" o:spt="75" type="#_x0000_t75" style="height:21.75pt;width:15pt;" o:ole="t" filled="f" o:preferrelative="t" stroked="f" coordsize="21600,21600">
            <v:path/>
            <v:fill on="f" focussize="0,0"/>
            <v:stroke on="f" joinstyle="miter"/>
            <v:imagedata r:id="rId617" o:title=""/>
            <o:lock v:ext="edit" aspectratio="t"/>
            <w10:wrap type="none"/>
            <w10:anchorlock/>
          </v:shape>
          <o:OLEObject Type="Embed" ProgID="Equation.3" ShapeID="_x0000_i1340" DrawAspect="Content" ObjectID="_1468076040" r:id="rId616">
            <o:LockedField>false</o:LockedField>
          </o:OLEObject>
        </w:object>
      </w:r>
      <w:r>
        <w:rPr>
          <w:color w:val="auto"/>
          <w:szCs w:val="21"/>
        </w:rPr>
        <w:t>——桩身周长（</w:t>
      </w:r>
      <w:r>
        <w:rPr>
          <w:rFonts w:hint="eastAsia"/>
          <w:color w:val="auto"/>
          <w:szCs w:val="21"/>
        </w:rPr>
        <w:t>m</w:t>
      </w:r>
      <w:r>
        <w:rPr>
          <w:color w:val="auto"/>
          <w:szCs w:val="21"/>
        </w:rPr>
        <w:t>）；</w:t>
      </w:r>
    </w:p>
    <w:p w14:paraId="02C3BB43">
      <w:pPr>
        <w:tabs>
          <w:tab w:val="left" w:pos="1998"/>
        </w:tabs>
        <w:adjustRightInd w:val="0"/>
        <w:snapToGrid w:val="0"/>
        <w:spacing w:line="360" w:lineRule="atLeast"/>
        <w:ind w:left="1245" w:leftChars="280" w:hanging="657" w:hangingChars="313"/>
        <w:jc w:val="left"/>
        <w:rPr>
          <w:color w:val="auto"/>
          <w:kern w:val="0"/>
          <w:szCs w:val="21"/>
        </w:rPr>
      </w:pPr>
      <w:r>
        <w:rPr>
          <w:color w:val="auto"/>
          <w:position w:val="-6"/>
          <w:szCs w:val="21"/>
        </w:rPr>
        <w:object>
          <v:shape id="_x0000_i1341" o:spt="75" type="#_x0000_t75" style="height:15pt;width:15pt;" o:ole="t" filled="f" o:preferrelative="t" stroked="f" coordsize="21600,21600">
            <v:path/>
            <v:fill on="f" focussize="0,0"/>
            <v:stroke on="f" joinstyle="miter"/>
            <v:imagedata r:id="rId619" o:title=""/>
            <o:lock v:ext="edit" aspectratio="t"/>
            <w10:wrap type="none"/>
            <w10:anchorlock/>
          </v:shape>
          <o:OLEObject Type="Embed" ProgID="Equation.3" ShapeID="_x0000_i1341" DrawAspect="Content" ObjectID="_1468076041" r:id="rId618">
            <o:LockedField>false</o:LockedField>
          </o:OLEObject>
        </w:object>
      </w:r>
      <w:r>
        <w:rPr>
          <w:color w:val="auto"/>
          <w:szCs w:val="21"/>
        </w:rPr>
        <w:t>——桩侧土的抗</w:t>
      </w:r>
      <w:r>
        <w:rPr>
          <w:rFonts w:hint="eastAsia"/>
          <w:color w:val="auto"/>
          <w:szCs w:val="21"/>
        </w:rPr>
        <w:t>拔</w:t>
      </w:r>
      <w:r>
        <w:rPr>
          <w:color w:val="auto"/>
          <w:szCs w:val="21"/>
        </w:rPr>
        <w:t>系数，应由试验或当地经验确定；当无此资料时，可按现行行业标准JGJ</w:t>
      </w:r>
      <w:r>
        <w:rPr>
          <w:rFonts w:hint="eastAsia"/>
          <w:color w:val="auto"/>
          <w:szCs w:val="21"/>
          <w:lang w:val="en-US" w:eastAsia="zh-CN"/>
        </w:rPr>
        <w:t xml:space="preserve"> </w:t>
      </w:r>
      <w:r>
        <w:rPr>
          <w:color w:val="auto"/>
          <w:szCs w:val="21"/>
        </w:rPr>
        <w:t>94的相关规定取值；</w:t>
      </w:r>
    </w:p>
    <w:p w14:paraId="43BCAAD3">
      <w:pPr>
        <w:tabs>
          <w:tab w:val="left" w:pos="1998"/>
        </w:tabs>
        <w:adjustRightInd w:val="0"/>
        <w:snapToGrid w:val="0"/>
        <w:spacing w:line="360" w:lineRule="atLeast"/>
        <w:ind w:firstLine="525" w:firstLineChars="250"/>
        <w:jc w:val="left"/>
        <w:rPr>
          <w:color w:val="auto"/>
          <w:kern w:val="0"/>
          <w:szCs w:val="21"/>
        </w:rPr>
      </w:pPr>
      <w:r>
        <w:rPr>
          <w:color w:val="auto"/>
          <w:position w:val="-14"/>
          <w:szCs w:val="21"/>
        </w:rPr>
        <w:object>
          <v:shape id="_x0000_i1342" o:spt="75" type="#_x0000_t75" style="height:21.75pt;width:15pt;" o:ole="t" filled="f" o:preferrelative="t" stroked="f" coordsize="21600,21600">
            <v:path/>
            <v:fill on="f" focussize="0,0"/>
            <v:stroke on="f" joinstyle="miter"/>
            <v:imagedata r:id="rId621" o:title=""/>
            <o:lock v:ext="edit" aspectratio="t"/>
            <w10:wrap type="none"/>
            <w10:anchorlock/>
          </v:shape>
          <o:OLEObject Type="Embed" ProgID="Equation.3" ShapeID="_x0000_i1342" DrawAspect="Content" ObjectID="_1468076042" r:id="rId620">
            <o:LockedField>false</o:LockedField>
          </o:OLEObject>
        </w:object>
      </w:r>
      <w:r>
        <w:rPr>
          <w:color w:val="auto"/>
          <w:szCs w:val="21"/>
        </w:rPr>
        <w:t>——桩端截面积（</w:t>
      </w:r>
      <w:r>
        <w:rPr>
          <w:rFonts w:hint="eastAsia"/>
          <w:color w:val="auto"/>
          <w:szCs w:val="21"/>
        </w:rPr>
        <w:t>m</w:t>
      </w:r>
      <w:r>
        <w:rPr>
          <w:rFonts w:hint="eastAsia"/>
          <w:color w:val="auto"/>
          <w:szCs w:val="21"/>
          <w:vertAlign w:val="superscript"/>
        </w:rPr>
        <w:t>2</w:t>
      </w:r>
      <w:r>
        <w:rPr>
          <w:color w:val="auto"/>
          <w:szCs w:val="21"/>
        </w:rPr>
        <w:t>）；</w:t>
      </w:r>
    </w:p>
    <w:p w14:paraId="01EB05FA">
      <w:pPr>
        <w:tabs>
          <w:tab w:val="left" w:pos="1998"/>
        </w:tabs>
        <w:adjustRightInd w:val="0"/>
        <w:snapToGrid w:val="0"/>
        <w:spacing w:line="360" w:lineRule="atLeast"/>
        <w:ind w:firstLine="447" w:firstLineChars="213"/>
        <w:jc w:val="left"/>
        <w:rPr>
          <w:color w:val="auto"/>
          <w:szCs w:val="21"/>
        </w:rPr>
      </w:pPr>
      <w:r>
        <w:rPr>
          <w:color w:val="auto"/>
          <w:position w:val="-14"/>
          <w:szCs w:val="21"/>
        </w:rPr>
        <w:object>
          <v:shape id="_x0000_i1343" o:spt="75" type="#_x0000_t75" style="height:21.75pt;width:15pt;" o:ole="t" filled="f" o:preferrelative="t" stroked="f" coordsize="21600,21600">
            <v:path/>
            <v:fill on="f" focussize="0,0"/>
            <v:stroke on="f" joinstyle="miter"/>
            <v:imagedata r:id="rId623" o:title=""/>
            <o:lock v:ext="edit" aspectratio="t"/>
            <w10:wrap type="none"/>
            <w10:anchorlock/>
          </v:shape>
          <o:OLEObject Type="Embed" ProgID="Equation.3" ShapeID="_x0000_i1343" DrawAspect="Content" ObjectID="_1468076043" r:id="rId622">
            <o:LockedField>false</o:LockedField>
          </o:OLEObject>
        </w:object>
      </w:r>
      <w:r>
        <w:rPr>
          <w:color w:val="auto"/>
          <w:szCs w:val="21"/>
        </w:rPr>
        <w:t>——桩的端阻力特征值（</w:t>
      </w:r>
      <w:r>
        <w:rPr>
          <w:rFonts w:hint="eastAsia"/>
          <w:color w:val="auto"/>
          <w:szCs w:val="21"/>
        </w:rPr>
        <w:t>kPa</w:t>
      </w:r>
      <w:r>
        <w:rPr>
          <w:color w:val="auto"/>
          <w:szCs w:val="21"/>
        </w:rPr>
        <w:t>）；</w:t>
      </w:r>
    </w:p>
    <w:p w14:paraId="4B566F8F">
      <w:pPr>
        <w:tabs>
          <w:tab w:val="left" w:pos="1998"/>
        </w:tabs>
        <w:adjustRightInd w:val="0"/>
        <w:snapToGrid w:val="0"/>
        <w:spacing w:line="360" w:lineRule="atLeast"/>
        <w:ind w:firstLine="474" w:firstLineChars="226"/>
        <w:jc w:val="left"/>
        <w:rPr>
          <w:color w:val="auto"/>
          <w:szCs w:val="21"/>
        </w:rPr>
      </w:pPr>
      <w:r>
        <w:rPr>
          <w:color w:val="auto"/>
          <w:position w:val="-12"/>
          <w:szCs w:val="21"/>
        </w:rPr>
        <w:object>
          <v:shape id="_x0000_i1344" o:spt="75" type="#_x0000_t75" style="height:21.75pt;width:15pt;" o:ole="t" filled="f" o:preferrelative="t" stroked="f" coordsize="21600,21600">
            <v:path/>
            <v:fill on="f" focussize="0,0"/>
            <v:stroke on="f" joinstyle="miter"/>
            <v:imagedata r:id="rId625" o:title=""/>
            <o:lock v:ext="edit" aspectratio="t"/>
            <w10:wrap type="none"/>
            <w10:anchorlock/>
          </v:shape>
          <o:OLEObject Type="Embed" ProgID="Equation.3" ShapeID="_x0000_i1344" DrawAspect="Content" ObjectID="_1468076044" r:id="rId624">
            <o:LockedField>false</o:LockedField>
          </o:OLEObject>
        </w:object>
      </w:r>
      <w:r>
        <w:rPr>
          <w:color w:val="auto"/>
          <w:szCs w:val="21"/>
        </w:rPr>
        <w:t>——桩的侧阻力特征值（</w:t>
      </w:r>
      <w:r>
        <w:rPr>
          <w:rFonts w:hint="eastAsia"/>
          <w:color w:val="auto"/>
          <w:szCs w:val="21"/>
        </w:rPr>
        <w:t>kPa</w:t>
      </w:r>
      <w:r>
        <w:rPr>
          <w:color w:val="auto"/>
          <w:szCs w:val="21"/>
        </w:rPr>
        <w:t>）。</w:t>
      </w:r>
    </w:p>
    <w:p w14:paraId="30F3E16A">
      <w:pPr>
        <w:adjustRightInd w:val="0"/>
        <w:snapToGrid w:val="0"/>
        <w:spacing w:line="360" w:lineRule="atLeast"/>
        <w:ind w:left="743" w:leftChars="200" w:hanging="323" w:hangingChars="153"/>
        <w:rPr>
          <w:color w:val="auto"/>
          <w:szCs w:val="21"/>
        </w:rPr>
      </w:pPr>
      <w:r>
        <w:rPr>
          <w:b/>
          <w:color w:val="auto"/>
          <w:szCs w:val="21"/>
        </w:rPr>
        <w:t>c)</w:t>
      </w:r>
      <w:r>
        <w:rPr>
          <w:color w:val="auto"/>
          <w:szCs w:val="21"/>
        </w:rPr>
        <w:t xml:space="preserve">  当桩身承受胀拔力时，应进行桩身抗拉强度和裂缝宽度控制验算，并采取通长配筋，最小配筋率应符合现行国家标准GB</w:t>
      </w:r>
      <w:r>
        <w:rPr>
          <w:rFonts w:hint="eastAsia"/>
          <w:color w:val="auto"/>
          <w:szCs w:val="21"/>
          <w:lang w:val="en-US" w:eastAsia="zh-CN"/>
        </w:rPr>
        <w:t xml:space="preserve"> </w:t>
      </w:r>
      <w:r>
        <w:rPr>
          <w:color w:val="auto"/>
          <w:szCs w:val="21"/>
        </w:rPr>
        <w:t>50007的要求；</w:t>
      </w:r>
    </w:p>
    <w:p w14:paraId="7D0AF41B">
      <w:pPr>
        <w:adjustRightInd w:val="0"/>
        <w:snapToGrid w:val="0"/>
        <w:spacing w:line="360" w:lineRule="atLeast"/>
        <w:ind w:left="757" w:leftChars="200" w:hanging="337" w:hangingChars="160"/>
        <w:rPr>
          <w:color w:val="auto"/>
          <w:szCs w:val="21"/>
        </w:rPr>
      </w:pPr>
      <w:r>
        <w:rPr>
          <w:b/>
          <w:color w:val="auto"/>
          <w:szCs w:val="21"/>
        </w:rPr>
        <w:t>d)</w:t>
      </w:r>
      <w:r>
        <w:rPr>
          <w:color w:val="auto"/>
          <w:szCs w:val="21"/>
        </w:rPr>
        <w:t xml:space="preserve">  桩承台梁下应留有空隙，其值应大于土层浸水后的最大膨胀量，且不</w:t>
      </w:r>
      <w:r>
        <w:rPr>
          <w:rFonts w:hint="eastAsia"/>
          <w:color w:val="auto"/>
          <w:szCs w:val="21"/>
        </w:rPr>
        <w:t>应</w:t>
      </w:r>
      <w:r>
        <w:rPr>
          <w:color w:val="auto"/>
          <w:szCs w:val="21"/>
        </w:rPr>
        <w:t>小于100mm。承台梁两侧应采取防止空隙堵塞的措施。</w:t>
      </w:r>
    </w:p>
    <w:p w14:paraId="0562E732">
      <w:pPr>
        <w:adjustRightInd w:val="0"/>
        <w:snapToGrid w:val="0"/>
        <w:spacing w:line="360" w:lineRule="atLeast"/>
        <w:rPr>
          <w:color w:val="auto"/>
          <w:szCs w:val="21"/>
        </w:rPr>
      </w:pPr>
      <w:r>
        <w:rPr>
          <w:b/>
          <w:color w:val="auto"/>
        </w:rPr>
        <w:t xml:space="preserve">11.1.24  </w:t>
      </w:r>
      <w:r>
        <w:rPr>
          <w:color w:val="auto"/>
          <w:szCs w:val="21"/>
        </w:rPr>
        <w:t>膨胀土地区的挡土墙等支挡结构的设计与构造措施</w:t>
      </w:r>
      <w:r>
        <w:rPr>
          <w:rFonts w:hint="eastAsia"/>
          <w:color w:val="auto"/>
          <w:szCs w:val="21"/>
        </w:rPr>
        <w:t>及管道处理措施</w:t>
      </w:r>
      <w:r>
        <w:rPr>
          <w:color w:val="auto"/>
          <w:szCs w:val="21"/>
        </w:rPr>
        <w:t>应符合GB</w:t>
      </w:r>
      <w:r>
        <w:rPr>
          <w:rFonts w:hint="eastAsia"/>
          <w:color w:val="auto"/>
          <w:szCs w:val="21"/>
          <w:lang w:val="en-US" w:eastAsia="zh-CN"/>
        </w:rPr>
        <w:t xml:space="preserve"> </w:t>
      </w:r>
      <w:r>
        <w:rPr>
          <w:rFonts w:hint="eastAsia"/>
          <w:color w:val="auto"/>
          <w:szCs w:val="21"/>
        </w:rPr>
        <w:t>50</w:t>
      </w:r>
      <w:r>
        <w:rPr>
          <w:color w:val="auto"/>
          <w:szCs w:val="21"/>
        </w:rPr>
        <w:t>112的规定。</w:t>
      </w:r>
    </w:p>
    <w:p w14:paraId="2807369A">
      <w:pPr>
        <w:snapToGrid w:val="0"/>
        <w:spacing w:line="360" w:lineRule="atLeast"/>
        <w:rPr>
          <w:color w:val="auto"/>
          <w:szCs w:val="21"/>
        </w:rPr>
      </w:pPr>
    </w:p>
    <w:p w14:paraId="28307034">
      <w:pPr>
        <w:adjustRightInd w:val="0"/>
        <w:snapToGrid w:val="0"/>
        <w:spacing w:line="340" w:lineRule="exact"/>
        <w:outlineLvl w:val="1"/>
        <w:rPr>
          <w:rFonts w:eastAsia="黑体"/>
          <w:b/>
          <w:bCs/>
          <w:color w:val="auto"/>
          <w:szCs w:val="21"/>
        </w:rPr>
      </w:pPr>
      <w:bookmarkStart w:id="59" w:name="_Toc199943603"/>
      <w:r>
        <w:rPr>
          <w:rFonts w:eastAsia="黑体"/>
          <w:b/>
          <w:bCs/>
          <w:color w:val="auto"/>
          <w:szCs w:val="21"/>
        </w:rPr>
        <w:t>11.2  红黏土地基</w:t>
      </w:r>
      <w:bookmarkEnd w:id="59"/>
    </w:p>
    <w:p w14:paraId="1D8FD0A2">
      <w:pPr>
        <w:adjustRightInd w:val="0"/>
        <w:snapToGrid w:val="0"/>
        <w:spacing w:line="360" w:lineRule="atLeast"/>
        <w:rPr>
          <w:b/>
          <w:color w:val="auto"/>
          <w:szCs w:val="21"/>
        </w:rPr>
      </w:pPr>
    </w:p>
    <w:p w14:paraId="097D31A6">
      <w:pPr>
        <w:adjustRightInd w:val="0"/>
        <w:snapToGrid w:val="0"/>
        <w:spacing w:line="360" w:lineRule="atLeast"/>
        <w:rPr>
          <w:color w:val="auto"/>
          <w:szCs w:val="21"/>
        </w:rPr>
      </w:pPr>
      <w:r>
        <w:rPr>
          <w:rFonts w:eastAsia="黑体"/>
          <w:b/>
          <w:bCs/>
          <w:color w:val="auto"/>
          <w:szCs w:val="21"/>
        </w:rPr>
        <w:t>11.2.1</w:t>
      </w:r>
      <w:r>
        <w:rPr>
          <w:color w:val="auto"/>
          <w:szCs w:val="21"/>
        </w:rPr>
        <w:t xml:space="preserve">  应采用钻探和原位测试相结合的方法</w:t>
      </w:r>
      <w:r>
        <w:rPr>
          <w:rFonts w:hint="eastAsia"/>
          <w:color w:val="auto"/>
          <w:szCs w:val="21"/>
        </w:rPr>
        <w:t>，着重</w:t>
      </w:r>
      <w:r>
        <w:rPr>
          <w:color w:val="auto"/>
          <w:szCs w:val="21"/>
        </w:rPr>
        <w:t>查明红黏土</w:t>
      </w:r>
      <w:r>
        <w:rPr>
          <w:rFonts w:hint="eastAsia"/>
          <w:color w:val="auto"/>
          <w:szCs w:val="21"/>
        </w:rPr>
        <w:t>状态分布、裂隙发育特征及地基</w:t>
      </w:r>
      <w:r>
        <w:rPr>
          <w:color w:val="auto"/>
          <w:szCs w:val="21"/>
        </w:rPr>
        <w:t>的不均匀性，提供相应的承载力和变形计算参数。原生红黏土的地基承载力特征值</w:t>
      </w:r>
      <w:r>
        <w:rPr>
          <w:i/>
          <w:color w:val="auto"/>
          <w:szCs w:val="21"/>
        </w:rPr>
        <w:t>f</w:t>
      </w:r>
      <w:r>
        <w:rPr>
          <w:iCs/>
          <w:color w:val="auto"/>
          <w:szCs w:val="21"/>
          <w:vertAlign w:val="subscript"/>
        </w:rPr>
        <w:t>ak</w:t>
      </w:r>
      <w:r>
        <w:rPr>
          <w:color w:val="auto"/>
          <w:szCs w:val="21"/>
        </w:rPr>
        <w:t>可按本文件第7.2.3条及附录</w:t>
      </w:r>
      <w:r>
        <w:rPr>
          <w:iCs/>
          <w:color w:val="auto"/>
          <w:szCs w:val="21"/>
        </w:rPr>
        <w:t>E</w:t>
      </w:r>
      <w:r>
        <w:rPr>
          <w:color w:val="auto"/>
          <w:szCs w:val="21"/>
        </w:rPr>
        <w:t>表</w:t>
      </w:r>
      <w:r>
        <w:rPr>
          <w:iCs/>
          <w:color w:val="auto"/>
          <w:szCs w:val="21"/>
        </w:rPr>
        <w:t>E</w:t>
      </w:r>
      <w:r>
        <w:rPr>
          <w:color w:val="auto"/>
          <w:szCs w:val="21"/>
        </w:rPr>
        <w:t>.8确定，当红黏土为未经扰动的下卧层时，可通过静载试验</w:t>
      </w:r>
      <w:r>
        <w:rPr>
          <w:rFonts w:hint="eastAsia"/>
          <w:color w:val="auto"/>
          <w:szCs w:val="21"/>
        </w:rPr>
        <w:t>及原位测试</w:t>
      </w:r>
      <w:r>
        <w:rPr>
          <w:color w:val="auto"/>
          <w:szCs w:val="21"/>
        </w:rPr>
        <w:t>等方法适当提高红黏土承载力。</w:t>
      </w:r>
    </w:p>
    <w:p w14:paraId="652CC94B">
      <w:pPr>
        <w:adjustRightInd w:val="0"/>
        <w:snapToGrid w:val="0"/>
        <w:spacing w:line="360" w:lineRule="atLeast"/>
        <w:rPr>
          <w:color w:val="auto"/>
          <w:szCs w:val="21"/>
        </w:rPr>
      </w:pPr>
      <w:r>
        <w:rPr>
          <w:rFonts w:eastAsia="黑体"/>
          <w:b/>
          <w:bCs/>
          <w:color w:val="auto"/>
          <w:szCs w:val="21"/>
        </w:rPr>
        <w:t>11.2.2</w:t>
      </w:r>
      <w:r>
        <w:rPr>
          <w:color w:val="auto"/>
          <w:szCs w:val="21"/>
        </w:rPr>
        <w:t xml:space="preserve">  当基础浅埋、外侧地面倾斜、有临空面或承受较大水平荷载时，应考虑土体结构和裂隙对承载力的影响，以及开挖面长时间暴露导致裂隙发展和复浸水对土质的影响，宜适当降低承载力特征值，或对临空面进行可靠的支挡、封闭处理。</w:t>
      </w:r>
    </w:p>
    <w:p w14:paraId="23570284">
      <w:pPr>
        <w:adjustRightInd w:val="0"/>
        <w:snapToGrid w:val="0"/>
        <w:spacing w:line="360" w:lineRule="atLeast"/>
        <w:rPr>
          <w:color w:val="auto"/>
          <w:szCs w:val="21"/>
        </w:rPr>
      </w:pPr>
      <w:r>
        <w:rPr>
          <w:rFonts w:eastAsia="黑体"/>
          <w:b/>
          <w:bCs/>
          <w:color w:val="auto"/>
          <w:szCs w:val="21"/>
        </w:rPr>
        <w:t>11.2.3</w:t>
      </w:r>
      <w:r>
        <w:rPr>
          <w:color w:val="auto"/>
          <w:szCs w:val="21"/>
        </w:rPr>
        <w:t xml:space="preserve">  对于压缩层范围内全部由红黏土组成的均匀地基，基础宜浅埋，利用浅部较硬土层作天然地基持力层，持力层应及时封闭，不得浸水。当红黏土地基不均匀时可进行地基处理或采用桩基础。有土洞存在时，尚应按本文件第11.3节的有关规定进行处理。</w:t>
      </w:r>
    </w:p>
    <w:p w14:paraId="471AFC1B">
      <w:pPr>
        <w:adjustRightInd w:val="0"/>
        <w:snapToGrid w:val="0"/>
        <w:spacing w:line="360" w:lineRule="atLeast"/>
        <w:rPr>
          <w:color w:val="auto"/>
          <w:szCs w:val="21"/>
        </w:rPr>
      </w:pPr>
      <w:r>
        <w:rPr>
          <w:rFonts w:eastAsia="黑体"/>
          <w:b/>
          <w:bCs/>
          <w:color w:val="auto"/>
          <w:szCs w:val="21"/>
        </w:rPr>
        <w:t>11.2.4</w:t>
      </w:r>
      <w:r>
        <w:rPr>
          <w:color w:val="auto"/>
          <w:szCs w:val="21"/>
        </w:rPr>
        <w:t xml:space="preserve">  对于压缩层范围内由红黏土与岩石共同组成的不均匀地基，应按本文件第10.4节和第11.3节的有关规定进行设计。</w:t>
      </w:r>
    </w:p>
    <w:p w14:paraId="1597AF7B">
      <w:pPr>
        <w:adjustRightInd w:val="0"/>
        <w:snapToGrid w:val="0"/>
        <w:spacing w:line="360" w:lineRule="atLeast"/>
        <w:rPr>
          <w:b/>
          <w:bCs/>
          <w:color w:val="auto"/>
          <w:szCs w:val="21"/>
        </w:rPr>
      </w:pPr>
      <w:r>
        <w:rPr>
          <w:rFonts w:eastAsia="黑体"/>
          <w:b/>
          <w:bCs/>
          <w:color w:val="auto"/>
          <w:szCs w:val="21"/>
        </w:rPr>
        <w:t>11.2.5</w:t>
      </w:r>
      <w:r>
        <w:rPr>
          <w:color w:val="auto"/>
          <w:szCs w:val="21"/>
        </w:rPr>
        <w:t xml:space="preserve">  对炉窑等高温设备的基础应考虑地基土的不均匀收缩变形。</w:t>
      </w:r>
    </w:p>
    <w:p w14:paraId="540165EA">
      <w:pPr>
        <w:adjustRightInd w:val="0"/>
        <w:snapToGrid w:val="0"/>
        <w:spacing w:line="360" w:lineRule="auto"/>
        <w:jc w:val="center"/>
        <w:rPr>
          <w:rFonts w:eastAsia="黑体"/>
          <w:b/>
          <w:color w:val="auto"/>
          <w:szCs w:val="21"/>
        </w:rPr>
      </w:pPr>
    </w:p>
    <w:p w14:paraId="441245D8">
      <w:pPr>
        <w:adjustRightInd w:val="0"/>
        <w:snapToGrid w:val="0"/>
        <w:spacing w:line="340" w:lineRule="exact"/>
        <w:outlineLvl w:val="1"/>
        <w:rPr>
          <w:rFonts w:eastAsia="黑体"/>
          <w:b/>
          <w:bCs/>
          <w:color w:val="auto"/>
          <w:szCs w:val="21"/>
        </w:rPr>
      </w:pPr>
      <w:bookmarkStart w:id="60" w:name="_Toc199943604"/>
      <w:r>
        <w:rPr>
          <w:rFonts w:eastAsia="黑体"/>
          <w:b/>
          <w:bCs/>
          <w:color w:val="auto"/>
          <w:szCs w:val="21"/>
        </w:rPr>
        <w:t>11.3  岩溶、土洞及地面塌陷场地</w:t>
      </w:r>
      <w:bookmarkEnd w:id="60"/>
    </w:p>
    <w:p w14:paraId="2AB20FE1">
      <w:pPr>
        <w:adjustRightInd w:val="0"/>
        <w:snapToGrid w:val="0"/>
        <w:spacing w:line="340" w:lineRule="exact"/>
        <w:rPr>
          <w:color w:val="auto"/>
          <w:szCs w:val="21"/>
        </w:rPr>
      </w:pPr>
    </w:p>
    <w:p w14:paraId="03895DCC">
      <w:pPr>
        <w:pStyle w:val="20"/>
        <w:adjustRightInd w:val="0"/>
        <w:snapToGrid w:val="0"/>
        <w:spacing w:line="340" w:lineRule="exact"/>
        <w:ind w:left="0" w:leftChars="0"/>
        <w:rPr>
          <w:color w:val="auto"/>
          <w:szCs w:val="21"/>
        </w:rPr>
      </w:pPr>
      <w:r>
        <w:rPr>
          <w:rFonts w:eastAsia="黑体"/>
          <w:b/>
          <w:bCs/>
          <w:color w:val="auto"/>
          <w:szCs w:val="21"/>
        </w:rPr>
        <w:t>11.3.1</w:t>
      </w:r>
      <w:r>
        <w:rPr>
          <w:color w:val="auto"/>
          <w:szCs w:val="21"/>
        </w:rPr>
        <w:t xml:space="preserve">  岩溶场地可根据岩溶发育程度划分为三个等级，应根据具体情况，按表51划分。</w:t>
      </w:r>
    </w:p>
    <w:p w14:paraId="34FC6922">
      <w:pPr>
        <w:adjustRightInd w:val="0"/>
        <w:snapToGrid w:val="0"/>
        <w:spacing w:before="240" w:line="340" w:lineRule="atLeast"/>
        <w:ind w:right="482"/>
        <w:jc w:val="center"/>
        <w:rPr>
          <w:rFonts w:eastAsia="黑体"/>
          <w:b/>
          <w:color w:val="auto"/>
          <w:szCs w:val="21"/>
        </w:rPr>
      </w:pPr>
      <w:r>
        <w:rPr>
          <w:rFonts w:eastAsia="黑体"/>
          <w:b/>
          <w:color w:val="auto"/>
          <w:szCs w:val="21"/>
        </w:rPr>
        <w:t>表51   岩溶发育程度</w:t>
      </w:r>
    </w:p>
    <w:tbl>
      <w:tblPr>
        <w:tblStyle w:val="36"/>
        <w:tblW w:w="91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62"/>
        <w:gridCol w:w="7172"/>
      </w:tblGrid>
      <w:tr w14:paraId="64CEB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962" w:type="dxa"/>
            <w:vAlign w:val="center"/>
          </w:tcPr>
          <w:p w14:paraId="7CB29565">
            <w:pPr>
              <w:jc w:val="center"/>
              <w:rPr>
                <w:color w:val="auto"/>
                <w:sz w:val="18"/>
                <w:szCs w:val="18"/>
              </w:rPr>
            </w:pPr>
            <w:r>
              <w:rPr>
                <w:color w:val="auto"/>
                <w:sz w:val="18"/>
                <w:szCs w:val="18"/>
              </w:rPr>
              <w:t>等 级</w:t>
            </w:r>
          </w:p>
        </w:tc>
        <w:tc>
          <w:tcPr>
            <w:tcW w:w="7172" w:type="dxa"/>
            <w:vAlign w:val="center"/>
          </w:tcPr>
          <w:p w14:paraId="0E0C2C3F">
            <w:pPr>
              <w:jc w:val="center"/>
              <w:rPr>
                <w:color w:val="auto"/>
                <w:sz w:val="18"/>
                <w:szCs w:val="18"/>
              </w:rPr>
            </w:pPr>
            <w:r>
              <w:rPr>
                <w:color w:val="auto"/>
                <w:sz w:val="18"/>
                <w:szCs w:val="18"/>
              </w:rPr>
              <w:t>岩</w:t>
            </w:r>
            <w:r>
              <w:rPr>
                <w:rFonts w:hint="eastAsia"/>
                <w:color w:val="auto"/>
                <w:sz w:val="18"/>
                <w:szCs w:val="18"/>
              </w:rPr>
              <w:t xml:space="preserve"> </w:t>
            </w:r>
            <w:r>
              <w:rPr>
                <w:color w:val="auto"/>
                <w:sz w:val="18"/>
                <w:szCs w:val="18"/>
              </w:rPr>
              <w:t>溶</w:t>
            </w:r>
            <w:r>
              <w:rPr>
                <w:rFonts w:hint="eastAsia"/>
                <w:color w:val="auto"/>
                <w:sz w:val="18"/>
                <w:szCs w:val="18"/>
              </w:rPr>
              <w:t xml:space="preserve"> </w:t>
            </w:r>
            <w:r>
              <w:rPr>
                <w:color w:val="auto"/>
                <w:sz w:val="18"/>
                <w:szCs w:val="18"/>
              </w:rPr>
              <w:t>场</w:t>
            </w:r>
            <w:r>
              <w:rPr>
                <w:rFonts w:hint="eastAsia"/>
                <w:color w:val="auto"/>
                <w:sz w:val="18"/>
                <w:szCs w:val="18"/>
              </w:rPr>
              <w:t xml:space="preserve"> </w:t>
            </w:r>
            <w:r>
              <w:rPr>
                <w:color w:val="auto"/>
                <w:sz w:val="18"/>
                <w:szCs w:val="18"/>
              </w:rPr>
              <w:t>地</w:t>
            </w:r>
            <w:r>
              <w:rPr>
                <w:rFonts w:hint="eastAsia"/>
                <w:color w:val="auto"/>
                <w:sz w:val="18"/>
                <w:szCs w:val="18"/>
              </w:rPr>
              <w:t xml:space="preserve"> </w:t>
            </w:r>
            <w:r>
              <w:rPr>
                <w:color w:val="auto"/>
                <w:sz w:val="18"/>
                <w:szCs w:val="18"/>
              </w:rPr>
              <w:t>条</w:t>
            </w:r>
            <w:r>
              <w:rPr>
                <w:rFonts w:hint="eastAsia"/>
                <w:color w:val="auto"/>
                <w:sz w:val="18"/>
                <w:szCs w:val="18"/>
              </w:rPr>
              <w:t xml:space="preserve"> </w:t>
            </w:r>
            <w:r>
              <w:rPr>
                <w:color w:val="auto"/>
                <w:sz w:val="18"/>
                <w:szCs w:val="18"/>
              </w:rPr>
              <w:t>件</w:t>
            </w:r>
          </w:p>
        </w:tc>
      </w:tr>
      <w:tr w14:paraId="47B4E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62" w:type="dxa"/>
          </w:tcPr>
          <w:p w14:paraId="24F308D8">
            <w:pPr>
              <w:jc w:val="center"/>
              <w:rPr>
                <w:color w:val="auto"/>
                <w:sz w:val="18"/>
                <w:szCs w:val="18"/>
              </w:rPr>
            </w:pPr>
            <w:r>
              <w:rPr>
                <w:color w:val="auto"/>
                <w:sz w:val="18"/>
                <w:szCs w:val="18"/>
              </w:rPr>
              <w:t>岩溶强发育</w:t>
            </w:r>
          </w:p>
        </w:tc>
        <w:tc>
          <w:tcPr>
            <w:tcW w:w="7172" w:type="dxa"/>
          </w:tcPr>
          <w:p w14:paraId="42EA5331">
            <w:pPr>
              <w:snapToGrid w:val="0"/>
              <w:jc w:val="left"/>
              <w:rPr>
                <w:color w:val="auto"/>
                <w:sz w:val="18"/>
                <w:szCs w:val="18"/>
              </w:rPr>
            </w:pPr>
            <w:r>
              <w:rPr>
                <w:color w:val="auto"/>
                <w:sz w:val="18"/>
                <w:szCs w:val="18"/>
              </w:rPr>
              <w:t>地表有较多岩溶塌陷、漏斗、洼地、泉眼</w:t>
            </w:r>
          </w:p>
          <w:p w14:paraId="619E218A">
            <w:pPr>
              <w:snapToGrid w:val="0"/>
              <w:jc w:val="left"/>
              <w:rPr>
                <w:color w:val="auto"/>
                <w:sz w:val="18"/>
                <w:szCs w:val="18"/>
              </w:rPr>
            </w:pPr>
            <w:r>
              <w:rPr>
                <w:color w:val="auto"/>
                <w:sz w:val="18"/>
                <w:szCs w:val="18"/>
              </w:rPr>
              <w:t>溶沟、溶槽、石芽密布，相邻钻孔间存在临空面且基岩面高差大于5m</w:t>
            </w:r>
          </w:p>
          <w:p w14:paraId="43DD73A6">
            <w:pPr>
              <w:snapToGrid w:val="0"/>
              <w:jc w:val="left"/>
              <w:rPr>
                <w:color w:val="auto"/>
                <w:sz w:val="18"/>
                <w:szCs w:val="18"/>
              </w:rPr>
            </w:pPr>
            <w:r>
              <w:rPr>
                <w:color w:val="auto"/>
                <w:sz w:val="18"/>
                <w:szCs w:val="18"/>
              </w:rPr>
              <w:t>地下有暗河、伏流</w:t>
            </w:r>
          </w:p>
          <w:p w14:paraId="6680C6CC">
            <w:pPr>
              <w:snapToGrid w:val="0"/>
              <w:jc w:val="left"/>
              <w:rPr>
                <w:color w:val="auto"/>
                <w:sz w:val="18"/>
                <w:szCs w:val="18"/>
              </w:rPr>
            </w:pPr>
            <w:r>
              <w:rPr>
                <w:color w:val="auto"/>
                <w:sz w:val="18"/>
                <w:szCs w:val="18"/>
              </w:rPr>
              <w:t>钻孔见洞隙率大于30%</w:t>
            </w:r>
            <w:r>
              <w:rPr>
                <w:rFonts w:hint="eastAsia"/>
                <w:color w:val="auto"/>
                <w:sz w:val="18"/>
                <w:szCs w:val="18"/>
              </w:rPr>
              <w:t>、线岩溶率</w:t>
            </w:r>
            <w:r>
              <w:rPr>
                <w:color w:val="auto"/>
                <w:sz w:val="18"/>
                <w:szCs w:val="18"/>
              </w:rPr>
              <w:t>或</w:t>
            </w:r>
            <w:r>
              <w:rPr>
                <w:rFonts w:hint="eastAsia"/>
                <w:color w:val="auto"/>
                <w:sz w:val="18"/>
                <w:szCs w:val="18"/>
              </w:rPr>
              <w:t>延米</w:t>
            </w:r>
            <w:r>
              <w:rPr>
                <w:color w:val="auto"/>
                <w:sz w:val="18"/>
                <w:szCs w:val="18"/>
              </w:rPr>
              <w:t>线岩溶率大于20%</w:t>
            </w:r>
          </w:p>
          <w:p w14:paraId="4B14F38F">
            <w:pPr>
              <w:snapToGrid w:val="0"/>
              <w:jc w:val="left"/>
              <w:rPr>
                <w:color w:val="auto"/>
                <w:sz w:val="18"/>
                <w:szCs w:val="18"/>
              </w:rPr>
            </w:pPr>
            <w:r>
              <w:rPr>
                <w:color w:val="auto"/>
                <w:sz w:val="18"/>
                <w:szCs w:val="18"/>
              </w:rPr>
              <w:t>溶槽或串珠状竖向溶洞发育深度达20m以上</w:t>
            </w:r>
          </w:p>
        </w:tc>
      </w:tr>
      <w:tr w14:paraId="6FD8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62" w:type="dxa"/>
          </w:tcPr>
          <w:p w14:paraId="6F87C33B">
            <w:pPr>
              <w:jc w:val="center"/>
              <w:rPr>
                <w:color w:val="auto"/>
                <w:sz w:val="18"/>
                <w:szCs w:val="18"/>
              </w:rPr>
            </w:pPr>
            <w:r>
              <w:rPr>
                <w:color w:val="auto"/>
                <w:sz w:val="18"/>
                <w:szCs w:val="18"/>
              </w:rPr>
              <w:t>岩溶中等发育</w:t>
            </w:r>
          </w:p>
        </w:tc>
        <w:tc>
          <w:tcPr>
            <w:tcW w:w="7172" w:type="dxa"/>
          </w:tcPr>
          <w:p w14:paraId="3F44BFD2">
            <w:pPr>
              <w:jc w:val="left"/>
              <w:rPr>
                <w:color w:val="auto"/>
                <w:sz w:val="18"/>
                <w:szCs w:val="18"/>
              </w:rPr>
            </w:pPr>
            <w:r>
              <w:rPr>
                <w:color w:val="auto"/>
                <w:sz w:val="18"/>
                <w:szCs w:val="18"/>
              </w:rPr>
              <w:t>介于强发育和微发育之间</w:t>
            </w:r>
          </w:p>
        </w:tc>
      </w:tr>
      <w:tr w14:paraId="6269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62" w:type="dxa"/>
          </w:tcPr>
          <w:p w14:paraId="55527146">
            <w:pPr>
              <w:jc w:val="center"/>
              <w:rPr>
                <w:color w:val="auto"/>
                <w:sz w:val="18"/>
                <w:szCs w:val="18"/>
              </w:rPr>
            </w:pPr>
            <w:r>
              <w:rPr>
                <w:color w:val="auto"/>
                <w:sz w:val="18"/>
                <w:szCs w:val="18"/>
              </w:rPr>
              <w:t>岩溶微发育</w:t>
            </w:r>
          </w:p>
        </w:tc>
        <w:tc>
          <w:tcPr>
            <w:tcW w:w="7172" w:type="dxa"/>
          </w:tcPr>
          <w:p w14:paraId="4B3D82D9">
            <w:pPr>
              <w:snapToGrid w:val="0"/>
              <w:jc w:val="left"/>
              <w:rPr>
                <w:color w:val="auto"/>
                <w:sz w:val="18"/>
                <w:szCs w:val="18"/>
              </w:rPr>
            </w:pPr>
            <w:r>
              <w:rPr>
                <w:color w:val="auto"/>
                <w:sz w:val="18"/>
                <w:szCs w:val="18"/>
              </w:rPr>
              <w:t>地表无岩溶塌陷、漏斗</w:t>
            </w:r>
          </w:p>
          <w:p w14:paraId="0172EE7A">
            <w:pPr>
              <w:snapToGrid w:val="0"/>
              <w:jc w:val="left"/>
              <w:rPr>
                <w:color w:val="auto"/>
                <w:sz w:val="18"/>
                <w:szCs w:val="18"/>
              </w:rPr>
            </w:pPr>
            <w:r>
              <w:rPr>
                <w:color w:val="auto"/>
                <w:sz w:val="18"/>
                <w:szCs w:val="18"/>
              </w:rPr>
              <w:t>溶沟、溶槽较发育</w:t>
            </w:r>
          </w:p>
          <w:p w14:paraId="66C1BC73">
            <w:pPr>
              <w:snapToGrid w:val="0"/>
              <w:jc w:val="left"/>
              <w:rPr>
                <w:color w:val="auto"/>
                <w:sz w:val="18"/>
                <w:szCs w:val="18"/>
              </w:rPr>
            </w:pPr>
            <w:r>
              <w:rPr>
                <w:color w:val="auto"/>
                <w:sz w:val="18"/>
                <w:szCs w:val="18"/>
              </w:rPr>
              <w:t>相邻钻孔间基岩面相对高差小于2m</w:t>
            </w:r>
          </w:p>
          <w:p w14:paraId="0E4BA2AC">
            <w:pPr>
              <w:snapToGrid w:val="0"/>
              <w:jc w:val="left"/>
              <w:rPr>
                <w:color w:val="auto"/>
                <w:sz w:val="18"/>
                <w:szCs w:val="18"/>
              </w:rPr>
            </w:pPr>
            <w:r>
              <w:rPr>
                <w:color w:val="auto"/>
                <w:sz w:val="18"/>
                <w:szCs w:val="18"/>
              </w:rPr>
              <w:t>钻孔见洞隙率小于10%</w:t>
            </w:r>
            <w:r>
              <w:rPr>
                <w:rFonts w:hint="eastAsia"/>
                <w:color w:val="auto"/>
                <w:sz w:val="18"/>
                <w:szCs w:val="18"/>
              </w:rPr>
              <w:t>、线岩溶率</w:t>
            </w:r>
            <w:r>
              <w:rPr>
                <w:color w:val="auto"/>
                <w:sz w:val="18"/>
                <w:szCs w:val="18"/>
              </w:rPr>
              <w:t>或</w:t>
            </w:r>
            <w:r>
              <w:rPr>
                <w:rFonts w:hint="eastAsia"/>
                <w:color w:val="auto"/>
                <w:sz w:val="18"/>
                <w:szCs w:val="18"/>
              </w:rPr>
              <w:t>延米</w:t>
            </w:r>
            <w:r>
              <w:rPr>
                <w:color w:val="auto"/>
                <w:sz w:val="18"/>
                <w:szCs w:val="18"/>
              </w:rPr>
              <w:t>线岩溶率小于5%</w:t>
            </w:r>
          </w:p>
        </w:tc>
      </w:tr>
      <w:tr w14:paraId="166A5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34" w:type="dxa"/>
            <w:gridSpan w:val="2"/>
          </w:tcPr>
          <w:p w14:paraId="4F1FD1C0">
            <w:pPr>
              <w:snapToGrid w:val="0"/>
              <w:jc w:val="left"/>
              <w:rPr>
                <w:color w:val="auto"/>
                <w:sz w:val="18"/>
                <w:szCs w:val="18"/>
              </w:rPr>
            </w:pPr>
            <w:r>
              <w:rPr>
                <w:rFonts w:hint="eastAsia"/>
                <w:color w:val="auto"/>
                <w:sz w:val="18"/>
                <w:szCs w:val="18"/>
              </w:rPr>
              <w:t>注1: 线岩溶率:见洞隙钻探进尺之和与可溶岩、洞隙钻探总进尺的百分比。</w:t>
            </w:r>
          </w:p>
          <w:p w14:paraId="5278EFFF">
            <w:pPr>
              <w:snapToGrid w:val="0"/>
              <w:jc w:val="left"/>
              <w:rPr>
                <w:color w:val="auto"/>
                <w:sz w:val="18"/>
                <w:szCs w:val="18"/>
              </w:rPr>
            </w:pPr>
            <w:r>
              <w:rPr>
                <w:rFonts w:hint="eastAsia"/>
                <w:color w:val="auto"/>
                <w:sz w:val="18"/>
                <w:szCs w:val="18"/>
              </w:rPr>
              <w:t>注 2: 延米线岩溶率:单孔基岩面以下每延米碳酸盐岩中溶洞(隙) 进尺所占的百分比。</w:t>
            </w:r>
          </w:p>
        </w:tc>
      </w:tr>
    </w:tbl>
    <w:p w14:paraId="6D1F1348">
      <w:pPr>
        <w:pStyle w:val="20"/>
        <w:adjustRightInd w:val="0"/>
        <w:snapToGrid w:val="0"/>
        <w:spacing w:before="240" w:line="340" w:lineRule="atLeast"/>
        <w:ind w:left="0" w:leftChars="0"/>
        <w:rPr>
          <w:color w:val="auto"/>
          <w:szCs w:val="21"/>
        </w:rPr>
      </w:pPr>
      <w:r>
        <w:rPr>
          <w:rFonts w:eastAsia="黑体"/>
          <w:b/>
          <w:bCs/>
          <w:color w:val="auto"/>
          <w:szCs w:val="21"/>
        </w:rPr>
        <w:t>11.3.2</w:t>
      </w:r>
      <w:r>
        <w:rPr>
          <w:color w:val="auto"/>
          <w:szCs w:val="21"/>
        </w:rPr>
        <w:t xml:space="preserve">  地基基础设计等级为甲级、乙级的建筑物主体宜避开岩溶强发育地段。</w:t>
      </w:r>
    </w:p>
    <w:p w14:paraId="3A5009C7">
      <w:pPr>
        <w:pStyle w:val="20"/>
        <w:adjustRightInd w:val="0"/>
        <w:snapToGrid w:val="0"/>
        <w:spacing w:line="340" w:lineRule="atLeast"/>
        <w:ind w:left="0" w:leftChars="0"/>
        <w:rPr>
          <w:color w:val="auto"/>
          <w:szCs w:val="21"/>
        </w:rPr>
      </w:pPr>
      <w:r>
        <w:rPr>
          <w:rFonts w:eastAsia="黑体"/>
          <w:b/>
          <w:bCs/>
          <w:color w:val="auto"/>
          <w:szCs w:val="21"/>
        </w:rPr>
        <w:t>11.3.3</w:t>
      </w:r>
      <w:r>
        <w:rPr>
          <w:color w:val="auto"/>
          <w:szCs w:val="21"/>
        </w:rPr>
        <w:t xml:space="preserve">  对于有第四系土层覆盖的隐伏岩溶地区，应按以下原则判别地面塌陷的可能性并采取相应措施：</w:t>
      </w:r>
    </w:p>
    <w:p w14:paraId="6F5B4222">
      <w:pPr>
        <w:pStyle w:val="20"/>
        <w:adjustRightInd w:val="0"/>
        <w:snapToGrid w:val="0"/>
        <w:spacing w:line="340" w:lineRule="atLeast"/>
        <w:ind w:left="0" w:leftChars="0" w:firstLine="422" w:firstLineChars="200"/>
        <w:rPr>
          <w:color w:val="auto"/>
          <w:szCs w:val="21"/>
        </w:rPr>
      </w:pPr>
      <w:r>
        <w:rPr>
          <w:rFonts w:eastAsia="黑体"/>
          <w:b/>
          <w:bCs/>
          <w:color w:val="auto"/>
          <w:szCs w:val="21"/>
        </w:rPr>
        <w:t>a)</w:t>
      </w:r>
      <w:r>
        <w:rPr>
          <w:color w:val="auto"/>
          <w:szCs w:val="21"/>
        </w:rPr>
        <w:t xml:space="preserve">  基岩面以上覆盖土层为黏性土，黏性土有一定厚度且无土洞</w:t>
      </w:r>
      <w:r>
        <w:rPr>
          <w:rFonts w:hint="eastAsia"/>
          <w:color w:val="auto"/>
          <w:szCs w:val="21"/>
        </w:rPr>
        <w:t>及充填有流塑状红黏土的深、大溶沟和溶槽</w:t>
      </w:r>
      <w:r>
        <w:rPr>
          <w:color w:val="auto"/>
          <w:szCs w:val="21"/>
        </w:rPr>
        <w:t>存在时，可不考虑地面塌陷</w:t>
      </w:r>
      <w:r>
        <w:rPr>
          <w:rFonts w:hint="eastAsia"/>
          <w:color w:val="auto"/>
          <w:szCs w:val="21"/>
        </w:rPr>
        <w:t>；</w:t>
      </w:r>
      <w:r>
        <w:rPr>
          <w:color w:val="auto"/>
          <w:szCs w:val="21"/>
        </w:rPr>
        <w:t>当可溶岩面以上分布有砂岩、泥岩等非可溶岩层时，亦可不考虑地面塌陷。</w:t>
      </w:r>
    </w:p>
    <w:p w14:paraId="2D54FFFB">
      <w:pPr>
        <w:pStyle w:val="20"/>
        <w:adjustRightInd w:val="0"/>
        <w:snapToGrid w:val="0"/>
        <w:spacing w:line="340" w:lineRule="atLeast"/>
        <w:ind w:left="0" w:leftChars="0" w:firstLine="422" w:firstLineChars="200"/>
        <w:rPr>
          <w:color w:val="auto"/>
          <w:szCs w:val="21"/>
        </w:rPr>
      </w:pPr>
      <w:r>
        <w:rPr>
          <w:rFonts w:eastAsia="黑体"/>
          <w:b/>
          <w:bCs/>
          <w:color w:val="auto"/>
          <w:szCs w:val="21"/>
        </w:rPr>
        <w:t>b)</w:t>
      </w:r>
      <w:r>
        <w:rPr>
          <w:color w:val="auto"/>
          <w:szCs w:val="21"/>
        </w:rPr>
        <w:t xml:space="preserve">  基岩覆盖土层为黏性土，但岩溶地下水在基岩面上下交替变化，上覆土层中易形成土洞。应视为地面有可能塌陷的不稳定地段，不经处理不宜建筑。</w:t>
      </w:r>
    </w:p>
    <w:p w14:paraId="4E5EB1FE">
      <w:pPr>
        <w:pStyle w:val="20"/>
        <w:adjustRightInd w:val="0"/>
        <w:snapToGrid w:val="0"/>
        <w:spacing w:line="340" w:lineRule="atLeast"/>
        <w:ind w:left="0" w:leftChars="0" w:firstLine="422" w:firstLineChars="200"/>
        <w:rPr>
          <w:color w:val="auto"/>
          <w:szCs w:val="21"/>
        </w:rPr>
      </w:pPr>
      <w:r>
        <w:rPr>
          <w:rFonts w:eastAsia="黑体"/>
          <w:b/>
          <w:bCs/>
          <w:color w:val="auto"/>
          <w:szCs w:val="21"/>
        </w:rPr>
        <w:t>c)</w:t>
      </w:r>
      <w:r>
        <w:rPr>
          <w:color w:val="auto"/>
          <w:szCs w:val="21"/>
        </w:rPr>
        <w:t xml:space="preserve">  基岩面以上直接覆盖土层为第四系饱和砂、砾石层，且基岩中岩溶</w:t>
      </w:r>
      <w:r>
        <w:rPr>
          <w:rFonts w:hint="eastAsia"/>
          <w:color w:val="auto"/>
          <w:szCs w:val="21"/>
        </w:rPr>
        <w:t>中等及以上程度</w:t>
      </w:r>
      <w:r>
        <w:rPr>
          <w:color w:val="auto"/>
          <w:szCs w:val="21"/>
        </w:rPr>
        <w:t>发育，有开口溶洞或裂隙存在，应视为地面易塌陷区，不得作为建筑场地</w:t>
      </w:r>
      <w:r>
        <w:rPr>
          <w:rFonts w:hint="eastAsia"/>
          <w:color w:val="auto"/>
          <w:szCs w:val="21"/>
        </w:rPr>
        <w:t>；当可溶岩面以上分布有风化程度高、节理发育的碎屑岩，且碎屑岩厚度小于2.0m时，不经处理不宜作为建筑场地</w:t>
      </w:r>
      <w:r>
        <w:rPr>
          <w:color w:val="auto"/>
          <w:szCs w:val="21"/>
        </w:rPr>
        <w:t>。必须用作建筑场地时，可采用嵌岩端承桩基础，并</w:t>
      </w:r>
      <w:r>
        <w:rPr>
          <w:rFonts w:hint="eastAsia"/>
          <w:color w:val="auto"/>
          <w:szCs w:val="21"/>
        </w:rPr>
        <w:t>宜</w:t>
      </w:r>
      <w:r>
        <w:rPr>
          <w:color w:val="auto"/>
          <w:szCs w:val="21"/>
        </w:rPr>
        <w:t>采取注浆封闭基岩溶洞或裂隙等辅助措施。</w:t>
      </w:r>
    </w:p>
    <w:p w14:paraId="10DB4DCA">
      <w:pPr>
        <w:snapToGrid w:val="0"/>
        <w:spacing w:line="340" w:lineRule="atLeast"/>
        <w:rPr>
          <w:color w:val="auto"/>
        </w:rPr>
      </w:pPr>
      <w:r>
        <w:rPr>
          <w:color w:val="auto"/>
        </w:rPr>
        <w:t xml:space="preserve">    </w:t>
      </w:r>
      <w:r>
        <w:rPr>
          <w:rFonts w:eastAsia="黑体"/>
          <w:b/>
          <w:bCs/>
          <w:color w:val="auto"/>
          <w:szCs w:val="21"/>
        </w:rPr>
        <w:t xml:space="preserve">d) </w:t>
      </w:r>
      <w:r>
        <w:rPr>
          <w:color w:val="auto"/>
        </w:rPr>
        <w:t xml:space="preserve"> 在以岩溶水为供水水源地附近，应查明供水井（群）的单井或群井涌水量、降深及影响半径。在影响半径范围内的场地，如可溶岩之上有饱和砂、砾石层、软土层和有土洞存在的黏性土层均应视为有可能发生覆盖层地表塌陷的场地，不经处理不得建筑</w:t>
      </w:r>
      <w:r>
        <w:rPr>
          <w:rFonts w:hint="eastAsia"/>
          <w:color w:val="auto"/>
        </w:rPr>
        <w:t>。</w:t>
      </w:r>
      <w:r>
        <w:rPr>
          <w:color w:val="auto"/>
        </w:rPr>
        <w:t>处理措施中，首选为停止抽采岩溶水，或在查明可溶岩之上第四系土层均为黏性土层并有充分试验、分析评价时可限制抽水量、降深，确保岩溶水头稳定在岩面以上的覆盖层中，以确保地基和场地稳定性</w:t>
      </w:r>
      <w:r>
        <w:rPr>
          <w:rFonts w:hint="eastAsia"/>
          <w:color w:val="auto"/>
        </w:rPr>
        <w:t>。</w:t>
      </w:r>
    </w:p>
    <w:p w14:paraId="371DEDDF">
      <w:pPr>
        <w:snapToGrid w:val="0"/>
        <w:spacing w:line="340" w:lineRule="atLeast"/>
        <w:ind w:firstLine="422" w:firstLineChars="200"/>
        <w:rPr>
          <w:color w:val="auto"/>
        </w:rPr>
      </w:pPr>
      <w:r>
        <w:rPr>
          <w:rFonts w:eastAsia="黑体"/>
          <w:b/>
          <w:bCs/>
          <w:color w:val="auto"/>
          <w:szCs w:val="21"/>
        </w:rPr>
        <w:t>e)</w:t>
      </w:r>
      <w:r>
        <w:rPr>
          <w:color w:val="auto"/>
        </w:rPr>
        <w:t xml:space="preserve">  在以疏干岩溶水为开采条件的矿区，采区上方的第四系覆盖土层为饱和砂、砾石层时，不得作为建筑场地；覆盖土层为黏性土层但有土洞存在时，不经处理不宜作为建筑场地；远离采区的场地，但确属矿区岩溶水补给区（如河床、河漫滩及一级阶地），应视为不宜建筑场地；必须用作建筑场地时，应在矿山采取隔水帷幕的前提下，建筑物可采用端承桩并对岩溶洞隙采取堵塞、注浆封堵等辅助措施。</w:t>
      </w:r>
    </w:p>
    <w:p w14:paraId="04BA26DB">
      <w:pPr>
        <w:pStyle w:val="20"/>
        <w:adjustRightInd w:val="0"/>
        <w:snapToGrid w:val="0"/>
        <w:spacing w:line="340" w:lineRule="atLeast"/>
        <w:ind w:left="0" w:leftChars="0" w:firstLine="422" w:firstLineChars="200"/>
        <w:rPr>
          <w:color w:val="auto"/>
          <w:szCs w:val="21"/>
        </w:rPr>
      </w:pPr>
      <w:r>
        <w:rPr>
          <w:rFonts w:eastAsia="黑体"/>
          <w:b/>
          <w:bCs/>
          <w:color w:val="auto"/>
          <w:szCs w:val="21"/>
        </w:rPr>
        <w:t>f)</w:t>
      </w:r>
      <w:r>
        <w:rPr>
          <w:color w:val="auto"/>
        </w:rPr>
        <w:t xml:space="preserve">  </w:t>
      </w:r>
      <w:r>
        <w:rPr>
          <w:color w:val="auto"/>
          <w:szCs w:val="21"/>
        </w:rPr>
        <w:t>在地下水位高于基岩表面的岩溶地区，应考虑由人工降低地下水引起土洞或地表塌陷的可能性。塌陷区的范围及方向可根据水文地质条件和抽水试验的观测结果综合分析确定。在已有建筑物附近抽水时，应考虑其影响。</w:t>
      </w:r>
    </w:p>
    <w:p w14:paraId="7B4238D8">
      <w:pPr>
        <w:pStyle w:val="20"/>
        <w:adjustRightInd w:val="0"/>
        <w:snapToGrid w:val="0"/>
        <w:spacing w:line="340" w:lineRule="atLeast"/>
        <w:ind w:left="0" w:leftChars="0"/>
        <w:rPr>
          <w:color w:val="auto"/>
          <w:szCs w:val="21"/>
        </w:rPr>
      </w:pPr>
      <w:r>
        <w:rPr>
          <w:rFonts w:eastAsia="黑体"/>
          <w:b/>
          <w:bCs/>
          <w:color w:val="auto"/>
          <w:szCs w:val="21"/>
        </w:rPr>
        <w:t>11.3.4</w:t>
      </w:r>
      <w:r>
        <w:rPr>
          <w:color w:val="auto"/>
          <w:szCs w:val="21"/>
        </w:rPr>
        <w:t xml:space="preserve">  在岩溶地区</w:t>
      </w:r>
      <w:r>
        <w:rPr>
          <w:rFonts w:hint="eastAsia"/>
          <w:color w:val="auto"/>
          <w:szCs w:val="21"/>
        </w:rPr>
        <w:t>在符合本文件1</w:t>
      </w:r>
      <w:r>
        <w:rPr>
          <w:color w:val="auto"/>
          <w:szCs w:val="21"/>
        </w:rPr>
        <w:t>1</w:t>
      </w:r>
      <w:r>
        <w:rPr>
          <w:rFonts w:hint="eastAsia"/>
          <w:color w:val="auto"/>
          <w:szCs w:val="21"/>
        </w:rPr>
        <w:t>.3.3条的条件下可</w:t>
      </w:r>
      <w:r>
        <w:rPr>
          <w:color w:val="auto"/>
          <w:szCs w:val="21"/>
        </w:rPr>
        <w:t>利用上部稳定黏性土层的承载力，按本文件第7章有关规定进行地基设计。当可溶岩中存在暗河、伏流或特大未充填的溶洞时应进行专题研究。</w:t>
      </w:r>
    </w:p>
    <w:p w14:paraId="0605332D">
      <w:pPr>
        <w:adjustRightInd w:val="0"/>
        <w:snapToGrid w:val="0"/>
        <w:spacing w:line="340" w:lineRule="atLeast"/>
        <w:rPr>
          <w:color w:val="auto"/>
          <w:szCs w:val="21"/>
        </w:rPr>
      </w:pPr>
      <w:r>
        <w:rPr>
          <w:rFonts w:eastAsia="黑体"/>
          <w:b/>
          <w:bCs/>
          <w:color w:val="auto"/>
          <w:szCs w:val="21"/>
        </w:rPr>
        <w:t>11.3.5</w:t>
      </w:r>
      <w:r>
        <w:rPr>
          <w:color w:val="auto"/>
          <w:szCs w:val="21"/>
        </w:rPr>
        <w:t xml:space="preserve">  基础位于微风化硬质岩石表面时，对于宽度小于1</w:t>
      </w:r>
      <w:r>
        <w:rPr>
          <w:iCs/>
          <w:color w:val="auto"/>
          <w:szCs w:val="21"/>
        </w:rPr>
        <w:t>m</w:t>
      </w:r>
      <w:r>
        <w:rPr>
          <w:color w:val="auto"/>
          <w:szCs w:val="21"/>
        </w:rPr>
        <w:t>的竖向溶蚀裂隙和落水洞近旁地段，可不考虑其对地基稳定性的影响。如岩体存在倾斜软弱结构面时，应进行地基稳定性验算。</w:t>
      </w:r>
    </w:p>
    <w:p w14:paraId="208D958E">
      <w:pPr>
        <w:adjustRightInd w:val="0"/>
        <w:snapToGrid w:val="0"/>
        <w:spacing w:line="340" w:lineRule="atLeast"/>
        <w:rPr>
          <w:color w:val="auto"/>
          <w:szCs w:val="21"/>
        </w:rPr>
      </w:pPr>
      <w:r>
        <w:rPr>
          <w:rFonts w:eastAsia="黑体"/>
          <w:b/>
          <w:bCs/>
          <w:color w:val="auto"/>
          <w:szCs w:val="21"/>
        </w:rPr>
        <w:t>11.3.6</w:t>
      </w:r>
      <w:r>
        <w:rPr>
          <w:color w:val="auto"/>
          <w:szCs w:val="21"/>
        </w:rPr>
        <w:t xml:space="preserve">  当溶洞顶板与基础底面之间的岩土层厚度小于本文件第11.3.4条规定的要求时，应根据洞体大小、顶板形状、岩体结构及强度、洞内充填情况以及岩溶水活动等因素进行洞体稳定性分析。</w:t>
      </w:r>
      <w:r>
        <w:rPr>
          <w:rFonts w:hint="eastAsia"/>
          <w:color w:val="auto"/>
          <w:szCs w:val="21"/>
        </w:rPr>
        <w:t>岩溶微发育场地可不考虑岩溶对地基稳定性的影响。</w:t>
      </w:r>
      <w:r>
        <w:rPr>
          <w:color w:val="auto"/>
          <w:szCs w:val="21"/>
        </w:rPr>
        <w:t>岩溶中等发育的场地如地质条件符合下列情况之一时，可不考虑溶洞对地基稳定性的影响，但应按本文件第10.3节进行设计。</w:t>
      </w:r>
    </w:p>
    <w:p w14:paraId="120385A3">
      <w:pPr>
        <w:pStyle w:val="20"/>
        <w:adjustRightInd w:val="0"/>
        <w:snapToGrid w:val="0"/>
        <w:spacing w:line="340" w:lineRule="atLeast"/>
        <w:ind w:left="0" w:leftChars="0" w:firstLine="422" w:firstLineChars="200"/>
        <w:rPr>
          <w:color w:val="auto"/>
          <w:szCs w:val="21"/>
        </w:rPr>
      </w:pPr>
      <w:r>
        <w:rPr>
          <w:rFonts w:eastAsia="黑体"/>
          <w:b/>
          <w:bCs/>
          <w:color w:val="auto"/>
          <w:szCs w:val="21"/>
        </w:rPr>
        <w:t>a)</w:t>
      </w:r>
      <w:r>
        <w:rPr>
          <w:color w:val="auto"/>
          <w:szCs w:val="21"/>
        </w:rPr>
        <w:t xml:space="preserve">  溶洞被密实的沉积物填满，其承载力超过150</w:t>
      </w:r>
      <w:r>
        <w:rPr>
          <w:iCs/>
          <w:color w:val="auto"/>
          <w:szCs w:val="21"/>
        </w:rPr>
        <w:t>kPa</w:t>
      </w:r>
      <w:r>
        <w:rPr>
          <w:color w:val="auto"/>
          <w:szCs w:val="21"/>
        </w:rPr>
        <w:t>，且无被水冲蚀的可能性；</w:t>
      </w:r>
    </w:p>
    <w:p w14:paraId="616C3FE0">
      <w:pPr>
        <w:adjustRightInd w:val="0"/>
        <w:snapToGrid w:val="0"/>
        <w:spacing w:line="340" w:lineRule="atLeast"/>
        <w:ind w:firstLine="422" w:firstLineChars="200"/>
        <w:rPr>
          <w:color w:val="auto"/>
          <w:szCs w:val="21"/>
        </w:rPr>
      </w:pPr>
      <w:r>
        <w:rPr>
          <w:rFonts w:eastAsia="黑体"/>
          <w:b/>
          <w:bCs/>
          <w:color w:val="auto"/>
          <w:szCs w:val="21"/>
        </w:rPr>
        <w:t>b)</w:t>
      </w:r>
      <w:r>
        <w:rPr>
          <w:color w:val="auto"/>
          <w:szCs w:val="21"/>
        </w:rPr>
        <w:t xml:space="preserve">  洞体较小，基础底面尺寸大于洞的平面尺寸，并有足够的支承长度；</w:t>
      </w:r>
    </w:p>
    <w:p w14:paraId="69CAFFE9">
      <w:pPr>
        <w:adjustRightInd w:val="0"/>
        <w:snapToGrid w:val="0"/>
        <w:spacing w:line="340" w:lineRule="atLeast"/>
        <w:ind w:firstLine="422" w:firstLineChars="200"/>
        <w:rPr>
          <w:color w:val="auto"/>
          <w:szCs w:val="21"/>
        </w:rPr>
      </w:pPr>
      <w:r>
        <w:rPr>
          <w:rFonts w:eastAsia="黑体"/>
          <w:b/>
          <w:bCs/>
          <w:color w:val="auto"/>
          <w:szCs w:val="21"/>
        </w:rPr>
        <w:t>c)</w:t>
      </w:r>
      <w:r>
        <w:rPr>
          <w:color w:val="auto"/>
          <w:szCs w:val="21"/>
        </w:rPr>
        <w:t>洞体</w:t>
      </w:r>
      <w:r>
        <w:rPr>
          <w:rFonts w:hint="eastAsia"/>
          <w:color w:val="auto"/>
          <w:szCs w:val="21"/>
        </w:rPr>
        <w:t>岩体基本质量等级为Ⅰ级或Ⅱ级，</w:t>
      </w:r>
      <w:r>
        <w:rPr>
          <w:color w:val="auto"/>
          <w:szCs w:val="21"/>
        </w:rPr>
        <w:t>顶板岩石厚度等于或大于洞跨。</w:t>
      </w:r>
    </w:p>
    <w:p w14:paraId="1B3C2380">
      <w:pPr>
        <w:pStyle w:val="20"/>
        <w:adjustRightInd w:val="0"/>
        <w:snapToGrid w:val="0"/>
        <w:spacing w:line="340" w:lineRule="atLeast"/>
        <w:ind w:left="0" w:leftChars="0"/>
        <w:rPr>
          <w:color w:val="auto"/>
          <w:szCs w:val="21"/>
        </w:rPr>
      </w:pPr>
      <w:r>
        <w:rPr>
          <w:rFonts w:eastAsia="黑体"/>
          <w:b/>
          <w:bCs/>
          <w:color w:val="auto"/>
          <w:szCs w:val="21"/>
        </w:rPr>
        <w:t>11.3.7</w:t>
      </w:r>
      <w:r>
        <w:rPr>
          <w:color w:val="auto"/>
          <w:szCs w:val="21"/>
        </w:rPr>
        <w:t xml:space="preserve">  对岩溶水通道堵塞或涌水，有可能造成场地暂时性淹没的地段，或经工程地质评价属于不稳定的岩溶地基，未经处理不宜作建筑地基。</w:t>
      </w:r>
    </w:p>
    <w:p w14:paraId="3924B2DC">
      <w:pPr>
        <w:pStyle w:val="20"/>
        <w:adjustRightInd w:val="0"/>
        <w:snapToGrid w:val="0"/>
        <w:spacing w:line="340" w:lineRule="atLeast"/>
        <w:ind w:left="0" w:leftChars="0"/>
        <w:rPr>
          <w:color w:val="auto"/>
          <w:szCs w:val="21"/>
        </w:rPr>
      </w:pPr>
      <w:r>
        <w:rPr>
          <w:rFonts w:eastAsia="黑体"/>
          <w:b/>
          <w:bCs/>
          <w:color w:val="auto"/>
          <w:szCs w:val="21"/>
        </w:rPr>
        <w:t>11.3.8</w:t>
      </w:r>
      <w:r>
        <w:rPr>
          <w:color w:val="auto"/>
          <w:szCs w:val="21"/>
        </w:rPr>
        <w:t xml:space="preserve">  在地下水强烈活动于岩土交界面的岩溶地区，应预估地下水位在使用期间的变化，提出场地土洞发育程度的分区资料。施工时，必须沿基槽认真查明基础下土洞的分布位置。</w:t>
      </w:r>
    </w:p>
    <w:p w14:paraId="2EB99733">
      <w:pPr>
        <w:pStyle w:val="20"/>
        <w:adjustRightInd w:val="0"/>
        <w:snapToGrid w:val="0"/>
        <w:spacing w:line="340" w:lineRule="atLeast"/>
        <w:ind w:left="0" w:leftChars="0"/>
        <w:rPr>
          <w:color w:val="auto"/>
          <w:szCs w:val="21"/>
        </w:rPr>
      </w:pPr>
      <w:r>
        <w:rPr>
          <w:rFonts w:eastAsia="黑体"/>
          <w:b/>
          <w:bCs/>
          <w:color w:val="auto"/>
          <w:szCs w:val="21"/>
        </w:rPr>
        <w:t>11.3.9</w:t>
      </w:r>
      <w:r>
        <w:rPr>
          <w:color w:val="auto"/>
          <w:szCs w:val="21"/>
        </w:rPr>
        <w:t xml:space="preserve">  由地表水形成的土洞或塌陷地段，必须采取地表截流、防渗或堵漏等措施。应根据土洞埋深，分别选用挖填、灌砂等方法进行处理。由地下水形成的塌陷及浅埋土洞，除应清除软土，抛填块石作反滤层，面层用黏土夯填外，尚应查明并消除地下水活动的影响，包括停用相关的抽水井或封堵相关的矿坑突水口等。深埋土洞宜用砂、砾石或细石混凝土灌填。在上述处理的同时，尚应采用梁、板或拱跨越。对重要的建筑物，可用桩基处理。</w:t>
      </w:r>
    </w:p>
    <w:p w14:paraId="5114D814">
      <w:pPr>
        <w:pStyle w:val="20"/>
        <w:adjustRightInd w:val="0"/>
        <w:snapToGrid w:val="0"/>
        <w:spacing w:line="340" w:lineRule="atLeast"/>
        <w:ind w:left="0" w:leftChars="0"/>
        <w:rPr>
          <w:color w:val="auto"/>
          <w:szCs w:val="21"/>
        </w:rPr>
      </w:pPr>
      <w:r>
        <w:rPr>
          <w:rFonts w:eastAsia="黑体"/>
          <w:b/>
          <w:bCs/>
          <w:color w:val="auto"/>
          <w:szCs w:val="21"/>
        </w:rPr>
        <w:t>11.3.10</w:t>
      </w:r>
      <w:r>
        <w:rPr>
          <w:color w:val="auto"/>
          <w:szCs w:val="21"/>
        </w:rPr>
        <w:t xml:space="preserve">  岩溶发育区采用嵌岩桩时应逐桩进行施工勘察，直径大于1m的桩或岩石埋深大于40m</w:t>
      </w:r>
      <w:r>
        <w:rPr>
          <w:rFonts w:hint="eastAsia"/>
          <w:color w:val="auto"/>
          <w:szCs w:val="21"/>
        </w:rPr>
        <w:t>当承台下桩数少于9根</w:t>
      </w:r>
      <w:r>
        <w:rPr>
          <w:color w:val="auto"/>
          <w:szCs w:val="21"/>
        </w:rPr>
        <w:t>时，每桩超前钻孔</w:t>
      </w:r>
      <w:r>
        <w:rPr>
          <w:rFonts w:hint="eastAsia"/>
          <w:color w:val="auto"/>
          <w:szCs w:val="21"/>
        </w:rPr>
        <w:t>数</w:t>
      </w:r>
      <w:r>
        <w:rPr>
          <w:color w:val="auto"/>
          <w:szCs w:val="21"/>
        </w:rPr>
        <w:t>不得少于2</w:t>
      </w:r>
      <w:r>
        <w:rPr>
          <w:rFonts w:hint="eastAsia"/>
          <w:color w:val="auto"/>
          <w:szCs w:val="21"/>
        </w:rPr>
        <w:t>个；桩直径大于1.5 m时，每桩超前钻孔数为3个。对于抗拔桩可一桩布置一个钻孔</w:t>
      </w:r>
      <w:r>
        <w:rPr>
          <w:color w:val="auto"/>
          <w:szCs w:val="21"/>
        </w:rPr>
        <w:t>。需要利用覆盖土层作持力层</w:t>
      </w:r>
      <w:r>
        <w:rPr>
          <w:rFonts w:hint="eastAsia"/>
          <w:color w:val="auto"/>
          <w:szCs w:val="21"/>
        </w:rPr>
        <w:t>，</w:t>
      </w:r>
      <w:r>
        <w:rPr>
          <w:color w:val="auto"/>
          <w:szCs w:val="21"/>
        </w:rPr>
        <w:t>在可能出现土洞时，每柱（墙）下至少进行2个孔的施工勘察。当可溶性岩上覆砂类土时应做好钻孔的护壁工作。进入可溶性岩的勘探孔应采用注</w:t>
      </w:r>
      <w:r>
        <w:rPr>
          <w:rFonts w:hint="eastAsia"/>
          <w:color w:val="auto"/>
          <w:szCs w:val="21"/>
        </w:rPr>
        <w:t>水泥</w:t>
      </w:r>
      <w:r>
        <w:rPr>
          <w:color w:val="auto"/>
          <w:szCs w:val="21"/>
        </w:rPr>
        <w:t>浆及时封闭，钻孔进入</w:t>
      </w:r>
      <w:r>
        <w:rPr>
          <w:rFonts w:hint="eastAsia"/>
          <w:color w:val="auto"/>
          <w:szCs w:val="21"/>
        </w:rPr>
        <w:t>桩端以下</w:t>
      </w:r>
      <w:r>
        <w:rPr>
          <w:color w:val="auto"/>
          <w:szCs w:val="21"/>
        </w:rPr>
        <w:t>完整岩石的深度不应小于5m</w:t>
      </w:r>
      <w:r>
        <w:rPr>
          <w:rFonts w:hint="eastAsia"/>
          <w:color w:val="auto"/>
          <w:szCs w:val="21"/>
        </w:rPr>
        <w:t>，对于抗拔桩勘探孔深度进入桩端以下完整基岩不应少于2 m</w:t>
      </w:r>
      <w:r>
        <w:rPr>
          <w:color w:val="auto"/>
          <w:szCs w:val="21"/>
        </w:rPr>
        <w:t>。</w:t>
      </w:r>
      <w:r>
        <w:rPr>
          <w:rFonts w:hint="eastAsia"/>
          <w:color w:val="auto"/>
          <w:szCs w:val="21"/>
        </w:rPr>
        <w:t>遇串珠状溶洞或溶槽时，当延米线岩溶率≤5%时，溶隙（洞）可计为完整岩石的累计厚度。施工勘察钻杆直径不应小于50mm。</w:t>
      </w:r>
    </w:p>
    <w:p w14:paraId="5C285D09">
      <w:pPr>
        <w:pStyle w:val="20"/>
        <w:adjustRightInd w:val="0"/>
        <w:snapToGrid w:val="0"/>
        <w:spacing w:line="340" w:lineRule="atLeast"/>
        <w:ind w:left="0" w:leftChars="0"/>
        <w:rPr>
          <w:color w:val="auto"/>
          <w:szCs w:val="21"/>
        </w:rPr>
      </w:pPr>
      <w:r>
        <w:rPr>
          <w:rFonts w:eastAsia="黑体"/>
          <w:b/>
          <w:bCs/>
          <w:color w:val="auto"/>
          <w:szCs w:val="21"/>
        </w:rPr>
        <w:t>11.3.11</w:t>
      </w:r>
      <w:r>
        <w:rPr>
          <w:rFonts w:eastAsia="黑体"/>
          <w:b/>
          <w:color w:val="auto"/>
          <w:szCs w:val="21"/>
        </w:rPr>
        <w:t xml:space="preserve">  </w:t>
      </w:r>
      <w:r>
        <w:rPr>
          <w:rFonts w:hint="eastAsia"/>
          <w:color w:val="auto"/>
          <w:szCs w:val="21"/>
        </w:rPr>
        <w:t>岩溶中等及以上发育场地的嵌岩端承型桩，桩直径不宜小于800mm，桩端全断面嵌入完整岩层表面的深度不应小于桩身直径的2倍，且不得小于2m。</w:t>
      </w:r>
    </w:p>
    <w:p w14:paraId="0B4C2565">
      <w:pPr>
        <w:rPr>
          <w:color w:val="auto"/>
        </w:rPr>
      </w:pPr>
      <w:r>
        <w:rPr>
          <w:b/>
          <w:color w:val="auto"/>
        </w:rPr>
        <w:t>11.3.12</w:t>
      </w:r>
      <w:r>
        <w:rPr>
          <w:rFonts w:hint="eastAsia"/>
          <w:color w:val="auto"/>
        </w:rPr>
        <w:t xml:space="preserve"> 当岩层表层存在溶洞（槽）或串珠状溶洞（槽）时，桩端嵌入溶洞（槽）底部完整岩石的深度不应小于0.5m，且桩身嵌岩深度的总和不应小于2m和</w:t>
      </w:r>
      <w:r>
        <w:rPr>
          <w:color w:val="auto"/>
        </w:rPr>
        <w:t>2倍桩直径。</w:t>
      </w:r>
    </w:p>
    <w:p w14:paraId="4E744D58">
      <w:pPr>
        <w:rPr>
          <w:color w:val="auto"/>
        </w:rPr>
      </w:pPr>
      <w:r>
        <w:rPr>
          <w:b/>
          <w:color w:val="auto"/>
        </w:rPr>
        <w:t>11.3.13</w:t>
      </w:r>
      <w:r>
        <w:rPr>
          <w:rFonts w:hint="eastAsia"/>
          <w:color w:val="auto"/>
        </w:rPr>
        <w:t xml:space="preserve"> 岩溶中等及以上发育场地的抗浮锚杆，未经处理，其锚固段不宜设置于可溶岩中。</w:t>
      </w:r>
    </w:p>
    <w:p w14:paraId="26B15E51">
      <w:pPr>
        <w:rPr>
          <w:color w:val="auto"/>
        </w:rPr>
      </w:pPr>
      <w:r>
        <w:rPr>
          <w:b/>
          <w:color w:val="auto"/>
        </w:rPr>
        <w:t>11.3.14</w:t>
      </w:r>
      <w:r>
        <w:rPr>
          <w:rFonts w:hint="eastAsia"/>
          <w:color w:val="auto"/>
        </w:rPr>
        <w:t xml:space="preserve"> 可利用上覆土层作为持力层的岩溶场地上的浅基础、小直径桩基、复合地基宜采用整体性好的筏板基础。</w:t>
      </w:r>
    </w:p>
    <w:p w14:paraId="71E12764">
      <w:pPr>
        <w:rPr>
          <w:color w:val="auto"/>
        </w:rPr>
      </w:pPr>
      <w:r>
        <w:rPr>
          <w:b/>
          <w:color w:val="auto"/>
        </w:rPr>
        <w:t>11.3.15</w:t>
      </w:r>
      <w:r>
        <w:rPr>
          <w:color w:val="auto"/>
        </w:rPr>
        <w:t xml:space="preserve"> </w:t>
      </w:r>
      <w:r>
        <w:rPr>
          <w:rFonts w:hint="eastAsia"/>
          <w:color w:val="auto"/>
        </w:rPr>
        <w:t>拟建工程场地或附近存在对工程安全有影响的岩溶时，应进行岩溶勘察，并对场地稳定性给出明确判断。</w:t>
      </w:r>
    </w:p>
    <w:p w14:paraId="0FF4F5E0">
      <w:pPr>
        <w:rPr>
          <w:color w:val="auto"/>
        </w:rPr>
      </w:pPr>
    </w:p>
    <w:p w14:paraId="7BF88936">
      <w:pPr>
        <w:adjustRightInd w:val="0"/>
        <w:snapToGrid w:val="0"/>
        <w:spacing w:line="340" w:lineRule="exact"/>
        <w:outlineLvl w:val="1"/>
        <w:rPr>
          <w:rFonts w:eastAsia="黑体"/>
          <w:b/>
          <w:bCs/>
          <w:color w:val="auto"/>
          <w:szCs w:val="21"/>
        </w:rPr>
      </w:pPr>
      <w:bookmarkStart w:id="61" w:name="_Toc199943605"/>
      <w:r>
        <w:rPr>
          <w:rFonts w:eastAsia="黑体"/>
          <w:b/>
          <w:bCs/>
          <w:color w:val="auto"/>
          <w:szCs w:val="21"/>
        </w:rPr>
        <w:t>11.4  采空区场地</w:t>
      </w:r>
      <w:bookmarkEnd w:id="61"/>
    </w:p>
    <w:p w14:paraId="637EEF52">
      <w:pPr>
        <w:adjustRightInd w:val="0"/>
        <w:snapToGrid w:val="0"/>
        <w:spacing w:line="340" w:lineRule="exact"/>
        <w:rPr>
          <w:color w:val="auto"/>
          <w:szCs w:val="21"/>
        </w:rPr>
      </w:pPr>
    </w:p>
    <w:p w14:paraId="1A46DA32">
      <w:pPr>
        <w:snapToGrid w:val="0"/>
        <w:spacing w:line="340" w:lineRule="atLeast"/>
        <w:rPr>
          <w:color w:val="auto"/>
        </w:rPr>
      </w:pPr>
      <w:r>
        <w:rPr>
          <w:rFonts w:eastAsia="黑体"/>
          <w:b/>
          <w:bCs/>
          <w:color w:val="auto"/>
          <w:szCs w:val="21"/>
        </w:rPr>
        <w:t xml:space="preserve">11.4.1  </w:t>
      </w:r>
      <w:r>
        <w:rPr>
          <w:rFonts w:hint="eastAsia"/>
          <w:color w:val="auto"/>
        </w:rPr>
        <w:t>在煤矿、金属及非金属矿的采空区或邻近的边缘地段进行建设前，宜取得场地的长期变形监测资料，并按基本建设程序进行采空区专项勘察，考虑场地变形以及岩层采动损害对山体和边坡稳定性的影响，判定场地的稳定性和建设适宜性。在采空区不宜兴建对变形要求严格的建筑物。</w:t>
      </w:r>
    </w:p>
    <w:p w14:paraId="6F0A0C02">
      <w:pPr>
        <w:snapToGrid w:val="0"/>
        <w:spacing w:line="340" w:lineRule="atLeast"/>
        <w:rPr>
          <w:color w:val="auto"/>
        </w:rPr>
      </w:pPr>
      <w:r>
        <w:rPr>
          <w:rFonts w:eastAsia="黑体"/>
          <w:b/>
          <w:bCs/>
          <w:color w:val="auto"/>
          <w:szCs w:val="21"/>
        </w:rPr>
        <w:t xml:space="preserve">11.4.2  </w:t>
      </w:r>
      <w:r>
        <w:rPr>
          <w:color w:val="auto"/>
        </w:rPr>
        <w:t>在对采空塌陷区进行建筑适宜性评价时，应遵循以收集资料、调查和测绘</w:t>
      </w:r>
      <w:r>
        <w:rPr>
          <w:rFonts w:hint="eastAsia"/>
          <w:color w:val="auto"/>
        </w:rPr>
        <w:t>、工程物探</w:t>
      </w:r>
      <w:r>
        <w:rPr>
          <w:color w:val="auto"/>
        </w:rPr>
        <w:t>为主，</w:t>
      </w:r>
      <w:r>
        <w:rPr>
          <w:rFonts w:hint="eastAsia"/>
          <w:color w:val="auto"/>
        </w:rPr>
        <w:t>工程钻探</w:t>
      </w:r>
      <w:r>
        <w:rPr>
          <w:color w:val="auto"/>
        </w:rPr>
        <w:t>、测试</w:t>
      </w:r>
      <w:r>
        <w:rPr>
          <w:rFonts w:hint="eastAsia"/>
          <w:color w:val="auto"/>
        </w:rPr>
        <w:t>与地表变形监测</w:t>
      </w:r>
      <w:r>
        <w:rPr>
          <w:color w:val="auto"/>
        </w:rPr>
        <w:t>为辅，</w:t>
      </w:r>
      <w:r>
        <w:rPr>
          <w:rFonts w:hint="eastAsia"/>
          <w:color w:val="auto"/>
        </w:rPr>
        <w:t>综合评价</w:t>
      </w:r>
      <w:r>
        <w:rPr>
          <w:color w:val="auto"/>
        </w:rPr>
        <w:t xml:space="preserve">的技术路线。在进行建筑适宜性评价时，应掌握以下几方面资料： </w:t>
      </w:r>
    </w:p>
    <w:p w14:paraId="0EE76713">
      <w:pPr>
        <w:snapToGrid w:val="0"/>
        <w:spacing w:line="340" w:lineRule="atLeast"/>
        <w:ind w:firstLine="422" w:firstLineChars="200"/>
        <w:rPr>
          <w:color w:val="auto"/>
        </w:rPr>
      </w:pPr>
      <w:r>
        <w:rPr>
          <w:rFonts w:eastAsia="黑体"/>
          <w:b/>
          <w:bCs/>
          <w:color w:val="auto"/>
          <w:szCs w:val="21"/>
        </w:rPr>
        <w:t>a)</w:t>
      </w:r>
      <w:r>
        <w:rPr>
          <w:color w:val="auto"/>
        </w:rPr>
        <w:t xml:space="preserve">  矿区及矿床地质资料；</w:t>
      </w:r>
    </w:p>
    <w:p w14:paraId="5DBFCD10">
      <w:pPr>
        <w:snapToGrid w:val="0"/>
        <w:spacing w:line="340" w:lineRule="atLeast"/>
        <w:ind w:firstLine="422" w:firstLineChars="200"/>
        <w:rPr>
          <w:color w:val="auto"/>
        </w:rPr>
      </w:pPr>
      <w:r>
        <w:rPr>
          <w:rFonts w:eastAsia="黑体"/>
          <w:b/>
          <w:bCs/>
          <w:color w:val="auto"/>
          <w:szCs w:val="21"/>
        </w:rPr>
        <w:t>b)</w:t>
      </w:r>
      <w:r>
        <w:rPr>
          <w:color w:val="auto"/>
        </w:rPr>
        <w:t xml:space="preserve">  矿山开采设计资料；</w:t>
      </w:r>
    </w:p>
    <w:p w14:paraId="4C534E1E">
      <w:pPr>
        <w:snapToGrid w:val="0"/>
        <w:spacing w:line="340" w:lineRule="atLeast"/>
        <w:ind w:firstLine="422" w:firstLineChars="200"/>
        <w:rPr>
          <w:color w:val="auto"/>
        </w:rPr>
      </w:pPr>
      <w:r>
        <w:rPr>
          <w:rFonts w:eastAsia="黑体"/>
          <w:b/>
          <w:bCs/>
          <w:color w:val="auto"/>
          <w:szCs w:val="21"/>
        </w:rPr>
        <w:t>c)</w:t>
      </w:r>
      <w:r>
        <w:rPr>
          <w:color w:val="auto"/>
        </w:rPr>
        <w:t xml:space="preserve">  矿山开采方法和顶板管理方法；</w:t>
      </w:r>
    </w:p>
    <w:p w14:paraId="0AD1410A">
      <w:pPr>
        <w:snapToGrid w:val="0"/>
        <w:spacing w:line="340" w:lineRule="atLeast"/>
        <w:ind w:firstLine="422" w:firstLineChars="200"/>
        <w:rPr>
          <w:color w:val="auto"/>
        </w:rPr>
      </w:pPr>
      <w:r>
        <w:rPr>
          <w:rFonts w:eastAsia="黑体"/>
          <w:b/>
          <w:bCs/>
          <w:color w:val="auto"/>
          <w:szCs w:val="21"/>
        </w:rPr>
        <w:t>d)</w:t>
      </w:r>
      <w:r>
        <w:rPr>
          <w:color w:val="auto"/>
        </w:rPr>
        <w:t xml:space="preserve">  采空区分布及采深、采厚比H/M和终采时间；</w:t>
      </w:r>
    </w:p>
    <w:p w14:paraId="7877BAF4">
      <w:pPr>
        <w:snapToGrid w:val="0"/>
        <w:spacing w:line="340" w:lineRule="atLeast"/>
        <w:ind w:firstLine="422" w:firstLineChars="200"/>
        <w:rPr>
          <w:color w:val="auto"/>
        </w:rPr>
      </w:pPr>
      <w:r>
        <w:rPr>
          <w:rFonts w:eastAsia="黑体"/>
          <w:b/>
          <w:bCs/>
          <w:color w:val="auto"/>
          <w:szCs w:val="21"/>
        </w:rPr>
        <w:t>e)</w:t>
      </w:r>
      <w:r>
        <w:rPr>
          <w:color w:val="auto"/>
        </w:rPr>
        <w:t xml:space="preserve">  由覆岩性质和采矿方法所决定的覆岩冒落类型及其地表移动（塌陷）特征；</w:t>
      </w:r>
    </w:p>
    <w:p w14:paraId="33C6CB01">
      <w:pPr>
        <w:snapToGrid w:val="0"/>
        <w:spacing w:line="340" w:lineRule="atLeast"/>
        <w:ind w:firstLine="422" w:firstLineChars="200"/>
        <w:rPr>
          <w:color w:val="auto"/>
        </w:rPr>
      </w:pPr>
      <w:r>
        <w:rPr>
          <w:rFonts w:eastAsia="黑体"/>
          <w:b/>
          <w:bCs/>
          <w:color w:val="auto"/>
          <w:szCs w:val="21"/>
        </w:rPr>
        <w:t>f)</w:t>
      </w:r>
      <w:r>
        <w:rPr>
          <w:color w:val="auto"/>
        </w:rPr>
        <w:t xml:space="preserve">  矿山开采生产过程及成果资料；</w:t>
      </w:r>
    </w:p>
    <w:p w14:paraId="17D1215F">
      <w:pPr>
        <w:snapToGrid w:val="0"/>
        <w:spacing w:line="340" w:lineRule="atLeast"/>
        <w:ind w:firstLine="422" w:firstLineChars="200"/>
        <w:rPr>
          <w:color w:val="auto"/>
        </w:rPr>
      </w:pPr>
      <w:r>
        <w:rPr>
          <w:rFonts w:eastAsia="黑体"/>
          <w:b/>
          <w:bCs/>
          <w:color w:val="auto"/>
          <w:szCs w:val="21"/>
        </w:rPr>
        <w:t>g)</w:t>
      </w:r>
      <w:r>
        <w:rPr>
          <w:color w:val="auto"/>
        </w:rPr>
        <w:t xml:space="preserve">  矿山开采全过程的地表移动、变形监测资料</w:t>
      </w:r>
      <w:r>
        <w:rPr>
          <w:rFonts w:hint="eastAsia"/>
          <w:color w:val="auto"/>
        </w:rPr>
        <w:t>；</w:t>
      </w:r>
    </w:p>
    <w:p w14:paraId="65F56F31">
      <w:pPr>
        <w:snapToGrid w:val="0"/>
        <w:spacing w:line="340" w:lineRule="atLeast"/>
        <w:ind w:firstLine="422" w:firstLineChars="200"/>
        <w:rPr>
          <w:color w:val="auto"/>
        </w:rPr>
      </w:pPr>
      <w:r>
        <w:rPr>
          <w:rFonts w:eastAsia="黑体"/>
          <w:b/>
          <w:bCs/>
          <w:color w:val="auto"/>
          <w:szCs w:val="21"/>
        </w:rPr>
        <w:t>h)</w:t>
      </w:r>
      <w:r>
        <w:rPr>
          <w:color w:val="auto"/>
        </w:rPr>
        <w:t xml:space="preserve">  </w:t>
      </w:r>
      <w:r>
        <w:rPr>
          <w:rFonts w:hint="eastAsia"/>
          <w:color w:val="auto"/>
        </w:rPr>
        <w:t>采空区已有建筑物的类型、基础型式、变形破坏情况</w:t>
      </w:r>
      <w:r>
        <w:rPr>
          <w:color w:val="auto"/>
        </w:rPr>
        <w:t>。</w:t>
      </w:r>
    </w:p>
    <w:p w14:paraId="56E4AFD4">
      <w:pPr>
        <w:snapToGrid w:val="0"/>
        <w:spacing w:line="340" w:lineRule="atLeast"/>
        <w:rPr>
          <w:color w:val="auto"/>
        </w:rPr>
      </w:pPr>
      <w:r>
        <w:rPr>
          <w:rFonts w:eastAsia="黑体"/>
          <w:b/>
          <w:bCs/>
          <w:color w:val="auto"/>
          <w:szCs w:val="21"/>
        </w:rPr>
        <w:t xml:space="preserve">11.4.3  </w:t>
      </w:r>
      <w:r>
        <w:rPr>
          <w:color w:val="auto"/>
        </w:rPr>
        <w:t>应在充分收集矿山设计、开采生产过程及地表变形等资料的基础上，结合工程地质调查、分析，作出如下判断：</w:t>
      </w:r>
    </w:p>
    <w:p w14:paraId="59AED335">
      <w:pPr>
        <w:snapToGrid w:val="0"/>
        <w:spacing w:line="340" w:lineRule="atLeast"/>
        <w:ind w:left="728" w:leftChars="201" w:hanging="306" w:hangingChars="145"/>
        <w:rPr>
          <w:color w:val="auto"/>
        </w:rPr>
      </w:pPr>
      <w:r>
        <w:rPr>
          <w:rFonts w:eastAsia="黑体"/>
          <w:b/>
          <w:bCs/>
          <w:color w:val="auto"/>
          <w:szCs w:val="21"/>
        </w:rPr>
        <w:t>a)</w:t>
      </w:r>
      <w:r>
        <w:rPr>
          <w:color w:val="auto"/>
        </w:rPr>
        <w:t xml:space="preserve">  确定塌陷区及影响区的范围及其中间区、内边缘区</w:t>
      </w:r>
      <w:r>
        <w:rPr>
          <w:rFonts w:hint="eastAsia"/>
          <w:color w:val="auto"/>
        </w:rPr>
        <w:t>和</w:t>
      </w:r>
      <w:r>
        <w:rPr>
          <w:color w:val="auto"/>
        </w:rPr>
        <w:t>外边缘区的具体界限；判定充分采动连续地表移动塌陷区的地表移动变形处于地表移动延续时间的总移动期 （初始期、活跃期、衰退期）中的阶段；非连续地表移动塌陷区的覆岩冒落情况，塌陷区的边界裂缝分布及深度。</w:t>
      </w:r>
    </w:p>
    <w:p w14:paraId="36713603">
      <w:pPr>
        <w:snapToGrid w:val="0"/>
        <w:spacing w:line="340" w:lineRule="atLeast"/>
        <w:ind w:left="728" w:leftChars="201" w:hanging="306" w:hangingChars="145"/>
        <w:rPr>
          <w:color w:val="auto"/>
        </w:rPr>
      </w:pPr>
      <w:r>
        <w:rPr>
          <w:rFonts w:eastAsia="黑体"/>
          <w:b/>
          <w:bCs/>
          <w:color w:val="auto"/>
          <w:szCs w:val="21"/>
        </w:rPr>
        <w:t>b)</w:t>
      </w:r>
      <w:r>
        <w:rPr>
          <w:color w:val="auto"/>
        </w:rPr>
        <w:t xml:space="preserve">  对处于采空区上的山体、边坡（陡壁），根据地质条件和采空区的空间组合关系，经过分析、验算，判定山体、边坡（陡壁）崩塌、滑坡的可能性。</w:t>
      </w:r>
    </w:p>
    <w:p w14:paraId="5E1255C1">
      <w:pPr>
        <w:snapToGrid w:val="0"/>
        <w:spacing w:line="340" w:lineRule="atLeast"/>
        <w:ind w:left="728" w:leftChars="201" w:hanging="306" w:hangingChars="145"/>
        <w:rPr>
          <w:color w:val="auto"/>
        </w:rPr>
      </w:pPr>
      <w:r>
        <w:rPr>
          <w:rFonts w:eastAsia="黑体"/>
          <w:b/>
          <w:bCs/>
          <w:color w:val="auto"/>
          <w:szCs w:val="21"/>
        </w:rPr>
        <w:t>c)</w:t>
      </w:r>
      <w:r>
        <w:rPr>
          <w:color w:val="auto"/>
        </w:rPr>
        <w:t xml:space="preserve">  对采矿山体塌陷边界角外侧的缓坡地段或平坦地段的稳定性进行分析、评价，确定因塌陷山体的不对称挤压而产生鼓</w:t>
      </w:r>
      <w:r>
        <w:rPr>
          <w:rFonts w:hint="eastAsia"/>
          <w:color w:val="auto"/>
        </w:rPr>
        <w:t>胀</w:t>
      </w:r>
      <w:r>
        <w:rPr>
          <w:color w:val="auto"/>
        </w:rPr>
        <w:t>变形或地表隆起的情况及这类变形的发展趋势。</w:t>
      </w:r>
    </w:p>
    <w:p w14:paraId="75217A3F">
      <w:pPr>
        <w:snapToGrid w:val="0"/>
        <w:spacing w:line="340" w:lineRule="atLeast"/>
        <w:rPr>
          <w:color w:val="auto"/>
        </w:rPr>
      </w:pPr>
      <w:r>
        <w:rPr>
          <w:rFonts w:eastAsia="黑体"/>
          <w:b/>
          <w:bCs/>
          <w:color w:val="auto"/>
          <w:szCs w:val="21"/>
        </w:rPr>
        <w:t xml:space="preserve">11.4.4  </w:t>
      </w:r>
      <w:r>
        <w:rPr>
          <w:color w:val="auto"/>
        </w:rPr>
        <w:t>应根据矿山设计及开采过程的相关资料和现场调查资料综合分析、评价，并应按下列规定划分可以建筑的场地和不适宜建筑的场地：</w:t>
      </w:r>
    </w:p>
    <w:p w14:paraId="0C655737">
      <w:pPr>
        <w:snapToGrid w:val="0"/>
        <w:spacing w:line="340" w:lineRule="atLeast"/>
        <w:ind w:firstLine="413" w:firstLineChars="196"/>
        <w:rPr>
          <w:color w:val="auto"/>
        </w:rPr>
      </w:pPr>
      <w:r>
        <w:rPr>
          <w:rFonts w:eastAsia="黑体"/>
          <w:b/>
          <w:bCs/>
          <w:color w:val="auto"/>
          <w:szCs w:val="21"/>
        </w:rPr>
        <w:t>a)</w:t>
      </w:r>
      <w:r>
        <w:rPr>
          <w:color w:val="auto"/>
        </w:rPr>
        <w:t xml:space="preserve">  当矿山开采已充分采动并已终止开采、覆岩经连续地表移动已经过衰减期或处于稳定期并符合下列条件的地段可作为建筑场地：</w:t>
      </w:r>
    </w:p>
    <w:p w14:paraId="731654C5">
      <w:pPr>
        <w:snapToGrid w:val="0"/>
        <w:spacing w:line="340" w:lineRule="atLeast"/>
        <w:ind w:firstLine="740" w:firstLineChars="351"/>
        <w:rPr>
          <w:color w:val="auto"/>
        </w:rPr>
      </w:pPr>
      <w:r>
        <w:rPr>
          <w:rFonts w:eastAsia="黑体"/>
          <w:b/>
          <w:bCs/>
          <w:color w:val="auto"/>
          <w:szCs w:val="21"/>
        </w:rPr>
        <w:t>1）</w:t>
      </w:r>
      <w:r>
        <w:rPr>
          <w:color w:val="auto"/>
        </w:rPr>
        <w:t>采深与采厚比值大于</w:t>
      </w:r>
      <w:r>
        <w:rPr>
          <w:rFonts w:hint="eastAsia"/>
          <w:color w:val="auto"/>
        </w:rPr>
        <w:t>6</w:t>
      </w:r>
      <w:r>
        <w:rPr>
          <w:color w:val="auto"/>
        </w:rPr>
        <w:t>0的深埋矿层的采空区上，覆岩冒落及变形对地表无影响的地段；</w:t>
      </w:r>
    </w:p>
    <w:p w14:paraId="4E067194">
      <w:pPr>
        <w:snapToGrid w:val="0"/>
        <w:spacing w:line="340" w:lineRule="atLeast"/>
        <w:ind w:firstLine="740" w:firstLineChars="351"/>
        <w:rPr>
          <w:color w:val="auto"/>
        </w:rPr>
      </w:pPr>
      <w:r>
        <w:rPr>
          <w:rFonts w:eastAsia="黑体"/>
          <w:b/>
          <w:bCs/>
          <w:color w:val="auto"/>
          <w:szCs w:val="21"/>
        </w:rPr>
        <w:t>2）</w:t>
      </w:r>
      <w:r>
        <w:rPr>
          <w:color w:val="auto"/>
        </w:rPr>
        <w:t>地表</w:t>
      </w:r>
      <w:r>
        <w:rPr>
          <w:rFonts w:hint="eastAsia"/>
          <w:color w:val="auto"/>
        </w:rPr>
        <w:t>剩余</w:t>
      </w:r>
      <w:r>
        <w:rPr>
          <w:color w:val="auto"/>
        </w:rPr>
        <w:t>倾斜率</w:t>
      </w:r>
      <w:r>
        <w:rPr>
          <w:rFonts w:hint="eastAsia"/>
          <w:color w:val="auto"/>
        </w:rPr>
        <w:t>值△</w:t>
      </w:r>
      <w:r>
        <w:rPr>
          <w:color w:val="auto"/>
        </w:rPr>
        <w:t>i</w:t>
      </w:r>
      <w:r>
        <w:rPr>
          <w:rFonts w:hint="eastAsia"/>
          <w:color w:val="auto"/>
        </w:rPr>
        <w:t>&lt;</w:t>
      </w:r>
      <w:r>
        <w:rPr>
          <w:color w:val="auto"/>
        </w:rPr>
        <w:t>±3mm/m</w:t>
      </w:r>
      <w:r>
        <w:rPr>
          <w:rFonts w:hint="eastAsia"/>
          <w:color w:val="auto"/>
        </w:rPr>
        <w:t>、剩余</w:t>
      </w:r>
      <w:r>
        <w:rPr>
          <w:color w:val="auto"/>
        </w:rPr>
        <w:t>曲率</w:t>
      </w:r>
      <w:r>
        <w:rPr>
          <w:rFonts w:hint="eastAsia"/>
          <w:color w:val="auto"/>
        </w:rPr>
        <w:t>值△</w:t>
      </w:r>
      <w:r>
        <w:rPr>
          <w:color w:val="auto"/>
        </w:rPr>
        <w:t>K</w:t>
      </w:r>
      <w:r>
        <w:rPr>
          <w:rFonts w:hint="eastAsia"/>
          <w:color w:val="auto"/>
        </w:rPr>
        <w:t>&lt;</w:t>
      </w:r>
      <w:r>
        <w:rPr>
          <w:color w:val="auto"/>
        </w:rPr>
        <w:t>0.2×10</w:t>
      </w:r>
      <w:r>
        <w:rPr>
          <w:color w:val="auto"/>
          <w:vertAlign w:val="superscript"/>
        </w:rPr>
        <w:t>-3</w:t>
      </w:r>
      <w:r>
        <w:rPr>
          <w:color w:val="auto"/>
        </w:rPr>
        <w:t>/m</w:t>
      </w:r>
      <w:r>
        <w:rPr>
          <w:rFonts w:hint="eastAsia"/>
          <w:color w:val="auto"/>
        </w:rPr>
        <w:t>和剩余</w:t>
      </w:r>
      <w:r>
        <w:rPr>
          <w:color w:val="auto"/>
        </w:rPr>
        <w:t>水平变形</w:t>
      </w:r>
      <w:r>
        <w:rPr>
          <w:rFonts w:hint="eastAsia"/>
          <w:color w:val="auto"/>
        </w:rPr>
        <w:t>值△ε&lt;</w:t>
      </w:r>
      <w:r>
        <w:rPr>
          <w:color w:val="auto"/>
        </w:rPr>
        <w:t>±2mm/m的地段；</w:t>
      </w:r>
    </w:p>
    <w:p w14:paraId="7929B755">
      <w:pPr>
        <w:snapToGrid w:val="0"/>
        <w:spacing w:line="340" w:lineRule="atLeast"/>
        <w:ind w:firstLine="740" w:firstLineChars="351"/>
        <w:rPr>
          <w:color w:val="auto"/>
        </w:rPr>
      </w:pPr>
      <w:r>
        <w:rPr>
          <w:rFonts w:eastAsia="黑体"/>
          <w:b/>
          <w:bCs/>
          <w:color w:val="auto"/>
          <w:szCs w:val="21"/>
        </w:rPr>
        <w:t>3）</w:t>
      </w:r>
      <w:r>
        <w:rPr>
          <w:color w:val="auto"/>
        </w:rPr>
        <w:t>对采空区上山体、边坡进行稳定性评价后结论为“稳定”的地段；</w:t>
      </w:r>
    </w:p>
    <w:p w14:paraId="070E4240">
      <w:pPr>
        <w:snapToGrid w:val="0"/>
        <w:spacing w:line="340" w:lineRule="atLeast"/>
        <w:ind w:firstLine="740" w:firstLineChars="351"/>
        <w:rPr>
          <w:color w:val="auto"/>
        </w:rPr>
      </w:pPr>
      <w:r>
        <w:rPr>
          <w:rFonts w:eastAsia="黑体"/>
          <w:b/>
          <w:bCs/>
          <w:color w:val="auto"/>
          <w:szCs w:val="21"/>
        </w:rPr>
        <w:t>4）</w:t>
      </w:r>
      <w:r>
        <w:rPr>
          <w:color w:val="auto"/>
        </w:rPr>
        <w:t>对采空塌陷区边界角外侧的场地，经调查和监测确定没发生地表隆起，或虽曾发生过隆起变形但终采后隆起变形已终止的地段；</w:t>
      </w:r>
    </w:p>
    <w:p w14:paraId="731FF039">
      <w:pPr>
        <w:snapToGrid w:val="0"/>
        <w:spacing w:line="340" w:lineRule="atLeast"/>
        <w:ind w:firstLine="740" w:firstLineChars="351"/>
        <w:rPr>
          <w:color w:val="auto"/>
        </w:rPr>
      </w:pPr>
      <w:r>
        <w:rPr>
          <w:rFonts w:eastAsia="黑体"/>
          <w:b/>
          <w:bCs/>
          <w:color w:val="auto"/>
          <w:szCs w:val="21"/>
        </w:rPr>
        <w:t>5）</w:t>
      </w:r>
      <w:r>
        <w:rPr>
          <w:color w:val="auto"/>
        </w:rPr>
        <w:t>受安全矿柱保护的地段。</w:t>
      </w:r>
    </w:p>
    <w:p w14:paraId="4941E913">
      <w:pPr>
        <w:snapToGrid w:val="0"/>
        <w:spacing w:line="340" w:lineRule="atLeast"/>
        <w:ind w:firstLine="413" w:firstLineChars="196"/>
        <w:rPr>
          <w:color w:val="auto"/>
        </w:rPr>
      </w:pPr>
      <w:r>
        <w:rPr>
          <w:rFonts w:eastAsia="黑体"/>
          <w:b/>
          <w:bCs/>
          <w:color w:val="auto"/>
          <w:szCs w:val="21"/>
        </w:rPr>
        <w:t>b)</w:t>
      </w:r>
      <w:r>
        <w:rPr>
          <w:color w:val="auto"/>
        </w:rPr>
        <w:t xml:space="preserve">  下列地段不</w:t>
      </w:r>
      <w:r>
        <w:rPr>
          <w:rFonts w:hint="eastAsia"/>
          <w:color w:val="auto"/>
        </w:rPr>
        <w:t>适宜</w:t>
      </w:r>
      <w:r>
        <w:rPr>
          <w:color w:val="auto"/>
        </w:rPr>
        <w:t>作为建筑场地：</w:t>
      </w:r>
    </w:p>
    <w:p w14:paraId="0E6E89BD">
      <w:pPr>
        <w:snapToGrid w:val="0"/>
        <w:spacing w:line="340" w:lineRule="atLeast"/>
        <w:ind w:firstLine="727" w:firstLineChars="345"/>
        <w:rPr>
          <w:color w:val="auto"/>
        </w:rPr>
      </w:pPr>
      <w:r>
        <w:rPr>
          <w:rFonts w:eastAsia="黑体"/>
          <w:b/>
          <w:bCs/>
          <w:color w:val="auto"/>
          <w:szCs w:val="21"/>
        </w:rPr>
        <w:t>1）</w:t>
      </w:r>
      <w:r>
        <w:rPr>
          <w:color w:val="auto"/>
        </w:rPr>
        <w:t>矿山开采活动尚未终结，地表移动变形处于活跃期或虽进入衰减期但未完全稳定的地段；</w:t>
      </w:r>
    </w:p>
    <w:p w14:paraId="3E588621">
      <w:pPr>
        <w:snapToGrid w:val="0"/>
        <w:spacing w:line="340" w:lineRule="atLeast"/>
        <w:ind w:firstLine="727" w:firstLineChars="345"/>
        <w:rPr>
          <w:color w:val="auto"/>
        </w:rPr>
      </w:pPr>
      <w:r>
        <w:rPr>
          <w:rFonts w:eastAsia="黑体"/>
          <w:b/>
          <w:bCs/>
          <w:color w:val="auto"/>
          <w:szCs w:val="21"/>
        </w:rPr>
        <w:t>2）</w:t>
      </w:r>
      <w:r>
        <w:rPr>
          <w:color w:val="auto"/>
        </w:rPr>
        <w:t>地表</w:t>
      </w:r>
      <w:r>
        <w:rPr>
          <w:rFonts w:hint="eastAsia"/>
          <w:color w:val="auto"/>
        </w:rPr>
        <w:t>剩余</w:t>
      </w:r>
      <w:r>
        <w:rPr>
          <w:color w:val="auto"/>
        </w:rPr>
        <w:t>倾斜率</w:t>
      </w:r>
      <w:r>
        <w:rPr>
          <w:rFonts w:hint="eastAsia"/>
          <w:color w:val="auto"/>
        </w:rPr>
        <w:t>值△</w:t>
      </w:r>
      <w:r>
        <w:rPr>
          <w:color w:val="auto"/>
        </w:rPr>
        <w:t>i</w:t>
      </w:r>
      <w:r>
        <w:rPr>
          <w:rFonts w:hint="eastAsia"/>
          <w:color w:val="auto"/>
        </w:rPr>
        <w:t>≥</w:t>
      </w:r>
      <w:r>
        <w:rPr>
          <w:color w:val="auto"/>
        </w:rPr>
        <w:t>±3mm/m</w:t>
      </w:r>
      <w:r>
        <w:rPr>
          <w:rFonts w:hint="eastAsia"/>
          <w:color w:val="auto"/>
        </w:rPr>
        <w:t>或剩余</w:t>
      </w:r>
      <w:r>
        <w:rPr>
          <w:color w:val="auto"/>
        </w:rPr>
        <w:t>曲率</w:t>
      </w:r>
      <w:r>
        <w:rPr>
          <w:rFonts w:hint="eastAsia"/>
          <w:color w:val="auto"/>
        </w:rPr>
        <w:t>值△</w:t>
      </w:r>
      <w:r>
        <w:rPr>
          <w:color w:val="auto"/>
        </w:rPr>
        <w:t>K</w:t>
      </w:r>
      <w:r>
        <w:rPr>
          <w:rFonts w:hint="eastAsia"/>
          <w:color w:val="auto"/>
        </w:rPr>
        <w:t>≥</w:t>
      </w:r>
      <w:r>
        <w:rPr>
          <w:color w:val="auto"/>
        </w:rPr>
        <w:t>0.2×10</w:t>
      </w:r>
      <w:r>
        <w:rPr>
          <w:color w:val="auto"/>
          <w:vertAlign w:val="superscript"/>
        </w:rPr>
        <w:t>-3</w:t>
      </w:r>
      <w:r>
        <w:rPr>
          <w:color w:val="auto"/>
        </w:rPr>
        <w:t>/m</w:t>
      </w:r>
      <w:r>
        <w:rPr>
          <w:rFonts w:hint="eastAsia"/>
          <w:color w:val="auto"/>
        </w:rPr>
        <w:t>或剩余</w:t>
      </w:r>
      <w:r>
        <w:rPr>
          <w:color w:val="auto"/>
        </w:rPr>
        <w:t>水平变形</w:t>
      </w:r>
      <w:r>
        <w:rPr>
          <w:rFonts w:hint="eastAsia"/>
          <w:color w:val="auto"/>
        </w:rPr>
        <w:t>值△ε≥</w:t>
      </w:r>
      <w:r>
        <w:rPr>
          <w:color w:val="auto"/>
        </w:rPr>
        <w:t>±2mm/m的地段；</w:t>
      </w:r>
    </w:p>
    <w:p w14:paraId="5A33C3D6">
      <w:pPr>
        <w:snapToGrid w:val="0"/>
        <w:spacing w:line="340" w:lineRule="atLeast"/>
        <w:ind w:firstLine="727" w:firstLineChars="345"/>
        <w:rPr>
          <w:color w:val="auto"/>
        </w:rPr>
      </w:pPr>
      <w:r>
        <w:rPr>
          <w:rFonts w:eastAsia="黑体"/>
          <w:b/>
          <w:bCs/>
          <w:color w:val="auto"/>
          <w:szCs w:val="21"/>
        </w:rPr>
        <w:t>3）</w:t>
      </w:r>
      <w:r>
        <w:rPr>
          <w:color w:val="auto"/>
        </w:rPr>
        <w:t>开采过程中出现非连续地表变形，坚硬顶板尚未发生冒落的地段；</w:t>
      </w:r>
    </w:p>
    <w:p w14:paraId="410A813B">
      <w:pPr>
        <w:snapToGrid w:val="0"/>
        <w:spacing w:line="340" w:lineRule="atLeast"/>
        <w:ind w:firstLine="727" w:firstLineChars="345"/>
        <w:rPr>
          <w:color w:val="auto"/>
        </w:rPr>
      </w:pPr>
      <w:r>
        <w:rPr>
          <w:rFonts w:eastAsia="黑体"/>
          <w:b/>
          <w:bCs/>
          <w:color w:val="auto"/>
          <w:szCs w:val="21"/>
        </w:rPr>
        <w:t>4）</w:t>
      </w:r>
      <w:r>
        <w:rPr>
          <w:color w:val="auto"/>
        </w:rPr>
        <w:t>有多层矿体（层）的矿区，已采矿体（层）的采空区地表移动变形虽已稳定，但仍计划开采其他矿体（层）将进行重复采动的地段；</w:t>
      </w:r>
    </w:p>
    <w:p w14:paraId="193C4615">
      <w:pPr>
        <w:snapToGrid w:val="0"/>
        <w:spacing w:line="340" w:lineRule="atLeast"/>
        <w:rPr>
          <w:color w:val="auto"/>
        </w:rPr>
      </w:pPr>
      <w:r>
        <w:rPr>
          <w:rFonts w:eastAsia="黑体"/>
          <w:b/>
          <w:bCs/>
          <w:color w:val="auto"/>
          <w:szCs w:val="21"/>
        </w:rPr>
        <w:t xml:space="preserve">      </w:t>
      </w:r>
      <w:r>
        <w:rPr>
          <w:rFonts w:hint="eastAsia" w:eastAsia="黑体"/>
          <w:b/>
          <w:bCs/>
          <w:color w:val="auto"/>
          <w:szCs w:val="21"/>
        </w:rPr>
        <w:t xml:space="preserve"> </w:t>
      </w:r>
      <w:r>
        <w:rPr>
          <w:rFonts w:eastAsia="黑体"/>
          <w:b/>
          <w:bCs/>
          <w:color w:val="auto"/>
          <w:szCs w:val="21"/>
        </w:rPr>
        <w:t>5）</w:t>
      </w:r>
      <w:r>
        <w:rPr>
          <w:color w:val="auto"/>
        </w:rPr>
        <w:t>由于地表移动可能引起山体、边坡失稳（即可能发生滑坡和岩崩的影响范围）地段；</w:t>
      </w:r>
    </w:p>
    <w:p w14:paraId="72865B32">
      <w:pPr>
        <w:snapToGrid w:val="0"/>
        <w:spacing w:line="340" w:lineRule="atLeast"/>
        <w:rPr>
          <w:color w:val="auto"/>
        </w:rPr>
      </w:pPr>
      <w:r>
        <w:rPr>
          <w:rFonts w:eastAsia="黑体"/>
          <w:b/>
          <w:bCs/>
          <w:color w:val="auto"/>
          <w:szCs w:val="21"/>
        </w:rPr>
        <w:t xml:space="preserve">    </w:t>
      </w:r>
      <w:r>
        <w:rPr>
          <w:rFonts w:hint="eastAsia" w:eastAsia="黑体"/>
          <w:b/>
          <w:bCs/>
          <w:color w:val="auto"/>
          <w:szCs w:val="21"/>
        </w:rPr>
        <w:t xml:space="preserve"> </w:t>
      </w:r>
      <w:r>
        <w:rPr>
          <w:rFonts w:eastAsia="黑体"/>
          <w:b/>
          <w:bCs/>
          <w:color w:val="auto"/>
          <w:szCs w:val="21"/>
        </w:rPr>
        <w:t xml:space="preserve">  6）</w:t>
      </w:r>
      <w:r>
        <w:rPr>
          <w:color w:val="auto"/>
        </w:rPr>
        <w:t>采空塌陷区边界角外侧出现地表鼓胀、隆起变形的场地，隆起变形尚未终止，或当前虽已停止但还有未采矿体将要开采，可能发生重复隆起的地段</w:t>
      </w:r>
      <w:r>
        <w:rPr>
          <w:rFonts w:hint="eastAsia"/>
          <w:color w:val="auto"/>
        </w:rPr>
        <w:t>；</w:t>
      </w:r>
    </w:p>
    <w:p w14:paraId="43762C58">
      <w:pPr>
        <w:snapToGrid w:val="0"/>
        <w:spacing w:line="340" w:lineRule="atLeast"/>
        <w:rPr>
          <w:color w:val="auto"/>
        </w:rPr>
      </w:pPr>
      <w:r>
        <w:rPr>
          <w:rFonts w:eastAsia="黑体"/>
          <w:b/>
          <w:bCs/>
          <w:color w:val="auto"/>
          <w:szCs w:val="21"/>
        </w:rPr>
        <w:t xml:space="preserve">      </w:t>
      </w:r>
      <w:r>
        <w:rPr>
          <w:rFonts w:hint="eastAsia" w:eastAsia="黑体"/>
          <w:b/>
          <w:bCs/>
          <w:color w:val="auto"/>
          <w:szCs w:val="21"/>
        </w:rPr>
        <w:t xml:space="preserve"> 7</w:t>
      </w:r>
      <w:r>
        <w:rPr>
          <w:rFonts w:eastAsia="黑体"/>
          <w:b/>
          <w:bCs/>
          <w:color w:val="auto"/>
          <w:szCs w:val="21"/>
        </w:rPr>
        <w:t>）</w:t>
      </w:r>
      <w:r>
        <w:rPr>
          <w:rFonts w:hint="eastAsia"/>
          <w:color w:val="auto"/>
        </w:rPr>
        <w:t>第四系覆盖层中分布有饱和粉土、砂类土地层的地段。</w:t>
      </w:r>
    </w:p>
    <w:p w14:paraId="055EBFFB">
      <w:pPr>
        <w:adjustRightInd w:val="0"/>
        <w:snapToGrid w:val="0"/>
        <w:spacing w:line="340" w:lineRule="atLeast"/>
        <w:rPr>
          <w:color w:val="auto"/>
          <w:szCs w:val="21"/>
        </w:rPr>
      </w:pPr>
      <w:r>
        <w:rPr>
          <w:rFonts w:eastAsia="黑体"/>
          <w:b/>
          <w:bCs/>
          <w:color w:val="auto"/>
          <w:szCs w:val="21"/>
        </w:rPr>
        <w:t>11.4.5</w:t>
      </w:r>
      <w:r>
        <w:rPr>
          <w:color w:val="auto"/>
          <w:szCs w:val="21"/>
        </w:rPr>
        <w:t xml:space="preserve">  在采空区应采取下列防止地表和建筑物变形的措施：</w:t>
      </w:r>
    </w:p>
    <w:p w14:paraId="71E795BC">
      <w:pPr>
        <w:pStyle w:val="20"/>
        <w:adjustRightInd w:val="0"/>
        <w:snapToGrid w:val="0"/>
        <w:spacing w:line="340" w:lineRule="atLeast"/>
        <w:ind w:left="0" w:leftChars="0" w:firstLine="422" w:firstLineChars="200"/>
        <w:rPr>
          <w:color w:val="auto"/>
          <w:szCs w:val="21"/>
        </w:rPr>
      </w:pPr>
      <w:r>
        <w:rPr>
          <w:rFonts w:eastAsia="黑体"/>
          <w:b/>
          <w:bCs/>
          <w:color w:val="auto"/>
          <w:szCs w:val="21"/>
        </w:rPr>
        <w:t>a)</w:t>
      </w:r>
      <w:r>
        <w:rPr>
          <w:color w:val="auto"/>
          <w:szCs w:val="21"/>
        </w:rPr>
        <w:t xml:space="preserve">  开采工艺措施</w:t>
      </w:r>
    </w:p>
    <w:p w14:paraId="0C5CBE00">
      <w:pPr>
        <w:pStyle w:val="20"/>
        <w:adjustRightInd w:val="0"/>
        <w:snapToGrid w:val="0"/>
        <w:spacing w:line="340" w:lineRule="atLeast"/>
        <w:ind w:left="1077" w:leftChars="366" w:hanging="308" w:hangingChars="146"/>
        <w:rPr>
          <w:color w:val="auto"/>
          <w:szCs w:val="21"/>
        </w:rPr>
      </w:pPr>
      <w:r>
        <w:rPr>
          <w:rFonts w:eastAsia="黑体"/>
          <w:b/>
          <w:bCs/>
          <w:color w:val="auto"/>
          <w:szCs w:val="21"/>
        </w:rPr>
        <w:t>1)</w:t>
      </w:r>
      <w:r>
        <w:rPr>
          <w:color w:val="auto"/>
          <w:szCs w:val="21"/>
        </w:rPr>
        <w:t xml:space="preserve"> 采用充填法管理顶板，及时全部充填或两次充填，以减少地表下沉量。</w:t>
      </w:r>
    </w:p>
    <w:p w14:paraId="6149A60C">
      <w:pPr>
        <w:pStyle w:val="20"/>
        <w:adjustRightInd w:val="0"/>
        <w:snapToGrid w:val="0"/>
        <w:spacing w:line="340" w:lineRule="atLeast"/>
        <w:ind w:left="1062" w:leftChars="367" w:hanging="291" w:hangingChars="138"/>
        <w:rPr>
          <w:color w:val="auto"/>
          <w:szCs w:val="21"/>
        </w:rPr>
      </w:pPr>
      <w:r>
        <w:rPr>
          <w:rFonts w:eastAsia="黑体"/>
          <w:b/>
          <w:bCs/>
          <w:color w:val="auto"/>
          <w:szCs w:val="21"/>
        </w:rPr>
        <w:t>2)</w:t>
      </w:r>
      <w:r>
        <w:rPr>
          <w:color w:val="auto"/>
          <w:szCs w:val="21"/>
        </w:rPr>
        <w:t xml:space="preserve"> 减少开采厚度，或采用条带法开采，使地表变形不超过建筑物的允许变形值。</w:t>
      </w:r>
    </w:p>
    <w:p w14:paraId="44E17894">
      <w:pPr>
        <w:pStyle w:val="20"/>
        <w:adjustRightInd w:val="0"/>
        <w:snapToGrid w:val="0"/>
        <w:spacing w:line="340" w:lineRule="atLeast"/>
        <w:ind w:left="1228" w:leftChars="367" w:hanging="457" w:hangingChars="217"/>
        <w:rPr>
          <w:color w:val="auto"/>
          <w:szCs w:val="21"/>
        </w:rPr>
      </w:pPr>
      <w:r>
        <w:rPr>
          <w:rFonts w:eastAsia="黑体"/>
          <w:b/>
          <w:bCs/>
          <w:color w:val="auto"/>
          <w:szCs w:val="21"/>
        </w:rPr>
        <w:t>3)</w:t>
      </w:r>
      <w:r>
        <w:rPr>
          <w:color w:val="auto"/>
          <w:szCs w:val="21"/>
        </w:rPr>
        <w:t xml:space="preserve"> 增大采空区宽度，使地表移动均匀。</w:t>
      </w:r>
    </w:p>
    <w:p w14:paraId="709E8E58">
      <w:pPr>
        <w:pStyle w:val="20"/>
        <w:adjustRightInd w:val="0"/>
        <w:snapToGrid w:val="0"/>
        <w:spacing w:line="340" w:lineRule="atLeast"/>
        <w:ind w:left="1228" w:leftChars="367" w:hanging="457" w:hangingChars="217"/>
        <w:rPr>
          <w:color w:val="auto"/>
          <w:szCs w:val="21"/>
        </w:rPr>
      </w:pPr>
      <w:r>
        <w:rPr>
          <w:rFonts w:eastAsia="黑体"/>
          <w:b/>
          <w:bCs/>
          <w:color w:val="auto"/>
          <w:szCs w:val="21"/>
        </w:rPr>
        <w:t>4)</w:t>
      </w:r>
      <w:r>
        <w:rPr>
          <w:color w:val="auto"/>
          <w:szCs w:val="21"/>
        </w:rPr>
        <w:t xml:space="preserve"> 控制开采，使开采推进速度均匀、合理。</w:t>
      </w:r>
    </w:p>
    <w:p w14:paraId="5DD1E1AD">
      <w:pPr>
        <w:pStyle w:val="20"/>
        <w:adjustRightInd w:val="0"/>
        <w:snapToGrid w:val="0"/>
        <w:spacing w:line="340" w:lineRule="atLeast"/>
        <w:ind w:left="0" w:leftChars="0" w:firstLine="422" w:firstLineChars="200"/>
        <w:rPr>
          <w:color w:val="auto"/>
          <w:szCs w:val="21"/>
        </w:rPr>
      </w:pPr>
      <w:r>
        <w:rPr>
          <w:rFonts w:eastAsia="黑体"/>
          <w:b/>
          <w:bCs/>
          <w:color w:val="auto"/>
          <w:szCs w:val="21"/>
        </w:rPr>
        <w:t>b)</w:t>
      </w:r>
      <w:r>
        <w:rPr>
          <w:color w:val="auto"/>
          <w:szCs w:val="21"/>
        </w:rPr>
        <w:t xml:space="preserve">  建筑物设计措施</w:t>
      </w:r>
    </w:p>
    <w:p w14:paraId="4B30983F">
      <w:pPr>
        <w:pStyle w:val="20"/>
        <w:adjustRightInd w:val="0"/>
        <w:snapToGrid w:val="0"/>
        <w:spacing w:line="340" w:lineRule="atLeast"/>
        <w:ind w:left="420" w:leftChars="200" w:firstLine="308" w:firstLineChars="146"/>
        <w:rPr>
          <w:color w:val="auto"/>
          <w:szCs w:val="21"/>
        </w:rPr>
      </w:pPr>
      <w:r>
        <w:rPr>
          <w:rFonts w:eastAsia="黑体"/>
          <w:b/>
          <w:bCs/>
          <w:color w:val="auto"/>
          <w:szCs w:val="21"/>
        </w:rPr>
        <w:t>1)</w:t>
      </w:r>
      <w:r>
        <w:rPr>
          <w:color w:val="auto"/>
          <w:szCs w:val="21"/>
        </w:rPr>
        <w:t xml:space="preserve"> </w:t>
      </w:r>
      <w:r>
        <w:rPr>
          <w:rFonts w:hint="eastAsia"/>
          <w:color w:val="auto"/>
          <w:szCs w:val="21"/>
        </w:rPr>
        <w:t>建筑物应布置在地表变形小、变形均匀的地段，并避开地表裂缝、塌陷坑、台阶等分布地段。</w:t>
      </w:r>
    </w:p>
    <w:p w14:paraId="35BCF0DC">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2</w:t>
      </w:r>
      <w:r>
        <w:rPr>
          <w:rFonts w:eastAsia="黑体"/>
          <w:b/>
          <w:bCs/>
          <w:color w:val="auto"/>
          <w:szCs w:val="21"/>
        </w:rPr>
        <w:t>)</w:t>
      </w:r>
      <w:r>
        <w:rPr>
          <w:color w:val="auto"/>
          <w:szCs w:val="21"/>
        </w:rPr>
        <w:t xml:space="preserve"> 建筑物长轴应垂直工作面的推进方向。</w:t>
      </w:r>
    </w:p>
    <w:p w14:paraId="10EDE3AD">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3</w:t>
      </w:r>
      <w:r>
        <w:rPr>
          <w:rFonts w:eastAsia="黑体"/>
          <w:b/>
          <w:bCs/>
          <w:color w:val="auto"/>
          <w:szCs w:val="21"/>
        </w:rPr>
        <w:t>)</w:t>
      </w:r>
      <w:r>
        <w:rPr>
          <w:color w:val="auto"/>
          <w:szCs w:val="21"/>
        </w:rPr>
        <w:t xml:space="preserve"> 建筑形体应力求简单</w:t>
      </w:r>
      <w:r>
        <w:rPr>
          <w:rFonts w:hint="eastAsia"/>
          <w:color w:val="auto"/>
          <w:szCs w:val="21"/>
        </w:rPr>
        <w:t>、</w:t>
      </w:r>
      <w:r>
        <w:rPr>
          <w:color w:val="auto"/>
          <w:szCs w:val="21"/>
        </w:rPr>
        <w:t>规则。</w:t>
      </w:r>
    </w:p>
    <w:p w14:paraId="029FDA92">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4</w:t>
      </w:r>
      <w:r>
        <w:rPr>
          <w:rFonts w:eastAsia="黑体"/>
          <w:b/>
          <w:bCs/>
          <w:color w:val="auto"/>
          <w:szCs w:val="21"/>
        </w:rPr>
        <w:t>)</w:t>
      </w:r>
      <w:r>
        <w:rPr>
          <w:color w:val="auto"/>
          <w:szCs w:val="21"/>
        </w:rPr>
        <w:t xml:space="preserve"> 基础底部应位于同一标高和岩性均一的地层上，否则应设置沉降缝分开。当基础埋深不相等时，应采用台阶过渡。建筑物不宜采用柱廊和独立柱。</w:t>
      </w:r>
    </w:p>
    <w:p w14:paraId="6EA06592">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5</w:t>
      </w:r>
      <w:r>
        <w:rPr>
          <w:rFonts w:eastAsia="黑体"/>
          <w:b/>
          <w:bCs/>
          <w:color w:val="auto"/>
          <w:szCs w:val="21"/>
        </w:rPr>
        <w:t>)</w:t>
      </w:r>
      <w:r>
        <w:rPr>
          <w:color w:val="auto"/>
          <w:szCs w:val="21"/>
        </w:rPr>
        <w:t xml:space="preserve"> 加强基础刚度和上部结构强度。</w:t>
      </w:r>
    </w:p>
    <w:p w14:paraId="39F3ADA8">
      <w:pPr>
        <w:pStyle w:val="20"/>
        <w:adjustRightInd w:val="0"/>
        <w:snapToGrid w:val="0"/>
        <w:spacing w:line="340" w:lineRule="atLeast"/>
        <w:ind w:left="1079" w:leftChars="367" w:hanging="308" w:hangingChars="146"/>
        <w:rPr>
          <w:color w:val="auto"/>
          <w:szCs w:val="21"/>
        </w:rPr>
      </w:pPr>
      <w:r>
        <w:rPr>
          <w:rFonts w:hint="eastAsia" w:eastAsia="黑体"/>
          <w:b/>
          <w:bCs/>
          <w:color w:val="auto"/>
          <w:szCs w:val="21"/>
        </w:rPr>
        <w:t>6</w:t>
      </w:r>
      <w:r>
        <w:rPr>
          <w:rFonts w:eastAsia="黑体"/>
          <w:b/>
          <w:bCs/>
          <w:color w:val="auto"/>
          <w:szCs w:val="21"/>
        </w:rPr>
        <w:t>)</w:t>
      </w:r>
      <w:r>
        <w:rPr>
          <w:color w:val="auto"/>
          <w:szCs w:val="21"/>
        </w:rPr>
        <w:t xml:space="preserve"> 建筑物的不同结构单元应相对独立，建筑物长高比不宜大于2.5。</w:t>
      </w:r>
    </w:p>
    <w:p w14:paraId="3305EC2D">
      <w:pPr>
        <w:pStyle w:val="20"/>
        <w:adjustRightInd w:val="0"/>
        <w:snapToGrid w:val="0"/>
        <w:spacing w:line="340" w:lineRule="atLeast"/>
        <w:ind w:left="0" w:leftChars="0" w:firstLine="422" w:firstLineChars="200"/>
        <w:rPr>
          <w:color w:val="auto"/>
          <w:szCs w:val="21"/>
        </w:rPr>
      </w:pPr>
      <w:r>
        <w:rPr>
          <w:rFonts w:eastAsia="黑体"/>
          <w:b/>
          <w:bCs/>
          <w:color w:val="auto"/>
          <w:szCs w:val="21"/>
        </w:rPr>
        <w:t>c)</w:t>
      </w:r>
      <w:r>
        <w:rPr>
          <w:color w:val="auto"/>
          <w:szCs w:val="21"/>
        </w:rPr>
        <w:t xml:space="preserve">  </w:t>
      </w:r>
      <w:r>
        <w:rPr>
          <w:rFonts w:hint="eastAsia"/>
          <w:color w:val="auto"/>
          <w:szCs w:val="21"/>
        </w:rPr>
        <w:t>工程治理措施</w:t>
      </w:r>
    </w:p>
    <w:p w14:paraId="12287DA8">
      <w:pPr>
        <w:pStyle w:val="20"/>
        <w:adjustRightInd w:val="0"/>
        <w:snapToGrid w:val="0"/>
        <w:spacing w:line="340" w:lineRule="atLeast"/>
        <w:ind w:left="420" w:leftChars="200" w:firstLine="308" w:firstLineChars="146"/>
        <w:rPr>
          <w:color w:val="auto"/>
          <w:szCs w:val="21"/>
        </w:rPr>
      </w:pPr>
      <w:r>
        <w:rPr>
          <w:rFonts w:eastAsia="黑体"/>
          <w:b/>
          <w:bCs/>
          <w:color w:val="auto"/>
          <w:szCs w:val="21"/>
        </w:rPr>
        <w:t>1)</w:t>
      </w:r>
      <w:r>
        <w:rPr>
          <w:color w:val="auto"/>
          <w:szCs w:val="21"/>
        </w:rPr>
        <w:t xml:space="preserve"> </w:t>
      </w:r>
      <w:r>
        <w:rPr>
          <w:rFonts w:hint="eastAsia"/>
          <w:color w:val="auto"/>
          <w:szCs w:val="21"/>
        </w:rPr>
        <w:t>工程治理方法的确定应根据工程特点及治理目的，并充分考虑采空区地质条件、开采方式、覆岩垮落类型、地表变形特征、工期、地区经验、环境保护、拟建建（构）筑物地基条件、现场施工条件等综合确定。</w:t>
      </w:r>
    </w:p>
    <w:p w14:paraId="3705AE6C">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2</w:t>
      </w:r>
      <w:r>
        <w:rPr>
          <w:rFonts w:eastAsia="黑体"/>
          <w:b/>
          <w:bCs/>
          <w:color w:val="auto"/>
          <w:szCs w:val="21"/>
        </w:rPr>
        <w:t>)</w:t>
      </w:r>
      <w:r>
        <w:rPr>
          <w:rFonts w:hint="eastAsia"/>
          <w:color w:val="auto"/>
          <w:szCs w:val="21"/>
        </w:rPr>
        <w:t>灌注充填法适用于不稳定或相对稳定的采空塌陷区，灌注材料以水泥、粉煤灰、黏性土为主，在满足设计的条件下，可选用其他材料代替，设计应综合考虑采空区的形成时间、埋深、采厚、采矿方法、顶板或覆岩岩性及其力学性质、水文地质及工程地质特征等因素。</w:t>
      </w:r>
    </w:p>
    <w:p w14:paraId="423E09E6">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3</w:t>
      </w:r>
      <w:r>
        <w:rPr>
          <w:rFonts w:eastAsia="黑体"/>
          <w:b/>
          <w:bCs/>
          <w:color w:val="auto"/>
          <w:szCs w:val="21"/>
        </w:rPr>
        <w:t>)</w:t>
      </w:r>
      <w:r>
        <w:rPr>
          <w:rFonts w:hint="eastAsia"/>
          <w:color w:val="auto"/>
          <w:szCs w:val="21"/>
        </w:rPr>
        <w:t>砌筑法适用于采空区非充分采动、采空区顶板尚未完全塌陷、需回填空间较大、埋深浅、通风良好、具有人工作业条件，且材料运输方便的采空区</w:t>
      </w:r>
      <w:r>
        <w:rPr>
          <w:color w:val="auto"/>
          <w:szCs w:val="21"/>
        </w:rPr>
        <w:t>。</w:t>
      </w:r>
    </w:p>
    <w:p w14:paraId="2A8886F2">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4</w:t>
      </w:r>
      <w:r>
        <w:rPr>
          <w:rFonts w:eastAsia="黑体"/>
          <w:b/>
          <w:bCs/>
          <w:color w:val="auto"/>
          <w:szCs w:val="21"/>
        </w:rPr>
        <w:t>)</w:t>
      </w:r>
      <w:r>
        <w:rPr>
          <w:color w:val="auto"/>
          <w:szCs w:val="21"/>
        </w:rPr>
        <w:t xml:space="preserve"> </w:t>
      </w:r>
      <w:r>
        <w:rPr>
          <w:rFonts w:hint="eastAsia"/>
          <w:color w:val="auto"/>
          <w:szCs w:val="21"/>
        </w:rPr>
        <w:t>开挖回填法适用于挖方规模较小、易开挖且周边无建筑物的采空区</w:t>
      </w:r>
      <w:r>
        <w:rPr>
          <w:color w:val="auto"/>
          <w:szCs w:val="21"/>
        </w:rPr>
        <w:t>。</w:t>
      </w:r>
      <w:r>
        <w:rPr>
          <w:rFonts w:hint="eastAsia"/>
          <w:color w:val="auto"/>
          <w:szCs w:val="21"/>
        </w:rPr>
        <w:t>回填时可采用强夯或重锤夯实处理。</w:t>
      </w:r>
    </w:p>
    <w:p w14:paraId="0859DA9A">
      <w:pPr>
        <w:pStyle w:val="20"/>
        <w:adjustRightInd w:val="0"/>
        <w:snapToGrid w:val="0"/>
        <w:spacing w:line="340" w:lineRule="atLeast"/>
        <w:ind w:left="420" w:leftChars="200" w:firstLine="308" w:firstLineChars="146"/>
        <w:rPr>
          <w:color w:val="auto"/>
          <w:szCs w:val="21"/>
        </w:rPr>
      </w:pPr>
      <w:r>
        <w:rPr>
          <w:rFonts w:hint="eastAsia" w:eastAsia="黑体"/>
          <w:b/>
          <w:bCs/>
          <w:color w:val="auto"/>
          <w:szCs w:val="21"/>
        </w:rPr>
        <w:t>5</w:t>
      </w:r>
      <w:r>
        <w:rPr>
          <w:rFonts w:eastAsia="黑体"/>
          <w:b/>
          <w:bCs/>
          <w:color w:val="auto"/>
          <w:szCs w:val="21"/>
        </w:rPr>
        <w:t>)</w:t>
      </w:r>
      <w:r>
        <w:rPr>
          <w:color w:val="auto"/>
          <w:szCs w:val="21"/>
        </w:rPr>
        <w:t xml:space="preserve"> </w:t>
      </w:r>
      <w:r>
        <w:rPr>
          <w:rFonts w:hint="eastAsia"/>
          <w:color w:val="auto"/>
          <w:szCs w:val="21"/>
        </w:rPr>
        <w:t>强夯法适用于埋深小于10m、覆岩顶板厚度不大于6m的采空区，上覆顶板完整性差、岩体强度低的采空区地段或采空区地表裂缝区的处治</w:t>
      </w:r>
      <w:r>
        <w:rPr>
          <w:color w:val="auto"/>
          <w:szCs w:val="21"/>
        </w:rPr>
        <w:t>。</w:t>
      </w:r>
      <w:r>
        <w:rPr>
          <w:rFonts w:hint="eastAsia"/>
          <w:color w:val="auto"/>
          <w:szCs w:val="21"/>
        </w:rPr>
        <w:t>对于尚未自然垮落的采空区强夯法设计应遵循两阶段设计原则，第一阶段为夯塌设计，第二阶段为夯实设计。</w:t>
      </w:r>
    </w:p>
    <w:p w14:paraId="414E5892">
      <w:pPr>
        <w:pStyle w:val="20"/>
        <w:adjustRightInd w:val="0"/>
        <w:snapToGrid w:val="0"/>
        <w:spacing w:line="340" w:lineRule="atLeast"/>
        <w:ind w:left="1079" w:leftChars="367" w:hanging="308" w:hangingChars="146"/>
        <w:rPr>
          <w:color w:val="auto"/>
          <w:szCs w:val="21"/>
        </w:rPr>
      </w:pPr>
      <w:r>
        <w:rPr>
          <w:rFonts w:hint="eastAsia" w:eastAsia="黑体"/>
          <w:b/>
          <w:bCs/>
          <w:color w:val="auto"/>
          <w:szCs w:val="21"/>
        </w:rPr>
        <w:t>6</w:t>
      </w:r>
      <w:r>
        <w:rPr>
          <w:rFonts w:eastAsia="黑体"/>
          <w:b/>
          <w:bCs/>
          <w:color w:val="auto"/>
          <w:szCs w:val="21"/>
        </w:rPr>
        <w:t>)</w:t>
      </w:r>
      <w:r>
        <w:rPr>
          <w:color w:val="auto"/>
          <w:szCs w:val="21"/>
        </w:rPr>
        <w:t xml:space="preserve"> </w:t>
      </w:r>
      <w:r>
        <w:rPr>
          <w:rFonts w:hint="eastAsia"/>
          <w:color w:val="auto"/>
          <w:szCs w:val="21"/>
        </w:rPr>
        <w:t>跨越法适用于埋深浅、范围小、不易处理的采空区。当采用桩基穿过采空区时，应对采空区进行注浆或浆砌工程处治</w:t>
      </w:r>
      <w:r>
        <w:rPr>
          <w:color w:val="auto"/>
          <w:szCs w:val="21"/>
        </w:rPr>
        <w:t>。</w:t>
      </w:r>
    </w:p>
    <w:p w14:paraId="3FF5AE07">
      <w:pPr>
        <w:adjustRightInd w:val="0"/>
        <w:snapToGrid w:val="0"/>
        <w:spacing w:line="340" w:lineRule="atLeast"/>
        <w:rPr>
          <w:color w:val="auto"/>
          <w:szCs w:val="21"/>
        </w:rPr>
      </w:pPr>
      <w:r>
        <w:rPr>
          <w:rFonts w:eastAsia="黑体"/>
          <w:b/>
          <w:bCs/>
          <w:color w:val="auto"/>
          <w:szCs w:val="21"/>
        </w:rPr>
        <w:t>11.4.6</w:t>
      </w:r>
      <w:r>
        <w:rPr>
          <w:color w:val="auto"/>
          <w:szCs w:val="21"/>
        </w:rPr>
        <w:t xml:space="preserve">  对于采深小的民间小窑采空区应进行专门调查，建筑物应避开裂缝和陷坑地段。对次要建筑当采深采厚比大于30，地表已经稳定时，可不进行稳定性评价。</w:t>
      </w:r>
    </w:p>
    <w:p w14:paraId="68A9FCBB">
      <w:pPr>
        <w:adjustRightInd w:val="0"/>
        <w:snapToGrid w:val="0"/>
        <w:spacing w:line="340" w:lineRule="atLeast"/>
        <w:rPr>
          <w:color w:val="auto"/>
          <w:szCs w:val="21"/>
        </w:rPr>
      </w:pPr>
      <w:r>
        <w:rPr>
          <w:rFonts w:eastAsia="黑体"/>
          <w:b/>
          <w:bCs/>
          <w:color w:val="auto"/>
          <w:szCs w:val="21"/>
        </w:rPr>
        <w:t>11.4.</w:t>
      </w:r>
      <w:r>
        <w:rPr>
          <w:rFonts w:hint="eastAsia" w:eastAsia="黑体"/>
          <w:b/>
          <w:bCs/>
          <w:color w:val="auto"/>
          <w:szCs w:val="21"/>
        </w:rPr>
        <w:t>7</w:t>
      </w:r>
      <w:r>
        <w:rPr>
          <w:color w:val="auto"/>
          <w:szCs w:val="21"/>
        </w:rPr>
        <w:t xml:space="preserve">  </w:t>
      </w:r>
      <w:r>
        <w:rPr>
          <w:rFonts w:hint="eastAsia"/>
          <w:color w:val="auto"/>
          <w:szCs w:val="21"/>
        </w:rPr>
        <w:t>应开展采空区地面和建筑物长期变形监测；对新采、复采的已建场地，宜进行变形跟踪监测。变形监测的主要内容应包括采空区地表的水平位移、垂直位移、地表裂缝及建筑物沉降、倾斜等。</w:t>
      </w:r>
      <w:r>
        <w:rPr>
          <w:color w:val="auto"/>
          <w:szCs w:val="21"/>
        </w:rPr>
        <w:t>。</w:t>
      </w:r>
    </w:p>
    <w:p w14:paraId="65993BC8">
      <w:pPr>
        <w:adjustRightInd w:val="0"/>
        <w:snapToGrid w:val="0"/>
        <w:spacing w:line="340" w:lineRule="exact"/>
        <w:rPr>
          <w:color w:val="auto"/>
          <w:szCs w:val="21"/>
        </w:rPr>
      </w:pPr>
    </w:p>
    <w:p w14:paraId="059EC349">
      <w:pPr>
        <w:adjustRightInd w:val="0"/>
        <w:snapToGrid w:val="0"/>
        <w:spacing w:line="340" w:lineRule="exact"/>
        <w:outlineLvl w:val="1"/>
        <w:rPr>
          <w:rFonts w:eastAsia="黑体"/>
          <w:b/>
          <w:bCs/>
          <w:color w:val="auto"/>
          <w:szCs w:val="21"/>
        </w:rPr>
      </w:pPr>
      <w:bookmarkStart w:id="62" w:name="_Toc199943606"/>
      <w:r>
        <w:rPr>
          <w:rFonts w:eastAsia="黑体"/>
          <w:b/>
          <w:bCs/>
          <w:color w:val="auto"/>
          <w:szCs w:val="21"/>
        </w:rPr>
        <w:t>11.5  城市人防洞室</w:t>
      </w:r>
      <w:bookmarkEnd w:id="62"/>
    </w:p>
    <w:p w14:paraId="744A07C9">
      <w:pPr>
        <w:adjustRightInd w:val="0"/>
        <w:snapToGrid w:val="0"/>
        <w:spacing w:line="340" w:lineRule="exact"/>
        <w:rPr>
          <w:color w:val="auto"/>
          <w:szCs w:val="21"/>
        </w:rPr>
      </w:pPr>
    </w:p>
    <w:p w14:paraId="1E5B88E1">
      <w:pPr>
        <w:adjustRightInd w:val="0"/>
        <w:snapToGrid w:val="0"/>
        <w:spacing w:line="340" w:lineRule="exact"/>
        <w:rPr>
          <w:color w:val="auto"/>
          <w:szCs w:val="21"/>
        </w:rPr>
      </w:pPr>
      <w:r>
        <w:rPr>
          <w:rFonts w:eastAsia="黑体"/>
          <w:b/>
          <w:bCs/>
          <w:color w:val="auto"/>
          <w:szCs w:val="21"/>
        </w:rPr>
        <w:t>11.5.1</w:t>
      </w:r>
      <w:r>
        <w:rPr>
          <w:color w:val="auto"/>
          <w:szCs w:val="21"/>
        </w:rPr>
        <w:t xml:space="preserve">  在存在城市人防洞室的场地进行建筑时，应调查人防洞室建设年代、施工方法、维护状态和应用价值。对不能废弃的人防洞室在地基基础设计及施工中，应对人防洞室采取有效的保护措施。</w:t>
      </w:r>
    </w:p>
    <w:p w14:paraId="6496C4DF">
      <w:pPr>
        <w:adjustRightInd w:val="0"/>
        <w:snapToGrid w:val="0"/>
        <w:spacing w:line="340" w:lineRule="exact"/>
        <w:rPr>
          <w:color w:val="auto"/>
          <w:szCs w:val="21"/>
        </w:rPr>
      </w:pPr>
      <w:r>
        <w:rPr>
          <w:rFonts w:eastAsia="黑体"/>
          <w:b/>
          <w:bCs/>
          <w:color w:val="auto"/>
          <w:szCs w:val="21"/>
        </w:rPr>
        <w:t>11.5.2</w:t>
      </w:r>
      <w:r>
        <w:rPr>
          <w:color w:val="auto"/>
          <w:szCs w:val="21"/>
        </w:rPr>
        <w:t xml:space="preserve">  岩土工程勘察时，应查明人防洞室的走向、结构型式、宽度、顶底板标高、洞内水位、砌筑材料、厚度及施工质量，评价洞体自身稳定性对地面稳定性和拟建建筑物的影响。</w:t>
      </w:r>
    </w:p>
    <w:p w14:paraId="2A47E2B9">
      <w:pPr>
        <w:adjustRightInd w:val="0"/>
        <w:snapToGrid w:val="0"/>
        <w:spacing w:line="340" w:lineRule="exact"/>
        <w:rPr>
          <w:color w:val="auto"/>
          <w:szCs w:val="21"/>
        </w:rPr>
      </w:pPr>
      <w:r>
        <w:rPr>
          <w:rFonts w:eastAsia="黑体"/>
          <w:b/>
          <w:bCs/>
          <w:color w:val="auto"/>
          <w:szCs w:val="21"/>
        </w:rPr>
        <w:t>11.5.3</w:t>
      </w:r>
      <w:r>
        <w:rPr>
          <w:color w:val="auto"/>
          <w:szCs w:val="21"/>
        </w:rPr>
        <w:t xml:space="preserve">  对适宜建设</w:t>
      </w:r>
      <w:r>
        <w:rPr>
          <w:rFonts w:hint="eastAsia"/>
          <w:color w:val="auto"/>
          <w:szCs w:val="21"/>
        </w:rPr>
        <w:t>场地上的</w:t>
      </w:r>
      <w:r>
        <w:rPr>
          <w:color w:val="auto"/>
          <w:szCs w:val="21"/>
        </w:rPr>
        <w:t>多层建筑，为避免残余沉降，应加强基础和上部结构的整体刚度或采取局部跨越措施。</w:t>
      </w:r>
    </w:p>
    <w:p w14:paraId="656E764F">
      <w:pPr>
        <w:adjustRightInd w:val="0"/>
        <w:snapToGrid w:val="0"/>
        <w:spacing w:line="340" w:lineRule="exact"/>
        <w:rPr>
          <w:color w:val="auto"/>
          <w:szCs w:val="21"/>
        </w:rPr>
      </w:pPr>
      <w:r>
        <w:rPr>
          <w:rFonts w:eastAsia="黑体"/>
          <w:b/>
          <w:bCs/>
          <w:color w:val="auto"/>
          <w:szCs w:val="21"/>
        </w:rPr>
        <w:t>11.5.4</w:t>
      </w:r>
      <w:r>
        <w:rPr>
          <w:color w:val="auto"/>
          <w:szCs w:val="21"/>
        </w:rPr>
        <w:t xml:space="preserve">  对荷载较大或对沉降有严格要求的建筑，应采用桩基础。将桩端置于人防洞室底板下一定深度的土层内。不得将桩端置于洞顶和洞侧壁土层内。</w:t>
      </w:r>
    </w:p>
    <w:p w14:paraId="6D804E7C">
      <w:pPr>
        <w:snapToGrid w:val="0"/>
        <w:spacing w:line="340" w:lineRule="atLeast"/>
        <w:rPr>
          <w:color w:val="auto"/>
          <w:szCs w:val="21"/>
        </w:rPr>
      </w:pPr>
      <w:r>
        <w:rPr>
          <w:rFonts w:eastAsia="黑体"/>
          <w:b/>
          <w:bCs/>
          <w:color w:val="auto"/>
          <w:szCs w:val="21"/>
        </w:rPr>
        <w:t>11.5.5</w:t>
      </w:r>
      <w:r>
        <w:rPr>
          <w:color w:val="auto"/>
          <w:szCs w:val="21"/>
        </w:rPr>
        <w:t xml:space="preserve">  对自身稳定性差的人防洞室应采取加固处理或回填等措施。</w:t>
      </w:r>
    </w:p>
    <w:p w14:paraId="6D7ACB91">
      <w:pPr>
        <w:snapToGrid w:val="0"/>
        <w:spacing w:line="340" w:lineRule="atLeast"/>
        <w:rPr>
          <w:rFonts w:hint="eastAsia"/>
          <w:color w:val="auto"/>
          <w:szCs w:val="21"/>
        </w:rPr>
      </w:pPr>
    </w:p>
    <w:p w14:paraId="79A2D850">
      <w:pPr>
        <w:numPr>
          <w:ilvl w:val="0"/>
          <w:numId w:val="1"/>
        </w:numPr>
        <w:adjustRightInd w:val="0"/>
        <w:snapToGrid w:val="0"/>
        <w:outlineLvl w:val="0"/>
        <w:rPr>
          <w:rFonts w:eastAsia="黑体"/>
          <w:b/>
          <w:color w:val="auto"/>
          <w:spacing w:val="8"/>
          <w:sz w:val="24"/>
        </w:rPr>
      </w:pPr>
      <w:bookmarkStart w:id="63" w:name="_Toc199943607"/>
      <w:r>
        <w:rPr>
          <w:rFonts w:eastAsia="黑体"/>
          <w:b/>
          <w:bCs/>
          <w:color w:val="auto"/>
          <w:sz w:val="24"/>
        </w:rPr>
        <w:t>桩基础</w:t>
      </w:r>
      <w:bookmarkEnd w:id="63"/>
    </w:p>
    <w:p w14:paraId="747EF4C1">
      <w:pPr>
        <w:adjustRightInd w:val="0"/>
        <w:snapToGrid w:val="0"/>
        <w:spacing w:line="340" w:lineRule="exact"/>
        <w:jc w:val="center"/>
        <w:rPr>
          <w:color w:val="auto"/>
          <w:spacing w:val="8"/>
          <w:sz w:val="28"/>
        </w:rPr>
      </w:pPr>
    </w:p>
    <w:p w14:paraId="465CE663">
      <w:pPr>
        <w:adjustRightInd w:val="0"/>
        <w:snapToGrid w:val="0"/>
        <w:spacing w:line="340" w:lineRule="exact"/>
        <w:outlineLvl w:val="1"/>
        <w:rPr>
          <w:rFonts w:eastAsia="黑体"/>
          <w:b/>
          <w:bCs/>
          <w:color w:val="auto"/>
          <w:szCs w:val="21"/>
        </w:rPr>
      </w:pPr>
      <w:bookmarkStart w:id="64" w:name="_Toc199943608"/>
      <w:r>
        <w:rPr>
          <w:rFonts w:eastAsia="黑体"/>
          <w:b/>
          <w:bCs/>
          <w:color w:val="auto"/>
          <w:szCs w:val="21"/>
        </w:rPr>
        <w:t>12.1  一般规定</w:t>
      </w:r>
      <w:bookmarkEnd w:id="64"/>
    </w:p>
    <w:p w14:paraId="74ABFA1C">
      <w:pPr>
        <w:adjustRightInd w:val="0"/>
        <w:snapToGrid w:val="0"/>
        <w:spacing w:line="340" w:lineRule="exact"/>
        <w:ind w:firstLine="560"/>
        <w:jc w:val="center"/>
        <w:rPr>
          <w:b/>
          <w:color w:val="auto"/>
          <w:szCs w:val="21"/>
        </w:rPr>
      </w:pPr>
    </w:p>
    <w:p w14:paraId="56537FDF">
      <w:pPr>
        <w:adjustRightInd w:val="0"/>
        <w:snapToGrid w:val="0"/>
        <w:spacing w:line="340" w:lineRule="exact"/>
        <w:rPr>
          <w:color w:val="auto"/>
          <w:szCs w:val="21"/>
        </w:rPr>
      </w:pPr>
      <w:r>
        <w:rPr>
          <w:rFonts w:eastAsia="黑体"/>
          <w:b/>
          <w:color w:val="auto"/>
          <w:szCs w:val="21"/>
        </w:rPr>
        <w:t>12.1.1</w:t>
      </w:r>
      <w:r>
        <w:rPr>
          <w:color w:val="auto"/>
          <w:szCs w:val="21"/>
        </w:rPr>
        <w:t xml:space="preserve">  本章包括混凝土预制桩和混凝土灌注桩及其低桩承台基础。</w:t>
      </w:r>
    </w:p>
    <w:p w14:paraId="42BA559D">
      <w:pPr>
        <w:adjustRightInd w:val="0"/>
        <w:snapToGrid w:val="0"/>
        <w:spacing w:line="340" w:lineRule="exact"/>
        <w:rPr>
          <w:color w:val="auto"/>
          <w:szCs w:val="21"/>
        </w:rPr>
      </w:pPr>
      <w:r>
        <w:rPr>
          <w:rFonts w:eastAsia="黑体"/>
          <w:b/>
          <w:color w:val="auto"/>
          <w:szCs w:val="21"/>
        </w:rPr>
        <w:t>12.1.2</w:t>
      </w:r>
      <w:r>
        <w:rPr>
          <w:color w:val="auto"/>
          <w:szCs w:val="21"/>
        </w:rPr>
        <w:t xml:space="preserve">  桩</w:t>
      </w:r>
      <w:r>
        <w:rPr>
          <w:rFonts w:hint="eastAsia"/>
          <w:color w:val="auto"/>
          <w:szCs w:val="21"/>
        </w:rPr>
        <w:t>可</w:t>
      </w:r>
      <w:r>
        <w:rPr>
          <w:color w:val="auto"/>
          <w:szCs w:val="21"/>
        </w:rPr>
        <w:t>按下列情况分类：</w:t>
      </w:r>
    </w:p>
    <w:p w14:paraId="6849B34B">
      <w:pPr>
        <w:adjustRightInd w:val="0"/>
        <w:snapToGrid w:val="0"/>
        <w:spacing w:line="340" w:lineRule="exact"/>
        <w:ind w:firstLine="422" w:firstLineChars="200"/>
        <w:rPr>
          <w:color w:val="auto"/>
          <w:szCs w:val="21"/>
        </w:rPr>
      </w:pPr>
      <w:r>
        <w:rPr>
          <w:rFonts w:eastAsia="黑体"/>
          <w:b/>
          <w:color w:val="auto"/>
          <w:szCs w:val="21"/>
        </w:rPr>
        <w:t>a)</w:t>
      </w:r>
      <w:r>
        <w:rPr>
          <w:color w:val="auto"/>
          <w:szCs w:val="21"/>
        </w:rPr>
        <w:t xml:space="preserve">  按桩的竖向受力性状，可分为摩擦型桩</w:t>
      </w:r>
      <w:r>
        <w:rPr>
          <w:rFonts w:hint="eastAsia"/>
          <w:color w:val="auto"/>
          <w:szCs w:val="21"/>
        </w:rPr>
        <w:t>（包括端承摩擦桩）</w:t>
      </w:r>
      <w:r>
        <w:rPr>
          <w:color w:val="auto"/>
          <w:szCs w:val="21"/>
        </w:rPr>
        <w:t>和端承型桩</w:t>
      </w:r>
      <w:r>
        <w:rPr>
          <w:rFonts w:hint="eastAsia"/>
          <w:color w:val="auto"/>
          <w:szCs w:val="21"/>
        </w:rPr>
        <w:t>（包括摩擦端承桩）</w:t>
      </w:r>
      <w:r>
        <w:rPr>
          <w:color w:val="auto"/>
          <w:szCs w:val="21"/>
        </w:rPr>
        <w:t>。</w:t>
      </w:r>
    </w:p>
    <w:p w14:paraId="515A5D8E">
      <w:pPr>
        <w:adjustRightInd w:val="0"/>
        <w:snapToGrid w:val="0"/>
        <w:spacing w:line="340" w:lineRule="exact"/>
        <w:ind w:firstLine="422" w:firstLineChars="200"/>
        <w:rPr>
          <w:color w:val="auto"/>
          <w:szCs w:val="21"/>
        </w:rPr>
      </w:pPr>
      <w:r>
        <w:rPr>
          <w:rFonts w:eastAsia="黑体"/>
          <w:b/>
          <w:color w:val="auto"/>
          <w:szCs w:val="21"/>
        </w:rPr>
        <w:t>b)</w:t>
      </w:r>
      <w:r>
        <w:rPr>
          <w:color w:val="auto"/>
          <w:szCs w:val="21"/>
        </w:rPr>
        <w:t xml:space="preserve">  按桩的使用功能可分为竖向抗压桩、竖向抗拔桩、水平受荷桩和复合受荷桩（竖向和水平荷载均较大的桩和斜桩）。</w:t>
      </w:r>
    </w:p>
    <w:p w14:paraId="55B5BFA4">
      <w:pPr>
        <w:adjustRightInd w:val="0"/>
        <w:snapToGrid w:val="0"/>
        <w:spacing w:line="340" w:lineRule="exact"/>
        <w:ind w:firstLine="422" w:firstLineChars="200"/>
        <w:rPr>
          <w:color w:val="auto"/>
          <w:szCs w:val="21"/>
        </w:rPr>
      </w:pPr>
      <w:r>
        <w:rPr>
          <w:rFonts w:eastAsia="黑体"/>
          <w:b/>
          <w:color w:val="auto"/>
          <w:szCs w:val="21"/>
        </w:rPr>
        <w:t>c)</w:t>
      </w:r>
      <w:r>
        <w:rPr>
          <w:color w:val="auto"/>
          <w:szCs w:val="21"/>
        </w:rPr>
        <w:t xml:space="preserve">  按桩的成桩方法（工艺）可分为非挤土桩、部分挤土桩和挤土桩。</w:t>
      </w:r>
    </w:p>
    <w:p w14:paraId="76EF777E">
      <w:pPr>
        <w:adjustRightInd w:val="0"/>
        <w:snapToGrid w:val="0"/>
        <w:spacing w:line="340" w:lineRule="exact"/>
        <w:ind w:firstLine="422" w:firstLineChars="200"/>
        <w:rPr>
          <w:color w:val="auto"/>
          <w:szCs w:val="21"/>
        </w:rPr>
      </w:pPr>
      <w:r>
        <w:rPr>
          <w:rFonts w:eastAsia="黑体"/>
          <w:b/>
          <w:color w:val="auto"/>
          <w:szCs w:val="21"/>
        </w:rPr>
        <w:t>d)</w:t>
      </w:r>
      <w:r>
        <w:rPr>
          <w:color w:val="auto"/>
          <w:szCs w:val="21"/>
        </w:rPr>
        <w:t xml:space="preserve">  按桩身直径或边长</w:t>
      </w:r>
      <w:r>
        <w:rPr>
          <w:rFonts w:hint="eastAsia"/>
          <w:color w:val="auto"/>
          <w:szCs w:val="21"/>
        </w:rPr>
        <w:t>（统一以d表示圆桩直径或方桩边长）</w:t>
      </w:r>
      <w:r>
        <w:rPr>
          <w:color w:val="auto"/>
          <w:szCs w:val="21"/>
        </w:rPr>
        <w:t>大小可分为小直径桩（d≤250mm），中等直径桩（250mm＜d＜800mm）和大直径桩（d≥800mm）。</w:t>
      </w:r>
    </w:p>
    <w:p w14:paraId="461D65D9">
      <w:pPr>
        <w:adjustRightInd w:val="0"/>
        <w:snapToGrid w:val="0"/>
        <w:spacing w:line="340" w:lineRule="exact"/>
        <w:rPr>
          <w:color w:val="auto"/>
          <w:szCs w:val="21"/>
        </w:rPr>
      </w:pPr>
      <w:r>
        <w:rPr>
          <w:rFonts w:eastAsia="黑体"/>
          <w:b/>
          <w:color w:val="auto"/>
          <w:szCs w:val="21"/>
        </w:rPr>
        <w:t>12.1.3</w:t>
      </w:r>
      <w:r>
        <w:rPr>
          <w:b/>
          <w:bCs/>
          <w:color w:val="auto"/>
          <w:szCs w:val="21"/>
        </w:rPr>
        <w:t xml:space="preserve">  </w:t>
      </w:r>
      <w:r>
        <w:rPr>
          <w:color w:val="auto"/>
          <w:szCs w:val="21"/>
        </w:rPr>
        <w:t>桩基设计应具备下列资料：</w:t>
      </w:r>
    </w:p>
    <w:p w14:paraId="605F55A5">
      <w:pPr>
        <w:adjustRightInd w:val="0"/>
        <w:snapToGrid w:val="0"/>
        <w:spacing w:line="340" w:lineRule="exact"/>
        <w:ind w:firstLine="422" w:firstLineChars="200"/>
        <w:rPr>
          <w:color w:val="auto"/>
          <w:szCs w:val="21"/>
        </w:rPr>
      </w:pPr>
      <w:r>
        <w:rPr>
          <w:rFonts w:eastAsia="黑体"/>
          <w:b/>
          <w:color w:val="auto"/>
          <w:szCs w:val="21"/>
        </w:rPr>
        <w:t>a)</w:t>
      </w:r>
      <w:r>
        <w:rPr>
          <w:color w:val="auto"/>
          <w:szCs w:val="21"/>
        </w:rPr>
        <w:t xml:space="preserve">  各设计等级的桩基工程，均应进行详细勘察，岩土工程资料应符合GB</w:t>
      </w:r>
      <w:r>
        <w:rPr>
          <w:rFonts w:hint="eastAsia"/>
          <w:color w:val="auto"/>
          <w:szCs w:val="21"/>
          <w:lang w:val="en-US" w:eastAsia="zh-CN"/>
        </w:rPr>
        <w:t xml:space="preserve"> </w:t>
      </w:r>
      <w:r>
        <w:rPr>
          <w:color w:val="auto"/>
          <w:szCs w:val="21"/>
        </w:rPr>
        <w:t>50021的有关规定及本文件</w:t>
      </w:r>
      <w:r>
        <w:rPr>
          <w:rFonts w:hint="eastAsia"/>
          <w:color w:val="auto"/>
          <w:szCs w:val="21"/>
        </w:rPr>
        <w:t>第</w:t>
      </w:r>
      <w:r>
        <w:rPr>
          <w:color w:val="auto"/>
          <w:szCs w:val="21"/>
        </w:rPr>
        <w:t>5</w:t>
      </w:r>
      <w:r>
        <w:rPr>
          <w:rFonts w:hint="eastAsia"/>
          <w:color w:val="auto"/>
          <w:szCs w:val="21"/>
        </w:rPr>
        <w:t>章的相关</w:t>
      </w:r>
      <w:r>
        <w:rPr>
          <w:color w:val="auto"/>
          <w:szCs w:val="21"/>
        </w:rPr>
        <w:t>要求。</w:t>
      </w:r>
    </w:p>
    <w:p w14:paraId="0A496C9A">
      <w:pPr>
        <w:adjustRightInd w:val="0"/>
        <w:snapToGrid w:val="0"/>
        <w:spacing w:line="340" w:lineRule="exact"/>
        <w:ind w:firstLine="422" w:firstLineChars="200"/>
        <w:rPr>
          <w:color w:val="auto"/>
          <w:szCs w:val="21"/>
        </w:rPr>
      </w:pPr>
      <w:r>
        <w:rPr>
          <w:rFonts w:eastAsia="黑体"/>
          <w:b/>
          <w:color w:val="auto"/>
          <w:szCs w:val="21"/>
        </w:rPr>
        <w:t>b)</w:t>
      </w:r>
      <w:r>
        <w:rPr>
          <w:color w:val="auto"/>
          <w:szCs w:val="21"/>
        </w:rPr>
        <w:t xml:space="preserve">  建设场地的平面图，包括道路交通、架空和地下管线及地下建筑物的分布以及电力容量、燃气压力等情况；相邻既有建筑物的用途、基础型式、埋置深度以及防振和防噪音要求。</w:t>
      </w:r>
    </w:p>
    <w:p w14:paraId="3C48ACC3">
      <w:pPr>
        <w:adjustRightInd w:val="0"/>
        <w:snapToGrid w:val="0"/>
        <w:spacing w:line="340" w:lineRule="exact"/>
        <w:ind w:firstLine="422" w:firstLineChars="200"/>
        <w:rPr>
          <w:color w:val="auto"/>
          <w:szCs w:val="21"/>
        </w:rPr>
      </w:pPr>
      <w:r>
        <w:rPr>
          <w:rFonts w:eastAsia="黑体"/>
          <w:b/>
          <w:color w:val="auto"/>
          <w:szCs w:val="21"/>
        </w:rPr>
        <w:t>c)</w:t>
      </w:r>
      <w:r>
        <w:rPr>
          <w:color w:val="auto"/>
          <w:szCs w:val="21"/>
        </w:rPr>
        <w:t xml:space="preserve">  拟建建筑物的平面布置、抗震设防烈度</w:t>
      </w:r>
      <w:r>
        <w:rPr>
          <w:rFonts w:hint="eastAsia"/>
          <w:color w:val="auto"/>
          <w:szCs w:val="21"/>
        </w:rPr>
        <w:t>、建筑场地类别</w:t>
      </w:r>
      <w:r>
        <w:rPr>
          <w:color w:val="auto"/>
          <w:szCs w:val="21"/>
        </w:rPr>
        <w:t>以及作用于基础的荷载大小和性质。</w:t>
      </w:r>
    </w:p>
    <w:p w14:paraId="6025AF23">
      <w:pPr>
        <w:adjustRightInd w:val="0"/>
        <w:snapToGrid w:val="0"/>
        <w:spacing w:line="340" w:lineRule="exact"/>
        <w:ind w:firstLine="422" w:firstLineChars="200"/>
        <w:rPr>
          <w:color w:val="auto"/>
          <w:szCs w:val="21"/>
        </w:rPr>
      </w:pPr>
      <w:r>
        <w:rPr>
          <w:rFonts w:eastAsia="黑体"/>
          <w:b/>
          <w:color w:val="auto"/>
          <w:szCs w:val="21"/>
        </w:rPr>
        <w:t>d)</w:t>
      </w:r>
      <w:r>
        <w:rPr>
          <w:color w:val="auto"/>
          <w:szCs w:val="21"/>
        </w:rPr>
        <w:t xml:space="preserve">  桩基施工机械设备条件和对场区工程地质条件的适应性，施工机械设备的进出场和运行条件，桩基施工可能对场地环境造成的影响。</w:t>
      </w:r>
    </w:p>
    <w:p w14:paraId="75DA44F6">
      <w:pPr>
        <w:adjustRightInd w:val="0"/>
        <w:snapToGrid w:val="0"/>
        <w:spacing w:line="340" w:lineRule="exact"/>
        <w:rPr>
          <w:rFonts w:eastAsia="黑体"/>
          <w:b/>
          <w:color w:val="auto"/>
          <w:szCs w:val="21"/>
        </w:rPr>
      </w:pPr>
      <w:r>
        <w:rPr>
          <w:rFonts w:eastAsia="黑体"/>
          <w:b/>
          <w:color w:val="auto"/>
          <w:szCs w:val="21"/>
        </w:rPr>
        <w:t>12.1.4</w:t>
      </w:r>
      <w:r>
        <w:rPr>
          <w:rFonts w:hint="eastAsia" w:eastAsia="黑体"/>
          <w:b/>
          <w:color w:val="auto"/>
          <w:szCs w:val="21"/>
        </w:rPr>
        <w:t xml:space="preserve">  </w:t>
      </w:r>
      <w:r>
        <w:rPr>
          <w:color w:val="auto"/>
          <w:szCs w:val="21"/>
        </w:rPr>
        <w:t>桩基应根据具体条件分别进行下列承载</w:t>
      </w:r>
      <w:r>
        <w:rPr>
          <w:rFonts w:hint="eastAsia"/>
          <w:color w:val="auto"/>
          <w:szCs w:val="21"/>
        </w:rPr>
        <w:t>能</w:t>
      </w:r>
      <w:r>
        <w:rPr>
          <w:color w:val="auto"/>
          <w:szCs w:val="21"/>
        </w:rPr>
        <w:t>力计算和稳定性验算：</w:t>
      </w:r>
    </w:p>
    <w:p w14:paraId="4CFE3FC2">
      <w:pPr>
        <w:ind w:firstLine="413" w:firstLineChars="196"/>
        <w:rPr>
          <w:b/>
          <w:color w:val="auto"/>
        </w:rPr>
      </w:pPr>
      <w:r>
        <w:rPr>
          <w:b/>
          <w:color w:val="auto"/>
        </w:rPr>
        <w:t xml:space="preserve">a)  </w:t>
      </w:r>
      <w:r>
        <w:rPr>
          <w:color w:val="auto"/>
          <w:szCs w:val="21"/>
        </w:rPr>
        <w:t>应根据桩基的使用功能和受力特征分别进行桩基的竖向承载力计算和水平承载力计算；</w:t>
      </w:r>
    </w:p>
    <w:p w14:paraId="24DF5627">
      <w:pPr>
        <w:ind w:firstLine="413" w:firstLineChars="196"/>
        <w:rPr>
          <w:b/>
          <w:color w:val="auto"/>
        </w:rPr>
      </w:pPr>
      <w:r>
        <w:rPr>
          <w:b/>
          <w:color w:val="auto"/>
        </w:rPr>
        <w:t xml:space="preserve">b)  </w:t>
      </w:r>
      <w:r>
        <w:rPr>
          <w:color w:val="auto"/>
          <w:szCs w:val="21"/>
        </w:rPr>
        <w:t>应对桩身和承台结构承载力进行计算；对于桩侧土不排水抗剪强度小于10kPa且长径比</w:t>
      </w:r>
      <w:r>
        <w:rPr>
          <w:rFonts w:hint="eastAsia"/>
          <w:color w:val="auto"/>
          <w:szCs w:val="21"/>
        </w:rPr>
        <w:t>（桩长与圆桩直径或方桩边长之比）</w:t>
      </w:r>
      <w:r>
        <w:rPr>
          <w:color w:val="auto"/>
          <w:szCs w:val="21"/>
        </w:rPr>
        <w:t>大于50的桩，应进行桩身压屈验算；对于</w:t>
      </w:r>
      <w:r>
        <w:rPr>
          <w:rFonts w:hint="eastAsia"/>
          <w:color w:val="auto"/>
          <w:szCs w:val="21"/>
        </w:rPr>
        <w:t>混凝土</w:t>
      </w:r>
      <w:r>
        <w:rPr>
          <w:color w:val="auto"/>
          <w:szCs w:val="21"/>
        </w:rPr>
        <w:t>预制桩，应按吊装、运输和</w:t>
      </w:r>
      <w:r>
        <w:rPr>
          <w:rFonts w:hint="eastAsia"/>
          <w:color w:val="auto"/>
          <w:szCs w:val="21"/>
        </w:rPr>
        <w:t>沉桩工况分别</w:t>
      </w:r>
      <w:r>
        <w:rPr>
          <w:color w:val="auto"/>
          <w:szCs w:val="21"/>
        </w:rPr>
        <w:t>进行桩身承载力验算；</w:t>
      </w:r>
      <w:r>
        <w:rPr>
          <w:rFonts w:hint="eastAsia"/>
          <w:color w:val="auto"/>
          <w:szCs w:val="21"/>
        </w:rPr>
        <w:t xml:space="preserve"> </w:t>
      </w:r>
    </w:p>
    <w:p w14:paraId="0349BEC7">
      <w:pPr>
        <w:ind w:firstLine="413" w:firstLineChars="196"/>
        <w:rPr>
          <w:b/>
          <w:color w:val="auto"/>
        </w:rPr>
      </w:pPr>
      <w:r>
        <w:rPr>
          <w:b/>
          <w:color w:val="auto"/>
        </w:rPr>
        <w:t xml:space="preserve">c)  </w:t>
      </w:r>
      <w:r>
        <w:rPr>
          <w:color w:val="auto"/>
          <w:szCs w:val="21"/>
        </w:rPr>
        <w:t>当桩端平面以下存在软弱下卧层时，应进行软弱下卧层承载力验算；</w:t>
      </w:r>
    </w:p>
    <w:p w14:paraId="72F7F662">
      <w:pPr>
        <w:ind w:firstLine="413" w:firstLineChars="196"/>
        <w:rPr>
          <w:b/>
          <w:color w:val="auto"/>
        </w:rPr>
      </w:pPr>
      <w:r>
        <w:rPr>
          <w:b/>
          <w:color w:val="auto"/>
        </w:rPr>
        <w:t xml:space="preserve">d)  </w:t>
      </w:r>
      <w:r>
        <w:rPr>
          <w:color w:val="auto"/>
          <w:szCs w:val="21"/>
        </w:rPr>
        <w:t>对位于坡地、岸边的桩基，应进行整体稳定性验算；</w:t>
      </w:r>
    </w:p>
    <w:p w14:paraId="2CF83839">
      <w:pPr>
        <w:ind w:firstLine="413" w:firstLineChars="196"/>
        <w:rPr>
          <w:color w:val="auto"/>
          <w:szCs w:val="21"/>
        </w:rPr>
      </w:pPr>
      <w:r>
        <w:rPr>
          <w:b/>
          <w:color w:val="auto"/>
        </w:rPr>
        <w:t xml:space="preserve">e)  </w:t>
      </w:r>
      <w:r>
        <w:rPr>
          <w:color w:val="auto"/>
          <w:szCs w:val="21"/>
        </w:rPr>
        <w:t>对于抗浮、抗拔桩基，应进行基桩和群桩的抗拔承载力计算；</w:t>
      </w:r>
    </w:p>
    <w:p w14:paraId="64AF6C6B">
      <w:pPr>
        <w:adjustRightInd w:val="0"/>
        <w:snapToGrid w:val="0"/>
        <w:spacing w:line="340" w:lineRule="exact"/>
        <w:ind w:firstLine="413" w:firstLineChars="196"/>
        <w:rPr>
          <w:color w:val="auto"/>
          <w:szCs w:val="21"/>
        </w:rPr>
      </w:pPr>
      <w:r>
        <w:rPr>
          <w:b/>
          <w:color w:val="auto"/>
        </w:rPr>
        <w:t xml:space="preserve">f)  </w:t>
      </w:r>
      <w:r>
        <w:rPr>
          <w:color w:val="auto"/>
          <w:szCs w:val="21"/>
        </w:rPr>
        <w:t>对于抗震设防区的桩基，应进行抗震承载力验算。</w:t>
      </w:r>
    </w:p>
    <w:p w14:paraId="79618BE7">
      <w:pPr>
        <w:adjustRightInd w:val="0"/>
        <w:snapToGrid w:val="0"/>
        <w:spacing w:line="340" w:lineRule="exact"/>
        <w:rPr>
          <w:color w:val="auto"/>
          <w:szCs w:val="21"/>
        </w:rPr>
      </w:pPr>
      <w:r>
        <w:rPr>
          <w:rFonts w:eastAsia="黑体"/>
          <w:b/>
          <w:color w:val="auto"/>
          <w:szCs w:val="21"/>
        </w:rPr>
        <w:t>12.1.5</w:t>
      </w:r>
      <w:r>
        <w:rPr>
          <w:b/>
          <w:bCs/>
          <w:color w:val="auto"/>
          <w:szCs w:val="21"/>
        </w:rPr>
        <w:t xml:space="preserve">  </w:t>
      </w:r>
      <w:r>
        <w:rPr>
          <w:color w:val="auto"/>
          <w:szCs w:val="21"/>
        </w:rPr>
        <w:t>桩的设计应符合下列</w:t>
      </w:r>
      <w:r>
        <w:rPr>
          <w:rFonts w:hint="eastAsia"/>
          <w:color w:val="auto"/>
          <w:szCs w:val="21"/>
        </w:rPr>
        <w:t>规定</w:t>
      </w:r>
      <w:r>
        <w:rPr>
          <w:color w:val="auto"/>
          <w:szCs w:val="21"/>
        </w:rPr>
        <w:t>：</w:t>
      </w:r>
    </w:p>
    <w:p w14:paraId="1291B8F9">
      <w:pPr>
        <w:adjustRightInd w:val="0"/>
        <w:snapToGrid w:val="0"/>
        <w:spacing w:line="340" w:lineRule="exact"/>
        <w:ind w:firstLine="422" w:firstLineChars="200"/>
        <w:rPr>
          <w:color w:val="auto"/>
          <w:szCs w:val="21"/>
        </w:rPr>
      </w:pPr>
      <w:r>
        <w:rPr>
          <w:rFonts w:eastAsia="黑体"/>
          <w:b/>
          <w:color w:val="auto"/>
          <w:szCs w:val="21"/>
        </w:rPr>
        <w:t xml:space="preserve">a) </w:t>
      </w:r>
      <w:r>
        <w:rPr>
          <w:color w:val="auto"/>
          <w:szCs w:val="21"/>
        </w:rPr>
        <w:t>应根据使用要求以及地下水对混凝土的侵蚀性及耐久性要求进行承载力</w:t>
      </w:r>
      <w:r>
        <w:rPr>
          <w:rFonts w:hint="eastAsia"/>
          <w:color w:val="auto"/>
          <w:szCs w:val="21"/>
        </w:rPr>
        <w:t>计算</w:t>
      </w:r>
      <w:r>
        <w:rPr>
          <w:color w:val="auto"/>
          <w:szCs w:val="21"/>
        </w:rPr>
        <w:t>和桩身强度、桩身</w:t>
      </w:r>
      <w:r>
        <w:rPr>
          <w:rFonts w:hint="eastAsia"/>
          <w:color w:val="auto"/>
          <w:szCs w:val="21"/>
        </w:rPr>
        <w:t>裂缝控制</w:t>
      </w:r>
      <w:r>
        <w:rPr>
          <w:color w:val="auto"/>
          <w:szCs w:val="21"/>
        </w:rPr>
        <w:t>验算。</w:t>
      </w:r>
    </w:p>
    <w:p w14:paraId="16AA7E26">
      <w:pPr>
        <w:adjustRightInd w:val="0"/>
        <w:snapToGrid w:val="0"/>
        <w:spacing w:line="340" w:lineRule="exact"/>
        <w:ind w:firstLine="422" w:firstLineChars="200"/>
        <w:rPr>
          <w:color w:val="auto"/>
          <w:szCs w:val="21"/>
        </w:rPr>
      </w:pPr>
      <w:r>
        <w:rPr>
          <w:rFonts w:eastAsia="黑体"/>
          <w:b/>
          <w:color w:val="auto"/>
          <w:szCs w:val="21"/>
        </w:rPr>
        <w:t>b)</w:t>
      </w:r>
      <w:r>
        <w:rPr>
          <w:color w:val="auto"/>
          <w:szCs w:val="21"/>
        </w:rPr>
        <w:t xml:space="preserve">  桩基础的沉降验算，应符合本文件第5.7条、5.8条和第12.4节的规定。</w:t>
      </w:r>
    </w:p>
    <w:p w14:paraId="3B62FBB5">
      <w:pPr>
        <w:adjustRightInd w:val="0"/>
        <w:snapToGrid w:val="0"/>
        <w:spacing w:line="340" w:lineRule="exact"/>
        <w:ind w:firstLine="422" w:firstLineChars="200"/>
        <w:rPr>
          <w:color w:val="auto"/>
          <w:szCs w:val="21"/>
        </w:rPr>
      </w:pPr>
      <w:r>
        <w:rPr>
          <w:rFonts w:eastAsia="黑体"/>
          <w:b/>
          <w:color w:val="auto"/>
          <w:szCs w:val="21"/>
        </w:rPr>
        <w:t>c)</w:t>
      </w:r>
      <w:r>
        <w:rPr>
          <w:color w:val="auto"/>
          <w:szCs w:val="21"/>
        </w:rPr>
        <w:t xml:space="preserve">  桩基础的</w:t>
      </w:r>
      <w:r>
        <w:rPr>
          <w:rFonts w:hint="eastAsia"/>
          <w:color w:val="auto"/>
          <w:szCs w:val="21"/>
        </w:rPr>
        <w:t>抗震设计</w:t>
      </w:r>
      <w:r>
        <w:rPr>
          <w:color w:val="auto"/>
          <w:szCs w:val="21"/>
        </w:rPr>
        <w:t>应符合本文件第14章的有关规定。</w:t>
      </w:r>
    </w:p>
    <w:p w14:paraId="1A4F972B">
      <w:pPr>
        <w:adjustRightInd w:val="0"/>
        <w:snapToGrid w:val="0"/>
        <w:spacing w:line="340" w:lineRule="exact"/>
        <w:ind w:firstLine="422" w:firstLineChars="200"/>
        <w:rPr>
          <w:color w:val="auto"/>
          <w:szCs w:val="21"/>
        </w:rPr>
      </w:pPr>
      <w:r>
        <w:rPr>
          <w:rFonts w:eastAsia="黑体"/>
          <w:b/>
          <w:color w:val="auto"/>
          <w:szCs w:val="21"/>
        </w:rPr>
        <w:t>d)</w:t>
      </w:r>
      <w:r>
        <w:rPr>
          <w:color w:val="auto"/>
          <w:szCs w:val="21"/>
        </w:rPr>
        <w:t xml:space="preserve">  桩基设计</w:t>
      </w:r>
      <w:r>
        <w:rPr>
          <w:rFonts w:hint="eastAsia"/>
          <w:color w:val="auto"/>
          <w:szCs w:val="21"/>
        </w:rPr>
        <w:t>宜</w:t>
      </w:r>
      <w:r>
        <w:rPr>
          <w:color w:val="auto"/>
          <w:szCs w:val="21"/>
        </w:rPr>
        <w:t>选用中低压缩性土层作桩端持力层，当建筑物体型复杂、荷载不均匀或对变形要求严格时，不应采用桩端置于高压缩性土层中的摩擦桩。</w:t>
      </w:r>
    </w:p>
    <w:p w14:paraId="13C3C213">
      <w:pPr>
        <w:adjustRightInd w:val="0"/>
        <w:snapToGrid w:val="0"/>
        <w:spacing w:line="340" w:lineRule="exact"/>
        <w:ind w:firstLine="422" w:firstLineChars="200"/>
        <w:rPr>
          <w:color w:val="auto"/>
          <w:szCs w:val="21"/>
        </w:rPr>
      </w:pPr>
      <w:r>
        <w:rPr>
          <w:rFonts w:eastAsia="黑体"/>
          <w:b/>
          <w:color w:val="auto"/>
          <w:szCs w:val="21"/>
        </w:rPr>
        <w:t>e)</w:t>
      </w:r>
      <w:r>
        <w:rPr>
          <w:color w:val="auto"/>
          <w:szCs w:val="21"/>
        </w:rPr>
        <w:t xml:space="preserve">  同一结构单元内的桩基，不应选用压缩性差异较大的土层作桩基持力层，不</w:t>
      </w:r>
      <w:r>
        <w:rPr>
          <w:rFonts w:hint="eastAsia"/>
          <w:color w:val="auto"/>
          <w:szCs w:val="21"/>
        </w:rPr>
        <w:t>宜</w:t>
      </w:r>
      <w:r>
        <w:rPr>
          <w:color w:val="auto"/>
          <w:szCs w:val="21"/>
        </w:rPr>
        <w:t>采用部分摩擦型桩和部分端承型桩。</w:t>
      </w:r>
    </w:p>
    <w:p w14:paraId="24DB618F">
      <w:pPr>
        <w:adjustRightInd w:val="0"/>
        <w:snapToGrid w:val="0"/>
        <w:spacing w:line="340" w:lineRule="exact"/>
        <w:ind w:firstLine="422" w:firstLineChars="200"/>
        <w:rPr>
          <w:color w:val="auto"/>
          <w:szCs w:val="21"/>
        </w:rPr>
      </w:pPr>
      <w:r>
        <w:rPr>
          <w:rFonts w:eastAsia="黑体"/>
          <w:b/>
          <w:color w:val="auto"/>
          <w:szCs w:val="21"/>
        </w:rPr>
        <w:t>f)</w:t>
      </w:r>
      <w:r>
        <w:rPr>
          <w:color w:val="auto"/>
          <w:szCs w:val="21"/>
        </w:rPr>
        <w:t xml:space="preserve">  岩溶地区的桩基，当岩溶上覆土的稳定性有保证，且桩端持力层承载力和厚度满足要求时，可利用其作为桩</w:t>
      </w:r>
      <w:r>
        <w:rPr>
          <w:rFonts w:hint="eastAsia"/>
          <w:color w:val="auto"/>
          <w:szCs w:val="21"/>
        </w:rPr>
        <w:t>端</w:t>
      </w:r>
      <w:r>
        <w:rPr>
          <w:color w:val="auto"/>
          <w:szCs w:val="21"/>
        </w:rPr>
        <w:t>持力层。当必须采用嵌岩桩时，应符合本文件第11.3.10条及第11.3.11条的规定。</w:t>
      </w:r>
    </w:p>
    <w:p w14:paraId="5EEF869C">
      <w:pPr>
        <w:adjustRightInd w:val="0"/>
        <w:snapToGrid w:val="0"/>
        <w:spacing w:line="340" w:lineRule="atLeast"/>
        <w:ind w:firstLine="422" w:firstLineChars="200"/>
        <w:rPr>
          <w:color w:val="auto"/>
          <w:szCs w:val="21"/>
        </w:rPr>
      </w:pPr>
      <w:r>
        <w:rPr>
          <w:rFonts w:eastAsia="黑体"/>
          <w:b/>
          <w:color w:val="auto"/>
          <w:szCs w:val="21"/>
        </w:rPr>
        <w:t>g)</w:t>
      </w:r>
      <w:r>
        <w:rPr>
          <w:color w:val="auto"/>
          <w:szCs w:val="21"/>
        </w:rPr>
        <w:t xml:space="preserve">  膨胀土地基中的桩基宜采用旋挖钻孔或挖孔等干作业成孔灌注桩，桩端进入膨胀土的大气影响急剧层以下的深度，应符合GB</w:t>
      </w:r>
      <w:r>
        <w:rPr>
          <w:rFonts w:hint="eastAsia"/>
          <w:color w:val="auto"/>
          <w:szCs w:val="21"/>
        </w:rPr>
        <w:t xml:space="preserve"> 50</w:t>
      </w:r>
      <w:r>
        <w:rPr>
          <w:color w:val="auto"/>
          <w:szCs w:val="21"/>
        </w:rPr>
        <w:t>112的有关规定。</w:t>
      </w:r>
    </w:p>
    <w:p w14:paraId="081D4CA2">
      <w:pPr>
        <w:adjustRightInd w:val="0"/>
        <w:snapToGrid w:val="0"/>
        <w:spacing w:line="340" w:lineRule="atLeast"/>
        <w:ind w:firstLine="422" w:firstLineChars="200"/>
        <w:rPr>
          <w:color w:val="auto"/>
          <w:szCs w:val="21"/>
        </w:rPr>
      </w:pPr>
      <w:r>
        <w:rPr>
          <w:rFonts w:eastAsia="黑体"/>
          <w:b/>
          <w:color w:val="auto"/>
          <w:szCs w:val="21"/>
        </w:rPr>
        <w:t>h)</w:t>
      </w:r>
      <w:r>
        <w:rPr>
          <w:color w:val="auto"/>
          <w:szCs w:val="21"/>
        </w:rPr>
        <w:t xml:space="preserve">  当承台底地基土承载力较高且能发挥作用时，可按桩和承台底的土层共同工作的原理，考虑承台底地基土的抗力作用。</w:t>
      </w:r>
    </w:p>
    <w:p w14:paraId="48E9805B">
      <w:pPr>
        <w:adjustRightInd w:val="0"/>
        <w:snapToGrid w:val="0"/>
        <w:spacing w:line="340" w:lineRule="atLeast"/>
        <w:ind w:firstLine="422" w:firstLineChars="200"/>
        <w:rPr>
          <w:color w:val="auto"/>
          <w:szCs w:val="21"/>
        </w:rPr>
      </w:pPr>
      <w:r>
        <w:rPr>
          <w:rFonts w:eastAsia="黑体"/>
          <w:b/>
          <w:color w:val="auto"/>
          <w:szCs w:val="21"/>
        </w:rPr>
        <w:t>i)</w:t>
      </w:r>
      <w:r>
        <w:rPr>
          <w:color w:val="auto"/>
          <w:szCs w:val="21"/>
        </w:rPr>
        <w:t xml:space="preserve">  当沉桩有挤土或振动效应时，应考虑挤土或振动对邻近桩、建筑物、道路及地下管线的不利影响，当沉桩有噪音时尚应考虑噪音对周围环境的影响。</w:t>
      </w:r>
    </w:p>
    <w:p w14:paraId="3CE226AD">
      <w:pPr>
        <w:adjustRightInd w:val="0"/>
        <w:snapToGrid w:val="0"/>
        <w:spacing w:line="340" w:lineRule="atLeast"/>
        <w:ind w:firstLine="422" w:firstLineChars="200"/>
        <w:rPr>
          <w:color w:val="auto"/>
          <w:szCs w:val="21"/>
        </w:rPr>
      </w:pPr>
      <w:r>
        <w:rPr>
          <w:rFonts w:eastAsia="黑体"/>
          <w:b/>
          <w:color w:val="auto"/>
          <w:szCs w:val="21"/>
        </w:rPr>
        <w:t>j)</w:t>
      </w:r>
      <w:r>
        <w:rPr>
          <w:color w:val="auto"/>
          <w:szCs w:val="21"/>
        </w:rPr>
        <w:t xml:space="preserve">  在深厚淤泥、淤泥质土中不宜采用大片密集挤土灌注桩。沉管灌注桩、夯扩桩、挤土型载体桩等挤土灌注桩不应用于高于20层或高度超过75m的高层建筑。淤泥、淤泥质土及</w:t>
      </w:r>
      <w:r>
        <w:rPr>
          <w:i/>
          <w:color w:val="auto"/>
          <w:szCs w:val="21"/>
        </w:rPr>
        <w:t>f</w:t>
      </w:r>
      <w:r>
        <w:rPr>
          <w:color w:val="auto"/>
          <w:szCs w:val="21"/>
          <w:vertAlign w:val="subscript"/>
        </w:rPr>
        <w:t>ak</w:t>
      </w:r>
      <w:r>
        <w:rPr>
          <w:color w:val="auto"/>
          <w:szCs w:val="21"/>
        </w:rPr>
        <w:t>≤70kPa饱和软土等深厚软土区的高层建筑不应采用挤土灌注桩。</w:t>
      </w:r>
    </w:p>
    <w:p w14:paraId="22D906FD">
      <w:pPr>
        <w:adjustRightInd w:val="0"/>
        <w:snapToGrid w:val="0"/>
        <w:spacing w:line="340" w:lineRule="atLeast"/>
        <w:ind w:firstLine="420" w:firstLineChars="200"/>
        <w:rPr>
          <w:color w:val="auto"/>
          <w:szCs w:val="21"/>
        </w:rPr>
      </w:pPr>
      <w:r>
        <w:rPr>
          <w:color w:val="auto"/>
          <w:szCs w:val="21"/>
        </w:rPr>
        <w:t>当挤土型灌注桩穿越淤泥的厚度大于2m、淤泥质土厚度大于3m时应进行成桩工艺试验或采用复打工艺，</w:t>
      </w:r>
      <w:r>
        <w:rPr>
          <w:rFonts w:hint="eastAsia"/>
          <w:color w:val="auto"/>
          <w:szCs w:val="21"/>
        </w:rPr>
        <w:t>单打或</w:t>
      </w:r>
      <w:r>
        <w:rPr>
          <w:color w:val="auto"/>
          <w:szCs w:val="21"/>
        </w:rPr>
        <w:t>复打后桩径不应小于500mm。</w:t>
      </w:r>
    </w:p>
    <w:p w14:paraId="6582E943">
      <w:pPr>
        <w:adjustRightInd w:val="0"/>
        <w:snapToGrid w:val="0"/>
        <w:spacing w:line="340" w:lineRule="atLeast"/>
        <w:ind w:firstLine="420" w:firstLineChars="200"/>
        <w:rPr>
          <w:color w:val="auto"/>
          <w:szCs w:val="21"/>
        </w:rPr>
      </w:pPr>
      <w:r>
        <w:rPr>
          <w:color w:val="auto"/>
          <w:szCs w:val="21"/>
        </w:rPr>
        <w:t>夯扩桩和载体桩的成桩深度不宜大于20m，沉管灌注桩的成桩深度不宜大于25m。</w:t>
      </w:r>
    </w:p>
    <w:p w14:paraId="0232F255">
      <w:pPr>
        <w:adjustRightInd w:val="0"/>
        <w:snapToGrid w:val="0"/>
        <w:spacing w:line="340" w:lineRule="atLeast"/>
        <w:ind w:firstLine="422" w:firstLineChars="200"/>
        <w:rPr>
          <w:color w:val="auto"/>
          <w:szCs w:val="21"/>
        </w:rPr>
      </w:pPr>
      <w:r>
        <w:rPr>
          <w:rFonts w:eastAsia="黑体"/>
          <w:b/>
          <w:color w:val="auto"/>
          <w:szCs w:val="21"/>
        </w:rPr>
        <w:t>k)</w:t>
      </w:r>
      <w:r>
        <w:rPr>
          <w:color w:val="auto"/>
          <w:szCs w:val="21"/>
        </w:rPr>
        <w:t xml:space="preserve">  饱和粉土或砂类土层、软流塑红黏土层、</w:t>
      </w:r>
      <w:r>
        <w:rPr>
          <w:rFonts w:hint="eastAsia"/>
          <w:color w:val="auto"/>
          <w:szCs w:val="21"/>
        </w:rPr>
        <w:t>易流土流砂的土层、</w:t>
      </w:r>
      <w:r>
        <w:rPr>
          <w:color w:val="auto"/>
          <w:szCs w:val="21"/>
        </w:rPr>
        <w:t>承压含水层、饱和残积土层、岩溶水或裂隙水发育的岩石层、可能产生有害气体的地层、厚度大于3m的淤泥（淤泥质土）层以及未经压实的填土层中不得采用人工挖孔桩（墩）。人工挖孔桩（墩）的挖孔深度不宜大于15m、不应大于20m且必须采用钢筋混凝土或钢筒护壁。</w:t>
      </w:r>
    </w:p>
    <w:p w14:paraId="10D90DEA">
      <w:pPr>
        <w:adjustRightInd w:val="0"/>
        <w:snapToGrid w:val="0"/>
        <w:spacing w:line="340" w:lineRule="atLeast"/>
        <w:ind w:firstLine="422" w:firstLineChars="200"/>
        <w:rPr>
          <w:color w:val="auto"/>
          <w:szCs w:val="21"/>
        </w:rPr>
      </w:pPr>
      <w:r>
        <w:rPr>
          <w:rFonts w:eastAsia="黑体"/>
          <w:b/>
          <w:color w:val="auto"/>
          <w:szCs w:val="21"/>
        </w:rPr>
        <w:t>l)</w:t>
      </w:r>
      <w:r>
        <w:rPr>
          <w:color w:val="auto"/>
          <w:szCs w:val="21"/>
        </w:rPr>
        <w:t xml:space="preserve">  高度超过50m的高层建筑</w:t>
      </w:r>
      <w:r>
        <w:rPr>
          <w:rFonts w:hint="eastAsia"/>
          <w:color w:val="auto"/>
          <w:szCs w:val="21"/>
        </w:rPr>
        <w:t>采用灌注桩时</w:t>
      </w:r>
      <w:r>
        <w:rPr>
          <w:color w:val="auto"/>
          <w:szCs w:val="21"/>
        </w:rPr>
        <w:t>，当承台下存在</w:t>
      </w:r>
      <w:r>
        <w:rPr>
          <w:i/>
          <w:color w:val="auto"/>
          <w:szCs w:val="21"/>
        </w:rPr>
        <w:t>f</w:t>
      </w:r>
      <w:r>
        <w:rPr>
          <w:color w:val="auto"/>
          <w:szCs w:val="21"/>
          <w:vertAlign w:val="subscript"/>
        </w:rPr>
        <w:t>ak</w:t>
      </w:r>
      <w:r>
        <w:rPr>
          <w:rFonts w:hint="eastAsia" w:ascii="宋体" w:hAnsi="宋体"/>
          <w:color w:val="auto"/>
          <w:szCs w:val="21"/>
        </w:rPr>
        <w:t>≤</w:t>
      </w:r>
      <w:r>
        <w:rPr>
          <w:rFonts w:hint="eastAsia"/>
          <w:color w:val="auto"/>
          <w:szCs w:val="21"/>
        </w:rPr>
        <w:t>6</w:t>
      </w:r>
      <w:r>
        <w:rPr>
          <w:color w:val="auto"/>
          <w:szCs w:val="21"/>
        </w:rPr>
        <w:t>0kPa软土时，应对承台下和承台间软土进行加固或换填处理。承台间和承台下可采用</w:t>
      </w:r>
      <w:r>
        <w:rPr>
          <w:rFonts w:hint="eastAsia"/>
          <w:color w:val="auto"/>
          <w:szCs w:val="21"/>
        </w:rPr>
        <w:t>搅拌桩</w:t>
      </w:r>
      <w:r>
        <w:rPr>
          <w:color w:val="auto"/>
          <w:szCs w:val="21"/>
        </w:rPr>
        <w:t>格构式加固，承台下处理深度不</w:t>
      </w:r>
      <w:r>
        <w:rPr>
          <w:rFonts w:hint="eastAsia"/>
          <w:color w:val="auto"/>
          <w:szCs w:val="21"/>
        </w:rPr>
        <w:t>应</w:t>
      </w:r>
      <w:r>
        <w:rPr>
          <w:color w:val="auto"/>
          <w:szCs w:val="21"/>
        </w:rPr>
        <w:t>小于2m</w:t>
      </w:r>
      <w:r>
        <w:rPr>
          <w:rFonts w:hint="eastAsia"/>
          <w:color w:val="auto"/>
          <w:szCs w:val="21"/>
        </w:rPr>
        <w:t>，或至承台底面以下较好土层的顶面</w:t>
      </w:r>
      <w:r>
        <w:rPr>
          <w:color w:val="auto"/>
          <w:szCs w:val="21"/>
        </w:rPr>
        <w:t>。</w:t>
      </w:r>
    </w:p>
    <w:p w14:paraId="6C7FD818">
      <w:pPr>
        <w:adjustRightInd w:val="0"/>
        <w:snapToGrid w:val="0"/>
        <w:spacing w:line="340" w:lineRule="atLeast"/>
        <w:ind w:firstLine="422" w:firstLineChars="200"/>
        <w:rPr>
          <w:color w:val="auto"/>
          <w:szCs w:val="21"/>
        </w:rPr>
      </w:pPr>
      <w:r>
        <w:rPr>
          <w:rFonts w:eastAsia="黑体"/>
          <w:b/>
          <w:color w:val="auto"/>
          <w:szCs w:val="21"/>
        </w:rPr>
        <w:t>m)</w:t>
      </w:r>
      <w:r>
        <w:rPr>
          <w:color w:val="auto"/>
          <w:szCs w:val="21"/>
        </w:rPr>
        <w:t xml:space="preserve">  钻孔灌注桩采用后压浆技术时，单桩竖向抗压承载力应通过静载试验确定，</w:t>
      </w:r>
      <w:r>
        <w:rPr>
          <w:rFonts w:hint="eastAsia"/>
          <w:color w:val="auto"/>
          <w:szCs w:val="21"/>
        </w:rPr>
        <w:t>且应考虑施工因素的不确定性，对试桩静载结果进行适当折减</w:t>
      </w:r>
      <w:r>
        <w:rPr>
          <w:color w:val="auto"/>
          <w:szCs w:val="21"/>
        </w:rPr>
        <w:t>。施工</w:t>
      </w:r>
      <w:r>
        <w:rPr>
          <w:rFonts w:hint="eastAsia"/>
          <w:color w:val="auto"/>
          <w:szCs w:val="21"/>
        </w:rPr>
        <w:t>过程中</w:t>
      </w:r>
      <w:r>
        <w:rPr>
          <w:color w:val="auto"/>
          <w:szCs w:val="21"/>
        </w:rPr>
        <w:t>发现注浆管堵塞或注浆量偏少时</w:t>
      </w:r>
      <w:r>
        <w:rPr>
          <w:rFonts w:hint="eastAsia"/>
          <w:color w:val="auto"/>
          <w:szCs w:val="21"/>
        </w:rPr>
        <w:t>，验收检测应增加静载试验检测数量，抽检注浆有问题的工程桩。</w:t>
      </w:r>
    </w:p>
    <w:p w14:paraId="7E3C7B84">
      <w:pPr>
        <w:adjustRightInd w:val="0"/>
        <w:snapToGrid w:val="0"/>
        <w:spacing w:line="340" w:lineRule="atLeast"/>
        <w:ind w:firstLine="420" w:firstLineChars="200"/>
        <w:rPr>
          <w:color w:val="auto"/>
          <w:szCs w:val="21"/>
        </w:rPr>
      </w:pPr>
      <w:r>
        <w:rPr>
          <w:color w:val="auto"/>
          <w:szCs w:val="21"/>
        </w:rPr>
        <w:t>n)  预制方桩边长不应小于200mm；预应力管桩直径不应小于300mm；沉管灌注桩及夯扩桩直径不应小于377mm，采用复打工艺时桩管直径不应小于325mm；人工挖孔桩直径不应小于1000mm。</w:t>
      </w:r>
    </w:p>
    <w:p w14:paraId="047A56B6">
      <w:pPr>
        <w:adjustRightInd w:val="0"/>
        <w:snapToGrid w:val="0"/>
        <w:spacing w:line="340" w:lineRule="atLeast"/>
        <w:ind w:firstLine="14"/>
        <w:rPr>
          <w:color w:val="auto"/>
          <w:szCs w:val="21"/>
        </w:rPr>
      </w:pPr>
      <w:r>
        <w:rPr>
          <w:rFonts w:eastAsia="黑体"/>
          <w:b/>
          <w:color w:val="auto"/>
          <w:szCs w:val="21"/>
        </w:rPr>
        <w:t>12.1.6</w:t>
      </w:r>
      <w:r>
        <w:rPr>
          <w:b/>
          <w:bCs/>
          <w:color w:val="auto"/>
          <w:szCs w:val="21"/>
        </w:rPr>
        <w:t xml:space="preserve"> </w:t>
      </w:r>
      <w:r>
        <w:rPr>
          <w:color w:val="auto"/>
          <w:szCs w:val="21"/>
        </w:rPr>
        <w:t xml:space="preserve"> 预制桩设计</w:t>
      </w:r>
      <w:r>
        <w:rPr>
          <w:rFonts w:hint="eastAsia"/>
          <w:color w:val="auto"/>
          <w:szCs w:val="21"/>
        </w:rPr>
        <w:t>尚</w:t>
      </w:r>
      <w:r>
        <w:rPr>
          <w:color w:val="auto"/>
          <w:szCs w:val="21"/>
        </w:rPr>
        <w:t>应符合下列规定：</w:t>
      </w:r>
    </w:p>
    <w:p w14:paraId="6AF25A46">
      <w:pPr>
        <w:adjustRightInd w:val="0"/>
        <w:snapToGrid w:val="0"/>
        <w:spacing w:line="340" w:lineRule="atLeast"/>
        <w:ind w:firstLine="434" w:firstLineChars="206"/>
        <w:rPr>
          <w:color w:val="auto"/>
          <w:szCs w:val="21"/>
        </w:rPr>
      </w:pPr>
      <w:r>
        <w:rPr>
          <w:rFonts w:eastAsia="黑体"/>
          <w:b/>
          <w:color w:val="auto"/>
          <w:szCs w:val="21"/>
        </w:rPr>
        <w:t>a)</w:t>
      </w:r>
      <w:r>
        <w:rPr>
          <w:color w:val="auto"/>
          <w:szCs w:val="21"/>
        </w:rPr>
        <w:t xml:space="preserve">  预制桩的分节长度应根据施工、运输条件确定。除锚杆静压桩外</w:t>
      </w:r>
      <w:r>
        <w:rPr>
          <w:rFonts w:hint="eastAsia"/>
          <w:color w:val="auto"/>
          <w:szCs w:val="21"/>
        </w:rPr>
        <w:t>，</w:t>
      </w:r>
      <w:r>
        <w:rPr>
          <w:color w:val="auto"/>
          <w:szCs w:val="21"/>
        </w:rPr>
        <w:t>每根桩接头不宜超过2个，预应力离心混凝土管桩或空心方桩接头不</w:t>
      </w:r>
      <w:r>
        <w:rPr>
          <w:rFonts w:hint="eastAsia"/>
          <w:color w:val="auto"/>
          <w:szCs w:val="21"/>
        </w:rPr>
        <w:t>宜</w:t>
      </w:r>
      <w:r>
        <w:rPr>
          <w:color w:val="auto"/>
          <w:szCs w:val="21"/>
        </w:rPr>
        <w:t>超过3个。对于抗拔桩</w:t>
      </w:r>
      <w:r>
        <w:rPr>
          <w:rFonts w:hint="eastAsia"/>
          <w:color w:val="auto"/>
          <w:szCs w:val="21"/>
        </w:rPr>
        <w:t>以及</w:t>
      </w:r>
      <w:r>
        <w:rPr>
          <w:color w:val="auto"/>
          <w:szCs w:val="21"/>
        </w:rPr>
        <w:t>高层建筑桩基、对抗震设防有要求的建筑物桩基</w:t>
      </w:r>
      <w:r>
        <w:rPr>
          <w:rFonts w:hint="eastAsia"/>
          <w:color w:val="auto"/>
          <w:szCs w:val="21"/>
        </w:rPr>
        <w:t>、</w:t>
      </w:r>
      <w:r>
        <w:rPr>
          <w:color w:val="auto"/>
          <w:szCs w:val="21"/>
        </w:rPr>
        <w:t>长径比大于60的端承型桩基</w:t>
      </w:r>
      <w:r>
        <w:rPr>
          <w:rFonts w:hint="eastAsia"/>
          <w:color w:val="auto"/>
          <w:szCs w:val="21"/>
        </w:rPr>
        <w:t>、</w:t>
      </w:r>
      <w:r>
        <w:rPr>
          <w:color w:val="auto"/>
          <w:szCs w:val="21"/>
        </w:rPr>
        <w:t>沉桩困难的大片密集桩，应采用</w:t>
      </w:r>
      <w:r>
        <w:rPr>
          <w:rFonts w:hint="eastAsia"/>
          <w:color w:val="auto"/>
          <w:szCs w:val="21"/>
        </w:rPr>
        <w:t>焊接接头或机械连接接头</w:t>
      </w:r>
      <w:r>
        <w:rPr>
          <w:color w:val="auto"/>
          <w:szCs w:val="21"/>
        </w:rPr>
        <w:t>。</w:t>
      </w:r>
    </w:p>
    <w:p w14:paraId="4B3C2638">
      <w:pPr>
        <w:adjustRightInd w:val="0"/>
        <w:snapToGrid w:val="0"/>
        <w:spacing w:line="340" w:lineRule="atLeast"/>
        <w:ind w:firstLine="434" w:firstLineChars="206"/>
        <w:rPr>
          <w:color w:val="auto"/>
          <w:szCs w:val="21"/>
        </w:rPr>
      </w:pPr>
      <w:r>
        <w:rPr>
          <w:rFonts w:eastAsia="黑体"/>
          <w:b/>
          <w:color w:val="auto"/>
          <w:szCs w:val="21"/>
        </w:rPr>
        <w:t>b)</w:t>
      </w:r>
      <w:r>
        <w:rPr>
          <w:color w:val="auto"/>
          <w:szCs w:val="21"/>
        </w:rPr>
        <w:t xml:space="preserve">  高度100m及以上的高层建筑物不应采用预应力管桩或空心方桩基础</w:t>
      </w:r>
      <w:r>
        <w:rPr>
          <w:rFonts w:hint="eastAsia"/>
          <w:color w:val="auto"/>
          <w:szCs w:val="21"/>
        </w:rPr>
        <w:t>；高度小于100</w:t>
      </w:r>
      <w:r>
        <w:rPr>
          <w:color w:val="auto"/>
          <w:szCs w:val="21"/>
        </w:rPr>
        <w:t>m</w:t>
      </w:r>
      <w:r>
        <w:rPr>
          <w:rFonts w:hint="eastAsia"/>
          <w:color w:val="auto"/>
          <w:szCs w:val="21"/>
        </w:rPr>
        <w:t>当</w:t>
      </w:r>
      <w:r>
        <w:rPr>
          <w:color w:val="auto"/>
          <w:szCs w:val="21"/>
        </w:rPr>
        <w:t>层数</w:t>
      </w:r>
      <w:r>
        <w:rPr>
          <w:rFonts w:hint="eastAsia"/>
          <w:color w:val="auto"/>
          <w:szCs w:val="21"/>
        </w:rPr>
        <w:t>为</w:t>
      </w:r>
      <w:r>
        <w:rPr>
          <w:color w:val="auto"/>
          <w:szCs w:val="21"/>
        </w:rPr>
        <w:t>30层及以上</w:t>
      </w:r>
      <w:r>
        <w:rPr>
          <w:rFonts w:hint="eastAsia"/>
          <w:color w:val="auto"/>
          <w:szCs w:val="21"/>
        </w:rPr>
        <w:t>的</w:t>
      </w:r>
      <w:r>
        <w:rPr>
          <w:color w:val="auto"/>
          <w:szCs w:val="21"/>
        </w:rPr>
        <w:t>高层建筑物</w:t>
      </w:r>
      <w:r>
        <w:rPr>
          <w:rFonts w:hint="eastAsia"/>
          <w:color w:val="auto"/>
          <w:szCs w:val="21"/>
        </w:rPr>
        <w:t>，在采用桩筏基础等措施的条件下方可</w:t>
      </w:r>
      <w:r>
        <w:rPr>
          <w:color w:val="auto"/>
          <w:szCs w:val="21"/>
        </w:rPr>
        <w:t>采用预应力管桩或空心方桩基础</w:t>
      </w:r>
      <w:r>
        <w:rPr>
          <w:rFonts w:hint="eastAsia"/>
          <w:color w:val="auto"/>
          <w:szCs w:val="21"/>
        </w:rPr>
        <w:t>；</w:t>
      </w:r>
      <w:r>
        <w:rPr>
          <w:color w:val="auto"/>
          <w:szCs w:val="21"/>
        </w:rPr>
        <w:t>高度超过75m的高层建筑采用管桩或空心方桩基础时应通过专</w:t>
      </w:r>
      <w:r>
        <w:rPr>
          <w:rFonts w:hint="eastAsia"/>
          <w:color w:val="auto"/>
          <w:szCs w:val="21"/>
        </w:rPr>
        <w:t>项</w:t>
      </w:r>
      <w:r>
        <w:rPr>
          <w:color w:val="auto"/>
          <w:szCs w:val="21"/>
        </w:rPr>
        <w:t>论证。</w:t>
      </w:r>
    </w:p>
    <w:p w14:paraId="54B804F2">
      <w:pPr>
        <w:adjustRightInd w:val="0"/>
        <w:snapToGrid w:val="0"/>
        <w:spacing w:line="340" w:lineRule="atLeast"/>
        <w:ind w:firstLine="434" w:firstLineChars="206"/>
        <w:rPr>
          <w:color w:val="auto"/>
          <w:szCs w:val="21"/>
        </w:rPr>
      </w:pPr>
      <w:r>
        <w:rPr>
          <w:rFonts w:eastAsia="黑体"/>
          <w:b/>
          <w:color w:val="auto"/>
          <w:szCs w:val="21"/>
        </w:rPr>
        <w:t>c)</w:t>
      </w:r>
      <w:r>
        <w:rPr>
          <w:color w:val="auto"/>
          <w:szCs w:val="21"/>
        </w:rPr>
        <w:t xml:space="preserve">  </w:t>
      </w:r>
      <w:r>
        <w:rPr>
          <w:rFonts w:hint="eastAsia"/>
          <w:color w:val="auto"/>
          <w:szCs w:val="21"/>
        </w:rPr>
        <w:t>高度超过50m的高层建筑，当</w:t>
      </w:r>
      <w:r>
        <w:rPr>
          <w:color w:val="auto"/>
          <w:szCs w:val="21"/>
        </w:rPr>
        <w:t>承台下存在f</w:t>
      </w:r>
      <w:r>
        <w:rPr>
          <w:color w:val="auto"/>
          <w:szCs w:val="21"/>
          <w:vertAlign w:val="subscript"/>
        </w:rPr>
        <w:t>ak</w:t>
      </w:r>
      <w:r>
        <w:rPr>
          <w:color w:val="auto"/>
          <w:szCs w:val="21"/>
        </w:rPr>
        <w:t>≤70kPa的软土时不宜选用管桩、空心方桩基础，如必须采用时，应对承台底软土进行</w:t>
      </w:r>
      <w:r>
        <w:rPr>
          <w:rFonts w:hint="eastAsia"/>
          <w:color w:val="auto"/>
          <w:szCs w:val="21"/>
        </w:rPr>
        <w:t>搅拌桩</w:t>
      </w:r>
      <w:r>
        <w:rPr>
          <w:color w:val="auto"/>
          <w:szCs w:val="21"/>
        </w:rPr>
        <w:t>满堂咬合加固或换填处理，</w:t>
      </w:r>
      <w:r>
        <w:rPr>
          <w:rFonts w:hint="eastAsia"/>
          <w:color w:val="auto"/>
          <w:szCs w:val="21"/>
        </w:rPr>
        <w:t>承台下</w:t>
      </w:r>
      <w:r>
        <w:rPr>
          <w:color w:val="auto"/>
          <w:szCs w:val="21"/>
        </w:rPr>
        <w:t>处理深度不应小于2m，</w:t>
      </w:r>
      <w:r>
        <w:rPr>
          <w:rFonts w:hint="eastAsia"/>
          <w:color w:val="auto"/>
          <w:szCs w:val="21"/>
        </w:rPr>
        <w:t>或至承台底面以下较好土层的顶面，承台周边加固</w:t>
      </w:r>
      <w:r>
        <w:rPr>
          <w:color w:val="auto"/>
          <w:szCs w:val="21"/>
        </w:rPr>
        <w:t>范围不应少于承台外1m。预制实心桩承台底和承台间软土加固应符合本文件第12.1.5条</w:t>
      </w:r>
      <w:r>
        <w:rPr>
          <w:rFonts w:hint="eastAsia"/>
          <w:color w:val="auto"/>
          <w:szCs w:val="21"/>
        </w:rPr>
        <w:t>第</w:t>
      </w:r>
      <w:r>
        <w:rPr>
          <w:color w:val="auto"/>
          <w:szCs w:val="21"/>
        </w:rPr>
        <w:t>l)</w:t>
      </w:r>
      <w:r>
        <w:rPr>
          <w:rFonts w:hint="eastAsia"/>
          <w:color w:val="auto"/>
          <w:szCs w:val="21"/>
        </w:rPr>
        <w:t>款</w:t>
      </w:r>
      <w:r>
        <w:rPr>
          <w:color w:val="auto"/>
          <w:szCs w:val="21"/>
        </w:rPr>
        <w:t>的相关规定。</w:t>
      </w:r>
    </w:p>
    <w:p w14:paraId="0C8F2617">
      <w:pPr>
        <w:adjustRightInd w:val="0"/>
        <w:snapToGrid w:val="0"/>
        <w:spacing w:line="340" w:lineRule="atLeast"/>
        <w:ind w:firstLine="434" w:firstLineChars="206"/>
        <w:rPr>
          <w:color w:val="auto"/>
          <w:szCs w:val="21"/>
        </w:rPr>
      </w:pPr>
      <w:r>
        <w:rPr>
          <w:rFonts w:eastAsia="黑体"/>
          <w:b/>
          <w:color w:val="auto"/>
          <w:szCs w:val="21"/>
        </w:rPr>
        <w:t>d)</w:t>
      </w:r>
      <w:r>
        <w:rPr>
          <w:color w:val="auto"/>
          <w:szCs w:val="21"/>
        </w:rPr>
        <w:t xml:space="preserve">  管桩及空心方桩应设闭口桩靴，并在桩孔底灌注长度不少于1.5m强度不小于C25微膨胀混凝土或不低于M20的水泥砂浆。</w:t>
      </w:r>
    </w:p>
    <w:p w14:paraId="69757C99">
      <w:pPr>
        <w:adjustRightInd w:val="0"/>
        <w:snapToGrid w:val="0"/>
        <w:spacing w:line="340" w:lineRule="atLeast"/>
        <w:ind w:firstLine="434" w:firstLineChars="206"/>
        <w:rPr>
          <w:color w:val="auto"/>
          <w:szCs w:val="21"/>
        </w:rPr>
      </w:pPr>
      <w:r>
        <w:rPr>
          <w:rFonts w:eastAsia="黑体"/>
          <w:b/>
          <w:color w:val="auto"/>
          <w:szCs w:val="21"/>
        </w:rPr>
        <w:t>e)</w:t>
      </w:r>
      <w:r>
        <w:rPr>
          <w:color w:val="auto"/>
          <w:szCs w:val="21"/>
        </w:rPr>
        <w:t xml:space="preserve">  不应利用中、微风化硬质岩或岩芯</w:t>
      </w:r>
      <w:r>
        <w:rPr>
          <w:rFonts w:hint="eastAsia"/>
          <w:color w:val="auto"/>
          <w:szCs w:val="21"/>
        </w:rPr>
        <w:t>天然状态</w:t>
      </w:r>
      <w:r>
        <w:rPr>
          <w:color w:val="auto"/>
          <w:szCs w:val="21"/>
        </w:rPr>
        <w:t>单轴抗压强度大于15MPa的中、微风化软质岩作为桩端持力层。</w:t>
      </w:r>
    </w:p>
    <w:p w14:paraId="2B3B01D7">
      <w:pPr>
        <w:spacing w:line="340" w:lineRule="atLeast"/>
        <w:rPr>
          <w:b/>
          <w:color w:val="auto"/>
        </w:rPr>
      </w:pPr>
      <w:r>
        <w:rPr>
          <w:b/>
          <w:color w:val="auto"/>
        </w:rPr>
        <w:t xml:space="preserve">12.1.7  </w:t>
      </w:r>
      <w:r>
        <w:rPr>
          <w:color w:val="auto"/>
          <w:szCs w:val="21"/>
        </w:rPr>
        <w:t>符合下列条件之一的桩基，当桩周土层产生的沉降超过基桩的沉降时，在计算基桩承载力时，应计入桩侧负摩阻力：</w:t>
      </w:r>
    </w:p>
    <w:p w14:paraId="194A64D1">
      <w:pPr>
        <w:spacing w:line="340" w:lineRule="atLeast"/>
        <w:ind w:firstLine="422" w:firstLineChars="200"/>
        <w:rPr>
          <w:b/>
          <w:color w:val="auto"/>
        </w:rPr>
      </w:pPr>
      <w:r>
        <w:rPr>
          <w:b/>
          <w:color w:val="auto"/>
        </w:rPr>
        <w:t xml:space="preserve">a) </w:t>
      </w:r>
      <w:r>
        <w:rPr>
          <w:rFonts w:eastAsia="黑体"/>
          <w:b/>
          <w:color w:val="auto"/>
        </w:rPr>
        <w:t xml:space="preserve"> </w:t>
      </w:r>
      <w:r>
        <w:rPr>
          <w:color w:val="auto"/>
          <w:szCs w:val="21"/>
        </w:rPr>
        <w:t>桩穿越较厚松散填土、自重湿陷性黄土、欠固结土、液化土层进入相对较硬土层时；</w:t>
      </w:r>
    </w:p>
    <w:p w14:paraId="5DF079E7">
      <w:pPr>
        <w:spacing w:line="340" w:lineRule="atLeast"/>
        <w:ind w:firstLine="422" w:firstLineChars="200"/>
        <w:rPr>
          <w:b/>
          <w:color w:val="auto"/>
          <w:spacing w:val="-6"/>
        </w:rPr>
      </w:pPr>
      <w:r>
        <w:rPr>
          <w:b/>
          <w:color w:val="auto"/>
        </w:rPr>
        <w:t xml:space="preserve">b)  </w:t>
      </w:r>
      <w:r>
        <w:rPr>
          <w:color w:val="auto"/>
          <w:szCs w:val="21"/>
        </w:rPr>
        <w:t>桩周存在软弱土，邻近桩侧地面承受局部较大的长期荷载，或</w:t>
      </w:r>
      <w:r>
        <w:rPr>
          <w:rFonts w:hint="eastAsia"/>
          <w:color w:val="auto"/>
          <w:szCs w:val="21"/>
        </w:rPr>
        <w:t>地面</w:t>
      </w:r>
      <w:r>
        <w:rPr>
          <w:color w:val="auto"/>
          <w:szCs w:val="21"/>
        </w:rPr>
        <w:t>大面积堆载（包括填土）时；</w:t>
      </w:r>
    </w:p>
    <w:p w14:paraId="4CB37BCB">
      <w:pPr>
        <w:spacing w:line="340" w:lineRule="atLeast"/>
        <w:ind w:firstLine="422" w:firstLineChars="200"/>
        <w:rPr>
          <w:b/>
          <w:color w:val="auto"/>
        </w:rPr>
      </w:pPr>
      <w:r>
        <w:rPr>
          <w:b/>
          <w:color w:val="auto"/>
        </w:rPr>
        <w:t xml:space="preserve">c)  </w:t>
      </w:r>
      <w:r>
        <w:rPr>
          <w:color w:val="auto"/>
          <w:szCs w:val="21"/>
        </w:rPr>
        <w:t>由于降低地下水位，使桩周土有效应力增大，并产生显著</w:t>
      </w:r>
      <w:r>
        <w:rPr>
          <w:rFonts w:hint="eastAsia"/>
          <w:color w:val="auto"/>
          <w:szCs w:val="21"/>
        </w:rPr>
        <w:t>压缩</w:t>
      </w:r>
      <w:r>
        <w:rPr>
          <w:color w:val="auto"/>
          <w:szCs w:val="21"/>
        </w:rPr>
        <w:t>沉降时。</w:t>
      </w:r>
    </w:p>
    <w:p w14:paraId="273930A5">
      <w:pPr>
        <w:adjustRightInd w:val="0"/>
        <w:snapToGrid w:val="0"/>
        <w:spacing w:line="340" w:lineRule="atLeast"/>
        <w:rPr>
          <w:color w:val="auto"/>
          <w:szCs w:val="21"/>
        </w:rPr>
      </w:pPr>
      <w:r>
        <w:rPr>
          <w:rFonts w:eastAsia="黑体"/>
          <w:b/>
          <w:color w:val="auto"/>
          <w:szCs w:val="21"/>
        </w:rPr>
        <w:t>12.1.8</w:t>
      </w:r>
      <w:r>
        <w:rPr>
          <w:b/>
          <w:bCs/>
          <w:color w:val="auto"/>
          <w:szCs w:val="21"/>
        </w:rPr>
        <w:t xml:space="preserve">  </w:t>
      </w:r>
      <w:r>
        <w:rPr>
          <w:color w:val="auto"/>
          <w:szCs w:val="21"/>
        </w:rPr>
        <w:t>桩身混凝土应符合以下规定：</w:t>
      </w:r>
    </w:p>
    <w:p w14:paraId="57047219">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桩身混凝土强度等级应经计算确定。设计工作年限不少于50年时，非腐蚀性环境中预制桩的混凝土强度等级不应低于C30，预应力桩不应低于C40，灌注桩不应低于C25。二b类、三类环境及微腐蚀环境中灌注桩混凝土强度等级不应低于C30。腐蚀环境中的桩，桩身混凝土强度等级应符合现行国家标准GB/T</w:t>
      </w:r>
      <w:r>
        <w:rPr>
          <w:rFonts w:hint="eastAsia"/>
          <w:color w:val="auto"/>
          <w:szCs w:val="21"/>
          <w:lang w:val="en-US" w:eastAsia="zh-CN"/>
        </w:rPr>
        <w:t xml:space="preserve"> </w:t>
      </w:r>
      <w:r>
        <w:rPr>
          <w:color w:val="auto"/>
          <w:szCs w:val="21"/>
        </w:rPr>
        <w:t>50010、GB</w:t>
      </w:r>
      <w:r>
        <w:rPr>
          <w:rFonts w:hint="eastAsia"/>
          <w:color w:val="auto"/>
          <w:szCs w:val="21"/>
          <w:lang w:val="en-US" w:eastAsia="zh-CN"/>
        </w:rPr>
        <w:t xml:space="preserve"> </w:t>
      </w:r>
      <w:r>
        <w:rPr>
          <w:color w:val="auto"/>
          <w:szCs w:val="21"/>
        </w:rPr>
        <w:t>50046及GB/T</w:t>
      </w:r>
      <w:r>
        <w:rPr>
          <w:rFonts w:hint="eastAsia"/>
          <w:color w:val="auto"/>
          <w:szCs w:val="21"/>
          <w:lang w:val="en-US" w:eastAsia="zh-CN"/>
        </w:rPr>
        <w:t xml:space="preserve"> </w:t>
      </w:r>
      <w:r>
        <w:rPr>
          <w:color w:val="auto"/>
          <w:szCs w:val="21"/>
        </w:rPr>
        <w:t>50476的有关规定。</w:t>
      </w:r>
      <w:r>
        <w:rPr>
          <w:rFonts w:hint="eastAsia"/>
          <w:color w:val="auto"/>
          <w:szCs w:val="21"/>
        </w:rPr>
        <w:t>扩底桩扩大头材料强度不应低于桩身材料强度。设计工作年限为100年时，桩身混凝土强度等级宜适当提高。</w:t>
      </w:r>
    </w:p>
    <w:p w14:paraId="235C41E6">
      <w:pPr>
        <w:adjustRightInd w:val="0"/>
        <w:snapToGrid w:val="0"/>
        <w:spacing w:line="340" w:lineRule="atLeast"/>
        <w:ind w:firstLine="420" w:firstLineChars="200"/>
        <w:rPr>
          <w:b/>
          <w:bCs/>
          <w:color w:val="auto"/>
          <w:szCs w:val="21"/>
        </w:rPr>
      </w:pPr>
      <w:r>
        <w:rPr>
          <w:color w:val="auto"/>
          <w:szCs w:val="21"/>
        </w:rPr>
        <w:t>水下灌注的混凝土桩，混凝土设计强度等级不宜高于C40，不应高于C50。当桩身混凝土</w:t>
      </w:r>
      <w:r>
        <w:rPr>
          <w:rFonts w:hint="eastAsia"/>
          <w:color w:val="auto"/>
          <w:szCs w:val="21"/>
        </w:rPr>
        <w:t>设计</w:t>
      </w:r>
      <w:r>
        <w:rPr>
          <w:color w:val="auto"/>
          <w:szCs w:val="21"/>
        </w:rPr>
        <w:t>强度等级不高于C40时应按设计强度等级提高一个等级配制混凝土，桩身混凝土</w:t>
      </w:r>
      <w:r>
        <w:rPr>
          <w:rFonts w:hint="eastAsia"/>
          <w:color w:val="auto"/>
          <w:szCs w:val="21"/>
        </w:rPr>
        <w:t>设计</w:t>
      </w:r>
      <w:r>
        <w:rPr>
          <w:color w:val="auto"/>
          <w:szCs w:val="21"/>
        </w:rPr>
        <w:t>强度等级高于C40时应按设计强度等级提高两个等级配制混凝土。</w:t>
      </w:r>
    </w:p>
    <w:p w14:paraId="6882C631">
      <w:pPr>
        <w:adjustRightInd w:val="0"/>
        <w:snapToGrid w:val="0"/>
        <w:spacing w:line="340" w:lineRule="atLeast"/>
        <w:ind w:firstLine="435"/>
        <w:rPr>
          <w:color w:val="auto"/>
          <w:szCs w:val="21"/>
        </w:rPr>
      </w:pPr>
      <w:r>
        <w:rPr>
          <w:rFonts w:eastAsia="黑体"/>
          <w:b/>
          <w:color w:val="auto"/>
          <w:szCs w:val="21"/>
        </w:rPr>
        <w:t>b)</w:t>
      </w:r>
      <w:r>
        <w:rPr>
          <w:color w:val="auto"/>
          <w:szCs w:val="21"/>
        </w:rPr>
        <w:t xml:space="preserve">  桩身裂缝控制等级及最大裂缝宽度应根据环境类别和水、土介质腐蚀性等级按表52规定选用。</w:t>
      </w:r>
    </w:p>
    <w:p w14:paraId="44070230">
      <w:pPr>
        <w:adjustRightInd w:val="0"/>
        <w:snapToGrid w:val="0"/>
        <w:spacing w:line="340" w:lineRule="exact"/>
        <w:ind w:firstLine="437"/>
        <w:jc w:val="center"/>
        <w:rPr>
          <w:b/>
          <w:color w:val="auto"/>
          <w:szCs w:val="21"/>
        </w:rPr>
      </w:pPr>
      <w:r>
        <w:rPr>
          <w:rFonts w:eastAsia="黑体"/>
          <w:b/>
          <w:color w:val="auto"/>
          <w:szCs w:val="21"/>
        </w:rPr>
        <w:t>表</w:t>
      </w:r>
      <w:r>
        <w:rPr>
          <w:b/>
          <w:color w:val="auto"/>
          <w:szCs w:val="21"/>
        </w:rPr>
        <w:t xml:space="preserve">52   </w:t>
      </w:r>
      <w:r>
        <w:rPr>
          <w:rFonts w:eastAsia="黑体"/>
          <w:b/>
          <w:color w:val="auto"/>
          <w:szCs w:val="21"/>
        </w:rPr>
        <w:t>桩身的裂缝控制等级及最大裂缝限值</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791"/>
        <w:gridCol w:w="1864"/>
        <w:gridCol w:w="1865"/>
        <w:gridCol w:w="2018"/>
        <w:gridCol w:w="1865"/>
      </w:tblGrid>
      <w:tr w14:paraId="5B4A4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535" w:type="dxa"/>
            <w:gridSpan w:val="2"/>
            <w:vMerge w:val="restart"/>
            <w:vAlign w:val="center"/>
          </w:tcPr>
          <w:p w14:paraId="0781398A">
            <w:pPr>
              <w:adjustRightInd w:val="0"/>
              <w:snapToGrid w:val="0"/>
              <w:jc w:val="center"/>
              <w:rPr>
                <w:color w:val="auto"/>
                <w:sz w:val="18"/>
                <w:szCs w:val="18"/>
              </w:rPr>
            </w:pPr>
            <w:r>
              <w:rPr>
                <w:color w:val="auto"/>
                <w:sz w:val="18"/>
                <w:szCs w:val="18"/>
              </w:rPr>
              <w:t>环境类别</w:t>
            </w:r>
          </w:p>
        </w:tc>
        <w:tc>
          <w:tcPr>
            <w:tcW w:w="3729" w:type="dxa"/>
            <w:gridSpan w:val="2"/>
            <w:vAlign w:val="center"/>
          </w:tcPr>
          <w:p w14:paraId="393EBEB6">
            <w:pPr>
              <w:adjustRightInd w:val="0"/>
              <w:snapToGrid w:val="0"/>
              <w:jc w:val="center"/>
              <w:rPr>
                <w:color w:val="auto"/>
                <w:sz w:val="18"/>
                <w:szCs w:val="18"/>
              </w:rPr>
            </w:pPr>
            <w:r>
              <w:rPr>
                <w:color w:val="auto"/>
                <w:sz w:val="18"/>
                <w:szCs w:val="18"/>
              </w:rPr>
              <w:t>钢筋混凝土桩</w:t>
            </w:r>
          </w:p>
        </w:tc>
        <w:tc>
          <w:tcPr>
            <w:tcW w:w="3883" w:type="dxa"/>
            <w:gridSpan w:val="2"/>
            <w:vAlign w:val="center"/>
          </w:tcPr>
          <w:p w14:paraId="1E39F48A">
            <w:pPr>
              <w:adjustRightInd w:val="0"/>
              <w:snapToGrid w:val="0"/>
              <w:jc w:val="center"/>
              <w:rPr>
                <w:color w:val="auto"/>
                <w:sz w:val="18"/>
                <w:szCs w:val="18"/>
              </w:rPr>
            </w:pPr>
            <w:r>
              <w:rPr>
                <w:color w:val="auto"/>
                <w:sz w:val="18"/>
                <w:szCs w:val="18"/>
              </w:rPr>
              <w:t>预应力混凝土桩</w:t>
            </w:r>
          </w:p>
        </w:tc>
      </w:tr>
      <w:tr w14:paraId="59FB6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535" w:type="dxa"/>
            <w:gridSpan w:val="2"/>
            <w:vMerge w:val="continue"/>
            <w:vAlign w:val="center"/>
          </w:tcPr>
          <w:p w14:paraId="20D09C9D">
            <w:pPr>
              <w:adjustRightInd w:val="0"/>
              <w:snapToGrid w:val="0"/>
              <w:jc w:val="center"/>
              <w:rPr>
                <w:color w:val="auto"/>
                <w:sz w:val="18"/>
                <w:szCs w:val="18"/>
              </w:rPr>
            </w:pPr>
          </w:p>
        </w:tc>
        <w:tc>
          <w:tcPr>
            <w:tcW w:w="1864" w:type="dxa"/>
            <w:vAlign w:val="center"/>
          </w:tcPr>
          <w:p w14:paraId="6769FA64">
            <w:pPr>
              <w:adjustRightInd w:val="0"/>
              <w:snapToGrid w:val="0"/>
              <w:ind w:left="72" w:right="-109" w:rightChars="-52" w:hanging="72" w:hangingChars="40"/>
              <w:jc w:val="center"/>
              <w:rPr>
                <w:color w:val="auto"/>
                <w:sz w:val="18"/>
                <w:szCs w:val="18"/>
              </w:rPr>
            </w:pPr>
            <w:r>
              <w:rPr>
                <w:color w:val="auto"/>
                <w:sz w:val="18"/>
                <w:szCs w:val="18"/>
              </w:rPr>
              <w:t>裂缝控制等级</w:t>
            </w:r>
          </w:p>
        </w:tc>
        <w:tc>
          <w:tcPr>
            <w:tcW w:w="1865" w:type="dxa"/>
            <w:vAlign w:val="center"/>
          </w:tcPr>
          <w:p w14:paraId="198CCA4C">
            <w:pPr>
              <w:adjustRightInd w:val="0"/>
              <w:snapToGrid w:val="0"/>
              <w:jc w:val="center"/>
              <w:rPr>
                <w:color w:val="auto"/>
                <w:sz w:val="18"/>
                <w:szCs w:val="18"/>
              </w:rPr>
            </w:pPr>
            <w:r>
              <w:rPr>
                <w:color w:val="auto"/>
                <w:sz w:val="18"/>
                <w:szCs w:val="18"/>
              </w:rPr>
              <w:t>最大裂缝限值（mm）</w:t>
            </w:r>
          </w:p>
        </w:tc>
        <w:tc>
          <w:tcPr>
            <w:tcW w:w="2018" w:type="dxa"/>
            <w:vAlign w:val="center"/>
          </w:tcPr>
          <w:p w14:paraId="405EEE27">
            <w:pPr>
              <w:adjustRightInd w:val="0"/>
              <w:snapToGrid w:val="0"/>
              <w:ind w:left="72" w:right="-109" w:rightChars="-52" w:hanging="72" w:hangingChars="40"/>
              <w:jc w:val="center"/>
              <w:rPr>
                <w:color w:val="auto"/>
                <w:sz w:val="18"/>
                <w:szCs w:val="18"/>
              </w:rPr>
            </w:pPr>
            <w:r>
              <w:rPr>
                <w:color w:val="auto"/>
                <w:sz w:val="18"/>
                <w:szCs w:val="18"/>
              </w:rPr>
              <w:t>裂缝控制等级</w:t>
            </w:r>
          </w:p>
        </w:tc>
        <w:tc>
          <w:tcPr>
            <w:tcW w:w="1865" w:type="dxa"/>
            <w:vAlign w:val="center"/>
          </w:tcPr>
          <w:p w14:paraId="386FD297">
            <w:pPr>
              <w:adjustRightInd w:val="0"/>
              <w:snapToGrid w:val="0"/>
              <w:jc w:val="center"/>
              <w:rPr>
                <w:color w:val="auto"/>
                <w:sz w:val="18"/>
                <w:szCs w:val="18"/>
              </w:rPr>
            </w:pPr>
            <w:r>
              <w:rPr>
                <w:color w:val="auto"/>
                <w:sz w:val="18"/>
                <w:szCs w:val="18"/>
              </w:rPr>
              <w:t>最大裂缝限值（mm）</w:t>
            </w:r>
          </w:p>
        </w:tc>
      </w:tr>
      <w:tr w14:paraId="24960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44" w:type="dxa"/>
            <w:vMerge w:val="restart"/>
            <w:vAlign w:val="center"/>
          </w:tcPr>
          <w:p w14:paraId="1DE31E69">
            <w:pPr>
              <w:adjustRightInd w:val="0"/>
              <w:snapToGrid w:val="0"/>
              <w:spacing w:line="340" w:lineRule="exact"/>
              <w:jc w:val="center"/>
              <w:rPr>
                <w:color w:val="auto"/>
                <w:sz w:val="18"/>
                <w:szCs w:val="18"/>
              </w:rPr>
            </w:pPr>
            <w:r>
              <w:rPr>
                <w:color w:val="auto"/>
                <w:sz w:val="18"/>
                <w:szCs w:val="18"/>
              </w:rPr>
              <w:t>二</w:t>
            </w:r>
          </w:p>
        </w:tc>
        <w:tc>
          <w:tcPr>
            <w:tcW w:w="791" w:type="dxa"/>
            <w:vAlign w:val="center"/>
          </w:tcPr>
          <w:p w14:paraId="3B68530E">
            <w:pPr>
              <w:adjustRightInd w:val="0"/>
              <w:snapToGrid w:val="0"/>
              <w:spacing w:line="340" w:lineRule="exact"/>
              <w:jc w:val="center"/>
              <w:rPr>
                <w:color w:val="auto"/>
                <w:sz w:val="18"/>
                <w:szCs w:val="18"/>
              </w:rPr>
            </w:pPr>
            <w:r>
              <w:rPr>
                <w:color w:val="auto"/>
                <w:sz w:val="18"/>
                <w:szCs w:val="18"/>
              </w:rPr>
              <w:t>a</w:t>
            </w:r>
          </w:p>
        </w:tc>
        <w:tc>
          <w:tcPr>
            <w:tcW w:w="1864" w:type="dxa"/>
            <w:vAlign w:val="center"/>
          </w:tcPr>
          <w:p w14:paraId="1D7F2991">
            <w:pPr>
              <w:adjustRightInd w:val="0"/>
              <w:snapToGrid w:val="0"/>
              <w:spacing w:line="340" w:lineRule="exact"/>
              <w:jc w:val="center"/>
              <w:rPr>
                <w:color w:val="auto"/>
                <w:sz w:val="18"/>
                <w:szCs w:val="18"/>
              </w:rPr>
            </w:pPr>
            <w:r>
              <w:rPr>
                <w:color w:val="auto"/>
                <w:sz w:val="18"/>
                <w:szCs w:val="18"/>
              </w:rPr>
              <w:t>三</w:t>
            </w:r>
          </w:p>
        </w:tc>
        <w:tc>
          <w:tcPr>
            <w:tcW w:w="1865" w:type="dxa"/>
            <w:vAlign w:val="center"/>
          </w:tcPr>
          <w:p w14:paraId="62E72F43">
            <w:pPr>
              <w:adjustRightInd w:val="0"/>
              <w:snapToGrid w:val="0"/>
              <w:spacing w:line="340" w:lineRule="exact"/>
              <w:jc w:val="center"/>
              <w:rPr>
                <w:color w:val="auto"/>
                <w:sz w:val="18"/>
                <w:szCs w:val="18"/>
              </w:rPr>
            </w:pPr>
            <w:r>
              <w:rPr>
                <w:color w:val="auto"/>
                <w:sz w:val="18"/>
                <w:szCs w:val="18"/>
              </w:rPr>
              <w:t>0.2</w:t>
            </w:r>
          </w:p>
        </w:tc>
        <w:tc>
          <w:tcPr>
            <w:tcW w:w="2018" w:type="dxa"/>
            <w:vAlign w:val="center"/>
          </w:tcPr>
          <w:p w14:paraId="5772662F">
            <w:pPr>
              <w:adjustRightInd w:val="0"/>
              <w:snapToGrid w:val="0"/>
              <w:spacing w:line="340" w:lineRule="exact"/>
              <w:jc w:val="center"/>
              <w:rPr>
                <w:color w:val="auto"/>
                <w:sz w:val="18"/>
                <w:szCs w:val="18"/>
              </w:rPr>
            </w:pPr>
            <w:r>
              <w:rPr>
                <w:color w:val="auto"/>
                <w:sz w:val="18"/>
                <w:szCs w:val="18"/>
              </w:rPr>
              <w:t>二</w:t>
            </w:r>
          </w:p>
        </w:tc>
        <w:tc>
          <w:tcPr>
            <w:tcW w:w="1865" w:type="dxa"/>
            <w:vAlign w:val="center"/>
          </w:tcPr>
          <w:p w14:paraId="3728FF6C">
            <w:pPr>
              <w:adjustRightInd w:val="0"/>
              <w:snapToGrid w:val="0"/>
              <w:spacing w:line="340" w:lineRule="exact"/>
              <w:jc w:val="center"/>
              <w:rPr>
                <w:color w:val="auto"/>
                <w:sz w:val="18"/>
                <w:szCs w:val="18"/>
              </w:rPr>
            </w:pPr>
            <w:r>
              <w:rPr>
                <w:color w:val="auto"/>
                <w:sz w:val="18"/>
                <w:szCs w:val="18"/>
              </w:rPr>
              <w:t>0</w:t>
            </w:r>
          </w:p>
        </w:tc>
      </w:tr>
      <w:tr w14:paraId="432FB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44" w:type="dxa"/>
            <w:vMerge w:val="continue"/>
            <w:vAlign w:val="center"/>
          </w:tcPr>
          <w:p w14:paraId="1FA4437F">
            <w:pPr>
              <w:adjustRightInd w:val="0"/>
              <w:snapToGrid w:val="0"/>
              <w:spacing w:line="340" w:lineRule="exact"/>
              <w:jc w:val="center"/>
              <w:rPr>
                <w:color w:val="auto"/>
                <w:sz w:val="18"/>
                <w:szCs w:val="18"/>
              </w:rPr>
            </w:pPr>
          </w:p>
        </w:tc>
        <w:tc>
          <w:tcPr>
            <w:tcW w:w="791" w:type="dxa"/>
            <w:vAlign w:val="center"/>
          </w:tcPr>
          <w:p w14:paraId="4239A041">
            <w:pPr>
              <w:adjustRightInd w:val="0"/>
              <w:snapToGrid w:val="0"/>
              <w:spacing w:line="340" w:lineRule="exact"/>
              <w:jc w:val="center"/>
              <w:rPr>
                <w:color w:val="auto"/>
                <w:sz w:val="18"/>
                <w:szCs w:val="18"/>
              </w:rPr>
            </w:pPr>
            <w:r>
              <w:rPr>
                <w:color w:val="auto"/>
                <w:sz w:val="18"/>
                <w:szCs w:val="18"/>
              </w:rPr>
              <w:t>b</w:t>
            </w:r>
          </w:p>
        </w:tc>
        <w:tc>
          <w:tcPr>
            <w:tcW w:w="1864" w:type="dxa"/>
            <w:vAlign w:val="center"/>
          </w:tcPr>
          <w:p w14:paraId="503A4689">
            <w:pPr>
              <w:adjustRightInd w:val="0"/>
              <w:snapToGrid w:val="0"/>
              <w:spacing w:line="340" w:lineRule="exact"/>
              <w:jc w:val="center"/>
              <w:rPr>
                <w:color w:val="auto"/>
                <w:sz w:val="18"/>
                <w:szCs w:val="18"/>
              </w:rPr>
            </w:pPr>
            <w:r>
              <w:rPr>
                <w:color w:val="auto"/>
                <w:sz w:val="18"/>
                <w:szCs w:val="18"/>
              </w:rPr>
              <w:t>三</w:t>
            </w:r>
          </w:p>
        </w:tc>
        <w:tc>
          <w:tcPr>
            <w:tcW w:w="1865" w:type="dxa"/>
            <w:vAlign w:val="center"/>
          </w:tcPr>
          <w:p w14:paraId="425A7B02">
            <w:pPr>
              <w:adjustRightInd w:val="0"/>
              <w:snapToGrid w:val="0"/>
              <w:spacing w:line="340" w:lineRule="exact"/>
              <w:jc w:val="center"/>
              <w:rPr>
                <w:color w:val="auto"/>
                <w:sz w:val="18"/>
                <w:szCs w:val="18"/>
              </w:rPr>
            </w:pPr>
            <w:r>
              <w:rPr>
                <w:color w:val="auto"/>
                <w:sz w:val="18"/>
                <w:szCs w:val="18"/>
              </w:rPr>
              <w:t>0.2</w:t>
            </w:r>
          </w:p>
        </w:tc>
        <w:tc>
          <w:tcPr>
            <w:tcW w:w="2018" w:type="dxa"/>
            <w:vAlign w:val="center"/>
          </w:tcPr>
          <w:p w14:paraId="6D1FE89E">
            <w:pPr>
              <w:adjustRightInd w:val="0"/>
              <w:snapToGrid w:val="0"/>
              <w:spacing w:line="340" w:lineRule="exact"/>
              <w:jc w:val="center"/>
              <w:rPr>
                <w:color w:val="auto"/>
                <w:sz w:val="18"/>
                <w:szCs w:val="18"/>
              </w:rPr>
            </w:pPr>
            <w:r>
              <w:rPr>
                <w:color w:val="auto"/>
                <w:sz w:val="18"/>
                <w:szCs w:val="18"/>
              </w:rPr>
              <w:t>二</w:t>
            </w:r>
          </w:p>
        </w:tc>
        <w:tc>
          <w:tcPr>
            <w:tcW w:w="1865" w:type="dxa"/>
            <w:vAlign w:val="center"/>
          </w:tcPr>
          <w:p w14:paraId="5380D02E">
            <w:pPr>
              <w:adjustRightInd w:val="0"/>
              <w:snapToGrid w:val="0"/>
              <w:spacing w:line="340" w:lineRule="exact"/>
              <w:jc w:val="center"/>
              <w:rPr>
                <w:color w:val="auto"/>
                <w:sz w:val="18"/>
                <w:szCs w:val="18"/>
              </w:rPr>
            </w:pPr>
            <w:r>
              <w:rPr>
                <w:color w:val="auto"/>
                <w:sz w:val="18"/>
                <w:szCs w:val="18"/>
              </w:rPr>
              <w:t>0</w:t>
            </w:r>
          </w:p>
        </w:tc>
      </w:tr>
      <w:tr w14:paraId="0750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535" w:type="dxa"/>
            <w:gridSpan w:val="2"/>
            <w:vAlign w:val="center"/>
          </w:tcPr>
          <w:p w14:paraId="66A0BF89">
            <w:pPr>
              <w:adjustRightInd w:val="0"/>
              <w:snapToGrid w:val="0"/>
              <w:spacing w:line="340" w:lineRule="exact"/>
              <w:jc w:val="center"/>
              <w:rPr>
                <w:color w:val="auto"/>
                <w:sz w:val="18"/>
                <w:szCs w:val="18"/>
              </w:rPr>
            </w:pPr>
            <w:r>
              <w:rPr>
                <w:color w:val="auto"/>
                <w:sz w:val="18"/>
                <w:szCs w:val="18"/>
              </w:rPr>
              <w:t>三a</w:t>
            </w:r>
          </w:p>
        </w:tc>
        <w:tc>
          <w:tcPr>
            <w:tcW w:w="1864" w:type="dxa"/>
            <w:vAlign w:val="center"/>
          </w:tcPr>
          <w:p w14:paraId="4003DD74">
            <w:pPr>
              <w:adjustRightInd w:val="0"/>
              <w:snapToGrid w:val="0"/>
              <w:spacing w:line="340" w:lineRule="exact"/>
              <w:jc w:val="center"/>
              <w:rPr>
                <w:color w:val="auto"/>
                <w:sz w:val="18"/>
                <w:szCs w:val="18"/>
              </w:rPr>
            </w:pPr>
            <w:r>
              <w:rPr>
                <w:color w:val="auto"/>
                <w:sz w:val="18"/>
                <w:szCs w:val="18"/>
              </w:rPr>
              <w:t>三</w:t>
            </w:r>
          </w:p>
        </w:tc>
        <w:tc>
          <w:tcPr>
            <w:tcW w:w="1865" w:type="dxa"/>
            <w:vAlign w:val="center"/>
          </w:tcPr>
          <w:p w14:paraId="1D60B569">
            <w:pPr>
              <w:adjustRightInd w:val="0"/>
              <w:snapToGrid w:val="0"/>
              <w:spacing w:line="340" w:lineRule="exact"/>
              <w:jc w:val="center"/>
              <w:rPr>
                <w:color w:val="auto"/>
                <w:sz w:val="18"/>
                <w:szCs w:val="18"/>
              </w:rPr>
            </w:pPr>
            <w:r>
              <w:rPr>
                <w:color w:val="auto"/>
                <w:sz w:val="18"/>
                <w:szCs w:val="18"/>
              </w:rPr>
              <w:t>0.2</w:t>
            </w:r>
          </w:p>
        </w:tc>
        <w:tc>
          <w:tcPr>
            <w:tcW w:w="2018" w:type="dxa"/>
            <w:vAlign w:val="center"/>
          </w:tcPr>
          <w:p w14:paraId="1982ABE8">
            <w:pPr>
              <w:adjustRightInd w:val="0"/>
              <w:snapToGrid w:val="0"/>
              <w:spacing w:line="340" w:lineRule="exact"/>
              <w:jc w:val="center"/>
              <w:rPr>
                <w:color w:val="auto"/>
                <w:sz w:val="18"/>
                <w:szCs w:val="18"/>
              </w:rPr>
            </w:pPr>
            <w:r>
              <w:rPr>
                <w:color w:val="auto"/>
                <w:sz w:val="18"/>
                <w:szCs w:val="18"/>
              </w:rPr>
              <w:t>一</w:t>
            </w:r>
          </w:p>
        </w:tc>
        <w:tc>
          <w:tcPr>
            <w:tcW w:w="1865" w:type="dxa"/>
            <w:vAlign w:val="center"/>
          </w:tcPr>
          <w:p w14:paraId="3ED0D8CD">
            <w:pPr>
              <w:adjustRightInd w:val="0"/>
              <w:snapToGrid w:val="0"/>
              <w:spacing w:line="340" w:lineRule="exact"/>
              <w:jc w:val="center"/>
              <w:rPr>
                <w:color w:val="auto"/>
                <w:sz w:val="18"/>
                <w:szCs w:val="18"/>
              </w:rPr>
            </w:pPr>
            <w:r>
              <w:rPr>
                <w:color w:val="auto"/>
                <w:sz w:val="18"/>
                <w:szCs w:val="18"/>
              </w:rPr>
              <w:t>0</w:t>
            </w:r>
          </w:p>
        </w:tc>
      </w:tr>
    </w:tbl>
    <w:p w14:paraId="633AE7A6">
      <w:pPr>
        <w:adjustRightInd w:val="0"/>
        <w:snapToGrid w:val="0"/>
        <w:spacing w:before="120" w:line="340" w:lineRule="exact"/>
        <w:ind w:firstLine="437"/>
        <w:rPr>
          <w:color w:val="auto"/>
          <w:szCs w:val="21"/>
        </w:rPr>
      </w:pPr>
      <w:r>
        <w:rPr>
          <w:rFonts w:eastAsia="黑体"/>
          <w:b/>
          <w:color w:val="auto"/>
          <w:szCs w:val="21"/>
        </w:rPr>
        <w:t>c)</w:t>
      </w:r>
      <w:r>
        <w:rPr>
          <w:color w:val="auto"/>
          <w:szCs w:val="21"/>
        </w:rPr>
        <w:t xml:space="preserve">  腐蚀性环境桩基结构耐久性设计应符合国家现行标准JTJ</w:t>
      </w:r>
      <w:r>
        <w:rPr>
          <w:rFonts w:hint="eastAsia"/>
          <w:color w:val="auto"/>
          <w:szCs w:val="21"/>
          <w:lang w:val="en-US" w:eastAsia="zh-CN"/>
        </w:rPr>
        <w:t xml:space="preserve"> </w:t>
      </w:r>
      <w:r>
        <w:rPr>
          <w:color w:val="auto"/>
          <w:szCs w:val="21"/>
        </w:rPr>
        <w:t>267和GB</w:t>
      </w:r>
      <w:r>
        <w:rPr>
          <w:rFonts w:hint="eastAsia"/>
          <w:color w:val="auto"/>
          <w:szCs w:val="21"/>
          <w:lang w:val="en-US" w:eastAsia="zh-CN"/>
        </w:rPr>
        <w:t xml:space="preserve"> </w:t>
      </w:r>
      <w:r>
        <w:rPr>
          <w:color w:val="auto"/>
          <w:szCs w:val="21"/>
        </w:rPr>
        <w:t>50046等的有关要求。</w:t>
      </w:r>
    </w:p>
    <w:p w14:paraId="570F8D76">
      <w:pPr>
        <w:adjustRightInd w:val="0"/>
        <w:snapToGrid w:val="0"/>
        <w:spacing w:line="340" w:lineRule="exact"/>
        <w:ind w:firstLine="435"/>
        <w:rPr>
          <w:color w:val="auto"/>
          <w:szCs w:val="21"/>
        </w:rPr>
      </w:pPr>
      <w:r>
        <w:rPr>
          <w:rFonts w:eastAsia="黑体"/>
          <w:b/>
          <w:color w:val="auto"/>
          <w:szCs w:val="21"/>
        </w:rPr>
        <w:t>d)</w:t>
      </w:r>
      <w:r>
        <w:rPr>
          <w:color w:val="auto"/>
          <w:szCs w:val="21"/>
        </w:rPr>
        <w:t xml:space="preserve">  腐蚀性环境桩基结构，受力钢筋宜采用环氧树脂涂层带肋钢筋。</w:t>
      </w:r>
    </w:p>
    <w:p w14:paraId="5F9FC576">
      <w:pPr>
        <w:adjustRightInd w:val="0"/>
        <w:snapToGrid w:val="0"/>
        <w:spacing w:line="360" w:lineRule="auto"/>
        <w:rPr>
          <w:color w:val="auto"/>
          <w:szCs w:val="21"/>
        </w:rPr>
      </w:pPr>
      <w:r>
        <w:rPr>
          <w:rFonts w:eastAsia="黑体"/>
          <w:b/>
          <w:color w:val="auto"/>
          <w:szCs w:val="21"/>
        </w:rPr>
        <w:t xml:space="preserve">12.1.9 </w:t>
      </w:r>
      <w:r>
        <w:rPr>
          <w:rFonts w:hint="eastAsia"/>
          <w:color w:val="auto"/>
          <w:szCs w:val="21"/>
        </w:rPr>
        <w:t>高层建筑</w:t>
      </w:r>
      <w:r>
        <w:rPr>
          <w:color w:val="auto"/>
          <w:szCs w:val="21"/>
        </w:rPr>
        <w:t>桩基承台（筏板）的埋置深度</w:t>
      </w:r>
      <w:r>
        <w:rPr>
          <w:rFonts w:ascii="宋体" w:hAnsi="宋体"/>
          <w:bCs/>
          <w:color w:val="auto"/>
          <w:szCs w:val="21"/>
        </w:rPr>
        <w:t>应满足承载力、变形和稳定性要求</w:t>
      </w:r>
      <w:r>
        <w:rPr>
          <w:rFonts w:hint="eastAsia" w:ascii="宋体" w:hAnsi="宋体"/>
          <w:bCs/>
          <w:color w:val="auto"/>
          <w:szCs w:val="21"/>
        </w:rPr>
        <w:t>，且</w:t>
      </w:r>
      <w:r>
        <w:rPr>
          <w:color w:val="auto"/>
          <w:szCs w:val="21"/>
        </w:rPr>
        <w:t>不宜小于建筑物高度的1/18（钢结构建筑物为1/20）。</w:t>
      </w:r>
    </w:p>
    <w:p w14:paraId="51648503">
      <w:pPr>
        <w:adjustRightInd w:val="0"/>
        <w:snapToGrid w:val="0"/>
        <w:ind w:firstLine="570"/>
        <w:rPr>
          <w:color w:val="auto"/>
          <w:szCs w:val="21"/>
        </w:rPr>
      </w:pPr>
    </w:p>
    <w:p w14:paraId="683A7A41">
      <w:pPr>
        <w:adjustRightInd w:val="0"/>
        <w:snapToGrid w:val="0"/>
        <w:spacing w:line="340" w:lineRule="exact"/>
        <w:outlineLvl w:val="1"/>
        <w:rPr>
          <w:rFonts w:eastAsia="黑体"/>
          <w:b/>
          <w:bCs/>
          <w:color w:val="auto"/>
          <w:szCs w:val="21"/>
        </w:rPr>
      </w:pPr>
      <w:bookmarkStart w:id="65" w:name="_Toc199943609"/>
      <w:r>
        <w:rPr>
          <w:rFonts w:eastAsia="黑体"/>
          <w:b/>
          <w:bCs/>
          <w:color w:val="auto"/>
          <w:szCs w:val="21"/>
        </w:rPr>
        <w:t>12.2  构造要求</w:t>
      </w:r>
      <w:bookmarkEnd w:id="65"/>
    </w:p>
    <w:p w14:paraId="682551FF">
      <w:pPr>
        <w:adjustRightInd w:val="0"/>
        <w:snapToGrid w:val="0"/>
        <w:ind w:firstLine="570"/>
        <w:jc w:val="center"/>
        <w:rPr>
          <w:b/>
          <w:color w:val="auto"/>
          <w:szCs w:val="21"/>
        </w:rPr>
      </w:pPr>
    </w:p>
    <w:p w14:paraId="1F8C1466">
      <w:pPr>
        <w:adjustRightInd w:val="0"/>
        <w:snapToGrid w:val="0"/>
        <w:spacing w:line="340" w:lineRule="exact"/>
        <w:rPr>
          <w:color w:val="auto"/>
          <w:szCs w:val="21"/>
        </w:rPr>
      </w:pPr>
      <w:r>
        <w:rPr>
          <w:rFonts w:eastAsia="黑体"/>
          <w:b/>
          <w:color w:val="auto"/>
          <w:szCs w:val="21"/>
        </w:rPr>
        <w:t>12.2.1</w:t>
      </w:r>
      <w:r>
        <w:rPr>
          <w:color w:val="auto"/>
          <w:szCs w:val="21"/>
        </w:rPr>
        <w:t xml:space="preserve">  桩的最小中心距应符合表53的规定。桩端扩大头直径不宜大于桩身直径的2.5倍，人工挖孔桩扩底</w:t>
      </w:r>
      <w:r>
        <w:rPr>
          <w:rFonts w:hint="eastAsia"/>
          <w:color w:val="auto"/>
          <w:szCs w:val="21"/>
        </w:rPr>
        <w:t>直径</w:t>
      </w:r>
      <w:r>
        <w:rPr>
          <w:color w:val="auto"/>
          <w:szCs w:val="21"/>
        </w:rPr>
        <w:t>不应大于桩身直径加1.6m。扩底坡率应根据工程条件和施工措施确定，但不应缓于1:2（宽高比）。</w:t>
      </w:r>
    </w:p>
    <w:p w14:paraId="70F9DB2E">
      <w:pPr>
        <w:adjustRightInd w:val="0"/>
        <w:snapToGrid w:val="0"/>
        <w:jc w:val="center"/>
        <w:rPr>
          <w:b/>
          <w:bCs/>
          <w:color w:val="auto"/>
        </w:rPr>
      </w:pPr>
      <w:r>
        <w:rPr>
          <w:rFonts w:eastAsia="黑体"/>
          <w:b/>
          <w:bCs/>
          <w:color w:val="auto"/>
        </w:rPr>
        <w:t>表</w:t>
      </w:r>
      <w:r>
        <w:rPr>
          <w:b/>
          <w:bCs/>
          <w:color w:val="auto"/>
        </w:rPr>
        <w:t xml:space="preserve">53  </w:t>
      </w:r>
      <w:r>
        <w:rPr>
          <w:rFonts w:eastAsia="黑体"/>
          <w:b/>
          <w:bCs/>
          <w:color w:val="auto"/>
        </w:rPr>
        <w:t>桩的最小中心距</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18"/>
        <w:gridCol w:w="3863"/>
        <w:gridCol w:w="1996"/>
      </w:tblGrid>
      <w:tr w14:paraId="2D944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318" w:type="dxa"/>
            <w:vAlign w:val="center"/>
          </w:tcPr>
          <w:p w14:paraId="360102E0">
            <w:pPr>
              <w:adjustRightInd w:val="0"/>
              <w:snapToGrid w:val="0"/>
              <w:jc w:val="center"/>
              <w:rPr>
                <w:color w:val="auto"/>
                <w:sz w:val="18"/>
                <w:szCs w:val="18"/>
              </w:rPr>
            </w:pPr>
            <w:r>
              <w:rPr>
                <w:color w:val="auto"/>
                <w:sz w:val="18"/>
                <w:szCs w:val="18"/>
              </w:rPr>
              <w:t>成桩工艺与土类</w:t>
            </w:r>
          </w:p>
        </w:tc>
        <w:tc>
          <w:tcPr>
            <w:tcW w:w="3863" w:type="dxa"/>
            <w:vAlign w:val="center"/>
          </w:tcPr>
          <w:p w14:paraId="36AD0200">
            <w:pPr>
              <w:adjustRightInd w:val="0"/>
              <w:snapToGrid w:val="0"/>
              <w:jc w:val="center"/>
              <w:rPr>
                <w:color w:val="auto"/>
                <w:sz w:val="18"/>
                <w:szCs w:val="18"/>
              </w:rPr>
            </w:pPr>
            <w:r>
              <w:rPr>
                <w:color w:val="auto"/>
                <w:sz w:val="18"/>
                <w:szCs w:val="18"/>
              </w:rPr>
              <w:t>排数不少于3排且桩数不少于9根的摩擦型桩</w:t>
            </w:r>
          </w:p>
        </w:tc>
        <w:tc>
          <w:tcPr>
            <w:tcW w:w="1996" w:type="dxa"/>
            <w:vAlign w:val="center"/>
          </w:tcPr>
          <w:p w14:paraId="2BC89F31">
            <w:pPr>
              <w:adjustRightInd w:val="0"/>
              <w:snapToGrid w:val="0"/>
              <w:jc w:val="center"/>
              <w:rPr>
                <w:color w:val="auto"/>
                <w:sz w:val="18"/>
                <w:szCs w:val="18"/>
              </w:rPr>
            </w:pPr>
            <w:r>
              <w:rPr>
                <w:color w:val="auto"/>
                <w:sz w:val="18"/>
                <w:szCs w:val="18"/>
              </w:rPr>
              <w:t>其他情况</w:t>
            </w:r>
          </w:p>
        </w:tc>
      </w:tr>
      <w:tr w14:paraId="74456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318" w:type="dxa"/>
            <w:vAlign w:val="center"/>
          </w:tcPr>
          <w:p w14:paraId="0CBAA5E4">
            <w:pPr>
              <w:adjustRightInd w:val="0"/>
              <w:snapToGrid w:val="0"/>
              <w:rPr>
                <w:color w:val="auto"/>
                <w:sz w:val="18"/>
                <w:szCs w:val="18"/>
              </w:rPr>
            </w:pPr>
            <w:r>
              <w:rPr>
                <w:color w:val="auto"/>
                <w:sz w:val="18"/>
                <w:szCs w:val="18"/>
              </w:rPr>
              <w:t>挤土预制桩</w:t>
            </w:r>
          </w:p>
        </w:tc>
        <w:tc>
          <w:tcPr>
            <w:tcW w:w="3863" w:type="dxa"/>
            <w:vAlign w:val="center"/>
          </w:tcPr>
          <w:p w14:paraId="7CE02206">
            <w:pPr>
              <w:adjustRightInd w:val="0"/>
              <w:snapToGrid w:val="0"/>
              <w:jc w:val="center"/>
              <w:rPr>
                <w:color w:val="auto"/>
                <w:sz w:val="18"/>
                <w:szCs w:val="18"/>
              </w:rPr>
            </w:pPr>
            <w:r>
              <w:rPr>
                <w:rFonts w:hint="eastAsia"/>
                <w:color w:val="auto"/>
                <w:sz w:val="18"/>
                <w:szCs w:val="18"/>
              </w:rPr>
              <w:t>4.0d（3</w:t>
            </w:r>
            <w:r>
              <w:rPr>
                <w:color w:val="auto"/>
                <w:sz w:val="18"/>
                <w:szCs w:val="18"/>
              </w:rPr>
              <w:t>.</w:t>
            </w:r>
            <w:r>
              <w:rPr>
                <w:rFonts w:hint="eastAsia"/>
                <w:color w:val="auto"/>
                <w:sz w:val="18"/>
                <w:szCs w:val="18"/>
              </w:rPr>
              <w:t>5</w:t>
            </w:r>
            <w:r>
              <w:rPr>
                <w:iCs/>
                <w:color w:val="auto"/>
                <w:sz w:val="18"/>
                <w:szCs w:val="18"/>
              </w:rPr>
              <w:t>d</w:t>
            </w:r>
            <w:r>
              <w:rPr>
                <w:rFonts w:hint="eastAsia"/>
                <w:iCs/>
                <w:color w:val="auto"/>
                <w:sz w:val="18"/>
                <w:szCs w:val="18"/>
              </w:rPr>
              <w:t>）</w:t>
            </w:r>
          </w:p>
        </w:tc>
        <w:tc>
          <w:tcPr>
            <w:tcW w:w="1996" w:type="dxa"/>
            <w:vAlign w:val="center"/>
          </w:tcPr>
          <w:p w14:paraId="1F8C5C2D">
            <w:pPr>
              <w:adjustRightInd w:val="0"/>
              <w:snapToGrid w:val="0"/>
              <w:jc w:val="center"/>
              <w:rPr>
                <w:color w:val="auto"/>
                <w:sz w:val="18"/>
                <w:szCs w:val="18"/>
              </w:rPr>
            </w:pPr>
            <w:r>
              <w:rPr>
                <w:color w:val="auto"/>
                <w:sz w:val="18"/>
                <w:szCs w:val="18"/>
              </w:rPr>
              <w:t>3.5</w:t>
            </w:r>
            <w:r>
              <w:rPr>
                <w:iCs/>
                <w:color w:val="auto"/>
                <w:sz w:val="18"/>
                <w:szCs w:val="18"/>
              </w:rPr>
              <w:t>d</w:t>
            </w:r>
          </w:p>
        </w:tc>
      </w:tr>
      <w:tr w14:paraId="7B0708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318" w:type="dxa"/>
            <w:vAlign w:val="center"/>
          </w:tcPr>
          <w:p w14:paraId="5AB2CE52">
            <w:pPr>
              <w:adjustRightInd w:val="0"/>
              <w:snapToGrid w:val="0"/>
              <w:rPr>
                <w:color w:val="auto"/>
                <w:sz w:val="18"/>
                <w:szCs w:val="18"/>
              </w:rPr>
            </w:pPr>
            <w:r>
              <w:rPr>
                <w:color w:val="auto"/>
                <w:sz w:val="18"/>
                <w:szCs w:val="18"/>
              </w:rPr>
              <w:t>非挤土灌注桩</w:t>
            </w:r>
          </w:p>
        </w:tc>
        <w:tc>
          <w:tcPr>
            <w:tcW w:w="3863" w:type="dxa"/>
            <w:vAlign w:val="center"/>
          </w:tcPr>
          <w:p w14:paraId="42A4AD7F">
            <w:pPr>
              <w:adjustRightInd w:val="0"/>
              <w:snapToGrid w:val="0"/>
              <w:jc w:val="center"/>
              <w:rPr>
                <w:color w:val="auto"/>
                <w:sz w:val="18"/>
                <w:szCs w:val="18"/>
              </w:rPr>
            </w:pPr>
            <w:r>
              <w:rPr>
                <w:color w:val="auto"/>
                <w:sz w:val="18"/>
                <w:szCs w:val="18"/>
              </w:rPr>
              <w:t>3.0</w:t>
            </w:r>
            <w:r>
              <w:rPr>
                <w:iCs/>
                <w:color w:val="auto"/>
                <w:sz w:val="18"/>
                <w:szCs w:val="18"/>
              </w:rPr>
              <w:t>d</w:t>
            </w:r>
          </w:p>
        </w:tc>
        <w:tc>
          <w:tcPr>
            <w:tcW w:w="1996" w:type="dxa"/>
            <w:vAlign w:val="center"/>
          </w:tcPr>
          <w:p w14:paraId="46D937B3">
            <w:pPr>
              <w:adjustRightInd w:val="0"/>
              <w:snapToGrid w:val="0"/>
              <w:jc w:val="center"/>
              <w:rPr>
                <w:color w:val="auto"/>
                <w:sz w:val="18"/>
                <w:szCs w:val="18"/>
              </w:rPr>
            </w:pPr>
            <w:r>
              <w:rPr>
                <w:color w:val="auto"/>
                <w:sz w:val="18"/>
                <w:szCs w:val="18"/>
              </w:rPr>
              <w:t>3.0</w:t>
            </w:r>
            <w:r>
              <w:rPr>
                <w:iCs/>
                <w:color w:val="auto"/>
                <w:sz w:val="18"/>
                <w:szCs w:val="18"/>
              </w:rPr>
              <w:t>d</w:t>
            </w:r>
          </w:p>
        </w:tc>
      </w:tr>
    </w:tbl>
    <w:p w14:paraId="34628B3C">
      <w:pPr>
        <w:rPr>
          <w:rFonts w:hint="eastAsia" w:eastAsia="宋体"/>
          <w:color w:val="auto"/>
          <w:lang w:eastAsia="zh-CN"/>
        </w:rPr>
      </w:pPr>
      <w:r>
        <w:rPr>
          <w:rFonts w:hint="eastAsia"/>
          <w:color w:val="auto"/>
          <w:lang w:eastAsia="zh-CN"/>
        </w:rPr>
        <w:t>（</w:t>
      </w:r>
      <w:r>
        <w:rPr>
          <w:rFonts w:hint="eastAsia"/>
          <w:color w:val="auto"/>
          <w:lang w:val="en-US" w:eastAsia="zh-CN"/>
        </w:rPr>
        <w:t>续表53</w:t>
      </w:r>
      <w:r>
        <w:rPr>
          <w:rFonts w:hint="eastAsia"/>
          <w:color w:val="auto"/>
          <w:lang w:eastAsia="zh-CN"/>
        </w:rPr>
        <w:t>）</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8"/>
        <w:gridCol w:w="18"/>
        <w:gridCol w:w="1732"/>
        <w:gridCol w:w="3863"/>
        <w:gridCol w:w="1996"/>
      </w:tblGrid>
      <w:tr w14:paraId="3B6214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8" w:type="dxa"/>
            <w:vMerge w:val="restart"/>
            <w:tcBorders>
              <w:right w:val="single" w:color="auto" w:sz="4" w:space="0"/>
            </w:tcBorders>
            <w:vAlign w:val="center"/>
          </w:tcPr>
          <w:p w14:paraId="1060F64B">
            <w:pPr>
              <w:adjustRightInd w:val="0"/>
              <w:snapToGrid w:val="0"/>
              <w:jc w:val="center"/>
              <w:rPr>
                <w:color w:val="auto"/>
                <w:sz w:val="18"/>
                <w:szCs w:val="18"/>
              </w:rPr>
            </w:pPr>
            <w:r>
              <w:rPr>
                <w:color w:val="auto"/>
                <w:sz w:val="18"/>
                <w:szCs w:val="18"/>
              </w:rPr>
              <w:t>部分</w:t>
            </w:r>
          </w:p>
          <w:p w14:paraId="1B590565">
            <w:pPr>
              <w:adjustRightInd w:val="0"/>
              <w:snapToGrid w:val="0"/>
              <w:jc w:val="center"/>
              <w:rPr>
                <w:color w:val="auto"/>
                <w:sz w:val="18"/>
                <w:szCs w:val="18"/>
              </w:rPr>
            </w:pPr>
            <w:r>
              <w:rPr>
                <w:color w:val="auto"/>
                <w:sz w:val="18"/>
                <w:szCs w:val="18"/>
              </w:rPr>
              <w:t>挤土灌注桩</w:t>
            </w:r>
          </w:p>
        </w:tc>
        <w:tc>
          <w:tcPr>
            <w:tcW w:w="1750" w:type="dxa"/>
            <w:gridSpan w:val="2"/>
            <w:tcBorders>
              <w:left w:val="single" w:color="auto" w:sz="4" w:space="0"/>
            </w:tcBorders>
            <w:vAlign w:val="center"/>
          </w:tcPr>
          <w:p w14:paraId="0D614081">
            <w:pPr>
              <w:adjustRightInd w:val="0"/>
              <w:snapToGrid w:val="0"/>
              <w:rPr>
                <w:color w:val="auto"/>
                <w:sz w:val="18"/>
                <w:szCs w:val="18"/>
              </w:rPr>
            </w:pPr>
            <w:r>
              <w:rPr>
                <w:color w:val="auto"/>
                <w:sz w:val="18"/>
                <w:szCs w:val="18"/>
              </w:rPr>
              <w:t>饱和</w:t>
            </w:r>
            <w:r>
              <w:rPr>
                <w:rFonts w:hint="eastAsia"/>
                <w:color w:val="auto"/>
                <w:sz w:val="18"/>
                <w:szCs w:val="18"/>
              </w:rPr>
              <w:t>黏性土</w:t>
            </w:r>
          </w:p>
        </w:tc>
        <w:tc>
          <w:tcPr>
            <w:tcW w:w="3863" w:type="dxa"/>
            <w:vAlign w:val="center"/>
          </w:tcPr>
          <w:p w14:paraId="22710ED6">
            <w:pPr>
              <w:adjustRightInd w:val="0"/>
              <w:snapToGrid w:val="0"/>
              <w:jc w:val="center"/>
              <w:rPr>
                <w:color w:val="auto"/>
                <w:sz w:val="18"/>
                <w:szCs w:val="18"/>
              </w:rPr>
            </w:pPr>
            <w:r>
              <w:rPr>
                <w:color w:val="auto"/>
                <w:sz w:val="18"/>
                <w:szCs w:val="18"/>
              </w:rPr>
              <w:t>4.0</w:t>
            </w:r>
            <w:r>
              <w:rPr>
                <w:iCs/>
                <w:color w:val="auto"/>
                <w:sz w:val="18"/>
                <w:szCs w:val="18"/>
              </w:rPr>
              <w:t>d</w:t>
            </w:r>
          </w:p>
        </w:tc>
        <w:tc>
          <w:tcPr>
            <w:tcW w:w="1996" w:type="dxa"/>
            <w:vAlign w:val="center"/>
          </w:tcPr>
          <w:p w14:paraId="41E5C011">
            <w:pPr>
              <w:adjustRightInd w:val="0"/>
              <w:snapToGrid w:val="0"/>
              <w:jc w:val="center"/>
              <w:rPr>
                <w:color w:val="auto"/>
                <w:sz w:val="18"/>
                <w:szCs w:val="18"/>
              </w:rPr>
            </w:pPr>
            <w:r>
              <w:rPr>
                <w:color w:val="auto"/>
                <w:sz w:val="18"/>
                <w:szCs w:val="18"/>
              </w:rPr>
              <w:t>3.5</w:t>
            </w:r>
            <w:r>
              <w:rPr>
                <w:iCs/>
                <w:color w:val="auto"/>
                <w:sz w:val="18"/>
                <w:szCs w:val="18"/>
              </w:rPr>
              <w:t>d</w:t>
            </w:r>
          </w:p>
        </w:tc>
      </w:tr>
      <w:tr w14:paraId="052D2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68" w:type="dxa"/>
            <w:vMerge w:val="continue"/>
            <w:tcBorders>
              <w:right w:val="single" w:color="auto" w:sz="4" w:space="0"/>
            </w:tcBorders>
            <w:vAlign w:val="center"/>
          </w:tcPr>
          <w:p w14:paraId="0628D72D">
            <w:pPr>
              <w:adjustRightInd w:val="0"/>
              <w:snapToGrid w:val="0"/>
              <w:rPr>
                <w:color w:val="auto"/>
                <w:sz w:val="18"/>
                <w:szCs w:val="18"/>
              </w:rPr>
            </w:pPr>
          </w:p>
        </w:tc>
        <w:tc>
          <w:tcPr>
            <w:tcW w:w="1750" w:type="dxa"/>
            <w:gridSpan w:val="2"/>
            <w:tcBorders>
              <w:left w:val="single" w:color="auto" w:sz="4" w:space="0"/>
            </w:tcBorders>
            <w:vAlign w:val="center"/>
          </w:tcPr>
          <w:p w14:paraId="49E93EEB">
            <w:pPr>
              <w:adjustRightInd w:val="0"/>
              <w:snapToGrid w:val="0"/>
              <w:rPr>
                <w:color w:val="auto"/>
                <w:sz w:val="18"/>
                <w:szCs w:val="18"/>
              </w:rPr>
            </w:pPr>
            <w:r>
              <w:rPr>
                <w:color w:val="auto"/>
                <w:sz w:val="18"/>
                <w:szCs w:val="18"/>
              </w:rPr>
              <w:t>非饱和土</w:t>
            </w:r>
            <w:r>
              <w:rPr>
                <w:rFonts w:hint="eastAsia"/>
                <w:color w:val="auto"/>
                <w:sz w:val="18"/>
                <w:szCs w:val="18"/>
              </w:rPr>
              <w:t>、饱和非黏性土</w:t>
            </w:r>
          </w:p>
        </w:tc>
        <w:tc>
          <w:tcPr>
            <w:tcW w:w="3863" w:type="dxa"/>
            <w:vAlign w:val="center"/>
          </w:tcPr>
          <w:p w14:paraId="70610F42">
            <w:pPr>
              <w:adjustRightInd w:val="0"/>
              <w:snapToGrid w:val="0"/>
              <w:jc w:val="center"/>
              <w:rPr>
                <w:color w:val="auto"/>
                <w:sz w:val="18"/>
                <w:szCs w:val="18"/>
              </w:rPr>
            </w:pPr>
            <w:r>
              <w:rPr>
                <w:color w:val="auto"/>
                <w:sz w:val="18"/>
                <w:szCs w:val="18"/>
              </w:rPr>
              <w:t>3.5</w:t>
            </w:r>
            <w:r>
              <w:rPr>
                <w:iCs/>
                <w:color w:val="auto"/>
                <w:sz w:val="18"/>
                <w:szCs w:val="18"/>
              </w:rPr>
              <w:t>d</w:t>
            </w:r>
          </w:p>
        </w:tc>
        <w:tc>
          <w:tcPr>
            <w:tcW w:w="1996" w:type="dxa"/>
            <w:vAlign w:val="center"/>
          </w:tcPr>
          <w:p w14:paraId="6109C97E">
            <w:pPr>
              <w:adjustRightInd w:val="0"/>
              <w:snapToGrid w:val="0"/>
              <w:jc w:val="center"/>
              <w:rPr>
                <w:color w:val="auto"/>
                <w:sz w:val="18"/>
                <w:szCs w:val="18"/>
              </w:rPr>
            </w:pPr>
            <w:r>
              <w:rPr>
                <w:color w:val="auto"/>
                <w:sz w:val="18"/>
                <w:szCs w:val="18"/>
              </w:rPr>
              <w:t>3.0</w:t>
            </w:r>
            <w:r>
              <w:rPr>
                <w:iCs/>
                <w:color w:val="auto"/>
                <w:sz w:val="18"/>
                <w:szCs w:val="18"/>
              </w:rPr>
              <w:t>d</w:t>
            </w:r>
          </w:p>
        </w:tc>
      </w:tr>
      <w:tr w14:paraId="55859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86" w:type="dxa"/>
            <w:gridSpan w:val="2"/>
            <w:vMerge w:val="restart"/>
            <w:vAlign w:val="center"/>
          </w:tcPr>
          <w:p w14:paraId="546A9C0C">
            <w:pPr>
              <w:adjustRightInd w:val="0"/>
              <w:snapToGrid w:val="0"/>
              <w:rPr>
                <w:color w:val="auto"/>
                <w:sz w:val="18"/>
                <w:szCs w:val="18"/>
              </w:rPr>
            </w:pPr>
            <w:r>
              <w:rPr>
                <w:color w:val="auto"/>
                <w:sz w:val="18"/>
                <w:szCs w:val="18"/>
              </w:rPr>
              <w:t>挤土灌注桩</w:t>
            </w:r>
          </w:p>
        </w:tc>
        <w:tc>
          <w:tcPr>
            <w:tcW w:w="1732" w:type="dxa"/>
            <w:vAlign w:val="center"/>
          </w:tcPr>
          <w:p w14:paraId="1FD5CBD8">
            <w:pPr>
              <w:adjustRightInd w:val="0"/>
              <w:snapToGrid w:val="0"/>
              <w:rPr>
                <w:color w:val="auto"/>
                <w:sz w:val="18"/>
                <w:szCs w:val="18"/>
              </w:rPr>
            </w:pPr>
            <w:r>
              <w:rPr>
                <w:color w:val="auto"/>
                <w:sz w:val="18"/>
                <w:szCs w:val="18"/>
              </w:rPr>
              <w:t>饱和</w:t>
            </w:r>
            <w:r>
              <w:rPr>
                <w:rFonts w:hint="eastAsia"/>
                <w:color w:val="auto"/>
                <w:sz w:val="18"/>
                <w:szCs w:val="18"/>
              </w:rPr>
              <w:t>黏性土</w:t>
            </w:r>
          </w:p>
        </w:tc>
        <w:tc>
          <w:tcPr>
            <w:tcW w:w="3863" w:type="dxa"/>
            <w:vAlign w:val="center"/>
          </w:tcPr>
          <w:p w14:paraId="00215F8A">
            <w:pPr>
              <w:adjustRightInd w:val="0"/>
              <w:snapToGrid w:val="0"/>
              <w:jc w:val="center"/>
              <w:rPr>
                <w:color w:val="auto"/>
                <w:sz w:val="18"/>
                <w:szCs w:val="18"/>
              </w:rPr>
            </w:pPr>
            <w:r>
              <w:rPr>
                <w:color w:val="auto"/>
                <w:sz w:val="18"/>
                <w:szCs w:val="18"/>
              </w:rPr>
              <w:t>4.5</w:t>
            </w:r>
            <w:r>
              <w:rPr>
                <w:iCs/>
                <w:color w:val="auto"/>
                <w:sz w:val="18"/>
                <w:szCs w:val="18"/>
              </w:rPr>
              <w:t>d且2.5D</w:t>
            </w:r>
          </w:p>
        </w:tc>
        <w:tc>
          <w:tcPr>
            <w:tcW w:w="1996" w:type="dxa"/>
            <w:vAlign w:val="center"/>
          </w:tcPr>
          <w:p w14:paraId="788AEEAE">
            <w:pPr>
              <w:adjustRightInd w:val="0"/>
              <w:snapToGrid w:val="0"/>
              <w:jc w:val="center"/>
              <w:rPr>
                <w:color w:val="auto"/>
                <w:sz w:val="18"/>
                <w:szCs w:val="18"/>
              </w:rPr>
            </w:pPr>
            <w:r>
              <w:rPr>
                <w:color w:val="auto"/>
                <w:sz w:val="18"/>
                <w:szCs w:val="18"/>
              </w:rPr>
              <w:t>4.0</w:t>
            </w:r>
            <w:r>
              <w:rPr>
                <w:iCs/>
                <w:color w:val="auto"/>
                <w:sz w:val="18"/>
                <w:szCs w:val="18"/>
              </w:rPr>
              <w:t>d且2.2D</w:t>
            </w:r>
          </w:p>
        </w:tc>
      </w:tr>
      <w:tr w14:paraId="4A5DC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586" w:type="dxa"/>
            <w:gridSpan w:val="2"/>
            <w:vMerge w:val="continue"/>
            <w:vAlign w:val="center"/>
          </w:tcPr>
          <w:p w14:paraId="3BD30B13">
            <w:pPr>
              <w:widowControl/>
              <w:adjustRightInd w:val="0"/>
              <w:snapToGrid w:val="0"/>
              <w:jc w:val="left"/>
              <w:rPr>
                <w:color w:val="auto"/>
                <w:sz w:val="18"/>
                <w:szCs w:val="18"/>
              </w:rPr>
            </w:pPr>
          </w:p>
        </w:tc>
        <w:tc>
          <w:tcPr>
            <w:tcW w:w="1732" w:type="dxa"/>
            <w:vAlign w:val="center"/>
          </w:tcPr>
          <w:p w14:paraId="0B692482">
            <w:pPr>
              <w:adjustRightInd w:val="0"/>
              <w:snapToGrid w:val="0"/>
              <w:rPr>
                <w:color w:val="auto"/>
                <w:sz w:val="18"/>
                <w:szCs w:val="18"/>
              </w:rPr>
            </w:pPr>
            <w:r>
              <w:rPr>
                <w:color w:val="auto"/>
                <w:sz w:val="18"/>
                <w:szCs w:val="18"/>
              </w:rPr>
              <w:t>非饱和土</w:t>
            </w:r>
            <w:r>
              <w:rPr>
                <w:rFonts w:hint="eastAsia"/>
                <w:color w:val="auto"/>
                <w:sz w:val="18"/>
                <w:szCs w:val="18"/>
              </w:rPr>
              <w:t>、饱和非黏性土</w:t>
            </w:r>
          </w:p>
        </w:tc>
        <w:tc>
          <w:tcPr>
            <w:tcW w:w="3863" w:type="dxa"/>
            <w:vAlign w:val="center"/>
          </w:tcPr>
          <w:p w14:paraId="0DD65B05">
            <w:pPr>
              <w:adjustRightInd w:val="0"/>
              <w:snapToGrid w:val="0"/>
              <w:jc w:val="center"/>
              <w:rPr>
                <w:color w:val="auto"/>
                <w:sz w:val="18"/>
                <w:szCs w:val="18"/>
              </w:rPr>
            </w:pPr>
            <w:r>
              <w:rPr>
                <w:color w:val="auto"/>
                <w:sz w:val="18"/>
                <w:szCs w:val="18"/>
              </w:rPr>
              <w:t>4.0</w:t>
            </w:r>
            <w:r>
              <w:rPr>
                <w:iCs/>
                <w:color w:val="auto"/>
                <w:sz w:val="18"/>
                <w:szCs w:val="18"/>
              </w:rPr>
              <w:t>d且2.2D</w:t>
            </w:r>
          </w:p>
        </w:tc>
        <w:tc>
          <w:tcPr>
            <w:tcW w:w="1996" w:type="dxa"/>
            <w:vAlign w:val="center"/>
          </w:tcPr>
          <w:p w14:paraId="0ED65F95">
            <w:pPr>
              <w:adjustRightInd w:val="0"/>
              <w:snapToGrid w:val="0"/>
              <w:jc w:val="center"/>
              <w:rPr>
                <w:color w:val="auto"/>
                <w:sz w:val="18"/>
                <w:szCs w:val="18"/>
              </w:rPr>
            </w:pPr>
            <w:r>
              <w:rPr>
                <w:color w:val="auto"/>
                <w:sz w:val="18"/>
                <w:szCs w:val="18"/>
              </w:rPr>
              <w:t>3.5</w:t>
            </w:r>
            <w:r>
              <w:rPr>
                <w:iCs/>
                <w:color w:val="auto"/>
                <w:sz w:val="18"/>
                <w:szCs w:val="18"/>
              </w:rPr>
              <w:t>d且2.0D</w:t>
            </w:r>
          </w:p>
        </w:tc>
      </w:tr>
      <w:tr w14:paraId="57DB4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318" w:type="dxa"/>
            <w:gridSpan w:val="3"/>
            <w:vAlign w:val="center"/>
          </w:tcPr>
          <w:p w14:paraId="06B0BB9F">
            <w:pPr>
              <w:adjustRightInd w:val="0"/>
              <w:snapToGrid w:val="0"/>
              <w:rPr>
                <w:color w:val="auto"/>
                <w:sz w:val="18"/>
                <w:szCs w:val="18"/>
              </w:rPr>
            </w:pPr>
            <w:r>
              <w:rPr>
                <w:color w:val="auto"/>
                <w:sz w:val="18"/>
                <w:szCs w:val="18"/>
              </w:rPr>
              <w:t>人工挖孔桩</w:t>
            </w:r>
          </w:p>
        </w:tc>
        <w:tc>
          <w:tcPr>
            <w:tcW w:w="3863" w:type="dxa"/>
            <w:vAlign w:val="center"/>
          </w:tcPr>
          <w:p w14:paraId="41B2A7E9">
            <w:pPr>
              <w:adjustRightInd w:val="0"/>
              <w:snapToGrid w:val="0"/>
              <w:jc w:val="center"/>
              <w:rPr>
                <w:color w:val="auto"/>
                <w:sz w:val="18"/>
                <w:szCs w:val="18"/>
              </w:rPr>
            </w:pPr>
            <w:r>
              <w:rPr>
                <w:rFonts w:hint="eastAsia"/>
                <w:color w:val="auto"/>
                <w:sz w:val="18"/>
                <w:szCs w:val="18"/>
              </w:rPr>
              <w:t>——</w:t>
            </w:r>
          </w:p>
        </w:tc>
        <w:tc>
          <w:tcPr>
            <w:tcW w:w="1996" w:type="dxa"/>
            <w:vAlign w:val="center"/>
          </w:tcPr>
          <w:p w14:paraId="3DAD4FDC">
            <w:pPr>
              <w:adjustRightInd w:val="0"/>
              <w:snapToGrid w:val="0"/>
              <w:jc w:val="center"/>
              <w:rPr>
                <w:color w:val="auto"/>
                <w:sz w:val="18"/>
                <w:szCs w:val="18"/>
              </w:rPr>
            </w:pPr>
            <w:r>
              <w:rPr>
                <w:rFonts w:hint="eastAsia"/>
                <w:color w:val="auto"/>
                <w:sz w:val="18"/>
                <w:szCs w:val="18"/>
              </w:rPr>
              <w:t>2.5</w:t>
            </w:r>
            <w:r>
              <w:rPr>
                <w:color w:val="auto"/>
                <w:sz w:val="18"/>
                <w:szCs w:val="18"/>
              </w:rPr>
              <w:t>d且D+1.0m</w:t>
            </w:r>
          </w:p>
        </w:tc>
      </w:tr>
      <w:tr w14:paraId="2EC6E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4" w:hRule="atLeast"/>
          <w:jc w:val="center"/>
        </w:trPr>
        <w:tc>
          <w:tcPr>
            <w:tcW w:w="9177" w:type="dxa"/>
            <w:gridSpan w:val="5"/>
            <w:vAlign w:val="center"/>
          </w:tcPr>
          <w:p w14:paraId="6387DA19">
            <w:pPr>
              <w:adjustRightInd w:val="0"/>
              <w:snapToGrid w:val="0"/>
              <w:spacing w:before="93" w:beforeLines="30"/>
              <w:ind w:left="464" w:hanging="464" w:hangingChars="258"/>
              <w:rPr>
                <w:color w:val="auto"/>
                <w:sz w:val="18"/>
                <w:szCs w:val="18"/>
              </w:rPr>
            </w:pPr>
            <w:r>
              <w:rPr>
                <w:color w:val="auto"/>
                <w:sz w:val="18"/>
                <w:szCs w:val="18"/>
              </w:rPr>
              <w:t>注1：</w:t>
            </w:r>
            <w:r>
              <w:rPr>
                <w:iCs/>
                <w:color w:val="auto"/>
                <w:sz w:val="18"/>
                <w:szCs w:val="18"/>
              </w:rPr>
              <w:t>d</w:t>
            </w:r>
            <w:r>
              <w:rPr>
                <w:color w:val="auto"/>
                <w:sz w:val="18"/>
                <w:szCs w:val="18"/>
              </w:rPr>
              <w:t>为桩身直径或边长，复打桩为复打后的桩径，D为扩大端设计直径（扩大端可为夯扩、钻扩和人工挖扩的扩大端）；</w:t>
            </w:r>
          </w:p>
          <w:p w14:paraId="0A644D25">
            <w:pPr>
              <w:adjustRightInd w:val="0"/>
              <w:snapToGrid w:val="0"/>
              <w:rPr>
                <w:color w:val="auto"/>
                <w:sz w:val="18"/>
                <w:szCs w:val="18"/>
              </w:rPr>
            </w:pPr>
            <w:r>
              <w:rPr>
                <w:color w:val="auto"/>
                <w:sz w:val="18"/>
                <w:szCs w:val="18"/>
              </w:rPr>
              <w:t>注2</w:t>
            </w:r>
            <w:r>
              <w:rPr>
                <w:rFonts w:hint="eastAsia"/>
                <w:color w:val="auto"/>
                <w:sz w:val="18"/>
                <w:szCs w:val="18"/>
              </w:rPr>
              <w:t>：</w:t>
            </w:r>
            <w:r>
              <w:rPr>
                <w:color w:val="auto"/>
                <w:sz w:val="18"/>
                <w:szCs w:val="18"/>
              </w:rPr>
              <w:t>对于布桩超过30根的大片密集挤土型桩，上列桩距中心距宜适当增加；</w:t>
            </w:r>
          </w:p>
          <w:p w14:paraId="72709948">
            <w:pPr>
              <w:adjustRightInd w:val="0"/>
              <w:snapToGrid w:val="0"/>
              <w:rPr>
                <w:color w:val="auto"/>
                <w:sz w:val="18"/>
                <w:szCs w:val="18"/>
              </w:rPr>
            </w:pPr>
            <w:r>
              <w:rPr>
                <w:rFonts w:hint="eastAsia"/>
                <w:color w:val="auto"/>
                <w:sz w:val="18"/>
                <w:szCs w:val="18"/>
              </w:rPr>
              <w:t>注</w:t>
            </w:r>
            <w:r>
              <w:rPr>
                <w:color w:val="auto"/>
                <w:sz w:val="18"/>
                <w:szCs w:val="18"/>
              </w:rPr>
              <w:t>3</w:t>
            </w:r>
            <w:r>
              <w:rPr>
                <w:rFonts w:hint="eastAsia"/>
                <w:color w:val="auto"/>
                <w:sz w:val="18"/>
                <w:szCs w:val="18"/>
              </w:rPr>
              <w:t>：</w:t>
            </w:r>
            <w:r>
              <w:rPr>
                <w:color w:val="auto"/>
                <w:sz w:val="18"/>
                <w:szCs w:val="18"/>
              </w:rPr>
              <w:t>长螺旋钻孔压灌混凝土桩</w:t>
            </w:r>
            <w:r>
              <w:rPr>
                <w:rFonts w:hint="eastAsia"/>
                <w:color w:val="auto"/>
                <w:sz w:val="18"/>
                <w:szCs w:val="18"/>
              </w:rPr>
              <w:t>按部分挤土灌注桩确定桩间距，但桩</w:t>
            </w:r>
            <w:r>
              <w:rPr>
                <w:color w:val="auto"/>
                <w:sz w:val="18"/>
                <w:szCs w:val="18"/>
              </w:rPr>
              <w:t>中心距</w:t>
            </w:r>
            <w:r>
              <w:rPr>
                <w:rFonts w:hint="eastAsia"/>
                <w:color w:val="auto"/>
                <w:sz w:val="18"/>
                <w:szCs w:val="18"/>
              </w:rPr>
              <w:t>均不应小于3.5d</w:t>
            </w:r>
            <w:r>
              <w:rPr>
                <w:color w:val="auto"/>
                <w:sz w:val="18"/>
                <w:szCs w:val="18"/>
              </w:rPr>
              <w:t>；</w:t>
            </w:r>
          </w:p>
          <w:p w14:paraId="0EF9E659">
            <w:pPr>
              <w:adjustRightInd w:val="0"/>
              <w:snapToGrid w:val="0"/>
              <w:rPr>
                <w:color w:val="auto"/>
                <w:sz w:val="18"/>
                <w:szCs w:val="18"/>
              </w:rPr>
            </w:pPr>
            <w:r>
              <w:rPr>
                <w:rFonts w:hint="eastAsia"/>
                <w:color w:val="auto"/>
                <w:sz w:val="18"/>
                <w:szCs w:val="18"/>
              </w:rPr>
              <w:t>注</w:t>
            </w:r>
            <w:r>
              <w:rPr>
                <w:color w:val="auto"/>
                <w:sz w:val="18"/>
                <w:szCs w:val="18"/>
              </w:rPr>
              <w:t>4</w:t>
            </w:r>
            <w:r>
              <w:rPr>
                <w:rFonts w:hint="eastAsia"/>
                <w:color w:val="auto"/>
                <w:sz w:val="18"/>
                <w:szCs w:val="18"/>
              </w:rPr>
              <w:t>：</w:t>
            </w:r>
            <w:r>
              <w:rPr>
                <w:color w:val="auto"/>
                <w:sz w:val="18"/>
                <w:szCs w:val="18"/>
              </w:rPr>
              <w:t>具有扩大端的夯扩桩、载体桩及摩擦型钻扩桩等的桩中心距应按本表挤土灌注桩的要求执行；</w:t>
            </w:r>
          </w:p>
          <w:p w14:paraId="7BC11280">
            <w:pPr>
              <w:adjustRightInd w:val="0"/>
              <w:snapToGrid w:val="0"/>
              <w:ind w:left="508" w:hanging="507" w:hangingChars="282"/>
              <w:rPr>
                <w:color w:val="auto"/>
                <w:sz w:val="18"/>
                <w:szCs w:val="18"/>
              </w:rPr>
            </w:pPr>
            <w:r>
              <w:rPr>
                <w:rFonts w:hint="eastAsia"/>
                <w:color w:val="auto"/>
                <w:sz w:val="18"/>
                <w:szCs w:val="18"/>
              </w:rPr>
              <w:t>注5：</w:t>
            </w:r>
            <w:r>
              <w:rPr>
                <w:color w:val="auto"/>
                <w:sz w:val="18"/>
                <w:szCs w:val="18"/>
              </w:rPr>
              <w:t>非挤土型的端承桩及端承型嵌岩桩表列桩距可适当减小，但不宜小于2.5d</w:t>
            </w:r>
            <w:r>
              <w:rPr>
                <w:rFonts w:hint="eastAsia"/>
                <w:color w:val="auto"/>
                <w:sz w:val="18"/>
                <w:szCs w:val="18"/>
              </w:rPr>
              <w:t>；</w:t>
            </w:r>
            <w:r>
              <w:rPr>
                <w:color w:val="auto"/>
                <w:sz w:val="18"/>
                <w:szCs w:val="18"/>
              </w:rPr>
              <w:t>人工挖孔</w:t>
            </w:r>
            <w:r>
              <w:rPr>
                <w:rFonts w:hint="eastAsia"/>
                <w:color w:val="auto"/>
                <w:sz w:val="18"/>
                <w:szCs w:val="18"/>
              </w:rPr>
              <w:t>嵌岩桩</w:t>
            </w:r>
            <w:r>
              <w:rPr>
                <w:color w:val="auto"/>
                <w:sz w:val="18"/>
                <w:szCs w:val="18"/>
              </w:rPr>
              <w:t>桩</w:t>
            </w:r>
            <w:r>
              <w:rPr>
                <w:rFonts w:hint="eastAsia"/>
                <w:color w:val="auto"/>
                <w:sz w:val="18"/>
                <w:szCs w:val="18"/>
              </w:rPr>
              <w:t>中心距</w:t>
            </w:r>
            <w:r>
              <w:rPr>
                <w:color w:val="auto"/>
                <w:sz w:val="18"/>
                <w:szCs w:val="18"/>
              </w:rPr>
              <w:t>不宜小于2.5d且不宜小于D+0.5m</w:t>
            </w:r>
            <w:r>
              <w:rPr>
                <w:rFonts w:hint="eastAsia"/>
                <w:color w:val="auto"/>
                <w:sz w:val="18"/>
                <w:szCs w:val="18"/>
              </w:rPr>
              <w:t>；</w:t>
            </w:r>
          </w:p>
          <w:p w14:paraId="374D79D5">
            <w:pPr>
              <w:adjustRightInd w:val="0"/>
              <w:snapToGrid w:val="0"/>
              <w:ind w:left="508" w:hanging="507" w:hangingChars="282"/>
              <w:rPr>
                <w:color w:val="auto"/>
                <w:sz w:val="18"/>
                <w:szCs w:val="18"/>
              </w:rPr>
            </w:pPr>
            <w:r>
              <w:rPr>
                <w:rFonts w:hint="eastAsia"/>
                <w:color w:val="auto"/>
                <w:sz w:val="18"/>
                <w:szCs w:val="18"/>
              </w:rPr>
              <w:t>注6：括号内尺寸为有经验时桩的最小中心距</w:t>
            </w:r>
            <w:r>
              <w:rPr>
                <w:color w:val="auto"/>
                <w:sz w:val="18"/>
                <w:szCs w:val="18"/>
              </w:rPr>
              <w:t>。</w:t>
            </w:r>
          </w:p>
        </w:tc>
      </w:tr>
    </w:tbl>
    <w:p w14:paraId="44F5B861">
      <w:pPr>
        <w:adjustRightInd w:val="0"/>
        <w:snapToGrid w:val="0"/>
        <w:spacing w:before="120" w:line="360" w:lineRule="exact"/>
        <w:rPr>
          <w:color w:val="auto"/>
          <w:szCs w:val="21"/>
        </w:rPr>
      </w:pPr>
      <w:r>
        <w:rPr>
          <w:rFonts w:eastAsia="黑体"/>
          <w:b/>
          <w:color w:val="auto"/>
          <w:szCs w:val="21"/>
        </w:rPr>
        <w:t>12.2.2</w:t>
      </w:r>
      <w:r>
        <w:rPr>
          <w:color w:val="auto"/>
          <w:szCs w:val="21"/>
        </w:rPr>
        <w:t xml:space="preserve">  桩端进入持力层的深度应符合下列要求：</w:t>
      </w:r>
    </w:p>
    <w:p w14:paraId="47772B1D">
      <w:pPr>
        <w:adjustRightInd w:val="0"/>
        <w:snapToGrid w:val="0"/>
        <w:spacing w:line="360" w:lineRule="exact"/>
        <w:rPr>
          <w:color w:val="auto"/>
          <w:szCs w:val="21"/>
        </w:rPr>
      </w:pPr>
      <w:r>
        <w:rPr>
          <w:color w:val="auto"/>
          <w:szCs w:val="21"/>
        </w:rPr>
        <w:t xml:space="preserve">   </w:t>
      </w:r>
      <w:r>
        <w:rPr>
          <w:rFonts w:eastAsia="黑体"/>
          <w:b/>
          <w:color w:val="auto"/>
          <w:szCs w:val="21"/>
        </w:rPr>
        <w:t xml:space="preserve"> a)</w:t>
      </w:r>
      <w:r>
        <w:rPr>
          <w:color w:val="auto"/>
          <w:szCs w:val="21"/>
        </w:rPr>
        <w:t xml:space="preserve">  桩端进入持力层的深度，应根据地质条件、荷载大小和性质以及施工工艺确定， 宜为桩身直径的1倍～3倍。确定桩端进入持力层深度时，尚应考虑特殊土，岩溶等影响。嵌岩灌注桩周边嵌入完整和较完整的未风化、微风化、中风化硬质岩的深度不宜小于0.5m。对于岩溶发育的可溶性岩，桩端入岩深度应符合本文件第11.3.12条</w:t>
      </w:r>
      <w:r>
        <w:rPr>
          <w:rFonts w:hint="eastAsia"/>
          <w:color w:val="auto"/>
          <w:szCs w:val="21"/>
        </w:rPr>
        <w:t>及第</w:t>
      </w:r>
      <w:r>
        <w:rPr>
          <w:color w:val="auto"/>
          <w:szCs w:val="21"/>
        </w:rPr>
        <w:t>11</w:t>
      </w:r>
      <w:r>
        <w:rPr>
          <w:rFonts w:hint="eastAsia"/>
          <w:color w:val="auto"/>
          <w:szCs w:val="21"/>
        </w:rPr>
        <w:t>.3.13条</w:t>
      </w:r>
      <w:r>
        <w:rPr>
          <w:color w:val="auto"/>
          <w:szCs w:val="21"/>
        </w:rPr>
        <w:t>的规定。</w:t>
      </w:r>
      <w:r>
        <w:rPr>
          <w:rFonts w:hint="eastAsia"/>
          <w:color w:val="auto"/>
          <w:szCs w:val="21"/>
        </w:rPr>
        <w:t>当持力层基岩埋深及岩性变化较大时，宜进行施工勘察确定入岩深度。</w:t>
      </w:r>
    </w:p>
    <w:p w14:paraId="3BFBED9C">
      <w:pPr>
        <w:adjustRightInd w:val="0"/>
        <w:snapToGrid w:val="0"/>
        <w:spacing w:line="360" w:lineRule="exact"/>
        <w:ind w:firstLine="361" w:firstLineChars="171"/>
        <w:rPr>
          <w:color w:val="auto"/>
          <w:szCs w:val="21"/>
        </w:rPr>
      </w:pPr>
      <w:r>
        <w:rPr>
          <w:rFonts w:eastAsia="黑体"/>
          <w:b/>
          <w:color w:val="auto"/>
          <w:szCs w:val="21"/>
        </w:rPr>
        <w:t>b)</w:t>
      </w:r>
      <w:r>
        <w:rPr>
          <w:color w:val="auto"/>
          <w:szCs w:val="21"/>
        </w:rPr>
        <w:t xml:space="preserve">  当存在震陷液化土层时，桩端进入持力层的深度应符合本文件第14章的有关规定。</w:t>
      </w:r>
    </w:p>
    <w:p w14:paraId="4C2ACB48">
      <w:pPr>
        <w:adjustRightInd w:val="0"/>
        <w:snapToGrid w:val="0"/>
        <w:spacing w:line="360" w:lineRule="exact"/>
        <w:ind w:firstLine="361" w:firstLineChars="171"/>
        <w:rPr>
          <w:color w:val="auto"/>
          <w:szCs w:val="21"/>
        </w:rPr>
      </w:pPr>
      <w:r>
        <w:rPr>
          <w:rFonts w:eastAsia="黑体"/>
          <w:b/>
          <w:color w:val="auto"/>
          <w:szCs w:val="21"/>
        </w:rPr>
        <w:t>c)</w:t>
      </w:r>
      <w:r>
        <w:rPr>
          <w:color w:val="auto"/>
          <w:szCs w:val="21"/>
        </w:rPr>
        <w:t xml:space="preserve">  当存在软弱下卧层时，桩端下持力层的厚度应满足下卧层强度和变形要求，且不宜小于桩径的4倍，扩底桩端下持力层厚度不宜小于扩底直径的3倍。</w:t>
      </w:r>
    </w:p>
    <w:p w14:paraId="1061EB0F">
      <w:pPr>
        <w:adjustRightInd w:val="0"/>
        <w:snapToGrid w:val="0"/>
        <w:spacing w:line="360" w:lineRule="exact"/>
        <w:ind w:firstLine="361" w:firstLineChars="171"/>
        <w:rPr>
          <w:color w:val="auto"/>
          <w:szCs w:val="21"/>
        </w:rPr>
      </w:pPr>
      <w:r>
        <w:rPr>
          <w:rFonts w:eastAsia="黑体"/>
          <w:b/>
          <w:color w:val="auto"/>
          <w:szCs w:val="21"/>
        </w:rPr>
        <w:t>d)</w:t>
      </w:r>
      <w:r>
        <w:rPr>
          <w:color w:val="auto"/>
          <w:szCs w:val="21"/>
        </w:rPr>
        <w:t xml:space="preserve">  各类预制桩，当采用压桩力或贯入度与桩长双控时，桩端进入持力层（无软弱下卧层）的深度宜以压桩力或贯入度控制为主。</w:t>
      </w:r>
    </w:p>
    <w:p w14:paraId="13963C06">
      <w:pPr>
        <w:adjustRightInd w:val="0"/>
        <w:snapToGrid w:val="0"/>
        <w:spacing w:line="360" w:lineRule="exact"/>
        <w:ind w:firstLine="361" w:firstLineChars="171"/>
        <w:rPr>
          <w:color w:val="auto"/>
          <w:szCs w:val="21"/>
        </w:rPr>
      </w:pPr>
      <w:r>
        <w:rPr>
          <w:rFonts w:eastAsia="黑体"/>
          <w:b/>
          <w:color w:val="auto"/>
          <w:szCs w:val="21"/>
        </w:rPr>
        <w:t>e)</w:t>
      </w:r>
      <w:r>
        <w:rPr>
          <w:color w:val="auto"/>
          <w:szCs w:val="21"/>
        </w:rPr>
        <w:t xml:space="preserve">  同一承台下的桩宜采取措施减少相邻桩之间桩端的标高差。当桩端持力层起伏大时，桩端高差允许值应</w:t>
      </w:r>
      <w:r>
        <w:rPr>
          <w:rFonts w:hint="eastAsia"/>
          <w:color w:val="auto"/>
          <w:szCs w:val="21"/>
        </w:rPr>
        <w:t>考虑</w:t>
      </w:r>
      <w:r>
        <w:rPr>
          <w:color w:val="auto"/>
          <w:szCs w:val="21"/>
        </w:rPr>
        <w:t>持力层稳定</w:t>
      </w:r>
      <w:r>
        <w:rPr>
          <w:rFonts w:hint="eastAsia"/>
          <w:color w:val="auto"/>
          <w:szCs w:val="21"/>
        </w:rPr>
        <w:t>性</w:t>
      </w:r>
      <w:r>
        <w:rPr>
          <w:color w:val="auto"/>
          <w:szCs w:val="21"/>
        </w:rPr>
        <w:t>。</w:t>
      </w:r>
    </w:p>
    <w:p w14:paraId="05CCD539">
      <w:pPr>
        <w:adjustRightInd w:val="0"/>
        <w:snapToGrid w:val="0"/>
        <w:spacing w:line="360" w:lineRule="exact"/>
        <w:ind w:firstLine="28"/>
        <w:rPr>
          <w:color w:val="auto"/>
          <w:szCs w:val="21"/>
        </w:rPr>
      </w:pPr>
      <w:r>
        <w:rPr>
          <w:rFonts w:eastAsia="黑体"/>
          <w:b/>
          <w:color w:val="auto"/>
          <w:szCs w:val="21"/>
        </w:rPr>
        <w:t>12.2.3</w:t>
      </w:r>
      <w:r>
        <w:rPr>
          <w:b/>
          <w:bCs/>
          <w:color w:val="auto"/>
          <w:szCs w:val="21"/>
        </w:rPr>
        <w:t xml:space="preserve"> </w:t>
      </w:r>
      <w:r>
        <w:rPr>
          <w:color w:val="auto"/>
          <w:szCs w:val="21"/>
        </w:rPr>
        <w:t xml:space="preserve"> 桩的主筋应经计算确定。打入式预制桩最小配筋率不宜小于0.8% ；静压预制桩的最小配筋率不宜小于0.6% ；预应力管桩及空心方桩最小配筋率不宜小于0.5%；灌注桩的最小配筋率当桩身直径为</w:t>
      </w:r>
      <w:r>
        <w:rPr>
          <w:rFonts w:hint="eastAsia"/>
          <w:color w:val="auto"/>
          <w:szCs w:val="21"/>
        </w:rPr>
        <w:t>3</w:t>
      </w:r>
      <w:r>
        <w:rPr>
          <w:color w:val="auto"/>
          <w:szCs w:val="21"/>
        </w:rPr>
        <w:t>00mm</w:t>
      </w:r>
      <w:r>
        <w:rPr>
          <w:rFonts w:hint="eastAsia"/>
          <w:color w:val="auto"/>
          <w:szCs w:val="21"/>
        </w:rPr>
        <w:t>、8</w:t>
      </w:r>
      <w:r>
        <w:rPr>
          <w:color w:val="auto"/>
          <w:szCs w:val="21"/>
        </w:rPr>
        <w:t>00mm和</w:t>
      </w:r>
      <w:r>
        <w:rPr>
          <w:rFonts w:hint="eastAsia"/>
          <w:color w:val="auto"/>
          <w:szCs w:val="21"/>
        </w:rPr>
        <w:t>2</w:t>
      </w:r>
      <w:r>
        <w:rPr>
          <w:color w:val="auto"/>
          <w:szCs w:val="21"/>
        </w:rPr>
        <w:t>000mm时分别不宜小于</w:t>
      </w:r>
      <w:r>
        <w:rPr>
          <w:rFonts w:hint="eastAsia"/>
          <w:color w:val="auto"/>
          <w:szCs w:val="21"/>
        </w:rPr>
        <w:t>0</w:t>
      </w:r>
      <w:r>
        <w:rPr>
          <w:color w:val="auto"/>
          <w:szCs w:val="21"/>
        </w:rPr>
        <w:t>.65</w:t>
      </w:r>
      <w:r>
        <w:rPr>
          <w:rFonts w:hint="eastAsia"/>
          <w:color w:val="auto"/>
          <w:szCs w:val="21"/>
        </w:rPr>
        <w:t>%、0</w:t>
      </w:r>
      <w:r>
        <w:rPr>
          <w:color w:val="auto"/>
          <w:szCs w:val="21"/>
        </w:rPr>
        <w:t>.4</w:t>
      </w:r>
      <w:r>
        <w:rPr>
          <w:rFonts w:hint="eastAsia"/>
          <w:color w:val="auto"/>
          <w:szCs w:val="21"/>
        </w:rPr>
        <w:t>%</w:t>
      </w:r>
      <w:r>
        <w:rPr>
          <w:color w:val="auto"/>
          <w:szCs w:val="21"/>
        </w:rPr>
        <w:t>和</w:t>
      </w:r>
      <w:r>
        <w:rPr>
          <w:rFonts w:hint="eastAsia"/>
          <w:color w:val="auto"/>
          <w:szCs w:val="21"/>
        </w:rPr>
        <w:t>0</w:t>
      </w:r>
      <w:r>
        <w:rPr>
          <w:color w:val="auto"/>
          <w:szCs w:val="21"/>
        </w:rPr>
        <w:t>.2</w:t>
      </w:r>
      <w:r>
        <w:rPr>
          <w:rFonts w:hint="eastAsia"/>
          <w:color w:val="auto"/>
          <w:szCs w:val="21"/>
        </w:rPr>
        <w:t>%，</w:t>
      </w:r>
      <w:r>
        <w:rPr>
          <w:color w:val="auto"/>
          <w:szCs w:val="21"/>
        </w:rPr>
        <w:t>其它桩径可按直径分段内插，抗压桩、抗拔桩纵向钢筋直径不应</w:t>
      </w:r>
      <w:r>
        <w:rPr>
          <w:rFonts w:hint="eastAsia"/>
          <w:color w:val="auto"/>
          <w:szCs w:val="21"/>
        </w:rPr>
        <w:t>小于</w:t>
      </w:r>
      <w:r>
        <w:rPr>
          <w:color w:val="auto"/>
          <w:szCs w:val="21"/>
        </w:rPr>
        <w:t>12mm</w:t>
      </w:r>
      <w:r>
        <w:rPr>
          <w:rFonts w:hint="eastAsia"/>
          <w:color w:val="auto"/>
          <w:szCs w:val="21"/>
        </w:rPr>
        <w:t>，根数不应</w:t>
      </w:r>
      <w:r>
        <w:rPr>
          <w:color w:val="auto"/>
          <w:szCs w:val="21"/>
        </w:rPr>
        <w:t>少于6根，受水平荷载的桩纵向钢筋直径不应</w:t>
      </w:r>
      <w:r>
        <w:rPr>
          <w:rFonts w:hint="eastAsia"/>
          <w:color w:val="auto"/>
          <w:szCs w:val="21"/>
        </w:rPr>
        <w:t>小于</w:t>
      </w:r>
      <w:r>
        <w:rPr>
          <w:color w:val="auto"/>
          <w:szCs w:val="21"/>
        </w:rPr>
        <w:t>12mm</w:t>
      </w:r>
      <w:r>
        <w:rPr>
          <w:rFonts w:hint="eastAsia"/>
          <w:color w:val="auto"/>
          <w:szCs w:val="21"/>
        </w:rPr>
        <w:t>，根数不应</w:t>
      </w:r>
      <w:r>
        <w:rPr>
          <w:color w:val="auto"/>
          <w:szCs w:val="21"/>
        </w:rPr>
        <w:t>少于</w:t>
      </w:r>
      <w:r>
        <w:rPr>
          <w:rFonts w:hint="eastAsia"/>
          <w:color w:val="auto"/>
          <w:szCs w:val="21"/>
        </w:rPr>
        <w:t>8</w:t>
      </w:r>
      <w:r>
        <w:rPr>
          <w:color w:val="auto"/>
          <w:szCs w:val="21"/>
        </w:rPr>
        <w:t>根，腐蚀性环境中灌注桩主筋直径不应小于16mm。</w:t>
      </w:r>
    </w:p>
    <w:p w14:paraId="1B620701">
      <w:pPr>
        <w:adjustRightInd w:val="0"/>
        <w:snapToGrid w:val="0"/>
        <w:spacing w:line="360" w:lineRule="exact"/>
        <w:ind w:firstLine="28"/>
        <w:rPr>
          <w:rFonts w:eastAsia="黑体"/>
          <w:b/>
          <w:color w:val="auto"/>
          <w:szCs w:val="21"/>
        </w:rPr>
      </w:pPr>
      <w:r>
        <w:rPr>
          <w:rFonts w:eastAsia="黑体"/>
          <w:b/>
          <w:color w:val="auto"/>
          <w:szCs w:val="21"/>
        </w:rPr>
        <w:t xml:space="preserve">12.2.4  </w:t>
      </w:r>
      <w:r>
        <w:rPr>
          <w:color w:val="auto"/>
          <w:szCs w:val="21"/>
        </w:rPr>
        <w:t>液化土和震陷软土中桩的配筋范围，</w:t>
      </w:r>
      <w:r>
        <w:rPr>
          <w:rFonts w:hint="eastAsia"/>
          <w:color w:val="auto"/>
          <w:szCs w:val="21"/>
        </w:rPr>
        <w:t>应取桩顶至液化土层或震陷软土层底面埋深以下不小于1.0m的范围，且</w:t>
      </w:r>
      <w:r>
        <w:rPr>
          <w:color w:val="auto"/>
          <w:szCs w:val="21"/>
        </w:rPr>
        <w:t>其纵向钢筋应与桩顶</w:t>
      </w:r>
      <w:r>
        <w:rPr>
          <w:rFonts w:hint="eastAsia"/>
          <w:color w:val="auto"/>
          <w:szCs w:val="21"/>
        </w:rPr>
        <w:t>截面</w:t>
      </w:r>
      <w:r>
        <w:rPr>
          <w:color w:val="auto"/>
          <w:szCs w:val="21"/>
        </w:rPr>
        <w:t>相同，箍筋应加粗和加密。</w:t>
      </w:r>
    </w:p>
    <w:p w14:paraId="74277124">
      <w:pPr>
        <w:adjustRightInd w:val="0"/>
        <w:snapToGrid w:val="0"/>
        <w:spacing w:line="360" w:lineRule="exact"/>
        <w:ind w:firstLine="28"/>
        <w:rPr>
          <w:color w:val="auto"/>
          <w:szCs w:val="21"/>
        </w:rPr>
      </w:pPr>
      <w:r>
        <w:rPr>
          <w:rFonts w:eastAsia="黑体"/>
          <w:b/>
          <w:color w:val="auto"/>
          <w:szCs w:val="21"/>
        </w:rPr>
        <w:t>12.2.5</w:t>
      </w:r>
      <w:r>
        <w:rPr>
          <w:b/>
          <w:bCs/>
          <w:color w:val="auto"/>
          <w:szCs w:val="21"/>
        </w:rPr>
        <w:t xml:space="preserve"> </w:t>
      </w:r>
      <w:r>
        <w:rPr>
          <w:color w:val="auto"/>
          <w:szCs w:val="21"/>
        </w:rPr>
        <w:t xml:space="preserve"> 桩身配筋长度应符合下列规定：</w:t>
      </w:r>
    </w:p>
    <w:p w14:paraId="3B6E11E7">
      <w:pPr>
        <w:adjustRightInd w:val="0"/>
        <w:snapToGrid w:val="0"/>
        <w:spacing w:line="360" w:lineRule="exact"/>
        <w:ind w:firstLine="422" w:firstLineChars="200"/>
        <w:rPr>
          <w:color w:val="auto"/>
          <w:szCs w:val="21"/>
        </w:rPr>
      </w:pPr>
      <w:r>
        <w:rPr>
          <w:rFonts w:eastAsia="黑体"/>
          <w:b/>
          <w:color w:val="auto"/>
          <w:szCs w:val="21"/>
        </w:rPr>
        <w:t>a)</w:t>
      </w:r>
      <w:r>
        <w:rPr>
          <w:color w:val="auto"/>
          <w:szCs w:val="21"/>
        </w:rPr>
        <w:t xml:space="preserve">  桩基承台下存在淤泥、淤泥质土或液化土层时，其纵筋应穿过淤泥、淤泥质土或液化土层，进入下部土层深度不应小于2倍桩径，且不应小于1m。</w:t>
      </w:r>
    </w:p>
    <w:p w14:paraId="2845DE18">
      <w:pPr>
        <w:adjustRightInd w:val="0"/>
        <w:snapToGrid w:val="0"/>
        <w:spacing w:line="360" w:lineRule="exact"/>
        <w:ind w:firstLine="422" w:firstLineChars="200"/>
        <w:rPr>
          <w:color w:val="auto"/>
          <w:szCs w:val="21"/>
        </w:rPr>
      </w:pPr>
      <w:r>
        <w:rPr>
          <w:rFonts w:eastAsia="黑体"/>
          <w:b/>
          <w:color w:val="auto"/>
          <w:szCs w:val="21"/>
        </w:rPr>
        <w:t>b)</w:t>
      </w:r>
      <w:r>
        <w:rPr>
          <w:color w:val="auto"/>
          <w:szCs w:val="21"/>
        </w:rPr>
        <w:t xml:space="preserve">  灌注桩纵向构造钢筋的长度</w:t>
      </w:r>
      <w:r>
        <w:rPr>
          <w:rFonts w:hint="eastAsia"/>
          <w:color w:val="auto"/>
          <w:szCs w:val="21"/>
        </w:rPr>
        <w:t>不应</w:t>
      </w:r>
      <w:r>
        <w:rPr>
          <w:color w:val="auto"/>
          <w:szCs w:val="21"/>
        </w:rPr>
        <w:t>小于桩长的2/3；大直径钻（冲）孔桩主筋宜通长设置或部分通长设置。桩施工在基坑开挖前完成时，其钢筋长度不宜小于基坑深度的1.5倍。</w:t>
      </w:r>
    </w:p>
    <w:p w14:paraId="3ED09E90">
      <w:pPr>
        <w:adjustRightInd w:val="0"/>
        <w:snapToGrid w:val="0"/>
        <w:spacing w:line="360" w:lineRule="exact"/>
        <w:ind w:firstLine="422" w:firstLineChars="200"/>
        <w:rPr>
          <w:color w:val="auto"/>
          <w:szCs w:val="21"/>
        </w:rPr>
      </w:pPr>
      <w:r>
        <w:rPr>
          <w:rFonts w:eastAsia="黑体"/>
          <w:b/>
          <w:color w:val="auto"/>
          <w:szCs w:val="21"/>
        </w:rPr>
        <w:t>c)</w:t>
      </w:r>
      <w:r>
        <w:rPr>
          <w:color w:val="auto"/>
          <w:szCs w:val="21"/>
        </w:rPr>
        <w:t xml:space="preserve">  受水平荷载和弯矩较大的桩，配筋量及长度应通过计算确定。</w:t>
      </w:r>
    </w:p>
    <w:p w14:paraId="16C0AC5A">
      <w:pPr>
        <w:adjustRightInd w:val="0"/>
        <w:snapToGrid w:val="0"/>
        <w:spacing w:line="360" w:lineRule="exact"/>
        <w:ind w:firstLine="422" w:firstLineChars="200"/>
        <w:rPr>
          <w:color w:val="auto"/>
          <w:szCs w:val="21"/>
        </w:rPr>
      </w:pPr>
      <w:r>
        <w:rPr>
          <w:rFonts w:eastAsia="黑体"/>
          <w:b/>
          <w:color w:val="auto"/>
          <w:szCs w:val="21"/>
        </w:rPr>
        <w:t>d)</w:t>
      </w:r>
      <w:r>
        <w:rPr>
          <w:b/>
          <w:bCs/>
          <w:color w:val="auto"/>
          <w:szCs w:val="21"/>
        </w:rPr>
        <w:t xml:space="preserve">  </w:t>
      </w:r>
      <w:r>
        <w:rPr>
          <w:color w:val="auto"/>
          <w:szCs w:val="21"/>
        </w:rPr>
        <w:t>端承型桩和位于坡地、岸边的桩，抗拔桩，纵向钢筋应通长配置。</w:t>
      </w:r>
    </w:p>
    <w:p w14:paraId="1F8E4BD3">
      <w:pPr>
        <w:adjustRightInd w:val="0"/>
        <w:snapToGrid w:val="0"/>
        <w:spacing w:line="360" w:lineRule="exact"/>
        <w:ind w:firstLine="14"/>
        <w:rPr>
          <w:color w:val="auto"/>
          <w:szCs w:val="21"/>
        </w:rPr>
      </w:pPr>
      <w:r>
        <w:rPr>
          <w:rFonts w:eastAsia="黑体"/>
          <w:b/>
          <w:color w:val="auto"/>
          <w:szCs w:val="21"/>
        </w:rPr>
        <w:t>12.2.6</w:t>
      </w:r>
      <w:r>
        <w:rPr>
          <w:b/>
          <w:bCs/>
          <w:color w:val="auto"/>
          <w:szCs w:val="21"/>
        </w:rPr>
        <w:t xml:space="preserve"> </w:t>
      </w:r>
      <w:r>
        <w:rPr>
          <w:color w:val="auto"/>
          <w:szCs w:val="21"/>
        </w:rPr>
        <w:t xml:space="preserve"> 灌注桩的箍筋直径不应小于6mm，箍筋间距可采用200mm～300mm。承受水平力较大的桩基、承受水平地震力的桩基以及考虑主筋参与桩身受压承载力计算时，桩顶不小于5倍桩身直径范围内的箍筋应加密；间距不应大于100mm，当考虑箍筋受力作用时，其配置应符合GB/T</w:t>
      </w:r>
      <w:r>
        <w:rPr>
          <w:rFonts w:hint="eastAsia"/>
          <w:color w:val="auto"/>
          <w:szCs w:val="21"/>
          <w:lang w:val="en-US" w:eastAsia="zh-CN"/>
        </w:rPr>
        <w:t xml:space="preserve"> </w:t>
      </w:r>
      <w:r>
        <w:rPr>
          <w:color w:val="auto"/>
          <w:szCs w:val="21"/>
        </w:rPr>
        <w:t>50010的有关规定。当钢筋笼长超过4m时，应每隔2m左右设一道焊接加强箍，加强箍直径不应小于12mm，大直径桩的加强箍直径不应小于16mm。</w:t>
      </w:r>
    </w:p>
    <w:p w14:paraId="6458398F">
      <w:pPr>
        <w:adjustRightInd w:val="0"/>
        <w:snapToGrid w:val="0"/>
        <w:spacing w:line="360" w:lineRule="exact"/>
        <w:ind w:firstLine="14"/>
        <w:rPr>
          <w:color w:val="auto"/>
          <w:szCs w:val="21"/>
        </w:rPr>
      </w:pPr>
      <w:r>
        <w:rPr>
          <w:rFonts w:eastAsia="黑体"/>
          <w:b/>
          <w:color w:val="auto"/>
          <w:szCs w:val="21"/>
        </w:rPr>
        <w:t>12.2.7</w:t>
      </w:r>
      <w:r>
        <w:rPr>
          <w:b/>
          <w:bCs/>
          <w:color w:val="auto"/>
          <w:szCs w:val="21"/>
        </w:rPr>
        <w:t xml:space="preserve"> </w:t>
      </w:r>
      <w:r>
        <w:rPr>
          <w:color w:val="auto"/>
          <w:szCs w:val="21"/>
        </w:rPr>
        <w:t xml:space="preserve"> 纵向受力钢筋混凝土保护层厚度</w:t>
      </w:r>
      <w:r>
        <w:rPr>
          <w:rFonts w:hint="eastAsia"/>
          <w:color w:val="auto"/>
          <w:szCs w:val="21"/>
        </w:rPr>
        <w:t>灌注桩</w:t>
      </w:r>
      <w:r>
        <w:rPr>
          <w:color w:val="auto"/>
          <w:szCs w:val="21"/>
        </w:rPr>
        <w:t>不应小于50mm，预制桩不应小于45mm，预应力混凝土桩不</w:t>
      </w:r>
      <w:r>
        <w:rPr>
          <w:rFonts w:hint="eastAsia"/>
          <w:color w:val="auto"/>
          <w:szCs w:val="21"/>
        </w:rPr>
        <w:t>应</w:t>
      </w:r>
      <w:r>
        <w:rPr>
          <w:color w:val="auto"/>
          <w:szCs w:val="21"/>
        </w:rPr>
        <w:t>小于35mm，在侵蚀性环境中，上述保护层厚度应适当增加，灌注桩不应小于55mm。</w:t>
      </w:r>
    </w:p>
    <w:p w14:paraId="43E9CB76">
      <w:pPr>
        <w:adjustRightInd w:val="0"/>
        <w:snapToGrid w:val="0"/>
        <w:spacing w:line="360" w:lineRule="exact"/>
        <w:ind w:firstLine="14"/>
        <w:rPr>
          <w:color w:val="auto"/>
          <w:szCs w:val="21"/>
        </w:rPr>
      </w:pPr>
      <w:r>
        <w:rPr>
          <w:rFonts w:eastAsia="黑体"/>
          <w:b/>
          <w:color w:val="auto"/>
          <w:szCs w:val="21"/>
        </w:rPr>
        <w:t>12.2.8</w:t>
      </w:r>
      <w:r>
        <w:rPr>
          <w:color w:val="auto"/>
          <w:szCs w:val="21"/>
        </w:rPr>
        <w:t xml:space="preserve">  对于一柱一桩的大直径灌注桩，可设置承台或将桩和柱直接连接。当桩和柱直接连接时，柱边至桩周边之间最小间距及桩顶配筋应满足本文件表59及表60的要求，并进行局部承压验算。当柱与桩的连接不能满足固接要求时，则应在二个方向设置连系梁，连系梁的截面和配筋应</w:t>
      </w:r>
      <w:r>
        <w:rPr>
          <w:rFonts w:hint="eastAsia"/>
          <w:color w:val="auto"/>
          <w:szCs w:val="21"/>
        </w:rPr>
        <w:t>经</w:t>
      </w:r>
      <w:r>
        <w:rPr>
          <w:color w:val="auto"/>
          <w:szCs w:val="21"/>
        </w:rPr>
        <w:t>计算确定。</w:t>
      </w:r>
    </w:p>
    <w:p w14:paraId="2A70B75F">
      <w:pPr>
        <w:adjustRightInd w:val="0"/>
        <w:snapToGrid w:val="0"/>
        <w:spacing w:line="360" w:lineRule="exact"/>
        <w:ind w:firstLine="14"/>
        <w:rPr>
          <w:color w:val="auto"/>
          <w:szCs w:val="21"/>
        </w:rPr>
      </w:pPr>
      <w:r>
        <w:rPr>
          <w:rFonts w:eastAsia="黑体"/>
          <w:b/>
          <w:color w:val="auto"/>
          <w:szCs w:val="21"/>
        </w:rPr>
        <w:t>12.2.9</w:t>
      </w:r>
      <w:r>
        <w:rPr>
          <w:color w:val="auto"/>
          <w:szCs w:val="21"/>
        </w:rPr>
        <w:t xml:space="preserve">  多层砌体结构建筑大直径人工挖孔桩上的基础梁与桩的连接，宜设置与桩顶截面一致的桩帽。桩帽底可与基础梁底标高一致，并与基础梁一次浇注。</w:t>
      </w:r>
    </w:p>
    <w:p w14:paraId="37D16605">
      <w:pPr>
        <w:adjustRightInd w:val="0"/>
        <w:snapToGrid w:val="0"/>
        <w:spacing w:line="360" w:lineRule="atLeast"/>
        <w:ind w:firstLine="28"/>
        <w:rPr>
          <w:color w:val="auto"/>
          <w:szCs w:val="21"/>
        </w:rPr>
      </w:pPr>
      <w:r>
        <w:rPr>
          <w:rFonts w:eastAsia="黑体"/>
          <w:b/>
          <w:color w:val="auto"/>
          <w:szCs w:val="21"/>
        </w:rPr>
        <w:t xml:space="preserve">12.2.10 </w:t>
      </w:r>
      <w:r>
        <w:rPr>
          <w:color w:val="auto"/>
          <w:szCs w:val="21"/>
        </w:rPr>
        <w:t xml:space="preserve"> 布置桩位时，宜使桩基的承载力合力点与竖向永久荷载合力作用点重合，且宜将桩布置于柱、墙下或基础梁下，当必须在底层门窗洞口下布桩时，除满足强度计算外，</w:t>
      </w:r>
      <w:r>
        <w:rPr>
          <w:rFonts w:hint="eastAsia"/>
          <w:color w:val="auto"/>
          <w:szCs w:val="21"/>
        </w:rPr>
        <w:t>尚</w:t>
      </w:r>
      <w:r>
        <w:rPr>
          <w:color w:val="auto"/>
          <w:szCs w:val="21"/>
        </w:rPr>
        <w:t>应加强基础梁和墙体刚度。</w:t>
      </w:r>
    </w:p>
    <w:p w14:paraId="753C840C">
      <w:pPr>
        <w:adjustRightInd w:val="0"/>
        <w:snapToGrid w:val="0"/>
        <w:spacing w:line="360" w:lineRule="atLeast"/>
        <w:rPr>
          <w:color w:val="auto"/>
          <w:szCs w:val="21"/>
        </w:rPr>
      </w:pPr>
      <w:r>
        <w:rPr>
          <w:rFonts w:eastAsia="黑体"/>
          <w:b/>
          <w:color w:val="auto"/>
          <w:szCs w:val="21"/>
        </w:rPr>
        <w:t>12.2.11</w:t>
      </w:r>
      <w:r>
        <w:rPr>
          <w:color w:val="auto"/>
          <w:szCs w:val="21"/>
        </w:rPr>
        <w:t xml:space="preserve">  桩顶嵌入承台内的长度不应小于50mm，大直径桩和承受水平力为主的桩不宜小于100mm。主筋伸入承台内的锚固长度不宜小于钢筋直径的35倍。</w:t>
      </w:r>
    </w:p>
    <w:p w14:paraId="6D4B9C7C">
      <w:pPr>
        <w:adjustRightInd w:val="0"/>
        <w:snapToGrid w:val="0"/>
        <w:spacing w:line="360" w:lineRule="atLeast"/>
        <w:rPr>
          <w:color w:val="auto"/>
          <w:szCs w:val="21"/>
        </w:rPr>
      </w:pPr>
    </w:p>
    <w:p w14:paraId="3CC0CDA6">
      <w:pPr>
        <w:adjustRightInd w:val="0"/>
        <w:snapToGrid w:val="0"/>
        <w:spacing w:line="340" w:lineRule="exact"/>
        <w:outlineLvl w:val="1"/>
        <w:rPr>
          <w:rFonts w:eastAsia="黑体"/>
          <w:b/>
          <w:bCs/>
          <w:color w:val="auto"/>
          <w:szCs w:val="21"/>
        </w:rPr>
      </w:pPr>
      <w:bookmarkStart w:id="66" w:name="_Toc199943610"/>
      <w:r>
        <w:rPr>
          <w:rFonts w:eastAsia="黑体"/>
          <w:b/>
          <w:bCs/>
          <w:color w:val="auto"/>
          <w:szCs w:val="21"/>
        </w:rPr>
        <w:t>12.3   桩基承载力计算</w:t>
      </w:r>
      <w:bookmarkEnd w:id="66"/>
    </w:p>
    <w:p w14:paraId="0D70FEDC">
      <w:pPr>
        <w:adjustRightInd w:val="0"/>
        <w:snapToGrid w:val="0"/>
        <w:spacing w:line="360" w:lineRule="atLeast"/>
        <w:jc w:val="center"/>
        <w:rPr>
          <w:b/>
          <w:bCs/>
          <w:color w:val="auto"/>
          <w:szCs w:val="21"/>
        </w:rPr>
      </w:pPr>
    </w:p>
    <w:p w14:paraId="125C88F0">
      <w:pPr>
        <w:adjustRightInd w:val="0"/>
        <w:snapToGrid w:val="0"/>
        <w:spacing w:line="340" w:lineRule="atLeast"/>
        <w:rPr>
          <w:color w:val="auto"/>
          <w:szCs w:val="21"/>
        </w:rPr>
      </w:pPr>
      <w:r>
        <w:rPr>
          <w:rFonts w:eastAsia="黑体"/>
          <w:b/>
          <w:color w:val="auto"/>
          <w:szCs w:val="21"/>
        </w:rPr>
        <w:t>12.3.1</w:t>
      </w:r>
      <w:r>
        <w:rPr>
          <w:color w:val="auto"/>
          <w:szCs w:val="21"/>
        </w:rPr>
        <w:t xml:space="preserve">  群桩中单桩桩顶</w:t>
      </w:r>
      <w:r>
        <w:rPr>
          <w:rFonts w:hint="eastAsia"/>
          <w:color w:val="auto"/>
          <w:szCs w:val="21"/>
        </w:rPr>
        <w:t>作用</w:t>
      </w:r>
      <w:r>
        <w:rPr>
          <w:color w:val="auto"/>
          <w:szCs w:val="21"/>
        </w:rPr>
        <w:t>力应按</w:t>
      </w:r>
      <w:r>
        <w:rPr>
          <w:rFonts w:hint="eastAsia"/>
          <w:color w:val="auto"/>
          <w:lang w:val="en-US" w:eastAsia="zh-CN"/>
        </w:rPr>
        <w:t>公式（68）~（71）</w:t>
      </w:r>
      <w:r>
        <w:rPr>
          <w:color w:val="auto"/>
          <w:szCs w:val="21"/>
        </w:rPr>
        <w:t>计算：</w:t>
      </w:r>
    </w:p>
    <w:p w14:paraId="59099B83">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轴心竖向力作用下</w:t>
      </w:r>
    </w:p>
    <w:p w14:paraId="061D85A6">
      <w:pPr>
        <w:pStyle w:val="12"/>
        <w:jc w:val="right"/>
        <w:rPr>
          <w:color w:val="auto"/>
          <w:szCs w:val="21"/>
        </w:rPr>
      </w:pPr>
      <w:r>
        <w:rPr>
          <w:color w:val="auto"/>
          <w:position w:val="-24"/>
          <w:szCs w:val="21"/>
        </w:rPr>
        <w:object>
          <v:shape id="_x0000_i1345" o:spt="75" type="#_x0000_t75" style="height:28.5pt;width:57.75pt;" o:ole="t" filled="f" o:preferrelative="t" stroked="f" coordsize="21600,21600">
            <v:path/>
            <v:fill on="f" focussize="0,0"/>
            <v:stroke on="f" joinstyle="miter"/>
            <v:imagedata r:id="rId627" o:title=""/>
            <o:lock v:ext="edit" aspectratio="t"/>
            <w10:wrap type="none"/>
            <w10:anchorlock/>
          </v:shape>
          <o:OLEObject Type="Embed" ProgID="Equation.DSMT4" ShapeID="_x0000_i1345" DrawAspect="Content" ObjectID="_1468076045" r:id="rId626">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68</w:t>
      </w:r>
      <w:r>
        <w:rPr>
          <w:color w:val="auto"/>
          <w:szCs w:val="21"/>
        </w:rPr>
        <w:fldChar w:fldCharType="end"/>
      </w:r>
      <w:r>
        <w:rPr>
          <w:color w:val="auto"/>
          <w:szCs w:val="21"/>
        </w:rPr>
        <w:t>)</w:t>
      </w:r>
    </w:p>
    <w:p w14:paraId="74C70377">
      <w:pPr>
        <w:adjustRightInd w:val="0"/>
        <w:snapToGrid w:val="0"/>
        <w:spacing w:line="360" w:lineRule="atLeast"/>
        <w:ind w:firstLine="742"/>
        <w:rPr>
          <w:color w:val="auto"/>
          <w:szCs w:val="21"/>
        </w:rPr>
      </w:pPr>
      <w:r>
        <w:rPr>
          <w:color w:val="auto"/>
          <w:szCs w:val="21"/>
        </w:rPr>
        <w:t>偏心竖向力作用下</w:t>
      </w:r>
    </w:p>
    <w:p w14:paraId="17AF53E4">
      <w:pPr>
        <w:pStyle w:val="12"/>
        <w:jc w:val="right"/>
        <w:rPr>
          <w:color w:val="auto"/>
          <w:szCs w:val="21"/>
        </w:rPr>
      </w:pPr>
      <w:r>
        <w:rPr>
          <w:color w:val="auto"/>
          <w:position w:val="-62"/>
          <w:szCs w:val="21"/>
        </w:rPr>
        <w:object>
          <v:shape id="_x0000_i1346" o:spt="75" type="#_x0000_t75" style="height:51pt;width:136.5pt;" o:ole="t" filled="f" o:preferrelative="t" stroked="f" coordsize="21600,21600">
            <v:path/>
            <v:fill on="f" focussize="0,0"/>
            <v:stroke on="f" joinstyle="miter"/>
            <v:imagedata r:id="rId629" o:title=""/>
            <o:lock v:ext="edit" aspectratio="t"/>
            <w10:wrap type="none"/>
            <w10:anchorlock/>
          </v:shape>
          <o:OLEObject Type="Embed" ProgID="Equation.DSMT4" ShapeID="_x0000_i1346" DrawAspect="Content" ObjectID="_1468076046" r:id="rId628">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69</w:t>
      </w:r>
      <w:r>
        <w:rPr>
          <w:color w:val="auto"/>
          <w:szCs w:val="21"/>
        </w:rPr>
        <w:fldChar w:fldCharType="end"/>
      </w:r>
      <w:r>
        <w:rPr>
          <w:color w:val="auto"/>
          <w:szCs w:val="21"/>
        </w:rPr>
        <w:t>)</w:t>
      </w:r>
    </w:p>
    <w:p w14:paraId="1CFEB3FD">
      <w:pPr>
        <w:adjustRightInd w:val="0"/>
        <w:snapToGrid w:val="0"/>
        <w:spacing w:line="360" w:lineRule="atLeast"/>
        <w:ind w:firstLine="567"/>
        <w:rPr>
          <w:color w:val="auto"/>
          <w:szCs w:val="21"/>
        </w:rPr>
      </w:pPr>
      <w:r>
        <w:rPr>
          <w:rFonts w:eastAsia="黑体"/>
          <w:b/>
          <w:color w:val="auto"/>
          <w:szCs w:val="21"/>
        </w:rPr>
        <w:t>b)</w:t>
      </w:r>
      <w:r>
        <w:rPr>
          <w:color w:val="auto"/>
          <w:szCs w:val="21"/>
        </w:rPr>
        <w:t xml:space="preserve">  水平力作用下</w:t>
      </w:r>
    </w:p>
    <w:p w14:paraId="3AA06943">
      <w:pPr>
        <w:pStyle w:val="12"/>
        <w:jc w:val="right"/>
        <w:rPr>
          <w:color w:val="auto"/>
          <w:szCs w:val="21"/>
        </w:rPr>
      </w:pPr>
      <w:r>
        <w:rPr>
          <w:color w:val="auto"/>
          <w:position w:val="-24"/>
          <w:szCs w:val="21"/>
        </w:rPr>
        <w:object>
          <v:shape id="_x0000_i1347" o:spt="75" type="#_x0000_t75" style="height:28.5pt;width:43.5pt;" o:ole="t" filled="f" o:preferrelative="t" stroked="f" coordsize="21600,21600">
            <v:path/>
            <v:fill on="f" focussize="0,0"/>
            <v:stroke on="f" joinstyle="miter"/>
            <v:imagedata r:id="rId631" o:title=""/>
            <o:lock v:ext="edit" aspectratio="t"/>
            <w10:wrap type="none"/>
            <w10:anchorlock/>
          </v:shape>
          <o:OLEObject Type="Embed" ProgID="Equation.DSMT4" ShapeID="_x0000_i1347" DrawAspect="Content" ObjectID="_1468076047" r:id="rId63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70</w:t>
      </w:r>
      <w:r>
        <w:rPr>
          <w:color w:val="auto"/>
          <w:szCs w:val="21"/>
        </w:rPr>
        <w:fldChar w:fldCharType="end"/>
      </w:r>
      <w:r>
        <w:rPr>
          <w:color w:val="auto"/>
          <w:szCs w:val="21"/>
        </w:rPr>
        <w:t>)</w:t>
      </w:r>
    </w:p>
    <w:p w14:paraId="6DC48149">
      <w:pPr>
        <w:tabs>
          <w:tab w:val="left" w:pos="7184"/>
        </w:tabs>
        <w:snapToGrid w:val="0"/>
        <w:spacing w:line="400" w:lineRule="atLeast"/>
        <w:ind w:firstLine="420" w:firstLineChars="200"/>
        <w:rPr>
          <w:color w:val="auto"/>
          <w:szCs w:val="21"/>
        </w:rPr>
      </w:pPr>
      <w:r>
        <w:rPr>
          <w:color w:val="auto"/>
          <w:szCs w:val="21"/>
        </w:rPr>
        <w:t>c)</w:t>
      </w:r>
      <w:r>
        <w:rPr>
          <w:rFonts w:hint="eastAsia"/>
          <w:color w:val="auto"/>
          <w:szCs w:val="21"/>
        </w:rPr>
        <w:t xml:space="preserve">  浮力作用下单根抗浮桩的上拔力计算：</w:t>
      </w:r>
      <w:r>
        <w:rPr>
          <w:color w:val="auto"/>
          <w:szCs w:val="21"/>
        </w:rPr>
        <w:t xml:space="preserve"> </w:t>
      </w:r>
    </w:p>
    <w:p w14:paraId="2C75A6CE">
      <w:pPr>
        <w:tabs>
          <w:tab w:val="left" w:pos="7184"/>
        </w:tabs>
        <w:snapToGrid w:val="0"/>
        <w:spacing w:line="400" w:lineRule="atLeast"/>
        <w:ind w:firstLine="420" w:firstLineChars="200"/>
        <w:rPr>
          <w:color w:val="auto"/>
          <w:szCs w:val="21"/>
          <w:u w:val="single"/>
        </w:rPr>
      </w:pPr>
    </w:p>
    <w:p w14:paraId="3A7D5160">
      <w:pPr>
        <w:tabs>
          <w:tab w:val="left" w:pos="7184"/>
        </w:tabs>
        <w:snapToGrid w:val="0"/>
        <w:spacing w:line="400" w:lineRule="atLeast"/>
        <w:ind w:firstLine="4410" w:firstLineChars="2100"/>
        <w:rPr>
          <w:color w:val="auto"/>
          <w:szCs w:val="21"/>
          <w:u w:val="single"/>
        </w:rPr>
      </w:pPr>
      <w:r>
        <w:rPr>
          <w:color w:val="auto"/>
          <w:position w:val="-24"/>
          <w:szCs w:val="21"/>
        </w:rPr>
        <w:object>
          <v:shape id="_x0000_i1348" o:spt="75" type="#_x0000_t75" style="height:30.75pt;width:86.25pt;" o:ole="t" filled="f" o:preferrelative="t" stroked="f" coordsize="21600,21600">
            <v:path/>
            <v:fill on="f" focussize="0,0"/>
            <v:stroke on="f" joinstyle="miter"/>
            <v:imagedata r:id="rId633" o:title=""/>
            <o:lock v:ext="edit" aspectratio="t"/>
            <w10:wrap type="none"/>
            <w10:anchorlock/>
          </v:shape>
          <o:OLEObject Type="Embed" ProgID="Equation.DSMT4" ShapeID="_x0000_i1348" DrawAspect="Content" ObjectID="_1468076048" r:id="rId632">
            <o:LockedField>false</o:LockedField>
          </o:OLEObject>
        </w:object>
      </w:r>
      <w:r>
        <w:rPr>
          <w:rFonts w:hint="eastAsia"/>
          <w:color w:val="auto"/>
          <w:kern w:val="0"/>
          <w:szCs w:val="21"/>
        </w:rPr>
        <w:t xml:space="preserve">      </w:t>
      </w:r>
      <w:r>
        <w:rPr>
          <w:color w:val="auto"/>
          <w:kern w:val="0"/>
          <w:szCs w:val="21"/>
        </w:rPr>
        <w:t xml:space="preserve">               </w:t>
      </w:r>
      <w:r>
        <w:rPr>
          <w:rFonts w:hint="eastAsia"/>
          <w:color w:val="auto"/>
          <w:kern w:val="0"/>
          <w:szCs w:val="21"/>
        </w:rPr>
        <w:t xml:space="preserve">   </w:t>
      </w:r>
      <w:r>
        <w:rPr>
          <w:rFonts w:hint="eastAsia"/>
          <w:color w:val="auto"/>
          <w:szCs w:val="21"/>
        </w:rPr>
        <w:t xml:space="preserve"> (</w:t>
      </w:r>
      <w:r>
        <w:rPr>
          <w:color w:val="auto"/>
          <w:szCs w:val="21"/>
        </w:rPr>
        <w:fldChar w:fldCharType="begin"/>
      </w:r>
      <w:r>
        <w:rPr>
          <w:color w:val="auto"/>
          <w:szCs w:val="21"/>
        </w:rPr>
        <w:instrText xml:space="preserve"> </w:instrText>
      </w:r>
      <w:r>
        <w:rPr>
          <w:rFonts w:hint="eastAsia"/>
          <w:color w:val="auto"/>
          <w:szCs w:val="21"/>
        </w:rPr>
        <w:instrText xml:space="preserve">SEQ Equation \* ARABIC</w:instrText>
      </w:r>
      <w:r>
        <w:rPr>
          <w:color w:val="auto"/>
          <w:szCs w:val="21"/>
        </w:rPr>
        <w:instrText xml:space="preserve"> </w:instrText>
      </w:r>
      <w:r>
        <w:rPr>
          <w:color w:val="auto"/>
          <w:szCs w:val="21"/>
        </w:rPr>
        <w:fldChar w:fldCharType="separate"/>
      </w:r>
      <w:r>
        <w:rPr>
          <w:color w:val="auto"/>
          <w:szCs w:val="21"/>
        </w:rPr>
        <w:t>71</w:t>
      </w:r>
      <w:r>
        <w:rPr>
          <w:color w:val="auto"/>
          <w:szCs w:val="21"/>
        </w:rPr>
        <w:fldChar w:fldCharType="end"/>
      </w:r>
      <w:r>
        <w:rPr>
          <w:rFonts w:hint="eastAsia"/>
          <w:color w:val="auto"/>
          <w:szCs w:val="21"/>
        </w:rPr>
        <w:t>)</w:t>
      </w:r>
    </w:p>
    <w:p w14:paraId="2CBAAA9D">
      <w:pPr>
        <w:adjustRightInd w:val="0"/>
        <w:snapToGrid w:val="0"/>
        <w:spacing w:line="340" w:lineRule="exact"/>
        <w:ind w:left="1344" w:hanging="1344" w:hangingChars="640"/>
        <w:rPr>
          <w:color w:val="auto"/>
          <w:szCs w:val="21"/>
        </w:rPr>
      </w:pPr>
      <w:r>
        <w:rPr>
          <w:color w:val="auto"/>
          <w:szCs w:val="21"/>
        </w:rPr>
        <w:t xml:space="preserve">式中  </w:t>
      </w:r>
      <w:r>
        <w:rPr>
          <w:color w:val="auto"/>
          <w:position w:val="-12"/>
          <w:szCs w:val="21"/>
        </w:rPr>
        <w:object>
          <v:shape id="_x0000_i1349" o:spt="75" type="#_x0000_t75" style="height:21.75pt;width:15pt;" o:ole="t" filled="f" o:preferrelative="t" stroked="f" coordsize="21600,21600">
            <v:path/>
            <v:fill on="f" focussize="0,0"/>
            <v:stroke on="f" joinstyle="miter"/>
            <v:imagedata r:id="rId635" o:title=""/>
            <o:lock v:ext="edit" aspectratio="t"/>
            <w10:wrap type="none"/>
            <w10:anchorlock/>
          </v:shape>
          <o:OLEObject Type="Embed" ProgID="Equation.DSMT4" ShapeID="_x0000_i1349" DrawAspect="Content" ObjectID="_1468076049" r:id="rId634">
            <o:LockedField>false</o:LockedField>
          </o:OLEObject>
        </w:object>
      </w:r>
      <w:r>
        <w:rPr>
          <w:color w:val="auto"/>
          <w:szCs w:val="21"/>
        </w:rPr>
        <w:t>——相应于作用的标准组合时，上部结构传至桩基承台顶面的竖向力；</w:t>
      </w:r>
    </w:p>
    <w:p w14:paraId="2E90DEAD">
      <w:pPr>
        <w:tabs>
          <w:tab w:val="left" w:pos="1418"/>
        </w:tabs>
        <w:adjustRightInd w:val="0"/>
        <w:snapToGrid w:val="0"/>
        <w:spacing w:line="340" w:lineRule="exact"/>
        <w:ind w:firstLine="392"/>
        <w:rPr>
          <w:color w:val="auto"/>
          <w:szCs w:val="21"/>
        </w:rPr>
      </w:pPr>
      <w:r>
        <w:rPr>
          <w:color w:val="auto"/>
          <w:szCs w:val="21"/>
        </w:rPr>
        <w:t xml:space="preserve">  </w:t>
      </w:r>
      <w:r>
        <w:rPr>
          <w:color w:val="auto"/>
          <w:position w:val="-12"/>
          <w:szCs w:val="21"/>
        </w:rPr>
        <w:object>
          <v:shape id="_x0000_i1350" o:spt="75" type="#_x0000_t75" style="height:21.75pt;width:15pt;" o:ole="t" filled="f" o:preferrelative="t" stroked="f" coordsize="21600,21600">
            <v:path/>
            <v:fill on="f" focussize="0,0"/>
            <v:stroke on="f" joinstyle="miter"/>
            <v:imagedata r:id="rId637" o:title=""/>
            <o:lock v:ext="edit" aspectratio="t"/>
            <w10:wrap type="none"/>
            <w10:anchorlock/>
          </v:shape>
          <o:OLEObject Type="Embed" ProgID="Equation.DSMT4" ShapeID="_x0000_i1350" DrawAspect="Content" ObjectID="_1468076050" r:id="rId636">
            <o:LockedField>false</o:LockedField>
          </o:OLEObject>
        </w:object>
      </w:r>
      <w:r>
        <w:rPr>
          <w:color w:val="auto"/>
          <w:szCs w:val="21"/>
        </w:rPr>
        <w:t>——桩基承台自重及承台上土自重标准值；</w:t>
      </w:r>
    </w:p>
    <w:p w14:paraId="6F071FA4">
      <w:pPr>
        <w:adjustRightInd w:val="0"/>
        <w:snapToGrid w:val="0"/>
        <w:spacing w:line="340" w:lineRule="exact"/>
        <w:ind w:left="1370" w:leftChars="294" w:hanging="753" w:hangingChars="359"/>
        <w:rPr>
          <w:color w:val="auto"/>
          <w:szCs w:val="21"/>
        </w:rPr>
      </w:pPr>
      <w:r>
        <w:rPr>
          <w:color w:val="auto"/>
          <w:position w:val="-12"/>
          <w:szCs w:val="21"/>
        </w:rPr>
        <w:object>
          <v:shape id="_x0000_i1351" o:spt="75" type="#_x0000_t75" style="height:21.75pt;width:15pt;" o:ole="t" filled="f" o:preferrelative="t" stroked="f" coordsize="21600,21600">
            <v:path/>
            <v:fill on="f" focussize="0,0"/>
            <v:stroke on="f" joinstyle="miter"/>
            <v:imagedata r:id="rId639" o:title=""/>
            <o:lock v:ext="edit" aspectratio="t"/>
            <w10:wrap type="none"/>
            <w10:anchorlock/>
          </v:shape>
          <o:OLEObject Type="Embed" ProgID="Equation.DSMT4" ShapeID="_x0000_i1351" DrawAspect="Content" ObjectID="_1468076051" r:id="rId638">
            <o:LockedField>false</o:LockedField>
          </o:OLEObject>
        </w:object>
      </w:r>
      <w:r>
        <w:rPr>
          <w:color w:val="auto"/>
          <w:szCs w:val="21"/>
        </w:rPr>
        <w:t>——相应于作用的标准组合轴心竖向力作用下单桩的平均竖向力；</w:t>
      </w:r>
    </w:p>
    <w:p w14:paraId="384BBB0C">
      <w:pPr>
        <w:adjustRightInd w:val="0"/>
        <w:snapToGrid w:val="0"/>
        <w:spacing w:line="340" w:lineRule="exact"/>
        <w:ind w:firstLine="726" w:firstLineChars="346"/>
        <w:rPr>
          <w:color w:val="auto"/>
          <w:szCs w:val="21"/>
        </w:rPr>
      </w:pPr>
      <w:r>
        <w:rPr>
          <w:color w:val="auto"/>
          <w:position w:val="-6"/>
          <w:szCs w:val="21"/>
        </w:rPr>
        <w:object>
          <v:shape id="_x0000_i1352" o:spt="75" type="#_x0000_t75" style="height:8.25pt;width:8.25pt;" o:ole="t" filled="f" o:preferrelative="t" stroked="f" coordsize="21600,21600">
            <v:path/>
            <v:fill on="f" focussize="0,0"/>
            <v:stroke on="f" joinstyle="miter"/>
            <v:imagedata r:id="rId641" o:title=""/>
            <o:lock v:ext="edit" aspectratio="t"/>
            <w10:wrap type="none"/>
            <w10:anchorlock/>
          </v:shape>
          <o:OLEObject Type="Embed" ProgID="Equation.DSMT4" ShapeID="_x0000_i1352" DrawAspect="Content" ObjectID="_1468076052" r:id="rId640">
            <o:LockedField>false</o:LockedField>
          </o:OLEObject>
        </w:object>
      </w:r>
      <w:r>
        <w:rPr>
          <w:color w:val="auto"/>
          <w:szCs w:val="21"/>
        </w:rPr>
        <w:t>——桩基中的桩数；</w:t>
      </w:r>
    </w:p>
    <w:p w14:paraId="68B8A103">
      <w:pPr>
        <w:adjustRightInd w:val="0"/>
        <w:snapToGrid w:val="0"/>
        <w:spacing w:line="340" w:lineRule="exact"/>
        <w:ind w:left="1369" w:leftChars="286" w:hanging="768" w:hangingChars="366"/>
        <w:rPr>
          <w:color w:val="auto"/>
          <w:szCs w:val="21"/>
        </w:rPr>
      </w:pPr>
      <w:r>
        <w:rPr>
          <w:color w:val="auto"/>
          <w:position w:val="-12"/>
          <w:szCs w:val="21"/>
        </w:rPr>
        <w:object>
          <v:shape id="_x0000_i1353" o:spt="75" type="#_x0000_t75" style="height:21.75pt;width:15pt;" o:ole="t" filled="f" o:preferrelative="t" stroked="f" coordsize="21600,21600">
            <v:path/>
            <v:fill on="f" focussize="0,0"/>
            <v:stroke on="f" joinstyle="miter"/>
            <v:imagedata r:id="rId643" o:title=""/>
            <o:lock v:ext="edit" aspectratio="t"/>
            <w10:wrap type="none"/>
            <w10:anchorlock/>
          </v:shape>
          <o:OLEObject Type="Embed" ProgID="Equation.DSMT4" ShapeID="_x0000_i1353" DrawAspect="Content" ObjectID="_1468076053" r:id="rId642">
            <o:LockedField>false</o:LockedField>
          </o:OLEObject>
        </w:object>
      </w:r>
      <w:r>
        <w:rPr>
          <w:color w:val="auto"/>
          <w:szCs w:val="21"/>
        </w:rPr>
        <w:t>——相应于作用的标准组合偏心竖向力作用下第</w:t>
      </w:r>
      <w:r>
        <w:rPr>
          <w:i/>
          <w:color w:val="auto"/>
          <w:szCs w:val="21"/>
        </w:rPr>
        <w:t>i</w:t>
      </w:r>
      <w:r>
        <w:rPr>
          <w:color w:val="auto"/>
          <w:szCs w:val="21"/>
        </w:rPr>
        <w:t>根桩的竖向力；</w:t>
      </w:r>
    </w:p>
    <w:p w14:paraId="2C34104A">
      <w:pPr>
        <w:adjustRightInd w:val="0"/>
        <w:snapToGrid w:val="0"/>
        <w:spacing w:line="240" w:lineRule="atLeast"/>
        <w:ind w:left="1342" w:leftChars="-21" w:hanging="1386" w:hangingChars="660"/>
        <w:rPr>
          <w:color w:val="auto"/>
          <w:szCs w:val="21"/>
        </w:rPr>
      </w:pPr>
      <w:r>
        <w:rPr>
          <w:color w:val="auto"/>
          <w:position w:val="-12"/>
          <w:szCs w:val="21"/>
        </w:rPr>
        <w:object>
          <v:shape id="_x0000_i1354" o:spt="75" type="#_x0000_t75" style="height:21.75pt;width:21.75pt;" o:ole="t" filled="f" o:preferrelative="t" stroked="f" coordsize="21600,21600">
            <v:path/>
            <v:fill on="f" focussize="0,0"/>
            <v:stroke on="f" joinstyle="miter"/>
            <v:imagedata r:id="rId645" o:title=""/>
            <o:lock v:ext="edit" aspectratio="t"/>
            <w10:wrap type="none"/>
            <w10:anchorlock/>
          </v:shape>
          <o:OLEObject Type="Embed" ProgID="Equation.DSMT4" ShapeID="_x0000_i1354" DrawAspect="Content" ObjectID="_1468076054" r:id="rId644">
            <o:LockedField>false</o:LockedField>
          </o:OLEObject>
        </w:object>
      </w:r>
      <w:r>
        <w:rPr>
          <w:color w:val="auto"/>
          <w:spacing w:val="-40"/>
          <w:szCs w:val="21"/>
        </w:rPr>
        <w:t>、</w:t>
      </w:r>
      <w:r>
        <w:rPr>
          <w:color w:val="auto"/>
          <w:position w:val="-14"/>
          <w:szCs w:val="21"/>
        </w:rPr>
        <w:object>
          <v:shape id="_x0000_i1355" o:spt="75" type="#_x0000_t75" style="height:21.75pt;width:21.75pt;" o:ole="t" filled="f" o:preferrelative="t" stroked="f" coordsize="21600,21600">
            <v:path/>
            <v:fill on="f" focussize="0,0"/>
            <v:stroke on="f" joinstyle="miter"/>
            <v:imagedata r:id="rId647" o:title=""/>
            <o:lock v:ext="edit" aspectratio="t"/>
            <w10:wrap type="none"/>
            <w10:anchorlock/>
          </v:shape>
          <o:OLEObject Type="Embed" ProgID="Equation.DSMT4" ShapeID="_x0000_i1355" DrawAspect="Content" ObjectID="_1468076055" r:id="rId646">
            <o:LockedField>false</o:LockedField>
          </o:OLEObject>
        </w:object>
      </w:r>
      <w:r>
        <w:rPr>
          <w:color w:val="auto"/>
          <w:szCs w:val="21"/>
        </w:rPr>
        <w:t>——相应于作用的标准组合作用于承台底面绕通过桩群形心的</w:t>
      </w:r>
      <w:r>
        <w:rPr>
          <w:i/>
          <w:color w:val="auto"/>
          <w:szCs w:val="21"/>
        </w:rPr>
        <w:t>x</w:t>
      </w:r>
      <w:r>
        <w:rPr>
          <w:color w:val="auto"/>
          <w:szCs w:val="21"/>
        </w:rPr>
        <w:t>、</w:t>
      </w:r>
      <w:r>
        <w:rPr>
          <w:i/>
          <w:color w:val="auto"/>
          <w:szCs w:val="21"/>
        </w:rPr>
        <w:t>y</w:t>
      </w:r>
      <w:r>
        <w:rPr>
          <w:color w:val="auto"/>
          <w:szCs w:val="21"/>
        </w:rPr>
        <w:t>主轴的力矩；</w:t>
      </w:r>
    </w:p>
    <w:p w14:paraId="7B4C5EFE">
      <w:pPr>
        <w:adjustRightInd w:val="0"/>
        <w:snapToGrid w:val="0"/>
        <w:spacing w:line="340" w:lineRule="exact"/>
        <w:ind w:firstLine="210" w:firstLineChars="100"/>
        <w:rPr>
          <w:color w:val="auto"/>
          <w:szCs w:val="21"/>
        </w:rPr>
      </w:pPr>
      <w:r>
        <w:rPr>
          <w:color w:val="auto"/>
          <w:position w:val="-12"/>
          <w:szCs w:val="21"/>
        </w:rPr>
        <w:object>
          <v:shape id="_x0000_i1356" o:spt="75" type="#_x0000_t75" style="height:15pt;width:15pt;" o:ole="t" filled="f" o:preferrelative="t" stroked="f" coordsize="21600,21600">
            <v:path/>
            <v:fill on="f" focussize="0,0"/>
            <v:stroke on="f" joinstyle="miter"/>
            <v:imagedata r:id="rId649" o:title=""/>
            <o:lock v:ext="edit" aspectratio="t"/>
            <w10:wrap type="none"/>
            <w10:anchorlock/>
          </v:shape>
          <o:OLEObject Type="Embed" ProgID="Equation.DSMT4" ShapeID="_x0000_i1356" DrawAspect="Content" ObjectID="_1468076056" r:id="rId648">
            <o:LockedField>false</o:LockedField>
          </o:OLEObject>
        </w:object>
      </w:r>
      <w:r>
        <w:rPr>
          <w:color w:val="auto"/>
          <w:szCs w:val="21"/>
        </w:rPr>
        <w:t>、</w:t>
      </w:r>
      <w:r>
        <w:rPr>
          <w:color w:val="auto"/>
          <w:position w:val="-12"/>
          <w:szCs w:val="21"/>
        </w:rPr>
        <w:object>
          <v:shape id="_x0000_i1357" o:spt="75" type="#_x0000_t75" style="height:21.75pt;width:15pt;" o:ole="t" filled="f" o:preferrelative="t" stroked="f" coordsize="21600,21600">
            <v:path/>
            <v:fill on="f" focussize="0,0"/>
            <v:stroke on="f" joinstyle="miter"/>
            <v:imagedata r:id="rId651" o:title=""/>
            <o:lock v:ext="edit" aspectratio="t"/>
            <w10:wrap type="none"/>
            <w10:anchorlock/>
          </v:shape>
          <o:OLEObject Type="Embed" ProgID="Equation.DSMT4" ShapeID="_x0000_i1357" DrawAspect="Content" ObjectID="_1468076057" r:id="rId650">
            <o:LockedField>false</o:LockedField>
          </o:OLEObject>
        </w:object>
      </w:r>
      <w:r>
        <w:rPr>
          <w:color w:val="auto"/>
          <w:szCs w:val="21"/>
        </w:rPr>
        <w:t>、</w:t>
      </w:r>
      <w:r>
        <w:rPr>
          <w:color w:val="auto"/>
          <w:position w:val="-14"/>
          <w:szCs w:val="21"/>
        </w:rPr>
        <w:object>
          <v:shape id="_x0000_i1358" o:spt="75" type="#_x0000_t75" style="height:21.75pt;width:15pt;" o:ole="t" filled="f" o:preferrelative="t" stroked="f" coordsize="21600,21600">
            <v:path/>
            <v:fill on="f" focussize="0,0"/>
            <v:stroke on="f" joinstyle="miter"/>
            <v:imagedata r:id="rId653" o:title=""/>
            <o:lock v:ext="edit" aspectratio="t"/>
            <w10:wrap type="none"/>
            <w10:anchorlock/>
          </v:shape>
          <o:OLEObject Type="Embed" ProgID="Equation.DSMT4" ShapeID="_x0000_i1358" DrawAspect="Content" ObjectID="_1468076058" r:id="rId652">
            <o:LockedField>false</o:LockedField>
          </o:OLEObject>
        </w:object>
      </w:r>
      <w:r>
        <w:rPr>
          <w:color w:val="auto"/>
          <w:szCs w:val="21"/>
        </w:rPr>
        <w:t>、</w:t>
      </w:r>
      <w:r>
        <w:rPr>
          <w:color w:val="auto"/>
          <w:position w:val="-14"/>
          <w:szCs w:val="21"/>
        </w:rPr>
        <w:object>
          <v:shape id="_x0000_i1359" o:spt="75" type="#_x0000_t75" style="height:21.75pt;width:15pt;" o:ole="t" filled="f" o:preferrelative="t" stroked="f" coordsize="21600,21600">
            <v:path/>
            <v:fill on="f" focussize="0,0"/>
            <v:stroke on="f" joinstyle="miter"/>
            <v:imagedata r:id="rId655" o:title=""/>
            <o:lock v:ext="edit" aspectratio="t"/>
            <w10:wrap type="none"/>
            <w10:anchorlock/>
          </v:shape>
          <o:OLEObject Type="Embed" ProgID="Equation.DSMT4" ShapeID="_x0000_i1359" DrawAspect="Content" ObjectID="_1468076059" r:id="rId654">
            <o:LockedField>false</o:LockedField>
          </o:OLEObject>
        </w:object>
      </w:r>
      <w:r>
        <w:rPr>
          <w:color w:val="auto"/>
          <w:szCs w:val="21"/>
        </w:rPr>
        <w:t>——桩</w:t>
      </w:r>
      <w:r>
        <w:rPr>
          <w:i/>
          <w:color w:val="auto"/>
          <w:szCs w:val="21"/>
        </w:rPr>
        <w:t>i</w:t>
      </w:r>
      <w:r>
        <w:rPr>
          <w:color w:val="auto"/>
          <w:szCs w:val="21"/>
        </w:rPr>
        <w:t>、桩</w:t>
      </w:r>
      <w:r>
        <w:rPr>
          <w:i/>
          <w:color w:val="auto"/>
          <w:szCs w:val="21"/>
        </w:rPr>
        <w:t>j</w:t>
      </w:r>
      <w:r>
        <w:rPr>
          <w:color w:val="auto"/>
          <w:szCs w:val="21"/>
        </w:rPr>
        <w:t>分别至</w:t>
      </w:r>
      <w:r>
        <w:rPr>
          <w:i/>
          <w:color w:val="auto"/>
          <w:szCs w:val="21"/>
        </w:rPr>
        <w:t>y</w:t>
      </w:r>
      <w:r>
        <w:rPr>
          <w:color w:val="auto"/>
          <w:szCs w:val="21"/>
        </w:rPr>
        <w:t>、</w:t>
      </w:r>
      <w:r>
        <w:rPr>
          <w:i/>
          <w:color w:val="auto"/>
          <w:szCs w:val="21"/>
        </w:rPr>
        <w:t>x</w:t>
      </w:r>
      <w:r>
        <w:rPr>
          <w:color w:val="auto"/>
          <w:szCs w:val="21"/>
        </w:rPr>
        <w:t>轴线的距离；</w:t>
      </w:r>
    </w:p>
    <w:p w14:paraId="70E4208A">
      <w:pPr>
        <w:adjustRightInd w:val="0"/>
        <w:snapToGrid w:val="0"/>
        <w:spacing w:line="340" w:lineRule="exact"/>
        <w:ind w:left="1327" w:leftChars="272" w:hanging="756" w:hangingChars="360"/>
        <w:rPr>
          <w:color w:val="auto"/>
          <w:szCs w:val="21"/>
        </w:rPr>
      </w:pPr>
      <w:r>
        <w:rPr>
          <w:color w:val="auto"/>
          <w:position w:val="-12"/>
          <w:szCs w:val="21"/>
        </w:rPr>
        <w:object>
          <v:shape id="_x0000_i1360" o:spt="75" type="#_x0000_t75" style="height:21.75pt;width:15pt;" o:ole="t" filled="f" o:preferrelative="t" stroked="f" coordsize="21600,21600">
            <v:path/>
            <v:fill on="f" focussize="0,0"/>
            <v:stroke on="f" joinstyle="miter"/>
            <v:imagedata r:id="rId657" o:title=""/>
            <o:lock v:ext="edit" aspectratio="t"/>
            <w10:wrap type="none"/>
            <w10:anchorlock/>
          </v:shape>
          <o:OLEObject Type="Embed" ProgID="Equation.DSMT4" ShapeID="_x0000_i1360" DrawAspect="Content" ObjectID="_1468076060" r:id="rId656">
            <o:LockedField>false</o:LockedField>
          </o:OLEObject>
        </w:object>
      </w:r>
      <w:r>
        <w:rPr>
          <w:color w:val="auto"/>
          <w:szCs w:val="21"/>
        </w:rPr>
        <w:t>——相应于作用的标准组合时，作用于承台底面的水平力；</w:t>
      </w:r>
    </w:p>
    <w:p w14:paraId="3380724B">
      <w:pPr>
        <w:adjustRightInd w:val="0"/>
        <w:snapToGrid w:val="0"/>
        <w:spacing w:line="340" w:lineRule="exact"/>
        <w:ind w:left="1341" w:leftChars="273" w:hanging="768" w:hangingChars="366"/>
        <w:rPr>
          <w:color w:val="auto"/>
          <w:szCs w:val="21"/>
        </w:rPr>
      </w:pPr>
      <w:r>
        <w:rPr>
          <w:color w:val="auto"/>
          <w:position w:val="-12"/>
          <w:szCs w:val="21"/>
        </w:rPr>
        <w:object>
          <v:shape id="_x0000_i1361" o:spt="75" type="#_x0000_t75" style="height:21.75pt;width:15pt;" o:ole="t" filled="f" o:preferrelative="t" stroked="f" coordsize="21600,21600">
            <v:path/>
            <v:fill on="f" focussize="0,0"/>
            <v:stroke on="f" joinstyle="miter"/>
            <v:imagedata r:id="rId659" o:title=""/>
            <o:lock v:ext="edit" aspectratio="t"/>
            <w10:wrap type="none"/>
            <w10:anchorlock/>
          </v:shape>
          <o:OLEObject Type="Embed" ProgID="Equation.DSMT4" ShapeID="_x0000_i1361" DrawAspect="Content" ObjectID="_1468076061" r:id="rId658">
            <o:LockedField>false</o:LockedField>
          </o:OLEObject>
        </w:object>
      </w:r>
      <w:r>
        <w:rPr>
          <w:color w:val="auto"/>
          <w:szCs w:val="21"/>
        </w:rPr>
        <w:t>——相应于作用的标准组合时，作用于任一单桩的水平力</w:t>
      </w:r>
      <w:r>
        <w:rPr>
          <w:rFonts w:hint="eastAsia"/>
          <w:color w:val="auto"/>
          <w:szCs w:val="21"/>
        </w:rPr>
        <w:t>；</w:t>
      </w:r>
    </w:p>
    <w:p w14:paraId="654C1FA5">
      <w:pPr>
        <w:adjustRightInd w:val="0"/>
        <w:snapToGrid w:val="0"/>
        <w:spacing w:line="340" w:lineRule="exact"/>
        <w:ind w:left="1341" w:leftChars="273" w:hanging="768" w:hangingChars="366"/>
        <w:rPr>
          <w:color w:val="auto"/>
          <w:szCs w:val="21"/>
        </w:rPr>
      </w:pPr>
      <m:oMath>
        <m:sSub>
          <m:sSubPr>
            <m:ctrlPr>
              <w:rPr>
                <w:rFonts w:ascii="Cambria Math" w:hAnsi="Cambria Math"/>
                <w:i/>
                <w:color w:val="auto"/>
                <w:kern w:val="0"/>
                <w:szCs w:val="21"/>
              </w:rPr>
            </m:ctrlPr>
          </m:sSubPr>
          <m:e>
            <m:r>
              <m:rPr/>
              <w:rPr>
                <w:rFonts w:hint="eastAsia" w:ascii="Cambria Math" w:hAnsi="Cambria Math"/>
                <w:color w:val="auto"/>
                <w:kern w:val="0"/>
                <w:szCs w:val="21"/>
              </w:rPr>
              <m:t>N</m:t>
            </m:r>
            <m:ctrlPr>
              <w:rPr>
                <w:rFonts w:ascii="Cambria Math" w:hAnsi="Cambria Math"/>
                <w:i/>
                <w:color w:val="auto"/>
                <w:kern w:val="0"/>
                <w:szCs w:val="21"/>
              </w:rPr>
            </m:ctrlPr>
          </m:e>
          <m:sub>
            <m:r>
              <m:rPr/>
              <w:rPr>
                <w:rFonts w:hint="eastAsia" w:ascii="Cambria Math" w:hAnsi="Cambria Math"/>
                <w:color w:val="auto"/>
                <w:kern w:val="0"/>
                <w:szCs w:val="21"/>
              </w:rPr>
              <m:t>ik</m:t>
            </m:r>
            <m:ctrlPr>
              <w:rPr>
                <w:rFonts w:ascii="Cambria Math" w:hAnsi="Cambria Math"/>
                <w:i/>
                <w:color w:val="auto"/>
                <w:kern w:val="0"/>
                <w:szCs w:val="21"/>
              </w:rPr>
            </m:ctrlPr>
          </m:sub>
        </m:sSub>
      </m:oMath>
      <w:r>
        <w:rPr>
          <w:color w:val="auto"/>
          <w:szCs w:val="21"/>
        </w:rPr>
        <w:t>——</w:t>
      </w:r>
      <w:r>
        <w:rPr>
          <w:rFonts w:hint="eastAsia"/>
          <w:color w:val="auto"/>
          <w:szCs w:val="21"/>
        </w:rPr>
        <w:t>相应于</w:t>
      </w:r>
      <w:r>
        <w:rPr>
          <w:rFonts w:hint="eastAsia"/>
          <w:color w:val="auto"/>
          <w:szCs w:val="20"/>
        </w:rPr>
        <w:t>作用</w:t>
      </w:r>
      <w:r>
        <w:rPr>
          <w:rFonts w:hint="eastAsia"/>
          <w:color w:val="auto"/>
          <w:szCs w:val="21"/>
        </w:rPr>
        <w:t>的标准组合时，作用于任一单桩的上拔力；</w:t>
      </w:r>
    </w:p>
    <w:p w14:paraId="6AD225DB">
      <w:pPr>
        <w:adjustRightInd w:val="0"/>
        <w:snapToGrid w:val="0"/>
        <w:spacing w:line="340" w:lineRule="exact"/>
        <w:ind w:left="1341" w:leftChars="273" w:hanging="768" w:hangingChars="366"/>
        <w:rPr>
          <w:color w:val="auto"/>
          <w:szCs w:val="21"/>
        </w:rPr>
      </w:pPr>
      <w:r>
        <w:rPr>
          <w:i/>
          <w:color w:val="auto"/>
          <w:szCs w:val="20"/>
        </w:rPr>
        <w:t>K</w:t>
      </w:r>
      <w:r>
        <w:rPr>
          <w:color w:val="auto"/>
          <w:szCs w:val="20"/>
          <w:vertAlign w:val="subscript"/>
        </w:rPr>
        <w:t>w</w:t>
      </w:r>
      <w:r>
        <w:rPr>
          <w:color w:val="auto"/>
          <w:szCs w:val="21"/>
        </w:rPr>
        <w:t>—— 抗</w:t>
      </w:r>
      <w:r>
        <w:rPr>
          <w:rFonts w:hint="eastAsia"/>
          <w:color w:val="auto"/>
          <w:szCs w:val="20"/>
        </w:rPr>
        <w:t>浮稳定安全系数，详见本文件第</w:t>
      </w:r>
      <w:r>
        <w:rPr>
          <w:color w:val="auto"/>
          <w:szCs w:val="20"/>
        </w:rPr>
        <w:t>13.5.5条的规定</w:t>
      </w:r>
      <w:r>
        <w:rPr>
          <w:rFonts w:hint="eastAsia"/>
          <w:color w:val="auto"/>
          <w:szCs w:val="20"/>
        </w:rPr>
        <w:t>；</w:t>
      </w:r>
    </w:p>
    <w:p w14:paraId="63DBAACC">
      <w:pPr>
        <w:adjustRightInd w:val="0"/>
        <w:snapToGrid w:val="0"/>
        <w:spacing w:line="340" w:lineRule="exact"/>
        <w:ind w:left="1341" w:leftChars="273" w:hanging="768" w:hangingChars="366"/>
        <w:rPr>
          <w:color w:val="auto"/>
          <w:szCs w:val="21"/>
        </w:rPr>
      </w:pPr>
      <w:r>
        <w:rPr>
          <w:i/>
          <w:color w:val="auto"/>
          <w:szCs w:val="20"/>
        </w:rPr>
        <w:t>N</w:t>
      </w:r>
      <w:r>
        <w:rPr>
          <w:color w:val="auto"/>
          <w:szCs w:val="20"/>
          <w:vertAlign w:val="subscript"/>
        </w:rPr>
        <w:t>wk</w:t>
      </w:r>
      <w:r>
        <w:rPr>
          <w:color w:val="auto"/>
          <w:szCs w:val="21"/>
        </w:rPr>
        <w:t>——相应于</w:t>
      </w:r>
      <w:r>
        <w:rPr>
          <w:rFonts w:hint="eastAsia"/>
          <w:color w:val="auto"/>
          <w:szCs w:val="21"/>
        </w:rPr>
        <w:t>抗浮设计水位标准值作用下，所产生的浮力标准值</w:t>
      </w:r>
      <w:r>
        <w:rPr>
          <w:rFonts w:hint="eastAsia"/>
          <w:color w:val="auto"/>
          <w:szCs w:val="20"/>
        </w:rPr>
        <w:t>。</w:t>
      </w:r>
    </w:p>
    <w:p w14:paraId="784B577B">
      <w:pPr>
        <w:adjustRightInd w:val="0"/>
        <w:snapToGrid w:val="0"/>
        <w:spacing w:line="340" w:lineRule="exact"/>
        <w:rPr>
          <w:color w:val="auto"/>
          <w:szCs w:val="21"/>
        </w:rPr>
      </w:pPr>
      <w:r>
        <w:rPr>
          <w:rFonts w:eastAsia="黑体"/>
          <w:b/>
          <w:color w:val="auto"/>
          <w:szCs w:val="21"/>
        </w:rPr>
        <w:t>12.3.2</w:t>
      </w:r>
      <w:r>
        <w:rPr>
          <w:color w:val="auto"/>
          <w:szCs w:val="21"/>
        </w:rPr>
        <w:t xml:space="preserve">  单桩承载力计算应符合</w:t>
      </w:r>
      <w:r>
        <w:rPr>
          <w:rFonts w:hint="eastAsia"/>
          <w:color w:val="auto"/>
          <w:lang w:val="en-US" w:eastAsia="zh-CN"/>
        </w:rPr>
        <w:t>公式（72）~（74）</w:t>
      </w:r>
      <w:r>
        <w:rPr>
          <w:rFonts w:hint="eastAsia"/>
          <w:color w:val="auto"/>
          <w:szCs w:val="21"/>
        </w:rPr>
        <w:t>规定</w:t>
      </w:r>
      <w:r>
        <w:rPr>
          <w:color w:val="auto"/>
          <w:szCs w:val="21"/>
        </w:rPr>
        <w:t>：</w:t>
      </w:r>
    </w:p>
    <w:p w14:paraId="2A930690">
      <w:pPr>
        <w:adjustRightInd w:val="0"/>
        <w:snapToGrid w:val="0"/>
        <w:spacing w:line="340" w:lineRule="exact"/>
        <w:ind w:firstLine="422" w:firstLineChars="200"/>
        <w:rPr>
          <w:color w:val="auto"/>
          <w:szCs w:val="21"/>
        </w:rPr>
      </w:pPr>
      <w:r>
        <w:rPr>
          <w:rFonts w:eastAsia="黑体"/>
          <w:b/>
          <w:color w:val="auto"/>
          <w:szCs w:val="21"/>
        </w:rPr>
        <w:t>a)</w:t>
      </w:r>
      <w:r>
        <w:rPr>
          <w:color w:val="auto"/>
          <w:szCs w:val="21"/>
        </w:rPr>
        <w:t xml:space="preserve">  轴心竖向压力作用下</w:t>
      </w:r>
    </w:p>
    <w:p w14:paraId="2402977A">
      <w:pPr>
        <w:pStyle w:val="12"/>
        <w:jc w:val="right"/>
        <w:rPr>
          <w:color w:val="auto"/>
          <w:szCs w:val="21"/>
        </w:rPr>
      </w:pPr>
      <w:r>
        <w:rPr>
          <w:color w:val="auto"/>
          <w:position w:val="-12"/>
          <w:szCs w:val="21"/>
        </w:rPr>
        <w:object>
          <v:shape id="_x0000_i1362" o:spt="75" type="#_x0000_t75" style="height:21.75pt;width:15pt;" o:ole="t" filled="f" o:preferrelative="t" stroked="f" coordsize="21600,21600">
            <v:path/>
            <v:fill on="f" focussize="0,0"/>
            <v:stroke on="f" joinstyle="miter"/>
            <v:imagedata r:id="rId661" o:title=""/>
            <o:lock v:ext="edit" aspectratio="t"/>
            <w10:wrap type="none"/>
            <w10:anchorlock/>
          </v:shape>
          <o:OLEObject Type="Embed" ProgID="Equation.DSMT4" ShapeID="_x0000_i1362" DrawAspect="Content" ObjectID="_1468076062" r:id="rId660">
            <o:LockedField>false</o:LockedField>
          </o:OLEObject>
        </w:object>
      </w:r>
      <w:r>
        <w:rPr>
          <w:color w:val="auto"/>
          <w:szCs w:val="21"/>
        </w:rPr>
        <w:t>≤</w:t>
      </w:r>
      <w:r>
        <w:rPr>
          <w:color w:val="auto"/>
          <w:position w:val="-12"/>
          <w:szCs w:val="21"/>
        </w:rPr>
        <w:object>
          <v:shape id="_x0000_i1363" o:spt="75" type="#_x0000_t75" style="height:21.75pt;width:15pt;" o:ole="t" filled="f" o:preferrelative="t" stroked="f" coordsize="21600,21600">
            <v:path/>
            <v:fill on="f" focussize="0,0"/>
            <v:stroke on="f" joinstyle="miter"/>
            <v:imagedata r:id="rId663" o:title=""/>
            <o:lock v:ext="edit" aspectratio="t"/>
            <w10:wrap type="none"/>
            <w10:anchorlock/>
          </v:shape>
          <o:OLEObject Type="Embed" ProgID="Equation.DSMT4" ShapeID="_x0000_i1363" DrawAspect="Content" ObjectID="_1468076063" r:id="rId662">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72</w:t>
      </w:r>
      <w:r>
        <w:rPr>
          <w:color w:val="auto"/>
          <w:szCs w:val="21"/>
        </w:rPr>
        <w:fldChar w:fldCharType="end"/>
      </w:r>
      <w:r>
        <w:rPr>
          <w:color w:val="auto"/>
          <w:szCs w:val="21"/>
        </w:rPr>
        <w:t>)</w:t>
      </w:r>
    </w:p>
    <w:p w14:paraId="0705315D">
      <w:pPr>
        <w:adjustRightInd w:val="0"/>
        <w:snapToGrid w:val="0"/>
        <w:spacing w:line="340" w:lineRule="exact"/>
        <w:ind w:firstLine="567"/>
        <w:rPr>
          <w:color w:val="auto"/>
          <w:szCs w:val="21"/>
        </w:rPr>
      </w:pPr>
      <w:r>
        <w:rPr>
          <w:color w:val="auto"/>
          <w:szCs w:val="21"/>
        </w:rPr>
        <w:t>偏心竖向力作用下，除满足</w:t>
      </w:r>
      <w:r>
        <w:rPr>
          <w:rFonts w:hint="eastAsia"/>
          <w:color w:val="auto"/>
          <w:lang w:val="en-US" w:eastAsia="zh-CN"/>
        </w:rPr>
        <w:t>公式（72）</w:t>
      </w:r>
      <w:r>
        <w:rPr>
          <w:color w:val="auto"/>
          <w:szCs w:val="21"/>
        </w:rPr>
        <w:t>外，尚应满足</w:t>
      </w:r>
      <w:r>
        <w:rPr>
          <w:rFonts w:hint="eastAsia"/>
          <w:color w:val="auto"/>
          <w:lang w:val="en-US" w:eastAsia="zh-CN"/>
        </w:rPr>
        <w:t>公式（73）</w:t>
      </w:r>
      <w:r>
        <w:rPr>
          <w:color w:val="auto"/>
          <w:szCs w:val="21"/>
        </w:rPr>
        <w:t>要求：</w:t>
      </w:r>
    </w:p>
    <w:p w14:paraId="45CC31FC">
      <w:pPr>
        <w:pStyle w:val="12"/>
        <w:jc w:val="right"/>
        <w:rPr>
          <w:color w:val="auto"/>
          <w:szCs w:val="21"/>
        </w:rPr>
      </w:pPr>
      <w:r>
        <w:rPr>
          <w:color w:val="auto"/>
          <w:position w:val="-12"/>
          <w:szCs w:val="21"/>
        </w:rPr>
        <w:object>
          <v:shape id="_x0000_i1364" o:spt="75" type="#_x0000_t75" style="height:21.75pt;width:28.5pt;" o:ole="t" filled="f" o:preferrelative="t" stroked="f" coordsize="21600,21600">
            <v:path/>
            <v:fill on="f" focussize="0,0"/>
            <v:stroke on="f" joinstyle="miter"/>
            <v:imagedata r:id="rId665" o:title=""/>
            <o:lock v:ext="edit" aspectratio="t"/>
            <w10:wrap type="none"/>
            <w10:anchorlock/>
          </v:shape>
          <o:OLEObject Type="Embed" ProgID="Equation.DSMT4" ShapeID="_x0000_i1364" DrawAspect="Content" ObjectID="_1468076064" r:id="rId664">
            <o:LockedField>false</o:LockedField>
          </o:OLEObject>
        </w:object>
      </w:r>
      <w:r>
        <w:rPr>
          <w:color w:val="auto"/>
          <w:szCs w:val="21"/>
        </w:rPr>
        <w:t>≤</w:t>
      </w:r>
      <w:r>
        <w:rPr>
          <w:color w:val="auto"/>
          <w:position w:val="-12"/>
          <w:szCs w:val="21"/>
        </w:rPr>
        <w:object>
          <v:shape id="_x0000_i1365" o:spt="75" type="#_x0000_t75" style="height:21.75pt;width:21.75pt;" o:ole="t" filled="f" o:preferrelative="t" stroked="f" coordsize="21600,21600">
            <v:path/>
            <v:fill on="f" focussize="0,0"/>
            <v:stroke on="f" joinstyle="miter"/>
            <v:imagedata r:id="rId667" o:title=""/>
            <o:lock v:ext="edit" aspectratio="t"/>
            <w10:wrap type="none"/>
            <w10:anchorlock/>
          </v:shape>
          <o:OLEObject Type="Embed" ProgID="Equation.DSMT4" ShapeID="_x0000_i1365" DrawAspect="Content" ObjectID="_1468076065" r:id="rId666">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73</w:t>
      </w:r>
      <w:r>
        <w:rPr>
          <w:color w:val="auto"/>
          <w:szCs w:val="21"/>
        </w:rPr>
        <w:fldChar w:fldCharType="end"/>
      </w:r>
      <w:r>
        <w:rPr>
          <w:color w:val="auto"/>
          <w:szCs w:val="21"/>
        </w:rPr>
        <w:t>)</w:t>
      </w:r>
    </w:p>
    <w:p w14:paraId="7B64597B">
      <w:pPr>
        <w:adjustRightInd w:val="0"/>
        <w:snapToGrid w:val="0"/>
        <w:spacing w:line="340" w:lineRule="exact"/>
        <w:rPr>
          <w:color w:val="auto"/>
          <w:szCs w:val="21"/>
        </w:rPr>
      </w:pPr>
      <w:r>
        <w:rPr>
          <w:color w:val="auto"/>
          <w:szCs w:val="21"/>
        </w:rPr>
        <w:t xml:space="preserve">式中  </w:t>
      </w:r>
      <w:r>
        <w:rPr>
          <w:color w:val="auto"/>
          <w:position w:val="-12"/>
          <w:szCs w:val="21"/>
        </w:rPr>
        <w:object>
          <v:shape id="_x0000_i1366" o:spt="75" type="#_x0000_t75" style="height:21.75pt;width:15pt;" o:ole="t" filled="f" o:preferrelative="t" stroked="f" coordsize="21600,21600">
            <v:path/>
            <v:fill on="f" focussize="0,0"/>
            <v:stroke on="f" joinstyle="miter"/>
            <v:imagedata r:id="rId669" o:title=""/>
            <o:lock v:ext="edit" aspectratio="t"/>
            <w10:wrap type="none"/>
            <w10:anchorlock/>
          </v:shape>
          <o:OLEObject Type="Embed" ProgID="Equation.DSMT4" ShapeID="_x0000_i1366" DrawAspect="Content" ObjectID="_1468076066" r:id="rId668">
            <o:LockedField>false</o:LockedField>
          </o:OLEObject>
        </w:object>
      </w:r>
      <w:r>
        <w:rPr>
          <w:color w:val="auto"/>
          <w:szCs w:val="21"/>
        </w:rPr>
        <w:t>——单桩竖向抗压承载力特征值。</w:t>
      </w:r>
    </w:p>
    <w:p w14:paraId="1EE6F1E7">
      <w:pPr>
        <w:adjustRightInd w:val="0"/>
        <w:snapToGrid w:val="0"/>
        <w:spacing w:line="340" w:lineRule="exact"/>
        <w:ind w:firstLine="434"/>
        <w:rPr>
          <w:color w:val="auto"/>
          <w:szCs w:val="21"/>
        </w:rPr>
      </w:pPr>
      <w:r>
        <w:rPr>
          <w:rFonts w:eastAsia="黑体"/>
          <w:b/>
          <w:color w:val="auto"/>
          <w:szCs w:val="21"/>
        </w:rPr>
        <w:t>b)</w:t>
      </w:r>
      <w:r>
        <w:rPr>
          <w:color w:val="auto"/>
          <w:szCs w:val="21"/>
        </w:rPr>
        <w:t xml:space="preserve">  水平荷载作用下</w:t>
      </w:r>
    </w:p>
    <w:p w14:paraId="6093F5E5">
      <w:pPr>
        <w:pStyle w:val="12"/>
        <w:jc w:val="right"/>
        <w:rPr>
          <w:color w:val="auto"/>
          <w:szCs w:val="21"/>
        </w:rPr>
      </w:pPr>
      <w:r>
        <w:rPr>
          <w:color w:val="auto"/>
          <w:position w:val="-12"/>
          <w:szCs w:val="21"/>
        </w:rPr>
        <w:object>
          <v:shape id="_x0000_i1367" o:spt="75" type="#_x0000_t75" style="height:21.75pt;width:43.5pt;" o:ole="t" filled="f" o:preferrelative="t" stroked="f" coordsize="21600,21600">
            <v:path/>
            <v:fill on="f" focussize="0,0"/>
            <v:stroke on="f" joinstyle="miter"/>
            <v:imagedata r:id="rId671" o:title=""/>
            <o:lock v:ext="edit" aspectratio="t"/>
            <w10:wrap type="none"/>
            <w10:anchorlock/>
          </v:shape>
          <o:OLEObject Type="Embed" ProgID="Equation.DSMT4" ShapeID="_x0000_i1367" DrawAspect="Content" ObjectID="_1468076067" r:id="rId670">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74</w:t>
      </w:r>
      <w:r>
        <w:rPr>
          <w:color w:val="auto"/>
          <w:szCs w:val="21"/>
        </w:rPr>
        <w:fldChar w:fldCharType="end"/>
      </w:r>
      <w:r>
        <w:rPr>
          <w:color w:val="auto"/>
          <w:szCs w:val="21"/>
        </w:rPr>
        <w:t>)</w:t>
      </w:r>
    </w:p>
    <w:p w14:paraId="5DE20AF2">
      <w:pPr>
        <w:adjustRightInd w:val="0"/>
        <w:snapToGrid w:val="0"/>
        <w:spacing w:line="340" w:lineRule="exact"/>
        <w:rPr>
          <w:color w:val="auto"/>
          <w:szCs w:val="21"/>
        </w:rPr>
      </w:pPr>
      <w:r>
        <w:rPr>
          <w:color w:val="auto"/>
          <w:szCs w:val="21"/>
        </w:rPr>
        <w:t xml:space="preserve">式中  </w:t>
      </w:r>
      <w:r>
        <w:rPr>
          <w:color w:val="auto"/>
          <w:position w:val="-12"/>
          <w:szCs w:val="21"/>
        </w:rPr>
        <w:object>
          <v:shape id="_x0000_i1368" o:spt="75" type="#_x0000_t75" style="height:15pt;width:15pt;" o:ole="t" filled="f" o:preferrelative="t" stroked="f" coordsize="21600,21600">
            <v:path/>
            <v:fill on="f" focussize="0,0"/>
            <v:stroke on="f" joinstyle="miter"/>
            <v:imagedata r:id="rId673" o:title=""/>
            <o:lock v:ext="edit" aspectratio="t"/>
            <w10:wrap type="none"/>
            <w10:anchorlock/>
          </v:shape>
          <o:OLEObject Type="Embed" ProgID="Equation.DSMT4" ShapeID="_x0000_i1368" DrawAspect="Content" ObjectID="_1468076068" r:id="rId672">
            <o:LockedField>false</o:LockedField>
          </o:OLEObject>
        </w:object>
      </w:r>
      <w:r>
        <w:rPr>
          <w:color w:val="auto"/>
          <w:szCs w:val="21"/>
        </w:rPr>
        <w:t>——单桩水平承载力特征值。</w:t>
      </w:r>
    </w:p>
    <w:p w14:paraId="6F37EB44">
      <w:pPr>
        <w:snapToGrid w:val="0"/>
        <w:spacing w:line="400" w:lineRule="atLeast"/>
        <w:ind w:firstLine="411" w:firstLineChars="196"/>
        <w:rPr>
          <w:color w:val="auto"/>
          <w:szCs w:val="21"/>
        </w:rPr>
      </w:pPr>
      <w:r>
        <w:rPr>
          <w:color w:val="auto"/>
          <w:szCs w:val="21"/>
        </w:rPr>
        <w:t>c)</w:t>
      </w:r>
      <w:r>
        <w:rPr>
          <w:rFonts w:hint="eastAsia"/>
          <w:color w:val="auto"/>
          <w:szCs w:val="21"/>
        </w:rPr>
        <w:t xml:space="preserve">  上拔力作用下群桩基础呈非整体破坏时应符合</w:t>
      </w:r>
      <w:r>
        <w:rPr>
          <w:rFonts w:hint="eastAsia"/>
          <w:color w:val="auto"/>
          <w:lang w:val="en-US" w:eastAsia="zh-CN"/>
        </w:rPr>
        <w:t>公式（75）</w:t>
      </w:r>
      <w:r>
        <w:rPr>
          <w:rFonts w:hint="eastAsia"/>
          <w:color w:val="auto"/>
          <w:szCs w:val="21"/>
        </w:rPr>
        <w:t>的要求，呈整体破坏时应按JGJ</w:t>
      </w:r>
      <w:r>
        <w:rPr>
          <w:rFonts w:hint="eastAsia"/>
          <w:color w:val="auto"/>
          <w:szCs w:val="21"/>
          <w:lang w:val="en-US" w:eastAsia="zh-CN"/>
        </w:rPr>
        <w:t xml:space="preserve"> </w:t>
      </w:r>
      <w:r>
        <w:rPr>
          <w:rFonts w:hint="eastAsia"/>
          <w:color w:val="auto"/>
          <w:szCs w:val="21"/>
        </w:rPr>
        <w:t>94的有关规定进行抗拔验算。</w:t>
      </w:r>
    </w:p>
    <w:p w14:paraId="2D8CA189">
      <w:pPr>
        <w:pStyle w:val="12"/>
        <w:jc w:val="right"/>
        <w:rPr>
          <w:color w:val="auto"/>
          <w:szCs w:val="21"/>
        </w:rPr>
      </w:pPr>
      <m:oMath>
        <m:sSub>
          <m:sSubPr>
            <m:ctrlPr>
              <w:rPr>
                <w:rFonts w:ascii="Cambria Math" w:hAnsi="Cambria Math"/>
                <w:i/>
                <w:color w:val="auto"/>
              </w:rPr>
            </m:ctrlPr>
          </m:sSubPr>
          <m:e>
            <m:r>
              <m:rPr/>
              <w:rPr>
                <w:rFonts w:hint="eastAsia" w:ascii="Cambria Math" w:hAnsi="Cambria Math"/>
                <w:color w:val="auto"/>
              </w:rPr>
              <m:t>N</m:t>
            </m:r>
            <m:ctrlPr>
              <w:rPr>
                <w:rFonts w:ascii="Cambria Math" w:hAnsi="Cambria Math"/>
                <w:i/>
                <w:color w:val="auto"/>
              </w:rPr>
            </m:ctrlPr>
          </m:e>
          <m:sub>
            <m:r>
              <m:rPr/>
              <w:rPr>
                <w:rFonts w:hint="eastAsia" w:ascii="Cambria Math" w:hAnsi="Cambria Math"/>
                <w:color w:val="auto"/>
              </w:rPr>
              <m:t>ik</m:t>
            </m:r>
            <m:ctrlPr>
              <w:rPr>
                <w:rFonts w:ascii="Cambria Math" w:hAnsi="Cambria Math"/>
                <w:i/>
                <w:color w:val="auto"/>
              </w:rPr>
            </m:ctrlPr>
          </m:sub>
        </m:sSub>
      </m:oMath>
      <w:r>
        <w:rPr>
          <w:rFonts w:hint="eastAsia"/>
          <w:color w:val="auto"/>
          <w:kern w:val="0"/>
          <w:szCs w:val="21"/>
        </w:rPr>
        <w:t>≤</w:t>
      </w:r>
      <m:oMath>
        <m:sSub>
          <m:sSubPr>
            <m:ctrlPr>
              <w:rPr>
                <w:rFonts w:ascii="Cambria Math" w:hAnsi="Cambria Math"/>
                <w:i/>
                <w:color w:val="auto"/>
              </w:rPr>
            </m:ctrlPr>
          </m:sSubPr>
          <m:e>
            <m:r>
              <m:rPr/>
              <w:rPr>
                <w:rFonts w:hint="eastAsia" w:ascii="Cambria Math" w:hAnsi="Cambria Math"/>
                <w:color w:val="auto"/>
              </w:rPr>
              <m:t>T</m:t>
            </m:r>
            <m:ctrlPr>
              <w:rPr>
                <w:rFonts w:ascii="Cambria Math" w:hAnsi="Cambria Math"/>
                <w:i/>
                <w:color w:val="auto"/>
              </w:rPr>
            </m:ctrlPr>
          </m:e>
          <m:sub>
            <m:r>
              <m:rPr/>
              <w:rPr>
                <w:rFonts w:hint="eastAsia" w:ascii="Cambria Math" w:hAnsi="Cambria Math"/>
                <w:color w:val="auto"/>
              </w:rPr>
              <m:t>a</m:t>
            </m:r>
            <m:ctrlPr>
              <w:rPr>
                <w:rFonts w:ascii="Cambria Math" w:hAnsi="Cambria Math"/>
                <w:i/>
                <w:color w:val="auto"/>
              </w:rPr>
            </m:ctrlPr>
          </m:sub>
        </m:sSub>
        <m:r>
          <m:rPr/>
          <w:rPr>
            <w:rFonts w:ascii="Cambria Math" w:hAnsi="Cambria Math"/>
            <w:color w:val="auto"/>
          </w:rPr>
          <m:t>+</m:t>
        </m:r>
        <m:sSub>
          <m:sSubPr>
            <m:ctrlPr>
              <w:rPr>
                <w:rFonts w:ascii="Cambria Math" w:hAnsi="Cambria Math"/>
                <w:i/>
                <w:color w:val="auto"/>
              </w:rPr>
            </m:ctrlPr>
          </m:sSubPr>
          <m:e>
            <m:r>
              <m:rPr/>
              <w:rPr>
                <w:rFonts w:ascii="Cambria Math" w:hAnsi="Cambria Math"/>
                <w:color w:val="auto"/>
              </w:rPr>
              <m:t>G</m:t>
            </m:r>
            <m:ctrlPr>
              <w:rPr>
                <w:rFonts w:ascii="Cambria Math" w:hAnsi="Cambria Math"/>
                <w:i/>
                <w:color w:val="auto"/>
              </w:rPr>
            </m:ctrlPr>
          </m:e>
          <m:sub>
            <m:r>
              <m:rPr/>
              <w:rPr>
                <w:rFonts w:ascii="Cambria Math" w:hAnsi="Cambria Math"/>
                <w:color w:val="auto"/>
              </w:rPr>
              <m:t>p</m:t>
            </m:r>
            <m:ctrlPr>
              <w:rPr>
                <w:rFonts w:ascii="Cambria Math" w:hAnsi="Cambria Math"/>
                <w:i/>
                <w:color w:val="auto"/>
              </w:rPr>
            </m:ctrlPr>
          </m:sub>
        </m:sSub>
      </m:oMath>
      <w:r>
        <w:rPr>
          <w:rFonts w:hint="eastAsia"/>
          <w:color w:val="auto"/>
        </w:rPr>
        <w:t xml:space="preserve">       </w:t>
      </w:r>
      <w:r>
        <w:rPr>
          <w:color w:val="auto"/>
        </w:rPr>
        <w:t xml:space="preserve">     </w:t>
      </w:r>
      <w:r>
        <w:rPr>
          <w:rFonts w:hint="eastAsia"/>
          <w:color w:val="auto"/>
        </w:rPr>
        <w:t xml:space="preserve">                  </w:t>
      </w:r>
      <w:r>
        <w:rPr>
          <w:rFonts w:hint="eastAsia"/>
          <w:color w:val="auto"/>
          <w:kern w:val="0"/>
          <w:szCs w:val="21"/>
        </w:rPr>
        <w:t xml:space="preserve">   </w:t>
      </w:r>
      <w:r>
        <w:rPr>
          <w:rFonts w:hint="eastAsia"/>
          <w:color w:val="auto"/>
          <w:szCs w:val="21"/>
        </w:rPr>
        <w:t xml:space="preserve"> (</w:t>
      </w:r>
      <w:r>
        <w:rPr>
          <w:color w:val="auto"/>
          <w:szCs w:val="21"/>
        </w:rPr>
        <w:fldChar w:fldCharType="begin"/>
      </w:r>
      <w:r>
        <w:rPr>
          <w:color w:val="auto"/>
          <w:szCs w:val="21"/>
        </w:rPr>
        <w:instrText xml:space="preserve"> </w:instrText>
      </w:r>
      <w:r>
        <w:rPr>
          <w:rFonts w:hint="eastAsia"/>
          <w:color w:val="auto"/>
          <w:szCs w:val="21"/>
        </w:rPr>
        <w:instrText xml:space="preserve">SEQ Equation \* ARABIC</w:instrText>
      </w:r>
      <w:r>
        <w:rPr>
          <w:color w:val="auto"/>
          <w:szCs w:val="21"/>
        </w:rPr>
        <w:instrText xml:space="preserve"> </w:instrText>
      </w:r>
      <w:r>
        <w:rPr>
          <w:color w:val="auto"/>
          <w:szCs w:val="21"/>
        </w:rPr>
        <w:fldChar w:fldCharType="separate"/>
      </w:r>
      <w:r>
        <w:rPr>
          <w:color w:val="auto"/>
          <w:szCs w:val="21"/>
        </w:rPr>
        <w:t>75</w:t>
      </w:r>
      <w:r>
        <w:rPr>
          <w:color w:val="auto"/>
          <w:szCs w:val="21"/>
        </w:rPr>
        <w:fldChar w:fldCharType="end"/>
      </w:r>
      <w:r>
        <w:rPr>
          <w:rFonts w:hint="eastAsia"/>
          <w:color w:val="auto"/>
          <w:szCs w:val="21"/>
        </w:rPr>
        <w:t>)</w:t>
      </w:r>
    </w:p>
    <w:p w14:paraId="5E8B97C5">
      <w:pPr>
        <w:snapToGrid w:val="0"/>
        <w:spacing w:line="400" w:lineRule="atLeast"/>
        <w:rPr>
          <w:color w:val="auto"/>
          <w:u w:val="single"/>
        </w:rPr>
      </w:pPr>
      <w:r>
        <w:rPr>
          <w:rFonts w:hint="eastAsia"/>
          <w:color w:val="auto"/>
          <w:szCs w:val="21"/>
        </w:rPr>
        <w:t>式中：</w:t>
      </w:r>
      <m:oMath>
        <m:sSub>
          <m:sSubPr>
            <m:ctrlPr>
              <w:rPr>
                <w:rFonts w:ascii="Cambria Math" w:hAnsi="Cambria Math"/>
                <w:i/>
                <w:color w:val="auto"/>
              </w:rPr>
            </m:ctrlPr>
          </m:sSubPr>
          <m:e>
            <m:r>
              <m:rPr/>
              <w:rPr>
                <w:rFonts w:hint="eastAsia" w:ascii="Cambria Math" w:hAnsi="Cambria Math"/>
                <w:color w:val="auto"/>
              </w:rPr>
              <m:t>T</m:t>
            </m:r>
            <m:ctrlPr>
              <w:rPr>
                <w:rFonts w:ascii="Cambria Math" w:hAnsi="Cambria Math"/>
                <w:i/>
                <w:color w:val="auto"/>
              </w:rPr>
            </m:ctrlPr>
          </m:e>
          <m:sub>
            <m:r>
              <m:rPr/>
              <w:rPr>
                <w:rFonts w:hint="eastAsia" w:ascii="Cambria Math" w:hAnsi="Cambria Math"/>
                <w:color w:val="auto"/>
              </w:rPr>
              <m:t>a</m:t>
            </m:r>
            <m:ctrlPr>
              <w:rPr>
                <w:rFonts w:ascii="Cambria Math" w:hAnsi="Cambria Math"/>
                <w:i/>
                <w:color w:val="auto"/>
              </w:rPr>
            </m:ctrlPr>
          </m:sub>
        </m:sSub>
      </m:oMath>
      <w:r>
        <w:rPr>
          <w:color w:val="auto"/>
          <w:szCs w:val="21"/>
        </w:rPr>
        <w:t>——</w:t>
      </w:r>
      <w:r>
        <w:rPr>
          <w:rFonts w:hint="eastAsia"/>
          <w:color w:val="auto"/>
          <w:szCs w:val="21"/>
          <w:u w:val="none"/>
        </w:rPr>
        <w:t>单桩竖向抗拔承载力特征值</w:t>
      </w:r>
      <w:r>
        <w:rPr>
          <w:rFonts w:hint="eastAsia"/>
          <w:color w:val="auto"/>
          <w:u w:val="none"/>
        </w:rPr>
        <w:t>；</w:t>
      </w:r>
      <w:r>
        <w:rPr>
          <w:color w:val="auto"/>
          <w:u w:val="none"/>
        </w:rPr>
        <w:t xml:space="preserve"> </w:t>
      </w:r>
    </w:p>
    <w:p w14:paraId="5CA4F4C4">
      <w:pPr>
        <w:adjustRightInd w:val="0"/>
        <w:snapToGrid w:val="0"/>
        <w:spacing w:line="340" w:lineRule="exact"/>
        <w:rPr>
          <w:color w:val="auto"/>
        </w:rPr>
      </w:pPr>
      <m:oMath>
        <m:sSub>
          <m:sSubPr>
            <m:ctrlPr>
              <w:rPr>
                <w:rFonts w:ascii="Cambria Math" w:hAnsi="Cambria Math"/>
                <w:i/>
                <w:color w:val="auto"/>
              </w:rPr>
            </m:ctrlPr>
          </m:sSubPr>
          <m:e>
            <m:r>
              <m:rPr/>
              <w:rPr>
                <w:rFonts w:ascii="Cambria Math" w:hAnsi="Cambria Math"/>
                <w:color w:val="auto"/>
              </w:rPr>
              <m:t xml:space="preserve">             </m:t>
            </m:r>
            <m:r>
              <m:rPr/>
              <w:rPr>
                <w:rFonts w:hint="eastAsia" w:ascii="Cambria Math" w:hAnsi="Cambria Math"/>
                <w:color w:val="auto"/>
              </w:rPr>
              <m:t>G</m:t>
            </m:r>
            <m:ctrlPr>
              <w:rPr>
                <w:rFonts w:ascii="Cambria Math" w:hAnsi="Cambria Math"/>
                <w:i/>
                <w:color w:val="auto"/>
              </w:rPr>
            </m:ctrlPr>
          </m:e>
          <m:sub>
            <m:r>
              <m:rPr/>
              <w:rPr>
                <w:rFonts w:ascii="Cambria Math" w:hAnsi="Cambria Math"/>
                <w:color w:val="auto"/>
              </w:rPr>
              <m:t>p</m:t>
            </m:r>
            <m:ctrlPr>
              <w:rPr>
                <w:rFonts w:ascii="Cambria Math" w:hAnsi="Cambria Math"/>
                <w:i/>
                <w:color w:val="auto"/>
              </w:rPr>
            </m:ctrlPr>
          </m:sub>
        </m:sSub>
      </m:oMath>
      <w:r>
        <w:rPr>
          <w:color w:val="auto"/>
          <w:szCs w:val="21"/>
        </w:rPr>
        <w:t>——</w:t>
      </w:r>
      <w:r>
        <w:rPr>
          <w:rFonts w:hint="eastAsia"/>
          <w:color w:val="auto"/>
          <w:szCs w:val="21"/>
        </w:rPr>
        <w:t>单桩自重，地下水位以下取浮重度。当单桩竖向抗拔承载力特征值采用试验方法确定时，</w:t>
      </w:r>
      <m:oMath>
        <m:sSub>
          <m:sSubPr>
            <m:ctrlPr>
              <w:rPr>
                <w:rFonts w:ascii="Cambria Math" w:hAnsi="Cambria Math"/>
                <w:i/>
                <w:color w:val="auto"/>
              </w:rPr>
            </m:ctrlPr>
          </m:sSubPr>
          <m:e>
            <m:r>
              <m:rPr/>
              <w:rPr>
                <w:rFonts w:hint="eastAsia" w:ascii="Cambria Math" w:hAnsi="Cambria Math"/>
                <w:color w:val="auto"/>
              </w:rPr>
              <m:t>G</m:t>
            </m:r>
            <m:ctrlPr>
              <w:rPr>
                <w:rFonts w:ascii="Cambria Math" w:hAnsi="Cambria Math"/>
                <w:i/>
                <w:color w:val="auto"/>
              </w:rPr>
            </m:ctrlPr>
          </m:e>
          <m:sub>
            <m:r>
              <m:rPr/>
              <w:rPr>
                <w:rFonts w:ascii="Cambria Math" w:hAnsi="Cambria Math"/>
                <w:color w:val="auto"/>
              </w:rPr>
              <m:t>p</m:t>
            </m:r>
            <m:ctrlPr>
              <w:rPr>
                <w:rFonts w:ascii="Cambria Math" w:hAnsi="Cambria Math"/>
                <w:i/>
                <w:color w:val="auto"/>
              </w:rPr>
            </m:ctrlPr>
          </m:sub>
        </m:sSub>
      </m:oMath>
      <w:r>
        <w:rPr>
          <w:rFonts w:hint="eastAsia"/>
          <w:color w:val="auto"/>
        </w:rPr>
        <w:t>取为0。</w:t>
      </w:r>
    </w:p>
    <w:p w14:paraId="6807AD2D">
      <w:pPr>
        <w:adjustRightInd w:val="0"/>
        <w:snapToGrid w:val="0"/>
        <w:spacing w:line="340" w:lineRule="exact"/>
        <w:rPr>
          <w:color w:val="auto"/>
          <w:szCs w:val="21"/>
        </w:rPr>
      </w:pPr>
      <w:r>
        <w:rPr>
          <w:rFonts w:eastAsia="黑体"/>
          <w:b/>
          <w:color w:val="auto"/>
          <w:szCs w:val="21"/>
        </w:rPr>
        <w:t>12.3.3</w:t>
      </w:r>
      <w:r>
        <w:rPr>
          <w:color w:val="auto"/>
          <w:szCs w:val="21"/>
        </w:rPr>
        <w:t xml:space="preserve">  单桩竖向承载力特征值的确定应符合下列规定：</w:t>
      </w:r>
    </w:p>
    <w:p w14:paraId="08DF6BEA">
      <w:pPr>
        <w:adjustRightInd w:val="0"/>
        <w:snapToGrid w:val="0"/>
        <w:spacing w:line="340" w:lineRule="exact"/>
        <w:ind w:firstLine="422" w:firstLineChars="200"/>
        <w:rPr>
          <w:color w:val="auto"/>
          <w:szCs w:val="21"/>
        </w:rPr>
      </w:pPr>
      <w:r>
        <w:rPr>
          <w:rFonts w:eastAsia="黑体"/>
          <w:b/>
          <w:color w:val="auto"/>
          <w:szCs w:val="21"/>
        </w:rPr>
        <w:t>a)</w:t>
      </w:r>
      <w:r>
        <w:rPr>
          <w:color w:val="auto"/>
          <w:szCs w:val="21"/>
        </w:rPr>
        <w:t xml:space="preserve">  单桩竖向承载力特征值应通过单桩竖向静载试验确定</w:t>
      </w:r>
      <w:r>
        <w:rPr>
          <w:rFonts w:hint="eastAsia"/>
          <w:color w:val="auto"/>
          <w:szCs w:val="21"/>
        </w:rPr>
        <w:t>，可取单桩竖向极限承载力的1</w:t>
      </w:r>
      <w:r>
        <w:rPr>
          <w:color w:val="auto"/>
          <w:szCs w:val="21"/>
        </w:rPr>
        <w:t>/2。</w:t>
      </w:r>
    </w:p>
    <w:p w14:paraId="067C088C">
      <w:pPr>
        <w:adjustRightInd w:val="0"/>
        <w:snapToGrid w:val="0"/>
        <w:spacing w:line="340" w:lineRule="exact"/>
        <w:ind w:firstLine="420" w:firstLineChars="200"/>
        <w:rPr>
          <w:color w:val="auto"/>
          <w:szCs w:val="21"/>
        </w:rPr>
      </w:pPr>
      <w:r>
        <w:rPr>
          <w:color w:val="auto"/>
          <w:szCs w:val="21"/>
        </w:rPr>
        <w:t>对单桩承载力很高的大直径端承型桩，</w:t>
      </w:r>
      <w:r>
        <w:rPr>
          <w:rFonts w:hint="eastAsia"/>
          <w:color w:val="auto"/>
          <w:szCs w:val="21"/>
        </w:rPr>
        <w:t>有条件时</w:t>
      </w:r>
      <w:r>
        <w:rPr>
          <w:color w:val="auto"/>
          <w:szCs w:val="21"/>
        </w:rPr>
        <w:t>可采用深层平板载荷试验</w:t>
      </w:r>
      <w:r>
        <w:rPr>
          <w:rFonts w:hint="eastAsia"/>
          <w:color w:val="auto"/>
          <w:szCs w:val="21"/>
        </w:rPr>
        <w:t>或岩基平板载荷试验</w:t>
      </w:r>
      <w:r>
        <w:rPr>
          <w:color w:val="auto"/>
          <w:szCs w:val="21"/>
        </w:rPr>
        <w:t>确定桩端</w:t>
      </w:r>
      <w:r>
        <w:rPr>
          <w:rFonts w:hint="eastAsia"/>
          <w:color w:val="auto"/>
          <w:szCs w:val="21"/>
        </w:rPr>
        <w:t>岩</w:t>
      </w:r>
      <w:r>
        <w:rPr>
          <w:color w:val="auto"/>
          <w:szCs w:val="21"/>
        </w:rPr>
        <w:t>土的承载力特征值。</w:t>
      </w:r>
    </w:p>
    <w:p w14:paraId="5C3D0C5C">
      <w:pPr>
        <w:adjustRightInd w:val="0"/>
        <w:snapToGrid w:val="0"/>
        <w:spacing w:line="340" w:lineRule="exact"/>
        <w:ind w:firstLine="422" w:firstLineChars="200"/>
        <w:rPr>
          <w:color w:val="auto"/>
          <w:szCs w:val="21"/>
        </w:rPr>
      </w:pPr>
      <w:r>
        <w:rPr>
          <w:rFonts w:eastAsia="黑体"/>
          <w:b/>
          <w:color w:val="auto"/>
          <w:szCs w:val="21"/>
        </w:rPr>
        <w:t>b)</w:t>
      </w:r>
      <w:r>
        <w:rPr>
          <w:color w:val="auto"/>
          <w:szCs w:val="21"/>
        </w:rPr>
        <w:t xml:space="preserve">  试桩之前需进行设计估算时，单桩竖向抗压承载力特征值（包括桩端嵌入软质岩及强风化硬质岩的桩）可按</w:t>
      </w:r>
      <w:r>
        <w:rPr>
          <w:rFonts w:hint="eastAsia"/>
          <w:color w:val="auto"/>
          <w:lang w:val="en-US" w:eastAsia="zh-CN"/>
        </w:rPr>
        <w:t>公式（76）</w:t>
      </w:r>
      <w:r>
        <w:rPr>
          <w:color w:val="auto"/>
          <w:szCs w:val="21"/>
        </w:rPr>
        <w:t>预估：</w:t>
      </w:r>
    </w:p>
    <w:p w14:paraId="3765A52C">
      <w:pPr>
        <w:pStyle w:val="12"/>
        <w:jc w:val="right"/>
        <w:rPr>
          <w:color w:val="auto"/>
          <w:szCs w:val="21"/>
        </w:rPr>
      </w:pPr>
      <w:r>
        <w:rPr>
          <w:color w:val="auto"/>
          <w:position w:val="-14"/>
          <w:szCs w:val="21"/>
          <w:vertAlign w:val="subscript"/>
        </w:rPr>
        <w:object>
          <v:shape id="_x0000_i1369" o:spt="75" type="#_x0000_t75" style="height:21.75pt;width:100.5pt;" o:ole="t" filled="f" o:preferrelative="t" stroked="f" coordsize="21600,21600">
            <v:path/>
            <v:fill on="f" focussize="0,0"/>
            <v:stroke on="f" joinstyle="miter"/>
            <v:imagedata r:id="rId675" o:title=""/>
            <o:lock v:ext="edit" aspectratio="t"/>
            <w10:wrap type="none"/>
            <w10:anchorlock/>
          </v:shape>
          <o:OLEObject Type="Embed" ProgID="Equation.DSMT4" ShapeID="_x0000_i1369" DrawAspect="Content" ObjectID="_1468076069" r:id="rId674">
            <o:LockedField>false</o:LockedField>
          </o:OLEObject>
        </w:object>
      </w:r>
      <w:r>
        <w:rPr>
          <w:color w:val="auto"/>
          <w:szCs w:val="21"/>
          <w:vertAlign w:val="subscript"/>
        </w:rPr>
        <w:t xml:space="preserve">                         </w:t>
      </w:r>
      <w:r>
        <w:rPr>
          <w:color w:val="auto"/>
          <w:szCs w:val="21"/>
        </w:rPr>
        <w:t xml:space="preserve">    </w:t>
      </w:r>
      <w:r>
        <w:rPr>
          <w:color w:val="auto"/>
          <w:szCs w:val="21"/>
          <w:vertAlign w:val="subscript"/>
        </w:rPr>
        <w:t xml:space="preserve">                 </w:t>
      </w:r>
      <w:r>
        <w:rPr>
          <w:color w:val="auto"/>
          <w:szCs w:val="21"/>
        </w:rPr>
        <w:t>(</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76</w:t>
      </w:r>
      <w:r>
        <w:rPr>
          <w:color w:val="auto"/>
          <w:szCs w:val="21"/>
        </w:rPr>
        <w:fldChar w:fldCharType="end"/>
      </w:r>
      <w:r>
        <w:rPr>
          <w:color w:val="auto"/>
          <w:szCs w:val="21"/>
        </w:rPr>
        <w:t>)</w:t>
      </w:r>
    </w:p>
    <w:p w14:paraId="3CC859CA">
      <w:pPr>
        <w:adjustRightInd w:val="0"/>
        <w:snapToGrid w:val="0"/>
        <w:spacing w:line="340" w:lineRule="exact"/>
        <w:rPr>
          <w:color w:val="auto"/>
          <w:szCs w:val="21"/>
        </w:rPr>
      </w:pPr>
      <w:r>
        <w:rPr>
          <w:color w:val="auto"/>
          <w:szCs w:val="21"/>
        </w:rPr>
        <w:t xml:space="preserve">式中  </w:t>
      </w:r>
      <w:r>
        <w:rPr>
          <w:color w:val="auto"/>
          <w:position w:val="-12"/>
          <w:szCs w:val="21"/>
        </w:rPr>
        <w:object>
          <v:shape id="_x0000_i1370" o:spt="75" type="#_x0000_t75" style="height:21.75pt;width:15pt;" o:ole="t" filled="f" o:preferrelative="t" stroked="f" coordsize="21600,21600">
            <v:path/>
            <v:fill on="f" focussize="0,0"/>
            <v:stroke on="f" joinstyle="miter"/>
            <v:imagedata r:id="rId677" o:title=""/>
            <o:lock v:ext="edit" aspectratio="t"/>
            <w10:wrap type="none"/>
            <w10:anchorlock/>
          </v:shape>
          <o:OLEObject Type="Embed" ProgID="Equation.DSMT4" ShapeID="_x0000_i1370" DrawAspect="Content" ObjectID="_1468076070" r:id="rId676">
            <o:LockedField>false</o:LockedField>
          </o:OLEObject>
        </w:object>
      </w:r>
      <w:r>
        <w:rPr>
          <w:color w:val="auto"/>
          <w:szCs w:val="21"/>
        </w:rPr>
        <w:t>——单桩竖向承载力特征值；</w:t>
      </w:r>
    </w:p>
    <w:p w14:paraId="255B7329">
      <w:pPr>
        <w:adjustRightInd w:val="0"/>
        <w:snapToGrid w:val="0"/>
        <w:spacing w:line="240" w:lineRule="atLeast"/>
        <w:ind w:left="1344" w:leftChars="7" w:hanging="1329" w:hangingChars="633"/>
        <w:rPr>
          <w:color w:val="auto"/>
          <w:szCs w:val="21"/>
        </w:rPr>
      </w:pPr>
      <w:r>
        <w:rPr>
          <w:color w:val="auto"/>
          <w:position w:val="-14"/>
          <w:szCs w:val="21"/>
        </w:rPr>
        <w:object>
          <v:shape id="_x0000_i1371" o:spt="75" type="#_x0000_t75" style="height:21.75pt;width:15pt;" o:ole="t" filled="f" o:preferrelative="t" stroked="f" coordsize="21600,21600">
            <v:path/>
            <v:fill on="f" focussize="0,0"/>
            <v:stroke on="f" joinstyle="miter"/>
            <v:imagedata r:id="rId679" o:title=""/>
            <o:lock v:ext="edit" aspectratio="t"/>
            <w10:wrap type="none"/>
            <w10:anchorlock/>
          </v:shape>
          <o:OLEObject Type="Embed" ProgID="Equation.DSMT4" ShapeID="_x0000_i1371" DrawAspect="Content" ObjectID="_1468076071" r:id="rId678">
            <o:LockedField>false</o:LockedField>
          </o:OLEObject>
        </w:object>
      </w:r>
      <w:r>
        <w:rPr>
          <w:color w:val="auto"/>
          <w:szCs w:val="21"/>
        </w:rPr>
        <w:t>、</w:t>
      </w:r>
      <w:r>
        <w:rPr>
          <w:color w:val="auto"/>
          <w:position w:val="-12"/>
          <w:szCs w:val="21"/>
        </w:rPr>
        <w:object>
          <v:shape id="_x0000_i1372" o:spt="75" type="#_x0000_t75" style="height:21.75pt;width:15pt;" o:ole="t" filled="f" o:preferrelative="t" stroked="f" coordsize="21600,21600">
            <v:path/>
            <v:fill on="f" focussize="0,0"/>
            <v:stroke on="f" joinstyle="miter"/>
            <v:imagedata r:id="rId681" o:title=""/>
            <o:lock v:ext="edit" aspectratio="t"/>
            <w10:wrap type="none"/>
            <w10:anchorlock/>
          </v:shape>
          <o:OLEObject Type="Embed" ProgID="Equation.DSMT4" ShapeID="_x0000_i1372" DrawAspect="Content" ObjectID="_1468076072" r:id="rId680">
            <o:LockedField>false</o:LockedField>
          </o:OLEObject>
        </w:object>
      </w:r>
      <w:r>
        <w:rPr>
          <w:color w:val="auto"/>
          <w:szCs w:val="21"/>
        </w:rPr>
        <w:t>——桩端端阻力、第</w:t>
      </w:r>
      <w:r>
        <w:rPr>
          <w:i/>
          <w:color w:val="auto"/>
          <w:szCs w:val="21"/>
        </w:rPr>
        <w:t>i</w:t>
      </w:r>
      <w:r>
        <w:rPr>
          <w:color w:val="auto"/>
          <w:szCs w:val="21"/>
        </w:rPr>
        <w:t>层土桩侧阻力特征值，由当地载荷试验结果统计分析算得，或按本文件附录F采用；</w:t>
      </w:r>
    </w:p>
    <w:p w14:paraId="43522C03">
      <w:pPr>
        <w:adjustRightInd w:val="0"/>
        <w:snapToGrid w:val="0"/>
        <w:spacing w:line="240" w:lineRule="atLeast"/>
        <w:ind w:firstLine="618"/>
        <w:rPr>
          <w:color w:val="auto"/>
          <w:szCs w:val="21"/>
        </w:rPr>
      </w:pPr>
      <w:r>
        <w:rPr>
          <w:color w:val="auto"/>
          <w:position w:val="-14"/>
          <w:szCs w:val="21"/>
        </w:rPr>
        <w:object>
          <v:shape id="_x0000_i1373" o:spt="75" type="#_x0000_t75" style="height:21.75pt;width:15pt;" o:ole="t" filled="f" o:preferrelative="t" stroked="f" coordsize="21600,21600">
            <v:path/>
            <v:fill on="f" focussize="0,0"/>
            <v:stroke on="f" joinstyle="miter"/>
            <v:imagedata r:id="rId683" o:title=""/>
            <o:lock v:ext="edit" aspectratio="t"/>
            <w10:wrap type="none"/>
            <w10:anchorlock/>
          </v:shape>
          <o:OLEObject Type="Embed" ProgID="Equation.DSMT4" ShapeID="_x0000_i1373" DrawAspect="Content" ObjectID="_1468076073" r:id="rId682">
            <o:LockedField>false</o:LockedField>
          </o:OLEObject>
        </w:object>
      </w:r>
      <w:r>
        <w:rPr>
          <w:color w:val="auto"/>
          <w:szCs w:val="21"/>
        </w:rPr>
        <w:t>——桩端横截面面积；</w:t>
      </w:r>
    </w:p>
    <w:p w14:paraId="76F97D2F">
      <w:pPr>
        <w:adjustRightInd w:val="0"/>
        <w:snapToGrid w:val="0"/>
        <w:spacing w:line="240" w:lineRule="atLeast"/>
        <w:ind w:firstLine="629"/>
        <w:rPr>
          <w:color w:val="auto"/>
          <w:szCs w:val="21"/>
        </w:rPr>
      </w:pPr>
      <w:r>
        <w:rPr>
          <w:color w:val="auto"/>
          <w:position w:val="-14"/>
          <w:szCs w:val="21"/>
        </w:rPr>
        <w:object>
          <v:shape id="_x0000_i1374" o:spt="75" type="#_x0000_t75" style="height:21.75pt;width:15pt;" o:ole="t" filled="f" o:preferrelative="t" stroked="f" coordsize="21600,21600">
            <v:path/>
            <v:fill on="f" focussize="0,0"/>
            <v:stroke on="f" joinstyle="miter"/>
            <v:imagedata r:id="rId291" o:title=""/>
            <o:lock v:ext="edit" aspectratio="t"/>
            <w10:wrap type="none"/>
            <w10:anchorlock/>
          </v:shape>
          <o:OLEObject Type="Embed" ProgID="Equation.DSMT4" ShapeID="_x0000_i1374" DrawAspect="Content" ObjectID="_1468076074" r:id="rId684">
            <o:LockedField>false</o:LockedField>
          </o:OLEObject>
        </w:object>
      </w:r>
      <w:r>
        <w:rPr>
          <w:color w:val="auto"/>
          <w:szCs w:val="21"/>
        </w:rPr>
        <w:t>——桩身</w:t>
      </w:r>
      <w:r>
        <w:rPr>
          <w:rFonts w:hint="eastAsia"/>
          <w:color w:val="auto"/>
          <w:szCs w:val="21"/>
        </w:rPr>
        <w:t>截面周长</w:t>
      </w:r>
      <w:r>
        <w:rPr>
          <w:color w:val="auto"/>
          <w:szCs w:val="21"/>
        </w:rPr>
        <w:t>；</w:t>
      </w:r>
    </w:p>
    <w:p w14:paraId="7765E4D0">
      <w:pPr>
        <w:tabs>
          <w:tab w:val="left" w:pos="720"/>
        </w:tabs>
        <w:adjustRightInd w:val="0"/>
        <w:snapToGrid w:val="0"/>
        <w:spacing w:line="340" w:lineRule="exact"/>
        <w:ind w:firstLine="574" w:firstLineChars="338"/>
        <w:rPr>
          <w:color w:val="auto"/>
          <w:szCs w:val="21"/>
        </w:rPr>
      </w:pPr>
      <w:r>
        <w:rPr>
          <w:color w:val="auto"/>
          <w:spacing w:val="-20"/>
          <w:position w:val="-12"/>
          <w:szCs w:val="21"/>
          <w:vertAlign w:val="subscript"/>
        </w:rPr>
        <w:object>
          <v:shape id="_x0000_i1375" o:spt="75" type="#_x0000_t75" style="height:21.75pt;width:8.25pt;" o:ole="t" filled="f" o:preferrelative="t" stroked="f" coordsize="21600,21600">
            <v:path/>
            <v:fill on="f" focussize="0,0"/>
            <v:stroke on="f" joinstyle="miter"/>
            <v:imagedata r:id="rId686" o:title=""/>
            <o:lock v:ext="edit" aspectratio="t"/>
            <w10:wrap type="none"/>
            <w10:anchorlock/>
          </v:shape>
          <o:OLEObject Type="Embed" ProgID="Equation.DSMT4" ShapeID="_x0000_i1375" DrawAspect="Content" ObjectID="_1468076075" r:id="rId685">
            <o:LockedField>false</o:LockedField>
          </o:OLEObject>
        </w:object>
      </w:r>
      <w:r>
        <w:rPr>
          <w:color w:val="auto"/>
          <w:szCs w:val="21"/>
        </w:rPr>
        <w:t>——第</w:t>
      </w:r>
      <w:r>
        <w:rPr>
          <w:i/>
          <w:iCs/>
          <w:color w:val="auto"/>
          <w:szCs w:val="21"/>
        </w:rPr>
        <w:t>i</w:t>
      </w:r>
      <w:r>
        <w:rPr>
          <w:color w:val="auto"/>
          <w:szCs w:val="21"/>
        </w:rPr>
        <w:t>层岩土的厚度。</w:t>
      </w:r>
    </w:p>
    <w:p w14:paraId="33DA1F37">
      <w:pPr>
        <w:adjustRightInd w:val="0"/>
        <w:snapToGrid w:val="0"/>
        <w:spacing w:before="40" w:line="340" w:lineRule="exact"/>
        <w:ind w:right="-7" w:firstLine="422" w:firstLineChars="200"/>
        <w:rPr>
          <w:color w:val="auto"/>
          <w:szCs w:val="21"/>
        </w:rPr>
      </w:pPr>
      <w:r>
        <w:rPr>
          <w:rFonts w:eastAsia="黑体"/>
          <w:b/>
          <w:color w:val="auto"/>
          <w:szCs w:val="21"/>
        </w:rPr>
        <w:t>c)</w:t>
      </w:r>
      <w:r>
        <w:rPr>
          <w:color w:val="auto"/>
          <w:szCs w:val="21"/>
        </w:rPr>
        <w:t xml:space="preserve">  大直径灌注桩（d≥800mm）估算单桩竖向抗压承载力特征值时可按</w:t>
      </w:r>
      <w:r>
        <w:rPr>
          <w:rFonts w:hint="eastAsia"/>
          <w:color w:val="auto"/>
          <w:lang w:val="en-US" w:eastAsia="zh-CN"/>
        </w:rPr>
        <w:t>公式（77）</w:t>
      </w:r>
      <w:r>
        <w:rPr>
          <w:color w:val="auto"/>
          <w:szCs w:val="21"/>
        </w:rPr>
        <w:t>计算：</w:t>
      </w:r>
    </w:p>
    <w:p w14:paraId="6E1274E9">
      <w:pPr>
        <w:pStyle w:val="12"/>
        <w:jc w:val="right"/>
        <w:rPr>
          <w:color w:val="auto"/>
          <w:szCs w:val="21"/>
        </w:rPr>
      </w:pPr>
      <w:r>
        <w:rPr>
          <w:color w:val="auto"/>
          <w:position w:val="-14"/>
          <w:szCs w:val="21"/>
          <w:vertAlign w:val="subscript"/>
        </w:rPr>
        <w:object>
          <v:shape id="_x0000_i1376" o:spt="75" type="#_x0000_t75" style="height:21.75pt;width:129.75pt;" o:ole="t" filled="f" o:preferrelative="t" stroked="f" coordsize="21600,21600">
            <v:path/>
            <v:fill on="f" focussize="0,0"/>
            <v:stroke on="f" joinstyle="miter"/>
            <v:imagedata r:id="rId688" o:title=""/>
            <o:lock v:ext="edit" aspectratio="t"/>
            <w10:wrap type="none"/>
            <w10:anchorlock/>
          </v:shape>
          <o:OLEObject Type="Embed" ProgID="Equation.DSMT4" ShapeID="_x0000_i1376" DrawAspect="Content" ObjectID="_1468076076" r:id="rId687">
            <o:LockedField>false</o:LockedField>
          </o:OLEObject>
        </w:object>
      </w:r>
      <w:r>
        <w:rPr>
          <w:color w:val="auto"/>
          <w:szCs w:val="21"/>
          <w:vertAlign w:val="subscript"/>
        </w:rPr>
        <w:t xml:space="preserve">         </w:t>
      </w:r>
      <w:r>
        <w:rPr>
          <w:rFonts w:hint="eastAsia"/>
          <w:color w:val="auto"/>
          <w:szCs w:val="21"/>
          <w:vertAlign w:val="subscript"/>
        </w:rPr>
        <w:t xml:space="preserve">    </w:t>
      </w:r>
      <w:r>
        <w:rPr>
          <w:color w:val="auto"/>
          <w:szCs w:val="21"/>
          <w:vertAlign w:val="sub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77</w:t>
      </w:r>
      <w:r>
        <w:rPr>
          <w:color w:val="auto"/>
          <w:szCs w:val="21"/>
        </w:rPr>
        <w:fldChar w:fldCharType="end"/>
      </w:r>
      <w:r>
        <w:rPr>
          <w:color w:val="auto"/>
          <w:szCs w:val="21"/>
        </w:rPr>
        <w:t>)</w:t>
      </w:r>
    </w:p>
    <w:p w14:paraId="38BFEE8C">
      <w:pPr>
        <w:adjustRightInd w:val="0"/>
        <w:snapToGrid w:val="0"/>
        <w:spacing w:before="93" w:beforeLines="30" w:line="340" w:lineRule="exact"/>
        <w:ind w:firstLine="420" w:firstLineChars="200"/>
        <w:rPr>
          <w:color w:val="auto"/>
          <w:szCs w:val="21"/>
        </w:rPr>
      </w:pPr>
      <w:r>
        <w:rPr>
          <w:color w:val="auto"/>
          <w:szCs w:val="21"/>
        </w:rPr>
        <w:t>计算混凝土护壁的大直径挖孔桩单桩竖向承载力特征值时，其设计桩径取护壁外直径。</w:t>
      </w:r>
      <w:r>
        <w:rPr>
          <w:rFonts w:hint="eastAsia"/>
          <w:color w:val="auto"/>
          <w:szCs w:val="21"/>
        </w:rPr>
        <w:t>扩底桩斜面及以上2d长度范围内不计侧阻力</w:t>
      </w:r>
      <w:r>
        <w:rPr>
          <w:color w:val="auto"/>
          <w:szCs w:val="21"/>
        </w:rPr>
        <w:t>。</w:t>
      </w:r>
    </w:p>
    <w:p w14:paraId="706534D3">
      <w:pPr>
        <w:adjustRightInd w:val="0"/>
        <w:snapToGrid w:val="0"/>
        <w:spacing w:line="240" w:lineRule="atLeast"/>
        <w:ind w:left="1705" w:leftChars="199" w:hanging="1287" w:hangingChars="613"/>
        <w:rPr>
          <w:color w:val="auto"/>
          <w:szCs w:val="21"/>
        </w:rPr>
      </w:pPr>
      <w:r>
        <w:rPr>
          <w:color w:val="auto"/>
          <w:position w:val="-14"/>
          <w:szCs w:val="21"/>
        </w:rPr>
        <w:object>
          <v:shape id="_x0000_i1377" o:spt="75" type="#_x0000_t75" style="height:21.75pt;width:15pt;" o:ole="t" filled="f" o:preferrelative="t" stroked="f" coordsize="21600,21600">
            <v:path/>
            <v:fill on="f" focussize="0,0"/>
            <v:stroke on="f" joinstyle="miter"/>
            <v:imagedata r:id="rId690" o:title=""/>
            <o:lock v:ext="edit" aspectratio="t"/>
            <w10:wrap type="none"/>
            <w10:anchorlock/>
          </v:shape>
          <o:OLEObject Type="Embed" ProgID="Equation.DSMT4" ShapeID="_x0000_i1377" DrawAspect="Content" ObjectID="_1468076077" r:id="rId689">
            <o:LockedField>false</o:LockedField>
          </o:OLEObject>
        </w:object>
      </w:r>
      <w:r>
        <w:rPr>
          <w:color w:val="auto"/>
          <w:szCs w:val="21"/>
        </w:rPr>
        <w:t>、</w:t>
      </w:r>
      <w:r>
        <w:rPr>
          <w:color w:val="auto"/>
          <w:position w:val="-12"/>
          <w:szCs w:val="21"/>
        </w:rPr>
        <w:object>
          <v:shape id="_x0000_i1378" o:spt="75" type="#_x0000_t75" style="height:21.75pt;width:15pt;" o:ole="t" filled="f" o:preferrelative="t" stroked="f" coordsize="21600,21600">
            <v:path/>
            <v:fill on="f" focussize="0,0"/>
            <v:stroke on="f" joinstyle="miter"/>
            <v:imagedata r:id="rId692" o:title=""/>
            <o:lock v:ext="edit" aspectratio="t"/>
            <w10:wrap type="none"/>
            <w10:anchorlock/>
          </v:shape>
          <o:OLEObject Type="Embed" ProgID="Equation.DSMT4" ShapeID="_x0000_i1378" DrawAspect="Content" ObjectID="_1468076078" r:id="rId691">
            <o:LockedField>false</o:LockedField>
          </o:OLEObject>
        </w:object>
      </w:r>
      <w:r>
        <w:rPr>
          <w:color w:val="auto"/>
          <w:szCs w:val="21"/>
        </w:rPr>
        <w:t>——大直径桩端阻、侧阻尺寸效应系数，按表54取值。</w:t>
      </w:r>
    </w:p>
    <w:p w14:paraId="719A5647">
      <w:pPr>
        <w:adjustRightInd w:val="0"/>
        <w:snapToGrid w:val="0"/>
        <w:spacing w:before="240" w:line="360" w:lineRule="atLeast"/>
        <w:jc w:val="center"/>
        <w:rPr>
          <w:b/>
          <w:bCs/>
          <w:color w:val="auto"/>
          <w:sz w:val="18"/>
          <w:szCs w:val="18"/>
        </w:rPr>
      </w:pPr>
      <w:r>
        <w:rPr>
          <w:rFonts w:eastAsia="黑体"/>
          <w:b/>
          <w:bCs/>
          <w:color w:val="auto"/>
          <w:sz w:val="21"/>
          <w:szCs w:val="21"/>
        </w:rPr>
        <w:t>表</w:t>
      </w:r>
      <w:r>
        <w:rPr>
          <w:b/>
          <w:bCs/>
          <w:color w:val="auto"/>
          <w:sz w:val="21"/>
          <w:szCs w:val="21"/>
        </w:rPr>
        <w:t xml:space="preserve">54   </w:t>
      </w:r>
      <w:r>
        <w:rPr>
          <w:rFonts w:eastAsia="黑体"/>
          <w:b/>
          <w:bCs/>
          <w:color w:val="auto"/>
          <w:sz w:val="21"/>
          <w:szCs w:val="21"/>
        </w:rPr>
        <w:t>端阻、侧阻尺寸效应系数</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32"/>
        <w:gridCol w:w="3264"/>
        <w:gridCol w:w="2967"/>
      </w:tblGrid>
      <w:tr w14:paraId="08599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2932" w:type="dxa"/>
            <w:vAlign w:val="center"/>
          </w:tcPr>
          <w:p w14:paraId="6EA2412F">
            <w:pPr>
              <w:adjustRightInd w:val="0"/>
              <w:snapToGrid w:val="0"/>
              <w:spacing w:line="260" w:lineRule="exact"/>
              <w:jc w:val="center"/>
              <w:rPr>
                <w:color w:val="auto"/>
                <w:sz w:val="21"/>
                <w:szCs w:val="21"/>
              </w:rPr>
            </w:pPr>
            <w:r>
              <w:rPr>
                <w:color w:val="auto"/>
                <w:sz w:val="21"/>
                <w:szCs w:val="21"/>
              </w:rPr>
              <w:t>土类别</w:t>
            </w:r>
          </w:p>
        </w:tc>
        <w:tc>
          <w:tcPr>
            <w:tcW w:w="3264" w:type="dxa"/>
            <w:vAlign w:val="center"/>
          </w:tcPr>
          <w:p w14:paraId="2B2D9FEC">
            <w:pPr>
              <w:adjustRightInd w:val="0"/>
              <w:snapToGrid w:val="0"/>
              <w:spacing w:line="260" w:lineRule="exact"/>
              <w:jc w:val="center"/>
              <w:rPr>
                <w:color w:val="auto"/>
                <w:sz w:val="21"/>
                <w:szCs w:val="21"/>
              </w:rPr>
            </w:pPr>
            <w:r>
              <w:rPr>
                <w:color w:val="auto"/>
                <w:sz w:val="21"/>
                <w:szCs w:val="21"/>
              </w:rPr>
              <w:t>黏性土、粉土</w:t>
            </w:r>
          </w:p>
        </w:tc>
        <w:tc>
          <w:tcPr>
            <w:tcW w:w="2967" w:type="dxa"/>
            <w:vAlign w:val="center"/>
          </w:tcPr>
          <w:p w14:paraId="7DAAB0D2">
            <w:pPr>
              <w:adjustRightInd w:val="0"/>
              <w:snapToGrid w:val="0"/>
              <w:spacing w:line="260" w:lineRule="exact"/>
              <w:jc w:val="center"/>
              <w:rPr>
                <w:color w:val="auto"/>
                <w:sz w:val="21"/>
                <w:szCs w:val="21"/>
              </w:rPr>
            </w:pPr>
            <w:r>
              <w:rPr>
                <w:color w:val="auto"/>
                <w:sz w:val="21"/>
                <w:szCs w:val="21"/>
              </w:rPr>
              <w:t>砂土、碎石土</w:t>
            </w:r>
          </w:p>
        </w:tc>
      </w:tr>
      <w:tr w14:paraId="7BF66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2932" w:type="dxa"/>
            <w:vAlign w:val="center"/>
          </w:tcPr>
          <w:p w14:paraId="5530AB97">
            <w:pPr>
              <w:adjustRightInd w:val="0"/>
              <w:snapToGrid w:val="0"/>
              <w:spacing w:line="260" w:lineRule="exact"/>
              <w:jc w:val="center"/>
              <w:rPr>
                <w:color w:val="auto"/>
                <w:sz w:val="21"/>
                <w:szCs w:val="21"/>
              </w:rPr>
            </w:pPr>
            <w:r>
              <w:rPr>
                <w:i/>
                <w:color w:val="auto"/>
                <w:sz w:val="21"/>
                <w:szCs w:val="21"/>
              </w:rPr>
              <w:t>Ψ</w:t>
            </w:r>
            <w:r>
              <w:rPr>
                <w:color w:val="auto"/>
                <w:sz w:val="21"/>
                <w:szCs w:val="21"/>
                <w:vertAlign w:val="subscript"/>
              </w:rPr>
              <w:t>si</w:t>
            </w:r>
          </w:p>
        </w:tc>
        <w:tc>
          <w:tcPr>
            <w:tcW w:w="3264" w:type="dxa"/>
            <w:vAlign w:val="center"/>
          </w:tcPr>
          <w:p w14:paraId="78A1A853">
            <w:pPr>
              <w:adjustRightInd w:val="0"/>
              <w:snapToGrid w:val="0"/>
              <w:spacing w:line="260" w:lineRule="exact"/>
              <w:jc w:val="center"/>
              <w:rPr>
                <w:color w:val="auto"/>
                <w:sz w:val="21"/>
                <w:szCs w:val="21"/>
              </w:rPr>
            </w:pPr>
            <w:r>
              <w:rPr>
                <w:color w:val="auto"/>
                <w:position w:val="-8"/>
                <w:sz w:val="21"/>
                <w:szCs w:val="21"/>
              </w:rPr>
              <w:object>
                <v:shape id="_x0000_i1379" o:spt="75" type="#_x0000_t75" style="height:15pt;width:36.75pt;" o:ole="t" filled="f" o:preferrelative="t" stroked="f" coordsize="21600,21600">
                  <v:path/>
                  <v:fill on="f" focussize="0,0"/>
                  <v:stroke on="f" joinstyle="miter"/>
                  <v:imagedata r:id="rId694" o:title=""/>
                  <o:lock v:ext="edit" aspectratio="t"/>
                  <w10:wrap type="none"/>
                  <w10:anchorlock/>
                </v:shape>
                <o:OLEObject Type="Embed" ProgID="Equation.DSMT4" ShapeID="_x0000_i1379" DrawAspect="Content" ObjectID="_1468076079" r:id="rId693">
                  <o:LockedField>false</o:LockedField>
                </o:OLEObject>
              </w:object>
            </w:r>
          </w:p>
        </w:tc>
        <w:tc>
          <w:tcPr>
            <w:tcW w:w="2967" w:type="dxa"/>
            <w:vAlign w:val="center"/>
          </w:tcPr>
          <w:p w14:paraId="5FC3A507">
            <w:pPr>
              <w:adjustRightInd w:val="0"/>
              <w:snapToGrid w:val="0"/>
              <w:spacing w:line="260" w:lineRule="exact"/>
              <w:jc w:val="center"/>
              <w:rPr>
                <w:color w:val="auto"/>
                <w:sz w:val="21"/>
                <w:szCs w:val="21"/>
              </w:rPr>
            </w:pPr>
            <w:r>
              <w:rPr>
                <w:color w:val="auto"/>
                <w:position w:val="-8"/>
                <w:sz w:val="21"/>
                <w:szCs w:val="21"/>
              </w:rPr>
              <w:object>
                <v:shape id="_x0000_i1380" o:spt="75" type="#_x0000_t75" style="height:15pt;width:36.75pt;" o:ole="t" filled="f" o:preferrelative="t" stroked="f" coordsize="21600,21600">
                  <v:path/>
                  <v:fill on="f" focussize="0,0"/>
                  <v:stroke on="f" joinstyle="miter"/>
                  <v:imagedata r:id="rId696" o:title=""/>
                  <o:lock v:ext="edit" aspectratio="t"/>
                  <w10:wrap type="none"/>
                  <w10:anchorlock/>
                </v:shape>
                <o:OLEObject Type="Embed" ProgID="Equation.DSMT4" ShapeID="_x0000_i1380" DrawAspect="Content" ObjectID="_1468076080" r:id="rId695">
                  <o:LockedField>false</o:LockedField>
                </o:OLEObject>
              </w:object>
            </w:r>
          </w:p>
        </w:tc>
      </w:tr>
      <w:tr w14:paraId="15424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2932" w:type="dxa"/>
            <w:vAlign w:val="center"/>
          </w:tcPr>
          <w:p w14:paraId="045B37D5">
            <w:pPr>
              <w:adjustRightInd w:val="0"/>
              <w:snapToGrid w:val="0"/>
              <w:spacing w:line="260" w:lineRule="exact"/>
              <w:jc w:val="center"/>
              <w:rPr>
                <w:color w:val="auto"/>
                <w:sz w:val="21"/>
                <w:szCs w:val="21"/>
              </w:rPr>
            </w:pPr>
            <w:r>
              <w:rPr>
                <w:i/>
                <w:color w:val="auto"/>
                <w:sz w:val="21"/>
                <w:szCs w:val="21"/>
              </w:rPr>
              <w:t>Ψ</w:t>
            </w:r>
            <w:r>
              <w:rPr>
                <w:color w:val="auto"/>
                <w:sz w:val="21"/>
                <w:szCs w:val="21"/>
                <w:vertAlign w:val="subscript"/>
              </w:rPr>
              <w:t>p</w:t>
            </w:r>
          </w:p>
        </w:tc>
        <w:tc>
          <w:tcPr>
            <w:tcW w:w="3264" w:type="dxa"/>
            <w:vAlign w:val="center"/>
          </w:tcPr>
          <w:p w14:paraId="44B0D91A">
            <w:pPr>
              <w:adjustRightInd w:val="0"/>
              <w:snapToGrid w:val="0"/>
              <w:spacing w:line="260" w:lineRule="exact"/>
              <w:jc w:val="center"/>
              <w:rPr>
                <w:color w:val="auto"/>
                <w:sz w:val="21"/>
                <w:szCs w:val="21"/>
              </w:rPr>
            </w:pPr>
            <w:r>
              <w:rPr>
                <w:color w:val="auto"/>
                <w:position w:val="-8"/>
                <w:sz w:val="21"/>
                <w:szCs w:val="21"/>
              </w:rPr>
              <w:object>
                <v:shape id="_x0000_i1381" o:spt="75" type="#_x0000_t75" style="height:15pt;width:36pt;" o:ole="t" filled="f" o:preferrelative="t" stroked="f" coordsize="21600,21600">
                  <v:path/>
                  <v:fill on="f" focussize="0,0"/>
                  <v:stroke on="f" joinstyle="miter"/>
                  <v:imagedata r:id="rId698" o:title=""/>
                  <o:lock v:ext="edit" aspectratio="t"/>
                  <w10:wrap type="none"/>
                  <w10:anchorlock/>
                </v:shape>
                <o:OLEObject Type="Embed" ProgID="Equation.DSMT4" ShapeID="_x0000_i1381" DrawAspect="Content" ObjectID="_1468076081" r:id="rId697">
                  <o:LockedField>false</o:LockedField>
                </o:OLEObject>
              </w:object>
            </w:r>
          </w:p>
        </w:tc>
        <w:tc>
          <w:tcPr>
            <w:tcW w:w="2967" w:type="dxa"/>
            <w:vAlign w:val="center"/>
          </w:tcPr>
          <w:p w14:paraId="40317649">
            <w:pPr>
              <w:adjustRightInd w:val="0"/>
              <w:snapToGrid w:val="0"/>
              <w:spacing w:line="260" w:lineRule="exact"/>
              <w:jc w:val="center"/>
              <w:rPr>
                <w:color w:val="auto"/>
                <w:sz w:val="21"/>
                <w:szCs w:val="21"/>
              </w:rPr>
            </w:pPr>
            <w:r>
              <w:rPr>
                <w:color w:val="auto"/>
                <w:position w:val="-8"/>
                <w:sz w:val="21"/>
                <w:szCs w:val="21"/>
              </w:rPr>
              <w:object>
                <v:shape id="_x0000_i1382" o:spt="75" type="#_x0000_t75" style="height:15pt;width:36pt;" o:ole="t" filled="f" o:preferrelative="t" stroked="f" coordsize="21600,21600">
                  <v:path/>
                  <v:fill on="f" focussize="0,0"/>
                  <v:stroke on="f" joinstyle="miter"/>
                  <v:imagedata r:id="rId700" o:title=""/>
                  <o:lock v:ext="edit" aspectratio="t"/>
                  <w10:wrap type="none"/>
                  <w10:anchorlock/>
                </v:shape>
                <o:OLEObject Type="Embed" ProgID="Equation.DSMT4" ShapeID="_x0000_i1382" DrawAspect="Content" ObjectID="_1468076082" r:id="rId699">
                  <o:LockedField>false</o:LockedField>
                </o:OLEObject>
              </w:object>
            </w:r>
          </w:p>
        </w:tc>
      </w:tr>
      <w:tr w14:paraId="01F3C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9163" w:type="dxa"/>
            <w:gridSpan w:val="3"/>
            <w:vAlign w:val="center"/>
          </w:tcPr>
          <w:p w14:paraId="70BBCB3D">
            <w:pPr>
              <w:adjustRightInd w:val="0"/>
              <w:snapToGrid w:val="0"/>
              <w:spacing w:line="260" w:lineRule="exact"/>
              <w:rPr>
                <w:color w:val="auto"/>
                <w:sz w:val="21"/>
                <w:szCs w:val="21"/>
              </w:rPr>
            </w:pPr>
            <w:r>
              <w:rPr>
                <w:color w:val="auto"/>
                <w:sz w:val="21"/>
                <w:szCs w:val="21"/>
              </w:rPr>
              <w:t>注：当为等直径桩时，</w:t>
            </w:r>
            <w:r>
              <w:rPr>
                <w:i/>
                <w:color w:val="auto"/>
                <w:sz w:val="21"/>
                <w:szCs w:val="21"/>
              </w:rPr>
              <w:t>D</w:t>
            </w:r>
            <w:r>
              <w:rPr>
                <w:color w:val="auto"/>
                <w:sz w:val="21"/>
                <w:szCs w:val="21"/>
              </w:rPr>
              <w:t>=</w:t>
            </w:r>
            <w:r>
              <w:rPr>
                <w:i/>
                <w:color w:val="auto"/>
                <w:sz w:val="21"/>
                <w:szCs w:val="21"/>
              </w:rPr>
              <w:t>d</w:t>
            </w:r>
            <w:r>
              <w:rPr>
                <w:color w:val="auto"/>
                <w:sz w:val="21"/>
                <w:szCs w:val="21"/>
              </w:rPr>
              <w:t>，D、d的单位为m。</w:t>
            </w:r>
          </w:p>
        </w:tc>
      </w:tr>
    </w:tbl>
    <w:p w14:paraId="7BD3D9A4">
      <w:pPr>
        <w:pStyle w:val="15"/>
        <w:spacing w:before="120" w:line="360" w:lineRule="atLeast"/>
        <w:ind w:firstLine="422"/>
        <w:rPr>
          <w:rFonts w:ascii="Times New Roman" w:hAnsi="Times New Roman"/>
          <w:color w:val="auto"/>
        </w:rPr>
      </w:pPr>
      <w:r>
        <w:rPr>
          <w:rFonts w:ascii="Times New Roman" w:hAnsi="Times New Roman" w:eastAsia="黑体"/>
          <w:b/>
          <w:color w:val="auto"/>
          <w:szCs w:val="21"/>
        </w:rPr>
        <w:t>d)</w:t>
      </w:r>
      <w:r>
        <w:rPr>
          <w:rFonts w:ascii="Times New Roman" w:hAnsi="Times New Roman"/>
          <w:color w:val="auto"/>
          <w:szCs w:val="21"/>
        </w:rPr>
        <w:t xml:space="preserve">  </w:t>
      </w:r>
      <w:r>
        <w:rPr>
          <w:rFonts w:ascii="Times New Roman" w:hAnsi="Times New Roman"/>
          <w:color w:val="auto"/>
        </w:rPr>
        <w:t>当桩端嵌入完整及较完整的硬质岩中，当桩长较短且入岩较浅时，可按</w:t>
      </w:r>
      <w:r>
        <w:rPr>
          <w:rFonts w:hint="eastAsia"/>
          <w:color w:val="auto"/>
          <w:lang w:val="en-US" w:eastAsia="zh-CN"/>
        </w:rPr>
        <w:t>公式（78）</w:t>
      </w:r>
      <w:r>
        <w:rPr>
          <w:rFonts w:ascii="Times New Roman" w:hAnsi="Times New Roman"/>
          <w:color w:val="auto"/>
        </w:rPr>
        <w:t>估算单桩竖向抗压承载力特征值：</w:t>
      </w:r>
    </w:p>
    <w:p w14:paraId="0CE04FCA">
      <w:pPr>
        <w:pStyle w:val="12"/>
        <w:jc w:val="right"/>
        <w:rPr>
          <w:color w:val="auto"/>
          <w:szCs w:val="21"/>
        </w:rPr>
      </w:pPr>
      <w:r>
        <w:rPr>
          <w:color w:val="auto"/>
          <w:position w:val="-14"/>
          <w:szCs w:val="21"/>
        </w:rPr>
        <w:object>
          <v:shape id="_x0000_i1383" o:spt="75" type="#_x0000_t75" style="height:21.75pt;width:51pt;" o:ole="t" filled="f" o:preferrelative="t" stroked="f" coordsize="21600,21600">
            <v:path/>
            <v:fill on="f" focussize="0,0"/>
            <v:stroke on="f" joinstyle="miter"/>
            <v:imagedata r:id="rId702" o:title=""/>
            <o:lock v:ext="edit" aspectratio="t"/>
            <w10:wrap type="none"/>
            <w10:anchorlock/>
          </v:shape>
          <o:OLEObject Type="Embed" ProgID="Equation.DSMT4" ShapeID="_x0000_i1383" DrawAspect="Content" ObjectID="_1468076083" r:id="rId701">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78</w:t>
      </w:r>
      <w:r>
        <w:rPr>
          <w:color w:val="auto"/>
          <w:szCs w:val="21"/>
        </w:rPr>
        <w:fldChar w:fldCharType="end"/>
      </w:r>
      <w:r>
        <w:rPr>
          <w:color w:val="auto"/>
          <w:szCs w:val="21"/>
        </w:rPr>
        <w:t>)</w:t>
      </w:r>
    </w:p>
    <w:p w14:paraId="65778AE2">
      <w:pPr>
        <w:adjustRightInd w:val="0"/>
        <w:snapToGrid w:val="0"/>
        <w:spacing w:line="360" w:lineRule="atLeast"/>
        <w:rPr>
          <w:color w:val="auto"/>
          <w:szCs w:val="21"/>
        </w:rPr>
      </w:pPr>
      <w:r>
        <w:rPr>
          <w:color w:val="auto"/>
          <w:szCs w:val="21"/>
        </w:rPr>
        <w:t xml:space="preserve">式中  </w:t>
      </w:r>
      <w:r>
        <w:rPr>
          <w:color w:val="auto"/>
          <w:position w:val="-14"/>
          <w:szCs w:val="21"/>
        </w:rPr>
        <w:object>
          <v:shape id="_x0000_i1384" o:spt="75" type="#_x0000_t75" style="height:21.75pt;width:15pt;" o:ole="t" filled="f" o:preferrelative="t" stroked="f" coordsize="21600,21600">
            <v:path/>
            <v:fill on="f" focussize="0,0"/>
            <v:stroke on="f" joinstyle="miter"/>
            <v:imagedata r:id="rId704" o:title=""/>
            <o:lock v:ext="edit" aspectratio="t"/>
            <w10:wrap type="none"/>
            <w10:anchorlock/>
          </v:shape>
          <o:OLEObject Type="Embed" ProgID="Equation.DSMT4" ShapeID="_x0000_i1384" DrawAspect="Content" ObjectID="_1468076084" r:id="rId703">
            <o:LockedField>false</o:LockedField>
          </o:OLEObject>
        </w:object>
      </w:r>
      <w:r>
        <w:rPr>
          <w:color w:val="auto"/>
          <w:szCs w:val="21"/>
        </w:rPr>
        <w:t>——桩端端阻力特征值，采用桩端岩石承载力特征值。</w:t>
      </w:r>
    </w:p>
    <w:p w14:paraId="4A82DEF5">
      <w:pPr>
        <w:tabs>
          <w:tab w:val="left" w:pos="1418"/>
        </w:tabs>
        <w:adjustRightInd w:val="0"/>
        <w:snapToGrid w:val="0"/>
        <w:spacing w:line="360" w:lineRule="atLeast"/>
        <w:ind w:firstLine="422" w:firstLineChars="200"/>
        <w:rPr>
          <w:color w:val="auto"/>
          <w:szCs w:val="21"/>
        </w:rPr>
      </w:pPr>
      <w:r>
        <w:rPr>
          <w:rFonts w:eastAsia="黑体"/>
          <w:b/>
          <w:color w:val="auto"/>
          <w:szCs w:val="21"/>
        </w:rPr>
        <w:t>e)</w:t>
      </w:r>
      <w:r>
        <w:rPr>
          <w:color w:val="auto"/>
          <w:szCs w:val="21"/>
        </w:rPr>
        <w:t xml:space="preserve">  嵌岩灌注桩桩端以下三倍桩径范围内应无软弱夹层、断裂破碎带和洞穴分布，并应在桩底应力扩散范围内无岩体临空面。桩端岩石承载力特征值，当桩端无沉渣时，应根据岩石饱和单轴抗压强度标准值按本文件7.2.6条及附录D确定，或采用岩基载荷试验确定。</w:t>
      </w:r>
    </w:p>
    <w:p w14:paraId="6DD78EF8">
      <w:pPr>
        <w:snapToGrid w:val="0"/>
        <w:spacing w:line="400" w:lineRule="atLeast"/>
        <w:ind w:firstLine="420" w:firstLineChars="200"/>
        <w:rPr>
          <w:color w:val="auto"/>
          <w:szCs w:val="21"/>
        </w:rPr>
      </w:pPr>
      <w:r>
        <w:rPr>
          <w:color w:val="auto"/>
          <w:szCs w:val="21"/>
        </w:rPr>
        <w:t>f)</w:t>
      </w:r>
      <w:r>
        <w:rPr>
          <w:rFonts w:hint="eastAsia"/>
          <w:color w:val="auto"/>
          <w:szCs w:val="21"/>
        </w:rPr>
        <w:t xml:space="preserve"> 初步设计时单桩竖向抗拔承载力特征值可按</w:t>
      </w:r>
      <w:r>
        <w:rPr>
          <w:rFonts w:hint="eastAsia"/>
          <w:color w:val="auto"/>
          <w:lang w:val="en-US" w:eastAsia="zh-CN"/>
        </w:rPr>
        <w:t>公式（79）</w:t>
      </w:r>
      <w:r>
        <w:rPr>
          <w:rFonts w:hint="eastAsia"/>
          <w:color w:val="auto"/>
          <w:szCs w:val="21"/>
        </w:rPr>
        <w:t>进行估算：</w:t>
      </w:r>
    </w:p>
    <w:p w14:paraId="76BBA174">
      <w:pPr>
        <w:pStyle w:val="12"/>
        <w:jc w:val="right"/>
        <w:rPr>
          <w:color w:val="auto"/>
          <w:szCs w:val="21"/>
        </w:rPr>
      </w:pPr>
      <m:oMath>
        <m:sSub>
          <m:sSubPr>
            <m:ctrlPr>
              <w:rPr>
                <w:rFonts w:ascii="Cambria Math" w:hAnsi="Cambria Math"/>
                <w:color w:val="auto"/>
              </w:rPr>
            </m:ctrlPr>
          </m:sSubPr>
          <m:e>
            <m:r>
              <m:rPr>
                <m:sty m:val="p"/>
              </m:rPr>
              <w:rPr>
                <w:rFonts w:ascii="Cambria Math" w:hAnsi="Cambria Math"/>
                <w:color w:val="auto"/>
              </w:rPr>
              <m:t>T</m:t>
            </m:r>
            <m:ctrlPr>
              <w:rPr>
                <w:rFonts w:ascii="Cambria Math" w:hAnsi="Cambria Math"/>
                <w:color w:val="auto"/>
              </w:rPr>
            </m:ctrlPr>
          </m:e>
          <m:sub>
            <m:r>
              <m:rPr>
                <m:sty m:val="p"/>
              </m:rPr>
              <w:rPr>
                <w:rFonts w:ascii="Cambria Math" w:hAnsi="Cambria Math"/>
                <w:color w:val="auto"/>
              </w:rPr>
              <m:t>a</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u</m:t>
            </m:r>
            <m:ctrlPr>
              <w:rPr>
                <w:rFonts w:ascii="Cambria Math" w:hAnsi="Cambria Math"/>
                <w:color w:val="auto"/>
              </w:rPr>
            </m:ctrlPr>
          </m:e>
          <m:sub>
            <m:r>
              <m:rPr>
                <m:sty m:val="p"/>
              </m:rPr>
              <w:rPr>
                <w:rFonts w:ascii="Cambria Math" w:hAnsi="Cambria Math"/>
                <w:color w:val="auto"/>
              </w:rPr>
              <m:t>p</m:t>
            </m:r>
            <m:ctrlPr>
              <w:rPr>
                <w:rFonts w:ascii="Cambria Math" w:hAnsi="Cambria Math"/>
                <w:color w:val="auto"/>
              </w:rPr>
            </m:ctrlPr>
          </m:sub>
        </m:sSub>
        <m:nary>
          <m:naryPr>
            <m:chr m:val="∑"/>
            <m:limLoc m:val="undOvr"/>
            <m:subHide m:val="1"/>
            <m:supHide m:val="1"/>
            <m:ctrlPr>
              <w:rPr>
                <w:rFonts w:ascii="Cambria Math" w:hAnsi="Cambria Math"/>
                <w:color w:val="auto"/>
              </w:rPr>
            </m:ctrlPr>
          </m:naryPr>
          <m:sub>
            <m:ctrlPr>
              <w:rPr>
                <w:rFonts w:ascii="Cambria Math" w:hAnsi="Cambria Math"/>
                <w:color w:val="auto"/>
              </w:rPr>
            </m:ctrlPr>
          </m:sub>
          <m:sup>
            <m:ctrlPr>
              <w:rPr>
                <w:rFonts w:ascii="Cambria Math" w:hAnsi="Cambria Math"/>
                <w:color w:val="auto"/>
              </w:rPr>
            </m:ctrlPr>
          </m:sup>
          <m:e>
            <m:sSub>
              <m:sSubPr>
                <m:ctrlPr>
                  <w:rPr>
                    <w:rFonts w:ascii="Cambria Math" w:hAnsi="Cambria Math"/>
                    <w:color w:val="auto"/>
                  </w:rPr>
                </m:ctrlPr>
              </m:sSubPr>
              <m:e>
                <m:r>
                  <m:rPr>
                    <m:sty m:val="p"/>
                  </m:rPr>
                  <w:rPr>
                    <w:rFonts w:ascii="Cambria Math" w:hAnsi="Cambria Math"/>
                    <w:color w:val="auto"/>
                  </w:rPr>
                  <m:t>λ</m:t>
                </m:r>
                <m:ctrlPr>
                  <w:rPr>
                    <w:rFonts w:ascii="Cambria Math" w:hAnsi="Cambria Math"/>
                    <w:color w:val="auto"/>
                  </w:rPr>
                </m:ctrlPr>
              </m:e>
              <m:sub>
                <m:r>
                  <m:rPr>
                    <m:sty m:val="p"/>
                  </m:rPr>
                  <w:rPr>
                    <w:rFonts w:ascii="Cambria Math" w:hAnsi="Cambria Math"/>
                    <w:color w:val="auto"/>
                  </w:rPr>
                  <m:t>i</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sia</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l</m:t>
                </m:r>
                <m:ctrlPr>
                  <w:rPr>
                    <w:rFonts w:ascii="Cambria Math" w:hAnsi="Cambria Math"/>
                    <w:color w:val="auto"/>
                  </w:rPr>
                </m:ctrlPr>
              </m:e>
              <m:sub>
                <m:r>
                  <m:rPr>
                    <m:sty m:val="p"/>
                  </m:rPr>
                  <w:rPr>
                    <w:rFonts w:ascii="Cambria Math" w:hAnsi="Cambria Math"/>
                    <w:color w:val="auto"/>
                  </w:rPr>
                  <m:t>i</m:t>
                </m:r>
                <m:ctrlPr>
                  <w:rPr>
                    <w:rFonts w:ascii="Cambria Math" w:hAnsi="Cambria Math"/>
                    <w:color w:val="auto"/>
                  </w:rPr>
                </m:ctrlPr>
              </m:sub>
            </m:sSub>
            <m:ctrlPr>
              <w:rPr>
                <w:rFonts w:ascii="Cambria Math" w:hAnsi="Cambria Math"/>
                <w:color w:val="auto"/>
              </w:rPr>
            </m:ctrlPr>
          </m:e>
        </m:nary>
      </m:oMath>
      <w:r>
        <w:rPr>
          <w:rFonts w:hint="eastAsia"/>
          <w:color w:val="auto"/>
        </w:rPr>
        <w:t xml:space="preserve">                        </w:t>
      </w:r>
      <w:r>
        <w:rPr>
          <w:rFonts w:hint="eastAsia"/>
          <w:color w:val="auto"/>
          <w:szCs w:val="21"/>
        </w:rPr>
        <w:t xml:space="preserve"> (</w:t>
      </w:r>
      <w:r>
        <w:rPr>
          <w:color w:val="auto"/>
          <w:szCs w:val="21"/>
        </w:rPr>
        <w:fldChar w:fldCharType="begin"/>
      </w:r>
      <w:r>
        <w:rPr>
          <w:color w:val="auto"/>
          <w:szCs w:val="21"/>
        </w:rPr>
        <w:instrText xml:space="preserve"> </w:instrText>
      </w:r>
      <w:r>
        <w:rPr>
          <w:rFonts w:hint="eastAsia"/>
          <w:color w:val="auto"/>
          <w:szCs w:val="21"/>
        </w:rPr>
        <w:instrText xml:space="preserve">SEQ Equation \* ARABIC</w:instrText>
      </w:r>
      <w:r>
        <w:rPr>
          <w:color w:val="auto"/>
          <w:szCs w:val="21"/>
        </w:rPr>
        <w:instrText xml:space="preserve"> </w:instrText>
      </w:r>
      <w:r>
        <w:rPr>
          <w:color w:val="auto"/>
          <w:szCs w:val="21"/>
        </w:rPr>
        <w:fldChar w:fldCharType="separate"/>
      </w:r>
      <w:r>
        <w:rPr>
          <w:color w:val="auto"/>
          <w:szCs w:val="21"/>
        </w:rPr>
        <w:t>79</w:t>
      </w:r>
      <w:r>
        <w:rPr>
          <w:color w:val="auto"/>
          <w:szCs w:val="21"/>
        </w:rPr>
        <w:fldChar w:fldCharType="end"/>
      </w:r>
      <w:r>
        <w:rPr>
          <w:rFonts w:hint="eastAsia"/>
          <w:color w:val="auto"/>
          <w:szCs w:val="21"/>
        </w:rPr>
        <w:t>)</w:t>
      </w:r>
    </w:p>
    <w:p w14:paraId="09A5A2A8">
      <w:pPr>
        <w:snapToGrid w:val="0"/>
        <w:spacing w:line="400" w:lineRule="atLeast"/>
        <w:rPr>
          <w:color w:val="auto"/>
        </w:rPr>
      </w:pPr>
      <w:r>
        <w:rPr>
          <w:rFonts w:hint="eastAsia"/>
          <w:color w:val="auto"/>
          <w:szCs w:val="21"/>
        </w:rPr>
        <w:t>式中：</w:t>
      </w:r>
      <m:oMath>
        <m:sSub>
          <m:sSubPr>
            <m:ctrlPr>
              <w:rPr>
                <w:rFonts w:ascii="Cambria Math" w:hAnsi="Cambria Math"/>
                <w:color w:val="auto"/>
              </w:rPr>
            </m:ctrlPr>
          </m:sSubPr>
          <m:e>
            <m:r>
              <m:rPr>
                <m:sty m:val="p"/>
              </m:rPr>
              <w:rPr>
                <w:rFonts w:ascii="Cambria Math" w:hAnsi="Cambria Math"/>
                <w:color w:val="auto"/>
              </w:rPr>
              <m:t>λ</m:t>
            </m:r>
            <m:ctrlPr>
              <w:rPr>
                <w:rFonts w:ascii="Cambria Math" w:hAnsi="Cambria Math"/>
                <w:color w:val="auto"/>
              </w:rPr>
            </m:ctrlPr>
          </m:e>
          <m:sub>
            <m:r>
              <m:rPr>
                <m:sty m:val="p"/>
              </m:rPr>
              <w:rPr>
                <w:rFonts w:ascii="Cambria Math" w:hAnsi="Cambria Math"/>
                <w:color w:val="auto"/>
              </w:rPr>
              <m:t>i</m:t>
            </m:r>
            <m:ctrlPr>
              <w:rPr>
                <w:rFonts w:ascii="Cambria Math" w:hAnsi="Cambria Math"/>
                <w:color w:val="auto"/>
              </w:rPr>
            </m:ctrlPr>
          </m:sub>
        </m:sSub>
      </m:oMath>
      <w:r>
        <w:rPr>
          <w:rFonts w:hint="eastAsia"/>
          <w:color w:val="auto"/>
          <w:szCs w:val="21"/>
        </w:rPr>
        <w:t>——第i层岩土的抗拔系数</w:t>
      </w:r>
      <w:r>
        <w:rPr>
          <w:rFonts w:hint="eastAsia"/>
          <w:color w:val="auto"/>
        </w:rPr>
        <w:t>，根据地区经验取值，无地区经验时可按表</w:t>
      </w:r>
      <w:r>
        <w:rPr>
          <w:color w:val="auto"/>
        </w:rPr>
        <w:t>55</w:t>
      </w:r>
      <w:r>
        <w:rPr>
          <w:rFonts w:hint="eastAsia"/>
          <w:color w:val="auto"/>
        </w:rPr>
        <w:t>取值，桩长径比小于2</w:t>
      </w:r>
      <w:r>
        <w:rPr>
          <w:color w:val="auto"/>
        </w:rPr>
        <w:t>0时取小值</w:t>
      </w:r>
      <w:r>
        <w:rPr>
          <w:rFonts w:hint="eastAsia"/>
          <w:color w:val="auto"/>
        </w:rPr>
        <w:t>。</w:t>
      </w:r>
    </w:p>
    <w:p w14:paraId="180C6E42">
      <w:pPr>
        <w:adjustRightInd w:val="0"/>
        <w:snapToGrid w:val="0"/>
        <w:spacing w:before="240" w:line="360" w:lineRule="atLeast"/>
        <w:jc w:val="center"/>
        <w:rPr>
          <w:rFonts w:eastAsia="黑体"/>
          <w:b/>
          <w:bCs/>
          <w:color w:val="auto"/>
          <w:sz w:val="21"/>
          <w:szCs w:val="21"/>
        </w:rPr>
      </w:pPr>
      <w:bookmarkStart w:id="67" w:name="_Hlk142407888"/>
      <w:r>
        <w:rPr>
          <w:rFonts w:eastAsia="黑体"/>
          <w:b/>
          <w:bCs/>
          <w:color w:val="auto"/>
          <w:sz w:val="21"/>
          <w:szCs w:val="21"/>
        </w:rPr>
        <w:t>表55  抗拔系数λ</w:t>
      </w:r>
    </w:p>
    <w:tbl>
      <w:tblPr>
        <w:tblStyle w:val="36"/>
        <w:tblW w:w="38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889"/>
      </w:tblGrid>
      <w:tr w14:paraId="096BA1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85" w:type="dxa"/>
          </w:tcPr>
          <w:p w14:paraId="4A72943A">
            <w:pPr>
              <w:spacing w:line="360" w:lineRule="auto"/>
              <w:jc w:val="center"/>
              <w:rPr>
                <w:color w:val="auto"/>
                <w:sz w:val="21"/>
                <w:szCs w:val="21"/>
              </w:rPr>
            </w:pPr>
            <w:r>
              <w:rPr>
                <w:color w:val="auto"/>
                <w:sz w:val="21"/>
                <w:szCs w:val="21"/>
              </w:rPr>
              <w:t>土类</w:t>
            </w:r>
          </w:p>
        </w:tc>
        <w:tc>
          <w:tcPr>
            <w:tcW w:w="1889" w:type="dxa"/>
          </w:tcPr>
          <w:p w14:paraId="75EB3698">
            <w:pPr>
              <w:spacing w:line="360" w:lineRule="auto"/>
              <w:jc w:val="center"/>
              <w:rPr>
                <w:color w:val="auto"/>
                <w:sz w:val="21"/>
                <w:szCs w:val="21"/>
              </w:rPr>
            </w:pPr>
            <w:r>
              <w:rPr>
                <w:color w:val="auto"/>
                <w:sz w:val="21"/>
                <w:szCs w:val="21"/>
              </w:rPr>
              <w:t>λ值</w:t>
            </w:r>
          </w:p>
        </w:tc>
      </w:tr>
      <w:tr w14:paraId="5E9E1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Pr>
          <w:p w14:paraId="58C23ECE">
            <w:pPr>
              <w:spacing w:line="360" w:lineRule="auto"/>
              <w:jc w:val="center"/>
              <w:rPr>
                <w:color w:val="auto"/>
                <w:sz w:val="21"/>
                <w:szCs w:val="21"/>
              </w:rPr>
            </w:pPr>
            <w:r>
              <w:rPr>
                <w:color w:val="auto"/>
                <w:sz w:val="21"/>
                <w:szCs w:val="21"/>
              </w:rPr>
              <w:t>砂土</w:t>
            </w:r>
          </w:p>
        </w:tc>
        <w:tc>
          <w:tcPr>
            <w:tcW w:w="1889" w:type="dxa"/>
          </w:tcPr>
          <w:p w14:paraId="13BC310C">
            <w:pPr>
              <w:spacing w:line="360" w:lineRule="auto"/>
              <w:jc w:val="center"/>
              <w:rPr>
                <w:color w:val="auto"/>
                <w:sz w:val="21"/>
                <w:szCs w:val="21"/>
              </w:rPr>
            </w:pPr>
            <w:r>
              <w:rPr>
                <w:color w:val="auto"/>
                <w:sz w:val="21"/>
                <w:szCs w:val="21"/>
              </w:rPr>
              <w:t>0.5-0.7</w:t>
            </w:r>
          </w:p>
        </w:tc>
      </w:tr>
      <w:tr w14:paraId="42D49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tcPr>
          <w:p w14:paraId="5730407F">
            <w:pPr>
              <w:spacing w:line="360" w:lineRule="auto"/>
              <w:jc w:val="center"/>
              <w:rPr>
                <w:color w:val="auto"/>
                <w:sz w:val="21"/>
                <w:szCs w:val="21"/>
              </w:rPr>
            </w:pPr>
            <w:r>
              <w:rPr>
                <w:color w:val="auto"/>
                <w:sz w:val="21"/>
                <w:szCs w:val="21"/>
              </w:rPr>
              <w:t>黏性土、粉土</w:t>
            </w:r>
          </w:p>
        </w:tc>
        <w:tc>
          <w:tcPr>
            <w:tcW w:w="1889" w:type="dxa"/>
          </w:tcPr>
          <w:p w14:paraId="43374261">
            <w:pPr>
              <w:spacing w:line="360" w:lineRule="auto"/>
              <w:jc w:val="center"/>
              <w:rPr>
                <w:color w:val="auto"/>
                <w:sz w:val="21"/>
                <w:szCs w:val="21"/>
              </w:rPr>
            </w:pPr>
            <w:r>
              <w:rPr>
                <w:color w:val="auto"/>
                <w:sz w:val="21"/>
                <w:szCs w:val="21"/>
              </w:rPr>
              <w:t>0.7-0.8</w:t>
            </w:r>
          </w:p>
        </w:tc>
      </w:tr>
      <w:bookmarkEnd w:id="67"/>
    </w:tbl>
    <w:p w14:paraId="245D5ED9">
      <w:pPr>
        <w:adjustRightInd w:val="0"/>
        <w:snapToGrid w:val="0"/>
        <w:spacing w:line="360" w:lineRule="atLeast"/>
        <w:rPr>
          <w:rFonts w:eastAsia="黑体"/>
          <w:b/>
          <w:color w:val="auto"/>
          <w:szCs w:val="21"/>
        </w:rPr>
      </w:pPr>
    </w:p>
    <w:p w14:paraId="3688C673">
      <w:pPr>
        <w:adjustRightInd w:val="0"/>
        <w:snapToGrid w:val="0"/>
        <w:spacing w:line="360" w:lineRule="atLeast"/>
        <w:rPr>
          <w:color w:val="auto"/>
          <w:szCs w:val="21"/>
        </w:rPr>
      </w:pPr>
      <w:r>
        <w:rPr>
          <w:rFonts w:eastAsia="黑体"/>
          <w:b/>
          <w:color w:val="auto"/>
          <w:szCs w:val="21"/>
        </w:rPr>
        <w:t xml:space="preserve">12.3.4 </w:t>
      </w:r>
      <w:r>
        <w:rPr>
          <w:color w:val="auto"/>
          <w:szCs w:val="21"/>
        </w:rPr>
        <w:t xml:space="preserve"> 单桩水平承载力特征值取决于桩的材料强度、截面刚度、入土深度、土质条件、桩顶水平位移允许值和桩顶嵌固情况等因素，应通过现场水平载荷试验确定</w:t>
      </w:r>
      <w:r>
        <w:rPr>
          <w:rFonts w:hint="eastAsia"/>
          <w:color w:val="auto"/>
          <w:szCs w:val="21"/>
        </w:rPr>
        <w:t>，</w:t>
      </w:r>
      <w:r>
        <w:rPr>
          <w:color w:val="auto"/>
          <w:szCs w:val="21"/>
        </w:rPr>
        <w:t>试验数量不应少于3根。必要时可进行带承台桩的载荷试验，试验宜采用慢速维持荷载法。初步设计时可按</w:t>
      </w:r>
      <w:r>
        <w:rPr>
          <w:iCs/>
          <w:color w:val="auto"/>
          <w:szCs w:val="21"/>
        </w:rPr>
        <w:t>JGJ</w:t>
      </w:r>
      <w:r>
        <w:rPr>
          <w:rFonts w:hint="eastAsia"/>
          <w:iCs/>
          <w:color w:val="auto"/>
          <w:szCs w:val="21"/>
          <w:lang w:val="en-US" w:eastAsia="zh-CN"/>
        </w:rPr>
        <w:t xml:space="preserve"> </w:t>
      </w:r>
      <w:r>
        <w:rPr>
          <w:color w:val="auto"/>
          <w:szCs w:val="21"/>
        </w:rPr>
        <w:t>94的有关规定估算单桩水平承载力。</w:t>
      </w:r>
    </w:p>
    <w:p w14:paraId="0747E0BC">
      <w:pPr>
        <w:adjustRightInd w:val="0"/>
        <w:snapToGrid w:val="0"/>
        <w:spacing w:line="360" w:lineRule="atLeast"/>
        <w:rPr>
          <w:color w:val="auto"/>
          <w:szCs w:val="21"/>
        </w:rPr>
      </w:pPr>
      <w:r>
        <w:rPr>
          <w:rFonts w:eastAsia="黑体"/>
          <w:b/>
          <w:color w:val="auto"/>
          <w:szCs w:val="21"/>
        </w:rPr>
        <w:t>12.3.5</w:t>
      </w:r>
      <w:r>
        <w:rPr>
          <w:color w:val="auto"/>
          <w:szCs w:val="21"/>
        </w:rPr>
        <w:t xml:space="preserve">  超高层建筑及高度超过75m且桩周为深厚软土的高层建筑或作用于桩基上的外力主要为水平力时，应根据使用要求对桩顶变位的限制，对桩基的水平承载力进行验算。当外力作用面的桩距较大时，桩基的水平承载力可视为各单桩的水平承载力的总和。当承台侧面的土未经扰动或回填密实时，应计算土抗力的作用。当水平推力较大时，宜设置斜桩。</w:t>
      </w:r>
    </w:p>
    <w:p w14:paraId="039D47CE">
      <w:pPr>
        <w:adjustRightInd w:val="0"/>
        <w:snapToGrid w:val="0"/>
        <w:spacing w:line="360" w:lineRule="atLeast"/>
        <w:rPr>
          <w:color w:val="auto"/>
          <w:szCs w:val="21"/>
        </w:rPr>
      </w:pPr>
      <w:r>
        <w:rPr>
          <w:rFonts w:eastAsia="黑体"/>
          <w:b/>
          <w:color w:val="auto"/>
          <w:szCs w:val="21"/>
        </w:rPr>
        <w:t>12.3.6</w:t>
      </w:r>
      <w:r>
        <w:rPr>
          <w:color w:val="auto"/>
          <w:szCs w:val="21"/>
        </w:rPr>
        <w:t xml:space="preserve">  在水平力作用下，桩身构造配筋应符合JGJ</w:t>
      </w:r>
      <w:r>
        <w:rPr>
          <w:rFonts w:hint="eastAsia"/>
          <w:color w:val="auto"/>
          <w:szCs w:val="21"/>
          <w:lang w:val="en-US" w:eastAsia="zh-CN"/>
        </w:rPr>
        <w:t xml:space="preserve"> </w:t>
      </w:r>
      <w:r>
        <w:rPr>
          <w:color w:val="auto"/>
          <w:szCs w:val="21"/>
        </w:rPr>
        <w:t>94的有关规定。</w:t>
      </w:r>
    </w:p>
    <w:p w14:paraId="017FD167">
      <w:pPr>
        <w:adjustRightInd w:val="0"/>
        <w:snapToGrid w:val="0"/>
        <w:spacing w:line="360" w:lineRule="atLeast"/>
        <w:rPr>
          <w:color w:val="auto"/>
          <w:szCs w:val="21"/>
        </w:rPr>
      </w:pPr>
      <w:r>
        <w:rPr>
          <w:rFonts w:eastAsia="黑体"/>
          <w:b/>
          <w:color w:val="auto"/>
          <w:szCs w:val="21"/>
        </w:rPr>
        <w:t>12.3.7</w:t>
      </w:r>
      <w:r>
        <w:rPr>
          <w:color w:val="auto"/>
          <w:szCs w:val="21"/>
        </w:rPr>
        <w:t xml:space="preserve">  当桩基承受拔力时，应按JGJ</w:t>
      </w:r>
      <w:r>
        <w:rPr>
          <w:rFonts w:hint="eastAsia"/>
          <w:color w:val="auto"/>
          <w:szCs w:val="21"/>
          <w:lang w:val="en-US" w:eastAsia="zh-CN"/>
        </w:rPr>
        <w:t xml:space="preserve"> </w:t>
      </w:r>
      <w:r>
        <w:rPr>
          <w:color w:val="auto"/>
          <w:szCs w:val="21"/>
        </w:rPr>
        <w:t>94和</w:t>
      </w:r>
      <w:r>
        <w:rPr>
          <w:rFonts w:hint="eastAsia"/>
          <w:color w:val="auto"/>
          <w:szCs w:val="21"/>
        </w:rPr>
        <w:t>D</w:t>
      </w:r>
      <w:r>
        <w:rPr>
          <w:color w:val="auto"/>
          <w:szCs w:val="21"/>
        </w:rPr>
        <w:t>B</w:t>
      </w:r>
      <w:r>
        <w:rPr>
          <w:rFonts w:hint="eastAsia"/>
          <w:color w:val="auto"/>
          <w:szCs w:val="21"/>
          <w:lang w:val="en-US" w:eastAsia="zh-CN"/>
        </w:rPr>
        <w:t xml:space="preserve"> </w:t>
      </w:r>
      <w:r>
        <w:rPr>
          <w:color w:val="auto"/>
          <w:szCs w:val="21"/>
        </w:rPr>
        <w:t>42/489的有关规定进行抗拔承载力验算</w:t>
      </w:r>
      <w:r>
        <w:rPr>
          <w:rFonts w:hint="eastAsia"/>
          <w:color w:val="auto"/>
          <w:szCs w:val="21"/>
        </w:rPr>
        <w:t>，非预应力抗拔桩</w:t>
      </w:r>
      <w:r>
        <w:rPr>
          <w:color w:val="auto"/>
          <w:szCs w:val="21"/>
        </w:rPr>
        <w:t>按</w:t>
      </w:r>
      <w:r>
        <w:rPr>
          <w:rFonts w:hint="eastAsia"/>
          <w:color w:val="auto"/>
          <w:szCs w:val="21"/>
        </w:rPr>
        <w:t>G</w:t>
      </w:r>
      <w:r>
        <w:rPr>
          <w:color w:val="auto"/>
          <w:szCs w:val="21"/>
        </w:rPr>
        <w:t>B/T</w:t>
      </w:r>
      <w:r>
        <w:rPr>
          <w:rFonts w:hint="eastAsia"/>
          <w:color w:val="auto"/>
          <w:szCs w:val="21"/>
          <w:lang w:val="en-US" w:eastAsia="zh-CN"/>
        </w:rPr>
        <w:t xml:space="preserve"> </w:t>
      </w:r>
      <w:r>
        <w:rPr>
          <w:color w:val="auto"/>
          <w:szCs w:val="21"/>
        </w:rPr>
        <w:t>50010</w:t>
      </w:r>
      <w:r>
        <w:rPr>
          <w:rFonts w:hint="eastAsia"/>
          <w:color w:val="auto"/>
          <w:szCs w:val="21"/>
        </w:rPr>
        <w:t>计算的桩身最大裂缝宽度不应超过0</w:t>
      </w:r>
      <w:r>
        <w:rPr>
          <w:color w:val="auto"/>
          <w:szCs w:val="21"/>
        </w:rPr>
        <w:t>.2mm。单桩抗拔承载力特征值应通过抗拔试验确定，试验数量应符合本文件第</w:t>
      </w:r>
      <w:r>
        <w:rPr>
          <w:rFonts w:hint="eastAsia"/>
          <w:color w:val="auto"/>
          <w:szCs w:val="21"/>
        </w:rPr>
        <w:t>1</w:t>
      </w:r>
      <w:r>
        <w:rPr>
          <w:color w:val="auto"/>
          <w:szCs w:val="21"/>
        </w:rPr>
        <w:t>7章的规定。</w:t>
      </w:r>
    </w:p>
    <w:p w14:paraId="34EA555E">
      <w:pPr>
        <w:adjustRightInd w:val="0"/>
        <w:snapToGrid w:val="0"/>
        <w:spacing w:line="360" w:lineRule="atLeast"/>
        <w:rPr>
          <w:rFonts w:eastAsia="黑体"/>
          <w:b/>
          <w:color w:val="auto"/>
          <w:szCs w:val="21"/>
        </w:rPr>
      </w:pPr>
      <w:r>
        <w:rPr>
          <w:rFonts w:eastAsia="黑体"/>
          <w:b/>
          <w:color w:val="auto"/>
          <w:szCs w:val="21"/>
        </w:rPr>
        <w:t>12.3.8</w:t>
      </w:r>
      <w:r>
        <w:rPr>
          <w:color w:val="auto"/>
          <w:szCs w:val="21"/>
        </w:rPr>
        <w:t xml:space="preserve">  </w:t>
      </w:r>
      <w:r>
        <w:rPr>
          <w:rFonts w:hint="eastAsia" w:ascii="等线" w:hAnsi="等线"/>
          <w:bCs/>
          <w:color w:val="auto"/>
        </w:rPr>
        <w:t>桩基设计时应进行桩身强度验算，</w:t>
      </w:r>
      <w:r>
        <w:rPr>
          <w:rFonts w:hint="eastAsia"/>
          <w:color w:val="auto"/>
          <w:szCs w:val="21"/>
        </w:rPr>
        <w:t>桩身混凝土强度应满足桩的承载力设计要求。</w:t>
      </w:r>
    </w:p>
    <w:p w14:paraId="01575782">
      <w:pPr>
        <w:adjustRightInd w:val="0"/>
        <w:snapToGrid w:val="0"/>
        <w:spacing w:line="360" w:lineRule="atLeast"/>
        <w:rPr>
          <w:rFonts w:eastAsia="黑体"/>
          <w:b/>
          <w:color w:val="auto"/>
          <w:szCs w:val="21"/>
        </w:rPr>
      </w:pPr>
      <w:r>
        <w:rPr>
          <w:rFonts w:eastAsia="黑体"/>
          <w:b/>
          <w:color w:val="auto"/>
          <w:szCs w:val="21"/>
        </w:rPr>
        <w:t xml:space="preserve">12.3.9  </w:t>
      </w:r>
      <w:r>
        <w:rPr>
          <w:color w:val="auto"/>
          <w:szCs w:val="21"/>
        </w:rPr>
        <w:t>按桩身混凝土强度计算桩身抗压承载力时，应按桩的类型和成桩工艺的不同将混凝土的轴心抗压强度设计值乘以工作条件系数</w:t>
      </w:r>
      <w:r>
        <w:rPr>
          <w:color w:val="auto"/>
          <w:position w:val="-12"/>
          <w:szCs w:val="21"/>
        </w:rPr>
        <w:object>
          <v:shape id="_x0000_i1385" o:spt="75" type="#_x0000_t75" style="height:21.75pt;width:15pt;" o:ole="t" filled="f" o:preferrelative="t" stroked="f" coordsize="21600,21600">
            <v:path/>
            <v:fill on="f" focussize="0,0"/>
            <v:stroke on="f" joinstyle="miter"/>
            <v:imagedata r:id="rId706" o:title=""/>
            <o:lock v:ext="edit" aspectratio="t"/>
            <w10:wrap type="none"/>
            <w10:anchorlock/>
          </v:shape>
          <o:OLEObject Type="Embed" ProgID="Equation.DSMT4" ShapeID="_x0000_i1385" DrawAspect="Content" ObjectID="_1468076085" r:id="rId705">
            <o:LockedField>false</o:LockedField>
          </o:OLEObject>
        </w:object>
      </w:r>
      <w:r>
        <w:rPr>
          <w:color w:val="auto"/>
          <w:szCs w:val="21"/>
        </w:rPr>
        <w:t>，桩轴心受压时桩身强度应符合公式</w:t>
      </w:r>
      <w:r>
        <w:rPr>
          <w:rFonts w:hint="eastAsia"/>
          <w:color w:val="auto"/>
          <w:szCs w:val="21"/>
          <w:lang w:eastAsia="zh-CN"/>
        </w:rPr>
        <w:t>（</w:t>
      </w:r>
      <w:r>
        <w:rPr>
          <w:rFonts w:hint="eastAsia"/>
          <w:color w:val="auto"/>
          <w:szCs w:val="21"/>
          <w:lang w:val="en-US" w:eastAsia="zh-CN"/>
        </w:rPr>
        <w:t>80</w:t>
      </w:r>
      <w:r>
        <w:rPr>
          <w:rFonts w:hint="eastAsia"/>
          <w:color w:val="auto"/>
          <w:szCs w:val="21"/>
          <w:lang w:eastAsia="zh-CN"/>
        </w:rPr>
        <w:t>）</w:t>
      </w:r>
      <w:r>
        <w:rPr>
          <w:color w:val="auto"/>
          <w:szCs w:val="21"/>
        </w:rPr>
        <w:t>的规定。当桩顶以下5倍桩径范围内螺旋式箍筋间距不大于100mm</w:t>
      </w:r>
      <w:r>
        <w:rPr>
          <w:rFonts w:hint="eastAsia"/>
          <w:color w:val="auto"/>
          <w:szCs w:val="21"/>
        </w:rPr>
        <w:t>、</w:t>
      </w:r>
      <w:r>
        <w:rPr>
          <w:color w:val="auto"/>
          <w:szCs w:val="21"/>
        </w:rPr>
        <w:t>配筋率不低于</w:t>
      </w:r>
      <w:r>
        <w:rPr>
          <w:rFonts w:hint="eastAsia"/>
          <w:color w:val="auto"/>
          <w:szCs w:val="21"/>
        </w:rPr>
        <w:t>0</w:t>
      </w:r>
      <w:r>
        <w:rPr>
          <w:color w:val="auto"/>
          <w:szCs w:val="21"/>
        </w:rPr>
        <w:t>.65</w:t>
      </w:r>
      <w:r>
        <w:rPr>
          <w:rFonts w:hint="eastAsia"/>
          <w:color w:val="auto"/>
          <w:szCs w:val="21"/>
        </w:rPr>
        <w:t>%、</w:t>
      </w:r>
      <w:r>
        <w:rPr>
          <w:color w:val="auto"/>
          <w:szCs w:val="21"/>
        </w:rPr>
        <w:t>钢筋保护层厚度不小于</w:t>
      </w:r>
      <w:r>
        <w:rPr>
          <w:rFonts w:hint="eastAsia"/>
          <w:color w:val="auto"/>
          <w:szCs w:val="21"/>
        </w:rPr>
        <w:t>7</w:t>
      </w:r>
      <w:r>
        <w:rPr>
          <w:color w:val="auto"/>
          <w:szCs w:val="21"/>
        </w:rPr>
        <w:t>0mm且钢筋耐久性得到保证的灌注桩</w:t>
      </w:r>
      <w:r>
        <w:rPr>
          <w:rFonts w:hint="eastAsia"/>
          <w:color w:val="auto"/>
          <w:szCs w:val="21"/>
        </w:rPr>
        <w:t>，</w:t>
      </w:r>
      <w:r>
        <w:rPr>
          <w:color w:val="auto"/>
          <w:szCs w:val="21"/>
        </w:rPr>
        <w:t>可适当计入桩身纵向钢筋的抗压作用</w:t>
      </w:r>
      <w:r>
        <w:rPr>
          <w:rFonts w:hint="eastAsia"/>
          <w:color w:val="auto"/>
          <w:szCs w:val="21"/>
        </w:rPr>
        <w:t>，桩轴心受压时桩身强度应符合公式</w:t>
      </w:r>
      <w:r>
        <w:rPr>
          <w:rFonts w:hint="eastAsia"/>
          <w:color w:val="auto"/>
          <w:szCs w:val="21"/>
          <w:lang w:eastAsia="zh-CN"/>
        </w:rPr>
        <w:t>（</w:t>
      </w:r>
      <w:r>
        <w:rPr>
          <w:rFonts w:hint="eastAsia"/>
          <w:color w:val="auto"/>
          <w:szCs w:val="21"/>
          <w:lang w:val="en-US" w:eastAsia="zh-CN"/>
        </w:rPr>
        <w:t>81</w:t>
      </w:r>
      <w:r>
        <w:rPr>
          <w:rFonts w:hint="eastAsia"/>
          <w:color w:val="auto"/>
          <w:szCs w:val="21"/>
          <w:lang w:eastAsia="zh-CN"/>
        </w:rPr>
        <w:t>）</w:t>
      </w:r>
      <w:r>
        <w:rPr>
          <w:rFonts w:hint="eastAsia"/>
          <w:color w:val="auto"/>
          <w:szCs w:val="21"/>
        </w:rPr>
        <w:t>的规定</w:t>
      </w:r>
      <w:r>
        <w:rPr>
          <w:color w:val="auto"/>
          <w:szCs w:val="21"/>
        </w:rPr>
        <w:t>。</w:t>
      </w:r>
    </w:p>
    <w:p w14:paraId="5E95A857">
      <w:pPr>
        <w:pStyle w:val="12"/>
        <w:jc w:val="right"/>
        <w:rPr>
          <w:color w:val="auto"/>
          <w:szCs w:val="21"/>
        </w:rPr>
      </w:pPr>
      <w:r>
        <w:rPr>
          <w:color w:val="auto"/>
          <w:szCs w:val="21"/>
        </w:rPr>
        <w:t xml:space="preserve">                 </w:t>
      </w:r>
      <w:r>
        <w:rPr>
          <w:color w:val="auto"/>
          <w:position w:val="-10"/>
          <w:szCs w:val="21"/>
        </w:rPr>
        <w:object>
          <v:shape id="_x0000_i1386" o:spt="75" type="#_x0000_t75" style="height:15pt;width:15pt;" o:ole="t" filled="f" o:preferrelative="t" stroked="f" coordsize="21600,21600">
            <v:path/>
            <v:fill on="f" focussize="0,0"/>
            <v:stroke on="f" joinstyle="miter"/>
            <v:imagedata r:id="rId708" o:title=""/>
            <o:lock v:ext="edit" aspectratio="t"/>
            <w10:wrap type="none"/>
            <w10:anchorlock/>
          </v:shape>
          <o:OLEObject Type="Embed" ProgID="Equation.DSMT4" ShapeID="_x0000_i1386" DrawAspect="Content" ObjectID="_1468076086" r:id="rId707">
            <o:LockedField>false</o:LockedField>
          </o:OLEObject>
        </w:object>
      </w:r>
      <w:r>
        <w:rPr>
          <w:color w:val="auto"/>
          <w:szCs w:val="21"/>
        </w:rPr>
        <w:t>≤</w:t>
      </w:r>
      <w:r>
        <w:rPr>
          <w:color w:val="auto"/>
          <w:position w:val="-14"/>
          <w:szCs w:val="21"/>
        </w:rPr>
        <w:object>
          <v:shape id="_x0000_i1387" o:spt="75" type="#_x0000_t75" style="height:21.75pt;width:28.5pt;" o:ole="t" filled="f" o:preferrelative="t" stroked="f" coordsize="21600,21600">
            <v:path/>
            <v:fill on="f" focussize="0,0"/>
            <v:stroke on="f" joinstyle="miter"/>
            <v:imagedata r:id="rId710" o:title=""/>
            <o:lock v:ext="edit" aspectratio="t"/>
            <w10:wrap type="none"/>
            <w10:anchorlock/>
          </v:shape>
          <o:OLEObject Type="Embed" ProgID="Equation.DSMT4" ShapeID="_x0000_i1387" DrawAspect="Content" ObjectID="_1468076087" r:id="rId70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80</w:t>
      </w:r>
      <w:r>
        <w:rPr>
          <w:color w:val="auto"/>
          <w:szCs w:val="21"/>
        </w:rPr>
        <w:fldChar w:fldCharType="end"/>
      </w:r>
      <w:r>
        <w:rPr>
          <w:color w:val="auto"/>
          <w:szCs w:val="21"/>
        </w:rPr>
        <w:t>)</w:t>
      </w:r>
    </w:p>
    <w:p w14:paraId="577B9ADA">
      <w:pPr>
        <w:pStyle w:val="12"/>
        <w:jc w:val="right"/>
        <w:rPr>
          <w:color w:val="auto"/>
          <w:szCs w:val="21"/>
        </w:rPr>
      </w:pPr>
      <w:r>
        <w:rPr>
          <w:color w:val="auto"/>
          <w:position w:val="-14"/>
          <w:szCs w:val="21"/>
        </w:rPr>
        <w:object>
          <v:shape id="_x0000_i1388" o:spt="75" type="#_x0000_t75" style="height:23.25pt;width:114.75pt;" o:ole="t" filled="f" o:preferrelative="t" stroked="f" coordsize="21600,21600">
            <v:path/>
            <v:fill on="f" focussize="0,0"/>
            <v:stroke on="f" joinstyle="miter"/>
            <v:imagedata r:id="rId712" o:title=""/>
            <o:lock v:ext="edit" aspectratio="t"/>
            <w10:wrap type="none"/>
            <w10:anchorlock/>
          </v:shape>
          <o:OLEObject Type="Embed" ProgID="Equation.DSMT4" ShapeID="_x0000_i1388" DrawAspect="Content" ObjectID="_1468076088" r:id="rId71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81</w:t>
      </w:r>
      <w:r>
        <w:rPr>
          <w:color w:val="auto"/>
          <w:szCs w:val="21"/>
        </w:rPr>
        <w:fldChar w:fldCharType="end"/>
      </w:r>
      <w:r>
        <w:rPr>
          <w:color w:val="auto"/>
          <w:szCs w:val="21"/>
        </w:rPr>
        <w:t>)</w:t>
      </w:r>
    </w:p>
    <w:p w14:paraId="64101136">
      <w:pPr>
        <w:adjustRightInd w:val="0"/>
        <w:snapToGrid w:val="0"/>
        <w:spacing w:line="340" w:lineRule="atLeast"/>
        <w:ind w:left="1413" w:hanging="1413" w:hangingChars="673"/>
        <w:rPr>
          <w:color w:val="auto"/>
          <w:szCs w:val="21"/>
        </w:rPr>
      </w:pPr>
      <w:r>
        <w:rPr>
          <w:color w:val="auto"/>
          <w:szCs w:val="21"/>
        </w:rPr>
        <w:t xml:space="preserve">式中   </w:t>
      </w:r>
      <w:r>
        <w:rPr>
          <w:color w:val="auto"/>
          <w:position w:val="-12"/>
          <w:szCs w:val="21"/>
        </w:rPr>
        <w:object>
          <v:shape id="_x0000_i1389" o:spt="75" type="#_x0000_t75" style="height:21.75pt;width:15pt;" o:ole="t" filled="f" o:preferrelative="t" stroked="f" coordsize="21600,21600">
            <v:path/>
            <v:fill on="f" focussize="0,0"/>
            <v:stroke on="f" joinstyle="miter"/>
            <v:imagedata r:id="rId714" o:title=""/>
            <o:lock v:ext="edit" aspectratio="t"/>
            <w10:wrap type="none"/>
            <w10:anchorlock/>
          </v:shape>
          <o:OLEObject Type="Embed" ProgID="Equation.DSMT4" ShapeID="_x0000_i1389" DrawAspect="Content" ObjectID="_1468076089" r:id="rId713">
            <o:LockedField>false</o:LockedField>
          </o:OLEObject>
        </w:object>
      </w:r>
      <w:r>
        <w:rPr>
          <w:color w:val="auto"/>
          <w:szCs w:val="21"/>
        </w:rPr>
        <w:t>——混凝土轴心抗压强度设计值；按GB/T</w:t>
      </w:r>
      <w:r>
        <w:rPr>
          <w:rFonts w:hint="eastAsia"/>
          <w:color w:val="auto"/>
          <w:szCs w:val="21"/>
          <w:lang w:val="en-US" w:eastAsia="zh-CN"/>
        </w:rPr>
        <w:t xml:space="preserve"> </w:t>
      </w:r>
      <w:r>
        <w:rPr>
          <w:color w:val="auto"/>
          <w:szCs w:val="21"/>
        </w:rPr>
        <w:t>50010取值；</w:t>
      </w:r>
    </w:p>
    <w:p w14:paraId="5984F8B2">
      <w:pPr>
        <w:adjustRightInd w:val="0"/>
        <w:snapToGrid w:val="0"/>
        <w:spacing w:line="340" w:lineRule="atLeast"/>
        <w:ind w:firstLine="770"/>
        <w:rPr>
          <w:color w:val="auto"/>
          <w:szCs w:val="21"/>
        </w:rPr>
      </w:pPr>
      <w:r>
        <w:rPr>
          <w:color w:val="auto"/>
          <w:position w:val="-10"/>
          <w:szCs w:val="21"/>
        </w:rPr>
        <w:object>
          <v:shape id="_x0000_i1390" o:spt="75" type="#_x0000_t75" style="height:15pt;width:15pt;" o:ole="t" filled="f" o:preferrelative="t" stroked="f" coordsize="21600,21600">
            <v:path/>
            <v:fill on="f" focussize="0,0"/>
            <v:stroke on="f" joinstyle="miter"/>
            <v:imagedata r:id="rId716" o:title=""/>
            <o:lock v:ext="edit" aspectratio="t"/>
            <w10:wrap type="none"/>
            <w10:anchorlock/>
          </v:shape>
          <o:OLEObject Type="Embed" ProgID="Equation.DSMT4" ShapeID="_x0000_i1390" DrawAspect="Content" ObjectID="_1468076090" r:id="rId715">
            <o:LockedField>false</o:LockedField>
          </o:OLEObject>
        </w:object>
      </w:r>
      <w:r>
        <w:rPr>
          <w:color w:val="auto"/>
          <w:szCs w:val="21"/>
        </w:rPr>
        <w:t>——相应于作用的基本组合时的单桩竖向力设计值；</w:t>
      </w:r>
    </w:p>
    <w:p w14:paraId="4C2565CC">
      <w:pPr>
        <w:adjustRightInd w:val="0"/>
        <w:snapToGrid w:val="0"/>
        <w:spacing w:line="340" w:lineRule="atLeast"/>
        <w:ind w:firstLine="700"/>
        <w:rPr>
          <w:color w:val="auto"/>
          <w:szCs w:val="21"/>
        </w:rPr>
      </w:pPr>
      <w:r>
        <w:rPr>
          <w:color w:val="auto"/>
          <w:position w:val="-14"/>
          <w:szCs w:val="21"/>
        </w:rPr>
        <w:object>
          <v:shape id="_x0000_i1391" o:spt="75" type="#_x0000_t75" style="height:21.75pt;width:15pt;" o:ole="t" filled="f" o:preferrelative="t" stroked="f" coordsize="21600,21600">
            <v:path/>
            <v:fill on="f" focussize="0,0"/>
            <v:stroke on="f" joinstyle="miter"/>
            <v:imagedata r:id="rId718" o:title=""/>
            <o:lock v:ext="edit" aspectratio="t"/>
            <w10:wrap type="none"/>
            <w10:anchorlock/>
          </v:shape>
          <o:OLEObject Type="Embed" ProgID="Equation.DSMT4" ShapeID="_x0000_i1391" DrawAspect="Content" ObjectID="_1468076091" r:id="rId717">
            <o:LockedField>false</o:LockedField>
          </o:OLEObject>
        </w:object>
      </w:r>
      <w:r>
        <w:rPr>
          <w:color w:val="auto"/>
          <w:szCs w:val="21"/>
        </w:rPr>
        <w:t>——桩身横截面积；</w:t>
      </w:r>
    </w:p>
    <w:p w14:paraId="6075C7E9">
      <w:pPr>
        <w:adjustRightInd w:val="0"/>
        <w:snapToGrid w:val="0"/>
        <w:spacing w:line="340" w:lineRule="atLeast"/>
        <w:ind w:left="1394" w:leftChars="352" w:hanging="655" w:hangingChars="312"/>
        <w:rPr>
          <w:color w:val="auto"/>
          <w:szCs w:val="21"/>
        </w:rPr>
      </w:pPr>
      <w:r>
        <w:rPr>
          <w:color w:val="auto"/>
          <w:position w:val="-12"/>
        </w:rPr>
        <w:object>
          <v:shape id="_x0000_i1392" o:spt="75" type="#_x0000_t75" style="height:21.75pt;width:15pt;" o:ole="t" filled="f" o:preferrelative="t" stroked="f" coordsize="21600,21600">
            <v:path/>
            <v:fill on="f" focussize="0,0"/>
            <v:stroke on="f" joinstyle="miter"/>
            <v:imagedata r:id="rId720" o:title=""/>
            <o:lock v:ext="edit" aspectratio="t"/>
            <w10:wrap type="none"/>
            <w10:anchorlock/>
          </v:shape>
          <o:OLEObject Type="Embed" ProgID="Equation.DSMT4" ShapeID="_x0000_i1392" DrawAspect="Content" ObjectID="_1468076092" r:id="rId719">
            <o:LockedField>false</o:LockedField>
          </o:OLEObject>
        </w:object>
      </w:r>
      <w:r>
        <w:rPr>
          <w:color w:val="auto"/>
          <w:szCs w:val="21"/>
        </w:rPr>
        <w:t>——工作条件系数，非预应力预制桩取0.7</w:t>
      </w:r>
      <w:r>
        <w:rPr>
          <w:rFonts w:hint="eastAsia"/>
          <w:color w:val="auto"/>
          <w:szCs w:val="21"/>
        </w:rPr>
        <w:t>5；采用锤击或静压法施工的预应力</w:t>
      </w:r>
      <w:r>
        <w:rPr>
          <w:color w:val="auto"/>
          <w:szCs w:val="21"/>
        </w:rPr>
        <w:t>管桩及空心方桩取0.65</w:t>
      </w:r>
      <w:r>
        <w:rPr>
          <w:rFonts w:hint="eastAsia"/>
          <w:color w:val="auto"/>
          <w:szCs w:val="21"/>
        </w:rPr>
        <w:t>；采用植桩法施工的预应力桩取0.7-0.8；</w:t>
      </w:r>
      <w:r>
        <w:rPr>
          <w:color w:val="auto"/>
          <w:szCs w:val="21"/>
        </w:rPr>
        <w:t>灌注桩取0.6～0.8（水下灌注桩、小直径桩、长桩</w:t>
      </w:r>
      <w:r>
        <w:rPr>
          <w:rFonts w:hint="eastAsia"/>
          <w:color w:val="auto"/>
          <w:szCs w:val="21"/>
        </w:rPr>
        <w:t>或混凝土强度等级高于C35时</w:t>
      </w:r>
      <w:r>
        <w:rPr>
          <w:color w:val="auto"/>
          <w:szCs w:val="21"/>
        </w:rPr>
        <w:t>取用低值</w:t>
      </w:r>
      <w:r>
        <w:rPr>
          <w:rFonts w:hint="eastAsia"/>
          <w:color w:val="auto"/>
          <w:szCs w:val="21"/>
        </w:rPr>
        <w:t>）；灌注桩</w:t>
      </w:r>
      <w:r>
        <w:rPr>
          <w:color w:val="auto"/>
          <w:szCs w:val="21"/>
        </w:rPr>
        <w:t>桩顶以下</w:t>
      </w:r>
      <w:r>
        <w:rPr>
          <w:i/>
          <w:color w:val="auto"/>
          <w:szCs w:val="21"/>
        </w:rPr>
        <w:t>f</w:t>
      </w:r>
      <w:r>
        <w:rPr>
          <w:color w:val="auto"/>
          <w:szCs w:val="21"/>
          <w:vertAlign w:val="subscript"/>
        </w:rPr>
        <w:t>ak</w:t>
      </w:r>
      <w:r>
        <w:rPr>
          <w:color w:val="auto"/>
          <w:szCs w:val="21"/>
        </w:rPr>
        <w:t>≤70kPa的软土厚度大于3m</w:t>
      </w:r>
      <w:r>
        <w:rPr>
          <w:rFonts w:hint="eastAsia"/>
          <w:color w:val="auto"/>
          <w:szCs w:val="21"/>
        </w:rPr>
        <w:t>或大于3d</w:t>
      </w:r>
      <w:r>
        <w:rPr>
          <w:color w:val="auto"/>
          <w:szCs w:val="21"/>
        </w:rPr>
        <w:t>时</w:t>
      </w:r>
      <w:r>
        <w:rPr>
          <w:rFonts w:hint="eastAsia"/>
          <w:color w:val="auto"/>
          <w:szCs w:val="21"/>
        </w:rPr>
        <w:t>取值不应大于</w:t>
      </w:r>
      <w:r>
        <w:rPr>
          <w:color w:val="auto"/>
          <w:szCs w:val="21"/>
        </w:rPr>
        <w:t>0.</w:t>
      </w:r>
      <w:r>
        <w:rPr>
          <w:rFonts w:hint="eastAsia"/>
          <w:color w:val="auto"/>
          <w:szCs w:val="21"/>
        </w:rPr>
        <w:t>7；</w:t>
      </w:r>
    </w:p>
    <w:p w14:paraId="69811FCB">
      <w:pPr>
        <w:adjustRightInd w:val="0"/>
        <w:snapToGrid w:val="0"/>
        <w:spacing w:line="340" w:lineRule="atLeast"/>
        <w:ind w:left="1394" w:leftChars="352" w:hanging="655" w:hangingChars="312"/>
        <w:rPr>
          <w:color w:val="auto"/>
          <w:szCs w:val="21"/>
        </w:rPr>
      </w:pPr>
      <w:r>
        <w:rPr>
          <w:color w:val="auto"/>
          <w:position w:val="-14"/>
          <w:szCs w:val="21"/>
        </w:rPr>
        <w:object>
          <v:shape id="_x0000_i1393" o:spt="75" type="#_x0000_t75" style="height:23.25pt;width:17.25pt;" o:ole="t" filled="f" o:preferrelative="t" stroked="f" coordsize="21600,21600">
            <v:path/>
            <v:fill on="f" focussize="0,0"/>
            <v:stroke on="f" joinstyle="miter"/>
            <v:imagedata r:id="rId722" o:title=""/>
            <o:lock v:ext="edit" aspectratio="t"/>
            <w10:wrap type="none"/>
            <w10:anchorlock/>
          </v:shape>
          <o:OLEObject Type="Embed" ProgID="Equation.DSMT4" ShapeID="_x0000_i1393" DrawAspect="Content" ObjectID="_1468076093" r:id="rId721">
            <o:LockedField>false</o:LockedField>
          </o:OLEObject>
        </w:object>
      </w:r>
      <w:r>
        <w:rPr>
          <w:color w:val="auto"/>
          <w:szCs w:val="21"/>
        </w:rPr>
        <w:t>——</w:t>
      </w:r>
      <w:r>
        <w:rPr>
          <w:rFonts w:hint="eastAsia"/>
          <w:color w:val="auto"/>
          <w:szCs w:val="21"/>
        </w:rPr>
        <w:t>纵向主筋</w:t>
      </w:r>
      <w:r>
        <w:rPr>
          <w:color w:val="auto"/>
          <w:szCs w:val="21"/>
        </w:rPr>
        <w:t>抗压强度设计值</w:t>
      </w:r>
      <w:r>
        <w:rPr>
          <w:rFonts w:hint="eastAsia"/>
          <w:color w:val="auto"/>
          <w:szCs w:val="21"/>
        </w:rPr>
        <w:t>，按现行国家标准GB/</w:t>
      </w:r>
      <w:r>
        <w:rPr>
          <w:color w:val="auto"/>
          <w:szCs w:val="21"/>
        </w:rPr>
        <w:t>T</w:t>
      </w:r>
      <w:r>
        <w:rPr>
          <w:rFonts w:hint="eastAsia"/>
          <w:color w:val="auto"/>
          <w:szCs w:val="21"/>
          <w:lang w:val="en-US" w:eastAsia="zh-CN"/>
        </w:rPr>
        <w:t xml:space="preserve"> </w:t>
      </w:r>
      <w:r>
        <w:rPr>
          <w:rFonts w:hint="eastAsia"/>
          <w:color w:val="auto"/>
          <w:szCs w:val="21"/>
        </w:rPr>
        <w:t>50010取值</w:t>
      </w:r>
      <w:r>
        <w:rPr>
          <w:color w:val="auto"/>
          <w:szCs w:val="21"/>
        </w:rPr>
        <w:t>；</w:t>
      </w:r>
    </w:p>
    <w:p w14:paraId="62E23BD9">
      <w:pPr>
        <w:adjustRightInd w:val="0"/>
        <w:snapToGrid w:val="0"/>
        <w:spacing w:line="340" w:lineRule="atLeast"/>
        <w:ind w:left="1394" w:leftChars="352" w:hanging="655" w:hangingChars="312"/>
        <w:rPr>
          <w:color w:val="auto"/>
          <w:szCs w:val="21"/>
          <w:u w:val="single"/>
        </w:rPr>
      </w:pPr>
      <w:r>
        <w:rPr>
          <w:color w:val="auto"/>
          <w:position w:val="-12"/>
          <w:szCs w:val="21"/>
        </w:rPr>
        <w:object>
          <v:shape id="_x0000_i1394" o:spt="75" type="#_x0000_t75" style="height:21.75pt;width:17.25pt;" o:ole="t" filled="f" o:preferrelative="t" stroked="f" coordsize="21600,21600">
            <v:path/>
            <v:fill on="f" focussize="0,0"/>
            <v:stroke on="f" joinstyle="miter"/>
            <v:imagedata r:id="rId724" o:title=""/>
            <o:lock v:ext="edit" aspectratio="t"/>
            <w10:wrap type="none"/>
            <w10:anchorlock/>
          </v:shape>
          <o:OLEObject Type="Embed" ProgID="Equation.DSMT4" ShapeID="_x0000_i1394" DrawAspect="Content" ObjectID="_1468076094" r:id="rId723">
            <o:LockedField>false</o:LockedField>
          </o:OLEObject>
        </w:object>
      </w:r>
      <w:r>
        <w:rPr>
          <w:color w:val="auto"/>
          <w:szCs w:val="21"/>
        </w:rPr>
        <w:t>——</w:t>
      </w:r>
      <w:r>
        <w:rPr>
          <w:rFonts w:hint="eastAsia"/>
          <w:color w:val="auto"/>
        </w:rPr>
        <w:t xml:space="preserve"> </w:t>
      </w:r>
      <w:r>
        <w:rPr>
          <w:rFonts w:hint="eastAsia"/>
          <w:color w:val="auto"/>
          <w:szCs w:val="21"/>
        </w:rPr>
        <w:t>纵向主筋横截面积。</w:t>
      </w:r>
    </w:p>
    <w:p w14:paraId="719DD542">
      <w:pPr>
        <w:adjustRightInd w:val="0"/>
        <w:snapToGrid w:val="0"/>
        <w:spacing w:line="340" w:lineRule="atLeast"/>
        <w:rPr>
          <w:color w:val="auto"/>
          <w:szCs w:val="21"/>
          <w:u w:val="single"/>
        </w:rPr>
      </w:pPr>
      <w:r>
        <w:rPr>
          <w:rFonts w:eastAsia="黑体"/>
          <w:b/>
          <w:color w:val="auto"/>
          <w:szCs w:val="21"/>
        </w:rPr>
        <w:t>12.3.10</w:t>
      </w:r>
      <w:r>
        <w:rPr>
          <w:color w:val="auto"/>
          <w:szCs w:val="21"/>
        </w:rPr>
        <w:t xml:space="preserve">  当桩承受较大偏心荷载或弯矩时，应按偏心受压或压弯构件验算桩身强度。</w:t>
      </w:r>
    </w:p>
    <w:p w14:paraId="1D6417A1">
      <w:pPr>
        <w:adjustRightInd w:val="0"/>
        <w:snapToGrid w:val="0"/>
        <w:spacing w:line="340" w:lineRule="atLeast"/>
        <w:rPr>
          <w:color w:val="auto"/>
          <w:szCs w:val="21"/>
        </w:rPr>
      </w:pPr>
      <w:r>
        <w:rPr>
          <w:rFonts w:eastAsia="黑体"/>
          <w:b/>
          <w:color w:val="auto"/>
          <w:szCs w:val="21"/>
        </w:rPr>
        <mc:AlternateContent>
          <mc:Choice Requires="wps">
            <w:drawing>
              <wp:anchor distT="0" distB="0" distL="114300" distR="114300" simplePos="0" relativeHeight="251661312" behindDoc="0" locked="0" layoutInCell="1" allowOverlap="1">
                <wp:simplePos x="0" y="0"/>
                <wp:positionH relativeFrom="column">
                  <wp:posOffset>4017010</wp:posOffset>
                </wp:positionH>
                <wp:positionV relativeFrom="paragraph">
                  <wp:posOffset>208280</wp:posOffset>
                </wp:positionV>
                <wp:extent cx="1795780" cy="3096260"/>
                <wp:effectExtent l="13970" t="5715" r="9525" b="12700"/>
                <wp:wrapTight wrapText="bothSides">
                  <wp:wrapPolygon>
                    <wp:start x="-76" y="0"/>
                    <wp:lineTo x="-76" y="21600"/>
                    <wp:lineTo x="21676" y="21600"/>
                    <wp:lineTo x="21676" y="0"/>
                    <wp:lineTo x="-76" y="0"/>
                  </wp:wrapPolygon>
                </wp:wrapTight>
                <wp:docPr id="311" name="矩形 311"/>
                <wp:cNvGraphicFramePr/>
                <a:graphic xmlns:a="http://schemas.openxmlformats.org/drawingml/2006/main">
                  <a:graphicData uri="http://schemas.microsoft.com/office/word/2010/wordprocessingShape">
                    <wps:wsp>
                      <wps:cNvSpPr>
                        <a:spLocks noChangeArrowheads="1"/>
                      </wps:cNvSpPr>
                      <wps:spPr bwMode="auto">
                        <a:xfrm>
                          <a:off x="0" y="0"/>
                          <a:ext cx="1795780" cy="3096260"/>
                        </a:xfrm>
                        <a:prstGeom prst="rect">
                          <a:avLst/>
                        </a:prstGeom>
                        <a:solidFill>
                          <a:srgbClr val="FFFFFF"/>
                        </a:solidFill>
                        <a:ln w="9525">
                          <a:solidFill>
                            <a:srgbClr val="FFFFFF"/>
                          </a:solidFill>
                          <a:miter lim="800000"/>
                        </a:ln>
                      </wps:spPr>
                      <wps:txbx>
                        <w:txbxContent>
                          <w:p w14:paraId="3FBC833C">
                            <w:pPr>
                              <w:adjustRightInd w:val="0"/>
                              <w:snapToGrid w:val="0"/>
                              <w:jc w:val="center"/>
                              <w:rPr>
                                <w:sz w:val="18"/>
                                <w:szCs w:val="18"/>
                              </w:rPr>
                            </w:pPr>
                            <w:r>
                              <w:rPr>
                                <w:sz w:val="18"/>
                                <w:szCs w:val="18"/>
                              </w:rPr>
                              <w:drawing>
                                <wp:inline distT="0" distB="0" distL="0" distR="0">
                                  <wp:extent cx="1457325" cy="27527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a:xfrm>
                                            <a:off x="0" y="0"/>
                                            <a:ext cx="1457325" cy="2752725"/>
                                          </a:xfrm>
                                          <a:prstGeom prst="rect">
                                            <a:avLst/>
                                          </a:prstGeom>
                                          <a:noFill/>
                                          <a:ln>
                                            <a:noFill/>
                                          </a:ln>
                                        </pic:spPr>
                                      </pic:pic>
                                    </a:graphicData>
                                  </a:graphic>
                                </wp:inline>
                              </w:drawing>
                            </w:r>
                          </w:p>
                          <w:p w14:paraId="55F754D0">
                            <w:pPr>
                              <w:adjustRightInd w:val="0"/>
                              <w:snapToGrid w:val="0"/>
                              <w:jc w:val="center"/>
                              <w:rPr>
                                <w:sz w:val="15"/>
                                <w:szCs w:val="15"/>
                              </w:rPr>
                            </w:pPr>
                          </w:p>
                          <w:p w14:paraId="430D9E5E">
                            <w:pPr>
                              <w:adjustRightInd w:val="0"/>
                              <w:snapToGrid w:val="0"/>
                              <w:jc w:val="left"/>
                              <w:rPr>
                                <w:rFonts w:ascii="宋体" w:hAnsi="宋体"/>
                                <w:b/>
                                <w:sz w:val="18"/>
                                <w:szCs w:val="18"/>
                              </w:rPr>
                            </w:pPr>
                            <w:r>
                              <w:rPr>
                                <w:rFonts w:ascii="宋体" w:hAnsi="宋体"/>
                                <w:b/>
                                <w:sz w:val="18"/>
                                <w:szCs w:val="18"/>
                              </w:rPr>
                              <w:t>图</w:t>
                            </w:r>
                            <w:r>
                              <w:rPr>
                                <w:rFonts w:hint="eastAsia" w:ascii="宋体" w:hAnsi="宋体"/>
                                <w:b/>
                                <w:sz w:val="18"/>
                                <w:szCs w:val="18"/>
                              </w:rPr>
                              <w:t>1</w:t>
                            </w:r>
                            <w:r>
                              <w:rPr>
                                <w:b/>
                                <w:sz w:val="18"/>
                                <w:szCs w:val="18"/>
                              </w:rPr>
                              <w:t>2</w:t>
                            </w:r>
                            <w:r>
                              <w:rPr>
                                <w:rFonts w:hint="eastAsia" w:ascii="宋体" w:hAnsi="宋体"/>
                                <w:b/>
                                <w:sz w:val="18"/>
                                <w:szCs w:val="18"/>
                              </w:rPr>
                              <w:t xml:space="preserve">  桩基沉降计算示意图</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16.3pt;margin-top:16.4pt;height:243.8pt;width:141.4pt;mso-wrap-distance-left:9pt;mso-wrap-distance-right:9pt;z-index:251661312;mso-width-relative:page;mso-height-relative:page;" fillcolor="#FFFFFF" filled="t" stroked="t" coordsize="21600,21600" wrapcoords="-76 0 -76 21600 21676 21600 21676 0 -76 0" o:gfxdata="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fhsANgAAAAKAQAADwAAAAAAAAABACAAAAAiAAAAZHJzL2Rv&#10;d25yZXYueG1sUEsBAhQAFAAAAAgAh07iQGQl4786AgAAfwQAAA4AAAAAAAAAAQAgAAAAJwEAAGRy&#10;cy9lMm9Eb2MueG1sUEsFBgAAAAAGAAYAWQEAANMFAAAAAA==&#10;">
                <v:fill on="t" focussize="0,0"/>
                <v:stroke color="#FFFFFF" miterlimit="8" joinstyle="miter"/>
                <v:imagedata o:title=""/>
                <o:lock v:ext="edit" aspectratio="f"/>
                <v:textbox>
                  <w:txbxContent>
                    <w:p w14:paraId="3FBC833C">
                      <w:pPr>
                        <w:adjustRightInd w:val="0"/>
                        <w:snapToGrid w:val="0"/>
                        <w:jc w:val="center"/>
                        <w:rPr>
                          <w:sz w:val="18"/>
                          <w:szCs w:val="18"/>
                        </w:rPr>
                      </w:pPr>
                      <w:r>
                        <w:rPr>
                          <w:sz w:val="18"/>
                          <w:szCs w:val="18"/>
                        </w:rPr>
                        <w:drawing>
                          <wp:inline distT="0" distB="0" distL="0" distR="0">
                            <wp:extent cx="1457325" cy="27527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a:xfrm>
                                      <a:off x="0" y="0"/>
                                      <a:ext cx="1457325" cy="2752725"/>
                                    </a:xfrm>
                                    <a:prstGeom prst="rect">
                                      <a:avLst/>
                                    </a:prstGeom>
                                    <a:noFill/>
                                    <a:ln>
                                      <a:noFill/>
                                    </a:ln>
                                  </pic:spPr>
                                </pic:pic>
                              </a:graphicData>
                            </a:graphic>
                          </wp:inline>
                        </w:drawing>
                      </w:r>
                    </w:p>
                    <w:p w14:paraId="55F754D0">
                      <w:pPr>
                        <w:adjustRightInd w:val="0"/>
                        <w:snapToGrid w:val="0"/>
                        <w:jc w:val="center"/>
                        <w:rPr>
                          <w:sz w:val="15"/>
                          <w:szCs w:val="15"/>
                        </w:rPr>
                      </w:pPr>
                    </w:p>
                    <w:p w14:paraId="430D9E5E">
                      <w:pPr>
                        <w:adjustRightInd w:val="0"/>
                        <w:snapToGrid w:val="0"/>
                        <w:jc w:val="left"/>
                        <w:rPr>
                          <w:rFonts w:ascii="宋体" w:hAnsi="宋体"/>
                          <w:b/>
                          <w:sz w:val="18"/>
                          <w:szCs w:val="18"/>
                        </w:rPr>
                      </w:pPr>
                      <w:r>
                        <w:rPr>
                          <w:rFonts w:ascii="宋体" w:hAnsi="宋体"/>
                          <w:b/>
                          <w:sz w:val="18"/>
                          <w:szCs w:val="18"/>
                        </w:rPr>
                        <w:t>图</w:t>
                      </w:r>
                      <w:r>
                        <w:rPr>
                          <w:rFonts w:hint="eastAsia" w:ascii="宋体" w:hAnsi="宋体"/>
                          <w:b/>
                          <w:sz w:val="18"/>
                          <w:szCs w:val="18"/>
                        </w:rPr>
                        <w:t>1</w:t>
                      </w:r>
                      <w:r>
                        <w:rPr>
                          <w:b/>
                          <w:sz w:val="18"/>
                          <w:szCs w:val="18"/>
                        </w:rPr>
                        <w:t>2</w:t>
                      </w:r>
                      <w:r>
                        <w:rPr>
                          <w:rFonts w:hint="eastAsia" w:ascii="宋体" w:hAnsi="宋体"/>
                          <w:b/>
                          <w:sz w:val="18"/>
                          <w:szCs w:val="18"/>
                        </w:rPr>
                        <w:t xml:space="preserve">  桩基沉降计算示意图</w:t>
                      </w:r>
                    </w:p>
                  </w:txbxContent>
                </v:textbox>
                <w10:wrap type="tight"/>
              </v:rect>
            </w:pict>
          </mc:Fallback>
        </mc:AlternateContent>
      </w:r>
    </w:p>
    <w:p w14:paraId="5744DD80">
      <w:pPr>
        <w:adjustRightInd w:val="0"/>
        <w:snapToGrid w:val="0"/>
        <w:spacing w:line="340" w:lineRule="exact"/>
        <w:outlineLvl w:val="1"/>
        <w:rPr>
          <w:rFonts w:eastAsia="黑体"/>
          <w:b/>
          <w:bCs/>
          <w:color w:val="auto"/>
          <w:szCs w:val="21"/>
        </w:rPr>
      </w:pPr>
      <w:bookmarkStart w:id="68" w:name="_Toc199943611"/>
      <w:r>
        <w:rPr>
          <w:rFonts w:eastAsia="黑体"/>
          <w:b/>
          <w:bCs/>
          <w:color w:val="auto"/>
          <w:szCs w:val="21"/>
        </w:rPr>
        <w:t>12.4  桩基沉降计算</w:t>
      </w:r>
      <w:bookmarkEnd w:id="68"/>
    </w:p>
    <w:p w14:paraId="27A7E878">
      <w:pPr>
        <w:adjustRightInd w:val="0"/>
        <w:snapToGrid w:val="0"/>
        <w:spacing w:line="360" w:lineRule="atLeast"/>
        <w:rPr>
          <w:color w:val="auto"/>
          <w:szCs w:val="21"/>
        </w:rPr>
      </w:pPr>
    </w:p>
    <w:p w14:paraId="4506AAF9">
      <w:pPr>
        <w:adjustRightInd w:val="0"/>
        <w:snapToGrid w:val="0"/>
        <w:spacing w:line="360" w:lineRule="atLeast"/>
        <w:rPr>
          <w:color w:val="auto"/>
          <w:szCs w:val="21"/>
        </w:rPr>
      </w:pPr>
      <w:r>
        <w:rPr>
          <w:rFonts w:eastAsia="黑体"/>
          <w:b/>
          <w:color w:val="auto"/>
          <w:szCs w:val="21"/>
        </w:rPr>
        <w:t>12.4.1</w:t>
      </w:r>
      <w:r>
        <w:rPr>
          <w:color w:val="auto"/>
          <w:szCs w:val="21"/>
        </w:rPr>
        <w:t xml:space="preserve">  桩基沉降验算应遵守本文件5.7条和5.8条的规定。</w:t>
      </w:r>
    </w:p>
    <w:p w14:paraId="352740C6">
      <w:pPr>
        <w:adjustRightInd w:val="0"/>
        <w:snapToGrid w:val="0"/>
        <w:spacing w:line="360" w:lineRule="atLeast"/>
        <w:rPr>
          <w:color w:val="auto"/>
          <w:szCs w:val="21"/>
        </w:rPr>
      </w:pPr>
      <w:r>
        <w:rPr>
          <w:rFonts w:eastAsia="黑体"/>
          <w:b/>
          <w:color w:val="auto"/>
          <w:szCs w:val="21"/>
        </w:rPr>
        <w:t>12.4.2</w:t>
      </w:r>
      <w:r>
        <w:rPr>
          <w:color w:val="auto"/>
          <w:szCs w:val="21"/>
        </w:rPr>
        <w:t xml:space="preserve">  当桩中心距不大于6倍桩径时，宜采用等代实体基础，按单向压缩分层总和法计算桩基最终沉降量，桩端以下地基内应力分布采用各向同性均质线性变形体理论计算。承台底附加应力以</w:t>
      </w:r>
      <w:r>
        <w:rPr>
          <w:color w:val="auto"/>
          <w:position w:val="-10"/>
          <w:szCs w:val="21"/>
        </w:rPr>
        <w:object>
          <v:shape id="_x0000_i1395" o:spt="75" type="#_x0000_t75" style="height:15pt;width:15pt;" o:ole="t" filled="f" o:preferrelative="t" stroked="f" coordsize="21600,21600">
            <v:path/>
            <v:fill on="f" focussize="0,0"/>
            <v:stroke on="f" joinstyle="miter"/>
            <v:imagedata r:id="rId727" o:title=""/>
            <o:lock v:ext="edit" aspectratio="t"/>
            <w10:wrap type="none"/>
            <w10:anchorlock/>
          </v:shape>
          <o:OLEObject Type="Embed" ProgID="Equation.DSMT4" ShapeID="_x0000_i1395" DrawAspect="Content" ObjectID="_1468076095" r:id="rId726">
            <o:LockedField>false</o:LockedField>
          </o:OLEObject>
        </w:object>
      </w:r>
      <w:r>
        <w:rPr>
          <w:color w:val="auto"/>
          <w:szCs w:val="21"/>
        </w:rPr>
        <w:t>/4角向下扩散，桩端平面附加应力作用面积按图12计算。</w:t>
      </w:r>
      <w:r>
        <w:rPr>
          <w:color w:val="auto"/>
          <w:position w:val="-10"/>
          <w:szCs w:val="21"/>
        </w:rPr>
        <w:object>
          <v:shape id="_x0000_i1396" o:spt="75" type="#_x0000_t75" style="height:15pt;width:15pt;" o:ole="t" filled="f" o:preferrelative="t" stroked="f" coordsize="21600,21600">
            <v:path/>
            <v:fill on="f" focussize="0,0"/>
            <v:stroke on="f" joinstyle="miter"/>
            <v:imagedata r:id="rId729" o:title=""/>
            <o:lock v:ext="edit" aspectratio="t"/>
            <w10:wrap type="none"/>
            <w10:anchorlock/>
          </v:shape>
          <o:OLEObject Type="Embed" ProgID="Equation.DSMT4" ShapeID="_x0000_i1396" DrawAspect="Content" ObjectID="_1468076096" r:id="rId728">
            <o:LockedField>false</o:LockedField>
          </o:OLEObject>
        </w:object>
      </w:r>
      <w:r>
        <w:rPr>
          <w:color w:val="auto"/>
          <w:szCs w:val="21"/>
        </w:rPr>
        <w:t>为桩长范围土层内摩擦角标准值的加权平均值。</w:t>
      </w:r>
    </w:p>
    <w:p w14:paraId="42504C52">
      <w:pPr>
        <w:adjustRightInd w:val="0"/>
        <w:snapToGrid w:val="0"/>
        <w:spacing w:line="360" w:lineRule="atLeast"/>
        <w:rPr>
          <w:color w:val="auto"/>
          <w:szCs w:val="21"/>
        </w:rPr>
      </w:pPr>
      <w:r>
        <w:rPr>
          <w:rFonts w:eastAsia="黑体"/>
          <w:b/>
          <w:color w:val="auto"/>
          <w:szCs w:val="21"/>
        </w:rPr>
        <w:t>12.4.3</w:t>
      </w:r>
      <w:r>
        <w:rPr>
          <w:color w:val="auto"/>
          <w:szCs w:val="21"/>
        </w:rPr>
        <w:t xml:space="preserve">  </w:t>
      </w:r>
      <w:r>
        <w:rPr>
          <w:rFonts w:hint="eastAsia"/>
          <w:color w:val="auto"/>
          <w:szCs w:val="21"/>
        </w:rPr>
        <w:t>桩基最终沉降量可用角点法按</w:t>
      </w:r>
      <w:r>
        <w:rPr>
          <w:rFonts w:hint="eastAsia"/>
          <w:color w:val="auto"/>
          <w:lang w:val="en-US" w:eastAsia="zh-CN"/>
        </w:rPr>
        <w:t>公式（82）</w:t>
      </w:r>
      <w:r>
        <w:rPr>
          <w:rFonts w:hint="eastAsia"/>
          <w:color w:val="auto"/>
          <w:szCs w:val="21"/>
        </w:rPr>
        <w:t>计算：</w:t>
      </w:r>
    </w:p>
    <w:p w14:paraId="2900BEDD">
      <w:pPr>
        <w:pStyle w:val="12"/>
        <w:jc w:val="right"/>
        <w:rPr>
          <w:color w:val="auto"/>
          <w:szCs w:val="21"/>
        </w:rPr>
      </w:pPr>
      <w:r>
        <w:rPr>
          <w:color w:val="auto"/>
          <w:position w:val="-30"/>
          <w:szCs w:val="21"/>
        </w:rPr>
        <w:object>
          <v:shape id="_x0000_i1397" o:spt="75" type="#_x0000_t75" style="height:36.75pt;width:152.25pt;" o:ole="t" filled="f" o:preferrelative="t" stroked="f" coordsize="21600,21600">
            <v:path/>
            <v:fill on="f" focussize="0,0"/>
            <v:stroke on="f" joinstyle="miter"/>
            <v:imagedata r:id="rId731" o:title=""/>
            <o:lock v:ext="edit" aspectratio="t"/>
            <w10:wrap type="none"/>
            <w10:anchorlock/>
          </v:shape>
          <o:OLEObject Type="Embed" ProgID="Equation.DSMT4" ShapeID="_x0000_i1397" DrawAspect="Content" ObjectID="_1468076097" r:id="rId73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82</w:t>
      </w:r>
      <w:r>
        <w:rPr>
          <w:color w:val="auto"/>
          <w:szCs w:val="21"/>
        </w:rPr>
        <w:fldChar w:fldCharType="end"/>
      </w:r>
      <w:r>
        <w:rPr>
          <w:color w:val="auto"/>
          <w:szCs w:val="21"/>
        </w:rPr>
        <w:t>)</w:t>
      </w:r>
    </w:p>
    <w:p w14:paraId="6C0887E6">
      <w:pPr>
        <w:adjustRightInd w:val="0"/>
        <w:snapToGrid w:val="0"/>
        <w:spacing w:line="340" w:lineRule="atLeast"/>
        <w:ind w:leftChars="-13" w:hanging="27" w:hangingChars="13"/>
        <w:rPr>
          <w:color w:val="auto"/>
          <w:szCs w:val="21"/>
        </w:rPr>
      </w:pPr>
      <w:r>
        <w:rPr>
          <w:rFonts w:hint="eastAsia"/>
          <w:color w:val="auto"/>
          <w:szCs w:val="21"/>
        </w:rPr>
        <w:t>式中</w:t>
      </w:r>
      <w:r>
        <w:rPr>
          <w:color w:val="auto"/>
          <w:szCs w:val="21"/>
        </w:rPr>
        <w:t xml:space="preserve">   </w:t>
      </w:r>
      <w:r>
        <w:rPr>
          <w:i/>
          <w:color w:val="auto"/>
          <w:szCs w:val="21"/>
        </w:rPr>
        <w:t>s</w:t>
      </w:r>
      <w:r>
        <w:rPr>
          <w:color w:val="auto"/>
          <w:szCs w:val="21"/>
        </w:rPr>
        <w:t>——</w:t>
      </w:r>
      <w:r>
        <w:rPr>
          <w:rFonts w:hint="eastAsia"/>
          <w:color w:val="auto"/>
          <w:szCs w:val="21"/>
        </w:rPr>
        <w:t>桩基最终沉降量（</w:t>
      </w:r>
      <w:r>
        <w:rPr>
          <w:color w:val="auto"/>
          <w:szCs w:val="21"/>
        </w:rPr>
        <w:t>mm</w:t>
      </w:r>
      <w:r>
        <w:rPr>
          <w:rFonts w:hint="eastAsia"/>
          <w:color w:val="auto"/>
          <w:szCs w:val="21"/>
        </w:rPr>
        <w:t>）；</w:t>
      </w:r>
    </w:p>
    <w:p w14:paraId="48797E72">
      <w:pPr>
        <w:adjustRightInd w:val="0"/>
        <w:snapToGrid w:val="0"/>
        <w:spacing w:line="320" w:lineRule="atLeast"/>
        <w:ind w:left="1215" w:leftChars="253" w:hanging="684" w:hangingChars="326"/>
        <w:rPr>
          <w:color w:val="auto"/>
          <w:szCs w:val="21"/>
        </w:rPr>
      </w:pPr>
      <w:r>
        <w:rPr>
          <w:color w:val="auto"/>
          <w:position w:val="-14"/>
          <w:szCs w:val="21"/>
        </w:rPr>
        <w:object>
          <v:shape id="_x0000_i1398" o:spt="75" type="#_x0000_t75" style="height:21.75pt;width:15pt;" o:ole="t" filled="f" o:preferrelative="t" stroked="f" coordsize="21600,21600">
            <v:path/>
            <v:fill on="f" focussize="0,0"/>
            <v:stroke on="f" joinstyle="miter"/>
            <v:imagedata r:id="rId733" o:title=""/>
            <o:lock v:ext="edit" aspectratio="t"/>
            <w10:wrap type="none"/>
            <w10:anchorlock/>
          </v:shape>
          <o:OLEObject Type="Embed" ProgID="Equation.DSMT4" ShapeID="_x0000_i1398" DrawAspect="Content" ObjectID="_1468076098" r:id="rId732">
            <o:LockedField>false</o:LockedField>
          </o:OLEObject>
        </w:object>
      </w:r>
      <w:r>
        <w:rPr>
          <w:color w:val="auto"/>
          <w:szCs w:val="21"/>
        </w:rPr>
        <w:t>——</w:t>
      </w:r>
      <w:r>
        <w:rPr>
          <w:rFonts w:hint="eastAsia"/>
          <w:color w:val="auto"/>
          <w:szCs w:val="21"/>
        </w:rPr>
        <w:t>沉降计算经验系数，无可靠经验时，可按本文件表</w:t>
      </w:r>
      <w:r>
        <w:rPr>
          <w:color w:val="auto"/>
          <w:szCs w:val="21"/>
        </w:rPr>
        <w:t>56</w:t>
      </w:r>
      <w:r>
        <w:rPr>
          <w:rFonts w:hint="eastAsia"/>
          <w:color w:val="auto"/>
          <w:szCs w:val="21"/>
        </w:rPr>
        <w:t>采用；</w:t>
      </w:r>
    </w:p>
    <w:p w14:paraId="3CF65867">
      <w:pPr>
        <w:adjustRightInd w:val="0"/>
        <w:snapToGrid w:val="0"/>
        <w:spacing w:line="320" w:lineRule="atLeast"/>
        <w:ind w:firstLine="642" w:firstLineChars="306"/>
        <w:rPr>
          <w:color w:val="auto"/>
          <w:szCs w:val="21"/>
        </w:rPr>
      </w:pPr>
      <w:r>
        <w:rPr>
          <w:i/>
          <w:color w:val="auto"/>
          <w:szCs w:val="21"/>
        </w:rPr>
        <w:t>m</w:t>
      </w:r>
      <w:r>
        <w:rPr>
          <w:color w:val="auto"/>
          <w:szCs w:val="21"/>
        </w:rPr>
        <w:t>——</w:t>
      </w:r>
      <w:r>
        <w:rPr>
          <w:rFonts w:hint="eastAsia"/>
          <w:color w:val="auto"/>
          <w:szCs w:val="21"/>
        </w:rPr>
        <w:t>角点法计算点对应的荷载分块数；</w:t>
      </w:r>
    </w:p>
    <w:p w14:paraId="60349484">
      <w:pPr>
        <w:adjustRightInd w:val="0"/>
        <w:snapToGrid w:val="0"/>
        <w:spacing w:line="340" w:lineRule="atLeast"/>
        <w:ind w:left="1216" w:leftChars="226" w:hanging="741" w:hangingChars="353"/>
        <w:rPr>
          <w:color w:val="auto"/>
          <w:spacing w:val="-4"/>
          <w:szCs w:val="21"/>
        </w:rPr>
      </w:pPr>
      <w:r>
        <w:rPr>
          <w:color w:val="auto"/>
          <w:position w:val="-14"/>
          <w:szCs w:val="21"/>
        </w:rPr>
        <w:object>
          <v:shape id="_x0000_i1399" o:spt="75" type="#_x0000_t75" style="height:21.75pt;width:15pt;" o:ole="t" filled="f" o:preferrelative="t" stroked="f" coordsize="21600,21600">
            <v:path/>
            <v:fill on="f" focussize="0,0"/>
            <v:stroke on="f" joinstyle="miter"/>
            <v:imagedata r:id="rId735" o:title=""/>
            <o:lock v:ext="edit" aspectratio="t"/>
            <w10:wrap type="none"/>
            <w10:anchorlock/>
          </v:shape>
          <o:OLEObject Type="Embed" ProgID="Equation.DSMT4" ShapeID="_x0000_i1399" DrawAspect="Content" ObjectID="_1468076099" r:id="rId734">
            <o:LockedField>false</o:LockedField>
          </o:OLEObject>
        </w:object>
      </w:r>
      <w:r>
        <w:rPr>
          <w:color w:val="auto"/>
          <w:szCs w:val="21"/>
        </w:rPr>
        <w:t>——</w:t>
      </w:r>
      <w:r>
        <w:rPr>
          <w:rFonts w:hint="eastAsia"/>
          <w:color w:val="auto"/>
          <w:szCs w:val="21"/>
        </w:rPr>
        <w:t>角点法计算点对应的桩端平面，相应于作用的</w:t>
      </w:r>
      <w:r>
        <w:rPr>
          <w:rFonts w:hint="eastAsia"/>
          <w:color w:val="auto"/>
          <w:spacing w:val="-4"/>
          <w:szCs w:val="21"/>
        </w:rPr>
        <w:t>准永久组合时第</w:t>
      </w:r>
      <w:r>
        <w:rPr>
          <w:iCs/>
          <w:color w:val="auto"/>
          <w:spacing w:val="-4"/>
          <w:szCs w:val="21"/>
        </w:rPr>
        <w:t>j</w:t>
      </w:r>
      <w:r>
        <w:rPr>
          <w:rFonts w:hint="eastAsia"/>
          <w:color w:val="auto"/>
          <w:spacing w:val="-4"/>
          <w:szCs w:val="21"/>
        </w:rPr>
        <w:t>荷载块的附加应力（</w:t>
      </w:r>
      <w:r>
        <w:rPr>
          <w:color w:val="auto"/>
          <w:spacing w:val="-4"/>
          <w:szCs w:val="21"/>
        </w:rPr>
        <w:t>kPa</w:t>
      </w:r>
      <w:r>
        <w:rPr>
          <w:rFonts w:hint="eastAsia"/>
          <w:color w:val="auto"/>
          <w:spacing w:val="-4"/>
          <w:szCs w:val="21"/>
        </w:rPr>
        <w:t>）；</w:t>
      </w:r>
    </w:p>
    <w:p w14:paraId="21DFBBA8">
      <w:pPr>
        <w:adjustRightInd w:val="0"/>
        <w:snapToGrid w:val="0"/>
        <w:spacing w:line="340" w:lineRule="exact"/>
        <w:ind w:firstLine="600" w:firstLineChars="286"/>
        <w:rPr>
          <w:color w:val="auto"/>
          <w:szCs w:val="21"/>
        </w:rPr>
      </w:pPr>
      <w:r>
        <w:rPr>
          <w:color w:val="auto"/>
          <w:position w:val="-6"/>
          <w:szCs w:val="21"/>
        </w:rPr>
        <w:object>
          <v:shape id="_x0000_i1400" o:spt="75" type="#_x0000_t75" style="height:15pt;width:8.25pt;" o:ole="t" filled="f" o:preferrelative="t" stroked="f" coordsize="21600,21600">
            <v:path/>
            <v:fill on="f" focussize="0,0"/>
            <v:stroke on="f" joinstyle="miter"/>
            <v:imagedata r:id="rId737" o:title=""/>
            <o:lock v:ext="edit" aspectratio="t"/>
            <w10:wrap type="none"/>
            <w10:anchorlock/>
          </v:shape>
          <o:OLEObject Type="Embed" ProgID="Equation.3" ShapeID="_x0000_i1400" DrawAspect="Content" ObjectID="_1468076100" r:id="rId736">
            <o:LockedField>false</o:LockedField>
          </o:OLEObject>
        </w:object>
      </w:r>
      <w:r>
        <w:rPr>
          <w:color w:val="auto"/>
          <w:szCs w:val="21"/>
        </w:rPr>
        <w:t>——</w:t>
      </w:r>
      <w:r>
        <w:rPr>
          <w:rFonts w:hint="eastAsia"/>
          <w:color w:val="auto"/>
          <w:szCs w:val="21"/>
        </w:rPr>
        <w:t>计算深度内的土层数；</w:t>
      </w:r>
    </w:p>
    <w:p w14:paraId="07CD7F3C">
      <w:pPr>
        <w:adjustRightInd w:val="0"/>
        <w:snapToGrid w:val="0"/>
        <w:spacing w:line="340" w:lineRule="exact"/>
        <w:ind w:left="1201" w:leftChars="201" w:hanging="779" w:hangingChars="371"/>
        <w:rPr>
          <w:color w:val="auto"/>
          <w:szCs w:val="21"/>
        </w:rPr>
      </w:pPr>
      <w:r>
        <w:rPr>
          <w:color w:val="auto"/>
          <w:position w:val="-12"/>
          <w:szCs w:val="21"/>
        </w:rPr>
        <w:object>
          <v:shape id="_x0000_i1401" o:spt="75" type="#_x0000_t75" style="height:21.75pt;width:15pt;" o:ole="t" filled="f" o:preferrelative="t" stroked="f" coordsize="21600,21600">
            <v:path/>
            <v:fill on="f" focussize="0,0"/>
            <v:stroke on="f" joinstyle="miter"/>
            <v:imagedata r:id="rId739" o:title=""/>
            <o:lock v:ext="edit" aspectratio="t"/>
            <w10:wrap type="none"/>
            <w10:anchorlock/>
          </v:shape>
          <o:OLEObject Type="Embed" ProgID="Equation.DSMT4" ShapeID="_x0000_i1401" DrawAspect="Content" ObjectID="_1468076101" r:id="rId738">
            <o:LockedField>false</o:LockedField>
          </o:OLEObject>
        </w:object>
      </w:r>
      <w:r>
        <w:rPr>
          <w:color w:val="auto"/>
          <w:szCs w:val="21"/>
        </w:rPr>
        <w:t>——</w:t>
      </w:r>
      <w:r>
        <w:rPr>
          <w:rFonts w:hint="eastAsia"/>
          <w:color w:val="auto"/>
          <w:szCs w:val="21"/>
        </w:rPr>
        <w:t>桩端平面下第</w:t>
      </w:r>
      <w:r>
        <w:rPr>
          <w:i/>
          <w:color w:val="auto"/>
          <w:szCs w:val="21"/>
        </w:rPr>
        <w:t>i</w:t>
      </w:r>
      <w:r>
        <w:rPr>
          <w:rFonts w:hint="eastAsia"/>
          <w:color w:val="auto"/>
          <w:szCs w:val="21"/>
        </w:rPr>
        <w:t>层土在自重应力至自重应力加附加应力段的压缩模量（</w:t>
      </w:r>
      <w:r>
        <w:rPr>
          <w:color w:val="auto"/>
          <w:szCs w:val="21"/>
        </w:rPr>
        <w:t>MPa</w:t>
      </w:r>
      <w:r>
        <w:rPr>
          <w:rFonts w:hint="eastAsia"/>
          <w:color w:val="auto"/>
          <w:szCs w:val="21"/>
        </w:rPr>
        <w:t>）；</w:t>
      </w:r>
    </w:p>
    <w:p w14:paraId="2D5E90C7">
      <w:pPr>
        <w:adjustRightInd w:val="0"/>
        <w:snapToGrid w:val="0"/>
        <w:spacing w:line="240" w:lineRule="atLeast"/>
        <w:ind w:left="-15" w:leftChars="-114" w:hanging="224" w:hangingChars="107"/>
        <w:rPr>
          <w:color w:val="auto"/>
          <w:szCs w:val="21"/>
        </w:rPr>
      </w:pPr>
      <w:r>
        <w:rPr>
          <w:color w:val="auto"/>
          <w:position w:val="-14"/>
          <w:szCs w:val="21"/>
        </w:rPr>
        <w:object>
          <v:shape id="_x0000_i1402" o:spt="75" type="#_x0000_t75" style="height:21.75pt;width:15pt;" o:ole="t" filled="f" o:preferrelative="t" stroked="f" coordsize="21600,21600">
            <v:path/>
            <v:fill on="f" focussize="0,0"/>
            <v:stroke on="f" joinstyle="miter"/>
            <v:imagedata r:id="rId741" o:title=""/>
            <o:lock v:ext="edit" aspectratio="t"/>
            <w10:wrap type="none"/>
            <w10:anchorlock/>
          </v:shape>
          <o:OLEObject Type="Embed" ProgID="Equation.DSMT4" ShapeID="_x0000_i1402" DrawAspect="Content" ObjectID="_1468076102" r:id="rId740">
            <o:LockedField>false</o:LockedField>
          </o:OLEObject>
        </w:object>
      </w:r>
      <w:r>
        <w:rPr>
          <w:rFonts w:hint="eastAsia"/>
          <w:color w:val="auto"/>
          <w:szCs w:val="21"/>
        </w:rPr>
        <w:t>、</w:t>
      </w:r>
      <w:r>
        <w:rPr>
          <w:color w:val="auto"/>
          <w:position w:val="-14"/>
          <w:szCs w:val="21"/>
        </w:rPr>
        <w:object>
          <v:shape id="_x0000_i1403" o:spt="75" type="#_x0000_t75" style="height:21.75pt;width:21.75pt;" o:ole="t" filled="f" o:preferrelative="t" stroked="f" coordsize="21600,21600">
            <v:path/>
            <v:fill on="f" focussize="0,0"/>
            <v:stroke on="f" joinstyle="miter"/>
            <v:imagedata r:id="rId743" o:title=""/>
            <o:lock v:ext="edit" aspectratio="t"/>
            <w10:wrap type="none"/>
            <w10:anchorlock/>
          </v:shape>
          <o:OLEObject Type="Embed" ProgID="Equation.DSMT4" ShapeID="_x0000_i1403" DrawAspect="Content" ObjectID="_1468076103" r:id="rId742">
            <o:LockedField>false</o:LockedField>
          </o:OLEObject>
        </w:object>
      </w:r>
      <w:r>
        <w:rPr>
          <w:color w:val="auto"/>
          <w:szCs w:val="21"/>
        </w:rPr>
        <w:t>——</w:t>
      </w:r>
      <w:r>
        <w:rPr>
          <w:rFonts w:hint="eastAsia"/>
          <w:color w:val="auto"/>
          <w:szCs w:val="21"/>
        </w:rPr>
        <w:t>桩端平面至第</w:t>
      </w:r>
      <w:r>
        <w:rPr>
          <w:i/>
          <w:color w:val="auto"/>
          <w:szCs w:val="21"/>
        </w:rPr>
        <w:t>i</w:t>
      </w:r>
      <w:r>
        <w:rPr>
          <w:rFonts w:hint="eastAsia"/>
          <w:color w:val="auto"/>
          <w:szCs w:val="21"/>
        </w:rPr>
        <w:t>层土、第</w:t>
      </w:r>
      <w:r>
        <w:rPr>
          <w:i/>
          <w:color w:val="auto"/>
          <w:szCs w:val="21"/>
        </w:rPr>
        <w:t>i</w:t>
      </w:r>
      <w:r>
        <w:rPr>
          <w:color w:val="auto"/>
          <w:szCs w:val="21"/>
        </w:rPr>
        <w:t>-1</w:t>
      </w:r>
      <w:r>
        <w:rPr>
          <w:rFonts w:hint="eastAsia"/>
          <w:color w:val="auto"/>
          <w:szCs w:val="21"/>
        </w:rPr>
        <w:t>层土底面的距离（</w:t>
      </w:r>
      <w:r>
        <w:rPr>
          <w:color w:val="auto"/>
          <w:szCs w:val="21"/>
        </w:rPr>
        <w:t>m</w:t>
      </w:r>
      <w:r>
        <w:rPr>
          <w:rFonts w:hint="eastAsia"/>
          <w:color w:val="auto"/>
          <w:szCs w:val="21"/>
        </w:rPr>
        <w:t>）；</w:t>
      </w:r>
    </w:p>
    <w:p w14:paraId="214E7CF0">
      <w:pPr>
        <w:adjustRightInd w:val="0"/>
        <w:snapToGrid w:val="0"/>
        <w:spacing w:line="340" w:lineRule="exact"/>
        <w:ind w:left="1191" w:leftChars="-105" w:hanging="1411" w:hangingChars="672"/>
        <w:rPr>
          <w:color w:val="auto"/>
          <w:szCs w:val="21"/>
        </w:rPr>
      </w:pPr>
      <w:r>
        <w:rPr>
          <w:color w:val="auto"/>
          <w:position w:val="-14"/>
          <w:szCs w:val="21"/>
        </w:rPr>
        <w:object>
          <v:shape id="_x0000_i1404" o:spt="75" type="#_x0000_t75" style="height:21.75pt;width:15pt;" o:ole="t" filled="f" o:preferrelative="t" stroked="f" coordsize="21600,21600">
            <v:path/>
            <v:fill on="f" focussize="0,0"/>
            <v:stroke on="f" joinstyle="miter"/>
            <v:imagedata r:id="rId745" o:title=""/>
            <o:lock v:ext="edit" aspectratio="t"/>
            <w10:wrap type="none"/>
            <w10:anchorlock/>
          </v:shape>
          <o:OLEObject Type="Embed" ProgID="Equation.DSMT4" ShapeID="_x0000_i1404" DrawAspect="Content" ObjectID="_1468076104" r:id="rId744">
            <o:LockedField>false</o:LockedField>
          </o:OLEObject>
        </w:object>
      </w:r>
      <w:r>
        <w:rPr>
          <w:rFonts w:hint="eastAsia"/>
          <w:color w:val="auto"/>
          <w:szCs w:val="21"/>
        </w:rPr>
        <w:t>、</w:t>
      </w:r>
      <w:r>
        <w:rPr>
          <w:color w:val="auto"/>
          <w:position w:val="-14"/>
          <w:szCs w:val="21"/>
        </w:rPr>
        <w:object>
          <v:shape id="_x0000_i1405" o:spt="75" type="#_x0000_t75" style="height:21.75pt;width:21.75pt;" o:ole="t" filled="f" o:preferrelative="t" stroked="f" coordsize="21600,21600">
            <v:path/>
            <v:fill on="f" focussize="0,0"/>
            <v:stroke on="f" joinstyle="miter"/>
            <v:imagedata r:id="rId747" o:title=""/>
            <o:lock v:ext="edit" aspectratio="t"/>
            <w10:wrap type="none"/>
            <w10:anchorlock/>
          </v:shape>
          <o:OLEObject Type="Embed" ProgID="Equation.DSMT4" ShapeID="_x0000_i1405" DrawAspect="Content" ObjectID="_1468076105" r:id="rId746">
            <o:LockedField>false</o:LockedField>
          </o:OLEObject>
        </w:object>
      </w:r>
      <w:r>
        <w:rPr>
          <w:color w:val="auto"/>
          <w:szCs w:val="21"/>
        </w:rPr>
        <w:t>——</w:t>
      </w:r>
      <w:r>
        <w:rPr>
          <w:rFonts w:hint="eastAsia"/>
          <w:color w:val="auto"/>
          <w:szCs w:val="21"/>
        </w:rPr>
        <w:t>桩端平面至第</w:t>
      </w:r>
      <w:r>
        <w:rPr>
          <w:i/>
          <w:color w:val="auto"/>
          <w:szCs w:val="21"/>
        </w:rPr>
        <w:t>i</w:t>
      </w:r>
      <w:r>
        <w:rPr>
          <w:rFonts w:hint="eastAsia"/>
          <w:color w:val="auto"/>
          <w:szCs w:val="21"/>
        </w:rPr>
        <w:t>层土、第</w:t>
      </w:r>
      <w:r>
        <w:rPr>
          <w:i/>
          <w:color w:val="auto"/>
          <w:szCs w:val="21"/>
        </w:rPr>
        <w:t>i</w:t>
      </w:r>
      <w:r>
        <w:rPr>
          <w:color w:val="auto"/>
          <w:szCs w:val="21"/>
        </w:rPr>
        <w:t>-1</w:t>
      </w:r>
      <w:r>
        <w:rPr>
          <w:rFonts w:hint="eastAsia"/>
          <w:color w:val="auto"/>
          <w:szCs w:val="21"/>
        </w:rPr>
        <w:t>层土底面深度范围内平均附加压力系数，按本文件附录</w:t>
      </w:r>
      <w:r>
        <w:rPr>
          <w:color w:val="auto"/>
          <w:szCs w:val="21"/>
        </w:rPr>
        <w:t>G</w:t>
      </w:r>
      <w:r>
        <w:rPr>
          <w:rFonts w:hint="eastAsia"/>
          <w:color w:val="auto"/>
          <w:szCs w:val="21"/>
        </w:rPr>
        <w:t>采用。</w:t>
      </w:r>
    </w:p>
    <w:p w14:paraId="349C0C8F">
      <w:pPr>
        <w:adjustRightInd w:val="0"/>
        <w:snapToGrid w:val="0"/>
        <w:spacing w:before="240" w:line="360" w:lineRule="atLeast"/>
        <w:jc w:val="center"/>
        <w:rPr>
          <w:rFonts w:eastAsia="黑体"/>
          <w:b/>
          <w:bCs/>
          <w:color w:val="auto"/>
          <w:sz w:val="20"/>
          <w:szCs w:val="18"/>
        </w:rPr>
      </w:pPr>
      <w:r>
        <w:rPr>
          <w:rFonts w:eastAsia="黑体"/>
          <w:b/>
          <w:bCs/>
          <w:color w:val="auto"/>
          <w:sz w:val="20"/>
          <w:szCs w:val="18"/>
        </w:rPr>
        <w:t>表56   桩基沉降经验系数表</w:t>
      </w:r>
    </w:p>
    <w:tbl>
      <w:tblPr>
        <w:tblStyle w:val="36"/>
        <w:tblW w:w="91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06"/>
        <w:gridCol w:w="1875"/>
        <w:gridCol w:w="1921"/>
        <w:gridCol w:w="1751"/>
        <w:gridCol w:w="1685"/>
      </w:tblGrid>
      <w:tr w14:paraId="1D164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06" w:type="dxa"/>
            <w:vAlign w:val="center"/>
          </w:tcPr>
          <w:p w14:paraId="0AC01A75">
            <w:pPr>
              <w:adjustRightInd w:val="0"/>
              <w:snapToGrid w:val="0"/>
              <w:spacing w:line="360" w:lineRule="atLeast"/>
              <w:jc w:val="center"/>
              <w:rPr>
                <w:color w:val="auto"/>
                <w:sz w:val="18"/>
                <w:szCs w:val="18"/>
              </w:rPr>
            </w:pPr>
            <w:r>
              <w:rPr>
                <w:color w:val="auto"/>
                <w:position w:val="-12"/>
                <w:sz w:val="18"/>
                <w:szCs w:val="18"/>
              </w:rPr>
              <w:object>
                <v:shape id="_x0000_i1406" o:spt="75" type="#_x0000_t75" style="height:21.75pt;width:15pt;" o:ole="t" filled="f" o:preferrelative="t" stroked="f" coordsize="21600,21600">
                  <v:path/>
                  <v:fill on="f" focussize="0,0"/>
                  <v:stroke on="f" joinstyle="miter"/>
                  <v:imagedata r:id="rId749" o:title=""/>
                  <o:lock v:ext="edit" aspectratio="t"/>
                  <w10:wrap type="none"/>
                  <w10:anchorlock/>
                </v:shape>
                <o:OLEObject Type="Embed" ProgID="Equation.DSMT4" ShapeID="_x0000_i1406" DrawAspect="Content" ObjectID="_1468076106" r:id="rId748">
                  <o:LockedField>false</o:LockedField>
                </o:OLEObject>
              </w:object>
            </w:r>
            <w:r>
              <w:rPr>
                <w:color w:val="auto"/>
                <w:sz w:val="18"/>
                <w:szCs w:val="18"/>
              </w:rPr>
              <w:t>（</w:t>
            </w:r>
            <w:r>
              <w:rPr>
                <w:iCs/>
                <w:color w:val="auto"/>
                <w:sz w:val="18"/>
                <w:szCs w:val="18"/>
              </w:rPr>
              <w:t>MPa</w:t>
            </w:r>
            <w:r>
              <w:rPr>
                <w:color w:val="auto"/>
                <w:sz w:val="18"/>
                <w:szCs w:val="18"/>
              </w:rPr>
              <w:t>）</w:t>
            </w:r>
          </w:p>
        </w:tc>
        <w:tc>
          <w:tcPr>
            <w:tcW w:w="1875" w:type="dxa"/>
            <w:vAlign w:val="center"/>
          </w:tcPr>
          <w:p w14:paraId="248B2A2A">
            <w:pPr>
              <w:adjustRightInd w:val="0"/>
              <w:snapToGrid w:val="0"/>
              <w:spacing w:line="360" w:lineRule="atLeast"/>
              <w:jc w:val="center"/>
              <w:rPr>
                <w:color w:val="auto"/>
                <w:sz w:val="18"/>
                <w:szCs w:val="18"/>
              </w:rPr>
            </w:pPr>
            <w:r>
              <w:rPr>
                <w:color w:val="auto"/>
                <w:sz w:val="18"/>
                <w:szCs w:val="18"/>
              </w:rPr>
              <w:t>6≤</w:t>
            </w:r>
            <w:r>
              <w:rPr>
                <w:color w:val="auto"/>
                <w:position w:val="-12"/>
                <w:sz w:val="18"/>
                <w:szCs w:val="18"/>
              </w:rPr>
              <w:object>
                <v:shape id="_x0000_i1407" o:spt="75" type="#_x0000_t75" style="height:21.75pt;width:15pt;" o:ole="t" filled="f" o:preferrelative="t" stroked="f" coordsize="21600,21600">
                  <v:path/>
                  <v:fill on="f" focussize="0,0"/>
                  <v:stroke on="f" joinstyle="miter"/>
                  <v:imagedata r:id="rId749" o:title=""/>
                  <o:lock v:ext="edit" aspectratio="t"/>
                  <w10:wrap type="none"/>
                  <w10:anchorlock/>
                </v:shape>
                <o:OLEObject Type="Embed" ProgID="Equation.DSMT4" ShapeID="_x0000_i1407" DrawAspect="Content" ObjectID="_1468076107" r:id="rId750">
                  <o:LockedField>false</o:LockedField>
                </o:OLEObject>
              </w:object>
            </w:r>
            <w:r>
              <w:rPr>
                <w:color w:val="auto"/>
                <w:sz w:val="18"/>
                <w:szCs w:val="18"/>
              </w:rPr>
              <w:t>＜10</w:t>
            </w:r>
          </w:p>
        </w:tc>
        <w:tc>
          <w:tcPr>
            <w:tcW w:w="1921" w:type="dxa"/>
            <w:vAlign w:val="center"/>
          </w:tcPr>
          <w:p w14:paraId="71F5CFFD">
            <w:pPr>
              <w:adjustRightInd w:val="0"/>
              <w:snapToGrid w:val="0"/>
              <w:spacing w:line="360" w:lineRule="atLeast"/>
              <w:jc w:val="center"/>
              <w:rPr>
                <w:color w:val="auto"/>
                <w:sz w:val="18"/>
                <w:szCs w:val="18"/>
              </w:rPr>
            </w:pPr>
            <w:r>
              <w:rPr>
                <w:color w:val="auto"/>
                <w:sz w:val="18"/>
                <w:szCs w:val="18"/>
              </w:rPr>
              <w:t>10≤</w:t>
            </w:r>
            <w:r>
              <w:rPr>
                <w:color w:val="auto"/>
                <w:position w:val="-12"/>
                <w:sz w:val="18"/>
                <w:szCs w:val="18"/>
              </w:rPr>
              <w:object>
                <v:shape id="_x0000_i1408" o:spt="75" type="#_x0000_t75" style="height:21.75pt;width:15pt;" o:ole="t" filled="f" o:preferrelative="t" stroked="f" coordsize="21600,21600">
                  <v:path/>
                  <v:fill on="f" focussize="0,0"/>
                  <v:stroke on="f" joinstyle="miter"/>
                  <v:imagedata r:id="rId749" o:title=""/>
                  <o:lock v:ext="edit" aspectratio="t"/>
                  <w10:wrap type="none"/>
                  <w10:anchorlock/>
                </v:shape>
                <o:OLEObject Type="Embed" ProgID="Equation.DSMT4" ShapeID="_x0000_i1408" DrawAspect="Content" ObjectID="_1468076108" r:id="rId751">
                  <o:LockedField>false</o:LockedField>
                </o:OLEObject>
              </w:object>
            </w:r>
            <w:r>
              <w:rPr>
                <w:color w:val="auto"/>
                <w:sz w:val="18"/>
                <w:szCs w:val="18"/>
              </w:rPr>
              <w:t>＜15</w:t>
            </w:r>
          </w:p>
        </w:tc>
        <w:tc>
          <w:tcPr>
            <w:tcW w:w="1751" w:type="dxa"/>
            <w:vAlign w:val="center"/>
          </w:tcPr>
          <w:p w14:paraId="19F65874">
            <w:pPr>
              <w:adjustRightInd w:val="0"/>
              <w:snapToGrid w:val="0"/>
              <w:spacing w:line="360" w:lineRule="atLeast"/>
              <w:jc w:val="center"/>
              <w:rPr>
                <w:color w:val="auto"/>
                <w:sz w:val="18"/>
                <w:szCs w:val="18"/>
              </w:rPr>
            </w:pPr>
            <w:r>
              <w:rPr>
                <w:color w:val="auto"/>
                <w:sz w:val="18"/>
                <w:szCs w:val="18"/>
              </w:rPr>
              <w:t>15≤</w:t>
            </w:r>
            <w:r>
              <w:rPr>
                <w:color w:val="auto"/>
                <w:position w:val="-12"/>
                <w:sz w:val="18"/>
                <w:szCs w:val="18"/>
              </w:rPr>
              <w:object>
                <v:shape id="_x0000_i1409" o:spt="75" type="#_x0000_t75" style="height:21.75pt;width:15pt;" o:ole="t" filled="f" o:preferrelative="t" stroked="f" coordsize="21600,21600">
                  <v:path/>
                  <v:fill on="f" focussize="0,0"/>
                  <v:stroke on="f" joinstyle="miter"/>
                  <v:imagedata r:id="rId749" o:title=""/>
                  <o:lock v:ext="edit" aspectratio="t"/>
                  <w10:wrap type="none"/>
                  <w10:anchorlock/>
                </v:shape>
                <o:OLEObject Type="Embed" ProgID="Equation.DSMT4" ShapeID="_x0000_i1409" DrawAspect="Content" ObjectID="_1468076109" r:id="rId752">
                  <o:LockedField>false</o:LockedField>
                </o:OLEObject>
              </w:object>
            </w:r>
            <w:r>
              <w:rPr>
                <w:color w:val="auto"/>
                <w:sz w:val="18"/>
                <w:szCs w:val="18"/>
              </w:rPr>
              <w:t>＜30</w:t>
            </w:r>
          </w:p>
        </w:tc>
        <w:tc>
          <w:tcPr>
            <w:tcW w:w="1685" w:type="dxa"/>
            <w:vAlign w:val="center"/>
          </w:tcPr>
          <w:p w14:paraId="5A2E8920">
            <w:pPr>
              <w:adjustRightInd w:val="0"/>
              <w:snapToGrid w:val="0"/>
              <w:spacing w:line="360" w:lineRule="atLeast"/>
              <w:jc w:val="center"/>
              <w:rPr>
                <w:color w:val="auto"/>
                <w:sz w:val="18"/>
                <w:szCs w:val="18"/>
              </w:rPr>
            </w:pPr>
            <w:r>
              <w:rPr>
                <w:color w:val="auto"/>
                <w:sz w:val="18"/>
                <w:szCs w:val="18"/>
              </w:rPr>
              <w:t>30≤</w:t>
            </w:r>
            <w:r>
              <w:rPr>
                <w:color w:val="auto"/>
                <w:position w:val="-12"/>
                <w:sz w:val="18"/>
                <w:szCs w:val="18"/>
              </w:rPr>
              <w:object>
                <v:shape id="_x0000_i1410" o:spt="75" type="#_x0000_t75" style="height:21.75pt;width:15pt;" o:ole="t" filled="f" o:preferrelative="t" stroked="f" coordsize="21600,21600">
                  <v:path/>
                  <v:fill on="f" focussize="0,0"/>
                  <v:stroke on="f" joinstyle="miter"/>
                  <v:imagedata r:id="rId749" o:title=""/>
                  <o:lock v:ext="edit" aspectratio="t"/>
                  <w10:wrap type="none"/>
                  <w10:anchorlock/>
                </v:shape>
                <o:OLEObject Type="Embed" ProgID="Equation.DSMT4" ShapeID="_x0000_i1410" DrawAspect="Content" ObjectID="_1468076110" r:id="rId753">
                  <o:LockedField>false</o:LockedField>
                </o:OLEObject>
              </w:object>
            </w:r>
            <w:r>
              <w:rPr>
                <w:color w:val="auto"/>
                <w:sz w:val="18"/>
                <w:szCs w:val="18"/>
              </w:rPr>
              <w:t>＜40</w:t>
            </w:r>
          </w:p>
        </w:tc>
      </w:tr>
      <w:tr w14:paraId="4FC94E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1906" w:type="dxa"/>
            <w:vAlign w:val="center"/>
          </w:tcPr>
          <w:p w14:paraId="6AB391D7">
            <w:pPr>
              <w:adjustRightInd w:val="0"/>
              <w:snapToGrid w:val="0"/>
              <w:jc w:val="center"/>
              <w:rPr>
                <w:color w:val="auto"/>
                <w:sz w:val="18"/>
                <w:szCs w:val="18"/>
              </w:rPr>
            </w:pPr>
            <w:r>
              <w:rPr>
                <w:color w:val="auto"/>
                <w:position w:val="-14"/>
                <w:sz w:val="18"/>
                <w:szCs w:val="18"/>
              </w:rPr>
              <w:object>
                <v:shape id="_x0000_i1411" o:spt="75" type="#_x0000_t75" style="height:21.75pt;width:15pt;" o:ole="t" filled="f" o:preferrelative="t" stroked="f" coordsize="21600,21600">
                  <v:path/>
                  <v:fill on="f" focussize="0,0"/>
                  <v:stroke on="f" joinstyle="miter"/>
                  <v:imagedata r:id="rId755" o:title=""/>
                  <o:lock v:ext="edit" aspectratio="t"/>
                  <w10:wrap type="none"/>
                  <w10:anchorlock/>
                </v:shape>
                <o:OLEObject Type="Embed" ProgID="Equation.DSMT4" ShapeID="_x0000_i1411" DrawAspect="Content" ObjectID="_1468076111" r:id="rId754">
                  <o:LockedField>false</o:LockedField>
                </o:OLEObject>
              </w:object>
            </w:r>
          </w:p>
        </w:tc>
        <w:tc>
          <w:tcPr>
            <w:tcW w:w="1875" w:type="dxa"/>
            <w:vAlign w:val="center"/>
          </w:tcPr>
          <w:p w14:paraId="1229B742">
            <w:pPr>
              <w:adjustRightInd w:val="0"/>
              <w:snapToGrid w:val="0"/>
              <w:jc w:val="center"/>
              <w:rPr>
                <w:color w:val="auto"/>
                <w:sz w:val="18"/>
                <w:szCs w:val="18"/>
              </w:rPr>
            </w:pPr>
            <w:r>
              <w:rPr>
                <w:color w:val="auto"/>
                <w:sz w:val="18"/>
                <w:szCs w:val="18"/>
              </w:rPr>
              <w:t>0.8～0.6</w:t>
            </w:r>
          </w:p>
        </w:tc>
        <w:tc>
          <w:tcPr>
            <w:tcW w:w="1921" w:type="dxa"/>
            <w:vAlign w:val="center"/>
          </w:tcPr>
          <w:p w14:paraId="5A1CB353">
            <w:pPr>
              <w:adjustRightInd w:val="0"/>
              <w:snapToGrid w:val="0"/>
              <w:jc w:val="center"/>
              <w:rPr>
                <w:color w:val="auto"/>
                <w:sz w:val="18"/>
                <w:szCs w:val="18"/>
              </w:rPr>
            </w:pPr>
            <w:r>
              <w:rPr>
                <w:color w:val="auto"/>
                <w:sz w:val="18"/>
                <w:szCs w:val="18"/>
              </w:rPr>
              <w:t>0.5</w:t>
            </w:r>
          </w:p>
        </w:tc>
        <w:tc>
          <w:tcPr>
            <w:tcW w:w="1751" w:type="dxa"/>
            <w:vAlign w:val="center"/>
          </w:tcPr>
          <w:p w14:paraId="67AF80CD">
            <w:pPr>
              <w:adjustRightInd w:val="0"/>
              <w:snapToGrid w:val="0"/>
              <w:jc w:val="center"/>
              <w:rPr>
                <w:color w:val="auto"/>
                <w:sz w:val="18"/>
                <w:szCs w:val="18"/>
              </w:rPr>
            </w:pPr>
            <w:r>
              <w:rPr>
                <w:color w:val="auto"/>
                <w:sz w:val="18"/>
                <w:szCs w:val="18"/>
              </w:rPr>
              <w:t>0.4</w:t>
            </w:r>
          </w:p>
        </w:tc>
        <w:tc>
          <w:tcPr>
            <w:tcW w:w="1685" w:type="dxa"/>
            <w:vAlign w:val="center"/>
          </w:tcPr>
          <w:p w14:paraId="6F8C888B">
            <w:pPr>
              <w:adjustRightInd w:val="0"/>
              <w:snapToGrid w:val="0"/>
              <w:jc w:val="center"/>
              <w:rPr>
                <w:color w:val="auto"/>
                <w:sz w:val="18"/>
                <w:szCs w:val="18"/>
              </w:rPr>
            </w:pPr>
            <w:r>
              <w:rPr>
                <w:color w:val="auto"/>
                <w:sz w:val="18"/>
                <w:szCs w:val="18"/>
              </w:rPr>
              <w:t>0.3</w:t>
            </w:r>
          </w:p>
        </w:tc>
      </w:tr>
      <w:tr w14:paraId="28A94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38" w:type="dxa"/>
            <w:gridSpan w:val="5"/>
            <w:vAlign w:val="center"/>
          </w:tcPr>
          <w:p w14:paraId="3E5DA53E">
            <w:pPr>
              <w:adjustRightInd w:val="0"/>
              <w:snapToGrid w:val="0"/>
              <w:ind w:firstLine="360" w:firstLineChars="200"/>
              <w:rPr>
                <w:color w:val="auto"/>
                <w:sz w:val="18"/>
                <w:szCs w:val="18"/>
              </w:rPr>
            </w:pPr>
            <w:r>
              <w:rPr>
                <w:color w:val="auto"/>
                <w:sz w:val="18"/>
                <w:szCs w:val="18"/>
              </w:rPr>
              <w:t>注：</w:t>
            </w:r>
            <w:r>
              <w:rPr>
                <w:color w:val="auto"/>
                <w:position w:val="-12"/>
                <w:sz w:val="18"/>
                <w:szCs w:val="18"/>
              </w:rPr>
              <w:object>
                <v:shape id="_x0000_i1412" o:spt="75" type="#_x0000_t75" style="height:21.75pt;width:15pt;" o:ole="t" filled="f" o:preferrelative="t" stroked="f" coordsize="21600,21600">
                  <v:path/>
                  <v:fill on="f" focussize="0,0"/>
                  <v:stroke on="f" joinstyle="miter"/>
                  <v:imagedata r:id="rId757" o:title=""/>
                  <o:lock v:ext="edit" aspectratio="t"/>
                  <w10:wrap type="none"/>
                  <w10:anchorlock/>
                </v:shape>
                <o:OLEObject Type="Embed" ProgID="Equation.DSMT4" ShapeID="_x0000_i1412" DrawAspect="Content" ObjectID="_1468076112" r:id="rId756">
                  <o:LockedField>false</o:LockedField>
                </o:OLEObject>
              </w:object>
            </w:r>
            <w:r>
              <w:rPr>
                <w:color w:val="auto"/>
                <w:sz w:val="18"/>
                <w:szCs w:val="18"/>
              </w:rPr>
              <w:t>为计算深度范围内压缩模量的当量值，应按下式计算：</w:t>
            </w:r>
            <w:r>
              <w:rPr>
                <w:color w:val="auto"/>
                <w:position w:val="-30"/>
                <w:sz w:val="18"/>
                <w:szCs w:val="18"/>
              </w:rPr>
              <w:object>
                <v:shape id="_x0000_i1413" o:spt="75" type="#_x0000_t75" style="height:28.5pt;width:57.75pt;" o:ole="t" filled="f" o:preferrelative="t" stroked="f" coordsize="21600,21600">
                  <v:path/>
                  <v:fill on="f" focussize="0,0"/>
                  <v:stroke on="f" joinstyle="miter"/>
                  <v:imagedata r:id="rId759" o:title=""/>
                  <o:lock v:ext="edit" aspectratio="t"/>
                  <w10:wrap type="none"/>
                  <w10:anchorlock/>
                </v:shape>
                <o:OLEObject Type="Embed" ProgID="Equation.DSMT4" ShapeID="_x0000_i1413" DrawAspect="Content" ObjectID="_1468076113" r:id="rId758">
                  <o:LockedField>false</o:LockedField>
                </o:OLEObject>
              </w:object>
            </w:r>
          </w:p>
          <w:p w14:paraId="105D738F">
            <w:pPr>
              <w:adjustRightInd w:val="0"/>
              <w:snapToGrid w:val="0"/>
              <w:ind w:firstLine="900" w:firstLineChars="500"/>
              <w:rPr>
                <w:color w:val="auto"/>
                <w:sz w:val="18"/>
                <w:szCs w:val="18"/>
              </w:rPr>
            </w:pPr>
            <w:r>
              <w:rPr>
                <w:color w:val="auto"/>
                <w:sz w:val="18"/>
                <w:szCs w:val="18"/>
              </w:rPr>
              <w:t xml:space="preserve">式中  </w:t>
            </w:r>
            <w:r>
              <w:rPr>
                <w:color w:val="auto"/>
                <w:position w:val="-12"/>
                <w:sz w:val="18"/>
                <w:szCs w:val="18"/>
              </w:rPr>
              <w:object>
                <v:shape id="_x0000_i1414" o:spt="75" type="#_x0000_t75" style="height:15pt;width:15pt;" o:ole="t" filled="f" o:preferrelative="t" stroked="f" coordsize="21600,21600">
                  <v:path/>
                  <v:fill on="f" focussize="0,0"/>
                  <v:stroke on="f" joinstyle="miter"/>
                  <v:imagedata r:id="rId761" o:title=""/>
                  <o:lock v:ext="edit" aspectratio="t"/>
                  <w10:wrap type="none"/>
                  <w10:anchorlock/>
                </v:shape>
                <o:OLEObject Type="Embed" ProgID="Equation.DSMT4" ShapeID="_x0000_i1414" DrawAspect="Content" ObjectID="_1468076114" r:id="rId760">
                  <o:LockedField>false</o:LockedField>
                </o:OLEObject>
              </w:object>
            </w:r>
            <w:r>
              <w:rPr>
                <w:color w:val="auto"/>
                <w:sz w:val="18"/>
                <w:szCs w:val="18"/>
              </w:rPr>
              <w:t>——第</w:t>
            </w:r>
            <w:r>
              <w:rPr>
                <w:i/>
                <w:iCs/>
                <w:color w:val="auto"/>
                <w:sz w:val="18"/>
                <w:szCs w:val="18"/>
              </w:rPr>
              <w:t>i</w:t>
            </w:r>
            <w:r>
              <w:rPr>
                <w:color w:val="auto"/>
                <w:sz w:val="18"/>
                <w:szCs w:val="18"/>
              </w:rPr>
              <w:t>层土附加应力系数沿土层厚度的积分值。</w:t>
            </w:r>
          </w:p>
        </w:tc>
      </w:tr>
    </w:tbl>
    <w:p w14:paraId="727229F5">
      <w:pPr>
        <w:adjustRightInd w:val="0"/>
        <w:snapToGrid w:val="0"/>
        <w:spacing w:before="120" w:line="340" w:lineRule="atLeast"/>
        <w:rPr>
          <w:color w:val="auto"/>
          <w:szCs w:val="21"/>
        </w:rPr>
      </w:pPr>
      <w:r>
        <w:rPr>
          <w:rFonts w:eastAsia="黑体"/>
          <w:b/>
          <w:color w:val="auto"/>
          <w:szCs w:val="21"/>
        </w:rPr>
        <w:t xml:space="preserve">12.4.4 </w:t>
      </w:r>
      <w:r>
        <w:rPr>
          <w:color w:val="auto"/>
          <w:szCs w:val="21"/>
        </w:rPr>
        <w:t xml:space="preserve"> 在较均匀的土层中，对基础平面复杂或布桩不规则的桩基最终沉降量计算也可采用明德林应力公式计算地基中的竖向附加应力，按GB</w:t>
      </w:r>
      <w:r>
        <w:rPr>
          <w:rFonts w:hint="eastAsia"/>
          <w:color w:val="auto"/>
          <w:szCs w:val="21"/>
        </w:rPr>
        <w:t xml:space="preserve"> </w:t>
      </w:r>
      <w:r>
        <w:rPr>
          <w:color w:val="auto"/>
          <w:szCs w:val="21"/>
        </w:rPr>
        <w:t>50007的有关规定计算最终沉降量。</w:t>
      </w:r>
    </w:p>
    <w:p w14:paraId="18764B78">
      <w:pPr>
        <w:adjustRightInd w:val="0"/>
        <w:snapToGrid w:val="0"/>
        <w:rPr>
          <w:color w:val="auto"/>
          <w:szCs w:val="21"/>
        </w:rPr>
      </w:pPr>
    </w:p>
    <w:p w14:paraId="7AA33E82">
      <w:pPr>
        <w:adjustRightInd w:val="0"/>
        <w:snapToGrid w:val="0"/>
        <w:spacing w:line="340" w:lineRule="exact"/>
        <w:outlineLvl w:val="1"/>
        <w:rPr>
          <w:rFonts w:eastAsia="黑体"/>
          <w:b/>
          <w:bCs/>
          <w:color w:val="auto"/>
          <w:szCs w:val="21"/>
        </w:rPr>
      </w:pPr>
      <w:bookmarkStart w:id="69" w:name="_Toc199943612"/>
      <w:r>
        <w:rPr>
          <w:rFonts w:eastAsia="黑体"/>
          <w:b/>
          <w:bCs/>
          <w:color w:val="auto"/>
          <w:szCs w:val="21"/>
        </w:rPr>
        <w:t>12.5  桩基承台设计</w:t>
      </w:r>
      <w:bookmarkEnd w:id="69"/>
    </w:p>
    <w:p w14:paraId="679F0885">
      <w:pPr>
        <w:adjustRightInd w:val="0"/>
        <w:snapToGrid w:val="0"/>
        <w:spacing w:line="340" w:lineRule="atLeast"/>
        <w:jc w:val="center"/>
        <w:rPr>
          <w:b/>
          <w:bCs/>
          <w:color w:val="auto"/>
          <w:szCs w:val="21"/>
        </w:rPr>
      </w:pPr>
    </w:p>
    <w:p w14:paraId="387BBED1">
      <w:pPr>
        <w:adjustRightInd w:val="0"/>
        <w:snapToGrid w:val="0"/>
        <w:spacing w:line="340" w:lineRule="atLeast"/>
        <w:rPr>
          <w:color w:val="auto"/>
          <w:szCs w:val="21"/>
        </w:rPr>
      </w:pPr>
      <w:r>
        <w:rPr>
          <w:rFonts w:eastAsia="黑体"/>
          <w:b/>
          <w:color w:val="auto"/>
          <w:szCs w:val="21"/>
        </w:rPr>
        <w:t>12.5.1</w:t>
      </w:r>
      <w:r>
        <w:rPr>
          <w:color w:val="auto"/>
          <w:szCs w:val="21"/>
        </w:rPr>
        <w:t xml:space="preserve">  桩基承台的构造，除满足抗冲切、抗剪切、抗弯承载力和上部结构的要求外，尚应符合下列要求：</w:t>
      </w:r>
    </w:p>
    <w:p w14:paraId="3BD35994">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承台的宽度不应小于500mm。对于多桩承台，中、小直径桩</w:t>
      </w:r>
      <w:r>
        <w:rPr>
          <w:rFonts w:hint="eastAsia"/>
          <w:color w:val="auto"/>
          <w:szCs w:val="21"/>
        </w:rPr>
        <w:t>的</w:t>
      </w:r>
      <w:r>
        <w:rPr>
          <w:color w:val="auto"/>
          <w:szCs w:val="21"/>
        </w:rPr>
        <w:t>边桩中心至承台边缘的距离不宜小于桩的直径或边长，且桩的外边缘至承台边缘的距离不宜小于150mm。大直径桩桩边至承台边距离不宜小于300mm。对于条形承台梁，桩的外边缘至承台梁边缘的距离不宜小于75mm。</w:t>
      </w:r>
    </w:p>
    <w:p w14:paraId="11A6975D">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承台的最小厚度不应小于300mm。</w:t>
      </w:r>
    </w:p>
    <w:p w14:paraId="3807F023">
      <w:pPr>
        <w:adjustRightInd w:val="0"/>
        <w:snapToGrid w:val="0"/>
        <w:spacing w:line="340" w:lineRule="atLeast"/>
        <w:ind w:firstLine="422" w:firstLineChars="200"/>
        <w:rPr>
          <w:color w:val="auto"/>
          <w:szCs w:val="21"/>
        </w:rPr>
      </w:pPr>
      <w:r>
        <w:rPr>
          <w:rFonts w:eastAsia="黑体"/>
          <w:b/>
          <w:color w:val="auto"/>
          <w:szCs w:val="21"/>
        </w:rPr>
        <w:t>c)</w:t>
      </w:r>
      <w:r>
        <w:rPr>
          <w:b/>
          <w:bCs/>
          <w:color w:val="auto"/>
          <w:szCs w:val="21"/>
        </w:rPr>
        <w:t xml:space="preserve">  </w:t>
      </w:r>
      <w:r>
        <w:rPr>
          <w:bCs/>
          <w:color w:val="auto"/>
          <w:szCs w:val="21"/>
        </w:rPr>
        <w:t>柱下独立</w:t>
      </w:r>
      <w:r>
        <w:rPr>
          <w:color w:val="auto"/>
          <w:szCs w:val="21"/>
        </w:rPr>
        <w:t>两桩承台应按GB</w:t>
      </w:r>
      <w:r>
        <w:rPr>
          <w:rFonts w:hint="eastAsia"/>
          <w:color w:val="auto"/>
          <w:szCs w:val="21"/>
        </w:rPr>
        <w:t xml:space="preserve"> </w:t>
      </w:r>
      <w:r>
        <w:rPr>
          <w:color w:val="auto"/>
          <w:szCs w:val="21"/>
        </w:rPr>
        <w:t>50010中深受弯构件配置纵向受拉钢筋、水平及竖向分布钢筋。</w:t>
      </w:r>
    </w:p>
    <w:p w14:paraId="79103A20">
      <w:pPr>
        <w:adjustRightInd w:val="0"/>
        <w:snapToGrid w:val="0"/>
        <w:spacing w:line="340" w:lineRule="atLeast"/>
        <w:ind w:firstLine="422" w:firstLineChars="200"/>
        <w:rPr>
          <w:color w:val="auto"/>
          <w:sz w:val="18"/>
          <w:szCs w:val="18"/>
        </w:rPr>
      </w:pPr>
      <w:r>
        <w:rPr>
          <w:rFonts w:eastAsia="黑体"/>
          <w:b/>
          <w:color w:val="auto"/>
          <w:szCs w:val="21"/>
        </w:rPr>
        <w:t>d)</w:t>
      </w:r>
      <w:r>
        <w:rPr>
          <w:color w:val="auto"/>
          <w:szCs w:val="21"/>
        </w:rPr>
        <w:t xml:space="preserve">  承台的配筋，对于矩形承台其钢筋应按双向均匀通长布置（图13</w:t>
      </w:r>
      <w:r>
        <w:rPr>
          <w:i/>
          <w:color w:val="auto"/>
          <w:szCs w:val="21"/>
        </w:rPr>
        <w:t>a</w:t>
      </w:r>
      <w:r>
        <w:rPr>
          <w:color w:val="auto"/>
          <w:szCs w:val="21"/>
        </w:rPr>
        <w:t>），钢筋直径不宜小于12mm，间距不宜大于200mm；对于三桩承台，钢筋应按三向板带均匀布置，且最里面的三根钢筋围成的三角形应在柱截面范围内（图13</w:t>
      </w:r>
      <w:r>
        <w:rPr>
          <w:i/>
          <w:color w:val="auto"/>
          <w:szCs w:val="21"/>
        </w:rPr>
        <w:t>b</w:t>
      </w:r>
      <w:r>
        <w:rPr>
          <w:color w:val="auto"/>
          <w:szCs w:val="21"/>
        </w:rPr>
        <w:t>）。承台梁的</w:t>
      </w:r>
      <w:r>
        <w:rPr>
          <w:rFonts w:hint="eastAsia"/>
          <w:color w:val="auto"/>
          <w:szCs w:val="21"/>
        </w:rPr>
        <w:t>主筋除满足计算要求外，尚应符合现行国家标准</w:t>
      </w:r>
      <w:r>
        <w:rPr>
          <w:color w:val="auto"/>
          <w:szCs w:val="21"/>
        </w:rPr>
        <w:t>GB 55008</w:t>
      </w:r>
      <w:r>
        <w:rPr>
          <w:rFonts w:hint="eastAsia"/>
          <w:color w:val="auto"/>
          <w:szCs w:val="21"/>
        </w:rPr>
        <w:t>关于最小配筋率的规定，</w:t>
      </w:r>
      <w:r>
        <w:rPr>
          <w:color w:val="auto"/>
          <w:szCs w:val="21"/>
        </w:rPr>
        <w:t>主筋直径不宜小于12mm，架立筋直径不宜小于10mm，箍筋直径不应小于6mm（图13</w:t>
      </w:r>
      <w:r>
        <w:rPr>
          <w:i/>
          <w:color w:val="auto"/>
          <w:szCs w:val="21"/>
        </w:rPr>
        <w:t>c</w:t>
      </w:r>
      <w:r>
        <w:rPr>
          <w:color w:val="auto"/>
          <w:szCs w:val="21"/>
        </w:rPr>
        <w:t>）。钢筋锚固长度自边桩内侧（圆桩应将直径乘以0.8等效为方桩）算起，不应小于35d；当不满足时应将钢筋弯折，水平段长度不应小于25d，弯折长度不应小于10d（d为钢筋直径），柱下独立承台的最小配筋率不应小于0.15%。</w:t>
      </w:r>
    </w:p>
    <w:p w14:paraId="3F7F17A9">
      <w:pPr>
        <w:adjustRightInd w:val="0"/>
        <w:snapToGrid w:val="0"/>
        <w:spacing w:before="120" w:line="360" w:lineRule="atLeast"/>
        <w:jc w:val="center"/>
        <w:rPr>
          <w:color w:val="auto"/>
          <w:sz w:val="18"/>
          <w:szCs w:val="18"/>
        </w:rPr>
      </w:pPr>
      <w:r>
        <w:rPr>
          <w:color w:val="auto"/>
          <w:szCs w:val="21"/>
        </w:rPr>
        <mc:AlternateContent>
          <mc:Choice Requires="wpc">
            <w:drawing>
              <wp:anchor distT="0" distB="0" distL="114300" distR="114300" simplePos="0" relativeHeight="251677696" behindDoc="0" locked="0" layoutInCell="1" allowOverlap="1">
                <wp:simplePos x="0" y="0"/>
                <wp:positionH relativeFrom="page">
                  <wp:posOffset>1371600</wp:posOffset>
                </wp:positionH>
                <wp:positionV relativeFrom="paragraph">
                  <wp:posOffset>97790</wp:posOffset>
                </wp:positionV>
                <wp:extent cx="4629150" cy="1854835"/>
                <wp:effectExtent l="0" t="0" r="0" b="0"/>
                <wp:wrapNone/>
                <wp:docPr id="846" name="画布 8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984"/>
                        <wpg:cNvGrpSpPr/>
                        <wpg:grpSpPr>
                          <a:xfrm>
                            <a:off x="2540" y="19050"/>
                            <a:ext cx="4417695" cy="1637665"/>
                            <a:chOff x="4" y="34"/>
                            <a:chExt cx="6957" cy="2579"/>
                          </a:xfrm>
                        </wpg:grpSpPr>
                        <wps:wsp>
                          <wps:cNvPr id="2" name="Rectangle 784"/>
                          <wps:cNvSpPr>
                            <a:spLocks noChangeArrowheads="1"/>
                          </wps:cNvSpPr>
                          <wps:spPr bwMode="auto">
                            <a:xfrm>
                              <a:off x="3743" y="737"/>
                              <a:ext cx="641" cy="293"/>
                            </a:xfrm>
                            <a:prstGeom prst="rect">
                              <a:avLst/>
                            </a:prstGeom>
                            <a:noFill/>
                            <a:ln>
                              <a:noFill/>
                            </a:ln>
                          </wps:spPr>
                          <wps:txbx>
                            <w:txbxContent>
                              <w:p w14:paraId="72BD1A60">
                                <w:r>
                                  <w:rPr>
                                    <w:rFonts w:hint="eastAsia" w:ascii="宋体" w:cs="宋体"/>
                                    <w:color w:val="000000"/>
                                    <w:kern w:val="0"/>
                                    <w:sz w:val="16"/>
                                    <w:szCs w:val="16"/>
                                  </w:rPr>
                                  <w:t>箍筋直径</w:t>
                                </w:r>
                              </w:p>
                            </w:txbxContent>
                          </wps:txbx>
                          <wps:bodyPr rot="0" vert="horz" wrap="none" lIns="0" tIns="0" rIns="0" bIns="0" anchor="t" anchorCtr="0">
                            <a:noAutofit/>
                          </wps:bodyPr>
                        </wps:wsp>
                        <wps:wsp>
                          <wps:cNvPr id="11" name="Rectangle 787"/>
                          <wps:cNvSpPr>
                            <a:spLocks noChangeArrowheads="1"/>
                          </wps:cNvSpPr>
                          <wps:spPr bwMode="auto">
                            <a:xfrm>
                              <a:off x="3780" y="917"/>
                              <a:ext cx="536" cy="312"/>
                            </a:xfrm>
                            <a:prstGeom prst="rect">
                              <a:avLst/>
                            </a:prstGeom>
                            <a:noFill/>
                            <a:ln>
                              <a:noFill/>
                            </a:ln>
                          </wps:spPr>
                          <wps:txbx>
                            <w:txbxContent>
                              <w:p w14:paraId="48E02B55">
                                <w:r>
                                  <w:rPr>
                                    <w:rFonts w:hint="eastAsia" w:ascii="宋体" w:hAnsi="宋体" w:cs="宋体"/>
                                    <w:color w:val="000000"/>
                                    <w:kern w:val="0"/>
                                    <w:sz w:val="16"/>
                                    <w:szCs w:val="16"/>
                                  </w:rPr>
                                  <w:t>≥</w:t>
                                </w:r>
                                <w:r>
                                  <w:rPr>
                                    <w:rFonts w:ascii="宋体" w:cs="宋体"/>
                                    <w:color w:val="000000"/>
                                    <w:kern w:val="0"/>
                                    <w:sz w:val="16"/>
                                    <w:szCs w:val="16"/>
                                  </w:rPr>
                                  <w:t>6mm</w:t>
                                </w:r>
                              </w:p>
                            </w:txbxContent>
                          </wps:txbx>
                          <wps:bodyPr rot="0" vert="horz" wrap="square" lIns="0" tIns="0" rIns="0" bIns="0" anchor="t" anchorCtr="0">
                            <a:spAutoFit/>
                          </wps:bodyPr>
                        </wps:wsp>
                        <wps:wsp>
                          <wps:cNvPr id="12" name="Rectangle 788"/>
                          <wps:cNvSpPr>
                            <a:spLocks noChangeArrowheads="1"/>
                          </wps:cNvSpPr>
                          <wps:spPr bwMode="auto">
                            <a:xfrm>
                              <a:off x="3280" y="1219"/>
                              <a:ext cx="801" cy="252"/>
                            </a:xfrm>
                            <a:prstGeom prst="rect">
                              <a:avLst/>
                            </a:prstGeom>
                            <a:noFill/>
                            <a:ln>
                              <a:noFill/>
                            </a:ln>
                          </wps:spPr>
                          <wps:txbx>
                            <w:txbxContent>
                              <w:p w14:paraId="1D94A04C">
                                <w:r>
                                  <w:rPr>
                                    <w:rFonts w:hint="eastAsia" w:ascii="宋体" w:cs="宋体"/>
                                    <w:color w:val="000000"/>
                                    <w:kern w:val="0"/>
                                    <w:sz w:val="16"/>
                                    <w:szCs w:val="16"/>
                                  </w:rPr>
                                  <w:t>桩顶入承台</w:t>
                                </w:r>
                              </w:p>
                            </w:txbxContent>
                          </wps:txbx>
                          <wps:bodyPr rot="0" vert="horz" wrap="none" lIns="0" tIns="0" rIns="0" bIns="0" anchor="t" anchorCtr="0">
                            <a:noAutofit/>
                          </wps:bodyPr>
                        </wps:wsp>
                        <wps:wsp>
                          <wps:cNvPr id="13" name="Rectangle 789"/>
                          <wps:cNvSpPr>
                            <a:spLocks noChangeArrowheads="1"/>
                          </wps:cNvSpPr>
                          <wps:spPr bwMode="auto">
                            <a:xfrm>
                              <a:off x="3367" y="1426"/>
                              <a:ext cx="481" cy="241"/>
                            </a:xfrm>
                            <a:prstGeom prst="rect">
                              <a:avLst/>
                            </a:prstGeom>
                            <a:noFill/>
                            <a:ln>
                              <a:noFill/>
                            </a:ln>
                          </wps:spPr>
                          <wps:txbx>
                            <w:txbxContent>
                              <w:p w14:paraId="32DBA986">
                                <w:r>
                                  <w:rPr>
                                    <w:rFonts w:hint="eastAsia" w:ascii="宋体" w:hAnsi="宋体" w:cs="宋体"/>
                                    <w:color w:val="000000"/>
                                    <w:kern w:val="0"/>
                                    <w:sz w:val="16"/>
                                    <w:szCs w:val="16"/>
                                  </w:rPr>
                                  <w:t>≥</w:t>
                                </w:r>
                                <w:r>
                                  <w:rPr>
                                    <w:rFonts w:ascii="宋体" w:cs="宋体"/>
                                    <w:color w:val="000000"/>
                                    <w:kern w:val="0"/>
                                    <w:sz w:val="16"/>
                                    <w:szCs w:val="16"/>
                                  </w:rPr>
                                  <w:t>50mm</w:t>
                                </w:r>
                              </w:p>
                            </w:txbxContent>
                          </wps:txbx>
                          <wps:bodyPr rot="0" vert="horz" wrap="none" lIns="0" tIns="0" rIns="0" bIns="0" anchor="t" anchorCtr="0">
                            <a:noAutofit/>
                          </wps:bodyPr>
                        </wps:wsp>
                        <wps:wsp>
                          <wps:cNvPr id="14" name="Rectangle 790"/>
                          <wps:cNvSpPr>
                            <a:spLocks noChangeArrowheads="1"/>
                          </wps:cNvSpPr>
                          <wps:spPr bwMode="auto">
                            <a:xfrm>
                              <a:off x="4" y="2301"/>
                              <a:ext cx="1399" cy="312"/>
                            </a:xfrm>
                            <a:prstGeom prst="rect">
                              <a:avLst/>
                            </a:prstGeom>
                            <a:noFill/>
                            <a:ln>
                              <a:noFill/>
                            </a:ln>
                          </wps:spPr>
                          <wps:txbx>
                            <w:txbxContent>
                              <w:p w14:paraId="695172E8">
                                <w:pPr>
                                  <w:rPr>
                                    <w:sz w:val="18"/>
                                    <w:szCs w:val="18"/>
                                  </w:rPr>
                                </w:pPr>
                                <w:r>
                                  <w:rPr>
                                    <w:rFonts w:ascii="宋体" w:cs="宋体"/>
                                    <w:color w:val="000000"/>
                                    <w:kern w:val="0"/>
                                    <w:sz w:val="18"/>
                                    <w:szCs w:val="18"/>
                                  </w:rPr>
                                  <w:t>(a)</w:t>
                                </w:r>
                                <w:r>
                                  <w:rPr>
                                    <w:rFonts w:hint="eastAsia" w:ascii="宋体" w:cs="宋体"/>
                                    <w:color w:val="000000"/>
                                    <w:kern w:val="0"/>
                                    <w:sz w:val="18"/>
                                    <w:szCs w:val="18"/>
                                  </w:rPr>
                                  <w:t>矩形</w:t>
                                </w:r>
                                <w:r>
                                  <w:rPr>
                                    <w:rFonts w:ascii="宋体" w:cs="宋体"/>
                                    <w:color w:val="000000"/>
                                    <w:kern w:val="0"/>
                                    <w:sz w:val="18"/>
                                    <w:szCs w:val="18"/>
                                  </w:rPr>
                                  <w:t>承</w:t>
                                </w:r>
                                <w:r>
                                  <w:rPr>
                                    <w:rFonts w:hint="eastAsia" w:ascii="宋体" w:cs="宋体"/>
                                    <w:color w:val="000000"/>
                                    <w:kern w:val="0"/>
                                    <w:sz w:val="18"/>
                                    <w:szCs w:val="18"/>
                                  </w:rPr>
                                  <w:t>台</w:t>
                                </w:r>
                                <w:r>
                                  <w:rPr>
                                    <w:rFonts w:ascii="宋体" w:cs="宋体"/>
                                    <w:color w:val="000000"/>
                                    <w:kern w:val="0"/>
                                    <w:sz w:val="18"/>
                                    <w:szCs w:val="18"/>
                                  </w:rPr>
                                  <w:t>配筋</w:t>
                                </w:r>
                              </w:p>
                            </w:txbxContent>
                          </wps:txbx>
                          <wps:bodyPr rot="0" vert="horz" wrap="square" lIns="0" tIns="0" rIns="0" bIns="0" anchor="t" anchorCtr="0">
                            <a:spAutoFit/>
                          </wps:bodyPr>
                        </wps:wsp>
                        <wps:wsp>
                          <wps:cNvPr id="15" name="Rectangle 791"/>
                          <wps:cNvSpPr>
                            <a:spLocks noChangeArrowheads="1"/>
                          </wps:cNvSpPr>
                          <wps:spPr bwMode="auto">
                            <a:xfrm>
                              <a:off x="1613" y="2275"/>
                              <a:ext cx="1455" cy="312"/>
                            </a:xfrm>
                            <a:prstGeom prst="rect">
                              <a:avLst/>
                            </a:prstGeom>
                            <a:noFill/>
                            <a:ln>
                              <a:noFill/>
                            </a:ln>
                          </wps:spPr>
                          <wps:txbx>
                            <w:txbxContent>
                              <w:p w14:paraId="5BAA4BA7">
                                <w:pPr>
                                  <w:rPr>
                                    <w:sz w:val="18"/>
                                    <w:szCs w:val="18"/>
                                  </w:rPr>
                                </w:pPr>
                                <w:r>
                                  <w:rPr>
                                    <w:rFonts w:ascii="宋体" w:cs="宋体"/>
                                    <w:color w:val="000000"/>
                                    <w:kern w:val="0"/>
                                    <w:sz w:val="18"/>
                                    <w:szCs w:val="18"/>
                                  </w:rPr>
                                  <w:t>(b)</w:t>
                                </w:r>
                                <w:r>
                                  <w:rPr>
                                    <w:rFonts w:hint="eastAsia" w:ascii="宋体" w:cs="宋体"/>
                                    <w:color w:val="000000"/>
                                    <w:kern w:val="0"/>
                                    <w:sz w:val="18"/>
                                    <w:szCs w:val="18"/>
                                  </w:rPr>
                                  <w:t>三</w:t>
                                </w:r>
                                <w:r>
                                  <w:rPr>
                                    <w:rFonts w:ascii="宋体" w:cs="宋体"/>
                                    <w:color w:val="000000"/>
                                    <w:kern w:val="0"/>
                                    <w:sz w:val="18"/>
                                    <w:szCs w:val="18"/>
                                  </w:rPr>
                                  <w:t>桩承台配筋</w:t>
                                </w:r>
                              </w:p>
                            </w:txbxContent>
                          </wps:txbx>
                          <wps:bodyPr rot="0" vert="horz" wrap="square" lIns="0" tIns="0" rIns="0" bIns="0" anchor="t" anchorCtr="0">
                            <a:spAutoFit/>
                          </wps:bodyPr>
                        </wps:wsp>
                        <wps:wsp>
                          <wps:cNvPr id="16" name="Freeform 792"/>
                          <wps:cNvSpPr/>
                          <wps:spPr bwMode="auto">
                            <a:xfrm>
                              <a:off x="2736" y="1805"/>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7" name="Freeform 793"/>
                          <wps:cNvSpPr/>
                          <wps:spPr bwMode="auto">
                            <a:xfrm>
                              <a:off x="2635" y="1750"/>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8" name="Freeform 794"/>
                          <wps:cNvSpPr/>
                          <wps:spPr bwMode="auto">
                            <a:xfrm>
                              <a:off x="2532" y="1757"/>
                              <a:ext cx="70" cy="42"/>
                            </a:xfrm>
                            <a:custGeom>
                              <a:avLst/>
                              <a:gdLst>
                                <a:gd name="T0" fmla="*/ 70 w 70"/>
                                <a:gd name="T1" fmla="*/ 0 h 42"/>
                                <a:gd name="T2" fmla="*/ 32 w 70"/>
                                <a:gd name="T3" fmla="*/ 10 h 42"/>
                                <a:gd name="T4" fmla="*/ 0 w 70"/>
                                <a:gd name="T5" fmla="*/ 42 h 42"/>
                              </a:gdLst>
                              <a:ahLst/>
                              <a:cxnLst>
                                <a:cxn ang="0">
                                  <a:pos x="T0" y="T1"/>
                                </a:cxn>
                                <a:cxn ang="0">
                                  <a:pos x="T2" y="T3"/>
                                </a:cxn>
                                <a:cxn ang="0">
                                  <a:pos x="T4" y="T5"/>
                                </a:cxn>
                              </a:cxnLst>
                              <a:rect l="0" t="0" r="r" b="b"/>
                              <a:pathLst>
                                <a:path w="70" h="42">
                                  <a:moveTo>
                                    <a:pt x="70"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19" name="Freeform 795"/>
                          <wps:cNvSpPr/>
                          <wps:spPr bwMode="auto">
                            <a:xfrm>
                              <a:off x="2497" y="1826"/>
                              <a:ext cx="16" cy="82"/>
                            </a:xfrm>
                            <a:custGeom>
                              <a:avLst/>
                              <a:gdLst>
                                <a:gd name="T0" fmla="*/ 16 w 16"/>
                                <a:gd name="T1" fmla="*/ 0 h 82"/>
                                <a:gd name="T2" fmla="*/ 0 w 16"/>
                                <a:gd name="T3" fmla="*/ 57 h 82"/>
                                <a:gd name="T4" fmla="*/ 7 w 16"/>
                                <a:gd name="T5" fmla="*/ 82 h 82"/>
                              </a:gdLst>
                              <a:ahLst/>
                              <a:cxnLst>
                                <a:cxn ang="0">
                                  <a:pos x="T0" y="T1"/>
                                </a:cxn>
                                <a:cxn ang="0">
                                  <a:pos x="T2" y="T3"/>
                                </a:cxn>
                                <a:cxn ang="0">
                                  <a:pos x="T4" y="T5"/>
                                </a:cxn>
                              </a:cxnLst>
                              <a:rect l="0" t="0" r="r" b="b"/>
                              <a:pathLst>
                                <a:path w="16" h="82">
                                  <a:moveTo>
                                    <a:pt x="16" y="0"/>
                                  </a:moveTo>
                                  <a:lnTo>
                                    <a:pt x="0" y="57"/>
                                  </a:lnTo>
                                  <a:lnTo>
                                    <a:pt x="7"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20" name="Freeform 796"/>
                          <wps:cNvSpPr/>
                          <wps:spPr bwMode="auto">
                            <a:xfrm>
                              <a:off x="2513" y="1940"/>
                              <a:ext cx="57" cy="61"/>
                            </a:xfrm>
                            <a:custGeom>
                              <a:avLst/>
                              <a:gdLst>
                                <a:gd name="T0" fmla="*/ 0 w 57"/>
                                <a:gd name="T1" fmla="*/ 0 h 61"/>
                                <a:gd name="T2" fmla="*/ 2 w 57"/>
                                <a:gd name="T3" fmla="*/ 10 h 61"/>
                                <a:gd name="T4" fmla="*/ 51 w 57"/>
                                <a:gd name="T5" fmla="*/ 59 h 61"/>
                                <a:gd name="T6" fmla="*/ 57 w 57"/>
                                <a:gd name="T7" fmla="*/ 61 h 61"/>
                              </a:gdLst>
                              <a:ahLst/>
                              <a:cxnLst>
                                <a:cxn ang="0">
                                  <a:pos x="T0" y="T1"/>
                                </a:cxn>
                                <a:cxn ang="0">
                                  <a:pos x="T2" y="T3"/>
                                </a:cxn>
                                <a:cxn ang="0">
                                  <a:pos x="T4" y="T5"/>
                                </a:cxn>
                                <a:cxn ang="0">
                                  <a:pos x="T6" y="T7"/>
                                </a:cxn>
                              </a:cxnLst>
                              <a:rect l="0" t="0" r="r" b="b"/>
                              <a:pathLst>
                                <a:path w="57" h="61">
                                  <a:moveTo>
                                    <a:pt x="0" y="0"/>
                                  </a:moveTo>
                                  <a:lnTo>
                                    <a:pt x="2" y="10"/>
                                  </a:lnTo>
                                  <a:lnTo>
                                    <a:pt x="51" y="59"/>
                                  </a:lnTo>
                                  <a:lnTo>
                                    <a:pt x="57" y="61"/>
                                  </a:lnTo>
                                </a:path>
                              </a:pathLst>
                            </a:custGeom>
                            <a:noFill/>
                            <a:ln w="5715">
                              <a:solidFill>
                                <a:srgbClr val="000000"/>
                              </a:solidFill>
                              <a:prstDash val="solid"/>
                              <a:round/>
                            </a:ln>
                          </wps:spPr>
                          <wps:bodyPr rot="0" vert="horz" wrap="square" lIns="91440" tIns="45720" rIns="91440" bIns="45720" anchor="t" anchorCtr="0" upright="1">
                            <a:noAutofit/>
                          </wps:bodyPr>
                        </wps:wsp>
                        <wps:wsp>
                          <wps:cNvPr id="21" name="Freeform 797"/>
                          <wps:cNvSpPr/>
                          <wps:spPr bwMode="auto">
                            <a:xfrm>
                              <a:off x="2602" y="2003"/>
                              <a:ext cx="82" cy="14"/>
                            </a:xfrm>
                            <a:custGeom>
                              <a:avLst/>
                              <a:gdLst>
                                <a:gd name="T0" fmla="*/ 0 w 82"/>
                                <a:gd name="T1" fmla="*/ 6 h 14"/>
                                <a:gd name="T2" fmla="*/ 29 w 82"/>
                                <a:gd name="T3" fmla="*/ 14 h 14"/>
                                <a:gd name="T4" fmla="*/ 82 w 82"/>
                                <a:gd name="T5" fmla="*/ 0 h 14"/>
                              </a:gdLst>
                              <a:ahLst/>
                              <a:cxnLst>
                                <a:cxn ang="0">
                                  <a:pos x="T0" y="T1"/>
                                </a:cxn>
                                <a:cxn ang="0">
                                  <a:pos x="T2" y="T3"/>
                                </a:cxn>
                                <a:cxn ang="0">
                                  <a:pos x="T4" y="T5"/>
                                </a:cxn>
                              </a:cxnLst>
                              <a:rect l="0" t="0" r="r" b="b"/>
                              <a:pathLst>
                                <a:path w="82" h="14">
                                  <a:moveTo>
                                    <a:pt x="0" y="6"/>
                                  </a:moveTo>
                                  <a:lnTo>
                                    <a:pt x="29"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22" name="Freeform 798"/>
                          <wps:cNvSpPr/>
                          <wps:spPr bwMode="auto">
                            <a:xfrm>
                              <a:off x="2712" y="1916"/>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23" name="Line 799"/>
                          <wps:cNvCnPr>
                            <a:cxnSpLocks noChangeShapeType="1"/>
                          </wps:cNvCnPr>
                          <wps:spPr bwMode="auto">
                            <a:xfrm>
                              <a:off x="2765" y="1883"/>
                              <a:ext cx="0" cy="0"/>
                            </a:xfrm>
                            <a:prstGeom prst="line">
                              <a:avLst/>
                            </a:prstGeom>
                            <a:noFill/>
                            <a:ln w="5715">
                              <a:solidFill>
                                <a:srgbClr val="000000"/>
                              </a:solidFill>
                              <a:prstDash val="solid"/>
                              <a:round/>
                            </a:ln>
                          </wps:spPr>
                          <wps:bodyPr/>
                        </wps:wsp>
                        <wps:wsp>
                          <wps:cNvPr id="24" name="Line 800"/>
                          <wps:cNvCnPr>
                            <a:cxnSpLocks noChangeShapeType="1"/>
                          </wps:cNvCnPr>
                          <wps:spPr bwMode="auto">
                            <a:xfrm>
                              <a:off x="706" y="1786"/>
                              <a:ext cx="0" cy="376"/>
                            </a:xfrm>
                            <a:prstGeom prst="line">
                              <a:avLst/>
                            </a:prstGeom>
                            <a:noFill/>
                            <a:ln w="5715">
                              <a:solidFill>
                                <a:srgbClr val="000000"/>
                              </a:solidFill>
                              <a:prstDash val="solid"/>
                              <a:round/>
                            </a:ln>
                          </wps:spPr>
                          <wps:bodyPr/>
                        </wps:wsp>
                        <wps:wsp>
                          <wps:cNvPr id="28" name="Line 801"/>
                          <wps:cNvCnPr>
                            <a:cxnSpLocks noChangeShapeType="1"/>
                          </wps:cNvCnPr>
                          <wps:spPr bwMode="auto">
                            <a:xfrm>
                              <a:off x="892" y="1616"/>
                              <a:ext cx="0" cy="546"/>
                            </a:xfrm>
                            <a:prstGeom prst="line">
                              <a:avLst/>
                            </a:prstGeom>
                            <a:noFill/>
                            <a:ln w="5715">
                              <a:solidFill>
                                <a:srgbClr val="000000"/>
                              </a:solidFill>
                              <a:prstDash val="solid"/>
                              <a:round/>
                            </a:ln>
                          </wps:spPr>
                          <wps:bodyPr/>
                        </wps:wsp>
                        <wps:wsp>
                          <wps:cNvPr id="29" name="Line 802"/>
                          <wps:cNvCnPr>
                            <a:cxnSpLocks noChangeShapeType="1"/>
                          </wps:cNvCnPr>
                          <wps:spPr bwMode="auto">
                            <a:xfrm>
                              <a:off x="985" y="1566"/>
                              <a:ext cx="0" cy="596"/>
                            </a:xfrm>
                            <a:prstGeom prst="line">
                              <a:avLst/>
                            </a:prstGeom>
                            <a:noFill/>
                            <a:ln w="5715">
                              <a:solidFill>
                                <a:srgbClr val="000000"/>
                              </a:solidFill>
                              <a:prstDash val="solid"/>
                              <a:round/>
                            </a:ln>
                          </wps:spPr>
                          <wps:bodyPr/>
                        </wps:wsp>
                        <wps:wsp>
                          <wps:cNvPr id="30" name="Line 803"/>
                          <wps:cNvCnPr>
                            <a:cxnSpLocks noChangeShapeType="1"/>
                          </wps:cNvCnPr>
                          <wps:spPr bwMode="auto">
                            <a:xfrm>
                              <a:off x="1079" y="1530"/>
                              <a:ext cx="0" cy="632"/>
                            </a:xfrm>
                            <a:prstGeom prst="line">
                              <a:avLst/>
                            </a:prstGeom>
                            <a:noFill/>
                            <a:ln w="5715">
                              <a:solidFill>
                                <a:srgbClr val="000000"/>
                              </a:solidFill>
                              <a:prstDash val="solid"/>
                              <a:round/>
                            </a:ln>
                          </wps:spPr>
                          <wps:bodyPr/>
                        </wps:wsp>
                        <wps:wsp>
                          <wps:cNvPr id="31" name="Line 804"/>
                          <wps:cNvCnPr>
                            <a:cxnSpLocks noChangeShapeType="1"/>
                          </wps:cNvCnPr>
                          <wps:spPr bwMode="auto">
                            <a:xfrm>
                              <a:off x="1172" y="1509"/>
                              <a:ext cx="0" cy="653"/>
                            </a:xfrm>
                            <a:prstGeom prst="line">
                              <a:avLst/>
                            </a:prstGeom>
                            <a:noFill/>
                            <a:ln w="5715">
                              <a:solidFill>
                                <a:srgbClr val="000000"/>
                              </a:solidFill>
                              <a:prstDash val="solid"/>
                              <a:round/>
                            </a:ln>
                          </wps:spPr>
                          <wps:bodyPr/>
                        </wps:wsp>
                        <wps:wsp>
                          <wps:cNvPr id="32" name="Line 805"/>
                          <wps:cNvCnPr>
                            <a:cxnSpLocks noChangeShapeType="1"/>
                          </wps:cNvCnPr>
                          <wps:spPr bwMode="auto">
                            <a:xfrm flipV="1">
                              <a:off x="1468" y="805"/>
                              <a:ext cx="638" cy="1105"/>
                            </a:xfrm>
                            <a:prstGeom prst="line">
                              <a:avLst/>
                            </a:prstGeom>
                            <a:noFill/>
                            <a:ln w="5715">
                              <a:solidFill>
                                <a:srgbClr val="000000"/>
                              </a:solidFill>
                              <a:prstDash val="solid"/>
                              <a:round/>
                            </a:ln>
                          </wps:spPr>
                          <wps:bodyPr/>
                        </wps:wsp>
                        <wps:wsp>
                          <wps:cNvPr id="33" name="Line 806"/>
                          <wps:cNvCnPr>
                            <a:cxnSpLocks noChangeShapeType="1"/>
                          </wps:cNvCnPr>
                          <wps:spPr bwMode="auto">
                            <a:xfrm>
                              <a:off x="2365" y="804"/>
                              <a:ext cx="638" cy="1104"/>
                            </a:xfrm>
                            <a:prstGeom prst="line">
                              <a:avLst/>
                            </a:prstGeom>
                            <a:noFill/>
                            <a:ln w="5715">
                              <a:solidFill>
                                <a:srgbClr val="000000"/>
                              </a:solidFill>
                              <a:prstDash val="solid"/>
                              <a:round/>
                            </a:ln>
                          </wps:spPr>
                          <wps:bodyPr/>
                        </wps:wsp>
                        <wps:wsp>
                          <wps:cNvPr id="34" name="Freeform 807"/>
                          <wps:cNvSpPr/>
                          <wps:spPr bwMode="auto">
                            <a:xfrm>
                              <a:off x="1982" y="1805"/>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35" name="Freeform 808"/>
                          <wps:cNvSpPr/>
                          <wps:spPr bwMode="auto">
                            <a:xfrm>
                              <a:off x="1881" y="1750"/>
                              <a:ext cx="77" cy="31"/>
                            </a:xfrm>
                            <a:custGeom>
                              <a:avLst/>
                              <a:gdLst>
                                <a:gd name="T0" fmla="*/ 77 w 77"/>
                                <a:gd name="T1" fmla="*/ 31 h 31"/>
                                <a:gd name="T2" fmla="*/ 62 w 77"/>
                                <a:gd name="T3" fmla="*/ 17 h 31"/>
                                <a:gd name="T4" fmla="*/ 0 w 77"/>
                                <a:gd name="T5" fmla="*/ 0 h 31"/>
                              </a:gdLst>
                              <a:ahLst/>
                              <a:cxnLst>
                                <a:cxn ang="0">
                                  <a:pos x="T0" y="T1"/>
                                </a:cxn>
                                <a:cxn ang="0">
                                  <a:pos x="T2" y="T3"/>
                                </a:cxn>
                                <a:cxn ang="0">
                                  <a:pos x="T4" y="T5"/>
                                </a:cxn>
                              </a:cxnLst>
                              <a:rect l="0" t="0" r="r" b="b"/>
                              <a:pathLst>
                                <a:path w="77" h="31">
                                  <a:moveTo>
                                    <a:pt x="77" y="31"/>
                                  </a:moveTo>
                                  <a:lnTo>
                                    <a:pt x="62"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36" name="Freeform 809"/>
                          <wps:cNvSpPr/>
                          <wps:spPr bwMode="auto">
                            <a:xfrm>
                              <a:off x="1778" y="1757"/>
                              <a:ext cx="70" cy="42"/>
                            </a:xfrm>
                            <a:custGeom>
                              <a:avLst/>
                              <a:gdLst>
                                <a:gd name="T0" fmla="*/ 70 w 70"/>
                                <a:gd name="T1" fmla="*/ 0 h 42"/>
                                <a:gd name="T2" fmla="*/ 32 w 70"/>
                                <a:gd name="T3" fmla="*/ 10 h 42"/>
                                <a:gd name="T4" fmla="*/ 0 w 70"/>
                                <a:gd name="T5" fmla="*/ 42 h 42"/>
                              </a:gdLst>
                              <a:ahLst/>
                              <a:cxnLst>
                                <a:cxn ang="0">
                                  <a:pos x="T0" y="T1"/>
                                </a:cxn>
                                <a:cxn ang="0">
                                  <a:pos x="T2" y="T3"/>
                                </a:cxn>
                                <a:cxn ang="0">
                                  <a:pos x="T4" y="T5"/>
                                </a:cxn>
                              </a:cxnLst>
                              <a:rect l="0" t="0" r="r" b="b"/>
                              <a:pathLst>
                                <a:path w="70" h="42">
                                  <a:moveTo>
                                    <a:pt x="70"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37" name="Freeform 810"/>
                          <wps:cNvSpPr/>
                          <wps:spPr bwMode="auto">
                            <a:xfrm>
                              <a:off x="1743" y="1826"/>
                              <a:ext cx="15" cy="82"/>
                            </a:xfrm>
                            <a:custGeom>
                              <a:avLst/>
                              <a:gdLst>
                                <a:gd name="T0" fmla="*/ 15 w 15"/>
                                <a:gd name="T1" fmla="*/ 0 h 82"/>
                                <a:gd name="T2" fmla="*/ 0 w 15"/>
                                <a:gd name="T3" fmla="*/ 57 h 82"/>
                                <a:gd name="T4" fmla="*/ 6 w 15"/>
                                <a:gd name="T5" fmla="*/ 82 h 82"/>
                              </a:gdLst>
                              <a:ahLst/>
                              <a:cxnLst>
                                <a:cxn ang="0">
                                  <a:pos x="T0" y="T1"/>
                                </a:cxn>
                                <a:cxn ang="0">
                                  <a:pos x="T2" y="T3"/>
                                </a:cxn>
                                <a:cxn ang="0">
                                  <a:pos x="T4" y="T5"/>
                                </a:cxn>
                              </a:cxnLst>
                              <a:rect l="0" t="0" r="r" b="b"/>
                              <a:pathLst>
                                <a:path w="15" h="82">
                                  <a:moveTo>
                                    <a:pt x="15" y="0"/>
                                  </a:moveTo>
                                  <a:lnTo>
                                    <a:pt x="0" y="57"/>
                                  </a:lnTo>
                                  <a:lnTo>
                                    <a:pt x="6"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38" name="Freeform 811"/>
                          <wps:cNvSpPr/>
                          <wps:spPr bwMode="auto">
                            <a:xfrm>
                              <a:off x="1758" y="1940"/>
                              <a:ext cx="57" cy="61"/>
                            </a:xfrm>
                            <a:custGeom>
                              <a:avLst/>
                              <a:gdLst>
                                <a:gd name="T0" fmla="*/ 0 w 57"/>
                                <a:gd name="T1" fmla="*/ 0 h 61"/>
                                <a:gd name="T2" fmla="*/ 3 w 57"/>
                                <a:gd name="T3" fmla="*/ 10 h 61"/>
                                <a:gd name="T4" fmla="*/ 52 w 57"/>
                                <a:gd name="T5" fmla="*/ 59 h 61"/>
                                <a:gd name="T6" fmla="*/ 57 w 57"/>
                                <a:gd name="T7" fmla="*/ 61 h 61"/>
                              </a:gdLst>
                              <a:ahLst/>
                              <a:cxnLst>
                                <a:cxn ang="0">
                                  <a:pos x="T0" y="T1"/>
                                </a:cxn>
                                <a:cxn ang="0">
                                  <a:pos x="T2" y="T3"/>
                                </a:cxn>
                                <a:cxn ang="0">
                                  <a:pos x="T4" y="T5"/>
                                </a:cxn>
                                <a:cxn ang="0">
                                  <a:pos x="T6" y="T7"/>
                                </a:cxn>
                              </a:cxnLst>
                              <a:rect l="0" t="0" r="r" b="b"/>
                              <a:pathLst>
                                <a:path w="57" h="61">
                                  <a:moveTo>
                                    <a:pt x="0" y="0"/>
                                  </a:moveTo>
                                  <a:lnTo>
                                    <a:pt x="3" y="10"/>
                                  </a:lnTo>
                                  <a:lnTo>
                                    <a:pt x="52" y="59"/>
                                  </a:lnTo>
                                  <a:lnTo>
                                    <a:pt x="57" y="61"/>
                                  </a:lnTo>
                                </a:path>
                              </a:pathLst>
                            </a:custGeom>
                            <a:noFill/>
                            <a:ln w="5715">
                              <a:solidFill>
                                <a:srgbClr val="000000"/>
                              </a:solidFill>
                              <a:prstDash val="solid"/>
                              <a:round/>
                            </a:ln>
                          </wps:spPr>
                          <wps:bodyPr rot="0" vert="horz" wrap="square" lIns="91440" tIns="45720" rIns="91440" bIns="45720" anchor="t" anchorCtr="0" upright="1">
                            <a:noAutofit/>
                          </wps:bodyPr>
                        </wps:wsp>
                        <wps:wsp>
                          <wps:cNvPr id="39" name="Freeform 812"/>
                          <wps:cNvSpPr/>
                          <wps:spPr bwMode="auto">
                            <a:xfrm>
                              <a:off x="1848" y="2003"/>
                              <a:ext cx="82" cy="14"/>
                            </a:xfrm>
                            <a:custGeom>
                              <a:avLst/>
                              <a:gdLst>
                                <a:gd name="T0" fmla="*/ 0 w 82"/>
                                <a:gd name="T1" fmla="*/ 6 h 14"/>
                                <a:gd name="T2" fmla="*/ 29 w 82"/>
                                <a:gd name="T3" fmla="*/ 14 h 14"/>
                                <a:gd name="T4" fmla="*/ 82 w 82"/>
                                <a:gd name="T5" fmla="*/ 0 h 14"/>
                              </a:gdLst>
                              <a:ahLst/>
                              <a:cxnLst>
                                <a:cxn ang="0">
                                  <a:pos x="T0" y="T1"/>
                                </a:cxn>
                                <a:cxn ang="0">
                                  <a:pos x="T2" y="T3"/>
                                </a:cxn>
                                <a:cxn ang="0">
                                  <a:pos x="T4" y="T5"/>
                                </a:cxn>
                              </a:cxnLst>
                              <a:rect l="0" t="0" r="r" b="b"/>
                              <a:pathLst>
                                <a:path w="82" h="14">
                                  <a:moveTo>
                                    <a:pt x="0" y="6"/>
                                  </a:moveTo>
                                  <a:lnTo>
                                    <a:pt x="29"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40" name="Freeform 813"/>
                          <wps:cNvSpPr/>
                          <wps:spPr bwMode="auto">
                            <a:xfrm>
                              <a:off x="1958" y="1916"/>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41" name="Line 814"/>
                          <wps:cNvCnPr>
                            <a:cxnSpLocks noChangeShapeType="1"/>
                          </wps:cNvCnPr>
                          <wps:spPr bwMode="auto">
                            <a:xfrm>
                              <a:off x="2011" y="1883"/>
                              <a:ext cx="0" cy="0"/>
                            </a:xfrm>
                            <a:prstGeom prst="line">
                              <a:avLst/>
                            </a:prstGeom>
                            <a:noFill/>
                            <a:ln w="5715">
                              <a:solidFill>
                                <a:srgbClr val="000000"/>
                              </a:solidFill>
                              <a:prstDash val="solid"/>
                              <a:round/>
                            </a:ln>
                          </wps:spPr>
                          <wps:bodyPr/>
                        </wps:wsp>
                        <wps:wsp>
                          <wps:cNvPr id="42" name="Line 815"/>
                          <wps:cNvCnPr>
                            <a:cxnSpLocks noChangeShapeType="1"/>
                          </wps:cNvCnPr>
                          <wps:spPr bwMode="auto">
                            <a:xfrm>
                              <a:off x="1265" y="1495"/>
                              <a:ext cx="0" cy="667"/>
                            </a:xfrm>
                            <a:prstGeom prst="line">
                              <a:avLst/>
                            </a:prstGeom>
                            <a:noFill/>
                            <a:ln w="5715">
                              <a:solidFill>
                                <a:srgbClr val="000000"/>
                              </a:solidFill>
                              <a:prstDash val="solid"/>
                              <a:round/>
                            </a:ln>
                          </wps:spPr>
                          <wps:bodyPr/>
                        </wps:wsp>
                        <wps:wsp>
                          <wps:cNvPr id="43" name="Line 816"/>
                          <wps:cNvCnPr>
                            <a:cxnSpLocks noChangeShapeType="1"/>
                          </wps:cNvCnPr>
                          <wps:spPr bwMode="auto">
                            <a:xfrm>
                              <a:off x="2716" y="1529"/>
                              <a:ext cx="236" cy="408"/>
                            </a:xfrm>
                            <a:prstGeom prst="line">
                              <a:avLst/>
                            </a:prstGeom>
                            <a:noFill/>
                            <a:ln w="5715">
                              <a:solidFill>
                                <a:srgbClr val="000000"/>
                              </a:solidFill>
                              <a:prstDash val="solid"/>
                              <a:round/>
                            </a:ln>
                          </wps:spPr>
                          <wps:bodyPr/>
                        </wps:wsp>
                        <wps:wsp>
                          <wps:cNvPr id="44" name="Line 817"/>
                          <wps:cNvCnPr>
                            <a:cxnSpLocks noChangeShapeType="1"/>
                          </wps:cNvCnPr>
                          <wps:spPr bwMode="auto">
                            <a:xfrm>
                              <a:off x="2365" y="804"/>
                              <a:ext cx="638" cy="1104"/>
                            </a:xfrm>
                            <a:prstGeom prst="line">
                              <a:avLst/>
                            </a:prstGeom>
                            <a:noFill/>
                            <a:ln w="5715">
                              <a:solidFill>
                                <a:srgbClr val="000000"/>
                              </a:solidFill>
                              <a:prstDash val="solid"/>
                              <a:round/>
                            </a:ln>
                          </wps:spPr>
                          <wps:bodyPr/>
                        </wps:wsp>
                        <wps:wsp>
                          <wps:cNvPr id="45" name="Line 818"/>
                          <wps:cNvCnPr>
                            <a:cxnSpLocks noChangeShapeType="1"/>
                          </wps:cNvCnPr>
                          <wps:spPr bwMode="auto">
                            <a:xfrm>
                              <a:off x="2657" y="1545"/>
                              <a:ext cx="261" cy="451"/>
                            </a:xfrm>
                            <a:prstGeom prst="line">
                              <a:avLst/>
                            </a:prstGeom>
                            <a:noFill/>
                            <a:ln w="5715">
                              <a:solidFill>
                                <a:srgbClr val="000000"/>
                              </a:solidFill>
                              <a:prstDash val="solid"/>
                              <a:round/>
                            </a:ln>
                          </wps:spPr>
                          <wps:bodyPr/>
                        </wps:wsp>
                        <wps:wsp>
                          <wps:cNvPr id="46" name="Line 819"/>
                          <wps:cNvCnPr>
                            <a:cxnSpLocks noChangeShapeType="1"/>
                          </wps:cNvCnPr>
                          <wps:spPr bwMode="auto">
                            <a:xfrm>
                              <a:off x="2448" y="1650"/>
                              <a:ext cx="266" cy="460"/>
                            </a:xfrm>
                            <a:prstGeom prst="line">
                              <a:avLst/>
                            </a:prstGeom>
                            <a:noFill/>
                            <a:ln w="5715">
                              <a:solidFill>
                                <a:srgbClr val="000000"/>
                              </a:solidFill>
                              <a:prstDash val="solid"/>
                              <a:round/>
                            </a:ln>
                          </wps:spPr>
                          <wps:bodyPr/>
                        </wps:wsp>
                        <wps:wsp>
                          <wps:cNvPr id="47" name="Line 820"/>
                          <wps:cNvCnPr>
                            <a:cxnSpLocks noChangeShapeType="1"/>
                          </wps:cNvCnPr>
                          <wps:spPr bwMode="auto">
                            <a:xfrm>
                              <a:off x="2401" y="1686"/>
                              <a:ext cx="245" cy="424"/>
                            </a:xfrm>
                            <a:prstGeom prst="line">
                              <a:avLst/>
                            </a:prstGeom>
                            <a:noFill/>
                            <a:ln w="5715">
                              <a:solidFill>
                                <a:srgbClr val="000000"/>
                              </a:solidFill>
                              <a:prstDash val="solid"/>
                              <a:round/>
                            </a:ln>
                          </wps:spPr>
                          <wps:bodyPr/>
                        </wps:wsp>
                        <wps:wsp>
                          <wps:cNvPr id="48" name="Line 821"/>
                          <wps:cNvCnPr>
                            <a:cxnSpLocks noChangeShapeType="1"/>
                          </wps:cNvCnPr>
                          <wps:spPr bwMode="auto">
                            <a:xfrm>
                              <a:off x="2497" y="1619"/>
                              <a:ext cx="284" cy="491"/>
                            </a:xfrm>
                            <a:prstGeom prst="line">
                              <a:avLst/>
                            </a:prstGeom>
                            <a:noFill/>
                            <a:ln w="5715">
                              <a:solidFill>
                                <a:srgbClr val="000000"/>
                              </a:solidFill>
                              <a:prstDash val="solid"/>
                              <a:round/>
                            </a:ln>
                          </wps:spPr>
                          <wps:bodyPr/>
                        </wps:wsp>
                        <wps:wsp>
                          <wps:cNvPr id="49" name="Line 822"/>
                          <wps:cNvCnPr>
                            <a:cxnSpLocks noChangeShapeType="1"/>
                          </wps:cNvCnPr>
                          <wps:spPr bwMode="auto">
                            <a:xfrm>
                              <a:off x="2549" y="1590"/>
                              <a:ext cx="300" cy="520"/>
                            </a:xfrm>
                            <a:prstGeom prst="line">
                              <a:avLst/>
                            </a:prstGeom>
                            <a:noFill/>
                            <a:ln w="5715">
                              <a:solidFill>
                                <a:srgbClr val="000000"/>
                              </a:solidFill>
                              <a:prstDash val="solid"/>
                              <a:round/>
                            </a:ln>
                          </wps:spPr>
                          <wps:bodyPr/>
                        </wps:wsp>
                        <wps:wsp>
                          <wps:cNvPr id="50" name="Line 823"/>
                          <wps:cNvCnPr>
                            <a:cxnSpLocks noChangeShapeType="1"/>
                          </wps:cNvCnPr>
                          <wps:spPr bwMode="auto">
                            <a:xfrm>
                              <a:off x="2602" y="1565"/>
                              <a:ext cx="283" cy="490"/>
                            </a:xfrm>
                            <a:prstGeom prst="line">
                              <a:avLst/>
                            </a:prstGeom>
                            <a:noFill/>
                            <a:ln w="5715">
                              <a:solidFill>
                                <a:srgbClr val="000000"/>
                              </a:solidFill>
                              <a:prstDash val="solid"/>
                              <a:round/>
                            </a:ln>
                          </wps:spPr>
                          <wps:bodyPr/>
                        </wps:wsp>
                        <wps:wsp>
                          <wps:cNvPr id="51" name="Line 824"/>
                          <wps:cNvCnPr>
                            <a:cxnSpLocks noChangeShapeType="1"/>
                          </wps:cNvCnPr>
                          <wps:spPr bwMode="auto">
                            <a:xfrm>
                              <a:off x="817" y="1728"/>
                              <a:ext cx="0" cy="434"/>
                            </a:xfrm>
                            <a:prstGeom prst="line">
                              <a:avLst/>
                            </a:prstGeom>
                            <a:noFill/>
                            <a:ln w="5715">
                              <a:solidFill>
                                <a:srgbClr val="000000"/>
                              </a:solidFill>
                              <a:prstDash val="solid"/>
                              <a:round/>
                            </a:ln>
                          </wps:spPr>
                          <wps:bodyPr/>
                        </wps:wsp>
                        <wps:wsp>
                          <wps:cNvPr id="52" name="Freeform 825"/>
                          <wps:cNvSpPr/>
                          <wps:spPr bwMode="auto">
                            <a:xfrm>
                              <a:off x="1101" y="1867"/>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53" name="Freeform 826"/>
                          <wps:cNvSpPr/>
                          <wps:spPr bwMode="auto">
                            <a:xfrm>
                              <a:off x="1000" y="1812"/>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54" name="Freeform 827"/>
                          <wps:cNvSpPr/>
                          <wps:spPr bwMode="auto">
                            <a:xfrm>
                              <a:off x="897" y="1819"/>
                              <a:ext cx="70" cy="42"/>
                            </a:xfrm>
                            <a:custGeom>
                              <a:avLst/>
                              <a:gdLst>
                                <a:gd name="T0" fmla="*/ 70 w 70"/>
                                <a:gd name="T1" fmla="*/ 0 h 42"/>
                                <a:gd name="T2" fmla="*/ 32 w 70"/>
                                <a:gd name="T3" fmla="*/ 10 h 42"/>
                                <a:gd name="T4" fmla="*/ 0 w 70"/>
                                <a:gd name="T5" fmla="*/ 42 h 42"/>
                              </a:gdLst>
                              <a:ahLst/>
                              <a:cxnLst>
                                <a:cxn ang="0">
                                  <a:pos x="T0" y="T1"/>
                                </a:cxn>
                                <a:cxn ang="0">
                                  <a:pos x="T2" y="T3"/>
                                </a:cxn>
                                <a:cxn ang="0">
                                  <a:pos x="T4" y="T5"/>
                                </a:cxn>
                              </a:cxnLst>
                              <a:rect l="0" t="0" r="r" b="b"/>
                              <a:pathLst>
                                <a:path w="70" h="42">
                                  <a:moveTo>
                                    <a:pt x="70"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55" name="Freeform 828"/>
                          <wps:cNvSpPr/>
                          <wps:spPr bwMode="auto">
                            <a:xfrm>
                              <a:off x="862" y="1888"/>
                              <a:ext cx="15" cy="82"/>
                            </a:xfrm>
                            <a:custGeom>
                              <a:avLst/>
                              <a:gdLst>
                                <a:gd name="T0" fmla="*/ 15 w 15"/>
                                <a:gd name="T1" fmla="*/ 0 h 82"/>
                                <a:gd name="T2" fmla="*/ 0 w 15"/>
                                <a:gd name="T3" fmla="*/ 57 h 82"/>
                                <a:gd name="T4" fmla="*/ 7 w 15"/>
                                <a:gd name="T5" fmla="*/ 82 h 82"/>
                              </a:gdLst>
                              <a:ahLst/>
                              <a:cxnLst>
                                <a:cxn ang="0">
                                  <a:pos x="T0" y="T1"/>
                                </a:cxn>
                                <a:cxn ang="0">
                                  <a:pos x="T2" y="T3"/>
                                </a:cxn>
                                <a:cxn ang="0">
                                  <a:pos x="T4" y="T5"/>
                                </a:cxn>
                              </a:cxnLst>
                              <a:rect l="0" t="0" r="r" b="b"/>
                              <a:pathLst>
                                <a:path w="15" h="82">
                                  <a:moveTo>
                                    <a:pt x="15" y="0"/>
                                  </a:moveTo>
                                  <a:lnTo>
                                    <a:pt x="0" y="57"/>
                                  </a:lnTo>
                                  <a:lnTo>
                                    <a:pt x="7"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56" name="Freeform 829"/>
                          <wps:cNvSpPr/>
                          <wps:spPr bwMode="auto">
                            <a:xfrm>
                              <a:off x="877" y="2003"/>
                              <a:ext cx="57" cy="60"/>
                            </a:xfrm>
                            <a:custGeom>
                              <a:avLst/>
                              <a:gdLst>
                                <a:gd name="T0" fmla="*/ 0 w 57"/>
                                <a:gd name="T1" fmla="*/ 0 h 60"/>
                                <a:gd name="T2" fmla="*/ 3 w 57"/>
                                <a:gd name="T3" fmla="*/ 9 h 60"/>
                                <a:gd name="T4" fmla="*/ 52 w 57"/>
                                <a:gd name="T5" fmla="*/ 58 h 60"/>
                                <a:gd name="T6" fmla="*/ 57 w 57"/>
                                <a:gd name="T7" fmla="*/ 60 h 60"/>
                              </a:gdLst>
                              <a:ahLst/>
                              <a:cxnLst>
                                <a:cxn ang="0">
                                  <a:pos x="T0" y="T1"/>
                                </a:cxn>
                                <a:cxn ang="0">
                                  <a:pos x="T2" y="T3"/>
                                </a:cxn>
                                <a:cxn ang="0">
                                  <a:pos x="T4" y="T5"/>
                                </a:cxn>
                                <a:cxn ang="0">
                                  <a:pos x="T6" y="T7"/>
                                </a:cxn>
                              </a:cxnLst>
                              <a:rect l="0" t="0" r="r" b="b"/>
                              <a:pathLst>
                                <a:path w="57" h="60">
                                  <a:moveTo>
                                    <a:pt x="0" y="0"/>
                                  </a:moveTo>
                                  <a:lnTo>
                                    <a:pt x="3" y="9"/>
                                  </a:lnTo>
                                  <a:lnTo>
                                    <a:pt x="52" y="58"/>
                                  </a:lnTo>
                                  <a:lnTo>
                                    <a:pt x="57" y="60"/>
                                  </a:lnTo>
                                </a:path>
                              </a:pathLst>
                            </a:custGeom>
                            <a:noFill/>
                            <a:ln w="5715">
                              <a:solidFill>
                                <a:srgbClr val="000000"/>
                              </a:solidFill>
                              <a:prstDash val="solid"/>
                              <a:round/>
                            </a:ln>
                          </wps:spPr>
                          <wps:bodyPr rot="0" vert="horz" wrap="square" lIns="91440" tIns="45720" rIns="91440" bIns="45720" anchor="t" anchorCtr="0" upright="1">
                            <a:noAutofit/>
                          </wps:bodyPr>
                        </wps:wsp>
                        <wps:wsp>
                          <wps:cNvPr id="57" name="Freeform 830"/>
                          <wps:cNvSpPr/>
                          <wps:spPr bwMode="auto">
                            <a:xfrm>
                              <a:off x="967" y="2065"/>
                              <a:ext cx="82" cy="14"/>
                            </a:xfrm>
                            <a:custGeom>
                              <a:avLst/>
                              <a:gdLst>
                                <a:gd name="T0" fmla="*/ 0 w 82"/>
                                <a:gd name="T1" fmla="*/ 7 h 14"/>
                                <a:gd name="T2" fmla="*/ 29 w 82"/>
                                <a:gd name="T3" fmla="*/ 14 h 14"/>
                                <a:gd name="T4" fmla="*/ 82 w 82"/>
                                <a:gd name="T5" fmla="*/ 0 h 14"/>
                              </a:gdLst>
                              <a:ahLst/>
                              <a:cxnLst>
                                <a:cxn ang="0">
                                  <a:pos x="T0" y="T1"/>
                                </a:cxn>
                                <a:cxn ang="0">
                                  <a:pos x="T2" y="T3"/>
                                </a:cxn>
                                <a:cxn ang="0">
                                  <a:pos x="T4" y="T5"/>
                                </a:cxn>
                              </a:cxnLst>
                              <a:rect l="0" t="0" r="r" b="b"/>
                              <a:pathLst>
                                <a:path w="82" h="14">
                                  <a:moveTo>
                                    <a:pt x="0" y="7"/>
                                  </a:moveTo>
                                  <a:lnTo>
                                    <a:pt x="29"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58" name="Freeform 831"/>
                          <wps:cNvSpPr/>
                          <wps:spPr bwMode="auto">
                            <a:xfrm>
                              <a:off x="1077" y="1978"/>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59" name="Line 832"/>
                          <wps:cNvCnPr>
                            <a:cxnSpLocks noChangeShapeType="1"/>
                          </wps:cNvCnPr>
                          <wps:spPr bwMode="auto">
                            <a:xfrm>
                              <a:off x="1130" y="1945"/>
                              <a:ext cx="0" cy="0"/>
                            </a:xfrm>
                            <a:prstGeom prst="line">
                              <a:avLst/>
                            </a:prstGeom>
                            <a:noFill/>
                            <a:ln w="5715">
                              <a:solidFill>
                                <a:srgbClr val="000000"/>
                              </a:solidFill>
                              <a:prstDash val="solid"/>
                              <a:round/>
                            </a:ln>
                          </wps:spPr>
                          <wps:bodyPr/>
                        </wps:wsp>
                        <wps:wsp>
                          <wps:cNvPr id="60" name="Line 833"/>
                          <wps:cNvCnPr>
                            <a:cxnSpLocks noChangeShapeType="1"/>
                          </wps:cNvCnPr>
                          <wps:spPr bwMode="auto">
                            <a:xfrm>
                              <a:off x="673" y="1840"/>
                              <a:ext cx="671" cy="0"/>
                            </a:xfrm>
                            <a:prstGeom prst="line">
                              <a:avLst/>
                            </a:prstGeom>
                            <a:noFill/>
                            <a:ln w="5715">
                              <a:solidFill>
                                <a:srgbClr val="000000"/>
                              </a:solidFill>
                              <a:prstDash val="solid"/>
                              <a:round/>
                            </a:ln>
                          </wps:spPr>
                          <wps:bodyPr/>
                        </wps:wsp>
                        <wps:wsp>
                          <wps:cNvPr id="61" name="Line 834"/>
                          <wps:cNvCnPr>
                            <a:cxnSpLocks noChangeShapeType="1"/>
                          </wps:cNvCnPr>
                          <wps:spPr bwMode="auto">
                            <a:xfrm>
                              <a:off x="630" y="1952"/>
                              <a:ext cx="714" cy="0"/>
                            </a:xfrm>
                            <a:prstGeom prst="line">
                              <a:avLst/>
                            </a:prstGeom>
                            <a:noFill/>
                            <a:ln w="5715">
                              <a:solidFill>
                                <a:srgbClr val="000000"/>
                              </a:solidFill>
                              <a:prstDash val="solid"/>
                              <a:round/>
                            </a:ln>
                          </wps:spPr>
                          <wps:bodyPr/>
                        </wps:wsp>
                        <wps:wsp>
                          <wps:cNvPr id="62" name="Line 835"/>
                          <wps:cNvCnPr>
                            <a:cxnSpLocks noChangeShapeType="1"/>
                          </wps:cNvCnPr>
                          <wps:spPr bwMode="auto">
                            <a:xfrm>
                              <a:off x="610" y="2064"/>
                              <a:ext cx="734" cy="0"/>
                            </a:xfrm>
                            <a:prstGeom prst="line">
                              <a:avLst/>
                            </a:prstGeom>
                            <a:noFill/>
                            <a:ln w="5715">
                              <a:solidFill>
                                <a:srgbClr val="000000"/>
                              </a:solidFill>
                              <a:prstDash val="solid"/>
                              <a:round/>
                            </a:ln>
                          </wps:spPr>
                          <wps:bodyPr/>
                        </wps:wsp>
                        <wps:wsp>
                          <wps:cNvPr id="63" name="Freeform 836"/>
                          <wps:cNvSpPr/>
                          <wps:spPr bwMode="auto">
                            <a:xfrm>
                              <a:off x="488" y="1862"/>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4" name="Freeform 837"/>
                          <wps:cNvSpPr/>
                          <wps:spPr bwMode="auto">
                            <a:xfrm>
                              <a:off x="387" y="1807"/>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5" name="Freeform 838"/>
                          <wps:cNvSpPr/>
                          <wps:spPr bwMode="auto">
                            <a:xfrm>
                              <a:off x="284" y="1813"/>
                              <a:ext cx="71" cy="43"/>
                            </a:xfrm>
                            <a:custGeom>
                              <a:avLst/>
                              <a:gdLst>
                                <a:gd name="T0" fmla="*/ 71 w 71"/>
                                <a:gd name="T1" fmla="*/ 0 h 43"/>
                                <a:gd name="T2" fmla="*/ 32 w 71"/>
                                <a:gd name="T3" fmla="*/ 11 h 43"/>
                                <a:gd name="T4" fmla="*/ 0 w 71"/>
                                <a:gd name="T5" fmla="*/ 43 h 43"/>
                              </a:gdLst>
                              <a:ahLst/>
                              <a:cxnLst>
                                <a:cxn ang="0">
                                  <a:pos x="T0" y="T1"/>
                                </a:cxn>
                                <a:cxn ang="0">
                                  <a:pos x="T2" y="T3"/>
                                </a:cxn>
                                <a:cxn ang="0">
                                  <a:pos x="T4" y="T5"/>
                                </a:cxn>
                              </a:cxnLst>
                              <a:rect l="0" t="0" r="r" b="b"/>
                              <a:pathLst>
                                <a:path w="71" h="43">
                                  <a:moveTo>
                                    <a:pt x="71" y="0"/>
                                  </a:moveTo>
                                  <a:lnTo>
                                    <a:pt x="32" y="11"/>
                                  </a:lnTo>
                                  <a:lnTo>
                                    <a:pt x="0" y="43"/>
                                  </a:lnTo>
                                </a:path>
                              </a:pathLst>
                            </a:custGeom>
                            <a:noFill/>
                            <a:ln w="5715">
                              <a:solidFill>
                                <a:srgbClr val="000000"/>
                              </a:solidFill>
                              <a:prstDash val="solid"/>
                              <a:round/>
                            </a:ln>
                          </wps:spPr>
                          <wps:bodyPr rot="0" vert="horz" wrap="square" lIns="91440" tIns="45720" rIns="91440" bIns="45720" anchor="t" anchorCtr="0" upright="1">
                            <a:noAutofit/>
                          </wps:bodyPr>
                        </wps:wsp>
                        <wps:wsp>
                          <wps:cNvPr id="66" name="Freeform 839"/>
                          <wps:cNvSpPr/>
                          <wps:spPr bwMode="auto">
                            <a:xfrm>
                              <a:off x="249" y="1882"/>
                              <a:ext cx="16" cy="82"/>
                            </a:xfrm>
                            <a:custGeom>
                              <a:avLst/>
                              <a:gdLst>
                                <a:gd name="T0" fmla="*/ 16 w 16"/>
                                <a:gd name="T1" fmla="*/ 0 h 82"/>
                                <a:gd name="T2" fmla="*/ 0 w 16"/>
                                <a:gd name="T3" fmla="*/ 58 h 82"/>
                                <a:gd name="T4" fmla="*/ 7 w 16"/>
                                <a:gd name="T5" fmla="*/ 82 h 82"/>
                              </a:gdLst>
                              <a:ahLst/>
                              <a:cxnLst>
                                <a:cxn ang="0">
                                  <a:pos x="T0" y="T1"/>
                                </a:cxn>
                                <a:cxn ang="0">
                                  <a:pos x="T2" y="T3"/>
                                </a:cxn>
                                <a:cxn ang="0">
                                  <a:pos x="T4" y="T5"/>
                                </a:cxn>
                              </a:cxnLst>
                              <a:rect l="0" t="0" r="r" b="b"/>
                              <a:pathLst>
                                <a:path w="16" h="82">
                                  <a:moveTo>
                                    <a:pt x="16" y="0"/>
                                  </a:moveTo>
                                  <a:lnTo>
                                    <a:pt x="0" y="58"/>
                                  </a:lnTo>
                                  <a:lnTo>
                                    <a:pt x="7"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67" name="Freeform 840"/>
                          <wps:cNvSpPr/>
                          <wps:spPr bwMode="auto">
                            <a:xfrm>
                              <a:off x="265" y="1997"/>
                              <a:ext cx="57" cy="60"/>
                            </a:xfrm>
                            <a:custGeom>
                              <a:avLst/>
                              <a:gdLst>
                                <a:gd name="T0" fmla="*/ 0 w 57"/>
                                <a:gd name="T1" fmla="*/ 0 h 60"/>
                                <a:gd name="T2" fmla="*/ 2 w 57"/>
                                <a:gd name="T3" fmla="*/ 10 h 60"/>
                                <a:gd name="T4" fmla="*/ 51 w 57"/>
                                <a:gd name="T5" fmla="*/ 59 h 60"/>
                                <a:gd name="T6" fmla="*/ 57 w 57"/>
                                <a:gd name="T7" fmla="*/ 60 h 60"/>
                              </a:gdLst>
                              <a:ahLst/>
                              <a:cxnLst>
                                <a:cxn ang="0">
                                  <a:pos x="T0" y="T1"/>
                                </a:cxn>
                                <a:cxn ang="0">
                                  <a:pos x="T2" y="T3"/>
                                </a:cxn>
                                <a:cxn ang="0">
                                  <a:pos x="T4" y="T5"/>
                                </a:cxn>
                                <a:cxn ang="0">
                                  <a:pos x="T6" y="T7"/>
                                </a:cxn>
                              </a:cxnLst>
                              <a:rect l="0" t="0" r="r" b="b"/>
                              <a:pathLst>
                                <a:path w="57" h="60">
                                  <a:moveTo>
                                    <a:pt x="0" y="0"/>
                                  </a:moveTo>
                                  <a:lnTo>
                                    <a:pt x="2" y="10"/>
                                  </a:lnTo>
                                  <a:lnTo>
                                    <a:pt x="51" y="59"/>
                                  </a:lnTo>
                                  <a:lnTo>
                                    <a:pt x="57" y="6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8" name="Freeform 841"/>
                          <wps:cNvSpPr/>
                          <wps:spPr bwMode="auto">
                            <a:xfrm>
                              <a:off x="355" y="2059"/>
                              <a:ext cx="82" cy="15"/>
                            </a:xfrm>
                            <a:custGeom>
                              <a:avLst/>
                              <a:gdLst>
                                <a:gd name="T0" fmla="*/ 0 w 82"/>
                                <a:gd name="T1" fmla="*/ 7 h 15"/>
                                <a:gd name="T2" fmla="*/ 28 w 82"/>
                                <a:gd name="T3" fmla="*/ 15 h 15"/>
                                <a:gd name="T4" fmla="*/ 82 w 82"/>
                                <a:gd name="T5" fmla="*/ 0 h 15"/>
                              </a:gdLst>
                              <a:ahLst/>
                              <a:cxnLst>
                                <a:cxn ang="0">
                                  <a:pos x="T0" y="T1"/>
                                </a:cxn>
                                <a:cxn ang="0">
                                  <a:pos x="T2" y="T3"/>
                                </a:cxn>
                                <a:cxn ang="0">
                                  <a:pos x="T4" y="T5"/>
                                </a:cxn>
                              </a:cxnLst>
                              <a:rect l="0" t="0" r="r" b="b"/>
                              <a:pathLst>
                                <a:path w="82" h="15">
                                  <a:moveTo>
                                    <a:pt x="0" y="7"/>
                                  </a:moveTo>
                                  <a:lnTo>
                                    <a:pt x="28" y="15"/>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9" name="Freeform 842"/>
                          <wps:cNvSpPr/>
                          <wps:spPr bwMode="auto">
                            <a:xfrm>
                              <a:off x="464" y="1972"/>
                              <a:ext cx="44" cy="70"/>
                            </a:xfrm>
                            <a:custGeom>
                              <a:avLst/>
                              <a:gdLst>
                                <a:gd name="T0" fmla="*/ 0 w 44"/>
                                <a:gd name="T1" fmla="*/ 70 h 70"/>
                                <a:gd name="T2" fmla="*/ 35 w 44"/>
                                <a:gd name="T3" fmla="*/ 35 h 70"/>
                                <a:gd name="T4" fmla="*/ 44 w 44"/>
                                <a:gd name="T5" fmla="*/ 0 h 70"/>
                              </a:gdLst>
                              <a:ahLst/>
                              <a:cxnLst>
                                <a:cxn ang="0">
                                  <a:pos x="T0" y="T1"/>
                                </a:cxn>
                                <a:cxn ang="0">
                                  <a:pos x="T2" y="T3"/>
                                </a:cxn>
                                <a:cxn ang="0">
                                  <a:pos x="T4" y="T5"/>
                                </a:cxn>
                              </a:cxnLst>
                              <a:rect l="0" t="0" r="r" b="b"/>
                              <a:pathLst>
                                <a:path w="44" h="70">
                                  <a:moveTo>
                                    <a:pt x="0" y="70"/>
                                  </a:moveTo>
                                  <a:lnTo>
                                    <a:pt x="35" y="35"/>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70" name="Line 843"/>
                          <wps:cNvCnPr>
                            <a:cxnSpLocks noChangeShapeType="1"/>
                          </wps:cNvCnPr>
                          <wps:spPr bwMode="auto">
                            <a:xfrm>
                              <a:off x="517" y="1940"/>
                              <a:ext cx="1" cy="0"/>
                            </a:xfrm>
                            <a:prstGeom prst="line">
                              <a:avLst/>
                            </a:prstGeom>
                            <a:noFill/>
                            <a:ln w="5715">
                              <a:solidFill>
                                <a:srgbClr val="000000"/>
                              </a:solidFill>
                              <a:prstDash val="solid"/>
                              <a:round/>
                            </a:ln>
                          </wps:spPr>
                          <wps:bodyPr/>
                        </wps:wsp>
                        <wps:wsp>
                          <wps:cNvPr id="71" name="Line 844"/>
                          <wps:cNvCnPr>
                            <a:cxnSpLocks noChangeShapeType="1"/>
                          </wps:cNvCnPr>
                          <wps:spPr bwMode="auto">
                            <a:xfrm>
                              <a:off x="1599" y="2133"/>
                              <a:ext cx="1276" cy="0"/>
                            </a:xfrm>
                            <a:prstGeom prst="line">
                              <a:avLst/>
                            </a:prstGeom>
                            <a:noFill/>
                            <a:ln w="5715">
                              <a:solidFill>
                                <a:srgbClr val="000000"/>
                              </a:solidFill>
                              <a:prstDash val="solid"/>
                              <a:round/>
                            </a:ln>
                          </wps:spPr>
                          <wps:bodyPr/>
                        </wps:wsp>
                        <wps:wsp>
                          <wps:cNvPr id="72" name="Line 845"/>
                          <wps:cNvCnPr>
                            <a:cxnSpLocks noChangeShapeType="1"/>
                          </wps:cNvCnPr>
                          <wps:spPr bwMode="auto">
                            <a:xfrm>
                              <a:off x="2201" y="2075"/>
                              <a:ext cx="673" cy="0"/>
                            </a:xfrm>
                            <a:prstGeom prst="line">
                              <a:avLst/>
                            </a:prstGeom>
                            <a:noFill/>
                            <a:ln w="5715">
                              <a:solidFill>
                                <a:srgbClr val="000000"/>
                              </a:solidFill>
                              <a:prstDash val="solid"/>
                              <a:round/>
                            </a:ln>
                          </wps:spPr>
                          <wps:bodyPr/>
                        </wps:wsp>
                        <wps:wsp>
                          <wps:cNvPr id="73" name="Line 846"/>
                          <wps:cNvCnPr>
                            <a:cxnSpLocks noChangeShapeType="1"/>
                          </wps:cNvCnPr>
                          <wps:spPr bwMode="auto">
                            <a:xfrm>
                              <a:off x="2210" y="2016"/>
                              <a:ext cx="697" cy="0"/>
                            </a:xfrm>
                            <a:prstGeom prst="line">
                              <a:avLst/>
                            </a:prstGeom>
                            <a:noFill/>
                            <a:ln w="5715">
                              <a:solidFill>
                                <a:srgbClr val="000000"/>
                              </a:solidFill>
                              <a:prstDash val="solid"/>
                              <a:round/>
                            </a:ln>
                          </wps:spPr>
                          <wps:bodyPr/>
                        </wps:wsp>
                        <wps:wsp>
                          <wps:cNvPr id="74" name="Line 847"/>
                          <wps:cNvCnPr>
                            <a:cxnSpLocks noChangeShapeType="1"/>
                          </wps:cNvCnPr>
                          <wps:spPr bwMode="auto">
                            <a:xfrm>
                              <a:off x="2308" y="1782"/>
                              <a:ext cx="599" cy="0"/>
                            </a:xfrm>
                            <a:prstGeom prst="line">
                              <a:avLst/>
                            </a:prstGeom>
                            <a:noFill/>
                            <a:ln w="5715">
                              <a:solidFill>
                                <a:srgbClr val="000000"/>
                              </a:solidFill>
                              <a:prstDash val="solid"/>
                              <a:round/>
                            </a:ln>
                          </wps:spPr>
                          <wps:bodyPr/>
                        </wps:wsp>
                        <wps:wsp>
                          <wps:cNvPr id="75" name="Line 848"/>
                          <wps:cNvCnPr>
                            <a:cxnSpLocks noChangeShapeType="1"/>
                          </wps:cNvCnPr>
                          <wps:spPr bwMode="auto">
                            <a:xfrm>
                              <a:off x="2270" y="1841"/>
                              <a:ext cx="672" cy="0"/>
                            </a:xfrm>
                            <a:prstGeom prst="line">
                              <a:avLst/>
                            </a:prstGeom>
                            <a:noFill/>
                            <a:ln w="5715">
                              <a:solidFill>
                                <a:srgbClr val="000000"/>
                              </a:solidFill>
                              <a:prstDash val="solid"/>
                              <a:round/>
                            </a:ln>
                          </wps:spPr>
                          <wps:bodyPr/>
                        </wps:wsp>
                        <wps:wsp>
                          <wps:cNvPr id="76" name="Line 849"/>
                          <wps:cNvCnPr>
                            <a:cxnSpLocks noChangeShapeType="1"/>
                          </wps:cNvCnPr>
                          <wps:spPr bwMode="auto">
                            <a:xfrm>
                              <a:off x="2236" y="1899"/>
                              <a:ext cx="741" cy="0"/>
                            </a:xfrm>
                            <a:prstGeom prst="line">
                              <a:avLst/>
                            </a:prstGeom>
                            <a:noFill/>
                            <a:ln w="5715">
                              <a:solidFill>
                                <a:srgbClr val="000000"/>
                              </a:solidFill>
                              <a:prstDash val="solid"/>
                              <a:round/>
                            </a:ln>
                          </wps:spPr>
                          <wps:bodyPr/>
                        </wps:wsp>
                        <wps:wsp>
                          <wps:cNvPr id="77" name="Line 850"/>
                          <wps:cNvCnPr>
                            <a:cxnSpLocks noChangeShapeType="1"/>
                          </wps:cNvCnPr>
                          <wps:spPr bwMode="auto">
                            <a:xfrm>
                              <a:off x="2223" y="1958"/>
                              <a:ext cx="717" cy="0"/>
                            </a:xfrm>
                            <a:prstGeom prst="line">
                              <a:avLst/>
                            </a:prstGeom>
                            <a:noFill/>
                            <a:ln w="5715">
                              <a:solidFill>
                                <a:srgbClr val="000000"/>
                              </a:solidFill>
                              <a:prstDash val="solid"/>
                              <a:round/>
                            </a:ln>
                          </wps:spPr>
                          <wps:bodyPr/>
                        </wps:wsp>
                        <wps:wsp>
                          <wps:cNvPr id="78" name="Line 851"/>
                          <wps:cNvCnPr>
                            <a:cxnSpLocks noChangeShapeType="1"/>
                          </wps:cNvCnPr>
                          <wps:spPr bwMode="auto">
                            <a:xfrm flipH="1" flipV="1">
                              <a:off x="1468" y="1910"/>
                              <a:ext cx="131" cy="223"/>
                            </a:xfrm>
                            <a:prstGeom prst="line">
                              <a:avLst/>
                            </a:prstGeom>
                            <a:noFill/>
                            <a:ln w="5715">
                              <a:solidFill>
                                <a:srgbClr val="000000"/>
                              </a:solidFill>
                              <a:prstDash val="solid"/>
                              <a:round/>
                            </a:ln>
                          </wps:spPr>
                          <wps:bodyPr/>
                        </wps:wsp>
                        <wps:wsp>
                          <wps:cNvPr id="79" name="Line 852"/>
                          <wps:cNvCnPr>
                            <a:cxnSpLocks noChangeShapeType="1"/>
                          </wps:cNvCnPr>
                          <wps:spPr bwMode="auto">
                            <a:xfrm>
                              <a:off x="2124" y="2133"/>
                              <a:ext cx="0" cy="0"/>
                            </a:xfrm>
                            <a:prstGeom prst="line">
                              <a:avLst/>
                            </a:prstGeom>
                            <a:noFill/>
                            <a:ln w="5715">
                              <a:solidFill>
                                <a:srgbClr val="000000"/>
                              </a:solidFill>
                              <a:prstDash val="solid"/>
                              <a:round/>
                            </a:ln>
                          </wps:spPr>
                          <wps:bodyPr/>
                        </wps:wsp>
                        <wps:wsp>
                          <wps:cNvPr id="80" name="Line 853"/>
                          <wps:cNvCnPr>
                            <a:cxnSpLocks noChangeShapeType="1"/>
                          </wps:cNvCnPr>
                          <wps:spPr bwMode="auto">
                            <a:xfrm flipH="1">
                              <a:off x="2875" y="1908"/>
                              <a:ext cx="128" cy="225"/>
                            </a:xfrm>
                            <a:prstGeom prst="line">
                              <a:avLst/>
                            </a:prstGeom>
                            <a:noFill/>
                            <a:ln w="5715">
                              <a:solidFill>
                                <a:srgbClr val="000000"/>
                              </a:solidFill>
                              <a:prstDash val="solid"/>
                              <a:round/>
                            </a:ln>
                          </wps:spPr>
                          <wps:bodyPr/>
                        </wps:wsp>
                        <wps:wsp>
                          <wps:cNvPr id="81" name="Line 854"/>
                          <wps:cNvCnPr>
                            <a:cxnSpLocks noChangeShapeType="1"/>
                          </wps:cNvCnPr>
                          <wps:spPr bwMode="auto">
                            <a:xfrm>
                              <a:off x="2908" y="2133"/>
                              <a:ext cx="0" cy="0"/>
                            </a:xfrm>
                            <a:prstGeom prst="line">
                              <a:avLst/>
                            </a:prstGeom>
                            <a:noFill/>
                            <a:ln w="5715">
                              <a:solidFill>
                                <a:srgbClr val="000000"/>
                              </a:solidFill>
                              <a:prstDash val="solid"/>
                              <a:round/>
                            </a:ln>
                          </wps:spPr>
                          <wps:bodyPr/>
                        </wps:wsp>
                        <wps:wsp>
                          <wps:cNvPr id="82" name="Freeform 855"/>
                          <wps:cNvSpPr/>
                          <wps:spPr bwMode="auto">
                            <a:xfrm>
                              <a:off x="1078" y="1085"/>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83" name="Freeform 856"/>
                          <wps:cNvSpPr/>
                          <wps:spPr bwMode="auto">
                            <a:xfrm>
                              <a:off x="977" y="1030"/>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84" name="Freeform 857"/>
                          <wps:cNvSpPr/>
                          <wps:spPr bwMode="auto">
                            <a:xfrm>
                              <a:off x="874" y="1037"/>
                              <a:ext cx="71" cy="42"/>
                            </a:xfrm>
                            <a:custGeom>
                              <a:avLst/>
                              <a:gdLst>
                                <a:gd name="T0" fmla="*/ 71 w 71"/>
                                <a:gd name="T1" fmla="*/ 0 h 42"/>
                                <a:gd name="T2" fmla="*/ 32 w 71"/>
                                <a:gd name="T3" fmla="*/ 10 h 42"/>
                                <a:gd name="T4" fmla="*/ 0 w 71"/>
                                <a:gd name="T5" fmla="*/ 42 h 42"/>
                              </a:gdLst>
                              <a:ahLst/>
                              <a:cxnLst>
                                <a:cxn ang="0">
                                  <a:pos x="T0" y="T1"/>
                                </a:cxn>
                                <a:cxn ang="0">
                                  <a:pos x="T2" y="T3"/>
                                </a:cxn>
                                <a:cxn ang="0">
                                  <a:pos x="T4" y="T5"/>
                                </a:cxn>
                              </a:cxnLst>
                              <a:rect l="0" t="0" r="r" b="b"/>
                              <a:pathLst>
                                <a:path w="71" h="42">
                                  <a:moveTo>
                                    <a:pt x="71"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85" name="Freeform 858"/>
                          <wps:cNvSpPr/>
                          <wps:spPr bwMode="auto">
                            <a:xfrm>
                              <a:off x="839" y="1106"/>
                              <a:ext cx="16" cy="82"/>
                            </a:xfrm>
                            <a:custGeom>
                              <a:avLst/>
                              <a:gdLst>
                                <a:gd name="T0" fmla="*/ 16 w 16"/>
                                <a:gd name="T1" fmla="*/ 0 h 82"/>
                                <a:gd name="T2" fmla="*/ 0 w 16"/>
                                <a:gd name="T3" fmla="*/ 57 h 82"/>
                                <a:gd name="T4" fmla="*/ 7 w 16"/>
                                <a:gd name="T5" fmla="*/ 82 h 82"/>
                              </a:gdLst>
                              <a:ahLst/>
                              <a:cxnLst>
                                <a:cxn ang="0">
                                  <a:pos x="T0" y="T1"/>
                                </a:cxn>
                                <a:cxn ang="0">
                                  <a:pos x="T2" y="T3"/>
                                </a:cxn>
                                <a:cxn ang="0">
                                  <a:pos x="T4" y="T5"/>
                                </a:cxn>
                              </a:cxnLst>
                              <a:rect l="0" t="0" r="r" b="b"/>
                              <a:pathLst>
                                <a:path w="16" h="82">
                                  <a:moveTo>
                                    <a:pt x="16" y="0"/>
                                  </a:moveTo>
                                  <a:lnTo>
                                    <a:pt x="0" y="57"/>
                                  </a:lnTo>
                                  <a:lnTo>
                                    <a:pt x="7"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86" name="Freeform 859"/>
                          <wps:cNvSpPr/>
                          <wps:spPr bwMode="auto">
                            <a:xfrm>
                              <a:off x="855" y="1220"/>
                              <a:ext cx="57" cy="60"/>
                            </a:xfrm>
                            <a:custGeom>
                              <a:avLst/>
                              <a:gdLst>
                                <a:gd name="T0" fmla="*/ 0 w 57"/>
                                <a:gd name="T1" fmla="*/ 0 h 60"/>
                                <a:gd name="T2" fmla="*/ 2 w 57"/>
                                <a:gd name="T3" fmla="*/ 10 h 60"/>
                                <a:gd name="T4" fmla="*/ 51 w 57"/>
                                <a:gd name="T5" fmla="*/ 59 h 60"/>
                                <a:gd name="T6" fmla="*/ 57 w 57"/>
                                <a:gd name="T7" fmla="*/ 60 h 60"/>
                              </a:gdLst>
                              <a:ahLst/>
                              <a:cxnLst>
                                <a:cxn ang="0">
                                  <a:pos x="T0" y="T1"/>
                                </a:cxn>
                                <a:cxn ang="0">
                                  <a:pos x="T2" y="T3"/>
                                </a:cxn>
                                <a:cxn ang="0">
                                  <a:pos x="T4" y="T5"/>
                                </a:cxn>
                                <a:cxn ang="0">
                                  <a:pos x="T6" y="T7"/>
                                </a:cxn>
                              </a:cxnLst>
                              <a:rect l="0" t="0" r="r" b="b"/>
                              <a:pathLst>
                                <a:path w="57" h="60">
                                  <a:moveTo>
                                    <a:pt x="0" y="0"/>
                                  </a:moveTo>
                                  <a:lnTo>
                                    <a:pt x="2" y="10"/>
                                  </a:lnTo>
                                  <a:lnTo>
                                    <a:pt x="51" y="59"/>
                                  </a:lnTo>
                                  <a:lnTo>
                                    <a:pt x="57" y="60"/>
                                  </a:lnTo>
                                </a:path>
                              </a:pathLst>
                            </a:custGeom>
                            <a:noFill/>
                            <a:ln w="5715">
                              <a:solidFill>
                                <a:srgbClr val="000000"/>
                              </a:solidFill>
                              <a:prstDash val="solid"/>
                              <a:round/>
                            </a:ln>
                          </wps:spPr>
                          <wps:bodyPr rot="0" vert="horz" wrap="square" lIns="91440" tIns="45720" rIns="91440" bIns="45720" anchor="t" anchorCtr="0" upright="1">
                            <a:noAutofit/>
                          </wps:bodyPr>
                        </wps:wsp>
                        <wps:wsp>
                          <wps:cNvPr id="87" name="Freeform 860"/>
                          <wps:cNvSpPr/>
                          <wps:spPr bwMode="auto">
                            <a:xfrm>
                              <a:off x="945" y="1283"/>
                              <a:ext cx="82" cy="14"/>
                            </a:xfrm>
                            <a:custGeom>
                              <a:avLst/>
                              <a:gdLst>
                                <a:gd name="T0" fmla="*/ 0 w 82"/>
                                <a:gd name="T1" fmla="*/ 6 h 14"/>
                                <a:gd name="T2" fmla="*/ 28 w 82"/>
                                <a:gd name="T3" fmla="*/ 14 h 14"/>
                                <a:gd name="T4" fmla="*/ 82 w 82"/>
                                <a:gd name="T5" fmla="*/ 0 h 14"/>
                              </a:gdLst>
                              <a:ahLst/>
                              <a:cxnLst>
                                <a:cxn ang="0">
                                  <a:pos x="T0" y="T1"/>
                                </a:cxn>
                                <a:cxn ang="0">
                                  <a:pos x="T2" y="T3"/>
                                </a:cxn>
                                <a:cxn ang="0">
                                  <a:pos x="T4" y="T5"/>
                                </a:cxn>
                              </a:cxnLst>
                              <a:rect l="0" t="0" r="r" b="b"/>
                              <a:pathLst>
                                <a:path w="82" h="14">
                                  <a:moveTo>
                                    <a:pt x="0" y="6"/>
                                  </a:moveTo>
                                  <a:lnTo>
                                    <a:pt x="28"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88" name="Freeform 861"/>
                          <wps:cNvSpPr/>
                          <wps:spPr bwMode="auto">
                            <a:xfrm>
                              <a:off x="1054" y="1196"/>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89" name="Line 862"/>
                          <wps:cNvCnPr>
                            <a:cxnSpLocks noChangeShapeType="1"/>
                          </wps:cNvCnPr>
                          <wps:spPr bwMode="auto">
                            <a:xfrm>
                              <a:off x="1107" y="1163"/>
                              <a:ext cx="0" cy="0"/>
                            </a:xfrm>
                            <a:prstGeom prst="line">
                              <a:avLst/>
                            </a:prstGeom>
                            <a:noFill/>
                            <a:ln w="5715">
                              <a:solidFill>
                                <a:srgbClr val="000000"/>
                              </a:solidFill>
                              <a:prstDash val="solid"/>
                              <a:round/>
                            </a:ln>
                          </wps:spPr>
                          <wps:bodyPr/>
                        </wps:wsp>
                        <wps:wsp>
                          <wps:cNvPr id="90" name="Line 863"/>
                          <wps:cNvCnPr>
                            <a:cxnSpLocks noChangeShapeType="1"/>
                          </wps:cNvCnPr>
                          <wps:spPr bwMode="auto">
                            <a:xfrm>
                              <a:off x="892" y="1616"/>
                              <a:ext cx="452" cy="0"/>
                            </a:xfrm>
                            <a:prstGeom prst="line">
                              <a:avLst/>
                            </a:prstGeom>
                            <a:noFill/>
                            <a:ln w="5715">
                              <a:solidFill>
                                <a:srgbClr val="000000"/>
                              </a:solidFill>
                              <a:prstDash val="solid"/>
                              <a:round/>
                            </a:ln>
                          </wps:spPr>
                          <wps:bodyPr/>
                        </wps:wsp>
                        <wps:wsp>
                          <wps:cNvPr id="91" name="Line 864"/>
                          <wps:cNvCnPr>
                            <a:cxnSpLocks noChangeShapeType="1"/>
                          </wps:cNvCnPr>
                          <wps:spPr bwMode="auto">
                            <a:xfrm>
                              <a:off x="817" y="1728"/>
                              <a:ext cx="527" cy="0"/>
                            </a:xfrm>
                            <a:prstGeom prst="line">
                              <a:avLst/>
                            </a:prstGeom>
                            <a:noFill/>
                            <a:ln w="5715">
                              <a:solidFill>
                                <a:srgbClr val="000000"/>
                              </a:solidFill>
                              <a:prstDash val="solid"/>
                              <a:round/>
                            </a:ln>
                          </wps:spPr>
                          <wps:bodyPr/>
                        </wps:wsp>
                        <wps:wsp>
                          <wps:cNvPr id="92" name="Freeform 865"/>
                          <wps:cNvSpPr/>
                          <wps:spPr bwMode="auto">
                            <a:xfrm>
                              <a:off x="460" y="1130"/>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93" name="Freeform 866"/>
                          <wps:cNvSpPr/>
                          <wps:spPr bwMode="auto">
                            <a:xfrm>
                              <a:off x="359" y="1075"/>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94" name="Freeform 867"/>
                          <wps:cNvSpPr/>
                          <wps:spPr bwMode="auto">
                            <a:xfrm>
                              <a:off x="256" y="1082"/>
                              <a:ext cx="70" cy="42"/>
                            </a:xfrm>
                            <a:custGeom>
                              <a:avLst/>
                              <a:gdLst>
                                <a:gd name="T0" fmla="*/ 70 w 70"/>
                                <a:gd name="T1" fmla="*/ 0 h 42"/>
                                <a:gd name="T2" fmla="*/ 32 w 70"/>
                                <a:gd name="T3" fmla="*/ 10 h 42"/>
                                <a:gd name="T4" fmla="*/ 0 w 70"/>
                                <a:gd name="T5" fmla="*/ 42 h 42"/>
                              </a:gdLst>
                              <a:ahLst/>
                              <a:cxnLst>
                                <a:cxn ang="0">
                                  <a:pos x="T0" y="T1"/>
                                </a:cxn>
                                <a:cxn ang="0">
                                  <a:pos x="T2" y="T3"/>
                                </a:cxn>
                                <a:cxn ang="0">
                                  <a:pos x="T4" y="T5"/>
                                </a:cxn>
                              </a:cxnLst>
                              <a:rect l="0" t="0" r="r" b="b"/>
                              <a:pathLst>
                                <a:path w="70" h="42">
                                  <a:moveTo>
                                    <a:pt x="70"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96" name="Freeform 868"/>
                          <wps:cNvSpPr/>
                          <wps:spPr bwMode="auto">
                            <a:xfrm>
                              <a:off x="221" y="1151"/>
                              <a:ext cx="15" cy="82"/>
                            </a:xfrm>
                            <a:custGeom>
                              <a:avLst/>
                              <a:gdLst>
                                <a:gd name="T0" fmla="*/ 15 w 15"/>
                                <a:gd name="T1" fmla="*/ 0 h 82"/>
                                <a:gd name="T2" fmla="*/ 0 w 15"/>
                                <a:gd name="T3" fmla="*/ 57 h 82"/>
                                <a:gd name="T4" fmla="*/ 6 w 15"/>
                                <a:gd name="T5" fmla="*/ 82 h 82"/>
                              </a:gdLst>
                              <a:ahLst/>
                              <a:cxnLst>
                                <a:cxn ang="0">
                                  <a:pos x="T0" y="T1"/>
                                </a:cxn>
                                <a:cxn ang="0">
                                  <a:pos x="T2" y="T3"/>
                                </a:cxn>
                                <a:cxn ang="0">
                                  <a:pos x="T4" y="T5"/>
                                </a:cxn>
                              </a:cxnLst>
                              <a:rect l="0" t="0" r="r" b="b"/>
                              <a:pathLst>
                                <a:path w="15" h="82">
                                  <a:moveTo>
                                    <a:pt x="15" y="0"/>
                                  </a:moveTo>
                                  <a:lnTo>
                                    <a:pt x="0" y="57"/>
                                  </a:lnTo>
                                  <a:lnTo>
                                    <a:pt x="6" y="82"/>
                                  </a:lnTo>
                                </a:path>
                              </a:pathLst>
                            </a:custGeom>
                            <a:noFill/>
                            <a:ln w="5715">
                              <a:solidFill>
                                <a:srgbClr val="000000"/>
                              </a:solidFill>
                              <a:prstDash val="solid"/>
                              <a:round/>
                            </a:ln>
                          </wps:spPr>
                          <wps:bodyPr rot="0" vert="horz" wrap="square" lIns="91440" tIns="45720" rIns="91440" bIns="45720" anchor="t" anchorCtr="0" upright="1">
                            <a:noAutofit/>
                          </wps:bodyPr>
                        </wps:wsp>
                        <wps:wsp>
                          <wps:cNvPr id="97" name="Freeform 869"/>
                          <wps:cNvSpPr/>
                          <wps:spPr bwMode="auto">
                            <a:xfrm>
                              <a:off x="236" y="1266"/>
                              <a:ext cx="57" cy="60"/>
                            </a:xfrm>
                            <a:custGeom>
                              <a:avLst/>
                              <a:gdLst>
                                <a:gd name="T0" fmla="*/ 0 w 57"/>
                                <a:gd name="T1" fmla="*/ 0 h 60"/>
                                <a:gd name="T2" fmla="*/ 3 w 57"/>
                                <a:gd name="T3" fmla="*/ 9 h 60"/>
                                <a:gd name="T4" fmla="*/ 52 w 57"/>
                                <a:gd name="T5" fmla="*/ 58 h 60"/>
                                <a:gd name="T6" fmla="*/ 57 w 57"/>
                                <a:gd name="T7" fmla="*/ 60 h 60"/>
                              </a:gdLst>
                              <a:ahLst/>
                              <a:cxnLst>
                                <a:cxn ang="0">
                                  <a:pos x="T0" y="T1"/>
                                </a:cxn>
                                <a:cxn ang="0">
                                  <a:pos x="T2" y="T3"/>
                                </a:cxn>
                                <a:cxn ang="0">
                                  <a:pos x="T4" y="T5"/>
                                </a:cxn>
                                <a:cxn ang="0">
                                  <a:pos x="T6" y="T7"/>
                                </a:cxn>
                              </a:cxnLst>
                              <a:rect l="0" t="0" r="r" b="b"/>
                              <a:pathLst>
                                <a:path w="57" h="60">
                                  <a:moveTo>
                                    <a:pt x="0" y="0"/>
                                  </a:moveTo>
                                  <a:lnTo>
                                    <a:pt x="3" y="9"/>
                                  </a:lnTo>
                                  <a:lnTo>
                                    <a:pt x="52" y="58"/>
                                  </a:lnTo>
                                  <a:lnTo>
                                    <a:pt x="57" y="60"/>
                                  </a:lnTo>
                                </a:path>
                              </a:pathLst>
                            </a:custGeom>
                            <a:noFill/>
                            <a:ln w="5715">
                              <a:solidFill>
                                <a:srgbClr val="000000"/>
                              </a:solidFill>
                              <a:prstDash val="solid"/>
                              <a:round/>
                            </a:ln>
                          </wps:spPr>
                          <wps:bodyPr rot="0" vert="horz" wrap="square" lIns="91440" tIns="45720" rIns="91440" bIns="45720" anchor="t" anchorCtr="0" upright="1">
                            <a:noAutofit/>
                          </wps:bodyPr>
                        </wps:wsp>
                        <wps:wsp>
                          <wps:cNvPr id="98" name="Freeform 870"/>
                          <wps:cNvSpPr/>
                          <wps:spPr bwMode="auto">
                            <a:xfrm>
                              <a:off x="326" y="1328"/>
                              <a:ext cx="82" cy="14"/>
                            </a:xfrm>
                            <a:custGeom>
                              <a:avLst/>
                              <a:gdLst>
                                <a:gd name="T0" fmla="*/ 0 w 82"/>
                                <a:gd name="T1" fmla="*/ 7 h 14"/>
                                <a:gd name="T2" fmla="*/ 29 w 82"/>
                                <a:gd name="T3" fmla="*/ 14 h 14"/>
                                <a:gd name="T4" fmla="*/ 82 w 82"/>
                                <a:gd name="T5" fmla="*/ 0 h 14"/>
                              </a:gdLst>
                              <a:ahLst/>
                              <a:cxnLst>
                                <a:cxn ang="0">
                                  <a:pos x="T0" y="T1"/>
                                </a:cxn>
                                <a:cxn ang="0">
                                  <a:pos x="T2" y="T3"/>
                                </a:cxn>
                                <a:cxn ang="0">
                                  <a:pos x="T4" y="T5"/>
                                </a:cxn>
                              </a:cxnLst>
                              <a:rect l="0" t="0" r="r" b="b"/>
                              <a:pathLst>
                                <a:path w="82" h="14">
                                  <a:moveTo>
                                    <a:pt x="0" y="7"/>
                                  </a:moveTo>
                                  <a:lnTo>
                                    <a:pt x="29"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99" name="Freeform 871"/>
                          <wps:cNvSpPr/>
                          <wps:spPr bwMode="auto">
                            <a:xfrm>
                              <a:off x="436" y="1241"/>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00" name="Line 872"/>
                          <wps:cNvCnPr>
                            <a:cxnSpLocks noChangeShapeType="1"/>
                          </wps:cNvCnPr>
                          <wps:spPr bwMode="auto">
                            <a:xfrm>
                              <a:off x="489" y="1208"/>
                              <a:ext cx="0" cy="0"/>
                            </a:xfrm>
                            <a:prstGeom prst="line">
                              <a:avLst/>
                            </a:prstGeom>
                            <a:noFill/>
                            <a:ln w="5715">
                              <a:solidFill>
                                <a:srgbClr val="000000"/>
                              </a:solidFill>
                              <a:prstDash val="solid"/>
                              <a:round/>
                            </a:ln>
                          </wps:spPr>
                          <wps:bodyPr/>
                        </wps:wsp>
                        <wps:wsp>
                          <wps:cNvPr id="101" name="Line 873"/>
                          <wps:cNvCnPr>
                            <a:cxnSpLocks noChangeShapeType="1"/>
                          </wps:cNvCnPr>
                          <wps:spPr bwMode="auto">
                            <a:xfrm>
                              <a:off x="549" y="1460"/>
                              <a:ext cx="61" cy="0"/>
                            </a:xfrm>
                            <a:prstGeom prst="line">
                              <a:avLst/>
                            </a:prstGeom>
                            <a:noFill/>
                            <a:ln w="5715">
                              <a:solidFill>
                                <a:srgbClr val="000000"/>
                              </a:solidFill>
                              <a:prstDash val="solid"/>
                              <a:round/>
                            </a:ln>
                          </wps:spPr>
                          <wps:bodyPr/>
                        </wps:wsp>
                        <wps:wsp>
                          <wps:cNvPr id="102" name="Line 874"/>
                          <wps:cNvCnPr>
                            <a:cxnSpLocks noChangeShapeType="1"/>
                          </wps:cNvCnPr>
                          <wps:spPr bwMode="auto">
                            <a:xfrm>
                              <a:off x="643" y="1460"/>
                              <a:ext cx="81" cy="0"/>
                            </a:xfrm>
                            <a:prstGeom prst="line">
                              <a:avLst/>
                            </a:prstGeom>
                            <a:noFill/>
                            <a:ln w="5715">
                              <a:solidFill>
                                <a:srgbClr val="000000"/>
                              </a:solidFill>
                              <a:prstDash val="solid"/>
                              <a:round/>
                            </a:ln>
                          </wps:spPr>
                          <wps:bodyPr/>
                        </wps:wsp>
                        <wps:wsp>
                          <wps:cNvPr id="103" name="Line 875"/>
                          <wps:cNvCnPr>
                            <a:cxnSpLocks noChangeShapeType="1"/>
                          </wps:cNvCnPr>
                          <wps:spPr bwMode="auto">
                            <a:xfrm>
                              <a:off x="756" y="1460"/>
                              <a:ext cx="61" cy="0"/>
                            </a:xfrm>
                            <a:prstGeom prst="line">
                              <a:avLst/>
                            </a:prstGeom>
                            <a:noFill/>
                            <a:ln w="5715">
                              <a:solidFill>
                                <a:srgbClr val="000000"/>
                              </a:solidFill>
                              <a:prstDash val="solid"/>
                              <a:round/>
                            </a:ln>
                          </wps:spPr>
                          <wps:bodyPr/>
                        </wps:wsp>
                        <wps:wsp>
                          <wps:cNvPr id="104" name="Line 876"/>
                          <wps:cNvCnPr>
                            <a:cxnSpLocks noChangeShapeType="1"/>
                          </wps:cNvCnPr>
                          <wps:spPr bwMode="auto">
                            <a:xfrm>
                              <a:off x="549" y="1728"/>
                              <a:ext cx="61" cy="0"/>
                            </a:xfrm>
                            <a:prstGeom prst="line">
                              <a:avLst/>
                            </a:prstGeom>
                            <a:noFill/>
                            <a:ln w="5715">
                              <a:solidFill>
                                <a:srgbClr val="000000"/>
                              </a:solidFill>
                              <a:prstDash val="solid"/>
                              <a:round/>
                            </a:ln>
                          </wps:spPr>
                          <wps:bodyPr/>
                        </wps:wsp>
                        <wps:wsp>
                          <wps:cNvPr id="105" name="Line 877"/>
                          <wps:cNvCnPr>
                            <a:cxnSpLocks noChangeShapeType="1"/>
                          </wps:cNvCnPr>
                          <wps:spPr bwMode="auto">
                            <a:xfrm>
                              <a:off x="643" y="1728"/>
                              <a:ext cx="81" cy="0"/>
                            </a:xfrm>
                            <a:prstGeom prst="line">
                              <a:avLst/>
                            </a:prstGeom>
                            <a:noFill/>
                            <a:ln w="5715">
                              <a:solidFill>
                                <a:srgbClr val="000000"/>
                              </a:solidFill>
                              <a:prstDash val="solid"/>
                              <a:round/>
                            </a:ln>
                          </wps:spPr>
                          <wps:bodyPr/>
                        </wps:wsp>
                        <wps:wsp>
                          <wps:cNvPr id="106" name="Line 878"/>
                          <wps:cNvCnPr>
                            <a:cxnSpLocks noChangeShapeType="1"/>
                          </wps:cNvCnPr>
                          <wps:spPr bwMode="auto">
                            <a:xfrm>
                              <a:off x="756" y="1728"/>
                              <a:ext cx="61" cy="0"/>
                            </a:xfrm>
                            <a:prstGeom prst="line">
                              <a:avLst/>
                            </a:prstGeom>
                            <a:noFill/>
                            <a:ln w="5715">
                              <a:solidFill>
                                <a:srgbClr val="000000"/>
                              </a:solidFill>
                              <a:prstDash val="solid"/>
                              <a:round/>
                            </a:ln>
                          </wps:spPr>
                          <wps:bodyPr/>
                        </wps:wsp>
                        <wps:wsp>
                          <wps:cNvPr id="107" name="Line 879"/>
                          <wps:cNvCnPr>
                            <a:cxnSpLocks noChangeShapeType="1"/>
                          </wps:cNvCnPr>
                          <wps:spPr bwMode="auto">
                            <a:xfrm>
                              <a:off x="549" y="1460"/>
                              <a:ext cx="0" cy="61"/>
                            </a:xfrm>
                            <a:prstGeom prst="line">
                              <a:avLst/>
                            </a:prstGeom>
                            <a:noFill/>
                            <a:ln w="5715">
                              <a:solidFill>
                                <a:srgbClr val="000000"/>
                              </a:solidFill>
                              <a:prstDash val="solid"/>
                              <a:round/>
                            </a:ln>
                          </wps:spPr>
                          <wps:bodyPr/>
                        </wps:wsp>
                        <wps:wsp>
                          <wps:cNvPr id="108" name="Line 880"/>
                          <wps:cNvCnPr>
                            <a:cxnSpLocks noChangeShapeType="1"/>
                          </wps:cNvCnPr>
                          <wps:spPr bwMode="auto">
                            <a:xfrm>
                              <a:off x="549" y="1553"/>
                              <a:ext cx="0" cy="82"/>
                            </a:xfrm>
                            <a:prstGeom prst="line">
                              <a:avLst/>
                            </a:prstGeom>
                            <a:noFill/>
                            <a:ln w="5715">
                              <a:solidFill>
                                <a:srgbClr val="000000"/>
                              </a:solidFill>
                              <a:prstDash val="solid"/>
                              <a:round/>
                            </a:ln>
                          </wps:spPr>
                          <wps:bodyPr/>
                        </wps:wsp>
                        <wps:wsp>
                          <wps:cNvPr id="109" name="Line 881"/>
                          <wps:cNvCnPr>
                            <a:cxnSpLocks noChangeShapeType="1"/>
                          </wps:cNvCnPr>
                          <wps:spPr bwMode="auto">
                            <a:xfrm>
                              <a:off x="549" y="1667"/>
                              <a:ext cx="0" cy="61"/>
                            </a:xfrm>
                            <a:prstGeom prst="line">
                              <a:avLst/>
                            </a:prstGeom>
                            <a:noFill/>
                            <a:ln w="5715">
                              <a:solidFill>
                                <a:srgbClr val="000000"/>
                              </a:solidFill>
                              <a:prstDash val="solid"/>
                              <a:round/>
                            </a:ln>
                          </wps:spPr>
                          <wps:bodyPr/>
                        </wps:wsp>
                        <wps:wsp>
                          <wps:cNvPr id="110" name="Line 882"/>
                          <wps:cNvCnPr>
                            <a:cxnSpLocks noChangeShapeType="1"/>
                          </wps:cNvCnPr>
                          <wps:spPr bwMode="auto">
                            <a:xfrm>
                              <a:off x="817" y="1460"/>
                              <a:ext cx="0" cy="61"/>
                            </a:xfrm>
                            <a:prstGeom prst="line">
                              <a:avLst/>
                            </a:prstGeom>
                            <a:noFill/>
                            <a:ln w="5715">
                              <a:solidFill>
                                <a:srgbClr val="000000"/>
                              </a:solidFill>
                              <a:prstDash val="solid"/>
                              <a:round/>
                            </a:ln>
                          </wps:spPr>
                          <wps:bodyPr/>
                        </wps:wsp>
                        <wps:wsp>
                          <wps:cNvPr id="111" name="Line 883"/>
                          <wps:cNvCnPr>
                            <a:cxnSpLocks noChangeShapeType="1"/>
                          </wps:cNvCnPr>
                          <wps:spPr bwMode="auto">
                            <a:xfrm>
                              <a:off x="817" y="1553"/>
                              <a:ext cx="0" cy="82"/>
                            </a:xfrm>
                            <a:prstGeom prst="line">
                              <a:avLst/>
                            </a:prstGeom>
                            <a:noFill/>
                            <a:ln w="5715">
                              <a:solidFill>
                                <a:srgbClr val="000000"/>
                              </a:solidFill>
                              <a:prstDash val="solid"/>
                              <a:round/>
                            </a:ln>
                          </wps:spPr>
                          <wps:bodyPr/>
                        </wps:wsp>
                        <wps:wsp>
                          <wps:cNvPr id="112" name="Line 884"/>
                          <wps:cNvCnPr>
                            <a:cxnSpLocks noChangeShapeType="1"/>
                          </wps:cNvCnPr>
                          <wps:spPr bwMode="auto">
                            <a:xfrm>
                              <a:off x="817" y="1667"/>
                              <a:ext cx="0" cy="61"/>
                            </a:xfrm>
                            <a:prstGeom prst="line">
                              <a:avLst/>
                            </a:prstGeom>
                            <a:noFill/>
                            <a:ln w="5715">
                              <a:solidFill>
                                <a:srgbClr val="000000"/>
                              </a:solidFill>
                              <a:prstDash val="solid"/>
                              <a:round/>
                            </a:ln>
                          </wps:spPr>
                          <wps:bodyPr/>
                        </wps:wsp>
                        <wps:wsp>
                          <wps:cNvPr id="113" name="Line 885"/>
                          <wps:cNvCnPr>
                            <a:cxnSpLocks noChangeShapeType="1"/>
                          </wps:cNvCnPr>
                          <wps:spPr bwMode="auto">
                            <a:xfrm>
                              <a:off x="2125" y="1499"/>
                              <a:ext cx="61" cy="0"/>
                            </a:xfrm>
                            <a:prstGeom prst="line">
                              <a:avLst/>
                            </a:prstGeom>
                            <a:noFill/>
                            <a:ln w="5715">
                              <a:solidFill>
                                <a:srgbClr val="000000"/>
                              </a:solidFill>
                              <a:prstDash val="solid"/>
                              <a:round/>
                            </a:ln>
                          </wps:spPr>
                          <wps:bodyPr/>
                        </wps:wsp>
                        <wps:wsp>
                          <wps:cNvPr id="114" name="Line 886"/>
                          <wps:cNvCnPr>
                            <a:cxnSpLocks noChangeShapeType="1"/>
                          </wps:cNvCnPr>
                          <wps:spPr bwMode="auto">
                            <a:xfrm>
                              <a:off x="2219" y="1499"/>
                              <a:ext cx="81" cy="0"/>
                            </a:xfrm>
                            <a:prstGeom prst="line">
                              <a:avLst/>
                            </a:prstGeom>
                            <a:noFill/>
                            <a:ln w="5715">
                              <a:solidFill>
                                <a:srgbClr val="000000"/>
                              </a:solidFill>
                              <a:prstDash val="solid"/>
                              <a:round/>
                            </a:ln>
                          </wps:spPr>
                          <wps:bodyPr/>
                        </wps:wsp>
                        <wps:wsp>
                          <wps:cNvPr id="115" name="Line 887"/>
                          <wps:cNvCnPr>
                            <a:cxnSpLocks noChangeShapeType="1"/>
                          </wps:cNvCnPr>
                          <wps:spPr bwMode="auto">
                            <a:xfrm>
                              <a:off x="2333" y="1499"/>
                              <a:ext cx="60" cy="0"/>
                            </a:xfrm>
                            <a:prstGeom prst="line">
                              <a:avLst/>
                            </a:prstGeom>
                            <a:noFill/>
                            <a:ln w="5715">
                              <a:solidFill>
                                <a:srgbClr val="000000"/>
                              </a:solidFill>
                              <a:prstDash val="solid"/>
                              <a:round/>
                            </a:ln>
                          </wps:spPr>
                          <wps:bodyPr/>
                        </wps:wsp>
                        <wps:wsp>
                          <wps:cNvPr id="116" name="Line 888"/>
                          <wps:cNvCnPr>
                            <a:cxnSpLocks noChangeShapeType="1"/>
                          </wps:cNvCnPr>
                          <wps:spPr bwMode="auto">
                            <a:xfrm>
                              <a:off x="2125" y="1767"/>
                              <a:ext cx="61" cy="0"/>
                            </a:xfrm>
                            <a:prstGeom prst="line">
                              <a:avLst/>
                            </a:prstGeom>
                            <a:noFill/>
                            <a:ln w="5715">
                              <a:solidFill>
                                <a:srgbClr val="000000"/>
                              </a:solidFill>
                              <a:prstDash val="solid"/>
                              <a:round/>
                            </a:ln>
                          </wps:spPr>
                          <wps:bodyPr/>
                        </wps:wsp>
                        <wps:wsp>
                          <wps:cNvPr id="117" name="Line 889"/>
                          <wps:cNvCnPr>
                            <a:cxnSpLocks noChangeShapeType="1"/>
                          </wps:cNvCnPr>
                          <wps:spPr bwMode="auto">
                            <a:xfrm>
                              <a:off x="2219" y="1767"/>
                              <a:ext cx="81" cy="0"/>
                            </a:xfrm>
                            <a:prstGeom prst="line">
                              <a:avLst/>
                            </a:prstGeom>
                            <a:noFill/>
                            <a:ln w="5715">
                              <a:solidFill>
                                <a:srgbClr val="000000"/>
                              </a:solidFill>
                              <a:prstDash val="solid"/>
                              <a:round/>
                            </a:ln>
                          </wps:spPr>
                          <wps:bodyPr/>
                        </wps:wsp>
                        <wps:wsp>
                          <wps:cNvPr id="118" name="Line 890"/>
                          <wps:cNvCnPr>
                            <a:cxnSpLocks noChangeShapeType="1"/>
                          </wps:cNvCnPr>
                          <wps:spPr bwMode="auto">
                            <a:xfrm>
                              <a:off x="2333" y="1767"/>
                              <a:ext cx="60" cy="0"/>
                            </a:xfrm>
                            <a:prstGeom prst="line">
                              <a:avLst/>
                            </a:prstGeom>
                            <a:noFill/>
                            <a:ln w="5715">
                              <a:solidFill>
                                <a:srgbClr val="000000"/>
                              </a:solidFill>
                              <a:prstDash val="solid"/>
                              <a:round/>
                            </a:ln>
                          </wps:spPr>
                          <wps:bodyPr/>
                        </wps:wsp>
                        <wps:wsp>
                          <wps:cNvPr id="119" name="Line 891"/>
                          <wps:cNvCnPr>
                            <a:cxnSpLocks noChangeShapeType="1"/>
                          </wps:cNvCnPr>
                          <wps:spPr bwMode="auto">
                            <a:xfrm flipV="1">
                              <a:off x="2106" y="804"/>
                              <a:ext cx="259" cy="1"/>
                            </a:xfrm>
                            <a:prstGeom prst="line">
                              <a:avLst/>
                            </a:prstGeom>
                            <a:noFill/>
                            <a:ln w="5715">
                              <a:solidFill>
                                <a:srgbClr val="000000"/>
                              </a:solidFill>
                              <a:prstDash val="solid"/>
                              <a:round/>
                            </a:ln>
                          </wps:spPr>
                          <wps:bodyPr/>
                        </wps:wsp>
                        <wps:wsp>
                          <wps:cNvPr id="120" name="Line 892"/>
                          <wps:cNvCnPr>
                            <a:cxnSpLocks noChangeShapeType="1"/>
                          </wps:cNvCnPr>
                          <wps:spPr bwMode="auto">
                            <a:xfrm>
                              <a:off x="2360" y="1724"/>
                              <a:ext cx="513" cy="0"/>
                            </a:xfrm>
                            <a:prstGeom prst="line">
                              <a:avLst/>
                            </a:prstGeom>
                            <a:noFill/>
                            <a:ln w="5715">
                              <a:solidFill>
                                <a:srgbClr val="000000"/>
                              </a:solidFill>
                              <a:prstDash val="solid"/>
                              <a:round/>
                            </a:ln>
                          </wps:spPr>
                          <wps:bodyPr/>
                        </wps:wsp>
                        <wps:wsp>
                          <wps:cNvPr id="121" name="Freeform 893"/>
                          <wps:cNvSpPr/>
                          <wps:spPr bwMode="auto">
                            <a:xfrm>
                              <a:off x="2322" y="1017"/>
                              <a:ext cx="29" cy="78"/>
                            </a:xfrm>
                            <a:custGeom>
                              <a:avLst/>
                              <a:gdLst>
                                <a:gd name="T0" fmla="*/ 29 w 29"/>
                                <a:gd name="T1" fmla="*/ 78 h 78"/>
                                <a:gd name="T2" fmla="*/ 11 w 29"/>
                                <a:gd name="T3" fmla="*/ 11 h 78"/>
                                <a:gd name="T4" fmla="*/ 0 w 29"/>
                                <a:gd name="T5" fmla="*/ 0 h 78"/>
                              </a:gdLst>
                              <a:ahLst/>
                              <a:cxnLst>
                                <a:cxn ang="0">
                                  <a:pos x="T0" y="T1"/>
                                </a:cxn>
                                <a:cxn ang="0">
                                  <a:pos x="T2" y="T3"/>
                                </a:cxn>
                                <a:cxn ang="0">
                                  <a:pos x="T4" y="T5"/>
                                </a:cxn>
                              </a:cxnLst>
                              <a:rect l="0" t="0" r="r" b="b"/>
                              <a:pathLst>
                                <a:path w="29" h="78">
                                  <a:moveTo>
                                    <a:pt x="29" y="78"/>
                                  </a:moveTo>
                                  <a:lnTo>
                                    <a:pt x="11" y="11"/>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2" name="Freeform 894"/>
                          <wps:cNvSpPr/>
                          <wps:spPr bwMode="auto">
                            <a:xfrm>
                              <a:off x="2221" y="962"/>
                              <a:ext cx="77" cy="31"/>
                            </a:xfrm>
                            <a:custGeom>
                              <a:avLst/>
                              <a:gdLst>
                                <a:gd name="T0" fmla="*/ 77 w 77"/>
                                <a:gd name="T1" fmla="*/ 31 h 31"/>
                                <a:gd name="T2" fmla="*/ 63 w 77"/>
                                <a:gd name="T3" fmla="*/ 17 h 31"/>
                                <a:gd name="T4" fmla="*/ 0 w 77"/>
                                <a:gd name="T5" fmla="*/ 0 h 31"/>
                              </a:gdLst>
                              <a:ahLst/>
                              <a:cxnLst>
                                <a:cxn ang="0">
                                  <a:pos x="T0" y="T1"/>
                                </a:cxn>
                                <a:cxn ang="0">
                                  <a:pos x="T2" y="T3"/>
                                </a:cxn>
                                <a:cxn ang="0">
                                  <a:pos x="T4" y="T5"/>
                                </a:cxn>
                              </a:cxnLst>
                              <a:rect l="0" t="0" r="r" b="b"/>
                              <a:pathLst>
                                <a:path w="77" h="31">
                                  <a:moveTo>
                                    <a:pt x="77" y="31"/>
                                  </a:moveTo>
                                  <a:lnTo>
                                    <a:pt x="63" y="17"/>
                                  </a:lnTo>
                                  <a:lnTo>
                                    <a:pt x="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3" name="Freeform 895"/>
                          <wps:cNvSpPr/>
                          <wps:spPr bwMode="auto">
                            <a:xfrm>
                              <a:off x="2118" y="969"/>
                              <a:ext cx="70" cy="42"/>
                            </a:xfrm>
                            <a:custGeom>
                              <a:avLst/>
                              <a:gdLst>
                                <a:gd name="T0" fmla="*/ 70 w 70"/>
                                <a:gd name="T1" fmla="*/ 0 h 42"/>
                                <a:gd name="T2" fmla="*/ 32 w 70"/>
                                <a:gd name="T3" fmla="*/ 10 h 42"/>
                                <a:gd name="T4" fmla="*/ 0 w 70"/>
                                <a:gd name="T5" fmla="*/ 42 h 42"/>
                              </a:gdLst>
                              <a:ahLst/>
                              <a:cxnLst>
                                <a:cxn ang="0">
                                  <a:pos x="T0" y="T1"/>
                                </a:cxn>
                                <a:cxn ang="0">
                                  <a:pos x="T2" y="T3"/>
                                </a:cxn>
                                <a:cxn ang="0">
                                  <a:pos x="T4" y="T5"/>
                                </a:cxn>
                              </a:cxnLst>
                              <a:rect l="0" t="0" r="r" b="b"/>
                              <a:pathLst>
                                <a:path w="70" h="42">
                                  <a:moveTo>
                                    <a:pt x="70" y="0"/>
                                  </a:moveTo>
                                  <a:lnTo>
                                    <a:pt x="32" y="10"/>
                                  </a:lnTo>
                                  <a:lnTo>
                                    <a:pt x="0" y="42"/>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4" name="Freeform 896"/>
                          <wps:cNvSpPr/>
                          <wps:spPr bwMode="auto">
                            <a:xfrm>
                              <a:off x="2083" y="1038"/>
                              <a:ext cx="16" cy="81"/>
                            </a:xfrm>
                            <a:custGeom>
                              <a:avLst/>
                              <a:gdLst>
                                <a:gd name="T0" fmla="*/ 16 w 16"/>
                                <a:gd name="T1" fmla="*/ 0 h 81"/>
                                <a:gd name="T2" fmla="*/ 0 w 16"/>
                                <a:gd name="T3" fmla="*/ 57 h 81"/>
                                <a:gd name="T4" fmla="*/ 7 w 16"/>
                                <a:gd name="T5" fmla="*/ 81 h 81"/>
                              </a:gdLst>
                              <a:ahLst/>
                              <a:cxnLst>
                                <a:cxn ang="0">
                                  <a:pos x="T0" y="T1"/>
                                </a:cxn>
                                <a:cxn ang="0">
                                  <a:pos x="T2" y="T3"/>
                                </a:cxn>
                                <a:cxn ang="0">
                                  <a:pos x="T4" y="T5"/>
                                </a:cxn>
                              </a:cxnLst>
                              <a:rect l="0" t="0" r="r" b="b"/>
                              <a:pathLst>
                                <a:path w="16" h="81">
                                  <a:moveTo>
                                    <a:pt x="16" y="0"/>
                                  </a:moveTo>
                                  <a:lnTo>
                                    <a:pt x="0" y="57"/>
                                  </a:lnTo>
                                  <a:lnTo>
                                    <a:pt x="7" y="81"/>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5" name="Freeform 897"/>
                          <wps:cNvSpPr/>
                          <wps:spPr bwMode="auto">
                            <a:xfrm>
                              <a:off x="2099" y="1152"/>
                              <a:ext cx="56" cy="60"/>
                            </a:xfrm>
                            <a:custGeom>
                              <a:avLst/>
                              <a:gdLst>
                                <a:gd name="T0" fmla="*/ 0 w 56"/>
                                <a:gd name="T1" fmla="*/ 0 h 60"/>
                                <a:gd name="T2" fmla="*/ 2 w 56"/>
                                <a:gd name="T3" fmla="*/ 10 h 60"/>
                                <a:gd name="T4" fmla="*/ 51 w 56"/>
                                <a:gd name="T5" fmla="*/ 59 h 60"/>
                                <a:gd name="T6" fmla="*/ 56 w 56"/>
                                <a:gd name="T7" fmla="*/ 60 h 60"/>
                              </a:gdLst>
                              <a:ahLst/>
                              <a:cxnLst>
                                <a:cxn ang="0">
                                  <a:pos x="T0" y="T1"/>
                                </a:cxn>
                                <a:cxn ang="0">
                                  <a:pos x="T2" y="T3"/>
                                </a:cxn>
                                <a:cxn ang="0">
                                  <a:pos x="T4" y="T5"/>
                                </a:cxn>
                                <a:cxn ang="0">
                                  <a:pos x="T6" y="T7"/>
                                </a:cxn>
                              </a:cxnLst>
                              <a:rect l="0" t="0" r="r" b="b"/>
                              <a:pathLst>
                                <a:path w="56" h="60">
                                  <a:moveTo>
                                    <a:pt x="0" y="0"/>
                                  </a:moveTo>
                                  <a:lnTo>
                                    <a:pt x="2" y="10"/>
                                  </a:lnTo>
                                  <a:lnTo>
                                    <a:pt x="51" y="59"/>
                                  </a:lnTo>
                                  <a:lnTo>
                                    <a:pt x="56" y="6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6" name="Freeform 898"/>
                          <wps:cNvSpPr/>
                          <wps:spPr bwMode="auto">
                            <a:xfrm>
                              <a:off x="2188" y="1215"/>
                              <a:ext cx="82" cy="14"/>
                            </a:xfrm>
                            <a:custGeom>
                              <a:avLst/>
                              <a:gdLst>
                                <a:gd name="T0" fmla="*/ 0 w 82"/>
                                <a:gd name="T1" fmla="*/ 6 h 14"/>
                                <a:gd name="T2" fmla="*/ 29 w 82"/>
                                <a:gd name="T3" fmla="*/ 14 h 14"/>
                                <a:gd name="T4" fmla="*/ 82 w 82"/>
                                <a:gd name="T5" fmla="*/ 0 h 14"/>
                              </a:gdLst>
                              <a:ahLst/>
                              <a:cxnLst>
                                <a:cxn ang="0">
                                  <a:pos x="T0" y="T1"/>
                                </a:cxn>
                                <a:cxn ang="0">
                                  <a:pos x="T2" y="T3"/>
                                </a:cxn>
                                <a:cxn ang="0">
                                  <a:pos x="T4" y="T5"/>
                                </a:cxn>
                              </a:cxnLst>
                              <a:rect l="0" t="0" r="r" b="b"/>
                              <a:pathLst>
                                <a:path w="82" h="14">
                                  <a:moveTo>
                                    <a:pt x="0" y="6"/>
                                  </a:moveTo>
                                  <a:lnTo>
                                    <a:pt x="29" y="14"/>
                                  </a:lnTo>
                                  <a:lnTo>
                                    <a:pt x="82"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27" name="Freeform 899"/>
                          <wps:cNvSpPr/>
                          <wps:spPr bwMode="auto">
                            <a:xfrm>
                              <a:off x="2298" y="1128"/>
                              <a:ext cx="44" cy="69"/>
                            </a:xfrm>
                            <a:custGeom>
                              <a:avLst/>
                              <a:gdLst>
                                <a:gd name="T0" fmla="*/ 0 w 44"/>
                                <a:gd name="T1" fmla="*/ 69 h 69"/>
                                <a:gd name="T2" fmla="*/ 35 w 44"/>
                                <a:gd name="T3" fmla="*/ 34 h 69"/>
                                <a:gd name="T4" fmla="*/ 44 w 44"/>
                                <a:gd name="T5" fmla="*/ 0 h 69"/>
                              </a:gdLst>
                              <a:ahLst/>
                              <a:cxnLst>
                                <a:cxn ang="0">
                                  <a:pos x="T0" y="T1"/>
                                </a:cxn>
                                <a:cxn ang="0">
                                  <a:pos x="T2" y="T3"/>
                                </a:cxn>
                                <a:cxn ang="0">
                                  <a:pos x="T4" y="T5"/>
                                </a:cxn>
                              </a:cxnLst>
                              <a:rect l="0" t="0" r="r" b="b"/>
                              <a:pathLst>
                                <a:path w="44" h="69">
                                  <a:moveTo>
                                    <a:pt x="0" y="69"/>
                                  </a:moveTo>
                                  <a:lnTo>
                                    <a:pt x="35" y="34"/>
                                  </a:lnTo>
                                  <a:lnTo>
                                    <a:pt x="44"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192" name="Line 900"/>
                          <wps:cNvCnPr>
                            <a:cxnSpLocks noChangeShapeType="1"/>
                          </wps:cNvCnPr>
                          <wps:spPr bwMode="auto">
                            <a:xfrm>
                              <a:off x="2351" y="1095"/>
                              <a:ext cx="0" cy="0"/>
                            </a:xfrm>
                            <a:prstGeom prst="line">
                              <a:avLst/>
                            </a:prstGeom>
                            <a:noFill/>
                            <a:ln w="5715">
                              <a:solidFill>
                                <a:srgbClr val="000000"/>
                              </a:solidFill>
                              <a:prstDash val="solid"/>
                              <a:round/>
                            </a:ln>
                          </wps:spPr>
                          <wps:bodyPr/>
                        </wps:wsp>
                        <wps:wsp>
                          <wps:cNvPr id="193" name="Line 901"/>
                          <wps:cNvCnPr>
                            <a:cxnSpLocks noChangeShapeType="1"/>
                          </wps:cNvCnPr>
                          <wps:spPr bwMode="auto">
                            <a:xfrm>
                              <a:off x="2125" y="1499"/>
                              <a:ext cx="0" cy="61"/>
                            </a:xfrm>
                            <a:prstGeom prst="line">
                              <a:avLst/>
                            </a:prstGeom>
                            <a:noFill/>
                            <a:ln w="5715">
                              <a:solidFill>
                                <a:srgbClr val="000000"/>
                              </a:solidFill>
                              <a:prstDash val="solid"/>
                              <a:round/>
                            </a:ln>
                          </wps:spPr>
                          <wps:bodyPr/>
                        </wps:wsp>
                        <wps:wsp>
                          <wps:cNvPr id="194" name="Line 902"/>
                          <wps:cNvCnPr>
                            <a:cxnSpLocks noChangeShapeType="1"/>
                          </wps:cNvCnPr>
                          <wps:spPr bwMode="auto">
                            <a:xfrm>
                              <a:off x="2125" y="1592"/>
                              <a:ext cx="0" cy="82"/>
                            </a:xfrm>
                            <a:prstGeom prst="line">
                              <a:avLst/>
                            </a:prstGeom>
                            <a:noFill/>
                            <a:ln w="5715">
                              <a:solidFill>
                                <a:srgbClr val="000000"/>
                              </a:solidFill>
                              <a:prstDash val="solid"/>
                              <a:round/>
                            </a:ln>
                          </wps:spPr>
                          <wps:bodyPr/>
                        </wps:wsp>
                        <wps:wsp>
                          <wps:cNvPr id="195" name="Line 903"/>
                          <wps:cNvCnPr>
                            <a:cxnSpLocks noChangeShapeType="1"/>
                          </wps:cNvCnPr>
                          <wps:spPr bwMode="auto">
                            <a:xfrm>
                              <a:off x="2125" y="1706"/>
                              <a:ext cx="0" cy="61"/>
                            </a:xfrm>
                            <a:prstGeom prst="line">
                              <a:avLst/>
                            </a:prstGeom>
                            <a:noFill/>
                            <a:ln w="5715">
                              <a:solidFill>
                                <a:srgbClr val="000000"/>
                              </a:solidFill>
                              <a:prstDash val="solid"/>
                              <a:round/>
                            </a:ln>
                          </wps:spPr>
                          <wps:bodyPr/>
                        </wps:wsp>
                        <wps:wsp>
                          <wps:cNvPr id="196" name="Line 904"/>
                          <wps:cNvCnPr>
                            <a:cxnSpLocks noChangeShapeType="1"/>
                          </wps:cNvCnPr>
                          <wps:spPr bwMode="auto">
                            <a:xfrm>
                              <a:off x="2393" y="1499"/>
                              <a:ext cx="0" cy="61"/>
                            </a:xfrm>
                            <a:prstGeom prst="line">
                              <a:avLst/>
                            </a:prstGeom>
                            <a:noFill/>
                            <a:ln w="5715">
                              <a:solidFill>
                                <a:srgbClr val="000000"/>
                              </a:solidFill>
                              <a:prstDash val="solid"/>
                              <a:round/>
                            </a:ln>
                          </wps:spPr>
                          <wps:bodyPr/>
                        </wps:wsp>
                        <wps:wsp>
                          <wps:cNvPr id="197" name="Line 905"/>
                          <wps:cNvCnPr>
                            <a:cxnSpLocks noChangeShapeType="1"/>
                          </wps:cNvCnPr>
                          <wps:spPr bwMode="auto">
                            <a:xfrm>
                              <a:off x="2393" y="1592"/>
                              <a:ext cx="0" cy="82"/>
                            </a:xfrm>
                            <a:prstGeom prst="line">
                              <a:avLst/>
                            </a:prstGeom>
                            <a:noFill/>
                            <a:ln w="5715">
                              <a:solidFill>
                                <a:srgbClr val="000000"/>
                              </a:solidFill>
                              <a:prstDash val="solid"/>
                              <a:round/>
                            </a:ln>
                          </wps:spPr>
                          <wps:bodyPr/>
                        </wps:wsp>
                        <wps:wsp>
                          <wps:cNvPr id="198" name="Line 906"/>
                          <wps:cNvCnPr>
                            <a:cxnSpLocks noChangeShapeType="1"/>
                          </wps:cNvCnPr>
                          <wps:spPr bwMode="auto">
                            <a:xfrm>
                              <a:off x="2393" y="1706"/>
                              <a:ext cx="0" cy="61"/>
                            </a:xfrm>
                            <a:prstGeom prst="line">
                              <a:avLst/>
                            </a:prstGeom>
                            <a:noFill/>
                            <a:ln w="5715">
                              <a:solidFill>
                                <a:srgbClr val="000000"/>
                              </a:solidFill>
                              <a:prstDash val="solid"/>
                              <a:round/>
                            </a:ln>
                          </wps:spPr>
                          <wps:bodyPr/>
                        </wps:wsp>
                        <wps:wsp>
                          <wps:cNvPr id="199" name="Freeform 907"/>
                          <wps:cNvSpPr/>
                          <wps:spPr bwMode="auto">
                            <a:xfrm>
                              <a:off x="2684" y="1356"/>
                              <a:ext cx="0" cy="0"/>
                            </a:xfrm>
                            <a:custGeom>
                              <a:avLst/>
                              <a:gdLst/>
                              <a:ahLst/>
                              <a:cxnLst>
                                <a:cxn ang="0">
                                  <a:pos x="0" y="0"/>
                                </a:cxn>
                                <a:cxn ang="0">
                                  <a:pos x="0" y="0"/>
                                </a:cxn>
                                <a:cxn ang="0">
                                  <a:pos x="0" y="0"/>
                                </a:cxn>
                              </a:cxnLst>
                              <a:rect l="0" t="0" r="r" b="b"/>
                              <a:pathLst>
                                <a:path>
                                  <a:moveTo>
                                    <a:pt x="0" y="0"/>
                                  </a:moveTo>
                                  <a:lnTo>
                                    <a:pt x="0" y="0"/>
                                  </a:lnTo>
                                  <a:lnTo>
                                    <a:pt x="0" y="0"/>
                                  </a:lnTo>
                                  <a:close/>
                                </a:path>
                              </a:pathLst>
                            </a:custGeom>
                            <a:solidFill>
                              <a:srgbClr val="000000"/>
                            </a:solidFill>
                            <a:ln>
                              <a:noFill/>
                            </a:ln>
                          </wps:spPr>
                          <wps:bodyPr rot="0" vert="horz" wrap="square" lIns="91440" tIns="45720" rIns="91440" bIns="45720" anchor="t" anchorCtr="0" upright="1">
                            <a:noAutofit/>
                          </wps:bodyPr>
                        </wps:wsp>
                        <wps:wsp>
                          <wps:cNvPr id="200" name="Freeform 908"/>
                          <wps:cNvSpPr/>
                          <wps:spPr bwMode="auto">
                            <a:xfrm>
                              <a:off x="2684" y="1356"/>
                              <a:ext cx="0" cy="0"/>
                            </a:xfrm>
                            <a:custGeom>
                              <a:avLst/>
                              <a:gdLst/>
                              <a:ahLst/>
                              <a:cxnLst>
                                <a:cxn ang="0">
                                  <a:pos x="0" y="0"/>
                                </a:cxn>
                                <a:cxn ang="0">
                                  <a:pos x="0" y="0"/>
                                </a:cxn>
                                <a:cxn ang="0">
                                  <a:pos x="0" y="0"/>
                                </a:cxn>
                              </a:cxnLst>
                              <a:rect l="0" t="0" r="r" b="b"/>
                              <a:pathLst>
                                <a:path>
                                  <a:moveTo>
                                    <a:pt x="0" y="0"/>
                                  </a:moveTo>
                                  <a:lnTo>
                                    <a:pt x="0" y="0"/>
                                  </a:lnTo>
                                  <a:lnTo>
                                    <a:pt x="0" y="0"/>
                                  </a:lnTo>
                                  <a:close/>
                                </a:path>
                              </a:pathLst>
                            </a:custGeom>
                            <a:solidFill>
                              <a:srgbClr val="000000"/>
                            </a:solidFill>
                            <a:ln>
                              <a:noFill/>
                            </a:ln>
                          </wps:spPr>
                          <wps:bodyPr rot="0" vert="horz" wrap="square" lIns="91440" tIns="45720" rIns="91440" bIns="45720" anchor="t" anchorCtr="0" upright="1">
                            <a:noAutofit/>
                          </wps:bodyPr>
                        </wps:wsp>
                        <wps:wsp>
                          <wps:cNvPr id="201" name="Rectangle 909"/>
                          <wps:cNvSpPr>
                            <a:spLocks noChangeArrowheads="1"/>
                          </wps:cNvSpPr>
                          <wps:spPr bwMode="auto">
                            <a:xfrm>
                              <a:off x="2684" y="1356"/>
                              <a:ext cx="1" cy="1"/>
                            </a:xfrm>
                            <a:prstGeom prst="rect">
                              <a:avLst/>
                            </a:prstGeom>
                            <a:noFill/>
                            <a:ln w="5715">
                              <a:solidFill>
                                <a:srgbClr val="000000"/>
                              </a:solidFill>
                              <a:prstDash val="solid"/>
                              <a:miter lim="800000"/>
                            </a:ln>
                          </wps:spPr>
                          <wps:bodyPr rot="0" vert="horz" wrap="square" lIns="91440" tIns="45720" rIns="91440" bIns="45720" anchor="t" anchorCtr="0" upright="1">
                            <a:noAutofit/>
                          </wps:bodyPr>
                        </wps:wsp>
                        <wps:wsp>
                          <wps:cNvPr id="207" name="Rectangle 915"/>
                          <wps:cNvSpPr>
                            <a:spLocks noChangeArrowheads="1"/>
                          </wps:cNvSpPr>
                          <wps:spPr bwMode="auto">
                            <a:xfrm>
                              <a:off x="6000" y="1475"/>
                              <a:ext cx="961" cy="312"/>
                            </a:xfrm>
                            <a:prstGeom prst="rect">
                              <a:avLst/>
                            </a:prstGeom>
                            <a:noFill/>
                            <a:ln>
                              <a:noFill/>
                            </a:ln>
                          </wps:spPr>
                          <wps:txbx>
                            <w:txbxContent>
                              <w:p w14:paraId="4CDF6072">
                                <w:r>
                                  <w:rPr>
                                    <w:rFonts w:hint="eastAsia" w:ascii="宋体" w:cs="宋体"/>
                                    <w:color w:val="000000"/>
                                    <w:kern w:val="0"/>
                                    <w:sz w:val="16"/>
                                    <w:szCs w:val="16"/>
                                  </w:rPr>
                                  <w:t>垫层100mm厚</w:t>
                                </w:r>
                              </w:p>
                            </w:txbxContent>
                          </wps:txbx>
                          <wps:bodyPr rot="0" vert="horz" wrap="none" lIns="0" tIns="0" rIns="0" bIns="0" anchor="t" anchorCtr="0">
                            <a:spAutoFit/>
                          </wps:bodyPr>
                        </wps:wsp>
                        <wps:wsp>
                          <wps:cNvPr id="208" name="Rectangle 916"/>
                          <wps:cNvSpPr>
                            <a:spLocks noChangeArrowheads="1"/>
                          </wps:cNvSpPr>
                          <wps:spPr bwMode="auto">
                            <a:xfrm>
                              <a:off x="5994" y="1670"/>
                              <a:ext cx="761" cy="312"/>
                            </a:xfrm>
                            <a:prstGeom prst="rect">
                              <a:avLst/>
                            </a:prstGeom>
                            <a:noFill/>
                            <a:ln>
                              <a:noFill/>
                            </a:ln>
                          </wps:spPr>
                          <wps:txbx>
                            <w:txbxContent>
                              <w:p w14:paraId="7DAAA7D4">
                                <w:r>
                                  <w:rPr>
                                    <w:rFonts w:hint="eastAsia" w:ascii="宋体" w:cs="宋体"/>
                                    <w:color w:val="000000"/>
                                    <w:kern w:val="0"/>
                                    <w:sz w:val="16"/>
                                    <w:szCs w:val="16"/>
                                  </w:rPr>
                                  <w:t>C1</w:t>
                                </w:r>
                                <w:r>
                                  <w:rPr>
                                    <w:rFonts w:ascii="宋体" w:cs="宋体"/>
                                    <w:color w:val="000000"/>
                                    <w:kern w:val="0"/>
                                    <w:sz w:val="16"/>
                                    <w:szCs w:val="16"/>
                                  </w:rPr>
                                  <w:t>5</w:t>
                                </w:r>
                                <w:r>
                                  <w:rPr>
                                    <w:rFonts w:hint="eastAsia" w:ascii="宋体" w:cs="宋体"/>
                                    <w:color w:val="000000"/>
                                    <w:kern w:val="0"/>
                                    <w:sz w:val="16"/>
                                    <w:szCs w:val="16"/>
                                  </w:rPr>
                                  <w:t>混凝土</w:t>
                                </w:r>
                              </w:p>
                            </w:txbxContent>
                          </wps:txbx>
                          <wps:bodyPr rot="0" vert="horz" wrap="none" lIns="0" tIns="0" rIns="0" bIns="0" anchor="t" anchorCtr="0">
                            <a:spAutoFit/>
                          </wps:bodyPr>
                        </wps:wsp>
                        <wps:wsp>
                          <wps:cNvPr id="210" name="Rectangle 918"/>
                          <wps:cNvSpPr>
                            <a:spLocks noChangeArrowheads="1"/>
                          </wps:cNvSpPr>
                          <wps:spPr bwMode="auto">
                            <a:xfrm>
                              <a:off x="4667" y="2262"/>
                              <a:ext cx="1171" cy="312"/>
                            </a:xfrm>
                            <a:prstGeom prst="rect">
                              <a:avLst/>
                            </a:prstGeom>
                            <a:noFill/>
                            <a:ln>
                              <a:noFill/>
                            </a:ln>
                          </wps:spPr>
                          <wps:txbx>
                            <w:txbxContent>
                              <w:p w14:paraId="79D86104">
                                <w:pPr>
                                  <w:rPr>
                                    <w:sz w:val="18"/>
                                    <w:szCs w:val="18"/>
                                  </w:rPr>
                                </w:pPr>
                                <w:r>
                                  <w:rPr>
                                    <w:rFonts w:ascii="宋体" w:cs="宋体"/>
                                    <w:color w:val="000000"/>
                                    <w:kern w:val="0"/>
                                    <w:sz w:val="18"/>
                                    <w:szCs w:val="18"/>
                                  </w:rPr>
                                  <w:t>(c)</w:t>
                                </w:r>
                                <w:r>
                                  <w:rPr>
                                    <w:rFonts w:hint="eastAsia" w:ascii="宋体" w:cs="宋体"/>
                                    <w:color w:val="000000"/>
                                    <w:kern w:val="0"/>
                                    <w:sz w:val="18"/>
                                    <w:szCs w:val="18"/>
                                  </w:rPr>
                                  <w:t>承台</w:t>
                                </w:r>
                                <w:r>
                                  <w:rPr>
                                    <w:rFonts w:ascii="宋体" w:cs="宋体"/>
                                    <w:color w:val="000000"/>
                                    <w:kern w:val="0"/>
                                    <w:sz w:val="18"/>
                                    <w:szCs w:val="18"/>
                                  </w:rPr>
                                  <w:t>梁配筋</w:t>
                                </w:r>
                              </w:p>
                            </w:txbxContent>
                          </wps:txbx>
                          <wps:bodyPr rot="0" vert="horz" wrap="none" lIns="0" tIns="0" rIns="0" bIns="0" anchor="t" anchorCtr="0">
                            <a:spAutoFit/>
                          </wps:bodyPr>
                        </wps:wsp>
                        <wps:wsp>
                          <wps:cNvPr id="211" name="Rectangle 919"/>
                          <wps:cNvSpPr>
                            <a:spLocks noChangeArrowheads="1"/>
                          </wps:cNvSpPr>
                          <wps:spPr bwMode="auto">
                            <a:xfrm>
                              <a:off x="4149" y="1706"/>
                              <a:ext cx="241" cy="312"/>
                            </a:xfrm>
                            <a:prstGeom prst="rect">
                              <a:avLst/>
                            </a:prstGeom>
                            <a:noFill/>
                            <a:ln>
                              <a:noFill/>
                            </a:ln>
                          </wps:spPr>
                          <wps:txbx>
                            <w:txbxContent>
                              <w:p w14:paraId="638ABCDD">
                                <w:r>
                                  <w:rPr>
                                    <w:rFonts w:ascii="宋体" w:cs="宋体"/>
                                    <w:color w:val="000000"/>
                                    <w:kern w:val="0"/>
                                    <w:sz w:val="16"/>
                                    <w:szCs w:val="16"/>
                                  </w:rPr>
                                  <w:t>&gt;75</w:t>
                                </w:r>
                              </w:p>
                            </w:txbxContent>
                          </wps:txbx>
                          <wps:bodyPr rot="0" vert="horz" wrap="none" lIns="0" tIns="0" rIns="0" bIns="0" anchor="t" anchorCtr="0">
                            <a:spAutoFit/>
                          </wps:bodyPr>
                        </wps:wsp>
                        <wps:wsp>
                          <wps:cNvPr id="212" name="Line 920"/>
                          <wps:cNvCnPr>
                            <a:cxnSpLocks noChangeShapeType="1"/>
                          </wps:cNvCnPr>
                          <wps:spPr bwMode="auto">
                            <a:xfrm flipV="1">
                              <a:off x="5318" y="1324"/>
                              <a:ext cx="0" cy="735"/>
                            </a:xfrm>
                            <a:prstGeom prst="line">
                              <a:avLst/>
                            </a:prstGeom>
                            <a:noFill/>
                            <a:ln w="5715">
                              <a:solidFill>
                                <a:srgbClr val="000000"/>
                              </a:solidFill>
                              <a:prstDash val="solid"/>
                              <a:round/>
                            </a:ln>
                          </wps:spPr>
                          <wps:bodyPr/>
                        </wps:wsp>
                        <wps:wsp>
                          <wps:cNvPr id="213" name="Line 921"/>
                          <wps:cNvCnPr>
                            <a:cxnSpLocks noChangeShapeType="1"/>
                          </wps:cNvCnPr>
                          <wps:spPr bwMode="auto">
                            <a:xfrm>
                              <a:off x="4614" y="1562"/>
                              <a:ext cx="0" cy="513"/>
                            </a:xfrm>
                            <a:prstGeom prst="line">
                              <a:avLst/>
                            </a:prstGeom>
                            <a:noFill/>
                            <a:ln w="5715">
                              <a:solidFill>
                                <a:srgbClr val="000000"/>
                              </a:solidFill>
                              <a:prstDash val="solid"/>
                              <a:round/>
                            </a:ln>
                          </wps:spPr>
                          <wps:bodyPr/>
                        </wps:wsp>
                        <wps:wsp>
                          <wps:cNvPr id="214" name="Line 922"/>
                          <wps:cNvCnPr>
                            <a:cxnSpLocks noChangeShapeType="1"/>
                          </wps:cNvCnPr>
                          <wps:spPr bwMode="auto">
                            <a:xfrm>
                              <a:off x="4408" y="1885"/>
                              <a:ext cx="1090" cy="0"/>
                            </a:xfrm>
                            <a:prstGeom prst="line">
                              <a:avLst/>
                            </a:prstGeom>
                            <a:noFill/>
                            <a:ln w="5715">
                              <a:solidFill>
                                <a:srgbClr val="000000"/>
                              </a:solidFill>
                              <a:prstDash val="solid"/>
                              <a:round/>
                            </a:ln>
                          </wps:spPr>
                          <wps:bodyPr/>
                        </wps:wsp>
                        <wps:wsp>
                          <wps:cNvPr id="215" name="Line 923"/>
                          <wps:cNvCnPr>
                            <a:cxnSpLocks noChangeShapeType="1"/>
                          </wps:cNvCnPr>
                          <wps:spPr bwMode="auto">
                            <a:xfrm>
                              <a:off x="5048" y="2059"/>
                              <a:ext cx="397" cy="0"/>
                            </a:xfrm>
                            <a:prstGeom prst="line">
                              <a:avLst/>
                            </a:prstGeom>
                            <a:noFill/>
                            <a:ln w="5715">
                              <a:solidFill>
                                <a:srgbClr val="000000"/>
                              </a:solidFill>
                              <a:prstDash val="solid"/>
                              <a:round/>
                            </a:ln>
                          </wps:spPr>
                          <wps:bodyPr/>
                        </wps:wsp>
                        <wps:wsp>
                          <wps:cNvPr id="216" name="Line 924"/>
                          <wps:cNvCnPr>
                            <a:cxnSpLocks noChangeShapeType="1"/>
                          </wps:cNvCnPr>
                          <wps:spPr bwMode="auto">
                            <a:xfrm>
                              <a:off x="4614" y="2075"/>
                              <a:ext cx="270" cy="0"/>
                            </a:xfrm>
                            <a:prstGeom prst="line">
                              <a:avLst/>
                            </a:prstGeom>
                            <a:noFill/>
                            <a:ln w="5715">
                              <a:solidFill>
                                <a:srgbClr val="000000"/>
                              </a:solidFill>
                              <a:prstDash val="solid"/>
                              <a:round/>
                            </a:ln>
                          </wps:spPr>
                          <wps:bodyPr/>
                        </wps:wsp>
                        <wps:wsp>
                          <wps:cNvPr id="217" name="Line 925"/>
                          <wps:cNvCnPr>
                            <a:cxnSpLocks noChangeShapeType="1"/>
                          </wps:cNvCnPr>
                          <wps:spPr bwMode="auto">
                            <a:xfrm flipH="1">
                              <a:off x="4487" y="2075"/>
                              <a:ext cx="127" cy="0"/>
                            </a:xfrm>
                            <a:prstGeom prst="line">
                              <a:avLst/>
                            </a:prstGeom>
                            <a:noFill/>
                            <a:ln w="5715">
                              <a:solidFill>
                                <a:srgbClr val="000000"/>
                              </a:solidFill>
                              <a:prstDash val="solid"/>
                              <a:round/>
                            </a:ln>
                          </wps:spPr>
                          <wps:bodyPr/>
                        </wps:wsp>
                        <wps:wsp>
                          <wps:cNvPr id="218" name="Line 926"/>
                          <wps:cNvCnPr>
                            <a:cxnSpLocks noChangeShapeType="1"/>
                          </wps:cNvCnPr>
                          <wps:spPr bwMode="auto">
                            <a:xfrm flipV="1">
                              <a:off x="5000" y="2059"/>
                              <a:ext cx="48" cy="63"/>
                            </a:xfrm>
                            <a:prstGeom prst="line">
                              <a:avLst/>
                            </a:prstGeom>
                            <a:noFill/>
                            <a:ln w="5715">
                              <a:solidFill>
                                <a:srgbClr val="000000"/>
                              </a:solidFill>
                              <a:prstDash val="solid"/>
                              <a:round/>
                            </a:ln>
                          </wps:spPr>
                          <wps:bodyPr/>
                        </wps:wsp>
                        <wps:wsp>
                          <wps:cNvPr id="219" name="Line 927"/>
                          <wps:cNvCnPr>
                            <a:cxnSpLocks noChangeShapeType="1"/>
                          </wps:cNvCnPr>
                          <wps:spPr bwMode="auto">
                            <a:xfrm>
                              <a:off x="4932" y="2006"/>
                              <a:ext cx="68" cy="116"/>
                            </a:xfrm>
                            <a:prstGeom prst="line">
                              <a:avLst/>
                            </a:prstGeom>
                            <a:noFill/>
                            <a:ln w="5715">
                              <a:solidFill>
                                <a:srgbClr val="000000"/>
                              </a:solidFill>
                              <a:prstDash val="solid"/>
                              <a:round/>
                            </a:ln>
                          </wps:spPr>
                          <wps:bodyPr/>
                        </wps:wsp>
                        <wps:wsp>
                          <wps:cNvPr id="220" name="Line 928"/>
                          <wps:cNvCnPr>
                            <a:cxnSpLocks noChangeShapeType="1"/>
                          </wps:cNvCnPr>
                          <wps:spPr bwMode="auto">
                            <a:xfrm flipV="1">
                              <a:off x="4884" y="2006"/>
                              <a:ext cx="48" cy="69"/>
                            </a:xfrm>
                            <a:prstGeom prst="line">
                              <a:avLst/>
                            </a:prstGeom>
                            <a:noFill/>
                            <a:ln w="5715">
                              <a:solidFill>
                                <a:srgbClr val="000000"/>
                              </a:solidFill>
                              <a:prstDash val="solid"/>
                              <a:round/>
                            </a:ln>
                          </wps:spPr>
                          <wps:bodyPr/>
                        </wps:wsp>
                        <wps:wsp>
                          <wps:cNvPr id="221" name="Line 929"/>
                          <wps:cNvCnPr>
                            <a:cxnSpLocks noChangeShapeType="1"/>
                          </wps:cNvCnPr>
                          <wps:spPr bwMode="auto">
                            <a:xfrm>
                              <a:off x="4440" y="1652"/>
                              <a:ext cx="0" cy="253"/>
                            </a:xfrm>
                            <a:prstGeom prst="line">
                              <a:avLst/>
                            </a:prstGeom>
                            <a:noFill/>
                            <a:ln w="5715">
                              <a:solidFill>
                                <a:srgbClr val="000000"/>
                              </a:solidFill>
                              <a:prstDash val="solid"/>
                              <a:round/>
                            </a:ln>
                          </wps:spPr>
                          <wps:bodyPr/>
                        </wps:wsp>
                        <wps:wsp>
                          <wps:cNvPr id="222" name="Freeform 930"/>
                          <wps:cNvSpPr/>
                          <wps:spPr bwMode="auto">
                            <a:xfrm>
                              <a:off x="4430" y="1858"/>
                              <a:ext cx="32" cy="47"/>
                            </a:xfrm>
                            <a:custGeom>
                              <a:avLst/>
                              <a:gdLst>
                                <a:gd name="T0" fmla="*/ 32 w 32"/>
                                <a:gd name="T1" fmla="*/ 8 h 47"/>
                                <a:gd name="T2" fmla="*/ 22 w 32"/>
                                <a:gd name="T3" fmla="*/ 0 h 47"/>
                                <a:gd name="T4" fmla="*/ 0 w 32"/>
                                <a:gd name="T5" fmla="*/ 47 h 47"/>
                                <a:gd name="T6" fmla="*/ 32 w 32"/>
                                <a:gd name="T7" fmla="*/ 8 h 47"/>
                              </a:gdLst>
                              <a:ahLst/>
                              <a:cxnLst>
                                <a:cxn ang="0">
                                  <a:pos x="T0" y="T1"/>
                                </a:cxn>
                                <a:cxn ang="0">
                                  <a:pos x="T2" y="T3"/>
                                </a:cxn>
                                <a:cxn ang="0">
                                  <a:pos x="T4" y="T5"/>
                                </a:cxn>
                                <a:cxn ang="0">
                                  <a:pos x="T6" y="T7"/>
                                </a:cxn>
                              </a:cxnLst>
                              <a:rect l="0" t="0" r="r" b="b"/>
                              <a:pathLst>
                                <a:path w="32" h="47">
                                  <a:moveTo>
                                    <a:pt x="32" y="8"/>
                                  </a:moveTo>
                                  <a:lnTo>
                                    <a:pt x="22" y="0"/>
                                  </a:lnTo>
                                  <a:lnTo>
                                    <a:pt x="0" y="47"/>
                                  </a:lnTo>
                                  <a:lnTo>
                                    <a:pt x="32" y="8"/>
                                  </a:lnTo>
                                  <a:close/>
                                </a:path>
                              </a:pathLst>
                            </a:custGeom>
                            <a:solidFill>
                              <a:srgbClr val="000000"/>
                            </a:solidFill>
                            <a:ln>
                              <a:noFill/>
                            </a:ln>
                          </wps:spPr>
                          <wps:bodyPr rot="0" vert="horz" wrap="square" lIns="91440" tIns="45720" rIns="91440" bIns="45720" anchor="t" anchorCtr="0" upright="1">
                            <a:noAutofit/>
                          </wps:bodyPr>
                        </wps:wsp>
                        <wps:wsp>
                          <wps:cNvPr id="223" name="Freeform 931"/>
                          <wps:cNvSpPr/>
                          <wps:spPr bwMode="auto">
                            <a:xfrm>
                              <a:off x="4420" y="1858"/>
                              <a:ext cx="32" cy="47"/>
                            </a:xfrm>
                            <a:custGeom>
                              <a:avLst/>
                              <a:gdLst>
                                <a:gd name="T0" fmla="*/ 32 w 32"/>
                                <a:gd name="T1" fmla="*/ 0 h 47"/>
                                <a:gd name="T2" fmla="*/ 10 w 32"/>
                                <a:gd name="T3" fmla="*/ 47 h 47"/>
                                <a:gd name="T4" fmla="*/ 0 w 32"/>
                                <a:gd name="T5" fmla="*/ 39 h 47"/>
                                <a:gd name="T6" fmla="*/ 32 w 32"/>
                                <a:gd name="T7" fmla="*/ 0 h 47"/>
                              </a:gdLst>
                              <a:ahLst/>
                              <a:cxnLst>
                                <a:cxn ang="0">
                                  <a:pos x="T0" y="T1"/>
                                </a:cxn>
                                <a:cxn ang="0">
                                  <a:pos x="T2" y="T3"/>
                                </a:cxn>
                                <a:cxn ang="0">
                                  <a:pos x="T4" y="T5"/>
                                </a:cxn>
                                <a:cxn ang="0">
                                  <a:pos x="T6" y="T7"/>
                                </a:cxn>
                              </a:cxnLst>
                              <a:rect l="0" t="0" r="r" b="b"/>
                              <a:pathLst>
                                <a:path w="32" h="47">
                                  <a:moveTo>
                                    <a:pt x="32" y="0"/>
                                  </a:moveTo>
                                  <a:lnTo>
                                    <a:pt x="10" y="47"/>
                                  </a:lnTo>
                                  <a:lnTo>
                                    <a:pt x="0" y="39"/>
                                  </a:lnTo>
                                  <a:lnTo>
                                    <a:pt x="32" y="0"/>
                                  </a:lnTo>
                                  <a:close/>
                                </a:path>
                              </a:pathLst>
                            </a:custGeom>
                            <a:solidFill>
                              <a:srgbClr val="000000"/>
                            </a:solidFill>
                            <a:ln>
                              <a:noFill/>
                            </a:ln>
                          </wps:spPr>
                          <wps:bodyPr rot="0" vert="horz" wrap="square" lIns="91440" tIns="45720" rIns="91440" bIns="45720" anchor="t" anchorCtr="0" upright="1">
                            <a:noAutofit/>
                          </wps:bodyPr>
                        </wps:wsp>
                        <wps:wsp>
                          <wps:cNvPr id="224" name="Freeform 932"/>
                          <wps:cNvSpPr/>
                          <wps:spPr bwMode="auto">
                            <a:xfrm>
                              <a:off x="4420" y="1858"/>
                              <a:ext cx="42" cy="47"/>
                            </a:xfrm>
                            <a:custGeom>
                              <a:avLst/>
                              <a:gdLst>
                                <a:gd name="T0" fmla="*/ 42 w 42"/>
                                <a:gd name="T1" fmla="*/ 8 h 47"/>
                                <a:gd name="T2" fmla="*/ 32 w 42"/>
                                <a:gd name="T3" fmla="*/ 0 h 47"/>
                                <a:gd name="T4" fmla="*/ 0 w 42"/>
                                <a:gd name="T5" fmla="*/ 39 h 47"/>
                                <a:gd name="T6" fmla="*/ 10 w 42"/>
                                <a:gd name="T7" fmla="*/ 47 h 47"/>
                                <a:gd name="T8" fmla="*/ 42 w 42"/>
                                <a:gd name="T9" fmla="*/ 8 h 47"/>
                              </a:gdLst>
                              <a:ahLst/>
                              <a:cxnLst>
                                <a:cxn ang="0">
                                  <a:pos x="T0" y="T1"/>
                                </a:cxn>
                                <a:cxn ang="0">
                                  <a:pos x="T2" y="T3"/>
                                </a:cxn>
                                <a:cxn ang="0">
                                  <a:pos x="T4" y="T5"/>
                                </a:cxn>
                                <a:cxn ang="0">
                                  <a:pos x="T6" y="T7"/>
                                </a:cxn>
                                <a:cxn ang="0">
                                  <a:pos x="T8" y="T9"/>
                                </a:cxn>
                              </a:cxnLst>
                              <a:rect l="0" t="0" r="r" b="b"/>
                              <a:pathLst>
                                <a:path w="42" h="47">
                                  <a:moveTo>
                                    <a:pt x="42" y="8"/>
                                  </a:moveTo>
                                  <a:lnTo>
                                    <a:pt x="32" y="0"/>
                                  </a:lnTo>
                                  <a:lnTo>
                                    <a:pt x="0" y="39"/>
                                  </a:lnTo>
                                  <a:lnTo>
                                    <a:pt x="10" y="47"/>
                                  </a:lnTo>
                                  <a:lnTo>
                                    <a:pt x="42"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225" name="Rectangle 933"/>
                          <wps:cNvSpPr>
                            <a:spLocks noChangeArrowheads="1"/>
                          </wps:cNvSpPr>
                          <wps:spPr bwMode="auto">
                            <a:xfrm>
                              <a:off x="4921" y="1631"/>
                              <a:ext cx="81" cy="312"/>
                            </a:xfrm>
                            <a:prstGeom prst="rect">
                              <a:avLst/>
                            </a:prstGeom>
                            <a:noFill/>
                            <a:ln>
                              <a:noFill/>
                            </a:ln>
                          </wps:spPr>
                          <wps:txbx>
                            <w:txbxContent>
                              <w:p w14:paraId="66D310C3">
                                <w:r>
                                  <w:rPr>
                                    <w:rFonts w:ascii="宋体" w:cs="宋体"/>
                                    <w:color w:val="000000"/>
                                    <w:kern w:val="0"/>
                                    <w:sz w:val="16"/>
                                    <w:szCs w:val="16"/>
                                  </w:rPr>
                                  <w:t>d</w:t>
                                </w:r>
                              </w:p>
                            </w:txbxContent>
                          </wps:txbx>
                          <wps:bodyPr rot="0" vert="horz" wrap="none" lIns="0" tIns="0" rIns="0" bIns="0" anchor="t" anchorCtr="0">
                            <a:spAutoFit/>
                          </wps:bodyPr>
                        </wps:wsp>
                        <wps:wsp>
                          <wps:cNvPr id="226" name="Rectangle 934"/>
                          <wps:cNvSpPr>
                            <a:spLocks noChangeArrowheads="1"/>
                          </wps:cNvSpPr>
                          <wps:spPr bwMode="auto">
                            <a:xfrm>
                              <a:off x="5492" y="1671"/>
                              <a:ext cx="241" cy="312"/>
                            </a:xfrm>
                            <a:prstGeom prst="rect">
                              <a:avLst/>
                            </a:prstGeom>
                            <a:noFill/>
                            <a:ln>
                              <a:noFill/>
                            </a:ln>
                          </wps:spPr>
                          <wps:txbx>
                            <w:txbxContent>
                              <w:p w14:paraId="720A83EF">
                                <w:r>
                                  <w:rPr>
                                    <w:rFonts w:ascii="宋体" w:cs="宋体"/>
                                    <w:color w:val="000000"/>
                                    <w:kern w:val="0"/>
                                    <w:sz w:val="16"/>
                                    <w:szCs w:val="16"/>
                                  </w:rPr>
                                  <w:t>&gt;75</w:t>
                                </w:r>
                              </w:p>
                            </w:txbxContent>
                          </wps:txbx>
                          <wps:bodyPr rot="0" vert="horz" wrap="none" lIns="0" tIns="0" rIns="0" bIns="0" anchor="t" anchorCtr="0">
                            <a:spAutoFit/>
                          </wps:bodyPr>
                        </wps:wsp>
                        <wps:wsp>
                          <wps:cNvPr id="227" name="Rectangle 935"/>
                          <wps:cNvSpPr>
                            <a:spLocks noChangeArrowheads="1"/>
                          </wps:cNvSpPr>
                          <wps:spPr bwMode="auto">
                            <a:xfrm>
                              <a:off x="5492" y="1906"/>
                              <a:ext cx="161" cy="312"/>
                            </a:xfrm>
                            <a:prstGeom prst="rect">
                              <a:avLst/>
                            </a:prstGeom>
                            <a:noFill/>
                            <a:ln>
                              <a:noFill/>
                            </a:ln>
                          </wps:spPr>
                          <wps:txbx>
                            <w:txbxContent>
                              <w:p w14:paraId="75667D9E">
                                <w:r>
                                  <w:rPr>
                                    <w:rFonts w:hint="eastAsia" w:ascii="宋体" w:cs="宋体"/>
                                    <w:color w:val="000000"/>
                                    <w:kern w:val="0"/>
                                    <w:sz w:val="16"/>
                                    <w:szCs w:val="16"/>
                                  </w:rPr>
                                  <w:t>桩</w:t>
                                </w:r>
                              </w:p>
                            </w:txbxContent>
                          </wps:txbx>
                          <wps:bodyPr rot="0" vert="horz" wrap="none" lIns="0" tIns="0" rIns="0" bIns="0" anchor="t" anchorCtr="0">
                            <a:spAutoFit/>
                          </wps:bodyPr>
                        </wps:wsp>
                        <wps:wsp>
                          <wps:cNvPr id="246" name="Rectangle 936"/>
                          <wps:cNvSpPr>
                            <a:spLocks noChangeArrowheads="1"/>
                          </wps:cNvSpPr>
                          <wps:spPr bwMode="auto">
                            <a:xfrm>
                              <a:off x="5386" y="34"/>
                              <a:ext cx="1281" cy="312"/>
                            </a:xfrm>
                            <a:prstGeom prst="rect">
                              <a:avLst/>
                            </a:prstGeom>
                            <a:noFill/>
                            <a:ln>
                              <a:noFill/>
                            </a:ln>
                          </wps:spPr>
                          <wps:txbx>
                            <w:txbxContent>
                              <w:p w14:paraId="6A62B071">
                                <w:r>
                                  <w:rPr>
                                    <w:rFonts w:hint="eastAsia" w:ascii="宋体" w:cs="宋体"/>
                                    <w:color w:val="000000"/>
                                    <w:kern w:val="0"/>
                                    <w:sz w:val="16"/>
                                    <w:szCs w:val="16"/>
                                  </w:rPr>
                                  <w:t>承台梁内主筋除须</w:t>
                                </w:r>
                              </w:p>
                            </w:txbxContent>
                          </wps:txbx>
                          <wps:bodyPr rot="0" vert="horz" wrap="none" lIns="0" tIns="0" rIns="0" bIns="0" anchor="t" anchorCtr="0">
                            <a:spAutoFit/>
                          </wps:bodyPr>
                        </wps:wsp>
                        <wps:wsp>
                          <wps:cNvPr id="303" name="Rectangle 937"/>
                          <wps:cNvSpPr>
                            <a:spLocks noChangeArrowheads="1"/>
                          </wps:cNvSpPr>
                          <wps:spPr bwMode="auto">
                            <a:xfrm>
                              <a:off x="5386" y="229"/>
                              <a:ext cx="1281" cy="312"/>
                            </a:xfrm>
                            <a:prstGeom prst="rect">
                              <a:avLst/>
                            </a:prstGeom>
                            <a:noFill/>
                            <a:ln>
                              <a:noFill/>
                            </a:ln>
                          </wps:spPr>
                          <wps:txbx>
                            <w:txbxContent>
                              <w:p w14:paraId="3E7D84A1">
                                <w:r>
                                  <w:rPr>
                                    <w:rFonts w:hint="eastAsia" w:ascii="宋体" w:cs="宋体"/>
                                    <w:color w:val="000000"/>
                                    <w:kern w:val="0"/>
                                    <w:sz w:val="16"/>
                                    <w:szCs w:val="16"/>
                                  </w:rPr>
                                  <w:t>按计算配置外尚应</w:t>
                                </w:r>
                              </w:p>
                            </w:txbxContent>
                          </wps:txbx>
                          <wps:bodyPr rot="0" vert="horz" wrap="none" lIns="0" tIns="0" rIns="0" bIns="0" anchor="t" anchorCtr="0">
                            <a:spAutoFit/>
                          </wps:bodyPr>
                        </wps:wsp>
                        <wps:wsp>
                          <wps:cNvPr id="306" name="Rectangle 938"/>
                          <wps:cNvSpPr>
                            <a:spLocks noChangeArrowheads="1"/>
                          </wps:cNvSpPr>
                          <wps:spPr bwMode="auto">
                            <a:xfrm>
                              <a:off x="5386" y="424"/>
                              <a:ext cx="1121" cy="312"/>
                            </a:xfrm>
                            <a:prstGeom prst="rect">
                              <a:avLst/>
                            </a:prstGeom>
                            <a:noFill/>
                            <a:ln>
                              <a:noFill/>
                            </a:ln>
                          </wps:spPr>
                          <wps:txbx>
                            <w:txbxContent>
                              <w:p w14:paraId="406052A8">
                                <w:r>
                                  <w:rPr>
                                    <w:rFonts w:hint="eastAsia" w:ascii="宋体" w:cs="宋体"/>
                                    <w:color w:val="000000"/>
                                    <w:kern w:val="0"/>
                                    <w:sz w:val="16"/>
                                    <w:szCs w:val="16"/>
                                  </w:rPr>
                                  <w:t>满足最小配筋率</w:t>
                                </w:r>
                              </w:p>
                            </w:txbxContent>
                          </wps:txbx>
                          <wps:bodyPr rot="0" vert="horz" wrap="none" lIns="0" tIns="0" rIns="0" bIns="0" anchor="t" anchorCtr="0">
                            <a:spAutoFit/>
                          </wps:bodyPr>
                        </wps:wsp>
                        <wps:wsp>
                          <wps:cNvPr id="308" name="Line 939"/>
                          <wps:cNvCnPr>
                            <a:cxnSpLocks noChangeShapeType="1"/>
                          </wps:cNvCnPr>
                          <wps:spPr bwMode="auto">
                            <a:xfrm flipH="1">
                              <a:off x="4434" y="1652"/>
                              <a:ext cx="11" cy="0"/>
                            </a:xfrm>
                            <a:prstGeom prst="line">
                              <a:avLst/>
                            </a:prstGeom>
                            <a:noFill/>
                            <a:ln w="5715">
                              <a:solidFill>
                                <a:srgbClr val="000000"/>
                              </a:solidFill>
                              <a:prstDash val="solid"/>
                              <a:round/>
                            </a:ln>
                          </wps:spPr>
                          <wps:bodyPr/>
                        </wps:wsp>
                        <wps:wsp>
                          <wps:cNvPr id="310" name="Line 940"/>
                          <wps:cNvCnPr>
                            <a:cxnSpLocks noChangeShapeType="1"/>
                          </wps:cNvCnPr>
                          <wps:spPr bwMode="auto">
                            <a:xfrm>
                              <a:off x="4440" y="1652"/>
                              <a:ext cx="5" cy="0"/>
                            </a:xfrm>
                            <a:prstGeom prst="line">
                              <a:avLst/>
                            </a:prstGeom>
                            <a:noFill/>
                            <a:ln w="5715">
                              <a:solidFill>
                                <a:srgbClr val="000000"/>
                              </a:solidFill>
                              <a:prstDash val="solid"/>
                              <a:round/>
                            </a:ln>
                          </wps:spPr>
                          <wps:bodyPr/>
                        </wps:wsp>
                        <wps:wsp>
                          <wps:cNvPr id="312" name="Line 941"/>
                          <wps:cNvCnPr>
                            <a:cxnSpLocks noChangeShapeType="1"/>
                          </wps:cNvCnPr>
                          <wps:spPr bwMode="auto">
                            <a:xfrm>
                              <a:off x="4440" y="1652"/>
                              <a:ext cx="0" cy="0"/>
                            </a:xfrm>
                            <a:prstGeom prst="line">
                              <a:avLst/>
                            </a:prstGeom>
                            <a:noFill/>
                            <a:ln w="5715">
                              <a:solidFill>
                                <a:srgbClr val="000000"/>
                              </a:solidFill>
                              <a:prstDash val="solid"/>
                              <a:round/>
                            </a:ln>
                          </wps:spPr>
                          <wps:bodyPr/>
                        </wps:wsp>
                        <wps:wsp>
                          <wps:cNvPr id="316" name="Line 942"/>
                          <wps:cNvCnPr>
                            <a:cxnSpLocks noChangeShapeType="1"/>
                          </wps:cNvCnPr>
                          <wps:spPr bwMode="auto">
                            <a:xfrm flipV="1">
                              <a:off x="5178" y="1992"/>
                              <a:ext cx="271" cy="5"/>
                            </a:xfrm>
                            <a:prstGeom prst="line">
                              <a:avLst/>
                            </a:prstGeom>
                            <a:noFill/>
                            <a:ln w="5715">
                              <a:solidFill>
                                <a:srgbClr val="000000"/>
                              </a:solidFill>
                              <a:prstDash val="solid"/>
                              <a:round/>
                            </a:ln>
                          </wps:spPr>
                          <wps:bodyPr/>
                        </wps:wsp>
                        <wps:wsp>
                          <wps:cNvPr id="318" name="Line 943"/>
                          <wps:cNvCnPr>
                            <a:cxnSpLocks noChangeShapeType="1"/>
                          </wps:cNvCnPr>
                          <wps:spPr bwMode="auto">
                            <a:xfrm>
                              <a:off x="5489" y="1652"/>
                              <a:ext cx="0" cy="253"/>
                            </a:xfrm>
                            <a:prstGeom prst="line">
                              <a:avLst/>
                            </a:prstGeom>
                            <a:noFill/>
                            <a:ln w="5715">
                              <a:solidFill>
                                <a:srgbClr val="000000"/>
                              </a:solidFill>
                              <a:prstDash val="solid"/>
                              <a:round/>
                            </a:ln>
                          </wps:spPr>
                          <wps:bodyPr/>
                        </wps:wsp>
                        <wps:wsp>
                          <wps:cNvPr id="320" name="Line 944"/>
                          <wps:cNvCnPr>
                            <a:cxnSpLocks noChangeShapeType="1"/>
                          </wps:cNvCnPr>
                          <wps:spPr bwMode="auto">
                            <a:xfrm flipV="1">
                              <a:off x="4855" y="624"/>
                              <a:ext cx="1944" cy="5"/>
                            </a:xfrm>
                            <a:prstGeom prst="line">
                              <a:avLst/>
                            </a:prstGeom>
                            <a:noFill/>
                            <a:ln w="5715">
                              <a:solidFill>
                                <a:srgbClr val="000000"/>
                              </a:solidFill>
                              <a:prstDash val="solid"/>
                              <a:round/>
                            </a:ln>
                          </wps:spPr>
                          <wps:bodyPr/>
                        </wps:wsp>
                        <wps:wsp>
                          <wps:cNvPr id="321" name="Line 945"/>
                          <wps:cNvCnPr>
                            <a:cxnSpLocks noChangeShapeType="1"/>
                          </wps:cNvCnPr>
                          <wps:spPr bwMode="auto">
                            <a:xfrm>
                              <a:off x="4765" y="772"/>
                              <a:ext cx="0" cy="0"/>
                            </a:xfrm>
                            <a:prstGeom prst="line">
                              <a:avLst/>
                            </a:prstGeom>
                            <a:noFill/>
                            <a:ln w="5715">
                              <a:solidFill>
                                <a:srgbClr val="000000"/>
                              </a:solidFill>
                              <a:prstDash val="solid"/>
                              <a:round/>
                            </a:ln>
                          </wps:spPr>
                          <wps:bodyPr/>
                        </wps:wsp>
                        <wps:wsp>
                          <wps:cNvPr id="322" name="Line 946"/>
                          <wps:cNvCnPr>
                            <a:cxnSpLocks noChangeShapeType="1"/>
                          </wps:cNvCnPr>
                          <wps:spPr bwMode="auto">
                            <a:xfrm>
                              <a:off x="4722" y="733"/>
                              <a:ext cx="0" cy="0"/>
                            </a:xfrm>
                            <a:prstGeom prst="line">
                              <a:avLst/>
                            </a:prstGeom>
                            <a:noFill/>
                            <a:ln w="5715">
                              <a:solidFill>
                                <a:srgbClr val="000000"/>
                              </a:solidFill>
                              <a:prstDash val="solid"/>
                              <a:round/>
                            </a:ln>
                          </wps:spPr>
                          <wps:bodyPr/>
                        </wps:wsp>
                        <wps:wsp>
                          <wps:cNvPr id="323" name="Line 947"/>
                          <wps:cNvCnPr>
                            <a:cxnSpLocks noChangeShapeType="1"/>
                          </wps:cNvCnPr>
                          <wps:spPr bwMode="auto">
                            <a:xfrm>
                              <a:off x="4713" y="724"/>
                              <a:ext cx="0" cy="0"/>
                            </a:xfrm>
                            <a:prstGeom prst="line">
                              <a:avLst/>
                            </a:prstGeom>
                            <a:noFill/>
                            <a:ln w="5715">
                              <a:solidFill>
                                <a:srgbClr val="000000"/>
                              </a:solidFill>
                              <a:prstDash val="solid"/>
                              <a:round/>
                            </a:ln>
                          </wps:spPr>
                          <wps:bodyPr/>
                        </wps:wsp>
                        <wps:wsp>
                          <wps:cNvPr id="324" name="Line 948"/>
                          <wps:cNvCnPr>
                            <a:cxnSpLocks noChangeShapeType="1"/>
                          </wps:cNvCnPr>
                          <wps:spPr bwMode="auto">
                            <a:xfrm>
                              <a:off x="4963" y="774"/>
                              <a:ext cx="0" cy="0"/>
                            </a:xfrm>
                            <a:prstGeom prst="line">
                              <a:avLst/>
                            </a:prstGeom>
                            <a:noFill/>
                            <a:ln w="5715">
                              <a:solidFill>
                                <a:srgbClr val="000000"/>
                              </a:solidFill>
                              <a:prstDash val="solid"/>
                              <a:round/>
                            </a:ln>
                          </wps:spPr>
                          <wps:bodyPr/>
                        </wps:wsp>
                        <wps:wsp>
                          <wps:cNvPr id="325" name="Line 949"/>
                          <wps:cNvCnPr>
                            <a:cxnSpLocks noChangeShapeType="1"/>
                          </wps:cNvCnPr>
                          <wps:spPr bwMode="auto">
                            <a:xfrm>
                              <a:off x="4914" y="729"/>
                              <a:ext cx="0" cy="0"/>
                            </a:xfrm>
                            <a:prstGeom prst="line">
                              <a:avLst/>
                            </a:prstGeom>
                            <a:noFill/>
                            <a:ln w="5715">
                              <a:solidFill>
                                <a:srgbClr val="000000"/>
                              </a:solidFill>
                              <a:prstDash val="solid"/>
                              <a:round/>
                            </a:ln>
                          </wps:spPr>
                          <wps:bodyPr/>
                        </wps:wsp>
                        <wps:wsp>
                          <wps:cNvPr id="326" name="Line 950"/>
                          <wps:cNvCnPr>
                            <a:cxnSpLocks noChangeShapeType="1"/>
                          </wps:cNvCnPr>
                          <wps:spPr bwMode="auto">
                            <a:xfrm>
                              <a:off x="4871" y="689"/>
                              <a:ext cx="0" cy="0"/>
                            </a:xfrm>
                            <a:prstGeom prst="line">
                              <a:avLst/>
                            </a:prstGeom>
                            <a:noFill/>
                            <a:ln w="5715">
                              <a:solidFill>
                                <a:srgbClr val="000000"/>
                              </a:solidFill>
                              <a:prstDash val="solid"/>
                              <a:round/>
                            </a:ln>
                          </wps:spPr>
                          <wps:bodyPr/>
                        </wps:wsp>
                        <wps:wsp>
                          <wps:cNvPr id="327" name="Line 951"/>
                          <wps:cNvCnPr>
                            <a:cxnSpLocks noChangeShapeType="1"/>
                          </wps:cNvCnPr>
                          <wps:spPr bwMode="auto">
                            <a:xfrm>
                              <a:off x="4862" y="681"/>
                              <a:ext cx="0" cy="0"/>
                            </a:xfrm>
                            <a:prstGeom prst="line">
                              <a:avLst/>
                            </a:prstGeom>
                            <a:noFill/>
                            <a:ln w="5715">
                              <a:solidFill>
                                <a:srgbClr val="000000"/>
                              </a:solidFill>
                              <a:prstDash val="solid"/>
                              <a:round/>
                            </a:ln>
                          </wps:spPr>
                          <wps:bodyPr/>
                        </wps:wsp>
                        <wps:wsp>
                          <wps:cNvPr id="328" name="Line 952"/>
                          <wps:cNvCnPr>
                            <a:cxnSpLocks noChangeShapeType="1"/>
                          </wps:cNvCnPr>
                          <wps:spPr bwMode="auto">
                            <a:xfrm>
                              <a:off x="4812" y="636"/>
                              <a:ext cx="0" cy="0"/>
                            </a:xfrm>
                            <a:prstGeom prst="line">
                              <a:avLst/>
                            </a:prstGeom>
                            <a:noFill/>
                            <a:ln w="5715">
                              <a:solidFill>
                                <a:srgbClr val="000000"/>
                              </a:solidFill>
                              <a:prstDash val="solid"/>
                              <a:round/>
                            </a:ln>
                          </wps:spPr>
                          <wps:bodyPr/>
                        </wps:wsp>
                        <wps:wsp>
                          <wps:cNvPr id="329" name="Line 953"/>
                          <wps:cNvCnPr>
                            <a:cxnSpLocks noChangeShapeType="1"/>
                          </wps:cNvCnPr>
                          <wps:spPr bwMode="auto">
                            <a:xfrm>
                              <a:off x="4769" y="596"/>
                              <a:ext cx="0" cy="0"/>
                            </a:xfrm>
                            <a:prstGeom prst="line">
                              <a:avLst/>
                            </a:prstGeom>
                            <a:noFill/>
                            <a:ln w="5715">
                              <a:solidFill>
                                <a:srgbClr val="000000"/>
                              </a:solidFill>
                              <a:prstDash val="solid"/>
                              <a:round/>
                            </a:ln>
                          </wps:spPr>
                          <wps:bodyPr/>
                        </wps:wsp>
                        <wps:wsp>
                          <wps:cNvPr id="330" name="Line 954"/>
                          <wps:cNvCnPr>
                            <a:cxnSpLocks noChangeShapeType="1"/>
                          </wps:cNvCnPr>
                          <wps:spPr bwMode="auto">
                            <a:xfrm>
                              <a:off x="4760" y="588"/>
                              <a:ext cx="0" cy="0"/>
                            </a:xfrm>
                            <a:prstGeom prst="line">
                              <a:avLst/>
                            </a:prstGeom>
                            <a:noFill/>
                            <a:ln w="5715">
                              <a:solidFill>
                                <a:srgbClr val="000000"/>
                              </a:solidFill>
                              <a:prstDash val="solid"/>
                              <a:round/>
                            </a:ln>
                          </wps:spPr>
                          <wps:bodyPr/>
                        </wps:wsp>
                        <wps:wsp>
                          <wps:cNvPr id="335" name="Line 955"/>
                          <wps:cNvCnPr>
                            <a:cxnSpLocks noChangeShapeType="1"/>
                          </wps:cNvCnPr>
                          <wps:spPr bwMode="auto">
                            <a:xfrm>
                              <a:off x="4711" y="542"/>
                              <a:ext cx="0" cy="0"/>
                            </a:xfrm>
                            <a:prstGeom prst="line">
                              <a:avLst/>
                            </a:prstGeom>
                            <a:noFill/>
                            <a:ln w="5715">
                              <a:solidFill>
                                <a:srgbClr val="000000"/>
                              </a:solidFill>
                              <a:prstDash val="solid"/>
                              <a:round/>
                            </a:ln>
                          </wps:spPr>
                          <wps:bodyPr/>
                        </wps:wsp>
                        <wps:wsp>
                          <wps:cNvPr id="336" name="Line 956"/>
                          <wps:cNvCnPr>
                            <a:cxnSpLocks noChangeShapeType="1"/>
                          </wps:cNvCnPr>
                          <wps:spPr bwMode="auto">
                            <a:xfrm>
                              <a:off x="5121" y="739"/>
                              <a:ext cx="0" cy="0"/>
                            </a:xfrm>
                            <a:prstGeom prst="line">
                              <a:avLst/>
                            </a:prstGeom>
                            <a:noFill/>
                            <a:ln w="5715">
                              <a:solidFill>
                                <a:srgbClr val="000000"/>
                              </a:solidFill>
                              <a:prstDash val="solid"/>
                              <a:round/>
                            </a:ln>
                          </wps:spPr>
                          <wps:bodyPr/>
                        </wps:wsp>
                        <wps:wsp>
                          <wps:cNvPr id="337" name="Line 957"/>
                          <wps:cNvCnPr>
                            <a:cxnSpLocks noChangeShapeType="1"/>
                          </wps:cNvCnPr>
                          <wps:spPr bwMode="auto">
                            <a:xfrm>
                              <a:off x="5112" y="730"/>
                              <a:ext cx="0" cy="0"/>
                            </a:xfrm>
                            <a:prstGeom prst="line">
                              <a:avLst/>
                            </a:prstGeom>
                            <a:noFill/>
                            <a:ln w="5715">
                              <a:solidFill>
                                <a:srgbClr val="000000"/>
                              </a:solidFill>
                              <a:prstDash val="solid"/>
                              <a:round/>
                            </a:ln>
                          </wps:spPr>
                          <wps:bodyPr/>
                        </wps:wsp>
                        <wps:wsp>
                          <wps:cNvPr id="338" name="Line 958"/>
                          <wps:cNvCnPr>
                            <a:cxnSpLocks noChangeShapeType="1"/>
                          </wps:cNvCnPr>
                          <wps:spPr bwMode="auto">
                            <a:xfrm>
                              <a:off x="5063" y="685"/>
                              <a:ext cx="0" cy="0"/>
                            </a:xfrm>
                            <a:prstGeom prst="line">
                              <a:avLst/>
                            </a:prstGeom>
                            <a:noFill/>
                            <a:ln w="5715">
                              <a:solidFill>
                                <a:srgbClr val="000000"/>
                              </a:solidFill>
                              <a:prstDash val="solid"/>
                              <a:round/>
                            </a:ln>
                          </wps:spPr>
                          <wps:bodyPr/>
                        </wps:wsp>
                        <wps:wsp>
                          <wps:cNvPr id="350" name="Line 959"/>
                          <wps:cNvCnPr>
                            <a:cxnSpLocks noChangeShapeType="1"/>
                          </wps:cNvCnPr>
                          <wps:spPr bwMode="auto">
                            <a:xfrm>
                              <a:off x="5020" y="646"/>
                              <a:ext cx="0" cy="0"/>
                            </a:xfrm>
                            <a:prstGeom prst="line">
                              <a:avLst/>
                            </a:prstGeom>
                            <a:noFill/>
                            <a:ln w="5715">
                              <a:solidFill>
                                <a:srgbClr val="000000"/>
                              </a:solidFill>
                              <a:prstDash val="solid"/>
                              <a:round/>
                            </a:ln>
                          </wps:spPr>
                          <wps:bodyPr/>
                        </wps:wsp>
                        <wps:wsp>
                          <wps:cNvPr id="351" name="Line 960"/>
                          <wps:cNvCnPr>
                            <a:cxnSpLocks noChangeShapeType="1"/>
                          </wps:cNvCnPr>
                          <wps:spPr bwMode="auto">
                            <a:xfrm>
                              <a:off x="5011" y="637"/>
                              <a:ext cx="0" cy="0"/>
                            </a:xfrm>
                            <a:prstGeom prst="line">
                              <a:avLst/>
                            </a:prstGeom>
                            <a:noFill/>
                            <a:ln w="5715">
                              <a:solidFill>
                                <a:srgbClr val="000000"/>
                              </a:solidFill>
                              <a:prstDash val="solid"/>
                              <a:round/>
                            </a:ln>
                          </wps:spPr>
                          <wps:bodyPr/>
                        </wps:wsp>
                        <wps:wsp>
                          <wps:cNvPr id="352" name="Line 961"/>
                          <wps:cNvCnPr>
                            <a:cxnSpLocks noChangeShapeType="1"/>
                          </wps:cNvCnPr>
                          <wps:spPr bwMode="auto">
                            <a:xfrm>
                              <a:off x="4961" y="592"/>
                              <a:ext cx="0" cy="0"/>
                            </a:xfrm>
                            <a:prstGeom prst="line">
                              <a:avLst/>
                            </a:prstGeom>
                            <a:noFill/>
                            <a:ln w="5715">
                              <a:solidFill>
                                <a:srgbClr val="000000"/>
                              </a:solidFill>
                              <a:prstDash val="solid"/>
                              <a:round/>
                            </a:ln>
                          </wps:spPr>
                          <wps:bodyPr/>
                        </wps:wsp>
                        <wps:wsp>
                          <wps:cNvPr id="353" name="Line 962"/>
                          <wps:cNvCnPr>
                            <a:cxnSpLocks noChangeShapeType="1"/>
                          </wps:cNvCnPr>
                          <wps:spPr bwMode="auto">
                            <a:xfrm>
                              <a:off x="4918" y="553"/>
                              <a:ext cx="0" cy="0"/>
                            </a:xfrm>
                            <a:prstGeom prst="line">
                              <a:avLst/>
                            </a:prstGeom>
                            <a:noFill/>
                            <a:ln w="5715">
                              <a:solidFill>
                                <a:srgbClr val="000000"/>
                              </a:solidFill>
                              <a:prstDash val="solid"/>
                              <a:round/>
                            </a:ln>
                          </wps:spPr>
                          <wps:bodyPr/>
                        </wps:wsp>
                        <wps:wsp>
                          <wps:cNvPr id="354" name="Line 963"/>
                          <wps:cNvCnPr>
                            <a:cxnSpLocks noChangeShapeType="1"/>
                          </wps:cNvCnPr>
                          <wps:spPr bwMode="auto">
                            <a:xfrm>
                              <a:off x="4909" y="544"/>
                              <a:ext cx="0" cy="0"/>
                            </a:xfrm>
                            <a:prstGeom prst="line">
                              <a:avLst/>
                            </a:prstGeom>
                            <a:noFill/>
                            <a:ln w="5715">
                              <a:solidFill>
                                <a:srgbClr val="000000"/>
                              </a:solidFill>
                              <a:prstDash val="solid"/>
                              <a:round/>
                            </a:ln>
                          </wps:spPr>
                          <wps:bodyPr/>
                        </wps:wsp>
                        <wps:wsp>
                          <wps:cNvPr id="355" name="Line 964"/>
                          <wps:cNvCnPr>
                            <a:cxnSpLocks noChangeShapeType="1"/>
                          </wps:cNvCnPr>
                          <wps:spPr bwMode="auto">
                            <a:xfrm>
                              <a:off x="4860" y="499"/>
                              <a:ext cx="0" cy="0"/>
                            </a:xfrm>
                            <a:prstGeom prst="line">
                              <a:avLst/>
                            </a:prstGeom>
                            <a:noFill/>
                            <a:ln w="5715">
                              <a:solidFill>
                                <a:srgbClr val="000000"/>
                              </a:solidFill>
                              <a:prstDash val="solid"/>
                              <a:round/>
                            </a:ln>
                          </wps:spPr>
                          <wps:bodyPr/>
                        </wps:wsp>
                        <wps:wsp>
                          <wps:cNvPr id="356" name="Line 965"/>
                          <wps:cNvCnPr>
                            <a:cxnSpLocks noChangeShapeType="1"/>
                          </wps:cNvCnPr>
                          <wps:spPr bwMode="auto">
                            <a:xfrm>
                              <a:off x="4817" y="460"/>
                              <a:ext cx="0" cy="0"/>
                            </a:xfrm>
                            <a:prstGeom prst="line">
                              <a:avLst/>
                            </a:prstGeom>
                            <a:noFill/>
                            <a:ln w="5715">
                              <a:solidFill>
                                <a:srgbClr val="000000"/>
                              </a:solidFill>
                              <a:prstDash val="solid"/>
                              <a:round/>
                            </a:ln>
                          </wps:spPr>
                          <wps:bodyPr/>
                        </wps:wsp>
                        <wps:wsp>
                          <wps:cNvPr id="357" name="Line 966"/>
                          <wps:cNvCnPr>
                            <a:cxnSpLocks noChangeShapeType="1"/>
                          </wps:cNvCnPr>
                          <wps:spPr bwMode="auto">
                            <a:xfrm>
                              <a:off x="4807" y="451"/>
                              <a:ext cx="1" cy="0"/>
                            </a:xfrm>
                            <a:prstGeom prst="line">
                              <a:avLst/>
                            </a:prstGeom>
                            <a:noFill/>
                            <a:ln w="5715">
                              <a:solidFill>
                                <a:srgbClr val="000000"/>
                              </a:solidFill>
                              <a:prstDash val="solid"/>
                              <a:round/>
                            </a:ln>
                          </wps:spPr>
                          <wps:bodyPr/>
                        </wps:wsp>
                        <wps:wsp>
                          <wps:cNvPr id="358" name="Line 967"/>
                          <wps:cNvCnPr>
                            <a:cxnSpLocks noChangeShapeType="1"/>
                          </wps:cNvCnPr>
                          <wps:spPr bwMode="auto">
                            <a:xfrm>
                              <a:off x="4758" y="406"/>
                              <a:ext cx="0" cy="0"/>
                            </a:xfrm>
                            <a:prstGeom prst="line">
                              <a:avLst/>
                            </a:prstGeom>
                            <a:noFill/>
                            <a:ln w="5715">
                              <a:solidFill>
                                <a:srgbClr val="000000"/>
                              </a:solidFill>
                              <a:prstDash val="solid"/>
                              <a:round/>
                            </a:ln>
                          </wps:spPr>
                          <wps:bodyPr/>
                        </wps:wsp>
                        <wps:wsp>
                          <wps:cNvPr id="359" name="Line 968"/>
                          <wps:cNvCnPr>
                            <a:cxnSpLocks noChangeShapeType="1"/>
                          </wps:cNvCnPr>
                          <wps:spPr bwMode="auto">
                            <a:xfrm>
                              <a:off x="4715" y="367"/>
                              <a:ext cx="0" cy="0"/>
                            </a:xfrm>
                            <a:prstGeom prst="line">
                              <a:avLst/>
                            </a:prstGeom>
                            <a:noFill/>
                            <a:ln w="5715">
                              <a:solidFill>
                                <a:srgbClr val="000000"/>
                              </a:solidFill>
                              <a:prstDash val="solid"/>
                              <a:round/>
                            </a:ln>
                          </wps:spPr>
                          <wps:bodyPr/>
                        </wps:wsp>
                        <wps:wsp>
                          <wps:cNvPr id="360" name="Line 969"/>
                          <wps:cNvCnPr>
                            <a:cxnSpLocks noChangeShapeType="1"/>
                          </wps:cNvCnPr>
                          <wps:spPr bwMode="auto">
                            <a:xfrm>
                              <a:off x="4706" y="358"/>
                              <a:ext cx="0" cy="0"/>
                            </a:xfrm>
                            <a:prstGeom prst="line">
                              <a:avLst/>
                            </a:prstGeom>
                            <a:noFill/>
                            <a:ln w="5715">
                              <a:solidFill>
                                <a:srgbClr val="000000"/>
                              </a:solidFill>
                              <a:prstDash val="solid"/>
                              <a:round/>
                            </a:ln>
                          </wps:spPr>
                          <wps:bodyPr/>
                        </wps:wsp>
                        <wps:wsp>
                          <wps:cNvPr id="361" name="Line 970"/>
                          <wps:cNvCnPr>
                            <a:cxnSpLocks noChangeShapeType="1"/>
                          </wps:cNvCnPr>
                          <wps:spPr bwMode="auto">
                            <a:xfrm>
                              <a:off x="5212" y="642"/>
                              <a:ext cx="0" cy="0"/>
                            </a:xfrm>
                            <a:prstGeom prst="line">
                              <a:avLst/>
                            </a:prstGeom>
                            <a:noFill/>
                            <a:ln w="5715">
                              <a:solidFill>
                                <a:srgbClr val="000000"/>
                              </a:solidFill>
                              <a:prstDash val="solid"/>
                              <a:round/>
                            </a:ln>
                          </wps:spPr>
                          <wps:bodyPr/>
                        </wps:wsp>
                        <wps:wsp>
                          <wps:cNvPr id="362" name="Line 971"/>
                          <wps:cNvCnPr>
                            <a:cxnSpLocks noChangeShapeType="1"/>
                          </wps:cNvCnPr>
                          <wps:spPr bwMode="auto">
                            <a:xfrm>
                              <a:off x="5169" y="602"/>
                              <a:ext cx="0" cy="0"/>
                            </a:xfrm>
                            <a:prstGeom prst="line">
                              <a:avLst/>
                            </a:prstGeom>
                            <a:noFill/>
                            <a:ln w="5715">
                              <a:solidFill>
                                <a:srgbClr val="000000"/>
                              </a:solidFill>
                              <a:prstDash val="solid"/>
                              <a:round/>
                            </a:ln>
                          </wps:spPr>
                          <wps:bodyPr/>
                        </wps:wsp>
                        <wps:wsp>
                          <wps:cNvPr id="363" name="Line 972"/>
                          <wps:cNvCnPr>
                            <a:cxnSpLocks noChangeShapeType="1"/>
                          </wps:cNvCnPr>
                          <wps:spPr bwMode="auto">
                            <a:xfrm>
                              <a:off x="5160" y="594"/>
                              <a:ext cx="0" cy="0"/>
                            </a:xfrm>
                            <a:prstGeom prst="line">
                              <a:avLst/>
                            </a:prstGeom>
                            <a:noFill/>
                            <a:ln w="5715">
                              <a:solidFill>
                                <a:srgbClr val="000000"/>
                              </a:solidFill>
                              <a:prstDash val="solid"/>
                              <a:round/>
                            </a:ln>
                          </wps:spPr>
                          <wps:bodyPr/>
                        </wps:wsp>
                        <wps:wsp>
                          <wps:cNvPr id="364" name="Line 973"/>
                          <wps:cNvCnPr>
                            <a:cxnSpLocks noChangeShapeType="1"/>
                          </wps:cNvCnPr>
                          <wps:spPr bwMode="auto">
                            <a:xfrm>
                              <a:off x="5110" y="549"/>
                              <a:ext cx="0" cy="0"/>
                            </a:xfrm>
                            <a:prstGeom prst="line">
                              <a:avLst/>
                            </a:prstGeom>
                            <a:noFill/>
                            <a:ln w="5715">
                              <a:solidFill>
                                <a:srgbClr val="000000"/>
                              </a:solidFill>
                              <a:prstDash val="solid"/>
                              <a:round/>
                            </a:ln>
                          </wps:spPr>
                          <wps:bodyPr/>
                        </wps:wsp>
                        <wps:wsp>
                          <wps:cNvPr id="366" name="Line 974"/>
                          <wps:cNvCnPr>
                            <a:cxnSpLocks noChangeShapeType="1"/>
                          </wps:cNvCnPr>
                          <wps:spPr bwMode="auto">
                            <a:xfrm>
                              <a:off x="5067" y="509"/>
                              <a:ext cx="0" cy="0"/>
                            </a:xfrm>
                            <a:prstGeom prst="line">
                              <a:avLst/>
                            </a:prstGeom>
                            <a:noFill/>
                            <a:ln w="5715">
                              <a:solidFill>
                                <a:srgbClr val="000000"/>
                              </a:solidFill>
                              <a:prstDash val="solid"/>
                              <a:round/>
                            </a:ln>
                          </wps:spPr>
                          <wps:bodyPr/>
                        </wps:wsp>
                        <wps:wsp>
                          <wps:cNvPr id="367" name="Line 975"/>
                          <wps:cNvCnPr>
                            <a:cxnSpLocks noChangeShapeType="1"/>
                          </wps:cNvCnPr>
                          <wps:spPr bwMode="auto">
                            <a:xfrm>
                              <a:off x="5058" y="501"/>
                              <a:ext cx="0" cy="0"/>
                            </a:xfrm>
                            <a:prstGeom prst="line">
                              <a:avLst/>
                            </a:prstGeom>
                            <a:noFill/>
                            <a:ln w="5715">
                              <a:solidFill>
                                <a:srgbClr val="000000"/>
                              </a:solidFill>
                              <a:prstDash val="solid"/>
                              <a:round/>
                            </a:ln>
                          </wps:spPr>
                          <wps:bodyPr/>
                        </wps:wsp>
                        <wps:wsp>
                          <wps:cNvPr id="368" name="Line 976"/>
                          <wps:cNvCnPr>
                            <a:cxnSpLocks noChangeShapeType="1"/>
                          </wps:cNvCnPr>
                          <wps:spPr bwMode="auto">
                            <a:xfrm>
                              <a:off x="5009" y="455"/>
                              <a:ext cx="0" cy="0"/>
                            </a:xfrm>
                            <a:prstGeom prst="line">
                              <a:avLst/>
                            </a:prstGeom>
                            <a:noFill/>
                            <a:ln w="5715">
                              <a:solidFill>
                                <a:srgbClr val="000000"/>
                              </a:solidFill>
                              <a:prstDash val="solid"/>
                              <a:round/>
                            </a:ln>
                          </wps:spPr>
                          <wps:bodyPr/>
                        </wps:wsp>
                        <wps:wsp>
                          <wps:cNvPr id="369" name="Line 977"/>
                          <wps:cNvCnPr>
                            <a:cxnSpLocks noChangeShapeType="1"/>
                          </wps:cNvCnPr>
                          <wps:spPr bwMode="auto">
                            <a:xfrm>
                              <a:off x="4966" y="416"/>
                              <a:ext cx="0" cy="0"/>
                            </a:xfrm>
                            <a:prstGeom prst="line">
                              <a:avLst/>
                            </a:prstGeom>
                            <a:noFill/>
                            <a:ln w="5715">
                              <a:solidFill>
                                <a:srgbClr val="000000"/>
                              </a:solidFill>
                              <a:prstDash val="solid"/>
                              <a:round/>
                            </a:ln>
                          </wps:spPr>
                          <wps:bodyPr/>
                        </wps:wsp>
                        <wps:wsp>
                          <wps:cNvPr id="370" name="Line 978"/>
                          <wps:cNvCnPr>
                            <a:cxnSpLocks noChangeShapeType="1"/>
                          </wps:cNvCnPr>
                          <wps:spPr bwMode="auto">
                            <a:xfrm>
                              <a:off x="4956" y="408"/>
                              <a:ext cx="0" cy="0"/>
                            </a:xfrm>
                            <a:prstGeom prst="line">
                              <a:avLst/>
                            </a:prstGeom>
                            <a:noFill/>
                            <a:ln w="5715">
                              <a:solidFill>
                                <a:srgbClr val="000000"/>
                              </a:solidFill>
                              <a:prstDash val="solid"/>
                              <a:round/>
                            </a:ln>
                          </wps:spPr>
                          <wps:bodyPr/>
                        </wps:wsp>
                        <wps:wsp>
                          <wps:cNvPr id="371" name="Line 979"/>
                          <wps:cNvCnPr>
                            <a:cxnSpLocks noChangeShapeType="1"/>
                          </wps:cNvCnPr>
                          <wps:spPr bwMode="auto">
                            <a:xfrm>
                              <a:off x="4907" y="362"/>
                              <a:ext cx="0" cy="0"/>
                            </a:xfrm>
                            <a:prstGeom prst="line">
                              <a:avLst/>
                            </a:prstGeom>
                            <a:noFill/>
                            <a:ln w="5715">
                              <a:solidFill>
                                <a:srgbClr val="000000"/>
                              </a:solidFill>
                              <a:prstDash val="solid"/>
                              <a:round/>
                            </a:ln>
                          </wps:spPr>
                          <wps:bodyPr/>
                        </wps:wsp>
                        <wps:wsp>
                          <wps:cNvPr id="372" name="Line 980"/>
                          <wps:cNvCnPr>
                            <a:cxnSpLocks noChangeShapeType="1"/>
                          </wps:cNvCnPr>
                          <wps:spPr bwMode="auto">
                            <a:xfrm>
                              <a:off x="4864" y="323"/>
                              <a:ext cx="0" cy="0"/>
                            </a:xfrm>
                            <a:prstGeom prst="line">
                              <a:avLst/>
                            </a:prstGeom>
                            <a:noFill/>
                            <a:ln w="5715">
                              <a:solidFill>
                                <a:srgbClr val="000000"/>
                              </a:solidFill>
                              <a:prstDash val="solid"/>
                              <a:round/>
                            </a:ln>
                          </wps:spPr>
                          <wps:bodyPr/>
                        </wps:wsp>
                        <wps:wsp>
                          <wps:cNvPr id="374" name="Line 981"/>
                          <wps:cNvCnPr>
                            <a:cxnSpLocks noChangeShapeType="1"/>
                          </wps:cNvCnPr>
                          <wps:spPr bwMode="auto">
                            <a:xfrm>
                              <a:off x="4855" y="315"/>
                              <a:ext cx="0" cy="0"/>
                            </a:xfrm>
                            <a:prstGeom prst="line">
                              <a:avLst/>
                            </a:prstGeom>
                            <a:noFill/>
                            <a:ln w="5715">
                              <a:solidFill>
                                <a:srgbClr val="000000"/>
                              </a:solidFill>
                              <a:prstDash val="solid"/>
                              <a:round/>
                            </a:ln>
                          </wps:spPr>
                          <wps:bodyPr/>
                        </wps:wsp>
                        <wps:wsp>
                          <wps:cNvPr id="375" name="Line 982"/>
                          <wps:cNvCnPr>
                            <a:cxnSpLocks noChangeShapeType="1"/>
                          </wps:cNvCnPr>
                          <wps:spPr bwMode="auto">
                            <a:xfrm>
                              <a:off x="4805" y="269"/>
                              <a:ext cx="1" cy="0"/>
                            </a:xfrm>
                            <a:prstGeom prst="line">
                              <a:avLst/>
                            </a:prstGeom>
                            <a:noFill/>
                            <a:ln w="5715">
                              <a:solidFill>
                                <a:srgbClr val="000000"/>
                              </a:solidFill>
                              <a:prstDash val="solid"/>
                              <a:round/>
                            </a:ln>
                          </wps:spPr>
                          <wps:bodyPr/>
                        </wps:wsp>
                        <wps:wsp>
                          <wps:cNvPr id="376" name="Line 983"/>
                          <wps:cNvCnPr>
                            <a:cxnSpLocks noChangeShapeType="1"/>
                          </wps:cNvCnPr>
                          <wps:spPr bwMode="auto">
                            <a:xfrm>
                              <a:off x="5216" y="466"/>
                              <a:ext cx="0" cy="0"/>
                            </a:xfrm>
                            <a:prstGeom prst="line">
                              <a:avLst/>
                            </a:prstGeom>
                            <a:noFill/>
                            <a:ln w="5715">
                              <a:solidFill>
                                <a:srgbClr val="000000"/>
                              </a:solidFill>
                              <a:prstDash val="solid"/>
                              <a:round/>
                            </a:ln>
                          </wps:spPr>
                          <wps:bodyPr/>
                        </wps:wsp>
                      </wpg:wgp>
                      <wpg:wgp>
                        <wpg:cNvPr id="377" name="Group 1185"/>
                        <wpg:cNvGrpSpPr/>
                        <wpg:grpSpPr>
                          <a:xfrm>
                            <a:off x="2618105" y="133985"/>
                            <a:ext cx="983615" cy="857885"/>
                            <a:chOff x="4123" y="211"/>
                            <a:chExt cx="1549" cy="1351"/>
                          </a:xfrm>
                        </wpg:grpSpPr>
                        <wps:wsp>
                          <wps:cNvPr id="378" name="Line 985"/>
                          <wps:cNvCnPr>
                            <a:cxnSpLocks noChangeShapeType="1"/>
                          </wps:cNvCnPr>
                          <wps:spPr bwMode="auto">
                            <a:xfrm>
                              <a:off x="5207" y="457"/>
                              <a:ext cx="0" cy="0"/>
                            </a:xfrm>
                            <a:prstGeom prst="line">
                              <a:avLst/>
                            </a:prstGeom>
                            <a:noFill/>
                            <a:ln w="5715">
                              <a:solidFill>
                                <a:srgbClr val="000000"/>
                              </a:solidFill>
                              <a:prstDash val="solid"/>
                              <a:round/>
                            </a:ln>
                          </wps:spPr>
                          <wps:bodyPr/>
                        </wps:wsp>
                        <wps:wsp>
                          <wps:cNvPr id="379" name="Line 986"/>
                          <wps:cNvCnPr>
                            <a:cxnSpLocks noChangeShapeType="1"/>
                          </wps:cNvCnPr>
                          <wps:spPr bwMode="auto">
                            <a:xfrm>
                              <a:off x="5158" y="412"/>
                              <a:ext cx="0" cy="0"/>
                            </a:xfrm>
                            <a:prstGeom prst="line">
                              <a:avLst/>
                            </a:prstGeom>
                            <a:noFill/>
                            <a:ln w="5715">
                              <a:solidFill>
                                <a:srgbClr val="000000"/>
                              </a:solidFill>
                              <a:prstDash val="solid"/>
                              <a:round/>
                            </a:ln>
                          </wps:spPr>
                          <wps:bodyPr/>
                        </wps:wsp>
                        <wps:wsp>
                          <wps:cNvPr id="380" name="Line 987"/>
                          <wps:cNvCnPr>
                            <a:cxnSpLocks noChangeShapeType="1"/>
                          </wps:cNvCnPr>
                          <wps:spPr bwMode="auto">
                            <a:xfrm>
                              <a:off x="5114" y="373"/>
                              <a:ext cx="1" cy="0"/>
                            </a:xfrm>
                            <a:prstGeom prst="line">
                              <a:avLst/>
                            </a:prstGeom>
                            <a:noFill/>
                            <a:ln w="5715">
                              <a:solidFill>
                                <a:srgbClr val="000000"/>
                              </a:solidFill>
                              <a:prstDash val="solid"/>
                              <a:round/>
                            </a:ln>
                          </wps:spPr>
                          <wps:bodyPr/>
                        </wps:wsp>
                        <wps:wsp>
                          <wps:cNvPr id="381" name="Line 988"/>
                          <wps:cNvCnPr>
                            <a:cxnSpLocks noChangeShapeType="1"/>
                          </wps:cNvCnPr>
                          <wps:spPr bwMode="auto">
                            <a:xfrm>
                              <a:off x="5105" y="364"/>
                              <a:ext cx="0" cy="0"/>
                            </a:xfrm>
                            <a:prstGeom prst="line">
                              <a:avLst/>
                            </a:prstGeom>
                            <a:noFill/>
                            <a:ln w="5715">
                              <a:solidFill>
                                <a:srgbClr val="000000"/>
                              </a:solidFill>
                              <a:prstDash val="solid"/>
                              <a:round/>
                            </a:ln>
                          </wps:spPr>
                          <wps:bodyPr/>
                        </wps:wsp>
                        <wps:wsp>
                          <wps:cNvPr id="382" name="Line 989"/>
                          <wps:cNvCnPr>
                            <a:cxnSpLocks noChangeShapeType="1"/>
                          </wps:cNvCnPr>
                          <wps:spPr bwMode="auto">
                            <a:xfrm>
                              <a:off x="5056" y="319"/>
                              <a:ext cx="0" cy="0"/>
                            </a:xfrm>
                            <a:prstGeom prst="line">
                              <a:avLst/>
                            </a:prstGeom>
                            <a:noFill/>
                            <a:ln w="5715">
                              <a:solidFill>
                                <a:srgbClr val="000000"/>
                              </a:solidFill>
                              <a:prstDash val="solid"/>
                              <a:round/>
                            </a:ln>
                          </wps:spPr>
                          <wps:bodyPr/>
                        </wps:wsp>
                        <wps:wsp>
                          <wps:cNvPr id="383" name="Line 990"/>
                          <wps:cNvCnPr>
                            <a:cxnSpLocks noChangeShapeType="1"/>
                          </wps:cNvCnPr>
                          <wps:spPr bwMode="auto">
                            <a:xfrm>
                              <a:off x="5013" y="280"/>
                              <a:ext cx="0" cy="0"/>
                            </a:xfrm>
                            <a:prstGeom prst="line">
                              <a:avLst/>
                            </a:prstGeom>
                            <a:noFill/>
                            <a:ln w="5715">
                              <a:solidFill>
                                <a:srgbClr val="000000"/>
                              </a:solidFill>
                              <a:prstDash val="solid"/>
                              <a:round/>
                            </a:ln>
                          </wps:spPr>
                          <wps:bodyPr/>
                        </wps:wsp>
                        <wps:wsp>
                          <wps:cNvPr id="384" name="Line 991"/>
                          <wps:cNvCnPr>
                            <a:cxnSpLocks noChangeShapeType="1"/>
                          </wps:cNvCnPr>
                          <wps:spPr bwMode="auto">
                            <a:xfrm>
                              <a:off x="4954" y="226"/>
                              <a:ext cx="1" cy="0"/>
                            </a:xfrm>
                            <a:prstGeom prst="line">
                              <a:avLst/>
                            </a:prstGeom>
                            <a:noFill/>
                            <a:ln w="5715">
                              <a:solidFill>
                                <a:srgbClr val="000000"/>
                              </a:solidFill>
                              <a:prstDash val="solid"/>
                              <a:round/>
                            </a:ln>
                          </wps:spPr>
                          <wps:bodyPr/>
                        </wps:wsp>
                        <wps:wsp>
                          <wps:cNvPr id="385" name="Line 992"/>
                          <wps:cNvCnPr>
                            <a:cxnSpLocks noChangeShapeType="1"/>
                          </wps:cNvCnPr>
                          <wps:spPr bwMode="auto">
                            <a:xfrm>
                              <a:off x="5205" y="276"/>
                              <a:ext cx="0" cy="0"/>
                            </a:xfrm>
                            <a:prstGeom prst="line">
                              <a:avLst/>
                            </a:prstGeom>
                            <a:noFill/>
                            <a:ln w="5715">
                              <a:solidFill>
                                <a:srgbClr val="000000"/>
                              </a:solidFill>
                              <a:prstDash val="solid"/>
                              <a:round/>
                            </a:ln>
                          </wps:spPr>
                          <wps:bodyPr/>
                        </wps:wsp>
                        <wps:wsp>
                          <wps:cNvPr id="386" name="Line 993"/>
                          <wps:cNvCnPr>
                            <a:cxnSpLocks noChangeShapeType="1"/>
                          </wps:cNvCnPr>
                          <wps:spPr bwMode="auto">
                            <a:xfrm>
                              <a:off x="5162" y="236"/>
                              <a:ext cx="0" cy="0"/>
                            </a:xfrm>
                            <a:prstGeom prst="line">
                              <a:avLst/>
                            </a:prstGeom>
                            <a:noFill/>
                            <a:ln w="5715">
                              <a:solidFill>
                                <a:srgbClr val="000000"/>
                              </a:solidFill>
                              <a:prstDash val="solid"/>
                              <a:round/>
                            </a:ln>
                          </wps:spPr>
                          <wps:bodyPr/>
                        </wps:wsp>
                        <wps:wsp>
                          <wps:cNvPr id="387" name="Line 994"/>
                          <wps:cNvCnPr>
                            <a:cxnSpLocks noChangeShapeType="1"/>
                          </wps:cNvCnPr>
                          <wps:spPr bwMode="auto">
                            <a:xfrm>
                              <a:off x="5153" y="228"/>
                              <a:ext cx="0" cy="0"/>
                            </a:xfrm>
                            <a:prstGeom prst="line">
                              <a:avLst/>
                            </a:prstGeom>
                            <a:noFill/>
                            <a:ln w="5715">
                              <a:solidFill>
                                <a:srgbClr val="000000"/>
                              </a:solidFill>
                              <a:prstDash val="solid"/>
                              <a:round/>
                            </a:ln>
                          </wps:spPr>
                          <wps:bodyPr/>
                        </wps:wsp>
                        <wps:wsp>
                          <wps:cNvPr id="388" name="Line 995"/>
                          <wps:cNvCnPr>
                            <a:cxnSpLocks noChangeShapeType="1"/>
                          </wps:cNvCnPr>
                          <wps:spPr bwMode="auto">
                            <a:xfrm>
                              <a:off x="4688" y="718"/>
                              <a:ext cx="0" cy="0"/>
                            </a:xfrm>
                            <a:prstGeom prst="line">
                              <a:avLst/>
                            </a:prstGeom>
                            <a:noFill/>
                            <a:ln w="5715">
                              <a:solidFill>
                                <a:srgbClr val="000000"/>
                              </a:solidFill>
                              <a:prstDash val="solid"/>
                              <a:round/>
                            </a:ln>
                          </wps:spPr>
                          <wps:bodyPr/>
                        </wps:wsp>
                        <wps:wsp>
                          <wps:cNvPr id="389" name="Line 996"/>
                          <wps:cNvCnPr>
                            <a:cxnSpLocks noChangeShapeType="1"/>
                          </wps:cNvCnPr>
                          <wps:spPr bwMode="auto">
                            <a:xfrm>
                              <a:off x="4842" y="718"/>
                              <a:ext cx="1" cy="0"/>
                            </a:xfrm>
                            <a:prstGeom prst="line">
                              <a:avLst/>
                            </a:prstGeom>
                            <a:noFill/>
                            <a:ln w="5715">
                              <a:solidFill>
                                <a:srgbClr val="000000"/>
                              </a:solidFill>
                              <a:prstDash val="solid"/>
                              <a:round/>
                            </a:ln>
                          </wps:spPr>
                          <wps:bodyPr/>
                        </wps:wsp>
                        <wps:wsp>
                          <wps:cNvPr id="390" name="Line 997"/>
                          <wps:cNvCnPr>
                            <a:cxnSpLocks noChangeShapeType="1"/>
                          </wps:cNvCnPr>
                          <wps:spPr bwMode="auto">
                            <a:xfrm>
                              <a:off x="4767" y="670"/>
                              <a:ext cx="0" cy="0"/>
                            </a:xfrm>
                            <a:prstGeom prst="line">
                              <a:avLst/>
                            </a:prstGeom>
                            <a:noFill/>
                            <a:ln w="5715">
                              <a:solidFill>
                                <a:srgbClr val="000000"/>
                              </a:solidFill>
                              <a:prstDash val="solid"/>
                              <a:round/>
                            </a:ln>
                          </wps:spPr>
                          <wps:bodyPr/>
                        </wps:wsp>
                        <wps:wsp>
                          <wps:cNvPr id="391" name="Line 998"/>
                          <wps:cNvCnPr>
                            <a:cxnSpLocks noChangeShapeType="1"/>
                          </wps:cNvCnPr>
                          <wps:spPr bwMode="auto">
                            <a:xfrm>
                              <a:off x="4746" y="657"/>
                              <a:ext cx="0" cy="0"/>
                            </a:xfrm>
                            <a:prstGeom prst="line">
                              <a:avLst/>
                            </a:prstGeom>
                            <a:noFill/>
                            <a:ln w="5715">
                              <a:solidFill>
                                <a:srgbClr val="000000"/>
                              </a:solidFill>
                              <a:prstDash val="solid"/>
                              <a:round/>
                            </a:ln>
                          </wps:spPr>
                          <wps:bodyPr/>
                        </wps:wsp>
                        <wps:wsp>
                          <wps:cNvPr id="392" name="Line 999"/>
                          <wps:cNvCnPr>
                            <a:cxnSpLocks noChangeShapeType="1"/>
                          </wps:cNvCnPr>
                          <wps:spPr bwMode="auto">
                            <a:xfrm>
                              <a:off x="4997" y="718"/>
                              <a:ext cx="0" cy="0"/>
                            </a:xfrm>
                            <a:prstGeom prst="line">
                              <a:avLst/>
                            </a:prstGeom>
                            <a:noFill/>
                            <a:ln w="5715">
                              <a:solidFill>
                                <a:srgbClr val="000000"/>
                              </a:solidFill>
                              <a:prstDash val="solid"/>
                              <a:round/>
                            </a:ln>
                          </wps:spPr>
                          <wps:bodyPr/>
                        </wps:wsp>
                        <wps:wsp>
                          <wps:cNvPr id="393" name="Line 1000"/>
                          <wps:cNvCnPr>
                            <a:cxnSpLocks noChangeShapeType="1"/>
                          </wps:cNvCnPr>
                          <wps:spPr bwMode="auto">
                            <a:xfrm>
                              <a:off x="4921" y="670"/>
                              <a:ext cx="1" cy="0"/>
                            </a:xfrm>
                            <a:prstGeom prst="line">
                              <a:avLst/>
                            </a:prstGeom>
                            <a:noFill/>
                            <a:ln w="5715">
                              <a:solidFill>
                                <a:srgbClr val="000000"/>
                              </a:solidFill>
                              <a:prstDash val="solid"/>
                              <a:round/>
                            </a:ln>
                          </wps:spPr>
                          <wps:bodyPr/>
                        </wps:wsp>
                        <wps:wsp>
                          <wps:cNvPr id="394" name="Line 1001"/>
                          <wps:cNvCnPr>
                            <a:cxnSpLocks noChangeShapeType="1"/>
                          </wps:cNvCnPr>
                          <wps:spPr bwMode="auto">
                            <a:xfrm>
                              <a:off x="4901" y="656"/>
                              <a:ext cx="0" cy="0"/>
                            </a:xfrm>
                            <a:prstGeom prst="line">
                              <a:avLst/>
                            </a:prstGeom>
                            <a:noFill/>
                            <a:ln w="5715">
                              <a:solidFill>
                                <a:srgbClr val="000000"/>
                              </a:solidFill>
                              <a:prstDash val="solid"/>
                              <a:round/>
                            </a:ln>
                          </wps:spPr>
                          <wps:bodyPr/>
                        </wps:wsp>
                        <wps:wsp>
                          <wps:cNvPr id="395" name="Line 1002"/>
                          <wps:cNvCnPr>
                            <a:cxnSpLocks noChangeShapeType="1"/>
                          </wps:cNvCnPr>
                          <wps:spPr bwMode="auto">
                            <a:xfrm>
                              <a:off x="4802" y="594"/>
                              <a:ext cx="0" cy="0"/>
                            </a:xfrm>
                            <a:prstGeom prst="line">
                              <a:avLst/>
                            </a:prstGeom>
                            <a:noFill/>
                            <a:ln w="5715">
                              <a:solidFill>
                                <a:srgbClr val="000000"/>
                              </a:solidFill>
                              <a:prstDash val="solid"/>
                              <a:round/>
                            </a:ln>
                          </wps:spPr>
                          <wps:bodyPr/>
                        </wps:wsp>
                        <wps:wsp>
                          <wps:cNvPr id="396" name="Line 1003"/>
                          <wps:cNvCnPr>
                            <a:cxnSpLocks noChangeShapeType="1"/>
                          </wps:cNvCnPr>
                          <wps:spPr bwMode="auto">
                            <a:xfrm>
                              <a:off x="4727" y="546"/>
                              <a:ext cx="0" cy="0"/>
                            </a:xfrm>
                            <a:prstGeom prst="line">
                              <a:avLst/>
                            </a:prstGeom>
                            <a:noFill/>
                            <a:ln w="5715">
                              <a:solidFill>
                                <a:srgbClr val="000000"/>
                              </a:solidFill>
                              <a:prstDash val="solid"/>
                              <a:round/>
                            </a:ln>
                          </wps:spPr>
                          <wps:bodyPr/>
                        </wps:wsp>
                        <wps:wsp>
                          <wps:cNvPr id="397" name="Line 1004"/>
                          <wps:cNvCnPr>
                            <a:cxnSpLocks noChangeShapeType="1"/>
                          </wps:cNvCnPr>
                          <wps:spPr bwMode="auto">
                            <a:xfrm>
                              <a:off x="4706" y="533"/>
                              <a:ext cx="0" cy="0"/>
                            </a:xfrm>
                            <a:prstGeom prst="line">
                              <a:avLst/>
                            </a:prstGeom>
                            <a:noFill/>
                            <a:ln w="5715">
                              <a:solidFill>
                                <a:srgbClr val="000000"/>
                              </a:solidFill>
                              <a:prstDash val="solid"/>
                              <a:round/>
                            </a:ln>
                          </wps:spPr>
                          <wps:bodyPr/>
                        </wps:wsp>
                        <wps:wsp>
                          <wps:cNvPr id="398" name="Line 1005"/>
                          <wps:cNvCnPr>
                            <a:cxnSpLocks noChangeShapeType="1"/>
                          </wps:cNvCnPr>
                          <wps:spPr bwMode="auto">
                            <a:xfrm>
                              <a:off x="5151" y="717"/>
                              <a:ext cx="0" cy="0"/>
                            </a:xfrm>
                            <a:prstGeom prst="line">
                              <a:avLst/>
                            </a:prstGeom>
                            <a:noFill/>
                            <a:ln w="5715">
                              <a:solidFill>
                                <a:srgbClr val="000000"/>
                              </a:solidFill>
                              <a:prstDash val="solid"/>
                              <a:round/>
                            </a:ln>
                          </wps:spPr>
                          <wps:bodyPr/>
                        </wps:wsp>
                        <wps:wsp>
                          <wps:cNvPr id="399" name="Line 1006"/>
                          <wps:cNvCnPr>
                            <a:cxnSpLocks noChangeShapeType="1"/>
                          </wps:cNvCnPr>
                          <wps:spPr bwMode="auto">
                            <a:xfrm>
                              <a:off x="5076" y="669"/>
                              <a:ext cx="0" cy="0"/>
                            </a:xfrm>
                            <a:prstGeom prst="line">
                              <a:avLst/>
                            </a:prstGeom>
                            <a:noFill/>
                            <a:ln w="5715">
                              <a:solidFill>
                                <a:srgbClr val="000000"/>
                              </a:solidFill>
                              <a:prstDash val="solid"/>
                              <a:round/>
                            </a:ln>
                          </wps:spPr>
                          <wps:bodyPr/>
                        </wps:wsp>
                        <wps:wsp>
                          <wps:cNvPr id="400" name="Line 1007"/>
                          <wps:cNvCnPr>
                            <a:cxnSpLocks noChangeShapeType="1"/>
                          </wps:cNvCnPr>
                          <wps:spPr bwMode="auto">
                            <a:xfrm>
                              <a:off x="5055" y="656"/>
                              <a:ext cx="0" cy="0"/>
                            </a:xfrm>
                            <a:prstGeom prst="line">
                              <a:avLst/>
                            </a:prstGeom>
                            <a:noFill/>
                            <a:ln w="5715">
                              <a:solidFill>
                                <a:srgbClr val="000000"/>
                              </a:solidFill>
                              <a:prstDash val="solid"/>
                              <a:round/>
                            </a:ln>
                          </wps:spPr>
                          <wps:bodyPr/>
                        </wps:wsp>
                        <wps:wsp>
                          <wps:cNvPr id="401" name="Line 1008"/>
                          <wps:cNvCnPr>
                            <a:cxnSpLocks noChangeShapeType="1"/>
                          </wps:cNvCnPr>
                          <wps:spPr bwMode="auto">
                            <a:xfrm>
                              <a:off x="4956" y="593"/>
                              <a:ext cx="1" cy="0"/>
                            </a:xfrm>
                            <a:prstGeom prst="line">
                              <a:avLst/>
                            </a:prstGeom>
                            <a:noFill/>
                            <a:ln w="5715">
                              <a:solidFill>
                                <a:srgbClr val="000000"/>
                              </a:solidFill>
                              <a:prstDash val="solid"/>
                              <a:round/>
                            </a:ln>
                          </wps:spPr>
                          <wps:bodyPr/>
                        </wps:wsp>
                        <wps:wsp>
                          <wps:cNvPr id="402" name="Line 1009"/>
                          <wps:cNvCnPr>
                            <a:cxnSpLocks noChangeShapeType="1"/>
                          </wps:cNvCnPr>
                          <wps:spPr bwMode="auto">
                            <a:xfrm>
                              <a:off x="4881" y="545"/>
                              <a:ext cx="1" cy="0"/>
                            </a:xfrm>
                            <a:prstGeom prst="line">
                              <a:avLst/>
                            </a:prstGeom>
                            <a:noFill/>
                            <a:ln w="5715">
                              <a:solidFill>
                                <a:srgbClr val="000000"/>
                              </a:solidFill>
                              <a:prstDash val="solid"/>
                              <a:round/>
                            </a:ln>
                          </wps:spPr>
                          <wps:bodyPr/>
                        </wps:wsp>
                        <wps:wsp>
                          <wps:cNvPr id="403" name="Line 1010"/>
                          <wps:cNvCnPr>
                            <a:cxnSpLocks noChangeShapeType="1"/>
                          </wps:cNvCnPr>
                          <wps:spPr bwMode="auto">
                            <a:xfrm>
                              <a:off x="4860" y="532"/>
                              <a:ext cx="1" cy="0"/>
                            </a:xfrm>
                            <a:prstGeom prst="line">
                              <a:avLst/>
                            </a:prstGeom>
                            <a:noFill/>
                            <a:ln w="5715">
                              <a:solidFill>
                                <a:srgbClr val="000000"/>
                              </a:solidFill>
                              <a:prstDash val="solid"/>
                              <a:round/>
                            </a:ln>
                          </wps:spPr>
                          <wps:bodyPr/>
                        </wps:wsp>
                        <wps:wsp>
                          <wps:cNvPr id="404" name="Line 1011"/>
                          <wps:cNvCnPr>
                            <a:cxnSpLocks noChangeShapeType="1"/>
                          </wps:cNvCnPr>
                          <wps:spPr bwMode="auto">
                            <a:xfrm>
                              <a:off x="4762" y="470"/>
                              <a:ext cx="0" cy="0"/>
                            </a:xfrm>
                            <a:prstGeom prst="line">
                              <a:avLst/>
                            </a:prstGeom>
                            <a:noFill/>
                            <a:ln w="5715">
                              <a:solidFill>
                                <a:srgbClr val="000000"/>
                              </a:solidFill>
                              <a:prstDash val="solid"/>
                              <a:round/>
                            </a:ln>
                          </wps:spPr>
                          <wps:bodyPr/>
                        </wps:wsp>
                        <wps:wsp>
                          <wps:cNvPr id="405" name="Line 1012"/>
                          <wps:cNvCnPr>
                            <a:cxnSpLocks noChangeShapeType="1"/>
                          </wps:cNvCnPr>
                          <wps:spPr bwMode="auto">
                            <a:xfrm>
                              <a:off x="4687" y="422"/>
                              <a:ext cx="0" cy="0"/>
                            </a:xfrm>
                            <a:prstGeom prst="line">
                              <a:avLst/>
                            </a:prstGeom>
                            <a:noFill/>
                            <a:ln w="5715">
                              <a:solidFill>
                                <a:srgbClr val="000000"/>
                              </a:solidFill>
                              <a:prstDash val="solid"/>
                              <a:round/>
                            </a:ln>
                          </wps:spPr>
                          <wps:bodyPr/>
                        </wps:wsp>
                        <wps:wsp>
                          <wps:cNvPr id="406" name="Line 1013"/>
                          <wps:cNvCnPr>
                            <a:cxnSpLocks noChangeShapeType="1"/>
                          </wps:cNvCnPr>
                          <wps:spPr bwMode="auto">
                            <a:xfrm>
                              <a:off x="5230" y="669"/>
                              <a:ext cx="0" cy="0"/>
                            </a:xfrm>
                            <a:prstGeom prst="line">
                              <a:avLst/>
                            </a:prstGeom>
                            <a:noFill/>
                            <a:ln w="5715">
                              <a:solidFill>
                                <a:srgbClr val="000000"/>
                              </a:solidFill>
                              <a:prstDash val="solid"/>
                              <a:round/>
                            </a:ln>
                          </wps:spPr>
                          <wps:bodyPr/>
                        </wps:wsp>
                        <wps:wsp>
                          <wps:cNvPr id="407" name="Line 1014"/>
                          <wps:cNvCnPr>
                            <a:cxnSpLocks noChangeShapeType="1"/>
                          </wps:cNvCnPr>
                          <wps:spPr bwMode="auto">
                            <a:xfrm>
                              <a:off x="5209" y="656"/>
                              <a:ext cx="0" cy="0"/>
                            </a:xfrm>
                            <a:prstGeom prst="line">
                              <a:avLst/>
                            </a:prstGeom>
                            <a:noFill/>
                            <a:ln w="5715">
                              <a:solidFill>
                                <a:srgbClr val="000000"/>
                              </a:solidFill>
                              <a:prstDash val="solid"/>
                              <a:round/>
                            </a:ln>
                          </wps:spPr>
                          <wps:bodyPr/>
                        </wps:wsp>
                        <wps:wsp>
                          <wps:cNvPr id="408" name="Line 1015"/>
                          <wps:cNvCnPr>
                            <a:cxnSpLocks noChangeShapeType="1"/>
                          </wps:cNvCnPr>
                          <wps:spPr bwMode="auto">
                            <a:xfrm>
                              <a:off x="5111" y="593"/>
                              <a:ext cx="0" cy="0"/>
                            </a:xfrm>
                            <a:prstGeom prst="line">
                              <a:avLst/>
                            </a:prstGeom>
                            <a:noFill/>
                            <a:ln w="5715">
                              <a:solidFill>
                                <a:srgbClr val="000000"/>
                              </a:solidFill>
                              <a:prstDash val="solid"/>
                              <a:round/>
                            </a:ln>
                          </wps:spPr>
                          <wps:bodyPr/>
                        </wps:wsp>
                        <wps:wsp>
                          <wps:cNvPr id="409" name="Line 1016"/>
                          <wps:cNvCnPr>
                            <a:cxnSpLocks noChangeShapeType="1"/>
                          </wps:cNvCnPr>
                          <wps:spPr bwMode="auto">
                            <a:xfrm>
                              <a:off x="5036" y="545"/>
                              <a:ext cx="0" cy="0"/>
                            </a:xfrm>
                            <a:prstGeom prst="line">
                              <a:avLst/>
                            </a:prstGeom>
                            <a:noFill/>
                            <a:ln w="5715">
                              <a:solidFill>
                                <a:srgbClr val="000000"/>
                              </a:solidFill>
                              <a:prstDash val="solid"/>
                              <a:round/>
                            </a:ln>
                          </wps:spPr>
                          <wps:bodyPr/>
                        </wps:wsp>
                        <wps:wsp>
                          <wps:cNvPr id="410" name="Line 1017"/>
                          <wps:cNvCnPr>
                            <a:cxnSpLocks noChangeShapeType="1"/>
                          </wps:cNvCnPr>
                          <wps:spPr bwMode="auto">
                            <a:xfrm>
                              <a:off x="5015" y="532"/>
                              <a:ext cx="0" cy="0"/>
                            </a:xfrm>
                            <a:prstGeom prst="line">
                              <a:avLst/>
                            </a:prstGeom>
                            <a:noFill/>
                            <a:ln w="5715">
                              <a:solidFill>
                                <a:srgbClr val="000000"/>
                              </a:solidFill>
                              <a:prstDash val="solid"/>
                              <a:round/>
                            </a:ln>
                          </wps:spPr>
                          <wps:bodyPr/>
                        </wps:wsp>
                        <wps:wsp>
                          <wps:cNvPr id="411" name="Line 1018"/>
                          <wps:cNvCnPr>
                            <a:cxnSpLocks noChangeShapeType="1"/>
                          </wps:cNvCnPr>
                          <wps:spPr bwMode="auto">
                            <a:xfrm>
                              <a:off x="4916" y="469"/>
                              <a:ext cx="1" cy="0"/>
                            </a:xfrm>
                            <a:prstGeom prst="line">
                              <a:avLst/>
                            </a:prstGeom>
                            <a:noFill/>
                            <a:ln w="5715">
                              <a:solidFill>
                                <a:srgbClr val="000000"/>
                              </a:solidFill>
                              <a:prstDash val="solid"/>
                              <a:round/>
                            </a:ln>
                          </wps:spPr>
                          <wps:bodyPr/>
                        </wps:wsp>
                        <wps:wsp>
                          <wps:cNvPr id="412" name="Line 1019"/>
                          <wps:cNvCnPr>
                            <a:cxnSpLocks noChangeShapeType="1"/>
                          </wps:cNvCnPr>
                          <wps:spPr bwMode="auto">
                            <a:xfrm>
                              <a:off x="4841" y="421"/>
                              <a:ext cx="1" cy="0"/>
                            </a:xfrm>
                            <a:prstGeom prst="line">
                              <a:avLst/>
                            </a:prstGeom>
                            <a:noFill/>
                            <a:ln w="5715">
                              <a:solidFill>
                                <a:srgbClr val="000000"/>
                              </a:solidFill>
                              <a:prstDash val="solid"/>
                              <a:round/>
                            </a:ln>
                          </wps:spPr>
                          <wps:bodyPr/>
                        </wps:wsp>
                        <wps:wsp>
                          <wps:cNvPr id="413" name="Line 1020"/>
                          <wps:cNvCnPr>
                            <a:cxnSpLocks noChangeShapeType="1"/>
                          </wps:cNvCnPr>
                          <wps:spPr bwMode="auto">
                            <a:xfrm>
                              <a:off x="4820" y="408"/>
                              <a:ext cx="1" cy="0"/>
                            </a:xfrm>
                            <a:prstGeom prst="line">
                              <a:avLst/>
                            </a:prstGeom>
                            <a:noFill/>
                            <a:ln w="5715">
                              <a:solidFill>
                                <a:srgbClr val="000000"/>
                              </a:solidFill>
                              <a:prstDash val="solid"/>
                              <a:round/>
                            </a:ln>
                          </wps:spPr>
                          <wps:bodyPr/>
                        </wps:wsp>
                        <wps:wsp>
                          <wps:cNvPr id="414" name="Line 1021"/>
                          <wps:cNvCnPr>
                            <a:cxnSpLocks noChangeShapeType="1"/>
                          </wps:cNvCnPr>
                          <wps:spPr bwMode="auto">
                            <a:xfrm>
                              <a:off x="4722" y="346"/>
                              <a:ext cx="0" cy="0"/>
                            </a:xfrm>
                            <a:prstGeom prst="line">
                              <a:avLst/>
                            </a:prstGeom>
                            <a:noFill/>
                            <a:ln w="5715">
                              <a:solidFill>
                                <a:srgbClr val="000000"/>
                              </a:solidFill>
                              <a:prstDash val="solid"/>
                              <a:round/>
                            </a:ln>
                          </wps:spPr>
                          <wps:bodyPr/>
                        </wps:wsp>
                        <wps:wsp>
                          <wps:cNvPr id="415" name="Line 1022"/>
                          <wps:cNvCnPr>
                            <a:cxnSpLocks noChangeShapeType="1"/>
                          </wps:cNvCnPr>
                          <wps:spPr bwMode="auto">
                            <a:xfrm>
                              <a:off x="5190" y="545"/>
                              <a:ext cx="0" cy="0"/>
                            </a:xfrm>
                            <a:prstGeom prst="line">
                              <a:avLst/>
                            </a:prstGeom>
                            <a:noFill/>
                            <a:ln w="5715">
                              <a:solidFill>
                                <a:srgbClr val="000000"/>
                              </a:solidFill>
                              <a:prstDash val="solid"/>
                              <a:round/>
                            </a:ln>
                          </wps:spPr>
                          <wps:bodyPr/>
                        </wps:wsp>
                        <wps:wsp>
                          <wps:cNvPr id="416" name="Line 1023"/>
                          <wps:cNvCnPr>
                            <a:cxnSpLocks noChangeShapeType="1"/>
                          </wps:cNvCnPr>
                          <wps:spPr bwMode="auto">
                            <a:xfrm>
                              <a:off x="5169" y="532"/>
                              <a:ext cx="0" cy="0"/>
                            </a:xfrm>
                            <a:prstGeom prst="line">
                              <a:avLst/>
                            </a:prstGeom>
                            <a:noFill/>
                            <a:ln w="5715">
                              <a:solidFill>
                                <a:srgbClr val="000000"/>
                              </a:solidFill>
                              <a:prstDash val="solid"/>
                              <a:round/>
                            </a:ln>
                          </wps:spPr>
                          <wps:bodyPr/>
                        </wps:wsp>
                        <wps:wsp>
                          <wps:cNvPr id="417" name="Line 1024"/>
                          <wps:cNvCnPr>
                            <a:cxnSpLocks noChangeShapeType="1"/>
                          </wps:cNvCnPr>
                          <wps:spPr bwMode="auto">
                            <a:xfrm>
                              <a:off x="5071" y="469"/>
                              <a:ext cx="0" cy="0"/>
                            </a:xfrm>
                            <a:prstGeom prst="line">
                              <a:avLst/>
                            </a:prstGeom>
                            <a:noFill/>
                            <a:ln w="5715">
                              <a:solidFill>
                                <a:srgbClr val="000000"/>
                              </a:solidFill>
                              <a:prstDash val="solid"/>
                              <a:round/>
                            </a:ln>
                          </wps:spPr>
                          <wps:bodyPr/>
                        </wps:wsp>
                        <wps:wsp>
                          <wps:cNvPr id="418" name="Line 1025"/>
                          <wps:cNvCnPr>
                            <a:cxnSpLocks noChangeShapeType="1"/>
                          </wps:cNvCnPr>
                          <wps:spPr bwMode="auto">
                            <a:xfrm>
                              <a:off x="4996" y="421"/>
                              <a:ext cx="0" cy="0"/>
                            </a:xfrm>
                            <a:prstGeom prst="line">
                              <a:avLst/>
                            </a:prstGeom>
                            <a:noFill/>
                            <a:ln w="5715">
                              <a:solidFill>
                                <a:srgbClr val="000000"/>
                              </a:solidFill>
                              <a:prstDash val="solid"/>
                              <a:round/>
                            </a:ln>
                          </wps:spPr>
                          <wps:bodyPr/>
                        </wps:wsp>
                        <wps:wsp>
                          <wps:cNvPr id="419" name="Line 1026"/>
                          <wps:cNvCnPr>
                            <a:cxnSpLocks noChangeShapeType="1"/>
                          </wps:cNvCnPr>
                          <wps:spPr bwMode="auto">
                            <a:xfrm>
                              <a:off x="4975" y="408"/>
                              <a:ext cx="0" cy="0"/>
                            </a:xfrm>
                            <a:prstGeom prst="line">
                              <a:avLst/>
                            </a:prstGeom>
                            <a:noFill/>
                            <a:ln w="5715">
                              <a:solidFill>
                                <a:srgbClr val="000000"/>
                              </a:solidFill>
                              <a:prstDash val="solid"/>
                              <a:round/>
                            </a:ln>
                          </wps:spPr>
                          <wps:bodyPr/>
                        </wps:wsp>
                        <wps:wsp>
                          <wps:cNvPr id="420" name="Line 1027"/>
                          <wps:cNvCnPr>
                            <a:cxnSpLocks noChangeShapeType="1"/>
                          </wps:cNvCnPr>
                          <wps:spPr bwMode="auto">
                            <a:xfrm>
                              <a:off x="4876" y="345"/>
                              <a:ext cx="1" cy="0"/>
                            </a:xfrm>
                            <a:prstGeom prst="line">
                              <a:avLst/>
                            </a:prstGeom>
                            <a:noFill/>
                            <a:ln w="5715">
                              <a:solidFill>
                                <a:srgbClr val="000000"/>
                              </a:solidFill>
                              <a:prstDash val="solid"/>
                              <a:round/>
                            </a:ln>
                          </wps:spPr>
                          <wps:bodyPr/>
                        </wps:wsp>
                        <wps:wsp>
                          <wps:cNvPr id="421" name="Line 1028"/>
                          <wps:cNvCnPr>
                            <a:cxnSpLocks noChangeShapeType="1"/>
                          </wps:cNvCnPr>
                          <wps:spPr bwMode="auto">
                            <a:xfrm>
                              <a:off x="4801" y="297"/>
                              <a:ext cx="1" cy="0"/>
                            </a:xfrm>
                            <a:prstGeom prst="line">
                              <a:avLst/>
                            </a:prstGeom>
                            <a:noFill/>
                            <a:ln w="5715">
                              <a:solidFill>
                                <a:srgbClr val="000000"/>
                              </a:solidFill>
                              <a:prstDash val="solid"/>
                              <a:round/>
                            </a:ln>
                          </wps:spPr>
                          <wps:bodyPr/>
                        </wps:wsp>
                        <wps:wsp>
                          <wps:cNvPr id="422" name="Line 1029"/>
                          <wps:cNvCnPr>
                            <a:cxnSpLocks noChangeShapeType="1"/>
                          </wps:cNvCnPr>
                          <wps:spPr bwMode="auto">
                            <a:xfrm>
                              <a:off x="4780" y="284"/>
                              <a:ext cx="1" cy="0"/>
                            </a:xfrm>
                            <a:prstGeom prst="line">
                              <a:avLst/>
                            </a:prstGeom>
                            <a:noFill/>
                            <a:ln w="5715">
                              <a:solidFill>
                                <a:srgbClr val="000000"/>
                              </a:solidFill>
                              <a:prstDash val="solid"/>
                              <a:round/>
                            </a:ln>
                          </wps:spPr>
                          <wps:bodyPr/>
                        </wps:wsp>
                        <wps:wsp>
                          <wps:cNvPr id="423" name="Line 1030"/>
                          <wps:cNvCnPr>
                            <a:cxnSpLocks noChangeShapeType="1"/>
                          </wps:cNvCnPr>
                          <wps:spPr bwMode="auto">
                            <a:xfrm>
                              <a:off x="5225" y="469"/>
                              <a:ext cx="0" cy="0"/>
                            </a:xfrm>
                            <a:prstGeom prst="line">
                              <a:avLst/>
                            </a:prstGeom>
                            <a:noFill/>
                            <a:ln w="5715">
                              <a:solidFill>
                                <a:srgbClr val="000000"/>
                              </a:solidFill>
                              <a:prstDash val="solid"/>
                              <a:round/>
                            </a:ln>
                          </wps:spPr>
                          <wps:bodyPr/>
                        </wps:wsp>
                        <wps:wsp>
                          <wps:cNvPr id="424" name="Line 1031"/>
                          <wps:cNvCnPr>
                            <a:cxnSpLocks noChangeShapeType="1"/>
                          </wps:cNvCnPr>
                          <wps:spPr bwMode="auto">
                            <a:xfrm>
                              <a:off x="5150" y="421"/>
                              <a:ext cx="0" cy="0"/>
                            </a:xfrm>
                            <a:prstGeom prst="line">
                              <a:avLst/>
                            </a:prstGeom>
                            <a:noFill/>
                            <a:ln w="5715">
                              <a:solidFill>
                                <a:srgbClr val="000000"/>
                              </a:solidFill>
                              <a:prstDash val="solid"/>
                              <a:round/>
                            </a:ln>
                          </wps:spPr>
                          <wps:bodyPr/>
                        </wps:wsp>
                        <wps:wsp>
                          <wps:cNvPr id="425" name="Line 1032"/>
                          <wps:cNvCnPr>
                            <a:cxnSpLocks noChangeShapeType="1"/>
                          </wps:cNvCnPr>
                          <wps:spPr bwMode="auto">
                            <a:xfrm>
                              <a:off x="5129" y="407"/>
                              <a:ext cx="0" cy="0"/>
                            </a:xfrm>
                            <a:prstGeom prst="line">
                              <a:avLst/>
                            </a:prstGeom>
                            <a:noFill/>
                            <a:ln w="5715">
                              <a:solidFill>
                                <a:srgbClr val="000000"/>
                              </a:solidFill>
                              <a:prstDash val="solid"/>
                              <a:round/>
                            </a:ln>
                          </wps:spPr>
                          <wps:bodyPr/>
                        </wps:wsp>
                        <wps:wsp>
                          <wps:cNvPr id="426" name="Line 1033"/>
                          <wps:cNvCnPr>
                            <a:cxnSpLocks noChangeShapeType="1"/>
                          </wps:cNvCnPr>
                          <wps:spPr bwMode="auto">
                            <a:xfrm>
                              <a:off x="5031" y="345"/>
                              <a:ext cx="0" cy="0"/>
                            </a:xfrm>
                            <a:prstGeom prst="line">
                              <a:avLst/>
                            </a:prstGeom>
                            <a:noFill/>
                            <a:ln w="5715">
                              <a:solidFill>
                                <a:srgbClr val="000000"/>
                              </a:solidFill>
                              <a:prstDash val="solid"/>
                              <a:round/>
                            </a:ln>
                          </wps:spPr>
                          <wps:bodyPr/>
                        </wps:wsp>
                        <wps:wsp>
                          <wps:cNvPr id="427" name="Line 1034"/>
                          <wps:cNvCnPr>
                            <a:cxnSpLocks noChangeShapeType="1"/>
                          </wps:cNvCnPr>
                          <wps:spPr bwMode="auto">
                            <a:xfrm>
                              <a:off x="4956" y="297"/>
                              <a:ext cx="0" cy="0"/>
                            </a:xfrm>
                            <a:prstGeom prst="line">
                              <a:avLst/>
                            </a:prstGeom>
                            <a:noFill/>
                            <a:ln w="5715">
                              <a:solidFill>
                                <a:srgbClr val="000000"/>
                              </a:solidFill>
                              <a:prstDash val="solid"/>
                              <a:round/>
                            </a:ln>
                          </wps:spPr>
                          <wps:bodyPr/>
                        </wps:wsp>
                        <wps:wsp>
                          <wps:cNvPr id="428" name="Line 1035"/>
                          <wps:cNvCnPr>
                            <a:cxnSpLocks noChangeShapeType="1"/>
                          </wps:cNvCnPr>
                          <wps:spPr bwMode="auto">
                            <a:xfrm>
                              <a:off x="4935" y="284"/>
                              <a:ext cx="0" cy="0"/>
                            </a:xfrm>
                            <a:prstGeom prst="line">
                              <a:avLst/>
                            </a:prstGeom>
                            <a:noFill/>
                            <a:ln w="5715">
                              <a:solidFill>
                                <a:srgbClr val="000000"/>
                              </a:solidFill>
                              <a:prstDash val="solid"/>
                              <a:round/>
                            </a:ln>
                          </wps:spPr>
                          <wps:bodyPr/>
                        </wps:wsp>
                        <wps:wsp>
                          <wps:cNvPr id="429" name="Line 1036"/>
                          <wps:cNvCnPr>
                            <a:cxnSpLocks noChangeShapeType="1"/>
                          </wps:cNvCnPr>
                          <wps:spPr bwMode="auto">
                            <a:xfrm>
                              <a:off x="5185" y="345"/>
                              <a:ext cx="0" cy="0"/>
                            </a:xfrm>
                            <a:prstGeom prst="line">
                              <a:avLst/>
                            </a:prstGeom>
                            <a:noFill/>
                            <a:ln w="5715">
                              <a:solidFill>
                                <a:srgbClr val="000000"/>
                              </a:solidFill>
                              <a:prstDash val="solid"/>
                              <a:round/>
                            </a:ln>
                          </wps:spPr>
                          <wps:bodyPr/>
                        </wps:wsp>
                        <wps:wsp>
                          <wps:cNvPr id="430" name="Line 1037"/>
                          <wps:cNvCnPr>
                            <a:cxnSpLocks noChangeShapeType="1"/>
                          </wps:cNvCnPr>
                          <wps:spPr bwMode="auto">
                            <a:xfrm>
                              <a:off x="5110" y="297"/>
                              <a:ext cx="0" cy="0"/>
                            </a:xfrm>
                            <a:prstGeom prst="line">
                              <a:avLst/>
                            </a:prstGeom>
                            <a:noFill/>
                            <a:ln w="5715">
                              <a:solidFill>
                                <a:srgbClr val="000000"/>
                              </a:solidFill>
                              <a:prstDash val="solid"/>
                              <a:round/>
                            </a:ln>
                          </wps:spPr>
                          <wps:bodyPr/>
                        </wps:wsp>
                        <wps:wsp>
                          <wps:cNvPr id="431" name="Line 1038"/>
                          <wps:cNvCnPr>
                            <a:cxnSpLocks noChangeShapeType="1"/>
                          </wps:cNvCnPr>
                          <wps:spPr bwMode="auto">
                            <a:xfrm>
                              <a:off x="5089" y="283"/>
                              <a:ext cx="0" cy="0"/>
                            </a:xfrm>
                            <a:prstGeom prst="line">
                              <a:avLst/>
                            </a:prstGeom>
                            <a:noFill/>
                            <a:ln w="5715">
                              <a:solidFill>
                                <a:srgbClr val="000000"/>
                              </a:solidFill>
                              <a:prstDash val="solid"/>
                              <a:round/>
                            </a:ln>
                          </wps:spPr>
                          <wps:bodyPr/>
                        </wps:wsp>
                        <wps:wsp>
                          <wps:cNvPr id="432" name="Line 1039"/>
                          <wps:cNvCnPr>
                            <a:cxnSpLocks noChangeShapeType="1"/>
                          </wps:cNvCnPr>
                          <wps:spPr bwMode="auto">
                            <a:xfrm>
                              <a:off x="5243" y="283"/>
                              <a:ext cx="1" cy="0"/>
                            </a:xfrm>
                            <a:prstGeom prst="line">
                              <a:avLst/>
                            </a:prstGeom>
                            <a:noFill/>
                            <a:ln w="5715">
                              <a:solidFill>
                                <a:srgbClr val="000000"/>
                              </a:solidFill>
                              <a:prstDash val="solid"/>
                              <a:round/>
                            </a:ln>
                          </wps:spPr>
                          <wps:bodyPr/>
                        </wps:wsp>
                        <wps:wsp>
                          <wps:cNvPr id="433" name="Line 1040"/>
                          <wps:cNvCnPr>
                            <a:cxnSpLocks noChangeShapeType="1"/>
                          </wps:cNvCnPr>
                          <wps:spPr bwMode="auto">
                            <a:xfrm>
                              <a:off x="5145" y="221"/>
                              <a:ext cx="0" cy="0"/>
                            </a:xfrm>
                            <a:prstGeom prst="line">
                              <a:avLst/>
                            </a:prstGeom>
                            <a:noFill/>
                            <a:ln w="5715">
                              <a:solidFill>
                                <a:srgbClr val="000000"/>
                              </a:solidFill>
                              <a:prstDash val="solid"/>
                              <a:round/>
                            </a:ln>
                          </wps:spPr>
                          <wps:bodyPr/>
                        </wps:wsp>
                        <wps:wsp>
                          <wps:cNvPr id="434" name="Line 1041"/>
                          <wps:cNvCnPr>
                            <a:cxnSpLocks noChangeShapeType="1"/>
                          </wps:cNvCnPr>
                          <wps:spPr bwMode="auto">
                            <a:xfrm>
                              <a:off x="5215" y="715"/>
                              <a:ext cx="0" cy="0"/>
                            </a:xfrm>
                            <a:prstGeom prst="line">
                              <a:avLst/>
                            </a:prstGeom>
                            <a:noFill/>
                            <a:ln w="5715">
                              <a:solidFill>
                                <a:srgbClr val="000000"/>
                              </a:solidFill>
                              <a:prstDash val="solid"/>
                              <a:round/>
                            </a:ln>
                          </wps:spPr>
                          <wps:bodyPr/>
                        </wps:wsp>
                        <wps:wsp>
                          <wps:cNvPr id="435" name="Line 1042"/>
                          <wps:cNvCnPr>
                            <a:cxnSpLocks noChangeShapeType="1"/>
                          </wps:cNvCnPr>
                          <wps:spPr bwMode="auto">
                            <a:xfrm>
                              <a:off x="5175" y="720"/>
                              <a:ext cx="0" cy="0"/>
                            </a:xfrm>
                            <a:prstGeom prst="line">
                              <a:avLst/>
                            </a:prstGeom>
                            <a:noFill/>
                            <a:ln w="5715">
                              <a:solidFill>
                                <a:srgbClr val="000000"/>
                              </a:solidFill>
                              <a:prstDash val="solid"/>
                              <a:round/>
                            </a:ln>
                          </wps:spPr>
                          <wps:bodyPr/>
                        </wps:wsp>
                        <wps:wsp>
                          <wps:cNvPr id="436" name="Line 1043"/>
                          <wps:cNvCnPr>
                            <a:cxnSpLocks noChangeShapeType="1"/>
                          </wps:cNvCnPr>
                          <wps:spPr bwMode="auto">
                            <a:xfrm>
                              <a:off x="5149" y="723"/>
                              <a:ext cx="0" cy="0"/>
                            </a:xfrm>
                            <a:prstGeom prst="line">
                              <a:avLst/>
                            </a:prstGeom>
                            <a:noFill/>
                            <a:ln w="5715">
                              <a:solidFill>
                                <a:srgbClr val="000000"/>
                              </a:solidFill>
                              <a:prstDash val="solid"/>
                              <a:round/>
                            </a:ln>
                          </wps:spPr>
                          <wps:bodyPr/>
                        </wps:wsp>
                        <wps:wsp>
                          <wps:cNvPr id="437" name="Line 1044"/>
                          <wps:cNvCnPr>
                            <a:cxnSpLocks noChangeShapeType="1"/>
                          </wps:cNvCnPr>
                          <wps:spPr bwMode="auto">
                            <a:xfrm>
                              <a:off x="5082" y="732"/>
                              <a:ext cx="0" cy="0"/>
                            </a:xfrm>
                            <a:prstGeom prst="line">
                              <a:avLst/>
                            </a:prstGeom>
                            <a:noFill/>
                            <a:ln w="5715">
                              <a:solidFill>
                                <a:srgbClr val="000000"/>
                              </a:solidFill>
                              <a:prstDash val="solid"/>
                              <a:round/>
                            </a:ln>
                          </wps:spPr>
                          <wps:bodyPr/>
                        </wps:wsp>
                        <wps:wsp>
                          <wps:cNvPr id="438" name="Line 1045"/>
                          <wps:cNvCnPr>
                            <a:cxnSpLocks noChangeShapeType="1"/>
                          </wps:cNvCnPr>
                          <wps:spPr bwMode="auto">
                            <a:xfrm>
                              <a:off x="5041" y="738"/>
                              <a:ext cx="1" cy="0"/>
                            </a:xfrm>
                            <a:prstGeom prst="line">
                              <a:avLst/>
                            </a:prstGeom>
                            <a:noFill/>
                            <a:ln w="5715">
                              <a:solidFill>
                                <a:srgbClr val="000000"/>
                              </a:solidFill>
                              <a:prstDash val="solid"/>
                              <a:round/>
                            </a:ln>
                          </wps:spPr>
                          <wps:bodyPr/>
                        </wps:wsp>
                        <wps:wsp>
                          <wps:cNvPr id="439" name="Line 1046"/>
                          <wps:cNvCnPr>
                            <a:cxnSpLocks noChangeShapeType="1"/>
                          </wps:cNvCnPr>
                          <wps:spPr bwMode="auto">
                            <a:xfrm>
                              <a:off x="5016" y="741"/>
                              <a:ext cx="0" cy="0"/>
                            </a:xfrm>
                            <a:prstGeom prst="line">
                              <a:avLst/>
                            </a:prstGeom>
                            <a:noFill/>
                            <a:ln w="5715">
                              <a:solidFill>
                                <a:srgbClr val="000000"/>
                              </a:solidFill>
                              <a:prstDash val="solid"/>
                              <a:round/>
                            </a:ln>
                          </wps:spPr>
                          <wps:bodyPr/>
                        </wps:wsp>
                        <wps:wsp>
                          <wps:cNvPr id="440" name="Line 1047"/>
                          <wps:cNvCnPr>
                            <a:cxnSpLocks noChangeShapeType="1"/>
                          </wps:cNvCnPr>
                          <wps:spPr bwMode="auto">
                            <a:xfrm>
                              <a:off x="4948" y="750"/>
                              <a:ext cx="1" cy="0"/>
                            </a:xfrm>
                            <a:prstGeom prst="line">
                              <a:avLst/>
                            </a:prstGeom>
                            <a:noFill/>
                            <a:ln w="5715">
                              <a:solidFill>
                                <a:srgbClr val="000000"/>
                              </a:solidFill>
                              <a:prstDash val="solid"/>
                              <a:round/>
                            </a:ln>
                          </wps:spPr>
                          <wps:bodyPr/>
                        </wps:wsp>
                        <wps:wsp>
                          <wps:cNvPr id="441" name="Line 1048"/>
                          <wps:cNvCnPr>
                            <a:cxnSpLocks noChangeShapeType="1"/>
                          </wps:cNvCnPr>
                          <wps:spPr bwMode="auto">
                            <a:xfrm>
                              <a:off x="4908" y="755"/>
                              <a:ext cx="0" cy="0"/>
                            </a:xfrm>
                            <a:prstGeom prst="line">
                              <a:avLst/>
                            </a:prstGeom>
                            <a:noFill/>
                            <a:ln w="5715">
                              <a:solidFill>
                                <a:srgbClr val="000000"/>
                              </a:solidFill>
                              <a:prstDash val="solid"/>
                              <a:round/>
                            </a:ln>
                          </wps:spPr>
                          <wps:bodyPr/>
                        </wps:wsp>
                        <wps:wsp>
                          <wps:cNvPr id="442" name="Line 1049"/>
                          <wps:cNvCnPr>
                            <a:cxnSpLocks noChangeShapeType="1"/>
                          </wps:cNvCnPr>
                          <wps:spPr bwMode="auto">
                            <a:xfrm>
                              <a:off x="4882" y="759"/>
                              <a:ext cx="1" cy="0"/>
                            </a:xfrm>
                            <a:prstGeom prst="line">
                              <a:avLst/>
                            </a:prstGeom>
                            <a:noFill/>
                            <a:ln w="5715">
                              <a:solidFill>
                                <a:srgbClr val="000000"/>
                              </a:solidFill>
                              <a:prstDash val="solid"/>
                              <a:round/>
                            </a:ln>
                          </wps:spPr>
                          <wps:bodyPr/>
                        </wps:wsp>
                        <wps:wsp>
                          <wps:cNvPr id="443" name="Line 1050"/>
                          <wps:cNvCnPr>
                            <a:cxnSpLocks noChangeShapeType="1"/>
                          </wps:cNvCnPr>
                          <wps:spPr bwMode="auto">
                            <a:xfrm>
                              <a:off x="4815" y="767"/>
                              <a:ext cx="0" cy="0"/>
                            </a:xfrm>
                            <a:prstGeom prst="line">
                              <a:avLst/>
                            </a:prstGeom>
                            <a:noFill/>
                            <a:ln w="5715">
                              <a:solidFill>
                                <a:srgbClr val="000000"/>
                              </a:solidFill>
                              <a:prstDash val="solid"/>
                              <a:round/>
                            </a:ln>
                          </wps:spPr>
                          <wps:bodyPr/>
                        </wps:wsp>
                        <wps:wsp>
                          <wps:cNvPr id="444" name="Line 1051"/>
                          <wps:cNvCnPr>
                            <a:cxnSpLocks noChangeShapeType="1"/>
                          </wps:cNvCnPr>
                          <wps:spPr bwMode="auto">
                            <a:xfrm>
                              <a:off x="4775" y="773"/>
                              <a:ext cx="0" cy="0"/>
                            </a:xfrm>
                            <a:prstGeom prst="line">
                              <a:avLst/>
                            </a:prstGeom>
                            <a:noFill/>
                            <a:ln w="5715">
                              <a:solidFill>
                                <a:srgbClr val="000000"/>
                              </a:solidFill>
                              <a:prstDash val="solid"/>
                              <a:round/>
                            </a:ln>
                          </wps:spPr>
                          <wps:bodyPr/>
                        </wps:wsp>
                        <wps:wsp>
                          <wps:cNvPr id="445" name="Line 1052"/>
                          <wps:cNvCnPr>
                            <a:cxnSpLocks noChangeShapeType="1"/>
                          </wps:cNvCnPr>
                          <wps:spPr bwMode="auto">
                            <a:xfrm>
                              <a:off x="4862" y="633"/>
                              <a:ext cx="1" cy="0"/>
                            </a:xfrm>
                            <a:prstGeom prst="line">
                              <a:avLst/>
                            </a:prstGeom>
                            <a:noFill/>
                            <a:ln w="5715">
                              <a:solidFill>
                                <a:srgbClr val="000000"/>
                              </a:solidFill>
                              <a:prstDash val="solid"/>
                              <a:round/>
                            </a:ln>
                          </wps:spPr>
                          <wps:bodyPr/>
                        </wps:wsp>
                        <wps:wsp>
                          <wps:cNvPr id="446" name="Line 1053"/>
                          <wps:cNvCnPr>
                            <a:cxnSpLocks noChangeShapeType="1"/>
                          </wps:cNvCnPr>
                          <wps:spPr bwMode="auto">
                            <a:xfrm>
                              <a:off x="5237" y="584"/>
                              <a:ext cx="0" cy="0"/>
                            </a:xfrm>
                            <a:prstGeom prst="line">
                              <a:avLst/>
                            </a:prstGeom>
                            <a:noFill/>
                            <a:ln w="5715">
                              <a:solidFill>
                                <a:srgbClr val="000000"/>
                              </a:solidFill>
                              <a:prstDash val="solid"/>
                              <a:round/>
                            </a:ln>
                          </wps:spPr>
                          <wps:bodyPr/>
                        </wps:wsp>
                        <wps:wsp>
                          <wps:cNvPr id="447" name="Line 1054"/>
                          <wps:cNvCnPr>
                            <a:cxnSpLocks noChangeShapeType="1"/>
                          </wps:cNvCnPr>
                          <wps:spPr bwMode="auto">
                            <a:xfrm>
                              <a:off x="5169" y="592"/>
                              <a:ext cx="1" cy="0"/>
                            </a:xfrm>
                            <a:prstGeom prst="line">
                              <a:avLst/>
                            </a:prstGeom>
                            <a:noFill/>
                            <a:ln w="5715">
                              <a:solidFill>
                                <a:srgbClr val="000000"/>
                              </a:solidFill>
                              <a:prstDash val="solid"/>
                              <a:round/>
                            </a:ln>
                          </wps:spPr>
                          <wps:bodyPr/>
                        </wps:wsp>
                        <wps:wsp>
                          <wps:cNvPr id="448" name="Line 1055"/>
                          <wps:cNvCnPr>
                            <a:cxnSpLocks noChangeShapeType="1"/>
                          </wps:cNvCnPr>
                          <wps:spPr bwMode="auto">
                            <a:xfrm>
                              <a:off x="5129" y="598"/>
                              <a:ext cx="0" cy="0"/>
                            </a:xfrm>
                            <a:prstGeom prst="line">
                              <a:avLst/>
                            </a:prstGeom>
                            <a:noFill/>
                            <a:ln w="5715">
                              <a:solidFill>
                                <a:srgbClr val="000000"/>
                              </a:solidFill>
                              <a:prstDash val="solid"/>
                              <a:round/>
                            </a:ln>
                          </wps:spPr>
                          <wps:bodyPr/>
                        </wps:wsp>
                        <wps:wsp>
                          <wps:cNvPr id="449" name="Line 1056"/>
                          <wps:cNvCnPr>
                            <a:cxnSpLocks noChangeShapeType="1"/>
                          </wps:cNvCnPr>
                          <wps:spPr bwMode="auto">
                            <a:xfrm>
                              <a:off x="5103" y="601"/>
                              <a:ext cx="1" cy="0"/>
                            </a:xfrm>
                            <a:prstGeom prst="line">
                              <a:avLst/>
                            </a:prstGeom>
                            <a:noFill/>
                            <a:ln w="5715">
                              <a:solidFill>
                                <a:srgbClr val="000000"/>
                              </a:solidFill>
                              <a:prstDash val="solid"/>
                              <a:round/>
                            </a:ln>
                          </wps:spPr>
                          <wps:bodyPr/>
                        </wps:wsp>
                        <wps:wsp>
                          <wps:cNvPr id="450" name="Line 1057"/>
                          <wps:cNvCnPr>
                            <a:cxnSpLocks noChangeShapeType="1"/>
                          </wps:cNvCnPr>
                          <wps:spPr bwMode="auto">
                            <a:xfrm>
                              <a:off x="5036" y="610"/>
                              <a:ext cx="0" cy="0"/>
                            </a:xfrm>
                            <a:prstGeom prst="line">
                              <a:avLst/>
                            </a:prstGeom>
                            <a:noFill/>
                            <a:ln w="5715">
                              <a:solidFill>
                                <a:srgbClr val="000000"/>
                              </a:solidFill>
                              <a:prstDash val="solid"/>
                              <a:round/>
                            </a:ln>
                          </wps:spPr>
                          <wps:bodyPr/>
                        </wps:wsp>
                        <wps:wsp>
                          <wps:cNvPr id="451" name="Line 1058"/>
                          <wps:cNvCnPr>
                            <a:cxnSpLocks noChangeShapeType="1"/>
                          </wps:cNvCnPr>
                          <wps:spPr bwMode="auto">
                            <a:xfrm>
                              <a:off x="4996" y="615"/>
                              <a:ext cx="0" cy="0"/>
                            </a:xfrm>
                            <a:prstGeom prst="line">
                              <a:avLst/>
                            </a:prstGeom>
                            <a:noFill/>
                            <a:ln w="5715">
                              <a:solidFill>
                                <a:srgbClr val="000000"/>
                              </a:solidFill>
                              <a:prstDash val="solid"/>
                              <a:round/>
                            </a:ln>
                          </wps:spPr>
                          <wps:bodyPr/>
                        </wps:wsp>
                        <wps:wsp>
                          <wps:cNvPr id="452" name="Line 1059"/>
                          <wps:cNvCnPr>
                            <a:cxnSpLocks noChangeShapeType="1"/>
                          </wps:cNvCnPr>
                          <wps:spPr bwMode="auto">
                            <a:xfrm>
                              <a:off x="4970" y="619"/>
                              <a:ext cx="0" cy="0"/>
                            </a:xfrm>
                            <a:prstGeom prst="line">
                              <a:avLst/>
                            </a:prstGeom>
                            <a:noFill/>
                            <a:ln w="5715">
                              <a:solidFill>
                                <a:srgbClr val="000000"/>
                              </a:solidFill>
                              <a:prstDash val="solid"/>
                              <a:round/>
                            </a:ln>
                          </wps:spPr>
                          <wps:bodyPr/>
                        </wps:wsp>
                        <wps:wsp>
                          <wps:cNvPr id="453" name="Line 1060"/>
                          <wps:cNvCnPr>
                            <a:cxnSpLocks noChangeShapeType="1"/>
                          </wps:cNvCnPr>
                          <wps:spPr bwMode="auto">
                            <a:xfrm>
                              <a:off x="4903" y="628"/>
                              <a:ext cx="0" cy="0"/>
                            </a:xfrm>
                            <a:prstGeom prst="line">
                              <a:avLst/>
                            </a:prstGeom>
                            <a:noFill/>
                            <a:ln w="5715">
                              <a:solidFill>
                                <a:srgbClr val="000000"/>
                              </a:solidFill>
                              <a:prstDash val="solid"/>
                              <a:round/>
                            </a:ln>
                          </wps:spPr>
                          <wps:bodyPr/>
                        </wps:wsp>
                        <wps:wsp>
                          <wps:cNvPr id="454" name="Line 1061"/>
                          <wps:cNvCnPr>
                            <a:cxnSpLocks noChangeShapeType="1"/>
                          </wps:cNvCnPr>
                          <wps:spPr bwMode="auto">
                            <a:xfrm>
                              <a:off x="4837" y="636"/>
                              <a:ext cx="0" cy="0"/>
                            </a:xfrm>
                            <a:prstGeom prst="line">
                              <a:avLst/>
                            </a:prstGeom>
                            <a:noFill/>
                            <a:ln w="5715">
                              <a:solidFill>
                                <a:srgbClr val="000000"/>
                              </a:solidFill>
                              <a:prstDash val="solid"/>
                              <a:round/>
                            </a:ln>
                          </wps:spPr>
                          <wps:bodyPr/>
                        </wps:wsp>
                        <wps:wsp>
                          <wps:cNvPr id="455" name="Line 1062"/>
                          <wps:cNvCnPr>
                            <a:cxnSpLocks noChangeShapeType="1"/>
                          </wps:cNvCnPr>
                          <wps:spPr bwMode="auto">
                            <a:xfrm>
                              <a:off x="4769" y="645"/>
                              <a:ext cx="0" cy="0"/>
                            </a:xfrm>
                            <a:prstGeom prst="line">
                              <a:avLst/>
                            </a:prstGeom>
                            <a:noFill/>
                            <a:ln w="5715">
                              <a:solidFill>
                                <a:srgbClr val="000000"/>
                              </a:solidFill>
                              <a:prstDash val="solid"/>
                              <a:round/>
                            </a:ln>
                          </wps:spPr>
                          <wps:bodyPr/>
                        </wps:wsp>
                        <wps:wsp>
                          <wps:cNvPr id="456" name="Line 1063"/>
                          <wps:cNvCnPr>
                            <a:cxnSpLocks noChangeShapeType="1"/>
                          </wps:cNvCnPr>
                          <wps:spPr bwMode="auto">
                            <a:xfrm>
                              <a:off x="4729" y="650"/>
                              <a:ext cx="0" cy="0"/>
                            </a:xfrm>
                            <a:prstGeom prst="line">
                              <a:avLst/>
                            </a:prstGeom>
                            <a:noFill/>
                            <a:ln w="5715">
                              <a:solidFill>
                                <a:srgbClr val="000000"/>
                              </a:solidFill>
                              <a:prstDash val="solid"/>
                              <a:round/>
                            </a:ln>
                          </wps:spPr>
                          <wps:bodyPr/>
                        </wps:wsp>
                        <wps:wsp>
                          <wps:cNvPr id="457" name="Line 1064"/>
                          <wps:cNvCnPr>
                            <a:cxnSpLocks noChangeShapeType="1"/>
                          </wps:cNvCnPr>
                          <wps:spPr bwMode="auto">
                            <a:xfrm>
                              <a:off x="4703" y="654"/>
                              <a:ext cx="0" cy="0"/>
                            </a:xfrm>
                            <a:prstGeom prst="line">
                              <a:avLst/>
                            </a:prstGeom>
                            <a:noFill/>
                            <a:ln w="5715">
                              <a:solidFill>
                                <a:srgbClr val="000000"/>
                              </a:solidFill>
                              <a:prstDash val="solid"/>
                              <a:round/>
                            </a:ln>
                          </wps:spPr>
                          <wps:bodyPr/>
                        </wps:wsp>
                        <wps:wsp>
                          <wps:cNvPr id="458" name="Line 1065"/>
                          <wps:cNvCnPr>
                            <a:cxnSpLocks noChangeShapeType="1"/>
                          </wps:cNvCnPr>
                          <wps:spPr bwMode="auto">
                            <a:xfrm>
                              <a:off x="5217" y="458"/>
                              <a:ext cx="0" cy="0"/>
                            </a:xfrm>
                            <a:prstGeom prst="line">
                              <a:avLst/>
                            </a:prstGeom>
                            <a:noFill/>
                            <a:ln w="5715">
                              <a:solidFill>
                                <a:srgbClr val="000000"/>
                              </a:solidFill>
                              <a:prstDash val="solid"/>
                              <a:round/>
                            </a:ln>
                          </wps:spPr>
                          <wps:bodyPr/>
                        </wps:wsp>
                        <wps:wsp>
                          <wps:cNvPr id="459" name="Line 1066"/>
                          <wps:cNvCnPr>
                            <a:cxnSpLocks noChangeShapeType="1"/>
                          </wps:cNvCnPr>
                          <wps:spPr bwMode="auto">
                            <a:xfrm>
                              <a:off x="5191" y="461"/>
                              <a:ext cx="0" cy="0"/>
                            </a:xfrm>
                            <a:prstGeom prst="line">
                              <a:avLst/>
                            </a:prstGeom>
                            <a:noFill/>
                            <a:ln w="5715">
                              <a:solidFill>
                                <a:srgbClr val="000000"/>
                              </a:solidFill>
                              <a:prstDash val="solid"/>
                              <a:round/>
                            </a:ln>
                          </wps:spPr>
                          <wps:bodyPr/>
                        </wps:wsp>
                        <wps:wsp>
                          <wps:cNvPr id="460" name="Line 1067"/>
                          <wps:cNvCnPr>
                            <a:cxnSpLocks noChangeShapeType="1"/>
                          </wps:cNvCnPr>
                          <wps:spPr bwMode="auto">
                            <a:xfrm>
                              <a:off x="5124" y="470"/>
                              <a:ext cx="0" cy="0"/>
                            </a:xfrm>
                            <a:prstGeom prst="line">
                              <a:avLst/>
                            </a:prstGeom>
                            <a:noFill/>
                            <a:ln w="5715">
                              <a:solidFill>
                                <a:srgbClr val="000000"/>
                              </a:solidFill>
                              <a:prstDash val="solid"/>
                              <a:round/>
                            </a:ln>
                          </wps:spPr>
                          <wps:bodyPr/>
                        </wps:wsp>
                        <wps:wsp>
                          <wps:cNvPr id="461" name="Line 1068"/>
                          <wps:cNvCnPr>
                            <a:cxnSpLocks noChangeShapeType="1"/>
                          </wps:cNvCnPr>
                          <wps:spPr bwMode="auto">
                            <a:xfrm>
                              <a:off x="5084" y="475"/>
                              <a:ext cx="0" cy="0"/>
                            </a:xfrm>
                            <a:prstGeom prst="line">
                              <a:avLst/>
                            </a:prstGeom>
                            <a:noFill/>
                            <a:ln w="5715">
                              <a:solidFill>
                                <a:srgbClr val="000000"/>
                              </a:solidFill>
                              <a:prstDash val="solid"/>
                              <a:round/>
                            </a:ln>
                          </wps:spPr>
                          <wps:bodyPr/>
                        </wps:wsp>
                        <wps:wsp>
                          <wps:cNvPr id="462" name="Line 1069"/>
                          <wps:cNvCnPr>
                            <a:cxnSpLocks noChangeShapeType="1"/>
                          </wps:cNvCnPr>
                          <wps:spPr bwMode="auto">
                            <a:xfrm>
                              <a:off x="5058" y="479"/>
                              <a:ext cx="0" cy="0"/>
                            </a:xfrm>
                            <a:prstGeom prst="line">
                              <a:avLst/>
                            </a:prstGeom>
                            <a:noFill/>
                            <a:ln w="5715">
                              <a:solidFill>
                                <a:srgbClr val="000000"/>
                              </a:solidFill>
                              <a:prstDash val="solid"/>
                              <a:round/>
                            </a:ln>
                          </wps:spPr>
                          <wps:bodyPr/>
                        </wps:wsp>
                        <wps:wsp>
                          <wps:cNvPr id="463" name="Line 1070"/>
                          <wps:cNvCnPr>
                            <a:cxnSpLocks noChangeShapeType="1"/>
                          </wps:cNvCnPr>
                          <wps:spPr bwMode="auto">
                            <a:xfrm>
                              <a:off x="4990" y="488"/>
                              <a:ext cx="1" cy="0"/>
                            </a:xfrm>
                            <a:prstGeom prst="line">
                              <a:avLst/>
                            </a:prstGeom>
                            <a:noFill/>
                            <a:ln w="5715">
                              <a:solidFill>
                                <a:srgbClr val="000000"/>
                              </a:solidFill>
                              <a:prstDash val="solid"/>
                              <a:round/>
                            </a:ln>
                          </wps:spPr>
                          <wps:bodyPr/>
                        </wps:wsp>
                        <wps:wsp>
                          <wps:cNvPr id="464" name="Line 1071"/>
                          <wps:cNvCnPr>
                            <a:cxnSpLocks noChangeShapeType="1"/>
                          </wps:cNvCnPr>
                          <wps:spPr bwMode="auto">
                            <a:xfrm>
                              <a:off x="4950" y="493"/>
                              <a:ext cx="0" cy="0"/>
                            </a:xfrm>
                            <a:prstGeom prst="line">
                              <a:avLst/>
                            </a:prstGeom>
                            <a:noFill/>
                            <a:ln w="5715">
                              <a:solidFill>
                                <a:srgbClr val="000000"/>
                              </a:solidFill>
                              <a:prstDash val="solid"/>
                              <a:round/>
                            </a:ln>
                          </wps:spPr>
                          <wps:bodyPr/>
                        </wps:wsp>
                        <wps:wsp>
                          <wps:cNvPr id="465" name="Line 1072"/>
                          <wps:cNvCnPr>
                            <a:cxnSpLocks noChangeShapeType="1"/>
                          </wps:cNvCnPr>
                          <wps:spPr bwMode="auto">
                            <a:xfrm>
                              <a:off x="4924" y="496"/>
                              <a:ext cx="1" cy="0"/>
                            </a:xfrm>
                            <a:prstGeom prst="line">
                              <a:avLst/>
                            </a:prstGeom>
                            <a:noFill/>
                            <a:ln w="5715">
                              <a:solidFill>
                                <a:srgbClr val="000000"/>
                              </a:solidFill>
                              <a:prstDash val="solid"/>
                              <a:round/>
                            </a:ln>
                          </wps:spPr>
                          <wps:bodyPr/>
                        </wps:wsp>
                        <wps:wsp>
                          <wps:cNvPr id="466" name="Line 1073"/>
                          <wps:cNvCnPr>
                            <a:cxnSpLocks noChangeShapeType="1"/>
                          </wps:cNvCnPr>
                          <wps:spPr bwMode="auto">
                            <a:xfrm>
                              <a:off x="4857" y="505"/>
                              <a:ext cx="0" cy="0"/>
                            </a:xfrm>
                            <a:prstGeom prst="line">
                              <a:avLst/>
                            </a:prstGeom>
                            <a:noFill/>
                            <a:ln w="5715">
                              <a:solidFill>
                                <a:srgbClr val="000000"/>
                              </a:solidFill>
                              <a:prstDash val="solid"/>
                              <a:round/>
                            </a:ln>
                          </wps:spPr>
                          <wps:bodyPr/>
                        </wps:wsp>
                        <wps:wsp>
                          <wps:cNvPr id="467" name="Line 1074"/>
                          <wps:cNvCnPr>
                            <a:cxnSpLocks noChangeShapeType="1"/>
                          </wps:cNvCnPr>
                          <wps:spPr bwMode="auto">
                            <a:xfrm>
                              <a:off x="4817" y="511"/>
                              <a:ext cx="0" cy="0"/>
                            </a:xfrm>
                            <a:prstGeom prst="line">
                              <a:avLst/>
                            </a:prstGeom>
                            <a:noFill/>
                            <a:ln w="5715">
                              <a:solidFill>
                                <a:srgbClr val="000000"/>
                              </a:solidFill>
                              <a:prstDash val="solid"/>
                              <a:round/>
                            </a:ln>
                          </wps:spPr>
                          <wps:bodyPr/>
                        </wps:wsp>
                        <wps:wsp>
                          <wps:cNvPr id="468" name="Line 1075"/>
                          <wps:cNvCnPr>
                            <a:cxnSpLocks noChangeShapeType="1"/>
                          </wps:cNvCnPr>
                          <wps:spPr bwMode="auto">
                            <a:xfrm>
                              <a:off x="4791" y="514"/>
                              <a:ext cx="0" cy="0"/>
                            </a:xfrm>
                            <a:prstGeom prst="line">
                              <a:avLst/>
                            </a:prstGeom>
                            <a:noFill/>
                            <a:ln w="5715">
                              <a:solidFill>
                                <a:srgbClr val="000000"/>
                              </a:solidFill>
                              <a:prstDash val="solid"/>
                              <a:round/>
                            </a:ln>
                          </wps:spPr>
                          <wps:bodyPr/>
                        </wps:wsp>
                        <wps:wsp>
                          <wps:cNvPr id="469" name="Line 1076"/>
                          <wps:cNvCnPr>
                            <a:cxnSpLocks noChangeShapeType="1"/>
                          </wps:cNvCnPr>
                          <wps:spPr bwMode="auto">
                            <a:xfrm>
                              <a:off x="4724" y="523"/>
                              <a:ext cx="0" cy="0"/>
                            </a:xfrm>
                            <a:prstGeom prst="line">
                              <a:avLst/>
                            </a:prstGeom>
                            <a:noFill/>
                            <a:ln w="5715">
                              <a:solidFill>
                                <a:srgbClr val="000000"/>
                              </a:solidFill>
                              <a:prstDash val="solid"/>
                              <a:round/>
                            </a:ln>
                          </wps:spPr>
                          <wps:bodyPr/>
                        </wps:wsp>
                        <wps:wsp>
                          <wps:cNvPr id="470" name="Line 1077"/>
                          <wps:cNvCnPr>
                            <a:cxnSpLocks noChangeShapeType="1"/>
                          </wps:cNvCnPr>
                          <wps:spPr bwMode="auto">
                            <a:xfrm>
                              <a:off x="4683" y="528"/>
                              <a:ext cx="1" cy="0"/>
                            </a:xfrm>
                            <a:prstGeom prst="line">
                              <a:avLst/>
                            </a:prstGeom>
                            <a:noFill/>
                            <a:ln w="5715">
                              <a:solidFill>
                                <a:srgbClr val="000000"/>
                              </a:solidFill>
                              <a:prstDash val="solid"/>
                              <a:round/>
                            </a:ln>
                          </wps:spPr>
                          <wps:bodyPr/>
                        </wps:wsp>
                        <wps:wsp>
                          <wps:cNvPr id="471" name="Line 1078"/>
                          <wps:cNvCnPr>
                            <a:cxnSpLocks noChangeShapeType="1"/>
                          </wps:cNvCnPr>
                          <wps:spPr bwMode="auto">
                            <a:xfrm>
                              <a:off x="5212" y="330"/>
                              <a:ext cx="0" cy="0"/>
                            </a:xfrm>
                            <a:prstGeom prst="line">
                              <a:avLst/>
                            </a:prstGeom>
                            <a:noFill/>
                            <a:ln w="5715">
                              <a:solidFill>
                                <a:srgbClr val="000000"/>
                              </a:solidFill>
                              <a:prstDash val="solid"/>
                              <a:round/>
                            </a:ln>
                          </wps:spPr>
                          <wps:bodyPr/>
                        </wps:wsp>
                        <wps:wsp>
                          <wps:cNvPr id="472" name="Line 1079"/>
                          <wps:cNvCnPr>
                            <a:cxnSpLocks noChangeShapeType="1"/>
                          </wps:cNvCnPr>
                          <wps:spPr bwMode="auto">
                            <a:xfrm>
                              <a:off x="5171" y="335"/>
                              <a:ext cx="0" cy="0"/>
                            </a:xfrm>
                            <a:prstGeom prst="line">
                              <a:avLst/>
                            </a:prstGeom>
                            <a:noFill/>
                            <a:ln w="5715">
                              <a:solidFill>
                                <a:srgbClr val="000000"/>
                              </a:solidFill>
                              <a:prstDash val="solid"/>
                              <a:round/>
                            </a:ln>
                          </wps:spPr>
                          <wps:bodyPr/>
                        </wps:wsp>
                        <wps:wsp>
                          <wps:cNvPr id="473" name="Line 1080"/>
                          <wps:cNvCnPr>
                            <a:cxnSpLocks noChangeShapeType="1"/>
                          </wps:cNvCnPr>
                          <wps:spPr bwMode="auto">
                            <a:xfrm>
                              <a:off x="5145" y="339"/>
                              <a:ext cx="1" cy="0"/>
                            </a:xfrm>
                            <a:prstGeom prst="line">
                              <a:avLst/>
                            </a:prstGeom>
                            <a:noFill/>
                            <a:ln w="5715">
                              <a:solidFill>
                                <a:srgbClr val="000000"/>
                              </a:solidFill>
                              <a:prstDash val="solid"/>
                              <a:round/>
                            </a:ln>
                          </wps:spPr>
                          <wps:bodyPr/>
                        </wps:wsp>
                        <wps:wsp>
                          <wps:cNvPr id="474" name="Line 1081"/>
                          <wps:cNvCnPr>
                            <a:cxnSpLocks noChangeShapeType="1"/>
                          </wps:cNvCnPr>
                          <wps:spPr bwMode="auto">
                            <a:xfrm>
                              <a:off x="5078" y="348"/>
                              <a:ext cx="0" cy="0"/>
                            </a:xfrm>
                            <a:prstGeom prst="line">
                              <a:avLst/>
                            </a:prstGeom>
                            <a:noFill/>
                            <a:ln w="5715">
                              <a:solidFill>
                                <a:srgbClr val="000000"/>
                              </a:solidFill>
                              <a:prstDash val="solid"/>
                              <a:round/>
                            </a:ln>
                          </wps:spPr>
                          <wps:bodyPr/>
                        </wps:wsp>
                        <wps:wsp>
                          <wps:cNvPr id="475" name="Line 1082"/>
                          <wps:cNvCnPr>
                            <a:cxnSpLocks noChangeShapeType="1"/>
                          </wps:cNvCnPr>
                          <wps:spPr bwMode="auto">
                            <a:xfrm>
                              <a:off x="5038" y="353"/>
                              <a:ext cx="0" cy="0"/>
                            </a:xfrm>
                            <a:prstGeom prst="line">
                              <a:avLst/>
                            </a:prstGeom>
                            <a:noFill/>
                            <a:ln w="5715">
                              <a:solidFill>
                                <a:srgbClr val="000000"/>
                              </a:solidFill>
                              <a:prstDash val="solid"/>
                              <a:round/>
                            </a:ln>
                          </wps:spPr>
                          <wps:bodyPr/>
                        </wps:wsp>
                        <wps:wsp>
                          <wps:cNvPr id="476" name="Line 1083"/>
                          <wps:cNvCnPr>
                            <a:cxnSpLocks noChangeShapeType="1"/>
                          </wps:cNvCnPr>
                          <wps:spPr bwMode="auto">
                            <a:xfrm>
                              <a:off x="5012" y="356"/>
                              <a:ext cx="0" cy="0"/>
                            </a:xfrm>
                            <a:prstGeom prst="line">
                              <a:avLst/>
                            </a:prstGeom>
                            <a:noFill/>
                            <a:ln w="5715">
                              <a:solidFill>
                                <a:srgbClr val="000000"/>
                              </a:solidFill>
                              <a:prstDash val="solid"/>
                              <a:round/>
                            </a:ln>
                          </wps:spPr>
                          <wps:bodyPr/>
                        </wps:wsp>
                        <wps:wsp>
                          <wps:cNvPr id="477" name="Line 1084"/>
                          <wps:cNvCnPr>
                            <a:cxnSpLocks noChangeShapeType="1"/>
                          </wps:cNvCnPr>
                          <wps:spPr bwMode="auto">
                            <a:xfrm>
                              <a:off x="4945" y="365"/>
                              <a:ext cx="0" cy="0"/>
                            </a:xfrm>
                            <a:prstGeom prst="line">
                              <a:avLst/>
                            </a:prstGeom>
                            <a:noFill/>
                            <a:ln w="5715">
                              <a:solidFill>
                                <a:srgbClr val="000000"/>
                              </a:solidFill>
                              <a:prstDash val="solid"/>
                              <a:round/>
                            </a:ln>
                          </wps:spPr>
                          <wps:bodyPr/>
                        </wps:wsp>
                        <wps:wsp>
                          <wps:cNvPr id="478" name="Line 1085"/>
                          <wps:cNvCnPr>
                            <a:cxnSpLocks noChangeShapeType="1"/>
                          </wps:cNvCnPr>
                          <wps:spPr bwMode="auto">
                            <a:xfrm>
                              <a:off x="4905" y="371"/>
                              <a:ext cx="0" cy="0"/>
                            </a:xfrm>
                            <a:prstGeom prst="line">
                              <a:avLst/>
                            </a:prstGeom>
                            <a:noFill/>
                            <a:ln w="5715">
                              <a:solidFill>
                                <a:srgbClr val="000000"/>
                              </a:solidFill>
                              <a:prstDash val="solid"/>
                              <a:round/>
                            </a:ln>
                          </wps:spPr>
                          <wps:bodyPr/>
                        </wps:wsp>
                        <wps:wsp>
                          <wps:cNvPr id="479" name="Line 1086"/>
                          <wps:cNvCnPr>
                            <a:cxnSpLocks noChangeShapeType="1"/>
                          </wps:cNvCnPr>
                          <wps:spPr bwMode="auto">
                            <a:xfrm>
                              <a:off x="4879" y="374"/>
                              <a:ext cx="0" cy="0"/>
                            </a:xfrm>
                            <a:prstGeom prst="line">
                              <a:avLst/>
                            </a:prstGeom>
                            <a:noFill/>
                            <a:ln w="5715">
                              <a:solidFill>
                                <a:srgbClr val="000000"/>
                              </a:solidFill>
                              <a:prstDash val="solid"/>
                              <a:round/>
                            </a:ln>
                          </wps:spPr>
                          <wps:bodyPr/>
                        </wps:wsp>
                        <wps:wsp>
                          <wps:cNvPr id="480" name="Line 1087"/>
                          <wps:cNvCnPr>
                            <a:cxnSpLocks noChangeShapeType="1"/>
                          </wps:cNvCnPr>
                          <wps:spPr bwMode="auto">
                            <a:xfrm>
                              <a:off x="4811" y="383"/>
                              <a:ext cx="0" cy="0"/>
                            </a:xfrm>
                            <a:prstGeom prst="line">
                              <a:avLst/>
                            </a:prstGeom>
                            <a:noFill/>
                            <a:ln w="5715">
                              <a:solidFill>
                                <a:srgbClr val="000000"/>
                              </a:solidFill>
                              <a:prstDash val="solid"/>
                              <a:round/>
                            </a:ln>
                          </wps:spPr>
                          <wps:bodyPr/>
                        </wps:wsp>
                        <wps:wsp>
                          <wps:cNvPr id="481" name="Line 1088"/>
                          <wps:cNvCnPr>
                            <a:cxnSpLocks noChangeShapeType="1"/>
                          </wps:cNvCnPr>
                          <wps:spPr bwMode="auto">
                            <a:xfrm>
                              <a:off x="4771" y="388"/>
                              <a:ext cx="0" cy="0"/>
                            </a:xfrm>
                            <a:prstGeom prst="line">
                              <a:avLst/>
                            </a:prstGeom>
                            <a:noFill/>
                            <a:ln w="5715">
                              <a:solidFill>
                                <a:srgbClr val="000000"/>
                              </a:solidFill>
                              <a:prstDash val="solid"/>
                              <a:round/>
                            </a:ln>
                          </wps:spPr>
                          <wps:bodyPr/>
                        </wps:wsp>
                        <wps:wsp>
                          <wps:cNvPr id="482" name="Line 1089"/>
                          <wps:cNvCnPr>
                            <a:cxnSpLocks noChangeShapeType="1"/>
                          </wps:cNvCnPr>
                          <wps:spPr bwMode="auto">
                            <a:xfrm>
                              <a:off x="4745" y="392"/>
                              <a:ext cx="0" cy="0"/>
                            </a:xfrm>
                            <a:prstGeom prst="line">
                              <a:avLst/>
                            </a:prstGeom>
                            <a:noFill/>
                            <a:ln w="5715">
                              <a:solidFill>
                                <a:srgbClr val="000000"/>
                              </a:solidFill>
                              <a:prstDash val="solid"/>
                              <a:round/>
                            </a:ln>
                          </wps:spPr>
                          <wps:bodyPr/>
                        </wps:wsp>
                        <wps:wsp>
                          <wps:cNvPr id="483" name="Line 1090"/>
                          <wps:cNvCnPr>
                            <a:cxnSpLocks noChangeShapeType="1"/>
                          </wps:cNvCnPr>
                          <wps:spPr bwMode="auto">
                            <a:xfrm>
                              <a:off x="5100" y="217"/>
                              <a:ext cx="0" cy="0"/>
                            </a:xfrm>
                            <a:prstGeom prst="line">
                              <a:avLst/>
                            </a:prstGeom>
                            <a:noFill/>
                            <a:ln w="5715">
                              <a:solidFill>
                                <a:srgbClr val="000000"/>
                              </a:solidFill>
                              <a:prstDash val="solid"/>
                              <a:round/>
                            </a:ln>
                          </wps:spPr>
                          <wps:bodyPr/>
                        </wps:wsp>
                        <wps:wsp>
                          <wps:cNvPr id="484" name="Line 1091"/>
                          <wps:cNvCnPr>
                            <a:cxnSpLocks noChangeShapeType="1"/>
                          </wps:cNvCnPr>
                          <wps:spPr bwMode="auto">
                            <a:xfrm>
                              <a:off x="4966" y="234"/>
                              <a:ext cx="1" cy="0"/>
                            </a:xfrm>
                            <a:prstGeom prst="line">
                              <a:avLst/>
                            </a:prstGeom>
                            <a:noFill/>
                            <a:ln w="5715">
                              <a:solidFill>
                                <a:srgbClr val="000000"/>
                              </a:solidFill>
                              <a:prstDash val="solid"/>
                              <a:round/>
                            </a:ln>
                          </wps:spPr>
                          <wps:bodyPr/>
                        </wps:wsp>
                        <wps:wsp>
                          <wps:cNvPr id="485" name="Line 1092"/>
                          <wps:cNvCnPr>
                            <a:cxnSpLocks noChangeShapeType="1"/>
                          </wps:cNvCnPr>
                          <wps:spPr bwMode="auto">
                            <a:xfrm>
                              <a:off x="4899" y="243"/>
                              <a:ext cx="0" cy="0"/>
                            </a:xfrm>
                            <a:prstGeom prst="line">
                              <a:avLst/>
                            </a:prstGeom>
                            <a:noFill/>
                            <a:ln w="5715">
                              <a:solidFill>
                                <a:srgbClr val="000000"/>
                              </a:solidFill>
                              <a:prstDash val="solid"/>
                              <a:round/>
                            </a:ln>
                          </wps:spPr>
                          <wps:bodyPr/>
                        </wps:wsp>
                        <wps:wsp>
                          <wps:cNvPr id="486" name="Line 1093"/>
                          <wps:cNvCnPr>
                            <a:cxnSpLocks noChangeShapeType="1"/>
                          </wps:cNvCnPr>
                          <wps:spPr bwMode="auto">
                            <a:xfrm>
                              <a:off x="4859" y="248"/>
                              <a:ext cx="0" cy="0"/>
                            </a:xfrm>
                            <a:prstGeom prst="line">
                              <a:avLst/>
                            </a:prstGeom>
                            <a:noFill/>
                            <a:ln w="5715">
                              <a:solidFill>
                                <a:srgbClr val="000000"/>
                              </a:solidFill>
                              <a:prstDash val="solid"/>
                              <a:round/>
                            </a:ln>
                          </wps:spPr>
                          <wps:bodyPr/>
                        </wps:wsp>
                        <wps:wsp>
                          <wps:cNvPr id="487" name="Line 1094"/>
                          <wps:cNvCnPr>
                            <a:cxnSpLocks noChangeShapeType="1"/>
                          </wps:cNvCnPr>
                          <wps:spPr bwMode="auto">
                            <a:xfrm>
                              <a:off x="4833" y="252"/>
                              <a:ext cx="0" cy="0"/>
                            </a:xfrm>
                            <a:prstGeom prst="line">
                              <a:avLst/>
                            </a:prstGeom>
                            <a:noFill/>
                            <a:ln w="5715">
                              <a:solidFill>
                                <a:srgbClr val="000000"/>
                              </a:solidFill>
                              <a:prstDash val="solid"/>
                              <a:round/>
                            </a:ln>
                          </wps:spPr>
                          <wps:bodyPr/>
                        </wps:wsp>
                        <wps:wsp>
                          <wps:cNvPr id="488" name="Line 1095"/>
                          <wps:cNvCnPr>
                            <a:cxnSpLocks noChangeShapeType="1"/>
                          </wps:cNvCnPr>
                          <wps:spPr bwMode="auto">
                            <a:xfrm>
                              <a:off x="4766" y="261"/>
                              <a:ext cx="0" cy="0"/>
                            </a:xfrm>
                            <a:prstGeom prst="line">
                              <a:avLst/>
                            </a:prstGeom>
                            <a:noFill/>
                            <a:ln w="5715">
                              <a:solidFill>
                                <a:srgbClr val="000000"/>
                              </a:solidFill>
                              <a:prstDash val="solid"/>
                              <a:round/>
                            </a:ln>
                          </wps:spPr>
                          <wps:bodyPr/>
                        </wps:wsp>
                        <wps:wsp>
                          <wps:cNvPr id="489" name="Line 1096"/>
                          <wps:cNvCnPr>
                            <a:cxnSpLocks noChangeShapeType="1"/>
                          </wps:cNvCnPr>
                          <wps:spPr bwMode="auto">
                            <a:xfrm>
                              <a:off x="4725" y="266"/>
                              <a:ext cx="1" cy="0"/>
                            </a:xfrm>
                            <a:prstGeom prst="line">
                              <a:avLst/>
                            </a:prstGeom>
                            <a:noFill/>
                            <a:ln w="5715">
                              <a:solidFill>
                                <a:srgbClr val="000000"/>
                              </a:solidFill>
                              <a:prstDash val="solid"/>
                              <a:round/>
                            </a:ln>
                          </wps:spPr>
                          <wps:bodyPr/>
                        </wps:wsp>
                        <wps:wsp>
                          <wps:cNvPr id="490" name="Line 1097"/>
                          <wps:cNvCnPr>
                            <a:cxnSpLocks noChangeShapeType="1"/>
                          </wps:cNvCnPr>
                          <wps:spPr bwMode="auto">
                            <a:xfrm>
                              <a:off x="4700" y="269"/>
                              <a:ext cx="0" cy="0"/>
                            </a:xfrm>
                            <a:prstGeom prst="line">
                              <a:avLst/>
                            </a:prstGeom>
                            <a:noFill/>
                            <a:ln w="5715">
                              <a:solidFill>
                                <a:srgbClr val="000000"/>
                              </a:solidFill>
                              <a:prstDash val="solid"/>
                              <a:round/>
                            </a:ln>
                          </wps:spPr>
                          <wps:bodyPr/>
                        </wps:wsp>
                        <wps:wsp>
                          <wps:cNvPr id="491" name="Line 1098"/>
                          <wps:cNvCnPr>
                            <a:cxnSpLocks noChangeShapeType="1"/>
                          </wps:cNvCnPr>
                          <wps:spPr bwMode="auto">
                            <a:xfrm>
                              <a:off x="5189" y="681"/>
                              <a:ext cx="1" cy="0"/>
                            </a:xfrm>
                            <a:prstGeom prst="line">
                              <a:avLst/>
                            </a:prstGeom>
                            <a:noFill/>
                            <a:ln w="5715">
                              <a:solidFill>
                                <a:srgbClr val="000000"/>
                              </a:solidFill>
                              <a:prstDash val="solid"/>
                              <a:round/>
                            </a:ln>
                          </wps:spPr>
                          <wps:bodyPr/>
                        </wps:wsp>
                        <wps:wsp>
                          <wps:cNvPr id="492" name="Line 1099"/>
                          <wps:cNvCnPr>
                            <a:cxnSpLocks noChangeShapeType="1"/>
                          </wps:cNvCnPr>
                          <wps:spPr bwMode="auto">
                            <a:xfrm>
                              <a:off x="5123" y="733"/>
                              <a:ext cx="0" cy="0"/>
                            </a:xfrm>
                            <a:prstGeom prst="line">
                              <a:avLst/>
                            </a:prstGeom>
                            <a:noFill/>
                            <a:ln w="5715">
                              <a:solidFill>
                                <a:srgbClr val="000000"/>
                              </a:solidFill>
                              <a:prstDash val="solid"/>
                              <a:round/>
                            </a:ln>
                          </wps:spPr>
                          <wps:bodyPr/>
                        </wps:wsp>
                        <wps:wsp>
                          <wps:cNvPr id="493" name="Line 1100"/>
                          <wps:cNvCnPr>
                            <a:cxnSpLocks noChangeShapeType="1"/>
                          </wps:cNvCnPr>
                          <wps:spPr bwMode="auto">
                            <a:xfrm>
                              <a:off x="5186" y="586"/>
                              <a:ext cx="1" cy="0"/>
                            </a:xfrm>
                            <a:prstGeom prst="line">
                              <a:avLst/>
                            </a:prstGeom>
                            <a:noFill/>
                            <a:ln w="5715">
                              <a:solidFill>
                                <a:srgbClr val="000000"/>
                              </a:solidFill>
                              <a:prstDash val="solid"/>
                              <a:round/>
                            </a:ln>
                          </wps:spPr>
                          <wps:bodyPr/>
                        </wps:wsp>
                        <wps:wsp>
                          <wps:cNvPr id="494" name="Line 1101"/>
                          <wps:cNvCnPr>
                            <a:cxnSpLocks noChangeShapeType="1"/>
                          </wps:cNvCnPr>
                          <wps:spPr bwMode="auto">
                            <a:xfrm>
                              <a:off x="5120" y="637"/>
                              <a:ext cx="0" cy="0"/>
                            </a:xfrm>
                            <a:prstGeom prst="line">
                              <a:avLst/>
                            </a:prstGeom>
                            <a:noFill/>
                            <a:ln w="5715">
                              <a:solidFill>
                                <a:srgbClr val="000000"/>
                              </a:solidFill>
                              <a:prstDash val="solid"/>
                              <a:round/>
                            </a:ln>
                          </wps:spPr>
                          <wps:bodyPr/>
                        </wps:wsp>
                        <wps:wsp>
                          <wps:cNvPr id="495" name="Line 1102"/>
                          <wps:cNvCnPr>
                            <a:cxnSpLocks noChangeShapeType="1"/>
                          </wps:cNvCnPr>
                          <wps:spPr bwMode="auto">
                            <a:xfrm>
                              <a:off x="5060" y="683"/>
                              <a:ext cx="0" cy="0"/>
                            </a:xfrm>
                            <a:prstGeom prst="line">
                              <a:avLst/>
                            </a:prstGeom>
                            <a:noFill/>
                            <a:ln w="5715">
                              <a:solidFill>
                                <a:srgbClr val="000000"/>
                              </a:solidFill>
                              <a:prstDash val="solid"/>
                              <a:round/>
                            </a:ln>
                          </wps:spPr>
                          <wps:bodyPr/>
                        </wps:wsp>
                        <wps:wsp>
                          <wps:cNvPr id="496" name="Line 1103"/>
                          <wps:cNvCnPr>
                            <a:cxnSpLocks noChangeShapeType="1"/>
                          </wps:cNvCnPr>
                          <wps:spPr bwMode="auto">
                            <a:xfrm>
                              <a:off x="4996" y="732"/>
                              <a:ext cx="0" cy="0"/>
                            </a:xfrm>
                            <a:prstGeom prst="line">
                              <a:avLst/>
                            </a:prstGeom>
                            <a:noFill/>
                            <a:ln w="5715">
                              <a:solidFill>
                                <a:srgbClr val="000000"/>
                              </a:solidFill>
                              <a:prstDash val="solid"/>
                              <a:round/>
                            </a:ln>
                          </wps:spPr>
                          <wps:bodyPr/>
                        </wps:wsp>
                        <wps:wsp>
                          <wps:cNvPr id="497" name="Line 1104"/>
                          <wps:cNvCnPr>
                            <a:cxnSpLocks noChangeShapeType="1"/>
                          </wps:cNvCnPr>
                          <wps:spPr bwMode="auto">
                            <a:xfrm>
                              <a:off x="5183" y="491"/>
                              <a:ext cx="1" cy="0"/>
                            </a:xfrm>
                            <a:prstGeom prst="line">
                              <a:avLst/>
                            </a:prstGeom>
                            <a:noFill/>
                            <a:ln w="5715">
                              <a:solidFill>
                                <a:srgbClr val="000000"/>
                              </a:solidFill>
                              <a:prstDash val="solid"/>
                              <a:round/>
                            </a:ln>
                          </wps:spPr>
                          <wps:bodyPr/>
                        </wps:wsp>
                        <wps:wsp>
                          <wps:cNvPr id="498" name="Line 1105"/>
                          <wps:cNvCnPr>
                            <a:cxnSpLocks noChangeShapeType="1"/>
                          </wps:cNvCnPr>
                          <wps:spPr bwMode="auto">
                            <a:xfrm>
                              <a:off x="5116" y="542"/>
                              <a:ext cx="1" cy="0"/>
                            </a:xfrm>
                            <a:prstGeom prst="line">
                              <a:avLst/>
                            </a:prstGeom>
                            <a:noFill/>
                            <a:ln w="5715">
                              <a:solidFill>
                                <a:srgbClr val="000000"/>
                              </a:solidFill>
                              <a:prstDash val="solid"/>
                              <a:round/>
                            </a:ln>
                          </wps:spPr>
                          <wps:bodyPr/>
                        </wps:wsp>
                        <wps:wsp>
                          <wps:cNvPr id="499" name="Line 1106"/>
                          <wps:cNvCnPr>
                            <a:cxnSpLocks noChangeShapeType="1"/>
                          </wps:cNvCnPr>
                          <wps:spPr bwMode="auto">
                            <a:xfrm>
                              <a:off x="5057" y="588"/>
                              <a:ext cx="0" cy="0"/>
                            </a:xfrm>
                            <a:prstGeom prst="line">
                              <a:avLst/>
                            </a:prstGeom>
                            <a:noFill/>
                            <a:ln w="5715">
                              <a:solidFill>
                                <a:srgbClr val="000000"/>
                              </a:solidFill>
                              <a:prstDash val="solid"/>
                              <a:round/>
                            </a:ln>
                          </wps:spPr>
                          <wps:bodyPr/>
                        </wps:wsp>
                        <wps:wsp>
                          <wps:cNvPr id="500" name="Line 1107"/>
                          <wps:cNvCnPr>
                            <a:cxnSpLocks noChangeShapeType="1"/>
                          </wps:cNvCnPr>
                          <wps:spPr bwMode="auto">
                            <a:xfrm>
                              <a:off x="4993" y="637"/>
                              <a:ext cx="0" cy="0"/>
                            </a:xfrm>
                            <a:prstGeom prst="line">
                              <a:avLst/>
                            </a:prstGeom>
                            <a:noFill/>
                            <a:ln w="5715">
                              <a:solidFill>
                                <a:srgbClr val="000000"/>
                              </a:solidFill>
                              <a:prstDash val="solid"/>
                              <a:round/>
                            </a:ln>
                          </wps:spPr>
                          <wps:bodyPr/>
                        </wps:wsp>
                        <wps:wsp>
                          <wps:cNvPr id="501" name="Line 1108"/>
                          <wps:cNvCnPr>
                            <a:cxnSpLocks noChangeShapeType="1"/>
                          </wps:cNvCnPr>
                          <wps:spPr bwMode="auto">
                            <a:xfrm>
                              <a:off x="4926" y="688"/>
                              <a:ext cx="0" cy="0"/>
                            </a:xfrm>
                            <a:prstGeom prst="line">
                              <a:avLst/>
                            </a:prstGeom>
                            <a:noFill/>
                            <a:ln w="5715">
                              <a:solidFill>
                                <a:srgbClr val="000000"/>
                              </a:solidFill>
                              <a:prstDash val="solid"/>
                              <a:round/>
                            </a:ln>
                          </wps:spPr>
                          <wps:bodyPr/>
                        </wps:wsp>
                        <wps:wsp>
                          <wps:cNvPr id="502" name="Line 1109"/>
                          <wps:cNvCnPr>
                            <a:cxnSpLocks noChangeShapeType="1"/>
                          </wps:cNvCnPr>
                          <wps:spPr bwMode="auto">
                            <a:xfrm>
                              <a:off x="4866" y="734"/>
                              <a:ext cx="0" cy="0"/>
                            </a:xfrm>
                            <a:prstGeom prst="line">
                              <a:avLst/>
                            </a:prstGeom>
                            <a:noFill/>
                            <a:ln w="5715">
                              <a:solidFill>
                                <a:srgbClr val="000000"/>
                              </a:solidFill>
                              <a:prstDash val="solid"/>
                              <a:round/>
                            </a:ln>
                          </wps:spPr>
                          <wps:bodyPr/>
                        </wps:wsp>
                        <wps:wsp>
                          <wps:cNvPr id="503" name="Line 1110"/>
                          <wps:cNvCnPr>
                            <a:cxnSpLocks noChangeShapeType="1"/>
                          </wps:cNvCnPr>
                          <wps:spPr bwMode="auto">
                            <a:xfrm>
                              <a:off x="5244" y="346"/>
                              <a:ext cx="0" cy="0"/>
                            </a:xfrm>
                            <a:prstGeom prst="line">
                              <a:avLst/>
                            </a:prstGeom>
                            <a:noFill/>
                            <a:ln w="5715">
                              <a:solidFill>
                                <a:srgbClr val="000000"/>
                              </a:solidFill>
                              <a:prstDash val="solid"/>
                              <a:round/>
                            </a:ln>
                          </wps:spPr>
                          <wps:bodyPr/>
                        </wps:wsp>
                        <wps:wsp>
                          <wps:cNvPr id="504" name="Line 1111"/>
                          <wps:cNvCnPr>
                            <a:cxnSpLocks noChangeShapeType="1"/>
                          </wps:cNvCnPr>
                          <wps:spPr bwMode="auto">
                            <a:xfrm>
                              <a:off x="5180" y="395"/>
                              <a:ext cx="0" cy="0"/>
                            </a:xfrm>
                            <a:prstGeom prst="line">
                              <a:avLst/>
                            </a:prstGeom>
                            <a:noFill/>
                            <a:ln w="5715">
                              <a:solidFill>
                                <a:srgbClr val="000000"/>
                              </a:solidFill>
                              <a:prstDash val="solid"/>
                              <a:round/>
                            </a:ln>
                          </wps:spPr>
                          <wps:bodyPr/>
                        </wps:wsp>
                        <wps:wsp>
                          <wps:cNvPr id="505" name="Line 1112"/>
                          <wps:cNvCnPr>
                            <a:cxnSpLocks noChangeShapeType="1"/>
                          </wps:cNvCnPr>
                          <wps:spPr bwMode="auto">
                            <a:xfrm>
                              <a:off x="5113" y="446"/>
                              <a:ext cx="1" cy="0"/>
                            </a:xfrm>
                            <a:prstGeom prst="line">
                              <a:avLst/>
                            </a:prstGeom>
                            <a:noFill/>
                            <a:ln w="5715">
                              <a:solidFill>
                                <a:srgbClr val="000000"/>
                              </a:solidFill>
                              <a:prstDash val="solid"/>
                              <a:round/>
                            </a:ln>
                          </wps:spPr>
                          <wps:bodyPr/>
                        </wps:wsp>
                        <wps:wsp>
                          <wps:cNvPr id="506" name="Line 1113"/>
                          <wps:cNvCnPr>
                            <a:cxnSpLocks noChangeShapeType="1"/>
                          </wps:cNvCnPr>
                          <wps:spPr bwMode="auto">
                            <a:xfrm>
                              <a:off x="5054" y="492"/>
                              <a:ext cx="0" cy="0"/>
                            </a:xfrm>
                            <a:prstGeom prst="line">
                              <a:avLst/>
                            </a:prstGeom>
                            <a:noFill/>
                            <a:ln w="5715">
                              <a:solidFill>
                                <a:srgbClr val="000000"/>
                              </a:solidFill>
                              <a:prstDash val="solid"/>
                              <a:round/>
                            </a:ln>
                          </wps:spPr>
                          <wps:bodyPr/>
                        </wps:wsp>
                        <wps:wsp>
                          <wps:cNvPr id="507" name="Line 1114"/>
                          <wps:cNvCnPr>
                            <a:cxnSpLocks noChangeShapeType="1"/>
                          </wps:cNvCnPr>
                          <wps:spPr bwMode="auto">
                            <a:xfrm>
                              <a:off x="4990" y="541"/>
                              <a:ext cx="0" cy="0"/>
                            </a:xfrm>
                            <a:prstGeom prst="line">
                              <a:avLst/>
                            </a:prstGeom>
                            <a:noFill/>
                            <a:ln w="5715">
                              <a:solidFill>
                                <a:srgbClr val="000000"/>
                              </a:solidFill>
                              <a:prstDash val="solid"/>
                              <a:round/>
                            </a:ln>
                          </wps:spPr>
                          <wps:bodyPr/>
                        </wps:wsp>
                        <wps:wsp>
                          <wps:cNvPr id="508" name="Line 1115"/>
                          <wps:cNvCnPr>
                            <a:cxnSpLocks noChangeShapeType="1"/>
                          </wps:cNvCnPr>
                          <wps:spPr bwMode="auto">
                            <a:xfrm>
                              <a:off x="4923" y="592"/>
                              <a:ext cx="0" cy="0"/>
                            </a:xfrm>
                            <a:prstGeom prst="line">
                              <a:avLst/>
                            </a:prstGeom>
                            <a:noFill/>
                            <a:ln w="5715">
                              <a:solidFill>
                                <a:srgbClr val="000000"/>
                              </a:solidFill>
                              <a:prstDash val="solid"/>
                              <a:round/>
                            </a:ln>
                          </wps:spPr>
                          <wps:bodyPr/>
                        </wps:wsp>
                        <wps:wsp>
                          <wps:cNvPr id="509" name="Line 1116"/>
                          <wps:cNvCnPr>
                            <a:cxnSpLocks noChangeShapeType="1"/>
                          </wps:cNvCnPr>
                          <wps:spPr bwMode="auto">
                            <a:xfrm>
                              <a:off x="4863" y="638"/>
                              <a:ext cx="0" cy="0"/>
                            </a:xfrm>
                            <a:prstGeom prst="line">
                              <a:avLst/>
                            </a:prstGeom>
                            <a:noFill/>
                            <a:ln w="5715">
                              <a:solidFill>
                                <a:srgbClr val="000000"/>
                              </a:solidFill>
                              <a:prstDash val="solid"/>
                              <a:round/>
                            </a:ln>
                          </wps:spPr>
                          <wps:bodyPr/>
                        </wps:wsp>
                        <wps:wsp>
                          <wps:cNvPr id="510" name="Line 1117"/>
                          <wps:cNvCnPr>
                            <a:cxnSpLocks noChangeShapeType="1"/>
                          </wps:cNvCnPr>
                          <wps:spPr bwMode="auto">
                            <a:xfrm>
                              <a:off x="4799" y="688"/>
                              <a:ext cx="0" cy="0"/>
                            </a:xfrm>
                            <a:prstGeom prst="line">
                              <a:avLst/>
                            </a:prstGeom>
                            <a:noFill/>
                            <a:ln w="5715">
                              <a:solidFill>
                                <a:srgbClr val="000000"/>
                              </a:solidFill>
                              <a:prstDash val="solid"/>
                              <a:round/>
                            </a:ln>
                          </wps:spPr>
                          <wps:bodyPr/>
                        </wps:wsp>
                        <wps:wsp>
                          <wps:cNvPr id="511" name="Line 1118"/>
                          <wps:cNvCnPr>
                            <a:cxnSpLocks noChangeShapeType="1"/>
                          </wps:cNvCnPr>
                          <wps:spPr bwMode="auto">
                            <a:xfrm>
                              <a:off x="4732" y="739"/>
                              <a:ext cx="1" cy="0"/>
                            </a:xfrm>
                            <a:prstGeom prst="line">
                              <a:avLst/>
                            </a:prstGeom>
                            <a:noFill/>
                            <a:ln w="5715">
                              <a:solidFill>
                                <a:srgbClr val="000000"/>
                              </a:solidFill>
                              <a:prstDash val="solid"/>
                              <a:round/>
                            </a:ln>
                          </wps:spPr>
                          <wps:bodyPr/>
                        </wps:wsp>
                        <wps:wsp>
                          <wps:cNvPr id="512" name="Line 1119"/>
                          <wps:cNvCnPr>
                            <a:cxnSpLocks noChangeShapeType="1"/>
                          </wps:cNvCnPr>
                          <wps:spPr bwMode="auto">
                            <a:xfrm>
                              <a:off x="5241" y="251"/>
                              <a:ext cx="0" cy="0"/>
                            </a:xfrm>
                            <a:prstGeom prst="line">
                              <a:avLst/>
                            </a:prstGeom>
                            <a:noFill/>
                            <a:ln w="5715">
                              <a:solidFill>
                                <a:srgbClr val="000000"/>
                              </a:solidFill>
                              <a:prstDash val="solid"/>
                              <a:round/>
                            </a:ln>
                          </wps:spPr>
                          <wps:bodyPr/>
                        </wps:wsp>
                        <wps:wsp>
                          <wps:cNvPr id="513" name="Line 1120"/>
                          <wps:cNvCnPr>
                            <a:cxnSpLocks noChangeShapeType="1"/>
                          </wps:cNvCnPr>
                          <wps:spPr bwMode="auto">
                            <a:xfrm>
                              <a:off x="5177" y="300"/>
                              <a:ext cx="0" cy="0"/>
                            </a:xfrm>
                            <a:prstGeom prst="line">
                              <a:avLst/>
                            </a:prstGeom>
                            <a:noFill/>
                            <a:ln w="5715">
                              <a:solidFill>
                                <a:srgbClr val="000000"/>
                              </a:solidFill>
                              <a:prstDash val="solid"/>
                              <a:round/>
                            </a:ln>
                          </wps:spPr>
                          <wps:bodyPr/>
                        </wps:wsp>
                        <wps:wsp>
                          <wps:cNvPr id="514" name="Line 1121"/>
                          <wps:cNvCnPr>
                            <a:cxnSpLocks noChangeShapeType="1"/>
                          </wps:cNvCnPr>
                          <wps:spPr bwMode="auto">
                            <a:xfrm>
                              <a:off x="5110" y="351"/>
                              <a:ext cx="0" cy="0"/>
                            </a:xfrm>
                            <a:prstGeom prst="line">
                              <a:avLst/>
                            </a:prstGeom>
                            <a:noFill/>
                            <a:ln w="5715">
                              <a:solidFill>
                                <a:srgbClr val="000000"/>
                              </a:solidFill>
                              <a:prstDash val="solid"/>
                              <a:round/>
                            </a:ln>
                          </wps:spPr>
                          <wps:bodyPr/>
                        </wps:wsp>
                        <wps:wsp>
                          <wps:cNvPr id="515" name="Line 1122"/>
                          <wps:cNvCnPr>
                            <a:cxnSpLocks noChangeShapeType="1"/>
                          </wps:cNvCnPr>
                          <wps:spPr bwMode="auto">
                            <a:xfrm>
                              <a:off x="5050" y="397"/>
                              <a:ext cx="1" cy="0"/>
                            </a:xfrm>
                            <a:prstGeom prst="line">
                              <a:avLst/>
                            </a:prstGeom>
                            <a:noFill/>
                            <a:ln w="5715">
                              <a:solidFill>
                                <a:srgbClr val="000000"/>
                              </a:solidFill>
                              <a:prstDash val="solid"/>
                              <a:round/>
                            </a:ln>
                          </wps:spPr>
                          <wps:bodyPr/>
                        </wps:wsp>
                        <wps:wsp>
                          <wps:cNvPr id="516" name="Line 1123"/>
                          <wps:cNvCnPr>
                            <a:cxnSpLocks noChangeShapeType="1"/>
                          </wps:cNvCnPr>
                          <wps:spPr bwMode="auto">
                            <a:xfrm>
                              <a:off x="4987" y="446"/>
                              <a:ext cx="0" cy="0"/>
                            </a:xfrm>
                            <a:prstGeom prst="line">
                              <a:avLst/>
                            </a:prstGeom>
                            <a:noFill/>
                            <a:ln w="5715">
                              <a:solidFill>
                                <a:srgbClr val="000000"/>
                              </a:solidFill>
                              <a:prstDash val="solid"/>
                              <a:round/>
                            </a:ln>
                          </wps:spPr>
                          <wps:bodyPr/>
                        </wps:wsp>
                        <wps:wsp>
                          <wps:cNvPr id="517" name="Line 1124"/>
                          <wps:cNvCnPr>
                            <a:cxnSpLocks noChangeShapeType="1"/>
                          </wps:cNvCnPr>
                          <wps:spPr bwMode="auto">
                            <a:xfrm>
                              <a:off x="4920" y="497"/>
                              <a:ext cx="0" cy="0"/>
                            </a:xfrm>
                            <a:prstGeom prst="line">
                              <a:avLst/>
                            </a:prstGeom>
                            <a:noFill/>
                            <a:ln w="5715">
                              <a:solidFill>
                                <a:srgbClr val="000000"/>
                              </a:solidFill>
                              <a:prstDash val="solid"/>
                              <a:round/>
                            </a:ln>
                          </wps:spPr>
                          <wps:bodyPr/>
                        </wps:wsp>
                        <wps:wsp>
                          <wps:cNvPr id="518" name="Line 1125"/>
                          <wps:cNvCnPr>
                            <a:cxnSpLocks noChangeShapeType="1"/>
                          </wps:cNvCnPr>
                          <wps:spPr bwMode="auto">
                            <a:xfrm>
                              <a:off x="4860" y="543"/>
                              <a:ext cx="0" cy="0"/>
                            </a:xfrm>
                            <a:prstGeom prst="line">
                              <a:avLst/>
                            </a:prstGeom>
                            <a:noFill/>
                            <a:ln w="5715">
                              <a:solidFill>
                                <a:srgbClr val="000000"/>
                              </a:solidFill>
                              <a:prstDash val="solid"/>
                              <a:round/>
                            </a:ln>
                          </wps:spPr>
                          <wps:bodyPr/>
                        </wps:wsp>
                        <wps:wsp>
                          <wps:cNvPr id="519" name="Line 1126"/>
                          <wps:cNvCnPr>
                            <a:cxnSpLocks noChangeShapeType="1"/>
                          </wps:cNvCnPr>
                          <wps:spPr bwMode="auto">
                            <a:xfrm>
                              <a:off x="4796" y="592"/>
                              <a:ext cx="0" cy="0"/>
                            </a:xfrm>
                            <a:prstGeom prst="line">
                              <a:avLst/>
                            </a:prstGeom>
                            <a:noFill/>
                            <a:ln w="5715">
                              <a:solidFill>
                                <a:srgbClr val="000000"/>
                              </a:solidFill>
                              <a:prstDash val="solid"/>
                              <a:round/>
                            </a:ln>
                          </wps:spPr>
                          <wps:bodyPr/>
                        </wps:wsp>
                        <wps:wsp>
                          <wps:cNvPr id="520" name="Line 1127"/>
                          <wps:cNvCnPr>
                            <a:cxnSpLocks noChangeShapeType="1"/>
                          </wps:cNvCnPr>
                          <wps:spPr bwMode="auto">
                            <a:xfrm>
                              <a:off x="4729" y="643"/>
                              <a:ext cx="1" cy="0"/>
                            </a:xfrm>
                            <a:prstGeom prst="line">
                              <a:avLst/>
                            </a:prstGeom>
                            <a:noFill/>
                            <a:ln w="5715">
                              <a:solidFill>
                                <a:srgbClr val="000000"/>
                              </a:solidFill>
                              <a:prstDash val="solid"/>
                              <a:round/>
                            </a:ln>
                          </wps:spPr>
                          <wps:bodyPr/>
                        </wps:wsp>
                        <wps:wsp>
                          <wps:cNvPr id="521" name="Line 1128"/>
                          <wps:cNvCnPr>
                            <a:cxnSpLocks noChangeShapeType="1"/>
                          </wps:cNvCnPr>
                          <wps:spPr bwMode="auto">
                            <a:xfrm>
                              <a:off x="5107" y="255"/>
                              <a:ext cx="0" cy="0"/>
                            </a:xfrm>
                            <a:prstGeom prst="line">
                              <a:avLst/>
                            </a:prstGeom>
                            <a:noFill/>
                            <a:ln w="5715">
                              <a:solidFill>
                                <a:srgbClr val="000000"/>
                              </a:solidFill>
                              <a:prstDash val="solid"/>
                              <a:round/>
                            </a:ln>
                          </wps:spPr>
                          <wps:bodyPr/>
                        </wps:wsp>
                        <wps:wsp>
                          <wps:cNvPr id="522" name="Line 1129"/>
                          <wps:cNvCnPr>
                            <a:cxnSpLocks noChangeShapeType="1"/>
                          </wps:cNvCnPr>
                          <wps:spPr bwMode="auto">
                            <a:xfrm>
                              <a:off x="5047" y="301"/>
                              <a:ext cx="0" cy="0"/>
                            </a:xfrm>
                            <a:prstGeom prst="line">
                              <a:avLst/>
                            </a:prstGeom>
                            <a:noFill/>
                            <a:ln w="5715">
                              <a:solidFill>
                                <a:srgbClr val="000000"/>
                              </a:solidFill>
                              <a:prstDash val="solid"/>
                              <a:round/>
                            </a:ln>
                          </wps:spPr>
                          <wps:bodyPr/>
                        </wps:wsp>
                        <wps:wsp>
                          <wps:cNvPr id="523" name="Line 1130"/>
                          <wps:cNvCnPr>
                            <a:cxnSpLocks noChangeShapeType="1"/>
                          </wps:cNvCnPr>
                          <wps:spPr bwMode="auto">
                            <a:xfrm>
                              <a:off x="4983" y="350"/>
                              <a:ext cx="1" cy="0"/>
                            </a:xfrm>
                            <a:prstGeom prst="line">
                              <a:avLst/>
                            </a:prstGeom>
                            <a:noFill/>
                            <a:ln w="5715">
                              <a:solidFill>
                                <a:srgbClr val="000000"/>
                              </a:solidFill>
                              <a:prstDash val="solid"/>
                              <a:round/>
                            </a:ln>
                          </wps:spPr>
                          <wps:bodyPr/>
                        </wps:wsp>
                        <wps:wsp>
                          <wps:cNvPr id="524" name="Line 1131"/>
                          <wps:cNvCnPr>
                            <a:cxnSpLocks noChangeShapeType="1"/>
                          </wps:cNvCnPr>
                          <wps:spPr bwMode="auto">
                            <a:xfrm>
                              <a:off x="4916" y="402"/>
                              <a:ext cx="1" cy="0"/>
                            </a:xfrm>
                            <a:prstGeom prst="line">
                              <a:avLst/>
                            </a:prstGeom>
                            <a:noFill/>
                            <a:ln w="5715">
                              <a:solidFill>
                                <a:srgbClr val="000000"/>
                              </a:solidFill>
                              <a:prstDash val="solid"/>
                              <a:round/>
                            </a:ln>
                          </wps:spPr>
                          <wps:bodyPr/>
                        </wps:wsp>
                        <wps:wsp>
                          <wps:cNvPr id="525" name="Line 1132"/>
                          <wps:cNvCnPr>
                            <a:cxnSpLocks noChangeShapeType="1"/>
                          </wps:cNvCnPr>
                          <wps:spPr bwMode="auto">
                            <a:xfrm>
                              <a:off x="4857" y="447"/>
                              <a:ext cx="0" cy="0"/>
                            </a:xfrm>
                            <a:prstGeom prst="line">
                              <a:avLst/>
                            </a:prstGeom>
                            <a:noFill/>
                            <a:ln w="5715">
                              <a:solidFill>
                                <a:srgbClr val="000000"/>
                              </a:solidFill>
                              <a:prstDash val="solid"/>
                              <a:round/>
                            </a:ln>
                          </wps:spPr>
                          <wps:bodyPr/>
                        </wps:wsp>
                        <wps:wsp>
                          <wps:cNvPr id="526" name="Line 1133"/>
                          <wps:cNvCnPr>
                            <a:cxnSpLocks noChangeShapeType="1"/>
                          </wps:cNvCnPr>
                          <wps:spPr bwMode="auto">
                            <a:xfrm>
                              <a:off x="4793" y="496"/>
                              <a:ext cx="0" cy="0"/>
                            </a:xfrm>
                            <a:prstGeom prst="line">
                              <a:avLst/>
                            </a:prstGeom>
                            <a:noFill/>
                            <a:ln w="5715">
                              <a:solidFill>
                                <a:srgbClr val="000000"/>
                              </a:solidFill>
                              <a:prstDash val="solid"/>
                              <a:round/>
                            </a:ln>
                          </wps:spPr>
                          <wps:bodyPr/>
                        </wps:wsp>
                        <wps:wsp>
                          <wps:cNvPr id="527" name="Line 1134"/>
                          <wps:cNvCnPr>
                            <a:cxnSpLocks noChangeShapeType="1"/>
                          </wps:cNvCnPr>
                          <wps:spPr bwMode="auto">
                            <a:xfrm>
                              <a:off x="4726" y="548"/>
                              <a:ext cx="0" cy="0"/>
                            </a:xfrm>
                            <a:prstGeom prst="line">
                              <a:avLst/>
                            </a:prstGeom>
                            <a:noFill/>
                            <a:ln w="5715">
                              <a:solidFill>
                                <a:srgbClr val="000000"/>
                              </a:solidFill>
                              <a:prstDash val="solid"/>
                              <a:round/>
                            </a:ln>
                          </wps:spPr>
                          <wps:bodyPr/>
                        </wps:wsp>
                        <wps:wsp>
                          <wps:cNvPr id="528" name="Line 1135"/>
                          <wps:cNvCnPr>
                            <a:cxnSpLocks noChangeShapeType="1"/>
                          </wps:cNvCnPr>
                          <wps:spPr bwMode="auto">
                            <a:xfrm>
                              <a:off x="4980" y="255"/>
                              <a:ext cx="0" cy="0"/>
                            </a:xfrm>
                            <a:prstGeom prst="line">
                              <a:avLst/>
                            </a:prstGeom>
                            <a:noFill/>
                            <a:ln w="5715">
                              <a:solidFill>
                                <a:srgbClr val="000000"/>
                              </a:solidFill>
                              <a:prstDash val="solid"/>
                              <a:round/>
                            </a:ln>
                          </wps:spPr>
                          <wps:bodyPr/>
                        </wps:wsp>
                        <wps:wsp>
                          <wps:cNvPr id="529" name="Line 1136"/>
                          <wps:cNvCnPr>
                            <a:cxnSpLocks noChangeShapeType="1"/>
                          </wps:cNvCnPr>
                          <wps:spPr bwMode="auto">
                            <a:xfrm>
                              <a:off x="4913" y="306"/>
                              <a:ext cx="1" cy="0"/>
                            </a:xfrm>
                            <a:prstGeom prst="line">
                              <a:avLst/>
                            </a:prstGeom>
                            <a:noFill/>
                            <a:ln w="5715">
                              <a:solidFill>
                                <a:srgbClr val="000000"/>
                              </a:solidFill>
                              <a:prstDash val="solid"/>
                              <a:round/>
                            </a:ln>
                          </wps:spPr>
                          <wps:bodyPr/>
                        </wps:wsp>
                        <wps:wsp>
                          <wps:cNvPr id="530" name="Line 1137"/>
                          <wps:cNvCnPr>
                            <a:cxnSpLocks noChangeShapeType="1"/>
                          </wps:cNvCnPr>
                          <wps:spPr bwMode="auto">
                            <a:xfrm>
                              <a:off x="4854" y="352"/>
                              <a:ext cx="0" cy="0"/>
                            </a:xfrm>
                            <a:prstGeom prst="line">
                              <a:avLst/>
                            </a:prstGeom>
                            <a:noFill/>
                            <a:ln w="5715">
                              <a:solidFill>
                                <a:srgbClr val="000000"/>
                              </a:solidFill>
                              <a:prstDash val="solid"/>
                              <a:round/>
                            </a:ln>
                          </wps:spPr>
                          <wps:bodyPr/>
                        </wps:wsp>
                        <wps:wsp>
                          <wps:cNvPr id="531" name="Line 1138"/>
                          <wps:cNvCnPr>
                            <a:cxnSpLocks noChangeShapeType="1"/>
                          </wps:cNvCnPr>
                          <wps:spPr bwMode="auto">
                            <a:xfrm>
                              <a:off x="4790" y="401"/>
                              <a:ext cx="0" cy="0"/>
                            </a:xfrm>
                            <a:prstGeom prst="line">
                              <a:avLst/>
                            </a:prstGeom>
                            <a:noFill/>
                            <a:ln w="5715">
                              <a:solidFill>
                                <a:srgbClr val="000000"/>
                              </a:solidFill>
                              <a:prstDash val="solid"/>
                              <a:round/>
                            </a:ln>
                          </wps:spPr>
                          <wps:bodyPr/>
                        </wps:wsp>
                        <wps:wsp>
                          <wps:cNvPr id="532" name="Line 1139"/>
                          <wps:cNvCnPr>
                            <a:cxnSpLocks noChangeShapeType="1"/>
                          </wps:cNvCnPr>
                          <wps:spPr bwMode="auto">
                            <a:xfrm>
                              <a:off x="4723" y="452"/>
                              <a:ext cx="0" cy="0"/>
                            </a:xfrm>
                            <a:prstGeom prst="line">
                              <a:avLst/>
                            </a:prstGeom>
                            <a:noFill/>
                            <a:ln w="5715">
                              <a:solidFill>
                                <a:srgbClr val="000000"/>
                              </a:solidFill>
                              <a:prstDash val="solid"/>
                              <a:round/>
                            </a:ln>
                          </wps:spPr>
                          <wps:bodyPr/>
                        </wps:wsp>
                        <wps:wsp>
                          <wps:cNvPr id="533" name="Line 1140"/>
                          <wps:cNvCnPr>
                            <a:cxnSpLocks noChangeShapeType="1"/>
                          </wps:cNvCnPr>
                          <wps:spPr bwMode="auto">
                            <a:xfrm>
                              <a:off x="4910" y="211"/>
                              <a:ext cx="1" cy="0"/>
                            </a:xfrm>
                            <a:prstGeom prst="line">
                              <a:avLst/>
                            </a:prstGeom>
                            <a:noFill/>
                            <a:ln w="5715">
                              <a:solidFill>
                                <a:srgbClr val="000000"/>
                              </a:solidFill>
                              <a:prstDash val="solid"/>
                              <a:round/>
                            </a:ln>
                          </wps:spPr>
                          <wps:bodyPr/>
                        </wps:wsp>
                        <wps:wsp>
                          <wps:cNvPr id="534" name="Line 1141"/>
                          <wps:cNvCnPr>
                            <a:cxnSpLocks noChangeShapeType="1"/>
                          </wps:cNvCnPr>
                          <wps:spPr bwMode="auto">
                            <a:xfrm>
                              <a:off x="4850" y="256"/>
                              <a:ext cx="1" cy="0"/>
                            </a:xfrm>
                            <a:prstGeom prst="line">
                              <a:avLst/>
                            </a:prstGeom>
                            <a:noFill/>
                            <a:ln w="5715">
                              <a:solidFill>
                                <a:srgbClr val="000000"/>
                              </a:solidFill>
                              <a:prstDash val="solid"/>
                              <a:round/>
                            </a:ln>
                          </wps:spPr>
                          <wps:bodyPr/>
                        </wps:wsp>
                        <wps:wsp>
                          <wps:cNvPr id="535" name="Line 1142"/>
                          <wps:cNvCnPr>
                            <a:cxnSpLocks noChangeShapeType="1"/>
                          </wps:cNvCnPr>
                          <wps:spPr bwMode="auto">
                            <a:xfrm>
                              <a:off x="4787" y="305"/>
                              <a:ext cx="0" cy="0"/>
                            </a:xfrm>
                            <a:prstGeom prst="line">
                              <a:avLst/>
                            </a:prstGeom>
                            <a:noFill/>
                            <a:ln w="5715">
                              <a:solidFill>
                                <a:srgbClr val="000000"/>
                              </a:solidFill>
                              <a:prstDash val="solid"/>
                              <a:round/>
                            </a:ln>
                          </wps:spPr>
                          <wps:bodyPr/>
                        </wps:wsp>
                        <wps:wsp>
                          <wps:cNvPr id="536" name="Line 1143"/>
                          <wps:cNvCnPr>
                            <a:cxnSpLocks noChangeShapeType="1"/>
                          </wps:cNvCnPr>
                          <wps:spPr bwMode="auto">
                            <a:xfrm>
                              <a:off x="4720" y="357"/>
                              <a:ext cx="0" cy="0"/>
                            </a:xfrm>
                            <a:prstGeom prst="line">
                              <a:avLst/>
                            </a:prstGeom>
                            <a:noFill/>
                            <a:ln w="5715">
                              <a:solidFill>
                                <a:srgbClr val="000000"/>
                              </a:solidFill>
                              <a:prstDash val="solid"/>
                              <a:round/>
                            </a:ln>
                          </wps:spPr>
                          <wps:bodyPr/>
                        </wps:wsp>
                        <wps:wsp>
                          <wps:cNvPr id="537" name="Line 1144"/>
                          <wps:cNvCnPr>
                            <a:cxnSpLocks noChangeShapeType="1"/>
                          </wps:cNvCnPr>
                          <wps:spPr bwMode="auto">
                            <a:xfrm>
                              <a:off x="4717" y="261"/>
                              <a:ext cx="0" cy="0"/>
                            </a:xfrm>
                            <a:prstGeom prst="line">
                              <a:avLst/>
                            </a:prstGeom>
                            <a:noFill/>
                            <a:ln w="5715">
                              <a:solidFill>
                                <a:srgbClr val="000000"/>
                              </a:solidFill>
                              <a:prstDash val="solid"/>
                              <a:round/>
                            </a:ln>
                          </wps:spPr>
                          <wps:bodyPr/>
                        </wps:wsp>
                        <wps:wsp>
                          <wps:cNvPr id="538" name="Line 1145"/>
                          <wps:cNvCnPr>
                            <a:cxnSpLocks noChangeShapeType="1"/>
                          </wps:cNvCnPr>
                          <wps:spPr bwMode="auto">
                            <a:xfrm>
                              <a:off x="5246" y="214"/>
                              <a:ext cx="0" cy="561"/>
                            </a:xfrm>
                            <a:prstGeom prst="line">
                              <a:avLst/>
                            </a:prstGeom>
                            <a:noFill/>
                            <a:ln w="5715">
                              <a:solidFill>
                                <a:srgbClr val="000000"/>
                              </a:solidFill>
                              <a:prstDash val="solid"/>
                              <a:round/>
                            </a:ln>
                          </wps:spPr>
                          <wps:bodyPr/>
                        </wps:wsp>
                        <wps:wsp>
                          <wps:cNvPr id="539" name="Line 1146"/>
                          <wps:cNvCnPr>
                            <a:cxnSpLocks noChangeShapeType="1"/>
                          </wps:cNvCnPr>
                          <wps:spPr bwMode="auto">
                            <a:xfrm>
                              <a:off x="4683" y="230"/>
                              <a:ext cx="0" cy="545"/>
                            </a:xfrm>
                            <a:prstGeom prst="line">
                              <a:avLst/>
                            </a:prstGeom>
                            <a:noFill/>
                            <a:ln w="5715">
                              <a:solidFill>
                                <a:srgbClr val="000000"/>
                              </a:solidFill>
                              <a:prstDash val="solid"/>
                              <a:round/>
                            </a:ln>
                          </wps:spPr>
                          <wps:bodyPr/>
                        </wps:wsp>
                        <wps:wsp>
                          <wps:cNvPr id="540" name="Line 1147"/>
                          <wps:cNvCnPr>
                            <a:cxnSpLocks noChangeShapeType="1"/>
                          </wps:cNvCnPr>
                          <wps:spPr bwMode="auto">
                            <a:xfrm flipV="1">
                              <a:off x="4614" y="1334"/>
                              <a:ext cx="32" cy="1"/>
                            </a:xfrm>
                            <a:prstGeom prst="line">
                              <a:avLst/>
                            </a:prstGeom>
                            <a:noFill/>
                            <a:ln w="5715">
                              <a:solidFill>
                                <a:srgbClr val="000000"/>
                              </a:solidFill>
                              <a:prstDash val="solid"/>
                              <a:round/>
                            </a:ln>
                          </wps:spPr>
                          <wps:bodyPr/>
                        </wps:wsp>
                        <wps:wsp>
                          <wps:cNvPr id="541" name="Line 1148"/>
                          <wps:cNvCnPr>
                            <a:cxnSpLocks noChangeShapeType="1"/>
                          </wps:cNvCnPr>
                          <wps:spPr bwMode="auto">
                            <a:xfrm flipV="1">
                              <a:off x="4667" y="1333"/>
                              <a:ext cx="41" cy="1"/>
                            </a:xfrm>
                            <a:prstGeom prst="line">
                              <a:avLst/>
                            </a:prstGeom>
                            <a:noFill/>
                            <a:ln w="5715">
                              <a:solidFill>
                                <a:srgbClr val="000000"/>
                              </a:solidFill>
                              <a:prstDash val="solid"/>
                              <a:round/>
                            </a:ln>
                          </wps:spPr>
                          <wps:bodyPr/>
                        </wps:wsp>
                        <wps:wsp>
                          <wps:cNvPr id="542" name="Line 1149"/>
                          <wps:cNvCnPr>
                            <a:cxnSpLocks noChangeShapeType="1"/>
                          </wps:cNvCnPr>
                          <wps:spPr bwMode="auto">
                            <a:xfrm>
                              <a:off x="4729" y="1333"/>
                              <a:ext cx="41" cy="0"/>
                            </a:xfrm>
                            <a:prstGeom prst="line">
                              <a:avLst/>
                            </a:prstGeom>
                            <a:noFill/>
                            <a:ln w="5715">
                              <a:solidFill>
                                <a:srgbClr val="000000"/>
                              </a:solidFill>
                              <a:prstDash val="solid"/>
                              <a:round/>
                            </a:ln>
                          </wps:spPr>
                          <wps:bodyPr/>
                        </wps:wsp>
                        <wps:wsp>
                          <wps:cNvPr id="543" name="Line 1150"/>
                          <wps:cNvCnPr>
                            <a:cxnSpLocks noChangeShapeType="1"/>
                          </wps:cNvCnPr>
                          <wps:spPr bwMode="auto">
                            <a:xfrm>
                              <a:off x="4790" y="1332"/>
                              <a:ext cx="42" cy="0"/>
                            </a:xfrm>
                            <a:prstGeom prst="line">
                              <a:avLst/>
                            </a:prstGeom>
                            <a:noFill/>
                            <a:ln w="5715">
                              <a:solidFill>
                                <a:srgbClr val="000000"/>
                              </a:solidFill>
                              <a:prstDash val="solid"/>
                              <a:round/>
                            </a:ln>
                          </wps:spPr>
                          <wps:bodyPr/>
                        </wps:wsp>
                        <wps:wsp>
                          <wps:cNvPr id="544" name="Line 1151"/>
                          <wps:cNvCnPr>
                            <a:cxnSpLocks noChangeShapeType="1"/>
                          </wps:cNvCnPr>
                          <wps:spPr bwMode="auto">
                            <a:xfrm flipV="1">
                              <a:off x="4852" y="1330"/>
                              <a:ext cx="42" cy="1"/>
                            </a:xfrm>
                            <a:prstGeom prst="line">
                              <a:avLst/>
                            </a:prstGeom>
                            <a:noFill/>
                            <a:ln w="5715">
                              <a:solidFill>
                                <a:srgbClr val="000000"/>
                              </a:solidFill>
                              <a:prstDash val="solid"/>
                              <a:round/>
                            </a:ln>
                          </wps:spPr>
                          <wps:bodyPr/>
                        </wps:wsp>
                        <wps:wsp>
                          <wps:cNvPr id="545" name="Line 1152"/>
                          <wps:cNvCnPr>
                            <a:cxnSpLocks noChangeShapeType="1"/>
                          </wps:cNvCnPr>
                          <wps:spPr bwMode="auto">
                            <a:xfrm>
                              <a:off x="4914" y="1330"/>
                              <a:ext cx="42" cy="0"/>
                            </a:xfrm>
                            <a:prstGeom prst="line">
                              <a:avLst/>
                            </a:prstGeom>
                            <a:noFill/>
                            <a:ln w="5715">
                              <a:solidFill>
                                <a:srgbClr val="000000"/>
                              </a:solidFill>
                              <a:prstDash val="solid"/>
                              <a:round/>
                            </a:ln>
                          </wps:spPr>
                          <wps:bodyPr/>
                        </wps:wsp>
                        <wps:wsp>
                          <wps:cNvPr id="546" name="Line 1153"/>
                          <wps:cNvCnPr>
                            <a:cxnSpLocks noChangeShapeType="1"/>
                          </wps:cNvCnPr>
                          <wps:spPr bwMode="auto">
                            <a:xfrm>
                              <a:off x="4976" y="1329"/>
                              <a:ext cx="42" cy="0"/>
                            </a:xfrm>
                            <a:prstGeom prst="line">
                              <a:avLst/>
                            </a:prstGeom>
                            <a:noFill/>
                            <a:ln w="5715">
                              <a:solidFill>
                                <a:srgbClr val="000000"/>
                              </a:solidFill>
                              <a:prstDash val="solid"/>
                              <a:round/>
                            </a:ln>
                          </wps:spPr>
                          <wps:bodyPr/>
                        </wps:wsp>
                        <wps:wsp>
                          <wps:cNvPr id="547" name="Line 1154"/>
                          <wps:cNvCnPr>
                            <a:cxnSpLocks noChangeShapeType="1"/>
                          </wps:cNvCnPr>
                          <wps:spPr bwMode="auto">
                            <a:xfrm>
                              <a:off x="5038" y="1328"/>
                              <a:ext cx="41" cy="0"/>
                            </a:xfrm>
                            <a:prstGeom prst="line">
                              <a:avLst/>
                            </a:prstGeom>
                            <a:noFill/>
                            <a:ln w="5715">
                              <a:solidFill>
                                <a:srgbClr val="000000"/>
                              </a:solidFill>
                              <a:prstDash val="solid"/>
                              <a:round/>
                            </a:ln>
                          </wps:spPr>
                          <wps:bodyPr/>
                        </wps:wsp>
                        <wps:wsp>
                          <wps:cNvPr id="548" name="Line 1155"/>
                          <wps:cNvCnPr>
                            <a:cxnSpLocks noChangeShapeType="1"/>
                          </wps:cNvCnPr>
                          <wps:spPr bwMode="auto">
                            <a:xfrm>
                              <a:off x="5100" y="1327"/>
                              <a:ext cx="41" cy="0"/>
                            </a:xfrm>
                            <a:prstGeom prst="line">
                              <a:avLst/>
                            </a:prstGeom>
                            <a:noFill/>
                            <a:ln w="5715">
                              <a:solidFill>
                                <a:srgbClr val="000000"/>
                              </a:solidFill>
                              <a:prstDash val="solid"/>
                              <a:round/>
                            </a:ln>
                          </wps:spPr>
                          <wps:bodyPr/>
                        </wps:wsp>
                        <wps:wsp>
                          <wps:cNvPr id="549" name="Line 1156"/>
                          <wps:cNvCnPr>
                            <a:cxnSpLocks noChangeShapeType="1"/>
                          </wps:cNvCnPr>
                          <wps:spPr bwMode="auto">
                            <a:xfrm>
                              <a:off x="5162" y="1326"/>
                              <a:ext cx="41" cy="0"/>
                            </a:xfrm>
                            <a:prstGeom prst="line">
                              <a:avLst/>
                            </a:prstGeom>
                            <a:noFill/>
                            <a:ln w="5715">
                              <a:solidFill>
                                <a:srgbClr val="000000"/>
                              </a:solidFill>
                              <a:prstDash val="solid"/>
                              <a:round/>
                            </a:ln>
                          </wps:spPr>
                          <wps:bodyPr/>
                        </wps:wsp>
                        <wps:wsp>
                          <wps:cNvPr id="550" name="Line 1157"/>
                          <wps:cNvCnPr>
                            <a:cxnSpLocks noChangeShapeType="1"/>
                          </wps:cNvCnPr>
                          <wps:spPr bwMode="auto">
                            <a:xfrm flipV="1">
                              <a:off x="5224" y="1325"/>
                              <a:ext cx="41" cy="1"/>
                            </a:xfrm>
                            <a:prstGeom prst="line">
                              <a:avLst/>
                            </a:prstGeom>
                            <a:noFill/>
                            <a:ln w="5715">
                              <a:solidFill>
                                <a:srgbClr val="000000"/>
                              </a:solidFill>
                              <a:prstDash val="solid"/>
                              <a:round/>
                            </a:ln>
                          </wps:spPr>
                          <wps:bodyPr/>
                        </wps:wsp>
                        <wps:wsp>
                          <wps:cNvPr id="551" name="Line 1158"/>
                          <wps:cNvCnPr>
                            <a:cxnSpLocks noChangeShapeType="1"/>
                          </wps:cNvCnPr>
                          <wps:spPr bwMode="auto">
                            <a:xfrm flipV="1">
                              <a:off x="5286" y="1324"/>
                              <a:ext cx="32" cy="1"/>
                            </a:xfrm>
                            <a:prstGeom prst="line">
                              <a:avLst/>
                            </a:prstGeom>
                            <a:noFill/>
                            <a:ln w="5715">
                              <a:solidFill>
                                <a:srgbClr val="000000"/>
                              </a:solidFill>
                              <a:prstDash val="solid"/>
                              <a:round/>
                            </a:ln>
                          </wps:spPr>
                          <wps:bodyPr/>
                        </wps:wsp>
                        <wps:wsp>
                          <wps:cNvPr id="552" name="Freeform 1159"/>
                          <wps:cNvSpPr/>
                          <wps:spPr bwMode="auto">
                            <a:xfrm>
                              <a:off x="4520" y="1288"/>
                              <a:ext cx="873" cy="19"/>
                            </a:xfrm>
                            <a:custGeom>
                              <a:avLst/>
                              <a:gdLst>
                                <a:gd name="T0" fmla="*/ 19 w 873"/>
                                <a:gd name="T1" fmla="*/ 0 h 19"/>
                                <a:gd name="T2" fmla="*/ 0 w 873"/>
                                <a:gd name="T3" fmla="*/ 19 h 19"/>
                                <a:gd name="T4" fmla="*/ 873 w 873"/>
                                <a:gd name="T5" fmla="*/ 0 h 19"/>
                                <a:gd name="T6" fmla="*/ 19 w 873"/>
                                <a:gd name="T7" fmla="*/ 0 h 19"/>
                              </a:gdLst>
                              <a:ahLst/>
                              <a:cxnLst>
                                <a:cxn ang="0">
                                  <a:pos x="T0" y="T1"/>
                                </a:cxn>
                                <a:cxn ang="0">
                                  <a:pos x="T2" y="T3"/>
                                </a:cxn>
                                <a:cxn ang="0">
                                  <a:pos x="T4" y="T5"/>
                                </a:cxn>
                                <a:cxn ang="0">
                                  <a:pos x="T6" y="T7"/>
                                </a:cxn>
                              </a:cxnLst>
                              <a:rect l="0" t="0" r="r" b="b"/>
                              <a:pathLst>
                                <a:path w="873" h="19">
                                  <a:moveTo>
                                    <a:pt x="19" y="0"/>
                                  </a:moveTo>
                                  <a:lnTo>
                                    <a:pt x="0" y="19"/>
                                  </a:lnTo>
                                  <a:lnTo>
                                    <a:pt x="873" y="0"/>
                                  </a:lnTo>
                                  <a:lnTo>
                                    <a:pt x="19" y="0"/>
                                  </a:lnTo>
                                  <a:close/>
                                </a:path>
                              </a:pathLst>
                            </a:custGeom>
                            <a:solidFill>
                              <a:srgbClr val="000000"/>
                            </a:solidFill>
                            <a:ln>
                              <a:noFill/>
                            </a:ln>
                          </wps:spPr>
                          <wps:bodyPr rot="0" vert="horz" wrap="square" lIns="91440" tIns="45720" rIns="91440" bIns="45720" anchor="t" anchorCtr="0" upright="1">
                            <a:noAutofit/>
                          </wps:bodyPr>
                        </wps:wsp>
                        <wps:wsp>
                          <wps:cNvPr id="553" name="Freeform 1160"/>
                          <wps:cNvSpPr/>
                          <wps:spPr bwMode="auto">
                            <a:xfrm>
                              <a:off x="4520" y="1288"/>
                              <a:ext cx="892" cy="19"/>
                            </a:xfrm>
                            <a:custGeom>
                              <a:avLst/>
                              <a:gdLst>
                                <a:gd name="T0" fmla="*/ 0 w 892"/>
                                <a:gd name="T1" fmla="*/ 19 h 19"/>
                                <a:gd name="T2" fmla="*/ 873 w 892"/>
                                <a:gd name="T3" fmla="*/ 0 h 19"/>
                                <a:gd name="T4" fmla="*/ 892 w 892"/>
                                <a:gd name="T5" fmla="*/ 19 h 19"/>
                                <a:gd name="T6" fmla="*/ 0 w 892"/>
                                <a:gd name="T7" fmla="*/ 19 h 19"/>
                              </a:gdLst>
                              <a:ahLst/>
                              <a:cxnLst>
                                <a:cxn ang="0">
                                  <a:pos x="T0" y="T1"/>
                                </a:cxn>
                                <a:cxn ang="0">
                                  <a:pos x="T2" y="T3"/>
                                </a:cxn>
                                <a:cxn ang="0">
                                  <a:pos x="T4" y="T5"/>
                                </a:cxn>
                                <a:cxn ang="0">
                                  <a:pos x="T6" y="T7"/>
                                </a:cxn>
                              </a:cxnLst>
                              <a:rect l="0" t="0" r="r" b="b"/>
                              <a:pathLst>
                                <a:path w="892" h="19">
                                  <a:moveTo>
                                    <a:pt x="0" y="19"/>
                                  </a:moveTo>
                                  <a:lnTo>
                                    <a:pt x="873" y="0"/>
                                  </a:lnTo>
                                  <a:lnTo>
                                    <a:pt x="892" y="19"/>
                                  </a:lnTo>
                                  <a:lnTo>
                                    <a:pt x="0" y="19"/>
                                  </a:lnTo>
                                  <a:close/>
                                </a:path>
                              </a:pathLst>
                            </a:custGeom>
                            <a:solidFill>
                              <a:srgbClr val="000000"/>
                            </a:solidFill>
                            <a:ln>
                              <a:noFill/>
                            </a:ln>
                          </wps:spPr>
                          <wps:bodyPr rot="0" vert="horz" wrap="square" lIns="91440" tIns="45720" rIns="91440" bIns="45720" anchor="t" anchorCtr="0" upright="1">
                            <a:noAutofit/>
                          </wps:bodyPr>
                        </wps:wsp>
                        <wps:wsp>
                          <wps:cNvPr id="554" name="Freeform 1161"/>
                          <wps:cNvSpPr/>
                          <wps:spPr bwMode="auto">
                            <a:xfrm>
                              <a:off x="4520" y="1288"/>
                              <a:ext cx="892" cy="19"/>
                            </a:xfrm>
                            <a:custGeom>
                              <a:avLst/>
                              <a:gdLst>
                                <a:gd name="T0" fmla="*/ 19 w 892"/>
                                <a:gd name="T1" fmla="*/ 0 h 19"/>
                                <a:gd name="T2" fmla="*/ 0 w 892"/>
                                <a:gd name="T3" fmla="*/ 19 h 19"/>
                                <a:gd name="T4" fmla="*/ 892 w 892"/>
                                <a:gd name="T5" fmla="*/ 19 h 19"/>
                                <a:gd name="T6" fmla="*/ 873 w 892"/>
                                <a:gd name="T7" fmla="*/ 0 h 19"/>
                                <a:gd name="T8" fmla="*/ 19 w 892"/>
                                <a:gd name="T9" fmla="*/ 0 h 19"/>
                              </a:gdLst>
                              <a:ahLst/>
                              <a:cxnLst>
                                <a:cxn ang="0">
                                  <a:pos x="T0" y="T1"/>
                                </a:cxn>
                                <a:cxn ang="0">
                                  <a:pos x="T2" y="T3"/>
                                </a:cxn>
                                <a:cxn ang="0">
                                  <a:pos x="T4" y="T5"/>
                                </a:cxn>
                                <a:cxn ang="0">
                                  <a:pos x="T6" y="T7"/>
                                </a:cxn>
                                <a:cxn ang="0">
                                  <a:pos x="T8" y="T9"/>
                                </a:cxn>
                              </a:cxnLst>
                              <a:rect l="0" t="0" r="r" b="b"/>
                              <a:pathLst>
                                <a:path w="892" h="19">
                                  <a:moveTo>
                                    <a:pt x="19" y="0"/>
                                  </a:moveTo>
                                  <a:lnTo>
                                    <a:pt x="0" y="19"/>
                                  </a:lnTo>
                                  <a:lnTo>
                                    <a:pt x="892" y="19"/>
                                  </a:lnTo>
                                  <a:lnTo>
                                    <a:pt x="873" y="0"/>
                                  </a:lnTo>
                                  <a:lnTo>
                                    <a:pt x="19"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55" name="Freeform 1162"/>
                          <wps:cNvSpPr/>
                          <wps:spPr bwMode="auto">
                            <a:xfrm>
                              <a:off x="5393" y="842"/>
                              <a:ext cx="19" cy="465"/>
                            </a:xfrm>
                            <a:custGeom>
                              <a:avLst/>
                              <a:gdLst>
                                <a:gd name="T0" fmla="*/ 0 w 19"/>
                                <a:gd name="T1" fmla="*/ 446 h 465"/>
                                <a:gd name="T2" fmla="*/ 19 w 19"/>
                                <a:gd name="T3" fmla="*/ 465 h 465"/>
                                <a:gd name="T4" fmla="*/ 0 w 19"/>
                                <a:gd name="T5" fmla="*/ 0 h 465"/>
                                <a:gd name="T6" fmla="*/ 0 w 19"/>
                                <a:gd name="T7" fmla="*/ 446 h 465"/>
                              </a:gdLst>
                              <a:ahLst/>
                              <a:cxnLst>
                                <a:cxn ang="0">
                                  <a:pos x="T0" y="T1"/>
                                </a:cxn>
                                <a:cxn ang="0">
                                  <a:pos x="T2" y="T3"/>
                                </a:cxn>
                                <a:cxn ang="0">
                                  <a:pos x="T4" y="T5"/>
                                </a:cxn>
                                <a:cxn ang="0">
                                  <a:pos x="T6" y="T7"/>
                                </a:cxn>
                              </a:cxnLst>
                              <a:rect l="0" t="0" r="r" b="b"/>
                              <a:pathLst>
                                <a:path w="19" h="465">
                                  <a:moveTo>
                                    <a:pt x="0" y="446"/>
                                  </a:moveTo>
                                  <a:lnTo>
                                    <a:pt x="19" y="465"/>
                                  </a:lnTo>
                                  <a:lnTo>
                                    <a:pt x="0" y="0"/>
                                  </a:lnTo>
                                  <a:lnTo>
                                    <a:pt x="0" y="446"/>
                                  </a:lnTo>
                                  <a:close/>
                                </a:path>
                              </a:pathLst>
                            </a:custGeom>
                            <a:solidFill>
                              <a:srgbClr val="000000"/>
                            </a:solidFill>
                            <a:ln>
                              <a:noFill/>
                            </a:ln>
                          </wps:spPr>
                          <wps:bodyPr rot="0" vert="horz" wrap="square" lIns="91440" tIns="45720" rIns="91440" bIns="45720" anchor="t" anchorCtr="0" upright="1">
                            <a:noAutofit/>
                          </wps:bodyPr>
                        </wps:wsp>
                        <wps:wsp>
                          <wps:cNvPr id="556" name="Freeform 1163"/>
                          <wps:cNvSpPr/>
                          <wps:spPr bwMode="auto">
                            <a:xfrm>
                              <a:off x="5393" y="823"/>
                              <a:ext cx="19" cy="484"/>
                            </a:xfrm>
                            <a:custGeom>
                              <a:avLst/>
                              <a:gdLst>
                                <a:gd name="T0" fmla="*/ 19 w 19"/>
                                <a:gd name="T1" fmla="*/ 484 h 484"/>
                                <a:gd name="T2" fmla="*/ 0 w 19"/>
                                <a:gd name="T3" fmla="*/ 19 h 484"/>
                                <a:gd name="T4" fmla="*/ 19 w 19"/>
                                <a:gd name="T5" fmla="*/ 0 h 484"/>
                                <a:gd name="T6" fmla="*/ 19 w 19"/>
                                <a:gd name="T7" fmla="*/ 484 h 484"/>
                              </a:gdLst>
                              <a:ahLst/>
                              <a:cxnLst>
                                <a:cxn ang="0">
                                  <a:pos x="T0" y="T1"/>
                                </a:cxn>
                                <a:cxn ang="0">
                                  <a:pos x="T2" y="T3"/>
                                </a:cxn>
                                <a:cxn ang="0">
                                  <a:pos x="T4" y="T5"/>
                                </a:cxn>
                                <a:cxn ang="0">
                                  <a:pos x="T6" y="T7"/>
                                </a:cxn>
                              </a:cxnLst>
                              <a:rect l="0" t="0" r="r" b="b"/>
                              <a:pathLst>
                                <a:path w="19" h="484">
                                  <a:moveTo>
                                    <a:pt x="19" y="484"/>
                                  </a:moveTo>
                                  <a:lnTo>
                                    <a:pt x="0" y="19"/>
                                  </a:lnTo>
                                  <a:lnTo>
                                    <a:pt x="19" y="0"/>
                                  </a:lnTo>
                                  <a:lnTo>
                                    <a:pt x="19" y="484"/>
                                  </a:lnTo>
                                  <a:close/>
                                </a:path>
                              </a:pathLst>
                            </a:custGeom>
                            <a:solidFill>
                              <a:srgbClr val="000000"/>
                            </a:solidFill>
                            <a:ln>
                              <a:noFill/>
                            </a:ln>
                          </wps:spPr>
                          <wps:bodyPr rot="0" vert="horz" wrap="square" lIns="91440" tIns="45720" rIns="91440" bIns="45720" anchor="t" anchorCtr="0" upright="1">
                            <a:noAutofit/>
                          </wps:bodyPr>
                        </wps:wsp>
                        <wps:wsp>
                          <wps:cNvPr id="557" name="Freeform 1164"/>
                          <wps:cNvSpPr/>
                          <wps:spPr bwMode="auto">
                            <a:xfrm>
                              <a:off x="5393" y="823"/>
                              <a:ext cx="19" cy="484"/>
                            </a:xfrm>
                            <a:custGeom>
                              <a:avLst/>
                              <a:gdLst>
                                <a:gd name="T0" fmla="*/ 0 w 19"/>
                                <a:gd name="T1" fmla="*/ 465 h 484"/>
                                <a:gd name="T2" fmla="*/ 19 w 19"/>
                                <a:gd name="T3" fmla="*/ 484 h 484"/>
                                <a:gd name="T4" fmla="*/ 19 w 19"/>
                                <a:gd name="T5" fmla="*/ 0 h 484"/>
                                <a:gd name="T6" fmla="*/ 0 w 19"/>
                                <a:gd name="T7" fmla="*/ 19 h 484"/>
                                <a:gd name="T8" fmla="*/ 0 w 19"/>
                                <a:gd name="T9" fmla="*/ 465 h 484"/>
                              </a:gdLst>
                              <a:ahLst/>
                              <a:cxnLst>
                                <a:cxn ang="0">
                                  <a:pos x="T0" y="T1"/>
                                </a:cxn>
                                <a:cxn ang="0">
                                  <a:pos x="T2" y="T3"/>
                                </a:cxn>
                                <a:cxn ang="0">
                                  <a:pos x="T4" y="T5"/>
                                </a:cxn>
                                <a:cxn ang="0">
                                  <a:pos x="T6" y="T7"/>
                                </a:cxn>
                                <a:cxn ang="0">
                                  <a:pos x="T8" y="T9"/>
                                </a:cxn>
                              </a:cxnLst>
                              <a:rect l="0" t="0" r="r" b="b"/>
                              <a:pathLst>
                                <a:path w="19" h="484">
                                  <a:moveTo>
                                    <a:pt x="0" y="465"/>
                                  </a:moveTo>
                                  <a:lnTo>
                                    <a:pt x="19" y="484"/>
                                  </a:lnTo>
                                  <a:lnTo>
                                    <a:pt x="19" y="0"/>
                                  </a:lnTo>
                                  <a:lnTo>
                                    <a:pt x="0" y="19"/>
                                  </a:lnTo>
                                  <a:lnTo>
                                    <a:pt x="0" y="465"/>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58" name="Freeform 1165"/>
                          <wps:cNvSpPr/>
                          <wps:spPr bwMode="auto">
                            <a:xfrm>
                              <a:off x="4539" y="823"/>
                              <a:ext cx="873" cy="19"/>
                            </a:xfrm>
                            <a:custGeom>
                              <a:avLst/>
                              <a:gdLst>
                                <a:gd name="T0" fmla="*/ 854 w 873"/>
                                <a:gd name="T1" fmla="*/ 19 h 19"/>
                                <a:gd name="T2" fmla="*/ 873 w 873"/>
                                <a:gd name="T3" fmla="*/ 0 h 19"/>
                                <a:gd name="T4" fmla="*/ 0 w 873"/>
                                <a:gd name="T5" fmla="*/ 19 h 19"/>
                                <a:gd name="T6" fmla="*/ 854 w 873"/>
                                <a:gd name="T7" fmla="*/ 19 h 19"/>
                              </a:gdLst>
                              <a:ahLst/>
                              <a:cxnLst>
                                <a:cxn ang="0">
                                  <a:pos x="T0" y="T1"/>
                                </a:cxn>
                                <a:cxn ang="0">
                                  <a:pos x="T2" y="T3"/>
                                </a:cxn>
                                <a:cxn ang="0">
                                  <a:pos x="T4" y="T5"/>
                                </a:cxn>
                                <a:cxn ang="0">
                                  <a:pos x="T6" y="T7"/>
                                </a:cxn>
                              </a:cxnLst>
                              <a:rect l="0" t="0" r="r" b="b"/>
                              <a:pathLst>
                                <a:path w="873" h="19">
                                  <a:moveTo>
                                    <a:pt x="854" y="19"/>
                                  </a:moveTo>
                                  <a:lnTo>
                                    <a:pt x="873" y="0"/>
                                  </a:lnTo>
                                  <a:lnTo>
                                    <a:pt x="0" y="19"/>
                                  </a:lnTo>
                                  <a:lnTo>
                                    <a:pt x="854" y="19"/>
                                  </a:lnTo>
                                  <a:close/>
                                </a:path>
                              </a:pathLst>
                            </a:custGeom>
                            <a:solidFill>
                              <a:srgbClr val="000000"/>
                            </a:solidFill>
                            <a:ln>
                              <a:noFill/>
                            </a:ln>
                          </wps:spPr>
                          <wps:bodyPr rot="0" vert="horz" wrap="square" lIns="91440" tIns="45720" rIns="91440" bIns="45720" anchor="t" anchorCtr="0" upright="1">
                            <a:noAutofit/>
                          </wps:bodyPr>
                        </wps:wsp>
                        <wps:wsp>
                          <wps:cNvPr id="559" name="Freeform 1166"/>
                          <wps:cNvSpPr/>
                          <wps:spPr bwMode="auto">
                            <a:xfrm>
                              <a:off x="4520" y="823"/>
                              <a:ext cx="892" cy="19"/>
                            </a:xfrm>
                            <a:custGeom>
                              <a:avLst/>
                              <a:gdLst>
                                <a:gd name="T0" fmla="*/ 892 w 892"/>
                                <a:gd name="T1" fmla="*/ 0 h 19"/>
                                <a:gd name="T2" fmla="*/ 19 w 892"/>
                                <a:gd name="T3" fmla="*/ 19 h 19"/>
                                <a:gd name="T4" fmla="*/ 0 w 892"/>
                                <a:gd name="T5" fmla="*/ 0 h 19"/>
                                <a:gd name="T6" fmla="*/ 892 w 892"/>
                                <a:gd name="T7" fmla="*/ 0 h 19"/>
                              </a:gdLst>
                              <a:ahLst/>
                              <a:cxnLst>
                                <a:cxn ang="0">
                                  <a:pos x="T0" y="T1"/>
                                </a:cxn>
                                <a:cxn ang="0">
                                  <a:pos x="T2" y="T3"/>
                                </a:cxn>
                                <a:cxn ang="0">
                                  <a:pos x="T4" y="T5"/>
                                </a:cxn>
                                <a:cxn ang="0">
                                  <a:pos x="T6" y="T7"/>
                                </a:cxn>
                              </a:cxnLst>
                              <a:rect l="0" t="0" r="r" b="b"/>
                              <a:pathLst>
                                <a:path w="892" h="19">
                                  <a:moveTo>
                                    <a:pt x="892" y="0"/>
                                  </a:moveTo>
                                  <a:lnTo>
                                    <a:pt x="19" y="19"/>
                                  </a:lnTo>
                                  <a:lnTo>
                                    <a:pt x="0" y="0"/>
                                  </a:lnTo>
                                  <a:lnTo>
                                    <a:pt x="892" y="0"/>
                                  </a:lnTo>
                                  <a:close/>
                                </a:path>
                              </a:pathLst>
                            </a:custGeom>
                            <a:solidFill>
                              <a:srgbClr val="000000"/>
                            </a:solidFill>
                            <a:ln>
                              <a:noFill/>
                            </a:ln>
                          </wps:spPr>
                          <wps:bodyPr rot="0" vert="horz" wrap="square" lIns="91440" tIns="45720" rIns="91440" bIns="45720" anchor="t" anchorCtr="0" upright="1">
                            <a:noAutofit/>
                          </wps:bodyPr>
                        </wps:wsp>
                        <wps:wsp>
                          <wps:cNvPr id="560" name="Freeform 1167"/>
                          <wps:cNvSpPr/>
                          <wps:spPr bwMode="auto">
                            <a:xfrm>
                              <a:off x="4520" y="823"/>
                              <a:ext cx="892" cy="19"/>
                            </a:xfrm>
                            <a:custGeom>
                              <a:avLst/>
                              <a:gdLst>
                                <a:gd name="T0" fmla="*/ 873 w 892"/>
                                <a:gd name="T1" fmla="*/ 19 h 19"/>
                                <a:gd name="T2" fmla="*/ 892 w 892"/>
                                <a:gd name="T3" fmla="*/ 0 h 19"/>
                                <a:gd name="T4" fmla="*/ 0 w 892"/>
                                <a:gd name="T5" fmla="*/ 0 h 19"/>
                                <a:gd name="T6" fmla="*/ 19 w 892"/>
                                <a:gd name="T7" fmla="*/ 19 h 19"/>
                                <a:gd name="T8" fmla="*/ 873 w 892"/>
                                <a:gd name="T9" fmla="*/ 19 h 19"/>
                              </a:gdLst>
                              <a:ahLst/>
                              <a:cxnLst>
                                <a:cxn ang="0">
                                  <a:pos x="T0" y="T1"/>
                                </a:cxn>
                                <a:cxn ang="0">
                                  <a:pos x="T2" y="T3"/>
                                </a:cxn>
                                <a:cxn ang="0">
                                  <a:pos x="T4" y="T5"/>
                                </a:cxn>
                                <a:cxn ang="0">
                                  <a:pos x="T6" y="T7"/>
                                </a:cxn>
                                <a:cxn ang="0">
                                  <a:pos x="T8" y="T9"/>
                                </a:cxn>
                              </a:cxnLst>
                              <a:rect l="0" t="0" r="r" b="b"/>
                              <a:pathLst>
                                <a:path w="892" h="19">
                                  <a:moveTo>
                                    <a:pt x="873" y="19"/>
                                  </a:moveTo>
                                  <a:lnTo>
                                    <a:pt x="892" y="0"/>
                                  </a:lnTo>
                                  <a:lnTo>
                                    <a:pt x="0" y="0"/>
                                  </a:lnTo>
                                  <a:lnTo>
                                    <a:pt x="19" y="19"/>
                                  </a:lnTo>
                                  <a:lnTo>
                                    <a:pt x="873" y="19"/>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61" name="Freeform 1168"/>
                          <wps:cNvSpPr/>
                          <wps:spPr bwMode="auto">
                            <a:xfrm>
                              <a:off x="4520" y="823"/>
                              <a:ext cx="19" cy="465"/>
                            </a:xfrm>
                            <a:custGeom>
                              <a:avLst/>
                              <a:gdLst>
                                <a:gd name="T0" fmla="*/ 19 w 19"/>
                                <a:gd name="T1" fmla="*/ 19 h 465"/>
                                <a:gd name="T2" fmla="*/ 0 w 19"/>
                                <a:gd name="T3" fmla="*/ 0 h 465"/>
                                <a:gd name="T4" fmla="*/ 19 w 19"/>
                                <a:gd name="T5" fmla="*/ 465 h 465"/>
                                <a:gd name="T6" fmla="*/ 19 w 19"/>
                                <a:gd name="T7" fmla="*/ 19 h 465"/>
                              </a:gdLst>
                              <a:ahLst/>
                              <a:cxnLst>
                                <a:cxn ang="0">
                                  <a:pos x="T0" y="T1"/>
                                </a:cxn>
                                <a:cxn ang="0">
                                  <a:pos x="T2" y="T3"/>
                                </a:cxn>
                                <a:cxn ang="0">
                                  <a:pos x="T4" y="T5"/>
                                </a:cxn>
                                <a:cxn ang="0">
                                  <a:pos x="T6" y="T7"/>
                                </a:cxn>
                              </a:cxnLst>
                              <a:rect l="0" t="0" r="r" b="b"/>
                              <a:pathLst>
                                <a:path w="19" h="465">
                                  <a:moveTo>
                                    <a:pt x="19" y="19"/>
                                  </a:moveTo>
                                  <a:lnTo>
                                    <a:pt x="0" y="0"/>
                                  </a:lnTo>
                                  <a:lnTo>
                                    <a:pt x="19" y="465"/>
                                  </a:lnTo>
                                  <a:lnTo>
                                    <a:pt x="19" y="19"/>
                                  </a:lnTo>
                                  <a:close/>
                                </a:path>
                              </a:pathLst>
                            </a:custGeom>
                            <a:solidFill>
                              <a:srgbClr val="000000"/>
                            </a:solidFill>
                            <a:ln>
                              <a:noFill/>
                            </a:ln>
                          </wps:spPr>
                          <wps:bodyPr rot="0" vert="horz" wrap="square" lIns="91440" tIns="45720" rIns="91440" bIns="45720" anchor="t" anchorCtr="0" upright="1">
                            <a:noAutofit/>
                          </wps:bodyPr>
                        </wps:wsp>
                        <wps:wsp>
                          <wps:cNvPr id="562" name="Freeform 1169"/>
                          <wps:cNvSpPr/>
                          <wps:spPr bwMode="auto">
                            <a:xfrm>
                              <a:off x="4520" y="823"/>
                              <a:ext cx="19" cy="484"/>
                            </a:xfrm>
                            <a:custGeom>
                              <a:avLst/>
                              <a:gdLst>
                                <a:gd name="T0" fmla="*/ 0 w 19"/>
                                <a:gd name="T1" fmla="*/ 0 h 484"/>
                                <a:gd name="T2" fmla="*/ 19 w 19"/>
                                <a:gd name="T3" fmla="*/ 465 h 484"/>
                                <a:gd name="T4" fmla="*/ 0 w 19"/>
                                <a:gd name="T5" fmla="*/ 484 h 484"/>
                                <a:gd name="T6" fmla="*/ 0 w 19"/>
                                <a:gd name="T7" fmla="*/ 0 h 484"/>
                              </a:gdLst>
                              <a:ahLst/>
                              <a:cxnLst>
                                <a:cxn ang="0">
                                  <a:pos x="T0" y="T1"/>
                                </a:cxn>
                                <a:cxn ang="0">
                                  <a:pos x="T2" y="T3"/>
                                </a:cxn>
                                <a:cxn ang="0">
                                  <a:pos x="T4" y="T5"/>
                                </a:cxn>
                                <a:cxn ang="0">
                                  <a:pos x="T6" y="T7"/>
                                </a:cxn>
                              </a:cxnLst>
                              <a:rect l="0" t="0" r="r" b="b"/>
                              <a:pathLst>
                                <a:path w="19" h="484">
                                  <a:moveTo>
                                    <a:pt x="0" y="0"/>
                                  </a:moveTo>
                                  <a:lnTo>
                                    <a:pt x="19" y="465"/>
                                  </a:lnTo>
                                  <a:lnTo>
                                    <a:pt x="0" y="484"/>
                                  </a:lnTo>
                                  <a:lnTo>
                                    <a:pt x="0" y="0"/>
                                  </a:lnTo>
                                  <a:close/>
                                </a:path>
                              </a:pathLst>
                            </a:custGeom>
                            <a:solidFill>
                              <a:srgbClr val="000000"/>
                            </a:solidFill>
                            <a:ln>
                              <a:noFill/>
                            </a:ln>
                          </wps:spPr>
                          <wps:bodyPr rot="0" vert="horz" wrap="square" lIns="91440" tIns="45720" rIns="91440" bIns="45720" anchor="t" anchorCtr="0" upright="1">
                            <a:noAutofit/>
                          </wps:bodyPr>
                        </wps:wsp>
                        <wps:wsp>
                          <wps:cNvPr id="563" name="Freeform 1170"/>
                          <wps:cNvSpPr/>
                          <wps:spPr bwMode="auto">
                            <a:xfrm>
                              <a:off x="4520" y="823"/>
                              <a:ext cx="19" cy="484"/>
                            </a:xfrm>
                            <a:custGeom>
                              <a:avLst/>
                              <a:gdLst>
                                <a:gd name="T0" fmla="*/ 19 w 19"/>
                                <a:gd name="T1" fmla="*/ 19 h 484"/>
                                <a:gd name="T2" fmla="*/ 0 w 19"/>
                                <a:gd name="T3" fmla="*/ 0 h 484"/>
                                <a:gd name="T4" fmla="*/ 0 w 19"/>
                                <a:gd name="T5" fmla="*/ 484 h 484"/>
                                <a:gd name="T6" fmla="*/ 19 w 19"/>
                                <a:gd name="T7" fmla="*/ 465 h 484"/>
                                <a:gd name="T8" fmla="*/ 19 w 19"/>
                                <a:gd name="T9" fmla="*/ 19 h 484"/>
                              </a:gdLst>
                              <a:ahLst/>
                              <a:cxnLst>
                                <a:cxn ang="0">
                                  <a:pos x="T0" y="T1"/>
                                </a:cxn>
                                <a:cxn ang="0">
                                  <a:pos x="T2" y="T3"/>
                                </a:cxn>
                                <a:cxn ang="0">
                                  <a:pos x="T4" y="T5"/>
                                </a:cxn>
                                <a:cxn ang="0">
                                  <a:pos x="T6" y="T7"/>
                                </a:cxn>
                                <a:cxn ang="0">
                                  <a:pos x="T8" y="T9"/>
                                </a:cxn>
                              </a:cxnLst>
                              <a:rect l="0" t="0" r="r" b="b"/>
                              <a:pathLst>
                                <a:path w="19" h="484">
                                  <a:moveTo>
                                    <a:pt x="19" y="19"/>
                                  </a:moveTo>
                                  <a:lnTo>
                                    <a:pt x="0" y="0"/>
                                  </a:lnTo>
                                  <a:lnTo>
                                    <a:pt x="0" y="484"/>
                                  </a:lnTo>
                                  <a:lnTo>
                                    <a:pt x="19" y="465"/>
                                  </a:lnTo>
                                  <a:lnTo>
                                    <a:pt x="19" y="19"/>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64" name="Line 1171"/>
                          <wps:cNvCnPr>
                            <a:cxnSpLocks noChangeShapeType="1"/>
                          </wps:cNvCnPr>
                          <wps:spPr bwMode="auto">
                            <a:xfrm flipV="1">
                              <a:off x="4807" y="634"/>
                              <a:ext cx="832" cy="660"/>
                            </a:xfrm>
                            <a:prstGeom prst="line">
                              <a:avLst/>
                            </a:prstGeom>
                            <a:noFill/>
                            <a:ln w="5715">
                              <a:solidFill>
                                <a:srgbClr val="000000"/>
                              </a:solidFill>
                              <a:prstDash val="solid"/>
                              <a:round/>
                            </a:ln>
                          </wps:spPr>
                          <wps:bodyPr/>
                        </wps:wsp>
                        <wps:wsp>
                          <wps:cNvPr id="565" name="Line 1172"/>
                          <wps:cNvCnPr>
                            <a:cxnSpLocks noChangeShapeType="1"/>
                          </wps:cNvCnPr>
                          <wps:spPr bwMode="auto">
                            <a:xfrm flipV="1">
                              <a:off x="4551" y="634"/>
                              <a:ext cx="827" cy="650"/>
                            </a:xfrm>
                            <a:prstGeom prst="line">
                              <a:avLst/>
                            </a:prstGeom>
                            <a:noFill/>
                            <a:ln w="5715">
                              <a:solidFill>
                                <a:srgbClr val="000000"/>
                              </a:solidFill>
                              <a:prstDash val="solid"/>
                              <a:round/>
                            </a:ln>
                          </wps:spPr>
                          <wps:bodyPr/>
                        </wps:wsp>
                        <wps:wsp>
                          <wps:cNvPr id="566" name="Line 1173"/>
                          <wps:cNvCnPr>
                            <a:cxnSpLocks noChangeShapeType="1"/>
                          </wps:cNvCnPr>
                          <wps:spPr bwMode="auto">
                            <a:xfrm flipV="1">
                              <a:off x="4803" y="634"/>
                              <a:ext cx="318" cy="251"/>
                            </a:xfrm>
                            <a:prstGeom prst="line">
                              <a:avLst/>
                            </a:prstGeom>
                            <a:noFill/>
                            <a:ln w="5715">
                              <a:solidFill>
                                <a:srgbClr val="000000"/>
                              </a:solidFill>
                              <a:prstDash val="solid"/>
                              <a:round/>
                            </a:ln>
                          </wps:spPr>
                          <wps:bodyPr/>
                        </wps:wsp>
                        <wps:wsp>
                          <wps:cNvPr id="567" name="Line 1174"/>
                          <wps:cNvCnPr>
                            <a:cxnSpLocks noChangeShapeType="1"/>
                          </wps:cNvCnPr>
                          <wps:spPr bwMode="auto">
                            <a:xfrm>
                              <a:off x="4683" y="775"/>
                              <a:ext cx="815" cy="0"/>
                            </a:xfrm>
                            <a:prstGeom prst="line">
                              <a:avLst/>
                            </a:prstGeom>
                            <a:noFill/>
                            <a:ln w="5715">
                              <a:solidFill>
                                <a:srgbClr val="000000"/>
                              </a:solidFill>
                              <a:prstDash val="solid"/>
                              <a:round/>
                            </a:ln>
                          </wps:spPr>
                          <wps:bodyPr/>
                        </wps:wsp>
                        <wps:wsp>
                          <wps:cNvPr id="568" name="Line 1175"/>
                          <wps:cNvCnPr>
                            <a:cxnSpLocks noChangeShapeType="1"/>
                          </wps:cNvCnPr>
                          <wps:spPr bwMode="auto">
                            <a:xfrm>
                              <a:off x="4434" y="1414"/>
                              <a:ext cx="1238" cy="0"/>
                            </a:xfrm>
                            <a:prstGeom prst="line">
                              <a:avLst/>
                            </a:prstGeom>
                            <a:noFill/>
                            <a:ln w="5715">
                              <a:solidFill>
                                <a:srgbClr val="000000"/>
                              </a:solidFill>
                              <a:prstDash val="solid"/>
                              <a:round/>
                            </a:ln>
                          </wps:spPr>
                          <wps:bodyPr/>
                        </wps:wsp>
                        <wps:wsp>
                          <wps:cNvPr id="569" name="Freeform 1176"/>
                          <wps:cNvSpPr/>
                          <wps:spPr bwMode="auto">
                            <a:xfrm>
                              <a:off x="4793" y="838"/>
                              <a:ext cx="19" cy="456"/>
                            </a:xfrm>
                            <a:custGeom>
                              <a:avLst/>
                              <a:gdLst>
                                <a:gd name="T0" fmla="*/ 0 w 19"/>
                                <a:gd name="T1" fmla="*/ 456 h 456"/>
                                <a:gd name="T2" fmla="*/ 19 w 19"/>
                                <a:gd name="T3" fmla="*/ 456 h 456"/>
                                <a:gd name="T4" fmla="*/ 0 w 19"/>
                                <a:gd name="T5" fmla="*/ 0 h 456"/>
                                <a:gd name="T6" fmla="*/ 0 w 19"/>
                                <a:gd name="T7" fmla="*/ 456 h 456"/>
                              </a:gdLst>
                              <a:ahLst/>
                              <a:cxnLst>
                                <a:cxn ang="0">
                                  <a:pos x="T0" y="T1"/>
                                </a:cxn>
                                <a:cxn ang="0">
                                  <a:pos x="T2" y="T3"/>
                                </a:cxn>
                                <a:cxn ang="0">
                                  <a:pos x="T4" y="T5"/>
                                </a:cxn>
                                <a:cxn ang="0">
                                  <a:pos x="T6" y="T7"/>
                                </a:cxn>
                              </a:cxnLst>
                              <a:rect l="0" t="0" r="r" b="b"/>
                              <a:pathLst>
                                <a:path w="19" h="456">
                                  <a:moveTo>
                                    <a:pt x="0" y="456"/>
                                  </a:moveTo>
                                  <a:lnTo>
                                    <a:pt x="19" y="456"/>
                                  </a:lnTo>
                                  <a:lnTo>
                                    <a:pt x="0" y="0"/>
                                  </a:lnTo>
                                  <a:lnTo>
                                    <a:pt x="0" y="456"/>
                                  </a:lnTo>
                                  <a:close/>
                                </a:path>
                              </a:pathLst>
                            </a:custGeom>
                            <a:solidFill>
                              <a:srgbClr val="000000"/>
                            </a:solidFill>
                            <a:ln>
                              <a:noFill/>
                            </a:ln>
                          </wps:spPr>
                          <wps:bodyPr rot="0" vert="horz" wrap="square" lIns="91440" tIns="45720" rIns="91440" bIns="45720" anchor="t" anchorCtr="0" upright="1">
                            <a:noAutofit/>
                          </wps:bodyPr>
                        </wps:wsp>
                        <wps:wsp>
                          <wps:cNvPr id="570" name="Freeform 1177"/>
                          <wps:cNvSpPr/>
                          <wps:spPr bwMode="auto">
                            <a:xfrm>
                              <a:off x="4793" y="838"/>
                              <a:ext cx="19" cy="456"/>
                            </a:xfrm>
                            <a:custGeom>
                              <a:avLst/>
                              <a:gdLst>
                                <a:gd name="T0" fmla="*/ 19 w 19"/>
                                <a:gd name="T1" fmla="*/ 456 h 456"/>
                                <a:gd name="T2" fmla="*/ 0 w 19"/>
                                <a:gd name="T3" fmla="*/ 0 h 456"/>
                                <a:gd name="T4" fmla="*/ 19 w 19"/>
                                <a:gd name="T5" fmla="*/ 0 h 456"/>
                                <a:gd name="T6" fmla="*/ 19 w 19"/>
                                <a:gd name="T7" fmla="*/ 456 h 456"/>
                              </a:gdLst>
                              <a:ahLst/>
                              <a:cxnLst>
                                <a:cxn ang="0">
                                  <a:pos x="T0" y="T1"/>
                                </a:cxn>
                                <a:cxn ang="0">
                                  <a:pos x="T2" y="T3"/>
                                </a:cxn>
                                <a:cxn ang="0">
                                  <a:pos x="T4" y="T5"/>
                                </a:cxn>
                                <a:cxn ang="0">
                                  <a:pos x="T6" y="T7"/>
                                </a:cxn>
                              </a:cxnLst>
                              <a:rect l="0" t="0" r="r" b="b"/>
                              <a:pathLst>
                                <a:path w="19" h="456">
                                  <a:moveTo>
                                    <a:pt x="19" y="456"/>
                                  </a:moveTo>
                                  <a:lnTo>
                                    <a:pt x="0" y="0"/>
                                  </a:lnTo>
                                  <a:lnTo>
                                    <a:pt x="19" y="0"/>
                                  </a:lnTo>
                                  <a:lnTo>
                                    <a:pt x="19" y="456"/>
                                  </a:lnTo>
                                  <a:close/>
                                </a:path>
                              </a:pathLst>
                            </a:custGeom>
                            <a:solidFill>
                              <a:srgbClr val="000000"/>
                            </a:solidFill>
                            <a:ln>
                              <a:noFill/>
                            </a:ln>
                          </wps:spPr>
                          <wps:bodyPr rot="0" vert="horz" wrap="square" lIns="91440" tIns="45720" rIns="91440" bIns="45720" anchor="t" anchorCtr="0" upright="1">
                            <a:noAutofit/>
                          </wps:bodyPr>
                        </wps:wsp>
                        <wps:wsp>
                          <wps:cNvPr id="571" name="Rectangle 1178"/>
                          <wps:cNvSpPr>
                            <a:spLocks noChangeArrowheads="1"/>
                          </wps:cNvSpPr>
                          <wps:spPr bwMode="auto">
                            <a:xfrm>
                              <a:off x="4793" y="838"/>
                              <a:ext cx="19" cy="456"/>
                            </a:xfrm>
                            <a:prstGeom prst="rect">
                              <a:avLst/>
                            </a:prstGeom>
                            <a:noFill/>
                            <a:ln w="5715">
                              <a:solidFill>
                                <a:srgbClr val="000000"/>
                              </a:solidFill>
                              <a:prstDash val="solid"/>
                              <a:miter lim="800000"/>
                            </a:ln>
                          </wps:spPr>
                          <wps:bodyPr rot="0" vert="horz" wrap="square" lIns="91440" tIns="45720" rIns="91440" bIns="45720" anchor="t" anchorCtr="0" upright="1">
                            <a:noAutofit/>
                          </wps:bodyPr>
                        </wps:wsp>
                        <wps:wsp>
                          <wps:cNvPr id="572" name="Line 1179"/>
                          <wps:cNvCnPr>
                            <a:cxnSpLocks noChangeShapeType="1"/>
                          </wps:cNvCnPr>
                          <wps:spPr bwMode="auto">
                            <a:xfrm>
                              <a:off x="4434" y="769"/>
                              <a:ext cx="0" cy="645"/>
                            </a:xfrm>
                            <a:prstGeom prst="line">
                              <a:avLst/>
                            </a:prstGeom>
                            <a:noFill/>
                            <a:ln w="5715">
                              <a:solidFill>
                                <a:srgbClr val="000000"/>
                              </a:solidFill>
                              <a:prstDash val="solid"/>
                              <a:round/>
                            </a:ln>
                          </wps:spPr>
                          <wps:bodyPr/>
                        </wps:wsp>
                        <wps:wsp>
                          <wps:cNvPr id="573" name="Line 1180"/>
                          <wps:cNvCnPr>
                            <a:cxnSpLocks noChangeShapeType="1"/>
                          </wps:cNvCnPr>
                          <wps:spPr bwMode="auto">
                            <a:xfrm>
                              <a:off x="4304" y="999"/>
                              <a:ext cx="228" cy="0"/>
                            </a:xfrm>
                            <a:prstGeom prst="line">
                              <a:avLst/>
                            </a:prstGeom>
                            <a:noFill/>
                            <a:ln w="5715">
                              <a:solidFill>
                                <a:srgbClr val="000000"/>
                              </a:solidFill>
                              <a:prstDash val="solid"/>
                              <a:round/>
                            </a:ln>
                          </wps:spPr>
                          <wps:bodyPr/>
                        </wps:wsp>
                        <wps:wsp>
                          <wps:cNvPr id="574" name="Line 1181"/>
                          <wps:cNvCnPr>
                            <a:cxnSpLocks noChangeShapeType="1"/>
                          </wps:cNvCnPr>
                          <wps:spPr bwMode="auto">
                            <a:xfrm>
                              <a:off x="4260" y="1562"/>
                              <a:ext cx="354" cy="0"/>
                            </a:xfrm>
                            <a:prstGeom prst="line">
                              <a:avLst/>
                            </a:prstGeom>
                            <a:noFill/>
                            <a:ln w="5715">
                              <a:solidFill>
                                <a:srgbClr val="000000"/>
                              </a:solidFill>
                              <a:prstDash val="solid"/>
                              <a:round/>
                            </a:ln>
                          </wps:spPr>
                          <wps:bodyPr/>
                        </wps:wsp>
                        <wps:wsp>
                          <wps:cNvPr id="575" name="Line 1182"/>
                          <wps:cNvCnPr>
                            <a:cxnSpLocks noChangeShapeType="1"/>
                          </wps:cNvCnPr>
                          <wps:spPr bwMode="auto">
                            <a:xfrm flipH="1">
                              <a:off x="4260" y="1414"/>
                              <a:ext cx="174" cy="0"/>
                            </a:xfrm>
                            <a:prstGeom prst="line">
                              <a:avLst/>
                            </a:prstGeom>
                            <a:noFill/>
                            <a:ln w="5715">
                              <a:solidFill>
                                <a:srgbClr val="000000"/>
                              </a:solidFill>
                              <a:prstDash val="solid"/>
                              <a:round/>
                            </a:ln>
                          </wps:spPr>
                          <wps:bodyPr/>
                        </wps:wsp>
                        <wps:wsp>
                          <wps:cNvPr id="576" name="Line 1183"/>
                          <wps:cNvCnPr>
                            <a:cxnSpLocks noChangeShapeType="1"/>
                          </wps:cNvCnPr>
                          <wps:spPr bwMode="auto">
                            <a:xfrm>
                              <a:off x="4260" y="1414"/>
                              <a:ext cx="0" cy="148"/>
                            </a:xfrm>
                            <a:prstGeom prst="line">
                              <a:avLst/>
                            </a:prstGeom>
                            <a:noFill/>
                            <a:ln w="5715">
                              <a:solidFill>
                                <a:srgbClr val="000000"/>
                              </a:solidFill>
                              <a:prstDash val="solid"/>
                              <a:round/>
                            </a:ln>
                          </wps:spPr>
                          <wps:bodyPr/>
                        </wps:wsp>
                        <wps:wsp>
                          <wps:cNvPr id="577" name="Line 1184"/>
                          <wps:cNvCnPr>
                            <a:cxnSpLocks noChangeShapeType="1"/>
                          </wps:cNvCnPr>
                          <wps:spPr bwMode="auto">
                            <a:xfrm>
                              <a:off x="4123" y="1342"/>
                              <a:ext cx="261" cy="0"/>
                            </a:xfrm>
                            <a:prstGeom prst="line">
                              <a:avLst/>
                            </a:prstGeom>
                            <a:noFill/>
                            <a:ln w="5715">
                              <a:solidFill>
                                <a:srgbClr val="000000"/>
                              </a:solidFill>
                              <a:prstDash val="solid"/>
                              <a:round/>
                            </a:ln>
                          </wps:spPr>
                          <wps:bodyPr/>
                        </wps:wsp>
                      </wpg:wgp>
                      <wpg:wgp>
                        <wpg:cNvPr id="578" name="Group 1386"/>
                        <wpg:cNvGrpSpPr/>
                        <wpg:grpSpPr>
                          <a:xfrm>
                            <a:off x="21590" y="106045"/>
                            <a:ext cx="3915410" cy="1287145"/>
                            <a:chOff x="34" y="167"/>
                            <a:chExt cx="6166" cy="2027"/>
                          </a:xfrm>
                        </wpg:grpSpPr>
                        <wps:wsp>
                          <wps:cNvPr id="579" name="Freeform 1186"/>
                          <wps:cNvSpPr/>
                          <wps:spPr bwMode="auto">
                            <a:xfrm>
                              <a:off x="4127" y="1408"/>
                              <a:ext cx="45" cy="35"/>
                            </a:xfrm>
                            <a:custGeom>
                              <a:avLst/>
                              <a:gdLst>
                                <a:gd name="T0" fmla="*/ 9 w 45"/>
                                <a:gd name="T1" fmla="*/ 0 h 35"/>
                                <a:gd name="T2" fmla="*/ 0 w 45"/>
                                <a:gd name="T3" fmla="*/ 9 h 35"/>
                                <a:gd name="T4" fmla="*/ 45 w 45"/>
                                <a:gd name="T5" fmla="*/ 35 h 35"/>
                                <a:gd name="T6" fmla="*/ 9 w 45"/>
                                <a:gd name="T7" fmla="*/ 0 h 35"/>
                              </a:gdLst>
                              <a:ahLst/>
                              <a:cxnLst>
                                <a:cxn ang="0">
                                  <a:pos x="T0" y="T1"/>
                                </a:cxn>
                                <a:cxn ang="0">
                                  <a:pos x="T2" y="T3"/>
                                </a:cxn>
                                <a:cxn ang="0">
                                  <a:pos x="T4" y="T5"/>
                                </a:cxn>
                                <a:cxn ang="0">
                                  <a:pos x="T6" y="T7"/>
                                </a:cxn>
                              </a:cxnLst>
                              <a:rect l="0" t="0" r="r" b="b"/>
                              <a:pathLst>
                                <a:path w="45" h="35">
                                  <a:moveTo>
                                    <a:pt x="9" y="0"/>
                                  </a:moveTo>
                                  <a:lnTo>
                                    <a:pt x="0" y="9"/>
                                  </a:lnTo>
                                  <a:lnTo>
                                    <a:pt x="45" y="35"/>
                                  </a:lnTo>
                                  <a:lnTo>
                                    <a:pt x="9" y="0"/>
                                  </a:lnTo>
                                  <a:close/>
                                </a:path>
                              </a:pathLst>
                            </a:custGeom>
                            <a:solidFill>
                              <a:srgbClr val="000000"/>
                            </a:solidFill>
                            <a:ln>
                              <a:noFill/>
                            </a:ln>
                          </wps:spPr>
                          <wps:bodyPr rot="0" vert="horz" wrap="square" lIns="91440" tIns="45720" rIns="91440" bIns="45720" anchor="t" anchorCtr="0" upright="1">
                            <a:noAutofit/>
                          </wps:bodyPr>
                        </wps:wsp>
                        <wps:wsp>
                          <wps:cNvPr id="580" name="Freeform 1187"/>
                          <wps:cNvSpPr/>
                          <wps:spPr bwMode="auto">
                            <a:xfrm>
                              <a:off x="4127" y="1417"/>
                              <a:ext cx="45" cy="35"/>
                            </a:xfrm>
                            <a:custGeom>
                              <a:avLst/>
                              <a:gdLst>
                                <a:gd name="T0" fmla="*/ 0 w 45"/>
                                <a:gd name="T1" fmla="*/ 0 h 35"/>
                                <a:gd name="T2" fmla="*/ 45 w 45"/>
                                <a:gd name="T3" fmla="*/ 26 h 35"/>
                                <a:gd name="T4" fmla="*/ 36 w 45"/>
                                <a:gd name="T5" fmla="*/ 35 h 35"/>
                                <a:gd name="T6" fmla="*/ 0 w 45"/>
                                <a:gd name="T7" fmla="*/ 0 h 35"/>
                              </a:gdLst>
                              <a:ahLst/>
                              <a:cxnLst>
                                <a:cxn ang="0">
                                  <a:pos x="T0" y="T1"/>
                                </a:cxn>
                                <a:cxn ang="0">
                                  <a:pos x="T2" y="T3"/>
                                </a:cxn>
                                <a:cxn ang="0">
                                  <a:pos x="T4" y="T5"/>
                                </a:cxn>
                                <a:cxn ang="0">
                                  <a:pos x="T6" y="T7"/>
                                </a:cxn>
                              </a:cxnLst>
                              <a:rect l="0" t="0" r="r" b="b"/>
                              <a:pathLst>
                                <a:path w="45" h="35">
                                  <a:moveTo>
                                    <a:pt x="0" y="0"/>
                                  </a:moveTo>
                                  <a:lnTo>
                                    <a:pt x="45" y="26"/>
                                  </a:lnTo>
                                  <a:lnTo>
                                    <a:pt x="36" y="35"/>
                                  </a:lnTo>
                                  <a:lnTo>
                                    <a:pt x="0" y="0"/>
                                  </a:lnTo>
                                  <a:close/>
                                </a:path>
                              </a:pathLst>
                            </a:custGeom>
                            <a:solidFill>
                              <a:srgbClr val="000000"/>
                            </a:solidFill>
                            <a:ln>
                              <a:noFill/>
                            </a:ln>
                          </wps:spPr>
                          <wps:bodyPr rot="0" vert="horz" wrap="square" lIns="91440" tIns="45720" rIns="91440" bIns="45720" anchor="t" anchorCtr="0" upright="1">
                            <a:noAutofit/>
                          </wps:bodyPr>
                        </wps:wsp>
                        <wps:wsp>
                          <wps:cNvPr id="581" name="Freeform 1188"/>
                          <wps:cNvSpPr/>
                          <wps:spPr bwMode="auto">
                            <a:xfrm>
                              <a:off x="4127" y="1408"/>
                              <a:ext cx="45" cy="44"/>
                            </a:xfrm>
                            <a:custGeom>
                              <a:avLst/>
                              <a:gdLst>
                                <a:gd name="T0" fmla="*/ 9 w 45"/>
                                <a:gd name="T1" fmla="*/ 0 h 44"/>
                                <a:gd name="T2" fmla="*/ 0 w 45"/>
                                <a:gd name="T3" fmla="*/ 9 h 44"/>
                                <a:gd name="T4" fmla="*/ 36 w 45"/>
                                <a:gd name="T5" fmla="*/ 44 h 44"/>
                                <a:gd name="T6" fmla="*/ 45 w 45"/>
                                <a:gd name="T7" fmla="*/ 35 h 44"/>
                                <a:gd name="T8" fmla="*/ 9 w 45"/>
                                <a:gd name="T9" fmla="*/ 0 h 44"/>
                              </a:gdLst>
                              <a:ahLst/>
                              <a:cxnLst>
                                <a:cxn ang="0">
                                  <a:pos x="T0" y="T1"/>
                                </a:cxn>
                                <a:cxn ang="0">
                                  <a:pos x="T2" y="T3"/>
                                </a:cxn>
                                <a:cxn ang="0">
                                  <a:pos x="T4" y="T5"/>
                                </a:cxn>
                                <a:cxn ang="0">
                                  <a:pos x="T6" y="T7"/>
                                </a:cxn>
                                <a:cxn ang="0">
                                  <a:pos x="T8" y="T9"/>
                                </a:cxn>
                              </a:cxnLst>
                              <a:rect l="0" t="0" r="r" b="b"/>
                              <a:pathLst>
                                <a:path w="45" h="44">
                                  <a:moveTo>
                                    <a:pt x="9" y="0"/>
                                  </a:moveTo>
                                  <a:lnTo>
                                    <a:pt x="0" y="9"/>
                                  </a:lnTo>
                                  <a:lnTo>
                                    <a:pt x="36" y="44"/>
                                  </a:lnTo>
                                  <a:lnTo>
                                    <a:pt x="45" y="35"/>
                                  </a:lnTo>
                                  <a:lnTo>
                                    <a:pt x="9"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82" name="Freeform 1189"/>
                          <wps:cNvSpPr/>
                          <wps:spPr bwMode="auto">
                            <a:xfrm>
                              <a:off x="4128" y="1318"/>
                              <a:ext cx="46" cy="34"/>
                            </a:xfrm>
                            <a:custGeom>
                              <a:avLst/>
                              <a:gdLst>
                                <a:gd name="T0" fmla="*/ 9 w 46"/>
                                <a:gd name="T1" fmla="*/ 0 h 34"/>
                                <a:gd name="T2" fmla="*/ 0 w 46"/>
                                <a:gd name="T3" fmla="*/ 9 h 34"/>
                                <a:gd name="T4" fmla="*/ 46 w 46"/>
                                <a:gd name="T5" fmla="*/ 34 h 34"/>
                                <a:gd name="T6" fmla="*/ 9 w 46"/>
                                <a:gd name="T7" fmla="*/ 0 h 34"/>
                              </a:gdLst>
                              <a:ahLst/>
                              <a:cxnLst>
                                <a:cxn ang="0">
                                  <a:pos x="T0" y="T1"/>
                                </a:cxn>
                                <a:cxn ang="0">
                                  <a:pos x="T2" y="T3"/>
                                </a:cxn>
                                <a:cxn ang="0">
                                  <a:pos x="T4" y="T5"/>
                                </a:cxn>
                                <a:cxn ang="0">
                                  <a:pos x="T6" y="T7"/>
                                </a:cxn>
                              </a:cxnLst>
                              <a:rect l="0" t="0" r="r" b="b"/>
                              <a:pathLst>
                                <a:path w="46" h="34">
                                  <a:moveTo>
                                    <a:pt x="9" y="0"/>
                                  </a:moveTo>
                                  <a:lnTo>
                                    <a:pt x="0" y="9"/>
                                  </a:lnTo>
                                  <a:lnTo>
                                    <a:pt x="46" y="34"/>
                                  </a:lnTo>
                                  <a:lnTo>
                                    <a:pt x="9" y="0"/>
                                  </a:lnTo>
                                  <a:close/>
                                </a:path>
                              </a:pathLst>
                            </a:custGeom>
                            <a:solidFill>
                              <a:srgbClr val="000000"/>
                            </a:solidFill>
                            <a:ln>
                              <a:noFill/>
                            </a:ln>
                          </wps:spPr>
                          <wps:bodyPr rot="0" vert="horz" wrap="square" lIns="91440" tIns="45720" rIns="91440" bIns="45720" anchor="t" anchorCtr="0" upright="1">
                            <a:noAutofit/>
                          </wps:bodyPr>
                        </wps:wsp>
                        <wps:wsp>
                          <wps:cNvPr id="583" name="Freeform 1190"/>
                          <wps:cNvSpPr/>
                          <wps:spPr bwMode="auto">
                            <a:xfrm>
                              <a:off x="4128" y="1327"/>
                              <a:ext cx="46" cy="35"/>
                            </a:xfrm>
                            <a:custGeom>
                              <a:avLst/>
                              <a:gdLst>
                                <a:gd name="T0" fmla="*/ 0 w 46"/>
                                <a:gd name="T1" fmla="*/ 0 h 35"/>
                                <a:gd name="T2" fmla="*/ 46 w 46"/>
                                <a:gd name="T3" fmla="*/ 25 h 35"/>
                                <a:gd name="T4" fmla="*/ 36 w 46"/>
                                <a:gd name="T5" fmla="*/ 35 h 35"/>
                                <a:gd name="T6" fmla="*/ 0 w 46"/>
                                <a:gd name="T7" fmla="*/ 0 h 35"/>
                              </a:gdLst>
                              <a:ahLst/>
                              <a:cxnLst>
                                <a:cxn ang="0">
                                  <a:pos x="T0" y="T1"/>
                                </a:cxn>
                                <a:cxn ang="0">
                                  <a:pos x="T2" y="T3"/>
                                </a:cxn>
                                <a:cxn ang="0">
                                  <a:pos x="T4" y="T5"/>
                                </a:cxn>
                                <a:cxn ang="0">
                                  <a:pos x="T6" y="T7"/>
                                </a:cxn>
                              </a:cxnLst>
                              <a:rect l="0" t="0" r="r" b="b"/>
                              <a:pathLst>
                                <a:path w="46" h="35">
                                  <a:moveTo>
                                    <a:pt x="0" y="0"/>
                                  </a:moveTo>
                                  <a:lnTo>
                                    <a:pt x="46" y="25"/>
                                  </a:lnTo>
                                  <a:lnTo>
                                    <a:pt x="36" y="35"/>
                                  </a:lnTo>
                                  <a:lnTo>
                                    <a:pt x="0" y="0"/>
                                  </a:lnTo>
                                  <a:close/>
                                </a:path>
                              </a:pathLst>
                            </a:custGeom>
                            <a:solidFill>
                              <a:srgbClr val="000000"/>
                            </a:solidFill>
                            <a:ln>
                              <a:noFill/>
                            </a:ln>
                          </wps:spPr>
                          <wps:bodyPr rot="0" vert="horz" wrap="square" lIns="91440" tIns="45720" rIns="91440" bIns="45720" anchor="t" anchorCtr="0" upright="1">
                            <a:noAutofit/>
                          </wps:bodyPr>
                        </wps:wsp>
                        <wps:wsp>
                          <wps:cNvPr id="584" name="Freeform 1191"/>
                          <wps:cNvSpPr/>
                          <wps:spPr bwMode="auto">
                            <a:xfrm>
                              <a:off x="4128" y="1318"/>
                              <a:ext cx="46" cy="44"/>
                            </a:xfrm>
                            <a:custGeom>
                              <a:avLst/>
                              <a:gdLst>
                                <a:gd name="T0" fmla="*/ 9 w 46"/>
                                <a:gd name="T1" fmla="*/ 0 h 44"/>
                                <a:gd name="T2" fmla="*/ 0 w 46"/>
                                <a:gd name="T3" fmla="*/ 9 h 44"/>
                                <a:gd name="T4" fmla="*/ 36 w 46"/>
                                <a:gd name="T5" fmla="*/ 44 h 44"/>
                                <a:gd name="T6" fmla="*/ 46 w 46"/>
                                <a:gd name="T7" fmla="*/ 34 h 44"/>
                                <a:gd name="T8" fmla="*/ 9 w 46"/>
                                <a:gd name="T9" fmla="*/ 0 h 44"/>
                              </a:gdLst>
                              <a:ahLst/>
                              <a:cxnLst>
                                <a:cxn ang="0">
                                  <a:pos x="T0" y="T1"/>
                                </a:cxn>
                                <a:cxn ang="0">
                                  <a:pos x="T2" y="T3"/>
                                </a:cxn>
                                <a:cxn ang="0">
                                  <a:pos x="T4" y="T5"/>
                                </a:cxn>
                                <a:cxn ang="0">
                                  <a:pos x="T6" y="T7"/>
                                </a:cxn>
                                <a:cxn ang="0">
                                  <a:pos x="T8" y="T9"/>
                                </a:cxn>
                              </a:cxnLst>
                              <a:rect l="0" t="0" r="r" b="b"/>
                              <a:pathLst>
                                <a:path w="46" h="44">
                                  <a:moveTo>
                                    <a:pt x="9" y="0"/>
                                  </a:moveTo>
                                  <a:lnTo>
                                    <a:pt x="0" y="9"/>
                                  </a:lnTo>
                                  <a:lnTo>
                                    <a:pt x="36" y="44"/>
                                  </a:lnTo>
                                  <a:lnTo>
                                    <a:pt x="46" y="34"/>
                                  </a:lnTo>
                                  <a:lnTo>
                                    <a:pt x="9"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585" name="Rectangle 1192"/>
                          <wps:cNvSpPr>
                            <a:spLocks noChangeArrowheads="1"/>
                          </wps:cNvSpPr>
                          <wps:spPr bwMode="auto">
                            <a:xfrm>
                              <a:off x="4266" y="211"/>
                              <a:ext cx="161" cy="312"/>
                            </a:xfrm>
                            <a:prstGeom prst="rect">
                              <a:avLst/>
                            </a:prstGeom>
                            <a:noFill/>
                            <a:ln>
                              <a:noFill/>
                            </a:ln>
                          </wps:spPr>
                          <wps:txbx>
                            <w:txbxContent>
                              <w:p w14:paraId="76BF894E">
                                <w:r>
                                  <w:rPr>
                                    <w:rFonts w:hint="eastAsia" w:ascii="宋体" w:cs="宋体"/>
                                    <w:color w:val="000000"/>
                                    <w:kern w:val="0"/>
                                    <w:sz w:val="16"/>
                                    <w:szCs w:val="16"/>
                                  </w:rPr>
                                  <w:t>墙</w:t>
                                </w:r>
                              </w:p>
                            </w:txbxContent>
                          </wps:txbx>
                          <wps:bodyPr rot="0" vert="horz" wrap="none" lIns="0" tIns="0" rIns="0" bIns="0" anchor="t" anchorCtr="0">
                            <a:spAutoFit/>
                          </wps:bodyPr>
                        </wps:wsp>
                        <wps:wsp>
                          <wps:cNvPr id="586" name="Line 1193"/>
                          <wps:cNvCnPr>
                            <a:cxnSpLocks noChangeShapeType="1"/>
                          </wps:cNvCnPr>
                          <wps:spPr bwMode="auto">
                            <a:xfrm>
                              <a:off x="4151" y="1308"/>
                              <a:ext cx="0" cy="143"/>
                            </a:xfrm>
                            <a:prstGeom prst="line">
                              <a:avLst/>
                            </a:prstGeom>
                            <a:noFill/>
                            <a:ln w="5715">
                              <a:solidFill>
                                <a:srgbClr val="000000"/>
                              </a:solidFill>
                              <a:prstDash val="solid"/>
                              <a:round/>
                            </a:ln>
                          </wps:spPr>
                          <wps:bodyPr/>
                        </wps:wsp>
                        <wps:wsp>
                          <wps:cNvPr id="587" name="Line 1194"/>
                          <wps:cNvCnPr>
                            <a:cxnSpLocks noChangeShapeType="1"/>
                          </wps:cNvCnPr>
                          <wps:spPr bwMode="auto">
                            <a:xfrm>
                              <a:off x="4118" y="1432"/>
                              <a:ext cx="90" cy="0"/>
                            </a:xfrm>
                            <a:prstGeom prst="line">
                              <a:avLst/>
                            </a:prstGeom>
                            <a:noFill/>
                            <a:ln w="5715">
                              <a:solidFill>
                                <a:srgbClr val="000000"/>
                              </a:solidFill>
                              <a:prstDash val="solid"/>
                              <a:round/>
                            </a:ln>
                          </wps:spPr>
                          <wps:bodyPr/>
                        </wps:wsp>
                        <wps:wsp>
                          <wps:cNvPr id="588" name="Line 1195"/>
                          <wps:cNvCnPr>
                            <a:cxnSpLocks noChangeShapeType="1"/>
                          </wps:cNvCnPr>
                          <wps:spPr bwMode="auto">
                            <a:xfrm flipV="1">
                              <a:off x="4614" y="1335"/>
                              <a:ext cx="0" cy="227"/>
                            </a:xfrm>
                            <a:prstGeom prst="line">
                              <a:avLst/>
                            </a:prstGeom>
                            <a:noFill/>
                            <a:ln w="5715">
                              <a:solidFill>
                                <a:srgbClr val="000000"/>
                              </a:solidFill>
                              <a:prstDash val="solid"/>
                              <a:round/>
                            </a:ln>
                          </wps:spPr>
                          <wps:bodyPr/>
                        </wps:wsp>
                        <wps:wsp>
                          <wps:cNvPr id="589" name="Line 1196"/>
                          <wps:cNvCnPr>
                            <a:cxnSpLocks noChangeShapeType="1"/>
                          </wps:cNvCnPr>
                          <wps:spPr bwMode="auto">
                            <a:xfrm flipV="1">
                              <a:off x="4537" y="629"/>
                              <a:ext cx="318" cy="256"/>
                            </a:xfrm>
                            <a:prstGeom prst="line">
                              <a:avLst/>
                            </a:prstGeom>
                            <a:noFill/>
                            <a:ln w="5715">
                              <a:solidFill>
                                <a:srgbClr val="000000"/>
                              </a:solidFill>
                              <a:prstDash val="solid"/>
                              <a:round/>
                            </a:ln>
                          </wps:spPr>
                          <wps:bodyPr/>
                        </wps:wsp>
                        <wps:wsp>
                          <wps:cNvPr id="590" name="Line 1197"/>
                          <wps:cNvCnPr>
                            <a:cxnSpLocks noChangeShapeType="1"/>
                          </wps:cNvCnPr>
                          <wps:spPr bwMode="auto">
                            <a:xfrm flipH="1">
                              <a:off x="4434" y="769"/>
                              <a:ext cx="249" cy="0"/>
                            </a:xfrm>
                            <a:prstGeom prst="line">
                              <a:avLst/>
                            </a:prstGeom>
                            <a:noFill/>
                            <a:ln w="5715">
                              <a:solidFill>
                                <a:srgbClr val="000000"/>
                              </a:solidFill>
                              <a:prstDash val="solid"/>
                              <a:round/>
                            </a:ln>
                          </wps:spPr>
                          <wps:bodyPr/>
                        </wps:wsp>
                        <wps:wsp>
                          <wps:cNvPr id="591" name="Freeform 1198"/>
                          <wps:cNvSpPr/>
                          <wps:spPr bwMode="auto">
                            <a:xfrm>
                              <a:off x="4808" y="834"/>
                              <a:ext cx="43" cy="12"/>
                            </a:xfrm>
                            <a:custGeom>
                              <a:avLst/>
                              <a:gdLst>
                                <a:gd name="T0" fmla="*/ 0 w 43"/>
                                <a:gd name="T1" fmla="*/ 0 h 12"/>
                                <a:gd name="T2" fmla="*/ 0 w 43"/>
                                <a:gd name="T3" fmla="*/ 12 h 12"/>
                                <a:gd name="T4" fmla="*/ 43 w 43"/>
                                <a:gd name="T5" fmla="*/ 0 h 12"/>
                                <a:gd name="T6" fmla="*/ 0 w 43"/>
                                <a:gd name="T7" fmla="*/ 0 h 12"/>
                              </a:gdLst>
                              <a:ahLst/>
                              <a:cxnLst>
                                <a:cxn ang="0">
                                  <a:pos x="T0" y="T1"/>
                                </a:cxn>
                                <a:cxn ang="0">
                                  <a:pos x="T2" y="T3"/>
                                </a:cxn>
                                <a:cxn ang="0">
                                  <a:pos x="T4" y="T5"/>
                                </a:cxn>
                                <a:cxn ang="0">
                                  <a:pos x="T6" y="T7"/>
                                </a:cxn>
                              </a:cxnLst>
                              <a:rect l="0" t="0" r="r" b="b"/>
                              <a:pathLst>
                                <a:path w="43" h="12">
                                  <a:moveTo>
                                    <a:pt x="0" y="0"/>
                                  </a:moveTo>
                                  <a:lnTo>
                                    <a:pt x="0" y="12"/>
                                  </a:lnTo>
                                  <a:lnTo>
                                    <a:pt x="43" y="0"/>
                                  </a:lnTo>
                                  <a:lnTo>
                                    <a:pt x="0" y="0"/>
                                  </a:lnTo>
                                  <a:close/>
                                </a:path>
                              </a:pathLst>
                            </a:custGeom>
                            <a:solidFill>
                              <a:srgbClr val="000000"/>
                            </a:solidFill>
                            <a:ln>
                              <a:noFill/>
                            </a:ln>
                          </wps:spPr>
                          <wps:bodyPr rot="0" vert="horz" wrap="square" lIns="91440" tIns="45720" rIns="91440" bIns="45720" anchor="t" anchorCtr="0" upright="1">
                            <a:noAutofit/>
                          </wps:bodyPr>
                        </wps:wsp>
                        <wps:wsp>
                          <wps:cNvPr id="592" name="Freeform 1199"/>
                          <wps:cNvSpPr/>
                          <wps:spPr bwMode="auto">
                            <a:xfrm>
                              <a:off x="4808" y="834"/>
                              <a:ext cx="43" cy="12"/>
                            </a:xfrm>
                            <a:custGeom>
                              <a:avLst/>
                              <a:gdLst>
                                <a:gd name="T0" fmla="*/ 0 w 43"/>
                                <a:gd name="T1" fmla="*/ 12 h 12"/>
                                <a:gd name="T2" fmla="*/ 43 w 43"/>
                                <a:gd name="T3" fmla="*/ 0 h 12"/>
                                <a:gd name="T4" fmla="*/ 43 w 43"/>
                                <a:gd name="T5" fmla="*/ 12 h 12"/>
                                <a:gd name="T6" fmla="*/ 0 w 43"/>
                                <a:gd name="T7" fmla="*/ 12 h 12"/>
                              </a:gdLst>
                              <a:ahLst/>
                              <a:cxnLst>
                                <a:cxn ang="0">
                                  <a:pos x="T0" y="T1"/>
                                </a:cxn>
                                <a:cxn ang="0">
                                  <a:pos x="T2" y="T3"/>
                                </a:cxn>
                                <a:cxn ang="0">
                                  <a:pos x="T4" y="T5"/>
                                </a:cxn>
                                <a:cxn ang="0">
                                  <a:pos x="T6" y="T7"/>
                                </a:cxn>
                              </a:cxnLst>
                              <a:rect l="0" t="0" r="r" b="b"/>
                              <a:pathLst>
                                <a:path w="43" h="12">
                                  <a:moveTo>
                                    <a:pt x="0" y="12"/>
                                  </a:moveTo>
                                  <a:lnTo>
                                    <a:pt x="43" y="0"/>
                                  </a:lnTo>
                                  <a:lnTo>
                                    <a:pt x="43" y="12"/>
                                  </a:lnTo>
                                  <a:lnTo>
                                    <a:pt x="0" y="12"/>
                                  </a:lnTo>
                                  <a:close/>
                                </a:path>
                              </a:pathLst>
                            </a:custGeom>
                            <a:solidFill>
                              <a:srgbClr val="000000"/>
                            </a:solidFill>
                            <a:ln>
                              <a:noFill/>
                            </a:ln>
                          </wps:spPr>
                          <wps:bodyPr rot="0" vert="horz" wrap="square" lIns="91440" tIns="45720" rIns="91440" bIns="45720" anchor="t" anchorCtr="0" upright="1">
                            <a:noAutofit/>
                          </wps:bodyPr>
                        </wps:wsp>
                        <wps:wsp>
                          <wps:cNvPr id="593" name="Rectangle 1200"/>
                          <wps:cNvSpPr>
                            <a:spLocks noChangeArrowheads="1"/>
                          </wps:cNvSpPr>
                          <wps:spPr bwMode="auto">
                            <a:xfrm>
                              <a:off x="4808" y="834"/>
                              <a:ext cx="43" cy="12"/>
                            </a:xfrm>
                            <a:prstGeom prst="rect">
                              <a:avLst/>
                            </a:prstGeom>
                            <a:noFill/>
                            <a:ln w="5715">
                              <a:solidFill>
                                <a:srgbClr val="000000"/>
                              </a:solidFill>
                              <a:prstDash val="solid"/>
                              <a:miter lim="800000"/>
                            </a:ln>
                          </wps:spPr>
                          <wps:bodyPr rot="0" vert="horz" wrap="square" lIns="91440" tIns="45720" rIns="91440" bIns="45720" anchor="t" anchorCtr="0" upright="1">
                            <a:noAutofit/>
                          </wps:bodyPr>
                        </wps:wsp>
                        <wps:wsp>
                          <wps:cNvPr id="594" name="Line 1201"/>
                          <wps:cNvCnPr>
                            <a:cxnSpLocks noChangeShapeType="1"/>
                          </wps:cNvCnPr>
                          <wps:spPr bwMode="auto">
                            <a:xfrm>
                              <a:off x="4683" y="339"/>
                              <a:ext cx="48" cy="0"/>
                            </a:xfrm>
                            <a:prstGeom prst="line">
                              <a:avLst/>
                            </a:prstGeom>
                            <a:noFill/>
                            <a:ln w="5715">
                              <a:solidFill>
                                <a:srgbClr val="000000"/>
                              </a:solidFill>
                              <a:prstDash val="solid"/>
                              <a:round/>
                            </a:ln>
                          </wps:spPr>
                          <wps:bodyPr/>
                        </wps:wsp>
                        <wps:wsp>
                          <wps:cNvPr id="595" name="Line 1202"/>
                          <wps:cNvCnPr>
                            <a:cxnSpLocks noChangeShapeType="1"/>
                          </wps:cNvCnPr>
                          <wps:spPr bwMode="auto">
                            <a:xfrm>
                              <a:off x="4446" y="339"/>
                              <a:ext cx="237" cy="0"/>
                            </a:xfrm>
                            <a:prstGeom prst="line">
                              <a:avLst/>
                            </a:prstGeom>
                            <a:noFill/>
                            <a:ln w="5715">
                              <a:solidFill>
                                <a:srgbClr val="000000"/>
                              </a:solidFill>
                              <a:prstDash val="solid"/>
                              <a:round/>
                            </a:ln>
                          </wps:spPr>
                          <wps:bodyPr/>
                        </wps:wsp>
                        <wps:wsp>
                          <wps:cNvPr id="596" name="Freeform 1203"/>
                          <wps:cNvSpPr/>
                          <wps:spPr bwMode="auto">
                            <a:xfrm>
                              <a:off x="5121" y="838"/>
                              <a:ext cx="20" cy="465"/>
                            </a:xfrm>
                            <a:custGeom>
                              <a:avLst/>
                              <a:gdLst>
                                <a:gd name="T0" fmla="*/ 0 w 20"/>
                                <a:gd name="T1" fmla="*/ 465 h 465"/>
                                <a:gd name="T2" fmla="*/ 20 w 20"/>
                                <a:gd name="T3" fmla="*/ 465 h 465"/>
                                <a:gd name="T4" fmla="*/ 0 w 20"/>
                                <a:gd name="T5" fmla="*/ 0 h 465"/>
                                <a:gd name="T6" fmla="*/ 0 w 20"/>
                                <a:gd name="T7" fmla="*/ 465 h 465"/>
                              </a:gdLst>
                              <a:ahLst/>
                              <a:cxnLst>
                                <a:cxn ang="0">
                                  <a:pos x="T0" y="T1"/>
                                </a:cxn>
                                <a:cxn ang="0">
                                  <a:pos x="T2" y="T3"/>
                                </a:cxn>
                                <a:cxn ang="0">
                                  <a:pos x="T4" y="T5"/>
                                </a:cxn>
                                <a:cxn ang="0">
                                  <a:pos x="T6" y="T7"/>
                                </a:cxn>
                              </a:cxnLst>
                              <a:rect l="0" t="0" r="r" b="b"/>
                              <a:pathLst>
                                <a:path w="20" h="465">
                                  <a:moveTo>
                                    <a:pt x="0" y="465"/>
                                  </a:moveTo>
                                  <a:lnTo>
                                    <a:pt x="20" y="465"/>
                                  </a:lnTo>
                                  <a:lnTo>
                                    <a:pt x="0" y="0"/>
                                  </a:lnTo>
                                  <a:lnTo>
                                    <a:pt x="0" y="465"/>
                                  </a:lnTo>
                                  <a:close/>
                                </a:path>
                              </a:pathLst>
                            </a:custGeom>
                            <a:solidFill>
                              <a:srgbClr val="000000"/>
                            </a:solidFill>
                            <a:ln>
                              <a:noFill/>
                            </a:ln>
                          </wps:spPr>
                          <wps:bodyPr rot="0" vert="horz" wrap="square" lIns="91440" tIns="45720" rIns="91440" bIns="45720" anchor="t" anchorCtr="0" upright="1">
                            <a:noAutofit/>
                          </wps:bodyPr>
                        </wps:wsp>
                        <wps:wsp>
                          <wps:cNvPr id="597" name="Freeform 1204"/>
                          <wps:cNvSpPr/>
                          <wps:spPr bwMode="auto">
                            <a:xfrm>
                              <a:off x="5121" y="838"/>
                              <a:ext cx="20" cy="465"/>
                            </a:xfrm>
                            <a:custGeom>
                              <a:avLst/>
                              <a:gdLst>
                                <a:gd name="T0" fmla="*/ 20 w 20"/>
                                <a:gd name="T1" fmla="*/ 465 h 465"/>
                                <a:gd name="T2" fmla="*/ 0 w 20"/>
                                <a:gd name="T3" fmla="*/ 0 h 465"/>
                                <a:gd name="T4" fmla="*/ 20 w 20"/>
                                <a:gd name="T5" fmla="*/ 0 h 465"/>
                                <a:gd name="T6" fmla="*/ 20 w 20"/>
                                <a:gd name="T7" fmla="*/ 465 h 465"/>
                              </a:gdLst>
                              <a:ahLst/>
                              <a:cxnLst>
                                <a:cxn ang="0">
                                  <a:pos x="T0" y="T1"/>
                                </a:cxn>
                                <a:cxn ang="0">
                                  <a:pos x="T2" y="T3"/>
                                </a:cxn>
                                <a:cxn ang="0">
                                  <a:pos x="T4" y="T5"/>
                                </a:cxn>
                                <a:cxn ang="0">
                                  <a:pos x="T6" y="T7"/>
                                </a:cxn>
                              </a:cxnLst>
                              <a:rect l="0" t="0" r="r" b="b"/>
                              <a:pathLst>
                                <a:path w="20" h="465">
                                  <a:moveTo>
                                    <a:pt x="20" y="465"/>
                                  </a:moveTo>
                                  <a:lnTo>
                                    <a:pt x="0" y="0"/>
                                  </a:lnTo>
                                  <a:lnTo>
                                    <a:pt x="20" y="0"/>
                                  </a:lnTo>
                                  <a:lnTo>
                                    <a:pt x="20" y="465"/>
                                  </a:lnTo>
                                  <a:close/>
                                </a:path>
                              </a:pathLst>
                            </a:custGeom>
                            <a:solidFill>
                              <a:srgbClr val="000000"/>
                            </a:solidFill>
                            <a:ln>
                              <a:noFill/>
                            </a:ln>
                          </wps:spPr>
                          <wps:bodyPr rot="0" vert="horz" wrap="square" lIns="91440" tIns="45720" rIns="91440" bIns="45720" anchor="t" anchorCtr="0" upright="1">
                            <a:noAutofit/>
                          </wps:bodyPr>
                        </wps:wsp>
                        <wps:wsp>
                          <wps:cNvPr id="598" name="Rectangle 1205"/>
                          <wps:cNvSpPr>
                            <a:spLocks noChangeArrowheads="1"/>
                          </wps:cNvSpPr>
                          <wps:spPr bwMode="auto">
                            <a:xfrm>
                              <a:off x="5121" y="838"/>
                              <a:ext cx="20" cy="465"/>
                            </a:xfrm>
                            <a:prstGeom prst="rect">
                              <a:avLst/>
                            </a:prstGeom>
                            <a:noFill/>
                            <a:ln w="5715">
                              <a:solidFill>
                                <a:srgbClr val="000000"/>
                              </a:solidFill>
                              <a:prstDash val="solid"/>
                              <a:miter lim="800000"/>
                            </a:ln>
                          </wps:spPr>
                          <wps:bodyPr rot="0" vert="horz" wrap="square" lIns="91440" tIns="45720" rIns="91440" bIns="45720" anchor="t" anchorCtr="0" upright="1">
                            <a:noAutofit/>
                          </wps:bodyPr>
                        </wps:wsp>
                        <wps:wsp>
                          <wps:cNvPr id="599" name="Line 1206"/>
                          <wps:cNvCnPr>
                            <a:cxnSpLocks noChangeShapeType="1"/>
                          </wps:cNvCnPr>
                          <wps:spPr bwMode="auto">
                            <a:xfrm>
                              <a:off x="5934" y="738"/>
                              <a:ext cx="0" cy="689"/>
                            </a:xfrm>
                            <a:prstGeom prst="line">
                              <a:avLst/>
                            </a:prstGeom>
                            <a:noFill/>
                            <a:ln w="5715">
                              <a:solidFill>
                                <a:srgbClr val="000000"/>
                              </a:solidFill>
                              <a:prstDash val="solid"/>
                              <a:round/>
                            </a:ln>
                          </wps:spPr>
                          <wps:bodyPr/>
                        </wps:wsp>
                        <wps:wsp>
                          <wps:cNvPr id="600" name="Line 1207"/>
                          <wps:cNvCnPr>
                            <a:cxnSpLocks noChangeShapeType="1"/>
                          </wps:cNvCnPr>
                          <wps:spPr bwMode="auto">
                            <a:xfrm flipV="1">
                              <a:off x="5364" y="629"/>
                              <a:ext cx="836" cy="670"/>
                            </a:xfrm>
                            <a:prstGeom prst="line">
                              <a:avLst/>
                            </a:prstGeom>
                            <a:noFill/>
                            <a:ln w="5715">
                              <a:solidFill>
                                <a:srgbClr val="000000"/>
                              </a:solidFill>
                              <a:prstDash val="solid"/>
                              <a:round/>
                            </a:ln>
                          </wps:spPr>
                          <wps:bodyPr/>
                        </wps:wsp>
                        <wps:wsp>
                          <wps:cNvPr id="601" name="Line 1208"/>
                          <wps:cNvCnPr>
                            <a:cxnSpLocks noChangeShapeType="1"/>
                          </wps:cNvCnPr>
                          <wps:spPr bwMode="auto">
                            <a:xfrm flipV="1">
                              <a:off x="5093" y="638"/>
                              <a:ext cx="827" cy="656"/>
                            </a:xfrm>
                            <a:prstGeom prst="line">
                              <a:avLst/>
                            </a:prstGeom>
                            <a:noFill/>
                            <a:ln w="5715">
                              <a:solidFill>
                                <a:srgbClr val="000000"/>
                              </a:solidFill>
                              <a:prstDash val="solid"/>
                              <a:round/>
                            </a:ln>
                          </wps:spPr>
                          <wps:bodyPr/>
                        </wps:wsp>
                        <wps:wsp>
                          <wps:cNvPr id="602" name="Line 1209"/>
                          <wps:cNvCnPr>
                            <a:cxnSpLocks noChangeShapeType="1"/>
                          </wps:cNvCnPr>
                          <wps:spPr bwMode="auto">
                            <a:xfrm>
                              <a:off x="5498" y="775"/>
                              <a:ext cx="0" cy="639"/>
                            </a:xfrm>
                            <a:prstGeom prst="line">
                              <a:avLst/>
                            </a:prstGeom>
                            <a:noFill/>
                            <a:ln w="5715">
                              <a:solidFill>
                                <a:srgbClr val="000000"/>
                              </a:solidFill>
                              <a:prstDash val="solid"/>
                              <a:round/>
                            </a:ln>
                          </wps:spPr>
                          <wps:bodyPr/>
                        </wps:wsp>
                        <wps:wsp>
                          <wps:cNvPr id="603" name="Line 1210"/>
                          <wps:cNvCnPr>
                            <a:cxnSpLocks noChangeShapeType="1"/>
                          </wps:cNvCnPr>
                          <wps:spPr bwMode="auto">
                            <a:xfrm>
                              <a:off x="5568" y="1451"/>
                              <a:ext cx="418" cy="119"/>
                            </a:xfrm>
                            <a:prstGeom prst="line">
                              <a:avLst/>
                            </a:prstGeom>
                            <a:noFill/>
                            <a:ln w="5715">
                              <a:solidFill>
                                <a:srgbClr val="000000"/>
                              </a:solidFill>
                              <a:prstDash val="solid"/>
                              <a:round/>
                            </a:ln>
                          </wps:spPr>
                          <wps:bodyPr/>
                        </wps:wsp>
                        <wps:wsp>
                          <wps:cNvPr id="604" name="Line 1211"/>
                          <wps:cNvCnPr>
                            <a:cxnSpLocks noChangeShapeType="1"/>
                          </wps:cNvCnPr>
                          <wps:spPr bwMode="auto">
                            <a:xfrm flipH="1">
                              <a:off x="5318" y="1546"/>
                              <a:ext cx="354" cy="0"/>
                            </a:xfrm>
                            <a:prstGeom prst="line">
                              <a:avLst/>
                            </a:prstGeom>
                            <a:noFill/>
                            <a:ln w="5715">
                              <a:solidFill>
                                <a:srgbClr val="000000"/>
                              </a:solidFill>
                              <a:prstDash val="solid"/>
                              <a:round/>
                            </a:ln>
                          </wps:spPr>
                          <wps:bodyPr/>
                        </wps:wsp>
                        <wps:wsp>
                          <wps:cNvPr id="605" name="Line 1212"/>
                          <wps:cNvCnPr>
                            <a:cxnSpLocks noChangeShapeType="1"/>
                          </wps:cNvCnPr>
                          <wps:spPr bwMode="auto">
                            <a:xfrm>
                              <a:off x="5672" y="1414"/>
                              <a:ext cx="0" cy="132"/>
                            </a:xfrm>
                            <a:prstGeom prst="line">
                              <a:avLst/>
                            </a:prstGeom>
                            <a:noFill/>
                            <a:ln w="5715">
                              <a:solidFill>
                                <a:srgbClr val="000000"/>
                              </a:solidFill>
                              <a:prstDash val="solid"/>
                              <a:round/>
                            </a:ln>
                          </wps:spPr>
                          <wps:bodyPr/>
                        </wps:wsp>
                        <wps:wsp>
                          <wps:cNvPr id="606" name="Line 1213"/>
                          <wps:cNvCnPr>
                            <a:cxnSpLocks noChangeShapeType="1"/>
                          </wps:cNvCnPr>
                          <wps:spPr bwMode="auto">
                            <a:xfrm>
                              <a:off x="5777" y="1403"/>
                              <a:ext cx="176" cy="0"/>
                            </a:xfrm>
                            <a:prstGeom prst="line">
                              <a:avLst/>
                            </a:prstGeom>
                            <a:noFill/>
                            <a:ln w="5715">
                              <a:solidFill>
                                <a:srgbClr val="000000"/>
                              </a:solidFill>
                              <a:prstDash val="solid"/>
                              <a:round/>
                            </a:ln>
                          </wps:spPr>
                          <wps:bodyPr/>
                        </wps:wsp>
                        <wps:wsp>
                          <wps:cNvPr id="607" name="Freeform 1214"/>
                          <wps:cNvSpPr/>
                          <wps:spPr bwMode="auto">
                            <a:xfrm>
                              <a:off x="5910" y="1380"/>
                              <a:ext cx="45" cy="34"/>
                            </a:xfrm>
                            <a:custGeom>
                              <a:avLst/>
                              <a:gdLst>
                                <a:gd name="T0" fmla="*/ 8 w 45"/>
                                <a:gd name="T1" fmla="*/ 0 h 34"/>
                                <a:gd name="T2" fmla="*/ 0 w 45"/>
                                <a:gd name="T3" fmla="*/ 9 h 34"/>
                                <a:gd name="T4" fmla="*/ 45 w 45"/>
                                <a:gd name="T5" fmla="*/ 34 h 34"/>
                                <a:gd name="T6" fmla="*/ 8 w 45"/>
                                <a:gd name="T7" fmla="*/ 0 h 34"/>
                              </a:gdLst>
                              <a:ahLst/>
                              <a:cxnLst>
                                <a:cxn ang="0">
                                  <a:pos x="T0" y="T1"/>
                                </a:cxn>
                                <a:cxn ang="0">
                                  <a:pos x="T2" y="T3"/>
                                </a:cxn>
                                <a:cxn ang="0">
                                  <a:pos x="T4" y="T5"/>
                                </a:cxn>
                                <a:cxn ang="0">
                                  <a:pos x="T6" y="T7"/>
                                </a:cxn>
                              </a:cxnLst>
                              <a:rect l="0" t="0" r="r" b="b"/>
                              <a:pathLst>
                                <a:path w="45" h="34">
                                  <a:moveTo>
                                    <a:pt x="8" y="0"/>
                                  </a:moveTo>
                                  <a:lnTo>
                                    <a:pt x="0" y="9"/>
                                  </a:lnTo>
                                  <a:lnTo>
                                    <a:pt x="45" y="34"/>
                                  </a:lnTo>
                                  <a:lnTo>
                                    <a:pt x="8" y="0"/>
                                  </a:lnTo>
                                  <a:close/>
                                </a:path>
                              </a:pathLst>
                            </a:custGeom>
                            <a:solidFill>
                              <a:srgbClr val="000000"/>
                            </a:solidFill>
                            <a:ln>
                              <a:noFill/>
                            </a:ln>
                          </wps:spPr>
                          <wps:bodyPr rot="0" vert="horz" wrap="square" lIns="91440" tIns="45720" rIns="91440" bIns="45720" anchor="t" anchorCtr="0" upright="1">
                            <a:noAutofit/>
                          </wps:bodyPr>
                        </wps:wsp>
                        <wps:wsp>
                          <wps:cNvPr id="608" name="Freeform 1215"/>
                          <wps:cNvSpPr/>
                          <wps:spPr bwMode="auto">
                            <a:xfrm>
                              <a:off x="5910" y="1389"/>
                              <a:ext cx="45" cy="35"/>
                            </a:xfrm>
                            <a:custGeom>
                              <a:avLst/>
                              <a:gdLst>
                                <a:gd name="T0" fmla="*/ 0 w 45"/>
                                <a:gd name="T1" fmla="*/ 0 h 35"/>
                                <a:gd name="T2" fmla="*/ 45 w 45"/>
                                <a:gd name="T3" fmla="*/ 25 h 35"/>
                                <a:gd name="T4" fmla="*/ 36 w 45"/>
                                <a:gd name="T5" fmla="*/ 35 h 35"/>
                                <a:gd name="T6" fmla="*/ 0 w 45"/>
                                <a:gd name="T7" fmla="*/ 0 h 35"/>
                              </a:gdLst>
                              <a:ahLst/>
                              <a:cxnLst>
                                <a:cxn ang="0">
                                  <a:pos x="T0" y="T1"/>
                                </a:cxn>
                                <a:cxn ang="0">
                                  <a:pos x="T2" y="T3"/>
                                </a:cxn>
                                <a:cxn ang="0">
                                  <a:pos x="T4" y="T5"/>
                                </a:cxn>
                                <a:cxn ang="0">
                                  <a:pos x="T6" y="T7"/>
                                </a:cxn>
                              </a:cxnLst>
                              <a:rect l="0" t="0" r="r" b="b"/>
                              <a:pathLst>
                                <a:path w="45" h="35">
                                  <a:moveTo>
                                    <a:pt x="0" y="0"/>
                                  </a:moveTo>
                                  <a:lnTo>
                                    <a:pt x="45" y="25"/>
                                  </a:lnTo>
                                  <a:lnTo>
                                    <a:pt x="36" y="35"/>
                                  </a:lnTo>
                                  <a:lnTo>
                                    <a:pt x="0" y="0"/>
                                  </a:lnTo>
                                  <a:close/>
                                </a:path>
                              </a:pathLst>
                            </a:custGeom>
                            <a:solidFill>
                              <a:srgbClr val="000000"/>
                            </a:solidFill>
                            <a:ln>
                              <a:noFill/>
                            </a:ln>
                          </wps:spPr>
                          <wps:bodyPr rot="0" vert="horz" wrap="square" lIns="91440" tIns="45720" rIns="91440" bIns="45720" anchor="t" anchorCtr="0" upright="1">
                            <a:noAutofit/>
                          </wps:bodyPr>
                        </wps:wsp>
                        <wps:wsp>
                          <wps:cNvPr id="609" name="Rectangle 1216"/>
                          <wps:cNvSpPr>
                            <a:spLocks noChangeArrowheads="1"/>
                          </wps:cNvSpPr>
                          <wps:spPr bwMode="auto">
                            <a:xfrm rot="16200000">
                              <a:off x="5811" y="916"/>
                              <a:ext cx="81" cy="312"/>
                            </a:xfrm>
                            <a:prstGeom prst="rect">
                              <a:avLst/>
                            </a:prstGeom>
                            <a:noFill/>
                            <a:ln>
                              <a:noFill/>
                            </a:ln>
                          </wps:spPr>
                          <wps:txbx>
                            <w:txbxContent>
                              <w:p w14:paraId="2D88292E">
                                <w:r>
                                  <w:rPr>
                                    <w:rFonts w:ascii="宋体" w:cs="宋体"/>
                                    <w:color w:val="000000"/>
                                    <w:kern w:val="0"/>
                                    <w:sz w:val="16"/>
                                    <w:szCs w:val="16"/>
                                  </w:rPr>
                                  <w:t>h</w:t>
                                </w:r>
                              </w:p>
                            </w:txbxContent>
                          </wps:txbx>
                          <wps:bodyPr rot="0" vert="horz" wrap="none" lIns="0" tIns="0" rIns="0" bIns="0" anchor="t" anchorCtr="0">
                            <a:spAutoFit/>
                          </wps:bodyPr>
                        </wps:wsp>
                        <wps:wsp>
                          <wps:cNvPr id="610" name="Freeform 1217"/>
                          <wps:cNvSpPr/>
                          <wps:spPr bwMode="auto">
                            <a:xfrm>
                              <a:off x="5910" y="1380"/>
                              <a:ext cx="45" cy="44"/>
                            </a:xfrm>
                            <a:custGeom>
                              <a:avLst/>
                              <a:gdLst>
                                <a:gd name="T0" fmla="*/ 8 w 45"/>
                                <a:gd name="T1" fmla="*/ 0 h 44"/>
                                <a:gd name="T2" fmla="*/ 0 w 45"/>
                                <a:gd name="T3" fmla="*/ 9 h 44"/>
                                <a:gd name="T4" fmla="*/ 36 w 45"/>
                                <a:gd name="T5" fmla="*/ 44 h 44"/>
                                <a:gd name="T6" fmla="*/ 45 w 45"/>
                                <a:gd name="T7" fmla="*/ 34 h 44"/>
                                <a:gd name="T8" fmla="*/ 8 w 45"/>
                                <a:gd name="T9" fmla="*/ 0 h 44"/>
                              </a:gdLst>
                              <a:ahLst/>
                              <a:cxnLst>
                                <a:cxn ang="0">
                                  <a:pos x="T0" y="T1"/>
                                </a:cxn>
                                <a:cxn ang="0">
                                  <a:pos x="T2" y="T3"/>
                                </a:cxn>
                                <a:cxn ang="0">
                                  <a:pos x="T4" y="T5"/>
                                </a:cxn>
                                <a:cxn ang="0">
                                  <a:pos x="T6" y="T7"/>
                                </a:cxn>
                                <a:cxn ang="0">
                                  <a:pos x="T8" y="T9"/>
                                </a:cxn>
                              </a:cxnLst>
                              <a:rect l="0" t="0" r="r" b="b"/>
                              <a:pathLst>
                                <a:path w="45" h="44">
                                  <a:moveTo>
                                    <a:pt x="8" y="0"/>
                                  </a:moveTo>
                                  <a:lnTo>
                                    <a:pt x="0" y="9"/>
                                  </a:lnTo>
                                  <a:lnTo>
                                    <a:pt x="36" y="44"/>
                                  </a:lnTo>
                                  <a:lnTo>
                                    <a:pt x="45" y="34"/>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11" name="Line 1218"/>
                          <wps:cNvCnPr>
                            <a:cxnSpLocks noChangeShapeType="1"/>
                          </wps:cNvCnPr>
                          <wps:spPr bwMode="auto">
                            <a:xfrm>
                              <a:off x="5587" y="767"/>
                              <a:ext cx="366" cy="0"/>
                            </a:xfrm>
                            <a:prstGeom prst="line">
                              <a:avLst/>
                            </a:prstGeom>
                            <a:noFill/>
                            <a:ln w="5715">
                              <a:solidFill>
                                <a:srgbClr val="000000"/>
                              </a:solidFill>
                              <a:prstDash val="solid"/>
                              <a:round/>
                            </a:ln>
                          </wps:spPr>
                          <wps:bodyPr/>
                        </wps:wsp>
                        <wps:wsp>
                          <wps:cNvPr id="612" name="Freeform 1219"/>
                          <wps:cNvSpPr/>
                          <wps:spPr bwMode="auto">
                            <a:xfrm>
                              <a:off x="5108" y="834"/>
                              <a:ext cx="43" cy="13"/>
                            </a:xfrm>
                            <a:custGeom>
                              <a:avLst/>
                              <a:gdLst>
                                <a:gd name="T0" fmla="*/ 0 w 43"/>
                                <a:gd name="T1" fmla="*/ 0 h 13"/>
                                <a:gd name="T2" fmla="*/ 0 w 43"/>
                                <a:gd name="T3" fmla="*/ 13 h 13"/>
                                <a:gd name="T4" fmla="*/ 43 w 43"/>
                                <a:gd name="T5" fmla="*/ 0 h 13"/>
                                <a:gd name="T6" fmla="*/ 0 w 43"/>
                                <a:gd name="T7" fmla="*/ 0 h 13"/>
                              </a:gdLst>
                              <a:ahLst/>
                              <a:cxnLst>
                                <a:cxn ang="0">
                                  <a:pos x="T0" y="T1"/>
                                </a:cxn>
                                <a:cxn ang="0">
                                  <a:pos x="T2" y="T3"/>
                                </a:cxn>
                                <a:cxn ang="0">
                                  <a:pos x="T4" y="T5"/>
                                </a:cxn>
                                <a:cxn ang="0">
                                  <a:pos x="T6" y="T7"/>
                                </a:cxn>
                              </a:cxnLst>
                              <a:rect l="0" t="0" r="r" b="b"/>
                              <a:pathLst>
                                <a:path w="43" h="13">
                                  <a:moveTo>
                                    <a:pt x="0" y="0"/>
                                  </a:moveTo>
                                  <a:lnTo>
                                    <a:pt x="0" y="13"/>
                                  </a:lnTo>
                                  <a:lnTo>
                                    <a:pt x="43" y="0"/>
                                  </a:lnTo>
                                  <a:lnTo>
                                    <a:pt x="0" y="0"/>
                                  </a:lnTo>
                                  <a:close/>
                                </a:path>
                              </a:pathLst>
                            </a:custGeom>
                            <a:solidFill>
                              <a:srgbClr val="000000"/>
                            </a:solidFill>
                            <a:ln>
                              <a:noFill/>
                            </a:ln>
                          </wps:spPr>
                          <wps:bodyPr rot="0" vert="horz" wrap="square" lIns="91440" tIns="45720" rIns="91440" bIns="45720" anchor="t" anchorCtr="0" upright="1">
                            <a:noAutofit/>
                          </wps:bodyPr>
                        </wps:wsp>
                        <wps:wsp>
                          <wps:cNvPr id="613" name="Freeform 1220"/>
                          <wps:cNvSpPr/>
                          <wps:spPr bwMode="auto">
                            <a:xfrm>
                              <a:off x="5108" y="834"/>
                              <a:ext cx="43" cy="13"/>
                            </a:xfrm>
                            <a:custGeom>
                              <a:avLst/>
                              <a:gdLst>
                                <a:gd name="T0" fmla="*/ 0 w 43"/>
                                <a:gd name="T1" fmla="*/ 13 h 13"/>
                                <a:gd name="T2" fmla="*/ 43 w 43"/>
                                <a:gd name="T3" fmla="*/ 0 h 13"/>
                                <a:gd name="T4" fmla="*/ 43 w 43"/>
                                <a:gd name="T5" fmla="*/ 13 h 13"/>
                                <a:gd name="T6" fmla="*/ 0 w 43"/>
                                <a:gd name="T7" fmla="*/ 13 h 13"/>
                              </a:gdLst>
                              <a:ahLst/>
                              <a:cxnLst>
                                <a:cxn ang="0">
                                  <a:pos x="T0" y="T1"/>
                                </a:cxn>
                                <a:cxn ang="0">
                                  <a:pos x="T2" y="T3"/>
                                </a:cxn>
                                <a:cxn ang="0">
                                  <a:pos x="T4" y="T5"/>
                                </a:cxn>
                                <a:cxn ang="0">
                                  <a:pos x="T6" y="T7"/>
                                </a:cxn>
                              </a:cxnLst>
                              <a:rect l="0" t="0" r="r" b="b"/>
                              <a:pathLst>
                                <a:path w="43" h="13">
                                  <a:moveTo>
                                    <a:pt x="0" y="13"/>
                                  </a:moveTo>
                                  <a:lnTo>
                                    <a:pt x="43" y="0"/>
                                  </a:lnTo>
                                  <a:lnTo>
                                    <a:pt x="43" y="13"/>
                                  </a:lnTo>
                                  <a:lnTo>
                                    <a:pt x="0" y="13"/>
                                  </a:lnTo>
                                  <a:close/>
                                </a:path>
                              </a:pathLst>
                            </a:custGeom>
                            <a:solidFill>
                              <a:srgbClr val="000000"/>
                            </a:solidFill>
                            <a:ln>
                              <a:noFill/>
                            </a:ln>
                          </wps:spPr>
                          <wps:bodyPr rot="0" vert="horz" wrap="square" lIns="91440" tIns="45720" rIns="91440" bIns="45720" anchor="t" anchorCtr="0" upright="1">
                            <a:noAutofit/>
                          </wps:bodyPr>
                        </wps:wsp>
                        <wps:wsp>
                          <wps:cNvPr id="614" name="Rectangle 1221"/>
                          <wps:cNvSpPr>
                            <a:spLocks noChangeArrowheads="1"/>
                          </wps:cNvSpPr>
                          <wps:spPr bwMode="auto">
                            <a:xfrm>
                              <a:off x="5108" y="834"/>
                              <a:ext cx="43" cy="13"/>
                            </a:xfrm>
                            <a:prstGeom prst="rect">
                              <a:avLst/>
                            </a:prstGeom>
                            <a:noFill/>
                            <a:ln w="5715">
                              <a:solidFill>
                                <a:srgbClr val="000000"/>
                              </a:solidFill>
                              <a:prstDash val="solid"/>
                              <a:miter lim="800000"/>
                            </a:ln>
                          </wps:spPr>
                          <wps:bodyPr rot="0" vert="horz" wrap="square" lIns="91440" tIns="45720" rIns="91440" bIns="45720" anchor="t" anchorCtr="0" upright="1">
                            <a:noAutofit/>
                          </wps:bodyPr>
                        </wps:wsp>
                        <wps:wsp>
                          <wps:cNvPr id="615" name="Freeform 1222"/>
                          <wps:cNvSpPr/>
                          <wps:spPr bwMode="auto">
                            <a:xfrm>
                              <a:off x="5121" y="834"/>
                              <a:ext cx="15" cy="8"/>
                            </a:xfrm>
                            <a:custGeom>
                              <a:avLst/>
                              <a:gdLst>
                                <a:gd name="T0" fmla="*/ 5 w 15"/>
                                <a:gd name="T1" fmla="*/ 8 h 8"/>
                                <a:gd name="T2" fmla="*/ 15 w 15"/>
                                <a:gd name="T3" fmla="*/ 0 h 8"/>
                                <a:gd name="T4" fmla="*/ 0 w 15"/>
                                <a:gd name="T5" fmla="*/ 2 h 8"/>
                                <a:gd name="T6" fmla="*/ 5 w 15"/>
                                <a:gd name="T7" fmla="*/ 8 h 8"/>
                              </a:gdLst>
                              <a:ahLst/>
                              <a:cxnLst>
                                <a:cxn ang="0">
                                  <a:pos x="T0" y="T1"/>
                                </a:cxn>
                                <a:cxn ang="0">
                                  <a:pos x="T2" y="T3"/>
                                </a:cxn>
                                <a:cxn ang="0">
                                  <a:pos x="T4" y="T5"/>
                                </a:cxn>
                                <a:cxn ang="0">
                                  <a:pos x="T6" y="T7"/>
                                </a:cxn>
                              </a:cxnLst>
                              <a:rect l="0" t="0" r="r" b="b"/>
                              <a:pathLst>
                                <a:path w="15" h="8">
                                  <a:moveTo>
                                    <a:pt x="5" y="8"/>
                                  </a:moveTo>
                                  <a:lnTo>
                                    <a:pt x="15" y="0"/>
                                  </a:lnTo>
                                  <a:lnTo>
                                    <a:pt x="0" y="2"/>
                                  </a:lnTo>
                                  <a:lnTo>
                                    <a:pt x="5" y="8"/>
                                  </a:lnTo>
                                  <a:close/>
                                </a:path>
                              </a:pathLst>
                            </a:custGeom>
                            <a:solidFill>
                              <a:srgbClr val="000000"/>
                            </a:solidFill>
                            <a:ln>
                              <a:noFill/>
                            </a:ln>
                          </wps:spPr>
                          <wps:bodyPr rot="0" vert="horz" wrap="square" lIns="91440" tIns="45720" rIns="91440" bIns="45720" anchor="t" anchorCtr="0" upright="1">
                            <a:noAutofit/>
                          </wps:bodyPr>
                        </wps:wsp>
                        <wps:wsp>
                          <wps:cNvPr id="616" name="Freeform 1223"/>
                          <wps:cNvSpPr/>
                          <wps:spPr bwMode="auto">
                            <a:xfrm>
                              <a:off x="5121" y="828"/>
                              <a:ext cx="15" cy="8"/>
                            </a:xfrm>
                            <a:custGeom>
                              <a:avLst/>
                              <a:gdLst>
                                <a:gd name="T0" fmla="*/ 15 w 15"/>
                                <a:gd name="T1" fmla="*/ 6 h 8"/>
                                <a:gd name="T2" fmla="*/ 0 w 15"/>
                                <a:gd name="T3" fmla="*/ 8 h 8"/>
                                <a:gd name="T4" fmla="*/ 10 w 15"/>
                                <a:gd name="T5" fmla="*/ 0 h 8"/>
                                <a:gd name="T6" fmla="*/ 15 w 15"/>
                                <a:gd name="T7" fmla="*/ 6 h 8"/>
                              </a:gdLst>
                              <a:ahLst/>
                              <a:cxnLst>
                                <a:cxn ang="0">
                                  <a:pos x="T0" y="T1"/>
                                </a:cxn>
                                <a:cxn ang="0">
                                  <a:pos x="T2" y="T3"/>
                                </a:cxn>
                                <a:cxn ang="0">
                                  <a:pos x="T4" y="T5"/>
                                </a:cxn>
                                <a:cxn ang="0">
                                  <a:pos x="T6" y="T7"/>
                                </a:cxn>
                              </a:cxnLst>
                              <a:rect l="0" t="0" r="r" b="b"/>
                              <a:pathLst>
                                <a:path w="15" h="8">
                                  <a:moveTo>
                                    <a:pt x="15" y="6"/>
                                  </a:moveTo>
                                  <a:lnTo>
                                    <a:pt x="0" y="8"/>
                                  </a:lnTo>
                                  <a:lnTo>
                                    <a:pt x="10" y="0"/>
                                  </a:lnTo>
                                  <a:lnTo>
                                    <a:pt x="15" y="6"/>
                                  </a:lnTo>
                                  <a:close/>
                                </a:path>
                              </a:pathLst>
                            </a:custGeom>
                            <a:solidFill>
                              <a:srgbClr val="000000"/>
                            </a:solidFill>
                            <a:ln>
                              <a:noFill/>
                            </a:ln>
                          </wps:spPr>
                          <wps:bodyPr rot="0" vert="horz" wrap="square" lIns="91440" tIns="45720" rIns="91440" bIns="45720" anchor="t" anchorCtr="0" upright="1">
                            <a:noAutofit/>
                          </wps:bodyPr>
                        </wps:wsp>
                        <wps:wsp>
                          <wps:cNvPr id="617" name="Freeform 1224"/>
                          <wps:cNvSpPr/>
                          <wps:spPr bwMode="auto">
                            <a:xfrm>
                              <a:off x="5121" y="828"/>
                              <a:ext cx="15" cy="14"/>
                            </a:xfrm>
                            <a:custGeom>
                              <a:avLst/>
                              <a:gdLst>
                                <a:gd name="T0" fmla="*/ 5 w 15"/>
                                <a:gd name="T1" fmla="*/ 14 h 14"/>
                                <a:gd name="T2" fmla="*/ 15 w 15"/>
                                <a:gd name="T3" fmla="*/ 6 h 14"/>
                                <a:gd name="T4" fmla="*/ 10 w 15"/>
                                <a:gd name="T5" fmla="*/ 0 h 14"/>
                                <a:gd name="T6" fmla="*/ 0 w 15"/>
                                <a:gd name="T7" fmla="*/ 8 h 14"/>
                                <a:gd name="T8" fmla="*/ 5 w 15"/>
                                <a:gd name="T9" fmla="*/ 14 h 14"/>
                              </a:gdLst>
                              <a:ahLst/>
                              <a:cxnLst>
                                <a:cxn ang="0">
                                  <a:pos x="T0" y="T1"/>
                                </a:cxn>
                                <a:cxn ang="0">
                                  <a:pos x="T2" y="T3"/>
                                </a:cxn>
                                <a:cxn ang="0">
                                  <a:pos x="T4" y="T5"/>
                                </a:cxn>
                                <a:cxn ang="0">
                                  <a:pos x="T6" y="T7"/>
                                </a:cxn>
                                <a:cxn ang="0">
                                  <a:pos x="T8" y="T9"/>
                                </a:cxn>
                              </a:cxnLst>
                              <a:rect l="0" t="0" r="r" b="b"/>
                              <a:pathLst>
                                <a:path w="15" h="14">
                                  <a:moveTo>
                                    <a:pt x="5" y="14"/>
                                  </a:moveTo>
                                  <a:lnTo>
                                    <a:pt x="15" y="6"/>
                                  </a:lnTo>
                                  <a:lnTo>
                                    <a:pt x="10" y="0"/>
                                  </a:lnTo>
                                  <a:lnTo>
                                    <a:pt x="0" y="8"/>
                                  </a:lnTo>
                                  <a:lnTo>
                                    <a:pt x="5"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18" name="Line 1225"/>
                          <wps:cNvCnPr>
                            <a:cxnSpLocks noChangeShapeType="1"/>
                          </wps:cNvCnPr>
                          <wps:spPr bwMode="auto">
                            <a:xfrm>
                              <a:off x="5126" y="832"/>
                              <a:ext cx="0" cy="0"/>
                            </a:xfrm>
                            <a:prstGeom prst="line">
                              <a:avLst/>
                            </a:prstGeom>
                            <a:noFill/>
                            <a:ln w="5715">
                              <a:solidFill>
                                <a:srgbClr val="000000"/>
                              </a:solidFill>
                              <a:prstDash val="solid"/>
                              <a:round/>
                            </a:ln>
                          </wps:spPr>
                          <wps:bodyPr/>
                        </wps:wsp>
                        <wps:wsp>
                          <wps:cNvPr id="619" name="Freeform 1226"/>
                          <wps:cNvSpPr/>
                          <wps:spPr bwMode="auto">
                            <a:xfrm>
                              <a:off x="5910" y="743"/>
                              <a:ext cx="45" cy="34"/>
                            </a:xfrm>
                            <a:custGeom>
                              <a:avLst/>
                              <a:gdLst>
                                <a:gd name="T0" fmla="*/ 8 w 45"/>
                                <a:gd name="T1" fmla="*/ 0 h 34"/>
                                <a:gd name="T2" fmla="*/ 0 w 45"/>
                                <a:gd name="T3" fmla="*/ 9 h 34"/>
                                <a:gd name="T4" fmla="*/ 45 w 45"/>
                                <a:gd name="T5" fmla="*/ 34 h 34"/>
                                <a:gd name="T6" fmla="*/ 8 w 45"/>
                                <a:gd name="T7" fmla="*/ 0 h 34"/>
                              </a:gdLst>
                              <a:ahLst/>
                              <a:cxnLst>
                                <a:cxn ang="0">
                                  <a:pos x="T0" y="T1"/>
                                </a:cxn>
                                <a:cxn ang="0">
                                  <a:pos x="T2" y="T3"/>
                                </a:cxn>
                                <a:cxn ang="0">
                                  <a:pos x="T4" y="T5"/>
                                </a:cxn>
                                <a:cxn ang="0">
                                  <a:pos x="T6" y="T7"/>
                                </a:cxn>
                              </a:cxnLst>
                              <a:rect l="0" t="0" r="r" b="b"/>
                              <a:pathLst>
                                <a:path w="45" h="34">
                                  <a:moveTo>
                                    <a:pt x="8" y="0"/>
                                  </a:moveTo>
                                  <a:lnTo>
                                    <a:pt x="0" y="9"/>
                                  </a:lnTo>
                                  <a:lnTo>
                                    <a:pt x="45" y="34"/>
                                  </a:lnTo>
                                  <a:lnTo>
                                    <a:pt x="8" y="0"/>
                                  </a:lnTo>
                                  <a:close/>
                                </a:path>
                              </a:pathLst>
                            </a:custGeom>
                            <a:solidFill>
                              <a:srgbClr val="000000"/>
                            </a:solidFill>
                            <a:ln>
                              <a:noFill/>
                            </a:ln>
                          </wps:spPr>
                          <wps:bodyPr rot="0" vert="horz" wrap="square" lIns="91440" tIns="45720" rIns="91440" bIns="45720" anchor="t" anchorCtr="0" upright="1">
                            <a:noAutofit/>
                          </wps:bodyPr>
                        </wps:wsp>
                        <wps:wsp>
                          <wps:cNvPr id="620" name="Freeform 1227"/>
                          <wps:cNvSpPr/>
                          <wps:spPr bwMode="auto">
                            <a:xfrm>
                              <a:off x="5910" y="752"/>
                              <a:ext cx="45" cy="35"/>
                            </a:xfrm>
                            <a:custGeom>
                              <a:avLst/>
                              <a:gdLst>
                                <a:gd name="T0" fmla="*/ 0 w 45"/>
                                <a:gd name="T1" fmla="*/ 0 h 35"/>
                                <a:gd name="T2" fmla="*/ 45 w 45"/>
                                <a:gd name="T3" fmla="*/ 25 h 35"/>
                                <a:gd name="T4" fmla="*/ 36 w 45"/>
                                <a:gd name="T5" fmla="*/ 35 h 35"/>
                                <a:gd name="T6" fmla="*/ 0 w 45"/>
                                <a:gd name="T7" fmla="*/ 0 h 35"/>
                              </a:gdLst>
                              <a:ahLst/>
                              <a:cxnLst>
                                <a:cxn ang="0">
                                  <a:pos x="T0" y="T1"/>
                                </a:cxn>
                                <a:cxn ang="0">
                                  <a:pos x="T2" y="T3"/>
                                </a:cxn>
                                <a:cxn ang="0">
                                  <a:pos x="T4" y="T5"/>
                                </a:cxn>
                                <a:cxn ang="0">
                                  <a:pos x="T6" y="T7"/>
                                </a:cxn>
                              </a:cxnLst>
                              <a:rect l="0" t="0" r="r" b="b"/>
                              <a:pathLst>
                                <a:path w="45" h="35">
                                  <a:moveTo>
                                    <a:pt x="0" y="0"/>
                                  </a:moveTo>
                                  <a:lnTo>
                                    <a:pt x="45" y="25"/>
                                  </a:lnTo>
                                  <a:lnTo>
                                    <a:pt x="36" y="35"/>
                                  </a:lnTo>
                                  <a:lnTo>
                                    <a:pt x="0" y="0"/>
                                  </a:lnTo>
                                  <a:close/>
                                </a:path>
                              </a:pathLst>
                            </a:custGeom>
                            <a:solidFill>
                              <a:srgbClr val="000000"/>
                            </a:solidFill>
                            <a:ln>
                              <a:noFill/>
                            </a:ln>
                          </wps:spPr>
                          <wps:bodyPr rot="0" vert="horz" wrap="square" lIns="91440" tIns="45720" rIns="91440" bIns="45720" anchor="t" anchorCtr="0" upright="1">
                            <a:noAutofit/>
                          </wps:bodyPr>
                        </wps:wsp>
                        <wps:wsp>
                          <wps:cNvPr id="621" name="Freeform 1228"/>
                          <wps:cNvSpPr/>
                          <wps:spPr bwMode="auto">
                            <a:xfrm>
                              <a:off x="5910" y="743"/>
                              <a:ext cx="45" cy="44"/>
                            </a:xfrm>
                            <a:custGeom>
                              <a:avLst/>
                              <a:gdLst>
                                <a:gd name="T0" fmla="*/ 8 w 45"/>
                                <a:gd name="T1" fmla="*/ 0 h 44"/>
                                <a:gd name="T2" fmla="*/ 0 w 45"/>
                                <a:gd name="T3" fmla="*/ 9 h 44"/>
                                <a:gd name="T4" fmla="*/ 36 w 45"/>
                                <a:gd name="T5" fmla="*/ 44 h 44"/>
                                <a:gd name="T6" fmla="*/ 45 w 45"/>
                                <a:gd name="T7" fmla="*/ 34 h 44"/>
                                <a:gd name="T8" fmla="*/ 8 w 45"/>
                                <a:gd name="T9" fmla="*/ 0 h 44"/>
                              </a:gdLst>
                              <a:ahLst/>
                              <a:cxnLst>
                                <a:cxn ang="0">
                                  <a:pos x="T0" y="T1"/>
                                </a:cxn>
                                <a:cxn ang="0">
                                  <a:pos x="T2" y="T3"/>
                                </a:cxn>
                                <a:cxn ang="0">
                                  <a:pos x="T4" y="T5"/>
                                </a:cxn>
                                <a:cxn ang="0">
                                  <a:pos x="T6" y="T7"/>
                                </a:cxn>
                                <a:cxn ang="0">
                                  <a:pos x="T8" y="T9"/>
                                </a:cxn>
                              </a:cxnLst>
                              <a:rect l="0" t="0" r="r" b="b"/>
                              <a:pathLst>
                                <a:path w="45" h="44">
                                  <a:moveTo>
                                    <a:pt x="8" y="0"/>
                                  </a:moveTo>
                                  <a:lnTo>
                                    <a:pt x="0" y="9"/>
                                  </a:lnTo>
                                  <a:lnTo>
                                    <a:pt x="36" y="44"/>
                                  </a:lnTo>
                                  <a:lnTo>
                                    <a:pt x="45" y="34"/>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22" name="Line 1229"/>
                          <wps:cNvCnPr>
                            <a:cxnSpLocks noChangeShapeType="1"/>
                          </wps:cNvCnPr>
                          <wps:spPr bwMode="auto">
                            <a:xfrm>
                              <a:off x="5048" y="214"/>
                              <a:ext cx="323" cy="0"/>
                            </a:xfrm>
                            <a:prstGeom prst="line">
                              <a:avLst/>
                            </a:prstGeom>
                            <a:noFill/>
                            <a:ln w="5715">
                              <a:solidFill>
                                <a:srgbClr val="000000"/>
                              </a:solidFill>
                              <a:prstDash val="solid"/>
                              <a:round/>
                            </a:ln>
                          </wps:spPr>
                          <wps:bodyPr/>
                        </wps:wsp>
                        <wps:wsp>
                          <wps:cNvPr id="623" name="Line 1230"/>
                          <wps:cNvCnPr>
                            <a:cxnSpLocks noChangeShapeType="1"/>
                          </wps:cNvCnPr>
                          <wps:spPr bwMode="auto">
                            <a:xfrm>
                              <a:off x="4472" y="230"/>
                              <a:ext cx="412" cy="0"/>
                            </a:xfrm>
                            <a:prstGeom prst="line">
                              <a:avLst/>
                            </a:prstGeom>
                            <a:noFill/>
                            <a:ln w="5715">
                              <a:solidFill>
                                <a:srgbClr val="000000"/>
                              </a:solidFill>
                              <a:prstDash val="solid"/>
                              <a:round/>
                            </a:ln>
                          </wps:spPr>
                          <wps:bodyPr/>
                        </wps:wsp>
                        <wps:wsp>
                          <wps:cNvPr id="624" name="Line 1231"/>
                          <wps:cNvCnPr>
                            <a:cxnSpLocks noChangeShapeType="1"/>
                          </wps:cNvCnPr>
                          <wps:spPr bwMode="auto">
                            <a:xfrm flipV="1">
                              <a:off x="4884" y="167"/>
                              <a:ext cx="42" cy="63"/>
                            </a:xfrm>
                            <a:prstGeom prst="line">
                              <a:avLst/>
                            </a:prstGeom>
                            <a:noFill/>
                            <a:ln w="5715">
                              <a:solidFill>
                                <a:srgbClr val="000000"/>
                              </a:solidFill>
                              <a:prstDash val="solid"/>
                              <a:round/>
                            </a:ln>
                          </wps:spPr>
                          <wps:bodyPr/>
                        </wps:wsp>
                        <wps:wsp>
                          <wps:cNvPr id="625" name="Line 1232"/>
                          <wps:cNvCnPr>
                            <a:cxnSpLocks noChangeShapeType="1"/>
                          </wps:cNvCnPr>
                          <wps:spPr bwMode="auto">
                            <a:xfrm flipV="1">
                              <a:off x="5000" y="214"/>
                              <a:ext cx="48" cy="64"/>
                            </a:xfrm>
                            <a:prstGeom prst="line">
                              <a:avLst/>
                            </a:prstGeom>
                            <a:noFill/>
                            <a:ln w="5715">
                              <a:solidFill>
                                <a:srgbClr val="000000"/>
                              </a:solidFill>
                              <a:prstDash val="solid"/>
                              <a:round/>
                            </a:ln>
                          </wps:spPr>
                          <wps:bodyPr/>
                        </wps:wsp>
                        <wps:wsp>
                          <wps:cNvPr id="626" name="Line 1233"/>
                          <wps:cNvCnPr>
                            <a:cxnSpLocks noChangeShapeType="1"/>
                          </wps:cNvCnPr>
                          <wps:spPr bwMode="auto">
                            <a:xfrm>
                              <a:off x="4926" y="167"/>
                              <a:ext cx="74" cy="111"/>
                            </a:xfrm>
                            <a:prstGeom prst="line">
                              <a:avLst/>
                            </a:prstGeom>
                            <a:noFill/>
                            <a:ln w="5715">
                              <a:solidFill>
                                <a:srgbClr val="000000"/>
                              </a:solidFill>
                              <a:prstDash val="solid"/>
                              <a:round/>
                            </a:ln>
                          </wps:spPr>
                          <wps:bodyPr/>
                        </wps:wsp>
                        <wps:wsp>
                          <wps:cNvPr id="627" name="Freeform 1234"/>
                          <wps:cNvSpPr/>
                          <wps:spPr bwMode="auto">
                            <a:xfrm>
                              <a:off x="594" y="1480"/>
                              <a:ext cx="779" cy="714"/>
                            </a:xfrm>
                            <a:custGeom>
                              <a:avLst/>
                              <a:gdLst>
                                <a:gd name="T0" fmla="*/ 0 w 779"/>
                                <a:gd name="T1" fmla="*/ 714 h 714"/>
                                <a:gd name="T2" fmla="*/ 12 w 779"/>
                                <a:gd name="T3" fmla="*/ 618 h 714"/>
                                <a:gd name="T4" fmla="*/ 21 w 779"/>
                                <a:gd name="T5" fmla="*/ 542 h 714"/>
                                <a:gd name="T6" fmla="*/ 58 w 779"/>
                                <a:gd name="T7" fmla="*/ 406 h 714"/>
                                <a:gd name="T8" fmla="*/ 88 w 779"/>
                                <a:gd name="T9" fmla="*/ 343 h 714"/>
                                <a:gd name="T10" fmla="*/ 127 w 779"/>
                                <a:gd name="T11" fmla="*/ 285 h 714"/>
                                <a:gd name="T12" fmla="*/ 227 w 779"/>
                                <a:gd name="T13" fmla="*/ 186 h 714"/>
                                <a:gd name="T14" fmla="*/ 346 w 779"/>
                                <a:gd name="T15" fmla="*/ 108 h 714"/>
                                <a:gd name="T16" fmla="*/ 475 w 779"/>
                                <a:gd name="T17" fmla="*/ 53 h 714"/>
                                <a:gd name="T18" fmla="*/ 612 w 779"/>
                                <a:gd name="T19" fmla="*/ 24 h 714"/>
                                <a:gd name="T20" fmla="*/ 681 w 779"/>
                                <a:gd name="T21" fmla="*/ 13 h 714"/>
                                <a:gd name="T22" fmla="*/ 717 w 779"/>
                                <a:gd name="T23" fmla="*/ 7 h 714"/>
                                <a:gd name="T24" fmla="*/ 742 w 779"/>
                                <a:gd name="T25" fmla="*/ 4 h 714"/>
                                <a:gd name="T26" fmla="*/ 779 w 779"/>
                                <a:gd name="T27" fmla="*/ 0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79" h="714">
                                  <a:moveTo>
                                    <a:pt x="0" y="714"/>
                                  </a:moveTo>
                                  <a:lnTo>
                                    <a:pt x="12" y="618"/>
                                  </a:lnTo>
                                  <a:lnTo>
                                    <a:pt x="21" y="542"/>
                                  </a:lnTo>
                                  <a:lnTo>
                                    <a:pt x="58" y="406"/>
                                  </a:lnTo>
                                  <a:lnTo>
                                    <a:pt x="88" y="343"/>
                                  </a:lnTo>
                                  <a:lnTo>
                                    <a:pt x="127" y="285"/>
                                  </a:lnTo>
                                  <a:lnTo>
                                    <a:pt x="227" y="186"/>
                                  </a:lnTo>
                                  <a:lnTo>
                                    <a:pt x="346" y="108"/>
                                  </a:lnTo>
                                  <a:lnTo>
                                    <a:pt x="475" y="53"/>
                                  </a:lnTo>
                                  <a:lnTo>
                                    <a:pt x="612" y="24"/>
                                  </a:lnTo>
                                  <a:lnTo>
                                    <a:pt x="681" y="13"/>
                                  </a:lnTo>
                                  <a:lnTo>
                                    <a:pt x="717" y="7"/>
                                  </a:lnTo>
                                  <a:lnTo>
                                    <a:pt x="742" y="4"/>
                                  </a:lnTo>
                                  <a:lnTo>
                                    <a:pt x="779"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28" name="Freeform 1235"/>
                          <wps:cNvSpPr/>
                          <wps:spPr bwMode="auto">
                            <a:xfrm>
                              <a:off x="2197" y="1518"/>
                              <a:ext cx="580" cy="615"/>
                            </a:xfrm>
                            <a:custGeom>
                              <a:avLst/>
                              <a:gdLst>
                                <a:gd name="T0" fmla="*/ 0 w 580"/>
                                <a:gd name="T1" fmla="*/ 615 h 615"/>
                                <a:gd name="T2" fmla="*/ 12 w 580"/>
                                <a:gd name="T3" fmla="*/ 501 h 615"/>
                                <a:gd name="T4" fmla="*/ 42 w 580"/>
                                <a:gd name="T5" fmla="*/ 389 h 615"/>
                                <a:gd name="T6" fmla="*/ 95 w 580"/>
                                <a:gd name="T7" fmla="*/ 287 h 615"/>
                                <a:gd name="T8" fmla="*/ 170 w 580"/>
                                <a:gd name="T9" fmla="*/ 199 h 615"/>
                                <a:gd name="T10" fmla="*/ 261 w 580"/>
                                <a:gd name="T11" fmla="*/ 126 h 615"/>
                                <a:gd name="T12" fmla="*/ 361 w 580"/>
                                <a:gd name="T13" fmla="*/ 67 h 615"/>
                                <a:gd name="T14" fmla="*/ 468 w 580"/>
                                <a:gd name="T15" fmla="*/ 24 h 615"/>
                                <a:gd name="T16" fmla="*/ 580 w 580"/>
                                <a:gd name="T17" fmla="*/ 0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615">
                                  <a:moveTo>
                                    <a:pt x="0" y="615"/>
                                  </a:moveTo>
                                  <a:lnTo>
                                    <a:pt x="12" y="501"/>
                                  </a:lnTo>
                                  <a:lnTo>
                                    <a:pt x="42" y="389"/>
                                  </a:lnTo>
                                  <a:lnTo>
                                    <a:pt x="95" y="287"/>
                                  </a:lnTo>
                                  <a:lnTo>
                                    <a:pt x="170" y="199"/>
                                  </a:lnTo>
                                  <a:lnTo>
                                    <a:pt x="261" y="126"/>
                                  </a:lnTo>
                                  <a:lnTo>
                                    <a:pt x="361" y="67"/>
                                  </a:lnTo>
                                  <a:lnTo>
                                    <a:pt x="468" y="24"/>
                                  </a:lnTo>
                                  <a:lnTo>
                                    <a:pt x="580" y="0"/>
                                  </a:lnTo>
                                </a:path>
                              </a:pathLst>
                            </a:custGeom>
                            <a:noFill/>
                            <a:ln w="5715">
                              <a:solidFill>
                                <a:srgbClr val="000000"/>
                              </a:solidFill>
                              <a:prstDash val="solid"/>
                              <a:round/>
                            </a:ln>
                          </wps:spPr>
                          <wps:bodyPr rot="0" vert="horz" wrap="square" lIns="91440" tIns="45720" rIns="91440" bIns="45720" anchor="t" anchorCtr="0" upright="1">
                            <a:noAutofit/>
                          </wps:bodyPr>
                        </wps:wsp>
                        <wps:wsp>
                          <wps:cNvPr id="629" name="Line 1236"/>
                          <wps:cNvCnPr>
                            <a:cxnSpLocks noChangeShapeType="1"/>
                          </wps:cNvCnPr>
                          <wps:spPr bwMode="auto">
                            <a:xfrm>
                              <a:off x="1377" y="918"/>
                              <a:ext cx="0" cy="1276"/>
                            </a:xfrm>
                            <a:prstGeom prst="line">
                              <a:avLst/>
                            </a:prstGeom>
                            <a:noFill/>
                            <a:ln w="5715">
                              <a:solidFill>
                                <a:srgbClr val="000000"/>
                              </a:solidFill>
                              <a:prstDash val="solid"/>
                              <a:round/>
                            </a:ln>
                          </wps:spPr>
                          <wps:bodyPr/>
                        </wps:wsp>
                        <wps:wsp>
                          <wps:cNvPr id="630" name="Line 1237"/>
                          <wps:cNvCnPr>
                            <a:cxnSpLocks noChangeShapeType="1"/>
                          </wps:cNvCnPr>
                          <wps:spPr bwMode="auto">
                            <a:xfrm>
                              <a:off x="34" y="918"/>
                              <a:ext cx="1343" cy="0"/>
                            </a:xfrm>
                            <a:prstGeom prst="line">
                              <a:avLst/>
                            </a:prstGeom>
                            <a:noFill/>
                            <a:ln w="5715">
                              <a:solidFill>
                                <a:srgbClr val="000000"/>
                              </a:solidFill>
                              <a:prstDash val="solid"/>
                              <a:round/>
                            </a:ln>
                          </wps:spPr>
                          <wps:bodyPr/>
                        </wps:wsp>
                        <wps:wsp>
                          <wps:cNvPr id="631" name="Line 1238"/>
                          <wps:cNvCnPr>
                            <a:cxnSpLocks noChangeShapeType="1"/>
                          </wps:cNvCnPr>
                          <wps:spPr bwMode="auto">
                            <a:xfrm>
                              <a:off x="34" y="918"/>
                              <a:ext cx="0" cy="1276"/>
                            </a:xfrm>
                            <a:prstGeom prst="line">
                              <a:avLst/>
                            </a:prstGeom>
                            <a:noFill/>
                            <a:ln w="5715">
                              <a:solidFill>
                                <a:srgbClr val="000000"/>
                              </a:solidFill>
                              <a:prstDash val="solid"/>
                              <a:round/>
                            </a:ln>
                          </wps:spPr>
                          <wps:bodyPr/>
                        </wps:wsp>
                        <wps:wsp>
                          <wps:cNvPr id="632" name="Line 1239"/>
                          <wps:cNvCnPr>
                            <a:cxnSpLocks noChangeShapeType="1"/>
                          </wps:cNvCnPr>
                          <wps:spPr bwMode="auto">
                            <a:xfrm>
                              <a:off x="34" y="2194"/>
                              <a:ext cx="1343" cy="0"/>
                            </a:xfrm>
                            <a:prstGeom prst="line">
                              <a:avLst/>
                            </a:prstGeom>
                            <a:noFill/>
                            <a:ln w="5715">
                              <a:solidFill>
                                <a:srgbClr val="000000"/>
                              </a:solidFill>
                              <a:prstDash val="solid"/>
                              <a:round/>
                            </a:ln>
                          </wps:spPr>
                          <wps:bodyPr/>
                        </wps:wsp>
                        <wps:wsp>
                          <wps:cNvPr id="633" name="Freeform 1240"/>
                          <wps:cNvSpPr/>
                          <wps:spPr bwMode="auto">
                            <a:xfrm>
                              <a:off x="4605" y="1858"/>
                              <a:ext cx="32" cy="47"/>
                            </a:xfrm>
                            <a:custGeom>
                              <a:avLst/>
                              <a:gdLst>
                                <a:gd name="T0" fmla="*/ 32 w 32"/>
                                <a:gd name="T1" fmla="*/ 8 h 47"/>
                                <a:gd name="T2" fmla="*/ 22 w 32"/>
                                <a:gd name="T3" fmla="*/ 0 h 47"/>
                                <a:gd name="T4" fmla="*/ 0 w 32"/>
                                <a:gd name="T5" fmla="*/ 47 h 47"/>
                                <a:gd name="T6" fmla="*/ 32 w 32"/>
                                <a:gd name="T7" fmla="*/ 8 h 47"/>
                              </a:gdLst>
                              <a:ahLst/>
                              <a:cxnLst>
                                <a:cxn ang="0">
                                  <a:pos x="T0" y="T1"/>
                                </a:cxn>
                                <a:cxn ang="0">
                                  <a:pos x="T2" y="T3"/>
                                </a:cxn>
                                <a:cxn ang="0">
                                  <a:pos x="T4" y="T5"/>
                                </a:cxn>
                                <a:cxn ang="0">
                                  <a:pos x="T6" y="T7"/>
                                </a:cxn>
                              </a:cxnLst>
                              <a:rect l="0" t="0" r="r" b="b"/>
                              <a:pathLst>
                                <a:path w="32" h="47">
                                  <a:moveTo>
                                    <a:pt x="32" y="8"/>
                                  </a:moveTo>
                                  <a:lnTo>
                                    <a:pt x="22" y="0"/>
                                  </a:lnTo>
                                  <a:lnTo>
                                    <a:pt x="0" y="47"/>
                                  </a:lnTo>
                                  <a:lnTo>
                                    <a:pt x="32" y="8"/>
                                  </a:lnTo>
                                  <a:close/>
                                </a:path>
                              </a:pathLst>
                            </a:custGeom>
                            <a:solidFill>
                              <a:srgbClr val="000000"/>
                            </a:solidFill>
                            <a:ln>
                              <a:noFill/>
                            </a:ln>
                          </wps:spPr>
                          <wps:bodyPr rot="0" vert="horz" wrap="square" lIns="91440" tIns="45720" rIns="91440" bIns="45720" anchor="t" anchorCtr="0" upright="1">
                            <a:noAutofit/>
                          </wps:bodyPr>
                        </wps:wsp>
                        <wps:wsp>
                          <wps:cNvPr id="634" name="Freeform 1241"/>
                          <wps:cNvSpPr/>
                          <wps:spPr bwMode="auto">
                            <a:xfrm>
                              <a:off x="4595" y="1858"/>
                              <a:ext cx="32" cy="47"/>
                            </a:xfrm>
                            <a:custGeom>
                              <a:avLst/>
                              <a:gdLst>
                                <a:gd name="T0" fmla="*/ 32 w 32"/>
                                <a:gd name="T1" fmla="*/ 0 h 47"/>
                                <a:gd name="T2" fmla="*/ 10 w 32"/>
                                <a:gd name="T3" fmla="*/ 47 h 47"/>
                                <a:gd name="T4" fmla="*/ 0 w 32"/>
                                <a:gd name="T5" fmla="*/ 39 h 47"/>
                                <a:gd name="T6" fmla="*/ 32 w 32"/>
                                <a:gd name="T7" fmla="*/ 0 h 47"/>
                              </a:gdLst>
                              <a:ahLst/>
                              <a:cxnLst>
                                <a:cxn ang="0">
                                  <a:pos x="T0" y="T1"/>
                                </a:cxn>
                                <a:cxn ang="0">
                                  <a:pos x="T2" y="T3"/>
                                </a:cxn>
                                <a:cxn ang="0">
                                  <a:pos x="T4" y="T5"/>
                                </a:cxn>
                                <a:cxn ang="0">
                                  <a:pos x="T6" y="T7"/>
                                </a:cxn>
                              </a:cxnLst>
                              <a:rect l="0" t="0" r="r" b="b"/>
                              <a:pathLst>
                                <a:path w="32" h="47">
                                  <a:moveTo>
                                    <a:pt x="32" y="0"/>
                                  </a:moveTo>
                                  <a:lnTo>
                                    <a:pt x="10" y="47"/>
                                  </a:lnTo>
                                  <a:lnTo>
                                    <a:pt x="0" y="39"/>
                                  </a:lnTo>
                                  <a:lnTo>
                                    <a:pt x="32" y="0"/>
                                  </a:lnTo>
                                  <a:close/>
                                </a:path>
                              </a:pathLst>
                            </a:custGeom>
                            <a:solidFill>
                              <a:srgbClr val="000000"/>
                            </a:solidFill>
                            <a:ln>
                              <a:noFill/>
                            </a:ln>
                          </wps:spPr>
                          <wps:bodyPr rot="0" vert="horz" wrap="square" lIns="91440" tIns="45720" rIns="91440" bIns="45720" anchor="t" anchorCtr="0" upright="1">
                            <a:noAutofit/>
                          </wps:bodyPr>
                        </wps:wsp>
                        <wps:wsp>
                          <wps:cNvPr id="635" name="Freeform 1242"/>
                          <wps:cNvSpPr/>
                          <wps:spPr bwMode="auto">
                            <a:xfrm>
                              <a:off x="4595" y="1858"/>
                              <a:ext cx="42" cy="47"/>
                            </a:xfrm>
                            <a:custGeom>
                              <a:avLst/>
                              <a:gdLst>
                                <a:gd name="T0" fmla="*/ 42 w 42"/>
                                <a:gd name="T1" fmla="*/ 8 h 47"/>
                                <a:gd name="T2" fmla="*/ 32 w 42"/>
                                <a:gd name="T3" fmla="*/ 0 h 47"/>
                                <a:gd name="T4" fmla="*/ 0 w 42"/>
                                <a:gd name="T5" fmla="*/ 39 h 47"/>
                                <a:gd name="T6" fmla="*/ 10 w 42"/>
                                <a:gd name="T7" fmla="*/ 47 h 47"/>
                                <a:gd name="T8" fmla="*/ 42 w 42"/>
                                <a:gd name="T9" fmla="*/ 8 h 47"/>
                              </a:gdLst>
                              <a:ahLst/>
                              <a:cxnLst>
                                <a:cxn ang="0">
                                  <a:pos x="T0" y="T1"/>
                                </a:cxn>
                                <a:cxn ang="0">
                                  <a:pos x="T2" y="T3"/>
                                </a:cxn>
                                <a:cxn ang="0">
                                  <a:pos x="T4" y="T5"/>
                                </a:cxn>
                                <a:cxn ang="0">
                                  <a:pos x="T6" y="T7"/>
                                </a:cxn>
                                <a:cxn ang="0">
                                  <a:pos x="T8" y="T9"/>
                                </a:cxn>
                              </a:cxnLst>
                              <a:rect l="0" t="0" r="r" b="b"/>
                              <a:pathLst>
                                <a:path w="42" h="47">
                                  <a:moveTo>
                                    <a:pt x="42" y="8"/>
                                  </a:moveTo>
                                  <a:lnTo>
                                    <a:pt x="32" y="0"/>
                                  </a:lnTo>
                                  <a:lnTo>
                                    <a:pt x="0" y="39"/>
                                  </a:lnTo>
                                  <a:lnTo>
                                    <a:pt x="10" y="47"/>
                                  </a:lnTo>
                                  <a:lnTo>
                                    <a:pt x="42"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36" name="Freeform 1243"/>
                          <wps:cNvSpPr/>
                          <wps:spPr bwMode="auto">
                            <a:xfrm>
                              <a:off x="5305" y="1858"/>
                              <a:ext cx="32" cy="47"/>
                            </a:xfrm>
                            <a:custGeom>
                              <a:avLst/>
                              <a:gdLst>
                                <a:gd name="T0" fmla="*/ 32 w 32"/>
                                <a:gd name="T1" fmla="*/ 8 h 47"/>
                                <a:gd name="T2" fmla="*/ 23 w 32"/>
                                <a:gd name="T3" fmla="*/ 0 h 47"/>
                                <a:gd name="T4" fmla="*/ 0 w 32"/>
                                <a:gd name="T5" fmla="*/ 47 h 47"/>
                                <a:gd name="T6" fmla="*/ 32 w 32"/>
                                <a:gd name="T7" fmla="*/ 8 h 47"/>
                              </a:gdLst>
                              <a:ahLst/>
                              <a:cxnLst>
                                <a:cxn ang="0">
                                  <a:pos x="T0" y="T1"/>
                                </a:cxn>
                                <a:cxn ang="0">
                                  <a:pos x="T2" y="T3"/>
                                </a:cxn>
                                <a:cxn ang="0">
                                  <a:pos x="T4" y="T5"/>
                                </a:cxn>
                                <a:cxn ang="0">
                                  <a:pos x="T6" y="T7"/>
                                </a:cxn>
                              </a:cxnLst>
                              <a:rect l="0" t="0" r="r" b="b"/>
                              <a:pathLst>
                                <a:path w="32" h="47">
                                  <a:moveTo>
                                    <a:pt x="32" y="8"/>
                                  </a:moveTo>
                                  <a:lnTo>
                                    <a:pt x="23" y="0"/>
                                  </a:lnTo>
                                  <a:lnTo>
                                    <a:pt x="0" y="47"/>
                                  </a:lnTo>
                                  <a:lnTo>
                                    <a:pt x="32" y="8"/>
                                  </a:lnTo>
                                  <a:close/>
                                </a:path>
                              </a:pathLst>
                            </a:custGeom>
                            <a:solidFill>
                              <a:srgbClr val="000000"/>
                            </a:solidFill>
                            <a:ln>
                              <a:noFill/>
                            </a:ln>
                          </wps:spPr>
                          <wps:bodyPr rot="0" vert="horz" wrap="square" lIns="91440" tIns="45720" rIns="91440" bIns="45720" anchor="t" anchorCtr="0" upright="1">
                            <a:noAutofit/>
                          </wps:bodyPr>
                        </wps:wsp>
                        <wps:wsp>
                          <wps:cNvPr id="637" name="Freeform 1244"/>
                          <wps:cNvSpPr/>
                          <wps:spPr bwMode="auto">
                            <a:xfrm>
                              <a:off x="5295" y="1858"/>
                              <a:ext cx="33" cy="47"/>
                            </a:xfrm>
                            <a:custGeom>
                              <a:avLst/>
                              <a:gdLst>
                                <a:gd name="T0" fmla="*/ 33 w 33"/>
                                <a:gd name="T1" fmla="*/ 0 h 47"/>
                                <a:gd name="T2" fmla="*/ 10 w 33"/>
                                <a:gd name="T3" fmla="*/ 47 h 47"/>
                                <a:gd name="T4" fmla="*/ 0 w 33"/>
                                <a:gd name="T5" fmla="*/ 39 h 47"/>
                                <a:gd name="T6" fmla="*/ 33 w 33"/>
                                <a:gd name="T7" fmla="*/ 0 h 47"/>
                              </a:gdLst>
                              <a:ahLst/>
                              <a:cxnLst>
                                <a:cxn ang="0">
                                  <a:pos x="T0" y="T1"/>
                                </a:cxn>
                                <a:cxn ang="0">
                                  <a:pos x="T2" y="T3"/>
                                </a:cxn>
                                <a:cxn ang="0">
                                  <a:pos x="T4" y="T5"/>
                                </a:cxn>
                                <a:cxn ang="0">
                                  <a:pos x="T6" y="T7"/>
                                </a:cxn>
                              </a:cxnLst>
                              <a:rect l="0" t="0" r="r" b="b"/>
                              <a:pathLst>
                                <a:path w="33" h="47">
                                  <a:moveTo>
                                    <a:pt x="33" y="0"/>
                                  </a:moveTo>
                                  <a:lnTo>
                                    <a:pt x="10" y="47"/>
                                  </a:lnTo>
                                  <a:lnTo>
                                    <a:pt x="0" y="39"/>
                                  </a:lnTo>
                                  <a:lnTo>
                                    <a:pt x="33" y="0"/>
                                  </a:lnTo>
                                  <a:close/>
                                </a:path>
                              </a:pathLst>
                            </a:custGeom>
                            <a:solidFill>
                              <a:srgbClr val="000000"/>
                            </a:solidFill>
                            <a:ln>
                              <a:noFill/>
                            </a:ln>
                          </wps:spPr>
                          <wps:bodyPr rot="0" vert="horz" wrap="square" lIns="91440" tIns="45720" rIns="91440" bIns="45720" anchor="t" anchorCtr="0" upright="1">
                            <a:noAutofit/>
                          </wps:bodyPr>
                        </wps:wsp>
                        <wps:wsp>
                          <wps:cNvPr id="638" name="Freeform 1245"/>
                          <wps:cNvSpPr/>
                          <wps:spPr bwMode="auto">
                            <a:xfrm>
                              <a:off x="5295" y="1858"/>
                              <a:ext cx="42" cy="47"/>
                            </a:xfrm>
                            <a:custGeom>
                              <a:avLst/>
                              <a:gdLst>
                                <a:gd name="T0" fmla="*/ 42 w 42"/>
                                <a:gd name="T1" fmla="*/ 8 h 47"/>
                                <a:gd name="T2" fmla="*/ 33 w 42"/>
                                <a:gd name="T3" fmla="*/ 0 h 47"/>
                                <a:gd name="T4" fmla="*/ 0 w 42"/>
                                <a:gd name="T5" fmla="*/ 39 h 47"/>
                                <a:gd name="T6" fmla="*/ 10 w 42"/>
                                <a:gd name="T7" fmla="*/ 47 h 47"/>
                                <a:gd name="T8" fmla="*/ 42 w 42"/>
                                <a:gd name="T9" fmla="*/ 8 h 47"/>
                              </a:gdLst>
                              <a:ahLst/>
                              <a:cxnLst>
                                <a:cxn ang="0">
                                  <a:pos x="T0" y="T1"/>
                                </a:cxn>
                                <a:cxn ang="0">
                                  <a:pos x="T2" y="T3"/>
                                </a:cxn>
                                <a:cxn ang="0">
                                  <a:pos x="T4" y="T5"/>
                                </a:cxn>
                                <a:cxn ang="0">
                                  <a:pos x="T6" y="T7"/>
                                </a:cxn>
                                <a:cxn ang="0">
                                  <a:pos x="T8" y="T9"/>
                                </a:cxn>
                              </a:cxnLst>
                              <a:rect l="0" t="0" r="r" b="b"/>
                              <a:pathLst>
                                <a:path w="42" h="47">
                                  <a:moveTo>
                                    <a:pt x="42" y="8"/>
                                  </a:moveTo>
                                  <a:lnTo>
                                    <a:pt x="33" y="0"/>
                                  </a:lnTo>
                                  <a:lnTo>
                                    <a:pt x="0" y="39"/>
                                  </a:lnTo>
                                  <a:lnTo>
                                    <a:pt x="10" y="47"/>
                                  </a:lnTo>
                                  <a:lnTo>
                                    <a:pt x="42"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39" name="Freeform 1246"/>
                          <wps:cNvSpPr/>
                          <wps:spPr bwMode="auto">
                            <a:xfrm>
                              <a:off x="5480" y="1858"/>
                              <a:ext cx="33" cy="47"/>
                            </a:xfrm>
                            <a:custGeom>
                              <a:avLst/>
                              <a:gdLst>
                                <a:gd name="T0" fmla="*/ 33 w 33"/>
                                <a:gd name="T1" fmla="*/ 8 h 47"/>
                                <a:gd name="T2" fmla="*/ 23 w 33"/>
                                <a:gd name="T3" fmla="*/ 0 h 47"/>
                                <a:gd name="T4" fmla="*/ 0 w 33"/>
                                <a:gd name="T5" fmla="*/ 47 h 47"/>
                                <a:gd name="T6" fmla="*/ 33 w 33"/>
                                <a:gd name="T7" fmla="*/ 8 h 47"/>
                              </a:gdLst>
                              <a:ahLst/>
                              <a:cxnLst>
                                <a:cxn ang="0">
                                  <a:pos x="T0" y="T1"/>
                                </a:cxn>
                                <a:cxn ang="0">
                                  <a:pos x="T2" y="T3"/>
                                </a:cxn>
                                <a:cxn ang="0">
                                  <a:pos x="T4" y="T5"/>
                                </a:cxn>
                                <a:cxn ang="0">
                                  <a:pos x="T6" y="T7"/>
                                </a:cxn>
                              </a:cxnLst>
                              <a:rect l="0" t="0" r="r" b="b"/>
                              <a:pathLst>
                                <a:path w="33" h="47">
                                  <a:moveTo>
                                    <a:pt x="33" y="8"/>
                                  </a:moveTo>
                                  <a:lnTo>
                                    <a:pt x="23" y="0"/>
                                  </a:lnTo>
                                  <a:lnTo>
                                    <a:pt x="0" y="47"/>
                                  </a:lnTo>
                                  <a:lnTo>
                                    <a:pt x="33" y="8"/>
                                  </a:lnTo>
                                  <a:close/>
                                </a:path>
                              </a:pathLst>
                            </a:custGeom>
                            <a:solidFill>
                              <a:srgbClr val="000000"/>
                            </a:solidFill>
                            <a:ln>
                              <a:noFill/>
                            </a:ln>
                          </wps:spPr>
                          <wps:bodyPr rot="0" vert="horz" wrap="square" lIns="91440" tIns="45720" rIns="91440" bIns="45720" anchor="t" anchorCtr="0" upright="1">
                            <a:noAutofit/>
                          </wps:bodyPr>
                        </wps:wsp>
                        <wps:wsp>
                          <wps:cNvPr id="640" name="Freeform 1247"/>
                          <wps:cNvSpPr/>
                          <wps:spPr bwMode="auto">
                            <a:xfrm>
                              <a:off x="5470" y="1858"/>
                              <a:ext cx="33" cy="47"/>
                            </a:xfrm>
                            <a:custGeom>
                              <a:avLst/>
                              <a:gdLst>
                                <a:gd name="T0" fmla="*/ 33 w 33"/>
                                <a:gd name="T1" fmla="*/ 0 h 47"/>
                                <a:gd name="T2" fmla="*/ 10 w 33"/>
                                <a:gd name="T3" fmla="*/ 47 h 47"/>
                                <a:gd name="T4" fmla="*/ 0 w 33"/>
                                <a:gd name="T5" fmla="*/ 39 h 47"/>
                                <a:gd name="T6" fmla="*/ 33 w 33"/>
                                <a:gd name="T7" fmla="*/ 0 h 47"/>
                              </a:gdLst>
                              <a:ahLst/>
                              <a:cxnLst>
                                <a:cxn ang="0">
                                  <a:pos x="T0" y="T1"/>
                                </a:cxn>
                                <a:cxn ang="0">
                                  <a:pos x="T2" y="T3"/>
                                </a:cxn>
                                <a:cxn ang="0">
                                  <a:pos x="T4" y="T5"/>
                                </a:cxn>
                                <a:cxn ang="0">
                                  <a:pos x="T6" y="T7"/>
                                </a:cxn>
                              </a:cxnLst>
                              <a:rect l="0" t="0" r="r" b="b"/>
                              <a:pathLst>
                                <a:path w="33" h="47">
                                  <a:moveTo>
                                    <a:pt x="33" y="0"/>
                                  </a:moveTo>
                                  <a:lnTo>
                                    <a:pt x="10" y="47"/>
                                  </a:lnTo>
                                  <a:lnTo>
                                    <a:pt x="0" y="39"/>
                                  </a:lnTo>
                                  <a:lnTo>
                                    <a:pt x="33" y="0"/>
                                  </a:lnTo>
                                  <a:close/>
                                </a:path>
                              </a:pathLst>
                            </a:custGeom>
                            <a:solidFill>
                              <a:srgbClr val="000000"/>
                            </a:solidFill>
                            <a:ln>
                              <a:noFill/>
                            </a:ln>
                          </wps:spPr>
                          <wps:bodyPr rot="0" vert="horz" wrap="square" lIns="91440" tIns="45720" rIns="91440" bIns="45720" anchor="t" anchorCtr="0" upright="1">
                            <a:noAutofit/>
                          </wps:bodyPr>
                        </wps:wsp>
                        <wps:wsp>
                          <wps:cNvPr id="641" name="Freeform 1248"/>
                          <wps:cNvSpPr/>
                          <wps:spPr bwMode="auto">
                            <a:xfrm>
                              <a:off x="5470" y="1858"/>
                              <a:ext cx="43" cy="47"/>
                            </a:xfrm>
                            <a:custGeom>
                              <a:avLst/>
                              <a:gdLst>
                                <a:gd name="T0" fmla="*/ 43 w 43"/>
                                <a:gd name="T1" fmla="*/ 8 h 47"/>
                                <a:gd name="T2" fmla="*/ 33 w 43"/>
                                <a:gd name="T3" fmla="*/ 0 h 47"/>
                                <a:gd name="T4" fmla="*/ 0 w 43"/>
                                <a:gd name="T5" fmla="*/ 39 h 47"/>
                                <a:gd name="T6" fmla="*/ 10 w 43"/>
                                <a:gd name="T7" fmla="*/ 47 h 47"/>
                                <a:gd name="T8" fmla="*/ 43 w 43"/>
                                <a:gd name="T9" fmla="*/ 8 h 47"/>
                              </a:gdLst>
                              <a:ahLst/>
                              <a:cxnLst>
                                <a:cxn ang="0">
                                  <a:pos x="T0" y="T1"/>
                                </a:cxn>
                                <a:cxn ang="0">
                                  <a:pos x="T2" y="T3"/>
                                </a:cxn>
                                <a:cxn ang="0">
                                  <a:pos x="T4" y="T5"/>
                                </a:cxn>
                                <a:cxn ang="0">
                                  <a:pos x="T6" y="T7"/>
                                </a:cxn>
                                <a:cxn ang="0">
                                  <a:pos x="T8" y="T9"/>
                                </a:cxn>
                              </a:cxnLst>
                              <a:rect l="0" t="0" r="r" b="b"/>
                              <a:pathLst>
                                <a:path w="43" h="47">
                                  <a:moveTo>
                                    <a:pt x="43" y="8"/>
                                  </a:moveTo>
                                  <a:lnTo>
                                    <a:pt x="33" y="0"/>
                                  </a:lnTo>
                                  <a:lnTo>
                                    <a:pt x="0" y="39"/>
                                  </a:lnTo>
                                  <a:lnTo>
                                    <a:pt x="10" y="47"/>
                                  </a:lnTo>
                                  <a:lnTo>
                                    <a:pt x="43"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42" name="Freeform 1249"/>
                          <wps:cNvSpPr/>
                          <wps:spPr bwMode="auto">
                            <a:xfrm>
                              <a:off x="4559" y="857"/>
                              <a:ext cx="16" cy="12"/>
                            </a:xfrm>
                            <a:custGeom>
                              <a:avLst/>
                              <a:gdLst>
                                <a:gd name="T0" fmla="*/ 16 w 16"/>
                                <a:gd name="T1" fmla="*/ 12 h 12"/>
                                <a:gd name="T2" fmla="*/ 11 w 16"/>
                                <a:gd name="T3" fmla="*/ 0 h 12"/>
                                <a:gd name="T4" fmla="*/ 0 w 16"/>
                                <a:gd name="T5" fmla="*/ 12 h 12"/>
                                <a:gd name="T6" fmla="*/ 16 w 16"/>
                                <a:gd name="T7" fmla="*/ 12 h 12"/>
                              </a:gdLst>
                              <a:ahLst/>
                              <a:cxnLst>
                                <a:cxn ang="0">
                                  <a:pos x="T0" y="T1"/>
                                </a:cxn>
                                <a:cxn ang="0">
                                  <a:pos x="T2" y="T3"/>
                                </a:cxn>
                                <a:cxn ang="0">
                                  <a:pos x="T4" y="T5"/>
                                </a:cxn>
                                <a:cxn ang="0">
                                  <a:pos x="T6" y="T7"/>
                                </a:cxn>
                              </a:cxnLst>
                              <a:rect l="0" t="0" r="r" b="b"/>
                              <a:pathLst>
                                <a:path w="16" h="12">
                                  <a:moveTo>
                                    <a:pt x="16" y="12"/>
                                  </a:moveTo>
                                  <a:lnTo>
                                    <a:pt x="11" y="0"/>
                                  </a:lnTo>
                                  <a:lnTo>
                                    <a:pt x="0" y="12"/>
                                  </a:lnTo>
                                  <a:lnTo>
                                    <a:pt x="16" y="12"/>
                                  </a:lnTo>
                                  <a:close/>
                                </a:path>
                              </a:pathLst>
                            </a:custGeom>
                            <a:solidFill>
                              <a:srgbClr val="000000"/>
                            </a:solidFill>
                            <a:ln>
                              <a:noFill/>
                            </a:ln>
                          </wps:spPr>
                          <wps:bodyPr rot="0" vert="horz" wrap="square" lIns="91440" tIns="45720" rIns="91440" bIns="45720" anchor="t" anchorCtr="0" upright="1">
                            <a:noAutofit/>
                          </wps:bodyPr>
                        </wps:wsp>
                        <wps:wsp>
                          <wps:cNvPr id="643" name="Freeform 1250"/>
                          <wps:cNvSpPr/>
                          <wps:spPr bwMode="auto">
                            <a:xfrm>
                              <a:off x="4559" y="857"/>
                              <a:ext cx="16" cy="12"/>
                            </a:xfrm>
                            <a:custGeom>
                              <a:avLst/>
                              <a:gdLst>
                                <a:gd name="T0" fmla="*/ 16 w 16"/>
                                <a:gd name="T1" fmla="*/ 12 h 12"/>
                                <a:gd name="T2" fmla="*/ 11 w 16"/>
                                <a:gd name="T3" fmla="*/ 0 h 12"/>
                                <a:gd name="T4" fmla="*/ 0 w 16"/>
                                <a:gd name="T5" fmla="*/ 12 h 12"/>
                                <a:gd name="T6" fmla="*/ 16 w 16"/>
                                <a:gd name="T7" fmla="*/ 12 h 12"/>
                              </a:gdLst>
                              <a:ahLst/>
                              <a:cxnLst>
                                <a:cxn ang="0">
                                  <a:pos x="T0" y="T1"/>
                                </a:cxn>
                                <a:cxn ang="0">
                                  <a:pos x="T2" y="T3"/>
                                </a:cxn>
                                <a:cxn ang="0">
                                  <a:pos x="T4" y="T5"/>
                                </a:cxn>
                                <a:cxn ang="0">
                                  <a:pos x="T6" y="T7"/>
                                </a:cxn>
                              </a:cxnLst>
                              <a:rect l="0" t="0" r="r" b="b"/>
                              <a:pathLst>
                                <a:path w="16" h="12">
                                  <a:moveTo>
                                    <a:pt x="16" y="12"/>
                                  </a:moveTo>
                                  <a:lnTo>
                                    <a:pt x="11" y="0"/>
                                  </a:lnTo>
                                  <a:lnTo>
                                    <a:pt x="0" y="12"/>
                                  </a:lnTo>
                                  <a:lnTo>
                                    <a:pt x="16" y="1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44" name="Freeform 1251"/>
                          <wps:cNvSpPr/>
                          <wps:spPr bwMode="auto">
                            <a:xfrm>
                              <a:off x="4559" y="853"/>
                              <a:ext cx="11" cy="16"/>
                            </a:xfrm>
                            <a:custGeom>
                              <a:avLst/>
                              <a:gdLst>
                                <a:gd name="T0" fmla="*/ 11 w 11"/>
                                <a:gd name="T1" fmla="*/ 4 h 16"/>
                                <a:gd name="T2" fmla="*/ 0 w 11"/>
                                <a:gd name="T3" fmla="*/ 0 h 16"/>
                                <a:gd name="T4" fmla="*/ 0 w 11"/>
                                <a:gd name="T5" fmla="*/ 16 h 16"/>
                                <a:gd name="T6" fmla="*/ 11 w 11"/>
                                <a:gd name="T7" fmla="*/ 4 h 16"/>
                              </a:gdLst>
                              <a:ahLst/>
                              <a:cxnLst>
                                <a:cxn ang="0">
                                  <a:pos x="T0" y="T1"/>
                                </a:cxn>
                                <a:cxn ang="0">
                                  <a:pos x="T2" y="T3"/>
                                </a:cxn>
                                <a:cxn ang="0">
                                  <a:pos x="T4" y="T5"/>
                                </a:cxn>
                                <a:cxn ang="0">
                                  <a:pos x="T6" y="T7"/>
                                </a:cxn>
                              </a:cxnLst>
                              <a:rect l="0" t="0" r="r" b="b"/>
                              <a:pathLst>
                                <a:path w="11" h="16">
                                  <a:moveTo>
                                    <a:pt x="11" y="4"/>
                                  </a:moveTo>
                                  <a:lnTo>
                                    <a:pt x="0" y="0"/>
                                  </a:lnTo>
                                  <a:lnTo>
                                    <a:pt x="0" y="16"/>
                                  </a:lnTo>
                                  <a:lnTo>
                                    <a:pt x="11" y="4"/>
                                  </a:lnTo>
                                  <a:close/>
                                </a:path>
                              </a:pathLst>
                            </a:custGeom>
                            <a:solidFill>
                              <a:srgbClr val="000000"/>
                            </a:solidFill>
                            <a:ln>
                              <a:noFill/>
                            </a:ln>
                          </wps:spPr>
                          <wps:bodyPr rot="0" vert="horz" wrap="square" lIns="91440" tIns="45720" rIns="91440" bIns="45720" anchor="t" anchorCtr="0" upright="1">
                            <a:noAutofit/>
                          </wps:bodyPr>
                        </wps:wsp>
                        <wps:wsp>
                          <wps:cNvPr id="645" name="Freeform 1252"/>
                          <wps:cNvSpPr/>
                          <wps:spPr bwMode="auto">
                            <a:xfrm>
                              <a:off x="4559" y="853"/>
                              <a:ext cx="11" cy="16"/>
                            </a:xfrm>
                            <a:custGeom>
                              <a:avLst/>
                              <a:gdLst>
                                <a:gd name="T0" fmla="*/ 11 w 11"/>
                                <a:gd name="T1" fmla="*/ 4 h 16"/>
                                <a:gd name="T2" fmla="*/ 0 w 11"/>
                                <a:gd name="T3" fmla="*/ 0 h 16"/>
                                <a:gd name="T4" fmla="*/ 0 w 11"/>
                                <a:gd name="T5" fmla="*/ 16 h 16"/>
                                <a:gd name="T6" fmla="*/ 11 w 11"/>
                                <a:gd name="T7" fmla="*/ 4 h 16"/>
                              </a:gdLst>
                              <a:ahLst/>
                              <a:cxnLst>
                                <a:cxn ang="0">
                                  <a:pos x="T0" y="T1"/>
                                </a:cxn>
                                <a:cxn ang="0">
                                  <a:pos x="T2" y="T3"/>
                                </a:cxn>
                                <a:cxn ang="0">
                                  <a:pos x="T4" y="T5"/>
                                </a:cxn>
                                <a:cxn ang="0">
                                  <a:pos x="T6" y="T7"/>
                                </a:cxn>
                              </a:cxnLst>
                              <a:rect l="0" t="0" r="r" b="b"/>
                              <a:pathLst>
                                <a:path w="11" h="16">
                                  <a:moveTo>
                                    <a:pt x="11" y="4"/>
                                  </a:moveTo>
                                  <a:lnTo>
                                    <a:pt x="0" y="0"/>
                                  </a:lnTo>
                                  <a:lnTo>
                                    <a:pt x="0" y="16"/>
                                  </a:lnTo>
                                  <a:lnTo>
                                    <a:pt x="11"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46" name="Freeform 1253"/>
                          <wps:cNvSpPr/>
                          <wps:spPr bwMode="auto">
                            <a:xfrm>
                              <a:off x="4547" y="853"/>
                              <a:ext cx="12" cy="16"/>
                            </a:xfrm>
                            <a:custGeom>
                              <a:avLst/>
                              <a:gdLst>
                                <a:gd name="T0" fmla="*/ 12 w 12"/>
                                <a:gd name="T1" fmla="*/ 0 h 16"/>
                                <a:gd name="T2" fmla="*/ 0 w 12"/>
                                <a:gd name="T3" fmla="*/ 4 h 16"/>
                                <a:gd name="T4" fmla="*/ 12 w 12"/>
                                <a:gd name="T5" fmla="*/ 16 h 16"/>
                                <a:gd name="T6" fmla="*/ 12 w 12"/>
                                <a:gd name="T7" fmla="*/ 0 h 16"/>
                              </a:gdLst>
                              <a:ahLst/>
                              <a:cxnLst>
                                <a:cxn ang="0">
                                  <a:pos x="T0" y="T1"/>
                                </a:cxn>
                                <a:cxn ang="0">
                                  <a:pos x="T2" y="T3"/>
                                </a:cxn>
                                <a:cxn ang="0">
                                  <a:pos x="T4" y="T5"/>
                                </a:cxn>
                                <a:cxn ang="0">
                                  <a:pos x="T6" y="T7"/>
                                </a:cxn>
                              </a:cxnLst>
                              <a:rect l="0" t="0" r="r" b="b"/>
                              <a:pathLst>
                                <a:path w="12" h="16">
                                  <a:moveTo>
                                    <a:pt x="12" y="0"/>
                                  </a:moveTo>
                                  <a:lnTo>
                                    <a:pt x="0" y="4"/>
                                  </a:lnTo>
                                  <a:lnTo>
                                    <a:pt x="12" y="16"/>
                                  </a:lnTo>
                                  <a:lnTo>
                                    <a:pt x="12" y="0"/>
                                  </a:lnTo>
                                  <a:close/>
                                </a:path>
                              </a:pathLst>
                            </a:custGeom>
                            <a:solidFill>
                              <a:srgbClr val="000000"/>
                            </a:solidFill>
                            <a:ln>
                              <a:noFill/>
                            </a:ln>
                          </wps:spPr>
                          <wps:bodyPr rot="0" vert="horz" wrap="square" lIns="91440" tIns="45720" rIns="91440" bIns="45720" anchor="t" anchorCtr="0" upright="1">
                            <a:noAutofit/>
                          </wps:bodyPr>
                        </wps:wsp>
                        <wps:wsp>
                          <wps:cNvPr id="647" name="Freeform 1254"/>
                          <wps:cNvSpPr/>
                          <wps:spPr bwMode="auto">
                            <a:xfrm>
                              <a:off x="4547" y="853"/>
                              <a:ext cx="12" cy="16"/>
                            </a:xfrm>
                            <a:custGeom>
                              <a:avLst/>
                              <a:gdLst>
                                <a:gd name="T0" fmla="*/ 12 w 12"/>
                                <a:gd name="T1" fmla="*/ 0 h 16"/>
                                <a:gd name="T2" fmla="*/ 0 w 12"/>
                                <a:gd name="T3" fmla="*/ 4 h 16"/>
                                <a:gd name="T4" fmla="*/ 12 w 12"/>
                                <a:gd name="T5" fmla="*/ 16 h 16"/>
                                <a:gd name="T6" fmla="*/ 12 w 12"/>
                                <a:gd name="T7" fmla="*/ 0 h 16"/>
                              </a:gdLst>
                              <a:ahLst/>
                              <a:cxnLst>
                                <a:cxn ang="0">
                                  <a:pos x="T0" y="T1"/>
                                </a:cxn>
                                <a:cxn ang="0">
                                  <a:pos x="T2" y="T3"/>
                                </a:cxn>
                                <a:cxn ang="0">
                                  <a:pos x="T4" y="T5"/>
                                </a:cxn>
                                <a:cxn ang="0">
                                  <a:pos x="T6" y="T7"/>
                                </a:cxn>
                              </a:cxnLst>
                              <a:rect l="0" t="0" r="r" b="b"/>
                              <a:pathLst>
                                <a:path w="12" h="16">
                                  <a:moveTo>
                                    <a:pt x="12" y="0"/>
                                  </a:moveTo>
                                  <a:lnTo>
                                    <a:pt x="0" y="4"/>
                                  </a:lnTo>
                                  <a:lnTo>
                                    <a:pt x="12" y="16"/>
                                  </a:lnTo>
                                  <a:lnTo>
                                    <a:pt x="1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48" name="Freeform 1255"/>
                          <wps:cNvSpPr/>
                          <wps:spPr bwMode="auto">
                            <a:xfrm>
                              <a:off x="4542" y="857"/>
                              <a:ext cx="17" cy="12"/>
                            </a:xfrm>
                            <a:custGeom>
                              <a:avLst/>
                              <a:gdLst>
                                <a:gd name="T0" fmla="*/ 5 w 17"/>
                                <a:gd name="T1" fmla="*/ 0 h 12"/>
                                <a:gd name="T2" fmla="*/ 0 w 17"/>
                                <a:gd name="T3" fmla="*/ 12 h 12"/>
                                <a:gd name="T4" fmla="*/ 17 w 17"/>
                                <a:gd name="T5" fmla="*/ 12 h 12"/>
                                <a:gd name="T6" fmla="*/ 5 w 17"/>
                                <a:gd name="T7" fmla="*/ 0 h 12"/>
                              </a:gdLst>
                              <a:ahLst/>
                              <a:cxnLst>
                                <a:cxn ang="0">
                                  <a:pos x="T0" y="T1"/>
                                </a:cxn>
                                <a:cxn ang="0">
                                  <a:pos x="T2" y="T3"/>
                                </a:cxn>
                                <a:cxn ang="0">
                                  <a:pos x="T4" y="T5"/>
                                </a:cxn>
                                <a:cxn ang="0">
                                  <a:pos x="T6" y="T7"/>
                                </a:cxn>
                              </a:cxnLst>
                              <a:rect l="0" t="0" r="r" b="b"/>
                              <a:pathLst>
                                <a:path w="17" h="12">
                                  <a:moveTo>
                                    <a:pt x="5" y="0"/>
                                  </a:moveTo>
                                  <a:lnTo>
                                    <a:pt x="0" y="12"/>
                                  </a:lnTo>
                                  <a:lnTo>
                                    <a:pt x="17" y="12"/>
                                  </a:lnTo>
                                  <a:lnTo>
                                    <a:pt x="5" y="0"/>
                                  </a:lnTo>
                                  <a:close/>
                                </a:path>
                              </a:pathLst>
                            </a:custGeom>
                            <a:solidFill>
                              <a:srgbClr val="000000"/>
                            </a:solidFill>
                            <a:ln>
                              <a:noFill/>
                            </a:ln>
                          </wps:spPr>
                          <wps:bodyPr rot="0" vert="horz" wrap="square" lIns="91440" tIns="45720" rIns="91440" bIns="45720" anchor="t" anchorCtr="0" upright="1">
                            <a:noAutofit/>
                          </wps:bodyPr>
                        </wps:wsp>
                        <wps:wsp>
                          <wps:cNvPr id="649" name="Freeform 1256"/>
                          <wps:cNvSpPr/>
                          <wps:spPr bwMode="auto">
                            <a:xfrm>
                              <a:off x="4542" y="857"/>
                              <a:ext cx="17" cy="12"/>
                            </a:xfrm>
                            <a:custGeom>
                              <a:avLst/>
                              <a:gdLst>
                                <a:gd name="T0" fmla="*/ 5 w 17"/>
                                <a:gd name="T1" fmla="*/ 0 h 12"/>
                                <a:gd name="T2" fmla="*/ 0 w 17"/>
                                <a:gd name="T3" fmla="*/ 12 h 12"/>
                                <a:gd name="T4" fmla="*/ 17 w 17"/>
                                <a:gd name="T5" fmla="*/ 12 h 12"/>
                                <a:gd name="T6" fmla="*/ 5 w 17"/>
                                <a:gd name="T7" fmla="*/ 0 h 12"/>
                              </a:gdLst>
                              <a:ahLst/>
                              <a:cxnLst>
                                <a:cxn ang="0">
                                  <a:pos x="T0" y="T1"/>
                                </a:cxn>
                                <a:cxn ang="0">
                                  <a:pos x="T2" y="T3"/>
                                </a:cxn>
                                <a:cxn ang="0">
                                  <a:pos x="T4" y="T5"/>
                                </a:cxn>
                                <a:cxn ang="0">
                                  <a:pos x="T6" y="T7"/>
                                </a:cxn>
                              </a:cxnLst>
                              <a:rect l="0" t="0" r="r" b="b"/>
                              <a:pathLst>
                                <a:path w="17" h="12">
                                  <a:moveTo>
                                    <a:pt x="5" y="0"/>
                                  </a:moveTo>
                                  <a:lnTo>
                                    <a:pt x="0" y="12"/>
                                  </a:lnTo>
                                  <a:lnTo>
                                    <a:pt x="17" y="12"/>
                                  </a:lnTo>
                                  <a:lnTo>
                                    <a:pt x="5"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50" name="Freeform 1257"/>
                          <wps:cNvSpPr/>
                          <wps:spPr bwMode="auto">
                            <a:xfrm>
                              <a:off x="4542" y="869"/>
                              <a:ext cx="17" cy="11"/>
                            </a:xfrm>
                            <a:custGeom>
                              <a:avLst/>
                              <a:gdLst>
                                <a:gd name="T0" fmla="*/ 0 w 17"/>
                                <a:gd name="T1" fmla="*/ 0 h 11"/>
                                <a:gd name="T2" fmla="*/ 5 w 17"/>
                                <a:gd name="T3" fmla="*/ 11 h 11"/>
                                <a:gd name="T4" fmla="*/ 17 w 17"/>
                                <a:gd name="T5" fmla="*/ 0 h 11"/>
                                <a:gd name="T6" fmla="*/ 0 w 17"/>
                                <a:gd name="T7" fmla="*/ 0 h 11"/>
                              </a:gdLst>
                              <a:ahLst/>
                              <a:cxnLst>
                                <a:cxn ang="0">
                                  <a:pos x="T0" y="T1"/>
                                </a:cxn>
                                <a:cxn ang="0">
                                  <a:pos x="T2" y="T3"/>
                                </a:cxn>
                                <a:cxn ang="0">
                                  <a:pos x="T4" y="T5"/>
                                </a:cxn>
                                <a:cxn ang="0">
                                  <a:pos x="T6" y="T7"/>
                                </a:cxn>
                              </a:cxnLst>
                              <a:rect l="0" t="0" r="r" b="b"/>
                              <a:pathLst>
                                <a:path w="17" h="11">
                                  <a:moveTo>
                                    <a:pt x="0" y="0"/>
                                  </a:moveTo>
                                  <a:lnTo>
                                    <a:pt x="5" y="11"/>
                                  </a:lnTo>
                                  <a:lnTo>
                                    <a:pt x="17" y="0"/>
                                  </a:lnTo>
                                  <a:lnTo>
                                    <a:pt x="0" y="0"/>
                                  </a:lnTo>
                                  <a:close/>
                                </a:path>
                              </a:pathLst>
                            </a:custGeom>
                            <a:solidFill>
                              <a:srgbClr val="000000"/>
                            </a:solidFill>
                            <a:ln>
                              <a:noFill/>
                            </a:ln>
                          </wps:spPr>
                          <wps:bodyPr rot="0" vert="horz" wrap="square" lIns="91440" tIns="45720" rIns="91440" bIns="45720" anchor="t" anchorCtr="0" upright="1">
                            <a:noAutofit/>
                          </wps:bodyPr>
                        </wps:wsp>
                        <wps:wsp>
                          <wps:cNvPr id="651" name="Freeform 1258"/>
                          <wps:cNvSpPr/>
                          <wps:spPr bwMode="auto">
                            <a:xfrm>
                              <a:off x="4542" y="869"/>
                              <a:ext cx="17" cy="11"/>
                            </a:xfrm>
                            <a:custGeom>
                              <a:avLst/>
                              <a:gdLst>
                                <a:gd name="T0" fmla="*/ 0 w 17"/>
                                <a:gd name="T1" fmla="*/ 0 h 11"/>
                                <a:gd name="T2" fmla="*/ 5 w 17"/>
                                <a:gd name="T3" fmla="*/ 11 h 11"/>
                                <a:gd name="T4" fmla="*/ 17 w 17"/>
                                <a:gd name="T5" fmla="*/ 0 h 11"/>
                                <a:gd name="T6" fmla="*/ 0 w 17"/>
                                <a:gd name="T7" fmla="*/ 0 h 11"/>
                              </a:gdLst>
                              <a:ahLst/>
                              <a:cxnLst>
                                <a:cxn ang="0">
                                  <a:pos x="T0" y="T1"/>
                                </a:cxn>
                                <a:cxn ang="0">
                                  <a:pos x="T2" y="T3"/>
                                </a:cxn>
                                <a:cxn ang="0">
                                  <a:pos x="T4" y="T5"/>
                                </a:cxn>
                                <a:cxn ang="0">
                                  <a:pos x="T6" y="T7"/>
                                </a:cxn>
                              </a:cxnLst>
                              <a:rect l="0" t="0" r="r" b="b"/>
                              <a:pathLst>
                                <a:path w="17" h="11">
                                  <a:moveTo>
                                    <a:pt x="0" y="0"/>
                                  </a:moveTo>
                                  <a:lnTo>
                                    <a:pt x="5" y="11"/>
                                  </a:lnTo>
                                  <a:lnTo>
                                    <a:pt x="17"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52" name="Freeform 1259"/>
                          <wps:cNvSpPr/>
                          <wps:spPr bwMode="auto">
                            <a:xfrm>
                              <a:off x="4547" y="869"/>
                              <a:ext cx="12" cy="16"/>
                            </a:xfrm>
                            <a:custGeom>
                              <a:avLst/>
                              <a:gdLst>
                                <a:gd name="T0" fmla="*/ 0 w 12"/>
                                <a:gd name="T1" fmla="*/ 11 h 16"/>
                                <a:gd name="T2" fmla="*/ 12 w 12"/>
                                <a:gd name="T3" fmla="*/ 16 h 16"/>
                                <a:gd name="T4" fmla="*/ 12 w 12"/>
                                <a:gd name="T5" fmla="*/ 0 h 16"/>
                                <a:gd name="T6" fmla="*/ 0 w 12"/>
                                <a:gd name="T7" fmla="*/ 11 h 16"/>
                              </a:gdLst>
                              <a:ahLst/>
                              <a:cxnLst>
                                <a:cxn ang="0">
                                  <a:pos x="T0" y="T1"/>
                                </a:cxn>
                                <a:cxn ang="0">
                                  <a:pos x="T2" y="T3"/>
                                </a:cxn>
                                <a:cxn ang="0">
                                  <a:pos x="T4" y="T5"/>
                                </a:cxn>
                                <a:cxn ang="0">
                                  <a:pos x="T6" y="T7"/>
                                </a:cxn>
                              </a:cxnLst>
                              <a:rect l="0" t="0" r="r" b="b"/>
                              <a:pathLst>
                                <a:path w="12" h="16">
                                  <a:moveTo>
                                    <a:pt x="0" y="11"/>
                                  </a:moveTo>
                                  <a:lnTo>
                                    <a:pt x="12" y="16"/>
                                  </a:lnTo>
                                  <a:lnTo>
                                    <a:pt x="12" y="0"/>
                                  </a:lnTo>
                                  <a:lnTo>
                                    <a:pt x="0" y="11"/>
                                  </a:lnTo>
                                  <a:close/>
                                </a:path>
                              </a:pathLst>
                            </a:custGeom>
                            <a:solidFill>
                              <a:srgbClr val="000000"/>
                            </a:solidFill>
                            <a:ln>
                              <a:noFill/>
                            </a:ln>
                          </wps:spPr>
                          <wps:bodyPr rot="0" vert="horz" wrap="square" lIns="91440" tIns="45720" rIns="91440" bIns="45720" anchor="t" anchorCtr="0" upright="1">
                            <a:noAutofit/>
                          </wps:bodyPr>
                        </wps:wsp>
                        <wps:wsp>
                          <wps:cNvPr id="653" name="Freeform 1260"/>
                          <wps:cNvSpPr/>
                          <wps:spPr bwMode="auto">
                            <a:xfrm>
                              <a:off x="4547" y="869"/>
                              <a:ext cx="12" cy="16"/>
                            </a:xfrm>
                            <a:custGeom>
                              <a:avLst/>
                              <a:gdLst>
                                <a:gd name="T0" fmla="*/ 0 w 12"/>
                                <a:gd name="T1" fmla="*/ 11 h 16"/>
                                <a:gd name="T2" fmla="*/ 12 w 12"/>
                                <a:gd name="T3" fmla="*/ 16 h 16"/>
                                <a:gd name="T4" fmla="*/ 12 w 12"/>
                                <a:gd name="T5" fmla="*/ 0 h 16"/>
                                <a:gd name="T6" fmla="*/ 0 w 12"/>
                                <a:gd name="T7" fmla="*/ 11 h 16"/>
                              </a:gdLst>
                              <a:ahLst/>
                              <a:cxnLst>
                                <a:cxn ang="0">
                                  <a:pos x="T0" y="T1"/>
                                </a:cxn>
                                <a:cxn ang="0">
                                  <a:pos x="T2" y="T3"/>
                                </a:cxn>
                                <a:cxn ang="0">
                                  <a:pos x="T4" y="T5"/>
                                </a:cxn>
                                <a:cxn ang="0">
                                  <a:pos x="T6" y="T7"/>
                                </a:cxn>
                              </a:cxnLst>
                              <a:rect l="0" t="0" r="r" b="b"/>
                              <a:pathLst>
                                <a:path w="12" h="16">
                                  <a:moveTo>
                                    <a:pt x="0" y="11"/>
                                  </a:moveTo>
                                  <a:lnTo>
                                    <a:pt x="12" y="16"/>
                                  </a:lnTo>
                                  <a:lnTo>
                                    <a:pt x="12" y="0"/>
                                  </a:lnTo>
                                  <a:lnTo>
                                    <a:pt x="0"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54" name="Freeform 1261"/>
                          <wps:cNvSpPr/>
                          <wps:spPr bwMode="auto">
                            <a:xfrm>
                              <a:off x="4559" y="869"/>
                              <a:ext cx="11" cy="16"/>
                            </a:xfrm>
                            <a:custGeom>
                              <a:avLst/>
                              <a:gdLst>
                                <a:gd name="T0" fmla="*/ 0 w 11"/>
                                <a:gd name="T1" fmla="*/ 16 h 16"/>
                                <a:gd name="T2" fmla="*/ 11 w 11"/>
                                <a:gd name="T3" fmla="*/ 11 h 16"/>
                                <a:gd name="T4" fmla="*/ 0 w 11"/>
                                <a:gd name="T5" fmla="*/ 0 h 16"/>
                                <a:gd name="T6" fmla="*/ 0 w 11"/>
                                <a:gd name="T7" fmla="*/ 16 h 16"/>
                              </a:gdLst>
                              <a:ahLst/>
                              <a:cxnLst>
                                <a:cxn ang="0">
                                  <a:pos x="T0" y="T1"/>
                                </a:cxn>
                                <a:cxn ang="0">
                                  <a:pos x="T2" y="T3"/>
                                </a:cxn>
                                <a:cxn ang="0">
                                  <a:pos x="T4" y="T5"/>
                                </a:cxn>
                                <a:cxn ang="0">
                                  <a:pos x="T6" y="T7"/>
                                </a:cxn>
                              </a:cxnLst>
                              <a:rect l="0" t="0" r="r" b="b"/>
                              <a:pathLst>
                                <a:path w="11" h="16">
                                  <a:moveTo>
                                    <a:pt x="0" y="16"/>
                                  </a:moveTo>
                                  <a:lnTo>
                                    <a:pt x="11" y="11"/>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655" name="Freeform 1262"/>
                          <wps:cNvSpPr/>
                          <wps:spPr bwMode="auto">
                            <a:xfrm>
                              <a:off x="4559" y="869"/>
                              <a:ext cx="11" cy="16"/>
                            </a:xfrm>
                            <a:custGeom>
                              <a:avLst/>
                              <a:gdLst>
                                <a:gd name="T0" fmla="*/ 0 w 11"/>
                                <a:gd name="T1" fmla="*/ 16 h 16"/>
                                <a:gd name="T2" fmla="*/ 11 w 11"/>
                                <a:gd name="T3" fmla="*/ 11 h 16"/>
                                <a:gd name="T4" fmla="*/ 0 w 11"/>
                                <a:gd name="T5" fmla="*/ 0 h 16"/>
                                <a:gd name="T6" fmla="*/ 0 w 11"/>
                                <a:gd name="T7" fmla="*/ 16 h 16"/>
                              </a:gdLst>
                              <a:ahLst/>
                              <a:cxnLst>
                                <a:cxn ang="0">
                                  <a:pos x="T0" y="T1"/>
                                </a:cxn>
                                <a:cxn ang="0">
                                  <a:pos x="T2" y="T3"/>
                                </a:cxn>
                                <a:cxn ang="0">
                                  <a:pos x="T4" y="T5"/>
                                </a:cxn>
                                <a:cxn ang="0">
                                  <a:pos x="T6" y="T7"/>
                                </a:cxn>
                              </a:cxnLst>
                              <a:rect l="0" t="0" r="r" b="b"/>
                              <a:pathLst>
                                <a:path w="11" h="16">
                                  <a:moveTo>
                                    <a:pt x="0" y="16"/>
                                  </a:moveTo>
                                  <a:lnTo>
                                    <a:pt x="11" y="11"/>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56" name="Freeform 1263"/>
                          <wps:cNvSpPr/>
                          <wps:spPr bwMode="auto">
                            <a:xfrm>
                              <a:off x="4559" y="869"/>
                              <a:ext cx="16" cy="11"/>
                            </a:xfrm>
                            <a:custGeom>
                              <a:avLst/>
                              <a:gdLst>
                                <a:gd name="T0" fmla="*/ 11 w 16"/>
                                <a:gd name="T1" fmla="*/ 11 h 11"/>
                                <a:gd name="T2" fmla="*/ 16 w 16"/>
                                <a:gd name="T3" fmla="*/ 0 h 11"/>
                                <a:gd name="T4" fmla="*/ 0 w 16"/>
                                <a:gd name="T5" fmla="*/ 0 h 11"/>
                                <a:gd name="T6" fmla="*/ 11 w 16"/>
                                <a:gd name="T7" fmla="*/ 11 h 11"/>
                              </a:gdLst>
                              <a:ahLst/>
                              <a:cxnLst>
                                <a:cxn ang="0">
                                  <a:pos x="T0" y="T1"/>
                                </a:cxn>
                                <a:cxn ang="0">
                                  <a:pos x="T2" y="T3"/>
                                </a:cxn>
                                <a:cxn ang="0">
                                  <a:pos x="T4" y="T5"/>
                                </a:cxn>
                                <a:cxn ang="0">
                                  <a:pos x="T6" y="T7"/>
                                </a:cxn>
                              </a:cxnLst>
                              <a:rect l="0" t="0" r="r" b="b"/>
                              <a:pathLst>
                                <a:path w="16" h="11">
                                  <a:moveTo>
                                    <a:pt x="11" y="11"/>
                                  </a:moveTo>
                                  <a:lnTo>
                                    <a:pt x="16" y="0"/>
                                  </a:lnTo>
                                  <a:lnTo>
                                    <a:pt x="0" y="0"/>
                                  </a:lnTo>
                                  <a:lnTo>
                                    <a:pt x="11" y="11"/>
                                  </a:lnTo>
                                  <a:close/>
                                </a:path>
                              </a:pathLst>
                            </a:custGeom>
                            <a:solidFill>
                              <a:srgbClr val="000000"/>
                            </a:solidFill>
                            <a:ln>
                              <a:noFill/>
                            </a:ln>
                          </wps:spPr>
                          <wps:bodyPr rot="0" vert="horz" wrap="square" lIns="91440" tIns="45720" rIns="91440" bIns="45720" anchor="t" anchorCtr="0" upright="1">
                            <a:noAutofit/>
                          </wps:bodyPr>
                        </wps:wsp>
                        <wps:wsp>
                          <wps:cNvPr id="657" name="Freeform 1264"/>
                          <wps:cNvSpPr/>
                          <wps:spPr bwMode="auto">
                            <a:xfrm>
                              <a:off x="4559" y="869"/>
                              <a:ext cx="16" cy="11"/>
                            </a:xfrm>
                            <a:custGeom>
                              <a:avLst/>
                              <a:gdLst>
                                <a:gd name="T0" fmla="*/ 11 w 16"/>
                                <a:gd name="T1" fmla="*/ 11 h 11"/>
                                <a:gd name="T2" fmla="*/ 16 w 16"/>
                                <a:gd name="T3" fmla="*/ 0 h 11"/>
                                <a:gd name="T4" fmla="*/ 0 w 16"/>
                                <a:gd name="T5" fmla="*/ 0 h 11"/>
                                <a:gd name="T6" fmla="*/ 11 w 16"/>
                                <a:gd name="T7" fmla="*/ 11 h 11"/>
                              </a:gdLst>
                              <a:ahLst/>
                              <a:cxnLst>
                                <a:cxn ang="0">
                                  <a:pos x="T0" y="T1"/>
                                </a:cxn>
                                <a:cxn ang="0">
                                  <a:pos x="T2" y="T3"/>
                                </a:cxn>
                                <a:cxn ang="0">
                                  <a:pos x="T4" y="T5"/>
                                </a:cxn>
                                <a:cxn ang="0">
                                  <a:pos x="T6" y="T7"/>
                                </a:cxn>
                              </a:cxnLst>
                              <a:rect l="0" t="0" r="r" b="b"/>
                              <a:pathLst>
                                <a:path w="16" h="11">
                                  <a:moveTo>
                                    <a:pt x="11" y="11"/>
                                  </a:moveTo>
                                  <a:lnTo>
                                    <a:pt x="16" y="0"/>
                                  </a:lnTo>
                                  <a:lnTo>
                                    <a:pt x="0" y="0"/>
                                  </a:lnTo>
                                  <a:lnTo>
                                    <a:pt x="11"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58" name="Freeform 1265"/>
                          <wps:cNvSpPr/>
                          <wps:spPr bwMode="auto">
                            <a:xfrm>
                              <a:off x="4830" y="861"/>
                              <a:ext cx="16" cy="8"/>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solidFill>
                              <a:srgbClr val="000000"/>
                            </a:solidFill>
                            <a:ln>
                              <a:noFill/>
                            </a:ln>
                          </wps:spPr>
                          <wps:bodyPr rot="0" vert="horz" wrap="square" lIns="91440" tIns="45720" rIns="91440" bIns="45720" anchor="t" anchorCtr="0" upright="1">
                            <a:noAutofit/>
                          </wps:bodyPr>
                        </wps:wsp>
                        <wps:wsp>
                          <wps:cNvPr id="659" name="Freeform 1266"/>
                          <wps:cNvSpPr/>
                          <wps:spPr bwMode="auto">
                            <a:xfrm>
                              <a:off x="4830" y="861"/>
                              <a:ext cx="16" cy="8"/>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60" name="Freeform 1267"/>
                          <wps:cNvSpPr/>
                          <wps:spPr bwMode="auto">
                            <a:xfrm>
                              <a:off x="4830" y="855"/>
                              <a:ext cx="14" cy="14"/>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solidFill>
                              <a:srgbClr val="000000"/>
                            </a:solidFill>
                            <a:ln>
                              <a:noFill/>
                            </a:ln>
                          </wps:spPr>
                          <wps:bodyPr rot="0" vert="horz" wrap="square" lIns="91440" tIns="45720" rIns="91440" bIns="45720" anchor="t" anchorCtr="0" upright="1">
                            <a:noAutofit/>
                          </wps:bodyPr>
                        </wps:wsp>
                        <wps:wsp>
                          <wps:cNvPr id="661" name="Freeform 1268"/>
                          <wps:cNvSpPr/>
                          <wps:spPr bwMode="auto">
                            <a:xfrm>
                              <a:off x="4830" y="855"/>
                              <a:ext cx="14" cy="14"/>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62" name="Freeform 1269"/>
                          <wps:cNvSpPr/>
                          <wps:spPr bwMode="auto">
                            <a:xfrm>
                              <a:off x="4830" y="853"/>
                              <a:ext cx="8" cy="16"/>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solidFill>
                              <a:srgbClr val="000000"/>
                            </a:solidFill>
                            <a:ln>
                              <a:noFill/>
                            </a:ln>
                          </wps:spPr>
                          <wps:bodyPr rot="0" vert="horz" wrap="square" lIns="91440" tIns="45720" rIns="91440" bIns="45720" anchor="t" anchorCtr="0" upright="1">
                            <a:noAutofit/>
                          </wps:bodyPr>
                        </wps:wsp>
                        <wps:wsp>
                          <wps:cNvPr id="663" name="Freeform 1270"/>
                          <wps:cNvSpPr/>
                          <wps:spPr bwMode="auto">
                            <a:xfrm>
                              <a:off x="4830" y="853"/>
                              <a:ext cx="8" cy="16"/>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64" name="Freeform 1271"/>
                          <wps:cNvSpPr/>
                          <wps:spPr bwMode="auto">
                            <a:xfrm>
                              <a:off x="4822" y="853"/>
                              <a:ext cx="8" cy="16"/>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solidFill>
                              <a:srgbClr val="000000"/>
                            </a:solidFill>
                            <a:ln>
                              <a:noFill/>
                            </a:ln>
                          </wps:spPr>
                          <wps:bodyPr rot="0" vert="horz" wrap="square" lIns="91440" tIns="45720" rIns="91440" bIns="45720" anchor="t" anchorCtr="0" upright="1">
                            <a:noAutofit/>
                          </wps:bodyPr>
                        </wps:wsp>
                        <wps:wsp>
                          <wps:cNvPr id="665" name="Freeform 1272"/>
                          <wps:cNvSpPr/>
                          <wps:spPr bwMode="auto">
                            <a:xfrm>
                              <a:off x="4822" y="853"/>
                              <a:ext cx="8" cy="16"/>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66" name="Freeform 1273"/>
                          <wps:cNvSpPr/>
                          <wps:spPr bwMode="auto">
                            <a:xfrm>
                              <a:off x="4816" y="855"/>
                              <a:ext cx="14" cy="14"/>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solidFill>
                              <a:srgbClr val="000000"/>
                            </a:solidFill>
                            <a:ln>
                              <a:noFill/>
                            </a:ln>
                          </wps:spPr>
                          <wps:bodyPr rot="0" vert="horz" wrap="square" lIns="91440" tIns="45720" rIns="91440" bIns="45720" anchor="t" anchorCtr="0" upright="1">
                            <a:noAutofit/>
                          </wps:bodyPr>
                        </wps:wsp>
                        <wps:wsp>
                          <wps:cNvPr id="667" name="Freeform 1274"/>
                          <wps:cNvSpPr/>
                          <wps:spPr bwMode="auto">
                            <a:xfrm>
                              <a:off x="4816" y="855"/>
                              <a:ext cx="14" cy="14"/>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68" name="Freeform 1275"/>
                          <wps:cNvSpPr/>
                          <wps:spPr bwMode="auto">
                            <a:xfrm>
                              <a:off x="4814" y="861"/>
                              <a:ext cx="16" cy="8"/>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solidFill>
                              <a:srgbClr val="000000"/>
                            </a:solidFill>
                            <a:ln>
                              <a:noFill/>
                            </a:ln>
                          </wps:spPr>
                          <wps:bodyPr rot="0" vert="horz" wrap="square" lIns="91440" tIns="45720" rIns="91440" bIns="45720" anchor="t" anchorCtr="0" upright="1">
                            <a:noAutofit/>
                          </wps:bodyPr>
                        </wps:wsp>
                        <wps:wsp>
                          <wps:cNvPr id="669" name="Freeform 1276"/>
                          <wps:cNvSpPr/>
                          <wps:spPr bwMode="auto">
                            <a:xfrm>
                              <a:off x="4814" y="861"/>
                              <a:ext cx="16" cy="8"/>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70" name="Freeform 1277"/>
                          <wps:cNvSpPr/>
                          <wps:spPr bwMode="auto">
                            <a:xfrm>
                              <a:off x="4814" y="869"/>
                              <a:ext cx="16" cy="8"/>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671" name="Freeform 1278"/>
                          <wps:cNvSpPr/>
                          <wps:spPr bwMode="auto">
                            <a:xfrm>
                              <a:off x="4814" y="869"/>
                              <a:ext cx="16" cy="8"/>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72" name="Freeform 1279"/>
                          <wps:cNvSpPr/>
                          <wps:spPr bwMode="auto">
                            <a:xfrm>
                              <a:off x="4816" y="869"/>
                              <a:ext cx="14" cy="14"/>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solidFill>
                              <a:srgbClr val="000000"/>
                            </a:solidFill>
                            <a:ln>
                              <a:noFill/>
                            </a:ln>
                          </wps:spPr>
                          <wps:bodyPr rot="0" vert="horz" wrap="square" lIns="91440" tIns="45720" rIns="91440" bIns="45720" anchor="t" anchorCtr="0" upright="1">
                            <a:noAutofit/>
                          </wps:bodyPr>
                        </wps:wsp>
                        <wps:wsp>
                          <wps:cNvPr id="673" name="Freeform 1280"/>
                          <wps:cNvSpPr/>
                          <wps:spPr bwMode="auto">
                            <a:xfrm>
                              <a:off x="4816" y="869"/>
                              <a:ext cx="14" cy="14"/>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74" name="Freeform 1281"/>
                          <wps:cNvSpPr/>
                          <wps:spPr bwMode="auto">
                            <a:xfrm>
                              <a:off x="4822" y="869"/>
                              <a:ext cx="8" cy="16"/>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solidFill>
                              <a:srgbClr val="000000"/>
                            </a:solidFill>
                            <a:ln>
                              <a:noFill/>
                            </a:ln>
                          </wps:spPr>
                          <wps:bodyPr rot="0" vert="horz" wrap="square" lIns="91440" tIns="45720" rIns="91440" bIns="45720" anchor="t" anchorCtr="0" upright="1">
                            <a:noAutofit/>
                          </wps:bodyPr>
                        </wps:wsp>
                        <wps:wsp>
                          <wps:cNvPr id="675" name="Freeform 1282"/>
                          <wps:cNvSpPr/>
                          <wps:spPr bwMode="auto">
                            <a:xfrm>
                              <a:off x="4822" y="869"/>
                              <a:ext cx="8" cy="16"/>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76" name="Freeform 1283"/>
                          <wps:cNvSpPr/>
                          <wps:spPr bwMode="auto">
                            <a:xfrm>
                              <a:off x="4830" y="869"/>
                              <a:ext cx="8" cy="16"/>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677" name="Freeform 1284"/>
                          <wps:cNvSpPr/>
                          <wps:spPr bwMode="auto">
                            <a:xfrm>
                              <a:off x="4830" y="869"/>
                              <a:ext cx="8" cy="16"/>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78" name="Freeform 1285"/>
                          <wps:cNvSpPr/>
                          <wps:spPr bwMode="auto">
                            <a:xfrm>
                              <a:off x="4830" y="869"/>
                              <a:ext cx="14" cy="14"/>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solidFill>
                              <a:srgbClr val="000000"/>
                            </a:solidFill>
                            <a:ln>
                              <a:noFill/>
                            </a:ln>
                          </wps:spPr>
                          <wps:bodyPr rot="0" vert="horz" wrap="square" lIns="91440" tIns="45720" rIns="91440" bIns="45720" anchor="t" anchorCtr="0" upright="1">
                            <a:noAutofit/>
                          </wps:bodyPr>
                        </wps:wsp>
                        <wps:wsp>
                          <wps:cNvPr id="679" name="Freeform 1286"/>
                          <wps:cNvSpPr/>
                          <wps:spPr bwMode="auto">
                            <a:xfrm>
                              <a:off x="4830" y="869"/>
                              <a:ext cx="14" cy="14"/>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80" name="Freeform 1287"/>
                          <wps:cNvSpPr/>
                          <wps:spPr bwMode="auto">
                            <a:xfrm>
                              <a:off x="4830" y="869"/>
                              <a:ext cx="16" cy="8"/>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solidFill>
                              <a:srgbClr val="000000"/>
                            </a:solidFill>
                            <a:ln>
                              <a:noFill/>
                            </a:ln>
                          </wps:spPr>
                          <wps:bodyPr rot="0" vert="horz" wrap="square" lIns="91440" tIns="45720" rIns="91440" bIns="45720" anchor="t" anchorCtr="0" upright="1">
                            <a:noAutofit/>
                          </wps:bodyPr>
                        </wps:wsp>
                        <wps:wsp>
                          <wps:cNvPr id="681" name="Freeform 1288"/>
                          <wps:cNvSpPr/>
                          <wps:spPr bwMode="auto">
                            <a:xfrm>
                              <a:off x="4830" y="869"/>
                              <a:ext cx="16" cy="8"/>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82" name="Freeform 1289"/>
                          <wps:cNvSpPr/>
                          <wps:spPr bwMode="auto">
                            <a:xfrm>
                              <a:off x="5101" y="855"/>
                              <a:ext cx="16" cy="4"/>
                            </a:xfrm>
                            <a:custGeom>
                              <a:avLst/>
                              <a:gdLst>
                                <a:gd name="T0" fmla="*/ 16 w 16"/>
                                <a:gd name="T1" fmla="*/ 4 h 4"/>
                                <a:gd name="T2" fmla="*/ 16 w 16"/>
                                <a:gd name="T3" fmla="*/ 0 h 4"/>
                                <a:gd name="T4" fmla="*/ 0 w 16"/>
                                <a:gd name="T5" fmla="*/ 4 h 4"/>
                                <a:gd name="T6" fmla="*/ 16 w 16"/>
                                <a:gd name="T7" fmla="*/ 4 h 4"/>
                              </a:gdLst>
                              <a:ahLst/>
                              <a:cxnLst>
                                <a:cxn ang="0">
                                  <a:pos x="T0" y="T1"/>
                                </a:cxn>
                                <a:cxn ang="0">
                                  <a:pos x="T2" y="T3"/>
                                </a:cxn>
                                <a:cxn ang="0">
                                  <a:pos x="T4" y="T5"/>
                                </a:cxn>
                                <a:cxn ang="0">
                                  <a:pos x="T6" y="T7"/>
                                </a:cxn>
                              </a:cxnLst>
                              <a:rect l="0" t="0" r="r" b="b"/>
                              <a:pathLst>
                                <a:path w="16" h="4">
                                  <a:moveTo>
                                    <a:pt x="16" y="4"/>
                                  </a:moveTo>
                                  <a:lnTo>
                                    <a:pt x="16" y="0"/>
                                  </a:lnTo>
                                  <a:lnTo>
                                    <a:pt x="0" y="4"/>
                                  </a:lnTo>
                                  <a:lnTo>
                                    <a:pt x="16" y="4"/>
                                  </a:lnTo>
                                  <a:close/>
                                </a:path>
                              </a:pathLst>
                            </a:custGeom>
                            <a:solidFill>
                              <a:srgbClr val="000000"/>
                            </a:solidFill>
                            <a:ln>
                              <a:noFill/>
                            </a:ln>
                          </wps:spPr>
                          <wps:bodyPr rot="0" vert="horz" wrap="square" lIns="91440" tIns="45720" rIns="91440" bIns="45720" anchor="t" anchorCtr="0" upright="1">
                            <a:noAutofit/>
                          </wps:bodyPr>
                        </wps:wsp>
                        <wps:wsp>
                          <wps:cNvPr id="683" name="Freeform 1290"/>
                          <wps:cNvSpPr/>
                          <wps:spPr bwMode="auto">
                            <a:xfrm>
                              <a:off x="5101" y="855"/>
                              <a:ext cx="16" cy="4"/>
                            </a:xfrm>
                            <a:custGeom>
                              <a:avLst/>
                              <a:gdLst>
                                <a:gd name="T0" fmla="*/ 16 w 16"/>
                                <a:gd name="T1" fmla="*/ 4 h 4"/>
                                <a:gd name="T2" fmla="*/ 16 w 16"/>
                                <a:gd name="T3" fmla="*/ 0 h 4"/>
                                <a:gd name="T4" fmla="*/ 0 w 16"/>
                                <a:gd name="T5" fmla="*/ 4 h 4"/>
                                <a:gd name="T6" fmla="*/ 16 w 16"/>
                                <a:gd name="T7" fmla="*/ 4 h 4"/>
                              </a:gdLst>
                              <a:ahLst/>
                              <a:cxnLst>
                                <a:cxn ang="0">
                                  <a:pos x="T0" y="T1"/>
                                </a:cxn>
                                <a:cxn ang="0">
                                  <a:pos x="T2" y="T3"/>
                                </a:cxn>
                                <a:cxn ang="0">
                                  <a:pos x="T4" y="T5"/>
                                </a:cxn>
                                <a:cxn ang="0">
                                  <a:pos x="T6" y="T7"/>
                                </a:cxn>
                              </a:cxnLst>
                              <a:rect l="0" t="0" r="r" b="b"/>
                              <a:pathLst>
                                <a:path w="16" h="4">
                                  <a:moveTo>
                                    <a:pt x="16" y="4"/>
                                  </a:moveTo>
                                  <a:lnTo>
                                    <a:pt x="16" y="0"/>
                                  </a:lnTo>
                                  <a:lnTo>
                                    <a:pt x="0" y="4"/>
                                  </a:lnTo>
                                  <a:lnTo>
                                    <a:pt x="16"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84" name="Freeform 1291"/>
                          <wps:cNvSpPr/>
                          <wps:spPr bwMode="auto">
                            <a:xfrm>
                              <a:off x="5101" y="851"/>
                              <a:ext cx="16" cy="8"/>
                            </a:xfrm>
                            <a:custGeom>
                              <a:avLst/>
                              <a:gdLst>
                                <a:gd name="T0" fmla="*/ 16 w 16"/>
                                <a:gd name="T1" fmla="*/ 4 h 8"/>
                                <a:gd name="T2" fmla="*/ 14 w 16"/>
                                <a:gd name="T3" fmla="*/ 0 h 8"/>
                                <a:gd name="T4" fmla="*/ 0 w 16"/>
                                <a:gd name="T5" fmla="*/ 8 h 8"/>
                                <a:gd name="T6" fmla="*/ 16 w 16"/>
                                <a:gd name="T7" fmla="*/ 4 h 8"/>
                              </a:gdLst>
                              <a:ahLst/>
                              <a:cxnLst>
                                <a:cxn ang="0">
                                  <a:pos x="T0" y="T1"/>
                                </a:cxn>
                                <a:cxn ang="0">
                                  <a:pos x="T2" y="T3"/>
                                </a:cxn>
                                <a:cxn ang="0">
                                  <a:pos x="T4" y="T5"/>
                                </a:cxn>
                                <a:cxn ang="0">
                                  <a:pos x="T6" y="T7"/>
                                </a:cxn>
                              </a:cxnLst>
                              <a:rect l="0" t="0" r="r" b="b"/>
                              <a:pathLst>
                                <a:path w="16" h="8">
                                  <a:moveTo>
                                    <a:pt x="16" y="4"/>
                                  </a:moveTo>
                                  <a:lnTo>
                                    <a:pt x="14" y="0"/>
                                  </a:lnTo>
                                  <a:lnTo>
                                    <a:pt x="0" y="8"/>
                                  </a:lnTo>
                                  <a:lnTo>
                                    <a:pt x="16" y="4"/>
                                  </a:lnTo>
                                  <a:close/>
                                </a:path>
                              </a:pathLst>
                            </a:custGeom>
                            <a:solidFill>
                              <a:srgbClr val="000000"/>
                            </a:solidFill>
                            <a:ln>
                              <a:noFill/>
                            </a:ln>
                          </wps:spPr>
                          <wps:bodyPr rot="0" vert="horz" wrap="square" lIns="91440" tIns="45720" rIns="91440" bIns="45720" anchor="t" anchorCtr="0" upright="1">
                            <a:noAutofit/>
                          </wps:bodyPr>
                        </wps:wsp>
                        <wps:wsp>
                          <wps:cNvPr id="685" name="Freeform 1292"/>
                          <wps:cNvSpPr/>
                          <wps:spPr bwMode="auto">
                            <a:xfrm>
                              <a:off x="5101" y="851"/>
                              <a:ext cx="16" cy="8"/>
                            </a:xfrm>
                            <a:custGeom>
                              <a:avLst/>
                              <a:gdLst>
                                <a:gd name="T0" fmla="*/ 16 w 16"/>
                                <a:gd name="T1" fmla="*/ 4 h 8"/>
                                <a:gd name="T2" fmla="*/ 14 w 16"/>
                                <a:gd name="T3" fmla="*/ 0 h 8"/>
                                <a:gd name="T4" fmla="*/ 0 w 16"/>
                                <a:gd name="T5" fmla="*/ 8 h 8"/>
                                <a:gd name="T6" fmla="*/ 16 w 16"/>
                                <a:gd name="T7" fmla="*/ 4 h 8"/>
                              </a:gdLst>
                              <a:ahLst/>
                              <a:cxnLst>
                                <a:cxn ang="0">
                                  <a:pos x="T0" y="T1"/>
                                </a:cxn>
                                <a:cxn ang="0">
                                  <a:pos x="T2" y="T3"/>
                                </a:cxn>
                                <a:cxn ang="0">
                                  <a:pos x="T4" y="T5"/>
                                </a:cxn>
                                <a:cxn ang="0">
                                  <a:pos x="T6" y="T7"/>
                                </a:cxn>
                              </a:cxnLst>
                              <a:rect l="0" t="0" r="r" b="b"/>
                              <a:pathLst>
                                <a:path w="16" h="8">
                                  <a:moveTo>
                                    <a:pt x="16" y="4"/>
                                  </a:moveTo>
                                  <a:lnTo>
                                    <a:pt x="14" y="0"/>
                                  </a:lnTo>
                                  <a:lnTo>
                                    <a:pt x="0" y="8"/>
                                  </a:lnTo>
                                  <a:lnTo>
                                    <a:pt x="16"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86" name="Freeform 1293"/>
                          <wps:cNvSpPr/>
                          <wps:spPr bwMode="auto">
                            <a:xfrm>
                              <a:off x="5101" y="847"/>
                              <a:ext cx="14" cy="12"/>
                            </a:xfrm>
                            <a:custGeom>
                              <a:avLst/>
                              <a:gdLst>
                                <a:gd name="T0" fmla="*/ 14 w 14"/>
                                <a:gd name="T1" fmla="*/ 4 h 12"/>
                                <a:gd name="T2" fmla="*/ 12 w 14"/>
                                <a:gd name="T3" fmla="*/ 0 h 12"/>
                                <a:gd name="T4" fmla="*/ 0 w 14"/>
                                <a:gd name="T5" fmla="*/ 12 h 12"/>
                                <a:gd name="T6" fmla="*/ 14 w 14"/>
                                <a:gd name="T7" fmla="*/ 4 h 12"/>
                              </a:gdLst>
                              <a:ahLst/>
                              <a:cxnLst>
                                <a:cxn ang="0">
                                  <a:pos x="T0" y="T1"/>
                                </a:cxn>
                                <a:cxn ang="0">
                                  <a:pos x="T2" y="T3"/>
                                </a:cxn>
                                <a:cxn ang="0">
                                  <a:pos x="T4" y="T5"/>
                                </a:cxn>
                                <a:cxn ang="0">
                                  <a:pos x="T6" y="T7"/>
                                </a:cxn>
                              </a:cxnLst>
                              <a:rect l="0" t="0" r="r" b="b"/>
                              <a:pathLst>
                                <a:path w="14" h="12">
                                  <a:moveTo>
                                    <a:pt x="14" y="4"/>
                                  </a:moveTo>
                                  <a:lnTo>
                                    <a:pt x="12" y="0"/>
                                  </a:lnTo>
                                  <a:lnTo>
                                    <a:pt x="0" y="12"/>
                                  </a:lnTo>
                                  <a:lnTo>
                                    <a:pt x="14" y="4"/>
                                  </a:lnTo>
                                  <a:close/>
                                </a:path>
                              </a:pathLst>
                            </a:custGeom>
                            <a:solidFill>
                              <a:srgbClr val="000000"/>
                            </a:solidFill>
                            <a:ln>
                              <a:noFill/>
                            </a:ln>
                          </wps:spPr>
                          <wps:bodyPr rot="0" vert="horz" wrap="square" lIns="91440" tIns="45720" rIns="91440" bIns="45720" anchor="t" anchorCtr="0" upright="1">
                            <a:noAutofit/>
                          </wps:bodyPr>
                        </wps:wsp>
                        <wps:wsp>
                          <wps:cNvPr id="687" name="Freeform 1294"/>
                          <wps:cNvSpPr/>
                          <wps:spPr bwMode="auto">
                            <a:xfrm>
                              <a:off x="5101" y="847"/>
                              <a:ext cx="14" cy="12"/>
                            </a:xfrm>
                            <a:custGeom>
                              <a:avLst/>
                              <a:gdLst>
                                <a:gd name="T0" fmla="*/ 14 w 14"/>
                                <a:gd name="T1" fmla="*/ 4 h 12"/>
                                <a:gd name="T2" fmla="*/ 12 w 14"/>
                                <a:gd name="T3" fmla="*/ 0 h 12"/>
                                <a:gd name="T4" fmla="*/ 0 w 14"/>
                                <a:gd name="T5" fmla="*/ 12 h 12"/>
                                <a:gd name="T6" fmla="*/ 14 w 14"/>
                                <a:gd name="T7" fmla="*/ 4 h 12"/>
                              </a:gdLst>
                              <a:ahLst/>
                              <a:cxnLst>
                                <a:cxn ang="0">
                                  <a:pos x="T0" y="T1"/>
                                </a:cxn>
                                <a:cxn ang="0">
                                  <a:pos x="T2" y="T3"/>
                                </a:cxn>
                                <a:cxn ang="0">
                                  <a:pos x="T4" y="T5"/>
                                </a:cxn>
                                <a:cxn ang="0">
                                  <a:pos x="T6" y="T7"/>
                                </a:cxn>
                              </a:cxnLst>
                              <a:rect l="0" t="0" r="r" b="b"/>
                              <a:pathLst>
                                <a:path w="14" h="12">
                                  <a:moveTo>
                                    <a:pt x="14" y="4"/>
                                  </a:moveTo>
                                  <a:lnTo>
                                    <a:pt x="12" y="0"/>
                                  </a:lnTo>
                                  <a:lnTo>
                                    <a:pt x="0" y="12"/>
                                  </a:lnTo>
                                  <a:lnTo>
                                    <a:pt x="14"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88" name="Freeform 1295"/>
                          <wps:cNvSpPr/>
                          <wps:spPr bwMode="auto">
                            <a:xfrm>
                              <a:off x="5101" y="845"/>
                              <a:ext cx="12" cy="14"/>
                            </a:xfrm>
                            <a:custGeom>
                              <a:avLst/>
                              <a:gdLst>
                                <a:gd name="T0" fmla="*/ 12 w 12"/>
                                <a:gd name="T1" fmla="*/ 2 h 14"/>
                                <a:gd name="T2" fmla="*/ 8 w 12"/>
                                <a:gd name="T3" fmla="*/ 0 h 14"/>
                                <a:gd name="T4" fmla="*/ 0 w 12"/>
                                <a:gd name="T5" fmla="*/ 14 h 14"/>
                                <a:gd name="T6" fmla="*/ 12 w 12"/>
                                <a:gd name="T7" fmla="*/ 2 h 14"/>
                              </a:gdLst>
                              <a:ahLst/>
                              <a:cxnLst>
                                <a:cxn ang="0">
                                  <a:pos x="T0" y="T1"/>
                                </a:cxn>
                                <a:cxn ang="0">
                                  <a:pos x="T2" y="T3"/>
                                </a:cxn>
                                <a:cxn ang="0">
                                  <a:pos x="T4" y="T5"/>
                                </a:cxn>
                                <a:cxn ang="0">
                                  <a:pos x="T6" y="T7"/>
                                </a:cxn>
                              </a:cxnLst>
                              <a:rect l="0" t="0" r="r" b="b"/>
                              <a:pathLst>
                                <a:path w="12" h="14">
                                  <a:moveTo>
                                    <a:pt x="12" y="2"/>
                                  </a:moveTo>
                                  <a:lnTo>
                                    <a:pt x="8" y="0"/>
                                  </a:lnTo>
                                  <a:lnTo>
                                    <a:pt x="0" y="14"/>
                                  </a:lnTo>
                                  <a:lnTo>
                                    <a:pt x="12" y="2"/>
                                  </a:lnTo>
                                  <a:close/>
                                </a:path>
                              </a:pathLst>
                            </a:custGeom>
                            <a:solidFill>
                              <a:srgbClr val="000000"/>
                            </a:solidFill>
                            <a:ln>
                              <a:noFill/>
                            </a:ln>
                          </wps:spPr>
                          <wps:bodyPr rot="0" vert="horz" wrap="square" lIns="91440" tIns="45720" rIns="91440" bIns="45720" anchor="t" anchorCtr="0" upright="1">
                            <a:noAutofit/>
                          </wps:bodyPr>
                        </wps:wsp>
                        <wps:wsp>
                          <wps:cNvPr id="689" name="Freeform 1296"/>
                          <wps:cNvSpPr/>
                          <wps:spPr bwMode="auto">
                            <a:xfrm>
                              <a:off x="5101" y="845"/>
                              <a:ext cx="12" cy="14"/>
                            </a:xfrm>
                            <a:custGeom>
                              <a:avLst/>
                              <a:gdLst>
                                <a:gd name="T0" fmla="*/ 12 w 12"/>
                                <a:gd name="T1" fmla="*/ 2 h 14"/>
                                <a:gd name="T2" fmla="*/ 8 w 12"/>
                                <a:gd name="T3" fmla="*/ 0 h 14"/>
                                <a:gd name="T4" fmla="*/ 0 w 12"/>
                                <a:gd name="T5" fmla="*/ 14 h 14"/>
                                <a:gd name="T6" fmla="*/ 12 w 12"/>
                                <a:gd name="T7" fmla="*/ 2 h 14"/>
                              </a:gdLst>
                              <a:ahLst/>
                              <a:cxnLst>
                                <a:cxn ang="0">
                                  <a:pos x="T0" y="T1"/>
                                </a:cxn>
                                <a:cxn ang="0">
                                  <a:pos x="T2" y="T3"/>
                                </a:cxn>
                                <a:cxn ang="0">
                                  <a:pos x="T4" y="T5"/>
                                </a:cxn>
                                <a:cxn ang="0">
                                  <a:pos x="T6" y="T7"/>
                                </a:cxn>
                              </a:cxnLst>
                              <a:rect l="0" t="0" r="r" b="b"/>
                              <a:pathLst>
                                <a:path w="12" h="14">
                                  <a:moveTo>
                                    <a:pt x="12" y="2"/>
                                  </a:moveTo>
                                  <a:lnTo>
                                    <a:pt x="8" y="0"/>
                                  </a:lnTo>
                                  <a:lnTo>
                                    <a:pt x="0" y="14"/>
                                  </a:lnTo>
                                  <a:lnTo>
                                    <a:pt x="12" y="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90" name="Freeform 1297"/>
                          <wps:cNvSpPr/>
                          <wps:spPr bwMode="auto">
                            <a:xfrm>
                              <a:off x="5101" y="843"/>
                              <a:ext cx="8" cy="16"/>
                            </a:xfrm>
                            <a:custGeom>
                              <a:avLst/>
                              <a:gdLst>
                                <a:gd name="T0" fmla="*/ 8 w 8"/>
                                <a:gd name="T1" fmla="*/ 2 h 16"/>
                                <a:gd name="T2" fmla="*/ 4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4" y="0"/>
                                  </a:lnTo>
                                  <a:lnTo>
                                    <a:pt x="0" y="16"/>
                                  </a:lnTo>
                                  <a:lnTo>
                                    <a:pt x="8" y="2"/>
                                  </a:lnTo>
                                  <a:close/>
                                </a:path>
                              </a:pathLst>
                            </a:custGeom>
                            <a:solidFill>
                              <a:srgbClr val="000000"/>
                            </a:solidFill>
                            <a:ln>
                              <a:noFill/>
                            </a:ln>
                          </wps:spPr>
                          <wps:bodyPr rot="0" vert="horz" wrap="square" lIns="91440" tIns="45720" rIns="91440" bIns="45720" anchor="t" anchorCtr="0" upright="1">
                            <a:noAutofit/>
                          </wps:bodyPr>
                        </wps:wsp>
                        <wps:wsp>
                          <wps:cNvPr id="691" name="Freeform 1298"/>
                          <wps:cNvSpPr/>
                          <wps:spPr bwMode="auto">
                            <a:xfrm>
                              <a:off x="5101" y="843"/>
                              <a:ext cx="8" cy="16"/>
                            </a:xfrm>
                            <a:custGeom>
                              <a:avLst/>
                              <a:gdLst>
                                <a:gd name="T0" fmla="*/ 8 w 8"/>
                                <a:gd name="T1" fmla="*/ 2 h 16"/>
                                <a:gd name="T2" fmla="*/ 4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4" y="0"/>
                                  </a:lnTo>
                                  <a:lnTo>
                                    <a:pt x="0" y="16"/>
                                  </a:lnTo>
                                  <a:lnTo>
                                    <a:pt x="8" y="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92" name="Freeform 1299"/>
                          <wps:cNvSpPr/>
                          <wps:spPr bwMode="auto">
                            <a:xfrm>
                              <a:off x="5101" y="843"/>
                              <a:ext cx="4" cy="16"/>
                            </a:xfrm>
                            <a:custGeom>
                              <a:avLst/>
                              <a:gdLst>
                                <a:gd name="T0" fmla="*/ 4 w 4"/>
                                <a:gd name="T1" fmla="*/ 0 h 16"/>
                                <a:gd name="T2" fmla="*/ 0 w 4"/>
                                <a:gd name="T3" fmla="*/ 0 h 16"/>
                                <a:gd name="T4" fmla="*/ 0 w 4"/>
                                <a:gd name="T5" fmla="*/ 16 h 16"/>
                                <a:gd name="T6" fmla="*/ 4 w 4"/>
                                <a:gd name="T7" fmla="*/ 0 h 16"/>
                              </a:gdLst>
                              <a:ahLst/>
                              <a:cxnLst>
                                <a:cxn ang="0">
                                  <a:pos x="T0" y="T1"/>
                                </a:cxn>
                                <a:cxn ang="0">
                                  <a:pos x="T2" y="T3"/>
                                </a:cxn>
                                <a:cxn ang="0">
                                  <a:pos x="T4" y="T5"/>
                                </a:cxn>
                                <a:cxn ang="0">
                                  <a:pos x="T6" y="T7"/>
                                </a:cxn>
                              </a:cxnLst>
                              <a:rect l="0" t="0" r="r" b="b"/>
                              <a:pathLst>
                                <a:path w="4" h="16">
                                  <a:moveTo>
                                    <a:pt x="4" y="0"/>
                                  </a:moveTo>
                                  <a:lnTo>
                                    <a:pt x="0" y="0"/>
                                  </a:lnTo>
                                  <a:lnTo>
                                    <a:pt x="0" y="16"/>
                                  </a:lnTo>
                                  <a:lnTo>
                                    <a:pt x="4" y="0"/>
                                  </a:lnTo>
                                  <a:close/>
                                </a:path>
                              </a:pathLst>
                            </a:custGeom>
                            <a:solidFill>
                              <a:srgbClr val="000000"/>
                            </a:solidFill>
                            <a:ln>
                              <a:noFill/>
                            </a:ln>
                          </wps:spPr>
                          <wps:bodyPr rot="0" vert="horz" wrap="square" lIns="91440" tIns="45720" rIns="91440" bIns="45720" anchor="t" anchorCtr="0" upright="1">
                            <a:noAutofit/>
                          </wps:bodyPr>
                        </wps:wsp>
                        <wps:wsp>
                          <wps:cNvPr id="693" name="Freeform 1300"/>
                          <wps:cNvSpPr/>
                          <wps:spPr bwMode="auto">
                            <a:xfrm>
                              <a:off x="5101" y="843"/>
                              <a:ext cx="4" cy="16"/>
                            </a:xfrm>
                            <a:custGeom>
                              <a:avLst/>
                              <a:gdLst>
                                <a:gd name="T0" fmla="*/ 4 w 4"/>
                                <a:gd name="T1" fmla="*/ 0 h 16"/>
                                <a:gd name="T2" fmla="*/ 0 w 4"/>
                                <a:gd name="T3" fmla="*/ 0 h 16"/>
                                <a:gd name="T4" fmla="*/ 0 w 4"/>
                                <a:gd name="T5" fmla="*/ 16 h 16"/>
                                <a:gd name="T6" fmla="*/ 4 w 4"/>
                                <a:gd name="T7" fmla="*/ 0 h 16"/>
                              </a:gdLst>
                              <a:ahLst/>
                              <a:cxnLst>
                                <a:cxn ang="0">
                                  <a:pos x="T0" y="T1"/>
                                </a:cxn>
                                <a:cxn ang="0">
                                  <a:pos x="T2" y="T3"/>
                                </a:cxn>
                                <a:cxn ang="0">
                                  <a:pos x="T4" y="T5"/>
                                </a:cxn>
                                <a:cxn ang="0">
                                  <a:pos x="T6" y="T7"/>
                                </a:cxn>
                              </a:cxnLst>
                              <a:rect l="0" t="0" r="r" b="b"/>
                              <a:pathLst>
                                <a:path w="4" h="16">
                                  <a:moveTo>
                                    <a:pt x="4" y="0"/>
                                  </a:moveTo>
                                  <a:lnTo>
                                    <a:pt x="0" y="0"/>
                                  </a:lnTo>
                                  <a:lnTo>
                                    <a:pt x="0" y="16"/>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94" name="Freeform 1301"/>
                          <wps:cNvSpPr/>
                          <wps:spPr bwMode="auto">
                            <a:xfrm>
                              <a:off x="5097" y="843"/>
                              <a:ext cx="4" cy="16"/>
                            </a:xfrm>
                            <a:custGeom>
                              <a:avLst/>
                              <a:gdLst>
                                <a:gd name="T0" fmla="*/ 4 w 4"/>
                                <a:gd name="T1" fmla="*/ 0 h 16"/>
                                <a:gd name="T2" fmla="*/ 0 w 4"/>
                                <a:gd name="T3" fmla="*/ 0 h 16"/>
                                <a:gd name="T4" fmla="*/ 4 w 4"/>
                                <a:gd name="T5" fmla="*/ 16 h 16"/>
                                <a:gd name="T6" fmla="*/ 4 w 4"/>
                                <a:gd name="T7" fmla="*/ 0 h 16"/>
                              </a:gdLst>
                              <a:ahLst/>
                              <a:cxnLst>
                                <a:cxn ang="0">
                                  <a:pos x="T0" y="T1"/>
                                </a:cxn>
                                <a:cxn ang="0">
                                  <a:pos x="T2" y="T3"/>
                                </a:cxn>
                                <a:cxn ang="0">
                                  <a:pos x="T4" y="T5"/>
                                </a:cxn>
                                <a:cxn ang="0">
                                  <a:pos x="T6" y="T7"/>
                                </a:cxn>
                              </a:cxnLst>
                              <a:rect l="0" t="0" r="r" b="b"/>
                              <a:pathLst>
                                <a:path w="4" h="16">
                                  <a:moveTo>
                                    <a:pt x="4" y="0"/>
                                  </a:moveTo>
                                  <a:lnTo>
                                    <a:pt x="0" y="0"/>
                                  </a:lnTo>
                                  <a:lnTo>
                                    <a:pt x="4" y="16"/>
                                  </a:lnTo>
                                  <a:lnTo>
                                    <a:pt x="4" y="0"/>
                                  </a:lnTo>
                                  <a:close/>
                                </a:path>
                              </a:pathLst>
                            </a:custGeom>
                            <a:solidFill>
                              <a:srgbClr val="000000"/>
                            </a:solidFill>
                            <a:ln>
                              <a:noFill/>
                            </a:ln>
                          </wps:spPr>
                          <wps:bodyPr rot="0" vert="horz" wrap="square" lIns="91440" tIns="45720" rIns="91440" bIns="45720" anchor="t" anchorCtr="0" upright="1">
                            <a:noAutofit/>
                          </wps:bodyPr>
                        </wps:wsp>
                        <wps:wsp>
                          <wps:cNvPr id="695" name="Freeform 1302"/>
                          <wps:cNvSpPr/>
                          <wps:spPr bwMode="auto">
                            <a:xfrm>
                              <a:off x="5097" y="843"/>
                              <a:ext cx="4" cy="16"/>
                            </a:xfrm>
                            <a:custGeom>
                              <a:avLst/>
                              <a:gdLst>
                                <a:gd name="T0" fmla="*/ 4 w 4"/>
                                <a:gd name="T1" fmla="*/ 0 h 16"/>
                                <a:gd name="T2" fmla="*/ 0 w 4"/>
                                <a:gd name="T3" fmla="*/ 0 h 16"/>
                                <a:gd name="T4" fmla="*/ 4 w 4"/>
                                <a:gd name="T5" fmla="*/ 16 h 16"/>
                                <a:gd name="T6" fmla="*/ 4 w 4"/>
                                <a:gd name="T7" fmla="*/ 0 h 16"/>
                              </a:gdLst>
                              <a:ahLst/>
                              <a:cxnLst>
                                <a:cxn ang="0">
                                  <a:pos x="T0" y="T1"/>
                                </a:cxn>
                                <a:cxn ang="0">
                                  <a:pos x="T2" y="T3"/>
                                </a:cxn>
                                <a:cxn ang="0">
                                  <a:pos x="T4" y="T5"/>
                                </a:cxn>
                                <a:cxn ang="0">
                                  <a:pos x="T6" y="T7"/>
                                </a:cxn>
                              </a:cxnLst>
                              <a:rect l="0" t="0" r="r" b="b"/>
                              <a:pathLst>
                                <a:path w="4" h="16">
                                  <a:moveTo>
                                    <a:pt x="4" y="0"/>
                                  </a:moveTo>
                                  <a:lnTo>
                                    <a:pt x="0" y="0"/>
                                  </a:lnTo>
                                  <a:lnTo>
                                    <a:pt x="4" y="16"/>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96" name="Freeform 1303"/>
                          <wps:cNvSpPr/>
                          <wps:spPr bwMode="auto">
                            <a:xfrm>
                              <a:off x="5093" y="843"/>
                              <a:ext cx="8" cy="16"/>
                            </a:xfrm>
                            <a:custGeom>
                              <a:avLst/>
                              <a:gdLst>
                                <a:gd name="T0" fmla="*/ 4 w 8"/>
                                <a:gd name="T1" fmla="*/ 0 h 16"/>
                                <a:gd name="T2" fmla="*/ 0 w 8"/>
                                <a:gd name="T3" fmla="*/ 2 h 16"/>
                                <a:gd name="T4" fmla="*/ 8 w 8"/>
                                <a:gd name="T5" fmla="*/ 16 h 16"/>
                                <a:gd name="T6" fmla="*/ 4 w 8"/>
                                <a:gd name="T7" fmla="*/ 0 h 16"/>
                              </a:gdLst>
                              <a:ahLst/>
                              <a:cxnLst>
                                <a:cxn ang="0">
                                  <a:pos x="T0" y="T1"/>
                                </a:cxn>
                                <a:cxn ang="0">
                                  <a:pos x="T2" y="T3"/>
                                </a:cxn>
                                <a:cxn ang="0">
                                  <a:pos x="T4" y="T5"/>
                                </a:cxn>
                                <a:cxn ang="0">
                                  <a:pos x="T6" y="T7"/>
                                </a:cxn>
                              </a:cxnLst>
                              <a:rect l="0" t="0" r="r" b="b"/>
                              <a:pathLst>
                                <a:path w="8" h="16">
                                  <a:moveTo>
                                    <a:pt x="4" y="0"/>
                                  </a:moveTo>
                                  <a:lnTo>
                                    <a:pt x="0" y="2"/>
                                  </a:lnTo>
                                  <a:lnTo>
                                    <a:pt x="8" y="16"/>
                                  </a:lnTo>
                                  <a:lnTo>
                                    <a:pt x="4" y="0"/>
                                  </a:lnTo>
                                  <a:close/>
                                </a:path>
                              </a:pathLst>
                            </a:custGeom>
                            <a:solidFill>
                              <a:srgbClr val="000000"/>
                            </a:solidFill>
                            <a:ln>
                              <a:noFill/>
                            </a:ln>
                          </wps:spPr>
                          <wps:bodyPr rot="0" vert="horz" wrap="square" lIns="91440" tIns="45720" rIns="91440" bIns="45720" anchor="t" anchorCtr="0" upright="1">
                            <a:noAutofit/>
                          </wps:bodyPr>
                        </wps:wsp>
                        <wps:wsp>
                          <wps:cNvPr id="697" name="Freeform 1304"/>
                          <wps:cNvSpPr/>
                          <wps:spPr bwMode="auto">
                            <a:xfrm>
                              <a:off x="5093" y="843"/>
                              <a:ext cx="8" cy="16"/>
                            </a:xfrm>
                            <a:custGeom>
                              <a:avLst/>
                              <a:gdLst>
                                <a:gd name="T0" fmla="*/ 4 w 8"/>
                                <a:gd name="T1" fmla="*/ 0 h 16"/>
                                <a:gd name="T2" fmla="*/ 0 w 8"/>
                                <a:gd name="T3" fmla="*/ 2 h 16"/>
                                <a:gd name="T4" fmla="*/ 8 w 8"/>
                                <a:gd name="T5" fmla="*/ 16 h 16"/>
                                <a:gd name="T6" fmla="*/ 4 w 8"/>
                                <a:gd name="T7" fmla="*/ 0 h 16"/>
                              </a:gdLst>
                              <a:ahLst/>
                              <a:cxnLst>
                                <a:cxn ang="0">
                                  <a:pos x="T0" y="T1"/>
                                </a:cxn>
                                <a:cxn ang="0">
                                  <a:pos x="T2" y="T3"/>
                                </a:cxn>
                                <a:cxn ang="0">
                                  <a:pos x="T4" y="T5"/>
                                </a:cxn>
                                <a:cxn ang="0">
                                  <a:pos x="T6" y="T7"/>
                                </a:cxn>
                              </a:cxnLst>
                              <a:rect l="0" t="0" r="r" b="b"/>
                              <a:pathLst>
                                <a:path w="8" h="16">
                                  <a:moveTo>
                                    <a:pt x="4" y="0"/>
                                  </a:moveTo>
                                  <a:lnTo>
                                    <a:pt x="0" y="2"/>
                                  </a:lnTo>
                                  <a:lnTo>
                                    <a:pt x="8" y="16"/>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698" name="Freeform 1305"/>
                          <wps:cNvSpPr/>
                          <wps:spPr bwMode="auto">
                            <a:xfrm>
                              <a:off x="5089" y="845"/>
                              <a:ext cx="12" cy="14"/>
                            </a:xfrm>
                            <a:custGeom>
                              <a:avLst/>
                              <a:gdLst>
                                <a:gd name="T0" fmla="*/ 4 w 12"/>
                                <a:gd name="T1" fmla="*/ 0 h 14"/>
                                <a:gd name="T2" fmla="*/ 0 w 12"/>
                                <a:gd name="T3" fmla="*/ 2 h 14"/>
                                <a:gd name="T4" fmla="*/ 12 w 12"/>
                                <a:gd name="T5" fmla="*/ 14 h 14"/>
                                <a:gd name="T6" fmla="*/ 4 w 12"/>
                                <a:gd name="T7" fmla="*/ 0 h 14"/>
                              </a:gdLst>
                              <a:ahLst/>
                              <a:cxnLst>
                                <a:cxn ang="0">
                                  <a:pos x="T0" y="T1"/>
                                </a:cxn>
                                <a:cxn ang="0">
                                  <a:pos x="T2" y="T3"/>
                                </a:cxn>
                                <a:cxn ang="0">
                                  <a:pos x="T4" y="T5"/>
                                </a:cxn>
                                <a:cxn ang="0">
                                  <a:pos x="T6" y="T7"/>
                                </a:cxn>
                              </a:cxnLst>
                              <a:rect l="0" t="0" r="r" b="b"/>
                              <a:pathLst>
                                <a:path w="12" h="14">
                                  <a:moveTo>
                                    <a:pt x="4" y="0"/>
                                  </a:moveTo>
                                  <a:lnTo>
                                    <a:pt x="0" y="2"/>
                                  </a:lnTo>
                                  <a:lnTo>
                                    <a:pt x="12" y="14"/>
                                  </a:lnTo>
                                  <a:lnTo>
                                    <a:pt x="4" y="0"/>
                                  </a:lnTo>
                                  <a:close/>
                                </a:path>
                              </a:pathLst>
                            </a:custGeom>
                            <a:solidFill>
                              <a:srgbClr val="000000"/>
                            </a:solidFill>
                            <a:ln>
                              <a:noFill/>
                            </a:ln>
                          </wps:spPr>
                          <wps:bodyPr rot="0" vert="horz" wrap="square" lIns="91440" tIns="45720" rIns="91440" bIns="45720" anchor="t" anchorCtr="0" upright="1">
                            <a:noAutofit/>
                          </wps:bodyPr>
                        </wps:wsp>
                        <wps:wsp>
                          <wps:cNvPr id="699" name="Freeform 1306"/>
                          <wps:cNvSpPr/>
                          <wps:spPr bwMode="auto">
                            <a:xfrm>
                              <a:off x="5089" y="845"/>
                              <a:ext cx="12" cy="14"/>
                            </a:xfrm>
                            <a:custGeom>
                              <a:avLst/>
                              <a:gdLst>
                                <a:gd name="T0" fmla="*/ 4 w 12"/>
                                <a:gd name="T1" fmla="*/ 0 h 14"/>
                                <a:gd name="T2" fmla="*/ 0 w 12"/>
                                <a:gd name="T3" fmla="*/ 2 h 14"/>
                                <a:gd name="T4" fmla="*/ 12 w 12"/>
                                <a:gd name="T5" fmla="*/ 14 h 14"/>
                                <a:gd name="T6" fmla="*/ 4 w 12"/>
                                <a:gd name="T7" fmla="*/ 0 h 14"/>
                              </a:gdLst>
                              <a:ahLst/>
                              <a:cxnLst>
                                <a:cxn ang="0">
                                  <a:pos x="T0" y="T1"/>
                                </a:cxn>
                                <a:cxn ang="0">
                                  <a:pos x="T2" y="T3"/>
                                </a:cxn>
                                <a:cxn ang="0">
                                  <a:pos x="T4" y="T5"/>
                                </a:cxn>
                                <a:cxn ang="0">
                                  <a:pos x="T6" y="T7"/>
                                </a:cxn>
                              </a:cxnLst>
                              <a:rect l="0" t="0" r="r" b="b"/>
                              <a:pathLst>
                                <a:path w="12" h="14">
                                  <a:moveTo>
                                    <a:pt x="4" y="0"/>
                                  </a:moveTo>
                                  <a:lnTo>
                                    <a:pt x="0" y="2"/>
                                  </a:lnTo>
                                  <a:lnTo>
                                    <a:pt x="12" y="14"/>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00" name="Freeform 1307"/>
                          <wps:cNvSpPr/>
                          <wps:spPr bwMode="auto">
                            <a:xfrm>
                              <a:off x="5087" y="847"/>
                              <a:ext cx="14" cy="12"/>
                            </a:xfrm>
                            <a:custGeom>
                              <a:avLst/>
                              <a:gdLst>
                                <a:gd name="T0" fmla="*/ 2 w 14"/>
                                <a:gd name="T1" fmla="*/ 0 h 12"/>
                                <a:gd name="T2" fmla="*/ 0 w 14"/>
                                <a:gd name="T3" fmla="*/ 4 h 12"/>
                                <a:gd name="T4" fmla="*/ 14 w 14"/>
                                <a:gd name="T5" fmla="*/ 12 h 12"/>
                                <a:gd name="T6" fmla="*/ 2 w 14"/>
                                <a:gd name="T7" fmla="*/ 0 h 12"/>
                              </a:gdLst>
                              <a:ahLst/>
                              <a:cxnLst>
                                <a:cxn ang="0">
                                  <a:pos x="T0" y="T1"/>
                                </a:cxn>
                                <a:cxn ang="0">
                                  <a:pos x="T2" y="T3"/>
                                </a:cxn>
                                <a:cxn ang="0">
                                  <a:pos x="T4" y="T5"/>
                                </a:cxn>
                                <a:cxn ang="0">
                                  <a:pos x="T6" y="T7"/>
                                </a:cxn>
                              </a:cxnLst>
                              <a:rect l="0" t="0" r="r" b="b"/>
                              <a:pathLst>
                                <a:path w="14" h="12">
                                  <a:moveTo>
                                    <a:pt x="2" y="0"/>
                                  </a:moveTo>
                                  <a:lnTo>
                                    <a:pt x="0" y="4"/>
                                  </a:lnTo>
                                  <a:lnTo>
                                    <a:pt x="14" y="12"/>
                                  </a:lnTo>
                                  <a:lnTo>
                                    <a:pt x="2" y="0"/>
                                  </a:lnTo>
                                  <a:close/>
                                </a:path>
                              </a:pathLst>
                            </a:custGeom>
                            <a:solidFill>
                              <a:srgbClr val="000000"/>
                            </a:solidFill>
                            <a:ln>
                              <a:noFill/>
                            </a:ln>
                          </wps:spPr>
                          <wps:bodyPr rot="0" vert="horz" wrap="square" lIns="91440" tIns="45720" rIns="91440" bIns="45720" anchor="t" anchorCtr="0" upright="1">
                            <a:noAutofit/>
                          </wps:bodyPr>
                        </wps:wsp>
                        <wps:wsp>
                          <wps:cNvPr id="701" name="Freeform 1308"/>
                          <wps:cNvSpPr/>
                          <wps:spPr bwMode="auto">
                            <a:xfrm>
                              <a:off x="5087" y="847"/>
                              <a:ext cx="14" cy="12"/>
                            </a:xfrm>
                            <a:custGeom>
                              <a:avLst/>
                              <a:gdLst>
                                <a:gd name="T0" fmla="*/ 2 w 14"/>
                                <a:gd name="T1" fmla="*/ 0 h 12"/>
                                <a:gd name="T2" fmla="*/ 0 w 14"/>
                                <a:gd name="T3" fmla="*/ 4 h 12"/>
                                <a:gd name="T4" fmla="*/ 14 w 14"/>
                                <a:gd name="T5" fmla="*/ 12 h 12"/>
                                <a:gd name="T6" fmla="*/ 2 w 14"/>
                                <a:gd name="T7" fmla="*/ 0 h 12"/>
                              </a:gdLst>
                              <a:ahLst/>
                              <a:cxnLst>
                                <a:cxn ang="0">
                                  <a:pos x="T0" y="T1"/>
                                </a:cxn>
                                <a:cxn ang="0">
                                  <a:pos x="T2" y="T3"/>
                                </a:cxn>
                                <a:cxn ang="0">
                                  <a:pos x="T4" y="T5"/>
                                </a:cxn>
                                <a:cxn ang="0">
                                  <a:pos x="T6" y="T7"/>
                                </a:cxn>
                              </a:cxnLst>
                              <a:rect l="0" t="0" r="r" b="b"/>
                              <a:pathLst>
                                <a:path w="14" h="12">
                                  <a:moveTo>
                                    <a:pt x="2" y="0"/>
                                  </a:moveTo>
                                  <a:lnTo>
                                    <a:pt x="0" y="4"/>
                                  </a:lnTo>
                                  <a:lnTo>
                                    <a:pt x="14" y="12"/>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02" name="Freeform 1309"/>
                          <wps:cNvSpPr/>
                          <wps:spPr bwMode="auto">
                            <a:xfrm>
                              <a:off x="5085" y="851"/>
                              <a:ext cx="16" cy="8"/>
                            </a:xfrm>
                            <a:custGeom>
                              <a:avLst/>
                              <a:gdLst>
                                <a:gd name="T0" fmla="*/ 2 w 16"/>
                                <a:gd name="T1" fmla="*/ 0 h 8"/>
                                <a:gd name="T2" fmla="*/ 0 w 16"/>
                                <a:gd name="T3" fmla="*/ 4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4"/>
                                  </a:lnTo>
                                  <a:lnTo>
                                    <a:pt x="16" y="8"/>
                                  </a:lnTo>
                                  <a:lnTo>
                                    <a:pt x="2" y="0"/>
                                  </a:lnTo>
                                  <a:close/>
                                </a:path>
                              </a:pathLst>
                            </a:custGeom>
                            <a:solidFill>
                              <a:srgbClr val="000000"/>
                            </a:solidFill>
                            <a:ln>
                              <a:noFill/>
                            </a:ln>
                          </wps:spPr>
                          <wps:bodyPr rot="0" vert="horz" wrap="square" lIns="91440" tIns="45720" rIns="91440" bIns="45720" anchor="t" anchorCtr="0" upright="1">
                            <a:noAutofit/>
                          </wps:bodyPr>
                        </wps:wsp>
                        <wps:wsp>
                          <wps:cNvPr id="703" name="Freeform 1310"/>
                          <wps:cNvSpPr/>
                          <wps:spPr bwMode="auto">
                            <a:xfrm>
                              <a:off x="5085" y="851"/>
                              <a:ext cx="16" cy="8"/>
                            </a:xfrm>
                            <a:custGeom>
                              <a:avLst/>
                              <a:gdLst>
                                <a:gd name="T0" fmla="*/ 2 w 16"/>
                                <a:gd name="T1" fmla="*/ 0 h 8"/>
                                <a:gd name="T2" fmla="*/ 0 w 16"/>
                                <a:gd name="T3" fmla="*/ 4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4"/>
                                  </a:lnTo>
                                  <a:lnTo>
                                    <a:pt x="16" y="8"/>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04" name="Freeform 1311"/>
                          <wps:cNvSpPr/>
                          <wps:spPr bwMode="auto">
                            <a:xfrm>
                              <a:off x="5085" y="855"/>
                              <a:ext cx="16" cy="4"/>
                            </a:xfrm>
                            <a:custGeom>
                              <a:avLst/>
                              <a:gdLst>
                                <a:gd name="T0" fmla="*/ 0 w 16"/>
                                <a:gd name="T1" fmla="*/ 0 h 4"/>
                                <a:gd name="T2" fmla="*/ 0 w 16"/>
                                <a:gd name="T3" fmla="*/ 4 h 4"/>
                                <a:gd name="T4" fmla="*/ 16 w 16"/>
                                <a:gd name="T5" fmla="*/ 4 h 4"/>
                                <a:gd name="T6" fmla="*/ 0 w 16"/>
                                <a:gd name="T7" fmla="*/ 0 h 4"/>
                              </a:gdLst>
                              <a:ahLst/>
                              <a:cxnLst>
                                <a:cxn ang="0">
                                  <a:pos x="T0" y="T1"/>
                                </a:cxn>
                                <a:cxn ang="0">
                                  <a:pos x="T2" y="T3"/>
                                </a:cxn>
                                <a:cxn ang="0">
                                  <a:pos x="T4" y="T5"/>
                                </a:cxn>
                                <a:cxn ang="0">
                                  <a:pos x="T6" y="T7"/>
                                </a:cxn>
                              </a:cxnLst>
                              <a:rect l="0" t="0" r="r" b="b"/>
                              <a:pathLst>
                                <a:path w="16" h="4">
                                  <a:moveTo>
                                    <a:pt x="0" y="0"/>
                                  </a:moveTo>
                                  <a:lnTo>
                                    <a:pt x="0" y="4"/>
                                  </a:lnTo>
                                  <a:lnTo>
                                    <a:pt x="16" y="4"/>
                                  </a:lnTo>
                                  <a:lnTo>
                                    <a:pt x="0" y="0"/>
                                  </a:lnTo>
                                  <a:close/>
                                </a:path>
                              </a:pathLst>
                            </a:custGeom>
                            <a:solidFill>
                              <a:srgbClr val="000000"/>
                            </a:solidFill>
                            <a:ln>
                              <a:noFill/>
                            </a:ln>
                          </wps:spPr>
                          <wps:bodyPr rot="0" vert="horz" wrap="square" lIns="91440" tIns="45720" rIns="91440" bIns="45720" anchor="t" anchorCtr="0" upright="1">
                            <a:noAutofit/>
                          </wps:bodyPr>
                        </wps:wsp>
                        <wps:wsp>
                          <wps:cNvPr id="705" name="Freeform 1312"/>
                          <wps:cNvSpPr/>
                          <wps:spPr bwMode="auto">
                            <a:xfrm>
                              <a:off x="5085" y="855"/>
                              <a:ext cx="16" cy="4"/>
                            </a:xfrm>
                            <a:custGeom>
                              <a:avLst/>
                              <a:gdLst>
                                <a:gd name="T0" fmla="*/ 0 w 16"/>
                                <a:gd name="T1" fmla="*/ 0 h 4"/>
                                <a:gd name="T2" fmla="*/ 0 w 16"/>
                                <a:gd name="T3" fmla="*/ 4 h 4"/>
                                <a:gd name="T4" fmla="*/ 16 w 16"/>
                                <a:gd name="T5" fmla="*/ 4 h 4"/>
                                <a:gd name="T6" fmla="*/ 0 w 16"/>
                                <a:gd name="T7" fmla="*/ 0 h 4"/>
                              </a:gdLst>
                              <a:ahLst/>
                              <a:cxnLst>
                                <a:cxn ang="0">
                                  <a:pos x="T0" y="T1"/>
                                </a:cxn>
                                <a:cxn ang="0">
                                  <a:pos x="T2" y="T3"/>
                                </a:cxn>
                                <a:cxn ang="0">
                                  <a:pos x="T4" y="T5"/>
                                </a:cxn>
                                <a:cxn ang="0">
                                  <a:pos x="T6" y="T7"/>
                                </a:cxn>
                              </a:cxnLst>
                              <a:rect l="0" t="0" r="r" b="b"/>
                              <a:pathLst>
                                <a:path w="16" h="4">
                                  <a:moveTo>
                                    <a:pt x="0" y="0"/>
                                  </a:moveTo>
                                  <a:lnTo>
                                    <a:pt x="0" y="4"/>
                                  </a:lnTo>
                                  <a:lnTo>
                                    <a:pt x="16" y="4"/>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06" name="Freeform 1313"/>
                          <wps:cNvSpPr/>
                          <wps:spPr bwMode="auto">
                            <a:xfrm>
                              <a:off x="5085" y="859"/>
                              <a:ext cx="16" cy="4"/>
                            </a:xfrm>
                            <a:custGeom>
                              <a:avLst/>
                              <a:gdLst>
                                <a:gd name="T0" fmla="*/ 0 w 16"/>
                                <a:gd name="T1" fmla="*/ 0 h 4"/>
                                <a:gd name="T2" fmla="*/ 0 w 16"/>
                                <a:gd name="T3" fmla="*/ 4 h 4"/>
                                <a:gd name="T4" fmla="*/ 16 w 16"/>
                                <a:gd name="T5" fmla="*/ 0 h 4"/>
                                <a:gd name="T6" fmla="*/ 0 w 16"/>
                                <a:gd name="T7" fmla="*/ 0 h 4"/>
                              </a:gdLst>
                              <a:ahLst/>
                              <a:cxnLst>
                                <a:cxn ang="0">
                                  <a:pos x="T0" y="T1"/>
                                </a:cxn>
                                <a:cxn ang="0">
                                  <a:pos x="T2" y="T3"/>
                                </a:cxn>
                                <a:cxn ang="0">
                                  <a:pos x="T4" y="T5"/>
                                </a:cxn>
                                <a:cxn ang="0">
                                  <a:pos x="T6" y="T7"/>
                                </a:cxn>
                              </a:cxnLst>
                              <a:rect l="0" t="0" r="r" b="b"/>
                              <a:pathLst>
                                <a:path w="16" h="4">
                                  <a:moveTo>
                                    <a:pt x="0" y="0"/>
                                  </a:moveTo>
                                  <a:lnTo>
                                    <a:pt x="0" y="4"/>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707" name="Freeform 1314"/>
                          <wps:cNvSpPr/>
                          <wps:spPr bwMode="auto">
                            <a:xfrm>
                              <a:off x="5085" y="859"/>
                              <a:ext cx="16" cy="4"/>
                            </a:xfrm>
                            <a:custGeom>
                              <a:avLst/>
                              <a:gdLst>
                                <a:gd name="T0" fmla="*/ 0 w 16"/>
                                <a:gd name="T1" fmla="*/ 0 h 4"/>
                                <a:gd name="T2" fmla="*/ 0 w 16"/>
                                <a:gd name="T3" fmla="*/ 4 h 4"/>
                                <a:gd name="T4" fmla="*/ 16 w 16"/>
                                <a:gd name="T5" fmla="*/ 0 h 4"/>
                                <a:gd name="T6" fmla="*/ 0 w 16"/>
                                <a:gd name="T7" fmla="*/ 0 h 4"/>
                              </a:gdLst>
                              <a:ahLst/>
                              <a:cxnLst>
                                <a:cxn ang="0">
                                  <a:pos x="T0" y="T1"/>
                                </a:cxn>
                                <a:cxn ang="0">
                                  <a:pos x="T2" y="T3"/>
                                </a:cxn>
                                <a:cxn ang="0">
                                  <a:pos x="T4" y="T5"/>
                                </a:cxn>
                                <a:cxn ang="0">
                                  <a:pos x="T6" y="T7"/>
                                </a:cxn>
                              </a:cxnLst>
                              <a:rect l="0" t="0" r="r" b="b"/>
                              <a:pathLst>
                                <a:path w="16" h="4">
                                  <a:moveTo>
                                    <a:pt x="0" y="0"/>
                                  </a:moveTo>
                                  <a:lnTo>
                                    <a:pt x="0" y="4"/>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08" name="Freeform 1315"/>
                          <wps:cNvSpPr/>
                          <wps:spPr bwMode="auto">
                            <a:xfrm>
                              <a:off x="5085" y="859"/>
                              <a:ext cx="16" cy="8"/>
                            </a:xfrm>
                            <a:custGeom>
                              <a:avLst/>
                              <a:gdLst>
                                <a:gd name="T0" fmla="*/ 0 w 16"/>
                                <a:gd name="T1" fmla="*/ 4 h 8"/>
                                <a:gd name="T2" fmla="*/ 2 w 16"/>
                                <a:gd name="T3" fmla="*/ 8 h 8"/>
                                <a:gd name="T4" fmla="*/ 16 w 16"/>
                                <a:gd name="T5" fmla="*/ 0 h 8"/>
                                <a:gd name="T6" fmla="*/ 0 w 16"/>
                                <a:gd name="T7" fmla="*/ 4 h 8"/>
                              </a:gdLst>
                              <a:ahLst/>
                              <a:cxnLst>
                                <a:cxn ang="0">
                                  <a:pos x="T0" y="T1"/>
                                </a:cxn>
                                <a:cxn ang="0">
                                  <a:pos x="T2" y="T3"/>
                                </a:cxn>
                                <a:cxn ang="0">
                                  <a:pos x="T4" y="T5"/>
                                </a:cxn>
                                <a:cxn ang="0">
                                  <a:pos x="T6" y="T7"/>
                                </a:cxn>
                              </a:cxnLst>
                              <a:rect l="0" t="0" r="r" b="b"/>
                              <a:pathLst>
                                <a:path w="16" h="8">
                                  <a:moveTo>
                                    <a:pt x="0" y="4"/>
                                  </a:moveTo>
                                  <a:lnTo>
                                    <a:pt x="2" y="8"/>
                                  </a:lnTo>
                                  <a:lnTo>
                                    <a:pt x="16" y="0"/>
                                  </a:lnTo>
                                  <a:lnTo>
                                    <a:pt x="0" y="4"/>
                                  </a:lnTo>
                                  <a:close/>
                                </a:path>
                              </a:pathLst>
                            </a:custGeom>
                            <a:solidFill>
                              <a:srgbClr val="000000"/>
                            </a:solidFill>
                            <a:ln>
                              <a:noFill/>
                            </a:ln>
                          </wps:spPr>
                          <wps:bodyPr rot="0" vert="horz" wrap="square" lIns="91440" tIns="45720" rIns="91440" bIns="45720" anchor="t" anchorCtr="0" upright="1">
                            <a:noAutofit/>
                          </wps:bodyPr>
                        </wps:wsp>
                        <wps:wsp>
                          <wps:cNvPr id="709" name="Freeform 1316"/>
                          <wps:cNvSpPr/>
                          <wps:spPr bwMode="auto">
                            <a:xfrm>
                              <a:off x="5085" y="859"/>
                              <a:ext cx="16" cy="8"/>
                            </a:xfrm>
                            <a:custGeom>
                              <a:avLst/>
                              <a:gdLst>
                                <a:gd name="T0" fmla="*/ 0 w 16"/>
                                <a:gd name="T1" fmla="*/ 4 h 8"/>
                                <a:gd name="T2" fmla="*/ 2 w 16"/>
                                <a:gd name="T3" fmla="*/ 8 h 8"/>
                                <a:gd name="T4" fmla="*/ 16 w 16"/>
                                <a:gd name="T5" fmla="*/ 0 h 8"/>
                                <a:gd name="T6" fmla="*/ 0 w 16"/>
                                <a:gd name="T7" fmla="*/ 4 h 8"/>
                              </a:gdLst>
                              <a:ahLst/>
                              <a:cxnLst>
                                <a:cxn ang="0">
                                  <a:pos x="T0" y="T1"/>
                                </a:cxn>
                                <a:cxn ang="0">
                                  <a:pos x="T2" y="T3"/>
                                </a:cxn>
                                <a:cxn ang="0">
                                  <a:pos x="T4" y="T5"/>
                                </a:cxn>
                                <a:cxn ang="0">
                                  <a:pos x="T6" y="T7"/>
                                </a:cxn>
                              </a:cxnLst>
                              <a:rect l="0" t="0" r="r" b="b"/>
                              <a:pathLst>
                                <a:path w="16" h="8">
                                  <a:moveTo>
                                    <a:pt x="0" y="4"/>
                                  </a:moveTo>
                                  <a:lnTo>
                                    <a:pt x="2" y="8"/>
                                  </a:lnTo>
                                  <a:lnTo>
                                    <a:pt x="16" y="0"/>
                                  </a:lnTo>
                                  <a:lnTo>
                                    <a:pt x="0"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10" name="Freeform 1317"/>
                          <wps:cNvSpPr/>
                          <wps:spPr bwMode="auto">
                            <a:xfrm>
                              <a:off x="5087" y="859"/>
                              <a:ext cx="14" cy="11"/>
                            </a:xfrm>
                            <a:custGeom>
                              <a:avLst/>
                              <a:gdLst>
                                <a:gd name="T0" fmla="*/ 0 w 14"/>
                                <a:gd name="T1" fmla="*/ 8 h 11"/>
                                <a:gd name="T2" fmla="*/ 2 w 14"/>
                                <a:gd name="T3" fmla="*/ 11 h 11"/>
                                <a:gd name="T4" fmla="*/ 14 w 14"/>
                                <a:gd name="T5" fmla="*/ 0 h 11"/>
                                <a:gd name="T6" fmla="*/ 0 w 14"/>
                                <a:gd name="T7" fmla="*/ 8 h 11"/>
                              </a:gdLst>
                              <a:ahLst/>
                              <a:cxnLst>
                                <a:cxn ang="0">
                                  <a:pos x="T0" y="T1"/>
                                </a:cxn>
                                <a:cxn ang="0">
                                  <a:pos x="T2" y="T3"/>
                                </a:cxn>
                                <a:cxn ang="0">
                                  <a:pos x="T4" y="T5"/>
                                </a:cxn>
                                <a:cxn ang="0">
                                  <a:pos x="T6" y="T7"/>
                                </a:cxn>
                              </a:cxnLst>
                              <a:rect l="0" t="0" r="r" b="b"/>
                              <a:pathLst>
                                <a:path w="14" h="11">
                                  <a:moveTo>
                                    <a:pt x="0" y="8"/>
                                  </a:moveTo>
                                  <a:lnTo>
                                    <a:pt x="2" y="11"/>
                                  </a:lnTo>
                                  <a:lnTo>
                                    <a:pt x="14" y="0"/>
                                  </a:lnTo>
                                  <a:lnTo>
                                    <a:pt x="0" y="8"/>
                                  </a:lnTo>
                                  <a:close/>
                                </a:path>
                              </a:pathLst>
                            </a:custGeom>
                            <a:solidFill>
                              <a:srgbClr val="000000"/>
                            </a:solidFill>
                            <a:ln>
                              <a:noFill/>
                            </a:ln>
                          </wps:spPr>
                          <wps:bodyPr rot="0" vert="horz" wrap="square" lIns="91440" tIns="45720" rIns="91440" bIns="45720" anchor="t" anchorCtr="0" upright="1">
                            <a:noAutofit/>
                          </wps:bodyPr>
                        </wps:wsp>
                        <wps:wsp>
                          <wps:cNvPr id="711" name="Freeform 1318"/>
                          <wps:cNvSpPr/>
                          <wps:spPr bwMode="auto">
                            <a:xfrm>
                              <a:off x="5087" y="859"/>
                              <a:ext cx="14" cy="11"/>
                            </a:xfrm>
                            <a:custGeom>
                              <a:avLst/>
                              <a:gdLst>
                                <a:gd name="T0" fmla="*/ 0 w 14"/>
                                <a:gd name="T1" fmla="*/ 8 h 11"/>
                                <a:gd name="T2" fmla="*/ 2 w 14"/>
                                <a:gd name="T3" fmla="*/ 11 h 11"/>
                                <a:gd name="T4" fmla="*/ 14 w 14"/>
                                <a:gd name="T5" fmla="*/ 0 h 11"/>
                                <a:gd name="T6" fmla="*/ 0 w 14"/>
                                <a:gd name="T7" fmla="*/ 8 h 11"/>
                              </a:gdLst>
                              <a:ahLst/>
                              <a:cxnLst>
                                <a:cxn ang="0">
                                  <a:pos x="T0" y="T1"/>
                                </a:cxn>
                                <a:cxn ang="0">
                                  <a:pos x="T2" y="T3"/>
                                </a:cxn>
                                <a:cxn ang="0">
                                  <a:pos x="T4" y="T5"/>
                                </a:cxn>
                                <a:cxn ang="0">
                                  <a:pos x="T6" y="T7"/>
                                </a:cxn>
                              </a:cxnLst>
                              <a:rect l="0" t="0" r="r" b="b"/>
                              <a:pathLst>
                                <a:path w="14" h="11">
                                  <a:moveTo>
                                    <a:pt x="0" y="8"/>
                                  </a:moveTo>
                                  <a:lnTo>
                                    <a:pt x="2" y="11"/>
                                  </a:lnTo>
                                  <a:lnTo>
                                    <a:pt x="14" y="0"/>
                                  </a:lnTo>
                                  <a:lnTo>
                                    <a:pt x="0"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12" name="Freeform 1319"/>
                          <wps:cNvSpPr/>
                          <wps:spPr bwMode="auto">
                            <a:xfrm>
                              <a:off x="5089" y="859"/>
                              <a:ext cx="12" cy="14"/>
                            </a:xfrm>
                            <a:custGeom>
                              <a:avLst/>
                              <a:gdLst>
                                <a:gd name="T0" fmla="*/ 0 w 12"/>
                                <a:gd name="T1" fmla="*/ 11 h 14"/>
                                <a:gd name="T2" fmla="*/ 4 w 12"/>
                                <a:gd name="T3" fmla="*/ 14 h 14"/>
                                <a:gd name="T4" fmla="*/ 12 w 12"/>
                                <a:gd name="T5" fmla="*/ 0 h 14"/>
                                <a:gd name="T6" fmla="*/ 0 w 12"/>
                                <a:gd name="T7" fmla="*/ 11 h 14"/>
                              </a:gdLst>
                              <a:ahLst/>
                              <a:cxnLst>
                                <a:cxn ang="0">
                                  <a:pos x="T0" y="T1"/>
                                </a:cxn>
                                <a:cxn ang="0">
                                  <a:pos x="T2" y="T3"/>
                                </a:cxn>
                                <a:cxn ang="0">
                                  <a:pos x="T4" y="T5"/>
                                </a:cxn>
                                <a:cxn ang="0">
                                  <a:pos x="T6" y="T7"/>
                                </a:cxn>
                              </a:cxnLst>
                              <a:rect l="0" t="0" r="r" b="b"/>
                              <a:pathLst>
                                <a:path w="12" h="14">
                                  <a:moveTo>
                                    <a:pt x="0" y="11"/>
                                  </a:moveTo>
                                  <a:lnTo>
                                    <a:pt x="4" y="14"/>
                                  </a:lnTo>
                                  <a:lnTo>
                                    <a:pt x="12" y="0"/>
                                  </a:lnTo>
                                  <a:lnTo>
                                    <a:pt x="0" y="11"/>
                                  </a:lnTo>
                                  <a:close/>
                                </a:path>
                              </a:pathLst>
                            </a:custGeom>
                            <a:solidFill>
                              <a:srgbClr val="000000"/>
                            </a:solidFill>
                            <a:ln>
                              <a:noFill/>
                            </a:ln>
                          </wps:spPr>
                          <wps:bodyPr rot="0" vert="horz" wrap="square" lIns="91440" tIns="45720" rIns="91440" bIns="45720" anchor="t" anchorCtr="0" upright="1">
                            <a:noAutofit/>
                          </wps:bodyPr>
                        </wps:wsp>
                        <wps:wsp>
                          <wps:cNvPr id="713" name="Freeform 1320"/>
                          <wps:cNvSpPr/>
                          <wps:spPr bwMode="auto">
                            <a:xfrm>
                              <a:off x="5089" y="859"/>
                              <a:ext cx="12" cy="14"/>
                            </a:xfrm>
                            <a:custGeom>
                              <a:avLst/>
                              <a:gdLst>
                                <a:gd name="T0" fmla="*/ 0 w 12"/>
                                <a:gd name="T1" fmla="*/ 11 h 14"/>
                                <a:gd name="T2" fmla="*/ 4 w 12"/>
                                <a:gd name="T3" fmla="*/ 14 h 14"/>
                                <a:gd name="T4" fmla="*/ 12 w 12"/>
                                <a:gd name="T5" fmla="*/ 0 h 14"/>
                                <a:gd name="T6" fmla="*/ 0 w 12"/>
                                <a:gd name="T7" fmla="*/ 11 h 14"/>
                              </a:gdLst>
                              <a:ahLst/>
                              <a:cxnLst>
                                <a:cxn ang="0">
                                  <a:pos x="T0" y="T1"/>
                                </a:cxn>
                                <a:cxn ang="0">
                                  <a:pos x="T2" y="T3"/>
                                </a:cxn>
                                <a:cxn ang="0">
                                  <a:pos x="T4" y="T5"/>
                                </a:cxn>
                                <a:cxn ang="0">
                                  <a:pos x="T6" y="T7"/>
                                </a:cxn>
                              </a:cxnLst>
                              <a:rect l="0" t="0" r="r" b="b"/>
                              <a:pathLst>
                                <a:path w="12" h="14">
                                  <a:moveTo>
                                    <a:pt x="0" y="11"/>
                                  </a:moveTo>
                                  <a:lnTo>
                                    <a:pt x="4" y="14"/>
                                  </a:lnTo>
                                  <a:lnTo>
                                    <a:pt x="12" y="0"/>
                                  </a:lnTo>
                                  <a:lnTo>
                                    <a:pt x="0"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14" name="Freeform 1321"/>
                          <wps:cNvSpPr/>
                          <wps:spPr bwMode="auto">
                            <a:xfrm>
                              <a:off x="5093" y="859"/>
                              <a:ext cx="8" cy="16"/>
                            </a:xfrm>
                            <a:custGeom>
                              <a:avLst/>
                              <a:gdLst>
                                <a:gd name="T0" fmla="*/ 0 w 8"/>
                                <a:gd name="T1" fmla="*/ 14 h 16"/>
                                <a:gd name="T2" fmla="*/ 4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4" y="16"/>
                                  </a:lnTo>
                                  <a:lnTo>
                                    <a:pt x="8" y="0"/>
                                  </a:lnTo>
                                  <a:lnTo>
                                    <a:pt x="0" y="14"/>
                                  </a:lnTo>
                                  <a:close/>
                                </a:path>
                              </a:pathLst>
                            </a:custGeom>
                            <a:solidFill>
                              <a:srgbClr val="000000"/>
                            </a:solidFill>
                            <a:ln>
                              <a:noFill/>
                            </a:ln>
                          </wps:spPr>
                          <wps:bodyPr rot="0" vert="horz" wrap="square" lIns="91440" tIns="45720" rIns="91440" bIns="45720" anchor="t" anchorCtr="0" upright="1">
                            <a:noAutofit/>
                          </wps:bodyPr>
                        </wps:wsp>
                        <wps:wsp>
                          <wps:cNvPr id="715" name="Freeform 1322"/>
                          <wps:cNvSpPr/>
                          <wps:spPr bwMode="auto">
                            <a:xfrm>
                              <a:off x="5093" y="859"/>
                              <a:ext cx="8" cy="16"/>
                            </a:xfrm>
                            <a:custGeom>
                              <a:avLst/>
                              <a:gdLst>
                                <a:gd name="T0" fmla="*/ 0 w 8"/>
                                <a:gd name="T1" fmla="*/ 14 h 16"/>
                                <a:gd name="T2" fmla="*/ 4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4" y="16"/>
                                  </a:lnTo>
                                  <a:lnTo>
                                    <a:pt x="8" y="0"/>
                                  </a:lnTo>
                                  <a:lnTo>
                                    <a:pt x="0"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16" name="Freeform 1323"/>
                          <wps:cNvSpPr/>
                          <wps:spPr bwMode="auto">
                            <a:xfrm>
                              <a:off x="5097" y="859"/>
                              <a:ext cx="4" cy="16"/>
                            </a:xfrm>
                            <a:custGeom>
                              <a:avLst/>
                              <a:gdLst>
                                <a:gd name="T0" fmla="*/ 0 w 4"/>
                                <a:gd name="T1" fmla="*/ 16 h 16"/>
                                <a:gd name="T2" fmla="*/ 4 w 4"/>
                                <a:gd name="T3" fmla="*/ 16 h 16"/>
                                <a:gd name="T4" fmla="*/ 4 w 4"/>
                                <a:gd name="T5" fmla="*/ 0 h 16"/>
                                <a:gd name="T6" fmla="*/ 0 w 4"/>
                                <a:gd name="T7" fmla="*/ 16 h 16"/>
                              </a:gdLst>
                              <a:ahLst/>
                              <a:cxnLst>
                                <a:cxn ang="0">
                                  <a:pos x="T0" y="T1"/>
                                </a:cxn>
                                <a:cxn ang="0">
                                  <a:pos x="T2" y="T3"/>
                                </a:cxn>
                                <a:cxn ang="0">
                                  <a:pos x="T4" y="T5"/>
                                </a:cxn>
                                <a:cxn ang="0">
                                  <a:pos x="T6" y="T7"/>
                                </a:cxn>
                              </a:cxnLst>
                              <a:rect l="0" t="0" r="r" b="b"/>
                              <a:pathLst>
                                <a:path w="4" h="16">
                                  <a:moveTo>
                                    <a:pt x="0" y="16"/>
                                  </a:moveTo>
                                  <a:lnTo>
                                    <a:pt x="4" y="16"/>
                                  </a:lnTo>
                                  <a:lnTo>
                                    <a:pt x="4" y="0"/>
                                  </a:lnTo>
                                  <a:lnTo>
                                    <a:pt x="0" y="16"/>
                                  </a:lnTo>
                                  <a:close/>
                                </a:path>
                              </a:pathLst>
                            </a:custGeom>
                            <a:solidFill>
                              <a:srgbClr val="000000"/>
                            </a:solidFill>
                            <a:ln>
                              <a:noFill/>
                            </a:ln>
                          </wps:spPr>
                          <wps:bodyPr rot="0" vert="horz" wrap="square" lIns="91440" tIns="45720" rIns="91440" bIns="45720" anchor="t" anchorCtr="0" upright="1">
                            <a:noAutofit/>
                          </wps:bodyPr>
                        </wps:wsp>
                        <wps:wsp>
                          <wps:cNvPr id="717" name="Freeform 1324"/>
                          <wps:cNvSpPr/>
                          <wps:spPr bwMode="auto">
                            <a:xfrm>
                              <a:off x="5097" y="859"/>
                              <a:ext cx="4" cy="16"/>
                            </a:xfrm>
                            <a:custGeom>
                              <a:avLst/>
                              <a:gdLst>
                                <a:gd name="T0" fmla="*/ 0 w 4"/>
                                <a:gd name="T1" fmla="*/ 16 h 16"/>
                                <a:gd name="T2" fmla="*/ 4 w 4"/>
                                <a:gd name="T3" fmla="*/ 16 h 16"/>
                                <a:gd name="T4" fmla="*/ 4 w 4"/>
                                <a:gd name="T5" fmla="*/ 0 h 16"/>
                                <a:gd name="T6" fmla="*/ 0 w 4"/>
                                <a:gd name="T7" fmla="*/ 16 h 16"/>
                              </a:gdLst>
                              <a:ahLst/>
                              <a:cxnLst>
                                <a:cxn ang="0">
                                  <a:pos x="T0" y="T1"/>
                                </a:cxn>
                                <a:cxn ang="0">
                                  <a:pos x="T2" y="T3"/>
                                </a:cxn>
                                <a:cxn ang="0">
                                  <a:pos x="T4" y="T5"/>
                                </a:cxn>
                                <a:cxn ang="0">
                                  <a:pos x="T6" y="T7"/>
                                </a:cxn>
                              </a:cxnLst>
                              <a:rect l="0" t="0" r="r" b="b"/>
                              <a:pathLst>
                                <a:path w="4" h="16">
                                  <a:moveTo>
                                    <a:pt x="0" y="16"/>
                                  </a:moveTo>
                                  <a:lnTo>
                                    <a:pt x="4" y="16"/>
                                  </a:lnTo>
                                  <a:lnTo>
                                    <a:pt x="4"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18" name="Freeform 1325"/>
                          <wps:cNvSpPr/>
                          <wps:spPr bwMode="auto">
                            <a:xfrm>
                              <a:off x="5101" y="859"/>
                              <a:ext cx="4" cy="16"/>
                            </a:xfrm>
                            <a:custGeom>
                              <a:avLst/>
                              <a:gdLst>
                                <a:gd name="T0" fmla="*/ 0 w 4"/>
                                <a:gd name="T1" fmla="*/ 16 h 16"/>
                                <a:gd name="T2" fmla="*/ 4 w 4"/>
                                <a:gd name="T3" fmla="*/ 16 h 16"/>
                                <a:gd name="T4" fmla="*/ 0 w 4"/>
                                <a:gd name="T5" fmla="*/ 0 h 16"/>
                                <a:gd name="T6" fmla="*/ 0 w 4"/>
                                <a:gd name="T7" fmla="*/ 16 h 16"/>
                              </a:gdLst>
                              <a:ahLst/>
                              <a:cxnLst>
                                <a:cxn ang="0">
                                  <a:pos x="T0" y="T1"/>
                                </a:cxn>
                                <a:cxn ang="0">
                                  <a:pos x="T2" y="T3"/>
                                </a:cxn>
                                <a:cxn ang="0">
                                  <a:pos x="T4" y="T5"/>
                                </a:cxn>
                                <a:cxn ang="0">
                                  <a:pos x="T6" y="T7"/>
                                </a:cxn>
                              </a:cxnLst>
                              <a:rect l="0" t="0" r="r" b="b"/>
                              <a:pathLst>
                                <a:path w="4" h="16">
                                  <a:moveTo>
                                    <a:pt x="0" y="16"/>
                                  </a:moveTo>
                                  <a:lnTo>
                                    <a:pt x="4" y="16"/>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719" name="Freeform 1326"/>
                          <wps:cNvSpPr/>
                          <wps:spPr bwMode="auto">
                            <a:xfrm>
                              <a:off x="5101" y="859"/>
                              <a:ext cx="4" cy="16"/>
                            </a:xfrm>
                            <a:custGeom>
                              <a:avLst/>
                              <a:gdLst>
                                <a:gd name="T0" fmla="*/ 0 w 4"/>
                                <a:gd name="T1" fmla="*/ 16 h 16"/>
                                <a:gd name="T2" fmla="*/ 4 w 4"/>
                                <a:gd name="T3" fmla="*/ 16 h 16"/>
                                <a:gd name="T4" fmla="*/ 0 w 4"/>
                                <a:gd name="T5" fmla="*/ 0 h 16"/>
                                <a:gd name="T6" fmla="*/ 0 w 4"/>
                                <a:gd name="T7" fmla="*/ 16 h 16"/>
                              </a:gdLst>
                              <a:ahLst/>
                              <a:cxnLst>
                                <a:cxn ang="0">
                                  <a:pos x="T0" y="T1"/>
                                </a:cxn>
                                <a:cxn ang="0">
                                  <a:pos x="T2" y="T3"/>
                                </a:cxn>
                                <a:cxn ang="0">
                                  <a:pos x="T4" y="T5"/>
                                </a:cxn>
                                <a:cxn ang="0">
                                  <a:pos x="T6" y="T7"/>
                                </a:cxn>
                              </a:cxnLst>
                              <a:rect l="0" t="0" r="r" b="b"/>
                              <a:pathLst>
                                <a:path w="4" h="16">
                                  <a:moveTo>
                                    <a:pt x="0" y="16"/>
                                  </a:moveTo>
                                  <a:lnTo>
                                    <a:pt x="4" y="16"/>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20" name="Freeform 1327"/>
                          <wps:cNvSpPr/>
                          <wps:spPr bwMode="auto">
                            <a:xfrm>
                              <a:off x="5101" y="859"/>
                              <a:ext cx="8" cy="16"/>
                            </a:xfrm>
                            <a:custGeom>
                              <a:avLst/>
                              <a:gdLst>
                                <a:gd name="T0" fmla="*/ 4 w 8"/>
                                <a:gd name="T1" fmla="*/ 16 h 16"/>
                                <a:gd name="T2" fmla="*/ 8 w 8"/>
                                <a:gd name="T3" fmla="*/ 14 h 16"/>
                                <a:gd name="T4" fmla="*/ 0 w 8"/>
                                <a:gd name="T5" fmla="*/ 0 h 16"/>
                                <a:gd name="T6" fmla="*/ 4 w 8"/>
                                <a:gd name="T7" fmla="*/ 16 h 16"/>
                              </a:gdLst>
                              <a:ahLst/>
                              <a:cxnLst>
                                <a:cxn ang="0">
                                  <a:pos x="T0" y="T1"/>
                                </a:cxn>
                                <a:cxn ang="0">
                                  <a:pos x="T2" y="T3"/>
                                </a:cxn>
                                <a:cxn ang="0">
                                  <a:pos x="T4" y="T5"/>
                                </a:cxn>
                                <a:cxn ang="0">
                                  <a:pos x="T6" y="T7"/>
                                </a:cxn>
                              </a:cxnLst>
                              <a:rect l="0" t="0" r="r" b="b"/>
                              <a:pathLst>
                                <a:path w="8" h="16">
                                  <a:moveTo>
                                    <a:pt x="4" y="16"/>
                                  </a:moveTo>
                                  <a:lnTo>
                                    <a:pt x="8" y="14"/>
                                  </a:lnTo>
                                  <a:lnTo>
                                    <a:pt x="0" y="0"/>
                                  </a:lnTo>
                                  <a:lnTo>
                                    <a:pt x="4" y="16"/>
                                  </a:lnTo>
                                  <a:close/>
                                </a:path>
                              </a:pathLst>
                            </a:custGeom>
                            <a:solidFill>
                              <a:srgbClr val="000000"/>
                            </a:solidFill>
                            <a:ln>
                              <a:noFill/>
                            </a:ln>
                          </wps:spPr>
                          <wps:bodyPr rot="0" vert="horz" wrap="square" lIns="91440" tIns="45720" rIns="91440" bIns="45720" anchor="t" anchorCtr="0" upright="1">
                            <a:noAutofit/>
                          </wps:bodyPr>
                        </wps:wsp>
                        <wps:wsp>
                          <wps:cNvPr id="721" name="Freeform 1328"/>
                          <wps:cNvSpPr/>
                          <wps:spPr bwMode="auto">
                            <a:xfrm>
                              <a:off x="5101" y="859"/>
                              <a:ext cx="8" cy="16"/>
                            </a:xfrm>
                            <a:custGeom>
                              <a:avLst/>
                              <a:gdLst>
                                <a:gd name="T0" fmla="*/ 4 w 8"/>
                                <a:gd name="T1" fmla="*/ 16 h 16"/>
                                <a:gd name="T2" fmla="*/ 8 w 8"/>
                                <a:gd name="T3" fmla="*/ 14 h 16"/>
                                <a:gd name="T4" fmla="*/ 0 w 8"/>
                                <a:gd name="T5" fmla="*/ 0 h 16"/>
                                <a:gd name="T6" fmla="*/ 4 w 8"/>
                                <a:gd name="T7" fmla="*/ 16 h 16"/>
                              </a:gdLst>
                              <a:ahLst/>
                              <a:cxnLst>
                                <a:cxn ang="0">
                                  <a:pos x="T0" y="T1"/>
                                </a:cxn>
                                <a:cxn ang="0">
                                  <a:pos x="T2" y="T3"/>
                                </a:cxn>
                                <a:cxn ang="0">
                                  <a:pos x="T4" y="T5"/>
                                </a:cxn>
                                <a:cxn ang="0">
                                  <a:pos x="T6" y="T7"/>
                                </a:cxn>
                              </a:cxnLst>
                              <a:rect l="0" t="0" r="r" b="b"/>
                              <a:pathLst>
                                <a:path w="8" h="16">
                                  <a:moveTo>
                                    <a:pt x="4" y="16"/>
                                  </a:moveTo>
                                  <a:lnTo>
                                    <a:pt x="8" y="14"/>
                                  </a:lnTo>
                                  <a:lnTo>
                                    <a:pt x="0" y="0"/>
                                  </a:lnTo>
                                  <a:lnTo>
                                    <a:pt x="4"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22" name="Freeform 1329"/>
                          <wps:cNvSpPr/>
                          <wps:spPr bwMode="auto">
                            <a:xfrm>
                              <a:off x="5101" y="859"/>
                              <a:ext cx="12" cy="14"/>
                            </a:xfrm>
                            <a:custGeom>
                              <a:avLst/>
                              <a:gdLst>
                                <a:gd name="T0" fmla="*/ 8 w 12"/>
                                <a:gd name="T1" fmla="*/ 14 h 14"/>
                                <a:gd name="T2" fmla="*/ 12 w 12"/>
                                <a:gd name="T3" fmla="*/ 11 h 14"/>
                                <a:gd name="T4" fmla="*/ 0 w 12"/>
                                <a:gd name="T5" fmla="*/ 0 h 14"/>
                                <a:gd name="T6" fmla="*/ 8 w 12"/>
                                <a:gd name="T7" fmla="*/ 14 h 14"/>
                              </a:gdLst>
                              <a:ahLst/>
                              <a:cxnLst>
                                <a:cxn ang="0">
                                  <a:pos x="T0" y="T1"/>
                                </a:cxn>
                                <a:cxn ang="0">
                                  <a:pos x="T2" y="T3"/>
                                </a:cxn>
                                <a:cxn ang="0">
                                  <a:pos x="T4" y="T5"/>
                                </a:cxn>
                                <a:cxn ang="0">
                                  <a:pos x="T6" y="T7"/>
                                </a:cxn>
                              </a:cxnLst>
                              <a:rect l="0" t="0" r="r" b="b"/>
                              <a:pathLst>
                                <a:path w="12" h="14">
                                  <a:moveTo>
                                    <a:pt x="8" y="14"/>
                                  </a:moveTo>
                                  <a:lnTo>
                                    <a:pt x="12" y="11"/>
                                  </a:lnTo>
                                  <a:lnTo>
                                    <a:pt x="0" y="0"/>
                                  </a:lnTo>
                                  <a:lnTo>
                                    <a:pt x="8" y="14"/>
                                  </a:lnTo>
                                  <a:close/>
                                </a:path>
                              </a:pathLst>
                            </a:custGeom>
                            <a:solidFill>
                              <a:srgbClr val="000000"/>
                            </a:solidFill>
                            <a:ln>
                              <a:noFill/>
                            </a:ln>
                          </wps:spPr>
                          <wps:bodyPr rot="0" vert="horz" wrap="square" lIns="91440" tIns="45720" rIns="91440" bIns="45720" anchor="t" anchorCtr="0" upright="1">
                            <a:noAutofit/>
                          </wps:bodyPr>
                        </wps:wsp>
                        <wps:wsp>
                          <wps:cNvPr id="723" name="Freeform 1330"/>
                          <wps:cNvSpPr/>
                          <wps:spPr bwMode="auto">
                            <a:xfrm>
                              <a:off x="5101" y="859"/>
                              <a:ext cx="12" cy="14"/>
                            </a:xfrm>
                            <a:custGeom>
                              <a:avLst/>
                              <a:gdLst>
                                <a:gd name="T0" fmla="*/ 8 w 12"/>
                                <a:gd name="T1" fmla="*/ 14 h 14"/>
                                <a:gd name="T2" fmla="*/ 12 w 12"/>
                                <a:gd name="T3" fmla="*/ 11 h 14"/>
                                <a:gd name="T4" fmla="*/ 0 w 12"/>
                                <a:gd name="T5" fmla="*/ 0 h 14"/>
                                <a:gd name="T6" fmla="*/ 8 w 12"/>
                                <a:gd name="T7" fmla="*/ 14 h 14"/>
                              </a:gdLst>
                              <a:ahLst/>
                              <a:cxnLst>
                                <a:cxn ang="0">
                                  <a:pos x="T0" y="T1"/>
                                </a:cxn>
                                <a:cxn ang="0">
                                  <a:pos x="T2" y="T3"/>
                                </a:cxn>
                                <a:cxn ang="0">
                                  <a:pos x="T4" y="T5"/>
                                </a:cxn>
                                <a:cxn ang="0">
                                  <a:pos x="T6" y="T7"/>
                                </a:cxn>
                              </a:cxnLst>
                              <a:rect l="0" t="0" r="r" b="b"/>
                              <a:pathLst>
                                <a:path w="12" h="14">
                                  <a:moveTo>
                                    <a:pt x="8" y="14"/>
                                  </a:moveTo>
                                  <a:lnTo>
                                    <a:pt x="12" y="11"/>
                                  </a:lnTo>
                                  <a:lnTo>
                                    <a:pt x="0" y="0"/>
                                  </a:lnTo>
                                  <a:lnTo>
                                    <a:pt x="8"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24" name="Freeform 1331"/>
                          <wps:cNvSpPr/>
                          <wps:spPr bwMode="auto">
                            <a:xfrm>
                              <a:off x="5101" y="859"/>
                              <a:ext cx="14" cy="11"/>
                            </a:xfrm>
                            <a:custGeom>
                              <a:avLst/>
                              <a:gdLst>
                                <a:gd name="T0" fmla="*/ 12 w 14"/>
                                <a:gd name="T1" fmla="*/ 11 h 11"/>
                                <a:gd name="T2" fmla="*/ 14 w 14"/>
                                <a:gd name="T3" fmla="*/ 8 h 11"/>
                                <a:gd name="T4" fmla="*/ 0 w 14"/>
                                <a:gd name="T5" fmla="*/ 0 h 11"/>
                                <a:gd name="T6" fmla="*/ 12 w 14"/>
                                <a:gd name="T7" fmla="*/ 11 h 11"/>
                              </a:gdLst>
                              <a:ahLst/>
                              <a:cxnLst>
                                <a:cxn ang="0">
                                  <a:pos x="T0" y="T1"/>
                                </a:cxn>
                                <a:cxn ang="0">
                                  <a:pos x="T2" y="T3"/>
                                </a:cxn>
                                <a:cxn ang="0">
                                  <a:pos x="T4" y="T5"/>
                                </a:cxn>
                                <a:cxn ang="0">
                                  <a:pos x="T6" y="T7"/>
                                </a:cxn>
                              </a:cxnLst>
                              <a:rect l="0" t="0" r="r" b="b"/>
                              <a:pathLst>
                                <a:path w="14" h="11">
                                  <a:moveTo>
                                    <a:pt x="12" y="11"/>
                                  </a:moveTo>
                                  <a:lnTo>
                                    <a:pt x="14" y="8"/>
                                  </a:lnTo>
                                  <a:lnTo>
                                    <a:pt x="0" y="0"/>
                                  </a:lnTo>
                                  <a:lnTo>
                                    <a:pt x="12" y="11"/>
                                  </a:lnTo>
                                  <a:close/>
                                </a:path>
                              </a:pathLst>
                            </a:custGeom>
                            <a:solidFill>
                              <a:srgbClr val="000000"/>
                            </a:solidFill>
                            <a:ln>
                              <a:noFill/>
                            </a:ln>
                          </wps:spPr>
                          <wps:bodyPr rot="0" vert="horz" wrap="square" lIns="91440" tIns="45720" rIns="91440" bIns="45720" anchor="t" anchorCtr="0" upright="1">
                            <a:noAutofit/>
                          </wps:bodyPr>
                        </wps:wsp>
                        <wps:wsp>
                          <wps:cNvPr id="725" name="Freeform 1332"/>
                          <wps:cNvSpPr/>
                          <wps:spPr bwMode="auto">
                            <a:xfrm>
                              <a:off x="5101" y="859"/>
                              <a:ext cx="14" cy="11"/>
                            </a:xfrm>
                            <a:custGeom>
                              <a:avLst/>
                              <a:gdLst>
                                <a:gd name="T0" fmla="*/ 12 w 14"/>
                                <a:gd name="T1" fmla="*/ 11 h 11"/>
                                <a:gd name="T2" fmla="*/ 14 w 14"/>
                                <a:gd name="T3" fmla="*/ 8 h 11"/>
                                <a:gd name="T4" fmla="*/ 0 w 14"/>
                                <a:gd name="T5" fmla="*/ 0 h 11"/>
                                <a:gd name="T6" fmla="*/ 12 w 14"/>
                                <a:gd name="T7" fmla="*/ 11 h 11"/>
                              </a:gdLst>
                              <a:ahLst/>
                              <a:cxnLst>
                                <a:cxn ang="0">
                                  <a:pos x="T0" y="T1"/>
                                </a:cxn>
                                <a:cxn ang="0">
                                  <a:pos x="T2" y="T3"/>
                                </a:cxn>
                                <a:cxn ang="0">
                                  <a:pos x="T4" y="T5"/>
                                </a:cxn>
                                <a:cxn ang="0">
                                  <a:pos x="T6" y="T7"/>
                                </a:cxn>
                              </a:cxnLst>
                              <a:rect l="0" t="0" r="r" b="b"/>
                              <a:pathLst>
                                <a:path w="14" h="11">
                                  <a:moveTo>
                                    <a:pt x="12" y="11"/>
                                  </a:moveTo>
                                  <a:lnTo>
                                    <a:pt x="14" y="8"/>
                                  </a:lnTo>
                                  <a:lnTo>
                                    <a:pt x="0" y="0"/>
                                  </a:lnTo>
                                  <a:lnTo>
                                    <a:pt x="12"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26" name="Freeform 1333"/>
                          <wps:cNvSpPr/>
                          <wps:spPr bwMode="auto">
                            <a:xfrm>
                              <a:off x="5101" y="859"/>
                              <a:ext cx="16" cy="8"/>
                            </a:xfrm>
                            <a:custGeom>
                              <a:avLst/>
                              <a:gdLst>
                                <a:gd name="T0" fmla="*/ 14 w 16"/>
                                <a:gd name="T1" fmla="*/ 8 h 8"/>
                                <a:gd name="T2" fmla="*/ 16 w 16"/>
                                <a:gd name="T3" fmla="*/ 4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4"/>
                                  </a:lnTo>
                                  <a:lnTo>
                                    <a:pt x="0" y="0"/>
                                  </a:lnTo>
                                  <a:lnTo>
                                    <a:pt x="14" y="8"/>
                                  </a:lnTo>
                                  <a:close/>
                                </a:path>
                              </a:pathLst>
                            </a:custGeom>
                            <a:solidFill>
                              <a:srgbClr val="000000"/>
                            </a:solidFill>
                            <a:ln>
                              <a:noFill/>
                            </a:ln>
                          </wps:spPr>
                          <wps:bodyPr rot="0" vert="horz" wrap="square" lIns="91440" tIns="45720" rIns="91440" bIns="45720" anchor="t" anchorCtr="0" upright="1">
                            <a:noAutofit/>
                          </wps:bodyPr>
                        </wps:wsp>
                        <wps:wsp>
                          <wps:cNvPr id="727" name="Freeform 1334"/>
                          <wps:cNvSpPr/>
                          <wps:spPr bwMode="auto">
                            <a:xfrm>
                              <a:off x="5101" y="859"/>
                              <a:ext cx="16" cy="8"/>
                            </a:xfrm>
                            <a:custGeom>
                              <a:avLst/>
                              <a:gdLst>
                                <a:gd name="T0" fmla="*/ 14 w 16"/>
                                <a:gd name="T1" fmla="*/ 8 h 8"/>
                                <a:gd name="T2" fmla="*/ 16 w 16"/>
                                <a:gd name="T3" fmla="*/ 4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4"/>
                                  </a:lnTo>
                                  <a:lnTo>
                                    <a:pt x="0" y="0"/>
                                  </a:lnTo>
                                  <a:lnTo>
                                    <a:pt x="14"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28" name="Freeform 1335"/>
                          <wps:cNvSpPr/>
                          <wps:spPr bwMode="auto">
                            <a:xfrm>
                              <a:off x="5101" y="859"/>
                              <a:ext cx="16" cy="4"/>
                            </a:xfrm>
                            <a:custGeom>
                              <a:avLst/>
                              <a:gdLst>
                                <a:gd name="T0" fmla="*/ 16 w 16"/>
                                <a:gd name="T1" fmla="*/ 4 h 4"/>
                                <a:gd name="T2" fmla="*/ 16 w 16"/>
                                <a:gd name="T3" fmla="*/ 0 h 4"/>
                                <a:gd name="T4" fmla="*/ 0 w 16"/>
                                <a:gd name="T5" fmla="*/ 0 h 4"/>
                                <a:gd name="T6" fmla="*/ 16 w 16"/>
                                <a:gd name="T7" fmla="*/ 4 h 4"/>
                              </a:gdLst>
                              <a:ahLst/>
                              <a:cxnLst>
                                <a:cxn ang="0">
                                  <a:pos x="T0" y="T1"/>
                                </a:cxn>
                                <a:cxn ang="0">
                                  <a:pos x="T2" y="T3"/>
                                </a:cxn>
                                <a:cxn ang="0">
                                  <a:pos x="T4" y="T5"/>
                                </a:cxn>
                                <a:cxn ang="0">
                                  <a:pos x="T6" y="T7"/>
                                </a:cxn>
                              </a:cxnLst>
                              <a:rect l="0" t="0" r="r" b="b"/>
                              <a:pathLst>
                                <a:path w="16" h="4">
                                  <a:moveTo>
                                    <a:pt x="16" y="4"/>
                                  </a:moveTo>
                                  <a:lnTo>
                                    <a:pt x="16" y="0"/>
                                  </a:lnTo>
                                  <a:lnTo>
                                    <a:pt x="0" y="0"/>
                                  </a:lnTo>
                                  <a:lnTo>
                                    <a:pt x="16" y="4"/>
                                  </a:lnTo>
                                  <a:close/>
                                </a:path>
                              </a:pathLst>
                            </a:custGeom>
                            <a:solidFill>
                              <a:srgbClr val="000000"/>
                            </a:solidFill>
                            <a:ln>
                              <a:noFill/>
                            </a:ln>
                          </wps:spPr>
                          <wps:bodyPr rot="0" vert="horz" wrap="square" lIns="91440" tIns="45720" rIns="91440" bIns="45720" anchor="t" anchorCtr="0" upright="1">
                            <a:noAutofit/>
                          </wps:bodyPr>
                        </wps:wsp>
                        <wps:wsp>
                          <wps:cNvPr id="729" name="Freeform 1336"/>
                          <wps:cNvSpPr/>
                          <wps:spPr bwMode="auto">
                            <a:xfrm>
                              <a:off x="5101" y="859"/>
                              <a:ext cx="16" cy="4"/>
                            </a:xfrm>
                            <a:custGeom>
                              <a:avLst/>
                              <a:gdLst>
                                <a:gd name="T0" fmla="*/ 16 w 16"/>
                                <a:gd name="T1" fmla="*/ 4 h 4"/>
                                <a:gd name="T2" fmla="*/ 16 w 16"/>
                                <a:gd name="T3" fmla="*/ 0 h 4"/>
                                <a:gd name="T4" fmla="*/ 0 w 16"/>
                                <a:gd name="T5" fmla="*/ 0 h 4"/>
                                <a:gd name="T6" fmla="*/ 16 w 16"/>
                                <a:gd name="T7" fmla="*/ 4 h 4"/>
                              </a:gdLst>
                              <a:ahLst/>
                              <a:cxnLst>
                                <a:cxn ang="0">
                                  <a:pos x="T0" y="T1"/>
                                </a:cxn>
                                <a:cxn ang="0">
                                  <a:pos x="T2" y="T3"/>
                                </a:cxn>
                                <a:cxn ang="0">
                                  <a:pos x="T4" y="T5"/>
                                </a:cxn>
                                <a:cxn ang="0">
                                  <a:pos x="T6" y="T7"/>
                                </a:cxn>
                              </a:cxnLst>
                              <a:rect l="0" t="0" r="r" b="b"/>
                              <a:pathLst>
                                <a:path w="16" h="4">
                                  <a:moveTo>
                                    <a:pt x="16" y="4"/>
                                  </a:moveTo>
                                  <a:lnTo>
                                    <a:pt x="16" y="0"/>
                                  </a:lnTo>
                                  <a:lnTo>
                                    <a:pt x="0" y="0"/>
                                  </a:lnTo>
                                  <a:lnTo>
                                    <a:pt x="16" y="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30" name="Freeform 1337"/>
                          <wps:cNvSpPr/>
                          <wps:spPr bwMode="auto">
                            <a:xfrm>
                              <a:off x="5371" y="849"/>
                              <a:ext cx="16" cy="11"/>
                            </a:xfrm>
                            <a:custGeom>
                              <a:avLst/>
                              <a:gdLst>
                                <a:gd name="T0" fmla="*/ 16 w 16"/>
                                <a:gd name="T1" fmla="*/ 11 h 11"/>
                                <a:gd name="T2" fmla="*/ 11 w 16"/>
                                <a:gd name="T3" fmla="*/ 0 h 11"/>
                                <a:gd name="T4" fmla="*/ 0 w 16"/>
                                <a:gd name="T5" fmla="*/ 11 h 11"/>
                                <a:gd name="T6" fmla="*/ 16 w 16"/>
                                <a:gd name="T7" fmla="*/ 11 h 11"/>
                              </a:gdLst>
                              <a:ahLst/>
                              <a:cxnLst>
                                <a:cxn ang="0">
                                  <a:pos x="T0" y="T1"/>
                                </a:cxn>
                                <a:cxn ang="0">
                                  <a:pos x="T2" y="T3"/>
                                </a:cxn>
                                <a:cxn ang="0">
                                  <a:pos x="T4" y="T5"/>
                                </a:cxn>
                                <a:cxn ang="0">
                                  <a:pos x="T6" y="T7"/>
                                </a:cxn>
                              </a:cxnLst>
                              <a:rect l="0" t="0" r="r" b="b"/>
                              <a:pathLst>
                                <a:path w="16" h="11">
                                  <a:moveTo>
                                    <a:pt x="16" y="11"/>
                                  </a:moveTo>
                                  <a:lnTo>
                                    <a:pt x="11" y="0"/>
                                  </a:lnTo>
                                  <a:lnTo>
                                    <a:pt x="0" y="11"/>
                                  </a:lnTo>
                                  <a:lnTo>
                                    <a:pt x="16" y="11"/>
                                  </a:lnTo>
                                  <a:close/>
                                </a:path>
                              </a:pathLst>
                            </a:custGeom>
                            <a:solidFill>
                              <a:srgbClr val="000000"/>
                            </a:solidFill>
                            <a:ln>
                              <a:noFill/>
                            </a:ln>
                          </wps:spPr>
                          <wps:bodyPr rot="0" vert="horz" wrap="square" lIns="91440" tIns="45720" rIns="91440" bIns="45720" anchor="t" anchorCtr="0" upright="1">
                            <a:noAutofit/>
                          </wps:bodyPr>
                        </wps:wsp>
                        <wps:wsp>
                          <wps:cNvPr id="731" name="Freeform 1338"/>
                          <wps:cNvSpPr/>
                          <wps:spPr bwMode="auto">
                            <a:xfrm>
                              <a:off x="5371" y="849"/>
                              <a:ext cx="16" cy="11"/>
                            </a:xfrm>
                            <a:custGeom>
                              <a:avLst/>
                              <a:gdLst>
                                <a:gd name="T0" fmla="*/ 16 w 16"/>
                                <a:gd name="T1" fmla="*/ 11 h 11"/>
                                <a:gd name="T2" fmla="*/ 11 w 16"/>
                                <a:gd name="T3" fmla="*/ 0 h 11"/>
                                <a:gd name="T4" fmla="*/ 0 w 16"/>
                                <a:gd name="T5" fmla="*/ 11 h 11"/>
                                <a:gd name="T6" fmla="*/ 16 w 16"/>
                                <a:gd name="T7" fmla="*/ 11 h 11"/>
                              </a:gdLst>
                              <a:ahLst/>
                              <a:cxnLst>
                                <a:cxn ang="0">
                                  <a:pos x="T0" y="T1"/>
                                </a:cxn>
                                <a:cxn ang="0">
                                  <a:pos x="T2" y="T3"/>
                                </a:cxn>
                                <a:cxn ang="0">
                                  <a:pos x="T4" y="T5"/>
                                </a:cxn>
                                <a:cxn ang="0">
                                  <a:pos x="T6" y="T7"/>
                                </a:cxn>
                              </a:cxnLst>
                              <a:rect l="0" t="0" r="r" b="b"/>
                              <a:pathLst>
                                <a:path w="16" h="11">
                                  <a:moveTo>
                                    <a:pt x="16" y="11"/>
                                  </a:moveTo>
                                  <a:lnTo>
                                    <a:pt x="11" y="0"/>
                                  </a:lnTo>
                                  <a:lnTo>
                                    <a:pt x="0" y="11"/>
                                  </a:lnTo>
                                  <a:lnTo>
                                    <a:pt x="16"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32" name="Freeform 1339"/>
                          <wps:cNvSpPr/>
                          <wps:spPr bwMode="auto">
                            <a:xfrm>
                              <a:off x="5371" y="844"/>
                              <a:ext cx="11" cy="16"/>
                            </a:xfrm>
                            <a:custGeom>
                              <a:avLst/>
                              <a:gdLst>
                                <a:gd name="T0" fmla="*/ 11 w 11"/>
                                <a:gd name="T1" fmla="*/ 5 h 16"/>
                                <a:gd name="T2" fmla="*/ 0 w 11"/>
                                <a:gd name="T3" fmla="*/ 0 h 16"/>
                                <a:gd name="T4" fmla="*/ 0 w 11"/>
                                <a:gd name="T5" fmla="*/ 16 h 16"/>
                                <a:gd name="T6" fmla="*/ 11 w 11"/>
                                <a:gd name="T7" fmla="*/ 5 h 16"/>
                              </a:gdLst>
                              <a:ahLst/>
                              <a:cxnLst>
                                <a:cxn ang="0">
                                  <a:pos x="T0" y="T1"/>
                                </a:cxn>
                                <a:cxn ang="0">
                                  <a:pos x="T2" y="T3"/>
                                </a:cxn>
                                <a:cxn ang="0">
                                  <a:pos x="T4" y="T5"/>
                                </a:cxn>
                                <a:cxn ang="0">
                                  <a:pos x="T6" y="T7"/>
                                </a:cxn>
                              </a:cxnLst>
                              <a:rect l="0" t="0" r="r" b="b"/>
                              <a:pathLst>
                                <a:path w="11" h="16">
                                  <a:moveTo>
                                    <a:pt x="11" y="5"/>
                                  </a:moveTo>
                                  <a:lnTo>
                                    <a:pt x="0" y="0"/>
                                  </a:lnTo>
                                  <a:lnTo>
                                    <a:pt x="0" y="16"/>
                                  </a:lnTo>
                                  <a:lnTo>
                                    <a:pt x="11" y="5"/>
                                  </a:lnTo>
                                  <a:close/>
                                </a:path>
                              </a:pathLst>
                            </a:custGeom>
                            <a:solidFill>
                              <a:srgbClr val="000000"/>
                            </a:solidFill>
                            <a:ln>
                              <a:noFill/>
                            </a:ln>
                          </wps:spPr>
                          <wps:bodyPr rot="0" vert="horz" wrap="square" lIns="91440" tIns="45720" rIns="91440" bIns="45720" anchor="t" anchorCtr="0" upright="1">
                            <a:noAutofit/>
                          </wps:bodyPr>
                        </wps:wsp>
                        <wps:wsp>
                          <wps:cNvPr id="733" name="Freeform 1340"/>
                          <wps:cNvSpPr/>
                          <wps:spPr bwMode="auto">
                            <a:xfrm>
                              <a:off x="5371" y="844"/>
                              <a:ext cx="11" cy="16"/>
                            </a:xfrm>
                            <a:custGeom>
                              <a:avLst/>
                              <a:gdLst>
                                <a:gd name="T0" fmla="*/ 11 w 11"/>
                                <a:gd name="T1" fmla="*/ 5 h 16"/>
                                <a:gd name="T2" fmla="*/ 0 w 11"/>
                                <a:gd name="T3" fmla="*/ 0 h 16"/>
                                <a:gd name="T4" fmla="*/ 0 w 11"/>
                                <a:gd name="T5" fmla="*/ 16 h 16"/>
                                <a:gd name="T6" fmla="*/ 11 w 11"/>
                                <a:gd name="T7" fmla="*/ 5 h 16"/>
                              </a:gdLst>
                              <a:ahLst/>
                              <a:cxnLst>
                                <a:cxn ang="0">
                                  <a:pos x="T0" y="T1"/>
                                </a:cxn>
                                <a:cxn ang="0">
                                  <a:pos x="T2" y="T3"/>
                                </a:cxn>
                                <a:cxn ang="0">
                                  <a:pos x="T4" y="T5"/>
                                </a:cxn>
                                <a:cxn ang="0">
                                  <a:pos x="T6" y="T7"/>
                                </a:cxn>
                              </a:cxnLst>
                              <a:rect l="0" t="0" r="r" b="b"/>
                              <a:pathLst>
                                <a:path w="11" h="16">
                                  <a:moveTo>
                                    <a:pt x="11" y="5"/>
                                  </a:moveTo>
                                  <a:lnTo>
                                    <a:pt x="0" y="0"/>
                                  </a:lnTo>
                                  <a:lnTo>
                                    <a:pt x="0" y="16"/>
                                  </a:lnTo>
                                  <a:lnTo>
                                    <a:pt x="11" y="5"/>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34" name="Freeform 1341"/>
                          <wps:cNvSpPr/>
                          <wps:spPr bwMode="auto">
                            <a:xfrm>
                              <a:off x="5359" y="844"/>
                              <a:ext cx="12" cy="16"/>
                            </a:xfrm>
                            <a:custGeom>
                              <a:avLst/>
                              <a:gdLst>
                                <a:gd name="T0" fmla="*/ 12 w 12"/>
                                <a:gd name="T1" fmla="*/ 0 h 16"/>
                                <a:gd name="T2" fmla="*/ 0 w 12"/>
                                <a:gd name="T3" fmla="*/ 5 h 16"/>
                                <a:gd name="T4" fmla="*/ 12 w 12"/>
                                <a:gd name="T5" fmla="*/ 16 h 16"/>
                                <a:gd name="T6" fmla="*/ 12 w 12"/>
                                <a:gd name="T7" fmla="*/ 0 h 16"/>
                              </a:gdLst>
                              <a:ahLst/>
                              <a:cxnLst>
                                <a:cxn ang="0">
                                  <a:pos x="T0" y="T1"/>
                                </a:cxn>
                                <a:cxn ang="0">
                                  <a:pos x="T2" y="T3"/>
                                </a:cxn>
                                <a:cxn ang="0">
                                  <a:pos x="T4" y="T5"/>
                                </a:cxn>
                                <a:cxn ang="0">
                                  <a:pos x="T6" y="T7"/>
                                </a:cxn>
                              </a:cxnLst>
                              <a:rect l="0" t="0" r="r" b="b"/>
                              <a:pathLst>
                                <a:path w="12" h="16">
                                  <a:moveTo>
                                    <a:pt x="12" y="0"/>
                                  </a:moveTo>
                                  <a:lnTo>
                                    <a:pt x="0" y="5"/>
                                  </a:lnTo>
                                  <a:lnTo>
                                    <a:pt x="12" y="16"/>
                                  </a:lnTo>
                                  <a:lnTo>
                                    <a:pt x="12" y="0"/>
                                  </a:lnTo>
                                  <a:close/>
                                </a:path>
                              </a:pathLst>
                            </a:custGeom>
                            <a:solidFill>
                              <a:srgbClr val="000000"/>
                            </a:solidFill>
                            <a:ln>
                              <a:noFill/>
                            </a:ln>
                          </wps:spPr>
                          <wps:bodyPr rot="0" vert="horz" wrap="square" lIns="91440" tIns="45720" rIns="91440" bIns="45720" anchor="t" anchorCtr="0" upright="1">
                            <a:noAutofit/>
                          </wps:bodyPr>
                        </wps:wsp>
                        <wps:wsp>
                          <wps:cNvPr id="735" name="Freeform 1342"/>
                          <wps:cNvSpPr/>
                          <wps:spPr bwMode="auto">
                            <a:xfrm>
                              <a:off x="5359" y="844"/>
                              <a:ext cx="12" cy="16"/>
                            </a:xfrm>
                            <a:custGeom>
                              <a:avLst/>
                              <a:gdLst>
                                <a:gd name="T0" fmla="*/ 12 w 12"/>
                                <a:gd name="T1" fmla="*/ 0 h 16"/>
                                <a:gd name="T2" fmla="*/ 0 w 12"/>
                                <a:gd name="T3" fmla="*/ 5 h 16"/>
                                <a:gd name="T4" fmla="*/ 12 w 12"/>
                                <a:gd name="T5" fmla="*/ 16 h 16"/>
                                <a:gd name="T6" fmla="*/ 12 w 12"/>
                                <a:gd name="T7" fmla="*/ 0 h 16"/>
                              </a:gdLst>
                              <a:ahLst/>
                              <a:cxnLst>
                                <a:cxn ang="0">
                                  <a:pos x="T0" y="T1"/>
                                </a:cxn>
                                <a:cxn ang="0">
                                  <a:pos x="T2" y="T3"/>
                                </a:cxn>
                                <a:cxn ang="0">
                                  <a:pos x="T4" y="T5"/>
                                </a:cxn>
                                <a:cxn ang="0">
                                  <a:pos x="T6" y="T7"/>
                                </a:cxn>
                              </a:cxnLst>
                              <a:rect l="0" t="0" r="r" b="b"/>
                              <a:pathLst>
                                <a:path w="12" h="16">
                                  <a:moveTo>
                                    <a:pt x="12" y="0"/>
                                  </a:moveTo>
                                  <a:lnTo>
                                    <a:pt x="0" y="5"/>
                                  </a:lnTo>
                                  <a:lnTo>
                                    <a:pt x="12" y="16"/>
                                  </a:lnTo>
                                  <a:lnTo>
                                    <a:pt x="1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36" name="Freeform 1343"/>
                          <wps:cNvSpPr/>
                          <wps:spPr bwMode="auto">
                            <a:xfrm>
                              <a:off x="5355" y="849"/>
                              <a:ext cx="16" cy="11"/>
                            </a:xfrm>
                            <a:custGeom>
                              <a:avLst/>
                              <a:gdLst>
                                <a:gd name="T0" fmla="*/ 4 w 16"/>
                                <a:gd name="T1" fmla="*/ 0 h 11"/>
                                <a:gd name="T2" fmla="*/ 0 w 16"/>
                                <a:gd name="T3" fmla="*/ 11 h 11"/>
                                <a:gd name="T4" fmla="*/ 16 w 16"/>
                                <a:gd name="T5" fmla="*/ 11 h 11"/>
                                <a:gd name="T6" fmla="*/ 4 w 16"/>
                                <a:gd name="T7" fmla="*/ 0 h 11"/>
                              </a:gdLst>
                              <a:ahLst/>
                              <a:cxnLst>
                                <a:cxn ang="0">
                                  <a:pos x="T0" y="T1"/>
                                </a:cxn>
                                <a:cxn ang="0">
                                  <a:pos x="T2" y="T3"/>
                                </a:cxn>
                                <a:cxn ang="0">
                                  <a:pos x="T4" y="T5"/>
                                </a:cxn>
                                <a:cxn ang="0">
                                  <a:pos x="T6" y="T7"/>
                                </a:cxn>
                              </a:cxnLst>
                              <a:rect l="0" t="0" r="r" b="b"/>
                              <a:pathLst>
                                <a:path w="16" h="11">
                                  <a:moveTo>
                                    <a:pt x="4" y="0"/>
                                  </a:moveTo>
                                  <a:lnTo>
                                    <a:pt x="0" y="11"/>
                                  </a:lnTo>
                                  <a:lnTo>
                                    <a:pt x="16" y="11"/>
                                  </a:lnTo>
                                  <a:lnTo>
                                    <a:pt x="4" y="0"/>
                                  </a:lnTo>
                                  <a:close/>
                                </a:path>
                              </a:pathLst>
                            </a:custGeom>
                            <a:solidFill>
                              <a:srgbClr val="000000"/>
                            </a:solidFill>
                            <a:ln>
                              <a:noFill/>
                            </a:ln>
                          </wps:spPr>
                          <wps:bodyPr rot="0" vert="horz" wrap="square" lIns="91440" tIns="45720" rIns="91440" bIns="45720" anchor="t" anchorCtr="0" upright="1">
                            <a:noAutofit/>
                          </wps:bodyPr>
                        </wps:wsp>
                        <wps:wsp>
                          <wps:cNvPr id="737" name="Freeform 1344"/>
                          <wps:cNvSpPr/>
                          <wps:spPr bwMode="auto">
                            <a:xfrm>
                              <a:off x="5355" y="849"/>
                              <a:ext cx="16" cy="11"/>
                            </a:xfrm>
                            <a:custGeom>
                              <a:avLst/>
                              <a:gdLst>
                                <a:gd name="T0" fmla="*/ 4 w 16"/>
                                <a:gd name="T1" fmla="*/ 0 h 11"/>
                                <a:gd name="T2" fmla="*/ 0 w 16"/>
                                <a:gd name="T3" fmla="*/ 11 h 11"/>
                                <a:gd name="T4" fmla="*/ 16 w 16"/>
                                <a:gd name="T5" fmla="*/ 11 h 11"/>
                                <a:gd name="T6" fmla="*/ 4 w 16"/>
                                <a:gd name="T7" fmla="*/ 0 h 11"/>
                              </a:gdLst>
                              <a:ahLst/>
                              <a:cxnLst>
                                <a:cxn ang="0">
                                  <a:pos x="T0" y="T1"/>
                                </a:cxn>
                                <a:cxn ang="0">
                                  <a:pos x="T2" y="T3"/>
                                </a:cxn>
                                <a:cxn ang="0">
                                  <a:pos x="T4" y="T5"/>
                                </a:cxn>
                                <a:cxn ang="0">
                                  <a:pos x="T6" y="T7"/>
                                </a:cxn>
                              </a:cxnLst>
                              <a:rect l="0" t="0" r="r" b="b"/>
                              <a:pathLst>
                                <a:path w="16" h="11">
                                  <a:moveTo>
                                    <a:pt x="4" y="0"/>
                                  </a:moveTo>
                                  <a:lnTo>
                                    <a:pt x="0" y="11"/>
                                  </a:lnTo>
                                  <a:lnTo>
                                    <a:pt x="16" y="11"/>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38" name="Freeform 1345"/>
                          <wps:cNvSpPr/>
                          <wps:spPr bwMode="auto">
                            <a:xfrm>
                              <a:off x="5355" y="860"/>
                              <a:ext cx="16" cy="12"/>
                            </a:xfrm>
                            <a:custGeom>
                              <a:avLst/>
                              <a:gdLst>
                                <a:gd name="T0" fmla="*/ 0 w 16"/>
                                <a:gd name="T1" fmla="*/ 0 h 12"/>
                                <a:gd name="T2" fmla="*/ 4 w 16"/>
                                <a:gd name="T3" fmla="*/ 12 h 12"/>
                                <a:gd name="T4" fmla="*/ 16 w 16"/>
                                <a:gd name="T5" fmla="*/ 0 h 12"/>
                                <a:gd name="T6" fmla="*/ 0 w 16"/>
                                <a:gd name="T7" fmla="*/ 0 h 12"/>
                              </a:gdLst>
                              <a:ahLst/>
                              <a:cxnLst>
                                <a:cxn ang="0">
                                  <a:pos x="T0" y="T1"/>
                                </a:cxn>
                                <a:cxn ang="0">
                                  <a:pos x="T2" y="T3"/>
                                </a:cxn>
                                <a:cxn ang="0">
                                  <a:pos x="T4" y="T5"/>
                                </a:cxn>
                                <a:cxn ang="0">
                                  <a:pos x="T6" y="T7"/>
                                </a:cxn>
                              </a:cxnLst>
                              <a:rect l="0" t="0" r="r" b="b"/>
                              <a:pathLst>
                                <a:path w="16" h="12">
                                  <a:moveTo>
                                    <a:pt x="0" y="0"/>
                                  </a:moveTo>
                                  <a:lnTo>
                                    <a:pt x="4" y="12"/>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739" name="Freeform 1346"/>
                          <wps:cNvSpPr/>
                          <wps:spPr bwMode="auto">
                            <a:xfrm>
                              <a:off x="5355" y="860"/>
                              <a:ext cx="16" cy="12"/>
                            </a:xfrm>
                            <a:custGeom>
                              <a:avLst/>
                              <a:gdLst>
                                <a:gd name="T0" fmla="*/ 0 w 16"/>
                                <a:gd name="T1" fmla="*/ 0 h 12"/>
                                <a:gd name="T2" fmla="*/ 4 w 16"/>
                                <a:gd name="T3" fmla="*/ 12 h 12"/>
                                <a:gd name="T4" fmla="*/ 16 w 16"/>
                                <a:gd name="T5" fmla="*/ 0 h 12"/>
                                <a:gd name="T6" fmla="*/ 0 w 16"/>
                                <a:gd name="T7" fmla="*/ 0 h 12"/>
                              </a:gdLst>
                              <a:ahLst/>
                              <a:cxnLst>
                                <a:cxn ang="0">
                                  <a:pos x="T0" y="T1"/>
                                </a:cxn>
                                <a:cxn ang="0">
                                  <a:pos x="T2" y="T3"/>
                                </a:cxn>
                                <a:cxn ang="0">
                                  <a:pos x="T4" y="T5"/>
                                </a:cxn>
                                <a:cxn ang="0">
                                  <a:pos x="T6" y="T7"/>
                                </a:cxn>
                              </a:cxnLst>
                              <a:rect l="0" t="0" r="r" b="b"/>
                              <a:pathLst>
                                <a:path w="16" h="12">
                                  <a:moveTo>
                                    <a:pt x="0" y="0"/>
                                  </a:moveTo>
                                  <a:lnTo>
                                    <a:pt x="4" y="12"/>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40" name="Freeform 1347"/>
                          <wps:cNvSpPr/>
                          <wps:spPr bwMode="auto">
                            <a:xfrm>
                              <a:off x="5359" y="860"/>
                              <a:ext cx="12" cy="17"/>
                            </a:xfrm>
                            <a:custGeom>
                              <a:avLst/>
                              <a:gdLst>
                                <a:gd name="T0" fmla="*/ 0 w 12"/>
                                <a:gd name="T1" fmla="*/ 12 h 17"/>
                                <a:gd name="T2" fmla="*/ 12 w 12"/>
                                <a:gd name="T3" fmla="*/ 17 h 17"/>
                                <a:gd name="T4" fmla="*/ 12 w 12"/>
                                <a:gd name="T5" fmla="*/ 0 h 17"/>
                                <a:gd name="T6" fmla="*/ 0 w 12"/>
                                <a:gd name="T7" fmla="*/ 12 h 17"/>
                              </a:gdLst>
                              <a:ahLst/>
                              <a:cxnLst>
                                <a:cxn ang="0">
                                  <a:pos x="T0" y="T1"/>
                                </a:cxn>
                                <a:cxn ang="0">
                                  <a:pos x="T2" y="T3"/>
                                </a:cxn>
                                <a:cxn ang="0">
                                  <a:pos x="T4" y="T5"/>
                                </a:cxn>
                                <a:cxn ang="0">
                                  <a:pos x="T6" y="T7"/>
                                </a:cxn>
                              </a:cxnLst>
                              <a:rect l="0" t="0" r="r" b="b"/>
                              <a:pathLst>
                                <a:path w="12" h="17">
                                  <a:moveTo>
                                    <a:pt x="0" y="12"/>
                                  </a:moveTo>
                                  <a:lnTo>
                                    <a:pt x="12" y="17"/>
                                  </a:lnTo>
                                  <a:lnTo>
                                    <a:pt x="12" y="0"/>
                                  </a:lnTo>
                                  <a:lnTo>
                                    <a:pt x="0" y="12"/>
                                  </a:lnTo>
                                  <a:close/>
                                </a:path>
                              </a:pathLst>
                            </a:custGeom>
                            <a:solidFill>
                              <a:srgbClr val="000000"/>
                            </a:solidFill>
                            <a:ln>
                              <a:noFill/>
                            </a:ln>
                          </wps:spPr>
                          <wps:bodyPr rot="0" vert="horz" wrap="square" lIns="91440" tIns="45720" rIns="91440" bIns="45720" anchor="t" anchorCtr="0" upright="1">
                            <a:noAutofit/>
                          </wps:bodyPr>
                        </wps:wsp>
                        <wps:wsp>
                          <wps:cNvPr id="741" name="Freeform 1348"/>
                          <wps:cNvSpPr/>
                          <wps:spPr bwMode="auto">
                            <a:xfrm>
                              <a:off x="5359" y="860"/>
                              <a:ext cx="12" cy="17"/>
                            </a:xfrm>
                            <a:custGeom>
                              <a:avLst/>
                              <a:gdLst>
                                <a:gd name="T0" fmla="*/ 0 w 12"/>
                                <a:gd name="T1" fmla="*/ 12 h 17"/>
                                <a:gd name="T2" fmla="*/ 12 w 12"/>
                                <a:gd name="T3" fmla="*/ 17 h 17"/>
                                <a:gd name="T4" fmla="*/ 12 w 12"/>
                                <a:gd name="T5" fmla="*/ 0 h 17"/>
                                <a:gd name="T6" fmla="*/ 0 w 12"/>
                                <a:gd name="T7" fmla="*/ 12 h 17"/>
                              </a:gdLst>
                              <a:ahLst/>
                              <a:cxnLst>
                                <a:cxn ang="0">
                                  <a:pos x="T0" y="T1"/>
                                </a:cxn>
                                <a:cxn ang="0">
                                  <a:pos x="T2" y="T3"/>
                                </a:cxn>
                                <a:cxn ang="0">
                                  <a:pos x="T4" y="T5"/>
                                </a:cxn>
                                <a:cxn ang="0">
                                  <a:pos x="T6" y="T7"/>
                                </a:cxn>
                              </a:cxnLst>
                              <a:rect l="0" t="0" r="r" b="b"/>
                              <a:pathLst>
                                <a:path w="12" h="17">
                                  <a:moveTo>
                                    <a:pt x="0" y="12"/>
                                  </a:moveTo>
                                  <a:lnTo>
                                    <a:pt x="12" y="17"/>
                                  </a:lnTo>
                                  <a:lnTo>
                                    <a:pt x="12" y="0"/>
                                  </a:lnTo>
                                  <a:lnTo>
                                    <a:pt x="0" y="1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42" name="Freeform 1349"/>
                          <wps:cNvSpPr/>
                          <wps:spPr bwMode="auto">
                            <a:xfrm>
                              <a:off x="5371" y="860"/>
                              <a:ext cx="11" cy="17"/>
                            </a:xfrm>
                            <a:custGeom>
                              <a:avLst/>
                              <a:gdLst>
                                <a:gd name="T0" fmla="*/ 0 w 11"/>
                                <a:gd name="T1" fmla="*/ 17 h 17"/>
                                <a:gd name="T2" fmla="*/ 11 w 11"/>
                                <a:gd name="T3" fmla="*/ 12 h 17"/>
                                <a:gd name="T4" fmla="*/ 0 w 11"/>
                                <a:gd name="T5" fmla="*/ 0 h 17"/>
                                <a:gd name="T6" fmla="*/ 0 w 11"/>
                                <a:gd name="T7" fmla="*/ 17 h 17"/>
                              </a:gdLst>
                              <a:ahLst/>
                              <a:cxnLst>
                                <a:cxn ang="0">
                                  <a:pos x="T0" y="T1"/>
                                </a:cxn>
                                <a:cxn ang="0">
                                  <a:pos x="T2" y="T3"/>
                                </a:cxn>
                                <a:cxn ang="0">
                                  <a:pos x="T4" y="T5"/>
                                </a:cxn>
                                <a:cxn ang="0">
                                  <a:pos x="T6" y="T7"/>
                                </a:cxn>
                              </a:cxnLst>
                              <a:rect l="0" t="0" r="r" b="b"/>
                              <a:pathLst>
                                <a:path w="11" h="17">
                                  <a:moveTo>
                                    <a:pt x="0" y="17"/>
                                  </a:moveTo>
                                  <a:lnTo>
                                    <a:pt x="11" y="12"/>
                                  </a:lnTo>
                                  <a:lnTo>
                                    <a:pt x="0" y="0"/>
                                  </a:lnTo>
                                  <a:lnTo>
                                    <a:pt x="0" y="17"/>
                                  </a:lnTo>
                                  <a:close/>
                                </a:path>
                              </a:pathLst>
                            </a:custGeom>
                            <a:solidFill>
                              <a:srgbClr val="000000"/>
                            </a:solidFill>
                            <a:ln>
                              <a:noFill/>
                            </a:ln>
                          </wps:spPr>
                          <wps:bodyPr rot="0" vert="horz" wrap="square" lIns="91440" tIns="45720" rIns="91440" bIns="45720" anchor="t" anchorCtr="0" upright="1">
                            <a:noAutofit/>
                          </wps:bodyPr>
                        </wps:wsp>
                        <wps:wsp>
                          <wps:cNvPr id="743" name="Freeform 1350"/>
                          <wps:cNvSpPr/>
                          <wps:spPr bwMode="auto">
                            <a:xfrm>
                              <a:off x="5371" y="860"/>
                              <a:ext cx="11" cy="17"/>
                            </a:xfrm>
                            <a:custGeom>
                              <a:avLst/>
                              <a:gdLst>
                                <a:gd name="T0" fmla="*/ 0 w 11"/>
                                <a:gd name="T1" fmla="*/ 17 h 17"/>
                                <a:gd name="T2" fmla="*/ 11 w 11"/>
                                <a:gd name="T3" fmla="*/ 12 h 17"/>
                                <a:gd name="T4" fmla="*/ 0 w 11"/>
                                <a:gd name="T5" fmla="*/ 0 h 17"/>
                                <a:gd name="T6" fmla="*/ 0 w 11"/>
                                <a:gd name="T7" fmla="*/ 17 h 17"/>
                              </a:gdLst>
                              <a:ahLst/>
                              <a:cxnLst>
                                <a:cxn ang="0">
                                  <a:pos x="T0" y="T1"/>
                                </a:cxn>
                                <a:cxn ang="0">
                                  <a:pos x="T2" y="T3"/>
                                </a:cxn>
                                <a:cxn ang="0">
                                  <a:pos x="T4" y="T5"/>
                                </a:cxn>
                                <a:cxn ang="0">
                                  <a:pos x="T6" y="T7"/>
                                </a:cxn>
                              </a:cxnLst>
                              <a:rect l="0" t="0" r="r" b="b"/>
                              <a:pathLst>
                                <a:path w="11" h="17">
                                  <a:moveTo>
                                    <a:pt x="0" y="17"/>
                                  </a:moveTo>
                                  <a:lnTo>
                                    <a:pt x="11" y="12"/>
                                  </a:lnTo>
                                  <a:lnTo>
                                    <a:pt x="0" y="0"/>
                                  </a:lnTo>
                                  <a:lnTo>
                                    <a:pt x="0" y="17"/>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44" name="Freeform 1351"/>
                          <wps:cNvSpPr/>
                          <wps:spPr bwMode="auto">
                            <a:xfrm>
                              <a:off x="5371" y="860"/>
                              <a:ext cx="16" cy="12"/>
                            </a:xfrm>
                            <a:custGeom>
                              <a:avLst/>
                              <a:gdLst>
                                <a:gd name="T0" fmla="*/ 11 w 16"/>
                                <a:gd name="T1" fmla="*/ 12 h 12"/>
                                <a:gd name="T2" fmla="*/ 16 w 16"/>
                                <a:gd name="T3" fmla="*/ 0 h 12"/>
                                <a:gd name="T4" fmla="*/ 0 w 16"/>
                                <a:gd name="T5" fmla="*/ 0 h 12"/>
                                <a:gd name="T6" fmla="*/ 11 w 16"/>
                                <a:gd name="T7" fmla="*/ 12 h 12"/>
                              </a:gdLst>
                              <a:ahLst/>
                              <a:cxnLst>
                                <a:cxn ang="0">
                                  <a:pos x="T0" y="T1"/>
                                </a:cxn>
                                <a:cxn ang="0">
                                  <a:pos x="T2" y="T3"/>
                                </a:cxn>
                                <a:cxn ang="0">
                                  <a:pos x="T4" y="T5"/>
                                </a:cxn>
                                <a:cxn ang="0">
                                  <a:pos x="T6" y="T7"/>
                                </a:cxn>
                              </a:cxnLst>
                              <a:rect l="0" t="0" r="r" b="b"/>
                              <a:pathLst>
                                <a:path w="16" h="12">
                                  <a:moveTo>
                                    <a:pt x="11" y="12"/>
                                  </a:moveTo>
                                  <a:lnTo>
                                    <a:pt x="16" y="0"/>
                                  </a:lnTo>
                                  <a:lnTo>
                                    <a:pt x="0" y="0"/>
                                  </a:lnTo>
                                  <a:lnTo>
                                    <a:pt x="11" y="12"/>
                                  </a:lnTo>
                                  <a:close/>
                                </a:path>
                              </a:pathLst>
                            </a:custGeom>
                            <a:solidFill>
                              <a:srgbClr val="000000"/>
                            </a:solidFill>
                            <a:ln>
                              <a:noFill/>
                            </a:ln>
                          </wps:spPr>
                          <wps:bodyPr rot="0" vert="horz" wrap="square" lIns="91440" tIns="45720" rIns="91440" bIns="45720" anchor="t" anchorCtr="0" upright="1">
                            <a:noAutofit/>
                          </wps:bodyPr>
                        </wps:wsp>
                        <wps:wsp>
                          <wps:cNvPr id="745" name="Freeform 1352"/>
                          <wps:cNvSpPr/>
                          <wps:spPr bwMode="auto">
                            <a:xfrm>
                              <a:off x="5371" y="860"/>
                              <a:ext cx="16" cy="12"/>
                            </a:xfrm>
                            <a:custGeom>
                              <a:avLst/>
                              <a:gdLst>
                                <a:gd name="T0" fmla="*/ 11 w 16"/>
                                <a:gd name="T1" fmla="*/ 12 h 12"/>
                                <a:gd name="T2" fmla="*/ 16 w 16"/>
                                <a:gd name="T3" fmla="*/ 0 h 12"/>
                                <a:gd name="T4" fmla="*/ 0 w 16"/>
                                <a:gd name="T5" fmla="*/ 0 h 12"/>
                                <a:gd name="T6" fmla="*/ 11 w 16"/>
                                <a:gd name="T7" fmla="*/ 12 h 12"/>
                              </a:gdLst>
                              <a:ahLst/>
                              <a:cxnLst>
                                <a:cxn ang="0">
                                  <a:pos x="T0" y="T1"/>
                                </a:cxn>
                                <a:cxn ang="0">
                                  <a:pos x="T2" y="T3"/>
                                </a:cxn>
                                <a:cxn ang="0">
                                  <a:pos x="T4" y="T5"/>
                                </a:cxn>
                                <a:cxn ang="0">
                                  <a:pos x="T6" y="T7"/>
                                </a:cxn>
                              </a:cxnLst>
                              <a:rect l="0" t="0" r="r" b="b"/>
                              <a:pathLst>
                                <a:path w="16" h="12">
                                  <a:moveTo>
                                    <a:pt x="11" y="12"/>
                                  </a:moveTo>
                                  <a:lnTo>
                                    <a:pt x="16" y="0"/>
                                  </a:lnTo>
                                  <a:lnTo>
                                    <a:pt x="0" y="0"/>
                                  </a:lnTo>
                                  <a:lnTo>
                                    <a:pt x="11" y="1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46" name="Freeform 1353"/>
                          <wps:cNvSpPr/>
                          <wps:spPr bwMode="auto">
                            <a:xfrm>
                              <a:off x="5370" y="1260"/>
                              <a:ext cx="16" cy="9"/>
                            </a:xfrm>
                            <a:custGeom>
                              <a:avLst/>
                              <a:gdLst>
                                <a:gd name="T0" fmla="*/ 16 w 16"/>
                                <a:gd name="T1" fmla="*/ 9 h 9"/>
                                <a:gd name="T2" fmla="*/ 14 w 16"/>
                                <a:gd name="T3" fmla="*/ 0 h 9"/>
                                <a:gd name="T4" fmla="*/ 0 w 16"/>
                                <a:gd name="T5" fmla="*/ 9 h 9"/>
                                <a:gd name="T6" fmla="*/ 16 w 16"/>
                                <a:gd name="T7" fmla="*/ 9 h 9"/>
                              </a:gdLst>
                              <a:ahLst/>
                              <a:cxnLst>
                                <a:cxn ang="0">
                                  <a:pos x="T0" y="T1"/>
                                </a:cxn>
                                <a:cxn ang="0">
                                  <a:pos x="T2" y="T3"/>
                                </a:cxn>
                                <a:cxn ang="0">
                                  <a:pos x="T4" y="T5"/>
                                </a:cxn>
                                <a:cxn ang="0">
                                  <a:pos x="T6" y="T7"/>
                                </a:cxn>
                              </a:cxnLst>
                              <a:rect l="0" t="0" r="r" b="b"/>
                              <a:pathLst>
                                <a:path w="16" h="9">
                                  <a:moveTo>
                                    <a:pt x="16" y="9"/>
                                  </a:moveTo>
                                  <a:lnTo>
                                    <a:pt x="14" y="0"/>
                                  </a:lnTo>
                                  <a:lnTo>
                                    <a:pt x="0" y="9"/>
                                  </a:lnTo>
                                  <a:lnTo>
                                    <a:pt x="16" y="9"/>
                                  </a:lnTo>
                                  <a:close/>
                                </a:path>
                              </a:pathLst>
                            </a:custGeom>
                            <a:solidFill>
                              <a:srgbClr val="000000"/>
                            </a:solidFill>
                            <a:ln>
                              <a:noFill/>
                            </a:ln>
                          </wps:spPr>
                          <wps:bodyPr rot="0" vert="horz" wrap="square" lIns="91440" tIns="45720" rIns="91440" bIns="45720" anchor="t" anchorCtr="0" upright="1">
                            <a:noAutofit/>
                          </wps:bodyPr>
                        </wps:wsp>
                        <wps:wsp>
                          <wps:cNvPr id="747" name="Freeform 1354"/>
                          <wps:cNvSpPr/>
                          <wps:spPr bwMode="auto">
                            <a:xfrm>
                              <a:off x="5370" y="1260"/>
                              <a:ext cx="16" cy="9"/>
                            </a:xfrm>
                            <a:custGeom>
                              <a:avLst/>
                              <a:gdLst>
                                <a:gd name="T0" fmla="*/ 16 w 16"/>
                                <a:gd name="T1" fmla="*/ 9 h 9"/>
                                <a:gd name="T2" fmla="*/ 14 w 16"/>
                                <a:gd name="T3" fmla="*/ 0 h 9"/>
                                <a:gd name="T4" fmla="*/ 0 w 16"/>
                                <a:gd name="T5" fmla="*/ 9 h 9"/>
                                <a:gd name="T6" fmla="*/ 16 w 16"/>
                                <a:gd name="T7" fmla="*/ 9 h 9"/>
                              </a:gdLst>
                              <a:ahLst/>
                              <a:cxnLst>
                                <a:cxn ang="0">
                                  <a:pos x="T0" y="T1"/>
                                </a:cxn>
                                <a:cxn ang="0">
                                  <a:pos x="T2" y="T3"/>
                                </a:cxn>
                                <a:cxn ang="0">
                                  <a:pos x="T4" y="T5"/>
                                </a:cxn>
                                <a:cxn ang="0">
                                  <a:pos x="T6" y="T7"/>
                                </a:cxn>
                              </a:cxnLst>
                              <a:rect l="0" t="0" r="r" b="b"/>
                              <a:pathLst>
                                <a:path w="16" h="9">
                                  <a:moveTo>
                                    <a:pt x="16" y="9"/>
                                  </a:moveTo>
                                  <a:lnTo>
                                    <a:pt x="14" y="0"/>
                                  </a:lnTo>
                                  <a:lnTo>
                                    <a:pt x="0" y="9"/>
                                  </a:lnTo>
                                  <a:lnTo>
                                    <a:pt x="16" y="9"/>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48" name="Freeform 1355"/>
                          <wps:cNvSpPr/>
                          <wps:spPr bwMode="auto">
                            <a:xfrm>
                              <a:off x="5370" y="1255"/>
                              <a:ext cx="14" cy="14"/>
                            </a:xfrm>
                            <a:custGeom>
                              <a:avLst/>
                              <a:gdLst>
                                <a:gd name="T0" fmla="*/ 14 w 14"/>
                                <a:gd name="T1" fmla="*/ 5 h 14"/>
                                <a:gd name="T2" fmla="*/ 8 w 14"/>
                                <a:gd name="T3" fmla="*/ 0 h 14"/>
                                <a:gd name="T4" fmla="*/ 0 w 14"/>
                                <a:gd name="T5" fmla="*/ 14 h 14"/>
                                <a:gd name="T6" fmla="*/ 14 w 14"/>
                                <a:gd name="T7" fmla="*/ 5 h 14"/>
                              </a:gdLst>
                              <a:ahLst/>
                              <a:cxnLst>
                                <a:cxn ang="0">
                                  <a:pos x="T0" y="T1"/>
                                </a:cxn>
                                <a:cxn ang="0">
                                  <a:pos x="T2" y="T3"/>
                                </a:cxn>
                                <a:cxn ang="0">
                                  <a:pos x="T4" y="T5"/>
                                </a:cxn>
                                <a:cxn ang="0">
                                  <a:pos x="T6" y="T7"/>
                                </a:cxn>
                              </a:cxnLst>
                              <a:rect l="0" t="0" r="r" b="b"/>
                              <a:pathLst>
                                <a:path w="14" h="14">
                                  <a:moveTo>
                                    <a:pt x="14" y="5"/>
                                  </a:moveTo>
                                  <a:lnTo>
                                    <a:pt x="8" y="0"/>
                                  </a:lnTo>
                                  <a:lnTo>
                                    <a:pt x="0" y="14"/>
                                  </a:lnTo>
                                  <a:lnTo>
                                    <a:pt x="14" y="5"/>
                                  </a:lnTo>
                                  <a:close/>
                                </a:path>
                              </a:pathLst>
                            </a:custGeom>
                            <a:solidFill>
                              <a:srgbClr val="000000"/>
                            </a:solidFill>
                            <a:ln>
                              <a:noFill/>
                            </a:ln>
                          </wps:spPr>
                          <wps:bodyPr rot="0" vert="horz" wrap="square" lIns="91440" tIns="45720" rIns="91440" bIns="45720" anchor="t" anchorCtr="0" upright="1">
                            <a:noAutofit/>
                          </wps:bodyPr>
                        </wps:wsp>
                        <wps:wsp>
                          <wps:cNvPr id="749" name="Freeform 1356"/>
                          <wps:cNvSpPr/>
                          <wps:spPr bwMode="auto">
                            <a:xfrm>
                              <a:off x="5370" y="1255"/>
                              <a:ext cx="14" cy="14"/>
                            </a:xfrm>
                            <a:custGeom>
                              <a:avLst/>
                              <a:gdLst>
                                <a:gd name="T0" fmla="*/ 14 w 14"/>
                                <a:gd name="T1" fmla="*/ 5 h 14"/>
                                <a:gd name="T2" fmla="*/ 8 w 14"/>
                                <a:gd name="T3" fmla="*/ 0 h 14"/>
                                <a:gd name="T4" fmla="*/ 0 w 14"/>
                                <a:gd name="T5" fmla="*/ 14 h 14"/>
                                <a:gd name="T6" fmla="*/ 14 w 14"/>
                                <a:gd name="T7" fmla="*/ 5 h 14"/>
                              </a:gdLst>
                              <a:ahLst/>
                              <a:cxnLst>
                                <a:cxn ang="0">
                                  <a:pos x="T0" y="T1"/>
                                </a:cxn>
                                <a:cxn ang="0">
                                  <a:pos x="T2" y="T3"/>
                                </a:cxn>
                                <a:cxn ang="0">
                                  <a:pos x="T4" y="T5"/>
                                </a:cxn>
                                <a:cxn ang="0">
                                  <a:pos x="T6" y="T7"/>
                                </a:cxn>
                              </a:cxnLst>
                              <a:rect l="0" t="0" r="r" b="b"/>
                              <a:pathLst>
                                <a:path w="14" h="14">
                                  <a:moveTo>
                                    <a:pt x="14" y="5"/>
                                  </a:moveTo>
                                  <a:lnTo>
                                    <a:pt x="8" y="0"/>
                                  </a:lnTo>
                                  <a:lnTo>
                                    <a:pt x="0" y="14"/>
                                  </a:lnTo>
                                  <a:lnTo>
                                    <a:pt x="14" y="5"/>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50" name="Freeform 1357"/>
                          <wps:cNvSpPr/>
                          <wps:spPr bwMode="auto">
                            <a:xfrm>
                              <a:off x="5370" y="1252"/>
                              <a:ext cx="8" cy="17"/>
                            </a:xfrm>
                            <a:custGeom>
                              <a:avLst/>
                              <a:gdLst>
                                <a:gd name="T0" fmla="*/ 8 w 8"/>
                                <a:gd name="T1" fmla="*/ 3 h 17"/>
                                <a:gd name="T2" fmla="*/ 0 w 8"/>
                                <a:gd name="T3" fmla="*/ 0 h 17"/>
                                <a:gd name="T4" fmla="*/ 0 w 8"/>
                                <a:gd name="T5" fmla="*/ 17 h 17"/>
                                <a:gd name="T6" fmla="*/ 8 w 8"/>
                                <a:gd name="T7" fmla="*/ 3 h 17"/>
                              </a:gdLst>
                              <a:ahLst/>
                              <a:cxnLst>
                                <a:cxn ang="0">
                                  <a:pos x="T0" y="T1"/>
                                </a:cxn>
                                <a:cxn ang="0">
                                  <a:pos x="T2" y="T3"/>
                                </a:cxn>
                                <a:cxn ang="0">
                                  <a:pos x="T4" y="T5"/>
                                </a:cxn>
                                <a:cxn ang="0">
                                  <a:pos x="T6" y="T7"/>
                                </a:cxn>
                              </a:cxnLst>
                              <a:rect l="0" t="0" r="r" b="b"/>
                              <a:pathLst>
                                <a:path w="8" h="17">
                                  <a:moveTo>
                                    <a:pt x="8" y="3"/>
                                  </a:moveTo>
                                  <a:lnTo>
                                    <a:pt x="0" y="0"/>
                                  </a:lnTo>
                                  <a:lnTo>
                                    <a:pt x="0" y="17"/>
                                  </a:lnTo>
                                  <a:lnTo>
                                    <a:pt x="8" y="3"/>
                                  </a:lnTo>
                                  <a:close/>
                                </a:path>
                              </a:pathLst>
                            </a:custGeom>
                            <a:solidFill>
                              <a:srgbClr val="000000"/>
                            </a:solidFill>
                            <a:ln>
                              <a:noFill/>
                            </a:ln>
                          </wps:spPr>
                          <wps:bodyPr rot="0" vert="horz" wrap="square" lIns="91440" tIns="45720" rIns="91440" bIns="45720" anchor="t" anchorCtr="0" upright="1">
                            <a:noAutofit/>
                          </wps:bodyPr>
                        </wps:wsp>
                        <wps:wsp>
                          <wps:cNvPr id="751" name="Freeform 1358"/>
                          <wps:cNvSpPr/>
                          <wps:spPr bwMode="auto">
                            <a:xfrm>
                              <a:off x="5370" y="1252"/>
                              <a:ext cx="8" cy="17"/>
                            </a:xfrm>
                            <a:custGeom>
                              <a:avLst/>
                              <a:gdLst>
                                <a:gd name="T0" fmla="*/ 8 w 8"/>
                                <a:gd name="T1" fmla="*/ 3 h 17"/>
                                <a:gd name="T2" fmla="*/ 0 w 8"/>
                                <a:gd name="T3" fmla="*/ 0 h 17"/>
                                <a:gd name="T4" fmla="*/ 0 w 8"/>
                                <a:gd name="T5" fmla="*/ 17 h 17"/>
                                <a:gd name="T6" fmla="*/ 8 w 8"/>
                                <a:gd name="T7" fmla="*/ 3 h 17"/>
                              </a:gdLst>
                              <a:ahLst/>
                              <a:cxnLst>
                                <a:cxn ang="0">
                                  <a:pos x="T0" y="T1"/>
                                </a:cxn>
                                <a:cxn ang="0">
                                  <a:pos x="T2" y="T3"/>
                                </a:cxn>
                                <a:cxn ang="0">
                                  <a:pos x="T4" y="T5"/>
                                </a:cxn>
                                <a:cxn ang="0">
                                  <a:pos x="T6" y="T7"/>
                                </a:cxn>
                              </a:cxnLst>
                              <a:rect l="0" t="0" r="r" b="b"/>
                              <a:pathLst>
                                <a:path w="8" h="17">
                                  <a:moveTo>
                                    <a:pt x="8" y="3"/>
                                  </a:moveTo>
                                  <a:lnTo>
                                    <a:pt x="0" y="0"/>
                                  </a:lnTo>
                                  <a:lnTo>
                                    <a:pt x="0" y="17"/>
                                  </a:lnTo>
                                  <a:lnTo>
                                    <a:pt x="8" y="3"/>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52" name="Freeform 1359"/>
                          <wps:cNvSpPr/>
                          <wps:spPr bwMode="auto">
                            <a:xfrm>
                              <a:off x="5362" y="1252"/>
                              <a:ext cx="8" cy="17"/>
                            </a:xfrm>
                            <a:custGeom>
                              <a:avLst/>
                              <a:gdLst>
                                <a:gd name="T0" fmla="*/ 8 w 8"/>
                                <a:gd name="T1" fmla="*/ 0 h 17"/>
                                <a:gd name="T2" fmla="*/ 0 w 8"/>
                                <a:gd name="T3" fmla="*/ 3 h 17"/>
                                <a:gd name="T4" fmla="*/ 8 w 8"/>
                                <a:gd name="T5" fmla="*/ 17 h 17"/>
                                <a:gd name="T6" fmla="*/ 8 w 8"/>
                                <a:gd name="T7" fmla="*/ 0 h 17"/>
                              </a:gdLst>
                              <a:ahLst/>
                              <a:cxnLst>
                                <a:cxn ang="0">
                                  <a:pos x="T0" y="T1"/>
                                </a:cxn>
                                <a:cxn ang="0">
                                  <a:pos x="T2" y="T3"/>
                                </a:cxn>
                                <a:cxn ang="0">
                                  <a:pos x="T4" y="T5"/>
                                </a:cxn>
                                <a:cxn ang="0">
                                  <a:pos x="T6" y="T7"/>
                                </a:cxn>
                              </a:cxnLst>
                              <a:rect l="0" t="0" r="r" b="b"/>
                              <a:pathLst>
                                <a:path w="8" h="17">
                                  <a:moveTo>
                                    <a:pt x="8" y="0"/>
                                  </a:moveTo>
                                  <a:lnTo>
                                    <a:pt x="0" y="3"/>
                                  </a:lnTo>
                                  <a:lnTo>
                                    <a:pt x="8" y="17"/>
                                  </a:lnTo>
                                  <a:lnTo>
                                    <a:pt x="8" y="0"/>
                                  </a:lnTo>
                                  <a:close/>
                                </a:path>
                              </a:pathLst>
                            </a:custGeom>
                            <a:solidFill>
                              <a:srgbClr val="000000"/>
                            </a:solidFill>
                            <a:ln>
                              <a:noFill/>
                            </a:ln>
                          </wps:spPr>
                          <wps:bodyPr rot="0" vert="horz" wrap="square" lIns="91440" tIns="45720" rIns="91440" bIns="45720" anchor="t" anchorCtr="0" upright="1">
                            <a:noAutofit/>
                          </wps:bodyPr>
                        </wps:wsp>
                        <wps:wsp>
                          <wps:cNvPr id="753" name="Freeform 1360"/>
                          <wps:cNvSpPr/>
                          <wps:spPr bwMode="auto">
                            <a:xfrm>
                              <a:off x="5362" y="1252"/>
                              <a:ext cx="8" cy="17"/>
                            </a:xfrm>
                            <a:custGeom>
                              <a:avLst/>
                              <a:gdLst>
                                <a:gd name="T0" fmla="*/ 8 w 8"/>
                                <a:gd name="T1" fmla="*/ 0 h 17"/>
                                <a:gd name="T2" fmla="*/ 0 w 8"/>
                                <a:gd name="T3" fmla="*/ 3 h 17"/>
                                <a:gd name="T4" fmla="*/ 8 w 8"/>
                                <a:gd name="T5" fmla="*/ 17 h 17"/>
                                <a:gd name="T6" fmla="*/ 8 w 8"/>
                                <a:gd name="T7" fmla="*/ 0 h 17"/>
                              </a:gdLst>
                              <a:ahLst/>
                              <a:cxnLst>
                                <a:cxn ang="0">
                                  <a:pos x="T0" y="T1"/>
                                </a:cxn>
                                <a:cxn ang="0">
                                  <a:pos x="T2" y="T3"/>
                                </a:cxn>
                                <a:cxn ang="0">
                                  <a:pos x="T4" y="T5"/>
                                </a:cxn>
                                <a:cxn ang="0">
                                  <a:pos x="T6" y="T7"/>
                                </a:cxn>
                              </a:cxnLst>
                              <a:rect l="0" t="0" r="r" b="b"/>
                              <a:pathLst>
                                <a:path w="8" h="17">
                                  <a:moveTo>
                                    <a:pt x="8" y="0"/>
                                  </a:moveTo>
                                  <a:lnTo>
                                    <a:pt x="0" y="3"/>
                                  </a:lnTo>
                                  <a:lnTo>
                                    <a:pt x="8" y="17"/>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54" name="Freeform 1361"/>
                          <wps:cNvSpPr/>
                          <wps:spPr bwMode="auto">
                            <a:xfrm>
                              <a:off x="5356" y="1255"/>
                              <a:ext cx="14" cy="14"/>
                            </a:xfrm>
                            <a:custGeom>
                              <a:avLst/>
                              <a:gdLst>
                                <a:gd name="T0" fmla="*/ 6 w 14"/>
                                <a:gd name="T1" fmla="*/ 0 h 14"/>
                                <a:gd name="T2" fmla="*/ 0 w 14"/>
                                <a:gd name="T3" fmla="*/ 5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5"/>
                                  </a:lnTo>
                                  <a:lnTo>
                                    <a:pt x="14" y="14"/>
                                  </a:lnTo>
                                  <a:lnTo>
                                    <a:pt x="6" y="0"/>
                                  </a:lnTo>
                                  <a:close/>
                                </a:path>
                              </a:pathLst>
                            </a:custGeom>
                            <a:solidFill>
                              <a:srgbClr val="000000"/>
                            </a:solidFill>
                            <a:ln>
                              <a:noFill/>
                            </a:ln>
                          </wps:spPr>
                          <wps:bodyPr rot="0" vert="horz" wrap="square" lIns="91440" tIns="45720" rIns="91440" bIns="45720" anchor="t" anchorCtr="0" upright="1">
                            <a:noAutofit/>
                          </wps:bodyPr>
                        </wps:wsp>
                        <wps:wsp>
                          <wps:cNvPr id="755" name="Freeform 1362"/>
                          <wps:cNvSpPr/>
                          <wps:spPr bwMode="auto">
                            <a:xfrm>
                              <a:off x="5356" y="1255"/>
                              <a:ext cx="14" cy="14"/>
                            </a:xfrm>
                            <a:custGeom>
                              <a:avLst/>
                              <a:gdLst>
                                <a:gd name="T0" fmla="*/ 6 w 14"/>
                                <a:gd name="T1" fmla="*/ 0 h 14"/>
                                <a:gd name="T2" fmla="*/ 0 w 14"/>
                                <a:gd name="T3" fmla="*/ 5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5"/>
                                  </a:lnTo>
                                  <a:lnTo>
                                    <a:pt x="14" y="14"/>
                                  </a:lnTo>
                                  <a:lnTo>
                                    <a:pt x="6"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56" name="Freeform 1363"/>
                          <wps:cNvSpPr/>
                          <wps:spPr bwMode="auto">
                            <a:xfrm>
                              <a:off x="5354" y="1260"/>
                              <a:ext cx="16" cy="9"/>
                            </a:xfrm>
                            <a:custGeom>
                              <a:avLst/>
                              <a:gdLst>
                                <a:gd name="T0" fmla="*/ 2 w 16"/>
                                <a:gd name="T1" fmla="*/ 0 h 9"/>
                                <a:gd name="T2" fmla="*/ 0 w 16"/>
                                <a:gd name="T3" fmla="*/ 9 h 9"/>
                                <a:gd name="T4" fmla="*/ 16 w 16"/>
                                <a:gd name="T5" fmla="*/ 9 h 9"/>
                                <a:gd name="T6" fmla="*/ 2 w 16"/>
                                <a:gd name="T7" fmla="*/ 0 h 9"/>
                              </a:gdLst>
                              <a:ahLst/>
                              <a:cxnLst>
                                <a:cxn ang="0">
                                  <a:pos x="T0" y="T1"/>
                                </a:cxn>
                                <a:cxn ang="0">
                                  <a:pos x="T2" y="T3"/>
                                </a:cxn>
                                <a:cxn ang="0">
                                  <a:pos x="T4" y="T5"/>
                                </a:cxn>
                                <a:cxn ang="0">
                                  <a:pos x="T6" y="T7"/>
                                </a:cxn>
                              </a:cxnLst>
                              <a:rect l="0" t="0" r="r" b="b"/>
                              <a:pathLst>
                                <a:path w="16" h="9">
                                  <a:moveTo>
                                    <a:pt x="2" y="0"/>
                                  </a:moveTo>
                                  <a:lnTo>
                                    <a:pt x="0" y="9"/>
                                  </a:lnTo>
                                  <a:lnTo>
                                    <a:pt x="16" y="9"/>
                                  </a:lnTo>
                                  <a:lnTo>
                                    <a:pt x="2" y="0"/>
                                  </a:lnTo>
                                  <a:close/>
                                </a:path>
                              </a:pathLst>
                            </a:custGeom>
                            <a:solidFill>
                              <a:srgbClr val="000000"/>
                            </a:solidFill>
                            <a:ln>
                              <a:noFill/>
                            </a:ln>
                          </wps:spPr>
                          <wps:bodyPr rot="0" vert="horz" wrap="square" lIns="91440" tIns="45720" rIns="91440" bIns="45720" anchor="t" anchorCtr="0" upright="1">
                            <a:noAutofit/>
                          </wps:bodyPr>
                        </wps:wsp>
                        <wps:wsp>
                          <wps:cNvPr id="757" name="Freeform 1364"/>
                          <wps:cNvSpPr/>
                          <wps:spPr bwMode="auto">
                            <a:xfrm>
                              <a:off x="5354" y="1260"/>
                              <a:ext cx="16" cy="9"/>
                            </a:xfrm>
                            <a:custGeom>
                              <a:avLst/>
                              <a:gdLst>
                                <a:gd name="T0" fmla="*/ 2 w 16"/>
                                <a:gd name="T1" fmla="*/ 0 h 9"/>
                                <a:gd name="T2" fmla="*/ 0 w 16"/>
                                <a:gd name="T3" fmla="*/ 9 h 9"/>
                                <a:gd name="T4" fmla="*/ 16 w 16"/>
                                <a:gd name="T5" fmla="*/ 9 h 9"/>
                                <a:gd name="T6" fmla="*/ 2 w 16"/>
                                <a:gd name="T7" fmla="*/ 0 h 9"/>
                              </a:gdLst>
                              <a:ahLst/>
                              <a:cxnLst>
                                <a:cxn ang="0">
                                  <a:pos x="T0" y="T1"/>
                                </a:cxn>
                                <a:cxn ang="0">
                                  <a:pos x="T2" y="T3"/>
                                </a:cxn>
                                <a:cxn ang="0">
                                  <a:pos x="T4" y="T5"/>
                                </a:cxn>
                                <a:cxn ang="0">
                                  <a:pos x="T6" y="T7"/>
                                </a:cxn>
                              </a:cxnLst>
                              <a:rect l="0" t="0" r="r" b="b"/>
                              <a:pathLst>
                                <a:path w="16" h="9">
                                  <a:moveTo>
                                    <a:pt x="2" y="0"/>
                                  </a:moveTo>
                                  <a:lnTo>
                                    <a:pt x="0" y="9"/>
                                  </a:lnTo>
                                  <a:lnTo>
                                    <a:pt x="16" y="9"/>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58" name="Freeform 1365"/>
                          <wps:cNvSpPr/>
                          <wps:spPr bwMode="auto">
                            <a:xfrm>
                              <a:off x="5354" y="1269"/>
                              <a:ext cx="16" cy="8"/>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759" name="Freeform 1366"/>
                          <wps:cNvSpPr/>
                          <wps:spPr bwMode="auto">
                            <a:xfrm>
                              <a:off x="5354" y="1269"/>
                              <a:ext cx="16" cy="8"/>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60" name="Freeform 1367"/>
                          <wps:cNvSpPr/>
                          <wps:spPr bwMode="auto">
                            <a:xfrm>
                              <a:off x="5356" y="1269"/>
                              <a:ext cx="14" cy="14"/>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solidFill>
                              <a:srgbClr val="000000"/>
                            </a:solidFill>
                            <a:ln>
                              <a:noFill/>
                            </a:ln>
                          </wps:spPr>
                          <wps:bodyPr rot="0" vert="horz" wrap="square" lIns="91440" tIns="45720" rIns="91440" bIns="45720" anchor="t" anchorCtr="0" upright="1">
                            <a:noAutofit/>
                          </wps:bodyPr>
                        </wps:wsp>
                        <wps:wsp>
                          <wps:cNvPr id="761" name="Freeform 1368"/>
                          <wps:cNvSpPr/>
                          <wps:spPr bwMode="auto">
                            <a:xfrm>
                              <a:off x="5356" y="1269"/>
                              <a:ext cx="14" cy="14"/>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62" name="Freeform 1369"/>
                          <wps:cNvSpPr/>
                          <wps:spPr bwMode="auto">
                            <a:xfrm>
                              <a:off x="5362" y="1269"/>
                              <a:ext cx="8" cy="16"/>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solidFill>
                              <a:srgbClr val="000000"/>
                            </a:solidFill>
                            <a:ln>
                              <a:noFill/>
                            </a:ln>
                          </wps:spPr>
                          <wps:bodyPr rot="0" vert="horz" wrap="square" lIns="91440" tIns="45720" rIns="91440" bIns="45720" anchor="t" anchorCtr="0" upright="1">
                            <a:noAutofit/>
                          </wps:bodyPr>
                        </wps:wsp>
                        <wps:wsp>
                          <wps:cNvPr id="763" name="Freeform 1370"/>
                          <wps:cNvSpPr/>
                          <wps:spPr bwMode="auto">
                            <a:xfrm>
                              <a:off x="5362" y="1269"/>
                              <a:ext cx="8" cy="16"/>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64" name="Freeform 1371"/>
                          <wps:cNvSpPr/>
                          <wps:spPr bwMode="auto">
                            <a:xfrm>
                              <a:off x="5370" y="1269"/>
                              <a:ext cx="8" cy="16"/>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765" name="Freeform 1372"/>
                          <wps:cNvSpPr/>
                          <wps:spPr bwMode="auto">
                            <a:xfrm>
                              <a:off x="5370" y="1269"/>
                              <a:ext cx="8" cy="16"/>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66" name="Freeform 1373"/>
                          <wps:cNvSpPr/>
                          <wps:spPr bwMode="auto">
                            <a:xfrm>
                              <a:off x="5370" y="1269"/>
                              <a:ext cx="14" cy="14"/>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solidFill>
                              <a:srgbClr val="000000"/>
                            </a:solidFill>
                            <a:ln>
                              <a:noFill/>
                            </a:ln>
                          </wps:spPr>
                          <wps:bodyPr rot="0" vert="horz" wrap="square" lIns="91440" tIns="45720" rIns="91440" bIns="45720" anchor="t" anchorCtr="0" upright="1">
                            <a:noAutofit/>
                          </wps:bodyPr>
                        </wps:wsp>
                        <wps:wsp>
                          <wps:cNvPr id="767" name="Freeform 1374"/>
                          <wps:cNvSpPr/>
                          <wps:spPr bwMode="auto">
                            <a:xfrm>
                              <a:off x="5370" y="1269"/>
                              <a:ext cx="14" cy="14"/>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68" name="Freeform 1375"/>
                          <wps:cNvSpPr/>
                          <wps:spPr bwMode="auto">
                            <a:xfrm>
                              <a:off x="5370" y="1269"/>
                              <a:ext cx="16" cy="8"/>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solidFill>
                              <a:srgbClr val="000000"/>
                            </a:solidFill>
                            <a:ln>
                              <a:noFill/>
                            </a:ln>
                          </wps:spPr>
                          <wps:bodyPr rot="0" vert="horz" wrap="square" lIns="91440" tIns="45720" rIns="91440" bIns="45720" anchor="t" anchorCtr="0" upright="1">
                            <a:noAutofit/>
                          </wps:bodyPr>
                        </wps:wsp>
                        <wps:wsp>
                          <wps:cNvPr id="769" name="Freeform 1376"/>
                          <wps:cNvSpPr/>
                          <wps:spPr bwMode="auto">
                            <a:xfrm>
                              <a:off x="5370" y="1269"/>
                              <a:ext cx="16" cy="8"/>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70" name="Freeform 1377"/>
                          <wps:cNvSpPr/>
                          <wps:spPr bwMode="auto">
                            <a:xfrm>
                              <a:off x="5102" y="1263"/>
                              <a:ext cx="16" cy="8"/>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solidFill>
                              <a:srgbClr val="000000"/>
                            </a:solidFill>
                            <a:ln>
                              <a:noFill/>
                            </a:ln>
                          </wps:spPr>
                          <wps:bodyPr rot="0" vert="horz" wrap="square" lIns="91440" tIns="45720" rIns="91440" bIns="45720" anchor="t" anchorCtr="0" upright="1">
                            <a:noAutofit/>
                          </wps:bodyPr>
                        </wps:wsp>
                        <wps:wsp>
                          <wps:cNvPr id="771" name="Freeform 1378"/>
                          <wps:cNvSpPr/>
                          <wps:spPr bwMode="auto">
                            <a:xfrm>
                              <a:off x="5102" y="1263"/>
                              <a:ext cx="16" cy="8"/>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72" name="Freeform 1379"/>
                          <wps:cNvSpPr/>
                          <wps:spPr bwMode="auto">
                            <a:xfrm>
                              <a:off x="5102" y="1257"/>
                              <a:ext cx="14" cy="14"/>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solidFill>
                              <a:srgbClr val="000000"/>
                            </a:solidFill>
                            <a:ln>
                              <a:noFill/>
                            </a:ln>
                          </wps:spPr>
                          <wps:bodyPr rot="0" vert="horz" wrap="square" lIns="91440" tIns="45720" rIns="91440" bIns="45720" anchor="t" anchorCtr="0" upright="1">
                            <a:noAutofit/>
                          </wps:bodyPr>
                        </wps:wsp>
                        <wps:wsp>
                          <wps:cNvPr id="773" name="Freeform 1380"/>
                          <wps:cNvSpPr/>
                          <wps:spPr bwMode="auto">
                            <a:xfrm>
                              <a:off x="5102" y="1257"/>
                              <a:ext cx="14" cy="14"/>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74" name="Freeform 1381"/>
                          <wps:cNvSpPr/>
                          <wps:spPr bwMode="auto">
                            <a:xfrm>
                              <a:off x="5102" y="1255"/>
                              <a:ext cx="8" cy="16"/>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solidFill>
                              <a:srgbClr val="000000"/>
                            </a:solidFill>
                            <a:ln>
                              <a:noFill/>
                            </a:ln>
                          </wps:spPr>
                          <wps:bodyPr rot="0" vert="horz" wrap="square" lIns="91440" tIns="45720" rIns="91440" bIns="45720" anchor="t" anchorCtr="0" upright="1">
                            <a:noAutofit/>
                          </wps:bodyPr>
                        </wps:wsp>
                        <wps:wsp>
                          <wps:cNvPr id="775" name="Freeform 1382"/>
                          <wps:cNvSpPr/>
                          <wps:spPr bwMode="auto">
                            <a:xfrm>
                              <a:off x="5102" y="1255"/>
                              <a:ext cx="8" cy="16"/>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76" name="Freeform 1383"/>
                          <wps:cNvSpPr/>
                          <wps:spPr bwMode="auto">
                            <a:xfrm>
                              <a:off x="5094" y="1255"/>
                              <a:ext cx="8" cy="16"/>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solidFill>
                              <a:srgbClr val="000000"/>
                            </a:solidFill>
                            <a:ln>
                              <a:noFill/>
                            </a:ln>
                          </wps:spPr>
                          <wps:bodyPr rot="0" vert="horz" wrap="square" lIns="91440" tIns="45720" rIns="91440" bIns="45720" anchor="t" anchorCtr="0" upright="1">
                            <a:noAutofit/>
                          </wps:bodyPr>
                        </wps:wsp>
                        <wps:wsp>
                          <wps:cNvPr id="777" name="Freeform 1384"/>
                          <wps:cNvSpPr/>
                          <wps:spPr bwMode="auto">
                            <a:xfrm>
                              <a:off x="5094" y="1255"/>
                              <a:ext cx="8" cy="16"/>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78" name="Freeform 1385"/>
                          <wps:cNvSpPr/>
                          <wps:spPr bwMode="auto">
                            <a:xfrm>
                              <a:off x="5088" y="1257"/>
                              <a:ext cx="14" cy="14"/>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solidFill>
                              <a:srgbClr val="000000"/>
                            </a:solidFill>
                            <a:ln>
                              <a:noFill/>
                            </a:ln>
                          </wps:spPr>
                          <wps:bodyPr rot="0" vert="horz" wrap="square" lIns="91440" tIns="45720" rIns="91440" bIns="45720" anchor="t" anchorCtr="0" upright="1">
                            <a:noAutofit/>
                          </wps:bodyPr>
                        </wps:wsp>
                      </wpg:wgp>
                      <wps:wsp>
                        <wps:cNvPr id="779" name="Freeform 1387"/>
                        <wps:cNvSpPr/>
                        <wps:spPr bwMode="auto">
                          <a:xfrm>
                            <a:off x="3230880" y="798195"/>
                            <a:ext cx="8890" cy="8890"/>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80" name="Freeform 1388"/>
                        <wps:cNvSpPr/>
                        <wps:spPr bwMode="auto">
                          <a:xfrm>
                            <a:off x="3229610" y="802005"/>
                            <a:ext cx="10160" cy="5080"/>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solidFill>
                            <a:srgbClr val="000000"/>
                          </a:solidFill>
                          <a:ln>
                            <a:noFill/>
                          </a:ln>
                        </wps:spPr>
                        <wps:bodyPr rot="0" vert="horz" wrap="square" lIns="91440" tIns="45720" rIns="91440" bIns="45720" anchor="t" anchorCtr="0" upright="1">
                          <a:noAutofit/>
                        </wps:bodyPr>
                      </wps:wsp>
                      <wps:wsp>
                        <wps:cNvPr id="781" name="Freeform 1389"/>
                        <wps:cNvSpPr/>
                        <wps:spPr bwMode="auto">
                          <a:xfrm>
                            <a:off x="3229610" y="802005"/>
                            <a:ext cx="10160" cy="5080"/>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82" name="Freeform 1390"/>
                        <wps:cNvSpPr/>
                        <wps:spPr bwMode="auto">
                          <a:xfrm>
                            <a:off x="3229610" y="807085"/>
                            <a:ext cx="10160" cy="5080"/>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783" name="Freeform 1391"/>
                        <wps:cNvSpPr/>
                        <wps:spPr bwMode="auto">
                          <a:xfrm>
                            <a:off x="3229610" y="807085"/>
                            <a:ext cx="10160" cy="5080"/>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84" name="Freeform 1392"/>
                        <wps:cNvSpPr/>
                        <wps:spPr bwMode="auto">
                          <a:xfrm>
                            <a:off x="3230880" y="807085"/>
                            <a:ext cx="8890" cy="8890"/>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solidFill>
                            <a:srgbClr val="000000"/>
                          </a:solidFill>
                          <a:ln>
                            <a:noFill/>
                          </a:ln>
                        </wps:spPr>
                        <wps:bodyPr rot="0" vert="horz" wrap="square" lIns="91440" tIns="45720" rIns="91440" bIns="45720" anchor="t" anchorCtr="0" upright="1">
                          <a:noAutofit/>
                        </wps:bodyPr>
                      </wps:wsp>
                      <wps:wsp>
                        <wps:cNvPr id="785" name="Freeform 1393"/>
                        <wps:cNvSpPr/>
                        <wps:spPr bwMode="auto">
                          <a:xfrm>
                            <a:off x="3230880" y="807085"/>
                            <a:ext cx="8890" cy="8890"/>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86" name="Freeform 1394"/>
                        <wps:cNvSpPr/>
                        <wps:spPr bwMode="auto">
                          <a:xfrm>
                            <a:off x="3234690" y="807085"/>
                            <a:ext cx="5080" cy="10160"/>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solidFill>
                            <a:srgbClr val="000000"/>
                          </a:solidFill>
                          <a:ln>
                            <a:noFill/>
                          </a:ln>
                        </wps:spPr>
                        <wps:bodyPr rot="0" vert="horz" wrap="square" lIns="91440" tIns="45720" rIns="91440" bIns="45720" anchor="t" anchorCtr="0" upright="1">
                          <a:noAutofit/>
                        </wps:bodyPr>
                      </wps:wsp>
                      <wps:wsp>
                        <wps:cNvPr id="787" name="Freeform 1395"/>
                        <wps:cNvSpPr/>
                        <wps:spPr bwMode="auto">
                          <a:xfrm>
                            <a:off x="3234690" y="807085"/>
                            <a:ext cx="5080" cy="10160"/>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88" name="Freeform 1396"/>
                        <wps:cNvSpPr/>
                        <wps:spPr bwMode="auto">
                          <a:xfrm>
                            <a:off x="3239770" y="807085"/>
                            <a:ext cx="5080" cy="10160"/>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789" name="Freeform 1397"/>
                        <wps:cNvSpPr/>
                        <wps:spPr bwMode="auto">
                          <a:xfrm>
                            <a:off x="3239770" y="807085"/>
                            <a:ext cx="5080" cy="10160"/>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90" name="Freeform 1398"/>
                        <wps:cNvSpPr/>
                        <wps:spPr bwMode="auto">
                          <a:xfrm>
                            <a:off x="3239770" y="807085"/>
                            <a:ext cx="8890" cy="8890"/>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solidFill>
                            <a:srgbClr val="000000"/>
                          </a:solidFill>
                          <a:ln>
                            <a:noFill/>
                          </a:ln>
                        </wps:spPr>
                        <wps:bodyPr rot="0" vert="horz" wrap="square" lIns="91440" tIns="45720" rIns="91440" bIns="45720" anchor="t" anchorCtr="0" upright="1">
                          <a:noAutofit/>
                        </wps:bodyPr>
                      </wps:wsp>
                      <wps:wsp>
                        <wps:cNvPr id="791" name="Freeform 1399"/>
                        <wps:cNvSpPr/>
                        <wps:spPr bwMode="auto">
                          <a:xfrm>
                            <a:off x="3239770" y="807085"/>
                            <a:ext cx="8890" cy="8890"/>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92" name="Freeform 1400"/>
                        <wps:cNvSpPr/>
                        <wps:spPr bwMode="auto">
                          <a:xfrm>
                            <a:off x="3239770" y="807085"/>
                            <a:ext cx="10160" cy="5080"/>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solidFill>
                            <a:srgbClr val="000000"/>
                          </a:solidFill>
                          <a:ln>
                            <a:noFill/>
                          </a:ln>
                        </wps:spPr>
                        <wps:bodyPr rot="0" vert="horz" wrap="square" lIns="91440" tIns="45720" rIns="91440" bIns="45720" anchor="t" anchorCtr="0" upright="1">
                          <a:noAutofit/>
                        </wps:bodyPr>
                      </wps:wsp>
                      <wps:wsp>
                        <wps:cNvPr id="793" name="Freeform 1401"/>
                        <wps:cNvSpPr/>
                        <wps:spPr bwMode="auto">
                          <a:xfrm>
                            <a:off x="3239770" y="807085"/>
                            <a:ext cx="10160" cy="5080"/>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94" name="Freeform 1402"/>
                        <wps:cNvSpPr/>
                        <wps:spPr bwMode="auto">
                          <a:xfrm>
                            <a:off x="3070225" y="799465"/>
                            <a:ext cx="10160" cy="7620"/>
                          </a:xfrm>
                          <a:custGeom>
                            <a:avLst/>
                            <a:gdLst>
                              <a:gd name="T0" fmla="*/ 16 w 16"/>
                              <a:gd name="T1" fmla="*/ 12 h 12"/>
                              <a:gd name="T2" fmla="*/ 11 w 16"/>
                              <a:gd name="T3" fmla="*/ 0 h 12"/>
                              <a:gd name="T4" fmla="*/ 0 w 16"/>
                              <a:gd name="T5" fmla="*/ 12 h 12"/>
                              <a:gd name="T6" fmla="*/ 16 w 16"/>
                              <a:gd name="T7" fmla="*/ 12 h 12"/>
                            </a:gdLst>
                            <a:ahLst/>
                            <a:cxnLst>
                              <a:cxn ang="0">
                                <a:pos x="T0" y="T1"/>
                              </a:cxn>
                              <a:cxn ang="0">
                                <a:pos x="T2" y="T3"/>
                              </a:cxn>
                              <a:cxn ang="0">
                                <a:pos x="T4" y="T5"/>
                              </a:cxn>
                              <a:cxn ang="0">
                                <a:pos x="T6" y="T7"/>
                              </a:cxn>
                            </a:cxnLst>
                            <a:rect l="0" t="0" r="r" b="b"/>
                            <a:pathLst>
                              <a:path w="16" h="12">
                                <a:moveTo>
                                  <a:pt x="16" y="12"/>
                                </a:moveTo>
                                <a:lnTo>
                                  <a:pt x="11" y="0"/>
                                </a:lnTo>
                                <a:lnTo>
                                  <a:pt x="0" y="12"/>
                                </a:lnTo>
                                <a:lnTo>
                                  <a:pt x="16" y="12"/>
                                </a:lnTo>
                                <a:close/>
                              </a:path>
                            </a:pathLst>
                          </a:custGeom>
                          <a:solidFill>
                            <a:srgbClr val="000000"/>
                          </a:solidFill>
                          <a:ln>
                            <a:noFill/>
                          </a:ln>
                        </wps:spPr>
                        <wps:bodyPr rot="0" vert="horz" wrap="square" lIns="91440" tIns="45720" rIns="91440" bIns="45720" anchor="t" anchorCtr="0" upright="1">
                          <a:noAutofit/>
                        </wps:bodyPr>
                      </wps:wsp>
                      <wps:wsp>
                        <wps:cNvPr id="795" name="Freeform 1403"/>
                        <wps:cNvSpPr/>
                        <wps:spPr bwMode="auto">
                          <a:xfrm>
                            <a:off x="3070225" y="799465"/>
                            <a:ext cx="10160" cy="7620"/>
                          </a:xfrm>
                          <a:custGeom>
                            <a:avLst/>
                            <a:gdLst>
                              <a:gd name="T0" fmla="*/ 16 w 16"/>
                              <a:gd name="T1" fmla="*/ 12 h 12"/>
                              <a:gd name="T2" fmla="*/ 11 w 16"/>
                              <a:gd name="T3" fmla="*/ 0 h 12"/>
                              <a:gd name="T4" fmla="*/ 0 w 16"/>
                              <a:gd name="T5" fmla="*/ 12 h 12"/>
                              <a:gd name="T6" fmla="*/ 16 w 16"/>
                              <a:gd name="T7" fmla="*/ 12 h 12"/>
                            </a:gdLst>
                            <a:ahLst/>
                            <a:cxnLst>
                              <a:cxn ang="0">
                                <a:pos x="T0" y="T1"/>
                              </a:cxn>
                              <a:cxn ang="0">
                                <a:pos x="T2" y="T3"/>
                              </a:cxn>
                              <a:cxn ang="0">
                                <a:pos x="T4" y="T5"/>
                              </a:cxn>
                              <a:cxn ang="0">
                                <a:pos x="T6" y="T7"/>
                              </a:cxn>
                            </a:cxnLst>
                            <a:rect l="0" t="0" r="r" b="b"/>
                            <a:pathLst>
                              <a:path w="16" h="12">
                                <a:moveTo>
                                  <a:pt x="16" y="12"/>
                                </a:moveTo>
                                <a:lnTo>
                                  <a:pt x="11" y="0"/>
                                </a:lnTo>
                                <a:lnTo>
                                  <a:pt x="0" y="12"/>
                                </a:lnTo>
                                <a:lnTo>
                                  <a:pt x="16" y="1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96" name="Freeform 1404"/>
                        <wps:cNvSpPr/>
                        <wps:spPr bwMode="auto">
                          <a:xfrm>
                            <a:off x="3070225" y="796290"/>
                            <a:ext cx="6985" cy="10795"/>
                          </a:xfrm>
                          <a:custGeom>
                            <a:avLst/>
                            <a:gdLst>
                              <a:gd name="T0" fmla="*/ 11 w 11"/>
                              <a:gd name="T1" fmla="*/ 5 h 17"/>
                              <a:gd name="T2" fmla="*/ 0 w 11"/>
                              <a:gd name="T3" fmla="*/ 0 h 17"/>
                              <a:gd name="T4" fmla="*/ 0 w 11"/>
                              <a:gd name="T5" fmla="*/ 17 h 17"/>
                              <a:gd name="T6" fmla="*/ 11 w 11"/>
                              <a:gd name="T7" fmla="*/ 5 h 17"/>
                            </a:gdLst>
                            <a:ahLst/>
                            <a:cxnLst>
                              <a:cxn ang="0">
                                <a:pos x="T0" y="T1"/>
                              </a:cxn>
                              <a:cxn ang="0">
                                <a:pos x="T2" y="T3"/>
                              </a:cxn>
                              <a:cxn ang="0">
                                <a:pos x="T4" y="T5"/>
                              </a:cxn>
                              <a:cxn ang="0">
                                <a:pos x="T6" y="T7"/>
                              </a:cxn>
                            </a:cxnLst>
                            <a:rect l="0" t="0" r="r" b="b"/>
                            <a:pathLst>
                              <a:path w="11" h="17">
                                <a:moveTo>
                                  <a:pt x="11" y="5"/>
                                </a:moveTo>
                                <a:lnTo>
                                  <a:pt x="0" y="0"/>
                                </a:lnTo>
                                <a:lnTo>
                                  <a:pt x="0" y="17"/>
                                </a:lnTo>
                                <a:lnTo>
                                  <a:pt x="11" y="5"/>
                                </a:lnTo>
                                <a:close/>
                              </a:path>
                            </a:pathLst>
                          </a:custGeom>
                          <a:solidFill>
                            <a:srgbClr val="000000"/>
                          </a:solidFill>
                          <a:ln>
                            <a:noFill/>
                          </a:ln>
                        </wps:spPr>
                        <wps:bodyPr rot="0" vert="horz" wrap="square" lIns="91440" tIns="45720" rIns="91440" bIns="45720" anchor="t" anchorCtr="0" upright="1">
                          <a:noAutofit/>
                        </wps:bodyPr>
                      </wps:wsp>
                      <wps:wsp>
                        <wps:cNvPr id="797" name="Freeform 1405"/>
                        <wps:cNvSpPr/>
                        <wps:spPr bwMode="auto">
                          <a:xfrm>
                            <a:off x="3070225" y="796290"/>
                            <a:ext cx="6985" cy="10795"/>
                          </a:xfrm>
                          <a:custGeom>
                            <a:avLst/>
                            <a:gdLst>
                              <a:gd name="T0" fmla="*/ 11 w 11"/>
                              <a:gd name="T1" fmla="*/ 5 h 17"/>
                              <a:gd name="T2" fmla="*/ 0 w 11"/>
                              <a:gd name="T3" fmla="*/ 0 h 17"/>
                              <a:gd name="T4" fmla="*/ 0 w 11"/>
                              <a:gd name="T5" fmla="*/ 17 h 17"/>
                              <a:gd name="T6" fmla="*/ 11 w 11"/>
                              <a:gd name="T7" fmla="*/ 5 h 17"/>
                            </a:gdLst>
                            <a:ahLst/>
                            <a:cxnLst>
                              <a:cxn ang="0">
                                <a:pos x="T0" y="T1"/>
                              </a:cxn>
                              <a:cxn ang="0">
                                <a:pos x="T2" y="T3"/>
                              </a:cxn>
                              <a:cxn ang="0">
                                <a:pos x="T4" y="T5"/>
                              </a:cxn>
                              <a:cxn ang="0">
                                <a:pos x="T6" y="T7"/>
                              </a:cxn>
                            </a:cxnLst>
                            <a:rect l="0" t="0" r="r" b="b"/>
                            <a:pathLst>
                              <a:path w="11" h="17">
                                <a:moveTo>
                                  <a:pt x="11" y="5"/>
                                </a:moveTo>
                                <a:lnTo>
                                  <a:pt x="0" y="0"/>
                                </a:lnTo>
                                <a:lnTo>
                                  <a:pt x="0" y="17"/>
                                </a:lnTo>
                                <a:lnTo>
                                  <a:pt x="11" y="5"/>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798" name="Freeform 1406"/>
                        <wps:cNvSpPr/>
                        <wps:spPr bwMode="auto">
                          <a:xfrm>
                            <a:off x="3062605" y="796290"/>
                            <a:ext cx="7620" cy="10795"/>
                          </a:xfrm>
                          <a:custGeom>
                            <a:avLst/>
                            <a:gdLst>
                              <a:gd name="T0" fmla="*/ 12 w 12"/>
                              <a:gd name="T1" fmla="*/ 0 h 17"/>
                              <a:gd name="T2" fmla="*/ 0 w 12"/>
                              <a:gd name="T3" fmla="*/ 5 h 17"/>
                              <a:gd name="T4" fmla="*/ 12 w 12"/>
                              <a:gd name="T5" fmla="*/ 17 h 17"/>
                              <a:gd name="T6" fmla="*/ 12 w 12"/>
                              <a:gd name="T7" fmla="*/ 0 h 17"/>
                            </a:gdLst>
                            <a:ahLst/>
                            <a:cxnLst>
                              <a:cxn ang="0">
                                <a:pos x="T0" y="T1"/>
                              </a:cxn>
                              <a:cxn ang="0">
                                <a:pos x="T2" y="T3"/>
                              </a:cxn>
                              <a:cxn ang="0">
                                <a:pos x="T4" y="T5"/>
                              </a:cxn>
                              <a:cxn ang="0">
                                <a:pos x="T6" y="T7"/>
                              </a:cxn>
                            </a:cxnLst>
                            <a:rect l="0" t="0" r="r" b="b"/>
                            <a:pathLst>
                              <a:path w="12" h="17">
                                <a:moveTo>
                                  <a:pt x="12" y="0"/>
                                </a:moveTo>
                                <a:lnTo>
                                  <a:pt x="0" y="5"/>
                                </a:lnTo>
                                <a:lnTo>
                                  <a:pt x="12" y="17"/>
                                </a:lnTo>
                                <a:lnTo>
                                  <a:pt x="12" y="0"/>
                                </a:lnTo>
                                <a:close/>
                              </a:path>
                            </a:pathLst>
                          </a:custGeom>
                          <a:solidFill>
                            <a:srgbClr val="000000"/>
                          </a:solidFill>
                          <a:ln>
                            <a:noFill/>
                          </a:ln>
                        </wps:spPr>
                        <wps:bodyPr rot="0" vert="horz" wrap="square" lIns="91440" tIns="45720" rIns="91440" bIns="45720" anchor="t" anchorCtr="0" upright="1">
                          <a:noAutofit/>
                        </wps:bodyPr>
                      </wps:wsp>
                      <wps:wsp>
                        <wps:cNvPr id="799" name="Freeform 1407"/>
                        <wps:cNvSpPr/>
                        <wps:spPr bwMode="auto">
                          <a:xfrm>
                            <a:off x="3062605" y="796290"/>
                            <a:ext cx="7620" cy="10795"/>
                          </a:xfrm>
                          <a:custGeom>
                            <a:avLst/>
                            <a:gdLst>
                              <a:gd name="T0" fmla="*/ 12 w 12"/>
                              <a:gd name="T1" fmla="*/ 0 h 17"/>
                              <a:gd name="T2" fmla="*/ 0 w 12"/>
                              <a:gd name="T3" fmla="*/ 5 h 17"/>
                              <a:gd name="T4" fmla="*/ 12 w 12"/>
                              <a:gd name="T5" fmla="*/ 17 h 17"/>
                              <a:gd name="T6" fmla="*/ 12 w 12"/>
                              <a:gd name="T7" fmla="*/ 0 h 17"/>
                            </a:gdLst>
                            <a:ahLst/>
                            <a:cxnLst>
                              <a:cxn ang="0">
                                <a:pos x="T0" y="T1"/>
                              </a:cxn>
                              <a:cxn ang="0">
                                <a:pos x="T2" y="T3"/>
                              </a:cxn>
                              <a:cxn ang="0">
                                <a:pos x="T4" y="T5"/>
                              </a:cxn>
                              <a:cxn ang="0">
                                <a:pos x="T6" y="T7"/>
                              </a:cxn>
                            </a:cxnLst>
                            <a:rect l="0" t="0" r="r" b="b"/>
                            <a:pathLst>
                              <a:path w="12" h="17">
                                <a:moveTo>
                                  <a:pt x="12" y="0"/>
                                </a:moveTo>
                                <a:lnTo>
                                  <a:pt x="0" y="5"/>
                                </a:lnTo>
                                <a:lnTo>
                                  <a:pt x="12" y="17"/>
                                </a:lnTo>
                                <a:lnTo>
                                  <a:pt x="1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00" name="Freeform 1408"/>
                        <wps:cNvSpPr/>
                        <wps:spPr bwMode="auto">
                          <a:xfrm>
                            <a:off x="3060065" y="799465"/>
                            <a:ext cx="10160" cy="7620"/>
                          </a:xfrm>
                          <a:custGeom>
                            <a:avLst/>
                            <a:gdLst>
                              <a:gd name="T0" fmla="*/ 4 w 16"/>
                              <a:gd name="T1" fmla="*/ 0 h 12"/>
                              <a:gd name="T2" fmla="*/ 0 w 16"/>
                              <a:gd name="T3" fmla="*/ 12 h 12"/>
                              <a:gd name="T4" fmla="*/ 16 w 16"/>
                              <a:gd name="T5" fmla="*/ 12 h 12"/>
                              <a:gd name="T6" fmla="*/ 4 w 16"/>
                              <a:gd name="T7" fmla="*/ 0 h 12"/>
                            </a:gdLst>
                            <a:ahLst/>
                            <a:cxnLst>
                              <a:cxn ang="0">
                                <a:pos x="T0" y="T1"/>
                              </a:cxn>
                              <a:cxn ang="0">
                                <a:pos x="T2" y="T3"/>
                              </a:cxn>
                              <a:cxn ang="0">
                                <a:pos x="T4" y="T5"/>
                              </a:cxn>
                              <a:cxn ang="0">
                                <a:pos x="T6" y="T7"/>
                              </a:cxn>
                            </a:cxnLst>
                            <a:rect l="0" t="0" r="r" b="b"/>
                            <a:pathLst>
                              <a:path w="16" h="12">
                                <a:moveTo>
                                  <a:pt x="4" y="0"/>
                                </a:moveTo>
                                <a:lnTo>
                                  <a:pt x="0" y="12"/>
                                </a:lnTo>
                                <a:lnTo>
                                  <a:pt x="16" y="12"/>
                                </a:lnTo>
                                <a:lnTo>
                                  <a:pt x="4" y="0"/>
                                </a:lnTo>
                                <a:close/>
                              </a:path>
                            </a:pathLst>
                          </a:custGeom>
                          <a:solidFill>
                            <a:srgbClr val="000000"/>
                          </a:solidFill>
                          <a:ln>
                            <a:noFill/>
                          </a:ln>
                        </wps:spPr>
                        <wps:bodyPr rot="0" vert="horz" wrap="square" lIns="91440" tIns="45720" rIns="91440" bIns="45720" anchor="t" anchorCtr="0" upright="1">
                          <a:noAutofit/>
                        </wps:bodyPr>
                      </wps:wsp>
                      <wps:wsp>
                        <wps:cNvPr id="801" name="Freeform 1409"/>
                        <wps:cNvSpPr/>
                        <wps:spPr bwMode="auto">
                          <a:xfrm>
                            <a:off x="3060065" y="799465"/>
                            <a:ext cx="10160" cy="7620"/>
                          </a:xfrm>
                          <a:custGeom>
                            <a:avLst/>
                            <a:gdLst>
                              <a:gd name="T0" fmla="*/ 4 w 16"/>
                              <a:gd name="T1" fmla="*/ 0 h 12"/>
                              <a:gd name="T2" fmla="*/ 0 w 16"/>
                              <a:gd name="T3" fmla="*/ 12 h 12"/>
                              <a:gd name="T4" fmla="*/ 16 w 16"/>
                              <a:gd name="T5" fmla="*/ 12 h 12"/>
                              <a:gd name="T6" fmla="*/ 4 w 16"/>
                              <a:gd name="T7" fmla="*/ 0 h 12"/>
                            </a:gdLst>
                            <a:ahLst/>
                            <a:cxnLst>
                              <a:cxn ang="0">
                                <a:pos x="T0" y="T1"/>
                              </a:cxn>
                              <a:cxn ang="0">
                                <a:pos x="T2" y="T3"/>
                              </a:cxn>
                              <a:cxn ang="0">
                                <a:pos x="T4" y="T5"/>
                              </a:cxn>
                              <a:cxn ang="0">
                                <a:pos x="T6" y="T7"/>
                              </a:cxn>
                            </a:cxnLst>
                            <a:rect l="0" t="0" r="r" b="b"/>
                            <a:pathLst>
                              <a:path w="16" h="12">
                                <a:moveTo>
                                  <a:pt x="4" y="0"/>
                                </a:moveTo>
                                <a:lnTo>
                                  <a:pt x="0" y="12"/>
                                </a:lnTo>
                                <a:lnTo>
                                  <a:pt x="16" y="12"/>
                                </a:lnTo>
                                <a:lnTo>
                                  <a:pt x="4"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02" name="Freeform 1410"/>
                        <wps:cNvSpPr/>
                        <wps:spPr bwMode="auto">
                          <a:xfrm>
                            <a:off x="3060065" y="807085"/>
                            <a:ext cx="10160" cy="6985"/>
                          </a:xfrm>
                          <a:custGeom>
                            <a:avLst/>
                            <a:gdLst>
                              <a:gd name="T0" fmla="*/ 0 w 16"/>
                              <a:gd name="T1" fmla="*/ 0 h 11"/>
                              <a:gd name="T2" fmla="*/ 4 w 16"/>
                              <a:gd name="T3" fmla="*/ 11 h 11"/>
                              <a:gd name="T4" fmla="*/ 16 w 16"/>
                              <a:gd name="T5" fmla="*/ 0 h 11"/>
                              <a:gd name="T6" fmla="*/ 0 w 16"/>
                              <a:gd name="T7" fmla="*/ 0 h 11"/>
                            </a:gdLst>
                            <a:ahLst/>
                            <a:cxnLst>
                              <a:cxn ang="0">
                                <a:pos x="T0" y="T1"/>
                              </a:cxn>
                              <a:cxn ang="0">
                                <a:pos x="T2" y="T3"/>
                              </a:cxn>
                              <a:cxn ang="0">
                                <a:pos x="T4" y="T5"/>
                              </a:cxn>
                              <a:cxn ang="0">
                                <a:pos x="T6" y="T7"/>
                              </a:cxn>
                            </a:cxnLst>
                            <a:rect l="0" t="0" r="r" b="b"/>
                            <a:pathLst>
                              <a:path w="16" h="11">
                                <a:moveTo>
                                  <a:pt x="0" y="0"/>
                                </a:moveTo>
                                <a:lnTo>
                                  <a:pt x="4" y="11"/>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803" name="Freeform 1411"/>
                        <wps:cNvSpPr/>
                        <wps:spPr bwMode="auto">
                          <a:xfrm>
                            <a:off x="3060065" y="807085"/>
                            <a:ext cx="10160" cy="6985"/>
                          </a:xfrm>
                          <a:custGeom>
                            <a:avLst/>
                            <a:gdLst>
                              <a:gd name="T0" fmla="*/ 0 w 16"/>
                              <a:gd name="T1" fmla="*/ 0 h 11"/>
                              <a:gd name="T2" fmla="*/ 4 w 16"/>
                              <a:gd name="T3" fmla="*/ 11 h 11"/>
                              <a:gd name="T4" fmla="*/ 16 w 16"/>
                              <a:gd name="T5" fmla="*/ 0 h 11"/>
                              <a:gd name="T6" fmla="*/ 0 w 16"/>
                              <a:gd name="T7" fmla="*/ 0 h 11"/>
                            </a:gdLst>
                            <a:ahLst/>
                            <a:cxnLst>
                              <a:cxn ang="0">
                                <a:pos x="T0" y="T1"/>
                              </a:cxn>
                              <a:cxn ang="0">
                                <a:pos x="T2" y="T3"/>
                              </a:cxn>
                              <a:cxn ang="0">
                                <a:pos x="T4" y="T5"/>
                              </a:cxn>
                              <a:cxn ang="0">
                                <a:pos x="T6" y="T7"/>
                              </a:cxn>
                            </a:cxnLst>
                            <a:rect l="0" t="0" r="r" b="b"/>
                            <a:pathLst>
                              <a:path w="16" h="11">
                                <a:moveTo>
                                  <a:pt x="0" y="0"/>
                                </a:moveTo>
                                <a:lnTo>
                                  <a:pt x="4" y="11"/>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04" name="Freeform 1412"/>
                        <wps:cNvSpPr/>
                        <wps:spPr bwMode="auto">
                          <a:xfrm>
                            <a:off x="3062605" y="807085"/>
                            <a:ext cx="7620" cy="10160"/>
                          </a:xfrm>
                          <a:custGeom>
                            <a:avLst/>
                            <a:gdLst>
                              <a:gd name="T0" fmla="*/ 0 w 12"/>
                              <a:gd name="T1" fmla="*/ 11 h 16"/>
                              <a:gd name="T2" fmla="*/ 12 w 12"/>
                              <a:gd name="T3" fmla="*/ 16 h 16"/>
                              <a:gd name="T4" fmla="*/ 12 w 12"/>
                              <a:gd name="T5" fmla="*/ 0 h 16"/>
                              <a:gd name="T6" fmla="*/ 0 w 12"/>
                              <a:gd name="T7" fmla="*/ 11 h 16"/>
                            </a:gdLst>
                            <a:ahLst/>
                            <a:cxnLst>
                              <a:cxn ang="0">
                                <a:pos x="T0" y="T1"/>
                              </a:cxn>
                              <a:cxn ang="0">
                                <a:pos x="T2" y="T3"/>
                              </a:cxn>
                              <a:cxn ang="0">
                                <a:pos x="T4" y="T5"/>
                              </a:cxn>
                              <a:cxn ang="0">
                                <a:pos x="T6" y="T7"/>
                              </a:cxn>
                            </a:cxnLst>
                            <a:rect l="0" t="0" r="r" b="b"/>
                            <a:pathLst>
                              <a:path w="12" h="16">
                                <a:moveTo>
                                  <a:pt x="0" y="11"/>
                                </a:moveTo>
                                <a:lnTo>
                                  <a:pt x="12" y="16"/>
                                </a:lnTo>
                                <a:lnTo>
                                  <a:pt x="12" y="0"/>
                                </a:lnTo>
                                <a:lnTo>
                                  <a:pt x="0" y="11"/>
                                </a:lnTo>
                                <a:close/>
                              </a:path>
                            </a:pathLst>
                          </a:custGeom>
                          <a:solidFill>
                            <a:srgbClr val="000000"/>
                          </a:solidFill>
                          <a:ln>
                            <a:noFill/>
                          </a:ln>
                        </wps:spPr>
                        <wps:bodyPr rot="0" vert="horz" wrap="square" lIns="91440" tIns="45720" rIns="91440" bIns="45720" anchor="t" anchorCtr="0" upright="1">
                          <a:noAutofit/>
                        </wps:bodyPr>
                      </wps:wsp>
                      <wps:wsp>
                        <wps:cNvPr id="805" name="Freeform 1413"/>
                        <wps:cNvSpPr/>
                        <wps:spPr bwMode="auto">
                          <a:xfrm>
                            <a:off x="3062605" y="807085"/>
                            <a:ext cx="7620" cy="10160"/>
                          </a:xfrm>
                          <a:custGeom>
                            <a:avLst/>
                            <a:gdLst>
                              <a:gd name="T0" fmla="*/ 0 w 12"/>
                              <a:gd name="T1" fmla="*/ 11 h 16"/>
                              <a:gd name="T2" fmla="*/ 12 w 12"/>
                              <a:gd name="T3" fmla="*/ 16 h 16"/>
                              <a:gd name="T4" fmla="*/ 12 w 12"/>
                              <a:gd name="T5" fmla="*/ 0 h 16"/>
                              <a:gd name="T6" fmla="*/ 0 w 12"/>
                              <a:gd name="T7" fmla="*/ 11 h 16"/>
                            </a:gdLst>
                            <a:ahLst/>
                            <a:cxnLst>
                              <a:cxn ang="0">
                                <a:pos x="T0" y="T1"/>
                              </a:cxn>
                              <a:cxn ang="0">
                                <a:pos x="T2" y="T3"/>
                              </a:cxn>
                              <a:cxn ang="0">
                                <a:pos x="T4" y="T5"/>
                              </a:cxn>
                              <a:cxn ang="0">
                                <a:pos x="T6" y="T7"/>
                              </a:cxn>
                            </a:cxnLst>
                            <a:rect l="0" t="0" r="r" b="b"/>
                            <a:pathLst>
                              <a:path w="12" h="16">
                                <a:moveTo>
                                  <a:pt x="0" y="11"/>
                                </a:moveTo>
                                <a:lnTo>
                                  <a:pt x="12" y="16"/>
                                </a:lnTo>
                                <a:lnTo>
                                  <a:pt x="12" y="0"/>
                                </a:lnTo>
                                <a:lnTo>
                                  <a:pt x="0"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06" name="Freeform 1414"/>
                        <wps:cNvSpPr/>
                        <wps:spPr bwMode="auto">
                          <a:xfrm>
                            <a:off x="3070225" y="807085"/>
                            <a:ext cx="6985" cy="10160"/>
                          </a:xfrm>
                          <a:custGeom>
                            <a:avLst/>
                            <a:gdLst>
                              <a:gd name="T0" fmla="*/ 0 w 11"/>
                              <a:gd name="T1" fmla="*/ 16 h 16"/>
                              <a:gd name="T2" fmla="*/ 11 w 11"/>
                              <a:gd name="T3" fmla="*/ 11 h 16"/>
                              <a:gd name="T4" fmla="*/ 0 w 11"/>
                              <a:gd name="T5" fmla="*/ 0 h 16"/>
                              <a:gd name="T6" fmla="*/ 0 w 11"/>
                              <a:gd name="T7" fmla="*/ 16 h 16"/>
                            </a:gdLst>
                            <a:ahLst/>
                            <a:cxnLst>
                              <a:cxn ang="0">
                                <a:pos x="T0" y="T1"/>
                              </a:cxn>
                              <a:cxn ang="0">
                                <a:pos x="T2" y="T3"/>
                              </a:cxn>
                              <a:cxn ang="0">
                                <a:pos x="T4" y="T5"/>
                              </a:cxn>
                              <a:cxn ang="0">
                                <a:pos x="T6" y="T7"/>
                              </a:cxn>
                            </a:cxnLst>
                            <a:rect l="0" t="0" r="r" b="b"/>
                            <a:pathLst>
                              <a:path w="11" h="16">
                                <a:moveTo>
                                  <a:pt x="0" y="16"/>
                                </a:moveTo>
                                <a:lnTo>
                                  <a:pt x="11" y="11"/>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807" name="Freeform 1415"/>
                        <wps:cNvSpPr/>
                        <wps:spPr bwMode="auto">
                          <a:xfrm>
                            <a:off x="3070225" y="807085"/>
                            <a:ext cx="6985" cy="10160"/>
                          </a:xfrm>
                          <a:custGeom>
                            <a:avLst/>
                            <a:gdLst>
                              <a:gd name="T0" fmla="*/ 0 w 11"/>
                              <a:gd name="T1" fmla="*/ 16 h 16"/>
                              <a:gd name="T2" fmla="*/ 11 w 11"/>
                              <a:gd name="T3" fmla="*/ 11 h 16"/>
                              <a:gd name="T4" fmla="*/ 0 w 11"/>
                              <a:gd name="T5" fmla="*/ 0 h 16"/>
                              <a:gd name="T6" fmla="*/ 0 w 11"/>
                              <a:gd name="T7" fmla="*/ 16 h 16"/>
                            </a:gdLst>
                            <a:ahLst/>
                            <a:cxnLst>
                              <a:cxn ang="0">
                                <a:pos x="T0" y="T1"/>
                              </a:cxn>
                              <a:cxn ang="0">
                                <a:pos x="T2" y="T3"/>
                              </a:cxn>
                              <a:cxn ang="0">
                                <a:pos x="T4" y="T5"/>
                              </a:cxn>
                              <a:cxn ang="0">
                                <a:pos x="T6" y="T7"/>
                              </a:cxn>
                            </a:cxnLst>
                            <a:rect l="0" t="0" r="r" b="b"/>
                            <a:pathLst>
                              <a:path w="11" h="16">
                                <a:moveTo>
                                  <a:pt x="0" y="16"/>
                                </a:moveTo>
                                <a:lnTo>
                                  <a:pt x="11" y="11"/>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08" name="Freeform 1416"/>
                        <wps:cNvSpPr/>
                        <wps:spPr bwMode="auto">
                          <a:xfrm>
                            <a:off x="3070225" y="807085"/>
                            <a:ext cx="10160" cy="6985"/>
                          </a:xfrm>
                          <a:custGeom>
                            <a:avLst/>
                            <a:gdLst>
                              <a:gd name="T0" fmla="*/ 11 w 16"/>
                              <a:gd name="T1" fmla="*/ 11 h 11"/>
                              <a:gd name="T2" fmla="*/ 16 w 16"/>
                              <a:gd name="T3" fmla="*/ 0 h 11"/>
                              <a:gd name="T4" fmla="*/ 0 w 16"/>
                              <a:gd name="T5" fmla="*/ 0 h 11"/>
                              <a:gd name="T6" fmla="*/ 11 w 16"/>
                              <a:gd name="T7" fmla="*/ 11 h 11"/>
                            </a:gdLst>
                            <a:ahLst/>
                            <a:cxnLst>
                              <a:cxn ang="0">
                                <a:pos x="T0" y="T1"/>
                              </a:cxn>
                              <a:cxn ang="0">
                                <a:pos x="T2" y="T3"/>
                              </a:cxn>
                              <a:cxn ang="0">
                                <a:pos x="T4" y="T5"/>
                              </a:cxn>
                              <a:cxn ang="0">
                                <a:pos x="T6" y="T7"/>
                              </a:cxn>
                            </a:cxnLst>
                            <a:rect l="0" t="0" r="r" b="b"/>
                            <a:pathLst>
                              <a:path w="16" h="11">
                                <a:moveTo>
                                  <a:pt x="11" y="11"/>
                                </a:moveTo>
                                <a:lnTo>
                                  <a:pt x="16" y="0"/>
                                </a:lnTo>
                                <a:lnTo>
                                  <a:pt x="0" y="0"/>
                                </a:lnTo>
                                <a:lnTo>
                                  <a:pt x="11" y="11"/>
                                </a:lnTo>
                                <a:close/>
                              </a:path>
                            </a:pathLst>
                          </a:custGeom>
                          <a:solidFill>
                            <a:srgbClr val="000000"/>
                          </a:solidFill>
                          <a:ln>
                            <a:noFill/>
                          </a:ln>
                        </wps:spPr>
                        <wps:bodyPr rot="0" vert="horz" wrap="square" lIns="91440" tIns="45720" rIns="91440" bIns="45720" anchor="t" anchorCtr="0" upright="1">
                          <a:noAutofit/>
                        </wps:bodyPr>
                      </wps:wsp>
                      <wps:wsp>
                        <wps:cNvPr id="809" name="Freeform 1417"/>
                        <wps:cNvSpPr/>
                        <wps:spPr bwMode="auto">
                          <a:xfrm>
                            <a:off x="3070225" y="807085"/>
                            <a:ext cx="10160" cy="6985"/>
                          </a:xfrm>
                          <a:custGeom>
                            <a:avLst/>
                            <a:gdLst>
                              <a:gd name="T0" fmla="*/ 11 w 16"/>
                              <a:gd name="T1" fmla="*/ 11 h 11"/>
                              <a:gd name="T2" fmla="*/ 16 w 16"/>
                              <a:gd name="T3" fmla="*/ 0 h 11"/>
                              <a:gd name="T4" fmla="*/ 0 w 16"/>
                              <a:gd name="T5" fmla="*/ 0 h 11"/>
                              <a:gd name="T6" fmla="*/ 11 w 16"/>
                              <a:gd name="T7" fmla="*/ 11 h 11"/>
                            </a:gdLst>
                            <a:ahLst/>
                            <a:cxnLst>
                              <a:cxn ang="0">
                                <a:pos x="T0" y="T1"/>
                              </a:cxn>
                              <a:cxn ang="0">
                                <a:pos x="T2" y="T3"/>
                              </a:cxn>
                              <a:cxn ang="0">
                                <a:pos x="T4" y="T5"/>
                              </a:cxn>
                              <a:cxn ang="0">
                                <a:pos x="T6" y="T7"/>
                              </a:cxn>
                            </a:cxnLst>
                            <a:rect l="0" t="0" r="r" b="b"/>
                            <a:pathLst>
                              <a:path w="16" h="11">
                                <a:moveTo>
                                  <a:pt x="11" y="11"/>
                                </a:moveTo>
                                <a:lnTo>
                                  <a:pt x="16" y="0"/>
                                </a:lnTo>
                                <a:lnTo>
                                  <a:pt x="0" y="0"/>
                                </a:lnTo>
                                <a:lnTo>
                                  <a:pt x="11" y="11"/>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10" name="Freeform 1418"/>
                        <wps:cNvSpPr/>
                        <wps:spPr bwMode="auto">
                          <a:xfrm>
                            <a:off x="2895600" y="801370"/>
                            <a:ext cx="10160" cy="5080"/>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solidFill>
                            <a:srgbClr val="000000"/>
                          </a:solidFill>
                          <a:ln>
                            <a:noFill/>
                          </a:ln>
                        </wps:spPr>
                        <wps:bodyPr rot="0" vert="horz" wrap="square" lIns="91440" tIns="45720" rIns="91440" bIns="45720" anchor="t" anchorCtr="0" upright="1">
                          <a:noAutofit/>
                        </wps:bodyPr>
                      </wps:wsp>
                      <wps:wsp>
                        <wps:cNvPr id="811" name="Freeform 1419"/>
                        <wps:cNvSpPr/>
                        <wps:spPr bwMode="auto">
                          <a:xfrm>
                            <a:off x="2895600" y="801370"/>
                            <a:ext cx="10160" cy="5080"/>
                          </a:xfrm>
                          <a:custGeom>
                            <a:avLst/>
                            <a:gdLst>
                              <a:gd name="T0" fmla="*/ 16 w 16"/>
                              <a:gd name="T1" fmla="*/ 8 h 8"/>
                              <a:gd name="T2" fmla="*/ 14 w 16"/>
                              <a:gd name="T3" fmla="*/ 0 h 8"/>
                              <a:gd name="T4" fmla="*/ 0 w 16"/>
                              <a:gd name="T5" fmla="*/ 8 h 8"/>
                              <a:gd name="T6" fmla="*/ 16 w 16"/>
                              <a:gd name="T7" fmla="*/ 8 h 8"/>
                            </a:gdLst>
                            <a:ahLst/>
                            <a:cxnLst>
                              <a:cxn ang="0">
                                <a:pos x="T0" y="T1"/>
                              </a:cxn>
                              <a:cxn ang="0">
                                <a:pos x="T2" y="T3"/>
                              </a:cxn>
                              <a:cxn ang="0">
                                <a:pos x="T4" y="T5"/>
                              </a:cxn>
                              <a:cxn ang="0">
                                <a:pos x="T6" y="T7"/>
                              </a:cxn>
                            </a:cxnLst>
                            <a:rect l="0" t="0" r="r" b="b"/>
                            <a:pathLst>
                              <a:path w="16" h="8">
                                <a:moveTo>
                                  <a:pt x="16" y="8"/>
                                </a:moveTo>
                                <a:lnTo>
                                  <a:pt x="14" y="0"/>
                                </a:lnTo>
                                <a:lnTo>
                                  <a:pt x="0" y="8"/>
                                </a:lnTo>
                                <a:lnTo>
                                  <a:pt x="16"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12" name="Freeform 1420"/>
                        <wps:cNvSpPr/>
                        <wps:spPr bwMode="auto">
                          <a:xfrm>
                            <a:off x="2895600" y="797560"/>
                            <a:ext cx="8890" cy="8890"/>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solidFill>
                            <a:srgbClr val="000000"/>
                          </a:solidFill>
                          <a:ln>
                            <a:noFill/>
                          </a:ln>
                        </wps:spPr>
                        <wps:bodyPr rot="0" vert="horz" wrap="square" lIns="91440" tIns="45720" rIns="91440" bIns="45720" anchor="t" anchorCtr="0" upright="1">
                          <a:noAutofit/>
                        </wps:bodyPr>
                      </wps:wsp>
                      <wps:wsp>
                        <wps:cNvPr id="813" name="Freeform 1421"/>
                        <wps:cNvSpPr/>
                        <wps:spPr bwMode="auto">
                          <a:xfrm>
                            <a:off x="2895600" y="797560"/>
                            <a:ext cx="8890" cy="8890"/>
                          </a:xfrm>
                          <a:custGeom>
                            <a:avLst/>
                            <a:gdLst>
                              <a:gd name="T0" fmla="*/ 14 w 14"/>
                              <a:gd name="T1" fmla="*/ 6 h 14"/>
                              <a:gd name="T2" fmla="*/ 8 w 14"/>
                              <a:gd name="T3" fmla="*/ 0 h 14"/>
                              <a:gd name="T4" fmla="*/ 0 w 14"/>
                              <a:gd name="T5" fmla="*/ 14 h 14"/>
                              <a:gd name="T6" fmla="*/ 14 w 14"/>
                              <a:gd name="T7" fmla="*/ 6 h 14"/>
                            </a:gdLst>
                            <a:ahLst/>
                            <a:cxnLst>
                              <a:cxn ang="0">
                                <a:pos x="T0" y="T1"/>
                              </a:cxn>
                              <a:cxn ang="0">
                                <a:pos x="T2" y="T3"/>
                              </a:cxn>
                              <a:cxn ang="0">
                                <a:pos x="T4" y="T5"/>
                              </a:cxn>
                              <a:cxn ang="0">
                                <a:pos x="T6" y="T7"/>
                              </a:cxn>
                            </a:cxnLst>
                            <a:rect l="0" t="0" r="r" b="b"/>
                            <a:pathLst>
                              <a:path w="14" h="14">
                                <a:moveTo>
                                  <a:pt x="14" y="6"/>
                                </a:moveTo>
                                <a:lnTo>
                                  <a:pt x="8" y="0"/>
                                </a:lnTo>
                                <a:lnTo>
                                  <a:pt x="0" y="14"/>
                                </a:lnTo>
                                <a:lnTo>
                                  <a:pt x="14" y="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14" name="Freeform 1422"/>
                        <wps:cNvSpPr/>
                        <wps:spPr bwMode="auto">
                          <a:xfrm>
                            <a:off x="2895600" y="796290"/>
                            <a:ext cx="5080" cy="10160"/>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solidFill>
                            <a:srgbClr val="000000"/>
                          </a:solidFill>
                          <a:ln>
                            <a:noFill/>
                          </a:ln>
                        </wps:spPr>
                        <wps:bodyPr rot="0" vert="horz" wrap="square" lIns="91440" tIns="45720" rIns="91440" bIns="45720" anchor="t" anchorCtr="0" upright="1">
                          <a:noAutofit/>
                        </wps:bodyPr>
                      </wps:wsp>
                      <wps:wsp>
                        <wps:cNvPr id="815" name="Freeform 1423"/>
                        <wps:cNvSpPr/>
                        <wps:spPr bwMode="auto">
                          <a:xfrm>
                            <a:off x="2895600" y="796290"/>
                            <a:ext cx="5080" cy="10160"/>
                          </a:xfrm>
                          <a:custGeom>
                            <a:avLst/>
                            <a:gdLst>
                              <a:gd name="T0" fmla="*/ 8 w 8"/>
                              <a:gd name="T1" fmla="*/ 2 h 16"/>
                              <a:gd name="T2" fmla="*/ 0 w 8"/>
                              <a:gd name="T3" fmla="*/ 0 h 16"/>
                              <a:gd name="T4" fmla="*/ 0 w 8"/>
                              <a:gd name="T5" fmla="*/ 16 h 16"/>
                              <a:gd name="T6" fmla="*/ 8 w 8"/>
                              <a:gd name="T7" fmla="*/ 2 h 16"/>
                            </a:gdLst>
                            <a:ahLst/>
                            <a:cxnLst>
                              <a:cxn ang="0">
                                <a:pos x="T0" y="T1"/>
                              </a:cxn>
                              <a:cxn ang="0">
                                <a:pos x="T2" y="T3"/>
                              </a:cxn>
                              <a:cxn ang="0">
                                <a:pos x="T4" y="T5"/>
                              </a:cxn>
                              <a:cxn ang="0">
                                <a:pos x="T6" y="T7"/>
                              </a:cxn>
                            </a:cxnLst>
                            <a:rect l="0" t="0" r="r" b="b"/>
                            <a:pathLst>
                              <a:path w="8" h="16">
                                <a:moveTo>
                                  <a:pt x="8" y="2"/>
                                </a:moveTo>
                                <a:lnTo>
                                  <a:pt x="0" y="0"/>
                                </a:lnTo>
                                <a:lnTo>
                                  <a:pt x="0" y="16"/>
                                </a:lnTo>
                                <a:lnTo>
                                  <a:pt x="8" y="2"/>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16" name="Freeform 1424"/>
                        <wps:cNvSpPr/>
                        <wps:spPr bwMode="auto">
                          <a:xfrm>
                            <a:off x="2890520" y="796290"/>
                            <a:ext cx="5080" cy="10160"/>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solidFill>
                            <a:srgbClr val="000000"/>
                          </a:solidFill>
                          <a:ln>
                            <a:noFill/>
                          </a:ln>
                        </wps:spPr>
                        <wps:bodyPr rot="0" vert="horz" wrap="square" lIns="91440" tIns="45720" rIns="91440" bIns="45720" anchor="t" anchorCtr="0" upright="1">
                          <a:noAutofit/>
                        </wps:bodyPr>
                      </wps:wsp>
                      <wps:wsp>
                        <wps:cNvPr id="817" name="Freeform 1425"/>
                        <wps:cNvSpPr/>
                        <wps:spPr bwMode="auto">
                          <a:xfrm>
                            <a:off x="2890520" y="796290"/>
                            <a:ext cx="5080" cy="10160"/>
                          </a:xfrm>
                          <a:custGeom>
                            <a:avLst/>
                            <a:gdLst>
                              <a:gd name="T0" fmla="*/ 8 w 8"/>
                              <a:gd name="T1" fmla="*/ 0 h 16"/>
                              <a:gd name="T2" fmla="*/ 0 w 8"/>
                              <a:gd name="T3" fmla="*/ 2 h 16"/>
                              <a:gd name="T4" fmla="*/ 8 w 8"/>
                              <a:gd name="T5" fmla="*/ 16 h 16"/>
                              <a:gd name="T6" fmla="*/ 8 w 8"/>
                              <a:gd name="T7" fmla="*/ 0 h 16"/>
                            </a:gdLst>
                            <a:ahLst/>
                            <a:cxnLst>
                              <a:cxn ang="0">
                                <a:pos x="T0" y="T1"/>
                              </a:cxn>
                              <a:cxn ang="0">
                                <a:pos x="T2" y="T3"/>
                              </a:cxn>
                              <a:cxn ang="0">
                                <a:pos x="T4" y="T5"/>
                              </a:cxn>
                              <a:cxn ang="0">
                                <a:pos x="T6" y="T7"/>
                              </a:cxn>
                            </a:cxnLst>
                            <a:rect l="0" t="0" r="r" b="b"/>
                            <a:pathLst>
                              <a:path w="8" h="16">
                                <a:moveTo>
                                  <a:pt x="8" y="0"/>
                                </a:moveTo>
                                <a:lnTo>
                                  <a:pt x="0" y="2"/>
                                </a:lnTo>
                                <a:lnTo>
                                  <a:pt x="8" y="16"/>
                                </a:lnTo>
                                <a:lnTo>
                                  <a:pt x="8"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18" name="Freeform 1426"/>
                        <wps:cNvSpPr/>
                        <wps:spPr bwMode="auto">
                          <a:xfrm>
                            <a:off x="2886710" y="797560"/>
                            <a:ext cx="8890" cy="8890"/>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solidFill>
                            <a:srgbClr val="000000"/>
                          </a:solidFill>
                          <a:ln>
                            <a:noFill/>
                          </a:ln>
                        </wps:spPr>
                        <wps:bodyPr rot="0" vert="horz" wrap="square" lIns="91440" tIns="45720" rIns="91440" bIns="45720" anchor="t" anchorCtr="0" upright="1">
                          <a:noAutofit/>
                        </wps:bodyPr>
                      </wps:wsp>
                      <wps:wsp>
                        <wps:cNvPr id="819" name="Freeform 1427"/>
                        <wps:cNvSpPr/>
                        <wps:spPr bwMode="auto">
                          <a:xfrm>
                            <a:off x="2886710" y="797560"/>
                            <a:ext cx="8890" cy="8890"/>
                          </a:xfrm>
                          <a:custGeom>
                            <a:avLst/>
                            <a:gdLst>
                              <a:gd name="T0" fmla="*/ 6 w 14"/>
                              <a:gd name="T1" fmla="*/ 0 h 14"/>
                              <a:gd name="T2" fmla="*/ 0 w 14"/>
                              <a:gd name="T3" fmla="*/ 6 h 14"/>
                              <a:gd name="T4" fmla="*/ 14 w 14"/>
                              <a:gd name="T5" fmla="*/ 14 h 14"/>
                              <a:gd name="T6" fmla="*/ 6 w 14"/>
                              <a:gd name="T7" fmla="*/ 0 h 14"/>
                            </a:gdLst>
                            <a:ahLst/>
                            <a:cxnLst>
                              <a:cxn ang="0">
                                <a:pos x="T0" y="T1"/>
                              </a:cxn>
                              <a:cxn ang="0">
                                <a:pos x="T2" y="T3"/>
                              </a:cxn>
                              <a:cxn ang="0">
                                <a:pos x="T4" y="T5"/>
                              </a:cxn>
                              <a:cxn ang="0">
                                <a:pos x="T6" y="T7"/>
                              </a:cxn>
                            </a:cxnLst>
                            <a:rect l="0" t="0" r="r" b="b"/>
                            <a:pathLst>
                              <a:path w="14" h="14">
                                <a:moveTo>
                                  <a:pt x="6" y="0"/>
                                </a:moveTo>
                                <a:lnTo>
                                  <a:pt x="0" y="6"/>
                                </a:lnTo>
                                <a:lnTo>
                                  <a:pt x="14" y="14"/>
                                </a:lnTo>
                                <a:lnTo>
                                  <a:pt x="6"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20" name="Freeform 1428"/>
                        <wps:cNvSpPr/>
                        <wps:spPr bwMode="auto">
                          <a:xfrm>
                            <a:off x="2885440" y="801370"/>
                            <a:ext cx="10160" cy="5080"/>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solidFill>
                            <a:srgbClr val="000000"/>
                          </a:solidFill>
                          <a:ln>
                            <a:noFill/>
                          </a:ln>
                        </wps:spPr>
                        <wps:bodyPr rot="0" vert="horz" wrap="square" lIns="91440" tIns="45720" rIns="91440" bIns="45720" anchor="t" anchorCtr="0" upright="1">
                          <a:noAutofit/>
                        </wps:bodyPr>
                      </wps:wsp>
                      <wps:wsp>
                        <wps:cNvPr id="821" name="Freeform 1429"/>
                        <wps:cNvSpPr/>
                        <wps:spPr bwMode="auto">
                          <a:xfrm>
                            <a:off x="2885440" y="801370"/>
                            <a:ext cx="10160" cy="5080"/>
                          </a:xfrm>
                          <a:custGeom>
                            <a:avLst/>
                            <a:gdLst>
                              <a:gd name="T0" fmla="*/ 2 w 16"/>
                              <a:gd name="T1" fmla="*/ 0 h 8"/>
                              <a:gd name="T2" fmla="*/ 0 w 16"/>
                              <a:gd name="T3" fmla="*/ 8 h 8"/>
                              <a:gd name="T4" fmla="*/ 16 w 16"/>
                              <a:gd name="T5" fmla="*/ 8 h 8"/>
                              <a:gd name="T6" fmla="*/ 2 w 16"/>
                              <a:gd name="T7" fmla="*/ 0 h 8"/>
                            </a:gdLst>
                            <a:ahLst/>
                            <a:cxnLst>
                              <a:cxn ang="0">
                                <a:pos x="T0" y="T1"/>
                              </a:cxn>
                              <a:cxn ang="0">
                                <a:pos x="T2" y="T3"/>
                              </a:cxn>
                              <a:cxn ang="0">
                                <a:pos x="T4" y="T5"/>
                              </a:cxn>
                              <a:cxn ang="0">
                                <a:pos x="T6" y="T7"/>
                              </a:cxn>
                            </a:cxnLst>
                            <a:rect l="0" t="0" r="r" b="b"/>
                            <a:pathLst>
                              <a:path w="16" h="8">
                                <a:moveTo>
                                  <a:pt x="2" y="0"/>
                                </a:moveTo>
                                <a:lnTo>
                                  <a:pt x="0" y="8"/>
                                </a:lnTo>
                                <a:lnTo>
                                  <a:pt x="16" y="8"/>
                                </a:lnTo>
                                <a:lnTo>
                                  <a:pt x="2"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22" name="Freeform 1430"/>
                        <wps:cNvSpPr/>
                        <wps:spPr bwMode="auto">
                          <a:xfrm>
                            <a:off x="2885440" y="806450"/>
                            <a:ext cx="10160" cy="5080"/>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solidFill>
                            <a:srgbClr val="000000"/>
                          </a:solidFill>
                          <a:ln>
                            <a:noFill/>
                          </a:ln>
                        </wps:spPr>
                        <wps:bodyPr rot="0" vert="horz" wrap="square" lIns="91440" tIns="45720" rIns="91440" bIns="45720" anchor="t" anchorCtr="0" upright="1">
                          <a:noAutofit/>
                        </wps:bodyPr>
                      </wps:wsp>
                      <wps:wsp>
                        <wps:cNvPr id="823" name="Freeform 1431"/>
                        <wps:cNvSpPr/>
                        <wps:spPr bwMode="auto">
                          <a:xfrm>
                            <a:off x="2885440" y="806450"/>
                            <a:ext cx="10160" cy="5080"/>
                          </a:xfrm>
                          <a:custGeom>
                            <a:avLst/>
                            <a:gdLst>
                              <a:gd name="T0" fmla="*/ 0 w 16"/>
                              <a:gd name="T1" fmla="*/ 0 h 8"/>
                              <a:gd name="T2" fmla="*/ 2 w 16"/>
                              <a:gd name="T3" fmla="*/ 8 h 8"/>
                              <a:gd name="T4" fmla="*/ 16 w 16"/>
                              <a:gd name="T5" fmla="*/ 0 h 8"/>
                              <a:gd name="T6" fmla="*/ 0 w 16"/>
                              <a:gd name="T7" fmla="*/ 0 h 8"/>
                            </a:gdLst>
                            <a:ahLst/>
                            <a:cxnLst>
                              <a:cxn ang="0">
                                <a:pos x="T0" y="T1"/>
                              </a:cxn>
                              <a:cxn ang="0">
                                <a:pos x="T2" y="T3"/>
                              </a:cxn>
                              <a:cxn ang="0">
                                <a:pos x="T4" y="T5"/>
                              </a:cxn>
                              <a:cxn ang="0">
                                <a:pos x="T6" y="T7"/>
                              </a:cxn>
                            </a:cxnLst>
                            <a:rect l="0" t="0" r="r" b="b"/>
                            <a:pathLst>
                              <a:path w="16" h="8">
                                <a:moveTo>
                                  <a:pt x="0" y="0"/>
                                </a:moveTo>
                                <a:lnTo>
                                  <a:pt x="2" y="8"/>
                                </a:lnTo>
                                <a:lnTo>
                                  <a:pt x="16" y="0"/>
                                </a:lnTo>
                                <a:lnTo>
                                  <a:pt x="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24" name="Freeform 1432"/>
                        <wps:cNvSpPr/>
                        <wps:spPr bwMode="auto">
                          <a:xfrm>
                            <a:off x="2886710" y="806450"/>
                            <a:ext cx="8890" cy="8890"/>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solidFill>
                            <a:srgbClr val="000000"/>
                          </a:solidFill>
                          <a:ln>
                            <a:noFill/>
                          </a:ln>
                        </wps:spPr>
                        <wps:bodyPr rot="0" vert="horz" wrap="square" lIns="91440" tIns="45720" rIns="91440" bIns="45720" anchor="t" anchorCtr="0" upright="1">
                          <a:noAutofit/>
                        </wps:bodyPr>
                      </wps:wsp>
                      <wps:wsp>
                        <wps:cNvPr id="825" name="Freeform 1433"/>
                        <wps:cNvSpPr/>
                        <wps:spPr bwMode="auto">
                          <a:xfrm>
                            <a:off x="2886710" y="806450"/>
                            <a:ext cx="8890" cy="8890"/>
                          </a:xfrm>
                          <a:custGeom>
                            <a:avLst/>
                            <a:gdLst>
                              <a:gd name="T0" fmla="*/ 0 w 14"/>
                              <a:gd name="T1" fmla="*/ 8 h 14"/>
                              <a:gd name="T2" fmla="*/ 6 w 14"/>
                              <a:gd name="T3" fmla="*/ 14 h 14"/>
                              <a:gd name="T4" fmla="*/ 14 w 14"/>
                              <a:gd name="T5" fmla="*/ 0 h 14"/>
                              <a:gd name="T6" fmla="*/ 0 w 14"/>
                              <a:gd name="T7" fmla="*/ 8 h 14"/>
                            </a:gdLst>
                            <a:ahLst/>
                            <a:cxnLst>
                              <a:cxn ang="0">
                                <a:pos x="T0" y="T1"/>
                              </a:cxn>
                              <a:cxn ang="0">
                                <a:pos x="T2" y="T3"/>
                              </a:cxn>
                              <a:cxn ang="0">
                                <a:pos x="T4" y="T5"/>
                              </a:cxn>
                              <a:cxn ang="0">
                                <a:pos x="T6" y="T7"/>
                              </a:cxn>
                            </a:cxnLst>
                            <a:rect l="0" t="0" r="r" b="b"/>
                            <a:pathLst>
                              <a:path w="14" h="14">
                                <a:moveTo>
                                  <a:pt x="0" y="8"/>
                                </a:moveTo>
                                <a:lnTo>
                                  <a:pt x="6" y="14"/>
                                </a:lnTo>
                                <a:lnTo>
                                  <a:pt x="14" y="0"/>
                                </a:lnTo>
                                <a:lnTo>
                                  <a:pt x="0"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26" name="Freeform 1434"/>
                        <wps:cNvSpPr/>
                        <wps:spPr bwMode="auto">
                          <a:xfrm>
                            <a:off x="2890520" y="806450"/>
                            <a:ext cx="5080" cy="10160"/>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solidFill>
                            <a:srgbClr val="000000"/>
                          </a:solidFill>
                          <a:ln>
                            <a:noFill/>
                          </a:ln>
                        </wps:spPr>
                        <wps:bodyPr rot="0" vert="horz" wrap="square" lIns="91440" tIns="45720" rIns="91440" bIns="45720" anchor="t" anchorCtr="0" upright="1">
                          <a:noAutofit/>
                        </wps:bodyPr>
                      </wps:wsp>
                      <wps:wsp>
                        <wps:cNvPr id="827" name="Freeform 1435"/>
                        <wps:cNvSpPr/>
                        <wps:spPr bwMode="auto">
                          <a:xfrm>
                            <a:off x="2890520" y="806450"/>
                            <a:ext cx="5080" cy="10160"/>
                          </a:xfrm>
                          <a:custGeom>
                            <a:avLst/>
                            <a:gdLst>
                              <a:gd name="T0" fmla="*/ 0 w 8"/>
                              <a:gd name="T1" fmla="*/ 14 h 16"/>
                              <a:gd name="T2" fmla="*/ 8 w 8"/>
                              <a:gd name="T3" fmla="*/ 16 h 16"/>
                              <a:gd name="T4" fmla="*/ 8 w 8"/>
                              <a:gd name="T5" fmla="*/ 0 h 16"/>
                              <a:gd name="T6" fmla="*/ 0 w 8"/>
                              <a:gd name="T7" fmla="*/ 14 h 16"/>
                            </a:gdLst>
                            <a:ahLst/>
                            <a:cxnLst>
                              <a:cxn ang="0">
                                <a:pos x="T0" y="T1"/>
                              </a:cxn>
                              <a:cxn ang="0">
                                <a:pos x="T2" y="T3"/>
                              </a:cxn>
                              <a:cxn ang="0">
                                <a:pos x="T4" y="T5"/>
                              </a:cxn>
                              <a:cxn ang="0">
                                <a:pos x="T6" y="T7"/>
                              </a:cxn>
                            </a:cxnLst>
                            <a:rect l="0" t="0" r="r" b="b"/>
                            <a:pathLst>
                              <a:path w="8" h="16">
                                <a:moveTo>
                                  <a:pt x="0" y="14"/>
                                </a:moveTo>
                                <a:lnTo>
                                  <a:pt x="8" y="16"/>
                                </a:lnTo>
                                <a:lnTo>
                                  <a:pt x="8" y="0"/>
                                </a:lnTo>
                                <a:lnTo>
                                  <a:pt x="0"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28" name="Freeform 1436"/>
                        <wps:cNvSpPr/>
                        <wps:spPr bwMode="auto">
                          <a:xfrm>
                            <a:off x="2895600" y="806450"/>
                            <a:ext cx="5080" cy="10160"/>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solidFill>
                            <a:srgbClr val="000000"/>
                          </a:solidFill>
                          <a:ln>
                            <a:noFill/>
                          </a:ln>
                        </wps:spPr>
                        <wps:bodyPr rot="0" vert="horz" wrap="square" lIns="91440" tIns="45720" rIns="91440" bIns="45720" anchor="t" anchorCtr="0" upright="1">
                          <a:noAutofit/>
                        </wps:bodyPr>
                      </wps:wsp>
                      <wps:wsp>
                        <wps:cNvPr id="829" name="Freeform 1437"/>
                        <wps:cNvSpPr/>
                        <wps:spPr bwMode="auto">
                          <a:xfrm>
                            <a:off x="2895600" y="806450"/>
                            <a:ext cx="5080" cy="10160"/>
                          </a:xfrm>
                          <a:custGeom>
                            <a:avLst/>
                            <a:gdLst>
                              <a:gd name="T0" fmla="*/ 0 w 8"/>
                              <a:gd name="T1" fmla="*/ 16 h 16"/>
                              <a:gd name="T2" fmla="*/ 8 w 8"/>
                              <a:gd name="T3" fmla="*/ 14 h 16"/>
                              <a:gd name="T4" fmla="*/ 0 w 8"/>
                              <a:gd name="T5" fmla="*/ 0 h 16"/>
                              <a:gd name="T6" fmla="*/ 0 w 8"/>
                              <a:gd name="T7" fmla="*/ 16 h 16"/>
                            </a:gdLst>
                            <a:ahLst/>
                            <a:cxnLst>
                              <a:cxn ang="0">
                                <a:pos x="T0" y="T1"/>
                              </a:cxn>
                              <a:cxn ang="0">
                                <a:pos x="T2" y="T3"/>
                              </a:cxn>
                              <a:cxn ang="0">
                                <a:pos x="T4" y="T5"/>
                              </a:cxn>
                              <a:cxn ang="0">
                                <a:pos x="T6" y="T7"/>
                              </a:cxn>
                            </a:cxnLst>
                            <a:rect l="0" t="0" r="r" b="b"/>
                            <a:pathLst>
                              <a:path w="8" h="16">
                                <a:moveTo>
                                  <a:pt x="0" y="16"/>
                                </a:moveTo>
                                <a:lnTo>
                                  <a:pt x="8" y="14"/>
                                </a:lnTo>
                                <a:lnTo>
                                  <a:pt x="0" y="0"/>
                                </a:lnTo>
                                <a:lnTo>
                                  <a:pt x="0" y="16"/>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30" name="Freeform 1438"/>
                        <wps:cNvSpPr/>
                        <wps:spPr bwMode="auto">
                          <a:xfrm>
                            <a:off x="2895600" y="806450"/>
                            <a:ext cx="8890" cy="8890"/>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solidFill>
                            <a:srgbClr val="000000"/>
                          </a:solidFill>
                          <a:ln>
                            <a:noFill/>
                          </a:ln>
                        </wps:spPr>
                        <wps:bodyPr rot="0" vert="horz" wrap="square" lIns="91440" tIns="45720" rIns="91440" bIns="45720" anchor="t" anchorCtr="0" upright="1">
                          <a:noAutofit/>
                        </wps:bodyPr>
                      </wps:wsp>
                      <wps:wsp>
                        <wps:cNvPr id="831" name="Freeform 1439"/>
                        <wps:cNvSpPr/>
                        <wps:spPr bwMode="auto">
                          <a:xfrm>
                            <a:off x="2895600" y="806450"/>
                            <a:ext cx="8890" cy="8890"/>
                          </a:xfrm>
                          <a:custGeom>
                            <a:avLst/>
                            <a:gdLst>
                              <a:gd name="T0" fmla="*/ 8 w 14"/>
                              <a:gd name="T1" fmla="*/ 14 h 14"/>
                              <a:gd name="T2" fmla="*/ 14 w 14"/>
                              <a:gd name="T3" fmla="*/ 8 h 14"/>
                              <a:gd name="T4" fmla="*/ 0 w 14"/>
                              <a:gd name="T5" fmla="*/ 0 h 14"/>
                              <a:gd name="T6" fmla="*/ 8 w 14"/>
                              <a:gd name="T7" fmla="*/ 14 h 14"/>
                            </a:gdLst>
                            <a:ahLst/>
                            <a:cxnLst>
                              <a:cxn ang="0">
                                <a:pos x="T0" y="T1"/>
                              </a:cxn>
                              <a:cxn ang="0">
                                <a:pos x="T2" y="T3"/>
                              </a:cxn>
                              <a:cxn ang="0">
                                <a:pos x="T4" y="T5"/>
                              </a:cxn>
                              <a:cxn ang="0">
                                <a:pos x="T6" y="T7"/>
                              </a:cxn>
                            </a:cxnLst>
                            <a:rect l="0" t="0" r="r" b="b"/>
                            <a:pathLst>
                              <a:path w="14" h="14">
                                <a:moveTo>
                                  <a:pt x="8" y="14"/>
                                </a:moveTo>
                                <a:lnTo>
                                  <a:pt x="14" y="8"/>
                                </a:lnTo>
                                <a:lnTo>
                                  <a:pt x="0" y="0"/>
                                </a:lnTo>
                                <a:lnTo>
                                  <a:pt x="8" y="14"/>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32" name="Freeform 1440"/>
                        <wps:cNvSpPr/>
                        <wps:spPr bwMode="auto">
                          <a:xfrm>
                            <a:off x="2895600" y="806450"/>
                            <a:ext cx="10160" cy="5080"/>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solidFill>
                            <a:srgbClr val="000000"/>
                          </a:solidFill>
                          <a:ln>
                            <a:noFill/>
                          </a:ln>
                        </wps:spPr>
                        <wps:bodyPr rot="0" vert="horz" wrap="square" lIns="91440" tIns="45720" rIns="91440" bIns="45720" anchor="t" anchorCtr="0" upright="1">
                          <a:noAutofit/>
                        </wps:bodyPr>
                      </wps:wsp>
                      <wps:wsp>
                        <wps:cNvPr id="833" name="Freeform 1441"/>
                        <wps:cNvSpPr/>
                        <wps:spPr bwMode="auto">
                          <a:xfrm>
                            <a:off x="2895600" y="806450"/>
                            <a:ext cx="10160" cy="5080"/>
                          </a:xfrm>
                          <a:custGeom>
                            <a:avLst/>
                            <a:gdLst>
                              <a:gd name="T0" fmla="*/ 14 w 16"/>
                              <a:gd name="T1" fmla="*/ 8 h 8"/>
                              <a:gd name="T2" fmla="*/ 16 w 16"/>
                              <a:gd name="T3" fmla="*/ 0 h 8"/>
                              <a:gd name="T4" fmla="*/ 0 w 16"/>
                              <a:gd name="T5" fmla="*/ 0 h 8"/>
                              <a:gd name="T6" fmla="*/ 14 w 16"/>
                              <a:gd name="T7" fmla="*/ 8 h 8"/>
                            </a:gdLst>
                            <a:ahLst/>
                            <a:cxnLst>
                              <a:cxn ang="0">
                                <a:pos x="T0" y="T1"/>
                              </a:cxn>
                              <a:cxn ang="0">
                                <a:pos x="T2" y="T3"/>
                              </a:cxn>
                              <a:cxn ang="0">
                                <a:pos x="T4" y="T5"/>
                              </a:cxn>
                              <a:cxn ang="0">
                                <a:pos x="T6" y="T7"/>
                              </a:cxn>
                            </a:cxnLst>
                            <a:rect l="0" t="0" r="r" b="b"/>
                            <a:pathLst>
                              <a:path w="16" h="8">
                                <a:moveTo>
                                  <a:pt x="14" y="8"/>
                                </a:moveTo>
                                <a:lnTo>
                                  <a:pt x="16" y="0"/>
                                </a:lnTo>
                                <a:lnTo>
                                  <a:pt x="0" y="0"/>
                                </a:lnTo>
                                <a:lnTo>
                                  <a:pt x="14" y="8"/>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34" name="Freeform 1442"/>
                        <wps:cNvSpPr/>
                        <wps:spPr bwMode="auto">
                          <a:xfrm>
                            <a:off x="3052445" y="556260"/>
                            <a:ext cx="26670" cy="23495"/>
                          </a:xfrm>
                          <a:custGeom>
                            <a:avLst/>
                            <a:gdLst>
                              <a:gd name="T0" fmla="*/ 10 w 42"/>
                              <a:gd name="T1" fmla="*/ 0 h 37"/>
                              <a:gd name="T2" fmla="*/ 0 w 42"/>
                              <a:gd name="T3" fmla="*/ 8 h 37"/>
                              <a:gd name="T4" fmla="*/ 42 w 42"/>
                              <a:gd name="T5" fmla="*/ 37 h 37"/>
                              <a:gd name="T6" fmla="*/ 10 w 42"/>
                              <a:gd name="T7" fmla="*/ 0 h 37"/>
                            </a:gdLst>
                            <a:ahLst/>
                            <a:cxnLst>
                              <a:cxn ang="0">
                                <a:pos x="T0" y="T1"/>
                              </a:cxn>
                              <a:cxn ang="0">
                                <a:pos x="T2" y="T3"/>
                              </a:cxn>
                              <a:cxn ang="0">
                                <a:pos x="T4" y="T5"/>
                              </a:cxn>
                              <a:cxn ang="0">
                                <a:pos x="T6" y="T7"/>
                              </a:cxn>
                            </a:cxnLst>
                            <a:rect l="0" t="0" r="r" b="b"/>
                            <a:pathLst>
                              <a:path w="42" h="37">
                                <a:moveTo>
                                  <a:pt x="10" y="0"/>
                                </a:moveTo>
                                <a:lnTo>
                                  <a:pt x="0" y="8"/>
                                </a:lnTo>
                                <a:lnTo>
                                  <a:pt x="42" y="37"/>
                                </a:lnTo>
                                <a:lnTo>
                                  <a:pt x="10" y="0"/>
                                </a:lnTo>
                                <a:close/>
                              </a:path>
                            </a:pathLst>
                          </a:custGeom>
                          <a:solidFill>
                            <a:srgbClr val="000000"/>
                          </a:solidFill>
                          <a:ln>
                            <a:noFill/>
                          </a:ln>
                        </wps:spPr>
                        <wps:bodyPr rot="0" vert="horz" wrap="square" lIns="91440" tIns="45720" rIns="91440" bIns="45720" anchor="t" anchorCtr="0" upright="1">
                          <a:noAutofit/>
                        </wps:bodyPr>
                      </wps:wsp>
                      <wps:wsp>
                        <wps:cNvPr id="835" name="Freeform 1443"/>
                        <wps:cNvSpPr/>
                        <wps:spPr bwMode="auto">
                          <a:xfrm>
                            <a:off x="3052445" y="561340"/>
                            <a:ext cx="26670" cy="24130"/>
                          </a:xfrm>
                          <a:custGeom>
                            <a:avLst/>
                            <a:gdLst>
                              <a:gd name="T0" fmla="*/ 0 w 42"/>
                              <a:gd name="T1" fmla="*/ 0 h 38"/>
                              <a:gd name="T2" fmla="*/ 42 w 42"/>
                              <a:gd name="T3" fmla="*/ 29 h 38"/>
                              <a:gd name="T4" fmla="*/ 33 w 42"/>
                              <a:gd name="T5" fmla="*/ 38 h 38"/>
                              <a:gd name="T6" fmla="*/ 0 w 42"/>
                              <a:gd name="T7" fmla="*/ 0 h 38"/>
                            </a:gdLst>
                            <a:ahLst/>
                            <a:cxnLst>
                              <a:cxn ang="0">
                                <a:pos x="T0" y="T1"/>
                              </a:cxn>
                              <a:cxn ang="0">
                                <a:pos x="T2" y="T3"/>
                              </a:cxn>
                              <a:cxn ang="0">
                                <a:pos x="T4" y="T5"/>
                              </a:cxn>
                              <a:cxn ang="0">
                                <a:pos x="T6" y="T7"/>
                              </a:cxn>
                            </a:cxnLst>
                            <a:rect l="0" t="0" r="r" b="b"/>
                            <a:pathLst>
                              <a:path w="42" h="38">
                                <a:moveTo>
                                  <a:pt x="0" y="0"/>
                                </a:moveTo>
                                <a:lnTo>
                                  <a:pt x="42" y="29"/>
                                </a:lnTo>
                                <a:lnTo>
                                  <a:pt x="33" y="38"/>
                                </a:lnTo>
                                <a:lnTo>
                                  <a:pt x="0" y="0"/>
                                </a:lnTo>
                                <a:close/>
                              </a:path>
                            </a:pathLst>
                          </a:custGeom>
                          <a:solidFill>
                            <a:srgbClr val="000000"/>
                          </a:solidFill>
                          <a:ln>
                            <a:noFill/>
                          </a:ln>
                        </wps:spPr>
                        <wps:bodyPr rot="0" vert="horz" wrap="square" lIns="91440" tIns="45720" rIns="91440" bIns="45720" anchor="t" anchorCtr="0" upright="1">
                          <a:noAutofit/>
                        </wps:bodyPr>
                      </wps:wsp>
                      <wps:wsp>
                        <wps:cNvPr id="836" name="Freeform 1444"/>
                        <wps:cNvSpPr/>
                        <wps:spPr bwMode="auto">
                          <a:xfrm>
                            <a:off x="3052445" y="556260"/>
                            <a:ext cx="26670" cy="29210"/>
                          </a:xfrm>
                          <a:custGeom>
                            <a:avLst/>
                            <a:gdLst>
                              <a:gd name="T0" fmla="*/ 10 w 42"/>
                              <a:gd name="T1" fmla="*/ 0 h 46"/>
                              <a:gd name="T2" fmla="*/ 0 w 42"/>
                              <a:gd name="T3" fmla="*/ 8 h 46"/>
                              <a:gd name="T4" fmla="*/ 33 w 42"/>
                              <a:gd name="T5" fmla="*/ 46 h 46"/>
                              <a:gd name="T6" fmla="*/ 42 w 42"/>
                              <a:gd name="T7" fmla="*/ 37 h 46"/>
                              <a:gd name="T8" fmla="*/ 10 w 42"/>
                              <a:gd name="T9" fmla="*/ 0 h 46"/>
                            </a:gdLst>
                            <a:ahLst/>
                            <a:cxnLst>
                              <a:cxn ang="0">
                                <a:pos x="T0" y="T1"/>
                              </a:cxn>
                              <a:cxn ang="0">
                                <a:pos x="T2" y="T3"/>
                              </a:cxn>
                              <a:cxn ang="0">
                                <a:pos x="T4" y="T5"/>
                              </a:cxn>
                              <a:cxn ang="0">
                                <a:pos x="T6" y="T7"/>
                              </a:cxn>
                              <a:cxn ang="0">
                                <a:pos x="T8" y="T9"/>
                              </a:cxn>
                            </a:cxnLst>
                            <a:rect l="0" t="0" r="r" b="b"/>
                            <a:pathLst>
                              <a:path w="42" h="46">
                                <a:moveTo>
                                  <a:pt x="10" y="0"/>
                                </a:moveTo>
                                <a:lnTo>
                                  <a:pt x="0" y="8"/>
                                </a:lnTo>
                                <a:lnTo>
                                  <a:pt x="33" y="46"/>
                                </a:lnTo>
                                <a:lnTo>
                                  <a:pt x="42" y="37"/>
                                </a:lnTo>
                                <a:lnTo>
                                  <a:pt x="1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37" name="Freeform 1445"/>
                        <wps:cNvSpPr/>
                        <wps:spPr bwMode="auto">
                          <a:xfrm>
                            <a:off x="3070225" y="534035"/>
                            <a:ext cx="27305" cy="24130"/>
                          </a:xfrm>
                          <a:custGeom>
                            <a:avLst/>
                            <a:gdLst>
                              <a:gd name="T0" fmla="*/ 10 w 43"/>
                              <a:gd name="T1" fmla="*/ 0 h 38"/>
                              <a:gd name="T2" fmla="*/ 0 w 43"/>
                              <a:gd name="T3" fmla="*/ 9 h 38"/>
                              <a:gd name="T4" fmla="*/ 43 w 43"/>
                              <a:gd name="T5" fmla="*/ 38 h 38"/>
                              <a:gd name="T6" fmla="*/ 10 w 43"/>
                              <a:gd name="T7" fmla="*/ 0 h 38"/>
                            </a:gdLst>
                            <a:ahLst/>
                            <a:cxnLst>
                              <a:cxn ang="0">
                                <a:pos x="T0" y="T1"/>
                              </a:cxn>
                              <a:cxn ang="0">
                                <a:pos x="T2" y="T3"/>
                              </a:cxn>
                              <a:cxn ang="0">
                                <a:pos x="T4" y="T5"/>
                              </a:cxn>
                              <a:cxn ang="0">
                                <a:pos x="T6" y="T7"/>
                              </a:cxn>
                            </a:cxnLst>
                            <a:rect l="0" t="0" r="r" b="b"/>
                            <a:pathLst>
                              <a:path w="43" h="38">
                                <a:moveTo>
                                  <a:pt x="10" y="0"/>
                                </a:moveTo>
                                <a:lnTo>
                                  <a:pt x="0" y="9"/>
                                </a:lnTo>
                                <a:lnTo>
                                  <a:pt x="43" y="38"/>
                                </a:lnTo>
                                <a:lnTo>
                                  <a:pt x="10" y="0"/>
                                </a:lnTo>
                                <a:close/>
                              </a:path>
                            </a:pathLst>
                          </a:custGeom>
                          <a:solidFill>
                            <a:srgbClr val="000000"/>
                          </a:solidFill>
                          <a:ln>
                            <a:noFill/>
                          </a:ln>
                        </wps:spPr>
                        <wps:bodyPr rot="0" vert="horz" wrap="square" lIns="91440" tIns="45720" rIns="91440" bIns="45720" anchor="t" anchorCtr="0" upright="1">
                          <a:noAutofit/>
                        </wps:bodyPr>
                      </wps:wsp>
                      <wps:wsp>
                        <wps:cNvPr id="838" name="Freeform 1446"/>
                        <wps:cNvSpPr/>
                        <wps:spPr bwMode="auto">
                          <a:xfrm>
                            <a:off x="3070225" y="539750"/>
                            <a:ext cx="27305" cy="24130"/>
                          </a:xfrm>
                          <a:custGeom>
                            <a:avLst/>
                            <a:gdLst>
                              <a:gd name="T0" fmla="*/ 0 w 43"/>
                              <a:gd name="T1" fmla="*/ 0 h 38"/>
                              <a:gd name="T2" fmla="*/ 43 w 43"/>
                              <a:gd name="T3" fmla="*/ 29 h 38"/>
                              <a:gd name="T4" fmla="*/ 33 w 43"/>
                              <a:gd name="T5" fmla="*/ 38 h 38"/>
                              <a:gd name="T6" fmla="*/ 0 w 43"/>
                              <a:gd name="T7" fmla="*/ 0 h 38"/>
                            </a:gdLst>
                            <a:ahLst/>
                            <a:cxnLst>
                              <a:cxn ang="0">
                                <a:pos x="T0" y="T1"/>
                              </a:cxn>
                              <a:cxn ang="0">
                                <a:pos x="T2" y="T3"/>
                              </a:cxn>
                              <a:cxn ang="0">
                                <a:pos x="T4" y="T5"/>
                              </a:cxn>
                              <a:cxn ang="0">
                                <a:pos x="T6" y="T7"/>
                              </a:cxn>
                            </a:cxnLst>
                            <a:rect l="0" t="0" r="r" b="b"/>
                            <a:pathLst>
                              <a:path w="43" h="38">
                                <a:moveTo>
                                  <a:pt x="0" y="0"/>
                                </a:moveTo>
                                <a:lnTo>
                                  <a:pt x="43" y="29"/>
                                </a:lnTo>
                                <a:lnTo>
                                  <a:pt x="33" y="38"/>
                                </a:lnTo>
                                <a:lnTo>
                                  <a:pt x="0" y="0"/>
                                </a:lnTo>
                                <a:close/>
                              </a:path>
                            </a:pathLst>
                          </a:custGeom>
                          <a:solidFill>
                            <a:srgbClr val="000000"/>
                          </a:solidFill>
                          <a:ln>
                            <a:noFill/>
                          </a:ln>
                        </wps:spPr>
                        <wps:bodyPr rot="0" vert="horz" wrap="square" lIns="91440" tIns="45720" rIns="91440" bIns="45720" anchor="t" anchorCtr="0" upright="1">
                          <a:noAutofit/>
                        </wps:bodyPr>
                      </wps:wsp>
                      <wps:wsp>
                        <wps:cNvPr id="839" name="Freeform 1447"/>
                        <wps:cNvSpPr/>
                        <wps:spPr bwMode="auto">
                          <a:xfrm>
                            <a:off x="3070225" y="534035"/>
                            <a:ext cx="27305" cy="29845"/>
                          </a:xfrm>
                          <a:custGeom>
                            <a:avLst/>
                            <a:gdLst>
                              <a:gd name="T0" fmla="*/ 10 w 43"/>
                              <a:gd name="T1" fmla="*/ 0 h 47"/>
                              <a:gd name="T2" fmla="*/ 0 w 43"/>
                              <a:gd name="T3" fmla="*/ 9 h 47"/>
                              <a:gd name="T4" fmla="*/ 33 w 43"/>
                              <a:gd name="T5" fmla="*/ 47 h 47"/>
                              <a:gd name="T6" fmla="*/ 43 w 43"/>
                              <a:gd name="T7" fmla="*/ 38 h 47"/>
                              <a:gd name="T8" fmla="*/ 10 w 43"/>
                              <a:gd name="T9" fmla="*/ 0 h 47"/>
                            </a:gdLst>
                            <a:ahLst/>
                            <a:cxnLst>
                              <a:cxn ang="0">
                                <a:pos x="T0" y="T1"/>
                              </a:cxn>
                              <a:cxn ang="0">
                                <a:pos x="T2" y="T3"/>
                              </a:cxn>
                              <a:cxn ang="0">
                                <a:pos x="T4" y="T5"/>
                              </a:cxn>
                              <a:cxn ang="0">
                                <a:pos x="T6" y="T7"/>
                              </a:cxn>
                              <a:cxn ang="0">
                                <a:pos x="T8" y="T9"/>
                              </a:cxn>
                            </a:cxnLst>
                            <a:rect l="0" t="0" r="r" b="b"/>
                            <a:pathLst>
                              <a:path w="43" h="47">
                                <a:moveTo>
                                  <a:pt x="10" y="0"/>
                                </a:moveTo>
                                <a:lnTo>
                                  <a:pt x="0" y="9"/>
                                </a:lnTo>
                                <a:lnTo>
                                  <a:pt x="33" y="47"/>
                                </a:lnTo>
                                <a:lnTo>
                                  <a:pt x="43" y="38"/>
                                </a:lnTo>
                                <a:lnTo>
                                  <a:pt x="10" y="0"/>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40" name="Freeform 1448"/>
                        <wps:cNvSpPr/>
                        <wps:spPr bwMode="auto">
                          <a:xfrm>
                            <a:off x="3206115" y="531495"/>
                            <a:ext cx="26035" cy="25400"/>
                          </a:xfrm>
                          <a:custGeom>
                            <a:avLst/>
                            <a:gdLst>
                              <a:gd name="T0" fmla="*/ 0 w 41"/>
                              <a:gd name="T1" fmla="*/ 29 h 40"/>
                              <a:gd name="T2" fmla="*/ 8 w 41"/>
                              <a:gd name="T3" fmla="*/ 40 h 40"/>
                              <a:gd name="T4" fmla="*/ 41 w 41"/>
                              <a:gd name="T5" fmla="*/ 0 h 40"/>
                              <a:gd name="T6" fmla="*/ 0 w 41"/>
                              <a:gd name="T7" fmla="*/ 29 h 40"/>
                            </a:gdLst>
                            <a:ahLst/>
                            <a:cxnLst>
                              <a:cxn ang="0">
                                <a:pos x="T0" y="T1"/>
                              </a:cxn>
                              <a:cxn ang="0">
                                <a:pos x="T2" y="T3"/>
                              </a:cxn>
                              <a:cxn ang="0">
                                <a:pos x="T4" y="T5"/>
                              </a:cxn>
                              <a:cxn ang="0">
                                <a:pos x="T6" y="T7"/>
                              </a:cxn>
                            </a:cxnLst>
                            <a:rect l="0" t="0" r="r" b="b"/>
                            <a:pathLst>
                              <a:path w="41" h="40">
                                <a:moveTo>
                                  <a:pt x="0" y="29"/>
                                </a:moveTo>
                                <a:lnTo>
                                  <a:pt x="8" y="40"/>
                                </a:lnTo>
                                <a:lnTo>
                                  <a:pt x="41" y="0"/>
                                </a:lnTo>
                                <a:lnTo>
                                  <a:pt x="0" y="29"/>
                                </a:lnTo>
                                <a:close/>
                              </a:path>
                            </a:pathLst>
                          </a:custGeom>
                          <a:solidFill>
                            <a:srgbClr val="000000"/>
                          </a:solidFill>
                          <a:ln>
                            <a:noFill/>
                          </a:ln>
                        </wps:spPr>
                        <wps:bodyPr rot="0" vert="horz" wrap="square" lIns="91440" tIns="45720" rIns="91440" bIns="45720" anchor="t" anchorCtr="0" upright="1">
                          <a:noAutofit/>
                        </wps:bodyPr>
                      </wps:wsp>
                      <wps:wsp>
                        <wps:cNvPr id="841" name="Freeform 1449"/>
                        <wps:cNvSpPr/>
                        <wps:spPr bwMode="auto">
                          <a:xfrm>
                            <a:off x="3211195" y="531495"/>
                            <a:ext cx="25400" cy="25400"/>
                          </a:xfrm>
                          <a:custGeom>
                            <a:avLst/>
                            <a:gdLst>
                              <a:gd name="T0" fmla="*/ 0 w 40"/>
                              <a:gd name="T1" fmla="*/ 40 h 40"/>
                              <a:gd name="T2" fmla="*/ 33 w 40"/>
                              <a:gd name="T3" fmla="*/ 0 h 40"/>
                              <a:gd name="T4" fmla="*/ 40 w 40"/>
                              <a:gd name="T5" fmla="*/ 10 h 40"/>
                              <a:gd name="T6" fmla="*/ 0 w 40"/>
                              <a:gd name="T7" fmla="*/ 40 h 40"/>
                            </a:gdLst>
                            <a:ahLst/>
                            <a:cxnLst>
                              <a:cxn ang="0">
                                <a:pos x="T0" y="T1"/>
                              </a:cxn>
                              <a:cxn ang="0">
                                <a:pos x="T2" y="T3"/>
                              </a:cxn>
                              <a:cxn ang="0">
                                <a:pos x="T4" y="T5"/>
                              </a:cxn>
                              <a:cxn ang="0">
                                <a:pos x="T6" y="T7"/>
                              </a:cxn>
                            </a:cxnLst>
                            <a:rect l="0" t="0" r="r" b="b"/>
                            <a:pathLst>
                              <a:path w="40" h="40">
                                <a:moveTo>
                                  <a:pt x="0" y="40"/>
                                </a:moveTo>
                                <a:lnTo>
                                  <a:pt x="33" y="0"/>
                                </a:lnTo>
                                <a:lnTo>
                                  <a:pt x="40" y="10"/>
                                </a:lnTo>
                                <a:lnTo>
                                  <a:pt x="0" y="40"/>
                                </a:lnTo>
                                <a:close/>
                              </a:path>
                            </a:pathLst>
                          </a:custGeom>
                          <a:solidFill>
                            <a:srgbClr val="000000"/>
                          </a:solidFill>
                          <a:ln>
                            <a:noFill/>
                          </a:ln>
                        </wps:spPr>
                        <wps:bodyPr rot="0" vert="horz" wrap="square" lIns="91440" tIns="45720" rIns="91440" bIns="45720" anchor="t" anchorCtr="0" upright="1">
                          <a:noAutofit/>
                        </wps:bodyPr>
                      </wps:wsp>
                      <wps:wsp>
                        <wps:cNvPr id="842" name="Freeform 1450"/>
                        <wps:cNvSpPr/>
                        <wps:spPr bwMode="auto">
                          <a:xfrm>
                            <a:off x="3206115" y="531495"/>
                            <a:ext cx="30480" cy="25400"/>
                          </a:xfrm>
                          <a:custGeom>
                            <a:avLst/>
                            <a:gdLst>
                              <a:gd name="T0" fmla="*/ 0 w 48"/>
                              <a:gd name="T1" fmla="*/ 29 h 40"/>
                              <a:gd name="T2" fmla="*/ 8 w 48"/>
                              <a:gd name="T3" fmla="*/ 40 h 40"/>
                              <a:gd name="T4" fmla="*/ 48 w 48"/>
                              <a:gd name="T5" fmla="*/ 10 h 40"/>
                              <a:gd name="T6" fmla="*/ 41 w 48"/>
                              <a:gd name="T7" fmla="*/ 0 h 40"/>
                              <a:gd name="T8" fmla="*/ 0 w 48"/>
                              <a:gd name="T9" fmla="*/ 29 h 40"/>
                            </a:gdLst>
                            <a:ahLst/>
                            <a:cxnLst>
                              <a:cxn ang="0">
                                <a:pos x="T0" y="T1"/>
                              </a:cxn>
                              <a:cxn ang="0">
                                <a:pos x="T2" y="T3"/>
                              </a:cxn>
                              <a:cxn ang="0">
                                <a:pos x="T4" y="T5"/>
                              </a:cxn>
                              <a:cxn ang="0">
                                <a:pos x="T6" y="T7"/>
                              </a:cxn>
                              <a:cxn ang="0">
                                <a:pos x="T8" y="T9"/>
                              </a:cxn>
                            </a:cxnLst>
                            <a:rect l="0" t="0" r="r" b="b"/>
                            <a:pathLst>
                              <a:path w="48" h="40">
                                <a:moveTo>
                                  <a:pt x="0" y="29"/>
                                </a:moveTo>
                                <a:lnTo>
                                  <a:pt x="8" y="40"/>
                                </a:lnTo>
                                <a:lnTo>
                                  <a:pt x="48" y="10"/>
                                </a:lnTo>
                                <a:lnTo>
                                  <a:pt x="41" y="0"/>
                                </a:lnTo>
                                <a:lnTo>
                                  <a:pt x="0" y="29"/>
                                </a:lnTo>
                                <a:close/>
                              </a:path>
                            </a:pathLst>
                          </a:custGeom>
                          <a:noFill/>
                          <a:ln w="5715">
                            <a:solidFill>
                              <a:srgbClr val="000000"/>
                            </a:solidFill>
                            <a:prstDash val="solid"/>
                            <a:round/>
                          </a:ln>
                        </wps:spPr>
                        <wps:bodyPr rot="0" vert="horz" wrap="square" lIns="91440" tIns="45720" rIns="91440" bIns="45720" anchor="t" anchorCtr="0" upright="1">
                          <a:noAutofit/>
                        </wps:bodyPr>
                      </wps:wsp>
                      <wps:wsp>
                        <wps:cNvPr id="843" name="Freeform 1451"/>
                        <wps:cNvSpPr/>
                        <wps:spPr bwMode="auto">
                          <a:xfrm>
                            <a:off x="3223260" y="548640"/>
                            <a:ext cx="26035" cy="24765"/>
                          </a:xfrm>
                          <a:custGeom>
                            <a:avLst/>
                            <a:gdLst>
                              <a:gd name="T0" fmla="*/ 0 w 41"/>
                              <a:gd name="T1" fmla="*/ 29 h 39"/>
                              <a:gd name="T2" fmla="*/ 8 w 41"/>
                              <a:gd name="T3" fmla="*/ 39 h 39"/>
                              <a:gd name="T4" fmla="*/ 41 w 41"/>
                              <a:gd name="T5" fmla="*/ 0 h 39"/>
                              <a:gd name="T6" fmla="*/ 0 w 41"/>
                              <a:gd name="T7" fmla="*/ 29 h 39"/>
                            </a:gdLst>
                            <a:ahLst/>
                            <a:cxnLst>
                              <a:cxn ang="0">
                                <a:pos x="T0" y="T1"/>
                              </a:cxn>
                              <a:cxn ang="0">
                                <a:pos x="T2" y="T3"/>
                              </a:cxn>
                              <a:cxn ang="0">
                                <a:pos x="T4" y="T5"/>
                              </a:cxn>
                              <a:cxn ang="0">
                                <a:pos x="T6" y="T7"/>
                              </a:cxn>
                            </a:cxnLst>
                            <a:rect l="0" t="0" r="r" b="b"/>
                            <a:pathLst>
                              <a:path w="41" h="39">
                                <a:moveTo>
                                  <a:pt x="0" y="29"/>
                                </a:moveTo>
                                <a:lnTo>
                                  <a:pt x="8" y="39"/>
                                </a:lnTo>
                                <a:lnTo>
                                  <a:pt x="41" y="0"/>
                                </a:lnTo>
                                <a:lnTo>
                                  <a:pt x="0" y="29"/>
                                </a:lnTo>
                                <a:close/>
                              </a:path>
                            </a:pathLst>
                          </a:custGeom>
                          <a:solidFill>
                            <a:srgbClr val="000000"/>
                          </a:solidFill>
                          <a:ln>
                            <a:noFill/>
                          </a:ln>
                        </wps:spPr>
                        <wps:bodyPr rot="0" vert="horz" wrap="square" lIns="91440" tIns="45720" rIns="91440" bIns="45720" anchor="t" anchorCtr="0" upright="1">
                          <a:noAutofit/>
                        </wps:bodyPr>
                      </wps:wsp>
                      <wps:wsp>
                        <wps:cNvPr id="844" name="Freeform 1452"/>
                        <wps:cNvSpPr/>
                        <wps:spPr bwMode="auto">
                          <a:xfrm>
                            <a:off x="3228340" y="548640"/>
                            <a:ext cx="25400" cy="24765"/>
                          </a:xfrm>
                          <a:custGeom>
                            <a:avLst/>
                            <a:gdLst>
                              <a:gd name="T0" fmla="*/ 0 w 40"/>
                              <a:gd name="T1" fmla="*/ 39 h 39"/>
                              <a:gd name="T2" fmla="*/ 33 w 40"/>
                              <a:gd name="T3" fmla="*/ 0 h 39"/>
                              <a:gd name="T4" fmla="*/ 40 w 40"/>
                              <a:gd name="T5" fmla="*/ 10 h 39"/>
                              <a:gd name="T6" fmla="*/ 0 w 40"/>
                              <a:gd name="T7" fmla="*/ 39 h 39"/>
                            </a:gdLst>
                            <a:ahLst/>
                            <a:cxnLst>
                              <a:cxn ang="0">
                                <a:pos x="T0" y="T1"/>
                              </a:cxn>
                              <a:cxn ang="0">
                                <a:pos x="T2" y="T3"/>
                              </a:cxn>
                              <a:cxn ang="0">
                                <a:pos x="T4" y="T5"/>
                              </a:cxn>
                              <a:cxn ang="0">
                                <a:pos x="T6" y="T7"/>
                              </a:cxn>
                            </a:cxnLst>
                            <a:rect l="0" t="0" r="r" b="b"/>
                            <a:pathLst>
                              <a:path w="40" h="39">
                                <a:moveTo>
                                  <a:pt x="0" y="39"/>
                                </a:moveTo>
                                <a:lnTo>
                                  <a:pt x="33" y="0"/>
                                </a:lnTo>
                                <a:lnTo>
                                  <a:pt x="40" y="10"/>
                                </a:lnTo>
                                <a:lnTo>
                                  <a:pt x="0" y="39"/>
                                </a:lnTo>
                                <a:close/>
                              </a:path>
                            </a:pathLst>
                          </a:custGeom>
                          <a:solidFill>
                            <a:srgbClr val="000000"/>
                          </a:solidFill>
                          <a:ln>
                            <a:noFill/>
                          </a:ln>
                        </wps:spPr>
                        <wps:bodyPr rot="0" vert="horz" wrap="square" lIns="91440" tIns="45720" rIns="91440" bIns="45720" anchor="t" anchorCtr="0" upright="1">
                          <a:noAutofit/>
                        </wps:bodyPr>
                      </wps:wsp>
                      <wps:wsp>
                        <wps:cNvPr id="845" name="Freeform 1453"/>
                        <wps:cNvSpPr/>
                        <wps:spPr bwMode="auto">
                          <a:xfrm>
                            <a:off x="3223260" y="548640"/>
                            <a:ext cx="30480" cy="24765"/>
                          </a:xfrm>
                          <a:custGeom>
                            <a:avLst/>
                            <a:gdLst>
                              <a:gd name="T0" fmla="*/ 0 w 48"/>
                              <a:gd name="T1" fmla="*/ 29 h 39"/>
                              <a:gd name="T2" fmla="*/ 8 w 48"/>
                              <a:gd name="T3" fmla="*/ 39 h 39"/>
                              <a:gd name="T4" fmla="*/ 48 w 48"/>
                              <a:gd name="T5" fmla="*/ 10 h 39"/>
                              <a:gd name="T6" fmla="*/ 41 w 48"/>
                              <a:gd name="T7" fmla="*/ 0 h 39"/>
                              <a:gd name="T8" fmla="*/ 0 w 48"/>
                              <a:gd name="T9" fmla="*/ 29 h 39"/>
                            </a:gdLst>
                            <a:ahLst/>
                            <a:cxnLst>
                              <a:cxn ang="0">
                                <a:pos x="T0" y="T1"/>
                              </a:cxn>
                              <a:cxn ang="0">
                                <a:pos x="T2" y="T3"/>
                              </a:cxn>
                              <a:cxn ang="0">
                                <a:pos x="T4" y="T5"/>
                              </a:cxn>
                              <a:cxn ang="0">
                                <a:pos x="T6" y="T7"/>
                              </a:cxn>
                              <a:cxn ang="0">
                                <a:pos x="T8" y="T9"/>
                              </a:cxn>
                            </a:cxnLst>
                            <a:rect l="0" t="0" r="r" b="b"/>
                            <a:pathLst>
                              <a:path w="48" h="39">
                                <a:moveTo>
                                  <a:pt x="0" y="29"/>
                                </a:moveTo>
                                <a:lnTo>
                                  <a:pt x="8" y="39"/>
                                </a:lnTo>
                                <a:lnTo>
                                  <a:pt x="48" y="10"/>
                                </a:lnTo>
                                <a:lnTo>
                                  <a:pt x="41" y="0"/>
                                </a:lnTo>
                                <a:lnTo>
                                  <a:pt x="0" y="29"/>
                                </a:lnTo>
                                <a:close/>
                              </a:path>
                            </a:pathLst>
                          </a:custGeom>
                          <a:noFill/>
                          <a:ln w="5715">
                            <a:solidFill>
                              <a:srgbClr val="000000"/>
                            </a:solidFill>
                            <a:prstDash val="solid"/>
                            <a:round/>
                          </a:ln>
                        </wps:spPr>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108pt;margin-top:7.7pt;height:146.05pt;width:364.5pt;mso-position-horizontal-relative:page;z-index:251677696;mso-width-relative:page;mso-height-relative:page;" coordsize="4629150,1854835" editas="canvas" o:gfxdata="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">
                <o:lock v:ext="edit" aspectratio="f"/>
                <v:shape id="_x0000_s1026" o:spid="_x0000_s1026" style="position:absolute;left:0;top:0;height:1854835;width:4629150;" filled="f" stroked="f" coordsize="21600,21600" o:gfxdata="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">
                  <v:fill on="f" focussize="0,0"/>
                  <v:stroke on="f"/>
                  <v:imagedata o:title=""/>
                  <o:lock v:ext="edit" aspectratio="t"/>
                </v:shape>
                <v:group id="Group 984" o:spid="_x0000_s1026" o:spt="203" style="position:absolute;left:2540;top:19050;height:1637665;width:4417695;" coordorigin="4,34" coordsize="6957,2579" o:gfxdata="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">
                  <o:lock v:ext="edit" aspectratio="f"/>
                  <v:rect id="Rectangle 784" o:spid="_x0000_s1026" o:spt="1" style="position:absolute;left:3743;top:737;height:293;width:641;mso-wrap-style:none;" filled="f" stroked="f" coordsize="21600,21600" o:gfxdata="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3WyPbsAAADa&#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72BD1A60">
                          <w:r>
                            <w:rPr>
                              <w:rFonts w:hint="eastAsia" w:ascii="宋体" w:cs="宋体"/>
                              <w:color w:val="000000"/>
                              <w:kern w:val="0"/>
                              <w:sz w:val="16"/>
                              <w:szCs w:val="16"/>
                            </w:rPr>
                            <w:t>箍筋直径</w:t>
                          </w:r>
                        </w:p>
                      </w:txbxContent>
                    </v:textbox>
                  </v:rect>
                  <v:rect id="Rectangle 787" o:spid="_x0000_s1026" o:spt="1" style="position:absolute;left:3780;top:917;height:312;width:536;" filled="f" stroked="f" coordsize="21600,21600" o:gfxdata="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a1Bc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8E02B55">
                          <w:r>
                            <w:rPr>
                              <w:rFonts w:hint="eastAsia" w:ascii="宋体" w:hAnsi="宋体" w:cs="宋体"/>
                              <w:color w:val="000000"/>
                              <w:kern w:val="0"/>
                              <w:sz w:val="16"/>
                              <w:szCs w:val="16"/>
                            </w:rPr>
                            <w:t>≥</w:t>
                          </w:r>
                          <w:r>
                            <w:rPr>
                              <w:rFonts w:ascii="宋体" w:cs="宋体"/>
                              <w:color w:val="000000"/>
                              <w:kern w:val="0"/>
                              <w:sz w:val="16"/>
                              <w:szCs w:val="16"/>
                            </w:rPr>
                            <w:t>6mm</w:t>
                          </w:r>
                        </w:p>
                      </w:txbxContent>
                    </v:textbox>
                  </v:rect>
                  <v:rect id="Rectangle 788" o:spid="_x0000_s1026" o:spt="1" style="position:absolute;left:3280;top:1219;height:252;width:801;mso-wrap-style:none;" filled="f" stroked="f" coordsize="21600,21600" o:gfxdata="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E6n4G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1D94A04C">
                          <w:r>
                            <w:rPr>
                              <w:rFonts w:hint="eastAsia" w:ascii="宋体" w:cs="宋体"/>
                              <w:color w:val="000000"/>
                              <w:kern w:val="0"/>
                              <w:sz w:val="16"/>
                              <w:szCs w:val="16"/>
                            </w:rPr>
                            <w:t>桩顶入承台</w:t>
                          </w:r>
                        </w:p>
                      </w:txbxContent>
                    </v:textbox>
                  </v:rect>
                  <v:rect id="Rectangle 789" o:spid="_x0000_s1026" o:spt="1" style="position:absolute;left:3367;top:1426;height:241;width:481;mso-wrap-style:none;" filled="f" stroked="f" coordsize="21600,21600" o:gfxdata="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djo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2DBA986">
                          <w:r>
                            <w:rPr>
                              <w:rFonts w:hint="eastAsia" w:ascii="宋体" w:hAnsi="宋体" w:cs="宋体"/>
                              <w:color w:val="000000"/>
                              <w:kern w:val="0"/>
                              <w:sz w:val="16"/>
                              <w:szCs w:val="16"/>
                            </w:rPr>
                            <w:t>≥</w:t>
                          </w:r>
                          <w:r>
                            <w:rPr>
                              <w:rFonts w:ascii="宋体" w:cs="宋体"/>
                              <w:color w:val="000000"/>
                              <w:kern w:val="0"/>
                              <w:sz w:val="16"/>
                              <w:szCs w:val="16"/>
                            </w:rPr>
                            <w:t>50mm</w:t>
                          </w:r>
                        </w:p>
                      </w:txbxContent>
                    </v:textbox>
                  </v:rect>
                  <v:rect id="Rectangle 790" o:spid="_x0000_s1026" o:spt="1" style="position:absolute;left:4;top:2301;height:312;width:1399;" filled="f" stroked="f" coordsize="21600,21600" o:gfxdata="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c88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695172E8">
                          <w:pPr>
                            <w:rPr>
                              <w:sz w:val="18"/>
                              <w:szCs w:val="18"/>
                            </w:rPr>
                          </w:pPr>
                          <w:r>
                            <w:rPr>
                              <w:rFonts w:ascii="宋体" w:cs="宋体"/>
                              <w:color w:val="000000"/>
                              <w:kern w:val="0"/>
                              <w:sz w:val="18"/>
                              <w:szCs w:val="18"/>
                            </w:rPr>
                            <w:t>(a)</w:t>
                          </w:r>
                          <w:r>
                            <w:rPr>
                              <w:rFonts w:hint="eastAsia" w:ascii="宋体" w:cs="宋体"/>
                              <w:color w:val="000000"/>
                              <w:kern w:val="0"/>
                              <w:sz w:val="18"/>
                              <w:szCs w:val="18"/>
                            </w:rPr>
                            <w:t>矩形</w:t>
                          </w:r>
                          <w:r>
                            <w:rPr>
                              <w:rFonts w:ascii="宋体" w:cs="宋体"/>
                              <w:color w:val="000000"/>
                              <w:kern w:val="0"/>
                              <w:sz w:val="18"/>
                              <w:szCs w:val="18"/>
                            </w:rPr>
                            <w:t>承</w:t>
                          </w:r>
                          <w:r>
                            <w:rPr>
                              <w:rFonts w:hint="eastAsia" w:ascii="宋体" w:cs="宋体"/>
                              <w:color w:val="000000"/>
                              <w:kern w:val="0"/>
                              <w:sz w:val="18"/>
                              <w:szCs w:val="18"/>
                            </w:rPr>
                            <w:t>台</w:t>
                          </w:r>
                          <w:r>
                            <w:rPr>
                              <w:rFonts w:ascii="宋体" w:cs="宋体"/>
                              <w:color w:val="000000"/>
                              <w:kern w:val="0"/>
                              <w:sz w:val="18"/>
                              <w:szCs w:val="18"/>
                            </w:rPr>
                            <w:t>配筋</w:t>
                          </w:r>
                        </w:p>
                      </w:txbxContent>
                    </v:textbox>
                  </v:rect>
                  <v:rect id="Rectangle 791" o:spid="_x0000_s1026" o:spt="1" style="position:absolute;left:1613;top:2275;height:312;width:1455;" filled="f" stroked="f" coordsize="21600,21600" o:gfxdata="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QVl+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14:paraId="5BAA4BA7">
                          <w:pPr>
                            <w:rPr>
                              <w:sz w:val="18"/>
                              <w:szCs w:val="18"/>
                            </w:rPr>
                          </w:pPr>
                          <w:r>
                            <w:rPr>
                              <w:rFonts w:ascii="宋体" w:cs="宋体"/>
                              <w:color w:val="000000"/>
                              <w:kern w:val="0"/>
                              <w:sz w:val="18"/>
                              <w:szCs w:val="18"/>
                            </w:rPr>
                            <w:t>(b)</w:t>
                          </w:r>
                          <w:r>
                            <w:rPr>
                              <w:rFonts w:hint="eastAsia" w:ascii="宋体" w:cs="宋体"/>
                              <w:color w:val="000000"/>
                              <w:kern w:val="0"/>
                              <w:sz w:val="18"/>
                              <w:szCs w:val="18"/>
                            </w:rPr>
                            <w:t>三</w:t>
                          </w:r>
                          <w:r>
                            <w:rPr>
                              <w:rFonts w:ascii="宋体" w:cs="宋体"/>
                              <w:color w:val="000000"/>
                              <w:kern w:val="0"/>
                              <w:sz w:val="18"/>
                              <w:szCs w:val="18"/>
                            </w:rPr>
                            <w:t>桩承台配筋</w:t>
                          </w:r>
                        </w:p>
                      </w:txbxContent>
                    </v:textbox>
                  </v:rect>
                  <v:shape id="Freeform 792" o:spid="_x0000_s1026" o:spt="100" style="position:absolute;left:2736;top:1805;height:78;width:29;" filled="f" stroked="t" coordsize="29,78" o:gfxdata="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Rd95ugAAANsA&#10;AAAPAAAAAAAAAAEAIAAAACIAAABkcnMvZG93bnJldi54bWxQSwECFAAUAAAACACHTuJAMy8FnjsA&#10;AAA5AAAAEAAAAAAAAAABACAAAAAJAQAAZHJzL3NoYXBleG1sLnhtbFBLBQYAAAAABgAGAFsBAACz&#10;AwAAAAA=&#10;" path="m29,78l11,11,0,0e">
                    <v:path o:connectlocs="29,78;11,11;0,0" o:connectangles="0,0,0"/>
                    <v:fill on="f" focussize="0,0"/>
                    <v:stroke weight="0.45pt" color="#000000" joinstyle="round"/>
                    <v:imagedata o:title=""/>
                    <o:lock v:ext="edit" aspectratio="f"/>
                  </v:shape>
                  <v:shape id="Freeform 793" o:spid="_x0000_s1026" o:spt="100" style="position:absolute;left:2635;top:1750;height:31;width:77;" filled="f" stroked="t" coordsize="77,31" o:gfxdata="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KDyC8AAAA&#10;2wAAAA8AAAAAAAAAAQAgAAAAIgAAAGRycy9kb3ducmV2LnhtbFBLAQIUABQAAAAIAIdO4kAzLwWe&#10;OwAAADkAAAAQAAAAAAAAAAEAIAAAAAsBAABkcnMvc2hhcGV4bWwueG1sUEsFBgAAAAAGAAYAWwEA&#10;ALUDAAAAAA==&#10;" path="m77,31l63,17,0,0e">
                    <v:path o:connectlocs="77,31;63,17;0,0" o:connectangles="0,0,0"/>
                    <v:fill on="f" focussize="0,0"/>
                    <v:stroke weight="0.45pt" color="#000000" joinstyle="round"/>
                    <v:imagedata o:title=""/>
                    <o:lock v:ext="edit" aspectratio="f"/>
                  </v:shape>
                  <v:shape id="Freeform 794" o:spid="_x0000_s1026" o:spt="100" style="position:absolute;left:2532;top:1757;height:42;width:70;" filled="f" stroked="t" coordsize="70,42" o:gfxdata="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MBkr4A&#10;AADbAAAADwAAAAAAAAABACAAAAAiAAAAZHJzL2Rvd25yZXYueG1sUEsBAhQAFAAAAAgAh07iQDMv&#10;BZ47AAAAOQAAABAAAAAAAAAAAQAgAAAADQEAAGRycy9zaGFwZXhtbC54bWxQSwUGAAAAAAYABgBb&#10;AQAAtwMAAAAA&#10;" path="m70,0l32,10,0,42e">
                    <v:path o:connectlocs="70,0;32,10;0,42" o:connectangles="0,0,0"/>
                    <v:fill on="f" focussize="0,0"/>
                    <v:stroke weight="0.45pt" color="#000000" joinstyle="round"/>
                    <v:imagedata o:title=""/>
                    <o:lock v:ext="edit" aspectratio="f"/>
                  </v:shape>
                  <v:shape id="Freeform 795" o:spid="_x0000_s1026" o:spt="100" style="position:absolute;left:2497;top:1826;height:82;width:16;" filled="f" stroked="t" coordsize="16,82" o:gfxdata="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ffougAAANsA&#10;AAAPAAAAAAAAAAEAIAAAACIAAABkcnMvZG93bnJldi54bWxQSwECFAAUAAAACACHTuJAMy8FnjsA&#10;AAA5AAAAEAAAAAAAAAABACAAAAAJAQAAZHJzL3NoYXBleG1sLnhtbFBLBQYAAAAABgAGAFsBAACz&#10;AwAAAAA=&#10;" path="m16,0l0,57,7,82e">
                    <v:path o:connectlocs="16,0;0,57;7,82" o:connectangles="0,0,0"/>
                    <v:fill on="f" focussize="0,0"/>
                    <v:stroke weight="0.45pt" color="#000000" joinstyle="round"/>
                    <v:imagedata o:title=""/>
                    <o:lock v:ext="edit" aspectratio="f"/>
                  </v:shape>
                  <v:shape id="Freeform 796" o:spid="_x0000_s1026" o:spt="100" style="position:absolute;left:2513;top:1940;height:61;width:57;" filled="f" stroked="t" coordsize="57,61" o:gfxdata="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FiLy8AAAA&#10;2wAAAA8AAAAAAAAAAQAgAAAAIgAAAGRycy9kb3ducmV2LnhtbFBLAQIUABQAAAAIAIdO4kAzLwWe&#10;OwAAADkAAAAQAAAAAAAAAAEAIAAAAAsBAABkcnMvc2hhcGV4bWwueG1sUEsFBgAAAAAGAAYAWwEA&#10;ALUDAAAAAA==&#10;" path="m0,0l2,10,51,59,57,61e">
                    <v:path o:connectlocs="0,0;2,10;51,59;57,61" o:connectangles="0,0,0,0"/>
                    <v:fill on="f" focussize="0,0"/>
                    <v:stroke weight="0.45pt" color="#000000" joinstyle="round"/>
                    <v:imagedata o:title=""/>
                    <o:lock v:ext="edit" aspectratio="f"/>
                  </v:shape>
                  <v:shape id="Freeform 797" o:spid="_x0000_s1026" o:spt="100" style="position:absolute;left:2602;top:2003;height:14;width:82;" filled="f" stroked="t" coordsize="82,14" o:gfxdata="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LBj6/&#10;AAAA2wAAAA8AAAAAAAAAAQAgAAAAIgAAAGRycy9kb3ducmV2LnhtbFBLAQIUABQAAAAIAIdO4kAz&#10;LwWeOwAAADkAAAAQAAAAAAAAAAEAIAAAAA4BAABkcnMvc2hhcGV4bWwueG1sUEsFBgAAAAAGAAYA&#10;WwEAALgDAAAAAA==&#10;" path="m0,6l29,14,82,0e">
                    <v:path o:connectlocs="0,6;29,14;82,0" o:connectangles="0,0,0"/>
                    <v:fill on="f" focussize="0,0"/>
                    <v:stroke weight="0.45pt" color="#000000" joinstyle="round"/>
                    <v:imagedata o:title=""/>
                    <o:lock v:ext="edit" aspectratio="f"/>
                  </v:shape>
                  <v:shape id="Freeform 798" o:spid="_x0000_s1026" o:spt="100" style="position:absolute;left:2712;top:1916;height:69;width:44;" filled="f" stroked="t" coordsize="44,69" o:gfxdata="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j+WMvQAA&#10;ANsAAAAPAAAAAAAAAAEAIAAAACIAAABkcnMvZG93bnJldi54bWxQSwECFAAUAAAACACHTuJAMy8F&#10;njsAAAA5AAAAEAAAAAAAAAABACAAAAAMAQAAZHJzL3NoYXBleG1sLnhtbFBLBQYAAAAABgAGAFsB&#10;AAC2AwAAAAA=&#10;" path="m0,69l35,34,44,0e">
                    <v:path o:connectlocs="0,69;35,34;44,0" o:connectangles="0,0,0"/>
                    <v:fill on="f" focussize="0,0"/>
                    <v:stroke weight="0.45pt" color="#000000" joinstyle="round"/>
                    <v:imagedata o:title=""/>
                    <o:lock v:ext="edit" aspectratio="f"/>
                  </v:shape>
                  <v:line id="Line 799" o:spid="_x0000_s1026" o:spt="20" style="position:absolute;left:2765;top:1883;height:0;width:0;" filled="f" stroked="t" coordsize="21600,21600" o:gfxdata="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hiDSb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00" o:spid="_x0000_s1026" o:spt="20" style="position:absolute;left:706;top:1786;height:376;width:0;" filled="f" stroked="t" coordsize="21600,21600" o:gfxdata="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8Rs9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01" o:spid="_x0000_s1026" o:spt="20" style="position:absolute;left:892;top:1616;height:546;width:0;" filled="f" stroked="t" coordsize="21600,21600" o:gfxdata="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wROLsAAADb&#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02" o:spid="_x0000_s1026" o:spt="20" style="position:absolute;left:985;top:1566;height:596;width:0;" filled="f" stroked="t" coordsize="21600,21600" o:gfxdata="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0o7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03" o:spid="_x0000_s1026" o:spt="20" style="position:absolute;left:1079;top:1530;height:632;width:0;" filled="f" stroked="t" coordsize="21600,21600" o:gfxdata="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E4vj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04" o:spid="_x0000_s1026" o:spt="20" style="position:absolute;left:1172;top:1509;height:653;width:0;" filled="f" stroked="t" coordsize="21600,21600" o:gfxdata="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Xy54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05" o:spid="_x0000_s1026" o:spt="20" style="position:absolute;left:1468;top:805;flip:y;height:1105;width:638;" filled="f" stroked="t" coordsize="21600,21600" o:gfxdata="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gEy8AAAA&#10;2w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06" o:spid="_x0000_s1026" o:spt="20" style="position:absolute;left:2365;top:804;height:1104;width:638;" filled="f" stroked="t" coordsize="21600,21600" o:gfxdata="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EVlL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807" o:spid="_x0000_s1026" o:spt="100" style="position:absolute;left:1982;top:1805;height:78;width:29;" filled="f" stroked="t" coordsize="29,78" o:gfxdata="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uuPW8AAAA&#10;2wAAAA8AAAAAAAAAAQAgAAAAIgAAAGRycy9kb3ducmV2LnhtbFBLAQIUABQAAAAIAIdO4kAzLwWe&#10;OwAAADkAAAAQAAAAAAAAAAEAIAAAAAsBAABkcnMvc2hhcGV4bWwueG1sUEsFBgAAAAAGAAYAWwEA&#10;ALUDAAAAAA==&#10;" path="m29,78l11,11,0,0e">
                    <v:path o:connectlocs="29,78;11,11;0,0" o:connectangles="0,0,0"/>
                    <v:fill on="f" focussize="0,0"/>
                    <v:stroke weight="0.45pt" color="#000000" joinstyle="round"/>
                    <v:imagedata o:title=""/>
                    <o:lock v:ext="edit" aspectratio="f"/>
                  </v:shape>
                  <v:shape id="Freeform 808" o:spid="_x0000_s1026" o:spt="100" style="position:absolute;left:1881;top:1750;height:31;width:77;" filled="f" stroked="t" coordsize="77,31" o:gfxdata="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YWisvQAA&#10;ANsAAAAPAAAAAAAAAAEAIAAAACIAAABkcnMvZG93bnJldi54bWxQSwECFAAUAAAACACHTuJAMy8F&#10;njsAAAA5AAAAEAAAAAAAAAABACAAAAAMAQAAZHJzL3NoYXBleG1sLnhtbFBLBQYAAAAABgAGAFsB&#10;AAC2AwAAAAA=&#10;" path="m77,31l62,17,0,0e">
                    <v:path o:connectlocs="77,31;62,17;0,0" o:connectangles="0,0,0"/>
                    <v:fill on="f" focussize="0,0"/>
                    <v:stroke weight="0.45pt" color="#000000" joinstyle="round"/>
                    <v:imagedata o:title=""/>
                    <o:lock v:ext="edit" aspectratio="f"/>
                  </v:shape>
                  <v:shape id="Freeform 809" o:spid="_x0000_s1026" o:spt="100" style="position:absolute;left:1778;top:1757;height:42;width:70;" filled="f" stroked="t" coordsize="70,42" o:gfxdata="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VbBu8AAAA&#10;2wAAAA8AAAAAAAAAAQAgAAAAIgAAAGRycy9kb3ducmV2LnhtbFBLAQIUABQAAAAIAIdO4kAzLwWe&#10;OwAAADkAAAAQAAAAAAAAAAEAIAAAAAsBAABkcnMvc2hhcGV4bWwueG1sUEsFBgAAAAAGAAYAWwEA&#10;ALUDAAAAAA==&#10;" path="m70,0l32,10,0,42e">
                    <v:path o:connectlocs="70,0;32,10;0,42" o:connectangles="0,0,0"/>
                    <v:fill on="f" focussize="0,0"/>
                    <v:stroke weight="0.45pt" color="#000000" joinstyle="round"/>
                    <v:imagedata o:title=""/>
                    <o:lock v:ext="edit" aspectratio="f"/>
                  </v:shape>
                  <v:shape id="Freeform 810" o:spid="_x0000_s1026" o:spt="100" style="position:absolute;left:1743;top:1826;height:82;width:15;" filled="f" stroked="t" coordsize="15,82" o:gfxdata="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IZElvQAA&#10;ANsAAAAPAAAAAAAAAAEAIAAAACIAAABkcnMvZG93bnJldi54bWxQSwECFAAUAAAACACHTuJAMy8F&#10;njsAAAA5AAAAEAAAAAAAAAABACAAAAAMAQAAZHJzL3NoYXBleG1sLnhtbFBLBQYAAAAABgAGAFsB&#10;AAC2AwAAAAA=&#10;" path="m15,0l0,57,6,82e">
                    <v:path o:connectlocs="15,0;0,57;6,82" o:connectangles="0,0,0"/>
                    <v:fill on="f" focussize="0,0"/>
                    <v:stroke weight="0.45pt" color="#000000" joinstyle="round"/>
                    <v:imagedata o:title=""/>
                    <o:lock v:ext="edit" aspectratio="f"/>
                  </v:shape>
                  <v:shape id="Freeform 811" o:spid="_x0000_s1026" o:spt="100" style="position:absolute;left:1758;top:1940;height:61;width:57;" filled="f" stroked="t" coordsize="57,61" o:gfxdata="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oSZ7sAAADb&#10;AAAADwAAAAAAAAABACAAAAAiAAAAZHJzL2Rvd25yZXYueG1sUEsBAhQAFAAAAAgAh07iQDMvBZ47&#10;AAAAOQAAABAAAAAAAAAAAQAgAAAACgEAAGRycy9zaGFwZXhtbC54bWxQSwUGAAAAAAYABgBbAQAA&#10;tAMAAAAA&#10;" path="m0,0l3,10,52,59,57,61e">
                    <v:path o:connectlocs="0,0;3,10;52,59;57,61" o:connectangles="0,0,0,0"/>
                    <v:fill on="f" focussize="0,0"/>
                    <v:stroke weight="0.45pt" color="#000000" joinstyle="round"/>
                    <v:imagedata o:title=""/>
                    <o:lock v:ext="edit" aspectratio="f"/>
                  </v:shape>
                  <v:shape id="Freeform 812" o:spid="_x0000_s1026" o:spt="100" style="position:absolute;left:1848;top:2003;height:14;width:82;" filled="f" stroked="t" coordsize="82,14" o:gfxdata="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Sc5b4A&#10;AADbAAAADwAAAAAAAAABACAAAAAiAAAAZHJzL2Rvd25yZXYueG1sUEsBAhQAFAAAAAgAh07iQDMv&#10;BZ47AAAAOQAAABAAAAAAAAAAAQAgAAAADQEAAGRycy9zaGFwZXhtbC54bWxQSwUGAAAAAAYABgBb&#10;AQAAtwMAAAAA&#10;" path="m0,6l29,14,82,0e">
                    <v:path o:connectlocs="0,6;29,14;82,0" o:connectangles="0,0,0"/>
                    <v:fill on="f" focussize="0,0"/>
                    <v:stroke weight="0.45pt" color="#000000" joinstyle="round"/>
                    <v:imagedata o:title=""/>
                    <o:lock v:ext="edit" aspectratio="f"/>
                  </v:shape>
                  <v:shape id="Freeform 813" o:spid="_x0000_s1026" o:spt="100" style="position:absolute;left:1958;top:1916;height:69;width:44;" filled="f" stroked="t" coordsize="44,69" o:gfxdata="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jvAvQAA&#10;ANsAAAAPAAAAAAAAAAEAIAAAACIAAABkcnMvZG93bnJldi54bWxQSwECFAAUAAAACACHTuJAMy8F&#10;njsAAAA5AAAAEAAAAAAAAAABACAAAAAMAQAAZHJzL3NoYXBleG1sLnhtbFBLBQYAAAAABgAGAFsB&#10;AAC2AwAAAAA=&#10;" path="m0,69l35,34,44,0e">
                    <v:path o:connectlocs="0,69;35,34;44,0" o:connectangles="0,0,0"/>
                    <v:fill on="f" focussize="0,0"/>
                    <v:stroke weight="0.45pt" color="#000000" joinstyle="round"/>
                    <v:imagedata o:title=""/>
                    <o:lock v:ext="edit" aspectratio="f"/>
                  </v:shape>
                  <v:line id="Line 814" o:spid="_x0000_s1026" o:spt="20" style="position:absolute;left:2011;top:1883;height:0;width:0;" filled="f" stroked="t" coordsize="21600,21600" o:gfxdata="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ldBb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15" o:spid="_x0000_s1026" o:spt="20" style="position:absolute;left:1265;top:1495;height:667;width:0;" filled="f" stroked="t" coordsize="21600,21600" o:gfxdata="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i8Ny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16" o:spid="_x0000_s1026" o:spt="20" style="position:absolute;left:2716;top:1529;height:408;width:236;" filled="f" stroked="t" coordsize="21600,21600" o:gfxdata="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x2bp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17" o:spid="_x0000_s1026" o:spt="20" style="position:absolute;left:2365;top:804;height:1104;width:638;" filled="f" stroked="t" coordsize="21600,21600" o:gfxdata="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u/p28AAAA&#10;2w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18" o:spid="_x0000_s1026" o:spt="20" style="position:absolute;left:2657;top:1545;height:451;width:261;" filled="f" stroked="t" coordsize="21600,21600" o:gfxdata="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2JbBr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19" o:spid="_x0000_s1026" o:spt="20" style="position:absolute;left:2448;top:1650;height:460;width:266;" filled="f" stroked="t" coordsize="21600,21600" o:gfxdata="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7DFcb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20" o:spid="_x0000_s1026" o:spt="20" style="position:absolute;left:2401;top:1686;height:424;width:245;" filled="f" stroked="t" coordsize="21600,21600" o:gfxdata="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g6r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21" o:spid="_x0000_s1026" o:spt="20" style="position:absolute;left:2497;top:1619;height:491;width:284;" filled="f" stroked="t" coordsize="21600,21600" o:gfxdata="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Y/SY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22" o:spid="_x0000_s1026" o:spt="20" style="position:absolute;left:2549;top:1590;height:520;width:300;" filled="f" stroked="t" coordsize="21600,21600" o:gfxdata="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9RA7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23" o:spid="_x0000_s1026" o:spt="20" style="position:absolute;left:2602;top:1565;height:490;width:283;" filled="f" stroked="t" coordsize="21600,21600" o:gfxdata="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zG5D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24" o:spid="_x0000_s1026" o:spt="20" style="position:absolute;left:817;top:1728;height:434;width:0;" filled="f" stroked="t" coordsize="21600,21600" o:gfxdata="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gMvY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shape id="Freeform 825" o:spid="_x0000_s1026" o:spt="100" style="position:absolute;left:1101;top:1867;height:78;width:29;" filled="f" stroked="t" coordsize="29,78" o:gfxdata="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FGC6vQAA&#10;ANsAAAAPAAAAAAAAAAEAIAAAACIAAABkcnMvZG93bnJldi54bWxQSwECFAAUAAAACACHTuJAMy8F&#10;njsAAAA5AAAAEAAAAAAAAAABACAAAAAMAQAAZHJzL3NoYXBleG1sLnhtbFBLBQYAAAAABgAGAFsB&#10;AAC2AwAAAAA=&#10;" path="m29,78l11,11,0,0e">
                    <v:path o:connectlocs="29,78;11,11;0,0" o:connectangles="0,0,0"/>
                    <v:fill on="f" focussize="0,0"/>
                    <v:stroke weight="0.45pt" color="#000000" joinstyle="round"/>
                    <v:imagedata o:title=""/>
                    <o:lock v:ext="edit" aspectratio="f"/>
                  </v:shape>
                  <v:shape id="Freeform 826" o:spid="_x0000_s1026" o:spt="100" style="position:absolute;left:1000;top:1812;height:31;width:77;" filled="f" stroked="t" coordsize="77,31" o:gfxdata="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G7DjvQAA&#10;ANsAAAAPAAAAAAAAAAEAIAAAACIAAABkcnMvZG93bnJldi54bWxQSwECFAAUAAAACACHTuJAMy8F&#10;njsAAAA5AAAAEAAAAAAAAAABACAAAAAMAQAAZHJzL3NoYXBleG1sLnhtbFBLBQYAAAAABgAGAFsB&#10;AAC2AwAAAAA=&#10;" path="m77,31l63,17,0,0e">
                    <v:path o:connectlocs="77,31;63,17;0,0" o:connectangles="0,0,0"/>
                    <v:fill on="f" focussize="0,0"/>
                    <v:stroke weight="0.45pt" color="#000000" joinstyle="round"/>
                    <v:imagedata o:title=""/>
                    <o:lock v:ext="edit" aspectratio="f"/>
                  </v:shape>
                  <v:shape id="Freeform 827" o:spid="_x0000_s1026" o:spt="100" style="position:absolute;left:897;top:1819;height:42;width:70;" filled="f" stroked="t" coordsize="70,42" o:gfxdata="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9SyV74A&#10;AADbAAAADwAAAAAAAAABACAAAAAiAAAAZHJzL2Rvd25yZXYueG1sUEsBAhQAFAAAAAgAh07iQDMv&#10;BZ47AAAAOQAAABAAAAAAAAAAAQAgAAAADQEAAGRycy9zaGFwZXhtbC54bWxQSwUGAAAAAAYABgBb&#10;AQAAtwMAAAAA&#10;" path="m70,0l32,10,0,42e">
                    <v:path o:connectlocs="70,0;32,10;0,42" o:connectangles="0,0,0"/>
                    <v:fill on="f" focussize="0,0"/>
                    <v:stroke weight="0.45pt" color="#000000" joinstyle="round"/>
                    <v:imagedata o:title=""/>
                    <o:lock v:ext="edit" aspectratio="f"/>
                  </v:shape>
                  <v:shape id="Freeform 828" o:spid="_x0000_s1026" o:spt="100" style="position:absolute;left:862;top:1888;height:82;width:15;" filled="f" stroked="t" coordsize="15,82" o:gfxdata="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2BPabsAAADb&#10;AAAADwAAAAAAAAABACAAAAAiAAAAZHJzL2Rvd25yZXYueG1sUEsBAhQAFAAAAAgAh07iQDMvBZ47&#10;AAAAOQAAABAAAAAAAAAAAQAgAAAACgEAAGRycy9zaGFwZXhtbC54bWxQSwUGAAAAAAYABgBbAQAA&#10;tAMAAAAA&#10;" path="m15,0l0,57,7,82e">
                    <v:path o:connectlocs="15,0;0,57;7,82" o:connectangles="0,0,0"/>
                    <v:fill on="f" focussize="0,0"/>
                    <v:stroke weight="0.45pt" color="#000000" joinstyle="round"/>
                    <v:imagedata o:title=""/>
                    <o:lock v:ext="edit" aspectratio="f"/>
                  </v:shape>
                  <v:shape id="Freeform 829" o:spid="_x0000_s1026" o:spt="100" style="position:absolute;left:877;top:2003;height:60;width:57;" filled="f" stroked="t" coordsize="57,60" o:gfxdata="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FRPb4A&#10;AADbAAAADwAAAAAAAAABACAAAAAiAAAAZHJzL2Rvd25yZXYueG1sUEsBAhQAFAAAAAgAh07iQDMv&#10;BZ47AAAAOQAAABAAAAAAAAAAAQAgAAAADQEAAGRycy9zaGFwZXhtbC54bWxQSwUGAAAAAAYABgBb&#10;AQAAtwMAAAAA&#10;" path="m0,0l3,9,52,58,57,60e">
                    <v:path o:connectlocs="0,0;3,9;52,58;57,60" o:connectangles="0,0,0,0"/>
                    <v:fill on="f" focussize="0,0"/>
                    <v:stroke weight="0.45pt" color="#000000" joinstyle="round"/>
                    <v:imagedata o:title=""/>
                    <o:lock v:ext="edit" aspectratio="f"/>
                  </v:shape>
                  <v:shape id="Freeform 830" o:spid="_x0000_s1026" o:spt="100" style="position:absolute;left:967;top:2065;height:14;width:82;" filled="f" stroked="t" coordsize="82,14" o:gfxdata="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oSKy/&#10;AAAA2wAAAA8AAAAAAAAAAQAgAAAAIgAAAGRycy9kb3ducmV2LnhtbFBLAQIUABQAAAAIAIdO4kAz&#10;LwWeOwAAADkAAAAQAAAAAAAAAAEAIAAAAA4BAABkcnMvc2hhcGV4bWwueG1sUEsFBgAAAAAGAAYA&#10;WwEAALgDAAAAAA==&#10;" path="m0,7l29,14,82,0e">
                    <v:path o:connectlocs="0,7;29,14;82,0" o:connectangles="0,0,0"/>
                    <v:fill on="f" focussize="0,0"/>
                    <v:stroke weight="0.45pt" color="#000000" joinstyle="round"/>
                    <v:imagedata o:title=""/>
                    <o:lock v:ext="edit" aspectratio="f"/>
                  </v:shape>
                  <v:shape id="Freeform 831" o:spid="_x0000_s1026" o:spt="100" style="position:absolute;left:1077;top:1978;height:69;width:44;" filled="f" stroked="t" coordsize="44,69" o:gfxdata="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YaEbvQAA&#10;ANsAAAAPAAAAAAAAAAEAIAAAACIAAABkcnMvZG93bnJldi54bWxQSwECFAAUAAAACACHTuJAMy8F&#10;njsAAAA5AAAAEAAAAAAAAAABACAAAAAMAQAAZHJzL3NoYXBleG1sLnhtbFBLBQYAAAAABgAGAFsB&#10;AAC2AwAAAAA=&#10;" path="m0,69l35,34,44,0e">
                    <v:path o:connectlocs="0,69;35,34;44,0" o:connectangles="0,0,0"/>
                    <v:fill on="f" focussize="0,0"/>
                    <v:stroke weight="0.45pt" color="#000000" joinstyle="round"/>
                    <v:imagedata o:title=""/>
                    <o:lock v:ext="edit" aspectratio="f"/>
                  </v:shape>
                  <v:line id="Line 832" o:spid="_x0000_s1026" o:spt="20" style="position:absolute;left:1130;top:1945;height:0;width:0;" filled="f" stroked="t" coordsize="21600,21600" o:gfxdata="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2x96/&#10;AAAA2w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33" o:spid="_x0000_s1026" o:spt="20" style="position:absolute;left:673;top:1840;height:0;width:671;" filled="f" stroked="t" coordsize="21600,21600" o:gfxdata="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oKT+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34" o:spid="_x0000_s1026" o:spt="20" style="position:absolute;left:630;top:1952;height:0;width:714;" filled="f" stroked="t" coordsize="21600,21600" o:gfxdata="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BZb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35" o:spid="_x0000_s1026" o:spt="20" style="position:absolute;left:610;top:2064;height:0;width:734;" filled="f" stroked="t" coordsize="21600,21600" o:gfxdata="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z6fEr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836" o:spid="_x0000_s1026" o:spt="100" style="position:absolute;left:488;top:1862;height:78;width:29;" filled="f" stroked="t" coordsize="29,78" o:gfxdata="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A+cvQAA&#10;ANsAAAAPAAAAAAAAAAEAIAAAACIAAABkcnMvZG93bnJldi54bWxQSwECFAAUAAAACACHTuJAMy8F&#10;njsAAAA5AAAAEAAAAAAAAAABACAAAAAMAQAAZHJzL3NoYXBleG1sLnhtbFBLBQYAAAAABgAGAFsB&#10;AAC2AwAAAAA=&#10;" path="m29,78l11,11,0,0e">
                    <v:path o:connectlocs="29,78;11,11;0,0" o:connectangles="0,0,0"/>
                    <v:fill on="f" focussize="0,0"/>
                    <v:stroke weight="0.45pt" color="#000000" joinstyle="round"/>
                    <v:imagedata o:title=""/>
                    <o:lock v:ext="edit" aspectratio="f"/>
                  </v:shape>
                  <v:shape id="Freeform 837" o:spid="_x0000_s1026" o:spt="100" style="position:absolute;left:387;top:1807;height:31;width:77;" filled="f" stroked="t" coordsize="77,31" o:gfxdata="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nuIq&#10;wAAAANsAAAAPAAAAAAAAAAEAIAAAACIAAABkcnMvZG93bnJldi54bWxQSwECFAAUAAAACACHTuJA&#10;My8FnjsAAAA5AAAAEAAAAAAAAAABACAAAAAPAQAAZHJzL3NoYXBleG1sLnhtbFBLBQYAAAAABgAG&#10;AFsBAAC5AwAAAAA=&#10;" path="m77,31l63,17,0,0e">
                    <v:path o:connectlocs="77,31;63,17;0,0" o:connectangles="0,0,0"/>
                    <v:fill on="f" focussize="0,0"/>
                    <v:stroke weight="0.45pt" color="#000000" joinstyle="round"/>
                    <v:imagedata o:title=""/>
                    <o:lock v:ext="edit" aspectratio="f"/>
                  </v:shape>
                  <v:shape id="Freeform 838" o:spid="_x0000_s1026" o:spt="100" style="position:absolute;left:284;top:1813;height:43;width:71;" filled="f" stroked="t" coordsize="71,43" o:gfxdata="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me6vQAA&#10;ANsAAAAPAAAAAAAAAAEAIAAAACIAAABkcnMvZG93bnJldi54bWxQSwECFAAUAAAACACHTuJAMy8F&#10;njsAAAA5AAAAEAAAAAAAAAABACAAAAAMAQAAZHJzL3NoYXBleG1sLnhtbFBLBQYAAAAABgAGAFsB&#10;AAC2AwAAAAA=&#10;" path="m71,0l32,11,0,43e">
                    <v:path o:connectlocs="71,0;32,11;0,43" o:connectangles="0,0,0"/>
                    <v:fill on="f" focussize="0,0"/>
                    <v:stroke weight="0.45pt" color="#000000" joinstyle="round"/>
                    <v:imagedata o:title=""/>
                    <o:lock v:ext="edit" aspectratio="f"/>
                  </v:shape>
                  <v:shape id="Freeform 839" o:spid="_x0000_s1026" o:spt="100" style="position:absolute;left:249;top:1882;height:82;width:16;" filled="f" stroked="t" coordsize="16,82" o:gfxdata="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QEOe/&#10;AAAA2wAAAA8AAAAAAAAAAQAgAAAAIgAAAGRycy9kb3ducmV2LnhtbFBLAQIUABQAAAAIAIdO4kAz&#10;LwWeOwAAADkAAAAQAAAAAAAAAAEAIAAAAA4BAABkcnMvc2hhcGV4bWwueG1sUEsFBgAAAAAGAAYA&#10;WwEAALgDAAAAAA==&#10;" path="m16,0l0,58,7,82e">
                    <v:path o:connectlocs="16,0;0,58;7,82" o:connectangles="0,0,0"/>
                    <v:fill on="f" focussize="0,0"/>
                    <v:stroke weight="0.45pt" color="#000000" joinstyle="round"/>
                    <v:imagedata o:title=""/>
                    <o:lock v:ext="edit" aspectratio="f"/>
                  </v:shape>
                  <v:shape id="Freeform 840" o:spid="_x0000_s1026" o:spt="100" style="position:absolute;left:265;top:1997;height:60;width:57;" filled="f" stroked="t" coordsize="57,60" o:gfxdata="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BPhu/&#10;AAAA2wAAAA8AAAAAAAAAAQAgAAAAIgAAAGRycy9kb3ducmV2LnhtbFBLAQIUABQAAAAIAIdO4kAz&#10;LwWeOwAAADkAAAAQAAAAAAAAAAEAIAAAAA4BAABkcnMvc2hhcGV4bWwueG1sUEsFBgAAAAAGAAYA&#10;WwEAALgDAAAAAA==&#10;" path="m0,0l2,10,51,59,57,60e">
                    <v:path o:connectlocs="0,0;2,10;51,59;57,60" o:connectangles="0,0,0,0"/>
                    <v:fill on="f" focussize="0,0"/>
                    <v:stroke weight="0.45pt" color="#000000" joinstyle="round"/>
                    <v:imagedata o:title=""/>
                    <o:lock v:ext="edit" aspectratio="f"/>
                  </v:shape>
                  <v:shape id="Freeform 841" o:spid="_x0000_s1026" o:spt="100" style="position:absolute;left:355;top:2059;height:15;width:82;" filled="f" stroked="t" coordsize="82,15" o:gfxdata="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9XsRugAAANsA&#10;AAAPAAAAAAAAAAEAIAAAACIAAABkcnMvZG93bnJldi54bWxQSwECFAAUAAAACACHTuJAMy8FnjsA&#10;AAA5AAAAEAAAAAAAAAABACAAAAAJAQAAZHJzL3NoYXBleG1sLnhtbFBLBQYAAAAABgAGAFsBAACz&#10;AwAAAAA=&#10;" path="m0,7l28,15,82,0e">
                    <v:path o:connectlocs="0,7;28,15;82,0" o:connectangles="0,0,0"/>
                    <v:fill on="f" focussize="0,0"/>
                    <v:stroke weight="0.45pt" color="#000000" joinstyle="round"/>
                    <v:imagedata o:title=""/>
                    <o:lock v:ext="edit" aspectratio="f"/>
                  </v:shape>
                  <v:shape id="Freeform 842" o:spid="_x0000_s1026" o:spt="100" style="position:absolute;left:464;top:1972;height:70;width:44;" filled="f" stroked="t" coordsize="44,70" o:gfxdata="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aCHL4A&#10;AADbAAAADwAAAAAAAAABACAAAAAiAAAAZHJzL2Rvd25yZXYueG1sUEsBAhQAFAAAAAgAh07iQDMv&#10;BZ47AAAAOQAAABAAAAAAAAAAAQAgAAAADQEAAGRycy9zaGFwZXhtbC54bWxQSwUGAAAAAAYABgBb&#10;AQAAtwMAAAAA&#10;" path="m0,70l35,35,44,0e">
                    <v:path o:connectlocs="0,70;35,35;44,0" o:connectangles="0,0,0"/>
                    <v:fill on="f" focussize="0,0"/>
                    <v:stroke weight="0.45pt" color="#000000" joinstyle="round"/>
                    <v:imagedata o:title=""/>
                    <o:lock v:ext="edit" aspectratio="f"/>
                  </v:shape>
                  <v:line id="Line 843" o:spid="_x0000_s1026" o:spt="20" style="position:absolute;left:517;top:1940;height:0;width:1;" filled="f" stroked="t" coordsize="21600,21600" o:gfxdata="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eTIj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44" o:spid="_x0000_s1026" o:spt="20" style="position:absolute;left:1599;top:2133;height:0;width:1276;" filled="f" stroked="t" coordsize="21600,21600" o:gfxdata="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NZe4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45" o:spid="_x0000_s1026" o:spt="20" style="position:absolute;left:2201;top:2075;height:0;width:673;" filled="f" stroked="t" coordsize="21600,21600" o:gfxdata="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cJz7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46" o:spid="_x0000_s1026" o:spt="20" style="position:absolute;left:2210;top:2016;height:0;width:697;" filled="f" stroked="t" coordsize="21600,21600" o:gfxdata="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rrFS/&#10;AAAA2w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47" o:spid="_x0000_s1026" o:spt="20" style="position:absolute;left:2308;top:1782;height:0;width:599;" filled="f" stroked="t" coordsize="21600,21600" o:gfxdata="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kI0IL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48" o:spid="_x0000_s1026" o:spt="20" style="position:absolute;left:2270;top:1841;height:0;width:672;" filled="f" stroked="t" coordsize="21600,21600" o:gfxdata="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Okbu/&#10;AAAA2w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49" o:spid="_x0000_s1026" o:spt="20" style="position:absolute;left:2236;top:1899;height:0;width:741;" filled="f" stroked="t" coordsize="21600,21600" o:gfxdata="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cD8y8AAAA&#10;2w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50" o:spid="_x0000_s1026" o:spt="20" style="position:absolute;left:2223;top:1958;height:0;width:717;" filled="f" stroked="t" coordsize="21600,21600" o:gfxdata="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kKpX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51" o:spid="_x0000_s1026" o:spt="20" style="position:absolute;left:1468;top:1910;flip:x y;height:223;width:131;" filled="f" stroked="t" coordsize="21600,21600" o:gfxdata="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cbrsAAADb&#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52" o:spid="_x0000_s1026" o:spt="20" style="position:absolute;left:2124;top:2133;height:0;width:0;" filled="f" stroked="t" coordsize="21600,21600" o:gfxdata="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Dm76/&#10;AAAA2w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53" o:spid="_x0000_s1026" o:spt="20" style="position:absolute;left:2875;top:1908;flip:x;height:225;width:128;" filled="f" stroked="t" coordsize="21600,21600" o:gfxdata="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pecke2AAAA2wAAAA8A&#10;AAAAAAAAAQAgAAAAIgAAAGRycy9kb3ducmV2LnhtbFBLAQIUABQAAAAIAIdO4kAzLwWeOwAAADkA&#10;AAAQAAAAAAAAAAEAIAAAAAUBAABkcnMvc2hhcGV4bWwueG1sUEsFBgAAAAAGAAYAWwEAAK8DAAAA&#10;AA==&#10;">
                    <v:fill on="f" focussize="0,0"/>
                    <v:stroke weight="0.45pt" color="#000000" joinstyle="round"/>
                    <v:imagedata o:title=""/>
                    <o:lock v:ext="edit" aspectratio="f"/>
                  </v:line>
                  <v:line id="Line 854" o:spid="_x0000_s1026" o:spt="20" style="position:absolute;left:2908;top:2133;height:0;width:0;" filled="f" stroked="t" coordsize="21600,21600" o:gfxdata="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nn74A&#10;AADb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855" o:spid="_x0000_s1026" o:spt="100" style="position:absolute;left:1078;top:1085;height:78;width:29;" filled="f" stroked="t" coordsize="29,78" o:gfxdata="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dEz9vQAA&#10;ANsAAAAPAAAAAAAAAAEAIAAAACIAAABkcnMvZG93bnJldi54bWxQSwECFAAUAAAACACHTuJAMy8F&#10;njsAAAA5AAAAEAAAAAAAAAABACAAAAAMAQAAZHJzL3NoYXBleG1sLnhtbFBLBQYAAAAABgAGAFsB&#10;AAC2AwAAAAA=&#10;" path="m29,78l11,11,0,0e">
                    <v:path o:connectlocs="29,78;11,11;0,0" o:connectangles="0,0,0"/>
                    <v:fill on="f" focussize="0,0"/>
                    <v:stroke weight="0.45pt" color="#000000" joinstyle="round"/>
                    <v:imagedata o:title=""/>
                    <o:lock v:ext="edit" aspectratio="f"/>
                  </v:shape>
                  <v:shape id="Freeform 856" o:spid="_x0000_s1026" o:spt="100" style="position:absolute;left:977;top:1030;height:31;width:77;" filled="f" stroked="t" coordsize="77,31" o:gfxdata="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e5ykvQAA&#10;ANsAAAAPAAAAAAAAAAEAIAAAACIAAABkcnMvZG93bnJldi54bWxQSwECFAAUAAAACACHTuJAMy8F&#10;njsAAAA5AAAAEAAAAAAAAAABACAAAAAMAQAAZHJzL3NoYXBleG1sLnhtbFBLBQYAAAAABgAGAFsB&#10;AAC2AwAAAAA=&#10;" path="m77,31l63,17,0,0e">
                    <v:path o:connectlocs="77,31;63,17;0,0" o:connectangles="0,0,0"/>
                    <v:fill on="f" focussize="0,0"/>
                    <v:stroke weight="0.45pt" color="#000000" joinstyle="round"/>
                    <v:imagedata o:title=""/>
                    <o:lock v:ext="edit" aspectratio="f"/>
                  </v:shape>
                  <v:shape id="Freeform 857" o:spid="_x0000_s1026" o:spt="100" style="position:absolute;left:874;top:1037;height:42;width:71;" filled="f" stroked="t" coordsize="71,42" o:gfxdata="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J9qZvQAA&#10;ANsAAAAPAAAAAAAAAAEAIAAAACIAAABkcnMvZG93bnJldi54bWxQSwECFAAUAAAACACHTuJAMy8F&#10;njsAAAA5AAAAEAAAAAAAAAABACAAAAAMAQAAZHJzL3NoYXBleG1sLnhtbFBLBQYAAAAABgAGAFsB&#10;AAC2AwAAAAA=&#10;" path="m71,0l32,10,0,42e">
                    <v:path o:connectlocs="71,0;32,10;0,42" o:connectangles="0,0,0"/>
                    <v:fill on="f" focussize="0,0"/>
                    <v:stroke weight="0.45pt" color="#000000" joinstyle="round"/>
                    <v:imagedata o:title=""/>
                    <o:lock v:ext="edit" aspectratio="f"/>
                  </v:shape>
                  <v:shape id="Freeform 858" o:spid="_x0000_s1026" o:spt="100" style="position:absolute;left:839;top:1106;height:82;width:16;" filled="f" stroked="t" coordsize="16,82" o:gfxdata="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DmhqvQAA&#10;ANsAAAAPAAAAAAAAAAEAIAAAACIAAABkcnMvZG93bnJldi54bWxQSwECFAAUAAAACACHTuJAMy8F&#10;njsAAAA5AAAAEAAAAAAAAAABACAAAAAMAQAAZHJzL3NoYXBleG1sLnhtbFBLBQYAAAAABgAGAFsB&#10;AAC2AwAAAAA=&#10;" path="m16,0l0,57,7,82e">
                    <v:path o:connectlocs="16,0;0,57;7,82" o:connectangles="0,0,0"/>
                    <v:fill on="f" focussize="0,0"/>
                    <v:stroke weight="0.45pt" color="#000000" joinstyle="round"/>
                    <v:imagedata o:title=""/>
                    <o:lock v:ext="edit" aspectratio="f"/>
                  </v:shape>
                  <v:shape id="Freeform 859" o:spid="_x0000_s1026" o:spt="100" style="position:absolute;left:855;top:1220;height:60;width:57;" filled="f" stroked="t" coordsize="57,60" o:gfxdata="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AX16vQAA&#10;ANsAAAAPAAAAAAAAAAEAIAAAACIAAABkcnMvZG93bnJldi54bWxQSwECFAAUAAAACACHTuJAMy8F&#10;njsAAAA5AAAAEAAAAAAAAAABACAAAAAMAQAAZHJzL3NoYXBleG1sLnhtbFBLBQYAAAAABgAGAFsB&#10;AAC2AwAAAAA=&#10;" path="m0,0l2,10,51,59,57,60e">
                    <v:path o:connectlocs="0,0;2,10;51,59;57,60" o:connectangles="0,0,0,0"/>
                    <v:fill on="f" focussize="0,0"/>
                    <v:stroke weight="0.45pt" color="#000000" joinstyle="round"/>
                    <v:imagedata o:title=""/>
                    <o:lock v:ext="edit" aspectratio="f"/>
                  </v:shape>
                  <v:shape id="Freeform 860" o:spid="_x0000_s1026" o:spt="100" style="position:absolute;left:945;top:1283;height:14;width:82;" filled="f" stroked="t" coordsize="82,14" o:gfxdata="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hk674A&#10;AADbAAAADwAAAAAAAAABACAAAAAiAAAAZHJzL2Rvd25yZXYueG1sUEsBAhQAFAAAAAgAh07iQDMv&#10;BZ47AAAAOQAAABAAAAAAAAAAAQAgAAAADQEAAGRycy9zaGFwZXhtbC54bWxQSwUGAAAAAAYABgBb&#10;AQAAtwMAAAAA&#10;" path="m0,6l28,14,82,0e">
                    <v:path o:connectlocs="0,6;28,14;82,0" o:connectangles="0,0,0"/>
                    <v:fill on="f" focussize="0,0"/>
                    <v:stroke weight="0.45pt" color="#000000" joinstyle="round"/>
                    <v:imagedata o:title=""/>
                    <o:lock v:ext="edit" aspectratio="f"/>
                  </v:shape>
                  <v:shape id="Freeform 861" o:spid="_x0000_s1026" o:spt="100" style="position:absolute;left:1054;top:1196;height:69;width:44;" filled="f" stroked="t" coordsize="44,69" o:gfxdata="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AY1cvQAA&#10;ANsAAAAPAAAAAAAAAAEAIAAAACIAAABkcnMvZG93bnJldi54bWxQSwECFAAUAAAACACHTuJAMy8F&#10;njsAAAA5AAAAEAAAAAAAAAABACAAAAAMAQAAZHJzL3NoYXBleG1sLnhtbFBLBQYAAAAABgAGAFsB&#10;AAC2AwAAAAA=&#10;" path="m0,69l35,34,44,0e">
                    <v:path o:connectlocs="0,69;35,34;44,0" o:connectangles="0,0,0"/>
                    <v:fill on="f" focussize="0,0"/>
                    <v:stroke weight="0.45pt" color="#000000" joinstyle="round"/>
                    <v:imagedata o:title=""/>
                    <o:lock v:ext="edit" aspectratio="f"/>
                  </v:shape>
                  <v:line id="Line 862" o:spid="_x0000_s1026" o:spt="20" style="position:absolute;left:1107;top:1163;height:0;width:0;" filled="f" stroked="t" coordsize="21600,21600" o:gfxdata="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luuZ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63" o:spid="_x0000_s1026" o:spt="20" style="position:absolute;left:892;top:1616;height:0;width:452;" filled="f" stroked="t" coordsize="21600,21600" o:gfxdata="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ddTZugAAANs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64" o:spid="_x0000_s1026" o:spt="20" style="position:absolute;left:817;top:1728;height:0;width:527;" filled="f" stroked="t" coordsize="21600,21600" o:gfxdata="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OXFCvQAA&#10;ANs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shape id="Freeform 865" o:spid="_x0000_s1026" o:spt="100" style="position:absolute;left:460;top:1130;height:78;width:29;" filled="f" stroked="t" coordsize="29,78" o:gfxdata="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t2iC8AAAA&#10;2wAAAA8AAAAAAAAAAQAgAAAAIgAAAGRycy9kb3ducmV2LnhtbFBLAQIUABQAAAAIAIdO4kAzLwWe&#10;OwAAADkAAAAQAAAAAAAAAAEAIAAAAAsBAABkcnMvc2hhcGV4bWwueG1sUEsFBgAAAAAGAAYAWwEA&#10;ALUDAAAAAA==&#10;" path="m29,78l11,11,0,0e">
                    <v:path o:connectlocs="29,78;11,11;0,0" o:connectangles="0,0,0"/>
                    <v:fill on="f" focussize="0,0"/>
                    <v:stroke weight="0.45pt" color="#000000" joinstyle="round"/>
                    <v:imagedata o:title=""/>
                    <o:lock v:ext="edit" aspectratio="f"/>
                  </v:shape>
                  <v:shape id="Freeform 866" o:spid="_x0000_s1026" o:spt="100" style="position:absolute;left:359;top:1075;height:31;width:77;" filled="f" stroked="t" coordsize="77,31" o:gfxdata="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ogp5vQAA&#10;ANsAAAAPAAAAAAAAAAEAIAAAACIAAABkcnMvZG93bnJldi54bWxQSwECFAAUAAAACACHTuJAMy8F&#10;njsAAAA5AAAAEAAAAAAAAAABACAAAAAMAQAAZHJzL3NoYXBleG1sLnhtbFBLBQYAAAAABgAGAFsB&#10;AAC2AwAAAAA=&#10;" path="m77,31l63,17,0,0e">
                    <v:path o:connectlocs="77,31;63,17;0,0" o:connectangles="0,0,0"/>
                    <v:fill on="f" focussize="0,0"/>
                    <v:stroke weight="0.45pt" color="#000000" joinstyle="round"/>
                    <v:imagedata o:title=""/>
                    <o:lock v:ext="edit" aspectratio="f"/>
                  </v:shape>
                  <v:shape id="Freeform 867" o:spid="_x0000_s1026" o:spt="100" style="position:absolute;left:256;top:1082;height:42;width:70;" filled="f" stroked="t" coordsize="70,42" o:gfxdata="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bQjNvQAA&#10;ANsAAAAPAAAAAAAAAAEAIAAAACIAAABkcnMvZG93bnJldi54bWxQSwECFAAUAAAACACHTuJAMy8F&#10;njsAAAA5AAAAEAAAAAAAAAABACAAAAAMAQAAZHJzL3NoYXBleG1sLnhtbFBLBQYAAAAABgAGAFsB&#10;AAC2AwAAAAA=&#10;" path="m70,0l32,10,0,42e">
                    <v:path o:connectlocs="70,0;32,10;0,42" o:connectangles="0,0,0"/>
                    <v:fill on="f" focussize="0,0"/>
                    <v:stroke weight="0.45pt" color="#000000" joinstyle="round"/>
                    <v:imagedata o:title=""/>
                    <o:lock v:ext="edit" aspectratio="f"/>
                  </v:shape>
                  <v:shape id="Freeform 868" o:spid="_x0000_s1026" o:spt="100" style="position:absolute;left:221;top:1151;height:82;width:15;" filled="f" stroked="t" coordsize="15,82" o:gfxdata="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C2uEvQAA&#10;ANsAAAAPAAAAAAAAAAEAIAAAACIAAABkcnMvZG93bnJldi54bWxQSwECFAAUAAAACACHTuJAMy8F&#10;njsAAAA5AAAAEAAAAAAAAAABACAAAAAMAQAAZHJzL3NoYXBleG1sLnhtbFBLBQYAAAAABgAGAFsB&#10;AAC2AwAAAAA=&#10;" path="m15,0l0,57,6,82e">
                    <v:path o:connectlocs="15,0;0,57;6,82" o:connectangles="0,0,0"/>
                    <v:fill on="f" focussize="0,0"/>
                    <v:stroke weight="0.45pt" color="#000000" joinstyle="round"/>
                    <v:imagedata o:title=""/>
                    <o:lock v:ext="edit" aspectratio="f"/>
                  </v:shape>
                  <v:shape id="Freeform 869" o:spid="_x0000_s1026" o:spt="100" style="position:absolute;left:236;top:1266;height:60;width:57;" filled="f" stroked="t" coordsize="57,60" o:gfxdata="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2UTjy/&#10;AAAA2wAAAA8AAAAAAAAAAQAgAAAAIgAAAGRycy9kb3ducmV2LnhtbFBLAQIUABQAAAAIAIdO4kAz&#10;LwWeOwAAADkAAAAQAAAAAAAAAAEAIAAAAA4BAABkcnMvc2hhcGV4bWwueG1sUEsFBgAAAAAGAAYA&#10;WwEAALgDAAAAAA==&#10;" path="m0,0l3,9,52,58,57,60e">
                    <v:path o:connectlocs="0,0;3,9;52,58;57,60" o:connectangles="0,0,0,0"/>
                    <v:fill on="f" focussize="0,0"/>
                    <v:stroke weight="0.45pt" color="#000000" joinstyle="round"/>
                    <v:imagedata o:title=""/>
                    <o:lock v:ext="edit" aspectratio="f"/>
                  </v:shape>
                  <v:shape id="Freeform 870" o:spid="_x0000_s1026" o:spt="100" style="position:absolute;left:326;top:1328;height:14;width:82;" filled="f" stroked="t" coordsize="82,14" o:gfxdata="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LjmZEtwAAANsAAAAP&#10;AAAAAAAAAAEAIAAAACIAAABkcnMvZG93bnJldi54bWxQSwECFAAUAAAACACHTuJAMy8FnjsAAAA5&#10;AAAAEAAAAAAAAAABACAAAAAGAQAAZHJzL3NoYXBleG1sLnhtbFBLBQYAAAAABgAGAFsBAACwAwAA&#10;AAA=&#10;" path="m0,7l29,14,82,0e">
                    <v:path o:connectlocs="0,7;29,14;82,0" o:connectangles="0,0,0"/>
                    <v:fill on="f" focussize="0,0"/>
                    <v:stroke weight="0.45pt" color="#000000" joinstyle="round"/>
                    <v:imagedata o:title=""/>
                    <o:lock v:ext="edit" aspectratio="f"/>
                  </v:shape>
                  <v:shape id="Freeform 871" o:spid="_x0000_s1026" o:spt="100" style="position:absolute;left:436;top:1241;height:69;width:44;" filled="f" stroked="t" coordsize="44,69" o:gfxdata="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Uvhq8AAAA&#10;2wAAAA8AAAAAAAAAAQAgAAAAIgAAAGRycy9kb3ducmV2LnhtbFBLAQIUABQAAAAIAIdO4kAzLwWe&#10;OwAAADkAAAAQAAAAAAAAAAEAIAAAAAsBAABkcnMvc2hhcGV4bWwueG1sUEsFBgAAAAAGAAYAWwEA&#10;ALUDAAAAAA==&#10;" path="m0,69l35,34,44,0e">
                    <v:path o:connectlocs="0,69;35,34;44,0" o:connectangles="0,0,0"/>
                    <v:fill on="f" focussize="0,0"/>
                    <v:stroke weight="0.45pt" color="#000000" joinstyle="round"/>
                    <v:imagedata o:title=""/>
                    <o:lock v:ext="edit" aspectratio="f"/>
                  </v:shape>
                  <v:line id="Line 872" o:spid="_x0000_s1026" o:spt="20" style="position:absolute;left:489;top:1208;height:0;width:0;" filled="f" stroked="t" coordsize="21600,21600" o:gfxdata="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Opny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73" o:spid="_x0000_s1026" o:spt="20" style="position:absolute;left:549;top:1460;height:0;width:61;" filled="f" stroked="t" coordsize="21600,21600" o:gfxdata="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6bCU7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74" o:spid="_x0000_s1026" o:spt="20" style="position:absolute;left:643;top:1460;height:0;width:81;" filled="f" stroked="t" coordsize="21600,21600" o:gfxdata="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0XCS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75" o:spid="_x0000_s1026" o:spt="20" style="position:absolute;left:756;top:1460;height:0;width:61;" filled="f" stroked="t" coordsize="21600,21600" o:gfxdata="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j5v7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76" o:spid="_x0000_s1026" o:spt="20" style="position:absolute;left:549;top:1728;height:0;width:61;" filled="f" stroked="t" coordsize="21600,21600" o:gfxdata="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9Fhy7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77" o:spid="_x0000_s1026" o:spt="20" style="position:absolute;left:643;top:1728;height:0;width:81;" filled="f" stroked="t" coordsize="21600,21600" o:gfxdata="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3EU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78" o:spid="_x0000_s1026" o:spt="20" style="position:absolute;left:756;top:1728;height:0;width:61;" filled="f" stroked="t" coordsize="21600,21600" o:gfxdata="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9aJ7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79" o:spid="_x0000_s1026" o:spt="20" style="position:absolute;left:549;top:1460;height:61;width:0;" filled="f" stroked="t" coordsize="21600,21600" o:gfxdata="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wP/v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80" o:spid="_x0000_s1026" o:spt="20" style="position:absolute;left:549;top:1553;height:82;width:0;" filled="f" stroked="t" coordsize="21600,21600" o:gfxdata="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xrz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881" o:spid="_x0000_s1026" o:spt="20" style="position:absolute;left:549;top:1667;height:61;width:0;" filled="f" stroked="t" coordsize="21600,21600" o:gfxdata="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DOVb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82" o:spid="_x0000_s1026" o:spt="20" style="position:absolute;left:817;top:1460;height:61;width:0;" filled="f" stroked="t" coordsize="21600,21600" o:gfxdata="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Ez8R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83" o:spid="_x0000_s1026" o:spt="20" style="position:absolute;left:817;top:1553;height:82;width:0;" filled="f" stroked="t" coordsize="21600,21600" o:gfxdata="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VI6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84" o:spid="_x0000_s1026" o:spt="20" style="position:absolute;left:817;top:1667;height:61;width:0;" filled="f" stroked="t" coordsize="21600,21600" o:gfxdata="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q3K+b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85" o:spid="_x0000_s1026" o:spt="20" style="position:absolute;left:2125;top:1499;height:0;width:61;" filled="f" stroked="t" coordsize="21600,21600" o:gfxdata="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4W9i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86" o:spid="_x0000_s1026" o:spt="20" style="position:absolute;left:2219;top:1499;height:0;width:81;" filled="f" stroked="t" coordsize="21600,21600" o:gfxdata="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I9xa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887" o:spid="_x0000_s1026" o:spt="20" style="position:absolute;left:2333;top:1499;height:0;width:60;" filled="f" stroked="t" coordsize="21600,21600" o:gfxdata="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RFKN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88" o:spid="_x0000_s1026" o:spt="20" style="position:absolute;left:2125;top:1767;height:0;width:61;" filled="f" stroked="t" coordsize="21600,21600" o:gfxdata="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ZbM+r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889" o:spid="_x0000_s1026" o:spt="20" style="position:absolute;left:2219;top:1767;height:0;width:81;" filled="f" stroked="t" coordsize="21600,21600" o:gfxdata="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2mlh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890" o:spid="_x0000_s1026" o:spt="20" style="position:absolute;left:2333;top:1767;height:0;width:60;" filled="f" stroked="t" coordsize="21600,21600" o:gfxdata="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9F/RO/&#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891" o:spid="_x0000_s1026" o:spt="20" style="position:absolute;left:2106;top:804;flip:y;height:1;width:259;" filled="f" stroked="t" coordsize="21600,21600" o:gfxdata="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3aQX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892" o:spid="_x0000_s1026" o:spt="20" style="position:absolute;left:2360;top:1724;height:0;width:513;" filled="f" stroked="t" coordsize="21600,21600" o:gfxdata="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9fO6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shape id="Freeform 893" o:spid="_x0000_s1026" o:spt="100" style="position:absolute;left:2322;top:1017;height:78;width:29;" filled="f" stroked="t" coordsize="29,78" o:gfxdata="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sQ9MLsAAADc&#10;AAAADwAAAAAAAAABACAAAAAiAAAAZHJzL2Rvd25yZXYueG1sUEsBAhQAFAAAAAgAh07iQDMvBZ47&#10;AAAAOQAAABAAAAAAAAAAAQAgAAAACgEAAGRycy9zaGFwZXhtbC54bWxQSwUGAAAAAAYABgBbAQAA&#10;tAMAAAAA&#10;" path="m29,78l11,11,0,0e">
                    <v:path o:connectlocs="29,78;11,11;0,0" o:connectangles="0,0,0"/>
                    <v:fill on="f" focussize="0,0"/>
                    <v:stroke weight="0.45pt" color="#000000" joinstyle="round"/>
                    <v:imagedata o:title=""/>
                    <o:lock v:ext="edit" aspectratio="f"/>
                  </v:shape>
                  <v:shape id="Freeform 894" o:spid="_x0000_s1026" o:spt="100" style="position:absolute;left:2221;top:962;height:31;width:77;" filled="f" stroked="t" coordsize="77,31" o:gfxdata="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mDme8AAAA&#10;3AAAAA8AAAAAAAAAAQAgAAAAIgAAAGRycy9kb3ducmV2LnhtbFBLAQIUABQAAAAIAIdO4kAzLwWe&#10;OwAAADkAAAAQAAAAAAAAAAEAIAAAAAsBAABkcnMvc2hhcGV4bWwueG1sUEsFBgAAAAAGAAYAWwEA&#10;ALUDAAAAAA==&#10;" path="m77,31l63,17,0,0e">
                    <v:path o:connectlocs="77,31;63,17;0,0" o:connectangles="0,0,0"/>
                    <v:fill on="f" focussize="0,0"/>
                    <v:stroke weight="0.45pt" color="#000000" joinstyle="round"/>
                    <v:imagedata o:title=""/>
                    <o:lock v:ext="edit" aspectratio="f"/>
                  </v:shape>
                  <v:shape id="Freeform 895" o:spid="_x0000_s1026" o:spt="100" style="position:absolute;left:2118;top:969;height:42;width:70;" filled="f" stroked="t" coordsize="70,42" o:gfxdata="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7huo7sAAADc&#10;AAAADwAAAAAAAAABACAAAAAiAAAAZHJzL2Rvd25yZXYueG1sUEsBAhQAFAAAAAgAh07iQDMvBZ47&#10;AAAAOQAAABAAAAAAAAAAAQAgAAAACgEAAGRycy9zaGFwZXhtbC54bWxQSwUGAAAAAAYABgBbAQAA&#10;tAMAAAAA&#10;" path="m70,0l32,10,0,42e">
                    <v:path o:connectlocs="70,0;32,10;0,42" o:connectangles="0,0,0"/>
                    <v:fill on="f" focussize="0,0"/>
                    <v:stroke weight="0.45pt" color="#000000" joinstyle="round"/>
                    <v:imagedata o:title=""/>
                    <o:lock v:ext="edit" aspectratio="f"/>
                  </v:shape>
                  <v:shape id="Freeform 896" o:spid="_x0000_s1026" o:spt="100" style="position:absolute;left:2083;top:1038;height:81;width:16;" filled="f" stroked="t" coordsize="16,81" o:gfxdata="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hyEK8AAAA&#10;3AAAAA8AAAAAAAAAAQAgAAAAIgAAAGRycy9kb3ducmV2LnhtbFBLAQIUABQAAAAIAIdO4kAzLwWe&#10;OwAAADkAAAAQAAAAAAAAAAEAIAAAAAsBAABkcnMvc2hhcGV4bWwueG1sUEsFBgAAAAAGAAYAWwEA&#10;ALUDAAAAAA==&#10;" path="m16,0l0,57,7,81e">
                    <v:path o:connectlocs="16,0;0,57;7,81" o:connectangles="0,0,0"/>
                    <v:fill on="f" focussize="0,0"/>
                    <v:stroke weight="0.45pt" color="#000000" joinstyle="round"/>
                    <v:imagedata o:title=""/>
                    <o:lock v:ext="edit" aspectratio="f"/>
                  </v:shape>
                  <v:shape id="Freeform 897" o:spid="_x0000_s1026" o:spt="100" style="position:absolute;left:2099;top:1152;height:60;width:56;" filled="f" stroked="t" coordsize="56,60" o:gfxdata="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h1nBvQAA&#10;ANwAAAAPAAAAAAAAAAEAIAAAACIAAABkcnMvZG93bnJldi54bWxQSwECFAAUAAAACACHTuJAMy8F&#10;njsAAAA5AAAAEAAAAAAAAAABACAAAAAMAQAAZHJzL3NoYXBleG1sLnhtbFBLBQYAAAAABgAGAFsB&#10;AAC2AwAAAAA=&#10;" path="m0,0l2,10,51,59,56,60e">
                    <v:path o:connectlocs="0,0;2,10;51,59;56,60" o:connectangles="0,0,0,0"/>
                    <v:fill on="f" focussize="0,0"/>
                    <v:stroke weight="0.45pt" color="#000000" joinstyle="round"/>
                    <v:imagedata o:title=""/>
                    <o:lock v:ext="edit" aspectratio="f"/>
                  </v:shape>
                  <v:shape id="Freeform 898" o:spid="_x0000_s1026" o:spt="100" style="position:absolute;left:2188;top:1215;height:14;width:82;" filled="f" stroked="t" coordsize="82,14" o:gfxdata="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X6lvO5AAAA3AAA&#10;AA8AAAAAAAAAAQAgAAAAIgAAAGRycy9kb3ducmV2LnhtbFBLAQIUABQAAAAIAIdO4kAzLwWeOwAA&#10;ADkAAAAQAAAAAAAAAAEAIAAAAAgBAABkcnMvc2hhcGV4bWwueG1sUEsFBgAAAAAGAAYAWwEAALID&#10;AAAAAA==&#10;" path="m0,6l29,14,82,0e">
                    <v:path o:connectlocs="0,6;29,14;82,0" o:connectangles="0,0,0"/>
                    <v:fill on="f" focussize="0,0"/>
                    <v:stroke weight="0.45pt" color="#000000" joinstyle="round"/>
                    <v:imagedata o:title=""/>
                    <o:lock v:ext="edit" aspectratio="f"/>
                  </v:shape>
                  <v:shape id="Freeform 899" o:spid="_x0000_s1026" o:spt="100" style="position:absolute;left:2298;top:1128;height:69;width:44;" filled="f" stroked="t" coordsize="44,69" o:gfxdata="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4xBcL4A&#10;AADcAAAADwAAAAAAAAABACAAAAAiAAAAZHJzL2Rvd25yZXYueG1sUEsBAhQAFAAAAAgAh07iQDMv&#10;BZ47AAAAOQAAABAAAAAAAAAAAQAgAAAADQEAAGRycy9zaGFwZXhtbC54bWxQSwUGAAAAAAYABgBb&#10;AQAAtwMAAAAA&#10;" path="m0,69l35,34,44,0e">
                    <v:path o:connectlocs="0,69;35,34;44,0" o:connectangles="0,0,0"/>
                    <v:fill on="f" focussize="0,0"/>
                    <v:stroke weight="0.45pt" color="#000000" joinstyle="round"/>
                    <v:imagedata o:title=""/>
                    <o:lock v:ext="edit" aspectratio="f"/>
                  </v:shape>
                  <v:line id="Line 900" o:spid="_x0000_s1026" o:spt="20" style="position:absolute;left:2351;top:1095;height:0;width:0;" filled="f" stroked="t" coordsize="21600,21600" o:gfxdata="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fsmj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01" o:spid="_x0000_s1026" o:spt="20" style="position:absolute;left:2125;top:1499;height:61;width:0;" filled="f" stroked="t" coordsize="21600,21600" o:gfxdata="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mw4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02" o:spid="_x0000_s1026" o:spt="20" style="position:absolute;left:2125;top:1592;height:82;width:0;" filled="f" stroked="t" coordsize="21600,21600" o:gfxdata="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9v0T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903" o:spid="_x0000_s1026" o:spt="20" style="position:absolute;left:2125;top:1706;height:61;width:0;" filled="f" stroked="t" coordsize="21600,21600" o:gfxdata="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l1HX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04" o:spid="_x0000_s1026" o:spt="20" style="position:absolute;left:2393;top:1499;height:61;width:0;" filled="f" stroked="t" coordsize="21600,21600" o:gfxdata="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EXPo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905" o:spid="_x0000_s1026" o:spt="20" style="position:absolute;left:2393;top:1592;height:82;width:0;" filled="f" stroked="t" coordsize="21600,21600" o:gfxdata="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CWo7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06" o:spid="_x0000_s1026" o:spt="20" style="position:absolute;left:2393;top:1706;height:61;width:0;" filled="f" stroked="t" coordsize="21600,21600" o:gfxdata="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W/k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shape id="Freeform 907" o:spid="_x0000_s1026" o:spt="100" style="position:absolute;left:2684;top:1356;height:0;width:0;" fillcolor="#000000" filled="t" stroked="f" coordsize="0,0" o:gfxdata="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Lg8m8AAAA&#10;3AAAAA8AAAAAAAAAAQAgAAAAIgAAAGRycy9kb3ducmV2LnhtbFBLAQIUABQAAAAIAIdO4kAzLwWe&#10;OwAAADkAAAAQAAAAAAAAAAEAIAAAAAsBAABkcnMvc2hhcGV4bWwueG1sUEsFBgAAAAAGAAYAWwEA&#10;ALUDAAAAAA==&#10;" path="m0,0l0,0,0,0xe">
                    <v:path o:connectlocs="0,0;0,0;0,0" o:connectangles="0,0,0"/>
                    <v:fill on="t" focussize="0,0"/>
                    <v:stroke on="f"/>
                    <v:imagedata o:title=""/>
                    <o:lock v:ext="edit" aspectratio="f"/>
                  </v:shape>
                  <v:shape id="Freeform 908" o:spid="_x0000_s1026" o:spt="100" style="position:absolute;left:2684;top:1356;height:0;width:0;" fillcolor="#000000" filled="t" stroked="f" coordsize="0,0" o:gfxdata="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Ht6vvQAA&#10;ANwAAAAPAAAAAAAAAAEAIAAAACIAAABkcnMvZG93bnJldi54bWxQSwECFAAUAAAACACHTuJAMy8F&#10;njsAAAA5AAAAEAAAAAAAAAABACAAAAAMAQAAZHJzL3NoYXBleG1sLnhtbFBLBQYAAAAABgAGAFsB&#10;AAC2AwAAAAA=&#10;" path="m0,0l0,0,0,0xe">
                    <v:path o:connectlocs="0,0;0,0;0,0" o:connectangles="0,0,0"/>
                    <v:fill on="t" focussize="0,0"/>
                    <v:stroke on="f"/>
                    <v:imagedata o:title=""/>
                    <o:lock v:ext="edit" aspectratio="f"/>
                  </v:shape>
                  <v:rect id="Rectangle 909" o:spid="_x0000_s1026" o:spt="1" style="position:absolute;left:2684;top:1356;height:1;width:1;" filled="f" stroked="t" coordsize="21600,21600" o:gfxdata="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97pW/&#10;AAAA3AAAAA8AAAAAAAAAAQAgAAAAIgAAAGRycy9kb3ducmV2LnhtbFBLAQIUABQAAAAIAIdO4kAz&#10;LwWeOwAAADkAAAAQAAAAAAAAAAEAIAAAAA4BAABkcnMvc2hhcGV4bWwueG1sUEsFBgAAAAAGAAYA&#10;WwEAALgDAAAAAA==&#10;">
                    <v:fill on="f" focussize="0,0"/>
                    <v:stroke weight="0.45pt" color="#000000" miterlimit="8" joinstyle="miter"/>
                    <v:imagedata o:title=""/>
                    <o:lock v:ext="edit" aspectratio="f"/>
                  </v:rect>
                  <v:rect id="Rectangle 915" o:spid="_x0000_s1026" o:spt="1" style="position:absolute;left:6000;top:1475;height:312;width:961;mso-wrap-style:none;" filled="f" stroked="f" coordsize="21600,21600" o:gfxdata="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iUFr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CDF6072">
                          <w:r>
                            <w:rPr>
                              <w:rFonts w:hint="eastAsia" w:ascii="宋体" w:cs="宋体"/>
                              <w:color w:val="000000"/>
                              <w:kern w:val="0"/>
                              <w:sz w:val="16"/>
                              <w:szCs w:val="16"/>
                            </w:rPr>
                            <w:t>垫层100mm厚</w:t>
                          </w:r>
                        </w:p>
                      </w:txbxContent>
                    </v:textbox>
                  </v:rect>
                  <v:rect id="Rectangle 916" o:spid="_x0000_s1026" o:spt="1" style="position:absolute;left:5994;top:1670;height:312;width:761;mso-wrap-style:none;" filled="f" stroked="f" coordsize="21600,21600" o:gfxdata="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sW1Rm2AAAA3A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14:paraId="7DAAA7D4">
                          <w:r>
                            <w:rPr>
                              <w:rFonts w:hint="eastAsia" w:ascii="宋体" w:cs="宋体"/>
                              <w:color w:val="000000"/>
                              <w:kern w:val="0"/>
                              <w:sz w:val="16"/>
                              <w:szCs w:val="16"/>
                            </w:rPr>
                            <w:t>C1</w:t>
                          </w:r>
                          <w:r>
                            <w:rPr>
                              <w:rFonts w:ascii="宋体" w:cs="宋体"/>
                              <w:color w:val="000000"/>
                              <w:kern w:val="0"/>
                              <w:sz w:val="16"/>
                              <w:szCs w:val="16"/>
                            </w:rPr>
                            <w:t>5</w:t>
                          </w:r>
                          <w:r>
                            <w:rPr>
                              <w:rFonts w:hint="eastAsia" w:ascii="宋体" w:cs="宋体"/>
                              <w:color w:val="000000"/>
                              <w:kern w:val="0"/>
                              <w:sz w:val="16"/>
                              <w:szCs w:val="16"/>
                            </w:rPr>
                            <w:t>混凝土</w:t>
                          </w:r>
                        </w:p>
                      </w:txbxContent>
                    </v:textbox>
                  </v:rect>
                  <v:rect id="Rectangle 918" o:spid="_x0000_s1026" o:spt="1" style="position:absolute;left:4667;top:2262;height:312;width:1171;mso-wrap-style:none;" filled="f" stroked="f" coordsize="21600,21600" o:gfxdata="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LlPw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14:paraId="79D86104">
                          <w:pPr>
                            <w:rPr>
                              <w:sz w:val="18"/>
                              <w:szCs w:val="18"/>
                            </w:rPr>
                          </w:pPr>
                          <w:r>
                            <w:rPr>
                              <w:rFonts w:ascii="宋体" w:cs="宋体"/>
                              <w:color w:val="000000"/>
                              <w:kern w:val="0"/>
                              <w:sz w:val="18"/>
                              <w:szCs w:val="18"/>
                            </w:rPr>
                            <w:t>(c)</w:t>
                          </w:r>
                          <w:r>
                            <w:rPr>
                              <w:rFonts w:hint="eastAsia" w:ascii="宋体" w:cs="宋体"/>
                              <w:color w:val="000000"/>
                              <w:kern w:val="0"/>
                              <w:sz w:val="18"/>
                              <w:szCs w:val="18"/>
                            </w:rPr>
                            <w:t>承台</w:t>
                          </w:r>
                          <w:r>
                            <w:rPr>
                              <w:rFonts w:ascii="宋体" w:cs="宋体"/>
                              <w:color w:val="000000"/>
                              <w:kern w:val="0"/>
                              <w:sz w:val="18"/>
                              <w:szCs w:val="18"/>
                            </w:rPr>
                            <w:t>梁配筋</w:t>
                          </w:r>
                        </w:p>
                      </w:txbxContent>
                    </v:textbox>
                  </v:rect>
                  <v:rect id="Rectangle 919" o:spid="_x0000_s1026" o:spt="1" style="position:absolute;left:4149;top:1706;height:312;width:241;mso-wrap-style:none;" filled="f" stroked="f" coordsize="21600,21600" o:gfxdata="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9epZ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38ABCDD">
                          <w:r>
                            <w:rPr>
                              <w:rFonts w:ascii="宋体" w:cs="宋体"/>
                              <w:color w:val="000000"/>
                              <w:kern w:val="0"/>
                              <w:sz w:val="16"/>
                              <w:szCs w:val="16"/>
                            </w:rPr>
                            <w:t>&gt;75</w:t>
                          </w:r>
                        </w:p>
                      </w:txbxContent>
                    </v:textbox>
                  </v:rect>
                  <v:line id="Line 920" o:spid="_x0000_s1026" o:spt="20" style="position:absolute;left:5318;top:1324;flip:y;height:735;width:0;" filled="f" stroked="t" coordsize="21600,21600" o:gfxdata="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cVxq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921" o:spid="_x0000_s1026" o:spt="20" style="position:absolute;left:4614;top:1562;height:513;width:0;" filled="f" stroked="t" coordsize="21600,21600" o:gfxdata="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OH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22" o:spid="_x0000_s1026" o:spt="20" style="position:absolute;left:4408;top:1885;height:0;width:1090;" filled="f" stroked="t" coordsize="21600,21600" o:gfxdata="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S2Wa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23" o:spid="_x0000_s1026" o:spt="20" style="position:absolute;left:5048;top:2059;height:0;width:397;" filled="f" stroked="t" coordsize="21600,21600" o:gfxdata="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Ez8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24" o:spid="_x0000_s1026" o:spt="20" style="position:absolute;left:4614;top:2075;height:0;width:270;" filled="f" stroked="t" coordsize="21600,21600" o:gfxdata="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Oth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25" o:spid="_x0000_s1026" o:spt="20" style="position:absolute;left:4487;top:2075;flip:x;height:0;width:127;" filled="f" stroked="t" coordsize="21600,21600" o:gfxdata="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K/SC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26" o:spid="_x0000_s1026" o:spt="20" style="position:absolute;left:5000;top:2059;flip:y;height:63;width:48;" filled="f" stroked="t" coordsize="21600,21600" o:gfxdata="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tGDw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27" o:spid="_x0000_s1026" o:spt="20" style="position:absolute;left:4932;top:2006;height:116;width:68;" filled="f" stroked="t" coordsize="21600,21600" o:gfxdata="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w59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28" o:spid="_x0000_s1026" o:spt="20" style="position:absolute;left:4884;top:2006;flip:y;height:69;width:48;" filled="f" stroked="t" coordsize="21600,21600" o:gfxdata="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rqZL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29" o:spid="_x0000_s1026" o:spt="20" style="position:absolute;left:4440;top:1652;height:253;width:0;" filled="f" stroked="t" coordsize="21600,21600" o:gfxdata="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Nv9P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shape id="Freeform 930" o:spid="_x0000_s1026" o:spt="100" style="position:absolute;left:4430;top:1858;height:47;width:32;" fillcolor="#000000" filled="t" stroked="f" coordsize="32,47" o:gfxdata="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Z2rb4A&#10;AADcAAAADwAAAAAAAAABACAAAAAiAAAAZHJzL2Rvd25yZXYueG1sUEsBAhQAFAAAAAgAh07iQDMv&#10;BZ47AAAAOQAAABAAAAAAAAAAAQAgAAAADQEAAGRycy9zaGFwZXhtbC54bWxQSwUGAAAAAAYABgBb&#10;AQAAtwMAAAAA&#10;" path="m32,8l22,0,0,47,32,8xe">
                    <v:path o:connectlocs="32,8;22,0;0,47;32,8" o:connectangles="0,0,0,0"/>
                    <v:fill on="t" focussize="0,0"/>
                    <v:stroke on="f"/>
                    <v:imagedata o:title=""/>
                    <o:lock v:ext="edit" aspectratio="f"/>
                  </v:shape>
                  <v:shape id="Freeform 931" o:spid="_x0000_s1026" o:spt="100" style="position:absolute;left:4420;top:1858;height:47;width:32;" fillcolor="#000000" filled="t" stroked="f" coordsize="32,47" o:gfxdata="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ma0za/&#10;AAAA3AAAAA8AAAAAAAAAAQAgAAAAIgAAAGRycy9kb3ducmV2LnhtbFBLAQIUABQAAAAIAIdO4kAz&#10;LwWeOwAAADkAAAAQAAAAAAAAAAEAIAAAAA4BAABkcnMvc2hhcGV4bWwueG1sUEsFBgAAAAAGAAYA&#10;WwEAALgDAAAAAA==&#10;" path="m32,0l10,47,0,39,32,0xe">
                    <v:path o:connectlocs="32,0;10,47;0,39;32,0" o:connectangles="0,0,0,0"/>
                    <v:fill on="t" focussize="0,0"/>
                    <v:stroke on="f"/>
                    <v:imagedata o:title=""/>
                    <o:lock v:ext="edit" aspectratio="f"/>
                  </v:shape>
                  <v:shape id="Freeform 932" o:spid="_x0000_s1026" o:spt="100" style="position:absolute;left:4420;top:1858;height:47;width:42;" filled="f" stroked="t" coordsize="42,47" o:gfxdata="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X4mb4A&#10;AADcAAAADwAAAAAAAAABACAAAAAiAAAAZHJzL2Rvd25yZXYueG1sUEsBAhQAFAAAAAgAh07iQDMv&#10;BZ47AAAAOQAAABAAAAAAAAAAAQAgAAAADQEAAGRycy9zaGFwZXhtbC54bWxQSwUGAAAAAAYABgBb&#10;AQAAtwMAAAAA&#10;" path="m42,8l32,0,0,39,10,47,42,8xe">
                    <v:path o:connectlocs="42,8;32,0;0,39;10,47;42,8" o:connectangles="0,0,0,0,0"/>
                    <v:fill on="f" focussize="0,0"/>
                    <v:stroke weight="0.45pt" color="#000000" joinstyle="round"/>
                    <v:imagedata o:title=""/>
                    <o:lock v:ext="edit" aspectratio="f"/>
                  </v:shape>
                  <v:rect id="Rectangle 933" o:spid="_x0000_s1026" o:spt="1" style="position:absolute;left:4921;top:1631;height:312;width:81;mso-wrap-style:none;" filled="f" stroked="f" coordsize="21600,21600" o:gfxdata="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oibn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66D310C3">
                          <w:r>
                            <w:rPr>
                              <w:rFonts w:ascii="宋体" w:cs="宋体"/>
                              <w:color w:val="000000"/>
                              <w:kern w:val="0"/>
                              <w:sz w:val="16"/>
                              <w:szCs w:val="16"/>
                            </w:rPr>
                            <w:t>d</w:t>
                          </w:r>
                        </w:p>
                      </w:txbxContent>
                    </v:textbox>
                  </v:rect>
                  <v:rect id="Rectangle 934" o:spid="_x0000_s1026" o:spt="1" style="position:absolute;left:5492;top:1671;height:312;width:241;mso-wrap-style:none;" filled="f" stroked="f" coordsize="21600,21600" o:gfxdata="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nC4k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20A83EF">
                          <w:r>
                            <w:rPr>
                              <w:rFonts w:ascii="宋体" w:cs="宋体"/>
                              <w:color w:val="000000"/>
                              <w:kern w:val="0"/>
                              <w:sz w:val="16"/>
                              <w:szCs w:val="16"/>
                            </w:rPr>
                            <w:t>&gt;75</w:t>
                          </w:r>
                        </w:p>
                      </w:txbxContent>
                    </v:textbox>
                  </v:rect>
                  <v:rect id="Rectangle 935" o:spid="_x0000_s1026" o:spt="1" style="position:absolute;left:5492;top:1906;height:312;width:161;mso-wrap-style:none;" filled="f" stroked="f" coordsize="21600,21600" o:gfxdata="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wdC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5667D9E">
                          <w:r>
                            <w:rPr>
                              <w:rFonts w:hint="eastAsia" w:ascii="宋体" w:cs="宋体"/>
                              <w:color w:val="000000"/>
                              <w:kern w:val="0"/>
                              <w:sz w:val="16"/>
                              <w:szCs w:val="16"/>
                            </w:rPr>
                            <w:t>桩</w:t>
                          </w:r>
                        </w:p>
                      </w:txbxContent>
                    </v:textbox>
                  </v:rect>
                  <v:rect id="Rectangle 936" o:spid="_x0000_s1026" o:spt="1" style="position:absolute;left:5386;top:34;height:312;width:1281;mso-wrap-style:none;" filled="f" stroked="f" coordsize="21600,21600" o:gfxdata="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69dM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6A62B071">
                          <w:r>
                            <w:rPr>
                              <w:rFonts w:hint="eastAsia" w:ascii="宋体" w:cs="宋体"/>
                              <w:color w:val="000000"/>
                              <w:kern w:val="0"/>
                              <w:sz w:val="16"/>
                              <w:szCs w:val="16"/>
                            </w:rPr>
                            <w:t>承台梁内主筋除须</w:t>
                          </w:r>
                        </w:p>
                      </w:txbxContent>
                    </v:textbox>
                  </v:rect>
                  <v:rect id="Rectangle 937" o:spid="_x0000_s1026" o:spt="1" style="position:absolute;left:5386;top:229;height:312;width:1281;mso-wrap-style:none;" filled="f" stroked="f" coordsize="21600,21600" o:gfxdata="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U0j1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3E7D84A1">
                          <w:r>
                            <w:rPr>
                              <w:rFonts w:hint="eastAsia" w:ascii="宋体" w:cs="宋体"/>
                              <w:color w:val="000000"/>
                              <w:kern w:val="0"/>
                              <w:sz w:val="16"/>
                              <w:szCs w:val="16"/>
                            </w:rPr>
                            <w:t>按计算配置外尚应</w:t>
                          </w:r>
                        </w:p>
                      </w:txbxContent>
                    </v:textbox>
                  </v:rect>
                  <v:rect id="Rectangle 938" o:spid="_x0000_s1026" o:spt="1" style="position:absolute;left:5386;top:424;height:312;width:1121;mso-wrap-style:none;" filled="f" stroked="f" coordsize="21600,21600" o:gfxdata="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OttugAAANw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14:paraId="406052A8">
                          <w:r>
                            <w:rPr>
                              <w:rFonts w:hint="eastAsia" w:ascii="宋体" w:cs="宋体"/>
                              <w:color w:val="000000"/>
                              <w:kern w:val="0"/>
                              <w:sz w:val="16"/>
                              <w:szCs w:val="16"/>
                            </w:rPr>
                            <w:t>满足最小配筋率</w:t>
                          </w:r>
                        </w:p>
                      </w:txbxContent>
                    </v:textbox>
                  </v:rect>
                  <v:line id="Line 939" o:spid="_x0000_s1026" o:spt="20" style="position:absolute;left:4434;top:1652;flip:x;height:0;width:11;" filled="f" stroked="t" coordsize="21600,21600" o:gfxdata="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M+bC5AAAA3AAA&#10;AA8AAAAAAAAAAQAgAAAAIgAAAGRycy9kb3ducmV2LnhtbFBLAQIUABQAAAAIAIdO4kAzLwWeOwAA&#10;ADkAAAAQAAAAAAAAAAEAIAAAAAgBAABkcnMvc2hhcGV4bWwueG1sUEsFBgAAAAAGAAYAWwEAALID&#10;AAAAAA==&#10;">
                    <v:fill on="f" focussize="0,0"/>
                    <v:stroke weight="0.45pt" color="#000000" joinstyle="round"/>
                    <v:imagedata o:title=""/>
                    <o:lock v:ext="edit" aspectratio="f"/>
                  </v:line>
                  <v:line id="Line 940" o:spid="_x0000_s1026" o:spt="20" style="position:absolute;left:4440;top:1652;height:0;width:5;" filled="f" stroked="t" coordsize="21600,21600" o:gfxdata="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3n/S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941" o:spid="_x0000_s1026" o:spt="20" style="position:absolute;left:4440;top:1652;height:0;width:0;" filled="f" stroked="t" coordsize="21600,21600" o:gfxdata="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mkG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42" o:spid="_x0000_s1026" o:spt="20" style="position:absolute;left:5178;top:1992;flip:y;height:5;width:271;" filled="f" stroked="t" coordsize="21600,21600" o:gfxdata="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hl6E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43" o:spid="_x0000_s1026" o:spt="20" style="position:absolute;left:5489;top:1652;height:253;width:0;" filled="f" stroked="t" coordsize="21600,21600" o:gfxdata="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Bk/K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944" o:spid="_x0000_s1026" o:spt="20" style="position:absolute;left:4855;top:624;flip:y;height:5;width:1944;" filled="f" stroked="t" coordsize="21600,21600" o:gfxdata="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Pqda5AAAA3AAA&#10;AA8AAAAAAAAAAQAgAAAAIgAAAGRycy9kb3ducmV2LnhtbFBLAQIUABQAAAAIAIdO4kAzLwWeOwAA&#10;ADkAAAAQAAAAAAAAAAEAIAAAAAgBAABkcnMvc2hhcGV4bWwueG1sUEsFBgAAAAAGAAYAWwEAALID&#10;AAAAAA==&#10;">
                    <v:fill on="f" focussize="0,0"/>
                    <v:stroke weight="0.45pt" color="#000000" joinstyle="round"/>
                    <v:imagedata o:title=""/>
                    <o:lock v:ext="edit" aspectratio="f"/>
                  </v:line>
                  <v:line id="Line 945" o:spid="_x0000_s1026" o:spt="20" style="position:absolute;left:4765;top:772;height:0;width:0;" filled="f" stroked="t" coordsize="21600,21600" o:gfxdata="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dfw0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46" o:spid="_x0000_s1026" o:spt="20" style="position:absolute;left:4722;top:733;height:0;width:0;" filled="f" stroked="t" coordsize="21600,21600" o:gfxdata="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Fbq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47" o:spid="_x0000_s1026" o:spt="20" style="position:absolute;left:4713;top:724;height:0;width:0;" filled="f" stroked="t" coordsize="21600,21600" o:gfxdata="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Jyz6/&#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48" o:spid="_x0000_s1026" o:spt="20" style="position:absolute;left:4963;top:774;height:0;width:0;" filled="f" stroked="t" coordsize="21600,21600" o:gfxdata="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gU0q/&#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49" o:spid="_x0000_s1026" o:spt="20" style="position:absolute;left:4914;top:729;height:0;width:0;" filled="f" stroked="t" coordsize="21600,21600" o:gfxdata="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s9t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0" o:spid="_x0000_s1026" o:spt="20" style="position:absolute;left:4871;top:689;height:0;width:0;" filled="f" stroked="t" coordsize="21600,21600" o:gfxdata="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aKa/&#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1" o:spid="_x0000_s1026" o:spt="20" style="position:absolute;left:4862;top:681;height:0;width:0;" filled="f" stroked="t" coordsize="21600,21600" o:gfxdata="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yzT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2" o:spid="_x0000_s1026" o:spt="20" style="position:absolute;left:4812;top:636;height:0;width:0;" filled="f" stroked="t" coordsize="21600,21600" o:gfxdata="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tWU+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953" o:spid="_x0000_s1026" o:spt="20" style="position:absolute;left:4769;top:596;height:0;width:0;" filled="f" stroked="t" coordsize="21600,21600" o:gfxdata="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h/N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4" o:spid="_x0000_s1026" o:spt="20" style="position:absolute;left:4760;top:588;height:0;width:0;" filled="f" stroked="t" coordsize="21600,21600" o:gfxdata="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QsOU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55" o:spid="_x0000_s1026" o:spt="20" style="position:absolute;left:4711;top:542;height:0;width:0;" filled="f" stroked="t" coordsize="21600,21600" o:gfxdata="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1YA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6" o:spid="_x0000_s1026" o:spt="20" style="position:absolute;left:5121;top:739;height:0;width:0;" filled="f" stroked="t" coordsize="21600,21600" o:gfxdata="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5/57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57" o:spid="_x0000_s1026" o:spt="20" style="position:absolute;left:5112;top:730;height:0;width:0;" filled="f" stroked="t" coordsize="21600,21600" o:gfxdata="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rW+C/&#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58" o:spid="_x0000_s1026" o:spt="20" style="position:absolute;left:5063;top:685;height:0;width:0;" filled="f" stroked="t" coordsize="21600,21600" o:gfxdata="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NM+S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59" o:spid="_x0000_s1026" o:spt="20" style="position:absolute;left:5020;top:646;height:0;width:0;" filled="f" stroked="t" coordsize="21600,21600" o:gfxdata="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nSY0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60" o:spid="_x0000_s1026" o:spt="20" style="position:absolute;left:5011;top:637;height:0;width:0;" filled="f" stroked="t" coordsize="21600,21600" o:gfxdata="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GDr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61" o:spid="_x0000_s1026" o:spt="20" style="position:absolute;left:4961;top:592;height:0;width:0;" filled="f" stroked="t" coordsize="21600,21600" o:gfxdata="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DHd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62" o:spid="_x0000_s1026" o:spt="20" style="position:absolute;left:4918;top:553;height:0;width:0;" filled="f" stroked="t" coordsize="21600,21600" o:gfxdata="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PuEO/&#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63" o:spid="_x0000_s1026" o:spt="20" style="position:absolute;left:4909;top:544;height:0;width:0;" filled="f" stroked="t" coordsize="21600,21600" o:gfxdata="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aYgN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64" o:spid="_x0000_s1026" o:spt="20" style="position:absolute;left:4860;top:499;height:0;width:0;" filled="f" stroked="t" coordsize="21600,21600" o:gfxdata="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ha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65" o:spid="_x0000_s1026" o:spt="20" style="position:absolute;left:4817;top:460;height:0;width:0;" filled="f" stroked="t" coordsize="21600,21600" o:gfxdata="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gb2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66" o:spid="_x0000_s1026" o:spt="20" style="position:absolute;left:4807;top:451;height:0;width:1;" filled="f" stroked="t" coordsize="21600,21600" o:gfxdata="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dL5A&#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967" o:spid="_x0000_s1026" o:spt="20" style="position:absolute;left:4758;top:406;height:0;width:0;" filled="f" stroked="t" coordsize="21600,21600" o:gfxdata="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6yoy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68" o:spid="_x0000_s1026" o:spt="20" style="position:absolute;left:4715;top:367;height:0;width:0;" filled="f" stroked="t" coordsize="21600,21600" o:gfxdata="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p4+p&#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969" o:spid="_x0000_s1026" o:spt="20" style="position:absolute;left:4706;top:358;height:0;width:0;" filled="f" stroked="t" coordsize="21600,21600" o:gfxdata="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8eyJ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70" o:spid="_x0000_s1026" o:spt="20" style="position:absolute;left:5212;top:642;height:0;width:0;" filled="f" stroked="t" coordsize="21600,21600" o:gfxdata="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9SR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71" o:spid="_x0000_s1026" o:spt="20" style="position:absolute;left:5169;top:602;height:0;width:0;" filled="f" stroked="t" coordsize="21600,21600" o:gfxdata="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v12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72" o:spid="_x0000_s1026" o:spt="20" style="position:absolute;left:5160;top:594;height:0;width:0;" filled="f" stroked="t" coordsize="21600,21600" o:gfxdata="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I3L+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73" o:spid="_x0000_s1026" o:spt="20" style="position:absolute;left:5110;top:549;height:0;width:0;" filled="f" stroked="t" coordsize="21600,21600" o:gfxdata="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yuqK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74" o:spid="_x0000_s1026" o:spt="20" style="position:absolute;left:5067;top:509;height:0;width:0;" filled="f" stroked="t" coordsize="21600,21600" o:gfxdata="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TRZ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75" o:spid="_x0000_s1026" o:spt="20" style="position:absolute;left:5058;top:501;height:0;width:0;" filled="f" stroked="t" coordsize="21600,21600" o:gfxdata="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YdP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76" o:spid="_x0000_s1026" o:spt="20" style="position:absolute;left:5009;top:455;height:0;width:0;" filled="f" stroked="t" coordsize="21600,21600" o:gfxdata="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h+CP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77" o:spid="_x0000_s1026" o:spt="20" style="position:absolute;left:4966;top:416;height:0;width:0;" filled="f" stroked="t" coordsize="21600,21600" o:gfxdata="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LRR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78" o:spid="_x0000_s1026" o:spt="20" style="position:absolute;left:4956;top:408;height:0;width:0;" filled="f" stroked="t" coordsize="21600,21600" o:gfxdata="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KHpU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79" o:spid="_x0000_s1026" o:spt="20" style="position:absolute;left:4907;top:362;height:0;width:0;" filled="f" stroked="t" coordsize="21600,21600" o:gfxdata="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Tfz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80" o:spid="_x0000_s1026" o:spt="20" style="position:absolute;left:4864;top:323;height:0;width:0;" filled="f" stroked="t" coordsize="21600,21600" o:gfxdata="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2Qb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81" o:spid="_x0000_s1026" o:spt="20" style="position:absolute;left:4855;top:315;height:0;width:0;" filled="f" stroked="t" coordsize="21600,21600" o:gfxdata="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hN8V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82" o:spid="_x0000_s1026" o:spt="20" style="position:absolute;left:4805;top:269;height:0;width:1;" filled="f" stroked="t" coordsize="21600,21600" o:gfxdata="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X9nM&#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983" o:spid="_x0000_s1026" o:spt="20" style="position:absolute;left:5216;top:466;height:0;width:0;" filled="f" stroked="t" coordsize="21600,21600" o:gfxdata="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NR7u/&#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group>
                <v:group id="Group 1185" o:spid="_x0000_s1026" o:spt="203" style="position:absolute;left:2618105;top:133985;height:857885;width:983615;" coordorigin="4123,211" coordsize="1549,1351" o:gfxdata="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">
                  <o:lock v:ext="edit" aspectratio="f"/>
                  <v:line id="Line 985" o:spid="_x0000_s1026" o:spt="20" style="position:absolute;left:5207;top:457;height:0;width:0;" filled="f" stroked="t" coordsize="21600,21600" o:gfxdata="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XnZS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86" o:spid="_x0000_s1026" o:spt="20" style="position:absolute;left:5158;top:412;height:0;width:0;" filled="f" stroked="t" coordsize="21600,21600" o:gfxdata="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EtPJ&#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987" o:spid="_x0000_s1026" o:spt="20" style="position:absolute;left:5114;top:373;height:0;width:1;" filled="f" stroked="t" coordsize="21600,21600" o:gfxdata="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Qpz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88" o:spid="_x0000_s1026" o:spt="20" style="position:absolute;left:5105;top:364;height:0;width:0;" filled="f" stroked="t" coordsize="21600,21600" o:gfxdata="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Gv6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89" o:spid="_x0000_s1026" o:spt="20" style="position:absolute;left:5056;top:319;height:0;width:0;" filled="f" stroked="t" coordsize="21600,21600" o:gfxdata="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jMZ+/&#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90" o:spid="_x0000_s1026" o:spt="20" style="position:absolute;left:5013;top:280;height:0;width:0;" filled="f" stroked="t" coordsize="21600,21600" o:gfxdata="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vlA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91" o:spid="_x0000_s1026" o:spt="20" style="position:absolute;left:4954;top:226;height:0;width:1;" filled="f" stroked="t" coordsize="21600,21600" o:gfxdata="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xgxw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92" o:spid="_x0000_s1026" o:spt="20" style="position:absolute;left:5205;top:276;height:0;width:0;" filled="f" stroked="t" coordsize="21600,21600" o:gfxdata="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qp6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93" o:spid="_x0000_s1026" o:spt="20" style="position:absolute;left:5162;top:236;height:0;width:0;" filled="f" stroked="t" coordsize="21600,21600" o:gfxdata="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YN5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994" o:spid="_x0000_s1026" o:spt="20" style="position:absolute;left:5153;top:228;height:0;width:0;" filled="f" stroked="t" coordsize="21600,21600" o:gfxdata="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xSSB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95" o:spid="_x0000_s1026" o:spt="20" style="position:absolute;left:4688;top:718;height:0;width:0;" filled="f" stroked="t" coordsize="21600,21600" o:gfxdata="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iwZ1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996" o:spid="_x0000_s1026" o:spt="20" style="position:absolute;left:4842;top:718;height:0;width:1;" filled="f" stroked="t" coordsize="21600,21600" o:gfxdata="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ej7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97" o:spid="_x0000_s1026" o:spt="20" style="position:absolute;left:4767;top:670;height:0;width:0;" filled="f" stroked="t" coordsize="21600,21600" o:gfxdata="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JJyu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998" o:spid="_x0000_s1026" o:spt="20" style="position:absolute;left:4746;top:657;height:0;width:0;" filled="f" stroked="t" coordsize="21600,21600" o:gfxdata="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g5N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999" o:spid="_x0000_s1026" o:spt="20" style="position:absolute;left:4997;top:718;height:0;width:0;" filled="f" stroked="t" coordsize="21600,21600" o:gfxdata="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6p0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00" o:spid="_x0000_s1026" o:spt="20" style="position:absolute;left:4921;top:670;height:0;width:1;" filled="f" stroked="t" coordsize="21600,21600" o:gfxdata="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2At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01" o:spid="_x0000_s1026" o:spt="20" style="position:absolute;left:4901;top:656;height:0;width:0;" filled="f" stroked="t" coordsize="21600,21600" o:gfxdata="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h+ar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02" o:spid="_x0000_s1026" o:spt="20" style="position:absolute;left:4802;top:594;height:0;width:0;" filled="f" stroked="t" coordsize="21600,21600" o:gfxdata="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Uz82&#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003" o:spid="_x0000_s1026" o:spt="20" style="position:absolute;left:4727;top:546;height:0;width:0;" filled="f" stroked="t" coordsize="21600,21600" o:gfxdata="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GBoU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04" o:spid="_x0000_s1026" o:spt="20" style="position:absolute;left:4706;top:533;height:0;width:0;" filled="f" stroked="t" coordsize="21600,21600" o:gfxdata="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zQTa&#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005" o:spid="_x0000_s1026" o:spt="20" style="position:absolute;left:5151;top:717;height:0;width:0;" filled="f" stroked="t" coordsize="21600,21600" o:gfxdata="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UpCo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06" o:spid="_x0000_s1026" o:spt="20" style="position:absolute;left:5076;top:669;height:0;width:0;" filled="f" stroked="t" coordsize="21600,21600" o:gfxdata="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41M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07" o:spid="_x0000_s1026" o:spt="20" style="position:absolute;left:5055;top:656;height:0;width:0;" filled="f" stroked="t" coordsize="21600,21600" o:gfxdata="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YTET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1008" o:spid="_x0000_s1026" o:spt="20" style="position:absolute;left:4956;top:593;height:0;width:1;" filled="f" stroked="t" coordsize="21600,21600" o:gfxdata="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hh1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09" o:spid="_x0000_s1026" o:spt="20" style="position:absolute;left:4881;top:545;height:0;width:1;" filled="f" stroked="t" coordsize="21600,21600" o:gfxdata="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hr/o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10" o:spid="_x0000_s1026" o:spt="20" style="position:absolute;left:4860;top:532;height:0;width:1;" filled="f" stroked="t" coordsize="21600,21600" o:gfxdata="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VZaO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11" o:spid="_x0000_s1026" o:spt="20" style="position:absolute;left:4762;top:470;height:0;width:0;" filled="f" stroked="t" coordsize="21600,21600" o:gfxdata="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CT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12" o:spid="_x0000_s1026" o:spt="20" style="position:absolute;left:4687;top:422;height:0;width:0;" filled="f" stroked="t" coordsize="21600,21600" o:gfxdata="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zZ9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13" o:spid="_x0000_s1026" o:spt="20" style="position:absolute;left:5230;top:669;height:0;width:0;" filled="f" stroked="t" coordsize="21600,21600" o:gfxdata="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Ifmj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14" o:spid="_x0000_s1026" o:spt="20" style="position:absolute;left:5209;top:656;height:0;width:0;" filled="f" stroked="t" coordsize="21600,21600" o:gfxdata="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tXD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15" o:spid="_x0000_s1026" o:spt="20" style="position:absolute;left:5111;top:593;height:0;width:0;" filled="f" stroked="t" coordsize="21600,21600" o:gfxdata="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ISr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1016" o:spid="_x0000_s1026" o:spt="20" style="position:absolute;left:5036;top:545;height:0;width:0;" filled="f" stroked="t" coordsize="21600,21600" o:gfxdata="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bd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17" o:spid="_x0000_s1026" o:spt="20" style="position:absolute;left:5015;top:532;height:0;width:0;" filled="f" stroked="t" coordsize="21600,21600" o:gfxdata="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dUpG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18" o:spid="_x0000_s1026" o:spt="20" style="position:absolute;left:4916;top:469;height:0;width:1;" filled="f" stroked="t" coordsize="21600,21600" o:gfxdata="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EfcK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19" o:spid="_x0000_s1026" o:spt="20" style="position:absolute;left:4841;top:421;height:0;width:1;" filled="f" stroked="t" coordsize="21600,21600" o:gfxdata="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8Npf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0" o:spid="_x0000_s1026" o:spt="20" style="position:absolute;left:4820;top:408;height:0;width:1;" filled="f" stroked="t" coordsize="21600,21600" o:gfxdata="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M5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1" o:spid="_x0000_s1026" o:spt="20" style="position:absolute;left:4722;top:346;height:0;width:0;" filled="f" stroked="t" coordsize="21600,21600" o:gfxdata="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2ZUk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2" o:spid="_x0000_s1026" o:spt="20" style="position:absolute;left:5190;top:545;height:0;width:0;" filled="f" stroked="t" coordsize="21600,21600" o:gfxdata="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rxC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3" o:spid="_x0000_s1026" o:spt="20" style="position:absolute;left:5169;top:532;height:0;width:0;" filled="f" stroked="t" coordsize="21600,21600" o:gfxdata="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G9+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24" o:spid="_x0000_s1026" o:spt="20" style="position:absolute;left:5071;top:469;height:0;width:0;" filled="f" stroked="t" coordsize="21600,21600" o:gfxdata="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7TK5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5" o:spid="_x0000_s1026" o:spt="20" style="position:absolute;left:4996;top:421;height:0;width:0;" filled="f" stroked="t" coordsize="21600,21600" o:gfxdata="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rXpe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26" o:spid="_x0000_s1026" o:spt="20" style="position:absolute;left:4975;top:408;height:0;width:0;" filled="f" stroked="t" coordsize="21600,21600" o:gfxdata="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f7D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7" o:spid="_x0000_s1026" o:spt="20" style="position:absolute;left:4876;top:345;height:0;width:1;" filled="f" stroked="t" coordsize="21600,21600" o:gfxdata="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MZgs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28" o:spid="_x0000_s1026" o:spt="20" style="position:absolute;left:4801;top:297;height:0;width:1;" filled="f" stroked="t" coordsize="21600,21600" o:gfxdata="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09t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29" o:spid="_x0000_s1026" o:spt="20" style="position:absolute;left:4780;top:284;height:0;width:1;" filled="f" stroked="t" coordsize="21600,21600" o:gfxdata="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a+jw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30" o:spid="_x0000_s1026" o:spt="20" style="position:absolute;left:5225;top:469;height:0;width:0;" filled="f" stroked="t" coordsize="21600,21600" o:gfxdata="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jBlu/&#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31" o:spid="_x0000_s1026" o:spt="20" style="position:absolute;left:5150;top:421;height:0;width:0;" filled="f" stroked="t" coordsize="21600,21600" o:gfxdata="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qeL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32" o:spid="_x0000_s1026" o:spt="20" style="position:absolute;left:5129;top:407;height:0;width:0;" filled="f" stroked="t" coordsize="21600,21600" o:gfxdata="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GO7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33" o:spid="_x0000_s1026" o:spt="20" style="position:absolute;left:5031;top:345;height:0;width:0;" filled="f" stroked="t" coordsize="21600,21600" o:gfxdata="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lKXD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34" o:spid="_x0000_s1026" o:spt="20" style="position:absolute;left:4956;top:297;height:0;width:0;" filled="f" stroked="t" coordsize="21600,21600" o:gfxdata="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3YAF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35" o:spid="_x0000_s1026" o:spt="20" style="position:absolute;left:4935;top:284;height:0;width:0;" filled="f" stroked="t" coordsize="21600,21600" o:gfxdata="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R5Qq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36" o:spid="_x0000_s1026" o:spt="20" style="position:absolute;left:5185;top:345;height:0;width:0;" filled="f" stroked="t" coordsize="21600,21600" o:gfxdata="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LMb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37" o:spid="_x0000_s1026" o:spt="20" style="position:absolute;left:5110;top:297;height:0;width:0;" filled="f" stroked="t" coordsize="21600,21600" o:gfxdata="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6A7x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38" o:spid="_x0000_s1026" o:spt="20" style="position:absolute;left:5089;top:283;height:0;width:0;" filled="f" stroked="t" coordsize="21600,21600" o:gfxdata="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KSra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39" o:spid="_x0000_s1026" o:spt="20" style="position:absolute;left:5243;top:283;height:0;width:1;" filled="f" stroked="t" coordsize="21600,21600" o:gfxdata="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2NR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40" o:spid="_x0000_s1026" o:spt="20" style="position:absolute;left:5145;top:221;height:0;width:0;" filled="f" stroked="t" coordsize="21600,21600" o:gfxdata="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6kIa/&#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41" o:spid="_x0000_s1026" o:spt="20" style="position:absolute;left:5215;top:715;height:0;width:0;" filled="f" stroked="t" coordsize="21600,21600" o:gfxdata="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TCP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42" o:spid="_x0000_s1026" o:spt="20" style="position:absolute;left:5175;top:720;height:0;width:0;" filled="f" stroked="t" coordsize="21600,21600" o:gfxdata="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5+ta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43" o:spid="_x0000_s1026" o:spt="20" style="position:absolute;left:5149;top:723;height:0;width:0;" filled="f" stroked="t" coordsize="21600,21600" o:gfxdata="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TTMe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44" o:spid="_x0000_s1026" o:spt="20" style="position:absolute;left:5082;top:732;height:0;width:0;" filled="f" stroked="t" coordsize="21600,21600" o:gfxdata="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GWh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45" o:spid="_x0000_s1026" o:spt="20" style="position:absolute;left:5041;top:738;height:0;width:1;" filled="f" stroked="t" coordsize="21600,21600" o:gfxdata="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ngL3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46" o:spid="_x0000_s1026" o:spt="20" style="position:absolute;left:5016;top:741;height:0;width:0;" filled="f" stroked="t" coordsize="21600,21600" o:gfxdata="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tKnb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47" o:spid="_x0000_s1026" o:spt="20" style="position:absolute;left:4948;top:750;height:0;width:1;" filled="f" stroked="t" coordsize="21600,21600" o:gfxdata="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9jL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1048" o:spid="_x0000_s1026" o:spt="20" style="position:absolute;left:4908;top:755;height:0;width:0;" filled="f" stroked="t" coordsize="21600,21600" o:gfxdata="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KLYF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49" o:spid="_x0000_s1026" o:spt="20" style="position:absolute;left:4882;top:759;height:0;width:1;" filled="f" stroked="t" coordsize="21600,21600" o:gfxdata="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BGY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50" o:spid="_x0000_s1026" o:spt="20" style="position:absolute;left:4815;top:767;height:0;width:0;" filled="f" stroked="t" coordsize="21600,21600" o:gfxdata="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884/u/&#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51" o:spid="_x0000_s1026" o:spt="20" style="position:absolute;left:4775;top:773;height:0;width:0;" filled="f" stroked="t" coordsize="21600,21600" o:gfxdata="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1XuP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52" o:spid="_x0000_s1026" o:spt="20" style="position:absolute;left:4862;top:633;height:0;width:1;" filled="f" stroked="t" coordsize="21600,21600" o:gfxdata="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3h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53" o:spid="_x0000_s1026" o:spt="20" style="position:absolute;left:5237;top:584;height:0;width:0;" filled="f" stroked="t" coordsize="21600,21600" o:gfxdata="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S0Bj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54" o:spid="_x0000_s1026" o:spt="20" style="position:absolute;left:5169;top:592;height:0;width:1;" filled="f" stroked="t" coordsize="21600,21600" o:gfxdata="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AH5f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55" o:spid="_x0000_s1026" o:spt="20" style="position:absolute;left:5129;top:598;height:0;width:0;" filled="f" stroked="t" coordsize="21600,21600" o:gfxdata="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hxir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1056" o:spid="_x0000_s1026" o:spt="20" style="position:absolute;left:5103;top:601;height:0;width:1;" filled="f" stroked="t" coordsize="21600,21600" o:gfxdata="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U1B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57" o:spid="_x0000_s1026" o:spt="20" style="position:absolute;left:5036;top:610;height:0;width:0;" filled="f" stroked="t" coordsize="21600,21600" o:gfxdata="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N+tR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58" o:spid="_x0000_s1026" o:spt="20" style="position:absolute;left:4996;top:615;height:0;width:0;" filled="f" stroked="t" coordsize="21600,21600" o:gfxdata="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XtOy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59" o:spid="_x0000_s1026" o:spt="20" style="position:absolute;left:4970;top:619;height:0;width:0;" filled="f" stroked="t" coordsize="21600,21600" o:gfxdata="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p0L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60" o:spid="_x0000_s1026" o:spt="20" style="position:absolute;left:4903;top:628;height:0;width:0;" filled="f" stroked="t" coordsize="21600,21600" o:gfxdata="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V1J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61" o:spid="_x0000_s1026" o:spt="20" style="position:absolute;left:4837;top:636;height:0;width:0;" filled="f" stroked="t" coordsize="21600,21600" o:gfxdata="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M7V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62" o:spid="_x0000_s1026" o:spt="20" style="position:absolute;left:4769;top:645;height:0;width:0;" filled="f" stroked="t" coordsize="21600,21600" o:gfxdata="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ASM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63" o:spid="_x0000_s1026" o:spt="20" style="position:absolute;left:4729;top:650;height:0;width:0;" filled="f" stroked="t" coordsize="21600,21600" o:gfxdata="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kta+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64" o:spid="_x0000_s1026" o:spt="20" style="position:absolute;left:4703;top:654;height:0;width:0;" filled="f" stroked="t" coordsize="21600,21600" o:gfxdata="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ecy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65" o:spid="_x0000_s1026" o:spt="20" style="position:absolute;left:5217;top:458;height:0;width:0;" filled="f" stroked="t" coordsize="21600,21600" o:gfxdata="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QedX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66" o:spid="_x0000_s1026" o:spt="20" style="position:absolute;left:5191;top:461;height:0;width:0;" filled="f" stroked="t" coordsize="21600,21600" o:gfxdata="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NQs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67" o:spid="_x0000_s1026" o:spt="20" style="position:absolute;left:5124;top:470;height:0;width:0;" filled="f" stroked="t" coordsize="21600,21600" o:gfxdata="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bIey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68" o:spid="_x0000_s1026" o:spt="20" style="position:absolute;left:5084;top:475;height:0;width:0;" filled="f" stroked="t" coordsize="21600,21600" o:gfxdata="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F4R3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69" o:spid="_x0000_s1026" o:spt="20" style="position:absolute;left:5058;top:479;height:0;width:0;" filled="f" stroked="t" coordsize="21600,21600" o:gfxdata="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xRoA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70" o:spid="_x0000_s1026" o:spt="20" style="position:absolute;left:4990;top:488;height:0;width:1;" filled="f" stroked="t" coordsize="21600,21600" o:gfxdata="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ib+b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71" o:spid="_x0000_s1026" o:spt="20" style="position:absolute;left:4950;top:493;height:0;width:0;" filled="f" stroked="t" coordsize="21600,21600" o:gfxdata="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YCfv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72" o:spid="_x0000_s1026" o:spt="20" style="position:absolute;left:4924;top:496;height:0;width:1;" filled="f" stroked="t" coordsize="21600,21600" o:gfxdata="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LIJ0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73" o:spid="_x0000_s1026" o:spt="20" style="position:absolute;left:4857;top:505;height:0;width:0;" filled="f" stroked="t" coordsize="21600,21600" o:gfxdata="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HAO/&#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74" o:spid="_x0000_s1026" o:spt="20" style="position:absolute;left:4817;top:511;height:0;width:0;" filled="f" stroked="t" coordsize="21600,21600" o:gfxdata="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yuZ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75" o:spid="_x0000_s1026" o:spt="20" style="position:absolute;left:4791;top:514;height:0;width:0;" filled="f" stroked="t" coordsize="21600,21600" o:gfxdata="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tLeq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76" o:spid="_x0000_s1026" o:spt="20" style="position:absolute;left:4724;top:523;height:0;width:0;" filled="f" stroked="t" coordsize="21600,21600" o:gfxdata="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hiHG/&#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77" o:spid="_x0000_s1026" o:spt="20" style="position:absolute;left:4683;top:528;height:0;width:1;" filled="f" stroked="t" coordsize="21600,21600" o:gfxdata="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grcx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78" o:spid="_x0000_s1026" o:spt="20" style="position:absolute;left:5212;top:330;height:0;width:0;" filled="f" stroked="t" coordsize="21600,21600" o:gfxdata="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s4Sq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79" o:spid="_x0000_s1026" o:spt="20" style="position:absolute;left:5171;top:335;height:0;width:0;" filled="f" stroked="t" coordsize="21600,21600" o:gfxdata="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cjN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0" o:spid="_x0000_s1026" o:spt="20" style="position:absolute;left:5145;top:339;height:0;width:1;" filled="f" stroked="t" coordsize="21600,21600" o:gfxdata="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VApR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81" o:spid="_x0000_s1026" o:spt="20" style="position:absolute;left:5078;top:348;height:0;width:0;" filled="f" stroked="t" coordsize="21600,21600" o:gfxdata="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5sT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2" o:spid="_x0000_s1026" o:spt="20" style="position:absolute;left:5038;top:353;height:0;width:0;" filled="f" stroked="t" coordsize="21600,21600" o:gfxdata="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1FK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3" o:spid="_x0000_s1026" o:spt="20" style="position:absolute;left:5012;top:356;height:0;width:0;" filled="f" stroked="t" coordsize="21600,21600" o:gfxdata="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nit6/&#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4" o:spid="_x0000_s1026" o:spt="20" style="position:absolute;left:4945;top:365;height:0;width:0;" filled="f" stroked="t" coordsize="21600,21600" o:gfxdata="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y9F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85" o:spid="_x0000_s1026" o:spt="20" style="position:absolute;left:4905;top:371;height:0;width:0;" filled="f" stroked="t" coordsize="21600,21600" o:gfxdata="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9Ls3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86" o:spid="_x0000_s1026" o:spt="20" style="position:absolute;left:4879;top:374;height:0;width:0;" filled="f" stroked="t" coordsize="21600,21600" o:gfxdata="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4Hq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7" o:spid="_x0000_s1026" o:spt="20" style="position:absolute;left:4811;top:383;height:0;width:0;" filled="f" stroked="t" coordsize="21600,21600" o:gfxdata="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Xxxa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88" o:spid="_x0000_s1026" o:spt="20" style="position:absolute;left:4771;top:388;height:0;width:0;" filled="f" stroked="t" coordsize="21600,21600" o:gfxdata="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bYo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89" o:spid="_x0000_s1026" o:spt="20" style="position:absolute;left:4745;top:392;height:0;width:0;" filled="f" stroked="t" coordsize="21600,21600" o:gfxdata="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8n8+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90" o:spid="_x0000_s1026" o:spt="20" style="position:absolute;left:5100;top:217;height:0;width:0;" filled="f" stroked="t" coordsize="21600,21600" o:gfxdata="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hVlh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91" o:spid="_x0000_s1026" o:spt="20" style="position:absolute;left:4966;top:234;height:0;width:1;" filled="f" stroked="t" coordsize="21600,21600" o:gfxdata="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bMEV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92" o:spid="_x0000_s1026" o:spt="20" style="position:absolute;left:4899;top:243;height:0;width:0;" filled="f" stroked="t" coordsize="21600,21600" o:gfxdata="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gZI6/&#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93" o:spid="_x0000_s1026" o:spt="20" style="position:absolute;left:4859;top:248;height:0;width:0;" filled="f" stroked="t" coordsize="21600,21600" o:gfxdata="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8vr5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94" o:spid="_x0000_s1026" o:spt="20" style="position:absolute;left:4833;top:252;height:0;width:0;" filled="f" stroked="t" coordsize="21600,21600" o:gfxdata="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X2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095" o:spid="_x0000_s1026" o:spt="20" style="position:absolute;left:4766;top:261;height:0;width:0;" filled="f" stroked="t" coordsize="21600,21600" o:gfxdata="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hyxC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096" o:spid="_x0000_s1026" o:spt="20" style="position:absolute;left:4725;top:266;height:0;width:1;" filled="f" stroked="t" coordsize="21600,21600" o:gfxdata="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bW6L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097" o:spid="_x0000_s1026" o:spt="20" style="position:absolute;left:4700;top:269;height:0;width:0;" filled="f" stroked="t" coordsize="21600,21600" o:gfxdata="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jlHL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098" o:spid="_x0000_s1026" o:spt="20" style="position:absolute;left:5189;top:681;height:0;width:1;" filled="f" stroked="t" coordsize="21600,21600" o:gfxdata="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L0U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099" o:spid="_x0000_s1026" o:spt="20" style="position:absolute;left:5123;top:733;height:0;width:0;" filled="f" stroked="t" coordsize="21600,21600" o:gfxdata="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Qaie/&#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0" o:spid="_x0000_s1026" o:spt="20" style="position:absolute;left:5186;top:586;height:0;width:1;" filled="f" stroked="t" coordsize="21600,21600" o:gfxdata="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VzPv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01" o:spid="_x0000_s1026" o:spt="20" style="position:absolute;left:5120;top:637;height:0;width:0;" filled="f" stroked="t" coordsize="21600,21600" o:gfxdata="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1V8i/&#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2" o:spid="_x0000_s1026" o:spt="20" style="position:absolute;left:5060;top:683;height:0;width:0;" filled="f" stroked="t" coordsize="21600,21600" o:gfxdata="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58lO/&#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3" o:spid="_x0000_s1026" o:spt="20" style="position:absolute;left:4996;top:732;height:0;width:0;" filled="f" stroked="t" coordsize="21600,21600" o:gfxdata="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rbC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4" o:spid="_x0000_s1026" o:spt="20" style="position:absolute;left:5183;top:491;height:0;width:1;" filled="f" stroked="t" coordsize="21600,21600" o:gfxdata="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5nyb+/&#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5" o:spid="_x0000_s1026" o:spt="20" style="position:absolute;left:5116;top:542;height:0;width:1;" filled="f" stroked="t" coordsize="21600,21600" o:gfxdata="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F3N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106" o:spid="_x0000_s1026" o:spt="20" style="position:absolute;left:5057;top:588;height:0;width:0;" filled="f" stroked="t" coordsize="21600,21600" o:gfxdata="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C0+Fa/&#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07" o:spid="_x0000_s1026" o:spt="20" style="position:absolute;left:4993;top:637;height:0;width:0;" filled="f" stroked="t" coordsize="21600,21600" o:gfxdata="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9ly9G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08" o:spid="_x0000_s1026" o:spt="20" style="position:absolute;left:4926;top:688;height:0;width:0;" filled="f" stroked="t" coordsize="21600,21600" o:gfxdata="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luS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09" o:spid="_x0000_s1026" o:spt="20" style="position:absolute;left:4866;top:734;height:0;width:0;" filled="f" stroked="t" coordsize="21600,21600" o:gfxdata="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PvwP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0" o:spid="_x0000_s1026" o:spt="20" style="position:absolute;left:5244;top:346;height:0;width:0;" filled="f" stroked="t" coordsize="21600,21600" o:gfxdata="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7dVp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1" o:spid="_x0000_s1026" o:spt="20" style="position:absolute;left:5180;top:395;height:0;width:0;" filled="f" stroked="t" coordsize="21600,21600" o:gfxdata="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ezd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12" o:spid="_x0000_s1026" o:spt="20" style="position:absolute;left:5113;top:446;height:0;width:1;" filled="f" stroked="t" coordsize="21600,21600" o:gfxdata="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JoS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3" o:spid="_x0000_s1026" o:spt="20" style="position:absolute;left:5054;top:492;height:0;width:0;" filled="f" stroked="t" coordsize="21600,21600" o:gfxdata="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8D2P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4" o:spid="_x0000_s1026" o:spt="20" style="position:absolute;left:4990;top:541;height:0;width:0;" filled="f" stroked="t" coordsize="21600,21600" o:gfxdata="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xTp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5" o:spid="_x0000_s1026" o:spt="20" style="position:absolute;left:4923;top:592;height:0;width:0;" filled="f" stroked="t" coordsize="21600,21600" o:gfxdata="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Tx9e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16" o:spid="_x0000_s1026" o:spt="20" style="position:absolute;left:4863;top:638;height:0;width:0;" filled="f" stroked="t" coordsize="21600,21600" o:gfxdata="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9iT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7" o:spid="_x0000_s1026" o:spt="20" style="position:absolute;left:4799;top:688;height:0;width:0;" filled="f" stroked="t" coordsize="21600,21600" o:gfxdata="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8XQy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18" o:spid="_x0000_s1026" o:spt="20" style="position:absolute;left:4732;top:739;height:0;width:1;" filled="f" stroked="t" coordsize="21600,21600" o:gfxdata="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fD4l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19" o:spid="_x0000_s1026" o:spt="20" style="position:absolute;left:5241;top:251;height:0;width:0;" filled="f" stroked="t" coordsize="21600,21600" o:gfxdata="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SJm4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0" o:spid="_x0000_s1026" o:spt="20" style="position:absolute;left:5177;top:300;height:0;width:0;" filled="f" stroked="t" coordsize="21600,21600" o:gfxdata="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7De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1" o:spid="_x0000_s1026" o:spt="20" style="position:absolute;left:5110;top:351;height:0;width:0;" filled="f" stroked="t" coordsize="21600,21600" o:gfxdata="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dbD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2" o:spid="_x0000_s1026" o:spt="20" style="position:absolute;left:5050;top:397;height:0;width:1;" filled="f" stroked="t" coordsize="21600,21600" o:gfxdata="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sv+l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3" o:spid="_x0000_s1026" o:spt="20" style="position:absolute;left:4987;top:446;height:0;width:0;" filled="f" stroked="t" coordsize="21600,21600" o:gfxdata="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ZYOO/&#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24" o:spid="_x0000_s1026" o:spt="20" style="position:absolute;left:4920;top:497;height:0;width:0;" filled="f" stroked="t" coordsize="21600,21600" o:gfxdata="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XFe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5" o:spid="_x0000_s1026" o:spt="20" style="position:absolute;left:4860;top:543;height:0;width:0;" filled="f" stroked="t" coordsize="21600,21600" o:gfxdata="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KUQq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26" o:spid="_x0000_s1026" o:spt="20" style="position:absolute;left:4796;top:592;height:0;width:0;" filled="f" stroked="t" coordsize="21600,21600" o:gfxdata="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b0k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7" o:spid="_x0000_s1026" o:spt="20" style="position:absolute;left:4729;top:643;height:0;width:1;" filled="f" stroked="t" coordsize="21600,21600" o:gfxdata="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Ql7G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28" o:spid="_x0000_s1026" o:spt="20" style="position:absolute;left:5107;top:255;height:0;width:0;" filled="f" stroked="t" coordsize="21600,21600" o:gfxdata="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wyK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29" o:spid="_x0000_s1026" o:spt="20" style="position:absolute;left:5047;top:301;height:0;width:0;" filled="f" stroked="t" coordsize="21600,21600" o:gfxdata="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OrF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0" o:spid="_x0000_s1026" o:spt="20" style="position:absolute;left:4983;top:350;height:0;width:1;" filled="f" stroked="t" coordsize="21600,21600" o:gfxdata="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CCca/&#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1" o:spid="_x0000_s1026" o:spt="20" style="position:absolute;left:4916;top:402;height:0;width:1;" filled="f" stroked="t" coordsize="21600,21600" o:gfxdata="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rkb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2" o:spid="_x0000_s1026" o:spt="20" style="position:absolute;left:4857;top:447;height:0;width:0;" filled="f" stroked="t" coordsize="21600,21600" o:gfxdata="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nNC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3" o:spid="_x0000_s1026" o:spt="20" style="position:absolute;left:4793;top:496;height:0;width:0;" filled="f" stroked="t" coordsize="21600,21600" o:gfxdata="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1ql6/&#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4" o:spid="_x0000_s1026" o:spt="20" style="position:absolute;left:4726;top:548;height:0;width:0;" filled="f" stroked="t" coordsize="21600,21600" o:gfxdata="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5D8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5" o:spid="_x0000_s1026" o:spt="20" style="position:absolute;left:4980;top:255;height:0;width:0;" filled="f" stroked="t" coordsize="21600,21600" o:gfxdata="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mm7e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36" o:spid="_x0000_s1026" o:spt="20" style="position:absolute;left:4913;top:306;height:0;width:1;" filled="f" stroked="t" coordsize="21600,21600" o:gfxdata="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qPi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37" o:spid="_x0000_s1026" o:spt="20" style="position:absolute;left:4854;top:352;height:0;width:0;" filled="f" stroked="t" coordsize="21600,21600" o:gfxdata="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CQFs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138" o:spid="_x0000_s1026" o:spt="20" style="position:absolute;left:4790;top:401;height:0;width:0;" filled="f" stroked="t" coordsize="21600,21600" o:gfxdata="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kWk9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39" o:spid="_x0000_s1026" o:spt="20" style="position:absolute;left:4723;top:452;height:0;width:0;" filled="f" stroked="t" coordsize="21600,21600" o:gfxdata="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XOoC/&#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40" o:spid="_x0000_s1026" o:spt="20" style="position:absolute;left:4910;top:211;height:0;width:1;" filled="f" stroked="t" coordsize="21600,21600" o:gfxdata="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bnxu/&#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41" o:spid="_x0000_s1026" o:spt="20" style="position:absolute;left:4850;top:256;height:0;width:1;" filled="f" stroked="t" coordsize="21600,21600" o:gfxdata="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Hb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42" o:spid="_x0000_s1026" o:spt="20" style="position:absolute;left:4787;top:305;height:0;width:0;" filled="f" stroked="t" coordsize="21600,21600" o:gfxdata="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ov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43" o:spid="_x0000_s1026" o:spt="20" style="position:absolute;left:4720;top:357;height:0;width:0;" filled="f" stroked="t" coordsize="21600,21600" o:gfxdata="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aw8g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44" o:spid="_x0000_s1026" o:spt="20" style="position:absolute;left:4717;top:261;height:0;width:0;" filled="f" stroked="t" coordsize="21600,21600" o:gfxdata="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4JkY&#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145" o:spid="_x0000_s1026" o:spt="20" style="position:absolute;left:5246;top:214;height:561;width:0;" filled="f" stroked="t" coordsize="21600,21600" o:gfxdata="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w1q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146" o:spid="_x0000_s1026" o:spt="20" style="position:absolute;left:4683;top:230;height:545;width:0;" filled="f" stroked="t" coordsize="21600,21600" o:gfxdata="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M6jx&#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147" o:spid="_x0000_s1026" o:spt="20" style="position:absolute;left:4614;top:1334;flip:y;height:1;width:32;" filled="f" stroked="t" coordsize="21600,21600" o:gfxdata="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7bjo65AAAA3AAA&#10;AA8AAAAAAAAAAQAgAAAAIgAAAGRycy9kb3ducmV2LnhtbFBLAQIUABQAAAAIAIdO4kAzLwWeOwAA&#10;ADkAAAAQAAAAAAAAAAEAIAAAAAgBAABkcnMvc2hhcGV4bWwueG1sUEsFBgAAAAAGAAYAWwEAALID&#10;AAAAAA==&#10;">
                    <v:fill on="f" focussize="0,0"/>
                    <v:stroke weight="0.45pt" color="#000000" joinstyle="round"/>
                    <v:imagedata o:title=""/>
                    <o:lock v:ext="edit" aspectratio="f"/>
                  </v:line>
                  <v:line id="Line 1148" o:spid="_x0000_s1026" o:spt="20" style="position:absolute;left:4667;top:1333;flip:y;height:1;width:41;" filled="f" stroked="t" coordsize="21600,21600" o:gfxdata="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ZcrF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49" o:spid="_x0000_s1026" o:spt="20" style="position:absolute;left:4729;top:1333;height:0;width:41;" filled="f" stroked="t" coordsize="21600,21600" o:gfxdata="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RSf2/&#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50" o:spid="_x0000_s1026" o:spt="20" style="position:absolute;left:4790;top:1332;height:0;width:42;" filled="f" stroked="t" coordsize="21600,21600" o:gfxdata="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3sZ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51" o:spid="_x0000_s1026" o:spt="20" style="position:absolute;left:4852;top:1330;flip:y;height:1;width:42;" filled="f" stroked="t" coordsize="21600,21600" o:gfxdata="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eCIj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52" o:spid="_x0000_s1026" o:spt="20" style="position:absolute;left:4914;top:1330;height:0;width:42;" filled="f" stroked="t" coordsize="21600,21600" o:gfxdata="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40Ym/&#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53" o:spid="_x0000_s1026" o:spt="20" style="position:absolute;left:4976;top:1329;height:0;width:42;" filled="f" stroked="t" coordsize="21600,21600" o:gfxdata="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qk/+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154" o:spid="_x0000_s1026" o:spt="20" style="position:absolute;left:5038;top:1328;height:0;width:41;" filled="f" stroked="t" coordsize="21600,21600" o:gfxdata="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m6m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55" o:spid="_x0000_s1026" o:spt="20" style="position:absolute;left:5100;top:1327;height:0;width:41;" filled="f" stroked="t" coordsize="21600,21600" o:gfxdata="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eX4X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156" o:spid="_x0000_s1026" o:spt="20" style="position:absolute;left:5162;top:1326;height:0;width:41;" filled="f" stroked="t" coordsize="21600,21600" o:gfxdata="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124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57" o:spid="_x0000_s1026" o:spt="20" style="position:absolute;left:5224;top:1325;flip:y;height:1;width:41;" filled="f" stroked="t" coordsize="21600,21600" o:gfxdata="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IYU7sAAADc&#10;AAAADwAAAAAAAAABACAAAAAiAAAAZHJzL2Rvd25yZXYueG1sUEsBAhQAFAAAAAgAh07iQDMvBZ47&#10;AAAAOQAAABAAAAAAAAAAAQAgAAAACgEAAGRycy9zaGFwZXhtbC54bWxQSwUGAAAAAAYABgBbAQAA&#10;tAMAAAAA&#10;">
                    <v:fill on="f" focussize="0,0"/>
                    <v:stroke weight="0.45pt" color="#000000" joinstyle="round"/>
                    <v:imagedata o:title=""/>
                    <o:lock v:ext="edit" aspectratio="f"/>
                  </v:line>
                  <v:line id="Line 1158" o:spid="_x0000_s1026" o:spt="20" style="position:absolute;left:5286;top:1324;flip:y;height:1;width:32;" filled="f" stroked="t" coordsize="21600,21600" o:gfxdata="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E69y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1159" o:spid="_x0000_s1026" o:spt="100" style="position:absolute;left:4520;top:1288;height:19;width:873;" fillcolor="#000000" filled="t" stroked="f" coordsize="873,19" o:gfxdata="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Zimq/&#10;AAAA3AAAAA8AAAAAAAAAAQAgAAAAIgAAAGRycy9kb3ducmV2LnhtbFBLAQIUABQAAAAIAIdO4kAz&#10;LwWeOwAAADkAAAAQAAAAAAAAAAEAIAAAAA4BAABkcnMvc2hhcGV4bWwueG1sUEsFBgAAAAAGAAYA&#10;WwEAALgDAAAAAA==&#10;" path="m19,0l0,19,873,0,19,0xe">
                    <v:path o:connectlocs="19,0;0,19;873,0;19,0" o:connectangles="0,0,0,0"/>
                    <v:fill on="t" focussize="0,0"/>
                    <v:stroke on="f"/>
                    <v:imagedata o:title=""/>
                    <o:lock v:ext="edit" aspectratio="f"/>
                  </v:shape>
                  <v:shape id="Freeform 1160" o:spid="_x0000_s1026" o:spt="100" style="position:absolute;left:4520;top:1288;height:19;width:892;" fillcolor="#000000" filled="t" stroked="f" coordsize="892,19" o:gfxdata="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Ksm&#10;uMEAAADcAAAADwAAAAAAAAABACAAAAAiAAAAZHJzL2Rvd25yZXYueG1sUEsBAhQAFAAAAAgAh07i&#10;QDMvBZ47AAAAOQAAABAAAAAAAAAAAQAgAAAAEAEAAGRycy9zaGFwZXhtbC54bWxQSwUGAAAAAAYA&#10;BgBbAQAAugMAAAAA&#10;" path="m0,19l873,0,892,19,0,19xe">
                    <v:path o:connectlocs="0,19;873,0;892,19;0,19" o:connectangles="0,0,0,0"/>
                    <v:fill on="t" focussize="0,0"/>
                    <v:stroke on="f"/>
                    <v:imagedata o:title=""/>
                    <o:lock v:ext="edit" aspectratio="f"/>
                  </v:shape>
                  <v:shape id="Freeform 1161" o:spid="_x0000_s1026" o:spt="100" style="position:absolute;left:4520;top:1288;height:19;width:892;" filled="f" stroked="t" coordsize="892,19" o:gfxdata="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LBW/&#10;AAAA3AAAAA8AAAAAAAAAAQAgAAAAIgAAAGRycy9kb3ducmV2LnhtbFBLAQIUABQAAAAIAIdO4kAz&#10;LwWeOwAAADkAAAAQAAAAAAAAAAEAIAAAAA4BAABkcnMvc2hhcGV4bWwueG1sUEsFBgAAAAAGAAYA&#10;WwEAALgDAAAAAA==&#10;" path="m19,0l0,19,892,19,873,0,19,0xe">
                    <v:path o:connectlocs="19,0;0,19;892,19;873,0;19,0" o:connectangles="0,0,0,0,0"/>
                    <v:fill on="f" focussize="0,0"/>
                    <v:stroke weight="0.45pt" color="#000000" joinstyle="round"/>
                    <v:imagedata o:title=""/>
                    <o:lock v:ext="edit" aspectratio="f"/>
                  </v:shape>
                  <v:shape id="Freeform 1162" o:spid="_x0000_s1026" o:spt="100" style="position:absolute;left:5393;top:842;height:465;width:19;" fillcolor="#000000" filled="t" stroked="f" coordsize="19,465" o:gfxdata="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OjHmvQAA&#10;ANwAAAAPAAAAAAAAAAEAIAAAACIAAABkcnMvZG93bnJldi54bWxQSwECFAAUAAAACACHTuJAMy8F&#10;njsAAAA5AAAAEAAAAAAAAAABACAAAAAMAQAAZHJzL3NoYXBleG1sLnhtbFBLBQYAAAAABgAGAFsB&#10;AAC2AwAAAAA=&#10;" path="m0,446l19,465,0,0,0,446xe">
                    <v:path o:connectlocs="0,446;19,465;0,0;0,446" o:connectangles="0,0,0,0"/>
                    <v:fill on="t" focussize="0,0"/>
                    <v:stroke on="f"/>
                    <v:imagedata o:title=""/>
                    <o:lock v:ext="edit" aspectratio="f"/>
                  </v:shape>
                  <v:shape id="Freeform 1163" o:spid="_x0000_s1026" o:spt="100" style="position:absolute;left:5393;top:823;height:484;width:19;" fillcolor="#000000" filled="t" stroked="f" coordsize="19,484" o:gfxdata="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jXlb4A&#10;AADcAAAADwAAAAAAAAABACAAAAAiAAAAZHJzL2Rvd25yZXYueG1sUEsBAhQAFAAAAAgAh07iQDMv&#10;BZ47AAAAOQAAABAAAAAAAAAAAQAgAAAADQEAAGRycy9zaGFwZXhtbC54bWxQSwUGAAAAAAYABgBb&#10;AQAAtwMAAAAA&#10;" path="m19,484l0,19,19,0,19,484xe">
                    <v:path o:connectlocs="19,484;0,19;19,0;19,484" o:connectangles="0,0,0,0"/>
                    <v:fill on="t" focussize="0,0"/>
                    <v:stroke on="f"/>
                    <v:imagedata o:title=""/>
                    <o:lock v:ext="edit" aspectratio="f"/>
                  </v:shape>
                  <v:shape id="Freeform 1164" o:spid="_x0000_s1026" o:spt="100" style="position:absolute;left:5393;top:823;height:484;width:19;" filled="f" stroked="t" coordsize="19,484" o:gfxdata="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Wadu&#10;wAAAANwAAAAPAAAAAAAAAAEAIAAAACIAAABkcnMvZG93bnJldi54bWxQSwECFAAUAAAACACHTuJA&#10;My8FnjsAAAA5AAAAEAAAAAAAAAABACAAAAAPAQAAZHJzL3NoYXBleG1sLnhtbFBLBQYAAAAABgAG&#10;AFsBAAC5AwAAAAA=&#10;" path="m0,465l19,484,19,0,0,19,0,465xe">
                    <v:path o:connectlocs="0,465;19,484;19,0;0,19;0,465" o:connectangles="0,0,0,0,0"/>
                    <v:fill on="f" focussize="0,0"/>
                    <v:stroke weight="0.45pt" color="#000000" joinstyle="round"/>
                    <v:imagedata o:title=""/>
                    <o:lock v:ext="edit" aspectratio="f"/>
                  </v:shape>
                  <v:shape id="Freeform 1165" o:spid="_x0000_s1026" o:spt="100" style="position:absolute;left:4539;top:823;height:19;width:873;" fillcolor="#000000" filled="t" stroked="f" coordsize="873,19" o:gfxdata="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xvYC8AAAA&#10;3AAAAA8AAAAAAAAAAQAgAAAAIgAAAGRycy9kb3ducmV2LnhtbFBLAQIUABQAAAAIAIdO4kAzLwWe&#10;OwAAADkAAAAQAAAAAAAAAAEAIAAAAAsBAABkcnMvc2hhcGV4bWwueG1sUEsFBgAAAAAGAAYAWwEA&#10;ALUDAAAAAA==&#10;" path="m854,19l873,0,0,19,854,19xe">
                    <v:path o:connectlocs="854,19;873,0;0,19;854,19" o:connectangles="0,0,0,0"/>
                    <v:fill on="t" focussize="0,0"/>
                    <v:stroke on="f"/>
                    <v:imagedata o:title=""/>
                    <o:lock v:ext="edit" aspectratio="f"/>
                  </v:shape>
                  <v:shape id="Freeform 1166" o:spid="_x0000_s1026" o:spt="100" style="position:absolute;left:4520;top:823;height:19;width:892;" fillcolor="#000000" filled="t" stroked="f" coordsize="892,19" o:gfxdata="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UMR&#10;UsEAAADcAAAADwAAAAAAAAABACAAAAAiAAAAZHJzL2Rvd25yZXYueG1sUEsBAhQAFAAAAAgAh07i&#10;QDMvBZ47AAAAOQAAABAAAAAAAAAAAQAgAAAAEAEAAGRycy9zaGFwZXhtbC54bWxQSwUGAAAAAAYA&#10;BgBbAQAAugMAAAAA&#10;" path="m892,0l19,19,0,0,892,0xe">
                    <v:path o:connectlocs="892,0;19,19;0,0;892,0" o:connectangles="0,0,0,0"/>
                    <v:fill on="t" focussize="0,0"/>
                    <v:stroke on="f"/>
                    <v:imagedata o:title=""/>
                    <o:lock v:ext="edit" aspectratio="f"/>
                  </v:shape>
                  <v:shape id="Freeform 1167" o:spid="_x0000_s1026" o:spt="100" style="position:absolute;left:4520;top:823;height:19;width:892;" filled="f" stroked="t" coordsize="892,19" o:gfxdata="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2eCrvQAA&#10;ANwAAAAPAAAAAAAAAAEAIAAAACIAAABkcnMvZG93bnJldi54bWxQSwECFAAUAAAACACHTuJAMy8F&#10;njsAAAA5AAAAEAAAAAAAAAABACAAAAAMAQAAZHJzL3NoYXBleG1sLnhtbFBLBQYAAAAABgAGAFsB&#10;AAC2AwAAAAA=&#10;" path="m873,19l892,0,0,0,19,19,873,19xe">
                    <v:path o:connectlocs="873,19;892,0;0,0;19,19;873,19" o:connectangles="0,0,0,0,0"/>
                    <v:fill on="f" focussize="0,0"/>
                    <v:stroke weight="0.45pt" color="#000000" joinstyle="round"/>
                    <v:imagedata o:title=""/>
                    <o:lock v:ext="edit" aspectratio="f"/>
                  </v:shape>
                  <v:shape id="Freeform 1168" o:spid="_x0000_s1026" o:spt="100" style="position:absolute;left:4520;top:823;height:465;width:19;" fillcolor="#000000" filled="t" stroked="f" coordsize="19,465" o:gfxdata="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bf1YvQAA&#10;ANwAAAAPAAAAAAAAAAEAIAAAACIAAABkcnMvZG93bnJldi54bWxQSwECFAAUAAAACACHTuJAMy8F&#10;njsAAAA5AAAAEAAAAAAAAAABACAAAAAMAQAAZHJzL3NoYXBleG1sLnhtbFBLBQYAAAAABgAGAFsB&#10;AAC2AwAAAAA=&#10;" path="m19,19l0,0,19,465,19,19xe">
                    <v:path o:connectlocs="19,19;0,0;19,465;19,19" o:connectangles="0,0,0,0"/>
                    <v:fill on="t" focussize="0,0"/>
                    <v:stroke on="f"/>
                    <v:imagedata o:title=""/>
                    <o:lock v:ext="edit" aspectratio="f"/>
                  </v:shape>
                  <v:shape id="Freeform 1169" o:spid="_x0000_s1026" o:spt="100" style="position:absolute;left:4520;top:823;height:484;width:19;" fillcolor="#000000" filled="t" stroked="f" coordsize="19,484" o:gfxdata="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8bK74A&#10;AADcAAAADwAAAAAAAAABACAAAAAiAAAAZHJzL2Rvd25yZXYueG1sUEsBAhQAFAAAAAgAh07iQDMv&#10;BZ47AAAAOQAAABAAAAAAAAAAAQAgAAAADQEAAGRycy9zaGFwZXhtbC54bWxQSwUGAAAAAAYABgBb&#10;AQAAtwMAAAAA&#10;" path="m0,0l19,465,0,484,0,0xe">
                    <v:path o:connectlocs="0,0;19,465;0,484;0,0" o:connectangles="0,0,0,0"/>
                    <v:fill on="t" focussize="0,0"/>
                    <v:stroke on="f"/>
                    <v:imagedata o:title=""/>
                    <o:lock v:ext="edit" aspectratio="f"/>
                  </v:shape>
                  <v:shape id="Freeform 1170" o:spid="_x0000_s1026" o:spt="100" style="position:absolute;left:4520;top:823;height:484;width:19;" filled="f" stroked="t" coordsize="19,484" o:gfxdata="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DmvQ&#10;wAAAANwAAAAPAAAAAAAAAAEAIAAAACIAAABkcnMvZG93bnJldi54bWxQSwECFAAUAAAACACHTuJA&#10;My8FnjsAAAA5AAAAEAAAAAAAAAABACAAAAAPAQAAZHJzL3NoYXBleG1sLnhtbFBLBQYAAAAABgAG&#10;AFsBAAC5AwAAAAA=&#10;" path="m19,19l0,0,0,484,19,465,19,19xe">
                    <v:path o:connectlocs="19,19;0,0;0,484;19,465;19,19" o:connectangles="0,0,0,0,0"/>
                    <v:fill on="f" focussize="0,0"/>
                    <v:stroke weight="0.45pt" color="#000000" joinstyle="round"/>
                    <v:imagedata o:title=""/>
                    <o:lock v:ext="edit" aspectratio="f"/>
                  </v:shape>
                  <v:line id="Line 1171" o:spid="_x0000_s1026" o:spt="20" style="position:absolute;left:4807;top:634;flip:y;height:660;width:832;" filled="f" stroked="t" coordsize="21600,21600" o:gfxdata="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XU7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72" o:spid="_x0000_s1026" o:spt="20" style="position:absolute;left:4551;top:634;flip:y;height:650;width:827;" filled="f" stroked="t" coordsize="21600,21600" o:gfxdata="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Rlxd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73" o:spid="_x0000_s1026" o:spt="20" style="position:absolute;left:4803;top:634;flip:y;height:251;width:318;" filled="f" stroked="t" coordsize="21600,21600" o:gfxdata="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vvA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74" o:spid="_x0000_s1026" o:spt="20" style="position:absolute;left:4683;top:775;height:0;width:815;" filled="f" stroked="t" coordsize="21600,21600" o:gfxdata="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U7YF&#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175" o:spid="_x0000_s1026" o:spt="20" style="position:absolute;left:4434;top:1414;height:0;width:1238;" filled="f" stroked="t" coordsize="21600,21600" o:gfxdata="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zCJ3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shape id="Freeform 1176" o:spid="_x0000_s1026" o:spt="100" style="position:absolute;left:4793;top:838;height:456;width:19;" fillcolor="#000000" filled="t" stroked="f" coordsize="19,456" o:gfxdata="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O/&#10;dMEAAADcAAAADwAAAAAAAAABACAAAAAiAAAAZHJzL2Rvd25yZXYueG1sUEsBAhQAFAAAAAgAh07i&#10;QDMvBZ47AAAAOQAAABAAAAAAAAAAAQAgAAAAEAEAAGRycy9zaGFwZXhtbC54bWxQSwUGAAAAAAYA&#10;BgBbAQAAugMAAAAA&#10;" path="m0,456l19,456,0,0,0,456xe">
                    <v:path o:connectlocs="0,456;19,456;0,0;0,456" o:connectangles="0,0,0,0"/>
                    <v:fill on="t" focussize="0,0"/>
                    <v:stroke on="f"/>
                    <v:imagedata o:title=""/>
                    <o:lock v:ext="edit" aspectratio="f"/>
                  </v:shape>
                  <v:shape id="Freeform 1177" o:spid="_x0000_s1026" o:spt="100" style="position:absolute;left:4793;top:838;height:456;width:19;" fillcolor="#000000" filled="t" stroked="f" coordsize="19,456" o:gfxdata="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CANL4A&#10;AADcAAAADwAAAAAAAAABACAAAAAiAAAAZHJzL2Rvd25yZXYueG1sUEsBAhQAFAAAAAgAh07iQDMv&#10;BZ47AAAAOQAAABAAAAAAAAAAAQAgAAAADQEAAGRycy9zaGFwZXhtbC54bWxQSwUGAAAAAAYABgBb&#10;AQAAtwMAAAAA&#10;" path="m19,456l0,0,19,0,19,456xe">
                    <v:path o:connectlocs="19,456;0,0;19,0;19,456" o:connectangles="0,0,0,0"/>
                    <v:fill on="t" focussize="0,0"/>
                    <v:stroke on="f"/>
                    <v:imagedata o:title=""/>
                    <o:lock v:ext="edit" aspectratio="f"/>
                  </v:shape>
                  <v:rect id="Rectangle 1178" o:spid="_x0000_s1026" o:spt="1" style="position:absolute;left:4793;top:838;height:456;width:19;" filled="f" stroked="t" coordsize="21600,21600" o:gfxdata="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EVCN&#10;wAAAANwAAAAPAAAAAAAAAAEAIAAAACIAAABkcnMvZG93bnJldi54bWxQSwECFAAUAAAACACHTuJA&#10;My8FnjsAAAA5AAAAEAAAAAAAAAABACAAAAAPAQAAZHJzL3NoYXBleG1sLnhtbFBLBQYAAAAABgAG&#10;AFsBAAC5AwAAAAA=&#10;">
                    <v:fill on="f" focussize="0,0"/>
                    <v:stroke weight="0.45pt" color="#000000" miterlimit="8" joinstyle="miter"/>
                    <v:imagedata o:title=""/>
                    <o:lock v:ext="edit" aspectratio="f"/>
                  </v:rect>
                  <v:line id="Line 1179" o:spid="_x0000_s1026" o:spt="20" style="position:absolute;left:4434;top:769;height:645;width:0;" filled="f" stroked="t" coordsize="21600,21600" o:gfxdata="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9g0C/&#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80" o:spid="_x0000_s1026" o:spt="20" style="position:absolute;left:4304;top:999;height:0;width:228;" filled="f" stroked="t" coordsize="21600,21600" o:gfxdata="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sSbb&#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181" o:spid="_x0000_s1026" o:spt="20" style="position:absolute;left:4260;top:1562;height:0;width:354;" filled="f" stroked="t" coordsize="21600,21600" o:gfxdata="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Yvq+/&#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82" o:spid="_x0000_s1026" o:spt="20" style="position:absolute;left:4260;top:1414;flip:x;height:0;width:174;" filled="f" stroked="t" coordsize="21600,21600" o:gfxdata="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MDnq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83" o:spid="_x0000_s1026" o:spt="20" style="position:absolute;left:4260;top:1414;height:148;width:0;" filled="f" stroked="t" coordsize="21600,21600" o:gfxdata="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xoVD&#10;wAAAANwAAAAPAAAAAAAAAAEAIAAAACIAAABkcnMvZG93bnJldi54bWxQSwECFAAUAAAACACHTuJA&#10;My8FnjsAAAA5AAAAEAAAAAAAAAABACAAAAAPAQAAZHJzL3NoYXBleG1sLnhtbFBLBQYAAAAABgAG&#10;AFsBAAC5AwAAAAA=&#10;">
                    <v:fill on="f" focussize="0,0"/>
                    <v:stroke weight="0.45pt" color="#000000" joinstyle="round"/>
                    <v:imagedata o:title=""/>
                    <o:lock v:ext="edit" aspectratio="f"/>
                  </v:line>
                  <v:line id="Line 1184" o:spid="_x0000_s1026" o:spt="20" style="position:absolute;left:4123;top:1342;height:0;width:261;" filled="f" stroked="t" coordsize="21600,21600" o:gfxdata="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og2L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group>
                <v:group id="Group 1386" o:spid="_x0000_s1026" o:spt="203" style="position:absolute;left:21590;top:106045;height:1287145;width:3915410;" coordorigin="34,167" coordsize="6166,2027" o:gfxdata="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">
                  <o:lock v:ext="edit" aspectratio="f"/>
                  <v:shape id="Freeform 1186" o:spid="_x0000_s1026" o:spt="100" style="position:absolute;left:4127;top:1408;height:35;width:45;" fillcolor="#000000" filled="t" stroked="f" coordsize="45,35" o:gfxdata="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UTfY&#10;wAAAANwAAAAPAAAAAAAAAAEAIAAAACIAAABkcnMvZG93bnJldi54bWxQSwECFAAUAAAACACHTuJA&#10;My8FnjsAAAA5AAAAEAAAAAAAAAABACAAAAAPAQAAZHJzL3NoYXBleG1sLnhtbFBLBQYAAAAABgAG&#10;AFsBAAC5AwAAAAA=&#10;" path="m9,0l0,9,45,35,9,0xe">
                    <v:path o:connectlocs="9,0;0,9;45,35;9,0" o:connectangles="0,0,0,0"/>
                    <v:fill on="t" focussize="0,0"/>
                    <v:stroke on="f"/>
                    <v:imagedata o:title=""/>
                    <o:lock v:ext="edit" aspectratio="f"/>
                  </v:shape>
                  <v:shape id="Freeform 1187" o:spid="_x0000_s1026" o:spt="100" style="position:absolute;left:4127;top:1417;height:35;width:45;" fillcolor="#000000" filled="t" stroked="f" coordsize="45,35" o:gfxdata="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77uYr4A&#10;AADcAAAADwAAAAAAAAABACAAAAAiAAAAZHJzL2Rvd25yZXYueG1sUEsBAhQAFAAAAAgAh07iQDMv&#10;BZ47AAAAOQAAABAAAAAAAAAAAQAgAAAADQEAAGRycy9zaGFwZXhtbC54bWxQSwUGAAAAAAYABgBb&#10;AQAAtwMAAAAA&#10;" path="m0,0l45,26,36,35,0,0xe">
                    <v:path o:connectlocs="0,0;45,26;36,35;0,0" o:connectangles="0,0,0,0"/>
                    <v:fill on="t" focussize="0,0"/>
                    <v:stroke on="f"/>
                    <v:imagedata o:title=""/>
                    <o:lock v:ext="edit" aspectratio="f"/>
                  </v:shape>
                  <v:shape id="Freeform 1188" o:spid="_x0000_s1026" o:spt="100" style="position:absolute;left:4127;top:1408;height:44;width:45;" filled="f" stroked="t" coordsize="45,44" o:gfxdata="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2gWGvQAA&#10;ANwAAAAPAAAAAAAAAAEAIAAAACIAAABkcnMvZG93bnJldi54bWxQSwECFAAUAAAACACHTuJAMy8F&#10;njsAAAA5AAAAEAAAAAAAAAABACAAAAAMAQAAZHJzL3NoYXBleG1sLnhtbFBLBQYAAAAABgAGAFsB&#10;AAC2AwAAAAA=&#10;" path="m9,0l0,9,36,44,45,35,9,0xe">
                    <v:path o:connectlocs="9,0;0,9;36,44;45,35;9,0" o:connectangles="0,0,0,0,0"/>
                    <v:fill on="f" focussize="0,0"/>
                    <v:stroke weight="0.45pt" color="#000000" joinstyle="round"/>
                    <v:imagedata o:title=""/>
                    <o:lock v:ext="edit" aspectratio="f"/>
                  </v:shape>
                  <v:shape id="Freeform 1189" o:spid="_x0000_s1026" o:spt="100" style="position:absolute;left:4128;top:1318;height:34;width:46;" fillcolor="#000000" filled="t" stroked="f" coordsize="46,34" o:gfxdata="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YPKDvQAA&#10;ANwAAAAPAAAAAAAAAAEAIAAAACIAAABkcnMvZG93bnJldi54bWxQSwECFAAUAAAACACHTuJAMy8F&#10;njsAAAA5AAAAEAAAAAAAAAABACAAAAAMAQAAZHJzL3NoYXBleG1sLnhtbFBLBQYAAAAABgAGAFsB&#10;AAC2AwAAAAA=&#10;" path="m9,0l0,9,46,34,9,0xe">
                    <v:path o:connectlocs="9,0;0,9;46,34;9,0" o:connectangles="0,0,0,0"/>
                    <v:fill on="t" focussize="0,0"/>
                    <v:stroke on="f"/>
                    <v:imagedata o:title=""/>
                    <o:lock v:ext="edit" aspectratio="f"/>
                  </v:shape>
                  <v:shape id="Freeform 1190" o:spid="_x0000_s1026" o:spt="100" style="position:absolute;left:4128;top:1327;height:35;width:46;" fillcolor="#000000" filled="t" stroked="f" coordsize="46,35" o:gfxdata="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lOQC8AAAA&#10;3AAAAA8AAAAAAAAAAQAgAAAAIgAAAGRycy9kb3ducmV2LnhtbFBLAQIUABQAAAAIAIdO4kAzLwWe&#10;OwAAADkAAAAQAAAAAAAAAAEAIAAAAAsBAABkcnMvc2hhcGV4bWwueG1sUEsFBgAAAAAGAAYAWwEA&#10;ALUDAAAAAA==&#10;" path="m0,0l46,25,36,35,0,0xe">
                    <v:path o:connectlocs="0,0;46,25;36,35;0,0" o:connectangles="0,0,0,0"/>
                    <v:fill on="t" focussize="0,0"/>
                    <v:stroke on="f"/>
                    <v:imagedata o:title=""/>
                    <o:lock v:ext="edit" aspectratio="f"/>
                  </v:shape>
                  <v:shape id="Freeform 1191" o:spid="_x0000_s1026" o:spt="100" style="position:absolute;left:4128;top:1318;height:44;width:46;" filled="f" stroked="t" coordsize="46,44" o:gfxdata="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A+dB&#10;wAAAANwAAAAPAAAAAAAAAAEAIAAAACIAAABkcnMvZG93bnJldi54bWxQSwECFAAUAAAACACHTuJA&#10;My8FnjsAAAA5AAAAEAAAAAAAAAABACAAAAAPAQAAZHJzL3NoYXBleG1sLnhtbFBLBQYAAAAABgAG&#10;AFsBAAC5AwAAAAA=&#10;" path="m9,0l0,9,36,44,46,34,9,0xe">
                    <v:path o:connectlocs="9,0;0,9;36,44;46,34;9,0" o:connectangles="0,0,0,0,0"/>
                    <v:fill on="f" focussize="0,0"/>
                    <v:stroke weight="0.45pt" color="#000000" joinstyle="round"/>
                    <v:imagedata o:title=""/>
                    <o:lock v:ext="edit" aspectratio="f"/>
                  </v:shape>
                  <v:rect id="Rectangle 1192" o:spid="_x0000_s1026" o:spt="1" style="position:absolute;left:4266;top:211;height:312;width:161;mso-wrap-style:none;" filled="f" stroked="f" coordsize="21600,21600" o:gfxdata="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G60u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14:paraId="76BF894E">
                          <w:r>
                            <w:rPr>
                              <w:rFonts w:hint="eastAsia" w:ascii="宋体" w:cs="宋体"/>
                              <w:color w:val="000000"/>
                              <w:kern w:val="0"/>
                              <w:sz w:val="16"/>
                              <w:szCs w:val="16"/>
                            </w:rPr>
                            <w:t>墙</w:t>
                          </w:r>
                        </w:p>
                      </w:txbxContent>
                    </v:textbox>
                  </v:rect>
                  <v:line id="Line 1193" o:spid="_x0000_s1026" o:spt="20" style="position:absolute;left:4151;top:1308;height:143;width:0;" filled="f" stroked="t" coordsize="21600,21600" o:gfxdata="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T9WS/&#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194" o:spid="_x0000_s1026" o:spt="20" style="position:absolute;left:4118;top:1432;height:0;width:90;" filled="f" stroked="t" coordsize="21600,21600" o:gfxdata="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9Q/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195" o:spid="_x0000_s1026" o:spt="20" style="position:absolute;left:4614;top:1335;flip:y;height:227;width:0;" filled="f" stroked="t" coordsize="21600,21600" o:gfxdata="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FDgS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196" o:spid="_x0000_s1026" o:spt="20" style="position:absolute;left:4537;top:629;flip:y;height:256;width:318;" filled="f" stroked="t" coordsize="21600,21600" o:gfxdata="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YnYm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197" o:spid="_x0000_s1026" o:spt="20" style="position:absolute;left:4434;top:769;flip:x;height:0;width:249;" filled="f" stroked="t" coordsize="21600,21600" o:gfxdata="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LuiybgAAADcAAAA&#10;DwAAAAAAAAABACAAAAAiAAAAZHJzL2Rvd25yZXYueG1sUEsBAhQAFAAAAAgAh07iQDMvBZ47AAAA&#10;OQAAABAAAAAAAAAAAQAgAAAABwEAAGRycy9zaGFwZXhtbC54bWxQSwUGAAAAAAYABgBbAQAAsQMA&#10;AAAA&#10;">
                    <v:fill on="f" focussize="0,0"/>
                    <v:stroke weight="0.45pt" color="#000000" joinstyle="round"/>
                    <v:imagedata o:title=""/>
                    <o:lock v:ext="edit" aspectratio="f"/>
                  </v:line>
                  <v:shape id="Freeform 1198" o:spid="_x0000_s1026" o:spt="100" style="position:absolute;left:4808;top:834;height:12;width:43;" fillcolor="#000000" filled="t" stroked="f" coordsize="43,12" o:gfxdata="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3qdQvQAA&#10;ANwAAAAPAAAAAAAAAAEAIAAAACIAAABkcnMvZG93bnJldi54bWxQSwECFAAUAAAACACHTuJAMy8F&#10;njsAAAA5AAAAEAAAAAAAAAABACAAAAAMAQAAZHJzL3NoYXBleG1sLnhtbFBLBQYAAAAABgAGAFsB&#10;AAC2AwAAAAA=&#10;" path="m0,0l0,12,43,0,0,0xe">
                    <v:path o:connectlocs="0,0;0,12;43,0;0,0" o:connectangles="0,0,0,0"/>
                    <v:fill on="t" focussize="0,0"/>
                    <v:stroke on="f"/>
                    <v:imagedata o:title=""/>
                    <o:lock v:ext="edit" aspectratio="f"/>
                  </v:shape>
                  <v:shape id="Freeform 1199" o:spid="_x0000_s1026" o:spt="100" style="position:absolute;left:4808;top:834;height:12;width:43;" fillcolor="#000000" filled="t" stroked="f" coordsize="43,12" o:gfxdata="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DDknvQAA&#10;ANwAAAAPAAAAAAAAAAEAIAAAACIAAABkcnMvZG93bnJldi54bWxQSwECFAAUAAAACACHTuJAMy8F&#10;njsAAAA5AAAAEAAAAAAAAAABACAAAAAMAQAAZHJzL3NoYXBleG1sLnhtbFBLBQYAAAAABgAGAFsB&#10;AAC2AwAAAAA=&#10;" path="m0,12l43,0,43,12,0,12xe">
                    <v:path o:connectlocs="0,12;43,0;43,12;0,12" o:connectangles="0,0,0,0"/>
                    <v:fill on="t" focussize="0,0"/>
                    <v:stroke on="f"/>
                    <v:imagedata o:title=""/>
                    <o:lock v:ext="edit" aspectratio="f"/>
                  </v:shape>
                  <v:rect id="Rectangle 1200" o:spid="_x0000_s1026" o:spt="1" style="position:absolute;left:4808;top:834;height:12;width:43;" filled="f" stroked="t" coordsize="21600,21600" o:gfxdata="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eDjZu/&#10;AAAA3AAAAA8AAAAAAAAAAQAgAAAAIgAAAGRycy9kb3ducmV2LnhtbFBLAQIUABQAAAAIAIdO4kAz&#10;LwWeOwAAADkAAAAQAAAAAAAAAAEAIAAAAA4BAABkcnMvc2hhcGV4bWwueG1sUEsFBgAAAAAGAAYA&#10;WwEAALgDAAAAAA==&#10;">
                    <v:fill on="f" focussize="0,0"/>
                    <v:stroke weight="0.45pt" color="#000000" miterlimit="8" joinstyle="miter"/>
                    <v:imagedata o:title=""/>
                    <o:lock v:ext="edit" aspectratio="f"/>
                  </v:rect>
                  <v:line id="Line 1201" o:spid="_x0000_s1026" o:spt="20" style="position:absolute;left:4683;top:339;height:0;width:48;" filled="f" stroked="t" coordsize="21600,21600" o:gfxdata="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UWFW/&#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202" o:spid="_x0000_s1026" o:spt="20" style="position:absolute;left:4446;top:339;height:0;width:237;" filled="f" stroked="t" coordsize="21600,21600" o:gfxdata="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xj9z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1203" o:spid="_x0000_s1026" o:spt="100" style="position:absolute;left:5121;top:838;height:465;width:20;" fillcolor="#000000" filled="t" stroked="f" coordsize="20,465" o:gfxdata="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1exw&#10;wAAAANwAAAAPAAAAAAAAAAEAIAAAACIAAABkcnMvZG93bnJldi54bWxQSwECFAAUAAAACACHTuJA&#10;My8FnjsAAAA5AAAAEAAAAAAAAAABACAAAAAPAQAAZHJzL3NoYXBleG1sLnhtbFBLBQYAAAAABgAG&#10;AFsBAAC5AwAAAAA=&#10;" path="m0,465l20,465,0,0,0,465xe">
                    <v:path o:connectlocs="0,465;20,465;0,0;0,465" o:connectangles="0,0,0,0"/>
                    <v:fill on="t" focussize="0,0"/>
                    <v:stroke on="f"/>
                    <v:imagedata o:title=""/>
                    <o:lock v:ext="edit" aspectratio="f"/>
                  </v:shape>
                  <v:shape id="Freeform 1204" o:spid="_x0000_s1026" o:spt="100" style="position:absolute;left:5121;top:838;height:465;width:20;" fillcolor="#000000" filled="t" stroked="f" coordsize="20,465" o:gfxdata="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mUnr&#10;wAAAANwAAAAPAAAAAAAAAAEAIAAAACIAAABkcnMvZG93bnJldi54bWxQSwECFAAUAAAACACHTuJA&#10;My8FnjsAAAA5AAAAEAAAAAAAAAABACAAAAAPAQAAZHJzL3NoYXBleG1sLnhtbFBLBQYAAAAABgAG&#10;AFsBAAC5AwAAAAA=&#10;" path="m20,465l0,0,20,0,20,465xe">
                    <v:path o:connectlocs="20,465;0,0;20,0;20,465" o:connectangles="0,0,0,0"/>
                    <v:fill on="t" focussize="0,0"/>
                    <v:stroke on="f"/>
                    <v:imagedata o:title=""/>
                    <o:lock v:ext="edit" aspectratio="f"/>
                  </v:shape>
                  <v:rect id="Rectangle 1205" o:spid="_x0000_s1026" o:spt="1" style="position:absolute;left:5121;top:838;height:465;width:20;" filled="f" stroked="t" coordsize="21600,21600" o:gfxdata="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nH+q8AAAA&#10;3AAAAA8AAAAAAAAAAQAgAAAAIgAAAGRycy9kb3ducmV2LnhtbFBLAQIUABQAAAAIAIdO4kAzLwWe&#10;OwAAADkAAAAQAAAAAAAAAAEAIAAAAAsBAABkcnMvc2hhcGV4bWwueG1sUEsFBgAAAAAGAAYAWwEA&#10;ALUDAAAAAA==&#10;">
                    <v:fill on="f" focussize="0,0"/>
                    <v:stroke weight="0.45pt" color="#000000" miterlimit="8" joinstyle="miter"/>
                    <v:imagedata o:title=""/>
                    <o:lock v:ext="edit" aspectratio="f"/>
                  </v:rect>
                  <v:line id="Line 1206" o:spid="_x0000_s1026" o:spt="20" style="position:absolute;left:5934;top:738;height:689;width:0;" filled="f" stroked="t" coordsize="21600,21600" o:gfxdata="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X3y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207" o:spid="_x0000_s1026" o:spt="20" style="position:absolute;left:5364;top:629;flip:y;height:670;width:836;" filled="f" stroked="t" coordsize="21600,21600" o:gfxdata="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lFYy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208" o:spid="_x0000_s1026" o:spt="20" style="position:absolute;left:5093;top:638;flip:y;height:656;width:827;" filled="f" stroked="t" coordsize="21600,21600" o:gfxdata="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Y86m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line id="Line 1209" o:spid="_x0000_s1026" o:spt="20" style="position:absolute;left:5498;top:775;height:639;width:0;" filled="f" stroked="t" coordsize="21600,21600" o:gfxdata="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3pFB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210" o:spid="_x0000_s1026" o:spt="20" style="position:absolute;left:5568;top:1451;height:119;width:418;" filled="f" stroked="t" coordsize="21600,21600" o:gfxdata="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I02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211" o:spid="_x0000_s1026" o:spt="20" style="position:absolute;left:5318;top:1546;flip:x;height:0;width:354;" filled="f" stroked="t" coordsize="21600,21600" o:gfxdata="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9QM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212" o:spid="_x0000_s1026" o:spt="20" style="position:absolute;left:5672;top:1414;height:132;width:0;" filled="f" stroked="t" coordsize="21600,21600" o:gfxdata="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cJN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213" o:spid="_x0000_s1026" o:spt="20" style="position:absolute;left:5777;top:1403;height:0;width:176;" filled="f" stroked="t" coordsize="21600,21600" o:gfxdata="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WXQr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1214" o:spid="_x0000_s1026" o:spt="100" style="position:absolute;left:5910;top:1380;height:34;width:45;" fillcolor="#000000" filled="t" stroked="f" coordsize="45,34" o:gfxdata="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eNJYrsAAADc&#10;AAAADwAAAAAAAAABACAAAAAiAAAAZHJzL2Rvd25yZXYueG1sUEsBAhQAFAAAAAgAh07iQDMvBZ47&#10;AAAAOQAAABAAAAAAAAAAAQAgAAAACgEAAGRycy9zaGFwZXhtbC54bWxQSwUGAAAAAAYABgBbAQAA&#10;tAMAAAAA&#10;" path="m8,0l0,9,45,34,8,0xe">
                    <v:path o:connectlocs="8,0;0,9;45,34;8,0" o:connectangles="0,0,0,0"/>
                    <v:fill on="t" focussize="0,0"/>
                    <v:stroke on="f"/>
                    <v:imagedata o:title=""/>
                    <o:lock v:ext="edit" aspectratio="f"/>
                  </v:shape>
                  <v:shape id="Freeform 1215" o:spid="_x0000_s1026" o:spt="100" style="position:absolute;left:5910;top:1389;height:35;width:45;" fillcolor="#000000" filled="t" stroked="f" coordsize="45,35" o:gfxdata="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gEK8AAAA&#10;3AAAAA8AAAAAAAAAAQAgAAAAIgAAAGRycy9kb3ducmV2LnhtbFBLAQIUABQAAAAIAIdO4kAzLwWe&#10;OwAAADkAAAAQAAAAAAAAAAEAIAAAAAsBAABkcnMvc2hhcGV4bWwueG1sUEsFBgAAAAAGAAYAWwEA&#10;ALUDAAAAAA==&#10;" path="m0,0l45,25,36,35,0,0xe">
                    <v:path o:connectlocs="0,0;45,25;36,35;0,0" o:connectangles="0,0,0,0"/>
                    <v:fill on="t" focussize="0,0"/>
                    <v:stroke on="f"/>
                    <v:imagedata o:title=""/>
                    <o:lock v:ext="edit" aspectratio="f"/>
                  </v:shape>
                  <v:rect id="Rectangle 1216" o:spid="_x0000_s1026" o:spt="1" style="position:absolute;left:5811;top:916;height:312;width:81;mso-wrap-style:none;rotation:-5898240f;" filled="f" stroked="f" coordsize="21600,21600" o:gfxdata="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dI9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style="mso-fit-shape-to-text:t;">
                      <w:txbxContent>
                        <w:p w14:paraId="2D88292E">
                          <w:r>
                            <w:rPr>
                              <w:rFonts w:ascii="宋体" w:cs="宋体"/>
                              <w:color w:val="000000"/>
                              <w:kern w:val="0"/>
                              <w:sz w:val="16"/>
                              <w:szCs w:val="16"/>
                            </w:rPr>
                            <w:t>h</w:t>
                          </w:r>
                        </w:p>
                      </w:txbxContent>
                    </v:textbox>
                  </v:rect>
                  <v:shape id="Freeform 1217" o:spid="_x0000_s1026" o:spt="100" style="position:absolute;left:5910;top:1380;height:44;width:45;" filled="f" stroked="t" coordsize="45,44" o:gfxdata="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uVTmugAAANwA&#10;AAAPAAAAAAAAAAEAIAAAACIAAABkcnMvZG93bnJldi54bWxQSwECFAAUAAAACACHTuJAMy8FnjsA&#10;AAA5AAAAEAAAAAAAAAABACAAAAAJAQAAZHJzL3NoYXBleG1sLnhtbFBLBQYAAAAABgAGAFsBAACz&#10;AwAAAAA=&#10;" path="m8,0l0,9,36,44,45,34,8,0xe">
                    <v:path o:connectlocs="8,0;0,9;36,44;45,34;8,0" o:connectangles="0,0,0,0,0"/>
                    <v:fill on="f" focussize="0,0"/>
                    <v:stroke weight="0.45pt" color="#000000" joinstyle="round"/>
                    <v:imagedata o:title=""/>
                    <o:lock v:ext="edit" aspectratio="f"/>
                  </v:shape>
                  <v:line id="Line 1218" o:spid="_x0000_s1026" o:spt="20" style="position:absolute;left:5587;top:767;height:0;width:366;" filled="f" stroked="t" coordsize="21600,21600" o:gfxdata="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WZ67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shape id="Freeform 1219" o:spid="_x0000_s1026" o:spt="100" style="position:absolute;left:5108;top:834;height:13;width:43;" fillcolor="#000000" filled="t" stroked="f" coordsize="43,13" o:gfxdata="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DpgG8AAAA&#10;3AAAAA8AAAAAAAAAAQAgAAAAIgAAAGRycy9kb3ducmV2LnhtbFBLAQIUABQAAAAIAIdO4kAzLwWe&#10;OwAAADkAAAAQAAAAAAAAAAEAIAAAAAsBAABkcnMvc2hhcGV4bWwueG1sUEsFBgAAAAAGAAYAWwEA&#10;ALUDAAAAAA==&#10;" path="m0,0l0,13,43,0,0,0xe">
                    <v:path o:connectlocs="0,0;0,13;43,0;0,0" o:connectangles="0,0,0,0"/>
                    <v:fill on="t" focussize="0,0"/>
                    <v:stroke on="f"/>
                    <v:imagedata o:title=""/>
                    <o:lock v:ext="edit" aspectratio="f"/>
                  </v:shape>
                  <v:shape id="Freeform 1220" o:spid="_x0000_s1026" o:spt="100" style="position:absolute;left:5108;top:834;height:13;width:43;" fillcolor="#000000" filled="t" stroked="f" coordsize="43,13" o:gfxdata="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wOavQAA&#10;ANwAAAAPAAAAAAAAAAEAIAAAACIAAABkcnMvZG93bnJldi54bWxQSwECFAAUAAAACACHTuJAMy8F&#10;njsAAAA5AAAAEAAAAAAAAAABACAAAAAMAQAAZHJzL3NoYXBleG1sLnhtbFBLBQYAAAAABgAGAFsB&#10;AAC2AwAAAAA=&#10;" path="m0,13l43,0,43,13,0,13xe">
                    <v:path o:connectlocs="0,13;43,0;43,13;0,13" o:connectangles="0,0,0,0"/>
                    <v:fill on="t" focussize="0,0"/>
                    <v:stroke on="f"/>
                    <v:imagedata o:title=""/>
                    <o:lock v:ext="edit" aspectratio="f"/>
                  </v:shape>
                  <v:rect id="Rectangle 1221" o:spid="_x0000_s1026" o:spt="1" style="position:absolute;left:5108;top:834;height:13;width:43;" filled="f" stroked="t" coordsize="21600,21600" o:gfxdata="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6cd8m/&#10;AAAA3AAAAA8AAAAAAAAAAQAgAAAAIgAAAGRycy9kb3ducmV2LnhtbFBLAQIUABQAAAAIAIdO4kAz&#10;LwWeOwAAADkAAAAQAAAAAAAAAAEAIAAAAA4BAABkcnMvc2hhcGV4bWwueG1sUEsFBgAAAAAGAAYA&#10;WwEAALgDAAAAAA==&#10;">
                    <v:fill on="f" focussize="0,0"/>
                    <v:stroke weight="0.45pt" color="#000000" miterlimit="8" joinstyle="miter"/>
                    <v:imagedata o:title=""/>
                    <o:lock v:ext="edit" aspectratio="f"/>
                  </v:rect>
                  <v:shape id="Freeform 1222" o:spid="_x0000_s1026" o:spt="100" style="position:absolute;left:5121;top:834;height:8;width:15;" fillcolor="#000000" filled="t" stroked="f" coordsize="15,8" o:gfxdata="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HrIZ74A&#10;AADcAAAADwAAAAAAAAABACAAAAAiAAAAZHJzL2Rvd25yZXYueG1sUEsBAhQAFAAAAAgAh07iQDMv&#10;BZ47AAAAOQAAABAAAAAAAAAAAQAgAAAADQEAAGRycy9zaGFwZXhtbC54bWxQSwUGAAAAAAYABgBb&#10;AQAAtwMAAAAA&#10;" path="m5,8l15,0,0,2,5,8xe">
                    <v:path o:connectlocs="5,8;15,0;0,2;5,8" o:connectangles="0,0,0,0"/>
                    <v:fill on="t" focussize="0,0"/>
                    <v:stroke on="f"/>
                    <v:imagedata o:title=""/>
                    <o:lock v:ext="edit" aspectratio="f"/>
                  </v:shape>
                  <v:shape id="Freeform 1223" o:spid="_x0000_s1026" o:spt="100" style="position:absolute;left:5121;top:828;height:8;width:15;" fillcolor="#000000" filled="t" stroked="f" coordsize="15,8" o:gfxdata="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hWEL4A&#10;AADcAAAADwAAAAAAAAABACAAAAAiAAAAZHJzL2Rvd25yZXYueG1sUEsBAhQAFAAAAAgAh07iQDMv&#10;BZ47AAAAOQAAABAAAAAAAAAAAQAgAAAADQEAAGRycy9zaGFwZXhtbC54bWxQSwUGAAAAAAYABgBb&#10;AQAAtwMAAAAA&#10;" path="m15,6l0,8,10,0,15,6xe">
                    <v:path o:connectlocs="15,6;0,8;10,0;15,6" o:connectangles="0,0,0,0"/>
                    <v:fill on="t" focussize="0,0"/>
                    <v:stroke on="f"/>
                    <v:imagedata o:title=""/>
                    <o:lock v:ext="edit" aspectratio="f"/>
                  </v:shape>
                  <v:shape id="Freeform 1224" o:spid="_x0000_s1026" o:spt="100" style="position:absolute;left:5121;top:828;height:14;width:15;" filled="f" stroked="t" coordsize="15,14" o:gfxdata="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3QsW/&#10;AAAA3AAAAA8AAAAAAAAAAQAgAAAAIgAAAGRycy9kb3ducmV2LnhtbFBLAQIUABQAAAAIAIdO4kAz&#10;LwWeOwAAADkAAAAQAAAAAAAAAAEAIAAAAA4BAABkcnMvc2hhcGV4bWwueG1sUEsFBgAAAAAGAAYA&#10;WwEAALgDAAAAAA==&#10;" path="m5,14l15,6,10,0,0,8,5,14xe">
                    <v:path o:connectlocs="5,14;15,6;10,0;0,8;5,14" o:connectangles="0,0,0,0,0"/>
                    <v:fill on="f" focussize="0,0"/>
                    <v:stroke weight="0.45pt" color="#000000" joinstyle="round"/>
                    <v:imagedata o:title=""/>
                    <o:lock v:ext="edit" aspectratio="f"/>
                  </v:shape>
                  <v:line id="Line 1225" o:spid="_x0000_s1026" o:spt="20" style="position:absolute;left:5126;top:832;height:0;width:0;" filled="f" stroked="t" coordsize="21600,21600" o:gfxdata="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MHa8AAAA&#10;3AAAAA8AAAAAAAAAAQAgAAAAIgAAAGRycy9kb3ducmV2LnhtbFBLAQIUABQAAAAIAIdO4kAzLwWe&#10;OwAAADkAAAAQAAAAAAAAAAEAIAAAAAsBAABkcnMvc2hhcGV4bWwueG1sUEsFBgAAAAAGAAYAWwEA&#10;ALUDAAAAAA==&#10;">
                    <v:fill on="f" focussize="0,0"/>
                    <v:stroke weight="0.45pt" color="#000000" joinstyle="round"/>
                    <v:imagedata o:title=""/>
                    <o:lock v:ext="edit" aspectratio="f"/>
                  </v:line>
                  <v:shape id="Freeform 1226" o:spid="_x0000_s1026" o:spt="100" style="position:absolute;left:5910;top:743;height:34;width:45;" fillcolor="#000000" filled="t" stroked="f" coordsize="45,34" o:gfxdata="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6e5WugAAANwA&#10;AAAPAAAAAAAAAAEAIAAAACIAAABkcnMvZG93bnJldi54bWxQSwECFAAUAAAACACHTuJAMy8FnjsA&#10;AAA5AAAAEAAAAAAAAAABACAAAAAJAQAAZHJzL3NoYXBleG1sLnhtbFBLBQYAAAAABgAGAFsBAACz&#10;AwAAAAA=&#10;" path="m8,0l0,9,45,34,8,0xe">
                    <v:path o:connectlocs="8,0;0,9;45,34;8,0" o:connectangles="0,0,0,0"/>
                    <v:fill on="t" focussize="0,0"/>
                    <v:stroke on="f"/>
                    <v:imagedata o:title=""/>
                    <o:lock v:ext="edit" aspectratio="f"/>
                  </v:shape>
                  <v:shape id="Freeform 1227" o:spid="_x0000_s1026" o:spt="100" style="position:absolute;left:5910;top:752;height:35;width:45;" fillcolor="#000000" filled="t" stroked="f" coordsize="45,35" o:gfxdata="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3QJLsAAADc&#10;AAAADwAAAAAAAAABACAAAAAiAAAAZHJzL2Rvd25yZXYueG1sUEsBAhQAFAAAAAgAh07iQDMvBZ47&#10;AAAAOQAAABAAAAAAAAAAAQAgAAAACgEAAGRycy9zaGFwZXhtbC54bWxQSwUGAAAAAAYABgBbAQAA&#10;tAMAAAAA&#10;" path="m0,0l45,25,36,35,0,0xe">
                    <v:path o:connectlocs="0,0;45,25;36,35;0,0" o:connectangles="0,0,0,0"/>
                    <v:fill on="t" focussize="0,0"/>
                    <v:stroke on="f"/>
                    <v:imagedata o:title=""/>
                    <o:lock v:ext="edit" aspectratio="f"/>
                  </v:shape>
                  <v:shape id="Freeform 1228" o:spid="_x0000_s1026" o:spt="100" style="position:absolute;left:5910;top:743;height:44;width:45;" filled="f" stroked="t" coordsize="45,44" o:gfxdata="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mTvAvQAA&#10;ANwAAAAPAAAAAAAAAAEAIAAAACIAAABkcnMvZG93bnJldi54bWxQSwECFAAUAAAACACHTuJAMy8F&#10;njsAAAA5AAAAEAAAAAAAAAABACAAAAAMAQAAZHJzL3NoYXBleG1sLnhtbFBLBQYAAAAABgAGAFsB&#10;AAC2AwAAAAA=&#10;" path="m8,0l0,9,36,44,45,34,8,0xe">
                    <v:path o:connectlocs="8,0;0,9;36,44;45,34;8,0" o:connectangles="0,0,0,0,0"/>
                    <v:fill on="f" focussize="0,0"/>
                    <v:stroke weight="0.45pt" color="#000000" joinstyle="round"/>
                    <v:imagedata o:title=""/>
                    <o:lock v:ext="edit" aspectratio="f"/>
                  </v:shape>
                  <v:line id="Line 1229" o:spid="_x0000_s1026" o:spt="20" style="position:absolute;left:5048;top:214;height:0;width:323;" filled="f" stroked="t" coordsize="21600,21600" o:gfxdata="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GvNIb4A&#10;AADcAAAADwAAAAAAAAABACAAAAAiAAAAZHJzL2Rvd25yZXYueG1sUEsBAhQAFAAAAAgAh07iQDMv&#10;BZ47AAAAOQAAABAAAAAAAAAAAQAgAAAADQEAAGRycy9zaGFwZXhtbC54bWxQSwUGAAAAAAYABgBb&#10;AQAAtwMAAAAA&#10;">
                    <v:fill on="f" focussize="0,0"/>
                    <v:stroke weight="0.45pt" color="#000000" joinstyle="round"/>
                    <v:imagedata o:title=""/>
                    <o:lock v:ext="edit" aspectratio="f"/>
                  </v:line>
                  <v:line id="Line 1230" o:spid="_x0000_s1026" o:spt="20" style="position:absolute;left:4472;top:230;height:0;width:412;" filled="f" stroked="t" coordsize="21600,21600" o:gfxdata="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8naLq/&#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231" o:spid="_x0000_s1026" o:spt="20" style="position:absolute;left:4884;top:167;flip:y;height:63;width:42;" filled="f" stroked="t" coordsize="21600,21600" o:gfxdata="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GgxR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232" o:spid="_x0000_s1026" o:spt="20" style="position:absolute;left:5000;top:214;flip:y;height:64;width:48;" filled="f" stroked="t" coordsize="21600,21600" o:gfxdata="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VqnKvQAA&#10;ANwAAAAPAAAAAAAAAAEAIAAAACIAAABkcnMvZG93bnJldi54bWxQSwECFAAUAAAACACHTuJAMy8F&#10;njsAAAA5AAAAEAAAAAAAAAABACAAAAAMAQAAZHJzL3NoYXBleG1sLnhtbFBLBQYAAAAABgAGAFsB&#10;AAC2AwAAAAA=&#10;">
                    <v:fill on="f" focussize="0,0"/>
                    <v:stroke weight="0.45pt" color="#000000" joinstyle="round"/>
                    <v:imagedata o:title=""/>
                    <o:lock v:ext="edit" aspectratio="f"/>
                  </v:line>
                  <v:line id="Line 1233" o:spid="_x0000_s1026" o:spt="20" style="position:absolute;left:4926;top:167;height:111;width:74;" filled="f" stroked="t" coordsize="21600,21600" o:gfxdata="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9QyyK/&#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shape id="Freeform 1234" o:spid="_x0000_s1026" o:spt="100" style="position:absolute;left:594;top:1480;height:714;width:779;" filled="f" stroked="t" coordsize="779,714" o:gfxdata="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eq6r4A&#10;AADcAAAADwAAAAAAAAABACAAAAAiAAAAZHJzL2Rvd25yZXYueG1sUEsBAhQAFAAAAAgAh07iQDMv&#10;BZ47AAAAOQAAABAAAAAAAAAAAQAgAAAADQEAAGRycy9zaGFwZXhtbC54bWxQSwUGAAAAAAYABgBb&#10;AQAAtwMAAAAA&#10;" path="m0,714l12,618,21,542,58,406,88,343,127,285,227,186,346,108,475,53,612,24,681,13,717,7,742,4,779,0e">
                    <v:path o:connectlocs="0,714;12,618;21,542;58,406;88,343;127,285;227,186;346,108;475,53;612,24;681,13;717,7;742,4;779,0" o:connectangles="0,0,0,0,0,0,0,0,0,0,0,0,0,0"/>
                    <v:fill on="f" focussize="0,0"/>
                    <v:stroke weight="0.45pt" color="#000000" joinstyle="round"/>
                    <v:imagedata o:title=""/>
                    <o:lock v:ext="edit" aspectratio="f"/>
                  </v:shape>
                  <v:shape id="Freeform 1235" o:spid="_x0000_s1026" o:spt="100" style="position:absolute;left:2197;top:1518;height:615;width:580;" filled="f" stroked="t" coordsize="580,615" o:gfxdata="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ii3OvQAA&#10;ANwAAAAPAAAAAAAAAAEAIAAAACIAAABkcnMvZG93bnJldi54bWxQSwECFAAUAAAACACHTuJAMy8F&#10;njsAAAA5AAAAEAAAAAAAAAABACAAAAAMAQAAZHJzL3NoYXBleG1sLnhtbFBLBQYAAAAABgAGAFsB&#10;AAC2AwAAAAA=&#10;" path="m0,615l12,501,42,389,95,287,170,199,261,126,361,67,468,24,580,0e">
                    <v:path o:connectlocs="0,615;12,501;42,389;95,287;170,199;261,126;361,67;468,24;580,0" o:connectangles="0,0,0,0,0,0,0,0,0"/>
                    <v:fill on="f" focussize="0,0"/>
                    <v:stroke weight="0.45pt" color="#000000" joinstyle="round"/>
                    <v:imagedata o:title=""/>
                    <o:lock v:ext="edit" aspectratio="f"/>
                  </v:shape>
                  <v:line id="Line 1236" o:spid="_x0000_s1026" o:spt="20" style="position:absolute;left:1377;top:918;height:1276;width:0;" filled="f" stroked="t" coordsize="21600,21600" o:gfxdata="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PX1C/&#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237" o:spid="_x0000_s1026" o:spt="20" style="position:absolute;left:34;top:918;height:0;width:1343;" filled="f" stroked="t" coordsize="21600,21600" o:gfxdata="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LGAQugAAANwA&#10;AAAPAAAAAAAAAAEAIAAAACIAAABkcnMvZG93bnJldi54bWxQSwECFAAUAAAACACHTuJAMy8FnjsA&#10;AAA5AAAAEAAAAAAAAAABACAAAAAJAQAAZHJzL3NoYXBleG1sLnhtbFBLBQYAAAAABgAGAFsBAACz&#10;AwAAAAA=&#10;">
                    <v:fill on="f" focussize="0,0"/>
                    <v:stroke weight="0.45pt" color="#000000" joinstyle="round"/>
                    <v:imagedata o:title=""/>
                    <o:lock v:ext="edit" aspectratio="f"/>
                  </v:line>
                  <v:line id="Line 1238" o:spid="_x0000_s1026" o:spt="20" style="position:absolute;left:34;top:918;height:1276;width:0;" filled="f" stroked="t" coordsize="21600,21600" o:gfxdata="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gxYu/&#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line id="Line 1239" o:spid="_x0000_s1026" o:spt="20" style="position:absolute;left:34;top:2194;height:0;width:1343;" filled="f" stroked="t" coordsize="21600,21600" o:gfxdata="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yW/y/&#10;AAAA3AAAAA8AAAAAAAAAAQAgAAAAIgAAAGRycy9kb3ducmV2LnhtbFBLAQIUABQAAAAIAIdO4kAz&#10;LwWeOwAAADkAAAAQAAAAAAAAAAEAIAAAAA4BAABkcnMvc2hhcGV4bWwueG1sUEsFBgAAAAAGAAYA&#10;WwEAALgDAAAAAA==&#10;">
                    <v:fill on="f" focussize="0,0"/>
                    <v:stroke weight="0.45pt" color="#000000" joinstyle="round"/>
                    <v:imagedata o:title=""/>
                    <o:lock v:ext="edit" aspectratio="f"/>
                  </v:line>
                  <v:shape id="Freeform 1240" o:spid="_x0000_s1026" o:spt="100" style="position:absolute;left:4605;top:1858;height:47;width:32;" fillcolor="#000000" filled="t" stroked="f" coordsize="32,47" o:gfxdata="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8zp8r4A&#10;AADcAAAADwAAAAAAAAABACAAAAAiAAAAZHJzL2Rvd25yZXYueG1sUEsBAhQAFAAAAAgAh07iQDMv&#10;BZ47AAAAOQAAABAAAAAAAAAAAQAgAAAADQEAAGRycy9zaGFwZXhtbC54bWxQSwUGAAAAAAYABgBb&#10;AQAAtwMAAAAA&#10;" path="m32,8l22,0,0,47,32,8xe">
                    <v:path o:connectlocs="32,8;22,0;0,47;32,8" o:connectangles="0,0,0,0"/>
                    <v:fill on="t" focussize="0,0"/>
                    <v:stroke on="f"/>
                    <v:imagedata o:title=""/>
                    <o:lock v:ext="edit" aspectratio="f"/>
                  </v:shape>
                  <v:shape id="Freeform 1241" o:spid="_x0000_s1026" o:spt="100" style="position:absolute;left:4595;top:1858;height:47;width:32;" fillcolor="#000000" filled="t" stroked="f" coordsize="32,47" o:gfxdata="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JXGG&#10;wAAAANwAAAAPAAAAAAAAAAEAIAAAACIAAABkcnMvZG93bnJldi54bWxQSwECFAAUAAAACACHTuJA&#10;My8FnjsAAAA5AAAAEAAAAAAAAAABACAAAAAPAQAAZHJzL3NoYXBleG1sLnhtbFBLBQYAAAAABgAG&#10;AFsBAAC5AwAAAAA=&#10;" path="m32,0l10,47,0,39,32,0xe">
                    <v:path o:connectlocs="32,0;10,47;0,39;32,0" o:connectangles="0,0,0,0"/>
                    <v:fill on="t" focussize="0,0"/>
                    <v:stroke on="f"/>
                    <v:imagedata o:title=""/>
                    <o:lock v:ext="edit" aspectratio="f"/>
                  </v:shape>
                  <v:shape id="Freeform 1242" o:spid="_x0000_s1026" o:spt="100" style="position:absolute;left:4595;top:1858;height:47;width:42;" filled="f" stroked="t" coordsize="42,47" o:gfxdata="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fGvQAA&#10;ANwAAAAPAAAAAAAAAAEAIAAAACIAAABkcnMvZG93bnJldi54bWxQSwECFAAUAAAACACHTuJAMy8F&#10;njsAAAA5AAAAEAAAAAAAAAABACAAAAAMAQAAZHJzL3NoYXBleG1sLnhtbFBLBQYAAAAABgAGAFsB&#10;AAC2AwAAAAA=&#10;" path="m42,8l32,0,0,39,10,47,42,8xe">
                    <v:path o:connectlocs="42,8;32,0;0,39;10,47;42,8" o:connectangles="0,0,0,0,0"/>
                    <v:fill on="f" focussize="0,0"/>
                    <v:stroke weight="0.45pt" color="#000000" joinstyle="round"/>
                    <v:imagedata o:title=""/>
                    <o:lock v:ext="edit" aspectratio="f"/>
                  </v:shape>
                  <v:shape id="Freeform 1243" o:spid="_x0000_s1026" o:spt="100" style="position:absolute;left:5305;top:1858;height:47;width:32;" fillcolor="#000000" filled="t" stroked="f" coordsize="32,47" o:gfxdata="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e7Smq/&#10;AAAA3AAAAA8AAAAAAAAAAQAgAAAAIgAAAGRycy9kb3ducmV2LnhtbFBLAQIUABQAAAAIAIdO4kAz&#10;LwWeOwAAADkAAAAQAAAAAAAAAAEAIAAAAA4BAABkcnMvc2hhcGV4bWwueG1sUEsFBgAAAAAGAAYA&#10;WwEAALgDAAAAAA==&#10;" path="m32,8l23,0,0,47,32,8xe">
                    <v:path o:connectlocs="32,8;23,0;0,47;32,8" o:connectangles="0,0,0,0"/>
                    <v:fill on="t" focussize="0,0"/>
                    <v:stroke on="f"/>
                    <v:imagedata o:title=""/>
                    <o:lock v:ext="edit" aspectratio="f"/>
                  </v:shape>
                  <v:shape id="Freeform 1244" o:spid="_x0000_s1026" o:spt="100" style="position:absolute;left:5295;top:1858;height:47;width:33;" fillcolor="#000000" filled="t" stroked="f" coordsize="33,47" o:gfxdata="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Zr74A&#10;AADcAAAADwAAAAAAAAABACAAAAAiAAAAZHJzL2Rvd25yZXYueG1sUEsBAhQAFAAAAAgAh07iQDMv&#10;BZ47AAAAOQAAABAAAAAAAAAAAQAgAAAADQEAAGRycy9zaGFwZXhtbC54bWxQSwUGAAAAAAYABgBb&#10;AQAAtwMAAAAA&#10;" path="m33,0l10,47,0,39,33,0xe">
                    <v:path o:connectlocs="33,0;10,47;0,39;33,0" o:connectangles="0,0,0,0"/>
                    <v:fill on="t" focussize="0,0"/>
                    <v:stroke on="f"/>
                    <v:imagedata o:title=""/>
                    <o:lock v:ext="edit" aspectratio="f"/>
                  </v:shape>
                  <v:shape id="Freeform 1245" o:spid="_x0000_s1026" o:spt="100" style="position:absolute;left:5295;top:1858;height:47;width:42;" filled="f" stroked="t" coordsize="42,47" o:gfxdata="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shYugAAANwA&#10;AAAPAAAAAAAAAAEAIAAAACIAAABkcnMvZG93bnJldi54bWxQSwECFAAUAAAACACHTuJAMy8FnjsA&#10;AAA5AAAAEAAAAAAAAAABACAAAAAJAQAAZHJzL3NoYXBleG1sLnhtbFBLBQYAAAAABgAGAFsBAACz&#10;AwAAAAA=&#10;" path="m42,8l33,0,0,39,10,47,42,8xe">
                    <v:path o:connectlocs="42,8;33,0;0,39;10,47;42,8" o:connectangles="0,0,0,0,0"/>
                    <v:fill on="f" focussize="0,0"/>
                    <v:stroke weight="0.45pt" color="#000000" joinstyle="round"/>
                    <v:imagedata o:title=""/>
                    <o:lock v:ext="edit" aspectratio="f"/>
                  </v:shape>
                  <v:shape id="Freeform 1246" o:spid="_x0000_s1026" o:spt="100" style="position:absolute;left:5480;top:1858;height:47;width:33;" fillcolor="#000000" filled="t" stroked="f" coordsize="33,47" o:gfxdata="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FwoRr4A&#10;AADcAAAADwAAAAAAAAABACAAAAAiAAAAZHJzL2Rvd25yZXYueG1sUEsBAhQAFAAAAAgAh07iQDMv&#10;BZ47AAAAOQAAABAAAAAAAAAAAQAgAAAADQEAAGRycy9zaGFwZXhtbC54bWxQSwUGAAAAAAYABgBb&#10;AQAAtwMAAAAA&#10;" path="m33,8l23,0,0,47,33,8xe">
                    <v:path o:connectlocs="33,8;23,0;0,47;33,8" o:connectangles="0,0,0,0"/>
                    <v:fill on="t" focussize="0,0"/>
                    <v:stroke on="f"/>
                    <v:imagedata o:title=""/>
                    <o:lock v:ext="edit" aspectratio="f"/>
                  </v:shape>
                  <v:shape id="Freeform 1247" o:spid="_x0000_s1026" o:spt="100" style="position:absolute;left:5470;top:1858;height:47;width:33;" fillcolor="#000000" filled="t" stroked="f" coordsize="33,47" o:gfxdata="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g8qa5AAAA3AAA&#10;AA8AAAAAAAAAAQAgAAAAIgAAAGRycy9kb3ducmV2LnhtbFBLAQIUABQAAAAIAIdO4kAzLwWeOwAA&#10;ADkAAAAQAAAAAAAAAAEAIAAAAAgBAABkcnMvc2hhcGV4bWwueG1sUEsFBgAAAAAGAAYAWwEAALID&#10;AAAAAA==&#10;" path="m33,0l10,47,0,39,33,0xe">
                    <v:path o:connectlocs="33,0;10,47;0,39;33,0" o:connectangles="0,0,0,0"/>
                    <v:fill on="t" focussize="0,0"/>
                    <v:stroke on="f"/>
                    <v:imagedata o:title=""/>
                    <o:lock v:ext="edit" aspectratio="f"/>
                  </v:shape>
                  <v:shape id="Freeform 1248" o:spid="_x0000_s1026" o:spt="100" style="position:absolute;left:5470;top:1858;height:47;width:43;" filled="f" stroked="t" coordsize="43,47" o:gfxdata="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Wm4Nr4A&#10;AADcAAAADwAAAAAAAAABACAAAAAiAAAAZHJzL2Rvd25yZXYueG1sUEsBAhQAFAAAAAgAh07iQDMv&#10;BZ47AAAAOQAAABAAAAAAAAAAAQAgAAAADQEAAGRycy9zaGFwZXhtbC54bWxQSwUGAAAAAAYABgBb&#10;AQAAtwMAAAAA&#10;" path="m43,8l33,0,0,39,10,47,43,8xe">
                    <v:path o:connectlocs="43,8;33,0;0,39;10,47;43,8" o:connectangles="0,0,0,0,0"/>
                    <v:fill on="f" focussize="0,0"/>
                    <v:stroke weight="0.45pt" color="#000000" joinstyle="round"/>
                    <v:imagedata o:title=""/>
                    <o:lock v:ext="edit" aspectratio="f"/>
                  </v:shape>
                  <v:shape id="Freeform 1249" o:spid="_x0000_s1026" o:spt="100" style="position:absolute;left:4559;top:857;height:12;width:16;" fillcolor="#000000" filled="t" stroked="f" coordsize="16,12" o:gfxdata="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zfXvvQAA&#10;ANwAAAAPAAAAAAAAAAEAIAAAACIAAABkcnMvZG93bnJldi54bWxQSwECFAAUAAAACACHTuJAMy8F&#10;njsAAAA5AAAAEAAAAAAAAAABACAAAAAMAQAAZHJzL3NoYXBleG1sLnhtbFBLBQYAAAAABgAGAFsB&#10;AAC2AwAAAAA=&#10;" path="m16,12l11,0,0,12,16,12xe">
                    <v:path o:connectlocs="16,12;11,0;0,12;16,12" o:connectangles="0,0,0,0"/>
                    <v:fill on="t" focussize="0,0"/>
                    <v:stroke on="f"/>
                    <v:imagedata o:title=""/>
                    <o:lock v:ext="edit" aspectratio="f"/>
                  </v:shape>
                  <v:shape id="Freeform 1250" o:spid="_x0000_s1026" o:spt="100" style="position:absolute;left:4559;top:857;height:12;width:16;" filled="f" stroked="t" coordsize="16,12" o:gfxdata="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0XGwG/&#10;AAAA3AAAAA8AAAAAAAAAAQAgAAAAIgAAAGRycy9kb3ducmV2LnhtbFBLAQIUABQAAAAIAIdO4kAz&#10;LwWeOwAAADkAAAAQAAAAAAAAAAEAIAAAAA4BAABkcnMvc2hhcGV4bWwueG1sUEsFBgAAAAAGAAYA&#10;WwEAALgDAAAAAA==&#10;" path="m16,12l11,0,0,12,16,12xe">
                    <v:path o:connectlocs="16,12;11,0;0,12;16,12" o:connectangles="0,0,0,0"/>
                    <v:fill on="f" focussize="0,0"/>
                    <v:stroke weight="0.45pt" color="#000000" joinstyle="round"/>
                    <v:imagedata o:title=""/>
                    <o:lock v:ext="edit" aspectratio="f"/>
                  </v:shape>
                  <v:shape id="Freeform 1251" o:spid="_x0000_s1026" o:spt="100" style="position:absolute;left:4559;top:853;height:16;width:11;" fillcolor="#000000" filled="t" stroked="f" coordsize="11,16" o:gfxdata="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CW6/&#10;AAAA3AAAAA8AAAAAAAAAAQAgAAAAIgAAAGRycy9kb3ducmV2LnhtbFBLAQIUABQAAAAIAIdO4kAz&#10;LwWeOwAAADkAAAAQAAAAAAAAAAEAIAAAAA4BAABkcnMvc2hhcGV4bWwueG1sUEsFBgAAAAAGAAYA&#10;WwEAALgDAAAAAA==&#10;" path="m11,4l0,0,0,16,11,4xe">
                    <v:path o:connectlocs="11,4;0,0;0,16;11,4" o:connectangles="0,0,0,0"/>
                    <v:fill on="t" focussize="0,0"/>
                    <v:stroke on="f"/>
                    <v:imagedata o:title=""/>
                    <o:lock v:ext="edit" aspectratio="f"/>
                  </v:shape>
                  <v:shape id="Freeform 1252" o:spid="_x0000_s1026" o:spt="100" style="position:absolute;left:4559;top:853;height:16;width:11;" filled="f" stroked="t" coordsize="11,16" o:gfxdata="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pb8O/&#10;AAAA3AAAAA8AAAAAAAAAAQAgAAAAIgAAAGRycy9kb3ducmV2LnhtbFBLAQIUABQAAAAIAIdO4kAz&#10;LwWeOwAAADkAAAAQAAAAAAAAAAEAIAAAAA4BAABkcnMvc2hhcGV4bWwueG1sUEsFBgAAAAAGAAYA&#10;WwEAALgDAAAAAA==&#10;" path="m11,4l0,0,0,16,11,4xe">
                    <v:path o:connectlocs="11,4;0,0;0,16;11,4" o:connectangles="0,0,0,0"/>
                    <v:fill on="f" focussize="0,0"/>
                    <v:stroke weight="0.45pt" color="#000000" joinstyle="round"/>
                    <v:imagedata o:title=""/>
                    <o:lock v:ext="edit" aspectratio="f"/>
                  </v:shape>
                  <v:shape id="Freeform 1253" o:spid="_x0000_s1026" o:spt="100" style="position:absolute;left:4547;top:853;height:16;width:12;" fillcolor="#000000" filled="t" stroked="f" coordsize="12,16" o:gfxdata="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nDPr4A&#10;AADcAAAADwAAAAAAAAABACAAAAAiAAAAZHJzL2Rvd25yZXYueG1sUEsBAhQAFAAAAAgAh07iQDMv&#10;BZ47AAAAOQAAABAAAAAAAAAAAQAgAAAADQEAAGRycy9zaGFwZXhtbC54bWxQSwUGAAAAAAYABgBb&#10;AQAAtwMAAAAA&#10;" path="m12,0l0,4,12,16,12,0xe">
                    <v:path o:connectlocs="12,0;0,4;12,16;12,0" o:connectangles="0,0,0,0"/>
                    <v:fill on="t" focussize="0,0"/>
                    <v:stroke on="f"/>
                    <v:imagedata o:title=""/>
                    <o:lock v:ext="edit" aspectratio="f"/>
                  </v:shape>
                  <v:shape id="Freeform 1254" o:spid="_x0000_s1026" o:spt="100" style="position:absolute;left:4547;top:853;height:16;width:12;" filled="f" stroked="t" coordsize="12,16" o:gfxdata="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ui+EvQAA&#10;ANwAAAAPAAAAAAAAAAEAIAAAACIAAABkcnMvZG93bnJldi54bWxQSwECFAAUAAAACACHTuJAMy8F&#10;njsAAAA5AAAAEAAAAAAAAAABACAAAAAMAQAAZHJzL3NoYXBleG1sLnhtbFBLBQYAAAAABgAGAFsB&#10;AAC2AwAAAAA=&#10;" path="m12,0l0,4,12,16,12,0xe">
                    <v:path o:connectlocs="12,0;0,4;12,16;12,0" o:connectangles="0,0,0,0"/>
                    <v:fill on="f" focussize="0,0"/>
                    <v:stroke weight="0.45pt" color="#000000" joinstyle="round"/>
                    <v:imagedata o:title=""/>
                    <o:lock v:ext="edit" aspectratio="f"/>
                  </v:shape>
                  <v:shape id="Freeform 1255" o:spid="_x0000_s1026" o:spt="100" style="position:absolute;left:4542;top:857;height:12;width:17;" fillcolor="#000000" filled="t" stroked="f" coordsize="17,12" o:gfxdata="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60L2bgAAADcAAAA&#10;DwAAAAAAAAABACAAAAAiAAAAZHJzL2Rvd25yZXYueG1sUEsBAhQAFAAAAAgAh07iQDMvBZ47AAAA&#10;OQAAABAAAAAAAAAAAQAgAAAABwEAAGRycy9zaGFwZXhtbC54bWxQSwUGAAAAAAYABgBbAQAAsQMA&#10;AAAA&#10;" path="m5,0l0,12,17,12,5,0xe">
                    <v:path o:connectlocs="5,0;0,12;17,12;5,0" o:connectangles="0,0,0,0"/>
                    <v:fill on="t" focussize="0,0"/>
                    <v:stroke on="f"/>
                    <v:imagedata o:title=""/>
                    <o:lock v:ext="edit" aspectratio="f"/>
                  </v:shape>
                  <v:shape id="Freeform 1256" o:spid="_x0000_s1026" o:spt="100" style="position:absolute;left:4542;top:857;height:12;width:17;" filled="f" stroked="t" coordsize="17,12" o:gfxdata="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OPfvQAA&#10;ANwAAAAPAAAAAAAAAAEAIAAAACIAAABkcnMvZG93bnJldi54bWxQSwECFAAUAAAACACHTuJAMy8F&#10;njsAAAA5AAAAEAAAAAAAAAABACAAAAAMAQAAZHJzL3NoYXBleG1sLnhtbFBLBQYAAAAABgAGAFsB&#10;AAC2AwAAAAA=&#10;" path="m5,0l0,12,17,12,5,0xe">
                    <v:path o:connectlocs="5,0;0,12;17,12;5,0" o:connectangles="0,0,0,0"/>
                    <v:fill on="f" focussize="0,0"/>
                    <v:stroke weight="0.45pt" color="#000000" joinstyle="round"/>
                    <v:imagedata o:title=""/>
                    <o:lock v:ext="edit" aspectratio="f"/>
                  </v:shape>
                  <v:shape id="Freeform 1257" o:spid="_x0000_s1026" o:spt="100" style="position:absolute;left:4542;top:869;height:11;width:17;" fillcolor="#000000" filled="t" stroked="f" coordsize="17,11" o:gfxdata="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PxWirgAAADcAAAA&#10;DwAAAAAAAAABACAAAAAiAAAAZHJzL2Rvd25yZXYueG1sUEsBAhQAFAAAAAgAh07iQDMvBZ47AAAA&#10;OQAAABAAAAAAAAAAAQAgAAAABwEAAGRycy9zaGFwZXhtbC54bWxQSwUGAAAAAAYABgBbAQAAsQMA&#10;AAAA&#10;" path="m0,0l5,11,17,0,0,0xe">
                    <v:path o:connectlocs="0,0;5,11;17,0;0,0" o:connectangles="0,0,0,0"/>
                    <v:fill on="t" focussize="0,0"/>
                    <v:stroke on="f"/>
                    <v:imagedata o:title=""/>
                    <o:lock v:ext="edit" aspectratio="f"/>
                  </v:shape>
                  <v:shape id="Freeform 1258" o:spid="_x0000_s1026" o:spt="100" style="position:absolute;left:4542;top:869;height:11;width:17;" filled="f" stroked="t" coordsize="17,11" o:gfxdata="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fLCPvQAA&#10;ANwAAAAPAAAAAAAAAAEAIAAAACIAAABkcnMvZG93bnJldi54bWxQSwECFAAUAAAACACHTuJAMy8F&#10;njsAAAA5AAAAEAAAAAAAAAABACAAAAAMAQAAZHJzL3NoYXBleG1sLnhtbFBLBQYAAAAABgAGAFsB&#10;AAC2AwAAAAA=&#10;" path="m0,0l5,11,17,0,0,0xe">
                    <v:path o:connectlocs="0,0;5,11;17,0;0,0" o:connectangles="0,0,0,0"/>
                    <v:fill on="f" focussize="0,0"/>
                    <v:stroke weight="0.45pt" color="#000000" joinstyle="round"/>
                    <v:imagedata o:title=""/>
                    <o:lock v:ext="edit" aspectratio="f"/>
                  </v:shape>
                  <v:shape id="Freeform 1259" o:spid="_x0000_s1026" o:spt="100" style="position:absolute;left:4547;top:869;height:16;width:12;" fillcolor="#000000" filled="t" stroked="f" coordsize="12,16" o:gfxdata="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gtT4L4A&#10;AADcAAAADwAAAAAAAAABACAAAAAiAAAAZHJzL2Rvd25yZXYueG1sUEsBAhQAFAAAAAgAh07iQDMv&#10;BZ47AAAAOQAAABAAAAAAAAAAAQAgAAAADQEAAGRycy9zaGFwZXhtbC54bWxQSwUGAAAAAAYABgBb&#10;AQAAtwMAAAAA&#10;" path="m0,11l12,16,12,0,0,11xe">
                    <v:path o:connectlocs="0,11;12,16;12,0;0,11" o:connectangles="0,0,0,0"/>
                    <v:fill on="t" focussize="0,0"/>
                    <v:stroke on="f"/>
                    <v:imagedata o:title=""/>
                    <o:lock v:ext="edit" aspectratio="f"/>
                  </v:shape>
                  <v:shape id="Freeform 1260" o:spid="_x0000_s1026" o:spt="100" style="position:absolute;left:4547;top:869;height:16;width:12;" filled="f" stroked="t" coordsize="12,16" o:gfxdata="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i/Wr4A&#10;AADcAAAADwAAAAAAAAABACAAAAAiAAAAZHJzL2Rvd25yZXYueG1sUEsBAhQAFAAAAAgAh07iQDMv&#10;BZ47AAAAOQAAABAAAAAAAAAAAQAgAAAADQEAAGRycy9zaGFwZXhtbC54bWxQSwUGAAAAAAYABgBb&#10;AQAAtwMAAAAA&#10;" path="m0,11l12,16,12,0,0,11xe">
                    <v:path o:connectlocs="0,11;12,16;12,0;0,11" o:connectangles="0,0,0,0"/>
                    <v:fill on="f" focussize="0,0"/>
                    <v:stroke weight="0.45pt" color="#000000" joinstyle="round"/>
                    <v:imagedata o:title=""/>
                    <o:lock v:ext="edit" aspectratio="f"/>
                  </v:shape>
                  <v:shape id="Freeform 1261" o:spid="_x0000_s1026" o:spt="100" style="position:absolute;left:4559;top:869;height:16;width:11;" fillcolor="#000000" filled="t" stroked="f" coordsize="11,16" o:gfxdata="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5+z&#10;wAAAANwAAAAPAAAAAAAAAAEAIAAAACIAAABkcnMvZG93bnJldi54bWxQSwECFAAUAAAACACHTuJA&#10;My8FnjsAAAA5AAAAEAAAAAAAAAABACAAAAAPAQAAZHJzL3NoYXBleG1sLnhtbFBLBQYAAAAABgAG&#10;AFsBAAC5AwAAAAA=&#10;" path="m0,16l11,11,0,0,0,16xe">
                    <v:path o:connectlocs="0,16;11,11;0,0;0,16" o:connectangles="0,0,0,0"/>
                    <v:fill on="t" focussize="0,0"/>
                    <v:stroke on="f"/>
                    <v:imagedata o:title=""/>
                    <o:lock v:ext="edit" aspectratio="f"/>
                  </v:shape>
                  <v:shape id="Freeform 1262" o:spid="_x0000_s1026" o:spt="100" style="position:absolute;left:4559;top:869;height:16;width:11;" filled="f" stroked="t" coordsize="11,16" o:gfxdata="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w+R6/&#10;AAAA3AAAAA8AAAAAAAAAAQAgAAAAIgAAAGRycy9kb3ducmV2LnhtbFBLAQIUABQAAAAIAIdO4kAz&#10;LwWeOwAAADkAAAAQAAAAAAAAAAEAIAAAAA4BAABkcnMvc2hhcGV4bWwueG1sUEsFBgAAAAAGAAYA&#10;WwEAALgDAAAAAA==&#10;" path="m0,16l11,11,0,0,0,16xe">
                    <v:path o:connectlocs="0,16;11,11;0,0;0,16" o:connectangles="0,0,0,0"/>
                    <v:fill on="f" focussize="0,0"/>
                    <v:stroke weight="0.45pt" color="#000000" joinstyle="round"/>
                    <v:imagedata o:title=""/>
                    <o:lock v:ext="edit" aspectratio="f"/>
                  </v:shape>
                  <v:shape id="Freeform 1263" o:spid="_x0000_s1026" o:spt="100" style="position:absolute;left:4559;top:869;height:11;width:16;" fillcolor="#000000" filled="t" stroked="f" coordsize="16,11" o:gfxdata="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l6yu8AAAA&#10;3AAAAA8AAAAAAAAAAQAgAAAAIgAAAGRycy9kb3ducmV2LnhtbFBLAQIUABQAAAAIAIdO4kAzLwWe&#10;OwAAADkAAAAQAAAAAAAAAAEAIAAAAAsBAABkcnMvc2hhcGV4bWwueG1sUEsFBgAAAAAGAAYAWwEA&#10;ALUDAAAAAA==&#10;" path="m11,11l16,0,0,0,11,11xe">
                    <v:path o:connectlocs="11,11;16,0;0,0;11,11" o:connectangles="0,0,0,0"/>
                    <v:fill on="t" focussize="0,0"/>
                    <v:stroke on="f"/>
                    <v:imagedata o:title=""/>
                    <o:lock v:ext="edit" aspectratio="f"/>
                  </v:shape>
                  <v:shape id="Freeform 1264" o:spid="_x0000_s1026" o:spt="100" style="position:absolute;left:4559;top:869;height:11;width:16;" filled="f" stroked="t" coordsize="16,11" o:gfxdata="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6z0G/&#10;AAAA3AAAAA8AAAAAAAAAAQAgAAAAIgAAAGRycy9kb3ducmV2LnhtbFBLAQIUABQAAAAIAIdO4kAz&#10;LwWeOwAAADkAAAAQAAAAAAAAAAEAIAAAAA4BAABkcnMvc2hhcGV4bWwueG1sUEsFBgAAAAAGAAYA&#10;WwEAALgDAAAAAA==&#10;" path="m11,11l16,0,0,0,11,11xe">
                    <v:path o:connectlocs="11,11;16,0;0,0;11,11" o:connectangles="0,0,0,0"/>
                    <v:fill on="f" focussize="0,0"/>
                    <v:stroke weight="0.45pt" color="#000000" joinstyle="round"/>
                    <v:imagedata o:title=""/>
                    <o:lock v:ext="edit" aspectratio="f"/>
                  </v:shape>
                  <v:shape id="Freeform 1265" o:spid="_x0000_s1026" o:spt="100" style="position:absolute;left:4830;top:861;height:8;width:16;" fillcolor="#000000" filled="t" stroked="f" coordsize="16,8" o:gfxdata="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iMMaugAAANwA&#10;AAAPAAAAAAAAAAEAIAAAACIAAABkcnMvZG93bnJldi54bWxQSwECFAAUAAAACACHTuJAMy8FnjsA&#10;AAA5AAAAEAAAAAAAAAABACAAAAAJAQAAZHJzL3NoYXBleG1sLnhtbFBLBQYAAAAABgAGAFsBAACz&#10;AwAAAAA=&#10;" path="m16,8l14,0,0,8,16,8xe">
                    <v:path o:connectlocs="16,8;14,0;0,8;16,8" o:connectangles="0,0,0,0"/>
                    <v:fill on="t" focussize="0,0"/>
                    <v:stroke on="f"/>
                    <v:imagedata o:title=""/>
                    <o:lock v:ext="edit" aspectratio="f"/>
                  </v:shape>
                  <v:shape id="Freeform 1266" o:spid="_x0000_s1026" o:spt="100" style="position:absolute;left:4830;top:861;height:8;width:16;" filled="f" stroked="t" coordsize="16,8" o:gfxdata="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6hIUb4A&#10;AADcAAAADwAAAAAAAAABACAAAAAiAAAAZHJzL2Rvd25yZXYueG1sUEsBAhQAFAAAAAgAh07iQDMv&#10;BZ47AAAAOQAAABAAAAAAAAAAAQAgAAAADQEAAGRycy9zaGFwZXhtbC54bWxQSwUGAAAAAAYABgBb&#10;AQAAtwMAAAAA&#10;" path="m16,8l14,0,0,8,16,8xe">
                    <v:path o:connectlocs="16,8;14,0;0,8;16,8" o:connectangles="0,0,0,0"/>
                    <v:fill on="f" focussize="0,0"/>
                    <v:stroke weight="0.45pt" color="#000000" joinstyle="round"/>
                    <v:imagedata o:title=""/>
                    <o:lock v:ext="edit" aspectratio="f"/>
                  </v:shape>
                  <v:shape id="Freeform 1267" o:spid="_x0000_s1026" o:spt="100" style="position:absolute;left:4830;top:855;height:14;width:14;" fillcolor="#000000" filled="t" stroked="f" coordsize="14,14" o:gfxdata="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hA0C8AAAA&#10;3AAAAA8AAAAAAAAAAQAgAAAAIgAAAGRycy9kb3ducmV2LnhtbFBLAQIUABQAAAAIAIdO4kAzLwWe&#10;OwAAADkAAAAQAAAAAAAAAAEAIAAAAAsBAABkcnMvc2hhcGV4bWwueG1sUEsFBgAAAAAGAAYAWwEA&#10;ALUDAAAAAA==&#10;" path="m14,6l8,0,0,14,14,6xe">
                    <v:path o:connectlocs="14,6;8,0;0,14;14,6" o:connectangles="0,0,0,0"/>
                    <v:fill on="t" focussize="0,0"/>
                    <v:stroke on="f"/>
                    <v:imagedata o:title=""/>
                    <o:lock v:ext="edit" aspectratio="f"/>
                  </v:shape>
                  <v:shape id="Freeform 1268" o:spid="_x0000_s1026" o:spt="100" style="position:absolute;left:4830;top:855;height:14;width:14;" filled="f" stroked="t" coordsize="14,14" o:gfxdata="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3EYqbsAAADc&#10;AAAADwAAAAAAAAABACAAAAAiAAAAZHJzL2Rvd25yZXYueG1sUEsBAhQAFAAAAAgAh07iQDMvBZ47&#10;AAAAOQAAABAAAAAAAAAAAQAgAAAACgEAAGRycy9zaGFwZXhtbC54bWxQSwUGAAAAAAYABgBbAQAA&#10;tAMAAAAA&#10;" path="m14,6l8,0,0,14,14,6xe">
                    <v:path o:connectlocs="14,6;8,0;0,14;14,6" o:connectangles="0,0,0,0"/>
                    <v:fill on="f" focussize="0,0"/>
                    <v:stroke weight="0.45pt" color="#000000" joinstyle="round"/>
                    <v:imagedata o:title=""/>
                    <o:lock v:ext="edit" aspectratio="f"/>
                  </v:shape>
                  <v:shape id="Freeform 1269" o:spid="_x0000_s1026" o:spt="100" style="position:absolute;left:4830;top:853;height:16;width:8;" fillcolor="#000000" filled="t" stroked="f" coordsize="8,16" o:gfxdata="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Rfd1vQAA&#10;ANwAAAAPAAAAAAAAAAEAIAAAACIAAABkcnMvZG93bnJldi54bWxQSwECFAAUAAAACACHTuJAMy8F&#10;njsAAAA5AAAAEAAAAAAAAAABACAAAAAMAQAAZHJzL3NoYXBleG1sLnhtbFBLBQYAAAAABgAGAFsB&#10;AAC2AwAAAAA=&#10;" path="m8,2l0,0,0,16,8,2xe">
                    <v:path o:connectlocs="8,2;0,0;0,16;8,2" o:connectangles="0,0,0,0"/>
                    <v:fill on="t" focussize="0,0"/>
                    <v:stroke on="f"/>
                    <v:imagedata o:title=""/>
                    <o:lock v:ext="edit" aspectratio="f"/>
                  </v:shape>
                  <v:shape id="Freeform 1270" o:spid="_x0000_s1026" o:spt="100" style="position:absolute;left:4830;top:853;height:16;width:8;" filled="f" stroked="t" coordsize="8,16" o:gfxdata="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9O8D&#10;wAAAANwAAAAPAAAAAAAAAAEAIAAAACIAAABkcnMvZG93bnJldi54bWxQSwECFAAUAAAACACHTuJA&#10;My8FnjsAAAA5AAAAEAAAAAAAAAABACAAAAAPAQAAZHJzL3NoYXBleG1sLnhtbFBLBQYAAAAABgAG&#10;AFsBAAC5AwAAAAA=&#10;" path="m8,2l0,0,0,16,8,2xe">
                    <v:path o:connectlocs="8,2;0,0;0,16;8,2" o:connectangles="0,0,0,0"/>
                    <v:fill on="f" focussize="0,0"/>
                    <v:stroke weight="0.45pt" color="#000000" joinstyle="round"/>
                    <v:imagedata o:title=""/>
                    <o:lock v:ext="edit" aspectratio="f"/>
                  </v:shape>
                  <v:shape id="Freeform 1271" o:spid="_x0000_s1026" o:spt="100" style="position:absolute;left:4822;top:853;height:16;width:8;" fillcolor="#000000" filled="t" stroked="f" coordsize="8,16" o:gfxdata="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4MqavQAA&#10;ANwAAAAPAAAAAAAAAAEAIAAAACIAAABkcnMvZG93bnJldi54bWxQSwECFAAUAAAACACHTuJAMy8F&#10;njsAAAA5AAAAEAAAAAAAAAABACAAAAAMAQAAZHJzL3NoYXBleG1sLnhtbFBLBQYAAAAABgAGAFsB&#10;AAC2AwAAAAA=&#10;" path="m8,0l0,2,8,16,8,0xe">
                    <v:path o:connectlocs="8,0;0,2;8,16;8,0" o:connectangles="0,0,0,0"/>
                    <v:fill on="t" focussize="0,0"/>
                    <v:stroke on="f"/>
                    <v:imagedata o:title=""/>
                    <o:lock v:ext="edit" aspectratio="f"/>
                  </v:shape>
                  <v:shape id="Freeform 1272" o:spid="_x0000_s1026" o:spt="100" style="position:absolute;left:4822;top:853;height:16;width:8;" filled="f" stroked="t" coordsize="8,16" o:gfxdata="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UdLs&#10;wAAAANwAAAAPAAAAAAAAAAEAIAAAACIAAABkcnMvZG93bnJldi54bWxQSwECFAAUAAAACACHTuJA&#10;My8FnjsAAAA5AAAAEAAAAAAAAAABACAAAAAPAQAAZHJzL3NoYXBleG1sLnhtbFBLBQYAAAAABgAG&#10;AFsBAAC5AwAAAAA=&#10;" path="m8,0l0,2,8,16,8,0xe">
                    <v:path o:connectlocs="8,0;0,2;8,16;8,0" o:connectangles="0,0,0,0"/>
                    <v:fill on="f" focussize="0,0"/>
                    <v:stroke weight="0.45pt" color="#000000" joinstyle="round"/>
                    <v:imagedata o:title=""/>
                    <o:lock v:ext="edit" aspectratio="f"/>
                  </v:shape>
                  <v:shape id="Freeform 1273" o:spid="_x0000_s1026" o:spt="100" style="position:absolute;left:4816;top:855;height:14;width:14;" fillcolor="#000000" filled="t" stroked="f" coordsize="14,14" o:gfxdata="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Q+r74A&#10;AADcAAAADwAAAAAAAAABACAAAAAiAAAAZHJzL2Rvd25yZXYueG1sUEsBAhQAFAAAAAgAh07iQDMv&#10;BZ47AAAAOQAAABAAAAAAAAAAAQAgAAAADQEAAGRycy9zaGFwZXhtbC54bWxQSwUGAAAAAAYABgBb&#10;AQAAtwMAAAAA&#10;" path="m6,0l0,6,14,14,6,0xe">
                    <v:path o:connectlocs="6,0;0,6;14,14;6,0" o:connectangles="0,0,0,0"/>
                    <v:fill on="t" focussize="0,0"/>
                    <v:stroke on="f"/>
                    <v:imagedata o:title=""/>
                    <o:lock v:ext="edit" aspectratio="f"/>
                  </v:shape>
                  <v:shape id="Freeform 1274" o:spid="_x0000_s1026" o:spt="100" style="position:absolute;left:4816;top:855;height:14;width:14;" filled="f" stroked="t" coordsize="14,14" o:gfxdata="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UJUa8AAAA&#10;3AAAAA8AAAAAAAAAAQAgAAAAIgAAAGRycy9kb3ducmV2LnhtbFBLAQIUABQAAAAIAIdO4kAzLwWe&#10;OwAAADkAAAAQAAAAAAAAAAEAIAAAAAsBAABkcnMvc2hhcGV4bWwueG1sUEsFBgAAAAAGAAYAWwEA&#10;ALUDAAAAAA==&#10;" path="m6,0l0,6,14,14,6,0xe">
                    <v:path o:connectlocs="6,0;0,6;14,14;6,0" o:connectangles="0,0,0,0"/>
                    <v:fill on="f" focussize="0,0"/>
                    <v:stroke weight="0.45pt" color="#000000" joinstyle="round"/>
                    <v:imagedata o:title=""/>
                    <o:lock v:ext="edit" aspectratio="f"/>
                  </v:shape>
                  <v:shape id="Freeform 1275" o:spid="_x0000_s1026" o:spt="100" style="position:absolute;left:4814;top:861;height:8;width:16;" fillcolor="#000000" filled="t" stroked="f" coordsize="16,8" o:gfxdata="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uQJp7sAAADc&#10;AAAADwAAAAAAAAABACAAAAAiAAAAZHJzL2Rvd25yZXYueG1sUEsBAhQAFAAAAAgAh07iQDMvBZ47&#10;AAAAOQAAABAAAAAAAAAAAQAgAAAACgEAAGRycy9zaGFwZXhtbC54bWxQSwUGAAAAAAYABgBbAQAA&#10;tAMAAAAA&#10;" path="m2,0l0,8,16,8,2,0xe">
                    <v:path o:connectlocs="2,0;0,8;16,8;2,0" o:connectangles="0,0,0,0"/>
                    <v:fill on="t" focussize="0,0"/>
                    <v:stroke on="f"/>
                    <v:imagedata o:title=""/>
                    <o:lock v:ext="edit" aspectratio="f"/>
                  </v:shape>
                  <v:shape id="Freeform 1276" o:spid="_x0000_s1026" o:spt="100" style="position:absolute;left:4814;top:861;height:8;width:16;" filled="f" stroked="t" coordsize="16,8" o:gfxdata="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Eguy8AAAA&#10;3AAAAA8AAAAAAAAAAQAgAAAAIgAAAGRycy9kb3ducmV2LnhtbFBLAQIUABQAAAAIAIdO4kAzLwWe&#10;OwAAADkAAAAQAAAAAAAAAAEAIAAAAAsBAABkcnMvc2hhcGV4bWwueG1sUEsFBgAAAAAGAAYAWwEA&#10;ALUDAAAAAA==&#10;" path="m2,0l0,8,16,8,2,0xe">
                    <v:path o:connectlocs="2,0;0,8;16,8;2,0" o:connectangles="0,0,0,0"/>
                    <v:fill on="f" focussize="0,0"/>
                    <v:stroke weight="0.45pt" color="#000000" joinstyle="round"/>
                    <v:imagedata o:title=""/>
                    <o:lock v:ext="edit" aspectratio="f"/>
                  </v:shape>
                  <v:shape id="Freeform 1277" o:spid="_x0000_s1026" o:spt="100" style="position:absolute;left:4814;top:869;height:8;width:16;" fillcolor="#000000" filled="t" stroked="f" coordsize="16,8" o:gfxdata="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UuTfLsAAADc&#10;AAAADwAAAAAAAAABACAAAAAiAAAAZHJzL2Rvd25yZXYueG1sUEsBAhQAFAAAAAgAh07iQDMvBZ47&#10;AAAAOQAAABAAAAAAAAAAAQAgAAAACgEAAGRycy9zaGFwZXhtbC54bWxQSwUGAAAAAAYABgBbAQAA&#10;tAMAAAAA&#10;" path="m0,0l2,8,16,0,0,0xe">
                    <v:path o:connectlocs="0,0;2,8;16,0;0,0" o:connectangles="0,0,0,0"/>
                    <v:fill on="t" focussize="0,0"/>
                    <v:stroke on="f"/>
                    <v:imagedata o:title=""/>
                    <o:lock v:ext="edit" aspectratio="f"/>
                  </v:shape>
                  <v:shape id="Freeform 1278" o:spid="_x0000_s1026" o:spt="100" style="position:absolute;left:4814;top:869;height:8;width:16;" filled="f" stroked="t" coordsize="16,8" o:gfxdata="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rGDe8AAAA&#10;3AAAAA8AAAAAAAAAAQAgAAAAIgAAAGRycy9kb3ducmV2LnhtbFBLAQIUABQAAAAIAIdO4kAzLwWe&#10;OwAAADkAAAAQAAAAAAAAAAEAIAAAAAsBAABkcnMvc2hhcGV4bWwueG1sUEsFBgAAAAAGAAYAWwEA&#10;ALUDAAAAAA==&#10;" path="m0,0l2,8,16,0,0,0xe">
                    <v:path o:connectlocs="0,0;2,8;16,0;0,0" o:connectangles="0,0,0,0"/>
                    <v:fill on="f" focussize="0,0"/>
                    <v:stroke weight="0.45pt" color="#000000" joinstyle="round"/>
                    <v:imagedata o:title=""/>
                    <o:lock v:ext="edit" aspectratio="f"/>
                  </v:shape>
                  <v:shape id="Freeform 1279" o:spid="_x0000_s1026" o:spt="100" style="position:absolute;left:4816;top:869;height:14;width:14;" fillcolor="#000000" filled="t" stroked="f" coordsize="14,14" o:gfxdata="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qaucb4A&#10;AADcAAAADwAAAAAAAAABACAAAAAiAAAAZHJzL2Rvd25yZXYueG1sUEsBAhQAFAAAAAgAh07iQDMv&#10;BZ47AAAAOQAAABAAAAAAAAAAAQAgAAAADQEAAGRycy9zaGFwZXhtbC54bWxQSwUGAAAAAAYABgBb&#10;AQAAtwMAAAAA&#10;" path="m0,8l6,14,14,0,0,8xe">
                    <v:path o:connectlocs="0,8;6,14;14,0;0,8" o:connectangles="0,0,0,0"/>
                    <v:fill on="t" focussize="0,0"/>
                    <v:stroke on="f"/>
                    <v:imagedata o:title=""/>
                    <o:lock v:ext="edit" aspectratio="f"/>
                  </v:shape>
                  <v:shape id="Freeform 1280" o:spid="_x0000_s1026" o:spt="100" style="position:absolute;left:4816;top:869;height:14;width:14;" filled="f" stroked="t" coordsize="14,14" o:gfxdata="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2tZi8AAAA&#10;3AAAAA8AAAAAAAAAAQAgAAAAIgAAAGRycy9kb3ducmV2LnhtbFBLAQIUABQAAAAIAIdO4kAzLwWe&#10;OwAAADkAAAAQAAAAAAAAAAEAIAAAAAsBAABkcnMvc2hhcGV4bWwueG1sUEsFBgAAAAAGAAYAWwEA&#10;ALUDAAAAAA==&#10;" path="m0,8l6,14,14,0,0,8xe">
                    <v:path o:connectlocs="0,8;6,14;14,0;0,8" o:connectangles="0,0,0,0"/>
                    <v:fill on="f" focussize="0,0"/>
                    <v:stroke weight="0.45pt" color="#000000" joinstyle="round"/>
                    <v:imagedata o:title=""/>
                    <o:lock v:ext="edit" aspectratio="f"/>
                  </v:shape>
                  <v:shape id="Freeform 1281" o:spid="_x0000_s1026" o:spt="100" style="position:absolute;left:4822;top:869;height:16;width:8;" fillcolor="#000000" filled="t" stroked="f" coordsize="8,16" o:gfxdata="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5XEe8AAAA&#10;3AAAAA8AAAAAAAAAAQAgAAAAIgAAAGRycy9kb3ducmV2LnhtbFBLAQIUABQAAAAIAIdO4kAzLwWe&#10;OwAAADkAAAAQAAAAAAAAAAEAIAAAAAsBAABkcnMvc2hhcGV4bWwueG1sUEsFBgAAAAAGAAYAWwEA&#10;ALUDAAAAAA==&#10;" path="m0,14l8,16,8,0,0,14xe">
                    <v:path o:connectlocs="0,14;8,16;8,0;0,14" o:connectangles="0,0,0,0"/>
                    <v:fill on="t" focussize="0,0"/>
                    <v:stroke on="f"/>
                    <v:imagedata o:title=""/>
                    <o:lock v:ext="edit" aspectratio="f"/>
                  </v:shape>
                  <v:shape id="Freeform 1282" o:spid="_x0000_s1026" o:spt="100" style="position:absolute;left:4822;top:869;height:16;width:8;" filled="f" stroked="t" coordsize="8,16" o:gfxdata="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iEQx&#10;wAAAANwAAAAPAAAAAAAAAAEAIAAAACIAAABkcnMvZG93bnJldi54bWxQSwECFAAUAAAACACHTuJA&#10;My8FnjsAAAA5AAAAEAAAAAAAAAABACAAAAAPAQAAZHJzL3NoYXBleG1sLnhtbFBLBQYAAAAABgAG&#10;AFsBAAC5AwAAAAA=&#10;" path="m0,14l8,16,8,0,0,14xe">
                    <v:path o:connectlocs="0,14;8,16;8,0;0,14" o:connectangles="0,0,0,0"/>
                    <v:fill on="f" focussize="0,0"/>
                    <v:stroke weight="0.45pt" color="#000000" joinstyle="round"/>
                    <v:imagedata o:title=""/>
                    <o:lock v:ext="edit" aspectratio="f"/>
                  </v:shape>
                  <v:shape id="Freeform 1283" o:spid="_x0000_s1026" o:spt="100" style="position:absolute;left:4830;top:869;height:16;width:8;" fillcolor="#000000" filled="t" stroked="f" coordsize="8,16" o:gfxdata="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p2ervQAA&#10;ANwAAAAPAAAAAAAAAAEAIAAAACIAAABkcnMvZG93bnJldi54bWxQSwECFAAUAAAACACHTuJAMy8F&#10;njsAAAA5AAAAEAAAAAAAAAABACAAAAAMAQAAZHJzL3NoYXBleG1sLnhtbFBLBQYAAAAABgAGAFsB&#10;AAC2AwAAAAA=&#10;" path="m0,16l8,14,0,0,0,16xe">
                    <v:path o:connectlocs="0,16;8,14;0,0;0,16" o:connectangles="0,0,0,0"/>
                    <v:fill on="t" focussize="0,0"/>
                    <v:stroke on="f"/>
                    <v:imagedata o:title=""/>
                    <o:lock v:ext="edit" aspectratio="f"/>
                  </v:shape>
                  <v:shape id="Freeform 1284" o:spid="_x0000_s1026" o:spt="100" style="position:absolute;left:4830;top:869;height:16;width:8;" filled="f" stroked="t" coordsize="8,16" o:gfxdata="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Fn/d&#10;wAAAANwAAAAPAAAAAAAAAAEAIAAAACIAAABkcnMvZG93bnJldi54bWxQSwECFAAUAAAACACHTuJA&#10;My8FnjsAAAA5AAAAEAAAAAAAAAABACAAAAAPAQAAZHJzL3NoYXBleG1sLnhtbFBLBQYAAAAABgAG&#10;AFsBAAC5AwAAAAA=&#10;" path="m0,16l8,14,0,0,0,16xe">
                    <v:path o:connectlocs="0,16;8,14;0,0;0,16" o:connectangles="0,0,0,0"/>
                    <v:fill on="f" focussize="0,0"/>
                    <v:stroke weight="0.45pt" color="#000000" joinstyle="round"/>
                    <v:imagedata o:title=""/>
                    <o:lock v:ext="edit" aspectratio="f"/>
                  </v:shape>
                  <v:shape id="Freeform 1285" o:spid="_x0000_s1026" o:spt="100" style="position:absolute;left:4830;top:869;height:14;width:14;" fillcolor="#000000" filled="t" stroked="f" coordsize="14,14" o:gfxdata="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06Zm7sAAADc&#10;AAAADwAAAAAAAAABACAAAAAiAAAAZHJzL2Rvd25yZXYueG1sUEsBAhQAFAAAAAgAh07iQDMvBZ47&#10;AAAAOQAAABAAAAAAAAAAAQAgAAAACgEAAGRycy9zaGFwZXhtbC54bWxQSwUGAAAAAAYABgBbAQAA&#10;tAMAAAAA&#10;" path="m8,14l14,8,0,0,8,14xe">
                    <v:path o:connectlocs="8,14;14,8;0,0;8,14" o:connectangles="0,0,0,0"/>
                    <v:fill on="t" focussize="0,0"/>
                    <v:stroke on="f"/>
                    <v:imagedata o:title=""/>
                    <o:lock v:ext="edit" aspectratio="f"/>
                  </v:shape>
                  <v:shape id="Freeform 1286" o:spid="_x0000_s1026" o:spt="100" style="position:absolute;left:4830;top:869;height:14;width:14;" filled="f" stroked="t" coordsize="14,14" o:gfxdata="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egnK8AAAA&#10;3AAAAA8AAAAAAAAAAQAgAAAAIgAAAGRycy9kb3ducmV2LnhtbFBLAQIUABQAAAAIAIdO4kAzLwWe&#10;OwAAADkAAAAQAAAAAAAAAAEAIAAAAAsBAABkcnMvc2hhcGV4bWwueG1sUEsFBgAAAAAGAAYAWwEA&#10;ALUDAAAAAA==&#10;" path="m8,14l14,8,0,0,8,14xe">
                    <v:path o:connectlocs="8,14;14,8;0,0;8,14" o:connectangles="0,0,0,0"/>
                    <v:fill on="f" focussize="0,0"/>
                    <v:stroke weight="0.45pt" color="#000000" joinstyle="round"/>
                    <v:imagedata o:title=""/>
                    <o:lock v:ext="edit" aspectratio="f"/>
                  </v:shape>
                  <v:shape id="Freeform 1287" o:spid="_x0000_s1026" o:spt="100" style="position:absolute;left:4830;top:869;height:8;width:16;" fillcolor="#000000" filled="t" stroked="f" coordsize="16,8" o:gfxdata="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7jW7sAAADc&#10;AAAADwAAAAAAAAABACAAAAAiAAAAZHJzL2Rvd25yZXYueG1sUEsBAhQAFAAAAAgAh07iQDMvBZ47&#10;AAAAOQAAABAAAAAAAAAAAQAgAAAACgEAAGRycy9zaGFwZXhtbC54bWxQSwUGAAAAAAYABgBbAQAA&#10;tAMAAAAA&#10;" path="m14,8l16,0,0,0,14,8xe">
                    <v:path o:connectlocs="14,8;16,0;0,0;14,8" o:connectangles="0,0,0,0"/>
                    <v:fill on="t" focussize="0,0"/>
                    <v:stroke on="f"/>
                    <v:imagedata o:title=""/>
                    <o:lock v:ext="edit" aspectratio="f"/>
                  </v:shape>
                  <v:shape id="Freeform 1288" o:spid="_x0000_s1026" o:spt="100" style="position:absolute;left:4830;top:869;height:8;width:16;" filled="f" stroked="t" coordsize="16,8" o:gfxdata="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75oEL4A&#10;AADcAAAADwAAAAAAAAABACAAAAAiAAAAZHJzL2Rvd25yZXYueG1sUEsBAhQAFAAAAAgAh07iQDMv&#10;BZ47AAAAOQAAABAAAAAAAAAAAQAgAAAADQEAAGRycy9zaGFwZXhtbC54bWxQSwUGAAAAAAYABgBb&#10;AQAAtwMAAAAA&#10;" path="m14,8l16,0,0,0,14,8xe">
                    <v:path o:connectlocs="14,8;16,0;0,0;14,8" o:connectangles="0,0,0,0"/>
                    <v:fill on="f" focussize="0,0"/>
                    <v:stroke weight="0.45pt" color="#000000" joinstyle="round"/>
                    <v:imagedata o:title=""/>
                    <o:lock v:ext="edit" aspectratio="f"/>
                  </v:shape>
                  <v:shape id="Freeform 1289" o:spid="_x0000_s1026" o:spt="100" style="position:absolute;left:5101;top:855;height:4;width:16;" fillcolor="#000000" filled="t" stroked="f" coordsize="16,4" o:gfxdata="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cgM6/&#10;AAAA3AAAAA8AAAAAAAAAAQAgAAAAIgAAAGRycy9kb3ducmV2LnhtbFBLAQIUABQAAAAIAIdO4kAz&#10;LwWeOwAAADkAAAAQAAAAAAAAAAEAIAAAAA4BAABkcnMvc2hhcGV4bWwueG1sUEsFBgAAAAAGAAYA&#10;WwEAALgDAAAAAA==&#10;" path="m16,4l16,0,0,4,16,4xe">
                    <v:path o:connectlocs="16,4;16,0;0,4;16,4" o:connectangles="0,0,0,0"/>
                    <v:fill on="t" focussize="0,0"/>
                    <v:stroke on="f"/>
                    <v:imagedata o:title=""/>
                    <o:lock v:ext="edit" aspectratio="f"/>
                  </v:shape>
                  <v:shape id="Freeform 1290" o:spid="_x0000_s1026" o:spt="100" style="position:absolute;left:5101;top:855;height:4;width:16;" filled="f" stroked="t" coordsize="16,4" o:gfxdata="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M7VhvQAA&#10;ANwAAAAPAAAAAAAAAAEAIAAAACIAAABkcnMvZG93bnJldi54bWxQSwECFAAUAAAACACHTuJAMy8F&#10;njsAAAA5AAAAEAAAAAAAAAABACAAAAAMAQAAZHJzL3NoYXBleG1sLnhtbFBLBQYAAAAABgAGAFsB&#10;AAC2AwAAAAA=&#10;" path="m16,4l16,0,0,4,16,4xe">
                    <v:path o:connectlocs="16,4;16,0;0,4;16,4" o:connectangles="0,0,0,0"/>
                    <v:fill on="f" focussize="0,0"/>
                    <v:stroke weight="0.45pt" color="#000000" joinstyle="round"/>
                    <v:imagedata o:title=""/>
                    <o:lock v:ext="edit" aspectratio="f"/>
                  </v:shape>
                  <v:shape id="Freeform 1291" o:spid="_x0000_s1026" o:spt="100" style="position:absolute;left:5101;top:851;height:8;width:16;" fillcolor="#000000" filled="t" stroked="f" coordsize="16,8" o:gfxdata="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l5Vi/&#10;AAAA3AAAAA8AAAAAAAAAAQAgAAAAIgAAAGRycy9kb3ducmV2LnhtbFBLAQIUABQAAAAIAIdO4kAz&#10;LwWeOwAAADkAAAAQAAAAAAAAAAEAIAAAAA4BAABkcnMvc2hhcGV4bWwueG1sUEsFBgAAAAAGAAYA&#10;WwEAALgDAAAAAA==&#10;" path="m16,4l14,0,0,8,16,4xe">
                    <v:path o:connectlocs="16,4;14,0;0,8;16,4" o:connectangles="0,0,0,0"/>
                    <v:fill on="t" focussize="0,0"/>
                    <v:stroke on="f"/>
                    <v:imagedata o:title=""/>
                    <o:lock v:ext="edit" aspectratio="f"/>
                  </v:shape>
                  <v:shape id="Freeform 1292" o:spid="_x0000_s1026" o:spt="100" style="position:absolute;left:5101;top:851;height:8;width:16;" filled="f" stroked="t" coordsize="16,8" o:gfxdata="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VuE74A&#10;AADcAAAADwAAAAAAAAABACAAAAAiAAAAZHJzL2Rvd25yZXYueG1sUEsBAhQAFAAAAAgAh07iQDMv&#10;BZ47AAAAOQAAABAAAAAAAAAAAQAgAAAADQEAAGRycy9zaGFwZXhtbC54bWxQSwUGAAAAAAYABgBb&#10;AQAAtwMAAAAA&#10;" path="m16,4l14,0,0,8,16,4xe">
                    <v:path o:connectlocs="16,4;14,0;0,8;16,4" o:connectangles="0,0,0,0"/>
                    <v:fill on="f" focussize="0,0"/>
                    <v:stroke weight="0.45pt" color="#000000" joinstyle="round"/>
                    <v:imagedata o:title=""/>
                    <o:lock v:ext="edit" aspectratio="f"/>
                  </v:shape>
                  <v:shape id="Freeform 1293" o:spid="_x0000_s1026" o:spt="100" style="position:absolute;left:5101;top:847;height:12;width:14;" fillcolor="#000000" filled="t" stroked="f" coordsize="14,12" o:gfxdata="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9MN8L4A&#10;AADcAAAADwAAAAAAAAABACAAAAAiAAAAZHJzL2Rvd25yZXYueG1sUEsBAhQAFAAAAAgAh07iQDMv&#10;BZ47AAAAOQAAABAAAAAAAAAAAQAgAAAADQEAAGRycy9zaGFwZXhtbC54bWxQSwUGAAAAAAYABgBb&#10;AQAAtwMAAAAA&#10;" path="m14,4l12,0,0,12,14,4xe">
                    <v:path o:connectlocs="14,4;12,0;0,12;14,4" o:connectangles="0,0,0,0"/>
                    <v:fill on="t" focussize="0,0"/>
                    <v:stroke on="f"/>
                    <v:imagedata o:title=""/>
                    <o:lock v:ext="edit" aspectratio="f"/>
                  </v:shape>
                  <v:shape id="Freeform 1294" o:spid="_x0000_s1026" o:spt="100" style="position:absolute;left:5101;top:847;height:12;width:14;" filled="f" stroked="t" coordsize="14,12" o:gfxdata="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7TSlvQAA&#10;ANwAAAAPAAAAAAAAAAEAIAAAACIAAABkcnMvZG93bnJldi54bWxQSwECFAAUAAAACACHTuJAMy8F&#10;njsAAAA5AAAAEAAAAAAAAAABACAAAAAMAQAAZHJzL3NoYXBleG1sLnhtbFBLBQYAAAAABgAGAFsB&#10;AAC2AwAAAAA=&#10;" path="m14,4l12,0,0,12,14,4xe">
                    <v:path o:connectlocs="14,4;12,0;0,12;14,4" o:connectangles="0,0,0,0"/>
                    <v:fill on="f" focussize="0,0"/>
                    <v:stroke weight="0.45pt" color="#000000" joinstyle="round"/>
                    <v:imagedata o:title=""/>
                    <o:lock v:ext="edit" aspectratio="f"/>
                  </v:shape>
                  <v:shape id="Freeform 1295" o:spid="_x0000_s1026" o:spt="100" style="position:absolute;left:5101;top:845;height:14;width:12;" fillcolor="#000000" filled="t" stroked="f" coordsize="12,14" o:gfxdata="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dG6Oe2AAAA3AAAAA8A&#10;AAAAAAAAAQAgAAAAIgAAAGRycy9kb3ducmV2LnhtbFBLAQIUABQAAAAIAIdO4kAzLwWeOwAAADkA&#10;AAAQAAAAAAAAAAEAIAAAAAUBAABkcnMvc2hhcGV4bWwueG1sUEsFBgAAAAAGAAYAWwEAAK8DAAAA&#10;AA==&#10;" path="m12,2l8,0,0,14,12,2xe">
                    <v:path o:connectlocs="12,2;8,0;0,14;12,2" o:connectangles="0,0,0,0"/>
                    <v:fill on="t" focussize="0,0"/>
                    <v:stroke on="f"/>
                    <v:imagedata o:title=""/>
                    <o:lock v:ext="edit" aspectratio="f"/>
                  </v:shape>
                  <v:shape id="Freeform 1296" o:spid="_x0000_s1026" o:spt="100" style="position:absolute;left:5101;top:845;height:14;width:12;" filled="f" stroked="t" coordsize="12,14" o:gfxdata="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OkGvvQAA&#10;ANwAAAAPAAAAAAAAAAEAIAAAACIAAABkcnMvZG93bnJldi54bWxQSwECFAAUAAAACACHTuJAMy8F&#10;njsAAAA5AAAAEAAAAAAAAAABACAAAAAMAQAAZHJzL3NoYXBleG1sLnhtbFBLBQYAAAAABgAGAFsB&#10;AAC2AwAAAAA=&#10;" path="m12,2l8,0,0,14,12,2xe">
                    <v:path o:connectlocs="12,2;8,0;0,14;12,2" o:connectangles="0,0,0,0"/>
                    <v:fill on="f" focussize="0,0"/>
                    <v:stroke weight="0.45pt" color="#000000" joinstyle="round"/>
                    <v:imagedata o:title=""/>
                    <o:lock v:ext="edit" aspectratio="f"/>
                  </v:shape>
                  <v:shape id="Freeform 1297" o:spid="_x0000_s1026" o:spt="100" style="position:absolute;left:5101;top:843;height:16;width:8;" fillcolor="#000000" filled="t" stroked="f" coordsize="8,16" o:gfxdata="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Dry+ugAAANwA&#10;AAAPAAAAAAAAAAEAIAAAACIAAABkcnMvZG93bnJldi54bWxQSwECFAAUAAAACACHTuJAMy8FnjsA&#10;AAA5AAAAEAAAAAAAAAABACAAAAAJAQAAZHJzL3NoYXBleG1sLnhtbFBLBQYAAAAABgAGAFsBAACz&#10;AwAAAAA=&#10;" path="m8,2l4,0,0,16,8,2xe">
                    <v:path o:connectlocs="8,2;4,0;0,16;8,2" o:connectangles="0,0,0,0"/>
                    <v:fill on="t" focussize="0,0"/>
                    <v:stroke on="f"/>
                    <v:imagedata o:title=""/>
                    <o:lock v:ext="edit" aspectratio="f"/>
                  </v:shape>
                  <v:shape id="Freeform 1298" o:spid="_x0000_s1026" o:spt="100" style="position:absolute;left:5101;top:843;height:16;width:8;" filled="f" stroked="t" coordsize="8,16" o:gfxdata="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v6TI&#10;wAAAANwAAAAPAAAAAAAAAAEAIAAAACIAAABkcnMvZG93bnJldi54bWxQSwECFAAUAAAACACHTuJA&#10;My8FnjsAAAA5AAAAEAAAAAAAAAABACAAAAAPAQAAZHJzL3NoYXBleG1sLnhtbFBLBQYAAAAABgAG&#10;AFsBAAC5AwAAAAA=&#10;" path="m8,2l4,0,0,16,8,2xe">
                    <v:path o:connectlocs="8,2;4,0;0,16;8,2" o:connectangles="0,0,0,0"/>
                    <v:fill on="f" focussize="0,0"/>
                    <v:stroke weight="0.45pt" color="#000000" joinstyle="round"/>
                    <v:imagedata o:title=""/>
                    <o:lock v:ext="edit" aspectratio="f"/>
                  </v:shape>
                  <v:shape id="Freeform 1299" o:spid="_x0000_s1026" o:spt="100" style="position:absolute;left:5101;top:843;height:16;width:4;" fillcolor="#000000" filled="t" stroked="f" coordsize="4,16" o:gfxdata="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Aql&#10;mMEAAADcAAAADwAAAAAAAAABACAAAAAiAAAAZHJzL2Rvd25yZXYueG1sUEsBAhQAFAAAAAgAh07i&#10;QDMvBZ47AAAAOQAAABAAAAAAAAAAAQAgAAAAEAEAAGRycy9zaGFwZXhtbC54bWxQSwUGAAAAAAYA&#10;BgBbAQAAugMAAAAA&#10;" path="m4,0l0,0,0,16,4,0xe">
                    <v:path o:connectlocs="4,0;0,0;0,16;4,0" o:connectangles="0,0,0,0"/>
                    <v:fill on="t" focussize="0,0"/>
                    <v:stroke on="f"/>
                    <v:imagedata o:title=""/>
                    <o:lock v:ext="edit" aspectratio="f"/>
                  </v:shape>
                  <v:shape id="Freeform 1300" o:spid="_x0000_s1026" o:spt="100" style="position:absolute;left:5101;top:843;height:16;width:4;" filled="f" stroked="t" coordsize="4,16" o:gfxdata="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q1gO8AAAA&#10;3AAAAA8AAAAAAAAAAQAgAAAAIgAAAGRycy9kb3ducmV2LnhtbFBLAQIUABQAAAAIAIdO4kAzLwWe&#10;OwAAADkAAAAQAAAAAAAAAAEAIAAAAAsBAABkcnMvc2hhcGV4bWwueG1sUEsFBgAAAAAGAAYAWwEA&#10;ALUDAAAAAA==&#10;" path="m4,0l0,0,0,16,4,0xe">
                    <v:path o:connectlocs="4,0;0,0;0,16;4,0" o:connectangles="0,0,0,0"/>
                    <v:fill on="f" focussize="0,0"/>
                    <v:stroke weight="0.45pt" color="#000000" joinstyle="round"/>
                    <v:imagedata o:title=""/>
                    <o:lock v:ext="edit" aspectratio="f"/>
                  </v:shape>
                  <v:shape id="Freeform 1301" o:spid="_x0000_s1026" o:spt="100" style="position:absolute;left:5097;top:843;height:16;width:4;" fillcolor="#000000" filled="t" stroked="f" coordsize="4,16" o:gfxdata="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K+Y&#10;d8EAAADcAAAADwAAAAAAAAABACAAAAAiAAAAZHJzL2Rvd25yZXYueG1sUEsBAhQAFAAAAAgAh07i&#10;QDMvBZ47AAAAOQAAABAAAAAAAAAAAQAgAAAAEAEAAGRycy9zaGFwZXhtbC54bWxQSwUGAAAAAAYA&#10;BgBbAQAAugMAAAAA&#10;" path="m4,0l0,0,4,16,4,0xe">
                    <v:path o:connectlocs="4,0;0,0;4,16;4,0" o:connectangles="0,0,0,0"/>
                    <v:fill on="t" focussize="0,0"/>
                    <v:stroke on="f"/>
                    <v:imagedata o:title=""/>
                    <o:lock v:ext="edit" aspectratio="f"/>
                  </v:shape>
                  <v:shape id="Freeform 1302" o:spid="_x0000_s1026" o:spt="100" style="position:absolute;left:5097;top:843;height:16;width:4;" filled="f" stroked="t" coordsize="4,16" o:gfxdata="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r7L4A&#10;AADcAAAADwAAAAAAAAABACAAAAAiAAAAZHJzL2Rvd25yZXYueG1sUEsBAhQAFAAAAAgAh07iQDMv&#10;BZ47AAAAOQAAABAAAAAAAAAAAQAgAAAADQEAAGRycy9zaGFwZXhtbC54bWxQSwUGAAAAAAYABgBb&#10;AQAAtwMAAAAA&#10;" path="m4,0l0,0,4,16,4,0xe">
                    <v:path o:connectlocs="4,0;0,0;4,16;4,0" o:connectangles="0,0,0,0"/>
                    <v:fill on="f" focussize="0,0"/>
                    <v:stroke weight="0.45pt" color="#000000" joinstyle="round"/>
                    <v:imagedata o:title=""/>
                    <o:lock v:ext="edit" aspectratio="f"/>
                  </v:shape>
                  <v:shape id="Freeform 1303" o:spid="_x0000_s1026" o:spt="100" style="position:absolute;left:5093;top:843;height:16;width:8;" fillcolor="#000000" filled="t" stroked="f" coordsize="8,16" o:gfxdata="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q4FRvQAA&#10;ANwAAAAPAAAAAAAAAAEAIAAAACIAAABkcnMvZG93bnJldi54bWxQSwECFAAUAAAACACHTuJAMy8F&#10;njsAAAA5AAAAEAAAAAAAAAABACAAAAAMAQAAZHJzL3NoYXBleG1sLnhtbFBLBQYAAAAABgAGAFsB&#10;AAC2AwAAAAA=&#10;" path="m4,0l0,2,8,16,4,0xe">
                    <v:path o:connectlocs="4,0;0,2;8,16;4,0" o:connectangles="0,0,0,0"/>
                    <v:fill on="t" focussize="0,0"/>
                    <v:stroke on="f"/>
                    <v:imagedata o:title=""/>
                    <o:lock v:ext="edit" aspectratio="f"/>
                  </v:shape>
                  <v:shape id="Freeform 1304" o:spid="_x0000_s1026" o:spt="100" style="position:absolute;left:5093;top:843;height:16;width:8;" filled="f" stroked="t" coordsize="8,16" o:gfxdata="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Gpkn&#10;wAAAANwAAAAPAAAAAAAAAAEAIAAAACIAAABkcnMvZG93bnJldi54bWxQSwECFAAUAAAACACHTuJA&#10;My8FnjsAAAA5AAAAEAAAAAAAAAABACAAAAAPAQAAZHJzL3NoYXBleG1sLnhtbFBLBQYAAAAABgAG&#10;AFsBAAC5AwAAAAA=&#10;" path="m4,0l0,2,8,16,4,0xe">
                    <v:path o:connectlocs="4,0;0,2;8,16;4,0" o:connectangles="0,0,0,0"/>
                    <v:fill on="f" focussize="0,0"/>
                    <v:stroke weight="0.45pt" color="#000000" joinstyle="round"/>
                    <v:imagedata o:title=""/>
                    <o:lock v:ext="edit" aspectratio="f"/>
                  </v:shape>
                  <v:shape id="Freeform 1305" o:spid="_x0000_s1026" o:spt="100" style="position:absolute;left:5089;top:845;height:14;width:12;" fillcolor="#000000" filled="t" stroked="f" coordsize="12,14" o:gfxdata="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ffjq5AAAA3AAA&#10;AA8AAAAAAAAAAQAgAAAAIgAAAGRycy9kb3ducmV2LnhtbFBLAQIUABQAAAAIAIdO4kAzLwWeOwAA&#10;ADkAAAAQAAAAAAAAAAEAIAAAAAgBAABkcnMvc2hhcGV4bWwueG1sUEsFBgAAAAAGAAYAWwEAALID&#10;AAAAAA==&#10;" path="m4,0l0,2,12,14,4,0xe">
                    <v:path o:connectlocs="4,0;0,2;12,14;4,0" o:connectangles="0,0,0,0"/>
                    <v:fill on="t" focussize="0,0"/>
                    <v:stroke on="f"/>
                    <v:imagedata o:title=""/>
                    <o:lock v:ext="edit" aspectratio="f"/>
                  </v:shape>
                  <v:shape id="Freeform 1306" o:spid="_x0000_s1026" o:spt="100" style="position:absolute;left:5089;top:845;height:14;width:12;" filled="f" stroked="t" coordsize="12,14" o:gfxdata="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49dyvQAA&#10;ANwAAAAPAAAAAAAAAAEAIAAAACIAAABkcnMvZG93bnJldi54bWxQSwECFAAUAAAACACHTuJAMy8F&#10;njsAAAA5AAAAEAAAAAAAAAABACAAAAAMAQAAZHJzL3NoYXBleG1sLnhtbFBLBQYAAAAABgAGAFsB&#10;AAC2AwAAAAA=&#10;" path="m4,0l0,2,12,14,4,0xe">
                    <v:path o:connectlocs="4,0;0,2;12,14;4,0" o:connectangles="0,0,0,0"/>
                    <v:fill on="f" focussize="0,0"/>
                    <v:stroke weight="0.45pt" color="#000000" joinstyle="round"/>
                    <v:imagedata o:title=""/>
                    <o:lock v:ext="edit" aspectratio="f"/>
                  </v:shape>
                  <v:shape id="Freeform 1307" o:spid="_x0000_s1026" o:spt="100" style="position:absolute;left:5087;top:847;height:12;width:14;" fillcolor="#000000" filled="t" stroked="f" coordsize="14,12" o:gfxdata="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Q82LsAAADc&#10;AAAADwAAAAAAAAABACAAAAAiAAAAZHJzL2Rvd25yZXYueG1sUEsBAhQAFAAAAAgAh07iQDMvBZ47&#10;AAAAOQAAABAAAAAAAAAAAQAgAAAACgEAAGRycy9zaGFwZXhtbC54bWxQSwUGAAAAAAYABgBbAQAA&#10;tAMAAAAA&#10;" path="m2,0l0,4,14,12,2,0xe">
                    <v:path o:connectlocs="2,0;0,4;14,12;2,0" o:connectangles="0,0,0,0"/>
                    <v:fill on="t" focussize="0,0"/>
                    <v:stroke on="f"/>
                    <v:imagedata o:title=""/>
                    <o:lock v:ext="edit" aspectratio="f"/>
                  </v:shape>
                  <v:shape id="Freeform 1308" o:spid="_x0000_s1026" o:spt="100" style="position:absolute;left:5087;top:847;height:12;width:14;" filled="f" stroked="t" coordsize="14,12" o:gfxdata="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oFjb4A&#10;AADcAAAADwAAAAAAAAABACAAAAAiAAAAZHJzL2Rvd25yZXYueG1sUEsBAhQAFAAAAAgAh07iQDMv&#10;BZ47AAAAOQAAABAAAAAAAAAAAQAgAAAADQEAAGRycy9zaGFwZXhtbC54bWxQSwUGAAAAAAYABgBb&#10;AQAAtwMAAAAA&#10;" path="m2,0l0,4,14,12,2,0xe">
                    <v:path o:connectlocs="2,0;0,4;14,12;2,0" o:connectangles="0,0,0,0"/>
                    <v:fill on="f" focussize="0,0"/>
                    <v:stroke weight="0.45pt" color="#000000" joinstyle="round"/>
                    <v:imagedata o:title=""/>
                    <o:lock v:ext="edit" aspectratio="f"/>
                  </v:shape>
                  <v:shape id="Freeform 1309" o:spid="_x0000_s1026" o:spt="100" style="position:absolute;left:5085;top:851;height:8;width:16;" fillcolor="#000000" filled="t" stroked="f" coordsize="16,8" o:gfxdata="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UcL4A&#10;AADcAAAADwAAAAAAAAABACAAAAAiAAAAZHJzL2Rvd25yZXYueG1sUEsBAhQAFAAAAAgAh07iQDMv&#10;BZ47AAAAOQAAABAAAAAAAAAAAQAgAAAADQEAAGRycy9zaGFwZXhtbC54bWxQSwUGAAAAAAYABgBb&#10;AQAAtwMAAAAA&#10;" path="m2,0l0,4,16,8,2,0xe">
                    <v:path o:connectlocs="2,0;0,4;16,8;2,0" o:connectangles="0,0,0,0"/>
                    <v:fill on="t" focussize="0,0"/>
                    <v:stroke on="f"/>
                    <v:imagedata o:title=""/>
                    <o:lock v:ext="edit" aspectratio="f"/>
                  </v:shape>
                  <v:shape id="Freeform 1310" o:spid="_x0000_s1026" o:spt="100" style="position:absolute;left:5085;top:851;height:8;width:16;" filled="f" stroked="t" coordsize="16,8" o:gfxdata="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El87vQAA&#10;ANwAAAAPAAAAAAAAAAEAIAAAACIAAABkcnMvZG93bnJldi54bWxQSwECFAAUAAAACACHTuJAMy8F&#10;njsAAAA5AAAAEAAAAAAAAAABACAAAAAMAQAAZHJzL3NoYXBleG1sLnhtbFBLBQYAAAAABgAGAFsB&#10;AAC2AwAAAAA=&#10;" path="m2,0l0,4,16,8,2,0xe">
                    <v:path o:connectlocs="2,0;0,4;16,8;2,0" o:connectangles="0,0,0,0"/>
                    <v:fill on="f" focussize="0,0"/>
                    <v:stroke weight="0.45pt" color="#000000" joinstyle="round"/>
                    <v:imagedata o:title=""/>
                    <o:lock v:ext="edit" aspectratio="f"/>
                  </v:shape>
                  <v:shape id="Freeform 1311" o:spid="_x0000_s1026" o:spt="100" style="position:absolute;left:5085;top:855;height:4;width:16;" fillcolor="#000000" filled="t" stroked="f" coordsize="16,4" o:gfxdata="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Lsea/&#10;AAAA3AAAAA8AAAAAAAAAAQAgAAAAIgAAAGRycy9kb3ducmV2LnhtbFBLAQIUABQAAAAIAIdO4kAz&#10;LwWeOwAAADkAAAAQAAAAAAAAAAEAIAAAAA4BAABkcnMvc2hhcGV4bWwueG1sUEsFBgAAAAAGAAYA&#10;WwEAALgDAAAAAA==&#10;" path="m0,0l0,4,16,4,0,0xe">
                    <v:path o:connectlocs="0,0;0,4;16,4;0,0" o:connectangles="0,0,0,0"/>
                    <v:fill on="t" focussize="0,0"/>
                    <v:stroke on="f"/>
                    <v:imagedata o:title=""/>
                    <o:lock v:ext="edit" aspectratio="f"/>
                  </v:shape>
                  <v:shape id="Freeform 1312" o:spid="_x0000_s1026" o:spt="100" style="position:absolute;left:5085;top:855;height:4;width:16;" filled="f" stroked="t" coordsize="16,4" o:gfxdata="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SESb4A&#10;AADcAAAADwAAAAAAAAABACAAAAAiAAAAZHJzL2Rvd25yZXYueG1sUEsBAhQAFAAAAAgAh07iQDMv&#10;BZ47AAAAOQAAABAAAAAAAAAAAQAgAAAADQEAAGRycy9zaGFwZXhtbC54bWxQSwUGAAAAAAYABgBb&#10;AQAAtwMAAAAA&#10;" path="m0,0l0,4,16,4,0,0xe">
                    <v:path o:connectlocs="0,0;0,4;16,4;0,0" o:connectangles="0,0,0,0"/>
                    <v:fill on="f" focussize="0,0"/>
                    <v:stroke weight="0.45pt" color="#000000" joinstyle="round"/>
                    <v:imagedata o:title=""/>
                    <o:lock v:ext="edit" aspectratio="f"/>
                  </v:shape>
                  <v:shape id="Freeform 1313" o:spid="_x0000_s1026" o:spt="100" style="position:absolute;left:5085;top:859;height:4;width:16;" fillcolor="#000000" filled="t" stroked="f" coordsize="16,4" o:gfxdata="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1YoK&#10;wAAAANwAAAAPAAAAAAAAAAEAIAAAACIAAABkcnMvZG93bnJldi54bWxQSwECFAAUAAAACACHTuJA&#10;My8FnjsAAAA5AAAAEAAAAAAAAAABACAAAAAPAQAAZHJzL3NoYXBleG1sLnhtbFBLBQYAAAAABgAG&#10;AFsBAAC5AwAAAAA=&#10;" path="m0,0l0,4,16,0,0,0xe">
                    <v:path o:connectlocs="0,0;0,4;16,0;0,0" o:connectangles="0,0,0,0"/>
                    <v:fill on="t" focussize="0,0"/>
                    <v:stroke on="f"/>
                    <v:imagedata o:title=""/>
                    <o:lock v:ext="edit" aspectratio="f"/>
                  </v:shape>
                  <v:shape id="Freeform 1314" o:spid="_x0000_s1026" o:spt="100" style="position:absolute;left:5085;top:859;height:4;width:16;" filled="f" stroked="t" coordsize="16,4" o:gfxdata="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6v6W8AAAA&#10;3AAAAA8AAAAAAAAAAQAgAAAAIgAAAGRycy9kb3ducmV2LnhtbFBLAQIUABQAAAAIAIdO4kAzLwWe&#10;OwAAADkAAAAQAAAAAAAAAAEAIAAAAAsBAABkcnMvc2hhcGV4bWwueG1sUEsFBgAAAAAGAAYAWwEA&#10;ALUDAAAAAA==&#10;" path="m0,0l0,4,16,0,0,0xe">
                    <v:path o:connectlocs="0,0;0,4;16,0;0,0" o:connectangles="0,0,0,0"/>
                    <v:fill on="f" focussize="0,0"/>
                    <v:stroke weight="0.45pt" color="#000000" joinstyle="round"/>
                    <v:imagedata o:title=""/>
                    <o:lock v:ext="edit" aspectratio="f"/>
                  </v:shape>
                  <v:shape id="Freeform 1315" o:spid="_x0000_s1026" o:spt="100" style="position:absolute;left:5085;top:859;height:8;width:16;" fillcolor="#000000" filled="t" stroked="f" coordsize="16,8" o:gfxdata="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drjmrsAAADc&#10;AAAADwAAAAAAAAABACAAAAAiAAAAZHJzL2Rvd25yZXYueG1sUEsBAhQAFAAAAAgAh07iQDMvBZ47&#10;AAAAOQAAABAAAAAAAAAAAQAgAAAACgEAAGRycy9zaGFwZXhtbC54bWxQSwUGAAAAAAYABgBbAQAA&#10;tAMAAAAA&#10;" path="m0,4l2,8,16,0,0,4xe">
                    <v:path o:connectlocs="0,4;2,8;16,0;0,4" o:connectangles="0,0,0,0"/>
                    <v:fill on="t" focussize="0,0"/>
                    <v:stroke on="f"/>
                    <v:imagedata o:title=""/>
                    <o:lock v:ext="edit" aspectratio="f"/>
                  </v:shape>
                  <v:shape id="Freeform 1316" o:spid="_x0000_s1026" o:spt="100" style="position:absolute;left:5085;top:859;height:8;width:16;" filled="f" stroked="t" coordsize="16,8" o:gfxdata="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mjRvQAA&#10;ANwAAAAPAAAAAAAAAAEAIAAAACIAAABkcnMvZG93bnJldi54bWxQSwECFAAUAAAACACHTuJAMy8F&#10;njsAAAA5AAAAEAAAAAAAAAABACAAAAAMAQAAZHJzL3NoYXBleG1sLnhtbFBLBQYAAAAABgAGAFsB&#10;AAC2AwAAAAA=&#10;" path="m0,4l2,8,16,0,0,4xe">
                    <v:path o:connectlocs="0,4;2,8;16,0;0,4" o:connectangles="0,0,0,0"/>
                    <v:fill on="f" focussize="0,0"/>
                    <v:stroke weight="0.45pt" color="#000000" joinstyle="round"/>
                    <v:imagedata o:title=""/>
                    <o:lock v:ext="edit" aspectratio="f"/>
                  </v:shape>
                  <v:shape id="Freeform 1317" o:spid="_x0000_s1026" o:spt="100" style="position:absolute;left:5087;top:859;height:11;width:14;" fillcolor="#000000" filled="t" stroked="f" coordsize="14,11" o:gfxdata="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iMJuugAAANwA&#10;AAAPAAAAAAAAAAEAIAAAACIAAABkcnMvZG93bnJldi54bWxQSwECFAAUAAAACACHTuJAMy8FnjsA&#10;AAA5AAAAEAAAAAAAAAABACAAAAAJAQAAZHJzL3NoYXBleG1sLnhtbFBLBQYAAAAABgAGAFsBAACz&#10;AwAAAAA=&#10;" path="m0,8l2,11,14,0,0,8xe">
                    <v:path o:connectlocs="0,8;2,11;14,0;0,8" o:connectangles="0,0,0,0"/>
                    <v:fill on="t" focussize="0,0"/>
                    <v:stroke on="f"/>
                    <v:imagedata o:title=""/>
                    <o:lock v:ext="edit" aspectratio="f"/>
                  </v:shape>
                  <v:shape id="Freeform 1318" o:spid="_x0000_s1026" o:spt="100" style="position:absolute;left:5087;top:859;height:11;width:14;" filled="f" stroked="t" coordsize="14,11" o:gfxdata="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Knsq/&#10;AAAA3AAAAA8AAAAAAAAAAQAgAAAAIgAAAGRycy9kb3ducmV2LnhtbFBLAQIUABQAAAAIAIdO4kAz&#10;LwWeOwAAADkAAAAQAAAAAAAAAAEAIAAAAA4BAABkcnMvc2hhcGV4bWwueG1sUEsFBgAAAAAGAAYA&#10;WwEAALgDAAAAAA==&#10;" path="m0,8l2,11,14,0,0,8xe">
                    <v:path o:connectlocs="0,8;2,11;14,0;0,8" o:connectangles="0,0,0,0"/>
                    <v:fill on="f" focussize="0,0"/>
                    <v:stroke weight="0.45pt" color="#000000" joinstyle="round"/>
                    <v:imagedata o:title=""/>
                    <o:lock v:ext="edit" aspectratio="f"/>
                  </v:shape>
                  <v:shape id="Freeform 1319" o:spid="_x0000_s1026" o:spt="100" style="position:absolute;left:5089;top:859;height:14;width:12;" fillcolor="#000000" filled="t" stroked="f" coordsize="12,14" o:gfxdata="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VFF7sAAADc&#10;AAAADwAAAAAAAAABACAAAAAiAAAAZHJzL2Rvd25yZXYueG1sUEsBAhQAFAAAAAgAh07iQDMvBZ47&#10;AAAAOQAAABAAAAAAAAAAAQAgAAAACgEAAGRycy9zaGFwZXhtbC54bWxQSwUGAAAAAAYABgBbAQAA&#10;tAMAAAAA&#10;" path="m0,11l4,14,12,0,0,11xe">
                    <v:path o:connectlocs="0,11;4,14;12,0;0,11" o:connectangles="0,0,0,0"/>
                    <v:fill on="t" focussize="0,0"/>
                    <v:stroke on="f"/>
                    <v:imagedata o:title=""/>
                    <o:lock v:ext="edit" aspectratio="f"/>
                  </v:shape>
                  <v:shape id="Freeform 1320" o:spid="_x0000_s1026" o:spt="100" style="position:absolute;left:5089;top:859;height:14;width:12;" filled="f" stroked="t" coordsize="12,14" o:gfxdata="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nsX74A&#10;AADcAAAADwAAAAAAAAABACAAAAAiAAAAZHJzL2Rvd25yZXYueG1sUEsBAhQAFAAAAAgAh07iQDMv&#10;BZ47AAAAOQAAABAAAAAAAAAAAQAgAAAADQEAAGRycy9zaGFwZXhtbC54bWxQSwUGAAAAAAYABgBb&#10;AQAAtwMAAAAA&#10;" path="m0,11l4,14,12,0,0,11xe">
                    <v:path o:connectlocs="0,11;4,14;12,0;0,11" o:connectangles="0,0,0,0"/>
                    <v:fill on="f" focussize="0,0"/>
                    <v:stroke weight="0.45pt" color="#000000" joinstyle="round"/>
                    <v:imagedata o:title=""/>
                    <o:lock v:ext="edit" aspectratio="f"/>
                  </v:shape>
                  <v:shape id="Freeform 1321" o:spid="_x0000_s1026" o:spt="100" style="position:absolute;left:5093;top:859;height:16;width:8;" fillcolor="#000000" filled="t" stroked="f" coordsize="8,16" o:gfxdata="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ge2er4A&#10;AADcAAAADwAAAAAAAAABACAAAAAiAAAAZHJzL2Rvd25yZXYueG1sUEsBAhQAFAAAAAgAh07iQDMv&#10;BZ47AAAAOQAAABAAAAAAAAAAAQAgAAAADQEAAGRycy9zaGFwZXhtbC54bWxQSwUGAAAAAAYABgBb&#10;AQAAtwMAAAAA&#10;" path="m0,14l4,16,8,0,0,14xe">
                    <v:path o:connectlocs="0,14;4,16;8,0;0,14" o:connectangles="0,0,0,0"/>
                    <v:fill on="t" focussize="0,0"/>
                    <v:stroke on="f"/>
                    <v:imagedata o:title=""/>
                    <o:lock v:ext="edit" aspectratio="f"/>
                  </v:shape>
                  <v:shape id="Freeform 1322" o:spid="_x0000_s1026" o:spt="100" style="position:absolute;left:5093;top:859;height:16;width:8;" filled="f" stroked="t" coordsize="8,16" o:gfxdata="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tq4M&#10;wAAAANwAAAAPAAAAAAAAAAEAIAAAACIAAABkcnMvZG93bnJldi54bWxQSwECFAAUAAAACACHTuJA&#10;My8FnjsAAAA5AAAAEAAAAAAAAAABACAAAAAPAQAAZHJzL3NoYXBleG1sLnhtbFBLBQYAAAAABgAG&#10;AFsBAAC5AwAAAAA=&#10;" path="m0,14l4,16,8,0,0,14xe">
                    <v:path o:connectlocs="0,14;4,16;8,0;0,14" o:connectangles="0,0,0,0"/>
                    <v:fill on="f" focussize="0,0"/>
                    <v:stroke weight="0.45pt" color="#000000" joinstyle="round"/>
                    <v:imagedata o:title=""/>
                    <o:lock v:ext="edit" aspectratio="f"/>
                  </v:shape>
                  <v:shape id="Freeform 1323" o:spid="_x0000_s1026" o:spt="100" style="position:absolute;left:5097;top:859;height:16;width:4;" fillcolor="#000000" filled="t" stroked="f" coordsize="4,16" o:gfxdata="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A69c&#10;wAAAANwAAAAPAAAAAAAAAAEAIAAAACIAAABkcnMvZG93bnJldi54bWxQSwECFAAUAAAACACHTuJA&#10;My8FnjsAAAA5AAAAEAAAAAAAAAABACAAAAAPAQAAZHJzL3NoYXBleG1sLnhtbFBLBQYAAAAABgAG&#10;AFsBAAC5AwAAAAA=&#10;" path="m0,16l4,16,4,0,0,16xe">
                    <v:path o:connectlocs="0,16;4,16;4,0;0,16" o:connectangles="0,0,0,0"/>
                    <v:fill on="t" focussize="0,0"/>
                    <v:stroke on="f"/>
                    <v:imagedata o:title=""/>
                    <o:lock v:ext="edit" aspectratio="f"/>
                  </v:shape>
                  <v:shape id="Freeform 1324" o:spid="_x0000_s1026" o:spt="100" style="position:absolute;left:5097;top:859;height:16;width:4;" filled="f" stroked="t" coordsize="4,16" o:gfxdata="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Y9zHvQAA&#10;ANwAAAAPAAAAAAAAAAEAIAAAACIAAABkcnMvZG93bnJldi54bWxQSwECFAAUAAAACACHTuJAMy8F&#10;njsAAAA5AAAAEAAAAAAAAAABACAAAAAMAQAAZHJzL3NoYXBleG1sLnhtbFBLBQYAAAAABgAGAFsB&#10;AAC2AwAAAAA=&#10;" path="m0,16l4,16,4,0,0,16xe">
                    <v:path o:connectlocs="0,16;4,16;4,0;0,16" o:connectangles="0,0,0,0"/>
                    <v:fill on="f" focussize="0,0"/>
                    <v:stroke weight="0.45pt" color="#000000" joinstyle="round"/>
                    <v:imagedata o:title=""/>
                    <o:lock v:ext="edit" aspectratio="f"/>
                  </v:shape>
                  <v:shape id="Freeform 1325" o:spid="_x0000_s1026" o:spt="100" style="position:absolute;left:5101;top:859;height:16;width:4;" fillcolor="#000000" filled="t" stroked="f" coordsize="4,16" o:gfxdata="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tCe&#10;tcEAAADcAAAADwAAAAAAAAABACAAAAAiAAAAZHJzL2Rvd25yZXYueG1sUEsBAhQAFAAAAAgAh07i&#10;QDMvBZ47AAAAOQAAABAAAAAAAAAAAQAgAAAAEAEAAGRycy9zaGFwZXhtbC54bWxQSwUGAAAAAAYA&#10;BgBbAQAAugMAAAAA&#10;" path="m0,16l4,16,0,0,0,16xe">
                    <v:path o:connectlocs="0,16;4,16;0,0;0,16" o:connectangles="0,0,0,0"/>
                    <v:fill on="t" focussize="0,0"/>
                    <v:stroke on="f"/>
                    <v:imagedata o:title=""/>
                    <o:lock v:ext="edit" aspectratio="f"/>
                  </v:shape>
                  <v:shape id="Freeform 1326" o:spid="_x0000_s1026" o:spt="100" style="position:absolute;left:5101;top:859;height:16;width:4;" filled="f" stroked="t" coordsize="4,16" o:gfxdata="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DtLr4A&#10;AADcAAAADwAAAAAAAAABACAAAAAiAAAAZHJzL2Rvd25yZXYueG1sUEsBAhQAFAAAAAgAh07iQDMv&#10;BZ47AAAAOQAAABAAAAAAAAAAAQAgAAAADQEAAGRycy9zaGFwZXhtbC54bWxQSwUGAAAAAAYABgBb&#10;AQAAtwMAAAAA&#10;" path="m0,16l4,16,0,0,0,16xe">
                    <v:path o:connectlocs="0,16;4,16;0,0;0,16" o:connectangles="0,0,0,0"/>
                    <v:fill on="f" focussize="0,0"/>
                    <v:stroke weight="0.45pt" color="#000000" joinstyle="round"/>
                    <v:imagedata o:title=""/>
                    <o:lock v:ext="edit" aspectratio="f"/>
                  </v:shape>
                  <v:shape id="Freeform 1327" o:spid="_x0000_s1026" o:spt="100" style="position:absolute;left:5101;top:859;height:16;width:8;" fillcolor="#000000" filled="t" stroked="f" coordsize="8,16" o:gfxdata="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UHrEugAAANwA&#10;AAAPAAAAAAAAAAEAIAAAACIAAABkcnMvZG93bnJldi54bWxQSwECFAAUAAAACACHTuJAMy8FnjsA&#10;AAA5AAAAEAAAAAAAAAABACAAAAAJAQAAZHJzL3NoYXBleG1sLnhtbFBLBQYAAAAABgAGAFsBAACz&#10;AwAAAAA=&#10;" path="m4,16l8,14,0,0,4,16xe">
                    <v:path o:connectlocs="4,16;8,14;0,0;4,16" o:connectangles="0,0,0,0"/>
                    <v:fill on="t" focussize="0,0"/>
                    <v:stroke on="f"/>
                    <v:imagedata o:title=""/>
                    <o:lock v:ext="edit" aspectratio="f"/>
                  </v:shape>
                  <v:shape id="Freeform 1328" o:spid="_x0000_s1026" o:spt="100" style="position:absolute;left:5101;top:859;height:16;width:8;" filled="f" stroked="t" coordsize="8,16" o:gfxdata="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4WKy&#10;wAAAANwAAAAPAAAAAAAAAAEAIAAAACIAAABkcnMvZG93bnJldi54bWxQSwECFAAUAAAACACHTuJA&#10;My8FnjsAAAA5AAAAEAAAAAAAAAABACAAAAAPAQAAZHJzL3NoYXBleG1sLnhtbFBLBQYAAAAABgAG&#10;AFsBAAC5AwAAAAA=&#10;" path="m4,16l8,14,0,0,4,16xe">
                    <v:path o:connectlocs="4,16;8,14;0,0;4,16" o:connectangles="0,0,0,0"/>
                    <v:fill on="f" focussize="0,0"/>
                    <v:stroke weight="0.45pt" color="#000000" joinstyle="round"/>
                    <v:imagedata o:title=""/>
                    <o:lock v:ext="edit" aspectratio="f"/>
                  </v:shape>
                  <v:shape id="Freeform 1329" o:spid="_x0000_s1026" o:spt="100" style="position:absolute;left:5101;top:859;height:14;width:12;" fillcolor="#000000" filled="t" stroked="f" coordsize="12,14" o:gfxdata="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pj6q8AAAA&#10;3AAAAA8AAAAAAAAAAQAgAAAAIgAAAGRycy9kb3ducmV2LnhtbFBLAQIUABQAAAAIAIdO4kAzLwWe&#10;OwAAADkAAAAQAAAAAAAAAAEAIAAAAAsBAABkcnMvc2hhcGV4bWwueG1sUEsFBgAAAAAGAAYAWwEA&#10;ALUDAAAAAA==&#10;" path="m8,14l12,11,0,0,8,14xe">
                    <v:path o:connectlocs="8,14;12,11;0,0;8,14" o:connectangles="0,0,0,0"/>
                    <v:fill on="t" focussize="0,0"/>
                    <v:stroke on="f"/>
                    <v:imagedata o:title=""/>
                    <o:lock v:ext="edit" aspectratio="f"/>
                  </v:shape>
                  <v:shape id="Freeform 1330" o:spid="_x0000_s1026" o:spt="100" style="position:absolute;left:5101;top:859;height:14;width:12;" filled="f" stroked="t" coordsize="12,14" o:gfxdata="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Um4r4A&#10;AADcAAAADwAAAAAAAAABACAAAAAiAAAAZHJzL2Rvd25yZXYueG1sUEsBAhQAFAAAAAgAh07iQDMv&#10;BZ47AAAAOQAAABAAAAAAAAAAAQAgAAAADQEAAGRycy9zaGFwZXhtbC54bWxQSwUGAAAAAAYABgBb&#10;AQAAtwMAAAAA&#10;" path="m8,14l12,11,0,0,8,14xe">
                    <v:path o:connectlocs="8,14;12,11;0,0;8,14" o:connectangles="0,0,0,0"/>
                    <v:fill on="f" focussize="0,0"/>
                    <v:stroke weight="0.45pt" color="#000000" joinstyle="round"/>
                    <v:imagedata o:title=""/>
                    <o:lock v:ext="edit" aspectratio="f"/>
                  </v:shape>
                  <v:shape id="Freeform 1331" o:spid="_x0000_s1026" o:spt="100" style="position:absolute;left:5101;top:859;height:11;width:14;" fillcolor="#000000" filled="t" stroked="f" coordsize="14,11" o:gfxdata="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98O0L4A&#10;AADcAAAADwAAAAAAAAABACAAAAAiAAAAZHJzL2Rvd25yZXYueG1sUEsBAhQAFAAAAAgAh07iQDMv&#10;BZ47AAAAOQAAABAAAAAAAAAAAQAgAAAADQEAAGRycy9zaGFwZXhtbC54bWxQSwUGAAAAAAYABgBb&#10;AQAAtwMAAAAA&#10;" path="m12,11l14,8,0,0,12,11xe">
                    <v:path o:connectlocs="12,11;14,8;0,0;12,11" o:connectangles="0,0,0,0"/>
                    <v:fill on="t" focussize="0,0"/>
                    <v:stroke on="f"/>
                    <v:imagedata o:title=""/>
                    <o:lock v:ext="edit" aspectratio="f"/>
                  </v:shape>
                  <v:shape id="Freeform 1332" o:spid="_x0000_s1026" o:spt="100" style="position:absolute;left:5101;top:859;height:11;width:14;" filled="f" stroked="t" coordsize="14,11" o:gfxdata="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nVJ0&#10;wAAAANwAAAAPAAAAAAAAAAEAIAAAACIAAABkcnMvZG93bnJldi54bWxQSwECFAAUAAAACACHTuJA&#10;My8FnjsAAAA5AAAAEAAAAAAAAAABACAAAAAPAQAAZHJzL3NoYXBleG1sLnhtbFBLBQYAAAAABgAG&#10;AFsBAAC5AwAAAAA=&#10;" path="m12,11l14,8,0,0,12,11xe">
                    <v:path o:connectlocs="12,11;14,8;0,0;12,11" o:connectangles="0,0,0,0"/>
                    <v:fill on="f" focussize="0,0"/>
                    <v:stroke weight="0.45pt" color="#000000" joinstyle="round"/>
                    <v:imagedata o:title=""/>
                    <o:lock v:ext="edit" aspectratio="f"/>
                  </v:shape>
                  <v:shape id="Freeform 1333" o:spid="_x0000_s1026" o:spt="100" style="position:absolute;left:5101;top:859;height:8;width:16;" fillcolor="#000000" filled="t" stroked="f" coordsize="16,8" o:gfxdata="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OE74A&#10;AADcAAAADwAAAAAAAAABACAAAAAiAAAAZHJzL2Rvd25yZXYueG1sUEsBAhQAFAAAAAgAh07iQDMv&#10;BZ47AAAAOQAAABAAAAAAAAAAAQAgAAAADQEAAGRycy9zaGFwZXhtbC54bWxQSwUGAAAAAAYABgBb&#10;AQAAtwMAAAAA&#10;" path="m14,8l16,4,0,0,14,8xe">
                    <v:path o:connectlocs="14,8;16,4;0,0;14,8" o:connectangles="0,0,0,0"/>
                    <v:fill on="t" focussize="0,0"/>
                    <v:stroke on="f"/>
                    <v:imagedata o:title=""/>
                    <o:lock v:ext="edit" aspectratio="f"/>
                  </v:shape>
                  <v:shape id="Freeform 1334" o:spid="_x0000_s1026" o:spt="100" style="position:absolute;left:5101;top:859;height:8;width:16;" filled="f" stroked="t" coordsize="16,8" o:gfxdata="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nAVYvQAA&#10;ANwAAAAPAAAAAAAAAAEAIAAAACIAAABkcnMvZG93bnJldi54bWxQSwECFAAUAAAACACHTuJAMy8F&#10;njsAAAA5AAAAEAAAAAAAAAABACAAAAAMAQAAZHJzL3NoYXBleG1sLnhtbFBLBQYAAAAABgAGAFsB&#10;AAC2AwAAAAA=&#10;" path="m14,8l16,4,0,0,14,8xe">
                    <v:path o:connectlocs="14,8;16,4;0,0;14,8" o:connectangles="0,0,0,0"/>
                    <v:fill on="f" focussize="0,0"/>
                    <v:stroke weight="0.45pt" color="#000000" joinstyle="round"/>
                    <v:imagedata o:title=""/>
                    <o:lock v:ext="edit" aspectratio="f"/>
                  </v:shape>
                  <v:shape id="Freeform 1335" o:spid="_x0000_s1026" o:spt="100" style="position:absolute;left:5101;top:859;height:4;width:16;" fillcolor="#000000" filled="t" stroked="f" coordsize="16,4" o:gfxdata="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7Png7sAAADc&#10;AAAADwAAAAAAAAABACAAAAAiAAAAZHJzL2Rvd25yZXYueG1sUEsBAhQAFAAAAAgAh07iQDMvBZ47&#10;AAAAOQAAABAAAAAAAAAAAQAgAAAACgEAAGRycy9zaGFwZXhtbC54bWxQSwUGAAAAAAYABgBbAQAA&#10;tAMAAAAA&#10;" path="m16,4l16,0,0,0,16,4xe">
                    <v:path o:connectlocs="16,4;16,0;0,0;16,4" o:connectangles="0,0,0,0"/>
                    <v:fill on="t" focussize="0,0"/>
                    <v:stroke on="f"/>
                    <v:imagedata o:title=""/>
                    <o:lock v:ext="edit" aspectratio="f"/>
                  </v:shape>
                  <v:shape id="Freeform 1336" o:spid="_x0000_s1026" o:spt="100" style="position:absolute;left:5101;top:859;height:4;width:16;" filled="f" stroked="t" coordsize="16,4" o:gfxdata="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XNIsvQAA&#10;ANwAAAAPAAAAAAAAAAEAIAAAACIAAABkcnMvZG93bnJldi54bWxQSwECFAAUAAAACACHTuJAMy8F&#10;njsAAAA5AAAAEAAAAAAAAAABACAAAAAMAQAAZHJzL3NoYXBleG1sLnhtbFBLBQYAAAAABgAGAFsB&#10;AAC2AwAAAAA=&#10;" path="m16,4l16,0,0,0,16,4xe">
                    <v:path o:connectlocs="16,4;16,0;0,0;16,4" o:connectangles="0,0,0,0"/>
                    <v:fill on="f" focussize="0,0"/>
                    <v:stroke weight="0.45pt" color="#000000" joinstyle="round"/>
                    <v:imagedata o:title=""/>
                    <o:lock v:ext="edit" aspectratio="f"/>
                  </v:shape>
                  <v:shape id="Freeform 1337" o:spid="_x0000_s1026" o:spt="100" style="position:absolute;left:5371;top:849;height:11;width:16;" fillcolor="#000000" filled="t" stroked="f" coordsize="16,11" o:gfxdata="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Y+PPm5AAAA3AAA&#10;AA8AAAAAAAAAAQAgAAAAIgAAAGRycy9kb3ducmV2LnhtbFBLAQIUABQAAAAIAIdO4kAzLwWeOwAA&#10;ADkAAAAQAAAAAAAAAAEAIAAAAAgBAABkcnMvc2hhcGV4bWwueG1sUEsFBgAAAAAGAAYAWwEAALID&#10;AAAAAA==&#10;" path="m16,11l11,0,0,11,16,11xe">
                    <v:path o:connectlocs="16,11;11,0;0,11;16,11" o:connectangles="0,0,0,0"/>
                    <v:fill on="t" focussize="0,0"/>
                    <v:stroke on="f"/>
                    <v:imagedata o:title=""/>
                    <o:lock v:ext="edit" aspectratio="f"/>
                  </v:shape>
                  <v:shape id="Freeform 1338" o:spid="_x0000_s1026" o:spt="100" style="position:absolute;left:5371;top:849;height:11;width:16;" filled="f" stroked="t" coordsize="16,11" o:gfxdata="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8hGJO/&#10;AAAA3AAAAA8AAAAAAAAAAQAgAAAAIgAAAGRycy9kb3ducmV2LnhtbFBLAQIUABQAAAAIAIdO4kAz&#10;LwWeOwAAADkAAAAQAAAAAAAAAAEAIAAAAA4BAABkcnMvc2hhcGV4bWwueG1sUEsFBgAAAAAGAAYA&#10;WwEAALgDAAAAAA==&#10;" path="m16,11l11,0,0,11,16,11xe">
                    <v:path o:connectlocs="16,11;11,0;0,11;16,11" o:connectangles="0,0,0,0"/>
                    <v:fill on="f" focussize="0,0"/>
                    <v:stroke weight="0.45pt" color="#000000" joinstyle="round"/>
                    <v:imagedata o:title=""/>
                    <o:lock v:ext="edit" aspectratio="f"/>
                  </v:shape>
                  <v:shape id="Freeform 1339" o:spid="_x0000_s1026" o:spt="100" style="position:absolute;left:5371;top:844;height:16;width:11;" fillcolor="#000000" filled="t" stroked="f" coordsize="11,16" o:gfxdata="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BIYb4A&#10;AADcAAAADwAAAAAAAAABACAAAAAiAAAAZHJzL2Rvd25yZXYueG1sUEsBAhQAFAAAAAgAh07iQDMv&#10;BZ47AAAAOQAAABAAAAAAAAAAAQAgAAAADQEAAGRycy9zaGFwZXhtbC54bWxQSwUGAAAAAAYABgBb&#10;AQAAtwMAAAAA&#10;" path="m11,5l0,0,0,16,11,5xe">
                    <v:path o:connectlocs="11,5;0,0;0,16;11,5" o:connectangles="0,0,0,0"/>
                    <v:fill on="t" focussize="0,0"/>
                    <v:stroke on="f"/>
                    <v:imagedata o:title=""/>
                    <o:lock v:ext="edit" aspectratio="f"/>
                  </v:shape>
                  <v:shape id="Freeform 1340" o:spid="_x0000_s1026" o:spt="100" style="position:absolute;left:5371;top:844;height:16;width:11;" filled="f" stroked="t" coordsize="11,16" o:gfxdata="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Ky7M&#10;wAAAANwAAAAPAAAAAAAAAAEAIAAAACIAAABkcnMvZG93bnJldi54bWxQSwECFAAUAAAACACHTuJA&#10;My8FnjsAAAA5AAAAEAAAAAAAAAABACAAAAAPAQAAZHJzL3NoYXBleG1sLnhtbFBLBQYAAAAABgAG&#10;AFsBAAC5AwAAAAA=&#10;" path="m11,5l0,0,0,16,11,5xe">
                    <v:path o:connectlocs="11,5;0,0;0,16;11,5" o:connectangles="0,0,0,0"/>
                    <v:fill on="f" focussize="0,0"/>
                    <v:stroke weight="0.45pt" color="#000000" joinstyle="round"/>
                    <v:imagedata o:title=""/>
                    <o:lock v:ext="edit" aspectratio="f"/>
                  </v:shape>
                  <v:shape id="Freeform 1341" o:spid="_x0000_s1026" o:spt="100" style="position:absolute;left:5359;top:844;height:16;width:12;" fillcolor="#000000" filled="t" stroked="f" coordsize="12,16" o:gfxdata="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CEMr4A&#10;AADcAAAADwAAAAAAAAABACAAAAAiAAAAZHJzL2Rvd25yZXYueG1sUEsBAhQAFAAAAAgAh07iQDMv&#10;BZ47AAAAOQAAABAAAAAAAAAAAQAgAAAADQEAAGRycy9zaGFwZXhtbC54bWxQSwUGAAAAAAYABgBb&#10;AQAAtwMAAAAA&#10;" path="m12,0l0,5,12,16,12,0xe">
                    <v:path o:connectlocs="12,0;0,5;12,16;12,0" o:connectangles="0,0,0,0"/>
                    <v:fill on="t" focussize="0,0"/>
                    <v:stroke on="f"/>
                    <v:imagedata o:title=""/>
                    <o:lock v:ext="edit" aspectratio="f"/>
                  </v:shape>
                  <v:shape id="Freeform 1342" o:spid="_x0000_s1026" o:spt="100" style="position:absolute;left:5359;top:844;height:16;width:12;" filled="f" stroked="t" coordsize="12,16" o:gfxdata="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NoiL4A&#10;AADcAAAADwAAAAAAAAABACAAAAAiAAAAZHJzL2Rvd25yZXYueG1sUEsBAhQAFAAAAAgAh07iQDMv&#10;BZ47AAAAOQAAABAAAAAAAAAAAQAgAAAADQEAAGRycy9zaGFwZXhtbC54bWxQSwUGAAAAAAYABgBb&#10;AQAAtwMAAAAA&#10;" path="m12,0l0,5,12,16,12,0xe">
                    <v:path o:connectlocs="12,0;0,5;12,16;12,0" o:connectangles="0,0,0,0"/>
                    <v:fill on="f" focussize="0,0"/>
                    <v:stroke weight="0.45pt" color="#000000" joinstyle="round"/>
                    <v:imagedata o:title=""/>
                    <o:lock v:ext="edit" aspectratio="f"/>
                  </v:shape>
                  <v:shape id="Freeform 1343" o:spid="_x0000_s1026" o:spt="100" style="position:absolute;left:5355;top:849;height:11;width:16;" fillcolor="#000000" filled="t" stroked="f" coordsize="16,11" o:gfxdata="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bARa8AAAA&#10;3AAAAA8AAAAAAAAAAQAgAAAAIgAAAGRycy9kb3ducmV2LnhtbFBLAQIUABQAAAAIAIdO4kAzLwWe&#10;OwAAADkAAAAQAAAAAAAAAAEAIAAAAAsBAABkcnMvc2hhcGV4bWwueG1sUEsFBgAAAAAGAAYAWwEA&#10;ALUDAAAAAA==&#10;" path="m4,0l0,11,16,11,4,0xe">
                    <v:path o:connectlocs="4,0;0,11;16,11;4,0" o:connectangles="0,0,0,0"/>
                    <v:fill on="t" focussize="0,0"/>
                    <v:stroke on="f"/>
                    <v:imagedata o:title=""/>
                    <o:lock v:ext="edit" aspectratio="f"/>
                  </v:shape>
                  <v:shape id="Freeform 1344" o:spid="_x0000_s1026" o:spt="100" style="position:absolute;left:5355;top:849;height:11;width:16;" filled="f" stroked="t" coordsize="16,11" o:gfxdata="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JXy/&#10;AAAA3AAAAA8AAAAAAAAAAQAgAAAAIgAAAGRycy9kb3ducmV2LnhtbFBLAQIUABQAAAAIAIdO4kAz&#10;LwWeOwAAADkAAAAQAAAAAAAAAAEAIAAAAA4BAABkcnMvc2hhcGV4bWwueG1sUEsFBgAAAAAGAAYA&#10;WwEAALgDAAAAAA==&#10;" path="m4,0l0,11,16,11,4,0xe">
                    <v:path o:connectlocs="4,0;0,11;16,11;4,0" o:connectangles="0,0,0,0"/>
                    <v:fill on="f" focussize="0,0"/>
                    <v:stroke weight="0.45pt" color="#000000" joinstyle="round"/>
                    <v:imagedata o:title=""/>
                    <o:lock v:ext="edit" aspectratio="f"/>
                  </v:shape>
                  <v:shape id="Freeform 1345" o:spid="_x0000_s1026" o:spt="100" style="position:absolute;left:5355;top:860;height:12;width:16;" fillcolor="#000000" filled="t" stroked="f" coordsize="16,12" o:gfxdata="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wr7lugAAANwA&#10;AAAPAAAAAAAAAAEAIAAAACIAAABkcnMvZG93bnJldi54bWxQSwECFAAUAAAACACHTuJAMy8FnjsA&#10;AAA5AAAAEAAAAAAAAAABACAAAAAJAQAAZHJzL3NoYXBleG1sLnhtbFBLBQYAAAAABgAGAFsBAACz&#10;AwAAAAA=&#10;" path="m0,0l4,12,16,0,0,0xe">
                    <v:path o:connectlocs="0,0;4,12;16,0;0,0" o:connectangles="0,0,0,0"/>
                    <v:fill on="t" focussize="0,0"/>
                    <v:stroke on="f"/>
                    <v:imagedata o:title=""/>
                    <o:lock v:ext="edit" aspectratio="f"/>
                  </v:shape>
                  <v:shape id="Freeform 1346" o:spid="_x0000_s1026" o:spt="100" style="position:absolute;left:5355;top:860;height:12;width:16;" filled="f" stroked="t" coordsize="16,12" o:gfxdata="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hhQC74A&#10;AADcAAAADwAAAAAAAAABACAAAAAiAAAAZHJzL2Rvd25yZXYueG1sUEsBAhQAFAAAAAgAh07iQDMv&#10;BZ47AAAAOQAAABAAAAAAAAAAAQAgAAAADQEAAGRycy9zaGFwZXhtbC54bWxQSwUGAAAAAAYABgBb&#10;AQAAtwMAAAAA&#10;" path="m0,0l4,12,16,0,0,0xe">
                    <v:path o:connectlocs="0,0;4,12;16,0;0,0" o:connectangles="0,0,0,0"/>
                    <v:fill on="f" focussize="0,0"/>
                    <v:stroke weight="0.45pt" color="#000000" joinstyle="round"/>
                    <v:imagedata o:title=""/>
                    <o:lock v:ext="edit" aspectratio="f"/>
                  </v:shape>
                  <v:shape id="Freeform 1347" o:spid="_x0000_s1026" o:spt="100" style="position:absolute;left:5359;top:860;height:17;width:12;" fillcolor="#000000" filled="t" stroked="f" coordsize="12,17" o:gfxdata="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Rx9IvQAA&#10;ANwAAAAPAAAAAAAAAAEAIAAAACIAAABkcnMvZG93bnJldi54bWxQSwECFAAUAAAACACHTuJAMy8F&#10;njsAAAA5AAAAEAAAAAAAAAABACAAAAAMAQAAZHJzL3NoYXBleG1sLnhtbFBLBQYAAAAABgAGAFsB&#10;AAC2AwAAAAA=&#10;" path="m0,12l12,17,12,0,0,12xe">
                    <v:path o:connectlocs="0,12;12,17;12,0;0,12" o:connectangles="0,0,0,0"/>
                    <v:fill on="t" focussize="0,0"/>
                    <v:stroke on="f"/>
                    <v:imagedata o:title=""/>
                    <o:lock v:ext="edit" aspectratio="f"/>
                  </v:shape>
                  <v:shape id="Freeform 1348" o:spid="_x0000_s1026" o:spt="100" style="position:absolute;left:5359;top:860;height:17;width:12;" filled="f" stroked="t" coordsize="12,17" o:gfxdata="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jcfXL4A&#10;AADcAAAADwAAAAAAAAABACAAAAAiAAAAZHJzL2Rvd25yZXYueG1sUEsBAhQAFAAAAAgAh07iQDMv&#10;BZ47AAAAOQAAABAAAAAAAAAAAQAgAAAADQEAAGRycy9zaGFwZXhtbC54bWxQSwUGAAAAAAYABgBb&#10;AQAAtwMAAAAA&#10;" path="m0,12l12,17,12,0,0,12xe">
                    <v:path o:connectlocs="0,12;12,17;12,0;0,12" o:connectangles="0,0,0,0"/>
                    <v:fill on="f" focussize="0,0"/>
                    <v:stroke weight="0.45pt" color="#000000" joinstyle="round"/>
                    <v:imagedata o:title=""/>
                    <o:lock v:ext="edit" aspectratio="f"/>
                  </v:shape>
                  <v:shape id="Freeform 1349" o:spid="_x0000_s1026" o:spt="100" style="position:absolute;left:5371;top:860;height:17;width:11;" fillcolor="#000000" filled="t" stroked="f" coordsize="11,17" o:gfxdata="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M3qwvQAA&#10;ANwAAAAPAAAAAAAAAAEAIAAAACIAAABkcnMvZG93bnJldi54bWxQSwECFAAUAAAACACHTuJAMy8F&#10;njsAAAA5AAAAEAAAAAAAAAABACAAAAAMAQAAZHJzL3NoYXBleG1sLnhtbFBLBQYAAAAABgAGAFsB&#10;AAC2AwAAAAA=&#10;" path="m0,17l11,12,0,0,0,17xe">
                    <v:path o:connectlocs="0,17;11,12;0,0;0,17" o:connectangles="0,0,0,0"/>
                    <v:fill on="t" focussize="0,0"/>
                    <v:stroke on="f"/>
                    <v:imagedata o:title=""/>
                    <o:lock v:ext="edit" aspectratio="f"/>
                  </v:shape>
                  <v:shape id="Freeform 1350" o:spid="_x0000_s1026" o:spt="100" style="position:absolute;left:5371;top:860;height:17;width:11;" filled="f" stroked="t" coordsize="11,17" o:gfxdata="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CDn&#10;wAAAANwAAAAPAAAAAAAAAAEAIAAAACIAAABkcnMvZG93bnJldi54bWxQSwECFAAUAAAACACHTuJA&#10;My8FnjsAAAA5AAAAEAAAAAAAAAABACAAAAAPAQAAZHJzL3NoYXBleG1sLnhtbFBLBQYAAAAABgAG&#10;AFsBAAC5AwAAAAA=&#10;" path="m0,17l11,12,0,0,0,17xe">
                    <v:path o:connectlocs="0,17;11,12;0,0;0,17" o:connectangles="0,0,0,0"/>
                    <v:fill on="f" focussize="0,0"/>
                    <v:stroke weight="0.45pt" color="#000000" joinstyle="round"/>
                    <v:imagedata o:title=""/>
                    <o:lock v:ext="edit" aspectratio="f"/>
                  </v:shape>
                  <v:shape id="Freeform 1351" o:spid="_x0000_s1026" o:spt="100" style="position:absolute;left:5371;top:860;height:12;width:16;" fillcolor="#000000" filled="t" stroked="f" coordsize="16,12" o:gfxdata="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YnHnb4A&#10;AADcAAAADwAAAAAAAAABACAAAAAiAAAAZHJzL2Rvd25yZXYueG1sUEsBAhQAFAAAAAgAh07iQDMv&#10;BZ47AAAAOQAAABAAAAAAAAAAAQAgAAAADQEAAGRycy9zaGFwZXhtbC54bWxQSwUGAAAAAAYABgBb&#10;AQAAtwMAAAAA&#10;" path="m11,12l16,0,0,0,11,12xe">
                    <v:path o:connectlocs="11,12;16,0;0,0;11,12" o:connectangles="0,0,0,0"/>
                    <v:fill on="t" focussize="0,0"/>
                    <v:stroke on="f"/>
                    <v:imagedata o:title=""/>
                    <o:lock v:ext="edit" aspectratio="f"/>
                  </v:shape>
                  <v:shape id="Freeform 1352" o:spid="_x0000_s1026" o:spt="100" style="position:absolute;left:5371;top:860;height:12;width:16;" filled="f" stroked="t" coordsize="16,12" o:gfxdata="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Mpc74A&#10;AADcAAAADwAAAAAAAAABACAAAAAiAAAAZHJzL2Rvd25yZXYueG1sUEsBAhQAFAAAAAgAh07iQDMv&#10;BZ47AAAAOQAAABAAAAAAAAAAAQAgAAAADQEAAGRycy9zaGFwZXhtbC54bWxQSwUGAAAAAAYABgBb&#10;AQAAtwMAAAAA&#10;" path="m11,12l16,0,0,0,11,12xe">
                    <v:path o:connectlocs="11,12;16,0;0,0;11,12" o:connectangles="0,0,0,0"/>
                    <v:fill on="f" focussize="0,0"/>
                    <v:stroke weight="0.45pt" color="#000000" joinstyle="round"/>
                    <v:imagedata o:title=""/>
                    <o:lock v:ext="edit" aspectratio="f"/>
                  </v:shape>
                  <v:shape id="Freeform 1353" o:spid="_x0000_s1026" o:spt="100" style="position:absolute;left:5370;top:1260;height:9;width:16;" fillcolor="#000000" filled="t" stroked="f" coordsize="16,9" o:gfxdata="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rS5L4A&#10;AADcAAAADwAAAAAAAAABACAAAAAiAAAAZHJzL2Rvd25yZXYueG1sUEsBAhQAFAAAAAgAh07iQDMv&#10;BZ47AAAAOQAAABAAAAAAAAAAAQAgAAAADQEAAGRycy9zaGFwZXhtbC54bWxQSwUGAAAAAAYABgBb&#10;AQAAtwMAAAAA&#10;" path="m16,9l14,0,0,9,16,9xe">
                    <v:path o:connectlocs="16,9;14,0;0,9;16,9" o:connectangles="0,0,0,0"/>
                    <v:fill on="t" focussize="0,0"/>
                    <v:stroke on="f"/>
                    <v:imagedata o:title=""/>
                    <o:lock v:ext="edit" aspectratio="f"/>
                  </v:shape>
                  <v:shape id="Freeform 1354" o:spid="_x0000_s1026" o:spt="100" style="position:absolute;left:5370;top:1260;height:9;width:16;" filled="f" stroked="t" coordsize="16,9" o:gfxdata="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zgDvQAA&#10;ANwAAAAPAAAAAAAAAAEAIAAAACIAAABkcnMvZG93bnJldi54bWxQSwECFAAUAAAACACHTuJAMy8F&#10;njsAAAA5AAAAEAAAAAAAAAABACAAAAAMAQAAZHJzL3NoYXBleG1sLnhtbFBLBQYAAAAABgAGAFsB&#10;AAC2AwAAAAA=&#10;" path="m16,9l14,0,0,9,16,9xe">
                    <v:path o:connectlocs="16,9;14,0;0,9;16,9" o:connectangles="0,0,0,0"/>
                    <v:fill on="f" focussize="0,0"/>
                    <v:stroke weight="0.45pt" color="#000000" joinstyle="round"/>
                    <v:imagedata o:title=""/>
                    <o:lock v:ext="edit" aspectratio="f"/>
                  </v:shape>
                  <v:shape id="Freeform 1355" o:spid="_x0000_s1026" o:spt="100" style="position:absolute;left:5370;top:1255;height:14;width:14;" fillcolor="#000000" filled="t" stroked="f" coordsize="14,14" o:gfxdata="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DXLu8AAAA&#10;3AAAAA8AAAAAAAAAAQAgAAAAIgAAAGRycy9kb3ducmV2LnhtbFBLAQIUABQAAAAIAIdO4kAzLwWe&#10;OwAAADkAAAAQAAAAAAAAAAEAIAAAAAsBAABkcnMvc2hhcGV4bWwueG1sUEsFBgAAAAAGAAYAWwEA&#10;ALUDAAAAAA==&#10;" path="m14,5l8,0,0,14,14,5xe">
                    <v:path o:connectlocs="14,5;8,0;0,14;14,5" o:connectangles="0,0,0,0"/>
                    <v:fill on="t" focussize="0,0"/>
                    <v:stroke on="f"/>
                    <v:imagedata o:title=""/>
                    <o:lock v:ext="edit" aspectratio="f"/>
                  </v:shape>
                  <v:shape id="Freeform 1356" o:spid="_x0000_s1026" o:spt="100" style="position:absolute;left:5370;top:1255;height:14;width:14;" filled="f" stroked="t" coordsize="14,14" o:gfxdata="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U0dSvQAA&#10;ANwAAAAPAAAAAAAAAAEAIAAAACIAAABkcnMvZG93bnJldi54bWxQSwECFAAUAAAACACHTuJAMy8F&#10;njsAAAA5AAAAEAAAAAAAAAABACAAAAAMAQAAZHJzL3NoYXBleG1sLnhtbFBLBQYAAAAABgAGAFsB&#10;AAC2AwAAAAA=&#10;" path="m14,5l8,0,0,14,14,5xe">
                    <v:path o:connectlocs="14,5;8,0;0,14;14,5" o:connectangles="0,0,0,0"/>
                    <v:fill on="f" focussize="0,0"/>
                    <v:stroke weight="0.45pt" color="#000000" joinstyle="round"/>
                    <v:imagedata o:title=""/>
                    <o:lock v:ext="edit" aspectratio="f"/>
                  </v:shape>
                  <v:shape id="Freeform 1357" o:spid="_x0000_s1026" o:spt="100" style="position:absolute;left:5370;top:1252;height:17;width:8;" fillcolor="#000000" filled="t" stroked="f" coordsize="8,17" o:gfxdata="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R6deG2AAAA3AAAAA8A&#10;AAAAAAAAAQAgAAAAIgAAAGRycy9kb3ducmV2LnhtbFBLAQIUABQAAAAIAIdO4kAzLwWeOwAAADkA&#10;AAAQAAAAAAAAAAEAIAAAAAUBAABkcnMvc2hhcGV4bWwueG1sUEsFBgAAAAAGAAYAWwEAAK8DAAAA&#10;AA==&#10;" path="m8,3l0,0,0,17,8,3xe">
                    <v:path o:connectlocs="8,3;0,0;0,17;8,3" o:connectangles="0,0,0,0"/>
                    <v:fill on="t" focussize="0,0"/>
                    <v:stroke on="f"/>
                    <v:imagedata o:title=""/>
                    <o:lock v:ext="edit" aspectratio="f"/>
                  </v:shape>
                  <v:shape id="Freeform 1358" o:spid="_x0000_s1026" o:spt="100" style="position:absolute;left:5370;top:1252;height:17;width:8;" filled="f" stroked="t" coordsize="8,17" o:gfxdata="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JJuq/&#10;AAAA3AAAAA8AAAAAAAAAAQAgAAAAIgAAAGRycy9kb3ducmV2LnhtbFBLAQIUABQAAAAIAIdO4kAz&#10;LwWeOwAAADkAAAAQAAAAAAAAAAEAIAAAAA4BAABkcnMvc2hhcGV4bWwueG1sUEsFBgAAAAAGAAYA&#10;WwEAALgDAAAAAA==&#10;" path="m8,3l0,0,0,17,8,3xe">
                    <v:path o:connectlocs="8,3;0,0;0,17;8,3" o:connectangles="0,0,0,0"/>
                    <v:fill on="f" focussize="0,0"/>
                    <v:stroke weight="0.45pt" color="#000000" joinstyle="round"/>
                    <v:imagedata o:title=""/>
                    <o:lock v:ext="edit" aspectratio="f"/>
                  </v:shape>
                  <v:shape id="Freeform 1359" o:spid="_x0000_s1026" o:spt="100" style="position:absolute;left:5362;top:1252;height:17;width:8;" fillcolor="#000000" filled="t" stroked="f" coordsize="8,17" o:gfxdata="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5E4NvQAA&#10;ANwAAAAPAAAAAAAAAAEAIAAAACIAAABkcnMvZG93bnJldi54bWxQSwECFAAUAAAACACHTuJAMy8F&#10;njsAAAA5AAAAEAAAAAAAAAABACAAAAAMAQAAZHJzL3NoYXBleG1sLnhtbFBLBQYAAAAABgAGAFsB&#10;AAC2AwAAAAA=&#10;" path="m8,0l0,3,8,17,8,0xe">
                    <v:path o:connectlocs="8,0;0,3;8,17;8,0" o:connectangles="0,0,0,0"/>
                    <v:fill on="t" focussize="0,0"/>
                    <v:stroke on="f"/>
                    <v:imagedata o:title=""/>
                    <o:lock v:ext="edit" aspectratio="f"/>
                  </v:shape>
                  <v:shape id="Freeform 1360" o:spid="_x0000_s1026" o:spt="100" style="position:absolute;left:5362;top:1252;height:17;width:8;" filled="f" stroked="t" coordsize="8,17" o:gfxdata="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XHQa/&#10;AAAA3AAAAA8AAAAAAAAAAQAgAAAAIgAAAGRycy9kb3ducmV2LnhtbFBLAQIUABQAAAAIAIdO4kAz&#10;LwWeOwAAADkAAAAQAAAAAAAAAAEAIAAAAA4BAABkcnMvc2hhcGV4bWwueG1sUEsFBgAAAAAGAAYA&#10;WwEAALgDAAAAAA==&#10;" path="m8,0l0,3,8,17,8,0xe">
                    <v:path o:connectlocs="8,0;0,3;8,17;8,0" o:connectangles="0,0,0,0"/>
                    <v:fill on="f" focussize="0,0"/>
                    <v:stroke weight="0.45pt" color="#000000" joinstyle="round"/>
                    <v:imagedata o:title=""/>
                    <o:lock v:ext="edit" aspectratio="f"/>
                  </v:shape>
                  <v:shape id="Freeform 1361" o:spid="_x0000_s1026" o:spt="100" style="position:absolute;left:5356;top:1255;height:14;width:14;" fillcolor="#000000" filled="t" stroked="f" coordsize="14,14" o:gfxdata="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XwGO/&#10;AAAA3AAAAA8AAAAAAAAAAQAgAAAAIgAAAGRycy9kb3ducmV2LnhtbFBLAQIUABQAAAAIAIdO4kAz&#10;LwWeOwAAADkAAAAQAAAAAAAAAAEAIAAAAA4BAABkcnMvc2hhcGV4bWwueG1sUEsFBgAAAAAGAAYA&#10;WwEAALgDAAAAAA==&#10;" path="m6,0l0,5,14,14,6,0xe">
                    <v:path o:connectlocs="6,0;0,5;14,14;6,0" o:connectangles="0,0,0,0"/>
                    <v:fill on="t" focussize="0,0"/>
                    <v:stroke on="f"/>
                    <v:imagedata o:title=""/>
                    <o:lock v:ext="edit" aspectratio="f"/>
                  </v:shape>
                  <v:shape id="Freeform 1362" o:spid="_x0000_s1026" o:spt="100" style="position:absolute;left:5356;top:1255;height:14;width:14;" filled="f" stroked="t" coordsize="14,14" o:gfxdata="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H24q8AAAA&#10;3AAAAA8AAAAAAAAAAQAgAAAAIgAAAGRycy9kb3ducmV2LnhtbFBLAQIUABQAAAAIAIdO4kAzLwWe&#10;OwAAADkAAAAQAAAAAAAAAAEAIAAAAAsBAABkcnMvc2hhcGV4bWwueG1sUEsFBgAAAAAGAAYAWwEA&#10;ALUDAAAAAA==&#10;" path="m6,0l0,5,14,14,6,0xe">
                    <v:path o:connectlocs="6,0;0,5;14,14;6,0" o:connectangles="0,0,0,0"/>
                    <v:fill on="f" focussize="0,0"/>
                    <v:stroke weight="0.45pt" color="#000000" joinstyle="round"/>
                    <v:imagedata o:title=""/>
                    <o:lock v:ext="edit" aspectratio="f"/>
                  </v:shape>
                  <v:shape id="Freeform 1363" o:spid="_x0000_s1026" o:spt="100" style="position:absolute;left:5354;top:1260;height:9;width:16;" fillcolor="#000000" filled="t" stroked="f" coordsize="16,9" o:gfxdata="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TRDm/&#10;AAAA3AAAAA8AAAAAAAAAAQAgAAAAIgAAAGRycy9kb3ducmV2LnhtbFBLAQIUABQAAAAIAIdO4kAz&#10;LwWeOwAAADkAAAAQAAAAAAAAAAEAIAAAAA4BAABkcnMvc2hhcGV4bWwueG1sUEsFBgAAAAAGAAYA&#10;WwEAALgDAAAAAA==&#10;" path="m2,0l0,9,16,9,2,0xe">
                    <v:path o:connectlocs="2,0;0,9;16,9;2,0" o:connectangles="0,0,0,0"/>
                    <v:fill on="t" focussize="0,0"/>
                    <v:stroke on="f"/>
                    <v:imagedata o:title=""/>
                    <o:lock v:ext="edit" aspectratio="f"/>
                  </v:shape>
                  <v:shape id="Freeform 1364" o:spid="_x0000_s1026" o:spt="100" style="position:absolute;left:5354;top:1260;height:9;width:16;" filled="f" stroked="t" coordsize="16,9" o:gfxdata="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au3r4A&#10;AADcAAAADwAAAAAAAAABACAAAAAiAAAAZHJzL2Rvd25yZXYueG1sUEsBAhQAFAAAAAgAh07iQDMv&#10;BZ47AAAAOQAAABAAAAAAAAAAAQAgAAAADQEAAGRycy9zaGFwZXhtbC54bWxQSwUGAAAAAAYABgBb&#10;AQAAtwMAAAAA&#10;" path="m2,0l0,9,16,9,2,0xe">
                    <v:path o:connectlocs="2,0;0,9;16,9;2,0" o:connectangles="0,0,0,0"/>
                    <v:fill on="f" focussize="0,0"/>
                    <v:stroke weight="0.45pt" color="#000000" joinstyle="round"/>
                    <v:imagedata o:title=""/>
                    <o:lock v:ext="edit" aspectratio="f"/>
                  </v:shape>
                  <v:shape id="Freeform 1365" o:spid="_x0000_s1026" o:spt="100" style="position:absolute;left:5354;top:1269;height:8;width:16;" fillcolor="#000000" filled="t" stroked="f" coordsize="16,8" o:gfxdata="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acyHugAAANwA&#10;AAAPAAAAAAAAAAEAIAAAACIAAABkcnMvZG93bnJldi54bWxQSwECFAAUAAAACACHTuJAMy8FnjsA&#10;AAA5AAAAEAAAAAAAAAABACAAAAAJAQAAZHJzL3NoYXBleG1sLnhtbFBLBQYAAAAABgAGAFsBAACz&#10;AwAAAAA=&#10;" path="m0,0l2,8,16,0,0,0xe">
                    <v:path o:connectlocs="0,0;2,8;16,0;0,0" o:connectangles="0,0,0,0"/>
                    <v:fill on="t" focussize="0,0"/>
                    <v:stroke on="f"/>
                    <v:imagedata o:title=""/>
                    <o:lock v:ext="edit" aspectratio="f"/>
                  </v:shape>
                  <v:shape id="Freeform 1366" o:spid="_x0000_s1026" o:spt="100" style="position:absolute;left:5354;top:1269;height:8;width:16;" filled="f" stroked="t" coordsize="16,8" o:gfxdata="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JR8y/&#10;AAAA3AAAAA8AAAAAAAAAAQAgAAAAIgAAAGRycy9kb3ducmV2LnhtbFBLAQIUABQAAAAIAIdO4kAz&#10;LwWeOwAAADkAAAAQAAAAAAAAAAEAIAAAAA4BAABkcnMvc2hhcGV4bWwueG1sUEsFBgAAAAAGAAYA&#10;WwEAALgDAAAAAA==&#10;" path="m0,0l2,8,16,0,0,0xe">
                    <v:path o:connectlocs="0,0;2,8;16,0;0,0" o:connectangles="0,0,0,0"/>
                    <v:fill on="f" focussize="0,0"/>
                    <v:stroke weight="0.45pt" color="#000000" joinstyle="round"/>
                    <v:imagedata o:title=""/>
                    <o:lock v:ext="edit" aspectratio="f"/>
                  </v:shape>
                  <v:shape id="Freeform 1367" o:spid="_x0000_s1026" o:spt="100" style="position:absolute;left:5356;top:1269;height:14;width:14;" fillcolor="#000000" filled="t" stroked="f" coordsize="14,14" o:gfxdata="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AM3bsAAADc&#10;AAAADwAAAAAAAAABACAAAAAiAAAAZHJzL2Rvd25yZXYueG1sUEsBAhQAFAAAAAgAh07iQDMvBZ47&#10;AAAAOQAAABAAAAAAAAAAAQAgAAAACgEAAGRycy9zaGFwZXhtbC54bWxQSwUGAAAAAAYABgBbAQAA&#10;tAMAAAAA&#10;" path="m0,8l6,14,14,0,0,8xe">
                    <v:path o:connectlocs="0,8;6,14;14,0;0,8" o:connectangles="0,0,0,0"/>
                    <v:fill on="t" focussize="0,0"/>
                    <v:stroke on="f"/>
                    <v:imagedata o:title=""/>
                    <o:lock v:ext="edit" aspectratio="f"/>
                  </v:shape>
                  <v:shape id="Freeform 1368" o:spid="_x0000_s1026" o:spt="100" style="position:absolute;left:5356;top:1269;height:14;width:14;" filled="f" stroked="t" coordsize="14,14" o:gfxdata="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QFzS8AAAA&#10;3AAAAA8AAAAAAAAAAQAgAAAAIgAAAGRycy9kb3ducmV2LnhtbFBLAQIUABQAAAAIAIdO4kAzLwWe&#10;OwAAADkAAAAQAAAAAAAAAAEAIAAAAAsBAABkcnMvc2hhcGV4bWwueG1sUEsFBgAAAAAGAAYAWwEA&#10;ALUDAAAAAA==&#10;" path="m0,8l6,14,14,0,0,8xe">
                    <v:path o:connectlocs="0,8;6,14;14,0;0,8" o:connectangles="0,0,0,0"/>
                    <v:fill on="f" focussize="0,0"/>
                    <v:stroke weight="0.45pt" color="#000000" joinstyle="round"/>
                    <v:imagedata o:title=""/>
                    <o:lock v:ext="edit" aspectratio="f"/>
                  </v:shape>
                  <v:shape id="Freeform 1369" o:spid="_x0000_s1026" o:spt="100" style="position:absolute;left:5362;top:1269;height:16;width:8;" fillcolor="#000000" filled="t" stroked="f" coordsize="8,16" o:gfxdata="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k+Oi8AAAA&#10;3AAAAA8AAAAAAAAAAQAgAAAAIgAAAGRycy9kb3ducmV2LnhtbFBLAQIUABQAAAAIAIdO4kAzLwWe&#10;OwAAADkAAAAQAAAAAAAAAAEAIAAAAAsBAABkcnMvc2hhcGV4bWwueG1sUEsFBgAAAAAGAAYAWwEA&#10;ALUDAAAAAA==&#10;" path="m0,14l8,16,8,0,0,14xe">
                    <v:path o:connectlocs="0,14;8,16;8,0;0,14" o:connectangles="0,0,0,0"/>
                    <v:fill on="t" focussize="0,0"/>
                    <v:stroke on="f"/>
                    <v:imagedata o:title=""/>
                    <o:lock v:ext="edit" aspectratio="f"/>
                  </v:shape>
                  <v:shape id="Freeform 1370" o:spid="_x0000_s1026" o:spt="100" style="position:absolute;left:5362;top:1269;height:16;width:8;" filled="f" stroked="t" coordsize="8,16" o:gfxdata="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FeCe&#10;wAAAANwAAAAPAAAAAAAAAAEAIAAAACIAAABkcnMvZG93bnJldi54bWxQSwECFAAUAAAACACHTuJA&#10;My8FnjsAAAA5AAAAEAAAAAAAAAABACAAAAAPAQAAZHJzL3NoYXBleG1sLnhtbFBLBQYAAAAABgAG&#10;AFsBAAC5AwAAAAA=&#10;" path="m0,14l8,16,8,0,0,14xe">
                    <v:path o:connectlocs="0,14;8,16;8,0;0,14" o:connectangles="0,0,0,0"/>
                    <v:fill on="f" focussize="0,0"/>
                    <v:stroke weight="0.45pt" color="#000000" joinstyle="round"/>
                    <v:imagedata o:title=""/>
                    <o:lock v:ext="edit" aspectratio="f"/>
                  </v:shape>
                  <v:shape id="Freeform 1371" o:spid="_x0000_s1026" o:spt="100" style="position:absolute;left:5370;top:1269;height:16;width:8;" fillcolor="#000000" filled="t" stroked="f" coordsize="8,16" o:gfxdata="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BxQe8AAAA&#10;3AAAAA8AAAAAAAAAAQAgAAAAIgAAAGRycy9kb3ducmV2LnhtbFBLAQIUABQAAAAIAIdO4kAzLwWe&#10;OwAAADkAAAAQAAAAAAAAAAEAIAAAAAsBAABkcnMvc2hhcGV4bWwueG1sUEsFBgAAAAAGAAYAWwEA&#10;ALUDAAAAAA==&#10;" path="m0,16l8,14,0,0,0,16xe">
                    <v:path o:connectlocs="0,16;8,14;0,0;0,16" o:connectangles="0,0,0,0"/>
                    <v:fill on="t" focussize="0,0"/>
                    <v:stroke on="f"/>
                    <v:imagedata o:title=""/>
                    <o:lock v:ext="edit" aspectratio="f"/>
                  </v:shape>
                  <v:shape id="Freeform 1372" o:spid="_x0000_s1026" o:spt="100" style="position:absolute;left:5370;top:1269;height:16;width:8;" filled="f" stroked="t" coordsize="8,16" o:gfxdata="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5sN1x&#10;wAAAANwAAAAPAAAAAAAAAAEAIAAAACIAAABkcnMvZG93bnJldi54bWxQSwECFAAUAAAACACHTuJA&#10;My8FnjsAAAA5AAAAEAAAAAAAAAABACAAAAAPAQAAZHJzL3NoYXBleG1sLnhtbFBLBQYAAAAABgAG&#10;AFsBAAC5AwAAAAA=&#10;" path="m0,16l8,14,0,0,0,16xe">
                    <v:path o:connectlocs="0,16;8,14;0,0;0,16" o:connectangles="0,0,0,0"/>
                    <v:fill on="f" focussize="0,0"/>
                    <v:stroke weight="0.45pt" color="#000000" joinstyle="round"/>
                    <v:imagedata o:title=""/>
                    <o:lock v:ext="edit" aspectratio="f"/>
                  </v:shape>
                  <v:shape id="Freeform 1373" o:spid="_x0000_s1026" o:spt="100" style="position:absolute;left:5370;top:1269;height:14;width:14;" fillcolor="#000000" filled="t" stroked="f" coordsize="14,14" o:gfxdata="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lMTK/&#10;AAAA3AAAAA8AAAAAAAAAAQAgAAAAIgAAAGRycy9kb3ducmV2LnhtbFBLAQIUABQAAAAIAIdO4kAz&#10;LwWeOwAAADkAAAAQAAAAAAAAAAEAIAAAAA4BAABkcnMvc2hhcGV4bWwueG1sUEsFBgAAAAAGAAYA&#10;WwEAALgDAAAAAA==&#10;" path="m8,14l14,8,0,0,8,14xe">
                    <v:path o:connectlocs="8,14;14,8;0,0;8,14" o:connectangles="0,0,0,0"/>
                    <v:fill on="t" focussize="0,0"/>
                    <v:stroke on="f"/>
                    <v:imagedata o:title=""/>
                    <o:lock v:ext="edit" aspectratio="f"/>
                  </v:shape>
                  <v:shape id="Freeform 1374" o:spid="_x0000_s1026" o:spt="100" style="position:absolute;left:5370;top:1269;height:14;width:14;" filled="f" stroked="t" coordsize="14,14" o:gfxdata="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1Ktu8AAAA&#10;3AAAAA8AAAAAAAAAAQAgAAAAIgAAAGRycy9kb3ducmV2LnhtbFBLAQIUABQAAAAIAIdO4kAzLwWe&#10;OwAAADkAAAAQAAAAAAAAAAEAIAAAAAsBAABkcnMvc2hhcGV4bWwueG1sUEsFBgAAAAAGAAYAWwEA&#10;ALUDAAAAAA==&#10;" path="m8,14l14,8,0,0,8,14xe">
                    <v:path o:connectlocs="8,14;14,8;0,0;8,14" o:connectangles="0,0,0,0"/>
                    <v:fill on="f" focussize="0,0"/>
                    <v:stroke weight="0.45pt" color="#000000" joinstyle="round"/>
                    <v:imagedata o:title=""/>
                    <o:lock v:ext="edit" aspectratio="f"/>
                  </v:shape>
                  <v:shape id="Freeform 1375" o:spid="_x0000_s1026" o:spt="100" style="position:absolute;left:5370;top:1269;height:8;width:16;" fillcolor="#000000" filled="t" stroked="f" coordsize="16,8" o:gfxdata="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AUGOrsAAADc&#10;AAAADwAAAAAAAAABACAAAAAiAAAAZHJzL2Rvd25yZXYueG1sUEsBAhQAFAAAAAgAh07iQDMvBZ47&#10;AAAAOQAAABAAAAAAAAAAAQAgAAAACgEAAGRycy9zaGFwZXhtbC54bWxQSwUGAAAAAAYABgBbAQAA&#10;tAMAAAAA&#10;" path="m14,8l16,0,0,0,14,8xe">
                    <v:path o:connectlocs="14,8;16,0;0,0;14,8" o:connectangles="0,0,0,0"/>
                    <v:fill on="t" focussize="0,0"/>
                    <v:stroke on="f"/>
                    <v:imagedata o:title=""/>
                    <o:lock v:ext="edit" aspectratio="f"/>
                  </v:shape>
                  <v:shape id="Freeform 1376" o:spid="_x0000_s1026" o:spt="100" style="position:absolute;left:5370;top:1269;height:8;width:16;" filled="f" stroked="t" coordsize="16,8" o:gfxdata="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ljXG/&#10;AAAA3AAAAA8AAAAAAAAAAQAgAAAAIgAAAGRycy9kb3ducmV2LnhtbFBLAQIUABQAAAAIAIdO4kAz&#10;LwWeOwAAADkAAAAQAAAAAAAAAAEAIAAAAA4BAABkcnMvc2hhcGV4bWwueG1sUEsFBgAAAAAGAAYA&#10;WwEAALgDAAAAAA==&#10;" path="m14,8l16,0,0,0,14,8xe">
                    <v:path o:connectlocs="14,8;16,0;0,0;14,8" o:connectangles="0,0,0,0"/>
                    <v:fill on="f" focussize="0,0"/>
                    <v:stroke weight="0.45pt" color="#000000" joinstyle="round"/>
                    <v:imagedata o:title=""/>
                    <o:lock v:ext="edit" aspectratio="f"/>
                  </v:shape>
                  <v:shape id="Freeform 1377" o:spid="_x0000_s1026" o:spt="100" style="position:absolute;left:5102;top:1263;height:8;width:16;" fillcolor="#000000" filled="t" stroked="f" coordsize="16,8" o:gfxdata="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pzhugAAANwA&#10;AAAPAAAAAAAAAAEAIAAAACIAAABkcnMvZG93bnJldi54bWxQSwECFAAUAAAACACHTuJAMy8FnjsA&#10;AAA5AAAAEAAAAAAAAAABACAAAAAJAQAAZHJzL3NoYXBleG1sLnhtbFBLBQYAAAAABgAGAFsBAACz&#10;AwAAAAA=&#10;" path="m16,8l14,0,0,8,16,8xe">
                    <v:path o:connectlocs="16,8;14,0;0,8;16,8" o:connectangles="0,0,0,0"/>
                    <v:fill on="t" focussize="0,0"/>
                    <v:stroke on="f"/>
                    <v:imagedata o:title=""/>
                    <o:lock v:ext="edit" aspectratio="f"/>
                  </v:shape>
                  <v:shape id="Freeform 1378" o:spid="_x0000_s1026" o:spt="100" style="position:absolute;left:5102;top:1263;height:8;width:16;" filled="f" stroked="t" coordsize="16,8" o:gfxdata="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KF6q8AAAA&#10;3AAAAA8AAAAAAAAAAQAgAAAAIgAAAGRycy9kb3ducmV2LnhtbFBLAQIUABQAAAAIAIdO4kAzLwWe&#10;OwAAADkAAAAQAAAAAAAAAAEAIAAAAAsBAABkcnMvc2hhcGV4bWwueG1sUEsFBgAAAAAGAAYAWwEA&#10;ALUDAAAAAA==&#10;" path="m16,8l14,0,0,8,16,8xe">
                    <v:path o:connectlocs="16,8;14,0;0,8;16,8" o:connectangles="0,0,0,0"/>
                    <v:fill on="f" focussize="0,0"/>
                    <v:stroke weight="0.45pt" color="#000000" joinstyle="round"/>
                    <v:imagedata o:title=""/>
                    <o:lock v:ext="edit" aspectratio="f"/>
                  </v:shape>
                  <v:shape id="Freeform 1379" o:spid="_x0000_s1026" o:spt="100" style="position:absolute;left:5102;top:1257;height:14;width:14;" fillcolor="#000000" filled="t" stroked="f" coordsize="14,14" o:gfxdata="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Eeh7L4A&#10;AADcAAAADwAAAAAAAAABACAAAAAiAAAAZHJzL2Rvd25yZXYueG1sUEsBAhQAFAAAAAgAh07iQDMv&#10;BZ47AAAAOQAAABAAAAAAAAAAAQAgAAAADQEAAGRycy9zaGFwZXhtbC54bWxQSwUGAAAAAAYABgBb&#10;AQAAtwMAAAAA&#10;" path="m14,6l8,0,0,14,14,6xe">
                    <v:path o:connectlocs="14,6;8,0;0,14;14,6" o:connectangles="0,0,0,0"/>
                    <v:fill on="t" focussize="0,0"/>
                    <v:stroke on="f"/>
                    <v:imagedata o:title=""/>
                    <o:lock v:ext="edit" aspectratio="f"/>
                  </v:shape>
                  <v:shape id="Freeform 1380" o:spid="_x0000_s1026" o:spt="100" style="position:absolute;left:5102;top:1257;height:14;width:14;" filled="f" stroked="t" coordsize="14,14" o:gfxdata="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XugW8AAAA&#10;3AAAAA8AAAAAAAAAAQAgAAAAIgAAAGRycy9kb3ducmV2LnhtbFBLAQIUABQAAAAIAIdO4kAzLwWe&#10;OwAAADkAAAAQAAAAAAAAAAEAIAAAAAsBAABkcnMvc2hhcGV4bWwueG1sUEsFBgAAAAAGAAYAWwEA&#10;ALUDAAAAAA==&#10;" path="m14,6l8,0,0,14,14,6xe">
                    <v:path o:connectlocs="14,6;8,0;0,14;14,6" o:connectangles="0,0,0,0"/>
                    <v:fill on="f" focussize="0,0"/>
                    <v:stroke weight="0.45pt" color="#000000" joinstyle="round"/>
                    <v:imagedata o:title=""/>
                    <o:lock v:ext="edit" aspectratio="f"/>
                  </v:shape>
                  <v:shape id="Freeform 1381" o:spid="_x0000_s1026" o:spt="100" style="position:absolute;left:5102;top:1255;height:16;width:8;" fillcolor="#000000" filled="t" stroked="f" coordsize="8,16" o:gfxdata="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2FPavQAA&#10;ANwAAAAPAAAAAAAAAAEAIAAAACIAAABkcnMvZG93bnJldi54bWxQSwECFAAUAAAACACHTuJAMy8F&#10;njsAAAA5AAAAEAAAAAAAAAABACAAAAAMAQAAZHJzL3NoYXBleG1sLnhtbFBLBQYAAAAABgAGAFsB&#10;AAC2AwAAAAA=&#10;" path="m8,2l0,0,0,16,8,2xe">
                    <v:path o:connectlocs="8,2;0,0;0,16;8,2" o:connectangles="0,0,0,0"/>
                    <v:fill on="t" focussize="0,0"/>
                    <v:stroke on="f"/>
                    <v:imagedata o:title=""/>
                    <o:lock v:ext="edit" aspectratio="f"/>
                  </v:shape>
                  <v:shape id="Freeform 1382" o:spid="_x0000_s1026" o:spt="100" style="position:absolute;left:5102;top:1255;height:16;width:8;" filled="f" stroked="t" coordsize="8,16" o:gfxdata="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lL&#10;rMEAAADcAAAADwAAAAAAAAABACAAAAAiAAAAZHJzL2Rvd25yZXYueG1sUEsBAhQAFAAAAAgAh07i&#10;QDMvBZ47AAAAOQAAABAAAAAAAAAAAQAgAAAAEAEAAGRycy9zaGFwZXhtbC54bWxQSwUGAAAAAAYA&#10;BgBbAQAAugMAAAAA&#10;" path="m8,2l0,0,0,16,8,2xe">
                    <v:path o:connectlocs="8,2;0,0;0,16;8,2" o:connectangles="0,0,0,0"/>
                    <v:fill on="f" focussize="0,0"/>
                    <v:stroke weight="0.45pt" color="#000000" joinstyle="round"/>
                    <v:imagedata o:title=""/>
                    <o:lock v:ext="edit" aspectratio="f"/>
                  </v:shape>
                  <v:shape id="Freeform 1383" o:spid="_x0000_s1026" o:spt="100" style="position:absolute;left:5094;top:1255;height:16;width:8;" fillcolor="#000000" filled="t" stroked="f" coordsize="8,16" o:gfxdata="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GaDa8AAAA&#10;3AAAAA8AAAAAAAAAAQAgAAAAIgAAAGRycy9kb3ducmV2LnhtbFBLAQIUABQAAAAIAIdO4kAzLwWe&#10;OwAAADkAAAAQAAAAAAAAAAEAIAAAAAsBAABkcnMvc2hhcGV4bWwueG1sUEsFBgAAAAAGAAYAWwEA&#10;ALUDAAAAAA==&#10;" path="m8,0l0,2,8,16,8,0xe">
                    <v:path o:connectlocs="8,0;0,2;8,16;8,0" o:connectangles="0,0,0,0"/>
                    <v:fill on="t" focussize="0,0"/>
                    <v:stroke on="f"/>
                    <v:imagedata o:title=""/>
                    <o:lock v:ext="edit" aspectratio="f"/>
                  </v:shape>
                  <v:shape id="Freeform 1384" o:spid="_x0000_s1026" o:spt="100" style="position:absolute;left:5094;top:1255;height:16;width:8;" filled="f" stroked="t" coordsize="8,16" o:gfxdata="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93BA&#10;wAAAANwAAAAPAAAAAAAAAAEAIAAAACIAAABkcnMvZG93bnJldi54bWxQSwECFAAUAAAACACHTuJA&#10;My8FnjsAAAA5AAAAEAAAAAAAAAABACAAAAAPAQAAZHJzL3NoYXBleG1sLnhtbFBLBQYAAAAABgAG&#10;AFsBAAC5AwAAAAA=&#10;" path="m8,0l0,2,8,16,8,0xe">
                    <v:path o:connectlocs="8,0;0,2;8,16;8,0" o:connectangles="0,0,0,0"/>
                    <v:fill on="f" focussize="0,0"/>
                    <v:stroke weight="0.45pt" color="#000000" joinstyle="round"/>
                    <v:imagedata o:title=""/>
                    <o:lock v:ext="edit" aspectratio="f"/>
                  </v:shape>
                  <v:shape id="Freeform 1385" o:spid="_x0000_s1026" o:spt="100" style="position:absolute;left:5088;top:1257;height:14;width:14;" fillcolor="#000000" filled="t" stroked="f" coordsize="14,14" o:gfxdata="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a+WBrsAAADc&#10;AAAADwAAAAAAAAABACAAAAAiAAAAZHJzL2Rvd25yZXYueG1sUEsBAhQAFAAAAAgAh07iQDMvBZ47&#10;AAAAOQAAABAAAAAAAAAAAQAgAAAACgEAAGRycy9zaGFwZXhtbC54bWxQSwUGAAAAAAYABgBbAQAA&#10;tAMAAAAA&#10;" path="m6,0l0,6,14,14,6,0xe">
                    <v:path o:connectlocs="6,0;0,6;14,14;6,0" o:connectangles="0,0,0,0"/>
                    <v:fill on="t" focussize="0,0"/>
                    <v:stroke on="f"/>
                    <v:imagedata o:title=""/>
                    <o:lock v:ext="edit" aspectratio="f"/>
                  </v:shape>
                </v:group>
                <v:shape id="Freeform 1387" o:spid="_x0000_s1026" o:spt="100" style="position:absolute;left:3230880;top:798195;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&#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BGDcpY1gAAAAoBAAAPAAAAAAAAAAEAIAAAACIAAABk&#10;cnMvZG93bnJldi54bWxQSwECFAAUAAAACACHTuJA28afcOwCAAASBwAADgAAAAAAAAABACAAAAAl&#10;AQAAZHJzL2Uyb0RvYy54bWxQSwUGAAAAAAYABgBZAQAAgwYAAAAA&#10;" path="m6,0l0,6,14,14,6,0xe">
                  <v:path o:connectlocs="3810,0;0,3810;8890,8890;3810,0" o:connectangles="0,0,0,0"/>
                  <v:fill on="f" focussize="0,0"/>
                  <v:stroke weight="0.45pt" color="#000000" joinstyle="round"/>
                  <v:imagedata o:title=""/>
                  <o:lock v:ext="edit" aspectratio="f"/>
                </v:shape>
                <v:shape id="Freeform 1388" o:spid="_x0000_s1026" o:spt="100" style="position:absolute;left:3229610;top:802005;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qcMze2AAAAAoBAAAPAAAAAAAAAAEAIAAAACIAAABkcnMvZG93bnJldi54bWxQ&#10;SwECFAAUAAAACACHTuJAUU2nDNsCAADgBgAADgAAAAAAAAABACAAAAAnAQAAZHJzL2Uyb0RvYy54&#10;bWxQSwUGAAAAAAYABgBZAQAAdAYAAAAA&#10;" path="m2,0l0,8,16,8,2,0xe">
                  <v:path o:connectlocs="1270,0;0,5080;10160,5080;1270,0" o:connectangles="0,0,0,0"/>
                  <v:fill on="t" focussize="0,0"/>
                  <v:stroke on="f"/>
                  <v:imagedata o:title=""/>
                  <o:lock v:ext="edit" aspectratio="f"/>
                </v:shape>
                <v:shape id="Freeform 1389" o:spid="_x0000_s1026" o:spt="100" style="position:absolute;left:3229610;top:802005;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CCchmjZAAAACgEAAA8AAAAAAAAAAQAgAAAA&#10;IgAAAGRycy9kb3ducmV2LnhtbFBLAQIUABQAAAAIAIdO4kAosgY67gIAAAwHAAAOAAAAAAAAAAEA&#10;IAAAACgBAABkcnMvZTJvRG9jLnhtbFBLBQYAAAAABgAGAFkBAACIBgAAAAA=&#10;" path="m2,0l0,8,16,8,2,0xe">
                  <v:path o:connectlocs="1270,0;0,5080;10160,5080;1270,0" o:connectangles="0,0,0,0"/>
                  <v:fill on="f" focussize="0,0"/>
                  <v:stroke weight="0.45pt" color="#000000" joinstyle="round"/>
                  <v:imagedata o:title=""/>
                  <o:lock v:ext="edit" aspectratio="f"/>
                </v:shape>
                <v:shape id="Freeform 1390" o:spid="_x0000_s1026" o:spt="100" style="position:absolute;left:3229610;top:807085;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qcMze2AAAAAoBAAAPAAAAAAAAAAEAIAAAACIAAABkcnMvZG93bnJldi54bWxQSwEC&#10;FAAUAAAACACHTuJAck5g19gCAADgBgAADgAAAAAAAAABACAAAAAnAQAAZHJzL2Uyb0RvYy54bWxQ&#10;SwUGAAAAAAYABgBZAQAAcQYAAAAA&#10;" path="m0,0l2,8,16,0,0,0xe">
                  <v:path o:connectlocs="0,0;1270,5080;10160,0;0,0" o:connectangles="0,0,0,0"/>
                  <v:fill on="t" focussize="0,0"/>
                  <v:stroke on="f"/>
                  <v:imagedata o:title=""/>
                  <o:lock v:ext="edit" aspectratio="f"/>
                </v:shape>
                <v:shape id="Freeform 1391" o:spid="_x0000_s1026" o:spt="100" style="position:absolute;left:3229610;top:807085;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IJyGaNkAAAAKAQAADwAAAAAAAAABACAA&#10;AAAiAAAAZHJzL2Rvd25yZXYueG1sUEsBAhQAFAAAAAgAh07iQFC9UVLwAgAADAcAAA4AAAAAAAAA&#10;AQAgAAAAKAEAAGRycy9lMm9Eb2MueG1sUEsFBgAAAAAGAAYAWQEAAIoGAAAAAA==&#10;" path="m0,0l2,8,16,0,0,0xe">
                  <v:path o:connectlocs="0,0;1270,5080;10160,0;0,0" o:connectangles="0,0,0,0"/>
                  <v:fill on="f" focussize="0,0"/>
                  <v:stroke weight="0.45pt" color="#000000" joinstyle="round"/>
                  <v:imagedata o:title=""/>
                  <o:lock v:ext="edit" aspectratio="f"/>
                </v:shape>
                <v:shape id="Freeform 1392" o:spid="_x0000_s1026" o:spt="100" style="position:absolute;left:3230880;top:807085;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rt5Jl2QAAAAoBAAAPAAAAAAAAAAEAIAAAACIAAABkcnMvZG93bnJldi54bWxQ&#10;SwECFAAUAAAACACHTuJAOVYBttoCAADmBgAADgAAAAAAAAABACAAAAAoAQAAZHJzL2Uyb0RvYy54&#10;bWxQSwUGAAAAAAYABgBZAQAAdAYAAAAA&#10;" path="m0,8l6,14,14,0,0,8xe">
                  <v:path o:connectlocs="0,5080;3810,8890;8890,0;0,5080" o:connectangles="0,0,0,0"/>
                  <v:fill on="t" focussize="0,0"/>
                  <v:stroke on="f"/>
                  <v:imagedata o:title=""/>
                  <o:lock v:ext="edit" aspectratio="f"/>
                </v:shape>
                <v:shape id="Freeform 1393" o:spid="_x0000_s1026" o:spt="100" style="position:absolute;left:3230880;top:807085;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GDcpY1gAAAAoBAAAPAAAAAAAAAAEAIAAAACIA&#10;AABkcnMvZG93bnJldi54bWxQSwECFAAUAAAACACHTuJApPJwze8CAAASBwAADgAAAAAAAAABACAA&#10;AAAlAQAAZHJzL2Uyb0RvYy54bWxQSwUGAAAAAAYABgBZAQAAhgYAAAAA&#10;" path="m0,8l6,14,14,0,0,8xe">
                  <v:path o:connectlocs="0,5080;3810,8890;8890,0;0,5080" o:connectangles="0,0,0,0"/>
                  <v:fill on="f" focussize="0,0"/>
                  <v:stroke weight="0.45pt" color="#000000" joinstyle="round"/>
                  <v:imagedata o:title=""/>
                  <o:lock v:ext="edit" aspectratio="f"/>
                </v:shape>
                <v:shape id="Freeform 1394" o:spid="_x0000_s1026" o:spt="100" style="position:absolute;left:3234690;top:807085;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L6Mu9tYAAAAKAQAADwAAAAAAAAABACAAAAAiAAAAZHJzL2Rvd25yZXYueG1sUEsB&#10;AhQAFAAAAAgAh07iQOwiowbbAgAA5AYAAA4AAAAAAAAAAQAgAAAAJQEAAGRycy9lMm9Eb2MueG1s&#10;UEsFBgAAAAAGAAYAWQEAAHIGAAAAAA==&#10;" path="m0,14l8,16,8,0,0,14xe">
                  <v:path o:connectlocs="0,8890;5080,10160;5080,0;0,8890" o:connectangles="0,0,0,0"/>
                  <v:fill on="t" focussize="0,0"/>
                  <v:stroke on="f"/>
                  <v:imagedata o:title=""/>
                  <o:lock v:ext="edit" aspectratio="f"/>
                </v:shape>
                <v:shape id="Freeform 1395" o:spid="_x0000_s1026" o:spt="100" style="position:absolute;left:3234690;top:807085;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BgjHEd3AAAAAoBAAAPAAAAAAAA&#10;AAEAIAAAACIAAABkcnMvZG93bnJldi54bWxQSwECFAAUAAAACACHTuJAoVaPyvICAAAQBwAADgAA&#10;AAAAAAABACAAAAArAQAAZHJzL2Uyb0RvYy54bWxQSwUGAAAAAAYABgBZAQAAjwYAAAAA&#10;" path="m0,14l8,16,8,0,0,14xe">
                  <v:path o:connectlocs="0,8890;5080,10160;5080,0;0,8890" o:connectangles="0,0,0,0"/>
                  <v:fill on="f" focussize="0,0"/>
                  <v:stroke weight="0.45pt" color="#000000" joinstyle="round"/>
                  <v:imagedata o:title=""/>
                  <o:lock v:ext="edit" aspectratio="f"/>
                </v:shape>
                <v:shape id="Freeform 1396" o:spid="_x0000_s1026" o:spt="100" style="position:absolute;left:3239770;top:807085;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C+jLvbWAAAACgEAAA8AAAAAAAAAAQAgAAAAIgAAAGRycy9kb3ducmV2LnhtbFBL&#10;AQIUABQAAAAIAIdO4kB9FHQt3AIAAOQGAAAOAAAAAAAAAAEAIAAAACUBAABkcnMvZTJvRG9jLnht&#10;bFBLBQYAAAAABgAGAFkBAABzBgAAAAA=&#10;" path="m0,16l8,14,0,0,0,16xe">
                  <v:path o:connectlocs="0,10160;5080,8890;0,0;0,10160" o:connectangles="0,0,0,0"/>
                  <v:fill on="t" focussize="0,0"/>
                  <v:stroke on="f"/>
                  <v:imagedata o:title=""/>
                  <o:lock v:ext="edit" aspectratio="f"/>
                </v:shape>
                <v:shape id="Freeform 1397" o:spid="_x0000_s1026" o:spt="100" style="position:absolute;left:3239770;top:807085;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BgjHEd3AAAAAoBAAAPAAAAAAAAAAEA&#10;IAAAACIAAABkcnMvZG93bnJldi54bWxQSwECFAAUAAAACACHTuJADWwE4e8CAAAQBwAADgAAAAAA&#10;AAABACAAAAArAQAAZHJzL2Uyb0RvYy54bWxQSwUGAAAAAAYABgBZAQAAjAYAAAAA&#10;" path="m0,16l8,14,0,0,0,16xe">
                  <v:path o:connectlocs="0,10160;5080,8890;0,0;0,10160" o:connectangles="0,0,0,0"/>
                  <v:fill on="f" focussize="0,0"/>
                  <v:stroke weight="0.45pt" color="#000000" joinstyle="round"/>
                  <v:imagedata o:title=""/>
                  <o:lock v:ext="edit" aspectratio="f"/>
                </v:shape>
                <v:shape id="Freeform 1398" o:spid="_x0000_s1026" o:spt="100" style="position:absolute;left:3239770;top:807085;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q7eSZdkAAAAKAQAADwAAAAAAAAABACAAAAAiAAAAZHJzL2Rvd25yZXYueG1sUEsB&#10;AhQAFAAAAAgAh07iQElmwHDYAgAA6AYAAA4AAAAAAAAAAQAgAAAAKAEAAGRycy9lMm9Eb2MueG1s&#10;UEsFBgAAAAAGAAYAWQEAAHIGAAAAAA==&#10;" path="m8,14l14,8,0,0,8,14xe">
                  <v:path o:connectlocs="5080,8890;8890,5080;0,0;5080,8890" o:connectangles="0,0,0,0"/>
                  <v:fill on="t" focussize="0,0"/>
                  <v:stroke on="f"/>
                  <v:imagedata o:title=""/>
                  <o:lock v:ext="edit" aspectratio="f"/>
                </v:shape>
                <v:shape id="Freeform 1399" o:spid="_x0000_s1026" o:spt="100" style="position:absolute;left:3239770;top:807085;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GDcpY1gAAAAoBAAAPAAAAAAAAAAEAIAAAACIA&#10;AABkcnMvZG93bnJldi54bWxQSwECFAAUAAAACACHTuJAaz6ucO8CAAAUBwAADgAAAAAAAAABACAA&#10;AAAlAQAAZHJzL2Uyb0RvYy54bWxQSwUGAAAAAAYABgBZAQAAhgYAAAAA&#10;" path="m8,14l14,8,0,0,8,14xe">
                  <v:path o:connectlocs="5080,8890;8890,5080;0,0;5080,8890" o:connectangles="0,0,0,0"/>
                  <v:fill on="f" focussize="0,0"/>
                  <v:stroke weight="0.45pt" color="#000000" joinstyle="round"/>
                  <v:imagedata o:title=""/>
                  <o:lock v:ext="edit" aspectratio="f"/>
                </v:shape>
                <v:shape id="Freeform 1400" o:spid="_x0000_s1026" o:spt="100" style="position:absolute;left:3239770;top:807085;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qcMze2AAAAAoBAAAPAAAAAAAAAAEAIAAAACIAAABkcnMvZG93bnJldi54bWxQSwECFAAUAAAA&#10;CACHTuJAe3pHqdICAADkBgAADgAAAAAAAAABACAAAAAnAQAAZHJzL2Uyb0RvYy54bWxQSwUGAAAA&#10;AAYABgBZAQAAawYAAAAA&#10;" path="m14,8l16,0,0,0,14,8xe">
                  <v:path o:connectlocs="8890,5080;10160,0;0,0;8890,5080" o:connectangles="0,0,0,0"/>
                  <v:fill on="t" focussize="0,0"/>
                  <v:stroke on="f"/>
                  <v:imagedata o:title=""/>
                  <o:lock v:ext="edit" aspectratio="f"/>
                </v:shape>
                <v:shape id="Freeform 1401" o:spid="_x0000_s1026" o:spt="100" style="position:absolute;left:3239770;top:807085;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CCchmjZAAAACgEAAA8AAAAAAAAAAQAgAAAAIgAA&#10;AGRycy9kb3ducmV2LnhtbFBLAQIUABQAAAAIAIdO4kDz1JPq6wIAABAHAAAOAAAAAAAAAAEAIAAA&#10;ACgBAABkcnMvZTJvRG9jLnhtbFBLBQYAAAAABgAGAFkBAACFBgAAAAA=&#10;" path="m14,8l16,0,0,0,14,8xe">
                  <v:path o:connectlocs="8890,5080;10160,0;0,0;8890,5080" o:connectangles="0,0,0,0"/>
                  <v:fill on="f" focussize="0,0"/>
                  <v:stroke weight="0.45pt" color="#000000" joinstyle="round"/>
                  <v:imagedata o:title=""/>
                  <o:lock v:ext="edit" aspectratio="f"/>
                </v:shape>
                <v:shape id="Freeform 1402" o:spid="_x0000_s1026" o:spt="100" style="position:absolute;left:3070225;top:799465;height:7620;width:10160;" fillcolor="#000000" filled="t" stroked="f" coordsize="16,12" o:gfxdata="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IHn2fjYAAAACgEAAA8AAAAAAAAAAQAgAAAAIgAAAGRycy9kb3ducmV2Lnht&#10;bFBLAQIUABQAAAAIAIdO4kC+1wus3QIAAO8GAAAOAAAAAAAAAAEAIAAAACcBAABkcnMvZTJvRG9j&#10;LnhtbFBLBQYAAAAABgAGAFkBAAB2BgAAAAA=&#10;" path="m16,12l11,0,0,12,16,12xe">
                  <v:path o:connectlocs="10160,7620;6985,0;0,7620;10160,7620" o:connectangles="0,0,0,0"/>
                  <v:fill on="t" focussize="0,0"/>
                  <v:stroke on="f"/>
                  <v:imagedata o:title=""/>
                  <o:lock v:ext="edit" aspectratio="f"/>
                </v:shape>
                <v:shape id="Freeform 1403" o:spid="_x0000_s1026" o:spt="100" style="position:absolute;left:3070225;top:799465;height:7620;width:10160;" filled="f" stroked="t" coordsize="16,12" o:gfxdata="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y9WTN9kAAAAKAQAADwAAAAAAAAABACAA&#10;AAAiAAAAZHJzL2Rvd25yZXYueG1sUEsBAhQAFAAAAAgAh07iQOMiLNDwAgAAGwcAAA4AAAAAAAAA&#10;AQAgAAAAKAEAAGRycy9lMm9Eb2MueG1sUEsFBgAAAAAGAAYAWQEAAIoGAAAAAA==&#10;" path="m16,12l11,0,0,12,16,12xe">
                  <v:path o:connectlocs="10160,7620;6985,0;0,7620;10160,7620" o:connectangles="0,0,0,0"/>
                  <v:fill on="f" focussize="0,0"/>
                  <v:stroke weight="0.45pt" color="#000000" joinstyle="round"/>
                  <v:imagedata o:title=""/>
                  <o:lock v:ext="edit" aspectratio="f"/>
                </v:shape>
                <v:shape id="Freeform 1404" o:spid="_x0000_s1026" o:spt="100" style="position:absolute;left:3070225;top:796290;height:10795;width:6985;" fillcolor="#000000" filled="t" stroked="f" coordsize="11,17" o:gfxdata="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F/BcanZAAAACgEAAA8AAAAAAAAAAQAgAAAAIgAAAGRycy9kb3ducmV2LnhtbFBL&#10;AQIUABQAAAAIAIdO4kDDT8yZ2QIAAOkGAAAOAAAAAAAAAAEAIAAAACgBAABkcnMvZTJvRG9jLnht&#10;bFBLBQYAAAAABgAGAFkBAABzBgAAAAA=&#10;" path="m11,5l0,0,0,17,11,5xe">
                  <v:path o:connectlocs="6985,3175;0,0;0,10795;6985,3175" o:connectangles="0,0,0,0"/>
                  <v:fill on="t" focussize="0,0"/>
                  <v:stroke on="f"/>
                  <v:imagedata o:title=""/>
                  <o:lock v:ext="edit" aspectratio="f"/>
                </v:shape>
                <v:shape id="Freeform 1405" o:spid="_x0000_s1026" o:spt="100" style="position:absolute;left:3070225;top:796290;height:10795;width:6985;" filled="f" stroked="t" coordsize="11,17" o:gfxdata="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3PeVltsAAAAKAQAADwAAAAAAAAABACAA&#10;AAAiAAAAZHJzL2Rvd25yZXYueG1sUEsBAhQAFAAAAAgAh07iQF35/nfuAgAAFQcAAA4AAAAAAAAA&#10;AQAgAAAAKgEAAGRycy9lMm9Eb2MueG1sUEsFBgAAAAAGAAYAWQEAAIoGAAAAAA==&#10;" path="m11,5l0,0,0,17,11,5xe">
                  <v:path o:connectlocs="6985,3175;0,0;0,10795;6985,3175" o:connectangles="0,0,0,0"/>
                  <v:fill on="f" focussize="0,0"/>
                  <v:stroke weight="0.45pt" color="#000000" joinstyle="round"/>
                  <v:imagedata o:title=""/>
                  <o:lock v:ext="edit" aspectratio="f"/>
                </v:shape>
                <v:shape id="Freeform 1406" o:spid="_x0000_s1026" o:spt="100" style="position:absolute;left:3062605;top:796290;height:10795;width:7620;" fillcolor="#000000" filled="t" stroked="f" coordsize="12,17" o:gfxdata="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wbOQ+tsAAAAKAQAADwAAAAAAAAABACAAAAAiAAAAZHJzL2Rvd25yZXYueG1s&#10;UEsBAhQAFAAAAAgAh07iQGrl/ibZAgAA6wYAAA4AAAAAAAAAAQAgAAAAKgEAAGRycy9lMm9Eb2Mu&#10;eG1sUEsFBgAAAAAGAAYAWQEAAHUGAAAAAA==&#10;" path="m12,0l0,5,12,17,12,0xe">
                  <v:path o:connectlocs="7620,0;0,3175;7620,10795;7620,0" o:connectangles="0,0,0,0"/>
                  <v:fill on="t" focussize="0,0"/>
                  <v:stroke on="f"/>
                  <v:imagedata o:title=""/>
                  <o:lock v:ext="edit" aspectratio="f"/>
                </v:shape>
                <v:shape id="Freeform 1407" o:spid="_x0000_s1026" o:spt="100" style="position:absolute;left:3062605;top:796290;height:10795;width:7620;" filled="f" stroked="t" coordsize="12,17" o:gfxdata="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hGvbMNoAAAAKAQAADwAAAAAAAAAB&#10;ACAAAAAiAAAAZHJzL2Rvd25yZXYueG1sUEsBAhQAFAAAAAgAh07iQNIwxoPyAgAAFwcAAA4AAAAA&#10;AAAAAQAgAAAAKQEAAGRycy9lMm9Eb2MueG1sUEsFBgAAAAAGAAYAWQEAAI0GAAAAAA==&#10;" path="m12,0l0,5,12,17,12,0xe">
                  <v:path o:connectlocs="7620,0;0,3175;7620,10795;7620,0" o:connectangles="0,0,0,0"/>
                  <v:fill on="f" focussize="0,0"/>
                  <v:stroke weight="0.45pt" color="#000000" joinstyle="round"/>
                  <v:imagedata o:title=""/>
                  <o:lock v:ext="edit" aspectratio="f"/>
                </v:shape>
                <v:shape id="Freeform 1408" o:spid="_x0000_s1026" o:spt="100" style="position:absolute;left:3060065;top:799465;height:7620;width:10160;" fillcolor="#000000" filled="t" stroked="f" coordsize="16,12" o:gfxdata="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B59n42AAAAAoBAAAPAAAAAAAAAAEAIAAAACIAAABkcnMvZG93bnJldi54bWxQSwECFAAU&#10;AAAACACHTuJA5u+6vtUCAADpBgAADgAAAAAAAAABACAAAAAnAQAAZHJzL2Uyb0RvYy54bWxQSwUG&#10;AAAAAAYABgBZAQAAbgYAAAAA&#10;" path="m4,0l0,12,16,12,4,0xe">
                  <v:path o:connectlocs="2540,0;0,7620;10160,7620;2540,0" o:connectangles="0,0,0,0"/>
                  <v:fill on="t" focussize="0,0"/>
                  <v:stroke on="f"/>
                  <v:imagedata o:title=""/>
                  <o:lock v:ext="edit" aspectratio="f"/>
                </v:shape>
                <v:shape id="Freeform 1409" o:spid="_x0000_s1026" o:spt="100" style="position:absolute;left:3060065;top:799465;height:7620;width:10160;" filled="f" stroked="t" coordsize="16,12" o:gfxdata="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DL1ZM32QAAAAoBAAAPAAAAAAAAAAEAIAAAACIA&#10;AABkcnMvZG93bnJldi54bWxQSwECFAAUAAAACACHTuJAEo4aJuwCAAAVBwAADgAAAAAAAAABACAA&#10;AAAoAQAAZHJzL2Uyb0RvYy54bWxQSwUGAAAAAAYABgBZAQAAhgYAAAAA&#10;" path="m4,0l0,12,16,12,4,0xe">
                  <v:path o:connectlocs="2540,0;0,7620;10160,7620;2540,0" o:connectangles="0,0,0,0"/>
                  <v:fill on="f" focussize="0,0"/>
                  <v:stroke weight="0.45pt" color="#000000" joinstyle="round"/>
                  <v:imagedata o:title=""/>
                  <o:lock v:ext="edit" aspectratio="f"/>
                </v:shape>
                <v:shape id="Freeform 1410" o:spid="_x0000_s1026" o:spt="100" style="position:absolute;left:3060065;top:807085;height:6985;width:10160;" fillcolor="#000000" filled="t" stroked="f" coordsize="16,11" o:gfxdata="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AeBpE2AAAAAoBAAAPAAAAAAAAAAEAIAAAACIAAABkcnMvZG93bnJldi54bWxQSwEC&#10;FAAUAAAACACHTuJADf8gFdgCAADnBgAADgAAAAAAAAABACAAAAAnAQAAZHJzL2Uyb0RvYy54bWxQ&#10;SwUGAAAAAAYABgBZAQAAcQYAAAAA&#10;" path="m0,0l4,11,16,0,0,0xe">
                  <v:path o:connectlocs="0,0;2540,6985;10160,0;0,0" o:connectangles="0,0,0,0"/>
                  <v:fill on="t" focussize="0,0"/>
                  <v:stroke on="f"/>
                  <v:imagedata o:title=""/>
                  <o:lock v:ext="edit" aspectratio="f"/>
                </v:shape>
                <v:shape id="Freeform 1411" o:spid="_x0000_s1026" o:spt="100" style="position:absolute;left:3060065;top:807085;height:6985;width:10160;" filled="f" stroked="t" coordsize="16,11" o:gfxdata="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o4zRF2gAAAAoBAAAPAAAAAAAAAAEA&#10;IAAAACIAAABkcnMvZG93bnJldi54bWxQSwECFAAUAAAACACHTuJAdH16+fECAAATBwAADgAAAAAA&#10;AAABACAAAAApAQAAZHJzL2Uyb0RvYy54bWxQSwUGAAAAAAYABgBZAQAAjAYAAAAA&#10;" path="m0,0l4,11,16,0,0,0xe">
                  <v:path o:connectlocs="0,0;2540,6985;10160,0;0,0" o:connectangles="0,0,0,0"/>
                  <v:fill on="f" focussize="0,0"/>
                  <v:stroke weight="0.45pt" color="#000000" joinstyle="round"/>
                  <v:imagedata o:title=""/>
                  <o:lock v:ext="edit" aspectratio="f"/>
                </v:shape>
                <v:shape id="Freeform 1412" o:spid="_x0000_s1026" o:spt="100" style="position:absolute;left:3062605;top:807085;height:10160;width:7620;" fillcolor="#000000" filled="t" stroked="f" coordsize="12,16" o:gfxdata="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3Qo6mtoAAAAKAQAADwAAAAAAAAABACAAAAAiAAAAZHJzL2Rvd25yZXYu&#10;eG1sUEsBAhQAFAAAAAgAh07iQOP2e1zdAgAA7QYAAA4AAAAAAAAAAQAgAAAAKQEAAGRycy9lMm9E&#10;b2MueG1sUEsFBgAAAAAGAAYAWQEAAHgGAAAAAA==&#10;" path="m0,11l12,16,12,0,0,11xe">
                  <v:path o:connectlocs="0,6985;7620,10160;7620,0;0,6985" o:connectangles="0,0,0,0"/>
                  <v:fill on="t" focussize="0,0"/>
                  <v:stroke on="f"/>
                  <v:imagedata o:title=""/>
                  <o:lock v:ext="edit" aspectratio="f"/>
                </v:shape>
                <v:shape id="Freeform 1413" o:spid="_x0000_s1026" o:spt="100" style="position:absolute;left:3062605;top:807085;height:10160;width:7620;" filled="f" stroked="t" coordsize="12,16" o:gfxdata="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ALUsOP2QAAAAoBAAAPAAAAAAAAAAEAIAAA&#10;ACIAAABkcnMvZG93bnJldi54bWxQSwECFAAUAAAACACHTuJA7oue8e8CAAAZBwAADgAAAAAAAAAB&#10;ACAAAAAoAQAAZHJzL2Uyb0RvYy54bWxQSwUGAAAAAAYABgBZAQAAiQYAAAAA&#10;" path="m0,11l12,16,12,0,0,11xe">
                  <v:path o:connectlocs="0,6985;7620,10160;7620,0;0,6985" o:connectangles="0,0,0,0"/>
                  <v:fill on="f" focussize="0,0"/>
                  <v:stroke weight="0.45pt" color="#000000" joinstyle="round"/>
                  <v:imagedata o:title=""/>
                  <o:lock v:ext="edit" aspectratio="f"/>
                </v:shape>
                <v:shape id="Freeform 1414" o:spid="_x0000_s1026" o:spt="100" style="position:absolute;left:3070225;top:807085;height:10160;width:6985;" fillcolor="#000000" filled="t" stroked="f" coordsize="11,16" o:gfxdata="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CDi2zD3AAAAAoBAAAPAAAAAAAAAAEAIAAAACIAAABkcnMvZG93bnJldi54&#10;bWxQSwECFAAUAAAACACHTuJAS2dFwNoCAADrBgAADgAAAAAAAAABACAAAAArAQAAZHJzL2Uyb0Rv&#10;Yy54bWxQSwUGAAAAAAYABgBZAQAAdwYAAAAA&#10;" path="m0,16l11,11,0,0,0,16xe">
                  <v:path o:connectlocs="0,10160;6985,6985;0,0;0,10160" o:connectangles="0,0,0,0"/>
                  <v:fill on="t" focussize="0,0"/>
                  <v:stroke on="f"/>
                  <v:imagedata o:title=""/>
                  <o:lock v:ext="edit" aspectratio="f"/>
                </v:shape>
                <v:shape id="Freeform 1415" o:spid="_x0000_s1026" o:spt="100" style="position:absolute;left:3070225;top:807085;height:10160;width:6985;" filled="f" stroked="t" coordsize="11,16" o:gfxdata="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Y3+i+NoAAAAKAQAADwAAAAAAAAABACAA&#10;AAAiAAAAZHJzL2Rvd25yZXYueG1sUEsBAhQAFAAAAAgAh07iQKdC4w3vAgAAFwcAAA4AAAAAAAAA&#10;AQAgAAAAKQEAAGRycy9lMm9Eb2MueG1sUEsFBgAAAAAGAAYAWQEAAIoGAAAAAA==&#10;" path="m0,16l11,11,0,0,0,16xe">
                  <v:path o:connectlocs="0,10160;6985,6985;0,0;0,10160" o:connectangles="0,0,0,0"/>
                  <v:fill on="f" focussize="0,0"/>
                  <v:stroke weight="0.45pt" color="#000000" joinstyle="round"/>
                  <v:imagedata o:title=""/>
                  <o:lock v:ext="edit" aspectratio="f"/>
                </v:shape>
                <v:shape id="Freeform 1416" o:spid="_x0000_s1026" o:spt="100" style="position:absolute;left:3070225;top:807085;height:6985;width:10160;" fillcolor="#000000" filled="t" stroked="f" coordsize="16,11" o:gfxdata="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AeBpE2AAAAAoBAAAPAAAAAAAAAAEAIAAAACIAAABkcnMvZG93bnJldi54bWxQSwECFAAU&#10;AAAACACHTuJAvC8Xv9UCAADtBgAADgAAAAAAAAABACAAAAAnAQAAZHJzL2Uyb0RvYy54bWxQSwUG&#10;AAAAAAYABgBZAQAAbgYAAAAA&#10;" path="m11,11l16,0,0,0,11,11xe">
                  <v:path o:connectlocs="6985,6985;10160,0;0,0;6985,6985" o:connectangles="0,0,0,0"/>
                  <v:fill on="t" focussize="0,0"/>
                  <v:stroke on="f"/>
                  <v:imagedata o:title=""/>
                  <o:lock v:ext="edit" aspectratio="f"/>
                </v:shape>
                <v:shape id="Freeform 1417" o:spid="_x0000_s1026" o:spt="100" style="position:absolute;left:3070225;top:807085;height:6985;width:10160;" filled="f" stroked="t" coordsize="16,11" o:gfxdata="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Ao4zRF2gAAAAoBAAAPAAAAAAAAAAEAIAAAACIA&#10;AABkcnMvZG93bnJldi54bWxQSwECFAAUAAAACACHTuJA3vT1E+sCAAAZBwAADgAAAAAAAAABACAA&#10;AAApAQAAZHJzL2Uyb0RvYy54bWxQSwUGAAAAAAYABgBZAQAAhgYAAAAA&#10;" path="m11,11l16,0,0,0,11,11xe">
                  <v:path o:connectlocs="6985,6985;10160,0;0,0;6985,6985" o:connectangles="0,0,0,0"/>
                  <v:fill on="f" focussize="0,0"/>
                  <v:stroke weight="0.45pt" color="#000000" joinstyle="round"/>
                  <v:imagedata o:title=""/>
                  <o:lock v:ext="edit" aspectratio="f"/>
                </v:shape>
                <v:shape id="Freeform 1418" o:spid="_x0000_s1026" o:spt="100" style="position:absolute;left:2895600;top:801370;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nDM3tgAAAAKAQAADwAAAAAAAAABACAAAAAiAAAAZHJzL2Rvd25yZXYueG1sUEsBAhQA&#10;FAAAAAgAh07iQEjryPfWAgAA5AYAAA4AAAAAAAAAAQAgAAAAJwEAAGRycy9lMm9Eb2MueG1sUEsF&#10;BgAAAAAGAAYAWQEAAG8GAAAAAA==&#10;" path="m16,8l14,0,0,8,16,8xe">
                  <v:path o:connectlocs="10160,5080;8890,0;0,5080;10160,5080" o:connectangles="0,0,0,0"/>
                  <v:fill on="t" focussize="0,0"/>
                  <v:stroke on="f"/>
                  <v:imagedata o:title=""/>
                  <o:lock v:ext="edit" aspectratio="f"/>
                </v:shape>
                <v:shape id="Freeform 1419" o:spid="_x0000_s1026" o:spt="100" style="position:absolute;left:2895600;top:801370;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IJyGaNkAAAAKAQAADwAAAAAAAAABACAAAAAiAAAA&#10;ZHJzL2Rvd25yZXYueG1sUEsBAhQAFAAAAAgAh07iQHSHhTjqAgAAEAcAAA4AAAAAAAAAAQAgAAAA&#10;KAEAAGRycy9lMm9Eb2MueG1sUEsFBgAAAAAGAAYAWQEAAIQGAAAAAA==&#10;" path="m16,8l14,0,0,8,16,8xe">
                  <v:path o:connectlocs="10160,5080;8890,0;0,5080;10160,5080" o:connectangles="0,0,0,0"/>
                  <v:fill on="f" focussize="0,0"/>
                  <v:stroke weight="0.45pt" color="#000000" joinstyle="round"/>
                  <v:imagedata o:title=""/>
                  <o:lock v:ext="edit" aspectratio="f"/>
                </v:shape>
                <v:shape id="Freeform 1420" o:spid="_x0000_s1026" o:spt="100" style="position:absolute;left:2895600;top:797560;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rt5Jl2QAAAAoBAAAPAAAAAAAAAAEAIAAAACIAAABkcnMvZG93bnJldi54bWxQSwECFAAUAAAA&#10;CACHTuJA0hIriNECAADoBgAADgAAAAAAAAABACAAAAAoAQAAZHJzL2Uyb0RvYy54bWxQSwUGAAAA&#10;AAYABgBZAQAAawYAAAAA&#10;" path="m14,6l8,0,0,14,14,6xe">
                  <v:path o:connectlocs="8890,3810;5080,0;0,8890;8890,3810" o:connectangles="0,0,0,0"/>
                  <v:fill on="t" focussize="0,0"/>
                  <v:stroke on="f"/>
                  <v:imagedata o:title=""/>
                  <o:lock v:ext="edit" aspectratio="f"/>
                </v:shape>
                <v:shape id="Freeform 1421" o:spid="_x0000_s1026" o:spt="100" style="position:absolute;left:2895600;top:797560;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GDcpY1gAAAAoBAAAPAAAAAAAAAAEAIAAAACIAAABkcnMv&#10;ZG93bnJldi54bWxQSwECFAAUAAAACACHTuJAWYs3qOkCAAAUBwAADgAAAAAAAAABACAAAAAlAQAA&#10;ZHJzL2Uyb0RvYy54bWxQSwUGAAAAAAYABgBZAQAAgAYAAAAA&#10;" path="m14,6l8,0,0,14,14,6xe">
                  <v:path o:connectlocs="8890,3810;5080,0;0,8890;8890,3810" o:connectangles="0,0,0,0"/>
                  <v:fill on="f" focussize="0,0"/>
                  <v:stroke weight="0.45pt" color="#000000" joinstyle="round"/>
                  <v:imagedata o:title=""/>
                  <o:lock v:ext="edit" aspectratio="f"/>
                </v:shape>
                <v:shape id="Freeform 1422" o:spid="_x0000_s1026" o:spt="100" style="position:absolute;left:2895600;top:796290;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voy721gAAAAoBAAAPAAAAAAAAAAEAIAAAACIAAABkcnMvZG93bnJldi54bWxQSwECFAAU&#10;AAAACACHTuJAjcJFdNcCAADgBgAADgAAAAAAAAABACAAAAAlAQAAZHJzL2Uyb0RvYy54bWxQSwUG&#10;AAAAAAYABgBZAQAAbgYAAAAA&#10;" path="m8,2l0,0,0,16,8,2xe">
                  <v:path o:connectlocs="5080,1270;0,0;0,10160;5080,1270" o:connectangles="0,0,0,0"/>
                  <v:fill on="t" focussize="0,0"/>
                  <v:stroke on="f"/>
                  <v:imagedata o:title=""/>
                  <o:lock v:ext="edit" aspectratio="f"/>
                </v:shape>
                <v:shape id="Freeform 1423" o:spid="_x0000_s1026" o:spt="100" style="position:absolute;left:2895600;top:796290;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GCMcR3cAAAACgEAAA8AAAAAAAAAAQAg&#10;AAAAIgAAAGRycy9kb3ducmV2LnhtbFBLAQIUABQAAAAIAIdO4kAB5VeA7gIAAAwHAAAOAAAAAAAA&#10;AAEAIAAAACsBAABkcnMvZTJvRG9jLnhtbFBLBQYAAAAABgAGAFkBAACLBgAAAAA=&#10;" path="m8,2l0,0,0,16,8,2xe">
                  <v:path o:connectlocs="5080,1270;0,0;0,10160;5080,1270" o:connectangles="0,0,0,0"/>
                  <v:fill on="f" focussize="0,0"/>
                  <v:stroke weight="0.45pt" color="#000000" joinstyle="round"/>
                  <v:imagedata o:title=""/>
                  <o:lock v:ext="edit" aspectratio="f"/>
                </v:shape>
                <v:shape id="Freeform 1424" o:spid="_x0000_s1026" o:spt="100" style="position:absolute;left:2890520;top:796290;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L6Mu9tYAAAAKAQAADwAAAAAAAAABACAAAAAiAAAAZHJzL2Rvd25yZXYueG1sUEsBAhQAFAAA&#10;AAgAh07iQJM8coHVAgAA4AYAAA4AAAAAAAAAAQAgAAAAJQEAAGRycy9lMm9Eb2MueG1sUEsFBgAA&#10;AAAGAAYAWQEAAGwGAAAAAA==&#10;" path="m8,0l0,2,8,16,8,0xe">
                  <v:path o:connectlocs="5080,0;0,1270;5080,10160;5080,0" o:connectangles="0,0,0,0"/>
                  <v:fill on="t" focussize="0,0"/>
                  <v:stroke on="f"/>
                  <v:imagedata o:title=""/>
                  <o:lock v:ext="edit" aspectratio="f"/>
                </v:shape>
                <v:shape id="Freeform 1425" o:spid="_x0000_s1026" o:spt="100" style="position:absolute;left:2890520;top:796290;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YIxxHdwAAAAKAQAADwAAAAAAAAABACAA&#10;AAAiAAAAZHJzL2Rvd25yZXYueG1sUEsBAhQAFAAAAAgAh07iQN+LoWrtAgAADAcAAA4AAAAAAAAA&#10;AQAgAAAAKwEAAGRycy9lMm9Eb2MueG1sUEsFBgAAAAAGAAYAWQEAAIoGAAAAAA==&#10;" path="m8,0l0,2,8,16,8,0xe">
                  <v:path o:connectlocs="5080,0;0,1270;5080,10160;5080,0" o:connectangles="0,0,0,0"/>
                  <v:fill on="f" focussize="0,0"/>
                  <v:stroke weight="0.45pt" color="#000000" joinstyle="round"/>
                  <v:imagedata o:title=""/>
                  <o:lock v:ext="edit" aspectratio="f"/>
                </v:shape>
                <v:shape id="Freeform 1426" o:spid="_x0000_s1026" o:spt="100" style="position:absolute;left:2886710;top:797560;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rt5Jl2QAAAAoBAAAPAAAAAAAAAAEAIAAAACIAAABkcnMvZG93bnJldi54bWxQSwECFAAUAAAA&#10;CACHTuJAO+FEQ9ECAADmBgAADgAAAAAAAAABACAAAAAoAQAAZHJzL2Uyb0RvYy54bWxQSwUGAAAA&#10;AAYABgBZAQAAawYAAAAA&#10;" path="m6,0l0,6,14,14,6,0xe">
                  <v:path o:connectlocs="3810,0;0,3810;8890,8890;3810,0" o:connectangles="0,0,0,0"/>
                  <v:fill on="t" focussize="0,0"/>
                  <v:stroke on="f"/>
                  <v:imagedata o:title=""/>
                  <o:lock v:ext="edit" aspectratio="f"/>
                </v:shape>
                <v:shape id="Freeform 1427" o:spid="_x0000_s1026" o:spt="100" style="position:absolute;left:2886710;top:797560;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EYNyljWAAAACgEAAA8AAAAAAAAAAQAgAAAAIgAAAGRy&#10;cy9kb3ducmV2LnhtbFBLAQIUABQAAAAIAIdO4kAsjG796wIAABIHAAAOAAAAAAAAAAEAIAAAACUB&#10;AABkcnMvZTJvRG9jLnhtbFBLBQYAAAAABgAGAFkBAACCBgAAAAA=&#10;" path="m6,0l0,6,14,14,6,0xe">
                  <v:path o:connectlocs="3810,0;0,3810;8890,8890;3810,0" o:connectangles="0,0,0,0"/>
                  <v:fill on="f" focussize="0,0"/>
                  <v:stroke weight="0.45pt" color="#000000" joinstyle="round"/>
                  <v:imagedata o:title=""/>
                  <o:lock v:ext="edit" aspectratio="f"/>
                </v:shape>
                <v:shape id="Freeform 1428" o:spid="_x0000_s1026" o:spt="100" style="position:absolute;left:2885440;top:801370;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CpwzN7YAAAACgEAAA8AAAAAAAAAAQAgAAAAIgAAAGRycy9kb3ducmV2LnhtbFBLAQIU&#10;ABQAAAAIAIdO4kBOyZpV1wIAAOAGAAAOAAAAAAAAAAEAIAAAACcBAABkcnMvZTJvRG9jLnhtbFBL&#10;BQYAAAAABgAGAFkBAABwBgAAAAA=&#10;" path="m2,0l0,8,16,8,2,0xe">
                  <v:path o:connectlocs="1270,0;0,5080;10160,5080;1270,0" o:connectangles="0,0,0,0"/>
                  <v:fill on="t" focussize="0,0"/>
                  <v:stroke on="f"/>
                  <v:imagedata o:title=""/>
                  <o:lock v:ext="edit" aspectratio="f"/>
                </v:shape>
                <v:shape id="Freeform 1429" o:spid="_x0000_s1026" o:spt="100" style="position:absolute;left:2885440;top:801370;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CCchmjZAAAACgEAAA8AAAAAAAAAAQAgAAAAIgAA&#10;AGRycy9kb3ducmV2LnhtbFBLAQIUABQAAAAIAIdO4kBqjfpl6wIAAAwHAAAOAAAAAAAAAAEAIAAA&#10;ACgBAABkcnMvZTJvRG9jLnhtbFBLBQYAAAAABgAGAFkBAACFBgAAAAA=&#10;" path="m2,0l0,8,16,8,2,0xe">
                  <v:path o:connectlocs="1270,0;0,5080;10160,5080;1270,0" o:connectangles="0,0,0,0"/>
                  <v:fill on="f" focussize="0,0"/>
                  <v:stroke weight="0.45pt" color="#000000" joinstyle="round"/>
                  <v:imagedata o:title=""/>
                  <o:lock v:ext="edit" aspectratio="f"/>
                </v:shape>
                <v:shape id="Freeform 1430" o:spid="_x0000_s1026" o:spt="100" style="position:absolute;left:2885440;top:806450;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nDM3tgAAAAKAQAADwAAAAAAAAABACAAAAAiAAAAZHJzL2Rvd25yZXYueG1sUEsBAhQAFAAA&#10;AAgAh07iQDhRwubTAgAA4AYAAA4AAAAAAAAAAQAgAAAAJwEAAGRycy9lMm9Eb2MueG1sUEsFBgAA&#10;AAAGAAYAWQEAAGwGAAAAAA==&#10;" path="m0,0l2,8,16,0,0,0xe">
                  <v:path o:connectlocs="0,0;1270,5080;10160,0;0,0" o:connectangles="0,0,0,0"/>
                  <v:fill on="t" focussize="0,0"/>
                  <v:stroke on="f"/>
                  <v:imagedata o:title=""/>
                  <o:lock v:ext="edit" aspectratio="f"/>
                </v:shape>
                <v:shape id="Freeform 1431" o:spid="_x0000_s1026" o:spt="100" style="position:absolute;left:2885440;top:806450;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AgnIZo2QAAAAoBAAAPAAAAAAAAAAEAIAAAACIA&#10;AABkcnMvZG93bnJldi54bWxQSwECFAAUAAAACACHTuJA/nhX1uwCAAAMBwAADgAAAAAAAAABACAA&#10;AAAoAQAAZHJzL2Uyb0RvYy54bWxQSwUGAAAAAAYABgBZAQAAhgYAAAAA&#10;" path="m0,0l2,8,16,0,0,0xe">
                  <v:path o:connectlocs="0,0;1270,5080;10160,0;0,0" o:connectangles="0,0,0,0"/>
                  <v:fill on="f" focussize="0,0"/>
                  <v:stroke weight="0.45pt" color="#000000" joinstyle="round"/>
                  <v:imagedata o:title=""/>
                  <o:lock v:ext="edit" aspectratio="f"/>
                </v:shape>
                <v:shape id="Freeform 1432" o:spid="_x0000_s1026" o:spt="100" style="position:absolute;left:2886710;top:806450;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Ku3kmXZAAAACgEAAA8AAAAAAAAAAQAgAAAAIgAAAGRycy9kb3ducmV2LnhtbFBLAQIUABQA&#10;AAAIAIdO4kBssQ7X0wIAAOYGAAAOAAAAAAAAAAEAIAAAACgBAABkcnMvZTJvRG9jLnhtbFBLBQYA&#10;AAAABgAGAFkBAABtBgAAAAA=&#10;" path="m0,8l6,14,14,0,0,8xe">
                  <v:path o:connectlocs="0,5080;3810,8890;8890,0;0,5080" o:connectangles="0,0,0,0"/>
                  <v:fill on="t" focussize="0,0"/>
                  <v:stroke on="f"/>
                  <v:imagedata o:title=""/>
                  <o:lock v:ext="edit" aspectratio="f"/>
                </v:shape>
                <v:shape id="Freeform 1433" o:spid="_x0000_s1026" o:spt="100" style="position:absolute;left:2886710;top:806450;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EYNyljWAAAACgEAAA8AAAAAAAAAAQAgAAAAIgAAAGRy&#10;cy9kb3ducmV2LnhtbFBLAQIUABQAAAAIAIdO4kBNLP4r6wIAABIHAAAOAAAAAAAAAAEAIAAAACUB&#10;AABkcnMvZTJvRG9jLnhtbFBLBQYAAAAABgAGAFkBAACCBgAAAAA=&#10;" path="m0,8l6,14,14,0,0,8xe">
                  <v:path o:connectlocs="0,5080;3810,8890;8890,0;0,5080" o:connectangles="0,0,0,0"/>
                  <v:fill on="f" focussize="0,0"/>
                  <v:stroke weight="0.45pt" color="#000000" joinstyle="round"/>
                  <v:imagedata o:title=""/>
                  <o:lock v:ext="edit" aspectratio="f"/>
                </v:shape>
                <v:shape id="Freeform 1434" o:spid="_x0000_s1026" o:spt="100" style="position:absolute;left:2890520;top:806450;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jLvbWAAAACgEAAA8AAAAAAAAAAQAgAAAAIgAAAGRycy9kb3ducmV2LnhtbFBLAQIUABQA&#10;AAAIAIdO4kDJCkZn1gIAAOQGAAAOAAAAAAAAAAEAIAAAACUBAABkcnMvZTJvRG9jLnhtbFBLBQYA&#10;AAAABgAGAFkBAABtBgAAAAA=&#10;" path="m0,14l8,16,8,0,0,14xe">
                  <v:path o:connectlocs="0,8890;5080,10160;5080,0;0,8890" o:connectangles="0,0,0,0"/>
                  <v:fill on="t" focussize="0,0"/>
                  <v:stroke on="f"/>
                  <v:imagedata o:title=""/>
                  <o:lock v:ext="edit" aspectratio="f"/>
                </v:shape>
                <v:shape id="Freeform 1435" o:spid="_x0000_s1026" o:spt="100" style="position:absolute;left:2890520;top:806450;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BgjHEd3AAAAAoBAAAPAAAAAAAAAAEA&#10;IAAAACIAAABkcnMvZG93bnJldi54bWxQSwECFAAUAAAACACHTuJAy3gSge8CAAAQBwAADgAAAAAA&#10;AAABACAAAAArAQAAZHJzL2Uyb0RvYy54bWxQSwUGAAAAAAYABgBZAQAAjAYAAAAA&#10;" path="m0,14l8,16,8,0,0,14xe">
                  <v:path o:connectlocs="0,8890;5080,10160;5080,0;0,8890" o:connectangles="0,0,0,0"/>
                  <v:fill on="f" focussize="0,0"/>
                  <v:stroke weight="0.45pt" color="#000000" joinstyle="round"/>
                  <v:imagedata o:title=""/>
                  <o:lock v:ext="edit" aspectratio="f"/>
                </v:shape>
                <v:shape id="Freeform 1436" o:spid="_x0000_s1026" o:spt="100" style="position:absolute;left:2895600;top:806450;height:10160;width:5080;" fillcolor="#000000" filled="t" stroked="f" coordsize="8,16" o:gfxdata="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L6Mu9tYAAAAKAQAADwAAAAAAAAABACAAAAAiAAAAZHJzL2Rvd25yZXYueG1sUEsBAhQA&#10;FAAAAAgAh07iQAgxJ2XYAgAA5AYAAA4AAAAAAAAAAQAgAAAAJQEAAGRycy9lMm9Eb2MueG1sUEsF&#10;BgAAAAAGAAYAWQEAAG8GAAAAAA==&#10;" path="m0,16l8,14,0,0,0,16xe">
                  <v:path o:connectlocs="0,10160;5080,8890;0,0;0,10160" o:connectangles="0,0,0,0"/>
                  <v:fill on="t" focussize="0,0"/>
                  <v:stroke on="f"/>
                  <v:imagedata o:title=""/>
                  <o:lock v:ext="edit" aspectratio="f"/>
                </v:shape>
                <v:shape id="Freeform 1437" o:spid="_x0000_s1026" o:spt="100" style="position:absolute;left:2895600;top:806450;height:10160;width:5080;" filled="f" stroked="t" coordsize="8,16" o:gfxdata="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BgjHEd3AAAAAoBAAAPAAAAAAAAAAEAIAAA&#10;ACIAAABkcnMvZG93bnJldi54bWxQSwECFAAUAAAACACHTuJAfv0bluwCAAAQBwAADgAAAAAAAAAB&#10;ACAAAAArAQAAZHJzL2Uyb0RvYy54bWxQSwUGAAAAAAYABgBZAQAAiQYAAAAA&#10;" path="m0,16l8,14,0,0,0,16xe">
                  <v:path o:connectlocs="0,10160;5080,8890;0,0;0,10160" o:connectangles="0,0,0,0"/>
                  <v:fill on="f" focussize="0,0"/>
                  <v:stroke weight="0.45pt" color="#000000" joinstyle="round"/>
                  <v:imagedata o:title=""/>
                  <o:lock v:ext="edit" aspectratio="f"/>
                </v:shape>
                <v:shape id="Freeform 1438" o:spid="_x0000_s1026" o:spt="100" style="position:absolute;left:2895600;top:806450;height:8890;width:8890;" fillcolor="#000000" filled="t" stroked="f" coordsize="14,14" o:gfxdata="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7eSZdkAAAAKAQAADwAAAAAAAAABACAAAAAiAAAAZHJzL2Rvd25yZXYueG1sUEsBAhQAFAAA&#10;AAgAh07iQNl1NvvSAgAA6AYAAA4AAAAAAAAAAQAgAAAAKAEAAGRycy9lMm9Eb2MueG1sUEsFBgAA&#10;AAAGAAYAWQEAAGwGAAAAAA==&#10;" path="m8,14l14,8,0,0,8,14xe">
                  <v:path o:connectlocs="5080,8890;8890,5080;0,0;5080,8890" o:connectangles="0,0,0,0"/>
                  <v:fill on="t" focussize="0,0"/>
                  <v:stroke on="f"/>
                  <v:imagedata o:title=""/>
                  <o:lock v:ext="edit" aspectratio="f"/>
                </v:shape>
                <v:shape id="Freeform 1439" o:spid="_x0000_s1026" o:spt="100" style="position:absolute;left:2895600;top:806450;height:8890;width:8890;" filled="f" stroked="t" coordsize="14,14" o:gfxdata="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EYNyljWAAAACgEAAA8AAAAAAAAAAQAgAAAAIgAAAGRycy9k&#10;b3ducmV2LnhtbFBLAQIUABQAAAAIAIdO4kDfCc726AIAABQHAAAOAAAAAAAAAAEAIAAAACUBAABk&#10;cnMvZTJvRG9jLnhtbFBLBQYAAAAABgAGAFkBAAB/BgAAAAA=&#10;" path="m8,14l14,8,0,0,8,14xe">
                  <v:path o:connectlocs="5080,8890;8890,5080;0,0;5080,8890" o:connectangles="0,0,0,0"/>
                  <v:fill on="f" focussize="0,0"/>
                  <v:stroke weight="0.45pt" color="#000000" joinstyle="round"/>
                  <v:imagedata o:title=""/>
                  <o:lock v:ext="edit" aspectratio="f"/>
                </v:shape>
                <v:shape id="Freeform 1440" o:spid="_x0000_s1026" o:spt="100" style="position:absolute;left:2895600;top:806450;height:5080;width:10160;" fillcolor="#000000" filled="t" stroked="f" coordsize="16,8" o:gfxdata="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pw&#10;zN7YAAAACgEAAA8AAAAAAAAAAQAgAAAAIgAAAGRycy9kb3ducmV2LnhtbFBLAQIUABQAAAAIAIdO&#10;4kBvVBjWzgIAAOQGAAAOAAAAAAAAAAEAIAAAACcBAABkcnMvZTJvRG9jLnhtbFBLBQYAAAAABgAG&#10;AFkBAABnBgAAAAA=&#10;" path="m14,8l16,0,0,0,14,8xe">
                  <v:path o:connectlocs="8890,5080;10160,0;0,0;8890,5080" o:connectangles="0,0,0,0"/>
                  <v:fill on="t" focussize="0,0"/>
                  <v:stroke on="f"/>
                  <v:imagedata o:title=""/>
                  <o:lock v:ext="edit" aspectratio="f"/>
                </v:shape>
                <v:shape id="Freeform 1441" o:spid="_x0000_s1026" o:spt="100" style="position:absolute;left:2895600;top:806450;height:5080;width:10160;" filled="f" stroked="t" coordsize="16,8" o:gfxdata="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CCchmjZAAAACgEAAA8AAAAAAAAAAQAgAAAAIgAAAGRy&#10;cy9kb3ducmV2LnhtbFBLAQIUABQAAAAIAIdO4kA9Z2Qe6AIAABAHAAAOAAAAAAAAAAEAIAAAACgB&#10;AABkcnMvZTJvRG9jLnhtbFBLBQYAAAAABgAGAFkBAACCBgAAAAA=&#10;" path="m14,8l16,0,0,0,14,8xe">
                  <v:path o:connectlocs="8890,5080;10160,0;0,0;8890,5080" o:connectangles="0,0,0,0"/>
                  <v:fill on="f" focussize="0,0"/>
                  <v:stroke weight="0.45pt" color="#000000" joinstyle="round"/>
                  <v:imagedata o:title=""/>
                  <o:lock v:ext="edit" aspectratio="f"/>
                </v:shape>
                <v:shape id="Freeform 1442" o:spid="_x0000_s1026" o:spt="100" style="position:absolute;left:3052445;top:556260;height:23495;width:26670;" fillcolor="#000000" filled="t" stroked="f" coordsize="42,37" o:gfxdata="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Av7g7J1wAAAAoBAAAPAAAAAAAAAAEAIAAAACIAAABkcnMvZG93&#10;bnJldi54bWxQSwECFAAUAAAACACHTuJAUuq/UeUCAADsBgAADgAAAAAAAAABACAAAAAmAQAAZHJz&#10;L2Uyb0RvYy54bWxQSwUGAAAAAAYABgBZAQAAfQYAAAAA&#10;" path="m10,0l0,8,42,37,10,0xe">
                  <v:path o:connectlocs="6350,0;0,5080;26670,23495;6350,0" o:connectangles="0,0,0,0"/>
                  <v:fill on="t" focussize="0,0"/>
                  <v:stroke on="f"/>
                  <v:imagedata o:title=""/>
                  <o:lock v:ext="edit" aspectratio="f"/>
                </v:shape>
                <v:shape id="Freeform 1443" o:spid="_x0000_s1026" o:spt="100" style="position:absolute;left:3052445;top:561340;height:24130;width:26670;" fillcolor="#000000" filled="t" stroked="f" coordsize="42,38" o:gfxdata="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86Tnl2wAAAAoBAAAPAAAAAAAAAAEAIAAAACIAAABkcnMvZG93&#10;bnJldi54bWxQSwECFAAUAAAACACHTuJAd/MgHeECAADsBgAADgAAAAAAAAABACAAAAAqAQAAZHJz&#10;L2Uyb0RvYy54bWxQSwUGAAAAAAYABgBZAQAAfQYAAAAA&#10;" path="m0,0l42,29,33,38,0,0xe">
                  <v:path o:connectlocs="0,0;26670,18415;20955,24130;0,0" o:connectangles="0,0,0,0"/>
                  <v:fill on="t" focussize="0,0"/>
                  <v:stroke on="f"/>
                  <v:imagedata o:title=""/>
                  <o:lock v:ext="edit" aspectratio="f"/>
                </v:shape>
                <v:shape id="Freeform 1444" o:spid="_x0000_s1026" o:spt="100" style="position:absolute;left:3052445;top:556260;height:29210;width:26670;" filled="f" stroked="t" coordsize="42,46" o:gfxdata="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4TIjcdkAAAAKAQAADwAAAAAAAAABACAAAAAiAAAAZHJzL2Rvd25yZXYueG1s&#10;UEsBAhQAFAAAAAgAh07iQEEImKIUAwAAsQcAAA4AAAAAAAAAAQAgAAAAKAEAAGRycy9lMm9Eb2Mu&#10;eG1sUEsFBgAAAAAGAAYAWQEAAK4GAAAAAA==&#10;" path="m10,0l0,8,33,46,42,37,10,0xe">
                  <v:path o:connectlocs="6350,0;0,5080;20955,29210;26670,23495;6350,0" o:connectangles="0,0,0,0,0"/>
                  <v:fill on="f" focussize="0,0"/>
                  <v:stroke weight="0.45pt" color="#000000" joinstyle="round"/>
                  <v:imagedata o:title=""/>
                  <o:lock v:ext="edit" aspectratio="f"/>
                </v:shape>
                <v:shape id="Freeform 1445" o:spid="_x0000_s1026" o:spt="100" style="position:absolute;left:3070225;top:534035;height:24130;width:27305;" fillcolor="#000000" filled="t" stroked="f" coordsize="43,38" o:gfxdata="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J+vZ1/ZAAAACgEAAA8AAAAAAAAAAQAgAAAAIgAAAGRycy9kb3du&#10;cmV2LnhtbFBLAQIUABQAAAAIAIdO4kC2uPWn4gIAAOwGAAAOAAAAAAAAAAEAIAAAACgBAABkcnMv&#10;ZTJvRG9jLnhtbFBLBQYAAAAABgAGAFkBAAB8BgAAAAA=&#10;" path="m10,0l0,9,43,38,10,0xe">
                  <v:path o:connectlocs="6350,0;0,5715;27305,24130;6350,0" o:connectangles="0,0,0,0"/>
                  <v:fill on="t" focussize="0,0"/>
                  <v:stroke on="f"/>
                  <v:imagedata o:title=""/>
                  <o:lock v:ext="edit" aspectratio="f"/>
                </v:shape>
                <v:shape id="Freeform 1446" o:spid="_x0000_s1026" o:spt="100" style="position:absolute;left:3070225;top:539750;height:24130;width:27305;" fillcolor="#000000" filled="t" stroked="f" coordsize="43,38" o:gfxdata="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n69nX9kAAAAKAQAADwAAAAAAAAABACAAAAAiAAAAZHJzL2Rvd25y&#10;ZXYueG1sUEsBAhQAFAAAAAgAh07iQK6kK0nhAgAA7AYAAA4AAAAAAAAAAQAgAAAAKAEAAGRycy9l&#10;Mm9Eb2MueG1sUEsFBgAAAAAGAAYAWQEAAHsGAAAAAA==&#10;" path="m0,0l43,29,33,38,0,0xe">
                  <v:path o:connectlocs="0,0;27305,18415;20955,24130;0,0" o:connectangles="0,0,0,0"/>
                  <v:fill on="t" focussize="0,0"/>
                  <v:stroke on="f"/>
                  <v:imagedata o:title=""/>
                  <o:lock v:ext="edit" aspectratio="f"/>
                </v:shape>
                <v:shape id="Freeform 1447" o:spid="_x0000_s1026" o:spt="100" style="position:absolute;left:3070225;top:534035;height:29845;width:27305;" filled="f" stroked="t" coordsize="43,47" o:gfxdata="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" path="m10,0l0,9,33,47,43,38,10,0xe">
                  <v:path o:connectlocs="6350,0;0,5715;20955,29845;27305,24130;6350,0" o:connectangles="0,0,0,0,0"/>
                  <v:fill on="f" focussize="0,0"/>
                  <v:stroke weight="0.45pt" color="#000000" joinstyle="round"/>
                  <v:imagedata o:title=""/>
                  <o:lock v:ext="edit" aspectratio="f"/>
                </v:shape>
                <v:shape id="Freeform 1448" o:spid="_x0000_s1026" o:spt="100" style="position:absolute;left:3206115;top:531495;height:25400;width:26035;" fillcolor="#000000" filled="t" stroked="f" coordsize="41,40" o:gfxdata="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xTFUs2wAAAAoBAAAPAAAAAAAAAAEAIAAAACIAAABkcnMvZG93&#10;bnJldi54bWxQSwECFAAUAAAACACHTuJAPYHEbOECAADsBgAADgAAAAAAAAABACAAAAAqAQAAZHJz&#10;L2Uyb0RvYy54bWxQSwUGAAAAAAYABgBZAQAAfQYAAAAA&#10;" path="m0,29l8,40,41,0,0,29xe">
                  <v:path o:connectlocs="0,18415;5080,25400;26035,0;0,18415" o:connectangles="0,0,0,0"/>
                  <v:fill on="t" focussize="0,0"/>
                  <v:stroke on="f"/>
                  <v:imagedata o:title=""/>
                  <o:lock v:ext="edit" aspectratio="f"/>
                </v:shape>
                <v:shape id="Freeform 1449" o:spid="_x0000_s1026" o:spt="100" style="position:absolute;left:3211195;top:531495;height:25400;width:25400;" fillcolor="#000000" filled="t" stroked="f" coordsize="40,40" o:gfxdata="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Z+M0k2AAAAAoBAAAPAAAAAAAAAAEAIAAAACIAAABkcnMvZG93bnJldi54bWxQSwEC&#10;FAAUAAAACACHTuJApXu8/dgCAADuBgAADgAAAAAAAAABACAAAAAnAQAAZHJzL2Uyb0RvYy54bWxQ&#10;SwUGAAAAAAYABgBZAQAAcQYAAAAA&#10;" path="m0,40l33,0,40,10,0,40xe">
                  <v:path o:connectlocs="0,25400;20955,0;25400,6350;0,25400" o:connectangles="0,0,0,0"/>
                  <v:fill on="t" focussize="0,0"/>
                  <v:stroke on="f"/>
                  <v:imagedata o:title=""/>
                  <o:lock v:ext="edit" aspectratio="f"/>
                </v:shape>
                <v:shape id="Freeform 1450" o:spid="_x0000_s1026" o:spt="100" style="position:absolute;left:3206115;top:531495;height:25400;width:30480;" filled="f" stroked="t" coordsize="48,40" o:gfxdata="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LcJIxrbAAAACgEAAA8AAAAAAAAAAQAgAAAAIgAAAGRycy9kb3ducmV2LnhtbFBLAQIU&#10;ABQAAAAIAIdO4kASvV5MDQMAALEHAAAOAAAAAAAAAAEAIAAAACoBAABkcnMvZTJvRG9jLnhtbFBL&#10;BQYAAAAABgAGAFkBAACpBgAAAAA=&#10;" path="m0,29l8,40,48,10,41,0,0,29xe">
                  <v:path o:connectlocs="0,18415;5080,25400;30480,6350;26035,0;0,18415" o:connectangles="0,0,0,0,0"/>
                  <v:fill on="f" focussize="0,0"/>
                  <v:stroke weight="0.45pt" color="#000000" joinstyle="round"/>
                  <v:imagedata o:title=""/>
                  <o:lock v:ext="edit" aspectratio="f"/>
                </v:shape>
                <v:shape id="Freeform 1451" o:spid="_x0000_s1026" o:spt="100" style="position:absolute;left:3223260;top:548640;height:24765;width:26035;" fillcolor="#000000" filled="t" stroked="f" coordsize="41,39" o:gfxdata="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AtzT9o2AAAAAoBAAAPAAAAAAAAAAEAIAAAACIAAABkcnMvZG93&#10;bnJldi54bWxQSwECFAAUAAAACACHTuJAJ4RfaeQCAADsBgAADgAAAAAAAAABACAAAAAnAQAAZHJz&#10;L2Uyb0RvYy54bWxQSwUGAAAAAAYABgBZAQAAfQYAAAAA&#10;" path="m0,29l8,39,41,0,0,29xe">
                  <v:path o:connectlocs="0,18415;5080,24765;26035,0;0,18415" o:connectangles="0,0,0,0"/>
                  <v:fill on="t" focussize="0,0"/>
                  <v:stroke on="f"/>
                  <v:imagedata o:title=""/>
                  <o:lock v:ext="edit" aspectratio="f"/>
                </v:shape>
                <v:shape id="Freeform 1452" o:spid="_x0000_s1026" o:spt="100" style="position:absolute;left:3228340;top:548640;height:24765;width:25400;" fillcolor="#000000" filled="t" stroked="f" coordsize="40,39" o:gfxdata="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IWaMRvYAAAACgEAAA8AAAAAAAAAAQAgAAAAIgAAAGRycy9kb3ducmV2Lnht&#10;bFBLAQIUABQAAAAIAIdO4kCfmQae3QIAAO4GAAAOAAAAAAAAAAEAIAAAACcBAABkcnMvZTJvRG9j&#10;LnhtbFBLBQYAAAAABgAGAFkBAAB2BgAAAAA=&#10;" path="m0,39l33,0,40,10,0,39xe">
                  <v:path o:connectlocs="0,24765;20955,0;25400,6350;0,24765" o:connectangles="0,0,0,0"/>
                  <v:fill on="t" focussize="0,0"/>
                  <v:stroke on="f"/>
                  <v:imagedata o:title=""/>
                  <o:lock v:ext="edit" aspectratio="f"/>
                </v:shape>
                <v:shape id="Freeform 1453" o:spid="_x0000_s1026" o:spt="100" style="position:absolute;left:3223260;top:548640;height:24765;width:30480;" filled="f" stroked="t" coordsize="48,39" o:gfxdata="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EFRxnPYAAAACgEAAA8AAAAAAAAAAQAgAAAAIgAAAGRycy9kb3ducmV2LnhtbFBLAQIU&#10;ABQAAAAIAIdO4kC7OFnZEAMAALEHAAAOAAAAAAAAAAEAIAAAACcBAABkcnMvZTJvRG9jLnhtbFBL&#10;BQYAAAAABgAGAFkBAACpBgAAAAA=&#10;" path="m0,29l8,39,48,10,41,0,0,29xe">
                  <v:path o:connectlocs="0,18415;5080,24765;30480,6350;26035,0;0,18415" o:connectangles="0,0,0,0,0"/>
                  <v:fill on="f" focussize="0,0"/>
                  <v:stroke weight="0.45pt" color="#000000" joinstyle="round"/>
                  <v:imagedata o:title=""/>
                  <o:lock v:ext="edit" aspectratio="f"/>
                </v:shape>
              </v:group>
            </w:pict>
          </mc:Fallback>
        </mc:AlternateContent>
      </w:r>
    </w:p>
    <w:p w14:paraId="5E60A878">
      <w:pPr>
        <w:adjustRightInd w:val="0"/>
        <w:snapToGrid w:val="0"/>
        <w:ind w:firstLine="651" w:firstLineChars="362"/>
        <w:rPr>
          <w:color w:val="auto"/>
          <w:sz w:val="18"/>
          <w:szCs w:val="18"/>
        </w:rPr>
      </w:pPr>
    </w:p>
    <w:p w14:paraId="74F24EDE">
      <w:pPr>
        <w:adjustRightInd w:val="0"/>
        <w:snapToGrid w:val="0"/>
        <w:ind w:firstLine="651" w:firstLineChars="362"/>
        <w:rPr>
          <w:color w:val="auto"/>
          <w:sz w:val="18"/>
          <w:szCs w:val="18"/>
        </w:rPr>
      </w:pPr>
    </w:p>
    <w:p w14:paraId="5C3DAA04">
      <w:pPr>
        <w:adjustRightInd w:val="0"/>
        <w:snapToGrid w:val="0"/>
        <w:ind w:firstLine="651" w:firstLineChars="362"/>
        <w:rPr>
          <w:color w:val="auto"/>
          <w:sz w:val="18"/>
          <w:szCs w:val="18"/>
        </w:rPr>
      </w:pPr>
    </w:p>
    <w:p w14:paraId="0D69F172">
      <w:pPr>
        <w:adjustRightInd w:val="0"/>
        <w:snapToGrid w:val="0"/>
        <w:ind w:firstLine="651" w:firstLineChars="362"/>
        <w:rPr>
          <w:color w:val="auto"/>
          <w:sz w:val="18"/>
          <w:szCs w:val="18"/>
        </w:rPr>
      </w:pPr>
    </w:p>
    <w:p w14:paraId="4C7BBF02">
      <w:pPr>
        <w:adjustRightInd w:val="0"/>
        <w:snapToGrid w:val="0"/>
        <w:ind w:firstLine="651" w:firstLineChars="362"/>
        <w:rPr>
          <w:color w:val="auto"/>
          <w:sz w:val="18"/>
          <w:szCs w:val="18"/>
        </w:rPr>
      </w:pPr>
    </w:p>
    <w:p w14:paraId="44821F28">
      <w:pPr>
        <w:adjustRightInd w:val="0"/>
        <w:snapToGrid w:val="0"/>
        <w:ind w:firstLine="651" w:firstLineChars="362"/>
        <w:rPr>
          <w:color w:val="auto"/>
          <w:sz w:val="18"/>
          <w:szCs w:val="18"/>
        </w:rPr>
      </w:pPr>
    </w:p>
    <w:p w14:paraId="43F29628">
      <w:pPr>
        <w:adjustRightInd w:val="0"/>
        <w:snapToGrid w:val="0"/>
        <w:ind w:firstLine="651" w:firstLineChars="362"/>
        <w:rPr>
          <w:color w:val="auto"/>
          <w:sz w:val="18"/>
          <w:szCs w:val="18"/>
        </w:rPr>
      </w:pPr>
    </w:p>
    <w:p w14:paraId="698845D1">
      <w:pPr>
        <w:adjustRightInd w:val="0"/>
        <w:snapToGrid w:val="0"/>
        <w:ind w:firstLine="651" w:firstLineChars="362"/>
        <w:rPr>
          <w:color w:val="auto"/>
          <w:sz w:val="18"/>
          <w:szCs w:val="18"/>
        </w:rPr>
      </w:pPr>
    </w:p>
    <w:p w14:paraId="1B2B0125">
      <w:pPr>
        <w:adjustRightInd w:val="0"/>
        <w:snapToGrid w:val="0"/>
        <w:ind w:firstLine="651" w:firstLineChars="362"/>
        <w:rPr>
          <w:color w:val="auto"/>
          <w:sz w:val="18"/>
          <w:szCs w:val="18"/>
        </w:rPr>
      </w:pPr>
    </w:p>
    <w:p w14:paraId="1BAB3C4B">
      <w:pPr>
        <w:adjustRightInd w:val="0"/>
        <w:snapToGrid w:val="0"/>
        <w:ind w:firstLine="651" w:firstLineChars="362"/>
        <w:rPr>
          <w:color w:val="auto"/>
          <w:sz w:val="18"/>
          <w:szCs w:val="18"/>
        </w:rPr>
      </w:pPr>
    </w:p>
    <w:p w14:paraId="26EA674A">
      <w:pPr>
        <w:adjustRightInd w:val="0"/>
        <w:snapToGrid w:val="0"/>
        <w:ind w:firstLine="651" w:firstLineChars="362"/>
        <w:rPr>
          <w:color w:val="auto"/>
          <w:sz w:val="18"/>
          <w:szCs w:val="18"/>
        </w:rPr>
      </w:pPr>
    </w:p>
    <w:p w14:paraId="66D2AD3A">
      <w:pPr>
        <w:adjustRightInd w:val="0"/>
        <w:snapToGrid w:val="0"/>
        <w:spacing w:line="300" w:lineRule="exact"/>
        <w:ind w:firstLine="813" w:firstLineChars="450"/>
        <w:jc w:val="center"/>
        <w:rPr>
          <w:b/>
          <w:color w:val="auto"/>
          <w:sz w:val="18"/>
          <w:szCs w:val="18"/>
        </w:rPr>
      </w:pPr>
      <w:r>
        <w:rPr>
          <w:b/>
          <w:color w:val="auto"/>
          <w:sz w:val="18"/>
          <w:szCs w:val="18"/>
        </w:rPr>
        <w:t>图13 承台配筋示意图</w:t>
      </w:r>
    </w:p>
    <w:p w14:paraId="0D91EBB6">
      <w:pPr>
        <w:adjustRightInd w:val="0"/>
        <w:snapToGrid w:val="0"/>
        <w:spacing w:before="240" w:line="340" w:lineRule="exact"/>
        <w:ind w:firstLine="422" w:firstLineChars="200"/>
        <w:rPr>
          <w:color w:val="auto"/>
          <w:szCs w:val="21"/>
        </w:rPr>
      </w:pPr>
      <w:r>
        <w:rPr>
          <w:rFonts w:eastAsia="黑体"/>
          <w:b/>
          <w:color w:val="auto"/>
          <w:szCs w:val="21"/>
        </w:rPr>
        <w:t>e)</w:t>
      </w:r>
      <w:r>
        <w:rPr>
          <w:color w:val="auto"/>
          <w:szCs w:val="21"/>
        </w:rPr>
        <w:t xml:space="preserve">  承台混凝土强度等级不应低于C25，纵向钢筋的混凝土保护层厚度不应小于70mm，当有混凝土垫层时，不应小于50mm。</w:t>
      </w:r>
    </w:p>
    <w:p w14:paraId="77F40CD7">
      <w:pPr>
        <w:adjustRightInd w:val="0"/>
        <w:snapToGrid w:val="0"/>
        <w:spacing w:line="340" w:lineRule="exact"/>
        <w:rPr>
          <w:color w:val="auto"/>
          <w:szCs w:val="21"/>
        </w:rPr>
      </w:pPr>
      <w:r>
        <w:rPr>
          <w:rFonts w:eastAsia="黑体"/>
          <w:b/>
          <w:color w:val="auto"/>
          <w:szCs w:val="21"/>
        </w:rPr>
        <w:t>12.5.2</w:t>
      </w:r>
      <w:r>
        <w:rPr>
          <w:color w:val="auto"/>
          <w:szCs w:val="21"/>
        </w:rPr>
        <w:t xml:space="preserve">  柱下桩基承台的弯矩可按以下简化计算</w:t>
      </w:r>
      <w:r>
        <w:rPr>
          <w:rFonts w:hint="eastAsia"/>
          <w:color w:val="auto"/>
          <w:lang w:val="en-US" w:eastAsia="zh-CN"/>
        </w:rPr>
        <w:t>公式（83）~（87）</w:t>
      </w:r>
      <w:r>
        <w:rPr>
          <w:color w:val="auto"/>
          <w:szCs w:val="21"/>
        </w:rPr>
        <w:t>确定：</w:t>
      </w:r>
    </w:p>
    <w:p w14:paraId="1CC6713E">
      <w:pPr>
        <w:adjustRightInd w:val="0"/>
        <w:snapToGrid w:val="0"/>
        <w:spacing w:line="340" w:lineRule="exact"/>
        <w:ind w:firstLine="420"/>
        <w:rPr>
          <w:color w:val="auto"/>
          <w:szCs w:val="21"/>
        </w:rPr>
      </w:pPr>
      <w:r>
        <w:rPr>
          <w:rFonts w:eastAsia="黑体"/>
          <w:b/>
          <w:color w:val="auto"/>
          <w:szCs w:val="21"/>
        </w:rPr>
        <w:t>a)</w:t>
      </w:r>
      <w:r>
        <w:rPr>
          <w:color w:val="auto"/>
          <w:szCs w:val="21"/>
        </w:rPr>
        <w:t xml:space="preserve">  多桩矩形承台计算截面取在柱边和承台高度变化处（杯口外侧或台阶边缘，图14</w:t>
      </w:r>
      <w:r>
        <w:rPr>
          <w:i/>
          <w:color w:val="auto"/>
          <w:szCs w:val="21"/>
        </w:rPr>
        <w:t>a</w:t>
      </w:r>
      <w:r>
        <w:rPr>
          <w:color w:val="auto"/>
          <w:szCs w:val="21"/>
        </w:rPr>
        <w:t>）：</w:t>
      </w:r>
    </w:p>
    <w:p w14:paraId="2FE0CF11">
      <w:pPr>
        <w:pStyle w:val="12"/>
        <w:jc w:val="right"/>
        <w:rPr>
          <w:color w:val="auto"/>
          <w:szCs w:val="21"/>
        </w:rPr>
      </w:pPr>
      <w:r>
        <w:rPr>
          <w:color w:val="auto"/>
          <w:position w:val="-28"/>
          <w:szCs w:val="21"/>
        </w:rPr>
        <w:object>
          <v:shape id="_x0000_i1415" o:spt="75" type="#_x0000_t75" style="height:36.75pt;width:64.5pt;" o:ole="t" filled="f" o:preferrelative="t" stroked="f" coordsize="21600,21600">
            <v:path/>
            <v:fill on="f" focussize="0,0"/>
            <v:stroke on="f" joinstyle="miter"/>
            <v:imagedata r:id="rId763" o:title=""/>
            <o:lock v:ext="edit" aspectratio="t"/>
            <w10:wrap type="none"/>
            <w10:anchorlock/>
          </v:shape>
          <o:OLEObject Type="Embed" ProgID="Equation.DSMT4" ShapeID="_x0000_i1415" DrawAspect="Content" ObjectID="_1468076115" r:id="rId76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83</w:t>
      </w:r>
      <w:r>
        <w:rPr>
          <w:color w:val="auto"/>
          <w:szCs w:val="21"/>
        </w:rPr>
        <w:fldChar w:fldCharType="end"/>
      </w:r>
      <w:r>
        <w:rPr>
          <w:color w:val="auto"/>
          <w:szCs w:val="21"/>
        </w:rPr>
        <w:t>)</w:t>
      </w:r>
    </w:p>
    <w:p w14:paraId="08654C9F">
      <w:pPr>
        <w:pStyle w:val="12"/>
        <w:jc w:val="right"/>
        <w:rPr>
          <w:color w:val="auto"/>
          <w:szCs w:val="21"/>
        </w:rPr>
      </w:pPr>
      <w:r>
        <w:rPr>
          <w:color w:val="auto"/>
          <w:szCs w:val="21"/>
        </w:rPr>
        <w:t xml:space="preserve">  </w:t>
      </w:r>
      <w:r>
        <w:rPr>
          <w:color w:val="auto"/>
          <w:position w:val="-28"/>
          <w:szCs w:val="21"/>
        </w:rPr>
        <w:object>
          <v:shape id="_x0000_i1416" o:spt="75" type="#_x0000_t75" style="height:36.75pt;width:64.5pt;" o:ole="t" filled="f" o:preferrelative="t" stroked="f" coordsize="21600,21600">
            <v:path/>
            <v:fill on="f" focussize="0,0"/>
            <v:stroke on="f" joinstyle="miter"/>
            <v:imagedata r:id="rId765" o:title=""/>
            <o:lock v:ext="edit" aspectratio="t"/>
            <w10:wrap type="none"/>
            <w10:anchorlock/>
          </v:shape>
          <o:OLEObject Type="Embed" ProgID="Equation.DSMT4" ShapeID="_x0000_i1416" DrawAspect="Content" ObjectID="_1468076116" r:id="rId764">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84</w:t>
      </w:r>
      <w:r>
        <w:rPr>
          <w:color w:val="auto"/>
          <w:szCs w:val="21"/>
        </w:rPr>
        <w:fldChar w:fldCharType="end"/>
      </w:r>
      <w:r>
        <w:rPr>
          <w:color w:val="auto"/>
          <w:szCs w:val="21"/>
        </w:rPr>
        <w:t>)</w:t>
      </w:r>
    </w:p>
    <w:p w14:paraId="40F296E0">
      <w:pPr>
        <w:adjustRightInd w:val="0"/>
        <w:snapToGrid w:val="0"/>
        <w:spacing w:line="340" w:lineRule="exact"/>
        <w:ind w:left="2001" w:hanging="2001" w:hangingChars="953"/>
        <w:rPr>
          <w:color w:val="auto"/>
          <w:szCs w:val="21"/>
        </w:rPr>
      </w:pPr>
      <w:r>
        <w:rPr>
          <w:color w:val="auto"/>
          <w:szCs w:val="21"/>
        </w:rPr>
        <w:t xml:space="preserve">式中  </w:t>
      </w:r>
      <w:r>
        <w:rPr>
          <w:color w:val="auto"/>
          <w:position w:val="-12"/>
          <w:szCs w:val="21"/>
        </w:rPr>
        <w:object>
          <v:shape id="_x0000_i1417" o:spt="75" type="#_x0000_t75" style="height:15pt;width:15pt;" o:ole="t" filled="f" o:preferrelative="t" stroked="f" coordsize="21600,21600">
            <v:path/>
            <v:fill on="f" focussize="0,0"/>
            <v:stroke on="f" joinstyle="miter"/>
            <v:imagedata r:id="rId767" o:title=""/>
            <o:lock v:ext="edit" aspectratio="t"/>
            <w10:wrap type="none"/>
            <w10:anchorlock/>
          </v:shape>
          <o:OLEObject Type="Embed" ProgID="Equation.DSMT4" ShapeID="_x0000_i1417" DrawAspect="Content" ObjectID="_1468076117" r:id="rId766">
            <o:LockedField>false</o:LockedField>
          </o:OLEObject>
        </w:object>
      </w:r>
      <w:r>
        <w:rPr>
          <w:color w:val="auto"/>
          <w:szCs w:val="21"/>
        </w:rPr>
        <w:t>、</w:t>
      </w:r>
      <w:r>
        <w:rPr>
          <w:color w:val="auto"/>
          <w:position w:val="-14"/>
          <w:szCs w:val="21"/>
        </w:rPr>
        <w:object>
          <v:shape id="_x0000_i1418" o:spt="75" type="#_x0000_t75" style="height:21.75pt;width:15pt;" o:ole="t" filled="f" o:preferrelative="t" stroked="f" coordsize="21600,21600">
            <v:path/>
            <v:fill on="f" focussize="0,0"/>
            <v:stroke on="f" joinstyle="miter"/>
            <v:imagedata r:id="rId769" o:title=""/>
            <o:lock v:ext="edit" aspectratio="t"/>
            <w10:wrap type="none"/>
            <w10:anchorlock/>
          </v:shape>
          <o:OLEObject Type="Embed" ProgID="Equation.DSMT4" ShapeID="_x0000_i1418" DrawAspect="Content" ObjectID="_1468076118" r:id="rId768">
            <o:LockedField>false</o:LockedField>
          </o:OLEObject>
        </w:object>
      </w:r>
      <w:r>
        <w:rPr>
          <w:color w:val="auto"/>
          <w:szCs w:val="21"/>
        </w:rPr>
        <w:t>——分别为垂直</w:t>
      </w:r>
      <w:r>
        <w:rPr>
          <w:i/>
          <w:color w:val="auto"/>
          <w:szCs w:val="21"/>
        </w:rPr>
        <w:t>y</w:t>
      </w:r>
      <w:r>
        <w:rPr>
          <w:color w:val="auto"/>
          <w:szCs w:val="21"/>
        </w:rPr>
        <w:t>轴和</w:t>
      </w:r>
      <w:r>
        <w:rPr>
          <w:i/>
          <w:color w:val="auto"/>
          <w:szCs w:val="21"/>
        </w:rPr>
        <w:t>x</w:t>
      </w:r>
      <w:r>
        <w:rPr>
          <w:color w:val="auto"/>
          <w:szCs w:val="21"/>
        </w:rPr>
        <w:t>轴方向计算截面处的弯矩设计值（kN-m）；</w:t>
      </w:r>
    </w:p>
    <w:p w14:paraId="01EDE0C4">
      <w:pPr>
        <w:adjustRightInd w:val="0"/>
        <w:snapToGrid w:val="0"/>
        <w:spacing w:line="340" w:lineRule="exact"/>
        <w:ind w:left="2013" w:leftChars="400" w:hanging="1173" w:hangingChars="559"/>
        <w:rPr>
          <w:color w:val="auto"/>
          <w:szCs w:val="21"/>
        </w:rPr>
      </w:pPr>
      <w:r>
        <w:rPr>
          <w:color w:val="auto"/>
          <w:position w:val="-12"/>
          <w:szCs w:val="21"/>
        </w:rPr>
        <w:object>
          <v:shape id="_x0000_i1419" o:spt="75" type="#_x0000_t75" style="height:15pt;width:15pt;" o:ole="t" filled="f" o:preferrelative="t" stroked="f" coordsize="21600,21600">
            <v:path/>
            <v:fill on="f" focussize="0,0"/>
            <v:stroke on="f" joinstyle="miter"/>
            <v:imagedata r:id="rId771" o:title=""/>
            <o:lock v:ext="edit" aspectratio="t"/>
            <w10:wrap type="none"/>
            <w10:anchorlock/>
          </v:shape>
          <o:OLEObject Type="Embed" ProgID="Equation.DSMT4" ShapeID="_x0000_i1419" DrawAspect="Content" ObjectID="_1468076119" r:id="rId770">
            <o:LockedField>false</o:LockedField>
          </o:OLEObject>
        </w:object>
      </w:r>
      <w:r>
        <w:rPr>
          <w:color w:val="auto"/>
          <w:szCs w:val="21"/>
        </w:rPr>
        <w:t>、</w:t>
      </w:r>
      <w:r>
        <w:rPr>
          <w:color w:val="auto"/>
          <w:position w:val="-12"/>
        </w:rPr>
        <w:object>
          <v:shape id="_x0000_i1420" o:spt="75" type="#_x0000_t75" style="height:21.75pt;width:15pt;" o:ole="t" filled="f" o:preferrelative="t" stroked="f" coordsize="21600,21600">
            <v:path/>
            <v:fill on="f" focussize="0,0"/>
            <v:stroke on="f" joinstyle="miter"/>
            <v:imagedata r:id="rId773" o:title=""/>
            <o:lock v:ext="edit" aspectratio="t"/>
            <w10:wrap type="none"/>
            <w10:anchorlock/>
          </v:shape>
          <o:OLEObject Type="Embed" ProgID="Equation.DSMT4" ShapeID="_x0000_i1420" DrawAspect="Content" ObjectID="_1468076120" r:id="rId772">
            <o:LockedField>false</o:LockedField>
          </o:OLEObject>
        </w:object>
      </w:r>
      <w:r>
        <w:rPr>
          <w:color w:val="auto"/>
          <w:szCs w:val="21"/>
        </w:rPr>
        <w:t>——垂直</w:t>
      </w:r>
      <w:r>
        <w:rPr>
          <w:i/>
          <w:color w:val="auto"/>
          <w:szCs w:val="21"/>
        </w:rPr>
        <w:t>y</w:t>
      </w:r>
      <w:r>
        <w:rPr>
          <w:color w:val="auto"/>
          <w:szCs w:val="21"/>
        </w:rPr>
        <w:t>轴和</w:t>
      </w:r>
      <w:r>
        <w:rPr>
          <w:i/>
          <w:color w:val="auto"/>
          <w:szCs w:val="21"/>
        </w:rPr>
        <w:t>x</w:t>
      </w:r>
      <w:r>
        <w:rPr>
          <w:color w:val="auto"/>
          <w:szCs w:val="21"/>
        </w:rPr>
        <w:t>轴方向自桩轴线到相应计算截面的距离（m）；</w:t>
      </w:r>
    </w:p>
    <w:p w14:paraId="386B6CAA">
      <w:pPr>
        <w:adjustRightInd w:val="0"/>
        <w:snapToGrid w:val="0"/>
        <w:spacing w:line="340" w:lineRule="exact"/>
        <w:ind w:firstLine="1365" w:firstLineChars="650"/>
        <w:rPr>
          <w:color w:val="auto"/>
          <w:szCs w:val="21"/>
        </w:rPr>
      </w:pPr>
      <w:r>
        <w:rPr>
          <w:rFonts w:hint="eastAsia"/>
          <w:color w:val="auto"/>
        </w:rPr>
        <w:t>m</w:t>
      </w:r>
      <w:r>
        <w:rPr>
          <w:color w:val="auto"/>
          <w:szCs w:val="21"/>
        </w:rPr>
        <w:t>——</w:t>
      </w:r>
      <w:r>
        <w:rPr>
          <w:rFonts w:hint="eastAsia"/>
          <w:color w:val="auto"/>
          <w:szCs w:val="21"/>
        </w:rPr>
        <w:t>计算截面外侧桩的数量</w:t>
      </w:r>
      <w:r>
        <w:rPr>
          <w:color w:val="auto"/>
          <w:szCs w:val="21"/>
        </w:rPr>
        <w:t>。</w:t>
      </w:r>
    </w:p>
    <w:p w14:paraId="36C4D166">
      <w:pPr>
        <w:adjustRightInd w:val="0"/>
        <w:snapToGrid w:val="0"/>
        <w:spacing w:line="340" w:lineRule="exact"/>
        <w:ind w:left="1986" w:leftChars="580" w:hanging="768" w:hangingChars="366"/>
        <w:rPr>
          <w:color w:val="auto"/>
          <w:szCs w:val="21"/>
        </w:rPr>
      </w:pPr>
      <w:r>
        <w:rPr>
          <w:color w:val="auto"/>
          <w:position w:val="-12"/>
        </w:rPr>
        <w:object>
          <v:shape id="_x0000_i1421" o:spt="75" type="#_x0000_t75" style="height:21.75pt;width:15pt;" o:ole="t" filled="f" o:preferrelative="t" stroked="f" coordsize="21600,21600">
            <v:path/>
            <v:fill on="f" focussize="0,0"/>
            <v:stroke on="f" joinstyle="miter"/>
            <v:imagedata r:id="rId775" o:title=""/>
            <o:lock v:ext="edit" aspectratio="t"/>
            <w10:wrap type="none"/>
            <w10:anchorlock/>
          </v:shape>
          <o:OLEObject Type="Embed" ProgID="Equation.DSMT4" ShapeID="_x0000_i1421" DrawAspect="Content" ObjectID="_1468076121" r:id="rId774">
            <o:LockedField>false</o:LockedField>
          </o:OLEObject>
        </w:object>
      </w:r>
      <w:r>
        <w:rPr>
          <w:color w:val="auto"/>
          <w:szCs w:val="21"/>
        </w:rPr>
        <w:t>——扣除承台和其上填土自重后相应于作用的基本组合时的第</w:t>
      </w:r>
      <w:r>
        <w:rPr>
          <w:i/>
          <w:color w:val="auto"/>
          <w:szCs w:val="21"/>
        </w:rPr>
        <w:t>i</w:t>
      </w:r>
      <w:r>
        <w:rPr>
          <w:color w:val="auto"/>
          <w:szCs w:val="21"/>
        </w:rPr>
        <w:t>桩竖向力设计值（kN）。</w:t>
      </w:r>
    </w:p>
    <w:p w14:paraId="3DDABF23">
      <w:pPr>
        <w:adjustRightInd w:val="0"/>
        <w:snapToGrid w:val="0"/>
        <w:spacing w:line="340" w:lineRule="exact"/>
        <w:ind w:firstLine="567"/>
        <w:rPr>
          <w:color w:val="auto"/>
          <w:szCs w:val="21"/>
        </w:rPr>
      </w:pPr>
      <w:r>
        <w:rPr>
          <w:rFonts w:eastAsia="黑体"/>
          <w:b/>
          <w:color w:val="auto"/>
          <w:szCs w:val="21"/>
        </w:rPr>
        <w:t>b)</w:t>
      </w:r>
      <w:r>
        <w:rPr>
          <w:color w:val="auto"/>
          <w:szCs w:val="21"/>
        </w:rPr>
        <w:t xml:space="preserve">  三桩承台</w:t>
      </w:r>
    </w:p>
    <w:p w14:paraId="2B462D46">
      <w:pPr>
        <w:adjustRightInd w:val="0"/>
        <w:snapToGrid w:val="0"/>
        <w:spacing w:line="340" w:lineRule="exact"/>
        <w:ind w:firstLine="835" w:firstLineChars="396"/>
        <w:rPr>
          <w:color w:val="auto"/>
          <w:szCs w:val="21"/>
        </w:rPr>
      </w:pPr>
      <w:r>
        <w:rPr>
          <w:rFonts w:eastAsia="黑体"/>
          <w:b/>
          <w:color w:val="auto"/>
          <w:szCs w:val="21"/>
        </w:rPr>
        <w:t>1</w:t>
      </w:r>
      <w:r>
        <w:rPr>
          <w:rFonts w:hint="eastAsia" w:eastAsia="黑体"/>
          <w:b/>
          <w:color w:val="auto"/>
          <w:szCs w:val="21"/>
        </w:rPr>
        <w:t>）</w:t>
      </w:r>
      <w:r>
        <w:rPr>
          <w:color w:val="auto"/>
          <w:szCs w:val="21"/>
        </w:rPr>
        <w:t>等边三桩承台（图14</w:t>
      </w:r>
      <w:r>
        <w:rPr>
          <w:i/>
          <w:color w:val="auto"/>
          <w:szCs w:val="21"/>
        </w:rPr>
        <w:t>b</w:t>
      </w:r>
      <w:r>
        <w:rPr>
          <w:color w:val="auto"/>
          <w:szCs w:val="21"/>
        </w:rPr>
        <w:t>）：</w:t>
      </w:r>
    </w:p>
    <w:p w14:paraId="6A73731B">
      <w:pPr>
        <w:pStyle w:val="12"/>
        <w:jc w:val="right"/>
        <w:rPr>
          <w:color w:val="auto"/>
          <w:szCs w:val="21"/>
        </w:rPr>
      </w:pPr>
      <w:r>
        <w:rPr>
          <w:color w:val="auto"/>
          <w:position w:val="-24"/>
          <w:szCs w:val="21"/>
        </w:rPr>
        <w:object>
          <v:shape id="_x0000_i1422" o:spt="75" type="#_x0000_t75" style="height:36.75pt;width:93pt;" o:ole="t" filled="f" o:preferrelative="t" stroked="f" coordsize="21600,21600">
            <v:path/>
            <v:fill on="f" focussize="0,0"/>
            <v:stroke on="f" joinstyle="miter"/>
            <v:imagedata r:id="rId777" o:title=""/>
            <o:lock v:ext="edit" aspectratio="t"/>
            <w10:wrap type="none"/>
            <w10:anchorlock/>
          </v:shape>
          <o:OLEObject Type="Embed" ProgID="Equation.DSMT4" ShapeID="_x0000_i1422" DrawAspect="Content" ObjectID="_1468076122" r:id="rId776">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85</w:t>
      </w:r>
      <w:r>
        <w:rPr>
          <w:color w:val="auto"/>
          <w:szCs w:val="21"/>
        </w:rPr>
        <w:fldChar w:fldCharType="end"/>
      </w:r>
      <w:r>
        <w:rPr>
          <w:color w:val="auto"/>
          <w:szCs w:val="21"/>
        </w:rPr>
        <w:t>)</w:t>
      </w:r>
    </w:p>
    <w:p w14:paraId="1A3428A8">
      <w:pPr>
        <w:adjustRightInd w:val="0"/>
        <w:snapToGrid w:val="0"/>
        <w:spacing w:line="340" w:lineRule="exact"/>
        <w:ind w:left="1415" w:leftChars="-11" w:hanging="1438" w:hangingChars="685"/>
        <w:rPr>
          <w:color w:val="auto"/>
          <w:szCs w:val="21"/>
        </w:rPr>
      </w:pPr>
      <w:r>
        <w:rPr>
          <w:color w:val="auto"/>
          <w:szCs w:val="21"/>
        </w:rPr>
        <w:t xml:space="preserve">式中   </w:t>
      </w:r>
      <w:r>
        <w:rPr>
          <w:color w:val="auto"/>
          <w:position w:val="-4"/>
          <w:szCs w:val="21"/>
        </w:rPr>
        <w:object>
          <v:shape id="_x0000_i1423" o:spt="75" type="#_x0000_t75" style="height:15pt;width:15pt;" o:ole="t" filled="f" o:preferrelative="t" stroked="f" coordsize="21600,21600">
            <v:path/>
            <v:fill on="f" focussize="0,0"/>
            <v:stroke on="f" joinstyle="miter"/>
            <v:imagedata r:id="rId779" o:title=""/>
            <o:lock v:ext="edit" aspectratio="t"/>
            <w10:wrap type="none"/>
            <w10:anchorlock/>
          </v:shape>
          <o:OLEObject Type="Embed" ProgID="Equation.DSMT4" ShapeID="_x0000_i1423" DrawAspect="Content" ObjectID="_1468076123" r:id="rId778">
            <o:LockedField>false</o:LockedField>
          </o:OLEObject>
        </w:object>
      </w:r>
      <w:r>
        <w:rPr>
          <w:color w:val="auto"/>
          <w:szCs w:val="21"/>
        </w:rPr>
        <w:t>——由承台形心至承台边缘距离范围内板带的弯矩设计值；</w:t>
      </w:r>
    </w:p>
    <w:p w14:paraId="6C24881C">
      <w:pPr>
        <w:adjustRightInd w:val="0"/>
        <w:snapToGrid w:val="0"/>
        <w:spacing w:line="340" w:lineRule="exact"/>
        <w:ind w:left="1428" w:leftChars="257" w:hanging="888" w:hangingChars="423"/>
        <w:rPr>
          <w:color w:val="auto"/>
          <w:szCs w:val="21"/>
        </w:rPr>
      </w:pPr>
      <w:r>
        <w:rPr>
          <w:color w:val="auto"/>
          <w:position w:val="-12"/>
          <w:szCs w:val="21"/>
        </w:rPr>
        <w:object>
          <v:shape id="_x0000_i1424" o:spt="75" type="#_x0000_t75" style="height:15pt;width:21.75pt;" o:ole="t" filled="f" o:preferrelative="t" stroked="f" coordsize="21600,21600">
            <v:path/>
            <v:fill on="f" focussize="0,0"/>
            <v:stroke on="f" joinstyle="miter"/>
            <v:imagedata r:id="rId781" o:title=""/>
            <o:lock v:ext="edit" aspectratio="t"/>
            <w10:wrap type="none"/>
            <w10:anchorlock/>
          </v:shape>
          <o:OLEObject Type="Embed" ProgID="Equation.DSMT4" ShapeID="_x0000_i1424" DrawAspect="Content" ObjectID="_1468076124" r:id="rId780">
            <o:LockedField>false</o:LockedField>
          </o:OLEObject>
        </w:object>
      </w:r>
      <w:r>
        <w:rPr>
          <w:color w:val="auto"/>
          <w:szCs w:val="21"/>
        </w:rPr>
        <w:t>——扣除承台和其上填土自重后的三桩中相应于作用的基本组合时的最大单桩竖向力设计值；</w:t>
      </w:r>
    </w:p>
    <w:p w14:paraId="64F00812">
      <w:pPr>
        <w:adjustRightInd w:val="0"/>
        <w:snapToGrid w:val="0"/>
        <w:spacing w:line="340" w:lineRule="exact"/>
        <w:ind w:firstLine="825" w:firstLineChars="393"/>
        <w:rPr>
          <w:color w:val="auto"/>
          <w:szCs w:val="21"/>
        </w:rPr>
      </w:pPr>
      <w:r>
        <w:rPr>
          <w:color w:val="auto"/>
          <w:position w:val="-6"/>
          <w:szCs w:val="21"/>
        </w:rPr>
        <w:object>
          <v:shape id="_x0000_i1425" o:spt="75" type="#_x0000_t75" style="height:15pt;width:8.25pt;" o:ole="t" filled="f" o:preferrelative="t" stroked="f" coordsize="21600,21600">
            <v:path/>
            <v:fill on="f" focussize="0,0"/>
            <v:stroke on="f" joinstyle="miter"/>
            <v:imagedata r:id="rId783" o:title=""/>
            <o:lock v:ext="edit" aspectratio="t"/>
            <w10:wrap type="none"/>
            <w10:anchorlock/>
          </v:shape>
          <o:OLEObject Type="Embed" ProgID="Equation.3" ShapeID="_x0000_i1425" DrawAspect="Content" ObjectID="_1468076125" r:id="rId782">
            <o:LockedField>false</o:LockedField>
          </o:OLEObject>
        </w:object>
      </w:r>
      <w:r>
        <w:rPr>
          <w:color w:val="auto"/>
          <w:szCs w:val="21"/>
        </w:rPr>
        <w:t>——桩距；</w:t>
      </w:r>
    </w:p>
    <w:p w14:paraId="3562FB8E">
      <w:pPr>
        <w:adjustRightInd w:val="0"/>
        <w:snapToGrid w:val="0"/>
        <w:spacing w:line="340" w:lineRule="exact"/>
        <w:ind w:firstLine="840" w:firstLineChars="400"/>
        <w:rPr>
          <w:color w:val="auto"/>
          <w:szCs w:val="21"/>
        </w:rPr>
      </w:pPr>
      <w:r>
        <w:rPr>
          <w:color w:val="auto"/>
          <w:position w:val="-6"/>
          <w:szCs w:val="21"/>
        </w:rPr>
        <w:object>
          <v:shape id="_x0000_i1426" o:spt="75" type="#_x0000_t75" style="height:15pt;width:8.25pt;" o:ole="t" filled="f" o:preferrelative="t" stroked="f" coordsize="21600,21600">
            <v:path/>
            <v:fill on="f" focussize="0,0"/>
            <v:stroke on="f" joinstyle="miter"/>
            <v:imagedata r:id="rId785" o:title=""/>
            <o:lock v:ext="edit" aspectratio="t"/>
            <w10:wrap type="none"/>
            <w10:anchorlock/>
          </v:shape>
          <o:OLEObject Type="Embed" ProgID="Equation.3" ShapeID="_x0000_i1426" DrawAspect="Content" ObjectID="_1468076126" r:id="rId784">
            <o:LockedField>false</o:LockedField>
          </o:OLEObject>
        </w:object>
      </w:r>
      <w:r>
        <w:rPr>
          <w:color w:val="auto"/>
          <w:szCs w:val="21"/>
        </w:rPr>
        <w:t>——方柱边长，圆柱时</w:t>
      </w:r>
      <w:r>
        <w:rPr>
          <w:i/>
          <w:color w:val="auto"/>
          <w:szCs w:val="21"/>
        </w:rPr>
        <w:t>c</w:t>
      </w:r>
      <w:r>
        <w:rPr>
          <w:color w:val="auto"/>
          <w:szCs w:val="21"/>
        </w:rPr>
        <w:t>=0.886</w:t>
      </w:r>
      <w:r>
        <w:rPr>
          <w:i/>
          <w:color w:val="auto"/>
          <w:szCs w:val="21"/>
        </w:rPr>
        <w:t>d</w:t>
      </w:r>
      <w:r>
        <w:rPr>
          <w:color w:val="auto"/>
          <w:szCs w:val="21"/>
        </w:rPr>
        <w:t>（</w:t>
      </w:r>
      <w:r>
        <w:rPr>
          <w:iCs/>
          <w:color w:val="auto"/>
          <w:szCs w:val="21"/>
        </w:rPr>
        <w:t>d</w:t>
      </w:r>
      <w:r>
        <w:rPr>
          <w:color w:val="auto"/>
          <w:szCs w:val="21"/>
        </w:rPr>
        <w:t>为圆柱直径）。</w:t>
      </w:r>
    </w:p>
    <w:p w14:paraId="0AB0EF0B">
      <w:pPr>
        <w:adjustRightInd w:val="0"/>
        <w:snapToGrid w:val="0"/>
        <w:spacing w:line="340" w:lineRule="exact"/>
        <w:ind w:left="567" w:firstLine="272" w:firstLineChars="129"/>
        <w:rPr>
          <w:color w:val="auto"/>
          <w:szCs w:val="21"/>
        </w:rPr>
      </w:pPr>
      <w:r>
        <w:rPr>
          <w:rFonts w:eastAsia="黑体"/>
          <w:b/>
          <w:color w:val="auto"/>
          <w:szCs w:val="21"/>
        </w:rPr>
        <w:t>2</w:t>
      </w:r>
      <w:r>
        <w:rPr>
          <w:rFonts w:hint="eastAsia" w:eastAsia="黑体"/>
          <w:b/>
          <w:color w:val="auto"/>
          <w:szCs w:val="21"/>
        </w:rPr>
        <w:t>）</w:t>
      </w:r>
      <w:r>
        <w:rPr>
          <w:color w:val="auto"/>
          <w:szCs w:val="21"/>
        </w:rPr>
        <w:t>等腰三桩承台（图14</w:t>
      </w:r>
      <w:r>
        <w:rPr>
          <w:i/>
          <w:color w:val="auto"/>
          <w:szCs w:val="21"/>
        </w:rPr>
        <w:t>c</w:t>
      </w:r>
      <w:r>
        <w:rPr>
          <w:color w:val="auto"/>
          <w:szCs w:val="21"/>
        </w:rPr>
        <w:t>）：</w:t>
      </w:r>
    </w:p>
    <w:p w14:paraId="5847CD0F">
      <w:pPr>
        <w:adjustRightInd w:val="0"/>
        <w:snapToGrid w:val="0"/>
        <w:spacing w:before="120" w:line="360" w:lineRule="atLeast"/>
        <w:ind w:firstLine="729" w:firstLineChars="405"/>
        <w:jc w:val="center"/>
        <w:rPr>
          <w:color w:val="auto"/>
          <w:szCs w:val="21"/>
        </w:rPr>
      </w:pPr>
      <w:r>
        <w:rPr>
          <w:color w:val="auto"/>
          <w:sz w:val="18"/>
          <w:szCs w:val="18"/>
        </w:rPr>
        <w:drawing>
          <wp:inline distT="0" distB="0" distL="0" distR="0">
            <wp:extent cx="2743200" cy="1876425"/>
            <wp:effectExtent l="0" t="0" r="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a:xfrm>
                      <a:off x="0" y="0"/>
                      <a:ext cx="2743200" cy="1876425"/>
                    </a:xfrm>
                    <a:prstGeom prst="rect">
                      <a:avLst/>
                    </a:prstGeom>
                    <a:noFill/>
                    <a:ln>
                      <a:noFill/>
                    </a:ln>
                  </pic:spPr>
                </pic:pic>
              </a:graphicData>
            </a:graphic>
          </wp:inline>
        </w:drawing>
      </w:r>
    </w:p>
    <w:p w14:paraId="16952880">
      <w:pPr>
        <w:adjustRightInd w:val="0"/>
        <w:snapToGrid w:val="0"/>
        <w:spacing w:after="156" w:afterLines="50"/>
        <w:jc w:val="center"/>
        <w:rPr>
          <w:b/>
          <w:color w:val="auto"/>
          <w:sz w:val="18"/>
          <w:szCs w:val="18"/>
        </w:rPr>
      </w:pPr>
      <w:r>
        <w:rPr>
          <w:b/>
          <w:color w:val="auto"/>
          <w:sz w:val="18"/>
          <w:szCs w:val="18"/>
        </w:rPr>
        <w:t>图14  承台弯矩计算示意</w:t>
      </w:r>
    </w:p>
    <w:p w14:paraId="665E1737">
      <w:pPr>
        <w:pStyle w:val="12"/>
        <w:jc w:val="right"/>
        <w:rPr>
          <w:color w:val="auto"/>
          <w:szCs w:val="21"/>
        </w:rPr>
      </w:pPr>
      <w:r>
        <w:rPr>
          <w:color w:val="auto"/>
          <w:position w:val="-30"/>
          <w:szCs w:val="21"/>
        </w:rPr>
        <w:object>
          <v:shape id="_x0000_i1427" o:spt="75" type="#_x0000_t75" style="height:36.75pt;width:122.25pt;" o:ole="t" filled="f" o:preferrelative="t" stroked="f" coordsize="21600,21600">
            <v:path/>
            <v:fill on="f" focussize="0,0"/>
            <v:stroke on="f" joinstyle="miter"/>
            <v:imagedata r:id="rId788" o:title=""/>
            <o:lock v:ext="edit" aspectratio="t"/>
            <w10:wrap type="none"/>
            <w10:anchorlock/>
          </v:shape>
          <o:OLEObject Type="Embed" ProgID="Equation.DSMT4" ShapeID="_x0000_i1427" DrawAspect="Content" ObjectID="_1468076127" r:id="rId787">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86</w:t>
      </w:r>
      <w:r>
        <w:rPr>
          <w:color w:val="auto"/>
          <w:szCs w:val="21"/>
        </w:rPr>
        <w:fldChar w:fldCharType="end"/>
      </w:r>
      <w:r>
        <w:rPr>
          <w:color w:val="auto"/>
          <w:szCs w:val="21"/>
        </w:rPr>
        <w:t>)</w:t>
      </w:r>
    </w:p>
    <w:p w14:paraId="1F818318">
      <w:pPr>
        <w:pStyle w:val="12"/>
        <w:jc w:val="right"/>
        <w:rPr>
          <w:color w:val="auto"/>
          <w:szCs w:val="21"/>
        </w:rPr>
      </w:pPr>
      <w:r>
        <w:rPr>
          <w:color w:val="auto"/>
          <w:position w:val="-30"/>
          <w:szCs w:val="21"/>
        </w:rPr>
        <w:object>
          <v:shape id="_x0000_i1428" o:spt="75" type="#_x0000_t75" style="height:36.75pt;width:136.5pt;" o:ole="t" filled="f" o:preferrelative="t" stroked="f" coordsize="21600,21600">
            <v:path/>
            <v:fill on="f" focussize="0,0"/>
            <v:stroke on="f" joinstyle="miter"/>
            <v:imagedata r:id="rId790" o:title=""/>
            <o:lock v:ext="edit" aspectratio="t"/>
            <w10:wrap type="none"/>
            <w10:anchorlock/>
          </v:shape>
          <o:OLEObject Type="Embed" ProgID="Equation.DSMT4" ShapeID="_x0000_i1428" DrawAspect="Content" ObjectID="_1468076128" r:id="rId78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87</w:t>
      </w:r>
      <w:r>
        <w:rPr>
          <w:color w:val="auto"/>
          <w:szCs w:val="21"/>
        </w:rPr>
        <w:fldChar w:fldCharType="end"/>
      </w:r>
      <w:r>
        <w:rPr>
          <w:color w:val="auto"/>
          <w:szCs w:val="21"/>
        </w:rPr>
        <w:t>)</w:t>
      </w:r>
    </w:p>
    <w:p w14:paraId="4BCEE7E9">
      <w:pPr>
        <w:adjustRightInd w:val="0"/>
        <w:snapToGrid w:val="0"/>
        <w:spacing w:line="360" w:lineRule="atLeast"/>
        <w:ind w:left="1848" w:hanging="1848" w:hangingChars="880"/>
        <w:rPr>
          <w:color w:val="auto"/>
          <w:szCs w:val="21"/>
        </w:rPr>
      </w:pPr>
      <w:r>
        <w:rPr>
          <w:color w:val="auto"/>
          <w:szCs w:val="21"/>
        </w:rPr>
        <w:t xml:space="preserve">式中 </w:t>
      </w:r>
      <w:r>
        <w:rPr>
          <w:color w:val="auto"/>
          <w:position w:val="-12"/>
          <w:szCs w:val="21"/>
        </w:rPr>
        <w:object>
          <v:shape id="_x0000_i1429" o:spt="75" type="#_x0000_t75" style="height:21.75pt;width:15pt;" o:ole="t" filled="f" o:preferrelative="t" stroked="f" coordsize="21600,21600">
            <v:path/>
            <v:fill on="f" focussize="0,0"/>
            <v:stroke on="f" joinstyle="miter"/>
            <v:imagedata r:id="rId792" o:title=""/>
            <o:lock v:ext="edit" aspectratio="t"/>
            <w10:wrap type="none"/>
            <w10:anchorlock/>
          </v:shape>
          <o:OLEObject Type="Embed" ProgID="Equation.DSMT4" ShapeID="_x0000_i1429" DrawAspect="Content" ObjectID="_1468076129" r:id="rId791">
            <o:LockedField>false</o:LockedField>
          </o:OLEObject>
        </w:object>
      </w:r>
      <w:r>
        <w:rPr>
          <w:color w:val="auto"/>
          <w:szCs w:val="21"/>
        </w:rPr>
        <w:t>、</w:t>
      </w:r>
      <w:r>
        <w:rPr>
          <w:color w:val="auto"/>
          <w:position w:val="-12"/>
        </w:rPr>
        <w:object>
          <v:shape id="_x0000_i1430" o:spt="75" type="#_x0000_t75" style="height:21.75pt;width:15pt;" o:ole="t" filled="f" o:preferrelative="t" stroked="f" coordsize="21600,21600">
            <v:path/>
            <v:fill on="f" focussize="0,0"/>
            <v:stroke on="f" joinstyle="miter"/>
            <v:imagedata r:id="rId794" o:title=""/>
            <o:lock v:ext="edit" aspectratio="t"/>
            <w10:wrap type="none"/>
            <w10:anchorlock/>
          </v:shape>
          <o:OLEObject Type="Embed" ProgID="Equation.DSMT4" ShapeID="_x0000_i1430" DrawAspect="Content" ObjectID="_1468076130" r:id="rId793">
            <o:LockedField>false</o:LockedField>
          </o:OLEObject>
        </w:object>
      </w:r>
      <w:r>
        <w:rPr>
          <w:color w:val="auto"/>
          <w:szCs w:val="21"/>
        </w:rPr>
        <w:t>——分别为由承台形心到承台两腰和底边的距离范围内板带的弯矩设计值；</w:t>
      </w:r>
    </w:p>
    <w:p w14:paraId="450F378F">
      <w:pPr>
        <w:tabs>
          <w:tab w:val="left" w:pos="720"/>
        </w:tabs>
        <w:adjustRightInd w:val="0"/>
        <w:snapToGrid w:val="0"/>
        <w:spacing w:line="360" w:lineRule="atLeast"/>
        <w:ind w:left="360" w:firstLine="872"/>
        <w:rPr>
          <w:color w:val="auto"/>
          <w:szCs w:val="21"/>
        </w:rPr>
      </w:pPr>
      <w:r>
        <w:rPr>
          <w:color w:val="auto"/>
          <w:position w:val="-6"/>
        </w:rPr>
        <w:object>
          <v:shape id="_x0000_i1431" o:spt="75" type="#_x0000_t75" style="height:15pt;width:8.25pt;" o:ole="t" filled="f" o:preferrelative="t" stroked="f" coordsize="21600,21600">
            <v:path/>
            <v:fill on="f" focussize="0,0"/>
            <v:stroke on="f" joinstyle="miter"/>
            <v:imagedata r:id="rId796" o:title=""/>
            <o:lock v:ext="edit" aspectratio="t"/>
            <w10:wrap type="none"/>
            <w10:anchorlock/>
          </v:shape>
          <o:OLEObject Type="Embed" ProgID="Equation.3" ShapeID="_x0000_i1431" DrawAspect="Content" ObjectID="_1468076131" r:id="rId795">
            <o:LockedField>false</o:LockedField>
          </o:OLEObject>
        </w:object>
      </w:r>
      <w:r>
        <w:rPr>
          <w:color w:val="auto"/>
          <w:szCs w:val="21"/>
        </w:rPr>
        <w:t>——长向桩距；</w:t>
      </w:r>
    </w:p>
    <w:p w14:paraId="3955C880">
      <w:pPr>
        <w:tabs>
          <w:tab w:val="left" w:pos="720"/>
        </w:tabs>
        <w:adjustRightInd w:val="0"/>
        <w:snapToGrid w:val="0"/>
        <w:spacing w:line="360" w:lineRule="atLeast"/>
        <w:ind w:left="1876" w:hanging="658"/>
        <w:rPr>
          <w:color w:val="auto"/>
          <w:szCs w:val="21"/>
        </w:rPr>
      </w:pPr>
      <w:r>
        <w:rPr>
          <w:color w:val="auto"/>
          <w:position w:val="-6"/>
        </w:rPr>
        <w:object>
          <v:shape id="_x0000_i1432" o:spt="75" type="#_x0000_t75" style="height:8.25pt;width:15pt;" o:ole="t" filled="f" o:preferrelative="t" stroked="f" coordsize="21600,21600">
            <v:path/>
            <v:fill on="f" focussize="0,0"/>
            <v:stroke on="f" joinstyle="miter"/>
            <v:imagedata r:id="rId798" o:title=""/>
            <o:lock v:ext="edit" aspectratio="t"/>
            <w10:wrap type="none"/>
            <w10:anchorlock/>
          </v:shape>
          <o:OLEObject Type="Embed" ProgID="Equation.DSMT4" ShapeID="_x0000_i1432" DrawAspect="Content" ObjectID="_1468076132" r:id="rId797">
            <o:LockedField>false</o:LockedField>
          </o:OLEObject>
        </w:object>
      </w:r>
      <w:r>
        <w:rPr>
          <w:color w:val="auto"/>
          <w:szCs w:val="21"/>
        </w:rPr>
        <w:t>——短向桩距与长向桩距之比，当</w:t>
      </w:r>
      <w:r>
        <w:rPr>
          <w:color w:val="auto"/>
          <w:position w:val="-6"/>
        </w:rPr>
        <w:object>
          <v:shape id="_x0000_i1433" o:spt="75" type="#_x0000_t75" style="height:8.25pt;width:15pt;" o:ole="t" filled="f" o:preferrelative="t" stroked="f" coordsize="21600,21600">
            <v:path/>
            <v:fill on="f" focussize="0,0"/>
            <v:stroke on="f" joinstyle="miter"/>
            <v:imagedata r:id="rId798" o:title=""/>
            <o:lock v:ext="edit" aspectratio="t"/>
            <w10:wrap type="none"/>
            <w10:anchorlock/>
          </v:shape>
          <o:OLEObject Type="Embed" ProgID="Equation.DSMT4" ShapeID="_x0000_i1433" DrawAspect="Content" ObjectID="_1468076133" r:id="rId799">
            <o:LockedField>false</o:LockedField>
          </o:OLEObject>
        </w:object>
      </w:r>
      <w:r>
        <w:rPr>
          <w:color w:val="auto"/>
          <w:szCs w:val="21"/>
        </w:rPr>
        <w:t>小于0.5时，应按变截面的二桩承台设计；</w:t>
      </w:r>
    </w:p>
    <w:p w14:paraId="50FB620E">
      <w:pPr>
        <w:adjustRightInd w:val="0"/>
        <w:snapToGrid w:val="0"/>
        <w:spacing w:before="60" w:line="360" w:lineRule="atLeast"/>
        <w:ind w:firstLine="770"/>
        <w:rPr>
          <w:color w:val="auto"/>
          <w:szCs w:val="21"/>
        </w:rPr>
      </w:pPr>
      <w:r>
        <w:rPr>
          <w:color w:val="auto"/>
          <w:position w:val="-12"/>
        </w:rPr>
        <w:object>
          <v:shape id="_x0000_i1434" o:spt="75" type="#_x0000_t75" style="height:15pt;width:15pt;" o:ole="t" filled="f" o:preferrelative="t" stroked="f" coordsize="21600,21600">
            <v:path/>
            <v:fill on="f" focussize="0,0"/>
            <v:stroke on="f" joinstyle="miter"/>
            <v:imagedata r:id="rId801" o:title=""/>
            <o:lock v:ext="edit" aspectratio="t"/>
            <w10:wrap type="none"/>
            <w10:anchorlock/>
          </v:shape>
          <o:OLEObject Type="Embed" ProgID="Equation.DSMT4" ShapeID="_x0000_i1434" DrawAspect="Content" ObjectID="_1468076134" r:id="rId800">
            <o:LockedField>false</o:LockedField>
          </o:OLEObject>
        </w:object>
      </w:r>
      <w:r>
        <w:rPr>
          <w:color w:val="auto"/>
        </w:rPr>
        <w:t>、</w:t>
      </w:r>
      <w:r>
        <w:rPr>
          <w:color w:val="auto"/>
          <w:position w:val="-12"/>
        </w:rPr>
        <w:object>
          <v:shape id="_x0000_i1435" o:spt="75" type="#_x0000_t75" style="height:21.75pt;width:15pt;" o:ole="t" filled="f" o:preferrelative="t" stroked="f" coordsize="21600,21600">
            <v:path/>
            <v:fill on="f" focussize="0,0"/>
            <v:stroke on="f" joinstyle="miter"/>
            <v:imagedata r:id="rId803" o:title=""/>
            <o:lock v:ext="edit" aspectratio="t"/>
            <w10:wrap type="none"/>
            <w10:anchorlock/>
          </v:shape>
          <o:OLEObject Type="Embed" ProgID="Equation.DSMT4" ShapeID="_x0000_i1435" DrawAspect="Content" ObjectID="_1468076135" r:id="rId802">
            <o:LockedField>false</o:LockedField>
          </o:OLEObject>
        </w:object>
      </w:r>
      <w:r>
        <w:rPr>
          <w:color w:val="auto"/>
          <w:szCs w:val="21"/>
        </w:rPr>
        <w:t>——分别为垂直于、平行于承台底边的柱截面边长。</w:t>
      </w:r>
    </w:p>
    <w:p w14:paraId="315F9D2F">
      <w:pPr>
        <w:adjustRightInd w:val="0"/>
        <w:snapToGrid w:val="0"/>
        <w:spacing w:line="360" w:lineRule="atLeast"/>
        <w:rPr>
          <w:color w:val="auto"/>
          <w:szCs w:val="21"/>
        </w:rPr>
      </w:pPr>
      <w:r>
        <w:rPr>
          <w:rFonts w:eastAsia="黑体"/>
          <w:b/>
          <w:color w:val="auto"/>
          <w:szCs w:val="21"/>
        </w:rPr>
        <w:t>12.5.3</w:t>
      </w:r>
      <w:r>
        <w:rPr>
          <w:color w:val="auto"/>
          <w:szCs w:val="21"/>
        </w:rPr>
        <w:t xml:space="preserve">  柱下桩基础独立承台受冲切承载力的计算，应符合下列规定：</w:t>
      </w:r>
    </w:p>
    <w:p w14:paraId="0C7AF2A3">
      <w:pPr>
        <w:adjustRightInd w:val="0"/>
        <w:snapToGrid w:val="0"/>
        <w:spacing w:line="360" w:lineRule="atLeast"/>
        <w:ind w:firstLine="420" w:firstLineChars="200"/>
        <w:rPr>
          <w:color w:val="auto"/>
          <w:szCs w:val="21"/>
        </w:rPr>
      </w:pPr>
      <w:r>
        <w:rPr>
          <w:color w:val="auto"/>
          <w:szCs w:val="21"/>
        </w:rPr>
        <mc:AlternateContent>
          <mc:Choice Requires="wps">
            <w:drawing>
              <wp:anchor distT="0" distB="0" distL="114300" distR="114300" simplePos="0" relativeHeight="251663360" behindDoc="0" locked="0" layoutInCell="1" allowOverlap="1">
                <wp:simplePos x="0" y="0"/>
                <wp:positionH relativeFrom="column">
                  <wp:posOffset>3841115</wp:posOffset>
                </wp:positionH>
                <wp:positionV relativeFrom="paragraph">
                  <wp:posOffset>193675</wp:posOffset>
                </wp:positionV>
                <wp:extent cx="1972310" cy="2463800"/>
                <wp:effectExtent l="9525" t="6985" r="8890" b="5715"/>
                <wp:wrapSquare wrapText="bothSides"/>
                <wp:docPr id="309" name="矩形 309"/>
                <wp:cNvGraphicFramePr/>
                <a:graphic xmlns:a="http://schemas.openxmlformats.org/drawingml/2006/main">
                  <a:graphicData uri="http://schemas.microsoft.com/office/word/2010/wordprocessingShape">
                    <wps:wsp>
                      <wps:cNvSpPr>
                        <a:spLocks noChangeArrowheads="1"/>
                      </wps:cNvSpPr>
                      <wps:spPr bwMode="auto">
                        <a:xfrm>
                          <a:off x="0" y="0"/>
                          <a:ext cx="1972310" cy="2463800"/>
                        </a:xfrm>
                        <a:prstGeom prst="rect">
                          <a:avLst/>
                        </a:prstGeom>
                        <a:solidFill>
                          <a:srgbClr val="FFFFFF"/>
                        </a:solidFill>
                        <a:ln w="9525">
                          <a:solidFill>
                            <a:srgbClr val="FFFFFF"/>
                          </a:solidFill>
                          <a:miter lim="800000"/>
                        </a:ln>
                      </wps:spPr>
                      <wps:txbx>
                        <w:txbxContent>
                          <w:p w14:paraId="0AED4009">
                            <w:pPr>
                              <w:adjustRightInd w:val="0"/>
                              <w:snapToGrid w:val="0"/>
                              <w:jc w:val="center"/>
                              <w:rPr>
                                <w:rFonts w:ascii="宋体" w:hAnsi="宋体"/>
                                <w:sz w:val="18"/>
                              </w:rPr>
                            </w:pPr>
                            <w:r>
                              <w:rPr>
                                <w:sz w:val="18"/>
                                <w:szCs w:val="18"/>
                              </w:rPr>
                              <w:drawing>
                                <wp:inline distT="0" distB="0" distL="0" distR="0">
                                  <wp:extent cx="1419225" cy="20383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a:xfrm>
                                            <a:off x="0" y="0"/>
                                            <a:ext cx="1419225" cy="2038350"/>
                                          </a:xfrm>
                                          <a:prstGeom prst="rect">
                                            <a:avLst/>
                                          </a:prstGeom>
                                          <a:noFill/>
                                          <a:ln>
                                            <a:noFill/>
                                          </a:ln>
                                        </pic:spPr>
                                      </pic:pic>
                                    </a:graphicData>
                                  </a:graphic>
                                </wp:inline>
                              </w:drawing>
                            </w:r>
                          </w:p>
                          <w:p w14:paraId="467558EB">
                            <w:pPr>
                              <w:adjustRightInd w:val="0"/>
                              <w:snapToGrid w:val="0"/>
                              <w:spacing w:before="120"/>
                              <w:jc w:val="center"/>
                              <w:rPr>
                                <w:rFonts w:ascii="宋体" w:hAnsi="宋体"/>
                                <w:b/>
                                <w:sz w:val="18"/>
                                <w:szCs w:val="18"/>
                              </w:rPr>
                            </w:pPr>
                            <w:r>
                              <w:rPr>
                                <w:rFonts w:hint="eastAsia" w:ascii="宋体" w:hAnsi="宋体"/>
                                <w:b/>
                                <w:sz w:val="18"/>
                                <w:szCs w:val="18"/>
                              </w:rPr>
                              <w:t>图</w:t>
                            </w:r>
                            <w:r>
                              <w:rPr>
                                <w:b/>
                                <w:sz w:val="18"/>
                                <w:szCs w:val="18"/>
                              </w:rPr>
                              <w:t>15</w:t>
                            </w:r>
                            <w:r>
                              <w:rPr>
                                <w:rFonts w:ascii="宋体" w:hAnsi="宋体"/>
                                <w:b/>
                                <w:sz w:val="18"/>
                                <w:szCs w:val="18"/>
                              </w:rPr>
                              <w:t xml:space="preserve">  </w:t>
                            </w:r>
                            <w:r>
                              <w:rPr>
                                <w:rFonts w:hint="eastAsia" w:ascii="宋体" w:hAnsi="宋体"/>
                                <w:b/>
                                <w:sz w:val="18"/>
                                <w:szCs w:val="18"/>
                              </w:rPr>
                              <w:t>柱对承台冲切计算示意</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2.45pt;margin-top:15.25pt;height:194pt;width:155.3pt;mso-wrap-distance-bottom:0pt;mso-wrap-distance-left:9pt;mso-wrap-distance-right:9pt;mso-wrap-distance-top:0pt;z-index:251663360;mso-width-relative:page;mso-height-relative:page;" fillcolor="#FFFFFF" filled="t" stroked="t" coordsize="21600,21600" o:gfxdata="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NiGnXYAAAACgEAAA8AAAAAAAAAAQAgAAAAIgAAAGRycy9k&#10;b3ducmV2LnhtbFBLAQIUABQAAAAIAIdO4kB3DlFOOwIAAH8EAAAOAAAAAAAAAAEAIAAAACcBAABk&#10;cnMvZTJvRG9jLnhtbFBLBQYAAAAABgAGAFkBAADUBQAAAAA=&#10;">
                <v:fill on="t" focussize="0,0"/>
                <v:stroke color="#FFFFFF" miterlimit="8" joinstyle="miter"/>
                <v:imagedata o:title=""/>
                <o:lock v:ext="edit" aspectratio="f"/>
                <v:textbox>
                  <w:txbxContent>
                    <w:p w14:paraId="0AED4009">
                      <w:pPr>
                        <w:adjustRightInd w:val="0"/>
                        <w:snapToGrid w:val="0"/>
                        <w:jc w:val="center"/>
                        <w:rPr>
                          <w:rFonts w:ascii="宋体" w:hAnsi="宋体"/>
                          <w:sz w:val="18"/>
                        </w:rPr>
                      </w:pPr>
                      <w:r>
                        <w:rPr>
                          <w:sz w:val="18"/>
                          <w:szCs w:val="18"/>
                        </w:rPr>
                        <w:drawing>
                          <wp:inline distT="0" distB="0" distL="0" distR="0">
                            <wp:extent cx="1419225" cy="20383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a:xfrm>
                                      <a:off x="0" y="0"/>
                                      <a:ext cx="1419225" cy="2038350"/>
                                    </a:xfrm>
                                    <a:prstGeom prst="rect">
                                      <a:avLst/>
                                    </a:prstGeom>
                                    <a:noFill/>
                                    <a:ln>
                                      <a:noFill/>
                                    </a:ln>
                                  </pic:spPr>
                                </pic:pic>
                              </a:graphicData>
                            </a:graphic>
                          </wp:inline>
                        </w:drawing>
                      </w:r>
                    </w:p>
                    <w:p w14:paraId="467558EB">
                      <w:pPr>
                        <w:adjustRightInd w:val="0"/>
                        <w:snapToGrid w:val="0"/>
                        <w:spacing w:before="120"/>
                        <w:jc w:val="center"/>
                        <w:rPr>
                          <w:rFonts w:ascii="宋体" w:hAnsi="宋体"/>
                          <w:b/>
                          <w:sz w:val="18"/>
                          <w:szCs w:val="18"/>
                        </w:rPr>
                      </w:pPr>
                      <w:r>
                        <w:rPr>
                          <w:rFonts w:hint="eastAsia" w:ascii="宋体" w:hAnsi="宋体"/>
                          <w:b/>
                          <w:sz w:val="18"/>
                          <w:szCs w:val="18"/>
                        </w:rPr>
                        <w:t>图</w:t>
                      </w:r>
                      <w:r>
                        <w:rPr>
                          <w:b/>
                          <w:sz w:val="18"/>
                          <w:szCs w:val="18"/>
                        </w:rPr>
                        <w:t>15</w:t>
                      </w:r>
                      <w:r>
                        <w:rPr>
                          <w:rFonts w:ascii="宋体" w:hAnsi="宋体"/>
                          <w:b/>
                          <w:sz w:val="18"/>
                          <w:szCs w:val="18"/>
                        </w:rPr>
                        <w:t xml:space="preserve">  </w:t>
                      </w:r>
                      <w:r>
                        <w:rPr>
                          <w:rFonts w:hint="eastAsia" w:ascii="宋体" w:hAnsi="宋体"/>
                          <w:b/>
                          <w:sz w:val="18"/>
                          <w:szCs w:val="18"/>
                        </w:rPr>
                        <w:t>柱对承台冲切计算示意</w:t>
                      </w:r>
                    </w:p>
                  </w:txbxContent>
                </v:textbox>
                <w10:wrap type="square"/>
              </v:rect>
            </w:pict>
          </mc:Fallback>
        </mc:AlternateContent>
      </w:r>
      <w:r>
        <w:rPr>
          <w:rFonts w:eastAsia="黑体"/>
          <w:b/>
          <w:color w:val="auto"/>
          <w:szCs w:val="21"/>
        </w:rPr>
        <w:t>a)</w:t>
      </w:r>
      <w:r>
        <w:rPr>
          <w:color w:val="auto"/>
          <w:szCs w:val="21"/>
        </w:rPr>
        <w:t xml:space="preserve">  柱对承台的冲切，可按</w:t>
      </w:r>
      <w:r>
        <w:rPr>
          <w:rFonts w:hint="eastAsia"/>
          <w:color w:val="auto"/>
          <w:lang w:val="en-US" w:eastAsia="zh-CN"/>
        </w:rPr>
        <w:t>公式（88）~（91）</w:t>
      </w:r>
      <w:r>
        <w:rPr>
          <w:color w:val="auto"/>
          <w:szCs w:val="21"/>
        </w:rPr>
        <w:t>计算（图15)：</w:t>
      </w:r>
    </w:p>
    <w:p w14:paraId="2293C3F7">
      <w:pPr>
        <w:pStyle w:val="12"/>
        <w:jc w:val="right"/>
        <w:rPr>
          <w:color w:val="auto"/>
          <w:szCs w:val="21"/>
        </w:rPr>
      </w:pPr>
      <w:r>
        <w:rPr>
          <w:color w:val="auto"/>
          <w:position w:val="-12"/>
          <w:szCs w:val="21"/>
        </w:rPr>
        <w:object>
          <v:shape id="_x0000_i1436" o:spt="75" type="#_x0000_t75" style="height:21.75pt;width:15pt;" o:ole="t" filled="f" o:preferrelative="t" stroked="f" coordsize="21600,21600">
            <v:path/>
            <v:fill on="f" focussize="0,0"/>
            <v:stroke on="f" joinstyle="miter"/>
            <v:imagedata r:id="rId806" o:title=""/>
            <o:lock v:ext="edit" aspectratio="t"/>
            <w10:wrap type="none"/>
            <w10:anchorlock/>
          </v:shape>
          <o:OLEObject Type="Embed" ProgID="Equation.DSMT4" ShapeID="_x0000_i1436" DrawAspect="Content" ObjectID="_1468076136" r:id="rId805">
            <o:LockedField>false</o:LockedField>
          </o:OLEObject>
        </w:object>
      </w:r>
      <w:r>
        <w:rPr>
          <w:color w:val="auto"/>
          <w:szCs w:val="21"/>
        </w:rPr>
        <w:t>≤</w:t>
      </w:r>
      <w:r>
        <w:rPr>
          <w:color w:val="auto"/>
          <w:position w:val="-14"/>
          <w:szCs w:val="21"/>
        </w:rPr>
        <w:object>
          <v:shape id="_x0000_i1437" o:spt="75" type="#_x0000_t75" style="height:21.75pt;width:172.5pt;" o:ole="t" filled="f" o:preferrelative="t" stroked="f" coordsize="21600,21600">
            <v:path/>
            <v:fill on="f" focussize="0,0"/>
            <v:stroke on="f" joinstyle="miter"/>
            <v:imagedata r:id="rId808" o:title=""/>
            <o:lock v:ext="edit" aspectratio="t"/>
            <w10:wrap type="none"/>
            <w10:anchorlock/>
          </v:shape>
          <o:OLEObject Type="Embed" ProgID="Equation.DSMT4" ShapeID="_x0000_i1437" DrawAspect="Content" ObjectID="_1468076137" r:id="rId807">
            <o:LockedField>false</o:LockedField>
          </o:OLEObject>
        </w:object>
      </w:r>
      <w:r>
        <w:rPr>
          <w:color w:val="auto"/>
          <w:szCs w:val="21"/>
        </w:rPr>
        <w:t xml:space="preserve"> </w:t>
      </w:r>
      <w:r>
        <w:rPr>
          <w:color w:val="auto"/>
          <w:szCs w:val="21"/>
          <w:vertAlign w:val="sub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88</w:t>
      </w:r>
      <w:r>
        <w:rPr>
          <w:color w:val="auto"/>
          <w:szCs w:val="21"/>
        </w:rPr>
        <w:fldChar w:fldCharType="end"/>
      </w:r>
      <w:r>
        <w:rPr>
          <w:color w:val="auto"/>
          <w:szCs w:val="21"/>
        </w:rPr>
        <w:t>)</w:t>
      </w:r>
    </w:p>
    <w:p w14:paraId="32674C2D">
      <w:pPr>
        <w:pStyle w:val="12"/>
        <w:jc w:val="right"/>
        <w:rPr>
          <w:color w:val="auto"/>
          <w:szCs w:val="21"/>
        </w:rPr>
      </w:pPr>
      <w:r>
        <w:rPr>
          <w:color w:val="auto"/>
          <w:position w:val="-12"/>
          <w:szCs w:val="21"/>
        </w:rPr>
        <w:object>
          <v:shape id="_x0000_i1438" o:spt="75" type="#_x0000_t75" style="height:21.75pt;width:64.5pt;" o:ole="t" filled="f" o:preferrelative="t" stroked="f" coordsize="21600,21600">
            <v:path/>
            <v:fill on="f" focussize="0,0"/>
            <v:stroke on="f" joinstyle="miter"/>
            <v:imagedata r:id="rId810" o:title=""/>
            <o:lock v:ext="edit" aspectratio="t"/>
            <w10:wrap type="none"/>
            <w10:anchorlock/>
          </v:shape>
          <o:OLEObject Type="Embed" ProgID="Equation.DSMT4" ShapeID="_x0000_i1438" DrawAspect="Content" ObjectID="_1468076138" r:id="rId80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89</w:t>
      </w:r>
      <w:r>
        <w:rPr>
          <w:color w:val="auto"/>
          <w:szCs w:val="21"/>
        </w:rPr>
        <w:fldChar w:fldCharType="end"/>
      </w:r>
      <w:r>
        <w:rPr>
          <w:color w:val="auto"/>
          <w:szCs w:val="21"/>
        </w:rPr>
        <w:t>)</w:t>
      </w:r>
    </w:p>
    <w:p w14:paraId="2697F6CA">
      <w:pPr>
        <w:pStyle w:val="12"/>
        <w:jc w:val="right"/>
        <w:rPr>
          <w:color w:val="auto"/>
          <w:szCs w:val="21"/>
        </w:rPr>
      </w:pPr>
      <w:r>
        <w:rPr>
          <w:color w:val="auto"/>
          <w:szCs w:val="21"/>
        </w:rPr>
        <w:t xml:space="preserve">      </w:t>
      </w:r>
      <w:r>
        <w:rPr>
          <w:color w:val="auto"/>
          <w:position w:val="-30"/>
          <w:szCs w:val="21"/>
        </w:rPr>
        <w:object>
          <v:shape id="_x0000_i1439" o:spt="75" type="#_x0000_t75" style="height:36.75pt;width:72pt;" o:ole="t" filled="f" o:preferrelative="t" stroked="f" coordsize="21600,21600">
            <v:path/>
            <v:fill on="f" focussize="0,0"/>
            <v:stroke on="f" joinstyle="miter"/>
            <v:imagedata r:id="rId812" o:title=""/>
            <o:lock v:ext="edit" aspectratio="t"/>
            <w10:wrap type="none"/>
            <w10:anchorlock/>
          </v:shape>
          <o:OLEObject Type="Embed" ProgID="Equation.DSMT4" ShapeID="_x0000_i1439" DrawAspect="Content" ObjectID="_1468076139" r:id="rId81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90</w:t>
      </w:r>
      <w:r>
        <w:rPr>
          <w:color w:val="auto"/>
          <w:szCs w:val="21"/>
        </w:rPr>
        <w:fldChar w:fldCharType="end"/>
      </w:r>
      <w:r>
        <w:rPr>
          <w:color w:val="auto"/>
          <w:szCs w:val="21"/>
        </w:rPr>
        <w:t>)</w:t>
      </w:r>
    </w:p>
    <w:p w14:paraId="06C68ADF">
      <w:pPr>
        <w:pStyle w:val="12"/>
        <w:jc w:val="right"/>
        <w:rPr>
          <w:color w:val="auto"/>
          <w:szCs w:val="21"/>
        </w:rPr>
      </w:pPr>
      <w:r>
        <w:rPr>
          <w:color w:val="auto"/>
          <w:position w:val="-32"/>
          <w:szCs w:val="21"/>
        </w:rPr>
        <w:object>
          <v:shape id="_x0000_i1440" o:spt="75" type="#_x0000_t75" style="height:36.75pt;width:72pt;" o:ole="t" filled="f" o:preferrelative="t" stroked="f" coordsize="21600,21600">
            <v:path/>
            <v:fill on="f" focussize="0,0"/>
            <v:stroke on="f" joinstyle="miter"/>
            <v:imagedata r:id="rId814" o:title=""/>
            <o:lock v:ext="edit" aspectratio="t"/>
            <w10:wrap type="none"/>
            <w10:anchorlock/>
          </v:shape>
          <o:OLEObject Type="Embed" ProgID="Equation.DSMT4" ShapeID="_x0000_i1440" DrawAspect="Content" ObjectID="_1468076140" r:id="rId813">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91</w:t>
      </w:r>
      <w:r>
        <w:rPr>
          <w:color w:val="auto"/>
          <w:szCs w:val="21"/>
        </w:rPr>
        <w:fldChar w:fldCharType="end"/>
      </w:r>
      <w:r>
        <w:rPr>
          <w:color w:val="auto"/>
          <w:szCs w:val="21"/>
        </w:rPr>
        <w:t>)</w:t>
      </w:r>
    </w:p>
    <w:p w14:paraId="36207B95">
      <w:pPr>
        <w:adjustRightInd w:val="0"/>
        <w:snapToGrid w:val="0"/>
        <w:spacing w:line="340" w:lineRule="exact"/>
        <w:ind w:left="1315" w:hanging="1314" w:hangingChars="626"/>
        <w:rPr>
          <w:color w:val="auto"/>
          <w:szCs w:val="21"/>
        </w:rPr>
      </w:pPr>
      <w:r>
        <w:rPr>
          <w:color w:val="auto"/>
          <w:szCs w:val="21"/>
        </w:rPr>
        <w:t xml:space="preserve">式中  </w:t>
      </w:r>
      <w:r>
        <w:rPr>
          <w:color w:val="auto"/>
          <w:position w:val="-12"/>
          <w:szCs w:val="21"/>
        </w:rPr>
        <w:object>
          <v:shape id="_x0000_i1441" o:spt="75" type="#_x0000_t75" style="height:21.75pt;width:15pt;" o:ole="t" filled="f" o:preferrelative="t" stroked="f" coordsize="21600,21600">
            <v:path/>
            <v:fill on="f" focussize="0,0"/>
            <v:stroke on="f" joinstyle="miter"/>
            <v:imagedata r:id="rId816" o:title=""/>
            <o:lock v:ext="edit" aspectratio="t"/>
            <w10:wrap type="none"/>
            <w10:anchorlock/>
          </v:shape>
          <o:OLEObject Type="Embed" ProgID="Equation.DSMT4" ShapeID="_x0000_i1441" DrawAspect="Content" ObjectID="_1468076141" r:id="rId815">
            <o:LockedField>false</o:LockedField>
          </o:OLEObject>
        </w:object>
      </w:r>
      <w:r>
        <w:rPr>
          <w:color w:val="auto"/>
          <w:szCs w:val="21"/>
        </w:rPr>
        <w:t>——扣除承台及其上填土自重，作用在冲切破坏锥体上相应于作用的基本组合的冲切力设计值，冲切破坏锥体应采用自柱边或承台变阶处至相应桩</w:t>
      </w:r>
      <w:r>
        <w:rPr>
          <w:color w:val="auto"/>
          <w:spacing w:val="-6"/>
          <w:szCs w:val="21"/>
        </w:rPr>
        <w:t>顶边缘连线构成的锥体，锥体与承台底面的夹角不小于45°（图15）；</w:t>
      </w:r>
    </w:p>
    <w:p w14:paraId="21231D13">
      <w:pPr>
        <w:adjustRightInd w:val="0"/>
        <w:snapToGrid w:val="0"/>
        <w:spacing w:line="340" w:lineRule="exact"/>
        <w:ind w:left="1331" w:leftChars="254" w:hanging="798"/>
        <w:rPr>
          <w:color w:val="auto"/>
          <w:szCs w:val="21"/>
        </w:rPr>
      </w:pPr>
      <w:r>
        <w:rPr>
          <w:color w:val="auto"/>
          <w:szCs w:val="21"/>
        </w:rPr>
        <w:t xml:space="preserve"> </w:t>
      </w:r>
      <w:r>
        <w:rPr>
          <w:color w:val="auto"/>
          <w:position w:val="-12"/>
        </w:rPr>
        <w:object>
          <v:shape id="_x0000_i1442" o:spt="75" type="#_x0000_t75" style="height:21.75pt;width:15pt;" o:ole="t" filled="f" o:preferrelative="t" stroked="f" coordsize="21600,21600">
            <v:path/>
            <v:fill on="f" focussize="0,0"/>
            <v:stroke on="f" joinstyle="miter"/>
            <v:imagedata r:id="rId818" o:title=""/>
            <o:lock v:ext="edit" aspectratio="t"/>
            <w10:wrap type="none"/>
            <w10:anchorlock/>
          </v:shape>
          <o:OLEObject Type="Embed" ProgID="Equation.DSMT4" ShapeID="_x0000_i1442" DrawAspect="Content" ObjectID="_1468076142" r:id="rId817">
            <o:LockedField>false</o:LockedField>
          </o:OLEObject>
        </w:object>
      </w:r>
      <w:r>
        <w:rPr>
          <w:color w:val="auto"/>
          <w:szCs w:val="21"/>
        </w:rPr>
        <w:t>——冲切破坏锥体的有效高度；</w:t>
      </w:r>
    </w:p>
    <w:p w14:paraId="74BFDFE2">
      <w:pPr>
        <w:adjustRightInd w:val="0"/>
        <w:snapToGrid w:val="0"/>
        <w:spacing w:line="240" w:lineRule="atLeast"/>
        <w:ind w:left="1346" w:leftChars="247" w:hanging="827" w:hangingChars="1656"/>
        <w:rPr>
          <w:color w:val="auto"/>
          <w:szCs w:val="21"/>
        </w:rPr>
      </w:pPr>
      <w:r>
        <w:rPr>
          <w:color w:val="auto"/>
          <w:spacing w:val="-80"/>
          <w:szCs w:val="21"/>
        </w:rPr>
        <w:t xml:space="preserve">       </w:t>
      </w:r>
      <w:r>
        <w:rPr>
          <w:color w:val="auto"/>
          <w:spacing w:val="-80"/>
          <w:position w:val="-14"/>
          <w:szCs w:val="21"/>
        </w:rPr>
        <w:object>
          <v:shape id="_x0000_i1443" o:spt="75" type="#_x0000_t75" style="height:21.75pt;width:21.75pt;" o:ole="t" filled="f" o:preferrelative="t" stroked="f" coordsize="21600,21600">
            <v:path/>
            <v:fill on="f" focussize="0,0"/>
            <v:stroke on="f" joinstyle="miter"/>
            <v:imagedata r:id="rId820" o:title=""/>
            <o:lock v:ext="edit" aspectratio="t"/>
            <w10:wrap type="none"/>
            <w10:anchorlock/>
          </v:shape>
          <o:OLEObject Type="Embed" ProgID="Equation.DSMT4" ShapeID="_x0000_i1443" DrawAspect="Content" ObjectID="_1468076143" r:id="rId819">
            <o:LockedField>false</o:LockedField>
          </o:OLEObject>
        </w:object>
      </w:r>
      <w:r>
        <w:rPr>
          <w:color w:val="auto"/>
          <w:szCs w:val="21"/>
        </w:rPr>
        <w:t>——受冲切承载力截面高度影响系数，当</w:t>
      </w:r>
      <w:r>
        <w:rPr>
          <w:i/>
          <w:iCs/>
          <w:color w:val="auto"/>
          <w:szCs w:val="21"/>
        </w:rPr>
        <w:t>h</w:t>
      </w:r>
      <w:r>
        <w:rPr>
          <w:color w:val="auto"/>
          <w:szCs w:val="21"/>
        </w:rPr>
        <w:t>不大于800mm时，</w:t>
      </w:r>
      <w:r>
        <w:rPr>
          <w:color w:val="auto"/>
          <w:spacing w:val="-80"/>
          <w:position w:val="-14"/>
          <w:szCs w:val="21"/>
        </w:rPr>
        <w:object>
          <v:shape id="_x0000_i1444" o:spt="75" type="#_x0000_t75" style="height:21.75pt;width:21.75pt;" o:ole="t" filled="f" o:preferrelative="t" stroked="f" coordsize="21600,21600">
            <v:path/>
            <v:fill on="f" focussize="0,0"/>
            <v:stroke on="f" joinstyle="miter"/>
            <v:imagedata r:id="rId820" o:title=""/>
            <o:lock v:ext="edit" aspectratio="t"/>
            <w10:wrap type="none"/>
            <w10:anchorlock/>
          </v:shape>
          <o:OLEObject Type="Embed" ProgID="Equation.DSMT4" ShapeID="_x0000_i1444" DrawAspect="Content" ObjectID="_1468076144" r:id="rId821">
            <o:LockedField>false</o:LockedField>
          </o:OLEObject>
        </w:object>
      </w:r>
      <w:r>
        <w:rPr>
          <w:color w:val="auto"/>
          <w:szCs w:val="21"/>
        </w:rPr>
        <w:t>取1.0；</w:t>
      </w:r>
      <w:r>
        <w:rPr>
          <w:i/>
          <w:iCs/>
          <w:color w:val="auto"/>
          <w:szCs w:val="21"/>
        </w:rPr>
        <w:t>h</w:t>
      </w:r>
      <w:r>
        <w:rPr>
          <w:color w:val="auto"/>
          <w:szCs w:val="21"/>
        </w:rPr>
        <w:t>不小于2000mm时，</w:t>
      </w:r>
      <w:r>
        <w:rPr>
          <w:color w:val="auto"/>
          <w:spacing w:val="-80"/>
          <w:position w:val="-14"/>
          <w:szCs w:val="21"/>
        </w:rPr>
        <w:object>
          <v:shape id="_x0000_i1445" o:spt="75" type="#_x0000_t75" style="height:21.75pt;width:21.75pt;" o:ole="t" filled="f" o:preferrelative="t" stroked="f" coordsize="21600,21600">
            <v:path/>
            <v:fill on="f" focussize="0,0"/>
            <v:stroke on="f" joinstyle="miter"/>
            <v:imagedata r:id="rId820" o:title=""/>
            <o:lock v:ext="edit" aspectratio="t"/>
            <w10:wrap type="none"/>
            <w10:anchorlock/>
          </v:shape>
          <o:OLEObject Type="Embed" ProgID="Equation.DSMT4" ShapeID="_x0000_i1445" DrawAspect="Content" ObjectID="_1468076145" r:id="rId822">
            <o:LockedField>false</o:LockedField>
          </o:OLEObject>
        </w:object>
      </w:r>
      <w:r>
        <w:rPr>
          <w:color w:val="auto"/>
          <w:szCs w:val="21"/>
        </w:rPr>
        <w:t xml:space="preserve">取0.9，其间按线性内插法取用； </w:t>
      </w:r>
    </w:p>
    <w:p w14:paraId="7B1E35C0">
      <w:pPr>
        <w:tabs>
          <w:tab w:val="left" w:pos="1344"/>
        </w:tabs>
        <w:adjustRightInd w:val="0"/>
        <w:snapToGrid w:val="0"/>
        <w:spacing w:line="240" w:lineRule="atLeast"/>
        <w:ind w:left="255" w:hanging="339"/>
        <w:rPr>
          <w:color w:val="auto"/>
          <w:szCs w:val="21"/>
        </w:rPr>
      </w:pPr>
      <w:r>
        <w:rPr>
          <w:color w:val="auto"/>
          <w:position w:val="-12"/>
          <w:szCs w:val="21"/>
        </w:rPr>
        <w:object>
          <v:shape id="_x0000_i1446" o:spt="75" type="#_x0000_t75" style="height:15pt;width:15pt;" o:ole="t" filled="f" o:preferrelative="t" stroked="f" coordsize="21600,21600">
            <v:path/>
            <v:fill on="f" focussize="0,0"/>
            <v:stroke on="f" joinstyle="miter"/>
            <v:imagedata r:id="rId824" o:title=""/>
            <o:lock v:ext="edit" aspectratio="t"/>
            <w10:wrap type="none"/>
            <w10:anchorlock/>
          </v:shape>
          <o:OLEObject Type="Embed" ProgID="Equation.DSMT4" ShapeID="_x0000_i1446" DrawAspect="Content" ObjectID="_1468076146" r:id="rId823">
            <o:LockedField>false</o:LockedField>
          </o:OLEObject>
        </w:object>
      </w:r>
      <w:r>
        <w:rPr>
          <w:color w:val="auto"/>
          <w:szCs w:val="21"/>
        </w:rPr>
        <w:t>、</w:t>
      </w:r>
      <w:r>
        <w:rPr>
          <w:color w:val="auto"/>
          <w:position w:val="-14"/>
          <w:szCs w:val="21"/>
        </w:rPr>
        <w:object>
          <v:shape id="_x0000_i1447" o:spt="75" type="#_x0000_t75" style="height:21.75pt;width:21.75pt;" o:ole="t" filled="f" o:preferrelative="t" stroked="f" coordsize="21600,21600">
            <v:path/>
            <v:fill on="f" focussize="0,0"/>
            <v:stroke on="f" joinstyle="miter"/>
            <v:imagedata r:id="rId826" o:title=""/>
            <o:lock v:ext="edit" aspectratio="t"/>
            <w10:wrap type="none"/>
            <w10:anchorlock/>
          </v:shape>
          <o:OLEObject Type="Embed" ProgID="Equation.DSMT4" ShapeID="_x0000_i1447" DrawAspect="Content" ObjectID="_1468076147" r:id="rId825">
            <o:LockedField>false</o:LockedField>
          </o:OLEObject>
        </w:object>
      </w:r>
      <w:r>
        <w:rPr>
          <w:color w:val="auto"/>
          <w:szCs w:val="21"/>
        </w:rPr>
        <w:t>——冲切系数；</w:t>
      </w:r>
    </w:p>
    <w:p w14:paraId="112C3AA3">
      <w:pPr>
        <w:adjustRightInd w:val="0"/>
        <w:snapToGrid w:val="0"/>
        <w:spacing w:line="240" w:lineRule="atLeast"/>
        <w:ind w:left="1356" w:leftChars="32" w:hanging="1289" w:hangingChars="614"/>
        <w:rPr>
          <w:color w:val="auto"/>
          <w:szCs w:val="21"/>
        </w:rPr>
      </w:pPr>
      <w:r>
        <w:rPr>
          <w:color w:val="auto"/>
          <w:position w:val="-12"/>
          <w:szCs w:val="21"/>
        </w:rPr>
        <w:object>
          <v:shape id="_x0000_i1448" o:spt="75" type="#_x0000_t75" style="height:21.75pt;width:15pt;" o:ole="t" filled="f" o:preferrelative="t" stroked="f" coordsize="21600,21600">
            <v:path/>
            <v:fill on="f" focussize="0,0"/>
            <v:stroke on="f" joinstyle="miter"/>
            <v:imagedata r:id="rId828" o:title=""/>
            <o:lock v:ext="edit" aspectratio="t"/>
            <w10:wrap type="none"/>
            <w10:anchorlock/>
          </v:shape>
          <o:OLEObject Type="Embed" ProgID="Equation.DSMT4" ShapeID="_x0000_i1448" DrawAspect="Content" ObjectID="_1468076148" r:id="rId827">
            <o:LockedField>false</o:LockedField>
          </o:OLEObject>
        </w:object>
      </w:r>
      <w:r>
        <w:rPr>
          <w:color w:val="auto"/>
          <w:szCs w:val="21"/>
        </w:rPr>
        <w:t>、</w:t>
      </w:r>
      <w:r>
        <w:rPr>
          <w:color w:val="auto"/>
          <w:position w:val="-14"/>
          <w:szCs w:val="21"/>
        </w:rPr>
        <w:object>
          <v:shape id="_x0000_i1449" o:spt="75" type="#_x0000_t75" style="height:21.75pt;width:15pt;" o:ole="t" filled="f" o:preferrelative="t" stroked="f" coordsize="21600,21600">
            <v:path/>
            <v:fill on="f" focussize="0,0"/>
            <v:stroke on="f" joinstyle="miter"/>
            <v:imagedata r:id="rId830" o:title=""/>
            <o:lock v:ext="edit" aspectratio="t"/>
            <w10:wrap type="none"/>
            <w10:anchorlock/>
          </v:shape>
          <o:OLEObject Type="Embed" ProgID="Equation.DSMT4" ShapeID="_x0000_i1449" DrawAspect="Content" ObjectID="_1468076149" r:id="rId829">
            <o:LockedField>false</o:LockedField>
          </o:OLEObject>
        </w:object>
      </w:r>
      <w:r>
        <w:rPr>
          <w:color w:val="auto"/>
          <w:szCs w:val="21"/>
        </w:rPr>
        <w:t>——冲跨比，</w:t>
      </w:r>
      <w:r>
        <w:rPr>
          <w:color w:val="auto"/>
          <w:spacing w:val="-80"/>
          <w:position w:val="-12"/>
          <w:szCs w:val="21"/>
        </w:rPr>
        <w:object>
          <v:shape id="_x0000_i1450" o:spt="75" type="#_x0000_t75" style="height:21.75pt;width:15pt;" o:ole="t" filled="f" o:preferrelative="t" stroked="f" coordsize="21600,21600">
            <v:path/>
            <v:fill on="f" focussize="0,0"/>
            <v:stroke on="f" joinstyle="miter"/>
            <v:imagedata r:id="rId832" o:title=""/>
            <o:lock v:ext="edit" aspectratio="t"/>
            <w10:wrap type="none"/>
            <w10:anchorlock/>
          </v:shape>
          <o:OLEObject Type="Embed" ProgID="Equation.DSMT4" ShapeID="_x0000_i1450" DrawAspect="Content" ObjectID="_1468076150" r:id="rId831">
            <o:LockedField>false</o:LockedField>
          </o:OLEObject>
        </w:object>
      </w:r>
      <w:r>
        <w:rPr>
          <w:color w:val="auto"/>
          <w:szCs w:val="21"/>
        </w:rPr>
        <w:t>=</w:t>
      </w:r>
      <w:r>
        <w:rPr>
          <w:i/>
          <w:color w:val="auto"/>
          <w:szCs w:val="21"/>
        </w:rPr>
        <w:t>a</w:t>
      </w:r>
      <w:r>
        <w:rPr>
          <w:iCs/>
          <w:color w:val="auto"/>
          <w:szCs w:val="21"/>
          <w:vertAlign w:val="subscript"/>
        </w:rPr>
        <w:t>ox</w:t>
      </w:r>
      <w:r>
        <w:rPr>
          <w:color w:val="auto"/>
          <w:szCs w:val="21"/>
        </w:rPr>
        <w:t>/</w:t>
      </w:r>
      <w:r>
        <w:rPr>
          <w:i/>
          <w:color w:val="auto"/>
          <w:szCs w:val="21"/>
        </w:rPr>
        <w:t>h</w:t>
      </w:r>
      <w:r>
        <w:rPr>
          <w:iCs/>
          <w:color w:val="auto"/>
          <w:sz w:val="18"/>
          <w:szCs w:val="21"/>
          <w:vertAlign w:val="subscript"/>
        </w:rPr>
        <w:t>0</w:t>
      </w:r>
      <w:r>
        <w:rPr>
          <w:color w:val="auto"/>
          <w:szCs w:val="21"/>
        </w:rPr>
        <w:t>、</w:t>
      </w:r>
      <w:r>
        <w:rPr>
          <w:color w:val="auto"/>
          <w:spacing w:val="-80"/>
          <w:position w:val="-14"/>
          <w:szCs w:val="21"/>
        </w:rPr>
        <w:object>
          <v:shape id="_x0000_i1451" o:spt="75" type="#_x0000_t75" style="height:21.75pt;width:15pt;" o:ole="t" filled="f" o:preferrelative="t" stroked="f" coordsize="21600,21600">
            <v:path/>
            <v:fill on="f" focussize="0,0"/>
            <v:stroke on="f" joinstyle="miter"/>
            <v:imagedata r:id="rId834" o:title=""/>
            <o:lock v:ext="edit" aspectratio="t"/>
            <w10:wrap type="none"/>
            <w10:anchorlock/>
          </v:shape>
          <o:OLEObject Type="Embed" ProgID="Equation.DSMT4" ShapeID="_x0000_i1451" DrawAspect="Content" ObjectID="_1468076151" r:id="rId833">
            <o:LockedField>false</o:LockedField>
          </o:OLEObject>
        </w:object>
      </w:r>
      <w:r>
        <w:rPr>
          <w:color w:val="auto"/>
          <w:szCs w:val="21"/>
        </w:rPr>
        <w:t>=</w:t>
      </w:r>
      <w:r>
        <w:rPr>
          <w:i/>
          <w:color w:val="auto"/>
          <w:szCs w:val="21"/>
        </w:rPr>
        <w:t>a</w:t>
      </w:r>
      <w:r>
        <w:rPr>
          <w:iCs/>
          <w:color w:val="auto"/>
          <w:szCs w:val="21"/>
          <w:vertAlign w:val="subscript"/>
        </w:rPr>
        <w:t>oy</w:t>
      </w:r>
      <w:r>
        <w:rPr>
          <w:color w:val="auto"/>
          <w:szCs w:val="21"/>
        </w:rPr>
        <w:t>/</w:t>
      </w:r>
      <w:r>
        <w:rPr>
          <w:i/>
          <w:color w:val="auto"/>
          <w:szCs w:val="21"/>
        </w:rPr>
        <w:t>h</w:t>
      </w:r>
      <w:r>
        <w:rPr>
          <w:iCs/>
          <w:color w:val="auto"/>
          <w:sz w:val="18"/>
          <w:szCs w:val="21"/>
          <w:vertAlign w:val="subscript"/>
        </w:rPr>
        <w:t>0</w:t>
      </w:r>
      <w:r>
        <w:rPr>
          <w:iCs/>
          <w:color w:val="auto"/>
          <w:szCs w:val="21"/>
        </w:rPr>
        <w:t>，</w:t>
      </w:r>
      <w:r>
        <w:rPr>
          <w:color w:val="auto"/>
          <w:szCs w:val="21"/>
        </w:rPr>
        <w:t xml:space="preserve"> </w:t>
      </w:r>
      <w:r>
        <w:rPr>
          <w:i/>
          <w:color w:val="auto"/>
          <w:szCs w:val="21"/>
        </w:rPr>
        <w:t>a</w:t>
      </w:r>
      <w:r>
        <w:rPr>
          <w:iCs/>
          <w:color w:val="auto"/>
          <w:szCs w:val="21"/>
          <w:vertAlign w:val="subscript"/>
        </w:rPr>
        <w:t>ox</w:t>
      </w:r>
      <w:r>
        <w:rPr>
          <w:color w:val="auto"/>
          <w:szCs w:val="21"/>
        </w:rPr>
        <w:t>、</w:t>
      </w:r>
      <w:r>
        <w:rPr>
          <w:i/>
          <w:color w:val="auto"/>
          <w:szCs w:val="21"/>
        </w:rPr>
        <w:t>a</w:t>
      </w:r>
      <w:r>
        <w:rPr>
          <w:iCs/>
          <w:color w:val="auto"/>
          <w:szCs w:val="21"/>
          <w:vertAlign w:val="subscript"/>
        </w:rPr>
        <w:t>oy</w:t>
      </w:r>
      <w:r>
        <w:rPr>
          <w:color w:val="auto"/>
          <w:szCs w:val="21"/>
        </w:rPr>
        <w:t>为柱边或变阶处至桩边的水平距离；当</w:t>
      </w:r>
      <w:r>
        <w:rPr>
          <w:i/>
          <w:color w:val="auto"/>
          <w:szCs w:val="21"/>
        </w:rPr>
        <w:t>a</w:t>
      </w:r>
      <w:r>
        <w:rPr>
          <w:iCs/>
          <w:color w:val="auto"/>
          <w:szCs w:val="21"/>
          <w:vertAlign w:val="subscript"/>
        </w:rPr>
        <w:t>ox</w:t>
      </w:r>
      <w:r>
        <w:rPr>
          <w:color w:val="auto"/>
          <w:szCs w:val="21"/>
        </w:rPr>
        <w:t>(</w:t>
      </w:r>
      <w:r>
        <w:rPr>
          <w:i/>
          <w:color w:val="auto"/>
          <w:szCs w:val="21"/>
        </w:rPr>
        <w:t>a</w:t>
      </w:r>
      <w:r>
        <w:rPr>
          <w:iCs/>
          <w:color w:val="auto"/>
          <w:szCs w:val="21"/>
          <w:vertAlign w:val="subscript"/>
        </w:rPr>
        <w:t>oy</w:t>
      </w:r>
      <w:r>
        <w:rPr>
          <w:color w:val="auto"/>
          <w:szCs w:val="21"/>
        </w:rPr>
        <w:t>)＜0.25</w:t>
      </w:r>
      <w:r>
        <w:rPr>
          <w:i/>
          <w:color w:val="auto"/>
          <w:szCs w:val="21"/>
        </w:rPr>
        <w:t>h</w:t>
      </w:r>
      <w:r>
        <w:rPr>
          <w:iCs/>
          <w:color w:val="auto"/>
          <w:sz w:val="18"/>
          <w:szCs w:val="21"/>
          <w:vertAlign w:val="subscript"/>
        </w:rPr>
        <w:t>0</w:t>
      </w:r>
      <w:r>
        <w:rPr>
          <w:color w:val="auto"/>
          <w:szCs w:val="21"/>
        </w:rPr>
        <w:t>时，</w:t>
      </w:r>
      <w:r>
        <w:rPr>
          <w:i/>
          <w:color w:val="auto"/>
          <w:szCs w:val="21"/>
        </w:rPr>
        <w:t>a</w:t>
      </w:r>
      <w:r>
        <w:rPr>
          <w:iCs/>
          <w:color w:val="auto"/>
          <w:szCs w:val="21"/>
          <w:vertAlign w:val="subscript"/>
        </w:rPr>
        <w:t>ox</w:t>
      </w:r>
      <w:r>
        <w:rPr>
          <w:color w:val="auto"/>
          <w:szCs w:val="21"/>
        </w:rPr>
        <w:t>(</w:t>
      </w:r>
      <w:r>
        <w:rPr>
          <w:i/>
          <w:color w:val="auto"/>
          <w:szCs w:val="21"/>
        </w:rPr>
        <w:t>a</w:t>
      </w:r>
      <w:r>
        <w:rPr>
          <w:iCs/>
          <w:color w:val="auto"/>
          <w:szCs w:val="21"/>
          <w:vertAlign w:val="subscript"/>
        </w:rPr>
        <w:t>oy</w:t>
      </w:r>
      <w:r>
        <w:rPr>
          <w:color w:val="auto"/>
          <w:szCs w:val="21"/>
        </w:rPr>
        <w:t>)=0.25</w:t>
      </w:r>
      <w:r>
        <w:rPr>
          <w:i/>
          <w:color w:val="auto"/>
          <w:szCs w:val="21"/>
        </w:rPr>
        <w:t>h</w:t>
      </w:r>
      <w:r>
        <w:rPr>
          <w:iCs/>
          <w:color w:val="auto"/>
          <w:sz w:val="18"/>
          <w:szCs w:val="21"/>
          <w:vertAlign w:val="subscript"/>
        </w:rPr>
        <w:t>0</w:t>
      </w:r>
      <w:r>
        <w:rPr>
          <w:color w:val="auto"/>
          <w:szCs w:val="21"/>
        </w:rPr>
        <w:t>；当</w:t>
      </w:r>
      <w:r>
        <w:rPr>
          <w:i/>
          <w:color w:val="auto"/>
          <w:szCs w:val="21"/>
        </w:rPr>
        <w:t>a</w:t>
      </w:r>
      <w:r>
        <w:rPr>
          <w:iCs/>
          <w:color w:val="auto"/>
          <w:szCs w:val="21"/>
          <w:vertAlign w:val="subscript"/>
        </w:rPr>
        <w:t>ox</w:t>
      </w:r>
      <w:r>
        <w:rPr>
          <w:color w:val="auto"/>
          <w:szCs w:val="21"/>
        </w:rPr>
        <w:t>(</w:t>
      </w:r>
      <w:r>
        <w:rPr>
          <w:i/>
          <w:color w:val="auto"/>
          <w:szCs w:val="21"/>
        </w:rPr>
        <w:t>a</w:t>
      </w:r>
      <w:r>
        <w:rPr>
          <w:iCs/>
          <w:color w:val="auto"/>
          <w:szCs w:val="21"/>
          <w:vertAlign w:val="subscript"/>
        </w:rPr>
        <w:t>oy</w:t>
      </w:r>
      <w:r>
        <w:rPr>
          <w:color w:val="auto"/>
          <w:szCs w:val="21"/>
        </w:rPr>
        <w:t>)＞</w:t>
      </w:r>
      <w:r>
        <w:rPr>
          <w:i/>
          <w:color w:val="auto"/>
          <w:szCs w:val="21"/>
        </w:rPr>
        <w:t>h</w:t>
      </w:r>
      <w:r>
        <w:rPr>
          <w:iCs/>
          <w:color w:val="auto"/>
          <w:sz w:val="18"/>
          <w:szCs w:val="21"/>
          <w:vertAlign w:val="subscript"/>
        </w:rPr>
        <w:t>0</w:t>
      </w:r>
      <w:r>
        <w:rPr>
          <w:color w:val="auto"/>
          <w:szCs w:val="21"/>
        </w:rPr>
        <w:t xml:space="preserve">时， </w:t>
      </w:r>
      <w:r>
        <w:rPr>
          <w:i/>
          <w:color w:val="auto"/>
          <w:szCs w:val="21"/>
        </w:rPr>
        <w:t>a</w:t>
      </w:r>
      <w:r>
        <w:rPr>
          <w:iCs/>
          <w:color w:val="auto"/>
          <w:szCs w:val="21"/>
          <w:vertAlign w:val="subscript"/>
        </w:rPr>
        <w:t>ox</w:t>
      </w:r>
      <w:r>
        <w:rPr>
          <w:color w:val="auto"/>
          <w:szCs w:val="21"/>
        </w:rPr>
        <w:t>(</w:t>
      </w:r>
      <w:r>
        <w:rPr>
          <w:i/>
          <w:color w:val="auto"/>
          <w:szCs w:val="21"/>
        </w:rPr>
        <w:t>a</w:t>
      </w:r>
      <w:r>
        <w:rPr>
          <w:iCs/>
          <w:color w:val="auto"/>
          <w:szCs w:val="21"/>
          <w:vertAlign w:val="subscript"/>
        </w:rPr>
        <w:t>oy</w:t>
      </w:r>
      <w:r>
        <w:rPr>
          <w:color w:val="auto"/>
          <w:szCs w:val="21"/>
        </w:rPr>
        <w:t>)=</w:t>
      </w:r>
      <w:r>
        <w:rPr>
          <w:i/>
          <w:color w:val="auto"/>
          <w:szCs w:val="21"/>
        </w:rPr>
        <w:t>h</w:t>
      </w:r>
      <w:r>
        <w:rPr>
          <w:iCs/>
          <w:color w:val="auto"/>
          <w:sz w:val="18"/>
          <w:szCs w:val="21"/>
          <w:vertAlign w:val="subscript"/>
        </w:rPr>
        <w:t>0</w:t>
      </w:r>
      <w:r>
        <w:rPr>
          <w:color w:val="auto"/>
          <w:szCs w:val="21"/>
        </w:rPr>
        <w:t>；</w:t>
      </w:r>
    </w:p>
    <w:p w14:paraId="5563451A">
      <w:pPr>
        <w:adjustRightInd w:val="0"/>
        <w:snapToGrid w:val="0"/>
        <w:spacing w:line="340" w:lineRule="atLeast"/>
        <w:ind w:firstLine="560"/>
        <w:rPr>
          <w:color w:val="auto"/>
          <w:szCs w:val="21"/>
        </w:rPr>
      </w:pPr>
      <w:r>
        <w:rPr>
          <w:color w:val="auto"/>
          <w:szCs w:val="21"/>
        </w:rPr>
        <w:t xml:space="preserve">  </w:t>
      </w:r>
      <w:r>
        <w:rPr>
          <w:i/>
          <w:color w:val="auto"/>
          <w:szCs w:val="21"/>
        </w:rPr>
        <w:t>F</w:t>
      </w:r>
      <w:r>
        <w:rPr>
          <w:color w:val="auto"/>
          <w:szCs w:val="21"/>
        </w:rPr>
        <w:t>——柱根部轴力设计值；</w:t>
      </w:r>
    </w:p>
    <w:p w14:paraId="336562EE">
      <w:pPr>
        <w:adjustRightInd w:val="0"/>
        <w:snapToGrid w:val="0"/>
        <w:spacing w:line="340" w:lineRule="atLeast"/>
        <w:ind w:firstLine="784"/>
        <w:rPr>
          <w:i/>
          <w:color w:val="auto"/>
          <w:szCs w:val="21"/>
          <w:vertAlign w:val="subscript"/>
        </w:rPr>
      </w:pPr>
      <w:r>
        <w:rPr>
          <w:i/>
          <w:iCs/>
          <w:color w:val="auto"/>
          <w:szCs w:val="21"/>
        </w:rPr>
        <w:t>f</w:t>
      </w:r>
      <w:r>
        <w:rPr>
          <w:color w:val="auto"/>
          <w:szCs w:val="21"/>
          <w:vertAlign w:val="subscript"/>
        </w:rPr>
        <w:t>t</w:t>
      </w:r>
      <w:r>
        <w:rPr>
          <w:color w:val="auto"/>
          <w:szCs w:val="21"/>
        </w:rPr>
        <w:t>——混凝土抗拉强度设计值；</w:t>
      </w:r>
    </w:p>
    <w:p w14:paraId="27EC05BD">
      <w:pPr>
        <w:adjustRightInd w:val="0"/>
        <w:snapToGrid w:val="0"/>
        <w:spacing w:before="93" w:beforeLines="30" w:line="340" w:lineRule="atLeast"/>
        <w:ind w:left="1253" w:leftChars="220" w:hanging="791" w:hangingChars="377"/>
        <w:rPr>
          <w:color w:val="auto"/>
          <w:szCs w:val="21"/>
        </w:rPr>
      </w:pPr>
      <w:r>
        <w:rPr>
          <w:color w:val="auto"/>
          <w:position w:val="-12"/>
          <w:szCs w:val="21"/>
        </w:rPr>
        <w:object>
          <v:shape id="_x0000_i1452" o:spt="75" type="#_x0000_t75" style="height:15pt;width:21.75pt;" o:ole="t" filled="f" o:preferrelative="t" stroked="f" coordsize="21600,21600">
            <v:path/>
            <v:fill on="f" focussize="0,0"/>
            <v:stroke on="f" joinstyle="miter"/>
            <v:imagedata r:id="rId836" o:title=""/>
            <o:lock v:ext="edit" aspectratio="t"/>
            <w10:wrap type="none"/>
            <w10:anchorlock/>
          </v:shape>
          <o:OLEObject Type="Embed" ProgID="Equation.DSMT4" ShapeID="_x0000_i1452" DrawAspect="Content" ObjectID="_1468076152" r:id="rId835">
            <o:LockedField>false</o:LockedField>
          </o:OLEObject>
        </w:object>
      </w:r>
      <w:r>
        <w:rPr>
          <w:color w:val="auto"/>
          <w:szCs w:val="21"/>
        </w:rPr>
        <w:t>——冲切破坏锥体范围内各桩的净反力设计值之和。</w:t>
      </w:r>
    </w:p>
    <w:p w14:paraId="473FD64C">
      <w:pPr>
        <w:pStyle w:val="21"/>
        <w:rPr>
          <w:rFonts w:ascii="Times New Roman" w:hAnsi="Times New Roman"/>
          <w:color w:val="auto"/>
        </w:rPr>
      </w:pPr>
      <w:r>
        <w:rPr>
          <w:rFonts w:ascii="Times New Roman" w:hAnsi="Times New Roman"/>
          <w:color w:val="auto"/>
        </w:rPr>
        <w:t>对中、低压缩性土上的承台，当承台与地基土之间没有脱空现象时，可适当减小承台受冲切计算的厚度。</w:t>
      </w:r>
    </w:p>
    <w:p w14:paraId="2305051D">
      <w:pPr>
        <w:adjustRightInd w:val="0"/>
        <w:snapToGrid w:val="0"/>
        <w:spacing w:before="40" w:line="340" w:lineRule="exact"/>
        <w:ind w:firstLine="422" w:firstLineChars="200"/>
        <w:rPr>
          <w:color w:val="auto"/>
          <w:szCs w:val="21"/>
        </w:rPr>
      </w:pPr>
      <w:r>
        <w:rPr>
          <w:rFonts w:eastAsia="黑体"/>
          <w:b/>
          <w:color w:val="auto"/>
          <w:szCs w:val="21"/>
        </w:rPr>
        <w:t>b)</w:t>
      </w:r>
      <w:r>
        <w:rPr>
          <w:color w:val="auto"/>
          <w:szCs w:val="21"/>
        </w:rPr>
        <w:t xml:space="preserve">  角桩对承台的冲切，可按下列公式计算：</w:t>
      </w:r>
    </w:p>
    <w:p w14:paraId="23F2616A">
      <w:pPr>
        <w:adjustRightInd w:val="0"/>
        <w:snapToGrid w:val="0"/>
        <w:spacing w:line="340" w:lineRule="exact"/>
        <w:ind w:firstLine="786" w:firstLineChars="373"/>
        <w:rPr>
          <w:color w:val="auto"/>
          <w:szCs w:val="21"/>
        </w:rPr>
      </w:pPr>
      <w:r>
        <w:rPr>
          <w:rFonts w:eastAsia="黑体"/>
          <w:b/>
          <w:color w:val="auto"/>
          <w:szCs w:val="21"/>
        </w:rPr>
        <w:t>1</w:t>
      </w:r>
      <w:r>
        <w:rPr>
          <w:rFonts w:hint="eastAsia" w:eastAsia="黑体"/>
          <w:b/>
          <w:color w:val="auto"/>
          <w:szCs w:val="21"/>
        </w:rPr>
        <w:t>）</w:t>
      </w:r>
      <w:r>
        <w:rPr>
          <w:color w:val="auto"/>
          <w:szCs w:val="21"/>
        </w:rPr>
        <w:t>多桩矩形承台受角桩冲切的承载力应按</w:t>
      </w:r>
      <w:r>
        <w:rPr>
          <w:rFonts w:hint="eastAsia"/>
          <w:color w:val="auto"/>
          <w:lang w:val="en-US" w:eastAsia="zh-CN"/>
        </w:rPr>
        <w:t>公式（92）~（94）</w:t>
      </w:r>
      <w:r>
        <w:rPr>
          <w:color w:val="auto"/>
          <w:szCs w:val="21"/>
        </w:rPr>
        <w:t>计算（图16）：</w:t>
      </w:r>
    </w:p>
    <w:p w14:paraId="4884134E">
      <w:pPr>
        <w:adjustRightInd w:val="0"/>
        <w:snapToGrid w:val="0"/>
        <w:spacing w:before="240" w:line="360" w:lineRule="atLeast"/>
        <w:jc w:val="center"/>
        <w:rPr>
          <w:color w:val="auto"/>
          <w:szCs w:val="21"/>
        </w:rPr>
      </w:pPr>
      <w:r>
        <w:rPr>
          <w:color w:val="auto"/>
        </w:rPr>
        <w:drawing>
          <wp:inline distT="0" distB="0" distL="0" distR="0">
            <wp:extent cx="3038475" cy="2219325"/>
            <wp:effectExtent l="0" t="0" r="9525"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a:xfrm>
                      <a:off x="0" y="0"/>
                      <a:ext cx="3038475" cy="2219325"/>
                    </a:xfrm>
                    <a:prstGeom prst="rect">
                      <a:avLst/>
                    </a:prstGeom>
                    <a:noFill/>
                    <a:ln>
                      <a:noFill/>
                    </a:ln>
                  </pic:spPr>
                </pic:pic>
              </a:graphicData>
            </a:graphic>
          </wp:inline>
        </w:drawing>
      </w:r>
    </w:p>
    <w:p w14:paraId="1F7F7754">
      <w:pPr>
        <w:adjustRightInd w:val="0"/>
        <w:snapToGrid w:val="0"/>
        <w:spacing w:line="360" w:lineRule="atLeast"/>
        <w:jc w:val="center"/>
        <w:rPr>
          <w:b/>
          <w:color w:val="auto"/>
          <w:sz w:val="18"/>
          <w:szCs w:val="18"/>
        </w:rPr>
      </w:pPr>
      <w:r>
        <w:rPr>
          <w:b/>
          <w:color w:val="auto"/>
          <w:sz w:val="18"/>
          <w:szCs w:val="18"/>
        </w:rPr>
        <w:t>图16    矩形承台角桩冲切计算示意</w:t>
      </w:r>
    </w:p>
    <w:p w14:paraId="4B08470C">
      <w:pPr>
        <w:pStyle w:val="12"/>
        <w:jc w:val="right"/>
        <w:rPr>
          <w:color w:val="auto"/>
          <w:szCs w:val="21"/>
        </w:rPr>
      </w:pPr>
      <w:r>
        <w:rPr>
          <w:color w:val="auto"/>
          <w:position w:val="-12"/>
          <w:szCs w:val="21"/>
        </w:rPr>
        <w:object>
          <v:shape id="_x0000_i1453" o:spt="75" type="#_x0000_t75" style="height:21.75pt;width:15pt;" o:ole="t" filled="f" o:preferrelative="t" stroked="f" coordsize="21600,21600">
            <v:path/>
            <v:fill on="f" focussize="0,0"/>
            <v:stroke on="f" joinstyle="miter"/>
            <v:imagedata r:id="rId839" o:title=""/>
            <o:lock v:ext="edit" aspectratio="t"/>
            <w10:wrap type="none"/>
            <w10:anchorlock/>
          </v:shape>
          <o:OLEObject Type="Embed" ProgID="Equation.DSMT4" ShapeID="_x0000_i1453" DrawAspect="Content" ObjectID="_1468076153" r:id="rId838">
            <o:LockedField>false</o:LockedField>
          </o:OLEObject>
        </w:object>
      </w:r>
      <w:r>
        <w:rPr>
          <w:color w:val="auto"/>
          <w:szCs w:val="21"/>
        </w:rPr>
        <w:t>≤</w:t>
      </w:r>
      <w:r>
        <w:rPr>
          <w:color w:val="auto"/>
          <w:position w:val="-30"/>
          <w:szCs w:val="21"/>
        </w:rPr>
        <w:object>
          <v:shape id="_x0000_i1454" o:spt="75" type="#_x0000_t75" style="height:36.75pt;width:173.25pt;" o:ole="t" filled="f" o:preferrelative="t" stroked="f" coordsize="21600,21600">
            <v:path/>
            <v:fill on="f" focussize="0,0"/>
            <v:stroke on="f" joinstyle="miter"/>
            <v:imagedata r:id="rId841" o:title=""/>
            <o:lock v:ext="edit" aspectratio="t"/>
            <w10:wrap type="none"/>
            <w10:anchorlock/>
          </v:shape>
          <o:OLEObject Type="Embed" ProgID="Equation.DSMT4" ShapeID="_x0000_i1454" DrawAspect="Content" ObjectID="_1468076154" r:id="rId84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92</w:t>
      </w:r>
      <w:r>
        <w:rPr>
          <w:color w:val="auto"/>
          <w:szCs w:val="21"/>
        </w:rPr>
        <w:fldChar w:fldCharType="end"/>
      </w:r>
      <w:r>
        <w:rPr>
          <w:color w:val="auto"/>
          <w:szCs w:val="21"/>
        </w:rPr>
        <w:t>)</w:t>
      </w:r>
    </w:p>
    <w:p w14:paraId="161D7F34">
      <w:pPr>
        <w:pStyle w:val="12"/>
        <w:jc w:val="right"/>
        <w:rPr>
          <w:color w:val="auto"/>
          <w:szCs w:val="21"/>
        </w:rPr>
      </w:pPr>
      <w:r>
        <w:rPr>
          <w:color w:val="auto"/>
          <w:position w:val="-30"/>
          <w:szCs w:val="21"/>
        </w:rPr>
        <w:object>
          <v:shape id="_x0000_i1455" o:spt="75" type="#_x0000_t75" style="height:36.75pt;width:72pt;" o:ole="t" filled="f" o:preferrelative="t" stroked="f" coordsize="21600,21600">
            <v:path/>
            <v:fill on="f" focussize="0,0"/>
            <v:stroke on="f" joinstyle="miter"/>
            <v:imagedata r:id="rId843" o:title=""/>
            <o:lock v:ext="edit" aspectratio="t"/>
            <w10:wrap type="none"/>
            <w10:anchorlock/>
          </v:shape>
          <o:OLEObject Type="Embed" ProgID="Equation.DSMT4" ShapeID="_x0000_i1455" DrawAspect="Content" ObjectID="_1468076155" r:id="rId842">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93</w:t>
      </w:r>
      <w:r>
        <w:rPr>
          <w:color w:val="auto"/>
          <w:szCs w:val="21"/>
        </w:rPr>
        <w:fldChar w:fldCharType="end"/>
      </w:r>
      <w:r>
        <w:rPr>
          <w:color w:val="auto"/>
          <w:szCs w:val="21"/>
        </w:rPr>
        <w:t>)</w:t>
      </w:r>
    </w:p>
    <w:p w14:paraId="55515B7C">
      <w:pPr>
        <w:pStyle w:val="12"/>
        <w:jc w:val="right"/>
        <w:rPr>
          <w:color w:val="auto"/>
          <w:szCs w:val="21"/>
        </w:rPr>
      </w:pPr>
      <w:r>
        <w:rPr>
          <w:color w:val="auto"/>
          <w:szCs w:val="21"/>
        </w:rPr>
        <w:t xml:space="preserve">  </w:t>
      </w:r>
      <w:r>
        <w:rPr>
          <w:color w:val="auto"/>
          <w:position w:val="-32"/>
          <w:szCs w:val="21"/>
        </w:rPr>
        <w:object>
          <v:shape id="_x0000_i1456" o:spt="75" type="#_x0000_t75" style="height:36.75pt;width:80.25pt;" o:ole="t" filled="f" o:preferrelative="t" stroked="f" coordsize="21600,21600">
            <v:path/>
            <v:fill on="f" focussize="0,0"/>
            <v:stroke on="f" joinstyle="miter"/>
            <v:imagedata r:id="rId845" o:title=""/>
            <o:lock v:ext="edit" aspectratio="t"/>
            <w10:wrap type="none"/>
            <w10:anchorlock/>
          </v:shape>
          <o:OLEObject Type="Embed" ProgID="Equation.DSMT4" ShapeID="_x0000_i1456" DrawAspect="Content" ObjectID="_1468076156" r:id="rId844">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94</w:t>
      </w:r>
      <w:r>
        <w:rPr>
          <w:color w:val="auto"/>
          <w:szCs w:val="21"/>
        </w:rPr>
        <w:fldChar w:fldCharType="end"/>
      </w:r>
      <w:r>
        <w:rPr>
          <w:color w:val="auto"/>
          <w:szCs w:val="21"/>
        </w:rPr>
        <w:t>)</w:t>
      </w:r>
    </w:p>
    <w:p w14:paraId="6B3F7144">
      <w:pPr>
        <w:adjustRightInd w:val="0"/>
        <w:snapToGrid w:val="0"/>
        <w:spacing w:before="156" w:beforeLines="50" w:line="360" w:lineRule="exact"/>
        <w:ind w:left="1359" w:hanging="1358" w:hangingChars="647"/>
        <w:rPr>
          <w:color w:val="auto"/>
          <w:szCs w:val="21"/>
        </w:rPr>
      </w:pPr>
      <w:r>
        <w:rPr>
          <w:color w:val="auto"/>
          <w:szCs w:val="21"/>
        </w:rPr>
        <w:t xml:space="preserve">式中  </w:t>
      </w:r>
      <w:r>
        <w:rPr>
          <w:color w:val="auto"/>
          <w:position w:val="-12"/>
          <w:szCs w:val="21"/>
        </w:rPr>
        <w:object>
          <v:shape id="_x0000_i1457" o:spt="75" type="#_x0000_t75" style="height:21.75pt;width:15pt;" o:ole="t" filled="f" o:preferrelative="t" stroked="f" coordsize="21600,21600">
            <v:path/>
            <v:fill on="f" focussize="0,0"/>
            <v:stroke on="f" joinstyle="miter"/>
            <v:imagedata r:id="rId847" o:title=""/>
            <o:lock v:ext="edit" aspectratio="t"/>
            <w10:wrap type="none"/>
            <w10:anchorlock/>
          </v:shape>
          <o:OLEObject Type="Embed" ProgID="Equation.DSMT4" ShapeID="_x0000_i1457" DrawAspect="Content" ObjectID="_1468076157" r:id="rId846">
            <o:LockedField>false</o:LockedField>
          </o:OLEObject>
        </w:object>
      </w:r>
      <w:r>
        <w:rPr>
          <w:color w:val="auto"/>
          <w:szCs w:val="21"/>
        </w:rPr>
        <w:t>——扣除承台和其上填土自重后的角桩桩顶相应于作用的基本组合时的竖向力设计值；</w:t>
      </w:r>
    </w:p>
    <w:p w14:paraId="1475A92B">
      <w:pPr>
        <w:adjustRightInd w:val="0"/>
        <w:snapToGrid w:val="0"/>
        <w:spacing w:line="360" w:lineRule="exact"/>
        <w:ind w:left="1" w:hanging="1"/>
        <w:rPr>
          <w:color w:val="auto"/>
          <w:szCs w:val="21"/>
        </w:rPr>
      </w:pPr>
      <w:r>
        <w:rPr>
          <w:color w:val="auto"/>
          <w:szCs w:val="21"/>
        </w:rPr>
        <mc:AlternateContent>
          <mc:Choice Requires="wps">
            <w:drawing>
              <wp:anchor distT="0" distB="0" distL="114300" distR="114300" simplePos="0" relativeHeight="251662336" behindDoc="0" locked="0" layoutInCell="1" allowOverlap="1">
                <wp:simplePos x="0" y="0"/>
                <wp:positionH relativeFrom="column">
                  <wp:posOffset>4219575</wp:posOffset>
                </wp:positionH>
                <wp:positionV relativeFrom="paragraph">
                  <wp:posOffset>33655</wp:posOffset>
                </wp:positionV>
                <wp:extent cx="1764665" cy="2254250"/>
                <wp:effectExtent l="6985" t="12700" r="9525" b="9525"/>
                <wp:wrapSquare wrapText="bothSides"/>
                <wp:docPr id="307" name="矩形 307"/>
                <wp:cNvGraphicFramePr/>
                <a:graphic xmlns:a="http://schemas.openxmlformats.org/drawingml/2006/main">
                  <a:graphicData uri="http://schemas.microsoft.com/office/word/2010/wordprocessingShape">
                    <wps:wsp>
                      <wps:cNvSpPr>
                        <a:spLocks noChangeArrowheads="1"/>
                      </wps:cNvSpPr>
                      <wps:spPr bwMode="auto">
                        <a:xfrm>
                          <a:off x="0" y="0"/>
                          <a:ext cx="1764665" cy="2254250"/>
                        </a:xfrm>
                        <a:prstGeom prst="rect">
                          <a:avLst/>
                        </a:prstGeom>
                        <a:solidFill>
                          <a:srgbClr val="FFFFFF"/>
                        </a:solidFill>
                        <a:ln w="9525">
                          <a:solidFill>
                            <a:srgbClr val="FFFFFF"/>
                          </a:solidFill>
                          <a:miter lim="800000"/>
                        </a:ln>
                      </wps:spPr>
                      <wps:txbx>
                        <w:txbxContent>
                          <w:p w14:paraId="7CC7AF99">
                            <w:pPr>
                              <w:rPr>
                                <w:rFonts w:ascii="宋体" w:hAnsi="宋体"/>
                                <w:sz w:val="18"/>
                              </w:rPr>
                            </w:pPr>
                            <w:r>
                              <w:drawing>
                                <wp:inline distT="0" distB="0" distL="0" distR="0">
                                  <wp:extent cx="1447800" cy="16192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a:xfrm>
                                            <a:off x="0" y="0"/>
                                            <a:ext cx="1447800" cy="1619250"/>
                                          </a:xfrm>
                                          <a:prstGeom prst="rect">
                                            <a:avLst/>
                                          </a:prstGeom>
                                          <a:noFill/>
                                          <a:ln>
                                            <a:noFill/>
                                          </a:ln>
                                        </pic:spPr>
                                      </pic:pic>
                                    </a:graphicData>
                                  </a:graphic>
                                </wp:inline>
                              </w:drawing>
                            </w:r>
                          </w:p>
                          <w:p w14:paraId="0C4BA8AC">
                            <w:pPr>
                              <w:snapToGrid w:val="0"/>
                              <w:jc w:val="center"/>
                              <w:rPr>
                                <w:rFonts w:ascii="宋体" w:hAnsi="宋体"/>
                                <w:b/>
                                <w:sz w:val="18"/>
                                <w:szCs w:val="18"/>
                              </w:rPr>
                            </w:pPr>
                            <w:r>
                              <w:rPr>
                                <w:rFonts w:hint="eastAsia" w:ascii="宋体" w:hAnsi="宋体"/>
                                <w:b/>
                                <w:sz w:val="18"/>
                                <w:szCs w:val="18"/>
                              </w:rPr>
                              <w:t>图</w:t>
                            </w:r>
                            <w:r>
                              <w:rPr>
                                <w:b/>
                                <w:sz w:val="18"/>
                                <w:szCs w:val="18"/>
                              </w:rPr>
                              <w:t>17</w:t>
                            </w:r>
                            <w:r>
                              <w:rPr>
                                <w:rFonts w:hint="eastAsia" w:ascii="宋体" w:hAnsi="宋体"/>
                                <w:b/>
                                <w:sz w:val="18"/>
                                <w:szCs w:val="18"/>
                              </w:rPr>
                              <w:t xml:space="preserve"> 三角形承台角桩冲切</w:t>
                            </w:r>
                          </w:p>
                          <w:p w14:paraId="228ACFAA">
                            <w:pPr>
                              <w:snapToGrid w:val="0"/>
                              <w:jc w:val="center"/>
                              <w:rPr>
                                <w:rFonts w:ascii="宋体" w:hAnsi="宋体"/>
                                <w:b/>
                                <w:sz w:val="18"/>
                                <w:szCs w:val="18"/>
                              </w:rPr>
                            </w:pPr>
                            <w:r>
                              <w:rPr>
                                <w:rFonts w:hint="eastAsia" w:ascii="宋体" w:hAnsi="宋体"/>
                                <w:b/>
                                <w:sz w:val="18"/>
                                <w:szCs w:val="18"/>
                              </w:rPr>
                              <w:t>计算示意</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32.25pt;margin-top:2.65pt;height:177.5pt;width:138.95pt;mso-wrap-distance-bottom:0pt;mso-wrap-distance-left:9pt;mso-wrap-distance-right:9pt;mso-wrap-distance-top:0pt;z-index:251662336;mso-width-relative:page;mso-height-relative:page;" fillcolor="#FFFFFF" filled="t" stroked="t" coordsize="21600,21600" o:gfxdata="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0/EpDdcAAAAJAQAADwAAAAAAAAABACAAAAAiAAAAZHJzL2Rv&#10;d25yZXYueG1sUEsBAhQAFAAAAAgAh07iQAvM6sU7AgAAfwQAAA4AAAAAAAAAAQAgAAAAJgEAAGRy&#10;cy9lMm9Eb2MueG1sUEsFBgAAAAAGAAYAWQEAANMFAAAAAA==&#10;">
                <v:fill on="t" focussize="0,0"/>
                <v:stroke color="#FFFFFF" miterlimit="8" joinstyle="miter"/>
                <v:imagedata o:title=""/>
                <o:lock v:ext="edit" aspectratio="f"/>
                <v:textbox>
                  <w:txbxContent>
                    <w:p w14:paraId="7CC7AF99">
                      <w:pPr>
                        <w:rPr>
                          <w:rFonts w:ascii="宋体" w:hAnsi="宋体"/>
                          <w:sz w:val="18"/>
                        </w:rPr>
                      </w:pPr>
                      <w:r>
                        <w:drawing>
                          <wp:inline distT="0" distB="0" distL="0" distR="0">
                            <wp:extent cx="1447800" cy="16192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a:xfrm>
                                      <a:off x="0" y="0"/>
                                      <a:ext cx="1447800" cy="1619250"/>
                                    </a:xfrm>
                                    <a:prstGeom prst="rect">
                                      <a:avLst/>
                                    </a:prstGeom>
                                    <a:noFill/>
                                    <a:ln>
                                      <a:noFill/>
                                    </a:ln>
                                  </pic:spPr>
                                </pic:pic>
                              </a:graphicData>
                            </a:graphic>
                          </wp:inline>
                        </w:drawing>
                      </w:r>
                    </w:p>
                    <w:p w14:paraId="0C4BA8AC">
                      <w:pPr>
                        <w:snapToGrid w:val="0"/>
                        <w:jc w:val="center"/>
                        <w:rPr>
                          <w:rFonts w:ascii="宋体" w:hAnsi="宋体"/>
                          <w:b/>
                          <w:sz w:val="18"/>
                          <w:szCs w:val="18"/>
                        </w:rPr>
                      </w:pPr>
                      <w:r>
                        <w:rPr>
                          <w:rFonts w:hint="eastAsia" w:ascii="宋体" w:hAnsi="宋体"/>
                          <w:b/>
                          <w:sz w:val="18"/>
                          <w:szCs w:val="18"/>
                        </w:rPr>
                        <w:t>图</w:t>
                      </w:r>
                      <w:r>
                        <w:rPr>
                          <w:b/>
                          <w:sz w:val="18"/>
                          <w:szCs w:val="18"/>
                        </w:rPr>
                        <w:t>17</w:t>
                      </w:r>
                      <w:r>
                        <w:rPr>
                          <w:rFonts w:hint="eastAsia" w:ascii="宋体" w:hAnsi="宋体"/>
                          <w:b/>
                          <w:sz w:val="18"/>
                          <w:szCs w:val="18"/>
                        </w:rPr>
                        <w:t xml:space="preserve"> 三角形承台角桩冲切</w:t>
                      </w:r>
                    </w:p>
                    <w:p w14:paraId="228ACFAA">
                      <w:pPr>
                        <w:snapToGrid w:val="0"/>
                        <w:jc w:val="center"/>
                        <w:rPr>
                          <w:rFonts w:ascii="宋体" w:hAnsi="宋体"/>
                          <w:b/>
                          <w:sz w:val="18"/>
                          <w:szCs w:val="18"/>
                        </w:rPr>
                      </w:pPr>
                      <w:r>
                        <w:rPr>
                          <w:rFonts w:hint="eastAsia" w:ascii="宋体" w:hAnsi="宋体"/>
                          <w:b/>
                          <w:sz w:val="18"/>
                          <w:szCs w:val="18"/>
                        </w:rPr>
                        <w:t>计算示意</w:t>
                      </w:r>
                    </w:p>
                  </w:txbxContent>
                </v:textbox>
                <w10:wrap type="square"/>
              </v:rect>
            </w:pict>
          </mc:Fallback>
        </mc:AlternateContent>
      </w:r>
      <w:r>
        <w:rPr>
          <w:color w:val="auto"/>
          <w:position w:val="-12"/>
          <w:szCs w:val="21"/>
        </w:rPr>
        <w:object>
          <v:shape id="_x0000_i1458" o:spt="75" type="#_x0000_t75" style="height:15pt;width:15pt;" o:ole="t" filled="f" o:preferrelative="t" stroked="f" coordsize="21600,21600">
            <v:path/>
            <v:fill on="f" focussize="0,0"/>
            <v:stroke on="f" joinstyle="miter"/>
            <v:imagedata r:id="rId850" o:title=""/>
            <o:lock v:ext="edit" aspectratio="t"/>
            <w10:wrap type="none"/>
            <w10:anchorlock/>
          </v:shape>
          <o:OLEObject Type="Embed" ProgID="Equation.DSMT4" ShapeID="_x0000_i1458" DrawAspect="Content" ObjectID="_1468076158" r:id="rId849">
            <o:LockedField>false</o:LockedField>
          </o:OLEObject>
        </w:object>
      </w:r>
      <w:r>
        <w:rPr>
          <w:color w:val="auto"/>
          <w:szCs w:val="21"/>
        </w:rPr>
        <w:t>、</w:t>
      </w:r>
      <w:r>
        <w:rPr>
          <w:color w:val="auto"/>
          <w:position w:val="-14"/>
          <w:szCs w:val="21"/>
        </w:rPr>
        <w:object>
          <v:shape id="_x0000_i1459" o:spt="75" type="#_x0000_t75" style="height:21.75pt;width:15pt;" o:ole="t" filled="f" o:preferrelative="t" stroked="f" coordsize="21600,21600">
            <v:path/>
            <v:fill on="f" focussize="0,0"/>
            <v:stroke on="f" joinstyle="miter"/>
            <v:imagedata r:id="rId852" o:title=""/>
            <o:lock v:ext="edit" aspectratio="t"/>
            <w10:wrap type="none"/>
            <w10:anchorlock/>
          </v:shape>
          <o:OLEObject Type="Embed" ProgID="Equation.DSMT4" ShapeID="_x0000_i1459" DrawAspect="Content" ObjectID="_1468076159" r:id="rId851">
            <o:LockedField>false</o:LockedField>
          </o:OLEObject>
        </w:object>
      </w:r>
      <w:r>
        <w:rPr>
          <w:color w:val="auto"/>
          <w:szCs w:val="21"/>
        </w:rPr>
        <w:t>——角桩冲切系数；</w:t>
      </w:r>
    </w:p>
    <w:p w14:paraId="4CFB0964">
      <w:pPr>
        <w:adjustRightInd w:val="0"/>
        <w:snapToGrid w:val="0"/>
        <w:spacing w:line="360" w:lineRule="atLeast"/>
        <w:ind w:left="1270" w:leftChars="-13" w:hanging="1297" w:hangingChars="618"/>
        <w:rPr>
          <w:color w:val="auto"/>
          <w:szCs w:val="21"/>
        </w:rPr>
      </w:pPr>
      <w:r>
        <w:rPr>
          <w:color w:val="auto"/>
          <w:position w:val="-12"/>
          <w:szCs w:val="21"/>
        </w:rPr>
        <w:object>
          <v:shape id="_x0000_i1460" o:spt="75" type="#_x0000_t75" style="height:21.75pt;width:15pt;" o:ole="t" filled="f" o:preferrelative="t" stroked="f" coordsize="21600,21600">
            <v:path/>
            <v:fill on="f" focussize="0,0"/>
            <v:stroke on="f" joinstyle="miter"/>
            <v:imagedata r:id="rId854" o:title=""/>
            <o:lock v:ext="edit" aspectratio="t"/>
            <w10:wrap type="none"/>
            <w10:anchorlock/>
          </v:shape>
          <o:OLEObject Type="Embed" ProgID="Equation.DSMT4" ShapeID="_x0000_i1460" DrawAspect="Content" ObjectID="_1468076160" r:id="rId853">
            <o:LockedField>false</o:LockedField>
          </o:OLEObject>
        </w:object>
      </w:r>
      <w:r>
        <w:rPr>
          <w:color w:val="auto"/>
          <w:szCs w:val="21"/>
        </w:rPr>
        <w:t>、</w:t>
      </w:r>
      <w:r>
        <w:rPr>
          <w:color w:val="auto"/>
          <w:position w:val="-14"/>
          <w:szCs w:val="21"/>
        </w:rPr>
        <w:object>
          <v:shape id="_x0000_i1461" o:spt="75" type="#_x0000_t75" style="height:21.75pt;width:15pt;" o:ole="t" filled="f" o:preferrelative="t" stroked="f" coordsize="21600,21600">
            <v:path/>
            <v:fill on="f" focussize="0,0"/>
            <v:stroke on="f" joinstyle="miter"/>
            <v:imagedata r:id="rId856" o:title=""/>
            <o:lock v:ext="edit" aspectratio="t"/>
            <w10:wrap type="none"/>
            <w10:anchorlock/>
          </v:shape>
          <o:OLEObject Type="Embed" ProgID="Equation.DSMT4" ShapeID="_x0000_i1461" DrawAspect="Content" ObjectID="_1468076161" r:id="rId855">
            <o:LockedField>false</o:LockedField>
          </o:OLEObject>
        </w:object>
      </w:r>
      <w:r>
        <w:rPr>
          <w:color w:val="auto"/>
          <w:szCs w:val="21"/>
        </w:rPr>
        <w:t>——角桩冲跨比，其值满足0.25～1.0，</w:t>
      </w:r>
      <w:r>
        <w:rPr>
          <w:color w:val="auto"/>
          <w:position w:val="-12"/>
          <w:szCs w:val="21"/>
        </w:rPr>
        <w:object>
          <v:shape id="_x0000_i1462" o:spt="75" type="#_x0000_t75" style="height:21.75pt;width:57.75pt;" o:ole="t" filled="f" o:preferrelative="t" stroked="f" coordsize="21600,21600">
            <v:path/>
            <v:fill on="f" focussize="0,0"/>
            <v:stroke on="f" joinstyle="miter"/>
            <v:imagedata r:id="rId858" o:title=""/>
            <o:lock v:ext="edit" aspectratio="t"/>
            <w10:wrap type="none"/>
            <w10:anchorlock/>
          </v:shape>
          <o:OLEObject Type="Embed" ProgID="Equation.DSMT4" ShapeID="_x0000_i1462" DrawAspect="Content" ObjectID="_1468076162" r:id="rId857">
            <o:LockedField>false</o:LockedField>
          </o:OLEObject>
        </w:object>
      </w:r>
      <w:r>
        <w:rPr>
          <w:color w:val="auto"/>
          <w:szCs w:val="21"/>
        </w:rPr>
        <w:t>，</w:t>
      </w:r>
      <w:r>
        <w:rPr>
          <w:color w:val="auto"/>
          <w:position w:val="-14"/>
          <w:szCs w:val="21"/>
        </w:rPr>
        <w:object>
          <v:shape id="_x0000_i1463" o:spt="75" type="#_x0000_t75" style="height:21.75pt;width:57.75pt;" o:ole="t" filled="f" o:preferrelative="t" stroked="f" coordsize="21600,21600">
            <v:path/>
            <v:fill on="f" focussize="0,0"/>
            <v:stroke on="f" joinstyle="miter"/>
            <v:imagedata r:id="rId860" o:title=""/>
            <o:lock v:ext="edit" aspectratio="t"/>
            <w10:wrap type="none"/>
            <w10:anchorlock/>
          </v:shape>
          <o:OLEObject Type="Embed" ProgID="Equation.DSMT4" ShapeID="_x0000_i1463" DrawAspect="Content" ObjectID="_1468076163" r:id="rId859">
            <o:LockedField>false</o:LockedField>
          </o:OLEObject>
        </w:object>
      </w:r>
      <w:r>
        <w:rPr>
          <w:color w:val="auto"/>
          <w:szCs w:val="21"/>
        </w:rPr>
        <w:t>；</w:t>
      </w:r>
    </w:p>
    <w:p w14:paraId="4057E93C">
      <w:pPr>
        <w:tabs>
          <w:tab w:val="left" w:pos="1344"/>
        </w:tabs>
        <w:adjustRightInd w:val="0"/>
        <w:snapToGrid w:val="0"/>
        <w:spacing w:line="360" w:lineRule="exact"/>
        <w:ind w:left="1341" w:leftChars="94" w:hanging="1144" w:hangingChars="545"/>
        <w:rPr>
          <w:color w:val="auto"/>
          <w:szCs w:val="21"/>
        </w:rPr>
      </w:pPr>
      <w:r>
        <w:rPr>
          <w:color w:val="auto"/>
          <w:position w:val="-10"/>
          <w:szCs w:val="21"/>
        </w:rPr>
        <w:object>
          <v:shape id="_x0000_i1464" o:spt="75" type="#_x0000_t75" style="height:15pt;width:15pt;" o:ole="t" filled="f" o:preferrelative="t" stroked="f" coordsize="21600,21600">
            <v:path/>
            <v:fill on="f" focussize="0,0"/>
            <v:stroke on="f" joinstyle="miter"/>
            <v:imagedata r:id="rId862" o:title=""/>
            <o:lock v:ext="edit" aspectratio="t"/>
            <w10:wrap type="none"/>
            <w10:anchorlock/>
          </v:shape>
          <o:OLEObject Type="Embed" ProgID="Equation.3" ShapeID="_x0000_i1464" DrawAspect="Content" ObjectID="_1468076164" r:id="rId861">
            <o:LockedField>false</o:LockedField>
          </o:OLEObject>
        </w:object>
      </w:r>
      <w:r>
        <w:rPr>
          <w:color w:val="auto"/>
          <w:szCs w:val="21"/>
        </w:rPr>
        <w:t>、</w:t>
      </w:r>
      <w:r>
        <w:rPr>
          <w:color w:val="auto"/>
          <w:position w:val="-10"/>
        </w:rPr>
        <w:object>
          <v:shape id="_x0000_i1465" o:spt="75" type="#_x0000_t75" style="height:15pt;width:15pt;" o:ole="t" filled="f" o:preferrelative="t" stroked="f" coordsize="21600,21600">
            <v:path/>
            <v:fill on="f" focussize="0,0"/>
            <v:stroke on="f" joinstyle="miter"/>
            <v:imagedata r:id="rId864" o:title=""/>
            <o:lock v:ext="edit" aspectratio="t"/>
            <w10:wrap type="none"/>
            <w10:anchorlock/>
          </v:shape>
          <o:OLEObject Type="Embed" ProgID="Equation.3" ShapeID="_x0000_i1465" DrawAspect="Content" ObjectID="_1468076165" r:id="rId863">
            <o:LockedField>false</o:LockedField>
          </o:OLEObject>
        </w:object>
      </w:r>
      <w:r>
        <w:rPr>
          <w:color w:val="auto"/>
          <w:szCs w:val="21"/>
        </w:rPr>
        <w:t>——从角桩内边缘至承台外边缘的距离；</w:t>
      </w:r>
    </w:p>
    <w:p w14:paraId="1FE562C8">
      <w:pPr>
        <w:adjustRightInd w:val="0"/>
        <w:snapToGrid w:val="0"/>
        <w:spacing w:line="360" w:lineRule="atLeast"/>
        <w:ind w:left="1304" w:leftChars="51" w:hanging="1197" w:hangingChars="570"/>
        <w:rPr>
          <w:color w:val="auto"/>
          <w:szCs w:val="21"/>
        </w:rPr>
      </w:pPr>
      <w:r>
        <w:rPr>
          <w:color w:val="auto"/>
          <w:position w:val="-12"/>
          <w:szCs w:val="21"/>
        </w:rPr>
        <w:object>
          <v:shape id="_x0000_i1466" o:spt="75" type="#_x0000_t75" style="height:21.75pt;width:15pt;" o:ole="t" filled="f" o:preferrelative="t" stroked="f" coordsize="21600,21600">
            <v:path/>
            <v:fill on="f" focussize="0,0"/>
            <v:stroke on="f" joinstyle="miter"/>
            <v:imagedata r:id="rId866" o:title=""/>
            <o:lock v:ext="edit" aspectratio="t"/>
            <w10:wrap type="none"/>
            <w10:anchorlock/>
          </v:shape>
          <o:OLEObject Type="Embed" ProgID="Equation.DSMT4" ShapeID="_x0000_i1466" DrawAspect="Content" ObjectID="_1468076166" r:id="rId865">
            <o:LockedField>false</o:LockedField>
          </o:OLEObject>
        </w:object>
      </w:r>
      <w:r>
        <w:rPr>
          <w:color w:val="auto"/>
          <w:szCs w:val="21"/>
        </w:rPr>
        <w:t>、</w:t>
      </w:r>
      <w:r>
        <w:rPr>
          <w:color w:val="auto"/>
          <w:position w:val="-14"/>
        </w:rPr>
        <w:object>
          <v:shape id="_x0000_i1467" o:spt="75" type="#_x0000_t75" style="height:21.75pt;width:15pt;" o:ole="t" filled="f" o:preferrelative="t" stroked="f" coordsize="21600,21600">
            <v:path/>
            <v:fill on="f" focussize="0,0"/>
            <v:stroke on="f" joinstyle="miter"/>
            <v:imagedata r:id="rId868" o:title=""/>
            <o:lock v:ext="edit" aspectratio="t"/>
            <w10:wrap type="none"/>
            <w10:anchorlock/>
          </v:shape>
          <o:OLEObject Type="Embed" ProgID="Equation.DSMT4" ShapeID="_x0000_i1467" DrawAspect="Content" ObjectID="_1468076167" r:id="rId867">
            <o:LockedField>false</o:LockedField>
          </o:OLEObject>
        </w:object>
      </w:r>
      <w:r>
        <w:rPr>
          <w:color w:val="auto"/>
          <w:szCs w:val="21"/>
        </w:rPr>
        <w:t>——从承台底角桩内边缘引</w:t>
      </w:r>
      <w:r>
        <w:rPr>
          <w:color w:val="auto"/>
          <w:position w:val="-6"/>
          <w:szCs w:val="21"/>
        </w:rPr>
        <w:object>
          <v:shape id="_x0000_i1468" o:spt="75" type="#_x0000_t75" style="height:15pt;width:15pt;" o:ole="t" filled="f" o:preferrelative="t" stroked="f" coordsize="21600,21600">
            <v:path/>
            <v:fill on="f" focussize="0,0"/>
            <v:stroke on="f" joinstyle="miter"/>
            <v:imagedata r:id="rId870" o:title=""/>
            <o:lock v:ext="edit" aspectratio="t"/>
            <w10:wrap type="none"/>
            <w10:anchorlock/>
          </v:shape>
          <o:OLEObject Type="Embed" ProgID="Equation.DSMT4" ShapeID="_x0000_i1468" DrawAspect="Content" ObjectID="_1468076168" r:id="rId869">
            <o:LockedField>false</o:LockedField>
          </o:OLEObject>
        </w:object>
      </w:r>
      <w:r>
        <w:rPr>
          <w:color w:val="auto"/>
          <w:szCs w:val="21"/>
        </w:rPr>
        <w:t>冲切线与承台顶面或承台变阶处相交点至角桩内边缘的水平距离；</w:t>
      </w:r>
    </w:p>
    <w:p w14:paraId="3E54BBE6">
      <w:pPr>
        <w:adjustRightInd w:val="0"/>
        <w:snapToGrid w:val="0"/>
        <w:spacing w:line="360" w:lineRule="exact"/>
        <w:ind w:firstLine="630" w:firstLineChars="300"/>
        <w:rPr>
          <w:color w:val="auto"/>
          <w:szCs w:val="21"/>
        </w:rPr>
      </w:pPr>
      <w:r>
        <w:rPr>
          <w:color w:val="auto"/>
          <w:position w:val="-12"/>
          <w:szCs w:val="21"/>
        </w:rPr>
        <w:object>
          <v:shape id="_x0000_i1469" o:spt="75" type="#_x0000_t75" style="height:21.75pt;width:15pt;" o:ole="t" filled="f" o:preferrelative="t" stroked="f" coordsize="21600,21600">
            <v:path/>
            <v:fill on="f" focussize="0,0"/>
            <v:stroke on="f" joinstyle="miter"/>
            <v:imagedata r:id="rId872" o:title=""/>
            <o:lock v:ext="edit" aspectratio="t"/>
            <w10:wrap type="none"/>
            <w10:anchorlock/>
          </v:shape>
          <o:OLEObject Type="Embed" ProgID="Equation.DSMT4" ShapeID="_x0000_i1469" DrawAspect="Content" ObjectID="_1468076169" r:id="rId871">
            <o:LockedField>false</o:LockedField>
          </o:OLEObject>
        </w:object>
      </w:r>
      <w:r>
        <w:rPr>
          <w:color w:val="auto"/>
          <w:szCs w:val="21"/>
        </w:rPr>
        <w:t>——承台外边缘的有效高度。</w:t>
      </w:r>
    </w:p>
    <w:p w14:paraId="1FDAEABB">
      <w:pPr>
        <w:adjustRightInd w:val="0"/>
        <w:snapToGrid w:val="0"/>
        <w:spacing w:line="360" w:lineRule="exact"/>
        <w:ind w:firstLine="620" w:firstLineChars="294"/>
        <w:rPr>
          <w:color w:val="auto"/>
          <w:szCs w:val="21"/>
        </w:rPr>
      </w:pPr>
      <w:r>
        <w:rPr>
          <w:rFonts w:eastAsia="黑体"/>
          <w:b/>
          <w:color w:val="auto"/>
          <w:szCs w:val="21"/>
        </w:rPr>
        <w:t>2)</w:t>
      </w:r>
      <w:r>
        <w:rPr>
          <w:color w:val="auto"/>
          <w:szCs w:val="21"/>
        </w:rPr>
        <w:t xml:space="preserve"> 三桩三</w:t>
      </w:r>
      <w:r>
        <w:rPr>
          <w:color w:val="auto"/>
          <w:spacing w:val="-6"/>
          <w:szCs w:val="21"/>
        </w:rPr>
        <w:t>角形承台受角桩冲切的承载力可按</w:t>
      </w:r>
      <w:r>
        <w:rPr>
          <w:rFonts w:hint="eastAsia"/>
          <w:color w:val="auto"/>
          <w:lang w:val="en-US" w:eastAsia="zh-CN"/>
        </w:rPr>
        <w:t>公式（95）~（98）</w:t>
      </w:r>
      <w:r>
        <w:rPr>
          <w:color w:val="auto"/>
          <w:spacing w:val="-6"/>
          <w:szCs w:val="21"/>
        </w:rPr>
        <w:t>计算（图17)：</w:t>
      </w:r>
    </w:p>
    <w:p w14:paraId="45B2C245">
      <w:pPr>
        <w:adjustRightInd w:val="0"/>
        <w:snapToGrid w:val="0"/>
        <w:spacing w:line="360" w:lineRule="atLeast"/>
        <w:ind w:firstLine="567"/>
        <w:rPr>
          <w:color w:val="auto"/>
          <w:szCs w:val="21"/>
        </w:rPr>
      </w:pPr>
      <w:r>
        <w:rPr>
          <w:color w:val="auto"/>
          <w:szCs w:val="21"/>
        </w:rPr>
        <w:t>底部角桩：</w:t>
      </w:r>
    </w:p>
    <w:p w14:paraId="0F2FF15B">
      <w:pPr>
        <w:pStyle w:val="12"/>
        <w:jc w:val="right"/>
        <w:rPr>
          <w:color w:val="auto"/>
          <w:szCs w:val="21"/>
        </w:rPr>
      </w:pPr>
      <w:r>
        <w:rPr>
          <w:color w:val="auto"/>
          <w:position w:val="-12"/>
          <w:szCs w:val="21"/>
        </w:rPr>
        <w:object>
          <v:shape id="_x0000_i1470" o:spt="75" type="#_x0000_t75" style="height:21.75pt;width:15pt;" o:ole="t" filled="f" o:preferrelative="t" stroked="f" coordsize="21600,21600">
            <v:path/>
            <v:fill on="f" focussize="0,0"/>
            <v:stroke on="f" joinstyle="miter"/>
            <v:imagedata r:id="rId874" o:title=""/>
            <o:lock v:ext="edit" aspectratio="t"/>
            <w10:wrap type="none"/>
            <w10:anchorlock/>
          </v:shape>
          <o:OLEObject Type="Embed" ProgID="Equation.DSMT4" ShapeID="_x0000_i1470" DrawAspect="Content" ObjectID="_1468076170" r:id="rId873">
            <o:LockedField>false</o:LockedField>
          </o:OLEObject>
        </w:object>
      </w:r>
      <w:r>
        <w:rPr>
          <w:color w:val="auto"/>
          <w:szCs w:val="21"/>
        </w:rPr>
        <w:t>≤</w:t>
      </w:r>
      <w:r>
        <w:rPr>
          <w:color w:val="auto"/>
          <w:position w:val="-24"/>
          <w:szCs w:val="21"/>
        </w:rPr>
        <w:object>
          <v:shape id="_x0000_i1471" o:spt="75" type="#_x0000_t75" style="height:28.5pt;width:123pt;" o:ole="t" filled="f" o:preferrelative="t" stroked="f" coordsize="21600,21600">
            <v:path/>
            <v:fill on="f" focussize="0,0"/>
            <v:stroke on="f" joinstyle="miter"/>
            <v:imagedata r:id="rId876" o:title=""/>
            <o:lock v:ext="edit" aspectratio="t"/>
            <w10:wrap type="none"/>
            <w10:anchorlock/>
          </v:shape>
          <o:OLEObject Type="Embed" ProgID="Equation.DSMT4" ShapeID="_x0000_i1471" DrawAspect="Content" ObjectID="_1468076171" r:id="rId875">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95</w:t>
      </w:r>
      <w:r>
        <w:rPr>
          <w:color w:val="auto"/>
          <w:szCs w:val="21"/>
        </w:rPr>
        <w:fldChar w:fldCharType="end"/>
      </w:r>
      <w:r>
        <w:rPr>
          <w:color w:val="auto"/>
          <w:szCs w:val="21"/>
        </w:rPr>
        <w:t>)</w:t>
      </w:r>
    </w:p>
    <w:p w14:paraId="3D4C2605">
      <w:pPr>
        <w:pStyle w:val="12"/>
        <w:jc w:val="right"/>
        <w:rPr>
          <w:color w:val="auto"/>
          <w:szCs w:val="21"/>
        </w:rPr>
      </w:pPr>
      <w:r>
        <w:rPr>
          <w:color w:val="auto"/>
          <w:position w:val="-30"/>
          <w:szCs w:val="21"/>
        </w:rPr>
        <w:object>
          <v:shape id="_x0000_i1472" o:spt="75" type="#_x0000_t75" style="height:36.75pt;width:72pt;" o:ole="t" filled="f" o:preferrelative="t" stroked="f" coordsize="21600,21600">
            <v:path/>
            <v:fill on="f" focussize="0,0"/>
            <v:stroke on="f" joinstyle="miter"/>
            <v:imagedata r:id="rId878" o:title=""/>
            <o:lock v:ext="edit" aspectratio="t"/>
            <w10:wrap type="none"/>
            <w10:anchorlock/>
          </v:shape>
          <o:OLEObject Type="Embed" ProgID="Equation.DSMT4" ShapeID="_x0000_i1472" DrawAspect="Content" ObjectID="_1468076172" r:id="rId877">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96</w:t>
      </w:r>
      <w:r>
        <w:rPr>
          <w:color w:val="auto"/>
          <w:szCs w:val="21"/>
        </w:rPr>
        <w:fldChar w:fldCharType="end"/>
      </w:r>
      <w:r>
        <w:rPr>
          <w:color w:val="auto"/>
          <w:szCs w:val="21"/>
        </w:rPr>
        <w:t>)</w:t>
      </w:r>
    </w:p>
    <w:p w14:paraId="1BF00302">
      <w:pPr>
        <w:adjustRightInd w:val="0"/>
        <w:snapToGrid w:val="0"/>
        <w:spacing w:before="240" w:line="360" w:lineRule="atLeast"/>
        <w:ind w:firstLine="567"/>
        <w:rPr>
          <w:color w:val="auto"/>
          <w:szCs w:val="21"/>
        </w:rPr>
      </w:pPr>
      <w:r>
        <w:rPr>
          <w:color w:val="auto"/>
          <w:szCs w:val="21"/>
        </w:rPr>
        <w:t>顶部角桩：</w:t>
      </w:r>
    </w:p>
    <w:p w14:paraId="7240839A">
      <w:pPr>
        <w:pStyle w:val="12"/>
        <w:jc w:val="right"/>
        <w:rPr>
          <w:color w:val="auto"/>
          <w:szCs w:val="21"/>
        </w:rPr>
      </w:pPr>
      <w:r>
        <w:rPr>
          <w:color w:val="auto"/>
          <w:position w:val="-12"/>
          <w:szCs w:val="21"/>
        </w:rPr>
        <w:object>
          <v:shape id="_x0000_i1473" o:spt="75" type="#_x0000_t75" style="height:21.75pt;width:15pt;" o:ole="t" filled="f" o:preferrelative="t" stroked="f" coordsize="21600,21600">
            <v:path/>
            <v:fill on="f" focussize="0,0"/>
            <v:stroke on="f" joinstyle="miter"/>
            <v:imagedata r:id="rId880" o:title=""/>
            <o:lock v:ext="edit" aspectratio="t"/>
            <w10:wrap type="none"/>
            <w10:anchorlock/>
          </v:shape>
          <o:OLEObject Type="Embed" ProgID="Equation.DSMT4" ShapeID="_x0000_i1473" DrawAspect="Content" ObjectID="_1468076173" r:id="rId879">
            <o:LockedField>false</o:LockedField>
          </o:OLEObject>
        </w:object>
      </w:r>
      <w:r>
        <w:rPr>
          <w:color w:val="auto"/>
          <w:szCs w:val="21"/>
        </w:rPr>
        <w:t>≤</w:t>
      </w:r>
      <w:r>
        <w:rPr>
          <w:color w:val="auto"/>
          <w:position w:val="-24"/>
          <w:szCs w:val="21"/>
        </w:rPr>
        <w:object>
          <v:shape id="_x0000_i1474" o:spt="75" type="#_x0000_t75" style="height:28.5pt;width:122.25pt;" o:ole="t" filled="f" o:preferrelative="t" stroked="f" coordsize="21600,21600">
            <v:path/>
            <v:fill on="f" focussize="0,0"/>
            <v:stroke on="f" joinstyle="miter"/>
            <v:imagedata r:id="rId882" o:title=""/>
            <o:lock v:ext="edit" aspectratio="t"/>
            <w10:wrap type="none"/>
            <w10:anchorlock/>
          </v:shape>
          <o:OLEObject Type="Embed" ProgID="Equation.DSMT4" ShapeID="_x0000_i1474" DrawAspect="Content" ObjectID="_1468076174" r:id="rId881">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97</w:t>
      </w:r>
      <w:r>
        <w:rPr>
          <w:color w:val="auto"/>
          <w:szCs w:val="21"/>
        </w:rPr>
        <w:fldChar w:fldCharType="end"/>
      </w:r>
      <w:r>
        <w:rPr>
          <w:color w:val="auto"/>
          <w:szCs w:val="21"/>
        </w:rPr>
        <w:t>)</w:t>
      </w:r>
    </w:p>
    <w:p w14:paraId="02C1B753">
      <w:pPr>
        <w:pStyle w:val="12"/>
        <w:wordWrap w:val="0"/>
        <w:jc w:val="right"/>
        <w:rPr>
          <w:color w:val="auto"/>
          <w:szCs w:val="21"/>
        </w:rPr>
      </w:pPr>
      <w:r>
        <w:rPr>
          <w:color w:val="auto"/>
          <w:position w:val="-30"/>
          <w:szCs w:val="21"/>
        </w:rPr>
        <w:object>
          <v:shape id="_x0000_i1475" o:spt="75" type="#_x0000_t75" style="height:36.75pt;width:72pt;" o:ole="t" filled="f" o:preferrelative="t" stroked="f" coordsize="21600,21600">
            <v:path/>
            <v:fill on="f" focussize="0,0"/>
            <v:stroke on="f" joinstyle="miter"/>
            <v:imagedata r:id="rId884" o:title=""/>
            <o:lock v:ext="edit" aspectratio="t"/>
            <w10:wrap type="none"/>
            <w10:anchorlock/>
          </v:shape>
          <o:OLEObject Type="Embed" ProgID="Equation.DSMT4" ShapeID="_x0000_i1475" DrawAspect="Content" ObjectID="_1468076175" r:id="rId883">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98</w:t>
      </w:r>
      <w:r>
        <w:rPr>
          <w:color w:val="auto"/>
          <w:szCs w:val="21"/>
        </w:rPr>
        <w:fldChar w:fldCharType="end"/>
      </w:r>
      <w:r>
        <w:rPr>
          <w:color w:val="auto"/>
          <w:szCs w:val="21"/>
        </w:rPr>
        <w:t>)</w:t>
      </w:r>
    </w:p>
    <w:p w14:paraId="0C3C8156">
      <w:pPr>
        <w:adjustRightInd w:val="0"/>
        <w:snapToGrid w:val="0"/>
        <w:spacing w:before="240" w:line="360" w:lineRule="atLeast"/>
        <w:rPr>
          <w:color w:val="auto"/>
          <w:szCs w:val="21"/>
        </w:rPr>
      </w:pPr>
      <w:r>
        <w:rPr>
          <w:color w:val="auto"/>
          <w:szCs w:val="21"/>
        </w:rPr>
        <w:t xml:space="preserve">式中  </w:t>
      </w:r>
      <w:r>
        <w:rPr>
          <w:color w:val="auto"/>
          <w:position w:val="-12"/>
          <w:szCs w:val="21"/>
        </w:rPr>
        <w:object>
          <v:shape id="_x0000_i1476" o:spt="75" type="#_x0000_t75" style="height:21.75pt;width:15pt;" o:ole="t" filled="f" o:preferrelative="t" stroked="f" coordsize="21600,21600">
            <v:path/>
            <v:fill on="f" focussize="0,0"/>
            <v:stroke on="f" joinstyle="miter"/>
            <v:imagedata r:id="rId886" o:title=""/>
            <o:lock v:ext="edit" aspectratio="t"/>
            <w10:wrap type="none"/>
            <w10:anchorlock/>
          </v:shape>
          <o:OLEObject Type="Embed" ProgID="Equation.DSMT4" ShapeID="_x0000_i1476" DrawAspect="Content" ObjectID="_1468076176" r:id="rId885">
            <o:LockedField>false</o:LockedField>
          </o:OLEObject>
        </w:object>
      </w:r>
      <w:r>
        <w:rPr>
          <w:color w:val="auto"/>
          <w:szCs w:val="21"/>
        </w:rPr>
        <w:t>、</w:t>
      </w:r>
      <w:r>
        <w:rPr>
          <w:color w:val="auto"/>
          <w:position w:val="-12"/>
          <w:szCs w:val="21"/>
        </w:rPr>
        <w:object>
          <v:shape id="_x0000_i1477" o:spt="75" type="#_x0000_t75" style="height:21.75pt;width:15pt;" o:ole="t" filled="f" o:preferrelative="t" stroked="f" coordsize="21600,21600">
            <v:path/>
            <v:fill on="f" focussize="0,0"/>
            <v:stroke on="f" joinstyle="miter"/>
            <v:imagedata r:id="rId888" o:title=""/>
            <o:lock v:ext="edit" aspectratio="t"/>
            <w10:wrap type="none"/>
            <w10:anchorlock/>
          </v:shape>
          <o:OLEObject Type="Embed" ProgID="Equation.DSMT4" ShapeID="_x0000_i1477" DrawAspect="Content" ObjectID="_1468076177" r:id="rId887">
            <o:LockedField>false</o:LockedField>
          </o:OLEObject>
        </w:object>
      </w:r>
      <w:r>
        <w:rPr>
          <w:color w:val="auto"/>
          <w:szCs w:val="21"/>
        </w:rPr>
        <w:t>——角桩冲跨比，</w:t>
      </w:r>
      <w:r>
        <w:rPr>
          <w:color w:val="auto"/>
          <w:position w:val="-12"/>
          <w:szCs w:val="21"/>
        </w:rPr>
        <w:object>
          <v:shape id="_x0000_i1478" o:spt="75" type="#_x0000_t75" style="height:21.75pt;width:57.75pt;" o:ole="t" filled="f" o:preferrelative="t" stroked="f" coordsize="21600,21600">
            <v:path/>
            <v:fill on="f" focussize="0,0"/>
            <v:stroke on="f" joinstyle="miter"/>
            <v:imagedata r:id="rId890" o:title=""/>
            <o:lock v:ext="edit" aspectratio="t"/>
            <w10:wrap type="none"/>
            <w10:anchorlock/>
          </v:shape>
          <o:OLEObject Type="Embed" ProgID="Equation.DSMT4" ShapeID="_x0000_i1478" DrawAspect="Content" ObjectID="_1468076178" r:id="rId889">
            <o:LockedField>false</o:LockedField>
          </o:OLEObject>
        </w:object>
      </w:r>
      <w:r>
        <w:rPr>
          <w:color w:val="auto"/>
          <w:szCs w:val="21"/>
        </w:rPr>
        <w:t>，</w:t>
      </w:r>
      <w:r>
        <w:rPr>
          <w:color w:val="auto"/>
          <w:position w:val="-12"/>
          <w:szCs w:val="21"/>
        </w:rPr>
        <w:object>
          <v:shape id="_x0000_i1479" o:spt="75" type="#_x0000_t75" style="height:21.75pt;width:57.75pt;" o:ole="t" filled="f" o:preferrelative="t" stroked="f" coordsize="21600,21600">
            <v:path/>
            <v:fill on="f" focussize="0,0"/>
            <v:stroke on="f" joinstyle="miter"/>
            <v:imagedata r:id="rId892" o:title=""/>
            <o:lock v:ext="edit" aspectratio="t"/>
            <w10:wrap type="none"/>
            <w10:anchorlock/>
          </v:shape>
          <o:OLEObject Type="Embed" ProgID="Equation.DSMT4" ShapeID="_x0000_i1479" DrawAspect="Content" ObjectID="_1468076179" r:id="rId891">
            <o:LockedField>false</o:LockedField>
          </o:OLEObject>
        </w:object>
      </w:r>
      <w:r>
        <w:rPr>
          <w:color w:val="auto"/>
          <w:szCs w:val="21"/>
        </w:rPr>
        <w:t>；</w:t>
      </w:r>
    </w:p>
    <w:p w14:paraId="62ABF7E6">
      <w:pPr>
        <w:adjustRightInd w:val="0"/>
        <w:snapToGrid w:val="0"/>
        <w:spacing w:line="360" w:lineRule="atLeast"/>
        <w:ind w:left="1841" w:leftChars="300" w:hanging="1211" w:hangingChars="577"/>
        <w:rPr>
          <w:color w:val="auto"/>
          <w:szCs w:val="21"/>
        </w:rPr>
      </w:pPr>
      <w:r>
        <w:rPr>
          <w:color w:val="auto"/>
          <w:position w:val="-12"/>
          <w:szCs w:val="21"/>
        </w:rPr>
        <w:object>
          <v:shape id="_x0000_i1480" o:spt="75" type="#_x0000_t75" style="height:21.75pt;width:15pt;" o:ole="t" filled="f" o:preferrelative="t" stroked="f" coordsize="21600,21600">
            <v:path/>
            <v:fill on="f" focussize="0,0"/>
            <v:stroke on="f" joinstyle="miter"/>
            <v:imagedata r:id="rId894" o:title=""/>
            <o:lock v:ext="edit" aspectratio="t"/>
            <w10:wrap type="none"/>
            <w10:anchorlock/>
          </v:shape>
          <o:OLEObject Type="Embed" ProgID="Equation.DSMT4" ShapeID="_x0000_i1480" DrawAspect="Content" ObjectID="_1468076180" r:id="rId893">
            <o:LockedField>false</o:LockedField>
          </o:OLEObject>
        </w:object>
      </w:r>
      <w:r>
        <w:rPr>
          <w:color w:val="auto"/>
          <w:szCs w:val="21"/>
        </w:rPr>
        <w:t>、</w:t>
      </w:r>
      <w:r>
        <w:rPr>
          <w:color w:val="auto"/>
          <w:position w:val="-12"/>
        </w:rPr>
        <w:object>
          <v:shape id="_x0000_i1481" o:spt="75" type="#_x0000_t75" style="height:21.75pt;width:15pt;" o:ole="t" filled="f" o:preferrelative="t" stroked="f" coordsize="21600,21600">
            <v:path/>
            <v:fill on="f" focussize="0,0"/>
            <v:stroke on="f" joinstyle="miter"/>
            <v:imagedata r:id="rId896" o:title=""/>
            <o:lock v:ext="edit" aspectratio="t"/>
            <w10:wrap type="none"/>
            <w10:anchorlock/>
          </v:shape>
          <o:OLEObject Type="Embed" ProgID="Equation.DSMT4" ShapeID="_x0000_i1481" DrawAspect="Content" ObjectID="_1468076181" r:id="rId895">
            <o:LockedField>false</o:LockedField>
          </o:OLEObject>
        </w:object>
      </w:r>
      <w:r>
        <w:rPr>
          <w:color w:val="auto"/>
          <w:szCs w:val="21"/>
        </w:rPr>
        <w:t>——从承台底角桩内边缘向相邻承台边引45°冲切线与承台顶面相交点至角桩内边缘的水平距离；当柱位于该45°线以内时则取柱边与桩内边缘连线为冲切锥体的锥线。</w:t>
      </w:r>
    </w:p>
    <w:p w14:paraId="78B2BA30">
      <w:pPr>
        <w:adjustRightInd w:val="0"/>
        <w:snapToGrid w:val="0"/>
        <w:spacing w:line="360" w:lineRule="atLeast"/>
        <w:ind w:firstLine="567"/>
        <w:rPr>
          <w:color w:val="auto"/>
          <w:szCs w:val="21"/>
        </w:rPr>
      </w:pPr>
      <w:r>
        <w:rPr>
          <w:color w:val="auto"/>
          <w:szCs w:val="21"/>
        </w:rPr>
        <w:t>对圆柱及圆桩，计算时可将圆形截面换算成正方形截面。</w:t>
      </w:r>
    </w:p>
    <w:p w14:paraId="6CDEF029">
      <w:pPr>
        <w:adjustRightInd w:val="0"/>
        <w:snapToGrid w:val="0"/>
        <w:spacing w:line="360" w:lineRule="atLeast"/>
        <w:rPr>
          <w:rFonts w:ascii="宋体" w:hAnsi="宋体"/>
          <w:color w:val="auto"/>
          <w:szCs w:val="21"/>
        </w:rPr>
      </w:pPr>
      <w:r>
        <w:rPr>
          <w:rFonts w:eastAsia="黑体"/>
          <w:b/>
          <w:color w:val="auto"/>
          <w:szCs w:val="21"/>
        </w:rPr>
        <w:t xml:space="preserve">12.5.4  </w:t>
      </w:r>
      <w:r>
        <w:rPr>
          <w:rFonts w:hint="eastAsia" w:ascii="宋体" w:hAnsi="宋体"/>
          <w:color w:val="auto"/>
          <w:szCs w:val="21"/>
        </w:rPr>
        <w:t>柱下桩基独立承台应进行受剪承载力验算，验算截面应取柱边和桩边、变阶处和桩边连线形成的斜截面，当柱边外有多排桩或变阶处外侧有多排桩形成多个斜截面时，尚应对每个斜截面分别进行验算。</w:t>
      </w:r>
    </w:p>
    <w:p w14:paraId="729D45CE">
      <w:pPr>
        <w:adjustRightInd w:val="0"/>
        <w:snapToGrid w:val="0"/>
        <w:spacing w:line="360" w:lineRule="atLeast"/>
        <w:rPr>
          <w:color w:val="auto"/>
          <w:szCs w:val="21"/>
        </w:rPr>
      </w:pPr>
      <w:r>
        <w:rPr>
          <w:rFonts w:eastAsia="黑体"/>
          <w:b/>
          <w:color w:val="auto"/>
          <w:szCs w:val="21"/>
        </w:rPr>
        <w:t xml:space="preserve">12.5.5  </w:t>
      </w:r>
      <w:r>
        <w:rPr>
          <w:color w:val="auto"/>
          <w:szCs w:val="21"/>
        </w:rPr>
        <w:t>柱下桩基独立承台斜截面受剪承载力可按</w:t>
      </w:r>
      <w:r>
        <w:rPr>
          <w:rFonts w:hint="eastAsia"/>
          <w:color w:val="auto"/>
          <w:lang w:val="en-US" w:eastAsia="zh-CN"/>
        </w:rPr>
        <w:t>公式（99）~（100）</w:t>
      </w:r>
      <w:r>
        <w:rPr>
          <w:color w:val="auto"/>
          <w:szCs w:val="21"/>
        </w:rPr>
        <w:t>计算</w:t>
      </w:r>
      <w:r>
        <w:rPr>
          <w:rFonts w:eastAsia="黑体"/>
          <w:color w:val="auto"/>
          <w:szCs w:val="21"/>
        </w:rPr>
        <w:t>（</w:t>
      </w:r>
      <w:r>
        <w:rPr>
          <w:color w:val="auto"/>
          <w:szCs w:val="21"/>
        </w:rPr>
        <w:t>图</w:t>
      </w:r>
      <w:r>
        <w:rPr>
          <w:rFonts w:eastAsia="黑体"/>
          <w:color w:val="auto"/>
          <w:szCs w:val="21"/>
        </w:rPr>
        <w:t>18）</w:t>
      </w:r>
      <w:r>
        <w:rPr>
          <w:color w:val="auto"/>
          <w:szCs w:val="21"/>
        </w:rPr>
        <w:t>：</w:t>
      </w:r>
    </w:p>
    <w:p w14:paraId="3CECB67F">
      <w:pPr>
        <w:pStyle w:val="12"/>
        <w:jc w:val="right"/>
        <w:rPr>
          <w:color w:val="auto"/>
          <w:szCs w:val="21"/>
        </w:rPr>
      </w:pPr>
      <w:r>
        <w:rPr>
          <w:color w:val="auto"/>
          <w:position w:val="-6"/>
          <w:szCs w:val="21"/>
        </w:rPr>
        <w:object>
          <v:shape id="_x0000_i1482" o:spt="75" type="#_x0000_t75" style="height:15pt;width:15pt;" o:ole="t" filled="f" o:preferrelative="t" stroked="f" coordsize="21600,21600">
            <v:path/>
            <v:fill on="f" focussize="0,0"/>
            <v:stroke on="f" joinstyle="miter"/>
            <v:imagedata r:id="rId898" o:title=""/>
            <o:lock v:ext="edit" aspectratio="t"/>
            <w10:wrap type="none"/>
            <w10:anchorlock/>
          </v:shape>
          <o:OLEObject Type="Embed" ProgID="Equation.DSMT4" ShapeID="_x0000_i1482" DrawAspect="Content" ObjectID="_1468076182" r:id="rId897">
            <o:LockedField>false</o:LockedField>
          </o:OLEObject>
        </w:object>
      </w:r>
      <w:r>
        <w:rPr>
          <w:color w:val="auto"/>
          <w:szCs w:val="21"/>
        </w:rPr>
        <w:t>≤</w:t>
      </w:r>
      <w:r>
        <w:rPr>
          <w:color w:val="auto"/>
          <w:position w:val="-12"/>
          <w:szCs w:val="21"/>
        </w:rPr>
        <w:object>
          <v:shape id="_x0000_i1483" o:spt="75" type="#_x0000_t75" style="height:21.75pt;width:51pt;" o:ole="t" filled="f" o:preferrelative="t" stroked="f" coordsize="21600,21600">
            <v:path/>
            <v:fill on="f" focussize="0,0"/>
            <v:stroke on="f" joinstyle="miter"/>
            <v:imagedata r:id="rId900" o:title=""/>
            <o:lock v:ext="edit" aspectratio="t"/>
            <w10:wrap type="none"/>
            <w10:anchorlock/>
          </v:shape>
          <o:OLEObject Type="Embed" ProgID="Equation.DSMT4" ShapeID="_x0000_i1483" DrawAspect="Content" ObjectID="_1468076183" r:id="rId899">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99</w:t>
      </w:r>
      <w:r>
        <w:rPr>
          <w:color w:val="auto"/>
          <w:szCs w:val="21"/>
        </w:rPr>
        <w:fldChar w:fldCharType="end"/>
      </w:r>
      <w:r>
        <w:rPr>
          <w:color w:val="auto"/>
          <w:szCs w:val="21"/>
        </w:rPr>
        <w:t>)</w:t>
      </w:r>
    </w:p>
    <w:p w14:paraId="33109390">
      <w:pPr>
        <w:pStyle w:val="12"/>
        <w:jc w:val="right"/>
        <w:rPr>
          <w:color w:val="auto"/>
          <w:szCs w:val="21"/>
        </w:rPr>
      </w:pPr>
      <w:r>
        <w:rPr>
          <w:color w:val="auto"/>
          <w:position w:val="-24"/>
          <w:szCs w:val="21"/>
        </w:rPr>
        <w:object>
          <v:shape id="_x0000_i1484" o:spt="75" type="#_x0000_t75" style="height:28.5pt;width:51pt;" o:ole="t" filled="f" o:preferrelative="t" stroked="f" coordsize="21600,21600">
            <v:path/>
            <v:fill on="f" focussize="0,0"/>
            <v:stroke on="f" joinstyle="miter"/>
            <v:imagedata r:id="rId902" o:title=""/>
            <o:lock v:ext="edit" aspectratio="t"/>
            <w10:wrap type="none"/>
            <w10:anchorlock/>
          </v:shape>
          <o:OLEObject Type="Embed" ProgID="Equation.DSMT4" ShapeID="_x0000_i1484" DrawAspect="Content" ObjectID="_1468076184" r:id="rId901">
            <o:LockedField>false</o:LockedField>
          </o:OLEObject>
        </w:object>
      </w:r>
      <w:r>
        <w:rPr>
          <w:color w:val="auto"/>
          <w:szCs w:val="21"/>
        </w:rPr>
        <w:t xml:space="preserve">                                   </w:t>
      </w:r>
      <w:r>
        <w:rPr>
          <w:rFonts w:hint="eastAsia"/>
          <w:color w:val="auto"/>
          <w:szCs w:val="21"/>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100</w:t>
      </w:r>
      <w:r>
        <w:rPr>
          <w:color w:val="auto"/>
          <w:szCs w:val="21"/>
        </w:rPr>
        <w:fldChar w:fldCharType="end"/>
      </w:r>
      <w:r>
        <w:rPr>
          <w:color w:val="auto"/>
          <w:szCs w:val="21"/>
        </w:rPr>
        <w:t>)</w:t>
      </w:r>
    </w:p>
    <w:p w14:paraId="3F616021">
      <w:pPr>
        <w:tabs>
          <w:tab w:val="left" w:pos="1204"/>
        </w:tabs>
        <w:adjustRightInd w:val="0"/>
        <w:snapToGrid w:val="0"/>
        <w:spacing w:before="360" w:line="360" w:lineRule="atLeast"/>
        <w:jc w:val="center"/>
        <w:rPr>
          <w:color w:val="auto"/>
          <w:szCs w:val="21"/>
        </w:rPr>
      </w:pPr>
      <w:r>
        <w:rPr>
          <w:color w:val="auto"/>
        </w:rPr>
        <w:drawing>
          <wp:inline distT="0" distB="0" distL="0" distR="0">
            <wp:extent cx="3086100" cy="222885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903">
                      <a:extLst>
                        <a:ext uri="{28A0092B-C50C-407E-A947-70E740481C1C}">
                          <a14:useLocalDpi xmlns:a14="http://schemas.microsoft.com/office/drawing/2010/main" val="0"/>
                        </a:ext>
                      </a:extLst>
                    </a:blip>
                    <a:srcRect/>
                    <a:stretch>
                      <a:fillRect/>
                    </a:stretch>
                  </pic:blipFill>
                  <pic:spPr>
                    <a:xfrm>
                      <a:off x="0" y="0"/>
                      <a:ext cx="3086100" cy="2228850"/>
                    </a:xfrm>
                    <a:prstGeom prst="rect">
                      <a:avLst/>
                    </a:prstGeom>
                    <a:noFill/>
                    <a:ln>
                      <a:noFill/>
                    </a:ln>
                  </pic:spPr>
                </pic:pic>
              </a:graphicData>
            </a:graphic>
          </wp:inline>
        </w:drawing>
      </w:r>
    </w:p>
    <w:p w14:paraId="55A9E8EC">
      <w:pPr>
        <w:adjustRightInd w:val="0"/>
        <w:snapToGrid w:val="0"/>
        <w:spacing w:line="400" w:lineRule="atLeast"/>
        <w:jc w:val="center"/>
        <w:rPr>
          <w:b/>
          <w:color w:val="auto"/>
          <w:sz w:val="18"/>
          <w:szCs w:val="18"/>
        </w:rPr>
      </w:pPr>
      <w:r>
        <w:rPr>
          <w:b/>
          <w:color w:val="auto"/>
          <w:sz w:val="18"/>
          <w:szCs w:val="18"/>
        </w:rPr>
        <w:t>图18   承台斜截面受剪计算示意</w:t>
      </w:r>
    </w:p>
    <w:p w14:paraId="46489B46">
      <w:pPr>
        <w:adjustRightInd w:val="0"/>
        <w:snapToGrid w:val="0"/>
        <w:spacing w:before="156" w:beforeLines="50" w:line="340" w:lineRule="atLeast"/>
        <w:ind w:left="1273" w:hanging="1272" w:hangingChars="606"/>
        <w:rPr>
          <w:color w:val="auto"/>
          <w:szCs w:val="21"/>
        </w:rPr>
      </w:pPr>
      <w:r>
        <w:rPr>
          <w:color w:val="auto"/>
          <w:szCs w:val="21"/>
        </w:rPr>
        <w:t xml:space="preserve">式中  </w:t>
      </w:r>
      <w:r>
        <w:rPr>
          <w:i/>
          <w:color w:val="auto"/>
          <w:szCs w:val="21"/>
        </w:rPr>
        <w:t>V</w:t>
      </w:r>
      <w:r>
        <w:rPr>
          <w:color w:val="auto"/>
          <w:szCs w:val="21"/>
        </w:rPr>
        <w:t>——扣除承台及其上填土自重后相应于作用的基本组合时斜截面的最大剪力设计值；</w:t>
      </w:r>
    </w:p>
    <w:p w14:paraId="3317A78F">
      <w:pPr>
        <w:adjustRightInd w:val="0"/>
        <w:snapToGrid w:val="0"/>
        <w:spacing w:line="340" w:lineRule="atLeast"/>
        <w:ind w:left="1188" w:leftChars="257" w:hanging="648" w:hangingChars="309"/>
        <w:rPr>
          <w:color w:val="auto"/>
          <w:szCs w:val="21"/>
        </w:rPr>
      </w:pPr>
      <w:r>
        <w:rPr>
          <w:color w:val="auto"/>
          <w:position w:val="-12"/>
          <w:szCs w:val="21"/>
        </w:rPr>
        <w:object>
          <v:shape id="_x0000_i1485" o:spt="75" type="#_x0000_t75" style="height:21.75pt;width:15pt;" o:ole="t" filled="f" o:preferrelative="t" stroked="f" coordsize="21600,21600">
            <v:path/>
            <v:fill on="f" focussize="0,0"/>
            <v:stroke on="f" joinstyle="miter"/>
            <v:imagedata r:id="rId905" o:title=""/>
            <o:lock v:ext="edit" aspectratio="t"/>
            <w10:wrap type="none"/>
            <w10:anchorlock/>
          </v:shape>
          <o:OLEObject Type="Embed" ProgID="Equation.DSMT4" ShapeID="_x0000_i1485" DrawAspect="Content" ObjectID="_1468076185" r:id="rId904">
            <o:LockedField>false</o:LockedField>
          </o:OLEObject>
        </w:object>
      </w:r>
      <w:r>
        <w:rPr>
          <w:color w:val="auto"/>
          <w:szCs w:val="21"/>
        </w:rPr>
        <w:t>——承台计算截面处的计算宽度。阶梯形承台变阶处的计算宽度、锥形承台的计算宽度应按本文件附录J的有关规定确定；</w:t>
      </w:r>
    </w:p>
    <w:p w14:paraId="704420A4">
      <w:pPr>
        <w:adjustRightInd w:val="0"/>
        <w:snapToGrid w:val="0"/>
        <w:spacing w:line="340" w:lineRule="atLeast"/>
        <w:ind w:firstLine="539" w:firstLineChars="257"/>
        <w:rPr>
          <w:color w:val="auto"/>
          <w:szCs w:val="21"/>
        </w:rPr>
      </w:pPr>
      <w:r>
        <w:rPr>
          <w:color w:val="auto"/>
          <w:position w:val="-12"/>
        </w:rPr>
        <w:object>
          <v:shape id="_x0000_i1486" o:spt="75" type="#_x0000_t75" style="height:21.75pt;width:15pt;" o:ole="t" filled="f" o:preferrelative="t" stroked="f" coordsize="21600,21600">
            <v:path/>
            <v:fill on="f" focussize="0,0"/>
            <v:stroke on="f" joinstyle="miter"/>
            <v:imagedata r:id="rId872" o:title=""/>
            <o:lock v:ext="edit" aspectratio="t"/>
            <w10:wrap type="none"/>
            <w10:anchorlock/>
          </v:shape>
          <o:OLEObject Type="Embed" ProgID="Equation.DSMT4" ShapeID="_x0000_i1486" DrawAspect="Content" ObjectID="_1468076186" r:id="rId906">
            <o:LockedField>false</o:LockedField>
          </o:OLEObject>
        </w:object>
      </w:r>
      <w:r>
        <w:rPr>
          <w:color w:val="auto"/>
          <w:szCs w:val="21"/>
        </w:rPr>
        <w:t>——计算宽度处的承台有效高度；</w:t>
      </w:r>
    </w:p>
    <w:p w14:paraId="330C411E">
      <w:pPr>
        <w:adjustRightInd w:val="0"/>
        <w:snapToGrid w:val="0"/>
        <w:spacing w:line="340" w:lineRule="atLeast"/>
        <w:ind w:firstLine="476"/>
        <w:rPr>
          <w:color w:val="auto"/>
          <w:szCs w:val="21"/>
        </w:rPr>
      </w:pPr>
      <w:r>
        <w:rPr>
          <w:color w:val="auto"/>
          <w:szCs w:val="21"/>
        </w:rPr>
        <w:t xml:space="preserve"> </w:t>
      </w:r>
      <w:r>
        <w:rPr>
          <w:color w:val="auto"/>
          <w:position w:val="-10"/>
          <w:szCs w:val="21"/>
        </w:rPr>
        <w:object>
          <v:shape id="_x0000_i1487" o:spt="75" type="#_x0000_t75" style="height:15pt;width:15pt;" o:ole="t" filled="f" o:preferrelative="t" stroked="f" coordsize="21600,21600">
            <v:path/>
            <v:fill on="f" focussize="0,0"/>
            <v:stroke on="f" joinstyle="miter"/>
            <v:imagedata r:id="rId908" o:title=""/>
            <o:lock v:ext="edit" aspectratio="t"/>
            <w10:wrap type="none"/>
            <w10:anchorlock/>
          </v:shape>
          <o:OLEObject Type="Embed" ProgID="Equation.DSMT4" ShapeID="_x0000_i1487" DrawAspect="Content" ObjectID="_1468076187" r:id="rId907">
            <o:LockedField>false</o:LockedField>
          </o:OLEObject>
        </w:object>
      </w:r>
      <w:r>
        <w:rPr>
          <w:color w:val="auto"/>
          <w:szCs w:val="21"/>
        </w:rPr>
        <w:t>——剪切系数；</w:t>
      </w:r>
    </w:p>
    <w:p w14:paraId="5E0922CE">
      <w:pPr>
        <w:adjustRightInd w:val="0"/>
        <w:snapToGrid w:val="0"/>
        <w:spacing w:line="340" w:lineRule="atLeast"/>
        <w:ind w:left="1230" w:leftChars="220" w:hanging="768" w:hangingChars="366"/>
        <w:rPr>
          <w:color w:val="auto"/>
          <w:szCs w:val="21"/>
        </w:rPr>
      </w:pPr>
      <w:r>
        <w:rPr>
          <w:color w:val="auto"/>
          <w:position w:val="-12"/>
        </w:rPr>
        <w:object>
          <v:shape id="_x0000_i1488" o:spt="75" type="#_x0000_t75" style="height:21.75pt;width:15pt;" o:ole="t" filled="f" o:preferrelative="t" stroked="f" coordsize="21600,21600">
            <v:path/>
            <v:fill on="f" focussize="0,0"/>
            <v:stroke on="f" joinstyle="miter"/>
            <v:imagedata r:id="rId910" o:title=""/>
            <o:lock v:ext="edit" aspectratio="t"/>
            <w10:wrap type="none"/>
            <w10:anchorlock/>
          </v:shape>
          <o:OLEObject Type="Embed" ProgID="Equation.DSMT4" ShapeID="_x0000_i1488" DrawAspect="Content" ObjectID="_1468076188" r:id="rId909">
            <o:LockedField>false</o:LockedField>
          </o:OLEObject>
        </w:object>
      </w:r>
      <w:r>
        <w:rPr>
          <w:color w:val="auto"/>
          <w:szCs w:val="21"/>
        </w:rPr>
        <w:t>——受剪切承载力截面高度影响系数，</w:t>
      </w:r>
      <w:r>
        <w:rPr>
          <w:color w:val="auto"/>
          <w:position w:val="-12"/>
        </w:rPr>
        <w:object>
          <v:shape id="_x0000_i1489" o:spt="75" type="#_x0000_t75" style="height:21.75pt;width:15pt;" o:ole="t" filled="f" o:preferrelative="t" stroked="f" coordsize="21600,21600">
            <v:path/>
            <v:fill on="f" focussize="0,0"/>
            <v:stroke on="f" joinstyle="miter"/>
            <v:imagedata r:id="rId912" o:title=""/>
            <o:lock v:ext="edit" aspectratio="t"/>
            <w10:wrap type="none"/>
            <w10:anchorlock/>
          </v:shape>
          <o:OLEObject Type="Embed" ProgID="Equation.DSMT4" ShapeID="_x0000_i1489" DrawAspect="Content" ObjectID="_1468076189" r:id="rId911">
            <o:LockedField>false</o:LockedField>
          </o:OLEObject>
        </w:object>
      </w:r>
      <w:r>
        <w:rPr>
          <w:color w:val="auto"/>
          <w:szCs w:val="21"/>
        </w:rPr>
        <w:t>=(800/</w:t>
      </w:r>
      <w:r>
        <w:rPr>
          <w:i/>
          <w:color w:val="auto"/>
          <w:szCs w:val="21"/>
        </w:rPr>
        <w:t>h</w:t>
      </w:r>
      <w:r>
        <w:rPr>
          <w:color w:val="auto"/>
          <w:szCs w:val="21"/>
          <w:vertAlign w:val="subscript"/>
        </w:rPr>
        <w:t>0</w:t>
      </w:r>
      <w:r>
        <w:rPr>
          <w:color w:val="auto"/>
          <w:szCs w:val="21"/>
        </w:rPr>
        <w:t>)</w:t>
      </w:r>
      <w:r>
        <w:rPr>
          <w:color w:val="auto"/>
          <w:szCs w:val="21"/>
          <w:vertAlign w:val="superscript"/>
        </w:rPr>
        <w:t>1/4</w:t>
      </w:r>
      <w:r>
        <w:rPr>
          <w:color w:val="auto"/>
          <w:szCs w:val="21"/>
        </w:rPr>
        <w:t>，</w:t>
      </w:r>
      <w:r>
        <w:rPr>
          <w:i/>
          <w:color w:val="auto"/>
          <w:szCs w:val="21"/>
        </w:rPr>
        <w:t>h</w:t>
      </w:r>
      <w:r>
        <w:rPr>
          <w:color w:val="auto"/>
          <w:szCs w:val="21"/>
          <w:vertAlign w:val="subscript"/>
        </w:rPr>
        <w:t>0</w:t>
      </w:r>
      <w:r>
        <w:rPr>
          <w:color w:val="auto"/>
          <w:szCs w:val="21"/>
        </w:rPr>
        <w:t>小于800mm时，</w:t>
      </w:r>
      <w:r>
        <w:rPr>
          <w:i/>
          <w:color w:val="auto"/>
          <w:szCs w:val="21"/>
        </w:rPr>
        <w:t>h</w:t>
      </w:r>
      <w:r>
        <w:rPr>
          <w:color w:val="auto"/>
          <w:szCs w:val="21"/>
          <w:vertAlign w:val="subscript"/>
        </w:rPr>
        <w:t>0</w:t>
      </w:r>
      <w:r>
        <w:rPr>
          <w:color w:val="auto"/>
          <w:szCs w:val="21"/>
        </w:rPr>
        <w:t>取800mm；</w:t>
      </w:r>
      <w:r>
        <w:rPr>
          <w:i/>
          <w:color w:val="auto"/>
          <w:szCs w:val="21"/>
        </w:rPr>
        <w:t>h</w:t>
      </w:r>
      <w:r>
        <w:rPr>
          <w:color w:val="auto"/>
          <w:szCs w:val="21"/>
          <w:vertAlign w:val="subscript"/>
        </w:rPr>
        <w:t>0</w:t>
      </w:r>
      <w:r>
        <w:rPr>
          <w:color w:val="auto"/>
          <w:szCs w:val="21"/>
        </w:rPr>
        <w:t>大于2000mm时，</w:t>
      </w:r>
      <w:r>
        <w:rPr>
          <w:i/>
          <w:color w:val="auto"/>
          <w:szCs w:val="21"/>
        </w:rPr>
        <w:t>h</w:t>
      </w:r>
      <w:r>
        <w:rPr>
          <w:color w:val="auto"/>
          <w:szCs w:val="21"/>
          <w:vertAlign w:val="subscript"/>
        </w:rPr>
        <w:t>0</w:t>
      </w:r>
      <w:r>
        <w:rPr>
          <w:color w:val="auto"/>
          <w:szCs w:val="21"/>
        </w:rPr>
        <w:t>取2000mm；</w:t>
      </w:r>
    </w:p>
    <w:p w14:paraId="30B51D97">
      <w:pPr>
        <w:adjustRightInd w:val="0"/>
        <w:snapToGrid w:val="0"/>
        <w:spacing w:line="340" w:lineRule="atLeast"/>
        <w:ind w:left="1202" w:leftChars="274" w:hanging="627" w:hangingChars="299"/>
        <w:rPr>
          <w:color w:val="auto"/>
          <w:szCs w:val="21"/>
        </w:rPr>
      </w:pPr>
      <w:r>
        <w:rPr>
          <w:color w:val="auto"/>
          <w:position w:val="-6"/>
          <w:szCs w:val="21"/>
        </w:rPr>
        <w:object>
          <v:shape id="_x0000_i1490" o:spt="75" type="#_x0000_t75" style="height:15pt;width:8.25pt;" o:ole="t" filled="f" o:preferrelative="t" stroked="f" coordsize="21600,21600">
            <v:path/>
            <v:fill on="f" focussize="0,0"/>
            <v:stroke on="f" joinstyle="miter"/>
            <v:imagedata r:id="rId914" o:title=""/>
            <o:lock v:ext="edit" aspectratio="t"/>
            <w10:wrap type="none"/>
            <w10:anchorlock/>
          </v:shape>
          <o:OLEObject Type="Embed" ProgID="Equation.DSMT4" ShapeID="_x0000_i1490" DrawAspect="Content" ObjectID="_1468076190" r:id="rId913">
            <o:LockedField>false</o:LockedField>
          </o:OLEObject>
        </w:object>
      </w:r>
      <w:r>
        <w:rPr>
          <w:color w:val="auto"/>
          <w:szCs w:val="21"/>
        </w:rPr>
        <w:t>——计算截面的剪跨比，</w:t>
      </w:r>
      <w:r>
        <w:rPr>
          <w:color w:val="auto"/>
          <w:position w:val="-12"/>
          <w:szCs w:val="21"/>
        </w:rPr>
        <w:object>
          <v:shape id="_x0000_i1491" o:spt="75" type="#_x0000_t75" style="height:21.75pt;width:51pt;" o:ole="t" filled="f" o:preferrelative="t" stroked="f" coordsize="21600,21600">
            <v:path/>
            <v:fill on="f" focussize="0,0"/>
            <v:stroke on="f" joinstyle="miter"/>
            <v:imagedata r:id="rId916" o:title=""/>
            <o:lock v:ext="edit" aspectratio="t"/>
            <w10:wrap type="none"/>
            <w10:anchorlock/>
          </v:shape>
          <o:OLEObject Type="Embed" ProgID="Equation.DSMT4" ShapeID="_x0000_i1491" DrawAspect="Content" ObjectID="_1468076191" r:id="rId915">
            <o:LockedField>false</o:LockedField>
          </o:OLEObject>
        </w:object>
      </w:r>
      <w:r>
        <w:rPr>
          <w:color w:val="auto"/>
          <w:szCs w:val="21"/>
        </w:rPr>
        <w:t>，</w:t>
      </w:r>
      <w:r>
        <w:rPr>
          <w:color w:val="auto"/>
          <w:position w:val="-14"/>
          <w:szCs w:val="21"/>
        </w:rPr>
        <w:object>
          <v:shape id="_x0000_i1492" o:spt="75" type="#_x0000_t75" style="height:21.75pt;width:51pt;" o:ole="t" filled="f" o:preferrelative="t" stroked="f" coordsize="21600,21600">
            <v:path/>
            <v:fill on="f" focussize="0,0"/>
            <v:stroke on="f" joinstyle="miter"/>
            <v:imagedata r:id="rId918" o:title=""/>
            <o:lock v:ext="edit" aspectratio="t"/>
            <w10:wrap type="none"/>
            <w10:anchorlock/>
          </v:shape>
          <o:OLEObject Type="Embed" ProgID="Equation.DSMT4" ShapeID="_x0000_i1492" DrawAspect="Content" ObjectID="_1468076192" r:id="rId917">
            <o:LockedField>false</o:LockedField>
          </o:OLEObject>
        </w:object>
      </w:r>
      <w:r>
        <w:rPr>
          <w:color w:val="auto"/>
          <w:szCs w:val="21"/>
        </w:rPr>
        <w:t>；</w:t>
      </w:r>
      <w:r>
        <w:rPr>
          <w:i/>
          <w:color w:val="auto"/>
          <w:szCs w:val="21"/>
        </w:rPr>
        <w:t>a</w:t>
      </w:r>
      <w:r>
        <w:rPr>
          <w:iCs/>
          <w:color w:val="auto"/>
          <w:sz w:val="28"/>
          <w:szCs w:val="21"/>
          <w:vertAlign w:val="subscript"/>
        </w:rPr>
        <w:t>x</w:t>
      </w:r>
      <w:r>
        <w:rPr>
          <w:color w:val="auto"/>
          <w:szCs w:val="21"/>
        </w:rPr>
        <w:t>、</w:t>
      </w:r>
      <w:r>
        <w:rPr>
          <w:i/>
          <w:color w:val="auto"/>
          <w:szCs w:val="21"/>
        </w:rPr>
        <w:t>a</w:t>
      </w:r>
      <w:r>
        <w:rPr>
          <w:iCs/>
          <w:color w:val="auto"/>
          <w:sz w:val="28"/>
          <w:szCs w:val="21"/>
          <w:vertAlign w:val="subscript"/>
        </w:rPr>
        <w:t>y</w:t>
      </w:r>
      <w:r>
        <w:rPr>
          <w:color w:val="auto"/>
          <w:szCs w:val="21"/>
        </w:rPr>
        <w:t>为柱边或承台变阶处至</w:t>
      </w:r>
      <w:r>
        <w:rPr>
          <w:i/>
          <w:color w:val="auto"/>
          <w:szCs w:val="21"/>
        </w:rPr>
        <w:t>x</w:t>
      </w:r>
      <w:r>
        <w:rPr>
          <w:color w:val="auto"/>
          <w:szCs w:val="21"/>
        </w:rPr>
        <w:t>、</w:t>
      </w:r>
      <w:r>
        <w:rPr>
          <w:i/>
          <w:color w:val="auto"/>
          <w:szCs w:val="21"/>
        </w:rPr>
        <w:t>y</w:t>
      </w:r>
      <w:r>
        <w:rPr>
          <w:color w:val="auto"/>
          <w:szCs w:val="21"/>
        </w:rPr>
        <w:t>方向计算一排桩的桩边的水平距离，当</w:t>
      </w:r>
      <w:r>
        <w:rPr>
          <w:color w:val="auto"/>
          <w:position w:val="-6"/>
          <w:szCs w:val="21"/>
        </w:rPr>
        <w:object>
          <v:shape id="_x0000_i1493" o:spt="75" type="#_x0000_t75" style="height:15pt;width:8.25pt;" o:ole="t" filled="f" o:preferrelative="t" stroked="f" coordsize="21600,21600">
            <v:path/>
            <v:fill on="f" focussize="0,0"/>
            <v:stroke on="f" joinstyle="miter"/>
            <v:imagedata r:id="rId914" o:title=""/>
            <o:lock v:ext="edit" aspectratio="t"/>
            <w10:wrap type="none"/>
            <w10:anchorlock/>
          </v:shape>
          <o:OLEObject Type="Embed" ProgID="Equation.DSMT4" ShapeID="_x0000_i1493" DrawAspect="Content" ObjectID="_1468076193" r:id="rId919">
            <o:LockedField>false</o:LockedField>
          </o:OLEObject>
        </w:object>
      </w:r>
      <w:r>
        <w:rPr>
          <w:color w:val="auto"/>
          <w:szCs w:val="21"/>
        </w:rPr>
        <w:t>＜0.25时，取</w:t>
      </w:r>
      <w:r>
        <w:rPr>
          <w:color w:val="auto"/>
          <w:position w:val="-6"/>
          <w:szCs w:val="21"/>
        </w:rPr>
        <w:object>
          <v:shape id="_x0000_i1494" o:spt="75" type="#_x0000_t75" style="height:15pt;width:8.25pt;" o:ole="t" filled="f" o:preferrelative="t" stroked="f" coordsize="21600,21600">
            <v:path/>
            <v:fill on="f" focussize="0,0"/>
            <v:stroke on="f" joinstyle="miter"/>
            <v:imagedata r:id="rId914" o:title=""/>
            <o:lock v:ext="edit" aspectratio="t"/>
            <w10:wrap type="none"/>
            <w10:anchorlock/>
          </v:shape>
          <o:OLEObject Type="Embed" ProgID="Equation.DSMT4" ShapeID="_x0000_i1494" DrawAspect="Content" ObjectID="_1468076194" r:id="rId920">
            <o:LockedField>false</o:LockedField>
          </o:OLEObject>
        </w:object>
      </w:r>
      <w:r>
        <w:rPr>
          <w:color w:val="auto"/>
          <w:szCs w:val="21"/>
        </w:rPr>
        <w:t>=0.25；当</w:t>
      </w:r>
      <w:r>
        <w:rPr>
          <w:color w:val="auto"/>
          <w:position w:val="-6"/>
          <w:szCs w:val="21"/>
        </w:rPr>
        <w:object>
          <v:shape id="_x0000_i1495" o:spt="75" type="#_x0000_t75" style="height:15pt;width:8.25pt;" o:ole="t" filled="f" o:preferrelative="t" stroked="f" coordsize="21600,21600">
            <v:path/>
            <v:fill on="f" focussize="0,0"/>
            <v:stroke on="f" joinstyle="miter"/>
            <v:imagedata r:id="rId914" o:title=""/>
            <o:lock v:ext="edit" aspectratio="t"/>
            <w10:wrap type="none"/>
            <w10:anchorlock/>
          </v:shape>
          <o:OLEObject Type="Embed" ProgID="Equation.DSMT4" ShapeID="_x0000_i1495" DrawAspect="Content" ObjectID="_1468076195" r:id="rId921">
            <o:LockedField>false</o:LockedField>
          </o:OLEObject>
        </w:object>
      </w:r>
      <w:r>
        <w:rPr>
          <w:color w:val="auto"/>
          <w:szCs w:val="21"/>
        </w:rPr>
        <w:t>＞3时，取</w:t>
      </w:r>
      <w:r>
        <w:rPr>
          <w:color w:val="auto"/>
          <w:position w:val="-6"/>
          <w:szCs w:val="21"/>
        </w:rPr>
        <w:object>
          <v:shape id="_x0000_i1496" o:spt="75" type="#_x0000_t75" style="height:15pt;width:8.25pt;" o:ole="t" filled="f" o:preferrelative="t" stroked="f" coordsize="21600,21600">
            <v:path/>
            <v:fill on="f" focussize="0,0"/>
            <v:stroke on="f" joinstyle="miter"/>
            <v:imagedata r:id="rId914" o:title=""/>
            <o:lock v:ext="edit" aspectratio="t"/>
            <w10:wrap type="none"/>
            <w10:anchorlock/>
          </v:shape>
          <o:OLEObject Type="Embed" ProgID="Equation.DSMT4" ShapeID="_x0000_i1496" DrawAspect="Content" ObjectID="_1468076196" r:id="rId922">
            <o:LockedField>false</o:LockedField>
          </o:OLEObject>
        </w:object>
      </w:r>
      <w:r>
        <w:rPr>
          <w:color w:val="auto"/>
          <w:szCs w:val="21"/>
        </w:rPr>
        <w:t>=3。</w:t>
      </w:r>
    </w:p>
    <w:p w14:paraId="077DB767">
      <w:pPr>
        <w:adjustRightInd w:val="0"/>
        <w:snapToGrid w:val="0"/>
        <w:spacing w:line="340" w:lineRule="atLeast"/>
        <w:rPr>
          <w:color w:val="auto"/>
          <w:szCs w:val="21"/>
        </w:rPr>
      </w:pPr>
      <w:r>
        <w:rPr>
          <w:rFonts w:eastAsia="黑体"/>
          <w:b/>
          <w:color w:val="auto"/>
          <w:szCs w:val="21"/>
        </w:rPr>
        <w:t>12.5.6</w:t>
      </w:r>
      <w:r>
        <w:rPr>
          <w:color w:val="auto"/>
          <w:szCs w:val="21"/>
        </w:rPr>
        <w:t xml:space="preserve"> </w:t>
      </w:r>
      <w:r>
        <w:rPr>
          <w:rFonts w:eastAsia="黑体"/>
          <w:b/>
          <w:color w:val="auto"/>
          <w:szCs w:val="21"/>
        </w:rPr>
        <w:t xml:space="preserve"> </w:t>
      </w:r>
      <w:r>
        <w:rPr>
          <w:color w:val="auto"/>
          <w:szCs w:val="21"/>
        </w:rPr>
        <w:t>当承台的混凝土强度等级低于柱或桩的混凝土强度等级时，尚应验算柱下或桩上承台的局部受压承载力。</w:t>
      </w:r>
    </w:p>
    <w:p w14:paraId="4CA5A6DE">
      <w:pPr>
        <w:adjustRightInd w:val="0"/>
        <w:snapToGrid w:val="0"/>
        <w:spacing w:line="340" w:lineRule="atLeast"/>
        <w:rPr>
          <w:color w:val="auto"/>
          <w:szCs w:val="21"/>
        </w:rPr>
      </w:pPr>
      <w:r>
        <w:rPr>
          <w:rFonts w:eastAsia="黑体"/>
          <w:b/>
          <w:color w:val="auto"/>
          <w:szCs w:val="21"/>
        </w:rPr>
        <w:t>12.5.7</w:t>
      </w:r>
      <w:r>
        <w:rPr>
          <w:color w:val="auto"/>
          <w:szCs w:val="21"/>
        </w:rPr>
        <w:t xml:space="preserve">  承台之间的连接应符合下列要求：</w:t>
      </w:r>
    </w:p>
    <w:p w14:paraId="56AE7DF4">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单桩承台应在两个相互垂直的方向设置连系梁；</w:t>
      </w:r>
    </w:p>
    <w:p w14:paraId="56C74493">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两桩承台，宜在其短向设置连系梁；</w:t>
      </w:r>
    </w:p>
    <w:p w14:paraId="690854DB">
      <w:pPr>
        <w:adjustRightInd w:val="0"/>
        <w:snapToGrid w:val="0"/>
        <w:spacing w:line="340" w:lineRule="atLeast"/>
        <w:ind w:firstLine="422" w:firstLineChars="200"/>
        <w:rPr>
          <w:color w:val="auto"/>
          <w:szCs w:val="21"/>
        </w:rPr>
      </w:pPr>
      <w:r>
        <w:rPr>
          <w:rFonts w:eastAsia="黑体"/>
          <w:b/>
          <w:color w:val="auto"/>
          <w:szCs w:val="21"/>
        </w:rPr>
        <w:t>c)</w:t>
      </w:r>
      <w:r>
        <w:rPr>
          <w:color w:val="auto"/>
          <w:szCs w:val="21"/>
        </w:rPr>
        <w:t xml:space="preserve">  连系梁顶面宜与承台</w:t>
      </w:r>
      <w:r>
        <w:rPr>
          <w:rFonts w:hint="eastAsia"/>
          <w:color w:val="auto"/>
          <w:szCs w:val="21"/>
        </w:rPr>
        <w:t>顶面</w:t>
      </w:r>
      <w:r>
        <w:rPr>
          <w:color w:val="auto"/>
          <w:szCs w:val="21"/>
        </w:rPr>
        <w:t>位于同一标高</w:t>
      </w:r>
      <w:r>
        <w:rPr>
          <w:rFonts w:hint="eastAsia"/>
          <w:color w:val="auto"/>
          <w:szCs w:val="21"/>
        </w:rPr>
        <w:t>，地下室外墙下连系梁当底板未设置垂直于外墙的次梁时，其梁底标高可与基础底板底标高相同</w:t>
      </w:r>
      <w:r>
        <w:rPr>
          <w:color w:val="auto"/>
          <w:szCs w:val="21"/>
        </w:rPr>
        <w:t>。连系梁的宽度不应小于250mm，梁的高度可取承台中心距的1/10～1/15，且不小于400mm；</w:t>
      </w:r>
    </w:p>
    <w:p w14:paraId="27481CA4">
      <w:pPr>
        <w:ind w:firstLine="413" w:firstLineChars="196"/>
        <w:rPr>
          <w:color w:val="auto"/>
          <w:szCs w:val="21"/>
        </w:rPr>
      </w:pPr>
      <w:r>
        <w:rPr>
          <w:rFonts w:eastAsia="黑体"/>
          <w:b/>
          <w:color w:val="auto"/>
          <w:szCs w:val="21"/>
        </w:rPr>
        <w:t>d)</w:t>
      </w:r>
      <w:r>
        <w:rPr>
          <w:color w:val="auto"/>
          <w:szCs w:val="21"/>
        </w:rPr>
        <w:t xml:space="preserve">  连系梁的主筋应按计算要求确定。连系梁内上下纵向钢筋直径不应小于12mm且不应少于2根，并应按受拉要求锚入</w:t>
      </w:r>
      <w:r>
        <w:rPr>
          <w:rFonts w:hint="eastAsia"/>
          <w:color w:val="auto"/>
          <w:szCs w:val="21"/>
        </w:rPr>
        <w:t>承台或</w:t>
      </w:r>
      <w:r>
        <w:rPr>
          <w:color w:val="auto"/>
          <w:szCs w:val="21"/>
        </w:rPr>
        <w:t>混凝土墙、柱内。</w:t>
      </w:r>
    </w:p>
    <w:p w14:paraId="78C2DF72">
      <w:pPr>
        <w:snapToGrid w:val="0"/>
        <w:spacing w:line="340" w:lineRule="atLeast"/>
        <w:rPr>
          <w:color w:val="auto"/>
          <w:szCs w:val="21"/>
        </w:rPr>
      </w:pPr>
    </w:p>
    <w:p w14:paraId="5785D919">
      <w:pPr>
        <w:numPr>
          <w:ilvl w:val="0"/>
          <w:numId w:val="1"/>
        </w:numPr>
        <w:adjustRightInd w:val="0"/>
        <w:snapToGrid w:val="0"/>
        <w:outlineLvl w:val="0"/>
        <w:rPr>
          <w:rFonts w:eastAsia="黑体"/>
          <w:b/>
          <w:color w:val="auto"/>
          <w:spacing w:val="8"/>
          <w:sz w:val="24"/>
        </w:rPr>
      </w:pPr>
      <w:bookmarkStart w:id="70" w:name="_Toc199943613"/>
      <w:r>
        <w:rPr>
          <w:rFonts w:eastAsia="黑体"/>
          <w:b/>
          <w:bCs/>
          <w:color w:val="auto"/>
          <w:sz w:val="24"/>
        </w:rPr>
        <w:t>基 础</w:t>
      </w:r>
      <w:bookmarkEnd w:id="70"/>
    </w:p>
    <w:p w14:paraId="1B714B9C">
      <w:pPr>
        <w:adjustRightInd w:val="0"/>
        <w:snapToGrid w:val="0"/>
        <w:spacing w:line="340" w:lineRule="exact"/>
        <w:jc w:val="center"/>
        <w:rPr>
          <w:color w:val="auto"/>
          <w:spacing w:val="8"/>
          <w:szCs w:val="21"/>
        </w:rPr>
      </w:pPr>
    </w:p>
    <w:p w14:paraId="7E30F627">
      <w:pPr>
        <w:adjustRightInd w:val="0"/>
        <w:snapToGrid w:val="0"/>
        <w:spacing w:line="340" w:lineRule="exact"/>
        <w:outlineLvl w:val="1"/>
        <w:rPr>
          <w:rFonts w:eastAsia="黑体"/>
          <w:b/>
          <w:bCs/>
          <w:color w:val="auto"/>
          <w:szCs w:val="21"/>
        </w:rPr>
      </w:pPr>
      <w:bookmarkStart w:id="71" w:name="_Toc199943614"/>
      <w:r>
        <w:rPr>
          <w:rFonts w:eastAsia="黑体"/>
          <w:b/>
          <w:bCs/>
          <w:color w:val="auto"/>
          <w:szCs w:val="21"/>
        </w:rPr>
        <w:t>13.1  无筋扩展基础及扩展基础</w:t>
      </w:r>
      <w:bookmarkEnd w:id="71"/>
    </w:p>
    <w:p w14:paraId="24A34BCE">
      <w:pPr>
        <w:adjustRightInd w:val="0"/>
        <w:snapToGrid w:val="0"/>
        <w:spacing w:line="340" w:lineRule="exact"/>
        <w:ind w:firstLine="567"/>
        <w:rPr>
          <w:color w:val="auto"/>
          <w:szCs w:val="21"/>
        </w:rPr>
      </w:pPr>
    </w:p>
    <w:p w14:paraId="74121C4D">
      <w:pPr>
        <w:adjustRightInd w:val="0"/>
        <w:snapToGrid w:val="0"/>
        <w:spacing w:line="340" w:lineRule="exact"/>
        <w:rPr>
          <w:color w:val="auto"/>
          <w:szCs w:val="21"/>
        </w:rPr>
      </w:pPr>
      <w:r>
        <w:rPr>
          <w:rFonts w:eastAsia="黑体"/>
          <w:b/>
          <w:color w:val="auto"/>
          <w:szCs w:val="21"/>
        </w:rPr>
        <w:t>13.1.1</w:t>
      </w:r>
      <w:r>
        <w:rPr>
          <w:color w:val="auto"/>
          <w:szCs w:val="21"/>
        </w:rPr>
        <w:t xml:space="preserve">  无筋扩展基础系指由砖、毛石、混凝土或毛石混凝土等材料组成的墙下条形基础或柱下独立基础。无筋扩展基础适用于多层民用建筑和轻型厂房。</w:t>
      </w:r>
    </w:p>
    <w:p w14:paraId="16D93869">
      <w:pPr>
        <w:adjustRightInd w:val="0"/>
        <w:snapToGrid w:val="0"/>
        <w:spacing w:line="340" w:lineRule="exact"/>
        <w:rPr>
          <w:color w:val="auto"/>
          <w:szCs w:val="21"/>
        </w:rPr>
      </w:pPr>
      <w:r>
        <w:rPr>
          <w:rFonts w:eastAsia="黑体"/>
          <w:b/>
          <w:color w:val="auto"/>
          <w:szCs w:val="21"/>
        </w:rPr>
        <w:t>13.1.2</w:t>
      </w:r>
      <w:r>
        <w:rPr>
          <w:color w:val="auto"/>
          <w:szCs w:val="21"/>
        </w:rPr>
        <w:t xml:space="preserve">  无筋扩展基础高度，应符合</w:t>
      </w:r>
      <w:r>
        <w:rPr>
          <w:rFonts w:hint="eastAsia"/>
          <w:color w:val="auto"/>
          <w:lang w:val="en-US" w:eastAsia="zh-CN"/>
        </w:rPr>
        <w:t>公式（101）</w:t>
      </w:r>
      <w:r>
        <w:rPr>
          <w:color w:val="auto"/>
          <w:szCs w:val="21"/>
        </w:rPr>
        <w:t>要求（图19）：</w:t>
      </w:r>
    </w:p>
    <w:p w14:paraId="0E4773D1">
      <w:pPr>
        <w:pStyle w:val="12"/>
        <w:jc w:val="right"/>
        <w:rPr>
          <w:color w:val="auto"/>
          <w:szCs w:val="21"/>
        </w:rPr>
      </w:pPr>
      <w:r>
        <w:rPr>
          <w:color w:val="auto"/>
          <w:position w:val="-12"/>
          <w:szCs w:val="21"/>
        </w:rPr>
        <w:object>
          <v:shape id="_x0000_i1497" o:spt="75" type="#_x0000_t75" style="height:21.75pt;width:15pt;" o:ole="t" filled="f" o:preferrelative="t" stroked="f" coordsize="21600,21600">
            <v:path/>
            <v:fill on="f" focussize="0,0"/>
            <v:stroke on="f" joinstyle="miter"/>
            <v:imagedata r:id="rId924" o:title=""/>
            <o:lock v:ext="edit" aspectratio="t"/>
            <w10:wrap type="none"/>
            <w10:anchorlock/>
          </v:shape>
          <o:OLEObject Type="Embed" ProgID="Equation.DSMT4" ShapeID="_x0000_i1497" DrawAspect="Content" ObjectID="_1468076197" r:id="rId923">
            <o:LockedField>false</o:LockedField>
          </o:OLEObject>
        </w:object>
      </w:r>
      <w:r>
        <w:rPr>
          <w:color w:val="auto"/>
          <w:szCs w:val="21"/>
        </w:rPr>
        <w:t>≥</w:t>
      </w:r>
      <w:r>
        <w:rPr>
          <w:color w:val="auto"/>
          <w:position w:val="-24"/>
          <w:szCs w:val="21"/>
        </w:rPr>
        <w:object>
          <v:shape id="_x0000_i1498" o:spt="75" type="#_x0000_t75" style="height:28.5pt;width:36.75pt;" o:ole="t" filled="f" o:preferrelative="t" stroked="f" coordsize="21600,21600">
            <v:path/>
            <v:fill on="f" focussize="0,0"/>
            <v:stroke on="f" joinstyle="miter"/>
            <v:imagedata r:id="rId926" o:title=""/>
            <o:lock v:ext="edit" aspectratio="t"/>
            <w10:wrap type="none"/>
            <w10:anchorlock/>
          </v:shape>
          <o:OLEObject Type="Embed" ProgID="Equation.DSMT4" ShapeID="_x0000_i1498" DrawAspect="Content" ObjectID="_1468076198" r:id="rId92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101</w:t>
      </w:r>
      <w:r>
        <w:rPr>
          <w:color w:val="auto"/>
          <w:szCs w:val="21"/>
        </w:rPr>
        <w:fldChar w:fldCharType="end"/>
      </w:r>
      <w:r>
        <w:rPr>
          <w:color w:val="auto"/>
          <w:szCs w:val="21"/>
        </w:rPr>
        <w:t>)</w:t>
      </w:r>
    </w:p>
    <w:p w14:paraId="6FA9AAB1">
      <w:pPr>
        <w:adjustRightInd w:val="0"/>
        <w:snapToGrid w:val="0"/>
        <w:spacing w:before="120" w:line="340" w:lineRule="exact"/>
        <w:rPr>
          <w:color w:val="auto"/>
          <w:szCs w:val="21"/>
        </w:rPr>
      </w:pPr>
      <w:r>
        <w:rPr>
          <w:color w:val="auto"/>
          <w:szCs w:val="21"/>
        </w:rPr>
        <w:t xml:space="preserve">式中   </w:t>
      </w:r>
      <w:r>
        <w:rPr>
          <w:i/>
          <w:color w:val="auto"/>
          <w:szCs w:val="21"/>
        </w:rPr>
        <w:t>b</w:t>
      </w:r>
      <w:r>
        <w:rPr>
          <w:color w:val="auto"/>
          <w:szCs w:val="21"/>
        </w:rPr>
        <w:t>——基础底面宽度；</w:t>
      </w:r>
    </w:p>
    <w:p w14:paraId="44D8A4A6">
      <w:pPr>
        <w:adjustRightInd w:val="0"/>
        <w:snapToGrid w:val="0"/>
        <w:spacing w:line="340" w:lineRule="exact"/>
        <w:ind w:firstLine="600" w:firstLineChars="286"/>
        <w:rPr>
          <w:color w:val="auto"/>
          <w:szCs w:val="21"/>
        </w:rPr>
      </w:pPr>
      <w:r>
        <w:rPr>
          <w:color w:val="auto"/>
          <w:position w:val="-12"/>
          <w:szCs w:val="21"/>
        </w:rPr>
        <w:object>
          <v:shape id="_x0000_i1499" o:spt="75" type="#_x0000_t75" style="height:21.75pt;width:15pt;" o:ole="t" filled="f" o:preferrelative="t" stroked="f" coordsize="21600,21600">
            <v:path/>
            <v:fill on="f" focussize="0,0"/>
            <v:stroke on="f" joinstyle="miter"/>
            <v:imagedata r:id="rId928" o:title=""/>
            <o:lock v:ext="edit" aspectratio="t"/>
            <w10:wrap type="none"/>
            <w10:anchorlock/>
          </v:shape>
          <o:OLEObject Type="Embed" ProgID="Equation.DSMT4" ShapeID="_x0000_i1499" DrawAspect="Content" ObjectID="_1468076199" r:id="rId927">
            <o:LockedField>false</o:LockedField>
          </o:OLEObject>
        </w:object>
      </w:r>
      <w:r>
        <w:rPr>
          <w:color w:val="auto"/>
          <w:szCs w:val="21"/>
        </w:rPr>
        <w:t>——基础顶面的墙体宽度或柱脚宽度；</w:t>
      </w:r>
    </w:p>
    <w:p w14:paraId="37E0A706">
      <w:pPr>
        <w:adjustRightInd w:val="0"/>
        <w:snapToGrid w:val="0"/>
        <w:spacing w:line="340" w:lineRule="exact"/>
        <w:ind w:firstLine="531" w:firstLineChars="253"/>
        <w:rPr>
          <w:color w:val="auto"/>
          <w:szCs w:val="21"/>
        </w:rPr>
      </w:pPr>
      <w:r>
        <w:rPr>
          <w:color w:val="auto"/>
          <w:position w:val="-12"/>
          <w:szCs w:val="21"/>
        </w:rPr>
        <w:object>
          <v:shape id="_x0000_i1500" o:spt="75" type="#_x0000_t75" style="height:21.75pt;width:15pt;" o:ole="t" filled="f" o:preferrelative="t" stroked="f" coordsize="21600,21600">
            <v:path/>
            <v:fill on="f" focussize="0,0"/>
            <v:stroke on="f" joinstyle="miter"/>
            <v:imagedata r:id="rId924" o:title=""/>
            <o:lock v:ext="edit" aspectratio="t"/>
            <w10:wrap type="none"/>
            <w10:anchorlock/>
          </v:shape>
          <o:OLEObject Type="Embed" ProgID="Equation.DSMT4" ShapeID="_x0000_i1500" DrawAspect="Content" ObjectID="_1468076200" r:id="rId929">
            <o:LockedField>false</o:LockedField>
          </o:OLEObject>
        </w:object>
      </w:r>
      <w:r>
        <w:rPr>
          <w:color w:val="auto"/>
          <w:szCs w:val="21"/>
        </w:rPr>
        <w:t xml:space="preserve">——基础高度； </w:t>
      </w:r>
    </w:p>
    <w:p w14:paraId="35B1C1BE">
      <w:pPr>
        <w:adjustRightInd w:val="0"/>
        <w:snapToGrid w:val="0"/>
        <w:spacing w:line="340" w:lineRule="exact"/>
        <w:ind w:firstLine="321" w:firstLineChars="153"/>
        <w:rPr>
          <w:color w:val="auto"/>
          <w:szCs w:val="21"/>
        </w:rPr>
      </w:pPr>
      <w:r>
        <w:rPr>
          <w:color w:val="auto"/>
          <w:position w:val="-6"/>
          <w:szCs w:val="21"/>
        </w:rPr>
        <w:object>
          <v:shape id="_x0000_i1501" o:spt="75" type="#_x0000_t75" style="height:15pt;width:28.5pt;" o:ole="t" filled="f" o:preferrelative="t" stroked="f" coordsize="21600,21600">
            <v:path/>
            <v:fill on="f" focussize="0,0"/>
            <v:stroke on="f" joinstyle="miter"/>
            <v:imagedata r:id="rId931" o:title=""/>
            <o:lock v:ext="edit" aspectratio="t"/>
            <w10:wrap type="none"/>
            <w10:anchorlock/>
          </v:shape>
          <o:OLEObject Type="Embed" ProgID="Equation.DSMT4" ShapeID="_x0000_i1501" DrawAspect="Content" ObjectID="_1468076201" r:id="rId930">
            <o:LockedField>false</o:LockedField>
          </o:OLEObject>
        </w:object>
      </w:r>
      <w:r>
        <w:rPr>
          <w:color w:val="auto"/>
          <w:szCs w:val="21"/>
        </w:rPr>
        <w:t>——基础台阶宽高比</w:t>
      </w:r>
      <w:r>
        <w:rPr>
          <w:i/>
          <w:color w:val="auto"/>
          <w:szCs w:val="21"/>
        </w:rPr>
        <w:t>b</w:t>
      </w:r>
      <w:r>
        <w:rPr>
          <w:color w:val="auto"/>
          <w:szCs w:val="21"/>
          <w:vertAlign w:val="subscript"/>
        </w:rPr>
        <w:t>2</w:t>
      </w:r>
      <w:r>
        <w:rPr>
          <w:rFonts w:hAnsi="宋体"/>
          <w:color w:val="auto"/>
          <w:szCs w:val="21"/>
        </w:rPr>
        <w:t>∶</w:t>
      </w:r>
      <w:r>
        <w:rPr>
          <w:i/>
          <w:color w:val="auto"/>
          <w:szCs w:val="21"/>
        </w:rPr>
        <w:t>H</w:t>
      </w:r>
      <w:r>
        <w:rPr>
          <w:iCs/>
          <w:color w:val="auto"/>
          <w:sz w:val="28"/>
          <w:szCs w:val="21"/>
          <w:vertAlign w:val="subscript"/>
        </w:rPr>
        <w:t>0</w:t>
      </w:r>
      <w:r>
        <w:rPr>
          <w:color w:val="auto"/>
          <w:szCs w:val="21"/>
        </w:rPr>
        <w:t>，</w:t>
      </w:r>
      <w:r>
        <w:rPr>
          <w:color w:val="auto"/>
          <w:spacing w:val="-12"/>
          <w:szCs w:val="21"/>
        </w:rPr>
        <w:t>其允许值可按表</w:t>
      </w:r>
      <w:r>
        <w:rPr>
          <w:color w:val="auto"/>
          <w:szCs w:val="21"/>
        </w:rPr>
        <w:t>57选用。</w:t>
      </w:r>
    </w:p>
    <w:p w14:paraId="1555149F">
      <w:pPr>
        <w:adjustRightInd w:val="0"/>
        <w:snapToGrid w:val="0"/>
        <w:spacing w:before="240" w:line="360" w:lineRule="atLeast"/>
        <w:jc w:val="center"/>
        <w:rPr>
          <w:color w:val="auto"/>
          <w:sz w:val="32"/>
          <w:szCs w:val="32"/>
        </w:rPr>
      </w:pPr>
      <w:r>
        <w:rPr>
          <w:color w:val="auto"/>
          <w:sz w:val="18"/>
          <w:szCs w:val="18"/>
        </w:rPr>
        <w:drawing>
          <wp:inline distT="0" distB="0" distL="0" distR="0">
            <wp:extent cx="3495675" cy="1657350"/>
            <wp:effectExtent l="0" t="0" r="9525"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932">
                      <a:extLst>
                        <a:ext uri="{28A0092B-C50C-407E-A947-70E740481C1C}">
                          <a14:useLocalDpi xmlns:a14="http://schemas.microsoft.com/office/drawing/2010/main" val="0"/>
                        </a:ext>
                      </a:extLst>
                    </a:blip>
                    <a:srcRect/>
                    <a:stretch>
                      <a:fillRect/>
                    </a:stretch>
                  </pic:blipFill>
                  <pic:spPr>
                    <a:xfrm>
                      <a:off x="0" y="0"/>
                      <a:ext cx="3495675" cy="1657350"/>
                    </a:xfrm>
                    <a:prstGeom prst="rect">
                      <a:avLst/>
                    </a:prstGeom>
                    <a:noFill/>
                    <a:ln>
                      <a:noFill/>
                    </a:ln>
                  </pic:spPr>
                </pic:pic>
              </a:graphicData>
            </a:graphic>
          </wp:inline>
        </w:drawing>
      </w:r>
    </w:p>
    <w:p w14:paraId="7E348D90">
      <w:pPr>
        <w:adjustRightInd w:val="0"/>
        <w:snapToGrid w:val="0"/>
        <w:ind w:firstLine="361" w:firstLineChars="200"/>
        <w:jc w:val="center"/>
        <w:rPr>
          <w:b/>
          <w:color w:val="auto"/>
          <w:sz w:val="18"/>
          <w:szCs w:val="18"/>
        </w:rPr>
      </w:pPr>
      <w:r>
        <w:rPr>
          <w:b/>
          <w:color w:val="auto"/>
          <w:sz w:val="18"/>
          <w:szCs w:val="18"/>
        </w:rPr>
        <w:t>图19  无筋扩展基础构造示意</w:t>
      </w:r>
    </w:p>
    <w:p w14:paraId="313972C1">
      <w:pPr>
        <w:adjustRightInd w:val="0"/>
        <w:snapToGrid w:val="0"/>
        <w:ind w:firstLine="1084" w:firstLineChars="600"/>
        <w:jc w:val="center"/>
        <w:rPr>
          <w:rFonts w:eastAsia="黑体"/>
          <w:b/>
          <w:color w:val="auto"/>
          <w:sz w:val="18"/>
          <w:szCs w:val="18"/>
        </w:rPr>
      </w:pPr>
      <w:r>
        <w:rPr>
          <w:b/>
          <w:i/>
          <w:color w:val="auto"/>
          <w:sz w:val="18"/>
          <w:szCs w:val="18"/>
        </w:rPr>
        <w:t>d</w:t>
      </w:r>
      <w:r>
        <w:rPr>
          <w:b/>
          <w:color w:val="auto"/>
          <w:sz w:val="18"/>
          <w:szCs w:val="18"/>
        </w:rPr>
        <w:t xml:space="preserve"> ——柱中纵向钢筋直径</w:t>
      </w:r>
    </w:p>
    <w:p w14:paraId="53A4AB88">
      <w:pPr>
        <w:adjustRightInd w:val="0"/>
        <w:snapToGrid w:val="0"/>
        <w:spacing w:before="120" w:line="360" w:lineRule="atLeast"/>
        <w:jc w:val="center"/>
        <w:rPr>
          <w:rFonts w:eastAsia="黑体"/>
          <w:b/>
          <w:bCs/>
          <w:color w:val="auto"/>
          <w:sz w:val="20"/>
          <w:szCs w:val="18"/>
        </w:rPr>
      </w:pPr>
      <w:r>
        <w:rPr>
          <w:rFonts w:eastAsia="黑体"/>
          <w:b/>
          <w:bCs/>
          <w:color w:val="auto"/>
          <w:sz w:val="20"/>
          <w:szCs w:val="18"/>
        </w:rPr>
        <w:t>表57   无筋扩展基础台阶宽高比的允许值</w:t>
      </w:r>
    </w:p>
    <w:tbl>
      <w:tblPr>
        <w:tblStyle w:val="36"/>
        <w:tblW w:w="91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22"/>
        <w:gridCol w:w="3116"/>
        <w:gridCol w:w="1226"/>
        <w:gridCol w:w="1493"/>
        <w:gridCol w:w="1410"/>
      </w:tblGrid>
      <w:tr w14:paraId="223A9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Merge w:val="restart"/>
            <w:vAlign w:val="center"/>
          </w:tcPr>
          <w:p w14:paraId="7828BAC5">
            <w:pPr>
              <w:adjustRightInd w:val="0"/>
              <w:snapToGrid w:val="0"/>
              <w:spacing w:line="340" w:lineRule="atLeast"/>
              <w:jc w:val="center"/>
              <w:rPr>
                <w:color w:val="auto"/>
                <w:spacing w:val="-10"/>
                <w:sz w:val="18"/>
                <w:szCs w:val="18"/>
              </w:rPr>
            </w:pPr>
            <w:r>
              <w:rPr>
                <w:color w:val="auto"/>
                <w:spacing w:val="-10"/>
                <w:sz w:val="18"/>
                <w:szCs w:val="18"/>
              </w:rPr>
              <w:t>基 础 材 料</w:t>
            </w:r>
          </w:p>
        </w:tc>
        <w:tc>
          <w:tcPr>
            <w:tcW w:w="3116" w:type="dxa"/>
            <w:vMerge w:val="restart"/>
            <w:vAlign w:val="center"/>
          </w:tcPr>
          <w:p w14:paraId="79995CB0">
            <w:pPr>
              <w:adjustRightInd w:val="0"/>
              <w:snapToGrid w:val="0"/>
              <w:spacing w:line="340" w:lineRule="atLeast"/>
              <w:jc w:val="center"/>
              <w:rPr>
                <w:color w:val="auto"/>
                <w:spacing w:val="-10"/>
                <w:sz w:val="18"/>
                <w:szCs w:val="18"/>
              </w:rPr>
            </w:pPr>
            <w:r>
              <w:rPr>
                <w:color w:val="auto"/>
                <w:spacing w:val="-10"/>
                <w:sz w:val="18"/>
                <w:szCs w:val="18"/>
              </w:rPr>
              <w:t>质 量 要 求</w:t>
            </w:r>
          </w:p>
        </w:tc>
        <w:tc>
          <w:tcPr>
            <w:tcW w:w="4129" w:type="dxa"/>
            <w:gridSpan w:val="3"/>
            <w:vAlign w:val="center"/>
          </w:tcPr>
          <w:p w14:paraId="264DA648">
            <w:pPr>
              <w:adjustRightInd w:val="0"/>
              <w:snapToGrid w:val="0"/>
              <w:spacing w:line="260" w:lineRule="exact"/>
              <w:jc w:val="center"/>
              <w:rPr>
                <w:color w:val="auto"/>
                <w:spacing w:val="-10"/>
                <w:sz w:val="18"/>
                <w:szCs w:val="18"/>
              </w:rPr>
            </w:pPr>
            <w:r>
              <w:rPr>
                <w:color w:val="auto"/>
                <w:spacing w:val="-10"/>
                <w:sz w:val="18"/>
                <w:szCs w:val="18"/>
              </w:rPr>
              <w:t>台阶宽高比的允许值</w:t>
            </w:r>
          </w:p>
        </w:tc>
      </w:tr>
      <w:tr w14:paraId="3469B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Merge w:val="continue"/>
            <w:vAlign w:val="center"/>
          </w:tcPr>
          <w:p w14:paraId="584EDD59">
            <w:pPr>
              <w:adjustRightInd w:val="0"/>
              <w:snapToGrid w:val="0"/>
              <w:spacing w:line="340" w:lineRule="atLeast"/>
              <w:jc w:val="center"/>
              <w:rPr>
                <w:color w:val="auto"/>
                <w:spacing w:val="-10"/>
                <w:sz w:val="18"/>
                <w:szCs w:val="18"/>
              </w:rPr>
            </w:pPr>
          </w:p>
        </w:tc>
        <w:tc>
          <w:tcPr>
            <w:tcW w:w="3116" w:type="dxa"/>
            <w:vMerge w:val="continue"/>
            <w:vAlign w:val="center"/>
          </w:tcPr>
          <w:p w14:paraId="07F3C619">
            <w:pPr>
              <w:adjustRightInd w:val="0"/>
              <w:snapToGrid w:val="0"/>
              <w:spacing w:line="340" w:lineRule="atLeast"/>
              <w:jc w:val="center"/>
              <w:rPr>
                <w:color w:val="auto"/>
                <w:spacing w:val="-10"/>
                <w:sz w:val="18"/>
                <w:szCs w:val="18"/>
              </w:rPr>
            </w:pPr>
          </w:p>
        </w:tc>
        <w:tc>
          <w:tcPr>
            <w:tcW w:w="1226" w:type="dxa"/>
            <w:vAlign w:val="center"/>
          </w:tcPr>
          <w:p w14:paraId="47DCDBF6">
            <w:pPr>
              <w:adjustRightInd w:val="0"/>
              <w:snapToGrid w:val="0"/>
              <w:spacing w:line="240" w:lineRule="atLeast"/>
              <w:jc w:val="center"/>
              <w:rPr>
                <w:color w:val="auto"/>
                <w:spacing w:val="-10"/>
                <w:sz w:val="18"/>
                <w:szCs w:val="18"/>
              </w:rPr>
            </w:pPr>
            <w:r>
              <w:rPr>
                <w:color w:val="auto"/>
                <w:position w:val="-12"/>
                <w:sz w:val="18"/>
                <w:szCs w:val="18"/>
              </w:rPr>
              <w:object>
                <v:shape id="_x0000_i1502" o:spt="75" type="#_x0000_t75" style="height:21.75pt;width:15pt;" o:ole="t" filled="f" o:preferrelative="t" stroked="f" coordsize="21600,21600">
                  <v:path/>
                  <v:fill on="f" focussize="0,0"/>
                  <v:stroke on="f" joinstyle="miter"/>
                  <v:imagedata r:id="rId934" o:title=""/>
                  <o:lock v:ext="edit" aspectratio="t"/>
                  <w10:wrap type="none"/>
                  <w10:anchorlock/>
                </v:shape>
                <o:OLEObject Type="Embed" ProgID="Equation.DSMT4" ShapeID="_x0000_i1502" DrawAspect="Content" ObjectID="_1468076202" r:id="rId933">
                  <o:LockedField>false</o:LockedField>
                </o:OLEObject>
              </w:object>
            </w:r>
            <w:r>
              <w:rPr>
                <w:color w:val="auto"/>
                <w:spacing w:val="-10"/>
                <w:sz w:val="18"/>
                <w:szCs w:val="18"/>
              </w:rPr>
              <w:t>≤100</w:t>
            </w:r>
          </w:p>
        </w:tc>
        <w:tc>
          <w:tcPr>
            <w:tcW w:w="1493" w:type="dxa"/>
            <w:vAlign w:val="center"/>
          </w:tcPr>
          <w:p w14:paraId="7BB02D6C">
            <w:pPr>
              <w:adjustRightInd w:val="0"/>
              <w:snapToGrid w:val="0"/>
              <w:spacing w:line="120" w:lineRule="atLeast"/>
              <w:ind w:left="32" w:leftChars="-69" w:right="-105" w:rightChars="-50" w:hanging="177" w:hangingChars="111"/>
              <w:jc w:val="center"/>
              <w:rPr>
                <w:color w:val="auto"/>
                <w:spacing w:val="-10"/>
                <w:sz w:val="18"/>
                <w:szCs w:val="18"/>
              </w:rPr>
            </w:pPr>
            <w:r>
              <w:rPr>
                <w:color w:val="auto"/>
                <w:spacing w:val="-10"/>
                <w:sz w:val="18"/>
                <w:szCs w:val="18"/>
              </w:rPr>
              <w:t>100＜</w:t>
            </w:r>
            <w:r>
              <w:rPr>
                <w:color w:val="auto"/>
                <w:position w:val="-12"/>
                <w:sz w:val="18"/>
                <w:szCs w:val="18"/>
              </w:rPr>
              <w:object>
                <v:shape id="_x0000_i1503" o:spt="75" type="#_x0000_t75" style="height:21.75pt;width:15pt;" o:ole="t" filled="f" o:preferrelative="t" stroked="f" coordsize="21600,21600">
                  <v:path/>
                  <v:fill on="f" focussize="0,0"/>
                  <v:stroke on="f" joinstyle="miter"/>
                  <v:imagedata r:id="rId934" o:title=""/>
                  <o:lock v:ext="edit" aspectratio="t"/>
                  <w10:wrap type="none"/>
                  <w10:anchorlock/>
                </v:shape>
                <o:OLEObject Type="Embed" ProgID="Equation.DSMT4" ShapeID="_x0000_i1503" DrawAspect="Content" ObjectID="_1468076203" r:id="rId935">
                  <o:LockedField>false</o:LockedField>
                </o:OLEObject>
              </w:object>
            </w:r>
            <w:r>
              <w:rPr>
                <w:color w:val="auto"/>
                <w:spacing w:val="-20"/>
                <w:sz w:val="18"/>
                <w:szCs w:val="18"/>
                <w:vertAlign w:val="subscript"/>
              </w:rPr>
              <w:t xml:space="preserve"> </w:t>
            </w:r>
            <w:r>
              <w:rPr>
                <w:color w:val="auto"/>
                <w:spacing w:val="-10"/>
                <w:sz w:val="18"/>
                <w:szCs w:val="18"/>
              </w:rPr>
              <w:t>≤200</w:t>
            </w:r>
          </w:p>
        </w:tc>
        <w:tc>
          <w:tcPr>
            <w:tcW w:w="1410" w:type="dxa"/>
            <w:vAlign w:val="center"/>
          </w:tcPr>
          <w:p w14:paraId="27535EEF">
            <w:pPr>
              <w:adjustRightInd w:val="0"/>
              <w:snapToGrid w:val="0"/>
              <w:spacing w:line="240" w:lineRule="atLeast"/>
              <w:ind w:left="29" w:leftChars="-59" w:right="-115" w:rightChars="-55" w:hanging="153" w:hangingChars="96"/>
              <w:jc w:val="center"/>
              <w:rPr>
                <w:color w:val="auto"/>
                <w:spacing w:val="-10"/>
                <w:sz w:val="18"/>
                <w:szCs w:val="18"/>
              </w:rPr>
            </w:pPr>
            <w:r>
              <w:rPr>
                <w:color w:val="auto"/>
                <w:spacing w:val="-10"/>
                <w:sz w:val="18"/>
                <w:szCs w:val="18"/>
              </w:rPr>
              <w:t>200＜</w:t>
            </w:r>
            <w:r>
              <w:rPr>
                <w:color w:val="auto"/>
                <w:position w:val="-12"/>
                <w:sz w:val="18"/>
                <w:szCs w:val="18"/>
              </w:rPr>
              <w:object>
                <v:shape id="_x0000_i1504" o:spt="75" type="#_x0000_t75" style="height:21.75pt;width:15pt;" o:ole="t" filled="f" o:preferrelative="t" stroked="f" coordsize="21600,21600">
                  <v:path/>
                  <v:fill on="f" focussize="0,0"/>
                  <v:stroke on="f" joinstyle="miter"/>
                  <v:imagedata r:id="rId934" o:title=""/>
                  <o:lock v:ext="edit" aspectratio="t"/>
                  <w10:wrap type="none"/>
                  <w10:anchorlock/>
                </v:shape>
                <o:OLEObject Type="Embed" ProgID="Equation.DSMT4" ShapeID="_x0000_i1504" DrawAspect="Content" ObjectID="_1468076204" r:id="rId936">
                  <o:LockedField>false</o:LockedField>
                </o:OLEObject>
              </w:object>
            </w:r>
            <w:r>
              <w:rPr>
                <w:color w:val="auto"/>
                <w:spacing w:val="-10"/>
                <w:sz w:val="18"/>
                <w:szCs w:val="18"/>
              </w:rPr>
              <w:t>≤300</w:t>
            </w:r>
          </w:p>
        </w:tc>
      </w:tr>
      <w:tr w14:paraId="5D6B3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Align w:val="center"/>
          </w:tcPr>
          <w:p w14:paraId="59CEFFE8">
            <w:pPr>
              <w:adjustRightInd w:val="0"/>
              <w:snapToGrid w:val="0"/>
              <w:spacing w:line="300" w:lineRule="atLeast"/>
              <w:rPr>
                <w:color w:val="auto"/>
                <w:spacing w:val="-10"/>
                <w:sz w:val="18"/>
                <w:szCs w:val="18"/>
              </w:rPr>
            </w:pPr>
            <w:r>
              <w:rPr>
                <w:color w:val="auto"/>
                <w:spacing w:val="-10"/>
                <w:sz w:val="18"/>
                <w:szCs w:val="18"/>
              </w:rPr>
              <w:t>混凝土基础</w:t>
            </w:r>
          </w:p>
        </w:tc>
        <w:tc>
          <w:tcPr>
            <w:tcW w:w="3116" w:type="dxa"/>
            <w:vAlign w:val="center"/>
          </w:tcPr>
          <w:p w14:paraId="39856917">
            <w:pPr>
              <w:adjustRightInd w:val="0"/>
              <w:snapToGrid w:val="0"/>
              <w:spacing w:line="300" w:lineRule="atLeast"/>
              <w:rPr>
                <w:color w:val="auto"/>
                <w:spacing w:val="-10"/>
                <w:sz w:val="18"/>
                <w:szCs w:val="18"/>
              </w:rPr>
            </w:pPr>
            <w:r>
              <w:rPr>
                <w:iCs/>
                <w:color w:val="auto"/>
                <w:spacing w:val="-10"/>
                <w:sz w:val="18"/>
                <w:szCs w:val="18"/>
              </w:rPr>
              <w:t>C20</w:t>
            </w:r>
            <w:r>
              <w:rPr>
                <w:color w:val="auto"/>
                <w:spacing w:val="-10"/>
                <w:sz w:val="18"/>
                <w:szCs w:val="18"/>
              </w:rPr>
              <w:t>混凝土</w:t>
            </w:r>
          </w:p>
        </w:tc>
        <w:tc>
          <w:tcPr>
            <w:tcW w:w="1226" w:type="dxa"/>
            <w:vAlign w:val="center"/>
          </w:tcPr>
          <w:p w14:paraId="65363144">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1.00</w:t>
            </w:r>
          </w:p>
        </w:tc>
        <w:tc>
          <w:tcPr>
            <w:tcW w:w="1493" w:type="dxa"/>
            <w:vAlign w:val="center"/>
          </w:tcPr>
          <w:p w14:paraId="253405F8">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1.00</w:t>
            </w:r>
          </w:p>
        </w:tc>
        <w:tc>
          <w:tcPr>
            <w:tcW w:w="1410" w:type="dxa"/>
            <w:vAlign w:val="center"/>
          </w:tcPr>
          <w:p w14:paraId="1F034702">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1.25</w:t>
            </w:r>
          </w:p>
        </w:tc>
      </w:tr>
      <w:tr w14:paraId="3DD60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Align w:val="center"/>
          </w:tcPr>
          <w:p w14:paraId="0D814116">
            <w:pPr>
              <w:adjustRightInd w:val="0"/>
              <w:snapToGrid w:val="0"/>
              <w:spacing w:line="300" w:lineRule="atLeast"/>
              <w:rPr>
                <w:color w:val="auto"/>
                <w:spacing w:val="-10"/>
                <w:sz w:val="18"/>
                <w:szCs w:val="18"/>
              </w:rPr>
            </w:pPr>
            <w:r>
              <w:rPr>
                <w:color w:val="auto"/>
                <w:spacing w:val="-10"/>
                <w:sz w:val="18"/>
                <w:szCs w:val="18"/>
              </w:rPr>
              <w:t>毛石混凝土基础</w:t>
            </w:r>
          </w:p>
        </w:tc>
        <w:tc>
          <w:tcPr>
            <w:tcW w:w="3116" w:type="dxa"/>
            <w:vAlign w:val="center"/>
          </w:tcPr>
          <w:p w14:paraId="1B426436">
            <w:pPr>
              <w:adjustRightInd w:val="0"/>
              <w:snapToGrid w:val="0"/>
              <w:spacing w:line="300" w:lineRule="atLeast"/>
              <w:rPr>
                <w:color w:val="auto"/>
                <w:spacing w:val="-10"/>
                <w:sz w:val="18"/>
                <w:szCs w:val="18"/>
              </w:rPr>
            </w:pPr>
            <w:r>
              <w:rPr>
                <w:iCs/>
                <w:color w:val="auto"/>
                <w:spacing w:val="-10"/>
                <w:sz w:val="18"/>
                <w:szCs w:val="18"/>
              </w:rPr>
              <w:t>C20</w:t>
            </w:r>
            <w:r>
              <w:rPr>
                <w:color w:val="auto"/>
                <w:spacing w:val="-10"/>
                <w:sz w:val="18"/>
                <w:szCs w:val="18"/>
              </w:rPr>
              <w:t>混凝土</w:t>
            </w:r>
          </w:p>
        </w:tc>
        <w:tc>
          <w:tcPr>
            <w:tcW w:w="1226" w:type="dxa"/>
            <w:vAlign w:val="center"/>
          </w:tcPr>
          <w:p w14:paraId="27C62421">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1.00</w:t>
            </w:r>
          </w:p>
        </w:tc>
        <w:tc>
          <w:tcPr>
            <w:tcW w:w="1493" w:type="dxa"/>
            <w:vAlign w:val="center"/>
          </w:tcPr>
          <w:p w14:paraId="4796F6EA">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1.25</w:t>
            </w:r>
          </w:p>
        </w:tc>
        <w:tc>
          <w:tcPr>
            <w:tcW w:w="1410" w:type="dxa"/>
            <w:vAlign w:val="center"/>
          </w:tcPr>
          <w:p w14:paraId="1EBAA740">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1.50</w:t>
            </w:r>
          </w:p>
        </w:tc>
      </w:tr>
      <w:tr w14:paraId="03641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Align w:val="center"/>
          </w:tcPr>
          <w:p w14:paraId="269D4194">
            <w:pPr>
              <w:adjustRightInd w:val="0"/>
              <w:snapToGrid w:val="0"/>
              <w:spacing w:line="300" w:lineRule="atLeast"/>
              <w:rPr>
                <w:color w:val="auto"/>
                <w:spacing w:val="-10"/>
                <w:sz w:val="18"/>
                <w:szCs w:val="18"/>
              </w:rPr>
            </w:pPr>
            <w:r>
              <w:rPr>
                <w:color w:val="auto"/>
                <w:spacing w:val="-10"/>
                <w:sz w:val="18"/>
                <w:szCs w:val="18"/>
              </w:rPr>
              <w:t>砖基础</w:t>
            </w:r>
          </w:p>
        </w:tc>
        <w:tc>
          <w:tcPr>
            <w:tcW w:w="3116" w:type="dxa"/>
            <w:vAlign w:val="center"/>
          </w:tcPr>
          <w:p w14:paraId="6070A0D7">
            <w:pPr>
              <w:adjustRightInd w:val="0"/>
              <w:snapToGrid w:val="0"/>
              <w:spacing w:line="300" w:lineRule="atLeast"/>
              <w:rPr>
                <w:iCs/>
                <w:color w:val="auto"/>
                <w:spacing w:val="-10"/>
                <w:sz w:val="18"/>
                <w:szCs w:val="18"/>
              </w:rPr>
            </w:pPr>
            <w:r>
              <w:rPr>
                <w:iCs/>
                <w:color w:val="auto"/>
                <w:spacing w:val="-10"/>
                <w:sz w:val="18"/>
                <w:szCs w:val="18"/>
              </w:rPr>
              <w:t>砖不低于MU10、砂浆不低于M5</w:t>
            </w:r>
          </w:p>
        </w:tc>
        <w:tc>
          <w:tcPr>
            <w:tcW w:w="1226" w:type="dxa"/>
            <w:vAlign w:val="center"/>
          </w:tcPr>
          <w:p w14:paraId="7DE82A4D">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1.50</w:t>
            </w:r>
          </w:p>
        </w:tc>
        <w:tc>
          <w:tcPr>
            <w:tcW w:w="1493" w:type="dxa"/>
            <w:vAlign w:val="center"/>
          </w:tcPr>
          <w:p w14:paraId="6F0D8680">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1.50</w:t>
            </w:r>
          </w:p>
        </w:tc>
        <w:tc>
          <w:tcPr>
            <w:tcW w:w="1410" w:type="dxa"/>
            <w:vAlign w:val="center"/>
          </w:tcPr>
          <w:p w14:paraId="7AE96284">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1.50</w:t>
            </w:r>
          </w:p>
        </w:tc>
      </w:tr>
      <w:tr w14:paraId="35F81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922" w:type="dxa"/>
            <w:vAlign w:val="center"/>
          </w:tcPr>
          <w:p w14:paraId="767BAB40">
            <w:pPr>
              <w:adjustRightInd w:val="0"/>
              <w:snapToGrid w:val="0"/>
              <w:spacing w:line="300" w:lineRule="atLeast"/>
              <w:rPr>
                <w:color w:val="auto"/>
                <w:spacing w:val="-10"/>
                <w:sz w:val="18"/>
                <w:szCs w:val="18"/>
              </w:rPr>
            </w:pPr>
            <w:r>
              <w:rPr>
                <w:color w:val="auto"/>
                <w:spacing w:val="-10"/>
                <w:sz w:val="18"/>
                <w:szCs w:val="18"/>
              </w:rPr>
              <w:t>毛石基础</w:t>
            </w:r>
          </w:p>
        </w:tc>
        <w:tc>
          <w:tcPr>
            <w:tcW w:w="3116" w:type="dxa"/>
            <w:vAlign w:val="center"/>
          </w:tcPr>
          <w:p w14:paraId="72EDA251">
            <w:pPr>
              <w:adjustRightInd w:val="0"/>
              <w:snapToGrid w:val="0"/>
              <w:spacing w:line="300" w:lineRule="atLeast"/>
              <w:rPr>
                <w:color w:val="auto"/>
                <w:spacing w:val="-10"/>
                <w:sz w:val="18"/>
                <w:szCs w:val="18"/>
              </w:rPr>
            </w:pPr>
            <w:r>
              <w:rPr>
                <w:color w:val="auto"/>
                <w:spacing w:val="-10"/>
                <w:sz w:val="18"/>
                <w:szCs w:val="18"/>
              </w:rPr>
              <w:t>砂浆不低于</w:t>
            </w:r>
            <w:r>
              <w:rPr>
                <w:iCs/>
                <w:color w:val="auto"/>
                <w:spacing w:val="-10"/>
                <w:sz w:val="18"/>
                <w:szCs w:val="18"/>
              </w:rPr>
              <w:t>M</w:t>
            </w:r>
            <w:r>
              <w:rPr>
                <w:color w:val="auto"/>
                <w:spacing w:val="-10"/>
                <w:sz w:val="18"/>
                <w:szCs w:val="18"/>
              </w:rPr>
              <w:t>5</w:t>
            </w:r>
          </w:p>
        </w:tc>
        <w:tc>
          <w:tcPr>
            <w:tcW w:w="1226" w:type="dxa"/>
            <w:vAlign w:val="center"/>
          </w:tcPr>
          <w:p w14:paraId="714F749D">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1.25</w:t>
            </w:r>
          </w:p>
        </w:tc>
        <w:tc>
          <w:tcPr>
            <w:tcW w:w="1493" w:type="dxa"/>
            <w:vAlign w:val="center"/>
          </w:tcPr>
          <w:p w14:paraId="27B89174">
            <w:pPr>
              <w:adjustRightInd w:val="0"/>
              <w:snapToGrid w:val="0"/>
              <w:spacing w:line="260" w:lineRule="exact"/>
              <w:jc w:val="center"/>
              <w:rPr>
                <w:color w:val="auto"/>
                <w:spacing w:val="-10"/>
                <w:sz w:val="18"/>
                <w:szCs w:val="18"/>
              </w:rPr>
            </w:pPr>
            <w:r>
              <w:rPr>
                <w:color w:val="auto"/>
                <w:spacing w:val="-10"/>
                <w:sz w:val="18"/>
                <w:szCs w:val="18"/>
              </w:rPr>
              <w:t>1</w:t>
            </w:r>
            <w:r>
              <w:rPr>
                <w:rFonts w:hAnsi="宋体"/>
                <w:color w:val="auto"/>
                <w:spacing w:val="-10"/>
                <w:sz w:val="18"/>
                <w:szCs w:val="18"/>
              </w:rPr>
              <w:t>∶</w:t>
            </w:r>
            <w:r>
              <w:rPr>
                <w:color w:val="auto"/>
                <w:spacing w:val="-10"/>
                <w:sz w:val="18"/>
                <w:szCs w:val="18"/>
              </w:rPr>
              <w:t>1.50</w:t>
            </w:r>
          </w:p>
        </w:tc>
        <w:tc>
          <w:tcPr>
            <w:tcW w:w="1410" w:type="dxa"/>
            <w:vAlign w:val="center"/>
          </w:tcPr>
          <w:p w14:paraId="7A51754F">
            <w:pPr>
              <w:adjustRightInd w:val="0"/>
              <w:snapToGrid w:val="0"/>
              <w:spacing w:line="260" w:lineRule="exact"/>
              <w:jc w:val="center"/>
              <w:rPr>
                <w:color w:val="auto"/>
                <w:spacing w:val="-10"/>
                <w:sz w:val="18"/>
                <w:szCs w:val="18"/>
              </w:rPr>
            </w:pPr>
            <w:r>
              <w:rPr>
                <w:color w:val="auto"/>
                <w:spacing w:val="-10"/>
                <w:sz w:val="18"/>
                <w:szCs w:val="18"/>
              </w:rPr>
              <w:t>----</w:t>
            </w:r>
          </w:p>
        </w:tc>
      </w:tr>
      <w:tr w14:paraId="07095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6" w:hRule="atLeast"/>
          <w:jc w:val="center"/>
        </w:trPr>
        <w:tc>
          <w:tcPr>
            <w:tcW w:w="9167" w:type="dxa"/>
            <w:gridSpan w:val="5"/>
            <w:vAlign w:val="center"/>
          </w:tcPr>
          <w:p w14:paraId="7DC00DD0">
            <w:pPr>
              <w:adjustRightInd w:val="0"/>
              <w:snapToGrid w:val="0"/>
              <w:spacing w:before="20"/>
              <w:rPr>
                <w:color w:val="auto"/>
                <w:sz w:val="18"/>
                <w:szCs w:val="18"/>
              </w:rPr>
            </w:pPr>
            <w:r>
              <w:rPr>
                <w:color w:val="auto"/>
                <w:sz w:val="18"/>
                <w:szCs w:val="18"/>
              </w:rPr>
              <w:t>注1：</w:t>
            </w:r>
            <w:r>
              <w:rPr>
                <w:color w:val="auto"/>
                <w:position w:val="-12"/>
                <w:sz w:val="18"/>
                <w:szCs w:val="18"/>
              </w:rPr>
              <w:object>
                <v:shape id="_x0000_i1505" o:spt="75" type="#_x0000_t75" style="height:21.75pt;width:15pt;" o:ole="t" filled="f" o:preferrelative="t" stroked="f" coordsize="21600,21600">
                  <v:path/>
                  <v:fill on="f" focussize="0,0"/>
                  <v:stroke on="f" joinstyle="miter"/>
                  <v:imagedata r:id="rId938" o:title=""/>
                  <o:lock v:ext="edit" aspectratio="t"/>
                  <w10:wrap type="none"/>
                  <w10:anchorlock/>
                </v:shape>
                <o:OLEObject Type="Embed" ProgID="Equation.DSMT4" ShapeID="_x0000_i1505" DrawAspect="Content" ObjectID="_1468076205" r:id="rId937">
                  <o:LockedField>false</o:LockedField>
                </o:OLEObject>
              </w:object>
            </w:r>
            <w:r>
              <w:rPr>
                <w:color w:val="auto"/>
                <w:sz w:val="18"/>
                <w:szCs w:val="18"/>
              </w:rPr>
              <w:t>为作用的标准组合时基础底面处的平均压力值（kPa）；</w:t>
            </w:r>
          </w:p>
          <w:p w14:paraId="4A13E0B3">
            <w:pPr>
              <w:adjustRightInd w:val="0"/>
              <w:snapToGrid w:val="0"/>
              <w:spacing w:before="30"/>
              <w:rPr>
                <w:color w:val="auto"/>
                <w:sz w:val="18"/>
                <w:szCs w:val="18"/>
              </w:rPr>
            </w:pPr>
            <w:r>
              <w:rPr>
                <w:color w:val="auto"/>
                <w:sz w:val="18"/>
                <w:szCs w:val="18"/>
              </w:rPr>
              <w:t>注2：阶梯形毛石基础的每阶伸出宽度，不宜大于200mm；</w:t>
            </w:r>
          </w:p>
          <w:p w14:paraId="2616BE5A">
            <w:pPr>
              <w:adjustRightInd w:val="0"/>
              <w:snapToGrid w:val="0"/>
              <w:spacing w:before="30"/>
              <w:rPr>
                <w:color w:val="auto"/>
                <w:sz w:val="18"/>
                <w:szCs w:val="18"/>
              </w:rPr>
            </w:pPr>
            <w:r>
              <w:rPr>
                <w:color w:val="auto"/>
                <w:sz w:val="18"/>
                <w:szCs w:val="18"/>
              </w:rPr>
              <w:t>注3：当基础由不同材料叠合组成时，应对接触部分作抗压验算；</w:t>
            </w:r>
          </w:p>
          <w:p w14:paraId="32341663">
            <w:pPr>
              <w:adjustRightInd w:val="0"/>
              <w:snapToGrid w:val="0"/>
              <w:spacing w:before="30"/>
              <w:rPr>
                <w:color w:val="auto"/>
                <w:sz w:val="18"/>
                <w:szCs w:val="18"/>
              </w:rPr>
            </w:pPr>
            <w:r>
              <w:rPr>
                <w:color w:val="auto"/>
                <w:sz w:val="18"/>
                <w:szCs w:val="18"/>
              </w:rPr>
              <w:t>注4：对混凝土基础，当基础底面处的平均压力值超过300kPa时，尚应进行抗剪验算；对基底反力集中于立柱附近的岩石地基，应进行局部受压承载力验算。</w:t>
            </w:r>
          </w:p>
          <w:p w14:paraId="68FA9B60">
            <w:pPr>
              <w:adjustRightInd w:val="0"/>
              <w:snapToGrid w:val="0"/>
              <w:spacing w:before="30"/>
              <w:rPr>
                <w:color w:val="auto"/>
                <w:spacing w:val="-10"/>
                <w:sz w:val="18"/>
                <w:szCs w:val="18"/>
              </w:rPr>
            </w:pPr>
            <w:r>
              <w:rPr>
                <w:color w:val="auto"/>
                <w:sz w:val="18"/>
                <w:szCs w:val="18"/>
              </w:rPr>
              <w:t>注5：砖基础包括蒸压粉煤灰砖、灰砂砖、页岩砖、混凝土砖等。</w:t>
            </w:r>
          </w:p>
        </w:tc>
      </w:tr>
    </w:tbl>
    <w:p w14:paraId="242FEA1D">
      <w:pPr>
        <w:adjustRightInd w:val="0"/>
        <w:snapToGrid w:val="0"/>
        <w:spacing w:before="120" w:line="340" w:lineRule="atLeast"/>
        <w:rPr>
          <w:color w:val="auto"/>
          <w:szCs w:val="21"/>
        </w:rPr>
      </w:pPr>
      <w:r>
        <w:rPr>
          <w:rFonts w:eastAsia="黑体"/>
          <w:b/>
          <w:color w:val="auto"/>
          <w:szCs w:val="21"/>
        </w:rPr>
        <w:t>13.1.3</w:t>
      </w:r>
      <w:r>
        <w:rPr>
          <w:color w:val="auto"/>
          <w:szCs w:val="21"/>
        </w:rPr>
        <w:t xml:space="preserve">  采用无筋扩展基础的钢筋混凝土柱，其柱脚高度</w:t>
      </w:r>
      <w:r>
        <w:rPr>
          <w:i/>
          <w:color w:val="auto"/>
          <w:szCs w:val="21"/>
        </w:rPr>
        <w:t>h</w:t>
      </w:r>
      <w:r>
        <w:rPr>
          <w:color w:val="auto"/>
          <w:szCs w:val="21"/>
          <w:vertAlign w:val="subscript"/>
        </w:rPr>
        <w:t>1</w:t>
      </w:r>
      <w:r>
        <w:rPr>
          <w:color w:val="auto"/>
          <w:szCs w:val="21"/>
        </w:rPr>
        <w:t>不得小于</w:t>
      </w:r>
      <w:r>
        <w:rPr>
          <w:i/>
          <w:color w:val="auto"/>
          <w:szCs w:val="21"/>
        </w:rPr>
        <w:t>b</w:t>
      </w:r>
      <w:r>
        <w:rPr>
          <w:color w:val="auto"/>
          <w:szCs w:val="21"/>
          <w:vertAlign w:val="subscript"/>
        </w:rPr>
        <w:t>1</w:t>
      </w:r>
      <w:r>
        <w:rPr>
          <w:color w:val="auto"/>
          <w:szCs w:val="21"/>
        </w:rPr>
        <w:t>（图19），并不应小于300mm且不小于20d（d为柱中的纵向受力钢筋的最大直径）。当柱纵向钢筋在柱脚内的竖向锚固长度不满足锚固要求时，可沿水平方向弯折，弯折后的水平锚固长度不应小于10d也不应大于20d。</w:t>
      </w:r>
    </w:p>
    <w:p w14:paraId="3EF5240B">
      <w:pPr>
        <w:adjustRightInd w:val="0"/>
        <w:snapToGrid w:val="0"/>
        <w:spacing w:line="340" w:lineRule="atLeast"/>
        <w:rPr>
          <w:color w:val="auto"/>
          <w:szCs w:val="21"/>
        </w:rPr>
      </w:pPr>
      <w:r>
        <w:rPr>
          <w:rFonts w:eastAsia="黑体"/>
          <w:b/>
          <w:color w:val="auto"/>
          <w:szCs w:val="21"/>
        </w:rPr>
        <w:t>13.1.4</w:t>
      </w:r>
      <w:r>
        <w:rPr>
          <w:color w:val="auto"/>
          <w:szCs w:val="21"/>
        </w:rPr>
        <w:t xml:space="preserve">  无筋扩展基础，当基础下持力层主要范围内存在软弱土层或不均匀土层时应设置基础圈梁。</w:t>
      </w:r>
    </w:p>
    <w:p w14:paraId="47934B11">
      <w:pPr>
        <w:adjustRightInd w:val="0"/>
        <w:snapToGrid w:val="0"/>
        <w:spacing w:line="340" w:lineRule="atLeast"/>
        <w:rPr>
          <w:color w:val="auto"/>
          <w:szCs w:val="21"/>
        </w:rPr>
      </w:pPr>
      <w:r>
        <w:rPr>
          <w:rFonts w:eastAsia="黑体"/>
          <w:b/>
          <w:color w:val="auto"/>
          <w:szCs w:val="21"/>
        </w:rPr>
        <w:t>13.1.5</w:t>
      </w:r>
      <w:r>
        <w:rPr>
          <w:color w:val="auto"/>
          <w:szCs w:val="21"/>
        </w:rPr>
        <w:t xml:space="preserve">  扩展基础系指柱下钢筋混凝土独立基础和墙下钢筋混凝土条形基础。其构造应符合下列要求：</w:t>
      </w:r>
    </w:p>
    <w:p w14:paraId="1AAB107A">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锥形基础的边缘高度，不宜小于200mm；阶梯形基础的每阶高度，宜为300 mm～500mm；</w:t>
      </w:r>
    </w:p>
    <w:p w14:paraId="06625502">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垫层的厚度不宜小于70mm，垫层混凝土强度等级不应低于C15；</w:t>
      </w:r>
    </w:p>
    <w:p w14:paraId="38636EDB">
      <w:pPr>
        <w:adjustRightInd w:val="0"/>
        <w:snapToGrid w:val="0"/>
        <w:spacing w:line="340" w:lineRule="atLeast"/>
        <w:ind w:firstLine="422" w:firstLineChars="200"/>
        <w:rPr>
          <w:color w:val="auto"/>
          <w:szCs w:val="21"/>
        </w:rPr>
      </w:pPr>
      <w:r>
        <w:rPr>
          <w:rFonts w:eastAsia="黑体"/>
          <w:b/>
          <w:color w:val="auto"/>
          <w:szCs w:val="21"/>
        </w:rPr>
        <w:t>c)</w:t>
      </w:r>
      <w:r>
        <w:rPr>
          <w:color w:val="auto"/>
          <w:szCs w:val="21"/>
        </w:rPr>
        <w:t xml:space="preserve">  扩展基础</w:t>
      </w:r>
      <w:r>
        <w:rPr>
          <w:color w:val="auto"/>
          <w:kern w:val="0"/>
          <w:szCs w:val="21"/>
        </w:rPr>
        <w:t>受力钢筋最小配筋率不应小于0.15%，</w:t>
      </w:r>
      <w:r>
        <w:rPr>
          <w:color w:val="auto"/>
          <w:szCs w:val="21"/>
        </w:rPr>
        <w:t>底板受力钢筋的最小直径不宜小于10mm；间距不宜大于200mm，也不宜小于100mm。墙下钢筋混凝土条形基础纵向分布钢筋的直径不应小于8mm；间距不应大于300mm，每延米分布钢筋的面积不应小于受力钢筋面积的15%。当有垫层时钢筋保护层的厚度不应小于40mm，无垫层时不应小于70mm。</w:t>
      </w:r>
    </w:p>
    <w:p w14:paraId="4695674F">
      <w:pPr>
        <w:adjustRightInd w:val="0"/>
        <w:snapToGrid w:val="0"/>
        <w:spacing w:line="340" w:lineRule="atLeast"/>
        <w:ind w:firstLine="422" w:firstLineChars="200"/>
        <w:rPr>
          <w:color w:val="auto"/>
          <w:szCs w:val="21"/>
        </w:rPr>
      </w:pPr>
      <w:r>
        <w:rPr>
          <w:rFonts w:eastAsia="黑体"/>
          <w:b/>
          <w:color w:val="auto"/>
          <w:szCs w:val="21"/>
        </w:rPr>
        <w:t>d)</w:t>
      </w:r>
      <w:r>
        <w:rPr>
          <w:color w:val="auto"/>
          <w:szCs w:val="21"/>
        </w:rPr>
        <w:t xml:space="preserve">  混凝土强度等级不应低于C25；</w:t>
      </w:r>
    </w:p>
    <w:p w14:paraId="0CC8C87C">
      <w:pPr>
        <w:adjustRightInd w:val="0"/>
        <w:snapToGrid w:val="0"/>
        <w:spacing w:line="340" w:lineRule="atLeast"/>
        <w:ind w:firstLine="422" w:firstLineChars="200"/>
        <w:rPr>
          <w:color w:val="auto"/>
          <w:szCs w:val="21"/>
        </w:rPr>
      </w:pPr>
      <w:r>
        <w:rPr>
          <w:rFonts w:eastAsia="黑体"/>
          <w:b/>
          <w:color w:val="auto"/>
          <w:szCs w:val="21"/>
        </w:rPr>
        <w:t>e)</w:t>
      </w:r>
      <w:r>
        <w:rPr>
          <w:color w:val="auto"/>
          <w:szCs w:val="21"/>
        </w:rPr>
        <w:t xml:space="preserve">  当柱下钢筋混凝土独立基础的边长和墙下钢筋混凝土条形基础的宽度大于或等于2.5m时，底板受力钢筋的长度可取边长（或宽度）的0.9倍，并交错布置（图20</w:t>
      </w:r>
      <w:r>
        <w:rPr>
          <w:i/>
          <w:color w:val="auto"/>
          <w:szCs w:val="21"/>
        </w:rPr>
        <w:t>a</w:t>
      </w:r>
      <w:r>
        <w:rPr>
          <w:color w:val="auto"/>
          <w:szCs w:val="21"/>
        </w:rPr>
        <w:t>）；</w:t>
      </w:r>
    </w:p>
    <w:p w14:paraId="10BE9D04">
      <w:pPr>
        <w:adjustRightInd w:val="0"/>
        <w:snapToGrid w:val="0"/>
        <w:spacing w:line="340" w:lineRule="atLeast"/>
        <w:ind w:firstLine="422" w:firstLineChars="200"/>
        <w:rPr>
          <w:color w:val="auto"/>
          <w:szCs w:val="21"/>
        </w:rPr>
      </w:pPr>
      <w:r>
        <w:rPr>
          <w:rFonts w:eastAsia="黑体"/>
          <w:b/>
          <w:color w:val="auto"/>
          <w:szCs w:val="21"/>
        </w:rPr>
        <w:t>f)</w:t>
      </w:r>
      <w:r>
        <w:rPr>
          <w:color w:val="auto"/>
          <w:szCs w:val="21"/>
        </w:rPr>
        <w:t xml:space="preserve">  钢筋混凝土条形基础底板在T形及十字形交接处，底板横向受力钢筋可仅沿一个主要受力方向通长布置，另一方向的横向受力钢筋可布置到主要受力方向底板宽度1/4处（图20</w:t>
      </w:r>
      <w:r>
        <w:rPr>
          <w:i/>
          <w:color w:val="auto"/>
          <w:szCs w:val="21"/>
        </w:rPr>
        <w:t>b</w:t>
      </w:r>
      <w:r>
        <w:rPr>
          <w:color w:val="auto"/>
          <w:szCs w:val="21"/>
        </w:rPr>
        <w:t>）。在拐角处底板横向受力钢筋应沿两个方向布置（图20</w:t>
      </w:r>
      <w:r>
        <w:rPr>
          <w:i/>
          <w:color w:val="auto"/>
          <w:szCs w:val="21"/>
        </w:rPr>
        <w:t>c</w:t>
      </w:r>
      <w:r>
        <w:rPr>
          <w:color w:val="auto"/>
          <w:szCs w:val="21"/>
        </w:rPr>
        <w:t>）。</w:t>
      </w:r>
    </w:p>
    <w:p w14:paraId="6CA186DB">
      <w:pPr>
        <w:adjustRightInd w:val="0"/>
        <w:snapToGrid w:val="0"/>
        <w:spacing w:before="156" w:beforeLines="50" w:line="360" w:lineRule="atLeast"/>
        <w:jc w:val="center"/>
        <w:rPr>
          <w:color w:val="auto"/>
          <w:szCs w:val="21"/>
        </w:rPr>
      </w:pPr>
      <w:r>
        <w:rPr>
          <w:color w:val="auto"/>
        </w:rPr>
        <w:drawing>
          <wp:inline distT="0" distB="0" distL="0" distR="0">
            <wp:extent cx="3695700" cy="2238375"/>
            <wp:effectExtent l="0" t="0" r="0" b="952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a:xfrm>
                      <a:off x="0" y="0"/>
                      <a:ext cx="3695700" cy="2238375"/>
                    </a:xfrm>
                    <a:prstGeom prst="rect">
                      <a:avLst/>
                    </a:prstGeom>
                    <a:noFill/>
                    <a:ln>
                      <a:noFill/>
                    </a:ln>
                  </pic:spPr>
                </pic:pic>
              </a:graphicData>
            </a:graphic>
          </wp:inline>
        </w:drawing>
      </w:r>
    </w:p>
    <w:p w14:paraId="2F55EDB7">
      <w:pPr>
        <w:adjustRightInd w:val="0"/>
        <w:snapToGrid w:val="0"/>
        <w:jc w:val="center"/>
        <w:rPr>
          <w:b/>
          <w:color w:val="auto"/>
          <w:sz w:val="18"/>
          <w:szCs w:val="18"/>
        </w:rPr>
      </w:pPr>
      <w:r>
        <w:rPr>
          <w:b/>
          <w:color w:val="auto"/>
          <w:sz w:val="18"/>
          <w:szCs w:val="18"/>
        </w:rPr>
        <w:t>图20  扩展基础底板受力钢筋布置示意</w:t>
      </w:r>
    </w:p>
    <w:p w14:paraId="51CCB68E">
      <w:pPr>
        <w:adjustRightInd w:val="0"/>
        <w:snapToGrid w:val="0"/>
        <w:spacing w:before="120" w:line="340" w:lineRule="atLeast"/>
        <w:ind w:firstLine="422" w:firstLineChars="200"/>
        <w:rPr>
          <w:color w:val="auto"/>
          <w:szCs w:val="21"/>
        </w:rPr>
      </w:pPr>
      <w:r>
        <w:rPr>
          <w:rFonts w:eastAsia="黑体"/>
          <w:b/>
          <w:color w:val="auto"/>
          <w:szCs w:val="21"/>
        </w:rPr>
        <w:t>g)</w:t>
      </w:r>
      <w:r>
        <w:rPr>
          <w:color w:val="auto"/>
          <w:szCs w:val="21"/>
        </w:rPr>
        <w:t xml:space="preserve">  柱下钢筋混凝土独立基础底面宜为正方形或矩形平面，基础底面从柱截面边缘每边伸出的长度不宜相差过大。</w:t>
      </w:r>
    </w:p>
    <w:p w14:paraId="3A143389">
      <w:pPr>
        <w:adjustRightInd w:val="0"/>
        <w:snapToGrid w:val="0"/>
        <w:spacing w:line="340" w:lineRule="atLeast"/>
        <w:rPr>
          <w:color w:val="auto"/>
          <w:szCs w:val="21"/>
        </w:rPr>
      </w:pPr>
      <w:r>
        <w:rPr>
          <w:rFonts w:eastAsia="黑体"/>
          <w:b/>
          <w:color w:val="auto"/>
          <w:szCs w:val="21"/>
        </w:rPr>
        <w:t>13.1.6</w:t>
      </w:r>
      <w:r>
        <w:rPr>
          <w:color w:val="auto"/>
          <w:szCs w:val="21"/>
        </w:rPr>
        <w:t xml:space="preserve">  钢筋混凝土柱和剪力墙纵向受力钢筋在基础内的锚固长度</w:t>
      </w:r>
      <w:r>
        <w:rPr>
          <w:color w:val="auto"/>
          <w:position w:val="-12"/>
          <w:szCs w:val="21"/>
        </w:rPr>
        <w:object>
          <v:shape id="_x0000_i1506" o:spt="75" type="#_x0000_t75" style="height:21.75pt;width:8.25pt;" o:ole="t" filled="f" o:preferrelative="t" stroked="f" coordsize="21600,21600">
            <v:path/>
            <v:fill on="f" focussize="0,0"/>
            <v:stroke on="f" joinstyle="miter"/>
            <v:imagedata r:id="rId941" o:title=""/>
            <o:lock v:ext="edit" aspectratio="t"/>
            <w10:wrap type="none"/>
            <w10:anchorlock/>
          </v:shape>
          <o:OLEObject Type="Embed" ProgID="Equation.DSMT4" ShapeID="_x0000_i1506" DrawAspect="Content" ObjectID="_1468076206" r:id="rId940">
            <o:LockedField>false</o:LockedField>
          </o:OLEObject>
        </w:object>
      </w:r>
      <w:r>
        <w:rPr>
          <w:color w:val="auto"/>
          <w:szCs w:val="21"/>
        </w:rPr>
        <w:t>应根据钢筋在基础内的最小保护层厚度按现行GB/T</w:t>
      </w:r>
      <w:r>
        <w:rPr>
          <w:rFonts w:hint="eastAsia"/>
          <w:color w:val="auto"/>
          <w:szCs w:val="21"/>
          <w:lang w:val="en-US" w:eastAsia="zh-CN"/>
        </w:rPr>
        <w:t xml:space="preserve"> </w:t>
      </w:r>
      <w:r>
        <w:rPr>
          <w:color w:val="auto"/>
          <w:szCs w:val="21"/>
        </w:rPr>
        <w:t>50010有关规定确定：</w:t>
      </w:r>
    </w:p>
    <w:p w14:paraId="6D9CAAC9">
      <w:pPr>
        <w:adjustRightInd w:val="0"/>
        <w:snapToGrid w:val="0"/>
        <w:spacing w:line="340" w:lineRule="atLeast"/>
        <w:ind w:firstLine="420" w:firstLineChars="200"/>
        <w:rPr>
          <w:color w:val="auto"/>
          <w:szCs w:val="21"/>
        </w:rPr>
      </w:pPr>
      <w:r>
        <w:rPr>
          <w:color w:val="auto"/>
          <w:szCs w:val="21"/>
        </w:rPr>
        <w:t>有抗震设防要求时，纵向受力钢筋的最小锚固长度</w:t>
      </w:r>
      <w:r>
        <w:rPr>
          <w:color w:val="auto"/>
          <w:position w:val="-12"/>
          <w:szCs w:val="21"/>
        </w:rPr>
        <w:object>
          <v:shape id="_x0000_i1507" o:spt="75" type="#_x0000_t75" style="height:21.75pt;width:15pt;" o:ole="t" filled="f" o:preferrelative="t" stroked="f" coordsize="21600,21600">
            <v:path/>
            <v:fill on="f" focussize="0,0"/>
            <v:stroke on="f" joinstyle="miter"/>
            <v:imagedata r:id="rId943" o:title=""/>
            <o:lock v:ext="edit" aspectratio="t"/>
            <w10:wrap type="none"/>
            <w10:anchorlock/>
          </v:shape>
          <o:OLEObject Type="Embed" ProgID="Equation.DSMT4" ShapeID="_x0000_i1507" DrawAspect="Content" ObjectID="_1468076207" r:id="rId942">
            <o:LockedField>false</o:LockedField>
          </o:OLEObject>
        </w:object>
      </w:r>
      <w:r>
        <w:rPr>
          <w:color w:val="auto"/>
          <w:szCs w:val="21"/>
        </w:rPr>
        <w:t>应按</w:t>
      </w:r>
      <w:r>
        <w:rPr>
          <w:rFonts w:hint="eastAsia"/>
          <w:color w:val="auto"/>
          <w:lang w:val="en-US" w:eastAsia="zh-CN"/>
        </w:rPr>
        <w:t>公式（102）~（104）</w:t>
      </w:r>
      <w:r>
        <w:rPr>
          <w:color w:val="auto"/>
          <w:szCs w:val="21"/>
        </w:rPr>
        <w:t>计算：</w:t>
      </w:r>
    </w:p>
    <w:p w14:paraId="7EFD0564">
      <w:pPr>
        <w:adjustRightInd w:val="0"/>
        <w:snapToGrid w:val="0"/>
        <w:spacing w:line="340" w:lineRule="atLeast"/>
        <w:ind w:firstLine="420" w:firstLineChars="200"/>
        <w:rPr>
          <w:color w:val="auto"/>
          <w:szCs w:val="21"/>
        </w:rPr>
      </w:pPr>
      <w:r>
        <w:rPr>
          <w:color w:val="auto"/>
          <w:szCs w:val="21"/>
        </w:rPr>
        <w:t>一、二级抗震等级</w:t>
      </w:r>
    </w:p>
    <w:p w14:paraId="300F1FEF">
      <w:pPr>
        <w:pStyle w:val="12"/>
        <w:jc w:val="right"/>
        <w:rPr>
          <w:color w:val="auto"/>
          <w:szCs w:val="21"/>
        </w:rPr>
      </w:pPr>
      <w:r>
        <w:rPr>
          <w:color w:val="auto"/>
          <w:position w:val="-12"/>
          <w:szCs w:val="21"/>
        </w:rPr>
        <w:object>
          <v:shape id="_x0000_i1508" o:spt="75" type="#_x0000_t75" style="height:21.75pt;width:15pt;" o:ole="t" filled="f" o:preferrelative="t" stroked="f" coordsize="21600,21600">
            <v:path/>
            <v:fill on="f" focussize="0,0"/>
            <v:stroke on="f" joinstyle="miter"/>
            <v:imagedata r:id="rId945" o:title=""/>
            <o:lock v:ext="edit" aspectratio="t"/>
            <w10:wrap type="none"/>
            <w10:anchorlock/>
          </v:shape>
          <o:OLEObject Type="Embed" ProgID="Equation.DSMT4" ShapeID="_x0000_i1508" DrawAspect="Content" ObjectID="_1468076208" r:id="rId944">
            <o:LockedField>false</o:LockedField>
          </o:OLEObject>
        </w:object>
      </w:r>
      <w:r>
        <w:rPr>
          <w:color w:val="auto"/>
          <w:szCs w:val="21"/>
        </w:rPr>
        <w:t>=1.15</w:t>
      </w:r>
      <w:r>
        <w:rPr>
          <w:color w:val="auto"/>
          <w:position w:val="-12"/>
          <w:szCs w:val="21"/>
        </w:rPr>
        <w:object>
          <v:shape id="_x0000_i1509" o:spt="75" type="#_x0000_t75" style="height:21.75pt;width:8.25pt;" o:ole="t" filled="f" o:preferrelative="t" stroked="f" coordsize="21600,21600">
            <v:path/>
            <v:fill on="f" focussize="0,0"/>
            <v:stroke on="f" joinstyle="miter"/>
            <v:imagedata r:id="rId947" o:title=""/>
            <o:lock v:ext="edit" aspectratio="t"/>
            <w10:wrap type="none"/>
            <w10:anchorlock/>
          </v:shape>
          <o:OLEObject Type="Embed" ProgID="Equation.DSMT4" ShapeID="_x0000_i1509" DrawAspect="Content" ObjectID="_1468076209" r:id="rId946">
            <o:LockedField>false</o:LockedField>
          </o:OLEObject>
        </w:object>
      </w:r>
      <w:r>
        <w:rPr>
          <w:color w:val="auto"/>
          <w:szCs w:val="21"/>
          <w:vertAlign w:val="super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102</w:t>
      </w:r>
      <w:r>
        <w:rPr>
          <w:color w:val="auto"/>
          <w:szCs w:val="21"/>
        </w:rPr>
        <w:fldChar w:fldCharType="end"/>
      </w:r>
      <w:r>
        <w:rPr>
          <w:color w:val="auto"/>
          <w:szCs w:val="21"/>
        </w:rPr>
        <w:t>)</w:t>
      </w:r>
    </w:p>
    <w:p w14:paraId="3451E948">
      <w:pPr>
        <w:adjustRightInd w:val="0"/>
        <w:snapToGrid w:val="0"/>
        <w:spacing w:line="340" w:lineRule="atLeast"/>
        <w:ind w:firstLine="420" w:firstLineChars="200"/>
        <w:rPr>
          <w:color w:val="auto"/>
          <w:szCs w:val="21"/>
        </w:rPr>
      </w:pPr>
      <w:r>
        <w:rPr>
          <w:color w:val="auto"/>
          <w:szCs w:val="21"/>
        </w:rPr>
        <w:t>三级抗震等级</w:t>
      </w:r>
    </w:p>
    <w:p w14:paraId="3CC87D9F">
      <w:pPr>
        <w:pStyle w:val="12"/>
        <w:jc w:val="right"/>
        <w:rPr>
          <w:color w:val="auto"/>
          <w:szCs w:val="21"/>
        </w:rPr>
      </w:pPr>
      <w:r>
        <w:rPr>
          <w:color w:val="auto"/>
          <w:szCs w:val="21"/>
        </w:rPr>
        <w:t xml:space="preserve">   </w:t>
      </w:r>
      <w:r>
        <w:rPr>
          <w:color w:val="auto"/>
          <w:position w:val="-12"/>
          <w:szCs w:val="21"/>
        </w:rPr>
        <w:object>
          <v:shape id="_x0000_i1510" o:spt="75" type="#_x0000_t75" style="height:21.75pt;width:15pt;" o:ole="t" filled="f" o:preferrelative="t" stroked="f" coordsize="21600,21600">
            <v:path/>
            <v:fill on="f" focussize="0,0"/>
            <v:stroke on="f" joinstyle="miter"/>
            <v:imagedata r:id="rId949" o:title=""/>
            <o:lock v:ext="edit" aspectratio="t"/>
            <w10:wrap type="none"/>
            <w10:anchorlock/>
          </v:shape>
          <o:OLEObject Type="Embed" ProgID="Equation.DSMT4" ShapeID="_x0000_i1510" DrawAspect="Content" ObjectID="_1468076210" r:id="rId948">
            <o:LockedField>false</o:LockedField>
          </o:OLEObject>
        </w:object>
      </w:r>
      <w:r>
        <w:rPr>
          <w:color w:val="auto"/>
          <w:szCs w:val="21"/>
        </w:rPr>
        <w:t>=1.05</w:t>
      </w:r>
      <w:r>
        <w:rPr>
          <w:color w:val="auto"/>
          <w:position w:val="-12"/>
          <w:szCs w:val="21"/>
        </w:rPr>
        <w:object>
          <v:shape id="_x0000_i1511" o:spt="75" type="#_x0000_t75" style="height:21.75pt;width:8.25pt;" o:ole="t" filled="f" o:preferrelative="t" stroked="f" coordsize="21600,21600">
            <v:path/>
            <v:fill on="f" focussize="0,0"/>
            <v:stroke on="f" joinstyle="miter"/>
            <v:imagedata r:id="rId947" o:title=""/>
            <o:lock v:ext="edit" aspectratio="t"/>
            <w10:wrap type="none"/>
            <w10:anchorlock/>
          </v:shape>
          <o:OLEObject Type="Embed" ProgID="Equation.DSMT4" ShapeID="_x0000_i1511" DrawAspect="Content" ObjectID="_1468076211" r:id="rId950">
            <o:LockedField>false</o:LockedField>
          </o:OLEObject>
        </w:object>
      </w:r>
      <w:r>
        <w:rPr>
          <w:color w:val="auto"/>
          <w:szCs w:val="21"/>
          <w:vertAlign w:val="super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103</w:t>
      </w:r>
      <w:r>
        <w:rPr>
          <w:color w:val="auto"/>
          <w:szCs w:val="21"/>
        </w:rPr>
        <w:fldChar w:fldCharType="end"/>
      </w:r>
      <w:r>
        <w:rPr>
          <w:color w:val="auto"/>
          <w:szCs w:val="21"/>
        </w:rPr>
        <w:t>)</w:t>
      </w:r>
    </w:p>
    <w:p w14:paraId="42A4BB0C">
      <w:pPr>
        <w:adjustRightInd w:val="0"/>
        <w:snapToGrid w:val="0"/>
        <w:spacing w:line="340" w:lineRule="atLeast"/>
        <w:ind w:firstLine="420" w:firstLineChars="200"/>
        <w:rPr>
          <w:color w:val="auto"/>
          <w:szCs w:val="21"/>
        </w:rPr>
      </w:pPr>
      <w:r>
        <w:rPr>
          <w:color w:val="auto"/>
          <w:szCs w:val="21"/>
        </w:rPr>
        <w:t>四级抗震等级</w:t>
      </w:r>
    </w:p>
    <w:p w14:paraId="41D05C0B">
      <w:pPr>
        <w:pStyle w:val="12"/>
        <w:jc w:val="right"/>
        <w:rPr>
          <w:color w:val="auto"/>
          <w:szCs w:val="21"/>
        </w:rPr>
      </w:pPr>
      <w:r>
        <w:rPr>
          <w:color w:val="auto"/>
          <w:position w:val="-12"/>
          <w:szCs w:val="21"/>
        </w:rPr>
        <w:object>
          <v:shape id="_x0000_i1512" o:spt="75" type="#_x0000_t75" style="height:21.75pt;width:15pt;" o:ole="t" filled="f" o:preferrelative="t" stroked="f" coordsize="21600,21600">
            <v:path/>
            <v:fill on="f" focussize="0,0"/>
            <v:stroke on="f" joinstyle="miter"/>
            <v:imagedata r:id="rId952" o:title=""/>
            <o:lock v:ext="edit" aspectratio="t"/>
            <w10:wrap type="none"/>
            <w10:anchorlock/>
          </v:shape>
          <o:OLEObject Type="Embed" ProgID="Equation.DSMT4" ShapeID="_x0000_i1512" DrawAspect="Content" ObjectID="_1468076212" r:id="rId951">
            <o:LockedField>false</o:LockedField>
          </o:OLEObject>
        </w:object>
      </w:r>
      <w:r>
        <w:rPr>
          <w:color w:val="auto"/>
          <w:szCs w:val="21"/>
        </w:rPr>
        <w:t>=</w:t>
      </w:r>
      <w:r>
        <w:rPr>
          <w:color w:val="auto"/>
          <w:position w:val="-12"/>
          <w:szCs w:val="21"/>
        </w:rPr>
        <w:object>
          <v:shape id="_x0000_i1513" o:spt="75" type="#_x0000_t75" style="height:21.75pt;width:8.25pt;" o:ole="t" filled="f" o:preferrelative="t" stroked="f" coordsize="21600,21600">
            <v:path/>
            <v:fill on="f" focussize="0,0"/>
            <v:stroke on="f" joinstyle="miter"/>
            <v:imagedata r:id="rId947" o:title=""/>
            <o:lock v:ext="edit" aspectratio="t"/>
            <w10:wrap type="none"/>
            <w10:anchorlock/>
          </v:shape>
          <o:OLEObject Type="Embed" ProgID="Equation.DSMT4" ShapeID="_x0000_i1513" DrawAspect="Content" ObjectID="_1468076213" r:id="rId953">
            <o:LockedField>false</o:LockedField>
          </o:OLEObject>
        </w:object>
      </w:r>
      <w:r>
        <w:rPr>
          <w:color w:val="auto"/>
          <w:szCs w:val="21"/>
          <w:vertAlign w:val="super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104</w:t>
      </w:r>
      <w:r>
        <w:rPr>
          <w:color w:val="auto"/>
          <w:szCs w:val="21"/>
        </w:rPr>
        <w:fldChar w:fldCharType="end"/>
      </w:r>
      <w:r>
        <w:rPr>
          <w:color w:val="auto"/>
          <w:szCs w:val="21"/>
        </w:rPr>
        <w:t>)</w:t>
      </w:r>
    </w:p>
    <w:p w14:paraId="38DA7397">
      <w:pPr>
        <w:adjustRightInd w:val="0"/>
        <w:snapToGrid w:val="0"/>
        <w:spacing w:before="120" w:line="340" w:lineRule="atLeast"/>
        <w:rPr>
          <w:color w:val="auto"/>
          <w:szCs w:val="21"/>
        </w:rPr>
      </w:pPr>
      <w:r>
        <w:rPr>
          <w:color w:val="auto"/>
          <w:szCs w:val="21"/>
        </w:rPr>
        <w:t xml:space="preserve">式中  </w:t>
      </w:r>
      <w:r>
        <w:rPr>
          <w:color w:val="auto"/>
          <w:position w:val="-12"/>
          <w:szCs w:val="21"/>
        </w:rPr>
        <w:object>
          <v:shape id="_x0000_i1514" o:spt="75" type="#_x0000_t75" style="height:21.75pt;width:8.25pt;" o:ole="t" filled="f" o:preferrelative="t" stroked="f" coordsize="21600,21600">
            <v:path/>
            <v:fill on="f" focussize="0,0"/>
            <v:stroke on="f" joinstyle="miter"/>
            <v:imagedata r:id="rId947" o:title=""/>
            <o:lock v:ext="edit" aspectratio="t"/>
            <w10:wrap type="none"/>
            <w10:anchorlock/>
          </v:shape>
          <o:OLEObject Type="Embed" ProgID="Equation.DSMT4" ShapeID="_x0000_i1514" DrawAspect="Content" ObjectID="_1468076214" r:id="rId954">
            <o:LockedField>false</o:LockedField>
          </o:OLEObject>
        </w:object>
      </w:r>
      <w:r>
        <w:rPr>
          <w:color w:val="auto"/>
          <w:szCs w:val="21"/>
        </w:rPr>
        <w:t>——纵向受拉钢筋的锚固长度。</w:t>
      </w:r>
    </w:p>
    <w:p w14:paraId="71922E52">
      <w:pPr>
        <w:adjustRightInd w:val="0"/>
        <w:snapToGrid w:val="0"/>
        <w:spacing w:before="120" w:line="340" w:lineRule="atLeast"/>
        <w:ind w:firstLine="420" w:firstLineChars="200"/>
        <w:rPr>
          <w:color w:val="auto"/>
          <w:szCs w:val="21"/>
        </w:rPr>
      </w:pPr>
      <w:r>
        <w:rPr>
          <w:color w:val="auto"/>
        </w:rPr>
        <w:t>当基础高度小于</w:t>
      </w:r>
      <w:r>
        <w:rPr>
          <w:i/>
          <w:color w:val="auto"/>
        </w:rPr>
        <w:t>l</w:t>
      </w:r>
      <w:r>
        <w:rPr>
          <w:color w:val="auto"/>
          <w:vertAlign w:val="subscript"/>
        </w:rPr>
        <w:t>a</w:t>
      </w:r>
      <w:r>
        <w:rPr>
          <w:color w:val="auto"/>
        </w:rPr>
        <w:t>（</w:t>
      </w:r>
      <w:r>
        <w:rPr>
          <w:i/>
          <w:color w:val="auto"/>
        </w:rPr>
        <w:t>l</w:t>
      </w:r>
      <w:r>
        <w:rPr>
          <w:color w:val="auto"/>
          <w:vertAlign w:val="subscript"/>
        </w:rPr>
        <w:t>aE</w:t>
      </w:r>
      <w:r>
        <w:rPr>
          <w:color w:val="auto"/>
        </w:rPr>
        <w:t>）时，纵向受力钢筋的锚固总长度除符合上述要求外，其最小直锚段的长度应≥20d，弯折段的长度不应小于150㎜。</w:t>
      </w:r>
    </w:p>
    <w:p w14:paraId="27635EDD">
      <w:pPr>
        <w:adjustRightInd w:val="0"/>
        <w:snapToGrid w:val="0"/>
        <w:spacing w:line="340" w:lineRule="atLeast"/>
        <w:rPr>
          <w:color w:val="auto"/>
          <w:szCs w:val="21"/>
        </w:rPr>
      </w:pPr>
      <w:r>
        <w:rPr>
          <w:rFonts w:eastAsia="黑体"/>
          <w:b/>
          <w:color w:val="auto"/>
          <w:szCs w:val="21"/>
        </w:rPr>
        <w:t>13.1.7</w:t>
      </w:r>
      <w:r>
        <w:rPr>
          <w:color w:val="auto"/>
          <w:szCs w:val="21"/>
        </w:rPr>
        <w:t xml:space="preserve">  现浇柱的基础，其插筋的数量、直径以及钢筋种类应与柱内纵向受力钢筋相同。插筋的锚固长度应满足本文件第13.1.6条的要求，插筋与柱的纵向受力钢筋的连接方法，应符合GB</w:t>
      </w:r>
      <w:r>
        <w:rPr>
          <w:rFonts w:hint="eastAsia"/>
          <w:color w:val="auto"/>
          <w:szCs w:val="21"/>
        </w:rPr>
        <w:t xml:space="preserve"> </w:t>
      </w:r>
      <w:r>
        <w:rPr>
          <w:color w:val="auto"/>
          <w:szCs w:val="21"/>
        </w:rPr>
        <w:t>50010的规定。插筋的下端宜做成直钩放在基础底板钢筋网上，</w:t>
      </w:r>
      <w:r>
        <w:rPr>
          <w:color w:val="auto"/>
        </w:rPr>
        <w:t>弯折段的水平长度不应小于150㎜。</w:t>
      </w:r>
      <w:r>
        <w:rPr>
          <w:color w:val="auto"/>
          <w:szCs w:val="21"/>
        </w:rPr>
        <w:t>当符合下列条件之一时，可仅将四角的插筋伸至底板钢筋网上，其余插筋锚固在基础顶面下</w:t>
      </w:r>
      <w:r>
        <w:rPr>
          <w:color w:val="auto"/>
          <w:position w:val="-12"/>
          <w:szCs w:val="21"/>
        </w:rPr>
        <w:object>
          <v:shape id="_x0000_i1515" o:spt="75" type="#_x0000_t75" style="height:21.75pt;width:8.25pt;" o:ole="t" filled="f" o:preferrelative="t" stroked="f" coordsize="21600,21600">
            <v:path/>
            <v:fill on="f" focussize="0,0"/>
            <v:stroke on="f" joinstyle="miter"/>
            <v:imagedata r:id="rId956" o:title=""/>
            <o:lock v:ext="edit" aspectratio="t"/>
            <w10:wrap type="none"/>
            <w10:anchorlock/>
          </v:shape>
          <o:OLEObject Type="Embed" ProgID="Equation.DSMT4" ShapeID="_x0000_i1515" DrawAspect="Content" ObjectID="_1468076215" r:id="rId955">
            <o:LockedField>false</o:LockedField>
          </o:OLEObject>
        </w:object>
      </w:r>
      <w:r>
        <w:rPr>
          <w:color w:val="auto"/>
          <w:szCs w:val="21"/>
        </w:rPr>
        <w:t>或</w:t>
      </w:r>
      <w:r>
        <w:rPr>
          <w:color w:val="auto"/>
          <w:position w:val="-12"/>
          <w:szCs w:val="21"/>
        </w:rPr>
        <w:object>
          <v:shape id="_x0000_i1516" o:spt="75" type="#_x0000_t75" style="height:21.75pt;width:15pt;" o:ole="t" filled="f" o:preferrelative="t" stroked="f" coordsize="21600,21600">
            <v:path/>
            <v:fill on="f" focussize="0,0"/>
            <v:stroke on="f" joinstyle="miter"/>
            <v:imagedata r:id="rId958" o:title=""/>
            <o:lock v:ext="edit" aspectratio="t"/>
            <w10:wrap type="none"/>
            <w10:anchorlock/>
          </v:shape>
          <o:OLEObject Type="Embed" ProgID="Equation.DSMT4" ShapeID="_x0000_i1516" DrawAspect="Content" ObjectID="_1468076216" r:id="rId957">
            <o:LockedField>false</o:LockedField>
          </o:OLEObject>
        </w:object>
      </w:r>
      <w:r>
        <w:rPr>
          <w:color w:val="auto"/>
          <w:szCs w:val="21"/>
        </w:rPr>
        <w:t>（有抗震设防要求时）处（图21）。</w:t>
      </w:r>
    </w:p>
    <w:p w14:paraId="5C26F3EF">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柱为轴心受压或小偏心受压，基础高度不小于1200mm；</w:t>
      </w:r>
    </w:p>
    <w:p w14:paraId="6999825E">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柱为大偏心受压，基础高度不小于1400mm。</w:t>
      </w:r>
    </w:p>
    <w:p w14:paraId="7AAF3913">
      <w:pPr>
        <w:adjustRightInd w:val="0"/>
        <w:snapToGrid w:val="0"/>
        <w:spacing w:before="240" w:line="300" w:lineRule="atLeast"/>
        <w:jc w:val="center"/>
        <w:rPr>
          <w:color w:val="auto"/>
          <w:szCs w:val="21"/>
        </w:rPr>
      </w:pPr>
      <w:r>
        <w:rPr>
          <w:color w:val="auto"/>
          <w:sz w:val="18"/>
          <w:szCs w:val="18"/>
        </w:rPr>
        <w:drawing>
          <wp:inline distT="0" distB="0" distL="0" distR="0">
            <wp:extent cx="2324100" cy="1000125"/>
            <wp:effectExtent l="0" t="0" r="0" b="952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a:xfrm>
                      <a:off x="0" y="0"/>
                      <a:ext cx="2324100" cy="1000125"/>
                    </a:xfrm>
                    <a:prstGeom prst="rect">
                      <a:avLst/>
                    </a:prstGeom>
                    <a:noFill/>
                    <a:ln>
                      <a:noFill/>
                    </a:ln>
                  </pic:spPr>
                </pic:pic>
              </a:graphicData>
            </a:graphic>
          </wp:inline>
        </w:drawing>
      </w:r>
    </w:p>
    <w:p w14:paraId="5A36B7FB">
      <w:pPr>
        <w:adjustRightInd w:val="0"/>
        <w:snapToGrid w:val="0"/>
        <w:spacing w:line="320" w:lineRule="atLeast"/>
        <w:jc w:val="center"/>
        <w:rPr>
          <w:b/>
          <w:color w:val="auto"/>
          <w:sz w:val="18"/>
          <w:szCs w:val="18"/>
        </w:rPr>
      </w:pPr>
      <w:r>
        <w:rPr>
          <w:b/>
          <w:color w:val="auto"/>
          <w:sz w:val="18"/>
          <w:szCs w:val="18"/>
        </w:rPr>
        <w:t>图21  现浇柱的基础中插筋构造示意</w:t>
      </w:r>
    </w:p>
    <w:p w14:paraId="1B68FD7F">
      <w:pPr>
        <w:adjustRightInd w:val="0"/>
        <w:snapToGrid w:val="0"/>
        <w:spacing w:before="240" w:line="340" w:lineRule="atLeast"/>
        <w:rPr>
          <w:color w:val="auto"/>
          <w:szCs w:val="21"/>
        </w:rPr>
      </w:pPr>
      <w:r>
        <w:rPr>
          <w:rFonts w:eastAsia="黑体"/>
          <w:b/>
          <w:color w:val="auto"/>
          <w:szCs w:val="21"/>
        </w:rPr>
        <w:t>13.1.8</w:t>
      </w:r>
      <w:r>
        <w:rPr>
          <w:color w:val="auto"/>
          <w:szCs w:val="21"/>
        </w:rPr>
        <w:t xml:space="preserve">  现浇钢筋混凝土柱通过短柱与基础连接（图22），当同时满足下列条件时，短柱顶可作为现浇钢筋混凝土柱计算的固定端支座：</w:t>
      </w:r>
    </w:p>
    <w:p w14:paraId="75AF556D">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短柱高度</w:t>
      </w:r>
      <w:r>
        <w:rPr>
          <w:i/>
          <w:color w:val="auto"/>
          <w:szCs w:val="21"/>
        </w:rPr>
        <w:t>H</w:t>
      </w:r>
      <w:r>
        <w:rPr>
          <w:color w:val="auto"/>
          <w:szCs w:val="21"/>
        </w:rPr>
        <w:t>≤5m</w:t>
      </w:r>
    </w:p>
    <w:p w14:paraId="3ED2B58B">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w:t>
      </w:r>
      <w:r>
        <w:rPr>
          <w:color w:val="auto"/>
          <w:position w:val="-12"/>
          <w:szCs w:val="21"/>
        </w:rPr>
        <w:object>
          <v:shape id="_x0000_i1517" o:spt="75" type="#_x0000_t75" style="height:21.75pt;width:43.5pt;" o:ole="t" filled="f" o:preferrelative="t" stroked="f" coordsize="21600,21600">
            <v:path/>
            <v:fill on="f" focussize="0,0"/>
            <v:stroke on="f" joinstyle="miter"/>
            <v:imagedata r:id="rId961" o:title=""/>
            <o:lock v:ext="edit" aspectratio="t"/>
            <w10:wrap type="none"/>
            <w10:anchorlock/>
          </v:shape>
          <o:OLEObject Type="Embed" ProgID="Equation.DSMT4" ShapeID="_x0000_i1517" DrawAspect="Content" ObjectID="_1468076217" r:id="rId960">
            <o:LockedField>false</o:LockedField>
          </o:OLEObject>
        </w:object>
      </w:r>
      <w:r>
        <w:rPr>
          <w:color w:val="auto"/>
          <w:szCs w:val="21"/>
        </w:rPr>
        <w:t>≥10</w:t>
      </w:r>
    </w:p>
    <w:p w14:paraId="484F7AEE">
      <w:pPr>
        <w:adjustRightInd w:val="0"/>
        <w:snapToGrid w:val="0"/>
        <w:spacing w:line="340" w:lineRule="atLeast"/>
        <w:rPr>
          <w:color w:val="auto"/>
          <w:szCs w:val="21"/>
        </w:rPr>
      </w:pPr>
      <w:r>
        <w:rPr>
          <w:color w:val="auto"/>
          <w:szCs w:val="21"/>
        </w:rPr>
        <w:t xml:space="preserve">式中  </w:t>
      </w:r>
      <w:r>
        <w:rPr>
          <w:color w:val="auto"/>
          <w:position w:val="-12"/>
        </w:rPr>
        <w:object>
          <v:shape id="_x0000_i1518" o:spt="75" type="#_x0000_t75" style="height:21.75pt;width:15pt;" o:ole="t" filled="f" o:preferrelative="t" stroked="f" coordsize="21600,21600">
            <v:path/>
            <v:fill on="f" focussize="0,0"/>
            <v:stroke on="f" joinstyle="miter"/>
            <v:imagedata r:id="rId963" o:title=""/>
            <o:lock v:ext="edit" aspectratio="t"/>
            <w10:wrap type="none"/>
            <w10:anchorlock/>
          </v:shape>
          <o:OLEObject Type="Embed" ProgID="Equation.DSMT4" ShapeID="_x0000_i1518" DrawAspect="Content" ObjectID="_1468076218" r:id="rId962">
            <o:LockedField>false</o:LockedField>
          </o:OLEObject>
        </w:object>
      </w:r>
      <w:r>
        <w:rPr>
          <w:color w:val="auto"/>
          <w:szCs w:val="21"/>
        </w:rPr>
        <w:t>——钢筋混凝土柱的弹性模量；</w:t>
      </w:r>
    </w:p>
    <w:p w14:paraId="55DD36DB">
      <w:pPr>
        <w:adjustRightInd w:val="0"/>
        <w:snapToGrid w:val="0"/>
        <w:spacing w:line="340" w:lineRule="atLeast"/>
        <w:ind w:firstLine="672" w:firstLineChars="320"/>
        <w:rPr>
          <w:color w:val="auto"/>
          <w:szCs w:val="21"/>
        </w:rPr>
      </w:pPr>
      <w:r>
        <w:rPr>
          <w:color w:val="auto"/>
          <w:position w:val="-12"/>
          <w:szCs w:val="21"/>
        </w:rPr>
        <w:object>
          <v:shape id="_x0000_i1519" o:spt="75" type="#_x0000_t75" style="height:21.75pt;width:8.25pt;" o:ole="t" filled="f" o:preferrelative="t" stroked="f" coordsize="21600,21600">
            <v:path/>
            <v:fill on="f" focussize="0,0"/>
            <v:stroke on="f" joinstyle="miter"/>
            <v:imagedata r:id="rId965" o:title=""/>
            <o:lock v:ext="edit" aspectratio="t"/>
            <w10:wrap type="none"/>
            <w10:anchorlock/>
          </v:shape>
          <o:OLEObject Type="Embed" ProgID="Equation.DSMT4" ShapeID="_x0000_i1519" DrawAspect="Content" ObjectID="_1468076219" r:id="rId964">
            <o:LockedField>false</o:LockedField>
          </o:OLEObject>
        </w:object>
      </w:r>
      <w:r>
        <w:rPr>
          <w:color w:val="auto"/>
          <w:szCs w:val="21"/>
        </w:rPr>
        <w:t>——钢筋混凝土柱对其截面短轴的惯性矩；</w:t>
      </w:r>
    </w:p>
    <w:p w14:paraId="067C56ED">
      <w:pPr>
        <w:adjustRightInd w:val="0"/>
        <w:snapToGrid w:val="0"/>
        <w:spacing w:line="340" w:lineRule="atLeast"/>
        <w:ind w:firstLine="573" w:firstLineChars="273"/>
        <w:rPr>
          <w:color w:val="auto"/>
          <w:szCs w:val="21"/>
        </w:rPr>
      </w:pPr>
      <w:r>
        <w:rPr>
          <w:color w:val="auto"/>
          <w:position w:val="-12"/>
          <w:szCs w:val="21"/>
        </w:rPr>
        <w:object>
          <v:shape id="_x0000_i1520" o:spt="75" type="#_x0000_t75" style="height:21.75pt;width:15pt;" o:ole="t" filled="f" o:preferrelative="t" stroked="f" coordsize="21600,21600">
            <v:path/>
            <v:fill on="f" focussize="0,0"/>
            <v:stroke on="f" joinstyle="miter"/>
            <v:imagedata r:id="rId967" o:title=""/>
            <o:lock v:ext="edit" aspectratio="t"/>
            <w10:wrap type="none"/>
            <w10:anchorlock/>
          </v:shape>
          <o:OLEObject Type="Embed" ProgID="Equation.DSMT4" ShapeID="_x0000_i1520" DrawAspect="Content" ObjectID="_1468076220" r:id="rId966">
            <o:LockedField>false</o:LockedField>
          </o:OLEObject>
        </w:object>
      </w:r>
      <w:r>
        <w:rPr>
          <w:color w:val="auto"/>
          <w:szCs w:val="21"/>
        </w:rPr>
        <w:t>——短柱的钢筋混凝土弹性模量；</w:t>
      </w:r>
    </w:p>
    <w:p w14:paraId="43EE530F">
      <w:pPr>
        <w:adjustRightInd w:val="0"/>
        <w:snapToGrid w:val="0"/>
        <w:spacing w:line="340" w:lineRule="atLeast"/>
        <w:ind w:firstLine="630" w:firstLineChars="300"/>
        <w:rPr>
          <w:color w:val="auto"/>
          <w:szCs w:val="21"/>
        </w:rPr>
      </w:pPr>
      <w:r>
        <w:rPr>
          <w:color w:val="auto"/>
          <w:position w:val="-12"/>
          <w:szCs w:val="21"/>
        </w:rPr>
        <w:object>
          <v:shape id="_x0000_i1521" o:spt="75" type="#_x0000_t75" style="height:15pt;width:15pt;" o:ole="t" filled="f" o:preferrelative="t" stroked="f" coordsize="21600,21600">
            <v:path/>
            <v:fill on="f" focussize="0,0"/>
            <v:stroke on="f" joinstyle="miter"/>
            <v:imagedata r:id="rId969" o:title=""/>
            <o:lock v:ext="edit" aspectratio="t"/>
            <w10:wrap type="none"/>
            <w10:anchorlock/>
          </v:shape>
          <o:OLEObject Type="Embed" ProgID="Equation.DSMT4" ShapeID="_x0000_i1521" DrawAspect="Content" ObjectID="_1468076221" r:id="rId968">
            <o:LockedField>false</o:LockedField>
          </o:OLEObject>
        </w:object>
      </w:r>
      <w:r>
        <w:rPr>
          <w:color w:val="auto"/>
          <w:szCs w:val="21"/>
        </w:rPr>
        <w:t>——短柱对其截面短轴的惯性矩。</w:t>
      </w:r>
    </w:p>
    <w:p w14:paraId="39768669">
      <w:pPr>
        <w:adjustRightInd w:val="0"/>
        <w:snapToGrid w:val="0"/>
        <w:spacing w:line="340" w:lineRule="atLeast"/>
        <w:ind w:firstLine="420" w:firstLineChars="200"/>
        <w:rPr>
          <w:color w:val="auto"/>
          <w:szCs w:val="21"/>
        </w:rPr>
      </w:pPr>
      <w:r>
        <w:rPr>
          <w:color w:val="auto"/>
          <w:szCs w:val="21"/>
        </w:rPr>
        <w:t>短柱的配筋除满足计算要求外，可按图23的构造要求进行设计。短柱四角纵向钢筋的直径不宜小于20mm，并延伸至基础底板的钢筋网上水平弯折150mm。短柱长边的纵向钢筋，当长边尺寸小于或等于1000mm时，其钢筋直径不应小于12mm，间距不应大于300mm；当短柱长边尺寸大于1000mm时，其钢筋直径不应小于16mm，间距不应大于300mm，且每隔一</w:t>
      </w:r>
      <w:r>
        <w:rPr>
          <w:rFonts w:hint="eastAsia"/>
          <w:color w:val="auto"/>
          <w:szCs w:val="21"/>
        </w:rPr>
        <w:t>根</w:t>
      </w:r>
      <w:r>
        <w:rPr>
          <w:color w:val="auto"/>
          <w:szCs w:val="21"/>
        </w:rPr>
        <w:t>伸下一根并作150mm的直钩支承在基础底部的钢筋网上，其余钢筋锚固至基础底 （图23）。短柱短边</w:t>
      </w:r>
      <w:r>
        <w:rPr>
          <w:rFonts w:hint="eastAsia"/>
          <w:color w:val="auto"/>
          <w:szCs w:val="21"/>
        </w:rPr>
        <w:t>纵向钢筋直径不应小于12mm，间距不应大于300mm，</w:t>
      </w:r>
      <w:r>
        <w:rPr>
          <w:color w:val="auto"/>
          <w:szCs w:val="21"/>
        </w:rPr>
        <w:t>且每边的配筋</w:t>
      </w:r>
      <w:r>
        <w:rPr>
          <w:rFonts w:hint="eastAsia"/>
          <w:color w:val="auto"/>
          <w:szCs w:val="21"/>
        </w:rPr>
        <w:t>率（按短柱的截面面积计算）</w:t>
      </w:r>
      <w:r>
        <w:rPr>
          <w:color w:val="auto"/>
          <w:szCs w:val="21"/>
        </w:rPr>
        <w:t>不应小于0.05%。短柱中的箍筋直径不应小于8mm，间距不应大于200mm。</w:t>
      </w:r>
    </w:p>
    <w:p w14:paraId="36DDBBD3">
      <w:pPr>
        <w:adjustRightInd w:val="0"/>
        <w:snapToGrid w:val="0"/>
        <w:spacing w:before="120" w:line="360" w:lineRule="atLeast"/>
        <w:ind w:firstLine="567"/>
        <w:jc w:val="center"/>
        <w:rPr>
          <w:color w:val="auto"/>
          <w:szCs w:val="21"/>
        </w:rPr>
      </w:pPr>
      <w:r>
        <w:rPr>
          <w:color w:val="auto"/>
          <w:sz w:val="18"/>
          <w:szCs w:val="18"/>
        </w:rPr>
        <w:drawing>
          <wp:inline distT="0" distB="0" distL="0" distR="0">
            <wp:extent cx="1914525" cy="1028700"/>
            <wp:effectExtent l="0" t="0" r="9525"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970">
                      <a:extLst>
                        <a:ext uri="{28A0092B-C50C-407E-A947-70E740481C1C}">
                          <a14:useLocalDpi xmlns:a14="http://schemas.microsoft.com/office/drawing/2010/main" val="0"/>
                        </a:ext>
                      </a:extLst>
                    </a:blip>
                    <a:srcRect/>
                    <a:stretch>
                      <a:fillRect/>
                    </a:stretch>
                  </pic:blipFill>
                  <pic:spPr>
                    <a:xfrm>
                      <a:off x="0" y="0"/>
                      <a:ext cx="1914525" cy="1028700"/>
                    </a:xfrm>
                    <a:prstGeom prst="rect">
                      <a:avLst/>
                    </a:prstGeom>
                    <a:noFill/>
                    <a:ln>
                      <a:noFill/>
                    </a:ln>
                  </pic:spPr>
                </pic:pic>
              </a:graphicData>
            </a:graphic>
          </wp:inline>
        </w:drawing>
      </w:r>
    </w:p>
    <w:p w14:paraId="50A56E3C">
      <w:pPr>
        <w:adjustRightInd w:val="0"/>
        <w:snapToGrid w:val="0"/>
        <w:spacing w:line="360" w:lineRule="atLeast"/>
        <w:ind w:firstLine="567"/>
        <w:jc w:val="center"/>
        <w:rPr>
          <w:b/>
          <w:color w:val="auto"/>
          <w:sz w:val="18"/>
          <w:szCs w:val="18"/>
        </w:rPr>
      </w:pPr>
      <w:r>
        <w:rPr>
          <w:b/>
          <w:color w:val="auto"/>
          <w:sz w:val="18"/>
          <w:szCs w:val="18"/>
        </w:rPr>
        <w:t>图22  基础短柱示意</w:t>
      </w:r>
    </w:p>
    <w:p w14:paraId="3BEF474D">
      <w:pPr>
        <w:adjustRightInd w:val="0"/>
        <w:snapToGrid w:val="0"/>
        <w:ind w:firstLine="567"/>
        <w:rPr>
          <w:color w:val="auto"/>
          <w:sz w:val="15"/>
          <w:szCs w:val="15"/>
        </w:rPr>
      </w:pPr>
    </w:p>
    <w:p w14:paraId="3A3954A7">
      <w:pPr>
        <w:adjustRightInd w:val="0"/>
        <w:snapToGrid w:val="0"/>
        <w:spacing w:line="300" w:lineRule="atLeast"/>
        <w:ind w:firstLine="567"/>
        <w:jc w:val="center"/>
        <w:rPr>
          <w:color w:val="auto"/>
          <w:szCs w:val="21"/>
        </w:rPr>
      </w:pPr>
      <w:r>
        <w:rPr>
          <w:color w:val="auto"/>
        </w:rPr>
        <w:drawing>
          <wp:inline distT="0" distB="0" distL="0" distR="0">
            <wp:extent cx="3009900" cy="1381125"/>
            <wp:effectExtent l="0" t="0" r="0" b="952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a:xfrm>
                      <a:off x="0" y="0"/>
                      <a:ext cx="3009900" cy="1381125"/>
                    </a:xfrm>
                    <a:prstGeom prst="rect">
                      <a:avLst/>
                    </a:prstGeom>
                    <a:noFill/>
                    <a:ln>
                      <a:noFill/>
                    </a:ln>
                  </pic:spPr>
                </pic:pic>
              </a:graphicData>
            </a:graphic>
          </wp:inline>
        </w:drawing>
      </w:r>
    </w:p>
    <w:p w14:paraId="48B92C5E">
      <w:pPr>
        <w:adjustRightInd w:val="0"/>
        <w:snapToGrid w:val="0"/>
        <w:spacing w:line="360" w:lineRule="atLeast"/>
        <w:ind w:firstLine="567"/>
        <w:jc w:val="center"/>
        <w:rPr>
          <w:b/>
          <w:color w:val="auto"/>
          <w:sz w:val="18"/>
          <w:szCs w:val="18"/>
        </w:rPr>
      </w:pPr>
      <w:r>
        <w:rPr>
          <w:b/>
          <w:color w:val="auto"/>
          <w:sz w:val="18"/>
          <w:szCs w:val="18"/>
        </w:rPr>
        <w:t>图23  基础短柱构造配筋示意</w:t>
      </w:r>
    </w:p>
    <w:p w14:paraId="0EAE73F8">
      <w:pPr>
        <w:adjustRightInd w:val="0"/>
        <w:snapToGrid w:val="0"/>
        <w:spacing w:before="240" w:line="360" w:lineRule="atLeast"/>
        <w:rPr>
          <w:color w:val="auto"/>
          <w:szCs w:val="21"/>
        </w:rPr>
      </w:pPr>
      <w:r>
        <w:rPr>
          <w:rFonts w:eastAsia="黑体"/>
          <w:b/>
          <w:color w:val="auto"/>
          <w:szCs w:val="21"/>
        </w:rPr>
        <w:t>13.1.9</w:t>
      </w:r>
      <w:r>
        <w:rPr>
          <w:color w:val="auto"/>
          <w:szCs w:val="21"/>
        </w:rPr>
        <w:t xml:space="preserve">  预制钢筋混凝土柱与杯口基础的连接，应符合下列要求（图24）：</w:t>
      </w:r>
    </w:p>
    <w:p w14:paraId="4CE5B569">
      <w:pPr>
        <w:adjustRightInd w:val="0"/>
        <w:snapToGrid w:val="0"/>
        <w:spacing w:before="240" w:line="360" w:lineRule="atLeast"/>
        <w:ind w:firstLine="567"/>
        <w:jc w:val="center"/>
        <w:rPr>
          <w:color w:val="auto"/>
          <w:szCs w:val="21"/>
        </w:rPr>
      </w:pPr>
      <w:r>
        <w:rPr>
          <w:color w:val="auto"/>
        </w:rPr>
        <w:drawing>
          <wp:inline distT="0" distB="0" distL="0" distR="0">
            <wp:extent cx="2447925" cy="952500"/>
            <wp:effectExtent l="0" t="0" r="9525"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noChangeArrowheads="1"/>
                    </pic:cNvPicPr>
                  </pic:nvPicPr>
                  <pic:blipFill>
                    <a:blip r:embed="rId972">
                      <a:extLst>
                        <a:ext uri="{28A0092B-C50C-407E-A947-70E740481C1C}">
                          <a14:useLocalDpi xmlns:a14="http://schemas.microsoft.com/office/drawing/2010/main" val="0"/>
                        </a:ext>
                      </a:extLst>
                    </a:blip>
                    <a:srcRect/>
                    <a:stretch>
                      <a:fillRect/>
                    </a:stretch>
                  </pic:blipFill>
                  <pic:spPr>
                    <a:xfrm>
                      <a:off x="0" y="0"/>
                      <a:ext cx="2447925" cy="952500"/>
                    </a:xfrm>
                    <a:prstGeom prst="rect">
                      <a:avLst/>
                    </a:prstGeom>
                    <a:noFill/>
                    <a:ln>
                      <a:noFill/>
                    </a:ln>
                  </pic:spPr>
                </pic:pic>
              </a:graphicData>
            </a:graphic>
          </wp:inline>
        </w:drawing>
      </w:r>
    </w:p>
    <w:p w14:paraId="4375821D">
      <w:pPr>
        <w:adjustRightInd w:val="0"/>
        <w:snapToGrid w:val="0"/>
        <w:spacing w:line="360" w:lineRule="atLeast"/>
        <w:ind w:firstLine="567"/>
        <w:jc w:val="center"/>
        <w:rPr>
          <w:b/>
          <w:color w:val="auto"/>
          <w:sz w:val="18"/>
          <w:szCs w:val="18"/>
        </w:rPr>
      </w:pPr>
      <w:r>
        <w:rPr>
          <w:b/>
          <w:color w:val="auto"/>
          <w:sz w:val="18"/>
          <w:szCs w:val="18"/>
        </w:rPr>
        <w:t>图24  预制钢筋混凝土柱独立基础示意</w:t>
      </w:r>
    </w:p>
    <w:p w14:paraId="041686C9">
      <w:pPr>
        <w:adjustRightInd w:val="0"/>
        <w:snapToGrid w:val="0"/>
        <w:jc w:val="center"/>
        <w:rPr>
          <w:color w:val="auto"/>
          <w:sz w:val="18"/>
          <w:szCs w:val="18"/>
        </w:rPr>
      </w:pPr>
      <w:r>
        <w:rPr>
          <w:color w:val="auto"/>
          <w:sz w:val="15"/>
          <w:szCs w:val="15"/>
        </w:rPr>
        <w:t xml:space="preserve">     </w:t>
      </w:r>
      <w:r>
        <w:rPr>
          <w:color w:val="auto"/>
          <w:sz w:val="18"/>
          <w:szCs w:val="18"/>
        </w:rPr>
        <w:t xml:space="preserve"> 注</w:t>
      </w:r>
      <w:r>
        <w:rPr>
          <w:color w:val="auto"/>
          <w:sz w:val="18"/>
          <w:szCs w:val="18"/>
          <w:lang w:val="en-GB"/>
        </w:rPr>
        <w:t>：</w:t>
      </w:r>
      <w:r>
        <w:rPr>
          <w:i/>
          <w:iCs/>
          <w:color w:val="auto"/>
          <w:sz w:val="18"/>
          <w:szCs w:val="18"/>
        </w:rPr>
        <w:t>a</w:t>
      </w:r>
      <w:r>
        <w:rPr>
          <w:color w:val="auto"/>
          <w:position w:val="-2"/>
          <w:sz w:val="18"/>
          <w:szCs w:val="18"/>
          <w:vertAlign w:val="subscript"/>
        </w:rPr>
        <w:t>2</w:t>
      </w:r>
      <w:r>
        <w:rPr>
          <w:color w:val="auto"/>
          <w:sz w:val="18"/>
          <w:szCs w:val="18"/>
          <w:lang w:val="en-GB"/>
        </w:rPr>
        <w:t>≥</w:t>
      </w:r>
      <w:r>
        <w:rPr>
          <w:i/>
          <w:iCs/>
          <w:color w:val="auto"/>
          <w:sz w:val="18"/>
          <w:szCs w:val="18"/>
        </w:rPr>
        <w:t>a</w:t>
      </w:r>
      <w:r>
        <w:rPr>
          <w:color w:val="auto"/>
          <w:position w:val="-2"/>
          <w:sz w:val="18"/>
          <w:szCs w:val="18"/>
          <w:vertAlign w:val="subscript"/>
        </w:rPr>
        <w:t>1</w:t>
      </w:r>
    </w:p>
    <w:p w14:paraId="58C932B8">
      <w:pPr>
        <w:adjustRightInd w:val="0"/>
        <w:snapToGrid w:val="0"/>
        <w:spacing w:before="240" w:line="360" w:lineRule="atLeast"/>
        <w:ind w:firstLine="422" w:firstLineChars="200"/>
        <w:rPr>
          <w:color w:val="auto"/>
          <w:szCs w:val="21"/>
        </w:rPr>
      </w:pPr>
      <w:r>
        <w:rPr>
          <w:rFonts w:eastAsia="黑体"/>
          <w:b/>
          <w:color w:val="auto"/>
          <w:szCs w:val="21"/>
        </w:rPr>
        <w:t>a)</w:t>
      </w:r>
      <w:r>
        <w:rPr>
          <w:color w:val="auto"/>
          <w:szCs w:val="21"/>
        </w:rPr>
        <w:t xml:space="preserve">  柱的插入深度，可按表58选用，并应满足第13.1.6条钢筋锚固长度的要求及吊装时柱的稳定性。</w:t>
      </w:r>
    </w:p>
    <w:p w14:paraId="60636F19">
      <w:pPr>
        <w:adjustRightInd w:val="0"/>
        <w:snapToGrid w:val="0"/>
        <w:spacing w:before="120" w:line="360" w:lineRule="atLeast"/>
        <w:jc w:val="center"/>
        <w:rPr>
          <w:rFonts w:eastAsia="黑体"/>
          <w:b/>
          <w:bCs/>
          <w:color w:val="auto"/>
          <w:szCs w:val="21"/>
        </w:rPr>
      </w:pPr>
      <w:r>
        <w:rPr>
          <w:rFonts w:eastAsia="黑体"/>
          <w:b/>
          <w:bCs/>
          <w:color w:val="auto"/>
          <w:szCs w:val="21"/>
        </w:rPr>
        <w:t xml:space="preserve">     表58   柱的插入深度</w:t>
      </w:r>
      <w:r>
        <w:rPr>
          <w:rFonts w:eastAsia="黑体"/>
          <w:b/>
          <w:bCs/>
          <w:i/>
          <w:color w:val="auto"/>
          <w:szCs w:val="21"/>
        </w:rPr>
        <w:t>h</w:t>
      </w:r>
      <w:r>
        <w:rPr>
          <w:rFonts w:eastAsia="黑体"/>
          <w:b/>
          <w:bCs/>
          <w:color w:val="auto"/>
          <w:szCs w:val="21"/>
          <w:vertAlign w:val="subscript"/>
        </w:rPr>
        <w:t xml:space="preserve">1      </w:t>
      </w:r>
      <w:r>
        <w:rPr>
          <w:rFonts w:eastAsia="黑体"/>
          <w:b/>
          <w:bCs/>
          <w:color w:val="auto"/>
          <w:szCs w:val="21"/>
        </w:rPr>
        <w:t xml:space="preserve">            </w:t>
      </w:r>
      <w:r>
        <w:rPr>
          <w:rFonts w:eastAsia="黑体"/>
          <w:color w:val="auto"/>
          <w:szCs w:val="21"/>
        </w:rPr>
        <w:t>单位为mm</w:t>
      </w:r>
    </w:p>
    <w:tbl>
      <w:tblPr>
        <w:tblStyle w:val="36"/>
        <w:tblW w:w="921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4"/>
        <w:gridCol w:w="1764"/>
        <w:gridCol w:w="1844"/>
        <w:gridCol w:w="1765"/>
        <w:gridCol w:w="2075"/>
      </w:tblGrid>
      <w:tr w14:paraId="1BA05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137" w:type="dxa"/>
            <w:gridSpan w:val="4"/>
          </w:tcPr>
          <w:p w14:paraId="55F8E303">
            <w:pPr>
              <w:adjustRightInd w:val="0"/>
              <w:snapToGrid w:val="0"/>
              <w:spacing w:line="300" w:lineRule="atLeast"/>
              <w:jc w:val="center"/>
              <w:rPr>
                <w:color w:val="auto"/>
                <w:sz w:val="18"/>
                <w:szCs w:val="18"/>
              </w:rPr>
            </w:pPr>
            <w:r>
              <w:rPr>
                <w:color w:val="auto"/>
                <w:sz w:val="18"/>
                <w:szCs w:val="18"/>
              </w:rPr>
              <w:t>矩形或工字形柱</w:t>
            </w:r>
          </w:p>
        </w:tc>
        <w:tc>
          <w:tcPr>
            <w:tcW w:w="2075" w:type="dxa"/>
            <w:vMerge w:val="restart"/>
            <w:vAlign w:val="center"/>
          </w:tcPr>
          <w:p w14:paraId="23A8A29A">
            <w:pPr>
              <w:adjustRightInd w:val="0"/>
              <w:snapToGrid w:val="0"/>
              <w:spacing w:line="300" w:lineRule="atLeast"/>
              <w:jc w:val="center"/>
              <w:rPr>
                <w:color w:val="auto"/>
                <w:sz w:val="18"/>
                <w:szCs w:val="18"/>
              </w:rPr>
            </w:pPr>
            <w:r>
              <w:rPr>
                <w:color w:val="auto"/>
                <w:sz w:val="18"/>
                <w:szCs w:val="18"/>
              </w:rPr>
              <w:t>双肢柱</w:t>
            </w:r>
          </w:p>
        </w:tc>
      </w:tr>
      <w:tr w14:paraId="03A83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764" w:type="dxa"/>
          </w:tcPr>
          <w:p w14:paraId="6717D725">
            <w:pPr>
              <w:adjustRightInd w:val="0"/>
              <w:snapToGrid w:val="0"/>
              <w:spacing w:line="300" w:lineRule="atLeast"/>
              <w:jc w:val="center"/>
              <w:rPr>
                <w:color w:val="auto"/>
                <w:sz w:val="18"/>
                <w:szCs w:val="18"/>
              </w:rPr>
            </w:pPr>
            <w:r>
              <w:rPr>
                <w:i/>
                <w:color w:val="auto"/>
                <w:sz w:val="18"/>
                <w:szCs w:val="18"/>
              </w:rPr>
              <w:t>h</w:t>
            </w:r>
            <w:r>
              <w:rPr>
                <w:color w:val="auto"/>
                <w:sz w:val="18"/>
                <w:szCs w:val="18"/>
              </w:rPr>
              <w:t>＜500</w:t>
            </w:r>
          </w:p>
        </w:tc>
        <w:tc>
          <w:tcPr>
            <w:tcW w:w="1764" w:type="dxa"/>
          </w:tcPr>
          <w:p w14:paraId="7F310192">
            <w:pPr>
              <w:adjustRightInd w:val="0"/>
              <w:snapToGrid w:val="0"/>
              <w:spacing w:line="300" w:lineRule="atLeast"/>
              <w:jc w:val="center"/>
              <w:rPr>
                <w:color w:val="auto"/>
                <w:sz w:val="18"/>
                <w:szCs w:val="18"/>
              </w:rPr>
            </w:pPr>
            <w:r>
              <w:rPr>
                <w:color w:val="auto"/>
                <w:sz w:val="18"/>
                <w:szCs w:val="18"/>
              </w:rPr>
              <w:t>500≤</w:t>
            </w:r>
            <w:r>
              <w:rPr>
                <w:i/>
                <w:color w:val="auto"/>
                <w:sz w:val="18"/>
                <w:szCs w:val="18"/>
              </w:rPr>
              <w:t>h</w:t>
            </w:r>
            <w:r>
              <w:rPr>
                <w:color w:val="auto"/>
                <w:sz w:val="18"/>
                <w:szCs w:val="18"/>
              </w:rPr>
              <w:t>＜800</w:t>
            </w:r>
          </w:p>
        </w:tc>
        <w:tc>
          <w:tcPr>
            <w:tcW w:w="1844" w:type="dxa"/>
          </w:tcPr>
          <w:p w14:paraId="575546FA">
            <w:pPr>
              <w:adjustRightInd w:val="0"/>
              <w:snapToGrid w:val="0"/>
              <w:spacing w:line="300" w:lineRule="atLeast"/>
              <w:jc w:val="center"/>
              <w:rPr>
                <w:color w:val="auto"/>
                <w:sz w:val="18"/>
                <w:szCs w:val="18"/>
              </w:rPr>
            </w:pPr>
            <w:r>
              <w:rPr>
                <w:color w:val="auto"/>
                <w:sz w:val="18"/>
                <w:szCs w:val="18"/>
              </w:rPr>
              <w:t>800≤</w:t>
            </w:r>
            <w:r>
              <w:rPr>
                <w:i/>
                <w:color w:val="auto"/>
                <w:sz w:val="18"/>
                <w:szCs w:val="18"/>
              </w:rPr>
              <w:t>h</w:t>
            </w:r>
            <w:r>
              <w:rPr>
                <w:color w:val="auto"/>
                <w:sz w:val="18"/>
                <w:szCs w:val="18"/>
              </w:rPr>
              <w:t>≤1000</w:t>
            </w:r>
          </w:p>
        </w:tc>
        <w:tc>
          <w:tcPr>
            <w:tcW w:w="1765" w:type="dxa"/>
          </w:tcPr>
          <w:p w14:paraId="68269976">
            <w:pPr>
              <w:adjustRightInd w:val="0"/>
              <w:snapToGrid w:val="0"/>
              <w:spacing w:line="300" w:lineRule="atLeast"/>
              <w:jc w:val="center"/>
              <w:rPr>
                <w:color w:val="auto"/>
                <w:sz w:val="18"/>
                <w:szCs w:val="18"/>
              </w:rPr>
            </w:pPr>
            <w:r>
              <w:rPr>
                <w:i/>
                <w:color w:val="auto"/>
                <w:sz w:val="18"/>
                <w:szCs w:val="18"/>
              </w:rPr>
              <w:t>h</w:t>
            </w:r>
            <w:r>
              <w:rPr>
                <w:color w:val="auto"/>
                <w:sz w:val="18"/>
                <w:szCs w:val="18"/>
              </w:rPr>
              <w:t>＞1000</w:t>
            </w:r>
          </w:p>
        </w:tc>
        <w:tc>
          <w:tcPr>
            <w:tcW w:w="2075" w:type="dxa"/>
            <w:vMerge w:val="continue"/>
          </w:tcPr>
          <w:p w14:paraId="2608EEC4">
            <w:pPr>
              <w:adjustRightInd w:val="0"/>
              <w:snapToGrid w:val="0"/>
              <w:spacing w:line="300" w:lineRule="atLeast"/>
              <w:jc w:val="center"/>
              <w:rPr>
                <w:color w:val="auto"/>
                <w:sz w:val="18"/>
                <w:szCs w:val="18"/>
              </w:rPr>
            </w:pPr>
          </w:p>
        </w:tc>
      </w:tr>
      <w:tr w14:paraId="4969A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764" w:type="dxa"/>
            <w:vAlign w:val="center"/>
          </w:tcPr>
          <w:p w14:paraId="0ED791EA">
            <w:pPr>
              <w:adjustRightInd w:val="0"/>
              <w:snapToGrid w:val="0"/>
              <w:spacing w:line="260" w:lineRule="exact"/>
              <w:jc w:val="center"/>
              <w:rPr>
                <w:color w:val="auto"/>
                <w:sz w:val="18"/>
                <w:szCs w:val="18"/>
              </w:rPr>
            </w:pPr>
            <w:r>
              <w:rPr>
                <w:i/>
                <w:color w:val="auto"/>
                <w:sz w:val="18"/>
                <w:szCs w:val="18"/>
              </w:rPr>
              <w:t>h</w:t>
            </w:r>
            <w:r>
              <w:rPr>
                <w:color w:val="auto"/>
                <w:sz w:val="18"/>
                <w:szCs w:val="18"/>
              </w:rPr>
              <w:t>～1.2</w:t>
            </w:r>
            <w:r>
              <w:rPr>
                <w:i/>
                <w:color w:val="auto"/>
                <w:sz w:val="18"/>
                <w:szCs w:val="18"/>
              </w:rPr>
              <w:t>h</w:t>
            </w:r>
          </w:p>
        </w:tc>
        <w:tc>
          <w:tcPr>
            <w:tcW w:w="1764" w:type="dxa"/>
            <w:vAlign w:val="center"/>
          </w:tcPr>
          <w:p w14:paraId="2387E3A7">
            <w:pPr>
              <w:adjustRightInd w:val="0"/>
              <w:snapToGrid w:val="0"/>
              <w:spacing w:line="260" w:lineRule="exact"/>
              <w:jc w:val="center"/>
              <w:rPr>
                <w:color w:val="auto"/>
                <w:sz w:val="18"/>
                <w:szCs w:val="18"/>
              </w:rPr>
            </w:pPr>
            <w:r>
              <w:rPr>
                <w:i/>
                <w:color w:val="auto"/>
                <w:sz w:val="18"/>
                <w:szCs w:val="18"/>
              </w:rPr>
              <w:t>h</w:t>
            </w:r>
          </w:p>
        </w:tc>
        <w:tc>
          <w:tcPr>
            <w:tcW w:w="1844" w:type="dxa"/>
          </w:tcPr>
          <w:p w14:paraId="07FBAB5F">
            <w:pPr>
              <w:adjustRightInd w:val="0"/>
              <w:snapToGrid w:val="0"/>
              <w:spacing w:line="260" w:lineRule="exact"/>
              <w:jc w:val="center"/>
              <w:rPr>
                <w:color w:val="auto"/>
                <w:sz w:val="18"/>
                <w:szCs w:val="18"/>
              </w:rPr>
            </w:pPr>
            <w:r>
              <w:rPr>
                <w:color w:val="auto"/>
                <w:sz w:val="18"/>
                <w:szCs w:val="18"/>
              </w:rPr>
              <w:t>0.9</w:t>
            </w:r>
            <w:r>
              <w:rPr>
                <w:i/>
                <w:color w:val="auto"/>
                <w:sz w:val="18"/>
                <w:szCs w:val="18"/>
              </w:rPr>
              <w:t>h</w:t>
            </w:r>
          </w:p>
          <w:p w14:paraId="507F14C0">
            <w:pPr>
              <w:adjustRightInd w:val="0"/>
              <w:snapToGrid w:val="0"/>
              <w:spacing w:line="260" w:lineRule="exact"/>
              <w:jc w:val="center"/>
              <w:rPr>
                <w:color w:val="auto"/>
                <w:sz w:val="18"/>
                <w:szCs w:val="18"/>
              </w:rPr>
            </w:pPr>
            <w:r>
              <w:rPr>
                <w:color w:val="auto"/>
                <w:sz w:val="18"/>
                <w:szCs w:val="18"/>
              </w:rPr>
              <w:t>且≥800</w:t>
            </w:r>
          </w:p>
        </w:tc>
        <w:tc>
          <w:tcPr>
            <w:tcW w:w="1765" w:type="dxa"/>
          </w:tcPr>
          <w:p w14:paraId="43744A22">
            <w:pPr>
              <w:adjustRightInd w:val="0"/>
              <w:snapToGrid w:val="0"/>
              <w:spacing w:line="260" w:lineRule="exact"/>
              <w:jc w:val="center"/>
              <w:rPr>
                <w:color w:val="auto"/>
                <w:sz w:val="18"/>
                <w:szCs w:val="18"/>
              </w:rPr>
            </w:pPr>
            <w:r>
              <w:rPr>
                <w:color w:val="auto"/>
                <w:sz w:val="18"/>
                <w:szCs w:val="18"/>
              </w:rPr>
              <w:t>0.8</w:t>
            </w:r>
            <w:r>
              <w:rPr>
                <w:i/>
                <w:color w:val="auto"/>
                <w:sz w:val="18"/>
                <w:szCs w:val="18"/>
              </w:rPr>
              <w:t>h</w:t>
            </w:r>
          </w:p>
          <w:p w14:paraId="49B73F2C">
            <w:pPr>
              <w:adjustRightInd w:val="0"/>
              <w:snapToGrid w:val="0"/>
              <w:spacing w:line="260" w:lineRule="exact"/>
              <w:jc w:val="center"/>
              <w:rPr>
                <w:color w:val="auto"/>
                <w:sz w:val="18"/>
                <w:szCs w:val="18"/>
              </w:rPr>
            </w:pPr>
            <w:r>
              <w:rPr>
                <w:color w:val="auto"/>
                <w:sz w:val="18"/>
                <w:szCs w:val="18"/>
              </w:rPr>
              <w:t>且≥1000</w:t>
            </w:r>
          </w:p>
        </w:tc>
        <w:tc>
          <w:tcPr>
            <w:tcW w:w="2075" w:type="dxa"/>
          </w:tcPr>
          <w:p w14:paraId="2126D7D9">
            <w:pPr>
              <w:adjustRightInd w:val="0"/>
              <w:snapToGrid w:val="0"/>
              <w:spacing w:line="260" w:lineRule="exact"/>
              <w:jc w:val="center"/>
              <w:rPr>
                <w:color w:val="auto"/>
                <w:sz w:val="18"/>
                <w:szCs w:val="18"/>
              </w:rPr>
            </w:pPr>
            <w:r>
              <w:rPr>
                <w:color w:val="auto"/>
                <w:sz w:val="18"/>
                <w:szCs w:val="18"/>
              </w:rPr>
              <w:t>(1/3～2/3)</w:t>
            </w:r>
            <w:r>
              <w:rPr>
                <w:i/>
                <w:color w:val="auto"/>
                <w:sz w:val="18"/>
                <w:szCs w:val="18"/>
              </w:rPr>
              <w:t>h</w:t>
            </w:r>
            <w:r>
              <w:rPr>
                <w:iCs/>
                <w:color w:val="auto"/>
                <w:sz w:val="18"/>
                <w:szCs w:val="18"/>
                <w:vertAlign w:val="subscript"/>
              </w:rPr>
              <w:t>a</w:t>
            </w:r>
          </w:p>
          <w:p w14:paraId="6E626E42">
            <w:pPr>
              <w:adjustRightInd w:val="0"/>
              <w:snapToGrid w:val="0"/>
              <w:spacing w:line="260" w:lineRule="exact"/>
              <w:jc w:val="center"/>
              <w:rPr>
                <w:color w:val="auto"/>
                <w:sz w:val="18"/>
                <w:szCs w:val="18"/>
              </w:rPr>
            </w:pPr>
            <w:r>
              <w:rPr>
                <w:color w:val="auto"/>
                <w:sz w:val="18"/>
                <w:szCs w:val="18"/>
              </w:rPr>
              <w:t>(1.5～1.8)</w:t>
            </w:r>
            <w:r>
              <w:rPr>
                <w:i/>
                <w:color w:val="auto"/>
                <w:sz w:val="18"/>
                <w:szCs w:val="18"/>
              </w:rPr>
              <w:t>h</w:t>
            </w:r>
            <w:r>
              <w:rPr>
                <w:iCs/>
                <w:color w:val="auto"/>
                <w:sz w:val="18"/>
                <w:szCs w:val="18"/>
                <w:vertAlign w:val="subscript"/>
              </w:rPr>
              <w:t>b</w:t>
            </w:r>
          </w:p>
        </w:tc>
      </w:tr>
      <w:tr w14:paraId="60AEE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9212" w:type="dxa"/>
            <w:gridSpan w:val="5"/>
            <w:vAlign w:val="center"/>
          </w:tcPr>
          <w:p w14:paraId="186E4B80">
            <w:pPr>
              <w:adjustRightInd w:val="0"/>
              <w:snapToGrid w:val="0"/>
              <w:spacing w:line="240" w:lineRule="exact"/>
              <w:rPr>
                <w:color w:val="auto"/>
                <w:sz w:val="18"/>
                <w:szCs w:val="18"/>
              </w:rPr>
            </w:pPr>
            <w:r>
              <w:rPr>
                <w:color w:val="auto"/>
                <w:sz w:val="18"/>
                <w:szCs w:val="18"/>
              </w:rPr>
              <w:t>注1：</w:t>
            </w:r>
            <w:r>
              <w:rPr>
                <w:i/>
                <w:color w:val="auto"/>
                <w:sz w:val="18"/>
                <w:szCs w:val="18"/>
              </w:rPr>
              <w:t>h</w:t>
            </w:r>
            <w:r>
              <w:rPr>
                <w:color w:val="auto"/>
                <w:sz w:val="18"/>
                <w:szCs w:val="18"/>
              </w:rPr>
              <w:t>为柱截面长边尺寸；</w:t>
            </w:r>
            <w:r>
              <w:rPr>
                <w:i/>
                <w:color w:val="auto"/>
                <w:sz w:val="18"/>
                <w:szCs w:val="18"/>
              </w:rPr>
              <w:t>h</w:t>
            </w:r>
            <w:r>
              <w:rPr>
                <w:iCs/>
                <w:color w:val="auto"/>
                <w:sz w:val="18"/>
                <w:szCs w:val="18"/>
                <w:vertAlign w:val="subscript"/>
              </w:rPr>
              <w:t>a</w:t>
            </w:r>
            <w:r>
              <w:rPr>
                <w:color w:val="auto"/>
                <w:sz w:val="18"/>
                <w:szCs w:val="18"/>
              </w:rPr>
              <w:t>为双肢柱全截面长边尺寸；</w:t>
            </w:r>
            <w:r>
              <w:rPr>
                <w:i/>
                <w:color w:val="auto"/>
                <w:sz w:val="18"/>
                <w:szCs w:val="18"/>
              </w:rPr>
              <w:t>h</w:t>
            </w:r>
            <w:r>
              <w:rPr>
                <w:iCs/>
                <w:color w:val="auto"/>
                <w:sz w:val="18"/>
                <w:szCs w:val="18"/>
                <w:vertAlign w:val="subscript"/>
              </w:rPr>
              <w:t>b</w:t>
            </w:r>
            <w:r>
              <w:rPr>
                <w:color w:val="auto"/>
                <w:sz w:val="18"/>
                <w:szCs w:val="18"/>
              </w:rPr>
              <w:t>为双肢柱全截面短边尺寸；</w:t>
            </w:r>
          </w:p>
          <w:p w14:paraId="02598289">
            <w:pPr>
              <w:adjustRightInd w:val="0"/>
              <w:snapToGrid w:val="0"/>
              <w:spacing w:line="240" w:lineRule="exact"/>
              <w:rPr>
                <w:color w:val="auto"/>
                <w:sz w:val="18"/>
                <w:szCs w:val="18"/>
              </w:rPr>
            </w:pPr>
            <w:r>
              <w:rPr>
                <w:color w:val="auto"/>
                <w:sz w:val="18"/>
                <w:szCs w:val="18"/>
              </w:rPr>
              <w:t>注2：柱轴心受压或小偏心受压时，</w:t>
            </w:r>
            <w:r>
              <w:rPr>
                <w:i/>
                <w:color w:val="auto"/>
                <w:sz w:val="18"/>
                <w:szCs w:val="18"/>
              </w:rPr>
              <w:t>h</w:t>
            </w:r>
            <w:r>
              <w:rPr>
                <w:iCs/>
                <w:color w:val="auto"/>
                <w:sz w:val="18"/>
                <w:szCs w:val="18"/>
                <w:vertAlign w:val="subscript"/>
              </w:rPr>
              <w:t>1</w:t>
            </w:r>
            <w:r>
              <w:rPr>
                <w:color w:val="auto"/>
                <w:sz w:val="18"/>
                <w:szCs w:val="18"/>
              </w:rPr>
              <w:t>可适当减小，偏心距大于2</w:t>
            </w:r>
            <w:r>
              <w:rPr>
                <w:i/>
                <w:color w:val="auto"/>
                <w:sz w:val="18"/>
                <w:szCs w:val="18"/>
              </w:rPr>
              <w:t>h</w:t>
            </w:r>
            <w:r>
              <w:rPr>
                <w:color w:val="auto"/>
                <w:sz w:val="18"/>
                <w:szCs w:val="18"/>
              </w:rPr>
              <w:t>时，</w:t>
            </w:r>
            <w:r>
              <w:rPr>
                <w:i/>
                <w:color w:val="auto"/>
                <w:sz w:val="18"/>
                <w:szCs w:val="18"/>
              </w:rPr>
              <w:t>h</w:t>
            </w:r>
            <w:r>
              <w:rPr>
                <w:iCs/>
                <w:color w:val="auto"/>
                <w:sz w:val="18"/>
                <w:szCs w:val="18"/>
                <w:vertAlign w:val="subscript"/>
              </w:rPr>
              <w:t>1</w:t>
            </w:r>
            <w:r>
              <w:rPr>
                <w:color w:val="auto"/>
                <w:sz w:val="18"/>
                <w:szCs w:val="18"/>
              </w:rPr>
              <w:t>应适当加大。</w:t>
            </w:r>
          </w:p>
        </w:tc>
      </w:tr>
    </w:tbl>
    <w:p w14:paraId="279B0579">
      <w:pPr>
        <w:adjustRightInd w:val="0"/>
        <w:snapToGrid w:val="0"/>
        <w:spacing w:before="120" w:line="340" w:lineRule="atLeast"/>
        <w:ind w:firstLine="413" w:firstLineChars="196"/>
        <w:rPr>
          <w:color w:val="auto"/>
          <w:szCs w:val="21"/>
        </w:rPr>
      </w:pPr>
      <w:r>
        <w:rPr>
          <w:rFonts w:eastAsia="黑体"/>
          <w:b/>
          <w:color w:val="auto"/>
          <w:szCs w:val="21"/>
        </w:rPr>
        <w:t>b)</w:t>
      </w:r>
      <w:r>
        <w:rPr>
          <w:color w:val="auto"/>
          <w:szCs w:val="21"/>
        </w:rPr>
        <w:t xml:space="preserve">  基础的杯底厚度和杯壁厚度，可按表59选用。</w:t>
      </w:r>
    </w:p>
    <w:p w14:paraId="28EA8599">
      <w:pPr>
        <w:adjustRightInd w:val="0"/>
        <w:snapToGrid w:val="0"/>
        <w:spacing w:before="120" w:line="360" w:lineRule="atLeast"/>
        <w:jc w:val="center"/>
        <w:rPr>
          <w:rFonts w:eastAsia="黑体"/>
          <w:b/>
          <w:bCs/>
          <w:color w:val="auto"/>
          <w:szCs w:val="21"/>
        </w:rPr>
      </w:pPr>
      <w:r>
        <w:rPr>
          <w:rFonts w:eastAsia="黑体"/>
          <w:b/>
          <w:bCs/>
          <w:color w:val="auto"/>
          <w:szCs w:val="21"/>
        </w:rPr>
        <w:t xml:space="preserve">     表59   基础的杯底厚度和杯壁厚度           </w:t>
      </w:r>
      <w:r>
        <w:rPr>
          <w:rFonts w:eastAsia="黑体"/>
          <w:color w:val="auto"/>
          <w:szCs w:val="21"/>
        </w:rPr>
        <w:t>单位为mm</w:t>
      </w:r>
    </w:p>
    <w:tbl>
      <w:tblPr>
        <w:tblStyle w:val="36"/>
        <w:tblW w:w="92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54"/>
        <w:gridCol w:w="3193"/>
        <w:gridCol w:w="2907"/>
      </w:tblGrid>
      <w:tr w14:paraId="7C32C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154" w:type="dxa"/>
          </w:tcPr>
          <w:p w14:paraId="364386E1">
            <w:pPr>
              <w:adjustRightInd w:val="0"/>
              <w:snapToGrid w:val="0"/>
              <w:spacing w:line="260" w:lineRule="atLeast"/>
              <w:jc w:val="center"/>
              <w:rPr>
                <w:color w:val="auto"/>
                <w:sz w:val="18"/>
                <w:szCs w:val="18"/>
              </w:rPr>
            </w:pPr>
            <w:r>
              <w:rPr>
                <w:color w:val="auto"/>
                <w:sz w:val="18"/>
                <w:szCs w:val="18"/>
              </w:rPr>
              <w:t>柱截面长边尺寸</w:t>
            </w:r>
            <w:r>
              <w:rPr>
                <w:i/>
                <w:color w:val="auto"/>
                <w:sz w:val="18"/>
                <w:szCs w:val="18"/>
              </w:rPr>
              <w:t>h</w:t>
            </w:r>
          </w:p>
        </w:tc>
        <w:tc>
          <w:tcPr>
            <w:tcW w:w="3193" w:type="dxa"/>
          </w:tcPr>
          <w:p w14:paraId="2D56C5F2">
            <w:pPr>
              <w:adjustRightInd w:val="0"/>
              <w:snapToGrid w:val="0"/>
              <w:spacing w:line="260" w:lineRule="atLeast"/>
              <w:jc w:val="center"/>
              <w:rPr>
                <w:color w:val="auto"/>
                <w:sz w:val="18"/>
                <w:szCs w:val="18"/>
              </w:rPr>
            </w:pPr>
            <w:r>
              <w:rPr>
                <w:color w:val="auto"/>
                <w:sz w:val="18"/>
                <w:szCs w:val="18"/>
              </w:rPr>
              <w:t>杯底厚度</w:t>
            </w:r>
            <w:r>
              <w:rPr>
                <w:i/>
                <w:color w:val="auto"/>
                <w:sz w:val="18"/>
                <w:szCs w:val="18"/>
              </w:rPr>
              <w:t>a</w:t>
            </w:r>
            <w:r>
              <w:rPr>
                <w:color w:val="auto"/>
                <w:sz w:val="18"/>
                <w:szCs w:val="18"/>
                <w:vertAlign w:val="subscript"/>
              </w:rPr>
              <w:t>1</w:t>
            </w:r>
          </w:p>
        </w:tc>
        <w:tc>
          <w:tcPr>
            <w:tcW w:w="2907" w:type="dxa"/>
          </w:tcPr>
          <w:p w14:paraId="6488709B">
            <w:pPr>
              <w:adjustRightInd w:val="0"/>
              <w:snapToGrid w:val="0"/>
              <w:spacing w:line="260" w:lineRule="atLeast"/>
              <w:jc w:val="center"/>
              <w:rPr>
                <w:color w:val="auto"/>
                <w:sz w:val="18"/>
                <w:szCs w:val="18"/>
              </w:rPr>
            </w:pPr>
            <w:r>
              <w:rPr>
                <w:color w:val="auto"/>
                <w:sz w:val="18"/>
                <w:szCs w:val="18"/>
              </w:rPr>
              <w:t>杯壁厚度</w:t>
            </w:r>
            <w:r>
              <w:rPr>
                <w:i/>
                <w:color w:val="auto"/>
                <w:sz w:val="18"/>
                <w:szCs w:val="18"/>
              </w:rPr>
              <w:t>t</w:t>
            </w:r>
          </w:p>
        </w:tc>
      </w:tr>
      <w:tr w14:paraId="54A68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8" w:hRule="atLeast"/>
          <w:jc w:val="center"/>
        </w:trPr>
        <w:tc>
          <w:tcPr>
            <w:tcW w:w="3154" w:type="dxa"/>
          </w:tcPr>
          <w:p w14:paraId="6882B2B3">
            <w:pPr>
              <w:adjustRightInd w:val="0"/>
              <w:snapToGrid w:val="0"/>
              <w:jc w:val="center"/>
              <w:rPr>
                <w:color w:val="auto"/>
                <w:sz w:val="18"/>
                <w:szCs w:val="18"/>
              </w:rPr>
            </w:pPr>
            <w:r>
              <w:rPr>
                <w:i/>
                <w:color w:val="auto"/>
                <w:sz w:val="18"/>
                <w:szCs w:val="18"/>
              </w:rPr>
              <w:t>h</w:t>
            </w:r>
            <w:r>
              <w:rPr>
                <w:color w:val="auto"/>
                <w:sz w:val="18"/>
                <w:szCs w:val="18"/>
              </w:rPr>
              <w:t>＜500</w:t>
            </w:r>
          </w:p>
          <w:p w14:paraId="12E92E96">
            <w:pPr>
              <w:adjustRightInd w:val="0"/>
              <w:snapToGrid w:val="0"/>
              <w:jc w:val="center"/>
              <w:rPr>
                <w:color w:val="auto"/>
                <w:sz w:val="18"/>
                <w:szCs w:val="18"/>
              </w:rPr>
            </w:pPr>
            <w:r>
              <w:rPr>
                <w:color w:val="auto"/>
                <w:sz w:val="18"/>
                <w:szCs w:val="18"/>
              </w:rPr>
              <w:t>500≤</w:t>
            </w:r>
            <w:r>
              <w:rPr>
                <w:i/>
                <w:color w:val="auto"/>
                <w:sz w:val="18"/>
                <w:szCs w:val="18"/>
              </w:rPr>
              <w:t>h</w:t>
            </w:r>
            <w:r>
              <w:rPr>
                <w:color w:val="auto"/>
                <w:sz w:val="18"/>
                <w:szCs w:val="18"/>
              </w:rPr>
              <w:t>＜800</w:t>
            </w:r>
          </w:p>
          <w:p w14:paraId="1B0E488F">
            <w:pPr>
              <w:adjustRightInd w:val="0"/>
              <w:snapToGrid w:val="0"/>
              <w:jc w:val="center"/>
              <w:rPr>
                <w:color w:val="auto"/>
                <w:sz w:val="18"/>
                <w:szCs w:val="18"/>
              </w:rPr>
            </w:pPr>
            <w:r>
              <w:rPr>
                <w:color w:val="auto"/>
                <w:sz w:val="18"/>
                <w:szCs w:val="18"/>
              </w:rPr>
              <w:t>800≤</w:t>
            </w:r>
            <w:r>
              <w:rPr>
                <w:i/>
                <w:color w:val="auto"/>
                <w:sz w:val="18"/>
                <w:szCs w:val="18"/>
              </w:rPr>
              <w:t>h</w:t>
            </w:r>
            <w:r>
              <w:rPr>
                <w:color w:val="auto"/>
                <w:sz w:val="18"/>
                <w:szCs w:val="18"/>
              </w:rPr>
              <w:t>＜1000</w:t>
            </w:r>
          </w:p>
          <w:p w14:paraId="45D82C85">
            <w:pPr>
              <w:adjustRightInd w:val="0"/>
              <w:snapToGrid w:val="0"/>
              <w:jc w:val="center"/>
              <w:rPr>
                <w:color w:val="auto"/>
                <w:sz w:val="18"/>
                <w:szCs w:val="18"/>
              </w:rPr>
            </w:pPr>
            <w:r>
              <w:rPr>
                <w:color w:val="auto"/>
                <w:sz w:val="18"/>
                <w:szCs w:val="18"/>
              </w:rPr>
              <w:t>1000≤</w:t>
            </w:r>
            <w:r>
              <w:rPr>
                <w:i/>
                <w:color w:val="auto"/>
                <w:sz w:val="18"/>
                <w:szCs w:val="18"/>
              </w:rPr>
              <w:t>h</w:t>
            </w:r>
            <w:r>
              <w:rPr>
                <w:color w:val="auto"/>
                <w:sz w:val="18"/>
                <w:szCs w:val="18"/>
              </w:rPr>
              <w:t>＜1500</w:t>
            </w:r>
          </w:p>
          <w:p w14:paraId="1079D35B">
            <w:pPr>
              <w:adjustRightInd w:val="0"/>
              <w:snapToGrid w:val="0"/>
              <w:jc w:val="center"/>
              <w:rPr>
                <w:color w:val="auto"/>
                <w:sz w:val="18"/>
                <w:szCs w:val="18"/>
              </w:rPr>
            </w:pPr>
            <w:r>
              <w:rPr>
                <w:color w:val="auto"/>
                <w:sz w:val="18"/>
                <w:szCs w:val="18"/>
              </w:rPr>
              <w:t>1500≤</w:t>
            </w:r>
            <w:r>
              <w:rPr>
                <w:i/>
                <w:color w:val="auto"/>
                <w:sz w:val="18"/>
                <w:szCs w:val="18"/>
              </w:rPr>
              <w:t>h</w:t>
            </w:r>
            <w:r>
              <w:rPr>
                <w:color w:val="auto"/>
                <w:sz w:val="18"/>
                <w:szCs w:val="18"/>
              </w:rPr>
              <w:t>＜2000</w:t>
            </w:r>
          </w:p>
        </w:tc>
        <w:tc>
          <w:tcPr>
            <w:tcW w:w="3193" w:type="dxa"/>
          </w:tcPr>
          <w:p w14:paraId="4EC611D1">
            <w:pPr>
              <w:adjustRightInd w:val="0"/>
              <w:snapToGrid w:val="0"/>
              <w:jc w:val="center"/>
              <w:rPr>
                <w:color w:val="auto"/>
                <w:sz w:val="18"/>
                <w:szCs w:val="18"/>
              </w:rPr>
            </w:pPr>
            <w:r>
              <w:rPr>
                <w:color w:val="auto"/>
                <w:sz w:val="18"/>
                <w:szCs w:val="18"/>
              </w:rPr>
              <w:t>≥150</w:t>
            </w:r>
          </w:p>
          <w:p w14:paraId="2D366F1D">
            <w:pPr>
              <w:adjustRightInd w:val="0"/>
              <w:snapToGrid w:val="0"/>
              <w:jc w:val="center"/>
              <w:rPr>
                <w:color w:val="auto"/>
                <w:sz w:val="18"/>
                <w:szCs w:val="18"/>
              </w:rPr>
            </w:pPr>
            <w:r>
              <w:rPr>
                <w:color w:val="auto"/>
                <w:sz w:val="18"/>
                <w:szCs w:val="18"/>
              </w:rPr>
              <w:t>≥200</w:t>
            </w:r>
          </w:p>
          <w:p w14:paraId="1DD40D9C">
            <w:pPr>
              <w:adjustRightInd w:val="0"/>
              <w:snapToGrid w:val="0"/>
              <w:jc w:val="center"/>
              <w:rPr>
                <w:color w:val="auto"/>
                <w:sz w:val="18"/>
                <w:szCs w:val="18"/>
              </w:rPr>
            </w:pPr>
            <w:r>
              <w:rPr>
                <w:color w:val="auto"/>
                <w:sz w:val="18"/>
                <w:szCs w:val="18"/>
              </w:rPr>
              <w:t>≥200</w:t>
            </w:r>
          </w:p>
          <w:p w14:paraId="35B87781">
            <w:pPr>
              <w:adjustRightInd w:val="0"/>
              <w:snapToGrid w:val="0"/>
              <w:jc w:val="center"/>
              <w:rPr>
                <w:color w:val="auto"/>
                <w:sz w:val="18"/>
                <w:szCs w:val="18"/>
              </w:rPr>
            </w:pPr>
            <w:r>
              <w:rPr>
                <w:color w:val="auto"/>
                <w:sz w:val="18"/>
                <w:szCs w:val="18"/>
              </w:rPr>
              <w:t>≥250</w:t>
            </w:r>
          </w:p>
          <w:p w14:paraId="320B245E">
            <w:pPr>
              <w:adjustRightInd w:val="0"/>
              <w:snapToGrid w:val="0"/>
              <w:jc w:val="center"/>
              <w:rPr>
                <w:color w:val="auto"/>
                <w:sz w:val="18"/>
                <w:szCs w:val="18"/>
              </w:rPr>
            </w:pPr>
            <w:r>
              <w:rPr>
                <w:color w:val="auto"/>
                <w:sz w:val="18"/>
                <w:szCs w:val="18"/>
              </w:rPr>
              <w:t>≥300</w:t>
            </w:r>
          </w:p>
        </w:tc>
        <w:tc>
          <w:tcPr>
            <w:tcW w:w="2907" w:type="dxa"/>
          </w:tcPr>
          <w:p w14:paraId="63A43B6D">
            <w:pPr>
              <w:adjustRightInd w:val="0"/>
              <w:snapToGrid w:val="0"/>
              <w:jc w:val="center"/>
              <w:rPr>
                <w:color w:val="auto"/>
                <w:sz w:val="18"/>
                <w:szCs w:val="18"/>
              </w:rPr>
            </w:pPr>
            <w:r>
              <w:rPr>
                <w:color w:val="auto"/>
                <w:sz w:val="18"/>
                <w:szCs w:val="18"/>
              </w:rPr>
              <w:t>150～200</w:t>
            </w:r>
          </w:p>
          <w:p w14:paraId="677C488B">
            <w:pPr>
              <w:adjustRightInd w:val="0"/>
              <w:snapToGrid w:val="0"/>
              <w:jc w:val="center"/>
              <w:rPr>
                <w:color w:val="auto"/>
                <w:sz w:val="18"/>
                <w:szCs w:val="18"/>
              </w:rPr>
            </w:pPr>
            <w:r>
              <w:rPr>
                <w:color w:val="auto"/>
                <w:sz w:val="18"/>
                <w:szCs w:val="18"/>
              </w:rPr>
              <w:t>≥200</w:t>
            </w:r>
          </w:p>
          <w:p w14:paraId="4BD7C675">
            <w:pPr>
              <w:adjustRightInd w:val="0"/>
              <w:snapToGrid w:val="0"/>
              <w:jc w:val="center"/>
              <w:rPr>
                <w:color w:val="auto"/>
                <w:sz w:val="18"/>
                <w:szCs w:val="18"/>
              </w:rPr>
            </w:pPr>
            <w:r>
              <w:rPr>
                <w:color w:val="auto"/>
                <w:sz w:val="18"/>
                <w:szCs w:val="18"/>
              </w:rPr>
              <w:t>≥300</w:t>
            </w:r>
          </w:p>
          <w:p w14:paraId="4156165E">
            <w:pPr>
              <w:adjustRightInd w:val="0"/>
              <w:snapToGrid w:val="0"/>
              <w:jc w:val="center"/>
              <w:rPr>
                <w:color w:val="auto"/>
                <w:sz w:val="18"/>
                <w:szCs w:val="18"/>
              </w:rPr>
            </w:pPr>
            <w:r>
              <w:rPr>
                <w:color w:val="auto"/>
                <w:sz w:val="18"/>
                <w:szCs w:val="18"/>
              </w:rPr>
              <w:t>≥350</w:t>
            </w:r>
          </w:p>
          <w:p w14:paraId="072ED01B">
            <w:pPr>
              <w:adjustRightInd w:val="0"/>
              <w:snapToGrid w:val="0"/>
              <w:jc w:val="center"/>
              <w:rPr>
                <w:color w:val="auto"/>
                <w:sz w:val="18"/>
                <w:szCs w:val="18"/>
              </w:rPr>
            </w:pPr>
            <w:r>
              <w:rPr>
                <w:color w:val="auto"/>
                <w:sz w:val="18"/>
                <w:szCs w:val="18"/>
              </w:rPr>
              <w:t>≥400</w:t>
            </w:r>
          </w:p>
        </w:tc>
      </w:tr>
      <w:tr w14:paraId="40DF9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9254" w:type="dxa"/>
            <w:gridSpan w:val="3"/>
          </w:tcPr>
          <w:p w14:paraId="6B5779B3">
            <w:pPr>
              <w:adjustRightInd w:val="0"/>
              <w:snapToGrid w:val="0"/>
              <w:spacing w:before="93" w:beforeLines="30"/>
              <w:rPr>
                <w:color w:val="auto"/>
                <w:sz w:val="18"/>
                <w:szCs w:val="18"/>
              </w:rPr>
            </w:pPr>
            <w:r>
              <w:rPr>
                <w:color w:val="auto"/>
                <w:sz w:val="18"/>
                <w:szCs w:val="18"/>
              </w:rPr>
              <w:t>注</w:t>
            </w:r>
            <w:r>
              <w:rPr>
                <w:b/>
                <w:bCs/>
                <w:color w:val="auto"/>
                <w:sz w:val="18"/>
                <w:szCs w:val="18"/>
              </w:rPr>
              <w:t>1</w:t>
            </w:r>
            <w:r>
              <w:rPr>
                <w:color w:val="auto"/>
                <w:sz w:val="18"/>
                <w:szCs w:val="18"/>
              </w:rPr>
              <w:t>：双肢柱的杯底厚度值，可适当加大；</w:t>
            </w:r>
          </w:p>
          <w:p w14:paraId="2C4436DA">
            <w:pPr>
              <w:adjustRightInd w:val="0"/>
              <w:snapToGrid w:val="0"/>
              <w:rPr>
                <w:color w:val="auto"/>
                <w:sz w:val="18"/>
                <w:szCs w:val="18"/>
              </w:rPr>
            </w:pPr>
            <w:r>
              <w:rPr>
                <w:color w:val="auto"/>
                <w:sz w:val="18"/>
                <w:szCs w:val="18"/>
              </w:rPr>
              <w:t>注</w:t>
            </w:r>
            <w:r>
              <w:rPr>
                <w:b/>
                <w:bCs/>
                <w:color w:val="auto"/>
                <w:sz w:val="18"/>
                <w:szCs w:val="18"/>
              </w:rPr>
              <w:t>2</w:t>
            </w:r>
            <w:r>
              <w:rPr>
                <w:color w:val="auto"/>
                <w:sz w:val="18"/>
                <w:szCs w:val="18"/>
              </w:rPr>
              <w:t>：当有基础梁时，基础梁下的杯壁厚度，应满足其支承宽度的要求；</w:t>
            </w:r>
          </w:p>
          <w:p w14:paraId="298974B8">
            <w:pPr>
              <w:adjustRightInd w:val="0"/>
              <w:snapToGrid w:val="0"/>
              <w:spacing w:after="93" w:afterLines="30"/>
              <w:ind w:left="468" w:hanging="468" w:hangingChars="260"/>
              <w:rPr>
                <w:color w:val="auto"/>
                <w:sz w:val="18"/>
                <w:szCs w:val="18"/>
              </w:rPr>
            </w:pPr>
            <w:r>
              <w:rPr>
                <w:color w:val="auto"/>
                <w:sz w:val="18"/>
                <w:szCs w:val="18"/>
              </w:rPr>
              <w:t>注</w:t>
            </w:r>
            <w:r>
              <w:rPr>
                <w:rFonts w:hint="eastAsia"/>
                <w:b/>
                <w:bCs/>
                <w:color w:val="auto"/>
                <w:sz w:val="18"/>
                <w:szCs w:val="18"/>
              </w:rPr>
              <w:t>3</w:t>
            </w:r>
            <w:r>
              <w:rPr>
                <w:color w:val="auto"/>
                <w:sz w:val="18"/>
                <w:szCs w:val="18"/>
              </w:rPr>
              <w:t>：柱子插入杯口部分的表面应凿毛，柱子与杯口之间的空隙，应用比基础混凝土强度等级高一级的细石混凝土充填密实，当达到材料设计强度的70%以上时，方能进行上部吊装。</w:t>
            </w:r>
          </w:p>
        </w:tc>
      </w:tr>
    </w:tbl>
    <w:p w14:paraId="3E6E80EF">
      <w:pPr>
        <w:adjustRightInd w:val="0"/>
        <w:snapToGrid w:val="0"/>
        <w:spacing w:before="120" w:line="340" w:lineRule="atLeast"/>
        <w:ind w:firstLine="422" w:firstLineChars="200"/>
        <w:rPr>
          <w:color w:val="auto"/>
          <w:szCs w:val="21"/>
        </w:rPr>
      </w:pPr>
      <w:r>
        <w:rPr>
          <w:rFonts w:eastAsia="黑体"/>
          <w:b/>
          <w:color w:val="auto"/>
          <w:szCs w:val="21"/>
        </w:rPr>
        <w:t>c)</w:t>
      </w:r>
      <w:r>
        <w:rPr>
          <w:color w:val="auto"/>
          <w:szCs w:val="21"/>
        </w:rPr>
        <w:t xml:space="preserve">  当柱为轴心受压或小偏心受压且t/</w:t>
      </w:r>
      <w:r>
        <w:rPr>
          <w:i/>
          <w:color w:val="auto"/>
          <w:szCs w:val="21"/>
        </w:rPr>
        <w:t>h</w:t>
      </w:r>
      <w:r>
        <w:rPr>
          <w:color w:val="auto"/>
          <w:szCs w:val="21"/>
          <w:vertAlign w:val="subscript"/>
        </w:rPr>
        <w:t>2</w:t>
      </w:r>
      <w:r>
        <w:rPr>
          <w:color w:val="auto"/>
          <w:szCs w:val="21"/>
        </w:rPr>
        <w:t>≥0.65时，或大偏心受压且t/</w:t>
      </w:r>
      <w:r>
        <w:rPr>
          <w:i/>
          <w:color w:val="auto"/>
          <w:szCs w:val="21"/>
        </w:rPr>
        <w:t>h</w:t>
      </w:r>
      <w:r>
        <w:rPr>
          <w:color w:val="auto"/>
          <w:szCs w:val="21"/>
          <w:vertAlign w:val="subscript"/>
        </w:rPr>
        <w:t>2</w:t>
      </w:r>
      <w:r>
        <w:rPr>
          <w:color w:val="auto"/>
          <w:szCs w:val="21"/>
        </w:rPr>
        <w:t>≥0.75时，杯壁可不配筋；当柱为轴心受压或小偏心受压且0.5≤t/</w:t>
      </w:r>
      <w:r>
        <w:rPr>
          <w:i/>
          <w:color w:val="auto"/>
          <w:szCs w:val="21"/>
        </w:rPr>
        <w:t>h</w:t>
      </w:r>
      <w:r>
        <w:rPr>
          <w:color w:val="auto"/>
          <w:szCs w:val="21"/>
          <w:vertAlign w:val="subscript"/>
        </w:rPr>
        <w:t>2</w:t>
      </w:r>
      <w:r>
        <w:rPr>
          <w:color w:val="auto"/>
          <w:szCs w:val="21"/>
        </w:rPr>
        <w:t>＜0.65时，杯壁可按表60构造配筋；其他情况下，应按计算配筋。</w:t>
      </w:r>
    </w:p>
    <w:p w14:paraId="0E70875A">
      <w:pPr>
        <w:adjustRightInd w:val="0"/>
        <w:snapToGrid w:val="0"/>
        <w:spacing w:before="240" w:line="360" w:lineRule="atLeast"/>
        <w:jc w:val="center"/>
        <w:rPr>
          <w:rFonts w:eastAsia="黑体"/>
          <w:b/>
          <w:bCs/>
          <w:color w:val="auto"/>
          <w:sz w:val="20"/>
          <w:szCs w:val="18"/>
        </w:rPr>
      </w:pPr>
      <w:r>
        <w:rPr>
          <w:rFonts w:eastAsia="黑体"/>
          <w:b/>
          <w:bCs/>
          <w:color w:val="auto"/>
          <w:sz w:val="20"/>
          <w:szCs w:val="18"/>
        </w:rPr>
        <w:t>表</w:t>
      </w:r>
      <w:r>
        <w:rPr>
          <w:rFonts w:eastAsia="黑体"/>
          <w:b/>
          <w:bCs/>
          <w:color w:val="auto"/>
          <w:szCs w:val="21"/>
        </w:rPr>
        <w:t xml:space="preserve">60 </w:t>
      </w:r>
      <w:r>
        <w:rPr>
          <w:rFonts w:eastAsia="黑体"/>
          <w:b/>
          <w:bCs/>
          <w:color w:val="auto"/>
          <w:sz w:val="20"/>
          <w:szCs w:val="18"/>
        </w:rPr>
        <w:t xml:space="preserve">  杯壁构造配筋</w:t>
      </w:r>
    </w:p>
    <w:tbl>
      <w:tblPr>
        <w:tblStyle w:val="36"/>
        <w:tblW w:w="92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95"/>
        <w:gridCol w:w="2305"/>
        <w:gridCol w:w="2309"/>
        <w:gridCol w:w="2335"/>
      </w:tblGrid>
      <w:tr w14:paraId="70F8F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95" w:type="dxa"/>
            <w:vAlign w:val="center"/>
          </w:tcPr>
          <w:p w14:paraId="6BBB1CA1">
            <w:pPr>
              <w:adjustRightInd w:val="0"/>
              <w:snapToGrid w:val="0"/>
              <w:jc w:val="center"/>
              <w:rPr>
                <w:color w:val="auto"/>
                <w:sz w:val="18"/>
                <w:szCs w:val="18"/>
              </w:rPr>
            </w:pPr>
            <w:r>
              <w:rPr>
                <w:color w:val="auto"/>
                <w:sz w:val="18"/>
                <w:szCs w:val="18"/>
              </w:rPr>
              <w:t>柱截面长边尺寸（</w:t>
            </w:r>
            <w:r>
              <w:rPr>
                <w:iCs/>
                <w:color w:val="auto"/>
                <w:sz w:val="18"/>
                <w:szCs w:val="18"/>
              </w:rPr>
              <w:t>mm</w:t>
            </w:r>
            <w:r>
              <w:rPr>
                <w:color w:val="auto"/>
                <w:sz w:val="18"/>
                <w:szCs w:val="18"/>
              </w:rPr>
              <w:t>）</w:t>
            </w:r>
          </w:p>
        </w:tc>
        <w:tc>
          <w:tcPr>
            <w:tcW w:w="2305" w:type="dxa"/>
            <w:vAlign w:val="center"/>
          </w:tcPr>
          <w:p w14:paraId="145551F0">
            <w:pPr>
              <w:adjustRightInd w:val="0"/>
              <w:snapToGrid w:val="0"/>
              <w:jc w:val="center"/>
              <w:rPr>
                <w:color w:val="auto"/>
                <w:sz w:val="18"/>
                <w:szCs w:val="18"/>
              </w:rPr>
            </w:pPr>
            <w:r>
              <w:rPr>
                <w:i/>
                <w:color w:val="auto"/>
                <w:sz w:val="18"/>
                <w:szCs w:val="18"/>
              </w:rPr>
              <w:t>h</w:t>
            </w:r>
            <w:r>
              <w:rPr>
                <w:color w:val="auto"/>
                <w:sz w:val="18"/>
                <w:szCs w:val="18"/>
              </w:rPr>
              <w:t>＜1000</w:t>
            </w:r>
          </w:p>
        </w:tc>
        <w:tc>
          <w:tcPr>
            <w:tcW w:w="2309" w:type="dxa"/>
            <w:vAlign w:val="center"/>
          </w:tcPr>
          <w:p w14:paraId="59823F45">
            <w:pPr>
              <w:adjustRightInd w:val="0"/>
              <w:snapToGrid w:val="0"/>
              <w:jc w:val="center"/>
              <w:rPr>
                <w:color w:val="auto"/>
                <w:sz w:val="18"/>
                <w:szCs w:val="18"/>
              </w:rPr>
            </w:pPr>
            <w:r>
              <w:rPr>
                <w:color w:val="auto"/>
                <w:sz w:val="18"/>
                <w:szCs w:val="18"/>
              </w:rPr>
              <w:t>1000≤</w:t>
            </w:r>
            <w:r>
              <w:rPr>
                <w:i/>
                <w:color w:val="auto"/>
                <w:sz w:val="18"/>
                <w:szCs w:val="18"/>
              </w:rPr>
              <w:t>h</w:t>
            </w:r>
            <w:r>
              <w:rPr>
                <w:color w:val="auto"/>
                <w:sz w:val="18"/>
                <w:szCs w:val="18"/>
              </w:rPr>
              <w:t>＜1500</w:t>
            </w:r>
          </w:p>
        </w:tc>
        <w:tc>
          <w:tcPr>
            <w:tcW w:w="2335" w:type="dxa"/>
            <w:vAlign w:val="center"/>
          </w:tcPr>
          <w:p w14:paraId="0532DCAB">
            <w:pPr>
              <w:adjustRightInd w:val="0"/>
              <w:snapToGrid w:val="0"/>
              <w:jc w:val="center"/>
              <w:rPr>
                <w:color w:val="auto"/>
                <w:sz w:val="18"/>
                <w:szCs w:val="18"/>
              </w:rPr>
            </w:pPr>
            <w:r>
              <w:rPr>
                <w:color w:val="auto"/>
                <w:sz w:val="18"/>
                <w:szCs w:val="18"/>
              </w:rPr>
              <w:t>1500≤</w:t>
            </w:r>
            <w:r>
              <w:rPr>
                <w:i/>
                <w:color w:val="auto"/>
                <w:sz w:val="18"/>
                <w:szCs w:val="18"/>
              </w:rPr>
              <w:t>h</w:t>
            </w:r>
            <w:r>
              <w:rPr>
                <w:color w:val="auto"/>
                <w:sz w:val="18"/>
                <w:szCs w:val="18"/>
              </w:rPr>
              <w:t>≤2000</w:t>
            </w:r>
          </w:p>
        </w:tc>
      </w:tr>
      <w:tr w14:paraId="3F224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95" w:type="dxa"/>
          </w:tcPr>
          <w:p w14:paraId="63A91655">
            <w:pPr>
              <w:adjustRightInd w:val="0"/>
              <w:snapToGrid w:val="0"/>
              <w:spacing w:line="300" w:lineRule="atLeast"/>
              <w:jc w:val="center"/>
              <w:rPr>
                <w:color w:val="auto"/>
                <w:sz w:val="18"/>
                <w:szCs w:val="18"/>
              </w:rPr>
            </w:pPr>
            <w:r>
              <w:rPr>
                <w:color w:val="auto"/>
                <w:sz w:val="18"/>
                <w:szCs w:val="18"/>
              </w:rPr>
              <w:t>钢筋直径（</w:t>
            </w:r>
            <w:r>
              <w:rPr>
                <w:iCs/>
                <w:color w:val="auto"/>
                <w:sz w:val="18"/>
                <w:szCs w:val="18"/>
              </w:rPr>
              <w:t>mm</w:t>
            </w:r>
            <w:r>
              <w:rPr>
                <w:color w:val="auto"/>
                <w:sz w:val="18"/>
                <w:szCs w:val="18"/>
              </w:rPr>
              <w:t>）</w:t>
            </w:r>
          </w:p>
        </w:tc>
        <w:tc>
          <w:tcPr>
            <w:tcW w:w="2305" w:type="dxa"/>
          </w:tcPr>
          <w:p w14:paraId="73C91542">
            <w:pPr>
              <w:adjustRightInd w:val="0"/>
              <w:snapToGrid w:val="0"/>
              <w:spacing w:line="300" w:lineRule="atLeast"/>
              <w:jc w:val="center"/>
              <w:rPr>
                <w:color w:val="auto"/>
                <w:sz w:val="18"/>
                <w:szCs w:val="18"/>
              </w:rPr>
            </w:pPr>
            <w:r>
              <w:rPr>
                <w:color w:val="auto"/>
                <w:sz w:val="18"/>
                <w:szCs w:val="18"/>
              </w:rPr>
              <w:t>8～10</w:t>
            </w:r>
          </w:p>
        </w:tc>
        <w:tc>
          <w:tcPr>
            <w:tcW w:w="2309" w:type="dxa"/>
          </w:tcPr>
          <w:p w14:paraId="745DA48D">
            <w:pPr>
              <w:adjustRightInd w:val="0"/>
              <w:snapToGrid w:val="0"/>
              <w:spacing w:line="300" w:lineRule="atLeast"/>
              <w:jc w:val="center"/>
              <w:rPr>
                <w:color w:val="auto"/>
                <w:sz w:val="18"/>
                <w:szCs w:val="18"/>
              </w:rPr>
            </w:pPr>
            <w:r>
              <w:rPr>
                <w:color w:val="auto"/>
                <w:sz w:val="18"/>
                <w:szCs w:val="18"/>
              </w:rPr>
              <w:t>10～12</w:t>
            </w:r>
          </w:p>
        </w:tc>
        <w:tc>
          <w:tcPr>
            <w:tcW w:w="2335" w:type="dxa"/>
          </w:tcPr>
          <w:p w14:paraId="2A1E5D46">
            <w:pPr>
              <w:adjustRightInd w:val="0"/>
              <w:snapToGrid w:val="0"/>
              <w:spacing w:line="300" w:lineRule="atLeast"/>
              <w:jc w:val="center"/>
              <w:rPr>
                <w:color w:val="auto"/>
                <w:sz w:val="18"/>
                <w:szCs w:val="18"/>
              </w:rPr>
            </w:pPr>
            <w:r>
              <w:rPr>
                <w:color w:val="auto"/>
                <w:sz w:val="18"/>
                <w:szCs w:val="18"/>
              </w:rPr>
              <w:t>12～16</w:t>
            </w:r>
          </w:p>
        </w:tc>
      </w:tr>
      <w:tr w14:paraId="64BF1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44" w:type="dxa"/>
            <w:gridSpan w:val="4"/>
          </w:tcPr>
          <w:p w14:paraId="2E0FBDAA">
            <w:pPr>
              <w:adjustRightInd w:val="0"/>
              <w:snapToGrid w:val="0"/>
              <w:spacing w:line="300" w:lineRule="atLeast"/>
              <w:rPr>
                <w:color w:val="auto"/>
                <w:sz w:val="18"/>
                <w:szCs w:val="18"/>
              </w:rPr>
            </w:pPr>
            <w:r>
              <w:rPr>
                <w:color w:val="auto"/>
                <w:sz w:val="18"/>
                <w:szCs w:val="18"/>
              </w:rPr>
              <w:t>注：表中钢筋置于杯口顶部，每边两根，见图24。</w:t>
            </w:r>
          </w:p>
        </w:tc>
      </w:tr>
    </w:tbl>
    <w:p w14:paraId="75ACC852">
      <w:pPr>
        <w:adjustRightInd w:val="0"/>
        <w:snapToGrid w:val="0"/>
        <w:spacing w:before="120" w:line="360" w:lineRule="atLeast"/>
        <w:rPr>
          <w:rFonts w:ascii="宋体" w:hAnsi="宋体"/>
          <w:color w:val="auto"/>
          <w:szCs w:val="21"/>
        </w:rPr>
      </w:pPr>
      <w:r>
        <w:rPr>
          <w:rFonts w:eastAsia="黑体"/>
          <w:b/>
          <w:color w:val="auto"/>
          <w:szCs w:val="21"/>
        </w:rPr>
        <w:t>13.1.10</w:t>
      </w:r>
      <w:r>
        <w:rPr>
          <w:rFonts w:ascii="宋体" w:hAnsi="宋体"/>
          <w:color w:val="auto"/>
          <w:szCs w:val="21"/>
        </w:rPr>
        <w:t xml:space="preserve">  扩展基础的计算应符合下列规定：</w:t>
      </w:r>
    </w:p>
    <w:p w14:paraId="39208442">
      <w:pPr>
        <w:adjustRightInd w:val="0"/>
        <w:snapToGrid w:val="0"/>
        <w:spacing w:line="360" w:lineRule="atLeast"/>
        <w:ind w:firstLine="420" w:firstLineChars="200"/>
        <w:rPr>
          <w:rFonts w:ascii="宋体" w:hAnsi="宋体"/>
          <w:color w:val="auto"/>
          <w:szCs w:val="21"/>
        </w:rPr>
      </w:pPr>
      <w:r>
        <w:rPr>
          <w:rFonts w:ascii="宋体" w:hAnsi="宋体"/>
          <w:color w:val="auto"/>
          <w:szCs w:val="21"/>
        </w:rPr>
        <w:t>a)  对柱下独立基础，当冲切</w:t>
      </w:r>
      <w:r>
        <w:rPr>
          <w:rFonts w:hint="eastAsia" w:ascii="宋体" w:hAnsi="宋体"/>
          <w:color w:val="auto"/>
          <w:szCs w:val="21"/>
        </w:rPr>
        <w:t>破坏</w:t>
      </w:r>
      <w:r>
        <w:rPr>
          <w:rFonts w:ascii="宋体" w:hAnsi="宋体"/>
          <w:color w:val="auto"/>
          <w:szCs w:val="21"/>
        </w:rPr>
        <w:t>锥体落在基础底面以内时，应验算柱</w:t>
      </w:r>
      <w:r>
        <w:rPr>
          <w:rFonts w:hint="eastAsia" w:ascii="宋体" w:hAnsi="宋体"/>
          <w:color w:val="auto"/>
          <w:szCs w:val="21"/>
        </w:rPr>
        <w:t>与</w:t>
      </w:r>
      <w:r>
        <w:rPr>
          <w:rFonts w:ascii="宋体" w:hAnsi="宋体"/>
          <w:color w:val="auto"/>
          <w:szCs w:val="21"/>
        </w:rPr>
        <w:t>基础交接处以及基础变阶处的受冲切承载力；</w:t>
      </w:r>
    </w:p>
    <w:p w14:paraId="35365854">
      <w:pPr>
        <w:adjustRightInd w:val="0"/>
        <w:snapToGrid w:val="0"/>
        <w:spacing w:line="360" w:lineRule="atLeast"/>
        <w:ind w:firstLine="420" w:firstLineChars="200"/>
        <w:rPr>
          <w:rFonts w:ascii="宋体" w:hAnsi="宋体"/>
          <w:color w:val="auto"/>
          <w:szCs w:val="21"/>
        </w:rPr>
      </w:pPr>
      <w:r>
        <w:rPr>
          <w:rFonts w:ascii="宋体" w:hAnsi="宋体"/>
          <w:color w:val="auto"/>
          <w:szCs w:val="21"/>
        </w:rPr>
        <w:t>b)  对基础底面短边尺寸小于或等于柱宽加两倍基础有效高度的柱下独立基础，以及墙下条形基础，应验算柱（墙）与基础交接处</w:t>
      </w:r>
      <w:r>
        <w:rPr>
          <w:rFonts w:hint="eastAsia" w:ascii="宋体" w:hAnsi="宋体"/>
          <w:color w:val="auto"/>
          <w:szCs w:val="21"/>
        </w:rPr>
        <w:t>以及基础变阶处</w:t>
      </w:r>
      <w:r>
        <w:rPr>
          <w:rFonts w:ascii="宋体" w:hAnsi="宋体"/>
          <w:color w:val="auto"/>
          <w:szCs w:val="21"/>
        </w:rPr>
        <w:t>的基础受剪切承载力；</w:t>
      </w:r>
    </w:p>
    <w:p w14:paraId="7CA36DEC">
      <w:pPr>
        <w:adjustRightInd w:val="0"/>
        <w:snapToGrid w:val="0"/>
        <w:spacing w:line="360" w:lineRule="atLeast"/>
        <w:ind w:firstLine="420" w:firstLineChars="200"/>
        <w:rPr>
          <w:rFonts w:ascii="宋体" w:hAnsi="宋体"/>
          <w:color w:val="auto"/>
          <w:szCs w:val="21"/>
        </w:rPr>
      </w:pPr>
      <w:r>
        <w:rPr>
          <w:rFonts w:ascii="宋体" w:hAnsi="宋体"/>
          <w:color w:val="auto"/>
          <w:szCs w:val="21"/>
        </w:rPr>
        <w:t>c)  基础底板的配筋，应按抗弯计算确定；</w:t>
      </w:r>
    </w:p>
    <w:p w14:paraId="1925B284">
      <w:pPr>
        <w:adjustRightInd w:val="0"/>
        <w:snapToGrid w:val="0"/>
        <w:spacing w:line="360" w:lineRule="atLeast"/>
        <w:ind w:firstLine="420" w:firstLineChars="200"/>
        <w:rPr>
          <w:rFonts w:ascii="宋体" w:hAnsi="宋体"/>
          <w:color w:val="auto"/>
          <w:szCs w:val="21"/>
        </w:rPr>
      </w:pPr>
      <w:r>
        <w:rPr>
          <w:rFonts w:ascii="宋体" w:hAnsi="宋体"/>
          <w:color w:val="auto"/>
          <w:szCs w:val="21"/>
        </w:rPr>
        <w:t>d)  当基础的混凝土强度等级小于柱的混凝土强度等级时，尚应验算柱下基础顶面的局部受压承载力。</w:t>
      </w:r>
    </w:p>
    <w:p w14:paraId="607CB991">
      <w:pPr>
        <w:adjustRightInd w:val="0"/>
        <w:snapToGrid w:val="0"/>
        <w:spacing w:line="360" w:lineRule="atLeast"/>
        <w:rPr>
          <w:color w:val="auto"/>
          <w:szCs w:val="21"/>
        </w:rPr>
      </w:pPr>
      <w:r>
        <w:rPr>
          <w:rFonts w:eastAsia="黑体"/>
          <w:b/>
          <w:color w:val="auto"/>
          <w:szCs w:val="21"/>
        </w:rPr>
        <w:t>13.1.11</w:t>
      </w:r>
      <w:r>
        <w:rPr>
          <w:rFonts w:hint="eastAsia" w:eastAsia="黑体"/>
          <w:b/>
          <w:color w:val="auto"/>
          <w:szCs w:val="21"/>
        </w:rPr>
        <w:t xml:space="preserve"> </w:t>
      </w:r>
      <w:r>
        <w:rPr>
          <w:color w:val="auto"/>
          <w:szCs w:val="21"/>
        </w:rPr>
        <w:t xml:space="preserve"> 柱下独立基础的受冲切承载力应按</w:t>
      </w:r>
      <w:r>
        <w:rPr>
          <w:rFonts w:hint="eastAsia"/>
          <w:color w:val="auto"/>
          <w:lang w:val="en-US" w:eastAsia="zh-CN"/>
        </w:rPr>
        <w:t>公式（105）~（107）</w:t>
      </w:r>
      <w:r>
        <w:rPr>
          <w:color w:val="auto"/>
          <w:szCs w:val="21"/>
        </w:rPr>
        <w:t>验算：</w:t>
      </w:r>
    </w:p>
    <w:p w14:paraId="24A44019">
      <w:pPr>
        <w:pStyle w:val="12"/>
        <w:jc w:val="right"/>
        <w:rPr>
          <w:color w:val="auto"/>
          <w:szCs w:val="21"/>
        </w:rPr>
      </w:pPr>
      <w:r>
        <w:rPr>
          <w:color w:val="auto"/>
          <w:position w:val="-12"/>
          <w:szCs w:val="21"/>
          <w:vertAlign w:val="subscript"/>
        </w:rPr>
        <w:object>
          <v:shape id="_x0000_i1522" o:spt="75" type="#_x0000_t75" style="height:21.75pt;width:15pt;" o:ole="t" filled="f" o:preferrelative="t" stroked="f" coordsize="21600,21600">
            <v:path/>
            <v:fill on="f" focussize="0,0"/>
            <v:stroke on="f" joinstyle="miter"/>
            <v:imagedata r:id="rId974" o:title=""/>
            <o:lock v:ext="edit" aspectratio="t"/>
            <w10:wrap type="none"/>
            <w10:anchorlock/>
          </v:shape>
          <o:OLEObject Type="Embed" ProgID="Equation.DSMT4" ShapeID="_x0000_i1522" DrawAspect="Content" ObjectID="_1468076222" r:id="rId973">
            <o:LockedField>false</o:LockedField>
          </o:OLEObject>
        </w:object>
      </w:r>
      <w:r>
        <w:rPr>
          <w:color w:val="auto"/>
          <w:szCs w:val="21"/>
        </w:rPr>
        <w:t>≤</w:t>
      </w:r>
      <w:r>
        <w:rPr>
          <w:color w:val="auto"/>
          <w:position w:val="-16"/>
          <w:szCs w:val="21"/>
          <w:vertAlign w:val="subscript"/>
        </w:rPr>
        <w:object>
          <v:shape id="_x0000_i1523" o:spt="75" type="#_x0000_t75" style="height:21.75pt;width:64.5pt;" o:ole="t" filled="f" o:preferrelative="t" stroked="f" coordsize="21600,21600">
            <v:path/>
            <v:fill on="f" focussize="0,0"/>
            <v:stroke on="f" joinstyle="miter"/>
            <v:imagedata r:id="rId976" o:title=""/>
            <o:lock v:ext="edit" aspectratio="t"/>
            <w10:wrap type="none"/>
            <w10:anchorlock/>
          </v:shape>
          <o:OLEObject Type="Embed" ProgID="Equation.DSMT4" ShapeID="_x0000_i1523" DrawAspect="Content" ObjectID="_1468076223" r:id="rId975">
            <o:LockedField>false</o:LockedField>
          </o:OLEObject>
        </w:object>
      </w:r>
      <w:r>
        <w:rPr>
          <w:color w:val="auto"/>
          <w:szCs w:val="21"/>
          <w:vertAlign w:val="superscript"/>
        </w:rPr>
        <w:t xml:space="preserve"> </w: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105</w:t>
      </w:r>
      <w:r>
        <w:rPr>
          <w:color w:val="auto"/>
          <w:szCs w:val="21"/>
        </w:rPr>
        <w:fldChar w:fldCharType="end"/>
      </w:r>
      <w:r>
        <w:rPr>
          <w:color w:val="auto"/>
          <w:szCs w:val="21"/>
        </w:rPr>
        <w:t>)</w:t>
      </w:r>
    </w:p>
    <w:p w14:paraId="1DA7414D">
      <w:pPr>
        <w:pStyle w:val="12"/>
        <w:jc w:val="right"/>
        <w:rPr>
          <w:color w:val="auto"/>
          <w:szCs w:val="21"/>
        </w:rPr>
      </w:pPr>
      <w:r>
        <w:rPr>
          <w:color w:val="auto"/>
          <w:position w:val="-24"/>
          <w:szCs w:val="21"/>
        </w:rPr>
        <w:object>
          <v:shape id="_x0000_i1524" o:spt="75" type="#_x0000_t75" style="height:28.5pt;width:57.75pt;" o:ole="t" filled="f" o:preferrelative="t" stroked="f" coordsize="21600,21600">
            <v:path/>
            <v:fill on="f" focussize="0,0"/>
            <v:stroke on="f" joinstyle="miter"/>
            <v:imagedata r:id="rId978" o:title=""/>
            <o:lock v:ext="edit" aspectratio="t"/>
            <w10:wrap type="none"/>
            <w10:anchorlock/>
          </v:shape>
          <o:OLEObject Type="Embed" ProgID="Equation.DSMT4" ShapeID="_x0000_i1524" DrawAspect="Content" ObjectID="_1468076224" r:id="rId977">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106</w:t>
      </w:r>
      <w:r>
        <w:rPr>
          <w:color w:val="auto"/>
          <w:szCs w:val="21"/>
        </w:rPr>
        <w:fldChar w:fldCharType="end"/>
      </w:r>
      <w:r>
        <w:rPr>
          <w:color w:val="auto"/>
          <w:szCs w:val="21"/>
        </w:rPr>
        <w:t>)</w:t>
      </w:r>
    </w:p>
    <w:p w14:paraId="2BA845DF">
      <w:pPr>
        <w:pStyle w:val="12"/>
        <w:jc w:val="right"/>
        <w:rPr>
          <w:color w:val="auto"/>
          <w:szCs w:val="21"/>
        </w:rPr>
      </w:pPr>
      <w:r>
        <w:rPr>
          <w:color w:val="auto"/>
          <w:position w:val="-14"/>
          <w:szCs w:val="21"/>
        </w:rPr>
        <w:object>
          <v:shape id="_x0000_i1525" o:spt="75" type="#_x0000_t75" style="height:21.75pt;width:43.5pt;" o:ole="t" filled="f" o:preferrelative="t" stroked="f" coordsize="21600,21600">
            <v:path/>
            <v:fill on="f" focussize="0,0"/>
            <v:stroke on="f" joinstyle="miter"/>
            <v:imagedata r:id="rId980" o:title=""/>
            <o:lock v:ext="edit" aspectratio="t"/>
            <w10:wrap type="none"/>
            <w10:anchorlock/>
          </v:shape>
          <o:OLEObject Type="Embed" ProgID="Equation.DSMT4" ShapeID="_x0000_i1525" DrawAspect="Content" ObjectID="_1468076225" r:id="rId97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107</w:t>
      </w:r>
      <w:r>
        <w:rPr>
          <w:color w:val="auto"/>
          <w:szCs w:val="21"/>
        </w:rPr>
        <w:fldChar w:fldCharType="end"/>
      </w:r>
      <w:r>
        <w:rPr>
          <w:color w:val="auto"/>
          <w:szCs w:val="21"/>
        </w:rPr>
        <w:t>)</w:t>
      </w:r>
    </w:p>
    <w:p w14:paraId="77ECB7BB">
      <w:pPr>
        <w:adjustRightInd w:val="0"/>
        <w:snapToGrid w:val="0"/>
        <w:spacing w:before="120" w:line="240" w:lineRule="atLeast"/>
        <w:ind w:left="1365" w:hanging="1365" w:hangingChars="650"/>
        <w:rPr>
          <w:color w:val="auto"/>
          <w:szCs w:val="21"/>
        </w:rPr>
      </w:pPr>
      <w:r>
        <w:rPr>
          <w:color w:val="auto"/>
          <w:szCs w:val="21"/>
        </w:rPr>
        <w:t xml:space="preserve">式中  </w:t>
      </w:r>
      <w:r>
        <w:rPr>
          <w:color w:val="auto"/>
          <w:position w:val="-14"/>
          <w:szCs w:val="21"/>
        </w:rPr>
        <w:object>
          <v:shape id="_x0000_i1526" o:spt="75" type="#_x0000_t75" style="height:21.75pt;width:21.75pt;" o:ole="t" filled="f" o:preferrelative="t" stroked="f" coordsize="21600,21600">
            <v:path/>
            <v:fill on="f" focussize="0,0"/>
            <v:stroke on="f" joinstyle="miter"/>
            <v:imagedata r:id="rId820" o:title=""/>
            <o:lock v:ext="edit" aspectratio="t"/>
            <w10:wrap type="none"/>
            <w10:anchorlock/>
          </v:shape>
          <o:OLEObject Type="Embed" ProgID="Equation.DSMT4" ShapeID="_x0000_i1526" DrawAspect="Content" ObjectID="_1468076226" r:id="rId981">
            <o:LockedField>false</o:LockedField>
          </o:OLEObject>
        </w:object>
      </w:r>
      <w:r>
        <w:rPr>
          <w:color w:val="auto"/>
          <w:szCs w:val="21"/>
        </w:rPr>
        <w:t>——受冲切承载力截面高度影响系数，按本文件第</w:t>
      </w:r>
      <w:r>
        <w:rPr>
          <w:rFonts w:eastAsia="黑体"/>
          <w:bCs/>
          <w:color w:val="auto"/>
          <w:szCs w:val="21"/>
        </w:rPr>
        <w:t>12.5.3</w:t>
      </w:r>
      <w:r>
        <w:rPr>
          <w:color w:val="auto"/>
          <w:szCs w:val="21"/>
        </w:rPr>
        <w:t>条规定取值；</w:t>
      </w:r>
    </w:p>
    <w:p w14:paraId="781EC3A0">
      <w:pPr>
        <w:adjustRightInd w:val="0"/>
        <w:snapToGrid w:val="0"/>
        <w:spacing w:line="360" w:lineRule="exact"/>
        <w:ind w:firstLine="720"/>
        <w:rPr>
          <w:color w:val="auto"/>
          <w:szCs w:val="21"/>
        </w:rPr>
      </w:pPr>
      <w:r>
        <w:rPr>
          <w:color w:val="auto"/>
          <w:position w:val="-12"/>
          <w:szCs w:val="21"/>
        </w:rPr>
        <w:object>
          <v:shape id="_x0000_i1527" o:spt="75" type="#_x0000_t75" style="height:21.75pt;width:15pt;" o:ole="t" filled="f" o:preferrelative="t" stroked="f" coordsize="21600,21600">
            <v:path/>
            <v:fill on="f" focussize="0,0"/>
            <v:stroke on="f" joinstyle="miter"/>
            <v:imagedata r:id="rId983" o:title=""/>
            <o:lock v:ext="edit" aspectratio="t"/>
            <w10:wrap type="none"/>
            <w10:anchorlock/>
          </v:shape>
          <o:OLEObject Type="Embed" ProgID="Equation.DSMT4" ShapeID="_x0000_i1527" DrawAspect="Content" ObjectID="_1468076227" r:id="rId982">
            <o:LockedField>false</o:LockedField>
          </o:OLEObject>
        </w:object>
      </w:r>
      <w:r>
        <w:rPr>
          <w:color w:val="auto"/>
          <w:szCs w:val="21"/>
        </w:rPr>
        <w:t>——混凝土轴心抗拉强度设计值；</w:t>
      </w:r>
    </w:p>
    <w:p w14:paraId="116DD829">
      <w:pPr>
        <w:adjustRightInd w:val="0"/>
        <w:snapToGrid w:val="0"/>
        <w:spacing w:line="360" w:lineRule="exact"/>
        <w:ind w:firstLine="720"/>
        <w:rPr>
          <w:color w:val="auto"/>
          <w:szCs w:val="21"/>
        </w:rPr>
      </w:pPr>
      <w:r>
        <w:rPr>
          <w:color w:val="auto"/>
          <w:position w:val="-12"/>
          <w:szCs w:val="21"/>
        </w:rPr>
        <w:object>
          <v:shape id="_x0000_i1528" o:spt="75" type="#_x0000_t75" style="height:21.75pt;width:15pt;" o:ole="t" filled="f" o:preferrelative="t" stroked="f" coordsize="21600,21600">
            <v:path/>
            <v:fill on="f" focussize="0,0"/>
            <v:stroke on="f" joinstyle="miter"/>
            <v:imagedata r:id="rId872" o:title=""/>
            <o:lock v:ext="edit" aspectratio="t"/>
            <w10:wrap type="none"/>
            <w10:anchorlock/>
          </v:shape>
          <o:OLEObject Type="Embed" ProgID="Equation.DSMT4" ShapeID="_x0000_i1528" DrawAspect="Content" ObjectID="_1468076228" r:id="rId984">
            <o:LockedField>false</o:LockedField>
          </o:OLEObject>
        </w:object>
      </w:r>
      <w:r>
        <w:rPr>
          <w:color w:val="auto"/>
          <w:szCs w:val="21"/>
        </w:rPr>
        <w:t>——基础冲切破坏锥体的有效高度；</w:t>
      </w:r>
    </w:p>
    <w:p w14:paraId="40A8D45E">
      <w:pPr>
        <w:adjustRightInd w:val="0"/>
        <w:snapToGrid w:val="0"/>
        <w:spacing w:line="360" w:lineRule="exact"/>
        <w:ind w:left="1438" w:leftChars="344" w:hanging="716" w:hangingChars="341"/>
        <w:rPr>
          <w:color w:val="auto"/>
          <w:szCs w:val="21"/>
        </w:rPr>
      </w:pPr>
      <w:r>
        <w:rPr>
          <w:color w:val="auto"/>
          <w:position w:val="-12"/>
          <w:szCs w:val="21"/>
        </w:rPr>
        <w:object>
          <v:shape id="_x0000_i1529" o:spt="75" type="#_x0000_t75" style="height:21.75pt;width:15pt;" o:ole="t" filled="f" o:preferrelative="t" stroked="f" coordsize="21600,21600">
            <v:path/>
            <v:fill on="f" focussize="0,0"/>
            <v:stroke on="f" joinstyle="miter"/>
            <v:imagedata r:id="rId986" o:title=""/>
            <o:lock v:ext="edit" aspectratio="t"/>
            <w10:wrap type="none"/>
            <w10:anchorlock/>
          </v:shape>
          <o:OLEObject Type="Embed" ProgID="Equation.DSMT4" ShapeID="_x0000_i1529" DrawAspect="Content" ObjectID="_1468076229" r:id="rId985">
            <o:LockedField>false</o:LockedField>
          </o:OLEObject>
        </w:object>
      </w:r>
      <w:r>
        <w:rPr>
          <w:color w:val="auto"/>
          <w:szCs w:val="21"/>
        </w:rPr>
        <w:t>——</w:t>
      </w:r>
      <w:r>
        <w:rPr>
          <w:color w:val="auto"/>
          <w:spacing w:val="-4"/>
          <w:szCs w:val="21"/>
        </w:rPr>
        <w:t>冲切破坏锥体最不利一侧斜截面的上边长，当计算柱与基础交接处的受冲切承载力时，取柱宽；当计算基础变阶处的受冲切承载力时，取上阶宽；</w:t>
      </w:r>
    </w:p>
    <w:p w14:paraId="57993666">
      <w:pPr>
        <w:adjustRightInd w:val="0"/>
        <w:snapToGrid w:val="0"/>
        <w:spacing w:before="60" w:line="360" w:lineRule="exact"/>
        <w:ind w:left="1434" w:leftChars="343" w:hanging="714" w:hangingChars="340"/>
        <w:rPr>
          <w:color w:val="auto"/>
          <w:szCs w:val="21"/>
        </w:rPr>
      </w:pPr>
      <w:r>
        <w:rPr>
          <w:color w:val="auto"/>
          <w:position w:val="-12"/>
          <w:szCs w:val="21"/>
        </w:rPr>
        <w:object>
          <v:shape id="_x0000_i1530" o:spt="75" type="#_x0000_t75" style="height:21.75pt;width:15pt;" o:ole="t" filled="f" o:preferrelative="t" stroked="f" coordsize="21600,21600">
            <v:path/>
            <v:fill on="f" focussize="0,0"/>
            <v:stroke on="f" joinstyle="miter"/>
            <v:imagedata r:id="rId988" o:title=""/>
            <o:lock v:ext="edit" aspectratio="t"/>
            <w10:wrap type="none"/>
            <w10:anchorlock/>
          </v:shape>
          <o:OLEObject Type="Embed" ProgID="Equation.DSMT4" ShapeID="_x0000_i1530" DrawAspect="Content" ObjectID="_1468076230" r:id="rId987">
            <o:LockedField>false</o:LockedField>
          </o:OLEObject>
        </w:object>
      </w:r>
      <w:r>
        <w:rPr>
          <w:color w:val="auto"/>
          <w:szCs w:val="21"/>
        </w:rPr>
        <w:t>——冲切破坏锥体最不利一侧斜截面在基础底面积范围内的下边长，当冲切破坏锥体的底面落在基础底面以内（图</w:t>
      </w:r>
      <w:r>
        <w:rPr>
          <w:rFonts w:eastAsia="黑体"/>
          <w:bCs/>
          <w:color w:val="auto"/>
          <w:szCs w:val="21"/>
        </w:rPr>
        <w:t>25</w:t>
      </w:r>
      <w:r>
        <w:rPr>
          <w:i/>
          <w:color w:val="auto"/>
          <w:szCs w:val="21"/>
        </w:rPr>
        <w:t>a</w:t>
      </w:r>
      <w:r>
        <w:rPr>
          <w:color w:val="auto"/>
          <w:szCs w:val="21"/>
        </w:rPr>
        <w:t>、</w:t>
      </w:r>
      <w:r>
        <w:rPr>
          <w:rFonts w:hint="eastAsia"/>
          <w:color w:val="auto"/>
          <w:szCs w:val="21"/>
        </w:rPr>
        <w:t>图25</w:t>
      </w:r>
      <w:r>
        <w:rPr>
          <w:i/>
          <w:color w:val="auto"/>
          <w:szCs w:val="21"/>
        </w:rPr>
        <w:t>b</w:t>
      </w:r>
      <w:r>
        <w:rPr>
          <w:color w:val="auto"/>
          <w:szCs w:val="21"/>
        </w:rPr>
        <w:t>），计算柱与基础交接处的受冲切承载力时，取柱宽加两倍基础有效高度；当计算基础变阶处的受冲切承载力时，取上阶宽加两倍该处的基础有效高度；当冲切破坏锥体的底面在</w:t>
      </w:r>
      <w:r>
        <w:rPr>
          <w:i/>
          <w:color w:val="auto"/>
          <w:szCs w:val="21"/>
        </w:rPr>
        <w:t>l</w:t>
      </w:r>
      <w:r>
        <w:rPr>
          <w:color w:val="auto"/>
          <w:szCs w:val="21"/>
        </w:rPr>
        <w:t>方向落在基础底面以外，即</w:t>
      </w:r>
      <w:r>
        <w:rPr>
          <w:i/>
          <w:color w:val="auto"/>
          <w:szCs w:val="21"/>
        </w:rPr>
        <w:t>a</w:t>
      </w:r>
      <w:r>
        <w:rPr>
          <w:color w:val="auto"/>
          <w:szCs w:val="21"/>
        </w:rPr>
        <w:t>+2</w:t>
      </w:r>
      <w:r>
        <w:rPr>
          <w:i/>
          <w:color w:val="auto"/>
          <w:szCs w:val="21"/>
        </w:rPr>
        <w:t>h</w:t>
      </w:r>
      <w:r>
        <w:rPr>
          <w:iCs/>
          <w:color w:val="auto"/>
          <w:sz w:val="28"/>
          <w:szCs w:val="21"/>
          <w:vertAlign w:val="subscript"/>
        </w:rPr>
        <w:t>0</w:t>
      </w:r>
      <w:r>
        <w:rPr>
          <w:color w:val="auto"/>
          <w:szCs w:val="21"/>
        </w:rPr>
        <w:t>≥</w:t>
      </w:r>
      <w:r>
        <w:rPr>
          <w:i/>
          <w:color w:val="auto"/>
          <w:szCs w:val="21"/>
        </w:rPr>
        <w:t>l</w:t>
      </w:r>
      <w:r>
        <w:rPr>
          <w:color w:val="auto"/>
          <w:szCs w:val="21"/>
        </w:rPr>
        <w:t>时（图</w:t>
      </w:r>
      <w:r>
        <w:rPr>
          <w:rFonts w:eastAsia="黑体"/>
          <w:bCs/>
          <w:color w:val="auto"/>
          <w:szCs w:val="21"/>
        </w:rPr>
        <w:t>25</w:t>
      </w:r>
      <w:r>
        <w:rPr>
          <w:i/>
          <w:color w:val="auto"/>
          <w:szCs w:val="21"/>
        </w:rPr>
        <w:t>c</w:t>
      </w:r>
      <w:r>
        <w:rPr>
          <w:color w:val="auto"/>
          <w:szCs w:val="21"/>
        </w:rPr>
        <w:t>），</w:t>
      </w:r>
      <w:r>
        <w:rPr>
          <w:i/>
          <w:color w:val="auto"/>
          <w:szCs w:val="21"/>
        </w:rPr>
        <w:t>a</w:t>
      </w:r>
      <w:r>
        <w:rPr>
          <w:color w:val="auto"/>
          <w:szCs w:val="21"/>
          <w:vertAlign w:val="subscript"/>
        </w:rPr>
        <w:t>b</w:t>
      </w:r>
      <w:r>
        <w:rPr>
          <w:color w:val="auto"/>
          <w:szCs w:val="21"/>
        </w:rPr>
        <w:t>=</w:t>
      </w:r>
      <w:r>
        <w:rPr>
          <w:i/>
          <w:color w:val="auto"/>
          <w:szCs w:val="21"/>
        </w:rPr>
        <w:t>l</w:t>
      </w:r>
      <w:r>
        <w:rPr>
          <w:color w:val="auto"/>
          <w:szCs w:val="21"/>
        </w:rPr>
        <w:t>；</w:t>
      </w:r>
    </w:p>
    <w:p w14:paraId="6A4D477F">
      <w:pPr>
        <w:adjustRightInd w:val="0"/>
        <w:snapToGrid w:val="0"/>
        <w:spacing w:line="360" w:lineRule="exact"/>
        <w:ind w:left="1410" w:leftChars="373" w:hanging="627" w:hangingChars="299"/>
        <w:rPr>
          <w:color w:val="auto"/>
          <w:szCs w:val="21"/>
        </w:rPr>
      </w:pPr>
      <w:r>
        <w:rPr>
          <w:i/>
          <w:iCs/>
          <w:color w:val="auto"/>
          <w:szCs w:val="21"/>
        </w:rPr>
        <w:t>a</w:t>
      </w:r>
      <w:r>
        <w:rPr>
          <w:color w:val="auto"/>
          <w:sz w:val="28"/>
          <w:szCs w:val="21"/>
          <w:vertAlign w:val="subscript"/>
        </w:rPr>
        <w:t>m</w:t>
      </w:r>
      <w:r>
        <w:rPr>
          <w:color w:val="auto"/>
          <w:szCs w:val="21"/>
        </w:rPr>
        <w:t>——冲切破坏锥体最不利一侧计算长度；</w:t>
      </w:r>
    </w:p>
    <w:p w14:paraId="51F743F6">
      <w:pPr>
        <w:adjustRightInd w:val="0"/>
        <w:snapToGrid w:val="0"/>
        <w:spacing w:line="240" w:lineRule="atLeast"/>
        <w:ind w:left="1413" w:leftChars="343" w:hanging="693" w:hangingChars="330"/>
        <w:rPr>
          <w:color w:val="auto"/>
          <w:szCs w:val="21"/>
        </w:rPr>
      </w:pPr>
      <w:r>
        <w:rPr>
          <w:color w:val="auto"/>
          <w:position w:val="-14"/>
          <w:szCs w:val="21"/>
        </w:rPr>
        <w:object>
          <v:shape id="_x0000_i1531" o:spt="75" type="#_x0000_t75" style="height:21.75pt;width:15pt;" o:ole="t" filled="f" o:preferrelative="t" stroked="f" coordsize="21600,21600">
            <v:path/>
            <v:fill on="f" focussize="0,0"/>
            <v:stroke on="f" joinstyle="miter"/>
            <v:imagedata r:id="rId990" o:title=""/>
            <o:lock v:ext="edit" aspectratio="t"/>
            <w10:wrap type="none"/>
            <w10:anchorlock/>
          </v:shape>
          <o:OLEObject Type="Embed" ProgID="Equation.DSMT4" ShapeID="_x0000_i1531" DrawAspect="Content" ObjectID="_1468076231" r:id="rId989">
            <o:LockedField>false</o:LockedField>
          </o:OLEObject>
        </w:object>
      </w:r>
      <w:r>
        <w:rPr>
          <w:color w:val="auto"/>
          <w:szCs w:val="21"/>
        </w:rPr>
        <w:t>——</w:t>
      </w:r>
      <w:r>
        <w:rPr>
          <w:color w:val="auto"/>
          <w:spacing w:val="-4"/>
          <w:szCs w:val="21"/>
        </w:rPr>
        <w:t>扣除基础自重及其上土重后相应于作用的基本组合时的地基土单位面积净反力，对偏心受压基础可取基础边缘处最大地基土单位面积净反力；</w:t>
      </w:r>
    </w:p>
    <w:p w14:paraId="5D01C6E7">
      <w:pPr>
        <w:adjustRightInd w:val="0"/>
        <w:snapToGrid w:val="0"/>
        <w:spacing w:line="360" w:lineRule="exact"/>
        <w:ind w:left="1429" w:leftChars="343" w:hanging="709" w:hangingChars="338"/>
        <w:rPr>
          <w:color w:val="auto"/>
          <w:szCs w:val="21"/>
        </w:rPr>
      </w:pPr>
      <w:r>
        <w:rPr>
          <w:color w:val="auto"/>
          <w:position w:val="-12"/>
          <w:szCs w:val="21"/>
        </w:rPr>
        <w:object>
          <v:shape id="_x0000_i1532" o:spt="75" type="#_x0000_t75" style="height:21.75pt;width:15pt;" o:ole="t" filled="f" o:preferrelative="t" stroked="f" coordsize="21600,21600">
            <v:path/>
            <v:fill on="f" focussize="0,0"/>
            <v:stroke on="f" joinstyle="miter"/>
            <v:imagedata r:id="rId992" o:title=""/>
            <o:lock v:ext="edit" aspectratio="t"/>
            <w10:wrap type="none"/>
            <w10:anchorlock/>
          </v:shape>
          <o:OLEObject Type="Embed" ProgID="Equation.DSMT4" ShapeID="_x0000_i1532" DrawAspect="Content" ObjectID="_1468076232" r:id="rId991">
            <o:LockedField>false</o:LockedField>
          </o:OLEObject>
        </w:object>
      </w:r>
      <w:r>
        <w:rPr>
          <w:color w:val="auto"/>
          <w:szCs w:val="21"/>
        </w:rPr>
        <w:t>——冲切验算时取用的部分基底面积（图</w:t>
      </w:r>
      <w:r>
        <w:rPr>
          <w:rFonts w:eastAsia="黑体"/>
          <w:bCs/>
          <w:color w:val="auto"/>
          <w:szCs w:val="21"/>
        </w:rPr>
        <w:t>25</w:t>
      </w:r>
      <w:r>
        <w:rPr>
          <w:rFonts w:eastAsia="黑体"/>
          <w:bCs/>
          <w:i/>
          <w:color w:val="auto"/>
          <w:szCs w:val="21"/>
        </w:rPr>
        <w:t>a</w:t>
      </w:r>
      <w:r>
        <w:rPr>
          <w:color w:val="auto"/>
          <w:szCs w:val="21"/>
        </w:rPr>
        <w:t>、</w:t>
      </w:r>
      <w:r>
        <w:rPr>
          <w:rFonts w:hint="eastAsia"/>
          <w:color w:val="auto"/>
          <w:szCs w:val="21"/>
        </w:rPr>
        <w:t>图25</w:t>
      </w:r>
      <w:r>
        <w:rPr>
          <w:i/>
          <w:color w:val="auto"/>
          <w:szCs w:val="21"/>
        </w:rPr>
        <w:t>b</w:t>
      </w:r>
      <w:r>
        <w:rPr>
          <w:color w:val="auto"/>
          <w:szCs w:val="21"/>
        </w:rPr>
        <w:t>中阴影面积ABCDEF，或</w:t>
      </w:r>
      <w:r>
        <w:rPr>
          <w:rFonts w:hint="eastAsia"/>
          <w:color w:val="auto"/>
          <w:szCs w:val="21"/>
        </w:rPr>
        <w:t>图</w:t>
      </w:r>
      <w:r>
        <w:rPr>
          <w:rFonts w:eastAsia="黑体"/>
          <w:bCs/>
          <w:color w:val="auto"/>
          <w:szCs w:val="21"/>
        </w:rPr>
        <w:t>25</w:t>
      </w:r>
      <w:r>
        <w:rPr>
          <w:i/>
          <w:color w:val="auto"/>
          <w:szCs w:val="21"/>
        </w:rPr>
        <w:t>c</w:t>
      </w:r>
      <w:r>
        <w:rPr>
          <w:color w:val="auto"/>
          <w:szCs w:val="21"/>
        </w:rPr>
        <w:t>中阴影面积ABDC）；</w:t>
      </w:r>
    </w:p>
    <w:p w14:paraId="0D7C2F7F">
      <w:pPr>
        <w:adjustRightInd w:val="0"/>
        <w:snapToGrid w:val="0"/>
        <w:spacing w:line="360" w:lineRule="exact"/>
        <w:ind w:left="1429" w:leftChars="343" w:hanging="709" w:hangingChars="338"/>
        <w:rPr>
          <w:color w:val="auto"/>
          <w:szCs w:val="21"/>
        </w:rPr>
      </w:pPr>
      <w:r>
        <w:rPr>
          <w:color w:val="auto"/>
          <w:position w:val="-12"/>
          <w:szCs w:val="21"/>
        </w:rPr>
        <w:object>
          <v:shape id="_x0000_i1533" o:spt="75" type="#_x0000_t75" style="height:21.75pt;width:15pt;" o:ole="t" filled="f" o:preferrelative="t" stroked="f" coordsize="21600,21600">
            <v:path/>
            <v:fill on="f" focussize="0,0"/>
            <v:stroke on="f" joinstyle="miter"/>
            <v:imagedata r:id="rId974" o:title=""/>
            <o:lock v:ext="edit" aspectratio="t"/>
            <w10:wrap type="none"/>
            <w10:anchorlock/>
          </v:shape>
          <o:OLEObject Type="Embed" ProgID="Equation.DSMT4" ShapeID="_x0000_i1533" DrawAspect="Content" ObjectID="_1468076233" r:id="rId993">
            <o:LockedField>false</o:LockedField>
          </o:OLEObject>
        </w:object>
      </w:r>
      <w:r>
        <w:rPr>
          <w:color w:val="auto"/>
          <w:szCs w:val="21"/>
        </w:rPr>
        <w:t>——相应于作用的基本组合时作用在</w:t>
      </w:r>
      <w:r>
        <w:rPr>
          <w:i/>
          <w:color w:val="auto"/>
          <w:szCs w:val="21"/>
        </w:rPr>
        <w:t>A</w:t>
      </w:r>
      <w:r>
        <w:rPr>
          <w:i/>
          <w:color w:val="auto"/>
          <w:szCs w:val="21"/>
          <w:vertAlign w:val="subscript"/>
        </w:rPr>
        <w:t>l</w:t>
      </w:r>
      <w:r>
        <w:rPr>
          <w:color w:val="auto"/>
          <w:szCs w:val="21"/>
        </w:rPr>
        <w:t>上的地基土净反力设计值。</w:t>
      </w:r>
    </w:p>
    <w:p w14:paraId="1093F38E">
      <w:pPr>
        <w:adjustRightInd w:val="0"/>
        <w:snapToGrid w:val="0"/>
        <w:spacing w:before="120" w:line="360" w:lineRule="atLeast"/>
        <w:jc w:val="center"/>
        <w:rPr>
          <w:color w:val="auto"/>
          <w:szCs w:val="21"/>
        </w:rPr>
      </w:pPr>
      <w:r>
        <w:rPr>
          <w:color w:val="auto"/>
          <w:sz w:val="18"/>
          <w:szCs w:val="18"/>
        </w:rPr>
        <w:drawing>
          <wp:inline distT="0" distB="0" distL="0" distR="0">
            <wp:extent cx="4000500" cy="209550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a:xfrm>
                      <a:off x="0" y="0"/>
                      <a:ext cx="4000500" cy="2095500"/>
                    </a:xfrm>
                    <a:prstGeom prst="rect">
                      <a:avLst/>
                    </a:prstGeom>
                    <a:noFill/>
                    <a:ln>
                      <a:noFill/>
                    </a:ln>
                  </pic:spPr>
                </pic:pic>
              </a:graphicData>
            </a:graphic>
          </wp:inline>
        </w:drawing>
      </w:r>
    </w:p>
    <w:p w14:paraId="5617A206">
      <w:pPr>
        <w:adjustRightInd w:val="0"/>
        <w:snapToGrid w:val="0"/>
        <w:spacing w:line="260" w:lineRule="atLeast"/>
        <w:jc w:val="center"/>
        <w:rPr>
          <w:b/>
          <w:color w:val="auto"/>
          <w:sz w:val="18"/>
          <w:szCs w:val="18"/>
        </w:rPr>
      </w:pPr>
      <w:r>
        <w:rPr>
          <w:b/>
          <w:color w:val="auto"/>
          <w:sz w:val="18"/>
          <w:szCs w:val="18"/>
        </w:rPr>
        <w:t>图25  计算阶形基础的受冲切承载力截面位置示意</w:t>
      </w:r>
    </w:p>
    <w:p w14:paraId="1A88C12B">
      <w:pPr>
        <w:adjustRightInd w:val="0"/>
        <w:snapToGrid w:val="0"/>
        <w:spacing w:line="260" w:lineRule="atLeast"/>
        <w:jc w:val="center"/>
        <w:rPr>
          <w:color w:val="auto"/>
          <w:sz w:val="18"/>
          <w:szCs w:val="18"/>
        </w:rPr>
      </w:pPr>
      <w:r>
        <w:rPr>
          <w:color w:val="auto"/>
          <w:sz w:val="18"/>
          <w:szCs w:val="18"/>
        </w:rPr>
        <w:t>(</w:t>
      </w:r>
      <w:r>
        <w:rPr>
          <w:iCs/>
          <w:color w:val="auto"/>
          <w:sz w:val="18"/>
          <w:szCs w:val="18"/>
        </w:rPr>
        <w:t>a</w:t>
      </w:r>
      <w:r>
        <w:rPr>
          <w:color w:val="auto"/>
          <w:sz w:val="18"/>
          <w:szCs w:val="18"/>
        </w:rPr>
        <w:t xml:space="preserve">) </w:t>
      </w:r>
      <w:r>
        <w:rPr>
          <w:rFonts w:hint="eastAsia"/>
          <w:color w:val="auto"/>
          <w:sz w:val="18"/>
          <w:szCs w:val="18"/>
        </w:rPr>
        <w:t>、</w:t>
      </w:r>
      <w:r>
        <w:rPr>
          <w:color w:val="auto"/>
          <w:sz w:val="18"/>
          <w:szCs w:val="18"/>
        </w:rPr>
        <w:t>(</w:t>
      </w:r>
      <w:r>
        <w:rPr>
          <w:color w:val="auto"/>
          <w:szCs w:val="21"/>
        </w:rPr>
        <w:t>c</w:t>
      </w:r>
      <w:r>
        <w:rPr>
          <w:color w:val="auto"/>
          <w:sz w:val="18"/>
          <w:szCs w:val="18"/>
        </w:rPr>
        <w:t>)柱与基础交接处    (</w:t>
      </w:r>
      <w:r>
        <w:rPr>
          <w:iCs/>
          <w:color w:val="auto"/>
          <w:sz w:val="18"/>
          <w:szCs w:val="18"/>
        </w:rPr>
        <w:t>b</w:t>
      </w:r>
      <w:r>
        <w:rPr>
          <w:color w:val="auto"/>
          <w:sz w:val="18"/>
          <w:szCs w:val="18"/>
        </w:rPr>
        <w:t>)基础变阶处</w:t>
      </w:r>
    </w:p>
    <w:p w14:paraId="481F9E6E">
      <w:pPr>
        <w:adjustRightInd w:val="0"/>
        <w:snapToGrid w:val="0"/>
        <w:spacing w:line="260" w:lineRule="atLeast"/>
        <w:ind w:firstLine="567"/>
        <w:jc w:val="center"/>
        <w:rPr>
          <w:color w:val="auto"/>
          <w:sz w:val="18"/>
          <w:szCs w:val="18"/>
        </w:rPr>
      </w:pPr>
      <w:r>
        <w:rPr>
          <w:color w:val="auto"/>
          <w:sz w:val="18"/>
          <w:szCs w:val="18"/>
        </w:rPr>
        <w:t>1-冲切破坏锥体最不利一侧的斜截面；2-冲切破坏锥体的底面线</w:t>
      </w:r>
    </w:p>
    <w:p w14:paraId="0BED4692">
      <w:pPr>
        <w:adjustRightInd w:val="0"/>
        <w:snapToGrid w:val="0"/>
        <w:spacing w:before="120" w:line="360" w:lineRule="atLeast"/>
        <w:rPr>
          <w:color w:val="auto"/>
          <w:szCs w:val="21"/>
        </w:rPr>
      </w:pPr>
      <w:r>
        <w:rPr>
          <w:rFonts w:eastAsia="黑体"/>
          <w:b/>
          <w:color w:val="auto"/>
          <w:szCs w:val="21"/>
        </w:rPr>
        <w:t>13.1.12</w:t>
      </w:r>
      <w:r>
        <w:rPr>
          <w:rFonts w:hint="eastAsia" w:eastAsia="黑体"/>
          <w:b/>
          <w:color w:val="auto"/>
          <w:szCs w:val="21"/>
        </w:rPr>
        <w:t xml:space="preserve"> </w:t>
      </w:r>
      <w:r>
        <w:rPr>
          <w:rFonts w:eastAsia="黑体"/>
          <w:b/>
          <w:color w:val="auto"/>
          <w:szCs w:val="21"/>
        </w:rPr>
        <w:t xml:space="preserve"> </w:t>
      </w:r>
      <w:r>
        <w:rPr>
          <w:bCs/>
          <w:color w:val="auto"/>
          <w:szCs w:val="21"/>
        </w:rPr>
        <w:t>在轴心荷载或单向偏心荷载作用下底板受弯可按下列简化方法计算：</w:t>
      </w:r>
    </w:p>
    <w:p w14:paraId="43070AD8">
      <w:pPr>
        <w:adjustRightInd w:val="0"/>
        <w:snapToGrid w:val="0"/>
        <w:spacing w:line="360" w:lineRule="atLeast"/>
        <w:ind w:left="990" w:leftChars="342" w:hanging="272" w:hangingChars="129"/>
        <w:rPr>
          <w:color w:val="auto"/>
          <w:szCs w:val="21"/>
        </w:rPr>
      </w:pPr>
      <w:r>
        <w:rPr>
          <w:rFonts w:eastAsia="黑体"/>
          <w:b/>
          <w:color w:val="auto"/>
          <w:szCs w:val="21"/>
        </w:rPr>
        <w:t>a</w:t>
      </w:r>
      <w:r>
        <w:rPr>
          <w:rFonts w:hint="eastAsia" w:eastAsia="黑体"/>
          <w:b/>
          <w:color w:val="auto"/>
          <w:szCs w:val="21"/>
        </w:rPr>
        <w:t>）</w:t>
      </w:r>
      <w:r>
        <w:rPr>
          <w:color w:val="auto"/>
          <w:szCs w:val="21"/>
        </w:rPr>
        <w:t>对于矩形基础，当台阶的宽高比不大于2.5和偏心矩不大于1/6基础宽度时，任意截面的弯矩可按</w:t>
      </w:r>
      <w:r>
        <w:rPr>
          <w:rFonts w:hint="eastAsia"/>
          <w:color w:val="auto"/>
          <w:lang w:val="en-US" w:eastAsia="zh-CN"/>
        </w:rPr>
        <w:t>公式（108）~（109）</w:t>
      </w:r>
      <w:r>
        <w:rPr>
          <w:color w:val="auto"/>
          <w:szCs w:val="21"/>
        </w:rPr>
        <w:t>计算（图26）：</w:t>
      </w:r>
    </w:p>
    <w:p w14:paraId="510CC5F7">
      <w:pPr>
        <w:pStyle w:val="12"/>
        <w:jc w:val="right"/>
        <w:rPr>
          <w:color w:val="auto"/>
          <w:szCs w:val="21"/>
        </w:rPr>
      </w:pPr>
      <w:r>
        <w:rPr>
          <w:color w:val="auto"/>
          <w:position w:val="-26"/>
          <w:szCs w:val="21"/>
        </w:rPr>
        <w:object>
          <v:shape id="_x0000_i1534" o:spt="75" type="#_x0000_t75" style="height:28.5pt;width:201.75pt;" o:ole="t" filled="f" o:preferrelative="t" stroked="f" coordsize="21600,21600">
            <v:path/>
            <v:fill on="f" focussize="0,0"/>
            <v:stroke on="f" joinstyle="miter"/>
            <v:imagedata r:id="rId996" o:title=""/>
            <o:lock v:ext="edit" aspectratio="t"/>
            <w10:wrap type="none"/>
            <w10:anchorlock/>
          </v:shape>
          <o:OLEObject Type="Embed" ProgID="Equation.DSMT4" ShapeID="_x0000_i1534" DrawAspect="Content" ObjectID="_1468076234" r:id="rId99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108</w:t>
      </w:r>
      <w:r>
        <w:rPr>
          <w:color w:val="auto"/>
          <w:szCs w:val="21"/>
        </w:rPr>
        <w:fldChar w:fldCharType="end"/>
      </w:r>
      <w:r>
        <w:rPr>
          <w:color w:val="auto"/>
          <w:szCs w:val="21"/>
        </w:rPr>
        <w:t>)</w:t>
      </w:r>
    </w:p>
    <w:p w14:paraId="09589A45">
      <w:pPr>
        <w:pStyle w:val="12"/>
        <w:jc w:val="right"/>
        <w:rPr>
          <w:color w:val="auto"/>
          <w:szCs w:val="21"/>
        </w:rPr>
      </w:pPr>
      <w:r>
        <w:rPr>
          <w:color w:val="auto"/>
          <w:position w:val="-24"/>
          <w:szCs w:val="21"/>
        </w:rPr>
        <w:object>
          <v:shape id="_x0000_i1535" o:spt="75" type="#_x0000_t75" style="height:28.5pt;width:180pt;" o:ole="t" filled="f" o:preferrelative="t" stroked="f" coordsize="21600,21600">
            <v:path/>
            <v:fill on="f" focussize="0,0"/>
            <v:stroke on="f" joinstyle="miter"/>
            <v:imagedata r:id="rId998" o:title=""/>
            <o:lock v:ext="edit" aspectratio="t"/>
            <w10:wrap type="none"/>
            <w10:anchorlock/>
          </v:shape>
          <o:OLEObject Type="Embed" ProgID="Equation.DSMT4" ShapeID="_x0000_i1535" DrawAspect="Content" ObjectID="_1468076235" r:id="rId997">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109</w:t>
      </w:r>
      <w:r>
        <w:rPr>
          <w:color w:val="auto"/>
          <w:szCs w:val="21"/>
        </w:rPr>
        <w:fldChar w:fldCharType="end"/>
      </w:r>
      <w:r>
        <w:rPr>
          <w:color w:val="auto"/>
          <w:szCs w:val="21"/>
        </w:rPr>
        <w:t>)</w:t>
      </w:r>
    </w:p>
    <w:p w14:paraId="7E0C3578">
      <w:pPr>
        <w:adjustRightInd w:val="0"/>
        <w:snapToGrid w:val="0"/>
        <w:spacing w:before="240" w:line="340" w:lineRule="atLeast"/>
        <w:ind w:left="1978" w:leftChars="10" w:hanging="1957" w:hangingChars="932"/>
        <w:rPr>
          <w:color w:val="auto"/>
          <w:szCs w:val="21"/>
        </w:rPr>
      </w:pPr>
      <w:r>
        <w:rPr>
          <w:color w:val="auto"/>
          <w:szCs w:val="21"/>
        </w:rPr>
        <w:t xml:space="preserve">式中  </w:t>
      </w:r>
      <w:r>
        <w:rPr>
          <w:color w:val="auto"/>
          <w:position w:val="-12"/>
          <w:szCs w:val="21"/>
        </w:rPr>
        <w:object>
          <v:shape id="_x0000_i1536" o:spt="75" type="#_x0000_t75" style="height:21.75pt;width:15pt;" o:ole="t" filled="f" o:preferrelative="t" stroked="f" coordsize="21600,21600">
            <v:path/>
            <v:fill on="f" focussize="0,0"/>
            <v:stroke on="f" joinstyle="miter"/>
            <v:imagedata r:id="rId1000" o:title=""/>
            <o:lock v:ext="edit" aspectratio="t"/>
            <w10:wrap type="none"/>
            <w10:anchorlock/>
          </v:shape>
          <o:OLEObject Type="Embed" ProgID="Equation.DSMT4" ShapeID="_x0000_i1536" DrawAspect="Content" ObjectID="_1468076236" r:id="rId999">
            <o:LockedField>false</o:LockedField>
          </o:OLEObject>
        </w:object>
      </w:r>
      <w:r>
        <w:rPr>
          <w:color w:val="auto"/>
          <w:szCs w:val="21"/>
        </w:rPr>
        <w:t>、</w:t>
      </w:r>
      <w:r>
        <w:rPr>
          <w:color w:val="auto"/>
          <w:position w:val="-12"/>
          <w:szCs w:val="21"/>
        </w:rPr>
        <w:object>
          <v:shape id="_x0000_i1537" o:spt="75" type="#_x0000_t75" style="height:21.75pt;width:21.75pt;" o:ole="t" filled="f" o:preferrelative="t" stroked="f" coordsize="21600,21600">
            <v:path/>
            <v:fill on="f" focussize="0,0"/>
            <v:stroke on="f" joinstyle="miter"/>
            <v:imagedata r:id="rId1002" o:title=""/>
            <o:lock v:ext="edit" aspectratio="t"/>
            <w10:wrap type="none"/>
            <w10:anchorlock/>
          </v:shape>
          <o:OLEObject Type="Embed" ProgID="Equation.DSMT4" ShapeID="_x0000_i1537" DrawAspect="Content" ObjectID="_1468076237" r:id="rId1001">
            <o:LockedField>false</o:LockedField>
          </o:OLEObject>
        </w:object>
      </w:r>
      <w:r>
        <w:rPr>
          <w:color w:val="auto"/>
          <w:szCs w:val="21"/>
        </w:rPr>
        <w:t>——任意截面</w:t>
      </w:r>
      <w:r>
        <w:rPr>
          <w:rFonts w:hAnsi="宋体"/>
          <w:color w:val="auto"/>
          <w:szCs w:val="21"/>
        </w:rPr>
        <w:t>Ⅰ</w:t>
      </w:r>
      <w:r>
        <w:rPr>
          <w:color w:val="auto"/>
          <w:szCs w:val="21"/>
        </w:rPr>
        <w:t>-</w:t>
      </w:r>
      <w:r>
        <w:rPr>
          <w:rFonts w:hAnsi="宋体"/>
          <w:color w:val="auto"/>
          <w:szCs w:val="21"/>
        </w:rPr>
        <w:t>Ⅰ</w:t>
      </w:r>
      <w:r>
        <w:rPr>
          <w:color w:val="auto"/>
          <w:szCs w:val="21"/>
        </w:rPr>
        <w:t>、</w:t>
      </w:r>
      <w:r>
        <w:rPr>
          <w:rFonts w:hAnsi="宋体"/>
          <w:color w:val="auto"/>
          <w:szCs w:val="21"/>
        </w:rPr>
        <w:t>Ⅱ</w:t>
      </w:r>
      <w:r>
        <w:rPr>
          <w:color w:val="auto"/>
          <w:szCs w:val="21"/>
        </w:rPr>
        <w:t>-</w:t>
      </w:r>
      <w:r>
        <w:rPr>
          <w:rFonts w:hAnsi="宋体"/>
          <w:color w:val="auto"/>
          <w:szCs w:val="21"/>
        </w:rPr>
        <w:t>Ⅱ</w:t>
      </w:r>
      <w:r>
        <w:rPr>
          <w:color w:val="auto"/>
          <w:szCs w:val="21"/>
        </w:rPr>
        <w:t>处相应于作用的基本组合时的弯矩设计值；</w:t>
      </w:r>
    </w:p>
    <w:p w14:paraId="077C51F2">
      <w:pPr>
        <w:adjustRightInd w:val="0"/>
        <w:snapToGrid w:val="0"/>
        <w:spacing w:line="340" w:lineRule="atLeast"/>
        <w:ind w:left="10" w:firstLine="1302" w:firstLineChars="620"/>
        <w:rPr>
          <w:color w:val="auto"/>
          <w:szCs w:val="21"/>
        </w:rPr>
      </w:pPr>
      <w:r>
        <w:rPr>
          <w:color w:val="auto"/>
          <w:position w:val="-12"/>
          <w:szCs w:val="21"/>
        </w:rPr>
        <w:object>
          <v:shape id="_x0000_i1538" o:spt="75" type="#_x0000_t75" style="height:21.75pt;width:15pt;" o:ole="t" filled="f" o:preferrelative="t" stroked="f" coordsize="21600,21600">
            <v:path/>
            <v:fill on="f" focussize="0,0"/>
            <v:stroke on="f" joinstyle="miter"/>
            <v:imagedata r:id="rId1004" o:title=""/>
            <o:lock v:ext="edit" aspectratio="t"/>
            <w10:wrap type="none"/>
            <w10:anchorlock/>
          </v:shape>
          <o:OLEObject Type="Embed" ProgID="Equation.DSMT4" ShapeID="_x0000_i1538" DrawAspect="Content" ObjectID="_1468076238" r:id="rId1003">
            <o:LockedField>false</o:LockedField>
          </o:OLEObject>
        </w:object>
      </w:r>
      <w:r>
        <w:rPr>
          <w:color w:val="auto"/>
          <w:szCs w:val="21"/>
        </w:rPr>
        <w:t>——任意截面</w:t>
      </w:r>
      <w:r>
        <w:rPr>
          <w:rFonts w:hAnsi="宋体"/>
          <w:color w:val="auto"/>
          <w:szCs w:val="21"/>
        </w:rPr>
        <w:t>Ⅰ</w:t>
      </w:r>
      <w:r>
        <w:rPr>
          <w:color w:val="auto"/>
          <w:szCs w:val="21"/>
        </w:rPr>
        <w:t>-</w:t>
      </w:r>
      <w:r>
        <w:rPr>
          <w:rFonts w:hAnsi="宋体"/>
          <w:color w:val="auto"/>
          <w:szCs w:val="21"/>
        </w:rPr>
        <w:t>Ⅰ</w:t>
      </w:r>
      <w:r>
        <w:rPr>
          <w:color w:val="auto"/>
          <w:szCs w:val="21"/>
        </w:rPr>
        <w:t>至基底边缘最大反力处的距离；</w:t>
      </w:r>
    </w:p>
    <w:p w14:paraId="53086692">
      <w:pPr>
        <w:adjustRightInd w:val="0"/>
        <w:snapToGrid w:val="0"/>
        <w:spacing w:line="340" w:lineRule="atLeast"/>
        <w:ind w:left="10" w:firstLine="1020" w:firstLineChars="486"/>
        <w:rPr>
          <w:color w:val="auto"/>
          <w:szCs w:val="21"/>
        </w:rPr>
      </w:pPr>
      <w:r>
        <w:rPr>
          <w:color w:val="auto"/>
          <w:position w:val="-6"/>
          <w:szCs w:val="21"/>
        </w:rPr>
        <w:object>
          <v:shape id="_x0000_i1539" o:spt="75" type="#_x0000_t75" style="height:15pt;width:8.25pt;" o:ole="t" filled="f" o:preferrelative="t" stroked="f" coordsize="21600,21600">
            <v:path/>
            <v:fill on="f" focussize="0,0"/>
            <v:stroke on="f" joinstyle="miter"/>
            <v:imagedata r:id="rId1006" o:title=""/>
            <o:lock v:ext="edit" aspectratio="t"/>
            <w10:wrap type="none"/>
            <w10:anchorlock/>
          </v:shape>
          <o:OLEObject Type="Embed" ProgID="Equation.DSMT4" ShapeID="_x0000_i1539" DrawAspect="Content" ObjectID="_1468076239" r:id="rId1005">
            <o:LockedField>false</o:LockedField>
          </o:OLEObject>
        </w:object>
      </w:r>
      <w:r>
        <w:rPr>
          <w:color w:val="auto"/>
          <w:szCs w:val="21"/>
        </w:rPr>
        <w:t>、</w:t>
      </w:r>
      <w:r>
        <w:rPr>
          <w:color w:val="auto"/>
          <w:position w:val="-6"/>
          <w:szCs w:val="21"/>
        </w:rPr>
        <w:object>
          <v:shape id="_x0000_i1540" o:spt="75" type="#_x0000_t75" style="height:15pt;width:8.25pt;" o:ole="t" filled="f" o:preferrelative="t" stroked="f" coordsize="21600,21600">
            <v:path/>
            <v:fill on="f" focussize="0,0"/>
            <v:stroke on="f" joinstyle="miter"/>
            <v:imagedata r:id="rId113" o:title=""/>
            <o:lock v:ext="edit" aspectratio="t"/>
            <w10:wrap type="none"/>
            <w10:anchorlock/>
          </v:shape>
          <o:OLEObject Type="Embed" ProgID="Equation.DSMT4" ShapeID="_x0000_i1540" DrawAspect="Content" ObjectID="_1468076240" r:id="rId1007">
            <o:LockedField>false</o:LockedField>
          </o:OLEObject>
        </w:object>
      </w:r>
      <w:r>
        <w:rPr>
          <w:color w:val="auto"/>
          <w:szCs w:val="21"/>
        </w:rPr>
        <w:t>——基础底面的边长；</w:t>
      </w:r>
    </w:p>
    <w:p w14:paraId="43249CB7">
      <w:pPr>
        <w:adjustRightInd w:val="0"/>
        <w:snapToGrid w:val="0"/>
        <w:spacing w:line="340" w:lineRule="atLeast"/>
        <w:ind w:left="2043" w:leftChars="240" w:hanging="1539" w:hangingChars="733"/>
        <w:rPr>
          <w:color w:val="auto"/>
          <w:szCs w:val="21"/>
        </w:rPr>
      </w:pPr>
      <w:r>
        <w:rPr>
          <w:color w:val="auto"/>
          <w:position w:val="-12"/>
          <w:szCs w:val="21"/>
        </w:rPr>
        <w:object>
          <v:shape id="_x0000_i1541" o:spt="75" type="#_x0000_t75" style="height:21.75pt;width:21.75pt;" o:ole="t" filled="f" o:preferrelative="t" stroked="f" coordsize="21600,21600">
            <v:path/>
            <v:fill on="f" focussize="0,0"/>
            <v:stroke on="f" joinstyle="miter"/>
            <v:imagedata r:id="rId1009" o:title=""/>
            <o:lock v:ext="edit" aspectratio="t"/>
            <w10:wrap type="none"/>
            <w10:anchorlock/>
          </v:shape>
          <o:OLEObject Type="Embed" ProgID="Equation.DSMT4" ShapeID="_x0000_i1541" DrawAspect="Content" ObjectID="_1468076241" r:id="rId1008">
            <o:LockedField>false</o:LockedField>
          </o:OLEObject>
        </w:object>
      </w:r>
      <w:r>
        <w:rPr>
          <w:color w:val="auto"/>
          <w:szCs w:val="21"/>
        </w:rPr>
        <w:t>、</w:t>
      </w:r>
      <w:r>
        <w:rPr>
          <w:color w:val="auto"/>
          <w:position w:val="-12"/>
          <w:szCs w:val="21"/>
        </w:rPr>
        <w:object>
          <v:shape id="_x0000_i1542" o:spt="75" type="#_x0000_t75" style="height:21.75pt;width:21.75pt;" o:ole="t" filled="f" o:preferrelative="t" stroked="f" coordsize="21600,21600">
            <v:path/>
            <v:fill on="f" focussize="0,0"/>
            <v:stroke on="f" joinstyle="miter"/>
            <v:imagedata r:id="rId1011" o:title=""/>
            <o:lock v:ext="edit" aspectratio="t"/>
            <w10:wrap type="none"/>
            <w10:anchorlock/>
          </v:shape>
          <o:OLEObject Type="Embed" ProgID="Equation.DSMT4" ShapeID="_x0000_i1542" DrawAspect="Content" ObjectID="_1468076242" r:id="rId1010">
            <o:LockedField>false</o:LockedField>
          </o:OLEObject>
        </w:object>
      </w:r>
      <w:r>
        <w:rPr>
          <w:color w:val="auto"/>
          <w:szCs w:val="21"/>
        </w:rPr>
        <w:t>——相应于作用的基本组合时的基础底面边缘最大和最小地基反力设计值；</w:t>
      </w:r>
    </w:p>
    <w:p w14:paraId="7623D316">
      <w:pPr>
        <w:adjustRightInd w:val="0"/>
        <w:snapToGrid w:val="0"/>
        <w:spacing w:line="340" w:lineRule="atLeast"/>
        <w:ind w:left="1976" w:leftChars="626" w:hanging="661" w:hangingChars="315"/>
        <w:rPr>
          <w:color w:val="auto"/>
          <w:szCs w:val="21"/>
        </w:rPr>
      </w:pPr>
      <w:r>
        <w:rPr>
          <w:color w:val="auto"/>
          <w:position w:val="-10"/>
          <w:szCs w:val="21"/>
        </w:rPr>
        <w:object>
          <v:shape id="_x0000_i1543" o:spt="75" type="#_x0000_t75" style="height:15pt;width:15pt;" o:ole="t" filled="f" o:preferrelative="t" stroked="f" coordsize="21600,21600">
            <v:path/>
            <v:fill on="f" focussize="0,0"/>
            <v:stroke on="f" joinstyle="miter"/>
            <v:imagedata r:id="rId1013" o:title=""/>
            <o:lock v:ext="edit" aspectratio="t"/>
            <w10:wrap type="none"/>
            <w10:anchorlock/>
          </v:shape>
          <o:OLEObject Type="Embed" ProgID="Equation.DSMT4" ShapeID="_x0000_i1543" DrawAspect="Content" ObjectID="_1468076243" r:id="rId1012">
            <o:LockedField>false</o:LockedField>
          </o:OLEObject>
        </w:object>
      </w:r>
      <w:r>
        <w:rPr>
          <w:color w:val="auto"/>
          <w:szCs w:val="21"/>
        </w:rPr>
        <w:t>——相应于作用的基本组合时在任意截面</w:t>
      </w:r>
      <w:r>
        <w:rPr>
          <w:rFonts w:hAnsi="宋体"/>
          <w:color w:val="auto"/>
          <w:szCs w:val="21"/>
        </w:rPr>
        <w:t>Ⅰ</w:t>
      </w:r>
      <w:r>
        <w:rPr>
          <w:color w:val="auto"/>
          <w:szCs w:val="21"/>
        </w:rPr>
        <w:t>-</w:t>
      </w:r>
      <w:r>
        <w:rPr>
          <w:rFonts w:hAnsi="宋体"/>
          <w:color w:val="auto"/>
          <w:szCs w:val="21"/>
        </w:rPr>
        <w:t>Ⅰ</w:t>
      </w:r>
      <w:r>
        <w:rPr>
          <w:color w:val="auto"/>
          <w:szCs w:val="21"/>
        </w:rPr>
        <w:t>处基础底面地基反力设计值；</w:t>
      </w:r>
    </w:p>
    <w:p w14:paraId="4AC68523">
      <w:pPr>
        <w:pStyle w:val="18"/>
        <w:spacing w:line="400" w:lineRule="atLeast"/>
        <w:ind w:left="1987" w:leftChars="626" w:hanging="672" w:hangingChars="320"/>
        <w:rPr>
          <w:rFonts w:ascii="Times New Roman" w:hAnsi="Times New Roman"/>
          <w:color w:val="auto"/>
          <w:szCs w:val="21"/>
        </w:rPr>
      </w:pPr>
      <w:r>
        <w:rPr>
          <w:rFonts w:ascii="Times New Roman" w:hAnsi="Times New Roman"/>
          <w:color w:val="auto"/>
          <w:position w:val="-6"/>
          <w:szCs w:val="21"/>
        </w:rPr>
        <w:object>
          <v:shape id="_x0000_i1544" o:spt="75" type="#_x0000_t75" style="height:15pt;width:15pt;" o:ole="t" filled="f" o:preferrelative="t" stroked="f" coordsize="21600,21600">
            <v:path/>
            <v:fill on="f" focussize="0,0"/>
            <v:stroke on="f" joinstyle="miter"/>
            <v:imagedata r:id="rId1015" o:title=""/>
            <o:lock v:ext="edit" aspectratio="t"/>
            <w10:wrap type="none"/>
            <w10:anchorlock/>
          </v:shape>
          <o:OLEObject Type="Embed" ProgID="Equation.DSMT4" ShapeID="_x0000_i1544" DrawAspect="Content" ObjectID="_1468076244" r:id="rId1014">
            <o:LockedField>false</o:LockedField>
          </o:OLEObject>
        </w:object>
      </w:r>
      <w:r>
        <w:rPr>
          <w:rFonts w:ascii="Times New Roman" w:hAnsi="Times New Roman"/>
          <w:color w:val="auto"/>
          <w:szCs w:val="21"/>
        </w:rPr>
        <w:t>——考虑荷载分项系数的基础自重及其上的土自重；当组合值由永久荷载控制时，</w:t>
      </w:r>
      <w:r>
        <w:rPr>
          <w:rFonts w:ascii="Times New Roman" w:hAnsi="Times New Roman"/>
          <w:color w:val="auto"/>
        </w:rPr>
        <w:t>荷载分项系数可取1.35。</w:t>
      </w:r>
    </w:p>
    <w:p w14:paraId="6EB5A88A">
      <w:pPr>
        <w:pStyle w:val="18"/>
        <w:spacing w:line="400" w:lineRule="atLeast"/>
        <w:ind w:firstLine="420" w:firstLineChars="200"/>
        <w:rPr>
          <w:rFonts w:ascii="Times New Roman" w:hAnsi="Times New Roman"/>
          <w:color w:val="auto"/>
        </w:rPr>
      </w:pPr>
      <w:r>
        <w:rPr>
          <w:rFonts w:ascii="Times New Roman" w:hAnsi="Times New Roman"/>
          <w:color w:val="auto"/>
        </w:rPr>
        <w:t>基础底板钢筋可按</w:t>
      </w:r>
      <w:r>
        <w:rPr>
          <w:rFonts w:hint="eastAsia"/>
          <w:color w:val="auto"/>
          <w:lang w:val="en-US" w:eastAsia="zh-CN"/>
        </w:rPr>
        <w:t>公式（110）</w:t>
      </w:r>
      <w:r>
        <w:rPr>
          <w:rFonts w:ascii="Times New Roman" w:hAnsi="Times New Roman"/>
          <w:color w:val="auto"/>
        </w:rPr>
        <w:t>计算：</w:t>
      </w:r>
    </w:p>
    <w:p w14:paraId="7235C505">
      <w:pPr>
        <w:pStyle w:val="12"/>
        <w:jc w:val="right"/>
        <w:rPr>
          <w:rFonts w:ascii="Times New Roman" w:hAnsi="Times New Roman"/>
          <w:color w:val="auto"/>
        </w:rPr>
      </w:pPr>
      <w:r>
        <w:rPr>
          <w:rFonts w:ascii="Times New Roman" w:hAnsi="Times New Roman"/>
          <w:color w:val="auto"/>
        </w:rPr>
        <w:t xml:space="preserve">                             </w:t>
      </w:r>
      <w:r>
        <w:rPr>
          <w:rFonts w:ascii="Times New Roman" w:hAnsi="Times New Roman"/>
          <w:color w:val="auto"/>
        </w:rPr>
        <w:object>
          <v:shape id="_x0000_i1545" o:spt="75" type="#_x0000_t75" style="height:28.5pt;width:51pt;" o:ole="t" filled="f" o:preferrelative="t" stroked="f" coordsize="21600,21600">
            <v:path/>
            <v:fill on="f" focussize="0,0"/>
            <v:stroke on="f" joinstyle="miter"/>
            <v:imagedata r:id="rId1017" o:title=""/>
            <o:lock v:ext="edit" aspectratio="t"/>
            <w10:wrap type="none"/>
            <w10:anchorlock/>
          </v:shape>
          <o:OLEObject Type="Embed" ProgID="Equation.DSMT4" ShapeID="_x0000_i1545" DrawAspect="Content" ObjectID="_1468076245" r:id="rId1016">
            <o:LockedField>false</o:LockedField>
          </o:OLEObject>
        </w:object>
      </w:r>
      <w:r>
        <w:rPr>
          <w:rFonts w:ascii="Times New Roman" w:hAnsi="Times New Roman"/>
          <w:color w:val="auto"/>
        </w:rPr>
        <w:t xml:space="preserve">                                             (</w:t>
      </w:r>
      <w:r>
        <w:rPr>
          <w:rFonts w:ascii="Times New Roman" w:hAnsi="Times New Roman"/>
          <w:color w:val="auto"/>
        </w:rPr>
        <w:fldChar w:fldCharType="begin"/>
      </w:r>
      <w:r>
        <w:rPr>
          <w:rFonts w:ascii="Times New Roman" w:hAnsi="Times New Roman"/>
          <w:color w:val="auto"/>
        </w:rPr>
        <w:instrText xml:space="preserve"> SEQ Equation \* ARABIC </w:instrText>
      </w:r>
      <w:r>
        <w:rPr>
          <w:rFonts w:ascii="Times New Roman" w:hAnsi="Times New Roman"/>
          <w:color w:val="auto"/>
        </w:rPr>
        <w:fldChar w:fldCharType="separate"/>
      </w:r>
      <w:r>
        <w:rPr>
          <w:rFonts w:ascii="Times New Roman" w:hAnsi="Times New Roman"/>
          <w:color w:val="auto"/>
        </w:rPr>
        <w:t>110</w:t>
      </w:r>
      <w:r>
        <w:rPr>
          <w:rFonts w:ascii="Times New Roman" w:hAnsi="Times New Roman"/>
          <w:color w:val="auto"/>
        </w:rPr>
        <w:fldChar w:fldCharType="end"/>
      </w:r>
      <w:r>
        <w:rPr>
          <w:rFonts w:ascii="Times New Roman" w:hAnsi="Times New Roman"/>
          <w:color w:val="auto"/>
        </w:rPr>
        <w:t>)</w:t>
      </w:r>
    </w:p>
    <w:p w14:paraId="5CDC07D5">
      <w:pPr>
        <w:adjustRightInd w:val="0"/>
        <w:snapToGrid w:val="0"/>
        <w:spacing w:line="340" w:lineRule="atLeast"/>
        <w:ind w:firstLine="420" w:firstLineChars="200"/>
        <w:rPr>
          <w:color w:val="auto"/>
          <w:szCs w:val="21"/>
        </w:rPr>
      </w:pPr>
      <w:r>
        <w:rPr>
          <w:color w:val="auto"/>
        </w:rPr>
        <w:t>基础底板配筋除满足计算要求外，尚应符合本文件第13.1.5条第c)款的最小配筋率和构造要求。计算最小配筋率时，阶形或锥形基础采用截面的有效面积A</w:t>
      </w:r>
      <w:r>
        <w:rPr>
          <w:color w:val="auto"/>
          <w:vertAlign w:val="subscript"/>
        </w:rPr>
        <w:t>0</w:t>
      </w:r>
      <w:r>
        <w:rPr>
          <w:color w:val="auto"/>
        </w:rPr>
        <w:t>。</w:t>
      </w:r>
    </w:p>
    <w:p w14:paraId="49F32A4E">
      <w:pPr>
        <w:adjustRightInd w:val="0"/>
        <w:snapToGrid w:val="0"/>
        <w:spacing w:line="340" w:lineRule="atLeast"/>
        <w:ind w:firstLine="723" w:firstLineChars="343"/>
        <w:rPr>
          <w:color w:val="auto"/>
          <w:szCs w:val="21"/>
        </w:rPr>
      </w:pPr>
      <w:r>
        <w:rPr>
          <w:rFonts w:eastAsia="黑体"/>
          <w:b/>
          <w:color w:val="auto"/>
          <w:szCs w:val="21"/>
        </w:rPr>
        <w:t>b</w:t>
      </w:r>
      <w:r>
        <w:rPr>
          <w:rFonts w:hint="eastAsia" w:eastAsia="黑体"/>
          <w:b/>
          <w:color w:val="auto"/>
          <w:szCs w:val="21"/>
        </w:rPr>
        <w:t>）</w:t>
      </w:r>
      <w:r>
        <w:rPr>
          <w:color w:val="auto"/>
          <w:szCs w:val="21"/>
        </w:rPr>
        <w:t>对于墙下条形基础任意截面的弯矩（图27），可取</w:t>
      </w:r>
      <w:r>
        <w:rPr>
          <w:color w:val="auto"/>
          <w:position w:val="-6"/>
          <w:szCs w:val="21"/>
        </w:rPr>
        <w:object>
          <v:shape id="_x0000_i1546" o:spt="75" type="#_x0000_t75" style="height:15pt;width:8.25pt;" o:ole="t" filled="f" o:preferrelative="t" stroked="f" coordsize="21600,21600">
            <v:path/>
            <v:fill on="f" focussize="0,0"/>
            <v:stroke on="f" joinstyle="miter"/>
            <v:imagedata r:id="rId1019" o:title=""/>
            <o:lock v:ext="edit" aspectratio="t"/>
            <w10:wrap type="none"/>
            <w10:anchorlock/>
          </v:shape>
          <o:OLEObject Type="Embed" ProgID="Equation.3" ShapeID="_x0000_i1546" DrawAspect="Content" ObjectID="_1468076246" r:id="rId1018">
            <o:LockedField>false</o:LockedField>
          </o:OLEObject>
        </w:object>
      </w:r>
      <w:r>
        <w:rPr>
          <w:color w:val="auto"/>
          <w:szCs w:val="21"/>
        </w:rPr>
        <w:t>=</w:t>
      </w:r>
      <w:r>
        <w:rPr>
          <w:i/>
          <w:color w:val="auto"/>
          <w:position w:val="-6"/>
          <w:szCs w:val="21"/>
        </w:rPr>
        <w:object>
          <v:shape id="_x0000_i1547" o:spt="75" type="#_x0000_t75" style="height:15pt;width:15pt;" o:ole="t" filled="f" o:preferrelative="t" stroked="f" coordsize="21600,21600">
            <v:path/>
            <v:fill on="f" focussize="0,0"/>
            <v:stroke on="f" joinstyle="miter"/>
            <v:imagedata r:id="rId1021" o:title=""/>
            <o:lock v:ext="edit" aspectratio="t"/>
            <w10:wrap type="none"/>
            <w10:anchorlock/>
          </v:shape>
          <o:OLEObject Type="Embed" ProgID="Equation.DSMT4" ShapeID="_x0000_i1547" DrawAspect="Content" ObjectID="_1468076247" r:id="rId1020">
            <o:LockedField>false</o:LockedField>
          </o:OLEObject>
        </w:object>
      </w:r>
      <w:r>
        <w:rPr>
          <w:color w:val="auto"/>
          <w:szCs w:val="21"/>
        </w:rPr>
        <w:t>=1m按</w:t>
      </w:r>
      <w:r>
        <w:rPr>
          <w:rFonts w:hint="eastAsia"/>
          <w:color w:val="auto"/>
          <w:lang w:val="en-US" w:eastAsia="zh-CN"/>
        </w:rPr>
        <w:t>公</w:t>
      </w:r>
      <w:r>
        <w:rPr>
          <w:color w:val="auto"/>
          <w:szCs w:val="21"/>
        </w:rPr>
        <w:t>式（1</w:t>
      </w:r>
      <w:r>
        <w:rPr>
          <w:rFonts w:hint="eastAsia"/>
          <w:color w:val="auto"/>
          <w:szCs w:val="21"/>
          <w:lang w:val="en-US" w:eastAsia="zh-CN"/>
        </w:rPr>
        <w:t>11</w:t>
      </w:r>
      <w:r>
        <w:rPr>
          <w:color w:val="auto"/>
          <w:szCs w:val="21"/>
        </w:rPr>
        <w:t>）进行计算，其最大弯矩截面的位置，应符合下列规定：</w:t>
      </w:r>
    </w:p>
    <w:p w14:paraId="33A6220F">
      <w:pPr>
        <w:adjustRightInd w:val="0"/>
        <w:snapToGrid w:val="0"/>
        <w:spacing w:line="340" w:lineRule="atLeast"/>
        <w:ind w:left="10" w:firstLine="567"/>
        <w:rPr>
          <w:color w:val="auto"/>
          <w:szCs w:val="21"/>
        </w:rPr>
      </w:pPr>
      <w:r>
        <w:rPr>
          <w:color w:val="auto"/>
          <w:szCs w:val="21"/>
        </w:rPr>
        <w:t>当墙体材料为混凝土时，取</w:t>
      </w:r>
      <w:r>
        <w:rPr>
          <w:rFonts w:hint="eastAsia"/>
          <w:color w:val="auto"/>
          <w:szCs w:val="21"/>
        </w:rPr>
        <w:t>a</w:t>
      </w:r>
      <w:r>
        <w:rPr>
          <w:color w:val="auto"/>
          <w:szCs w:val="21"/>
          <w:vertAlign w:val="subscript"/>
        </w:rPr>
        <w:t>1</w:t>
      </w:r>
      <w:r>
        <w:rPr>
          <w:color w:val="auto"/>
          <w:szCs w:val="21"/>
        </w:rPr>
        <w:t>=</w:t>
      </w:r>
      <w:r>
        <w:rPr>
          <w:i/>
          <w:color w:val="auto"/>
          <w:szCs w:val="21"/>
        </w:rPr>
        <w:t>b</w:t>
      </w:r>
      <w:r>
        <w:rPr>
          <w:color w:val="auto"/>
          <w:szCs w:val="21"/>
          <w:vertAlign w:val="subscript"/>
        </w:rPr>
        <w:t>1</w:t>
      </w:r>
      <w:r>
        <w:rPr>
          <w:color w:val="auto"/>
          <w:szCs w:val="21"/>
        </w:rPr>
        <w:t>；</w:t>
      </w:r>
    </w:p>
    <w:p w14:paraId="0903265B">
      <w:pPr>
        <w:adjustRightInd w:val="0"/>
        <w:snapToGrid w:val="0"/>
        <w:spacing w:line="340" w:lineRule="atLeast"/>
        <w:ind w:firstLine="567"/>
        <w:rPr>
          <w:color w:val="auto"/>
          <w:szCs w:val="21"/>
        </w:rPr>
      </w:pPr>
      <w:r>
        <w:rPr>
          <w:color w:val="auto"/>
          <w:szCs w:val="21"/>
        </w:rPr>
        <w:t>如为砖墙且放脚不大于1/4砖长时，取</w:t>
      </w:r>
      <w:r>
        <w:rPr>
          <w:i/>
          <w:color w:val="auto"/>
          <w:szCs w:val="21"/>
        </w:rPr>
        <w:t>a</w:t>
      </w:r>
      <w:r>
        <w:rPr>
          <w:color w:val="auto"/>
          <w:szCs w:val="21"/>
          <w:vertAlign w:val="subscript"/>
        </w:rPr>
        <w:t>1</w:t>
      </w:r>
      <w:r>
        <w:rPr>
          <w:color w:val="auto"/>
          <w:szCs w:val="21"/>
        </w:rPr>
        <w:t>=</w:t>
      </w:r>
      <w:r>
        <w:rPr>
          <w:i/>
          <w:color w:val="auto"/>
          <w:szCs w:val="21"/>
        </w:rPr>
        <w:t>b</w:t>
      </w:r>
      <w:r>
        <w:rPr>
          <w:color w:val="auto"/>
          <w:szCs w:val="21"/>
          <w:vertAlign w:val="subscript"/>
        </w:rPr>
        <w:t>1</w:t>
      </w:r>
      <w:r>
        <w:rPr>
          <w:color w:val="auto"/>
          <w:szCs w:val="21"/>
        </w:rPr>
        <w:t>+1/4砖长。</w:t>
      </w:r>
    </w:p>
    <w:p w14:paraId="72E256EB">
      <w:pPr>
        <w:pStyle w:val="12"/>
        <w:jc w:val="right"/>
        <w:rPr>
          <w:rFonts w:ascii="Times New Roman" w:hAnsi="Times New Roman"/>
          <w:color w:val="auto"/>
        </w:rPr>
      </w:pPr>
      <w:r>
        <w:rPr>
          <w:color w:val="auto"/>
          <w:position w:val="-28"/>
          <w:szCs w:val="21"/>
        </w:rPr>
        <w:object>
          <v:shape id="_x0000_i1548" o:spt="75" type="#_x0000_t75" style="height:30pt;width:126pt;" o:ole="t" filled="f" o:preferrelative="t" stroked="f" coordsize="21600,21600">
            <v:path/>
            <v:fill on="f" focussize="0,0"/>
            <v:stroke on="f" joinstyle="miter"/>
            <v:imagedata r:id="rId1023" o:title=""/>
            <o:lock v:ext="edit" aspectratio="t"/>
            <w10:wrap type="none"/>
            <w10:anchorlock/>
          </v:shape>
          <o:OLEObject Type="Embed" ProgID="Equation.DSMT4" ShapeID="_x0000_i1548" DrawAspect="Content" ObjectID="_1468076248" r:id="rId1022">
            <o:LockedField>false</o:LockedField>
          </o:OLEObject>
        </w:object>
      </w:r>
      <w:r>
        <w:rPr>
          <w:rFonts w:ascii="Times New Roman" w:hAnsi="Times New Roman"/>
          <w:color w:val="auto"/>
        </w:rPr>
        <w:t xml:space="preserve">                                (</w:t>
      </w:r>
      <w:r>
        <w:rPr>
          <w:rFonts w:ascii="Times New Roman" w:hAnsi="Times New Roman"/>
          <w:color w:val="auto"/>
        </w:rPr>
        <w:fldChar w:fldCharType="begin"/>
      </w:r>
      <w:r>
        <w:rPr>
          <w:rFonts w:ascii="Times New Roman" w:hAnsi="Times New Roman"/>
          <w:color w:val="auto"/>
        </w:rPr>
        <w:instrText xml:space="preserve"> SEQ Equation \* ARABIC </w:instrText>
      </w:r>
      <w:r>
        <w:rPr>
          <w:rFonts w:ascii="Times New Roman" w:hAnsi="Times New Roman"/>
          <w:color w:val="auto"/>
        </w:rPr>
        <w:fldChar w:fldCharType="separate"/>
      </w:r>
      <w:r>
        <w:rPr>
          <w:rFonts w:ascii="Times New Roman" w:hAnsi="Times New Roman"/>
          <w:color w:val="auto"/>
        </w:rPr>
        <w:t>111</w:t>
      </w:r>
      <w:r>
        <w:rPr>
          <w:rFonts w:ascii="Times New Roman" w:hAnsi="Times New Roman"/>
          <w:color w:val="auto"/>
        </w:rPr>
        <w:fldChar w:fldCharType="end"/>
      </w:r>
      <w:r>
        <w:rPr>
          <w:rFonts w:ascii="Times New Roman" w:hAnsi="Times New Roman"/>
          <w:color w:val="auto"/>
        </w:rPr>
        <w:t>)</w:t>
      </w:r>
    </w:p>
    <w:p w14:paraId="09D96DB5">
      <w:pPr>
        <w:adjustRightInd w:val="0"/>
        <w:snapToGrid w:val="0"/>
        <w:spacing w:line="340" w:lineRule="atLeast"/>
        <w:ind w:firstLine="567"/>
        <w:rPr>
          <w:color w:val="auto"/>
          <w:szCs w:val="21"/>
        </w:rPr>
      </w:pPr>
      <w:r>
        <w:rPr>
          <w:color w:val="auto"/>
        </w:rPr>
        <w:t>墙下条形基础底板每延米宽度的配筋除满足计算要求外，尚应符合本文件第13.1.5条第c)款的最小配筋率和构造要求。</w:t>
      </w:r>
    </w:p>
    <w:p w14:paraId="2B80BEC9">
      <w:pPr>
        <w:adjustRightInd w:val="0"/>
        <w:snapToGrid w:val="0"/>
        <w:spacing w:before="240" w:line="360" w:lineRule="atLeast"/>
        <w:jc w:val="center"/>
        <w:rPr>
          <w:color w:val="auto"/>
          <w:szCs w:val="21"/>
        </w:rPr>
      </w:pPr>
      <w:r>
        <w:rPr>
          <w:color w:val="auto"/>
        </w:rPr>
        <w:drawing>
          <wp:inline distT="0" distB="0" distL="0" distR="0">
            <wp:extent cx="3771900" cy="2200275"/>
            <wp:effectExtent l="0" t="0" r="0" b="952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a:xfrm>
                      <a:off x="0" y="0"/>
                      <a:ext cx="3771900" cy="2200275"/>
                    </a:xfrm>
                    <a:prstGeom prst="rect">
                      <a:avLst/>
                    </a:prstGeom>
                    <a:noFill/>
                    <a:ln>
                      <a:noFill/>
                    </a:ln>
                  </pic:spPr>
                </pic:pic>
              </a:graphicData>
            </a:graphic>
          </wp:inline>
        </w:drawing>
      </w:r>
    </w:p>
    <w:p w14:paraId="3427642B">
      <w:pPr>
        <w:adjustRightInd w:val="0"/>
        <w:snapToGrid w:val="0"/>
        <w:spacing w:before="120"/>
        <w:jc w:val="center"/>
        <w:rPr>
          <w:b/>
          <w:color w:val="auto"/>
          <w:sz w:val="18"/>
          <w:szCs w:val="18"/>
        </w:rPr>
      </w:pPr>
      <w:r>
        <w:rPr>
          <w:b/>
          <w:color w:val="auto"/>
          <w:sz w:val="18"/>
          <w:szCs w:val="18"/>
        </w:rPr>
        <w:t>图26  矩形基础底板的计算示意           图27  墙下条形基础的计算示意</w:t>
      </w:r>
    </w:p>
    <w:p w14:paraId="6DB8BC35">
      <w:pPr>
        <w:pStyle w:val="18"/>
        <w:rPr>
          <w:rFonts w:ascii="Times New Roman" w:hAnsi="Times New Roman"/>
          <w:color w:val="auto"/>
        </w:rPr>
      </w:pPr>
    </w:p>
    <w:p w14:paraId="213D33DC">
      <w:pPr>
        <w:pStyle w:val="18"/>
        <w:rPr>
          <w:rFonts w:ascii="Times New Roman" w:hAnsi="Times New Roman" w:eastAsia="黑体"/>
          <w:b/>
          <w:color w:val="auto"/>
        </w:rPr>
      </w:pPr>
      <w:r>
        <w:rPr>
          <w:rFonts w:ascii="Times New Roman" w:hAnsi="Times New Roman" w:eastAsia="黑体"/>
          <w:b/>
          <w:color w:val="auto"/>
          <w:szCs w:val="21"/>
        </w:rPr>
        <w:t>13.1.13</w:t>
      </w:r>
      <w:r>
        <w:rPr>
          <w:rFonts w:hint="eastAsia" w:ascii="Times New Roman" w:hAnsi="Times New Roman" w:eastAsia="黑体"/>
          <w:b/>
          <w:color w:val="auto"/>
          <w:szCs w:val="21"/>
        </w:rPr>
        <w:t xml:space="preserve"> </w:t>
      </w:r>
      <w:r>
        <w:rPr>
          <w:rFonts w:ascii="Times New Roman" w:hAnsi="Times New Roman"/>
          <w:color w:val="auto"/>
        </w:rPr>
        <w:t xml:space="preserve"> 对基础底面宽度小于或等于柱宽加两倍基础有效高度的柱下独立基础，以及墙下条形基础，应按</w:t>
      </w:r>
      <w:r>
        <w:rPr>
          <w:rFonts w:hint="eastAsia"/>
          <w:color w:val="auto"/>
          <w:lang w:val="en-US" w:eastAsia="zh-CN"/>
        </w:rPr>
        <w:t>公式</w:t>
      </w:r>
      <w:r>
        <w:rPr>
          <w:rFonts w:hint="default" w:ascii="Times New Roman" w:hAnsi="Times New Roman" w:cs="Times New Roman"/>
          <w:color w:val="auto"/>
          <w:lang w:val="en-US" w:eastAsia="zh-CN"/>
        </w:rPr>
        <w:t>（112）~（113）</w:t>
      </w:r>
      <w:r>
        <w:rPr>
          <w:rFonts w:ascii="Times New Roman" w:hAnsi="Times New Roman"/>
          <w:color w:val="auto"/>
        </w:rPr>
        <w:t>验算柱（墙）与基础交接处</w:t>
      </w:r>
      <w:r>
        <w:rPr>
          <w:rFonts w:hint="eastAsia" w:ascii="Times New Roman" w:hAnsi="Times New Roman"/>
          <w:color w:val="auto"/>
        </w:rPr>
        <w:t>以及基础变阶处</w:t>
      </w:r>
      <w:r>
        <w:rPr>
          <w:rFonts w:ascii="Times New Roman" w:hAnsi="Times New Roman"/>
          <w:color w:val="auto"/>
        </w:rPr>
        <w:t>截面受剪切承载力；</w:t>
      </w:r>
    </w:p>
    <w:p w14:paraId="5F814DC5">
      <w:pPr>
        <w:pStyle w:val="12"/>
        <w:jc w:val="right"/>
        <w:rPr>
          <w:rFonts w:ascii="Times New Roman" w:hAnsi="Times New Roman"/>
          <w:color w:val="auto"/>
          <w:szCs w:val="24"/>
        </w:rPr>
      </w:pPr>
      <w:r>
        <w:rPr>
          <w:rFonts w:ascii="Times New Roman" w:hAnsi="Times New Roman"/>
          <w:color w:val="auto"/>
        </w:rPr>
        <w:t xml:space="preserve">            </w:t>
      </w:r>
      <w:r>
        <w:rPr>
          <w:rFonts w:ascii="Times New Roman" w:hAnsi="Times New Roman"/>
          <w:color w:val="auto"/>
          <w:position w:val="-12"/>
          <w:szCs w:val="21"/>
        </w:rPr>
        <w:object>
          <v:shape id="_x0000_i1549" o:spt="75" type="#_x0000_t75" style="height:21.75pt;width:72pt;" o:ole="t" filled="f" o:preferrelative="t" stroked="f" coordsize="21600,21600">
            <v:path/>
            <v:fill on="f" focussize="0,0"/>
            <v:stroke on="f" joinstyle="miter"/>
            <v:imagedata r:id="rId1026" o:title=""/>
            <o:lock v:ext="edit" aspectratio="t"/>
            <w10:wrap type="none"/>
            <w10:anchorlock/>
          </v:shape>
          <o:OLEObject Type="Embed" ProgID="Equation.DSMT4" ShapeID="_x0000_i1549" DrawAspect="Content" ObjectID="_1468076249" r:id="rId1025">
            <o:LockedField>false</o:LockedField>
          </o:OLEObject>
        </w:object>
      </w:r>
      <w:r>
        <w:rPr>
          <w:rFonts w:ascii="Times New Roman" w:hAnsi="Times New Roman"/>
          <w:color w:val="auto"/>
          <w:szCs w:val="24"/>
        </w:rPr>
        <w:t xml:space="preserve">                              (</w:t>
      </w:r>
      <w:r>
        <w:rPr>
          <w:rFonts w:ascii="Times New Roman" w:hAnsi="Times New Roman"/>
          <w:color w:val="auto"/>
          <w:szCs w:val="24"/>
        </w:rPr>
        <w:fldChar w:fldCharType="begin"/>
      </w:r>
      <w:r>
        <w:rPr>
          <w:rFonts w:ascii="Times New Roman" w:hAnsi="Times New Roman"/>
          <w:color w:val="auto"/>
          <w:szCs w:val="24"/>
        </w:rPr>
        <w:instrText xml:space="preserve"> SEQ Equation \* ARABIC </w:instrText>
      </w:r>
      <w:r>
        <w:rPr>
          <w:rFonts w:ascii="Times New Roman" w:hAnsi="Times New Roman"/>
          <w:color w:val="auto"/>
          <w:szCs w:val="24"/>
        </w:rPr>
        <w:fldChar w:fldCharType="separate"/>
      </w:r>
      <w:r>
        <w:rPr>
          <w:rFonts w:ascii="Times New Roman" w:hAnsi="Times New Roman"/>
          <w:color w:val="auto"/>
          <w:szCs w:val="24"/>
        </w:rPr>
        <w:t>112</w:t>
      </w:r>
      <w:r>
        <w:rPr>
          <w:rFonts w:ascii="Times New Roman" w:hAnsi="Times New Roman"/>
          <w:color w:val="auto"/>
          <w:szCs w:val="24"/>
        </w:rPr>
        <w:fldChar w:fldCharType="end"/>
      </w:r>
      <w:r>
        <w:rPr>
          <w:rFonts w:ascii="Times New Roman" w:hAnsi="Times New Roman"/>
          <w:color w:val="auto"/>
          <w:szCs w:val="24"/>
        </w:rPr>
        <w:t>)</w:t>
      </w:r>
    </w:p>
    <w:p w14:paraId="76E9D822">
      <w:pPr>
        <w:pStyle w:val="12"/>
        <w:jc w:val="right"/>
        <w:rPr>
          <w:rFonts w:ascii="Times New Roman" w:hAnsi="Times New Roman"/>
          <w:color w:val="auto"/>
          <w:szCs w:val="24"/>
        </w:rPr>
      </w:pPr>
      <w:r>
        <w:rPr>
          <w:rFonts w:ascii="Times New Roman" w:hAnsi="Times New Roman"/>
          <w:color w:val="auto"/>
          <w:position w:val="-30"/>
          <w:szCs w:val="21"/>
        </w:rPr>
        <w:object>
          <v:shape id="_x0000_i1550" o:spt="75" type="#_x0000_t75" style="height:36.75pt;width:64.5pt;" o:ole="t" filled="f" o:preferrelative="t" stroked="f" coordsize="21600,21600">
            <v:path/>
            <v:fill on="f" focussize="0,0"/>
            <v:stroke on="f" joinstyle="miter"/>
            <v:imagedata r:id="rId1028" o:title=""/>
            <o:lock v:ext="edit" aspectratio="t"/>
            <w10:wrap type="none"/>
            <w10:anchorlock/>
          </v:shape>
          <o:OLEObject Type="Embed" ProgID="Equation.DSMT4" ShapeID="_x0000_i1550" DrawAspect="Content" ObjectID="_1468076250" r:id="rId1027">
            <o:LockedField>false</o:LockedField>
          </o:OLEObject>
        </w:object>
      </w:r>
      <w:r>
        <w:rPr>
          <w:rFonts w:ascii="Times New Roman" w:hAnsi="Times New Roman"/>
          <w:color w:val="auto"/>
          <w:szCs w:val="21"/>
        </w:rPr>
        <w:t xml:space="preserve">  </w:t>
      </w:r>
      <w:r>
        <w:rPr>
          <w:rFonts w:ascii="Times New Roman" w:hAnsi="Times New Roman"/>
          <w:color w:val="auto"/>
          <w:szCs w:val="24"/>
        </w:rPr>
        <w:t xml:space="preserve">                              (</w:t>
      </w:r>
      <w:r>
        <w:rPr>
          <w:rFonts w:ascii="Times New Roman" w:hAnsi="Times New Roman"/>
          <w:color w:val="auto"/>
          <w:szCs w:val="24"/>
        </w:rPr>
        <w:fldChar w:fldCharType="begin"/>
      </w:r>
      <w:r>
        <w:rPr>
          <w:rFonts w:ascii="Times New Roman" w:hAnsi="Times New Roman"/>
          <w:color w:val="auto"/>
          <w:szCs w:val="24"/>
        </w:rPr>
        <w:instrText xml:space="preserve"> SEQ Equation \* ARABIC </w:instrText>
      </w:r>
      <w:r>
        <w:rPr>
          <w:rFonts w:ascii="Times New Roman" w:hAnsi="Times New Roman"/>
          <w:color w:val="auto"/>
          <w:szCs w:val="24"/>
        </w:rPr>
        <w:fldChar w:fldCharType="separate"/>
      </w:r>
      <w:r>
        <w:rPr>
          <w:rFonts w:ascii="Times New Roman" w:hAnsi="Times New Roman"/>
          <w:color w:val="auto"/>
          <w:szCs w:val="24"/>
        </w:rPr>
        <w:t>113</w:t>
      </w:r>
      <w:r>
        <w:rPr>
          <w:rFonts w:ascii="Times New Roman" w:hAnsi="Times New Roman"/>
          <w:color w:val="auto"/>
          <w:szCs w:val="24"/>
        </w:rPr>
        <w:fldChar w:fldCharType="end"/>
      </w:r>
      <w:r>
        <w:rPr>
          <w:rFonts w:ascii="Times New Roman" w:hAnsi="Times New Roman"/>
          <w:color w:val="auto"/>
          <w:szCs w:val="24"/>
        </w:rPr>
        <w:t>)</w:t>
      </w:r>
    </w:p>
    <w:p w14:paraId="74D36DFB">
      <w:pPr>
        <w:pStyle w:val="18"/>
        <w:ind w:left="1428" w:hanging="1428" w:hangingChars="680"/>
        <w:rPr>
          <w:rFonts w:ascii="Times New Roman" w:hAnsi="Times New Roman"/>
          <w:color w:val="auto"/>
          <w:szCs w:val="24"/>
        </w:rPr>
      </w:pPr>
      <w:r>
        <w:rPr>
          <w:rFonts w:ascii="Times New Roman" w:hAnsi="Times New Roman"/>
          <w:color w:val="auto"/>
          <w:szCs w:val="24"/>
        </w:rPr>
        <w:t xml:space="preserve">式中   </w:t>
      </w:r>
      <w:r>
        <w:rPr>
          <w:rFonts w:ascii="Times New Roman" w:hAnsi="Times New Roman"/>
          <w:i/>
          <w:color w:val="auto"/>
          <w:szCs w:val="24"/>
        </w:rPr>
        <w:t>V</w:t>
      </w:r>
      <w:r>
        <w:rPr>
          <w:rFonts w:ascii="Times New Roman" w:hAnsi="Times New Roman"/>
          <w:color w:val="auto"/>
          <w:szCs w:val="24"/>
          <w:vertAlign w:val="subscript"/>
        </w:rPr>
        <w:t>s</w:t>
      </w:r>
      <w:r>
        <w:rPr>
          <w:rFonts w:ascii="Times New Roman" w:hAnsi="Times New Roman"/>
          <w:color w:val="auto"/>
          <w:szCs w:val="24"/>
        </w:rPr>
        <w:t>——柱与基础交接处</w:t>
      </w:r>
      <w:r>
        <w:rPr>
          <w:rFonts w:hint="eastAsia" w:ascii="Times New Roman" w:hAnsi="Times New Roman"/>
          <w:color w:val="auto"/>
          <w:szCs w:val="24"/>
        </w:rPr>
        <w:t>或基础变阶处</w:t>
      </w:r>
      <w:r>
        <w:rPr>
          <w:rFonts w:ascii="Times New Roman" w:hAnsi="Times New Roman"/>
          <w:color w:val="auto"/>
          <w:szCs w:val="24"/>
        </w:rPr>
        <w:t>的剪力设计值（墙与基础交接处由基底平均净反力产生的单位长度剪力设计值），图28中的阴影面积乘以基底平均净反力；</w:t>
      </w:r>
    </w:p>
    <w:p w14:paraId="727067AF">
      <w:pPr>
        <w:pStyle w:val="18"/>
        <w:ind w:left="1390" w:leftChars="346" w:hanging="663" w:hangingChars="316"/>
        <w:rPr>
          <w:rFonts w:ascii="Times New Roman" w:hAnsi="Times New Roman"/>
          <w:color w:val="auto"/>
          <w:szCs w:val="24"/>
        </w:rPr>
      </w:pPr>
      <w:r>
        <w:rPr>
          <w:rFonts w:ascii="Times New Roman" w:hAnsi="Times New Roman"/>
          <w:i/>
          <w:color w:val="auto"/>
          <w:szCs w:val="24"/>
        </w:rPr>
        <w:t>β</w:t>
      </w:r>
      <w:r>
        <w:rPr>
          <w:rFonts w:ascii="Times New Roman" w:hAnsi="Times New Roman"/>
          <w:i/>
          <w:color w:val="auto"/>
          <w:szCs w:val="24"/>
          <w:vertAlign w:val="subscript"/>
        </w:rPr>
        <w:t>hs</w:t>
      </w:r>
      <w:r>
        <w:rPr>
          <w:rFonts w:ascii="Times New Roman" w:hAnsi="Times New Roman"/>
          <w:color w:val="auto"/>
          <w:szCs w:val="24"/>
        </w:rPr>
        <w:t>——受剪切承载力截面高度影响系数，当</w:t>
      </w:r>
      <w:r>
        <w:rPr>
          <w:rFonts w:ascii="Times New Roman" w:hAnsi="Times New Roman"/>
          <w:i/>
          <w:color w:val="auto"/>
          <w:szCs w:val="24"/>
        </w:rPr>
        <w:t>h</w:t>
      </w:r>
      <w:r>
        <w:rPr>
          <w:rFonts w:ascii="Times New Roman" w:hAnsi="Times New Roman"/>
          <w:color w:val="auto"/>
          <w:szCs w:val="24"/>
          <w:vertAlign w:val="subscript"/>
        </w:rPr>
        <w:t>0</w:t>
      </w:r>
      <w:r>
        <w:rPr>
          <w:rFonts w:ascii="Times New Roman" w:hAnsi="Times New Roman"/>
          <w:color w:val="auto"/>
          <w:szCs w:val="24"/>
        </w:rPr>
        <w:t>＜800mm时，取</w:t>
      </w:r>
      <w:r>
        <w:rPr>
          <w:rFonts w:ascii="Times New Roman" w:hAnsi="Times New Roman"/>
          <w:i/>
          <w:color w:val="auto"/>
          <w:szCs w:val="24"/>
        </w:rPr>
        <w:t>h</w:t>
      </w:r>
      <w:r>
        <w:rPr>
          <w:rFonts w:ascii="Times New Roman" w:hAnsi="Times New Roman"/>
          <w:color w:val="auto"/>
          <w:szCs w:val="24"/>
          <w:vertAlign w:val="subscript"/>
        </w:rPr>
        <w:t>0</w:t>
      </w:r>
      <w:r>
        <w:rPr>
          <w:rFonts w:ascii="Times New Roman" w:hAnsi="Times New Roman"/>
          <w:color w:val="auto"/>
          <w:szCs w:val="24"/>
        </w:rPr>
        <w:t>＝800mm；当</w:t>
      </w:r>
      <w:r>
        <w:rPr>
          <w:rFonts w:ascii="Times New Roman" w:hAnsi="Times New Roman"/>
          <w:i/>
          <w:color w:val="auto"/>
          <w:szCs w:val="24"/>
        </w:rPr>
        <w:t>h</w:t>
      </w:r>
      <w:r>
        <w:rPr>
          <w:rFonts w:ascii="Times New Roman" w:hAnsi="Times New Roman"/>
          <w:color w:val="auto"/>
          <w:szCs w:val="24"/>
          <w:vertAlign w:val="subscript"/>
        </w:rPr>
        <w:t>0</w:t>
      </w:r>
      <w:r>
        <w:rPr>
          <w:rFonts w:ascii="Times New Roman" w:hAnsi="Times New Roman"/>
          <w:color w:val="auto"/>
          <w:szCs w:val="24"/>
        </w:rPr>
        <w:t>＞2000mm时，取</w:t>
      </w:r>
      <w:r>
        <w:rPr>
          <w:rFonts w:ascii="Times New Roman" w:hAnsi="Times New Roman"/>
          <w:i/>
          <w:color w:val="auto"/>
          <w:szCs w:val="24"/>
        </w:rPr>
        <w:t>h</w:t>
      </w:r>
      <w:r>
        <w:rPr>
          <w:rFonts w:ascii="Times New Roman" w:hAnsi="Times New Roman"/>
          <w:color w:val="auto"/>
          <w:szCs w:val="24"/>
          <w:vertAlign w:val="subscript"/>
        </w:rPr>
        <w:t>0</w:t>
      </w:r>
      <w:r>
        <w:rPr>
          <w:rFonts w:ascii="Times New Roman" w:hAnsi="Times New Roman"/>
          <w:color w:val="auto"/>
          <w:szCs w:val="24"/>
        </w:rPr>
        <w:t>＝2000mm；</w:t>
      </w:r>
    </w:p>
    <w:p w14:paraId="7E5BB4B0">
      <w:pPr>
        <w:pStyle w:val="18"/>
        <w:ind w:left="1260" w:leftChars="40" w:hanging="1176" w:hangingChars="560"/>
        <w:rPr>
          <w:rFonts w:ascii="Times New Roman" w:hAnsi="Times New Roman"/>
          <w:color w:val="auto"/>
          <w:szCs w:val="24"/>
        </w:rPr>
      </w:pPr>
      <w:r>
        <w:rPr>
          <w:rFonts w:ascii="Times New Roman" w:hAnsi="Times New Roman"/>
          <w:color w:val="auto"/>
        </w:rPr>
        <w:drawing>
          <wp:anchor distT="0" distB="0" distL="114300" distR="114300" simplePos="0" relativeHeight="251664384" behindDoc="0" locked="0" layoutInCell="1" allowOverlap="1">
            <wp:simplePos x="0" y="0"/>
            <wp:positionH relativeFrom="margin">
              <wp:align>center</wp:align>
            </wp:positionH>
            <wp:positionV relativeFrom="paragraph">
              <wp:posOffset>532765</wp:posOffset>
            </wp:positionV>
            <wp:extent cx="3450590" cy="2228215"/>
            <wp:effectExtent l="0" t="0" r="0" b="635"/>
            <wp:wrapTopAndBottom/>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noChangeArrowheads="1"/>
                    </pic:cNvPicPr>
                  </pic:nvPicPr>
                  <pic:blipFill>
                    <a:blip r:embed="rId1029" cstate="print">
                      <a:extLst>
                        <a:ext uri="{28A0092B-C50C-407E-A947-70E740481C1C}">
                          <a14:useLocalDpi xmlns:a14="http://schemas.microsoft.com/office/drawing/2010/main" val="0"/>
                        </a:ext>
                      </a:extLst>
                    </a:blip>
                    <a:srcRect t="4176" r="3340" b="17297"/>
                    <a:stretch>
                      <a:fillRect/>
                    </a:stretch>
                  </pic:blipFill>
                  <pic:spPr>
                    <a:xfrm>
                      <a:off x="0" y="0"/>
                      <a:ext cx="3450590" cy="2228215"/>
                    </a:xfrm>
                    <a:prstGeom prst="rect">
                      <a:avLst/>
                    </a:prstGeom>
                    <a:noFill/>
                    <a:ln>
                      <a:noFill/>
                    </a:ln>
                  </pic:spPr>
                </pic:pic>
              </a:graphicData>
            </a:graphic>
          </wp:anchor>
        </w:drawing>
      </w:r>
      <w:r>
        <w:rPr>
          <w:rFonts w:ascii="Times New Roman" w:hAnsi="Times New Roman"/>
          <w:color w:val="auto"/>
          <w:szCs w:val="24"/>
        </w:rPr>
        <w:t xml:space="preserve">      </w:t>
      </w:r>
      <w:r>
        <w:rPr>
          <w:rFonts w:ascii="Times New Roman" w:hAnsi="Times New Roman"/>
          <w:i/>
          <w:color w:val="auto"/>
          <w:szCs w:val="24"/>
        </w:rPr>
        <w:t>A</w:t>
      </w:r>
      <w:r>
        <w:rPr>
          <w:rFonts w:ascii="Times New Roman" w:hAnsi="Times New Roman"/>
          <w:color w:val="auto"/>
          <w:szCs w:val="24"/>
          <w:vertAlign w:val="subscript"/>
        </w:rPr>
        <w:t>0</w:t>
      </w:r>
      <w:r>
        <w:rPr>
          <w:rFonts w:ascii="Times New Roman" w:hAnsi="Times New Roman"/>
          <w:color w:val="auto"/>
          <w:szCs w:val="24"/>
        </w:rPr>
        <w:t>——验算截面处基础的垂直截面有效面积。</w:t>
      </w:r>
      <w:r>
        <w:rPr>
          <w:rFonts w:hint="eastAsia" w:ascii="Times New Roman" w:hAnsi="Times New Roman"/>
          <w:color w:val="auto"/>
          <w:szCs w:val="24"/>
        </w:rPr>
        <w:t>当验算截面为阶形或锥形时，可将其截面折算成矩形截面，截面的折算宽度和截面的有效高度按本文件附录</w:t>
      </w:r>
      <w:r>
        <w:rPr>
          <w:rFonts w:ascii="Times New Roman" w:hAnsi="Times New Roman"/>
          <w:color w:val="auto"/>
          <w:szCs w:val="24"/>
        </w:rPr>
        <w:t>J</w:t>
      </w:r>
      <w:r>
        <w:rPr>
          <w:rFonts w:hint="eastAsia" w:ascii="Times New Roman" w:hAnsi="Times New Roman"/>
          <w:color w:val="auto"/>
          <w:szCs w:val="24"/>
        </w:rPr>
        <w:t>计算。</w:t>
      </w:r>
    </w:p>
    <w:p w14:paraId="3A1EC9C4">
      <w:pPr>
        <w:pStyle w:val="18"/>
        <w:spacing w:before="62" w:beforeLines="20"/>
        <w:ind w:firstLine="540" w:firstLineChars="300"/>
        <w:rPr>
          <w:rFonts w:ascii="Times New Roman" w:hAnsi="Times New Roman"/>
          <w:color w:val="auto"/>
          <w:sz w:val="18"/>
          <w:szCs w:val="18"/>
        </w:rPr>
      </w:pPr>
      <w:r>
        <w:rPr>
          <w:rFonts w:ascii="Times New Roman" w:hAnsi="Times New Roman"/>
          <w:color w:val="auto"/>
          <w:sz w:val="18"/>
          <w:szCs w:val="18"/>
        </w:rPr>
        <w:t xml:space="preserve">                    （a）柱与基础交接处               （b）基础变阶处</w:t>
      </w:r>
    </w:p>
    <w:p w14:paraId="3306212B">
      <w:pPr>
        <w:pStyle w:val="18"/>
        <w:spacing w:line="240" w:lineRule="exact"/>
        <w:jc w:val="center"/>
        <w:rPr>
          <w:rFonts w:ascii="Times New Roman" w:hAnsi="Times New Roman" w:eastAsia="黑体"/>
          <w:color w:val="auto"/>
          <w:sz w:val="18"/>
          <w:szCs w:val="18"/>
        </w:rPr>
      </w:pPr>
      <w:r>
        <w:rPr>
          <w:rFonts w:ascii="Times New Roman" w:hAnsi="Times New Roman" w:eastAsia="黑体"/>
          <w:color w:val="auto"/>
          <w:sz w:val="18"/>
          <w:szCs w:val="18"/>
        </w:rPr>
        <w:t>注：</w:t>
      </w:r>
      <w:r>
        <w:rPr>
          <w:rFonts w:ascii="Times New Roman" w:hAnsi="Times New Roman"/>
          <w:color w:val="auto"/>
          <w:sz w:val="18"/>
          <w:szCs w:val="18"/>
        </w:rPr>
        <w:t>1-剪切验算截面</w:t>
      </w:r>
    </w:p>
    <w:p w14:paraId="0606590A">
      <w:pPr>
        <w:pStyle w:val="18"/>
        <w:spacing w:line="240" w:lineRule="exact"/>
        <w:jc w:val="center"/>
        <w:rPr>
          <w:rFonts w:ascii="Times New Roman" w:hAnsi="Times New Roman"/>
          <w:b/>
          <w:bCs/>
          <w:color w:val="auto"/>
          <w:spacing w:val="5"/>
          <w:kern w:val="0"/>
          <w:sz w:val="18"/>
          <w:szCs w:val="18"/>
        </w:rPr>
      </w:pPr>
      <w:r>
        <w:rPr>
          <w:rFonts w:ascii="Times New Roman" w:hAnsi="Times New Roman"/>
          <w:b/>
          <w:color w:val="auto"/>
          <w:sz w:val="18"/>
          <w:szCs w:val="18"/>
        </w:rPr>
        <w:t>图28  验算阶形基础受剪切承载力示意图</w:t>
      </w:r>
    </w:p>
    <w:p w14:paraId="3EE947AD">
      <w:pPr>
        <w:adjustRightInd w:val="0"/>
        <w:snapToGrid w:val="0"/>
        <w:spacing w:line="360" w:lineRule="atLeast"/>
        <w:rPr>
          <w:color w:val="auto"/>
          <w:szCs w:val="21"/>
        </w:rPr>
      </w:pPr>
      <w:r>
        <w:rPr>
          <w:rFonts w:eastAsia="黑体"/>
          <w:b/>
          <w:color w:val="auto"/>
          <w:szCs w:val="21"/>
        </w:rPr>
        <w:t>13.1.14</w:t>
      </w:r>
      <w:r>
        <w:rPr>
          <w:color w:val="auto"/>
          <w:szCs w:val="21"/>
        </w:rPr>
        <w:t xml:space="preserve">  当建筑物柱下钢筋混凝土独立基础底面以下持力层为软弱土层、相邻柱柱底反力相差较大、基础底面标高相差较大</w:t>
      </w:r>
      <w:r>
        <w:rPr>
          <w:rFonts w:hint="eastAsia"/>
          <w:color w:val="auto"/>
          <w:szCs w:val="21"/>
        </w:rPr>
        <w:t>或</w:t>
      </w:r>
      <w:r>
        <w:rPr>
          <w:color w:val="auto"/>
          <w:szCs w:val="21"/>
        </w:rPr>
        <w:t>基础埋深较大形成底层柱高度与上层相差较大时宜设置钢筋混凝土基础连系梁，连系梁应与柱有可靠拉接。</w:t>
      </w:r>
    </w:p>
    <w:p w14:paraId="3C413426">
      <w:pPr>
        <w:adjustRightInd w:val="0"/>
        <w:snapToGrid w:val="0"/>
        <w:spacing w:line="360" w:lineRule="atLeast"/>
        <w:rPr>
          <w:color w:val="auto"/>
          <w:szCs w:val="21"/>
        </w:rPr>
      </w:pPr>
      <w:r>
        <w:rPr>
          <w:rFonts w:eastAsia="黑体"/>
          <w:b/>
          <w:color w:val="auto"/>
          <w:szCs w:val="21"/>
        </w:rPr>
        <w:t>13.1.15</w:t>
      </w:r>
      <w:r>
        <w:rPr>
          <w:color w:val="auto"/>
          <w:szCs w:val="21"/>
        </w:rPr>
        <w:t xml:space="preserve">  无筋扩展基础室内地面以下或防潮层以下的砌体，应符合表61的要求。</w:t>
      </w:r>
    </w:p>
    <w:p w14:paraId="5E5DFD19">
      <w:pPr>
        <w:adjustRightInd w:val="0"/>
        <w:snapToGrid w:val="0"/>
        <w:spacing w:before="120" w:line="340" w:lineRule="atLeast"/>
        <w:jc w:val="center"/>
        <w:rPr>
          <w:rFonts w:eastAsia="黑体"/>
          <w:b/>
          <w:bCs/>
          <w:color w:val="auto"/>
          <w:sz w:val="20"/>
          <w:szCs w:val="18"/>
        </w:rPr>
      </w:pPr>
      <w:r>
        <w:rPr>
          <w:rFonts w:eastAsia="黑体"/>
          <w:b/>
          <w:bCs/>
          <w:color w:val="auto"/>
          <w:sz w:val="20"/>
          <w:szCs w:val="18"/>
        </w:rPr>
        <w:t>表61    地面以下或防潮层以下的砌体所用材料的最低强度等级</w:t>
      </w:r>
    </w:p>
    <w:tbl>
      <w:tblPr>
        <w:tblStyle w:val="36"/>
        <w:tblW w:w="914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37"/>
        <w:gridCol w:w="2435"/>
        <w:gridCol w:w="1891"/>
        <w:gridCol w:w="1374"/>
        <w:gridCol w:w="1412"/>
      </w:tblGrid>
      <w:tr w14:paraId="579B2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2037" w:type="dxa"/>
            <w:vAlign w:val="center"/>
          </w:tcPr>
          <w:p w14:paraId="2BA19A32">
            <w:pPr>
              <w:adjustRightInd w:val="0"/>
              <w:snapToGrid w:val="0"/>
              <w:jc w:val="center"/>
              <w:rPr>
                <w:color w:val="auto"/>
                <w:sz w:val="18"/>
                <w:szCs w:val="18"/>
              </w:rPr>
            </w:pPr>
            <w:r>
              <w:rPr>
                <w:color w:val="auto"/>
                <w:sz w:val="18"/>
                <w:szCs w:val="18"/>
              </w:rPr>
              <w:t>基础的潮湿程度</w:t>
            </w:r>
          </w:p>
        </w:tc>
        <w:tc>
          <w:tcPr>
            <w:tcW w:w="2435" w:type="dxa"/>
            <w:vAlign w:val="center"/>
          </w:tcPr>
          <w:p w14:paraId="7034C815">
            <w:pPr>
              <w:adjustRightInd w:val="0"/>
              <w:snapToGrid w:val="0"/>
              <w:jc w:val="center"/>
              <w:rPr>
                <w:color w:val="auto"/>
                <w:sz w:val="18"/>
                <w:szCs w:val="18"/>
              </w:rPr>
            </w:pPr>
            <w:r>
              <w:rPr>
                <w:color w:val="auto"/>
                <w:sz w:val="18"/>
                <w:szCs w:val="18"/>
              </w:rPr>
              <w:t>烧结的普通砖、</w:t>
            </w:r>
          </w:p>
          <w:p w14:paraId="1C64C2C6">
            <w:pPr>
              <w:adjustRightInd w:val="0"/>
              <w:snapToGrid w:val="0"/>
              <w:jc w:val="center"/>
              <w:rPr>
                <w:color w:val="auto"/>
                <w:sz w:val="18"/>
                <w:szCs w:val="18"/>
              </w:rPr>
            </w:pPr>
            <w:r>
              <w:rPr>
                <w:color w:val="auto"/>
                <w:sz w:val="18"/>
                <w:szCs w:val="18"/>
              </w:rPr>
              <w:t>蒸压灰砂砖、页岩砖</w:t>
            </w:r>
          </w:p>
        </w:tc>
        <w:tc>
          <w:tcPr>
            <w:tcW w:w="1891" w:type="dxa"/>
            <w:vAlign w:val="center"/>
          </w:tcPr>
          <w:p w14:paraId="40152CFC">
            <w:pPr>
              <w:adjustRightInd w:val="0"/>
              <w:snapToGrid w:val="0"/>
              <w:ind w:firstLine="180" w:firstLineChars="100"/>
              <w:jc w:val="center"/>
              <w:rPr>
                <w:color w:val="auto"/>
                <w:sz w:val="18"/>
                <w:szCs w:val="18"/>
              </w:rPr>
            </w:pPr>
            <w:r>
              <w:rPr>
                <w:color w:val="auto"/>
                <w:sz w:val="18"/>
                <w:szCs w:val="18"/>
              </w:rPr>
              <w:t>混凝土</w:t>
            </w:r>
            <w:r>
              <w:rPr>
                <w:iCs/>
                <w:color w:val="auto"/>
                <w:sz w:val="18"/>
                <w:szCs w:val="18"/>
              </w:rPr>
              <w:t>砌块</w:t>
            </w:r>
          </w:p>
        </w:tc>
        <w:tc>
          <w:tcPr>
            <w:tcW w:w="1374" w:type="dxa"/>
            <w:vAlign w:val="center"/>
          </w:tcPr>
          <w:p w14:paraId="13B726C2">
            <w:pPr>
              <w:adjustRightInd w:val="0"/>
              <w:snapToGrid w:val="0"/>
              <w:ind w:firstLine="180" w:firstLineChars="100"/>
              <w:jc w:val="center"/>
              <w:rPr>
                <w:color w:val="auto"/>
                <w:sz w:val="18"/>
                <w:szCs w:val="18"/>
              </w:rPr>
            </w:pPr>
            <w:r>
              <w:rPr>
                <w:color w:val="auto"/>
                <w:sz w:val="18"/>
                <w:szCs w:val="18"/>
              </w:rPr>
              <w:t>石  材</w:t>
            </w:r>
          </w:p>
        </w:tc>
        <w:tc>
          <w:tcPr>
            <w:tcW w:w="1412" w:type="dxa"/>
            <w:vAlign w:val="center"/>
          </w:tcPr>
          <w:p w14:paraId="689D4324">
            <w:pPr>
              <w:adjustRightInd w:val="0"/>
              <w:snapToGrid w:val="0"/>
              <w:jc w:val="center"/>
              <w:rPr>
                <w:color w:val="auto"/>
                <w:sz w:val="18"/>
                <w:szCs w:val="18"/>
              </w:rPr>
            </w:pPr>
            <w:r>
              <w:rPr>
                <w:color w:val="auto"/>
                <w:sz w:val="18"/>
                <w:szCs w:val="18"/>
              </w:rPr>
              <w:t>水泥砂浆</w:t>
            </w:r>
          </w:p>
        </w:tc>
      </w:tr>
      <w:tr w14:paraId="369EC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2037" w:type="dxa"/>
            <w:vAlign w:val="center"/>
          </w:tcPr>
          <w:p w14:paraId="050FB550">
            <w:pPr>
              <w:adjustRightInd w:val="0"/>
              <w:snapToGrid w:val="0"/>
              <w:spacing w:line="260" w:lineRule="atLeast"/>
              <w:jc w:val="center"/>
              <w:rPr>
                <w:color w:val="auto"/>
                <w:sz w:val="18"/>
                <w:szCs w:val="18"/>
              </w:rPr>
            </w:pPr>
            <w:r>
              <w:rPr>
                <w:color w:val="auto"/>
                <w:sz w:val="18"/>
                <w:szCs w:val="18"/>
              </w:rPr>
              <w:t>稍潮湿的</w:t>
            </w:r>
          </w:p>
        </w:tc>
        <w:tc>
          <w:tcPr>
            <w:tcW w:w="2435" w:type="dxa"/>
            <w:vAlign w:val="center"/>
          </w:tcPr>
          <w:p w14:paraId="6C1172BF">
            <w:pPr>
              <w:jc w:val="center"/>
              <w:rPr>
                <w:color w:val="auto"/>
              </w:rPr>
            </w:pPr>
            <w:r>
              <w:rPr>
                <w:color w:val="auto"/>
              </w:rPr>
              <w:t>MU10</w:t>
            </w:r>
          </w:p>
        </w:tc>
        <w:tc>
          <w:tcPr>
            <w:tcW w:w="1891" w:type="dxa"/>
          </w:tcPr>
          <w:p w14:paraId="7E2309D0">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10</w:t>
            </w:r>
          </w:p>
        </w:tc>
        <w:tc>
          <w:tcPr>
            <w:tcW w:w="1374" w:type="dxa"/>
          </w:tcPr>
          <w:p w14:paraId="4656F84D">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30</w:t>
            </w:r>
          </w:p>
        </w:tc>
        <w:tc>
          <w:tcPr>
            <w:tcW w:w="1412" w:type="dxa"/>
          </w:tcPr>
          <w:p w14:paraId="24E42BED">
            <w:pPr>
              <w:adjustRightInd w:val="0"/>
              <w:snapToGrid w:val="0"/>
              <w:spacing w:line="260" w:lineRule="atLeast"/>
              <w:jc w:val="center"/>
              <w:rPr>
                <w:color w:val="auto"/>
                <w:sz w:val="18"/>
                <w:szCs w:val="18"/>
              </w:rPr>
            </w:pPr>
            <w:r>
              <w:rPr>
                <w:iCs/>
                <w:color w:val="auto"/>
                <w:kern w:val="0"/>
                <w:sz w:val="18"/>
                <w:szCs w:val="18"/>
              </w:rPr>
              <w:t>M</w:t>
            </w:r>
            <w:r>
              <w:rPr>
                <w:color w:val="auto"/>
                <w:sz w:val="18"/>
                <w:szCs w:val="18"/>
              </w:rPr>
              <w:t>5</w:t>
            </w:r>
          </w:p>
        </w:tc>
      </w:tr>
      <w:tr w14:paraId="06FA4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2037" w:type="dxa"/>
            <w:vAlign w:val="center"/>
          </w:tcPr>
          <w:p w14:paraId="7A456E40">
            <w:pPr>
              <w:adjustRightInd w:val="0"/>
              <w:snapToGrid w:val="0"/>
              <w:spacing w:line="260" w:lineRule="atLeast"/>
              <w:jc w:val="center"/>
              <w:rPr>
                <w:color w:val="auto"/>
                <w:sz w:val="18"/>
                <w:szCs w:val="18"/>
              </w:rPr>
            </w:pPr>
            <w:r>
              <w:rPr>
                <w:color w:val="auto"/>
                <w:sz w:val="18"/>
                <w:szCs w:val="18"/>
              </w:rPr>
              <w:t>很潮湿的</w:t>
            </w:r>
          </w:p>
        </w:tc>
        <w:tc>
          <w:tcPr>
            <w:tcW w:w="2435" w:type="dxa"/>
            <w:vAlign w:val="center"/>
          </w:tcPr>
          <w:p w14:paraId="06947FFC">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10</w:t>
            </w:r>
          </w:p>
        </w:tc>
        <w:tc>
          <w:tcPr>
            <w:tcW w:w="1891" w:type="dxa"/>
            <w:vAlign w:val="center"/>
          </w:tcPr>
          <w:p w14:paraId="649321B1">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10</w:t>
            </w:r>
          </w:p>
        </w:tc>
        <w:tc>
          <w:tcPr>
            <w:tcW w:w="1374" w:type="dxa"/>
            <w:vAlign w:val="center"/>
          </w:tcPr>
          <w:p w14:paraId="5268C77F">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30</w:t>
            </w:r>
          </w:p>
        </w:tc>
        <w:tc>
          <w:tcPr>
            <w:tcW w:w="1412" w:type="dxa"/>
            <w:vAlign w:val="center"/>
          </w:tcPr>
          <w:p w14:paraId="12653495">
            <w:pPr>
              <w:adjustRightInd w:val="0"/>
              <w:snapToGrid w:val="0"/>
              <w:spacing w:line="260" w:lineRule="atLeast"/>
              <w:jc w:val="center"/>
              <w:rPr>
                <w:color w:val="auto"/>
                <w:sz w:val="18"/>
                <w:szCs w:val="18"/>
              </w:rPr>
            </w:pPr>
            <w:r>
              <w:rPr>
                <w:iCs/>
                <w:color w:val="auto"/>
                <w:kern w:val="0"/>
                <w:sz w:val="18"/>
                <w:szCs w:val="18"/>
              </w:rPr>
              <w:t>M</w:t>
            </w:r>
            <w:r>
              <w:rPr>
                <w:color w:val="auto"/>
                <w:sz w:val="18"/>
                <w:szCs w:val="18"/>
              </w:rPr>
              <w:t>7.5</w:t>
            </w:r>
          </w:p>
        </w:tc>
      </w:tr>
      <w:tr w14:paraId="1B4C3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2037" w:type="dxa"/>
            <w:vAlign w:val="center"/>
          </w:tcPr>
          <w:p w14:paraId="7E774EEB">
            <w:pPr>
              <w:adjustRightInd w:val="0"/>
              <w:snapToGrid w:val="0"/>
              <w:spacing w:line="260" w:lineRule="atLeast"/>
              <w:jc w:val="center"/>
              <w:rPr>
                <w:color w:val="auto"/>
                <w:sz w:val="18"/>
                <w:szCs w:val="18"/>
              </w:rPr>
            </w:pPr>
            <w:r>
              <w:rPr>
                <w:color w:val="auto"/>
                <w:sz w:val="18"/>
                <w:szCs w:val="18"/>
              </w:rPr>
              <w:t>含水饱和的</w:t>
            </w:r>
          </w:p>
        </w:tc>
        <w:tc>
          <w:tcPr>
            <w:tcW w:w="2435" w:type="dxa"/>
            <w:vAlign w:val="center"/>
          </w:tcPr>
          <w:p w14:paraId="6072D402">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15</w:t>
            </w:r>
          </w:p>
        </w:tc>
        <w:tc>
          <w:tcPr>
            <w:tcW w:w="1891" w:type="dxa"/>
            <w:vAlign w:val="center"/>
          </w:tcPr>
          <w:p w14:paraId="7FD524C4">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10</w:t>
            </w:r>
          </w:p>
        </w:tc>
        <w:tc>
          <w:tcPr>
            <w:tcW w:w="1374" w:type="dxa"/>
            <w:vAlign w:val="center"/>
          </w:tcPr>
          <w:p w14:paraId="4F2E5542">
            <w:pPr>
              <w:adjustRightInd w:val="0"/>
              <w:snapToGrid w:val="0"/>
              <w:spacing w:line="260" w:lineRule="atLeast"/>
              <w:jc w:val="center"/>
              <w:rPr>
                <w:color w:val="auto"/>
                <w:sz w:val="18"/>
                <w:szCs w:val="18"/>
              </w:rPr>
            </w:pPr>
            <w:r>
              <w:rPr>
                <w:iCs/>
                <w:color w:val="auto"/>
                <w:kern w:val="0"/>
                <w:sz w:val="18"/>
                <w:szCs w:val="18"/>
              </w:rPr>
              <w:t>MU</w:t>
            </w:r>
            <w:r>
              <w:rPr>
                <w:color w:val="auto"/>
                <w:sz w:val="18"/>
                <w:szCs w:val="18"/>
              </w:rPr>
              <w:t>40</w:t>
            </w:r>
          </w:p>
        </w:tc>
        <w:tc>
          <w:tcPr>
            <w:tcW w:w="1412" w:type="dxa"/>
            <w:vAlign w:val="center"/>
          </w:tcPr>
          <w:p w14:paraId="7A0C0688">
            <w:pPr>
              <w:adjustRightInd w:val="0"/>
              <w:snapToGrid w:val="0"/>
              <w:spacing w:line="260" w:lineRule="atLeast"/>
              <w:jc w:val="center"/>
              <w:rPr>
                <w:color w:val="auto"/>
                <w:sz w:val="18"/>
                <w:szCs w:val="18"/>
              </w:rPr>
            </w:pPr>
            <w:r>
              <w:rPr>
                <w:iCs/>
                <w:color w:val="auto"/>
                <w:kern w:val="0"/>
                <w:sz w:val="18"/>
                <w:szCs w:val="18"/>
              </w:rPr>
              <w:t>M</w:t>
            </w:r>
            <w:r>
              <w:rPr>
                <w:color w:val="auto"/>
                <w:sz w:val="18"/>
                <w:szCs w:val="18"/>
              </w:rPr>
              <w:t>10</w:t>
            </w:r>
          </w:p>
        </w:tc>
      </w:tr>
    </w:tbl>
    <w:p w14:paraId="66484F90">
      <w:pPr>
        <w:adjustRightInd w:val="0"/>
        <w:snapToGrid w:val="0"/>
        <w:jc w:val="center"/>
        <w:rPr>
          <w:rFonts w:eastAsia="黑体"/>
          <w:b/>
          <w:color w:val="auto"/>
          <w:szCs w:val="21"/>
        </w:rPr>
      </w:pPr>
    </w:p>
    <w:p w14:paraId="3FC9B457">
      <w:pPr>
        <w:adjustRightInd w:val="0"/>
        <w:snapToGrid w:val="0"/>
        <w:spacing w:line="340" w:lineRule="exact"/>
        <w:outlineLvl w:val="1"/>
        <w:rPr>
          <w:rFonts w:eastAsia="黑体"/>
          <w:b/>
          <w:bCs/>
          <w:color w:val="auto"/>
          <w:szCs w:val="21"/>
        </w:rPr>
      </w:pPr>
      <w:bookmarkStart w:id="72" w:name="_Toc199943615"/>
      <w:r>
        <w:rPr>
          <w:rFonts w:eastAsia="黑体"/>
          <w:b/>
          <w:bCs/>
          <w:color w:val="auto"/>
          <w:szCs w:val="21"/>
        </w:rPr>
        <w:t>13.2  柱下条形基础</w:t>
      </w:r>
      <w:bookmarkEnd w:id="72"/>
    </w:p>
    <w:p w14:paraId="41B09F37">
      <w:pPr>
        <w:adjustRightInd w:val="0"/>
        <w:snapToGrid w:val="0"/>
        <w:jc w:val="center"/>
        <w:rPr>
          <w:rFonts w:eastAsia="黑体"/>
          <w:b/>
          <w:color w:val="auto"/>
          <w:szCs w:val="21"/>
        </w:rPr>
      </w:pPr>
    </w:p>
    <w:p w14:paraId="29DF8E66">
      <w:pPr>
        <w:pStyle w:val="15"/>
        <w:spacing w:line="340" w:lineRule="atLeast"/>
        <w:ind w:firstLine="422"/>
        <w:rPr>
          <w:rFonts w:ascii="Times New Roman" w:hAnsi="Times New Roman"/>
          <w:color w:val="auto"/>
          <w:szCs w:val="21"/>
        </w:rPr>
      </w:pPr>
      <w:r>
        <w:rPr>
          <w:rFonts w:ascii="Times New Roman" w:hAnsi="Times New Roman" w:eastAsia="黑体"/>
          <w:b/>
          <w:color w:val="auto"/>
          <w:szCs w:val="21"/>
        </w:rPr>
        <w:t>13.2.1</w:t>
      </w:r>
      <w:r>
        <w:rPr>
          <w:rFonts w:ascii="Times New Roman" w:hAnsi="Times New Roman"/>
          <w:b/>
          <w:bCs/>
          <w:color w:val="auto"/>
          <w:szCs w:val="21"/>
        </w:rPr>
        <w:t xml:space="preserve">  </w:t>
      </w:r>
      <w:r>
        <w:rPr>
          <w:rFonts w:ascii="Times New Roman" w:hAnsi="Times New Roman"/>
          <w:color w:val="auto"/>
          <w:szCs w:val="21"/>
        </w:rPr>
        <w:t>当采用无筋扩展基础及扩展基础不能满足上部结构荷载作用下地基的承载力和变形要求时，可采用直列或十字交叉格构式柱下条形基础。柱下条形基础的构造，除参照本文件第13.1.5条规定外，尚应符合下列要求：</w:t>
      </w:r>
    </w:p>
    <w:p w14:paraId="5A2C29B0">
      <w:pPr>
        <w:spacing w:line="340" w:lineRule="atLeast"/>
        <w:ind w:firstLine="422" w:firstLineChars="200"/>
        <w:rPr>
          <w:color w:val="auto"/>
          <w:szCs w:val="21"/>
        </w:rPr>
      </w:pPr>
      <w:r>
        <w:rPr>
          <w:rFonts w:eastAsia="黑体"/>
          <w:b/>
          <w:color w:val="auto"/>
          <w:szCs w:val="21"/>
        </w:rPr>
        <w:t>a)</w:t>
      </w:r>
      <w:r>
        <w:rPr>
          <w:color w:val="auto"/>
          <w:szCs w:val="21"/>
        </w:rPr>
        <w:t xml:space="preserve">  柱下条形基础梁的高度应根据计算确定，建筑物次要部位或柱荷载较轻的基础梁高度不宜小于柱距的1/7～1/8，柱荷载较大的基础梁高度宜根据梁底反力，取柱距的1/4～1/6。翼板厚度不应小于200mm。当翼板厚度大于250mm时，宜采用变厚度翼板，其</w:t>
      </w:r>
      <w:r>
        <w:rPr>
          <w:rFonts w:hint="eastAsia"/>
          <w:color w:val="auto"/>
          <w:szCs w:val="21"/>
        </w:rPr>
        <w:t>顶面</w:t>
      </w:r>
      <w:r>
        <w:rPr>
          <w:color w:val="auto"/>
          <w:szCs w:val="21"/>
        </w:rPr>
        <w:t>坡度宜小于或等于1:3。</w:t>
      </w:r>
    </w:p>
    <w:p w14:paraId="5A9551FE">
      <w:pPr>
        <w:adjustRightInd w:val="0"/>
        <w:snapToGrid w:val="0"/>
        <w:spacing w:line="340" w:lineRule="atLeast"/>
        <w:ind w:firstLine="414" w:firstLineChars="200"/>
        <w:rPr>
          <w:color w:val="auto"/>
          <w:spacing w:val="-2"/>
          <w:szCs w:val="21"/>
        </w:rPr>
      </w:pPr>
      <w:r>
        <w:rPr>
          <w:rFonts w:eastAsia="黑体"/>
          <w:b/>
          <w:color w:val="auto"/>
          <w:spacing w:val="-2"/>
          <w:szCs w:val="21"/>
        </w:rPr>
        <w:t>b)</w:t>
      </w:r>
      <w:r>
        <w:rPr>
          <w:color w:val="auto"/>
          <w:spacing w:val="-2"/>
          <w:szCs w:val="21"/>
        </w:rPr>
        <w:t xml:space="preserve">  条形基础的端部宜向外伸出，其长度宜为第一跨距的0.25倍。</w:t>
      </w:r>
    </w:p>
    <w:p w14:paraId="2D4E1A4E">
      <w:pPr>
        <w:adjustRightInd w:val="0"/>
        <w:snapToGrid w:val="0"/>
        <w:spacing w:line="340" w:lineRule="atLeast"/>
        <w:ind w:firstLine="422" w:firstLineChars="200"/>
        <w:rPr>
          <w:color w:val="auto"/>
          <w:szCs w:val="21"/>
        </w:rPr>
      </w:pPr>
      <w:r>
        <w:rPr>
          <w:rFonts w:eastAsia="黑体"/>
          <w:b/>
          <w:color w:val="auto"/>
          <w:szCs w:val="21"/>
        </w:rPr>
        <w:t>c)</w:t>
      </w:r>
      <w:r>
        <w:rPr>
          <w:color w:val="auto"/>
          <w:szCs w:val="21"/>
        </w:rPr>
        <w:t xml:space="preserve">  现浇柱与条形基础梁的交接处，其平面尺寸不应小于图29的规定。</w:t>
      </w:r>
    </w:p>
    <w:p w14:paraId="1F74B025">
      <w:pPr>
        <w:adjustRightInd w:val="0"/>
        <w:snapToGrid w:val="0"/>
        <w:spacing w:before="40" w:line="360" w:lineRule="atLeast"/>
        <w:ind w:firstLine="567"/>
        <w:jc w:val="center"/>
        <w:rPr>
          <w:color w:val="auto"/>
          <w:szCs w:val="21"/>
        </w:rPr>
      </w:pPr>
      <w:r>
        <w:rPr>
          <w:color w:val="auto"/>
          <w:sz w:val="32"/>
          <w:szCs w:val="32"/>
        </w:rPr>
        <w:drawing>
          <wp:inline distT="0" distB="0" distL="0" distR="0">
            <wp:extent cx="1457325" cy="1019175"/>
            <wp:effectExtent l="0" t="0" r="0" b="952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a:xfrm>
                      <a:off x="0" y="0"/>
                      <a:ext cx="1457325" cy="1019175"/>
                    </a:xfrm>
                    <a:prstGeom prst="rect">
                      <a:avLst/>
                    </a:prstGeom>
                    <a:noFill/>
                    <a:ln>
                      <a:noFill/>
                    </a:ln>
                  </pic:spPr>
                </pic:pic>
              </a:graphicData>
            </a:graphic>
          </wp:inline>
        </w:drawing>
      </w:r>
    </w:p>
    <w:p w14:paraId="591FE55D">
      <w:pPr>
        <w:adjustRightInd w:val="0"/>
        <w:snapToGrid w:val="0"/>
        <w:spacing w:before="62" w:beforeLines="20" w:after="156" w:afterLines="50"/>
        <w:jc w:val="center"/>
        <w:rPr>
          <w:b/>
          <w:color w:val="auto"/>
          <w:sz w:val="18"/>
          <w:szCs w:val="18"/>
        </w:rPr>
      </w:pPr>
      <w:r>
        <w:rPr>
          <w:rFonts w:eastAsia="黑体"/>
          <w:b/>
          <w:color w:val="auto"/>
          <w:sz w:val="17"/>
          <w:szCs w:val="15"/>
        </w:rPr>
        <w:t xml:space="preserve">    </w:t>
      </w:r>
      <w:r>
        <w:rPr>
          <w:rFonts w:eastAsia="黑体"/>
          <w:b/>
          <w:color w:val="auto"/>
          <w:sz w:val="18"/>
          <w:szCs w:val="18"/>
        </w:rPr>
        <w:t xml:space="preserve"> </w:t>
      </w:r>
      <w:r>
        <w:rPr>
          <w:b/>
          <w:color w:val="auto"/>
          <w:sz w:val="18"/>
          <w:szCs w:val="18"/>
        </w:rPr>
        <w:t>图29  现浇柱与条形基础梁交接处平面尺寸</w:t>
      </w:r>
    </w:p>
    <w:p w14:paraId="6CB160F8">
      <w:pPr>
        <w:adjustRightInd w:val="0"/>
        <w:snapToGrid w:val="0"/>
        <w:spacing w:before="120" w:line="340" w:lineRule="atLeast"/>
        <w:ind w:firstLine="422" w:firstLineChars="200"/>
        <w:rPr>
          <w:color w:val="auto"/>
          <w:szCs w:val="21"/>
        </w:rPr>
      </w:pPr>
      <w:r>
        <w:rPr>
          <w:rFonts w:eastAsia="黑体"/>
          <w:b/>
          <w:color w:val="auto"/>
          <w:szCs w:val="21"/>
        </w:rPr>
        <w:t>d)</w:t>
      </w:r>
      <w:r>
        <w:rPr>
          <w:color w:val="auto"/>
          <w:szCs w:val="21"/>
        </w:rPr>
        <w:t xml:space="preserve">  条形基础梁顶部和底部的纵向受力钢筋除满足计算要求外，顶部钢筋按计算配筋全部贯通，底部通长钢筋不应少于底部受力钢筋总面积的1/3。</w:t>
      </w:r>
    </w:p>
    <w:p w14:paraId="29241441">
      <w:pPr>
        <w:adjustRightInd w:val="0"/>
        <w:snapToGrid w:val="0"/>
        <w:spacing w:line="340" w:lineRule="atLeast"/>
        <w:ind w:firstLine="422" w:firstLineChars="200"/>
        <w:rPr>
          <w:color w:val="auto"/>
          <w:szCs w:val="21"/>
        </w:rPr>
      </w:pPr>
      <w:r>
        <w:rPr>
          <w:rFonts w:eastAsia="黑体"/>
          <w:b/>
          <w:color w:val="auto"/>
          <w:szCs w:val="21"/>
        </w:rPr>
        <w:t>e)</w:t>
      </w:r>
      <w:r>
        <w:rPr>
          <w:color w:val="auto"/>
          <w:szCs w:val="21"/>
        </w:rPr>
        <w:t xml:space="preserve">  柱下条形基础的混凝土强度等级，不应低于C25。</w:t>
      </w:r>
    </w:p>
    <w:p w14:paraId="2F8D9F37">
      <w:pPr>
        <w:adjustRightInd w:val="0"/>
        <w:snapToGrid w:val="0"/>
        <w:spacing w:line="340" w:lineRule="atLeast"/>
        <w:rPr>
          <w:color w:val="auto"/>
          <w:szCs w:val="21"/>
        </w:rPr>
      </w:pPr>
      <w:r>
        <w:rPr>
          <w:rFonts w:eastAsia="黑体"/>
          <w:b/>
          <w:color w:val="auto"/>
          <w:szCs w:val="21"/>
        </w:rPr>
        <w:t>13.2.2</w:t>
      </w:r>
      <w:r>
        <w:rPr>
          <w:color w:val="auto"/>
          <w:szCs w:val="21"/>
        </w:rPr>
        <w:t xml:space="preserve">  柱下条形基础的计算，除应符合本文件第13.1节的要求外，尚应符合下列原则；</w:t>
      </w:r>
    </w:p>
    <w:p w14:paraId="49407560">
      <w:pPr>
        <w:adjustRightInd w:val="0"/>
        <w:snapToGrid w:val="0"/>
        <w:spacing w:line="340" w:lineRule="atLeast"/>
        <w:ind w:firstLine="422" w:firstLineChars="200"/>
        <w:rPr>
          <w:color w:val="auto"/>
          <w:szCs w:val="21"/>
        </w:rPr>
      </w:pPr>
      <w:r>
        <w:rPr>
          <w:rFonts w:eastAsia="黑体"/>
          <w:b/>
          <w:color w:val="auto"/>
          <w:szCs w:val="21"/>
        </w:rPr>
        <w:t>a)</w:t>
      </w:r>
      <w:r>
        <w:rPr>
          <w:color w:val="auto"/>
          <w:szCs w:val="21"/>
        </w:rPr>
        <w:t xml:space="preserve">  在比较均匀的地基上，上部结构刚度较好，荷载分布较均匀，且条形基础梁的高度不小于1/6柱距时，地基反力可按直线分布，条形基础梁的内力可按连续梁计算，此时边跨跨中弯矩及第一内支座的弯矩值宜乘以1.2的系数</w:t>
      </w:r>
      <w:r>
        <w:rPr>
          <w:rFonts w:hint="eastAsia"/>
          <w:color w:val="auto"/>
          <w:szCs w:val="21"/>
        </w:rPr>
        <w:t>。</w:t>
      </w:r>
    </w:p>
    <w:p w14:paraId="144B4743">
      <w:pPr>
        <w:adjustRightInd w:val="0"/>
        <w:snapToGrid w:val="0"/>
        <w:spacing w:line="340" w:lineRule="atLeast"/>
        <w:ind w:firstLine="422" w:firstLineChars="200"/>
        <w:rPr>
          <w:color w:val="auto"/>
          <w:szCs w:val="21"/>
        </w:rPr>
      </w:pPr>
      <w:r>
        <w:rPr>
          <w:rFonts w:eastAsia="黑体"/>
          <w:b/>
          <w:color w:val="auto"/>
          <w:szCs w:val="21"/>
        </w:rPr>
        <w:t>b)</w:t>
      </w:r>
      <w:r>
        <w:rPr>
          <w:color w:val="auto"/>
          <w:szCs w:val="21"/>
        </w:rPr>
        <w:t xml:space="preserve">  当不满足本条第一款时，宜按弹性地基梁计算</w:t>
      </w:r>
      <w:r>
        <w:rPr>
          <w:rFonts w:hint="eastAsia"/>
          <w:color w:val="auto"/>
          <w:szCs w:val="21"/>
        </w:rPr>
        <w:t>。</w:t>
      </w:r>
    </w:p>
    <w:p w14:paraId="4F94D1C1">
      <w:pPr>
        <w:adjustRightInd w:val="0"/>
        <w:snapToGrid w:val="0"/>
        <w:spacing w:line="340" w:lineRule="atLeast"/>
        <w:ind w:firstLine="422" w:firstLineChars="200"/>
        <w:rPr>
          <w:color w:val="auto"/>
          <w:szCs w:val="21"/>
        </w:rPr>
      </w:pPr>
      <w:r>
        <w:rPr>
          <w:rFonts w:eastAsia="黑体"/>
          <w:b/>
          <w:color w:val="auto"/>
          <w:szCs w:val="21"/>
        </w:rPr>
        <w:t>c)</w:t>
      </w:r>
      <w:r>
        <w:rPr>
          <w:color w:val="auto"/>
          <w:szCs w:val="21"/>
        </w:rPr>
        <w:t xml:space="preserve">  对交叉条形基础，交点上的柱荷载，可按交叉梁的刚度或变形协调的原则进行分配。其内力可按本条上述规定，分别进行计算</w:t>
      </w:r>
      <w:r>
        <w:rPr>
          <w:rFonts w:hint="eastAsia"/>
          <w:color w:val="auto"/>
          <w:szCs w:val="21"/>
        </w:rPr>
        <w:t>。</w:t>
      </w:r>
    </w:p>
    <w:p w14:paraId="5E46717D">
      <w:pPr>
        <w:adjustRightInd w:val="0"/>
        <w:snapToGrid w:val="0"/>
        <w:spacing w:line="340" w:lineRule="atLeast"/>
        <w:ind w:firstLine="422" w:firstLineChars="200"/>
        <w:rPr>
          <w:color w:val="auto"/>
          <w:szCs w:val="21"/>
        </w:rPr>
      </w:pPr>
      <w:r>
        <w:rPr>
          <w:rFonts w:eastAsia="黑体"/>
          <w:b/>
          <w:color w:val="auto"/>
          <w:szCs w:val="21"/>
        </w:rPr>
        <w:t>d)</w:t>
      </w:r>
      <w:r>
        <w:rPr>
          <w:color w:val="auto"/>
          <w:szCs w:val="21"/>
        </w:rPr>
        <w:t xml:space="preserve">  基础梁正截面受弯及斜截面受剪承载力按GB/T</w:t>
      </w:r>
      <w:r>
        <w:rPr>
          <w:rFonts w:hint="eastAsia"/>
          <w:color w:val="auto"/>
          <w:szCs w:val="21"/>
          <w:lang w:val="en-US" w:eastAsia="zh-CN"/>
        </w:rPr>
        <w:t xml:space="preserve"> </w:t>
      </w:r>
      <w:r>
        <w:rPr>
          <w:color w:val="auto"/>
          <w:szCs w:val="21"/>
        </w:rPr>
        <w:t>50010的规定验算。</w:t>
      </w:r>
    </w:p>
    <w:p w14:paraId="22855DE3">
      <w:pPr>
        <w:adjustRightInd w:val="0"/>
        <w:snapToGrid w:val="0"/>
        <w:spacing w:line="340" w:lineRule="atLeast"/>
        <w:ind w:firstLine="422" w:firstLineChars="200"/>
        <w:rPr>
          <w:color w:val="auto"/>
          <w:szCs w:val="21"/>
        </w:rPr>
      </w:pPr>
      <w:r>
        <w:rPr>
          <w:rFonts w:eastAsia="黑体"/>
          <w:b/>
          <w:color w:val="auto"/>
          <w:szCs w:val="21"/>
        </w:rPr>
        <w:t>e)</w:t>
      </w:r>
      <w:r>
        <w:rPr>
          <w:color w:val="auto"/>
          <w:szCs w:val="21"/>
        </w:rPr>
        <w:t xml:space="preserve">  当存在扭矩时，尚应作抗扭计算</w:t>
      </w:r>
      <w:r>
        <w:rPr>
          <w:rFonts w:hint="eastAsia"/>
          <w:color w:val="auto"/>
          <w:szCs w:val="21"/>
        </w:rPr>
        <w:t>。</w:t>
      </w:r>
    </w:p>
    <w:p w14:paraId="4CDAD849">
      <w:pPr>
        <w:adjustRightInd w:val="0"/>
        <w:snapToGrid w:val="0"/>
        <w:spacing w:line="340" w:lineRule="atLeast"/>
        <w:ind w:firstLine="422" w:firstLineChars="200"/>
        <w:rPr>
          <w:color w:val="auto"/>
          <w:szCs w:val="21"/>
        </w:rPr>
      </w:pPr>
      <w:r>
        <w:rPr>
          <w:rFonts w:eastAsia="黑体"/>
          <w:b/>
          <w:color w:val="auto"/>
          <w:szCs w:val="21"/>
        </w:rPr>
        <w:t>f)</w:t>
      </w:r>
      <w:r>
        <w:rPr>
          <w:color w:val="auto"/>
          <w:szCs w:val="21"/>
        </w:rPr>
        <w:t xml:space="preserve">  当条形基础的混凝土强度等级小于柱的混凝土强度等级时，尚应验算柱下条形基础梁顶面的局部受压承载力。</w:t>
      </w:r>
    </w:p>
    <w:p w14:paraId="344AB917">
      <w:pPr>
        <w:adjustRightInd w:val="0"/>
        <w:snapToGrid w:val="0"/>
        <w:spacing w:line="340" w:lineRule="atLeast"/>
        <w:rPr>
          <w:color w:val="auto"/>
          <w:szCs w:val="21"/>
        </w:rPr>
      </w:pPr>
    </w:p>
    <w:p w14:paraId="266AC77E">
      <w:pPr>
        <w:adjustRightInd w:val="0"/>
        <w:snapToGrid w:val="0"/>
        <w:spacing w:line="340" w:lineRule="exact"/>
        <w:outlineLvl w:val="1"/>
        <w:rPr>
          <w:rFonts w:eastAsia="黑体"/>
          <w:b/>
          <w:bCs/>
          <w:color w:val="auto"/>
          <w:szCs w:val="21"/>
        </w:rPr>
      </w:pPr>
      <w:bookmarkStart w:id="73" w:name="_Toc199943616"/>
      <w:r>
        <w:rPr>
          <w:rFonts w:eastAsia="黑体"/>
          <w:b/>
          <w:bCs/>
          <w:color w:val="auto"/>
          <w:szCs w:val="21"/>
        </w:rPr>
        <w:t>13.3  筏基与桩筏基础</w:t>
      </w:r>
      <w:bookmarkEnd w:id="73"/>
    </w:p>
    <w:p w14:paraId="4A46DBFD">
      <w:pPr>
        <w:adjustRightInd w:val="0"/>
        <w:snapToGrid w:val="0"/>
        <w:spacing w:line="340" w:lineRule="atLeast"/>
        <w:jc w:val="center"/>
        <w:rPr>
          <w:rFonts w:eastAsia="黑体"/>
          <w:b/>
          <w:color w:val="auto"/>
          <w:szCs w:val="21"/>
        </w:rPr>
      </w:pPr>
    </w:p>
    <w:p w14:paraId="782FC662">
      <w:pPr>
        <w:autoSpaceDE w:val="0"/>
        <w:autoSpaceDN w:val="0"/>
        <w:adjustRightInd w:val="0"/>
        <w:spacing w:line="360" w:lineRule="atLeast"/>
        <w:rPr>
          <w:color w:val="auto"/>
          <w:spacing w:val="5"/>
          <w:kern w:val="0"/>
          <w:szCs w:val="21"/>
        </w:rPr>
      </w:pPr>
      <w:r>
        <w:rPr>
          <w:rFonts w:eastAsia="黑体"/>
          <w:b/>
          <w:color w:val="auto"/>
          <w:szCs w:val="21"/>
        </w:rPr>
        <w:t>13.3.1</w:t>
      </w:r>
      <w:r>
        <w:rPr>
          <w:color w:val="auto"/>
          <w:szCs w:val="21"/>
        </w:rPr>
        <w:t xml:space="preserve">  筏形基础分梁板式和平板式两种类型，应根据工程地质、上部结构体系、柱距、荷载大小、施工条件以及使用要求等因素选型。</w:t>
      </w:r>
      <w:r>
        <w:rPr>
          <w:color w:val="auto"/>
          <w:spacing w:val="5"/>
          <w:kern w:val="0"/>
          <w:szCs w:val="21"/>
        </w:rPr>
        <w:t>框架-核心筒结构和筒中筒结构宜采用平板式筏形基础。</w:t>
      </w:r>
    </w:p>
    <w:p w14:paraId="2C1D6047">
      <w:pPr>
        <w:adjustRightInd w:val="0"/>
        <w:snapToGrid w:val="0"/>
        <w:spacing w:line="340" w:lineRule="atLeast"/>
        <w:rPr>
          <w:color w:val="auto"/>
          <w:szCs w:val="21"/>
        </w:rPr>
      </w:pPr>
      <w:r>
        <w:rPr>
          <w:rFonts w:eastAsia="黑体"/>
          <w:b/>
          <w:color w:val="auto"/>
          <w:szCs w:val="21"/>
        </w:rPr>
        <w:t>13.3.2</w:t>
      </w:r>
      <w:r>
        <w:rPr>
          <w:color w:val="auto"/>
          <w:szCs w:val="21"/>
        </w:rPr>
        <w:t xml:space="preserve">  筏形基础的平面尺寸，应根据地基土的承载力、地基变形、上部结构的布置及荷载分布等因素按本文件第7章有关规定确定。当为满足地基承载力的要求而扩大底板面积时，扩大部位宜设在建筑物的宽度方向。</w:t>
      </w:r>
    </w:p>
    <w:p w14:paraId="51A8ED9F">
      <w:pPr>
        <w:adjustRightInd w:val="0"/>
        <w:snapToGrid w:val="0"/>
        <w:spacing w:line="340" w:lineRule="atLeast"/>
        <w:ind w:firstLine="420" w:firstLineChars="200"/>
        <w:rPr>
          <w:color w:val="auto"/>
          <w:szCs w:val="21"/>
        </w:rPr>
      </w:pPr>
      <w:r>
        <w:rPr>
          <w:color w:val="auto"/>
          <w:szCs w:val="21"/>
        </w:rPr>
        <w:t>对单幢建筑物，在地基土比较均匀的条件下，基底平面形心宜与结构竖向永久荷载重心重合。当不能重合时，在作用的准永久组合下，偏心距</w:t>
      </w:r>
      <w:r>
        <w:rPr>
          <w:i/>
          <w:color w:val="auto"/>
          <w:szCs w:val="21"/>
        </w:rPr>
        <w:t>e</w:t>
      </w:r>
      <w:r>
        <w:rPr>
          <w:color w:val="auto"/>
          <w:szCs w:val="21"/>
        </w:rPr>
        <w:t>宜符合</w:t>
      </w:r>
      <w:r>
        <w:rPr>
          <w:rFonts w:hint="eastAsia"/>
          <w:color w:val="auto"/>
          <w:lang w:val="en-US" w:eastAsia="zh-CN"/>
        </w:rPr>
        <w:t>公式（114）</w:t>
      </w:r>
      <w:r>
        <w:rPr>
          <w:color w:val="auto"/>
          <w:szCs w:val="21"/>
        </w:rPr>
        <w:t>要求：</w:t>
      </w:r>
    </w:p>
    <w:p w14:paraId="421CC3CF">
      <w:pPr>
        <w:pStyle w:val="12"/>
        <w:jc w:val="right"/>
        <w:rPr>
          <w:iCs/>
          <w:color w:val="auto"/>
          <w:szCs w:val="21"/>
        </w:rPr>
      </w:pPr>
      <w:r>
        <w:rPr>
          <w:i/>
          <w:color w:val="auto"/>
          <w:position w:val="-24"/>
          <w:szCs w:val="21"/>
        </w:rPr>
        <w:object>
          <v:shape id="_x0000_i1551" o:spt="75" type="#_x0000_t75" style="height:28.5pt;width:43.5pt;" o:ole="t" filled="f" o:preferrelative="t" stroked="f" coordsize="21600,21600">
            <v:path/>
            <v:fill on="f" focussize="0,0"/>
            <v:stroke on="f" joinstyle="miter"/>
            <v:imagedata r:id="rId1032" o:title=""/>
            <o:lock v:ext="edit" aspectratio="t"/>
            <w10:wrap type="none"/>
            <w10:anchorlock/>
          </v:shape>
          <o:OLEObject Type="Embed" ProgID="Equation.DSMT4" ShapeID="_x0000_i1551" DrawAspect="Content" ObjectID="_1468076251" r:id="rId1031">
            <o:LockedField>false</o:LockedField>
          </o:OLEObject>
        </w:object>
      </w:r>
      <w:r>
        <w:rPr>
          <w:i/>
          <w:color w:val="auto"/>
          <w:szCs w:val="21"/>
        </w:rPr>
        <w:t xml:space="preserve">                                 </w:t>
      </w:r>
      <w:r>
        <w:rPr>
          <w:iCs/>
          <w:color w:val="auto"/>
          <w:szCs w:val="21"/>
        </w:rPr>
        <w:t>（</w:t>
      </w:r>
      <w:r>
        <w:rPr>
          <w:iCs/>
          <w:color w:val="auto"/>
          <w:szCs w:val="21"/>
        </w:rPr>
        <w:fldChar w:fldCharType="begin"/>
      </w:r>
      <w:r>
        <w:rPr>
          <w:iCs/>
          <w:color w:val="auto"/>
          <w:szCs w:val="21"/>
        </w:rPr>
        <w:instrText xml:space="preserve"> SEQ Equation \* ARABIC </w:instrText>
      </w:r>
      <w:r>
        <w:rPr>
          <w:iCs/>
          <w:color w:val="auto"/>
          <w:szCs w:val="21"/>
        </w:rPr>
        <w:fldChar w:fldCharType="separate"/>
      </w:r>
      <w:r>
        <w:rPr>
          <w:iCs/>
          <w:color w:val="auto"/>
          <w:szCs w:val="21"/>
        </w:rPr>
        <w:t>114</w:t>
      </w:r>
      <w:r>
        <w:rPr>
          <w:iCs/>
          <w:color w:val="auto"/>
          <w:szCs w:val="21"/>
        </w:rPr>
        <w:fldChar w:fldCharType="end"/>
      </w:r>
      <w:r>
        <w:rPr>
          <w:iCs/>
          <w:color w:val="auto"/>
          <w:szCs w:val="21"/>
        </w:rPr>
        <w:t>）</w:t>
      </w:r>
    </w:p>
    <w:p w14:paraId="337E018A">
      <w:pPr>
        <w:adjustRightInd w:val="0"/>
        <w:snapToGrid w:val="0"/>
        <w:spacing w:line="340" w:lineRule="atLeast"/>
        <w:rPr>
          <w:color w:val="auto"/>
          <w:szCs w:val="21"/>
        </w:rPr>
      </w:pPr>
      <w:r>
        <w:rPr>
          <w:color w:val="auto"/>
          <w:szCs w:val="21"/>
        </w:rPr>
        <w:t xml:space="preserve">式中  </w:t>
      </w:r>
      <w:r>
        <w:rPr>
          <w:i/>
          <w:color w:val="auto"/>
          <w:szCs w:val="21"/>
        </w:rPr>
        <w:t>W</w:t>
      </w:r>
      <w:r>
        <w:rPr>
          <w:color w:val="auto"/>
          <w:szCs w:val="21"/>
        </w:rPr>
        <w:t>——与偏心距方向一致的基础底面边缘抵抗矩（m</w:t>
      </w:r>
      <w:r>
        <w:rPr>
          <w:color w:val="auto"/>
          <w:szCs w:val="21"/>
          <w:vertAlign w:val="superscript"/>
        </w:rPr>
        <w:t>3</w:t>
      </w:r>
      <w:r>
        <w:rPr>
          <w:color w:val="auto"/>
          <w:szCs w:val="21"/>
        </w:rPr>
        <w:t>）；</w:t>
      </w:r>
    </w:p>
    <w:p w14:paraId="2012C911">
      <w:pPr>
        <w:adjustRightInd w:val="0"/>
        <w:snapToGrid w:val="0"/>
        <w:spacing w:line="340" w:lineRule="atLeast"/>
        <w:ind w:firstLine="658"/>
        <w:rPr>
          <w:color w:val="auto"/>
          <w:szCs w:val="21"/>
        </w:rPr>
      </w:pPr>
      <w:r>
        <w:rPr>
          <w:i/>
          <w:color w:val="auto"/>
          <w:szCs w:val="21"/>
        </w:rPr>
        <w:t>A</w:t>
      </w:r>
      <w:r>
        <w:rPr>
          <w:color w:val="auto"/>
          <w:szCs w:val="21"/>
        </w:rPr>
        <w:t>——基础底面积（m</w:t>
      </w:r>
      <w:r>
        <w:rPr>
          <w:color w:val="auto"/>
          <w:szCs w:val="21"/>
          <w:vertAlign w:val="superscript"/>
        </w:rPr>
        <w:t>2</w:t>
      </w:r>
      <w:r>
        <w:rPr>
          <w:color w:val="auto"/>
          <w:szCs w:val="21"/>
        </w:rPr>
        <w:t>）。</w:t>
      </w:r>
    </w:p>
    <w:p w14:paraId="4EFB3A7A">
      <w:pPr>
        <w:autoSpaceDE w:val="0"/>
        <w:autoSpaceDN w:val="0"/>
        <w:adjustRightInd w:val="0"/>
        <w:spacing w:line="360" w:lineRule="atLeast"/>
        <w:ind w:firstLine="420" w:firstLineChars="200"/>
        <w:jc w:val="left"/>
        <w:rPr>
          <w:color w:val="auto"/>
          <w:szCs w:val="21"/>
        </w:rPr>
      </w:pPr>
      <w:r>
        <w:rPr>
          <w:color w:val="auto"/>
          <w:szCs w:val="21"/>
        </w:rPr>
        <w:t>对带裙房的高层建筑物，采用</w:t>
      </w:r>
      <w:r>
        <w:rPr>
          <w:rFonts w:hint="eastAsia"/>
          <w:color w:val="auto"/>
          <w:lang w:val="en-US" w:eastAsia="zh-CN"/>
        </w:rPr>
        <w:t>公式</w:t>
      </w:r>
      <w:r>
        <w:rPr>
          <w:color w:val="auto"/>
          <w:szCs w:val="21"/>
        </w:rPr>
        <w:t>（114）计算时，主楼和裙房可分开考虑。</w:t>
      </w:r>
    </w:p>
    <w:p w14:paraId="794EA64A">
      <w:pPr>
        <w:adjustRightInd w:val="0"/>
        <w:snapToGrid w:val="0"/>
        <w:spacing w:line="340" w:lineRule="atLeast"/>
        <w:rPr>
          <w:color w:val="auto"/>
          <w:szCs w:val="21"/>
        </w:rPr>
      </w:pPr>
      <w:r>
        <w:rPr>
          <w:rFonts w:eastAsia="黑体"/>
          <w:b/>
          <w:color w:val="auto"/>
          <w:szCs w:val="21"/>
        </w:rPr>
        <w:t>13.3.3</w:t>
      </w:r>
      <w:r>
        <w:rPr>
          <w:color w:val="auto"/>
          <w:szCs w:val="21"/>
        </w:rPr>
        <w:t xml:space="preserve">  筏形基础的混凝土强度等级不应低于C30，筏板基础</w:t>
      </w:r>
      <w:r>
        <w:rPr>
          <w:rFonts w:hint="eastAsia"/>
          <w:color w:val="auto"/>
          <w:szCs w:val="21"/>
        </w:rPr>
        <w:t>应</w:t>
      </w:r>
      <w:r>
        <w:rPr>
          <w:color w:val="auto"/>
          <w:szCs w:val="21"/>
        </w:rPr>
        <w:t>设置混凝土垫层，其强度等级不应小于C15，厚度不应小于100mm，淤泥、淤泥质土层上的垫层厚度不应小于150mm。筏板迎水面纵向受力钢筋的混凝土保护层厚度</w:t>
      </w:r>
      <w:r>
        <w:rPr>
          <w:rFonts w:hint="eastAsia"/>
          <w:color w:val="auto"/>
          <w:szCs w:val="21"/>
        </w:rPr>
        <w:t>应从筏板底面算起，且</w:t>
      </w:r>
      <w:r>
        <w:rPr>
          <w:color w:val="auto"/>
          <w:szCs w:val="21"/>
        </w:rPr>
        <w:t>不应小于50mm。</w:t>
      </w:r>
    </w:p>
    <w:p w14:paraId="0BC44A06">
      <w:pPr>
        <w:adjustRightInd w:val="0"/>
        <w:snapToGrid w:val="0"/>
        <w:spacing w:line="340" w:lineRule="atLeast"/>
        <w:ind w:firstLine="420"/>
        <w:rPr>
          <w:color w:val="auto"/>
          <w:szCs w:val="21"/>
        </w:rPr>
      </w:pPr>
      <w:r>
        <w:rPr>
          <w:color w:val="auto"/>
          <w:szCs w:val="21"/>
        </w:rPr>
        <w:t>筏板基础作为地下室的一部分时，尙应符合地下室对防水混凝土的要求。</w:t>
      </w:r>
    </w:p>
    <w:p w14:paraId="0C6F0975">
      <w:pPr>
        <w:adjustRightInd w:val="0"/>
        <w:snapToGrid w:val="0"/>
        <w:spacing w:line="340" w:lineRule="atLeast"/>
        <w:rPr>
          <w:color w:val="auto"/>
          <w:szCs w:val="21"/>
        </w:rPr>
      </w:pPr>
      <w:r>
        <w:rPr>
          <w:rFonts w:eastAsia="黑体"/>
          <w:b/>
          <w:color w:val="auto"/>
          <w:szCs w:val="21"/>
        </w:rPr>
        <w:t>13.3.4</w:t>
      </w:r>
      <w:r>
        <w:rPr>
          <w:color w:val="auto"/>
          <w:szCs w:val="21"/>
        </w:rPr>
        <w:t xml:space="preserve">  筏板基础的构造，应符合下列要求：</w:t>
      </w:r>
    </w:p>
    <w:p w14:paraId="318FD9C8">
      <w:pPr>
        <w:adjustRightInd w:val="0"/>
        <w:snapToGrid w:val="0"/>
        <w:spacing w:line="340" w:lineRule="atLeast"/>
        <w:ind w:firstLine="420"/>
        <w:rPr>
          <w:color w:val="auto"/>
          <w:szCs w:val="21"/>
        </w:rPr>
      </w:pPr>
      <w:r>
        <w:rPr>
          <w:rFonts w:eastAsia="黑体"/>
          <w:b/>
          <w:color w:val="auto"/>
          <w:szCs w:val="21"/>
        </w:rPr>
        <w:t xml:space="preserve">a)  </w:t>
      </w:r>
      <w:r>
        <w:rPr>
          <w:color w:val="auto"/>
          <w:szCs w:val="21"/>
        </w:rPr>
        <w:t>梁板式筏基的底板最小厚度不应小于400mm，其底板厚度与最大双向板格的短边净跨之比不应小于1/20，对于12层以上建筑不应小于1/14。梁板式筏基梁的高跨比不宜小于1/6。</w:t>
      </w:r>
    </w:p>
    <w:p w14:paraId="4D3E252A">
      <w:pPr>
        <w:adjustRightInd w:val="0"/>
        <w:snapToGrid w:val="0"/>
        <w:spacing w:line="340" w:lineRule="atLeast"/>
        <w:ind w:firstLine="420"/>
        <w:rPr>
          <w:color w:val="auto"/>
          <w:szCs w:val="21"/>
        </w:rPr>
      </w:pPr>
      <w:r>
        <w:rPr>
          <w:rFonts w:eastAsia="黑体"/>
          <w:b/>
          <w:color w:val="auto"/>
          <w:szCs w:val="21"/>
        </w:rPr>
        <w:t xml:space="preserve">b)  </w:t>
      </w:r>
      <w:r>
        <w:rPr>
          <w:color w:val="auto"/>
          <w:szCs w:val="21"/>
        </w:rPr>
        <w:t>平板式筏基的筏板最小厚度不应小于500mm。</w:t>
      </w:r>
    </w:p>
    <w:p w14:paraId="28FF363E">
      <w:pPr>
        <w:adjustRightInd w:val="0"/>
        <w:snapToGrid w:val="0"/>
        <w:spacing w:line="340" w:lineRule="atLeast"/>
        <w:ind w:firstLine="420"/>
        <w:rPr>
          <w:color w:val="auto"/>
          <w:szCs w:val="21"/>
        </w:rPr>
      </w:pPr>
      <w:r>
        <w:rPr>
          <w:rFonts w:eastAsia="黑体"/>
          <w:b/>
          <w:color w:val="auto"/>
          <w:szCs w:val="21"/>
        </w:rPr>
        <w:t>c)</w:t>
      </w:r>
      <w:r>
        <w:rPr>
          <w:color w:val="auto"/>
          <w:szCs w:val="21"/>
        </w:rPr>
        <w:t xml:space="preserve">  考虑到整体弯曲影响，梁板式筏基的底板和基础梁的配筋除满足计算要求外，顶部钢筋应按实际配筋全部连通，纵横方向的底部钢筋尚应有1/2～1/3贯通全跨，且底板上下贯通钢筋的配筋率</w:t>
      </w:r>
      <w:r>
        <w:rPr>
          <w:rFonts w:hint="eastAsia"/>
          <w:color w:val="auto"/>
          <w:szCs w:val="21"/>
        </w:rPr>
        <w:t>均</w:t>
      </w:r>
      <w:r>
        <w:rPr>
          <w:color w:val="auto"/>
          <w:szCs w:val="21"/>
        </w:rPr>
        <w:t>不应小于0.15%。</w:t>
      </w:r>
    </w:p>
    <w:p w14:paraId="4C74E31F">
      <w:pPr>
        <w:adjustRightInd w:val="0"/>
        <w:snapToGrid w:val="0"/>
        <w:spacing w:line="340" w:lineRule="atLeast"/>
        <w:ind w:firstLine="420"/>
        <w:rPr>
          <w:color w:val="auto"/>
        </w:rPr>
      </w:pPr>
      <w:r>
        <w:rPr>
          <w:color w:val="auto"/>
        </w:rPr>
        <w:t>平板式筏基柱下板带和跨中板带的底部支座钢筋应有不少于1/3贯通全跨，顶部钢筋应按计算配筋全部连通，上下贯通钢筋的配筋率</w:t>
      </w:r>
      <w:r>
        <w:rPr>
          <w:rFonts w:hint="eastAsia"/>
          <w:color w:val="auto"/>
        </w:rPr>
        <w:t>均</w:t>
      </w:r>
      <w:r>
        <w:rPr>
          <w:color w:val="auto"/>
        </w:rPr>
        <w:t>不应小于0.15%。</w:t>
      </w:r>
    </w:p>
    <w:p w14:paraId="59C2499E">
      <w:pPr>
        <w:adjustRightInd w:val="0"/>
        <w:snapToGrid w:val="0"/>
        <w:spacing w:line="340" w:lineRule="atLeast"/>
        <w:rPr>
          <w:color w:val="auto"/>
          <w:szCs w:val="21"/>
        </w:rPr>
      </w:pPr>
      <w:r>
        <w:rPr>
          <w:color w:val="auto"/>
          <w:szCs w:val="21"/>
        </w:rPr>
        <w:t xml:space="preserve">    </w:t>
      </w:r>
      <w:r>
        <w:rPr>
          <w:rFonts w:eastAsia="黑体"/>
          <w:b/>
          <w:color w:val="auto"/>
          <w:szCs w:val="21"/>
        </w:rPr>
        <w:t>d)</w:t>
      </w:r>
      <w:r>
        <w:rPr>
          <w:color w:val="auto"/>
          <w:szCs w:val="21"/>
        </w:rPr>
        <w:t xml:space="preserve">  为减少基底压力而设置架空层的筏板基础，外侧基础梁及底板应考虑防水要求。</w:t>
      </w:r>
    </w:p>
    <w:p w14:paraId="5A9C5C84">
      <w:pPr>
        <w:adjustRightInd w:val="0"/>
        <w:snapToGrid w:val="0"/>
        <w:spacing w:line="340" w:lineRule="atLeast"/>
        <w:rPr>
          <w:color w:val="auto"/>
          <w:szCs w:val="21"/>
        </w:rPr>
      </w:pPr>
      <w:r>
        <w:rPr>
          <w:color w:val="auto"/>
          <w:szCs w:val="21"/>
        </w:rPr>
        <w:t xml:space="preserve">    </w:t>
      </w:r>
      <w:r>
        <w:rPr>
          <w:rFonts w:eastAsia="黑体"/>
          <w:b/>
          <w:color w:val="auto"/>
          <w:szCs w:val="21"/>
        </w:rPr>
        <w:t xml:space="preserve">e) </w:t>
      </w:r>
      <w:r>
        <w:rPr>
          <w:color w:val="auto"/>
          <w:szCs w:val="21"/>
        </w:rPr>
        <w:t xml:space="preserve"> 筏板悬臂部分下的地基土如有可能与悬臂脱开时，应在悬臂上部设置受力钢筋。对于双向悬臂挑出但基础梁无法外伸的筏板，宜在筏板角区布置放射状附加钢筋。</w:t>
      </w:r>
    </w:p>
    <w:p w14:paraId="6CAA3652">
      <w:pPr>
        <w:adjustRightInd w:val="0"/>
        <w:snapToGrid w:val="0"/>
        <w:spacing w:line="340" w:lineRule="atLeast"/>
        <w:rPr>
          <w:color w:val="auto"/>
          <w:szCs w:val="21"/>
        </w:rPr>
      </w:pPr>
      <w:r>
        <w:rPr>
          <w:color w:val="auto"/>
          <w:szCs w:val="21"/>
        </w:rPr>
        <w:t xml:space="preserve">   </w:t>
      </w:r>
      <w:r>
        <w:rPr>
          <w:b/>
          <w:bCs/>
          <w:color w:val="auto"/>
          <w:szCs w:val="21"/>
        </w:rPr>
        <w:t xml:space="preserve"> </w:t>
      </w:r>
      <w:r>
        <w:rPr>
          <w:rFonts w:eastAsia="黑体"/>
          <w:b/>
          <w:color w:val="auto"/>
          <w:szCs w:val="21"/>
        </w:rPr>
        <w:t>f)</w:t>
      </w:r>
      <w:r>
        <w:rPr>
          <w:color w:val="auto"/>
          <w:szCs w:val="21"/>
        </w:rPr>
        <w:t xml:space="preserve">  当筏板的厚度大于2000mm时，宜在板厚中间部位设置直径不小于12mm、间距不大于300mm的双向钢筋网。</w:t>
      </w:r>
    </w:p>
    <w:p w14:paraId="1B5C6165">
      <w:pPr>
        <w:adjustRightInd w:val="0"/>
        <w:snapToGrid w:val="0"/>
        <w:spacing w:line="340" w:lineRule="atLeast"/>
        <w:rPr>
          <w:color w:val="auto"/>
          <w:szCs w:val="21"/>
        </w:rPr>
      </w:pPr>
      <w:r>
        <w:rPr>
          <w:color w:val="auto"/>
          <w:szCs w:val="21"/>
        </w:rPr>
        <w:t xml:space="preserve">   </w:t>
      </w:r>
      <w:r>
        <w:rPr>
          <w:rFonts w:eastAsia="黑体"/>
          <w:b/>
          <w:color w:val="auto"/>
          <w:szCs w:val="21"/>
        </w:rPr>
        <w:t xml:space="preserve"> g)</w:t>
      </w:r>
      <w:r>
        <w:rPr>
          <w:color w:val="auto"/>
          <w:szCs w:val="21"/>
        </w:rPr>
        <w:t xml:space="preserve">  地下室底层柱、剪力墙与梁板式筏基的基础梁连接的构造应符合下列要求：</w:t>
      </w:r>
    </w:p>
    <w:p w14:paraId="53655979">
      <w:pPr>
        <w:adjustRightInd w:val="0"/>
        <w:snapToGrid w:val="0"/>
        <w:spacing w:line="340" w:lineRule="atLeast"/>
        <w:ind w:left="1085" w:leftChars="370" w:hanging="308" w:hangingChars="146"/>
        <w:rPr>
          <w:color w:val="auto"/>
          <w:spacing w:val="-6"/>
          <w:szCs w:val="21"/>
        </w:rPr>
      </w:pPr>
      <w:r>
        <w:rPr>
          <w:rFonts w:eastAsia="黑体"/>
          <w:b/>
          <w:color w:val="auto"/>
          <w:szCs w:val="21"/>
        </w:rPr>
        <w:t>1</w:t>
      </w:r>
      <w:r>
        <w:rPr>
          <w:rFonts w:hint="eastAsia" w:eastAsia="黑体"/>
          <w:b/>
          <w:color w:val="auto"/>
          <w:szCs w:val="21"/>
        </w:rPr>
        <w:t>）</w:t>
      </w:r>
      <w:r>
        <w:rPr>
          <w:color w:val="auto"/>
          <w:szCs w:val="21"/>
        </w:rPr>
        <w:t>柱</w:t>
      </w:r>
      <w:r>
        <w:rPr>
          <w:color w:val="auto"/>
          <w:spacing w:val="-6"/>
          <w:szCs w:val="21"/>
        </w:rPr>
        <w:t>、墙的边缘至基础梁边缘的距离不应小于</w:t>
      </w:r>
      <w:r>
        <w:rPr>
          <w:color w:val="auto"/>
          <w:szCs w:val="21"/>
        </w:rPr>
        <w:t>50</w:t>
      </w:r>
      <w:r>
        <w:rPr>
          <w:color w:val="auto"/>
          <w:spacing w:val="-6"/>
          <w:szCs w:val="21"/>
        </w:rPr>
        <w:t>mm（图</w:t>
      </w:r>
      <w:r>
        <w:rPr>
          <w:color w:val="auto"/>
          <w:szCs w:val="21"/>
        </w:rPr>
        <w:t>30</w:t>
      </w:r>
      <w:r>
        <w:rPr>
          <w:color w:val="auto"/>
          <w:spacing w:val="-6"/>
          <w:szCs w:val="21"/>
        </w:rPr>
        <w:t>）；</w:t>
      </w:r>
    </w:p>
    <w:p w14:paraId="634493AB">
      <w:pPr>
        <w:adjustRightInd w:val="0"/>
        <w:snapToGrid w:val="0"/>
        <w:spacing w:line="340" w:lineRule="atLeast"/>
        <w:ind w:firstLine="767" w:firstLineChars="364"/>
        <w:rPr>
          <w:color w:val="auto"/>
          <w:szCs w:val="21"/>
        </w:rPr>
      </w:pPr>
      <w:r>
        <w:rPr>
          <w:rFonts w:eastAsia="黑体"/>
          <w:b/>
          <w:color w:val="auto"/>
          <w:szCs w:val="21"/>
        </w:rPr>
        <w:t>2</w:t>
      </w:r>
      <w:r>
        <w:rPr>
          <w:rFonts w:hint="eastAsia" w:eastAsia="黑体"/>
          <w:b/>
          <w:color w:val="auto"/>
          <w:szCs w:val="21"/>
        </w:rPr>
        <w:t>）</w:t>
      </w:r>
      <w:r>
        <w:rPr>
          <w:color w:val="auto"/>
          <w:szCs w:val="21"/>
        </w:rPr>
        <w:t>当交叉基础梁的宽度小于柱截面的边长时，交叉基础梁连接处应设置八字角，柱角与八字角之间的净距不宜小于50mm（图30</w:t>
      </w:r>
      <w:r>
        <w:rPr>
          <w:i/>
          <w:iCs/>
          <w:color w:val="auto"/>
          <w:szCs w:val="21"/>
        </w:rPr>
        <w:t>a</w:t>
      </w:r>
      <w:r>
        <w:rPr>
          <w:color w:val="auto"/>
          <w:szCs w:val="21"/>
        </w:rPr>
        <w:t>）；</w:t>
      </w:r>
    </w:p>
    <w:p w14:paraId="49D0F637">
      <w:pPr>
        <w:adjustRightInd w:val="0"/>
        <w:snapToGrid w:val="0"/>
        <w:spacing w:line="340" w:lineRule="atLeast"/>
        <w:ind w:left="569" w:leftChars="271" w:firstLine="211" w:firstLineChars="100"/>
        <w:rPr>
          <w:color w:val="auto"/>
          <w:szCs w:val="21"/>
        </w:rPr>
      </w:pPr>
      <w:r>
        <w:rPr>
          <w:rFonts w:eastAsia="黑体"/>
          <w:b/>
          <w:color w:val="auto"/>
          <w:szCs w:val="21"/>
        </w:rPr>
        <w:t>3</w:t>
      </w:r>
      <w:r>
        <w:rPr>
          <w:rFonts w:hint="eastAsia" w:eastAsia="黑体"/>
          <w:b/>
          <w:color w:val="auto"/>
          <w:szCs w:val="21"/>
        </w:rPr>
        <w:t>）</w:t>
      </w:r>
      <w:r>
        <w:rPr>
          <w:color w:val="auto"/>
          <w:szCs w:val="21"/>
        </w:rPr>
        <w:t>单向基础梁与柱的连接，可按图30</w:t>
      </w:r>
      <w:r>
        <w:rPr>
          <w:i/>
          <w:iCs/>
          <w:color w:val="auto"/>
          <w:szCs w:val="21"/>
        </w:rPr>
        <w:t>b</w:t>
      </w:r>
      <w:r>
        <w:rPr>
          <w:rFonts w:hint="eastAsia"/>
          <w:color w:val="auto"/>
          <w:szCs w:val="21"/>
        </w:rPr>
        <w:t>、图30</w:t>
      </w:r>
      <w:r>
        <w:rPr>
          <w:i/>
          <w:iCs/>
          <w:color w:val="auto"/>
          <w:szCs w:val="21"/>
        </w:rPr>
        <w:t>c</w:t>
      </w:r>
      <w:r>
        <w:rPr>
          <w:color w:val="auto"/>
          <w:szCs w:val="21"/>
        </w:rPr>
        <w:t>采用；</w:t>
      </w:r>
    </w:p>
    <w:p w14:paraId="70265664">
      <w:pPr>
        <w:adjustRightInd w:val="0"/>
        <w:snapToGrid w:val="0"/>
        <w:spacing w:line="340" w:lineRule="atLeast"/>
        <w:ind w:left="569" w:leftChars="271" w:firstLine="211" w:firstLineChars="100"/>
        <w:rPr>
          <w:color w:val="auto"/>
          <w:szCs w:val="21"/>
        </w:rPr>
      </w:pPr>
      <w:r>
        <w:rPr>
          <w:rFonts w:eastAsia="黑体"/>
          <w:b/>
          <w:color w:val="auto"/>
          <w:szCs w:val="21"/>
        </w:rPr>
        <w:t>4</w:t>
      </w:r>
      <w:r>
        <w:rPr>
          <w:rFonts w:hint="eastAsia" w:eastAsia="黑体"/>
          <w:b/>
          <w:color w:val="auto"/>
          <w:szCs w:val="21"/>
        </w:rPr>
        <w:t>）</w:t>
      </w:r>
      <w:r>
        <w:rPr>
          <w:color w:val="auto"/>
          <w:szCs w:val="21"/>
        </w:rPr>
        <w:t>基础梁与剪力墙的连接，可按图30</w:t>
      </w:r>
      <w:r>
        <w:rPr>
          <w:i/>
          <w:iCs/>
          <w:color w:val="auto"/>
          <w:szCs w:val="21"/>
        </w:rPr>
        <w:t>d</w:t>
      </w:r>
      <w:r>
        <w:rPr>
          <w:color w:val="auto"/>
          <w:szCs w:val="21"/>
        </w:rPr>
        <w:t>采用。</w:t>
      </w:r>
    </w:p>
    <w:p w14:paraId="7F5830F6">
      <w:pPr>
        <w:adjustRightInd w:val="0"/>
        <w:snapToGrid w:val="0"/>
        <w:spacing w:before="240" w:line="360" w:lineRule="atLeast"/>
        <w:jc w:val="center"/>
        <w:rPr>
          <w:color w:val="auto"/>
          <w:szCs w:val="21"/>
        </w:rPr>
      </w:pPr>
      <w:r>
        <w:rPr>
          <w:color w:val="auto"/>
        </w:rPr>
        <w:drawing>
          <wp:inline distT="0" distB="0" distL="0" distR="0">
            <wp:extent cx="2495550" cy="2219325"/>
            <wp:effectExtent l="0" t="0" r="0" b="952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a:xfrm>
                      <a:off x="0" y="0"/>
                      <a:ext cx="2495550" cy="2219325"/>
                    </a:xfrm>
                    <a:prstGeom prst="rect">
                      <a:avLst/>
                    </a:prstGeom>
                    <a:noFill/>
                    <a:ln>
                      <a:noFill/>
                    </a:ln>
                  </pic:spPr>
                </pic:pic>
              </a:graphicData>
            </a:graphic>
          </wp:inline>
        </w:drawing>
      </w:r>
    </w:p>
    <w:p w14:paraId="3DEE722C">
      <w:pPr>
        <w:adjustRightInd w:val="0"/>
        <w:snapToGrid w:val="0"/>
        <w:spacing w:line="360" w:lineRule="atLeast"/>
        <w:jc w:val="center"/>
        <w:rPr>
          <w:b/>
          <w:color w:val="auto"/>
          <w:sz w:val="18"/>
          <w:szCs w:val="18"/>
        </w:rPr>
      </w:pPr>
      <w:r>
        <w:rPr>
          <w:b/>
          <w:color w:val="auto"/>
          <w:sz w:val="18"/>
          <w:szCs w:val="18"/>
        </w:rPr>
        <w:t>图30  地下室底层柱或剪力墙与基础梁连接的构造要求</w:t>
      </w:r>
    </w:p>
    <w:p w14:paraId="51A03522">
      <w:pPr>
        <w:adjustRightInd w:val="0"/>
        <w:snapToGrid w:val="0"/>
        <w:spacing w:before="240" w:line="340" w:lineRule="atLeast"/>
        <w:rPr>
          <w:color w:val="auto"/>
          <w:szCs w:val="21"/>
        </w:rPr>
      </w:pPr>
      <w:r>
        <w:rPr>
          <w:rFonts w:eastAsia="黑体"/>
          <w:b/>
          <w:color w:val="auto"/>
          <w:szCs w:val="21"/>
        </w:rPr>
        <w:t>13.3.5</w:t>
      </w:r>
      <w:r>
        <w:rPr>
          <w:color w:val="auto"/>
          <w:szCs w:val="21"/>
        </w:rPr>
        <w:t xml:space="preserve">  梁板式筏基底板应计算正截面受弯承载力，其厚度尚应满足受冲切承载力、受剪切承载力的要求。</w:t>
      </w:r>
    </w:p>
    <w:p w14:paraId="79C492F7">
      <w:pPr>
        <w:adjustRightInd w:val="0"/>
        <w:snapToGrid w:val="0"/>
        <w:spacing w:line="340" w:lineRule="atLeast"/>
        <w:rPr>
          <w:rFonts w:eastAsia="黑体"/>
          <w:b/>
          <w:color w:val="auto"/>
          <w:szCs w:val="21"/>
        </w:rPr>
      </w:pPr>
      <w:r>
        <w:rPr>
          <w:rFonts w:eastAsia="黑体"/>
          <w:b/>
          <w:color w:val="auto"/>
          <w:szCs w:val="21"/>
        </w:rPr>
        <w:t xml:space="preserve">13.3.6  </w:t>
      </w:r>
      <w:r>
        <w:rPr>
          <w:color w:val="auto"/>
          <w:szCs w:val="21"/>
        </w:rPr>
        <w:t>平板式筏基的板厚应满足受冲切承载力的要求。</w:t>
      </w:r>
    </w:p>
    <w:p w14:paraId="6C4B51CA">
      <w:pPr>
        <w:pStyle w:val="18"/>
        <w:spacing w:line="360" w:lineRule="atLeast"/>
        <w:rPr>
          <w:rFonts w:ascii="Times New Roman" w:hAnsi="Times New Roman"/>
          <w:color w:val="auto"/>
          <w:szCs w:val="21"/>
        </w:rPr>
      </w:pPr>
      <w:r>
        <w:rPr>
          <w:rFonts w:ascii="Times New Roman" w:hAnsi="Times New Roman" w:eastAsia="黑体"/>
          <w:b/>
          <w:color w:val="auto"/>
          <w:szCs w:val="21"/>
        </w:rPr>
        <w:t>13.3.7</w:t>
      </w:r>
      <w:r>
        <w:rPr>
          <w:rFonts w:ascii="Times New Roman" w:hAnsi="Times New Roman" w:eastAsia="黑体"/>
          <w:color w:val="auto"/>
          <w:szCs w:val="21"/>
        </w:rPr>
        <w:t xml:space="preserve">  </w:t>
      </w:r>
      <w:r>
        <w:rPr>
          <w:color w:val="auto"/>
          <w:szCs w:val="21"/>
        </w:rPr>
        <w:t>平板式筏基柱下冲切</w:t>
      </w:r>
      <w:r>
        <w:rPr>
          <w:rFonts w:ascii="Times New Roman" w:hAnsi="Times New Roman"/>
          <w:color w:val="auto"/>
          <w:szCs w:val="21"/>
        </w:rPr>
        <w:t>计算时应考虑作用在冲切临界面重心上的不平衡弯矩产生的附加剪力，对基础边柱和角柱冲切计算时</w:t>
      </w:r>
      <w:r>
        <w:rPr>
          <w:rFonts w:hint="eastAsia" w:ascii="Times New Roman" w:hAnsi="Times New Roman"/>
          <w:color w:val="auto"/>
          <w:szCs w:val="21"/>
        </w:rPr>
        <w:t>，</w:t>
      </w:r>
      <w:r>
        <w:rPr>
          <w:rFonts w:ascii="Times New Roman" w:hAnsi="Times New Roman"/>
          <w:color w:val="auto"/>
          <w:szCs w:val="21"/>
        </w:rPr>
        <w:t>其冲切力应分别乘以</w:t>
      </w:r>
      <w:r>
        <w:rPr>
          <w:rFonts w:hint="eastAsia" w:ascii="Times New Roman" w:hAnsi="Times New Roman"/>
          <w:color w:val="auto"/>
          <w:szCs w:val="21"/>
        </w:rPr>
        <w:t>1</w:t>
      </w:r>
      <w:r>
        <w:rPr>
          <w:rFonts w:ascii="Times New Roman" w:hAnsi="Times New Roman"/>
          <w:color w:val="auto"/>
          <w:szCs w:val="21"/>
        </w:rPr>
        <w:t>.1和</w:t>
      </w:r>
      <w:r>
        <w:rPr>
          <w:rFonts w:hint="eastAsia" w:ascii="Times New Roman" w:hAnsi="Times New Roman"/>
          <w:color w:val="auto"/>
          <w:szCs w:val="21"/>
        </w:rPr>
        <w:t>1</w:t>
      </w:r>
      <w:r>
        <w:rPr>
          <w:rFonts w:ascii="Times New Roman" w:hAnsi="Times New Roman"/>
          <w:color w:val="auto"/>
          <w:szCs w:val="21"/>
        </w:rPr>
        <w:t>.2的增大系数</w:t>
      </w:r>
      <w:r>
        <w:rPr>
          <w:rFonts w:hint="eastAsia" w:ascii="Times New Roman" w:hAnsi="Times New Roman"/>
          <w:color w:val="auto"/>
          <w:szCs w:val="21"/>
        </w:rPr>
        <w:t>。</w:t>
      </w:r>
      <w:r>
        <w:rPr>
          <w:rFonts w:ascii="Times New Roman" w:hAnsi="Times New Roman"/>
          <w:color w:val="auto"/>
          <w:szCs w:val="21"/>
        </w:rPr>
        <w:t>按本文件附录H计算。</w:t>
      </w:r>
    </w:p>
    <w:p w14:paraId="5ECA644C">
      <w:pPr>
        <w:adjustRightInd w:val="0"/>
        <w:snapToGrid w:val="0"/>
        <w:spacing w:line="340" w:lineRule="atLeast"/>
        <w:rPr>
          <w:rFonts w:eastAsia="黑体"/>
          <w:b/>
          <w:color w:val="auto"/>
          <w:szCs w:val="21"/>
        </w:rPr>
      </w:pPr>
      <w:r>
        <w:rPr>
          <w:rFonts w:eastAsia="黑体"/>
          <w:b/>
          <w:color w:val="auto"/>
          <w:szCs w:val="21"/>
        </w:rPr>
        <w:t xml:space="preserve">13.3.8  </w:t>
      </w:r>
      <w:r>
        <w:rPr>
          <w:color w:val="auto"/>
          <w:szCs w:val="21"/>
        </w:rPr>
        <w:t>平板式筏基应验算距内筒</w:t>
      </w:r>
      <w:r>
        <w:rPr>
          <w:rFonts w:hint="eastAsia"/>
          <w:color w:val="auto"/>
          <w:szCs w:val="21"/>
        </w:rPr>
        <w:t>和</w:t>
      </w:r>
      <w:r>
        <w:rPr>
          <w:color w:val="auto"/>
          <w:szCs w:val="21"/>
        </w:rPr>
        <w:t>柱边缘h</w:t>
      </w:r>
      <w:r>
        <w:rPr>
          <w:color w:val="auto"/>
          <w:szCs w:val="21"/>
          <w:vertAlign w:val="subscript"/>
        </w:rPr>
        <w:t>0</w:t>
      </w:r>
      <w:r>
        <w:rPr>
          <w:rFonts w:hint="eastAsia"/>
          <w:color w:val="auto"/>
          <w:szCs w:val="21"/>
        </w:rPr>
        <w:t>（筏板的截面有效高度）</w:t>
      </w:r>
      <w:r>
        <w:rPr>
          <w:color w:val="auto"/>
          <w:szCs w:val="21"/>
        </w:rPr>
        <w:t>处截面的受剪承载力。当筏板变厚度时，尚应验算变厚度处</w:t>
      </w:r>
      <w:r>
        <w:rPr>
          <w:rFonts w:hint="eastAsia"/>
          <w:color w:val="auto"/>
          <w:szCs w:val="21"/>
        </w:rPr>
        <w:t>筏板</w:t>
      </w:r>
      <w:r>
        <w:rPr>
          <w:color w:val="auto"/>
          <w:szCs w:val="21"/>
        </w:rPr>
        <w:t>的受剪承载力。</w:t>
      </w:r>
    </w:p>
    <w:p w14:paraId="3797E1C1">
      <w:pPr>
        <w:pStyle w:val="18"/>
        <w:spacing w:line="360" w:lineRule="atLeast"/>
        <w:rPr>
          <w:rFonts w:ascii="Times New Roman" w:hAnsi="Times New Roman" w:eastAsia="黑体"/>
          <w:b/>
          <w:bCs/>
          <w:color w:val="auto"/>
          <w:spacing w:val="5"/>
          <w:kern w:val="0"/>
          <w:szCs w:val="21"/>
        </w:rPr>
      </w:pPr>
      <w:r>
        <w:rPr>
          <w:rFonts w:ascii="Times New Roman" w:hAnsi="Times New Roman" w:eastAsia="黑体"/>
          <w:b/>
          <w:bCs/>
          <w:color w:val="auto"/>
          <w:spacing w:val="5"/>
          <w:kern w:val="0"/>
          <w:szCs w:val="21"/>
        </w:rPr>
        <w:t xml:space="preserve">13.3.9  </w:t>
      </w:r>
      <w:r>
        <w:rPr>
          <w:rFonts w:ascii="Times New Roman" w:hAnsi="Times New Roman"/>
          <w:color w:val="auto"/>
          <w:szCs w:val="21"/>
        </w:rPr>
        <w:t>梁板式筏基基础梁和平板式筏基的顶面应满足底层柱下局部受压承载力的要求。</w:t>
      </w:r>
    </w:p>
    <w:p w14:paraId="673500F9">
      <w:pPr>
        <w:adjustRightInd w:val="0"/>
        <w:snapToGrid w:val="0"/>
        <w:spacing w:line="340" w:lineRule="atLeast"/>
        <w:rPr>
          <w:color w:val="auto"/>
          <w:szCs w:val="21"/>
        </w:rPr>
      </w:pPr>
      <w:r>
        <w:rPr>
          <w:rFonts w:eastAsia="黑体"/>
          <w:b/>
          <w:color w:val="auto"/>
          <w:szCs w:val="21"/>
        </w:rPr>
        <w:t xml:space="preserve">13.3.10  </w:t>
      </w:r>
      <w:r>
        <w:rPr>
          <w:color w:val="auto"/>
          <w:szCs w:val="21"/>
        </w:rPr>
        <w:t>对筏板裂缝有特殊要求时应进行裂缝宽度验算。上述计算应符合GB</w:t>
      </w:r>
      <w:r>
        <w:rPr>
          <w:rFonts w:hint="eastAsia"/>
          <w:color w:val="auto"/>
          <w:szCs w:val="21"/>
          <w:lang w:val="en-US" w:eastAsia="zh-CN"/>
        </w:rPr>
        <w:t xml:space="preserve"> </w:t>
      </w:r>
      <w:r>
        <w:rPr>
          <w:color w:val="auto"/>
          <w:szCs w:val="21"/>
        </w:rPr>
        <w:t>50007及GB/T</w:t>
      </w:r>
      <w:r>
        <w:rPr>
          <w:rFonts w:hint="eastAsia"/>
          <w:color w:val="auto"/>
          <w:szCs w:val="21"/>
          <w:lang w:val="en-US" w:eastAsia="zh-CN"/>
        </w:rPr>
        <w:t xml:space="preserve"> </w:t>
      </w:r>
      <w:r>
        <w:rPr>
          <w:color w:val="auto"/>
          <w:szCs w:val="21"/>
        </w:rPr>
        <w:t>50010的有关规定。</w:t>
      </w:r>
    </w:p>
    <w:p w14:paraId="095F4732">
      <w:pPr>
        <w:adjustRightInd w:val="0"/>
        <w:snapToGrid w:val="0"/>
        <w:spacing w:line="340" w:lineRule="atLeast"/>
        <w:rPr>
          <w:color w:val="auto"/>
          <w:szCs w:val="21"/>
        </w:rPr>
      </w:pPr>
      <w:r>
        <w:rPr>
          <w:rFonts w:eastAsia="黑体"/>
          <w:b/>
          <w:color w:val="auto"/>
          <w:szCs w:val="21"/>
        </w:rPr>
        <w:t>13.3.11</w:t>
      </w:r>
      <w:r>
        <w:rPr>
          <w:color w:val="auto"/>
          <w:szCs w:val="21"/>
        </w:rPr>
        <w:t xml:space="preserve">  当柱荷载较大，等厚度筏板的受冲切承载力不能满足要求时，可在筏板上面增设柱墩或在筏板下局部增加板厚或采用抗冲切箍筋来提高受冲切承载能力。</w:t>
      </w:r>
    </w:p>
    <w:p w14:paraId="053FDAE0">
      <w:pPr>
        <w:adjustRightInd w:val="0"/>
        <w:snapToGrid w:val="0"/>
        <w:spacing w:line="340" w:lineRule="atLeast"/>
        <w:rPr>
          <w:color w:val="auto"/>
          <w:szCs w:val="21"/>
        </w:rPr>
      </w:pPr>
      <w:r>
        <w:rPr>
          <w:rFonts w:eastAsia="黑体"/>
          <w:b/>
          <w:color w:val="auto"/>
          <w:szCs w:val="21"/>
        </w:rPr>
        <w:t>13.3.12</w:t>
      </w:r>
      <w:r>
        <w:rPr>
          <w:color w:val="auto"/>
          <w:szCs w:val="21"/>
        </w:rPr>
        <w:t xml:space="preserve"> </w:t>
      </w:r>
      <w:r>
        <w:rPr>
          <w:rFonts w:hint="eastAsia"/>
          <w:color w:val="auto"/>
          <w:szCs w:val="21"/>
        </w:rPr>
        <w:t xml:space="preserve"> </w:t>
      </w:r>
      <w:r>
        <w:rPr>
          <w:color w:val="auto"/>
          <w:szCs w:val="21"/>
        </w:rPr>
        <w:t>当地基土比较均匀、</w:t>
      </w:r>
      <w:r>
        <w:rPr>
          <w:bCs/>
          <w:color w:val="auto"/>
        </w:rPr>
        <w:t>地基压缩层范围内无软弱土层或可液化土层、</w:t>
      </w:r>
      <w:r>
        <w:rPr>
          <w:color w:val="auto"/>
          <w:szCs w:val="21"/>
        </w:rPr>
        <w:t>上部结构刚度较好、</w:t>
      </w:r>
      <w:r>
        <w:rPr>
          <w:bCs/>
          <w:color w:val="auto"/>
        </w:rPr>
        <w:t>柱网和荷载较均匀、</w:t>
      </w:r>
      <w:r>
        <w:rPr>
          <w:color w:val="auto"/>
          <w:szCs w:val="21"/>
        </w:rPr>
        <w:t>梁板式筏基梁的高跨比或平板式筏基板的厚跨比不小于1/6，且相邻柱荷载及柱间距的变化不超过20%时，筏形基础可仅考虑局部弯曲作用。筏形基础的内力，可按基底反力直线分布进行计算，计算的基底反力应扣除底板自重及其上填土的自重。当不满足上述要求时，筏基内力应按弹性地基梁板方法进行分析计算。</w:t>
      </w:r>
    </w:p>
    <w:p w14:paraId="01AF0E66">
      <w:pPr>
        <w:adjustRightInd w:val="0"/>
        <w:snapToGrid w:val="0"/>
        <w:spacing w:line="340" w:lineRule="atLeast"/>
        <w:rPr>
          <w:color w:val="auto"/>
          <w:szCs w:val="21"/>
        </w:rPr>
      </w:pPr>
      <w:r>
        <w:rPr>
          <w:rFonts w:eastAsia="黑体"/>
          <w:b/>
          <w:color w:val="auto"/>
          <w:szCs w:val="21"/>
        </w:rPr>
        <w:t>13.3.13</w:t>
      </w:r>
      <w:r>
        <w:rPr>
          <w:color w:val="auto"/>
          <w:szCs w:val="21"/>
        </w:rPr>
        <w:t xml:space="preserve">  按基底反力直线分布计算的梁板式筏基，其基础梁的内力可按连续梁分析，边跨跨中弯矩以及第一内支座的弯矩值宜乘以1.2的系数。</w:t>
      </w:r>
    </w:p>
    <w:p w14:paraId="5830DF80">
      <w:pPr>
        <w:adjustRightInd w:val="0"/>
        <w:snapToGrid w:val="0"/>
        <w:spacing w:line="340" w:lineRule="atLeast"/>
        <w:rPr>
          <w:color w:val="auto"/>
          <w:szCs w:val="21"/>
        </w:rPr>
      </w:pPr>
      <w:r>
        <w:rPr>
          <w:rFonts w:eastAsia="黑体"/>
          <w:b/>
          <w:color w:val="auto"/>
          <w:szCs w:val="21"/>
        </w:rPr>
        <w:t>13.3.14</w:t>
      </w:r>
      <w:r>
        <w:rPr>
          <w:color w:val="auto"/>
          <w:szCs w:val="21"/>
        </w:rPr>
        <w:t xml:space="preserve">  按基底反力直线分布计算的平板式筏基，可按柱下板带和跨中板带分别进行内力分析。柱下板带中，柱宽及其两侧各0.5倍板厚且不大于1/4板跨的有效宽度范围内，钢筋配置量不应小于柱下板带钢筋数量的一半，且应能承受部分不平衡弯矩</w:t>
      </w:r>
      <w:r>
        <w:rPr>
          <w:color w:val="auto"/>
          <w:position w:val="-12"/>
          <w:szCs w:val="21"/>
        </w:rPr>
        <w:object>
          <v:shape id="_x0000_i1552" o:spt="75" type="#_x0000_t75" style="height:21.75pt;width:36pt;" o:ole="t" filled="f" o:preferrelative="t" stroked="f" coordsize="21600,21600">
            <v:path/>
            <v:fill on="f" focussize="0,0"/>
            <v:stroke on="f" joinstyle="miter"/>
            <v:imagedata r:id="rId1035" o:title=""/>
            <o:lock v:ext="edit" aspectratio="t"/>
            <w10:wrap type="none"/>
            <w10:anchorlock/>
          </v:shape>
          <o:OLEObject Type="Embed" ProgID="Equation.DSMT4" ShapeID="_x0000_i1552" DrawAspect="Content" ObjectID="_1468076252" r:id="rId1034">
            <o:LockedField>false</o:LockedField>
          </o:OLEObject>
        </w:object>
      </w:r>
      <w:r>
        <w:rPr>
          <w:color w:val="auto"/>
          <w:szCs w:val="21"/>
        </w:rPr>
        <w:t>。</w:t>
      </w:r>
      <w:r>
        <w:rPr>
          <w:color w:val="auto"/>
          <w:position w:val="-12"/>
        </w:rPr>
        <w:object>
          <v:shape id="_x0000_i1553" o:spt="75" type="#_x0000_t75" style="height:21.75pt;width:21.75pt;" o:ole="t" filled="f" o:preferrelative="t" stroked="f" coordsize="21600,21600">
            <v:path/>
            <v:fill on="f" focussize="0,0"/>
            <v:stroke on="f" joinstyle="miter"/>
            <v:imagedata r:id="rId1037" o:title=""/>
            <o:lock v:ext="edit" aspectratio="t"/>
            <w10:wrap type="none"/>
            <w10:anchorlock/>
          </v:shape>
          <o:OLEObject Type="Embed" ProgID="Equation.DSMT4" ShapeID="_x0000_i1553" DrawAspect="Content" ObjectID="_1468076253" r:id="rId1036">
            <o:LockedField>false</o:LockedField>
          </o:OLEObject>
        </w:object>
      </w:r>
      <w:r>
        <w:rPr>
          <w:color w:val="auto"/>
          <w:szCs w:val="21"/>
        </w:rPr>
        <w:t>为作用在冲切临界截面重心上的不平衡弯矩，</w:t>
      </w:r>
      <w:r>
        <w:rPr>
          <w:color w:val="auto"/>
          <w:position w:val="-12"/>
          <w:szCs w:val="21"/>
        </w:rPr>
        <w:object>
          <v:shape id="_x0000_i1554" o:spt="75" type="#_x0000_t75" style="height:21.75pt;width:15pt;" o:ole="t" filled="f" o:preferrelative="t" stroked="f" coordsize="21600,21600">
            <v:path/>
            <v:fill on="f" focussize="0,0"/>
            <v:stroke on="f" joinstyle="miter"/>
            <v:imagedata r:id="rId1039" o:title=""/>
            <o:lock v:ext="edit" aspectratio="t"/>
            <w10:wrap type="none"/>
            <w10:anchorlock/>
          </v:shape>
          <o:OLEObject Type="Embed" ProgID="Equation.DSMT4" ShapeID="_x0000_i1554" DrawAspect="Content" ObjectID="_1468076254" r:id="rId1038">
            <o:LockedField>false</o:LockedField>
          </o:OLEObject>
        </w:object>
      </w:r>
      <w:r>
        <w:rPr>
          <w:color w:val="auto"/>
          <w:szCs w:val="21"/>
        </w:rPr>
        <w:t>按</w:t>
      </w:r>
      <w:r>
        <w:rPr>
          <w:rFonts w:hint="eastAsia"/>
          <w:color w:val="auto"/>
          <w:lang w:val="en-US" w:eastAsia="zh-CN"/>
        </w:rPr>
        <w:t>公式（115）</w:t>
      </w:r>
      <w:r>
        <w:rPr>
          <w:color w:val="auto"/>
          <w:szCs w:val="21"/>
        </w:rPr>
        <w:t>计算：</w:t>
      </w:r>
    </w:p>
    <w:p w14:paraId="0FFD06E2">
      <w:pPr>
        <w:pStyle w:val="12"/>
        <w:jc w:val="right"/>
        <w:rPr>
          <w:color w:val="auto"/>
          <w:szCs w:val="21"/>
        </w:rPr>
      </w:pPr>
      <w:r>
        <w:rPr>
          <w:color w:val="auto"/>
          <w:szCs w:val="21"/>
        </w:rPr>
        <w:t xml:space="preserve">          </w:t>
      </w:r>
      <w:r>
        <w:rPr>
          <w:color w:val="auto"/>
          <w:position w:val="-12"/>
          <w:szCs w:val="21"/>
        </w:rPr>
        <w:object>
          <v:shape id="_x0000_i1555" o:spt="75" type="#_x0000_t75" style="height:21.75pt;width:51pt;" o:ole="t" filled="f" o:preferrelative="t" stroked="f" coordsize="21600,21600">
            <v:path/>
            <v:fill on="f" focussize="0,0"/>
            <v:stroke on="f" joinstyle="miter"/>
            <v:imagedata r:id="rId1041" o:title=""/>
            <o:lock v:ext="edit" aspectratio="t"/>
            <w10:wrap type="none"/>
            <w10:anchorlock/>
          </v:shape>
          <o:OLEObject Type="Embed" ProgID="Equation.DSMT4" ShapeID="_x0000_i1555" DrawAspect="Content" ObjectID="_1468076255" r:id="rId1040">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115</w:t>
      </w:r>
      <w:r>
        <w:rPr>
          <w:color w:val="auto"/>
          <w:szCs w:val="21"/>
        </w:rPr>
        <w:fldChar w:fldCharType="end"/>
      </w:r>
      <w:r>
        <w:rPr>
          <w:color w:val="auto"/>
          <w:szCs w:val="21"/>
        </w:rPr>
        <w:t>)</w:t>
      </w:r>
    </w:p>
    <w:p w14:paraId="22CE233F">
      <w:pPr>
        <w:adjustRightInd w:val="0"/>
        <w:snapToGrid w:val="0"/>
        <w:spacing w:line="340" w:lineRule="exact"/>
        <w:rPr>
          <w:color w:val="auto"/>
          <w:szCs w:val="21"/>
        </w:rPr>
      </w:pPr>
      <w:r>
        <w:rPr>
          <w:color w:val="auto"/>
          <w:szCs w:val="21"/>
        </w:rPr>
        <w:t xml:space="preserve">式中  </w:t>
      </w:r>
      <w:r>
        <w:rPr>
          <w:color w:val="auto"/>
          <w:position w:val="-12"/>
        </w:rPr>
        <w:object>
          <v:shape id="_x0000_i1556" o:spt="75" type="#_x0000_t75" style="height:21.75pt;width:15pt;" o:ole="t" filled="f" o:preferrelative="t" stroked="f" coordsize="21600,21600">
            <v:path/>
            <v:fill on="f" focussize="0,0"/>
            <v:stroke on="f" joinstyle="miter"/>
            <v:imagedata r:id="rId1043" o:title=""/>
            <o:lock v:ext="edit" aspectratio="t"/>
            <w10:wrap type="none"/>
            <w10:anchorlock/>
          </v:shape>
          <o:OLEObject Type="Embed" ProgID="Equation.DSMT4" ShapeID="_x0000_i1556" DrawAspect="Content" ObjectID="_1468076256" r:id="rId1042">
            <o:LockedField>false</o:LockedField>
          </o:OLEObject>
        </w:object>
      </w:r>
      <w:r>
        <w:rPr>
          <w:color w:val="auto"/>
          <w:szCs w:val="21"/>
        </w:rPr>
        <w:t>——不平衡弯矩通过弯曲来传递的分配系数；</w:t>
      </w:r>
    </w:p>
    <w:p w14:paraId="39F0A6A7">
      <w:pPr>
        <w:adjustRightInd w:val="0"/>
        <w:snapToGrid w:val="0"/>
        <w:spacing w:line="340" w:lineRule="exact"/>
        <w:ind w:left="1371" w:leftChars="318" w:hanging="703" w:hangingChars="335"/>
        <w:rPr>
          <w:color w:val="auto"/>
          <w:szCs w:val="21"/>
        </w:rPr>
      </w:pPr>
      <w:r>
        <w:rPr>
          <w:color w:val="auto"/>
          <w:position w:val="-12"/>
          <w:szCs w:val="21"/>
        </w:rPr>
        <w:object>
          <v:shape id="_x0000_i1557" o:spt="75" type="#_x0000_t75" style="height:21.75pt;width:15pt;" o:ole="t" filled="f" o:preferrelative="t" stroked="f" coordsize="21600,21600">
            <v:path/>
            <v:fill on="f" focussize="0,0"/>
            <v:stroke on="f" joinstyle="miter"/>
            <v:imagedata r:id="rId1045" o:title=""/>
            <o:lock v:ext="edit" aspectratio="t"/>
            <w10:wrap type="none"/>
            <w10:anchorlock/>
          </v:shape>
          <o:OLEObject Type="Embed" ProgID="Equation.DSMT4" ShapeID="_x0000_i1557" DrawAspect="Content" ObjectID="_1468076257" r:id="rId1044">
            <o:LockedField>false</o:LockedField>
          </o:OLEObject>
        </w:object>
      </w:r>
      <w:r>
        <w:rPr>
          <w:color w:val="auto"/>
          <w:szCs w:val="21"/>
        </w:rPr>
        <w:t>——不平衡弯矩通过冲切临界截面上的偏心剪力来传递的分配系数。</w:t>
      </w:r>
      <w:r>
        <w:rPr>
          <w:color w:val="auto"/>
          <w:position w:val="-12"/>
          <w:szCs w:val="21"/>
        </w:rPr>
        <w:object>
          <v:shape id="_x0000_i1558" o:spt="75" type="#_x0000_t75" style="height:21.75pt;width:15pt;" o:ole="t" filled="f" o:preferrelative="t" stroked="f" coordsize="21600,21600">
            <v:path/>
            <v:fill on="f" focussize="0,0"/>
            <v:stroke on="f" joinstyle="miter"/>
            <v:imagedata r:id="rId1045" o:title=""/>
            <o:lock v:ext="edit" aspectratio="t"/>
            <w10:wrap type="none"/>
            <w10:anchorlock/>
          </v:shape>
          <o:OLEObject Type="Embed" ProgID="Equation.DSMT4" ShapeID="_x0000_i1558" DrawAspect="Content" ObjectID="_1468076258" r:id="rId1046">
            <o:LockedField>false</o:LockedField>
          </o:OLEObject>
        </w:object>
      </w:r>
      <w:r>
        <w:rPr>
          <w:color w:val="auto"/>
          <w:szCs w:val="21"/>
        </w:rPr>
        <w:t>见本文件附录H。</w:t>
      </w:r>
    </w:p>
    <w:p w14:paraId="2C9188DB">
      <w:pPr>
        <w:adjustRightInd w:val="0"/>
        <w:snapToGrid w:val="0"/>
        <w:spacing w:line="340" w:lineRule="exact"/>
        <w:ind w:firstLine="420"/>
        <w:rPr>
          <w:color w:val="auto"/>
          <w:szCs w:val="21"/>
        </w:rPr>
      </w:pPr>
      <w:r>
        <w:rPr>
          <w:color w:val="auto"/>
          <w:szCs w:val="21"/>
        </w:rPr>
        <w:t>对有抗震设防要求的无地下室或单层地下室平板式筏基，计算柱下板带截面受弯承载力时，柱内力应按地震作用不利组合计算。</w:t>
      </w:r>
    </w:p>
    <w:p w14:paraId="7CFC5570">
      <w:pPr>
        <w:adjustRightInd w:val="0"/>
        <w:snapToGrid w:val="0"/>
        <w:spacing w:line="340" w:lineRule="exact"/>
        <w:rPr>
          <w:color w:val="auto"/>
          <w:szCs w:val="21"/>
        </w:rPr>
      </w:pPr>
      <w:r>
        <w:rPr>
          <w:rFonts w:eastAsia="黑体"/>
          <w:b/>
          <w:color w:val="auto"/>
          <w:szCs w:val="21"/>
        </w:rPr>
        <w:t>13.3.15</w:t>
      </w:r>
      <w:r>
        <w:rPr>
          <w:color w:val="auto"/>
          <w:szCs w:val="21"/>
        </w:rPr>
        <w:t xml:space="preserve">  当筏板基础的外墙或内墙为钢筋混凝土墙时，在上部无剪力墙的情况下，可按梁高等于地下室总高的基础梁进行抗弯、抗剪计算。当筏板局部弯曲为主且墙体符合深受弯构件时，应符合GB/T</w:t>
      </w:r>
      <w:r>
        <w:rPr>
          <w:rFonts w:hint="eastAsia"/>
          <w:color w:val="auto"/>
          <w:szCs w:val="21"/>
          <w:lang w:val="en-US" w:eastAsia="zh-CN"/>
        </w:rPr>
        <w:t xml:space="preserve"> </w:t>
      </w:r>
      <w:r>
        <w:rPr>
          <w:color w:val="auto"/>
          <w:szCs w:val="21"/>
        </w:rPr>
        <w:t>50010有关规定。</w:t>
      </w:r>
    </w:p>
    <w:p w14:paraId="540CDA2E">
      <w:pPr>
        <w:pStyle w:val="18"/>
        <w:spacing w:line="360" w:lineRule="atLeast"/>
        <w:rPr>
          <w:rFonts w:ascii="Times New Roman" w:hAnsi="Times New Roman"/>
          <w:color w:val="auto"/>
        </w:rPr>
      </w:pPr>
      <w:r>
        <w:rPr>
          <w:rFonts w:ascii="Times New Roman" w:hAnsi="Times New Roman" w:eastAsia="黑体"/>
          <w:b/>
          <w:bCs/>
          <w:color w:val="auto"/>
          <w:spacing w:val="5"/>
          <w:kern w:val="0"/>
          <w:szCs w:val="21"/>
        </w:rPr>
        <w:t>13.3.16</w:t>
      </w:r>
      <w:r>
        <w:rPr>
          <w:rFonts w:hint="eastAsia" w:ascii="Times New Roman" w:hAnsi="Times New Roman" w:eastAsia="黑体"/>
          <w:b/>
          <w:bCs/>
          <w:color w:val="auto"/>
          <w:spacing w:val="5"/>
          <w:kern w:val="0"/>
          <w:szCs w:val="21"/>
        </w:rPr>
        <w:t xml:space="preserve">  </w:t>
      </w:r>
      <w:r>
        <w:rPr>
          <w:rFonts w:ascii="Times New Roman" w:hAnsi="Times New Roman"/>
          <w:color w:val="auto"/>
        </w:rPr>
        <w:t>筏板与地下室外墙的接缝、地下室外墙沿高度处的水平接缝应严格按施工缝要求施工，必要时可设通长止水带。</w:t>
      </w:r>
    </w:p>
    <w:p w14:paraId="301E5C02">
      <w:pPr>
        <w:adjustRightInd w:val="0"/>
        <w:snapToGrid w:val="0"/>
        <w:spacing w:line="340" w:lineRule="exact"/>
        <w:rPr>
          <w:color w:val="auto"/>
          <w:szCs w:val="21"/>
        </w:rPr>
      </w:pPr>
      <w:r>
        <w:rPr>
          <w:rFonts w:eastAsia="黑体"/>
          <w:b/>
          <w:color w:val="auto"/>
          <w:szCs w:val="21"/>
        </w:rPr>
        <w:t>13.3.17</w:t>
      </w:r>
      <w:r>
        <w:rPr>
          <w:color w:val="auto"/>
          <w:szCs w:val="21"/>
        </w:rPr>
        <w:t xml:space="preserve">  高层建筑筏形基础与裙房基础之间的构造应符合下列要求：</w:t>
      </w:r>
    </w:p>
    <w:p w14:paraId="3FCA558D">
      <w:pPr>
        <w:adjustRightInd w:val="0"/>
        <w:snapToGrid w:val="0"/>
        <w:spacing w:line="360" w:lineRule="atLeast"/>
        <w:ind w:firstLine="422" w:firstLineChars="200"/>
        <w:rPr>
          <w:color w:val="auto"/>
          <w:szCs w:val="21"/>
        </w:rPr>
      </w:pPr>
      <w:r>
        <w:rPr>
          <w:rFonts w:eastAsia="黑体"/>
          <w:b/>
          <w:color w:val="auto"/>
          <w:szCs w:val="21"/>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220980</wp:posOffset>
                </wp:positionV>
                <wp:extent cx="2286000" cy="1734185"/>
                <wp:effectExtent l="6985" t="8890" r="12065" b="9525"/>
                <wp:wrapTight wrapText="bothSides">
                  <wp:wrapPolygon>
                    <wp:start x="-102" y="0"/>
                    <wp:lineTo x="-102" y="21600"/>
                    <wp:lineTo x="21702" y="21600"/>
                    <wp:lineTo x="21702" y="0"/>
                    <wp:lineTo x="-102" y="0"/>
                  </wp:wrapPolygon>
                </wp:wrapTight>
                <wp:docPr id="304" name="矩形 304"/>
                <wp:cNvGraphicFramePr/>
                <a:graphic xmlns:a="http://schemas.openxmlformats.org/drawingml/2006/main">
                  <a:graphicData uri="http://schemas.microsoft.com/office/word/2010/wordprocessingShape">
                    <wps:wsp>
                      <wps:cNvSpPr>
                        <a:spLocks noChangeArrowheads="1"/>
                      </wps:cNvSpPr>
                      <wps:spPr bwMode="auto">
                        <a:xfrm>
                          <a:off x="0" y="0"/>
                          <a:ext cx="2286000" cy="1734185"/>
                        </a:xfrm>
                        <a:prstGeom prst="rect">
                          <a:avLst/>
                        </a:prstGeom>
                        <a:solidFill>
                          <a:srgbClr val="FFFFFF"/>
                        </a:solidFill>
                        <a:ln w="9525">
                          <a:solidFill>
                            <a:srgbClr val="FFFFFF"/>
                          </a:solidFill>
                          <a:miter lim="800000"/>
                        </a:ln>
                      </wps:spPr>
                      <wps:txbx>
                        <w:txbxContent>
                          <w:p w14:paraId="36F66DA8">
                            <w:pPr>
                              <w:jc w:val="center"/>
                              <w:rPr>
                                <w:sz w:val="18"/>
                              </w:rPr>
                            </w:pPr>
                            <w:r>
                              <w:rPr>
                                <w:sz w:val="18"/>
                                <w:szCs w:val="18"/>
                              </w:rPr>
                              <w:drawing>
                                <wp:inline distT="0" distB="0" distL="0" distR="0">
                                  <wp:extent cx="2094230" cy="1306830"/>
                                  <wp:effectExtent l="0" t="0" r="12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a:xfrm>
                                            <a:off x="0" y="0"/>
                                            <a:ext cx="2094230" cy="1306850"/>
                                          </a:xfrm>
                                          <a:prstGeom prst="rect">
                                            <a:avLst/>
                                          </a:prstGeom>
                                          <a:noFill/>
                                          <a:ln>
                                            <a:noFill/>
                                          </a:ln>
                                        </pic:spPr>
                                      </pic:pic>
                                    </a:graphicData>
                                  </a:graphic>
                                </wp:inline>
                              </w:drawing>
                            </w:r>
                          </w:p>
                          <w:p w14:paraId="52E6BBCE">
                            <w:pPr>
                              <w:spacing w:before="120"/>
                              <w:jc w:val="center"/>
                              <w:rPr>
                                <w:rFonts w:ascii="黑体" w:eastAsia="黑体"/>
                                <w:b/>
                                <w:sz w:val="18"/>
                                <w:szCs w:val="18"/>
                              </w:rPr>
                            </w:pPr>
                            <w:r>
                              <w:rPr>
                                <w:rFonts w:hint="eastAsia" w:ascii="宋体" w:hAnsi="宋体"/>
                                <w:b/>
                                <w:sz w:val="18"/>
                                <w:szCs w:val="18"/>
                              </w:rPr>
                              <w:t>图</w:t>
                            </w:r>
                            <w:r>
                              <w:rPr>
                                <w:b/>
                                <w:sz w:val="18"/>
                                <w:szCs w:val="18"/>
                              </w:rPr>
                              <w:t>3</w:t>
                            </w:r>
                            <w:r>
                              <w:rPr>
                                <w:rFonts w:hint="eastAsia"/>
                                <w:b/>
                                <w:sz w:val="18"/>
                                <w:szCs w:val="18"/>
                              </w:rPr>
                              <w:t>1</w:t>
                            </w:r>
                            <w:r>
                              <w:rPr>
                                <w:rFonts w:hint="eastAsia" w:ascii="宋体" w:hAnsi="宋体"/>
                                <w:b/>
                                <w:sz w:val="18"/>
                                <w:szCs w:val="18"/>
                              </w:rPr>
                              <w:t xml:space="preserve">  高层建筑与裙房间的沉降缝</w:t>
                            </w:r>
                            <w:r>
                              <w:rPr>
                                <w:rFonts w:hint="eastAsia" w:ascii="黑体" w:eastAsia="黑体"/>
                                <w:b/>
                                <w:sz w:val="18"/>
                                <w:szCs w:val="18"/>
                              </w:rPr>
                              <w:t>处理</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pt;margin-top:17.4pt;height:136.55pt;width:180pt;mso-wrap-distance-left:9pt;mso-wrap-distance-right:9pt;z-index:251666432;mso-width-relative:page;mso-height-relative:page;" fillcolor="#FFFFFF" filled="t" stroked="t" coordsize="21600,21600" wrapcoords="-102 0 -102 21600 21702 21600 21702 0 -102 0" o:gfxdata="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YIzY/YAAAACgEAAA8AAAAAAAAAAQAgAAAAIgAAAGRycy9k&#10;b3ducmV2LnhtbFBLAQIUABQAAAAIAIdO4kCCqKOyOwIAAH8EAAAOAAAAAAAAAAEAIAAAACcBAABk&#10;cnMvZTJvRG9jLnhtbFBLBQYAAAAABgAGAFkBAADUBQAAAAA=&#10;">
                <v:fill on="t" focussize="0,0"/>
                <v:stroke color="#FFFFFF" miterlimit="8" joinstyle="miter"/>
                <v:imagedata o:title=""/>
                <o:lock v:ext="edit" aspectratio="f"/>
                <v:textbox>
                  <w:txbxContent>
                    <w:p w14:paraId="36F66DA8">
                      <w:pPr>
                        <w:jc w:val="center"/>
                        <w:rPr>
                          <w:sz w:val="18"/>
                        </w:rPr>
                      </w:pPr>
                      <w:r>
                        <w:rPr>
                          <w:sz w:val="18"/>
                          <w:szCs w:val="18"/>
                        </w:rPr>
                        <w:drawing>
                          <wp:inline distT="0" distB="0" distL="0" distR="0">
                            <wp:extent cx="2094230" cy="1306830"/>
                            <wp:effectExtent l="0" t="0" r="12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a:xfrm>
                                      <a:off x="0" y="0"/>
                                      <a:ext cx="2094230" cy="1306850"/>
                                    </a:xfrm>
                                    <a:prstGeom prst="rect">
                                      <a:avLst/>
                                    </a:prstGeom>
                                    <a:noFill/>
                                    <a:ln>
                                      <a:noFill/>
                                    </a:ln>
                                  </pic:spPr>
                                </pic:pic>
                              </a:graphicData>
                            </a:graphic>
                          </wp:inline>
                        </w:drawing>
                      </w:r>
                    </w:p>
                    <w:p w14:paraId="52E6BBCE">
                      <w:pPr>
                        <w:spacing w:before="120"/>
                        <w:jc w:val="center"/>
                        <w:rPr>
                          <w:rFonts w:ascii="黑体" w:eastAsia="黑体"/>
                          <w:b/>
                          <w:sz w:val="18"/>
                          <w:szCs w:val="18"/>
                        </w:rPr>
                      </w:pPr>
                      <w:r>
                        <w:rPr>
                          <w:rFonts w:hint="eastAsia" w:ascii="宋体" w:hAnsi="宋体"/>
                          <w:b/>
                          <w:sz w:val="18"/>
                          <w:szCs w:val="18"/>
                        </w:rPr>
                        <w:t>图</w:t>
                      </w:r>
                      <w:r>
                        <w:rPr>
                          <w:b/>
                          <w:sz w:val="18"/>
                          <w:szCs w:val="18"/>
                        </w:rPr>
                        <w:t>3</w:t>
                      </w:r>
                      <w:r>
                        <w:rPr>
                          <w:rFonts w:hint="eastAsia"/>
                          <w:b/>
                          <w:sz w:val="18"/>
                          <w:szCs w:val="18"/>
                        </w:rPr>
                        <w:t>1</w:t>
                      </w:r>
                      <w:r>
                        <w:rPr>
                          <w:rFonts w:hint="eastAsia" w:ascii="宋体" w:hAnsi="宋体"/>
                          <w:b/>
                          <w:sz w:val="18"/>
                          <w:szCs w:val="18"/>
                        </w:rPr>
                        <w:t xml:space="preserve">  高层建筑与裙房间的沉降缝</w:t>
                      </w:r>
                      <w:r>
                        <w:rPr>
                          <w:rFonts w:hint="eastAsia" w:ascii="黑体" w:eastAsia="黑体"/>
                          <w:b/>
                          <w:sz w:val="18"/>
                          <w:szCs w:val="18"/>
                        </w:rPr>
                        <w:t>处理</w:t>
                      </w:r>
                    </w:p>
                  </w:txbxContent>
                </v:textbox>
                <w10:wrap type="tight"/>
              </v:rect>
            </w:pict>
          </mc:Fallback>
        </mc:AlternateContent>
      </w:r>
      <w:r>
        <w:rPr>
          <w:rFonts w:eastAsia="黑体"/>
          <w:b/>
          <w:color w:val="auto"/>
          <w:szCs w:val="21"/>
        </w:rPr>
        <w:t>a)</w:t>
      </w:r>
      <w:r>
        <w:rPr>
          <w:color w:val="auto"/>
          <w:szCs w:val="21"/>
        </w:rPr>
        <w:t xml:space="preserve">  当高层建筑与相连的裙房之间设置沉降缝时，高层建筑的基础埋深应大于裙房基础的埋深至少2m。当不满足要求时必须采取有效措施。沉降缝地面以下处应用粗砂填实（图31）；</w:t>
      </w:r>
    </w:p>
    <w:p w14:paraId="6915F0AA">
      <w:pPr>
        <w:pStyle w:val="18"/>
        <w:spacing w:line="360" w:lineRule="atLeast"/>
        <w:ind w:firstLine="413" w:firstLineChars="196"/>
        <w:rPr>
          <w:rFonts w:ascii="Times New Roman" w:hAnsi="Times New Roman"/>
          <w:color w:val="auto"/>
          <w:kern w:val="0"/>
        </w:rPr>
      </w:pPr>
      <w:r>
        <w:rPr>
          <w:rFonts w:ascii="Times New Roman" w:hAnsi="Times New Roman" w:eastAsia="黑体"/>
          <w:b/>
          <w:color w:val="auto"/>
          <w:szCs w:val="21"/>
        </w:rPr>
        <w:t>b)</w:t>
      </w:r>
      <w:r>
        <w:rPr>
          <w:rFonts w:ascii="Times New Roman" w:hAnsi="Times New Roman"/>
          <w:color w:val="auto"/>
          <w:szCs w:val="21"/>
        </w:rPr>
        <w:t xml:space="preserve">  当高层建筑与相连的裙房之间不设置沉降缝时，宜在裙房一侧设置</w:t>
      </w:r>
      <w:r>
        <w:rPr>
          <w:rFonts w:ascii="Times New Roman" w:hAnsi="Times New Roman"/>
          <w:color w:val="auto"/>
          <w:kern w:val="0"/>
        </w:rPr>
        <w:t>用于控制沉降差的</w:t>
      </w:r>
      <w:r>
        <w:rPr>
          <w:rFonts w:ascii="Times New Roman" w:hAnsi="Times New Roman"/>
          <w:color w:val="auto"/>
        </w:rPr>
        <w:t>后浇带，当沉降实测值和计算确定的后期沉降差满足设计要求后，方可进行后浇带混凝土浇筑。</w:t>
      </w:r>
      <w:r>
        <w:rPr>
          <w:rFonts w:ascii="Times New Roman" w:hAnsi="Times New Roman"/>
          <w:color w:val="auto"/>
          <w:kern w:val="0"/>
        </w:rPr>
        <w:t>当高层建筑基础面积满足地基承载力和变形要求时，后浇带宜设在与高层建筑相邻裙房的第一跨内。当需要满足高层建筑地基承载力、</w:t>
      </w:r>
      <w:r>
        <w:rPr>
          <w:rFonts w:hint="eastAsia" w:ascii="Times New Roman" w:hAnsi="Times New Roman"/>
          <w:color w:val="auto"/>
          <w:kern w:val="0"/>
        </w:rPr>
        <w:t>减小</w:t>
      </w:r>
      <w:r>
        <w:rPr>
          <w:rFonts w:ascii="Times New Roman" w:hAnsi="Times New Roman"/>
          <w:color w:val="auto"/>
          <w:kern w:val="0"/>
        </w:rPr>
        <w:t>高层建筑沉降量，减小高层建筑与裙房间的沉降差而增大高层建筑基础面积时</w:t>
      </w:r>
      <w:r>
        <w:rPr>
          <w:rFonts w:ascii="Times New Roman" w:hAnsi="Times New Roman"/>
          <w:color w:val="auto"/>
          <w:spacing w:val="5"/>
          <w:kern w:val="0"/>
        </w:rPr>
        <w:t>，</w:t>
      </w:r>
      <w:r>
        <w:rPr>
          <w:rFonts w:ascii="Times New Roman" w:hAnsi="Times New Roman"/>
          <w:color w:val="auto"/>
          <w:kern w:val="0"/>
        </w:rPr>
        <w:t>后浇带可设在距主楼边柱的第二跨内，此时应满足以下条件：</w:t>
      </w:r>
    </w:p>
    <w:p w14:paraId="6B5925EA">
      <w:pPr>
        <w:autoSpaceDE w:val="0"/>
        <w:autoSpaceDN w:val="0"/>
        <w:adjustRightInd w:val="0"/>
        <w:spacing w:line="360" w:lineRule="atLeast"/>
        <w:ind w:firstLine="766" w:firstLineChars="347"/>
        <w:jc w:val="left"/>
        <w:rPr>
          <w:color w:val="auto"/>
          <w:kern w:val="0"/>
          <w:szCs w:val="21"/>
        </w:rPr>
      </w:pPr>
      <w:r>
        <w:rPr>
          <w:b/>
          <w:color w:val="auto"/>
          <w:spacing w:val="5"/>
          <w:kern w:val="0"/>
          <w:szCs w:val="21"/>
        </w:rPr>
        <w:t>1）</w:t>
      </w:r>
      <w:r>
        <w:rPr>
          <w:color w:val="auto"/>
          <w:kern w:val="0"/>
          <w:szCs w:val="21"/>
        </w:rPr>
        <w:t>地基土质较均匀；</w:t>
      </w:r>
    </w:p>
    <w:p w14:paraId="6DEEED85">
      <w:pPr>
        <w:autoSpaceDE w:val="0"/>
        <w:autoSpaceDN w:val="0"/>
        <w:adjustRightInd w:val="0"/>
        <w:spacing w:line="360" w:lineRule="atLeast"/>
        <w:ind w:firstLine="766" w:firstLineChars="347"/>
        <w:jc w:val="left"/>
        <w:rPr>
          <w:color w:val="auto"/>
          <w:kern w:val="0"/>
          <w:szCs w:val="21"/>
        </w:rPr>
      </w:pPr>
      <w:r>
        <w:rPr>
          <w:b/>
          <w:color w:val="auto"/>
          <w:spacing w:val="5"/>
          <w:kern w:val="0"/>
          <w:szCs w:val="21"/>
        </w:rPr>
        <w:t>2）</w:t>
      </w:r>
      <w:r>
        <w:rPr>
          <w:color w:val="auto"/>
          <w:kern w:val="0"/>
          <w:szCs w:val="21"/>
        </w:rPr>
        <w:t>裙房结构刚度较好且基础以上的地下室和裙房结构层数不少于两层；</w:t>
      </w:r>
    </w:p>
    <w:p w14:paraId="5A657376">
      <w:pPr>
        <w:autoSpaceDE w:val="0"/>
        <w:autoSpaceDN w:val="0"/>
        <w:adjustRightInd w:val="0"/>
        <w:spacing w:line="360" w:lineRule="atLeast"/>
        <w:ind w:firstLine="766" w:firstLineChars="347"/>
        <w:jc w:val="left"/>
        <w:rPr>
          <w:color w:val="auto"/>
          <w:spacing w:val="-4"/>
          <w:kern w:val="0"/>
          <w:szCs w:val="21"/>
        </w:rPr>
      </w:pPr>
      <w:r>
        <w:rPr>
          <w:b/>
          <w:color w:val="auto"/>
          <w:spacing w:val="5"/>
          <w:kern w:val="0"/>
          <w:szCs w:val="21"/>
        </w:rPr>
        <w:t>3）</w:t>
      </w:r>
      <w:r>
        <w:rPr>
          <w:color w:val="auto"/>
          <w:spacing w:val="-4"/>
          <w:kern w:val="0"/>
          <w:szCs w:val="21"/>
        </w:rPr>
        <w:t>后浇带一侧与主楼连接的裙房基础底板厚度与高层建筑的基础底板厚度相同（图</w:t>
      </w:r>
      <w:r>
        <w:rPr>
          <w:color w:val="auto"/>
          <w:szCs w:val="21"/>
        </w:rPr>
        <w:t>32</w:t>
      </w:r>
      <w:r>
        <w:rPr>
          <w:color w:val="auto"/>
          <w:spacing w:val="-4"/>
          <w:kern w:val="0"/>
          <w:szCs w:val="21"/>
        </w:rPr>
        <w:t>）。</w:t>
      </w:r>
    </w:p>
    <w:p w14:paraId="7990F2EF">
      <w:pPr>
        <w:autoSpaceDE w:val="0"/>
        <w:autoSpaceDN w:val="0"/>
        <w:adjustRightInd w:val="0"/>
        <w:spacing w:line="360" w:lineRule="atLeast"/>
        <w:jc w:val="left"/>
        <w:rPr>
          <w:color w:val="auto"/>
          <w:kern w:val="0"/>
          <w:szCs w:val="21"/>
        </w:rPr>
      </w:pPr>
    </w:p>
    <w:p w14:paraId="6C1B02A4">
      <w:pPr>
        <w:autoSpaceDE w:val="0"/>
        <w:autoSpaceDN w:val="0"/>
        <w:adjustRightInd w:val="0"/>
        <w:spacing w:line="360" w:lineRule="atLeast"/>
        <w:ind w:firstLine="420" w:firstLineChars="200"/>
        <w:jc w:val="left"/>
        <w:rPr>
          <w:color w:val="auto"/>
          <w:kern w:val="0"/>
          <w:szCs w:val="21"/>
        </w:rPr>
      </w:pPr>
    </w:p>
    <w:p w14:paraId="4888CA74">
      <w:pPr>
        <w:autoSpaceDE w:val="0"/>
        <w:autoSpaceDN w:val="0"/>
        <w:adjustRightInd w:val="0"/>
        <w:spacing w:line="360" w:lineRule="atLeast"/>
        <w:ind w:firstLine="420" w:firstLineChars="200"/>
        <w:jc w:val="left"/>
        <w:rPr>
          <w:color w:val="auto"/>
          <w:kern w:val="0"/>
          <w:szCs w:val="21"/>
        </w:rPr>
      </w:pPr>
    </w:p>
    <w:p w14:paraId="137AD2B7">
      <w:pPr>
        <w:autoSpaceDE w:val="0"/>
        <w:autoSpaceDN w:val="0"/>
        <w:adjustRightInd w:val="0"/>
        <w:spacing w:line="360" w:lineRule="atLeast"/>
        <w:ind w:firstLine="420" w:firstLineChars="200"/>
        <w:jc w:val="left"/>
        <w:rPr>
          <w:color w:val="auto"/>
          <w:kern w:val="0"/>
          <w:szCs w:val="21"/>
        </w:rPr>
      </w:pPr>
    </w:p>
    <w:p w14:paraId="72D0BBA4">
      <w:pPr>
        <w:autoSpaceDE w:val="0"/>
        <w:autoSpaceDN w:val="0"/>
        <w:adjustRightInd w:val="0"/>
        <w:spacing w:line="360" w:lineRule="atLeast"/>
        <w:ind w:firstLine="1134" w:firstLineChars="540"/>
        <w:jc w:val="left"/>
        <w:rPr>
          <w:color w:val="auto"/>
          <w:kern w:val="0"/>
          <w:szCs w:val="21"/>
        </w:rPr>
      </w:pPr>
      <w:r>
        <w:rPr>
          <w:color w:val="auto"/>
          <w:kern w:val="0"/>
          <w:szCs w:val="21"/>
        </w:rPr>
        <mc:AlternateContent>
          <mc:Choice Requires="wpg">
            <w:drawing>
              <wp:anchor distT="0" distB="0" distL="114300" distR="114300" simplePos="0" relativeHeight="251667456" behindDoc="0" locked="1" layoutInCell="1" allowOverlap="1">
                <wp:simplePos x="0" y="0"/>
                <wp:positionH relativeFrom="character">
                  <wp:posOffset>1036320</wp:posOffset>
                </wp:positionH>
                <wp:positionV relativeFrom="line">
                  <wp:posOffset>-845820</wp:posOffset>
                </wp:positionV>
                <wp:extent cx="2324100" cy="2041525"/>
                <wp:effectExtent l="10795" t="5715" r="0" b="635"/>
                <wp:wrapNone/>
                <wp:docPr id="248" name="组合 248"/>
                <wp:cNvGraphicFramePr/>
                <a:graphic xmlns:a="http://schemas.openxmlformats.org/drawingml/2006/main">
                  <a:graphicData uri="http://schemas.microsoft.com/office/word/2010/wordprocessingGroup">
                    <wpg:wgp>
                      <wpg:cNvGrpSpPr/>
                      <wpg:grpSpPr>
                        <a:xfrm>
                          <a:off x="0" y="0"/>
                          <a:ext cx="2324100" cy="2041525"/>
                          <a:chOff x="0" y="0"/>
                          <a:chExt cx="3660" cy="3215"/>
                        </a:xfrm>
                      </wpg:grpSpPr>
                      <wps:wsp>
                        <wps:cNvPr id="249" name="Picture 16"/>
                        <wps:cNvSpPr>
                          <a:spLocks noChangeAspect="1" noChangeArrowheads="1" noTextEdit="1"/>
                        </wps:cNvSpPr>
                        <wps:spPr bwMode="auto">
                          <a:xfrm>
                            <a:off x="0" y="0"/>
                            <a:ext cx="3660" cy="3215"/>
                          </a:xfrm>
                          <a:prstGeom prst="rect">
                            <a:avLst/>
                          </a:prstGeom>
                          <a:noFill/>
                          <a:ln>
                            <a:noFill/>
                          </a:ln>
                        </wps:spPr>
                        <wps:bodyPr rot="0" vert="horz" wrap="square" lIns="91440" tIns="45720" rIns="91440" bIns="45720" anchor="t" anchorCtr="0" upright="1">
                          <a:noAutofit/>
                        </wps:bodyPr>
                      </wps:wsp>
                      <wps:wsp>
                        <wps:cNvPr id="250" name="Line 17"/>
                        <wps:cNvCnPr>
                          <a:cxnSpLocks noChangeShapeType="1"/>
                        </wps:cNvCnPr>
                        <wps:spPr bwMode="auto">
                          <a:xfrm flipV="1">
                            <a:off x="597" y="2414"/>
                            <a:ext cx="1" cy="133"/>
                          </a:xfrm>
                          <a:prstGeom prst="line">
                            <a:avLst/>
                          </a:prstGeom>
                          <a:noFill/>
                          <a:ln w="9525">
                            <a:solidFill>
                              <a:srgbClr val="000000"/>
                            </a:solidFill>
                            <a:round/>
                          </a:ln>
                        </wps:spPr>
                        <wps:bodyPr/>
                      </wps:wsp>
                      <wps:wsp>
                        <wps:cNvPr id="251" name="Line 18"/>
                        <wps:cNvCnPr>
                          <a:cxnSpLocks noChangeShapeType="1"/>
                        </wps:cNvCnPr>
                        <wps:spPr bwMode="auto">
                          <a:xfrm flipV="1">
                            <a:off x="649" y="2426"/>
                            <a:ext cx="1" cy="144"/>
                          </a:xfrm>
                          <a:prstGeom prst="line">
                            <a:avLst/>
                          </a:prstGeom>
                          <a:noFill/>
                          <a:ln w="9525">
                            <a:solidFill>
                              <a:srgbClr val="000000"/>
                            </a:solidFill>
                            <a:round/>
                          </a:ln>
                        </wps:spPr>
                        <wps:bodyPr/>
                      </wps:wsp>
                      <wps:wsp>
                        <wps:cNvPr id="252" name="Line 19"/>
                        <wps:cNvCnPr>
                          <a:cxnSpLocks noChangeShapeType="1"/>
                        </wps:cNvCnPr>
                        <wps:spPr bwMode="auto">
                          <a:xfrm>
                            <a:off x="1270" y="16"/>
                            <a:ext cx="1040" cy="1"/>
                          </a:xfrm>
                          <a:prstGeom prst="line">
                            <a:avLst/>
                          </a:prstGeom>
                          <a:noFill/>
                          <a:ln w="19685">
                            <a:solidFill>
                              <a:srgbClr val="000000"/>
                            </a:solidFill>
                            <a:round/>
                          </a:ln>
                        </wps:spPr>
                        <wps:bodyPr/>
                      </wps:wsp>
                      <wps:wsp>
                        <wps:cNvPr id="253" name="Line 20"/>
                        <wps:cNvCnPr>
                          <a:cxnSpLocks noChangeShapeType="1"/>
                        </wps:cNvCnPr>
                        <wps:spPr bwMode="auto">
                          <a:xfrm>
                            <a:off x="621" y="2523"/>
                            <a:ext cx="1" cy="502"/>
                          </a:xfrm>
                          <a:prstGeom prst="line">
                            <a:avLst/>
                          </a:prstGeom>
                          <a:noFill/>
                          <a:ln w="9525">
                            <a:solidFill>
                              <a:srgbClr val="000000"/>
                            </a:solidFill>
                            <a:round/>
                          </a:ln>
                        </wps:spPr>
                        <wps:bodyPr/>
                      </wps:wsp>
                      <wps:wsp>
                        <wps:cNvPr id="254" name="Line 21"/>
                        <wps:cNvCnPr>
                          <a:cxnSpLocks noChangeShapeType="1"/>
                        </wps:cNvCnPr>
                        <wps:spPr bwMode="auto">
                          <a:xfrm>
                            <a:off x="621" y="3025"/>
                            <a:ext cx="631" cy="1"/>
                          </a:xfrm>
                          <a:prstGeom prst="line">
                            <a:avLst/>
                          </a:prstGeom>
                          <a:noFill/>
                          <a:ln w="9525">
                            <a:solidFill>
                              <a:srgbClr val="000000"/>
                            </a:solidFill>
                            <a:round/>
                          </a:ln>
                        </wps:spPr>
                        <wps:bodyPr/>
                      </wps:wsp>
                      <wps:wsp>
                        <wps:cNvPr id="255" name="Line 22"/>
                        <wps:cNvCnPr>
                          <a:cxnSpLocks noChangeShapeType="1"/>
                        </wps:cNvCnPr>
                        <wps:spPr bwMode="auto">
                          <a:xfrm flipH="1">
                            <a:off x="2329" y="3025"/>
                            <a:ext cx="631" cy="1"/>
                          </a:xfrm>
                          <a:prstGeom prst="line">
                            <a:avLst/>
                          </a:prstGeom>
                          <a:noFill/>
                          <a:ln w="9525">
                            <a:solidFill>
                              <a:srgbClr val="000000"/>
                            </a:solidFill>
                            <a:round/>
                          </a:ln>
                        </wps:spPr>
                        <wps:bodyPr/>
                      </wps:wsp>
                      <wps:wsp>
                        <wps:cNvPr id="256" name="Line 23"/>
                        <wps:cNvCnPr>
                          <a:cxnSpLocks noChangeShapeType="1"/>
                        </wps:cNvCnPr>
                        <wps:spPr bwMode="auto">
                          <a:xfrm>
                            <a:off x="2960" y="2523"/>
                            <a:ext cx="1" cy="502"/>
                          </a:xfrm>
                          <a:prstGeom prst="line">
                            <a:avLst/>
                          </a:prstGeom>
                          <a:noFill/>
                          <a:ln w="9525">
                            <a:solidFill>
                              <a:srgbClr val="000000"/>
                            </a:solidFill>
                            <a:round/>
                          </a:ln>
                        </wps:spPr>
                        <wps:bodyPr/>
                      </wps:wsp>
                      <wps:wsp>
                        <wps:cNvPr id="257" name="Line 24"/>
                        <wps:cNvCnPr>
                          <a:cxnSpLocks noChangeShapeType="1"/>
                        </wps:cNvCnPr>
                        <wps:spPr bwMode="auto">
                          <a:xfrm>
                            <a:off x="1270" y="1885"/>
                            <a:ext cx="1040" cy="1"/>
                          </a:xfrm>
                          <a:prstGeom prst="line">
                            <a:avLst/>
                          </a:prstGeom>
                          <a:noFill/>
                          <a:ln w="9525">
                            <a:solidFill>
                              <a:srgbClr val="000000"/>
                            </a:solidFill>
                            <a:round/>
                          </a:ln>
                        </wps:spPr>
                        <wps:bodyPr/>
                      </wps:wsp>
                      <wps:wsp>
                        <wps:cNvPr id="258" name="Line 25"/>
                        <wps:cNvCnPr>
                          <a:cxnSpLocks noChangeShapeType="1"/>
                        </wps:cNvCnPr>
                        <wps:spPr bwMode="auto">
                          <a:xfrm>
                            <a:off x="1270" y="2161"/>
                            <a:ext cx="1040" cy="1"/>
                          </a:xfrm>
                          <a:prstGeom prst="line">
                            <a:avLst/>
                          </a:prstGeom>
                          <a:noFill/>
                          <a:ln w="9525">
                            <a:solidFill>
                              <a:srgbClr val="000000"/>
                            </a:solidFill>
                            <a:round/>
                          </a:ln>
                        </wps:spPr>
                        <wps:bodyPr/>
                      </wps:wsp>
                      <wps:wsp>
                        <wps:cNvPr id="259" name="Line 26"/>
                        <wps:cNvCnPr>
                          <a:cxnSpLocks noChangeShapeType="1"/>
                        </wps:cNvCnPr>
                        <wps:spPr bwMode="auto">
                          <a:xfrm>
                            <a:off x="1270" y="2418"/>
                            <a:ext cx="1040" cy="1"/>
                          </a:xfrm>
                          <a:prstGeom prst="line">
                            <a:avLst/>
                          </a:prstGeom>
                          <a:noFill/>
                          <a:ln w="9525">
                            <a:solidFill>
                              <a:srgbClr val="000000"/>
                            </a:solidFill>
                            <a:round/>
                          </a:ln>
                        </wps:spPr>
                        <wps:bodyPr/>
                      </wps:wsp>
                      <wps:wsp>
                        <wps:cNvPr id="260" name="Line 27"/>
                        <wps:cNvCnPr>
                          <a:cxnSpLocks noChangeShapeType="1"/>
                        </wps:cNvCnPr>
                        <wps:spPr bwMode="auto">
                          <a:xfrm>
                            <a:off x="1270" y="1885"/>
                            <a:ext cx="1" cy="533"/>
                          </a:xfrm>
                          <a:prstGeom prst="line">
                            <a:avLst/>
                          </a:prstGeom>
                          <a:noFill/>
                          <a:ln w="9525">
                            <a:solidFill>
                              <a:srgbClr val="000000"/>
                            </a:solidFill>
                            <a:round/>
                          </a:ln>
                        </wps:spPr>
                        <wps:bodyPr/>
                      </wps:wsp>
                      <wps:wsp>
                        <wps:cNvPr id="261" name="Line 28"/>
                        <wps:cNvCnPr>
                          <a:cxnSpLocks noChangeShapeType="1"/>
                        </wps:cNvCnPr>
                        <wps:spPr bwMode="auto">
                          <a:xfrm>
                            <a:off x="16" y="2502"/>
                            <a:ext cx="430" cy="1"/>
                          </a:xfrm>
                          <a:prstGeom prst="line">
                            <a:avLst/>
                          </a:prstGeom>
                          <a:noFill/>
                          <a:ln w="9525">
                            <a:solidFill>
                              <a:srgbClr val="000000"/>
                            </a:solidFill>
                            <a:round/>
                          </a:ln>
                        </wps:spPr>
                        <wps:bodyPr/>
                      </wps:wsp>
                      <wps:wsp>
                        <wps:cNvPr id="262" name="Line 29"/>
                        <wps:cNvCnPr>
                          <a:cxnSpLocks noChangeShapeType="1"/>
                        </wps:cNvCnPr>
                        <wps:spPr bwMode="auto">
                          <a:xfrm flipH="1">
                            <a:off x="10" y="1894"/>
                            <a:ext cx="1254" cy="1"/>
                          </a:xfrm>
                          <a:prstGeom prst="line">
                            <a:avLst/>
                          </a:prstGeom>
                          <a:noFill/>
                          <a:ln w="19685">
                            <a:solidFill>
                              <a:srgbClr val="000000"/>
                            </a:solidFill>
                            <a:round/>
                          </a:ln>
                        </wps:spPr>
                        <wps:bodyPr/>
                      </wps:wsp>
                      <wps:wsp>
                        <wps:cNvPr id="263" name="Line 30"/>
                        <wps:cNvCnPr>
                          <a:cxnSpLocks noChangeShapeType="1"/>
                        </wps:cNvCnPr>
                        <wps:spPr bwMode="auto">
                          <a:xfrm>
                            <a:off x="16" y="1885"/>
                            <a:ext cx="1" cy="276"/>
                          </a:xfrm>
                          <a:prstGeom prst="line">
                            <a:avLst/>
                          </a:prstGeom>
                          <a:noFill/>
                          <a:ln w="19685">
                            <a:solidFill>
                              <a:srgbClr val="000000"/>
                            </a:solidFill>
                            <a:round/>
                          </a:ln>
                        </wps:spPr>
                        <wps:bodyPr/>
                      </wps:wsp>
                      <wps:wsp>
                        <wps:cNvPr id="264" name="Line 31"/>
                        <wps:cNvCnPr>
                          <a:cxnSpLocks noChangeShapeType="1"/>
                        </wps:cNvCnPr>
                        <wps:spPr bwMode="auto">
                          <a:xfrm>
                            <a:off x="16" y="2161"/>
                            <a:ext cx="1" cy="257"/>
                          </a:xfrm>
                          <a:prstGeom prst="line">
                            <a:avLst/>
                          </a:prstGeom>
                          <a:noFill/>
                          <a:ln w="19685">
                            <a:solidFill>
                              <a:srgbClr val="000000"/>
                            </a:solidFill>
                            <a:round/>
                          </a:ln>
                        </wps:spPr>
                        <wps:bodyPr/>
                      </wps:wsp>
                      <wps:wsp>
                        <wps:cNvPr id="265" name="Line 32"/>
                        <wps:cNvCnPr>
                          <a:cxnSpLocks noChangeShapeType="1"/>
                        </wps:cNvCnPr>
                        <wps:spPr bwMode="auto">
                          <a:xfrm>
                            <a:off x="16" y="2418"/>
                            <a:ext cx="1" cy="84"/>
                          </a:xfrm>
                          <a:prstGeom prst="line">
                            <a:avLst/>
                          </a:prstGeom>
                          <a:noFill/>
                          <a:ln w="19685">
                            <a:solidFill>
                              <a:srgbClr val="000000"/>
                            </a:solidFill>
                            <a:round/>
                          </a:ln>
                        </wps:spPr>
                        <wps:bodyPr/>
                      </wps:wsp>
                      <wps:wsp>
                        <wps:cNvPr id="266" name="Line 33"/>
                        <wps:cNvCnPr>
                          <a:cxnSpLocks noChangeShapeType="1"/>
                        </wps:cNvCnPr>
                        <wps:spPr bwMode="auto">
                          <a:xfrm>
                            <a:off x="16" y="2502"/>
                            <a:ext cx="422" cy="1"/>
                          </a:xfrm>
                          <a:prstGeom prst="line">
                            <a:avLst/>
                          </a:prstGeom>
                          <a:noFill/>
                          <a:ln w="19685">
                            <a:solidFill>
                              <a:srgbClr val="000000"/>
                            </a:solidFill>
                            <a:round/>
                          </a:ln>
                        </wps:spPr>
                        <wps:bodyPr/>
                      </wps:wsp>
                      <wps:wsp>
                        <wps:cNvPr id="267" name="Line 34"/>
                        <wps:cNvCnPr>
                          <a:cxnSpLocks noChangeShapeType="1"/>
                        </wps:cNvCnPr>
                        <wps:spPr bwMode="auto">
                          <a:xfrm>
                            <a:off x="438" y="2502"/>
                            <a:ext cx="215" cy="72"/>
                          </a:xfrm>
                          <a:prstGeom prst="line">
                            <a:avLst/>
                          </a:prstGeom>
                          <a:noFill/>
                          <a:ln w="19685">
                            <a:solidFill>
                              <a:srgbClr val="000000"/>
                            </a:solidFill>
                            <a:round/>
                          </a:ln>
                        </wps:spPr>
                        <wps:bodyPr/>
                      </wps:wsp>
                      <wps:wsp>
                        <wps:cNvPr id="268" name="Line 35"/>
                        <wps:cNvCnPr>
                          <a:cxnSpLocks noChangeShapeType="1"/>
                        </wps:cNvCnPr>
                        <wps:spPr bwMode="auto">
                          <a:xfrm>
                            <a:off x="653" y="2574"/>
                            <a:ext cx="1137" cy="1"/>
                          </a:xfrm>
                          <a:prstGeom prst="line">
                            <a:avLst/>
                          </a:prstGeom>
                          <a:noFill/>
                          <a:ln w="19685">
                            <a:solidFill>
                              <a:srgbClr val="000000"/>
                            </a:solidFill>
                            <a:round/>
                          </a:ln>
                        </wps:spPr>
                        <wps:bodyPr/>
                      </wps:wsp>
                      <wps:wsp>
                        <wps:cNvPr id="269" name="Line 36"/>
                        <wps:cNvCnPr>
                          <a:cxnSpLocks noChangeShapeType="1"/>
                        </wps:cNvCnPr>
                        <wps:spPr bwMode="auto">
                          <a:xfrm>
                            <a:off x="16" y="2161"/>
                            <a:ext cx="581" cy="1"/>
                          </a:xfrm>
                          <a:prstGeom prst="line">
                            <a:avLst/>
                          </a:prstGeom>
                          <a:noFill/>
                          <a:ln w="9525">
                            <a:solidFill>
                              <a:srgbClr val="000000"/>
                            </a:solidFill>
                            <a:round/>
                          </a:ln>
                        </wps:spPr>
                        <wps:bodyPr/>
                      </wps:wsp>
                      <wps:wsp>
                        <wps:cNvPr id="270" name="Line 37"/>
                        <wps:cNvCnPr>
                          <a:cxnSpLocks noChangeShapeType="1"/>
                        </wps:cNvCnPr>
                        <wps:spPr bwMode="auto">
                          <a:xfrm>
                            <a:off x="16" y="2418"/>
                            <a:ext cx="581" cy="1"/>
                          </a:xfrm>
                          <a:prstGeom prst="line">
                            <a:avLst/>
                          </a:prstGeom>
                          <a:noFill/>
                          <a:ln w="9525">
                            <a:solidFill>
                              <a:srgbClr val="000000"/>
                            </a:solidFill>
                            <a:round/>
                          </a:ln>
                        </wps:spPr>
                        <wps:bodyPr/>
                      </wps:wsp>
                      <wps:wsp>
                        <wps:cNvPr id="271" name="Line 38"/>
                        <wps:cNvCnPr>
                          <a:cxnSpLocks noChangeShapeType="1"/>
                        </wps:cNvCnPr>
                        <wps:spPr bwMode="auto">
                          <a:xfrm flipV="1">
                            <a:off x="438" y="1885"/>
                            <a:ext cx="1" cy="617"/>
                          </a:xfrm>
                          <a:prstGeom prst="line">
                            <a:avLst/>
                          </a:prstGeom>
                          <a:noFill/>
                          <a:ln w="9525">
                            <a:solidFill>
                              <a:srgbClr val="000000"/>
                            </a:solidFill>
                            <a:round/>
                          </a:ln>
                        </wps:spPr>
                        <wps:bodyPr/>
                      </wps:wsp>
                      <wps:wsp>
                        <wps:cNvPr id="272" name="Line 39"/>
                        <wps:cNvCnPr>
                          <a:cxnSpLocks noChangeShapeType="1"/>
                        </wps:cNvCnPr>
                        <wps:spPr bwMode="auto">
                          <a:xfrm flipV="1">
                            <a:off x="856" y="1885"/>
                            <a:ext cx="1" cy="533"/>
                          </a:xfrm>
                          <a:prstGeom prst="line">
                            <a:avLst/>
                          </a:prstGeom>
                          <a:noFill/>
                          <a:ln w="9525">
                            <a:solidFill>
                              <a:srgbClr val="000000"/>
                            </a:solidFill>
                            <a:round/>
                          </a:ln>
                        </wps:spPr>
                        <wps:bodyPr/>
                      </wps:wsp>
                      <wps:wsp>
                        <wps:cNvPr id="273" name="Line 40"/>
                        <wps:cNvCnPr>
                          <a:cxnSpLocks noChangeShapeType="1"/>
                        </wps:cNvCnPr>
                        <wps:spPr bwMode="auto">
                          <a:xfrm flipV="1">
                            <a:off x="597" y="1885"/>
                            <a:ext cx="1" cy="671"/>
                          </a:xfrm>
                          <a:prstGeom prst="line">
                            <a:avLst/>
                          </a:prstGeom>
                          <a:noFill/>
                          <a:ln w="9525">
                            <a:solidFill>
                              <a:srgbClr val="000000"/>
                            </a:solidFill>
                            <a:round/>
                          </a:ln>
                        </wps:spPr>
                        <wps:bodyPr/>
                      </wps:wsp>
                      <wps:wsp>
                        <wps:cNvPr id="274" name="Line 41"/>
                        <wps:cNvCnPr>
                          <a:cxnSpLocks noChangeShapeType="1"/>
                        </wps:cNvCnPr>
                        <wps:spPr bwMode="auto">
                          <a:xfrm flipV="1">
                            <a:off x="649" y="1885"/>
                            <a:ext cx="1" cy="688"/>
                          </a:xfrm>
                          <a:prstGeom prst="line">
                            <a:avLst/>
                          </a:prstGeom>
                          <a:noFill/>
                          <a:ln w="9525">
                            <a:solidFill>
                              <a:srgbClr val="000000"/>
                            </a:solidFill>
                            <a:round/>
                          </a:ln>
                        </wps:spPr>
                        <wps:bodyPr/>
                      </wps:wsp>
                      <wps:wsp>
                        <wps:cNvPr id="275" name="Line 42"/>
                        <wps:cNvCnPr>
                          <a:cxnSpLocks noChangeShapeType="1"/>
                        </wps:cNvCnPr>
                        <wps:spPr bwMode="auto">
                          <a:xfrm flipV="1">
                            <a:off x="1270" y="16"/>
                            <a:ext cx="1" cy="1869"/>
                          </a:xfrm>
                          <a:prstGeom prst="line">
                            <a:avLst/>
                          </a:prstGeom>
                          <a:noFill/>
                          <a:ln w="19685">
                            <a:solidFill>
                              <a:srgbClr val="000000"/>
                            </a:solidFill>
                            <a:round/>
                          </a:ln>
                        </wps:spPr>
                        <wps:bodyPr/>
                      </wps:wsp>
                      <wps:wsp>
                        <wps:cNvPr id="276" name="Line 43"/>
                        <wps:cNvCnPr>
                          <a:cxnSpLocks noChangeShapeType="1"/>
                        </wps:cNvCnPr>
                        <wps:spPr bwMode="auto">
                          <a:xfrm flipV="1">
                            <a:off x="2310" y="16"/>
                            <a:ext cx="1" cy="1869"/>
                          </a:xfrm>
                          <a:prstGeom prst="line">
                            <a:avLst/>
                          </a:prstGeom>
                          <a:noFill/>
                          <a:ln w="19685">
                            <a:solidFill>
                              <a:srgbClr val="000000"/>
                            </a:solidFill>
                            <a:round/>
                          </a:ln>
                        </wps:spPr>
                        <wps:bodyPr/>
                      </wps:wsp>
                      <wps:wsp>
                        <wps:cNvPr id="277" name="Line 44"/>
                        <wps:cNvCnPr>
                          <a:cxnSpLocks noChangeShapeType="1"/>
                        </wps:cNvCnPr>
                        <wps:spPr bwMode="auto">
                          <a:xfrm flipV="1">
                            <a:off x="2932" y="1885"/>
                            <a:ext cx="1" cy="688"/>
                          </a:xfrm>
                          <a:prstGeom prst="line">
                            <a:avLst/>
                          </a:prstGeom>
                          <a:noFill/>
                          <a:ln w="9525">
                            <a:solidFill>
                              <a:srgbClr val="000000"/>
                            </a:solidFill>
                            <a:round/>
                          </a:ln>
                        </wps:spPr>
                        <wps:bodyPr/>
                      </wps:wsp>
                      <wps:wsp>
                        <wps:cNvPr id="278" name="Line 45"/>
                        <wps:cNvCnPr>
                          <a:cxnSpLocks noChangeShapeType="1"/>
                        </wps:cNvCnPr>
                        <wps:spPr bwMode="auto">
                          <a:xfrm flipV="1">
                            <a:off x="2983" y="1885"/>
                            <a:ext cx="1" cy="671"/>
                          </a:xfrm>
                          <a:prstGeom prst="line">
                            <a:avLst/>
                          </a:prstGeom>
                          <a:noFill/>
                          <a:ln w="9525">
                            <a:solidFill>
                              <a:srgbClr val="000000"/>
                            </a:solidFill>
                            <a:round/>
                          </a:ln>
                        </wps:spPr>
                        <wps:bodyPr/>
                      </wps:wsp>
                      <wps:wsp>
                        <wps:cNvPr id="279" name="Line 46"/>
                        <wps:cNvCnPr>
                          <a:cxnSpLocks noChangeShapeType="1"/>
                        </wps:cNvCnPr>
                        <wps:spPr bwMode="auto">
                          <a:xfrm flipV="1">
                            <a:off x="2725" y="1885"/>
                            <a:ext cx="1" cy="533"/>
                          </a:xfrm>
                          <a:prstGeom prst="line">
                            <a:avLst/>
                          </a:prstGeom>
                          <a:noFill/>
                          <a:ln w="9525">
                            <a:solidFill>
                              <a:srgbClr val="000000"/>
                            </a:solidFill>
                            <a:round/>
                          </a:ln>
                        </wps:spPr>
                        <wps:bodyPr/>
                      </wps:wsp>
                      <wps:wsp>
                        <wps:cNvPr id="280" name="Line 47"/>
                        <wps:cNvCnPr>
                          <a:cxnSpLocks noChangeShapeType="1"/>
                        </wps:cNvCnPr>
                        <wps:spPr bwMode="auto">
                          <a:xfrm flipV="1">
                            <a:off x="3143" y="1885"/>
                            <a:ext cx="1" cy="617"/>
                          </a:xfrm>
                          <a:prstGeom prst="line">
                            <a:avLst/>
                          </a:prstGeom>
                          <a:noFill/>
                          <a:ln w="9525">
                            <a:solidFill>
                              <a:srgbClr val="000000"/>
                            </a:solidFill>
                            <a:round/>
                          </a:ln>
                        </wps:spPr>
                        <wps:bodyPr/>
                      </wps:wsp>
                      <wps:wsp>
                        <wps:cNvPr id="281" name="Line 48"/>
                        <wps:cNvCnPr>
                          <a:cxnSpLocks noChangeShapeType="1"/>
                        </wps:cNvCnPr>
                        <wps:spPr bwMode="auto">
                          <a:xfrm flipH="1">
                            <a:off x="2983" y="2418"/>
                            <a:ext cx="582" cy="1"/>
                          </a:xfrm>
                          <a:prstGeom prst="line">
                            <a:avLst/>
                          </a:prstGeom>
                          <a:noFill/>
                          <a:ln w="9525">
                            <a:solidFill>
                              <a:srgbClr val="000000"/>
                            </a:solidFill>
                            <a:round/>
                          </a:ln>
                        </wps:spPr>
                        <wps:bodyPr/>
                      </wps:wsp>
                      <wps:wsp>
                        <wps:cNvPr id="282" name="Line 49"/>
                        <wps:cNvCnPr>
                          <a:cxnSpLocks noChangeShapeType="1"/>
                        </wps:cNvCnPr>
                        <wps:spPr bwMode="auto">
                          <a:xfrm flipH="1">
                            <a:off x="2983" y="2161"/>
                            <a:ext cx="582" cy="1"/>
                          </a:xfrm>
                          <a:prstGeom prst="line">
                            <a:avLst/>
                          </a:prstGeom>
                          <a:noFill/>
                          <a:ln w="9525">
                            <a:solidFill>
                              <a:srgbClr val="000000"/>
                            </a:solidFill>
                            <a:round/>
                          </a:ln>
                        </wps:spPr>
                        <wps:bodyPr/>
                      </wps:wsp>
                      <wps:wsp>
                        <wps:cNvPr id="283" name="Line 50"/>
                        <wps:cNvCnPr>
                          <a:cxnSpLocks noChangeShapeType="1"/>
                        </wps:cNvCnPr>
                        <wps:spPr bwMode="auto">
                          <a:xfrm flipH="1">
                            <a:off x="1790" y="2574"/>
                            <a:ext cx="1138" cy="1"/>
                          </a:xfrm>
                          <a:prstGeom prst="line">
                            <a:avLst/>
                          </a:prstGeom>
                          <a:noFill/>
                          <a:ln w="19685">
                            <a:solidFill>
                              <a:srgbClr val="000000"/>
                            </a:solidFill>
                            <a:round/>
                          </a:ln>
                        </wps:spPr>
                        <wps:bodyPr/>
                      </wps:wsp>
                      <wps:wsp>
                        <wps:cNvPr id="284" name="Line 51"/>
                        <wps:cNvCnPr>
                          <a:cxnSpLocks noChangeShapeType="1"/>
                        </wps:cNvCnPr>
                        <wps:spPr bwMode="auto">
                          <a:xfrm flipH="1">
                            <a:off x="2928" y="2502"/>
                            <a:ext cx="215" cy="72"/>
                          </a:xfrm>
                          <a:prstGeom prst="line">
                            <a:avLst/>
                          </a:prstGeom>
                          <a:noFill/>
                          <a:ln w="19685">
                            <a:solidFill>
                              <a:srgbClr val="000000"/>
                            </a:solidFill>
                            <a:round/>
                          </a:ln>
                        </wps:spPr>
                        <wps:bodyPr/>
                      </wps:wsp>
                      <wps:wsp>
                        <wps:cNvPr id="285" name="Line 52"/>
                        <wps:cNvCnPr>
                          <a:cxnSpLocks noChangeShapeType="1"/>
                        </wps:cNvCnPr>
                        <wps:spPr bwMode="auto">
                          <a:xfrm flipH="1">
                            <a:off x="3143" y="2502"/>
                            <a:ext cx="422" cy="1"/>
                          </a:xfrm>
                          <a:prstGeom prst="line">
                            <a:avLst/>
                          </a:prstGeom>
                          <a:noFill/>
                          <a:ln w="19685">
                            <a:solidFill>
                              <a:srgbClr val="000000"/>
                            </a:solidFill>
                            <a:round/>
                          </a:ln>
                        </wps:spPr>
                        <wps:bodyPr/>
                      </wps:wsp>
                      <wps:wsp>
                        <wps:cNvPr id="286" name="Line 53"/>
                        <wps:cNvCnPr>
                          <a:cxnSpLocks noChangeShapeType="1"/>
                        </wps:cNvCnPr>
                        <wps:spPr bwMode="auto">
                          <a:xfrm>
                            <a:off x="3565" y="2418"/>
                            <a:ext cx="1" cy="84"/>
                          </a:xfrm>
                          <a:prstGeom prst="line">
                            <a:avLst/>
                          </a:prstGeom>
                          <a:noFill/>
                          <a:ln w="19685">
                            <a:solidFill>
                              <a:srgbClr val="000000"/>
                            </a:solidFill>
                            <a:round/>
                          </a:ln>
                        </wps:spPr>
                        <wps:bodyPr/>
                      </wps:wsp>
                      <wps:wsp>
                        <wps:cNvPr id="287" name="Line 54"/>
                        <wps:cNvCnPr>
                          <a:cxnSpLocks noChangeShapeType="1"/>
                        </wps:cNvCnPr>
                        <wps:spPr bwMode="auto">
                          <a:xfrm>
                            <a:off x="3565" y="2161"/>
                            <a:ext cx="1" cy="257"/>
                          </a:xfrm>
                          <a:prstGeom prst="line">
                            <a:avLst/>
                          </a:prstGeom>
                          <a:noFill/>
                          <a:ln w="19685">
                            <a:solidFill>
                              <a:srgbClr val="000000"/>
                            </a:solidFill>
                            <a:round/>
                          </a:ln>
                        </wps:spPr>
                        <wps:bodyPr/>
                      </wps:wsp>
                      <wps:wsp>
                        <wps:cNvPr id="288" name="Line 55"/>
                        <wps:cNvCnPr>
                          <a:cxnSpLocks noChangeShapeType="1"/>
                        </wps:cNvCnPr>
                        <wps:spPr bwMode="auto">
                          <a:xfrm>
                            <a:off x="3565" y="1885"/>
                            <a:ext cx="1" cy="276"/>
                          </a:xfrm>
                          <a:prstGeom prst="line">
                            <a:avLst/>
                          </a:prstGeom>
                          <a:noFill/>
                          <a:ln w="19685">
                            <a:solidFill>
                              <a:srgbClr val="000000"/>
                            </a:solidFill>
                            <a:round/>
                          </a:ln>
                        </wps:spPr>
                        <wps:bodyPr/>
                      </wps:wsp>
                      <wps:wsp>
                        <wps:cNvPr id="289" name="Line 56"/>
                        <wps:cNvCnPr>
                          <a:cxnSpLocks noChangeShapeType="1"/>
                        </wps:cNvCnPr>
                        <wps:spPr bwMode="auto">
                          <a:xfrm>
                            <a:off x="2310" y="1885"/>
                            <a:ext cx="1255" cy="1"/>
                          </a:xfrm>
                          <a:prstGeom prst="line">
                            <a:avLst/>
                          </a:prstGeom>
                          <a:noFill/>
                          <a:ln w="19685">
                            <a:solidFill>
                              <a:srgbClr val="000000"/>
                            </a:solidFill>
                            <a:round/>
                          </a:ln>
                        </wps:spPr>
                        <wps:bodyPr/>
                      </wps:wsp>
                      <wps:wsp>
                        <wps:cNvPr id="290" name="Line 57"/>
                        <wps:cNvCnPr>
                          <a:cxnSpLocks noChangeShapeType="1"/>
                        </wps:cNvCnPr>
                        <wps:spPr bwMode="auto">
                          <a:xfrm flipV="1">
                            <a:off x="2932" y="2426"/>
                            <a:ext cx="1" cy="144"/>
                          </a:xfrm>
                          <a:prstGeom prst="line">
                            <a:avLst/>
                          </a:prstGeom>
                          <a:noFill/>
                          <a:ln w="9525">
                            <a:solidFill>
                              <a:srgbClr val="000000"/>
                            </a:solidFill>
                            <a:round/>
                          </a:ln>
                        </wps:spPr>
                        <wps:bodyPr/>
                      </wps:wsp>
                      <wps:wsp>
                        <wps:cNvPr id="291" name="Line 58"/>
                        <wps:cNvCnPr>
                          <a:cxnSpLocks noChangeShapeType="1"/>
                        </wps:cNvCnPr>
                        <wps:spPr bwMode="auto">
                          <a:xfrm flipV="1">
                            <a:off x="2983" y="2414"/>
                            <a:ext cx="1" cy="133"/>
                          </a:xfrm>
                          <a:prstGeom prst="line">
                            <a:avLst/>
                          </a:prstGeom>
                          <a:noFill/>
                          <a:ln w="9525">
                            <a:solidFill>
                              <a:srgbClr val="000000"/>
                            </a:solidFill>
                            <a:round/>
                          </a:ln>
                        </wps:spPr>
                        <wps:bodyPr/>
                      </wps:wsp>
                      <wps:wsp>
                        <wps:cNvPr id="292" name="Line 59"/>
                        <wps:cNvCnPr>
                          <a:cxnSpLocks noChangeShapeType="1"/>
                        </wps:cNvCnPr>
                        <wps:spPr bwMode="auto">
                          <a:xfrm flipH="1">
                            <a:off x="3135" y="2502"/>
                            <a:ext cx="430" cy="1"/>
                          </a:xfrm>
                          <a:prstGeom prst="line">
                            <a:avLst/>
                          </a:prstGeom>
                          <a:noFill/>
                          <a:ln w="9525">
                            <a:solidFill>
                              <a:srgbClr val="000000"/>
                            </a:solidFill>
                            <a:round/>
                          </a:ln>
                        </wps:spPr>
                        <wps:bodyPr/>
                      </wps:wsp>
                      <wps:wsp>
                        <wps:cNvPr id="293" name="Line 60"/>
                        <wps:cNvCnPr>
                          <a:cxnSpLocks noChangeShapeType="1"/>
                        </wps:cNvCnPr>
                        <wps:spPr bwMode="auto">
                          <a:xfrm>
                            <a:off x="2310" y="1885"/>
                            <a:ext cx="1" cy="533"/>
                          </a:xfrm>
                          <a:prstGeom prst="line">
                            <a:avLst/>
                          </a:prstGeom>
                          <a:noFill/>
                          <a:ln w="9525">
                            <a:solidFill>
                              <a:srgbClr val="000000"/>
                            </a:solidFill>
                            <a:round/>
                          </a:ln>
                        </wps:spPr>
                        <wps:bodyPr/>
                      </wps:wsp>
                      <wps:wsp>
                        <wps:cNvPr id="294" name="Line 61"/>
                        <wps:cNvCnPr>
                          <a:cxnSpLocks noChangeShapeType="1"/>
                        </wps:cNvCnPr>
                        <wps:spPr bwMode="auto">
                          <a:xfrm>
                            <a:off x="1785" y="2161"/>
                            <a:ext cx="11" cy="1"/>
                          </a:xfrm>
                          <a:prstGeom prst="line">
                            <a:avLst/>
                          </a:prstGeom>
                          <a:noFill/>
                          <a:ln w="9525">
                            <a:solidFill>
                              <a:srgbClr val="000000"/>
                            </a:solidFill>
                            <a:round/>
                          </a:ln>
                        </wps:spPr>
                        <wps:bodyPr/>
                      </wps:wsp>
                      <wps:wsp>
                        <wps:cNvPr id="295" name="Line 62"/>
                        <wps:cNvCnPr>
                          <a:cxnSpLocks noChangeShapeType="1"/>
                        </wps:cNvCnPr>
                        <wps:spPr bwMode="auto">
                          <a:xfrm flipH="1">
                            <a:off x="1796" y="2161"/>
                            <a:ext cx="1136" cy="1"/>
                          </a:xfrm>
                          <a:prstGeom prst="line">
                            <a:avLst/>
                          </a:prstGeom>
                          <a:noFill/>
                          <a:ln w="9525">
                            <a:solidFill>
                              <a:srgbClr val="000000"/>
                            </a:solidFill>
                            <a:round/>
                          </a:ln>
                        </wps:spPr>
                        <wps:bodyPr/>
                      </wps:wsp>
                      <wps:wsp>
                        <wps:cNvPr id="296" name="Line 63"/>
                        <wps:cNvCnPr>
                          <a:cxnSpLocks noChangeShapeType="1"/>
                        </wps:cNvCnPr>
                        <wps:spPr bwMode="auto">
                          <a:xfrm flipH="1">
                            <a:off x="1790" y="2418"/>
                            <a:ext cx="1142" cy="1"/>
                          </a:xfrm>
                          <a:prstGeom prst="line">
                            <a:avLst/>
                          </a:prstGeom>
                          <a:noFill/>
                          <a:ln w="9525">
                            <a:solidFill>
                              <a:srgbClr val="000000"/>
                            </a:solidFill>
                            <a:round/>
                          </a:ln>
                        </wps:spPr>
                        <wps:bodyPr/>
                      </wps:wsp>
                      <wps:wsp>
                        <wps:cNvPr id="297" name="Line 64"/>
                        <wps:cNvCnPr>
                          <a:cxnSpLocks noChangeShapeType="1"/>
                        </wps:cNvCnPr>
                        <wps:spPr bwMode="auto">
                          <a:xfrm>
                            <a:off x="649" y="2161"/>
                            <a:ext cx="1136" cy="1"/>
                          </a:xfrm>
                          <a:prstGeom prst="line">
                            <a:avLst/>
                          </a:prstGeom>
                          <a:noFill/>
                          <a:ln w="9525">
                            <a:solidFill>
                              <a:srgbClr val="000000"/>
                            </a:solidFill>
                            <a:round/>
                          </a:ln>
                        </wps:spPr>
                        <wps:bodyPr/>
                      </wps:wsp>
                      <wps:wsp>
                        <wps:cNvPr id="298" name="Line 65"/>
                        <wps:cNvCnPr>
                          <a:cxnSpLocks noChangeShapeType="1"/>
                        </wps:cNvCnPr>
                        <wps:spPr bwMode="auto">
                          <a:xfrm>
                            <a:off x="649" y="2418"/>
                            <a:ext cx="1141" cy="1"/>
                          </a:xfrm>
                          <a:prstGeom prst="line">
                            <a:avLst/>
                          </a:prstGeom>
                          <a:noFill/>
                          <a:ln w="9525">
                            <a:solidFill>
                              <a:srgbClr val="000000"/>
                            </a:solidFill>
                            <a:round/>
                          </a:ln>
                        </wps:spPr>
                        <wps:bodyPr/>
                      </wps:wsp>
                      <wps:wsp>
                        <wps:cNvPr id="299" name="Text Box 66"/>
                        <wps:cNvSpPr txBox="1">
                          <a:spLocks noChangeArrowheads="1"/>
                        </wps:cNvSpPr>
                        <wps:spPr bwMode="auto">
                          <a:xfrm>
                            <a:off x="2340" y="225"/>
                            <a:ext cx="722" cy="468"/>
                          </a:xfrm>
                          <a:prstGeom prst="rect">
                            <a:avLst/>
                          </a:prstGeom>
                          <a:noFill/>
                          <a:ln>
                            <a:noFill/>
                          </a:ln>
                        </wps:spPr>
                        <wps:txbx>
                          <w:txbxContent>
                            <w:p w14:paraId="423BA826">
                              <w:r>
                                <w:rPr>
                                  <w:rFonts w:hint="eastAsia"/>
                                  <w:sz w:val="13"/>
                                  <w:szCs w:val="13"/>
                                </w:rPr>
                                <w:t>高层</w:t>
                              </w:r>
                            </w:p>
                          </w:txbxContent>
                        </wps:txbx>
                        <wps:bodyPr rot="0" vert="horz" wrap="square" lIns="91440" tIns="45720" rIns="91440" bIns="45720" anchor="t" anchorCtr="0" upright="1">
                          <a:noAutofit/>
                        </wps:bodyPr>
                      </wps:wsp>
                      <wps:wsp>
                        <wps:cNvPr id="300" name="Text Box 67"/>
                        <wps:cNvSpPr txBox="1">
                          <a:spLocks noChangeArrowheads="1"/>
                        </wps:cNvSpPr>
                        <wps:spPr bwMode="auto">
                          <a:xfrm>
                            <a:off x="720" y="2721"/>
                            <a:ext cx="1080" cy="393"/>
                          </a:xfrm>
                          <a:prstGeom prst="rect">
                            <a:avLst/>
                          </a:prstGeom>
                          <a:noFill/>
                          <a:ln>
                            <a:noFill/>
                          </a:ln>
                        </wps:spPr>
                        <wps:txbx>
                          <w:txbxContent>
                            <w:p w14:paraId="25037968">
                              <w:pPr>
                                <w:rPr>
                                  <w:sz w:val="13"/>
                                  <w:szCs w:val="13"/>
                                </w:rPr>
                              </w:pPr>
                              <w:r>
                                <w:rPr>
                                  <w:rFonts w:hint="eastAsia"/>
                                  <w:sz w:val="13"/>
                                  <w:szCs w:val="13"/>
                                </w:rPr>
                                <w:t>后浇带</w:t>
                              </w:r>
                            </w:p>
                          </w:txbxContent>
                        </wps:txbx>
                        <wps:bodyPr rot="0" vert="horz" wrap="square" lIns="91440" tIns="45720" rIns="91440" bIns="45720" anchor="t" anchorCtr="0" upright="1">
                          <a:noAutofit/>
                        </wps:bodyPr>
                      </wps:wsp>
                      <wps:wsp>
                        <wps:cNvPr id="301" name="Text Box 68"/>
                        <wps:cNvSpPr txBox="1">
                          <a:spLocks noChangeArrowheads="1"/>
                        </wps:cNvSpPr>
                        <wps:spPr bwMode="auto">
                          <a:xfrm>
                            <a:off x="2298" y="1161"/>
                            <a:ext cx="1242" cy="468"/>
                          </a:xfrm>
                          <a:prstGeom prst="rect">
                            <a:avLst/>
                          </a:prstGeom>
                          <a:noFill/>
                          <a:ln>
                            <a:noFill/>
                          </a:ln>
                        </wps:spPr>
                        <wps:txbx>
                          <w:txbxContent>
                            <w:p w14:paraId="16B81647">
                              <w:pPr>
                                <w:rPr>
                                  <w:sz w:val="13"/>
                                  <w:szCs w:val="13"/>
                                </w:rPr>
                              </w:pPr>
                              <w:r>
                                <w:rPr>
                                  <w:rFonts w:hint="eastAsia"/>
                                  <w:sz w:val="13"/>
                                  <w:szCs w:val="13"/>
                                </w:rPr>
                                <w:t>裙房及地下室</w:t>
                              </w:r>
                            </w:p>
                          </w:txbxContent>
                        </wps:txbx>
                        <wps:bodyPr rot="0" vert="horz" wrap="square" lIns="91440" tIns="45720" rIns="91440" bIns="45720" anchor="t" anchorCtr="0" upright="1">
                          <a:noAutofit/>
                        </wps:bodyPr>
                      </wps:wsp>
                      <wps:wsp>
                        <wps:cNvPr id="302" name="Text Box 69"/>
                        <wps:cNvSpPr txBox="1">
                          <a:spLocks noChangeArrowheads="1"/>
                        </wps:cNvSpPr>
                        <wps:spPr bwMode="auto">
                          <a:xfrm>
                            <a:off x="2175" y="2693"/>
                            <a:ext cx="1440" cy="393"/>
                          </a:xfrm>
                          <a:prstGeom prst="rect">
                            <a:avLst/>
                          </a:prstGeom>
                          <a:noFill/>
                          <a:ln>
                            <a:noFill/>
                          </a:ln>
                        </wps:spPr>
                        <wps:txbx>
                          <w:txbxContent>
                            <w:p w14:paraId="1E1D0D11">
                              <w:pPr>
                                <w:rPr>
                                  <w:sz w:val="13"/>
                                  <w:szCs w:val="13"/>
                                </w:rPr>
                              </w:pPr>
                              <w:r>
                                <w:rPr>
                                  <w:rFonts w:hint="eastAsia"/>
                                  <w:sz w:val="13"/>
                                  <w:szCs w:val="13"/>
                                </w:rPr>
                                <w:t>后浇带</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81.6pt;margin-top:-66.6pt;height:160.75pt;width:183pt;mso-position-horizontal-relative:char;mso-position-vertical-relative:line;z-index:251667456;mso-width-relative:page;mso-height-relative:page;" coordsize="3660,3215" o:gfxdata="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">
                <o:lock v:ext="edit" aspectratio="f"/>
                <v:rect id="Picture 16" o:spid="_x0000_s1026" o:spt="1" style="position:absolute;left:0;top:0;height:3215;width:3660;" filled="f" stroked="f" coordsize="21600,21600" o:gfxdata="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ntvr4A&#10;AADcAAAADwAAAAAAAAABACAAAAAiAAAAZHJzL2Rvd25yZXYueG1sUEsBAhQAFAAAAAgAh07iQDMv&#10;BZ47AAAAOQAAABAAAAAAAAAAAQAgAAAADQEAAGRycy9zaGFwZXhtbC54bWxQSwUGAAAAAAYABgBb&#10;AQAAtwMAAAAA&#10;">
                  <v:fill on="f" focussize="0,0"/>
                  <v:stroke on="f"/>
                  <v:imagedata o:title=""/>
                  <o:lock v:ext="edit" text="t" aspectratio="t"/>
                </v:rect>
                <v:line id="Line 17" o:spid="_x0000_s1026" o:spt="20" style="position:absolute;left:597;top:2414;flip:y;height:133;width:1;" filled="f" stroked="t" coordsize="21600,21600" o:gfxdata="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FUjF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8" o:spid="_x0000_s1026" o:spt="20" style="position:absolute;left:649;top:2426;flip:y;height:144;width:1;" filled="f" stroked="t" coordsize="21600,21600" o:gfxdata="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mGj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9" o:spid="_x0000_s1026" o:spt="20" style="position:absolute;left:1270;top:16;height:1;width:1040;" filled="f" stroked="t" coordsize="21600,21600" o:gfxdata="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z/mavQAA&#10;ANwAAAAPAAAAAAAAAAEAIAAAACIAAABkcnMvZG93bnJldi54bWxQSwECFAAUAAAACACHTuJAMy8F&#10;njsAAAA5AAAAEAAAAAAAAAABACAAAAAMAQAAZHJzL3NoYXBleG1sLnhtbFBLBQYAAAAABgAGAFsB&#10;AAC2AwAAAAA=&#10;">
                  <v:fill on="f" focussize="0,0"/>
                  <v:stroke weight="1.55pt" color="#000000" joinstyle="round"/>
                  <v:imagedata o:title=""/>
                  <o:lock v:ext="edit" aspectratio="f"/>
                </v:line>
                <v:line id="Line 20" o:spid="_x0000_s1026" o:spt="20" style="position:absolute;left:621;top:2523;height:502;width:1;" filled="f" stroked="t" coordsize="21600,21600" o:gfxdata="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uUk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1" o:spid="_x0000_s1026" o:spt="20" style="position:absolute;left:621;top:3025;height:1;width:631;" filled="f" stroked="t" coordsize="21600,21600" o:gfxdata="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Q0U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2" o:spid="_x0000_s1026" o:spt="20" style="position:absolute;left:2329;top:3025;flip:x;height:1;width:631;" filled="f" stroked="t" coordsize="21600,21600" o:gfxdata="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KAj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3" o:spid="_x0000_s1026" o:spt="20" style="position:absolute;left:2960;top:2523;height:502;width:1;" filled="f" stroked="t" coordsize="21600,21600" o:gfxdata="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7q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4" o:spid="_x0000_s1026" o:spt="20" style="position:absolute;left:1270;top:1885;height:1;width:1040;" filled="f" stroked="t" coordsize="21600,21600" o:gfxdata="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CTz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5" o:spid="_x0000_s1026" o:spt="20" style="position:absolute;left:1270;top:2161;height:1;width:1040;" filled="f" stroked="t" coordsize="21600,21600" o:gfxdata="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Hdt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6" o:spid="_x0000_s1026" o:spt="20" style="position:absolute;left:1270;top:2418;height:1;width:1040;" filled="f" stroked="t" coordsize="21600,21600" o:gfxdata="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1Rftu/&#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7" o:spid="_x0000_s1026" o:spt="20" style="position:absolute;left:1270;top:1885;height:533;width:1;" filled="f" stroked="t" coordsize="21600,21600" o:gfxdata="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HHfu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28" o:spid="_x0000_s1026" o:spt="20" style="position:absolute;left:16;top:2502;height:1;width:430;" filled="f" stroked="t" coordsize="21600,21600" o:gfxdata="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S7h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29" o:spid="_x0000_s1026" o:spt="20" style="position:absolute;left:10;top:1894;flip:x;height:1;width:1254;" filled="f" stroked="t" coordsize="21600,21600" o:gfxdata="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DW/L4A&#10;AADcAAAADwAAAAAAAAABACAAAAAiAAAAZHJzL2Rvd25yZXYueG1sUEsBAhQAFAAAAAgAh07iQDMv&#10;BZ47AAAAOQAAABAAAAAAAAAAAQAgAAAADQEAAGRycy9zaGFwZXhtbC54bWxQSwUGAAAAAAYABgBb&#10;AQAAtwMAAAAA&#10;">
                  <v:fill on="f" focussize="0,0"/>
                  <v:stroke weight="1.55pt" color="#000000" joinstyle="round"/>
                  <v:imagedata o:title=""/>
                  <o:lock v:ext="edit" aspectratio="f"/>
                </v:line>
                <v:line id="Line 30" o:spid="_x0000_s1026" o:spt="20" style="position:absolute;left:16;top:1885;height:276;width:1;" filled="f" stroked="t" coordsize="21600,21600" o:gfxdata="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WvL4A&#10;AADcAAAADwAAAAAAAAABACAAAAAiAAAAZHJzL2Rvd25yZXYueG1sUEsBAhQAFAAAAAgAh07iQDMv&#10;BZ47AAAAOQAAABAAAAAAAAAAAQAgAAAADQEAAGRycy9zaGFwZXhtbC54bWxQSwUGAAAAAAYABgBb&#10;AQAAtwMAAAAA&#10;">
                  <v:fill on="f" focussize="0,0"/>
                  <v:stroke weight="1.55pt" color="#000000" joinstyle="round"/>
                  <v:imagedata o:title=""/>
                  <o:lock v:ext="edit" aspectratio="f"/>
                </v:line>
                <v:line id="Line 31" o:spid="_x0000_s1026" o:spt="20" style="position:absolute;left:16;top:2161;height:257;width:1;" filled="f" stroked="t" coordsize="21600,21600" o:gfxdata="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GDsi8AAAA&#10;3AAAAA8AAAAAAAAAAQAgAAAAIgAAAGRycy9kb3ducmV2LnhtbFBLAQIUABQAAAAIAIdO4kAzLwWe&#10;OwAAADkAAAAQAAAAAAAAAAEAIAAAAAsBAABkcnMvc2hhcGV4bWwueG1sUEsFBgAAAAAGAAYAWwEA&#10;ALUDAAAAAA==&#10;">
                  <v:fill on="f" focussize="0,0"/>
                  <v:stroke weight="1.55pt" color="#000000" joinstyle="round"/>
                  <v:imagedata o:title=""/>
                  <o:lock v:ext="edit" aspectratio="f"/>
                </v:line>
                <v:line id="Line 32" o:spid="_x0000_s1026" o:spt="20" style="position:absolute;left:16;top:2418;height:84;width:1;" filled="f" stroked="t" coordsize="21600,21600" o:gfxdata="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SqtTvQAA&#10;ANwAAAAPAAAAAAAAAAEAIAAAACIAAABkcnMvZG93bnJldi54bWxQSwECFAAUAAAACACHTuJAMy8F&#10;njsAAAA5AAAAEAAAAAAAAAABACAAAAAMAQAAZHJzL3NoYXBleG1sLnhtbFBLBQYAAAAABgAGAFsB&#10;AAC2AwAAAAA=&#10;">
                  <v:fill on="f" focussize="0,0"/>
                  <v:stroke weight="1.55pt" color="#000000" joinstyle="round"/>
                  <v:imagedata o:title=""/>
                  <o:lock v:ext="edit" aspectratio="f"/>
                </v:line>
                <v:line id="Line 33" o:spid="_x0000_s1026" o:spt="20" style="position:absolute;left:16;top:2502;height:1;width:422;" filled="f" stroked="t" coordsize="21600,21600" o:gfxdata="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YNSS8AAAA&#10;3AAAAA8AAAAAAAAAAQAgAAAAIgAAAGRycy9kb3ducmV2LnhtbFBLAQIUABQAAAAIAIdO4kAzLwWe&#10;OwAAADkAAAAQAAAAAAAAAAEAIAAAAAsBAABkcnMvc2hhcGV4bWwueG1sUEsFBgAAAAAGAAYAWwEA&#10;ALUDAAAAAA==&#10;">
                  <v:fill on="f" focussize="0,0"/>
                  <v:stroke weight="1.55pt" color="#000000" joinstyle="round"/>
                  <v:imagedata o:title=""/>
                  <o:lock v:ext="edit" aspectratio="f"/>
                </v:line>
                <v:line id="Line 34" o:spid="_x0000_s1026" o:spt="20" style="position:absolute;left:438;top:2502;height:72;width:215;" filled="f" stroked="t" coordsize="21600,21600" o:gfxdata="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UkL+8AAAA&#10;3AAAAA8AAAAAAAAAAQAgAAAAIgAAAGRycy9kb3ducmV2LnhtbFBLAQIUABQAAAAIAIdO4kAzLwWe&#10;OwAAADkAAAAQAAAAAAAAAAEAIAAAAAsBAABkcnMvc2hhcGV4bWwueG1sUEsFBgAAAAAGAAYAWwEA&#10;ALUDAAAAAA==&#10;">
                  <v:fill on="f" focussize="0,0"/>
                  <v:stroke weight="1.55pt" color="#000000" joinstyle="round"/>
                  <v:imagedata o:title=""/>
                  <o:lock v:ext="edit" aspectratio="f"/>
                </v:line>
                <v:line id="Line 35" o:spid="_x0000_s1026" o:spt="20" style="position:absolute;left:653;top:2574;height:1;width:1137;" filled="f" stroked="t" coordsize="21600,21600" o:gfxdata="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pLBM25AAAA3AAA&#10;AA8AAAAAAAAAAQAgAAAAIgAAAGRycy9kb3ducmV2LnhtbFBLAQIUABQAAAAIAIdO4kAzLwWeOwAA&#10;ADkAAAAQAAAAAAAAAAEAIAAAAAgBAABkcnMvc2hhcGV4bWwueG1sUEsFBgAAAAAGAAYAWwEAALID&#10;AAAAAA==&#10;">
                  <v:fill on="f" focussize="0,0"/>
                  <v:stroke weight="1.55pt" color="#000000" joinstyle="round"/>
                  <v:imagedata o:title=""/>
                  <o:lock v:ext="edit" aspectratio="f"/>
                </v:line>
                <v:line id="Line 36" o:spid="_x0000_s1026" o:spt="20" style="position:absolute;left:16;top:2161;height:1;width:581;" filled="f" stroked="t" coordsize="21600,21600" o:gfxdata="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PbR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37" o:spid="_x0000_s1026" o:spt="20" style="position:absolute;left:16;top:2418;height:1;width:581;" filled="f" stroked="t" coordsize="21600,21600" o:gfxdata="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3osm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38" o:spid="_x0000_s1026" o:spt="20" style="position:absolute;left:438;top:1885;flip:y;height:617;width:1;" filled="f" stroked="t" coordsize="21600,21600" o:gfxdata="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za7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39" o:spid="_x0000_s1026" o:spt="20" style="position:absolute;left:856;top:1885;flip:y;height:533;width:1;" filled="f" stroked="t" coordsize="21600,21600" o:gfxdata="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H5Em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0" o:spid="_x0000_s1026" o:spt="20" style="position:absolute;left:597;top:1885;flip:y;height:671;width:1;" filled="f" stroked="t" coordsize="21600,21600" o:gfxdata="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uEA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1" o:spid="_x0000_s1026" o:spt="20" style="position:absolute;left:649;top:1885;flip:y;height:688;width:1;" filled="f" stroked="t" coordsize="21600,21600" o:gfxdata="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t5d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2" o:spid="_x0000_s1026" o:spt="20" style="position:absolute;left:1270;top:16;flip:y;height:1869;width:1;" filled="f" stroked="t" coordsize="21600,21600" o:gfxdata="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DYVb4A&#10;AADcAAAADwAAAAAAAAABACAAAAAiAAAAZHJzL2Rvd25yZXYueG1sUEsBAhQAFAAAAAgAh07iQDMv&#10;BZ47AAAAOQAAABAAAAAAAAAAAQAgAAAADQEAAGRycy9zaGFwZXhtbC54bWxQSwUGAAAAAAYABgBb&#10;AQAAtwMAAAAA&#10;">
                  <v:fill on="f" focussize="0,0"/>
                  <v:stroke weight="1.55pt" color="#000000" joinstyle="round"/>
                  <v:imagedata o:title=""/>
                  <o:lock v:ext="edit" aspectratio="f"/>
                </v:line>
                <v:line id="Line 43" o:spid="_x0000_s1026" o:spt="20" style="position:absolute;left:2310;top:16;flip:y;height:1869;width:1;" filled="f" stroked="t" coordsize="21600,21600" o:gfxdata="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5yRiK/&#10;AAAA3AAAAA8AAAAAAAAAAQAgAAAAIgAAAGRycy9kb3ducmV2LnhtbFBLAQIUABQAAAAIAIdO4kAz&#10;LwWeOwAAADkAAAAQAAAAAAAAAAEAIAAAAA4BAABkcnMvc2hhcGV4bWwueG1sUEsFBgAAAAAGAAYA&#10;WwEAALgDAAAAAA==&#10;">
                  <v:fill on="f" focussize="0,0"/>
                  <v:stroke weight="1.55pt" color="#000000" joinstyle="round"/>
                  <v:imagedata o:title=""/>
                  <o:lock v:ext="edit" aspectratio="f"/>
                </v:line>
                <v:line id="Line 44" o:spid="_x0000_s1026" o:spt="20" style="position:absolute;left:2932;top:1885;flip:y;height:688;width:1;" filled="f" stroked="t" coordsize="21600,21600" o:gfxdata="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nnA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5" o:spid="_x0000_s1026" o:spt="20" style="position:absolute;left:2983;top:1885;flip:y;height:671;width:1;" filled="f" stroked="t" coordsize="21600,21600" o:gfxdata="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ZZzc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6" o:spid="_x0000_s1026" o:spt="20" style="position:absolute;left:2725;top:1885;flip:y;height:533;width:1;" filled="f" stroked="t" coordsize="21600,21600" o:gfxdata="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2tb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7" o:spid="_x0000_s1026" o:spt="20" style="position:absolute;left:3143;top:1885;flip:y;height:617;width:1;" filled="f" stroked="t" coordsize="21600,21600" o:gfxdata="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jUPU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8" o:spid="_x0000_s1026" o:spt="20" style="position:absolute;left:2983;top:2418;flip:x;height:1;width:582;" filled="f" stroked="t" coordsize="21600,21600" o:gfxdata="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Xmqy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49" o:spid="_x0000_s1026" o:spt="20" style="position:absolute;left:2983;top:2161;flip:x;height:1;width:582;" filled="f" stroked="t" coordsize="21600,21600" o:gfxdata="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qzS8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0" o:spid="_x0000_s1026" o:spt="20" style="position:absolute;left:1790;top:2574;flip:x;height:1;width:1138;" filled="f" stroked="t" coordsize="21600,21600" o:gfxdata="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QlZ2/&#10;AAAA3AAAAA8AAAAAAAAAAQAgAAAAIgAAAGRycy9kb3ducmV2LnhtbFBLAQIUABQAAAAIAIdO4kAz&#10;LwWeOwAAADkAAAAQAAAAAAAAAAEAIAAAAA4BAABkcnMvc2hhcGV4bWwueG1sUEsFBgAAAAAGAAYA&#10;WwEAALgDAAAAAA==&#10;">
                  <v:fill on="f" focussize="0,0"/>
                  <v:stroke weight="1.55pt" color="#000000" joinstyle="round"/>
                  <v:imagedata o:title=""/>
                  <o:lock v:ext="edit" aspectratio="f"/>
                </v:line>
                <v:line id="Line 51" o:spid="_x0000_s1026" o:spt="20" style="position:absolute;left:2928;top:2502;flip:x;height:72;width:215;" filled="f" stroked="t" coordsize="21600,21600" o:gfxdata="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5Dem/&#10;AAAA3AAAAA8AAAAAAAAAAQAgAAAAIgAAAGRycy9kb3ducmV2LnhtbFBLAQIUABQAAAAIAIdO4kAz&#10;LwWeOwAAADkAAAAQAAAAAAAAAAEAIAAAAA4BAABkcnMvc2hhcGV4bWwueG1sUEsFBgAAAAAGAAYA&#10;WwEAALgDAAAAAA==&#10;">
                  <v:fill on="f" focussize="0,0"/>
                  <v:stroke weight="1.55pt" color="#000000" joinstyle="round"/>
                  <v:imagedata o:title=""/>
                  <o:lock v:ext="edit" aspectratio="f"/>
                </v:line>
                <v:line id="Line 52" o:spid="_x0000_s1026" o:spt="20" style="position:absolute;left:3143;top:2502;flip:x;height:1;width:422;" filled="f" stroked="t" coordsize="21600,21600" o:gfxdata="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1qHK/&#10;AAAA3AAAAA8AAAAAAAAAAQAgAAAAIgAAAGRycy9kb3ducmV2LnhtbFBLAQIUABQAAAAIAIdO4kAz&#10;LwWeOwAAADkAAAAQAAAAAAAAAAEAIAAAAA4BAABkcnMvc2hhcGV4bWwueG1sUEsFBgAAAAAGAAYA&#10;WwEAALgDAAAAAA==&#10;">
                  <v:fill on="f" focussize="0,0"/>
                  <v:stroke weight="1.55pt" color="#000000" joinstyle="round"/>
                  <v:imagedata o:title=""/>
                  <o:lock v:ext="edit" aspectratio="f"/>
                </v:line>
                <v:line id="Line 53" o:spid="_x0000_s1026" o:spt="20" style="position:absolute;left:3565;top:2418;height:84;width:1;" filled="f" stroked="t" coordsize="21600,21600" o:gfxdata="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U0968AAAA&#10;3AAAAA8AAAAAAAAAAQAgAAAAIgAAAGRycy9kb3ducmV2LnhtbFBLAQIUABQAAAAIAIdO4kAzLwWe&#10;OwAAADkAAAAQAAAAAAAAAAEAIAAAAAsBAABkcnMvc2hhcGV4bWwueG1sUEsFBgAAAAAGAAYAWwEA&#10;ALUDAAAAAA==&#10;">
                  <v:fill on="f" focussize="0,0"/>
                  <v:stroke weight="1.55pt" color="#000000" joinstyle="round"/>
                  <v:imagedata o:title=""/>
                  <o:lock v:ext="edit" aspectratio="f"/>
                </v:line>
                <v:line id="Line 54" o:spid="_x0000_s1026" o:spt="20" style="position:absolute;left:3565;top:2161;height:257;width:1;" filled="f" stroked="t" coordsize="21600,21600" o:gfxdata="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2HZFvQAA&#10;ANwAAAAPAAAAAAAAAAEAIAAAACIAAABkcnMvZG93bnJldi54bWxQSwECFAAUAAAACACHTuJAMy8F&#10;njsAAAA5AAAAEAAAAAAAAAABACAAAAAMAQAAZHJzL3NoYXBleG1sLnhtbFBLBQYAAAAABgAGAFsB&#10;AAC2AwAAAAA=&#10;">
                  <v:fill on="f" focussize="0,0"/>
                  <v:stroke weight="1.55pt" color="#000000" joinstyle="round"/>
                  <v:imagedata o:title=""/>
                  <o:lock v:ext="edit" aspectratio="f"/>
                </v:line>
                <v:line id="Line 55" o:spid="_x0000_s1026" o:spt="20" style="position:absolute;left:3565;top:1885;height:276;width:1;" filled="f" stroked="t" coordsize="21600,21600" o:gfxdata="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pH4je5AAAA3AAA&#10;AA8AAAAAAAAAAQAgAAAAIgAAAGRycy9kb3ducmV2LnhtbFBLAQIUABQAAAAIAIdO4kAzLwWeOwAA&#10;ADkAAAAQAAAAAAAAAAEAIAAAAAgBAABkcnMvc2hhcGV4bWwueG1sUEsFBgAAAAAGAAYAWwEAALID&#10;AAAAAA==&#10;">
                  <v:fill on="f" focussize="0,0"/>
                  <v:stroke weight="1.55pt" color="#000000" joinstyle="round"/>
                  <v:imagedata o:title=""/>
                  <o:lock v:ext="edit" aspectratio="f"/>
                </v:line>
                <v:line id="Line 56" o:spid="_x0000_s1026" o:spt="20" style="position:absolute;left:2310;top:1885;height:1;width:1255;" filled="f" stroked="t" coordsize="21600,21600" o:gfxdata="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C0esvQAA&#10;ANwAAAAPAAAAAAAAAAEAIAAAACIAAABkcnMvZG93bnJldi54bWxQSwECFAAUAAAACACHTuJAMy8F&#10;njsAAAA5AAAAEAAAAAAAAAABACAAAAAMAQAAZHJzL3NoYXBleG1sLnhtbFBLBQYAAAAABgAGAFsB&#10;AAC2AwAAAAA=&#10;">
                  <v:fill on="f" focussize="0,0"/>
                  <v:stroke weight="1.55pt" color="#000000" joinstyle="round"/>
                  <v:imagedata o:title=""/>
                  <o:lock v:ext="edit" aspectratio="f"/>
                </v:line>
                <v:line id="Line 57" o:spid="_x0000_s1026" o:spt="20" style="position:absolute;left:2932;top:2426;flip:y;height:144;width:1;" filled="f" stroked="t" coordsize="21600,21600" o:gfxdata="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yZj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58" o:spid="_x0000_s1026" o:spt="20" style="position:absolute;left:2983;top:2414;flip:y;height:133;width:1;" filled="f" stroked="t" coordsize="21600,21600" o:gfxdata="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oDwW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9" o:spid="_x0000_s1026" o:spt="20" style="position:absolute;left:3135;top:2502;flip:x;height:1;width:430;" filled="f" stroked="t" coordsize="21600,21600" o:gfxdata="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cqJh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0" o:spid="_x0000_s1026" o:spt="20" style="position:absolute;left:2310;top:1885;height:533;width:1;" filled="f" stroked="t" coordsize="21600,21600" o:gfxdata="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PO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1" o:spid="_x0000_s1026" o:spt="20" style="position:absolute;left:1785;top:2161;height:1;width:11;" filled="f" stroked="t" coordsize="21600,21600" o:gfxdata="UEsDBAoAAAAAAIdO4kAAAAAAAAAAAAAAAAAEAAAAZHJzL1BLAwQUAAAACACHTuJAqOlr378AAADc&#10;AAAADwAAAGRycy9kb3ducmV2LnhtbEWPzWrDMBCE74W8g9hALyGW4pa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pa9+/&#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2" o:spid="_x0000_s1026" o:spt="20" style="position:absolute;left:1796;top:2161;flip:x;height:1;width:1136;" filled="f" stroked="t" coordsize="21600,21600" o:gfxdata="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zo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3" o:spid="_x0000_s1026" o:spt="20" style="position:absolute;left:1790;top:2418;flip:x;height:1;width:1142;" filled="f" stroked="t" coordsize="21600,21600" o:gfxdata="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SaR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4" o:spid="_x0000_s1026" o:spt="20" style="position:absolute;left:649;top:2161;height:1;width:1136;" filled="f" stroked="t" coordsize="21600,21600" o:gfxdata="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79ai/&#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5" o:spid="_x0000_s1026" o:spt="20" style="position:absolute;left:649;top:2418;height:1;width:1141;" filled="f" stroked="t" coordsize="21600,21600" o:gfxdata="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GH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Text Box 66" o:spid="_x0000_s1026" o:spt="202" type="#_x0000_t202" style="position:absolute;left:2340;top:225;height:468;width:722;" filled="f" stroked="f" coordsize="21600,21600" o:gfxdata="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bRQ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23BA826">
                        <w:r>
                          <w:rPr>
                            <w:rFonts w:hint="eastAsia"/>
                            <w:sz w:val="13"/>
                            <w:szCs w:val="13"/>
                          </w:rPr>
                          <w:t>高层</w:t>
                        </w:r>
                      </w:p>
                    </w:txbxContent>
                  </v:textbox>
                </v:shape>
                <v:shape id="Text Box 67" o:spid="_x0000_s1026" o:spt="202" type="#_x0000_t202" style="position:absolute;left:720;top:2721;height:393;width:1080;" filled="f" stroked="f" coordsize="21600,21600" o:gfxdata="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ynaM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25037968">
                        <w:pPr>
                          <w:rPr>
                            <w:sz w:val="13"/>
                            <w:szCs w:val="13"/>
                          </w:rPr>
                        </w:pPr>
                        <w:r>
                          <w:rPr>
                            <w:rFonts w:hint="eastAsia"/>
                            <w:sz w:val="13"/>
                            <w:szCs w:val="13"/>
                          </w:rPr>
                          <w:t>后浇带</w:t>
                        </w:r>
                      </w:p>
                    </w:txbxContent>
                  </v:textbox>
                </v:shape>
                <v:shape id="Text Box 68" o:spid="_x0000_s1026" o:spt="202" type="#_x0000_t202" style="position:absolute;left:2298;top:1161;height:468;width:1242;" filled="f" stroked="f" coordsize="21600,21600" o:gfxdata="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G0xe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6B81647">
                        <w:pPr>
                          <w:rPr>
                            <w:sz w:val="13"/>
                            <w:szCs w:val="13"/>
                          </w:rPr>
                        </w:pPr>
                        <w:r>
                          <w:rPr>
                            <w:rFonts w:hint="eastAsia"/>
                            <w:sz w:val="13"/>
                            <w:szCs w:val="13"/>
                          </w:rPr>
                          <w:t>裙房及地下室</w:t>
                        </w:r>
                      </w:p>
                    </w:txbxContent>
                  </v:textbox>
                </v:shape>
                <v:shape id="Text Box 69" o:spid="_x0000_s1026" o:spt="202" type="#_x0000_t202" style="position:absolute;left:2175;top:2693;height:393;width:1440;" filled="f" stroked="f" coordsize="21600,21600" o:gfxdata="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RNY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1E1D0D11">
                        <w:pPr>
                          <w:rPr>
                            <w:sz w:val="13"/>
                            <w:szCs w:val="13"/>
                          </w:rPr>
                        </w:pPr>
                        <w:r>
                          <w:rPr>
                            <w:rFonts w:hint="eastAsia"/>
                            <w:sz w:val="13"/>
                            <w:szCs w:val="13"/>
                          </w:rPr>
                          <w:t>后浇带</w:t>
                        </w:r>
                      </w:p>
                    </w:txbxContent>
                  </v:textbox>
                </v:shape>
                <w10:anchorlock/>
              </v:group>
            </w:pict>
          </mc:Fallback>
        </mc:AlternateContent>
      </w:r>
    </w:p>
    <w:p w14:paraId="2BD829EC">
      <w:pPr>
        <w:autoSpaceDE w:val="0"/>
        <w:autoSpaceDN w:val="0"/>
        <w:adjustRightInd w:val="0"/>
        <w:spacing w:line="360" w:lineRule="atLeast"/>
        <w:ind w:firstLine="420" w:firstLineChars="200"/>
        <w:jc w:val="left"/>
        <w:rPr>
          <w:color w:val="auto"/>
          <w:kern w:val="0"/>
          <w:szCs w:val="21"/>
        </w:rPr>
      </w:pPr>
    </w:p>
    <w:p w14:paraId="3EEDC32F">
      <w:pPr>
        <w:autoSpaceDE w:val="0"/>
        <w:autoSpaceDN w:val="0"/>
        <w:adjustRightInd w:val="0"/>
        <w:spacing w:line="360" w:lineRule="atLeast"/>
        <w:ind w:firstLine="420" w:firstLineChars="200"/>
        <w:jc w:val="left"/>
        <w:rPr>
          <w:color w:val="auto"/>
          <w:kern w:val="0"/>
          <w:szCs w:val="21"/>
        </w:rPr>
      </w:pPr>
    </w:p>
    <w:p w14:paraId="18039FE8">
      <w:pPr>
        <w:autoSpaceDE w:val="0"/>
        <w:autoSpaceDN w:val="0"/>
        <w:adjustRightInd w:val="0"/>
        <w:spacing w:line="360" w:lineRule="atLeast"/>
        <w:ind w:firstLine="420" w:firstLineChars="200"/>
        <w:jc w:val="left"/>
        <w:rPr>
          <w:color w:val="auto"/>
          <w:kern w:val="0"/>
          <w:szCs w:val="21"/>
        </w:rPr>
      </w:pPr>
    </w:p>
    <w:p w14:paraId="7C32F14F">
      <w:pPr>
        <w:autoSpaceDE w:val="0"/>
        <w:autoSpaceDN w:val="0"/>
        <w:adjustRightInd w:val="0"/>
        <w:spacing w:line="360" w:lineRule="atLeast"/>
        <w:ind w:firstLine="420" w:firstLineChars="200"/>
        <w:jc w:val="left"/>
        <w:rPr>
          <w:color w:val="auto"/>
          <w:kern w:val="0"/>
          <w:szCs w:val="21"/>
        </w:rPr>
      </w:pPr>
    </w:p>
    <w:p w14:paraId="10A9CF79">
      <w:pPr>
        <w:autoSpaceDE w:val="0"/>
        <w:autoSpaceDN w:val="0"/>
        <w:adjustRightInd w:val="0"/>
        <w:spacing w:line="360" w:lineRule="atLeast"/>
        <w:jc w:val="center"/>
        <w:rPr>
          <w:b/>
          <w:color w:val="auto"/>
          <w:kern w:val="0"/>
          <w:sz w:val="18"/>
          <w:szCs w:val="18"/>
        </w:rPr>
      </w:pPr>
      <w:r>
        <w:rPr>
          <w:b/>
          <w:color w:val="auto"/>
          <w:kern w:val="0"/>
          <w:sz w:val="18"/>
          <w:szCs w:val="18"/>
        </w:rPr>
        <w:t>图</w:t>
      </w:r>
      <w:r>
        <w:rPr>
          <w:b/>
          <w:color w:val="auto"/>
          <w:sz w:val="18"/>
          <w:szCs w:val="18"/>
        </w:rPr>
        <w:t>32</w:t>
      </w:r>
      <w:r>
        <w:rPr>
          <w:b/>
          <w:color w:val="auto"/>
          <w:kern w:val="0"/>
          <w:sz w:val="18"/>
          <w:szCs w:val="18"/>
        </w:rPr>
        <w:t xml:space="preserve">  高层建筑与裙房间的后浇带处理</w:t>
      </w:r>
    </w:p>
    <w:p w14:paraId="0CA75956">
      <w:pPr>
        <w:adjustRightInd w:val="0"/>
        <w:snapToGrid w:val="0"/>
        <w:spacing w:before="240" w:line="360" w:lineRule="atLeast"/>
        <w:ind w:firstLine="422" w:firstLineChars="200"/>
        <w:rPr>
          <w:color w:val="auto"/>
          <w:szCs w:val="21"/>
        </w:rPr>
      </w:pPr>
      <w:r>
        <w:rPr>
          <w:rFonts w:eastAsia="黑体"/>
          <w:b/>
          <w:color w:val="auto"/>
          <w:szCs w:val="21"/>
        </w:rPr>
        <w:t>c)</w:t>
      </w:r>
      <w:r>
        <w:rPr>
          <w:color w:val="auto"/>
          <w:szCs w:val="21"/>
        </w:rPr>
        <w:t xml:space="preserve">  当高层建筑与相连的裙房之间不允许设置沉降缝和后浇带时，应进行地基变形验算，验算时需考虑地基与结构变形的相互影响并采取相应的有效措施。</w:t>
      </w:r>
    </w:p>
    <w:p w14:paraId="41FC084B">
      <w:pPr>
        <w:adjustRightInd w:val="0"/>
        <w:snapToGrid w:val="0"/>
        <w:spacing w:line="340" w:lineRule="atLeast"/>
        <w:ind w:firstLine="420"/>
        <w:rPr>
          <w:color w:val="auto"/>
        </w:rPr>
      </w:pPr>
      <w:r>
        <w:rPr>
          <w:color w:val="auto"/>
        </w:rPr>
        <w:t>当高层建筑与相连的裙房之间不设沉降缝和后浇带时，高层建筑及与其紧邻一跨裙房的筏板应采用相同厚度，裙房筏板的厚度宜从第二跨裙房开始逐渐变化，应同时满足主、裙楼基础整体性和基础板的变形要求；应进行地基变形和基础内力的验算，验算时应分析地基与结构间变形的相互影响，并采取有效措施防止产生有不利影响的差异沉降。</w:t>
      </w:r>
    </w:p>
    <w:p w14:paraId="1CE30B9B">
      <w:pPr>
        <w:autoSpaceDE w:val="0"/>
        <w:autoSpaceDN w:val="0"/>
        <w:adjustRightInd w:val="0"/>
        <w:spacing w:line="360" w:lineRule="atLeast"/>
        <w:jc w:val="left"/>
        <w:rPr>
          <w:color w:val="auto"/>
          <w:kern w:val="0"/>
          <w:szCs w:val="21"/>
        </w:rPr>
      </w:pPr>
      <w:r>
        <w:rPr>
          <w:rFonts w:eastAsia="黑体"/>
          <w:b/>
          <w:bCs/>
          <w:color w:val="auto"/>
          <w:spacing w:val="5"/>
          <w:kern w:val="0"/>
          <w:szCs w:val="21"/>
        </w:rPr>
        <w:t>13.3.18</w:t>
      </w:r>
      <w:r>
        <w:rPr>
          <w:b/>
          <w:color w:val="auto"/>
          <w:spacing w:val="5"/>
          <w:kern w:val="0"/>
          <w:szCs w:val="21"/>
        </w:rPr>
        <w:t xml:space="preserve"> </w:t>
      </w:r>
      <w:r>
        <w:rPr>
          <w:rFonts w:hint="eastAsia"/>
          <w:b/>
          <w:color w:val="auto"/>
          <w:spacing w:val="5"/>
          <w:kern w:val="0"/>
          <w:szCs w:val="21"/>
        </w:rPr>
        <w:t xml:space="preserve"> </w:t>
      </w:r>
      <w:r>
        <w:rPr>
          <w:color w:val="auto"/>
          <w:kern w:val="0"/>
          <w:szCs w:val="21"/>
        </w:rPr>
        <w:t>在同一大面积整体筏形基础上建有多幢高层和低层建筑时，筏板厚度和配筋宜按上部结构、基础与地基土的共同作用的基础变形和基底反力计算确定。</w:t>
      </w:r>
    </w:p>
    <w:p w14:paraId="45C8D451">
      <w:pPr>
        <w:autoSpaceDE w:val="0"/>
        <w:autoSpaceDN w:val="0"/>
        <w:adjustRightInd w:val="0"/>
        <w:spacing w:line="360" w:lineRule="atLeast"/>
        <w:jc w:val="left"/>
        <w:rPr>
          <w:color w:val="auto"/>
          <w:kern w:val="0"/>
          <w:szCs w:val="21"/>
        </w:rPr>
      </w:pPr>
      <w:r>
        <w:rPr>
          <w:rFonts w:eastAsia="黑体"/>
          <w:b/>
          <w:bCs/>
          <w:color w:val="auto"/>
          <w:spacing w:val="5"/>
          <w:kern w:val="0"/>
          <w:szCs w:val="21"/>
        </w:rPr>
        <w:t>13.3.19</w:t>
      </w:r>
      <w:r>
        <w:rPr>
          <w:rFonts w:hint="eastAsia" w:eastAsia="黑体"/>
          <w:b/>
          <w:bCs/>
          <w:color w:val="auto"/>
          <w:spacing w:val="5"/>
          <w:kern w:val="0"/>
          <w:szCs w:val="21"/>
        </w:rPr>
        <w:t xml:space="preserve">  </w:t>
      </w:r>
      <w:r>
        <w:rPr>
          <w:color w:val="auto"/>
          <w:kern w:val="0"/>
          <w:szCs w:val="21"/>
        </w:rPr>
        <w:t>带裙房的高层建筑下的大面积整体筏形基础，其主楼下筏板的整体挠度值不宜大于</w:t>
      </w:r>
      <w:r>
        <w:rPr>
          <w:color w:val="auto"/>
          <w:szCs w:val="21"/>
        </w:rPr>
        <w:t>0.5‰</w:t>
      </w:r>
      <w:r>
        <w:rPr>
          <w:color w:val="auto"/>
          <w:kern w:val="0"/>
          <w:szCs w:val="21"/>
        </w:rPr>
        <w:t>，主楼与相邻的裙房柱的差异沉降不应大于</w:t>
      </w:r>
      <w:r>
        <w:rPr>
          <w:color w:val="auto"/>
          <w:szCs w:val="21"/>
        </w:rPr>
        <w:t>1‰</w:t>
      </w:r>
      <w:r>
        <w:rPr>
          <w:color w:val="auto"/>
          <w:kern w:val="0"/>
          <w:szCs w:val="21"/>
        </w:rPr>
        <w:t>。</w:t>
      </w:r>
    </w:p>
    <w:p w14:paraId="4B2BFEF3">
      <w:pPr>
        <w:adjustRightInd w:val="0"/>
        <w:snapToGrid w:val="0"/>
        <w:spacing w:line="340" w:lineRule="exact"/>
        <w:rPr>
          <w:color w:val="auto"/>
          <w:szCs w:val="21"/>
        </w:rPr>
      </w:pPr>
      <w:r>
        <w:rPr>
          <w:rFonts w:eastAsia="黑体"/>
          <w:b/>
          <w:color w:val="auto"/>
          <w:szCs w:val="21"/>
        </w:rPr>
        <w:t>13.3.20</w:t>
      </w:r>
      <w:r>
        <w:rPr>
          <w:color w:val="auto"/>
          <w:szCs w:val="21"/>
        </w:rPr>
        <w:t xml:space="preserve">  当桩筏基础下桩的数量较少时，桩宜布置在墙下、梁板式筏形基础的梁下或平板式筏形基础的柱下。基础底板的厚度应满足整体刚度及防水要求。当桩布置在墙下或基础梁下时，基础板的厚度不得小于400mm，且不宜小于板跨的1/20。筏板的构造尚应满足本文件第13.3.4条的有关要求。</w:t>
      </w:r>
    </w:p>
    <w:p w14:paraId="42AFCB3F">
      <w:pPr>
        <w:adjustRightInd w:val="0"/>
        <w:snapToGrid w:val="0"/>
        <w:spacing w:line="340" w:lineRule="exact"/>
        <w:rPr>
          <w:color w:val="auto"/>
          <w:szCs w:val="21"/>
        </w:rPr>
      </w:pPr>
      <w:r>
        <w:rPr>
          <w:rFonts w:eastAsia="黑体"/>
          <w:b/>
          <w:color w:val="auto"/>
          <w:szCs w:val="21"/>
        </w:rPr>
        <w:t>13.3.21</w:t>
      </w:r>
      <w:r>
        <w:rPr>
          <w:color w:val="auto"/>
          <w:szCs w:val="21"/>
        </w:rPr>
        <w:t xml:space="preserve">  桩筏基础筏板混凝土强度等级不应低于C30。</w:t>
      </w:r>
    </w:p>
    <w:p w14:paraId="25F24C64">
      <w:pPr>
        <w:adjustRightInd w:val="0"/>
        <w:snapToGrid w:val="0"/>
        <w:spacing w:line="340" w:lineRule="exact"/>
        <w:rPr>
          <w:color w:val="auto"/>
          <w:szCs w:val="21"/>
        </w:rPr>
      </w:pPr>
      <w:r>
        <w:rPr>
          <w:rFonts w:eastAsia="黑体"/>
          <w:b/>
          <w:color w:val="auto"/>
          <w:szCs w:val="21"/>
        </w:rPr>
        <w:t>13.3.22</w:t>
      </w:r>
      <w:r>
        <w:rPr>
          <w:color w:val="auto"/>
          <w:szCs w:val="21"/>
        </w:rPr>
        <w:t xml:space="preserve">  当筏形基础下需要满堂布桩时，基础板的厚度应满足受冲切承载力的要求。基础板沿桩顶、柱边、剪力墙边或筒体周边的受冲切承载力可按现行国家规范计算。</w:t>
      </w:r>
    </w:p>
    <w:p w14:paraId="56986A79">
      <w:pPr>
        <w:adjustRightInd w:val="0"/>
        <w:snapToGrid w:val="0"/>
        <w:spacing w:line="340" w:lineRule="exact"/>
        <w:rPr>
          <w:color w:val="auto"/>
          <w:szCs w:val="21"/>
        </w:rPr>
      </w:pPr>
      <w:r>
        <w:rPr>
          <w:rFonts w:eastAsia="黑体"/>
          <w:b/>
          <w:color w:val="auto"/>
          <w:szCs w:val="21"/>
        </w:rPr>
        <w:t>13.3.23</w:t>
      </w:r>
      <w:r>
        <w:rPr>
          <w:color w:val="auto"/>
          <w:szCs w:val="21"/>
        </w:rPr>
        <w:t xml:space="preserve">  基础板的弯矩可按下列方法计算：</w:t>
      </w:r>
    </w:p>
    <w:p w14:paraId="65B5B30E">
      <w:pPr>
        <w:adjustRightInd w:val="0"/>
        <w:snapToGrid w:val="0"/>
        <w:spacing w:line="340" w:lineRule="exact"/>
        <w:rPr>
          <w:color w:val="auto"/>
          <w:szCs w:val="21"/>
        </w:rPr>
      </w:pPr>
      <w:r>
        <w:rPr>
          <w:color w:val="auto"/>
          <w:szCs w:val="21"/>
        </w:rPr>
        <w:t xml:space="preserve">    </w:t>
      </w:r>
      <w:r>
        <w:rPr>
          <w:rFonts w:eastAsia="黑体"/>
          <w:b/>
          <w:color w:val="auto"/>
          <w:szCs w:val="21"/>
        </w:rPr>
        <w:t>a)</w:t>
      </w:r>
      <w:r>
        <w:rPr>
          <w:color w:val="auto"/>
          <w:szCs w:val="21"/>
        </w:rPr>
        <w:t xml:space="preserve">  当地基比较均匀、上部结构刚度较好，按倒楼盖法进行计算。先将基础板上的竖向荷载设计值按静力等效原则移至基础底面桩群承载力重心处。弯矩引起的桩顶不均匀反力按直线变化原则计算，并以柱或墙为支座采用倒楼盖法计算板的弯矩。当支座反力与实际柱或墙的作用的相差较大时，应重新调整桩位再次计算桩顶反力；</w:t>
      </w:r>
    </w:p>
    <w:p w14:paraId="0F897AA7">
      <w:pPr>
        <w:adjustRightInd w:val="0"/>
        <w:snapToGrid w:val="0"/>
        <w:spacing w:line="340" w:lineRule="exact"/>
        <w:rPr>
          <w:color w:val="auto"/>
          <w:szCs w:val="21"/>
        </w:rPr>
      </w:pPr>
      <w:r>
        <w:rPr>
          <w:color w:val="auto"/>
          <w:szCs w:val="21"/>
        </w:rPr>
        <w:t xml:space="preserve">    </w:t>
      </w:r>
      <w:r>
        <w:rPr>
          <w:rFonts w:eastAsia="黑体"/>
          <w:b/>
          <w:color w:val="auto"/>
          <w:szCs w:val="21"/>
        </w:rPr>
        <w:t>b)</w:t>
      </w:r>
      <w:r>
        <w:rPr>
          <w:color w:val="auto"/>
          <w:szCs w:val="21"/>
        </w:rPr>
        <w:t xml:space="preserve">  可将单桩简化为一个弹簧，按支承于弹簧上的弹性平板计算板中的弯矩。桩的弹簧系数可由单桩载荷试验确定。</w:t>
      </w:r>
    </w:p>
    <w:p w14:paraId="710E2C7A">
      <w:pPr>
        <w:adjustRightInd w:val="0"/>
        <w:snapToGrid w:val="0"/>
        <w:spacing w:line="340" w:lineRule="exact"/>
        <w:rPr>
          <w:color w:val="auto"/>
          <w:szCs w:val="21"/>
        </w:rPr>
      </w:pPr>
      <w:r>
        <w:rPr>
          <w:rFonts w:eastAsia="黑体"/>
          <w:b/>
          <w:color w:val="auto"/>
          <w:szCs w:val="21"/>
        </w:rPr>
        <w:t>13.3.24</w:t>
      </w:r>
      <w:r>
        <w:rPr>
          <w:b/>
          <w:bCs/>
          <w:color w:val="auto"/>
          <w:szCs w:val="21"/>
        </w:rPr>
        <w:t xml:space="preserve"> </w:t>
      </w:r>
      <w:r>
        <w:rPr>
          <w:color w:val="auto"/>
          <w:szCs w:val="21"/>
        </w:rPr>
        <w:t xml:space="preserve"> 当需要考虑桩与筏板共同分担荷载时，筏板应按桩土共同作用进行计算。</w:t>
      </w:r>
    </w:p>
    <w:p w14:paraId="1B5475C3">
      <w:pPr>
        <w:pStyle w:val="18"/>
        <w:spacing w:line="360" w:lineRule="atLeast"/>
        <w:rPr>
          <w:rFonts w:ascii="Times New Roman" w:hAnsi="Times New Roman"/>
          <w:color w:val="auto"/>
        </w:rPr>
      </w:pPr>
      <w:r>
        <w:rPr>
          <w:rFonts w:ascii="Times New Roman" w:hAnsi="Times New Roman" w:eastAsia="黑体"/>
          <w:b/>
          <w:bCs/>
          <w:color w:val="auto"/>
          <w:spacing w:val="5"/>
          <w:kern w:val="0"/>
        </w:rPr>
        <w:t xml:space="preserve">13.3.25 </w:t>
      </w:r>
      <w:r>
        <w:rPr>
          <w:rFonts w:ascii="Times New Roman" w:hAnsi="Times New Roman" w:eastAsia="黑体"/>
          <w:b/>
          <w:bCs/>
          <w:color w:val="auto"/>
          <w:kern w:val="0"/>
        </w:rPr>
        <w:t xml:space="preserve"> </w:t>
      </w:r>
      <w:r>
        <w:rPr>
          <w:rFonts w:ascii="Times New Roman" w:hAnsi="Times New Roman"/>
          <w:color w:val="auto"/>
        </w:rPr>
        <w:t>筏形基础地下室施工完毕后，应及时进行基坑回填工作。</w:t>
      </w:r>
      <w:r>
        <w:rPr>
          <w:rFonts w:ascii="Times New Roman" w:hAnsi="Times New Roman"/>
          <w:color w:val="auto"/>
          <w:kern w:val="0"/>
        </w:rPr>
        <w:t>填土应按设计要求选料，回填时</w:t>
      </w:r>
      <w:r>
        <w:rPr>
          <w:rFonts w:ascii="Times New Roman" w:hAnsi="Times New Roman"/>
          <w:color w:val="auto"/>
        </w:rPr>
        <w:t>应先清除基坑中的杂物，在相对的两侧或四周同时回填并分层夯实</w:t>
      </w:r>
      <w:r>
        <w:rPr>
          <w:rFonts w:ascii="Times New Roman" w:hAnsi="Times New Roman"/>
          <w:color w:val="auto"/>
          <w:kern w:val="0"/>
        </w:rPr>
        <w:t>，回填土的压实系数不应小于0.94</w:t>
      </w:r>
      <w:r>
        <w:rPr>
          <w:rFonts w:ascii="Times New Roman" w:hAnsi="Times New Roman"/>
          <w:color w:val="auto"/>
        </w:rPr>
        <w:t>。</w:t>
      </w:r>
    </w:p>
    <w:p w14:paraId="7899F2AF">
      <w:pPr>
        <w:pStyle w:val="18"/>
        <w:spacing w:line="360" w:lineRule="atLeast"/>
        <w:rPr>
          <w:rFonts w:ascii="Times New Roman" w:hAnsi="Times New Roman"/>
          <w:color w:val="auto"/>
        </w:rPr>
      </w:pPr>
    </w:p>
    <w:p w14:paraId="3C4F8DC7">
      <w:pPr>
        <w:adjustRightInd w:val="0"/>
        <w:snapToGrid w:val="0"/>
        <w:spacing w:line="340" w:lineRule="exact"/>
        <w:outlineLvl w:val="1"/>
        <w:rPr>
          <w:rFonts w:eastAsia="黑体"/>
          <w:b/>
          <w:bCs/>
          <w:color w:val="auto"/>
          <w:szCs w:val="21"/>
        </w:rPr>
      </w:pPr>
      <w:bookmarkStart w:id="74" w:name="_Toc199943617"/>
      <w:r>
        <w:rPr>
          <w:rFonts w:eastAsia="黑体"/>
          <w:b/>
          <w:bCs/>
          <w:color w:val="auto"/>
          <w:szCs w:val="21"/>
        </w:rPr>
        <w:t>13.4  地下室设计</w:t>
      </w:r>
      <w:bookmarkEnd w:id="74"/>
    </w:p>
    <w:p w14:paraId="06BB1543">
      <w:pPr>
        <w:adjustRightInd w:val="0"/>
        <w:snapToGrid w:val="0"/>
        <w:spacing w:line="340" w:lineRule="exact"/>
        <w:jc w:val="center"/>
        <w:rPr>
          <w:rFonts w:eastAsia="黑体"/>
          <w:b/>
          <w:color w:val="auto"/>
          <w:szCs w:val="21"/>
        </w:rPr>
      </w:pPr>
    </w:p>
    <w:p w14:paraId="64C81122">
      <w:pPr>
        <w:adjustRightInd w:val="0"/>
        <w:snapToGrid w:val="0"/>
        <w:spacing w:line="360" w:lineRule="atLeast"/>
        <w:rPr>
          <w:color w:val="auto"/>
          <w:szCs w:val="21"/>
          <w:lang w:val="en-GB"/>
        </w:rPr>
      </w:pPr>
      <w:r>
        <w:rPr>
          <w:rFonts w:eastAsia="黑体"/>
          <w:b/>
          <w:color w:val="auto"/>
          <w:szCs w:val="21"/>
        </w:rPr>
        <w:t>13.4.1</w:t>
      </w:r>
      <w:r>
        <w:rPr>
          <w:color w:val="auto"/>
          <w:szCs w:val="21"/>
          <w:lang w:val="en-GB"/>
        </w:rPr>
        <w:t xml:space="preserve"> </w:t>
      </w:r>
      <w:r>
        <w:rPr>
          <w:rFonts w:hint="eastAsia"/>
          <w:color w:val="auto"/>
          <w:szCs w:val="21"/>
          <w:lang w:val="en-GB"/>
        </w:rPr>
        <w:t xml:space="preserve"> </w:t>
      </w:r>
      <w:r>
        <w:rPr>
          <w:color w:val="auto"/>
          <w:szCs w:val="21"/>
          <w:lang w:val="en-GB"/>
        </w:rPr>
        <w:t>地下室不宜设置变形缝，当地下室长度超过伸缩缝最大间距时，应采取相应措施，防止出现裂缝。可采取的减少混凝土裂缝开展的措施：每隔</w:t>
      </w:r>
      <w:r>
        <w:rPr>
          <w:color w:val="auto"/>
          <w:szCs w:val="21"/>
        </w:rPr>
        <w:t>30~40m</w:t>
      </w:r>
      <w:r>
        <w:rPr>
          <w:color w:val="auto"/>
          <w:szCs w:val="21"/>
          <w:lang w:val="en-GB"/>
        </w:rPr>
        <w:t>设置贯通顶板、底部及墙板的施工后浇带，后浇带可设置在柱距三等分的中间范围内以及剪力墙附近，其方向宜与梁正交，沿竖向应设置在同跨内。底板及外墙的后浇带宜增设附加防水层；后浇带封闭时间宜滞后</w:t>
      </w:r>
      <w:r>
        <w:rPr>
          <w:color w:val="auto"/>
          <w:szCs w:val="21"/>
        </w:rPr>
        <w:t>45</w:t>
      </w:r>
      <w:r>
        <w:rPr>
          <w:color w:val="auto"/>
          <w:szCs w:val="21"/>
          <w:lang w:val="en-GB"/>
        </w:rPr>
        <w:t>天以上，其混凝土强度等级宜提高一级，并宜采用无收缩混凝土，低温入模。后浇带带宽</w:t>
      </w:r>
      <w:r>
        <w:rPr>
          <w:color w:val="auto"/>
          <w:szCs w:val="21"/>
        </w:rPr>
        <w:t>不宜小于800mm</w:t>
      </w:r>
      <w:r>
        <w:rPr>
          <w:color w:val="auto"/>
          <w:szCs w:val="21"/>
          <w:lang w:val="en-GB"/>
        </w:rPr>
        <w:t>，后浇带中加强钢筋宜根据实际情况设置。后浇带构造可按图</w:t>
      </w:r>
      <w:r>
        <w:rPr>
          <w:color w:val="auto"/>
          <w:szCs w:val="21"/>
        </w:rPr>
        <w:t>33及图34</w:t>
      </w:r>
      <w:r>
        <w:rPr>
          <w:color w:val="auto"/>
          <w:szCs w:val="21"/>
          <w:lang w:val="en-GB"/>
        </w:rPr>
        <w:t>设置:</w:t>
      </w:r>
    </w:p>
    <w:p w14:paraId="39FC7EE6">
      <w:pPr>
        <w:adjustRightInd w:val="0"/>
        <w:snapToGrid w:val="0"/>
        <w:spacing w:before="156" w:beforeLines="50" w:line="360" w:lineRule="atLeast"/>
        <w:jc w:val="center"/>
        <w:rPr>
          <w:color w:val="auto"/>
          <w:szCs w:val="21"/>
          <w:lang w:val="en-GB"/>
        </w:rPr>
      </w:pPr>
      <w:r>
        <w:rPr>
          <w:color w:val="auto"/>
        </w:rPr>
        <w:drawing>
          <wp:inline distT="0" distB="0" distL="0" distR="0">
            <wp:extent cx="1924050" cy="752475"/>
            <wp:effectExtent l="0" t="0" r="0" b="952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a:xfrm>
                      <a:off x="0" y="0"/>
                      <a:ext cx="1924050" cy="752475"/>
                    </a:xfrm>
                    <a:prstGeom prst="rect">
                      <a:avLst/>
                    </a:prstGeom>
                    <a:noFill/>
                    <a:ln>
                      <a:noFill/>
                    </a:ln>
                  </pic:spPr>
                </pic:pic>
              </a:graphicData>
            </a:graphic>
          </wp:inline>
        </w:drawing>
      </w:r>
    </w:p>
    <w:p w14:paraId="668D415A">
      <w:pPr>
        <w:adjustRightInd w:val="0"/>
        <w:snapToGrid w:val="0"/>
        <w:spacing w:line="360" w:lineRule="atLeast"/>
        <w:jc w:val="center"/>
        <w:rPr>
          <w:b/>
          <w:color w:val="auto"/>
          <w:sz w:val="18"/>
          <w:szCs w:val="18"/>
          <w:lang w:val="en-GB"/>
        </w:rPr>
      </w:pPr>
      <w:r>
        <w:rPr>
          <w:b/>
          <w:color w:val="auto"/>
          <w:sz w:val="18"/>
          <w:szCs w:val="18"/>
          <w:lang w:val="en-GB"/>
        </w:rPr>
        <w:t>图33  后浇带构造一</w:t>
      </w:r>
    </w:p>
    <w:p w14:paraId="7095D388">
      <w:pPr>
        <w:adjustRightInd w:val="0"/>
        <w:snapToGrid w:val="0"/>
        <w:spacing w:line="280" w:lineRule="atLeast"/>
        <w:ind w:firstLine="11"/>
        <w:jc w:val="center"/>
        <w:rPr>
          <w:color w:val="auto"/>
          <w:sz w:val="18"/>
          <w:szCs w:val="18"/>
          <w:lang w:val="en-GB"/>
        </w:rPr>
      </w:pPr>
      <w:r>
        <w:rPr>
          <w:color w:val="auto"/>
          <w:sz w:val="18"/>
          <w:szCs w:val="18"/>
          <w:lang w:val="en-GB"/>
        </w:rPr>
        <w:t>注：本图用于地下水位较低时的地下室底板</w:t>
      </w:r>
    </w:p>
    <w:p w14:paraId="38CB7727">
      <w:pPr>
        <w:adjustRightInd w:val="0"/>
        <w:snapToGrid w:val="0"/>
        <w:spacing w:line="280" w:lineRule="atLeast"/>
        <w:ind w:firstLine="11"/>
        <w:jc w:val="center"/>
        <w:rPr>
          <w:color w:val="auto"/>
          <w:sz w:val="18"/>
          <w:szCs w:val="18"/>
          <w:lang w:val="en-GB"/>
        </w:rPr>
      </w:pPr>
      <w:r>
        <w:rPr>
          <w:color w:val="auto"/>
          <w:sz w:val="18"/>
          <w:szCs w:val="18"/>
          <w:lang w:val="en-GB"/>
        </w:rPr>
        <w:t>1  后浇带加强钢筋    2  结构主筋</w:t>
      </w:r>
    </w:p>
    <w:p w14:paraId="5CD582B0">
      <w:pPr>
        <w:adjustRightInd w:val="0"/>
        <w:snapToGrid w:val="0"/>
        <w:rPr>
          <w:color w:val="auto"/>
          <w:sz w:val="18"/>
          <w:szCs w:val="18"/>
          <w:lang w:val="en-GB"/>
        </w:rPr>
      </w:pPr>
    </w:p>
    <w:p w14:paraId="14B7FF5F">
      <w:pPr>
        <w:adjustRightInd w:val="0"/>
        <w:snapToGrid w:val="0"/>
        <w:spacing w:before="240" w:line="360" w:lineRule="atLeast"/>
        <w:jc w:val="center"/>
        <w:rPr>
          <w:color w:val="auto"/>
          <w:szCs w:val="21"/>
          <w:lang w:val="en-GB"/>
        </w:rPr>
      </w:pPr>
      <w:r>
        <w:rPr>
          <w:color w:val="auto"/>
        </w:rPr>
        <w:drawing>
          <wp:inline distT="0" distB="0" distL="0" distR="0">
            <wp:extent cx="2181225" cy="1276350"/>
            <wp:effectExtent l="0" t="0" r="9525"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a:xfrm>
                      <a:off x="0" y="0"/>
                      <a:ext cx="2181225" cy="1276350"/>
                    </a:xfrm>
                    <a:prstGeom prst="rect">
                      <a:avLst/>
                    </a:prstGeom>
                    <a:noFill/>
                    <a:ln>
                      <a:noFill/>
                    </a:ln>
                  </pic:spPr>
                </pic:pic>
              </a:graphicData>
            </a:graphic>
          </wp:inline>
        </w:drawing>
      </w:r>
    </w:p>
    <w:p w14:paraId="525986F3">
      <w:pPr>
        <w:adjustRightInd w:val="0"/>
        <w:snapToGrid w:val="0"/>
        <w:spacing w:line="360" w:lineRule="atLeast"/>
        <w:jc w:val="center"/>
        <w:rPr>
          <w:b/>
          <w:color w:val="auto"/>
          <w:sz w:val="18"/>
          <w:szCs w:val="18"/>
          <w:lang w:val="en-GB"/>
        </w:rPr>
      </w:pPr>
      <w:r>
        <w:rPr>
          <w:b/>
          <w:color w:val="auto"/>
          <w:sz w:val="18"/>
          <w:szCs w:val="18"/>
          <w:lang w:val="en-GB"/>
        </w:rPr>
        <w:t>图34  后浇带构造二</w:t>
      </w:r>
    </w:p>
    <w:p w14:paraId="167B3169">
      <w:pPr>
        <w:adjustRightInd w:val="0"/>
        <w:snapToGrid w:val="0"/>
        <w:spacing w:line="280" w:lineRule="atLeast"/>
        <w:jc w:val="center"/>
        <w:rPr>
          <w:color w:val="auto"/>
          <w:sz w:val="18"/>
          <w:szCs w:val="18"/>
          <w:lang w:val="en-GB"/>
        </w:rPr>
      </w:pPr>
      <w:r>
        <w:rPr>
          <w:color w:val="auto"/>
          <w:sz w:val="18"/>
          <w:szCs w:val="18"/>
          <w:lang w:val="en-GB"/>
        </w:rPr>
        <w:t>注：本图用于地下水位较高时的地下室底板</w:t>
      </w:r>
    </w:p>
    <w:p w14:paraId="7492667E">
      <w:pPr>
        <w:adjustRightInd w:val="0"/>
        <w:snapToGrid w:val="0"/>
        <w:spacing w:line="280" w:lineRule="atLeast"/>
        <w:jc w:val="center"/>
        <w:rPr>
          <w:color w:val="auto"/>
          <w:sz w:val="18"/>
          <w:szCs w:val="18"/>
          <w:lang w:val="en-GB"/>
        </w:rPr>
      </w:pPr>
      <w:r>
        <w:rPr>
          <w:color w:val="auto"/>
          <w:sz w:val="18"/>
          <w:szCs w:val="18"/>
          <w:lang w:val="en-GB"/>
        </w:rPr>
        <w:t>1  后浇带加强钢筋；2  结构主筋；3  外贴式止水带；4  填缝材料；5  卷材防水层</w:t>
      </w:r>
    </w:p>
    <w:p w14:paraId="7DEC2BD6">
      <w:pPr>
        <w:adjustRightInd w:val="0"/>
        <w:snapToGrid w:val="0"/>
        <w:jc w:val="center"/>
        <w:rPr>
          <w:color w:val="auto"/>
          <w:sz w:val="18"/>
          <w:szCs w:val="18"/>
          <w:lang w:val="en-GB"/>
        </w:rPr>
      </w:pPr>
    </w:p>
    <w:p w14:paraId="194F2977">
      <w:pPr>
        <w:adjustRightInd w:val="0"/>
        <w:snapToGrid w:val="0"/>
        <w:spacing w:line="360" w:lineRule="atLeast"/>
        <w:ind w:firstLine="420"/>
        <w:rPr>
          <w:color w:val="auto"/>
          <w:szCs w:val="21"/>
          <w:lang w:val="en-GB"/>
        </w:rPr>
      </w:pPr>
      <w:r>
        <w:rPr>
          <w:color w:val="auto"/>
          <w:szCs w:val="21"/>
          <w:lang w:val="en-GB"/>
        </w:rPr>
        <w:t>当地下室不设变形缝时，除设置后浇带外，尚应采取措施减少温度应力影响。</w:t>
      </w:r>
    </w:p>
    <w:p w14:paraId="640AEE42">
      <w:pPr>
        <w:adjustRightInd w:val="0"/>
        <w:snapToGrid w:val="0"/>
        <w:spacing w:line="360" w:lineRule="atLeast"/>
        <w:ind w:firstLine="420"/>
        <w:rPr>
          <w:color w:val="auto"/>
          <w:szCs w:val="21"/>
          <w:lang w:val="en-GB"/>
        </w:rPr>
      </w:pPr>
      <w:r>
        <w:rPr>
          <w:color w:val="auto"/>
          <w:szCs w:val="21"/>
          <w:lang w:val="en-GB"/>
        </w:rPr>
        <w:t>有经验时可采用跳仓施工，减少后浇带数量。</w:t>
      </w:r>
    </w:p>
    <w:p w14:paraId="45F5DD3C">
      <w:pPr>
        <w:adjustRightInd w:val="0"/>
        <w:snapToGrid w:val="0"/>
        <w:spacing w:line="360" w:lineRule="atLeast"/>
        <w:rPr>
          <w:color w:val="auto"/>
          <w:szCs w:val="21"/>
          <w:lang w:val="en-GB"/>
        </w:rPr>
      </w:pPr>
      <w:r>
        <w:rPr>
          <w:rFonts w:eastAsia="黑体"/>
          <w:b/>
          <w:color w:val="auto"/>
          <w:szCs w:val="21"/>
        </w:rPr>
        <w:t>13.4.2</w:t>
      </w:r>
      <w:r>
        <w:rPr>
          <w:color w:val="auto"/>
          <w:szCs w:val="21"/>
          <w:lang w:val="en-GB"/>
        </w:rPr>
        <w:t xml:space="preserve"> </w:t>
      </w:r>
      <w:r>
        <w:rPr>
          <w:rFonts w:hint="eastAsia"/>
          <w:color w:val="auto"/>
          <w:szCs w:val="21"/>
          <w:lang w:val="en-GB"/>
        </w:rPr>
        <w:t xml:space="preserve"> </w:t>
      </w:r>
      <w:r>
        <w:rPr>
          <w:color w:val="auto"/>
          <w:szCs w:val="21"/>
          <w:lang w:val="en-GB"/>
        </w:rPr>
        <w:t>高层建筑地下室顶板作为上部结构的嵌固部位时，应符合下列规定：</w:t>
      </w:r>
    </w:p>
    <w:p w14:paraId="51BD7863">
      <w:pPr>
        <w:adjustRightInd w:val="0"/>
        <w:snapToGrid w:val="0"/>
        <w:spacing w:line="360" w:lineRule="atLeast"/>
        <w:ind w:firstLine="420"/>
        <w:rPr>
          <w:color w:val="auto"/>
          <w:szCs w:val="21"/>
          <w:lang w:val="en-GB"/>
        </w:rPr>
      </w:pPr>
      <w:r>
        <w:rPr>
          <w:rFonts w:eastAsia="黑体"/>
          <w:b/>
          <w:color w:val="auto"/>
          <w:szCs w:val="21"/>
        </w:rPr>
        <w:t>a)</w:t>
      </w:r>
      <w:r>
        <w:rPr>
          <w:color w:val="auto"/>
          <w:szCs w:val="21"/>
          <w:lang w:val="en-GB"/>
        </w:rPr>
        <w:t xml:space="preserve"> </w:t>
      </w:r>
      <w:r>
        <w:rPr>
          <w:rFonts w:hint="eastAsia"/>
          <w:color w:val="auto"/>
          <w:szCs w:val="21"/>
          <w:lang w:val="en-GB"/>
        </w:rPr>
        <w:t xml:space="preserve"> </w:t>
      </w:r>
      <w:r>
        <w:rPr>
          <w:color w:val="auto"/>
          <w:szCs w:val="21"/>
          <w:lang w:val="en-GB"/>
        </w:rPr>
        <w:t>地下室顶板应避免开设大洞口。当开设较小洞口时，应采取相应的结构措施，满足水平力的传递要求，同时结构计算时，应考虑楼板开洞的影响，板的力学模型应能反应其实际受力状况。</w:t>
      </w:r>
    </w:p>
    <w:p w14:paraId="5048666E">
      <w:pPr>
        <w:adjustRightInd w:val="0"/>
        <w:snapToGrid w:val="0"/>
        <w:spacing w:line="360" w:lineRule="atLeast"/>
        <w:ind w:firstLine="420"/>
        <w:rPr>
          <w:color w:val="auto"/>
          <w:szCs w:val="21"/>
          <w:lang w:val="en-GB"/>
        </w:rPr>
      </w:pPr>
      <w:r>
        <w:rPr>
          <w:rFonts w:eastAsia="黑体"/>
          <w:b/>
          <w:color w:val="auto"/>
          <w:szCs w:val="21"/>
        </w:rPr>
        <w:t>b)</w:t>
      </w:r>
      <w:r>
        <w:rPr>
          <w:color w:val="auto"/>
          <w:szCs w:val="21"/>
          <w:lang w:val="en-GB"/>
        </w:rPr>
        <w:t xml:space="preserve"> </w:t>
      </w:r>
      <w:r>
        <w:rPr>
          <w:rFonts w:hint="eastAsia"/>
          <w:color w:val="auto"/>
          <w:szCs w:val="21"/>
          <w:lang w:val="en-GB"/>
        </w:rPr>
        <w:t xml:space="preserve"> </w:t>
      </w:r>
      <w:r>
        <w:rPr>
          <w:color w:val="auto"/>
          <w:szCs w:val="21"/>
          <w:lang w:val="en-GB"/>
        </w:rPr>
        <w:t>地下一层与首层的侧向刚度比不应小于1.5。</w:t>
      </w:r>
    </w:p>
    <w:p w14:paraId="56583A90">
      <w:pPr>
        <w:adjustRightInd w:val="0"/>
        <w:snapToGrid w:val="0"/>
        <w:spacing w:line="360" w:lineRule="atLeast"/>
        <w:ind w:firstLine="420"/>
        <w:rPr>
          <w:color w:val="auto"/>
          <w:szCs w:val="21"/>
          <w:lang w:val="en-GB"/>
        </w:rPr>
      </w:pPr>
      <w:r>
        <w:rPr>
          <w:rFonts w:eastAsia="黑体"/>
          <w:b/>
          <w:color w:val="auto"/>
          <w:szCs w:val="21"/>
        </w:rPr>
        <w:t>c)</w:t>
      </w:r>
      <w:r>
        <w:rPr>
          <w:color w:val="auto"/>
          <w:szCs w:val="21"/>
          <w:lang w:val="en-GB"/>
        </w:rPr>
        <w:t xml:space="preserve"> </w:t>
      </w:r>
      <w:r>
        <w:rPr>
          <w:rFonts w:hint="eastAsia"/>
          <w:color w:val="auto"/>
          <w:szCs w:val="21"/>
          <w:lang w:val="en-GB"/>
        </w:rPr>
        <w:t xml:space="preserve"> </w:t>
      </w:r>
      <w:r>
        <w:rPr>
          <w:color w:val="auto"/>
          <w:szCs w:val="21"/>
          <w:lang w:val="en-GB"/>
        </w:rPr>
        <w:t>地下一层柱每侧的纵向钢筋面积不小于同截面地上一层对应柱每侧纵向钢筋面积的</w:t>
      </w:r>
      <w:r>
        <w:rPr>
          <w:color w:val="auto"/>
          <w:szCs w:val="21"/>
        </w:rPr>
        <w:t>1.1</w:t>
      </w:r>
      <w:r>
        <w:rPr>
          <w:color w:val="auto"/>
          <w:szCs w:val="21"/>
          <w:lang w:val="en-GB"/>
        </w:rPr>
        <w:t>倍，且地下室顶板梁柱节点左右梁端截面与下柱上端同一方向实配的受弯承载力之和不小于地上一层对应柱下端实配的受弯承载力的</w:t>
      </w:r>
      <w:r>
        <w:rPr>
          <w:color w:val="auto"/>
          <w:szCs w:val="21"/>
        </w:rPr>
        <w:t>1.3</w:t>
      </w:r>
      <w:r>
        <w:rPr>
          <w:color w:val="auto"/>
          <w:szCs w:val="21"/>
          <w:lang w:val="en-GB"/>
        </w:rPr>
        <w:t>倍，地下一层梁端顶面和底面的纵向钢筋应比计算值增大10%。</w:t>
      </w:r>
    </w:p>
    <w:p w14:paraId="13161EAA">
      <w:pPr>
        <w:adjustRightInd w:val="0"/>
        <w:snapToGrid w:val="0"/>
        <w:spacing w:line="360" w:lineRule="atLeast"/>
        <w:ind w:firstLine="420"/>
        <w:rPr>
          <w:color w:val="auto"/>
          <w:szCs w:val="21"/>
          <w:lang w:val="en-GB"/>
        </w:rPr>
      </w:pPr>
      <w:r>
        <w:rPr>
          <w:rFonts w:eastAsia="黑体"/>
          <w:b/>
          <w:color w:val="auto"/>
          <w:szCs w:val="21"/>
        </w:rPr>
        <w:t>d)</w:t>
      </w:r>
      <w:r>
        <w:rPr>
          <w:color w:val="auto"/>
          <w:szCs w:val="21"/>
          <w:lang w:val="en-GB"/>
        </w:rPr>
        <w:t xml:space="preserve"> </w:t>
      </w:r>
      <w:r>
        <w:rPr>
          <w:rFonts w:hint="eastAsia"/>
          <w:color w:val="auto"/>
          <w:szCs w:val="21"/>
          <w:lang w:val="en-GB"/>
        </w:rPr>
        <w:t xml:space="preserve"> </w:t>
      </w:r>
      <w:r>
        <w:rPr>
          <w:color w:val="auto"/>
          <w:szCs w:val="21"/>
          <w:lang w:val="en-GB"/>
        </w:rPr>
        <w:t>地下一层结构顶板应采用梁板式楼盖，板厚不应小于180mm，混凝土强度等级不宜小于C30；楼面应采用双层双向配筋，且每层每个方向的配筋率不宜小于0.25%。</w:t>
      </w:r>
    </w:p>
    <w:p w14:paraId="3DE93410">
      <w:pPr>
        <w:adjustRightInd w:val="0"/>
        <w:snapToGrid w:val="0"/>
        <w:spacing w:line="360" w:lineRule="atLeast"/>
        <w:ind w:firstLine="420"/>
        <w:rPr>
          <w:color w:val="auto"/>
          <w:szCs w:val="21"/>
          <w:lang w:val="en-GB"/>
        </w:rPr>
      </w:pPr>
      <w:r>
        <w:rPr>
          <w:rFonts w:eastAsia="黑体"/>
          <w:b/>
          <w:color w:val="auto"/>
          <w:szCs w:val="21"/>
        </w:rPr>
        <w:t>e)</w:t>
      </w:r>
      <w:r>
        <w:rPr>
          <w:color w:val="auto"/>
          <w:szCs w:val="21"/>
          <w:lang w:val="en-GB"/>
        </w:rPr>
        <w:t xml:space="preserve"> </w:t>
      </w:r>
      <w:r>
        <w:rPr>
          <w:rFonts w:hint="eastAsia"/>
          <w:color w:val="auto"/>
          <w:szCs w:val="21"/>
          <w:lang w:val="en-GB"/>
        </w:rPr>
        <w:t xml:space="preserve"> </w:t>
      </w:r>
      <w:r>
        <w:rPr>
          <w:color w:val="auto"/>
          <w:szCs w:val="21"/>
          <w:lang w:val="en-GB"/>
        </w:rPr>
        <w:t>当地下室内、外墙与主体结构墙体之间的距离小于等于30m时，该范围的内、外墙可计入地下一层的结构侧向刚度，但此范围内的侧向刚度不能重叠使用于相邻建筑。</w:t>
      </w:r>
    </w:p>
    <w:p w14:paraId="6FA446E2">
      <w:pPr>
        <w:adjustRightInd w:val="0"/>
        <w:snapToGrid w:val="0"/>
        <w:spacing w:line="360" w:lineRule="atLeast"/>
        <w:ind w:firstLine="420"/>
        <w:rPr>
          <w:color w:val="auto"/>
          <w:szCs w:val="21"/>
          <w:lang w:val="en-GB"/>
        </w:rPr>
      </w:pPr>
      <w:r>
        <w:rPr>
          <w:rFonts w:eastAsia="黑体"/>
          <w:b/>
          <w:color w:val="auto"/>
          <w:szCs w:val="21"/>
        </w:rPr>
        <w:t>f)</w:t>
      </w:r>
      <w:r>
        <w:rPr>
          <w:color w:val="auto"/>
          <w:szCs w:val="21"/>
          <w:lang w:val="en-GB"/>
        </w:rPr>
        <w:t xml:space="preserve"> </w:t>
      </w:r>
      <w:r>
        <w:rPr>
          <w:rFonts w:hint="eastAsia"/>
          <w:color w:val="auto"/>
          <w:szCs w:val="21"/>
          <w:lang w:val="en-GB"/>
        </w:rPr>
        <w:t xml:space="preserve"> </w:t>
      </w:r>
      <w:r>
        <w:rPr>
          <w:color w:val="auto"/>
          <w:szCs w:val="21"/>
          <w:lang w:val="en-GB"/>
        </w:rPr>
        <w:t>地下室与上部对应的剪力墙肢端部边缘构件的纵向钢筋截面积不应小于地上一层对应的剪力墙肢边缘构件的纵向钢筋截面积。</w:t>
      </w:r>
    </w:p>
    <w:p w14:paraId="320F690E">
      <w:pPr>
        <w:adjustRightInd w:val="0"/>
        <w:snapToGrid w:val="0"/>
        <w:spacing w:line="360" w:lineRule="atLeast"/>
        <w:ind w:firstLine="420"/>
        <w:rPr>
          <w:color w:val="auto"/>
          <w:szCs w:val="21"/>
          <w:lang w:val="en-GB"/>
        </w:rPr>
      </w:pPr>
      <w:r>
        <w:rPr>
          <w:color w:val="auto"/>
          <w:szCs w:val="21"/>
          <w:lang w:val="en-GB"/>
        </w:rPr>
        <w:t>当不符合上述要求时，建筑物的嵌固部位可设在筏形基础的顶面，此时宜考虑基础侧向土和基底土对地下室的抗力。</w:t>
      </w:r>
    </w:p>
    <w:p w14:paraId="3C90F3B4">
      <w:pPr>
        <w:adjustRightInd w:val="0"/>
        <w:snapToGrid w:val="0"/>
        <w:spacing w:line="360" w:lineRule="atLeast"/>
        <w:rPr>
          <w:color w:val="auto"/>
          <w:szCs w:val="21"/>
          <w:lang w:val="en-GB"/>
        </w:rPr>
      </w:pPr>
      <w:r>
        <w:rPr>
          <w:rFonts w:eastAsia="黑体"/>
          <w:b/>
          <w:color w:val="auto"/>
          <w:szCs w:val="21"/>
        </w:rPr>
        <w:t>13.4.3</w:t>
      </w:r>
      <w:r>
        <w:rPr>
          <w:color w:val="auto"/>
          <w:szCs w:val="21"/>
          <w:lang w:val="en-GB"/>
        </w:rPr>
        <w:t xml:space="preserve"> </w:t>
      </w:r>
      <w:r>
        <w:rPr>
          <w:rFonts w:hint="eastAsia"/>
          <w:color w:val="auto"/>
          <w:szCs w:val="21"/>
          <w:lang w:val="en-GB"/>
        </w:rPr>
        <w:t xml:space="preserve"> </w:t>
      </w:r>
      <w:r>
        <w:rPr>
          <w:color w:val="auto"/>
          <w:szCs w:val="21"/>
          <w:lang w:val="en-GB"/>
        </w:rPr>
        <w:t>地下室外墙、底板的厚度应</w:t>
      </w:r>
      <w:r>
        <w:rPr>
          <w:rFonts w:hint="eastAsia"/>
          <w:color w:val="auto"/>
          <w:szCs w:val="21"/>
          <w:lang w:val="en-GB"/>
        </w:rPr>
        <w:t>经计算确定。地下室外墙厚度不应小于250mm，底板厚度不应小于300mm；</w:t>
      </w:r>
      <w:r>
        <w:rPr>
          <w:color w:val="auto"/>
          <w:szCs w:val="21"/>
          <w:lang w:val="en-GB"/>
        </w:rPr>
        <w:t>混凝土强度等级不应低于</w:t>
      </w:r>
      <w:r>
        <w:rPr>
          <w:color w:val="auto"/>
          <w:szCs w:val="21"/>
        </w:rPr>
        <w:t>C30</w:t>
      </w:r>
      <w:r>
        <w:rPr>
          <w:color w:val="auto"/>
          <w:szCs w:val="21"/>
          <w:lang w:val="en-GB"/>
        </w:rPr>
        <w:t>。</w:t>
      </w:r>
    </w:p>
    <w:p w14:paraId="5A529D41">
      <w:pPr>
        <w:adjustRightInd w:val="0"/>
        <w:snapToGrid w:val="0"/>
        <w:spacing w:line="360" w:lineRule="atLeast"/>
        <w:ind w:firstLine="420" w:firstLineChars="200"/>
        <w:rPr>
          <w:color w:val="auto"/>
          <w:szCs w:val="21"/>
          <w:lang w:val="en-GB"/>
        </w:rPr>
      </w:pPr>
      <w:r>
        <w:rPr>
          <w:color w:val="auto"/>
          <w:szCs w:val="21"/>
          <w:lang w:val="en-GB"/>
        </w:rPr>
        <w:t>当地下室有防水要求时，地下室外墙和底板应按防水混凝土设计。防水混凝土应符合</w:t>
      </w:r>
      <w:r>
        <w:rPr>
          <w:color w:val="auto"/>
          <w:szCs w:val="21"/>
        </w:rPr>
        <w:t>GB</w:t>
      </w:r>
      <w:r>
        <w:rPr>
          <w:rFonts w:hint="eastAsia"/>
          <w:color w:val="auto"/>
          <w:szCs w:val="21"/>
          <w:lang w:val="en-US" w:eastAsia="zh-CN"/>
        </w:rPr>
        <w:t xml:space="preserve"> </w:t>
      </w:r>
      <w:r>
        <w:rPr>
          <w:color w:val="auto"/>
          <w:szCs w:val="21"/>
        </w:rPr>
        <w:t>50108</w:t>
      </w:r>
      <w:r>
        <w:rPr>
          <w:color w:val="auto"/>
          <w:szCs w:val="21"/>
          <w:lang w:val="en-GB"/>
        </w:rPr>
        <w:t>的有关规定。</w:t>
      </w:r>
    </w:p>
    <w:p w14:paraId="5BDEBFEB">
      <w:pPr>
        <w:adjustRightInd w:val="0"/>
        <w:snapToGrid w:val="0"/>
        <w:spacing w:line="360" w:lineRule="atLeast"/>
        <w:rPr>
          <w:color w:val="auto"/>
          <w:szCs w:val="21"/>
          <w:lang w:val="en-GB"/>
        </w:rPr>
      </w:pPr>
      <w:r>
        <w:rPr>
          <w:rFonts w:eastAsia="黑体"/>
          <w:b/>
          <w:color w:val="auto"/>
          <w:szCs w:val="21"/>
        </w:rPr>
        <w:t>13.4.4</w:t>
      </w:r>
      <w:r>
        <w:rPr>
          <w:color w:val="auto"/>
          <w:szCs w:val="21"/>
          <w:lang w:val="en-GB"/>
        </w:rPr>
        <w:t xml:space="preserve">  地下室外墙和底板的混凝土保护层厚度、钢筋的锚固长度、裂缝控制等级和最大裂缝宽度应符合</w:t>
      </w:r>
      <w:r>
        <w:rPr>
          <w:color w:val="auto"/>
          <w:szCs w:val="21"/>
        </w:rPr>
        <w:t>GB/T</w:t>
      </w:r>
      <w:r>
        <w:rPr>
          <w:rFonts w:hint="eastAsia"/>
          <w:color w:val="auto"/>
          <w:szCs w:val="21"/>
          <w:lang w:val="en-US" w:eastAsia="zh-CN"/>
        </w:rPr>
        <w:t xml:space="preserve"> </w:t>
      </w:r>
      <w:r>
        <w:rPr>
          <w:color w:val="auto"/>
          <w:szCs w:val="21"/>
        </w:rPr>
        <w:t>50010</w:t>
      </w:r>
      <w:r>
        <w:rPr>
          <w:color w:val="auto"/>
          <w:szCs w:val="21"/>
          <w:lang w:val="en-GB"/>
        </w:rPr>
        <w:t>的有关规定。</w:t>
      </w:r>
    </w:p>
    <w:p w14:paraId="3BA80448">
      <w:pPr>
        <w:adjustRightInd w:val="0"/>
        <w:snapToGrid w:val="0"/>
        <w:spacing w:line="360" w:lineRule="atLeast"/>
        <w:rPr>
          <w:color w:val="auto"/>
          <w:szCs w:val="21"/>
          <w:lang w:val="en-GB"/>
        </w:rPr>
      </w:pPr>
      <w:r>
        <w:rPr>
          <w:rFonts w:eastAsia="黑体"/>
          <w:b/>
          <w:color w:val="auto"/>
          <w:szCs w:val="21"/>
        </w:rPr>
        <w:t xml:space="preserve">13.4.5 </w:t>
      </w:r>
      <w:r>
        <w:rPr>
          <w:color w:val="auto"/>
          <w:szCs w:val="21"/>
          <w:lang w:val="en-GB"/>
        </w:rPr>
        <w:t xml:space="preserve"> 地下室外墙和底板的构造应符合下列要求:</w:t>
      </w:r>
    </w:p>
    <w:p w14:paraId="57927191">
      <w:pPr>
        <w:adjustRightInd w:val="0"/>
        <w:snapToGrid w:val="0"/>
        <w:spacing w:line="360" w:lineRule="atLeast"/>
        <w:ind w:firstLine="422" w:firstLineChars="200"/>
        <w:rPr>
          <w:color w:val="auto"/>
          <w:szCs w:val="21"/>
          <w:lang w:val="en-GB"/>
        </w:rPr>
      </w:pPr>
      <w:r>
        <w:rPr>
          <w:rFonts w:eastAsia="黑体"/>
          <w:b/>
          <w:color w:val="auto"/>
          <w:szCs w:val="21"/>
        </w:rPr>
        <w:t>a)</w:t>
      </w:r>
      <w:r>
        <w:rPr>
          <w:color w:val="auto"/>
          <w:szCs w:val="21"/>
          <w:lang w:val="en-GB"/>
        </w:rPr>
        <w:t xml:space="preserve">  外墙墙体内应设置双面</w:t>
      </w:r>
      <w:r>
        <w:rPr>
          <w:rFonts w:hint="eastAsia"/>
          <w:color w:val="auto"/>
          <w:szCs w:val="21"/>
          <w:lang w:val="en-GB"/>
        </w:rPr>
        <w:t>双向</w:t>
      </w:r>
      <w:r>
        <w:rPr>
          <w:color w:val="auto"/>
          <w:szCs w:val="21"/>
          <w:lang w:val="en-GB"/>
        </w:rPr>
        <w:t>钢筋，竖向和水平钢筋的直径不宜小于</w:t>
      </w:r>
      <w:r>
        <w:rPr>
          <w:color w:val="auto"/>
          <w:szCs w:val="21"/>
        </w:rPr>
        <w:t>12</w:t>
      </w:r>
      <w:r>
        <w:rPr>
          <w:color w:val="auto"/>
          <w:szCs w:val="21"/>
          <w:lang w:val="en-GB"/>
        </w:rPr>
        <w:t>mm，不应小于</w:t>
      </w:r>
      <w:r>
        <w:rPr>
          <w:color w:val="auto"/>
          <w:szCs w:val="21"/>
        </w:rPr>
        <w:t>10</w:t>
      </w:r>
      <w:r>
        <w:rPr>
          <w:color w:val="auto"/>
          <w:szCs w:val="21"/>
          <w:lang w:val="en-GB"/>
        </w:rPr>
        <w:t>mm，间距不宜大于</w:t>
      </w:r>
      <w:r>
        <w:rPr>
          <w:color w:val="auto"/>
          <w:szCs w:val="21"/>
        </w:rPr>
        <w:t>150</w:t>
      </w:r>
      <w:r>
        <w:rPr>
          <w:color w:val="auto"/>
          <w:szCs w:val="21"/>
          <w:lang w:val="en-GB"/>
        </w:rPr>
        <w:t>mm。</w:t>
      </w:r>
      <w:r>
        <w:rPr>
          <w:rFonts w:hint="eastAsia"/>
          <w:color w:val="auto"/>
          <w:szCs w:val="21"/>
          <w:lang w:val="en-GB"/>
        </w:rPr>
        <w:t>外墙水平分布筋宜按照细而密的原则布置在竖向筋的外侧。</w:t>
      </w:r>
    </w:p>
    <w:p w14:paraId="3194B591">
      <w:pPr>
        <w:adjustRightInd w:val="0"/>
        <w:snapToGrid w:val="0"/>
        <w:spacing w:line="360" w:lineRule="atLeast"/>
        <w:ind w:firstLine="422" w:firstLineChars="200"/>
        <w:rPr>
          <w:color w:val="auto"/>
          <w:szCs w:val="21"/>
          <w:lang w:val="en-GB"/>
        </w:rPr>
      </w:pPr>
      <w:r>
        <w:rPr>
          <w:rFonts w:eastAsia="黑体"/>
          <w:b/>
          <w:color w:val="auto"/>
          <w:szCs w:val="21"/>
        </w:rPr>
        <w:t>b)</w:t>
      </w:r>
      <w:r>
        <w:rPr>
          <w:color w:val="auto"/>
          <w:szCs w:val="21"/>
          <w:lang w:val="en-GB"/>
        </w:rPr>
        <w:t xml:space="preserve">  外墙上部有剪力墙、柱等竖向构件时，外墙顶部应设暗梁，暗梁的纵筋直径不宜小于</w:t>
      </w:r>
      <w:r>
        <w:rPr>
          <w:color w:val="auto"/>
          <w:szCs w:val="21"/>
        </w:rPr>
        <w:t>18mm，根数不应少于4根，</w:t>
      </w:r>
      <w:r>
        <w:rPr>
          <w:color w:val="auto"/>
          <w:szCs w:val="21"/>
          <w:lang w:val="en-GB"/>
        </w:rPr>
        <w:t>箍筋直径不应小于</w:t>
      </w:r>
      <w:r>
        <w:rPr>
          <w:color w:val="auto"/>
          <w:szCs w:val="21"/>
        </w:rPr>
        <w:t>8mm，间距不应大于200mm</w:t>
      </w:r>
      <w:r>
        <w:rPr>
          <w:color w:val="auto"/>
          <w:szCs w:val="21"/>
          <w:lang w:val="en-GB"/>
        </w:rPr>
        <w:t>。外墙上部无剪力墙时，外墙顶部应设加强纵筋，纵筋直径不宜小于</w:t>
      </w:r>
      <w:r>
        <w:rPr>
          <w:color w:val="auto"/>
          <w:szCs w:val="21"/>
        </w:rPr>
        <w:t>18mm，根数不应少于4根</w:t>
      </w:r>
      <w:r>
        <w:rPr>
          <w:rFonts w:hint="eastAsia"/>
          <w:color w:val="auto"/>
          <w:szCs w:val="21"/>
        </w:rPr>
        <w:t>。</w:t>
      </w:r>
    </w:p>
    <w:p w14:paraId="2D35C73E">
      <w:pPr>
        <w:adjustRightInd w:val="0"/>
        <w:snapToGrid w:val="0"/>
        <w:spacing w:line="360" w:lineRule="atLeast"/>
        <w:ind w:firstLine="422" w:firstLineChars="200"/>
        <w:rPr>
          <w:color w:val="auto"/>
          <w:szCs w:val="21"/>
          <w:lang w:val="en-GB"/>
        </w:rPr>
      </w:pPr>
      <w:r>
        <w:rPr>
          <w:rFonts w:eastAsia="黑体"/>
          <w:b/>
          <w:color w:val="auto"/>
          <w:szCs w:val="21"/>
        </w:rPr>
        <w:t>c)</w:t>
      </w:r>
      <w:r>
        <w:rPr>
          <w:color w:val="auto"/>
          <w:szCs w:val="21"/>
          <w:lang w:val="en-GB"/>
        </w:rPr>
        <w:t xml:space="preserve">  底板内应设置双面双向钢筋，钢筋的直径不应小于12mm，间距不应大于200mm，并应满足最小配筋率要求。</w:t>
      </w:r>
    </w:p>
    <w:p w14:paraId="2EE6EA2E">
      <w:pPr>
        <w:adjustRightInd w:val="0"/>
        <w:snapToGrid w:val="0"/>
        <w:spacing w:line="360" w:lineRule="atLeast"/>
        <w:rPr>
          <w:color w:val="auto"/>
          <w:szCs w:val="21"/>
          <w:lang w:val="en-GB"/>
        </w:rPr>
      </w:pPr>
      <w:r>
        <w:rPr>
          <w:rFonts w:eastAsia="黑体"/>
          <w:b/>
          <w:color w:val="auto"/>
          <w:szCs w:val="21"/>
        </w:rPr>
        <w:t>13.4.6</w:t>
      </w:r>
      <w:r>
        <w:rPr>
          <w:color w:val="auto"/>
          <w:szCs w:val="21"/>
          <w:lang w:val="en-GB"/>
        </w:rPr>
        <w:t xml:space="preserve">  地下室底板与基础设计在一起时，宜根据上部结构柱或墙的位置设置底板地梁或暗梁。</w:t>
      </w:r>
    </w:p>
    <w:p w14:paraId="42237D53">
      <w:pPr>
        <w:adjustRightInd w:val="0"/>
        <w:snapToGrid w:val="0"/>
        <w:spacing w:line="360" w:lineRule="atLeast"/>
        <w:rPr>
          <w:color w:val="auto"/>
          <w:szCs w:val="21"/>
          <w:lang w:val="en-GB"/>
        </w:rPr>
      </w:pPr>
      <w:r>
        <w:rPr>
          <w:rFonts w:eastAsia="黑体"/>
          <w:b/>
          <w:color w:val="auto"/>
          <w:szCs w:val="21"/>
        </w:rPr>
        <w:t>13.4.7</w:t>
      </w:r>
      <w:r>
        <w:rPr>
          <w:color w:val="auto"/>
          <w:szCs w:val="21"/>
          <w:lang w:val="en-GB"/>
        </w:rPr>
        <w:t xml:space="preserve">  地下室外墙应按本文件第</w:t>
      </w:r>
      <w:r>
        <w:rPr>
          <w:color w:val="auto"/>
          <w:szCs w:val="21"/>
        </w:rPr>
        <w:t>5.25</w:t>
      </w:r>
      <w:r>
        <w:rPr>
          <w:color w:val="auto"/>
          <w:szCs w:val="21"/>
          <w:lang w:val="en-GB"/>
        </w:rPr>
        <w:t>条、第</w:t>
      </w:r>
      <w:r>
        <w:rPr>
          <w:color w:val="auto"/>
          <w:szCs w:val="21"/>
        </w:rPr>
        <w:t>5.26</w:t>
      </w:r>
      <w:r>
        <w:rPr>
          <w:color w:val="auto"/>
          <w:szCs w:val="21"/>
          <w:lang w:val="en-GB"/>
        </w:rPr>
        <w:t>条的规定采用相应作用的组合进行设计，并应遵守如下规定：</w:t>
      </w:r>
    </w:p>
    <w:p w14:paraId="1D079AE4">
      <w:pPr>
        <w:adjustRightInd w:val="0"/>
        <w:snapToGrid w:val="0"/>
        <w:spacing w:line="360" w:lineRule="atLeast"/>
        <w:ind w:firstLine="422" w:firstLineChars="200"/>
        <w:rPr>
          <w:color w:val="auto"/>
          <w:szCs w:val="21"/>
          <w:lang w:val="en-GB"/>
        </w:rPr>
      </w:pPr>
      <w:r>
        <w:rPr>
          <w:rFonts w:eastAsia="黑体"/>
          <w:b/>
          <w:color w:val="auto"/>
          <w:szCs w:val="21"/>
        </w:rPr>
        <w:t>a)</w:t>
      </w:r>
      <w:r>
        <w:rPr>
          <w:color w:val="auto"/>
          <w:szCs w:val="21"/>
          <w:lang w:val="en-GB"/>
        </w:rPr>
        <w:t xml:space="preserve">  进行地下室外墙内力分析时，应根据其周边的情况选取符合实际受力状态的计算简图。</w:t>
      </w:r>
    </w:p>
    <w:p w14:paraId="5D0C709A">
      <w:pPr>
        <w:adjustRightInd w:val="0"/>
        <w:snapToGrid w:val="0"/>
        <w:spacing w:line="360" w:lineRule="atLeast"/>
        <w:ind w:firstLine="422" w:firstLineChars="200"/>
        <w:rPr>
          <w:color w:val="auto"/>
          <w:szCs w:val="21"/>
          <w:lang w:val="en-GB"/>
        </w:rPr>
      </w:pPr>
      <w:r>
        <w:rPr>
          <w:rFonts w:eastAsia="黑体"/>
          <w:b/>
          <w:color w:val="auto"/>
          <w:szCs w:val="21"/>
        </w:rPr>
        <w:t xml:space="preserve">b)  </w:t>
      </w:r>
      <w:r>
        <w:rPr>
          <w:color w:val="auto"/>
          <w:szCs w:val="21"/>
          <w:lang w:val="en-GB"/>
        </w:rPr>
        <w:t>外墙的内力分析按弹性理论计算。</w:t>
      </w:r>
    </w:p>
    <w:p w14:paraId="6A5D8288">
      <w:pPr>
        <w:adjustRightInd w:val="0"/>
        <w:snapToGrid w:val="0"/>
        <w:spacing w:line="360" w:lineRule="atLeast"/>
        <w:ind w:firstLine="422" w:firstLineChars="200"/>
        <w:rPr>
          <w:color w:val="auto"/>
          <w:szCs w:val="21"/>
          <w:lang w:val="en-GB"/>
        </w:rPr>
      </w:pPr>
      <w:r>
        <w:rPr>
          <w:rFonts w:eastAsia="黑体"/>
          <w:b/>
          <w:color w:val="auto"/>
          <w:szCs w:val="21"/>
        </w:rPr>
        <w:t>c)</w:t>
      </w:r>
      <w:r>
        <w:rPr>
          <w:color w:val="auto"/>
          <w:szCs w:val="21"/>
          <w:lang w:val="en-GB"/>
        </w:rPr>
        <w:t xml:space="preserve">  作用于外墙的荷载应考虑由回填土、地下水、地面附加荷载等引起的水平侧向荷载作用，并应考虑上部结构传来的荷载。</w:t>
      </w:r>
    </w:p>
    <w:p w14:paraId="04A38F9D">
      <w:pPr>
        <w:adjustRightInd w:val="0"/>
        <w:snapToGrid w:val="0"/>
        <w:spacing w:line="360" w:lineRule="atLeast"/>
        <w:ind w:firstLine="420" w:firstLineChars="200"/>
        <w:rPr>
          <w:color w:val="auto"/>
          <w:szCs w:val="21"/>
          <w:lang w:val="en-GB"/>
        </w:rPr>
      </w:pPr>
      <w:r>
        <w:rPr>
          <w:color w:val="auto"/>
          <w:szCs w:val="21"/>
          <w:lang w:val="en-GB"/>
        </w:rPr>
        <w:t>外墙上的水土侧压力，对于砂类回填土，应按水土分算的原则计算。对于黏性土，可按水土合算的原则计算</w:t>
      </w:r>
      <w:r>
        <w:rPr>
          <w:rFonts w:hint="eastAsia"/>
          <w:color w:val="auto"/>
          <w:szCs w:val="21"/>
          <w:lang w:val="en-GB"/>
        </w:rPr>
        <w:t>。</w:t>
      </w:r>
    </w:p>
    <w:p w14:paraId="60C2E42B">
      <w:pPr>
        <w:adjustRightInd w:val="0"/>
        <w:snapToGrid w:val="0"/>
        <w:spacing w:line="360" w:lineRule="atLeast"/>
        <w:ind w:firstLine="420" w:firstLineChars="200"/>
        <w:rPr>
          <w:color w:val="auto"/>
          <w:szCs w:val="21"/>
          <w:lang w:val="en-GB"/>
        </w:rPr>
      </w:pPr>
      <w:r>
        <w:rPr>
          <w:color w:val="auto"/>
          <w:szCs w:val="21"/>
          <w:lang w:val="en-GB"/>
        </w:rPr>
        <w:t>水平土压力宜按静止土压力计算。</w:t>
      </w:r>
    </w:p>
    <w:p w14:paraId="5AB9BBE7">
      <w:pPr>
        <w:adjustRightInd w:val="0"/>
        <w:snapToGrid w:val="0"/>
        <w:spacing w:line="360" w:lineRule="atLeast"/>
        <w:ind w:firstLine="422" w:firstLineChars="200"/>
        <w:rPr>
          <w:color w:val="auto"/>
          <w:szCs w:val="21"/>
          <w:lang w:val="en-GB"/>
        </w:rPr>
      </w:pPr>
      <w:r>
        <w:rPr>
          <w:rFonts w:eastAsia="黑体"/>
          <w:b/>
          <w:color w:val="auto"/>
          <w:szCs w:val="21"/>
        </w:rPr>
        <w:t>d)</w:t>
      </w:r>
      <w:r>
        <w:rPr>
          <w:color w:val="auto"/>
          <w:szCs w:val="21"/>
          <w:lang w:val="en-GB"/>
        </w:rPr>
        <w:t xml:space="preserve">  当地下室外支护结构为地下连续墙或刚度较好的排桩且完好保留时，土压力可根据实际情况适当折减，水压力不能折减。</w:t>
      </w:r>
    </w:p>
    <w:p w14:paraId="50C7D510">
      <w:pPr>
        <w:adjustRightInd w:val="0"/>
        <w:snapToGrid w:val="0"/>
        <w:spacing w:line="360" w:lineRule="atLeast"/>
        <w:ind w:firstLine="422" w:firstLineChars="200"/>
        <w:rPr>
          <w:color w:val="auto"/>
          <w:szCs w:val="21"/>
          <w:lang w:val="en-GB"/>
        </w:rPr>
      </w:pPr>
      <w:r>
        <w:rPr>
          <w:rFonts w:eastAsia="黑体"/>
          <w:b/>
          <w:color w:val="auto"/>
          <w:szCs w:val="21"/>
        </w:rPr>
        <w:t>e)</w:t>
      </w:r>
      <w:r>
        <w:rPr>
          <w:color w:val="auto"/>
          <w:szCs w:val="21"/>
          <w:lang w:val="en-GB"/>
        </w:rPr>
        <w:t xml:space="preserve">  地面附加荷载按以下规定确定</w:t>
      </w:r>
      <w:r>
        <w:rPr>
          <w:rFonts w:hint="eastAsia"/>
          <w:color w:val="auto"/>
          <w:szCs w:val="21"/>
          <w:lang w:val="en-GB"/>
        </w:rPr>
        <w:t>：</w:t>
      </w:r>
    </w:p>
    <w:p w14:paraId="17618FAF">
      <w:pPr>
        <w:adjustRightInd w:val="0"/>
        <w:snapToGrid w:val="0"/>
        <w:spacing w:line="360" w:lineRule="atLeast"/>
        <w:ind w:firstLine="420"/>
        <w:rPr>
          <w:color w:val="auto"/>
          <w:szCs w:val="21"/>
          <w:lang w:val="en-GB"/>
        </w:rPr>
      </w:pPr>
      <w:r>
        <w:rPr>
          <w:color w:val="auto"/>
          <w:szCs w:val="21"/>
          <w:lang w:val="en-GB"/>
        </w:rPr>
        <w:t>当室外所停车辆仅为轻型小汽车时，地面可变荷载不小于5kN/m</w:t>
      </w:r>
      <w:r>
        <w:rPr>
          <w:color w:val="auto"/>
          <w:position w:val="-4"/>
          <w:szCs w:val="21"/>
          <w:lang w:val="en-GB"/>
        </w:rPr>
        <w:object>
          <v:shape id="_x0000_i1559" o:spt="75" type="#_x0000_t75" style="height:14.25pt;width:7.5pt;" o:ole="t" filled="f" o:preferrelative="t" stroked="f" coordsize="21600,21600">
            <v:path/>
            <v:fill on="f" focussize="0,0"/>
            <v:stroke on="f" joinstyle="miter"/>
            <v:imagedata r:id="rId1051" o:title=""/>
            <o:lock v:ext="edit" aspectratio="t"/>
            <w10:wrap type="none"/>
            <w10:anchorlock/>
          </v:shape>
          <o:OLEObject Type="Embed" ProgID="Equation.3" ShapeID="_x0000_i1559" DrawAspect="Content" ObjectID="_1468076259" r:id="rId1050">
            <o:LockedField>false</o:LockedField>
          </o:OLEObject>
        </w:object>
      </w:r>
      <w:r>
        <w:rPr>
          <w:color w:val="auto"/>
          <w:szCs w:val="21"/>
          <w:lang w:val="en-GB"/>
        </w:rPr>
        <w:t>。</w:t>
      </w:r>
    </w:p>
    <w:p w14:paraId="194407BA">
      <w:pPr>
        <w:adjustRightInd w:val="0"/>
        <w:snapToGrid w:val="0"/>
        <w:spacing w:line="360" w:lineRule="atLeast"/>
        <w:rPr>
          <w:rFonts w:eastAsia="黑体"/>
          <w:color w:val="auto"/>
          <w:szCs w:val="21"/>
          <w:lang w:val="en-GB"/>
        </w:rPr>
      </w:pPr>
      <w:r>
        <w:rPr>
          <w:rFonts w:eastAsia="黑体"/>
          <w:b/>
          <w:color w:val="auto"/>
          <w:szCs w:val="21"/>
        </w:rPr>
        <w:t>13.4.8</w:t>
      </w:r>
      <w:r>
        <w:rPr>
          <w:color w:val="auto"/>
          <w:szCs w:val="21"/>
          <w:lang w:val="en-GB"/>
        </w:rPr>
        <w:t xml:space="preserve">  当有多层地下室时，除底板之外的地下室各层梁板，应考虑外墙传递的水平侧压力在水平构件中产生的轴力影响。</w:t>
      </w:r>
    </w:p>
    <w:p w14:paraId="7F397299">
      <w:pPr>
        <w:adjustRightInd w:val="0"/>
        <w:snapToGrid w:val="0"/>
        <w:spacing w:before="120" w:line="340" w:lineRule="atLeast"/>
        <w:rPr>
          <w:color w:val="auto"/>
          <w:szCs w:val="21"/>
          <w:lang w:val="en-GB"/>
        </w:rPr>
      </w:pPr>
      <w:r>
        <w:rPr>
          <w:rFonts w:eastAsia="黑体"/>
          <w:b/>
          <w:color w:val="auto"/>
          <w:szCs w:val="21"/>
        </w:rPr>
        <w:t>13.4.9</w:t>
      </w:r>
      <w:r>
        <w:rPr>
          <w:color w:val="auto"/>
          <w:szCs w:val="21"/>
          <w:lang w:val="en-GB"/>
        </w:rPr>
        <w:t xml:space="preserve">  底板的荷载组合应考虑两种最不利情况：</w:t>
      </w:r>
    </w:p>
    <w:p w14:paraId="60AD3AAB">
      <w:pPr>
        <w:adjustRightInd w:val="0"/>
        <w:snapToGrid w:val="0"/>
        <w:spacing w:line="340" w:lineRule="atLeast"/>
        <w:ind w:firstLine="422" w:firstLineChars="200"/>
        <w:rPr>
          <w:color w:val="auto"/>
          <w:szCs w:val="21"/>
          <w:lang w:val="en-GB"/>
        </w:rPr>
      </w:pPr>
      <w:r>
        <w:rPr>
          <w:rFonts w:eastAsia="黑体"/>
          <w:b/>
          <w:color w:val="auto"/>
          <w:szCs w:val="21"/>
        </w:rPr>
        <w:t xml:space="preserve">a) </w:t>
      </w:r>
      <w:r>
        <w:rPr>
          <w:color w:val="auto"/>
          <w:szCs w:val="21"/>
          <w:lang w:val="en-GB"/>
        </w:rPr>
        <w:t xml:space="preserve"> 当底板底土抗力不能有效发挥时，不应考虑地下水浮力和板底土反力作用，只考虑底板自重及板上荷载作用。</w:t>
      </w:r>
    </w:p>
    <w:p w14:paraId="2F6AD1B8">
      <w:pPr>
        <w:adjustRightInd w:val="0"/>
        <w:snapToGrid w:val="0"/>
        <w:spacing w:line="340" w:lineRule="atLeast"/>
        <w:ind w:firstLine="422" w:firstLineChars="200"/>
        <w:rPr>
          <w:color w:val="auto"/>
          <w:szCs w:val="21"/>
          <w:lang w:val="en-GB"/>
        </w:rPr>
      </w:pPr>
      <w:r>
        <w:rPr>
          <w:rFonts w:eastAsia="黑体"/>
          <w:b/>
          <w:color w:val="auto"/>
          <w:szCs w:val="21"/>
        </w:rPr>
        <w:t xml:space="preserve">b) </w:t>
      </w:r>
      <w:r>
        <w:rPr>
          <w:color w:val="auto"/>
          <w:szCs w:val="21"/>
          <w:lang w:val="en-GB"/>
        </w:rPr>
        <w:t xml:space="preserve"> 考虑地下水浮力、板底土反力、底板自重及板上永久荷载的组合。</w:t>
      </w:r>
    </w:p>
    <w:p w14:paraId="51D6C30D">
      <w:pPr>
        <w:adjustRightInd w:val="0"/>
        <w:snapToGrid w:val="0"/>
        <w:spacing w:line="340" w:lineRule="exact"/>
        <w:jc w:val="center"/>
        <w:rPr>
          <w:rFonts w:eastAsia="黑体"/>
          <w:b/>
          <w:color w:val="auto"/>
          <w:szCs w:val="21"/>
        </w:rPr>
      </w:pPr>
    </w:p>
    <w:p w14:paraId="551EFB42">
      <w:pPr>
        <w:adjustRightInd w:val="0"/>
        <w:snapToGrid w:val="0"/>
        <w:spacing w:line="340" w:lineRule="exact"/>
        <w:outlineLvl w:val="1"/>
        <w:rPr>
          <w:rFonts w:eastAsia="黑体"/>
          <w:b/>
          <w:bCs/>
          <w:color w:val="auto"/>
          <w:szCs w:val="21"/>
        </w:rPr>
      </w:pPr>
      <w:bookmarkStart w:id="75" w:name="_Toc199943618"/>
      <w:r>
        <w:rPr>
          <w:rFonts w:eastAsia="黑体"/>
          <w:b/>
          <w:bCs/>
          <w:color w:val="auto"/>
          <w:szCs w:val="21"/>
        </w:rPr>
        <w:t>13.5  地下建筑物抗浮设计</w:t>
      </w:r>
      <w:bookmarkEnd w:id="75"/>
    </w:p>
    <w:p w14:paraId="49B1010E">
      <w:pPr>
        <w:adjustRightInd w:val="0"/>
        <w:snapToGrid w:val="0"/>
        <w:spacing w:line="340" w:lineRule="exact"/>
        <w:jc w:val="center"/>
        <w:rPr>
          <w:rFonts w:eastAsia="黑体"/>
          <w:b/>
          <w:color w:val="auto"/>
          <w:szCs w:val="21"/>
        </w:rPr>
      </w:pPr>
    </w:p>
    <w:p w14:paraId="20A28FC1">
      <w:pPr>
        <w:pStyle w:val="20"/>
        <w:snapToGrid w:val="0"/>
        <w:spacing w:line="340" w:lineRule="atLeast"/>
        <w:ind w:left="0" w:leftChars="0"/>
        <w:rPr>
          <w:color w:val="auto"/>
          <w:szCs w:val="21"/>
        </w:rPr>
      </w:pPr>
      <w:r>
        <w:rPr>
          <w:rFonts w:eastAsia="黑体"/>
          <w:b/>
          <w:bCs/>
          <w:color w:val="auto"/>
          <w:szCs w:val="21"/>
        </w:rPr>
        <w:t>13.5.1</w:t>
      </w:r>
      <w:r>
        <w:rPr>
          <w:b/>
          <w:bCs/>
          <w:color w:val="auto"/>
          <w:szCs w:val="21"/>
        </w:rPr>
        <w:t xml:space="preserve">  </w:t>
      </w:r>
      <w:r>
        <w:rPr>
          <w:color w:val="auto"/>
          <w:szCs w:val="21"/>
        </w:rPr>
        <w:t>地下建筑物应进行抗浮验算，抗浮验算包括抗浮稳定（整体稳定和局部稳定）验算及地下建筑物构件的强度、刚度验算</w:t>
      </w:r>
      <w:r>
        <w:rPr>
          <w:rFonts w:hint="eastAsia"/>
          <w:color w:val="auto"/>
          <w:szCs w:val="21"/>
        </w:rPr>
        <w:t>。抗浮工程应根据工程地质和水文地质条件的复杂程度、地基基础设计等级、使用功能要求及抗浮失效可能造成的对正常使用影响程度或危害程度等情况，按照J</w:t>
      </w:r>
      <w:r>
        <w:rPr>
          <w:color w:val="auto"/>
          <w:szCs w:val="21"/>
        </w:rPr>
        <w:t>GJ</w:t>
      </w:r>
      <w:r>
        <w:rPr>
          <w:rFonts w:hint="eastAsia"/>
          <w:color w:val="auto"/>
          <w:szCs w:val="21"/>
          <w:lang w:val="en-US" w:eastAsia="zh-CN"/>
        </w:rPr>
        <w:t xml:space="preserve"> </w:t>
      </w:r>
      <w:r>
        <w:rPr>
          <w:color w:val="auto"/>
          <w:szCs w:val="21"/>
        </w:rPr>
        <w:t>476</w:t>
      </w:r>
      <w:r>
        <w:rPr>
          <w:rFonts w:hint="eastAsia"/>
          <w:color w:val="auto"/>
          <w:szCs w:val="21"/>
        </w:rPr>
        <w:t>的规定划分为甲级、乙级和丙级三个设计等级。</w:t>
      </w:r>
    </w:p>
    <w:p w14:paraId="4151EEC1">
      <w:pPr>
        <w:pStyle w:val="20"/>
        <w:snapToGrid w:val="0"/>
        <w:spacing w:line="340" w:lineRule="atLeast"/>
        <w:ind w:left="0" w:leftChars="0"/>
        <w:rPr>
          <w:color w:val="auto"/>
          <w:szCs w:val="21"/>
        </w:rPr>
      </w:pPr>
      <w:r>
        <w:rPr>
          <w:rFonts w:eastAsia="黑体"/>
          <w:b/>
          <w:bCs/>
          <w:color w:val="auto"/>
          <w:szCs w:val="21"/>
        </w:rPr>
        <w:t>13.5.2</w:t>
      </w:r>
      <w:r>
        <w:rPr>
          <w:b/>
          <w:bCs/>
          <w:color w:val="auto"/>
          <w:szCs w:val="21"/>
        </w:rPr>
        <w:t xml:space="preserve">  </w:t>
      </w:r>
      <w:r>
        <w:rPr>
          <w:rFonts w:hint="eastAsia"/>
          <w:color w:val="auto"/>
          <w:szCs w:val="21"/>
        </w:rPr>
        <w:t>采取下列措施和具备下列条件可减小水浮力对地下建筑物的危害</w:t>
      </w:r>
      <w:r>
        <w:rPr>
          <w:color w:val="auto"/>
          <w:szCs w:val="21"/>
        </w:rPr>
        <w:t>：</w:t>
      </w:r>
    </w:p>
    <w:p w14:paraId="29BD0071">
      <w:pPr>
        <w:adjustRightInd w:val="0"/>
        <w:snapToGrid w:val="0"/>
        <w:spacing w:line="340" w:lineRule="atLeast"/>
        <w:ind w:firstLine="420"/>
        <w:rPr>
          <w:color w:val="auto"/>
          <w:szCs w:val="21"/>
        </w:rPr>
      </w:pPr>
      <w:r>
        <w:rPr>
          <w:rFonts w:eastAsia="黑体"/>
          <w:b/>
          <w:bCs/>
          <w:color w:val="auto"/>
          <w:szCs w:val="21"/>
        </w:rPr>
        <w:t>a)</w:t>
      </w:r>
      <w:r>
        <w:rPr>
          <w:color w:val="auto"/>
          <w:szCs w:val="21"/>
        </w:rPr>
        <w:t xml:space="preserve">  地下建筑物埋于相对隔水层，周边无砂类土、杂填土等透水土层，或虽有薄层砂类土、杂填土等</w:t>
      </w:r>
      <w:r>
        <w:rPr>
          <w:rFonts w:hint="eastAsia"/>
          <w:color w:val="auto"/>
          <w:szCs w:val="21"/>
        </w:rPr>
        <w:t>时可</w:t>
      </w:r>
      <w:r>
        <w:rPr>
          <w:color w:val="auto"/>
          <w:szCs w:val="21"/>
        </w:rPr>
        <w:t>采取换填、隔离等有效措施阻断地面水和上层滞水渗</w:t>
      </w:r>
      <w:r>
        <w:rPr>
          <w:rFonts w:hint="eastAsia"/>
          <w:color w:val="auto"/>
          <w:szCs w:val="21"/>
        </w:rPr>
        <w:t>入基底时</w:t>
      </w:r>
      <w:r>
        <w:rPr>
          <w:color w:val="auto"/>
          <w:szCs w:val="21"/>
        </w:rPr>
        <w:t>。</w:t>
      </w:r>
    </w:p>
    <w:p w14:paraId="0D2ADF57">
      <w:pPr>
        <w:adjustRightInd w:val="0"/>
        <w:snapToGrid w:val="0"/>
        <w:spacing w:line="340" w:lineRule="atLeast"/>
        <w:ind w:firstLine="420"/>
        <w:rPr>
          <w:color w:val="auto"/>
          <w:szCs w:val="21"/>
        </w:rPr>
      </w:pPr>
      <w:r>
        <w:rPr>
          <w:rFonts w:eastAsia="黑体"/>
          <w:b/>
          <w:bCs/>
          <w:color w:val="auto"/>
          <w:szCs w:val="21"/>
        </w:rPr>
        <w:t>b)</w:t>
      </w:r>
      <w:r>
        <w:rPr>
          <w:color w:val="auto"/>
          <w:szCs w:val="21"/>
        </w:rPr>
        <w:t xml:space="preserve">  场地潜水、承压水、裂隙水和岩溶水等地下水的最高水位低于地下建筑物基底标高。</w:t>
      </w:r>
    </w:p>
    <w:p w14:paraId="6295CA48">
      <w:pPr>
        <w:adjustRightInd w:val="0"/>
        <w:snapToGrid w:val="0"/>
        <w:spacing w:line="340" w:lineRule="atLeast"/>
        <w:ind w:firstLine="420"/>
        <w:rPr>
          <w:color w:val="auto"/>
          <w:szCs w:val="21"/>
        </w:rPr>
      </w:pPr>
      <w:r>
        <w:rPr>
          <w:rFonts w:eastAsia="黑体"/>
          <w:b/>
          <w:bCs/>
          <w:color w:val="auto"/>
          <w:szCs w:val="21"/>
        </w:rPr>
        <w:t>c)</w:t>
      </w:r>
      <w:r>
        <w:rPr>
          <w:color w:val="auto"/>
          <w:szCs w:val="21"/>
        </w:rPr>
        <w:t xml:space="preserve">  地面采取有组织排水，场地不具备长期渍水的条件。</w:t>
      </w:r>
    </w:p>
    <w:p w14:paraId="53320C25">
      <w:pPr>
        <w:adjustRightInd w:val="0"/>
        <w:snapToGrid w:val="0"/>
        <w:spacing w:line="340" w:lineRule="atLeast"/>
        <w:ind w:firstLine="420"/>
        <w:rPr>
          <w:color w:val="auto"/>
          <w:szCs w:val="21"/>
        </w:rPr>
      </w:pPr>
      <w:r>
        <w:rPr>
          <w:rFonts w:eastAsia="黑体"/>
          <w:b/>
          <w:bCs/>
          <w:color w:val="auto"/>
          <w:szCs w:val="21"/>
        </w:rPr>
        <w:t>d)</w:t>
      </w:r>
      <w:r>
        <w:rPr>
          <w:color w:val="auto"/>
          <w:szCs w:val="21"/>
        </w:rPr>
        <w:t xml:space="preserve">  基坑回填应采用分层夯实的黏性土、灰土或素混凝土等。</w:t>
      </w:r>
    </w:p>
    <w:p w14:paraId="242AB721">
      <w:pPr>
        <w:adjustRightInd w:val="0"/>
        <w:snapToGrid w:val="0"/>
        <w:spacing w:line="340" w:lineRule="atLeast"/>
        <w:ind w:firstLine="420"/>
        <w:rPr>
          <w:color w:val="auto"/>
          <w:szCs w:val="21"/>
        </w:rPr>
      </w:pPr>
      <w:r>
        <w:rPr>
          <w:rFonts w:eastAsia="黑体"/>
          <w:b/>
          <w:bCs/>
          <w:color w:val="auto"/>
          <w:szCs w:val="21"/>
        </w:rPr>
        <w:t>e)</w:t>
      </w:r>
      <w:r>
        <w:rPr>
          <w:color w:val="auto"/>
          <w:szCs w:val="21"/>
        </w:rPr>
        <w:t xml:space="preserve">  基底下不得设置砂、石等透水材料垫层，土方超挖部分应采用混凝土回填，基础梁等的混凝土应采用原槽浇灌。</w:t>
      </w:r>
    </w:p>
    <w:p w14:paraId="56E8C24A">
      <w:pPr>
        <w:adjustRightInd w:val="0"/>
        <w:snapToGrid w:val="0"/>
        <w:spacing w:line="340" w:lineRule="atLeast"/>
        <w:ind w:firstLine="420"/>
        <w:rPr>
          <w:color w:val="auto"/>
          <w:szCs w:val="21"/>
        </w:rPr>
      </w:pPr>
      <w:r>
        <w:rPr>
          <w:rFonts w:eastAsia="黑体"/>
          <w:b/>
          <w:bCs/>
          <w:color w:val="auto"/>
          <w:szCs w:val="21"/>
        </w:rPr>
        <w:t>f)</w:t>
      </w:r>
      <w:r>
        <w:rPr>
          <w:color w:val="auto"/>
          <w:szCs w:val="21"/>
        </w:rPr>
        <w:t xml:space="preserve">  地下建筑物外墙防水保护层不得采用透水的泡沫塑料等材料。</w:t>
      </w:r>
    </w:p>
    <w:p w14:paraId="74AD0C75">
      <w:pPr>
        <w:adjustRightInd w:val="0"/>
        <w:snapToGrid w:val="0"/>
        <w:spacing w:line="340" w:lineRule="atLeast"/>
        <w:ind w:firstLine="420"/>
        <w:rPr>
          <w:color w:val="auto"/>
          <w:szCs w:val="21"/>
        </w:rPr>
      </w:pPr>
      <w:r>
        <w:rPr>
          <w:rFonts w:eastAsia="黑体"/>
          <w:b/>
          <w:bCs/>
          <w:color w:val="auto"/>
          <w:szCs w:val="21"/>
        </w:rPr>
        <w:t>g)</w:t>
      </w:r>
      <w:r>
        <w:rPr>
          <w:color w:val="auto"/>
          <w:szCs w:val="21"/>
        </w:rPr>
        <w:t xml:space="preserve">  地下建筑物周边应设混凝土散水等加以封闭。</w:t>
      </w:r>
    </w:p>
    <w:p w14:paraId="42013DEC">
      <w:pPr>
        <w:adjustRightInd w:val="0"/>
        <w:snapToGrid w:val="0"/>
        <w:spacing w:line="340" w:lineRule="atLeast"/>
        <w:ind w:firstLine="420"/>
        <w:rPr>
          <w:color w:val="auto"/>
          <w:szCs w:val="21"/>
        </w:rPr>
      </w:pPr>
      <w:r>
        <w:rPr>
          <w:rFonts w:eastAsia="黑体"/>
          <w:b/>
          <w:bCs/>
          <w:color w:val="auto"/>
          <w:szCs w:val="21"/>
        </w:rPr>
        <w:t>h)</w:t>
      </w:r>
      <w:r>
        <w:rPr>
          <w:color w:val="auto"/>
          <w:szCs w:val="21"/>
        </w:rPr>
        <w:t xml:space="preserve">  地下建筑物周边上、下水管线应采取可靠的防渗漏措施。</w:t>
      </w:r>
    </w:p>
    <w:p w14:paraId="42AFBE98">
      <w:pPr>
        <w:pStyle w:val="20"/>
        <w:snapToGrid w:val="0"/>
        <w:spacing w:line="340" w:lineRule="atLeast"/>
        <w:ind w:left="99" w:leftChars="47"/>
        <w:rPr>
          <w:color w:val="auto"/>
          <w:szCs w:val="21"/>
        </w:rPr>
      </w:pPr>
      <w:r>
        <w:rPr>
          <w:rFonts w:eastAsia="黑体"/>
          <w:b/>
          <w:bCs/>
          <w:color w:val="auto"/>
          <w:szCs w:val="21"/>
        </w:rPr>
        <w:t>13.5.3</w:t>
      </w:r>
      <w:r>
        <w:rPr>
          <w:b/>
          <w:bCs/>
          <w:color w:val="auto"/>
          <w:szCs w:val="21"/>
        </w:rPr>
        <w:t xml:space="preserve">  </w:t>
      </w:r>
      <w:r>
        <w:rPr>
          <w:color w:val="auto"/>
          <w:szCs w:val="21"/>
        </w:rPr>
        <w:t>抗浮设计水位的提供应符合下列原则：</w:t>
      </w:r>
    </w:p>
    <w:p w14:paraId="1CFF8CE2">
      <w:pPr>
        <w:adjustRightInd w:val="0"/>
        <w:snapToGrid w:val="0"/>
        <w:spacing w:line="340" w:lineRule="atLeast"/>
        <w:ind w:firstLine="420"/>
        <w:rPr>
          <w:color w:val="auto"/>
          <w:szCs w:val="21"/>
        </w:rPr>
      </w:pPr>
      <w:r>
        <w:rPr>
          <w:b/>
          <w:color w:val="auto"/>
          <w:szCs w:val="21"/>
        </w:rPr>
        <w:t>a)</w:t>
      </w:r>
      <w:r>
        <w:rPr>
          <w:color w:val="auto"/>
          <w:szCs w:val="21"/>
        </w:rPr>
        <w:t xml:space="preserve">  </w:t>
      </w:r>
      <w:r>
        <w:rPr>
          <w:rFonts w:hint="eastAsia"/>
          <w:color w:val="auto"/>
          <w:szCs w:val="21"/>
        </w:rPr>
        <w:t>抗浮设计应全面考虑上层滞水、承压水、潜水、裂隙水、岩溶水等不同类型地下水的水位</w:t>
      </w:r>
      <w:r>
        <w:rPr>
          <w:color w:val="auto"/>
          <w:szCs w:val="21"/>
        </w:rPr>
        <w:t>。</w:t>
      </w:r>
      <w:r>
        <w:rPr>
          <w:rFonts w:hint="eastAsia"/>
          <w:color w:val="auto"/>
          <w:szCs w:val="21"/>
        </w:rPr>
        <w:t>水位变化及水力联系的影响，按最不利情况确定抗浮设计水位。</w:t>
      </w:r>
    </w:p>
    <w:p w14:paraId="10BABA71">
      <w:pPr>
        <w:adjustRightInd w:val="0"/>
        <w:snapToGrid w:val="0"/>
        <w:spacing w:line="340" w:lineRule="atLeast"/>
        <w:ind w:firstLine="420"/>
        <w:rPr>
          <w:color w:val="auto"/>
          <w:szCs w:val="21"/>
        </w:rPr>
      </w:pPr>
      <w:r>
        <w:rPr>
          <w:b/>
          <w:color w:val="auto"/>
          <w:szCs w:val="21"/>
        </w:rPr>
        <w:t>b)</w:t>
      </w:r>
      <w:r>
        <w:rPr>
          <w:color w:val="auto"/>
          <w:szCs w:val="21"/>
        </w:rPr>
        <w:t xml:space="preserve">  上层滞水的抗浮设计水位可按使用阶段</w:t>
      </w:r>
      <w:r>
        <w:rPr>
          <w:rFonts w:hint="eastAsia"/>
          <w:color w:val="auto"/>
          <w:szCs w:val="21"/>
        </w:rPr>
        <w:t>地下室周边</w:t>
      </w:r>
      <w:r>
        <w:rPr>
          <w:color w:val="auto"/>
          <w:szCs w:val="21"/>
        </w:rPr>
        <w:t>地面标高取值</w:t>
      </w:r>
      <w:r>
        <w:rPr>
          <w:rFonts w:hint="eastAsia"/>
          <w:color w:val="auto"/>
          <w:szCs w:val="21"/>
        </w:rPr>
        <w:t>。</w:t>
      </w:r>
      <w:r>
        <w:rPr>
          <w:color w:val="auto"/>
          <w:szCs w:val="21"/>
        </w:rPr>
        <w:t>对二、三级阶地可通过地形、地貌的调查提供抗浮设计水位。如地面有可能长期渍水时，应按渍水水面标高取值。</w:t>
      </w:r>
    </w:p>
    <w:p w14:paraId="4D34A5FF">
      <w:pPr>
        <w:adjustRightInd w:val="0"/>
        <w:snapToGrid w:val="0"/>
        <w:spacing w:line="340" w:lineRule="atLeast"/>
        <w:ind w:firstLine="420"/>
        <w:rPr>
          <w:color w:val="auto"/>
          <w:szCs w:val="21"/>
        </w:rPr>
      </w:pPr>
      <w:r>
        <w:rPr>
          <w:rFonts w:eastAsia="黑体"/>
          <w:b/>
          <w:bCs/>
          <w:color w:val="auto"/>
          <w:szCs w:val="21"/>
        </w:rPr>
        <w:t>c)</w:t>
      </w:r>
      <w:r>
        <w:rPr>
          <w:color w:val="auto"/>
          <w:szCs w:val="21"/>
        </w:rPr>
        <w:t xml:space="preserve">  场地土层存在不同类型的地下水时，应分别提出勘察期间对抗浮有影响的潜水、承压水、裂隙水、岩溶水等不同类型地下水的水位标高及其水力联系</w:t>
      </w:r>
      <w:r>
        <w:rPr>
          <w:rFonts w:hint="eastAsia"/>
          <w:color w:val="auto"/>
          <w:szCs w:val="21"/>
        </w:rPr>
        <w:t>。</w:t>
      </w:r>
      <w:r>
        <w:rPr>
          <w:color w:val="auto"/>
          <w:szCs w:val="21"/>
        </w:rPr>
        <w:t>如有长期水文观测资料或历史水位记录时，可取历史最高水位为抗浮设计水位。当上述类型地下水与上层滞水有水力联系</w:t>
      </w:r>
      <w:r>
        <w:rPr>
          <w:rFonts w:hint="eastAsia"/>
          <w:color w:val="auto"/>
          <w:szCs w:val="21"/>
        </w:rPr>
        <w:t>且水位低于上层滞水水位</w:t>
      </w:r>
      <w:r>
        <w:rPr>
          <w:color w:val="auto"/>
          <w:szCs w:val="21"/>
        </w:rPr>
        <w:t>时，按本条</w:t>
      </w:r>
      <w:r>
        <w:rPr>
          <w:rFonts w:hint="eastAsia"/>
          <w:color w:val="auto"/>
          <w:szCs w:val="21"/>
        </w:rPr>
        <w:t>b</w:t>
      </w:r>
      <w:r>
        <w:rPr>
          <w:color w:val="auto"/>
          <w:szCs w:val="21"/>
        </w:rPr>
        <w:t>) 款上层滞水水位取值。</w:t>
      </w:r>
    </w:p>
    <w:p w14:paraId="4B3D4C6B">
      <w:pPr>
        <w:adjustRightInd w:val="0"/>
        <w:snapToGrid w:val="0"/>
        <w:spacing w:line="340" w:lineRule="atLeast"/>
        <w:ind w:firstLine="420"/>
        <w:rPr>
          <w:color w:val="auto"/>
          <w:szCs w:val="21"/>
        </w:rPr>
      </w:pPr>
      <w:r>
        <w:rPr>
          <w:color w:val="auto"/>
          <w:szCs w:val="21"/>
        </w:rPr>
        <w:t>当无长期水文观测资料及历史水位记录，且上述类型水与上层滞水无水力联系时，应结合建筑物重要性、环境条件及区域水文地质条件、勘察期间测得的水位等综合研究确定抗浮设计水位。</w:t>
      </w:r>
    </w:p>
    <w:p w14:paraId="3B281191">
      <w:pPr>
        <w:adjustRightInd w:val="0"/>
        <w:snapToGrid w:val="0"/>
        <w:spacing w:line="340" w:lineRule="atLeast"/>
        <w:ind w:firstLine="420"/>
        <w:rPr>
          <w:color w:val="auto"/>
          <w:szCs w:val="21"/>
        </w:rPr>
      </w:pPr>
      <w:r>
        <w:rPr>
          <w:rFonts w:eastAsia="黑体"/>
          <w:b/>
          <w:bCs/>
          <w:color w:val="auto"/>
          <w:szCs w:val="21"/>
        </w:rPr>
        <w:t>d)</w:t>
      </w:r>
      <w:r>
        <w:rPr>
          <w:color w:val="auto"/>
          <w:szCs w:val="21"/>
        </w:rPr>
        <w:t xml:space="preserve">  对紧邻江、河、湖泊的地下建筑物，确定抗浮设计水位时应根据地层分布情况考虑江、河、湖泊最高水位和水位坡降的影响。当以最高水位作为抗浮设计水位时，</w:t>
      </w:r>
      <w:r>
        <w:rPr>
          <w:rFonts w:hint="eastAsia"/>
          <w:color w:val="auto"/>
          <w:szCs w:val="21"/>
        </w:rPr>
        <w:t>可适当降低抗浮稳定安全系数，</w:t>
      </w:r>
      <w:r>
        <w:rPr>
          <w:color w:val="auto"/>
          <w:szCs w:val="21"/>
        </w:rPr>
        <w:t>但不应小于1.05</w:t>
      </w:r>
      <w:r>
        <w:rPr>
          <w:rFonts w:hint="eastAsia"/>
          <w:color w:val="auto"/>
          <w:szCs w:val="21"/>
        </w:rPr>
        <w:t>，抗拔构件应满足抗裂要求</w:t>
      </w:r>
      <w:r>
        <w:rPr>
          <w:color w:val="auto"/>
          <w:szCs w:val="21"/>
        </w:rPr>
        <w:t>。</w:t>
      </w:r>
    </w:p>
    <w:p w14:paraId="147282CC">
      <w:pPr>
        <w:adjustRightInd w:val="0"/>
        <w:snapToGrid w:val="0"/>
        <w:spacing w:line="340" w:lineRule="atLeast"/>
        <w:ind w:firstLine="420"/>
        <w:rPr>
          <w:color w:val="auto"/>
          <w:szCs w:val="21"/>
        </w:rPr>
      </w:pPr>
      <w:r>
        <w:rPr>
          <w:rFonts w:eastAsia="黑体"/>
          <w:b/>
          <w:bCs/>
          <w:color w:val="auto"/>
          <w:szCs w:val="21"/>
        </w:rPr>
        <w:t>e)</w:t>
      </w:r>
      <w:r>
        <w:rPr>
          <w:color w:val="auto"/>
          <w:szCs w:val="21"/>
        </w:rPr>
        <w:t xml:space="preserve">  承压水最高</w:t>
      </w:r>
      <w:r>
        <w:rPr>
          <w:rFonts w:hint="eastAsia"/>
          <w:color w:val="auto"/>
          <w:szCs w:val="21"/>
        </w:rPr>
        <w:t>测压</w:t>
      </w:r>
      <w:r>
        <w:rPr>
          <w:color w:val="auto"/>
          <w:szCs w:val="21"/>
        </w:rPr>
        <w:t>水位高于隔水层顶面标高及基底标高</w:t>
      </w:r>
      <w:r>
        <w:rPr>
          <w:rFonts w:hint="eastAsia"/>
          <w:color w:val="auto"/>
          <w:szCs w:val="21"/>
        </w:rPr>
        <w:t>，且隔水层较薄</w:t>
      </w:r>
      <w:r>
        <w:rPr>
          <w:color w:val="auto"/>
          <w:szCs w:val="21"/>
        </w:rPr>
        <w:t>时，不宜考虑隔水层的隔水作用。</w:t>
      </w:r>
    </w:p>
    <w:p w14:paraId="1A0C8DA5">
      <w:pPr>
        <w:adjustRightInd w:val="0"/>
        <w:snapToGrid w:val="0"/>
        <w:spacing w:line="340" w:lineRule="atLeast"/>
        <w:ind w:firstLine="420"/>
        <w:rPr>
          <w:color w:val="auto"/>
          <w:szCs w:val="21"/>
        </w:rPr>
      </w:pPr>
      <w:r>
        <w:rPr>
          <w:rFonts w:eastAsia="黑体"/>
          <w:b/>
          <w:bCs/>
          <w:color w:val="auto"/>
          <w:szCs w:val="21"/>
        </w:rPr>
        <w:t>f)</w:t>
      </w:r>
      <w:r>
        <w:rPr>
          <w:color w:val="auto"/>
          <w:szCs w:val="21"/>
        </w:rPr>
        <w:t xml:space="preserve">  当地下建筑物周边有连续可靠的排水通道，且排水量及排水速度大于地面水和地下水的补给速度时，可取排水通道的标高作为抗浮设计水位。</w:t>
      </w:r>
    </w:p>
    <w:p w14:paraId="463486D6">
      <w:pPr>
        <w:adjustRightInd w:val="0"/>
        <w:snapToGrid w:val="0"/>
        <w:spacing w:line="340" w:lineRule="atLeast"/>
        <w:ind w:firstLine="420"/>
        <w:rPr>
          <w:color w:val="auto"/>
          <w:szCs w:val="21"/>
        </w:rPr>
      </w:pPr>
      <w:r>
        <w:rPr>
          <w:rFonts w:eastAsia="黑体"/>
          <w:b/>
          <w:bCs/>
          <w:color w:val="auto"/>
          <w:szCs w:val="21"/>
        </w:rPr>
        <w:t>g)</w:t>
      </w:r>
      <w:r>
        <w:rPr>
          <w:color w:val="auto"/>
          <w:szCs w:val="21"/>
        </w:rPr>
        <w:t xml:space="preserve">  对处于斜坡上或其他可能产生明显水头差的场地的地下建筑物，应考虑地下水对地下建筑物产生的非均布浮力，提出相应的抗浮设计水位。</w:t>
      </w:r>
    </w:p>
    <w:p w14:paraId="7964333D">
      <w:pPr>
        <w:pStyle w:val="20"/>
        <w:snapToGrid w:val="0"/>
        <w:spacing w:line="340" w:lineRule="atLeast"/>
        <w:ind w:left="0" w:leftChars="0"/>
        <w:rPr>
          <w:color w:val="auto"/>
          <w:szCs w:val="21"/>
        </w:rPr>
      </w:pPr>
      <w:r>
        <w:rPr>
          <w:rFonts w:eastAsia="黑体"/>
          <w:b/>
          <w:bCs/>
          <w:color w:val="auto"/>
          <w:szCs w:val="21"/>
        </w:rPr>
        <w:t>13.5.4</w:t>
      </w:r>
      <w:r>
        <w:rPr>
          <w:b/>
          <w:bCs/>
          <w:color w:val="auto"/>
          <w:szCs w:val="21"/>
        </w:rPr>
        <w:t xml:space="preserve">  </w:t>
      </w:r>
      <w:r>
        <w:rPr>
          <w:color w:val="auto"/>
          <w:szCs w:val="21"/>
        </w:rPr>
        <w:t>当地下建筑物基坑开挖的支护结构与主体结构为叠合结构或复合结构时，根据地层及支护结构情况可考虑支护结构对上层滞水的阻隔作用，在上层滞水与其他性质地下水无水力联系时，可不考虑上层滞水的浮力。</w:t>
      </w:r>
    </w:p>
    <w:p w14:paraId="7E5E01B4">
      <w:pPr>
        <w:pStyle w:val="20"/>
        <w:snapToGrid w:val="0"/>
        <w:spacing w:line="340" w:lineRule="atLeast"/>
        <w:ind w:left="0" w:leftChars="0"/>
        <w:rPr>
          <w:color w:val="auto"/>
          <w:szCs w:val="21"/>
        </w:rPr>
      </w:pPr>
      <w:r>
        <w:rPr>
          <w:rFonts w:eastAsia="黑体"/>
          <w:b/>
          <w:bCs/>
          <w:color w:val="auto"/>
          <w:szCs w:val="21"/>
        </w:rPr>
        <w:t>13.5.5</w:t>
      </w:r>
      <w:r>
        <w:rPr>
          <w:b/>
          <w:bCs/>
          <w:color w:val="auto"/>
          <w:szCs w:val="21"/>
        </w:rPr>
        <w:t xml:space="preserve">  </w:t>
      </w:r>
      <w:r>
        <w:rPr>
          <w:rFonts w:hint="eastAsia"/>
          <w:color w:val="auto"/>
          <w:szCs w:val="21"/>
        </w:rPr>
        <w:t>新建</w:t>
      </w:r>
      <w:r>
        <w:rPr>
          <w:color w:val="auto"/>
          <w:szCs w:val="21"/>
        </w:rPr>
        <w:t>地下建筑物</w:t>
      </w:r>
      <w:r>
        <w:rPr>
          <w:rFonts w:hint="eastAsia"/>
          <w:color w:val="auto"/>
          <w:szCs w:val="21"/>
        </w:rPr>
        <w:t>，</w:t>
      </w:r>
      <w:r>
        <w:rPr>
          <w:color w:val="auto"/>
          <w:szCs w:val="21"/>
        </w:rPr>
        <w:t>应进行施工期和使用期的抗浮稳定安全验算</w:t>
      </w:r>
      <w:r>
        <w:rPr>
          <w:rFonts w:hint="eastAsia"/>
          <w:color w:val="auto"/>
          <w:szCs w:val="21"/>
        </w:rPr>
        <w:t>。</w:t>
      </w:r>
      <w:r>
        <w:rPr>
          <w:color w:val="auto"/>
          <w:szCs w:val="21"/>
        </w:rPr>
        <w:t>在进行整体抗浮稳定验算时，建筑工程抗浮稳定安全系数</w:t>
      </w:r>
      <w:r>
        <w:rPr>
          <w:rFonts w:hint="eastAsia"/>
          <w:color w:val="auto"/>
          <w:szCs w:val="21"/>
        </w:rPr>
        <w:t>K</w:t>
      </w:r>
      <w:r>
        <w:rPr>
          <w:color w:val="auto"/>
          <w:szCs w:val="21"/>
          <w:vertAlign w:val="subscript"/>
        </w:rPr>
        <w:t>w</w:t>
      </w:r>
      <w:r>
        <w:rPr>
          <w:rFonts w:hint="eastAsia"/>
          <w:color w:val="auto"/>
          <w:szCs w:val="21"/>
        </w:rPr>
        <w:t>应</w:t>
      </w:r>
      <w:r>
        <w:rPr>
          <w:color w:val="auto"/>
          <w:szCs w:val="21"/>
        </w:rPr>
        <w:t>符合</w:t>
      </w:r>
      <w:r>
        <w:rPr>
          <w:rFonts w:hint="eastAsia"/>
          <w:color w:val="auto"/>
          <w:szCs w:val="21"/>
        </w:rPr>
        <w:t>JGJ</w:t>
      </w:r>
      <w:r>
        <w:rPr>
          <w:rFonts w:hint="eastAsia"/>
          <w:color w:val="auto"/>
          <w:szCs w:val="21"/>
          <w:lang w:val="en-US" w:eastAsia="zh-CN"/>
        </w:rPr>
        <w:t xml:space="preserve"> </w:t>
      </w:r>
      <w:r>
        <w:rPr>
          <w:rFonts w:hint="eastAsia"/>
          <w:color w:val="auto"/>
          <w:szCs w:val="21"/>
        </w:rPr>
        <w:t>476的有关规定</w:t>
      </w:r>
      <w:r>
        <w:rPr>
          <w:color w:val="auto"/>
          <w:szCs w:val="21"/>
        </w:rPr>
        <w:t>，地铁地下结构的抗浮稳定安全系数应符合本文件第16.3的有关规定。当整体抗浮稳定满足要求而局部不满足时，根据结构布置情况可采用增加结构刚度的措施。</w:t>
      </w:r>
    </w:p>
    <w:p w14:paraId="69B6B323">
      <w:pPr>
        <w:pStyle w:val="20"/>
        <w:snapToGrid w:val="0"/>
        <w:spacing w:line="340" w:lineRule="atLeast"/>
        <w:ind w:left="0" w:leftChars="0"/>
        <w:rPr>
          <w:color w:val="auto"/>
          <w:szCs w:val="21"/>
        </w:rPr>
      </w:pPr>
      <w:r>
        <w:rPr>
          <w:rFonts w:eastAsia="黑体"/>
          <w:b/>
          <w:bCs/>
          <w:color w:val="auto"/>
          <w:szCs w:val="21"/>
        </w:rPr>
        <w:t>13.5.6</w:t>
      </w:r>
      <w:r>
        <w:rPr>
          <w:b/>
          <w:bCs/>
          <w:color w:val="auto"/>
          <w:szCs w:val="21"/>
        </w:rPr>
        <w:t xml:space="preserve">  </w:t>
      </w:r>
      <w:r>
        <w:rPr>
          <w:color w:val="auto"/>
          <w:szCs w:val="21"/>
        </w:rPr>
        <w:t>当建筑物抗浮稳定不满足要求时，</w:t>
      </w:r>
      <w:r>
        <w:rPr>
          <w:rFonts w:hint="eastAsia"/>
          <w:color w:val="auto"/>
          <w:szCs w:val="21"/>
        </w:rPr>
        <w:t>宜优先</w:t>
      </w:r>
      <w:r>
        <w:rPr>
          <w:color w:val="auto"/>
          <w:szCs w:val="21"/>
        </w:rPr>
        <w:t>采用抗拔桩或压重等措施增加建筑物抗浮能力</w:t>
      </w:r>
      <w:r>
        <w:rPr>
          <w:rFonts w:hint="eastAsia"/>
          <w:color w:val="auto"/>
          <w:szCs w:val="21"/>
        </w:rPr>
        <w:t>，当采用抗拔锚杆时，应符合</w:t>
      </w:r>
      <w:r>
        <w:rPr>
          <w:color w:val="auto"/>
          <w:szCs w:val="21"/>
        </w:rPr>
        <w:t>JGJ</w:t>
      </w:r>
      <w:r>
        <w:rPr>
          <w:rFonts w:hint="eastAsia"/>
          <w:color w:val="auto"/>
          <w:szCs w:val="21"/>
          <w:lang w:val="en-US" w:eastAsia="zh-CN"/>
        </w:rPr>
        <w:t xml:space="preserve"> </w:t>
      </w:r>
      <w:r>
        <w:rPr>
          <w:color w:val="auto"/>
          <w:szCs w:val="21"/>
        </w:rPr>
        <w:t>476的相关要求。采用抗拔构件平衡水浮力时应符合</w:t>
      </w:r>
      <w:r>
        <w:rPr>
          <w:rFonts w:hint="eastAsia"/>
          <w:color w:val="auto"/>
          <w:lang w:val="en-US" w:eastAsia="zh-CN"/>
        </w:rPr>
        <w:t>公式（116）</w:t>
      </w:r>
      <w:r>
        <w:rPr>
          <w:color w:val="auto"/>
          <w:szCs w:val="21"/>
        </w:rPr>
        <w:t>要求：</w:t>
      </w:r>
    </w:p>
    <w:p w14:paraId="7EBA45BE">
      <w:pPr>
        <w:pStyle w:val="12"/>
        <w:jc w:val="right"/>
        <w:rPr>
          <w:color w:val="auto"/>
          <w:u w:val="none"/>
        </w:rPr>
      </w:pPr>
      <w:r>
        <w:rPr>
          <w:color w:val="auto"/>
          <w:position w:val="-30"/>
          <w:u w:val="none"/>
        </w:rPr>
        <w:object>
          <v:shape id="_x0000_i1560" o:spt="75" type="#_x0000_t75" style="height:36pt;width:68.25pt;" o:ole="t" filled="f" o:preferrelative="t" stroked="f" coordsize="21600,21600">
            <v:path/>
            <v:fill on="f" focussize="0,0"/>
            <v:stroke on="f" joinstyle="miter"/>
            <v:imagedata r:id="rId1053" o:title=""/>
            <o:lock v:ext="edit" aspectratio="t"/>
            <w10:wrap type="none"/>
            <w10:anchorlock/>
          </v:shape>
          <o:OLEObject Type="Embed" ProgID="Equation.DSMT4" ShapeID="_x0000_i1560" DrawAspect="Content" ObjectID="_1468076260" r:id="rId1052">
            <o:LockedField>false</o:LockedField>
          </o:OLEObject>
        </w:object>
      </w:r>
      <w:r>
        <w:rPr>
          <w:color w:val="auto"/>
          <w:u w:val="none"/>
        </w:rPr>
        <w:t xml:space="preserve">                                        (</w:t>
      </w:r>
      <w:r>
        <w:rPr>
          <w:color w:val="auto"/>
          <w:u w:val="none"/>
        </w:rPr>
        <w:fldChar w:fldCharType="begin"/>
      </w:r>
      <w:r>
        <w:rPr>
          <w:color w:val="auto"/>
          <w:u w:val="none"/>
        </w:rPr>
        <w:instrText xml:space="preserve"> SEQ Equation \* ARABIC </w:instrText>
      </w:r>
      <w:r>
        <w:rPr>
          <w:color w:val="auto"/>
          <w:u w:val="none"/>
        </w:rPr>
        <w:fldChar w:fldCharType="separate"/>
      </w:r>
      <w:r>
        <w:rPr>
          <w:color w:val="auto"/>
          <w:u w:val="none"/>
        </w:rPr>
        <w:t>116</w:t>
      </w:r>
      <w:r>
        <w:rPr>
          <w:color w:val="auto"/>
          <w:u w:val="none"/>
        </w:rPr>
        <w:fldChar w:fldCharType="end"/>
      </w:r>
      <w:r>
        <w:rPr>
          <w:color w:val="auto"/>
          <w:u w:val="none"/>
        </w:rPr>
        <w:t>)</w:t>
      </w:r>
    </w:p>
    <w:p w14:paraId="75A3DE07">
      <w:pPr>
        <w:adjustRightInd w:val="0"/>
        <w:snapToGrid w:val="0"/>
        <w:spacing w:line="400" w:lineRule="atLeast"/>
        <w:rPr>
          <w:color w:val="auto"/>
          <w:kern w:val="0"/>
          <w:szCs w:val="28"/>
        </w:rPr>
      </w:pPr>
      <w:r>
        <w:rPr>
          <w:color w:val="auto"/>
        </w:rPr>
        <w:t xml:space="preserve">式中   </w:t>
      </w:r>
      <w:r>
        <w:rPr>
          <w:color w:val="auto"/>
          <w:kern w:val="0"/>
          <w:szCs w:val="28"/>
        </w:rPr>
        <w:t xml:space="preserve"> </w:t>
      </w:r>
      <w:r>
        <w:rPr>
          <w:i/>
          <w:iCs/>
          <w:color w:val="auto"/>
          <w:kern w:val="0"/>
          <w:szCs w:val="28"/>
        </w:rPr>
        <w:t>n</w:t>
      </w:r>
      <w:r>
        <w:rPr>
          <w:color w:val="auto"/>
          <w:kern w:val="0"/>
          <w:szCs w:val="28"/>
        </w:rPr>
        <w:t>——抗拔构件根数；</w:t>
      </w:r>
    </w:p>
    <w:p w14:paraId="0B1D3612">
      <w:pPr>
        <w:autoSpaceDE w:val="0"/>
        <w:autoSpaceDN w:val="0"/>
        <w:adjustRightInd w:val="0"/>
        <w:snapToGrid w:val="0"/>
        <w:spacing w:line="360" w:lineRule="atLeast"/>
        <w:ind w:firstLine="447" w:firstLineChars="213"/>
        <w:rPr>
          <w:color w:val="auto"/>
          <w:kern w:val="0"/>
          <w:szCs w:val="28"/>
        </w:rPr>
      </w:pPr>
      <w:r>
        <w:rPr>
          <w:color w:val="auto"/>
          <w:position w:val="-12"/>
        </w:rPr>
        <w:object>
          <v:shape id="_x0000_i1561" o:spt="75" type="#_x0000_t75" style="height:21.75pt;width:21.75pt;" o:ole="t" filled="f" o:preferrelative="t" stroked="f" coordsize="21600,21600">
            <v:path/>
            <v:fill on="f" focussize="0,0"/>
            <v:stroke on="f" joinstyle="miter"/>
            <v:imagedata r:id="rId1055" o:title=""/>
            <o:lock v:ext="edit" aspectratio="t"/>
            <w10:wrap type="none"/>
            <w10:anchorlock/>
          </v:shape>
          <o:OLEObject Type="Embed" ProgID="Equation.DSMT4" ShapeID="_x0000_i1561" DrawAspect="Content" ObjectID="_1468076261" r:id="rId1054">
            <o:LockedField>false</o:LockedField>
          </o:OLEObject>
        </w:object>
      </w:r>
      <w:r>
        <w:rPr>
          <w:color w:val="auto"/>
          <w:kern w:val="0"/>
          <w:szCs w:val="28"/>
        </w:rPr>
        <w:t>——</w:t>
      </w:r>
      <w:r>
        <w:rPr>
          <w:rFonts w:hint="eastAsia"/>
          <w:color w:val="auto"/>
          <w:kern w:val="0"/>
          <w:szCs w:val="28"/>
        </w:rPr>
        <w:t>相应于抗浮设计水位标准值作用下，所产生的浮力标准值</w:t>
      </w:r>
      <w:r>
        <w:rPr>
          <w:color w:val="auto"/>
          <w:kern w:val="0"/>
          <w:szCs w:val="28"/>
        </w:rPr>
        <w:t>；</w:t>
      </w:r>
    </w:p>
    <w:p w14:paraId="496799D5">
      <w:pPr>
        <w:autoSpaceDE w:val="0"/>
        <w:autoSpaceDN w:val="0"/>
        <w:adjustRightInd w:val="0"/>
        <w:snapToGrid w:val="0"/>
        <w:spacing w:line="360" w:lineRule="atLeast"/>
        <w:ind w:firstLine="602"/>
        <w:rPr>
          <w:color w:val="auto"/>
          <w:kern w:val="0"/>
          <w:szCs w:val="28"/>
        </w:rPr>
      </w:pPr>
      <w:r>
        <w:rPr>
          <w:color w:val="auto"/>
          <w:position w:val="-12"/>
        </w:rPr>
        <w:object>
          <v:shape id="_x0000_i1562" o:spt="75" type="#_x0000_t75" style="height:21.75pt;width:14.25pt;" o:ole="t" filled="f" o:preferrelative="t" stroked="f" coordsize="21600,21600">
            <v:path/>
            <v:fill on="f" focussize="0,0"/>
            <v:stroke on="f" joinstyle="miter"/>
            <v:imagedata r:id="rId1057" o:title=""/>
            <o:lock v:ext="edit" aspectratio="t"/>
            <w10:wrap type="none"/>
            <w10:anchorlock/>
          </v:shape>
          <o:OLEObject Type="Embed" ProgID="Equation.DSMT4" ShapeID="_x0000_i1562" DrawAspect="Content" ObjectID="_1468076262" r:id="rId1056">
            <o:LockedField>false</o:LockedField>
          </o:OLEObject>
        </w:object>
      </w:r>
      <w:r>
        <w:rPr>
          <w:color w:val="auto"/>
          <w:kern w:val="0"/>
          <w:szCs w:val="28"/>
        </w:rPr>
        <w:t>——建筑物自重（含压重）标准值；</w:t>
      </w:r>
    </w:p>
    <w:p w14:paraId="0274B185">
      <w:pPr>
        <w:autoSpaceDE w:val="0"/>
        <w:autoSpaceDN w:val="0"/>
        <w:adjustRightInd w:val="0"/>
        <w:snapToGrid w:val="0"/>
        <w:spacing w:line="360" w:lineRule="atLeast"/>
        <w:ind w:firstLine="602"/>
        <w:rPr>
          <w:color w:val="auto"/>
          <w:kern w:val="0"/>
          <w:szCs w:val="28"/>
        </w:rPr>
      </w:pPr>
      <w:r>
        <w:rPr>
          <w:rFonts w:hint="eastAsia"/>
          <w:color w:val="auto"/>
          <w:kern w:val="0"/>
          <w:szCs w:val="28"/>
        </w:rPr>
        <w:t>K</w:t>
      </w:r>
      <w:r>
        <w:rPr>
          <w:color w:val="auto"/>
          <w:kern w:val="0"/>
          <w:szCs w:val="28"/>
          <w:vertAlign w:val="subscript"/>
        </w:rPr>
        <w:t>w</w:t>
      </w:r>
      <w:r>
        <w:rPr>
          <w:color w:val="auto"/>
          <w:kern w:val="0"/>
          <w:szCs w:val="28"/>
        </w:rPr>
        <w:t>——抗浮</w:t>
      </w:r>
      <w:r>
        <w:rPr>
          <w:rFonts w:hint="eastAsia"/>
          <w:color w:val="auto"/>
          <w:kern w:val="0"/>
          <w:szCs w:val="28"/>
        </w:rPr>
        <w:t>稳定</w:t>
      </w:r>
      <w:r>
        <w:rPr>
          <w:color w:val="auto"/>
          <w:kern w:val="0"/>
          <w:szCs w:val="28"/>
        </w:rPr>
        <w:t>安全系数</w:t>
      </w:r>
      <w:r>
        <w:rPr>
          <w:rFonts w:hint="eastAsia"/>
          <w:color w:val="auto"/>
          <w:kern w:val="0"/>
          <w:szCs w:val="28"/>
        </w:rPr>
        <w:t>，</w:t>
      </w:r>
      <w:r>
        <w:rPr>
          <w:color w:val="auto"/>
          <w:kern w:val="0"/>
          <w:szCs w:val="28"/>
        </w:rPr>
        <w:t>按</w:t>
      </w:r>
      <w:r>
        <w:rPr>
          <w:rFonts w:hint="eastAsia"/>
          <w:color w:val="auto"/>
          <w:kern w:val="0"/>
          <w:szCs w:val="28"/>
        </w:rPr>
        <w:t>J</w:t>
      </w:r>
      <w:r>
        <w:rPr>
          <w:color w:val="auto"/>
          <w:kern w:val="0"/>
          <w:szCs w:val="28"/>
        </w:rPr>
        <w:t>GJ</w:t>
      </w:r>
      <w:r>
        <w:rPr>
          <w:rFonts w:hint="eastAsia"/>
          <w:color w:val="auto"/>
          <w:kern w:val="0"/>
          <w:szCs w:val="28"/>
          <w:lang w:val="en-US" w:eastAsia="zh-CN"/>
        </w:rPr>
        <w:t xml:space="preserve"> </w:t>
      </w:r>
      <w:r>
        <w:rPr>
          <w:color w:val="auto"/>
          <w:kern w:val="0"/>
          <w:szCs w:val="28"/>
        </w:rPr>
        <w:t>476的规定取值</w:t>
      </w:r>
      <w:r>
        <w:rPr>
          <w:rFonts w:hint="eastAsia"/>
          <w:color w:val="auto"/>
          <w:kern w:val="0"/>
          <w:szCs w:val="28"/>
        </w:rPr>
        <w:t>；</w:t>
      </w:r>
    </w:p>
    <w:p w14:paraId="19D5FE4A">
      <w:pPr>
        <w:adjustRightInd w:val="0"/>
        <w:snapToGrid w:val="0"/>
        <w:spacing w:line="400" w:lineRule="atLeast"/>
        <w:ind w:firstLine="516" w:firstLineChars="246"/>
        <w:rPr>
          <w:color w:val="auto"/>
        </w:rPr>
      </w:pPr>
      <w:r>
        <w:rPr>
          <w:color w:val="auto"/>
          <w:position w:val="-12"/>
        </w:rPr>
        <w:object>
          <v:shape id="_x0000_i1563" o:spt="75" type="#_x0000_t75" style="height:21.75pt;width:14.25pt;" o:ole="t" filled="f" o:preferrelative="t" stroked="f" coordsize="21600,21600">
            <v:path/>
            <v:fill on="f" focussize="0,0"/>
            <v:stroke on="f" joinstyle="miter"/>
            <v:imagedata r:id="rId1059" o:title=""/>
            <o:lock v:ext="edit" aspectratio="t"/>
            <w10:wrap type="none"/>
            <w10:anchorlock/>
          </v:shape>
          <o:OLEObject Type="Embed" ProgID="Equation.DSMT4" ShapeID="_x0000_i1563" DrawAspect="Content" ObjectID="_1468076263" r:id="rId1058">
            <o:LockedField>false</o:LockedField>
          </o:OLEObject>
        </w:object>
      </w:r>
      <w:r>
        <w:rPr>
          <w:color w:val="auto"/>
        </w:rPr>
        <w:t>——单根抗拔构件抗拔承载力特征值。</w:t>
      </w:r>
    </w:p>
    <w:p w14:paraId="6C1760D3">
      <w:pPr>
        <w:adjustRightInd w:val="0"/>
        <w:snapToGrid w:val="0"/>
        <w:spacing w:line="340" w:lineRule="atLeast"/>
        <w:rPr>
          <w:color w:val="auto"/>
          <w:szCs w:val="21"/>
          <w:lang w:val="en-GB"/>
        </w:rPr>
      </w:pPr>
      <w:r>
        <w:rPr>
          <w:rFonts w:eastAsia="黑体"/>
          <w:b/>
          <w:color w:val="auto"/>
          <w:szCs w:val="21"/>
        </w:rPr>
        <w:t>13.5.7</w:t>
      </w:r>
      <w:r>
        <w:rPr>
          <w:color w:val="auto"/>
          <w:szCs w:val="21"/>
          <w:lang w:val="en-GB"/>
        </w:rPr>
        <w:t xml:space="preserve">  抗拔锚杆抗拔承载力特征值应通过抗拔锚杆基本试验确定，锚杆抗拔承载力特征值的估算应符合本文件第13.7节及</w:t>
      </w:r>
      <w:r>
        <w:rPr>
          <w:rFonts w:hint="eastAsia"/>
          <w:color w:val="auto"/>
          <w:szCs w:val="21"/>
        </w:rPr>
        <w:t>JGJ</w:t>
      </w:r>
      <w:r>
        <w:rPr>
          <w:rFonts w:hint="eastAsia"/>
          <w:color w:val="auto"/>
          <w:szCs w:val="21"/>
          <w:lang w:val="en-US" w:eastAsia="zh-CN"/>
        </w:rPr>
        <w:t xml:space="preserve"> </w:t>
      </w:r>
      <w:r>
        <w:rPr>
          <w:rFonts w:hint="eastAsia"/>
          <w:color w:val="auto"/>
          <w:szCs w:val="21"/>
        </w:rPr>
        <w:t>476</w:t>
      </w:r>
      <w:r>
        <w:rPr>
          <w:color w:val="auto"/>
          <w:szCs w:val="21"/>
          <w:lang w:val="en-GB"/>
        </w:rPr>
        <w:t>的相关规定。</w:t>
      </w:r>
    </w:p>
    <w:p w14:paraId="2D15F1FC">
      <w:pPr>
        <w:adjustRightInd w:val="0"/>
        <w:snapToGrid w:val="0"/>
        <w:spacing w:line="340" w:lineRule="atLeast"/>
        <w:rPr>
          <w:color w:val="auto"/>
        </w:rPr>
      </w:pPr>
      <w:r>
        <w:rPr>
          <w:rFonts w:eastAsia="黑体"/>
          <w:b/>
          <w:color w:val="auto"/>
          <w:szCs w:val="21"/>
        </w:rPr>
        <w:t>13.5.8</w:t>
      </w:r>
      <w:r>
        <w:rPr>
          <w:color w:val="auto"/>
          <w:szCs w:val="21"/>
          <w:lang w:val="en-GB"/>
        </w:rPr>
        <w:t xml:space="preserve">  施工期间应采取基坑排水、超过一定水位的水自动流入地下室等防止建筑物上浮的有效措施。</w:t>
      </w:r>
    </w:p>
    <w:p w14:paraId="3EEEF87F">
      <w:pPr>
        <w:adjustRightInd w:val="0"/>
        <w:snapToGrid w:val="0"/>
        <w:spacing w:line="380" w:lineRule="exact"/>
        <w:rPr>
          <w:color w:val="auto"/>
          <w:sz w:val="24"/>
          <w:lang w:val="en-GB"/>
        </w:rPr>
      </w:pPr>
    </w:p>
    <w:p w14:paraId="2D4C3E23">
      <w:pPr>
        <w:adjustRightInd w:val="0"/>
        <w:snapToGrid w:val="0"/>
        <w:spacing w:line="340" w:lineRule="exact"/>
        <w:outlineLvl w:val="1"/>
        <w:rPr>
          <w:rFonts w:eastAsia="黑体"/>
          <w:b/>
          <w:bCs/>
          <w:color w:val="auto"/>
          <w:szCs w:val="21"/>
        </w:rPr>
      </w:pPr>
      <w:bookmarkStart w:id="76" w:name="_Toc199943619"/>
      <w:r>
        <w:rPr>
          <w:rFonts w:eastAsia="黑体"/>
          <w:b/>
          <w:bCs/>
          <w:color w:val="auto"/>
          <w:szCs w:val="21"/>
        </w:rPr>
        <w:t>13.6  墩基础</w:t>
      </w:r>
      <w:bookmarkEnd w:id="76"/>
    </w:p>
    <w:p w14:paraId="38919213">
      <w:pPr>
        <w:adjustRightInd w:val="0"/>
        <w:snapToGrid w:val="0"/>
        <w:spacing w:line="340" w:lineRule="atLeast"/>
        <w:ind w:firstLine="420" w:firstLineChars="200"/>
        <w:rPr>
          <w:color w:val="auto"/>
          <w:szCs w:val="21"/>
          <w:lang w:val="en-GB"/>
        </w:rPr>
      </w:pPr>
    </w:p>
    <w:p w14:paraId="5FB0AEA8">
      <w:pPr>
        <w:adjustRightInd w:val="0"/>
        <w:snapToGrid w:val="0"/>
        <w:spacing w:line="340" w:lineRule="atLeast"/>
        <w:rPr>
          <w:color w:val="auto"/>
          <w:szCs w:val="21"/>
        </w:rPr>
      </w:pPr>
      <w:r>
        <w:rPr>
          <w:b/>
          <w:bCs/>
          <w:color w:val="auto"/>
          <w:szCs w:val="21"/>
        </w:rPr>
        <w:t>13.6.1</w:t>
      </w:r>
      <w:r>
        <w:rPr>
          <w:color w:val="auto"/>
          <w:szCs w:val="21"/>
        </w:rPr>
        <w:t xml:space="preserve">  埋深大于3m</w:t>
      </w:r>
      <w:r>
        <w:rPr>
          <w:color w:val="auto"/>
          <w:szCs w:val="21"/>
          <w:lang w:val="en-GB"/>
        </w:rPr>
        <w:t>、</w:t>
      </w:r>
      <w:r>
        <w:rPr>
          <w:color w:val="auto"/>
          <w:szCs w:val="21"/>
        </w:rPr>
        <w:t>直径不小于1000mm、且</w:t>
      </w:r>
      <w:r>
        <w:rPr>
          <w:rFonts w:hint="eastAsia"/>
          <w:color w:val="auto"/>
          <w:szCs w:val="21"/>
        </w:rPr>
        <w:t>有效墩高</w:t>
      </w:r>
      <w:r>
        <w:rPr>
          <w:color w:val="auto"/>
          <w:szCs w:val="21"/>
        </w:rPr>
        <w:t>与墩身直径的比小于6或</w:t>
      </w:r>
      <w:r>
        <w:rPr>
          <w:rFonts w:hint="eastAsia"/>
          <w:color w:val="auto"/>
          <w:szCs w:val="21"/>
        </w:rPr>
        <w:t>有效墩高</w:t>
      </w:r>
      <w:r>
        <w:rPr>
          <w:color w:val="auto"/>
          <w:szCs w:val="21"/>
        </w:rPr>
        <w:t>与扩底直径的比小于4的独立刚性基础，可按墩基进行设计。确定墩基底面积</w:t>
      </w:r>
      <w:r>
        <w:rPr>
          <w:rFonts w:hint="eastAsia"/>
          <w:color w:val="auto"/>
          <w:szCs w:val="21"/>
        </w:rPr>
        <w:t>的</w:t>
      </w:r>
      <w:r>
        <w:rPr>
          <w:color w:val="auto"/>
          <w:szCs w:val="21"/>
        </w:rPr>
        <w:t>设计计算应符合本文件第7章相关规定的要求。人工挖孔墩宜采用圆形截面，人工挖孔墩的适用范围及要求应符合本文件第12.1.5条第k)款的规定。</w:t>
      </w:r>
    </w:p>
    <w:p w14:paraId="5595EAC7">
      <w:pPr>
        <w:adjustRightInd w:val="0"/>
        <w:snapToGrid w:val="0"/>
        <w:spacing w:line="340" w:lineRule="atLeast"/>
        <w:rPr>
          <w:color w:val="auto"/>
          <w:szCs w:val="21"/>
        </w:rPr>
      </w:pPr>
      <w:r>
        <w:rPr>
          <w:b/>
          <w:bCs/>
          <w:color w:val="auto"/>
          <w:szCs w:val="21"/>
        </w:rPr>
        <w:t>13.6.2</w:t>
      </w:r>
      <w:r>
        <w:rPr>
          <w:color w:val="auto"/>
          <w:szCs w:val="21"/>
        </w:rPr>
        <w:t xml:space="preserve">  墩基的构造应符合下列规定：</w:t>
      </w:r>
    </w:p>
    <w:p w14:paraId="517B40FF">
      <w:pPr>
        <w:adjustRightInd w:val="0"/>
        <w:snapToGrid w:val="0"/>
        <w:spacing w:line="340" w:lineRule="atLeast"/>
        <w:ind w:firstLine="422" w:firstLineChars="200"/>
        <w:rPr>
          <w:color w:val="auto"/>
          <w:szCs w:val="21"/>
        </w:rPr>
      </w:pPr>
      <w:r>
        <w:rPr>
          <w:b/>
          <w:bCs/>
          <w:color w:val="auto"/>
          <w:szCs w:val="21"/>
        </w:rPr>
        <w:t>a)</w:t>
      </w:r>
      <w:r>
        <w:rPr>
          <w:color w:val="auto"/>
          <w:szCs w:val="21"/>
        </w:rPr>
        <w:t xml:space="preserve">  墩身混凝土强度等级不应低于C25。</w:t>
      </w:r>
    </w:p>
    <w:p w14:paraId="65CCD8EE">
      <w:pPr>
        <w:adjustRightInd w:val="0"/>
        <w:snapToGrid w:val="0"/>
        <w:spacing w:line="340" w:lineRule="atLeast"/>
        <w:ind w:firstLine="422" w:firstLineChars="200"/>
        <w:rPr>
          <w:color w:val="auto"/>
          <w:szCs w:val="21"/>
        </w:rPr>
      </w:pPr>
      <w:r>
        <w:rPr>
          <w:b/>
          <w:bCs/>
          <w:color w:val="auto"/>
          <w:szCs w:val="21"/>
        </w:rPr>
        <w:t>b)</w:t>
      </w:r>
      <w:r>
        <w:rPr>
          <w:color w:val="auto"/>
          <w:szCs w:val="21"/>
        </w:rPr>
        <w:t xml:space="preserve">  墩身采用构造配筋时，纵向钢筋配筋率不应小于0.15%</w:t>
      </w:r>
      <w:r>
        <w:rPr>
          <w:rFonts w:hint="eastAsia"/>
          <w:color w:val="auto"/>
          <w:szCs w:val="21"/>
        </w:rPr>
        <w:t>，宜通长配筋</w:t>
      </w:r>
      <w:r>
        <w:rPr>
          <w:color w:val="auto"/>
          <w:szCs w:val="21"/>
        </w:rPr>
        <w:t>，箍筋直径不宜小于8mm，间距不宜大于250mm。</w:t>
      </w:r>
    </w:p>
    <w:p w14:paraId="1BBAAFE1">
      <w:pPr>
        <w:adjustRightInd w:val="0"/>
        <w:snapToGrid w:val="0"/>
        <w:spacing w:line="340" w:lineRule="atLeast"/>
        <w:ind w:firstLine="422" w:firstLineChars="200"/>
        <w:rPr>
          <w:color w:val="auto"/>
          <w:szCs w:val="21"/>
        </w:rPr>
      </w:pPr>
      <w:r>
        <w:rPr>
          <w:b/>
          <w:bCs/>
          <w:color w:val="auto"/>
          <w:szCs w:val="21"/>
        </w:rPr>
        <w:t>c)</w:t>
      </w:r>
      <w:r>
        <w:rPr>
          <w:color w:val="auto"/>
          <w:szCs w:val="21"/>
        </w:rPr>
        <w:t xml:space="preserve">  对于一柱一墩的墩基，墩与柱的连结应符合本文件12.2.8条的规定。墙下基础梁与墩顶的连结应符合本文件12.2.9条规定。</w:t>
      </w:r>
    </w:p>
    <w:p w14:paraId="45B27B24">
      <w:pPr>
        <w:adjustRightInd w:val="0"/>
        <w:snapToGrid w:val="0"/>
        <w:spacing w:line="340" w:lineRule="atLeast"/>
        <w:ind w:firstLine="422" w:firstLineChars="200"/>
        <w:rPr>
          <w:color w:val="auto"/>
          <w:szCs w:val="21"/>
        </w:rPr>
      </w:pPr>
      <w:r>
        <w:rPr>
          <w:b/>
          <w:bCs/>
          <w:color w:val="auto"/>
          <w:szCs w:val="21"/>
        </w:rPr>
        <w:t>d)</w:t>
      </w:r>
      <w:r>
        <w:rPr>
          <w:color w:val="auto"/>
          <w:szCs w:val="21"/>
        </w:rPr>
        <w:t xml:space="preserve">  墩基成孔可采用人工挖孔、机械钻孔的方法施工。墩底扩底直径不宜大于墩身直径的2.5倍且每边扩出尺寸不应大于800 mm。</w:t>
      </w:r>
    </w:p>
    <w:p w14:paraId="30C83380">
      <w:pPr>
        <w:adjustRightInd w:val="0"/>
        <w:snapToGrid w:val="0"/>
        <w:spacing w:line="340" w:lineRule="atLeast"/>
        <w:ind w:firstLine="422" w:firstLineChars="200"/>
        <w:rPr>
          <w:color w:val="auto"/>
          <w:szCs w:val="21"/>
        </w:rPr>
      </w:pPr>
      <w:r>
        <w:rPr>
          <w:b/>
          <w:bCs/>
          <w:color w:val="auto"/>
          <w:szCs w:val="21"/>
        </w:rPr>
        <w:t>e)</w:t>
      </w:r>
      <w:r>
        <w:rPr>
          <w:color w:val="auto"/>
          <w:szCs w:val="21"/>
        </w:rPr>
        <w:t xml:space="preserve">  相邻墩墩底标高一致时，墩位按上部结构要求及施工条件布置，墩中心距可不受限制。持力层起伏很大时，应综合考虑相邻墩墩底高差与墩中心距之间的关系，进行持力层稳定性验算，不满足时可调整墩距或墩底标高。</w:t>
      </w:r>
    </w:p>
    <w:p w14:paraId="34CC5029">
      <w:pPr>
        <w:adjustRightInd w:val="0"/>
        <w:snapToGrid w:val="0"/>
        <w:spacing w:line="340" w:lineRule="atLeast"/>
        <w:ind w:firstLine="422" w:firstLineChars="200"/>
        <w:rPr>
          <w:color w:val="auto"/>
          <w:szCs w:val="21"/>
        </w:rPr>
      </w:pPr>
      <w:r>
        <w:rPr>
          <w:b/>
          <w:bCs/>
          <w:color w:val="auto"/>
          <w:szCs w:val="21"/>
        </w:rPr>
        <w:t>f)</w:t>
      </w:r>
      <w:r>
        <w:rPr>
          <w:color w:val="auto"/>
          <w:szCs w:val="21"/>
        </w:rPr>
        <w:t xml:space="preserve">  墩底进入持力层的深度不宜小于300mm。当持力层为中风化、微风化、未风化岩石时，在保证墩基稳定性的条件下，墩底可直接置于岩石面上，岩石面不平整时，应整平或凿成台阶状。</w:t>
      </w:r>
    </w:p>
    <w:p w14:paraId="1016D41D">
      <w:pPr>
        <w:adjustRightInd w:val="0"/>
        <w:snapToGrid w:val="0"/>
        <w:spacing w:line="340" w:lineRule="atLeast"/>
        <w:rPr>
          <w:color w:val="auto"/>
          <w:szCs w:val="21"/>
        </w:rPr>
      </w:pPr>
      <w:r>
        <w:rPr>
          <w:b/>
          <w:bCs/>
          <w:color w:val="auto"/>
          <w:szCs w:val="21"/>
        </w:rPr>
        <w:t>13.6.3</w:t>
      </w:r>
      <w:r>
        <w:rPr>
          <w:color w:val="auto"/>
          <w:szCs w:val="21"/>
        </w:rPr>
        <w:t xml:space="preserve">  墩基的设计应符合下列规定：</w:t>
      </w:r>
    </w:p>
    <w:p w14:paraId="16BA8DF0">
      <w:pPr>
        <w:adjustRightInd w:val="0"/>
        <w:snapToGrid w:val="0"/>
        <w:spacing w:line="340" w:lineRule="atLeast"/>
        <w:ind w:firstLine="422" w:firstLineChars="200"/>
        <w:rPr>
          <w:color w:val="auto"/>
          <w:spacing w:val="-2"/>
          <w:szCs w:val="21"/>
        </w:rPr>
      </w:pPr>
      <w:r>
        <w:rPr>
          <w:b/>
          <w:bCs/>
          <w:color w:val="auto"/>
          <w:szCs w:val="21"/>
        </w:rPr>
        <w:t>a)</w:t>
      </w:r>
      <w:r>
        <w:rPr>
          <w:color w:val="auto"/>
          <w:szCs w:val="21"/>
        </w:rPr>
        <w:t xml:space="preserve">  </w:t>
      </w:r>
      <w:r>
        <w:rPr>
          <w:color w:val="auto"/>
          <w:spacing w:val="-2"/>
          <w:szCs w:val="21"/>
        </w:rPr>
        <w:t>单墩承载力特征值或墩底面积计算不考虑墩身侧摩阻力，</w:t>
      </w:r>
      <w:r>
        <w:rPr>
          <w:rFonts w:hint="eastAsia"/>
          <w:color w:val="auto"/>
          <w:spacing w:val="-2"/>
          <w:szCs w:val="21"/>
        </w:rPr>
        <w:t>应计入墩身自重及扩大头上部土重的作用，</w:t>
      </w:r>
      <w:r>
        <w:rPr>
          <w:color w:val="auto"/>
          <w:spacing w:val="-2"/>
          <w:szCs w:val="21"/>
        </w:rPr>
        <w:t>墩底端阻力特征值采用修正后的持力层承载力特征值或按抗剪强度指标确定的承载力特征值。岩石持力层承载力特征值不进行深宽修正。</w:t>
      </w:r>
    </w:p>
    <w:p w14:paraId="0A1B4F10">
      <w:pPr>
        <w:adjustRightInd w:val="0"/>
        <w:snapToGrid w:val="0"/>
        <w:spacing w:line="340" w:lineRule="atLeast"/>
        <w:ind w:firstLine="422" w:firstLineChars="200"/>
        <w:rPr>
          <w:color w:val="auto"/>
          <w:szCs w:val="21"/>
        </w:rPr>
      </w:pPr>
      <w:r>
        <w:rPr>
          <w:b/>
          <w:bCs/>
          <w:color w:val="auto"/>
          <w:szCs w:val="21"/>
        </w:rPr>
        <w:t>b)</w:t>
      </w:r>
      <w:r>
        <w:rPr>
          <w:color w:val="auto"/>
          <w:szCs w:val="21"/>
        </w:rPr>
        <w:t xml:space="preserve">  持力层承载力特征值的确定应符合本文件第7.2.5条及第7.2.6条的规定。</w:t>
      </w:r>
    </w:p>
    <w:p w14:paraId="1E5C8A7D">
      <w:pPr>
        <w:adjustRightInd w:val="0"/>
        <w:snapToGrid w:val="0"/>
        <w:spacing w:line="340" w:lineRule="atLeast"/>
        <w:ind w:firstLine="420" w:firstLineChars="200"/>
        <w:rPr>
          <w:color w:val="auto"/>
          <w:szCs w:val="21"/>
        </w:rPr>
      </w:pPr>
      <w:r>
        <w:rPr>
          <w:color w:val="auto"/>
          <w:szCs w:val="21"/>
        </w:rPr>
        <w:t>甲级设计等级的建筑物应通过载荷试验确定墩底承载力特征值。</w:t>
      </w:r>
    </w:p>
    <w:p w14:paraId="25C3DECE">
      <w:pPr>
        <w:adjustRightInd w:val="0"/>
        <w:snapToGrid w:val="0"/>
        <w:spacing w:line="340" w:lineRule="atLeast"/>
        <w:ind w:firstLine="422" w:firstLineChars="200"/>
        <w:rPr>
          <w:color w:val="auto"/>
          <w:szCs w:val="21"/>
        </w:rPr>
      </w:pPr>
      <w:r>
        <w:rPr>
          <w:b/>
          <w:bCs/>
          <w:color w:val="auto"/>
          <w:szCs w:val="21"/>
        </w:rPr>
        <w:t>c)</w:t>
      </w:r>
      <w:r>
        <w:rPr>
          <w:color w:val="auto"/>
          <w:szCs w:val="21"/>
        </w:rPr>
        <w:t xml:space="preserve">  墩身混凝土强度验算应符合本文件第12.3.8条及第12.3.9条的规定。</w:t>
      </w:r>
    </w:p>
    <w:p w14:paraId="7E2A68F5">
      <w:pPr>
        <w:adjustRightInd w:val="0"/>
        <w:snapToGrid w:val="0"/>
        <w:spacing w:line="340" w:lineRule="atLeast"/>
        <w:ind w:firstLine="422" w:firstLineChars="200"/>
        <w:rPr>
          <w:color w:val="auto"/>
          <w:szCs w:val="21"/>
        </w:rPr>
      </w:pPr>
      <w:r>
        <w:rPr>
          <w:b/>
          <w:bCs/>
          <w:color w:val="auto"/>
          <w:szCs w:val="21"/>
        </w:rPr>
        <w:t>d)</w:t>
      </w:r>
      <w:r>
        <w:rPr>
          <w:color w:val="auto"/>
          <w:szCs w:val="21"/>
        </w:rPr>
        <w:t xml:space="preserve">  墩底压力的计算、墩底软弱下卧层验算及单墩沉降验算应符合本文件第7章天然地基设计计算中的有关规定。</w:t>
      </w:r>
    </w:p>
    <w:p w14:paraId="18AADB80">
      <w:pPr>
        <w:adjustRightInd w:val="0"/>
        <w:snapToGrid w:val="0"/>
        <w:spacing w:line="340" w:lineRule="atLeast"/>
        <w:ind w:firstLine="422" w:firstLineChars="200"/>
        <w:rPr>
          <w:color w:val="auto"/>
          <w:szCs w:val="21"/>
        </w:rPr>
      </w:pPr>
      <w:r>
        <w:rPr>
          <w:b/>
          <w:bCs/>
          <w:color w:val="auto"/>
          <w:szCs w:val="21"/>
        </w:rPr>
        <w:t>e)</w:t>
      </w:r>
      <w:r>
        <w:rPr>
          <w:color w:val="auto"/>
          <w:szCs w:val="21"/>
        </w:rPr>
        <w:t xml:space="preserve">  当墩身的混凝土强度等级低于柱的混凝土强度等级时，尚应验算墩身顶面的局部受压承载力。</w:t>
      </w:r>
    </w:p>
    <w:p w14:paraId="14055FA7">
      <w:pPr>
        <w:adjustRightInd w:val="0"/>
        <w:snapToGrid w:val="0"/>
        <w:spacing w:line="340" w:lineRule="atLeast"/>
        <w:ind w:firstLine="422" w:firstLineChars="200"/>
        <w:rPr>
          <w:color w:val="auto"/>
          <w:szCs w:val="21"/>
        </w:rPr>
      </w:pPr>
      <w:r>
        <w:rPr>
          <w:b/>
          <w:bCs/>
          <w:color w:val="auto"/>
          <w:szCs w:val="21"/>
        </w:rPr>
        <w:t>f)</w:t>
      </w:r>
      <w:r>
        <w:rPr>
          <w:color w:val="auto"/>
          <w:szCs w:val="21"/>
        </w:rPr>
        <w:t xml:space="preserve">  当墩身长度不符合本文件第13.6.1条规定时，墩身配筋应按桩基进行设计。</w:t>
      </w:r>
    </w:p>
    <w:p w14:paraId="27F608EF">
      <w:pPr>
        <w:adjustRightInd w:val="0"/>
        <w:snapToGrid w:val="0"/>
        <w:spacing w:line="340" w:lineRule="atLeast"/>
        <w:ind w:firstLine="420" w:firstLineChars="200"/>
        <w:rPr>
          <w:color w:val="auto"/>
          <w:szCs w:val="21"/>
        </w:rPr>
      </w:pPr>
    </w:p>
    <w:p w14:paraId="5956E11D">
      <w:pPr>
        <w:adjustRightInd w:val="0"/>
        <w:snapToGrid w:val="0"/>
        <w:spacing w:line="340" w:lineRule="exact"/>
        <w:outlineLvl w:val="1"/>
        <w:rPr>
          <w:rFonts w:eastAsia="黑体"/>
          <w:b/>
          <w:bCs/>
          <w:color w:val="auto"/>
          <w:szCs w:val="21"/>
        </w:rPr>
      </w:pPr>
      <w:bookmarkStart w:id="77" w:name="_Toc199943620"/>
      <w:r>
        <w:rPr>
          <w:rFonts w:eastAsia="黑体"/>
          <w:b/>
          <w:bCs/>
          <w:color w:val="auto"/>
          <w:szCs w:val="21"/>
        </w:rPr>
        <w:t>13.7</w:t>
      </w:r>
      <w:r>
        <w:rPr>
          <w:rFonts w:hint="eastAsia" w:eastAsia="黑体"/>
          <w:b/>
          <w:bCs/>
          <w:color w:val="auto"/>
          <w:szCs w:val="21"/>
        </w:rPr>
        <w:t xml:space="preserve">  </w:t>
      </w:r>
      <w:r>
        <w:rPr>
          <w:rFonts w:eastAsia="黑体"/>
          <w:b/>
          <w:bCs/>
          <w:color w:val="auto"/>
          <w:szCs w:val="21"/>
        </w:rPr>
        <w:t>山区地</w:t>
      </w:r>
      <w:r>
        <w:rPr>
          <w:rFonts w:hint="eastAsia" w:eastAsia="黑体"/>
          <w:b/>
          <w:bCs/>
          <w:color w:val="auto"/>
          <w:szCs w:val="21"/>
        </w:rPr>
        <w:t>基</w:t>
      </w:r>
      <w:r>
        <w:rPr>
          <w:rFonts w:eastAsia="黑体"/>
          <w:b/>
          <w:bCs/>
          <w:color w:val="auto"/>
          <w:szCs w:val="21"/>
        </w:rPr>
        <w:t>基础</w:t>
      </w:r>
      <w:bookmarkEnd w:id="77"/>
    </w:p>
    <w:p w14:paraId="3105C2BB">
      <w:pPr>
        <w:adjustRightInd w:val="0"/>
        <w:snapToGrid w:val="0"/>
        <w:spacing w:line="340" w:lineRule="exact"/>
        <w:jc w:val="center"/>
        <w:rPr>
          <w:rFonts w:eastAsia="黑体"/>
          <w:b/>
          <w:color w:val="auto"/>
          <w:szCs w:val="21"/>
        </w:rPr>
      </w:pPr>
    </w:p>
    <w:p w14:paraId="5EC22A3F">
      <w:pPr>
        <w:rPr>
          <w:color w:val="auto"/>
        </w:rPr>
      </w:pPr>
      <w:r>
        <w:rPr>
          <w:b/>
          <w:color w:val="auto"/>
        </w:rPr>
        <w:t>13.7.1</w:t>
      </w:r>
      <w:r>
        <w:rPr>
          <w:color w:val="auto"/>
        </w:rPr>
        <w:t xml:space="preserve">  岩石出露地表，地形平坦的建筑场地，当建筑物采用岩石地基，在满足地基承载力、稳定性及防冻等要求情况下，基础可不考虑埋置深度。</w:t>
      </w:r>
    </w:p>
    <w:p w14:paraId="65B6CB64">
      <w:pPr>
        <w:rPr>
          <w:color w:val="auto"/>
        </w:rPr>
      </w:pPr>
      <w:r>
        <w:rPr>
          <w:b/>
          <w:color w:val="auto"/>
        </w:rPr>
        <w:t>13.7.2</w:t>
      </w:r>
      <w:r>
        <w:rPr>
          <w:color w:val="auto"/>
        </w:rPr>
        <w:t xml:space="preserve">  岩石锚杆基础适用于直接建在岩石上的柱基，以及承受拉力或水平力较大的建筑物基础。当基岩的强度较高，上部结构荷载较小，无偏心或偏心很小时，对于预制柱承重的建筑物，可在岩面或在岩体中</w:t>
      </w:r>
      <w:r>
        <w:rPr>
          <w:rFonts w:hint="eastAsia"/>
          <w:color w:val="auto"/>
        </w:rPr>
        <w:t>做</w:t>
      </w:r>
      <w:r>
        <w:rPr>
          <w:color w:val="auto"/>
        </w:rPr>
        <w:t>一钢筋混凝土杯口，并将杯口用锚杆锚固在基岩上，基础尺寸比柱截面稍大即可。对于现浇的钢筋混凝土柱，可将柱子的钢筋直接插入基岩做成锚杆基础，基础的尺寸就是柱子的截面尺寸。如基岩的强度较低，上部结构荷载较大</w:t>
      </w:r>
      <w:r>
        <w:rPr>
          <w:rFonts w:hint="eastAsia"/>
          <w:color w:val="auto"/>
        </w:rPr>
        <w:t>或</w:t>
      </w:r>
      <w:r>
        <w:rPr>
          <w:color w:val="auto"/>
        </w:rPr>
        <w:t>偏心较大时，</w:t>
      </w:r>
      <w:r>
        <w:rPr>
          <w:rFonts w:hint="eastAsia"/>
          <w:color w:val="auto"/>
        </w:rPr>
        <w:t>应</w:t>
      </w:r>
      <w:r>
        <w:rPr>
          <w:color w:val="auto"/>
        </w:rPr>
        <w:t>根据岩石地基承载力确定基础底面尺寸</w:t>
      </w:r>
      <w:r>
        <w:rPr>
          <w:rFonts w:hint="eastAsia"/>
          <w:color w:val="auto"/>
        </w:rPr>
        <w:t>。当柱底需要</w:t>
      </w:r>
      <w:r>
        <w:rPr>
          <w:color w:val="auto"/>
        </w:rPr>
        <w:t>布置较多锚杆</w:t>
      </w:r>
      <w:r>
        <w:rPr>
          <w:rFonts w:hint="eastAsia"/>
          <w:color w:val="auto"/>
        </w:rPr>
        <w:t>时，可增加基底面积</w:t>
      </w:r>
      <w:r>
        <w:rPr>
          <w:color w:val="auto"/>
        </w:rPr>
        <w:t>。</w:t>
      </w:r>
    </w:p>
    <w:p w14:paraId="272D2641">
      <w:pPr>
        <w:ind w:firstLine="420" w:firstLineChars="200"/>
        <w:rPr>
          <w:color w:val="auto"/>
        </w:rPr>
      </w:pPr>
      <w:r>
        <w:rPr>
          <w:color w:val="auto"/>
        </w:rPr>
        <w:t>锚杆的设置方向不一定垂直地面，以能发挥锚杆最大抗拔力为原则。锚杆基础应与基岩连成整体，以达到地基基础稳定要求</w:t>
      </w:r>
      <w:r>
        <w:rPr>
          <w:rFonts w:hint="eastAsia"/>
          <w:color w:val="auto"/>
        </w:rPr>
        <w:t>，</w:t>
      </w:r>
      <w:r>
        <w:rPr>
          <w:color w:val="auto"/>
        </w:rPr>
        <w:t>并应符合下列要求：</w:t>
      </w:r>
    </w:p>
    <w:p w14:paraId="3FAB198F">
      <w:pPr>
        <w:ind w:firstLine="422" w:firstLineChars="200"/>
        <w:rPr>
          <w:color w:val="auto"/>
        </w:rPr>
      </w:pPr>
      <w:r>
        <w:rPr>
          <w:b/>
          <w:bCs/>
          <w:color w:val="auto"/>
          <w:szCs w:val="21"/>
        </w:rPr>
        <w:t>a)</w:t>
      </w:r>
      <w:r>
        <w:rPr>
          <w:color w:val="auto"/>
        </w:rPr>
        <w:t xml:space="preserve">  锚孔直径，宜取锚杆直径的3倍，但不应小于1倍锚杆直径加50mm。锚杆基础应符合图35所示构造要求；</w:t>
      </w:r>
    </w:p>
    <w:p w14:paraId="4049E660">
      <w:pPr>
        <w:ind w:firstLine="422" w:firstLineChars="200"/>
        <w:rPr>
          <w:color w:val="auto"/>
        </w:rPr>
      </w:pPr>
      <w:r>
        <w:rPr>
          <w:b/>
          <w:bCs/>
          <w:color w:val="auto"/>
          <w:szCs w:val="21"/>
        </w:rPr>
        <w:t>b)</w:t>
      </w:r>
      <w:r>
        <w:rPr>
          <w:color w:val="auto"/>
        </w:rPr>
        <w:t xml:space="preserve">  锚杆</w:t>
      </w:r>
      <w:r>
        <w:rPr>
          <w:rFonts w:hint="eastAsia"/>
          <w:color w:val="auto"/>
        </w:rPr>
        <w:t>钢筋锚</w:t>
      </w:r>
      <w:r>
        <w:rPr>
          <w:color w:val="auto"/>
        </w:rPr>
        <w:t>入</w:t>
      </w:r>
      <w:r>
        <w:rPr>
          <w:rFonts w:hint="eastAsia"/>
          <w:color w:val="auto"/>
        </w:rPr>
        <w:t>基础或</w:t>
      </w:r>
      <w:r>
        <w:rPr>
          <w:color w:val="auto"/>
        </w:rPr>
        <w:t>上部结构的长度，应符合钢筋的锚固长度要求；</w:t>
      </w:r>
    </w:p>
    <w:p w14:paraId="6576E3BF">
      <w:pPr>
        <w:ind w:left="-2" w:leftChars="-1" w:firstLine="422" w:firstLineChars="200"/>
        <w:rPr>
          <w:color w:val="auto"/>
        </w:rPr>
      </w:pPr>
      <w:r>
        <w:rPr>
          <w:b/>
          <w:bCs/>
          <w:color w:val="auto"/>
          <w:szCs w:val="21"/>
        </w:rPr>
        <w:t>c)</w:t>
      </w:r>
      <w:r>
        <w:rPr>
          <w:color w:val="auto"/>
        </w:rPr>
        <w:t xml:space="preserve">  锚杆宜采用热轧带肋钢筋，水泥砂浆强度不宜低于30MPa，细石混凝土强度不宜低于C30。灌浆前，应将锚杆孔清理干净。</w:t>
      </w:r>
    </w:p>
    <w:p w14:paraId="54ABFD3A">
      <w:pPr>
        <w:rPr>
          <w:color w:val="auto"/>
        </w:rPr>
      </w:pPr>
      <w:r>
        <w:rPr>
          <w:b/>
          <w:color w:val="auto"/>
        </w:rPr>
        <w:t xml:space="preserve">13.7.3 </w:t>
      </w:r>
      <w:r>
        <w:rPr>
          <w:color w:val="auto"/>
        </w:rPr>
        <w:t xml:space="preserve"> 锚杆基础中单根锚杆所承受的拉力，应按</w:t>
      </w:r>
      <w:r>
        <w:rPr>
          <w:rFonts w:hint="eastAsia"/>
          <w:color w:val="auto"/>
          <w:lang w:val="en-US" w:eastAsia="zh-CN"/>
        </w:rPr>
        <w:t>公式（117）~（118）</w:t>
      </w:r>
      <w:r>
        <w:rPr>
          <w:color w:val="auto"/>
        </w:rPr>
        <w:t xml:space="preserve">验算： </w:t>
      </w:r>
    </w:p>
    <w:p w14:paraId="676D7AF1">
      <w:pPr>
        <w:pStyle w:val="12"/>
        <w:jc w:val="right"/>
        <w:rPr>
          <w:color w:val="auto"/>
        </w:rPr>
      </w:pPr>
      <w:r>
        <w:rPr>
          <w:color w:val="auto"/>
        </w:rPr>
        <mc:AlternateContent>
          <mc:Choice Requires="wps">
            <w:drawing>
              <wp:anchor distT="0" distB="0" distL="114300" distR="114300" simplePos="0" relativeHeight="251665408" behindDoc="0" locked="0" layoutInCell="1" allowOverlap="1">
                <wp:simplePos x="0" y="0"/>
                <wp:positionH relativeFrom="column">
                  <wp:posOffset>4003040</wp:posOffset>
                </wp:positionH>
                <wp:positionV relativeFrom="paragraph">
                  <wp:posOffset>41910</wp:posOffset>
                </wp:positionV>
                <wp:extent cx="1842770" cy="1874520"/>
                <wp:effectExtent l="0" t="0" r="0" b="2540"/>
                <wp:wrapSquare wrapText="bothSides"/>
                <wp:docPr id="247" name="文本框 247"/>
                <wp:cNvGraphicFramePr/>
                <a:graphic xmlns:a="http://schemas.openxmlformats.org/drawingml/2006/main">
                  <a:graphicData uri="http://schemas.microsoft.com/office/word/2010/wordprocessingShape">
                    <wps:wsp>
                      <wps:cNvSpPr txBox="1">
                        <a:spLocks noChangeArrowheads="1"/>
                      </wps:cNvSpPr>
                      <wps:spPr bwMode="auto">
                        <a:xfrm>
                          <a:off x="0" y="0"/>
                          <a:ext cx="1842770" cy="1874520"/>
                        </a:xfrm>
                        <a:prstGeom prst="rect">
                          <a:avLst/>
                        </a:prstGeom>
                        <a:solidFill>
                          <a:srgbClr val="FFFFFF"/>
                        </a:solidFill>
                        <a:ln>
                          <a:noFill/>
                        </a:ln>
                      </wps:spPr>
                      <wps:txbx>
                        <w:txbxContent>
                          <w:p w14:paraId="14266DDD">
                            <w:r>
                              <w:drawing>
                                <wp:inline distT="0" distB="0" distL="0" distR="0">
                                  <wp:extent cx="1657350" cy="1752600"/>
                                  <wp:effectExtent l="0" t="0" r="0" b="0"/>
                                  <wp:docPr id="9" name="图片 9" descr="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1.jpg"/>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a:xfrm>
                                            <a:off x="0" y="0"/>
                                            <a:ext cx="1657350" cy="1752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anchor>
            </w:drawing>
          </mc:Choice>
          <mc:Fallback>
            <w:pict>
              <v:shape id="_x0000_s1026" o:spid="_x0000_s1026" o:spt="202" type="#_x0000_t202" style="position:absolute;left:0pt;margin-left:315.2pt;margin-top:3.3pt;height:147.6pt;width:145.1pt;mso-wrap-distance-bottom:0pt;mso-wrap-distance-left:9pt;mso-wrap-distance-right:9pt;mso-wrap-distance-top:0pt;mso-wrap-style:none;z-index:251665408;mso-width-relative:page;mso-height-relative:page;" fillcolor="#FFFFFF" filled="t" stroked="f" coordsize="21600,21600" o:gfxdata="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Kj5nDXAAAACQEAAA8AAAAAAAAAAQAgAAAAIgAAAGRycy9kb3ducmV2LnhtbFBLAQIUABQA&#10;AAAIAIdO4kD3yiyhKgIAAEEEAAAOAAAAAAAAAAEAIAAAACYBAABkcnMvZTJvRG9jLnhtbFBLBQYA&#10;AAAABgAGAFkBAADCBQAAAAA=&#10;">
                <v:fill on="t" focussize="0,0"/>
                <v:stroke on="f"/>
                <v:imagedata o:title=""/>
                <o:lock v:ext="edit" aspectratio="f"/>
                <v:textbox style="mso-fit-shape-to-text:t;">
                  <w:txbxContent>
                    <w:p w14:paraId="14266DDD">
                      <w:r>
                        <w:drawing>
                          <wp:inline distT="0" distB="0" distL="0" distR="0">
                            <wp:extent cx="1657350" cy="1752600"/>
                            <wp:effectExtent l="0" t="0" r="0" b="0"/>
                            <wp:docPr id="9" name="图片 9" descr="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1.jpg"/>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a:xfrm>
                                      <a:off x="0" y="0"/>
                                      <a:ext cx="1657350" cy="1752600"/>
                                    </a:xfrm>
                                    <a:prstGeom prst="rect">
                                      <a:avLst/>
                                    </a:prstGeom>
                                    <a:noFill/>
                                    <a:ln>
                                      <a:noFill/>
                                    </a:ln>
                                  </pic:spPr>
                                </pic:pic>
                              </a:graphicData>
                            </a:graphic>
                          </wp:inline>
                        </w:drawing>
                      </w:r>
                    </w:p>
                  </w:txbxContent>
                </v:textbox>
                <w10:wrap type="square"/>
              </v:shape>
            </w:pict>
          </mc:Fallback>
        </mc:AlternateContent>
      </w:r>
      <w:r>
        <w:rPr>
          <w:color w:val="auto"/>
          <w:position w:val="-62"/>
        </w:rPr>
        <w:object>
          <v:shape id="_x0000_i1564" o:spt="75" type="#_x0000_t75" style="height:50.25pt;width:151.5pt;" o:ole="t" filled="f" o:preferrelative="t" stroked="f" coordsize="21600,21600">
            <v:path/>
            <v:fill on="f" focussize="0,0"/>
            <v:stroke on="f" joinstyle="miter"/>
            <v:imagedata r:id="rId1062" o:title=""/>
            <o:lock v:ext="edit" aspectratio="t"/>
            <w10:wrap type="none"/>
            <w10:anchorlock/>
          </v:shape>
          <o:OLEObject Type="Embed" ProgID="Equation.DSMT4" ShapeID="_x0000_i1564" DrawAspect="Content" ObjectID="_1468076264" r:id="rId1061">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117</w:t>
      </w:r>
      <w:r>
        <w:rPr>
          <w:color w:val="auto"/>
        </w:rPr>
        <w:fldChar w:fldCharType="end"/>
      </w:r>
      <w:r>
        <w:rPr>
          <w:color w:val="auto"/>
        </w:rPr>
        <w:t>)</w:t>
      </w:r>
    </w:p>
    <w:p w14:paraId="77D7FDE4">
      <w:pPr>
        <w:pStyle w:val="12"/>
        <w:jc w:val="right"/>
        <w:rPr>
          <w:color w:val="auto"/>
        </w:rPr>
      </w:pPr>
      <w:r>
        <w:rPr>
          <w:color w:val="auto"/>
        </w:rPr>
        <w:t xml:space="preserve">           </w:t>
      </w:r>
      <w:r>
        <w:rPr>
          <w:color w:val="auto"/>
          <w:position w:val="-14"/>
        </w:rPr>
        <w:object>
          <v:shape id="_x0000_i1565" o:spt="75" type="#_x0000_t75" style="height:14.25pt;width:50.25pt;" o:ole="t" filled="f" o:preferrelative="t" stroked="f" coordsize="21600,21600">
            <v:path/>
            <v:fill on="f" focussize="0,0"/>
            <v:stroke on="f" joinstyle="miter"/>
            <v:imagedata r:id="rId1064" o:title=""/>
            <o:lock v:ext="edit" aspectratio="t"/>
            <w10:wrap type="none"/>
            <w10:anchorlock/>
          </v:shape>
          <o:OLEObject Type="Embed" ProgID="Equation.3" ShapeID="_x0000_i1565" DrawAspect="Content" ObjectID="_1468076265" r:id="rId1063">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118</w:t>
      </w:r>
      <w:r>
        <w:rPr>
          <w:color w:val="auto"/>
        </w:rPr>
        <w:fldChar w:fldCharType="end"/>
      </w:r>
      <w:r>
        <w:rPr>
          <w:color w:val="auto"/>
        </w:rPr>
        <w:t>)</w:t>
      </w:r>
    </w:p>
    <w:p w14:paraId="357CA6B6">
      <w:pPr>
        <w:ind w:firstLine="105" w:firstLineChars="50"/>
        <w:rPr>
          <w:color w:val="auto"/>
        </w:rPr>
      </w:pPr>
      <w:r>
        <w:rPr>
          <w:color w:val="auto"/>
        </w:rPr>
        <w:t xml:space="preserve">                                                          式中  </w:t>
      </w:r>
      <w:r>
        <w:rPr>
          <w:i/>
          <w:color w:val="auto"/>
        </w:rPr>
        <w:t>F</w:t>
      </w:r>
      <w:r>
        <w:rPr>
          <w:rFonts w:hint="eastAsia"/>
          <w:color w:val="auto"/>
          <w:vertAlign w:val="subscript"/>
        </w:rPr>
        <w:t>k</w:t>
      </w:r>
      <w:r>
        <w:rPr>
          <w:color w:val="auto"/>
        </w:rPr>
        <w:t>——相应于作用的标准组合作用在基础顶面上的竖向力；</w:t>
      </w:r>
    </w:p>
    <w:p w14:paraId="7174E5C5">
      <w:pPr>
        <w:ind w:firstLine="69" w:firstLineChars="33"/>
        <w:rPr>
          <w:color w:val="auto"/>
        </w:rPr>
      </w:pPr>
      <w:r>
        <w:rPr>
          <w:color w:val="auto"/>
        </w:rPr>
        <w:t xml:space="preserve">     </w:t>
      </w:r>
      <w:r>
        <w:rPr>
          <w:i/>
          <w:color w:val="auto"/>
        </w:rPr>
        <w:t>G</w:t>
      </w:r>
      <w:r>
        <w:rPr>
          <w:rFonts w:hint="eastAsia"/>
          <w:color w:val="auto"/>
          <w:vertAlign w:val="subscript"/>
        </w:rPr>
        <w:t>k</w:t>
      </w:r>
      <w:r>
        <w:rPr>
          <w:color w:val="auto"/>
        </w:rPr>
        <w:t>——基础自重及其上的土重；</w:t>
      </w:r>
    </w:p>
    <w:p w14:paraId="6530B635">
      <w:pPr>
        <w:ind w:left="3777" w:leftChars="13" w:hanging="3750" w:hangingChars="1786"/>
        <w:rPr>
          <w:color w:val="auto"/>
        </w:rPr>
      </w:pPr>
      <w:r>
        <w:rPr>
          <w:i/>
          <w:color w:val="auto"/>
        </w:rPr>
        <w:t>M</w:t>
      </w:r>
      <w:r>
        <w:rPr>
          <w:rFonts w:hint="eastAsia"/>
          <w:color w:val="auto"/>
          <w:vertAlign w:val="subscript"/>
        </w:rPr>
        <w:t>xk</w:t>
      </w:r>
      <w:r>
        <w:rPr>
          <w:color w:val="auto"/>
          <w:vertAlign w:val="subscript"/>
        </w:rPr>
        <w:t>、</w:t>
      </w:r>
      <w:r>
        <w:rPr>
          <w:i/>
          <w:color w:val="auto"/>
        </w:rPr>
        <w:t>M</w:t>
      </w:r>
      <w:r>
        <w:rPr>
          <w:color w:val="auto"/>
          <w:vertAlign w:val="subscript"/>
        </w:rPr>
        <w:t>y</w:t>
      </w:r>
      <w:r>
        <w:rPr>
          <w:rFonts w:hint="eastAsia"/>
          <w:color w:val="auto"/>
          <w:vertAlign w:val="subscript"/>
        </w:rPr>
        <w:t>k</w:t>
      </w:r>
      <w:r>
        <w:rPr>
          <w:color w:val="auto"/>
        </w:rPr>
        <w:t>——按作用的标准组合计算作用绕通过基础底面形心主轴</w:t>
      </w:r>
    </w:p>
    <w:p w14:paraId="60FEB056">
      <w:pPr>
        <w:ind w:left="336" w:leftChars="50" w:hanging="231" w:hangingChars="110"/>
        <w:rPr>
          <w:color w:val="auto"/>
          <w:sz w:val="18"/>
          <w:szCs w:val="18"/>
        </w:rPr>
      </w:pPr>
      <w:r>
        <w:rPr>
          <w:i/>
          <w:color w:val="auto"/>
        </w:rPr>
        <w:t xml:space="preserve">           x</w:t>
      </w:r>
      <w:r>
        <w:rPr>
          <w:color w:val="auto"/>
        </w:rPr>
        <w:t>、</w:t>
      </w:r>
      <w:r>
        <w:rPr>
          <w:i/>
          <w:color w:val="auto"/>
        </w:rPr>
        <w:t>y</w:t>
      </w:r>
      <w:r>
        <w:rPr>
          <w:color w:val="auto"/>
        </w:rPr>
        <w:t xml:space="preserve">的力矩值；                             </w:t>
      </w:r>
      <w:r>
        <w:rPr>
          <w:rFonts w:hint="eastAsia"/>
          <w:color w:val="auto"/>
        </w:rPr>
        <w:t xml:space="preserve">         </w:t>
      </w:r>
      <w:r>
        <w:rPr>
          <w:color w:val="auto"/>
        </w:rPr>
        <w:t xml:space="preserve">    </w:t>
      </w:r>
      <w:r>
        <w:rPr>
          <w:b/>
          <w:color w:val="auto"/>
          <w:sz w:val="18"/>
          <w:szCs w:val="18"/>
        </w:rPr>
        <w:t>图35 锚杆基础</w:t>
      </w:r>
    </w:p>
    <w:p w14:paraId="552BE40D">
      <w:pPr>
        <w:rPr>
          <w:color w:val="auto"/>
        </w:rPr>
      </w:pPr>
      <w:r>
        <w:rPr>
          <w:i/>
          <w:color w:val="auto"/>
        </w:rPr>
        <w:t>x</w:t>
      </w:r>
      <w:r>
        <w:rPr>
          <w:i/>
          <w:color w:val="auto"/>
          <w:vertAlign w:val="subscript"/>
        </w:rPr>
        <w:t>i</w:t>
      </w:r>
      <w:r>
        <w:rPr>
          <w:i/>
          <w:color w:val="auto"/>
        </w:rPr>
        <w:t xml:space="preserve"> </w:t>
      </w:r>
      <w:r>
        <w:rPr>
          <w:color w:val="auto"/>
        </w:rPr>
        <w:t>、</w:t>
      </w:r>
      <w:r>
        <w:rPr>
          <w:i/>
          <w:color w:val="auto"/>
        </w:rPr>
        <w:t>y</w:t>
      </w:r>
      <w:r>
        <w:rPr>
          <w:i/>
          <w:color w:val="auto"/>
          <w:vertAlign w:val="subscript"/>
        </w:rPr>
        <w:t>i</w:t>
      </w:r>
      <w:r>
        <w:rPr>
          <w:color w:val="auto"/>
        </w:rPr>
        <w:t>和</w:t>
      </w:r>
      <w:r>
        <w:rPr>
          <w:i/>
          <w:color w:val="auto"/>
        </w:rPr>
        <w:t>x</w:t>
      </w:r>
      <w:r>
        <w:rPr>
          <w:color w:val="auto"/>
          <w:vertAlign w:val="subscript"/>
        </w:rPr>
        <w:t>j</w:t>
      </w:r>
      <w:r>
        <w:rPr>
          <w:color w:val="auto"/>
        </w:rPr>
        <w:t>、</w:t>
      </w:r>
      <w:r>
        <w:rPr>
          <w:i/>
          <w:color w:val="auto"/>
        </w:rPr>
        <w:t>y</w:t>
      </w:r>
      <w:r>
        <w:rPr>
          <w:color w:val="auto"/>
          <w:vertAlign w:val="subscript"/>
        </w:rPr>
        <w:t xml:space="preserve">j </w:t>
      </w:r>
      <w:r>
        <w:rPr>
          <w:color w:val="auto"/>
        </w:rPr>
        <w:t>——第</w:t>
      </w:r>
      <w:r>
        <w:rPr>
          <w:i/>
          <w:color w:val="auto"/>
        </w:rPr>
        <w:t>i</w:t>
      </w:r>
      <w:r>
        <w:rPr>
          <w:color w:val="auto"/>
        </w:rPr>
        <w:t>根锚杆和第</w:t>
      </w:r>
      <w:r>
        <w:rPr>
          <w:i/>
          <w:color w:val="auto"/>
        </w:rPr>
        <w:t>j</w:t>
      </w:r>
      <w:r>
        <w:rPr>
          <w:color w:val="auto"/>
        </w:rPr>
        <w:t>根锚杆分别至</w:t>
      </w:r>
      <w:r>
        <w:rPr>
          <w:i/>
          <w:color w:val="auto"/>
        </w:rPr>
        <w:t>y</w:t>
      </w:r>
      <w:r>
        <w:rPr>
          <w:color w:val="auto"/>
        </w:rPr>
        <w:t>、</w:t>
      </w:r>
      <w:r>
        <w:rPr>
          <w:i/>
          <w:color w:val="auto"/>
        </w:rPr>
        <w:t>x</w:t>
      </w:r>
      <w:r>
        <w:rPr>
          <w:color w:val="auto"/>
        </w:rPr>
        <w:t>轴线的距离；</w:t>
      </w:r>
    </w:p>
    <w:p w14:paraId="17AD9531">
      <w:pPr>
        <w:ind w:left="3672" w:leftChars="34" w:hanging="3601" w:hangingChars="1715"/>
        <w:rPr>
          <w:color w:val="auto"/>
        </w:rPr>
      </w:pPr>
      <w:r>
        <w:rPr>
          <w:color w:val="auto"/>
        </w:rPr>
        <w:t xml:space="preserve">     </w:t>
      </w:r>
      <w:r>
        <w:rPr>
          <w:i/>
          <w:color w:val="auto"/>
        </w:rPr>
        <w:t>N</w:t>
      </w:r>
      <w:r>
        <w:rPr>
          <w:color w:val="auto"/>
          <w:vertAlign w:val="subscript"/>
        </w:rPr>
        <w:t>t</w:t>
      </w:r>
      <w:r>
        <w:rPr>
          <w:i/>
          <w:color w:val="auto"/>
          <w:vertAlign w:val="subscript"/>
        </w:rPr>
        <w:t>i</w:t>
      </w:r>
      <w:r>
        <w:rPr>
          <w:color w:val="auto"/>
        </w:rPr>
        <w:t>——按作用的标准组合下，第</w:t>
      </w:r>
      <w:r>
        <w:rPr>
          <w:i/>
          <w:color w:val="auto"/>
        </w:rPr>
        <w:t>i</w:t>
      </w:r>
      <w:r>
        <w:rPr>
          <w:color w:val="auto"/>
        </w:rPr>
        <w:t>根锚杆所承受的拔力值；</w:t>
      </w:r>
    </w:p>
    <w:p w14:paraId="4932ED46">
      <w:pPr>
        <w:ind w:firstLine="336" w:firstLineChars="160"/>
        <w:rPr>
          <w:color w:val="auto"/>
        </w:rPr>
      </w:pPr>
      <w:r>
        <w:rPr>
          <w:color w:val="auto"/>
        </w:rPr>
        <w:t xml:space="preserve">   </w:t>
      </w:r>
      <w:r>
        <w:rPr>
          <w:i/>
          <w:color w:val="auto"/>
        </w:rPr>
        <w:t>R</w:t>
      </w:r>
      <w:r>
        <w:rPr>
          <w:color w:val="auto"/>
          <w:vertAlign w:val="subscript"/>
        </w:rPr>
        <w:t>t</w:t>
      </w:r>
      <w:r>
        <w:rPr>
          <w:color w:val="auto"/>
        </w:rPr>
        <w:t>——单根锚杆抗拔承载力特征值。</w:t>
      </w:r>
    </w:p>
    <w:p w14:paraId="22F03217">
      <w:pPr>
        <w:rPr>
          <w:color w:val="auto"/>
        </w:rPr>
      </w:pPr>
      <w:r>
        <w:rPr>
          <w:b/>
          <w:color w:val="auto"/>
        </w:rPr>
        <w:t>13.7.4</w:t>
      </w:r>
      <w:r>
        <w:rPr>
          <w:rFonts w:hint="eastAsia"/>
          <w:b/>
          <w:color w:val="auto"/>
        </w:rPr>
        <w:t xml:space="preserve">  </w:t>
      </w:r>
      <w:r>
        <w:rPr>
          <w:color w:val="auto"/>
        </w:rPr>
        <w:t>单根锚杆抗拔承载力特征值</w:t>
      </w:r>
      <w:r>
        <w:rPr>
          <w:i/>
          <w:color w:val="auto"/>
        </w:rPr>
        <w:t>R</w:t>
      </w:r>
      <w:r>
        <w:rPr>
          <w:color w:val="auto"/>
          <w:vertAlign w:val="subscript"/>
        </w:rPr>
        <w:t>t</w:t>
      </w:r>
      <w:r>
        <w:rPr>
          <w:color w:val="auto"/>
        </w:rPr>
        <w:t>应通过现场试验确定，试验数量应符合本文件第</w:t>
      </w:r>
      <w:r>
        <w:rPr>
          <w:rFonts w:hint="eastAsia"/>
          <w:color w:val="auto"/>
        </w:rPr>
        <w:t>1</w:t>
      </w:r>
      <w:r>
        <w:rPr>
          <w:color w:val="auto"/>
        </w:rPr>
        <w:t>7章的规定；</w:t>
      </w:r>
      <w:r>
        <w:rPr>
          <w:rFonts w:hint="eastAsia"/>
          <w:color w:val="auto"/>
        </w:rPr>
        <w:t>估算单根锚杆抗拔承载力</w:t>
      </w:r>
      <w:r>
        <w:rPr>
          <w:color w:val="auto"/>
        </w:rPr>
        <w:t>可按</w:t>
      </w:r>
      <w:r>
        <w:rPr>
          <w:rFonts w:hint="eastAsia"/>
          <w:color w:val="auto"/>
          <w:lang w:val="en-US" w:eastAsia="zh-CN"/>
        </w:rPr>
        <w:t>公式（119）</w:t>
      </w:r>
      <w:r>
        <w:rPr>
          <w:color w:val="auto"/>
        </w:rPr>
        <w:t>计算：</w:t>
      </w:r>
    </w:p>
    <w:p w14:paraId="4805D769">
      <w:pPr>
        <w:pStyle w:val="12"/>
        <w:jc w:val="right"/>
        <w:rPr>
          <w:color w:val="auto"/>
        </w:rPr>
      </w:pPr>
      <w:r>
        <w:rPr>
          <w:color w:val="auto"/>
          <w:position w:val="-12"/>
        </w:rPr>
        <w:object>
          <v:shape id="_x0000_i1566" o:spt="75" type="#_x0000_t75" style="height:21.75pt;width:72pt;" o:ole="t" filled="f" o:preferrelative="t" stroked="f" coordsize="21600,21600">
            <v:path/>
            <v:fill on="f" focussize="0,0"/>
            <v:stroke on="f" joinstyle="miter"/>
            <v:imagedata r:id="rId1066" o:title=""/>
            <o:lock v:ext="edit" aspectratio="t"/>
            <w10:wrap type="none"/>
            <w10:anchorlock/>
          </v:shape>
          <o:OLEObject Type="Embed" ProgID="Equation.DSMT4" ShapeID="_x0000_i1566" DrawAspect="Content" ObjectID="_1468076266" r:id="rId1065">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119</w:t>
      </w:r>
      <w:r>
        <w:rPr>
          <w:color w:val="auto"/>
        </w:rPr>
        <w:fldChar w:fldCharType="end"/>
      </w:r>
      <w:r>
        <w:rPr>
          <w:color w:val="auto"/>
        </w:rPr>
        <w:t>)</w:t>
      </w:r>
    </w:p>
    <w:p w14:paraId="60DC34AE">
      <w:pPr>
        <w:rPr>
          <w:color w:val="auto"/>
        </w:rPr>
      </w:pPr>
      <w:r>
        <w:rPr>
          <w:color w:val="auto"/>
        </w:rPr>
        <w:t xml:space="preserve">式中  </w:t>
      </w:r>
      <w:r>
        <w:rPr>
          <w:i/>
          <w:color w:val="auto"/>
        </w:rPr>
        <w:t>d</w:t>
      </w:r>
      <w:r>
        <w:rPr>
          <w:i/>
          <w:color w:val="auto"/>
          <w:vertAlign w:val="subscript"/>
        </w:rPr>
        <w:t xml:space="preserve"> </w:t>
      </w:r>
      <w:r>
        <w:rPr>
          <w:color w:val="auto"/>
          <w:vertAlign w:val="subscript"/>
        </w:rPr>
        <w:t>1</w:t>
      </w:r>
      <w:r>
        <w:rPr>
          <w:color w:val="auto"/>
        </w:rPr>
        <w:t xml:space="preserve"> ——锚杆孔直径（m）；</w:t>
      </w:r>
    </w:p>
    <w:p w14:paraId="1BCACC4C">
      <w:pPr>
        <w:ind w:left="-2" w:leftChars="-34" w:hanging="69" w:hangingChars="33"/>
        <w:rPr>
          <w:color w:val="auto"/>
        </w:rPr>
      </w:pPr>
      <w:r>
        <w:rPr>
          <w:color w:val="auto"/>
        </w:rPr>
        <w:t xml:space="preserve">        </w:t>
      </w:r>
      <w:r>
        <w:rPr>
          <w:i/>
          <w:color w:val="auto"/>
        </w:rPr>
        <w:t>l</w:t>
      </w:r>
      <w:r>
        <w:rPr>
          <w:color w:val="auto"/>
        </w:rPr>
        <w:t xml:space="preserve"> ——锚杆的有效錨固长度（m）；</w:t>
      </w:r>
    </w:p>
    <w:p w14:paraId="5C7EA89C">
      <w:pPr>
        <w:ind w:firstLine="264" w:firstLineChars="126"/>
        <w:rPr>
          <w:color w:val="auto"/>
        </w:rPr>
      </w:pPr>
      <w:r>
        <w:rPr>
          <w:color w:val="auto"/>
        </w:rPr>
        <w:t xml:space="preserve">     </w:t>
      </w:r>
      <w:r>
        <w:rPr>
          <w:i/>
          <w:color w:val="auto"/>
        </w:rPr>
        <w:t>f</w:t>
      </w:r>
      <w:r>
        <w:rPr>
          <w:color w:val="auto"/>
        </w:rPr>
        <w:t xml:space="preserve"> ——砂浆与岩石间的黏结强度特征值（MP</w:t>
      </w:r>
      <w:r>
        <w:rPr>
          <w:color w:val="auto"/>
          <w:vertAlign w:val="subscript"/>
        </w:rPr>
        <w:t>a</w:t>
      </w:r>
      <w:r>
        <w:rPr>
          <w:color w:val="auto"/>
        </w:rPr>
        <w:t>），可按表62选用。</w:t>
      </w:r>
    </w:p>
    <w:p w14:paraId="0A786A11">
      <w:pPr>
        <w:ind w:firstLine="210" w:firstLineChars="100"/>
        <w:rPr>
          <w:color w:val="auto"/>
        </w:rPr>
      </w:pPr>
    </w:p>
    <w:p w14:paraId="7B20C3CE">
      <w:pPr>
        <w:jc w:val="center"/>
        <w:rPr>
          <w:rFonts w:eastAsia="黑体"/>
          <w:b/>
          <w:color w:val="auto"/>
        </w:rPr>
      </w:pPr>
      <w:r>
        <w:rPr>
          <w:rFonts w:eastAsia="黑体"/>
          <w:b/>
          <w:color w:val="auto"/>
        </w:rPr>
        <w:t>表62  砂浆与岩石的黏结强度特征值（MP</w:t>
      </w:r>
      <w:r>
        <w:rPr>
          <w:rFonts w:eastAsia="黑体"/>
          <w:b/>
          <w:color w:val="auto"/>
          <w:vertAlign w:val="subscript"/>
        </w:rPr>
        <w:t>a</w:t>
      </w:r>
      <w:r>
        <w:rPr>
          <w:rFonts w:eastAsia="黑体"/>
          <w:b/>
          <w:color w:val="auto"/>
        </w:rPr>
        <w:t>）</w:t>
      </w:r>
    </w:p>
    <w:tbl>
      <w:tblPr>
        <w:tblStyle w:val="36"/>
        <w:tblW w:w="91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93"/>
        <w:gridCol w:w="2332"/>
        <w:gridCol w:w="2453"/>
        <w:gridCol w:w="1933"/>
      </w:tblGrid>
      <w:tr w14:paraId="09E53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2393" w:type="dxa"/>
          </w:tcPr>
          <w:p w14:paraId="354B9452">
            <w:pPr>
              <w:jc w:val="center"/>
              <w:rPr>
                <w:color w:val="auto"/>
                <w:sz w:val="18"/>
                <w:szCs w:val="18"/>
              </w:rPr>
            </w:pPr>
            <w:r>
              <w:rPr>
                <w:color w:val="auto"/>
                <w:sz w:val="18"/>
                <w:szCs w:val="18"/>
              </w:rPr>
              <w:t>岩石坚硬程度</w:t>
            </w:r>
          </w:p>
        </w:tc>
        <w:tc>
          <w:tcPr>
            <w:tcW w:w="2332" w:type="dxa"/>
          </w:tcPr>
          <w:p w14:paraId="08B96439">
            <w:pPr>
              <w:jc w:val="center"/>
              <w:rPr>
                <w:color w:val="auto"/>
                <w:sz w:val="18"/>
                <w:szCs w:val="18"/>
              </w:rPr>
            </w:pPr>
            <w:r>
              <w:rPr>
                <w:color w:val="auto"/>
                <w:sz w:val="18"/>
                <w:szCs w:val="18"/>
              </w:rPr>
              <w:t>软岩</w:t>
            </w:r>
          </w:p>
        </w:tc>
        <w:tc>
          <w:tcPr>
            <w:tcW w:w="2453" w:type="dxa"/>
          </w:tcPr>
          <w:p w14:paraId="404C2B8E">
            <w:pPr>
              <w:jc w:val="center"/>
              <w:rPr>
                <w:color w:val="auto"/>
                <w:sz w:val="18"/>
                <w:szCs w:val="18"/>
              </w:rPr>
            </w:pPr>
            <w:r>
              <w:rPr>
                <w:color w:val="auto"/>
                <w:sz w:val="18"/>
                <w:szCs w:val="18"/>
              </w:rPr>
              <w:t>较软岩</w:t>
            </w:r>
          </w:p>
        </w:tc>
        <w:tc>
          <w:tcPr>
            <w:tcW w:w="1933" w:type="dxa"/>
          </w:tcPr>
          <w:p w14:paraId="0BC77369">
            <w:pPr>
              <w:jc w:val="center"/>
              <w:rPr>
                <w:color w:val="auto"/>
                <w:sz w:val="18"/>
                <w:szCs w:val="18"/>
              </w:rPr>
            </w:pPr>
            <w:r>
              <w:rPr>
                <w:color w:val="auto"/>
                <w:sz w:val="18"/>
                <w:szCs w:val="18"/>
              </w:rPr>
              <w:t>硬质岩</w:t>
            </w:r>
          </w:p>
        </w:tc>
      </w:tr>
      <w:tr w14:paraId="02031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2393" w:type="dxa"/>
          </w:tcPr>
          <w:p w14:paraId="3D86C968">
            <w:pPr>
              <w:jc w:val="center"/>
              <w:rPr>
                <w:color w:val="auto"/>
                <w:sz w:val="18"/>
                <w:szCs w:val="18"/>
              </w:rPr>
            </w:pPr>
            <w:r>
              <w:rPr>
                <w:color w:val="auto"/>
                <w:sz w:val="18"/>
                <w:szCs w:val="18"/>
              </w:rPr>
              <w:t>黏结强度</w:t>
            </w:r>
          </w:p>
        </w:tc>
        <w:tc>
          <w:tcPr>
            <w:tcW w:w="2332" w:type="dxa"/>
          </w:tcPr>
          <w:p w14:paraId="06BA9026">
            <w:pPr>
              <w:jc w:val="center"/>
              <w:rPr>
                <w:color w:val="auto"/>
                <w:sz w:val="18"/>
                <w:szCs w:val="18"/>
              </w:rPr>
            </w:pPr>
            <w:r>
              <w:rPr>
                <w:color w:val="auto"/>
                <w:sz w:val="18"/>
                <w:szCs w:val="18"/>
              </w:rPr>
              <w:t>＜0.2</w:t>
            </w:r>
          </w:p>
        </w:tc>
        <w:tc>
          <w:tcPr>
            <w:tcW w:w="2453" w:type="dxa"/>
          </w:tcPr>
          <w:p w14:paraId="53271C4C">
            <w:pPr>
              <w:jc w:val="center"/>
              <w:rPr>
                <w:color w:val="auto"/>
                <w:sz w:val="18"/>
                <w:szCs w:val="18"/>
              </w:rPr>
            </w:pPr>
            <w:r>
              <w:rPr>
                <w:color w:val="auto"/>
                <w:sz w:val="18"/>
                <w:szCs w:val="18"/>
              </w:rPr>
              <w:t>0.2—0.4</w:t>
            </w:r>
          </w:p>
        </w:tc>
        <w:tc>
          <w:tcPr>
            <w:tcW w:w="1933" w:type="dxa"/>
          </w:tcPr>
          <w:p w14:paraId="511993F9">
            <w:pPr>
              <w:jc w:val="center"/>
              <w:rPr>
                <w:color w:val="auto"/>
                <w:sz w:val="18"/>
                <w:szCs w:val="18"/>
              </w:rPr>
            </w:pPr>
            <w:r>
              <w:rPr>
                <w:color w:val="auto"/>
                <w:sz w:val="18"/>
                <w:szCs w:val="18"/>
              </w:rPr>
              <w:t>0.4—0.6</w:t>
            </w:r>
          </w:p>
        </w:tc>
      </w:tr>
      <w:tr w14:paraId="728D4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9111" w:type="dxa"/>
            <w:gridSpan w:val="4"/>
          </w:tcPr>
          <w:p w14:paraId="0C02740F">
            <w:pPr>
              <w:rPr>
                <w:color w:val="auto"/>
                <w:sz w:val="18"/>
                <w:szCs w:val="18"/>
              </w:rPr>
            </w:pPr>
            <w:r>
              <w:rPr>
                <w:color w:val="auto"/>
                <w:sz w:val="18"/>
                <w:szCs w:val="18"/>
              </w:rPr>
              <w:t>注：水泥砂浆强度为30MP</w:t>
            </w:r>
            <w:r>
              <w:rPr>
                <w:color w:val="auto"/>
                <w:sz w:val="18"/>
                <w:szCs w:val="18"/>
                <w:vertAlign w:val="subscript"/>
              </w:rPr>
              <w:t>a</w:t>
            </w:r>
            <w:r>
              <w:rPr>
                <w:color w:val="auto"/>
                <w:sz w:val="18"/>
                <w:szCs w:val="18"/>
              </w:rPr>
              <w:t>，混凝土强度等级为C30。</w:t>
            </w:r>
          </w:p>
        </w:tc>
      </w:tr>
    </w:tbl>
    <w:p w14:paraId="3F99C0AC">
      <w:pPr>
        <w:ind w:firstLine="210" w:firstLineChars="100"/>
        <w:rPr>
          <w:color w:val="auto"/>
        </w:rPr>
      </w:pPr>
    </w:p>
    <w:p w14:paraId="0DD105D7">
      <w:pPr>
        <w:rPr>
          <w:color w:val="auto"/>
        </w:rPr>
      </w:pPr>
      <w:r>
        <w:rPr>
          <w:b/>
          <w:color w:val="auto"/>
        </w:rPr>
        <w:t>13.7.5</w:t>
      </w:r>
      <w:r>
        <w:rPr>
          <w:color w:val="auto"/>
        </w:rPr>
        <w:t xml:space="preserve">  当岩石地基稳定，地基承载力较高，柱子截面和地基承载力能满足上部荷载和基础稳定要求时，可采用不扩展的柱基础。不扩展的柱基础埋深不应小于柱子截面最大边长。</w:t>
      </w:r>
    </w:p>
    <w:p w14:paraId="29F31224">
      <w:pPr>
        <w:rPr>
          <w:color w:val="auto"/>
        </w:rPr>
      </w:pPr>
      <w:r>
        <w:rPr>
          <w:b/>
          <w:color w:val="auto"/>
        </w:rPr>
        <w:t>13.7.6</w:t>
      </w:r>
      <w:r>
        <w:rPr>
          <w:rFonts w:hint="eastAsia"/>
          <w:color w:val="auto"/>
        </w:rPr>
        <w:t xml:space="preserve">  </w:t>
      </w:r>
      <w:r>
        <w:rPr>
          <w:color w:val="auto"/>
        </w:rPr>
        <w:t>建筑场地局部为天然稳定斜坡，可采用桩（墩）基础，且基础底均深入到稳定地层一定深度。边坡宜采取措施</w:t>
      </w:r>
      <w:r>
        <w:rPr>
          <w:rFonts w:hint="eastAsia"/>
          <w:color w:val="auto"/>
        </w:rPr>
        <w:t>进行</w:t>
      </w:r>
      <w:r>
        <w:rPr>
          <w:color w:val="auto"/>
        </w:rPr>
        <w:t>护理</w:t>
      </w:r>
      <w:r>
        <w:rPr>
          <w:rFonts w:hint="eastAsia"/>
          <w:color w:val="auto"/>
        </w:rPr>
        <w:t>以保持稳定</w:t>
      </w:r>
      <w:r>
        <w:rPr>
          <w:color w:val="auto"/>
        </w:rPr>
        <w:t>。</w:t>
      </w:r>
    </w:p>
    <w:p w14:paraId="23194C08">
      <w:pPr>
        <w:rPr>
          <w:color w:val="auto"/>
        </w:rPr>
      </w:pPr>
      <w:r>
        <w:rPr>
          <w:b/>
          <w:color w:val="auto"/>
        </w:rPr>
        <w:t>13.7.7</w:t>
      </w:r>
      <w:r>
        <w:rPr>
          <w:color w:val="auto"/>
        </w:rPr>
        <w:t xml:space="preserve">  岩石地基局部洞穴（槽）规模小时，可采用与基础混凝土强度相同的混凝土嵌实处理；也可采用跨越洞穴（槽）的梁式基础。但必须保证洞穴（槽）两侧岩体及基础的稳定性。当洞穴规模大时，可在洞穴（槽）中或两侧设置桩（墩）基础，将上部荷载传到洞穴（槽）底稳定岩层。</w:t>
      </w:r>
    </w:p>
    <w:p w14:paraId="5DC33924">
      <w:pPr>
        <w:rPr>
          <w:color w:val="auto"/>
        </w:rPr>
      </w:pPr>
      <w:r>
        <w:rPr>
          <w:b/>
          <w:color w:val="auto"/>
        </w:rPr>
        <w:t xml:space="preserve">13.7.8 </w:t>
      </w:r>
      <w:r>
        <w:rPr>
          <w:color w:val="auto"/>
        </w:rPr>
        <w:t xml:space="preserve"> 当建筑场地内</w:t>
      </w:r>
      <w:r>
        <w:rPr>
          <w:rFonts w:hint="eastAsia"/>
          <w:color w:val="auto"/>
        </w:rPr>
        <w:t>部分</w:t>
      </w:r>
      <w:r>
        <w:rPr>
          <w:color w:val="auto"/>
        </w:rPr>
        <w:t>地段基岩出露，</w:t>
      </w:r>
      <w:r>
        <w:rPr>
          <w:rFonts w:hint="eastAsia"/>
          <w:color w:val="auto"/>
        </w:rPr>
        <w:t>部分</w:t>
      </w:r>
      <w:r>
        <w:rPr>
          <w:color w:val="auto"/>
        </w:rPr>
        <w:t>地段基岩有一定埋深时，基岩出露地段可采用天然地基，基岩未出露地段可采用墩基。如基岩埋深较大，基岩上部土层可以利用时，可采用天然地基，</w:t>
      </w:r>
      <w:r>
        <w:rPr>
          <w:rFonts w:hint="eastAsia"/>
          <w:color w:val="auto"/>
        </w:rPr>
        <w:t>此时</w:t>
      </w:r>
      <w:r>
        <w:rPr>
          <w:color w:val="auto"/>
        </w:rPr>
        <w:t>在基岩出露地段应设置褥垫层，</w:t>
      </w:r>
      <w:r>
        <w:rPr>
          <w:rFonts w:hint="eastAsia"/>
          <w:color w:val="auto"/>
        </w:rPr>
        <w:t>按变形设计</w:t>
      </w:r>
      <w:r>
        <w:rPr>
          <w:color w:val="auto"/>
        </w:rPr>
        <w:t>调整</w:t>
      </w:r>
      <w:r>
        <w:rPr>
          <w:rFonts w:hint="eastAsia"/>
          <w:color w:val="auto"/>
        </w:rPr>
        <w:t>建筑物的</w:t>
      </w:r>
      <w:r>
        <w:rPr>
          <w:color w:val="auto"/>
        </w:rPr>
        <w:t>不均匀沉降。天然地基、墩基、褥垫层设计应符合本文件有关要求。</w:t>
      </w:r>
    </w:p>
    <w:p w14:paraId="2F0161B1">
      <w:pPr>
        <w:rPr>
          <w:color w:val="auto"/>
          <w:szCs w:val="21"/>
        </w:rPr>
      </w:pPr>
    </w:p>
    <w:p w14:paraId="72C53766">
      <w:pPr>
        <w:numPr>
          <w:ilvl w:val="0"/>
          <w:numId w:val="1"/>
        </w:numPr>
        <w:adjustRightInd w:val="0"/>
        <w:snapToGrid w:val="0"/>
        <w:outlineLvl w:val="0"/>
        <w:rPr>
          <w:rFonts w:eastAsia="黑体"/>
          <w:b/>
          <w:snapToGrid w:val="0"/>
          <w:color w:val="auto"/>
          <w:spacing w:val="-2"/>
          <w:sz w:val="24"/>
        </w:rPr>
      </w:pPr>
      <w:bookmarkStart w:id="78" w:name="_Toc199943621"/>
      <w:r>
        <w:rPr>
          <w:rFonts w:eastAsia="黑体"/>
          <w:b/>
          <w:bCs/>
          <w:color w:val="auto"/>
          <w:sz w:val="24"/>
        </w:rPr>
        <w:t>地基基础抗震设计要点</w:t>
      </w:r>
      <w:bookmarkEnd w:id="78"/>
    </w:p>
    <w:p w14:paraId="1ED0B8E4">
      <w:pPr>
        <w:adjustRightInd w:val="0"/>
        <w:snapToGrid w:val="0"/>
        <w:spacing w:line="340" w:lineRule="exact"/>
        <w:rPr>
          <w:b/>
          <w:bCs/>
          <w:snapToGrid w:val="0"/>
          <w:color w:val="auto"/>
          <w:spacing w:val="-2"/>
          <w:szCs w:val="21"/>
        </w:rPr>
      </w:pPr>
    </w:p>
    <w:p w14:paraId="18241398">
      <w:pPr>
        <w:adjustRightInd w:val="0"/>
        <w:snapToGrid w:val="0"/>
        <w:spacing w:line="340" w:lineRule="exact"/>
        <w:outlineLvl w:val="1"/>
        <w:rPr>
          <w:rFonts w:eastAsia="黑体"/>
          <w:b/>
          <w:bCs/>
          <w:color w:val="auto"/>
          <w:szCs w:val="21"/>
        </w:rPr>
      </w:pPr>
      <w:bookmarkStart w:id="79" w:name="_Toc199943622"/>
      <w:r>
        <w:rPr>
          <w:rFonts w:eastAsia="黑体"/>
          <w:b/>
          <w:bCs/>
          <w:color w:val="auto"/>
          <w:szCs w:val="21"/>
        </w:rPr>
        <w:t>14.1  一般规定</w:t>
      </w:r>
      <w:bookmarkEnd w:id="79"/>
    </w:p>
    <w:p w14:paraId="2D968223">
      <w:pPr>
        <w:adjustRightInd w:val="0"/>
        <w:snapToGrid w:val="0"/>
        <w:spacing w:line="340" w:lineRule="exact"/>
        <w:rPr>
          <w:b/>
          <w:bCs/>
          <w:snapToGrid w:val="0"/>
          <w:color w:val="auto"/>
          <w:spacing w:val="-2"/>
          <w:szCs w:val="21"/>
        </w:rPr>
      </w:pPr>
    </w:p>
    <w:p w14:paraId="6B7A13A2">
      <w:pPr>
        <w:adjustRightInd w:val="0"/>
        <w:snapToGrid w:val="0"/>
        <w:spacing w:line="340" w:lineRule="exact"/>
        <w:rPr>
          <w:rFonts w:hAnsi="宋体"/>
          <w:snapToGrid w:val="0"/>
          <w:color w:val="auto"/>
          <w:spacing w:val="-2"/>
          <w:szCs w:val="21"/>
        </w:rPr>
      </w:pPr>
      <w:r>
        <w:rPr>
          <w:rFonts w:eastAsia="黑体"/>
          <w:b/>
          <w:bCs/>
          <w:snapToGrid w:val="0"/>
          <w:color w:val="auto"/>
          <w:spacing w:val="-2"/>
          <w:szCs w:val="21"/>
        </w:rPr>
        <w:t>14.1.1</w:t>
      </w:r>
      <w:r>
        <w:rPr>
          <w:b/>
          <w:bCs/>
          <w:snapToGrid w:val="0"/>
          <w:color w:val="auto"/>
          <w:spacing w:val="-2"/>
          <w:szCs w:val="21"/>
        </w:rPr>
        <w:t xml:space="preserve">  </w:t>
      </w:r>
      <w:r>
        <w:rPr>
          <w:rFonts w:hAnsi="宋体"/>
          <w:snapToGrid w:val="0"/>
          <w:color w:val="auto"/>
          <w:spacing w:val="-2"/>
          <w:szCs w:val="21"/>
        </w:rPr>
        <w:t>选择建筑场地时，应根据工程需要和地震活动情况、工程地质和地震地质的有关资料，对抗震有利、一般、不利和危险地段做出综合评价。对不利地段，应</w:t>
      </w:r>
      <w:r>
        <w:rPr>
          <w:rFonts w:hint="eastAsia" w:hAnsi="宋体"/>
          <w:snapToGrid w:val="0"/>
          <w:color w:val="auto"/>
          <w:spacing w:val="-2"/>
          <w:szCs w:val="21"/>
        </w:rPr>
        <w:t>尽量</w:t>
      </w:r>
      <w:r>
        <w:rPr>
          <w:rFonts w:hAnsi="宋体"/>
          <w:snapToGrid w:val="0"/>
          <w:color w:val="auto"/>
          <w:spacing w:val="-2"/>
          <w:szCs w:val="21"/>
        </w:rPr>
        <w:t>避开；当无法避开时应采取有效的抗震措施。对危险地段，严禁建造甲、乙</w:t>
      </w:r>
      <w:r>
        <w:rPr>
          <w:rFonts w:hint="eastAsia" w:hAnsi="宋体"/>
          <w:snapToGrid w:val="0"/>
          <w:color w:val="auto"/>
          <w:spacing w:val="-2"/>
          <w:szCs w:val="21"/>
        </w:rPr>
        <w:t>、</w:t>
      </w:r>
      <w:r>
        <w:rPr>
          <w:rFonts w:hAnsi="宋体"/>
          <w:snapToGrid w:val="0"/>
          <w:color w:val="auto"/>
          <w:spacing w:val="-2"/>
          <w:szCs w:val="21"/>
        </w:rPr>
        <w:t>丙类建筑。</w:t>
      </w:r>
    </w:p>
    <w:p w14:paraId="1E5BA2AF">
      <w:pPr>
        <w:adjustRightInd w:val="0"/>
        <w:snapToGrid w:val="0"/>
        <w:spacing w:line="340" w:lineRule="exact"/>
        <w:rPr>
          <w:rFonts w:eastAsia="黑体"/>
          <w:b/>
          <w:bCs/>
          <w:snapToGrid w:val="0"/>
          <w:color w:val="auto"/>
          <w:spacing w:val="-2"/>
          <w:szCs w:val="21"/>
        </w:rPr>
      </w:pPr>
      <w:r>
        <w:rPr>
          <w:rFonts w:eastAsia="黑体"/>
          <w:b/>
          <w:bCs/>
          <w:snapToGrid w:val="0"/>
          <w:color w:val="auto"/>
          <w:spacing w:val="-2"/>
          <w:szCs w:val="21"/>
        </w:rPr>
        <w:t xml:space="preserve">14.1.2  </w:t>
      </w:r>
      <w:r>
        <w:rPr>
          <w:rFonts w:hAnsi="宋体"/>
          <w:snapToGrid w:val="0"/>
          <w:color w:val="auto"/>
          <w:spacing w:val="-2"/>
          <w:szCs w:val="21"/>
        </w:rPr>
        <w:t>当需要在条状突出的山嘴、高耸孤立的山丘、非岩石和强风化岩石的陡坡、河岸和边坡边缘等不利地段建造丙类及丙类以上建筑时，除保证其在地震作用下的稳定性外，尚应估计不利地段对设计地震动参数可能产生的放大作用，其水平地震影响系数最大值应乘以增大系数。其值应根据不利地段的具体情况确定，在 1.1~1.6 范围内采用。</w:t>
      </w:r>
    </w:p>
    <w:p w14:paraId="3FB0B94A">
      <w:pPr>
        <w:adjustRightInd w:val="0"/>
        <w:snapToGrid w:val="0"/>
        <w:spacing w:line="340" w:lineRule="exact"/>
        <w:rPr>
          <w:snapToGrid w:val="0"/>
          <w:color w:val="auto"/>
          <w:spacing w:val="-2"/>
          <w:szCs w:val="21"/>
        </w:rPr>
      </w:pPr>
      <w:r>
        <w:rPr>
          <w:b/>
          <w:bCs/>
          <w:snapToGrid w:val="0"/>
          <w:color w:val="auto"/>
          <w:spacing w:val="-2"/>
          <w:szCs w:val="21"/>
        </w:rPr>
        <w:t>14.1.3</w:t>
      </w:r>
      <w:r>
        <w:rPr>
          <w:snapToGrid w:val="0"/>
          <w:color w:val="auto"/>
          <w:spacing w:val="-2"/>
          <w:szCs w:val="21"/>
        </w:rPr>
        <w:t xml:space="preserve">  </w:t>
      </w:r>
      <w:r>
        <w:rPr>
          <w:rFonts w:hAnsi="宋体"/>
          <w:snapToGrid w:val="0"/>
          <w:color w:val="auto"/>
          <w:spacing w:val="-2"/>
          <w:szCs w:val="21"/>
        </w:rPr>
        <w:t>在故河道以及临近河岸、边坡等有液化侧向扩展或流滑可能的地段内不宜修建永久性建筑，否则应进行抗滑动验算，采取防止土体滑动或结构抗裂的措施。</w:t>
      </w:r>
    </w:p>
    <w:p w14:paraId="141033F8">
      <w:pPr>
        <w:adjustRightInd w:val="0"/>
        <w:snapToGrid w:val="0"/>
        <w:spacing w:line="340" w:lineRule="exact"/>
        <w:rPr>
          <w:snapToGrid w:val="0"/>
          <w:color w:val="auto"/>
          <w:spacing w:val="-2"/>
          <w:szCs w:val="21"/>
        </w:rPr>
      </w:pPr>
      <w:r>
        <w:rPr>
          <w:b/>
          <w:bCs/>
          <w:snapToGrid w:val="0"/>
          <w:color w:val="auto"/>
          <w:spacing w:val="-2"/>
          <w:szCs w:val="21"/>
        </w:rPr>
        <w:t xml:space="preserve">14.1.4  </w:t>
      </w:r>
      <w:r>
        <w:rPr>
          <w:rFonts w:hAnsi="宋体"/>
          <w:snapToGrid w:val="0"/>
          <w:color w:val="auto"/>
          <w:spacing w:val="-2"/>
          <w:szCs w:val="21"/>
        </w:rPr>
        <w:t>地基和基础设计应符合下列要求：</w:t>
      </w:r>
    </w:p>
    <w:p w14:paraId="21E7A6AF">
      <w:pPr>
        <w:adjustRightInd w:val="0"/>
        <w:snapToGrid w:val="0"/>
        <w:spacing w:line="340" w:lineRule="exact"/>
        <w:ind w:firstLine="414" w:firstLineChars="200"/>
        <w:rPr>
          <w:snapToGrid w:val="0"/>
          <w:color w:val="auto"/>
          <w:spacing w:val="-2"/>
          <w:szCs w:val="21"/>
        </w:rPr>
      </w:pPr>
      <w:r>
        <w:rPr>
          <w:b/>
          <w:bCs/>
          <w:snapToGrid w:val="0"/>
          <w:color w:val="auto"/>
          <w:spacing w:val="-2"/>
          <w:szCs w:val="21"/>
        </w:rPr>
        <w:t>a)</w:t>
      </w:r>
      <w:r>
        <w:rPr>
          <w:snapToGrid w:val="0"/>
          <w:color w:val="auto"/>
          <w:spacing w:val="-2"/>
          <w:szCs w:val="21"/>
        </w:rPr>
        <w:t xml:space="preserve">  </w:t>
      </w:r>
      <w:r>
        <w:rPr>
          <w:rFonts w:hAnsi="宋体"/>
          <w:snapToGrid w:val="0"/>
          <w:color w:val="auto"/>
          <w:spacing w:val="-2"/>
          <w:szCs w:val="21"/>
        </w:rPr>
        <w:t>同一结构单元的基础不宜设置在性质截然不同的地基上。</w:t>
      </w:r>
    </w:p>
    <w:p w14:paraId="64E9F74C">
      <w:pPr>
        <w:adjustRightInd w:val="0"/>
        <w:snapToGrid w:val="0"/>
        <w:spacing w:line="340" w:lineRule="exact"/>
        <w:ind w:firstLine="414" w:firstLineChars="200"/>
        <w:rPr>
          <w:snapToGrid w:val="0"/>
          <w:color w:val="auto"/>
          <w:spacing w:val="-2"/>
          <w:szCs w:val="21"/>
        </w:rPr>
      </w:pPr>
      <w:r>
        <w:rPr>
          <w:b/>
          <w:bCs/>
          <w:snapToGrid w:val="0"/>
          <w:color w:val="auto"/>
          <w:spacing w:val="-2"/>
          <w:szCs w:val="21"/>
        </w:rPr>
        <w:t>b)</w:t>
      </w:r>
      <w:r>
        <w:rPr>
          <w:snapToGrid w:val="0"/>
          <w:color w:val="auto"/>
          <w:spacing w:val="-2"/>
          <w:szCs w:val="21"/>
        </w:rPr>
        <w:t xml:space="preserve">  </w:t>
      </w:r>
      <w:r>
        <w:rPr>
          <w:rFonts w:hAnsi="宋体"/>
          <w:snapToGrid w:val="0"/>
          <w:color w:val="auto"/>
          <w:spacing w:val="-2"/>
          <w:szCs w:val="21"/>
        </w:rPr>
        <w:t>同一结构单元不宜部分采用天然地基部分采用桩基；当丙类建筑采用天然地基时，可部分采用复合地基等人工地基或墩式基础。当天然地基与墩式基础并用时，应考虑基底高差与基础中心距之间的关系，进行持力层稳定性验算，不满足时可调整基底标高，且基础间尚应设置基础系梁。当采用不同基础类型或基础埋深显著不同时，应根据地震时两部分地基基础的沉降差异，在基础、上部结构的相关部位采取相应措施。</w:t>
      </w:r>
    </w:p>
    <w:p w14:paraId="49AD518F">
      <w:pPr>
        <w:adjustRightInd w:val="0"/>
        <w:snapToGrid w:val="0"/>
        <w:spacing w:line="340" w:lineRule="exact"/>
        <w:ind w:firstLine="414" w:firstLineChars="200"/>
        <w:rPr>
          <w:snapToGrid w:val="0"/>
          <w:color w:val="auto"/>
          <w:spacing w:val="-2"/>
          <w:szCs w:val="21"/>
        </w:rPr>
      </w:pPr>
      <w:r>
        <w:rPr>
          <w:b/>
          <w:bCs/>
          <w:snapToGrid w:val="0"/>
          <w:color w:val="auto"/>
          <w:spacing w:val="-2"/>
          <w:szCs w:val="21"/>
        </w:rPr>
        <w:t>c)</w:t>
      </w:r>
      <w:r>
        <w:rPr>
          <w:snapToGrid w:val="0"/>
          <w:color w:val="auto"/>
          <w:spacing w:val="-2"/>
          <w:szCs w:val="21"/>
        </w:rPr>
        <w:t xml:space="preserve">  </w:t>
      </w:r>
      <w:r>
        <w:rPr>
          <w:rFonts w:hAnsi="宋体"/>
          <w:snapToGrid w:val="0"/>
          <w:color w:val="auto"/>
          <w:spacing w:val="-2"/>
          <w:szCs w:val="21"/>
        </w:rPr>
        <w:t>地基为软弱黏性土、液化土、新近填土或严重不均匀土时，应根据地震时地基不均匀沉降和其他不利影响，采取相应的措施。</w:t>
      </w:r>
    </w:p>
    <w:p w14:paraId="7A8F45F2">
      <w:pPr>
        <w:adjustRightInd w:val="0"/>
        <w:snapToGrid w:val="0"/>
        <w:spacing w:line="340" w:lineRule="exact"/>
        <w:ind w:firstLine="414" w:firstLineChars="200"/>
        <w:rPr>
          <w:color w:val="auto"/>
          <w:spacing w:val="-2"/>
          <w:kern w:val="0"/>
          <w:szCs w:val="21"/>
        </w:rPr>
      </w:pPr>
      <w:r>
        <w:rPr>
          <w:b/>
          <w:bCs/>
          <w:snapToGrid w:val="0"/>
          <w:color w:val="auto"/>
          <w:spacing w:val="-2"/>
          <w:szCs w:val="21"/>
        </w:rPr>
        <w:t>d)</w:t>
      </w:r>
      <w:r>
        <w:rPr>
          <w:snapToGrid w:val="0"/>
          <w:color w:val="auto"/>
          <w:spacing w:val="-2"/>
          <w:szCs w:val="21"/>
        </w:rPr>
        <w:t xml:space="preserve">  </w:t>
      </w:r>
      <w:r>
        <w:rPr>
          <w:rFonts w:hAnsi="宋体"/>
          <w:color w:val="auto"/>
          <w:spacing w:val="-2"/>
          <w:kern w:val="0"/>
          <w:szCs w:val="21"/>
        </w:rPr>
        <w:t>山</w:t>
      </w:r>
      <w:r>
        <w:rPr>
          <w:rFonts w:hAnsi="宋体"/>
          <w:color w:val="auto"/>
          <w:spacing w:val="-4"/>
          <w:kern w:val="0"/>
          <w:szCs w:val="21"/>
        </w:rPr>
        <w:t>区</w:t>
      </w:r>
      <w:r>
        <w:rPr>
          <w:rFonts w:hAnsi="宋体"/>
          <w:color w:val="auto"/>
          <w:spacing w:val="-2"/>
          <w:kern w:val="0"/>
          <w:szCs w:val="21"/>
        </w:rPr>
        <w:t>建</w:t>
      </w:r>
      <w:r>
        <w:rPr>
          <w:rFonts w:hAnsi="宋体"/>
          <w:color w:val="auto"/>
          <w:spacing w:val="-4"/>
          <w:kern w:val="0"/>
          <w:szCs w:val="21"/>
        </w:rPr>
        <w:t>筑</w:t>
      </w:r>
      <w:r>
        <w:rPr>
          <w:rFonts w:hAnsi="宋体"/>
          <w:color w:val="auto"/>
          <w:spacing w:val="-2"/>
          <w:kern w:val="0"/>
          <w:szCs w:val="21"/>
        </w:rPr>
        <w:t>场地应根</w:t>
      </w:r>
      <w:r>
        <w:rPr>
          <w:rFonts w:hAnsi="宋体"/>
          <w:color w:val="auto"/>
          <w:spacing w:val="-4"/>
          <w:kern w:val="0"/>
          <w:szCs w:val="21"/>
        </w:rPr>
        <w:t>据</w:t>
      </w:r>
      <w:r>
        <w:rPr>
          <w:rFonts w:hAnsi="宋体"/>
          <w:color w:val="auto"/>
          <w:spacing w:val="-2"/>
          <w:kern w:val="0"/>
          <w:szCs w:val="21"/>
        </w:rPr>
        <w:t>地质、地</w:t>
      </w:r>
      <w:r>
        <w:rPr>
          <w:rFonts w:hAnsi="宋体"/>
          <w:color w:val="auto"/>
          <w:spacing w:val="-4"/>
          <w:kern w:val="0"/>
          <w:szCs w:val="21"/>
        </w:rPr>
        <w:t>形</w:t>
      </w:r>
      <w:r>
        <w:rPr>
          <w:rFonts w:hAnsi="宋体"/>
          <w:color w:val="auto"/>
          <w:spacing w:val="-2"/>
          <w:kern w:val="0"/>
          <w:szCs w:val="21"/>
        </w:rPr>
        <w:t>条件和使</w:t>
      </w:r>
      <w:r>
        <w:rPr>
          <w:rFonts w:hAnsi="宋体"/>
          <w:color w:val="auto"/>
          <w:spacing w:val="-4"/>
          <w:kern w:val="0"/>
          <w:szCs w:val="21"/>
        </w:rPr>
        <w:t>用</w:t>
      </w:r>
      <w:r>
        <w:rPr>
          <w:rFonts w:hAnsi="宋体"/>
          <w:color w:val="auto"/>
          <w:spacing w:val="-2"/>
          <w:kern w:val="0"/>
          <w:szCs w:val="21"/>
        </w:rPr>
        <w:t>要求，因</w:t>
      </w:r>
      <w:r>
        <w:rPr>
          <w:rFonts w:hAnsi="宋体"/>
          <w:color w:val="auto"/>
          <w:spacing w:val="-4"/>
          <w:kern w:val="0"/>
          <w:szCs w:val="21"/>
        </w:rPr>
        <w:t>地</w:t>
      </w:r>
      <w:r>
        <w:rPr>
          <w:rFonts w:hAnsi="宋体"/>
          <w:color w:val="auto"/>
          <w:spacing w:val="-2"/>
          <w:kern w:val="0"/>
          <w:szCs w:val="21"/>
        </w:rPr>
        <w:t>制宜设置</w:t>
      </w:r>
      <w:r>
        <w:rPr>
          <w:rFonts w:hAnsi="宋体"/>
          <w:color w:val="auto"/>
          <w:spacing w:val="-4"/>
          <w:kern w:val="0"/>
          <w:szCs w:val="21"/>
        </w:rPr>
        <w:t>符</w:t>
      </w:r>
      <w:r>
        <w:rPr>
          <w:rFonts w:hAnsi="宋体"/>
          <w:color w:val="auto"/>
          <w:spacing w:val="-2"/>
          <w:kern w:val="0"/>
          <w:szCs w:val="21"/>
        </w:rPr>
        <w:t>合抗震设</w:t>
      </w:r>
      <w:r>
        <w:rPr>
          <w:rFonts w:hAnsi="宋体"/>
          <w:color w:val="auto"/>
          <w:spacing w:val="-4"/>
          <w:kern w:val="0"/>
          <w:szCs w:val="21"/>
        </w:rPr>
        <w:t>防</w:t>
      </w:r>
      <w:r>
        <w:rPr>
          <w:rFonts w:hAnsi="宋体"/>
          <w:color w:val="auto"/>
          <w:spacing w:val="-2"/>
          <w:kern w:val="0"/>
          <w:szCs w:val="21"/>
        </w:rPr>
        <w:t>要求的边坡工</w:t>
      </w:r>
      <w:r>
        <w:rPr>
          <w:rFonts w:hAnsi="宋体"/>
          <w:color w:val="auto"/>
          <w:spacing w:val="-4"/>
          <w:kern w:val="0"/>
          <w:szCs w:val="21"/>
        </w:rPr>
        <w:t>程</w:t>
      </w:r>
      <w:r>
        <w:rPr>
          <w:rFonts w:hAnsi="宋体"/>
          <w:color w:val="auto"/>
          <w:spacing w:val="-2"/>
          <w:kern w:val="0"/>
          <w:szCs w:val="21"/>
        </w:rPr>
        <w:t>；</w:t>
      </w:r>
      <w:r>
        <w:rPr>
          <w:color w:val="auto"/>
          <w:spacing w:val="-2"/>
          <w:kern w:val="0"/>
          <w:szCs w:val="21"/>
        </w:rPr>
        <w:t>边坡设计应符合现行国家标准GB</w:t>
      </w:r>
      <w:r>
        <w:rPr>
          <w:rFonts w:hint="eastAsia"/>
          <w:color w:val="auto"/>
          <w:spacing w:val="-2"/>
          <w:kern w:val="0"/>
          <w:szCs w:val="21"/>
          <w:lang w:val="en-US" w:eastAsia="zh-CN"/>
        </w:rPr>
        <w:t xml:space="preserve"> </w:t>
      </w:r>
      <w:r>
        <w:rPr>
          <w:color w:val="auto"/>
          <w:spacing w:val="-2"/>
          <w:kern w:val="0"/>
          <w:szCs w:val="21"/>
        </w:rPr>
        <w:t>50330的要求；其稳定性验算时，有关的摩擦角应按设防烈度的高低相应修正。</w:t>
      </w:r>
    </w:p>
    <w:p w14:paraId="5F831A41">
      <w:pPr>
        <w:adjustRightInd w:val="0"/>
        <w:snapToGrid w:val="0"/>
        <w:spacing w:line="340" w:lineRule="exact"/>
        <w:ind w:firstLine="414" w:firstLineChars="200"/>
        <w:rPr>
          <w:snapToGrid w:val="0"/>
          <w:color w:val="auto"/>
          <w:spacing w:val="-2"/>
          <w:szCs w:val="21"/>
        </w:rPr>
      </w:pPr>
      <w:r>
        <w:rPr>
          <w:b/>
          <w:bCs/>
          <w:snapToGrid w:val="0"/>
          <w:color w:val="auto"/>
          <w:spacing w:val="-2"/>
          <w:szCs w:val="21"/>
        </w:rPr>
        <w:t>e)</w:t>
      </w:r>
      <w:r>
        <w:rPr>
          <w:color w:val="auto"/>
          <w:spacing w:val="-2"/>
          <w:kern w:val="0"/>
          <w:szCs w:val="21"/>
        </w:rPr>
        <w:t xml:space="preserve">  山区边坡附近的建筑基础应进行抗震稳定性设计。建筑基础与土质、强风化岩质边坡的边缘应留有足够的距离，其值应根据抗震设防烈度的高低确定，并采取措施避免地震时地基基础破坏。</w:t>
      </w:r>
    </w:p>
    <w:p w14:paraId="48482B20">
      <w:pPr>
        <w:adjustRightInd w:val="0"/>
        <w:snapToGrid w:val="0"/>
        <w:spacing w:line="340" w:lineRule="exact"/>
        <w:rPr>
          <w:snapToGrid w:val="0"/>
          <w:color w:val="auto"/>
          <w:spacing w:val="-2"/>
          <w:szCs w:val="21"/>
        </w:rPr>
      </w:pPr>
      <w:r>
        <w:rPr>
          <w:b/>
          <w:bCs/>
          <w:snapToGrid w:val="0"/>
          <w:color w:val="auto"/>
          <w:spacing w:val="-2"/>
          <w:szCs w:val="21"/>
        </w:rPr>
        <w:t xml:space="preserve">14.1.5  </w:t>
      </w:r>
      <w:r>
        <w:rPr>
          <w:rFonts w:hAnsi="宋体"/>
          <w:snapToGrid w:val="0"/>
          <w:color w:val="auto"/>
          <w:spacing w:val="-2"/>
          <w:szCs w:val="21"/>
        </w:rPr>
        <w:t>框架</w:t>
      </w:r>
      <w:r>
        <w:rPr>
          <w:snapToGrid w:val="0"/>
          <w:color w:val="auto"/>
          <w:spacing w:val="-2"/>
          <w:szCs w:val="21"/>
        </w:rPr>
        <w:t>—</w:t>
      </w:r>
      <w:r>
        <w:rPr>
          <w:rFonts w:hAnsi="宋体"/>
          <w:snapToGrid w:val="0"/>
          <w:color w:val="auto"/>
          <w:spacing w:val="-2"/>
          <w:szCs w:val="21"/>
        </w:rPr>
        <w:t>抗震墙结构、板柱</w:t>
      </w:r>
      <w:r>
        <w:rPr>
          <w:snapToGrid w:val="0"/>
          <w:color w:val="auto"/>
          <w:spacing w:val="-2"/>
          <w:szCs w:val="21"/>
        </w:rPr>
        <w:t>-</w:t>
      </w:r>
      <w:r>
        <w:rPr>
          <w:rFonts w:hAnsi="宋体"/>
          <w:snapToGrid w:val="0"/>
          <w:color w:val="auto"/>
          <w:spacing w:val="-2"/>
          <w:szCs w:val="21"/>
        </w:rPr>
        <w:t>抗震墙结构中的抗震墙基础和部分框支抗震墙结构的落地抗震墙基础以及底部框架</w:t>
      </w:r>
      <w:r>
        <w:rPr>
          <w:snapToGrid w:val="0"/>
          <w:color w:val="auto"/>
          <w:spacing w:val="-2"/>
          <w:szCs w:val="21"/>
        </w:rPr>
        <w:t>—</w:t>
      </w:r>
      <w:r>
        <w:rPr>
          <w:rFonts w:hAnsi="宋体"/>
          <w:snapToGrid w:val="0"/>
          <w:color w:val="auto"/>
          <w:spacing w:val="-2"/>
          <w:szCs w:val="21"/>
        </w:rPr>
        <w:t>抗震墙砌体房屋中的落地抗震墙基础，应有良好的整体性和抗转动能力，基础型式应采用钢筋混凝土条形基础、筏形基础或桩基。</w:t>
      </w:r>
    </w:p>
    <w:p w14:paraId="5A243ADB">
      <w:pPr>
        <w:adjustRightInd w:val="0"/>
        <w:snapToGrid w:val="0"/>
        <w:spacing w:line="340" w:lineRule="atLeast"/>
        <w:rPr>
          <w:b/>
          <w:bCs/>
          <w:snapToGrid w:val="0"/>
          <w:color w:val="auto"/>
          <w:spacing w:val="-2"/>
          <w:szCs w:val="21"/>
        </w:rPr>
      </w:pPr>
      <w:r>
        <w:rPr>
          <w:b/>
          <w:snapToGrid w:val="0"/>
          <w:color w:val="auto"/>
          <w:spacing w:val="-2"/>
          <w:szCs w:val="21"/>
        </w:rPr>
        <w:t>14.1.6</w:t>
      </w:r>
      <w:r>
        <w:rPr>
          <w:b/>
          <w:bCs/>
          <w:snapToGrid w:val="0"/>
          <w:color w:val="auto"/>
          <w:spacing w:val="-2"/>
          <w:szCs w:val="21"/>
        </w:rPr>
        <w:t xml:space="preserve">  </w:t>
      </w:r>
      <w:r>
        <w:rPr>
          <w:color w:val="auto"/>
          <w:kern w:val="0"/>
        </w:rPr>
        <w:t>对有抗震设防要求的结构，当地下一层结构顶板作为上部结构嵌固端时，嵌固端处的底层框架柱下端</w:t>
      </w:r>
      <w:r>
        <w:rPr>
          <w:color w:val="auto"/>
          <w:spacing w:val="5"/>
          <w:kern w:val="0"/>
        </w:rPr>
        <w:t>截面</w:t>
      </w:r>
      <w:r>
        <w:rPr>
          <w:color w:val="auto"/>
          <w:kern w:val="0"/>
        </w:rPr>
        <w:t>组合弯矩设计值应按现行国家标准GB/T</w:t>
      </w:r>
      <w:r>
        <w:rPr>
          <w:rFonts w:hint="eastAsia"/>
          <w:color w:val="auto"/>
          <w:kern w:val="0"/>
          <w:lang w:val="en-US" w:eastAsia="zh-CN"/>
        </w:rPr>
        <w:t xml:space="preserve"> </w:t>
      </w:r>
      <w:r>
        <w:rPr>
          <w:color w:val="auto"/>
          <w:kern w:val="0"/>
        </w:rPr>
        <w:t>50011的规定乘以与其抗震等级相对应的增大系数。当平板式筏形基础板作为上部结构的嵌固端、计算柱下板带截面组合弯矩设计值时，底层框架柱下端内力应考虑地震作用组合及相应的增大系数。</w:t>
      </w:r>
    </w:p>
    <w:p w14:paraId="4CDE1377">
      <w:pPr>
        <w:adjustRightInd w:val="0"/>
        <w:snapToGrid w:val="0"/>
        <w:spacing w:line="340" w:lineRule="atLeast"/>
        <w:rPr>
          <w:snapToGrid w:val="0"/>
          <w:color w:val="auto"/>
          <w:spacing w:val="-2"/>
          <w:szCs w:val="21"/>
        </w:rPr>
      </w:pPr>
      <w:r>
        <w:rPr>
          <w:b/>
          <w:snapToGrid w:val="0"/>
          <w:color w:val="auto"/>
          <w:spacing w:val="-2"/>
          <w:szCs w:val="21"/>
        </w:rPr>
        <w:t>14.1.7</w:t>
      </w:r>
      <w:r>
        <w:rPr>
          <w:snapToGrid w:val="0"/>
          <w:color w:val="auto"/>
          <w:spacing w:val="-2"/>
          <w:szCs w:val="21"/>
        </w:rPr>
        <w:t xml:space="preserve">  </w:t>
      </w:r>
      <w:r>
        <w:rPr>
          <w:rFonts w:hAnsi="宋体"/>
          <w:snapToGrid w:val="0"/>
          <w:color w:val="auto"/>
          <w:spacing w:val="-2"/>
          <w:szCs w:val="21"/>
        </w:rPr>
        <w:t>平板式筏基在地震作用下的抗冲切计算按本文件附录</w:t>
      </w:r>
      <w:r>
        <w:rPr>
          <w:snapToGrid w:val="0"/>
          <w:color w:val="auto"/>
          <w:spacing w:val="-2"/>
          <w:szCs w:val="21"/>
        </w:rPr>
        <w:t>H</w:t>
      </w:r>
      <w:r>
        <w:rPr>
          <w:rFonts w:hAnsi="宋体"/>
          <w:snapToGrid w:val="0"/>
          <w:color w:val="auto"/>
          <w:spacing w:val="-2"/>
          <w:szCs w:val="21"/>
        </w:rPr>
        <w:t>执行。</w:t>
      </w:r>
    </w:p>
    <w:p w14:paraId="3F7B3A85">
      <w:pPr>
        <w:adjustRightInd w:val="0"/>
        <w:snapToGrid w:val="0"/>
        <w:spacing w:line="340" w:lineRule="atLeast"/>
        <w:rPr>
          <w:snapToGrid w:val="0"/>
          <w:color w:val="auto"/>
          <w:spacing w:val="-2"/>
          <w:szCs w:val="21"/>
        </w:rPr>
      </w:pPr>
    </w:p>
    <w:p w14:paraId="7FDA692A">
      <w:pPr>
        <w:adjustRightInd w:val="0"/>
        <w:snapToGrid w:val="0"/>
        <w:spacing w:line="340" w:lineRule="exact"/>
        <w:outlineLvl w:val="1"/>
        <w:rPr>
          <w:rFonts w:eastAsia="黑体"/>
          <w:b/>
          <w:bCs/>
          <w:color w:val="auto"/>
          <w:szCs w:val="21"/>
        </w:rPr>
      </w:pPr>
      <w:bookmarkStart w:id="80" w:name="_Toc199943623"/>
      <w:r>
        <w:rPr>
          <w:rFonts w:eastAsia="黑体"/>
          <w:b/>
          <w:bCs/>
          <w:color w:val="auto"/>
          <w:szCs w:val="21"/>
        </w:rPr>
        <w:t>14.2  天然地基和复合地基</w:t>
      </w:r>
      <w:bookmarkEnd w:id="80"/>
    </w:p>
    <w:p w14:paraId="34F85196">
      <w:pPr>
        <w:adjustRightInd w:val="0"/>
        <w:snapToGrid w:val="0"/>
        <w:spacing w:line="340" w:lineRule="exact"/>
        <w:jc w:val="center"/>
        <w:rPr>
          <w:b/>
          <w:bCs/>
          <w:snapToGrid w:val="0"/>
          <w:color w:val="auto"/>
          <w:spacing w:val="-2"/>
          <w:szCs w:val="21"/>
        </w:rPr>
      </w:pPr>
    </w:p>
    <w:p w14:paraId="2D41E7E3">
      <w:pPr>
        <w:adjustRightInd w:val="0"/>
        <w:snapToGrid w:val="0"/>
        <w:spacing w:line="340" w:lineRule="exact"/>
        <w:rPr>
          <w:snapToGrid w:val="0"/>
          <w:color w:val="auto"/>
          <w:spacing w:val="-2"/>
          <w:szCs w:val="21"/>
        </w:rPr>
      </w:pPr>
      <w:r>
        <w:rPr>
          <w:b/>
          <w:bCs/>
          <w:snapToGrid w:val="0"/>
          <w:color w:val="auto"/>
          <w:spacing w:val="-2"/>
          <w:szCs w:val="21"/>
        </w:rPr>
        <w:t xml:space="preserve">14.2.1  </w:t>
      </w:r>
      <w:r>
        <w:rPr>
          <w:rFonts w:hAnsi="宋体"/>
          <w:snapToGrid w:val="0"/>
          <w:color w:val="auto"/>
          <w:spacing w:val="-2"/>
          <w:szCs w:val="21"/>
        </w:rPr>
        <w:t>地基主要受力层范围内不存在地基承载力特征值</w:t>
      </w:r>
      <w:r>
        <w:rPr>
          <w:i/>
          <w:snapToGrid w:val="0"/>
          <w:color w:val="auto"/>
          <w:spacing w:val="-2"/>
          <w:szCs w:val="21"/>
        </w:rPr>
        <w:t>f</w:t>
      </w:r>
      <w:r>
        <w:rPr>
          <w:iCs/>
          <w:snapToGrid w:val="0"/>
          <w:color w:val="auto"/>
          <w:spacing w:val="-2"/>
          <w:szCs w:val="21"/>
          <w:vertAlign w:val="subscript"/>
        </w:rPr>
        <w:t>ak</w:t>
      </w:r>
      <w:r>
        <w:rPr>
          <w:rFonts w:hAnsi="宋体"/>
          <w:snapToGrid w:val="0"/>
          <w:color w:val="auto"/>
          <w:spacing w:val="-2"/>
          <w:szCs w:val="21"/>
        </w:rPr>
        <w:t>＜</w:t>
      </w:r>
      <w:r>
        <w:rPr>
          <w:snapToGrid w:val="0"/>
          <w:color w:val="auto"/>
          <w:spacing w:val="-2"/>
          <w:szCs w:val="21"/>
        </w:rPr>
        <w:t>80kPa</w:t>
      </w:r>
      <w:r>
        <w:rPr>
          <w:rFonts w:hAnsi="宋体"/>
          <w:snapToGrid w:val="0"/>
          <w:color w:val="auto"/>
          <w:spacing w:val="-2"/>
          <w:szCs w:val="21"/>
        </w:rPr>
        <w:t>软弱黏性土层的下列建筑可不进行天然地基、复合地基及基础的抗震承载力验算：</w:t>
      </w:r>
    </w:p>
    <w:p w14:paraId="005F915C">
      <w:pPr>
        <w:adjustRightInd w:val="0"/>
        <w:snapToGrid w:val="0"/>
        <w:spacing w:line="340" w:lineRule="exact"/>
        <w:ind w:firstLine="720" w:firstLineChars="348"/>
        <w:rPr>
          <w:snapToGrid w:val="0"/>
          <w:color w:val="auto"/>
          <w:spacing w:val="-2"/>
          <w:szCs w:val="21"/>
        </w:rPr>
      </w:pPr>
      <w:r>
        <w:rPr>
          <w:b/>
          <w:bCs/>
          <w:snapToGrid w:val="0"/>
          <w:color w:val="auto"/>
          <w:spacing w:val="-2"/>
          <w:szCs w:val="21"/>
        </w:rPr>
        <w:t>a</w:t>
      </w:r>
      <w:r>
        <w:rPr>
          <w:rFonts w:hint="eastAsia"/>
          <w:b/>
          <w:bCs/>
          <w:snapToGrid w:val="0"/>
          <w:color w:val="auto"/>
          <w:spacing w:val="-2"/>
          <w:szCs w:val="21"/>
        </w:rPr>
        <w:t>）</w:t>
      </w:r>
      <w:r>
        <w:rPr>
          <w:rFonts w:hAnsi="宋体"/>
          <w:snapToGrid w:val="0"/>
          <w:color w:val="auto"/>
          <w:spacing w:val="-2"/>
          <w:szCs w:val="21"/>
        </w:rPr>
        <w:t>一般的单层厂房和单层空旷房屋；</w:t>
      </w:r>
    </w:p>
    <w:p w14:paraId="4A3D5C68">
      <w:pPr>
        <w:adjustRightInd w:val="0"/>
        <w:snapToGrid w:val="0"/>
        <w:spacing w:line="340" w:lineRule="exact"/>
        <w:ind w:firstLine="720" w:firstLineChars="348"/>
        <w:rPr>
          <w:snapToGrid w:val="0"/>
          <w:color w:val="auto"/>
          <w:spacing w:val="-2"/>
          <w:szCs w:val="21"/>
        </w:rPr>
      </w:pPr>
      <w:r>
        <w:rPr>
          <w:b/>
          <w:bCs/>
          <w:snapToGrid w:val="0"/>
          <w:color w:val="auto"/>
          <w:spacing w:val="-2"/>
          <w:szCs w:val="21"/>
        </w:rPr>
        <w:t>b</w:t>
      </w:r>
      <w:r>
        <w:rPr>
          <w:rFonts w:hint="eastAsia"/>
          <w:b/>
          <w:bCs/>
          <w:snapToGrid w:val="0"/>
          <w:color w:val="auto"/>
          <w:spacing w:val="-2"/>
          <w:szCs w:val="21"/>
        </w:rPr>
        <w:t>）</w:t>
      </w:r>
      <w:r>
        <w:rPr>
          <w:rFonts w:hAnsi="宋体"/>
          <w:snapToGrid w:val="0"/>
          <w:color w:val="auto"/>
          <w:spacing w:val="-2"/>
          <w:szCs w:val="21"/>
        </w:rPr>
        <w:t>砌体房屋；</w:t>
      </w:r>
    </w:p>
    <w:p w14:paraId="76E3BCEA">
      <w:pPr>
        <w:adjustRightInd w:val="0"/>
        <w:snapToGrid w:val="0"/>
        <w:spacing w:line="340" w:lineRule="exact"/>
        <w:ind w:firstLine="720" w:firstLineChars="348"/>
        <w:rPr>
          <w:snapToGrid w:val="0"/>
          <w:color w:val="auto"/>
          <w:spacing w:val="-2"/>
          <w:szCs w:val="21"/>
        </w:rPr>
      </w:pPr>
      <w:r>
        <w:rPr>
          <w:b/>
          <w:bCs/>
          <w:snapToGrid w:val="0"/>
          <w:color w:val="auto"/>
          <w:spacing w:val="-2"/>
          <w:szCs w:val="21"/>
        </w:rPr>
        <w:t>c</w:t>
      </w:r>
      <w:r>
        <w:rPr>
          <w:rFonts w:hint="eastAsia"/>
          <w:b/>
          <w:bCs/>
          <w:snapToGrid w:val="0"/>
          <w:color w:val="auto"/>
          <w:spacing w:val="-2"/>
          <w:szCs w:val="21"/>
        </w:rPr>
        <w:t>）</w:t>
      </w:r>
      <w:r>
        <w:rPr>
          <w:rFonts w:hAnsi="宋体"/>
          <w:snapToGrid w:val="0"/>
          <w:color w:val="auto"/>
          <w:spacing w:val="-2"/>
          <w:szCs w:val="21"/>
        </w:rPr>
        <w:t>不超过</w:t>
      </w:r>
      <w:r>
        <w:rPr>
          <w:snapToGrid w:val="0"/>
          <w:color w:val="auto"/>
          <w:spacing w:val="-2"/>
          <w:szCs w:val="21"/>
        </w:rPr>
        <w:t>8</w:t>
      </w:r>
      <w:r>
        <w:rPr>
          <w:rFonts w:hAnsi="宋体"/>
          <w:snapToGrid w:val="0"/>
          <w:color w:val="auto"/>
          <w:spacing w:val="-2"/>
          <w:szCs w:val="21"/>
        </w:rPr>
        <w:t>层且高度在</w:t>
      </w:r>
      <w:r>
        <w:rPr>
          <w:snapToGrid w:val="0"/>
          <w:color w:val="auto"/>
          <w:spacing w:val="-2"/>
          <w:szCs w:val="21"/>
        </w:rPr>
        <w:t>24m</w:t>
      </w:r>
      <w:r>
        <w:rPr>
          <w:rFonts w:hAnsi="宋体"/>
          <w:snapToGrid w:val="0"/>
          <w:color w:val="auto"/>
          <w:spacing w:val="-2"/>
          <w:szCs w:val="21"/>
        </w:rPr>
        <w:t>以下的民用框架和框架</w:t>
      </w:r>
      <w:r>
        <w:rPr>
          <w:snapToGrid w:val="0"/>
          <w:color w:val="auto"/>
          <w:spacing w:val="-2"/>
          <w:szCs w:val="21"/>
        </w:rPr>
        <w:t>-</w:t>
      </w:r>
      <w:r>
        <w:rPr>
          <w:rFonts w:hAnsi="宋体"/>
          <w:snapToGrid w:val="0"/>
          <w:color w:val="auto"/>
          <w:spacing w:val="-2"/>
          <w:szCs w:val="21"/>
        </w:rPr>
        <w:t>抗震墙房屋；</w:t>
      </w:r>
    </w:p>
    <w:p w14:paraId="1C45361E">
      <w:pPr>
        <w:adjustRightInd w:val="0"/>
        <w:snapToGrid w:val="0"/>
        <w:spacing w:line="340" w:lineRule="exact"/>
        <w:ind w:firstLine="720" w:firstLineChars="348"/>
        <w:rPr>
          <w:snapToGrid w:val="0"/>
          <w:color w:val="auto"/>
          <w:spacing w:val="-2"/>
          <w:szCs w:val="21"/>
        </w:rPr>
      </w:pPr>
      <w:r>
        <w:rPr>
          <w:b/>
          <w:bCs/>
          <w:snapToGrid w:val="0"/>
          <w:color w:val="auto"/>
          <w:spacing w:val="-2"/>
          <w:szCs w:val="21"/>
        </w:rPr>
        <w:t>d</w:t>
      </w:r>
      <w:r>
        <w:rPr>
          <w:rFonts w:hint="eastAsia"/>
          <w:b/>
          <w:bCs/>
          <w:snapToGrid w:val="0"/>
          <w:color w:val="auto"/>
          <w:spacing w:val="-2"/>
          <w:szCs w:val="21"/>
        </w:rPr>
        <w:t>）</w:t>
      </w:r>
      <w:r>
        <w:rPr>
          <w:rFonts w:hAnsi="宋体"/>
          <w:snapToGrid w:val="0"/>
          <w:color w:val="auto"/>
          <w:spacing w:val="-2"/>
          <w:szCs w:val="21"/>
        </w:rPr>
        <w:t>基础荷载与</w:t>
      </w:r>
      <w:r>
        <w:rPr>
          <w:rFonts w:hint="eastAsia"/>
          <w:snapToGrid w:val="0"/>
          <w:color w:val="auto"/>
          <w:spacing w:val="-2"/>
          <w:szCs w:val="21"/>
        </w:rPr>
        <w:t>c</w:t>
      </w:r>
      <w:r>
        <w:rPr>
          <w:snapToGrid w:val="0"/>
          <w:color w:val="auto"/>
          <w:spacing w:val="-2"/>
          <w:szCs w:val="21"/>
        </w:rPr>
        <w:t>)</w:t>
      </w:r>
      <w:r>
        <w:rPr>
          <w:rFonts w:hAnsi="宋体"/>
          <w:snapToGrid w:val="0"/>
          <w:color w:val="auto"/>
          <w:spacing w:val="-2"/>
          <w:szCs w:val="21"/>
        </w:rPr>
        <w:t>项相当的多层框架厂房和多层混凝土抗震墙房屋。</w:t>
      </w:r>
    </w:p>
    <w:p w14:paraId="1CFF3535">
      <w:pPr>
        <w:adjustRightInd w:val="0"/>
        <w:snapToGrid w:val="0"/>
        <w:spacing w:line="340" w:lineRule="exact"/>
        <w:rPr>
          <w:rFonts w:eastAsia="黑体"/>
          <w:b/>
          <w:snapToGrid w:val="0"/>
          <w:color w:val="auto"/>
          <w:spacing w:val="-2"/>
          <w:szCs w:val="21"/>
        </w:rPr>
      </w:pPr>
      <w:r>
        <w:rPr>
          <w:b/>
          <w:bCs/>
          <w:snapToGrid w:val="0"/>
          <w:color w:val="auto"/>
          <w:spacing w:val="-2"/>
          <w:szCs w:val="21"/>
        </w:rPr>
        <w:t xml:space="preserve">14.2.2  </w:t>
      </w:r>
      <w:r>
        <w:rPr>
          <w:rFonts w:hint="eastAsia" w:ascii="宋体" w:hAnsi="宋体"/>
          <w:snapToGrid w:val="0"/>
          <w:color w:val="auto"/>
          <w:spacing w:val="-2"/>
          <w:szCs w:val="21"/>
        </w:rPr>
        <w:t>天然地基的抗震验算，应采用地震作用效应的标准组合和地基抗震承载力进行。地基抗震承载力应取地基承载力特征值与地基抗震承载力调整系数的乘积。地基抗震承载力调整系数应根据地基土的性状取值，但不得超过 1.5。</w:t>
      </w:r>
    </w:p>
    <w:p w14:paraId="3FC91D8C">
      <w:pPr>
        <w:adjustRightInd w:val="0"/>
        <w:snapToGrid w:val="0"/>
        <w:spacing w:line="340" w:lineRule="exact"/>
        <w:rPr>
          <w:snapToGrid w:val="0"/>
          <w:color w:val="auto"/>
          <w:spacing w:val="-2"/>
          <w:szCs w:val="21"/>
        </w:rPr>
      </w:pPr>
      <w:r>
        <w:rPr>
          <w:b/>
          <w:bCs/>
          <w:snapToGrid w:val="0"/>
          <w:color w:val="auto"/>
          <w:spacing w:val="-2"/>
          <w:szCs w:val="21"/>
        </w:rPr>
        <w:t xml:space="preserve">14.2.3  </w:t>
      </w:r>
      <w:r>
        <w:rPr>
          <w:rFonts w:hAnsi="宋体"/>
          <w:snapToGrid w:val="0"/>
          <w:color w:val="auto"/>
          <w:spacing w:val="-2"/>
          <w:szCs w:val="21"/>
        </w:rPr>
        <w:t>地基抗震承载力应按</w:t>
      </w:r>
      <w:r>
        <w:rPr>
          <w:rFonts w:hint="eastAsia"/>
          <w:color w:val="auto"/>
          <w:lang w:val="en-US" w:eastAsia="zh-CN"/>
        </w:rPr>
        <w:t>公式（120）</w:t>
      </w:r>
      <w:r>
        <w:rPr>
          <w:rFonts w:hAnsi="宋体"/>
          <w:snapToGrid w:val="0"/>
          <w:color w:val="auto"/>
          <w:spacing w:val="-2"/>
          <w:szCs w:val="21"/>
        </w:rPr>
        <w:t>计算：</w:t>
      </w:r>
    </w:p>
    <w:p w14:paraId="75B30D7C">
      <w:pPr>
        <w:pStyle w:val="12"/>
        <w:jc w:val="right"/>
        <w:rPr>
          <w:snapToGrid w:val="0"/>
          <w:color w:val="auto"/>
          <w:spacing w:val="-2"/>
          <w:szCs w:val="21"/>
        </w:rPr>
      </w:pPr>
      <w:r>
        <w:rPr>
          <w:snapToGrid w:val="0"/>
          <w:color w:val="auto"/>
          <w:spacing w:val="-2"/>
          <w:szCs w:val="21"/>
        </w:rPr>
        <w:object>
          <v:shape id="_x0000_i1567" o:spt="75" type="#_x0000_t75" style="height:21.75pt;width:50.25pt;" o:ole="t" filled="f" o:preferrelative="t" stroked="f" coordsize="21600,21600">
            <v:path/>
            <v:fill on="f" focussize="0,0"/>
            <v:stroke on="f" joinstyle="miter"/>
            <v:imagedata r:id="rId1068" o:title=""/>
            <o:lock v:ext="edit" aspectratio="t"/>
            <w10:wrap type="none"/>
            <w10:anchorlock/>
          </v:shape>
          <o:OLEObject Type="Embed" ProgID="Equation.DSMT4" ShapeID="_x0000_i1567" DrawAspect="Content" ObjectID="_1468076267" r:id="rId1067">
            <o:LockedField>false</o:LockedField>
          </o:OLEObject>
        </w:object>
      </w:r>
      <w:r>
        <w:rPr>
          <w:snapToGrid w:val="0"/>
          <w:color w:val="auto"/>
          <w:spacing w:val="-2"/>
          <w:szCs w:val="21"/>
        </w:rPr>
        <w:t xml:space="preserve">                              (</w:t>
      </w:r>
      <w:r>
        <w:rPr>
          <w:snapToGrid w:val="0"/>
          <w:color w:val="auto"/>
          <w:spacing w:val="-2"/>
          <w:szCs w:val="21"/>
        </w:rPr>
        <w:fldChar w:fldCharType="begin"/>
      </w:r>
      <w:r>
        <w:rPr>
          <w:snapToGrid w:val="0"/>
          <w:color w:val="auto"/>
          <w:spacing w:val="-2"/>
          <w:szCs w:val="21"/>
        </w:rPr>
        <w:instrText xml:space="preserve"> SEQ Equation \* ARABIC </w:instrText>
      </w:r>
      <w:r>
        <w:rPr>
          <w:snapToGrid w:val="0"/>
          <w:color w:val="auto"/>
          <w:spacing w:val="-2"/>
          <w:szCs w:val="21"/>
        </w:rPr>
        <w:fldChar w:fldCharType="separate"/>
      </w:r>
      <w:r>
        <w:rPr>
          <w:snapToGrid w:val="0"/>
          <w:color w:val="auto"/>
          <w:spacing w:val="-2"/>
          <w:szCs w:val="21"/>
        </w:rPr>
        <w:t>120</w:t>
      </w:r>
      <w:r>
        <w:rPr>
          <w:snapToGrid w:val="0"/>
          <w:color w:val="auto"/>
          <w:spacing w:val="-2"/>
          <w:szCs w:val="21"/>
        </w:rPr>
        <w:fldChar w:fldCharType="end"/>
      </w:r>
      <w:r>
        <w:rPr>
          <w:snapToGrid w:val="0"/>
          <w:color w:val="auto"/>
          <w:spacing w:val="-2"/>
          <w:szCs w:val="21"/>
        </w:rPr>
        <w:t>)</w:t>
      </w:r>
    </w:p>
    <w:p w14:paraId="7E880843">
      <w:pPr>
        <w:adjustRightInd w:val="0"/>
        <w:snapToGrid w:val="0"/>
        <w:spacing w:line="340" w:lineRule="exact"/>
        <w:rPr>
          <w:snapToGrid w:val="0"/>
          <w:color w:val="auto"/>
          <w:spacing w:val="-2"/>
          <w:szCs w:val="21"/>
        </w:rPr>
      </w:pPr>
      <w:r>
        <w:rPr>
          <w:rFonts w:hAnsi="宋体"/>
          <w:snapToGrid w:val="0"/>
          <w:color w:val="auto"/>
          <w:spacing w:val="-2"/>
          <w:szCs w:val="21"/>
        </w:rPr>
        <w:t>式中</w:t>
      </w:r>
      <w:r>
        <w:rPr>
          <w:snapToGrid w:val="0"/>
          <w:color w:val="auto"/>
          <w:spacing w:val="-2"/>
          <w:szCs w:val="21"/>
        </w:rPr>
        <w:t xml:space="preserve">   </w:t>
      </w:r>
      <w:r>
        <w:rPr>
          <w:snapToGrid w:val="0"/>
          <w:color w:val="auto"/>
          <w:spacing w:val="-2"/>
          <w:position w:val="-12"/>
        </w:rPr>
        <w:object>
          <v:shape id="_x0000_i1568" o:spt="75" type="#_x0000_t75" style="height:21.75pt;width:14.25pt;" o:ole="t" filled="f" o:preferrelative="t" stroked="f" coordsize="21600,21600">
            <v:path/>
            <v:fill on="f" focussize="0,0"/>
            <v:stroke on="f" joinstyle="miter"/>
            <v:imagedata r:id="rId1070" o:title=""/>
            <o:lock v:ext="edit" aspectratio="t"/>
            <w10:wrap type="none"/>
            <w10:anchorlock/>
          </v:shape>
          <o:OLEObject Type="Embed" ProgID="Equation.DSMT4" ShapeID="_x0000_i1568" DrawAspect="Content" ObjectID="_1468076268" r:id="rId1069">
            <o:LockedField>false</o:LockedField>
          </o:OLEObject>
        </w:object>
      </w:r>
      <w:r>
        <w:rPr>
          <w:snapToGrid w:val="0"/>
          <w:color w:val="auto"/>
          <w:spacing w:val="-2"/>
          <w:szCs w:val="21"/>
        </w:rPr>
        <w:t>——</w:t>
      </w:r>
      <w:r>
        <w:rPr>
          <w:rFonts w:hAnsi="宋体"/>
          <w:snapToGrid w:val="0"/>
          <w:color w:val="auto"/>
          <w:spacing w:val="-2"/>
          <w:szCs w:val="21"/>
        </w:rPr>
        <w:t>调整后的地基抗震承载力；</w:t>
      </w:r>
    </w:p>
    <w:p w14:paraId="480E13B7">
      <w:pPr>
        <w:adjustRightInd w:val="0"/>
        <w:snapToGrid w:val="0"/>
        <w:spacing w:line="340" w:lineRule="exact"/>
        <w:ind w:firstLine="782" w:firstLineChars="380"/>
        <w:rPr>
          <w:snapToGrid w:val="0"/>
          <w:color w:val="auto"/>
          <w:spacing w:val="-2"/>
          <w:szCs w:val="21"/>
        </w:rPr>
      </w:pPr>
      <w:r>
        <w:rPr>
          <w:snapToGrid w:val="0"/>
          <w:color w:val="auto"/>
          <w:spacing w:val="-2"/>
          <w:position w:val="-12"/>
          <w:szCs w:val="21"/>
        </w:rPr>
        <w:object>
          <v:shape id="_x0000_i1569" o:spt="75" type="#_x0000_t75" style="height:21.75pt;width:14.25pt;" o:ole="t" filled="f" o:preferrelative="t" stroked="f" coordsize="21600,21600">
            <v:path/>
            <v:fill on="f" focussize="0,0"/>
            <v:stroke on="f" joinstyle="miter"/>
            <v:imagedata r:id="rId1072" o:title=""/>
            <o:lock v:ext="edit" aspectratio="t"/>
            <w10:wrap type="none"/>
            <w10:anchorlock/>
          </v:shape>
          <o:OLEObject Type="Embed" ProgID="Equation.DSMT4" ShapeID="_x0000_i1569" DrawAspect="Content" ObjectID="_1468076269" r:id="rId1071">
            <o:LockedField>false</o:LockedField>
          </o:OLEObject>
        </w:object>
      </w:r>
      <w:r>
        <w:rPr>
          <w:snapToGrid w:val="0"/>
          <w:color w:val="auto"/>
          <w:spacing w:val="-2"/>
          <w:szCs w:val="21"/>
        </w:rPr>
        <w:t>——</w:t>
      </w:r>
      <w:r>
        <w:rPr>
          <w:rFonts w:hAnsi="宋体"/>
          <w:snapToGrid w:val="0"/>
          <w:color w:val="auto"/>
          <w:spacing w:val="-2"/>
          <w:szCs w:val="21"/>
        </w:rPr>
        <w:t>地基抗震承载力调整系数，应按表</w:t>
      </w:r>
      <w:r>
        <w:rPr>
          <w:snapToGrid w:val="0"/>
          <w:color w:val="auto"/>
          <w:spacing w:val="-2"/>
          <w:szCs w:val="21"/>
        </w:rPr>
        <w:t>63</w:t>
      </w:r>
      <w:r>
        <w:rPr>
          <w:rFonts w:hAnsi="宋体"/>
          <w:snapToGrid w:val="0"/>
          <w:color w:val="auto"/>
          <w:spacing w:val="-2"/>
          <w:szCs w:val="21"/>
        </w:rPr>
        <w:t>采用；</w:t>
      </w:r>
    </w:p>
    <w:p w14:paraId="5CEA339A">
      <w:pPr>
        <w:adjustRightInd w:val="0"/>
        <w:snapToGrid w:val="0"/>
        <w:spacing w:line="340" w:lineRule="exact"/>
        <w:ind w:left="1553" w:leftChars="374" w:hanging="768" w:hangingChars="373"/>
        <w:rPr>
          <w:snapToGrid w:val="0"/>
          <w:color w:val="auto"/>
          <w:spacing w:val="-2"/>
          <w:szCs w:val="21"/>
        </w:rPr>
      </w:pPr>
      <w:r>
        <w:rPr>
          <w:snapToGrid w:val="0"/>
          <w:color w:val="auto"/>
          <w:spacing w:val="-2"/>
          <w:position w:val="-12"/>
          <w:szCs w:val="21"/>
        </w:rPr>
        <w:object>
          <v:shape id="_x0000_i1570" o:spt="75" type="#_x0000_t75" style="height:21.75pt;width:14.25pt;" o:ole="t" filled="f" o:preferrelative="t" stroked="f" coordsize="21600,21600">
            <v:path/>
            <v:fill on="f" focussize="0,0"/>
            <v:stroke on="f" joinstyle="miter"/>
            <v:imagedata r:id="rId1074" o:title=""/>
            <o:lock v:ext="edit" aspectratio="t"/>
            <w10:wrap type="none"/>
            <w10:anchorlock/>
          </v:shape>
          <o:OLEObject Type="Embed" ProgID="Equation.DSMT4" ShapeID="_x0000_i1570" DrawAspect="Content" ObjectID="_1468076270" r:id="rId1073">
            <o:LockedField>false</o:LockedField>
          </o:OLEObject>
        </w:object>
      </w:r>
      <w:r>
        <w:rPr>
          <w:snapToGrid w:val="0"/>
          <w:color w:val="auto"/>
          <w:spacing w:val="-2"/>
          <w:szCs w:val="21"/>
        </w:rPr>
        <w:t>——</w:t>
      </w:r>
      <w:r>
        <w:rPr>
          <w:rFonts w:hAnsi="宋体"/>
          <w:snapToGrid w:val="0"/>
          <w:color w:val="auto"/>
          <w:spacing w:val="-2"/>
          <w:szCs w:val="21"/>
        </w:rPr>
        <w:t>经过基础埋深与宽度修正后的地基承载力特征值，按本文件的有关规定采用。</w:t>
      </w:r>
    </w:p>
    <w:p w14:paraId="63402C2C">
      <w:pPr>
        <w:adjustRightInd w:val="0"/>
        <w:snapToGrid w:val="0"/>
        <w:spacing w:before="120" w:line="360" w:lineRule="atLeast"/>
        <w:jc w:val="center"/>
        <w:rPr>
          <w:rFonts w:eastAsia="黑体"/>
          <w:b/>
          <w:bCs/>
          <w:color w:val="auto"/>
          <w:sz w:val="20"/>
          <w:szCs w:val="18"/>
        </w:rPr>
      </w:pPr>
      <w:r>
        <w:rPr>
          <w:rFonts w:eastAsia="黑体"/>
          <w:b/>
          <w:bCs/>
          <w:color w:val="auto"/>
          <w:sz w:val="20"/>
          <w:szCs w:val="18"/>
        </w:rPr>
        <w:t>表63   地基抗震承载力调整系数</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60"/>
        <w:gridCol w:w="1198"/>
      </w:tblGrid>
      <w:tr w14:paraId="2BFED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60" w:type="dxa"/>
          </w:tcPr>
          <w:p w14:paraId="41AF3FF2">
            <w:pPr>
              <w:pStyle w:val="24"/>
              <w:pBdr>
                <w:bottom w:val="none" w:color="auto" w:sz="0" w:space="0"/>
              </w:pBdr>
              <w:tabs>
                <w:tab w:val="clear" w:pos="4153"/>
                <w:tab w:val="clear" w:pos="8306"/>
              </w:tabs>
              <w:spacing w:line="300" w:lineRule="exact"/>
              <w:rPr>
                <w:color w:val="auto"/>
              </w:rPr>
            </w:pPr>
            <w:r>
              <w:rPr>
                <w:rFonts w:hAnsi="宋体"/>
                <w:color w:val="auto"/>
              </w:rPr>
              <w:t>岩</w:t>
            </w:r>
            <w:r>
              <w:rPr>
                <w:color w:val="auto"/>
              </w:rPr>
              <w:t xml:space="preserve"> </w:t>
            </w:r>
            <w:r>
              <w:rPr>
                <w:rFonts w:hAnsi="宋体"/>
                <w:color w:val="auto"/>
              </w:rPr>
              <w:t>土</w:t>
            </w:r>
            <w:r>
              <w:rPr>
                <w:color w:val="auto"/>
              </w:rPr>
              <w:t xml:space="preserve"> </w:t>
            </w:r>
            <w:r>
              <w:rPr>
                <w:rFonts w:hAnsi="宋体"/>
                <w:color w:val="auto"/>
              </w:rPr>
              <w:t>名</w:t>
            </w:r>
            <w:r>
              <w:rPr>
                <w:color w:val="auto"/>
              </w:rPr>
              <w:t xml:space="preserve"> </w:t>
            </w:r>
            <w:r>
              <w:rPr>
                <w:rFonts w:hAnsi="宋体"/>
                <w:color w:val="auto"/>
              </w:rPr>
              <w:t>称</w:t>
            </w:r>
            <w:r>
              <w:rPr>
                <w:color w:val="auto"/>
              </w:rPr>
              <w:t xml:space="preserve"> </w:t>
            </w:r>
            <w:r>
              <w:rPr>
                <w:rFonts w:hAnsi="宋体"/>
                <w:color w:val="auto"/>
              </w:rPr>
              <w:t>和</w:t>
            </w:r>
            <w:r>
              <w:rPr>
                <w:color w:val="auto"/>
              </w:rPr>
              <w:t xml:space="preserve"> </w:t>
            </w:r>
            <w:r>
              <w:rPr>
                <w:rFonts w:hAnsi="宋体"/>
                <w:color w:val="auto"/>
              </w:rPr>
              <w:t>性</w:t>
            </w:r>
            <w:r>
              <w:rPr>
                <w:color w:val="auto"/>
              </w:rPr>
              <w:t xml:space="preserve"> </w:t>
            </w:r>
            <w:r>
              <w:rPr>
                <w:rFonts w:hAnsi="宋体"/>
                <w:color w:val="auto"/>
              </w:rPr>
              <w:t>状</w:t>
            </w:r>
          </w:p>
        </w:tc>
        <w:tc>
          <w:tcPr>
            <w:tcW w:w="1198" w:type="dxa"/>
          </w:tcPr>
          <w:p w14:paraId="7B766AF3">
            <w:pPr>
              <w:adjustRightInd w:val="0"/>
              <w:snapToGrid w:val="0"/>
              <w:spacing w:line="240" w:lineRule="atLeast"/>
              <w:jc w:val="center"/>
              <w:rPr>
                <w:color w:val="auto"/>
                <w:sz w:val="18"/>
                <w:szCs w:val="18"/>
              </w:rPr>
            </w:pPr>
            <w:r>
              <w:rPr>
                <w:color w:val="auto"/>
                <w:sz w:val="18"/>
                <w:szCs w:val="18"/>
              </w:rPr>
              <w:object>
                <v:shape id="_x0000_i1571" o:spt="75" type="#_x0000_t75" style="height:21.75pt;width:14.25pt;" o:ole="t" filled="f" o:preferrelative="t" stroked="f" coordsize="21600,21600">
                  <v:path/>
                  <v:fill on="f" focussize="0,0"/>
                  <v:stroke on="f" joinstyle="miter"/>
                  <v:imagedata r:id="rId1076" o:title=""/>
                  <o:lock v:ext="edit" aspectratio="t"/>
                  <w10:wrap type="none"/>
                  <w10:anchorlock/>
                </v:shape>
                <o:OLEObject Type="Embed" ProgID="Equation.DSMT4" ShapeID="_x0000_i1571" DrawAspect="Content" ObjectID="_1468076271" r:id="rId1075">
                  <o:LockedField>false</o:LockedField>
                </o:OLEObject>
              </w:object>
            </w:r>
          </w:p>
        </w:tc>
      </w:tr>
      <w:tr w14:paraId="0E3532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60" w:type="dxa"/>
            <w:vAlign w:val="center"/>
          </w:tcPr>
          <w:p w14:paraId="7ED12521">
            <w:pPr>
              <w:adjustRightInd w:val="0"/>
              <w:snapToGrid w:val="0"/>
              <w:rPr>
                <w:snapToGrid w:val="0"/>
                <w:color w:val="auto"/>
                <w:sz w:val="18"/>
                <w:szCs w:val="18"/>
              </w:rPr>
            </w:pPr>
            <w:r>
              <w:rPr>
                <w:rFonts w:hAnsi="宋体"/>
                <w:snapToGrid w:val="0"/>
                <w:color w:val="auto"/>
                <w:sz w:val="18"/>
                <w:szCs w:val="18"/>
              </w:rPr>
              <w:t>岩石，密实的碎石土、砾、粗、中砂，</w:t>
            </w:r>
            <w:r>
              <w:rPr>
                <w:i/>
                <w:iCs/>
                <w:snapToGrid w:val="0"/>
                <w:color w:val="auto"/>
                <w:sz w:val="18"/>
                <w:szCs w:val="18"/>
              </w:rPr>
              <w:t>f</w:t>
            </w:r>
            <w:r>
              <w:rPr>
                <w:snapToGrid w:val="0"/>
                <w:color w:val="auto"/>
                <w:sz w:val="18"/>
                <w:szCs w:val="18"/>
                <w:vertAlign w:val="subscript"/>
              </w:rPr>
              <w:t>ak</w:t>
            </w:r>
            <w:r>
              <w:rPr>
                <w:snapToGrid w:val="0"/>
                <w:color w:val="auto"/>
                <w:sz w:val="18"/>
                <w:szCs w:val="18"/>
              </w:rPr>
              <w:t>≥300kPa</w:t>
            </w:r>
            <w:r>
              <w:rPr>
                <w:rFonts w:hAnsi="宋体"/>
                <w:snapToGrid w:val="0"/>
                <w:color w:val="auto"/>
                <w:sz w:val="18"/>
                <w:szCs w:val="18"/>
              </w:rPr>
              <w:t>的黏性土和粉土</w:t>
            </w:r>
          </w:p>
        </w:tc>
        <w:tc>
          <w:tcPr>
            <w:tcW w:w="1198" w:type="dxa"/>
            <w:vAlign w:val="center"/>
          </w:tcPr>
          <w:p w14:paraId="1B5FA121">
            <w:pPr>
              <w:adjustRightInd w:val="0"/>
              <w:snapToGrid w:val="0"/>
              <w:spacing w:line="240" w:lineRule="atLeast"/>
              <w:jc w:val="center"/>
              <w:rPr>
                <w:snapToGrid w:val="0"/>
                <w:color w:val="auto"/>
                <w:sz w:val="18"/>
                <w:szCs w:val="18"/>
              </w:rPr>
            </w:pPr>
            <w:r>
              <w:rPr>
                <w:snapToGrid w:val="0"/>
                <w:color w:val="auto"/>
                <w:sz w:val="18"/>
                <w:szCs w:val="18"/>
              </w:rPr>
              <w:t>1.5</w:t>
            </w:r>
          </w:p>
        </w:tc>
      </w:tr>
      <w:tr w14:paraId="6C9A3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60" w:type="dxa"/>
            <w:vAlign w:val="center"/>
          </w:tcPr>
          <w:p w14:paraId="74337904">
            <w:pPr>
              <w:adjustRightInd w:val="0"/>
              <w:snapToGrid w:val="0"/>
              <w:rPr>
                <w:snapToGrid w:val="0"/>
                <w:color w:val="auto"/>
                <w:sz w:val="18"/>
                <w:szCs w:val="18"/>
              </w:rPr>
            </w:pPr>
            <w:r>
              <w:rPr>
                <w:rFonts w:hAnsi="宋体"/>
                <w:snapToGrid w:val="0"/>
                <w:color w:val="auto"/>
                <w:sz w:val="18"/>
                <w:szCs w:val="18"/>
              </w:rPr>
              <w:t>中密和稍密的碎石土、砾、粗、中砂，密实和中密的细、粉砂，</w:t>
            </w:r>
            <w:r>
              <w:rPr>
                <w:snapToGrid w:val="0"/>
                <w:color w:val="auto"/>
                <w:sz w:val="18"/>
                <w:szCs w:val="18"/>
              </w:rPr>
              <w:t>150</w:t>
            </w:r>
            <w:r>
              <w:rPr>
                <w:i/>
                <w:snapToGrid w:val="0"/>
                <w:color w:val="auto"/>
                <w:sz w:val="18"/>
                <w:szCs w:val="18"/>
              </w:rPr>
              <w:t>kPa</w:t>
            </w:r>
            <w:r>
              <w:rPr>
                <w:snapToGrid w:val="0"/>
                <w:color w:val="auto"/>
                <w:sz w:val="18"/>
                <w:szCs w:val="18"/>
              </w:rPr>
              <w:t>≤</w:t>
            </w:r>
            <w:r>
              <w:rPr>
                <w:i/>
                <w:iCs/>
                <w:snapToGrid w:val="0"/>
                <w:color w:val="auto"/>
                <w:sz w:val="18"/>
                <w:szCs w:val="18"/>
              </w:rPr>
              <w:t>f</w:t>
            </w:r>
            <w:r>
              <w:rPr>
                <w:snapToGrid w:val="0"/>
                <w:color w:val="auto"/>
                <w:sz w:val="18"/>
                <w:szCs w:val="18"/>
                <w:vertAlign w:val="subscript"/>
              </w:rPr>
              <w:t>ak</w:t>
            </w:r>
            <w:r>
              <w:rPr>
                <w:rFonts w:hAnsi="宋体"/>
                <w:snapToGrid w:val="0"/>
                <w:color w:val="auto"/>
                <w:sz w:val="18"/>
                <w:szCs w:val="18"/>
              </w:rPr>
              <w:t>＜</w:t>
            </w:r>
            <w:r>
              <w:rPr>
                <w:snapToGrid w:val="0"/>
                <w:color w:val="auto"/>
                <w:sz w:val="18"/>
                <w:szCs w:val="18"/>
              </w:rPr>
              <w:t>300</w:t>
            </w:r>
            <w:r>
              <w:rPr>
                <w:iCs/>
                <w:snapToGrid w:val="0"/>
                <w:color w:val="auto"/>
                <w:sz w:val="18"/>
                <w:szCs w:val="18"/>
              </w:rPr>
              <w:t>kPa</w:t>
            </w:r>
            <w:r>
              <w:rPr>
                <w:rFonts w:hAnsi="宋体"/>
                <w:snapToGrid w:val="0"/>
                <w:color w:val="auto"/>
                <w:sz w:val="18"/>
                <w:szCs w:val="18"/>
              </w:rPr>
              <w:t>的黏性土和粉土</w:t>
            </w:r>
          </w:p>
        </w:tc>
        <w:tc>
          <w:tcPr>
            <w:tcW w:w="1198" w:type="dxa"/>
            <w:vAlign w:val="center"/>
          </w:tcPr>
          <w:p w14:paraId="4945CAB7">
            <w:pPr>
              <w:adjustRightInd w:val="0"/>
              <w:snapToGrid w:val="0"/>
              <w:jc w:val="center"/>
              <w:rPr>
                <w:snapToGrid w:val="0"/>
                <w:color w:val="auto"/>
                <w:sz w:val="18"/>
                <w:szCs w:val="18"/>
              </w:rPr>
            </w:pPr>
            <w:r>
              <w:rPr>
                <w:snapToGrid w:val="0"/>
                <w:color w:val="auto"/>
                <w:sz w:val="18"/>
                <w:szCs w:val="18"/>
              </w:rPr>
              <w:t>1.3</w:t>
            </w:r>
          </w:p>
        </w:tc>
      </w:tr>
      <w:tr w14:paraId="05281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60" w:type="dxa"/>
            <w:vAlign w:val="center"/>
          </w:tcPr>
          <w:p w14:paraId="5D05DDE7">
            <w:pPr>
              <w:adjustRightInd w:val="0"/>
              <w:snapToGrid w:val="0"/>
              <w:rPr>
                <w:snapToGrid w:val="0"/>
                <w:color w:val="auto"/>
                <w:sz w:val="18"/>
                <w:szCs w:val="18"/>
              </w:rPr>
            </w:pPr>
            <w:r>
              <w:rPr>
                <w:rFonts w:hAnsi="宋体"/>
                <w:snapToGrid w:val="0"/>
                <w:color w:val="auto"/>
                <w:sz w:val="18"/>
                <w:szCs w:val="18"/>
              </w:rPr>
              <w:t>稍密的细、粉砂，</w:t>
            </w:r>
            <w:r>
              <w:rPr>
                <w:snapToGrid w:val="0"/>
                <w:color w:val="auto"/>
                <w:sz w:val="18"/>
                <w:szCs w:val="18"/>
              </w:rPr>
              <w:t>100</w:t>
            </w:r>
            <w:r>
              <w:rPr>
                <w:iCs/>
                <w:snapToGrid w:val="0"/>
                <w:color w:val="auto"/>
                <w:sz w:val="18"/>
                <w:szCs w:val="18"/>
              </w:rPr>
              <w:t>kPa</w:t>
            </w:r>
            <w:r>
              <w:rPr>
                <w:snapToGrid w:val="0"/>
                <w:color w:val="auto"/>
                <w:sz w:val="18"/>
                <w:szCs w:val="18"/>
              </w:rPr>
              <w:t>≤</w:t>
            </w:r>
            <w:r>
              <w:rPr>
                <w:i/>
                <w:iCs/>
                <w:snapToGrid w:val="0"/>
                <w:color w:val="auto"/>
                <w:sz w:val="18"/>
                <w:szCs w:val="18"/>
              </w:rPr>
              <w:t>f</w:t>
            </w:r>
            <w:r>
              <w:rPr>
                <w:snapToGrid w:val="0"/>
                <w:color w:val="auto"/>
                <w:sz w:val="18"/>
                <w:szCs w:val="18"/>
                <w:vertAlign w:val="subscript"/>
              </w:rPr>
              <w:t>ak</w:t>
            </w:r>
            <w:r>
              <w:rPr>
                <w:rFonts w:hAnsi="宋体"/>
                <w:snapToGrid w:val="0"/>
                <w:color w:val="auto"/>
                <w:sz w:val="18"/>
                <w:szCs w:val="18"/>
              </w:rPr>
              <w:t>＜</w:t>
            </w:r>
            <w:r>
              <w:rPr>
                <w:snapToGrid w:val="0"/>
                <w:color w:val="auto"/>
                <w:sz w:val="18"/>
                <w:szCs w:val="18"/>
              </w:rPr>
              <w:t>150kPa</w:t>
            </w:r>
            <w:r>
              <w:rPr>
                <w:rFonts w:hAnsi="宋体"/>
                <w:snapToGrid w:val="0"/>
                <w:color w:val="auto"/>
                <w:sz w:val="18"/>
                <w:szCs w:val="18"/>
              </w:rPr>
              <w:t>的黏性土、粉土</w:t>
            </w:r>
          </w:p>
        </w:tc>
        <w:tc>
          <w:tcPr>
            <w:tcW w:w="1198" w:type="dxa"/>
            <w:vAlign w:val="center"/>
          </w:tcPr>
          <w:p w14:paraId="44631B19">
            <w:pPr>
              <w:adjustRightInd w:val="0"/>
              <w:snapToGrid w:val="0"/>
              <w:jc w:val="center"/>
              <w:rPr>
                <w:snapToGrid w:val="0"/>
                <w:color w:val="auto"/>
                <w:sz w:val="18"/>
                <w:szCs w:val="18"/>
              </w:rPr>
            </w:pPr>
            <w:r>
              <w:rPr>
                <w:snapToGrid w:val="0"/>
                <w:color w:val="auto"/>
                <w:sz w:val="18"/>
                <w:szCs w:val="18"/>
              </w:rPr>
              <w:t>1.1</w:t>
            </w:r>
          </w:p>
        </w:tc>
      </w:tr>
      <w:tr w14:paraId="48BA2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60" w:type="dxa"/>
          </w:tcPr>
          <w:p w14:paraId="770758CE">
            <w:pPr>
              <w:adjustRightInd w:val="0"/>
              <w:snapToGrid w:val="0"/>
              <w:spacing w:line="300" w:lineRule="exact"/>
              <w:rPr>
                <w:snapToGrid w:val="0"/>
                <w:color w:val="auto"/>
                <w:sz w:val="18"/>
                <w:szCs w:val="18"/>
              </w:rPr>
            </w:pPr>
            <w:r>
              <w:rPr>
                <w:rFonts w:hAnsi="宋体"/>
                <w:snapToGrid w:val="0"/>
                <w:color w:val="auto"/>
                <w:sz w:val="18"/>
                <w:szCs w:val="18"/>
              </w:rPr>
              <w:t>淤泥、淤泥质土，松散的砂和杂填土</w:t>
            </w:r>
          </w:p>
        </w:tc>
        <w:tc>
          <w:tcPr>
            <w:tcW w:w="1198" w:type="dxa"/>
          </w:tcPr>
          <w:p w14:paraId="3DB1F11E">
            <w:pPr>
              <w:adjustRightInd w:val="0"/>
              <w:snapToGrid w:val="0"/>
              <w:spacing w:line="300" w:lineRule="exact"/>
              <w:jc w:val="center"/>
              <w:rPr>
                <w:snapToGrid w:val="0"/>
                <w:color w:val="auto"/>
                <w:sz w:val="18"/>
                <w:szCs w:val="18"/>
              </w:rPr>
            </w:pPr>
            <w:r>
              <w:rPr>
                <w:snapToGrid w:val="0"/>
                <w:color w:val="auto"/>
                <w:sz w:val="18"/>
                <w:szCs w:val="18"/>
              </w:rPr>
              <w:t>1.0</w:t>
            </w:r>
          </w:p>
        </w:tc>
      </w:tr>
      <w:tr w14:paraId="43033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158" w:type="dxa"/>
            <w:gridSpan w:val="2"/>
          </w:tcPr>
          <w:p w14:paraId="4EC54B0F">
            <w:pPr>
              <w:adjustRightInd w:val="0"/>
              <w:snapToGrid w:val="0"/>
              <w:spacing w:line="300" w:lineRule="exact"/>
              <w:rPr>
                <w:snapToGrid w:val="0"/>
                <w:color w:val="auto"/>
                <w:sz w:val="18"/>
                <w:szCs w:val="18"/>
              </w:rPr>
            </w:pPr>
            <w:r>
              <w:rPr>
                <w:rFonts w:hAnsi="宋体"/>
                <w:snapToGrid w:val="0"/>
                <w:color w:val="auto"/>
                <w:sz w:val="18"/>
                <w:szCs w:val="18"/>
              </w:rPr>
              <w:t>注：强夯、换填及复合地基等人工地基根据其承载力按表取用调整系数。</w:t>
            </w:r>
          </w:p>
        </w:tc>
      </w:tr>
    </w:tbl>
    <w:p w14:paraId="23F616AF">
      <w:pPr>
        <w:adjustRightInd w:val="0"/>
        <w:snapToGrid w:val="0"/>
        <w:spacing w:before="120" w:line="340" w:lineRule="exact"/>
        <w:rPr>
          <w:snapToGrid w:val="0"/>
          <w:color w:val="auto"/>
          <w:spacing w:val="-2"/>
          <w:szCs w:val="21"/>
        </w:rPr>
      </w:pPr>
      <w:r>
        <w:rPr>
          <w:b/>
          <w:bCs/>
          <w:snapToGrid w:val="0"/>
          <w:color w:val="auto"/>
          <w:spacing w:val="-2"/>
          <w:szCs w:val="21"/>
        </w:rPr>
        <w:t xml:space="preserve">14.2.4  </w:t>
      </w:r>
      <w:r>
        <w:rPr>
          <w:rFonts w:hAnsi="宋体"/>
          <w:snapToGrid w:val="0"/>
          <w:color w:val="auto"/>
          <w:spacing w:val="-2"/>
          <w:szCs w:val="21"/>
        </w:rPr>
        <w:t>验算天然地基和复合地基等人工地基的地震作用下的竖向承载力时，按地震作用效应标准组合的基础底面平均压应力和边缘最大压力应</w:t>
      </w:r>
      <w:r>
        <w:rPr>
          <w:rFonts w:hint="eastAsia" w:hAnsi="宋体"/>
          <w:snapToGrid w:val="0"/>
          <w:color w:val="auto"/>
          <w:spacing w:val="-2"/>
          <w:szCs w:val="21"/>
          <w:lang w:val="en-US" w:eastAsia="zh-CN"/>
        </w:rPr>
        <w:t>分别</w:t>
      </w:r>
      <w:r>
        <w:rPr>
          <w:rFonts w:hAnsi="宋体"/>
          <w:snapToGrid w:val="0"/>
          <w:color w:val="auto"/>
          <w:spacing w:val="-2"/>
          <w:szCs w:val="21"/>
        </w:rPr>
        <w:t>符合</w:t>
      </w:r>
      <w:r>
        <w:rPr>
          <w:rFonts w:hint="eastAsia"/>
          <w:color w:val="auto"/>
          <w:lang w:val="en-US" w:eastAsia="zh-CN"/>
        </w:rPr>
        <w:t>公式（121）及公式（122）</w:t>
      </w:r>
      <w:r>
        <w:rPr>
          <w:rFonts w:hAnsi="宋体"/>
          <w:snapToGrid w:val="0"/>
          <w:color w:val="auto"/>
          <w:spacing w:val="-2"/>
          <w:szCs w:val="21"/>
        </w:rPr>
        <w:t>要求：</w:t>
      </w:r>
      <w:r>
        <w:rPr>
          <w:snapToGrid w:val="0"/>
          <w:color w:val="auto"/>
          <w:spacing w:val="-2"/>
          <w:szCs w:val="21"/>
        </w:rPr>
        <w:t xml:space="preserve"> </w:t>
      </w:r>
    </w:p>
    <w:p w14:paraId="59EF1C38">
      <w:pPr>
        <w:pStyle w:val="12"/>
        <w:spacing w:line="360" w:lineRule="auto"/>
        <w:jc w:val="right"/>
        <w:rPr>
          <w:snapToGrid w:val="0"/>
          <w:color w:val="auto"/>
          <w:spacing w:val="-2"/>
          <w:szCs w:val="21"/>
        </w:rPr>
      </w:pPr>
      <w:r>
        <w:rPr>
          <w:i/>
          <w:iCs/>
          <w:snapToGrid w:val="0"/>
          <w:color w:val="auto"/>
          <w:spacing w:val="-2"/>
          <w:szCs w:val="21"/>
        </w:rPr>
        <w:t>p</w:t>
      </w:r>
      <w:r>
        <w:rPr>
          <w:snapToGrid w:val="0"/>
          <w:color w:val="auto"/>
          <w:spacing w:val="-2"/>
          <w:szCs w:val="21"/>
        </w:rPr>
        <w:t>≤</w:t>
      </w:r>
      <w:r>
        <w:rPr>
          <w:i/>
          <w:iCs/>
          <w:snapToGrid w:val="0"/>
          <w:color w:val="auto"/>
          <w:spacing w:val="-2"/>
          <w:szCs w:val="21"/>
        </w:rPr>
        <w:t>f</w:t>
      </w:r>
      <w:r>
        <w:rPr>
          <w:snapToGrid w:val="0"/>
          <w:color w:val="auto"/>
          <w:spacing w:val="-2"/>
          <w:szCs w:val="21"/>
          <w:vertAlign w:val="subscript"/>
        </w:rPr>
        <w:t>aE</w:t>
      </w:r>
      <w:r>
        <w:rPr>
          <w:snapToGrid w:val="0"/>
          <w:color w:val="auto"/>
          <w:spacing w:val="-2"/>
          <w:szCs w:val="21"/>
        </w:rPr>
        <w:t xml:space="preserve">                                      (</w:t>
      </w:r>
      <w:r>
        <w:rPr>
          <w:snapToGrid w:val="0"/>
          <w:color w:val="auto"/>
          <w:spacing w:val="-2"/>
          <w:szCs w:val="21"/>
        </w:rPr>
        <w:fldChar w:fldCharType="begin"/>
      </w:r>
      <w:r>
        <w:rPr>
          <w:snapToGrid w:val="0"/>
          <w:color w:val="auto"/>
          <w:spacing w:val="-2"/>
          <w:szCs w:val="21"/>
        </w:rPr>
        <w:instrText xml:space="preserve"> SEQ Equation \* ARABIC </w:instrText>
      </w:r>
      <w:r>
        <w:rPr>
          <w:snapToGrid w:val="0"/>
          <w:color w:val="auto"/>
          <w:spacing w:val="-2"/>
          <w:szCs w:val="21"/>
        </w:rPr>
        <w:fldChar w:fldCharType="separate"/>
      </w:r>
      <w:r>
        <w:rPr>
          <w:snapToGrid w:val="0"/>
          <w:color w:val="auto"/>
          <w:spacing w:val="-2"/>
          <w:szCs w:val="21"/>
        </w:rPr>
        <w:t>121</w:t>
      </w:r>
      <w:r>
        <w:rPr>
          <w:snapToGrid w:val="0"/>
          <w:color w:val="auto"/>
          <w:spacing w:val="-2"/>
          <w:szCs w:val="21"/>
        </w:rPr>
        <w:fldChar w:fldCharType="end"/>
      </w:r>
      <w:r>
        <w:rPr>
          <w:snapToGrid w:val="0"/>
          <w:color w:val="auto"/>
          <w:spacing w:val="-2"/>
          <w:szCs w:val="21"/>
        </w:rPr>
        <w:t>)</w:t>
      </w:r>
    </w:p>
    <w:p w14:paraId="46ADCB0A">
      <w:pPr>
        <w:pStyle w:val="12"/>
        <w:spacing w:line="360" w:lineRule="auto"/>
        <w:jc w:val="right"/>
        <w:rPr>
          <w:snapToGrid w:val="0"/>
          <w:color w:val="auto"/>
          <w:spacing w:val="-2"/>
          <w:szCs w:val="21"/>
        </w:rPr>
      </w:pPr>
      <w:r>
        <w:rPr>
          <w:i/>
          <w:iCs/>
          <w:snapToGrid w:val="0"/>
          <w:color w:val="auto"/>
          <w:spacing w:val="-2"/>
          <w:szCs w:val="21"/>
        </w:rPr>
        <w:t>p</w:t>
      </w:r>
      <w:r>
        <w:rPr>
          <w:snapToGrid w:val="0"/>
          <w:color w:val="auto"/>
          <w:spacing w:val="-2"/>
          <w:szCs w:val="21"/>
          <w:vertAlign w:val="subscript"/>
        </w:rPr>
        <w:t>max</w:t>
      </w:r>
      <w:r>
        <w:rPr>
          <w:snapToGrid w:val="0"/>
          <w:color w:val="auto"/>
          <w:spacing w:val="-2"/>
          <w:szCs w:val="21"/>
        </w:rPr>
        <w:t>≤1.2</w:t>
      </w:r>
      <w:r>
        <w:rPr>
          <w:i/>
          <w:iCs/>
          <w:snapToGrid w:val="0"/>
          <w:color w:val="auto"/>
          <w:spacing w:val="-2"/>
          <w:szCs w:val="21"/>
        </w:rPr>
        <w:t>f</w:t>
      </w:r>
      <w:r>
        <w:rPr>
          <w:snapToGrid w:val="0"/>
          <w:color w:val="auto"/>
          <w:spacing w:val="-2"/>
          <w:szCs w:val="21"/>
          <w:vertAlign w:val="subscript"/>
        </w:rPr>
        <w:t>aE</w:t>
      </w:r>
      <w:r>
        <w:rPr>
          <w:snapToGrid w:val="0"/>
          <w:color w:val="auto"/>
          <w:spacing w:val="-2"/>
          <w:szCs w:val="21"/>
        </w:rPr>
        <w:t xml:space="preserve">                                  (</w:t>
      </w:r>
      <w:r>
        <w:rPr>
          <w:snapToGrid w:val="0"/>
          <w:color w:val="auto"/>
          <w:spacing w:val="-2"/>
          <w:szCs w:val="21"/>
        </w:rPr>
        <w:fldChar w:fldCharType="begin"/>
      </w:r>
      <w:r>
        <w:rPr>
          <w:snapToGrid w:val="0"/>
          <w:color w:val="auto"/>
          <w:spacing w:val="-2"/>
          <w:szCs w:val="21"/>
        </w:rPr>
        <w:instrText xml:space="preserve"> SEQ Equation \* ARABIC </w:instrText>
      </w:r>
      <w:r>
        <w:rPr>
          <w:snapToGrid w:val="0"/>
          <w:color w:val="auto"/>
          <w:spacing w:val="-2"/>
          <w:szCs w:val="21"/>
        </w:rPr>
        <w:fldChar w:fldCharType="separate"/>
      </w:r>
      <w:r>
        <w:rPr>
          <w:snapToGrid w:val="0"/>
          <w:color w:val="auto"/>
          <w:spacing w:val="-2"/>
          <w:szCs w:val="21"/>
        </w:rPr>
        <w:t>122</w:t>
      </w:r>
      <w:r>
        <w:rPr>
          <w:snapToGrid w:val="0"/>
          <w:color w:val="auto"/>
          <w:spacing w:val="-2"/>
          <w:szCs w:val="21"/>
        </w:rPr>
        <w:fldChar w:fldCharType="end"/>
      </w:r>
      <w:r>
        <w:rPr>
          <w:snapToGrid w:val="0"/>
          <w:color w:val="auto"/>
          <w:spacing w:val="-2"/>
          <w:szCs w:val="21"/>
        </w:rPr>
        <w:t>)</w:t>
      </w:r>
    </w:p>
    <w:p w14:paraId="70DFA0EB">
      <w:pPr>
        <w:adjustRightInd w:val="0"/>
        <w:snapToGrid w:val="0"/>
        <w:spacing w:before="120" w:line="340" w:lineRule="exact"/>
        <w:rPr>
          <w:snapToGrid w:val="0"/>
          <w:color w:val="auto"/>
          <w:spacing w:val="-2"/>
          <w:szCs w:val="21"/>
        </w:rPr>
      </w:pPr>
      <w:r>
        <w:rPr>
          <w:rFonts w:hAnsi="宋体"/>
          <w:snapToGrid w:val="0"/>
          <w:color w:val="auto"/>
          <w:spacing w:val="-2"/>
          <w:szCs w:val="21"/>
        </w:rPr>
        <w:t>式中</w:t>
      </w:r>
      <w:r>
        <w:rPr>
          <w:snapToGrid w:val="0"/>
          <w:color w:val="auto"/>
          <w:spacing w:val="-2"/>
          <w:szCs w:val="21"/>
        </w:rPr>
        <w:t xml:space="preserve">   </w:t>
      </w:r>
      <w:r>
        <w:rPr>
          <w:i/>
          <w:iCs/>
          <w:snapToGrid w:val="0"/>
          <w:color w:val="auto"/>
          <w:spacing w:val="-2"/>
          <w:szCs w:val="21"/>
        </w:rPr>
        <w:t>p</w:t>
      </w:r>
      <w:r>
        <w:rPr>
          <w:snapToGrid w:val="0"/>
          <w:color w:val="auto"/>
          <w:spacing w:val="-2"/>
          <w:szCs w:val="21"/>
        </w:rPr>
        <w:t>——</w:t>
      </w:r>
      <w:r>
        <w:rPr>
          <w:rFonts w:hAnsi="宋体"/>
          <w:snapToGrid w:val="0"/>
          <w:color w:val="auto"/>
          <w:spacing w:val="-2"/>
          <w:szCs w:val="21"/>
        </w:rPr>
        <w:t>地震作用效应标准组合的基础底面平均压应力；</w:t>
      </w:r>
    </w:p>
    <w:p w14:paraId="7509E00F">
      <w:pPr>
        <w:adjustRightInd w:val="0"/>
        <w:snapToGrid w:val="0"/>
        <w:spacing w:line="340" w:lineRule="exact"/>
        <w:ind w:firstLine="447" w:firstLineChars="217"/>
        <w:rPr>
          <w:snapToGrid w:val="0"/>
          <w:color w:val="auto"/>
          <w:spacing w:val="-2"/>
          <w:szCs w:val="21"/>
        </w:rPr>
      </w:pPr>
      <w:r>
        <w:rPr>
          <w:i/>
          <w:iCs/>
          <w:snapToGrid w:val="0"/>
          <w:color w:val="auto"/>
          <w:spacing w:val="-2"/>
          <w:szCs w:val="21"/>
        </w:rPr>
        <w:t>p</w:t>
      </w:r>
      <w:r>
        <w:rPr>
          <w:snapToGrid w:val="0"/>
          <w:color w:val="auto"/>
          <w:spacing w:val="-2"/>
          <w:szCs w:val="21"/>
          <w:vertAlign w:val="subscript"/>
        </w:rPr>
        <w:t>max</w:t>
      </w:r>
      <w:r>
        <w:rPr>
          <w:snapToGrid w:val="0"/>
          <w:color w:val="auto"/>
          <w:spacing w:val="-2"/>
          <w:szCs w:val="21"/>
        </w:rPr>
        <w:t>——</w:t>
      </w:r>
      <w:r>
        <w:rPr>
          <w:rFonts w:hAnsi="宋体"/>
          <w:snapToGrid w:val="0"/>
          <w:color w:val="auto"/>
          <w:spacing w:val="-2"/>
          <w:szCs w:val="21"/>
        </w:rPr>
        <w:t>地震作用效应标准组合的基础边缘的最大压应力。</w:t>
      </w:r>
    </w:p>
    <w:p w14:paraId="7BD907A1">
      <w:pPr>
        <w:adjustRightInd w:val="0"/>
        <w:snapToGrid w:val="0"/>
        <w:spacing w:before="120" w:line="340" w:lineRule="exact"/>
        <w:rPr>
          <w:snapToGrid w:val="0"/>
          <w:color w:val="auto"/>
          <w:spacing w:val="-2"/>
          <w:szCs w:val="21"/>
        </w:rPr>
      </w:pPr>
      <w:r>
        <w:rPr>
          <w:b/>
          <w:bCs/>
          <w:snapToGrid w:val="0"/>
          <w:color w:val="auto"/>
          <w:spacing w:val="-2"/>
          <w:szCs w:val="21"/>
        </w:rPr>
        <w:t xml:space="preserve">14.2.5  </w:t>
      </w:r>
      <w:r>
        <w:rPr>
          <w:rFonts w:hAnsi="宋体"/>
          <w:snapToGrid w:val="0"/>
          <w:color w:val="auto"/>
          <w:spacing w:val="-2"/>
          <w:szCs w:val="21"/>
        </w:rPr>
        <w:t>高宽比大于</w:t>
      </w:r>
      <w:r>
        <w:rPr>
          <w:snapToGrid w:val="0"/>
          <w:color w:val="auto"/>
          <w:spacing w:val="-2"/>
          <w:szCs w:val="21"/>
        </w:rPr>
        <w:t>4</w:t>
      </w:r>
      <w:r>
        <w:rPr>
          <w:rFonts w:hAnsi="宋体"/>
          <w:snapToGrid w:val="0"/>
          <w:color w:val="auto"/>
          <w:spacing w:val="-2"/>
          <w:szCs w:val="21"/>
        </w:rPr>
        <w:t>的高层建筑以及主楼与裙房相连时，在多遇地震作用下，高层建筑的基础底面不宜出现零应力区；其他建筑，基础底面与地基之间的零应力区面积不应超过基础底面面积的</w:t>
      </w:r>
      <w:r>
        <w:rPr>
          <w:snapToGrid w:val="0"/>
          <w:color w:val="auto"/>
          <w:spacing w:val="-2"/>
          <w:szCs w:val="21"/>
        </w:rPr>
        <w:t>15%</w:t>
      </w:r>
      <w:r>
        <w:rPr>
          <w:rFonts w:hAnsi="宋体"/>
          <w:snapToGrid w:val="0"/>
          <w:color w:val="auto"/>
          <w:spacing w:val="-2"/>
          <w:szCs w:val="21"/>
        </w:rPr>
        <w:t>；岩石地基不能满足上述要求时，可采用岩石锚杆抵抗上拔力。</w:t>
      </w:r>
    </w:p>
    <w:p w14:paraId="2869EE93">
      <w:pPr>
        <w:adjustRightInd w:val="0"/>
        <w:snapToGrid w:val="0"/>
        <w:spacing w:line="340" w:lineRule="exact"/>
        <w:rPr>
          <w:snapToGrid w:val="0"/>
          <w:color w:val="auto"/>
          <w:spacing w:val="-2"/>
          <w:szCs w:val="21"/>
        </w:rPr>
      </w:pPr>
    </w:p>
    <w:p w14:paraId="7B093226">
      <w:pPr>
        <w:adjustRightInd w:val="0"/>
        <w:snapToGrid w:val="0"/>
        <w:spacing w:line="340" w:lineRule="exact"/>
        <w:outlineLvl w:val="1"/>
        <w:rPr>
          <w:rFonts w:eastAsia="黑体"/>
          <w:b/>
          <w:bCs/>
          <w:color w:val="auto"/>
          <w:szCs w:val="21"/>
        </w:rPr>
      </w:pPr>
      <w:bookmarkStart w:id="81" w:name="_Toc199943624"/>
      <w:r>
        <w:rPr>
          <w:rFonts w:eastAsia="黑体"/>
          <w:b/>
          <w:bCs/>
          <w:color w:val="auto"/>
          <w:szCs w:val="21"/>
        </w:rPr>
        <w:t>14.3  桩基</w:t>
      </w:r>
      <w:r>
        <w:rPr>
          <w:rFonts w:hint="eastAsia" w:eastAsia="黑体"/>
          <w:b/>
          <w:bCs/>
          <w:color w:val="auto"/>
          <w:szCs w:val="21"/>
        </w:rPr>
        <w:t>础</w:t>
      </w:r>
      <w:bookmarkEnd w:id="81"/>
    </w:p>
    <w:p w14:paraId="7590ADEB">
      <w:pPr>
        <w:adjustRightInd w:val="0"/>
        <w:snapToGrid w:val="0"/>
        <w:spacing w:line="340" w:lineRule="exact"/>
        <w:jc w:val="center"/>
        <w:rPr>
          <w:b/>
          <w:bCs/>
          <w:snapToGrid w:val="0"/>
          <w:color w:val="auto"/>
          <w:spacing w:val="-2"/>
          <w:szCs w:val="21"/>
        </w:rPr>
      </w:pPr>
    </w:p>
    <w:p w14:paraId="5BF458AE">
      <w:pPr>
        <w:adjustRightInd w:val="0"/>
        <w:snapToGrid w:val="0"/>
        <w:spacing w:line="340" w:lineRule="exact"/>
        <w:rPr>
          <w:snapToGrid w:val="0"/>
          <w:color w:val="auto"/>
          <w:spacing w:val="-2"/>
          <w:szCs w:val="21"/>
        </w:rPr>
      </w:pPr>
      <w:r>
        <w:rPr>
          <w:b/>
          <w:bCs/>
          <w:snapToGrid w:val="0"/>
          <w:color w:val="auto"/>
          <w:spacing w:val="-2"/>
          <w:szCs w:val="21"/>
        </w:rPr>
        <w:t xml:space="preserve">14.3.1  </w:t>
      </w:r>
      <w:r>
        <w:rPr>
          <w:rFonts w:hAnsi="宋体"/>
          <w:snapToGrid w:val="0"/>
          <w:color w:val="auto"/>
          <w:spacing w:val="-2"/>
          <w:szCs w:val="21"/>
        </w:rPr>
        <w:t>承受竖向荷载为主的低桩承台桩基，当地面下无液化土层，且桩基承台周围无淤泥、淤泥质土和地基承载力特征值</w:t>
      </w:r>
      <w:r>
        <w:rPr>
          <w:i/>
          <w:iCs/>
          <w:snapToGrid w:val="0"/>
          <w:color w:val="auto"/>
          <w:spacing w:val="-2"/>
          <w:szCs w:val="21"/>
        </w:rPr>
        <w:t>f</w:t>
      </w:r>
      <w:r>
        <w:rPr>
          <w:snapToGrid w:val="0"/>
          <w:color w:val="auto"/>
          <w:spacing w:val="-2"/>
          <w:szCs w:val="21"/>
          <w:vertAlign w:val="subscript"/>
        </w:rPr>
        <w:t>ak</w:t>
      </w:r>
      <w:r>
        <w:rPr>
          <w:snapToGrid w:val="0"/>
          <w:color w:val="auto"/>
          <w:spacing w:val="-2"/>
          <w:szCs w:val="21"/>
        </w:rPr>
        <w:t>≤100kPa</w:t>
      </w:r>
      <w:r>
        <w:rPr>
          <w:rFonts w:hAnsi="宋体"/>
          <w:snapToGrid w:val="0"/>
          <w:color w:val="auto"/>
          <w:spacing w:val="-2"/>
          <w:szCs w:val="21"/>
        </w:rPr>
        <w:t>填土时，下列建筑可不进行桩基抗震承载力验算：</w:t>
      </w:r>
    </w:p>
    <w:p w14:paraId="5B124D56">
      <w:pPr>
        <w:adjustRightInd w:val="0"/>
        <w:snapToGrid w:val="0"/>
        <w:spacing w:line="340" w:lineRule="exact"/>
        <w:ind w:firstLine="720" w:firstLineChars="348"/>
        <w:rPr>
          <w:snapToGrid w:val="0"/>
          <w:color w:val="auto"/>
          <w:spacing w:val="-2"/>
          <w:szCs w:val="21"/>
        </w:rPr>
      </w:pPr>
      <w:r>
        <w:rPr>
          <w:b/>
          <w:bCs/>
          <w:snapToGrid w:val="0"/>
          <w:color w:val="auto"/>
          <w:spacing w:val="-2"/>
          <w:szCs w:val="21"/>
        </w:rPr>
        <w:t>a)</w:t>
      </w:r>
      <w:r>
        <w:rPr>
          <w:snapToGrid w:val="0"/>
          <w:color w:val="auto"/>
          <w:spacing w:val="-2"/>
          <w:szCs w:val="21"/>
        </w:rPr>
        <w:t xml:space="preserve"> </w:t>
      </w:r>
      <w:r>
        <w:rPr>
          <w:rFonts w:hAnsi="宋体"/>
          <w:snapToGrid w:val="0"/>
          <w:color w:val="auto"/>
          <w:spacing w:val="-2"/>
          <w:szCs w:val="21"/>
        </w:rPr>
        <w:t>一般的单层厂房和单层空旷房屋；</w:t>
      </w:r>
    </w:p>
    <w:p w14:paraId="5F2ACA31">
      <w:pPr>
        <w:adjustRightInd w:val="0"/>
        <w:snapToGrid w:val="0"/>
        <w:spacing w:line="340" w:lineRule="exact"/>
        <w:ind w:firstLine="720" w:firstLineChars="348"/>
        <w:rPr>
          <w:snapToGrid w:val="0"/>
          <w:color w:val="auto"/>
          <w:spacing w:val="-2"/>
          <w:szCs w:val="21"/>
        </w:rPr>
      </w:pPr>
      <w:r>
        <w:rPr>
          <w:b/>
          <w:bCs/>
          <w:snapToGrid w:val="0"/>
          <w:color w:val="auto"/>
          <w:spacing w:val="-2"/>
          <w:szCs w:val="21"/>
        </w:rPr>
        <w:t>b)</w:t>
      </w:r>
      <w:r>
        <w:rPr>
          <w:snapToGrid w:val="0"/>
          <w:color w:val="auto"/>
          <w:spacing w:val="-2"/>
          <w:szCs w:val="21"/>
        </w:rPr>
        <w:t xml:space="preserve"> </w:t>
      </w:r>
      <w:r>
        <w:rPr>
          <w:rFonts w:hAnsi="宋体"/>
          <w:snapToGrid w:val="0"/>
          <w:color w:val="auto"/>
          <w:spacing w:val="-2"/>
          <w:szCs w:val="21"/>
        </w:rPr>
        <w:t>砌体房屋；</w:t>
      </w:r>
    </w:p>
    <w:p w14:paraId="435DBB75">
      <w:pPr>
        <w:adjustRightInd w:val="0"/>
        <w:snapToGrid w:val="0"/>
        <w:spacing w:line="340" w:lineRule="exact"/>
        <w:ind w:firstLine="720" w:firstLineChars="348"/>
        <w:rPr>
          <w:snapToGrid w:val="0"/>
          <w:color w:val="auto"/>
          <w:spacing w:val="-2"/>
          <w:szCs w:val="21"/>
        </w:rPr>
      </w:pPr>
      <w:r>
        <w:rPr>
          <w:b/>
          <w:bCs/>
          <w:snapToGrid w:val="0"/>
          <w:color w:val="auto"/>
          <w:spacing w:val="-2"/>
          <w:szCs w:val="21"/>
        </w:rPr>
        <w:t>c)</w:t>
      </w:r>
      <w:r>
        <w:rPr>
          <w:snapToGrid w:val="0"/>
          <w:color w:val="auto"/>
          <w:spacing w:val="-2"/>
          <w:szCs w:val="21"/>
        </w:rPr>
        <w:t xml:space="preserve"> </w:t>
      </w:r>
      <w:r>
        <w:rPr>
          <w:rFonts w:hAnsi="宋体"/>
          <w:snapToGrid w:val="0"/>
          <w:color w:val="auto"/>
          <w:spacing w:val="-2"/>
          <w:szCs w:val="21"/>
        </w:rPr>
        <w:t>不超过</w:t>
      </w:r>
      <w:r>
        <w:rPr>
          <w:snapToGrid w:val="0"/>
          <w:color w:val="auto"/>
          <w:spacing w:val="-2"/>
          <w:szCs w:val="21"/>
        </w:rPr>
        <w:t>8</w:t>
      </w:r>
      <w:r>
        <w:rPr>
          <w:rFonts w:hAnsi="宋体"/>
          <w:snapToGrid w:val="0"/>
          <w:color w:val="auto"/>
          <w:spacing w:val="-2"/>
          <w:szCs w:val="21"/>
        </w:rPr>
        <w:t>层且高度在</w:t>
      </w:r>
      <w:r>
        <w:rPr>
          <w:snapToGrid w:val="0"/>
          <w:color w:val="auto"/>
          <w:spacing w:val="-2"/>
          <w:szCs w:val="21"/>
        </w:rPr>
        <w:t>24m</w:t>
      </w:r>
      <w:r>
        <w:rPr>
          <w:rFonts w:hAnsi="宋体"/>
          <w:snapToGrid w:val="0"/>
          <w:color w:val="auto"/>
          <w:spacing w:val="-2"/>
          <w:szCs w:val="21"/>
        </w:rPr>
        <w:t>以下的民用框架和框架</w:t>
      </w:r>
      <w:r>
        <w:rPr>
          <w:snapToGrid w:val="0"/>
          <w:color w:val="auto"/>
          <w:spacing w:val="-2"/>
          <w:szCs w:val="21"/>
        </w:rPr>
        <w:t>-</w:t>
      </w:r>
      <w:r>
        <w:rPr>
          <w:rFonts w:hAnsi="宋体"/>
          <w:snapToGrid w:val="0"/>
          <w:color w:val="auto"/>
          <w:spacing w:val="-2"/>
          <w:szCs w:val="21"/>
        </w:rPr>
        <w:t>抗震墙房屋；</w:t>
      </w:r>
    </w:p>
    <w:p w14:paraId="4461775E">
      <w:pPr>
        <w:adjustRightInd w:val="0"/>
        <w:snapToGrid w:val="0"/>
        <w:spacing w:line="340" w:lineRule="exact"/>
        <w:ind w:firstLine="720" w:firstLineChars="348"/>
        <w:rPr>
          <w:snapToGrid w:val="0"/>
          <w:color w:val="auto"/>
          <w:spacing w:val="-2"/>
          <w:szCs w:val="21"/>
        </w:rPr>
      </w:pPr>
      <w:r>
        <w:rPr>
          <w:b/>
          <w:bCs/>
          <w:snapToGrid w:val="0"/>
          <w:color w:val="auto"/>
          <w:spacing w:val="-2"/>
          <w:szCs w:val="21"/>
        </w:rPr>
        <w:t>d)</w:t>
      </w:r>
      <w:r>
        <w:rPr>
          <w:snapToGrid w:val="0"/>
          <w:color w:val="auto"/>
          <w:spacing w:val="-2"/>
          <w:szCs w:val="21"/>
        </w:rPr>
        <w:t xml:space="preserve"> </w:t>
      </w:r>
      <w:r>
        <w:rPr>
          <w:rFonts w:hAnsi="宋体"/>
          <w:snapToGrid w:val="0"/>
          <w:color w:val="auto"/>
          <w:spacing w:val="-2"/>
          <w:szCs w:val="21"/>
        </w:rPr>
        <w:t>基础荷载与</w:t>
      </w:r>
      <w:r>
        <w:rPr>
          <w:snapToGrid w:val="0"/>
          <w:color w:val="auto"/>
          <w:spacing w:val="-2"/>
          <w:szCs w:val="21"/>
        </w:rPr>
        <w:t>c)</w:t>
      </w:r>
      <w:r>
        <w:rPr>
          <w:rFonts w:hAnsi="宋体"/>
          <w:snapToGrid w:val="0"/>
          <w:color w:val="auto"/>
          <w:spacing w:val="-2"/>
          <w:szCs w:val="21"/>
        </w:rPr>
        <w:t>款相当的多层框架厂房和多层混凝土抗震墙房屋。</w:t>
      </w:r>
    </w:p>
    <w:p w14:paraId="40B7F718">
      <w:pPr>
        <w:adjustRightInd w:val="0"/>
        <w:snapToGrid w:val="0"/>
        <w:spacing w:line="340" w:lineRule="exact"/>
        <w:rPr>
          <w:snapToGrid w:val="0"/>
          <w:color w:val="auto"/>
          <w:spacing w:val="-2"/>
          <w:szCs w:val="21"/>
        </w:rPr>
      </w:pPr>
      <w:r>
        <w:rPr>
          <w:b/>
          <w:bCs/>
          <w:snapToGrid w:val="0"/>
          <w:color w:val="auto"/>
          <w:spacing w:val="-2"/>
          <w:szCs w:val="21"/>
        </w:rPr>
        <w:t xml:space="preserve">14.3.2  </w:t>
      </w:r>
      <w:r>
        <w:rPr>
          <w:rFonts w:hAnsi="宋体"/>
          <w:snapToGrid w:val="0"/>
          <w:color w:val="auto"/>
          <w:spacing w:val="-2"/>
          <w:szCs w:val="21"/>
        </w:rPr>
        <w:t>非液化土中低承台桩基的抗震验算，应符合下列规定：</w:t>
      </w:r>
    </w:p>
    <w:p w14:paraId="3085F3BF">
      <w:pPr>
        <w:adjustRightInd w:val="0"/>
        <w:snapToGrid w:val="0"/>
        <w:spacing w:line="340" w:lineRule="exact"/>
        <w:ind w:firstLine="414" w:firstLineChars="200"/>
        <w:rPr>
          <w:snapToGrid w:val="0"/>
          <w:color w:val="auto"/>
          <w:spacing w:val="-2"/>
          <w:szCs w:val="21"/>
        </w:rPr>
      </w:pPr>
      <w:r>
        <w:rPr>
          <w:b/>
          <w:bCs/>
          <w:snapToGrid w:val="0"/>
          <w:color w:val="auto"/>
          <w:spacing w:val="-2"/>
          <w:szCs w:val="21"/>
        </w:rPr>
        <w:t>a)</w:t>
      </w:r>
      <w:r>
        <w:rPr>
          <w:snapToGrid w:val="0"/>
          <w:color w:val="auto"/>
          <w:spacing w:val="-2"/>
          <w:szCs w:val="21"/>
        </w:rPr>
        <w:t xml:space="preserve">  </w:t>
      </w:r>
      <w:r>
        <w:rPr>
          <w:rFonts w:hAnsi="宋体"/>
          <w:snapToGrid w:val="0"/>
          <w:color w:val="auto"/>
          <w:spacing w:val="-2"/>
          <w:szCs w:val="21"/>
        </w:rPr>
        <w:t>单桩竖向和水平向的抗震承载力特征值，均可比非抗震设计时提高</w:t>
      </w:r>
      <w:r>
        <w:rPr>
          <w:snapToGrid w:val="0"/>
          <w:color w:val="auto"/>
          <w:spacing w:val="-2"/>
          <w:szCs w:val="21"/>
        </w:rPr>
        <w:t>25%</w:t>
      </w:r>
      <w:r>
        <w:rPr>
          <w:rFonts w:hAnsi="宋体"/>
          <w:snapToGrid w:val="0"/>
          <w:color w:val="auto"/>
          <w:spacing w:val="-2"/>
          <w:szCs w:val="21"/>
        </w:rPr>
        <w:t>；</w:t>
      </w:r>
    </w:p>
    <w:p w14:paraId="605E7788">
      <w:pPr>
        <w:adjustRightInd w:val="0"/>
        <w:snapToGrid w:val="0"/>
        <w:spacing w:line="340" w:lineRule="exact"/>
        <w:ind w:firstLine="414" w:firstLineChars="200"/>
        <w:rPr>
          <w:snapToGrid w:val="0"/>
          <w:color w:val="auto"/>
          <w:spacing w:val="-2"/>
          <w:szCs w:val="21"/>
        </w:rPr>
      </w:pPr>
      <w:r>
        <w:rPr>
          <w:b/>
          <w:bCs/>
          <w:snapToGrid w:val="0"/>
          <w:color w:val="auto"/>
          <w:spacing w:val="-2"/>
          <w:szCs w:val="21"/>
        </w:rPr>
        <w:t>b)</w:t>
      </w:r>
      <w:r>
        <w:rPr>
          <w:snapToGrid w:val="0"/>
          <w:color w:val="auto"/>
          <w:spacing w:val="-2"/>
          <w:szCs w:val="21"/>
        </w:rPr>
        <w:t xml:space="preserve">  </w:t>
      </w:r>
      <w:r>
        <w:rPr>
          <w:rFonts w:hAnsi="宋体"/>
          <w:snapToGrid w:val="0"/>
          <w:color w:val="auto"/>
          <w:spacing w:val="-2"/>
          <w:szCs w:val="21"/>
        </w:rPr>
        <w:t>对于</w:t>
      </w:r>
      <w:r>
        <w:rPr>
          <w:snapToGrid w:val="0"/>
          <w:color w:val="auto"/>
          <w:spacing w:val="-2"/>
          <w:szCs w:val="21"/>
        </w:rPr>
        <w:t>7</w:t>
      </w:r>
      <w:r>
        <w:rPr>
          <w:rFonts w:hAnsi="宋体"/>
          <w:snapToGrid w:val="0"/>
          <w:color w:val="auto"/>
          <w:spacing w:val="-2"/>
          <w:szCs w:val="21"/>
        </w:rPr>
        <w:t>度抗震设防烈度的低桩承台（或地下室）周围存在厚度大于</w:t>
      </w:r>
      <w:r>
        <w:rPr>
          <w:snapToGrid w:val="0"/>
          <w:color w:val="auto"/>
          <w:spacing w:val="-2"/>
          <w:szCs w:val="21"/>
        </w:rPr>
        <w:t>3</w:t>
      </w:r>
      <w:r>
        <w:rPr>
          <w:iCs/>
          <w:snapToGrid w:val="0"/>
          <w:color w:val="auto"/>
          <w:spacing w:val="-2"/>
          <w:szCs w:val="21"/>
        </w:rPr>
        <w:t>m</w:t>
      </w:r>
      <w:r>
        <w:rPr>
          <w:rFonts w:hAnsi="宋体"/>
          <w:snapToGrid w:val="0"/>
          <w:color w:val="auto"/>
          <w:spacing w:val="-2"/>
          <w:szCs w:val="21"/>
        </w:rPr>
        <w:t>的非液化土、非软弱土</w:t>
      </w:r>
      <w:r>
        <w:rPr>
          <w:snapToGrid w:val="0"/>
          <w:color w:val="auto"/>
          <w:spacing w:val="-2"/>
          <w:szCs w:val="21"/>
        </w:rPr>
        <w:t>（</w:t>
      </w:r>
      <w:r>
        <w:rPr>
          <w:i/>
          <w:iCs/>
          <w:snapToGrid w:val="0"/>
          <w:color w:val="auto"/>
          <w:spacing w:val="-2"/>
          <w:szCs w:val="21"/>
        </w:rPr>
        <w:t>f</w:t>
      </w:r>
      <w:r>
        <w:rPr>
          <w:snapToGrid w:val="0"/>
          <w:color w:val="auto"/>
          <w:spacing w:val="-2"/>
          <w:szCs w:val="21"/>
          <w:vertAlign w:val="subscript"/>
        </w:rPr>
        <w:t>ak</w:t>
      </w:r>
      <w:r>
        <w:rPr>
          <w:snapToGrid w:val="0"/>
          <w:color w:val="auto"/>
          <w:spacing w:val="-2"/>
          <w:szCs w:val="21"/>
        </w:rPr>
        <w:t>≥80kPa）</w:t>
      </w:r>
      <w:r>
        <w:rPr>
          <w:rFonts w:hAnsi="宋体"/>
          <w:snapToGrid w:val="0"/>
          <w:color w:val="auto"/>
          <w:spacing w:val="-2"/>
          <w:szCs w:val="21"/>
        </w:rPr>
        <w:t>，且低桩承台（或地下室）的外侧土体抗力发挥有保证（填土分层夯实，且压实系数</w:t>
      </w:r>
      <w:r>
        <w:rPr>
          <w:i/>
          <w:snapToGrid w:val="0"/>
          <w:color w:val="auto"/>
          <w:spacing w:val="-2"/>
          <w:szCs w:val="21"/>
        </w:rPr>
        <w:t>λ</w:t>
      </w:r>
      <w:r>
        <w:rPr>
          <w:iCs/>
          <w:snapToGrid w:val="0"/>
          <w:color w:val="auto"/>
          <w:spacing w:val="-2"/>
          <w:szCs w:val="21"/>
          <w:vertAlign w:val="subscript"/>
        </w:rPr>
        <w:t>c</w:t>
      </w:r>
      <w:r>
        <w:rPr>
          <w:snapToGrid w:val="0"/>
          <w:color w:val="auto"/>
          <w:spacing w:val="-2"/>
          <w:szCs w:val="21"/>
        </w:rPr>
        <w:t>≥0.94</w:t>
      </w:r>
      <w:r>
        <w:rPr>
          <w:rFonts w:hAnsi="宋体"/>
          <w:snapToGrid w:val="0"/>
          <w:color w:val="auto"/>
          <w:spacing w:val="-2"/>
          <w:szCs w:val="21"/>
        </w:rPr>
        <w:t>或混凝土原槽浇注等）时，对于丙、丁类建筑可不进行单桩水平向承载力抗震验算。对于甲、乙类建筑，可由承台（或地下室）正面填土与桩共同承担水平地震作用，承台（或地下室）正面土的水平抗力可取被动土压的</w:t>
      </w:r>
      <w:r>
        <w:rPr>
          <w:snapToGrid w:val="0"/>
          <w:color w:val="auto"/>
          <w:spacing w:val="-2"/>
          <w:szCs w:val="21"/>
        </w:rPr>
        <w:t>1/3</w:t>
      </w:r>
      <w:r>
        <w:rPr>
          <w:rFonts w:hAnsi="宋体"/>
          <w:snapToGrid w:val="0"/>
          <w:color w:val="auto"/>
          <w:spacing w:val="-2"/>
          <w:szCs w:val="21"/>
        </w:rPr>
        <w:t>，但不应计入承台底面与地基土间的摩擦力。</w:t>
      </w:r>
    </w:p>
    <w:p w14:paraId="3BB7F68C">
      <w:pPr>
        <w:adjustRightInd w:val="0"/>
        <w:snapToGrid w:val="0"/>
        <w:spacing w:line="340" w:lineRule="exact"/>
        <w:rPr>
          <w:snapToGrid w:val="0"/>
          <w:color w:val="auto"/>
          <w:spacing w:val="-2"/>
          <w:szCs w:val="21"/>
        </w:rPr>
      </w:pPr>
      <w:r>
        <w:rPr>
          <w:b/>
          <w:bCs/>
          <w:snapToGrid w:val="0"/>
          <w:color w:val="auto"/>
          <w:spacing w:val="-2"/>
          <w:szCs w:val="21"/>
        </w:rPr>
        <w:t xml:space="preserve">14.3.3  </w:t>
      </w:r>
      <w:r>
        <w:rPr>
          <w:rFonts w:hAnsi="宋体"/>
          <w:snapToGrid w:val="0"/>
          <w:color w:val="auto"/>
          <w:spacing w:val="-2"/>
          <w:szCs w:val="21"/>
        </w:rPr>
        <w:t>存在液化土层的低桩承台桩基抗震验算，应符合下列规定：</w:t>
      </w:r>
    </w:p>
    <w:p w14:paraId="142207B9">
      <w:pPr>
        <w:adjustRightInd w:val="0"/>
        <w:snapToGrid w:val="0"/>
        <w:spacing w:line="340" w:lineRule="exact"/>
        <w:ind w:firstLine="412" w:firstLineChars="199"/>
        <w:rPr>
          <w:snapToGrid w:val="0"/>
          <w:color w:val="auto"/>
          <w:spacing w:val="-2"/>
          <w:szCs w:val="21"/>
        </w:rPr>
      </w:pPr>
      <w:r>
        <w:rPr>
          <w:b/>
          <w:bCs/>
          <w:snapToGrid w:val="0"/>
          <w:color w:val="auto"/>
          <w:spacing w:val="-2"/>
          <w:szCs w:val="21"/>
        </w:rPr>
        <w:t>a)</w:t>
      </w:r>
      <w:r>
        <w:rPr>
          <w:snapToGrid w:val="0"/>
          <w:color w:val="auto"/>
          <w:spacing w:val="-2"/>
          <w:szCs w:val="21"/>
        </w:rPr>
        <w:t xml:space="preserve">  </w:t>
      </w:r>
      <w:r>
        <w:rPr>
          <w:rFonts w:hAnsi="宋体"/>
          <w:snapToGrid w:val="0"/>
          <w:color w:val="auto"/>
          <w:spacing w:val="-2"/>
          <w:szCs w:val="21"/>
        </w:rPr>
        <w:t>当桩承台底面上、下分别有厚度不小于</w:t>
      </w:r>
      <w:r>
        <w:rPr>
          <w:snapToGrid w:val="0"/>
          <w:color w:val="auto"/>
          <w:spacing w:val="-2"/>
          <w:szCs w:val="21"/>
        </w:rPr>
        <w:t>1.5m</w:t>
      </w:r>
      <w:r>
        <w:rPr>
          <w:rFonts w:hAnsi="宋体"/>
          <w:snapToGrid w:val="0"/>
          <w:color w:val="auto"/>
          <w:spacing w:val="-2"/>
          <w:szCs w:val="21"/>
        </w:rPr>
        <w:t>、</w:t>
      </w:r>
      <w:r>
        <w:rPr>
          <w:snapToGrid w:val="0"/>
          <w:color w:val="auto"/>
          <w:spacing w:val="-2"/>
          <w:szCs w:val="21"/>
        </w:rPr>
        <w:t>1.0m</w:t>
      </w:r>
      <w:r>
        <w:rPr>
          <w:rFonts w:hAnsi="宋体"/>
          <w:snapToGrid w:val="0"/>
          <w:color w:val="auto"/>
          <w:spacing w:val="-2"/>
          <w:szCs w:val="21"/>
        </w:rPr>
        <w:t>的非液化土层或非软弱土层时，可按下列二种情况进行桩的抗震验算，并按不利情况设计：</w:t>
      </w:r>
    </w:p>
    <w:p w14:paraId="2AD90EF9">
      <w:pPr>
        <w:adjustRightInd w:val="0"/>
        <w:snapToGrid w:val="0"/>
        <w:spacing w:line="340" w:lineRule="exact"/>
        <w:ind w:firstLine="709" w:firstLineChars="343"/>
        <w:rPr>
          <w:snapToGrid w:val="0"/>
          <w:color w:val="auto"/>
          <w:spacing w:val="-2"/>
          <w:szCs w:val="21"/>
        </w:rPr>
      </w:pPr>
      <w:r>
        <w:rPr>
          <w:b/>
          <w:bCs/>
          <w:snapToGrid w:val="0"/>
          <w:color w:val="auto"/>
          <w:spacing w:val="-2"/>
          <w:szCs w:val="21"/>
        </w:rPr>
        <w:t>1)</w:t>
      </w:r>
      <w:r>
        <w:rPr>
          <w:snapToGrid w:val="0"/>
          <w:color w:val="auto"/>
          <w:spacing w:val="-2"/>
          <w:szCs w:val="21"/>
        </w:rPr>
        <w:t xml:space="preserve"> </w:t>
      </w:r>
      <w:r>
        <w:rPr>
          <w:rFonts w:hAnsi="宋体"/>
          <w:snapToGrid w:val="0"/>
          <w:color w:val="auto"/>
          <w:spacing w:val="-2"/>
          <w:szCs w:val="21"/>
        </w:rPr>
        <w:t>桩承受全部地震作用，桩承载力按本文件第</w:t>
      </w:r>
      <w:r>
        <w:rPr>
          <w:snapToGrid w:val="0"/>
          <w:color w:val="auto"/>
          <w:spacing w:val="-2"/>
          <w:szCs w:val="21"/>
        </w:rPr>
        <w:t>14.3.2</w:t>
      </w:r>
      <w:r>
        <w:rPr>
          <w:rFonts w:hAnsi="宋体"/>
          <w:snapToGrid w:val="0"/>
          <w:color w:val="auto"/>
          <w:spacing w:val="-2"/>
          <w:szCs w:val="21"/>
        </w:rPr>
        <w:t>条第</w:t>
      </w:r>
      <w:r>
        <w:rPr>
          <w:snapToGrid w:val="0"/>
          <w:color w:val="auto"/>
          <w:spacing w:val="-2"/>
          <w:szCs w:val="21"/>
        </w:rPr>
        <w:t>a)</w:t>
      </w:r>
      <w:r>
        <w:rPr>
          <w:rFonts w:hAnsi="宋体"/>
          <w:snapToGrid w:val="0"/>
          <w:color w:val="auto"/>
          <w:spacing w:val="-2"/>
          <w:szCs w:val="21"/>
        </w:rPr>
        <w:t>款取用，液化土的桩周摩阻力及桩水平抗力乘以表</w:t>
      </w:r>
      <w:r>
        <w:rPr>
          <w:snapToGrid w:val="0"/>
          <w:color w:val="auto"/>
          <w:spacing w:val="-2"/>
          <w:szCs w:val="21"/>
        </w:rPr>
        <w:t>64</w:t>
      </w:r>
      <w:r>
        <w:rPr>
          <w:rFonts w:hAnsi="宋体"/>
          <w:snapToGrid w:val="0"/>
          <w:color w:val="auto"/>
          <w:spacing w:val="-2"/>
          <w:szCs w:val="21"/>
        </w:rPr>
        <w:t>的折减系数。</w:t>
      </w:r>
    </w:p>
    <w:p w14:paraId="47267CE7">
      <w:pPr>
        <w:adjustRightInd w:val="0"/>
        <w:snapToGrid w:val="0"/>
        <w:spacing w:before="120" w:line="360" w:lineRule="atLeast"/>
        <w:jc w:val="center"/>
        <w:rPr>
          <w:b/>
          <w:bCs/>
          <w:snapToGrid w:val="0"/>
          <w:color w:val="auto"/>
          <w:spacing w:val="-2"/>
          <w:sz w:val="20"/>
          <w:szCs w:val="18"/>
        </w:rPr>
      </w:pPr>
      <w:r>
        <w:rPr>
          <w:rFonts w:eastAsia="黑体"/>
          <w:b/>
          <w:bCs/>
          <w:snapToGrid w:val="0"/>
          <w:color w:val="auto"/>
          <w:spacing w:val="-2"/>
          <w:sz w:val="20"/>
          <w:szCs w:val="18"/>
        </w:rPr>
        <w:t>表</w:t>
      </w:r>
      <w:r>
        <w:rPr>
          <w:b/>
          <w:bCs/>
          <w:snapToGrid w:val="0"/>
          <w:color w:val="auto"/>
          <w:spacing w:val="-2"/>
          <w:sz w:val="20"/>
          <w:szCs w:val="18"/>
        </w:rPr>
        <w:t xml:space="preserve">64   </w:t>
      </w:r>
      <w:r>
        <w:rPr>
          <w:rFonts w:eastAsia="黑体"/>
          <w:b/>
          <w:bCs/>
          <w:snapToGrid w:val="0"/>
          <w:color w:val="auto"/>
          <w:spacing w:val="-2"/>
          <w:sz w:val="20"/>
          <w:szCs w:val="18"/>
        </w:rPr>
        <w:t>土层液化影响折减系数</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15"/>
        <w:gridCol w:w="2648"/>
        <w:gridCol w:w="2470"/>
      </w:tblGrid>
      <w:tr w14:paraId="15EC8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exact"/>
          <w:jc w:val="center"/>
        </w:trPr>
        <w:tc>
          <w:tcPr>
            <w:tcW w:w="4015" w:type="dxa"/>
            <w:vAlign w:val="center"/>
          </w:tcPr>
          <w:p w14:paraId="0FC20349">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实际标贯锤击数</w:t>
            </w:r>
            <w:r>
              <w:rPr>
                <w:snapToGrid w:val="0"/>
                <w:color w:val="auto"/>
                <w:spacing w:val="-2"/>
                <w:sz w:val="18"/>
                <w:szCs w:val="18"/>
              </w:rPr>
              <w:t>/</w:t>
            </w:r>
            <w:r>
              <w:rPr>
                <w:rFonts w:hAnsi="宋体"/>
                <w:snapToGrid w:val="0"/>
                <w:color w:val="auto"/>
                <w:spacing w:val="-2"/>
                <w:sz w:val="18"/>
                <w:szCs w:val="18"/>
              </w:rPr>
              <w:t>临界标贯锤击数</w:t>
            </w:r>
          </w:p>
        </w:tc>
        <w:tc>
          <w:tcPr>
            <w:tcW w:w="2648" w:type="dxa"/>
            <w:vAlign w:val="center"/>
          </w:tcPr>
          <w:p w14:paraId="303CB1FE">
            <w:pPr>
              <w:adjustRightInd w:val="0"/>
              <w:snapToGrid w:val="0"/>
              <w:spacing w:line="260" w:lineRule="atLeast"/>
              <w:jc w:val="center"/>
              <w:rPr>
                <w:snapToGrid w:val="0"/>
                <w:color w:val="auto"/>
                <w:spacing w:val="-2"/>
                <w:sz w:val="18"/>
                <w:szCs w:val="18"/>
              </w:rPr>
            </w:pPr>
            <w:r>
              <w:rPr>
                <w:rFonts w:hAnsi="宋体"/>
                <w:snapToGrid w:val="0"/>
                <w:color w:val="auto"/>
                <w:spacing w:val="-2"/>
                <w:sz w:val="18"/>
                <w:szCs w:val="18"/>
              </w:rPr>
              <w:t>深度</w:t>
            </w:r>
            <w:r>
              <w:rPr>
                <w:i/>
                <w:snapToGrid w:val="0"/>
                <w:color w:val="auto"/>
                <w:spacing w:val="-2"/>
                <w:sz w:val="18"/>
                <w:szCs w:val="18"/>
              </w:rPr>
              <w:t>d</w:t>
            </w:r>
            <w:r>
              <w:rPr>
                <w:iCs/>
                <w:snapToGrid w:val="0"/>
                <w:color w:val="auto"/>
                <w:spacing w:val="-2"/>
                <w:sz w:val="18"/>
                <w:szCs w:val="18"/>
                <w:vertAlign w:val="subscript"/>
              </w:rPr>
              <w:t>s</w:t>
            </w:r>
            <w:r>
              <w:rPr>
                <w:rFonts w:hAnsi="宋体"/>
                <w:snapToGrid w:val="0"/>
                <w:color w:val="auto"/>
                <w:spacing w:val="-2"/>
                <w:sz w:val="18"/>
                <w:szCs w:val="18"/>
              </w:rPr>
              <w:t>（</w:t>
            </w:r>
            <w:r>
              <w:rPr>
                <w:iCs/>
                <w:snapToGrid w:val="0"/>
                <w:color w:val="auto"/>
                <w:spacing w:val="-2"/>
                <w:sz w:val="18"/>
                <w:szCs w:val="18"/>
              </w:rPr>
              <w:t>m</w:t>
            </w:r>
            <w:r>
              <w:rPr>
                <w:rFonts w:hAnsi="宋体"/>
                <w:snapToGrid w:val="0"/>
                <w:color w:val="auto"/>
                <w:spacing w:val="-2"/>
                <w:sz w:val="18"/>
                <w:szCs w:val="18"/>
              </w:rPr>
              <w:t>）</w:t>
            </w:r>
          </w:p>
        </w:tc>
        <w:tc>
          <w:tcPr>
            <w:tcW w:w="2470" w:type="dxa"/>
            <w:vAlign w:val="center"/>
          </w:tcPr>
          <w:p w14:paraId="3856F356">
            <w:pPr>
              <w:adjustRightInd w:val="0"/>
              <w:snapToGrid w:val="0"/>
              <w:spacing w:line="260" w:lineRule="atLeast"/>
              <w:jc w:val="center"/>
              <w:rPr>
                <w:snapToGrid w:val="0"/>
                <w:color w:val="auto"/>
                <w:spacing w:val="-2"/>
                <w:sz w:val="18"/>
                <w:szCs w:val="18"/>
              </w:rPr>
            </w:pPr>
            <w:r>
              <w:rPr>
                <w:rFonts w:hAnsi="宋体"/>
                <w:snapToGrid w:val="0"/>
                <w:color w:val="auto"/>
                <w:spacing w:val="-2"/>
                <w:sz w:val="18"/>
                <w:szCs w:val="18"/>
              </w:rPr>
              <w:t>折减系数</w:t>
            </w:r>
          </w:p>
        </w:tc>
      </w:tr>
      <w:tr w14:paraId="05F5F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4" w:hRule="atLeast"/>
          <w:jc w:val="center"/>
        </w:trPr>
        <w:tc>
          <w:tcPr>
            <w:tcW w:w="4015" w:type="dxa"/>
            <w:vMerge w:val="restart"/>
            <w:vAlign w:val="center"/>
          </w:tcPr>
          <w:p w14:paraId="52D988EE">
            <w:pPr>
              <w:adjustRightInd w:val="0"/>
              <w:snapToGrid w:val="0"/>
              <w:spacing w:line="300" w:lineRule="atLeast"/>
              <w:jc w:val="center"/>
              <w:rPr>
                <w:snapToGrid w:val="0"/>
                <w:color w:val="auto"/>
                <w:spacing w:val="-2"/>
                <w:sz w:val="18"/>
                <w:szCs w:val="18"/>
              </w:rPr>
            </w:pPr>
            <w:r>
              <w:rPr>
                <w:snapToGrid w:val="0"/>
                <w:color w:val="auto"/>
                <w:spacing w:val="-2"/>
                <w:sz w:val="18"/>
                <w:szCs w:val="18"/>
              </w:rPr>
              <w:t>≤0.6</w:t>
            </w:r>
          </w:p>
        </w:tc>
        <w:tc>
          <w:tcPr>
            <w:tcW w:w="2648" w:type="dxa"/>
            <w:vAlign w:val="center"/>
          </w:tcPr>
          <w:p w14:paraId="3E0BC71F">
            <w:pPr>
              <w:adjustRightInd w:val="0"/>
              <w:snapToGrid w:val="0"/>
              <w:spacing w:line="260" w:lineRule="atLeast"/>
              <w:jc w:val="center"/>
              <w:rPr>
                <w:snapToGrid w:val="0"/>
                <w:color w:val="auto"/>
                <w:spacing w:val="-2"/>
                <w:sz w:val="18"/>
                <w:szCs w:val="18"/>
              </w:rPr>
            </w:pP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≤10</w:t>
            </w:r>
          </w:p>
        </w:tc>
        <w:tc>
          <w:tcPr>
            <w:tcW w:w="2470" w:type="dxa"/>
            <w:vAlign w:val="center"/>
          </w:tcPr>
          <w:p w14:paraId="5DE29A77">
            <w:pPr>
              <w:adjustRightInd w:val="0"/>
              <w:snapToGrid w:val="0"/>
              <w:spacing w:line="260" w:lineRule="atLeast"/>
              <w:jc w:val="center"/>
              <w:rPr>
                <w:snapToGrid w:val="0"/>
                <w:color w:val="auto"/>
                <w:spacing w:val="-2"/>
                <w:sz w:val="18"/>
                <w:szCs w:val="18"/>
              </w:rPr>
            </w:pPr>
            <w:r>
              <w:rPr>
                <w:snapToGrid w:val="0"/>
                <w:color w:val="auto"/>
                <w:spacing w:val="-2"/>
                <w:sz w:val="18"/>
                <w:szCs w:val="18"/>
              </w:rPr>
              <w:t>0</w:t>
            </w:r>
          </w:p>
        </w:tc>
      </w:tr>
      <w:tr w14:paraId="16EA4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1" w:hRule="atLeast"/>
          <w:jc w:val="center"/>
        </w:trPr>
        <w:tc>
          <w:tcPr>
            <w:tcW w:w="4015" w:type="dxa"/>
            <w:vMerge w:val="continue"/>
            <w:vAlign w:val="center"/>
          </w:tcPr>
          <w:p w14:paraId="252F2023">
            <w:pPr>
              <w:adjustRightInd w:val="0"/>
              <w:snapToGrid w:val="0"/>
              <w:spacing w:line="300" w:lineRule="atLeast"/>
              <w:jc w:val="center"/>
              <w:rPr>
                <w:snapToGrid w:val="0"/>
                <w:color w:val="auto"/>
                <w:spacing w:val="-2"/>
                <w:sz w:val="18"/>
                <w:szCs w:val="18"/>
              </w:rPr>
            </w:pPr>
          </w:p>
        </w:tc>
        <w:tc>
          <w:tcPr>
            <w:tcW w:w="2648" w:type="dxa"/>
            <w:vAlign w:val="center"/>
          </w:tcPr>
          <w:p w14:paraId="53314C3A">
            <w:pPr>
              <w:adjustRightInd w:val="0"/>
              <w:snapToGrid w:val="0"/>
              <w:spacing w:line="260" w:lineRule="atLeast"/>
              <w:jc w:val="center"/>
              <w:rPr>
                <w:snapToGrid w:val="0"/>
                <w:color w:val="auto"/>
                <w:spacing w:val="-2"/>
                <w:sz w:val="18"/>
                <w:szCs w:val="18"/>
              </w:rPr>
            </w:pPr>
            <w:r>
              <w:rPr>
                <w:snapToGrid w:val="0"/>
                <w:color w:val="auto"/>
                <w:spacing w:val="-2"/>
                <w:sz w:val="18"/>
                <w:szCs w:val="18"/>
              </w:rPr>
              <w:t>10&lt;</w:t>
            </w: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≤20</w:t>
            </w:r>
          </w:p>
        </w:tc>
        <w:tc>
          <w:tcPr>
            <w:tcW w:w="2470" w:type="dxa"/>
            <w:vAlign w:val="center"/>
          </w:tcPr>
          <w:p w14:paraId="561ED77E">
            <w:pPr>
              <w:adjustRightInd w:val="0"/>
              <w:snapToGrid w:val="0"/>
              <w:spacing w:line="260" w:lineRule="atLeast"/>
              <w:jc w:val="center"/>
              <w:rPr>
                <w:snapToGrid w:val="0"/>
                <w:color w:val="auto"/>
                <w:spacing w:val="-2"/>
                <w:sz w:val="18"/>
                <w:szCs w:val="18"/>
              </w:rPr>
            </w:pPr>
            <w:r>
              <w:rPr>
                <w:snapToGrid w:val="0"/>
                <w:color w:val="auto"/>
                <w:spacing w:val="-2"/>
                <w:sz w:val="18"/>
                <w:szCs w:val="18"/>
              </w:rPr>
              <w:t>1/3</w:t>
            </w:r>
          </w:p>
        </w:tc>
      </w:tr>
      <w:tr w14:paraId="5898F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7" w:hRule="atLeast"/>
          <w:jc w:val="center"/>
        </w:trPr>
        <w:tc>
          <w:tcPr>
            <w:tcW w:w="4015" w:type="dxa"/>
            <w:vMerge w:val="restart"/>
            <w:vAlign w:val="center"/>
          </w:tcPr>
          <w:p w14:paraId="36A43C3C">
            <w:pPr>
              <w:adjustRightInd w:val="0"/>
              <w:snapToGrid w:val="0"/>
              <w:spacing w:line="300" w:lineRule="atLeast"/>
              <w:jc w:val="center"/>
              <w:rPr>
                <w:snapToGrid w:val="0"/>
                <w:color w:val="auto"/>
                <w:spacing w:val="-2"/>
                <w:sz w:val="18"/>
                <w:szCs w:val="18"/>
              </w:rPr>
            </w:pPr>
            <w:r>
              <w:rPr>
                <w:snapToGrid w:val="0"/>
                <w:color w:val="auto"/>
                <w:spacing w:val="-2"/>
                <w:sz w:val="18"/>
                <w:szCs w:val="18"/>
              </w:rPr>
              <w:t>&gt;0.6</w:t>
            </w:r>
            <w:r>
              <w:rPr>
                <w:rFonts w:hAnsi="宋体"/>
                <w:snapToGrid w:val="0"/>
                <w:color w:val="auto"/>
                <w:spacing w:val="-2"/>
                <w:sz w:val="18"/>
                <w:szCs w:val="18"/>
              </w:rPr>
              <w:t>～</w:t>
            </w:r>
            <w:r>
              <w:rPr>
                <w:snapToGrid w:val="0"/>
                <w:color w:val="auto"/>
                <w:spacing w:val="-2"/>
                <w:sz w:val="18"/>
                <w:szCs w:val="18"/>
              </w:rPr>
              <w:t>0.8</w:t>
            </w:r>
          </w:p>
        </w:tc>
        <w:tc>
          <w:tcPr>
            <w:tcW w:w="2648" w:type="dxa"/>
            <w:vAlign w:val="center"/>
          </w:tcPr>
          <w:p w14:paraId="6358254D">
            <w:pPr>
              <w:adjustRightInd w:val="0"/>
              <w:snapToGrid w:val="0"/>
              <w:spacing w:line="260" w:lineRule="atLeast"/>
              <w:jc w:val="center"/>
              <w:rPr>
                <w:snapToGrid w:val="0"/>
                <w:color w:val="auto"/>
                <w:spacing w:val="-2"/>
                <w:sz w:val="18"/>
                <w:szCs w:val="18"/>
              </w:rPr>
            </w:pP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≤10</w:t>
            </w:r>
          </w:p>
        </w:tc>
        <w:tc>
          <w:tcPr>
            <w:tcW w:w="2470" w:type="dxa"/>
            <w:vAlign w:val="center"/>
          </w:tcPr>
          <w:p w14:paraId="1A376168">
            <w:pPr>
              <w:adjustRightInd w:val="0"/>
              <w:snapToGrid w:val="0"/>
              <w:spacing w:line="260" w:lineRule="atLeast"/>
              <w:jc w:val="center"/>
              <w:rPr>
                <w:snapToGrid w:val="0"/>
                <w:color w:val="auto"/>
                <w:spacing w:val="-2"/>
                <w:sz w:val="18"/>
                <w:szCs w:val="18"/>
              </w:rPr>
            </w:pPr>
            <w:r>
              <w:rPr>
                <w:snapToGrid w:val="0"/>
                <w:color w:val="auto"/>
                <w:spacing w:val="-2"/>
                <w:sz w:val="18"/>
                <w:szCs w:val="18"/>
              </w:rPr>
              <w:t>1/3</w:t>
            </w:r>
          </w:p>
        </w:tc>
      </w:tr>
      <w:tr w14:paraId="52A4A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4" w:hRule="atLeast"/>
          <w:jc w:val="center"/>
        </w:trPr>
        <w:tc>
          <w:tcPr>
            <w:tcW w:w="4015" w:type="dxa"/>
            <w:vMerge w:val="continue"/>
            <w:vAlign w:val="center"/>
          </w:tcPr>
          <w:p w14:paraId="1476224C">
            <w:pPr>
              <w:adjustRightInd w:val="0"/>
              <w:snapToGrid w:val="0"/>
              <w:spacing w:line="300" w:lineRule="atLeast"/>
              <w:jc w:val="center"/>
              <w:rPr>
                <w:snapToGrid w:val="0"/>
                <w:color w:val="auto"/>
                <w:spacing w:val="-2"/>
                <w:sz w:val="18"/>
                <w:szCs w:val="18"/>
              </w:rPr>
            </w:pPr>
          </w:p>
        </w:tc>
        <w:tc>
          <w:tcPr>
            <w:tcW w:w="2648" w:type="dxa"/>
            <w:vAlign w:val="center"/>
          </w:tcPr>
          <w:p w14:paraId="06E9FEAA">
            <w:pPr>
              <w:adjustRightInd w:val="0"/>
              <w:snapToGrid w:val="0"/>
              <w:spacing w:line="260" w:lineRule="atLeast"/>
              <w:jc w:val="center"/>
              <w:rPr>
                <w:snapToGrid w:val="0"/>
                <w:color w:val="auto"/>
                <w:spacing w:val="-2"/>
                <w:sz w:val="18"/>
                <w:szCs w:val="18"/>
              </w:rPr>
            </w:pPr>
            <w:r>
              <w:rPr>
                <w:snapToGrid w:val="0"/>
                <w:color w:val="auto"/>
                <w:spacing w:val="-2"/>
                <w:sz w:val="18"/>
                <w:szCs w:val="18"/>
              </w:rPr>
              <w:t>10&lt;</w:t>
            </w: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≤20</w:t>
            </w:r>
          </w:p>
        </w:tc>
        <w:tc>
          <w:tcPr>
            <w:tcW w:w="2470" w:type="dxa"/>
            <w:vAlign w:val="center"/>
          </w:tcPr>
          <w:p w14:paraId="280498F2">
            <w:pPr>
              <w:adjustRightInd w:val="0"/>
              <w:snapToGrid w:val="0"/>
              <w:spacing w:line="260" w:lineRule="atLeast"/>
              <w:jc w:val="center"/>
              <w:rPr>
                <w:snapToGrid w:val="0"/>
                <w:color w:val="auto"/>
                <w:spacing w:val="-2"/>
                <w:sz w:val="18"/>
                <w:szCs w:val="18"/>
              </w:rPr>
            </w:pPr>
            <w:r>
              <w:rPr>
                <w:snapToGrid w:val="0"/>
                <w:color w:val="auto"/>
                <w:spacing w:val="-2"/>
                <w:sz w:val="18"/>
                <w:szCs w:val="18"/>
              </w:rPr>
              <w:t>2/3</w:t>
            </w:r>
          </w:p>
        </w:tc>
      </w:tr>
      <w:tr w14:paraId="527DB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4" w:hRule="exact"/>
          <w:jc w:val="center"/>
        </w:trPr>
        <w:tc>
          <w:tcPr>
            <w:tcW w:w="4015" w:type="dxa"/>
            <w:vMerge w:val="restart"/>
            <w:vAlign w:val="center"/>
          </w:tcPr>
          <w:p w14:paraId="2183DF1C">
            <w:pPr>
              <w:adjustRightInd w:val="0"/>
              <w:snapToGrid w:val="0"/>
              <w:spacing w:line="300" w:lineRule="atLeast"/>
              <w:jc w:val="center"/>
              <w:rPr>
                <w:snapToGrid w:val="0"/>
                <w:color w:val="auto"/>
                <w:spacing w:val="-2"/>
                <w:sz w:val="18"/>
                <w:szCs w:val="18"/>
              </w:rPr>
            </w:pPr>
            <w:r>
              <w:rPr>
                <w:snapToGrid w:val="0"/>
                <w:color w:val="auto"/>
                <w:spacing w:val="-2"/>
                <w:sz w:val="18"/>
                <w:szCs w:val="18"/>
              </w:rPr>
              <w:t>&gt;0.8</w:t>
            </w:r>
            <w:r>
              <w:rPr>
                <w:rFonts w:hAnsi="宋体"/>
                <w:snapToGrid w:val="0"/>
                <w:color w:val="auto"/>
                <w:spacing w:val="-2"/>
                <w:sz w:val="18"/>
                <w:szCs w:val="18"/>
              </w:rPr>
              <w:t>～</w:t>
            </w:r>
            <w:r>
              <w:rPr>
                <w:snapToGrid w:val="0"/>
                <w:color w:val="auto"/>
                <w:spacing w:val="-2"/>
                <w:sz w:val="18"/>
                <w:szCs w:val="18"/>
              </w:rPr>
              <w:t>1.0</w:t>
            </w:r>
          </w:p>
        </w:tc>
        <w:tc>
          <w:tcPr>
            <w:tcW w:w="2648" w:type="dxa"/>
            <w:vAlign w:val="center"/>
          </w:tcPr>
          <w:p w14:paraId="075B2062">
            <w:pPr>
              <w:adjustRightInd w:val="0"/>
              <w:snapToGrid w:val="0"/>
              <w:spacing w:line="260" w:lineRule="atLeast"/>
              <w:jc w:val="center"/>
              <w:rPr>
                <w:snapToGrid w:val="0"/>
                <w:color w:val="auto"/>
                <w:spacing w:val="-2"/>
                <w:sz w:val="18"/>
                <w:szCs w:val="18"/>
              </w:rPr>
            </w:pP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≤10</w:t>
            </w:r>
          </w:p>
        </w:tc>
        <w:tc>
          <w:tcPr>
            <w:tcW w:w="2470" w:type="dxa"/>
            <w:vAlign w:val="center"/>
          </w:tcPr>
          <w:p w14:paraId="42913B7C">
            <w:pPr>
              <w:adjustRightInd w:val="0"/>
              <w:snapToGrid w:val="0"/>
              <w:spacing w:line="260" w:lineRule="atLeast"/>
              <w:jc w:val="center"/>
              <w:rPr>
                <w:snapToGrid w:val="0"/>
                <w:color w:val="auto"/>
                <w:spacing w:val="-2"/>
                <w:sz w:val="18"/>
                <w:szCs w:val="18"/>
              </w:rPr>
            </w:pPr>
            <w:r>
              <w:rPr>
                <w:snapToGrid w:val="0"/>
                <w:color w:val="auto"/>
                <w:spacing w:val="-2"/>
                <w:sz w:val="18"/>
                <w:szCs w:val="18"/>
              </w:rPr>
              <w:t>2/3</w:t>
            </w:r>
          </w:p>
        </w:tc>
      </w:tr>
      <w:tr w14:paraId="5BBBAC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4" w:hRule="atLeast"/>
          <w:jc w:val="center"/>
        </w:trPr>
        <w:tc>
          <w:tcPr>
            <w:tcW w:w="4015" w:type="dxa"/>
            <w:vMerge w:val="continue"/>
            <w:vAlign w:val="center"/>
          </w:tcPr>
          <w:p w14:paraId="3AFF6810">
            <w:pPr>
              <w:adjustRightInd w:val="0"/>
              <w:snapToGrid w:val="0"/>
              <w:spacing w:line="300" w:lineRule="atLeast"/>
              <w:rPr>
                <w:snapToGrid w:val="0"/>
                <w:color w:val="auto"/>
                <w:spacing w:val="-2"/>
                <w:sz w:val="18"/>
                <w:szCs w:val="18"/>
              </w:rPr>
            </w:pPr>
          </w:p>
        </w:tc>
        <w:tc>
          <w:tcPr>
            <w:tcW w:w="2648" w:type="dxa"/>
            <w:vAlign w:val="center"/>
          </w:tcPr>
          <w:p w14:paraId="046A3701">
            <w:pPr>
              <w:adjustRightInd w:val="0"/>
              <w:snapToGrid w:val="0"/>
              <w:spacing w:line="260" w:lineRule="atLeast"/>
              <w:jc w:val="center"/>
              <w:rPr>
                <w:snapToGrid w:val="0"/>
                <w:color w:val="auto"/>
                <w:spacing w:val="-2"/>
                <w:sz w:val="18"/>
                <w:szCs w:val="18"/>
              </w:rPr>
            </w:pPr>
            <w:r>
              <w:rPr>
                <w:snapToGrid w:val="0"/>
                <w:color w:val="auto"/>
                <w:spacing w:val="-2"/>
                <w:sz w:val="18"/>
                <w:szCs w:val="18"/>
              </w:rPr>
              <w:t>10&lt;</w:t>
            </w:r>
            <w:r>
              <w:rPr>
                <w:i/>
                <w:snapToGrid w:val="0"/>
                <w:color w:val="auto"/>
                <w:spacing w:val="-2"/>
                <w:sz w:val="18"/>
                <w:szCs w:val="18"/>
              </w:rPr>
              <w:t>d</w:t>
            </w:r>
            <w:r>
              <w:rPr>
                <w:iCs/>
                <w:snapToGrid w:val="0"/>
                <w:color w:val="auto"/>
                <w:spacing w:val="-2"/>
                <w:sz w:val="18"/>
                <w:szCs w:val="18"/>
                <w:vertAlign w:val="subscript"/>
              </w:rPr>
              <w:t>s</w:t>
            </w:r>
            <w:r>
              <w:rPr>
                <w:snapToGrid w:val="0"/>
                <w:color w:val="auto"/>
                <w:spacing w:val="-2"/>
                <w:sz w:val="18"/>
                <w:szCs w:val="18"/>
              </w:rPr>
              <w:t>≤20</w:t>
            </w:r>
          </w:p>
        </w:tc>
        <w:tc>
          <w:tcPr>
            <w:tcW w:w="2470" w:type="dxa"/>
            <w:vAlign w:val="center"/>
          </w:tcPr>
          <w:p w14:paraId="3F94356B">
            <w:pPr>
              <w:adjustRightInd w:val="0"/>
              <w:snapToGrid w:val="0"/>
              <w:spacing w:line="260" w:lineRule="atLeast"/>
              <w:jc w:val="center"/>
              <w:rPr>
                <w:snapToGrid w:val="0"/>
                <w:color w:val="auto"/>
                <w:spacing w:val="-2"/>
                <w:sz w:val="18"/>
                <w:szCs w:val="18"/>
              </w:rPr>
            </w:pPr>
            <w:r>
              <w:rPr>
                <w:snapToGrid w:val="0"/>
                <w:color w:val="auto"/>
                <w:spacing w:val="-2"/>
                <w:sz w:val="18"/>
                <w:szCs w:val="18"/>
              </w:rPr>
              <w:t>1</w:t>
            </w:r>
          </w:p>
        </w:tc>
      </w:tr>
    </w:tbl>
    <w:p w14:paraId="262A1D0F">
      <w:pPr>
        <w:adjustRightInd w:val="0"/>
        <w:snapToGrid w:val="0"/>
        <w:spacing w:before="240" w:line="340" w:lineRule="atLeast"/>
        <w:ind w:firstLine="709" w:firstLineChars="343"/>
        <w:rPr>
          <w:snapToGrid w:val="0"/>
          <w:color w:val="auto"/>
          <w:spacing w:val="-2"/>
          <w:szCs w:val="21"/>
        </w:rPr>
      </w:pPr>
      <w:r>
        <w:rPr>
          <w:b/>
          <w:bCs/>
          <w:snapToGrid w:val="0"/>
          <w:color w:val="auto"/>
          <w:spacing w:val="-2"/>
          <w:szCs w:val="21"/>
        </w:rPr>
        <w:t>2)</w:t>
      </w:r>
      <w:r>
        <w:rPr>
          <w:snapToGrid w:val="0"/>
          <w:color w:val="auto"/>
          <w:spacing w:val="-2"/>
          <w:szCs w:val="21"/>
        </w:rPr>
        <w:t xml:space="preserve"> </w:t>
      </w:r>
      <w:r>
        <w:rPr>
          <w:rFonts w:hAnsi="宋体"/>
          <w:snapToGrid w:val="0"/>
          <w:color w:val="auto"/>
          <w:spacing w:val="-2"/>
          <w:szCs w:val="21"/>
        </w:rPr>
        <w:t>地震作用按水平地震影响系数最大值的</w:t>
      </w:r>
      <w:r>
        <w:rPr>
          <w:snapToGrid w:val="0"/>
          <w:color w:val="auto"/>
          <w:spacing w:val="-2"/>
          <w:szCs w:val="21"/>
        </w:rPr>
        <w:t>10%</w:t>
      </w:r>
      <w:r>
        <w:rPr>
          <w:rFonts w:hAnsi="宋体"/>
          <w:snapToGrid w:val="0"/>
          <w:color w:val="auto"/>
          <w:spacing w:val="-2"/>
          <w:szCs w:val="21"/>
        </w:rPr>
        <w:t>采用，桩承载力仍按本节第</w:t>
      </w:r>
      <w:r>
        <w:rPr>
          <w:snapToGrid w:val="0"/>
          <w:color w:val="auto"/>
          <w:spacing w:val="-2"/>
          <w:szCs w:val="21"/>
        </w:rPr>
        <w:t>14.3.2</w:t>
      </w:r>
      <w:r>
        <w:rPr>
          <w:rFonts w:hAnsi="宋体"/>
          <w:snapToGrid w:val="0"/>
          <w:color w:val="auto"/>
          <w:spacing w:val="-2"/>
          <w:szCs w:val="21"/>
        </w:rPr>
        <w:t>条第</w:t>
      </w:r>
      <w:r>
        <w:rPr>
          <w:snapToGrid w:val="0"/>
          <w:color w:val="auto"/>
          <w:spacing w:val="-2"/>
          <w:szCs w:val="21"/>
        </w:rPr>
        <w:t>a)</w:t>
      </w:r>
      <w:r>
        <w:rPr>
          <w:rFonts w:hAnsi="宋体"/>
          <w:snapToGrid w:val="0"/>
          <w:color w:val="auto"/>
          <w:spacing w:val="-2"/>
          <w:szCs w:val="21"/>
        </w:rPr>
        <w:t>款取用，但应扣除液化土层的全部摩阻力及桩承台下</w:t>
      </w:r>
      <w:r>
        <w:rPr>
          <w:snapToGrid w:val="0"/>
          <w:color w:val="auto"/>
          <w:spacing w:val="-2"/>
          <w:szCs w:val="21"/>
        </w:rPr>
        <w:t>2m</w:t>
      </w:r>
      <w:r>
        <w:rPr>
          <w:rFonts w:hAnsi="宋体"/>
          <w:snapToGrid w:val="0"/>
          <w:color w:val="auto"/>
          <w:spacing w:val="-2"/>
          <w:szCs w:val="21"/>
        </w:rPr>
        <w:t>深度范围内非液化土的桩周摩阻力。</w:t>
      </w:r>
    </w:p>
    <w:p w14:paraId="5641F3AC">
      <w:pPr>
        <w:adjustRightInd w:val="0"/>
        <w:snapToGrid w:val="0"/>
        <w:spacing w:line="340" w:lineRule="atLeast"/>
        <w:ind w:firstLine="414" w:firstLineChars="200"/>
        <w:rPr>
          <w:snapToGrid w:val="0"/>
          <w:color w:val="auto"/>
          <w:spacing w:val="-2"/>
          <w:szCs w:val="21"/>
        </w:rPr>
      </w:pPr>
      <w:r>
        <w:rPr>
          <w:b/>
          <w:bCs/>
          <w:snapToGrid w:val="0"/>
          <w:color w:val="auto"/>
          <w:spacing w:val="-2"/>
          <w:szCs w:val="21"/>
        </w:rPr>
        <w:t>b)</w:t>
      </w:r>
      <w:r>
        <w:rPr>
          <w:snapToGrid w:val="0"/>
          <w:color w:val="auto"/>
          <w:spacing w:val="-2"/>
          <w:szCs w:val="21"/>
        </w:rPr>
        <w:t xml:space="preserve">  </w:t>
      </w:r>
      <w:r>
        <w:rPr>
          <w:rFonts w:hAnsi="宋体"/>
          <w:snapToGrid w:val="0"/>
          <w:color w:val="auto"/>
          <w:spacing w:val="-2"/>
          <w:szCs w:val="21"/>
        </w:rPr>
        <w:t>打入式预制桩及其他挤土桩，当平均桩距为</w:t>
      </w:r>
      <w:r>
        <w:rPr>
          <w:snapToGrid w:val="0"/>
          <w:color w:val="auto"/>
          <w:spacing w:val="-2"/>
          <w:szCs w:val="21"/>
        </w:rPr>
        <w:t>2.5</w:t>
      </w:r>
      <w:r>
        <w:rPr>
          <w:rFonts w:hAnsi="宋体"/>
          <w:snapToGrid w:val="0"/>
          <w:color w:val="auto"/>
          <w:spacing w:val="-2"/>
          <w:szCs w:val="21"/>
        </w:rPr>
        <w:t>倍～</w:t>
      </w:r>
      <w:r>
        <w:rPr>
          <w:snapToGrid w:val="0"/>
          <w:color w:val="auto"/>
          <w:spacing w:val="-2"/>
          <w:szCs w:val="21"/>
        </w:rPr>
        <w:t>4</w:t>
      </w:r>
      <w:r>
        <w:rPr>
          <w:rFonts w:hAnsi="宋体"/>
          <w:snapToGrid w:val="0"/>
          <w:color w:val="auto"/>
          <w:spacing w:val="-2"/>
          <w:szCs w:val="21"/>
        </w:rPr>
        <w:t>倍桩径且桩数不少于</w:t>
      </w:r>
      <w:r>
        <w:rPr>
          <w:snapToGrid w:val="0"/>
          <w:color w:val="auto"/>
          <w:spacing w:val="-2"/>
          <w:szCs w:val="21"/>
        </w:rPr>
        <w:t>5×5</w:t>
      </w:r>
      <w:r>
        <w:rPr>
          <w:rFonts w:hAnsi="宋体"/>
          <w:snapToGrid w:val="0"/>
          <w:color w:val="auto"/>
          <w:spacing w:val="-2"/>
          <w:szCs w:val="21"/>
        </w:rPr>
        <w:t>时，可计入打桩对土的加密作用及桩身对液化土变形限制的有利影响。当打桩后桩间土的标准贯入锤击数值达到不液化的要求时，单桩承载力可不折减，但对桩尖持力层作强度校核时，桩群外侧的应力扩散角应取为零。</w:t>
      </w:r>
    </w:p>
    <w:p w14:paraId="55C3034D">
      <w:pPr>
        <w:adjustRightInd w:val="0"/>
        <w:snapToGrid w:val="0"/>
        <w:spacing w:line="340" w:lineRule="atLeast"/>
        <w:rPr>
          <w:snapToGrid w:val="0"/>
          <w:color w:val="auto"/>
          <w:spacing w:val="-2"/>
          <w:szCs w:val="21"/>
        </w:rPr>
      </w:pPr>
      <w:r>
        <w:rPr>
          <w:b/>
          <w:bCs/>
          <w:snapToGrid w:val="0"/>
          <w:color w:val="auto"/>
          <w:spacing w:val="-2"/>
          <w:szCs w:val="21"/>
        </w:rPr>
        <w:t xml:space="preserve">14.3.4  </w:t>
      </w:r>
      <w:r>
        <w:rPr>
          <w:rFonts w:hAnsi="宋体"/>
          <w:snapToGrid w:val="0"/>
          <w:color w:val="auto"/>
          <w:spacing w:val="-2"/>
          <w:szCs w:val="21"/>
        </w:rPr>
        <w:t>在液化地基中采用桩基，且需全部消除地基液化沉陷时，桩端伸入液化深度以下稳定土层中的长度（不包括桩尖部分），应按计算确定，且对碎石土、砾、粗、中砂、坚硬黏性土和密实粉土尚不应小于</w:t>
      </w:r>
      <w:r>
        <w:rPr>
          <w:snapToGrid w:val="0"/>
          <w:color w:val="auto"/>
          <w:spacing w:val="-2"/>
          <w:szCs w:val="21"/>
        </w:rPr>
        <w:t>0.8m</w:t>
      </w:r>
      <w:r>
        <w:rPr>
          <w:rFonts w:hAnsi="宋体"/>
          <w:snapToGrid w:val="0"/>
          <w:color w:val="auto"/>
          <w:spacing w:val="-2"/>
          <w:szCs w:val="21"/>
        </w:rPr>
        <w:t>，对于强风化软质岩石或其他非岩石土尚不宜小于</w:t>
      </w:r>
      <w:r>
        <w:rPr>
          <w:snapToGrid w:val="0"/>
          <w:color w:val="auto"/>
          <w:spacing w:val="-2"/>
          <w:szCs w:val="21"/>
        </w:rPr>
        <w:t>1.5m</w:t>
      </w:r>
      <w:r>
        <w:rPr>
          <w:rFonts w:hAnsi="宋体"/>
          <w:snapToGrid w:val="0"/>
          <w:color w:val="auto"/>
          <w:spacing w:val="-2"/>
          <w:szCs w:val="21"/>
        </w:rPr>
        <w:t>。</w:t>
      </w:r>
    </w:p>
    <w:p w14:paraId="2EC82B7E">
      <w:pPr>
        <w:adjustRightInd w:val="0"/>
        <w:snapToGrid w:val="0"/>
        <w:spacing w:line="340" w:lineRule="atLeast"/>
        <w:rPr>
          <w:b/>
          <w:bCs/>
          <w:snapToGrid w:val="0"/>
          <w:color w:val="auto"/>
          <w:spacing w:val="-2"/>
          <w:szCs w:val="21"/>
        </w:rPr>
      </w:pPr>
      <w:r>
        <w:rPr>
          <w:b/>
          <w:bCs/>
          <w:snapToGrid w:val="0"/>
          <w:color w:val="auto"/>
          <w:spacing w:val="-2"/>
          <w:szCs w:val="21"/>
        </w:rPr>
        <w:t xml:space="preserve">14.3.5  </w:t>
      </w:r>
      <w:r>
        <w:rPr>
          <w:bCs/>
          <w:snapToGrid w:val="0"/>
          <w:color w:val="auto"/>
          <w:spacing w:val="-2"/>
          <w:szCs w:val="21"/>
        </w:rPr>
        <w:t>液化土和震陷软土中桩身配筋应符合本文件12.2.4条的规定。</w:t>
      </w:r>
    </w:p>
    <w:p w14:paraId="17AB6F92">
      <w:pPr>
        <w:adjustRightInd w:val="0"/>
        <w:snapToGrid w:val="0"/>
        <w:spacing w:line="340" w:lineRule="atLeast"/>
        <w:rPr>
          <w:snapToGrid w:val="0"/>
          <w:color w:val="auto"/>
          <w:spacing w:val="-2"/>
          <w:szCs w:val="21"/>
        </w:rPr>
      </w:pPr>
      <w:r>
        <w:rPr>
          <w:b/>
          <w:bCs/>
          <w:snapToGrid w:val="0"/>
          <w:color w:val="auto"/>
          <w:spacing w:val="-2"/>
          <w:szCs w:val="21"/>
        </w:rPr>
        <w:t xml:space="preserve">14.3.6  </w:t>
      </w:r>
      <w:r>
        <w:rPr>
          <w:rFonts w:hAnsi="宋体"/>
          <w:snapToGrid w:val="0"/>
          <w:color w:val="auto"/>
          <w:spacing w:val="-2"/>
          <w:szCs w:val="21"/>
        </w:rPr>
        <w:t>处于液化土中的桩基承台周围，宜用密实干土填筑夯实，若用砂土或粉土填筑夯实后，应使其密实度达到中密以上的要求。</w:t>
      </w:r>
    </w:p>
    <w:p w14:paraId="00D78403">
      <w:pPr>
        <w:adjustRightInd w:val="0"/>
        <w:snapToGrid w:val="0"/>
        <w:spacing w:line="340" w:lineRule="atLeast"/>
        <w:rPr>
          <w:snapToGrid w:val="0"/>
          <w:color w:val="auto"/>
          <w:spacing w:val="-2"/>
          <w:szCs w:val="21"/>
        </w:rPr>
      </w:pPr>
    </w:p>
    <w:p w14:paraId="065D34E2">
      <w:pPr>
        <w:adjustRightInd w:val="0"/>
        <w:snapToGrid w:val="0"/>
        <w:spacing w:line="340" w:lineRule="exact"/>
        <w:outlineLvl w:val="1"/>
        <w:rPr>
          <w:rFonts w:eastAsia="黑体"/>
          <w:b/>
          <w:bCs/>
          <w:color w:val="auto"/>
          <w:szCs w:val="21"/>
        </w:rPr>
      </w:pPr>
      <w:bookmarkStart w:id="82" w:name="_Toc199943625"/>
      <w:r>
        <w:rPr>
          <w:rFonts w:eastAsia="黑体"/>
          <w:b/>
          <w:bCs/>
          <w:color w:val="auto"/>
          <w:szCs w:val="21"/>
        </w:rPr>
        <w:t>14.4  抗震措施</w:t>
      </w:r>
      <w:bookmarkEnd w:id="82"/>
    </w:p>
    <w:p w14:paraId="4745B2AC">
      <w:pPr>
        <w:adjustRightInd w:val="0"/>
        <w:snapToGrid w:val="0"/>
        <w:spacing w:line="340" w:lineRule="atLeast"/>
        <w:jc w:val="center"/>
        <w:rPr>
          <w:rFonts w:eastAsia="黑体"/>
          <w:b/>
          <w:bCs/>
          <w:snapToGrid w:val="0"/>
          <w:color w:val="auto"/>
          <w:spacing w:val="-2"/>
          <w:szCs w:val="21"/>
        </w:rPr>
      </w:pPr>
    </w:p>
    <w:p w14:paraId="21087D83">
      <w:pPr>
        <w:adjustRightInd w:val="0"/>
        <w:snapToGrid w:val="0"/>
        <w:spacing w:line="340" w:lineRule="exact"/>
        <w:rPr>
          <w:rFonts w:hAnsi="宋体"/>
          <w:snapToGrid w:val="0"/>
          <w:color w:val="auto"/>
          <w:spacing w:val="-2"/>
          <w:szCs w:val="21"/>
        </w:rPr>
      </w:pPr>
      <w:r>
        <w:rPr>
          <w:b/>
          <w:bCs/>
          <w:snapToGrid w:val="0"/>
          <w:color w:val="auto"/>
          <w:spacing w:val="-2"/>
          <w:szCs w:val="21"/>
        </w:rPr>
        <w:t>14.4.1</w:t>
      </w:r>
      <w:r>
        <w:rPr>
          <w:rFonts w:hint="eastAsia"/>
          <w:b/>
          <w:bCs/>
          <w:snapToGrid w:val="0"/>
          <w:color w:val="auto"/>
          <w:spacing w:val="-2"/>
          <w:szCs w:val="21"/>
        </w:rPr>
        <w:t xml:space="preserve"> </w:t>
      </w:r>
      <w:r>
        <w:rPr>
          <w:rFonts w:eastAsia="黑体"/>
          <w:b/>
          <w:bCs/>
          <w:snapToGrid w:val="0"/>
          <w:color w:val="auto"/>
          <w:spacing w:val="-2"/>
          <w:szCs w:val="21"/>
        </w:rPr>
        <w:t xml:space="preserve"> </w:t>
      </w:r>
      <w:r>
        <w:rPr>
          <w:rFonts w:hint="eastAsia" w:ascii="宋体" w:hAnsi="宋体"/>
          <w:bCs/>
          <w:snapToGrid w:val="0"/>
          <w:color w:val="auto"/>
          <w:spacing w:val="-2"/>
          <w:szCs w:val="21"/>
        </w:rPr>
        <w:t>对抗震设防烈度不低于7度的建筑工程，当</w:t>
      </w:r>
      <w:r>
        <w:rPr>
          <w:rFonts w:hAnsi="宋体"/>
          <w:snapToGrid w:val="0"/>
          <w:color w:val="auto"/>
          <w:spacing w:val="-2"/>
          <w:szCs w:val="21"/>
        </w:rPr>
        <w:t>地面下</w:t>
      </w:r>
      <w:r>
        <w:rPr>
          <w:rFonts w:hint="eastAsia" w:hAnsi="宋体"/>
          <w:snapToGrid w:val="0"/>
          <w:color w:val="auto"/>
          <w:spacing w:val="-2"/>
          <w:szCs w:val="21"/>
        </w:rPr>
        <w:t>20m 范围内</w:t>
      </w:r>
      <w:r>
        <w:rPr>
          <w:rFonts w:hAnsi="宋体"/>
          <w:snapToGrid w:val="0"/>
          <w:color w:val="auto"/>
          <w:spacing w:val="-2"/>
          <w:szCs w:val="21"/>
        </w:rPr>
        <w:t>存在饱和砂土和饱和粉土时，应进行液化判别；存在液化土层的地基，应根据建筑的抗震设防类别、地基的液化等级，结合具体情况采取相应的</w:t>
      </w:r>
      <w:r>
        <w:rPr>
          <w:rFonts w:hint="eastAsia" w:hAnsi="宋体"/>
          <w:snapToGrid w:val="0"/>
          <w:color w:val="auto"/>
          <w:spacing w:val="-2"/>
          <w:szCs w:val="21"/>
        </w:rPr>
        <w:t>抗液化</w:t>
      </w:r>
      <w:r>
        <w:rPr>
          <w:rFonts w:hAnsi="宋体"/>
          <w:snapToGrid w:val="0"/>
          <w:color w:val="auto"/>
          <w:spacing w:val="-2"/>
          <w:szCs w:val="21"/>
        </w:rPr>
        <w:t>措施。</w:t>
      </w:r>
    </w:p>
    <w:p w14:paraId="486207FF">
      <w:pPr>
        <w:adjustRightInd w:val="0"/>
        <w:snapToGrid w:val="0"/>
        <w:spacing w:line="340" w:lineRule="exact"/>
        <w:ind w:firstLine="412" w:firstLineChars="200"/>
        <w:rPr>
          <w:rFonts w:hAnsi="宋体"/>
          <w:snapToGrid w:val="0"/>
          <w:color w:val="auto"/>
          <w:spacing w:val="-2"/>
          <w:szCs w:val="21"/>
        </w:rPr>
      </w:pPr>
      <w:r>
        <w:rPr>
          <w:rFonts w:hAnsi="宋体"/>
          <w:snapToGrid w:val="0"/>
          <w:color w:val="auto"/>
          <w:spacing w:val="-2"/>
          <w:szCs w:val="21"/>
        </w:rPr>
        <w:t>注：本条饱和土液化判别要求不含黄土、粉质黏土。</w:t>
      </w:r>
    </w:p>
    <w:p w14:paraId="31BF037A">
      <w:pPr>
        <w:adjustRightInd w:val="0"/>
        <w:snapToGrid w:val="0"/>
        <w:spacing w:line="340" w:lineRule="atLeast"/>
        <w:rPr>
          <w:rFonts w:eastAsia="黑体"/>
          <w:b/>
          <w:bCs/>
          <w:snapToGrid w:val="0"/>
          <w:color w:val="auto"/>
          <w:spacing w:val="-2"/>
          <w:sz w:val="18"/>
          <w:szCs w:val="18"/>
        </w:rPr>
      </w:pPr>
      <w:r>
        <w:rPr>
          <w:b/>
          <w:snapToGrid w:val="0"/>
          <w:color w:val="auto"/>
          <w:spacing w:val="-2"/>
          <w:szCs w:val="21"/>
        </w:rPr>
        <w:t xml:space="preserve">14.4.2  </w:t>
      </w:r>
      <w:r>
        <w:rPr>
          <w:rFonts w:hAnsi="宋体"/>
          <w:snapToGrid w:val="0"/>
          <w:color w:val="auto"/>
          <w:spacing w:val="-2"/>
          <w:szCs w:val="21"/>
        </w:rPr>
        <w:t>当液化土层较平坦且均匀时，宜按表</w:t>
      </w:r>
      <w:r>
        <w:rPr>
          <w:snapToGrid w:val="0"/>
          <w:color w:val="auto"/>
          <w:spacing w:val="-2"/>
          <w:szCs w:val="21"/>
        </w:rPr>
        <w:t>65</w:t>
      </w:r>
      <w:r>
        <w:rPr>
          <w:rFonts w:hAnsi="宋体"/>
          <w:snapToGrid w:val="0"/>
          <w:color w:val="auto"/>
          <w:spacing w:val="-2"/>
          <w:szCs w:val="21"/>
        </w:rPr>
        <w:t>选用地基抗液化的措施；尚可计入上部结构重力荷载对液化危害的影响，根据液化震陷量的估计适当调整抗液化措施。不宜将未经处理的液化土层作为天然地基持力层。</w:t>
      </w:r>
    </w:p>
    <w:p w14:paraId="3F022759">
      <w:pPr>
        <w:adjustRightInd w:val="0"/>
        <w:snapToGrid w:val="0"/>
        <w:spacing w:before="120" w:line="360" w:lineRule="atLeast"/>
        <w:jc w:val="center"/>
        <w:rPr>
          <w:rFonts w:eastAsia="黑体"/>
          <w:b/>
          <w:bCs/>
          <w:snapToGrid w:val="0"/>
          <w:color w:val="auto"/>
          <w:spacing w:val="-2"/>
          <w:sz w:val="20"/>
          <w:szCs w:val="18"/>
        </w:rPr>
      </w:pPr>
      <w:r>
        <w:rPr>
          <w:rFonts w:eastAsia="黑体"/>
          <w:b/>
          <w:bCs/>
          <w:snapToGrid w:val="0"/>
          <w:color w:val="auto"/>
          <w:spacing w:val="-2"/>
          <w:sz w:val="20"/>
          <w:szCs w:val="18"/>
        </w:rPr>
        <w:t>表65   抗液化措施</w:t>
      </w:r>
    </w:p>
    <w:tbl>
      <w:tblPr>
        <w:tblStyle w:val="36"/>
        <w:tblW w:w="91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86"/>
        <w:gridCol w:w="2351"/>
        <w:gridCol w:w="2489"/>
        <w:gridCol w:w="2548"/>
      </w:tblGrid>
      <w:tr w14:paraId="7AF3E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86" w:type="dxa"/>
            <w:vMerge w:val="restart"/>
            <w:vAlign w:val="center"/>
          </w:tcPr>
          <w:p w14:paraId="7F8E1D55">
            <w:pPr>
              <w:adjustRightInd w:val="0"/>
              <w:snapToGrid w:val="0"/>
              <w:jc w:val="center"/>
              <w:rPr>
                <w:snapToGrid w:val="0"/>
                <w:color w:val="auto"/>
                <w:spacing w:val="-2"/>
                <w:sz w:val="18"/>
                <w:szCs w:val="18"/>
              </w:rPr>
            </w:pPr>
            <w:r>
              <w:rPr>
                <w:rFonts w:hAnsi="宋体"/>
                <w:snapToGrid w:val="0"/>
                <w:color w:val="auto"/>
                <w:spacing w:val="-2"/>
                <w:sz w:val="18"/>
                <w:szCs w:val="18"/>
              </w:rPr>
              <w:t>建筑抗震</w:t>
            </w:r>
          </w:p>
          <w:p w14:paraId="1D01FA6C">
            <w:pPr>
              <w:adjustRightInd w:val="0"/>
              <w:snapToGrid w:val="0"/>
              <w:jc w:val="center"/>
              <w:rPr>
                <w:snapToGrid w:val="0"/>
                <w:color w:val="auto"/>
                <w:spacing w:val="-2"/>
                <w:sz w:val="18"/>
                <w:szCs w:val="18"/>
              </w:rPr>
            </w:pPr>
            <w:r>
              <w:rPr>
                <w:rFonts w:hAnsi="宋体"/>
                <w:snapToGrid w:val="0"/>
                <w:color w:val="auto"/>
                <w:spacing w:val="-2"/>
                <w:sz w:val="18"/>
                <w:szCs w:val="18"/>
              </w:rPr>
              <w:t>设防类别</w:t>
            </w:r>
          </w:p>
        </w:tc>
        <w:tc>
          <w:tcPr>
            <w:tcW w:w="7388" w:type="dxa"/>
            <w:gridSpan w:val="3"/>
          </w:tcPr>
          <w:p w14:paraId="4E854A97">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地基的液化等级</w:t>
            </w:r>
          </w:p>
        </w:tc>
      </w:tr>
      <w:tr w14:paraId="3DB3C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86" w:type="dxa"/>
            <w:vMerge w:val="continue"/>
            <w:vAlign w:val="center"/>
          </w:tcPr>
          <w:p w14:paraId="25B8CAFE">
            <w:pPr>
              <w:adjustRightInd w:val="0"/>
              <w:snapToGrid w:val="0"/>
              <w:spacing w:line="300" w:lineRule="atLeast"/>
              <w:jc w:val="center"/>
              <w:rPr>
                <w:snapToGrid w:val="0"/>
                <w:color w:val="auto"/>
                <w:spacing w:val="-2"/>
                <w:sz w:val="18"/>
                <w:szCs w:val="18"/>
              </w:rPr>
            </w:pPr>
          </w:p>
        </w:tc>
        <w:tc>
          <w:tcPr>
            <w:tcW w:w="2351" w:type="dxa"/>
          </w:tcPr>
          <w:p w14:paraId="1CE70A36">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轻微</w:t>
            </w:r>
          </w:p>
        </w:tc>
        <w:tc>
          <w:tcPr>
            <w:tcW w:w="2489" w:type="dxa"/>
          </w:tcPr>
          <w:p w14:paraId="3BC6E542">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中等</w:t>
            </w:r>
          </w:p>
        </w:tc>
        <w:tc>
          <w:tcPr>
            <w:tcW w:w="2548" w:type="dxa"/>
          </w:tcPr>
          <w:p w14:paraId="6F20F472">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严重</w:t>
            </w:r>
          </w:p>
        </w:tc>
      </w:tr>
      <w:tr w14:paraId="02472B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86" w:type="dxa"/>
          </w:tcPr>
          <w:p w14:paraId="1ED97F48">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乙类</w:t>
            </w:r>
          </w:p>
        </w:tc>
        <w:tc>
          <w:tcPr>
            <w:tcW w:w="2351" w:type="dxa"/>
          </w:tcPr>
          <w:p w14:paraId="0EFB1D8E">
            <w:pPr>
              <w:adjustRightInd w:val="0"/>
              <w:snapToGrid w:val="0"/>
              <w:spacing w:line="300" w:lineRule="atLeast"/>
              <w:rPr>
                <w:snapToGrid w:val="0"/>
                <w:color w:val="auto"/>
                <w:spacing w:val="-2"/>
                <w:sz w:val="18"/>
                <w:szCs w:val="18"/>
              </w:rPr>
            </w:pPr>
            <w:r>
              <w:rPr>
                <w:snapToGrid w:val="0"/>
                <w:color w:val="auto"/>
                <w:spacing w:val="-2"/>
                <w:sz w:val="18"/>
                <w:szCs w:val="18"/>
              </w:rPr>
              <w:t>2)</w:t>
            </w:r>
            <w:r>
              <w:rPr>
                <w:rFonts w:hAnsi="宋体"/>
                <w:snapToGrid w:val="0"/>
                <w:color w:val="auto"/>
                <w:spacing w:val="-2"/>
                <w:sz w:val="18"/>
                <w:szCs w:val="18"/>
              </w:rPr>
              <w:t>或</w:t>
            </w:r>
            <w:r>
              <w:rPr>
                <w:snapToGrid w:val="0"/>
                <w:color w:val="auto"/>
                <w:spacing w:val="-2"/>
                <w:sz w:val="18"/>
                <w:szCs w:val="18"/>
              </w:rPr>
              <w:t>3)</w:t>
            </w:r>
          </w:p>
        </w:tc>
        <w:tc>
          <w:tcPr>
            <w:tcW w:w="2489" w:type="dxa"/>
          </w:tcPr>
          <w:p w14:paraId="4885C980">
            <w:pPr>
              <w:adjustRightInd w:val="0"/>
              <w:snapToGrid w:val="0"/>
              <w:spacing w:line="300" w:lineRule="atLeast"/>
              <w:rPr>
                <w:snapToGrid w:val="0"/>
                <w:color w:val="auto"/>
                <w:spacing w:val="-2"/>
                <w:sz w:val="18"/>
                <w:szCs w:val="18"/>
              </w:rPr>
            </w:pPr>
            <w:r>
              <w:rPr>
                <w:snapToGrid w:val="0"/>
                <w:color w:val="auto"/>
                <w:spacing w:val="-2"/>
                <w:sz w:val="18"/>
                <w:szCs w:val="18"/>
              </w:rPr>
              <w:t>1)</w:t>
            </w:r>
            <w:r>
              <w:rPr>
                <w:rFonts w:hAnsi="宋体"/>
                <w:snapToGrid w:val="0"/>
                <w:color w:val="auto"/>
                <w:spacing w:val="-2"/>
                <w:sz w:val="18"/>
                <w:szCs w:val="18"/>
              </w:rPr>
              <w:t>或</w:t>
            </w:r>
            <w:r>
              <w:rPr>
                <w:snapToGrid w:val="0"/>
                <w:color w:val="auto"/>
                <w:spacing w:val="-2"/>
                <w:sz w:val="18"/>
                <w:szCs w:val="18"/>
              </w:rPr>
              <w:t>2)+3)</w:t>
            </w:r>
          </w:p>
        </w:tc>
        <w:tc>
          <w:tcPr>
            <w:tcW w:w="2548" w:type="dxa"/>
          </w:tcPr>
          <w:p w14:paraId="7E331F26">
            <w:pPr>
              <w:adjustRightInd w:val="0"/>
              <w:snapToGrid w:val="0"/>
              <w:spacing w:line="300" w:lineRule="atLeast"/>
              <w:rPr>
                <w:snapToGrid w:val="0"/>
                <w:color w:val="auto"/>
                <w:spacing w:val="-2"/>
                <w:sz w:val="18"/>
                <w:szCs w:val="18"/>
              </w:rPr>
            </w:pPr>
            <w:r>
              <w:rPr>
                <w:snapToGrid w:val="0"/>
                <w:color w:val="auto"/>
                <w:spacing w:val="-2"/>
                <w:sz w:val="18"/>
                <w:szCs w:val="18"/>
              </w:rPr>
              <w:t>1)</w:t>
            </w:r>
          </w:p>
        </w:tc>
      </w:tr>
      <w:tr w14:paraId="16949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86" w:type="dxa"/>
          </w:tcPr>
          <w:p w14:paraId="46A41B06">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丙类</w:t>
            </w:r>
          </w:p>
        </w:tc>
        <w:tc>
          <w:tcPr>
            <w:tcW w:w="2351" w:type="dxa"/>
          </w:tcPr>
          <w:p w14:paraId="70BBB5F0">
            <w:pPr>
              <w:adjustRightInd w:val="0"/>
              <w:snapToGrid w:val="0"/>
              <w:spacing w:line="300" w:lineRule="atLeast"/>
              <w:rPr>
                <w:snapToGrid w:val="0"/>
                <w:color w:val="auto"/>
                <w:spacing w:val="-2"/>
                <w:sz w:val="18"/>
                <w:szCs w:val="18"/>
              </w:rPr>
            </w:pPr>
            <w:r>
              <w:rPr>
                <w:snapToGrid w:val="0"/>
                <w:color w:val="auto"/>
                <w:spacing w:val="-2"/>
                <w:sz w:val="18"/>
                <w:szCs w:val="18"/>
              </w:rPr>
              <w:t>3)</w:t>
            </w:r>
            <w:r>
              <w:rPr>
                <w:rFonts w:hAnsi="宋体"/>
                <w:snapToGrid w:val="0"/>
                <w:color w:val="auto"/>
                <w:spacing w:val="-2"/>
                <w:sz w:val="18"/>
                <w:szCs w:val="18"/>
              </w:rPr>
              <w:t>亦可不采取措施</w:t>
            </w:r>
          </w:p>
        </w:tc>
        <w:tc>
          <w:tcPr>
            <w:tcW w:w="2489" w:type="dxa"/>
          </w:tcPr>
          <w:p w14:paraId="545A9272">
            <w:pPr>
              <w:adjustRightInd w:val="0"/>
              <w:snapToGrid w:val="0"/>
              <w:spacing w:line="300" w:lineRule="atLeast"/>
              <w:rPr>
                <w:snapToGrid w:val="0"/>
                <w:color w:val="auto"/>
                <w:spacing w:val="-2"/>
                <w:sz w:val="18"/>
                <w:szCs w:val="18"/>
              </w:rPr>
            </w:pPr>
            <w:r>
              <w:rPr>
                <w:snapToGrid w:val="0"/>
                <w:color w:val="auto"/>
                <w:spacing w:val="-2"/>
                <w:sz w:val="18"/>
                <w:szCs w:val="18"/>
              </w:rPr>
              <w:t>3)</w:t>
            </w:r>
            <w:r>
              <w:rPr>
                <w:rFonts w:hAnsi="宋体"/>
                <w:snapToGrid w:val="0"/>
                <w:color w:val="auto"/>
                <w:spacing w:val="-2"/>
                <w:sz w:val="18"/>
                <w:szCs w:val="18"/>
              </w:rPr>
              <w:t>或更高要求措施</w:t>
            </w:r>
          </w:p>
        </w:tc>
        <w:tc>
          <w:tcPr>
            <w:tcW w:w="2548" w:type="dxa"/>
          </w:tcPr>
          <w:p w14:paraId="170E1DBC">
            <w:pPr>
              <w:adjustRightInd w:val="0"/>
              <w:snapToGrid w:val="0"/>
              <w:spacing w:line="300" w:lineRule="atLeast"/>
              <w:rPr>
                <w:snapToGrid w:val="0"/>
                <w:color w:val="auto"/>
                <w:spacing w:val="-2"/>
                <w:sz w:val="18"/>
                <w:szCs w:val="18"/>
              </w:rPr>
            </w:pPr>
            <w:r>
              <w:rPr>
                <w:snapToGrid w:val="0"/>
                <w:color w:val="auto"/>
                <w:spacing w:val="-2"/>
                <w:sz w:val="18"/>
                <w:szCs w:val="18"/>
              </w:rPr>
              <w:t>1)</w:t>
            </w:r>
            <w:r>
              <w:rPr>
                <w:rFonts w:hAnsi="宋体"/>
                <w:snapToGrid w:val="0"/>
                <w:color w:val="auto"/>
                <w:spacing w:val="-2"/>
                <w:sz w:val="18"/>
                <w:szCs w:val="18"/>
              </w:rPr>
              <w:t>或</w:t>
            </w:r>
            <w:r>
              <w:rPr>
                <w:snapToGrid w:val="0"/>
                <w:color w:val="auto"/>
                <w:spacing w:val="-2"/>
                <w:sz w:val="18"/>
                <w:szCs w:val="18"/>
              </w:rPr>
              <w:t>2)+3)</w:t>
            </w:r>
          </w:p>
        </w:tc>
      </w:tr>
      <w:tr w14:paraId="607AA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86" w:type="dxa"/>
          </w:tcPr>
          <w:p w14:paraId="6099BF0E">
            <w:pPr>
              <w:adjustRightInd w:val="0"/>
              <w:snapToGrid w:val="0"/>
              <w:spacing w:line="300" w:lineRule="atLeast"/>
              <w:jc w:val="center"/>
              <w:rPr>
                <w:snapToGrid w:val="0"/>
                <w:color w:val="auto"/>
                <w:spacing w:val="-2"/>
                <w:sz w:val="18"/>
                <w:szCs w:val="18"/>
              </w:rPr>
            </w:pPr>
            <w:r>
              <w:rPr>
                <w:rFonts w:hAnsi="宋体"/>
                <w:snapToGrid w:val="0"/>
                <w:color w:val="auto"/>
                <w:spacing w:val="-2"/>
                <w:sz w:val="18"/>
                <w:szCs w:val="18"/>
              </w:rPr>
              <w:t>丁类</w:t>
            </w:r>
          </w:p>
        </w:tc>
        <w:tc>
          <w:tcPr>
            <w:tcW w:w="2351" w:type="dxa"/>
          </w:tcPr>
          <w:p w14:paraId="4520C0A7">
            <w:pPr>
              <w:adjustRightInd w:val="0"/>
              <w:snapToGrid w:val="0"/>
              <w:spacing w:line="300" w:lineRule="atLeast"/>
              <w:rPr>
                <w:snapToGrid w:val="0"/>
                <w:color w:val="auto"/>
                <w:spacing w:val="-2"/>
                <w:sz w:val="18"/>
                <w:szCs w:val="18"/>
              </w:rPr>
            </w:pPr>
            <w:r>
              <w:rPr>
                <w:rFonts w:hAnsi="宋体"/>
                <w:snapToGrid w:val="0"/>
                <w:color w:val="auto"/>
                <w:spacing w:val="-2"/>
                <w:sz w:val="18"/>
                <w:szCs w:val="18"/>
              </w:rPr>
              <w:t>可不采取措施</w:t>
            </w:r>
          </w:p>
        </w:tc>
        <w:tc>
          <w:tcPr>
            <w:tcW w:w="2489" w:type="dxa"/>
          </w:tcPr>
          <w:p w14:paraId="4B380CA9">
            <w:pPr>
              <w:adjustRightInd w:val="0"/>
              <w:snapToGrid w:val="0"/>
              <w:spacing w:line="300" w:lineRule="atLeast"/>
              <w:rPr>
                <w:snapToGrid w:val="0"/>
                <w:color w:val="auto"/>
                <w:spacing w:val="-2"/>
                <w:sz w:val="18"/>
                <w:szCs w:val="18"/>
              </w:rPr>
            </w:pPr>
            <w:r>
              <w:rPr>
                <w:rFonts w:hAnsi="宋体"/>
                <w:snapToGrid w:val="0"/>
                <w:color w:val="auto"/>
                <w:spacing w:val="-2"/>
                <w:sz w:val="18"/>
                <w:szCs w:val="18"/>
              </w:rPr>
              <w:t>可不采取措施</w:t>
            </w:r>
          </w:p>
        </w:tc>
        <w:tc>
          <w:tcPr>
            <w:tcW w:w="2548" w:type="dxa"/>
          </w:tcPr>
          <w:p w14:paraId="0EED2F5C">
            <w:pPr>
              <w:adjustRightInd w:val="0"/>
              <w:snapToGrid w:val="0"/>
              <w:spacing w:line="300" w:lineRule="atLeast"/>
              <w:ind w:left="-27" w:leftChars="-13"/>
              <w:rPr>
                <w:snapToGrid w:val="0"/>
                <w:color w:val="auto"/>
                <w:spacing w:val="-2"/>
                <w:sz w:val="18"/>
                <w:szCs w:val="18"/>
              </w:rPr>
            </w:pPr>
            <w:r>
              <w:rPr>
                <w:snapToGrid w:val="0"/>
                <w:color w:val="auto"/>
                <w:spacing w:val="-2"/>
                <w:sz w:val="18"/>
                <w:szCs w:val="18"/>
              </w:rPr>
              <w:t>3)</w:t>
            </w:r>
            <w:r>
              <w:rPr>
                <w:rFonts w:hAnsi="宋体"/>
                <w:snapToGrid w:val="0"/>
                <w:color w:val="auto"/>
                <w:spacing w:val="-2"/>
                <w:sz w:val="18"/>
                <w:szCs w:val="18"/>
              </w:rPr>
              <w:t>或其他经济的措施</w:t>
            </w:r>
          </w:p>
        </w:tc>
      </w:tr>
      <w:tr w14:paraId="57828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74" w:type="dxa"/>
            <w:gridSpan w:val="4"/>
          </w:tcPr>
          <w:p w14:paraId="7F7B6085">
            <w:pPr>
              <w:adjustRightInd w:val="0"/>
              <w:snapToGrid w:val="0"/>
              <w:spacing w:line="280" w:lineRule="atLeast"/>
              <w:ind w:left="368" w:hanging="367" w:hangingChars="209"/>
              <w:rPr>
                <w:snapToGrid w:val="0"/>
                <w:color w:val="auto"/>
                <w:spacing w:val="-2"/>
                <w:sz w:val="18"/>
                <w:szCs w:val="18"/>
              </w:rPr>
            </w:pPr>
            <w:r>
              <w:rPr>
                <w:rFonts w:hAnsi="宋体"/>
                <w:snapToGrid w:val="0"/>
                <w:color w:val="auto"/>
                <w:spacing w:val="-2"/>
                <w:sz w:val="18"/>
                <w:szCs w:val="18"/>
              </w:rPr>
              <w:t>注：表中</w:t>
            </w:r>
            <w:r>
              <w:rPr>
                <w:snapToGrid w:val="0"/>
                <w:color w:val="auto"/>
                <w:spacing w:val="-2"/>
                <w:sz w:val="18"/>
                <w:szCs w:val="18"/>
              </w:rPr>
              <w:t>1)</w:t>
            </w:r>
            <w:r>
              <w:rPr>
                <w:rFonts w:hAnsi="宋体"/>
                <w:snapToGrid w:val="0"/>
                <w:color w:val="auto"/>
                <w:spacing w:val="-2"/>
                <w:sz w:val="18"/>
                <w:szCs w:val="18"/>
              </w:rPr>
              <w:t>为全部消除液化沉陷措施；</w:t>
            </w:r>
            <w:r>
              <w:rPr>
                <w:snapToGrid w:val="0"/>
                <w:color w:val="auto"/>
                <w:spacing w:val="-2"/>
                <w:sz w:val="18"/>
                <w:szCs w:val="18"/>
              </w:rPr>
              <w:t>2)</w:t>
            </w:r>
            <w:r>
              <w:rPr>
                <w:rFonts w:hAnsi="宋体"/>
                <w:snapToGrid w:val="0"/>
                <w:color w:val="auto"/>
                <w:spacing w:val="-2"/>
                <w:sz w:val="18"/>
                <w:szCs w:val="18"/>
              </w:rPr>
              <w:t>为部分消除液化沉陷措施；</w:t>
            </w:r>
            <w:r>
              <w:rPr>
                <w:snapToGrid w:val="0"/>
                <w:color w:val="auto"/>
                <w:spacing w:val="-2"/>
                <w:sz w:val="18"/>
                <w:szCs w:val="18"/>
              </w:rPr>
              <w:t>3)</w:t>
            </w:r>
            <w:r>
              <w:rPr>
                <w:rFonts w:hAnsi="宋体"/>
                <w:snapToGrid w:val="0"/>
                <w:color w:val="auto"/>
                <w:spacing w:val="-2"/>
                <w:sz w:val="18"/>
                <w:szCs w:val="18"/>
              </w:rPr>
              <w:t>为基础和上部结构处理。</w:t>
            </w:r>
          </w:p>
        </w:tc>
      </w:tr>
    </w:tbl>
    <w:p w14:paraId="3D775E8D">
      <w:pPr>
        <w:adjustRightInd w:val="0"/>
        <w:snapToGrid w:val="0"/>
        <w:spacing w:before="120" w:line="340" w:lineRule="atLeast"/>
        <w:rPr>
          <w:snapToGrid w:val="0"/>
          <w:color w:val="auto"/>
          <w:spacing w:val="-2"/>
          <w:szCs w:val="21"/>
        </w:rPr>
      </w:pPr>
      <w:r>
        <w:rPr>
          <w:b/>
          <w:snapToGrid w:val="0"/>
          <w:color w:val="auto"/>
          <w:spacing w:val="-2"/>
          <w:szCs w:val="21"/>
        </w:rPr>
        <w:t>14.4.3</w:t>
      </w:r>
      <w:r>
        <w:rPr>
          <w:b/>
          <w:bCs/>
          <w:snapToGrid w:val="0"/>
          <w:color w:val="auto"/>
          <w:spacing w:val="-2"/>
          <w:szCs w:val="21"/>
        </w:rPr>
        <w:t xml:space="preserve">  </w:t>
      </w:r>
      <w:r>
        <w:rPr>
          <w:rFonts w:hAnsi="宋体"/>
          <w:snapToGrid w:val="0"/>
          <w:color w:val="auto"/>
          <w:spacing w:val="-2"/>
          <w:szCs w:val="21"/>
        </w:rPr>
        <w:t>全部消除地基液化沉陷的措施，应符合下列要求：</w:t>
      </w:r>
    </w:p>
    <w:p w14:paraId="25B750A9">
      <w:pPr>
        <w:adjustRightInd w:val="0"/>
        <w:snapToGrid w:val="0"/>
        <w:spacing w:line="340" w:lineRule="atLeast"/>
        <w:ind w:firstLine="414" w:firstLineChars="200"/>
        <w:rPr>
          <w:snapToGrid w:val="0"/>
          <w:color w:val="auto"/>
          <w:spacing w:val="-2"/>
          <w:szCs w:val="21"/>
        </w:rPr>
      </w:pPr>
      <w:r>
        <w:rPr>
          <w:b/>
          <w:snapToGrid w:val="0"/>
          <w:color w:val="auto"/>
          <w:spacing w:val="-2"/>
          <w:szCs w:val="21"/>
        </w:rPr>
        <w:t>a)</w:t>
      </w:r>
      <w:r>
        <w:rPr>
          <w:snapToGrid w:val="0"/>
          <w:color w:val="auto"/>
          <w:spacing w:val="-2"/>
          <w:szCs w:val="21"/>
        </w:rPr>
        <w:t xml:space="preserve">  </w:t>
      </w:r>
      <w:r>
        <w:rPr>
          <w:rFonts w:hAnsi="宋体"/>
          <w:snapToGrid w:val="0"/>
          <w:color w:val="auto"/>
          <w:spacing w:val="-2"/>
          <w:szCs w:val="21"/>
        </w:rPr>
        <w:t>采用桩基时，应符合本文件第</w:t>
      </w:r>
      <w:r>
        <w:rPr>
          <w:snapToGrid w:val="0"/>
          <w:color w:val="auto"/>
          <w:spacing w:val="-2"/>
          <w:szCs w:val="21"/>
        </w:rPr>
        <w:t>14.3.4</w:t>
      </w:r>
      <w:r>
        <w:rPr>
          <w:rFonts w:hAnsi="宋体"/>
          <w:snapToGrid w:val="0"/>
          <w:color w:val="auto"/>
          <w:spacing w:val="-2"/>
          <w:szCs w:val="21"/>
        </w:rPr>
        <w:t>条、第</w:t>
      </w:r>
      <w:r>
        <w:rPr>
          <w:snapToGrid w:val="0"/>
          <w:color w:val="auto"/>
          <w:spacing w:val="-2"/>
          <w:szCs w:val="21"/>
        </w:rPr>
        <w:t>14.3.5</w:t>
      </w:r>
      <w:r>
        <w:rPr>
          <w:rFonts w:hAnsi="宋体"/>
          <w:snapToGrid w:val="0"/>
          <w:color w:val="auto"/>
          <w:spacing w:val="-2"/>
          <w:szCs w:val="21"/>
        </w:rPr>
        <w:t>条的规定要求。</w:t>
      </w:r>
    </w:p>
    <w:p w14:paraId="59E5F3D3">
      <w:pPr>
        <w:adjustRightInd w:val="0"/>
        <w:snapToGrid w:val="0"/>
        <w:spacing w:line="340" w:lineRule="atLeast"/>
        <w:ind w:firstLine="414" w:firstLineChars="200"/>
        <w:rPr>
          <w:snapToGrid w:val="0"/>
          <w:color w:val="auto"/>
          <w:spacing w:val="-2"/>
          <w:szCs w:val="21"/>
        </w:rPr>
      </w:pPr>
      <w:r>
        <w:rPr>
          <w:b/>
          <w:snapToGrid w:val="0"/>
          <w:color w:val="auto"/>
          <w:spacing w:val="-2"/>
          <w:szCs w:val="21"/>
        </w:rPr>
        <w:t>b)</w:t>
      </w:r>
      <w:r>
        <w:rPr>
          <w:snapToGrid w:val="0"/>
          <w:color w:val="auto"/>
          <w:spacing w:val="-2"/>
          <w:szCs w:val="21"/>
        </w:rPr>
        <w:t xml:space="preserve">  </w:t>
      </w:r>
      <w:r>
        <w:rPr>
          <w:rFonts w:hAnsi="宋体"/>
          <w:snapToGrid w:val="0"/>
          <w:color w:val="auto"/>
          <w:spacing w:val="-2"/>
          <w:szCs w:val="21"/>
        </w:rPr>
        <w:t>采用深基础时，基础底面应埋入液化深度以下的稳定土层中，其深度不应小于</w:t>
      </w:r>
      <w:r>
        <w:rPr>
          <w:snapToGrid w:val="0"/>
          <w:color w:val="auto"/>
          <w:spacing w:val="-2"/>
          <w:szCs w:val="21"/>
        </w:rPr>
        <w:t>0.5m</w:t>
      </w:r>
      <w:r>
        <w:rPr>
          <w:rFonts w:hAnsi="宋体"/>
          <w:snapToGrid w:val="0"/>
          <w:color w:val="auto"/>
          <w:spacing w:val="-2"/>
          <w:szCs w:val="21"/>
        </w:rPr>
        <w:t>。</w:t>
      </w:r>
    </w:p>
    <w:p w14:paraId="2C876AD7">
      <w:pPr>
        <w:adjustRightInd w:val="0"/>
        <w:snapToGrid w:val="0"/>
        <w:spacing w:line="340" w:lineRule="atLeast"/>
        <w:ind w:firstLine="414" w:firstLineChars="200"/>
        <w:rPr>
          <w:snapToGrid w:val="0"/>
          <w:color w:val="auto"/>
          <w:spacing w:val="-2"/>
          <w:szCs w:val="21"/>
        </w:rPr>
      </w:pPr>
      <w:r>
        <w:rPr>
          <w:b/>
          <w:snapToGrid w:val="0"/>
          <w:color w:val="auto"/>
          <w:spacing w:val="-2"/>
          <w:szCs w:val="21"/>
        </w:rPr>
        <w:t>c)</w:t>
      </w:r>
      <w:r>
        <w:rPr>
          <w:snapToGrid w:val="0"/>
          <w:color w:val="auto"/>
          <w:spacing w:val="-2"/>
          <w:szCs w:val="21"/>
        </w:rPr>
        <w:t xml:space="preserve">  </w:t>
      </w:r>
      <w:r>
        <w:rPr>
          <w:rFonts w:hAnsi="宋体"/>
          <w:snapToGrid w:val="0"/>
          <w:color w:val="auto"/>
          <w:spacing w:val="-2"/>
          <w:szCs w:val="21"/>
        </w:rPr>
        <w:t>采用加密法（如振冲、振动加密、挤密碎石桩、强夯等）加固时，应处理至液化深度下界，且加固后的标准贯入锤击数值应达到不液化的要求。</w:t>
      </w:r>
    </w:p>
    <w:p w14:paraId="0F02B658">
      <w:pPr>
        <w:adjustRightInd w:val="0"/>
        <w:snapToGrid w:val="0"/>
        <w:spacing w:line="340" w:lineRule="atLeast"/>
        <w:ind w:firstLine="414" w:firstLineChars="200"/>
        <w:rPr>
          <w:snapToGrid w:val="0"/>
          <w:color w:val="auto"/>
          <w:spacing w:val="-2"/>
          <w:szCs w:val="21"/>
        </w:rPr>
      </w:pPr>
      <w:r>
        <w:rPr>
          <w:b/>
          <w:snapToGrid w:val="0"/>
          <w:color w:val="auto"/>
          <w:spacing w:val="-2"/>
          <w:szCs w:val="21"/>
        </w:rPr>
        <w:t>d)</w:t>
      </w:r>
      <w:r>
        <w:rPr>
          <w:snapToGrid w:val="0"/>
          <w:color w:val="auto"/>
          <w:spacing w:val="-2"/>
          <w:szCs w:val="21"/>
        </w:rPr>
        <w:t xml:space="preserve">  </w:t>
      </w:r>
      <w:r>
        <w:rPr>
          <w:rFonts w:hAnsi="宋体"/>
          <w:snapToGrid w:val="0"/>
          <w:color w:val="auto"/>
          <w:spacing w:val="-2"/>
          <w:szCs w:val="21"/>
        </w:rPr>
        <w:t>用非液化土替换全部液化土层，或增加上覆非液化土层的厚度。</w:t>
      </w:r>
    </w:p>
    <w:p w14:paraId="4297CEEE">
      <w:pPr>
        <w:adjustRightInd w:val="0"/>
        <w:snapToGrid w:val="0"/>
        <w:spacing w:line="340" w:lineRule="atLeast"/>
        <w:ind w:firstLine="414" w:firstLineChars="200"/>
        <w:rPr>
          <w:snapToGrid w:val="0"/>
          <w:color w:val="auto"/>
          <w:spacing w:val="-2"/>
          <w:szCs w:val="21"/>
        </w:rPr>
      </w:pPr>
      <w:r>
        <w:rPr>
          <w:b/>
          <w:snapToGrid w:val="0"/>
          <w:color w:val="auto"/>
          <w:spacing w:val="-2"/>
          <w:szCs w:val="21"/>
        </w:rPr>
        <w:t>e)</w:t>
      </w:r>
      <w:r>
        <w:rPr>
          <w:snapToGrid w:val="0"/>
          <w:color w:val="auto"/>
          <w:spacing w:val="-2"/>
          <w:szCs w:val="21"/>
        </w:rPr>
        <w:t xml:space="preserve">  </w:t>
      </w:r>
      <w:r>
        <w:rPr>
          <w:rFonts w:hAnsi="宋体"/>
          <w:snapToGrid w:val="0"/>
          <w:color w:val="auto"/>
          <w:spacing w:val="-2"/>
          <w:szCs w:val="21"/>
        </w:rPr>
        <w:t>采用加密法或换土法处理时，在基础边缘以外的处理宽度，应超过基础底面下处理深度的</w:t>
      </w:r>
      <w:r>
        <w:rPr>
          <w:snapToGrid w:val="0"/>
          <w:color w:val="auto"/>
          <w:spacing w:val="-2"/>
          <w:szCs w:val="21"/>
        </w:rPr>
        <w:t>1/2</w:t>
      </w:r>
      <w:r>
        <w:rPr>
          <w:rFonts w:hAnsi="宋体"/>
          <w:snapToGrid w:val="0"/>
          <w:color w:val="auto"/>
          <w:spacing w:val="-2"/>
          <w:szCs w:val="21"/>
        </w:rPr>
        <w:t>且不小于基础宽度的</w:t>
      </w:r>
      <w:r>
        <w:rPr>
          <w:snapToGrid w:val="0"/>
          <w:color w:val="auto"/>
          <w:spacing w:val="-2"/>
          <w:szCs w:val="21"/>
        </w:rPr>
        <w:t>1/5</w:t>
      </w:r>
      <w:r>
        <w:rPr>
          <w:rFonts w:hAnsi="宋体"/>
          <w:snapToGrid w:val="0"/>
          <w:color w:val="auto"/>
          <w:spacing w:val="-2"/>
          <w:szCs w:val="21"/>
        </w:rPr>
        <w:t>。</w:t>
      </w:r>
    </w:p>
    <w:p w14:paraId="33433DAF">
      <w:pPr>
        <w:adjustRightInd w:val="0"/>
        <w:snapToGrid w:val="0"/>
        <w:spacing w:line="340" w:lineRule="atLeast"/>
        <w:rPr>
          <w:snapToGrid w:val="0"/>
          <w:color w:val="auto"/>
          <w:szCs w:val="21"/>
        </w:rPr>
      </w:pPr>
      <w:r>
        <w:rPr>
          <w:b/>
          <w:snapToGrid w:val="0"/>
          <w:color w:val="auto"/>
          <w:szCs w:val="21"/>
        </w:rPr>
        <w:t>14.4.4</w:t>
      </w:r>
      <w:r>
        <w:rPr>
          <w:b/>
          <w:bCs/>
          <w:snapToGrid w:val="0"/>
          <w:color w:val="auto"/>
          <w:szCs w:val="21"/>
        </w:rPr>
        <w:t xml:space="preserve">  </w:t>
      </w:r>
      <w:r>
        <w:rPr>
          <w:rFonts w:hAnsi="宋体"/>
          <w:snapToGrid w:val="0"/>
          <w:color w:val="auto"/>
          <w:szCs w:val="21"/>
        </w:rPr>
        <w:t>部分消除地基液化沉陷的措施，应符合下列要求：</w:t>
      </w:r>
    </w:p>
    <w:p w14:paraId="305AAACB">
      <w:pPr>
        <w:adjustRightInd w:val="0"/>
        <w:snapToGrid w:val="0"/>
        <w:spacing w:line="340" w:lineRule="atLeast"/>
        <w:ind w:firstLine="422" w:firstLineChars="200"/>
        <w:rPr>
          <w:snapToGrid w:val="0"/>
          <w:color w:val="auto"/>
          <w:szCs w:val="21"/>
        </w:rPr>
      </w:pPr>
      <w:r>
        <w:rPr>
          <w:b/>
          <w:snapToGrid w:val="0"/>
          <w:color w:val="auto"/>
          <w:szCs w:val="21"/>
        </w:rPr>
        <w:t xml:space="preserve">a) </w:t>
      </w:r>
      <w:r>
        <w:rPr>
          <w:snapToGrid w:val="0"/>
          <w:color w:val="auto"/>
          <w:szCs w:val="21"/>
        </w:rPr>
        <w:t xml:space="preserve"> </w:t>
      </w:r>
      <w:r>
        <w:rPr>
          <w:rFonts w:hAnsi="宋体"/>
          <w:snapToGrid w:val="0"/>
          <w:color w:val="auto"/>
          <w:szCs w:val="21"/>
        </w:rPr>
        <w:t>处理深度应使处理后的地基液化指数减小，其值不宜大于</w:t>
      </w:r>
      <w:r>
        <w:rPr>
          <w:snapToGrid w:val="0"/>
          <w:color w:val="auto"/>
          <w:spacing w:val="-2"/>
          <w:szCs w:val="21"/>
        </w:rPr>
        <w:t>5</w:t>
      </w:r>
      <w:r>
        <w:rPr>
          <w:rFonts w:hAnsi="宋体"/>
          <w:snapToGrid w:val="0"/>
          <w:color w:val="auto"/>
          <w:szCs w:val="21"/>
        </w:rPr>
        <w:t>；大面积筏基、箱基的中心区域，处理后的液化指数不宜大于</w:t>
      </w:r>
      <w:r>
        <w:rPr>
          <w:snapToGrid w:val="0"/>
          <w:color w:val="auto"/>
          <w:szCs w:val="21"/>
        </w:rPr>
        <w:t>4</w:t>
      </w:r>
      <w:r>
        <w:rPr>
          <w:rFonts w:hAnsi="宋体"/>
          <w:snapToGrid w:val="0"/>
          <w:color w:val="auto"/>
          <w:szCs w:val="21"/>
        </w:rPr>
        <w:t>；对独立基础和条形基础的处理深度，尚不应小于基础底面下</w:t>
      </w:r>
      <w:r>
        <w:rPr>
          <w:snapToGrid w:val="0"/>
          <w:color w:val="auto"/>
          <w:spacing w:val="-2"/>
          <w:szCs w:val="21"/>
        </w:rPr>
        <w:t>6m</w:t>
      </w:r>
      <w:r>
        <w:rPr>
          <w:snapToGrid w:val="0"/>
          <w:color w:val="auto"/>
          <w:szCs w:val="21"/>
        </w:rPr>
        <w:t>（</w:t>
      </w:r>
      <w:r>
        <w:rPr>
          <w:rFonts w:hAnsi="宋体"/>
          <w:snapToGrid w:val="0"/>
          <w:color w:val="auto"/>
          <w:szCs w:val="21"/>
        </w:rPr>
        <w:t>粉土</w:t>
      </w:r>
      <w:r>
        <w:rPr>
          <w:snapToGrid w:val="0"/>
          <w:color w:val="auto"/>
          <w:szCs w:val="21"/>
        </w:rPr>
        <w:t>）</w:t>
      </w:r>
      <w:r>
        <w:rPr>
          <w:rFonts w:hAnsi="宋体"/>
          <w:snapToGrid w:val="0"/>
          <w:color w:val="auto"/>
          <w:szCs w:val="21"/>
        </w:rPr>
        <w:t>、</w:t>
      </w:r>
      <w:r>
        <w:rPr>
          <w:snapToGrid w:val="0"/>
          <w:color w:val="auto"/>
          <w:spacing w:val="-2"/>
          <w:szCs w:val="21"/>
        </w:rPr>
        <w:t>7m</w:t>
      </w:r>
      <w:r>
        <w:rPr>
          <w:rFonts w:hAnsi="宋体"/>
          <w:snapToGrid w:val="0"/>
          <w:color w:val="auto"/>
          <w:szCs w:val="21"/>
        </w:rPr>
        <w:t>（砂土）和基础宽度的较大值。</w:t>
      </w:r>
    </w:p>
    <w:p w14:paraId="36CC95B0">
      <w:pPr>
        <w:autoSpaceDE w:val="0"/>
        <w:autoSpaceDN w:val="0"/>
        <w:adjustRightInd w:val="0"/>
        <w:ind w:firstLine="352" w:firstLineChars="196"/>
        <w:jc w:val="left"/>
        <w:rPr>
          <w:color w:val="auto"/>
          <w:kern w:val="0"/>
          <w:sz w:val="18"/>
          <w:szCs w:val="18"/>
        </w:rPr>
      </w:pPr>
      <w:r>
        <w:rPr>
          <w:color w:val="auto"/>
          <w:kern w:val="0"/>
          <w:sz w:val="18"/>
          <w:szCs w:val="18"/>
        </w:rPr>
        <w:t>注：中心区域指位于基础外边界以内沿长宽方向距外边界大于相应方向</w:t>
      </w:r>
      <w:r>
        <w:rPr>
          <w:snapToGrid w:val="0"/>
          <w:color w:val="auto"/>
          <w:spacing w:val="-2"/>
          <w:szCs w:val="21"/>
        </w:rPr>
        <w:t xml:space="preserve"> 1/4</w:t>
      </w:r>
      <w:r>
        <w:rPr>
          <w:color w:val="auto"/>
          <w:spacing w:val="-1"/>
          <w:kern w:val="0"/>
          <w:sz w:val="18"/>
          <w:szCs w:val="18"/>
        </w:rPr>
        <w:t xml:space="preserve"> </w:t>
      </w:r>
      <w:r>
        <w:rPr>
          <w:color w:val="auto"/>
          <w:kern w:val="0"/>
          <w:sz w:val="18"/>
          <w:szCs w:val="18"/>
        </w:rPr>
        <w:t>长度的</w:t>
      </w:r>
      <w:r>
        <w:rPr>
          <w:color w:val="auto"/>
          <w:spacing w:val="1"/>
          <w:kern w:val="0"/>
          <w:sz w:val="18"/>
          <w:szCs w:val="18"/>
        </w:rPr>
        <w:t>区</w:t>
      </w:r>
      <w:r>
        <w:rPr>
          <w:color w:val="auto"/>
          <w:kern w:val="0"/>
          <w:sz w:val="18"/>
          <w:szCs w:val="18"/>
        </w:rPr>
        <w:t>域。</w:t>
      </w:r>
    </w:p>
    <w:p w14:paraId="0F90546B">
      <w:pPr>
        <w:adjustRightInd w:val="0"/>
        <w:snapToGrid w:val="0"/>
        <w:spacing w:line="340" w:lineRule="atLeast"/>
        <w:ind w:firstLine="422" w:firstLineChars="200"/>
        <w:rPr>
          <w:snapToGrid w:val="0"/>
          <w:color w:val="auto"/>
          <w:szCs w:val="21"/>
        </w:rPr>
      </w:pPr>
      <w:r>
        <w:rPr>
          <w:b/>
          <w:snapToGrid w:val="0"/>
          <w:color w:val="auto"/>
          <w:szCs w:val="21"/>
        </w:rPr>
        <w:t>b)</w:t>
      </w:r>
      <w:r>
        <w:rPr>
          <w:snapToGrid w:val="0"/>
          <w:color w:val="auto"/>
          <w:szCs w:val="21"/>
        </w:rPr>
        <w:t xml:space="preserve">  </w:t>
      </w:r>
      <w:r>
        <w:rPr>
          <w:rFonts w:hAnsi="宋体"/>
          <w:snapToGrid w:val="0"/>
          <w:color w:val="auto"/>
          <w:szCs w:val="21"/>
        </w:rPr>
        <w:t>采用加密法加固后的标准贯入锤击数值宜达到不液化的要求。</w:t>
      </w:r>
    </w:p>
    <w:p w14:paraId="4AEE2AAD">
      <w:pPr>
        <w:adjustRightInd w:val="0"/>
        <w:snapToGrid w:val="0"/>
        <w:spacing w:line="340" w:lineRule="atLeast"/>
        <w:ind w:firstLine="422" w:firstLineChars="200"/>
        <w:rPr>
          <w:snapToGrid w:val="0"/>
          <w:color w:val="auto"/>
          <w:szCs w:val="21"/>
        </w:rPr>
      </w:pPr>
      <w:r>
        <w:rPr>
          <w:b/>
          <w:snapToGrid w:val="0"/>
          <w:color w:val="auto"/>
          <w:szCs w:val="21"/>
        </w:rPr>
        <w:t>c)</w:t>
      </w:r>
      <w:r>
        <w:rPr>
          <w:snapToGrid w:val="0"/>
          <w:color w:val="auto"/>
          <w:szCs w:val="21"/>
        </w:rPr>
        <w:t xml:space="preserve">  </w:t>
      </w:r>
      <w:r>
        <w:rPr>
          <w:rFonts w:hAnsi="宋体"/>
          <w:snapToGrid w:val="0"/>
          <w:color w:val="auto"/>
          <w:szCs w:val="21"/>
        </w:rPr>
        <w:t>基础边缘以外的处理宽度，应符合本文件第</w:t>
      </w:r>
      <w:r>
        <w:rPr>
          <w:snapToGrid w:val="0"/>
          <w:color w:val="auto"/>
          <w:spacing w:val="-2"/>
          <w:szCs w:val="21"/>
        </w:rPr>
        <w:t>14.4.3</w:t>
      </w:r>
      <w:r>
        <w:rPr>
          <w:rFonts w:hAnsi="宋体"/>
          <w:snapToGrid w:val="0"/>
          <w:color w:val="auto"/>
          <w:szCs w:val="21"/>
        </w:rPr>
        <w:t>条第</w:t>
      </w:r>
      <w:r>
        <w:rPr>
          <w:snapToGrid w:val="0"/>
          <w:color w:val="auto"/>
          <w:spacing w:val="-2"/>
          <w:szCs w:val="21"/>
        </w:rPr>
        <w:t>e)</w:t>
      </w:r>
      <w:r>
        <w:rPr>
          <w:rFonts w:hAnsi="宋体"/>
          <w:snapToGrid w:val="0"/>
          <w:color w:val="auto"/>
          <w:szCs w:val="21"/>
        </w:rPr>
        <w:t>款的要求。</w:t>
      </w:r>
    </w:p>
    <w:p w14:paraId="73357566">
      <w:pPr>
        <w:adjustRightInd w:val="0"/>
        <w:snapToGrid w:val="0"/>
        <w:spacing w:line="340" w:lineRule="atLeast"/>
        <w:ind w:firstLine="422" w:firstLineChars="200"/>
        <w:rPr>
          <w:b/>
          <w:snapToGrid w:val="0"/>
          <w:color w:val="auto"/>
          <w:szCs w:val="21"/>
        </w:rPr>
      </w:pPr>
      <w:r>
        <w:rPr>
          <w:b/>
          <w:snapToGrid w:val="0"/>
          <w:color w:val="auto"/>
          <w:szCs w:val="21"/>
        </w:rPr>
        <w:t xml:space="preserve">d)  </w:t>
      </w:r>
      <w:r>
        <w:rPr>
          <w:rFonts w:hAnsi="宋体"/>
          <w:snapToGrid w:val="0"/>
          <w:color w:val="auto"/>
          <w:szCs w:val="21"/>
        </w:rPr>
        <w:t>采取减小液化震陷的其他方法，如增厚上覆非液化土层的厚度和改善周边的排水条件等。</w:t>
      </w:r>
    </w:p>
    <w:p w14:paraId="76DDB513">
      <w:pPr>
        <w:adjustRightInd w:val="0"/>
        <w:snapToGrid w:val="0"/>
        <w:spacing w:line="340" w:lineRule="atLeast"/>
        <w:rPr>
          <w:snapToGrid w:val="0"/>
          <w:color w:val="auto"/>
          <w:szCs w:val="21"/>
        </w:rPr>
      </w:pPr>
      <w:r>
        <w:rPr>
          <w:b/>
          <w:snapToGrid w:val="0"/>
          <w:color w:val="auto"/>
          <w:szCs w:val="21"/>
        </w:rPr>
        <w:t>14.4.5</w:t>
      </w:r>
      <w:r>
        <w:rPr>
          <w:b/>
          <w:bCs/>
          <w:snapToGrid w:val="0"/>
          <w:color w:val="auto"/>
          <w:szCs w:val="21"/>
        </w:rPr>
        <w:t xml:space="preserve">  </w:t>
      </w:r>
      <w:r>
        <w:rPr>
          <w:rFonts w:hAnsi="宋体"/>
          <w:snapToGrid w:val="0"/>
          <w:color w:val="auto"/>
          <w:szCs w:val="21"/>
        </w:rPr>
        <w:t>减轻液化影响的基础和上部结构处理，可综合采用下列措施：</w:t>
      </w:r>
    </w:p>
    <w:p w14:paraId="1FDAFB78">
      <w:pPr>
        <w:adjustRightInd w:val="0"/>
        <w:snapToGrid w:val="0"/>
        <w:spacing w:line="340" w:lineRule="atLeast"/>
        <w:ind w:firstLine="422" w:firstLineChars="200"/>
        <w:rPr>
          <w:snapToGrid w:val="0"/>
          <w:color w:val="auto"/>
          <w:szCs w:val="21"/>
        </w:rPr>
      </w:pPr>
      <w:r>
        <w:rPr>
          <w:b/>
          <w:snapToGrid w:val="0"/>
          <w:color w:val="auto"/>
          <w:szCs w:val="21"/>
        </w:rPr>
        <w:t>a)</w:t>
      </w:r>
      <w:r>
        <w:rPr>
          <w:snapToGrid w:val="0"/>
          <w:color w:val="auto"/>
          <w:szCs w:val="21"/>
        </w:rPr>
        <w:t xml:space="preserve">  </w:t>
      </w:r>
      <w:r>
        <w:rPr>
          <w:rFonts w:hAnsi="宋体"/>
          <w:snapToGrid w:val="0"/>
          <w:color w:val="auto"/>
          <w:szCs w:val="21"/>
        </w:rPr>
        <w:t>选择合适的基础埋置深度。</w:t>
      </w:r>
    </w:p>
    <w:p w14:paraId="13165F5D">
      <w:pPr>
        <w:adjustRightInd w:val="0"/>
        <w:snapToGrid w:val="0"/>
        <w:spacing w:line="340" w:lineRule="atLeast"/>
        <w:ind w:firstLine="422" w:firstLineChars="200"/>
        <w:rPr>
          <w:snapToGrid w:val="0"/>
          <w:color w:val="auto"/>
          <w:szCs w:val="21"/>
        </w:rPr>
      </w:pPr>
      <w:r>
        <w:rPr>
          <w:b/>
          <w:snapToGrid w:val="0"/>
          <w:color w:val="auto"/>
          <w:szCs w:val="21"/>
        </w:rPr>
        <w:t>b)</w:t>
      </w:r>
      <w:r>
        <w:rPr>
          <w:snapToGrid w:val="0"/>
          <w:color w:val="auto"/>
          <w:szCs w:val="21"/>
        </w:rPr>
        <w:t xml:space="preserve">  </w:t>
      </w:r>
      <w:r>
        <w:rPr>
          <w:rFonts w:hAnsi="宋体"/>
          <w:snapToGrid w:val="0"/>
          <w:color w:val="auto"/>
          <w:szCs w:val="21"/>
        </w:rPr>
        <w:t>调整基础底面积，减少基础偏心。</w:t>
      </w:r>
    </w:p>
    <w:p w14:paraId="5D341B89">
      <w:pPr>
        <w:adjustRightInd w:val="0"/>
        <w:snapToGrid w:val="0"/>
        <w:spacing w:line="340" w:lineRule="atLeast"/>
        <w:ind w:firstLine="422" w:firstLineChars="200"/>
        <w:rPr>
          <w:snapToGrid w:val="0"/>
          <w:color w:val="auto"/>
          <w:szCs w:val="21"/>
        </w:rPr>
      </w:pPr>
      <w:r>
        <w:rPr>
          <w:b/>
          <w:snapToGrid w:val="0"/>
          <w:color w:val="auto"/>
          <w:szCs w:val="21"/>
        </w:rPr>
        <w:t>c)</w:t>
      </w:r>
      <w:r>
        <w:rPr>
          <w:snapToGrid w:val="0"/>
          <w:color w:val="auto"/>
          <w:szCs w:val="21"/>
        </w:rPr>
        <w:t xml:space="preserve">  </w:t>
      </w:r>
      <w:r>
        <w:rPr>
          <w:rFonts w:hAnsi="宋体"/>
          <w:snapToGrid w:val="0"/>
          <w:color w:val="auto"/>
          <w:szCs w:val="21"/>
        </w:rPr>
        <w:t>加强基础的整体性和刚度，如采用箱基、筏基或钢筋混凝土交叉条形基础，加设基础圈梁等。</w:t>
      </w:r>
    </w:p>
    <w:p w14:paraId="5CC2441A">
      <w:pPr>
        <w:adjustRightInd w:val="0"/>
        <w:snapToGrid w:val="0"/>
        <w:spacing w:line="340" w:lineRule="atLeast"/>
        <w:ind w:firstLine="422" w:firstLineChars="200"/>
        <w:rPr>
          <w:snapToGrid w:val="0"/>
          <w:color w:val="auto"/>
          <w:szCs w:val="21"/>
        </w:rPr>
      </w:pPr>
      <w:r>
        <w:rPr>
          <w:b/>
          <w:snapToGrid w:val="0"/>
          <w:color w:val="auto"/>
          <w:szCs w:val="21"/>
        </w:rPr>
        <w:t>d)</w:t>
      </w:r>
      <w:r>
        <w:rPr>
          <w:snapToGrid w:val="0"/>
          <w:color w:val="auto"/>
          <w:szCs w:val="21"/>
        </w:rPr>
        <w:t xml:space="preserve">  </w:t>
      </w:r>
      <w:r>
        <w:rPr>
          <w:rFonts w:hAnsi="宋体"/>
          <w:snapToGrid w:val="0"/>
          <w:color w:val="auto"/>
          <w:szCs w:val="21"/>
        </w:rPr>
        <w:t>减轻荷载，增强上部结构的整体刚度和均匀对称性，合理设置沉降缝，避免采用对不均匀沉降敏感的结构形式等。</w:t>
      </w:r>
    </w:p>
    <w:p w14:paraId="6449B457">
      <w:pPr>
        <w:adjustRightInd w:val="0"/>
        <w:snapToGrid w:val="0"/>
        <w:spacing w:line="340" w:lineRule="atLeast"/>
        <w:ind w:firstLine="422" w:firstLineChars="200"/>
        <w:rPr>
          <w:snapToGrid w:val="0"/>
          <w:color w:val="auto"/>
          <w:szCs w:val="21"/>
        </w:rPr>
      </w:pPr>
      <w:r>
        <w:rPr>
          <w:b/>
          <w:snapToGrid w:val="0"/>
          <w:color w:val="auto"/>
          <w:szCs w:val="21"/>
        </w:rPr>
        <w:t xml:space="preserve">e) </w:t>
      </w:r>
      <w:r>
        <w:rPr>
          <w:snapToGrid w:val="0"/>
          <w:color w:val="auto"/>
          <w:szCs w:val="21"/>
        </w:rPr>
        <w:t xml:space="preserve"> </w:t>
      </w:r>
      <w:r>
        <w:rPr>
          <w:rFonts w:hAnsi="宋体"/>
          <w:snapToGrid w:val="0"/>
          <w:color w:val="auto"/>
          <w:szCs w:val="21"/>
        </w:rPr>
        <w:t>管道穿过建筑处应预留足够尺寸的孔洞或采用柔性接头等。</w:t>
      </w:r>
    </w:p>
    <w:p w14:paraId="3E0C9EA1">
      <w:pPr>
        <w:adjustRightInd w:val="0"/>
        <w:snapToGrid w:val="0"/>
        <w:spacing w:line="340" w:lineRule="atLeast"/>
        <w:rPr>
          <w:snapToGrid w:val="0"/>
          <w:color w:val="auto"/>
          <w:szCs w:val="21"/>
        </w:rPr>
      </w:pPr>
      <w:r>
        <w:rPr>
          <w:b/>
          <w:snapToGrid w:val="0"/>
          <w:color w:val="auto"/>
          <w:szCs w:val="21"/>
        </w:rPr>
        <w:t>14.4.6</w:t>
      </w:r>
      <w:r>
        <w:rPr>
          <w:b/>
          <w:bCs/>
          <w:snapToGrid w:val="0"/>
          <w:color w:val="auto"/>
          <w:szCs w:val="21"/>
        </w:rPr>
        <w:t xml:space="preserve">  </w:t>
      </w:r>
      <w:r>
        <w:rPr>
          <w:rFonts w:hAnsi="宋体"/>
          <w:snapToGrid w:val="0"/>
          <w:color w:val="auto"/>
          <w:szCs w:val="21"/>
        </w:rPr>
        <w:t>当钢筋混凝土房屋的框架独立柱基有下列情况之一时，宜沿两个主轴方向设置基础系梁：</w:t>
      </w:r>
    </w:p>
    <w:p w14:paraId="21BD3761">
      <w:pPr>
        <w:adjustRightInd w:val="0"/>
        <w:snapToGrid w:val="0"/>
        <w:spacing w:line="340" w:lineRule="atLeast"/>
        <w:ind w:firstLine="422" w:firstLineChars="200"/>
        <w:rPr>
          <w:snapToGrid w:val="0"/>
          <w:color w:val="auto"/>
          <w:szCs w:val="21"/>
        </w:rPr>
      </w:pPr>
      <w:r>
        <w:rPr>
          <w:b/>
          <w:snapToGrid w:val="0"/>
          <w:color w:val="auto"/>
          <w:szCs w:val="21"/>
        </w:rPr>
        <w:t>a)</w:t>
      </w:r>
      <w:r>
        <w:rPr>
          <w:snapToGrid w:val="0"/>
          <w:color w:val="auto"/>
          <w:szCs w:val="21"/>
        </w:rPr>
        <w:t xml:space="preserve">  </w:t>
      </w:r>
      <w:r>
        <w:rPr>
          <w:rFonts w:hAnsi="宋体"/>
          <w:snapToGrid w:val="0"/>
          <w:color w:val="auto"/>
          <w:szCs w:val="21"/>
        </w:rPr>
        <w:t>一级框架和Ⅳ类场地的二级框架；</w:t>
      </w:r>
    </w:p>
    <w:p w14:paraId="7B4230CA">
      <w:pPr>
        <w:adjustRightInd w:val="0"/>
        <w:snapToGrid w:val="0"/>
        <w:spacing w:line="340" w:lineRule="atLeast"/>
        <w:ind w:firstLine="422" w:firstLineChars="200"/>
        <w:rPr>
          <w:snapToGrid w:val="0"/>
          <w:color w:val="auto"/>
          <w:szCs w:val="21"/>
        </w:rPr>
      </w:pPr>
      <w:r>
        <w:rPr>
          <w:b/>
          <w:snapToGrid w:val="0"/>
          <w:color w:val="auto"/>
          <w:szCs w:val="21"/>
        </w:rPr>
        <w:t>b)</w:t>
      </w:r>
      <w:r>
        <w:rPr>
          <w:snapToGrid w:val="0"/>
          <w:color w:val="auto"/>
          <w:szCs w:val="21"/>
        </w:rPr>
        <w:t xml:space="preserve">  </w:t>
      </w:r>
      <w:r>
        <w:rPr>
          <w:rFonts w:hAnsi="宋体"/>
          <w:snapToGrid w:val="0"/>
          <w:color w:val="auto"/>
          <w:szCs w:val="21"/>
        </w:rPr>
        <w:t>各柱基础底面在重力荷载代表值作用下的压应力差别较大；</w:t>
      </w:r>
    </w:p>
    <w:p w14:paraId="56A1C1A2">
      <w:pPr>
        <w:adjustRightInd w:val="0"/>
        <w:snapToGrid w:val="0"/>
        <w:spacing w:line="340" w:lineRule="atLeast"/>
        <w:ind w:firstLine="422" w:firstLineChars="200"/>
        <w:rPr>
          <w:snapToGrid w:val="0"/>
          <w:color w:val="auto"/>
          <w:szCs w:val="21"/>
        </w:rPr>
      </w:pPr>
      <w:r>
        <w:rPr>
          <w:b/>
          <w:snapToGrid w:val="0"/>
          <w:color w:val="auto"/>
          <w:szCs w:val="21"/>
        </w:rPr>
        <w:t>c)</w:t>
      </w:r>
      <w:r>
        <w:rPr>
          <w:snapToGrid w:val="0"/>
          <w:color w:val="auto"/>
          <w:szCs w:val="21"/>
        </w:rPr>
        <w:t xml:space="preserve">  </w:t>
      </w:r>
      <w:r>
        <w:rPr>
          <w:rFonts w:hAnsi="宋体"/>
          <w:snapToGrid w:val="0"/>
          <w:color w:val="auto"/>
          <w:szCs w:val="21"/>
        </w:rPr>
        <w:t>基础埋置较深，或各基础埋置深度差别较大；</w:t>
      </w:r>
    </w:p>
    <w:p w14:paraId="7AD6A33F">
      <w:pPr>
        <w:adjustRightInd w:val="0"/>
        <w:snapToGrid w:val="0"/>
        <w:spacing w:line="340" w:lineRule="atLeast"/>
        <w:ind w:firstLine="422" w:firstLineChars="200"/>
        <w:rPr>
          <w:snapToGrid w:val="0"/>
          <w:color w:val="auto"/>
          <w:szCs w:val="21"/>
        </w:rPr>
      </w:pPr>
      <w:r>
        <w:rPr>
          <w:b/>
          <w:snapToGrid w:val="0"/>
          <w:color w:val="auto"/>
          <w:szCs w:val="21"/>
        </w:rPr>
        <w:t>d)</w:t>
      </w:r>
      <w:r>
        <w:rPr>
          <w:snapToGrid w:val="0"/>
          <w:color w:val="auto"/>
          <w:szCs w:val="21"/>
        </w:rPr>
        <w:t xml:space="preserve">  </w:t>
      </w:r>
      <w:r>
        <w:rPr>
          <w:rFonts w:hAnsi="宋体"/>
          <w:snapToGrid w:val="0"/>
          <w:color w:val="auto"/>
          <w:szCs w:val="21"/>
        </w:rPr>
        <w:t>地基主要受力层范围内存在软弱黏性土层、液化土层和严重不均匀土层；</w:t>
      </w:r>
    </w:p>
    <w:p w14:paraId="693BE9F9">
      <w:pPr>
        <w:snapToGrid w:val="0"/>
        <w:spacing w:line="340" w:lineRule="atLeast"/>
        <w:ind w:firstLine="413" w:firstLineChars="196"/>
        <w:rPr>
          <w:rFonts w:hAnsi="宋体"/>
          <w:snapToGrid w:val="0"/>
          <w:color w:val="auto"/>
          <w:szCs w:val="21"/>
        </w:rPr>
      </w:pPr>
      <w:r>
        <w:rPr>
          <w:b/>
          <w:snapToGrid w:val="0"/>
          <w:color w:val="auto"/>
          <w:szCs w:val="21"/>
        </w:rPr>
        <w:t>e)</w:t>
      </w:r>
      <w:r>
        <w:rPr>
          <w:snapToGrid w:val="0"/>
          <w:color w:val="auto"/>
          <w:szCs w:val="21"/>
        </w:rPr>
        <w:t xml:space="preserve">  </w:t>
      </w:r>
      <w:r>
        <w:rPr>
          <w:rFonts w:hAnsi="宋体"/>
          <w:snapToGrid w:val="0"/>
          <w:color w:val="auto"/>
          <w:szCs w:val="21"/>
        </w:rPr>
        <w:t>桩基承台之间。</w:t>
      </w:r>
    </w:p>
    <w:p w14:paraId="52770F5D">
      <w:pPr>
        <w:snapToGrid w:val="0"/>
        <w:spacing w:line="340" w:lineRule="atLeast"/>
        <w:ind w:firstLine="411" w:firstLineChars="196"/>
        <w:rPr>
          <w:rFonts w:hint="eastAsia"/>
          <w:color w:val="auto"/>
          <w:szCs w:val="21"/>
        </w:rPr>
      </w:pPr>
    </w:p>
    <w:p w14:paraId="3808243B">
      <w:pPr>
        <w:numPr>
          <w:ilvl w:val="0"/>
          <w:numId w:val="1"/>
        </w:numPr>
        <w:adjustRightInd w:val="0"/>
        <w:snapToGrid w:val="0"/>
        <w:outlineLvl w:val="0"/>
        <w:rPr>
          <w:rFonts w:eastAsia="黑体"/>
          <w:b/>
          <w:snapToGrid w:val="0"/>
          <w:color w:val="auto"/>
          <w:sz w:val="24"/>
        </w:rPr>
      </w:pPr>
      <w:bookmarkStart w:id="83" w:name="_Toc199943626"/>
      <w:r>
        <w:rPr>
          <w:rFonts w:eastAsia="黑体"/>
          <w:b/>
          <w:bCs/>
          <w:color w:val="auto"/>
          <w:sz w:val="24"/>
        </w:rPr>
        <w:t>地基基础施工</w:t>
      </w:r>
      <w:bookmarkEnd w:id="83"/>
    </w:p>
    <w:p w14:paraId="77063ABB">
      <w:pPr>
        <w:adjustRightInd w:val="0"/>
        <w:snapToGrid w:val="0"/>
        <w:spacing w:line="340" w:lineRule="exact"/>
        <w:rPr>
          <w:color w:val="auto"/>
          <w:sz w:val="28"/>
          <w:szCs w:val="28"/>
        </w:rPr>
      </w:pPr>
    </w:p>
    <w:p w14:paraId="35E8847A">
      <w:pPr>
        <w:adjustRightInd w:val="0"/>
        <w:snapToGrid w:val="0"/>
        <w:spacing w:line="340" w:lineRule="exact"/>
        <w:outlineLvl w:val="1"/>
        <w:rPr>
          <w:rFonts w:eastAsia="黑体"/>
          <w:b/>
          <w:bCs/>
          <w:color w:val="auto"/>
          <w:szCs w:val="21"/>
        </w:rPr>
      </w:pPr>
      <w:bookmarkStart w:id="84" w:name="_Toc199943627"/>
      <w:r>
        <w:rPr>
          <w:rFonts w:eastAsia="黑体"/>
          <w:b/>
          <w:bCs/>
          <w:color w:val="auto"/>
          <w:szCs w:val="21"/>
        </w:rPr>
        <w:t>15.1  一般规定</w:t>
      </w:r>
      <w:bookmarkEnd w:id="84"/>
    </w:p>
    <w:p w14:paraId="76449F3E">
      <w:pPr>
        <w:adjustRightInd w:val="0"/>
        <w:snapToGrid w:val="0"/>
        <w:spacing w:line="340" w:lineRule="atLeast"/>
        <w:rPr>
          <w:color w:val="auto"/>
          <w:szCs w:val="21"/>
        </w:rPr>
      </w:pPr>
    </w:p>
    <w:p w14:paraId="53A50C25">
      <w:pPr>
        <w:adjustRightInd w:val="0"/>
        <w:snapToGrid w:val="0"/>
        <w:spacing w:line="340" w:lineRule="atLeast"/>
        <w:rPr>
          <w:color w:val="auto"/>
          <w:szCs w:val="21"/>
        </w:rPr>
      </w:pPr>
      <w:r>
        <w:rPr>
          <w:b/>
          <w:bCs/>
          <w:color w:val="auto"/>
          <w:szCs w:val="21"/>
        </w:rPr>
        <w:t>15.1.1</w:t>
      </w:r>
      <w:r>
        <w:rPr>
          <w:color w:val="auto"/>
          <w:szCs w:val="21"/>
        </w:rPr>
        <w:t xml:space="preserve">  </w:t>
      </w:r>
      <w:r>
        <w:rPr>
          <w:rFonts w:hAnsi="宋体"/>
          <w:color w:val="auto"/>
          <w:szCs w:val="21"/>
        </w:rPr>
        <w:t>地基基础施工之前，应具备下列资料：</w:t>
      </w:r>
    </w:p>
    <w:p w14:paraId="59412BFD">
      <w:pPr>
        <w:adjustRightInd w:val="0"/>
        <w:snapToGrid w:val="0"/>
        <w:spacing w:line="340" w:lineRule="atLeast"/>
        <w:ind w:firstLine="422" w:firstLineChars="200"/>
        <w:rPr>
          <w:color w:val="auto"/>
          <w:szCs w:val="21"/>
        </w:rPr>
      </w:pPr>
      <w:r>
        <w:rPr>
          <w:b/>
          <w:bCs/>
          <w:color w:val="auto"/>
          <w:szCs w:val="21"/>
        </w:rPr>
        <w:t>a)</w:t>
      </w:r>
      <w:r>
        <w:rPr>
          <w:b/>
          <w:color w:val="auto"/>
          <w:szCs w:val="21"/>
        </w:rPr>
        <w:t xml:space="preserve"> </w:t>
      </w:r>
      <w:r>
        <w:rPr>
          <w:color w:val="auto"/>
          <w:szCs w:val="21"/>
        </w:rPr>
        <w:t xml:space="preserve"> </w:t>
      </w:r>
      <w:r>
        <w:rPr>
          <w:rFonts w:hAnsi="宋体"/>
          <w:color w:val="auto"/>
          <w:szCs w:val="21"/>
        </w:rPr>
        <w:t>场地的岩土工程勘察资料、环境资料及地下障碍物的分布情况；</w:t>
      </w:r>
    </w:p>
    <w:p w14:paraId="7E1FAC45">
      <w:pPr>
        <w:adjustRightInd w:val="0"/>
        <w:snapToGrid w:val="0"/>
        <w:spacing w:line="340" w:lineRule="atLeast"/>
        <w:ind w:firstLine="422" w:firstLineChars="200"/>
        <w:rPr>
          <w:color w:val="auto"/>
          <w:szCs w:val="21"/>
        </w:rPr>
      </w:pPr>
      <w:r>
        <w:rPr>
          <w:b/>
          <w:bCs/>
          <w:color w:val="auto"/>
          <w:szCs w:val="21"/>
        </w:rPr>
        <w:t>b)</w:t>
      </w:r>
      <w:r>
        <w:rPr>
          <w:b/>
          <w:color w:val="auto"/>
          <w:szCs w:val="21"/>
        </w:rPr>
        <w:t xml:space="preserve"> </w:t>
      </w:r>
      <w:r>
        <w:rPr>
          <w:color w:val="auto"/>
          <w:szCs w:val="21"/>
        </w:rPr>
        <w:t xml:space="preserve"> </w:t>
      </w:r>
      <w:r>
        <w:rPr>
          <w:rFonts w:hAnsi="宋体"/>
          <w:color w:val="auto"/>
          <w:szCs w:val="21"/>
        </w:rPr>
        <w:t>基础设计图纸、设计要求及须达到的标准、检验手段；</w:t>
      </w:r>
    </w:p>
    <w:p w14:paraId="0554EB54">
      <w:pPr>
        <w:adjustRightInd w:val="0"/>
        <w:snapToGrid w:val="0"/>
        <w:spacing w:line="340" w:lineRule="atLeast"/>
        <w:ind w:firstLine="422" w:firstLineChars="200"/>
        <w:rPr>
          <w:color w:val="auto"/>
          <w:szCs w:val="21"/>
        </w:rPr>
      </w:pPr>
      <w:r>
        <w:rPr>
          <w:b/>
          <w:bCs/>
          <w:color w:val="auto"/>
          <w:szCs w:val="21"/>
        </w:rPr>
        <w:t>c)</w:t>
      </w:r>
      <w:r>
        <w:rPr>
          <w:b/>
          <w:color w:val="auto"/>
          <w:szCs w:val="21"/>
        </w:rPr>
        <w:t xml:space="preserve"> </w:t>
      </w:r>
      <w:r>
        <w:rPr>
          <w:color w:val="auto"/>
          <w:szCs w:val="21"/>
        </w:rPr>
        <w:t xml:space="preserve"> </w:t>
      </w:r>
      <w:r>
        <w:rPr>
          <w:rFonts w:hAnsi="宋体"/>
          <w:color w:val="auto"/>
          <w:szCs w:val="21"/>
        </w:rPr>
        <w:t>建筑物和地下设施类型、布置；</w:t>
      </w:r>
    </w:p>
    <w:p w14:paraId="7865DFAE">
      <w:pPr>
        <w:adjustRightInd w:val="0"/>
        <w:snapToGrid w:val="0"/>
        <w:spacing w:line="340" w:lineRule="atLeast"/>
        <w:ind w:firstLine="422" w:firstLineChars="200"/>
        <w:rPr>
          <w:color w:val="auto"/>
          <w:szCs w:val="21"/>
        </w:rPr>
      </w:pPr>
      <w:r>
        <w:rPr>
          <w:b/>
          <w:bCs/>
          <w:color w:val="auto"/>
          <w:szCs w:val="21"/>
        </w:rPr>
        <w:t>d)</w:t>
      </w:r>
      <w:r>
        <w:rPr>
          <w:b/>
          <w:color w:val="auto"/>
          <w:szCs w:val="21"/>
        </w:rPr>
        <w:t xml:space="preserve"> </w:t>
      </w:r>
      <w:r>
        <w:rPr>
          <w:color w:val="auto"/>
          <w:szCs w:val="21"/>
        </w:rPr>
        <w:t xml:space="preserve"> </w:t>
      </w:r>
      <w:r>
        <w:rPr>
          <w:rFonts w:hAnsi="宋体"/>
          <w:color w:val="auto"/>
          <w:szCs w:val="21"/>
        </w:rPr>
        <w:t>施工组织设计或施工方案；</w:t>
      </w:r>
    </w:p>
    <w:p w14:paraId="6E4FF71E">
      <w:pPr>
        <w:adjustRightInd w:val="0"/>
        <w:snapToGrid w:val="0"/>
        <w:spacing w:line="340" w:lineRule="atLeast"/>
        <w:ind w:firstLine="422" w:firstLineChars="200"/>
        <w:rPr>
          <w:color w:val="auto"/>
          <w:szCs w:val="21"/>
        </w:rPr>
      </w:pPr>
      <w:r>
        <w:rPr>
          <w:b/>
          <w:bCs/>
          <w:color w:val="auto"/>
          <w:szCs w:val="21"/>
        </w:rPr>
        <w:t>e)</w:t>
      </w:r>
      <w:r>
        <w:rPr>
          <w:b/>
          <w:color w:val="auto"/>
          <w:szCs w:val="21"/>
        </w:rPr>
        <w:t xml:space="preserve"> </w:t>
      </w:r>
      <w:r>
        <w:rPr>
          <w:color w:val="auto"/>
          <w:szCs w:val="21"/>
        </w:rPr>
        <w:t xml:space="preserve"> </w:t>
      </w:r>
      <w:r>
        <w:rPr>
          <w:rFonts w:hAnsi="宋体"/>
          <w:color w:val="auto"/>
          <w:szCs w:val="21"/>
        </w:rPr>
        <w:t>相关的试验资料；</w:t>
      </w:r>
    </w:p>
    <w:p w14:paraId="00575BAD">
      <w:pPr>
        <w:adjustRightInd w:val="0"/>
        <w:snapToGrid w:val="0"/>
        <w:spacing w:line="340" w:lineRule="atLeast"/>
        <w:ind w:firstLine="422" w:firstLineChars="200"/>
        <w:rPr>
          <w:color w:val="auto"/>
          <w:szCs w:val="21"/>
        </w:rPr>
      </w:pPr>
      <w:r>
        <w:rPr>
          <w:b/>
          <w:bCs/>
          <w:color w:val="auto"/>
          <w:szCs w:val="21"/>
        </w:rPr>
        <w:t>f)</w:t>
      </w:r>
      <w:r>
        <w:rPr>
          <w:b/>
          <w:color w:val="auto"/>
          <w:szCs w:val="21"/>
        </w:rPr>
        <w:t xml:space="preserve"> </w:t>
      </w:r>
      <w:r>
        <w:rPr>
          <w:color w:val="auto"/>
          <w:szCs w:val="21"/>
        </w:rPr>
        <w:t xml:space="preserve"> </w:t>
      </w:r>
      <w:r>
        <w:rPr>
          <w:rFonts w:hAnsi="宋体"/>
          <w:color w:val="auto"/>
          <w:szCs w:val="21"/>
        </w:rPr>
        <w:t>在防汛控制区内的工程，汛期施工应符合水务部门的要求。</w:t>
      </w:r>
    </w:p>
    <w:p w14:paraId="4B3DAB91">
      <w:pPr>
        <w:adjustRightInd w:val="0"/>
        <w:snapToGrid w:val="0"/>
        <w:spacing w:line="340" w:lineRule="atLeast"/>
        <w:rPr>
          <w:color w:val="auto"/>
          <w:szCs w:val="21"/>
        </w:rPr>
      </w:pPr>
      <w:r>
        <w:rPr>
          <w:b/>
          <w:bCs/>
          <w:color w:val="auto"/>
          <w:szCs w:val="21"/>
        </w:rPr>
        <w:t>15.1.2</w:t>
      </w:r>
      <w:r>
        <w:rPr>
          <w:color w:val="auto"/>
          <w:szCs w:val="21"/>
        </w:rPr>
        <w:t xml:space="preserve">  </w:t>
      </w:r>
      <w:r>
        <w:rPr>
          <w:rFonts w:hAnsi="宋体"/>
          <w:color w:val="auto"/>
          <w:szCs w:val="21"/>
        </w:rPr>
        <w:t>采用天然地基的基础，土方开挖完毕后，应经勘察、设计、监理、施工等方面共同进行验槽，合格后方可进行基础施工。验槽时应检验核对基槽地质状况与岩土工程勘察资料所提供的状况是否一致，并及时处理发现的问题。</w:t>
      </w:r>
    </w:p>
    <w:p w14:paraId="05F3779F">
      <w:pPr>
        <w:adjustRightInd w:val="0"/>
        <w:snapToGrid w:val="0"/>
        <w:spacing w:line="340" w:lineRule="atLeast"/>
        <w:ind w:firstLine="420" w:firstLineChars="200"/>
        <w:rPr>
          <w:color w:val="auto"/>
          <w:szCs w:val="21"/>
        </w:rPr>
      </w:pPr>
      <w:r>
        <w:rPr>
          <w:rFonts w:hAnsi="宋体"/>
          <w:color w:val="auto"/>
          <w:szCs w:val="21"/>
        </w:rPr>
        <w:t>桩基承台及其他地基的基础，应对桩或地基进行检测验收并符合设计要求后，方可进行基础施工。</w:t>
      </w:r>
    </w:p>
    <w:p w14:paraId="41467AE7">
      <w:pPr>
        <w:adjustRightInd w:val="0"/>
        <w:snapToGrid w:val="0"/>
        <w:spacing w:line="340" w:lineRule="atLeast"/>
        <w:rPr>
          <w:color w:val="auto"/>
          <w:szCs w:val="21"/>
        </w:rPr>
      </w:pPr>
      <w:r>
        <w:rPr>
          <w:b/>
          <w:bCs/>
          <w:color w:val="auto"/>
          <w:szCs w:val="21"/>
        </w:rPr>
        <w:t>15.1.3</w:t>
      </w:r>
      <w:r>
        <w:rPr>
          <w:color w:val="auto"/>
          <w:szCs w:val="21"/>
        </w:rPr>
        <w:t xml:space="preserve">  </w:t>
      </w:r>
      <w:r>
        <w:rPr>
          <w:rFonts w:hAnsi="宋体"/>
          <w:color w:val="auto"/>
          <w:szCs w:val="21"/>
        </w:rPr>
        <w:t>建筑物施工期间，应及时分析沉降观测数据，如发现沉降值或沉降差异值</w:t>
      </w:r>
      <w:r>
        <w:rPr>
          <w:rFonts w:hint="eastAsia" w:hAnsi="宋体"/>
          <w:color w:val="auto"/>
          <w:szCs w:val="21"/>
        </w:rPr>
        <w:t>异常</w:t>
      </w:r>
      <w:r>
        <w:rPr>
          <w:rFonts w:hAnsi="宋体"/>
          <w:color w:val="auto"/>
          <w:szCs w:val="21"/>
        </w:rPr>
        <w:t>时，应分析原因，采取措施后方可继续施工。</w:t>
      </w:r>
    </w:p>
    <w:p w14:paraId="0D99E2A6">
      <w:pPr>
        <w:adjustRightInd w:val="0"/>
        <w:snapToGrid w:val="0"/>
        <w:spacing w:line="340" w:lineRule="atLeast"/>
        <w:rPr>
          <w:color w:val="auto"/>
          <w:szCs w:val="21"/>
        </w:rPr>
      </w:pPr>
      <w:r>
        <w:rPr>
          <w:b/>
          <w:bCs/>
          <w:color w:val="auto"/>
          <w:szCs w:val="21"/>
        </w:rPr>
        <w:t>15.1.4</w:t>
      </w:r>
      <w:r>
        <w:rPr>
          <w:color w:val="auto"/>
          <w:szCs w:val="21"/>
        </w:rPr>
        <w:t xml:space="preserve">  </w:t>
      </w:r>
      <w:r>
        <w:rPr>
          <w:rFonts w:hAnsi="宋体"/>
          <w:color w:val="auto"/>
          <w:szCs w:val="21"/>
        </w:rPr>
        <w:t>地基与基础工程施工前，应调查清楚场区</w:t>
      </w:r>
      <w:r>
        <w:rPr>
          <w:rFonts w:hint="eastAsia" w:hAnsi="宋体"/>
          <w:color w:val="auto"/>
          <w:szCs w:val="21"/>
        </w:rPr>
        <w:t>地上及地下</w:t>
      </w:r>
      <w:r>
        <w:rPr>
          <w:rFonts w:hAnsi="宋体"/>
          <w:color w:val="auto"/>
          <w:szCs w:val="21"/>
        </w:rPr>
        <w:t>的环境，</w:t>
      </w:r>
      <w:r>
        <w:rPr>
          <w:rFonts w:hint="eastAsia" w:hAnsi="宋体"/>
          <w:color w:val="auto"/>
          <w:szCs w:val="21"/>
        </w:rPr>
        <w:t>必要时</w:t>
      </w:r>
      <w:r>
        <w:rPr>
          <w:rFonts w:hAnsi="宋体"/>
          <w:color w:val="auto"/>
          <w:szCs w:val="21"/>
        </w:rPr>
        <w:t>制定有针对性的施工保护措施。</w:t>
      </w:r>
    </w:p>
    <w:p w14:paraId="332FAE6C">
      <w:pPr>
        <w:adjustRightInd w:val="0"/>
        <w:snapToGrid w:val="0"/>
        <w:spacing w:line="340" w:lineRule="atLeast"/>
        <w:rPr>
          <w:rFonts w:hAnsi="宋体"/>
          <w:snapToGrid w:val="0"/>
          <w:color w:val="auto"/>
          <w:spacing w:val="-2"/>
          <w:szCs w:val="21"/>
        </w:rPr>
      </w:pPr>
      <w:r>
        <w:rPr>
          <w:b/>
          <w:bCs/>
          <w:color w:val="auto"/>
          <w:szCs w:val="21"/>
        </w:rPr>
        <w:t>15.1.5</w:t>
      </w:r>
      <w:r>
        <w:rPr>
          <w:rFonts w:eastAsia="黑体"/>
          <w:b/>
          <w:color w:val="auto"/>
          <w:szCs w:val="21"/>
        </w:rPr>
        <w:t xml:space="preserve">  </w:t>
      </w:r>
      <w:r>
        <w:rPr>
          <w:rFonts w:hAnsi="宋体"/>
          <w:snapToGrid w:val="0"/>
          <w:color w:val="auto"/>
          <w:spacing w:val="-2"/>
          <w:szCs w:val="21"/>
        </w:rPr>
        <w:t>对水下浇注混凝土的灌注桩，</w:t>
      </w:r>
      <w:r>
        <w:rPr>
          <w:rFonts w:hint="eastAsia" w:hAnsi="宋体"/>
          <w:snapToGrid w:val="0"/>
          <w:color w:val="auto"/>
          <w:spacing w:val="-2"/>
          <w:szCs w:val="21"/>
        </w:rPr>
        <w:t>钻孔达到设计深度，灌注混凝土前必须进行孔底沉渣厚度检测。孔底沉渣厚度检测不合格，不得灌注混凝土</w:t>
      </w:r>
      <w:r>
        <w:rPr>
          <w:rFonts w:hAnsi="宋体"/>
          <w:snapToGrid w:val="0"/>
          <w:color w:val="auto"/>
          <w:spacing w:val="-2"/>
          <w:szCs w:val="21"/>
        </w:rPr>
        <w:t>。</w:t>
      </w:r>
    </w:p>
    <w:p w14:paraId="411DA332">
      <w:pPr>
        <w:adjustRightInd w:val="0"/>
        <w:snapToGrid w:val="0"/>
        <w:spacing w:line="340" w:lineRule="atLeast"/>
        <w:rPr>
          <w:color w:val="auto"/>
          <w:szCs w:val="21"/>
        </w:rPr>
      </w:pPr>
      <w:r>
        <w:rPr>
          <w:b/>
          <w:bCs/>
          <w:color w:val="auto"/>
          <w:szCs w:val="21"/>
        </w:rPr>
        <w:t xml:space="preserve">15.1.6  </w:t>
      </w:r>
      <w:r>
        <w:rPr>
          <w:color w:val="auto"/>
          <w:szCs w:val="21"/>
        </w:rPr>
        <w:t>钻孔灌注桩应严格控制孔底沉渣的厚度</w:t>
      </w:r>
      <w:r>
        <w:rPr>
          <w:rFonts w:hint="eastAsia"/>
          <w:color w:val="auto"/>
          <w:szCs w:val="21"/>
        </w:rPr>
        <w:t>，</w:t>
      </w:r>
      <w:r>
        <w:rPr>
          <w:color w:val="auto"/>
          <w:szCs w:val="21"/>
        </w:rPr>
        <w:t>二次清孔应采用气举反循环清孔工艺。端承型桩沉渣厚度不应大于50mm，</w:t>
      </w:r>
      <w:r>
        <w:rPr>
          <w:rFonts w:hint="eastAsia"/>
          <w:color w:val="auto"/>
          <w:szCs w:val="21"/>
        </w:rPr>
        <w:t>摩擦型</w:t>
      </w:r>
      <w:r>
        <w:rPr>
          <w:color w:val="auto"/>
          <w:szCs w:val="21"/>
        </w:rPr>
        <w:t>桩不</w:t>
      </w:r>
      <w:r>
        <w:rPr>
          <w:rFonts w:hint="eastAsia"/>
          <w:color w:val="auto"/>
          <w:szCs w:val="21"/>
        </w:rPr>
        <w:t>应</w:t>
      </w:r>
      <w:r>
        <w:rPr>
          <w:color w:val="auto"/>
          <w:szCs w:val="21"/>
        </w:rPr>
        <w:t>大于100mm</w:t>
      </w:r>
      <w:r>
        <w:rPr>
          <w:rFonts w:hint="eastAsia"/>
          <w:color w:val="auto"/>
          <w:szCs w:val="21"/>
        </w:rPr>
        <w:t>，抗拔桩及不考虑桩端抗力的抗水平力桩不应大于200mm</w:t>
      </w:r>
      <w:r>
        <w:rPr>
          <w:color w:val="auto"/>
          <w:szCs w:val="21"/>
        </w:rPr>
        <w:t>。</w:t>
      </w:r>
    </w:p>
    <w:p w14:paraId="26B0D03A">
      <w:pPr>
        <w:adjustRightInd w:val="0"/>
        <w:snapToGrid w:val="0"/>
        <w:spacing w:line="340" w:lineRule="atLeast"/>
        <w:jc w:val="left"/>
        <w:rPr>
          <w:color w:val="auto"/>
        </w:rPr>
      </w:pPr>
      <w:r>
        <w:rPr>
          <w:rFonts w:eastAsia="黑体"/>
          <w:b/>
          <w:bCs/>
          <w:color w:val="auto"/>
          <w:szCs w:val="21"/>
        </w:rPr>
        <w:t>15.1.7</w:t>
      </w:r>
      <w:r>
        <w:rPr>
          <w:rFonts w:eastAsia="黑体"/>
          <w:b/>
          <w:color w:val="auto"/>
        </w:rPr>
        <w:t xml:space="preserve">  </w:t>
      </w:r>
      <w:r>
        <w:rPr>
          <w:rFonts w:hAnsi="宋体"/>
          <w:snapToGrid w:val="0"/>
          <w:color w:val="auto"/>
          <w:spacing w:val="-2"/>
          <w:szCs w:val="21"/>
        </w:rPr>
        <w:t>在承台</w:t>
      </w:r>
      <w:r>
        <w:rPr>
          <w:rFonts w:hint="eastAsia" w:hAnsi="宋体"/>
          <w:snapToGrid w:val="0"/>
          <w:color w:val="auto"/>
          <w:spacing w:val="-2"/>
          <w:szCs w:val="21"/>
        </w:rPr>
        <w:t>、</w:t>
      </w:r>
      <w:r>
        <w:rPr>
          <w:rFonts w:hAnsi="宋体"/>
          <w:snapToGrid w:val="0"/>
          <w:color w:val="auto"/>
          <w:spacing w:val="-2"/>
          <w:szCs w:val="21"/>
        </w:rPr>
        <w:t>地下室外墙与基坑侧壁间隙回填土前，应排除积水，清除虚土和建筑垃圾，填土应按设计要求选料，分层对称</w:t>
      </w:r>
      <w:r>
        <w:rPr>
          <w:rFonts w:hint="eastAsia" w:hAnsi="宋体"/>
          <w:snapToGrid w:val="0"/>
          <w:color w:val="auto"/>
          <w:spacing w:val="-2"/>
          <w:szCs w:val="21"/>
        </w:rPr>
        <w:t>填筑压实</w:t>
      </w:r>
      <w:r>
        <w:rPr>
          <w:rFonts w:hAnsi="宋体"/>
          <w:snapToGrid w:val="0"/>
          <w:color w:val="auto"/>
          <w:spacing w:val="-2"/>
          <w:szCs w:val="21"/>
        </w:rPr>
        <w:t>，且压实系数应满足设计要求。</w:t>
      </w:r>
    </w:p>
    <w:p w14:paraId="56420954">
      <w:pPr>
        <w:adjustRightInd w:val="0"/>
        <w:snapToGrid w:val="0"/>
        <w:spacing w:line="340" w:lineRule="atLeast"/>
        <w:jc w:val="left"/>
        <w:rPr>
          <w:rFonts w:eastAsia="黑体"/>
          <w:b/>
          <w:bCs/>
          <w:color w:val="auto"/>
          <w:szCs w:val="21"/>
        </w:rPr>
      </w:pPr>
      <w:r>
        <w:rPr>
          <w:rFonts w:eastAsia="黑体"/>
          <w:b/>
          <w:bCs/>
          <w:color w:val="auto"/>
          <w:szCs w:val="21"/>
        </w:rPr>
        <w:t xml:space="preserve">15.1.8 </w:t>
      </w:r>
      <w:r>
        <w:rPr>
          <w:rFonts w:hAnsi="宋体"/>
          <w:snapToGrid w:val="0"/>
          <w:color w:val="auto"/>
          <w:spacing w:val="-2"/>
          <w:szCs w:val="21"/>
        </w:rPr>
        <w:t xml:space="preserve"> </w:t>
      </w:r>
      <w:r>
        <w:rPr>
          <w:rFonts w:hint="eastAsia" w:hAnsi="宋体"/>
          <w:snapToGrid w:val="0"/>
          <w:color w:val="auto"/>
          <w:spacing w:val="-2"/>
          <w:szCs w:val="21"/>
        </w:rPr>
        <w:t>地基基础施工应采取控制振动、噪声、扬尘、废水、废弃物以及有毒有害物质等的措施，贯彻绿色施工理念。</w:t>
      </w:r>
    </w:p>
    <w:p w14:paraId="33134781">
      <w:pPr>
        <w:adjustRightInd w:val="0"/>
        <w:snapToGrid w:val="0"/>
        <w:rPr>
          <w:color w:val="auto"/>
          <w:szCs w:val="21"/>
        </w:rPr>
      </w:pPr>
    </w:p>
    <w:p w14:paraId="792AB30C">
      <w:pPr>
        <w:adjustRightInd w:val="0"/>
        <w:snapToGrid w:val="0"/>
        <w:spacing w:line="340" w:lineRule="exact"/>
        <w:outlineLvl w:val="1"/>
        <w:rPr>
          <w:rFonts w:eastAsia="黑体"/>
          <w:b/>
          <w:bCs/>
          <w:color w:val="auto"/>
          <w:szCs w:val="21"/>
        </w:rPr>
      </w:pPr>
      <w:bookmarkStart w:id="85" w:name="_Toc199943628"/>
      <w:r>
        <w:rPr>
          <w:rFonts w:eastAsia="黑体"/>
          <w:b/>
          <w:bCs/>
          <w:color w:val="auto"/>
          <w:szCs w:val="21"/>
        </w:rPr>
        <w:t>15.2  土方开挖</w:t>
      </w:r>
      <w:bookmarkEnd w:id="85"/>
    </w:p>
    <w:p w14:paraId="6DE14AB5">
      <w:pPr>
        <w:adjustRightInd w:val="0"/>
        <w:snapToGrid w:val="0"/>
        <w:spacing w:line="340" w:lineRule="atLeast"/>
        <w:rPr>
          <w:color w:val="auto"/>
          <w:szCs w:val="21"/>
        </w:rPr>
      </w:pPr>
    </w:p>
    <w:p w14:paraId="7FBEE0D0">
      <w:pPr>
        <w:adjustRightInd w:val="0"/>
        <w:snapToGrid w:val="0"/>
        <w:spacing w:line="340" w:lineRule="atLeast"/>
        <w:rPr>
          <w:color w:val="auto"/>
          <w:szCs w:val="21"/>
        </w:rPr>
      </w:pPr>
      <w:r>
        <w:rPr>
          <w:b/>
          <w:bCs/>
          <w:color w:val="auto"/>
          <w:szCs w:val="21"/>
        </w:rPr>
        <w:t>15.2.1</w:t>
      </w:r>
      <w:r>
        <w:rPr>
          <w:rFonts w:hint="eastAsia"/>
          <w:color w:val="auto"/>
          <w:szCs w:val="21"/>
        </w:rPr>
        <w:t xml:space="preserve">  </w:t>
      </w:r>
      <w:r>
        <w:rPr>
          <w:rFonts w:hAnsi="宋体"/>
          <w:color w:val="auto"/>
          <w:szCs w:val="21"/>
        </w:rPr>
        <w:t>土方开挖前应制定详细的施工方案，包括土方开挖</w:t>
      </w:r>
      <w:r>
        <w:rPr>
          <w:rFonts w:hint="eastAsia" w:hAnsi="宋体"/>
          <w:color w:val="auto"/>
          <w:szCs w:val="21"/>
        </w:rPr>
        <w:t>方式及</w:t>
      </w:r>
      <w:r>
        <w:rPr>
          <w:rFonts w:hAnsi="宋体"/>
          <w:color w:val="auto"/>
          <w:szCs w:val="21"/>
        </w:rPr>
        <w:t>顺序、</w:t>
      </w:r>
      <w:r>
        <w:rPr>
          <w:rFonts w:hint="eastAsia" w:hAnsi="宋体"/>
          <w:color w:val="auto"/>
          <w:szCs w:val="21"/>
        </w:rPr>
        <w:t>机械</w:t>
      </w:r>
      <w:r>
        <w:rPr>
          <w:rFonts w:hAnsi="宋体"/>
          <w:color w:val="auto"/>
          <w:szCs w:val="21"/>
        </w:rPr>
        <w:t>设备选择、</w:t>
      </w:r>
      <w:r>
        <w:rPr>
          <w:rFonts w:hint="eastAsia" w:hAnsi="宋体"/>
          <w:color w:val="auto"/>
          <w:szCs w:val="21"/>
        </w:rPr>
        <w:t>通道</w:t>
      </w:r>
      <w:r>
        <w:rPr>
          <w:rFonts w:hAnsi="宋体"/>
          <w:color w:val="auto"/>
          <w:szCs w:val="21"/>
        </w:rPr>
        <w:t>设置、施工进度计划、降排水措施及季节性（冬期、雨期、汛期等）施工措施、支护方案、监测方案、应急措施、安全文明施工措施等内容。</w:t>
      </w:r>
    </w:p>
    <w:p w14:paraId="47C55B65">
      <w:pPr>
        <w:adjustRightInd w:val="0"/>
        <w:snapToGrid w:val="0"/>
        <w:spacing w:line="340" w:lineRule="atLeast"/>
        <w:rPr>
          <w:rFonts w:eastAsia="黑体"/>
          <w:b/>
          <w:color w:val="auto"/>
          <w:szCs w:val="21"/>
        </w:rPr>
      </w:pPr>
      <w:r>
        <w:rPr>
          <w:rFonts w:eastAsia="黑体"/>
          <w:b/>
          <w:color w:val="auto"/>
          <w:szCs w:val="21"/>
        </w:rPr>
        <w:t xml:space="preserve">15.2.2  </w:t>
      </w:r>
      <w:r>
        <w:rPr>
          <w:rFonts w:hAnsi="宋体"/>
          <w:snapToGrid w:val="0"/>
          <w:color w:val="auto"/>
          <w:spacing w:val="-2"/>
          <w:szCs w:val="21"/>
        </w:rPr>
        <w:t>土方开挖的顺序、方法必须与设计工况相一致，并遵循“开槽支撑、先撑后挖、分层开挖、严禁超挖”的原则。</w:t>
      </w:r>
    </w:p>
    <w:p w14:paraId="4D2BC57A">
      <w:pPr>
        <w:adjustRightInd w:val="0"/>
        <w:snapToGrid w:val="0"/>
        <w:spacing w:line="340" w:lineRule="atLeast"/>
        <w:rPr>
          <w:color w:val="auto"/>
          <w:szCs w:val="21"/>
        </w:rPr>
      </w:pPr>
      <w:r>
        <w:rPr>
          <w:b/>
          <w:bCs/>
          <w:color w:val="auto"/>
          <w:szCs w:val="21"/>
        </w:rPr>
        <w:t>15.2.3</w:t>
      </w:r>
      <w:r>
        <w:rPr>
          <w:color w:val="auto"/>
          <w:szCs w:val="21"/>
        </w:rPr>
        <w:t xml:space="preserve">  </w:t>
      </w:r>
      <w:r>
        <w:rPr>
          <w:rFonts w:hAnsi="宋体"/>
          <w:color w:val="auto"/>
          <w:szCs w:val="21"/>
        </w:rPr>
        <w:t>土方开挖应</w:t>
      </w:r>
      <w:r>
        <w:rPr>
          <w:rFonts w:hint="eastAsia" w:hAnsi="宋体"/>
          <w:color w:val="auto"/>
          <w:szCs w:val="21"/>
        </w:rPr>
        <w:t>均衡</w:t>
      </w:r>
      <w:r>
        <w:rPr>
          <w:rFonts w:hAnsi="宋体"/>
          <w:color w:val="auto"/>
          <w:szCs w:val="21"/>
        </w:rPr>
        <w:t>分层进行，高差不宜过大，</w:t>
      </w:r>
      <w:r>
        <w:rPr>
          <w:rFonts w:hint="eastAsia" w:hAnsi="宋体"/>
          <w:color w:val="auto"/>
          <w:szCs w:val="21"/>
        </w:rPr>
        <w:t>对软土相邻高差不应超过1m。</w:t>
      </w:r>
      <w:r>
        <w:rPr>
          <w:rFonts w:hAnsi="宋体"/>
          <w:color w:val="auto"/>
          <w:szCs w:val="21"/>
        </w:rPr>
        <w:t>挖出的土方不得堆置在基坑边。采用机械挖土时，应确保基坑内的桩体、支撑立柱、降水井立管等不受损坏。</w:t>
      </w:r>
    </w:p>
    <w:p w14:paraId="78B5C6C2">
      <w:pPr>
        <w:adjustRightInd w:val="0"/>
        <w:snapToGrid w:val="0"/>
        <w:spacing w:line="340" w:lineRule="atLeast"/>
        <w:rPr>
          <w:color w:val="auto"/>
          <w:szCs w:val="21"/>
        </w:rPr>
      </w:pPr>
      <w:r>
        <w:rPr>
          <w:color w:val="auto"/>
          <w:szCs w:val="21"/>
        </w:rPr>
        <w:t xml:space="preserve">    </w:t>
      </w:r>
      <w:r>
        <w:rPr>
          <w:rFonts w:hAnsi="宋体"/>
          <w:color w:val="auto"/>
          <w:szCs w:val="21"/>
        </w:rPr>
        <w:t>夯扩桩、</w:t>
      </w:r>
      <w:r>
        <w:rPr>
          <w:color w:val="auto"/>
          <w:szCs w:val="21"/>
        </w:rPr>
        <w:t>CFG</w:t>
      </w:r>
      <w:r>
        <w:rPr>
          <w:rFonts w:hAnsi="宋体"/>
          <w:color w:val="auto"/>
          <w:szCs w:val="21"/>
        </w:rPr>
        <w:t>桩、沉管灌注桩、预制桩等桩基，对设计桩顶标高以上</w:t>
      </w:r>
      <w:r>
        <w:rPr>
          <w:color w:val="auto"/>
          <w:szCs w:val="21"/>
        </w:rPr>
        <w:t>1.0m</w:t>
      </w:r>
      <w:r>
        <w:rPr>
          <w:rFonts w:hAnsi="宋体"/>
          <w:color w:val="auto"/>
          <w:szCs w:val="21"/>
        </w:rPr>
        <w:t>以内的土方应采用人工开挖方式。</w:t>
      </w:r>
    </w:p>
    <w:p w14:paraId="0DFA8D0E">
      <w:pPr>
        <w:adjustRightInd w:val="0"/>
        <w:snapToGrid w:val="0"/>
        <w:spacing w:line="340" w:lineRule="atLeast"/>
        <w:rPr>
          <w:color w:val="auto"/>
          <w:szCs w:val="21"/>
        </w:rPr>
      </w:pPr>
      <w:r>
        <w:rPr>
          <w:b/>
          <w:bCs/>
          <w:color w:val="auto"/>
          <w:szCs w:val="21"/>
        </w:rPr>
        <w:t>15.2.4</w:t>
      </w:r>
      <w:r>
        <w:rPr>
          <w:color w:val="auto"/>
          <w:szCs w:val="21"/>
        </w:rPr>
        <w:t xml:space="preserve">  </w:t>
      </w:r>
      <w:r>
        <w:rPr>
          <w:rFonts w:hint="eastAsia"/>
          <w:color w:val="auto"/>
          <w:szCs w:val="21"/>
        </w:rPr>
        <w:t>地基</w:t>
      </w:r>
      <w:r>
        <w:rPr>
          <w:rFonts w:hAnsi="宋体"/>
          <w:color w:val="auto"/>
          <w:szCs w:val="21"/>
        </w:rPr>
        <w:t>基础施工之前，应了解场区周围的排水情况，对有可能排入或渗入基坑的地面雨水、生活用水、上下水管渗漏水应设法排除，避免地表水渗入边坡土体和基坑内。</w:t>
      </w:r>
    </w:p>
    <w:p w14:paraId="66D9E64B">
      <w:pPr>
        <w:adjustRightInd w:val="0"/>
        <w:snapToGrid w:val="0"/>
        <w:spacing w:line="340" w:lineRule="atLeast"/>
        <w:rPr>
          <w:color w:val="auto"/>
          <w:szCs w:val="21"/>
        </w:rPr>
      </w:pPr>
      <w:r>
        <w:rPr>
          <w:b/>
          <w:bCs/>
          <w:color w:val="auto"/>
          <w:szCs w:val="21"/>
        </w:rPr>
        <w:t>15.2.5</w:t>
      </w:r>
      <w:r>
        <w:rPr>
          <w:color w:val="auto"/>
          <w:szCs w:val="21"/>
        </w:rPr>
        <w:t xml:space="preserve">  </w:t>
      </w:r>
      <w:r>
        <w:rPr>
          <w:rFonts w:hAnsi="宋体"/>
          <w:color w:val="auto"/>
          <w:szCs w:val="21"/>
        </w:rPr>
        <w:t>基坑开挖结束后，应在基坑底做好排水措施，确保基坑底的地基土不受水浸泡。</w:t>
      </w:r>
    </w:p>
    <w:p w14:paraId="0494A9ED">
      <w:pPr>
        <w:adjustRightInd w:val="0"/>
        <w:snapToGrid w:val="0"/>
        <w:spacing w:line="340" w:lineRule="atLeast"/>
        <w:rPr>
          <w:color w:val="auto"/>
          <w:szCs w:val="21"/>
        </w:rPr>
      </w:pPr>
      <w:r>
        <w:rPr>
          <w:b/>
          <w:bCs/>
          <w:color w:val="auto"/>
          <w:szCs w:val="21"/>
        </w:rPr>
        <w:t>15.2.6</w:t>
      </w:r>
      <w:r>
        <w:rPr>
          <w:color w:val="auto"/>
          <w:szCs w:val="21"/>
        </w:rPr>
        <w:t xml:space="preserve">  </w:t>
      </w:r>
      <w:r>
        <w:rPr>
          <w:rFonts w:hAnsi="宋体"/>
          <w:color w:val="auto"/>
          <w:szCs w:val="21"/>
        </w:rPr>
        <w:t>基础施工完毕后，应及时回填基坑。填土应分层铺土，分层夯实，每层回填土厚度视填土性质及所选用机械性能而定，一般不宜超过</w:t>
      </w:r>
      <w:r>
        <w:rPr>
          <w:color w:val="auto"/>
          <w:szCs w:val="21"/>
        </w:rPr>
        <w:t>300mm</w:t>
      </w:r>
      <w:r>
        <w:rPr>
          <w:rFonts w:hAnsi="宋体"/>
          <w:color w:val="auto"/>
          <w:szCs w:val="21"/>
        </w:rPr>
        <w:t>，每层填土经验收符合设计要求后方可继续施工。</w:t>
      </w:r>
    </w:p>
    <w:p w14:paraId="3D1BAD56">
      <w:pPr>
        <w:adjustRightInd w:val="0"/>
        <w:snapToGrid w:val="0"/>
        <w:spacing w:line="340" w:lineRule="atLeast"/>
        <w:rPr>
          <w:color w:val="auto"/>
          <w:szCs w:val="21"/>
        </w:rPr>
      </w:pPr>
      <w:r>
        <w:rPr>
          <w:b/>
          <w:bCs/>
          <w:color w:val="auto"/>
          <w:szCs w:val="21"/>
        </w:rPr>
        <w:t>15.2.7</w:t>
      </w:r>
      <w:r>
        <w:rPr>
          <w:color w:val="auto"/>
          <w:szCs w:val="21"/>
        </w:rPr>
        <w:t xml:space="preserve">  </w:t>
      </w:r>
      <w:r>
        <w:rPr>
          <w:rFonts w:hAnsi="宋体"/>
          <w:color w:val="auto"/>
          <w:szCs w:val="21"/>
        </w:rPr>
        <w:t>雨期施工时，应有保证基础工程质量和安全的措施。可适当放缓边坡，或采取护坡措施，控制工作面不宜过大。应逐段、逐片分期施工。重要或特殊工程的土方工程宜避开雨季施工。</w:t>
      </w:r>
    </w:p>
    <w:p w14:paraId="5076431D">
      <w:pPr>
        <w:adjustRightInd w:val="0"/>
        <w:snapToGrid w:val="0"/>
        <w:spacing w:line="340" w:lineRule="atLeast"/>
        <w:rPr>
          <w:color w:val="auto"/>
          <w:szCs w:val="21"/>
        </w:rPr>
      </w:pPr>
      <w:r>
        <w:rPr>
          <w:b/>
          <w:bCs/>
          <w:color w:val="auto"/>
          <w:szCs w:val="21"/>
        </w:rPr>
        <w:t>15.2.8</w:t>
      </w:r>
      <w:r>
        <w:rPr>
          <w:color w:val="auto"/>
          <w:szCs w:val="21"/>
        </w:rPr>
        <w:t xml:space="preserve">  </w:t>
      </w:r>
      <w:r>
        <w:rPr>
          <w:rFonts w:hAnsi="宋体"/>
          <w:color w:val="auto"/>
          <w:szCs w:val="21"/>
        </w:rPr>
        <w:t>冬期施工时，开挖后应采取措施防止基底土受冻，如遇受冻现象，应将受冻的土层全部挖除或采取其他有效措施。</w:t>
      </w:r>
    </w:p>
    <w:p w14:paraId="18397E64">
      <w:pPr>
        <w:adjustRightInd w:val="0"/>
        <w:snapToGrid w:val="0"/>
        <w:spacing w:line="340" w:lineRule="atLeast"/>
        <w:rPr>
          <w:color w:val="auto"/>
          <w:szCs w:val="21"/>
        </w:rPr>
      </w:pPr>
    </w:p>
    <w:p w14:paraId="2D50FF87">
      <w:pPr>
        <w:adjustRightInd w:val="0"/>
        <w:snapToGrid w:val="0"/>
        <w:spacing w:line="340" w:lineRule="exact"/>
        <w:outlineLvl w:val="1"/>
        <w:rPr>
          <w:rFonts w:eastAsia="黑体"/>
          <w:b/>
          <w:bCs/>
          <w:color w:val="auto"/>
          <w:szCs w:val="21"/>
        </w:rPr>
      </w:pPr>
      <w:bookmarkStart w:id="86" w:name="_Toc199943629"/>
      <w:r>
        <w:rPr>
          <w:rFonts w:eastAsia="黑体"/>
          <w:b/>
          <w:bCs/>
          <w:color w:val="auto"/>
          <w:szCs w:val="21"/>
        </w:rPr>
        <w:t>15.3  大体积基础混凝土施工</w:t>
      </w:r>
      <w:bookmarkEnd w:id="86"/>
    </w:p>
    <w:p w14:paraId="1CC11542">
      <w:pPr>
        <w:adjustRightInd w:val="0"/>
        <w:snapToGrid w:val="0"/>
        <w:spacing w:line="340" w:lineRule="atLeast"/>
        <w:jc w:val="center"/>
        <w:rPr>
          <w:color w:val="auto"/>
          <w:szCs w:val="21"/>
        </w:rPr>
      </w:pPr>
    </w:p>
    <w:p w14:paraId="34B24773">
      <w:pPr>
        <w:adjustRightInd w:val="0"/>
        <w:snapToGrid w:val="0"/>
        <w:spacing w:line="340" w:lineRule="atLeast"/>
        <w:rPr>
          <w:color w:val="auto"/>
          <w:szCs w:val="21"/>
        </w:rPr>
      </w:pPr>
      <w:r>
        <w:rPr>
          <w:b/>
          <w:bCs/>
          <w:color w:val="auto"/>
          <w:szCs w:val="21"/>
        </w:rPr>
        <w:t>15.3.1</w:t>
      </w:r>
      <w:r>
        <w:rPr>
          <w:color w:val="auto"/>
          <w:szCs w:val="21"/>
        </w:rPr>
        <w:t xml:space="preserve">  </w:t>
      </w:r>
      <w:r>
        <w:rPr>
          <w:rFonts w:hAnsi="宋体"/>
          <w:color w:val="auto"/>
          <w:szCs w:val="21"/>
        </w:rPr>
        <w:t>大体积混凝土系指最小尺寸不小于</w:t>
      </w:r>
      <w:r>
        <w:rPr>
          <w:color w:val="auto"/>
          <w:szCs w:val="21"/>
        </w:rPr>
        <w:t>1m</w:t>
      </w:r>
      <w:r>
        <w:rPr>
          <w:rFonts w:hAnsi="宋体"/>
          <w:color w:val="auto"/>
          <w:szCs w:val="21"/>
        </w:rPr>
        <w:t>的大体量混凝土，或预计会因混凝土中胶凝材料水化引起的温度变化和收缩而导致有害裂缝产生的混凝土。</w:t>
      </w:r>
    </w:p>
    <w:p w14:paraId="66D9AE62">
      <w:pPr>
        <w:adjustRightInd w:val="0"/>
        <w:snapToGrid w:val="0"/>
        <w:spacing w:line="340" w:lineRule="atLeast"/>
        <w:rPr>
          <w:color w:val="auto"/>
          <w:szCs w:val="21"/>
        </w:rPr>
      </w:pPr>
      <w:r>
        <w:rPr>
          <w:b/>
          <w:bCs/>
          <w:color w:val="auto"/>
          <w:szCs w:val="21"/>
        </w:rPr>
        <w:t>15.3.2</w:t>
      </w:r>
      <w:r>
        <w:rPr>
          <w:color w:val="auto"/>
          <w:szCs w:val="21"/>
        </w:rPr>
        <w:t xml:space="preserve">  </w:t>
      </w:r>
      <w:r>
        <w:rPr>
          <w:rFonts w:hAnsi="宋体"/>
          <w:color w:val="auto"/>
          <w:szCs w:val="21"/>
        </w:rPr>
        <w:t>大体积基础混凝土施工应编制专项施工方案，除满足本文件的规定外，尚应符合国家规范</w:t>
      </w:r>
      <w:r>
        <w:rPr>
          <w:color w:val="auto"/>
          <w:szCs w:val="21"/>
        </w:rPr>
        <w:t>GB</w:t>
      </w:r>
      <w:r>
        <w:rPr>
          <w:rFonts w:hint="eastAsia"/>
          <w:color w:val="auto"/>
          <w:szCs w:val="21"/>
          <w:lang w:val="en-US" w:eastAsia="zh-CN"/>
        </w:rPr>
        <w:t xml:space="preserve"> </w:t>
      </w:r>
      <w:r>
        <w:rPr>
          <w:color w:val="auto"/>
          <w:szCs w:val="21"/>
        </w:rPr>
        <w:t>50496</w:t>
      </w:r>
      <w:r>
        <w:rPr>
          <w:rFonts w:hAnsi="宋体"/>
          <w:color w:val="auto"/>
          <w:szCs w:val="21"/>
        </w:rPr>
        <w:t>和</w:t>
      </w:r>
      <w:r>
        <w:rPr>
          <w:color w:val="auto"/>
          <w:szCs w:val="21"/>
        </w:rPr>
        <w:t>GB</w:t>
      </w:r>
      <w:r>
        <w:rPr>
          <w:rFonts w:hint="eastAsia"/>
          <w:color w:val="auto"/>
          <w:szCs w:val="21"/>
          <w:lang w:val="en-US" w:eastAsia="zh-CN"/>
        </w:rPr>
        <w:t xml:space="preserve"> </w:t>
      </w:r>
      <w:r>
        <w:rPr>
          <w:color w:val="auto"/>
          <w:szCs w:val="21"/>
        </w:rPr>
        <w:t>50666</w:t>
      </w:r>
      <w:r>
        <w:rPr>
          <w:rFonts w:hAnsi="宋体"/>
          <w:color w:val="auto"/>
          <w:szCs w:val="21"/>
        </w:rPr>
        <w:t>等相关规定。</w:t>
      </w:r>
    </w:p>
    <w:p w14:paraId="00C75176">
      <w:pPr>
        <w:adjustRightInd w:val="0"/>
        <w:snapToGrid w:val="0"/>
        <w:spacing w:line="340" w:lineRule="atLeast"/>
        <w:rPr>
          <w:color w:val="auto"/>
          <w:szCs w:val="21"/>
        </w:rPr>
      </w:pPr>
      <w:r>
        <w:rPr>
          <w:b/>
          <w:bCs/>
          <w:color w:val="auto"/>
          <w:szCs w:val="21"/>
        </w:rPr>
        <w:t>15.3.3</w:t>
      </w:r>
      <w:r>
        <w:rPr>
          <w:color w:val="auto"/>
          <w:szCs w:val="21"/>
        </w:rPr>
        <w:t xml:space="preserve">  </w:t>
      </w:r>
      <w:r>
        <w:rPr>
          <w:rFonts w:hAnsi="宋体"/>
          <w:color w:val="auto"/>
          <w:szCs w:val="21"/>
        </w:rPr>
        <w:t>大体积混凝土施工过程中，应根据气候条件采取控温保湿措施，并测定浇筑后的混凝土温升值、表面温度、内部温度和环境温度，监测混凝土的内外温差、内部温差和降温速率，将温差控制在设计要求的范围内。若设计无具体要求时，混凝土中心与表面的温度差不宜超过</w:t>
      </w:r>
      <w:r>
        <w:rPr>
          <w:color w:val="auto"/>
          <w:szCs w:val="21"/>
        </w:rPr>
        <w:t>25</w:t>
      </w:r>
      <w:r>
        <w:rPr>
          <w:rFonts w:ascii="宋体" w:hAnsi="宋体"/>
          <w:color w:val="auto"/>
          <w:szCs w:val="21"/>
        </w:rPr>
        <w:t>℃</w:t>
      </w:r>
      <w:r>
        <w:rPr>
          <w:rFonts w:hAnsi="宋体"/>
          <w:color w:val="auto"/>
          <w:szCs w:val="21"/>
        </w:rPr>
        <w:t>，混凝土表面温度与环境温度的温度差不宜超过</w:t>
      </w:r>
      <w:r>
        <w:rPr>
          <w:color w:val="auto"/>
          <w:szCs w:val="21"/>
        </w:rPr>
        <w:t>20</w:t>
      </w:r>
      <w:r>
        <w:rPr>
          <w:rFonts w:ascii="宋体" w:hAnsi="宋体"/>
          <w:color w:val="auto"/>
          <w:szCs w:val="21"/>
        </w:rPr>
        <w:t>℃</w:t>
      </w:r>
      <w:r>
        <w:rPr>
          <w:rFonts w:hAnsi="宋体"/>
          <w:color w:val="auto"/>
          <w:szCs w:val="21"/>
        </w:rPr>
        <w:t>，温升值不宜大于</w:t>
      </w:r>
      <w:r>
        <w:rPr>
          <w:color w:val="auto"/>
          <w:szCs w:val="21"/>
        </w:rPr>
        <w:t>50</w:t>
      </w:r>
      <w:r>
        <w:rPr>
          <w:rFonts w:ascii="宋体" w:hAnsi="宋体"/>
          <w:color w:val="auto"/>
          <w:szCs w:val="21"/>
        </w:rPr>
        <w:t>℃</w:t>
      </w:r>
      <w:r>
        <w:rPr>
          <w:rFonts w:hAnsi="宋体"/>
          <w:color w:val="auto"/>
          <w:szCs w:val="21"/>
        </w:rPr>
        <w:t>，降温速率不宜大于</w:t>
      </w:r>
      <w:r>
        <w:rPr>
          <w:color w:val="auto"/>
          <w:szCs w:val="21"/>
        </w:rPr>
        <w:t>2.0</w:t>
      </w:r>
      <w:r>
        <w:rPr>
          <w:rFonts w:ascii="宋体" w:hAnsi="宋体"/>
          <w:color w:val="auto"/>
          <w:szCs w:val="21"/>
        </w:rPr>
        <w:t>℃</w:t>
      </w:r>
      <w:r>
        <w:rPr>
          <w:color w:val="auto"/>
          <w:szCs w:val="21"/>
        </w:rPr>
        <w:t>∕d</w:t>
      </w:r>
      <w:r>
        <w:rPr>
          <w:rFonts w:hAnsi="宋体"/>
          <w:color w:val="auto"/>
          <w:szCs w:val="21"/>
        </w:rPr>
        <w:t>。</w:t>
      </w:r>
    </w:p>
    <w:p w14:paraId="6D367A5A">
      <w:pPr>
        <w:adjustRightInd w:val="0"/>
        <w:snapToGrid w:val="0"/>
        <w:spacing w:line="340" w:lineRule="atLeast"/>
        <w:rPr>
          <w:color w:val="auto"/>
          <w:szCs w:val="21"/>
        </w:rPr>
      </w:pPr>
      <w:r>
        <w:rPr>
          <w:b/>
          <w:bCs/>
          <w:color w:val="auto"/>
          <w:szCs w:val="21"/>
        </w:rPr>
        <w:t>15.3.4</w:t>
      </w:r>
      <w:r>
        <w:rPr>
          <w:color w:val="auto"/>
          <w:szCs w:val="21"/>
        </w:rPr>
        <w:t xml:space="preserve">  </w:t>
      </w:r>
      <w:r>
        <w:rPr>
          <w:rFonts w:hAnsi="宋体"/>
          <w:color w:val="auto"/>
          <w:szCs w:val="21"/>
        </w:rPr>
        <w:t>大体积基础混凝土的保温及测温工作要持续到混凝土内部温度与大气平均温度差在</w:t>
      </w:r>
      <w:r>
        <w:rPr>
          <w:color w:val="auto"/>
          <w:szCs w:val="21"/>
        </w:rPr>
        <w:t>15</w:t>
      </w:r>
      <w:r>
        <w:rPr>
          <w:rFonts w:ascii="宋体" w:hAnsi="宋体"/>
          <w:color w:val="auto"/>
          <w:szCs w:val="21"/>
        </w:rPr>
        <w:t>℃</w:t>
      </w:r>
      <w:r>
        <w:rPr>
          <w:rFonts w:hAnsi="宋体"/>
          <w:color w:val="auto"/>
          <w:szCs w:val="21"/>
        </w:rPr>
        <w:t>内，且混凝土强度达到设计强度的</w:t>
      </w:r>
      <w:r>
        <w:rPr>
          <w:color w:val="auto"/>
          <w:szCs w:val="21"/>
        </w:rPr>
        <w:t>75%</w:t>
      </w:r>
      <w:r>
        <w:rPr>
          <w:rFonts w:hAnsi="宋体"/>
          <w:color w:val="auto"/>
          <w:szCs w:val="21"/>
        </w:rPr>
        <w:t>以上时，方可停止。</w:t>
      </w:r>
    </w:p>
    <w:p w14:paraId="724050E1">
      <w:pPr>
        <w:adjustRightInd w:val="0"/>
        <w:snapToGrid w:val="0"/>
        <w:spacing w:line="340" w:lineRule="atLeast"/>
        <w:rPr>
          <w:color w:val="auto"/>
          <w:szCs w:val="21"/>
        </w:rPr>
      </w:pPr>
      <w:r>
        <w:rPr>
          <w:b/>
          <w:bCs/>
          <w:color w:val="auto"/>
          <w:szCs w:val="21"/>
        </w:rPr>
        <w:t>15.3.5</w:t>
      </w:r>
      <w:r>
        <w:rPr>
          <w:color w:val="auto"/>
          <w:szCs w:val="21"/>
        </w:rPr>
        <w:t xml:space="preserve">  </w:t>
      </w:r>
      <w:r>
        <w:rPr>
          <w:rFonts w:hAnsi="宋体"/>
          <w:color w:val="auto"/>
          <w:szCs w:val="21"/>
        </w:rPr>
        <w:t>控制大体积混凝土温度和收缩裂缝可采用下列技术措施：</w:t>
      </w:r>
    </w:p>
    <w:p w14:paraId="683BB8CC">
      <w:pPr>
        <w:adjustRightInd w:val="0"/>
        <w:snapToGrid w:val="0"/>
        <w:spacing w:line="340" w:lineRule="atLeast"/>
        <w:ind w:firstLine="422" w:firstLineChars="200"/>
        <w:rPr>
          <w:color w:val="auto"/>
          <w:szCs w:val="21"/>
        </w:rPr>
      </w:pPr>
      <w:r>
        <w:rPr>
          <w:b/>
          <w:bCs/>
          <w:color w:val="auto"/>
          <w:szCs w:val="21"/>
        </w:rPr>
        <w:t>a)</w:t>
      </w:r>
      <w:r>
        <w:rPr>
          <w:b/>
          <w:color w:val="auto"/>
          <w:szCs w:val="21"/>
        </w:rPr>
        <w:t xml:space="preserve"> </w:t>
      </w:r>
      <w:r>
        <w:rPr>
          <w:color w:val="auto"/>
          <w:szCs w:val="21"/>
        </w:rPr>
        <w:t xml:space="preserve"> </w:t>
      </w:r>
      <w:r>
        <w:rPr>
          <w:rFonts w:hAnsi="宋体"/>
          <w:color w:val="auto"/>
          <w:szCs w:val="21"/>
        </w:rPr>
        <w:t>选用低水化热水泥，优选混凝土原材料和</w:t>
      </w:r>
      <w:r>
        <w:rPr>
          <w:rFonts w:hint="eastAsia" w:hAnsi="宋体"/>
          <w:color w:val="auto"/>
          <w:szCs w:val="21"/>
        </w:rPr>
        <w:t>优化</w:t>
      </w:r>
      <w:r>
        <w:rPr>
          <w:rFonts w:hAnsi="宋体"/>
          <w:color w:val="auto"/>
          <w:szCs w:val="21"/>
        </w:rPr>
        <w:t>配合比等。</w:t>
      </w:r>
    </w:p>
    <w:p w14:paraId="4C531DE6">
      <w:pPr>
        <w:adjustRightInd w:val="0"/>
        <w:snapToGrid w:val="0"/>
        <w:spacing w:line="340" w:lineRule="atLeast"/>
        <w:ind w:firstLine="422" w:firstLineChars="200"/>
        <w:rPr>
          <w:color w:val="auto"/>
          <w:szCs w:val="21"/>
        </w:rPr>
      </w:pPr>
      <w:r>
        <w:rPr>
          <w:b/>
          <w:bCs/>
          <w:color w:val="auto"/>
          <w:szCs w:val="21"/>
        </w:rPr>
        <w:t>b)</w:t>
      </w:r>
      <w:r>
        <w:rPr>
          <w:b/>
          <w:color w:val="auto"/>
          <w:szCs w:val="21"/>
        </w:rPr>
        <w:t xml:space="preserve"> </w:t>
      </w:r>
      <w:r>
        <w:rPr>
          <w:color w:val="auto"/>
          <w:szCs w:val="21"/>
        </w:rPr>
        <w:t xml:space="preserve"> </w:t>
      </w:r>
      <w:r>
        <w:rPr>
          <w:rFonts w:hAnsi="宋体"/>
          <w:color w:val="auto"/>
          <w:szCs w:val="21"/>
        </w:rPr>
        <w:t>降低混凝土的入模温度。利用夜间或有利的低温季节浇筑混凝土；搅拌混凝土时采用冰水或掺冰以及预冷骨料等措施。</w:t>
      </w:r>
    </w:p>
    <w:p w14:paraId="1868D7ED">
      <w:pPr>
        <w:adjustRightInd w:val="0"/>
        <w:snapToGrid w:val="0"/>
        <w:spacing w:line="340" w:lineRule="atLeast"/>
        <w:ind w:firstLine="422" w:firstLineChars="200"/>
        <w:rPr>
          <w:color w:val="auto"/>
          <w:szCs w:val="21"/>
        </w:rPr>
      </w:pPr>
      <w:r>
        <w:rPr>
          <w:b/>
          <w:bCs/>
          <w:color w:val="auto"/>
          <w:szCs w:val="21"/>
        </w:rPr>
        <w:t>c)</w:t>
      </w:r>
      <w:r>
        <w:rPr>
          <w:color w:val="auto"/>
          <w:szCs w:val="21"/>
        </w:rPr>
        <w:t xml:space="preserve">  </w:t>
      </w:r>
      <w:r>
        <w:rPr>
          <w:rFonts w:hAnsi="宋体"/>
          <w:color w:val="auto"/>
          <w:szCs w:val="21"/>
        </w:rPr>
        <w:t>加强施工中的温度控制。采取在混凝土中埋设冷却水管，浇筑后应及时通水冷却，适当减薄浇筑层厚度，利用层面散热等措施。</w:t>
      </w:r>
    </w:p>
    <w:p w14:paraId="698278A7">
      <w:pPr>
        <w:adjustRightInd w:val="0"/>
        <w:snapToGrid w:val="0"/>
        <w:spacing w:line="340" w:lineRule="atLeast"/>
        <w:ind w:firstLine="422" w:firstLineChars="200"/>
        <w:rPr>
          <w:color w:val="auto"/>
          <w:szCs w:val="21"/>
        </w:rPr>
      </w:pPr>
      <w:r>
        <w:rPr>
          <w:b/>
          <w:bCs/>
          <w:color w:val="auto"/>
          <w:szCs w:val="21"/>
        </w:rPr>
        <w:t>d)</w:t>
      </w:r>
      <w:r>
        <w:rPr>
          <w:color w:val="auto"/>
          <w:szCs w:val="21"/>
        </w:rPr>
        <w:t xml:space="preserve">  </w:t>
      </w:r>
      <w:r>
        <w:rPr>
          <w:rFonts w:hAnsi="宋体"/>
          <w:color w:val="auto"/>
          <w:szCs w:val="21"/>
        </w:rPr>
        <w:t>混凝土表面采取适当的保温保湿措施。</w:t>
      </w:r>
    </w:p>
    <w:p w14:paraId="48461A3D">
      <w:pPr>
        <w:adjustRightInd w:val="0"/>
        <w:snapToGrid w:val="0"/>
        <w:spacing w:line="340" w:lineRule="atLeast"/>
        <w:ind w:firstLine="422" w:firstLineChars="200"/>
        <w:rPr>
          <w:color w:val="auto"/>
          <w:szCs w:val="21"/>
        </w:rPr>
      </w:pPr>
      <w:r>
        <w:rPr>
          <w:b/>
          <w:bCs/>
          <w:color w:val="auto"/>
          <w:szCs w:val="21"/>
        </w:rPr>
        <w:t>e)</w:t>
      </w:r>
      <w:r>
        <w:rPr>
          <w:color w:val="auto"/>
          <w:szCs w:val="21"/>
        </w:rPr>
        <w:t xml:space="preserve">  </w:t>
      </w:r>
      <w:r>
        <w:rPr>
          <w:rFonts w:hAnsi="宋体"/>
          <w:color w:val="auto"/>
          <w:szCs w:val="21"/>
        </w:rPr>
        <w:t>改善约束条件，削减温度应力。合理地分缝分块，合理安排施工程序，避免过大的高差和长期暴露面等。</w:t>
      </w:r>
    </w:p>
    <w:p w14:paraId="42FD0626">
      <w:pPr>
        <w:adjustRightInd w:val="0"/>
        <w:snapToGrid w:val="0"/>
        <w:spacing w:line="340" w:lineRule="atLeast"/>
        <w:ind w:firstLine="422" w:firstLineChars="200"/>
        <w:rPr>
          <w:color w:val="auto"/>
          <w:szCs w:val="21"/>
        </w:rPr>
      </w:pPr>
      <w:r>
        <w:rPr>
          <w:b/>
          <w:bCs/>
          <w:color w:val="auto"/>
          <w:szCs w:val="21"/>
        </w:rPr>
        <w:t>f)</w:t>
      </w:r>
      <w:r>
        <w:rPr>
          <w:color w:val="auto"/>
          <w:szCs w:val="21"/>
        </w:rPr>
        <w:t xml:space="preserve">  </w:t>
      </w:r>
      <w:r>
        <w:rPr>
          <w:rFonts w:hAnsi="宋体"/>
          <w:color w:val="auto"/>
          <w:szCs w:val="21"/>
        </w:rPr>
        <w:t>提高混凝土的极限拉伸强度，增加和合理布置抗裂钢筋。</w:t>
      </w:r>
    </w:p>
    <w:p w14:paraId="730A1C2C">
      <w:pPr>
        <w:adjustRightInd w:val="0"/>
        <w:snapToGrid w:val="0"/>
        <w:spacing w:line="340" w:lineRule="atLeast"/>
        <w:rPr>
          <w:color w:val="auto"/>
          <w:szCs w:val="21"/>
        </w:rPr>
      </w:pPr>
      <w:r>
        <w:rPr>
          <w:b/>
          <w:bCs/>
          <w:color w:val="auto"/>
          <w:szCs w:val="21"/>
        </w:rPr>
        <w:t>15.3.6</w:t>
      </w:r>
      <w:r>
        <w:rPr>
          <w:color w:val="auto"/>
          <w:szCs w:val="21"/>
        </w:rPr>
        <w:t xml:space="preserve">  </w:t>
      </w:r>
      <w:r>
        <w:rPr>
          <w:rFonts w:hAnsi="宋体"/>
          <w:color w:val="auto"/>
          <w:szCs w:val="21"/>
        </w:rPr>
        <w:t>大体积混凝土抗裂应按</w:t>
      </w:r>
      <w:r>
        <w:rPr>
          <w:rFonts w:hint="eastAsia"/>
          <w:color w:val="auto"/>
          <w:lang w:val="en-US" w:eastAsia="zh-CN"/>
        </w:rPr>
        <w:t>公式（123）</w:t>
      </w:r>
      <w:r>
        <w:rPr>
          <w:rFonts w:hAnsi="宋体"/>
          <w:color w:val="auto"/>
          <w:szCs w:val="21"/>
        </w:rPr>
        <w:t>进行计算：</w:t>
      </w:r>
    </w:p>
    <w:p w14:paraId="2603B031">
      <w:pPr>
        <w:pStyle w:val="12"/>
        <w:jc w:val="right"/>
        <w:rPr>
          <w:color w:val="auto"/>
          <w:szCs w:val="21"/>
        </w:rPr>
      </w:pPr>
      <w:r>
        <w:rPr>
          <w:color w:val="auto"/>
          <w:position w:val="-24"/>
          <w:szCs w:val="21"/>
        </w:rPr>
        <w:object>
          <v:shape id="_x0000_i1572" o:spt="75" type="#_x0000_t75" style="height:36pt;width:72pt;" o:ole="t" filled="f" o:preferrelative="t" stroked="f" coordsize="21600,21600">
            <v:path/>
            <v:fill on="f" focussize="0,0"/>
            <v:stroke on="f" joinstyle="miter"/>
            <v:imagedata r:id="rId1078" o:title=""/>
            <o:lock v:ext="edit" aspectratio="t"/>
            <w10:wrap type="none"/>
            <w10:anchorlock/>
          </v:shape>
          <o:OLEObject Type="Embed" ProgID="Equation.DSMT4" ShapeID="_x0000_i1572" DrawAspect="Content" ObjectID="_1468076272" r:id="rId1077">
            <o:LockedField>false</o:LockedField>
          </o:OLEObject>
        </w:object>
      </w:r>
      <w:r>
        <w:rPr>
          <w:color w:val="auto"/>
          <w:szCs w:val="21"/>
        </w:rPr>
        <w:t>≤</w:t>
      </w:r>
      <w:r>
        <w:rPr>
          <w:color w:val="auto"/>
          <w:position w:val="-14"/>
          <w:szCs w:val="21"/>
        </w:rPr>
        <w:object>
          <v:shape id="_x0000_i1573" o:spt="75" type="#_x0000_t75" style="height:21.75pt;width:14.25pt;" o:ole="t" filled="f" o:preferrelative="t" stroked="f" coordsize="21600,21600">
            <v:path/>
            <v:fill on="f" focussize="0,0"/>
            <v:stroke on="f" joinstyle="miter"/>
            <v:imagedata r:id="rId1080" o:title=""/>
            <o:lock v:ext="edit" aspectratio="t"/>
            <w10:wrap type="none"/>
            <w10:anchorlock/>
          </v:shape>
          <o:OLEObject Type="Embed" ProgID="Equation.DSMT4" ShapeID="_x0000_i1573" DrawAspect="Content" ObjectID="_1468076273" r:id="rId1079">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123</w:t>
      </w:r>
      <w:r>
        <w:rPr>
          <w:color w:val="auto"/>
          <w:szCs w:val="21"/>
        </w:rPr>
        <w:fldChar w:fldCharType="end"/>
      </w:r>
      <w:r>
        <w:rPr>
          <w:color w:val="auto"/>
          <w:szCs w:val="21"/>
        </w:rPr>
        <w:t>)</w:t>
      </w:r>
    </w:p>
    <w:p w14:paraId="44A134BC">
      <w:pPr>
        <w:adjustRightInd w:val="0"/>
        <w:snapToGrid w:val="0"/>
        <w:spacing w:line="340" w:lineRule="atLeast"/>
        <w:rPr>
          <w:color w:val="auto"/>
          <w:szCs w:val="21"/>
        </w:rPr>
      </w:pPr>
      <w:r>
        <w:rPr>
          <w:rFonts w:hAnsi="宋体"/>
          <w:color w:val="auto"/>
          <w:szCs w:val="21"/>
        </w:rPr>
        <w:t>式中</w:t>
      </w:r>
      <w:r>
        <w:rPr>
          <w:color w:val="auto"/>
          <w:szCs w:val="21"/>
        </w:rPr>
        <w:t xml:space="preserve">   </w:t>
      </w:r>
      <w:r>
        <w:rPr>
          <w:color w:val="auto"/>
          <w:position w:val="-14"/>
          <w:szCs w:val="21"/>
        </w:rPr>
        <w:object>
          <v:shape id="_x0000_i1574" o:spt="75" type="#_x0000_t75" style="height:21.75pt;width:14.25pt;" o:ole="t" filled="f" o:preferrelative="t" stroked="f" coordsize="21600,21600">
            <v:path/>
            <v:fill on="f" focussize="0,0"/>
            <v:stroke on="f" joinstyle="miter"/>
            <v:imagedata r:id="rId1082" o:title=""/>
            <o:lock v:ext="edit" aspectratio="t"/>
            <w10:wrap type="none"/>
            <w10:anchorlock/>
          </v:shape>
          <o:OLEObject Type="Embed" ProgID="Equation.DSMT4" ShapeID="_x0000_i1574" DrawAspect="Content" ObjectID="_1468076274" r:id="rId1081">
            <o:LockedField>false</o:LockedField>
          </o:OLEObject>
        </w:object>
      </w:r>
      <w:r>
        <w:rPr>
          <w:color w:val="auto"/>
          <w:szCs w:val="21"/>
        </w:rPr>
        <w:t>——</w:t>
      </w:r>
      <w:r>
        <w:rPr>
          <w:rFonts w:hAnsi="宋体"/>
          <w:color w:val="auto"/>
          <w:szCs w:val="21"/>
        </w:rPr>
        <w:t>浇筑温度</w:t>
      </w:r>
      <w:r>
        <w:rPr>
          <w:color w:val="auto"/>
          <w:szCs w:val="21"/>
        </w:rPr>
        <w:t>（</w:t>
      </w:r>
      <w:r>
        <w:rPr>
          <w:rFonts w:ascii="宋体" w:hAnsi="宋体"/>
          <w:color w:val="auto"/>
          <w:szCs w:val="21"/>
        </w:rPr>
        <w:t>℃</w:t>
      </w:r>
      <w:r>
        <w:rPr>
          <w:color w:val="auto"/>
          <w:szCs w:val="21"/>
        </w:rPr>
        <w:t>）</w:t>
      </w:r>
      <w:r>
        <w:rPr>
          <w:rFonts w:hAnsi="宋体"/>
          <w:color w:val="auto"/>
          <w:szCs w:val="21"/>
        </w:rPr>
        <w:t>；</w:t>
      </w:r>
    </w:p>
    <w:p w14:paraId="1C4F4E2C">
      <w:pPr>
        <w:adjustRightInd w:val="0"/>
        <w:snapToGrid w:val="0"/>
        <w:spacing w:line="340" w:lineRule="atLeast"/>
        <w:ind w:firstLine="770"/>
        <w:rPr>
          <w:color w:val="auto"/>
          <w:szCs w:val="21"/>
        </w:rPr>
      </w:pPr>
      <w:r>
        <w:rPr>
          <w:color w:val="auto"/>
          <w:position w:val="-12"/>
          <w:szCs w:val="21"/>
        </w:rPr>
        <w:object>
          <v:shape id="_x0000_i1575" o:spt="75" type="#_x0000_t75" style="height:21.75pt;width:14.25pt;" o:ole="t" filled="f" o:preferrelative="t" stroked="f" coordsize="21600,21600">
            <v:path/>
            <v:fill on="f" focussize="0,0"/>
            <v:stroke on="f" joinstyle="miter"/>
            <v:imagedata r:id="rId1084" o:title=""/>
            <o:lock v:ext="edit" aspectratio="t"/>
            <w10:wrap type="none"/>
            <w10:anchorlock/>
          </v:shape>
          <o:OLEObject Type="Embed" ProgID="Equation.DSMT4" ShapeID="_x0000_i1575" DrawAspect="Content" ObjectID="_1468076275" r:id="rId1083">
            <o:LockedField>false</o:LockedField>
          </o:OLEObject>
        </w:object>
      </w:r>
      <w:r>
        <w:rPr>
          <w:color w:val="auto"/>
          <w:szCs w:val="21"/>
        </w:rPr>
        <w:t>——</w:t>
      </w:r>
      <w:r>
        <w:rPr>
          <w:rFonts w:hAnsi="宋体"/>
          <w:color w:val="auto"/>
          <w:szCs w:val="21"/>
        </w:rPr>
        <w:t>水化热绝热温升值</w:t>
      </w:r>
      <w:r>
        <w:rPr>
          <w:color w:val="auto"/>
          <w:szCs w:val="21"/>
        </w:rPr>
        <w:t>（</w:t>
      </w:r>
      <w:r>
        <w:rPr>
          <w:rFonts w:ascii="宋体" w:hAnsi="宋体"/>
          <w:color w:val="auto"/>
          <w:szCs w:val="21"/>
        </w:rPr>
        <w:t>℃</w:t>
      </w:r>
      <w:r>
        <w:rPr>
          <w:color w:val="auto"/>
          <w:szCs w:val="21"/>
        </w:rPr>
        <w:t>）</w:t>
      </w:r>
      <w:r>
        <w:rPr>
          <w:rFonts w:hAnsi="宋体"/>
          <w:color w:val="auto"/>
          <w:szCs w:val="21"/>
        </w:rPr>
        <w:t>；</w:t>
      </w:r>
    </w:p>
    <w:p w14:paraId="2726497C">
      <w:pPr>
        <w:adjustRightInd w:val="0"/>
        <w:snapToGrid w:val="0"/>
        <w:spacing w:line="340" w:lineRule="atLeast"/>
        <w:ind w:firstLine="644"/>
        <w:rPr>
          <w:color w:val="auto"/>
          <w:szCs w:val="21"/>
        </w:rPr>
      </w:pPr>
      <w:r>
        <w:rPr>
          <w:color w:val="auto"/>
          <w:szCs w:val="21"/>
        </w:rPr>
        <w:t xml:space="preserve"> </w:t>
      </w:r>
      <w:r>
        <w:rPr>
          <w:color w:val="auto"/>
          <w:position w:val="-12"/>
          <w:szCs w:val="21"/>
        </w:rPr>
        <w:object>
          <v:shape id="_x0000_i1576" o:spt="75" type="#_x0000_t75" style="height:21.75pt;width:14.25pt;" o:ole="t" filled="f" o:preferrelative="t" stroked="f" coordsize="21600,21600">
            <v:path/>
            <v:fill on="f" focussize="0,0"/>
            <v:stroke on="f" joinstyle="miter"/>
            <v:imagedata r:id="rId1086" o:title=""/>
            <o:lock v:ext="edit" aspectratio="t"/>
            <w10:wrap type="none"/>
            <w10:anchorlock/>
          </v:shape>
          <o:OLEObject Type="Embed" ProgID="Equation.DSMT4" ShapeID="_x0000_i1576" DrawAspect="Content" ObjectID="_1468076276" r:id="rId1085">
            <o:LockedField>false</o:LockedField>
          </o:OLEObject>
        </w:object>
      </w:r>
      <w:r>
        <w:rPr>
          <w:color w:val="auto"/>
          <w:szCs w:val="21"/>
        </w:rPr>
        <w:t>——</w:t>
      </w:r>
      <w:r>
        <w:rPr>
          <w:rFonts w:hAnsi="宋体"/>
          <w:color w:val="auto"/>
          <w:szCs w:val="21"/>
        </w:rPr>
        <w:t>大体积混凝土表面温度</w:t>
      </w:r>
      <w:r>
        <w:rPr>
          <w:color w:val="auto"/>
          <w:szCs w:val="21"/>
        </w:rPr>
        <w:t>（</w:t>
      </w:r>
      <w:r>
        <w:rPr>
          <w:rFonts w:ascii="宋体" w:hAnsi="宋体"/>
          <w:color w:val="auto"/>
          <w:szCs w:val="21"/>
        </w:rPr>
        <w:t>℃</w:t>
      </w:r>
      <w:r>
        <w:rPr>
          <w:color w:val="auto"/>
          <w:szCs w:val="21"/>
        </w:rPr>
        <w:t>）</w:t>
      </w:r>
      <w:r>
        <w:rPr>
          <w:rFonts w:hAnsi="宋体"/>
          <w:color w:val="auto"/>
          <w:szCs w:val="21"/>
        </w:rPr>
        <w:t>；</w:t>
      </w:r>
    </w:p>
    <w:p w14:paraId="09898406">
      <w:pPr>
        <w:adjustRightInd w:val="0"/>
        <w:snapToGrid w:val="0"/>
        <w:spacing w:line="340" w:lineRule="atLeast"/>
        <w:ind w:firstLine="770"/>
        <w:rPr>
          <w:color w:val="auto"/>
          <w:szCs w:val="21"/>
        </w:rPr>
      </w:pPr>
      <w:r>
        <w:rPr>
          <w:color w:val="auto"/>
          <w:position w:val="-6"/>
          <w:szCs w:val="21"/>
        </w:rPr>
        <w:object>
          <v:shape id="_x0000_i1577" o:spt="75" type="#_x0000_t75" style="height:14.25pt;width:14.25pt;" o:ole="t" filled="f" o:preferrelative="t" stroked="f" coordsize="21600,21600">
            <v:path/>
            <v:fill on="f" focussize="0,0"/>
            <v:stroke on="f" joinstyle="miter"/>
            <v:imagedata r:id="rId1088" o:title=""/>
            <o:lock v:ext="edit" aspectratio="t"/>
            <w10:wrap type="none"/>
            <w10:anchorlock/>
          </v:shape>
          <o:OLEObject Type="Embed" ProgID="Equation.DSMT4" ShapeID="_x0000_i1577" DrawAspect="Content" ObjectID="_1468076277" r:id="rId1087">
            <o:LockedField>false</o:LockedField>
          </o:OLEObject>
        </w:object>
      </w:r>
      <w:r>
        <w:rPr>
          <w:color w:val="auto"/>
          <w:szCs w:val="21"/>
        </w:rPr>
        <w:t>——</w:t>
      </w:r>
      <w:r>
        <w:rPr>
          <w:rFonts w:hAnsi="宋体"/>
          <w:color w:val="auto"/>
          <w:szCs w:val="21"/>
        </w:rPr>
        <w:t>温度膨胀系数，一般取</w:t>
      </w:r>
      <w:r>
        <w:rPr>
          <w:color w:val="auto"/>
          <w:szCs w:val="21"/>
        </w:rPr>
        <w:t>10×10</w:t>
      </w:r>
      <w:r>
        <w:rPr>
          <w:color w:val="auto"/>
          <w:szCs w:val="21"/>
          <w:vertAlign w:val="superscript"/>
        </w:rPr>
        <w:t>-6</w:t>
      </w:r>
      <w:r>
        <w:rPr>
          <w:color w:val="auto"/>
          <w:szCs w:val="21"/>
        </w:rPr>
        <w:t>/</w:t>
      </w:r>
      <w:r>
        <w:rPr>
          <w:rFonts w:ascii="宋体" w:hAnsi="宋体"/>
          <w:color w:val="auto"/>
          <w:szCs w:val="21"/>
        </w:rPr>
        <w:t>℃</w:t>
      </w:r>
      <w:r>
        <w:rPr>
          <w:rFonts w:hAnsi="宋体"/>
          <w:color w:val="auto"/>
          <w:szCs w:val="21"/>
        </w:rPr>
        <w:t>；</w:t>
      </w:r>
    </w:p>
    <w:p w14:paraId="03145423">
      <w:pPr>
        <w:adjustRightInd w:val="0"/>
        <w:snapToGrid w:val="0"/>
        <w:spacing w:line="340" w:lineRule="atLeast"/>
        <w:ind w:firstLine="728"/>
        <w:rPr>
          <w:color w:val="auto"/>
          <w:szCs w:val="21"/>
        </w:rPr>
      </w:pPr>
      <w:r>
        <w:rPr>
          <w:color w:val="auto"/>
          <w:position w:val="-14"/>
          <w:szCs w:val="21"/>
        </w:rPr>
        <w:object>
          <v:shape id="_x0000_i1578" o:spt="75" type="#_x0000_t75" style="height:21.75pt;width:14.25pt;" o:ole="t" filled="f" o:preferrelative="t" stroked="f" coordsize="21600,21600">
            <v:path/>
            <v:fill on="f" focussize="0,0"/>
            <v:stroke on="f" joinstyle="miter"/>
            <v:imagedata r:id="rId1090" o:title=""/>
            <o:lock v:ext="edit" aspectratio="t"/>
            <w10:wrap type="none"/>
            <w10:anchorlock/>
          </v:shape>
          <o:OLEObject Type="Embed" ProgID="Equation.DSMT4" ShapeID="_x0000_i1578" DrawAspect="Content" ObjectID="_1468076278" r:id="rId1089">
            <o:LockedField>false</o:LockedField>
          </o:OLEObject>
        </w:object>
      </w:r>
      <w:r>
        <w:rPr>
          <w:color w:val="auto"/>
          <w:szCs w:val="21"/>
        </w:rPr>
        <w:t>——</w:t>
      </w:r>
      <w:r>
        <w:rPr>
          <w:rFonts w:hAnsi="宋体"/>
          <w:color w:val="auto"/>
          <w:szCs w:val="21"/>
        </w:rPr>
        <w:t>混凝土极限拉应变，一般在</w:t>
      </w:r>
      <w:r>
        <w:rPr>
          <w:color w:val="auto"/>
          <w:szCs w:val="21"/>
        </w:rPr>
        <w:t>(50～100</w:t>
      </w:r>
      <w:r>
        <w:rPr>
          <w:rFonts w:hint="eastAsia"/>
          <w:color w:val="auto"/>
          <w:szCs w:val="21"/>
        </w:rPr>
        <w:t>)</w:t>
      </w:r>
      <w:r>
        <w:rPr>
          <w:color w:val="auto"/>
          <w:szCs w:val="21"/>
        </w:rPr>
        <w:t>×10</w:t>
      </w:r>
      <w:r>
        <w:rPr>
          <w:color w:val="auto"/>
          <w:szCs w:val="21"/>
          <w:vertAlign w:val="superscript"/>
        </w:rPr>
        <w:t>-6</w:t>
      </w:r>
      <w:r>
        <w:rPr>
          <w:rFonts w:hAnsi="宋体"/>
          <w:color w:val="auto"/>
          <w:szCs w:val="21"/>
        </w:rPr>
        <w:t>；</w:t>
      </w:r>
    </w:p>
    <w:p w14:paraId="5A8AB894">
      <w:pPr>
        <w:adjustRightInd w:val="0"/>
        <w:snapToGrid w:val="0"/>
        <w:spacing w:line="340" w:lineRule="atLeast"/>
        <w:ind w:left="1711" w:leftChars="372" w:hanging="930"/>
        <w:rPr>
          <w:color w:val="auto"/>
          <w:szCs w:val="21"/>
        </w:rPr>
      </w:pPr>
      <w:r>
        <w:rPr>
          <w:color w:val="auto"/>
          <w:position w:val="-4"/>
          <w:szCs w:val="21"/>
        </w:rPr>
        <w:object>
          <v:shape id="_x0000_i1579" o:spt="75" type="#_x0000_t75" style="height:14.25pt;width:14.25pt;" o:ole="t" filled="f" o:preferrelative="t" stroked="f" coordsize="21600,21600">
            <v:path/>
            <v:fill on="f" focussize="0,0"/>
            <v:stroke on="f" joinstyle="miter"/>
            <v:imagedata r:id="rId1092" o:title=""/>
            <o:lock v:ext="edit" aspectratio="t"/>
            <w10:wrap type="none"/>
            <w10:anchorlock/>
          </v:shape>
          <o:OLEObject Type="Embed" ProgID="Equation.DSMT4" ShapeID="_x0000_i1579" DrawAspect="Content" ObjectID="_1468076279" r:id="rId1091">
            <o:LockedField>false</o:LockedField>
          </o:OLEObject>
        </w:object>
      </w:r>
      <w:r>
        <w:rPr>
          <w:color w:val="auto"/>
          <w:szCs w:val="21"/>
        </w:rPr>
        <w:t>——</w:t>
      </w:r>
      <w:r>
        <w:rPr>
          <w:rFonts w:hAnsi="宋体"/>
          <w:color w:val="auto"/>
          <w:szCs w:val="21"/>
        </w:rPr>
        <w:t>常数，一般大于</w:t>
      </w:r>
      <w:r>
        <w:rPr>
          <w:color w:val="auto"/>
          <w:szCs w:val="21"/>
        </w:rPr>
        <w:t>5</w:t>
      </w:r>
      <w:r>
        <w:rPr>
          <w:rFonts w:hAnsi="宋体"/>
          <w:color w:val="auto"/>
          <w:szCs w:val="21"/>
        </w:rPr>
        <w:t>，取决于约束条件、徐变及塑性变形等。</w:t>
      </w:r>
    </w:p>
    <w:p w14:paraId="183C2FBB">
      <w:pPr>
        <w:adjustRightInd w:val="0"/>
        <w:snapToGrid w:val="0"/>
        <w:spacing w:line="340" w:lineRule="atLeast"/>
        <w:rPr>
          <w:color w:val="auto"/>
          <w:szCs w:val="21"/>
        </w:rPr>
      </w:pPr>
      <w:r>
        <w:rPr>
          <w:b/>
          <w:bCs/>
          <w:color w:val="auto"/>
          <w:szCs w:val="21"/>
        </w:rPr>
        <w:t>15.3.7</w:t>
      </w:r>
      <w:r>
        <w:rPr>
          <w:color w:val="auto"/>
          <w:szCs w:val="21"/>
        </w:rPr>
        <w:t xml:space="preserve">  </w:t>
      </w:r>
      <w:r>
        <w:rPr>
          <w:rFonts w:hAnsi="宋体"/>
          <w:color w:val="auto"/>
          <w:szCs w:val="21"/>
        </w:rPr>
        <w:t>混凝土的水化热绝热温升值可按</w:t>
      </w:r>
      <w:r>
        <w:rPr>
          <w:rFonts w:hint="eastAsia"/>
          <w:color w:val="auto"/>
          <w:lang w:val="en-US" w:eastAsia="zh-CN"/>
        </w:rPr>
        <w:t>公式（124）</w:t>
      </w:r>
      <w:r>
        <w:rPr>
          <w:rFonts w:hAnsi="宋体"/>
          <w:color w:val="auto"/>
          <w:szCs w:val="21"/>
        </w:rPr>
        <w:t>计算：</w:t>
      </w:r>
    </w:p>
    <w:p w14:paraId="4DE19514">
      <w:pPr>
        <w:pStyle w:val="12"/>
        <w:jc w:val="right"/>
        <w:rPr>
          <w:color w:val="auto"/>
        </w:rPr>
      </w:pPr>
      <w:r>
        <w:rPr>
          <w:color w:val="auto"/>
          <w:position w:val="-28"/>
        </w:rPr>
        <w:object>
          <v:shape id="_x0000_i1580" o:spt="75" type="#_x0000_t75" style="height:36pt;width:93.75pt;" o:ole="t" filled="f" o:preferrelative="t" stroked="f" coordsize="21600,21600">
            <v:path/>
            <v:fill on="f" focussize="0,0"/>
            <v:stroke on="f" joinstyle="miter"/>
            <v:imagedata r:id="rId1094" o:title=""/>
            <o:lock v:ext="edit" aspectratio="t"/>
            <w10:wrap type="none"/>
            <w10:anchorlock/>
          </v:shape>
          <o:OLEObject Type="Embed" ProgID="Equation.DSMT4" ShapeID="_x0000_i1580" DrawAspect="Content" ObjectID="_1468076280" r:id="rId1093">
            <o:LockedField>false</o:LockedField>
          </o:OLEObject>
        </w:object>
      </w:r>
      <w:r>
        <w:rPr>
          <w:color w:val="auto"/>
        </w:rPr>
        <w:t xml:space="preserve">                         (</w:t>
      </w:r>
      <w:r>
        <w:rPr>
          <w:color w:val="auto"/>
        </w:rPr>
        <w:fldChar w:fldCharType="begin"/>
      </w:r>
      <w:r>
        <w:rPr>
          <w:color w:val="auto"/>
        </w:rPr>
        <w:instrText xml:space="preserve"> SEQ Equation \* ARABIC </w:instrText>
      </w:r>
      <w:r>
        <w:rPr>
          <w:color w:val="auto"/>
        </w:rPr>
        <w:fldChar w:fldCharType="separate"/>
      </w:r>
      <w:r>
        <w:rPr>
          <w:color w:val="auto"/>
        </w:rPr>
        <w:t>124</w:t>
      </w:r>
      <w:r>
        <w:rPr>
          <w:color w:val="auto"/>
        </w:rPr>
        <w:fldChar w:fldCharType="end"/>
      </w:r>
      <w:r>
        <w:rPr>
          <w:color w:val="auto"/>
        </w:rPr>
        <w:t>)</w:t>
      </w:r>
    </w:p>
    <w:p w14:paraId="326989C2">
      <w:pPr>
        <w:adjustRightInd w:val="0"/>
        <w:snapToGrid w:val="0"/>
        <w:spacing w:line="340" w:lineRule="atLeast"/>
        <w:ind w:firstLine="420" w:firstLineChars="200"/>
        <w:rPr>
          <w:color w:val="auto"/>
          <w:szCs w:val="21"/>
        </w:rPr>
      </w:pPr>
      <w:r>
        <w:rPr>
          <w:rFonts w:hAnsi="宋体"/>
          <w:color w:val="auto"/>
          <w:szCs w:val="21"/>
        </w:rPr>
        <w:t>混凝土的最大水化热绝热温升值可按</w:t>
      </w:r>
      <w:r>
        <w:rPr>
          <w:rFonts w:hint="eastAsia"/>
          <w:color w:val="auto"/>
          <w:lang w:val="en-US" w:eastAsia="zh-CN"/>
        </w:rPr>
        <w:t>公式（125）</w:t>
      </w:r>
      <w:r>
        <w:rPr>
          <w:rFonts w:hAnsi="宋体"/>
          <w:color w:val="auto"/>
          <w:szCs w:val="21"/>
        </w:rPr>
        <w:t>计算：</w:t>
      </w:r>
    </w:p>
    <w:p w14:paraId="65CFD351">
      <w:pPr>
        <w:pStyle w:val="12"/>
        <w:jc w:val="right"/>
        <w:rPr>
          <w:color w:val="auto"/>
          <w:szCs w:val="21"/>
        </w:rPr>
      </w:pPr>
      <w:r>
        <w:rPr>
          <w:color w:val="auto"/>
          <w:position w:val="-28"/>
          <w:szCs w:val="21"/>
        </w:rPr>
        <w:object>
          <v:shape id="_x0000_i1581" o:spt="75" type="#_x0000_t75" style="height:36pt;width:57.75pt;" o:ole="t" filled="f" o:preferrelative="t" stroked="f" coordsize="21600,21600">
            <v:path/>
            <v:fill on="f" focussize="0,0"/>
            <v:stroke on="f" joinstyle="miter"/>
            <v:imagedata r:id="rId1096" o:title=""/>
            <o:lock v:ext="edit" aspectratio="t"/>
            <w10:wrap type="none"/>
            <w10:anchorlock/>
          </v:shape>
          <o:OLEObject Type="Embed" ProgID="Equation.DSMT4" ShapeID="_x0000_i1581" DrawAspect="Content" ObjectID="_1468076281" r:id="rId1095">
            <o:LockedField>false</o:LockedField>
          </o:OLEObject>
        </w:object>
      </w:r>
      <w:r>
        <w:rPr>
          <w:color w:val="auto"/>
          <w:szCs w:val="21"/>
        </w:rPr>
        <w:t xml:space="preserve">                            (</w:t>
      </w:r>
      <w:r>
        <w:rPr>
          <w:color w:val="auto"/>
          <w:szCs w:val="21"/>
        </w:rPr>
        <w:fldChar w:fldCharType="begin"/>
      </w:r>
      <w:r>
        <w:rPr>
          <w:color w:val="auto"/>
          <w:szCs w:val="21"/>
        </w:rPr>
        <w:instrText xml:space="preserve"> SEQ Equation \* ARABIC </w:instrText>
      </w:r>
      <w:r>
        <w:rPr>
          <w:color w:val="auto"/>
          <w:szCs w:val="21"/>
        </w:rPr>
        <w:fldChar w:fldCharType="separate"/>
      </w:r>
      <w:r>
        <w:rPr>
          <w:color w:val="auto"/>
          <w:szCs w:val="21"/>
        </w:rPr>
        <w:t>125</w:t>
      </w:r>
      <w:r>
        <w:rPr>
          <w:color w:val="auto"/>
          <w:szCs w:val="21"/>
        </w:rPr>
        <w:fldChar w:fldCharType="end"/>
      </w:r>
      <w:r>
        <w:rPr>
          <w:color w:val="auto"/>
          <w:szCs w:val="21"/>
        </w:rPr>
        <w:t>)</w:t>
      </w:r>
    </w:p>
    <w:p w14:paraId="00E2DC97">
      <w:pPr>
        <w:adjustRightInd w:val="0"/>
        <w:snapToGrid w:val="0"/>
        <w:spacing w:line="340" w:lineRule="atLeast"/>
        <w:rPr>
          <w:color w:val="auto"/>
          <w:szCs w:val="21"/>
        </w:rPr>
      </w:pPr>
      <w:r>
        <w:rPr>
          <w:rFonts w:hAnsi="宋体"/>
          <w:color w:val="auto"/>
          <w:szCs w:val="21"/>
        </w:rPr>
        <w:t>式中</w:t>
      </w:r>
      <w:r>
        <w:rPr>
          <w:color w:val="auto"/>
          <w:szCs w:val="21"/>
        </w:rPr>
        <w:t xml:space="preserve">  </w:t>
      </w:r>
      <w:r>
        <w:rPr>
          <w:color w:val="auto"/>
          <w:position w:val="-12"/>
          <w:szCs w:val="21"/>
        </w:rPr>
        <w:object>
          <v:shape id="_x0000_i1582" o:spt="75" type="#_x0000_t75" style="height:21.75pt;width:21.75pt;" o:ole="t" filled="f" o:preferrelative="t" stroked="f" coordsize="21600,21600">
            <v:path/>
            <v:fill on="f" focussize="0,0"/>
            <v:stroke on="f" joinstyle="miter"/>
            <v:imagedata r:id="rId1098" o:title=""/>
            <o:lock v:ext="edit" aspectratio="t"/>
            <w10:wrap type="none"/>
            <w10:anchorlock/>
          </v:shape>
          <o:OLEObject Type="Embed" ProgID="Equation.DSMT4" ShapeID="_x0000_i1582" DrawAspect="Content" ObjectID="_1468076282" r:id="rId1097">
            <o:LockedField>false</o:LockedField>
          </o:OLEObject>
        </w:object>
      </w:r>
      <w:r>
        <w:rPr>
          <w:color w:val="auto"/>
          <w:szCs w:val="21"/>
        </w:rPr>
        <w:t>——</w:t>
      </w:r>
      <w:r>
        <w:rPr>
          <w:i/>
          <w:color w:val="auto"/>
          <w:szCs w:val="21"/>
        </w:rPr>
        <w:t>t</w:t>
      </w:r>
      <w:r>
        <w:rPr>
          <w:rFonts w:hAnsi="宋体"/>
          <w:color w:val="auto"/>
          <w:szCs w:val="21"/>
        </w:rPr>
        <w:t>时间混凝土的水化热绝热温升值</w:t>
      </w:r>
      <w:r>
        <w:rPr>
          <w:color w:val="auto"/>
          <w:szCs w:val="21"/>
        </w:rPr>
        <w:t>（</w:t>
      </w:r>
      <w:r>
        <w:rPr>
          <w:rFonts w:ascii="宋体" w:hAnsi="宋体"/>
          <w:color w:val="auto"/>
          <w:szCs w:val="21"/>
        </w:rPr>
        <w:t>℃</w:t>
      </w:r>
      <w:r>
        <w:rPr>
          <w:color w:val="auto"/>
          <w:szCs w:val="21"/>
        </w:rPr>
        <w:t>）</w:t>
      </w:r>
      <w:r>
        <w:rPr>
          <w:rFonts w:hAnsi="宋体"/>
          <w:color w:val="auto"/>
          <w:szCs w:val="21"/>
        </w:rPr>
        <w:t>；</w:t>
      </w:r>
    </w:p>
    <w:p w14:paraId="483BC27A">
      <w:pPr>
        <w:ind w:firstLine="840" w:firstLineChars="400"/>
        <w:rPr>
          <w:color w:val="auto"/>
        </w:rPr>
      </w:pPr>
      <w:r>
        <w:rPr>
          <w:color w:val="auto"/>
          <w:position w:val="-6"/>
        </w:rPr>
        <w:object>
          <v:shape id="_x0000_i1583" o:spt="75" type="#_x0000_t75" style="height:14.25pt;width:14.25pt;" o:ole="t" filled="f" o:preferrelative="t" stroked="f" coordsize="21600,21600">
            <v:path/>
            <v:fill on="f" focussize="0,0"/>
            <v:stroke on="f" joinstyle="miter"/>
            <v:imagedata r:id="rId1100" o:title=""/>
            <o:lock v:ext="edit" aspectratio="t"/>
            <w10:wrap type="none"/>
            <w10:anchorlock/>
          </v:shape>
          <o:OLEObject Type="Embed" ProgID="Equation.DSMT4" ShapeID="_x0000_i1583" DrawAspect="Content" ObjectID="_1468076283" r:id="rId1099">
            <o:LockedField>false</o:LockedField>
          </o:OLEObject>
        </w:object>
      </w:r>
      <w:r>
        <w:rPr>
          <w:color w:val="auto"/>
        </w:rPr>
        <w:t>——</w:t>
      </w:r>
      <w:r>
        <w:rPr>
          <w:rFonts w:hAnsi="宋体"/>
          <w:color w:val="auto"/>
        </w:rPr>
        <w:t>每立方米混凝土的水泥用量</w:t>
      </w:r>
      <w:r>
        <w:rPr>
          <w:color w:val="auto"/>
        </w:rPr>
        <w:t>（kg）</w:t>
      </w:r>
      <w:r>
        <w:rPr>
          <w:rFonts w:hAnsi="宋体"/>
          <w:color w:val="auto"/>
        </w:rPr>
        <w:t>；</w:t>
      </w:r>
    </w:p>
    <w:p w14:paraId="5C47F402">
      <w:pPr>
        <w:adjustRightInd w:val="0"/>
        <w:snapToGrid w:val="0"/>
        <w:spacing w:line="340" w:lineRule="atLeast"/>
        <w:ind w:left="1564" w:leftChars="426" w:hanging="669" w:hangingChars="319"/>
        <w:rPr>
          <w:color w:val="auto"/>
          <w:szCs w:val="21"/>
        </w:rPr>
      </w:pPr>
      <w:r>
        <w:rPr>
          <w:color w:val="auto"/>
          <w:position w:val="-8"/>
          <w:szCs w:val="21"/>
        </w:rPr>
        <w:object>
          <v:shape id="_x0000_i1584" o:spt="75" type="#_x0000_t75" style="height:14.25pt;width:7.5pt;" o:ole="t" filled="f" o:preferrelative="t" stroked="f" coordsize="21600,21600">
            <v:path/>
            <v:fill on="f" focussize="0,0"/>
            <v:stroke on="f" joinstyle="miter"/>
            <v:imagedata r:id="rId1102" o:title=""/>
            <o:lock v:ext="edit" aspectratio="t"/>
            <w10:wrap type="none"/>
            <w10:anchorlock/>
          </v:shape>
          <o:OLEObject Type="Embed" ProgID="Equation.DSMT4" ShapeID="_x0000_i1584" DrawAspect="Content" ObjectID="_1468076284" r:id="rId1101">
            <o:LockedField>false</o:LockedField>
          </o:OLEObject>
        </w:object>
      </w:r>
      <w:r>
        <w:rPr>
          <w:color w:val="auto"/>
          <w:szCs w:val="21"/>
        </w:rPr>
        <w:t>——</w:t>
      </w:r>
      <w:r>
        <w:rPr>
          <w:rFonts w:hAnsi="宋体"/>
          <w:color w:val="auto"/>
          <w:szCs w:val="21"/>
        </w:rPr>
        <w:t>每千克水泥水化热量（</w:t>
      </w:r>
      <w:r>
        <w:rPr>
          <w:color w:val="auto"/>
          <w:szCs w:val="21"/>
        </w:rPr>
        <w:t>J/kg</w:t>
      </w:r>
      <w:r>
        <w:rPr>
          <w:rFonts w:hAnsi="宋体"/>
          <w:color w:val="auto"/>
          <w:szCs w:val="21"/>
        </w:rPr>
        <w:t>），根据所用水泥由试验测定；</w:t>
      </w:r>
    </w:p>
    <w:p w14:paraId="2217DFCC">
      <w:pPr>
        <w:adjustRightInd w:val="0"/>
        <w:snapToGrid w:val="0"/>
        <w:spacing w:line="340" w:lineRule="atLeast"/>
        <w:ind w:firstLine="840" w:firstLineChars="400"/>
        <w:rPr>
          <w:color w:val="auto"/>
          <w:szCs w:val="21"/>
        </w:rPr>
      </w:pPr>
      <w:r>
        <w:rPr>
          <w:color w:val="auto"/>
          <w:position w:val="-6"/>
          <w:szCs w:val="21"/>
        </w:rPr>
        <w:object>
          <v:shape id="_x0000_i1585" o:spt="75" type="#_x0000_t75" style="height:14.25pt;width:14.25pt;" o:ole="t" filled="f" o:preferrelative="t" stroked="f" coordsize="21600,21600">
            <v:path/>
            <v:fill on="f" focussize="0,0"/>
            <v:stroke on="f" joinstyle="miter"/>
            <v:imagedata r:id="rId1104" o:title=""/>
            <o:lock v:ext="edit" aspectratio="t"/>
            <w10:wrap type="none"/>
            <w10:anchorlock/>
          </v:shape>
          <o:OLEObject Type="Embed" ProgID="Equation.DSMT4" ShapeID="_x0000_i1585" DrawAspect="Content" ObjectID="_1468076285" r:id="rId1103">
            <o:LockedField>false</o:LockedField>
          </o:OLEObject>
        </w:object>
      </w:r>
      <w:r>
        <w:rPr>
          <w:color w:val="auto"/>
          <w:szCs w:val="21"/>
        </w:rPr>
        <w:t>——</w:t>
      </w:r>
      <w:r>
        <w:rPr>
          <w:rFonts w:hAnsi="宋体"/>
          <w:color w:val="auto"/>
          <w:szCs w:val="21"/>
        </w:rPr>
        <w:t>混凝土的比热，</w:t>
      </w:r>
      <w:r>
        <w:rPr>
          <w:color w:val="auto"/>
          <w:szCs w:val="21"/>
        </w:rPr>
        <w:t xml:space="preserve"> 0.92～1.00</w:t>
      </w:r>
      <w:r>
        <w:rPr>
          <w:rFonts w:hAnsi="宋体"/>
          <w:color w:val="auto"/>
          <w:szCs w:val="21"/>
        </w:rPr>
        <w:t>，一般取</w:t>
      </w:r>
      <w:r>
        <w:rPr>
          <w:color w:val="auto"/>
          <w:szCs w:val="21"/>
        </w:rPr>
        <w:t>0.96（J/kg•K）</w:t>
      </w:r>
      <w:r>
        <w:rPr>
          <w:rFonts w:hAnsi="宋体"/>
          <w:color w:val="auto"/>
          <w:szCs w:val="21"/>
        </w:rPr>
        <w:t>；</w:t>
      </w:r>
    </w:p>
    <w:p w14:paraId="713D601D">
      <w:pPr>
        <w:adjustRightInd w:val="0"/>
        <w:snapToGrid w:val="0"/>
        <w:spacing w:line="340" w:lineRule="atLeast"/>
        <w:ind w:firstLine="867" w:firstLineChars="413"/>
        <w:rPr>
          <w:color w:val="auto"/>
          <w:szCs w:val="21"/>
        </w:rPr>
      </w:pPr>
      <w:r>
        <w:rPr>
          <w:color w:val="auto"/>
          <w:position w:val="-10"/>
          <w:szCs w:val="21"/>
        </w:rPr>
        <w:object>
          <v:shape id="_x0000_i1586" o:spt="75" type="#_x0000_t75" style="height:14.25pt;width:14.25pt;" o:ole="t" filled="f" o:preferrelative="t" stroked="f" coordsize="21600,21600">
            <v:path/>
            <v:fill on="f" focussize="0,0"/>
            <v:stroke on="f" joinstyle="miter"/>
            <v:imagedata r:id="rId1106" o:title=""/>
            <o:lock v:ext="edit" aspectratio="t"/>
            <w10:wrap type="none"/>
            <w10:anchorlock/>
          </v:shape>
          <o:OLEObject Type="Embed" ProgID="Equation.DSMT4" ShapeID="_x0000_i1586" DrawAspect="Content" ObjectID="_1468076286" r:id="rId1105">
            <o:LockedField>false</o:LockedField>
          </o:OLEObject>
        </w:object>
      </w:r>
      <w:r>
        <w:rPr>
          <w:color w:val="auto"/>
          <w:szCs w:val="21"/>
        </w:rPr>
        <w:t>——</w:t>
      </w:r>
      <w:r>
        <w:rPr>
          <w:rFonts w:hAnsi="宋体"/>
          <w:color w:val="auto"/>
          <w:szCs w:val="21"/>
        </w:rPr>
        <w:t>混凝土的质量密度，取</w:t>
      </w:r>
      <w:r>
        <w:rPr>
          <w:color w:val="auto"/>
          <w:szCs w:val="21"/>
        </w:rPr>
        <w:t>2400kg/m</w:t>
      </w:r>
      <w:r>
        <w:rPr>
          <w:color w:val="auto"/>
          <w:szCs w:val="21"/>
          <w:vertAlign w:val="superscript"/>
        </w:rPr>
        <w:t>3</w:t>
      </w:r>
      <w:r>
        <w:rPr>
          <w:rFonts w:hAnsi="宋体"/>
          <w:color w:val="auto"/>
          <w:szCs w:val="21"/>
        </w:rPr>
        <w:t>；</w:t>
      </w:r>
    </w:p>
    <w:p w14:paraId="6E65B54B">
      <w:pPr>
        <w:adjustRightInd w:val="0"/>
        <w:snapToGrid w:val="0"/>
        <w:spacing w:line="340" w:lineRule="atLeast"/>
        <w:ind w:firstLine="909" w:firstLineChars="433"/>
        <w:rPr>
          <w:color w:val="auto"/>
          <w:szCs w:val="21"/>
        </w:rPr>
      </w:pPr>
      <w:r>
        <w:rPr>
          <w:color w:val="auto"/>
          <w:position w:val="-6"/>
          <w:szCs w:val="21"/>
        </w:rPr>
        <w:object>
          <v:shape id="_x0000_i1587" o:spt="75" type="#_x0000_t75" style="height:7.5pt;width:7.5pt;" o:ole="t" filled="f" o:preferrelative="t" stroked="f" coordsize="21600,21600">
            <v:path/>
            <v:fill on="f" focussize="0,0"/>
            <v:stroke on="f" joinstyle="miter"/>
            <v:imagedata r:id="rId1108" o:title=""/>
            <o:lock v:ext="edit" aspectratio="t"/>
            <w10:wrap type="none"/>
            <w10:anchorlock/>
          </v:shape>
          <o:OLEObject Type="Embed" ProgID="Equation.DSMT4" ShapeID="_x0000_i1587" DrawAspect="Content" ObjectID="_1468076287" r:id="rId1107">
            <o:LockedField>false</o:LockedField>
          </o:OLEObject>
        </w:object>
      </w:r>
      <w:r>
        <w:rPr>
          <w:color w:val="auto"/>
          <w:szCs w:val="21"/>
        </w:rPr>
        <w:t>——</w:t>
      </w:r>
      <w:r>
        <w:rPr>
          <w:rFonts w:hAnsi="宋体"/>
          <w:color w:val="auto"/>
          <w:szCs w:val="21"/>
        </w:rPr>
        <w:t>常数，</w:t>
      </w:r>
      <w:r>
        <w:rPr>
          <w:i/>
          <w:color w:val="auto"/>
          <w:szCs w:val="21"/>
        </w:rPr>
        <w:t>e</w:t>
      </w:r>
      <w:r>
        <w:rPr>
          <w:color w:val="auto"/>
          <w:szCs w:val="21"/>
        </w:rPr>
        <w:t>=2.718</w:t>
      </w:r>
      <w:r>
        <w:rPr>
          <w:rFonts w:hAnsi="宋体"/>
          <w:color w:val="auto"/>
          <w:szCs w:val="21"/>
        </w:rPr>
        <w:t>；</w:t>
      </w:r>
    </w:p>
    <w:p w14:paraId="0EC48D0E">
      <w:pPr>
        <w:adjustRightInd w:val="0"/>
        <w:snapToGrid w:val="0"/>
        <w:spacing w:line="340" w:lineRule="atLeast"/>
        <w:ind w:left="1492" w:leftChars="413" w:hanging="625" w:hangingChars="298"/>
        <w:rPr>
          <w:color w:val="auto"/>
          <w:szCs w:val="21"/>
        </w:rPr>
      </w:pPr>
      <w:r>
        <w:rPr>
          <w:color w:val="auto"/>
          <w:position w:val="-6"/>
          <w:szCs w:val="21"/>
        </w:rPr>
        <w:object>
          <v:shape id="_x0000_i1588" o:spt="75" type="#_x0000_t75" style="height:7.5pt;width:14.25pt;" o:ole="t" filled="f" o:preferrelative="t" stroked="f" coordsize="21600,21600">
            <v:path/>
            <v:fill on="f" focussize="0,0"/>
            <v:stroke on="f" joinstyle="miter"/>
            <v:imagedata r:id="rId1110" o:title=""/>
            <o:lock v:ext="edit" aspectratio="t"/>
            <w10:wrap type="none"/>
            <w10:anchorlock/>
          </v:shape>
          <o:OLEObject Type="Embed" ProgID="Equation.DSMT4" ShapeID="_x0000_i1588" DrawAspect="Content" ObjectID="_1468076288" r:id="rId1109">
            <o:LockedField>false</o:LockedField>
          </o:OLEObject>
        </w:object>
      </w:r>
      <w:r>
        <w:rPr>
          <w:color w:val="auto"/>
          <w:szCs w:val="21"/>
        </w:rPr>
        <w:t>——</w:t>
      </w:r>
      <w:r>
        <w:rPr>
          <w:rFonts w:hAnsi="宋体"/>
          <w:color w:val="auto"/>
          <w:szCs w:val="21"/>
        </w:rPr>
        <w:t>与水泥品种、浇筑时的温度有关的经验系数，一般取</w:t>
      </w:r>
      <w:r>
        <w:rPr>
          <w:color w:val="auto"/>
          <w:szCs w:val="21"/>
        </w:rPr>
        <w:t>0.2～0.4</w:t>
      </w:r>
      <w:r>
        <w:rPr>
          <w:rFonts w:hAnsi="宋体"/>
          <w:color w:val="auto"/>
          <w:szCs w:val="21"/>
        </w:rPr>
        <w:t>；</w:t>
      </w:r>
    </w:p>
    <w:p w14:paraId="7FAEEA6A">
      <w:pPr>
        <w:adjustRightInd w:val="0"/>
        <w:snapToGrid w:val="0"/>
        <w:spacing w:line="340" w:lineRule="atLeast"/>
        <w:ind w:firstLine="965" w:firstLineChars="460"/>
        <w:rPr>
          <w:color w:val="auto"/>
          <w:szCs w:val="21"/>
        </w:rPr>
      </w:pPr>
      <w:r>
        <w:rPr>
          <w:color w:val="auto"/>
          <w:position w:val="-6"/>
          <w:szCs w:val="21"/>
        </w:rPr>
        <w:object>
          <v:shape id="_x0000_i1589" o:spt="75" type="#_x0000_t75" style="height:14.25pt;width:7.5pt;" o:ole="t" filled="f" o:preferrelative="t" stroked="f" coordsize="21600,21600">
            <v:path/>
            <v:fill on="f" focussize="0,0"/>
            <v:stroke on="f" joinstyle="miter"/>
            <v:imagedata r:id="rId1112" o:title=""/>
            <o:lock v:ext="edit" aspectratio="t"/>
            <w10:wrap type="none"/>
            <w10:anchorlock/>
          </v:shape>
          <o:OLEObject Type="Embed" ProgID="Equation.DSMT4" ShapeID="_x0000_i1589" DrawAspect="Content" ObjectID="_1468076289" r:id="rId1111">
            <o:LockedField>false</o:LockedField>
          </o:OLEObject>
        </w:object>
      </w:r>
      <w:r>
        <w:rPr>
          <w:color w:val="auto"/>
          <w:szCs w:val="21"/>
        </w:rPr>
        <w:t>——</w:t>
      </w:r>
      <w:r>
        <w:rPr>
          <w:rFonts w:hAnsi="宋体"/>
          <w:color w:val="auto"/>
          <w:szCs w:val="21"/>
        </w:rPr>
        <w:t>混凝土浇筑后至计算时的天数</w:t>
      </w:r>
      <w:r>
        <w:rPr>
          <w:color w:val="auto"/>
          <w:szCs w:val="21"/>
        </w:rPr>
        <w:t>（day）</w:t>
      </w:r>
      <w:r>
        <w:rPr>
          <w:rFonts w:hAnsi="宋体"/>
          <w:color w:val="auto"/>
          <w:szCs w:val="21"/>
        </w:rPr>
        <w:t>。</w:t>
      </w:r>
    </w:p>
    <w:p w14:paraId="531E758F">
      <w:pPr>
        <w:adjustRightInd w:val="0"/>
        <w:snapToGrid w:val="0"/>
        <w:spacing w:line="340" w:lineRule="atLeast"/>
        <w:rPr>
          <w:color w:val="auto"/>
          <w:szCs w:val="21"/>
        </w:rPr>
      </w:pPr>
      <w:r>
        <w:rPr>
          <w:b/>
          <w:bCs/>
          <w:color w:val="auto"/>
          <w:szCs w:val="21"/>
        </w:rPr>
        <w:t>15.3.8</w:t>
      </w:r>
      <w:r>
        <w:rPr>
          <w:color w:val="auto"/>
          <w:szCs w:val="21"/>
        </w:rPr>
        <w:t xml:space="preserve">  </w:t>
      </w:r>
      <w:r>
        <w:rPr>
          <w:rFonts w:hAnsi="宋体"/>
          <w:color w:val="auto"/>
          <w:szCs w:val="21"/>
        </w:rPr>
        <w:t>大体积基础混凝土应做到分层浇筑、分层捣实，保证上、下层混凝土在初凝之前结合好，不致形成施工缝。也可以留置基础后浇带。所浇筑的混凝土经一段时间养护干缩后，采用补偿收缩混凝土浇筑后浇带。有经验时也可设置膨胀加强带，连续浇筑，膨胀加强带采用补偿收缩混凝土浇筑。</w:t>
      </w:r>
    </w:p>
    <w:p w14:paraId="5D265F41">
      <w:pPr>
        <w:adjustRightInd w:val="0"/>
        <w:snapToGrid w:val="0"/>
        <w:spacing w:line="340" w:lineRule="atLeast"/>
        <w:rPr>
          <w:color w:val="auto"/>
          <w:szCs w:val="21"/>
        </w:rPr>
      </w:pPr>
      <w:r>
        <w:rPr>
          <w:b/>
          <w:bCs/>
          <w:color w:val="auto"/>
          <w:szCs w:val="21"/>
        </w:rPr>
        <w:t>15.3.9</w:t>
      </w:r>
      <w:r>
        <w:rPr>
          <w:color w:val="auto"/>
          <w:szCs w:val="21"/>
        </w:rPr>
        <w:t xml:space="preserve">  </w:t>
      </w:r>
      <w:r>
        <w:rPr>
          <w:rFonts w:hAnsi="宋体"/>
          <w:color w:val="auto"/>
          <w:szCs w:val="21"/>
        </w:rPr>
        <w:t>大体积混凝土的浇筑方案应根据整体性要求、构件尺寸、钢筋疏密、混凝土的供应等具体情况，按图</w:t>
      </w:r>
      <w:r>
        <w:rPr>
          <w:color w:val="auto"/>
          <w:szCs w:val="21"/>
        </w:rPr>
        <w:t>36</w:t>
      </w:r>
      <w:r>
        <w:rPr>
          <w:rFonts w:hAnsi="宋体"/>
          <w:color w:val="auto"/>
          <w:szCs w:val="21"/>
        </w:rPr>
        <w:t>选用全面分层、分段分层或斜面分层的方式浇筑。</w:t>
      </w:r>
    </w:p>
    <w:p w14:paraId="456F23CB">
      <w:pPr>
        <w:adjustRightInd w:val="0"/>
        <w:snapToGrid w:val="0"/>
        <w:spacing w:line="340" w:lineRule="atLeast"/>
        <w:ind w:firstLine="420" w:firstLineChars="200"/>
        <w:rPr>
          <w:color w:val="auto"/>
          <w:szCs w:val="21"/>
        </w:rPr>
      </w:pPr>
      <w:r>
        <w:rPr>
          <w:rFonts w:hAnsi="宋体"/>
          <w:color w:val="auto"/>
          <w:szCs w:val="21"/>
        </w:rPr>
        <w:t>分层厚度取决于振动棒的棒长和振动力的大小，也要考虑混凝土的供应速度和浇筑量的多少，一般为</w:t>
      </w:r>
      <w:r>
        <w:rPr>
          <w:color w:val="auto"/>
          <w:szCs w:val="21"/>
        </w:rPr>
        <w:t>300mm～500mm</w:t>
      </w:r>
      <w:r>
        <w:rPr>
          <w:rFonts w:hAnsi="宋体"/>
          <w:color w:val="auto"/>
          <w:szCs w:val="21"/>
        </w:rPr>
        <w:t>。</w:t>
      </w:r>
    </w:p>
    <w:p w14:paraId="3C8480AB">
      <w:pPr>
        <w:adjustRightInd w:val="0"/>
        <w:snapToGrid w:val="0"/>
        <w:spacing w:line="340" w:lineRule="atLeast"/>
        <w:jc w:val="center"/>
        <w:rPr>
          <w:color w:val="auto"/>
          <w:szCs w:val="21"/>
        </w:rPr>
      </w:pPr>
      <w:r>
        <w:rPr>
          <w:color w:val="auto"/>
          <w:szCs w:val="21"/>
        </w:rPr>
        <w:drawing>
          <wp:inline distT="0" distB="0" distL="0" distR="0">
            <wp:extent cx="4886325" cy="1590675"/>
            <wp:effectExtent l="0" t="0" r="0" b="952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a:xfrm>
                      <a:off x="0" y="0"/>
                      <a:ext cx="4886325" cy="1590675"/>
                    </a:xfrm>
                    <a:prstGeom prst="rect">
                      <a:avLst/>
                    </a:prstGeom>
                    <a:noFill/>
                    <a:ln>
                      <a:noFill/>
                    </a:ln>
                  </pic:spPr>
                </pic:pic>
              </a:graphicData>
            </a:graphic>
          </wp:inline>
        </w:drawing>
      </w:r>
    </w:p>
    <w:p w14:paraId="15AD248D">
      <w:pPr>
        <w:adjustRightInd w:val="0"/>
        <w:snapToGrid w:val="0"/>
        <w:spacing w:line="340" w:lineRule="atLeast"/>
        <w:jc w:val="center"/>
        <w:rPr>
          <w:b/>
          <w:color w:val="auto"/>
          <w:sz w:val="18"/>
          <w:szCs w:val="18"/>
        </w:rPr>
      </w:pPr>
      <w:r>
        <w:rPr>
          <w:rFonts w:hAnsi="宋体"/>
          <w:b/>
          <w:color w:val="auto"/>
          <w:sz w:val="18"/>
          <w:szCs w:val="18"/>
        </w:rPr>
        <w:t>图</w:t>
      </w:r>
      <w:r>
        <w:rPr>
          <w:b/>
          <w:color w:val="auto"/>
          <w:sz w:val="18"/>
          <w:szCs w:val="18"/>
        </w:rPr>
        <w:t xml:space="preserve">36  </w:t>
      </w:r>
      <w:r>
        <w:rPr>
          <w:rFonts w:hAnsi="宋体"/>
          <w:b/>
          <w:color w:val="auto"/>
          <w:sz w:val="18"/>
          <w:szCs w:val="18"/>
        </w:rPr>
        <w:t>大体积基础混凝土浇筑分段分层示意</w:t>
      </w:r>
    </w:p>
    <w:p w14:paraId="34325A8D">
      <w:pPr>
        <w:adjustRightInd w:val="0"/>
        <w:snapToGrid w:val="0"/>
        <w:spacing w:line="340" w:lineRule="atLeast"/>
        <w:jc w:val="left"/>
        <w:rPr>
          <w:b/>
          <w:bCs/>
          <w:color w:val="auto"/>
          <w:szCs w:val="21"/>
        </w:rPr>
      </w:pPr>
      <w:r>
        <w:rPr>
          <w:b/>
          <w:bCs/>
          <w:color w:val="auto"/>
          <w:szCs w:val="21"/>
        </w:rPr>
        <w:t xml:space="preserve">15.3.10 </w:t>
      </w:r>
      <w:r>
        <w:rPr>
          <w:rFonts w:hint="eastAsia"/>
          <w:color w:val="auto"/>
        </w:rPr>
        <w:t>大面积基础底板宜采用跳仓法施工，跳仓法施工应编制专项方案。</w:t>
      </w:r>
    </w:p>
    <w:p w14:paraId="77E8FF36">
      <w:pPr>
        <w:adjustRightInd w:val="0"/>
        <w:snapToGrid w:val="0"/>
        <w:spacing w:line="340" w:lineRule="atLeast"/>
        <w:jc w:val="center"/>
        <w:rPr>
          <w:b/>
          <w:bCs/>
          <w:color w:val="auto"/>
          <w:szCs w:val="21"/>
        </w:rPr>
      </w:pPr>
    </w:p>
    <w:p w14:paraId="10681ACB">
      <w:pPr>
        <w:adjustRightInd w:val="0"/>
        <w:snapToGrid w:val="0"/>
        <w:spacing w:line="340" w:lineRule="exact"/>
        <w:outlineLvl w:val="1"/>
        <w:rPr>
          <w:rFonts w:eastAsia="黑体"/>
          <w:b/>
          <w:bCs/>
          <w:color w:val="auto"/>
          <w:szCs w:val="21"/>
        </w:rPr>
      </w:pPr>
      <w:bookmarkStart w:id="87" w:name="_Toc199943630"/>
      <w:r>
        <w:rPr>
          <w:rFonts w:eastAsia="黑体"/>
          <w:b/>
          <w:bCs/>
          <w:color w:val="auto"/>
          <w:szCs w:val="21"/>
        </w:rPr>
        <w:t>15.4  钻孔灌注桩后压浆施工</w:t>
      </w:r>
      <w:bookmarkEnd w:id="87"/>
    </w:p>
    <w:p w14:paraId="637E31B8">
      <w:pPr>
        <w:adjustRightInd w:val="0"/>
        <w:snapToGrid w:val="0"/>
        <w:spacing w:line="340" w:lineRule="atLeast"/>
        <w:rPr>
          <w:b/>
          <w:bCs/>
          <w:color w:val="auto"/>
          <w:szCs w:val="21"/>
        </w:rPr>
      </w:pPr>
    </w:p>
    <w:p w14:paraId="3EE23A49">
      <w:pPr>
        <w:adjustRightInd w:val="0"/>
        <w:snapToGrid w:val="0"/>
        <w:spacing w:line="340" w:lineRule="atLeast"/>
        <w:rPr>
          <w:color w:val="auto"/>
          <w:szCs w:val="21"/>
        </w:rPr>
      </w:pPr>
      <w:r>
        <w:rPr>
          <w:b/>
          <w:bCs/>
          <w:color w:val="auto"/>
          <w:szCs w:val="21"/>
        </w:rPr>
        <w:t>15.4.1</w:t>
      </w:r>
      <w:r>
        <w:rPr>
          <w:color w:val="auto"/>
          <w:szCs w:val="21"/>
        </w:rPr>
        <w:t xml:space="preserve">  </w:t>
      </w:r>
      <w:r>
        <w:rPr>
          <w:rFonts w:hAnsi="宋体"/>
          <w:color w:val="auto"/>
          <w:szCs w:val="21"/>
        </w:rPr>
        <w:t>钻孔灌注桩后压浆工艺适用于无流动地下水的岩层、卵砾石层、中粗砂夹卵砾石层、中粗砂、稍密和中密粉细砂</w:t>
      </w:r>
      <w:r>
        <w:rPr>
          <w:rFonts w:hint="eastAsia" w:hAnsi="宋体"/>
          <w:color w:val="auto"/>
          <w:szCs w:val="21"/>
        </w:rPr>
        <w:t>、粉土、黏性土</w:t>
      </w:r>
      <w:r>
        <w:rPr>
          <w:rFonts w:hAnsi="宋体"/>
          <w:color w:val="auto"/>
          <w:szCs w:val="21"/>
        </w:rPr>
        <w:t>等岩土层。对无工程经验的地区和土层，必须通过现场试验确定其适用性和处理效果。应先进行后压浆施工，然后再进行基坑土方开挖和深井降水。</w:t>
      </w:r>
    </w:p>
    <w:p w14:paraId="3409ADCE">
      <w:pPr>
        <w:adjustRightInd w:val="0"/>
        <w:snapToGrid w:val="0"/>
        <w:spacing w:line="340" w:lineRule="atLeast"/>
        <w:rPr>
          <w:color w:val="auto"/>
          <w:szCs w:val="21"/>
        </w:rPr>
      </w:pPr>
      <w:r>
        <w:rPr>
          <w:b/>
          <w:bCs/>
          <w:color w:val="auto"/>
          <w:szCs w:val="21"/>
        </w:rPr>
        <w:t>15.4.2</w:t>
      </w:r>
      <w:r>
        <w:rPr>
          <w:color w:val="auto"/>
          <w:szCs w:val="21"/>
        </w:rPr>
        <w:t xml:space="preserve">  </w:t>
      </w:r>
      <w:r>
        <w:rPr>
          <w:rFonts w:hAnsi="宋体"/>
          <w:color w:val="auto"/>
          <w:szCs w:val="21"/>
        </w:rPr>
        <w:t>钻孔灌注桩后压浆工艺可用于消除沉渣及混凝土离析对承载力的影响，提高钻孔灌注桩竖向承载力。后压浆方式可分为桩侧压浆和桩端压浆以及桩侧、桩端复</w:t>
      </w:r>
      <w:r>
        <w:rPr>
          <w:rFonts w:hint="eastAsia" w:hAnsi="宋体"/>
          <w:color w:val="auto"/>
          <w:szCs w:val="21"/>
        </w:rPr>
        <w:t>合</w:t>
      </w:r>
      <w:r>
        <w:rPr>
          <w:rFonts w:hAnsi="宋体"/>
          <w:color w:val="auto"/>
          <w:szCs w:val="21"/>
        </w:rPr>
        <w:t>压浆。</w:t>
      </w:r>
    </w:p>
    <w:p w14:paraId="473B0187">
      <w:pPr>
        <w:adjustRightInd w:val="0"/>
        <w:snapToGrid w:val="0"/>
        <w:spacing w:line="340" w:lineRule="atLeast"/>
        <w:rPr>
          <w:b/>
          <w:bCs/>
          <w:color w:val="auto"/>
          <w:szCs w:val="21"/>
        </w:rPr>
      </w:pPr>
      <w:r>
        <w:rPr>
          <w:b/>
          <w:bCs/>
          <w:color w:val="auto"/>
          <w:szCs w:val="21"/>
        </w:rPr>
        <w:t>15.4.3</w:t>
      </w:r>
      <w:r>
        <w:rPr>
          <w:color w:val="auto"/>
          <w:szCs w:val="21"/>
        </w:rPr>
        <w:t xml:space="preserve">  </w:t>
      </w:r>
      <w:r>
        <w:rPr>
          <w:rFonts w:hAnsi="宋体"/>
          <w:color w:val="auto"/>
          <w:szCs w:val="21"/>
        </w:rPr>
        <w:t>钻孔灌注桩后压浆工艺压浆时应注意观测场地附近有无渗浆现象，防止对邻近设施造成影响。</w:t>
      </w:r>
    </w:p>
    <w:p w14:paraId="16FC1091">
      <w:pPr>
        <w:adjustRightInd w:val="0"/>
        <w:snapToGrid w:val="0"/>
        <w:spacing w:line="340" w:lineRule="atLeast"/>
        <w:rPr>
          <w:color w:val="auto"/>
          <w:szCs w:val="21"/>
        </w:rPr>
      </w:pPr>
      <w:r>
        <w:rPr>
          <w:b/>
          <w:bCs/>
          <w:color w:val="auto"/>
          <w:szCs w:val="21"/>
        </w:rPr>
        <w:t>15.4.4</w:t>
      </w:r>
      <w:r>
        <w:rPr>
          <w:color w:val="auto"/>
          <w:szCs w:val="21"/>
        </w:rPr>
        <w:t xml:space="preserve">  </w:t>
      </w:r>
      <w:r>
        <w:rPr>
          <w:rFonts w:hAnsi="宋体"/>
          <w:color w:val="auto"/>
          <w:szCs w:val="21"/>
        </w:rPr>
        <w:t>对桩径</w:t>
      </w:r>
      <w:r>
        <w:rPr>
          <w:color w:val="auto"/>
          <w:szCs w:val="21"/>
        </w:rPr>
        <w:t>600mm</w:t>
      </w:r>
      <w:r>
        <w:rPr>
          <w:rFonts w:hAnsi="宋体"/>
          <w:color w:val="auto"/>
          <w:szCs w:val="21"/>
        </w:rPr>
        <w:t>以上的桩，桩身纵向通长钢筋不宜少于</w:t>
      </w:r>
      <w:r>
        <w:rPr>
          <w:color w:val="auto"/>
          <w:szCs w:val="21"/>
        </w:rPr>
        <w:t>6</w:t>
      </w:r>
      <w:r>
        <w:rPr>
          <w:rFonts w:hAnsi="宋体"/>
          <w:color w:val="auto"/>
          <w:szCs w:val="21"/>
        </w:rPr>
        <w:t>根。桩端</w:t>
      </w:r>
      <w:r>
        <w:rPr>
          <w:rFonts w:hint="eastAsia" w:hAnsi="宋体"/>
          <w:color w:val="auto"/>
          <w:szCs w:val="21"/>
        </w:rPr>
        <w:t>和</w:t>
      </w:r>
      <w:r>
        <w:rPr>
          <w:rFonts w:hAnsi="宋体"/>
          <w:color w:val="auto"/>
          <w:szCs w:val="21"/>
        </w:rPr>
        <w:t>桩侧压浆竖管</w:t>
      </w:r>
      <w:r>
        <w:rPr>
          <w:rFonts w:hint="eastAsia" w:hAnsi="宋体"/>
          <w:color w:val="auto"/>
          <w:szCs w:val="21"/>
        </w:rPr>
        <w:t>应沿桩周均匀布置，</w:t>
      </w:r>
      <w:r>
        <w:rPr>
          <w:rFonts w:hAnsi="宋体"/>
          <w:color w:val="auto"/>
          <w:szCs w:val="21"/>
        </w:rPr>
        <w:t>压浆竖管采用直径不小于</w:t>
      </w:r>
      <w:r>
        <w:rPr>
          <w:color w:val="auto"/>
          <w:szCs w:val="21"/>
        </w:rPr>
        <w:t>25mm</w:t>
      </w:r>
      <w:r>
        <w:rPr>
          <w:rFonts w:hAnsi="宋体"/>
          <w:color w:val="auto"/>
          <w:szCs w:val="21"/>
        </w:rPr>
        <w:t>且壁厚不小于</w:t>
      </w:r>
      <w:r>
        <w:rPr>
          <w:color w:val="auto"/>
          <w:szCs w:val="21"/>
        </w:rPr>
        <w:t>3mm</w:t>
      </w:r>
      <w:r>
        <w:rPr>
          <w:rFonts w:hAnsi="宋体"/>
          <w:color w:val="auto"/>
          <w:szCs w:val="21"/>
        </w:rPr>
        <w:t>钢管。压浆管上部露出自然地面</w:t>
      </w:r>
      <w:r>
        <w:rPr>
          <w:color w:val="auto"/>
          <w:szCs w:val="21"/>
        </w:rPr>
        <w:t>300mm</w:t>
      </w:r>
      <w:r>
        <w:rPr>
          <w:rFonts w:hAnsi="宋体"/>
          <w:color w:val="auto"/>
          <w:szCs w:val="21"/>
        </w:rPr>
        <w:t>，下部伸出钢筋笼底部以下</w:t>
      </w:r>
      <w:r>
        <w:rPr>
          <w:color w:val="auto"/>
          <w:szCs w:val="21"/>
        </w:rPr>
        <w:t>200mm</w:t>
      </w:r>
      <w:r>
        <w:rPr>
          <w:rFonts w:hAnsi="宋体"/>
          <w:color w:val="auto"/>
          <w:szCs w:val="21"/>
        </w:rPr>
        <w:t>，压浆管最上面一个接头距自然地面不应小于</w:t>
      </w:r>
      <w:r>
        <w:rPr>
          <w:color w:val="auto"/>
          <w:szCs w:val="21"/>
        </w:rPr>
        <w:t>6m</w:t>
      </w:r>
      <w:r>
        <w:rPr>
          <w:rFonts w:hAnsi="宋体"/>
          <w:color w:val="auto"/>
          <w:szCs w:val="21"/>
        </w:rPr>
        <w:t>。桩端压浆竖管的数量详表</w:t>
      </w:r>
      <w:r>
        <w:rPr>
          <w:color w:val="auto"/>
          <w:szCs w:val="21"/>
        </w:rPr>
        <w:t>66</w:t>
      </w:r>
      <w:r>
        <w:rPr>
          <w:rFonts w:hAnsi="宋体"/>
          <w:color w:val="auto"/>
          <w:szCs w:val="21"/>
        </w:rPr>
        <w:t>。</w:t>
      </w:r>
    </w:p>
    <w:p w14:paraId="280AF784">
      <w:pPr>
        <w:adjustRightInd w:val="0"/>
        <w:snapToGrid w:val="0"/>
        <w:spacing w:line="340" w:lineRule="atLeast"/>
        <w:ind w:firstLine="211" w:firstLineChars="100"/>
        <w:jc w:val="center"/>
        <w:rPr>
          <w:rFonts w:eastAsia="黑体"/>
          <w:b/>
          <w:bCs/>
          <w:color w:val="auto"/>
          <w:szCs w:val="21"/>
        </w:rPr>
      </w:pPr>
    </w:p>
    <w:p w14:paraId="78AA7E79">
      <w:pPr>
        <w:adjustRightInd w:val="0"/>
        <w:snapToGrid w:val="0"/>
        <w:spacing w:line="340" w:lineRule="atLeast"/>
        <w:ind w:firstLine="211" w:firstLineChars="100"/>
        <w:jc w:val="center"/>
        <w:rPr>
          <w:rFonts w:eastAsia="黑体"/>
          <w:b/>
          <w:bCs/>
          <w:color w:val="auto"/>
          <w:szCs w:val="21"/>
        </w:rPr>
      </w:pPr>
      <w:r>
        <w:rPr>
          <w:rFonts w:eastAsia="黑体"/>
          <w:b/>
          <w:bCs/>
          <w:color w:val="auto"/>
          <w:szCs w:val="21"/>
        </w:rPr>
        <w:t>表66  桩端后压浆管数量表</w:t>
      </w:r>
    </w:p>
    <w:tbl>
      <w:tblPr>
        <w:tblStyle w:val="36"/>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2"/>
        <w:gridCol w:w="4326"/>
      </w:tblGrid>
      <w:tr w14:paraId="5E39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92" w:type="dxa"/>
            <w:vAlign w:val="center"/>
          </w:tcPr>
          <w:p w14:paraId="7E9E6CAE">
            <w:pPr>
              <w:adjustRightInd w:val="0"/>
              <w:snapToGrid w:val="0"/>
              <w:spacing w:line="340" w:lineRule="atLeast"/>
              <w:jc w:val="center"/>
              <w:rPr>
                <w:color w:val="auto"/>
                <w:sz w:val="18"/>
                <w:szCs w:val="18"/>
              </w:rPr>
            </w:pPr>
            <w:r>
              <w:rPr>
                <w:rFonts w:hAnsi="宋体"/>
                <w:color w:val="auto"/>
                <w:sz w:val="18"/>
                <w:szCs w:val="18"/>
              </w:rPr>
              <w:t>桩直径</w:t>
            </w:r>
            <w:r>
              <w:rPr>
                <w:rFonts w:hint="eastAsia" w:hAnsi="宋体"/>
                <w:color w:val="auto"/>
                <w:sz w:val="18"/>
                <w:szCs w:val="18"/>
              </w:rPr>
              <w:t>d</w:t>
            </w:r>
            <w:r>
              <w:rPr>
                <w:rFonts w:hAnsi="宋体"/>
                <w:color w:val="auto"/>
                <w:sz w:val="18"/>
                <w:szCs w:val="18"/>
              </w:rPr>
              <w:t>（</w:t>
            </w:r>
            <w:r>
              <w:rPr>
                <w:color w:val="auto"/>
                <w:sz w:val="18"/>
                <w:szCs w:val="18"/>
              </w:rPr>
              <w:t>mm</w:t>
            </w:r>
            <w:r>
              <w:rPr>
                <w:rFonts w:hAnsi="宋体"/>
                <w:color w:val="auto"/>
                <w:sz w:val="18"/>
                <w:szCs w:val="18"/>
              </w:rPr>
              <w:t>）</w:t>
            </w:r>
          </w:p>
        </w:tc>
        <w:tc>
          <w:tcPr>
            <w:tcW w:w="4326" w:type="dxa"/>
            <w:vAlign w:val="center"/>
          </w:tcPr>
          <w:p w14:paraId="132C7B30">
            <w:pPr>
              <w:adjustRightInd w:val="0"/>
              <w:snapToGrid w:val="0"/>
              <w:spacing w:line="340" w:lineRule="atLeast"/>
              <w:jc w:val="center"/>
              <w:rPr>
                <w:color w:val="auto"/>
                <w:sz w:val="18"/>
                <w:szCs w:val="18"/>
              </w:rPr>
            </w:pPr>
            <w:r>
              <w:rPr>
                <w:rFonts w:hAnsi="宋体"/>
                <w:color w:val="auto"/>
                <w:sz w:val="18"/>
                <w:szCs w:val="18"/>
              </w:rPr>
              <w:t>桩端后压浆数量</w:t>
            </w:r>
          </w:p>
        </w:tc>
      </w:tr>
      <w:tr w14:paraId="50FB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92" w:type="dxa"/>
            <w:vAlign w:val="center"/>
          </w:tcPr>
          <w:p w14:paraId="028B57FE">
            <w:pPr>
              <w:adjustRightInd w:val="0"/>
              <w:snapToGrid w:val="0"/>
              <w:spacing w:line="340" w:lineRule="atLeast"/>
              <w:jc w:val="center"/>
              <w:rPr>
                <w:color w:val="auto"/>
                <w:sz w:val="18"/>
                <w:szCs w:val="18"/>
              </w:rPr>
            </w:pPr>
            <w:r>
              <w:rPr>
                <w:color w:val="auto"/>
                <w:sz w:val="18"/>
                <w:szCs w:val="18"/>
              </w:rPr>
              <w:t>600≤d≤1200</w:t>
            </w:r>
          </w:p>
        </w:tc>
        <w:tc>
          <w:tcPr>
            <w:tcW w:w="4326" w:type="dxa"/>
            <w:vAlign w:val="center"/>
          </w:tcPr>
          <w:p w14:paraId="46095239">
            <w:pPr>
              <w:adjustRightInd w:val="0"/>
              <w:snapToGrid w:val="0"/>
              <w:spacing w:line="340" w:lineRule="atLeast"/>
              <w:jc w:val="center"/>
              <w:rPr>
                <w:color w:val="auto"/>
                <w:sz w:val="18"/>
                <w:szCs w:val="18"/>
              </w:rPr>
            </w:pPr>
            <w:r>
              <w:rPr>
                <w:color w:val="auto"/>
                <w:sz w:val="18"/>
                <w:szCs w:val="18"/>
              </w:rPr>
              <w:t>2</w:t>
            </w:r>
            <w:r>
              <w:rPr>
                <w:rFonts w:hAnsi="宋体"/>
                <w:color w:val="auto"/>
                <w:sz w:val="18"/>
                <w:szCs w:val="18"/>
              </w:rPr>
              <w:t>根</w:t>
            </w:r>
          </w:p>
        </w:tc>
      </w:tr>
      <w:tr w14:paraId="2F95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92" w:type="dxa"/>
            <w:vAlign w:val="center"/>
          </w:tcPr>
          <w:p w14:paraId="047F5947">
            <w:pPr>
              <w:adjustRightInd w:val="0"/>
              <w:snapToGrid w:val="0"/>
              <w:spacing w:line="340" w:lineRule="atLeast"/>
              <w:jc w:val="center"/>
              <w:rPr>
                <w:color w:val="auto"/>
                <w:sz w:val="18"/>
                <w:szCs w:val="18"/>
              </w:rPr>
            </w:pPr>
            <w:r>
              <w:rPr>
                <w:color w:val="auto"/>
                <w:sz w:val="18"/>
                <w:szCs w:val="18"/>
              </w:rPr>
              <w:t>1200</w:t>
            </w:r>
            <w:r>
              <w:rPr>
                <w:rFonts w:hAnsi="宋体"/>
                <w:color w:val="auto"/>
                <w:sz w:val="18"/>
                <w:szCs w:val="18"/>
              </w:rPr>
              <w:t>＜</w:t>
            </w:r>
            <w:r>
              <w:rPr>
                <w:color w:val="auto"/>
                <w:sz w:val="18"/>
                <w:szCs w:val="18"/>
              </w:rPr>
              <w:t>d≤1500</w:t>
            </w:r>
          </w:p>
        </w:tc>
        <w:tc>
          <w:tcPr>
            <w:tcW w:w="4326" w:type="dxa"/>
            <w:vAlign w:val="center"/>
          </w:tcPr>
          <w:p w14:paraId="4B4321DF">
            <w:pPr>
              <w:adjustRightInd w:val="0"/>
              <w:snapToGrid w:val="0"/>
              <w:spacing w:line="340" w:lineRule="atLeast"/>
              <w:jc w:val="center"/>
              <w:rPr>
                <w:color w:val="auto"/>
                <w:sz w:val="18"/>
                <w:szCs w:val="18"/>
              </w:rPr>
            </w:pPr>
            <w:r>
              <w:rPr>
                <w:color w:val="auto"/>
                <w:sz w:val="18"/>
                <w:szCs w:val="18"/>
              </w:rPr>
              <w:t>3</w:t>
            </w:r>
            <w:r>
              <w:rPr>
                <w:rFonts w:hAnsi="宋体"/>
                <w:color w:val="auto"/>
                <w:sz w:val="18"/>
                <w:szCs w:val="18"/>
              </w:rPr>
              <w:t>根</w:t>
            </w:r>
          </w:p>
        </w:tc>
      </w:tr>
      <w:tr w14:paraId="38FB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792" w:type="dxa"/>
            <w:vAlign w:val="center"/>
          </w:tcPr>
          <w:p w14:paraId="78B0E56B">
            <w:pPr>
              <w:adjustRightInd w:val="0"/>
              <w:snapToGrid w:val="0"/>
              <w:spacing w:line="340" w:lineRule="atLeast"/>
              <w:jc w:val="center"/>
              <w:rPr>
                <w:color w:val="auto"/>
                <w:sz w:val="18"/>
                <w:szCs w:val="18"/>
              </w:rPr>
            </w:pPr>
            <w:r>
              <w:rPr>
                <w:color w:val="auto"/>
                <w:sz w:val="18"/>
                <w:szCs w:val="18"/>
              </w:rPr>
              <w:t>1500</w:t>
            </w:r>
            <w:r>
              <w:rPr>
                <w:rFonts w:hAnsi="宋体"/>
                <w:color w:val="auto"/>
                <w:sz w:val="18"/>
                <w:szCs w:val="18"/>
              </w:rPr>
              <w:t>＜</w:t>
            </w:r>
            <w:r>
              <w:rPr>
                <w:color w:val="auto"/>
                <w:sz w:val="18"/>
                <w:szCs w:val="18"/>
              </w:rPr>
              <w:t>d≤2000</w:t>
            </w:r>
          </w:p>
        </w:tc>
        <w:tc>
          <w:tcPr>
            <w:tcW w:w="4326" w:type="dxa"/>
            <w:vAlign w:val="center"/>
          </w:tcPr>
          <w:p w14:paraId="42DF5355">
            <w:pPr>
              <w:adjustRightInd w:val="0"/>
              <w:snapToGrid w:val="0"/>
              <w:spacing w:line="340" w:lineRule="atLeast"/>
              <w:jc w:val="center"/>
              <w:rPr>
                <w:color w:val="auto"/>
                <w:sz w:val="18"/>
                <w:szCs w:val="18"/>
              </w:rPr>
            </w:pPr>
            <w:r>
              <w:rPr>
                <w:color w:val="auto"/>
                <w:sz w:val="18"/>
                <w:szCs w:val="18"/>
              </w:rPr>
              <w:t>4</w:t>
            </w:r>
            <w:r>
              <w:rPr>
                <w:rFonts w:hAnsi="宋体"/>
                <w:color w:val="auto"/>
                <w:sz w:val="18"/>
                <w:szCs w:val="18"/>
              </w:rPr>
              <w:t>根</w:t>
            </w:r>
          </w:p>
        </w:tc>
      </w:tr>
    </w:tbl>
    <w:p w14:paraId="74E82FC9">
      <w:pPr>
        <w:adjustRightInd w:val="0"/>
        <w:snapToGrid w:val="0"/>
        <w:spacing w:line="340" w:lineRule="atLeast"/>
        <w:jc w:val="center"/>
        <w:rPr>
          <w:color w:val="auto"/>
          <w:szCs w:val="21"/>
        </w:rPr>
      </w:pPr>
    </w:p>
    <w:p w14:paraId="68123434">
      <w:pPr>
        <w:adjustRightInd w:val="0"/>
        <w:snapToGrid w:val="0"/>
        <w:spacing w:line="340" w:lineRule="atLeast"/>
        <w:rPr>
          <w:color w:val="auto"/>
          <w:szCs w:val="21"/>
        </w:rPr>
      </w:pPr>
      <w:r>
        <w:rPr>
          <w:b/>
          <w:bCs/>
          <w:color w:val="auto"/>
          <w:szCs w:val="21"/>
        </w:rPr>
        <w:t>15.4.5</w:t>
      </w:r>
      <w:r>
        <w:rPr>
          <w:color w:val="auto"/>
          <w:szCs w:val="21"/>
        </w:rPr>
        <w:t xml:space="preserve">  固化剂应选用强度等级</w:t>
      </w:r>
      <w:r>
        <w:rPr>
          <w:rFonts w:hint="eastAsia"/>
          <w:color w:val="auto"/>
          <w:szCs w:val="21"/>
        </w:rPr>
        <w:t>4</w:t>
      </w:r>
      <w:r>
        <w:rPr>
          <w:color w:val="auto"/>
          <w:szCs w:val="21"/>
        </w:rPr>
        <w:t>2.5及以上的通</w:t>
      </w:r>
      <w:r>
        <w:rPr>
          <w:rFonts w:hint="eastAsia"/>
          <w:color w:val="auto"/>
          <w:szCs w:val="21"/>
        </w:rPr>
        <w:t>用</w:t>
      </w:r>
      <w:r>
        <w:rPr>
          <w:color w:val="auto"/>
          <w:szCs w:val="21"/>
        </w:rPr>
        <w:t>硅酸盐水泥。每根桩的桩端压浆量（压浆管共压入的水泥重量）应考虑桩径、桩长、土层等情况，根据工程试验结果确定，但不宜少于表67中的数值。水灰比控制在0.4～0.65，终止压力2.0MPa～4.0MPa，岩</w:t>
      </w:r>
      <w:r>
        <w:rPr>
          <w:rFonts w:hint="eastAsia"/>
          <w:color w:val="auto"/>
          <w:szCs w:val="21"/>
        </w:rPr>
        <w:t>层</w:t>
      </w:r>
      <w:r>
        <w:rPr>
          <w:color w:val="auto"/>
          <w:szCs w:val="21"/>
        </w:rPr>
        <w:t>、非饱和黏性土及粉土终止压力可为3.0MPa～10.0MPa。压浆参数应以压浆量控制为主，压力控制为辅。外掺剂可根据工程需要和土质条件选用具有早强、缓凝等作用的材料，但应避免环境污染。</w:t>
      </w:r>
    </w:p>
    <w:p w14:paraId="751D08AD">
      <w:pPr>
        <w:adjustRightInd w:val="0"/>
        <w:snapToGrid w:val="0"/>
        <w:spacing w:before="240" w:line="340" w:lineRule="atLeast"/>
        <w:ind w:firstLine="211" w:firstLineChars="100"/>
        <w:jc w:val="center"/>
        <w:rPr>
          <w:rFonts w:eastAsia="黑体"/>
          <w:b/>
          <w:bCs/>
          <w:color w:val="auto"/>
          <w:szCs w:val="21"/>
        </w:rPr>
      </w:pPr>
      <w:r>
        <w:rPr>
          <w:rFonts w:eastAsia="黑体"/>
          <w:b/>
          <w:bCs/>
          <w:color w:val="auto"/>
          <w:szCs w:val="21"/>
        </w:rPr>
        <w:t>表67  每根桩的桩端压浆量（水泥重量）</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8"/>
        <w:gridCol w:w="4438"/>
      </w:tblGrid>
      <w:tr w14:paraId="77C5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4648" w:type="dxa"/>
            <w:vAlign w:val="center"/>
          </w:tcPr>
          <w:p w14:paraId="38491364">
            <w:pPr>
              <w:adjustRightInd w:val="0"/>
              <w:snapToGrid w:val="0"/>
              <w:spacing w:line="340" w:lineRule="atLeast"/>
              <w:jc w:val="center"/>
              <w:rPr>
                <w:color w:val="auto"/>
                <w:sz w:val="18"/>
                <w:szCs w:val="18"/>
              </w:rPr>
            </w:pPr>
            <w:r>
              <w:rPr>
                <w:rFonts w:hAnsi="宋体"/>
                <w:color w:val="auto"/>
                <w:sz w:val="18"/>
                <w:szCs w:val="18"/>
              </w:rPr>
              <w:t>桩直径（</w:t>
            </w:r>
            <w:r>
              <w:rPr>
                <w:iCs/>
                <w:color w:val="auto"/>
                <w:sz w:val="18"/>
                <w:szCs w:val="18"/>
              </w:rPr>
              <w:t>mm</w:t>
            </w:r>
            <w:r>
              <w:rPr>
                <w:rFonts w:hAnsi="宋体"/>
                <w:color w:val="auto"/>
                <w:sz w:val="18"/>
                <w:szCs w:val="18"/>
              </w:rPr>
              <w:t>）</w:t>
            </w:r>
          </w:p>
        </w:tc>
        <w:tc>
          <w:tcPr>
            <w:tcW w:w="4438" w:type="dxa"/>
            <w:vAlign w:val="center"/>
          </w:tcPr>
          <w:p w14:paraId="15BDCC5C">
            <w:pPr>
              <w:adjustRightInd w:val="0"/>
              <w:snapToGrid w:val="0"/>
              <w:spacing w:line="340" w:lineRule="atLeast"/>
              <w:jc w:val="center"/>
              <w:rPr>
                <w:color w:val="auto"/>
                <w:sz w:val="18"/>
                <w:szCs w:val="18"/>
              </w:rPr>
            </w:pPr>
            <w:r>
              <w:rPr>
                <w:rFonts w:hAnsi="宋体"/>
                <w:color w:val="auto"/>
                <w:sz w:val="18"/>
                <w:szCs w:val="18"/>
              </w:rPr>
              <w:t>压浆量（水泥重量</w:t>
            </w:r>
            <w:r>
              <w:rPr>
                <w:color w:val="auto"/>
                <w:sz w:val="18"/>
                <w:szCs w:val="18"/>
              </w:rPr>
              <w:t>t</w:t>
            </w:r>
            <w:r>
              <w:rPr>
                <w:rFonts w:hAnsi="宋体"/>
                <w:color w:val="auto"/>
                <w:sz w:val="18"/>
                <w:szCs w:val="18"/>
              </w:rPr>
              <w:t>）</w:t>
            </w:r>
          </w:p>
        </w:tc>
      </w:tr>
      <w:tr w14:paraId="49F2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648" w:type="dxa"/>
            <w:vAlign w:val="center"/>
          </w:tcPr>
          <w:p w14:paraId="6A164AFB">
            <w:pPr>
              <w:adjustRightInd w:val="0"/>
              <w:snapToGrid w:val="0"/>
              <w:spacing w:line="340" w:lineRule="atLeast"/>
              <w:jc w:val="center"/>
              <w:rPr>
                <w:color w:val="auto"/>
                <w:sz w:val="18"/>
                <w:szCs w:val="18"/>
              </w:rPr>
            </w:pPr>
            <w:r>
              <w:rPr>
                <w:color w:val="auto"/>
                <w:sz w:val="18"/>
                <w:szCs w:val="18"/>
              </w:rPr>
              <w:t>600</w:t>
            </w:r>
          </w:p>
        </w:tc>
        <w:tc>
          <w:tcPr>
            <w:tcW w:w="4438" w:type="dxa"/>
            <w:vAlign w:val="center"/>
          </w:tcPr>
          <w:p w14:paraId="0224B334">
            <w:pPr>
              <w:adjustRightInd w:val="0"/>
              <w:snapToGrid w:val="0"/>
              <w:spacing w:line="340" w:lineRule="atLeast"/>
              <w:jc w:val="center"/>
              <w:rPr>
                <w:color w:val="auto"/>
                <w:sz w:val="18"/>
                <w:szCs w:val="18"/>
              </w:rPr>
            </w:pPr>
            <w:r>
              <w:rPr>
                <w:color w:val="auto"/>
                <w:sz w:val="18"/>
                <w:szCs w:val="18"/>
              </w:rPr>
              <w:t>1.2</w:t>
            </w:r>
          </w:p>
        </w:tc>
      </w:tr>
      <w:tr w14:paraId="01C9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648" w:type="dxa"/>
            <w:vAlign w:val="center"/>
          </w:tcPr>
          <w:p w14:paraId="5E952BE9">
            <w:pPr>
              <w:adjustRightInd w:val="0"/>
              <w:snapToGrid w:val="0"/>
              <w:spacing w:line="340" w:lineRule="atLeast"/>
              <w:jc w:val="center"/>
              <w:rPr>
                <w:color w:val="auto"/>
                <w:sz w:val="18"/>
                <w:szCs w:val="18"/>
              </w:rPr>
            </w:pPr>
            <w:r>
              <w:rPr>
                <w:color w:val="auto"/>
                <w:sz w:val="18"/>
                <w:szCs w:val="18"/>
              </w:rPr>
              <w:t>700</w:t>
            </w:r>
          </w:p>
        </w:tc>
        <w:tc>
          <w:tcPr>
            <w:tcW w:w="4438" w:type="dxa"/>
            <w:vAlign w:val="center"/>
          </w:tcPr>
          <w:p w14:paraId="6FEBC6FA">
            <w:pPr>
              <w:adjustRightInd w:val="0"/>
              <w:snapToGrid w:val="0"/>
              <w:spacing w:line="340" w:lineRule="atLeast"/>
              <w:jc w:val="center"/>
              <w:rPr>
                <w:color w:val="auto"/>
                <w:sz w:val="18"/>
                <w:szCs w:val="18"/>
              </w:rPr>
            </w:pPr>
            <w:r>
              <w:rPr>
                <w:color w:val="auto"/>
                <w:sz w:val="18"/>
                <w:szCs w:val="18"/>
              </w:rPr>
              <w:t>1.6</w:t>
            </w:r>
          </w:p>
        </w:tc>
      </w:tr>
      <w:tr w14:paraId="35DC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648" w:type="dxa"/>
            <w:vAlign w:val="center"/>
          </w:tcPr>
          <w:p w14:paraId="45005725">
            <w:pPr>
              <w:adjustRightInd w:val="0"/>
              <w:snapToGrid w:val="0"/>
              <w:spacing w:line="340" w:lineRule="atLeast"/>
              <w:jc w:val="center"/>
              <w:rPr>
                <w:color w:val="auto"/>
                <w:sz w:val="18"/>
                <w:szCs w:val="18"/>
              </w:rPr>
            </w:pPr>
            <w:r>
              <w:rPr>
                <w:color w:val="auto"/>
                <w:sz w:val="18"/>
                <w:szCs w:val="18"/>
              </w:rPr>
              <w:t>800</w:t>
            </w:r>
          </w:p>
        </w:tc>
        <w:tc>
          <w:tcPr>
            <w:tcW w:w="4438" w:type="dxa"/>
            <w:vAlign w:val="center"/>
          </w:tcPr>
          <w:p w14:paraId="620415CF">
            <w:pPr>
              <w:adjustRightInd w:val="0"/>
              <w:snapToGrid w:val="0"/>
              <w:spacing w:line="340" w:lineRule="atLeast"/>
              <w:jc w:val="center"/>
              <w:rPr>
                <w:color w:val="auto"/>
                <w:sz w:val="18"/>
                <w:szCs w:val="18"/>
              </w:rPr>
            </w:pPr>
            <w:r>
              <w:rPr>
                <w:color w:val="auto"/>
                <w:sz w:val="18"/>
                <w:szCs w:val="18"/>
              </w:rPr>
              <w:t>2.0</w:t>
            </w:r>
          </w:p>
        </w:tc>
      </w:tr>
      <w:tr w14:paraId="2211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648" w:type="dxa"/>
            <w:vAlign w:val="center"/>
          </w:tcPr>
          <w:p w14:paraId="57CA2C59">
            <w:pPr>
              <w:adjustRightInd w:val="0"/>
              <w:snapToGrid w:val="0"/>
              <w:spacing w:line="340" w:lineRule="atLeast"/>
              <w:jc w:val="center"/>
              <w:rPr>
                <w:color w:val="auto"/>
                <w:sz w:val="18"/>
                <w:szCs w:val="18"/>
              </w:rPr>
            </w:pPr>
            <w:r>
              <w:rPr>
                <w:color w:val="auto"/>
                <w:sz w:val="18"/>
                <w:szCs w:val="18"/>
              </w:rPr>
              <w:t>900</w:t>
            </w:r>
          </w:p>
        </w:tc>
        <w:tc>
          <w:tcPr>
            <w:tcW w:w="4438" w:type="dxa"/>
            <w:vAlign w:val="center"/>
          </w:tcPr>
          <w:p w14:paraId="4F4BF8C7">
            <w:pPr>
              <w:adjustRightInd w:val="0"/>
              <w:snapToGrid w:val="0"/>
              <w:spacing w:line="340" w:lineRule="atLeast"/>
              <w:jc w:val="center"/>
              <w:rPr>
                <w:color w:val="auto"/>
                <w:sz w:val="18"/>
                <w:szCs w:val="18"/>
              </w:rPr>
            </w:pPr>
            <w:r>
              <w:rPr>
                <w:color w:val="auto"/>
                <w:sz w:val="18"/>
                <w:szCs w:val="18"/>
              </w:rPr>
              <w:t>2.5</w:t>
            </w:r>
          </w:p>
        </w:tc>
      </w:tr>
      <w:tr w14:paraId="4FCA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648" w:type="dxa"/>
            <w:vAlign w:val="center"/>
          </w:tcPr>
          <w:p w14:paraId="407BF857">
            <w:pPr>
              <w:adjustRightInd w:val="0"/>
              <w:snapToGrid w:val="0"/>
              <w:spacing w:line="340" w:lineRule="atLeast"/>
              <w:jc w:val="center"/>
              <w:rPr>
                <w:color w:val="auto"/>
                <w:sz w:val="18"/>
                <w:szCs w:val="18"/>
              </w:rPr>
            </w:pPr>
            <w:r>
              <w:rPr>
                <w:color w:val="auto"/>
                <w:sz w:val="18"/>
                <w:szCs w:val="18"/>
              </w:rPr>
              <w:t>1000</w:t>
            </w:r>
          </w:p>
        </w:tc>
        <w:tc>
          <w:tcPr>
            <w:tcW w:w="4438" w:type="dxa"/>
            <w:vAlign w:val="center"/>
          </w:tcPr>
          <w:p w14:paraId="00941146">
            <w:pPr>
              <w:adjustRightInd w:val="0"/>
              <w:snapToGrid w:val="0"/>
              <w:spacing w:line="340" w:lineRule="atLeast"/>
              <w:jc w:val="center"/>
              <w:rPr>
                <w:color w:val="auto"/>
                <w:sz w:val="18"/>
                <w:szCs w:val="18"/>
              </w:rPr>
            </w:pPr>
            <w:r>
              <w:rPr>
                <w:color w:val="auto"/>
                <w:sz w:val="18"/>
                <w:szCs w:val="18"/>
              </w:rPr>
              <w:t>3.0</w:t>
            </w:r>
          </w:p>
        </w:tc>
      </w:tr>
      <w:tr w14:paraId="6A4E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086" w:type="dxa"/>
            <w:gridSpan w:val="2"/>
            <w:vAlign w:val="center"/>
          </w:tcPr>
          <w:p w14:paraId="5D064D42">
            <w:pPr>
              <w:adjustRightInd w:val="0"/>
              <w:snapToGrid w:val="0"/>
              <w:spacing w:line="340" w:lineRule="atLeast"/>
              <w:rPr>
                <w:color w:val="auto"/>
                <w:sz w:val="18"/>
                <w:szCs w:val="18"/>
              </w:rPr>
            </w:pPr>
            <w:r>
              <w:rPr>
                <w:bCs/>
                <w:color w:val="auto"/>
                <w:sz w:val="18"/>
                <w:szCs w:val="18"/>
              </w:rPr>
              <w:t>注</w:t>
            </w:r>
            <w:r>
              <w:rPr>
                <w:rFonts w:hAnsi="宋体"/>
                <w:color w:val="auto"/>
                <w:sz w:val="18"/>
                <w:szCs w:val="18"/>
              </w:rPr>
              <w:t>：桩侧压浆量根据桩长、桩径、土层情况经试验确定。</w:t>
            </w:r>
          </w:p>
        </w:tc>
      </w:tr>
    </w:tbl>
    <w:p w14:paraId="013BAD86">
      <w:pPr>
        <w:adjustRightInd w:val="0"/>
        <w:snapToGrid w:val="0"/>
        <w:spacing w:before="240" w:line="340" w:lineRule="atLeast"/>
        <w:rPr>
          <w:color w:val="auto"/>
          <w:szCs w:val="21"/>
        </w:rPr>
      </w:pPr>
      <w:r>
        <w:rPr>
          <w:b/>
          <w:bCs/>
          <w:color w:val="auto"/>
          <w:szCs w:val="21"/>
        </w:rPr>
        <w:t>15.4.6</w:t>
      </w:r>
      <w:r>
        <w:rPr>
          <w:color w:val="auto"/>
          <w:szCs w:val="21"/>
        </w:rPr>
        <w:t xml:space="preserve">  </w:t>
      </w:r>
      <w:r>
        <w:rPr>
          <w:rFonts w:hAnsi="宋体"/>
          <w:color w:val="auto"/>
          <w:szCs w:val="21"/>
        </w:rPr>
        <w:t>桩端后压浆喷口设置在压浆管底部</w:t>
      </w:r>
      <w:r>
        <w:rPr>
          <w:color w:val="auto"/>
          <w:szCs w:val="21"/>
        </w:rPr>
        <w:t>500mm</w:t>
      </w:r>
      <w:r>
        <w:rPr>
          <w:rFonts w:hAnsi="宋体"/>
          <w:color w:val="auto"/>
          <w:szCs w:val="21"/>
        </w:rPr>
        <w:t>范围内，桩侧后压浆环管采用直径</w:t>
      </w:r>
      <w:r>
        <w:rPr>
          <w:color w:val="auto"/>
          <w:szCs w:val="21"/>
        </w:rPr>
        <w:t>33mm</w:t>
      </w:r>
      <w:r>
        <w:rPr>
          <w:rFonts w:hAnsi="宋体"/>
          <w:color w:val="auto"/>
          <w:szCs w:val="21"/>
        </w:rPr>
        <w:t>～</w:t>
      </w:r>
      <w:r>
        <w:rPr>
          <w:color w:val="auto"/>
          <w:szCs w:val="21"/>
        </w:rPr>
        <w:t>40mm</w:t>
      </w:r>
      <w:r>
        <w:rPr>
          <w:rFonts w:hAnsi="宋体"/>
          <w:color w:val="auto"/>
          <w:szCs w:val="21"/>
        </w:rPr>
        <w:t>橡胶钢丝管。喷口直径</w:t>
      </w:r>
      <w:r>
        <w:rPr>
          <w:color w:val="auto"/>
          <w:szCs w:val="21"/>
        </w:rPr>
        <w:t>3mm</w:t>
      </w:r>
      <w:r>
        <w:rPr>
          <w:rFonts w:hAnsi="宋体"/>
          <w:color w:val="auto"/>
          <w:szCs w:val="21"/>
        </w:rPr>
        <w:t>，间距</w:t>
      </w:r>
      <w:r>
        <w:rPr>
          <w:color w:val="auto"/>
          <w:szCs w:val="21"/>
        </w:rPr>
        <w:t>80mm</w:t>
      </w:r>
      <w:r>
        <w:rPr>
          <w:rFonts w:hAnsi="宋体"/>
          <w:color w:val="auto"/>
          <w:szCs w:val="21"/>
        </w:rPr>
        <w:t>，梅花形设置，并采用具有单向阀功能的喷口保护装置。</w:t>
      </w:r>
    </w:p>
    <w:p w14:paraId="351EA7B3">
      <w:pPr>
        <w:adjustRightInd w:val="0"/>
        <w:snapToGrid w:val="0"/>
        <w:spacing w:line="340" w:lineRule="atLeast"/>
        <w:rPr>
          <w:b/>
          <w:bCs/>
          <w:color w:val="auto"/>
          <w:szCs w:val="21"/>
        </w:rPr>
      </w:pPr>
      <w:r>
        <w:rPr>
          <w:b/>
          <w:bCs/>
          <w:color w:val="auto"/>
          <w:szCs w:val="21"/>
        </w:rPr>
        <w:t>15.4.7</w:t>
      </w:r>
      <w:r>
        <w:rPr>
          <w:color w:val="auto"/>
          <w:szCs w:val="21"/>
        </w:rPr>
        <w:t xml:space="preserve">  </w:t>
      </w:r>
      <w:r>
        <w:rPr>
          <w:rFonts w:hAnsi="宋体"/>
          <w:color w:val="auto"/>
          <w:szCs w:val="21"/>
        </w:rPr>
        <w:t>每根桩浇注完混凝土后，在</w:t>
      </w:r>
      <w:r>
        <w:rPr>
          <w:color w:val="auto"/>
          <w:szCs w:val="21"/>
        </w:rPr>
        <w:t>12</w:t>
      </w:r>
      <w:r>
        <w:rPr>
          <w:rFonts w:hint="eastAsia"/>
          <w:color w:val="auto"/>
          <w:szCs w:val="21"/>
        </w:rPr>
        <w:t>小时</w:t>
      </w:r>
      <w:r>
        <w:rPr>
          <w:rFonts w:hAnsi="宋体"/>
          <w:color w:val="auto"/>
          <w:szCs w:val="21"/>
        </w:rPr>
        <w:t>至</w:t>
      </w:r>
      <w:r>
        <w:rPr>
          <w:color w:val="auto"/>
          <w:szCs w:val="21"/>
        </w:rPr>
        <w:t>24</w:t>
      </w:r>
      <w:r>
        <w:rPr>
          <w:rFonts w:hAnsi="宋体"/>
          <w:color w:val="auto"/>
          <w:szCs w:val="21"/>
        </w:rPr>
        <w:t>小时内必须用清水将喷口冲开；压浆作业宜于成桩后</w:t>
      </w:r>
      <w:r>
        <w:rPr>
          <w:color w:val="auto"/>
          <w:szCs w:val="21"/>
        </w:rPr>
        <w:t>2d</w:t>
      </w:r>
      <w:r>
        <w:rPr>
          <w:rFonts w:hAnsi="宋体"/>
          <w:color w:val="auto"/>
          <w:szCs w:val="21"/>
        </w:rPr>
        <w:t>开始，不宜迟于成桩</w:t>
      </w:r>
      <w:r>
        <w:rPr>
          <w:color w:val="auto"/>
          <w:szCs w:val="21"/>
        </w:rPr>
        <w:t>30d</w:t>
      </w:r>
      <w:r>
        <w:rPr>
          <w:rFonts w:hAnsi="宋体"/>
          <w:color w:val="auto"/>
          <w:szCs w:val="21"/>
        </w:rPr>
        <w:t>后；压浆应以同一承台下的桩为一组。</w:t>
      </w:r>
    </w:p>
    <w:p w14:paraId="2A995DD8">
      <w:pPr>
        <w:adjustRightInd w:val="0"/>
        <w:snapToGrid w:val="0"/>
        <w:spacing w:line="340" w:lineRule="atLeast"/>
        <w:rPr>
          <w:color w:val="auto"/>
          <w:szCs w:val="21"/>
        </w:rPr>
      </w:pPr>
      <w:r>
        <w:rPr>
          <w:b/>
          <w:bCs/>
          <w:color w:val="auto"/>
          <w:szCs w:val="21"/>
        </w:rPr>
        <w:t>15.4.8</w:t>
      </w:r>
      <w:r>
        <w:rPr>
          <w:color w:val="auto"/>
          <w:szCs w:val="21"/>
        </w:rPr>
        <w:t xml:space="preserve">  </w:t>
      </w:r>
      <w:r>
        <w:rPr>
          <w:rFonts w:hAnsi="宋体"/>
          <w:color w:val="auto"/>
          <w:szCs w:val="21"/>
        </w:rPr>
        <w:t>压浆竖管应采用丝扣连接并缠紧胶带，不宜采用焊接。安装压浆竖管时，必须对每节压浆管进行注水检验；如果管内水面下降，则应对已安装的压浆管重新更换，整个安装过程严禁碰撞、挤压压浆管，并由专人同步填写注水检验记录。</w:t>
      </w:r>
    </w:p>
    <w:p w14:paraId="12DBDF2B">
      <w:pPr>
        <w:adjustRightInd w:val="0"/>
        <w:snapToGrid w:val="0"/>
        <w:spacing w:line="340" w:lineRule="atLeast"/>
        <w:rPr>
          <w:color w:val="auto"/>
          <w:szCs w:val="21"/>
        </w:rPr>
      </w:pPr>
      <w:r>
        <w:rPr>
          <w:b/>
          <w:bCs/>
          <w:color w:val="auto"/>
          <w:szCs w:val="21"/>
        </w:rPr>
        <w:t>15.4.9</w:t>
      </w:r>
      <w:r>
        <w:rPr>
          <w:color w:val="auto"/>
          <w:szCs w:val="21"/>
        </w:rPr>
        <w:t xml:space="preserve">  </w:t>
      </w:r>
      <w:r>
        <w:rPr>
          <w:rFonts w:hAnsi="宋体"/>
          <w:color w:val="auto"/>
          <w:szCs w:val="21"/>
        </w:rPr>
        <w:t>露出桩顶的压浆管口应用堵头封堵，并涂上红油漆，不得碰撞。</w:t>
      </w:r>
    </w:p>
    <w:p w14:paraId="2F87F901">
      <w:pPr>
        <w:adjustRightInd w:val="0"/>
        <w:snapToGrid w:val="0"/>
        <w:spacing w:line="340" w:lineRule="atLeast"/>
        <w:rPr>
          <w:color w:val="auto"/>
          <w:szCs w:val="21"/>
        </w:rPr>
      </w:pPr>
      <w:r>
        <w:rPr>
          <w:b/>
          <w:bCs/>
          <w:color w:val="auto"/>
          <w:szCs w:val="21"/>
        </w:rPr>
        <w:t>15.4.10</w:t>
      </w:r>
      <w:r>
        <w:rPr>
          <w:color w:val="auto"/>
          <w:szCs w:val="21"/>
        </w:rPr>
        <w:t xml:space="preserve">  </w:t>
      </w:r>
      <w:r>
        <w:rPr>
          <w:rFonts w:hAnsi="宋体"/>
          <w:color w:val="auto"/>
          <w:szCs w:val="21"/>
        </w:rPr>
        <w:t>水泥浆搅拌后必须过滤方可进入压浆泵，由专人同步填写压浆量和相应的压力，以及总压浆量和终止压力。</w:t>
      </w:r>
    </w:p>
    <w:p w14:paraId="4769FF36">
      <w:pPr>
        <w:adjustRightInd w:val="0"/>
        <w:snapToGrid w:val="0"/>
        <w:spacing w:line="340" w:lineRule="atLeast"/>
        <w:rPr>
          <w:color w:val="auto"/>
          <w:szCs w:val="21"/>
        </w:rPr>
      </w:pPr>
      <w:r>
        <w:rPr>
          <w:b/>
          <w:bCs/>
          <w:color w:val="auto"/>
          <w:szCs w:val="21"/>
        </w:rPr>
        <w:t>15.4.11</w:t>
      </w:r>
      <w:r>
        <w:rPr>
          <w:color w:val="auto"/>
          <w:szCs w:val="21"/>
        </w:rPr>
        <w:t xml:space="preserve">  </w:t>
      </w:r>
      <w:r>
        <w:rPr>
          <w:rFonts w:hAnsi="宋体"/>
          <w:color w:val="auto"/>
          <w:szCs w:val="21"/>
        </w:rPr>
        <w:t>压浆顺序：压浆时首先应采用低压（低档）压入水灰比为</w:t>
      </w:r>
      <w:r>
        <w:rPr>
          <w:color w:val="auto"/>
          <w:szCs w:val="21"/>
        </w:rPr>
        <w:t>0.6</w:t>
      </w:r>
      <w:r>
        <w:rPr>
          <w:rFonts w:hAnsi="宋体"/>
          <w:color w:val="auto"/>
          <w:szCs w:val="21"/>
        </w:rPr>
        <w:t>左右的水泥浆，然后逐步加压和采用水灰比为</w:t>
      </w:r>
      <w:r>
        <w:rPr>
          <w:color w:val="auto"/>
          <w:szCs w:val="21"/>
        </w:rPr>
        <w:t>0.4～0.5</w:t>
      </w:r>
      <w:r>
        <w:rPr>
          <w:rFonts w:hAnsi="宋体"/>
          <w:color w:val="auto"/>
          <w:szCs w:val="21"/>
        </w:rPr>
        <w:t>的水泥浆；压浆流量不宜超过</w:t>
      </w:r>
      <w:r>
        <w:rPr>
          <w:color w:val="auto"/>
          <w:szCs w:val="21"/>
        </w:rPr>
        <w:t>75L</w:t>
      </w:r>
      <w:r>
        <w:rPr>
          <w:rFonts w:hint="eastAsia"/>
          <w:color w:val="auto"/>
          <w:szCs w:val="21"/>
        </w:rPr>
        <w:t>/</w:t>
      </w:r>
      <w:r>
        <w:rPr>
          <w:color w:val="auto"/>
          <w:szCs w:val="21"/>
        </w:rPr>
        <w:t>min</w:t>
      </w:r>
      <w:r>
        <w:rPr>
          <w:rFonts w:hAnsi="宋体"/>
          <w:color w:val="auto"/>
          <w:szCs w:val="21"/>
        </w:rPr>
        <w:t>。对桩侧和桩端复合压浆的桩，首先进行桩侧压浆再进行桩端压浆。</w:t>
      </w:r>
    </w:p>
    <w:p w14:paraId="10F3D49D">
      <w:pPr>
        <w:adjustRightInd w:val="0"/>
        <w:snapToGrid w:val="0"/>
        <w:spacing w:line="340" w:lineRule="atLeast"/>
        <w:rPr>
          <w:color w:val="auto"/>
          <w:szCs w:val="21"/>
        </w:rPr>
      </w:pPr>
      <w:r>
        <w:rPr>
          <w:b/>
          <w:bCs/>
          <w:color w:val="auto"/>
          <w:szCs w:val="21"/>
        </w:rPr>
        <w:t>15.4.12</w:t>
      </w:r>
      <w:r>
        <w:rPr>
          <w:color w:val="auto"/>
          <w:szCs w:val="21"/>
        </w:rPr>
        <w:t xml:space="preserve">  </w:t>
      </w:r>
      <w:r>
        <w:rPr>
          <w:rFonts w:hAnsi="宋体"/>
          <w:color w:val="auto"/>
          <w:szCs w:val="21"/>
        </w:rPr>
        <w:t>后压浆过程中如出现压力骤变或地面渗浆、注浆量很大但压浆压力变小等异常情况，应做好详细记录并查明原因，及时处理。</w:t>
      </w:r>
    </w:p>
    <w:p w14:paraId="3F1AE606">
      <w:pPr>
        <w:adjustRightInd w:val="0"/>
        <w:snapToGrid w:val="0"/>
        <w:spacing w:line="340" w:lineRule="atLeast"/>
        <w:rPr>
          <w:color w:val="auto"/>
          <w:szCs w:val="21"/>
        </w:rPr>
      </w:pPr>
      <w:r>
        <w:rPr>
          <w:b/>
          <w:bCs/>
          <w:color w:val="auto"/>
          <w:szCs w:val="21"/>
        </w:rPr>
        <w:t>15.4.13</w:t>
      </w:r>
      <w:r>
        <w:rPr>
          <w:rFonts w:hint="eastAsia"/>
          <w:b/>
          <w:bCs/>
          <w:color w:val="auto"/>
          <w:szCs w:val="21"/>
        </w:rPr>
        <w:t xml:space="preserve">  </w:t>
      </w:r>
      <w:r>
        <w:rPr>
          <w:rFonts w:hAnsi="宋体"/>
          <w:color w:val="auto"/>
          <w:szCs w:val="21"/>
        </w:rPr>
        <w:t>在桩身混凝土强度达到设计要求的条件下，承载力检验应在压浆完成</w:t>
      </w:r>
      <w:r>
        <w:rPr>
          <w:color w:val="auto"/>
          <w:szCs w:val="21"/>
        </w:rPr>
        <w:t>20d</w:t>
      </w:r>
      <w:r>
        <w:rPr>
          <w:rFonts w:hAnsi="宋体"/>
          <w:color w:val="auto"/>
          <w:szCs w:val="21"/>
        </w:rPr>
        <w:t>后进行。</w:t>
      </w:r>
    </w:p>
    <w:p w14:paraId="7772A2F4">
      <w:pPr>
        <w:adjustRightInd w:val="0"/>
        <w:snapToGrid w:val="0"/>
        <w:spacing w:line="340" w:lineRule="atLeast"/>
        <w:rPr>
          <w:color w:val="auto"/>
          <w:szCs w:val="21"/>
        </w:rPr>
      </w:pPr>
      <w:r>
        <w:rPr>
          <w:b/>
          <w:bCs/>
          <w:color w:val="auto"/>
          <w:szCs w:val="21"/>
        </w:rPr>
        <w:t xml:space="preserve">15.4.14 </w:t>
      </w:r>
      <w:r>
        <w:rPr>
          <w:color w:val="auto"/>
          <w:szCs w:val="21"/>
        </w:rPr>
        <w:t xml:space="preserve"> </w:t>
      </w:r>
      <w:r>
        <w:rPr>
          <w:rFonts w:hAnsi="宋体"/>
          <w:color w:val="auto"/>
          <w:szCs w:val="21"/>
        </w:rPr>
        <w:t>钻孔灌注桩后压浆工艺除钻孔灌注桩施工应进行的质量控制和检验外，还应对压浆管及接头材质、安装质量、喷口设置及保护、注水试验、压水试验、水泥质量、水灰比、初始压力、初始压浆量、终止压力、终止压浆量等进行重点控制和检查。</w:t>
      </w:r>
    </w:p>
    <w:p w14:paraId="175601EB">
      <w:pPr>
        <w:adjustRightInd w:val="0"/>
        <w:snapToGrid w:val="0"/>
        <w:spacing w:line="340" w:lineRule="atLeast"/>
        <w:rPr>
          <w:color w:val="auto"/>
          <w:szCs w:val="21"/>
        </w:rPr>
      </w:pPr>
    </w:p>
    <w:p w14:paraId="61A87752">
      <w:pPr>
        <w:adjustRightInd w:val="0"/>
        <w:snapToGrid w:val="0"/>
        <w:spacing w:line="340" w:lineRule="exact"/>
        <w:outlineLvl w:val="1"/>
        <w:rPr>
          <w:rFonts w:eastAsia="黑体"/>
          <w:b/>
          <w:bCs/>
          <w:color w:val="auto"/>
          <w:szCs w:val="21"/>
        </w:rPr>
      </w:pPr>
      <w:bookmarkStart w:id="88" w:name="_Toc199943631"/>
      <w:r>
        <w:rPr>
          <w:rFonts w:eastAsia="黑体"/>
          <w:b/>
          <w:bCs/>
          <w:color w:val="auto"/>
          <w:szCs w:val="21"/>
        </w:rPr>
        <w:t>15.5  长螺旋钻孔压灌桩施工</w:t>
      </w:r>
      <w:bookmarkEnd w:id="88"/>
    </w:p>
    <w:p w14:paraId="661E1FB6">
      <w:pPr>
        <w:adjustRightInd w:val="0"/>
        <w:snapToGrid w:val="0"/>
        <w:spacing w:line="340" w:lineRule="atLeast"/>
        <w:jc w:val="center"/>
        <w:rPr>
          <w:rFonts w:eastAsia="黑体"/>
          <w:b/>
          <w:bCs/>
          <w:color w:val="auto"/>
          <w:szCs w:val="21"/>
        </w:rPr>
      </w:pPr>
    </w:p>
    <w:p w14:paraId="788F773E">
      <w:pPr>
        <w:adjustRightInd w:val="0"/>
        <w:snapToGrid w:val="0"/>
        <w:spacing w:line="340" w:lineRule="atLeast"/>
        <w:rPr>
          <w:color w:val="auto"/>
          <w:szCs w:val="21"/>
        </w:rPr>
      </w:pPr>
      <w:r>
        <w:rPr>
          <w:b/>
          <w:bCs/>
          <w:color w:val="auto"/>
          <w:szCs w:val="21"/>
        </w:rPr>
        <w:t xml:space="preserve">15.5.1 </w:t>
      </w:r>
      <w:r>
        <w:rPr>
          <w:color w:val="auto"/>
          <w:szCs w:val="21"/>
        </w:rPr>
        <w:t xml:space="preserve"> </w:t>
      </w:r>
      <w:r>
        <w:rPr>
          <w:rFonts w:hAnsi="宋体"/>
          <w:color w:val="auto"/>
          <w:szCs w:val="21"/>
        </w:rPr>
        <w:t>长螺旋钻机应能钻进设计要求穿透的土层，当需要穿透老黏土、厚层砂类土、碎石土以及塑性指数大于</w:t>
      </w:r>
      <w:r>
        <w:rPr>
          <w:color w:val="auto"/>
          <w:szCs w:val="21"/>
        </w:rPr>
        <w:t>25</w:t>
      </w:r>
      <w:r>
        <w:rPr>
          <w:rFonts w:hAnsi="宋体"/>
          <w:color w:val="auto"/>
          <w:szCs w:val="21"/>
        </w:rPr>
        <w:t>的黏土时，应进行试钻。</w:t>
      </w:r>
    </w:p>
    <w:p w14:paraId="081F8E12">
      <w:pPr>
        <w:adjustRightInd w:val="0"/>
        <w:snapToGrid w:val="0"/>
        <w:spacing w:line="340" w:lineRule="atLeast"/>
        <w:rPr>
          <w:color w:val="auto"/>
          <w:szCs w:val="21"/>
        </w:rPr>
      </w:pPr>
      <w:r>
        <w:rPr>
          <w:b/>
          <w:bCs/>
          <w:color w:val="auto"/>
          <w:szCs w:val="21"/>
        </w:rPr>
        <w:t>15.5.2</w:t>
      </w:r>
      <w:r>
        <w:rPr>
          <w:color w:val="auto"/>
          <w:szCs w:val="21"/>
        </w:rPr>
        <w:t xml:space="preserve">  </w:t>
      </w:r>
      <w:r>
        <w:rPr>
          <w:rFonts w:hAnsi="宋体"/>
          <w:color w:val="auto"/>
          <w:szCs w:val="21"/>
        </w:rPr>
        <w:t>长螺旋钻机定位时，钻头与桩位偏移不得大于</w:t>
      </w:r>
      <w:r>
        <w:rPr>
          <w:color w:val="auto"/>
          <w:szCs w:val="21"/>
        </w:rPr>
        <w:t>20mm</w:t>
      </w:r>
      <w:r>
        <w:rPr>
          <w:rFonts w:hAnsi="宋体"/>
          <w:color w:val="auto"/>
          <w:szCs w:val="21"/>
        </w:rPr>
        <w:t>，钻头刚接触地面时，下钻速度应慢。钻机钻进过程中，不宜反转或提升钻杆。</w:t>
      </w:r>
    </w:p>
    <w:p w14:paraId="0D2B5899">
      <w:pPr>
        <w:adjustRightInd w:val="0"/>
        <w:snapToGrid w:val="0"/>
        <w:spacing w:line="340" w:lineRule="atLeast"/>
        <w:rPr>
          <w:color w:val="auto"/>
          <w:szCs w:val="21"/>
        </w:rPr>
      </w:pPr>
      <w:r>
        <w:rPr>
          <w:b/>
          <w:bCs/>
          <w:color w:val="auto"/>
          <w:szCs w:val="21"/>
        </w:rPr>
        <w:t xml:space="preserve">15.5.3 </w:t>
      </w:r>
      <w:r>
        <w:rPr>
          <w:color w:val="auto"/>
          <w:szCs w:val="21"/>
        </w:rPr>
        <w:t xml:space="preserve"> </w:t>
      </w:r>
      <w:r>
        <w:rPr>
          <w:rFonts w:hAnsi="宋体"/>
          <w:color w:val="auto"/>
          <w:szCs w:val="21"/>
        </w:rPr>
        <w:t>钻进过程中，如遇到卡钻、钻机摇晃、偏斜或发生异常的声响时，应立即停钻，查明原因，采取相应措施后方可继续作业。</w:t>
      </w:r>
    </w:p>
    <w:p w14:paraId="04B85BD0">
      <w:pPr>
        <w:adjustRightInd w:val="0"/>
        <w:snapToGrid w:val="0"/>
        <w:spacing w:line="340" w:lineRule="atLeast"/>
        <w:ind w:left="19" w:leftChars="9"/>
        <w:rPr>
          <w:color w:val="auto"/>
          <w:szCs w:val="21"/>
        </w:rPr>
      </w:pPr>
      <w:r>
        <w:rPr>
          <w:b/>
          <w:bCs/>
          <w:color w:val="auto"/>
          <w:szCs w:val="21"/>
        </w:rPr>
        <w:t xml:space="preserve">15.5.4 </w:t>
      </w:r>
      <w:r>
        <w:rPr>
          <w:color w:val="auto"/>
          <w:szCs w:val="21"/>
        </w:rPr>
        <w:t xml:space="preserve"> </w:t>
      </w:r>
      <w:r>
        <w:rPr>
          <w:rFonts w:hAnsi="宋体"/>
          <w:color w:val="auto"/>
          <w:szCs w:val="21"/>
        </w:rPr>
        <w:t>根据桩身混凝土的设计强度等级，通过试验确定混凝土配合比；混凝土坍落度宜为</w:t>
      </w:r>
      <w:r>
        <w:rPr>
          <w:color w:val="auto"/>
          <w:szCs w:val="21"/>
        </w:rPr>
        <w:t>140mm</w:t>
      </w:r>
      <w:r>
        <w:rPr>
          <w:rFonts w:hAnsi="宋体"/>
          <w:color w:val="auto"/>
          <w:szCs w:val="21"/>
        </w:rPr>
        <w:t>～</w:t>
      </w:r>
      <w:r>
        <w:rPr>
          <w:color w:val="auto"/>
          <w:szCs w:val="21"/>
        </w:rPr>
        <w:t>180mm</w:t>
      </w:r>
      <w:r>
        <w:rPr>
          <w:rFonts w:hAnsi="宋体"/>
          <w:color w:val="auto"/>
          <w:szCs w:val="21"/>
        </w:rPr>
        <w:t>；粗骨料可用卵石或碎石，最大粒径不宜大于</w:t>
      </w:r>
      <w:r>
        <w:rPr>
          <w:color w:val="auto"/>
          <w:szCs w:val="21"/>
        </w:rPr>
        <w:t>31.5mm</w:t>
      </w:r>
      <w:r>
        <w:rPr>
          <w:rFonts w:hAnsi="宋体"/>
          <w:color w:val="auto"/>
          <w:szCs w:val="21"/>
        </w:rPr>
        <w:t>；细骨料应选用中粗砂，砂率宜控制在</w:t>
      </w:r>
      <w:r>
        <w:rPr>
          <w:color w:val="auto"/>
          <w:szCs w:val="21"/>
        </w:rPr>
        <w:t>40%</w:t>
      </w:r>
      <w:r>
        <w:rPr>
          <w:rFonts w:hAnsi="宋体"/>
          <w:color w:val="auto"/>
          <w:szCs w:val="21"/>
        </w:rPr>
        <w:t>～</w:t>
      </w:r>
      <w:r>
        <w:rPr>
          <w:color w:val="auto"/>
          <w:szCs w:val="21"/>
        </w:rPr>
        <w:t>45%</w:t>
      </w:r>
      <w:r>
        <w:rPr>
          <w:rFonts w:hAnsi="宋体"/>
          <w:color w:val="auto"/>
          <w:szCs w:val="21"/>
        </w:rPr>
        <w:t>。可掺加粉煤灰或外加剂。</w:t>
      </w:r>
    </w:p>
    <w:p w14:paraId="5A01940A">
      <w:pPr>
        <w:adjustRightInd w:val="0"/>
        <w:snapToGrid w:val="0"/>
        <w:spacing w:line="340" w:lineRule="atLeast"/>
        <w:rPr>
          <w:color w:val="auto"/>
          <w:position w:val="2"/>
          <w:szCs w:val="21"/>
        </w:rPr>
      </w:pPr>
      <w:r>
        <w:rPr>
          <w:b/>
          <w:bCs/>
          <w:color w:val="auto"/>
          <w:szCs w:val="21"/>
        </w:rPr>
        <w:t xml:space="preserve">15.5.5 </w:t>
      </w:r>
      <w:r>
        <w:rPr>
          <w:color w:val="auto"/>
          <w:szCs w:val="21"/>
        </w:rPr>
        <w:t xml:space="preserve"> </w:t>
      </w:r>
      <w:r>
        <w:rPr>
          <w:rFonts w:hAnsi="宋体"/>
          <w:color w:val="auto"/>
          <w:szCs w:val="21"/>
        </w:rPr>
        <w:t>混凝土泵应根据桩径、桩长、泵送距离选型，安放</w:t>
      </w:r>
      <w:r>
        <w:rPr>
          <w:rFonts w:hAnsi="宋体"/>
          <w:color w:val="auto"/>
          <w:position w:val="2"/>
          <w:szCs w:val="21"/>
        </w:rPr>
        <w:t>位置应与钻机的施工顺序相配合，泵管布置尽量减少弯道，泵与钻机的距离不宜超过</w:t>
      </w:r>
      <w:r>
        <w:rPr>
          <w:color w:val="auto"/>
          <w:position w:val="2"/>
          <w:szCs w:val="21"/>
        </w:rPr>
        <w:t>60m</w:t>
      </w:r>
      <w:r>
        <w:rPr>
          <w:rFonts w:hAnsi="宋体"/>
          <w:color w:val="auto"/>
          <w:position w:val="2"/>
          <w:szCs w:val="21"/>
        </w:rPr>
        <w:t>。</w:t>
      </w:r>
    </w:p>
    <w:p w14:paraId="6A3FE61B">
      <w:pPr>
        <w:adjustRightInd w:val="0"/>
        <w:snapToGrid w:val="0"/>
        <w:spacing w:line="340" w:lineRule="atLeast"/>
        <w:rPr>
          <w:color w:val="auto"/>
          <w:position w:val="2"/>
          <w:szCs w:val="21"/>
        </w:rPr>
      </w:pPr>
      <w:r>
        <w:rPr>
          <w:b/>
          <w:bCs/>
          <w:color w:val="auto"/>
          <w:szCs w:val="21"/>
        </w:rPr>
        <w:t>15.5.6</w:t>
      </w:r>
      <w:r>
        <w:rPr>
          <w:color w:val="auto"/>
          <w:position w:val="2"/>
          <w:szCs w:val="21"/>
        </w:rPr>
        <w:t xml:space="preserve">  </w:t>
      </w:r>
      <w:r>
        <w:rPr>
          <w:rFonts w:hAnsi="宋体"/>
          <w:color w:val="auto"/>
          <w:position w:val="2"/>
          <w:szCs w:val="21"/>
        </w:rPr>
        <w:t>混凝土的泵送宜连续进行，当钻机移位时，混凝土泵料斗内的混凝土应连续搅拌，泵送混凝土时，料斗内混凝土的高度不得低于</w:t>
      </w:r>
      <w:r>
        <w:rPr>
          <w:color w:val="auto"/>
          <w:position w:val="2"/>
          <w:szCs w:val="21"/>
        </w:rPr>
        <w:t>400mm</w:t>
      </w:r>
      <w:r>
        <w:rPr>
          <w:rFonts w:hAnsi="宋体"/>
          <w:color w:val="auto"/>
          <w:position w:val="2"/>
          <w:szCs w:val="21"/>
        </w:rPr>
        <w:t>。</w:t>
      </w:r>
    </w:p>
    <w:p w14:paraId="7C6FB9E5">
      <w:pPr>
        <w:adjustRightInd w:val="0"/>
        <w:snapToGrid w:val="0"/>
        <w:spacing w:line="340" w:lineRule="atLeast"/>
        <w:ind w:left="1"/>
        <w:rPr>
          <w:color w:val="auto"/>
          <w:position w:val="2"/>
          <w:szCs w:val="21"/>
        </w:rPr>
      </w:pPr>
      <w:r>
        <w:rPr>
          <w:b/>
          <w:bCs/>
          <w:color w:val="auto"/>
          <w:szCs w:val="21"/>
        </w:rPr>
        <w:t>15.5.7</w:t>
      </w:r>
      <w:r>
        <w:rPr>
          <w:color w:val="auto"/>
          <w:position w:val="2"/>
          <w:szCs w:val="21"/>
        </w:rPr>
        <w:t xml:space="preserve">  </w:t>
      </w:r>
      <w:r>
        <w:rPr>
          <w:rFonts w:hAnsi="宋体"/>
          <w:color w:val="auto"/>
          <w:position w:val="2"/>
          <w:szCs w:val="21"/>
        </w:rPr>
        <w:t>混凝土输送泵管尽可能保持水平，长距离泵送时，泵管下面应垫实。</w:t>
      </w:r>
    </w:p>
    <w:p w14:paraId="75FDD8EE">
      <w:pPr>
        <w:adjustRightInd w:val="0"/>
        <w:snapToGrid w:val="0"/>
        <w:spacing w:line="340" w:lineRule="atLeast"/>
        <w:rPr>
          <w:color w:val="auto"/>
          <w:position w:val="2"/>
          <w:szCs w:val="21"/>
        </w:rPr>
      </w:pPr>
      <w:r>
        <w:rPr>
          <w:b/>
          <w:bCs/>
          <w:color w:val="auto"/>
          <w:szCs w:val="21"/>
        </w:rPr>
        <w:t xml:space="preserve">15.5.8 </w:t>
      </w:r>
      <w:r>
        <w:rPr>
          <w:color w:val="auto"/>
          <w:position w:val="2"/>
          <w:szCs w:val="21"/>
        </w:rPr>
        <w:t xml:space="preserve"> </w:t>
      </w:r>
      <w:r>
        <w:rPr>
          <w:rFonts w:hAnsi="宋体"/>
          <w:color w:val="auto"/>
          <w:position w:val="2"/>
          <w:szCs w:val="21"/>
        </w:rPr>
        <w:t>当气温高于</w:t>
      </w:r>
      <w:r>
        <w:rPr>
          <w:color w:val="auto"/>
          <w:position w:val="2"/>
          <w:szCs w:val="21"/>
        </w:rPr>
        <w:t>30</w:t>
      </w:r>
      <w:r>
        <w:rPr>
          <w:rFonts w:hAnsi="宋体"/>
          <w:color w:val="auto"/>
          <w:position w:val="2"/>
          <w:szCs w:val="21"/>
        </w:rPr>
        <w:t>℃时，宜在输送泵管上</w:t>
      </w:r>
      <w:r>
        <w:rPr>
          <w:rFonts w:hint="eastAsia" w:hAnsi="宋体"/>
          <w:color w:val="auto"/>
          <w:position w:val="2"/>
          <w:szCs w:val="21"/>
        </w:rPr>
        <w:t>采取降温措施</w:t>
      </w:r>
      <w:r>
        <w:rPr>
          <w:rFonts w:hAnsi="宋体"/>
          <w:color w:val="auto"/>
          <w:position w:val="2"/>
          <w:szCs w:val="21"/>
        </w:rPr>
        <w:t>，</w:t>
      </w:r>
      <w:r>
        <w:rPr>
          <w:rFonts w:hint="eastAsia" w:hAnsi="宋体"/>
          <w:color w:val="auto"/>
          <w:position w:val="2"/>
          <w:szCs w:val="21"/>
        </w:rPr>
        <w:t>必要时对原材料、拌合站等采取遮阳、冷却措施</w:t>
      </w:r>
      <w:r>
        <w:rPr>
          <w:rFonts w:hAnsi="宋体"/>
          <w:color w:val="auto"/>
          <w:position w:val="2"/>
          <w:szCs w:val="21"/>
        </w:rPr>
        <w:t>。</w:t>
      </w:r>
    </w:p>
    <w:p w14:paraId="028B2283">
      <w:pPr>
        <w:adjustRightInd w:val="0"/>
        <w:snapToGrid w:val="0"/>
        <w:spacing w:line="340" w:lineRule="atLeast"/>
        <w:rPr>
          <w:color w:val="auto"/>
          <w:position w:val="2"/>
          <w:szCs w:val="21"/>
        </w:rPr>
      </w:pPr>
      <w:r>
        <w:rPr>
          <w:b/>
          <w:bCs/>
          <w:color w:val="auto"/>
          <w:szCs w:val="21"/>
        </w:rPr>
        <w:t>15.5.9</w:t>
      </w:r>
      <w:r>
        <w:rPr>
          <w:color w:val="auto"/>
          <w:position w:val="2"/>
          <w:szCs w:val="21"/>
        </w:rPr>
        <w:t xml:space="preserve">  </w:t>
      </w:r>
      <w:r>
        <w:rPr>
          <w:rFonts w:hAnsi="宋体"/>
          <w:color w:val="auto"/>
          <w:position w:val="2"/>
          <w:szCs w:val="21"/>
        </w:rPr>
        <w:t>开始灌注混凝土时，应停顿</w:t>
      </w:r>
      <w:r>
        <w:rPr>
          <w:color w:val="auto"/>
          <w:position w:val="2"/>
          <w:szCs w:val="21"/>
        </w:rPr>
        <w:t>10s</w:t>
      </w:r>
      <w:r>
        <w:rPr>
          <w:rFonts w:hAnsi="宋体"/>
          <w:color w:val="auto"/>
          <w:position w:val="2"/>
          <w:szCs w:val="21"/>
        </w:rPr>
        <w:t>～</w:t>
      </w:r>
      <w:r>
        <w:rPr>
          <w:color w:val="auto"/>
          <w:position w:val="2"/>
          <w:szCs w:val="21"/>
        </w:rPr>
        <w:t>20s</w:t>
      </w:r>
      <w:r>
        <w:rPr>
          <w:rFonts w:hAnsi="宋体"/>
          <w:color w:val="auto"/>
          <w:position w:val="2"/>
          <w:szCs w:val="21"/>
        </w:rPr>
        <w:t>加压，再缓慢提升钻杆。提钻速度应根据土层情况确定，且应与混凝土泵送量相匹配，保证管内有一定高度的混凝土。</w:t>
      </w:r>
    </w:p>
    <w:p w14:paraId="0529B169">
      <w:pPr>
        <w:adjustRightInd w:val="0"/>
        <w:snapToGrid w:val="0"/>
        <w:spacing w:line="340" w:lineRule="atLeast"/>
        <w:rPr>
          <w:color w:val="auto"/>
          <w:position w:val="2"/>
          <w:szCs w:val="21"/>
        </w:rPr>
      </w:pPr>
      <w:r>
        <w:rPr>
          <w:b/>
          <w:bCs/>
          <w:color w:val="auto"/>
          <w:szCs w:val="21"/>
        </w:rPr>
        <w:t>15.5.10</w:t>
      </w:r>
      <w:r>
        <w:rPr>
          <w:color w:val="auto"/>
          <w:position w:val="2"/>
          <w:szCs w:val="21"/>
        </w:rPr>
        <w:t xml:space="preserve">  </w:t>
      </w:r>
      <w:r>
        <w:rPr>
          <w:rFonts w:hAnsi="宋体"/>
          <w:color w:val="auto"/>
          <w:position w:val="2"/>
          <w:szCs w:val="21"/>
        </w:rPr>
        <w:t>钻进地下水位以下的砂类土时，应有防止钻杆内进水的措施，压灌混凝土应连续进行。</w:t>
      </w:r>
    </w:p>
    <w:p w14:paraId="708D208A">
      <w:pPr>
        <w:adjustRightInd w:val="0"/>
        <w:snapToGrid w:val="0"/>
        <w:spacing w:line="340" w:lineRule="atLeast"/>
        <w:rPr>
          <w:color w:val="auto"/>
          <w:position w:val="2"/>
          <w:szCs w:val="21"/>
        </w:rPr>
      </w:pPr>
      <w:r>
        <w:rPr>
          <w:b/>
          <w:bCs/>
          <w:color w:val="auto"/>
          <w:szCs w:val="21"/>
        </w:rPr>
        <w:t>15.5.11</w:t>
      </w:r>
      <w:r>
        <w:rPr>
          <w:color w:val="auto"/>
          <w:position w:val="2"/>
          <w:szCs w:val="21"/>
        </w:rPr>
        <w:t xml:space="preserve">  </w:t>
      </w:r>
      <w:r>
        <w:rPr>
          <w:rFonts w:hAnsi="宋体"/>
          <w:color w:val="auto"/>
          <w:position w:val="2"/>
          <w:szCs w:val="21"/>
        </w:rPr>
        <w:t>压灌桩的充盈系数宜为</w:t>
      </w:r>
      <w:r>
        <w:rPr>
          <w:color w:val="auto"/>
          <w:position w:val="2"/>
          <w:szCs w:val="21"/>
        </w:rPr>
        <w:t>1.0</w:t>
      </w:r>
      <w:r>
        <w:rPr>
          <w:rFonts w:hint="eastAsia"/>
          <w:color w:val="auto"/>
          <w:position w:val="2"/>
          <w:szCs w:val="21"/>
        </w:rPr>
        <w:t>~</w:t>
      </w:r>
      <w:r>
        <w:rPr>
          <w:color w:val="auto"/>
          <w:position w:val="2"/>
          <w:szCs w:val="21"/>
        </w:rPr>
        <w:t>1.3</w:t>
      </w:r>
      <w:r>
        <w:rPr>
          <w:rFonts w:hAnsi="宋体"/>
          <w:color w:val="auto"/>
          <w:position w:val="2"/>
          <w:szCs w:val="21"/>
        </w:rPr>
        <w:t>。桩身混凝土超灌高度不宜小于</w:t>
      </w:r>
      <w:r>
        <w:rPr>
          <w:color w:val="auto"/>
          <w:position w:val="2"/>
          <w:szCs w:val="21"/>
        </w:rPr>
        <w:t>0.6m</w:t>
      </w:r>
      <w:r>
        <w:rPr>
          <w:rFonts w:hAnsi="宋体"/>
          <w:color w:val="auto"/>
          <w:position w:val="2"/>
          <w:szCs w:val="21"/>
        </w:rPr>
        <w:t>。</w:t>
      </w:r>
    </w:p>
    <w:p w14:paraId="65DCA538">
      <w:pPr>
        <w:adjustRightInd w:val="0"/>
        <w:snapToGrid w:val="0"/>
        <w:spacing w:line="340" w:lineRule="atLeast"/>
        <w:rPr>
          <w:color w:val="auto"/>
          <w:position w:val="2"/>
          <w:szCs w:val="21"/>
        </w:rPr>
      </w:pPr>
      <w:r>
        <w:rPr>
          <w:b/>
          <w:bCs/>
          <w:color w:val="auto"/>
          <w:szCs w:val="21"/>
        </w:rPr>
        <w:t>15.5.12</w:t>
      </w:r>
      <w:r>
        <w:rPr>
          <w:b/>
          <w:bCs/>
          <w:color w:val="auto"/>
          <w:position w:val="2"/>
          <w:szCs w:val="21"/>
        </w:rPr>
        <w:t xml:space="preserve"> </w:t>
      </w:r>
      <w:r>
        <w:rPr>
          <w:color w:val="auto"/>
          <w:position w:val="2"/>
          <w:szCs w:val="21"/>
        </w:rPr>
        <w:t xml:space="preserve"> </w:t>
      </w:r>
      <w:r>
        <w:rPr>
          <w:rFonts w:hAnsi="宋体"/>
          <w:color w:val="auto"/>
          <w:position w:val="2"/>
          <w:szCs w:val="21"/>
        </w:rPr>
        <w:t>成桩后，应及时清除钻杆及软管内残留混凝土。长时间停置时，应采用清水将钻杆、泵管、混凝土泵清洗干净。</w:t>
      </w:r>
    </w:p>
    <w:p w14:paraId="5F706727">
      <w:pPr>
        <w:adjustRightInd w:val="0"/>
        <w:snapToGrid w:val="0"/>
        <w:spacing w:line="340" w:lineRule="atLeast"/>
        <w:rPr>
          <w:color w:val="auto"/>
          <w:position w:val="2"/>
          <w:szCs w:val="21"/>
        </w:rPr>
      </w:pPr>
      <w:r>
        <w:rPr>
          <w:b/>
          <w:bCs/>
          <w:color w:val="auto"/>
          <w:szCs w:val="21"/>
        </w:rPr>
        <w:t>15.5.1</w:t>
      </w:r>
      <w:r>
        <w:rPr>
          <w:rFonts w:hint="eastAsia"/>
          <w:b/>
          <w:bCs/>
          <w:color w:val="auto"/>
          <w:szCs w:val="21"/>
        </w:rPr>
        <w:t xml:space="preserve">3 </w:t>
      </w:r>
      <w:r>
        <w:rPr>
          <w:color w:val="auto"/>
          <w:position w:val="2"/>
          <w:szCs w:val="21"/>
        </w:rPr>
        <w:t xml:space="preserve"> </w:t>
      </w:r>
      <w:r>
        <w:rPr>
          <w:rFonts w:hint="eastAsia" w:hAnsi="宋体"/>
          <w:color w:val="auto"/>
          <w:position w:val="2"/>
          <w:szCs w:val="21"/>
        </w:rPr>
        <w:t>对配筋的压灌桩，混凝土压灌结束后应立即采用专用的插筋器将钢筋笼插至设计深度</w:t>
      </w:r>
      <w:r>
        <w:rPr>
          <w:rFonts w:hAnsi="宋体"/>
          <w:color w:val="auto"/>
          <w:position w:val="2"/>
          <w:szCs w:val="21"/>
        </w:rPr>
        <w:t>。</w:t>
      </w:r>
    </w:p>
    <w:p w14:paraId="5E106315">
      <w:pPr>
        <w:adjustRightInd w:val="0"/>
        <w:snapToGrid w:val="0"/>
        <w:rPr>
          <w:color w:val="auto"/>
          <w:position w:val="2"/>
          <w:szCs w:val="21"/>
        </w:rPr>
      </w:pPr>
    </w:p>
    <w:p w14:paraId="4A606BF7">
      <w:pPr>
        <w:adjustRightInd w:val="0"/>
        <w:snapToGrid w:val="0"/>
        <w:spacing w:line="340" w:lineRule="exact"/>
        <w:outlineLvl w:val="1"/>
        <w:rPr>
          <w:rFonts w:eastAsia="黑体"/>
          <w:b/>
          <w:bCs/>
          <w:color w:val="auto"/>
          <w:szCs w:val="21"/>
        </w:rPr>
      </w:pPr>
      <w:bookmarkStart w:id="89" w:name="_Toc199943632"/>
      <w:r>
        <w:rPr>
          <w:rFonts w:eastAsia="黑体"/>
          <w:b/>
          <w:bCs/>
          <w:color w:val="auto"/>
          <w:szCs w:val="21"/>
        </w:rPr>
        <w:t>15.6  旋挖灌注桩施工</w:t>
      </w:r>
      <w:bookmarkEnd w:id="89"/>
    </w:p>
    <w:p w14:paraId="1FC51E05">
      <w:pPr>
        <w:adjustRightInd w:val="0"/>
        <w:snapToGrid w:val="0"/>
        <w:spacing w:line="340" w:lineRule="atLeast"/>
        <w:ind w:firstLine="555"/>
        <w:rPr>
          <w:color w:val="auto"/>
          <w:szCs w:val="21"/>
        </w:rPr>
      </w:pPr>
    </w:p>
    <w:p w14:paraId="46928031">
      <w:pPr>
        <w:adjustRightInd w:val="0"/>
        <w:snapToGrid w:val="0"/>
        <w:spacing w:line="340" w:lineRule="atLeast"/>
        <w:rPr>
          <w:color w:val="auto"/>
          <w:szCs w:val="21"/>
        </w:rPr>
      </w:pPr>
      <w:r>
        <w:rPr>
          <w:b/>
          <w:bCs/>
          <w:color w:val="auto"/>
          <w:szCs w:val="21"/>
        </w:rPr>
        <w:t>15.6.1</w:t>
      </w:r>
      <w:r>
        <w:rPr>
          <w:color w:val="auto"/>
          <w:szCs w:val="21"/>
        </w:rPr>
        <w:t xml:space="preserve">  </w:t>
      </w:r>
      <w:r>
        <w:rPr>
          <w:rFonts w:hAnsi="宋体"/>
          <w:color w:val="auto"/>
          <w:szCs w:val="21"/>
        </w:rPr>
        <w:t>旋挖灌注桩适用于填土、黏性土、粉土、砂土、碎石土、卵砾石土层、岩层</w:t>
      </w:r>
      <w:r>
        <w:rPr>
          <w:rFonts w:hint="eastAsia" w:hAnsi="宋体"/>
          <w:color w:val="auto"/>
          <w:szCs w:val="21"/>
        </w:rPr>
        <w:t>，</w:t>
      </w:r>
      <w:r>
        <w:rPr>
          <w:rFonts w:hint="eastAsia"/>
          <w:color w:val="auto"/>
          <w:szCs w:val="21"/>
        </w:rPr>
        <w:t>当钻进硬质岩时应进行工艺试验。</w:t>
      </w:r>
    </w:p>
    <w:p w14:paraId="27DFD822">
      <w:pPr>
        <w:adjustRightInd w:val="0"/>
        <w:snapToGrid w:val="0"/>
        <w:spacing w:line="340" w:lineRule="atLeast"/>
        <w:rPr>
          <w:color w:val="auto"/>
          <w:szCs w:val="21"/>
        </w:rPr>
      </w:pPr>
      <w:r>
        <w:rPr>
          <w:b/>
          <w:bCs/>
          <w:color w:val="auto"/>
          <w:szCs w:val="21"/>
        </w:rPr>
        <w:t>15.6.2</w:t>
      </w:r>
      <w:r>
        <w:rPr>
          <w:color w:val="auto"/>
          <w:szCs w:val="21"/>
        </w:rPr>
        <w:t xml:space="preserve">  </w:t>
      </w:r>
      <w:r>
        <w:rPr>
          <w:rFonts w:hAnsi="宋体"/>
          <w:color w:val="auto"/>
          <w:szCs w:val="21"/>
        </w:rPr>
        <w:t>旋挖钻机应配备成孔和清孔用泥浆及泥浆池（箱），</w:t>
      </w:r>
      <w:r>
        <w:rPr>
          <w:color w:val="auto"/>
          <w:szCs w:val="21"/>
        </w:rPr>
        <w:t xml:space="preserve"> </w:t>
      </w:r>
      <w:r>
        <w:rPr>
          <w:rFonts w:hAnsi="宋体"/>
          <w:color w:val="auto"/>
          <w:szCs w:val="21"/>
        </w:rPr>
        <w:t>在容易产生泥浆渗漏的土层中应采取提高泥浆比重、掺入锯末、掺入增黏剂提高泥浆黏度等维持孔壁稳定的措施。</w:t>
      </w:r>
    </w:p>
    <w:p w14:paraId="4678E1C6">
      <w:pPr>
        <w:adjustRightInd w:val="0"/>
        <w:snapToGrid w:val="0"/>
        <w:spacing w:line="340" w:lineRule="atLeast"/>
        <w:rPr>
          <w:color w:val="auto"/>
          <w:szCs w:val="21"/>
        </w:rPr>
      </w:pPr>
      <w:r>
        <w:rPr>
          <w:b/>
          <w:bCs/>
          <w:color w:val="auto"/>
          <w:szCs w:val="21"/>
        </w:rPr>
        <w:t xml:space="preserve">15.6.3 </w:t>
      </w:r>
      <w:r>
        <w:rPr>
          <w:color w:val="auto"/>
          <w:szCs w:val="21"/>
        </w:rPr>
        <w:t xml:space="preserve"> </w:t>
      </w:r>
      <w:r>
        <w:rPr>
          <w:rFonts w:hAnsi="宋体"/>
          <w:color w:val="auto"/>
          <w:szCs w:val="21"/>
        </w:rPr>
        <w:t>泥浆制备和储存的能力应大于钻孔和清孔时的泥浆需求量，每台套钻机的泥浆储备量应不少于单桩成孔体积的两倍。</w:t>
      </w:r>
    </w:p>
    <w:p w14:paraId="7262687A">
      <w:pPr>
        <w:adjustRightInd w:val="0"/>
        <w:snapToGrid w:val="0"/>
        <w:spacing w:line="340" w:lineRule="atLeast"/>
        <w:rPr>
          <w:color w:val="auto"/>
          <w:szCs w:val="21"/>
        </w:rPr>
      </w:pPr>
      <w:r>
        <w:rPr>
          <w:b/>
          <w:bCs/>
          <w:color w:val="auto"/>
          <w:szCs w:val="21"/>
        </w:rPr>
        <w:t>15.6.4</w:t>
      </w:r>
      <w:r>
        <w:rPr>
          <w:color w:val="auto"/>
          <w:szCs w:val="21"/>
        </w:rPr>
        <w:t xml:space="preserve">  </w:t>
      </w:r>
      <w:r>
        <w:rPr>
          <w:rFonts w:hAnsi="宋体"/>
          <w:color w:val="auto"/>
          <w:szCs w:val="21"/>
        </w:rPr>
        <w:t>旋挖钻机施工时，</w:t>
      </w:r>
      <w:r>
        <w:rPr>
          <w:rFonts w:hint="eastAsia" w:hAnsi="宋体"/>
          <w:color w:val="auto"/>
          <w:szCs w:val="21"/>
        </w:rPr>
        <w:t>场地应平整，排水应通畅，并应满足机械行走所需的地面承载力，</w:t>
      </w:r>
      <w:r>
        <w:rPr>
          <w:rFonts w:hAnsi="宋体"/>
          <w:color w:val="auto"/>
          <w:szCs w:val="21"/>
        </w:rPr>
        <w:t>必要时先垫设能保证其安全的钢板或路基板。</w:t>
      </w:r>
    </w:p>
    <w:p w14:paraId="048210E6">
      <w:pPr>
        <w:adjustRightInd w:val="0"/>
        <w:snapToGrid w:val="0"/>
        <w:spacing w:line="340" w:lineRule="atLeast"/>
        <w:rPr>
          <w:color w:val="auto"/>
          <w:szCs w:val="21"/>
        </w:rPr>
      </w:pPr>
      <w:r>
        <w:rPr>
          <w:b/>
          <w:bCs/>
          <w:color w:val="auto"/>
          <w:szCs w:val="21"/>
        </w:rPr>
        <w:t>15.6.5</w:t>
      </w:r>
      <w:r>
        <w:rPr>
          <w:color w:val="auto"/>
          <w:szCs w:val="21"/>
        </w:rPr>
        <w:t xml:space="preserve">  </w:t>
      </w:r>
      <w:r>
        <w:rPr>
          <w:rFonts w:hAnsi="宋体"/>
          <w:color w:val="auto"/>
          <w:szCs w:val="21"/>
        </w:rPr>
        <w:t>每根桩均应安设钢护筒，护筒应按下列规定设置：</w:t>
      </w:r>
    </w:p>
    <w:p w14:paraId="38798648">
      <w:pPr>
        <w:adjustRightInd w:val="0"/>
        <w:snapToGrid w:val="0"/>
        <w:spacing w:line="340" w:lineRule="atLeast"/>
        <w:ind w:left="1" w:firstLine="398" w:firstLineChars="189"/>
        <w:rPr>
          <w:color w:val="auto"/>
          <w:szCs w:val="21"/>
        </w:rPr>
      </w:pPr>
      <w:r>
        <w:rPr>
          <w:b/>
          <w:bCs/>
          <w:color w:val="auto"/>
          <w:szCs w:val="21"/>
        </w:rPr>
        <w:t>a)</w:t>
      </w:r>
      <w:r>
        <w:rPr>
          <w:color w:val="auto"/>
          <w:szCs w:val="21"/>
        </w:rPr>
        <w:t xml:space="preserve">  </w:t>
      </w:r>
      <w:r>
        <w:rPr>
          <w:rFonts w:hAnsi="宋体"/>
          <w:color w:val="auto"/>
          <w:szCs w:val="21"/>
        </w:rPr>
        <w:t>根据地质情况和地下水位情况以及孔内泥浆高度的需求确定钢护筒的安设深度，钢护筒的最小长度不宜小于</w:t>
      </w:r>
      <w:r>
        <w:rPr>
          <w:color w:val="auto"/>
          <w:szCs w:val="21"/>
        </w:rPr>
        <w:t>4.0m且宜穿过易坍孔的软土层</w:t>
      </w:r>
      <w:r>
        <w:rPr>
          <w:rFonts w:hAnsi="宋体"/>
          <w:color w:val="auto"/>
          <w:szCs w:val="21"/>
        </w:rPr>
        <w:t>；</w:t>
      </w:r>
    </w:p>
    <w:p w14:paraId="11F6C50C">
      <w:pPr>
        <w:adjustRightInd w:val="0"/>
        <w:snapToGrid w:val="0"/>
        <w:spacing w:line="340" w:lineRule="atLeast"/>
        <w:ind w:left="1" w:firstLine="398" w:firstLineChars="189"/>
        <w:rPr>
          <w:color w:val="auto"/>
          <w:szCs w:val="21"/>
        </w:rPr>
      </w:pPr>
      <w:r>
        <w:rPr>
          <w:b/>
          <w:bCs/>
          <w:color w:val="auto"/>
          <w:szCs w:val="21"/>
        </w:rPr>
        <w:t>b)</w:t>
      </w:r>
      <w:r>
        <w:rPr>
          <w:color w:val="auto"/>
          <w:szCs w:val="21"/>
        </w:rPr>
        <w:t xml:space="preserve">  </w:t>
      </w:r>
      <w:r>
        <w:rPr>
          <w:rFonts w:hAnsi="宋体"/>
          <w:color w:val="auto"/>
          <w:szCs w:val="21"/>
        </w:rPr>
        <w:t>钢护筒应采用钢板制作，</w:t>
      </w:r>
      <w:r>
        <w:rPr>
          <w:rFonts w:hint="eastAsia" w:hAnsi="宋体"/>
          <w:color w:val="auto"/>
          <w:szCs w:val="21"/>
        </w:rPr>
        <w:t>壁厚根据桩径、长度综合确定，保证施工过程中护筒变形满足要求，</w:t>
      </w:r>
      <w:r>
        <w:rPr>
          <w:rFonts w:hAnsi="宋体"/>
          <w:color w:val="auto"/>
          <w:szCs w:val="21"/>
        </w:rPr>
        <w:t>其内径应大于钻头直径</w:t>
      </w:r>
      <w:r>
        <w:rPr>
          <w:color w:val="auto"/>
          <w:szCs w:val="21"/>
        </w:rPr>
        <w:t>100mm</w:t>
      </w:r>
      <w:r>
        <w:rPr>
          <w:rFonts w:hAnsi="宋体"/>
          <w:color w:val="auto"/>
          <w:szCs w:val="21"/>
        </w:rPr>
        <w:t>，上部应对称设二个溢浆孔口；</w:t>
      </w:r>
    </w:p>
    <w:p w14:paraId="06651AE1">
      <w:pPr>
        <w:adjustRightInd w:val="0"/>
        <w:snapToGrid w:val="0"/>
        <w:spacing w:line="340" w:lineRule="atLeast"/>
        <w:ind w:left="1" w:firstLine="398" w:firstLineChars="189"/>
        <w:rPr>
          <w:color w:val="auto"/>
          <w:szCs w:val="21"/>
        </w:rPr>
      </w:pPr>
      <w:r>
        <w:rPr>
          <w:b/>
          <w:bCs/>
          <w:color w:val="auto"/>
          <w:szCs w:val="21"/>
        </w:rPr>
        <w:t>c)</w:t>
      </w:r>
      <w:r>
        <w:rPr>
          <w:color w:val="auto"/>
          <w:szCs w:val="21"/>
        </w:rPr>
        <w:t xml:space="preserve">  </w:t>
      </w:r>
      <w:r>
        <w:rPr>
          <w:rFonts w:hAnsi="宋体"/>
          <w:color w:val="auto"/>
          <w:szCs w:val="21"/>
        </w:rPr>
        <w:t>钢护筒起吊时应采用钢扁担，埋设应准确稳固，护筒中心和桩位中心偏差应小于</w:t>
      </w:r>
      <w:r>
        <w:rPr>
          <w:color w:val="auto"/>
          <w:szCs w:val="21"/>
        </w:rPr>
        <w:t>50mm</w:t>
      </w:r>
      <w:r>
        <w:rPr>
          <w:rFonts w:hAnsi="宋体"/>
          <w:color w:val="auto"/>
          <w:szCs w:val="21"/>
        </w:rPr>
        <w:t>，护筒安设垂直度偏差不应大于</w:t>
      </w:r>
      <w:r>
        <w:rPr>
          <w:color w:val="auto"/>
          <w:szCs w:val="21"/>
        </w:rPr>
        <w:t>0.5%</w:t>
      </w:r>
      <w:r>
        <w:rPr>
          <w:rFonts w:hAnsi="宋体"/>
          <w:color w:val="auto"/>
          <w:szCs w:val="21"/>
        </w:rPr>
        <w:t>。</w:t>
      </w:r>
    </w:p>
    <w:p w14:paraId="0E6C1765">
      <w:pPr>
        <w:adjustRightInd w:val="0"/>
        <w:snapToGrid w:val="0"/>
        <w:spacing w:line="340" w:lineRule="atLeast"/>
        <w:rPr>
          <w:color w:val="auto"/>
          <w:szCs w:val="21"/>
        </w:rPr>
      </w:pPr>
      <w:r>
        <w:rPr>
          <w:b/>
          <w:bCs/>
          <w:color w:val="auto"/>
          <w:szCs w:val="21"/>
        </w:rPr>
        <w:t>15.6.6</w:t>
      </w:r>
      <w:r>
        <w:rPr>
          <w:color w:val="auto"/>
          <w:szCs w:val="21"/>
        </w:rPr>
        <w:t xml:space="preserve">  </w:t>
      </w:r>
      <w:r>
        <w:rPr>
          <w:rFonts w:hAnsi="宋体"/>
          <w:color w:val="auto"/>
          <w:szCs w:val="21"/>
        </w:rPr>
        <w:t>成孔前和每次提出钻斗时，应检查钻斗和钻杆连接销子、钻斗门连接销子以及钢丝绳的状况，并清除钻斗上的土渣。</w:t>
      </w:r>
    </w:p>
    <w:p w14:paraId="1F554DDA">
      <w:pPr>
        <w:adjustRightInd w:val="0"/>
        <w:snapToGrid w:val="0"/>
        <w:spacing w:line="340" w:lineRule="atLeast"/>
        <w:rPr>
          <w:color w:val="auto"/>
          <w:szCs w:val="21"/>
        </w:rPr>
      </w:pPr>
      <w:r>
        <w:rPr>
          <w:b/>
          <w:bCs/>
          <w:color w:val="auto"/>
          <w:szCs w:val="21"/>
        </w:rPr>
        <w:t>15.6.7</w:t>
      </w:r>
      <w:r>
        <w:rPr>
          <w:color w:val="auto"/>
          <w:szCs w:val="21"/>
        </w:rPr>
        <w:t xml:space="preserve">  </w:t>
      </w:r>
      <w:r>
        <w:rPr>
          <w:rFonts w:hAnsi="宋体"/>
          <w:color w:val="auto"/>
          <w:szCs w:val="21"/>
        </w:rPr>
        <w:t>旋挖钻机成孔应采用跳挖方式，钻斗倒出的土距桩孔口的最小距离应大于</w:t>
      </w:r>
      <w:r>
        <w:rPr>
          <w:color w:val="auto"/>
          <w:szCs w:val="21"/>
        </w:rPr>
        <w:t>6m</w:t>
      </w:r>
      <w:r>
        <w:rPr>
          <w:rFonts w:hAnsi="宋体"/>
          <w:color w:val="auto"/>
          <w:szCs w:val="21"/>
        </w:rPr>
        <w:t>，并应及时清除。根据钻进速度应同步补充泥浆，保持所需泥浆面的高度不变。</w:t>
      </w:r>
    </w:p>
    <w:p w14:paraId="0D7ACCDC">
      <w:pPr>
        <w:adjustRightInd w:val="0"/>
        <w:snapToGrid w:val="0"/>
        <w:spacing w:line="340" w:lineRule="atLeast"/>
        <w:rPr>
          <w:color w:val="auto"/>
          <w:szCs w:val="21"/>
        </w:rPr>
      </w:pPr>
      <w:r>
        <w:rPr>
          <w:b/>
          <w:bCs/>
          <w:color w:val="auto"/>
          <w:szCs w:val="21"/>
        </w:rPr>
        <w:t>15.6.8</w:t>
      </w:r>
      <w:r>
        <w:rPr>
          <w:color w:val="auto"/>
          <w:szCs w:val="21"/>
        </w:rPr>
        <w:t xml:space="preserve">  </w:t>
      </w:r>
      <w:r>
        <w:rPr>
          <w:rFonts w:hAnsi="宋体"/>
          <w:color w:val="auto"/>
          <w:szCs w:val="21"/>
        </w:rPr>
        <w:t>达到钻孔深度时，应采用清孔钻头清孔。清孔后孔底</w:t>
      </w:r>
      <w:r>
        <w:rPr>
          <w:color w:val="auto"/>
          <w:szCs w:val="21"/>
        </w:rPr>
        <w:t>500mm</w:t>
      </w:r>
      <w:r>
        <w:rPr>
          <w:rFonts w:hAnsi="宋体"/>
          <w:color w:val="auto"/>
          <w:szCs w:val="21"/>
        </w:rPr>
        <w:t>以内泥浆比重应小于</w:t>
      </w:r>
      <w:r>
        <w:rPr>
          <w:color w:val="auto"/>
          <w:szCs w:val="21"/>
        </w:rPr>
        <w:t>1.25</w:t>
      </w:r>
      <w:r>
        <w:rPr>
          <w:rFonts w:hAnsi="宋体"/>
          <w:color w:val="auto"/>
          <w:szCs w:val="21"/>
        </w:rPr>
        <w:t>，含砂率不大于</w:t>
      </w:r>
      <w:r>
        <w:rPr>
          <w:color w:val="auto"/>
          <w:szCs w:val="21"/>
        </w:rPr>
        <w:t>8%</w:t>
      </w:r>
      <w:r>
        <w:rPr>
          <w:rFonts w:hAnsi="宋体"/>
          <w:color w:val="auto"/>
          <w:szCs w:val="21"/>
        </w:rPr>
        <w:t>，黏度不大于</w:t>
      </w:r>
      <w:r>
        <w:rPr>
          <w:color w:val="auto"/>
          <w:szCs w:val="21"/>
        </w:rPr>
        <w:t>28s</w:t>
      </w:r>
      <w:r>
        <w:rPr>
          <w:rFonts w:hAnsi="宋体"/>
          <w:color w:val="auto"/>
          <w:szCs w:val="21"/>
        </w:rPr>
        <w:t>。</w:t>
      </w:r>
    </w:p>
    <w:p w14:paraId="4F4C6929">
      <w:pPr>
        <w:adjustRightInd w:val="0"/>
        <w:snapToGrid w:val="0"/>
        <w:spacing w:line="340" w:lineRule="atLeast"/>
        <w:rPr>
          <w:color w:val="auto"/>
          <w:szCs w:val="21"/>
        </w:rPr>
      </w:pPr>
      <w:r>
        <w:rPr>
          <w:b/>
          <w:bCs/>
          <w:color w:val="auto"/>
          <w:szCs w:val="21"/>
        </w:rPr>
        <w:t>15.6.9</w:t>
      </w:r>
      <w:r>
        <w:rPr>
          <w:color w:val="auto"/>
          <w:szCs w:val="21"/>
        </w:rPr>
        <w:t xml:space="preserve">  </w:t>
      </w:r>
      <w:r>
        <w:rPr>
          <w:rFonts w:hAnsi="宋体"/>
          <w:color w:val="auto"/>
          <w:szCs w:val="21"/>
        </w:rPr>
        <w:t>应根据不同的地质条件、孔深和桩径选择正循环</w:t>
      </w:r>
      <w:r>
        <w:rPr>
          <w:rFonts w:hint="eastAsia" w:hAnsi="宋体"/>
          <w:color w:val="auto"/>
          <w:szCs w:val="21"/>
        </w:rPr>
        <w:t>、</w:t>
      </w:r>
      <w:r>
        <w:rPr>
          <w:rFonts w:hAnsi="宋体"/>
          <w:color w:val="auto"/>
          <w:szCs w:val="21"/>
        </w:rPr>
        <w:t>反循环</w:t>
      </w:r>
      <w:r>
        <w:rPr>
          <w:rFonts w:hint="eastAsia" w:hAnsi="宋体"/>
          <w:color w:val="auto"/>
          <w:szCs w:val="21"/>
        </w:rPr>
        <w:t>或气举反循环</w:t>
      </w:r>
      <w:r>
        <w:rPr>
          <w:rFonts w:hAnsi="宋体"/>
          <w:color w:val="auto"/>
          <w:szCs w:val="21"/>
        </w:rPr>
        <w:t>进行浇注混凝土前的二次清孔。</w:t>
      </w:r>
      <w:r>
        <w:rPr>
          <w:rFonts w:hint="eastAsia" w:hAnsi="宋体"/>
          <w:color w:val="auto"/>
          <w:szCs w:val="21"/>
        </w:rPr>
        <w:t>干作业成孔时应采用专用钻头清孔，并采取措施保证钢筋笼及导管安装完毕后孔底沉渣厚度符合要求。</w:t>
      </w:r>
    </w:p>
    <w:p w14:paraId="1FB86FA8">
      <w:pPr>
        <w:adjustRightInd w:val="0"/>
        <w:snapToGrid w:val="0"/>
        <w:spacing w:line="340" w:lineRule="atLeast"/>
        <w:rPr>
          <w:color w:val="auto"/>
          <w:szCs w:val="21"/>
        </w:rPr>
      </w:pPr>
      <w:r>
        <w:rPr>
          <w:b/>
          <w:bCs/>
          <w:color w:val="auto"/>
          <w:szCs w:val="21"/>
        </w:rPr>
        <w:t>15.6.10</w:t>
      </w:r>
      <w:r>
        <w:rPr>
          <w:color w:val="auto"/>
          <w:szCs w:val="21"/>
        </w:rPr>
        <w:t xml:space="preserve">  </w:t>
      </w:r>
      <w:r>
        <w:rPr>
          <w:rFonts w:hAnsi="宋体"/>
          <w:color w:val="auto"/>
          <w:szCs w:val="21"/>
        </w:rPr>
        <w:t>水下浇注的混凝土的含砂率宜为</w:t>
      </w:r>
      <w:r>
        <w:rPr>
          <w:color w:val="auto"/>
          <w:szCs w:val="21"/>
        </w:rPr>
        <w:t>40%～45%</w:t>
      </w:r>
      <w:r>
        <w:rPr>
          <w:rFonts w:hAnsi="宋体"/>
          <w:color w:val="auto"/>
          <w:szCs w:val="21"/>
        </w:rPr>
        <w:t>，坍落度宜为</w:t>
      </w:r>
      <w:r>
        <w:rPr>
          <w:color w:val="auto"/>
          <w:szCs w:val="21"/>
        </w:rPr>
        <w:t>180mm</w:t>
      </w:r>
      <w:r>
        <w:rPr>
          <w:rFonts w:hAnsi="宋体"/>
          <w:color w:val="auto"/>
          <w:szCs w:val="21"/>
        </w:rPr>
        <w:t>～</w:t>
      </w:r>
      <w:r>
        <w:rPr>
          <w:color w:val="auto"/>
          <w:szCs w:val="21"/>
        </w:rPr>
        <w:t>220mm</w:t>
      </w:r>
      <w:r>
        <w:rPr>
          <w:rFonts w:hAnsi="宋体"/>
          <w:color w:val="auto"/>
          <w:szCs w:val="21"/>
        </w:rPr>
        <w:t>，水泥用量不少于</w:t>
      </w:r>
      <w:r>
        <w:rPr>
          <w:color w:val="auto"/>
          <w:szCs w:val="21"/>
        </w:rPr>
        <w:t>360kg/m</w:t>
      </w:r>
      <w:r>
        <w:rPr>
          <w:color w:val="auto"/>
          <w:szCs w:val="21"/>
          <w:vertAlign w:val="superscript"/>
        </w:rPr>
        <w:t>3</w:t>
      </w:r>
      <w:r>
        <w:rPr>
          <w:rFonts w:hAnsi="宋体"/>
          <w:color w:val="auto"/>
          <w:szCs w:val="21"/>
        </w:rPr>
        <w:t>，中粗砂、粗骨料应采用连续级配。当导管直径为</w:t>
      </w:r>
      <w:r>
        <w:rPr>
          <w:color w:val="auto"/>
          <w:szCs w:val="21"/>
        </w:rPr>
        <w:t>300mm</w:t>
      </w:r>
      <w:r>
        <w:rPr>
          <w:rFonts w:hAnsi="宋体"/>
          <w:color w:val="auto"/>
          <w:szCs w:val="21"/>
        </w:rPr>
        <w:t>时，粗骨料最大粒径应小于</w:t>
      </w:r>
      <w:r>
        <w:rPr>
          <w:color w:val="auto"/>
          <w:szCs w:val="21"/>
        </w:rPr>
        <w:t xml:space="preserve"> 40mm</w:t>
      </w:r>
      <w:r>
        <w:rPr>
          <w:rFonts w:hAnsi="宋体"/>
          <w:color w:val="auto"/>
          <w:szCs w:val="21"/>
        </w:rPr>
        <w:t>，当导管直径为</w:t>
      </w:r>
      <w:r>
        <w:rPr>
          <w:color w:val="auto"/>
          <w:szCs w:val="21"/>
        </w:rPr>
        <w:t>250mm</w:t>
      </w:r>
      <w:r>
        <w:rPr>
          <w:rFonts w:hAnsi="宋体"/>
          <w:color w:val="auto"/>
          <w:szCs w:val="21"/>
        </w:rPr>
        <w:t>时，粗骨料最大粒径应小于</w:t>
      </w:r>
      <w:r>
        <w:rPr>
          <w:color w:val="auto"/>
          <w:szCs w:val="21"/>
        </w:rPr>
        <w:t xml:space="preserve"> 31.5mm</w:t>
      </w:r>
      <w:r>
        <w:rPr>
          <w:rFonts w:hAnsi="宋体"/>
          <w:color w:val="auto"/>
          <w:szCs w:val="21"/>
        </w:rPr>
        <w:t>。</w:t>
      </w:r>
    </w:p>
    <w:p w14:paraId="76A2617E">
      <w:pPr>
        <w:adjustRightInd w:val="0"/>
        <w:snapToGrid w:val="0"/>
        <w:spacing w:line="340" w:lineRule="atLeast"/>
        <w:rPr>
          <w:color w:val="auto"/>
          <w:szCs w:val="21"/>
        </w:rPr>
      </w:pPr>
      <w:r>
        <w:rPr>
          <w:b/>
          <w:bCs/>
          <w:color w:val="auto"/>
          <w:szCs w:val="21"/>
        </w:rPr>
        <w:t>15.6.11</w:t>
      </w:r>
      <w:r>
        <w:rPr>
          <w:color w:val="auto"/>
          <w:szCs w:val="21"/>
        </w:rPr>
        <w:t xml:space="preserve">  </w:t>
      </w:r>
      <w:r>
        <w:rPr>
          <w:rFonts w:hAnsi="宋体"/>
          <w:color w:val="auto"/>
          <w:szCs w:val="21"/>
        </w:rPr>
        <w:t>导管接头应采用丝扣或双螺纹方扣快速接头，不宜采用法兰接头。导管应设在钢筋笼中间。提升导管时，不得挂碰钢筋笼。</w:t>
      </w:r>
    </w:p>
    <w:p w14:paraId="21B595DF">
      <w:pPr>
        <w:adjustRightInd w:val="0"/>
        <w:snapToGrid w:val="0"/>
        <w:spacing w:line="340" w:lineRule="atLeast"/>
        <w:rPr>
          <w:color w:val="auto"/>
          <w:szCs w:val="21"/>
        </w:rPr>
      </w:pPr>
      <w:r>
        <w:rPr>
          <w:b/>
          <w:bCs/>
          <w:color w:val="auto"/>
          <w:szCs w:val="21"/>
        </w:rPr>
        <w:t>15.6.12</w:t>
      </w:r>
      <w:r>
        <w:rPr>
          <w:color w:val="auto"/>
          <w:szCs w:val="21"/>
        </w:rPr>
        <w:t xml:space="preserve">  </w:t>
      </w:r>
      <w:r>
        <w:rPr>
          <w:rFonts w:hAnsi="宋体"/>
          <w:color w:val="auto"/>
          <w:szCs w:val="21"/>
        </w:rPr>
        <w:t>导管使用前应试拼装和试压，试水压力为</w:t>
      </w:r>
      <w:r>
        <w:rPr>
          <w:color w:val="auto"/>
          <w:szCs w:val="21"/>
        </w:rPr>
        <w:t>0.6MPa～1.0MPa</w:t>
      </w:r>
      <w:r>
        <w:rPr>
          <w:rFonts w:hAnsi="宋体"/>
          <w:color w:val="auto"/>
          <w:szCs w:val="21"/>
        </w:rPr>
        <w:t>。每次浇注完混凝土后应及时对导管内外进行清洗，使用前应检查是否有水泥浆块附着在导管内壁。</w:t>
      </w:r>
    </w:p>
    <w:p w14:paraId="26FBD042">
      <w:pPr>
        <w:adjustRightInd w:val="0"/>
        <w:snapToGrid w:val="0"/>
        <w:spacing w:line="340" w:lineRule="atLeast"/>
        <w:rPr>
          <w:color w:val="auto"/>
          <w:szCs w:val="21"/>
        </w:rPr>
      </w:pPr>
      <w:r>
        <w:rPr>
          <w:b/>
          <w:bCs/>
          <w:color w:val="auto"/>
          <w:szCs w:val="21"/>
        </w:rPr>
        <w:t xml:space="preserve">15.6.13 </w:t>
      </w:r>
      <w:r>
        <w:rPr>
          <w:color w:val="auto"/>
          <w:szCs w:val="21"/>
        </w:rPr>
        <w:t xml:space="preserve"> </w:t>
      </w:r>
      <w:r>
        <w:rPr>
          <w:rFonts w:hAnsi="宋体"/>
          <w:color w:val="auto"/>
          <w:szCs w:val="21"/>
        </w:rPr>
        <w:t>使用的隔水栓应有良好的隔水性能，保证顺利排出。隔水栓宜采用和桩身混凝土同强度等级的现浇细石混凝土，并用布包裹成与导管内径相同的细石混凝土塞。</w:t>
      </w:r>
    </w:p>
    <w:p w14:paraId="3139C256">
      <w:pPr>
        <w:adjustRightInd w:val="0"/>
        <w:snapToGrid w:val="0"/>
        <w:spacing w:line="340" w:lineRule="atLeast"/>
        <w:rPr>
          <w:color w:val="auto"/>
          <w:szCs w:val="21"/>
        </w:rPr>
      </w:pPr>
      <w:r>
        <w:rPr>
          <w:b/>
          <w:bCs/>
          <w:color w:val="auto"/>
          <w:szCs w:val="21"/>
        </w:rPr>
        <w:t>15.6.14</w:t>
      </w:r>
      <w:r>
        <w:rPr>
          <w:color w:val="auto"/>
          <w:szCs w:val="21"/>
        </w:rPr>
        <w:t xml:space="preserve">  </w:t>
      </w:r>
      <w:r>
        <w:rPr>
          <w:rFonts w:hint="eastAsia"/>
          <w:color w:val="auto"/>
          <w:szCs w:val="21"/>
        </w:rPr>
        <w:t>二次清孔后应立即浇注混凝土，</w:t>
      </w:r>
      <w:r>
        <w:rPr>
          <w:rFonts w:hAnsi="宋体"/>
          <w:color w:val="auto"/>
          <w:szCs w:val="21"/>
        </w:rPr>
        <w:t>首次浇注混凝土时，应有足够的混凝土储备量，确保导管首次埋入混凝土面的深度不小于</w:t>
      </w:r>
      <w:r>
        <w:rPr>
          <w:color w:val="auto"/>
          <w:szCs w:val="21"/>
        </w:rPr>
        <w:t>1.2m</w:t>
      </w:r>
      <w:r>
        <w:rPr>
          <w:rFonts w:hAnsi="宋体"/>
          <w:color w:val="auto"/>
          <w:szCs w:val="21"/>
        </w:rPr>
        <w:t>。</w:t>
      </w:r>
      <w:r>
        <w:rPr>
          <w:rFonts w:hint="eastAsia" w:hAnsi="宋体"/>
          <w:color w:val="auto"/>
          <w:szCs w:val="21"/>
        </w:rPr>
        <w:t>混凝土灌注桩充盈系数不应小于1.0。</w:t>
      </w:r>
    </w:p>
    <w:p w14:paraId="643734C7">
      <w:pPr>
        <w:adjustRightInd w:val="0"/>
        <w:snapToGrid w:val="0"/>
        <w:spacing w:line="340" w:lineRule="atLeast"/>
        <w:rPr>
          <w:color w:val="auto"/>
          <w:szCs w:val="21"/>
        </w:rPr>
      </w:pPr>
      <w:r>
        <w:rPr>
          <w:b/>
          <w:bCs/>
          <w:color w:val="auto"/>
          <w:szCs w:val="21"/>
        </w:rPr>
        <w:t>15.6.15</w:t>
      </w:r>
      <w:r>
        <w:rPr>
          <w:color w:val="auto"/>
          <w:szCs w:val="21"/>
        </w:rPr>
        <w:t xml:space="preserve">  </w:t>
      </w:r>
      <w:r>
        <w:rPr>
          <w:rFonts w:hAnsi="宋体"/>
          <w:color w:val="auto"/>
          <w:szCs w:val="21"/>
        </w:rPr>
        <w:t>导管埋深宜为</w:t>
      </w:r>
      <w:r>
        <w:rPr>
          <w:color w:val="auto"/>
          <w:szCs w:val="21"/>
        </w:rPr>
        <w:t>4m～6m</w:t>
      </w:r>
      <w:r>
        <w:rPr>
          <w:rFonts w:hAnsi="宋体"/>
          <w:color w:val="auto"/>
          <w:szCs w:val="21"/>
        </w:rPr>
        <w:t>，严禁导管提出混凝土面，并应设专人同步测量导管埋深及管内外混凝土面的高差，填写水下浇注混凝土的动态记录。</w:t>
      </w:r>
    </w:p>
    <w:p w14:paraId="477100A4">
      <w:pPr>
        <w:adjustRightInd w:val="0"/>
        <w:snapToGrid w:val="0"/>
        <w:spacing w:line="340" w:lineRule="atLeast"/>
        <w:rPr>
          <w:color w:val="auto"/>
          <w:szCs w:val="21"/>
        </w:rPr>
      </w:pPr>
      <w:r>
        <w:rPr>
          <w:b/>
          <w:bCs/>
          <w:color w:val="auto"/>
          <w:szCs w:val="21"/>
        </w:rPr>
        <w:t>15.6.16</w:t>
      </w:r>
      <w:r>
        <w:rPr>
          <w:color w:val="auto"/>
          <w:szCs w:val="21"/>
        </w:rPr>
        <w:t xml:space="preserve">  </w:t>
      </w:r>
      <w:r>
        <w:rPr>
          <w:rFonts w:hAnsi="宋体"/>
          <w:color w:val="auto"/>
          <w:szCs w:val="21"/>
        </w:rPr>
        <w:t>水下浇注混凝土必须连续进行，对浇注过程中的一切故障均应记录备案，并及时采取有效措施（如水下接桩等措施）。</w:t>
      </w:r>
    </w:p>
    <w:p w14:paraId="32F563A2">
      <w:pPr>
        <w:adjustRightInd w:val="0"/>
        <w:snapToGrid w:val="0"/>
        <w:spacing w:line="340" w:lineRule="atLeast"/>
        <w:rPr>
          <w:color w:val="auto"/>
          <w:szCs w:val="21"/>
        </w:rPr>
      </w:pPr>
      <w:r>
        <w:rPr>
          <w:b/>
          <w:bCs/>
          <w:color w:val="auto"/>
          <w:szCs w:val="21"/>
        </w:rPr>
        <w:t>15.6.17</w:t>
      </w:r>
      <w:r>
        <w:rPr>
          <w:rFonts w:hAnsi="宋体"/>
          <w:color w:val="auto"/>
          <w:szCs w:val="21"/>
        </w:rPr>
        <w:t>桩身混凝土必须现场留有试件，直径不小于</w:t>
      </w:r>
      <w:r>
        <w:rPr>
          <w:color w:val="auto"/>
          <w:szCs w:val="21"/>
        </w:rPr>
        <w:t>800mm</w:t>
      </w:r>
      <w:r>
        <w:rPr>
          <w:rFonts w:hAnsi="宋体"/>
          <w:color w:val="auto"/>
          <w:szCs w:val="21"/>
        </w:rPr>
        <w:t>或单桩混凝土量超过</w:t>
      </w:r>
      <w:r>
        <w:rPr>
          <w:color w:val="auto"/>
          <w:szCs w:val="21"/>
        </w:rPr>
        <w:t>25 m</w:t>
      </w:r>
      <w:r>
        <w:rPr>
          <w:color w:val="auto"/>
          <w:szCs w:val="21"/>
          <w:vertAlign w:val="superscript"/>
        </w:rPr>
        <w:t>3</w:t>
      </w:r>
      <w:r>
        <w:rPr>
          <w:rFonts w:hAnsi="宋体"/>
          <w:color w:val="auto"/>
          <w:szCs w:val="21"/>
        </w:rPr>
        <w:t>的桩</w:t>
      </w:r>
      <w:r>
        <w:rPr>
          <w:color w:val="auto"/>
          <w:szCs w:val="21"/>
        </w:rPr>
        <w:t>，</w:t>
      </w:r>
      <w:r>
        <w:rPr>
          <w:rFonts w:hAnsi="宋体"/>
          <w:color w:val="auto"/>
          <w:szCs w:val="21"/>
        </w:rPr>
        <w:t>每根桩应留有</w:t>
      </w:r>
      <w:r>
        <w:rPr>
          <w:color w:val="auto"/>
          <w:szCs w:val="21"/>
        </w:rPr>
        <w:t>1</w:t>
      </w:r>
      <w:r>
        <w:rPr>
          <w:rFonts w:hAnsi="宋体"/>
          <w:color w:val="auto"/>
          <w:szCs w:val="21"/>
        </w:rPr>
        <w:t>组试件</w:t>
      </w:r>
      <w:r>
        <w:rPr>
          <w:color w:val="auto"/>
          <w:szCs w:val="21"/>
        </w:rPr>
        <w:t xml:space="preserve">; </w:t>
      </w:r>
      <w:r>
        <w:rPr>
          <w:rFonts w:hAnsi="宋体"/>
          <w:color w:val="auto"/>
          <w:szCs w:val="21"/>
        </w:rPr>
        <w:t>单桩混凝土量超过</w:t>
      </w:r>
      <w:r>
        <w:rPr>
          <w:color w:val="auto"/>
          <w:szCs w:val="21"/>
        </w:rPr>
        <w:t>50 m</w:t>
      </w:r>
      <w:r>
        <w:rPr>
          <w:color w:val="auto"/>
          <w:szCs w:val="21"/>
          <w:vertAlign w:val="superscript"/>
        </w:rPr>
        <w:t>3</w:t>
      </w:r>
      <w:r>
        <w:rPr>
          <w:rFonts w:hAnsi="宋体"/>
          <w:color w:val="auto"/>
          <w:szCs w:val="21"/>
        </w:rPr>
        <w:t>的桩</w:t>
      </w:r>
      <w:r>
        <w:rPr>
          <w:color w:val="auto"/>
          <w:szCs w:val="21"/>
        </w:rPr>
        <w:t>，</w:t>
      </w:r>
      <w:r>
        <w:rPr>
          <w:rFonts w:hAnsi="宋体"/>
          <w:color w:val="auto"/>
          <w:szCs w:val="21"/>
        </w:rPr>
        <w:t>每</w:t>
      </w:r>
      <w:r>
        <w:rPr>
          <w:color w:val="auto"/>
          <w:szCs w:val="21"/>
        </w:rPr>
        <w:t>50 m</w:t>
      </w:r>
      <w:r>
        <w:rPr>
          <w:color w:val="auto"/>
          <w:szCs w:val="21"/>
          <w:vertAlign w:val="superscript"/>
        </w:rPr>
        <w:t>3</w:t>
      </w:r>
      <w:r>
        <w:rPr>
          <w:rFonts w:hAnsi="宋体"/>
          <w:color w:val="auto"/>
          <w:szCs w:val="21"/>
        </w:rPr>
        <w:t>应留有</w:t>
      </w:r>
      <w:r>
        <w:rPr>
          <w:color w:val="auto"/>
          <w:szCs w:val="21"/>
        </w:rPr>
        <w:t>1</w:t>
      </w:r>
      <w:r>
        <w:rPr>
          <w:rFonts w:hAnsi="宋体"/>
          <w:color w:val="auto"/>
          <w:szCs w:val="21"/>
        </w:rPr>
        <w:t>组试件</w:t>
      </w:r>
      <w:r>
        <w:rPr>
          <w:color w:val="auto"/>
          <w:szCs w:val="21"/>
        </w:rPr>
        <w:t>;</w:t>
      </w:r>
      <w:r>
        <w:rPr>
          <w:rFonts w:hAnsi="宋体"/>
          <w:color w:val="auto"/>
          <w:szCs w:val="21"/>
        </w:rPr>
        <w:t>直径小于</w:t>
      </w:r>
      <w:r>
        <w:rPr>
          <w:color w:val="auto"/>
          <w:szCs w:val="21"/>
        </w:rPr>
        <w:t>800mm</w:t>
      </w:r>
      <w:r>
        <w:rPr>
          <w:rFonts w:hAnsi="宋体"/>
          <w:color w:val="auto"/>
          <w:szCs w:val="21"/>
        </w:rPr>
        <w:t>的桩或单桩混凝土量不超过</w:t>
      </w:r>
      <w:r>
        <w:rPr>
          <w:color w:val="auto"/>
          <w:szCs w:val="21"/>
        </w:rPr>
        <w:t>25 m</w:t>
      </w:r>
      <w:r>
        <w:rPr>
          <w:color w:val="auto"/>
          <w:szCs w:val="21"/>
          <w:vertAlign w:val="superscript"/>
        </w:rPr>
        <w:t>3</w:t>
      </w:r>
      <w:r>
        <w:rPr>
          <w:rFonts w:hAnsi="宋体"/>
          <w:color w:val="auto"/>
          <w:szCs w:val="21"/>
        </w:rPr>
        <w:t>的桩</w:t>
      </w:r>
      <w:r>
        <w:rPr>
          <w:color w:val="auto"/>
          <w:szCs w:val="21"/>
        </w:rPr>
        <w:t>，</w:t>
      </w:r>
      <w:r>
        <w:rPr>
          <w:rFonts w:hAnsi="宋体"/>
          <w:color w:val="auto"/>
          <w:szCs w:val="21"/>
        </w:rPr>
        <w:t>每个灌注台班不得少于</w:t>
      </w:r>
      <w:r>
        <w:rPr>
          <w:color w:val="auto"/>
          <w:szCs w:val="21"/>
        </w:rPr>
        <w:t>1</w:t>
      </w:r>
      <w:r>
        <w:rPr>
          <w:rFonts w:hAnsi="宋体"/>
          <w:color w:val="auto"/>
          <w:szCs w:val="21"/>
        </w:rPr>
        <w:t>组</w:t>
      </w:r>
      <w:r>
        <w:rPr>
          <w:color w:val="auto"/>
          <w:szCs w:val="21"/>
        </w:rPr>
        <w:t>;</w:t>
      </w:r>
      <w:r>
        <w:rPr>
          <w:rFonts w:hAnsi="宋体"/>
          <w:color w:val="auto"/>
          <w:szCs w:val="21"/>
        </w:rPr>
        <w:t>每组试件应留</w:t>
      </w:r>
      <w:r>
        <w:rPr>
          <w:color w:val="auto"/>
          <w:szCs w:val="21"/>
        </w:rPr>
        <w:t>3</w:t>
      </w:r>
      <w:r>
        <w:rPr>
          <w:rFonts w:hAnsi="宋体"/>
          <w:color w:val="auto"/>
          <w:szCs w:val="21"/>
        </w:rPr>
        <w:t>件。</w:t>
      </w:r>
    </w:p>
    <w:p w14:paraId="558FBF99">
      <w:pPr>
        <w:adjustRightInd w:val="0"/>
        <w:snapToGrid w:val="0"/>
        <w:spacing w:line="340" w:lineRule="atLeast"/>
        <w:rPr>
          <w:color w:val="auto"/>
          <w:szCs w:val="21"/>
        </w:rPr>
      </w:pPr>
      <w:r>
        <w:rPr>
          <w:b/>
          <w:bCs/>
          <w:color w:val="auto"/>
          <w:szCs w:val="21"/>
        </w:rPr>
        <w:t>15.6.18</w:t>
      </w:r>
      <w:r>
        <w:rPr>
          <w:color w:val="auto"/>
          <w:szCs w:val="21"/>
        </w:rPr>
        <w:t xml:space="preserve">  </w:t>
      </w:r>
      <w:r>
        <w:rPr>
          <w:rFonts w:hAnsi="宋体"/>
          <w:color w:val="auto"/>
          <w:szCs w:val="21"/>
        </w:rPr>
        <w:t>当混凝土面接近钢筋笼底时，应降低浇注混凝土的速度，当混凝土面上升到钢筋笼内</w:t>
      </w:r>
      <w:r>
        <w:rPr>
          <w:color w:val="auto"/>
          <w:szCs w:val="21"/>
        </w:rPr>
        <w:t>3m～4m</w:t>
      </w:r>
      <w:r>
        <w:rPr>
          <w:rFonts w:hAnsi="宋体"/>
          <w:color w:val="auto"/>
          <w:szCs w:val="21"/>
        </w:rPr>
        <w:t>时，再提升导管，使导管底端高于钢筋笼底端，防止钢筋笼上浮。</w:t>
      </w:r>
    </w:p>
    <w:p w14:paraId="6B296F04">
      <w:pPr>
        <w:adjustRightInd w:val="0"/>
        <w:snapToGrid w:val="0"/>
        <w:spacing w:line="340" w:lineRule="atLeast"/>
        <w:rPr>
          <w:color w:val="auto"/>
          <w:szCs w:val="21"/>
        </w:rPr>
      </w:pPr>
      <w:r>
        <w:rPr>
          <w:b/>
          <w:bCs/>
          <w:color w:val="auto"/>
          <w:szCs w:val="21"/>
        </w:rPr>
        <w:t xml:space="preserve">15.6.19 </w:t>
      </w:r>
      <w:r>
        <w:rPr>
          <w:color w:val="auto"/>
          <w:szCs w:val="21"/>
        </w:rPr>
        <w:t xml:space="preserve"> </w:t>
      </w:r>
      <w:r>
        <w:rPr>
          <w:rFonts w:hAnsi="宋体"/>
          <w:color w:val="auto"/>
          <w:szCs w:val="21"/>
        </w:rPr>
        <w:t>桩顶混凝土的超灌高度：对桩径不大于</w:t>
      </w:r>
      <w:r>
        <w:rPr>
          <w:color w:val="auto"/>
          <w:szCs w:val="21"/>
        </w:rPr>
        <w:t>1200mm</w:t>
      </w:r>
      <w:r>
        <w:rPr>
          <w:rFonts w:hAnsi="宋体"/>
          <w:color w:val="auto"/>
          <w:szCs w:val="21"/>
        </w:rPr>
        <w:t>的桩，超灌高度为</w:t>
      </w:r>
      <w:r>
        <w:rPr>
          <w:color w:val="auto"/>
          <w:szCs w:val="21"/>
        </w:rPr>
        <w:t>1</w:t>
      </w:r>
      <w:r>
        <w:rPr>
          <w:rFonts w:hAnsi="宋体"/>
          <w:color w:val="auto"/>
          <w:szCs w:val="21"/>
        </w:rPr>
        <w:t>倍的桩径且不小于</w:t>
      </w:r>
      <w:r>
        <w:rPr>
          <w:color w:val="auto"/>
          <w:szCs w:val="21"/>
        </w:rPr>
        <w:t>0.8m</w:t>
      </w:r>
      <w:r>
        <w:rPr>
          <w:rFonts w:hAnsi="宋体"/>
          <w:color w:val="auto"/>
          <w:szCs w:val="21"/>
        </w:rPr>
        <w:t>，对桩径大于</w:t>
      </w:r>
      <w:r>
        <w:rPr>
          <w:color w:val="auto"/>
          <w:szCs w:val="21"/>
        </w:rPr>
        <w:t>1200mm</w:t>
      </w:r>
      <w:r>
        <w:rPr>
          <w:rFonts w:hAnsi="宋体"/>
          <w:color w:val="auto"/>
          <w:szCs w:val="21"/>
        </w:rPr>
        <w:t>的桩，超灌高度应大于</w:t>
      </w:r>
      <w:r>
        <w:rPr>
          <w:color w:val="auto"/>
          <w:szCs w:val="21"/>
        </w:rPr>
        <w:t>0.7</w:t>
      </w:r>
      <w:r>
        <w:rPr>
          <w:rFonts w:hAnsi="宋体"/>
          <w:color w:val="auto"/>
          <w:szCs w:val="21"/>
        </w:rPr>
        <w:t>倍桩径且不小于</w:t>
      </w:r>
      <w:r>
        <w:rPr>
          <w:color w:val="auto"/>
          <w:szCs w:val="21"/>
        </w:rPr>
        <w:t>1.0m</w:t>
      </w:r>
      <w:r>
        <w:rPr>
          <w:rFonts w:hAnsi="宋体"/>
          <w:color w:val="auto"/>
          <w:szCs w:val="21"/>
        </w:rPr>
        <w:t>。</w:t>
      </w:r>
    </w:p>
    <w:p w14:paraId="7D606755">
      <w:pPr>
        <w:adjustRightInd w:val="0"/>
        <w:snapToGrid w:val="0"/>
        <w:rPr>
          <w:b/>
          <w:bCs/>
          <w:color w:val="auto"/>
          <w:szCs w:val="21"/>
        </w:rPr>
      </w:pPr>
    </w:p>
    <w:p w14:paraId="7E4CB115">
      <w:pPr>
        <w:adjustRightInd w:val="0"/>
        <w:snapToGrid w:val="0"/>
        <w:spacing w:line="340" w:lineRule="exact"/>
        <w:outlineLvl w:val="1"/>
        <w:rPr>
          <w:rFonts w:eastAsia="黑体"/>
          <w:b/>
          <w:bCs/>
          <w:color w:val="auto"/>
          <w:szCs w:val="21"/>
        </w:rPr>
      </w:pPr>
      <w:bookmarkStart w:id="90" w:name="_Toc199943633"/>
      <w:r>
        <w:rPr>
          <w:rFonts w:eastAsia="黑体"/>
          <w:b/>
          <w:bCs/>
          <w:color w:val="auto"/>
          <w:szCs w:val="21"/>
        </w:rPr>
        <w:t>15.7  岩溶地质条件下的灌注桩施工</w:t>
      </w:r>
      <w:bookmarkEnd w:id="90"/>
    </w:p>
    <w:p w14:paraId="30EFB45C">
      <w:pPr>
        <w:adjustRightInd w:val="0"/>
        <w:snapToGrid w:val="0"/>
        <w:spacing w:line="340" w:lineRule="atLeast"/>
        <w:jc w:val="center"/>
        <w:rPr>
          <w:b/>
          <w:bCs/>
          <w:color w:val="auto"/>
          <w:szCs w:val="21"/>
        </w:rPr>
      </w:pPr>
    </w:p>
    <w:p w14:paraId="1B6F12BE">
      <w:pPr>
        <w:adjustRightInd w:val="0"/>
        <w:snapToGrid w:val="0"/>
        <w:spacing w:line="340" w:lineRule="atLeast"/>
        <w:rPr>
          <w:b/>
          <w:bCs/>
          <w:color w:val="auto"/>
          <w:szCs w:val="21"/>
        </w:rPr>
      </w:pPr>
      <w:r>
        <w:rPr>
          <w:b/>
          <w:bCs/>
          <w:color w:val="auto"/>
          <w:szCs w:val="21"/>
        </w:rPr>
        <w:t xml:space="preserve">15.7.1  </w:t>
      </w:r>
      <w:r>
        <w:rPr>
          <w:bCs/>
          <w:color w:val="auto"/>
          <w:szCs w:val="21"/>
        </w:rPr>
        <w:t>灌注桩施工前应平整场地、碾压密实，对于桩位下有土洞的基桩施工，如土洞顶部覆盖层较薄（小于3.0m）时，采用直接开挖换填处理。</w:t>
      </w:r>
    </w:p>
    <w:p w14:paraId="05370280">
      <w:pPr>
        <w:adjustRightInd w:val="0"/>
        <w:snapToGrid w:val="0"/>
        <w:spacing w:line="340" w:lineRule="atLeast"/>
        <w:rPr>
          <w:bCs/>
          <w:color w:val="auto"/>
          <w:szCs w:val="21"/>
        </w:rPr>
      </w:pPr>
      <w:r>
        <w:rPr>
          <w:b/>
          <w:bCs/>
          <w:color w:val="auto"/>
          <w:szCs w:val="21"/>
        </w:rPr>
        <w:t xml:space="preserve">15.7.2  </w:t>
      </w:r>
      <w:r>
        <w:rPr>
          <w:bCs/>
          <w:color w:val="auto"/>
          <w:szCs w:val="21"/>
        </w:rPr>
        <w:t>灌注桩施工前应埋设护筒，并符合本文件15.6.5条的规定</w:t>
      </w:r>
    </w:p>
    <w:p w14:paraId="4481731B">
      <w:pPr>
        <w:adjustRightInd w:val="0"/>
        <w:snapToGrid w:val="0"/>
        <w:spacing w:line="340" w:lineRule="atLeast"/>
        <w:rPr>
          <w:bCs/>
          <w:color w:val="auto"/>
          <w:szCs w:val="21"/>
        </w:rPr>
      </w:pPr>
      <w:r>
        <w:rPr>
          <w:b/>
          <w:bCs/>
          <w:color w:val="auto"/>
          <w:szCs w:val="21"/>
        </w:rPr>
        <w:t xml:space="preserve">15.7.3  </w:t>
      </w:r>
      <w:r>
        <w:rPr>
          <w:bCs/>
          <w:color w:val="auto"/>
          <w:szCs w:val="21"/>
        </w:rPr>
        <w:t>岩溶地质条件下的灌注桩施工，配制泥浆体积宜为正常条件下泥浆体积的3倍以上。</w:t>
      </w:r>
    </w:p>
    <w:p w14:paraId="59E30162">
      <w:pPr>
        <w:adjustRightInd w:val="0"/>
        <w:snapToGrid w:val="0"/>
        <w:spacing w:line="340" w:lineRule="atLeast"/>
        <w:rPr>
          <w:bCs/>
          <w:color w:val="auto"/>
          <w:szCs w:val="21"/>
        </w:rPr>
      </w:pPr>
      <w:r>
        <w:rPr>
          <w:b/>
          <w:bCs/>
          <w:color w:val="auto"/>
          <w:szCs w:val="21"/>
        </w:rPr>
        <w:t xml:space="preserve">15.7.4  </w:t>
      </w:r>
      <w:r>
        <w:rPr>
          <w:bCs/>
          <w:color w:val="auto"/>
          <w:szCs w:val="21"/>
        </w:rPr>
        <w:t>岩溶地质条件下的灌注桩</w:t>
      </w:r>
      <w:r>
        <w:rPr>
          <w:rFonts w:hint="eastAsia"/>
          <w:bCs/>
          <w:color w:val="auto"/>
          <w:szCs w:val="21"/>
        </w:rPr>
        <w:t>应</w:t>
      </w:r>
      <w:r>
        <w:rPr>
          <w:bCs/>
          <w:color w:val="auto"/>
          <w:szCs w:val="21"/>
        </w:rPr>
        <w:t>根据覆盖层和基岩情况分别采用不同的成孔工艺：</w:t>
      </w:r>
    </w:p>
    <w:p w14:paraId="73C3E30F">
      <w:pPr>
        <w:adjustRightInd w:val="0"/>
        <w:snapToGrid w:val="0"/>
        <w:spacing w:line="340" w:lineRule="atLeast"/>
        <w:ind w:left="1" w:firstLine="398" w:firstLineChars="189"/>
        <w:rPr>
          <w:color w:val="auto"/>
          <w:szCs w:val="21"/>
        </w:rPr>
      </w:pPr>
      <w:r>
        <w:rPr>
          <w:b/>
          <w:bCs/>
          <w:color w:val="auto"/>
          <w:szCs w:val="21"/>
        </w:rPr>
        <w:t>a)</w:t>
      </w:r>
      <w:r>
        <w:rPr>
          <w:color w:val="auto"/>
          <w:szCs w:val="21"/>
        </w:rPr>
        <w:t xml:space="preserve">  </w:t>
      </w:r>
      <w:r>
        <w:rPr>
          <w:rFonts w:hAnsi="宋体"/>
          <w:color w:val="auto"/>
          <w:szCs w:val="21"/>
        </w:rPr>
        <w:t>当覆盖层中不含土洞时，采用回转钻进成孔、旋挖钻进成孔或冲击成孔工艺</w:t>
      </w:r>
      <w:r>
        <w:rPr>
          <w:color w:val="auto"/>
          <w:szCs w:val="21"/>
        </w:rPr>
        <w:t>；当覆盖层中含有体积较大的土洞、且埋深大于3.0m时，应对土洞进行预注浆充填或</w:t>
      </w:r>
      <w:r>
        <w:rPr>
          <w:rFonts w:hint="eastAsia"/>
          <w:color w:val="auto"/>
          <w:szCs w:val="21"/>
        </w:rPr>
        <w:t>低强度等级</w:t>
      </w:r>
      <w:r>
        <w:rPr>
          <w:color w:val="auto"/>
          <w:szCs w:val="21"/>
        </w:rPr>
        <w:t>混凝土回填后再采用回转、旋挖或冲击钻进等成孔工艺；</w:t>
      </w:r>
    </w:p>
    <w:p w14:paraId="2C518D23">
      <w:pPr>
        <w:adjustRightInd w:val="0"/>
        <w:snapToGrid w:val="0"/>
        <w:spacing w:line="340" w:lineRule="atLeast"/>
        <w:ind w:left="1" w:firstLine="398" w:firstLineChars="189"/>
        <w:rPr>
          <w:bCs/>
          <w:color w:val="auto"/>
          <w:szCs w:val="21"/>
        </w:rPr>
      </w:pPr>
      <w:r>
        <w:rPr>
          <w:b/>
          <w:bCs/>
          <w:color w:val="auto"/>
          <w:szCs w:val="21"/>
        </w:rPr>
        <w:t xml:space="preserve">b)  </w:t>
      </w:r>
      <w:r>
        <w:rPr>
          <w:rFonts w:hAnsi="宋体"/>
          <w:color w:val="auto"/>
          <w:szCs w:val="21"/>
        </w:rPr>
        <w:t>当钻孔至溶洞顶板以</w:t>
      </w:r>
      <w:r>
        <w:rPr>
          <w:color w:val="auto"/>
          <w:szCs w:val="21"/>
        </w:rPr>
        <w:t>上1.0m</w:t>
      </w:r>
      <w:r>
        <w:rPr>
          <w:rFonts w:hAnsi="宋体"/>
          <w:color w:val="auto"/>
          <w:szCs w:val="21"/>
        </w:rPr>
        <w:t>时</w:t>
      </w:r>
      <w:r>
        <w:rPr>
          <w:color w:val="auto"/>
          <w:szCs w:val="21"/>
        </w:rPr>
        <w:t>，</w:t>
      </w:r>
      <w:r>
        <w:rPr>
          <w:rFonts w:hAnsi="宋体"/>
          <w:color w:val="auto"/>
          <w:szCs w:val="21"/>
        </w:rPr>
        <w:t>改用低频率、小冲程冲击钻进成孔工艺；</w:t>
      </w:r>
    </w:p>
    <w:p w14:paraId="53BA1162">
      <w:pPr>
        <w:adjustRightInd w:val="0"/>
        <w:snapToGrid w:val="0"/>
        <w:spacing w:line="340" w:lineRule="atLeast"/>
        <w:ind w:left="1" w:firstLine="398" w:firstLineChars="189"/>
        <w:rPr>
          <w:color w:val="auto"/>
          <w:szCs w:val="21"/>
        </w:rPr>
      </w:pPr>
      <w:r>
        <w:rPr>
          <w:b/>
          <w:bCs/>
          <w:color w:val="auto"/>
          <w:szCs w:val="21"/>
        </w:rPr>
        <w:t xml:space="preserve">c)  </w:t>
      </w:r>
      <w:r>
        <w:rPr>
          <w:rFonts w:hAnsi="宋体"/>
          <w:color w:val="auto"/>
          <w:szCs w:val="21"/>
        </w:rPr>
        <w:t>当岩面为斜面时，应预先在岩面上部桩孔内回填小片石或混凝土</w:t>
      </w:r>
      <w:r>
        <w:rPr>
          <w:rFonts w:hint="eastAsia" w:hAnsi="宋体"/>
          <w:color w:val="auto"/>
          <w:szCs w:val="21"/>
        </w:rPr>
        <w:t>等</w:t>
      </w:r>
      <w:r>
        <w:rPr>
          <w:rFonts w:hAnsi="宋体"/>
          <w:color w:val="auto"/>
          <w:szCs w:val="21"/>
        </w:rPr>
        <w:t>，用钻头反复冲击，直至全断面进入岩层为止；</w:t>
      </w:r>
    </w:p>
    <w:p w14:paraId="5337BF50">
      <w:pPr>
        <w:adjustRightInd w:val="0"/>
        <w:snapToGrid w:val="0"/>
        <w:spacing w:line="340" w:lineRule="atLeast"/>
        <w:ind w:left="1" w:firstLine="398" w:firstLineChars="189"/>
        <w:rPr>
          <w:color w:val="auto"/>
          <w:szCs w:val="21"/>
        </w:rPr>
      </w:pPr>
      <w:r>
        <w:rPr>
          <w:b/>
          <w:bCs/>
          <w:color w:val="auto"/>
          <w:szCs w:val="21"/>
        </w:rPr>
        <w:t xml:space="preserve">d) </w:t>
      </w:r>
      <w:r>
        <w:rPr>
          <w:color w:val="auto"/>
          <w:szCs w:val="21"/>
        </w:rPr>
        <w:t xml:space="preserve"> </w:t>
      </w:r>
      <w:r>
        <w:rPr>
          <w:rFonts w:hAnsi="宋体"/>
          <w:color w:val="auto"/>
          <w:szCs w:val="21"/>
        </w:rPr>
        <w:t>当溶洞顶板被击穿时，利用泥浆泵对孔内进行补浆，防止泥浆面下降导致孔壁坍塌，同时在顶部厚度范围内反复轻提慢放冲锤，直至冲锤不受明显阻碍；</w:t>
      </w:r>
    </w:p>
    <w:p w14:paraId="2267F097">
      <w:pPr>
        <w:adjustRightInd w:val="0"/>
        <w:snapToGrid w:val="0"/>
        <w:spacing w:line="340" w:lineRule="atLeast"/>
        <w:ind w:left="1" w:firstLine="398" w:firstLineChars="189"/>
        <w:rPr>
          <w:color w:val="auto"/>
          <w:szCs w:val="21"/>
        </w:rPr>
      </w:pPr>
      <w:r>
        <w:rPr>
          <w:b/>
          <w:bCs/>
          <w:color w:val="auto"/>
          <w:szCs w:val="21"/>
        </w:rPr>
        <w:t>e)</w:t>
      </w:r>
      <w:r>
        <w:rPr>
          <w:color w:val="auto"/>
          <w:szCs w:val="21"/>
        </w:rPr>
        <w:t xml:space="preserve">  </w:t>
      </w:r>
      <w:r>
        <w:rPr>
          <w:rFonts w:hAnsi="宋体"/>
          <w:color w:val="auto"/>
          <w:szCs w:val="21"/>
        </w:rPr>
        <w:t>当溶洞内有黏土或砂、砾等充填物时，在钻孔桩施工前</w:t>
      </w:r>
      <w:r>
        <w:rPr>
          <w:rFonts w:hint="eastAsia" w:hAnsi="宋体"/>
          <w:color w:val="auto"/>
          <w:szCs w:val="21"/>
        </w:rPr>
        <w:t>宜</w:t>
      </w:r>
      <w:r>
        <w:rPr>
          <w:rFonts w:hAnsi="宋体"/>
          <w:color w:val="auto"/>
          <w:szCs w:val="21"/>
        </w:rPr>
        <w:t>对溶洞内充填物进行注浆预处理；</w:t>
      </w:r>
    </w:p>
    <w:p w14:paraId="3A6EB60C">
      <w:pPr>
        <w:adjustRightInd w:val="0"/>
        <w:snapToGrid w:val="0"/>
        <w:spacing w:line="340" w:lineRule="atLeast"/>
        <w:ind w:left="1" w:firstLine="398" w:firstLineChars="189"/>
        <w:rPr>
          <w:color w:val="auto"/>
          <w:szCs w:val="21"/>
        </w:rPr>
      </w:pPr>
      <w:r>
        <w:rPr>
          <w:b/>
          <w:bCs/>
          <w:color w:val="auto"/>
          <w:szCs w:val="21"/>
        </w:rPr>
        <w:t xml:space="preserve">f)  </w:t>
      </w:r>
      <w:r>
        <w:rPr>
          <w:rFonts w:hAnsi="宋体"/>
          <w:color w:val="auto"/>
          <w:szCs w:val="21"/>
        </w:rPr>
        <w:t>对于地下水水量较大的溶洞，可采用</w:t>
      </w:r>
      <w:r>
        <w:rPr>
          <w:color w:val="auto"/>
          <w:szCs w:val="21"/>
        </w:rPr>
        <w:t>单层或多层</w:t>
      </w:r>
      <w:r>
        <w:rPr>
          <w:rFonts w:hAnsi="宋体"/>
          <w:color w:val="auto"/>
          <w:szCs w:val="21"/>
        </w:rPr>
        <w:t>长护筒跟进的方法，</w:t>
      </w:r>
      <w:r>
        <w:rPr>
          <w:color w:val="auto"/>
          <w:szCs w:val="21"/>
        </w:rPr>
        <w:t xml:space="preserve">护筒的直径级差一般不小于15mm； </w:t>
      </w:r>
    </w:p>
    <w:p w14:paraId="47C344E0">
      <w:pPr>
        <w:adjustRightInd w:val="0"/>
        <w:snapToGrid w:val="0"/>
        <w:spacing w:line="340" w:lineRule="atLeast"/>
        <w:ind w:left="1" w:firstLine="398" w:firstLineChars="189"/>
        <w:rPr>
          <w:color w:val="auto"/>
          <w:szCs w:val="21"/>
        </w:rPr>
      </w:pPr>
      <w:r>
        <w:rPr>
          <w:b/>
          <w:bCs/>
          <w:color w:val="auto"/>
          <w:szCs w:val="21"/>
        </w:rPr>
        <w:t>g)</w:t>
      </w:r>
      <w:r>
        <w:rPr>
          <w:color w:val="auto"/>
          <w:szCs w:val="21"/>
        </w:rPr>
        <w:t xml:space="preserve">  对溶岩发育</w:t>
      </w:r>
      <w:r>
        <w:rPr>
          <w:rFonts w:hint="eastAsia"/>
          <w:color w:val="auto"/>
          <w:szCs w:val="21"/>
        </w:rPr>
        <w:t>强</w:t>
      </w:r>
      <w:r>
        <w:rPr>
          <w:color w:val="auto"/>
          <w:szCs w:val="21"/>
        </w:rPr>
        <w:t>的场地，</w:t>
      </w:r>
      <w:r>
        <w:rPr>
          <w:rFonts w:hint="eastAsia"/>
          <w:color w:val="auto"/>
          <w:szCs w:val="21"/>
        </w:rPr>
        <w:t>宜</w:t>
      </w:r>
      <w:r>
        <w:rPr>
          <w:color w:val="auto"/>
          <w:szCs w:val="21"/>
        </w:rPr>
        <w:t>在成孔前，在桩孔四角布置注浆孔对溶岩段进行注浆充填；也可采用长护筒跟进的办法。</w:t>
      </w:r>
    </w:p>
    <w:p w14:paraId="6B5BBF3D">
      <w:pPr>
        <w:adjustRightInd w:val="0"/>
        <w:snapToGrid w:val="0"/>
        <w:spacing w:line="340" w:lineRule="atLeast"/>
        <w:ind w:firstLine="413" w:firstLineChars="196"/>
        <w:rPr>
          <w:color w:val="auto"/>
          <w:szCs w:val="21"/>
        </w:rPr>
      </w:pPr>
      <w:r>
        <w:rPr>
          <w:b/>
          <w:color w:val="auto"/>
          <w:szCs w:val="21"/>
        </w:rPr>
        <w:t>h)</w:t>
      </w:r>
      <w:r>
        <w:rPr>
          <w:color w:val="auto"/>
          <w:szCs w:val="21"/>
        </w:rPr>
        <w:t xml:space="preserve">  钻头直径应视地层情况适当加大。</w:t>
      </w:r>
    </w:p>
    <w:p w14:paraId="03038399">
      <w:pPr>
        <w:adjustRightInd w:val="0"/>
        <w:snapToGrid w:val="0"/>
        <w:spacing w:line="340" w:lineRule="atLeast"/>
        <w:ind w:firstLine="413" w:firstLineChars="196"/>
        <w:rPr>
          <w:color w:val="auto"/>
          <w:szCs w:val="21"/>
        </w:rPr>
      </w:pPr>
      <w:r>
        <w:rPr>
          <w:b/>
          <w:color w:val="auto"/>
          <w:szCs w:val="21"/>
        </w:rPr>
        <w:t>i)</w:t>
      </w:r>
      <w:r>
        <w:rPr>
          <w:color w:val="auto"/>
          <w:szCs w:val="21"/>
        </w:rPr>
        <w:t xml:space="preserve">  成孔过程中如遇漏浆，应及时补浆并向孔内回填片石、黏土</w:t>
      </w:r>
      <w:r>
        <w:rPr>
          <w:rFonts w:hint="eastAsia"/>
          <w:color w:val="auto"/>
          <w:szCs w:val="21"/>
        </w:rPr>
        <w:t>或混凝土</w:t>
      </w:r>
      <w:r>
        <w:rPr>
          <w:color w:val="auto"/>
          <w:szCs w:val="21"/>
        </w:rPr>
        <w:t>反复冲孔造壁。</w:t>
      </w:r>
    </w:p>
    <w:p w14:paraId="58761952">
      <w:pPr>
        <w:adjustRightInd w:val="0"/>
        <w:snapToGrid w:val="0"/>
        <w:spacing w:line="340" w:lineRule="atLeast"/>
        <w:ind w:firstLine="413" w:firstLineChars="196"/>
        <w:rPr>
          <w:color w:val="auto"/>
          <w:szCs w:val="21"/>
        </w:rPr>
      </w:pPr>
      <w:r>
        <w:rPr>
          <w:b/>
          <w:color w:val="auto"/>
          <w:szCs w:val="21"/>
        </w:rPr>
        <w:t>j)</w:t>
      </w:r>
      <w:r>
        <w:rPr>
          <w:rFonts w:hint="eastAsia"/>
          <w:color w:val="auto"/>
          <w:szCs w:val="21"/>
        </w:rPr>
        <w:t xml:space="preserve">  在岩溶中等或强烈发育的场地，灌注桩身混凝土时应观察混凝土顶面标高的变化，如遇混凝土下沉，应继续补灌混凝土，直至稳定后方可拔出导管。</w:t>
      </w:r>
    </w:p>
    <w:p w14:paraId="0356623D">
      <w:pPr>
        <w:adjustRightInd w:val="0"/>
        <w:snapToGrid w:val="0"/>
        <w:spacing w:before="120" w:line="340" w:lineRule="atLeast"/>
        <w:jc w:val="center"/>
        <w:rPr>
          <w:color w:val="auto"/>
          <w:szCs w:val="21"/>
        </w:rPr>
      </w:pPr>
    </w:p>
    <w:p w14:paraId="5C2F63F7">
      <w:pPr>
        <w:adjustRightInd w:val="0"/>
        <w:snapToGrid w:val="0"/>
        <w:spacing w:line="340" w:lineRule="exact"/>
        <w:outlineLvl w:val="1"/>
        <w:rPr>
          <w:rFonts w:eastAsia="黑体"/>
          <w:b/>
          <w:bCs/>
          <w:color w:val="auto"/>
          <w:szCs w:val="21"/>
        </w:rPr>
      </w:pPr>
      <w:bookmarkStart w:id="91" w:name="_Toc199943634"/>
      <w:r>
        <w:rPr>
          <w:rFonts w:eastAsia="黑体"/>
          <w:b/>
          <w:bCs/>
          <w:color w:val="auto"/>
          <w:szCs w:val="21"/>
        </w:rPr>
        <w:t>15.8  预制桩施工</w:t>
      </w:r>
      <w:bookmarkEnd w:id="91"/>
    </w:p>
    <w:p w14:paraId="5EF01A13">
      <w:pPr>
        <w:adjustRightInd w:val="0"/>
        <w:snapToGrid w:val="0"/>
        <w:spacing w:line="340" w:lineRule="atLeast"/>
        <w:jc w:val="center"/>
        <w:rPr>
          <w:b/>
          <w:bCs/>
          <w:color w:val="auto"/>
          <w:szCs w:val="21"/>
        </w:rPr>
      </w:pPr>
    </w:p>
    <w:p w14:paraId="734BFCE7">
      <w:pPr>
        <w:adjustRightInd w:val="0"/>
        <w:snapToGrid w:val="0"/>
        <w:spacing w:line="340" w:lineRule="atLeast"/>
        <w:rPr>
          <w:color w:val="auto"/>
          <w:szCs w:val="21"/>
        </w:rPr>
      </w:pPr>
      <w:r>
        <w:rPr>
          <w:b/>
          <w:bCs/>
          <w:color w:val="auto"/>
          <w:szCs w:val="21"/>
        </w:rPr>
        <w:t xml:space="preserve">15.8.1 </w:t>
      </w:r>
      <w:r>
        <w:rPr>
          <w:color w:val="auto"/>
          <w:szCs w:val="21"/>
        </w:rPr>
        <w:t xml:space="preserve"> </w:t>
      </w:r>
      <w:r>
        <w:rPr>
          <w:rFonts w:hAnsi="宋体"/>
          <w:color w:val="auto"/>
          <w:szCs w:val="21"/>
        </w:rPr>
        <w:t>预制桩需要穿透较厚的密实砂层、碎石土、卵石层时，应通过现场试验确定其适用性。</w:t>
      </w:r>
    </w:p>
    <w:p w14:paraId="06FD43A0">
      <w:pPr>
        <w:adjustRightInd w:val="0"/>
        <w:snapToGrid w:val="0"/>
        <w:spacing w:line="340" w:lineRule="atLeast"/>
        <w:rPr>
          <w:color w:val="auto"/>
          <w:szCs w:val="21"/>
        </w:rPr>
      </w:pPr>
      <w:r>
        <w:rPr>
          <w:b/>
          <w:bCs/>
          <w:color w:val="auto"/>
          <w:szCs w:val="21"/>
        </w:rPr>
        <w:t>15.8.2</w:t>
      </w:r>
      <w:r>
        <w:rPr>
          <w:color w:val="auto"/>
          <w:szCs w:val="21"/>
        </w:rPr>
        <w:t xml:space="preserve">  </w:t>
      </w:r>
      <w:r>
        <w:rPr>
          <w:rFonts w:hint="eastAsia"/>
          <w:color w:val="auto"/>
          <w:szCs w:val="21"/>
        </w:rPr>
        <w:t>预制桩可采用静压、锤击、振动等施工工艺，工艺的选择应考虑当地施工经验。</w:t>
      </w:r>
    </w:p>
    <w:p w14:paraId="16B72377">
      <w:pPr>
        <w:adjustRightInd w:val="0"/>
        <w:snapToGrid w:val="0"/>
        <w:spacing w:line="340" w:lineRule="atLeast"/>
        <w:rPr>
          <w:color w:val="auto"/>
          <w:szCs w:val="21"/>
        </w:rPr>
      </w:pPr>
      <w:r>
        <w:rPr>
          <w:b/>
          <w:bCs/>
          <w:color w:val="auto"/>
          <w:szCs w:val="21"/>
        </w:rPr>
        <w:t>15.8.3</w:t>
      </w:r>
      <w:r>
        <w:rPr>
          <w:color w:val="auto"/>
          <w:szCs w:val="21"/>
        </w:rPr>
        <w:t xml:space="preserve">  </w:t>
      </w:r>
      <w:r>
        <w:rPr>
          <w:rFonts w:hAnsi="宋体"/>
          <w:color w:val="auto"/>
          <w:szCs w:val="21"/>
        </w:rPr>
        <w:t>沉桩前应对场地内空中和地下各种管线以及地下障碍物进行处理；施工过程中应对邻近既有建筑物和地下管线进行观测</w:t>
      </w:r>
      <w:r>
        <w:rPr>
          <w:rFonts w:hint="eastAsia" w:hAnsi="宋体"/>
          <w:color w:val="auto"/>
          <w:szCs w:val="21"/>
        </w:rPr>
        <w:t>，必要时应制定并实施针对性的保护措施</w:t>
      </w:r>
      <w:r>
        <w:rPr>
          <w:rFonts w:hAnsi="宋体"/>
          <w:color w:val="auto"/>
          <w:szCs w:val="21"/>
        </w:rPr>
        <w:t>。</w:t>
      </w:r>
    </w:p>
    <w:p w14:paraId="56CEE1A4">
      <w:pPr>
        <w:adjustRightInd w:val="0"/>
        <w:snapToGrid w:val="0"/>
        <w:spacing w:line="340" w:lineRule="atLeast"/>
        <w:ind w:left="2"/>
        <w:rPr>
          <w:color w:val="auto"/>
          <w:szCs w:val="21"/>
        </w:rPr>
      </w:pPr>
      <w:r>
        <w:rPr>
          <w:b/>
          <w:bCs/>
          <w:color w:val="auto"/>
          <w:szCs w:val="21"/>
        </w:rPr>
        <w:t>15.8.4</w:t>
      </w:r>
      <w:r>
        <w:rPr>
          <w:color w:val="auto"/>
          <w:szCs w:val="21"/>
        </w:rPr>
        <w:t xml:space="preserve">  </w:t>
      </w:r>
      <w:r>
        <w:rPr>
          <w:rFonts w:hAnsi="宋体"/>
          <w:color w:val="auto"/>
          <w:szCs w:val="21"/>
        </w:rPr>
        <w:t>场地应平整，排水应通畅，并应满足沉桩所需的地面承载力，场地地基承载力不应小于桩机接地压强的</w:t>
      </w:r>
      <w:r>
        <w:rPr>
          <w:color w:val="auto"/>
          <w:szCs w:val="21"/>
        </w:rPr>
        <w:t>1.2</w:t>
      </w:r>
      <w:r>
        <w:rPr>
          <w:rFonts w:hAnsi="宋体"/>
          <w:color w:val="auto"/>
          <w:szCs w:val="21"/>
        </w:rPr>
        <w:t>倍。</w:t>
      </w:r>
    </w:p>
    <w:p w14:paraId="1D2112B4">
      <w:pPr>
        <w:adjustRightInd w:val="0"/>
        <w:snapToGrid w:val="0"/>
        <w:spacing w:line="340" w:lineRule="atLeast"/>
        <w:ind w:left="2"/>
        <w:rPr>
          <w:color w:val="auto"/>
          <w:szCs w:val="21"/>
        </w:rPr>
      </w:pPr>
      <w:r>
        <w:rPr>
          <w:b/>
          <w:bCs/>
          <w:color w:val="auto"/>
          <w:szCs w:val="21"/>
        </w:rPr>
        <w:t>15.8.5</w:t>
      </w:r>
      <w:r>
        <w:rPr>
          <w:color w:val="auto"/>
          <w:szCs w:val="21"/>
        </w:rPr>
        <w:t xml:space="preserve">  </w:t>
      </w:r>
      <w:r>
        <w:rPr>
          <w:rFonts w:hAnsi="宋体"/>
          <w:color w:val="auto"/>
          <w:szCs w:val="21"/>
        </w:rPr>
        <w:t>沉桩机械的选用应根据地质条件、桩型、桩的密集程度、单桩竖向承载力及现有施工条件等因素确定。</w:t>
      </w:r>
    </w:p>
    <w:p w14:paraId="1718B849">
      <w:pPr>
        <w:adjustRightInd w:val="0"/>
        <w:snapToGrid w:val="0"/>
        <w:spacing w:line="340" w:lineRule="atLeast"/>
        <w:rPr>
          <w:color w:val="auto"/>
          <w:szCs w:val="21"/>
        </w:rPr>
      </w:pPr>
      <w:r>
        <w:rPr>
          <w:b/>
          <w:bCs/>
          <w:color w:val="auto"/>
          <w:szCs w:val="21"/>
        </w:rPr>
        <w:t>15.8.6</w:t>
      </w:r>
      <w:r>
        <w:rPr>
          <w:color w:val="auto"/>
          <w:szCs w:val="21"/>
        </w:rPr>
        <w:t xml:space="preserve">  </w:t>
      </w:r>
      <w:r>
        <w:rPr>
          <w:rFonts w:hAnsi="宋体"/>
          <w:color w:val="auto"/>
          <w:szCs w:val="21"/>
        </w:rPr>
        <w:t>拟建建筑物轴线控制点应设在不受挤土效应和桩机行走影响的固定物上。</w:t>
      </w:r>
    </w:p>
    <w:p w14:paraId="0A6B872C">
      <w:pPr>
        <w:adjustRightInd w:val="0"/>
        <w:snapToGrid w:val="0"/>
        <w:spacing w:line="340" w:lineRule="atLeast"/>
        <w:rPr>
          <w:color w:val="auto"/>
          <w:szCs w:val="21"/>
        </w:rPr>
      </w:pPr>
      <w:r>
        <w:rPr>
          <w:b/>
          <w:bCs/>
          <w:color w:val="auto"/>
          <w:szCs w:val="21"/>
        </w:rPr>
        <w:t>15.8.7</w:t>
      </w:r>
      <w:r>
        <w:rPr>
          <w:color w:val="auto"/>
          <w:szCs w:val="21"/>
        </w:rPr>
        <w:t xml:space="preserve">  </w:t>
      </w:r>
      <w:r>
        <w:rPr>
          <w:rFonts w:hAnsi="宋体"/>
          <w:color w:val="auto"/>
          <w:szCs w:val="21"/>
        </w:rPr>
        <w:t>桩机就位时，应对桩位进行复测。</w:t>
      </w:r>
    </w:p>
    <w:p w14:paraId="6BD1734E">
      <w:pPr>
        <w:adjustRightInd w:val="0"/>
        <w:snapToGrid w:val="0"/>
        <w:spacing w:line="340" w:lineRule="atLeast"/>
        <w:rPr>
          <w:color w:val="auto"/>
          <w:szCs w:val="21"/>
        </w:rPr>
      </w:pPr>
      <w:r>
        <w:rPr>
          <w:b/>
          <w:bCs/>
          <w:color w:val="auto"/>
          <w:szCs w:val="21"/>
        </w:rPr>
        <w:t>15.8.8</w:t>
      </w:r>
      <w:r>
        <w:rPr>
          <w:color w:val="auto"/>
          <w:szCs w:val="21"/>
        </w:rPr>
        <w:t xml:space="preserve">  </w:t>
      </w:r>
      <w:r>
        <w:rPr>
          <w:rFonts w:hAnsi="宋体"/>
          <w:color w:val="auto"/>
          <w:szCs w:val="21"/>
        </w:rPr>
        <w:t>预制桩运输时，其支承点应与设计吊点位置相吻合，上层桩的支承点严禁在下层桩支承点的外侧（即悬臂的一侧）。预应力管桩装运时，要扎牢塞紧，防止桩身滑动和滚动，或采用特制的专用放置架。</w:t>
      </w:r>
    </w:p>
    <w:p w14:paraId="4131B912">
      <w:pPr>
        <w:adjustRightInd w:val="0"/>
        <w:snapToGrid w:val="0"/>
        <w:spacing w:line="340" w:lineRule="atLeast"/>
        <w:rPr>
          <w:color w:val="auto"/>
          <w:szCs w:val="21"/>
        </w:rPr>
      </w:pPr>
      <w:r>
        <w:rPr>
          <w:b/>
          <w:bCs/>
          <w:color w:val="auto"/>
          <w:szCs w:val="21"/>
        </w:rPr>
        <w:t>15.8.9</w:t>
      </w:r>
      <w:r>
        <w:rPr>
          <w:color w:val="auto"/>
          <w:szCs w:val="21"/>
        </w:rPr>
        <w:t xml:space="preserve">  </w:t>
      </w:r>
      <w:r>
        <w:rPr>
          <w:rFonts w:hAnsi="宋体"/>
          <w:color w:val="auto"/>
          <w:szCs w:val="21"/>
        </w:rPr>
        <w:t>桩段运到现场后，应对吊点及跨中处有无裂缝、桩身有无缺角等现象进行检查，对强度和龄期、配筋等进行复查，不符合要求的桩应及时采取处理措施。</w:t>
      </w:r>
    </w:p>
    <w:p w14:paraId="12431C69">
      <w:pPr>
        <w:adjustRightInd w:val="0"/>
        <w:snapToGrid w:val="0"/>
        <w:spacing w:line="340" w:lineRule="atLeast"/>
        <w:rPr>
          <w:color w:val="auto"/>
          <w:szCs w:val="21"/>
        </w:rPr>
      </w:pPr>
      <w:r>
        <w:rPr>
          <w:b/>
          <w:bCs/>
          <w:color w:val="auto"/>
          <w:szCs w:val="21"/>
        </w:rPr>
        <w:t>15.8.10</w:t>
      </w:r>
      <w:r>
        <w:rPr>
          <w:color w:val="auto"/>
          <w:szCs w:val="21"/>
        </w:rPr>
        <w:t xml:space="preserve">  </w:t>
      </w:r>
      <w:r>
        <w:rPr>
          <w:rFonts w:hAnsi="宋体"/>
          <w:color w:val="auto"/>
          <w:szCs w:val="21"/>
        </w:rPr>
        <w:t>采用蒸汽养护的预制桩，</w:t>
      </w:r>
      <w:r>
        <w:rPr>
          <w:rFonts w:hint="eastAsia" w:hAnsi="宋体"/>
          <w:color w:val="auto"/>
          <w:szCs w:val="21"/>
        </w:rPr>
        <w:t>宜</w:t>
      </w:r>
      <w:r>
        <w:rPr>
          <w:rFonts w:hAnsi="宋体"/>
          <w:color w:val="auto"/>
          <w:szCs w:val="21"/>
        </w:rPr>
        <w:t>在混凝土强度达到</w:t>
      </w:r>
      <w:r>
        <w:rPr>
          <w:color w:val="auto"/>
          <w:szCs w:val="21"/>
        </w:rPr>
        <w:t>100%</w:t>
      </w:r>
      <w:r>
        <w:rPr>
          <w:rFonts w:hAnsi="宋体"/>
          <w:color w:val="auto"/>
          <w:szCs w:val="21"/>
        </w:rPr>
        <w:t>的设计强度后自然养护</w:t>
      </w:r>
      <w:r>
        <w:rPr>
          <w:color w:val="auto"/>
          <w:szCs w:val="21"/>
        </w:rPr>
        <w:t>5</w:t>
      </w:r>
      <w:r>
        <w:rPr>
          <w:rFonts w:hAnsi="宋体"/>
          <w:color w:val="auto"/>
          <w:szCs w:val="21"/>
        </w:rPr>
        <w:t>天（静压桩）或</w:t>
      </w:r>
      <w:r>
        <w:rPr>
          <w:color w:val="auto"/>
          <w:szCs w:val="21"/>
        </w:rPr>
        <w:t>20</w:t>
      </w:r>
      <w:r>
        <w:rPr>
          <w:rFonts w:hAnsi="宋体"/>
          <w:color w:val="auto"/>
          <w:szCs w:val="21"/>
        </w:rPr>
        <w:t>天（锤击桩）以上才能进行沉桩。</w:t>
      </w:r>
    </w:p>
    <w:p w14:paraId="6767CACA">
      <w:pPr>
        <w:adjustRightInd w:val="0"/>
        <w:snapToGrid w:val="0"/>
        <w:spacing w:line="340" w:lineRule="atLeast"/>
        <w:rPr>
          <w:color w:val="auto"/>
          <w:szCs w:val="21"/>
        </w:rPr>
      </w:pPr>
      <w:r>
        <w:rPr>
          <w:b/>
          <w:bCs/>
          <w:color w:val="auto"/>
          <w:szCs w:val="21"/>
        </w:rPr>
        <w:t>15.8.11</w:t>
      </w:r>
      <w:r>
        <w:rPr>
          <w:color w:val="auto"/>
          <w:szCs w:val="21"/>
        </w:rPr>
        <w:t xml:space="preserve">  </w:t>
      </w:r>
      <w:r>
        <w:rPr>
          <w:rFonts w:hAnsi="宋体"/>
          <w:color w:val="auto"/>
          <w:szCs w:val="21"/>
        </w:rPr>
        <w:t>工程桩施工之前，根据试桩结果确定沉桩参数。施工过程中，认真记录每节桩的入土深度和相应的压力表读数（静压桩）、锤击数和最后</w:t>
      </w:r>
      <w:r>
        <w:rPr>
          <w:color w:val="auto"/>
          <w:szCs w:val="21"/>
        </w:rPr>
        <w:t>10</w:t>
      </w:r>
      <w:r>
        <w:rPr>
          <w:rFonts w:hAnsi="宋体"/>
          <w:color w:val="auto"/>
          <w:szCs w:val="21"/>
        </w:rPr>
        <w:t>击的贯入度（锤击桩）。</w:t>
      </w:r>
    </w:p>
    <w:p w14:paraId="0587C3A6">
      <w:pPr>
        <w:adjustRightInd w:val="0"/>
        <w:snapToGrid w:val="0"/>
        <w:spacing w:line="340" w:lineRule="atLeast"/>
        <w:rPr>
          <w:color w:val="auto"/>
          <w:szCs w:val="21"/>
        </w:rPr>
      </w:pPr>
      <w:r>
        <w:rPr>
          <w:b/>
          <w:bCs/>
          <w:color w:val="auto"/>
          <w:szCs w:val="21"/>
        </w:rPr>
        <w:t>15.8.12</w:t>
      </w:r>
      <w:r>
        <w:rPr>
          <w:color w:val="auto"/>
          <w:szCs w:val="21"/>
        </w:rPr>
        <w:t xml:space="preserve">  </w:t>
      </w:r>
      <w:r>
        <w:rPr>
          <w:rFonts w:hAnsi="宋体"/>
          <w:color w:val="auto"/>
          <w:szCs w:val="21"/>
        </w:rPr>
        <w:t>采用焊接、法兰接头及硫磺胶泥锚接</w:t>
      </w:r>
      <w:r>
        <w:rPr>
          <w:rFonts w:hint="eastAsia" w:hAnsi="宋体"/>
          <w:color w:val="auto"/>
          <w:szCs w:val="21"/>
        </w:rPr>
        <w:t>接</w:t>
      </w:r>
      <w:r>
        <w:rPr>
          <w:rFonts w:hAnsi="宋体"/>
          <w:color w:val="auto"/>
          <w:szCs w:val="21"/>
        </w:rPr>
        <w:t>头时，接桩施工应符合施工规范的有关规定。</w:t>
      </w:r>
    </w:p>
    <w:p w14:paraId="453064EE">
      <w:pPr>
        <w:adjustRightInd w:val="0"/>
        <w:snapToGrid w:val="0"/>
        <w:spacing w:line="340" w:lineRule="atLeast"/>
        <w:rPr>
          <w:color w:val="auto"/>
          <w:szCs w:val="21"/>
        </w:rPr>
      </w:pPr>
      <w:r>
        <w:rPr>
          <w:b/>
          <w:bCs/>
          <w:color w:val="auto"/>
          <w:szCs w:val="21"/>
        </w:rPr>
        <w:t>15.8.13</w:t>
      </w:r>
      <w:r>
        <w:rPr>
          <w:color w:val="auto"/>
          <w:szCs w:val="21"/>
        </w:rPr>
        <w:t xml:space="preserve">  </w:t>
      </w:r>
      <w:r>
        <w:rPr>
          <w:rFonts w:hAnsi="宋体"/>
          <w:color w:val="auto"/>
          <w:szCs w:val="21"/>
        </w:rPr>
        <w:t>对于一般性地下障碍物可采用钢送桩器进行排除，然后再进行沉桩，严禁用桩段直接</w:t>
      </w:r>
      <w:r>
        <w:rPr>
          <w:rFonts w:hint="eastAsia" w:hAnsi="宋体"/>
          <w:color w:val="auto"/>
          <w:szCs w:val="21"/>
        </w:rPr>
        <w:t>沉</w:t>
      </w:r>
      <w:r>
        <w:rPr>
          <w:rFonts w:hAnsi="宋体"/>
          <w:color w:val="auto"/>
          <w:szCs w:val="21"/>
        </w:rPr>
        <w:t>入。</w:t>
      </w:r>
    </w:p>
    <w:p w14:paraId="786CECF6">
      <w:pPr>
        <w:adjustRightInd w:val="0"/>
        <w:snapToGrid w:val="0"/>
        <w:spacing w:line="340" w:lineRule="atLeast"/>
        <w:rPr>
          <w:color w:val="auto"/>
          <w:szCs w:val="21"/>
        </w:rPr>
      </w:pPr>
      <w:r>
        <w:rPr>
          <w:b/>
          <w:bCs/>
          <w:color w:val="auto"/>
          <w:szCs w:val="21"/>
        </w:rPr>
        <w:t>15.8.14</w:t>
      </w:r>
      <w:r>
        <w:rPr>
          <w:color w:val="auto"/>
          <w:szCs w:val="21"/>
        </w:rPr>
        <w:t xml:space="preserve">  </w:t>
      </w:r>
      <w:r>
        <w:rPr>
          <w:rFonts w:hAnsi="宋体"/>
          <w:color w:val="auto"/>
          <w:szCs w:val="21"/>
        </w:rPr>
        <w:t>桩顶高出地面时，应进行截桩，截桩后桩顶应低于自然地面不少于</w:t>
      </w:r>
      <w:r>
        <w:rPr>
          <w:color w:val="auto"/>
          <w:szCs w:val="21"/>
        </w:rPr>
        <w:t>200mm</w:t>
      </w:r>
      <w:r>
        <w:rPr>
          <w:rFonts w:hAnsi="宋体"/>
          <w:color w:val="auto"/>
          <w:szCs w:val="21"/>
        </w:rPr>
        <w:t>，截桩时应确保桩身的完整性。</w:t>
      </w:r>
    </w:p>
    <w:p w14:paraId="6877E9A0">
      <w:pPr>
        <w:adjustRightInd w:val="0"/>
        <w:snapToGrid w:val="0"/>
        <w:spacing w:line="340" w:lineRule="atLeast"/>
        <w:rPr>
          <w:color w:val="auto"/>
          <w:szCs w:val="21"/>
        </w:rPr>
      </w:pPr>
      <w:r>
        <w:rPr>
          <w:b/>
          <w:bCs/>
          <w:color w:val="auto"/>
          <w:szCs w:val="21"/>
        </w:rPr>
        <w:t>15.8.15</w:t>
      </w:r>
      <w:r>
        <w:rPr>
          <w:color w:val="auto"/>
          <w:szCs w:val="21"/>
        </w:rPr>
        <w:t xml:space="preserve">  </w:t>
      </w:r>
      <w:r>
        <w:rPr>
          <w:rFonts w:hAnsi="宋体"/>
          <w:color w:val="auto"/>
          <w:szCs w:val="21"/>
        </w:rPr>
        <w:t>施工大面积密集群桩时，</w:t>
      </w:r>
      <w:r>
        <w:rPr>
          <w:rFonts w:hint="eastAsia" w:hAnsi="宋体"/>
          <w:color w:val="auto"/>
          <w:szCs w:val="21"/>
        </w:rPr>
        <w:t>可</w:t>
      </w:r>
      <w:r>
        <w:rPr>
          <w:rFonts w:hAnsi="宋体"/>
          <w:color w:val="auto"/>
          <w:szCs w:val="21"/>
        </w:rPr>
        <w:t>采取下列辅助措施：</w:t>
      </w:r>
    </w:p>
    <w:p w14:paraId="497F9D4C">
      <w:pPr>
        <w:adjustRightInd w:val="0"/>
        <w:snapToGrid w:val="0"/>
        <w:spacing w:line="340" w:lineRule="atLeast"/>
        <w:ind w:left="1" w:firstLine="398" w:firstLineChars="189"/>
        <w:rPr>
          <w:color w:val="auto"/>
          <w:szCs w:val="21"/>
        </w:rPr>
      </w:pPr>
      <w:r>
        <w:rPr>
          <w:b/>
          <w:bCs/>
          <w:color w:val="auto"/>
          <w:szCs w:val="21"/>
        </w:rPr>
        <w:t>a)</w:t>
      </w:r>
      <w:r>
        <w:rPr>
          <w:color w:val="auto"/>
          <w:szCs w:val="21"/>
        </w:rPr>
        <w:t xml:space="preserve">  </w:t>
      </w:r>
      <w:r>
        <w:rPr>
          <w:rFonts w:hAnsi="宋体"/>
          <w:color w:val="auto"/>
          <w:szCs w:val="21"/>
        </w:rPr>
        <w:t>预钻孔沉桩，孔径宜比桩径（或方桩对角线）小</w:t>
      </w:r>
      <w:r>
        <w:rPr>
          <w:color w:val="auto"/>
          <w:szCs w:val="21"/>
        </w:rPr>
        <w:t>50mm</w:t>
      </w:r>
      <w:r>
        <w:rPr>
          <w:rFonts w:hAnsi="宋体"/>
          <w:color w:val="auto"/>
          <w:szCs w:val="21"/>
        </w:rPr>
        <w:t>～</w:t>
      </w:r>
      <w:r>
        <w:rPr>
          <w:color w:val="auto"/>
          <w:szCs w:val="21"/>
        </w:rPr>
        <w:t>100mm</w:t>
      </w:r>
      <w:r>
        <w:rPr>
          <w:rFonts w:hAnsi="宋体"/>
          <w:color w:val="auto"/>
          <w:szCs w:val="21"/>
        </w:rPr>
        <w:t>，深度视桩距和土的密实度、渗透性而定，宜为桩长的</w:t>
      </w:r>
      <w:r>
        <w:rPr>
          <w:color w:val="auto"/>
          <w:szCs w:val="21"/>
        </w:rPr>
        <w:t>1/3</w:t>
      </w:r>
      <w:r>
        <w:rPr>
          <w:rFonts w:hAnsi="宋体"/>
          <w:color w:val="auto"/>
          <w:szCs w:val="21"/>
        </w:rPr>
        <w:t>～</w:t>
      </w:r>
      <w:r>
        <w:rPr>
          <w:color w:val="auto"/>
          <w:szCs w:val="21"/>
        </w:rPr>
        <w:t>1/2</w:t>
      </w:r>
      <w:r>
        <w:rPr>
          <w:rFonts w:hAnsi="宋体"/>
          <w:color w:val="auto"/>
          <w:szCs w:val="21"/>
        </w:rPr>
        <w:t>，施工时宜随钻随沉桩</w:t>
      </w:r>
      <w:r>
        <w:rPr>
          <w:rFonts w:hint="eastAsia" w:hAnsi="宋体"/>
          <w:color w:val="auto"/>
          <w:szCs w:val="21"/>
        </w:rPr>
        <w:t>。</w:t>
      </w:r>
    </w:p>
    <w:p w14:paraId="0E0CE828">
      <w:pPr>
        <w:adjustRightInd w:val="0"/>
        <w:snapToGrid w:val="0"/>
        <w:spacing w:line="340" w:lineRule="atLeast"/>
        <w:ind w:left="1" w:firstLine="398" w:firstLineChars="189"/>
        <w:rPr>
          <w:color w:val="auto"/>
          <w:szCs w:val="21"/>
        </w:rPr>
      </w:pPr>
      <w:r>
        <w:rPr>
          <w:b/>
          <w:bCs/>
          <w:color w:val="auto"/>
          <w:szCs w:val="21"/>
        </w:rPr>
        <w:t>b)</w:t>
      </w:r>
      <w:r>
        <w:rPr>
          <w:color w:val="auto"/>
          <w:szCs w:val="21"/>
        </w:rPr>
        <w:t xml:space="preserve">  </w:t>
      </w:r>
      <w:r>
        <w:rPr>
          <w:rFonts w:hAnsi="宋体"/>
          <w:color w:val="auto"/>
          <w:szCs w:val="21"/>
        </w:rPr>
        <w:t>设置袋装砂井或塑料排水板，以消除部分超孔隙水压力，减少挤土现象。袋装砂井直径一般为</w:t>
      </w:r>
      <w:r>
        <w:rPr>
          <w:color w:val="auto"/>
          <w:szCs w:val="21"/>
        </w:rPr>
        <w:t>70mm</w:t>
      </w:r>
      <w:r>
        <w:rPr>
          <w:rFonts w:hAnsi="宋体"/>
          <w:color w:val="auto"/>
          <w:szCs w:val="21"/>
        </w:rPr>
        <w:t>～</w:t>
      </w:r>
      <w:r>
        <w:rPr>
          <w:color w:val="auto"/>
          <w:szCs w:val="21"/>
        </w:rPr>
        <w:t>80mm</w:t>
      </w:r>
      <w:r>
        <w:rPr>
          <w:rFonts w:hAnsi="宋体"/>
          <w:color w:val="auto"/>
          <w:szCs w:val="21"/>
        </w:rPr>
        <w:t>，间距</w:t>
      </w:r>
      <w:r>
        <w:rPr>
          <w:color w:val="auto"/>
          <w:szCs w:val="21"/>
        </w:rPr>
        <w:t>1m</w:t>
      </w:r>
      <w:r>
        <w:rPr>
          <w:rFonts w:hAnsi="宋体"/>
          <w:color w:val="auto"/>
          <w:szCs w:val="21"/>
        </w:rPr>
        <w:t>～</w:t>
      </w:r>
      <w:r>
        <w:rPr>
          <w:color w:val="auto"/>
          <w:szCs w:val="21"/>
        </w:rPr>
        <w:t>1.5m</w:t>
      </w:r>
      <w:r>
        <w:rPr>
          <w:rFonts w:hAnsi="宋体"/>
          <w:color w:val="auto"/>
          <w:szCs w:val="21"/>
        </w:rPr>
        <w:t>；塑料排水板与袋装砂井的深度根据具体情况确定</w:t>
      </w:r>
      <w:r>
        <w:rPr>
          <w:rFonts w:hint="eastAsia" w:hAnsi="宋体"/>
          <w:color w:val="auto"/>
          <w:szCs w:val="21"/>
        </w:rPr>
        <w:t>。</w:t>
      </w:r>
    </w:p>
    <w:p w14:paraId="2767B186">
      <w:pPr>
        <w:adjustRightInd w:val="0"/>
        <w:snapToGrid w:val="0"/>
        <w:spacing w:line="340" w:lineRule="atLeast"/>
        <w:ind w:left="1" w:firstLine="398" w:firstLineChars="189"/>
        <w:rPr>
          <w:color w:val="auto"/>
          <w:szCs w:val="21"/>
        </w:rPr>
      </w:pPr>
      <w:r>
        <w:rPr>
          <w:b/>
          <w:bCs/>
          <w:color w:val="auto"/>
          <w:szCs w:val="21"/>
        </w:rPr>
        <w:t>c)</w:t>
      </w:r>
      <w:r>
        <w:rPr>
          <w:color w:val="auto"/>
          <w:szCs w:val="21"/>
        </w:rPr>
        <w:t xml:space="preserve">  </w:t>
      </w:r>
      <w:r>
        <w:rPr>
          <w:rFonts w:hAnsi="宋体"/>
          <w:color w:val="auto"/>
          <w:szCs w:val="21"/>
        </w:rPr>
        <w:t>设置隔离桩、隔离墙或减振沟</w:t>
      </w:r>
      <w:r>
        <w:rPr>
          <w:rFonts w:hint="eastAsia" w:hAnsi="宋体"/>
          <w:color w:val="auto"/>
          <w:szCs w:val="21"/>
        </w:rPr>
        <w:t>。</w:t>
      </w:r>
    </w:p>
    <w:p w14:paraId="64C0E0DB">
      <w:pPr>
        <w:adjustRightInd w:val="0"/>
        <w:snapToGrid w:val="0"/>
        <w:spacing w:line="340" w:lineRule="atLeast"/>
        <w:ind w:left="1" w:firstLine="398" w:firstLineChars="189"/>
        <w:rPr>
          <w:color w:val="auto"/>
          <w:szCs w:val="21"/>
        </w:rPr>
      </w:pPr>
      <w:r>
        <w:rPr>
          <w:b/>
          <w:bCs/>
          <w:color w:val="auto"/>
          <w:szCs w:val="21"/>
        </w:rPr>
        <w:t xml:space="preserve">d) </w:t>
      </w:r>
      <w:r>
        <w:rPr>
          <w:color w:val="auto"/>
          <w:szCs w:val="21"/>
        </w:rPr>
        <w:t xml:space="preserve"> </w:t>
      </w:r>
      <w:r>
        <w:rPr>
          <w:rFonts w:hAnsi="宋体"/>
          <w:color w:val="auto"/>
          <w:szCs w:val="21"/>
        </w:rPr>
        <w:t>控制沉桩的施工进度和沉桩顺序，</w:t>
      </w:r>
      <w:r>
        <w:rPr>
          <w:rFonts w:hint="eastAsia" w:hAnsi="宋体"/>
          <w:color w:val="auto"/>
          <w:szCs w:val="21"/>
        </w:rPr>
        <w:t>按“先深后浅、先大后小、先长后短、先密后疏”的原则。</w:t>
      </w:r>
      <w:r>
        <w:rPr>
          <w:rFonts w:hAnsi="宋体"/>
          <w:color w:val="auto"/>
          <w:szCs w:val="21"/>
        </w:rPr>
        <w:t>一般情况下，先沉中间桩；为保护周边设施和建筑物，先沉临近周边设施和建筑物的桩。</w:t>
      </w:r>
    </w:p>
    <w:p w14:paraId="3BB67D00">
      <w:pPr>
        <w:adjustRightInd w:val="0"/>
        <w:snapToGrid w:val="0"/>
        <w:spacing w:line="340" w:lineRule="atLeast"/>
        <w:rPr>
          <w:color w:val="auto"/>
          <w:szCs w:val="21"/>
        </w:rPr>
      </w:pPr>
      <w:r>
        <w:rPr>
          <w:b/>
          <w:bCs/>
          <w:color w:val="auto"/>
          <w:szCs w:val="21"/>
        </w:rPr>
        <w:t>15.8.16</w:t>
      </w:r>
      <w:r>
        <w:rPr>
          <w:color w:val="auto"/>
          <w:szCs w:val="21"/>
        </w:rPr>
        <w:t xml:space="preserve">  </w:t>
      </w:r>
      <w:r>
        <w:rPr>
          <w:rFonts w:hAnsi="宋体"/>
          <w:color w:val="auto"/>
          <w:szCs w:val="21"/>
        </w:rPr>
        <w:t>方桩的边应和相应的承台边平行。压桩过程中应在两个互相垂直的方向同步校正桩身垂直度，以保证桩身轴心受压，严禁直接用桩机机身将桩身拨正。</w:t>
      </w:r>
    </w:p>
    <w:p w14:paraId="656EA8D3">
      <w:pPr>
        <w:adjustRightInd w:val="0"/>
        <w:snapToGrid w:val="0"/>
        <w:spacing w:line="340" w:lineRule="atLeast"/>
        <w:rPr>
          <w:color w:val="auto"/>
          <w:szCs w:val="21"/>
        </w:rPr>
      </w:pPr>
      <w:r>
        <w:rPr>
          <w:b/>
          <w:bCs/>
          <w:color w:val="auto"/>
          <w:szCs w:val="21"/>
        </w:rPr>
        <w:t>15.8.1</w:t>
      </w:r>
      <w:r>
        <w:rPr>
          <w:rFonts w:hint="eastAsia"/>
          <w:b/>
          <w:bCs/>
          <w:color w:val="auto"/>
          <w:szCs w:val="21"/>
        </w:rPr>
        <w:t>7</w:t>
      </w:r>
      <w:r>
        <w:rPr>
          <w:b/>
          <w:bCs/>
          <w:color w:val="auto"/>
          <w:szCs w:val="21"/>
        </w:rPr>
        <w:t xml:space="preserve"> </w:t>
      </w:r>
      <w:r>
        <w:rPr>
          <w:color w:val="auto"/>
          <w:szCs w:val="21"/>
        </w:rPr>
        <w:t xml:space="preserve"> </w:t>
      </w:r>
      <w:r>
        <w:rPr>
          <w:rFonts w:hAnsi="宋体"/>
          <w:color w:val="auto"/>
          <w:szCs w:val="21"/>
        </w:rPr>
        <w:t>桩端进入坚硬、硬塑的黏性土，中密以上粉土、砂土、碎石类土，风化岩等持力层且无软弱下卧层时，静压桩以压力值为主要控制指标，锤击桩以锤击数和最后</w:t>
      </w:r>
      <w:r>
        <w:rPr>
          <w:color w:val="auto"/>
          <w:szCs w:val="21"/>
        </w:rPr>
        <w:t>10</w:t>
      </w:r>
      <w:r>
        <w:rPr>
          <w:rFonts w:hAnsi="宋体"/>
          <w:color w:val="auto"/>
          <w:szCs w:val="21"/>
        </w:rPr>
        <w:t>击的贯入度为主要控制指标，桩端标高在征得设计单位同意后，可作为辅助控制指标。</w:t>
      </w:r>
    </w:p>
    <w:p w14:paraId="75ABF69B">
      <w:pPr>
        <w:adjustRightInd w:val="0"/>
        <w:snapToGrid w:val="0"/>
        <w:spacing w:line="340" w:lineRule="atLeast"/>
        <w:rPr>
          <w:color w:val="auto"/>
          <w:szCs w:val="21"/>
        </w:rPr>
      </w:pPr>
      <w:r>
        <w:rPr>
          <w:b/>
          <w:bCs/>
          <w:color w:val="auto"/>
          <w:szCs w:val="21"/>
        </w:rPr>
        <w:t>15.8.1</w:t>
      </w:r>
      <w:r>
        <w:rPr>
          <w:rFonts w:hint="eastAsia"/>
          <w:b/>
          <w:bCs/>
          <w:color w:val="auto"/>
          <w:szCs w:val="21"/>
        </w:rPr>
        <w:t>8</w:t>
      </w:r>
      <w:r>
        <w:rPr>
          <w:b/>
          <w:bCs/>
          <w:color w:val="auto"/>
          <w:szCs w:val="21"/>
        </w:rPr>
        <w:t xml:space="preserve">  </w:t>
      </w:r>
      <w:r>
        <w:rPr>
          <w:rFonts w:hAnsi="宋体"/>
          <w:color w:val="auto"/>
          <w:szCs w:val="21"/>
        </w:rPr>
        <w:t>静压桩施工</w:t>
      </w:r>
    </w:p>
    <w:p w14:paraId="6B17A242">
      <w:pPr>
        <w:adjustRightInd w:val="0"/>
        <w:snapToGrid w:val="0"/>
        <w:spacing w:line="340" w:lineRule="atLeast"/>
        <w:ind w:firstLine="361" w:firstLineChars="171"/>
        <w:rPr>
          <w:color w:val="auto"/>
          <w:szCs w:val="21"/>
        </w:rPr>
      </w:pPr>
      <w:r>
        <w:rPr>
          <w:b/>
          <w:bCs/>
          <w:color w:val="auto"/>
          <w:szCs w:val="21"/>
        </w:rPr>
        <w:t xml:space="preserve">a)  </w:t>
      </w:r>
      <w:r>
        <w:rPr>
          <w:rFonts w:hAnsi="宋体"/>
          <w:color w:val="auto"/>
          <w:szCs w:val="21"/>
        </w:rPr>
        <w:t>根据土质情况、单桩竖向极限承载力以及布桩密集程度等因素，压桩机应配足重量。静压桩机的重量不宜小于单桩极限承载力的</w:t>
      </w:r>
      <w:r>
        <w:rPr>
          <w:color w:val="auto"/>
          <w:szCs w:val="21"/>
        </w:rPr>
        <w:t>1.2</w:t>
      </w:r>
      <w:r>
        <w:rPr>
          <w:rFonts w:hAnsi="宋体"/>
          <w:color w:val="auto"/>
          <w:szCs w:val="21"/>
        </w:rPr>
        <w:t>倍（不含静压桩机大履和小履的重量）</w:t>
      </w:r>
      <w:r>
        <w:rPr>
          <w:rFonts w:hint="eastAsia" w:hAnsi="宋体"/>
          <w:color w:val="auto"/>
          <w:szCs w:val="21"/>
        </w:rPr>
        <w:t>，场地应平整压实，表层土承载力应满足桩机接地压力的要求</w:t>
      </w:r>
      <w:r>
        <w:rPr>
          <w:rFonts w:hAnsi="宋体"/>
          <w:color w:val="auto"/>
          <w:szCs w:val="21"/>
        </w:rPr>
        <w:t>。</w:t>
      </w:r>
    </w:p>
    <w:p w14:paraId="6450E4B9">
      <w:pPr>
        <w:adjustRightInd w:val="0"/>
        <w:snapToGrid w:val="0"/>
        <w:spacing w:line="340" w:lineRule="atLeast"/>
        <w:ind w:firstLine="310" w:firstLineChars="147"/>
        <w:rPr>
          <w:color w:val="auto"/>
          <w:szCs w:val="21"/>
        </w:rPr>
      </w:pPr>
      <w:r>
        <w:rPr>
          <w:b/>
          <w:bCs/>
          <w:color w:val="auto"/>
          <w:szCs w:val="21"/>
        </w:rPr>
        <w:t xml:space="preserve">b)  </w:t>
      </w:r>
      <w:r>
        <w:rPr>
          <w:rFonts w:hAnsi="宋体"/>
          <w:color w:val="auto"/>
          <w:szCs w:val="21"/>
        </w:rPr>
        <w:t>应选择夹持摩擦力大而夹持力小的静压桩夹具。油压表必须经法定计量单位的</w:t>
      </w:r>
      <w:r>
        <w:rPr>
          <w:rFonts w:hint="eastAsia" w:hAnsi="宋体"/>
          <w:color w:val="auto"/>
          <w:szCs w:val="21"/>
        </w:rPr>
        <w:t>校准</w:t>
      </w:r>
      <w:r>
        <w:rPr>
          <w:rFonts w:hAnsi="宋体"/>
          <w:color w:val="auto"/>
          <w:szCs w:val="21"/>
        </w:rPr>
        <w:t>且在有效期内。</w:t>
      </w:r>
    </w:p>
    <w:p w14:paraId="6D5E854E">
      <w:pPr>
        <w:adjustRightInd w:val="0"/>
        <w:snapToGrid w:val="0"/>
        <w:spacing w:line="340" w:lineRule="atLeast"/>
        <w:ind w:firstLine="310" w:firstLineChars="147"/>
        <w:rPr>
          <w:b/>
          <w:bCs/>
          <w:color w:val="auto"/>
          <w:szCs w:val="21"/>
        </w:rPr>
      </w:pPr>
      <w:r>
        <w:rPr>
          <w:b/>
          <w:bCs/>
          <w:color w:val="auto"/>
          <w:szCs w:val="21"/>
        </w:rPr>
        <w:t xml:space="preserve">c)  </w:t>
      </w:r>
      <w:r>
        <w:rPr>
          <w:rFonts w:hAnsi="宋体"/>
          <w:color w:val="auto"/>
          <w:szCs w:val="21"/>
        </w:rPr>
        <w:t>如采用吊环，则在压桩前应割掉吊环，压桩过程中夹具不得夹在吊环、接头及预埋管处。</w:t>
      </w:r>
    </w:p>
    <w:p w14:paraId="448151E5">
      <w:pPr>
        <w:adjustRightInd w:val="0"/>
        <w:snapToGrid w:val="0"/>
        <w:spacing w:line="340" w:lineRule="atLeast"/>
        <w:ind w:firstLine="310" w:firstLineChars="147"/>
        <w:rPr>
          <w:color w:val="auto"/>
          <w:szCs w:val="21"/>
        </w:rPr>
      </w:pPr>
      <w:r>
        <w:rPr>
          <w:b/>
          <w:bCs/>
          <w:color w:val="auto"/>
          <w:szCs w:val="21"/>
        </w:rPr>
        <w:t>d)</w:t>
      </w:r>
      <w:r>
        <w:rPr>
          <w:rFonts w:hint="eastAsia" w:eastAsia="黑体"/>
          <w:b/>
          <w:color w:val="auto"/>
          <w:szCs w:val="21"/>
        </w:rPr>
        <w:t xml:space="preserve">  </w:t>
      </w:r>
      <w:r>
        <w:rPr>
          <w:rFonts w:hAnsi="宋体"/>
          <w:color w:val="auto"/>
          <w:szCs w:val="21"/>
        </w:rPr>
        <w:t>压桩力应通过载荷试验确定，短桩不宜小于单桩竖向极限承载力的</w:t>
      </w:r>
      <w:r>
        <w:rPr>
          <w:color w:val="auto"/>
          <w:szCs w:val="21"/>
        </w:rPr>
        <w:t>1.</w:t>
      </w:r>
      <w:r>
        <w:rPr>
          <w:rFonts w:hint="eastAsia"/>
          <w:color w:val="auto"/>
          <w:szCs w:val="21"/>
        </w:rPr>
        <w:t>2</w:t>
      </w:r>
      <w:r>
        <w:rPr>
          <w:rFonts w:hAnsi="宋体"/>
          <w:color w:val="auto"/>
          <w:szCs w:val="21"/>
        </w:rPr>
        <w:t>倍。</w:t>
      </w:r>
    </w:p>
    <w:p w14:paraId="63247FB2">
      <w:pPr>
        <w:adjustRightInd w:val="0"/>
        <w:snapToGrid w:val="0"/>
        <w:spacing w:line="340" w:lineRule="atLeast"/>
        <w:rPr>
          <w:color w:val="auto"/>
          <w:szCs w:val="21"/>
        </w:rPr>
      </w:pPr>
      <w:r>
        <w:rPr>
          <w:b/>
          <w:bCs/>
          <w:color w:val="auto"/>
          <w:szCs w:val="21"/>
        </w:rPr>
        <w:t>15.8.</w:t>
      </w:r>
      <w:r>
        <w:rPr>
          <w:rFonts w:hint="eastAsia"/>
          <w:b/>
          <w:bCs/>
          <w:color w:val="auto"/>
          <w:szCs w:val="21"/>
        </w:rPr>
        <w:t>19</w:t>
      </w:r>
      <w:r>
        <w:rPr>
          <w:b/>
          <w:bCs/>
          <w:color w:val="auto"/>
          <w:szCs w:val="21"/>
        </w:rPr>
        <w:t xml:space="preserve">  </w:t>
      </w:r>
      <w:r>
        <w:rPr>
          <w:rFonts w:hAnsi="宋体"/>
          <w:color w:val="auto"/>
          <w:szCs w:val="21"/>
        </w:rPr>
        <w:t>锤击桩施工</w:t>
      </w:r>
    </w:p>
    <w:p w14:paraId="6020B60C">
      <w:pPr>
        <w:adjustRightInd w:val="0"/>
        <w:snapToGrid w:val="0"/>
        <w:spacing w:line="340" w:lineRule="atLeast"/>
        <w:ind w:firstLine="310" w:firstLineChars="147"/>
        <w:rPr>
          <w:color w:val="auto"/>
          <w:szCs w:val="21"/>
        </w:rPr>
      </w:pPr>
      <w:r>
        <w:rPr>
          <w:b/>
          <w:bCs/>
          <w:color w:val="auto"/>
          <w:szCs w:val="21"/>
        </w:rPr>
        <w:t xml:space="preserve">a)  </w:t>
      </w:r>
      <w:r>
        <w:rPr>
          <w:rFonts w:hAnsi="宋体"/>
          <w:color w:val="auto"/>
          <w:szCs w:val="21"/>
        </w:rPr>
        <w:t>施工前应评估锤击桩对周边环境的影响在可控的范围</w:t>
      </w:r>
      <w:r>
        <w:rPr>
          <w:rFonts w:hint="eastAsia" w:hAnsi="宋体"/>
          <w:color w:val="auto"/>
          <w:szCs w:val="21"/>
        </w:rPr>
        <w:t>。</w:t>
      </w:r>
    </w:p>
    <w:p w14:paraId="18DC5343">
      <w:pPr>
        <w:adjustRightInd w:val="0"/>
        <w:snapToGrid w:val="0"/>
        <w:spacing w:line="340" w:lineRule="atLeast"/>
        <w:ind w:firstLine="310" w:firstLineChars="147"/>
        <w:rPr>
          <w:color w:val="auto"/>
          <w:szCs w:val="21"/>
        </w:rPr>
      </w:pPr>
      <w:r>
        <w:rPr>
          <w:b/>
          <w:bCs/>
          <w:color w:val="auto"/>
          <w:szCs w:val="21"/>
        </w:rPr>
        <w:t xml:space="preserve">b)  </w:t>
      </w:r>
      <w:r>
        <w:rPr>
          <w:rFonts w:hAnsi="宋体"/>
          <w:color w:val="auto"/>
          <w:szCs w:val="21"/>
        </w:rPr>
        <w:t>应采用重锤轻击的原则进行施工</w:t>
      </w:r>
      <w:r>
        <w:rPr>
          <w:rFonts w:hint="eastAsia" w:hAnsi="宋体"/>
          <w:color w:val="auto"/>
          <w:szCs w:val="21"/>
        </w:rPr>
        <w:t>。</w:t>
      </w:r>
    </w:p>
    <w:p w14:paraId="202CB3AA">
      <w:pPr>
        <w:adjustRightInd w:val="0"/>
        <w:snapToGrid w:val="0"/>
        <w:spacing w:line="340" w:lineRule="atLeast"/>
        <w:ind w:firstLine="310" w:firstLineChars="147"/>
        <w:rPr>
          <w:color w:val="auto"/>
          <w:szCs w:val="21"/>
        </w:rPr>
      </w:pPr>
      <w:r>
        <w:rPr>
          <w:b/>
          <w:bCs/>
          <w:color w:val="auto"/>
          <w:szCs w:val="21"/>
        </w:rPr>
        <w:t xml:space="preserve">c)  </w:t>
      </w:r>
      <w:r>
        <w:rPr>
          <w:rFonts w:hAnsi="宋体"/>
          <w:color w:val="auto"/>
          <w:szCs w:val="21"/>
        </w:rPr>
        <w:t>应采用桩垫。</w:t>
      </w:r>
    </w:p>
    <w:p w14:paraId="5CA41095">
      <w:pPr>
        <w:adjustRightInd w:val="0"/>
        <w:snapToGrid w:val="0"/>
        <w:spacing w:line="340" w:lineRule="atLeast"/>
        <w:rPr>
          <w:rFonts w:hAnsi="宋体"/>
          <w:color w:val="auto"/>
          <w:szCs w:val="21"/>
        </w:rPr>
      </w:pPr>
      <w:r>
        <w:rPr>
          <w:b/>
          <w:bCs/>
          <w:color w:val="auto"/>
          <w:szCs w:val="21"/>
        </w:rPr>
        <w:t xml:space="preserve">15.8.20 </w:t>
      </w:r>
      <w:r>
        <w:rPr>
          <w:rFonts w:hint="eastAsia" w:hAnsi="宋体"/>
          <w:color w:val="auto"/>
          <w:szCs w:val="21"/>
        </w:rPr>
        <w:t>高频液压振动锤施工</w:t>
      </w:r>
    </w:p>
    <w:p w14:paraId="3F06DC11">
      <w:pPr>
        <w:adjustRightInd w:val="0"/>
        <w:snapToGrid w:val="0"/>
        <w:spacing w:line="340" w:lineRule="atLeast"/>
        <w:ind w:firstLine="310" w:firstLineChars="147"/>
        <w:rPr>
          <w:rFonts w:hAnsi="宋体"/>
          <w:color w:val="auto"/>
          <w:szCs w:val="21"/>
        </w:rPr>
      </w:pPr>
      <w:r>
        <w:rPr>
          <w:b/>
          <w:bCs/>
          <w:color w:val="auto"/>
          <w:szCs w:val="21"/>
        </w:rPr>
        <w:t xml:space="preserve">a) </w:t>
      </w:r>
      <w:r>
        <w:rPr>
          <w:rFonts w:hint="eastAsia" w:hAnsi="宋体"/>
          <w:color w:val="auto"/>
          <w:szCs w:val="21"/>
        </w:rPr>
        <w:t>施工前，应针对场地主要土质确定最优频率范围。</w:t>
      </w:r>
    </w:p>
    <w:p w14:paraId="060F0B6B">
      <w:pPr>
        <w:adjustRightInd w:val="0"/>
        <w:snapToGrid w:val="0"/>
        <w:spacing w:line="340" w:lineRule="atLeast"/>
        <w:ind w:firstLine="310" w:firstLineChars="147"/>
        <w:rPr>
          <w:b/>
          <w:bCs/>
          <w:color w:val="auto"/>
          <w:szCs w:val="21"/>
        </w:rPr>
      </w:pPr>
      <w:r>
        <w:rPr>
          <w:b/>
          <w:bCs/>
          <w:color w:val="auto"/>
          <w:szCs w:val="21"/>
        </w:rPr>
        <w:t xml:space="preserve">b) </w:t>
      </w:r>
      <w:r>
        <w:rPr>
          <w:rFonts w:hint="eastAsia" w:hAnsi="宋体"/>
          <w:color w:val="auto"/>
          <w:szCs w:val="21"/>
        </w:rPr>
        <w:t>桩与液压振动锤连接须牢固，确保液压振动锤和桩中心同一直线，维持设备与桩的稳定性。</w:t>
      </w:r>
    </w:p>
    <w:p w14:paraId="6B21AC04">
      <w:pPr>
        <w:adjustRightInd w:val="0"/>
        <w:snapToGrid w:val="0"/>
        <w:spacing w:line="340" w:lineRule="atLeast"/>
        <w:ind w:firstLine="310" w:firstLineChars="147"/>
        <w:rPr>
          <w:bCs/>
          <w:color w:val="auto"/>
          <w:szCs w:val="21"/>
        </w:rPr>
      </w:pPr>
      <w:r>
        <w:rPr>
          <w:b/>
          <w:bCs/>
          <w:color w:val="auto"/>
          <w:szCs w:val="21"/>
        </w:rPr>
        <w:t xml:space="preserve">c) </w:t>
      </w:r>
      <w:r>
        <w:rPr>
          <w:rFonts w:hint="eastAsia"/>
          <w:bCs/>
          <w:color w:val="auto"/>
          <w:szCs w:val="21"/>
        </w:rPr>
        <w:t>桩的沉设需一次性完成，避免摩阻力恢复造成沉桩困难。</w:t>
      </w:r>
    </w:p>
    <w:p w14:paraId="72C4B03E">
      <w:pPr>
        <w:adjustRightInd w:val="0"/>
        <w:snapToGrid w:val="0"/>
        <w:spacing w:line="340" w:lineRule="atLeast"/>
        <w:rPr>
          <w:b/>
          <w:bCs/>
          <w:color w:val="auto"/>
          <w:szCs w:val="21"/>
        </w:rPr>
      </w:pPr>
      <w:r>
        <w:rPr>
          <w:b/>
          <w:bCs/>
          <w:color w:val="auto"/>
          <w:szCs w:val="21"/>
        </w:rPr>
        <w:t xml:space="preserve">15.8.21 </w:t>
      </w:r>
      <w:r>
        <w:rPr>
          <w:color w:val="auto"/>
          <w:szCs w:val="21"/>
        </w:rPr>
        <w:t xml:space="preserve"> </w:t>
      </w:r>
      <w:r>
        <w:rPr>
          <w:rFonts w:hAnsi="宋体"/>
          <w:color w:val="auto"/>
          <w:szCs w:val="21"/>
        </w:rPr>
        <w:t>遇下列情况之一，应暂停沉桩，并及时处理：</w:t>
      </w:r>
    </w:p>
    <w:p w14:paraId="7F175810">
      <w:pPr>
        <w:adjustRightInd w:val="0"/>
        <w:snapToGrid w:val="0"/>
        <w:spacing w:line="340" w:lineRule="atLeast"/>
        <w:ind w:firstLine="422" w:firstLineChars="200"/>
        <w:rPr>
          <w:color w:val="auto"/>
          <w:szCs w:val="21"/>
        </w:rPr>
      </w:pPr>
      <w:r>
        <w:rPr>
          <w:b/>
          <w:bCs/>
          <w:color w:val="auto"/>
          <w:szCs w:val="21"/>
        </w:rPr>
        <w:t>a)</w:t>
      </w:r>
      <w:r>
        <w:rPr>
          <w:b/>
          <w:color w:val="auto"/>
          <w:szCs w:val="21"/>
        </w:rPr>
        <w:t xml:space="preserve"> </w:t>
      </w:r>
      <w:r>
        <w:rPr>
          <w:color w:val="auto"/>
          <w:szCs w:val="21"/>
        </w:rPr>
        <w:t xml:space="preserve"> </w:t>
      </w:r>
      <w:r>
        <w:rPr>
          <w:rFonts w:hAnsi="宋体"/>
          <w:color w:val="auto"/>
          <w:szCs w:val="21"/>
        </w:rPr>
        <w:t>沉桩深度超过设计深度，油压值或锤击数和最后</w:t>
      </w:r>
      <w:r>
        <w:rPr>
          <w:color w:val="auto"/>
          <w:szCs w:val="21"/>
        </w:rPr>
        <w:t>10</w:t>
      </w:r>
      <w:r>
        <w:rPr>
          <w:rFonts w:hAnsi="宋体"/>
          <w:color w:val="auto"/>
          <w:szCs w:val="21"/>
        </w:rPr>
        <w:t>击的贯入度却达不到要求</w:t>
      </w:r>
      <w:r>
        <w:rPr>
          <w:rFonts w:hint="eastAsia" w:hAnsi="宋体"/>
          <w:color w:val="auto"/>
          <w:szCs w:val="21"/>
        </w:rPr>
        <w:t>；</w:t>
      </w:r>
    </w:p>
    <w:p w14:paraId="35AB3028">
      <w:pPr>
        <w:adjustRightInd w:val="0"/>
        <w:snapToGrid w:val="0"/>
        <w:spacing w:line="340" w:lineRule="atLeast"/>
        <w:ind w:firstLine="422" w:firstLineChars="200"/>
        <w:rPr>
          <w:color w:val="auto"/>
          <w:szCs w:val="21"/>
        </w:rPr>
      </w:pPr>
      <w:r>
        <w:rPr>
          <w:b/>
          <w:bCs/>
          <w:color w:val="auto"/>
          <w:szCs w:val="21"/>
        </w:rPr>
        <w:t>b)</w:t>
      </w:r>
      <w:r>
        <w:rPr>
          <w:b/>
          <w:color w:val="auto"/>
          <w:szCs w:val="21"/>
        </w:rPr>
        <w:t xml:space="preserve"> </w:t>
      </w:r>
      <w:r>
        <w:rPr>
          <w:color w:val="auto"/>
          <w:szCs w:val="21"/>
        </w:rPr>
        <w:t xml:space="preserve"> </w:t>
      </w:r>
      <w:r>
        <w:rPr>
          <w:rFonts w:hAnsi="宋体"/>
          <w:color w:val="auto"/>
          <w:szCs w:val="21"/>
        </w:rPr>
        <w:t>桩顶和桩身混凝土破碎或桩身产生明显裂纹</w:t>
      </w:r>
      <w:r>
        <w:rPr>
          <w:rFonts w:hint="eastAsia" w:hAnsi="宋体"/>
          <w:color w:val="auto"/>
          <w:szCs w:val="21"/>
        </w:rPr>
        <w:t>；</w:t>
      </w:r>
    </w:p>
    <w:p w14:paraId="39514B3F">
      <w:pPr>
        <w:adjustRightInd w:val="0"/>
        <w:snapToGrid w:val="0"/>
        <w:spacing w:line="340" w:lineRule="atLeast"/>
        <w:ind w:firstLine="422" w:firstLineChars="200"/>
        <w:rPr>
          <w:color w:val="auto"/>
          <w:szCs w:val="21"/>
        </w:rPr>
      </w:pPr>
      <w:r>
        <w:rPr>
          <w:b/>
          <w:bCs/>
          <w:color w:val="auto"/>
          <w:szCs w:val="21"/>
        </w:rPr>
        <w:t>c)</w:t>
      </w:r>
      <w:r>
        <w:rPr>
          <w:b/>
          <w:color w:val="auto"/>
          <w:szCs w:val="21"/>
        </w:rPr>
        <w:t xml:space="preserve"> </w:t>
      </w:r>
      <w:r>
        <w:rPr>
          <w:color w:val="auto"/>
          <w:szCs w:val="21"/>
        </w:rPr>
        <w:t xml:space="preserve"> </w:t>
      </w:r>
      <w:r>
        <w:rPr>
          <w:rFonts w:hAnsi="宋体"/>
          <w:color w:val="auto"/>
          <w:szCs w:val="21"/>
        </w:rPr>
        <w:t>桩身突然倾斜、移位或有严重回弹</w:t>
      </w:r>
      <w:r>
        <w:rPr>
          <w:rFonts w:hint="eastAsia" w:hAnsi="宋体"/>
          <w:color w:val="auto"/>
          <w:szCs w:val="21"/>
        </w:rPr>
        <w:t>；</w:t>
      </w:r>
    </w:p>
    <w:p w14:paraId="0242F788">
      <w:pPr>
        <w:adjustRightInd w:val="0"/>
        <w:snapToGrid w:val="0"/>
        <w:spacing w:line="340" w:lineRule="atLeast"/>
        <w:ind w:firstLine="422" w:firstLineChars="200"/>
        <w:rPr>
          <w:color w:val="auto"/>
          <w:szCs w:val="21"/>
        </w:rPr>
      </w:pPr>
      <w:r>
        <w:rPr>
          <w:b/>
          <w:bCs/>
          <w:color w:val="auto"/>
          <w:szCs w:val="21"/>
        </w:rPr>
        <w:t>d)</w:t>
      </w:r>
      <w:r>
        <w:rPr>
          <w:b/>
          <w:color w:val="auto"/>
          <w:szCs w:val="21"/>
        </w:rPr>
        <w:t xml:space="preserve"> </w:t>
      </w:r>
      <w:r>
        <w:rPr>
          <w:color w:val="auto"/>
          <w:szCs w:val="21"/>
        </w:rPr>
        <w:t xml:space="preserve"> </w:t>
      </w:r>
      <w:r>
        <w:rPr>
          <w:rFonts w:hAnsi="宋体"/>
          <w:color w:val="auto"/>
          <w:szCs w:val="21"/>
        </w:rPr>
        <w:t>与邻桩入土长度相差悬殊，或桩端不能落在同一持力层上</w:t>
      </w:r>
      <w:r>
        <w:rPr>
          <w:rFonts w:hint="eastAsia" w:hAnsi="宋体"/>
          <w:color w:val="auto"/>
          <w:szCs w:val="21"/>
        </w:rPr>
        <w:t>；</w:t>
      </w:r>
    </w:p>
    <w:p w14:paraId="6945FD4E">
      <w:pPr>
        <w:adjustRightInd w:val="0"/>
        <w:snapToGrid w:val="0"/>
        <w:spacing w:line="340" w:lineRule="atLeast"/>
        <w:ind w:firstLine="422" w:firstLineChars="200"/>
        <w:rPr>
          <w:color w:val="auto"/>
          <w:szCs w:val="21"/>
        </w:rPr>
      </w:pPr>
      <w:r>
        <w:rPr>
          <w:b/>
          <w:bCs/>
          <w:color w:val="auto"/>
          <w:szCs w:val="21"/>
        </w:rPr>
        <w:t>e)</w:t>
      </w:r>
      <w:r>
        <w:rPr>
          <w:b/>
          <w:color w:val="auto"/>
          <w:szCs w:val="21"/>
        </w:rPr>
        <w:t xml:space="preserve"> </w:t>
      </w:r>
      <w:r>
        <w:rPr>
          <w:color w:val="auto"/>
          <w:szCs w:val="21"/>
        </w:rPr>
        <w:t xml:space="preserve"> </w:t>
      </w:r>
      <w:r>
        <w:rPr>
          <w:rFonts w:hAnsi="宋体"/>
          <w:color w:val="auto"/>
          <w:szCs w:val="21"/>
        </w:rPr>
        <w:t>场地内地面严重隆起或邻桩发生严重位移</w:t>
      </w:r>
      <w:r>
        <w:rPr>
          <w:rFonts w:hint="eastAsia" w:hAnsi="宋体"/>
          <w:color w:val="auto"/>
          <w:szCs w:val="21"/>
        </w:rPr>
        <w:t>；</w:t>
      </w:r>
    </w:p>
    <w:p w14:paraId="5164E78C">
      <w:pPr>
        <w:adjustRightInd w:val="0"/>
        <w:snapToGrid w:val="0"/>
        <w:spacing w:line="340" w:lineRule="atLeast"/>
        <w:ind w:firstLine="422" w:firstLineChars="200"/>
        <w:rPr>
          <w:rFonts w:hAnsi="宋体"/>
          <w:color w:val="auto"/>
          <w:szCs w:val="21"/>
        </w:rPr>
      </w:pPr>
      <w:r>
        <w:rPr>
          <w:b/>
          <w:bCs/>
          <w:color w:val="auto"/>
          <w:szCs w:val="21"/>
        </w:rPr>
        <w:t>f)</w:t>
      </w:r>
      <w:r>
        <w:rPr>
          <w:b/>
          <w:color w:val="auto"/>
          <w:szCs w:val="21"/>
        </w:rPr>
        <w:t xml:space="preserve"> </w:t>
      </w:r>
      <w:r>
        <w:rPr>
          <w:color w:val="auto"/>
          <w:szCs w:val="21"/>
        </w:rPr>
        <w:t xml:space="preserve"> </w:t>
      </w:r>
      <w:r>
        <w:rPr>
          <w:rFonts w:hAnsi="宋体"/>
          <w:color w:val="auto"/>
          <w:szCs w:val="21"/>
        </w:rPr>
        <w:t>已施工的桩向上位移</w:t>
      </w:r>
      <w:r>
        <w:rPr>
          <w:rFonts w:hint="eastAsia" w:hAnsi="宋体"/>
          <w:color w:val="auto"/>
          <w:szCs w:val="21"/>
        </w:rPr>
        <w:t>；</w:t>
      </w:r>
    </w:p>
    <w:p w14:paraId="5CE49D64">
      <w:pPr>
        <w:adjustRightInd w:val="0"/>
        <w:snapToGrid w:val="0"/>
        <w:spacing w:line="340" w:lineRule="atLeast"/>
        <w:ind w:firstLine="420" w:firstLineChars="200"/>
        <w:rPr>
          <w:color w:val="auto"/>
          <w:szCs w:val="21"/>
        </w:rPr>
      </w:pPr>
      <w:r>
        <w:rPr>
          <w:color w:val="auto"/>
          <w:szCs w:val="21"/>
        </w:rPr>
        <w:t xml:space="preserve">g) </w:t>
      </w:r>
      <w:r>
        <w:rPr>
          <w:rFonts w:hint="eastAsia"/>
          <w:color w:val="auto"/>
          <w:szCs w:val="21"/>
        </w:rPr>
        <w:t xml:space="preserve"> 桩身夹持机具打滑，或压桩机下陷严重不能保证桩身垂直度。</w:t>
      </w:r>
    </w:p>
    <w:p w14:paraId="1E1CA395">
      <w:pPr>
        <w:adjustRightInd w:val="0"/>
        <w:snapToGrid w:val="0"/>
        <w:spacing w:line="340" w:lineRule="atLeast"/>
        <w:ind w:firstLine="420" w:firstLineChars="200"/>
        <w:rPr>
          <w:rFonts w:hint="eastAsia"/>
          <w:color w:val="auto"/>
          <w:szCs w:val="21"/>
        </w:rPr>
      </w:pPr>
    </w:p>
    <w:p w14:paraId="5FDCF643">
      <w:pPr>
        <w:adjustRightInd w:val="0"/>
        <w:snapToGrid w:val="0"/>
        <w:spacing w:line="340" w:lineRule="exact"/>
        <w:outlineLvl w:val="1"/>
        <w:rPr>
          <w:rFonts w:eastAsia="黑体"/>
          <w:b/>
          <w:color w:val="auto"/>
          <w:szCs w:val="21"/>
        </w:rPr>
      </w:pPr>
      <w:bookmarkStart w:id="92" w:name="_Toc199943635"/>
      <w:r>
        <w:rPr>
          <w:rFonts w:eastAsia="黑体"/>
          <w:b/>
          <w:bCs/>
          <w:color w:val="auto"/>
          <w:szCs w:val="21"/>
        </w:rPr>
        <w:t>15.9  山区地基施工</w:t>
      </w:r>
      <w:bookmarkEnd w:id="92"/>
    </w:p>
    <w:p w14:paraId="4B7E78FB">
      <w:pPr>
        <w:snapToGrid w:val="0"/>
        <w:spacing w:line="340" w:lineRule="atLeast"/>
        <w:jc w:val="center"/>
        <w:rPr>
          <w:color w:val="auto"/>
          <w:szCs w:val="21"/>
        </w:rPr>
      </w:pPr>
    </w:p>
    <w:p w14:paraId="1B593879">
      <w:pPr>
        <w:snapToGrid w:val="0"/>
        <w:spacing w:line="340" w:lineRule="atLeast"/>
        <w:rPr>
          <w:color w:val="auto"/>
          <w:szCs w:val="21"/>
        </w:rPr>
      </w:pPr>
      <w:r>
        <w:rPr>
          <w:b/>
          <w:bCs/>
          <w:color w:val="auto"/>
          <w:szCs w:val="21"/>
        </w:rPr>
        <w:t>15.9.1</w:t>
      </w:r>
      <w:r>
        <w:rPr>
          <w:color w:val="auto"/>
          <w:szCs w:val="21"/>
        </w:rPr>
        <w:t xml:space="preserve"> </w:t>
      </w:r>
      <w:r>
        <w:rPr>
          <w:rFonts w:hint="eastAsia"/>
          <w:color w:val="auto"/>
          <w:szCs w:val="21"/>
        </w:rPr>
        <w:t xml:space="preserve"> </w:t>
      </w:r>
      <w:r>
        <w:rPr>
          <w:color w:val="auto"/>
          <w:szCs w:val="21"/>
        </w:rPr>
        <w:t>边坡开挖和地基基础施工前，应根据岩土工程勘察报告和设计要求，编制施工组织设计和制定保护环境的安全措施。当边坡开挖和地基基础施工</w:t>
      </w:r>
      <w:r>
        <w:rPr>
          <w:rFonts w:hint="eastAsia"/>
          <w:color w:val="auto"/>
          <w:szCs w:val="21"/>
        </w:rPr>
        <w:t>可能</w:t>
      </w:r>
      <w:r>
        <w:rPr>
          <w:color w:val="auto"/>
          <w:szCs w:val="21"/>
        </w:rPr>
        <w:t>影响边坡稳定或危及邻近建（构）筑物、市政管线安全时，应先进行边坡治理。</w:t>
      </w:r>
    </w:p>
    <w:p w14:paraId="478500E4">
      <w:pPr>
        <w:snapToGrid w:val="0"/>
        <w:spacing w:line="340" w:lineRule="atLeast"/>
        <w:rPr>
          <w:color w:val="auto"/>
          <w:szCs w:val="21"/>
        </w:rPr>
      </w:pPr>
      <w:r>
        <w:rPr>
          <w:b/>
          <w:bCs/>
          <w:color w:val="auto"/>
          <w:szCs w:val="21"/>
        </w:rPr>
        <w:t xml:space="preserve">15.9.2 </w:t>
      </w:r>
      <w:r>
        <w:rPr>
          <w:color w:val="auto"/>
          <w:szCs w:val="21"/>
        </w:rPr>
        <w:t xml:space="preserve"> 对于土质边坡或易于软化的岩质边坡，在开挖时应采取相应的排水和坡面、坡脚的保护措施，边坡的顶部应设置截水沟。坡脚及坡面上不得有积水。</w:t>
      </w:r>
    </w:p>
    <w:p w14:paraId="28925414">
      <w:pPr>
        <w:snapToGrid w:val="0"/>
        <w:spacing w:line="340" w:lineRule="atLeast"/>
        <w:rPr>
          <w:color w:val="auto"/>
          <w:szCs w:val="21"/>
        </w:rPr>
      </w:pPr>
      <w:r>
        <w:rPr>
          <w:b/>
          <w:bCs/>
          <w:color w:val="auto"/>
          <w:szCs w:val="21"/>
        </w:rPr>
        <w:t>15.9.3</w:t>
      </w:r>
      <w:r>
        <w:rPr>
          <w:color w:val="auto"/>
          <w:szCs w:val="21"/>
        </w:rPr>
        <w:t xml:space="preserve">  边坡开挖前应有边坡治理设计文件，无边坡治理设计文件不应进行边坡施工。边坡施工应根据边坡设计工况要求进行。边坡施工应由上往下分层分段开挖，依次进行，严禁下部掏挖、无序大开挖、大爆破作业。挖、填宜平衡，弃土应分散处理，不得将弃土堆置在坡顶及坡面上。当必须在坡顶或坡面设置弃土或转运站时，应进行坡体稳定性验算，严格控制堆积的土方量。</w:t>
      </w:r>
    </w:p>
    <w:p w14:paraId="2AB9F30F">
      <w:pPr>
        <w:snapToGrid w:val="0"/>
        <w:spacing w:line="340" w:lineRule="atLeast"/>
        <w:rPr>
          <w:color w:val="auto"/>
          <w:szCs w:val="21"/>
        </w:rPr>
      </w:pPr>
      <w:r>
        <w:rPr>
          <w:b/>
          <w:bCs/>
          <w:color w:val="auto"/>
          <w:szCs w:val="21"/>
        </w:rPr>
        <w:t>15.9.4</w:t>
      </w:r>
      <w:r>
        <w:rPr>
          <w:color w:val="auto"/>
          <w:szCs w:val="21"/>
        </w:rPr>
        <w:t xml:space="preserve">  边坡开挖后，应根据边坡治理设计文件，立即对边坡进行治理。</w:t>
      </w:r>
    </w:p>
    <w:p w14:paraId="3025954E">
      <w:pPr>
        <w:snapToGrid w:val="0"/>
        <w:spacing w:line="340" w:lineRule="atLeast"/>
        <w:rPr>
          <w:color w:val="auto"/>
          <w:szCs w:val="21"/>
        </w:rPr>
      </w:pPr>
      <w:r>
        <w:rPr>
          <w:b/>
          <w:bCs/>
          <w:color w:val="auto"/>
          <w:szCs w:val="21"/>
        </w:rPr>
        <w:t>15.9.5</w:t>
      </w:r>
      <w:r>
        <w:rPr>
          <w:color w:val="auto"/>
          <w:szCs w:val="21"/>
        </w:rPr>
        <w:t xml:space="preserve">  对岩层层面或主要节理面与边坡开挖面的倾斜方向一致的顺向坡，应根据倾角大小确定边坡的防护方法。</w:t>
      </w:r>
      <w:r>
        <w:rPr>
          <w:rFonts w:hint="eastAsia"/>
          <w:color w:val="auto"/>
          <w:szCs w:val="21"/>
        </w:rPr>
        <w:t>当开挖揭露的岩层层面或主要节理面情况与设计文件参考的情况明显不一致时，应及时提请设计单位进行复核确认，确保支护方案的安全性和合理性。</w:t>
      </w:r>
    </w:p>
    <w:p w14:paraId="272BE334">
      <w:pPr>
        <w:snapToGrid w:val="0"/>
        <w:spacing w:line="340" w:lineRule="atLeast"/>
        <w:rPr>
          <w:color w:val="auto"/>
          <w:szCs w:val="21"/>
        </w:rPr>
      </w:pPr>
      <w:r>
        <w:rPr>
          <w:b/>
          <w:bCs/>
          <w:color w:val="auto"/>
          <w:szCs w:val="21"/>
        </w:rPr>
        <w:t>15.9.6</w:t>
      </w:r>
      <w:r>
        <w:rPr>
          <w:color w:val="auto"/>
          <w:szCs w:val="21"/>
        </w:rPr>
        <w:t xml:space="preserve">  挡土墙施工应符合下列要求：</w:t>
      </w:r>
    </w:p>
    <w:p w14:paraId="6BDBFBAA">
      <w:pPr>
        <w:snapToGrid w:val="0"/>
        <w:spacing w:line="340" w:lineRule="atLeast"/>
        <w:ind w:firstLine="420"/>
        <w:rPr>
          <w:color w:val="auto"/>
          <w:szCs w:val="21"/>
        </w:rPr>
      </w:pPr>
      <w:r>
        <w:rPr>
          <w:b/>
          <w:bCs/>
          <w:color w:val="auto"/>
          <w:szCs w:val="21"/>
        </w:rPr>
        <w:t>a)</w:t>
      </w:r>
      <w:r>
        <w:rPr>
          <w:color w:val="auto"/>
          <w:szCs w:val="21"/>
        </w:rPr>
        <w:t xml:space="preserve">  对于可以向坡外排水的支挡结构，挡土墙应设置排水孔 ，其纵横间距宜取2m</w:t>
      </w:r>
      <w:r>
        <w:rPr>
          <w:rFonts w:hAnsi="宋体"/>
          <w:color w:val="auto"/>
          <w:szCs w:val="21"/>
        </w:rPr>
        <w:t>～</w:t>
      </w:r>
      <w:r>
        <w:rPr>
          <w:color w:val="auto"/>
          <w:szCs w:val="21"/>
        </w:rPr>
        <w:t>3m，外倾5%，孔径不宜小于φ100mm。墙后应做好滤水层和必要的排水盲沟，在墙顶地面应铺设防水层。当墙后有山坡时，还应设置截水沟。</w:t>
      </w:r>
    </w:p>
    <w:p w14:paraId="3C89C6DD">
      <w:pPr>
        <w:snapToGrid w:val="0"/>
        <w:spacing w:line="340" w:lineRule="atLeast"/>
        <w:ind w:firstLine="420"/>
        <w:rPr>
          <w:color w:val="auto"/>
          <w:szCs w:val="21"/>
        </w:rPr>
      </w:pPr>
      <w:r>
        <w:rPr>
          <w:b/>
          <w:bCs/>
          <w:color w:val="auto"/>
          <w:szCs w:val="21"/>
        </w:rPr>
        <w:t>b)</w:t>
      </w:r>
      <w:r>
        <w:rPr>
          <w:color w:val="auto"/>
          <w:szCs w:val="21"/>
        </w:rPr>
        <w:t xml:space="preserve">  对于不能向坡外排水的边坡，应在支挡结构后面设置排水暗沟。</w:t>
      </w:r>
    </w:p>
    <w:p w14:paraId="7EA039AF">
      <w:pPr>
        <w:snapToGrid w:val="0"/>
        <w:spacing w:line="340" w:lineRule="atLeast"/>
        <w:ind w:firstLine="420"/>
        <w:rPr>
          <w:color w:val="auto"/>
          <w:szCs w:val="21"/>
        </w:rPr>
      </w:pPr>
      <w:r>
        <w:rPr>
          <w:b/>
          <w:bCs/>
          <w:color w:val="auto"/>
          <w:szCs w:val="21"/>
        </w:rPr>
        <w:t>c)</w:t>
      </w:r>
      <w:r>
        <w:rPr>
          <w:color w:val="auto"/>
          <w:szCs w:val="21"/>
        </w:rPr>
        <w:t xml:space="preserve">  墙后填土宜选择透水性较强的填料。当采用黏性土作为填料时，宜掺入适量的块石。在季节性冻土地区，墙后填土应选用非冻胀性填料（如炉渣、碎石、粗砂等）。</w:t>
      </w:r>
    </w:p>
    <w:p w14:paraId="22330CC1">
      <w:pPr>
        <w:snapToGrid w:val="0"/>
        <w:spacing w:line="340" w:lineRule="atLeast"/>
        <w:ind w:firstLine="420"/>
        <w:rPr>
          <w:color w:val="auto"/>
          <w:szCs w:val="21"/>
        </w:rPr>
      </w:pPr>
      <w:r>
        <w:rPr>
          <w:b/>
          <w:bCs/>
          <w:color w:val="auto"/>
          <w:szCs w:val="21"/>
        </w:rPr>
        <w:t>d)</w:t>
      </w:r>
      <w:r>
        <w:rPr>
          <w:color w:val="auto"/>
          <w:szCs w:val="21"/>
        </w:rPr>
        <w:t xml:space="preserve">  当地基土有变化时挡土墙应加设沉降缝。在弯角处应适当采取加强措施。</w:t>
      </w:r>
    </w:p>
    <w:p w14:paraId="79543C90">
      <w:pPr>
        <w:snapToGrid w:val="0"/>
        <w:spacing w:line="340" w:lineRule="atLeast"/>
        <w:rPr>
          <w:color w:val="auto"/>
          <w:szCs w:val="21"/>
        </w:rPr>
      </w:pPr>
      <w:r>
        <w:rPr>
          <w:b/>
          <w:bCs/>
          <w:color w:val="auto"/>
          <w:szCs w:val="21"/>
        </w:rPr>
        <w:t>15.9.7</w:t>
      </w:r>
      <w:r>
        <w:rPr>
          <w:color w:val="auto"/>
          <w:szCs w:val="21"/>
        </w:rPr>
        <w:t xml:space="preserve">  建筑物地基铺设砂石褥垫层时，应确保褥垫中砂石不因地表水的渗入或排水设施渗漏而流失。</w:t>
      </w:r>
    </w:p>
    <w:p w14:paraId="5EE2F771">
      <w:pPr>
        <w:snapToGrid w:val="0"/>
        <w:spacing w:line="340" w:lineRule="atLeast"/>
        <w:rPr>
          <w:color w:val="auto"/>
          <w:szCs w:val="21"/>
        </w:rPr>
      </w:pPr>
      <w:r>
        <w:rPr>
          <w:b/>
          <w:bCs/>
          <w:color w:val="auto"/>
          <w:szCs w:val="21"/>
        </w:rPr>
        <w:t>15.9.8</w:t>
      </w:r>
      <w:r>
        <w:rPr>
          <w:color w:val="auto"/>
          <w:szCs w:val="21"/>
        </w:rPr>
        <w:t xml:space="preserve">  对易于软化的岩、土地基，基坑（槽）开挖后严禁水浸泡。可采取预留100mm至200mm保护层，经验槽合格后清除保护层，</w:t>
      </w:r>
      <w:r>
        <w:rPr>
          <w:rFonts w:hint="eastAsia"/>
          <w:color w:val="auto"/>
          <w:szCs w:val="21"/>
        </w:rPr>
        <w:t>及时</w:t>
      </w:r>
      <w:r>
        <w:rPr>
          <w:color w:val="auto"/>
          <w:szCs w:val="21"/>
        </w:rPr>
        <w:t>施工混凝土垫层。</w:t>
      </w:r>
    </w:p>
    <w:p w14:paraId="5BCA4A4B">
      <w:pPr>
        <w:snapToGrid w:val="0"/>
        <w:spacing w:line="340" w:lineRule="atLeast"/>
        <w:rPr>
          <w:color w:val="auto"/>
          <w:szCs w:val="21"/>
        </w:rPr>
      </w:pPr>
      <w:r>
        <w:rPr>
          <w:b/>
          <w:bCs/>
          <w:color w:val="auto"/>
          <w:szCs w:val="21"/>
        </w:rPr>
        <w:t>15.9.9</w:t>
      </w:r>
      <w:r>
        <w:rPr>
          <w:color w:val="auto"/>
          <w:szCs w:val="21"/>
        </w:rPr>
        <w:t xml:space="preserve">  未经治理的边坡上、下缘及洪水或潜在地质灾害可能影响范围内</w:t>
      </w:r>
      <w:r>
        <w:rPr>
          <w:rFonts w:hint="eastAsia"/>
          <w:color w:val="auto"/>
          <w:szCs w:val="21"/>
        </w:rPr>
        <w:t>，</w:t>
      </w:r>
      <w:r>
        <w:rPr>
          <w:color w:val="auto"/>
          <w:szCs w:val="21"/>
        </w:rPr>
        <w:t>不</w:t>
      </w:r>
      <w:r>
        <w:rPr>
          <w:rFonts w:hint="eastAsia"/>
          <w:color w:val="auto"/>
          <w:szCs w:val="21"/>
        </w:rPr>
        <w:t>得</w:t>
      </w:r>
      <w:r>
        <w:rPr>
          <w:color w:val="auto"/>
          <w:szCs w:val="21"/>
        </w:rPr>
        <w:t>布置施工用的临时设施（工棚）或堆放重要设备。</w:t>
      </w:r>
    </w:p>
    <w:p w14:paraId="3DB2BFCE">
      <w:pPr>
        <w:snapToGrid w:val="0"/>
        <w:spacing w:line="340" w:lineRule="atLeast"/>
        <w:rPr>
          <w:color w:val="auto"/>
          <w:szCs w:val="21"/>
        </w:rPr>
      </w:pPr>
      <w:r>
        <w:rPr>
          <w:b/>
          <w:bCs/>
          <w:color w:val="auto"/>
          <w:szCs w:val="21"/>
        </w:rPr>
        <w:t>15.9.10</w:t>
      </w:r>
      <w:r>
        <w:rPr>
          <w:color w:val="auto"/>
          <w:szCs w:val="21"/>
        </w:rPr>
        <w:t xml:space="preserve">  山区边坡工程施工、质量检验、监测及验收，应符合GB</w:t>
      </w:r>
      <w:r>
        <w:rPr>
          <w:rFonts w:hint="eastAsia"/>
          <w:color w:val="auto"/>
          <w:szCs w:val="21"/>
          <w:lang w:val="en-US" w:eastAsia="zh-CN"/>
        </w:rPr>
        <w:t xml:space="preserve"> </w:t>
      </w:r>
      <w:r>
        <w:rPr>
          <w:color w:val="auto"/>
          <w:szCs w:val="21"/>
        </w:rPr>
        <w:t>50330的有关规定。</w:t>
      </w:r>
    </w:p>
    <w:p w14:paraId="699A4AE4">
      <w:pPr>
        <w:adjustRightInd w:val="0"/>
        <w:snapToGrid w:val="0"/>
        <w:spacing w:line="340" w:lineRule="atLeast"/>
        <w:rPr>
          <w:color w:val="auto"/>
          <w:szCs w:val="21"/>
        </w:rPr>
      </w:pPr>
    </w:p>
    <w:p w14:paraId="5766A070">
      <w:pPr>
        <w:pStyle w:val="54"/>
        <w:numPr>
          <w:ilvl w:val="1"/>
          <w:numId w:val="1"/>
        </w:numPr>
        <w:adjustRightInd w:val="0"/>
        <w:snapToGrid w:val="0"/>
        <w:spacing w:line="340" w:lineRule="exact"/>
        <w:ind w:firstLineChars="0"/>
        <w:outlineLvl w:val="1"/>
        <w:rPr>
          <w:rFonts w:eastAsia="黑体"/>
          <w:b/>
          <w:bCs/>
          <w:color w:val="auto"/>
          <w:szCs w:val="21"/>
        </w:rPr>
      </w:pPr>
      <w:bookmarkStart w:id="93" w:name="_Toc199943636"/>
      <w:r>
        <w:rPr>
          <w:rFonts w:eastAsia="黑体"/>
          <w:b/>
          <w:bCs/>
          <w:color w:val="auto"/>
          <w:szCs w:val="21"/>
        </w:rPr>
        <w:t>其他灌注桩施工要点</w:t>
      </w:r>
      <w:bookmarkEnd w:id="93"/>
    </w:p>
    <w:p w14:paraId="0F7E95DC">
      <w:pPr>
        <w:rPr>
          <w:color w:val="auto"/>
        </w:rPr>
      </w:pPr>
    </w:p>
    <w:p w14:paraId="67F603A2">
      <w:pPr>
        <w:adjustRightInd w:val="0"/>
        <w:snapToGrid w:val="0"/>
        <w:spacing w:line="360" w:lineRule="atLeast"/>
        <w:rPr>
          <w:color w:val="auto"/>
          <w:szCs w:val="21"/>
        </w:rPr>
      </w:pPr>
      <w:r>
        <w:rPr>
          <w:b/>
          <w:bCs/>
          <w:color w:val="auto"/>
          <w:szCs w:val="21"/>
        </w:rPr>
        <w:t>15.10.1</w:t>
      </w:r>
      <w:r>
        <w:rPr>
          <w:color w:val="auto"/>
          <w:szCs w:val="21"/>
        </w:rPr>
        <w:t xml:space="preserve">  人工挖孔桩施工要点：</w:t>
      </w:r>
    </w:p>
    <w:p w14:paraId="6758C4F9">
      <w:pPr>
        <w:adjustRightInd w:val="0"/>
        <w:snapToGrid w:val="0"/>
        <w:spacing w:line="360" w:lineRule="atLeast"/>
        <w:ind w:firstLine="422" w:firstLineChars="200"/>
        <w:rPr>
          <w:color w:val="auto"/>
          <w:szCs w:val="21"/>
        </w:rPr>
      </w:pPr>
      <w:r>
        <w:rPr>
          <w:b/>
          <w:bCs/>
          <w:color w:val="auto"/>
          <w:szCs w:val="21"/>
        </w:rPr>
        <w:t xml:space="preserve">a)  </w:t>
      </w:r>
      <w:r>
        <w:rPr>
          <w:color w:val="auto"/>
          <w:szCs w:val="21"/>
        </w:rPr>
        <w:t>桩端置于老黏土、残积土或</w:t>
      </w:r>
      <w:r>
        <w:rPr>
          <w:rFonts w:hint="eastAsia"/>
          <w:color w:val="auto"/>
          <w:szCs w:val="21"/>
        </w:rPr>
        <w:t>软</w:t>
      </w:r>
      <w:r>
        <w:rPr>
          <w:color w:val="auto"/>
          <w:szCs w:val="21"/>
        </w:rPr>
        <w:t>质岩时，应采取防止桩端岩土软化的措施，并及时浇注封底混凝土。</w:t>
      </w:r>
    </w:p>
    <w:p w14:paraId="4535A507">
      <w:pPr>
        <w:adjustRightInd w:val="0"/>
        <w:snapToGrid w:val="0"/>
        <w:spacing w:line="360" w:lineRule="atLeast"/>
        <w:ind w:firstLine="422" w:firstLineChars="200"/>
        <w:rPr>
          <w:color w:val="auto"/>
          <w:szCs w:val="21"/>
        </w:rPr>
      </w:pPr>
      <w:r>
        <w:rPr>
          <w:b/>
          <w:bCs/>
          <w:color w:val="auto"/>
          <w:szCs w:val="21"/>
        </w:rPr>
        <w:t xml:space="preserve">b)  </w:t>
      </w:r>
      <w:r>
        <w:rPr>
          <w:color w:val="auto"/>
          <w:szCs w:val="21"/>
        </w:rPr>
        <w:t>人工挖孔桩（墩）应采取有效的通风措施以防止有害气体及液体等对人体产生伤害。孔内必须采用低压照明。</w:t>
      </w:r>
    </w:p>
    <w:p w14:paraId="60FE5950">
      <w:pPr>
        <w:adjustRightInd w:val="0"/>
        <w:snapToGrid w:val="0"/>
        <w:spacing w:line="360" w:lineRule="atLeast"/>
        <w:ind w:firstLine="422" w:firstLineChars="200"/>
        <w:rPr>
          <w:color w:val="auto"/>
          <w:szCs w:val="21"/>
        </w:rPr>
      </w:pPr>
      <w:r>
        <w:rPr>
          <w:b/>
          <w:bCs/>
          <w:color w:val="auto"/>
          <w:szCs w:val="21"/>
        </w:rPr>
        <w:t xml:space="preserve">c)  </w:t>
      </w:r>
      <w:r>
        <w:rPr>
          <w:color w:val="auto"/>
          <w:szCs w:val="21"/>
        </w:rPr>
        <w:t>挖出的土应及时清除外运，不得堆放在孔口附近。</w:t>
      </w:r>
    </w:p>
    <w:p w14:paraId="4BBE76B5">
      <w:pPr>
        <w:adjustRightInd w:val="0"/>
        <w:snapToGrid w:val="0"/>
        <w:spacing w:line="360" w:lineRule="atLeast"/>
        <w:ind w:firstLine="422" w:firstLineChars="200"/>
        <w:rPr>
          <w:color w:val="auto"/>
          <w:szCs w:val="21"/>
        </w:rPr>
      </w:pPr>
      <w:r>
        <w:rPr>
          <w:b/>
          <w:bCs/>
          <w:color w:val="auto"/>
          <w:szCs w:val="21"/>
        </w:rPr>
        <w:t xml:space="preserve">d)  </w:t>
      </w:r>
      <w:r>
        <w:rPr>
          <w:color w:val="auto"/>
          <w:szCs w:val="21"/>
        </w:rPr>
        <w:t>人工挖孔桩应采用混凝土护壁，护壁厚度不应小于100mm，混凝土强度等级不应低于桩身混凝土强度等级，并配置直径不小于8mm钢筋。</w:t>
      </w:r>
    </w:p>
    <w:p w14:paraId="4F283EBA">
      <w:pPr>
        <w:adjustRightInd w:val="0"/>
        <w:snapToGrid w:val="0"/>
        <w:spacing w:line="340" w:lineRule="atLeast"/>
        <w:ind w:firstLine="422" w:firstLineChars="200"/>
        <w:rPr>
          <w:color w:val="auto"/>
          <w:szCs w:val="21"/>
        </w:rPr>
      </w:pPr>
      <w:r>
        <w:rPr>
          <w:b/>
          <w:bCs/>
          <w:color w:val="auto"/>
          <w:szCs w:val="21"/>
        </w:rPr>
        <w:t xml:space="preserve">e)  </w:t>
      </w:r>
      <w:r>
        <w:rPr>
          <w:color w:val="auto"/>
          <w:szCs w:val="21"/>
        </w:rPr>
        <w:t>在地下水位较高的土层中施工时，必须采取可靠的技术措施和安全措施</w:t>
      </w:r>
      <w:r>
        <w:rPr>
          <w:rFonts w:hint="eastAsia"/>
          <w:color w:val="auto"/>
          <w:szCs w:val="21"/>
        </w:rPr>
        <w:t>，防止孔内积水及孔壁渗水，保证混凝土质量</w:t>
      </w:r>
      <w:r>
        <w:rPr>
          <w:color w:val="auto"/>
          <w:szCs w:val="21"/>
        </w:rPr>
        <w:t>。</w:t>
      </w:r>
    </w:p>
    <w:p w14:paraId="2F187B9C">
      <w:pPr>
        <w:adjustRightInd w:val="0"/>
        <w:snapToGrid w:val="0"/>
        <w:spacing w:line="340" w:lineRule="atLeast"/>
        <w:ind w:firstLine="422" w:firstLineChars="200"/>
        <w:rPr>
          <w:color w:val="auto"/>
          <w:szCs w:val="21"/>
        </w:rPr>
      </w:pPr>
      <w:r>
        <w:rPr>
          <w:b/>
          <w:bCs/>
          <w:color w:val="auto"/>
          <w:szCs w:val="21"/>
        </w:rPr>
        <w:t xml:space="preserve">f)  </w:t>
      </w:r>
      <w:r>
        <w:rPr>
          <w:color w:val="auto"/>
          <w:szCs w:val="21"/>
        </w:rPr>
        <w:t>浇注混凝土时，应采用串筒浇注</w:t>
      </w:r>
      <w:r>
        <w:rPr>
          <w:rFonts w:hint="eastAsia"/>
          <w:color w:val="auto"/>
          <w:szCs w:val="21"/>
        </w:rPr>
        <w:t>，</w:t>
      </w:r>
      <w:r>
        <w:rPr>
          <w:color w:val="auto"/>
          <w:szCs w:val="21"/>
        </w:rPr>
        <w:t>分层振捣，不得将混凝土直接倾倒入桩孔中。</w:t>
      </w:r>
    </w:p>
    <w:p w14:paraId="5F7C861F">
      <w:pPr>
        <w:adjustRightInd w:val="0"/>
        <w:snapToGrid w:val="0"/>
        <w:spacing w:line="340" w:lineRule="atLeast"/>
        <w:ind w:firstLine="422" w:firstLineChars="200"/>
        <w:rPr>
          <w:color w:val="auto"/>
          <w:szCs w:val="21"/>
        </w:rPr>
      </w:pPr>
      <w:r>
        <w:rPr>
          <w:b/>
          <w:bCs/>
          <w:color w:val="auto"/>
          <w:szCs w:val="21"/>
        </w:rPr>
        <w:t>g)</w:t>
      </w:r>
      <w:r>
        <w:rPr>
          <w:color w:val="auto"/>
          <w:szCs w:val="21"/>
        </w:rPr>
        <w:t xml:space="preserve">  人工挖孔桩采用间隔跳挖、间隔浇注施工。</w:t>
      </w:r>
      <w:r>
        <w:rPr>
          <w:rFonts w:hint="eastAsia"/>
          <w:color w:val="auto"/>
          <w:szCs w:val="21"/>
        </w:rPr>
        <w:t>不得在填土和软土中扩孔。</w:t>
      </w:r>
    </w:p>
    <w:p w14:paraId="07CC2A43">
      <w:pPr>
        <w:adjustRightInd w:val="0"/>
        <w:snapToGrid w:val="0"/>
        <w:spacing w:line="340" w:lineRule="atLeast"/>
        <w:rPr>
          <w:color w:val="auto"/>
          <w:szCs w:val="21"/>
        </w:rPr>
      </w:pPr>
      <w:r>
        <w:rPr>
          <w:b/>
          <w:bCs/>
          <w:color w:val="auto"/>
          <w:szCs w:val="21"/>
        </w:rPr>
        <w:t>15.10.2</w:t>
      </w:r>
      <w:r>
        <w:rPr>
          <w:color w:val="auto"/>
          <w:szCs w:val="21"/>
        </w:rPr>
        <w:t xml:space="preserve">  冲孔桩施工要点：</w:t>
      </w:r>
    </w:p>
    <w:p w14:paraId="6AB9EB2B">
      <w:pPr>
        <w:adjustRightInd w:val="0"/>
        <w:snapToGrid w:val="0"/>
        <w:spacing w:line="340" w:lineRule="atLeast"/>
        <w:ind w:firstLine="422" w:firstLineChars="200"/>
        <w:rPr>
          <w:color w:val="auto"/>
          <w:szCs w:val="21"/>
        </w:rPr>
      </w:pPr>
      <w:r>
        <w:rPr>
          <w:b/>
          <w:bCs/>
          <w:color w:val="auto"/>
          <w:szCs w:val="21"/>
        </w:rPr>
        <w:t xml:space="preserve">a)  </w:t>
      </w:r>
      <w:r>
        <w:rPr>
          <w:color w:val="auto"/>
          <w:szCs w:val="21"/>
        </w:rPr>
        <w:t>冲击成孔时应掌握周边各种建筑和地下设施的资料，并采取有效的保护措施。</w:t>
      </w:r>
    </w:p>
    <w:p w14:paraId="41977417">
      <w:pPr>
        <w:adjustRightInd w:val="0"/>
        <w:snapToGrid w:val="0"/>
        <w:spacing w:line="340" w:lineRule="atLeast"/>
        <w:ind w:firstLine="422" w:firstLineChars="200"/>
        <w:rPr>
          <w:color w:val="auto"/>
          <w:szCs w:val="21"/>
        </w:rPr>
      </w:pPr>
      <w:r>
        <w:rPr>
          <w:b/>
          <w:bCs/>
          <w:color w:val="auto"/>
          <w:szCs w:val="21"/>
        </w:rPr>
        <w:t>b)</w:t>
      </w:r>
      <w:r>
        <w:rPr>
          <w:color w:val="auto"/>
          <w:szCs w:val="21"/>
        </w:rPr>
        <w:t xml:space="preserve">  大直径冲击成孔灌注桩施工时可逐级冲击成孔，第一级成孔直径为设计桩径的0.6倍～0.8倍。</w:t>
      </w:r>
    </w:p>
    <w:p w14:paraId="001C456D">
      <w:pPr>
        <w:adjustRightInd w:val="0"/>
        <w:snapToGrid w:val="0"/>
        <w:spacing w:line="340" w:lineRule="atLeast"/>
        <w:ind w:firstLine="422" w:firstLineChars="200"/>
        <w:rPr>
          <w:color w:val="auto"/>
          <w:szCs w:val="21"/>
        </w:rPr>
      </w:pPr>
      <w:r>
        <w:rPr>
          <w:b/>
          <w:bCs/>
          <w:color w:val="auto"/>
          <w:szCs w:val="21"/>
        </w:rPr>
        <w:t>c)</w:t>
      </w:r>
      <w:r>
        <w:rPr>
          <w:color w:val="auto"/>
          <w:szCs w:val="21"/>
        </w:rPr>
        <w:t xml:space="preserve">  在钻头锥顶和提升绳之间应设置保证钻头自动转向的装置。</w:t>
      </w:r>
    </w:p>
    <w:p w14:paraId="24823007">
      <w:pPr>
        <w:adjustRightInd w:val="0"/>
        <w:snapToGrid w:val="0"/>
        <w:spacing w:line="340" w:lineRule="atLeast"/>
        <w:ind w:firstLine="422" w:firstLineChars="200"/>
        <w:rPr>
          <w:color w:val="auto"/>
          <w:szCs w:val="21"/>
        </w:rPr>
      </w:pPr>
      <w:r>
        <w:rPr>
          <w:b/>
          <w:bCs/>
          <w:color w:val="auto"/>
          <w:szCs w:val="21"/>
        </w:rPr>
        <w:t>d)</w:t>
      </w:r>
      <w:r>
        <w:rPr>
          <w:color w:val="auto"/>
          <w:szCs w:val="21"/>
        </w:rPr>
        <w:t xml:space="preserve">  开孔时低锤密击，卵石及基岩层大冲程低频冲击。</w:t>
      </w:r>
    </w:p>
    <w:p w14:paraId="19BD9A1B">
      <w:pPr>
        <w:adjustRightInd w:val="0"/>
        <w:snapToGrid w:val="0"/>
        <w:spacing w:line="340" w:lineRule="atLeast"/>
        <w:ind w:firstLine="422" w:firstLineChars="200"/>
        <w:rPr>
          <w:color w:val="auto"/>
          <w:szCs w:val="21"/>
        </w:rPr>
      </w:pPr>
      <w:r>
        <w:rPr>
          <w:b/>
          <w:bCs/>
          <w:color w:val="auto"/>
          <w:szCs w:val="21"/>
        </w:rPr>
        <w:t>e)</w:t>
      </w:r>
      <w:r>
        <w:rPr>
          <w:color w:val="auto"/>
          <w:szCs w:val="21"/>
        </w:rPr>
        <w:t xml:space="preserve">  冲孔桩应采取有效的技术措施，保证孔壁稳定及二次清孔效果，确保桩底沉渣厚度小于规定的要求。</w:t>
      </w:r>
    </w:p>
    <w:p w14:paraId="2831A676">
      <w:pPr>
        <w:adjustRightInd w:val="0"/>
        <w:snapToGrid w:val="0"/>
        <w:spacing w:line="340" w:lineRule="atLeast"/>
        <w:rPr>
          <w:color w:val="auto"/>
          <w:szCs w:val="21"/>
        </w:rPr>
      </w:pPr>
      <w:r>
        <w:rPr>
          <w:b/>
          <w:bCs/>
          <w:color w:val="auto"/>
          <w:szCs w:val="21"/>
        </w:rPr>
        <w:t>15.10.3</w:t>
      </w:r>
      <w:r>
        <w:rPr>
          <w:color w:val="auto"/>
          <w:szCs w:val="21"/>
        </w:rPr>
        <w:t xml:space="preserve">  沉管灌注桩施工要点：</w:t>
      </w:r>
    </w:p>
    <w:p w14:paraId="3B4B98D2">
      <w:pPr>
        <w:adjustRightInd w:val="0"/>
        <w:snapToGrid w:val="0"/>
        <w:spacing w:line="340" w:lineRule="atLeast"/>
        <w:ind w:firstLine="422" w:firstLineChars="200"/>
        <w:rPr>
          <w:color w:val="auto"/>
          <w:szCs w:val="21"/>
        </w:rPr>
      </w:pPr>
      <w:r>
        <w:rPr>
          <w:b/>
          <w:bCs/>
          <w:color w:val="auto"/>
          <w:szCs w:val="21"/>
        </w:rPr>
        <w:t xml:space="preserve">a)  </w:t>
      </w:r>
      <w:r>
        <w:rPr>
          <w:color w:val="auto"/>
          <w:szCs w:val="21"/>
        </w:rPr>
        <w:t>混凝土桩尖应有足够的强度、刚度、准确的外形尺寸，并保证桩管和桩尖的接触部位的密封性能，防止桩尖破损、桩管吞桩尖以及管中进水等情况的发生。</w:t>
      </w:r>
    </w:p>
    <w:p w14:paraId="3709A0C5">
      <w:pPr>
        <w:adjustRightInd w:val="0"/>
        <w:snapToGrid w:val="0"/>
        <w:spacing w:line="340" w:lineRule="atLeast"/>
        <w:ind w:firstLine="422" w:firstLineChars="200"/>
        <w:rPr>
          <w:color w:val="auto"/>
          <w:szCs w:val="21"/>
        </w:rPr>
      </w:pPr>
      <w:r>
        <w:rPr>
          <w:b/>
          <w:bCs/>
          <w:color w:val="auto"/>
          <w:szCs w:val="21"/>
        </w:rPr>
        <w:t xml:space="preserve">b)  </w:t>
      </w:r>
      <w:r>
        <w:rPr>
          <w:color w:val="auto"/>
          <w:szCs w:val="21"/>
        </w:rPr>
        <w:t>当桩端处在软硬土互层的地层时，除应满足桩长要求以外，还应满足贯入度的要求。</w:t>
      </w:r>
    </w:p>
    <w:p w14:paraId="4273C946">
      <w:pPr>
        <w:adjustRightInd w:val="0"/>
        <w:snapToGrid w:val="0"/>
        <w:spacing w:line="340" w:lineRule="atLeast"/>
        <w:ind w:firstLine="422" w:firstLineChars="200"/>
        <w:rPr>
          <w:color w:val="auto"/>
          <w:szCs w:val="21"/>
        </w:rPr>
      </w:pPr>
      <w:r>
        <w:rPr>
          <w:b/>
          <w:bCs/>
          <w:color w:val="auto"/>
          <w:szCs w:val="21"/>
        </w:rPr>
        <w:t xml:space="preserve">c)  </w:t>
      </w:r>
      <w:r>
        <w:rPr>
          <w:color w:val="auto"/>
          <w:szCs w:val="21"/>
        </w:rPr>
        <w:t>在软弱土层中，振动沉管灌注桩应当减缓拔管速度，并减少拔管高度和反插深度，淤泥中不宜使用反插法。</w:t>
      </w:r>
    </w:p>
    <w:p w14:paraId="14312F8C">
      <w:pPr>
        <w:adjustRightInd w:val="0"/>
        <w:snapToGrid w:val="0"/>
        <w:spacing w:line="340" w:lineRule="atLeast"/>
        <w:ind w:firstLine="422" w:firstLineChars="200"/>
        <w:rPr>
          <w:color w:val="auto"/>
          <w:szCs w:val="21"/>
        </w:rPr>
      </w:pPr>
      <w:r>
        <w:rPr>
          <w:b/>
          <w:bCs/>
          <w:color w:val="auto"/>
          <w:szCs w:val="21"/>
        </w:rPr>
        <w:t xml:space="preserve">d)  </w:t>
      </w:r>
      <w:r>
        <w:rPr>
          <w:rFonts w:hint="eastAsia"/>
          <w:color w:val="auto"/>
          <w:szCs w:val="21"/>
        </w:rPr>
        <w:t>应严格控制混凝土的坍落度，</w:t>
      </w:r>
      <w:r>
        <w:rPr>
          <w:color w:val="auto"/>
          <w:szCs w:val="21"/>
        </w:rPr>
        <w:t>混凝土充盈系数不应小于1.0，对于混凝土充盈系数小于1.0的桩，应全长复打；对有可能出现断桩、缩颈的桩应采用局部复打。成桩后的桩身混凝土顶面标高应高于桩顶设计标高</w:t>
      </w:r>
      <w:r>
        <w:rPr>
          <w:rFonts w:hint="eastAsia"/>
          <w:color w:val="auto"/>
          <w:szCs w:val="21"/>
        </w:rPr>
        <w:t>不少于</w:t>
      </w:r>
      <w:r>
        <w:rPr>
          <w:color w:val="auto"/>
          <w:szCs w:val="21"/>
        </w:rPr>
        <w:t>0.6m，全长复打的桩入土深度宜接近原桩长，局部复打应超过断桩或缩颈的部分以下0.6m。</w:t>
      </w:r>
    </w:p>
    <w:p w14:paraId="79E22603">
      <w:pPr>
        <w:adjustRightInd w:val="0"/>
        <w:snapToGrid w:val="0"/>
        <w:spacing w:line="340" w:lineRule="atLeast"/>
        <w:rPr>
          <w:color w:val="auto"/>
          <w:szCs w:val="21"/>
        </w:rPr>
      </w:pPr>
      <w:r>
        <w:rPr>
          <w:b/>
          <w:bCs/>
          <w:color w:val="auto"/>
          <w:szCs w:val="21"/>
        </w:rPr>
        <w:t>15.10.4</w:t>
      </w:r>
      <w:r>
        <w:rPr>
          <w:color w:val="auto"/>
          <w:szCs w:val="21"/>
        </w:rPr>
        <w:t xml:space="preserve">  夯扩桩施工要点：</w:t>
      </w:r>
    </w:p>
    <w:p w14:paraId="40388BDE">
      <w:pPr>
        <w:adjustRightInd w:val="0"/>
        <w:snapToGrid w:val="0"/>
        <w:spacing w:line="340" w:lineRule="atLeast"/>
        <w:ind w:firstLine="422" w:firstLineChars="200"/>
        <w:rPr>
          <w:color w:val="auto"/>
          <w:szCs w:val="21"/>
        </w:rPr>
      </w:pPr>
      <w:r>
        <w:rPr>
          <w:b/>
          <w:bCs/>
          <w:color w:val="auto"/>
          <w:szCs w:val="21"/>
        </w:rPr>
        <w:t xml:space="preserve">a)  </w:t>
      </w:r>
      <w:r>
        <w:rPr>
          <w:color w:val="auto"/>
          <w:szCs w:val="21"/>
        </w:rPr>
        <w:t>应综合考虑桩长、穿透土层及持力层性质、桩径、设计承载力等因素选择合适的桩锤。</w:t>
      </w:r>
    </w:p>
    <w:p w14:paraId="79D697E5">
      <w:pPr>
        <w:adjustRightInd w:val="0"/>
        <w:snapToGrid w:val="0"/>
        <w:spacing w:line="340" w:lineRule="atLeast"/>
        <w:ind w:firstLine="422" w:firstLineChars="200"/>
        <w:rPr>
          <w:color w:val="auto"/>
          <w:szCs w:val="21"/>
        </w:rPr>
      </w:pPr>
      <w:r>
        <w:rPr>
          <w:b/>
          <w:bCs/>
          <w:color w:val="auto"/>
          <w:szCs w:val="21"/>
        </w:rPr>
        <w:t xml:space="preserve">b)  </w:t>
      </w:r>
      <w:r>
        <w:rPr>
          <w:color w:val="auto"/>
          <w:szCs w:val="21"/>
        </w:rPr>
        <w:t>夯扩桩施工扩大头时，如出现桩管反弹现象，可采用干硬性混凝土进行扩大头施工。</w:t>
      </w:r>
    </w:p>
    <w:p w14:paraId="1ACFFA13">
      <w:pPr>
        <w:adjustRightInd w:val="0"/>
        <w:snapToGrid w:val="0"/>
        <w:spacing w:line="340" w:lineRule="atLeast"/>
        <w:ind w:firstLine="422" w:firstLineChars="200"/>
        <w:rPr>
          <w:color w:val="auto"/>
          <w:szCs w:val="21"/>
        </w:rPr>
      </w:pPr>
      <w:r>
        <w:rPr>
          <w:b/>
          <w:bCs/>
          <w:color w:val="auto"/>
          <w:szCs w:val="21"/>
        </w:rPr>
        <w:t xml:space="preserve">c)  </w:t>
      </w:r>
      <w:r>
        <w:rPr>
          <w:color w:val="auto"/>
          <w:szCs w:val="21"/>
        </w:rPr>
        <w:t>夯扩桩拔外管时如出现内管随着外管上升的现象，应立即停止拔管，采取适当方式进行处理，并应进行重点检测。</w:t>
      </w:r>
    </w:p>
    <w:p w14:paraId="460AC92B">
      <w:pPr>
        <w:adjustRightInd w:val="0"/>
        <w:snapToGrid w:val="0"/>
        <w:spacing w:line="340" w:lineRule="atLeast"/>
        <w:rPr>
          <w:color w:val="auto"/>
          <w:szCs w:val="21"/>
        </w:rPr>
      </w:pPr>
      <w:r>
        <w:rPr>
          <w:b/>
          <w:bCs/>
          <w:color w:val="auto"/>
          <w:szCs w:val="21"/>
        </w:rPr>
        <w:t>15.10.5</w:t>
      </w:r>
      <w:r>
        <w:rPr>
          <w:color w:val="auto"/>
          <w:szCs w:val="21"/>
        </w:rPr>
        <w:t xml:space="preserve">  </w:t>
      </w:r>
      <w:r>
        <w:rPr>
          <w:rFonts w:hint="eastAsia"/>
          <w:color w:val="auto"/>
          <w:szCs w:val="21"/>
        </w:rPr>
        <w:t>载体</w:t>
      </w:r>
      <w:r>
        <w:rPr>
          <w:color w:val="auto"/>
          <w:szCs w:val="21"/>
        </w:rPr>
        <w:t>桩施工要点：</w:t>
      </w:r>
    </w:p>
    <w:p w14:paraId="3A5CA84A">
      <w:pPr>
        <w:adjustRightInd w:val="0"/>
        <w:snapToGrid w:val="0"/>
        <w:spacing w:line="340" w:lineRule="atLeast"/>
        <w:ind w:firstLine="422" w:firstLineChars="200"/>
        <w:rPr>
          <w:color w:val="auto"/>
          <w:szCs w:val="21"/>
        </w:rPr>
      </w:pPr>
      <w:r>
        <w:rPr>
          <w:b/>
          <w:bCs/>
          <w:color w:val="auto"/>
          <w:szCs w:val="21"/>
        </w:rPr>
        <w:t xml:space="preserve">a)  </w:t>
      </w:r>
      <w:r>
        <w:rPr>
          <w:rFonts w:hint="eastAsia"/>
          <w:color w:val="auto"/>
          <w:szCs w:val="21"/>
        </w:rPr>
        <w:t>根据地质条件、建筑物结构荷载需求、场地施工条件等因素选择合适的载体桩施工工法。</w:t>
      </w:r>
    </w:p>
    <w:p w14:paraId="490C09B7">
      <w:pPr>
        <w:adjustRightInd w:val="0"/>
        <w:snapToGrid w:val="0"/>
        <w:spacing w:line="340" w:lineRule="atLeast"/>
        <w:ind w:firstLine="422" w:firstLineChars="200"/>
        <w:rPr>
          <w:color w:val="auto"/>
          <w:szCs w:val="21"/>
        </w:rPr>
      </w:pPr>
      <w:r>
        <w:rPr>
          <w:b/>
          <w:bCs/>
          <w:color w:val="auto"/>
          <w:szCs w:val="21"/>
        </w:rPr>
        <w:t xml:space="preserve">b)  </w:t>
      </w:r>
      <w:r>
        <w:rPr>
          <w:rFonts w:hint="eastAsia"/>
          <w:color w:val="auto"/>
          <w:szCs w:val="21"/>
        </w:rPr>
        <w:t>高层建筑采用载体桩，应采用取土引孔工艺，即通过长螺旋或旋挖设备进行取土引孔，然后置入钢护筒护壁，再进行载体和桩身的施工。</w:t>
      </w:r>
    </w:p>
    <w:p w14:paraId="2239CDB8">
      <w:pPr>
        <w:adjustRightInd w:val="0"/>
        <w:snapToGrid w:val="0"/>
        <w:spacing w:line="340" w:lineRule="atLeast"/>
        <w:ind w:firstLine="422" w:firstLineChars="200"/>
        <w:rPr>
          <w:color w:val="auto"/>
          <w:szCs w:val="21"/>
        </w:rPr>
      </w:pPr>
      <w:r>
        <w:rPr>
          <w:b/>
          <w:bCs/>
          <w:color w:val="auto"/>
          <w:szCs w:val="21"/>
        </w:rPr>
        <w:t xml:space="preserve">c)  </w:t>
      </w:r>
      <w:r>
        <w:rPr>
          <w:rFonts w:hint="eastAsia"/>
          <w:color w:val="auto"/>
          <w:szCs w:val="21"/>
        </w:rPr>
        <w:t>载体桩对载体进行施工时，应采用自动化夯击设备，即通过输入施工参数，计算机控制系统自动控制提锤夯击、自动测量每击贯入度和自动测量三击贯入度，以确保载体的施工质量和效率。</w:t>
      </w:r>
    </w:p>
    <w:p w14:paraId="5684DE70">
      <w:pPr>
        <w:adjustRightInd w:val="0"/>
        <w:snapToGrid w:val="0"/>
        <w:spacing w:line="340" w:lineRule="atLeast"/>
        <w:jc w:val="center"/>
        <w:rPr>
          <w:color w:val="auto"/>
          <w:szCs w:val="21"/>
        </w:rPr>
      </w:pPr>
    </w:p>
    <w:p w14:paraId="35B5CBC1">
      <w:pPr>
        <w:numPr>
          <w:ilvl w:val="0"/>
          <w:numId w:val="1"/>
        </w:numPr>
        <w:adjustRightInd w:val="0"/>
        <w:snapToGrid w:val="0"/>
        <w:outlineLvl w:val="0"/>
        <w:rPr>
          <w:rFonts w:eastAsia="黑体"/>
          <w:b/>
          <w:snapToGrid w:val="0"/>
          <w:color w:val="auto"/>
          <w:sz w:val="24"/>
        </w:rPr>
      </w:pPr>
      <w:bookmarkStart w:id="94" w:name="_Toc199943637"/>
      <w:r>
        <w:rPr>
          <w:rFonts w:eastAsia="黑体"/>
          <w:b/>
          <w:bCs/>
          <w:color w:val="auto"/>
          <w:sz w:val="24"/>
        </w:rPr>
        <w:t>轨道交通</w:t>
      </w:r>
      <w:r>
        <w:rPr>
          <w:rFonts w:hint="eastAsia" w:eastAsia="黑体"/>
          <w:b/>
          <w:bCs/>
          <w:color w:val="auto"/>
          <w:sz w:val="24"/>
        </w:rPr>
        <w:t>工程</w:t>
      </w:r>
      <w:r>
        <w:rPr>
          <w:rFonts w:eastAsia="黑体"/>
          <w:b/>
          <w:bCs/>
          <w:color w:val="auto"/>
          <w:sz w:val="24"/>
        </w:rPr>
        <w:t>与邻近建筑</w:t>
      </w:r>
      <w:bookmarkEnd w:id="94"/>
    </w:p>
    <w:p w14:paraId="334A4ED4">
      <w:pPr>
        <w:adjustRightInd w:val="0"/>
        <w:snapToGrid w:val="0"/>
        <w:spacing w:line="264" w:lineRule="auto"/>
        <w:jc w:val="center"/>
        <w:rPr>
          <w:rFonts w:eastAsia="黑体"/>
          <w:b/>
          <w:bCs/>
          <w:color w:val="auto"/>
          <w:szCs w:val="21"/>
        </w:rPr>
      </w:pPr>
    </w:p>
    <w:p w14:paraId="52E18288">
      <w:pPr>
        <w:rPr>
          <w:color w:val="auto"/>
        </w:rPr>
      </w:pPr>
    </w:p>
    <w:p w14:paraId="343A410F">
      <w:pPr>
        <w:adjustRightInd w:val="0"/>
        <w:snapToGrid w:val="0"/>
        <w:spacing w:line="340" w:lineRule="exact"/>
        <w:outlineLvl w:val="1"/>
        <w:rPr>
          <w:rFonts w:eastAsia="黑体"/>
          <w:b/>
          <w:bCs/>
          <w:color w:val="auto"/>
          <w:szCs w:val="21"/>
        </w:rPr>
      </w:pPr>
      <w:bookmarkStart w:id="95" w:name="_Toc199943638"/>
      <w:r>
        <w:rPr>
          <w:rFonts w:eastAsia="黑体"/>
          <w:b/>
          <w:bCs/>
          <w:color w:val="auto"/>
          <w:szCs w:val="21"/>
        </w:rPr>
        <w:t>16.1</w:t>
      </w:r>
      <w:r>
        <w:rPr>
          <w:rFonts w:hint="eastAsia" w:eastAsia="黑体"/>
          <w:b/>
          <w:bCs/>
          <w:color w:val="auto"/>
          <w:szCs w:val="21"/>
        </w:rPr>
        <w:t xml:space="preserve">  </w:t>
      </w:r>
      <w:r>
        <w:rPr>
          <w:rFonts w:eastAsia="黑体"/>
          <w:b/>
          <w:bCs/>
          <w:color w:val="auto"/>
          <w:szCs w:val="21"/>
        </w:rPr>
        <w:t>一般规定</w:t>
      </w:r>
      <w:bookmarkEnd w:id="95"/>
    </w:p>
    <w:p w14:paraId="7B4ED74D">
      <w:pPr>
        <w:adjustRightInd w:val="0"/>
        <w:snapToGrid w:val="0"/>
        <w:spacing w:line="264" w:lineRule="auto"/>
        <w:jc w:val="center"/>
        <w:rPr>
          <w:rFonts w:eastAsia="黑体"/>
          <w:b/>
          <w:bCs/>
          <w:color w:val="auto"/>
          <w:szCs w:val="21"/>
        </w:rPr>
      </w:pPr>
    </w:p>
    <w:p w14:paraId="461498C8">
      <w:pPr>
        <w:snapToGrid w:val="0"/>
        <w:spacing w:line="360" w:lineRule="atLeast"/>
        <w:rPr>
          <w:color w:val="auto"/>
          <w:szCs w:val="21"/>
        </w:rPr>
      </w:pPr>
      <w:r>
        <w:rPr>
          <w:b/>
          <w:color w:val="auto"/>
          <w:szCs w:val="21"/>
        </w:rPr>
        <w:t>16.1.1</w:t>
      </w:r>
      <w:r>
        <w:rPr>
          <w:color w:val="auto"/>
          <w:szCs w:val="21"/>
        </w:rPr>
        <w:t xml:space="preserve">  轨道交通</w:t>
      </w:r>
      <w:r>
        <w:rPr>
          <w:rFonts w:hint="eastAsia"/>
          <w:color w:val="auto"/>
          <w:szCs w:val="21"/>
        </w:rPr>
        <w:t>工程</w:t>
      </w:r>
      <w:r>
        <w:rPr>
          <w:color w:val="auto"/>
          <w:szCs w:val="21"/>
        </w:rPr>
        <w:t>与邻近建筑包括采用各种施工方法施工的轨道交通车站、区间线路（含高架、地面及地下隧道）、附属地上及地下建筑，以及在轨道交通</w:t>
      </w:r>
      <w:r>
        <w:rPr>
          <w:rFonts w:hint="eastAsia"/>
          <w:color w:val="auto"/>
          <w:szCs w:val="21"/>
        </w:rPr>
        <w:t>工程</w:t>
      </w:r>
      <w:r>
        <w:rPr>
          <w:color w:val="auto"/>
          <w:szCs w:val="21"/>
        </w:rPr>
        <w:t>主体结构及附属建筑物邻近兴建的其他建筑物。</w:t>
      </w:r>
    </w:p>
    <w:p w14:paraId="138C890D">
      <w:pPr>
        <w:snapToGrid w:val="0"/>
        <w:spacing w:line="360" w:lineRule="atLeast"/>
        <w:rPr>
          <w:color w:val="auto"/>
          <w:szCs w:val="21"/>
        </w:rPr>
      </w:pPr>
      <w:r>
        <w:rPr>
          <w:b/>
          <w:color w:val="auto"/>
          <w:szCs w:val="21"/>
        </w:rPr>
        <w:t xml:space="preserve">16.1.2  </w:t>
      </w:r>
      <w:r>
        <w:rPr>
          <w:rFonts w:hint="eastAsia"/>
          <w:color w:val="auto"/>
          <w:szCs w:val="21"/>
        </w:rPr>
        <w:t>轨道交通主体结构工程以及结构损坏会对运营安全有严重影响的结构工程，设计工作年限不应小于 100 年，其他结构工程的设计工作年限不应小于50 年。</w:t>
      </w:r>
    </w:p>
    <w:p w14:paraId="000A21FE">
      <w:pPr>
        <w:snapToGrid w:val="0"/>
        <w:spacing w:line="360" w:lineRule="atLeast"/>
        <w:rPr>
          <w:color w:val="auto"/>
          <w:szCs w:val="21"/>
        </w:rPr>
      </w:pPr>
      <w:r>
        <w:rPr>
          <w:b/>
          <w:color w:val="auto"/>
          <w:szCs w:val="21"/>
        </w:rPr>
        <w:t xml:space="preserve">16.1.3  </w:t>
      </w:r>
      <w:r>
        <w:rPr>
          <w:color w:val="auto"/>
          <w:szCs w:val="21"/>
        </w:rPr>
        <w:t>轨道交通</w:t>
      </w:r>
      <w:r>
        <w:rPr>
          <w:rFonts w:hint="eastAsia"/>
          <w:color w:val="auto"/>
          <w:szCs w:val="21"/>
        </w:rPr>
        <w:t>工程</w:t>
      </w:r>
      <w:r>
        <w:rPr>
          <w:color w:val="auto"/>
          <w:szCs w:val="21"/>
        </w:rPr>
        <w:t>的设计应考虑使用要求、岩土工程条件、周边环境、施工方法等因素，在满足轨道交通</w:t>
      </w:r>
      <w:r>
        <w:rPr>
          <w:rFonts w:hint="eastAsia"/>
          <w:color w:val="auto"/>
          <w:szCs w:val="21"/>
        </w:rPr>
        <w:t>安全和</w:t>
      </w:r>
      <w:r>
        <w:rPr>
          <w:color w:val="auto"/>
          <w:szCs w:val="21"/>
        </w:rPr>
        <w:t>使用要求的前提下，应减少周边管线</w:t>
      </w:r>
      <w:r>
        <w:rPr>
          <w:rFonts w:hint="eastAsia"/>
          <w:color w:val="auto"/>
          <w:szCs w:val="21"/>
        </w:rPr>
        <w:t>的迁改</w:t>
      </w:r>
      <w:r>
        <w:rPr>
          <w:color w:val="auto"/>
          <w:szCs w:val="21"/>
        </w:rPr>
        <w:t>、建筑物的拆改和对周边环境的干扰。</w:t>
      </w:r>
    </w:p>
    <w:p w14:paraId="4C4FD959">
      <w:pPr>
        <w:snapToGrid w:val="0"/>
        <w:spacing w:line="360" w:lineRule="atLeast"/>
        <w:rPr>
          <w:b/>
          <w:color w:val="auto"/>
          <w:szCs w:val="21"/>
        </w:rPr>
      </w:pPr>
      <w:r>
        <w:rPr>
          <w:b/>
          <w:color w:val="auto"/>
          <w:szCs w:val="21"/>
        </w:rPr>
        <w:t xml:space="preserve">16.1.4  </w:t>
      </w:r>
      <w:r>
        <w:rPr>
          <w:color w:val="auto"/>
          <w:szCs w:val="21"/>
        </w:rPr>
        <w:t>轨道交通工程施工时，应对周边既有建筑物及地下管线进行调查，查明建筑物基础形式、埋深、结构完好程度及倾斜率等，必要时对邻近建筑物进行安全鉴定。应根据</w:t>
      </w:r>
      <w:r>
        <w:rPr>
          <w:rFonts w:hint="eastAsia"/>
          <w:color w:val="auto"/>
          <w:szCs w:val="21"/>
        </w:rPr>
        <w:t>空间</w:t>
      </w:r>
      <w:r>
        <w:rPr>
          <w:color w:val="auto"/>
          <w:szCs w:val="21"/>
        </w:rPr>
        <w:t>关系、</w:t>
      </w:r>
      <w:r>
        <w:rPr>
          <w:rFonts w:hint="eastAsia"/>
          <w:color w:val="auto"/>
          <w:szCs w:val="21"/>
        </w:rPr>
        <w:t>地质</w:t>
      </w:r>
      <w:r>
        <w:rPr>
          <w:color w:val="auto"/>
          <w:szCs w:val="21"/>
        </w:rPr>
        <w:t>条件、建筑物基础类型及管线性质等，采取相应保护措施，减小对既有建筑物及管线的影响。</w:t>
      </w:r>
    </w:p>
    <w:p w14:paraId="315BB580">
      <w:pPr>
        <w:snapToGrid w:val="0"/>
        <w:spacing w:line="360" w:lineRule="atLeast"/>
        <w:rPr>
          <w:color w:val="auto"/>
          <w:szCs w:val="21"/>
        </w:rPr>
      </w:pPr>
      <w:r>
        <w:rPr>
          <w:b/>
          <w:color w:val="auto"/>
          <w:szCs w:val="21"/>
        </w:rPr>
        <w:t xml:space="preserve">16.1.5 </w:t>
      </w:r>
      <w:r>
        <w:rPr>
          <w:color w:val="auto"/>
          <w:szCs w:val="21"/>
        </w:rPr>
        <w:t>在邻近轨道交通工程新建地下及地上建筑物时，应严格执行</w:t>
      </w:r>
      <w:r>
        <w:rPr>
          <w:rFonts w:hint="eastAsia"/>
          <w:color w:val="auto"/>
          <w:szCs w:val="21"/>
        </w:rPr>
        <w:t>GB 55033、</w:t>
      </w:r>
      <w:r>
        <w:rPr>
          <w:color w:val="auto"/>
          <w:szCs w:val="21"/>
        </w:rPr>
        <w:t>GB</w:t>
      </w:r>
      <w:r>
        <w:rPr>
          <w:rFonts w:hint="eastAsia"/>
          <w:color w:val="auto"/>
          <w:szCs w:val="21"/>
          <w:lang w:val="en-US" w:eastAsia="zh-CN"/>
        </w:rPr>
        <w:t xml:space="preserve"> </w:t>
      </w:r>
      <w:r>
        <w:rPr>
          <w:color w:val="auto"/>
          <w:szCs w:val="21"/>
        </w:rPr>
        <w:t>50652、</w:t>
      </w:r>
      <w:r>
        <w:rPr>
          <w:rFonts w:hint="eastAsia"/>
          <w:color w:val="auto"/>
          <w:szCs w:val="21"/>
        </w:rPr>
        <w:t>CJJ/T 202等规范</w:t>
      </w:r>
      <w:r>
        <w:rPr>
          <w:color w:val="auto"/>
          <w:szCs w:val="21"/>
        </w:rPr>
        <w:t>及当地相关文件要求。</w:t>
      </w:r>
    </w:p>
    <w:p w14:paraId="0DF6439F">
      <w:pPr>
        <w:snapToGrid w:val="0"/>
        <w:spacing w:line="360" w:lineRule="atLeast"/>
        <w:rPr>
          <w:color w:val="auto"/>
          <w:szCs w:val="21"/>
        </w:rPr>
      </w:pPr>
      <w:r>
        <w:rPr>
          <w:b/>
          <w:color w:val="auto"/>
          <w:szCs w:val="21"/>
        </w:rPr>
        <w:t xml:space="preserve">16.1.6  </w:t>
      </w:r>
      <w:r>
        <w:rPr>
          <w:color w:val="auto"/>
          <w:szCs w:val="21"/>
        </w:rPr>
        <w:t>在轨道交通</w:t>
      </w:r>
      <w:r>
        <w:rPr>
          <w:rFonts w:hint="eastAsia"/>
          <w:color w:val="auto"/>
          <w:szCs w:val="21"/>
        </w:rPr>
        <w:t>工程</w:t>
      </w:r>
      <w:r>
        <w:rPr>
          <w:color w:val="auto"/>
          <w:szCs w:val="21"/>
        </w:rPr>
        <w:t>规划控制区内</w:t>
      </w:r>
      <w:r>
        <w:rPr>
          <w:rFonts w:hint="eastAsia"/>
          <w:color w:val="auto"/>
          <w:szCs w:val="21"/>
        </w:rPr>
        <w:t>不得</w:t>
      </w:r>
      <w:r>
        <w:rPr>
          <w:color w:val="auto"/>
          <w:szCs w:val="21"/>
        </w:rPr>
        <w:t>新建</w:t>
      </w:r>
      <w:r>
        <w:rPr>
          <w:rFonts w:hint="eastAsia"/>
          <w:color w:val="auto"/>
          <w:szCs w:val="21"/>
        </w:rPr>
        <w:t>非轨道交通工程</w:t>
      </w:r>
      <w:r>
        <w:rPr>
          <w:color w:val="auto"/>
          <w:szCs w:val="21"/>
        </w:rPr>
        <w:t>地下及地上建筑物</w:t>
      </w:r>
      <w:r>
        <w:rPr>
          <w:rFonts w:hint="eastAsia"/>
          <w:color w:val="auto"/>
          <w:szCs w:val="21"/>
        </w:rPr>
        <w:t>，锚杆等构件均不得侵入轨道交通规划控制区。</w:t>
      </w:r>
      <w:r>
        <w:rPr>
          <w:color w:val="auto"/>
          <w:szCs w:val="21"/>
        </w:rPr>
        <w:t>在轨道交通</w:t>
      </w:r>
      <w:r>
        <w:rPr>
          <w:rFonts w:hint="eastAsia"/>
          <w:color w:val="auto"/>
          <w:szCs w:val="21"/>
        </w:rPr>
        <w:t>工程</w:t>
      </w:r>
      <w:r>
        <w:rPr>
          <w:color w:val="auto"/>
          <w:szCs w:val="21"/>
        </w:rPr>
        <w:t>规划影响区内</w:t>
      </w:r>
      <w:r>
        <w:rPr>
          <w:rFonts w:hint="eastAsia"/>
          <w:color w:val="auto"/>
          <w:szCs w:val="21"/>
        </w:rPr>
        <w:t>、</w:t>
      </w:r>
      <w:r>
        <w:rPr>
          <w:color w:val="auto"/>
          <w:szCs w:val="21"/>
        </w:rPr>
        <w:t>在建和运营的轨道交通</w:t>
      </w:r>
      <w:r>
        <w:rPr>
          <w:rFonts w:hint="eastAsia"/>
          <w:color w:val="auto"/>
          <w:szCs w:val="21"/>
        </w:rPr>
        <w:t>规划控制保护地界内</w:t>
      </w:r>
      <w:r>
        <w:rPr>
          <w:rFonts w:hint="eastAsia" w:ascii="宋体" w:hAnsi="宋体"/>
          <w:color w:val="auto"/>
        </w:rPr>
        <w:t>不宜</w:t>
      </w:r>
      <w:r>
        <w:rPr>
          <w:color w:val="auto"/>
        </w:rPr>
        <w:t>兴建</w:t>
      </w:r>
      <w:r>
        <w:rPr>
          <w:rFonts w:hint="eastAsia"/>
          <w:color w:val="auto"/>
        </w:rPr>
        <w:t>（新建、改建、扩建）</w:t>
      </w:r>
      <w:r>
        <w:rPr>
          <w:color w:val="auto"/>
        </w:rPr>
        <w:t>地下及地上建筑物</w:t>
      </w:r>
      <w:r>
        <w:rPr>
          <w:rFonts w:hint="eastAsia" w:ascii="宋体" w:hAnsi="宋体"/>
          <w:color w:val="auto"/>
        </w:rPr>
        <w:t>，</w:t>
      </w:r>
      <w:r>
        <w:rPr>
          <w:color w:val="auto"/>
        </w:rPr>
        <w:t>必须建设时</w:t>
      </w:r>
      <w:r>
        <w:rPr>
          <w:rFonts w:hint="eastAsia"/>
          <w:color w:val="auto"/>
        </w:rPr>
        <w:t>，所有建（构）筑物均不得侵入规划</w:t>
      </w:r>
      <w:r>
        <w:rPr>
          <w:color w:val="auto"/>
        </w:rPr>
        <w:t>控制线外5m</w:t>
      </w:r>
      <w:r>
        <w:rPr>
          <w:rFonts w:hint="eastAsia"/>
          <w:color w:val="auto"/>
        </w:rPr>
        <w:t>范围</w:t>
      </w:r>
      <w:r>
        <w:rPr>
          <w:color w:val="auto"/>
        </w:rPr>
        <w:t>内</w:t>
      </w:r>
      <w:r>
        <w:rPr>
          <w:rFonts w:hint="eastAsia"/>
          <w:color w:val="auto"/>
        </w:rPr>
        <w:t>，也不得侵入</w:t>
      </w:r>
      <w:r>
        <w:rPr>
          <w:color w:val="auto"/>
        </w:rPr>
        <w:t>在建已建线路</w:t>
      </w:r>
      <w:r>
        <w:rPr>
          <w:rFonts w:hint="eastAsia"/>
          <w:color w:val="auto"/>
        </w:rPr>
        <w:t>隧道结构边</w:t>
      </w:r>
      <w:r>
        <w:rPr>
          <w:color w:val="auto"/>
        </w:rPr>
        <w:t>线外</w:t>
      </w:r>
      <w:r>
        <w:rPr>
          <w:rFonts w:hint="eastAsia"/>
          <w:color w:val="auto"/>
        </w:rPr>
        <w:t>一</w:t>
      </w:r>
      <w:r>
        <w:rPr>
          <w:color w:val="auto"/>
        </w:rPr>
        <w:t>倍的隧道结构外径</w:t>
      </w:r>
      <w:r>
        <w:rPr>
          <w:rFonts w:hint="eastAsia"/>
          <w:color w:val="auto"/>
        </w:rPr>
        <w:t>的范围，并</w:t>
      </w:r>
      <w:r>
        <w:rPr>
          <w:color w:val="auto"/>
        </w:rPr>
        <w:t>应进行专项技术论证</w:t>
      </w:r>
      <w:r>
        <w:rPr>
          <w:rFonts w:hint="eastAsia" w:ascii="宋体" w:hAnsi="宋体"/>
          <w:color w:val="auto"/>
        </w:rPr>
        <w:t>，</w:t>
      </w:r>
      <w:r>
        <w:rPr>
          <w:color w:val="auto"/>
          <w:szCs w:val="21"/>
        </w:rPr>
        <w:t>经轨道交通管理部门及规划部门认可</w:t>
      </w:r>
      <w:r>
        <w:rPr>
          <w:rFonts w:hint="eastAsia"/>
          <w:color w:val="auto"/>
          <w:szCs w:val="21"/>
        </w:rPr>
        <w:t>。轨道交通工程施工前</w:t>
      </w:r>
      <w:r>
        <w:rPr>
          <w:color w:val="auto"/>
          <w:szCs w:val="21"/>
        </w:rPr>
        <w:t>在轨道交通</w:t>
      </w:r>
      <w:r>
        <w:rPr>
          <w:rFonts w:hint="eastAsia"/>
          <w:color w:val="auto"/>
          <w:szCs w:val="21"/>
        </w:rPr>
        <w:t>工程</w:t>
      </w:r>
      <w:r>
        <w:rPr>
          <w:color w:val="auto"/>
          <w:szCs w:val="21"/>
        </w:rPr>
        <w:t>规划影响区附近兴修建筑物时，应考虑后期轨道交通工程施工和运营的影响，可采用加长、加强桩基或加大基础埋深等措施</w:t>
      </w:r>
      <w:r>
        <w:rPr>
          <w:rFonts w:hint="eastAsia"/>
          <w:color w:val="auto"/>
          <w:szCs w:val="21"/>
        </w:rPr>
        <w:t>，并应考虑后期轨道交通建设运营产生的振动影响</w:t>
      </w:r>
      <w:r>
        <w:rPr>
          <w:color w:val="auto"/>
          <w:szCs w:val="21"/>
        </w:rPr>
        <w:t>。</w:t>
      </w:r>
    </w:p>
    <w:p w14:paraId="26166B66">
      <w:pPr>
        <w:snapToGrid w:val="0"/>
        <w:spacing w:line="360" w:lineRule="atLeast"/>
        <w:rPr>
          <w:color w:val="auto"/>
          <w:szCs w:val="21"/>
        </w:rPr>
      </w:pPr>
      <w:r>
        <w:rPr>
          <w:b/>
          <w:color w:val="auto"/>
          <w:szCs w:val="21"/>
        </w:rPr>
        <w:t>16.1.7</w:t>
      </w:r>
      <w:r>
        <w:rPr>
          <w:color w:val="auto"/>
          <w:szCs w:val="21"/>
        </w:rPr>
        <w:t xml:space="preserve">  邻近在建及已建成的轨道交通工程的新建建筑物，除应遵守本文件第16.1.6条的规定外，尚应符合下列规定：</w:t>
      </w:r>
    </w:p>
    <w:p w14:paraId="288FB0B9">
      <w:pPr>
        <w:snapToGrid w:val="0"/>
        <w:spacing w:line="360" w:lineRule="atLeast"/>
        <w:rPr>
          <w:color w:val="auto"/>
          <w:szCs w:val="21"/>
        </w:rPr>
      </w:pPr>
      <w:r>
        <w:rPr>
          <w:rFonts w:hint="eastAsia"/>
          <w:b/>
          <w:color w:val="auto"/>
          <w:szCs w:val="21"/>
        </w:rPr>
        <w:t xml:space="preserve">    </w:t>
      </w:r>
      <w:r>
        <w:rPr>
          <w:b/>
          <w:color w:val="auto"/>
          <w:szCs w:val="21"/>
        </w:rPr>
        <w:t>a)</w:t>
      </w:r>
      <w:r>
        <w:rPr>
          <w:rFonts w:hint="eastAsia"/>
          <w:b/>
          <w:color w:val="auto"/>
          <w:szCs w:val="21"/>
        </w:rPr>
        <w:t xml:space="preserve"> </w:t>
      </w:r>
      <w:r>
        <w:rPr>
          <w:color w:val="auto"/>
          <w:szCs w:val="21"/>
        </w:rPr>
        <w:t xml:space="preserve"> 在轨道交通</w:t>
      </w:r>
      <w:r>
        <w:rPr>
          <w:rFonts w:hint="eastAsia"/>
          <w:color w:val="auto"/>
          <w:szCs w:val="21"/>
        </w:rPr>
        <w:t>工程</w:t>
      </w:r>
      <w:r>
        <w:rPr>
          <w:color w:val="auto"/>
          <w:szCs w:val="21"/>
        </w:rPr>
        <w:t>规划控制保护地界内进行建设的项目需经工程实施方案研究论证，建设单位应当制定必要的工程安全保护措施，确保轨道交通结构稳定和运营安全。</w:t>
      </w:r>
      <w:r>
        <w:rPr>
          <w:rFonts w:hint="eastAsia"/>
          <w:color w:val="auto"/>
          <w:szCs w:val="21"/>
        </w:rPr>
        <w:t>同时应</w:t>
      </w:r>
      <w:r>
        <w:rPr>
          <w:color w:val="auto"/>
          <w:szCs w:val="21"/>
        </w:rPr>
        <w:t>征得轨道交通建设单位和运营单位同意后，方可依法办理有关许可手续。</w:t>
      </w:r>
    </w:p>
    <w:p w14:paraId="6A998F32">
      <w:pPr>
        <w:snapToGrid w:val="0"/>
        <w:spacing w:line="360" w:lineRule="atLeast"/>
        <w:rPr>
          <w:color w:val="auto"/>
          <w:szCs w:val="21"/>
        </w:rPr>
      </w:pPr>
      <w:r>
        <w:rPr>
          <w:rFonts w:hint="eastAsia"/>
          <w:b/>
          <w:color w:val="auto"/>
          <w:szCs w:val="21"/>
        </w:rPr>
        <w:t xml:space="preserve">    </w:t>
      </w:r>
      <w:r>
        <w:rPr>
          <w:b/>
          <w:color w:val="auto"/>
          <w:szCs w:val="21"/>
        </w:rPr>
        <w:t xml:space="preserve">b) </w:t>
      </w:r>
      <w:r>
        <w:rPr>
          <w:rFonts w:hint="eastAsia"/>
          <w:b/>
          <w:color w:val="auto"/>
          <w:szCs w:val="21"/>
        </w:rPr>
        <w:t xml:space="preserve"> </w:t>
      </w:r>
      <w:r>
        <w:rPr>
          <w:color w:val="auto"/>
          <w:szCs w:val="21"/>
        </w:rPr>
        <w:t>在轨道交通规划控制保护地界以外，邻近轨道交通工程兴建地下建筑物时，当</w:t>
      </w:r>
      <w:r>
        <w:rPr>
          <w:rFonts w:hint="eastAsia"/>
          <w:color w:val="auto"/>
          <w:szCs w:val="21"/>
        </w:rPr>
        <w:t>基坑</w:t>
      </w:r>
      <w:r>
        <w:rPr>
          <w:color w:val="auto"/>
          <w:szCs w:val="21"/>
        </w:rPr>
        <w:t>开挖深度超过轨道交通工程基底标高或采用管井降水时，应加强基坑的支护措施，控制管井降水时间及含砂率，施工过程中应对轨道交通主体及附属工程进行严密的变形监测。轨道交通主体及附属工程的变形限值，结构变形宜按照相关轨道交通设计规范及建筑结构设计规范的规定执行。</w:t>
      </w:r>
      <w:r>
        <w:rPr>
          <w:rFonts w:hint="eastAsia"/>
          <w:color w:val="auto"/>
          <w:szCs w:val="21"/>
        </w:rPr>
        <w:t>轨道运营安全指标可执行</w:t>
      </w:r>
      <w:r>
        <w:rPr>
          <w:color w:val="auto"/>
          <w:szCs w:val="21"/>
        </w:rPr>
        <w:t>CJJ/T 202</w:t>
      </w:r>
      <w:r>
        <w:rPr>
          <w:rFonts w:hint="eastAsia"/>
          <w:color w:val="auto"/>
          <w:szCs w:val="21"/>
        </w:rPr>
        <w:t>中的表B.0.2。</w:t>
      </w:r>
    </w:p>
    <w:p w14:paraId="243E5740">
      <w:pPr>
        <w:snapToGrid w:val="0"/>
        <w:spacing w:line="360" w:lineRule="atLeast"/>
        <w:rPr>
          <w:color w:val="auto"/>
          <w:szCs w:val="21"/>
        </w:rPr>
      </w:pPr>
    </w:p>
    <w:p w14:paraId="7D2530C4">
      <w:pPr>
        <w:adjustRightInd w:val="0"/>
        <w:snapToGrid w:val="0"/>
        <w:spacing w:line="340" w:lineRule="exact"/>
        <w:outlineLvl w:val="1"/>
        <w:rPr>
          <w:rFonts w:eastAsia="黑体"/>
          <w:b/>
          <w:bCs/>
          <w:color w:val="auto"/>
          <w:szCs w:val="21"/>
        </w:rPr>
      </w:pPr>
      <w:bookmarkStart w:id="96" w:name="_Toc199943639"/>
      <w:r>
        <w:rPr>
          <w:rFonts w:eastAsia="黑体"/>
          <w:b/>
          <w:bCs/>
          <w:color w:val="auto"/>
          <w:szCs w:val="21"/>
        </w:rPr>
        <w:t>16.2 工程勘察</w:t>
      </w:r>
      <w:bookmarkEnd w:id="96"/>
    </w:p>
    <w:p w14:paraId="12ED1F74">
      <w:pPr>
        <w:snapToGrid w:val="0"/>
        <w:spacing w:line="360" w:lineRule="atLeast"/>
        <w:jc w:val="center"/>
        <w:rPr>
          <w:color w:val="auto"/>
          <w:szCs w:val="21"/>
        </w:rPr>
      </w:pPr>
    </w:p>
    <w:p w14:paraId="2DA9159D">
      <w:pPr>
        <w:snapToGrid w:val="0"/>
        <w:spacing w:line="360" w:lineRule="atLeast"/>
        <w:rPr>
          <w:b/>
          <w:color w:val="auto"/>
          <w:szCs w:val="21"/>
        </w:rPr>
      </w:pPr>
      <w:r>
        <w:rPr>
          <w:b/>
          <w:color w:val="auto"/>
          <w:szCs w:val="21"/>
        </w:rPr>
        <w:t>16</w:t>
      </w:r>
      <w:r>
        <w:rPr>
          <w:rFonts w:hint="eastAsia"/>
          <w:b/>
          <w:color w:val="auto"/>
          <w:szCs w:val="21"/>
        </w:rPr>
        <w:t xml:space="preserve">.2.1 </w:t>
      </w:r>
      <w:r>
        <w:rPr>
          <w:rFonts w:hint="eastAsia"/>
          <w:color w:val="auto"/>
          <w:szCs w:val="21"/>
        </w:rPr>
        <w:t>城市轨道交通工程勘察应按国家法律法规开展地质灾害危险性评估、地震安全性评价、压覆矿藏资源评估等专题。</w:t>
      </w:r>
    </w:p>
    <w:p w14:paraId="6E89F7B6">
      <w:pPr>
        <w:snapToGrid w:val="0"/>
        <w:spacing w:line="360" w:lineRule="atLeast"/>
        <w:rPr>
          <w:color w:val="auto"/>
          <w:szCs w:val="21"/>
        </w:rPr>
      </w:pPr>
      <w:r>
        <w:rPr>
          <w:b/>
          <w:color w:val="auto"/>
          <w:szCs w:val="21"/>
        </w:rPr>
        <w:t>16.2.2</w:t>
      </w:r>
      <w:r>
        <w:rPr>
          <w:color w:val="auto"/>
          <w:szCs w:val="21"/>
        </w:rPr>
        <w:t xml:space="preserve">  工程勘察，除应满足现行规范对勘察的相关规定外，尚应满足以下要求：</w:t>
      </w:r>
    </w:p>
    <w:p w14:paraId="2CEB0915">
      <w:pPr>
        <w:snapToGrid w:val="0"/>
        <w:spacing w:line="360" w:lineRule="atLeast"/>
        <w:rPr>
          <w:color w:val="auto"/>
          <w:szCs w:val="21"/>
        </w:rPr>
      </w:pPr>
      <w:r>
        <w:rPr>
          <w:rFonts w:hint="eastAsia"/>
          <w:b/>
          <w:color w:val="auto"/>
          <w:szCs w:val="21"/>
        </w:rPr>
        <w:t xml:space="preserve">    </w:t>
      </w:r>
      <w:r>
        <w:rPr>
          <w:b/>
          <w:color w:val="auto"/>
          <w:szCs w:val="21"/>
        </w:rPr>
        <w:t>a)</w:t>
      </w:r>
      <w:r>
        <w:rPr>
          <w:color w:val="auto"/>
          <w:szCs w:val="21"/>
        </w:rPr>
        <w:t xml:space="preserve">  应进行相关土工试验，确定各土层的黏聚力</w:t>
      </w:r>
      <w:r>
        <w:rPr>
          <w:i/>
          <w:color w:val="auto"/>
          <w:szCs w:val="21"/>
        </w:rPr>
        <w:t>c</w:t>
      </w:r>
      <w:r>
        <w:rPr>
          <w:color w:val="auto"/>
          <w:szCs w:val="21"/>
        </w:rPr>
        <w:t>及内摩擦角</w:t>
      </w:r>
      <w:r>
        <w:rPr>
          <w:i/>
          <w:color w:val="auto"/>
          <w:szCs w:val="21"/>
        </w:rPr>
        <w:t>φ</w:t>
      </w:r>
      <w:r>
        <w:rPr>
          <w:color w:val="auto"/>
          <w:szCs w:val="21"/>
        </w:rPr>
        <w:t>；</w:t>
      </w:r>
    </w:p>
    <w:p w14:paraId="2E1D75FD">
      <w:pPr>
        <w:snapToGrid w:val="0"/>
        <w:spacing w:line="360" w:lineRule="atLeast"/>
        <w:rPr>
          <w:color w:val="auto"/>
          <w:szCs w:val="21"/>
        </w:rPr>
      </w:pPr>
      <w:r>
        <w:rPr>
          <w:rFonts w:hint="eastAsia"/>
          <w:b/>
          <w:color w:val="auto"/>
          <w:szCs w:val="21"/>
        </w:rPr>
        <w:t xml:space="preserve">    </w:t>
      </w:r>
      <w:r>
        <w:rPr>
          <w:b/>
          <w:color w:val="auto"/>
          <w:szCs w:val="21"/>
        </w:rPr>
        <w:t>b)</w:t>
      </w:r>
      <w:r>
        <w:rPr>
          <w:color w:val="auto"/>
          <w:szCs w:val="21"/>
        </w:rPr>
        <w:t xml:space="preserve">  应提供</w:t>
      </w:r>
      <w:r>
        <w:rPr>
          <w:rFonts w:hint="eastAsia"/>
          <w:color w:val="auto"/>
          <w:szCs w:val="21"/>
        </w:rPr>
        <w:t>各</w:t>
      </w:r>
      <w:r>
        <w:rPr>
          <w:color w:val="auto"/>
          <w:szCs w:val="21"/>
        </w:rPr>
        <w:t>土层静止侧压力系数</w:t>
      </w:r>
      <w:r>
        <w:rPr>
          <w:rFonts w:hint="eastAsia"/>
          <w:color w:val="auto"/>
          <w:szCs w:val="21"/>
        </w:rPr>
        <w:t>、</w:t>
      </w:r>
      <w:r>
        <w:rPr>
          <w:color w:val="auto"/>
          <w:szCs w:val="21"/>
        </w:rPr>
        <w:t>水平及垂直基床系数；</w:t>
      </w:r>
    </w:p>
    <w:p w14:paraId="3662E11C">
      <w:pPr>
        <w:snapToGrid w:val="0"/>
        <w:spacing w:line="360" w:lineRule="atLeast"/>
        <w:ind w:firstLine="422" w:firstLineChars="200"/>
        <w:rPr>
          <w:color w:val="auto"/>
          <w:szCs w:val="21"/>
        </w:rPr>
      </w:pPr>
      <w:r>
        <w:rPr>
          <w:b/>
          <w:color w:val="auto"/>
          <w:szCs w:val="21"/>
        </w:rPr>
        <w:t xml:space="preserve">c) </w:t>
      </w:r>
      <w:r>
        <w:rPr>
          <w:color w:val="auto"/>
          <w:szCs w:val="21"/>
        </w:rPr>
        <w:t xml:space="preserve"> 对于岩石地层，应给出等效黏聚力</w:t>
      </w:r>
      <w:r>
        <w:rPr>
          <w:i/>
          <w:color w:val="auto"/>
          <w:szCs w:val="21"/>
        </w:rPr>
        <w:t>c</w:t>
      </w:r>
      <w:r>
        <w:rPr>
          <w:color w:val="auto"/>
          <w:szCs w:val="21"/>
        </w:rPr>
        <w:t>及内摩擦角</w:t>
      </w:r>
      <w:r>
        <w:rPr>
          <w:i/>
          <w:color w:val="auto"/>
          <w:szCs w:val="21"/>
        </w:rPr>
        <w:t>φ</w:t>
      </w:r>
      <w:r>
        <w:rPr>
          <w:rFonts w:hint="eastAsia"/>
          <w:color w:val="auto"/>
          <w:szCs w:val="21"/>
        </w:rPr>
        <w:t>、单轴极限抗压强度、弹性模量和泊松比等</w:t>
      </w:r>
      <w:r>
        <w:rPr>
          <w:color w:val="auto"/>
          <w:szCs w:val="21"/>
        </w:rPr>
        <w:t>；对中、微风化岩石应查明其产状、倾角及潜在不利结构面。</w:t>
      </w:r>
    </w:p>
    <w:p w14:paraId="5D8AA8F8">
      <w:pPr>
        <w:snapToGrid w:val="0"/>
        <w:spacing w:line="360" w:lineRule="atLeast"/>
        <w:ind w:firstLine="422" w:firstLineChars="200"/>
        <w:rPr>
          <w:color w:val="auto"/>
          <w:szCs w:val="21"/>
        </w:rPr>
      </w:pPr>
      <w:r>
        <w:rPr>
          <w:b/>
          <w:color w:val="auto"/>
          <w:szCs w:val="21"/>
        </w:rPr>
        <w:t>d)</w:t>
      </w:r>
      <w:r>
        <w:rPr>
          <w:color w:val="auto"/>
          <w:szCs w:val="21"/>
        </w:rPr>
        <w:t xml:space="preserve">  应提供各土层的渗透系数及地下水位的变化幅度，查明承压水层的分布</w:t>
      </w:r>
      <w:r>
        <w:rPr>
          <w:rFonts w:hint="eastAsia"/>
          <w:color w:val="auto"/>
          <w:szCs w:val="21"/>
        </w:rPr>
        <w:t>，并通过抽水试验确定地下水控制设计参数。</w:t>
      </w:r>
    </w:p>
    <w:p w14:paraId="51C3AA6C">
      <w:pPr>
        <w:snapToGrid w:val="0"/>
        <w:spacing w:line="360" w:lineRule="atLeast"/>
        <w:ind w:firstLine="422" w:firstLineChars="200"/>
        <w:rPr>
          <w:color w:val="auto"/>
          <w:szCs w:val="21"/>
        </w:rPr>
      </w:pPr>
      <w:r>
        <w:rPr>
          <w:b/>
          <w:color w:val="auto"/>
          <w:szCs w:val="21"/>
        </w:rPr>
        <w:t>e)</w:t>
      </w:r>
      <w:r>
        <w:rPr>
          <w:color w:val="auto"/>
          <w:szCs w:val="21"/>
        </w:rPr>
        <w:t xml:space="preserve">  </w:t>
      </w:r>
      <w:r>
        <w:rPr>
          <w:rFonts w:hint="eastAsia"/>
          <w:color w:val="auto"/>
          <w:szCs w:val="21"/>
        </w:rPr>
        <w:t>采空区、岩溶、有害气体等不良地质勘察应符合现行规范要求，并提出工程措施意见，必要时应进行专项勘察。采空区应查明地质特征，进行稳定性评价等；</w:t>
      </w:r>
      <w:r>
        <w:rPr>
          <w:color w:val="auto"/>
          <w:szCs w:val="21"/>
        </w:rPr>
        <w:t>岩溶地区，应探明岩溶发育程度、岩溶填充情况及岩溶水水量等</w:t>
      </w:r>
      <w:r>
        <w:rPr>
          <w:rFonts w:hint="eastAsia"/>
          <w:color w:val="auto"/>
          <w:szCs w:val="21"/>
        </w:rPr>
        <w:t>；燃气、油气、化学污染、人工有机物堆积、化粪池等产生、存储有害气体地段应查明有害气体储存情况及危害程度</w:t>
      </w:r>
      <w:r>
        <w:rPr>
          <w:color w:val="auto"/>
          <w:szCs w:val="21"/>
        </w:rPr>
        <w:t>。</w:t>
      </w:r>
    </w:p>
    <w:p w14:paraId="7234071A">
      <w:pPr>
        <w:snapToGrid w:val="0"/>
        <w:spacing w:line="360" w:lineRule="atLeast"/>
        <w:ind w:firstLine="422" w:firstLineChars="200"/>
        <w:rPr>
          <w:color w:val="auto"/>
          <w:szCs w:val="21"/>
        </w:rPr>
      </w:pPr>
      <w:r>
        <w:rPr>
          <w:b/>
          <w:color w:val="auto"/>
          <w:szCs w:val="21"/>
        </w:rPr>
        <w:t>f)</w:t>
      </w:r>
      <w:r>
        <w:rPr>
          <w:color w:val="auto"/>
          <w:szCs w:val="21"/>
        </w:rPr>
        <w:t xml:space="preserve"> </w:t>
      </w:r>
      <w:r>
        <w:rPr>
          <w:rFonts w:hint="eastAsia"/>
          <w:color w:val="auto"/>
          <w:szCs w:val="21"/>
        </w:rPr>
        <w:t xml:space="preserve"> 填土、软土、膨胀岩土等</w:t>
      </w:r>
      <w:r>
        <w:rPr>
          <w:color w:val="auto"/>
          <w:szCs w:val="21"/>
        </w:rPr>
        <w:t>特殊土场地的勘察应符合相关规范的要求。</w:t>
      </w:r>
    </w:p>
    <w:p w14:paraId="504683EC">
      <w:pPr>
        <w:snapToGrid w:val="0"/>
        <w:spacing w:line="360" w:lineRule="atLeast"/>
        <w:ind w:firstLine="422" w:firstLineChars="200"/>
        <w:rPr>
          <w:color w:val="auto"/>
          <w:szCs w:val="21"/>
        </w:rPr>
      </w:pPr>
      <w:r>
        <w:rPr>
          <w:b/>
          <w:color w:val="auto"/>
          <w:szCs w:val="21"/>
        </w:rPr>
        <w:t>g)</w:t>
      </w:r>
      <w:r>
        <w:rPr>
          <w:color w:val="auto"/>
          <w:szCs w:val="21"/>
        </w:rPr>
        <w:t xml:space="preserve">  暗挖法施工（包括矿山法施工及盾构法施工）的区间隧道勘察孔位置应离隧道外壁3m~5m，并在隧道两侧交错布置，并</w:t>
      </w:r>
      <w:r>
        <w:rPr>
          <w:rFonts w:hint="eastAsia"/>
          <w:color w:val="auto"/>
          <w:szCs w:val="21"/>
        </w:rPr>
        <w:t>应提出盾构穿越相关岩土层的可行性。明挖法施工的勘察孔布置应满足</w:t>
      </w:r>
      <w:r>
        <w:rPr>
          <w:color w:val="auto"/>
          <w:szCs w:val="21"/>
        </w:rPr>
        <w:t>GB 50021</w:t>
      </w:r>
      <w:r>
        <w:rPr>
          <w:rFonts w:hint="eastAsia"/>
          <w:color w:val="auto"/>
          <w:szCs w:val="21"/>
        </w:rPr>
        <w:t>、</w:t>
      </w:r>
      <w:r>
        <w:rPr>
          <w:color w:val="auto"/>
          <w:szCs w:val="21"/>
        </w:rPr>
        <w:t>JGJ</w:t>
      </w:r>
      <w:r>
        <w:rPr>
          <w:rFonts w:hint="eastAsia"/>
          <w:color w:val="auto"/>
          <w:szCs w:val="21"/>
          <w:lang w:val="en-US" w:eastAsia="zh-CN"/>
        </w:rPr>
        <w:t xml:space="preserve"> </w:t>
      </w:r>
      <w:r>
        <w:rPr>
          <w:color w:val="auto"/>
          <w:szCs w:val="21"/>
        </w:rPr>
        <w:t>120</w:t>
      </w:r>
      <w:r>
        <w:rPr>
          <w:rFonts w:hint="eastAsia"/>
          <w:color w:val="auto"/>
          <w:szCs w:val="21"/>
        </w:rPr>
        <w:t>等相关要求。</w:t>
      </w:r>
    </w:p>
    <w:p w14:paraId="2A5822F2">
      <w:pPr>
        <w:snapToGrid w:val="0"/>
        <w:spacing w:line="360" w:lineRule="atLeast"/>
        <w:ind w:firstLine="422" w:firstLineChars="200"/>
        <w:rPr>
          <w:color w:val="auto"/>
          <w:szCs w:val="21"/>
        </w:rPr>
      </w:pPr>
      <w:r>
        <w:rPr>
          <w:b/>
          <w:color w:val="auto"/>
          <w:szCs w:val="21"/>
        </w:rPr>
        <w:t>h)</w:t>
      </w:r>
      <w:r>
        <w:rPr>
          <w:color w:val="auto"/>
          <w:szCs w:val="21"/>
        </w:rPr>
        <w:t xml:space="preserve"> </w:t>
      </w:r>
      <w:r>
        <w:rPr>
          <w:rFonts w:hint="eastAsia"/>
          <w:color w:val="auto"/>
          <w:szCs w:val="21"/>
        </w:rPr>
        <w:t xml:space="preserve"> </w:t>
      </w:r>
      <w:r>
        <w:rPr>
          <w:color w:val="auto"/>
          <w:szCs w:val="21"/>
        </w:rPr>
        <w:t>采用冻结法施工的地下工程，应提供需冻结土层范围的地下水流速，并通过</w:t>
      </w:r>
      <w:r>
        <w:rPr>
          <w:rFonts w:hint="eastAsia"/>
          <w:color w:val="auto"/>
          <w:szCs w:val="21"/>
        </w:rPr>
        <w:t>试验提供岩土层的冻结温度、冻土融化压缩系数、冻融土导热系数和比热容、冻土单轴抗压强度、抗剪强度和抗折强度等，或通过</w:t>
      </w:r>
      <w:r>
        <w:rPr>
          <w:color w:val="auto"/>
          <w:szCs w:val="21"/>
        </w:rPr>
        <w:t>实验确定指导冻结施工的相关技术参数。</w:t>
      </w:r>
    </w:p>
    <w:p w14:paraId="14137D3E">
      <w:pPr>
        <w:snapToGrid w:val="0"/>
        <w:spacing w:line="360" w:lineRule="atLeast"/>
        <w:ind w:firstLine="422" w:firstLineChars="200"/>
        <w:rPr>
          <w:color w:val="auto"/>
          <w:szCs w:val="21"/>
        </w:rPr>
      </w:pPr>
      <w:r>
        <w:rPr>
          <w:b/>
          <w:color w:val="auto"/>
          <w:szCs w:val="21"/>
        </w:rPr>
        <w:t>i)</w:t>
      </w:r>
      <w:r>
        <w:rPr>
          <w:rFonts w:hint="eastAsia"/>
          <w:b/>
          <w:color w:val="auto"/>
          <w:szCs w:val="21"/>
        </w:rPr>
        <w:t xml:space="preserve"> </w:t>
      </w:r>
      <w:r>
        <w:rPr>
          <w:color w:val="auto"/>
          <w:szCs w:val="21"/>
        </w:rPr>
        <w:t xml:space="preserve"> </w:t>
      </w:r>
      <w:r>
        <w:rPr>
          <w:rFonts w:hint="eastAsia"/>
          <w:color w:val="auto"/>
          <w:szCs w:val="21"/>
        </w:rPr>
        <w:t>地下车站及隧道应提供比热容、导热系数、导温系数等土层热物理指标和土壤电阻率。</w:t>
      </w:r>
    </w:p>
    <w:p w14:paraId="589A4986">
      <w:pPr>
        <w:snapToGrid w:val="0"/>
        <w:spacing w:line="360" w:lineRule="atLeast"/>
        <w:rPr>
          <w:color w:val="auto"/>
          <w:szCs w:val="21"/>
        </w:rPr>
      </w:pPr>
      <w:r>
        <w:rPr>
          <w:b/>
          <w:color w:val="auto"/>
          <w:szCs w:val="21"/>
        </w:rPr>
        <w:t>16.2.3</w:t>
      </w:r>
      <w:r>
        <w:rPr>
          <w:color w:val="auto"/>
          <w:szCs w:val="21"/>
        </w:rPr>
        <w:t xml:space="preserve"> </w:t>
      </w:r>
      <w:r>
        <w:rPr>
          <w:rFonts w:hint="eastAsia"/>
          <w:color w:val="auto"/>
          <w:szCs w:val="21"/>
        </w:rPr>
        <w:t>高架工程、路基、涵洞工程以及地面车站、车辆基地等勘察除应满足等现行规范要求，尚应重点满足以下要求：</w:t>
      </w:r>
    </w:p>
    <w:p w14:paraId="0FC2A899">
      <w:pPr>
        <w:snapToGrid w:val="0"/>
        <w:spacing w:line="360" w:lineRule="atLeast"/>
        <w:ind w:firstLine="420"/>
        <w:rPr>
          <w:color w:val="auto"/>
          <w:szCs w:val="21"/>
        </w:rPr>
      </w:pPr>
      <w:r>
        <w:rPr>
          <w:b/>
          <w:color w:val="auto"/>
          <w:szCs w:val="21"/>
        </w:rPr>
        <w:t>a)</w:t>
      </w:r>
      <w:r>
        <w:rPr>
          <w:color w:val="auto"/>
          <w:szCs w:val="21"/>
        </w:rPr>
        <w:t xml:space="preserve"> </w:t>
      </w:r>
      <w:r>
        <w:rPr>
          <w:rFonts w:hint="eastAsia"/>
          <w:color w:val="auto"/>
          <w:szCs w:val="21"/>
        </w:rPr>
        <w:t>高架工程应重点查明工程地质条件及基础持力层特性，并提供沿线土壤电阻率。</w:t>
      </w:r>
    </w:p>
    <w:p w14:paraId="70A0650A">
      <w:pPr>
        <w:snapToGrid w:val="0"/>
        <w:spacing w:line="360" w:lineRule="atLeast"/>
        <w:ind w:firstLine="420"/>
        <w:rPr>
          <w:color w:val="auto"/>
          <w:szCs w:val="21"/>
        </w:rPr>
      </w:pPr>
      <w:r>
        <w:rPr>
          <w:b/>
          <w:color w:val="auto"/>
          <w:szCs w:val="21"/>
        </w:rPr>
        <w:t>b)</w:t>
      </w:r>
      <w:r>
        <w:rPr>
          <w:rFonts w:hint="eastAsia"/>
          <w:b/>
          <w:color w:val="auto"/>
          <w:szCs w:val="21"/>
        </w:rPr>
        <w:t xml:space="preserve"> </w:t>
      </w:r>
      <w:r>
        <w:rPr>
          <w:rFonts w:hint="eastAsia"/>
          <w:color w:val="auto"/>
          <w:szCs w:val="21"/>
        </w:rPr>
        <w:t>路基工程应查明岩土体地质条件及物理力学指标，并评价路基边坡的稳定性。</w:t>
      </w:r>
    </w:p>
    <w:p w14:paraId="07E44D09">
      <w:pPr>
        <w:snapToGrid w:val="0"/>
        <w:spacing w:line="360" w:lineRule="atLeast"/>
        <w:ind w:firstLine="420"/>
        <w:rPr>
          <w:color w:val="auto"/>
          <w:szCs w:val="21"/>
        </w:rPr>
      </w:pPr>
      <w:r>
        <w:rPr>
          <w:b/>
          <w:color w:val="auto"/>
          <w:szCs w:val="21"/>
        </w:rPr>
        <w:t>c)</w:t>
      </w:r>
      <w:r>
        <w:rPr>
          <w:rFonts w:hint="eastAsia"/>
          <w:b/>
          <w:color w:val="auto"/>
          <w:szCs w:val="21"/>
        </w:rPr>
        <w:t xml:space="preserve"> </w:t>
      </w:r>
      <w:r>
        <w:rPr>
          <w:rFonts w:hint="eastAsia"/>
          <w:color w:val="auto"/>
          <w:szCs w:val="21"/>
        </w:rPr>
        <w:t>车辆基地勘察包括站场股道、出入线、各类房屋建筑及其附属设施的勘察，可根据不同建筑类型分别进行勘察，其中站场股道及出入线勘察可根据线路敷设形式按照</w:t>
      </w:r>
      <w:r>
        <w:rPr>
          <w:color w:val="auto"/>
          <w:szCs w:val="21"/>
        </w:rPr>
        <w:t>GB 50307</w:t>
      </w:r>
      <w:r>
        <w:rPr>
          <w:rFonts w:hint="eastAsia"/>
          <w:color w:val="auto"/>
          <w:szCs w:val="21"/>
        </w:rPr>
        <w:t>进行勘察，地面车站、各类建筑及附属设施应按</w:t>
      </w:r>
      <w:r>
        <w:rPr>
          <w:color w:val="auto"/>
          <w:szCs w:val="21"/>
        </w:rPr>
        <w:t>GB 50021</w:t>
      </w:r>
      <w:r>
        <w:rPr>
          <w:rFonts w:hint="eastAsia"/>
          <w:color w:val="auto"/>
          <w:szCs w:val="21"/>
        </w:rPr>
        <w:t>有关规定执行。</w:t>
      </w:r>
    </w:p>
    <w:p w14:paraId="079FFC26">
      <w:pPr>
        <w:snapToGrid w:val="0"/>
        <w:spacing w:line="360" w:lineRule="atLeast"/>
        <w:rPr>
          <w:color w:val="auto"/>
          <w:szCs w:val="21"/>
        </w:rPr>
      </w:pPr>
      <w:r>
        <w:rPr>
          <w:b/>
          <w:color w:val="auto"/>
          <w:szCs w:val="21"/>
        </w:rPr>
        <w:t>16.2.4</w:t>
      </w:r>
      <w:r>
        <w:rPr>
          <w:rFonts w:hint="eastAsia"/>
          <w:b/>
          <w:color w:val="auto"/>
          <w:szCs w:val="21"/>
        </w:rPr>
        <w:t xml:space="preserve"> </w:t>
      </w:r>
      <w:r>
        <w:rPr>
          <w:rFonts w:hint="eastAsia"/>
          <w:color w:val="auto"/>
          <w:szCs w:val="21"/>
        </w:rPr>
        <w:t>车站及车辆段等应进行土壤氡浓度或土壤表面析出率测定，检测应满足</w:t>
      </w:r>
      <w:r>
        <w:rPr>
          <w:color w:val="auto"/>
          <w:szCs w:val="21"/>
        </w:rPr>
        <w:t>GB 50325</w:t>
      </w:r>
      <w:r>
        <w:rPr>
          <w:rFonts w:hint="eastAsia"/>
          <w:color w:val="auto"/>
          <w:szCs w:val="21"/>
        </w:rPr>
        <w:t>要求。</w:t>
      </w:r>
    </w:p>
    <w:p w14:paraId="055AA62E">
      <w:pPr>
        <w:snapToGrid w:val="0"/>
        <w:spacing w:line="360" w:lineRule="atLeast"/>
        <w:rPr>
          <w:color w:val="auto"/>
          <w:szCs w:val="21"/>
        </w:rPr>
      </w:pPr>
      <w:r>
        <w:rPr>
          <w:b/>
          <w:color w:val="auto"/>
          <w:szCs w:val="21"/>
        </w:rPr>
        <w:t xml:space="preserve">16.2.5 </w:t>
      </w:r>
      <w:r>
        <w:rPr>
          <w:color w:val="auto"/>
          <w:szCs w:val="21"/>
        </w:rPr>
        <w:t xml:space="preserve"> 邻近轨道交通影响区新建建筑物时，应</w:t>
      </w:r>
      <w:r>
        <w:rPr>
          <w:rFonts w:hint="eastAsia"/>
          <w:color w:val="auto"/>
          <w:szCs w:val="21"/>
        </w:rPr>
        <w:t>尽量收集利用</w:t>
      </w:r>
      <w:r>
        <w:rPr>
          <w:color w:val="auto"/>
          <w:szCs w:val="21"/>
        </w:rPr>
        <w:t>相邻轨道交通工程的勘察资料或扩大勘察范围</w:t>
      </w:r>
      <w:r>
        <w:rPr>
          <w:rFonts w:hint="eastAsia"/>
          <w:color w:val="auto"/>
          <w:szCs w:val="21"/>
        </w:rPr>
        <w:t>，勘察应满足评价新建建筑物与相邻轨道交通工程相互影响的需要</w:t>
      </w:r>
      <w:r>
        <w:rPr>
          <w:color w:val="auto"/>
          <w:szCs w:val="21"/>
        </w:rPr>
        <w:t>。</w:t>
      </w:r>
    </w:p>
    <w:p w14:paraId="125DC889">
      <w:pPr>
        <w:snapToGrid w:val="0"/>
        <w:spacing w:line="360" w:lineRule="atLeast"/>
        <w:rPr>
          <w:color w:val="auto"/>
          <w:szCs w:val="21"/>
        </w:rPr>
      </w:pPr>
      <w:r>
        <w:rPr>
          <w:b/>
          <w:color w:val="auto"/>
          <w:szCs w:val="21"/>
        </w:rPr>
        <w:t>16.2.6</w:t>
      </w:r>
      <w:r>
        <w:rPr>
          <w:rFonts w:hint="eastAsia"/>
          <w:color w:val="auto"/>
          <w:szCs w:val="21"/>
        </w:rPr>
        <w:t xml:space="preserve"> 勘探完成后应进行封孔，封孔应满足</w:t>
      </w:r>
      <w:r>
        <w:rPr>
          <w:color w:val="auto"/>
          <w:szCs w:val="21"/>
        </w:rPr>
        <w:t>DB42/T</w:t>
      </w:r>
      <w:r>
        <w:rPr>
          <w:rFonts w:hint="eastAsia"/>
          <w:color w:val="auto"/>
          <w:szCs w:val="21"/>
          <w:lang w:val="en-US" w:eastAsia="zh-CN"/>
        </w:rPr>
        <w:t xml:space="preserve"> </w:t>
      </w:r>
      <w:r>
        <w:rPr>
          <w:color w:val="auto"/>
          <w:szCs w:val="21"/>
        </w:rPr>
        <w:t>1710</w:t>
      </w:r>
      <w:r>
        <w:rPr>
          <w:rFonts w:hint="eastAsia"/>
          <w:color w:val="auto"/>
          <w:szCs w:val="21"/>
        </w:rPr>
        <w:t>相关要求。</w:t>
      </w:r>
    </w:p>
    <w:p w14:paraId="530F4B5E">
      <w:pPr>
        <w:snapToGrid w:val="0"/>
        <w:spacing w:line="360" w:lineRule="atLeast"/>
        <w:rPr>
          <w:color w:val="auto"/>
          <w:szCs w:val="21"/>
        </w:rPr>
      </w:pPr>
      <w:r>
        <w:rPr>
          <w:b/>
          <w:color w:val="auto"/>
          <w:szCs w:val="21"/>
        </w:rPr>
        <w:t>16.2.7</w:t>
      </w:r>
      <w:r>
        <w:rPr>
          <w:rFonts w:hint="eastAsia"/>
          <w:color w:val="auto"/>
          <w:szCs w:val="21"/>
        </w:rPr>
        <w:t xml:space="preserve"> 报告编制除满足现行规范规定以外，尚应包括地质条件可能造成的工程风险说明。</w:t>
      </w:r>
    </w:p>
    <w:p w14:paraId="2E6B2266">
      <w:pPr>
        <w:snapToGrid w:val="0"/>
        <w:spacing w:line="360" w:lineRule="atLeast"/>
        <w:rPr>
          <w:color w:val="auto"/>
          <w:szCs w:val="21"/>
        </w:rPr>
      </w:pPr>
    </w:p>
    <w:p w14:paraId="69005C90">
      <w:pPr>
        <w:adjustRightInd w:val="0"/>
        <w:snapToGrid w:val="0"/>
        <w:spacing w:line="340" w:lineRule="exact"/>
        <w:outlineLvl w:val="1"/>
        <w:rPr>
          <w:rFonts w:eastAsia="黑体"/>
          <w:b/>
          <w:bCs/>
          <w:color w:val="auto"/>
          <w:szCs w:val="21"/>
        </w:rPr>
      </w:pPr>
      <w:bookmarkStart w:id="97" w:name="_Toc199943640"/>
      <w:r>
        <w:rPr>
          <w:rFonts w:eastAsia="黑体"/>
          <w:b/>
          <w:bCs/>
          <w:color w:val="auto"/>
          <w:szCs w:val="21"/>
        </w:rPr>
        <w:t>16.3  轨道交通地下工程设计</w:t>
      </w:r>
      <w:bookmarkEnd w:id="97"/>
    </w:p>
    <w:p w14:paraId="5782A6E6">
      <w:pPr>
        <w:snapToGrid w:val="0"/>
        <w:spacing w:line="360" w:lineRule="atLeast"/>
        <w:jc w:val="center"/>
        <w:rPr>
          <w:color w:val="auto"/>
          <w:szCs w:val="21"/>
        </w:rPr>
      </w:pPr>
    </w:p>
    <w:p w14:paraId="14EFE4B0">
      <w:pPr>
        <w:snapToGrid w:val="0"/>
        <w:spacing w:line="360" w:lineRule="atLeast"/>
        <w:ind w:left="11" w:hanging="11" w:hangingChars="5"/>
        <w:rPr>
          <w:color w:val="auto"/>
          <w:szCs w:val="21"/>
        </w:rPr>
      </w:pPr>
      <w:r>
        <w:rPr>
          <w:b/>
          <w:color w:val="auto"/>
          <w:szCs w:val="21"/>
        </w:rPr>
        <w:t>16.3.1</w:t>
      </w:r>
      <w:r>
        <w:rPr>
          <w:color w:val="auto"/>
          <w:szCs w:val="21"/>
        </w:rPr>
        <w:t xml:space="preserve">  地下工程</w:t>
      </w:r>
      <w:r>
        <w:rPr>
          <w:rFonts w:hint="eastAsia"/>
          <w:color w:val="auto"/>
          <w:szCs w:val="21"/>
        </w:rPr>
        <w:t>施工期</w:t>
      </w:r>
      <w:r>
        <w:rPr>
          <w:color w:val="auto"/>
          <w:szCs w:val="21"/>
        </w:rPr>
        <w:t>的地面附加荷载，宜采用20kN/m</w:t>
      </w:r>
      <w:r>
        <w:rPr>
          <w:color w:val="auto"/>
          <w:szCs w:val="21"/>
          <w:vertAlign w:val="superscript"/>
        </w:rPr>
        <w:t>2</w:t>
      </w:r>
      <w:r>
        <w:rPr>
          <w:rFonts w:hint="eastAsia"/>
          <w:color w:val="auto"/>
          <w:szCs w:val="21"/>
        </w:rPr>
        <w:t>，端头井处不应小于30kN/㎡，施工机具荷载不应超过10kN/㎡</w:t>
      </w:r>
      <w:r>
        <w:rPr>
          <w:color w:val="auto"/>
          <w:szCs w:val="21"/>
        </w:rPr>
        <w:t>。当荷载大于本要求时，应按实际荷载取值或采用限载措施。</w:t>
      </w:r>
    </w:p>
    <w:p w14:paraId="50B5EA77">
      <w:pPr>
        <w:snapToGrid w:val="0"/>
        <w:spacing w:line="360" w:lineRule="atLeast"/>
        <w:ind w:left="1"/>
        <w:rPr>
          <w:color w:val="auto"/>
          <w:szCs w:val="21"/>
        </w:rPr>
      </w:pPr>
      <w:r>
        <w:rPr>
          <w:b/>
          <w:color w:val="auto"/>
          <w:szCs w:val="21"/>
        </w:rPr>
        <w:t>16.3.2</w:t>
      </w:r>
      <w:r>
        <w:rPr>
          <w:color w:val="auto"/>
          <w:szCs w:val="21"/>
        </w:rPr>
        <w:t xml:space="preserve">  明挖法施工的地下工程，在无上部建筑的情况下，宜采用Wenkler弹性地基模型，分析轨道交通结构整体受力。</w:t>
      </w:r>
    </w:p>
    <w:p w14:paraId="08877E37">
      <w:pPr>
        <w:snapToGrid w:val="0"/>
        <w:spacing w:line="360" w:lineRule="atLeast"/>
        <w:ind w:left="-29" w:leftChars="-14" w:firstLine="21" w:firstLineChars="10"/>
        <w:rPr>
          <w:color w:val="auto"/>
          <w:szCs w:val="21"/>
        </w:rPr>
      </w:pPr>
      <w:r>
        <w:rPr>
          <w:b/>
          <w:color w:val="auto"/>
          <w:szCs w:val="21"/>
        </w:rPr>
        <w:t xml:space="preserve">16.3.3  </w:t>
      </w:r>
      <w:r>
        <w:rPr>
          <w:color w:val="auto"/>
          <w:szCs w:val="21"/>
        </w:rPr>
        <w:t>盖挖逆作法施工的地下工程，应符合以下规定：</w:t>
      </w:r>
    </w:p>
    <w:p w14:paraId="7A7F09AA">
      <w:pPr>
        <w:snapToGrid w:val="0"/>
        <w:spacing w:line="360" w:lineRule="atLeast"/>
        <w:ind w:firstLine="413" w:firstLineChars="196"/>
        <w:rPr>
          <w:color w:val="auto"/>
          <w:szCs w:val="21"/>
        </w:rPr>
      </w:pPr>
      <w:r>
        <w:rPr>
          <w:b/>
          <w:color w:val="auto"/>
          <w:szCs w:val="21"/>
        </w:rPr>
        <w:t xml:space="preserve">a)  </w:t>
      </w:r>
      <w:r>
        <w:rPr>
          <w:color w:val="auto"/>
          <w:szCs w:val="21"/>
        </w:rPr>
        <w:t xml:space="preserve">宜采用临时支撑柱与永久柱合一的结构方案； </w:t>
      </w:r>
    </w:p>
    <w:p w14:paraId="6099FC8F">
      <w:pPr>
        <w:snapToGrid w:val="0"/>
        <w:spacing w:line="360" w:lineRule="atLeast"/>
        <w:ind w:firstLine="413" w:firstLineChars="196"/>
        <w:rPr>
          <w:color w:val="auto"/>
          <w:szCs w:val="21"/>
        </w:rPr>
      </w:pPr>
      <w:r>
        <w:rPr>
          <w:b/>
          <w:color w:val="auto"/>
          <w:szCs w:val="21"/>
        </w:rPr>
        <w:t xml:space="preserve">b)  </w:t>
      </w:r>
      <w:r>
        <w:rPr>
          <w:color w:val="auto"/>
          <w:szCs w:val="21"/>
        </w:rPr>
        <w:t>中间竖向支撑系统的设计，应严格控制支撑柱的就位精度，允许定位偏差不</w:t>
      </w:r>
      <w:r>
        <w:rPr>
          <w:rFonts w:hint="eastAsia"/>
          <w:color w:val="auto"/>
          <w:szCs w:val="21"/>
        </w:rPr>
        <w:t>应</w:t>
      </w:r>
      <w:r>
        <w:rPr>
          <w:color w:val="auto"/>
          <w:szCs w:val="21"/>
        </w:rPr>
        <w:t>大于20mm，垂直度偏差不宜大于1/500。在柱的设计中根据施工允许偏差计入偏心对承载能力的影响。</w:t>
      </w:r>
    </w:p>
    <w:p w14:paraId="6ACE1025">
      <w:pPr>
        <w:snapToGrid w:val="0"/>
        <w:spacing w:line="360" w:lineRule="atLeast"/>
        <w:ind w:left="-29" w:leftChars="-14" w:firstLine="441" w:firstLineChars="209"/>
        <w:rPr>
          <w:color w:val="auto"/>
          <w:szCs w:val="21"/>
        </w:rPr>
      </w:pPr>
      <w:r>
        <w:rPr>
          <w:b/>
          <w:color w:val="auto"/>
          <w:szCs w:val="21"/>
        </w:rPr>
        <w:t xml:space="preserve">c)  </w:t>
      </w:r>
      <w:r>
        <w:rPr>
          <w:color w:val="auto"/>
          <w:szCs w:val="21"/>
        </w:rPr>
        <w:t>相邻立柱间和立柱与侧墙之间沉降差应控制在0.002L（L为轴线间距）之内。</w:t>
      </w:r>
    </w:p>
    <w:p w14:paraId="7DE0669A">
      <w:pPr>
        <w:snapToGrid w:val="0"/>
        <w:spacing w:line="360" w:lineRule="atLeast"/>
        <w:ind w:left="15" w:leftChars="7" w:firstLine="407" w:firstLineChars="193"/>
        <w:rPr>
          <w:color w:val="auto"/>
          <w:szCs w:val="21"/>
        </w:rPr>
      </w:pPr>
      <w:r>
        <w:rPr>
          <w:b/>
          <w:color w:val="auto"/>
          <w:szCs w:val="21"/>
        </w:rPr>
        <w:t xml:space="preserve">d)  </w:t>
      </w:r>
      <w:r>
        <w:rPr>
          <w:color w:val="auto"/>
          <w:szCs w:val="21"/>
        </w:rPr>
        <w:t>竖向立柱的长细比不应大于25。其沉降应满足主体结构的受力和变形要求。</w:t>
      </w:r>
    </w:p>
    <w:p w14:paraId="212DC721">
      <w:pPr>
        <w:snapToGrid w:val="0"/>
        <w:spacing w:line="360" w:lineRule="atLeast"/>
        <w:ind w:left="-29" w:leftChars="-14" w:firstLine="441" w:firstLineChars="209"/>
        <w:rPr>
          <w:color w:val="auto"/>
          <w:szCs w:val="21"/>
        </w:rPr>
      </w:pPr>
      <w:r>
        <w:rPr>
          <w:b/>
          <w:color w:val="auto"/>
          <w:szCs w:val="21"/>
        </w:rPr>
        <w:t xml:space="preserve">e)  </w:t>
      </w:r>
      <w:r>
        <w:rPr>
          <w:color w:val="auto"/>
          <w:szCs w:val="21"/>
        </w:rPr>
        <w:t>当楼盖、梁、板整体浇注作为水平支撑体系时，应符合承载力、刚度及抗裂要求。</w:t>
      </w:r>
    </w:p>
    <w:p w14:paraId="786A128C">
      <w:pPr>
        <w:snapToGrid w:val="0"/>
        <w:spacing w:line="360" w:lineRule="atLeast"/>
        <w:rPr>
          <w:color w:val="auto"/>
          <w:szCs w:val="21"/>
        </w:rPr>
      </w:pPr>
      <w:r>
        <w:rPr>
          <w:b/>
          <w:color w:val="auto"/>
          <w:szCs w:val="21"/>
        </w:rPr>
        <w:t xml:space="preserve">16.3.4  </w:t>
      </w:r>
      <w:r>
        <w:rPr>
          <w:color w:val="auto"/>
          <w:szCs w:val="21"/>
        </w:rPr>
        <w:t>盾构法隧道设计应符合以下原则：</w:t>
      </w:r>
    </w:p>
    <w:p w14:paraId="7F91D336">
      <w:pPr>
        <w:snapToGrid w:val="0"/>
        <w:spacing w:line="360" w:lineRule="atLeast"/>
        <w:ind w:firstLine="422" w:firstLineChars="200"/>
        <w:rPr>
          <w:color w:val="auto"/>
          <w:szCs w:val="21"/>
        </w:rPr>
      </w:pPr>
      <w:r>
        <w:rPr>
          <w:b/>
          <w:color w:val="auto"/>
          <w:szCs w:val="21"/>
        </w:rPr>
        <w:t xml:space="preserve">a) </w:t>
      </w:r>
      <w:r>
        <w:rPr>
          <w:color w:val="auto"/>
          <w:szCs w:val="21"/>
        </w:rPr>
        <w:t>盾构法隧道宜选择适宜盾构掘进的地层，避免穿越坚硬岩层、含有漂石的卵砾石层以及上下软硬不均等不良地层，当必须穿越时，应有可靠的工程措施。</w:t>
      </w:r>
    </w:p>
    <w:p w14:paraId="4F374F4D">
      <w:pPr>
        <w:snapToGrid w:val="0"/>
        <w:spacing w:line="360" w:lineRule="atLeast"/>
        <w:ind w:firstLine="422" w:firstLineChars="200"/>
        <w:rPr>
          <w:color w:val="auto"/>
          <w:szCs w:val="21"/>
        </w:rPr>
      </w:pPr>
      <w:r>
        <w:rPr>
          <w:b/>
          <w:color w:val="auto"/>
          <w:szCs w:val="21"/>
        </w:rPr>
        <w:t xml:space="preserve">b)  </w:t>
      </w:r>
      <w:r>
        <w:rPr>
          <w:color w:val="auto"/>
          <w:szCs w:val="21"/>
        </w:rPr>
        <w:t>隧道覆土厚度及隧道之间的间距应综合考虑地质和环境条件等因素确定，</w:t>
      </w:r>
      <w:r>
        <w:rPr>
          <w:rFonts w:hint="eastAsia"/>
          <w:color w:val="auto"/>
          <w:szCs w:val="21"/>
        </w:rPr>
        <w:t>应</w:t>
      </w:r>
      <w:r>
        <w:rPr>
          <w:color w:val="auto"/>
          <w:szCs w:val="21"/>
        </w:rPr>
        <w:t>满足下列规定：</w:t>
      </w:r>
    </w:p>
    <w:p w14:paraId="115606E5">
      <w:pPr>
        <w:snapToGrid w:val="0"/>
        <w:spacing w:line="360" w:lineRule="atLeast"/>
        <w:ind w:firstLine="649" w:firstLineChars="308"/>
        <w:rPr>
          <w:color w:val="auto"/>
          <w:szCs w:val="21"/>
        </w:rPr>
      </w:pPr>
      <w:r>
        <w:rPr>
          <w:b/>
          <w:color w:val="auto"/>
          <w:szCs w:val="21"/>
        </w:rPr>
        <w:t>1</w:t>
      </w:r>
      <w:r>
        <w:rPr>
          <w:rFonts w:hint="eastAsia"/>
          <w:b/>
          <w:color w:val="auto"/>
          <w:szCs w:val="21"/>
        </w:rPr>
        <w:t>）</w:t>
      </w:r>
      <w:r>
        <w:rPr>
          <w:color w:val="auto"/>
          <w:szCs w:val="21"/>
        </w:rPr>
        <w:t>隧道覆土厚度不宜小于1.5D（D为隧道的外径）；</w:t>
      </w:r>
    </w:p>
    <w:p w14:paraId="6CD3914D">
      <w:pPr>
        <w:snapToGrid w:val="0"/>
        <w:spacing w:line="360" w:lineRule="atLeast"/>
        <w:ind w:firstLine="628" w:firstLineChars="298"/>
        <w:rPr>
          <w:color w:val="auto"/>
          <w:szCs w:val="21"/>
        </w:rPr>
      </w:pPr>
      <w:r>
        <w:rPr>
          <w:b/>
          <w:color w:val="auto"/>
          <w:szCs w:val="21"/>
        </w:rPr>
        <w:t>2</w:t>
      </w:r>
      <w:r>
        <w:rPr>
          <w:rFonts w:hint="eastAsia"/>
          <w:b/>
          <w:color w:val="auto"/>
          <w:szCs w:val="21"/>
        </w:rPr>
        <w:t>）</w:t>
      </w:r>
      <w:r>
        <w:rPr>
          <w:color w:val="auto"/>
          <w:szCs w:val="21"/>
        </w:rPr>
        <w:t>并行隧道间的净距以及隧道与地下障碍物的净距不</w:t>
      </w:r>
      <w:r>
        <w:rPr>
          <w:rFonts w:hint="eastAsia"/>
          <w:color w:val="auto"/>
          <w:szCs w:val="21"/>
        </w:rPr>
        <w:t>宜</w:t>
      </w:r>
      <w:r>
        <w:rPr>
          <w:color w:val="auto"/>
          <w:szCs w:val="21"/>
        </w:rPr>
        <w:t>小于1.0D；</w:t>
      </w:r>
    </w:p>
    <w:p w14:paraId="1022A311">
      <w:pPr>
        <w:snapToGrid w:val="0"/>
        <w:spacing w:line="360" w:lineRule="atLeast"/>
        <w:ind w:firstLine="628" w:firstLineChars="298"/>
        <w:rPr>
          <w:color w:val="auto"/>
          <w:szCs w:val="21"/>
        </w:rPr>
      </w:pPr>
      <w:r>
        <w:rPr>
          <w:b/>
          <w:color w:val="auto"/>
          <w:szCs w:val="21"/>
        </w:rPr>
        <w:t>3</w:t>
      </w:r>
      <w:r>
        <w:rPr>
          <w:rFonts w:hint="eastAsia"/>
          <w:b/>
          <w:color w:val="auto"/>
          <w:szCs w:val="21"/>
        </w:rPr>
        <w:t>）</w:t>
      </w:r>
      <w:r>
        <w:rPr>
          <w:color w:val="auto"/>
          <w:szCs w:val="21"/>
        </w:rPr>
        <w:t>交叉隧道最小净距不</w:t>
      </w:r>
      <w:r>
        <w:rPr>
          <w:rFonts w:hint="eastAsia"/>
          <w:color w:val="auto"/>
          <w:szCs w:val="21"/>
        </w:rPr>
        <w:t>宜</w:t>
      </w:r>
      <w:r>
        <w:rPr>
          <w:color w:val="auto"/>
          <w:szCs w:val="21"/>
        </w:rPr>
        <w:t>小于0.4D</w:t>
      </w:r>
      <w:r>
        <w:rPr>
          <w:rFonts w:hint="eastAsia"/>
          <w:color w:val="auto"/>
          <w:szCs w:val="21"/>
        </w:rPr>
        <w:t>；</w:t>
      </w:r>
    </w:p>
    <w:p w14:paraId="606D9640">
      <w:pPr>
        <w:snapToGrid w:val="0"/>
        <w:spacing w:line="360" w:lineRule="atLeast"/>
        <w:ind w:firstLine="628" w:firstLineChars="298"/>
        <w:rPr>
          <w:color w:val="auto"/>
          <w:szCs w:val="21"/>
        </w:rPr>
      </w:pPr>
      <w:r>
        <w:rPr>
          <w:b/>
          <w:color w:val="auto"/>
          <w:szCs w:val="21"/>
        </w:rPr>
        <w:t>4</w:t>
      </w:r>
      <w:r>
        <w:rPr>
          <w:rFonts w:hint="eastAsia"/>
          <w:b/>
          <w:color w:val="auto"/>
          <w:szCs w:val="21"/>
        </w:rPr>
        <w:t>）</w:t>
      </w:r>
      <w:r>
        <w:rPr>
          <w:rFonts w:hint="eastAsia"/>
          <w:color w:val="auto"/>
          <w:szCs w:val="21"/>
        </w:rPr>
        <w:t>当不能满足上述要求时应采取可靠措施保证隧道稳定及周边环境安全</w:t>
      </w:r>
      <w:r>
        <w:rPr>
          <w:color w:val="auto"/>
          <w:szCs w:val="21"/>
        </w:rPr>
        <w:t>。</w:t>
      </w:r>
    </w:p>
    <w:p w14:paraId="090A2818">
      <w:pPr>
        <w:snapToGrid w:val="0"/>
        <w:spacing w:line="360" w:lineRule="atLeast"/>
        <w:ind w:firstLine="422" w:firstLineChars="200"/>
        <w:rPr>
          <w:color w:val="auto"/>
          <w:szCs w:val="21"/>
        </w:rPr>
      </w:pPr>
      <w:r>
        <w:rPr>
          <w:b/>
          <w:color w:val="auto"/>
          <w:szCs w:val="21"/>
        </w:rPr>
        <w:t xml:space="preserve">c)  </w:t>
      </w:r>
      <w:r>
        <w:rPr>
          <w:color w:val="auto"/>
          <w:szCs w:val="21"/>
        </w:rPr>
        <w:t>盾构隧道与车站主体、联络通道、区间风井等结构相接处宜设置变形缝，其构造应符合轨道交通工程防水的相关规定。</w:t>
      </w:r>
    </w:p>
    <w:p w14:paraId="2CB4CAF0">
      <w:pPr>
        <w:snapToGrid w:val="0"/>
        <w:spacing w:line="360" w:lineRule="atLeast"/>
        <w:ind w:firstLine="422" w:firstLineChars="200"/>
        <w:rPr>
          <w:color w:val="auto"/>
          <w:szCs w:val="21"/>
        </w:rPr>
      </w:pPr>
      <w:r>
        <w:rPr>
          <w:b/>
          <w:color w:val="auto"/>
          <w:szCs w:val="21"/>
        </w:rPr>
        <w:t xml:space="preserve">d)  </w:t>
      </w:r>
      <w:r>
        <w:rPr>
          <w:color w:val="auto"/>
          <w:szCs w:val="21"/>
        </w:rPr>
        <w:t>盾构掘进时应对管片背后进行同步注浆。注浆材料宜根据岩土工程条件选定。</w:t>
      </w:r>
    </w:p>
    <w:p w14:paraId="2B5C8D2D">
      <w:pPr>
        <w:snapToGrid w:val="0"/>
        <w:spacing w:line="360" w:lineRule="atLeast"/>
        <w:ind w:firstLine="422" w:firstLineChars="200"/>
        <w:rPr>
          <w:color w:val="auto"/>
          <w:szCs w:val="21"/>
        </w:rPr>
      </w:pPr>
      <w:r>
        <w:rPr>
          <w:b/>
          <w:color w:val="auto"/>
          <w:szCs w:val="21"/>
        </w:rPr>
        <w:t xml:space="preserve">e)  </w:t>
      </w:r>
      <w:r>
        <w:rPr>
          <w:color w:val="auto"/>
          <w:szCs w:val="21"/>
        </w:rPr>
        <w:t>区间联络通道，应根据所处地层、水文和周边环境条件，选择合适的施工工法，必要时可采取土体加固、冻结法、洞外降水、洞内支撑等措施，联络通道两侧的正洞应设置加强衬砌段。</w:t>
      </w:r>
    </w:p>
    <w:p w14:paraId="11385DFE">
      <w:pPr>
        <w:snapToGrid w:val="0"/>
        <w:spacing w:line="360" w:lineRule="atLeast"/>
        <w:rPr>
          <w:color w:val="auto"/>
          <w:szCs w:val="21"/>
        </w:rPr>
      </w:pPr>
      <w:r>
        <w:rPr>
          <w:b/>
          <w:color w:val="auto"/>
          <w:szCs w:val="21"/>
        </w:rPr>
        <w:t>16.3.5</w:t>
      </w:r>
      <w:r>
        <w:rPr>
          <w:color w:val="auto"/>
          <w:szCs w:val="21"/>
        </w:rPr>
        <w:t xml:space="preserve">  盾构法隧道计算应符合以下原则：</w:t>
      </w:r>
    </w:p>
    <w:p w14:paraId="0D990225">
      <w:pPr>
        <w:snapToGrid w:val="0"/>
        <w:spacing w:line="360" w:lineRule="atLeast"/>
        <w:ind w:firstLine="422" w:firstLineChars="200"/>
        <w:rPr>
          <w:color w:val="auto"/>
          <w:szCs w:val="21"/>
        </w:rPr>
      </w:pPr>
      <w:r>
        <w:rPr>
          <w:b/>
          <w:color w:val="auto"/>
          <w:szCs w:val="21"/>
        </w:rPr>
        <w:t xml:space="preserve">a)  </w:t>
      </w:r>
      <w:r>
        <w:rPr>
          <w:color w:val="auto"/>
          <w:szCs w:val="21"/>
        </w:rPr>
        <w:t>结构计算时应分别选取隧道覆土最厚（薄）、水压力最大（小）、存在超载或偏压等不利工况进行横断面内力计算。</w:t>
      </w:r>
    </w:p>
    <w:p w14:paraId="52D0C902">
      <w:pPr>
        <w:snapToGrid w:val="0"/>
        <w:spacing w:line="360" w:lineRule="atLeast"/>
        <w:ind w:firstLine="422" w:firstLineChars="200"/>
        <w:rPr>
          <w:color w:val="auto"/>
          <w:szCs w:val="21"/>
        </w:rPr>
      </w:pPr>
      <w:r>
        <w:rPr>
          <w:b/>
          <w:color w:val="auto"/>
          <w:szCs w:val="21"/>
        </w:rPr>
        <w:t>b)</w:t>
      </w:r>
      <w:r>
        <w:rPr>
          <w:color w:val="auto"/>
          <w:szCs w:val="21"/>
        </w:rPr>
        <w:t xml:space="preserve">  盾构隧道的计算模型应根据地层情况，衬砌的构造特点以及施工工艺等确定，并应考虑管片与地层之间的共同作用以及管片接头刚度的影响</w:t>
      </w:r>
      <w:r>
        <w:rPr>
          <w:rFonts w:hint="eastAsia"/>
          <w:color w:val="auto"/>
          <w:szCs w:val="21"/>
        </w:rPr>
        <w:t>。</w:t>
      </w:r>
    </w:p>
    <w:p w14:paraId="5D9C6A5D">
      <w:pPr>
        <w:snapToGrid w:val="0"/>
        <w:spacing w:line="360" w:lineRule="atLeast"/>
        <w:ind w:firstLine="422" w:firstLineChars="200"/>
        <w:rPr>
          <w:color w:val="auto"/>
          <w:szCs w:val="21"/>
        </w:rPr>
      </w:pPr>
      <w:r>
        <w:rPr>
          <w:b/>
          <w:color w:val="auto"/>
          <w:szCs w:val="21"/>
        </w:rPr>
        <w:t xml:space="preserve">c)  </w:t>
      </w:r>
      <w:r>
        <w:rPr>
          <w:color w:val="auto"/>
          <w:szCs w:val="21"/>
        </w:rPr>
        <w:t>横断面方向管片结构计算模型有匀质圆环模型、梁-弹簧模型等。错缝拼装管片衬砌计算，宜考虑衬砌环间剪力传递作用的影响。</w:t>
      </w:r>
    </w:p>
    <w:p w14:paraId="69F95432">
      <w:pPr>
        <w:snapToGrid w:val="0"/>
        <w:spacing w:line="360" w:lineRule="atLeast"/>
        <w:ind w:firstLine="422" w:firstLineChars="200"/>
        <w:rPr>
          <w:color w:val="auto"/>
          <w:szCs w:val="21"/>
        </w:rPr>
      </w:pPr>
      <w:r>
        <w:rPr>
          <w:b/>
          <w:color w:val="auto"/>
          <w:szCs w:val="21"/>
        </w:rPr>
        <w:t>d)</w:t>
      </w:r>
      <w:r>
        <w:rPr>
          <w:color w:val="auto"/>
          <w:szCs w:val="21"/>
        </w:rPr>
        <w:t xml:space="preserve">  当采用匀质圆环模型进行管片衬砌计算时，应考虑管片接头影响对衬砌环整体刚度进行适当折减；错缝拼装衬砌环应考虑管片接头弯矩向两侧管片的传递效应。</w:t>
      </w:r>
    </w:p>
    <w:p w14:paraId="0CA3B3AD">
      <w:pPr>
        <w:snapToGrid w:val="0"/>
        <w:spacing w:line="360" w:lineRule="atLeast"/>
        <w:ind w:firstLine="413" w:firstLineChars="196"/>
        <w:rPr>
          <w:color w:val="auto"/>
          <w:szCs w:val="21"/>
        </w:rPr>
      </w:pPr>
      <w:r>
        <w:rPr>
          <w:b/>
          <w:color w:val="auto"/>
          <w:szCs w:val="21"/>
        </w:rPr>
        <w:t xml:space="preserve">e)  </w:t>
      </w:r>
      <w:r>
        <w:rPr>
          <w:color w:val="auto"/>
          <w:szCs w:val="21"/>
        </w:rPr>
        <w:t>遇下列情况时，应对隧道纵向强度和变形进行分析。</w:t>
      </w:r>
    </w:p>
    <w:p w14:paraId="1FFBDAA6">
      <w:pPr>
        <w:snapToGrid w:val="0"/>
        <w:spacing w:line="360" w:lineRule="atLeast"/>
        <w:ind w:firstLine="740" w:firstLineChars="351"/>
        <w:rPr>
          <w:color w:val="auto"/>
          <w:szCs w:val="21"/>
        </w:rPr>
      </w:pPr>
      <w:r>
        <w:rPr>
          <w:b/>
          <w:color w:val="auto"/>
          <w:szCs w:val="21"/>
        </w:rPr>
        <w:t>1)</w:t>
      </w:r>
      <w:r>
        <w:rPr>
          <w:color w:val="auto"/>
          <w:szCs w:val="21"/>
        </w:rPr>
        <w:t xml:space="preserve"> 覆土厚度或地层沿隧道纵向有较大变化时；</w:t>
      </w:r>
    </w:p>
    <w:p w14:paraId="72F88F59">
      <w:pPr>
        <w:snapToGrid w:val="0"/>
        <w:spacing w:line="360" w:lineRule="atLeast"/>
        <w:ind w:firstLine="740" w:firstLineChars="351"/>
        <w:rPr>
          <w:color w:val="auto"/>
          <w:szCs w:val="21"/>
        </w:rPr>
      </w:pPr>
      <w:r>
        <w:rPr>
          <w:b/>
          <w:color w:val="auto"/>
          <w:szCs w:val="21"/>
        </w:rPr>
        <w:t xml:space="preserve">2) </w:t>
      </w:r>
      <w:r>
        <w:rPr>
          <w:color w:val="auto"/>
          <w:szCs w:val="21"/>
        </w:rPr>
        <w:t>穿越重要建</w:t>
      </w:r>
      <w:r>
        <w:rPr>
          <w:rFonts w:hint="eastAsia"/>
          <w:color w:val="auto"/>
          <w:szCs w:val="21"/>
        </w:rPr>
        <w:t>（</w:t>
      </w:r>
      <w:r>
        <w:rPr>
          <w:color w:val="auto"/>
          <w:szCs w:val="21"/>
        </w:rPr>
        <w:t>构</w:t>
      </w:r>
      <w:r>
        <w:rPr>
          <w:rFonts w:hint="eastAsia"/>
          <w:color w:val="auto"/>
          <w:szCs w:val="21"/>
        </w:rPr>
        <w:t>）</w:t>
      </w:r>
      <w:r>
        <w:rPr>
          <w:color w:val="auto"/>
          <w:szCs w:val="21"/>
        </w:rPr>
        <w:t>筑物或直接承受较大局部荷载时；</w:t>
      </w:r>
    </w:p>
    <w:p w14:paraId="67DFB5A3">
      <w:pPr>
        <w:snapToGrid w:val="0"/>
        <w:spacing w:line="360" w:lineRule="atLeast"/>
        <w:ind w:firstLine="740" w:firstLineChars="351"/>
        <w:rPr>
          <w:color w:val="auto"/>
          <w:szCs w:val="21"/>
        </w:rPr>
      </w:pPr>
      <w:r>
        <w:rPr>
          <w:b/>
          <w:color w:val="auto"/>
          <w:szCs w:val="21"/>
        </w:rPr>
        <w:t xml:space="preserve">3) </w:t>
      </w:r>
      <w:r>
        <w:rPr>
          <w:color w:val="auto"/>
          <w:szCs w:val="21"/>
        </w:rPr>
        <w:t>地基沿纵向产生不均匀沉降时</w:t>
      </w:r>
      <w:r>
        <w:rPr>
          <w:rFonts w:hint="eastAsia"/>
          <w:color w:val="auto"/>
          <w:szCs w:val="21"/>
        </w:rPr>
        <w:t>。</w:t>
      </w:r>
    </w:p>
    <w:p w14:paraId="73F782C6">
      <w:pPr>
        <w:snapToGrid w:val="0"/>
        <w:spacing w:line="360" w:lineRule="atLeast"/>
        <w:ind w:firstLine="413" w:firstLineChars="196"/>
        <w:rPr>
          <w:color w:val="auto"/>
          <w:szCs w:val="21"/>
        </w:rPr>
      </w:pPr>
      <w:r>
        <w:rPr>
          <w:b/>
          <w:color w:val="auto"/>
          <w:szCs w:val="21"/>
        </w:rPr>
        <w:t xml:space="preserve">f)  </w:t>
      </w:r>
      <w:r>
        <w:rPr>
          <w:color w:val="auto"/>
          <w:szCs w:val="21"/>
        </w:rPr>
        <w:t>盾构法隧道衬砌结构应按荷载效应准永久组合进行变形计算，其直径变形量不应大于2‰D。</w:t>
      </w:r>
    </w:p>
    <w:p w14:paraId="087161B6">
      <w:pPr>
        <w:snapToGrid w:val="0"/>
        <w:spacing w:line="360" w:lineRule="atLeast"/>
        <w:rPr>
          <w:color w:val="auto"/>
          <w:szCs w:val="21"/>
        </w:rPr>
      </w:pPr>
      <w:r>
        <w:rPr>
          <w:b/>
          <w:color w:val="auto"/>
          <w:szCs w:val="21"/>
        </w:rPr>
        <w:t>16.3. 6</w:t>
      </w:r>
      <w:r>
        <w:rPr>
          <w:color w:val="auto"/>
          <w:szCs w:val="21"/>
        </w:rPr>
        <w:t xml:space="preserve">  盾构始发、接收设计应符合下列要求：</w:t>
      </w:r>
    </w:p>
    <w:p w14:paraId="7D626E6D">
      <w:pPr>
        <w:snapToGrid w:val="0"/>
        <w:spacing w:line="360" w:lineRule="atLeast"/>
        <w:ind w:firstLine="422" w:firstLineChars="200"/>
        <w:rPr>
          <w:color w:val="auto"/>
          <w:szCs w:val="21"/>
        </w:rPr>
      </w:pPr>
      <w:r>
        <w:rPr>
          <w:b/>
          <w:color w:val="auto"/>
          <w:szCs w:val="21"/>
        </w:rPr>
        <w:t xml:space="preserve">a)  </w:t>
      </w:r>
      <w:r>
        <w:rPr>
          <w:color w:val="auto"/>
          <w:szCs w:val="21"/>
        </w:rPr>
        <w:t>盾构始发或接收前，洞门外土体加固方法、加固体范围和加固体物理力学参数等应根据土</w:t>
      </w:r>
      <w:r>
        <w:rPr>
          <w:rFonts w:hint="eastAsia"/>
          <w:color w:val="auto"/>
          <w:szCs w:val="21"/>
        </w:rPr>
        <w:t>层</w:t>
      </w:r>
      <w:r>
        <w:rPr>
          <w:color w:val="auto"/>
          <w:szCs w:val="21"/>
        </w:rPr>
        <w:t>、地下水、盾构选型、覆土厚度、周围环境等条件确定。可采用高压旋喷桩、深层搅拌桩、混凝土素桩、注浆法、冻结法</w:t>
      </w:r>
      <w:r>
        <w:rPr>
          <w:rFonts w:hint="eastAsia"/>
          <w:color w:val="auto"/>
          <w:szCs w:val="21"/>
        </w:rPr>
        <w:t>、管井降水</w:t>
      </w:r>
      <w:r>
        <w:rPr>
          <w:color w:val="auto"/>
          <w:szCs w:val="21"/>
        </w:rPr>
        <w:t>等</w:t>
      </w:r>
      <w:r>
        <w:rPr>
          <w:rFonts w:hint="eastAsia"/>
          <w:color w:val="auto"/>
          <w:szCs w:val="21"/>
        </w:rPr>
        <w:t>措施</w:t>
      </w:r>
      <w:r>
        <w:rPr>
          <w:color w:val="auto"/>
          <w:szCs w:val="21"/>
        </w:rPr>
        <w:t>。</w:t>
      </w:r>
    </w:p>
    <w:p w14:paraId="4C376804">
      <w:pPr>
        <w:snapToGrid w:val="0"/>
        <w:spacing w:line="360" w:lineRule="atLeast"/>
        <w:ind w:firstLine="422" w:firstLineChars="200"/>
        <w:rPr>
          <w:color w:val="auto"/>
          <w:szCs w:val="21"/>
        </w:rPr>
      </w:pPr>
      <w:r>
        <w:rPr>
          <w:b/>
          <w:color w:val="auto"/>
          <w:szCs w:val="21"/>
        </w:rPr>
        <w:t xml:space="preserve">b)  </w:t>
      </w:r>
      <w:r>
        <w:rPr>
          <w:color w:val="auto"/>
          <w:szCs w:val="21"/>
        </w:rPr>
        <w:t>加固体在隧道径向</w:t>
      </w:r>
      <w:r>
        <w:rPr>
          <w:rFonts w:hint="eastAsia"/>
          <w:color w:val="auto"/>
          <w:szCs w:val="21"/>
        </w:rPr>
        <w:t>范围宜</w:t>
      </w:r>
      <w:r>
        <w:rPr>
          <w:color w:val="auto"/>
          <w:szCs w:val="21"/>
        </w:rPr>
        <w:t>为隧道周围各3.0m的</w:t>
      </w:r>
      <w:r>
        <w:rPr>
          <w:rFonts w:hint="eastAsia"/>
          <w:color w:val="auto"/>
          <w:szCs w:val="21"/>
        </w:rPr>
        <w:t>区域</w:t>
      </w:r>
      <w:r>
        <w:rPr>
          <w:color w:val="auto"/>
          <w:szCs w:val="21"/>
        </w:rPr>
        <w:t>；加固体长度不宜小于盾构机机头长度，在有水地层条件接收时，加固体长度应不小于盾构机机头长度加2.0m。</w:t>
      </w:r>
    </w:p>
    <w:p w14:paraId="746E03A9">
      <w:pPr>
        <w:snapToGrid w:val="0"/>
        <w:spacing w:line="360" w:lineRule="atLeast"/>
        <w:ind w:firstLine="413" w:firstLineChars="196"/>
        <w:rPr>
          <w:color w:val="auto"/>
          <w:szCs w:val="21"/>
        </w:rPr>
      </w:pPr>
      <w:r>
        <w:rPr>
          <w:b/>
          <w:color w:val="auto"/>
          <w:szCs w:val="21"/>
        </w:rPr>
        <w:t>c)</w:t>
      </w:r>
      <w:r>
        <w:rPr>
          <w:color w:val="auto"/>
          <w:szCs w:val="21"/>
        </w:rPr>
        <w:t xml:space="preserve">  当洞门处围护结构采用非钢筋混凝土材料时，加固体范围应重新核算。</w:t>
      </w:r>
    </w:p>
    <w:p w14:paraId="60073B73">
      <w:pPr>
        <w:snapToGrid w:val="0"/>
        <w:spacing w:line="360" w:lineRule="atLeast"/>
        <w:rPr>
          <w:color w:val="auto"/>
          <w:szCs w:val="21"/>
        </w:rPr>
      </w:pPr>
      <w:r>
        <w:rPr>
          <w:b/>
          <w:color w:val="auto"/>
          <w:szCs w:val="21"/>
        </w:rPr>
        <w:t xml:space="preserve">16.3.7 </w:t>
      </w:r>
      <w:r>
        <w:rPr>
          <w:color w:val="auto"/>
          <w:szCs w:val="21"/>
        </w:rPr>
        <w:t xml:space="preserve"> 净距小于1.0D的盾构隧道设计应符合下列基本原则：</w:t>
      </w:r>
    </w:p>
    <w:p w14:paraId="2E45F14D">
      <w:pPr>
        <w:snapToGrid w:val="0"/>
        <w:spacing w:line="360" w:lineRule="atLeast"/>
        <w:ind w:firstLine="422" w:firstLineChars="200"/>
        <w:rPr>
          <w:color w:val="auto"/>
          <w:spacing w:val="-2"/>
          <w:szCs w:val="21"/>
        </w:rPr>
      </w:pPr>
      <w:r>
        <w:rPr>
          <w:b/>
          <w:color w:val="auto"/>
          <w:szCs w:val="21"/>
        </w:rPr>
        <w:t xml:space="preserve">a)  </w:t>
      </w:r>
      <w:r>
        <w:rPr>
          <w:color w:val="auto"/>
          <w:szCs w:val="21"/>
        </w:rPr>
        <w:t>应综合考虑工程地质及水文地质条件、周围环境情况、隧道净距、施工顺序、工程造价等因素，对因</w:t>
      </w:r>
      <w:r>
        <w:rPr>
          <w:color w:val="auto"/>
          <w:spacing w:val="-2"/>
          <w:szCs w:val="21"/>
        </w:rPr>
        <w:t>近距离盾构掘进产生的相互影响采取适当的保护措施，如衬砌加强、地层加固、隧道内支撑等。</w:t>
      </w:r>
    </w:p>
    <w:p w14:paraId="7B7EEC42">
      <w:pPr>
        <w:snapToGrid w:val="0"/>
        <w:spacing w:line="360" w:lineRule="atLeast"/>
        <w:ind w:firstLine="417" w:firstLineChars="198"/>
        <w:rPr>
          <w:color w:val="auto"/>
          <w:szCs w:val="21"/>
        </w:rPr>
      </w:pPr>
      <w:r>
        <w:rPr>
          <w:b/>
          <w:color w:val="auto"/>
          <w:szCs w:val="21"/>
        </w:rPr>
        <w:t>b)</w:t>
      </w:r>
      <w:r>
        <w:rPr>
          <w:color w:val="auto"/>
          <w:szCs w:val="21"/>
        </w:rPr>
        <w:t xml:space="preserve">  隧道衬砌设计应对相邻隧道的施工影响进行计算分析，必要时对管片配筋、接头螺栓等设计参数作适当加强。</w:t>
      </w:r>
    </w:p>
    <w:p w14:paraId="2FB54CA9">
      <w:pPr>
        <w:snapToGrid w:val="0"/>
        <w:spacing w:line="360" w:lineRule="atLeast"/>
        <w:rPr>
          <w:color w:val="auto"/>
          <w:szCs w:val="21"/>
        </w:rPr>
      </w:pPr>
      <w:r>
        <w:rPr>
          <w:b/>
          <w:color w:val="auto"/>
          <w:szCs w:val="21"/>
        </w:rPr>
        <w:t>16.3.8</w:t>
      </w:r>
      <w:r>
        <w:rPr>
          <w:color w:val="auto"/>
          <w:szCs w:val="21"/>
        </w:rPr>
        <w:t xml:space="preserve">  </w:t>
      </w:r>
      <w:r>
        <w:rPr>
          <w:rFonts w:hint="eastAsia"/>
          <w:color w:val="auto"/>
          <w:szCs w:val="21"/>
        </w:rPr>
        <w:t>当基底深度超过20m且位于饱和砂类土及互层土时，根据地层分布情况应在地连墙围护结构外设置可靠的止水帷幕，对处于长江I级阶地的此类基坑，应高度重视地连墙接缝止水方案的比选论证，确定科学合理的工艺工法。</w:t>
      </w:r>
    </w:p>
    <w:p w14:paraId="6FB38060">
      <w:pPr>
        <w:snapToGrid w:val="0"/>
        <w:spacing w:line="360" w:lineRule="atLeast"/>
        <w:rPr>
          <w:color w:val="auto"/>
          <w:szCs w:val="21"/>
        </w:rPr>
      </w:pPr>
      <w:r>
        <w:rPr>
          <w:b/>
          <w:color w:val="auto"/>
          <w:szCs w:val="21"/>
        </w:rPr>
        <w:t>16.3.</w:t>
      </w:r>
      <w:r>
        <w:rPr>
          <w:rFonts w:hint="eastAsia"/>
          <w:b/>
          <w:color w:val="auto"/>
          <w:szCs w:val="21"/>
        </w:rPr>
        <w:t>9</w:t>
      </w:r>
      <w:r>
        <w:rPr>
          <w:color w:val="auto"/>
          <w:szCs w:val="21"/>
        </w:rPr>
        <w:t xml:space="preserve">  抗浮设计应符合下列要求：</w:t>
      </w:r>
    </w:p>
    <w:p w14:paraId="0B355AFE">
      <w:pPr>
        <w:snapToGrid w:val="0"/>
        <w:spacing w:line="360" w:lineRule="atLeast"/>
        <w:ind w:firstLine="422" w:firstLineChars="200"/>
        <w:rPr>
          <w:color w:val="auto"/>
          <w:szCs w:val="21"/>
        </w:rPr>
      </w:pPr>
      <w:r>
        <w:rPr>
          <w:b/>
          <w:color w:val="auto"/>
          <w:szCs w:val="21"/>
        </w:rPr>
        <w:t>a)</w:t>
      </w:r>
      <w:r>
        <w:rPr>
          <w:color w:val="auto"/>
          <w:szCs w:val="21"/>
        </w:rPr>
        <w:t xml:space="preserve">  应按设计</w:t>
      </w:r>
      <w:r>
        <w:rPr>
          <w:rFonts w:hint="eastAsia"/>
          <w:color w:val="auto"/>
          <w:szCs w:val="21"/>
        </w:rPr>
        <w:t>工作</w:t>
      </w:r>
      <w:r>
        <w:rPr>
          <w:color w:val="auto"/>
          <w:szCs w:val="21"/>
        </w:rPr>
        <w:t>年限为100年的要求确定抗浮设计水位。</w:t>
      </w:r>
    </w:p>
    <w:p w14:paraId="3A24B6CB">
      <w:pPr>
        <w:snapToGrid w:val="0"/>
        <w:spacing w:line="360" w:lineRule="atLeast"/>
        <w:ind w:firstLine="422" w:firstLineChars="200"/>
        <w:rPr>
          <w:color w:val="auto"/>
          <w:szCs w:val="21"/>
        </w:rPr>
      </w:pPr>
      <w:r>
        <w:rPr>
          <w:b/>
          <w:color w:val="auto"/>
          <w:szCs w:val="21"/>
        </w:rPr>
        <w:t>b)</w:t>
      </w:r>
      <w:r>
        <w:rPr>
          <w:color w:val="auto"/>
          <w:szCs w:val="21"/>
        </w:rPr>
        <w:t xml:space="preserve">  可参照本文件第13.</w:t>
      </w:r>
      <w:r>
        <w:rPr>
          <w:rFonts w:hint="eastAsia"/>
          <w:color w:val="auto"/>
          <w:szCs w:val="21"/>
        </w:rPr>
        <w:t>5</w:t>
      </w:r>
      <w:r>
        <w:rPr>
          <w:color w:val="auto"/>
          <w:szCs w:val="21"/>
        </w:rPr>
        <w:t>.</w:t>
      </w:r>
      <w:r>
        <w:rPr>
          <w:rFonts w:hint="eastAsia"/>
          <w:color w:val="auto"/>
          <w:szCs w:val="21"/>
        </w:rPr>
        <w:t>3</w:t>
      </w:r>
      <w:r>
        <w:rPr>
          <w:color w:val="auto"/>
          <w:szCs w:val="21"/>
        </w:rPr>
        <w:t>条及第13.</w:t>
      </w:r>
      <w:r>
        <w:rPr>
          <w:rFonts w:hint="eastAsia"/>
          <w:color w:val="auto"/>
          <w:szCs w:val="21"/>
        </w:rPr>
        <w:t>5</w:t>
      </w:r>
      <w:r>
        <w:rPr>
          <w:color w:val="auto"/>
          <w:szCs w:val="21"/>
        </w:rPr>
        <w:t>.</w:t>
      </w:r>
      <w:r>
        <w:rPr>
          <w:rFonts w:hint="eastAsia"/>
          <w:color w:val="auto"/>
          <w:szCs w:val="21"/>
        </w:rPr>
        <w:t>4</w:t>
      </w:r>
      <w:r>
        <w:rPr>
          <w:color w:val="auto"/>
          <w:szCs w:val="21"/>
        </w:rPr>
        <w:t>条的规定确定抗浮设计水位，取值不得低于上述规定。</w:t>
      </w:r>
    </w:p>
    <w:p w14:paraId="569D8295">
      <w:pPr>
        <w:snapToGrid w:val="0"/>
        <w:spacing w:line="360" w:lineRule="atLeast"/>
        <w:ind w:firstLine="422" w:firstLineChars="200"/>
        <w:rPr>
          <w:color w:val="auto"/>
          <w:szCs w:val="21"/>
        </w:rPr>
      </w:pPr>
      <w:r>
        <w:rPr>
          <w:b/>
          <w:color w:val="auto"/>
          <w:szCs w:val="21"/>
        </w:rPr>
        <w:t>c)</w:t>
      </w:r>
      <w:r>
        <w:rPr>
          <w:color w:val="auto"/>
          <w:szCs w:val="21"/>
        </w:rPr>
        <w:t xml:space="preserve">  </w:t>
      </w:r>
      <w:r>
        <w:rPr>
          <w:rFonts w:hint="eastAsia"/>
          <w:color w:val="auto"/>
          <w:szCs w:val="21"/>
        </w:rPr>
        <w:t>地铁车站</w:t>
      </w:r>
      <w:r>
        <w:rPr>
          <w:color w:val="auto"/>
          <w:szCs w:val="21"/>
        </w:rPr>
        <w:t>当满足本文件13.</w:t>
      </w:r>
      <w:r>
        <w:rPr>
          <w:rFonts w:hint="eastAsia"/>
          <w:color w:val="auto"/>
          <w:szCs w:val="21"/>
        </w:rPr>
        <w:t>5</w:t>
      </w:r>
      <w:r>
        <w:rPr>
          <w:color w:val="auto"/>
          <w:szCs w:val="21"/>
        </w:rPr>
        <w:t>.</w:t>
      </w:r>
      <w:r>
        <w:rPr>
          <w:rFonts w:hint="eastAsia"/>
          <w:color w:val="auto"/>
          <w:szCs w:val="21"/>
        </w:rPr>
        <w:t>2</w:t>
      </w:r>
      <w:r>
        <w:rPr>
          <w:color w:val="auto"/>
          <w:szCs w:val="21"/>
        </w:rPr>
        <w:t>条规定</w:t>
      </w:r>
      <w:r>
        <w:rPr>
          <w:rFonts w:hint="eastAsia"/>
          <w:color w:val="auto"/>
          <w:szCs w:val="21"/>
        </w:rPr>
        <w:t>的条件和采取的措施后，抗浮设计</w:t>
      </w:r>
      <w:r>
        <w:rPr>
          <w:color w:val="auto"/>
          <w:szCs w:val="21"/>
        </w:rPr>
        <w:t>应结合轨道交通工程的具体情况进行专项技术论证。</w:t>
      </w:r>
    </w:p>
    <w:p w14:paraId="3E3AAFCB">
      <w:pPr>
        <w:snapToGrid w:val="0"/>
        <w:spacing w:line="360" w:lineRule="atLeast"/>
        <w:ind w:firstLine="422" w:firstLineChars="200"/>
        <w:rPr>
          <w:color w:val="auto"/>
          <w:szCs w:val="21"/>
        </w:rPr>
      </w:pPr>
      <w:r>
        <w:rPr>
          <w:b/>
          <w:color w:val="auto"/>
          <w:szCs w:val="21"/>
        </w:rPr>
        <w:t>d)</w:t>
      </w:r>
      <w:r>
        <w:rPr>
          <w:color w:val="auto"/>
          <w:szCs w:val="21"/>
        </w:rPr>
        <w:t xml:space="preserve">  结构以自重和压重平衡地下水浮力时，抗浮稳定安全系数不应小于</w:t>
      </w:r>
      <w:r>
        <w:rPr>
          <w:rFonts w:hint="eastAsia"/>
          <w:color w:val="auto"/>
          <w:szCs w:val="21"/>
        </w:rPr>
        <w:t>1</w:t>
      </w:r>
      <w:r>
        <w:rPr>
          <w:color w:val="auto"/>
          <w:szCs w:val="21"/>
        </w:rPr>
        <w:t>.10；采用复合或叠合结构考虑围护结构摩阻力时，抗浮稳定安全系数不应小于1.15。</w:t>
      </w:r>
    </w:p>
    <w:p w14:paraId="55A8F72A">
      <w:pPr>
        <w:snapToGrid w:val="0"/>
        <w:spacing w:line="360" w:lineRule="atLeast"/>
        <w:ind w:firstLine="420" w:firstLineChars="200"/>
        <w:rPr>
          <w:color w:val="auto"/>
          <w:szCs w:val="21"/>
        </w:rPr>
      </w:pPr>
      <w:r>
        <w:rPr>
          <w:color w:val="auto"/>
          <w:szCs w:val="21"/>
        </w:rPr>
        <w:t>当结构跨度较大时，应进行整体抗浮稳定及局部抗浮稳定验算，必要时设置抗拔构件。</w:t>
      </w:r>
    </w:p>
    <w:p w14:paraId="45BDF6CE">
      <w:pPr>
        <w:snapToGrid w:val="0"/>
        <w:spacing w:line="360" w:lineRule="atLeast"/>
        <w:ind w:firstLine="422" w:firstLineChars="200"/>
        <w:rPr>
          <w:color w:val="auto"/>
          <w:szCs w:val="21"/>
        </w:rPr>
      </w:pPr>
      <w:r>
        <w:rPr>
          <w:b/>
          <w:color w:val="auto"/>
          <w:szCs w:val="21"/>
        </w:rPr>
        <w:t>e)</w:t>
      </w:r>
      <w:r>
        <w:rPr>
          <w:color w:val="auto"/>
          <w:szCs w:val="21"/>
        </w:rPr>
        <w:t xml:space="preserve">  自重及压重不能平衡地下水浮力的U形槽及埋深较浅的隧道等地下结构，应采取增设抗拔构件等抗浮措施。</w:t>
      </w:r>
    </w:p>
    <w:p w14:paraId="38DBCB2C">
      <w:pPr>
        <w:snapToGrid w:val="0"/>
        <w:spacing w:line="360" w:lineRule="atLeast"/>
        <w:ind w:firstLine="422" w:firstLineChars="200"/>
        <w:rPr>
          <w:color w:val="auto"/>
          <w:szCs w:val="21"/>
        </w:rPr>
      </w:pPr>
      <w:r>
        <w:rPr>
          <w:b/>
          <w:color w:val="auto"/>
          <w:szCs w:val="21"/>
        </w:rPr>
        <w:t>f)</w:t>
      </w:r>
      <w:r>
        <w:rPr>
          <w:color w:val="auto"/>
          <w:szCs w:val="21"/>
        </w:rPr>
        <w:t xml:space="preserve">  地下结构的侧墙、底板等构件均应考虑地下水的浮力和侧压力作用，按最不利组合对构件进行强度和抗裂验算。</w:t>
      </w:r>
    </w:p>
    <w:p w14:paraId="1FF0A7A4">
      <w:pPr>
        <w:snapToGrid w:val="0"/>
        <w:spacing w:line="360" w:lineRule="atLeast"/>
        <w:ind w:firstLine="420" w:firstLineChars="200"/>
        <w:rPr>
          <w:color w:val="auto"/>
          <w:szCs w:val="21"/>
        </w:rPr>
      </w:pPr>
    </w:p>
    <w:p w14:paraId="63624024">
      <w:pPr>
        <w:adjustRightInd w:val="0"/>
        <w:snapToGrid w:val="0"/>
        <w:spacing w:line="340" w:lineRule="exact"/>
        <w:outlineLvl w:val="1"/>
        <w:rPr>
          <w:rFonts w:eastAsia="黑体"/>
          <w:b/>
          <w:bCs/>
          <w:color w:val="auto"/>
          <w:szCs w:val="21"/>
        </w:rPr>
      </w:pPr>
      <w:bookmarkStart w:id="98" w:name="_Toc199943641"/>
      <w:r>
        <w:rPr>
          <w:rFonts w:eastAsia="黑体"/>
          <w:b/>
          <w:bCs/>
          <w:color w:val="auto"/>
          <w:szCs w:val="21"/>
        </w:rPr>
        <w:t>16.4  围护结构</w:t>
      </w:r>
      <w:r>
        <w:rPr>
          <w:rFonts w:hint="eastAsia" w:eastAsia="黑体"/>
          <w:b/>
          <w:bCs/>
          <w:color w:val="auto"/>
          <w:szCs w:val="21"/>
        </w:rPr>
        <w:t>与</w:t>
      </w:r>
      <w:r>
        <w:rPr>
          <w:rFonts w:eastAsia="黑体"/>
          <w:b/>
          <w:bCs/>
          <w:color w:val="auto"/>
          <w:szCs w:val="21"/>
        </w:rPr>
        <w:t>桩基检测</w:t>
      </w:r>
      <w:bookmarkEnd w:id="98"/>
    </w:p>
    <w:p w14:paraId="197C2AD7">
      <w:pPr>
        <w:adjustRightInd w:val="0"/>
        <w:snapToGrid w:val="0"/>
        <w:spacing w:line="360" w:lineRule="atLeast"/>
        <w:jc w:val="center"/>
        <w:rPr>
          <w:rFonts w:eastAsia="黑体"/>
          <w:b/>
          <w:bCs/>
          <w:color w:val="auto"/>
          <w:szCs w:val="21"/>
        </w:rPr>
      </w:pPr>
    </w:p>
    <w:p w14:paraId="158AB7F0">
      <w:pPr>
        <w:snapToGrid w:val="0"/>
        <w:spacing w:line="360" w:lineRule="atLeast"/>
        <w:rPr>
          <w:color w:val="auto"/>
          <w:szCs w:val="21"/>
        </w:rPr>
      </w:pPr>
      <w:r>
        <w:rPr>
          <w:b/>
          <w:color w:val="auto"/>
          <w:szCs w:val="21"/>
        </w:rPr>
        <w:t xml:space="preserve">16.4.1 </w:t>
      </w:r>
      <w:r>
        <w:rPr>
          <w:color w:val="auto"/>
          <w:szCs w:val="21"/>
        </w:rPr>
        <w:t xml:space="preserve">作为围护结构的混凝土灌注桩及地下连续墙的检测，应满足以下要求： </w:t>
      </w:r>
    </w:p>
    <w:p w14:paraId="3A61DD59">
      <w:pPr>
        <w:snapToGrid w:val="0"/>
        <w:spacing w:line="360" w:lineRule="atLeast"/>
        <w:ind w:firstLine="413" w:firstLineChars="196"/>
        <w:rPr>
          <w:color w:val="auto"/>
          <w:szCs w:val="21"/>
        </w:rPr>
      </w:pPr>
      <w:r>
        <w:rPr>
          <w:b/>
          <w:color w:val="auto"/>
          <w:szCs w:val="21"/>
        </w:rPr>
        <w:t xml:space="preserve">a)  </w:t>
      </w:r>
      <w:r>
        <w:rPr>
          <w:color w:val="auto"/>
          <w:szCs w:val="21"/>
        </w:rPr>
        <w:t>混凝土灌注桩</w:t>
      </w:r>
      <w:r>
        <w:rPr>
          <w:rFonts w:hint="eastAsia"/>
          <w:color w:val="auto"/>
          <w:szCs w:val="21"/>
        </w:rPr>
        <w:t>应</w:t>
      </w:r>
      <w:r>
        <w:rPr>
          <w:color w:val="auto"/>
          <w:szCs w:val="21"/>
        </w:rPr>
        <w:t>采用低应变动测法检测桩身完整性，检测数量不应少于总桩数的30%，且不应少于6根</w:t>
      </w:r>
      <w:r>
        <w:rPr>
          <w:rFonts w:hint="eastAsia"/>
          <w:color w:val="auto"/>
          <w:szCs w:val="21"/>
        </w:rPr>
        <w:t>。深厚软土区域的混凝土灌注桩应全数进行低应变动测法检测桩身完整性。</w:t>
      </w:r>
    </w:p>
    <w:p w14:paraId="178CB62E">
      <w:pPr>
        <w:snapToGrid w:val="0"/>
        <w:spacing w:line="360" w:lineRule="atLeast"/>
        <w:ind w:firstLine="422" w:firstLineChars="200"/>
        <w:rPr>
          <w:color w:val="auto"/>
          <w:szCs w:val="21"/>
        </w:rPr>
      </w:pPr>
      <w:r>
        <w:rPr>
          <w:b/>
          <w:color w:val="auto"/>
          <w:szCs w:val="21"/>
        </w:rPr>
        <w:t xml:space="preserve">b) </w:t>
      </w:r>
      <w:r>
        <w:rPr>
          <w:color w:val="auto"/>
          <w:szCs w:val="21"/>
        </w:rPr>
        <w:t xml:space="preserve"> </w:t>
      </w:r>
      <w:r>
        <w:rPr>
          <w:rFonts w:hint="eastAsia"/>
          <w:color w:val="auto"/>
          <w:szCs w:val="21"/>
        </w:rPr>
        <w:t>对低应变检测发现疑问的桩</w:t>
      </w:r>
      <w:r>
        <w:rPr>
          <w:color w:val="auto"/>
          <w:szCs w:val="21"/>
        </w:rPr>
        <w:t>应采用钻芯法检测桩身强度、桩长</w:t>
      </w:r>
      <w:r>
        <w:rPr>
          <w:rFonts w:hint="eastAsia"/>
          <w:color w:val="auto"/>
          <w:szCs w:val="21"/>
        </w:rPr>
        <w:t>、持力层性状</w:t>
      </w:r>
      <w:r>
        <w:rPr>
          <w:color w:val="auto"/>
          <w:szCs w:val="21"/>
        </w:rPr>
        <w:t>及桩身完整性，检测数量不应少于3根。</w:t>
      </w:r>
    </w:p>
    <w:p w14:paraId="6163F050">
      <w:pPr>
        <w:snapToGrid w:val="0"/>
        <w:spacing w:line="360" w:lineRule="atLeast"/>
        <w:ind w:left="15" w:leftChars="7" w:firstLine="409" w:firstLineChars="194"/>
        <w:rPr>
          <w:color w:val="auto"/>
          <w:szCs w:val="21"/>
        </w:rPr>
      </w:pPr>
      <w:r>
        <w:rPr>
          <w:b/>
          <w:color w:val="auto"/>
          <w:szCs w:val="21"/>
        </w:rPr>
        <w:t xml:space="preserve">c)  </w:t>
      </w:r>
      <w:r>
        <w:rPr>
          <w:color w:val="auto"/>
          <w:szCs w:val="21"/>
        </w:rPr>
        <w:t>地下连续墙应采用声波透射法检测墙身完整性，检测槽段数不应少于总槽段数的20%，且不应少于3个槽段。必要时可进行钻芯法补充检测。</w:t>
      </w:r>
    </w:p>
    <w:p w14:paraId="02B1C234">
      <w:pPr>
        <w:snapToGrid w:val="0"/>
        <w:spacing w:line="360" w:lineRule="atLeast"/>
        <w:ind w:left="-17" w:leftChars="-8" w:firstLine="11" w:firstLineChars="5"/>
        <w:rPr>
          <w:color w:val="auto"/>
          <w:szCs w:val="21"/>
        </w:rPr>
      </w:pPr>
      <w:r>
        <w:rPr>
          <w:b/>
          <w:color w:val="auto"/>
          <w:szCs w:val="21"/>
        </w:rPr>
        <w:t xml:space="preserve">16.4.2  </w:t>
      </w:r>
      <w:r>
        <w:rPr>
          <w:color w:val="auto"/>
          <w:szCs w:val="21"/>
        </w:rPr>
        <w:t>应对坑底加固及端头井加固的水泥土进行钻芯检测，每个端头井钻芯点数不应少于3点，坑底加固钻芯点数每200m</w:t>
      </w:r>
      <w:r>
        <w:rPr>
          <w:color w:val="auto"/>
          <w:szCs w:val="21"/>
          <w:vertAlign w:val="superscript"/>
        </w:rPr>
        <w:t>2</w:t>
      </w:r>
      <w:r>
        <w:rPr>
          <w:color w:val="auto"/>
          <w:szCs w:val="21"/>
        </w:rPr>
        <w:t>不少于1个点，且不应少于3点。</w:t>
      </w:r>
    </w:p>
    <w:p w14:paraId="465DD70E">
      <w:pPr>
        <w:snapToGrid w:val="0"/>
        <w:spacing w:line="360" w:lineRule="atLeast"/>
        <w:ind w:left="-17" w:leftChars="-8" w:firstLine="11" w:firstLineChars="5"/>
        <w:rPr>
          <w:b/>
          <w:color w:val="auto"/>
          <w:szCs w:val="21"/>
        </w:rPr>
      </w:pPr>
      <w:r>
        <w:rPr>
          <w:b/>
          <w:color w:val="auto"/>
          <w:szCs w:val="21"/>
        </w:rPr>
        <w:t xml:space="preserve">16.4.3  </w:t>
      </w:r>
      <w:r>
        <w:rPr>
          <w:color w:val="auto"/>
          <w:szCs w:val="21"/>
        </w:rPr>
        <w:t>抗压桩应通过单桩竖向抗压静载试验确定单桩抗压承载力，同</w:t>
      </w:r>
      <w:r>
        <w:rPr>
          <w:rFonts w:hint="eastAsia"/>
          <w:color w:val="auto"/>
          <w:szCs w:val="21"/>
        </w:rPr>
        <w:t>条件下</w:t>
      </w:r>
      <w:r>
        <w:rPr>
          <w:color w:val="auto"/>
          <w:szCs w:val="21"/>
        </w:rPr>
        <w:t>桩的试验数量不应少于3根，桩数少于50根时不应少于2根。</w:t>
      </w:r>
    </w:p>
    <w:p w14:paraId="3001A42A">
      <w:pPr>
        <w:snapToGrid w:val="0"/>
        <w:spacing w:line="360" w:lineRule="atLeast"/>
        <w:ind w:left="-17" w:leftChars="-8" w:firstLine="411" w:firstLineChars="196"/>
        <w:rPr>
          <w:color w:val="auto"/>
          <w:szCs w:val="21"/>
        </w:rPr>
      </w:pPr>
      <w:r>
        <w:rPr>
          <w:color w:val="auto"/>
          <w:szCs w:val="21"/>
        </w:rPr>
        <w:t>工程桩应根据工程具体情况确定单桩承载力的检测方法和数量；工程桩应进行100%低应变检测；嵌岩桩尚应进行不少于3根的钻芯检测；对以桩身强度控制设计的桩或重要工程的桩基尚应进行声波透射法检测，检测数量不少于总桩数的10%。</w:t>
      </w:r>
    </w:p>
    <w:p w14:paraId="00CC4929">
      <w:pPr>
        <w:snapToGrid w:val="0"/>
        <w:spacing w:line="360" w:lineRule="atLeast"/>
        <w:ind w:left="-17" w:leftChars="-8" w:firstLine="11" w:firstLineChars="5"/>
        <w:rPr>
          <w:color w:val="auto"/>
          <w:szCs w:val="21"/>
        </w:rPr>
      </w:pPr>
      <w:r>
        <w:rPr>
          <w:b/>
          <w:color w:val="auto"/>
          <w:szCs w:val="21"/>
        </w:rPr>
        <w:t>16.4.4</w:t>
      </w:r>
      <w:r>
        <w:rPr>
          <w:color w:val="auto"/>
          <w:szCs w:val="21"/>
        </w:rPr>
        <w:t xml:space="preserve">  抗拔桩应通过单桩竖向抗拔静载试验确定单桩抗拔承载力，</w:t>
      </w:r>
      <w:r>
        <w:rPr>
          <w:rFonts w:hint="eastAsia"/>
          <w:color w:val="auto"/>
          <w:szCs w:val="21"/>
        </w:rPr>
        <w:t>同条件下的试桩检测</w:t>
      </w:r>
      <w:r>
        <w:rPr>
          <w:color w:val="auto"/>
          <w:szCs w:val="21"/>
        </w:rPr>
        <w:t>数量不应少于3根。工程桩应进行100%低应变检测</w:t>
      </w:r>
      <w:r>
        <w:rPr>
          <w:rFonts w:hint="eastAsia"/>
          <w:color w:val="auto"/>
          <w:szCs w:val="21"/>
        </w:rPr>
        <w:t>，抗拔桩的承载力验收检测数量不宜少于同条件下总桩数的1%，且不应少于3根</w:t>
      </w:r>
      <w:r>
        <w:rPr>
          <w:color w:val="auto"/>
          <w:szCs w:val="21"/>
        </w:rPr>
        <w:t>。</w:t>
      </w:r>
    </w:p>
    <w:p w14:paraId="486FCEAD">
      <w:pPr>
        <w:snapToGrid w:val="0"/>
        <w:spacing w:line="360" w:lineRule="atLeast"/>
        <w:ind w:left="-17" w:leftChars="-8" w:firstLine="11" w:firstLineChars="5"/>
        <w:rPr>
          <w:color w:val="auto"/>
          <w:szCs w:val="21"/>
        </w:rPr>
      </w:pPr>
      <w:r>
        <w:rPr>
          <w:b/>
          <w:color w:val="auto"/>
          <w:szCs w:val="21"/>
        </w:rPr>
        <w:t xml:space="preserve">16.4.5  </w:t>
      </w:r>
      <w:r>
        <w:rPr>
          <w:color w:val="auto"/>
          <w:szCs w:val="21"/>
        </w:rPr>
        <w:t>采用盖</w:t>
      </w:r>
      <w:r>
        <w:rPr>
          <w:rFonts w:hint="eastAsia"/>
          <w:color w:val="auto"/>
          <w:szCs w:val="21"/>
        </w:rPr>
        <w:t>挖</w:t>
      </w:r>
      <w:r>
        <w:rPr>
          <w:color w:val="auto"/>
          <w:szCs w:val="21"/>
        </w:rPr>
        <w:t>法</w:t>
      </w:r>
      <w:r>
        <w:rPr>
          <w:rFonts w:hint="eastAsia"/>
          <w:color w:val="auto"/>
          <w:szCs w:val="21"/>
        </w:rPr>
        <w:t>（含临时路面工程）</w:t>
      </w:r>
      <w:r>
        <w:rPr>
          <w:color w:val="auto"/>
          <w:szCs w:val="21"/>
        </w:rPr>
        <w:t>施工的基坑工程，立柱桩应进行声波透射法检测，检测数量不应少于总桩数的20%，且不应少于5根，立柱桩抗压承载力的检测方法及数量视具体情况确定。</w:t>
      </w:r>
    </w:p>
    <w:p w14:paraId="13DD0968">
      <w:pPr>
        <w:snapToGrid w:val="0"/>
        <w:spacing w:line="360" w:lineRule="atLeast"/>
        <w:rPr>
          <w:color w:val="auto"/>
          <w:szCs w:val="21"/>
        </w:rPr>
      </w:pPr>
    </w:p>
    <w:p w14:paraId="6087B7F4">
      <w:pPr>
        <w:adjustRightInd w:val="0"/>
        <w:snapToGrid w:val="0"/>
        <w:spacing w:line="340" w:lineRule="exact"/>
        <w:outlineLvl w:val="1"/>
        <w:rPr>
          <w:rFonts w:eastAsia="黑体"/>
          <w:b/>
          <w:bCs/>
          <w:color w:val="auto"/>
          <w:szCs w:val="21"/>
        </w:rPr>
      </w:pPr>
      <w:bookmarkStart w:id="99" w:name="_Toc199943642"/>
      <w:r>
        <w:rPr>
          <w:rFonts w:eastAsia="黑体"/>
          <w:b/>
          <w:bCs/>
          <w:color w:val="auto"/>
          <w:szCs w:val="21"/>
        </w:rPr>
        <w:t>16.5 规划控制</w:t>
      </w:r>
      <w:bookmarkEnd w:id="99"/>
    </w:p>
    <w:p w14:paraId="56CD0814">
      <w:pPr>
        <w:adjustRightInd w:val="0"/>
        <w:snapToGrid w:val="0"/>
        <w:spacing w:line="360" w:lineRule="atLeast"/>
        <w:rPr>
          <w:rFonts w:eastAsia="黑体"/>
          <w:b/>
          <w:bCs/>
          <w:color w:val="auto"/>
          <w:szCs w:val="21"/>
        </w:rPr>
      </w:pPr>
    </w:p>
    <w:p w14:paraId="70C40472">
      <w:pPr>
        <w:snapToGrid w:val="0"/>
        <w:spacing w:line="360" w:lineRule="atLeast"/>
        <w:ind w:left="-17" w:leftChars="-8" w:firstLine="11" w:firstLineChars="5"/>
        <w:rPr>
          <w:color w:val="auto"/>
          <w:szCs w:val="21"/>
        </w:rPr>
      </w:pPr>
      <w:r>
        <w:rPr>
          <w:b/>
          <w:color w:val="auto"/>
          <w:szCs w:val="21"/>
        </w:rPr>
        <w:t>16.5.1</w:t>
      </w:r>
      <w:r>
        <w:rPr>
          <w:color w:val="auto"/>
          <w:szCs w:val="21"/>
        </w:rPr>
        <w:t xml:space="preserve">  在建和运营的轨道交通按照下列标准</w:t>
      </w:r>
      <w:r>
        <w:rPr>
          <w:rFonts w:hint="eastAsia"/>
          <w:color w:val="auto"/>
          <w:szCs w:val="21"/>
        </w:rPr>
        <w:t>划定安全保护区</w:t>
      </w:r>
      <w:r>
        <w:rPr>
          <w:color w:val="auto"/>
          <w:szCs w:val="21"/>
        </w:rPr>
        <w:t>：</w:t>
      </w:r>
    </w:p>
    <w:p w14:paraId="72A67957">
      <w:pPr>
        <w:snapToGrid w:val="0"/>
        <w:spacing w:line="360" w:lineRule="atLeast"/>
        <w:ind w:left="-17" w:leftChars="-8" w:firstLine="432" w:firstLineChars="205"/>
        <w:rPr>
          <w:color w:val="auto"/>
          <w:szCs w:val="21"/>
        </w:rPr>
      </w:pPr>
      <w:r>
        <w:rPr>
          <w:b/>
          <w:color w:val="auto"/>
          <w:szCs w:val="21"/>
        </w:rPr>
        <w:t>a)</w:t>
      </w:r>
      <w:r>
        <w:rPr>
          <w:color w:val="auto"/>
          <w:szCs w:val="21"/>
        </w:rPr>
        <w:t xml:space="preserve">  地下车站与隧道结构外侧50</w:t>
      </w:r>
      <w:r>
        <w:rPr>
          <w:rFonts w:hint="eastAsia"/>
          <w:color w:val="auto"/>
          <w:szCs w:val="21"/>
        </w:rPr>
        <w:t>m</w:t>
      </w:r>
      <w:r>
        <w:rPr>
          <w:color w:val="auto"/>
          <w:szCs w:val="21"/>
        </w:rPr>
        <w:t>内；</w:t>
      </w:r>
    </w:p>
    <w:p w14:paraId="413882E7">
      <w:pPr>
        <w:snapToGrid w:val="0"/>
        <w:spacing w:line="360" w:lineRule="atLeast"/>
        <w:ind w:left="-17" w:leftChars="-8" w:firstLine="432" w:firstLineChars="205"/>
        <w:rPr>
          <w:color w:val="auto"/>
          <w:szCs w:val="21"/>
        </w:rPr>
      </w:pPr>
      <w:r>
        <w:rPr>
          <w:b/>
          <w:color w:val="auto"/>
          <w:szCs w:val="21"/>
        </w:rPr>
        <w:t>b)</w:t>
      </w:r>
      <w:r>
        <w:rPr>
          <w:color w:val="auto"/>
          <w:szCs w:val="21"/>
        </w:rPr>
        <w:t xml:space="preserve">  主变电站、地面和高架车站以及线路轨道外边线等外侧30</w:t>
      </w:r>
      <w:r>
        <w:rPr>
          <w:rFonts w:hint="eastAsia"/>
          <w:color w:val="auto"/>
          <w:szCs w:val="21"/>
        </w:rPr>
        <w:t>m</w:t>
      </w:r>
      <w:r>
        <w:rPr>
          <w:color w:val="auto"/>
          <w:szCs w:val="21"/>
        </w:rPr>
        <w:t>内；</w:t>
      </w:r>
    </w:p>
    <w:p w14:paraId="2C224E73">
      <w:pPr>
        <w:snapToGrid w:val="0"/>
        <w:spacing w:line="360" w:lineRule="atLeast"/>
        <w:ind w:left="-17" w:leftChars="-8" w:firstLine="432" w:firstLineChars="205"/>
        <w:rPr>
          <w:color w:val="auto"/>
          <w:szCs w:val="21"/>
        </w:rPr>
      </w:pPr>
      <w:r>
        <w:rPr>
          <w:b/>
          <w:color w:val="auto"/>
          <w:szCs w:val="21"/>
        </w:rPr>
        <w:t>c)</w:t>
      </w:r>
      <w:r>
        <w:rPr>
          <w:color w:val="auto"/>
          <w:szCs w:val="21"/>
        </w:rPr>
        <w:t xml:space="preserve">  车站出入口、通风亭等建（构）筑物外边线外侧10</w:t>
      </w:r>
      <w:r>
        <w:rPr>
          <w:rFonts w:hint="eastAsia"/>
          <w:color w:val="auto"/>
          <w:szCs w:val="21"/>
        </w:rPr>
        <w:t>m</w:t>
      </w:r>
      <w:r>
        <w:rPr>
          <w:color w:val="auto"/>
          <w:szCs w:val="21"/>
        </w:rPr>
        <w:t>内</w:t>
      </w:r>
      <w:r>
        <w:rPr>
          <w:rFonts w:hint="eastAsia"/>
          <w:color w:val="auto"/>
          <w:szCs w:val="21"/>
        </w:rPr>
        <w:t>；</w:t>
      </w:r>
    </w:p>
    <w:p w14:paraId="0F6C6705">
      <w:pPr>
        <w:snapToGrid w:val="0"/>
        <w:spacing w:line="360" w:lineRule="atLeast"/>
        <w:ind w:left="-17" w:leftChars="-8" w:firstLine="432" w:firstLineChars="205"/>
        <w:rPr>
          <w:color w:val="auto"/>
          <w:szCs w:val="21"/>
        </w:rPr>
      </w:pPr>
      <w:r>
        <w:rPr>
          <w:b/>
          <w:color w:val="auto"/>
          <w:szCs w:val="21"/>
        </w:rPr>
        <w:t>d)</w:t>
      </w:r>
      <w:r>
        <w:rPr>
          <w:rFonts w:hint="eastAsia"/>
          <w:b/>
          <w:color w:val="auto"/>
          <w:szCs w:val="21"/>
        </w:rPr>
        <w:t xml:space="preserve">  </w:t>
      </w:r>
      <w:r>
        <w:rPr>
          <w:rFonts w:hint="eastAsia"/>
          <w:color w:val="auto"/>
          <w:szCs w:val="21"/>
        </w:rPr>
        <w:t>水底隧道结构外边线150m内。</w:t>
      </w:r>
    </w:p>
    <w:p w14:paraId="2A5ABBB2">
      <w:pPr>
        <w:snapToGrid w:val="0"/>
        <w:spacing w:line="360" w:lineRule="atLeast"/>
        <w:ind w:left="-17" w:leftChars="-8" w:firstLine="11" w:firstLineChars="5"/>
        <w:rPr>
          <w:color w:val="auto"/>
          <w:szCs w:val="21"/>
        </w:rPr>
      </w:pPr>
      <w:r>
        <w:rPr>
          <w:b/>
          <w:color w:val="auto"/>
          <w:szCs w:val="21"/>
        </w:rPr>
        <w:t xml:space="preserve">16.5.2  </w:t>
      </w:r>
      <w:r>
        <w:rPr>
          <w:color w:val="auto"/>
          <w:szCs w:val="21"/>
        </w:rPr>
        <w:t>轨道交通建设规划确定的近期建设轨道交通项目按照下列标准设立轨道交通规划控制区和规划影响区：</w:t>
      </w:r>
    </w:p>
    <w:p w14:paraId="093DF551">
      <w:pPr>
        <w:snapToGrid w:val="0"/>
        <w:spacing w:line="360" w:lineRule="atLeast"/>
        <w:ind w:left="-17" w:leftChars="-8" w:firstLine="432" w:firstLineChars="205"/>
        <w:rPr>
          <w:color w:val="auto"/>
          <w:szCs w:val="21"/>
        </w:rPr>
      </w:pPr>
      <w:r>
        <w:rPr>
          <w:b/>
          <w:color w:val="auto"/>
          <w:szCs w:val="21"/>
        </w:rPr>
        <w:t>a)</w:t>
      </w:r>
      <w:r>
        <w:rPr>
          <w:color w:val="auto"/>
          <w:szCs w:val="21"/>
        </w:rPr>
        <w:t xml:space="preserve">  轨道交通线路中心线两侧各15m划定为轨道交通规划控制区；规划控制区外两侧各20m划定为轨道交通规划影响区；对于线路曲线段、上下行线路分别位于建（构）筑物两侧等特殊地段以及项目环境影响评价报告有明确要求的，根据技术要求设立轨道交通规划控制区和规划影响区。</w:t>
      </w:r>
    </w:p>
    <w:p w14:paraId="00B9279C">
      <w:pPr>
        <w:snapToGrid w:val="0"/>
        <w:spacing w:line="360" w:lineRule="atLeast"/>
        <w:ind w:left="-17" w:leftChars="-8" w:firstLine="432" w:firstLineChars="205"/>
        <w:rPr>
          <w:color w:val="auto"/>
          <w:szCs w:val="21"/>
        </w:rPr>
      </w:pPr>
      <w:r>
        <w:rPr>
          <w:b/>
          <w:color w:val="auto"/>
          <w:szCs w:val="21"/>
        </w:rPr>
        <w:t>b)</w:t>
      </w:r>
      <w:r>
        <w:rPr>
          <w:color w:val="auto"/>
          <w:szCs w:val="21"/>
        </w:rPr>
        <w:t xml:space="preserve">  轨道交通建设规划确定的轨道交通场站及其附属设施结构外边线外侧不少于10m（地面通风亭处按照结构外边线不少于15m）划定为轨道交通规划控制区，特殊困难条件下经论证按照不少于5m划定规划控制区</w:t>
      </w:r>
      <w:r>
        <w:rPr>
          <w:rFonts w:hint="eastAsia"/>
          <w:color w:val="auto"/>
          <w:szCs w:val="21"/>
        </w:rPr>
        <w:t>。</w:t>
      </w:r>
    </w:p>
    <w:p w14:paraId="02A050B7">
      <w:pPr>
        <w:snapToGrid w:val="0"/>
        <w:spacing w:line="360" w:lineRule="atLeast"/>
        <w:ind w:left="-17" w:leftChars="-8" w:firstLine="432" w:firstLineChars="205"/>
        <w:rPr>
          <w:color w:val="auto"/>
          <w:szCs w:val="21"/>
        </w:rPr>
      </w:pPr>
      <w:r>
        <w:rPr>
          <w:b/>
          <w:color w:val="auto"/>
          <w:szCs w:val="21"/>
        </w:rPr>
        <w:t>c)</w:t>
      </w:r>
      <w:r>
        <w:rPr>
          <w:color w:val="auto"/>
          <w:szCs w:val="21"/>
        </w:rPr>
        <w:t xml:space="preserve">  尚未编制总平面设计方案的轨道交通项目，</w:t>
      </w:r>
      <w:r>
        <w:rPr>
          <w:rFonts w:hint="eastAsia"/>
          <w:color w:val="auto"/>
          <w:szCs w:val="21"/>
        </w:rPr>
        <w:t>普通车站按照宽度一百米、长度二百五十米至三百米内；带配线的车站按宽度一百米、长度六百米至七百米内</w:t>
      </w:r>
      <w:r>
        <w:rPr>
          <w:color w:val="auto"/>
          <w:szCs w:val="21"/>
        </w:rPr>
        <w:t>。</w:t>
      </w:r>
    </w:p>
    <w:p w14:paraId="4EFEB9CA">
      <w:pPr>
        <w:snapToGrid w:val="0"/>
        <w:spacing w:line="360" w:lineRule="atLeast"/>
        <w:ind w:left="-17" w:leftChars="-8" w:firstLine="432" w:firstLineChars="205"/>
        <w:rPr>
          <w:color w:val="auto"/>
          <w:szCs w:val="21"/>
        </w:rPr>
      </w:pPr>
      <w:r>
        <w:rPr>
          <w:b/>
          <w:color w:val="auto"/>
          <w:szCs w:val="21"/>
        </w:rPr>
        <w:t>d)</w:t>
      </w:r>
      <w:r>
        <w:rPr>
          <w:color w:val="auto"/>
          <w:szCs w:val="21"/>
        </w:rPr>
        <w:t xml:space="preserve">  设定轨道交通场站规划控制区应当同时满足交通配套设施设置、环评、消防等要求。</w:t>
      </w:r>
    </w:p>
    <w:p w14:paraId="6FFE4E95">
      <w:pPr>
        <w:adjustRightInd w:val="0"/>
        <w:snapToGrid w:val="0"/>
        <w:spacing w:line="360" w:lineRule="atLeast"/>
        <w:rPr>
          <w:color w:val="auto"/>
          <w:szCs w:val="21"/>
        </w:rPr>
      </w:pPr>
      <w:r>
        <w:rPr>
          <w:b/>
          <w:color w:val="auto"/>
          <w:szCs w:val="21"/>
        </w:rPr>
        <w:t xml:space="preserve">16.5.3  </w:t>
      </w:r>
      <w:r>
        <w:rPr>
          <w:rFonts w:hAnsi="宋体"/>
          <w:color w:val="auto"/>
          <w:szCs w:val="21"/>
        </w:rPr>
        <w:t>轨道交通规划控制区范围外新（改、扩）建建（构）筑物，其地上、地下结构（含围护结构）除满足建筑间距、后退规划用地范围线、后退规划道路红线距离要求外，还应当后退轨道交通规划控制区边界不少于</w:t>
      </w:r>
      <w:r>
        <w:rPr>
          <w:color w:val="auto"/>
          <w:szCs w:val="21"/>
        </w:rPr>
        <w:t>5</w:t>
      </w:r>
      <w:r>
        <w:rPr>
          <w:rFonts w:hAnsi="宋体"/>
          <w:color w:val="auto"/>
          <w:szCs w:val="21"/>
        </w:rPr>
        <w:t>m，特殊困难条件下经论证不少于</w:t>
      </w:r>
      <w:r>
        <w:rPr>
          <w:color w:val="auto"/>
          <w:szCs w:val="21"/>
        </w:rPr>
        <w:t>3</w:t>
      </w:r>
      <w:r>
        <w:rPr>
          <w:rFonts w:hAnsi="宋体"/>
          <w:color w:val="auto"/>
          <w:szCs w:val="21"/>
        </w:rPr>
        <w:t>m。轨道交通线路及车站与建（构）筑物结合建设，经研究论证、审查可行的，地块开发建设应当与轨道交通工程同步设计、配套施工。</w:t>
      </w:r>
    </w:p>
    <w:p w14:paraId="5A822013">
      <w:pPr>
        <w:snapToGrid w:val="0"/>
        <w:ind w:left="630" w:hanging="630"/>
        <w:jc w:val="center"/>
        <w:rPr>
          <w:b/>
          <w:color w:val="auto"/>
          <w:szCs w:val="21"/>
        </w:rPr>
      </w:pPr>
    </w:p>
    <w:p w14:paraId="6C90EE80">
      <w:pPr>
        <w:numPr>
          <w:ilvl w:val="0"/>
          <w:numId w:val="1"/>
        </w:numPr>
        <w:adjustRightInd w:val="0"/>
        <w:snapToGrid w:val="0"/>
        <w:outlineLvl w:val="0"/>
        <w:rPr>
          <w:rFonts w:eastAsia="黑体"/>
          <w:b/>
          <w:bCs/>
          <w:color w:val="auto"/>
          <w:sz w:val="24"/>
        </w:rPr>
      </w:pPr>
      <w:bookmarkStart w:id="100" w:name="_Toc199943643"/>
      <w:r>
        <w:rPr>
          <w:rFonts w:hint="eastAsia" w:eastAsia="黑体"/>
          <w:b/>
          <w:bCs/>
          <w:color w:val="auto"/>
          <w:sz w:val="24"/>
        </w:rPr>
        <w:t>检测</w:t>
      </w:r>
      <w:r>
        <w:rPr>
          <w:rFonts w:eastAsia="黑体"/>
          <w:b/>
          <w:bCs/>
          <w:color w:val="auto"/>
          <w:sz w:val="24"/>
        </w:rPr>
        <w:t>与监测</w:t>
      </w:r>
      <w:bookmarkEnd w:id="100"/>
    </w:p>
    <w:p w14:paraId="228AC077">
      <w:pPr>
        <w:adjustRightInd w:val="0"/>
        <w:snapToGrid w:val="0"/>
        <w:spacing w:line="340" w:lineRule="exact"/>
        <w:rPr>
          <w:color w:val="auto"/>
          <w:szCs w:val="21"/>
        </w:rPr>
      </w:pPr>
    </w:p>
    <w:p w14:paraId="31626F01">
      <w:pPr>
        <w:adjustRightInd w:val="0"/>
        <w:snapToGrid w:val="0"/>
        <w:spacing w:line="340" w:lineRule="exact"/>
        <w:outlineLvl w:val="1"/>
        <w:rPr>
          <w:rFonts w:eastAsia="黑体"/>
          <w:b/>
          <w:bCs/>
          <w:color w:val="auto"/>
          <w:szCs w:val="21"/>
        </w:rPr>
      </w:pPr>
      <w:bookmarkStart w:id="101" w:name="_Toc199943644"/>
      <w:r>
        <w:rPr>
          <w:rFonts w:eastAsia="黑体"/>
          <w:b/>
          <w:bCs/>
          <w:color w:val="auto"/>
          <w:szCs w:val="21"/>
        </w:rPr>
        <w:t xml:space="preserve">17.1  检 </w:t>
      </w:r>
      <w:r>
        <w:rPr>
          <w:rFonts w:hint="eastAsia" w:eastAsia="黑体"/>
          <w:b/>
          <w:bCs/>
          <w:color w:val="auto"/>
          <w:szCs w:val="21"/>
        </w:rPr>
        <w:t>测</w:t>
      </w:r>
      <w:bookmarkEnd w:id="101"/>
    </w:p>
    <w:p w14:paraId="680AADB4">
      <w:pPr>
        <w:spacing w:line="340" w:lineRule="atLeast"/>
        <w:jc w:val="center"/>
        <w:rPr>
          <w:b/>
          <w:color w:val="auto"/>
          <w:szCs w:val="21"/>
        </w:rPr>
      </w:pPr>
    </w:p>
    <w:p w14:paraId="5AEEE685">
      <w:pPr>
        <w:adjustRightInd w:val="0"/>
        <w:snapToGrid w:val="0"/>
        <w:spacing w:line="340" w:lineRule="atLeast"/>
        <w:rPr>
          <w:color w:val="auto"/>
          <w:szCs w:val="21"/>
        </w:rPr>
      </w:pPr>
      <w:r>
        <w:rPr>
          <w:rFonts w:eastAsia="黑体"/>
          <w:b/>
          <w:bCs/>
          <w:color w:val="auto"/>
          <w:szCs w:val="21"/>
        </w:rPr>
        <w:t>17.1.1</w:t>
      </w:r>
      <w:r>
        <w:rPr>
          <w:color w:val="auto"/>
          <w:szCs w:val="21"/>
        </w:rPr>
        <w:t xml:space="preserve">  </w:t>
      </w:r>
      <w:r>
        <w:rPr>
          <w:rFonts w:hAnsi="宋体"/>
          <w:color w:val="auto"/>
          <w:szCs w:val="21"/>
        </w:rPr>
        <w:t>本节检</w:t>
      </w:r>
      <w:r>
        <w:rPr>
          <w:rFonts w:hint="eastAsia" w:hAnsi="宋体"/>
          <w:color w:val="auto"/>
          <w:szCs w:val="21"/>
        </w:rPr>
        <w:t>测</w:t>
      </w:r>
      <w:r>
        <w:rPr>
          <w:rFonts w:hAnsi="宋体"/>
          <w:color w:val="auto"/>
          <w:szCs w:val="21"/>
        </w:rPr>
        <w:t>系指为设计提供依据的检</w:t>
      </w:r>
      <w:r>
        <w:rPr>
          <w:rFonts w:hint="eastAsia" w:hAnsi="宋体"/>
          <w:color w:val="auto"/>
          <w:szCs w:val="21"/>
        </w:rPr>
        <w:t>测</w:t>
      </w:r>
      <w:r>
        <w:rPr>
          <w:rFonts w:hAnsi="宋体"/>
          <w:color w:val="auto"/>
          <w:szCs w:val="21"/>
        </w:rPr>
        <w:t>、施工检</w:t>
      </w:r>
      <w:r>
        <w:rPr>
          <w:rFonts w:hint="eastAsia" w:hAnsi="宋体"/>
          <w:color w:val="auto"/>
          <w:szCs w:val="21"/>
        </w:rPr>
        <w:t>测</w:t>
      </w:r>
      <w:r>
        <w:rPr>
          <w:rFonts w:hAnsi="宋体"/>
          <w:color w:val="auto"/>
          <w:szCs w:val="21"/>
        </w:rPr>
        <w:t>以及验收检</w:t>
      </w:r>
      <w:r>
        <w:rPr>
          <w:rFonts w:hint="eastAsia" w:hAnsi="宋体"/>
          <w:color w:val="auto"/>
          <w:szCs w:val="21"/>
        </w:rPr>
        <w:t>测</w:t>
      </w:r>
      <w:r>
        <w:rPr>
          <w:rFonts w:hAnsi="宋体"/>
          <w:color w:val="auto"/>
          <w:szCs w:val="21"/>
        </w:rPr>
        <w:t>。</w:t>
      </w:r>
    </w:p>
    <w:p w14:paraId="3672AD90">
      <w:pPr>
        <w:adjustRightInd w:val="0"/>
        <w:snapToGrid w:val="0"/>
        <w:spacing w:line="340" w:lineRule="atLeast"/>
        <w:rPr>
          <w:rFonts w:hAnsi="宋体"/>
          <w:color w:val="auto"/>
          <w:szCs w:val="21"/>
        </w:rPr>
      </w:pPr>
      <w:r>
        <w:rPr>
          <w:rFonts w:eastAsia="黑体"/>
          <w:b/>
          <w:bCs/>
          <w:color w:val="auto"/>
          <w:szCs w:val="21"/>
        </w:rPr>
        <w:t>17.1.2</w:t>
      </w:r>
      <w:r>
        <w:rPr>
          <w:color w:val="auto"/>
          <w:szCs w:val="21"/>
        </w:rPr>
        <w:t xml:space="preserve">  </w:t>
      </w:r>
      <w:r>
        <w:rPr>
          <w:rFonts w:hAnsi="宋体"/>
          <w:color w:val="auto"/>
          <w:szCs w:val="21"/>
        </w:rPr>
        <w:t>为地基基础设计提供依据的试桩</w:t>
      </w:r>
      <w:r>
        <w:rPr>
          <w:rFonts w:hint="eastAsia" w:hAnsi="宋体"/>
          <w:color w:val="auto"/>
          <w:szCs w:val="21"/>
        </w:rPr>
        <w:t>和锚杆</w:t>
      </w:r>
      <w:r>
        <w:rPr>
          <w:rFonts w:hAnsi="宋体"/>
          <w:color w:val="auto"/>
          <w:szCs w:val="21"/>
        </w:rPr>
        <w:t>检</w:t>
      </w:r>
      <w:r>
        <w:rPr>
          <w:rFonts w:hint="eastAsia" w:hAnsi="宋体"/>
          <w:color w:val="auto"/>
          <w:szCs w:val="21"/>
        </w:rPr>
        <w:t>测</w:t>
      </w:r>
      <w:r>
        <w:rPr>
          <w:rFonts w:hAnsi="宋体"/>
          <w:color w:val="auto"/>
          <w:szCs w:val="21"/>
        </w:rPr>
        <w:t>应在设计前进行，并应符合下列规定</w:t>
      </w:r>
      <w:r>
        <w:rPr>
          <w:rFonts w:hint="eastAsia" w:hAnsi="宋体"/>
          <w:color w:val="auto"/>
          <w:szCs w:val="21"/>
        </w:rPr>
        <w:t>：</w:t>
      </w:r>
    </w:p>
    <w:p w14:paraId="5C22E548">
      <w:pPr>
        <w:adjustRightInd w:val="0"/>
        <w:snapToGrid w:val="0"/>
        <w:spacing w:line="340" w:lineRule="atLeast"/>
        <w:ind w:firstLine="420" w:firstLineChars="200"/>
        <w:rPr>
          <w:rFonts w:hAnsi="宋体"/>
          <w:color w:val="auto"/>
          <w:szCs w:val="21"/>
        </w:rPr>
      </w:pPr>
      <w:r>
        <w:rPr>
          <w:rFonts w:hint="eastAsia" w:hAnsi="宋体"/>
          <w:color w:val="auto"/>
          <w:szCs w:val="21"/>
        </w:rPr>
        <w:t>a</w:t>
      </w:r>
      <w:r>
        <w:rPr>
          <w:rFonts w:hAnsi="宋体"/>
          <w:color w:val="auto"/>
          <w:szCs w:val="21"/>
        </w:rPr>
        <w:t>) 单桩竖向抗压静载试验、单桩抗拔</w:t>
      </w:r>
      <w:r>
        <w:rPr>
          <w:rFonts w:hint="eastAsia" w:hAnsi="宋体"/>
          <w:color w:val="auto"/>
          <w:szCs w:val="21"/>
        </w:rPr>
        <w:t>静载</w:t>
      </w:r>
      <w:r>
        <w:rPr>
          <w:rFonts w:hAnsi="宋体"/>
          <w:color w:val="auto"/>
          <w:szCs w:val="21"/>
        </w:rPr>
        <w:t>试验及锚杆抗拔试验等应加载到破坏，对承载力很高的桩，加载量不应小于预估的单桩极限承载力。</w:t>
      </w:r>
    </w:p>
    <w:p w14:paraId="2BEE2CF6">
      <w:pPr>
        <w:adjustRightInd w:val="0"/>
        <w:snapToGrid w:val="0"/>
        <w:spacing w:line="340" w:lineRule="atLeast"/>
        <w:ind w:firstLine="420" w:firstLineChars="200"/>
        <w:rPr>
          <w:rFonts w:hAnsi="宋体"/>
          <w:color w:val="auto"/>
          <w:szCs w:val="21"/>
        </w:rPr>
      </w:pPr>
      <w:r>
        <w:rPr>
          <w:rFonts w:hAnsi="宋体"/>
          <w:color w:val="auto"/>
          <w:szCs w:val="21"/>
        </w:rPr>
        <w:t xml:space="preserve">b) </w:t>
      </w:r>
      <w:r>
        <w:rPr>
          <w:rFonts w:hint="eastAsia" w:hAnsi="宋体"/>
          <w:color w:val="auto"/>
          <w:szCs w:val="21"/>
        </w:rPr>
        <w:t>单栋建筑同条件（岩土工程条件相同、桩型和桩径及单桩承载力相同、桩端持力层相同及桩长相近，以下同）的试桩单桩竖向抗压或抗拔静载试验检测数量不宜少于预估总桩数的1%，且不应少于3根，当预估总桩数少于50根时，不应少于2根；锚杆抗拔试验检测数量不应少于6根。</w:t>
      </w:r>
    </w:p>
    <w:p w14:paraId="6B5A7058">
      <w:pPr>
        <w:adjustRightInd w:val="0"/>
        <w:snapToGrid w:val="0"/>
        <w:spacing w:line="340" w:lineRule="atLeast"/>
        <w:ind w:firstLine="420" w:firstLineChars="200"/>
        <w:rPr>
          <w:rFonts w:hAnsi="宋体"/>
          <w:color w:val="auto"/>
          <w:szCs w:val="21"/>
        </w:rPr>
      </w:pPr>
      <w:r>
        <w:rPr>
          <w:rFonts w:hint="eastAsia" w:hAnsi="宋体"/>
          <w:color w:val="auto"/>
          <w:szCs w:val="21"/>
        </w:rPr>
        <w:t>c</w:t>
      </w:r>
      <w:r>
        <w:rPr>
          <w:rFonts w:hAnsi="宋体"/>
          <w:color w:val="auto"/>
          <w:szCs w:val="21"/>
        </w:rPr>
        <w:t>) 不应利用工程桩</w:t>
      </w:r>
      <w:r>
        <w:rPr>
          <w:rFonts w:hint="eastAsia" w:hAnsi="宋体"/>
          <w:color w:val="auto"/>
          <w:szCs w:val="21"/>
        </w:rPr>
        <w:t>进行</w:t>
      </w:r>
      <w:r>
        <w:rPr>
          <w:rFonts w:hAnsi="宋体"/>
          <w:color w:val="auto"/>
          <w:szCs w:val="21"/>
        </w:rPr>
        <w:t>试桩检测。</w:t>
      </w:r>
    </w:p>
    <w:p w14:paraId="783BDFBF">
      <w:pPr>
        <w:adjustRightInd w:val="0"/>
        <w:snapToGrid w:val="0"/>
        <w:spacing w:line="340" w:lineRule="atLeast"/>
        <w:ind w:firstLine="420" w:firstLineChars="200"/>
        <w:rPr>
          <w:rFonts w:hAnsi="宋体"/>
          <w:color w:val="auto"/>
          <w:szCs w:val="21"/>
        </w:rPr>
      </w:pPr>
      <w:r>
        <w:rPr>
          <w:rFonts w:hAnsi="宋体"/>
          <w:color w:val="auto"/>
          <w:szCs w:val="21"/>
        </w:rPr>
        <w:t>d) 轨道交通工程应符合现行规范和本</w:t>
      </w:r>
      <w:r>
        <w:rPr>
          <w:rFonts w:hint="eastAsia" w:hAnsi="宋体"/>
          <w:color w:val="auto"/>
          <w:szCs w:val="21"/>
        </w:rPr>
        <w:t>文件</w:t>
      </w:r>
      <w:r>
        <w:rPr>
          <w:rFonts w:hAnsi="宋体"/>
          <w:color w:val="auto"/>
          <w:szCs w:val="21"/>
        </w:rPr>
        <w:t>第</w:t>
      </w:r>
      <w:r>
        <w:rPr>
          <w:color w:val="auto"/>
          <w:szCs w:val="21"/>
        </w:rPr>
        <w:t>16</w:t>
      </w:r>
      <w:r>
        <w:rPr>
          <w:rFonts w:hAnsi="宋体"/>
          <w:color w:val="auto"/>
          <w:szCs w:val="21"/>
        </w:rPr>
        <w:t>章的相关规定。</w:t>
      </w:r>
    </w:p>
    <w:p w14:paraId="2A235E0C">
      <w:pPr>
        <w:adjustRightInd w:val="0"/>
        <w:snapToGrid w:val="0"/>
        <w:spacing w:line="340" w:lineRule="atLeast"/>
        <w:ind w:firstLine="420" w:firstLineChars="200"/>
        <w:rPr>
          <w:rFonts w:hAnsi="宋体"/>
          <w:color w:val="auto"/>
          <w:szCs w:val="21"/>
        </w:rPr>
      </w:pPr>
      <w:r>
        <w:rPr>
          <w:rFonts w:hAnsi="宋体"/>
          <w:color w:val="auto"/>
          <w:szCs w:val="21"/>
        </w:rPr>
        <w:t>e) 试桩在静载试验前、后均应进行桩身完整性检测。</w:t>
      </w:r>
    </w:p>
    <w:p w14:paraId="6A0F2879">
      <w:pPr>
        <w:adjustRightInd w:val="0"/>
        <w:snapToGrid w:val="0"/>
        <w:spacing w:line="340" w:lineRule="atLeast"/>
        <w:rPr>
          <w:color w:val="auto"/>
          <w:szCs w:val="21"/>
        </w:rPr>
      </w:pPr>
      <w:r>
        <w:rPr>
          <w:rFonts w:eastAsia="黑体"/>
          <w:b/>
          <w:bCs/>
          <w:color w:val="auto"/>
          <w:szCs w:val="21"/>
        </w:rPr>
        <w:t>17.1.3</w:t>
      </w:r>
      <w:r>
        <w:rPr>
          <w:color w:val="auto"/>
          <w:szCs w:val="21"/>
        </w:rPr>
        <w:t xml:space="preserve">  同一</w:t>
      </w:r>
      <w:r>
        <w:rPr>
          <w:rFonts w:hAnsi="宋体"/>
          <w:color w:val="auto"/>
          <w:szCs w:val="21"/>
        </w:rPr>
        <w:t>场地存在多栋建筑物时，对同条件的桩，为设计提供依据的试桩单桩竖向抗压静载试验的数量，每单栋建筑不应少于</w:t>
      </w:r>
      <w:r>
        <w:rPr>
          <w:color w:val="auto"/>
          <w:szCs w:val="21"/>
        </w:rPr>
        <w:t>1</w:t>
      </w:r>
      <w:r>
        <w:rPr>
          <w:rFonts w:hAnsi="宋体"/>
          <w:color w:val="auto"/>
          <w:szCs w:val="21"/>
        </w:rPr>
        <w:t>根，</w:t>
      </w:r>
      <w:r>
        <w:rPr>
          <w:rFonts w:hint="eastAsia" w:hAnsi="宋体"/>
          <w:color w:val="auto"/>
          <w:szCs w:val="21"/>
        </w:rPr>
        <w:t>每施工单位施工的试桩检测数量不应少于3根，</w:t>
      </w:r>
      <w:r>
        <w:rPr>
          <w:rFonts w:hAnsi="宋体"/>
          <w:color w:val="auto"/>
          <w:szCs w:val="21"/>
        </w:rPr>
        <w:t>试验结果离散性大时应按单栋建筑的要求进行检测。</w:t>
      </w:r>
    </w:p>
    <w:p w14:paraId="21DCED64">
      <w:pPr>
        <w:adjustRightInd w:val="0"/>
        <w:snapToGrid w:val="0"/>
        <w:spacing w:line="340" w:lineRule="atLeast"/>
        <w:rPr>
          <w:color w:val="auto"/>
          <w:szCs w:val="21"/>
        </w:rPr>
      </w:pPr>
      <w:r>
        <w:rPr>
          <w:rFonts w:eastAsia="黑体"/>
          <w:b/>
          <w:bCs/>
          <w:color w:val="auto"/>
          <w:szCs w:val="21"/>
        </w:rPr>
        <w:t>17.1.4</w:t>
      </w:r>
      <w:r>
        <w:rPr>
          <w:color w:val="auto"/>
          <w:szCs w:val="21"/>
        </w:rPr>
        <w:t xml:space="preserve">  </w:t>
      </w:r>
      <w:r>
        <w:rPr>
          <w:rFonts w:hAnsi="宋体"/>
          <w:color w:val="auto"/>
          <w:szCs w:val="21"/>
        </w:rPr>
        <w:t>桩基施工应加强施工过程质量控制，尚应依据相关规范和设计要求进行检测。</w:t>
      </w:r>
    </w:p>
    <w:p w14:paraId="249E5E24">
      <w:pPr>
        <w:adjustRightInd w:val="0"/>
        <w:snapToGrid w:val="0"/>
        <w:spacing w:line="340" w:lineRule="atLeast"/>
        <w:rPr>
          <w:color w:val="auto"/>
          <w:szCs w:val="21"/>
        </w:rPr>
      </w:pPr>
      <w:r>
        <w:rPr>
          <w:rFonts w:eastAsia="黑体"/>
          <w:b/>
          <w:bCs/>
          <w:color w:val="auto"/>
          <w:szCs w:val="21"/>
        </w:rPr>
        <w:t>17.1.5</w:t>
      </w:r>
      <w:r>
        <w:rPr>
          <w:b/>
          <w:color w:val="auto"/>
          <w:szCs w:val="21"/>
        </w:rPr>
        <w:t xml:space="preserve">  </w:t>
      </w:r>
      <w:r>
        <w:rPr>
          <w:rFonts w:hAnsi="宋体"/>
          <w:snapToGrid w:val="0"/>
          <w:color w:val="auto"/>
          <w:spacing w:val="-2"/>
          <w:szCs w:val="21"/>
        </w:rPr>
        <w:t>基槽（坑）开挖到</w:t>
      </w:r>
      <w:r>
        <w:rPr>
          <w:rFonts w:hint="eastAsia" w:hAnsi="宋体"/>
          <w:snapToGrid w:val="0"/>
          <w:color w:val="auto"/>
          <w:spacing w:val="-2"/>
          <w:szCs w:val="21"/>
        </w:rPr>
        <w:t>设计</w:t>
      </w:r>
      <w:r>
        <w:rPr>
          <w:rFonts w:hAnsi="宋体"/>
          <w:snapToGrid w:val="0"/>
          <w:color w:val="auto"/>
          <w:spacing w:val="-2"/>
          <w:szCs w:val="21"/>
        </w:rPr>
        <w:t>标高后，应进行基槽（坑）检验。</w:t>
      </w:r>
      <w:r>
        <w:rPr>
          <w:rFonts w:hint="eastAsia" w:hAnsi="宋体"/>
          <w:snapToGrid w:val="0"/>
          <w:color w:val="auto"/>
          <w:spacing w:val="-2"/>
          <w:szCs w:val="21"/>
        </w:rPr>
        <w:t>基槽（坑）检验应核对工程地质条件是否与勘察成果一致以及能否满足设计要求，还应核对基槽（坑）的施工位置、平面尺寸及槽（坑）底标高是否满足要求。</w:t>
      </w:r>
      <w:r>
        <w:rPr>
          <w:rFonts w:hAnsi="宋体"/>
          <w:snapToGrid w:val="0"/>
          <w:color w:val="auto"/>
          <w:spacing w:val="-2"/>
          <w:szCs w:val="21"/>
        </w:rPr>
        <w:t>对甲级设计等级的天然地基</w:t>
      </w:r>
      <w:r>
        <w:rPr>
          <w:rFonts w:hint="eastAsia" w:hAnsi="宋体"/>
          <w:snapToGrid w:val="0"/>
          <w:color w:val="auto"/>
          <w:spacing w:val="-2"/>
          <w:szCs w:val="21"/>
        </w:rPr>
        <w:t>，尚</w:t>
      </w:r>
      <w:r>
        <w:rPr>
          <w:rFonts w:hAnsi="宋体"/>
          <w:snapToGrid w:val="0"/>
          <w:color w:val="auto"/>
          <w:spacing w:val="-2"/>
          <w:szCs w:val="21"/>
        </w:rPr>
        <w:t>应采用静载试验方法检测地基承载力</w:t>
      </w:r>
      <w:r>
        <w:rPr>
          <w:rFonts w:hint="eastAsia" w:hAnsi="宋体"/>
          <w:snapToGrid w:val="0"/>
          <w:color w:val="auto"/>
          <w:spacing w:val="-2"/>
          <w:szCs w:val="21"/>
        </w:rPr>
        <w:t>，检测数量单位工程每5</w:t>
      </w:r>
      <w:r>
        <w:rPr>
          <w:rFonts w:hAnsi="宋体"/>
          <w:snapToGrid w:val="0"/>
          <w:color w:val="auto"/>
          <w:spacing w:val="-2"/>
          <w:szCs w:val="21"/>
        </w:rPr>
        <w:t>00m</w:t>
      </w:r>
      <w:r>
        <w:rPr>
          <w:rFonts w:hAnsi="宋体"/>
          <w:snapToGrid w:val="0"/>
          <w:color w:val="auto"/>
          <w:spacing w:val="-2"/>
          <w:szCs w:val="21"/>
          <w:vertAlign w:val="superscript"/>
        </w:rPr>
        <w:t>2</w:t>
      </w:r>
      <w:r>
        <w:rPr>
          <w:rFonts w:hAnsi="宋体"/>
          <w:snapToGrid w:val="0"/>
          <w:color w:val="auto"/>
          <w:spacing w:val="-2"/>
          <w:szCs w:val="21"/>
        </w:rPr>
        <w:t>不应少于</w:t>
      </w:r>
      <w:r>
        <w:rPr>
          <w:rFonts w:hint="eastAsia" w:hAnsi="宋体"/>
          <w:snapToGrid w:val="0"/>
          <w:color w:val="auto"/>
          <w:spacing w:val="-2"/>
          <w:szCs w:val="21"/>
        </w:rPr>
        <w:t>1点，且总点数不应少于3点，复杂场地或重要建筑地基应增加检测数量。</w:t>
      </w:r>
      <w:r>
        <w:rPr>
          <w:rFonts w:hAnsi="宋体"/>
          <w:snapToGrid w:val="0"/>
          <w:color w:val="auto"/>
          <w:spacing w:val="-2"/>
          <w:szCs w:val="21"/>
        </w:rPr>
        <w:t>当发现地质条件与勘察报告和设计文件不一致、或遇到异常情况时，应会同有关单位查明情况</w:t>
      </w:r>
      <w:r>
        <w:rPr>
          <w:rFonts w:hint="eastAsia" w:hAnsi="宋体"/>
          <w:snapToGrid w:val="0"/>
          <w:color w:val="auto"/>
          <w:spacing w:val="-2"/>
          <w:szCs w:val="21"/>
        </w:rPr>
        <w:t>，</w:t>
      </w:r>
      <w:r>
        <w:rPr>
          <w:rFonts w:hAnsi="宋体"/>
          <w:snapToGrid w:val="0"/>
          <w:color w:val="auto"/>
          <w:spacing w:val="-2"/>
          <w:szCs w:val="21"/>
        </w:rPr>
        <w:t>提出处理意见</w:t>
      </w:r>
      <w:r>
        <w:rPr>
          <w:rFonts w:hint="eastAsia" w:hAnsi="宋体"/>
          <w:snapToGrid w:val="0"/>
          <w:color w:val="auto"/>
          <w:spacing w:val="-2"/>
          <w:szCs w:val="21"/>
        </w:rPr>
        <w:t>，</w:t>
      </w:r>
      <w:r>
        <w:rPr>
          <w:rFonts w:hAnsi="宋体"/>
          <w:snapToGrid w:val="0"/>
          <w:color w:val="auto"/>
          <w:spacing w:val="-2"/>
          <w:szCs w:val="21"/>
        </w:rPr>
        <w:t>必要时应进行施工勘察。</w:t>
      </w:r>
    </w:p>
    <w:p w14:paraId="22EAE9AB">
      <w:pPr>
        <w:adjustRightInd w:val="0"/>
        <w:snapToGrid w:val="0"/>
        <w:spacing w:line="340" w:lineRule="atLeast"/>
        <w:rPr>
          <w:color w:val="auto"/>
          <w:szCs w:val="21"/>
        </w:rPr>
      </w:pPr>
      <w:r>
        <w:rPr>
          <w:rFonts w:eastAsia="黑体"/>
          <w:b/>
          <w:bCs/>
          <w:color w:val="auto"/>
          <w:szCs w:val="21"/>
        </w:rPr>
        <w:t xml:space="preserve">17.1.6  </w:t>
      </w:r>
      <w:r>
        <w:rPr>
          <w:rFonts w:hAnsi="宋体"/>
          <w:snapToGrid w:val="0"/>
          <w:color w:val="auto"/>
          <w:spacing w:val="-2"/>
          <w:szCs w:val="21"/>
        </w:rPr>
        <w:t>对散体材料复合地基增强体应进行密实度检</w:t>
      </w:r>
      <w:r>
        <w:rPr>
          <w:rFonts w:hint="eastAsia" w:hAnsi="宋体"/>
          <w:snapToGrid w:val="0"/>
          <w:color w:val="auto"/>
          <w:spacing w:val="-2"/>
          <w:szCs w:val="21"/>
        </w:rPr>
        <w:t>测</w:t>
      </w:r>
      <w:r>
        <w:rPr>
          <w:rFonts w:hAnsi="宋体"/>
          <w:snapToGrid w:val="0"/>
          <w:color w:val="auto"/>
          <w:spacing w:val="-2"/>
          <w:szCs w:val="21"/>
        </w:rPr>
        <w:t>；对有黏结强度复合地基增强体应进行强度及桩身完整性检</w:t>
      </w:r>
      <w:r>
        <w:rPr>
          <w:rFonts w:hint="eastAsia" w:hAnsi="宋体"/>
          <w:snapToGrid w:val="0"/>
          <w:color w:val="auto"/>
          <w:spacing w:val="-2"/>
          <w:szCs w:val="21"/>
        </w:rPr>
        <w:t>测</w:t>
      </w:r>
      <w:r>
        <w:rPr>
          <w:rFonts w:hAnsi="宋体"/>
          <w:snapToGrid w:val="0"/>
          <w:color w:val="auto"/>
          <w:spacing w:val="-2"/>
          <w:szCs w:val="21"/>
        </w:rPr>
        <w:t>。</w:t>
      </w:r>
    </w:p>
    <w:p w14:paraId="0B78C5BA">
      <w:pPr>
        <w:adjustRightInd w:val="0"/>
        <w:snapToGrid w:val="0"/>
        <w:spacing w:line="340" w:lineRule="atLeast"/>
        <w:rPr>
          <w:rFonts w:eastAsia="黑体"/>
          <w:b/>
          <w:bCs/>
          <w:color w:val="auto"/>
          <w:szCs w:val="21"/>
        </w:rPr>
      </w:pPr>
      <w:r>
        <w:rPr>
          <w:rFonts w:eastAsia="黑体"/>
          <w:b/>
          <w:bCs/>
          <w:color w:val="auto"/>
          <w:szCs w:val="21"/>
        </w:rPr>
        <w:t>17.1.7</w:t>
      </w:r>
      <w:r>
        <w:rPr>
          <w:color w:val="auto"/>
          <w:szCs w:val="21"/>
        </w:rPr>
        <w:t xml:space="preserve">  </w:t>
      </w:r>
      <w:r>
        <w:rPr>
          <w:rFonts w:hAnsi="宋体"/>
          <w:snapToGrid w:val="0"/>
          <w:color w:val="auto"/>
          <w:spacing w:val="-2"/>
          <w:szCs w:val="21"/>
        </w:rPr>
        <w:t>复合地基承载力的验收检</w:t>
      </w:r>
      <w:r>
        <w:rPr>
          <w:rFonts w:hint="eastAsia" w:hAnsi="宋体"/>
          <w:snapToGrid w:val="0"/>
          <w:color w:val="auto"/>
          <w:spacing w:val="-2"/>
          <w:szCs w:val="21"/>
        </w:rPr>
        <w:t>测</w:t>
      </w:r>
      <w:r>
        <w:rPr>
          <w:rFonts w:hAnsi="宋体"/>
          <w:snapToGrid w:val="0"/>
          <w:color w:val="auto"/>
          <w:spacing w:val="-2"/>
          <w:szCs w:val="21"/>
        </w:rPr>
        <w:t>应采用复合地基静载试验，对有黏结强度的复合地基增强体尚应进行单桩静载试验。</w:t>
      </w:r>
    </w:p>
    <w:p w14:paraId="5AE1576D">
      <w:pPr>
        <w:adjustRightInd w:val="0"/>
        <w:snapToGrid w:val="0"/>
        <w:spacing w:line="340" w:lineRule="atLeast"/>
        <w:rPr>
          <w:color w:val="auto"/>
          <w:szCs w:val="21"/>
        </w:rPr>
      </w:pPr>
      <w:r>
        <w:rPr>
          <w:rFonts w:eastAsia="黑体"/>
          <w:b/>
          <w:bCs/>
          <w:color w:val="auto"/>
          <w:szCs w:val="21"/>
        </w:rPr>
        <w:t>17.1.8</w:t>
      </w:r>
      <w:r>
        <w:rPr>
          <w:color w:val="auto"/>
          <w:szCs w:val="21"/>
        </w:rPr>
        <w:t xml:space="preserve">  </w:t>
      </w:r>
      <w:r>
        <w:rPr>
          <w:rFonts w:hAnsi="宋体"/>
          <w:color w:val="auto"/>
          <w:szCs w:val="21"/>
        </w:rPr>
        <w:t>在压实填土地基或换填垫层的施工过程中，应分层取样检</w:t>
      </w:r>
      <w:r>
        <w:rPr>
          <w:rFonts w:hint="eastAsia" w:hAnsi="宋体"/>
          <w:color w:val="auto"/>
          <w:szCs w:val="21"/>
        </w:rPr>
        <w:t>测</w:t>
      </w:r>
      <w:r>
        <w:rPr>
          <w:rFonts w:hAnsi="宋体"/>
          <w:color w:val="auto"/>
          <w:szCs w:val="21"/>
        </w:rPr>
        <w:t>干密度和含水率，取样点位于每层厚度的</w:t>
      </w:r>
      <w:r>
        <w:rPr>
          <w:color w:val="auto"/>
          <w:szCs w:val="21"/>
        </w:rPr>
        <w:t>2/3</w:t>
      </w:r>
      <w:r>
        <w:rPr>
          <w:rFonts w:hAnsi="宋体"/>
          <w:color w:val="auto"/>
          <w:szCs w:val="21"/>
        </w:rPr>
        <w:t>深度处。检</w:t>
      </w:r>
      <w:r>
        <w:rPr>
          <w:rFonts w:hint="eastAsia" w:hAnsi="宋体"/>
          <w:color w:val="auto"/>
          <w:szCs w:val="21"/>
        </w:rPr>
        <w:t>测</w:t>
      </w:r>
      <w:r>
        <w:rPr>
          <w:rFonts w:hAnsi="宋体"/>
          <w:color w:val="auto"/>
          <w:szCs w:val="21"/>
        </w:rPr>
        <w:t>点数量，对大基坑每</w:t>
      </w:r>
      <w:r>
        <w:rPr>
          <w:color w:val="auto"/>
          <w:szCs w:val="21"/>
        </w:rPr>
        <w:t>50m</w:t>
      </w:r>
      <w:r>
        <w:rPr>
          <w:color w:val="auto"/>
          <w:szCs w:val="21"/>
          <w:vertAlign w:val="superscript"/>
        </w:rPr>
        <w:t>2</w:t>
      </w:r>
      <w:r>
        <w:rPr>
          <w:rFonts w:hAnsi="宋体"/>
          <w:color w:val="auto"/>
          <w:szCs w:val="21"/>
        </w:rPr>
        <w:t>～</w:t>
      </w:r>
      <w:r>
        <w:rPr>
          <w:color w:val="auto"/>
          <w:szCs w:val="21"/>
        </w:rPr>
        <w:t>100m</w:t>
      </w:r>
      <w:r>
        <w:rPr>
          <w:color w:val="auto"/>
          <w:szCs w:val="21"/>
          <w:vertAlign w:val="superscript"/>
        </w:rPr>
        <w:t>2</w:t>
      </w:r>
      <w:r>
        <w:rPr>
          <w:rFonts w:hAnsi="宋体"/>
          <w:color w:val="auto"/>
          <w:szCs w:val="21"/>
        </w:rPr>
        <w:t>面积内不应少于</w:t>
      </w:r>
      <w:r>
        <w:rPr>
          <w:color w:val="auto"/>
          <w:szCs w:val="21"/>
        </w:rPr>
        <w:t>1</w:t>
      </w:r>
      <w:r>
        <w:rPr>
          <w:rFonts w:hAnsi="宋体"/>
          <w:color w:val="auto"/>
          <w:szCs w:val="21"/>
        </w:rPr>
        <w:t>个点；对基槽每</w:t>
      </w:r>
      <w:r>
        <w:rPr>
          <w:color w:val="auto"/>
          <w:szCs w:val="21"/>
        </w:rPr>
        <w:t>10m</w:t>
      </w:r>
      <w:r>
        <w:rPr>
          <w:rFonts w:hAnsi="宋体"/>
          <w:color w:val="auto"/>
          <w:szCs w:val="21"/>
        </w:rPr>
        <w:t>～</w:t>
      </w:r>
      <w:r>
        <w:rPr>
          <w:color w:val="auto"/>
          <w:szCs w:val="21"/>
        </w:rPr>
        <w:t>20m</w:t>
      </w:r>
      <w:r>
        <w:rPr>
          <w:rFonts w:hAnsi="宋体"/>
          <w:color w:val="auto"/>
          <w:szCs w:val="21"/>
        </w:rPr>
        <w:t>不应少于</w:t>
      </w:r>
      <w:r>
        <w:rPr>
          <w:color w:val="auto"/>
          <w:szCs w:val="21"/>
        </w:rPr>
        <w:t>1</w:t>
      </w:r>
      <w:r>
        <w:rPr>
          <w:rFonts w:hAnsi="宋体"/>
          <w:color w:val="auto"/>
          <w:szCs w:val="21"/>
        </w:rPr>
        <w:t>个点；每个独立柱基不应少于</w:t>
      </w:r>
      <w:r>
        <w:rPr>
          <w:color w:val="auto"/>
          <w:szCs w:val="21"/>
        </w:rPr>
        <w:t>1</w:t>
      </w:r>
      <w:r>
        <w:rPr>
          <w:rFonts w:hAnsi="宋体"/>
          <w:color w:val="auto"/>
          <w:szCs w:val="21"/>
        </w:rPr>
        <w:t>个点。采用贯入仪或动力触探检</w:t>
      </w:r>
      <w:r>
        <w:rPr>
          <w:rFonts w:hint="eastAsia" w:hAnsi="宋体"/>
          <w:color w:val="auto"/>
          <w:szCs w:val="21"/>
        </w:rPr>
        <w:t>测</w:t>
      </w:r>
      <w:r>
        <w:rPr>
          <w:rFonts w:hAnsi="宋体"/>
          <w:color w:val="auto"/>
          <w:szCs w:val="21"/>
        </w:rPr>
        <w:t>垫层的施工质量时，分层检</w:t>
      </w:r>
      <w:r>
        <w:rPr>
          <w:rFonts w:hint="eastAsia" w:hAnsi="宋体"/>
          <w:color w:val="auto"/>
          <w:szCs w:val="21"/>
        </w:rPr>
        <w:t>测</w:t>
      </w:r>
      <w:r>
        <w:rPr>
          <w:rFonts w:hAnsi="宋体"/>
          <w:color w:val="auto"/>
          <w:szCs w:val="21"/>
        </w:rPr>
        <w:t>点的间距应小于</w:t>
      </w:r>
      <w:r>
        <w:rPr>
          <w:color w:val="auto"/>
          <w:szCs w:val="21"/>
        </w:rPr>
        <w:t>4m</w:t>
      </w:r>
      <w:r>
        <w:rPr>
          <w:rFonts w:hAnsi="宋体"/>
          <w:color w:val="auto"/>
          <w:szCs w:val="21"/>
        </w:rPr>
        <w:t>。</w:t>
      </w:r>
    </w:p>
    <w:p w14:paraId="3C9D69CB">
      <w:pPr>
        <w:adjustRightInd w:val="0"/>
        <w:snapToGrid w:val="0"/>
        <w:spacing w:line="340" w:lineRule="atLeast"/>
        <w:rPr>
          <w:color w:val="auto"/>
          <w:szCs w:val="21"/>
        </w:rPr>
      </w:pPr>
      <w:r>
        <w:rPr>
          <w:rFonts w:eastAsia="黑体"/>
          <w:b/>
          <w:bCs/>
          <w:color w:val="auto"/>
          <w:szCs w:val="21"/>
        </w:rPr>
        <w:t xml:space="preserve">17.1.9  </w:t>
      </w:r>
      <w:r>
        <w:rPr>
          <w:rFonts w:hAnsi="宋体"/>
          <w:color w:val="auto"/>
          <w:szCs w:val="21"/>
        </w:rPr>
        <w:t>对打入式桩、静力压桩，应提供经确认的施工过程有关参数。施工完成后尚应进行桩顶标高、桩位偏差、桩身垂直度等检</w:t>
      </w:r>
      <w:r>
        <w:rPr>
          <w:rFonts w:hint="eastAsia" w:hAnsi="宋体"/>
          <w:color w:val="auto"/>
          <w:szCs w:val="21"/>
        </w:rPr>
        <w:t>测</w:t>
      </w:r>
      <w:r>
        <w:rPr>
          <w:rFonts w:hAnsi="宋体"/>
          <w:color w:val="auto"/>
          <w:szCs w:val="21"/>
        </w:rPr>
        <w:t>。</w:t>
      </w:r>
    </w:p>
    <w:p w14:paraId="6457127D">
      <w:pPr>
        <w:snapToGrid w:val="0"/>
        <w:spacing w:line="340" w:lineRule="atLeast"/>
        <w:rPr>
          <w:color w:val="auto"/>
          <w:szCs w:val="21"/>
        </w:rPr>
      </w:pPr>
      <w:r>
        <w:rPr>
          <w:rFonts w:eastAsia="黑体"/>
          <w:b/>
          <w:bCs/>
          <w:color w:val="auto"/>
          <w:szCs w:val="21"/>
        </w:rPr>
        <w:t xml:space="preserve">17.1.10 </w:t>
      </w:r>
      <w:r>
        <w:rPr>
          <w:color w:val="auto"/>
          <w:szCs w:val="21"/>
        </w:rPr>
        <w:t xml:space="preserve"> </w:t>
      </w:r>
      <w:r>
        <w:rPr>
          <w:rFonts w:hAnsi="宋体"/>
          <w:color w:val="auto"/>
          <w:szCs w:val="21"/>
        </w:rPr>
        <w:t>对混凝土灌注桩，应提供施工过程有关参数，包括原材料的力学性能检</w:t>
      </w:r>
      <w:r>
        <w:rPr>
          <w:rFonts w:hint="eastAsia" w:hAnsi="宋体"/>
          <w:color w:val="auto"/>
          <w:szCs w:val="21"/>
        </w:rPr>
        <w:t>验</w:t>
      </w:r>
      <w:r>
        <w:rPr>
          <w:rFonts w:hAnsi="宋体"/>
          <w:color w:val="auto"/>
          <w:szCs w:val="21"/>
        </w:rPr>
        <w:t>报告，试件留置数量及制作养护方法、混凝土抗压强度试验报告，钢筋笼制作质量检查报告等。施工完成后尚应进行桩顶标高、桩径、桩位偏差等检</w:t>
      </w:r>
      <w:r>
        <w:rPr>
          <w:rFonts w:hint="eastAsia" w:hAnsi="宋体"/>
          <w:color w:val="auto"/>
          <w:szCs w:val="21"/>
        </w:rPr>
        <w:t>测</w:t>
      </w:r>
      <w:r>
        <w:rPr>
          <w:rFonts w:hAnsi="宋体"/>
          <w:color w:val="auto"/>
          <w:szCs w:val="21"/>
        </w:rPr>
        <w:t>。</w:t>
      </w:r>
    </w:p>
    <w:p w14:paraId="3AB032FD">
      <w:pPr>
        <w:snapToGrid w:val="0"/>
        <w:spacing w:line="340" w:lineRule="atLeast"/>
        <w:rPr>
          <w:rFonts w:eastAsia="黑体"/>
          <w:b/>
          <w:color w:val="auto"/>
          <w:szCs w:val="21"/>
        </w:rPr>
      </w:pPr>
      <w:r>
        <w:rPr>
          <w:rFonts w:eastAsia="黑体"/>
          <w:b/>
          <w:bCs/>
          <w:color w:val="auto"/>
          <w:szCs w:val="21"/>
        </w:rPr>
        <w:t>17.1.11</w:t>
      </w:r>
      <w:r>
        <w:rPr>
          <w:color w:val="auto"/>
          <w:szCs w:val="21"/>
        </w:rPr>
        <w:t xml:space="preserve">  </w:t>
      </w:r>
      <w:r>
        <w:rPr>
          <w:rFonts w:hAnsi="宋体"/>
          <w:snapToGrid w:val="0"/>
          <w:color w:val="auto"/>
          <w:spacing w:val="-2"/>
          <w:szCs w:val="21"/>
        </w:rPr>
        <w:t>人工挖孔桩终孔时，应逐孔进行桩端持力层检验。</w:t>
      </w:r>
      <w:r>
        <w:rPr>
          <w:rFonts w:hint="eastAsia" w:hAnsi="宋体"/>
          <w:snapToGrid w:val="0"/>
          <w:color w:val="auto"/>
          <w:spacing w:val="-2"/>
          <w:szCs w:val="21"/>
        </w:rPr>
        <w:t>对于</w:t>
      </w:r>
      <w:r>
        <w:rPr>
          <w:rFonts w:hAnsi="宋体"/>
          <w:snapToGrid w:val="0"/>
          <w:color w:val="auto"/>
          <w:spacing w:val="-2"/>
          <w:szCs w:val="21"/>
        </w:rPr>
        <w:t>单柱单桩的大直径嵌岩桩终孔时，应视岩性</w:t>
      </w:r>
      <w:r>
        <w:rPr>
          <w:rFonts w:hint="eastAsia" w:hAnsi="宋体"/>
          <w:snapToGrid w:val="0"/>
          <w:color w:val="auto"/>
          <w:spacing w:val="-2"/>
          <w:szCs w:val="21"/>
        </w:rPr>
        <w:t>采用超前钻逐孔</w:t>
      </w:r>
      <w:r>
        <w:rPr>
          <w:rFonts w:hAnsi="宋体"/>
          <w:snapToGrid w:val="0"/>
          <w:color w:val="auto"/>
          <w:spacing w:val="-2"/>
          <w:szCs w:val="21"/>
        </w:rPr>
        <w:t>检验孔底下3倍桩身直径或5m深度范围内有无土洞、溶洞、破碎带或软弱夹层等不良地质条件。</w:t>
      </w:r>
    </w:p>
    <w:p w14:paraId="6B8CE44D">
      <w:pPr>
        <w:adjustRightInd w:val="0"/>
        <w:snapToGrid w:val="0"/>
        <w:spacing w:line="340" w:lineRule="atLeast"/>
        <w:rPr>
          <w:rFonts w:hAnsi="宋体"/>
          <w:snapToGrid w:val="0"/>
          <w:color w:val="auto"/>
          <w:spacing w:val="-2"/>
          <w:szCs w:val="21"/>
        </w:rPr>
      </w:pPr>
      <w:r>
        <w:rPr>
          <w:rFonts w:eastAsia="黑体"/>
          <w:b/>
          <w:bCs/>
          <w:color w:val="auto"/>
          <w:szCs w:val="21"/>
        </w:rPr>
        <w:t xml:space="preserve">17.1.12 </w:t>
      </w:r>
      <w:r>
        <w:rPr>
          <w:rFonts w:eastAsia="黑体"/>
          <w:color w:val="auto"/>
          <w:szCs w:val="21"/>
        </w:rPr>
        <w:t xml:space="preserve"> </w:t>
      </w:r>
      <w:r>
        <w:rPr>
          <w:rFonts w:hAnsi="宋体"/>
          <w:snapToGrid w:val="0"/>
          <w:color w:val="auto"/>
          <w:spacing w:val="-2"/>
          <w:szCs w:val="21"/>
        </w:rPr>
        <w:t>施工完成后的工程桩应进行桩身完整性检测</w:t>
      </w:r>
      <w:r>
        <w:rPr>
          <w:rFonts w:hint="eastAsia" w:hAnsi="宋体"/>
          <w:snapToGrid w:val="0"/>
          <w:color w:val="auto"/>
          <w:spacing w:val="-2"/>
          <w:szCs w:val="21"/>
        </w:rPr>
        <w:t>，抗压</w:t>
      </w:r>
      <w:r>
        <w:rPr>
          <w:rFonts w:hAnsi="宋体"/>
          <w:snapToGrid w:val="0"/>
          <w:color w:val="auto"/>
          <w:spacing w:val="-2"/>
          <w:szCs w:val="21"/>
        </w:rPr>
        <w:t>和抗拔工程桩</w:t>
      </w:r>
      <w:r>
        <w:rPr>
          <w:rFonts w:hint="eastAsia" w:hAnsi="宋体"/>
          <w:snapToGrid w:val="0"/>
          <w:color w:val="auto"/>
          <w:spacing w:val="-2"/>
          <w:szCs w:val="21"/>
        </w:rPr>
        <w:t>应进行</w:t>
      </w:r>
      <w:r>
        <w:rPr>
          <w:rFonts w:hAnsi="宋体"/>
          <w:snapToGrid w:val="0"/>
          <w:color w:val="auto"/>
          <w:spacing w:val="-2"/>
          <w:szCs w:val="21"/>
        </w:rPr>
        <w:t>竖向承载力验收检测</w:t>
      </w:r>
      <w:r>
        <w:rPr>
          <w:rFonts w:hint="eastAsia" w:hAnsi="宋体"/>
          <w:snapToGrid w:val="0"/>
          <w:color w:val="auto"/>
          <w:spacing w:val="-2"/>
          <w:szCs w:val="21"/>
        </w:rPr>
        <w:t>，</w:t>
      </w:r>
      <w:r>
        <w:rPr>
          <w:rFonts w:hAnsi="宋体"/>
          <w:snapToGrid w:val="0"/>
          <w:color w:val="auto"/>
          <w:spacing w:val="-2"/>
          <w:szCs w:val="21"/>
        </w:rPr>
        <w:t>承受水平力较大的桩应进行水平承载力</w:t>
      </w:r>
      <w:r>
        <w:rPr>
          <w:rFonts w:hint="eastAsia" w:hAnsi="宋体"/>
          <w:snapToGrid w:val="0"/>
          <w:color w:val="auto"/>
          <w:spacing w:val="-2"/>
          <w:szCs w:val="21"/>
        </w:rPr>
        <w:t>验收检测</w:t>
      </w:r>
      <w:r>
        <w:rPr>
          <w:rFonts w:hAnsi="宋体"/>
          <w:snapToGrid w:val="0"/>
          <w:color w:val="auto"/>
          <w:spacing w:val="-2"/>
          <w:szCs w:val="21"/>
        </w:rPr>
        <w:t>。</w:t>
      </w:r>
    </w:p>
    <w:p w14:paraId="2E10100B">
      <w:pPr>
        <w:adjustRightInd w:val="0"/>
        <w:snapToGrid w:val="0"/>
        <w:spacing w:line="340" w:lineRule="atLeast"/>
        <w:rPr>
          <w:rFonts w:hAnsi="宋体"/>
          <w:snapToGrid w:val="0"/>
          <w:color w:val="auto"/>
          <w:spacing w:val="-2"/>
          <w:szCs w:val="21"/>
        </w:rPr>
      </w:pPr>
      <w:r>
        <w:rPr>
          <w:rFonts w:eastAsia="黑体"/>
          <w:b/>
          <w:bCs/>
          <w:color w:val="auto"/>
          <w:szCs w:val="21"/>
        </w:rPr>
        <w:t>17.1.13</w:t>
      </w:r>
      <w:r>
        <w:rPr>
          <w:color w:val="auto"/>
          <w:szCs w:val="21"/>
        </w:rPr>
        <w:t xml:space="preserve">  </w:t>
      </w:r>
      <w:r>
        <w:rPr>
          <w:rFonts w:hAnsi="宋体"/>
          <w:color w:val="auto"/>
          <w:szCs w:val="21"/>
        </w:rPr>
        <w:t>单桩竖向抗压承载力验收检</w:t>
      </w:r>
      <w:r>
        <w:rPr>
          <w:rFonts w:hint="eastAsia" w:hAnsi="宋体"/>
          <w:color w:val="auto"/>
          <w:szCs w:val="21"/>
        </w:rPr>
        <w:t>测</w:t>
      </w:r>
      <w:r>
        <w:rPr>
          <w:rFonts w:hAnsi="宋体"/>
          <w:color w:val="auto"/>
          <w:szCs w:val="21"/>
        </w:rPr>
        <w:t>静载试验的最大加载量不应小于承载力特征值的</w:t>
      </w:r>
      <w:r>
        <w:rPr>
          <w:color w:val="auto"/>
          <w:szCs w:val="21"/>
        </w:rPr>
        <w:t>2</w:t>
      </w:r>
      <w:r>
        <w:rPr>
          <w:rFonts w:hAnsi="宋体"/>
          <w:color w:val="auto"/>
          <w:szCs w:val="21"/>
        </w:rPr>
        <w:t>倍；抗拔及承受水平力</w:t>
      </w:r>
      <w:r>
        <w:rPr>
          <w:rFonts w:hint="eastAsia" w:hAnsi="宋体"/>
          <w:color w:val="auto"/>
          <w:szCs w:val="21"/>
        </w:rPr>
        <w:t>单桩</w:t>
      </w:r>
      <w:r>
        <w:rPr>
          <w:rFonts w:hAnsi="宋体"/>
          <w:color w:val="auto"/>
          <w:szCs w:val="21"/>
        </w:rPr>
        <w:t>承载力验收检</w:t>
      </w:r>
      <w:r>
        <w:rPr>
          <w:rFonts w:hint="eastAsia" w:hAnsi="宋体"/>
          <w:color w:val="auto"/>
          <w:szCs w:val="21"/>
        </w:rPr>
        <w:t>测</w:t>
      </w:r>
      <w:r>
        <w:rPr>
          <w:rFonts w:hAnsi="宋体"/>
          <w:color w:val="auto"/>
          <w:szCs w:val="21"/>
        </w:rPr>
        <w:t>，静载试验应进行裂缝控制，加载量根据配筋情况由设计单位计算确定；抗拔兼抗压桩验收检</w:t>
      </w:r>
      <w:r>
        <w:rPr>
          <w:rFonts w:hint="eastAsia" w:hAnsi="宋体"/>
          <w:color w:val="auto"/>
          <w:szCs w:val="21"/>
        </w:rPr>
        <w:t>测</w:t>
      </w:r>
      <w:r>
        <w:rPr>
          <w:rFonts w:hAnsi="宋体"/>
          <w:color w:val="auto"/>
          <w:szCs w:val="21"/>
        </w:rPr>
        <w:t>，抗拔静载试验</w:t>
      </w:r>
      <w:r>
        <w:rPr>
          <w:rFonts w:hint="eastAsia" w:hAnsi="宋体"/>
          <w:color w:val="auto"/>
          <w:szCs w:val="21"/>
        </w:rPr>
        <w:t>上拔量不宜超过10mm，</w:t>
      </w:r>
      <w:r>
        <w:rPr>
          <w:rFonts w:hAnsi="宋体"/>
          <w:color w:val="auto"/>
          <w:szCs w:val="21"/>
        </w:rPr>
        <w:t>且应考虑上拔量对抗压承载力的影响。</w:t>
      </w:r>
    </w:p>
    <w:p w14:paraId="713CEE82">
      <w:pPr>
        <w:adjustRightInd w:val="0"/>
        <w:snapToGrid w:val="0"/>
        <w:spacing w:line="340" w:lineRule="atLeast"/>
        <w:rPr>
          <w:color w:val="auto"/>
          <w:szCs w:val="21"/>
        </w:rPr>
      </w:pPr>
      <w:r>
        <w:rPr>
          <w:rFonts w:eastAsia="黑体"/>
          <w:b/>
          <w:bCs/>
          <w:color w:val="auto"/>
          <w:szCs w:val="21"/>
        </w:rPr>
        <w:t>17.1.14</w:t>
      </w:r>
      <w:r>
        <w:rPr>
          <w:color w:val="auto"/>
          <w:szCs w:val="21"/>
        </w:rPr>
        <w:t xml:space="preserve">  </w:t>
      </w:r>
      <w:r>
        <w:rPr>
          <w:rFonts w:hint="eastAsia"/>
          <w:color w:val="auto"/>
          <w:szCs w:val="21"/>
        </w:rPr>
        <w:t>竖向抗压</w:t>
      </w:r>
      <w:r>
        <w:rPr>
          <w:color w:val="auto"/>
          <w:szCs w:val="21"/>
        </w:rPr>
        <w:t>工程桩验收检测应符合下列规定</w:t>
      </w:r>
      <w:r>
        <w:rPr>
          <w:rFonts w:hint="eastAsia"/>
          <w:color w:val="auto"/>
          <w:szCs w:val="21"/>
        </w:rPr>
        <w:t>：</w:t>
      </w:r>
    </w:p>
    <w:p w14:paraId="7DC3A98A">
      <w:pPr>
        <w:adjustRightInd w:val="0"/>
        <w:snapToGrid w:val="0"/>
        <w:spacing w:line="340" w:lineRule="atLeast"/>
        <w:ind w:firstLine="420" w:firstLineChars="200"/>
        <w:rPr>
          <w:rFonts w:hAnsi="宋体"/>
          <w:color w:val="auto"/>
          <w:szCs w:val="21"/>
        </w:rPr>
      </w:pPr>
      <w:r>
        <w:rPr>
          <w:rFonts w:hAnsi="宋体"/>
          <w:color w:val="auto"/>
          <w:szCs w:val="21"/>
        </w:rPr>
        <w:t>a) 单栋建筑同条件的桩</w:t>
      </w:r>
      <w:r>
        <w:rPr>
          <w:rFonts w:hint="eastAsia"/>
          <w:color w:val="auto"/>
          <w:szCs w:val="21"/>
        </w:rPr>
        <w:t>竖向抗压承载力</w:t>
      </w:r>
      <w:r>
        <w:rPr>
          <w:rFonts w:hint="eastAsia" w:hAnsi="宋体"/>
          <w:color w:val="auto"/>
          <w:szCs w:val="21"/>
        </w:rPr>
        <w:t>静载试验</w:t>
      </w:r>
      <w:r>
        <w:rPr>
          <w:rFonts w:hAnsi="宋体"/>
          <w:color w:val="auto"/>
          <w:szCs w:val="21"/>
        </w:rPr>
        <w:t>检</w:t>
      </w:r>
      <w:r>
        <w:rPr>
          <w:rFonts w:hint="eastAsia" w:hAnsi="宋体"/>
          <w:color w:val="auto"/>
          <w:szCs w:val="21"/>
        </w:rPr>
        <w:t>测数量</w:t>
      </w:r>
      <w:r>
        <w:rPr>
          <w:rFonts w:hAnsi="宋体"/>
          <w:color w:val="auto"/>
          <w:szCs w:val="21"/>
        </w:rPr>
        <w:t>不应少于总桩数的</w:t>
      </w:r>
      <w:r>
        <w:rPr>
          <w:color w:val="auto"/>
          <w:szCs w:val="21"/>
        </w:rPr>
        <w:t>1%</w:t>
      </w:r>
      <w:r>
        <w:rPr>
          <w:rFonts w:hAnsi="宋体"/>
          <w:color w:val="auto"/>
          <w:szCs w:val="21"/>
        </w:rPr>
        <w:t>，且不应少于</w:t>
      </w:r>
      <w:r>
        <w:rPr>
          <w:color w:val="auto"/>
          <w:szCs w:val="21"/>
        </w:rPr>
        <w:t>3</w:t>
      </w:r>
      <w:r>
        <w:rPr>
          <w:rFonts w:hAnsi="宋体"/>
          <w:color w:val="auto"/>
          <w:szCs w:val="21"/>
        </w:rPr>
        <w:t>根，当总桩数少于</w:t>
      </w:r>
      <w:r>
        <w:rPr>
          <w:color w:val="auto"/>
          <w:szCs w:val="21"/>
        </w:rPr>
        <w:t>50</w:t>
      </w:r>
      <w:r>
        <w:rPr>
          <w:rFonts w:hAnsi="宋体"/>
          <w:color w:val="auto"/>
          <w:szCs w:val="21"/>
        </w:rPr>
        <w:t>根时，不应少于</w:t>
      </w:r>
      <w:r>
        <w:rPr>
          <w:color w:val="auto"/>
          <w:szCs w:val="21"/>
        </w:rPr>
        <w:t>2</w:t>
      </w:r>
      <w:r>
        <w:rPr>
          <w:rFonts w:hAnsi="宋体"/>
          <w:color w:val="auto"/>
          <w:szCs w:val="21"/>
        </w:rPr>
        <w:t>根</w:t>
      </w:r>
      <w:r>
        <w:rPr>
          <w:rFonts w:hint="eastAsia" w:hAnsi="宋体"/>
          <w:color w:val="auto"/>
          <w:szCs w:val="21"/>
        </w:rPr>
        <w:t>。</w:t>
      </w:r>
    </w:p>
    <w:p w14:paraId="0F767D93">
      <w:pPr>
        <w:adjustRightInd w:val="0"/>
        <w:snapToGrid w:val="0"/>
        <w:spacing w:line="340" w:lineRule="atLeast"/>
        <w:ind w:firstLine="420" w:firstLineChars="200"/>
        <w:rPr>
          <w:rFonts w:hAnsi="宋体"/>
          <w:color w:val="auto"/>
          <w:szCs w:val="21"/>
        </w:rPr>
      </w:pPr>
      <w:r>
        <w:rPr>
          <w:rFonts w:hint="eastAsia" w:hAnsi="宋体"/>
          <w:color w:val="auto"/>
          <w:szCs w:val="21"/>
        </w:rPr>
        <w:t>b</w:t>
      </w:r>
      <w:r>
        <w:rPr>
          <w:rFonts w:hAnsi="宋体"/>
          <w:color w:val="auto"/>
          <w:szCs w:val="21"/>
        </w:rPr>
        <w:t>) 高层建筑及重要工程的灌注桩或甲级设计等级的预制桩，工程桩单桩竖向抗压承载力应采用静载试验的方法进行验收检</w:t>
      </w:r>
      <w:r>
        <w:rPr>
          <w:rFonts w:hint="eastAsia" w:hAnsi="宋体"/>
          <w:color w:val="auto"/>
          <w:szCs w:val="21"/>
        </w:rPr>
        <w:t>测</w:t>
      </w:r>
      <w:r>
        <w:rPr>
          <w:rFonts w:hAnsi="宋体"/>
          <w:color w:val="auto"/>
          <w:szCs w:val="21"/>
        </w:rPr>
        <w:t>，其他桩基当符合本文件第</w:t>
      </w:r>
      <w:r>
        <w:rPr>
          <w:color w:val="auto"/>
          <w:szCs w:val="21"/>
        </w:rPr>
        <w:t>17.1.20</w:t>
      </w:r>
      <w:r>
        <w:rPr>
          <w:rFonts w:hAnsi="宋体"/>
          <w:color w:val="auto"/>
          <w:szCs w:val="21"/>
        </w:rPr>
        <w:t>条、第</w:t>
      </w:r>
      <w:r>
        <w:rPr>
          <w:color w:val="auto"/>
          <w:szCs w:val="21"/>
        </w:rPr>
        <w:t>17.1.21</w:t>
      </w:r>
      <w:r>
        <w:rPr>
          <w:rFonts w:hAnsi="宋体"/>
          <w:color w:val="auto"/>
          <w:szCs w:val="21"/>
        </w:rPr>
        <w:t>条规定时，可采用高应变方法检测单桩承载力，</w:t>
      </w:r>
      <w:r>
        <w:rPr>
          <w:rFonts w:hint="eastAsia" w:hAnsi="宋体"/>
          <w:color w:val="auto"/>
          <w:szCs w:val="21"/>
        </w:rPr>
        <w:t>单栋建筑</w:t>
      </w:r>
      <w:r>
        <w:rPr>
          <w:rFonts w:hAnsi="宋体"/>
          <w:color w:val="auto"/>
          <w:szCs w:val="21"/>
        </w:rPr>
        <w:t>高应变检测数量不宜少于总桩数的</w:t>
      </w:r>
      <w:r>
        <w:rPr>
          <w:color w:val="auto"/>
          <w:szCs w:val="21"/>
        </w:rPr>
        <w:t>5%</w:t>
      </w:r>
      <w:r>
        <w:rPr>
          <w:rFonts w:hAnsi="宋体"/>
          <w:color w:val="auto"/>
          <w:szCs w:val="21"/>
        </w:rPr>
        <w:t>，且不应少于</w:t>
      </w:r>
      <w:r>
        <w:rPr>
          <w:color w:val="auto"/>
          <w:szCs w:val="21"/>
        </w:rPr>
        <w:t>6</w:t>
      </w:r>
      <w:r>
        <w:rPr>
          <w:rFonts w:hAnsi="宋体"/>
          <w:color w:val="auto"/>
          <w:szCs w:val="21"/>
        </w:rPr>
        <w:t>根，此时工程桩静载试验检测数量可适当减少</w:t>
      </w:r>
      <w:r>
        <w:rPr>
          <w:rFonts w:hint="eastAsia" w:hAnsi="宋体"/>
          <w:color w:val="auto"/>
          <w:szCs w:val="21"/>
        </w:rPr>
        <w:t>，</w:t>
      </w:r>
      <w:r>
        <w:rPr>
          <w:rFonts w:hAnsi="宋体"/>
          <w:color w:val="auto"/>
          <w:szCs w:val="21"/>
        </w:rPr>
        <w:t>但</w:t>
      </w:r>
      <w:r>
        <w:rPr>
          <w:rFonts w:hint="eastAsia" w:hAnsi="宋体"/>
          <w:color w:val="auto"/>
          <w:szCs w:val="21"/>
        </w:rPr>
        <w:t>每栋建筑</w:t>
      </w:r>
      <w:r>
        <w:rPr>
          <w:rFonts w:hAnsi="宋体"/>
          <w:color w:val="auto"/>
          <w:szCs w:val="21"/>
        </w:rPr>
        <w:t>不应少于</w:t>
      </w:r>
      <w:r>
        <w:rPr>
          <w:rFonts w:hint="eastAsia" w:hAnsi="宋体"/>
          <w:color w:val="auto"/>
          <w:szCs w:val="21"/>
        </w:rPr>
        <w:t>1根</w:t>
      </w:r>
      <w:r>
        <w:rPr>
          <w:rFonts w:hAnsi="宋体"/>
          <w:color w:val="auto"/>
          <w:szCs w:val="21"/>
        </w:rPr>
        <w:t>。</w:t>
      </w:r>
    </w:p>
    <w:p w14:paraId="1F0F1068">
      <w:pPr>
        <w:adjustRightInd w:val="0"/>
        <w:snapToGrid w:val="0"/>
        <w:spacing w:line="340" w:lineRule="atLeast"/>
        <w:ind w:firstLine="420" w:firstLineChars="200"/>
        <w:rPr>
          <w:rFonts w:hAnsi="宋体"/>
          <w:color w:val="auto"/>
          <w:szCs w:val="21"/>
        </w:rPr>
      </w:pPr>
      <w:r>
        <w:rPr>
          <w:rFonts w:hAnsi="宋体"/>
          <w:color w:val="auto"/>
          <w:szCs w:val="21"/>
        </w:rPr>
        <w:t>c) 人工挖孔桩</w:t>
      </w:r>
      <w:r>
        <w:rPr>
          <w:rFonts w:hint="eastAsia"/>
          <w:color w:val="auto"/>
          <w:szCs w:val="21"/>
        </w:rPr>
        <w:t>竖向抗压承载力</w:t>
      </w:r>
      <w:r>
        <w:rPr>
          <w:rFonts w:hAnsi="宋体"/>
          <w:color w:val="auto"/>
          <w:szCs w:val="21"/>
        </w:rPr>
        <w:t>可根据</w:t>
      </w:r>
      <w:r>
        <w:rPr>
          <w:rFonts w:hint="eastAsia" w:hAnsi="宋体"/>
          <w:color w:val="auto"/>
          <w:szCs w:val="21"/>
        </w:rPr>
        <w:t>桩端岩基静载试验或桩端土深层平板静载试验</w:t>
      </w:r>
      <w:r>
        <w:rPr>
          <w:rFonts w:hAnsi="宋体"/>
          <w:color w:val="auto"/>
          <w:szCs w:val="21"/>
        </w:rPr>
        <w:t>结果</w:t>
      </w:r>
      <w:r>
        <w:rPr>
          <w:rFonts w:hint="eastAsia" w:hAnsi="宋体"/>
          <w:color w:val="auto"/>
          <w:szCs w:val="21"/>
        </w:rPr>
        <w:t>、</w:t>
      </w:r>
      <w:r>
        <w:rPr>
          <w:rFonts w:hAnsi="宋体"/>
          <w:color w:val="auto"/>
          <w:szCs w:val="21"/>
        </w:rPr>
        <w:t>终孔时桩端持力层检验</w:t>
      </w:r>
      <w:r>
        <w:rPr>
          <w:rFonts w:hint="eastAsia" w:hAnsi="宋体"/>
          <w:color w:val="auto"/>
          <w:szCs w:val="21"/>
        </w:rPr>
        <w:t>结果以及</w:t>
      </w:r>
      <w:r>
        <w:rPr>
          <w:rFonts w:hAnsi="宋体"/>
          <w:color w:val="auto"/>
          <w:szCs w:val="21"/>
        </w:rPr>
        <w:t>桩身质量检</w:t>
      </w:r>
      <w:r>
        <w:rPr>
          <w:rFonts w:hint="eastAsia" w:hAnsi="宋体"/>
          <w:color w:val="auto"/>
          <w:szCs w:val="21"/>
        </w:rPr>
        <w:t>测</w:t>
      </w:r>
      <w:r>
        <w:rPr>
          <w:rFonts w:hAnsi="宋体"/>
          <w:color w:val="auto"/>
          <w:szCs w:val="21"/>
        </w:rPr>
        <w:t>结果综合核验。</w:t>
      </w:r>
    </w:p>
    <w:p w14:paraId="76A8802C">
      <w:pPr>
        <w:adjustRightInd w:val="0"/>
        <w:snapToGrid w:val="0"/>
        <w:spacing w:line="340" w:lineRule="atLeast"/>
        <w:ind w:firstLine="420" w:firstLineChars="200"/>
        <w:rPr>
          <w:rFonts w:hAnsi="宋体"/>
          <w:color w:val="auto"/>
          <w:szCs w:val="21"/>
        </w:rPr>
      </w:pPr>
      <w:r>
        <w:rPr>
          <w:rFonts w:hAnsi="宋体"/>
          <w:color w:val="auto"/>
          <w:szCs w:val="21"/>
        </w:rPr>
        <w:t>d) 对高度超过</w:t>
      </w:r>
      <w:r>
        <w:rPr>
          <w:color w:val="auto"/>
          <w:szCs w:val="21"/>
        </w:rPr>
        <w:t>50m</w:t>
      </w:r>
      <w:r>
        <w:rPr>
          <w:rFonts w:hAnsi="宋体"/>
          <w:color w:val="auto"/>
          <w:szCs w:val="21"/>
        </w:rPr>
        <w:t>的高层建筑大直径灌注桩，单桩竖向抗压静载试验受检桩应随机抽检，且试验时的桩顶标高应与工程桩设计桩顶标高基本一致。若因条件限制不能随机抽检时，工程桩</w:t>
      </w:r>
      <w:r>
        <w:rPr>
          <w:color w:val="auto"/>
          <w:szCs w:val="21"/>
        </w:rPr>
        <w:t>3</w:t>
      </w:r>
      <w:r>
        <w:rPr>
          <w:rFonts w:hAnsi="宋体"/>
          <w:color w:val="auto"/>
          <w:szCs w:val="21"/>
        </w:rPr>
        <w:t>桩及以下承台应全数</w:t>
      </w:r>
      <w:r>
        <w:rPr>
          <w:rFonts w:hint="eastAsia" w:hAnsi="宋体"/>
          <w:color w:val="auto"/>
          <w:szCs w:val="21"/>
        </w:rPr>
        <w:t>进行声波透射法桩身完整性检测</w:t>
      </w:r>
      <w:r>
        <w:rPr>
          <w:rFonts w:hAnsi="宋体"/>
          <w:color w:val="auto"/>
          <w:szCs w:val="21"/>
        </w:rPr>
        <w:t>，多于</w:t>
      </w:r>
      <w:r>
        <w:rPr>
          <w:color w:val="auto"/>
          <w:szCs w:val="21"/>
        </w:rPr>
        <w:t>3</w:t>
      </w:r>
      <w:r>
        <w:rPr>
          <w:rFonts w:hAnsi="宋体"/>
          <w:color w:val="auto"/>
          <w:szCs w:val="21"/>
        </w:rPr>
        <w:t>桩的承台进行声波透射法桩身完整性检测的数量不应小于承台下桩数的</w:t>
      </w:r>
      <w:r>
        <w:rPr>
          <w:color w:val="auto"/>
          <w:szCs w:val="21"/>
        </w:rPr>
        <w:t>50%</w:t>
      </w:r>
      <w:r>
        <w:rPr>
          <w:rFonts w:hAnsi="宋体"/>
          <w:color w:val="auto"/>
          <w:szCs w:val="21"/>
        </w:rPr>
        <w:t>；同时钻芯检测数量不应少于总桩数的</w:t>
      </w:r>
      <w:r>
        <w:rPr>
          <w:color w:val="auto"/>
          <w:szCs w:val="21"/>
        </w:rPr>
        <w:t>2%</w:t>
      </w:r>
      <w:r>
        <w:rPr>
          <w:rFonts w:hAnsi="宋体"/>
          <w:color w:val="auto"/>
          <w:szCs w:val="21"/>
        </w:rPr>
        <w:t>，且不应少于</w:t>
      </w:r>
      <w:r>
        <w:rPr>
          <w:color w:val="auto"/>
          <w:szCs w:val="21"/>
        </w:rPr>
        <w:t>6</w:t>
      </w:r>
      <w:r>
        <w:rPr>
          <w:rFonts w:hAnsi="宋体"/>
          <w:color w:val="auto"/>
          <w:szCs w:val="21"/>
        </w:rPr>
        <w:t>根。</w:t>
      </w:r>
    </w:p>
    <w:p w14:paraId="68CE529D">
      <w:pPr>
        <w:adjustRightInd w:val="0"/>
        <w:snapToGrid w:val="0"/>
        <w:spacing w:line="340" w:lineRule="atLeast"/>
        <w:rPr>
          <w:color w:val="auto"/>
          <w:szCs w:val="21"/>
        </w:rPr>
      </w:pPr>
      <w:r>
        <w:rPr>
          <w:rFonts w:eastAsia="黑体"/>
          <w:b/>
          <w:bCs/>
          <w:color w:val="auto"/>
          <w:szCs w:val="21"/>
        </w:rPr>
        <w:t>17.1.15</w:t>
      </w:r>
      <w:r>
        <w:rPr>
          <w:color w:val="auto"/>
          <w:szCs w:val="21"/>
        </w:rPr>
        <w:t xml:space="preserve">  </w:t>
      </w:r>
      <w:r>
        <w:rPr>
          <w:rFonts w:hAnsi="宋体"/>
          <w:color w:val="auto"/>
          <w:szCs w:val="21"/>
        </w:rPr>
        <w:t>水平受力桩和抗拔桩的承载力验收检</w:t>
      </w:r>
      <w:r>
        <w:rPr>
          <w:rFonts w:hint="eastAsia" w:hAnsi="宋体"/>
          <w:color w:val="auto"/>
          <w:szCs w:val="21"/>
        </w:rPr>
        <w:t>测</w:t>
      </w:r>
      <w:r>
        <w:rPr>
          <w:rFonts w:hAnsi="宋体"/>
          <w:color w:val="auto"/>
          <w:szCs w:val="21"/>
        </w:rPr>
        <w:t>数量不宜少于同条件下总桩数的</w:t>
      </w:r>
      <w:r>
        <w:rPr>
          <w:color w:val="auto"/>
          <w:szCs w:val="21"/>
        </w:rPr>
        <w:t>1%</w:t>
      </w:r>
      <w:r>
        <w:rPr>
          <w:rFonts w:hAnsi="宋体"/>
          <w:color w:val="auto"/>
          <w:szCs w:val="21"/>
        </w:rPr>
        <w:t>，且不应少于</w:t>
      </w:r>
      <w:r>
        <w:rPr>
          <w:color w:val="auto"/>
          <w:szCs w:val="21"/>
        </w:rPr>
        <w:t>3</w:t>
      </w:r>
      <w:r>
        <w:rPr>
          <w:rFonts w:hAnsi="宋体"/>
          <w:color w:val="auto"/>
          <w:szCs w:val="21"/>
        </w:rPr>
        <w:t>根。</w:t>
      </w:r>
    </w:p>
    <w:p w14:paraId="04E915E4">
      <w:pPr>
        <w:adjustRightInd w:val="0"/>
        <w:snapToGrid w:val="0"/>
        <w:spacing w:line="340" w:lineRule="atLeast"/>
        <w:rPr>
          <w:color w:val="auto"/>
          <w:szCs w:val="21"/>
        </w:rPr>
      </w:pPr>
      <w:r>
        <w:rPr>
          <w:rFonts w:eastAsia="黑体"/>
          <w:b/>
          <w:bCs/>
          <w:color w:val="auto"/>
          <w:szCs w:val="21"/>
        </w:rPr>
        <w:t>17.1.16</w:t>
      </w:r>
      <w:r>
        <w:rPr>
          <w:color w:val="auto"/>
          <w:szCs w:val="21"/>
        </w:rPr>
        <w:t xml:space="preserve">  </w:t>
      </w:r>
      <w:r>
        <w:rPr>
          <w:rFonts w:hAnsi="宋体"/>
          <w:color w:val="auto"/>
          <w:szCs w:val="21"/>
        </w:rPr>
        <w:t>基础抗浮</w:t>
      </w:r>
      <w:r>
        <w:rPr>
          <w:color w:val="auto"/>
          <w:szCs w:val="21"/>
        </w:rPr>
        <w:t>（</w:t>
      </w:r>
      <w:r>
        <w:rPr>
          <w:rFonts w:hAnsi="宋体"/>
          <w:color w:val="auto"/>
          <w:szCs w:val="21"/>
        </w:rPr>
        <w:t>拔</w:t>
      </w:r>
      <w:r>
        <w:rPr>
          <w:color w:val="auto"/>
          <w:szCs w:val="21"/>
        </w:rPr>
        <w:t>）</w:t>
      </w:r>
      <w:r>
        <w:rPr>
          <w:rFonts w:hAnsi="宋体"/>
          <w:color w:val="auto"/>
          <w:szCs w:val="21"/>
        </w:rPr>
        <w:t>锚杆完成后应进行抗拔承载力验收检</w:t>
      </w:r>
      <w:r>
        <w:rPr>
          <w:rFonts w:hint="eastAsia" w:hAnsi="宋体"/>
          <w:color w:val="auto"/>
          <w:szCs w:val="21"/>
        </w:rPr>
        <w:t>测</w:t>
      </w:r>
      <w:r>
        <w:rPr>
          <w:rFonts w:hAnsi="宋体"/>
          <w:color w:val="auto"/>
          <w:szCs w:val="21"/>
        </w:rPr>
        <w:t>，检</w:t>
      </w:r>
      <w:r>
        <w:rPr>
          <w:rFonts w:hint="eastAsia" w:hAnsi="宋体"/>
          <w:color w:val="auto"/>
          <w:szCs w:val="21"/>
        </w:rPr>
        <w:t>测</w:t>
      </w:r>
      <w:r>
        <w:rPr>
          <w:rFonts w:hAnsi="宋体"/>
          <w:color w:val="auto"/>
          <w:szCs w:val="21"/>
        </w:rPr>
        <w:t>数量不宜少于抗浮</w:t>
      </w:r>
      <w:r>
        <w:rPr>
          <w:color w:val="auto"/>
          <w:szCs w:val="21"/>
        </w:rPr>
        <w:t>（</w:t>
      </w:r>
      <w:r>
        <w:rPr>
          <w:rFonts w:hAnsi="宋体"/>
          <w:color w:val="auto"/>
          <w:szCs w:val="21"/>
        </w:rPr>
        <w:t>拔</w:t>
      </w:r>
      <w:r>
        <w:rPr>
          <w:color w:val="auto"/>
          <w:szCs w:val="21"/>
        </w:rPr>
        <w:t>）锚杆</w:t>
      </w:r>
      <w:r>
        <w:rPr>
          <w:rFonts w:hAnsi="宋体"/>
          <w:color w:val="auto"/>
          <w:szCs w:val="21"/>
        </w:rPr>
        <w:t>总数的</w:t>
      </w:r>
      <w:r>
        <w:rPr>
          <w:color w:val="auto"/>
          <w:szCs w:val="21"/>
        </w:rPr>
        <w:t>5%</w:t>
      </w:r>
      <w:r>
        <w:rPr>
          <w:rFonts w:hAnsi="宋体"/>
          <w:color w:val="auto"/>
          <w:szCs w:val="21"/>
        </w:rPr>
        <w:t>，且不</w:t>
      </w:r>
      <w:r>
        <w:rPr>
          <w:rFonts w:hint="eastAsia" w:hAnsi="宋体"/>
          <w:color w:val="auto"/>
          <w:szCs w:val="21"/>
        </w:rPr>
        <w:t>应</w:t>
      </w:r>
      <w:r>
        <w:rPr>
          <w:rFonts w:hAnsi="宋体"/>
          <w:color w:val="auto"/>
          <w:szCs w:val="21"/>
        </w:rPr>
        <w:t>少于</w:t>
      </w:r>
      <w:r>
        <w:rPr>
          <w:color w:val="auto"/>
          <w:szCs w:val="21"/>
        </w:rPr>
        <w:t>6</w:t>
      </w:r>
      <w:r>
        <w:rPr>
          <w:rFonts w:hAnsi="宋体"/>
          <w:color w:val="auto"/>
          <w:szCs w:val="21"/>
        </w:rPr>
        <w:t>根。</w:t>
      </w:r>
    </w:p>
    <w:p w14:paraId="3FA4ECBF">
      <w:pPr>
        <w:adjustRightInd w:val="0"/>
        <w:snapToGrid w:val="0"/>
        <w:spacing w:line="340" w:lineRule="atLeast"/>
        <w:rPr>
          <w:color w:val="auto"/>
          <w:szCs w:val="21"/>
        </w:rPr>
      </w:pPr>
      <w:r>
        <w:rPr>
          <w:rFonts w:eastAsia="黑体"/>
          <w:b/>
          <w:bCs/>
          <w:color w:val="auto"/>
          <w:szCs w:val="21"/>
        </w:rPr>
        <w:t>17.1.17</w:t>
      </w:r>
      <w:r>
        <w:rPr>
          <w:color w:val="auto"/>
          <w:szCs w:val="21"/>
        </w:rPr>
        <w:t xml:space="preserve">  </w:t>
      </w:r>
      <w:r>
        <w:rPr>
          <w:rFonts w:hAnsi="宋体"/>
          <w:color w:val="auto"/>
          <w:szCs w:val="21"/>
        </w:rPr>
        <w:t>预应力混凝土管桩及空心方桩的验收检</w:t>
      </w:r>
      <w:r>
        <w:rPr>
          <w:rFonts w:hint="eastAsia" w:hAnsi="宋体"/>
          <w:color w:val="auto"/>
          <w:szCs w:val="21"/>
        </w:rPr>
        <w:t>测</w:t>
      </w:r>
      <w:r>
        <w:rPr>
          <w:rFonts w:hAnsi="宋体"/>
          <w:color w:val="auto"/>
          <w:szCs w:val="21"/>
        </w:rPr>
        <w:t>应符合</w:t>
      </w:r>
      <w:r>
        <w:rPr>
          <w:color w:val="auto"/>
          <w:szCs w:val="21"/>
        </w:rPr>
        <w:t>DB</w:t>
      </w:r>
      <w:r>
        <w:rPr>
          <w:rFonts w:hint="eastAsia"/>
          <w:color w:val="auto"/>
          <w:szCs w:val="21"/>
          <w:lang w:val="en-US" w:eastAsia="zh-CN"/>
        </w:rPr>
        <w:t xml:space="preserve"> </w:t>
      </w:r>
      <w:r>
        <w:rPr>
          <w:color w:val="auto"/>
          <w:szCs w:val="21"/>
        </w:rPr>
        <w:t>42/489</w:t>
      </w:r>
      <w:r>
        <w:rPr>
          <w:rFonts w:hAnsi="宋体"/>
          <w:color w:val="auto"/>
          <w:szCs w:val="21"/>
        </w:rPr>
        <w:t>的规定。</w:t>
      </w:r>
    </w:p>
    <w:p w14:paraId="6EEEAB5F">
      <w:pPr>
        <w:snapToGrid w:val="0"/>
        <w:spacing w:line="340" w:lineRule="atLeast"/>
        <w:rPr>
          <w:color w:val="auto"/>
          <w:szCs w:val="21"/>
        </w:rPr>
      </w:pPr>
      <w:r>
        <w:rPr>
          <w:rFonts w:eastAsia="黑体"/>
          <w:b/>
          <w:bCs/>
          <w:color w:val="auto"/>
          <w:szCs w:val="21"/>
        </w:rPr>
        <w:t>17.1.18</w:t>
      </w:r>
      <w:r>
        <w:rPr>
          <w:color w:val="auto"/>
          <w:szCs w:val="21"/>
        </w:rPr>
        <w:t xml:space="preserve">  </w:t>
      </w:r>
      <w:r>
        <w:rPr>
          <w:rFonts w:hAnsi="宋体"/>
          <w:color w:val="auto"/>
          <w:szCs w:val="21"/>
        </w:rPr>
        <w:t>桩身完整性检测应符合下列规定：</w:t>
      </w:r>
    </w:p>
    <w:p w14:paraId="5E0882B7">
      <w:pPr>
        <w:snapToGrid w:val="0"/>
        <w:spacing w:line="340" w:lineRule="atLeast"/>
        <w:ind w:firstLine="413" w:firstLineChars="196"/>
        <w:rPr>
          <w:color w:val="auto"/>
          <w:szCs w:val="21"/>
        </w:rPr>
      </w:pPr>
      <w:r>
        <w:rPr>
          <w:b/>
          <w:color w:val="auto"/>
          <w:szCs w:val="21"/>
        </w:rPr>
        <w:t>a)</w:t>
      </w:r>
      <w:r>
        <w:rPr>
          <w:color w:val="auto"/>
          <w:szCs w:val="21"/>
        </w:rPr>
        <w:t xml:space="preserve">  </w:t>
      </w:r>
      <w:r>
        <w:rPr>
          <w:rFonts w:hAnsi="宋体"/>
          <w:color w:val="auto"/>
          <w:szCs w:val="21"/>
        </w:rPr>
        <w:t>采用低应变方法检测时，设计等级为甲级，或地质条件复杂、成桩质量可靠性低的灌注桩，应全数进行低应变检测；其他桩基工程的检测数量不应少于总桩数的</w:t>
      </w:r>
      <w:r>
        <w:rPr>
          <w:color w:val="auto"/>
          <w:szCs w:val="21"/>
        </w:rPr>
        <w:t>30%</w:t>
      </w:r>
      <w:r>
        <w:rPr>
          <w:rFonts w:hAnsi="宋体"/>
          <w:color w:val="auto"/>
          <w:szCs w:val="21"/>
        </w:rPr>
        <w:t>，且不</w:t>
      </w:r>
      <w:r>
        <w:rPr>
          <w:rFonts w:hint="eastAsia" w:hAnsi="宋体"/>
          <w:color w:val="auto"/>
          <w:szCs w:val="21"/>
        </w:rPr>
        <w:t>应</w:t>
      </w:r>
      <w:r>
        <w:rPr>
          <w:rFonts w:hAnsi="宋体"/>
          <w:color w:val="auto"/>
          <w:szCs w:val="21"/>
        </w:rPr>
        <w:t>少于</w:t>
      </w:r>
      <w:r>
        <w:rPr>
          <w:color w:val="auto"/>
          <w:szCs w:val="21"/>
        </w:rPr>
        <w:t>10</w:t>
      </w:r>
      <w:r>
        <w:rPr>
          <w:rFonts w:hAnsi="宋体"/>
          <w:color w:val="auto"/>
          <w:szCs w:val="21"/>
        </w:rPr>
        <w:t>根；每个承台下的检测数量不</w:t>
      </w:r>
      <w:r>
        <w:rPr>
          <w:rFonts w:hint="eastAsia" w:hAnsi="宋体"/>
          <w:color w:val="auto"/>
          <w:szCs w:val="21"/>
        </w:rPr>
        <w:t>应</w:t>
      </w:r>
      <w:r>
        <w:rPr>
          <w:rFonts w:hAnsi="宋体"/>
          <w:color w:val="auto"/>
          <w:szCs w:val="21"/>
        </w:rPr>
        <w:t>少于</w:t>
      </w:r>
      <w:r>
        <w:rPr>
          <w:color w:val="auto"/>
          <w:szCs w:val="21"/>
        </w:rPr>
        <w:t>1</w:t>
      </w:r>
      <w:r>
        <w:rPr>
          <w:rFonts w:hAnsi="宋体"/>
          <w:color w:val="auto"/>
          <w:szCs w:val="21"/>
        </w:rPr>
        <w:t>根，且单桩、两桩承台下的桩应全数检测；抗拔桩应全数检测。</w:t>
      </w:r>
    </w:p>
    <w:p w14:paraId="34514AE8">
      <w:pPr>
        <w:snapToGrid w:val="0"/>
        <w:spacing w:line="340" w:lineRule="atLeast"/>
        <w:ind w:firstLine="413" w:firstLineChars="196"/>
        <w:rPr>
          <w:color w:val="auto"/>
          <w:szCs w:val="21"/>
        </w:rPr>
      </w:pPr>
      <w:r>
        <w:rPr>
          <w:b/>
          <w:color w:val="auto"/>
          <w:szCs w:val="21"/>
        </w:rPr>
        <w:t>b)</w:t>
      </w:r>
      <w:r>
        <w:rPr>
          <w:color w:val="auto"/>
          <w:szCs w:val="21"/>
        </w:rPr>
        <w:t xml:space="preserve">  </w:t>
      </w:r>
      <w:r>
        <w:rPr>
          <w:rFonts w:hAnsi="宋体"/>
          <w:color w:val="auto"/>
          <w:szCs w:val="21"/>
        </w:rPr>
        <w:t>除人工挖孔桩以外的大直径灌注桩，应进行声波透射法检测，单栋建筑检测数量不应少于总桩数的</w:t>
      </w:r>
      <w:r>
        <w:rPr>
          <w:color w:val="auto"/>
          <w:szCs w:val="21"/>
        </w:rPr>
        <w:t>10%</w:t>
      </w:r>
      <w:r>
        <w:rPr>
          <w:rFonts w:hAnsi="宋体"/>
          <w:color w:val="auto"/>
          <w:szCs w:val="21"/>
        </w:rPr>
        <w:t>，且不应少于</w:t>
      </w:r>
      <w:r>
        <w:rPr>
          <w:color w:val="auto"/>
          <w:szCs w:val="21"/>
        </w:rPr>
        <w:t>10</w:t>
      </w:r>
      <w:r>
        <w:rPr>
          <w:rFonts w:hAnsi="宋体"/>
          <w:color w:val="auto"/>
          <w:szCs w:val="21"/>
        </w:rPr>
        <w:t>根。</w:t>
      </w:r>
    </w:p>
    <w:p w14:paraId="6D446194">
      <w:pPr>
        <w:snapToGrid w:val="0"/>
        <w:spacing w:line="340" w:lineRule="atLeast"/>
        <w:ind w:firstLine="413" w:firstLineChars="196"/>
        <w:rPr>
          <w:color w:val="auto"/>
          <w:szCs w:val="21"/>
        </w:rPr>
      </w:pPr>
      <w:r>
        <w:rPr>
          <w:b/>
          <w:color w:val="auto"/>
          <w:szCs w:val="21"/>
        </w:rPr>
        <w:t>c)</w:t>
      </w:r>
      <w:r>
        <w:rPr>
          <w:color w:val="auto"/>
          <w:szCs w:val="21"/>
        </w:rPr>
        <w:t xml:space="preserve">  </w:t>
      </w:r>
      <w:r>
        <w:rPr>
          <w:rFonts w:hAnsi="宋体"/>
          <w:color w:val="auto"/>
          <w:szCs w:val="21"/>
        </w:rPr>
        <w:t>甲级、乙级设计等级的大直径灌注桩及直径不小于</w:t>
      </w:r>
      <w:r>
        <w:rPr>
          <w:color w:val="auto"/>
          <w:szCs w:val="21"/>
        </w:rPr>
        <w:t>600mm</w:t>
      </w:r>
      <w:r>
        <w:rPr>
          <w:rFonts w:hAnsi="宋体"/>
          <w:color w:val="auto"/>
          <w:szCs w:val="21"/>
        </w:rPr>
        <w:t>的嵌岩桩，应采用钻芯法检测工程桩的桩身混凝土强度、桩身完整性、桩底沉渣厚度、持力层状况等，每单栋建筑物的检测数量不应少于总桩数的</w:t>
      </w:r>
      <w:r>
        <w:rPr>
          <w:color w:val="auto"/>
          <w:szCs w:val="21"/>
        </w:rPr>
        <w:t>1%</w:t>
      </w:r>
      <w:r>
        <w:rPr>
          <w:rFonts w:hAnsi="宋体"/>
          <w:color w:val="auto"/>
          <w:szCs w:val="21"/>
        </w:rPr>
        <w:t>，且不</w:t>
      </w:r>
      <w:r>
        <w:rPr>
          <w:rFonts w:hint="eastAsia" w:hAnsi="宋体"/>
          <w:color w:val="auto"/>
          <w:szCs w:val="21"/>
        </w:rPr>
        <w:t>应</w:t>
      </w:r>
      <w:r>
        <w:rPr>
          <w:rFonts w:hAnsi="宋体"/>
          <w:color w:val="auto"/>
          <w:szCs w:val="21"/>
        </w:rPr>
        <w:t>少于</w:t>
      </w:r>
      <w:r>
        <w:rPr>
          <w:color w:val="auto"/>
          <w:szCs w:val="21"/>
        </w:rPr>
        <w:t>3</w:t>
      </w:r>
      <w:r>
        <w:rPr>
          <w:rFonts w:hAnsi="宋体"/>
          <w:color w:val="auto"/>
          <w:szCs w:val="21"/>
        </w:rPr>
        <w:t>根。</w:t>
      </w:r>
    </w:p>
    <w:p w14:paraId="5E445CA1">
      <w:pPr>
        <w:adjustRightInd w:val="0"/>
        <w:snapToGrid w:val="0"/>
        <w:spacing w:line="340" w:lineRule="atLeast"/>
        <w:rPr>
          <w:color w:val="auto"/>
          <w:szCs w:val="21"/>
        </w:rPr>
      </w:pPr>
      <w:r>
        <w:rPr>
          <w:rFonts w:eastAsia="黑体"/>
          <w:b/>
          <w:bCs/>
          <w:color w:val="auto"/>
          <w:szCs w:val="21"/>
        </w:rPr>
        <w:t>17.1.19</w:t>
      </w:r>
      <w:r>
        <w:rPr>
          <w:color w:val="auto"/>
          <w:szCs w:val="21"/>
        </w:rPr>
        <w:t xml:space="preserve">  </w:t>
      </w:r>
      <w:r>
        <w:rPr>
          <w:rFonts w:hAnsi="宋体"/>
          <w:color w:val="auto"/>
          <w:szCs w:val="21"/>
        </w:rPr>
        <w:t>地下连续墙应提交经确认的有关成墙记录和施工报告。地下连续墙完成后应进行墙体质量检</w:t>
      </w:r>
      <w:r>
        <w:rPr>
          <w:rFonts w:hint="eastAsia" w:hAnsi="宋体"/>
          <w:color w:val="auto"/>
          <w:szCs w:val="21"/>
        </w:rPr>
        <w:t>测</w:t>
      </w:r>
      <w:r>
        <w:rPr>
          <w:rFonts w:hAnsi="宋体"/>
          <w:color w:val="auto"/>
          <w:szCs w:val="21"/>
        </w:rPr>
        <w:t>。检</w:t>
      </w:r>
      <w:r>
        <w:rPr>
          <w:rFonts w:hint="eastAsia" w:hAnsi="宋体"/>
          <w:color w:val="auto"/>
          <w:szCs w:val="21"/>
        </w:rPr>
        <w:t>测</w:t>
      </w:r>
      <w:r>
        <w:rPr>
          <w:rFonts w:hAnsi="宋体"/>
          <w:color w:val="auto"/>
          <w:szCs w:val="21"/>
        </w:rPr>
        <w:t>方法可采用钻芯法或声波透射法，非承重地下连续墙检</w:t>
      </w:r>
      <w:r>
        <w:rPr>
          <w:rFonts w:hint="eastAsia" w:hAnsi="宋体"/>
          <w:color w:val="auto"/>
          <w:szCs w:val="21"/>
        </w:rPr>
        <w:t>测</w:t>
      </w:r>
      <w:r>
        <w:rPr>
          <w:rFonts w:hAnsi="宋体"/>
          <w:color w:val="auto"/>
          <w:szCs w:val="21"/>
        </w:rPr>
        <w:t>槽段数不</w:t>
      </w:r>
      <w:r>
        <w:rPr>
          <w:rFonts w:hint="eastAsia" w:hAnsi="宋体"/>
          <w:color w:val="auto"/>
          <w:szCs w:val="21"/>
        </w:rPr>
        <w:t>应</w:t>
      </w:r>
      <w:r>
        <w:rPr>
          <w:rFonts w:hAnsi="宋体"/>
          <w:color w:val="auto"/>
          <w:szCs w:val="21"/>
        </w:rPr>
        <w:t>少于同条件下总槽段数的</w:t>
      </w:r>
      <w:r>
        <w:rPr>
          <w:color w:val="auto"/>
          <w:szCs w:val="21"/>
        </w:rPr>
        <w:t>10%</w:t>
      </w:r>
      <w:r>
        <w:rPr>
          <w:rFonts w:hAnsi="宋体"/>
          <w:color w:val="auto"/>
          <w:szCs w:val="21"/>
        </w:rPr>
        <w:t>；对承重地下连续墙检</w:t>
      </w:r>
      <w:r>
        <w:rPr>
          <w:rFonts w:hint="eastAsia" w:hAnsi="宋体"/>
          <w:color w:val="auto"/>
          <w:szCs w:val="21"/>
        </w:rPr>
        <w:t>测</w:t>
      </w:r>
      <w:r>
        <w:rPr>
          <w:rFonts w:hAnsi="宋体"/>
          <w:color w:val="auto"/>
          <w:szCs w:val="21"/>
        </w:rPr>
        <w:t>槽段数不</w:t>
      </w:r>
      <w:r>
        <w:rPr>
          <w:rFonts w:hint="eastAsia" w:hAnsi="宋体"/>
          <w:color w:val="auto"/>
          <w:szCs w:val="21"/>
        </w:rPr>
        <w:t>应</w:t>
      </w:r>
      <w:r>
        <w:rPr>
          <w:rFonts w:hAnsi="宋体"/>
          <w:color w:val="auto"/>
          <w:szCs w:val="21"/>
        </w:rPr>
        <w:t>少于同条件下总槽段数的</w:t>
      </w:r>
      <w:r>
        <w:rPr>
          <w:color w:val="auto"/>
          <w:szCs w:val="21"/>
        </w:rPr>
        <w:t>20%</w:t>
      </w:r>
      <w:r>
        <w:rPr>
          <w:rFonts w:hAnsi="宋体"/>
          <w:color w:val="auto"/>
          <w:szCs w:val="21"/>
        </w:rPr>
        <w:t>。</w:t>
      </w:r>
    </w:p>
    <w:p w14:paraId="18C3C6B1">
      <w:pPr>
        <w:adjustRightInd w:val="0"/>
        <w:snapToGrid w:val="0"/>
        <w:spacing w:line="340" w:lineRule="atLeast"/>
        <w:rPr>
          <w:color w:val="auto"/>
          <w:szCs w:val="21"/>
        </w:rPr>
      </w:pPr>
      <w:r>
        <w:rPr>
          <w:rFonts w:eastAsia="黑体"/>
          <w:b/>
          <w:bCs/>
          <w:color w:val="auto"/>
          <w:szCs w:val="21"/>
        </w:rPr>
        <w:t>17.1.20</w:t>
      </w:r>
      <w:r>
        <w:rPr>
          <w:color w:val="auto"/>
          <w:szCs w:val="21"/>
        </w:rPr>
        <w:t xml:space="preserve">  </w:t>
      </w:r>
      <w:r>
        <w:rPr>
          <w:rFonts w:hAnsi="宋体"/>
          <w:color w:val="auto"/>
          <w:szCs w:val="21"/>
        </w:rPr>
        <w:t>不</w:t>
      </w:r>
      <w:r>
        <w:rPr>
          <w:rFonts w:hint="eastAsia" w:hAnsi="宋体"/>
          <w:color w:val="auto"/>
          <w:szCs w:val="21"/>
        </w:rPr>
        <w:t>应</w:t>
      </w:r>
      <w:r>
        <w:rPr>
          <w:rFonts w:hAnsi="宋体"/>
          <w:color w:val="auto"/>
          <w:szCs w:val="21"/>
        </w:rPr>
        <w:t>采用高应变法检测人工挖孔扩底桩、大直径嵌岩桩、夯扩桩、后压浆钻孔灌注桩、素混凝土桩及荷载～沉降曲线呈缓变形的大直径灌注桩的竖向抗压承载力。</w:t>
      </w:r>
    </w:p>
    <w:p w14:paraId="6FD94CDA">
      <w:pPr>
        <w:adjustRightInd w:val="0"/>
        <w:snapToGrid w:val="0"/>
        <w:spacing w:line="340" w:lineRule="atLeast"/>
        <w:rPr>
          <w:color w:val="auto"/>
          <w:szCs w:val="21"/>
        </w:rPr>
      </w:pPr>
      <w:r>
        <w:rPr>
          <w:rFonts w:eastAsia="黑体"/>
          <w:b/>
          <w:bCs/>
          <w:color w:val="auto"/>
          <w:szCs w:val="21"/>
        </w:rPr>
        <w:t>17.1.21</w:t>
      </w:r>
      <w:r>
        <w:rPr>
          <w:color w:val="auto"/>
          <w:szCs w:val="21"/>
        </w:rPr>
        <w:t xml:space="preserve">  </w:t>
      </w:r>
      <w:r>
        <w:rPr>
          <w:rFonts w:hAnsi="宋体"/>
          <w:color w:val="auto"/>
          <w:szCs w:val="21"/>
        </w:rPr>
        <w:t>高应变检测单桩竖向抗压承载力应取得与其同条件桩的静载试验可靠的对比资料。</w:t>
      </w:r>
    </w:p>
    <w:p w14:paraId="28D0E600">
      <w:pPr>
        <w:adjustRightInd w:val="0"/>
        <w:snapToGrid w:val="0"/>
        <w:spacing w:line="340" w:lineRule="atLeast"/>
        <w:rPr>
          <w:color w:val="auto"/>
          <w:szCs w:val="21"/>
        </w:rPr>
      </w:pPr>
      <w:r>
        <w:rPr>
          <w:rFonts w:eastAsia="黑体"/>
          <w:b/>
          <w:bCs/>
          <w:color w:val="auto"/>
          <w:szCs w:val="21"/>
        </w:rPr>
        <w:t xml:space="preserve">17.1.22  </w:t>
      </w:r>
      <w:r>
        <w:rPr>
          <w:rFonts w:hAnsi="宋体"/>
          <w:color w:val="auto"/>
          <w:szCs w:val="21"/>
        </w:rPr>
        <w:t>用于高度超过</w:t>
      </w:r>
      <w:r>
        <w:rPr>
          <w:color w:val="auto"/>
          <w:szCs w:val="21"/>
        </w:rPr>
        <w:t>50m</w:t>
      </w:r>
      <w:r>
        <w:rPr>
          <w:rFonts w:hAnsi="宋体"/>
          <w:color w:val="auto"/>
          <w:szCs w:val="21"/>
        </w:rPr>
        <w:t>高层建筑的载体桩及其他在省内应用较少的新桩型应加强承载力及桩身质量检测，单桩承载力检测应采用静载试验方法，试验数量除满足现行规范和本</w:t>
      </w:r>
      <w:r>
        <w:rPr>
          <w:rFonts w:hint="eastAsia" w:hAnsi="宋体"/>
          <w:color w:val="auto"/>
          <w:szCs w:val="21"/>
        </w:rPr>
        <w:t>文件</w:t>
      </w:r>
      <w:r>
        <w:rPr>
          <w:rFonts w:hAnsi="宋体"/>
          <w:color w:val="auto"/>
          <w:szCs w:val="21"/>
        </w:rPr>
        <w:t>相关要求外，单栋建筑物验收检</w:t>
      </w:r>
      <w:r>
        <w:rPr>
          <w:rFonts w:hint="eastAsia" w:hAnsi="宋体"/>
          <w:color w:val="auto"/>
          <w:szCs w:val="21"/>
        </w:rPr>
        <w:t>测</w:t>
      </w:r>
      <w:r>
        <w:rPr>
          <w:rFonts w:hAnsi="宋体"/>
          <w:color w:val="auto"/>
          <w:szCs w:val="21"/>
        </w:rPr>
        <w:t>静载试验数量</w:t>
      </w:r>
      <w:r>
        <w:rPr>
          <w:rFonts w:hint="eastAsia" w:hAnsi="宋体"/>
          <w:color w:val="auto"/>
          <w:szCs w:val="21"/>
        </w:rPr>
        <w:t>尚应至少</w:t>
      </w:r>
      <w:r>
        <w:rPr>
          <w:rFonts w:hAnsi="宋体"/>
          <w:color w:val="auto"/>
          <w:szCs w:val="21"/>
        </w:rPr>
        <w:t>增加</w:t>
      </w:r>
      <w:r>
        <w:rPr>
          <w:rFonts w:hint="eastAsia" w:hAnsi="宋体"/>
          <w:color w:val="auto"/>
          <w:szCs w:val="21"/>
        </w:rPr>
        <w:t>1</w:t>
      </w:r>
      <w:r>
        <w:rPr>
          <w:rFonts w:hAnsi="宋体"/>
          <w:color w:val="auto"/>
          <w:szCs w:val="21"/>
        </w:rPr>
        <w:t>根，从先期施工的</w:t>
      </w:r>
      <w:r>
        <w:rPr>
          <w:rFonts w:hint="eastAsia" w:hAnsi="宋体"/>
          <w:color w:val="auto"/>
          <w:szCs w:val="21"/>
        </w:rPr>
        <w:t>或不利条件的</w:t>
      </w:r>
      <w:r>
        <w:rPr>
          <w:rFonts w:hAnsi="宋体"/>
          <w:color w:val="auto"/>
          <w:szCs w:val="21"/>
        </w:rPr>
        <w:t>工程桩中选择试验桩位。工程桩应全数进行低应变检测。对直径</w:t>
      </w:r>
      <w:r>
        <w:rPr>
          <w:color w:val="auto"/>
          <w:szCs w:val="21"/>
        </w:rPr>
        <w:t>600mm</w:t>
      </w:r>
      <w:r>
        <w:rPr>
          <w:rFonts w:hAnsi="宋体"/>
          <w:color w:val="auto"/>
          <w:szCs w:val="21"/>
        </w:rPr>
        <w:t>及以上的灌注桩应进行钻芯，检</w:t>
      </w:r>
      <w:r>
        <w:rPr>
          <w:rFonts w:hint="eastAsia" w:hAnsi="宋体"/>
          <w:color w:val="auto"/>
          <w:szCs w:val="21"/>
        </w:rPr>
        <w:t>测</w:t>
      </w:r>
      <w:r>
        <w:rPr>
          <w:rFonts w:hAnsi="宋体"/>
          <w:color w:val="auto"/>
          <w:szCs w:val="21"/>
        </w:rPr>
        <w:t>桩身及扩大头混凝土强度、</w:t>
      </w:r>
      <w:r>
        <w:rPr>
          <w:rFonts w:hint="eastAsia" w:hAnsi="宋体"/>
          <w:color w:val="auto"/>
          <w:szCs w:val="21"/>
        </w:rPr>
        <w:t>桩长及</w:t>
      </w:r>
      <w:r>
        <w:rPr>
          <w:rFonts w:hAnsi="宋体"/>
          <w:color w:val="auto"/>
          <w:szCs w:val="21"/>
        </w:rPr>
        <w:t>桩身完整性、桩底沉渣厚度、进入持力层情况等，检测数量除满足现行规范和本</w:t>
      </w:r>
      <w:r>
        <w:rPr>
          <w:rFonts w:hint="eastAsia" w:hAnsi="宋体"/>
          <w:color w:val="auto"/>
          <w:szCs w:val="21"/>
        </w:rPr>
        <w:t>文件</w:t>
      </w:r>
      <w:r>
        <w:rPr>
          <w:rFonts w:hAnsi="宋体"/>
          <w:color w:val="auto"/>
          <w:szCs w:val="21"/>
        </w:rPr>
        <w:t>相关要求外，每单栋建筑钻芯数量尚应增加总桩数的</w:t>
      </w:r>
      <w:r>
        <w:rPr>
          <w:color w:val="auto"/>
          <w:szCs w:val="21"/>
        </w:rPr>
        <w:t>1%</w:t>
      </w:r>
      <w:r>
        <w:rPr>
          <w:rFonts w:hAnsi="宋体"/>
          <w:color w:val="auto"/>
          <w:szCs w:val="21"/>
        </w:rPr>
        <w:t>，且不少于</w:t>
      </w:r>
      <w:r>
        <w:rPr>
          <w:color w:val="auto"/>
          <w:szCs w:val="21"/>
        </w:rPr>
        <w:t>3</w:t>
      </w:r>
      <w:r>
        <w:rPr>
          <w:rFonts w:hAnsi="宋体"/>
          <w:color w:val="auto"/>
          <w:szCs w:val="21"/>
        </w:rPr>
        <w:t>根。</w:t>
      </w:r>
    </w:p>
    <w:p w14:paraId="200B9258">
      <w:pPr>
        <w:adjustRightInd w:val="0"/>
        <w:snapToGrid w:val="0"/>
        <w:spacing w:line="340" w:lineRule="atLeast"/>
        <w:rPr>
          <w:color w:val="auto"/>
          <w:szCs w:val="21"/>
        </w:rPr>
      </w:pPr>
      <w:r>
        <w:rPr>
          <w:rFonts w:eastAsia="黑体"/>
          <w:b/>
          <w:bCs/>
          <w:color w:val="auto"/>
          <w:szCs w:val="21"/>
        </w:rPr>
        <w:t>17.1.23</w:t>
      </w:r>
      <w:r>
        <w:rPr>
          <w:color w:val="auto"/>
          <w:szCs w:val="21"/>
        </w:rPr>
        <w:t xml:space="preserve">  </w:t>
      </w:r>
      <w:r>
        <w:rPr>
          <w:rFonts w:hAnsi="宋体"/>
          <w:color w:val="auto"/>
          <w:szCs w:val="21"/>
        </w:rPr>
        <w:t>当检</w:t>
      </w:r>
      <w:r>
        <w:rPr>
          <w:rFonts w:hint="eastAsia" w:hAnsi="宋体"/>
          <w:color w:val="auto"/>
          <w:szCs w:val="21"/>
        </w:rPr>
        <w:t>测</w:t>
      </w:r>
      <w:r>
        <w:rPr>
          <w:rFonts w:hAnsi="宋体"/>
          <w:color w:val="auto"/>
          <w:szCs w:val="21"/>
        </w:rPr>
        <w:t>发现地基处理的效果、单桩承载力、桩身或地下连续墙质量、抗浮（拔）锚杆承载力不满足设计要求时，应结合工程场地地质和施工情况综合分析，必要时应扩大检</w:t>
      </w:r>
      <w:r>
        <w:rPr>
          <w:rFonts w:hint="eastAsia" w:hAnsi="宋体"/>
          <w:color w:val="auto"/>
          <w:szCs w:val="21"/>
        </w:rPr>
        <w:t>测</w:t>
      </w:r>
      <w:r>
        <w:rPr>
          <w:rFonts w:hAnsi="宋体"/>
          <w:color w:val="auto"/>
          <w:szCs w:val="21"/>
        </w:rPr>
        <w:t>数量，提出处理意见。</w:t>
      </w:r>
    </w:p>
    <w:p w14:paraId="5091C973">
      <w:pPr>
        <w:adjustRightInd w:val="0"/>
        <w:snapToGrid w:val="0"/>
        <w:spacing w:line="340" w:lineRule="atLeast"/>
        <w:rPr>
          <w:color w:val="auto"/>
          <w:szCs w:val="21"/>
        </w:rPr>
      </w:pPr>
      <w:r>
        <w:rPr>
          <w:rFonts w:eastAsia="黑体"/>
          <w:b/>
          <w:bCs/>
          <w:color w:val="auto"/>
          <w:szCs w:val="21"/>
        </w:rPr>
        <w:t>17.1.24</w:t>
      </w:r>
      <w:r>
        <w:rPr>
          <w:color w:val="auto"/>
          <w:szCs w:val="21"/>
        </w:rPr>
        <w:t xml:space="preserve">  </w:t>
      </w:r>
      <w:r>
        <w:rPr>
          <w:rFonts w:hAnsi="宋体"/>
          <w:color w:val="auto"/>
          <w:szCs w:val="21"/>
        </w:rPr>
        <w:t>边坡工程的检</w:t>
      </w:r>
      <w:r>
        <w:rPr>
          <w:rFonts w:hint="eastAsia" w:hAnsi="宋体"/>
          <w:color w:val="auto"/>
          <w:szCs w:val="21"/>
        </w:rPr>
        <w:t>测</w:t>
      </w:r>
      <w:r>
        <w:rPr>
          <w:rFonts w:hAnsi="宋体"/>
          <w:color w:val="auto"/>
          <w:szCs w:val="21"/>
        </w:rPr>
        <w:t>、验收应符合</w:t>
      </w:r>
      <w:r>
        <w:rPr>
          <w:color w:val="auto"/>
          <w:szCs w:val="21"/>
        </w:rPr>
        <w:t>GB</w:t>
      </w:r>
      <w:r>
        <w:rPr>
          <w:rFonts w:hint="eastAsia"/>
          <w:color w:val="auto"/>
          <w:szCs w:val="21"/>
          <w:lang w:val="en-US" w:eastAsia="zh-CN"/>
        </w:rPr>
        <w:t xml:space="preserve"> </w:t>
      </w:r>
      <w:r>
        <w:rPr>
          <w:color w:val="auto"/>
          <w:szCs w:val="21"/>
        </w:rPr>
        <w:t>50330</w:t>
      </w:r>
      <w:r>
        <w:rPr>
          <w:rFonts w:hAnsi="宋体"/>
          <w:color w:val="auto"/>
          <w:szCs w:val="21"/>
        </w:rPr>
        <w:t>的有关规定。</w:t>
      </w:r>
    </w:p>
    <w:p w14:paraId="51661D46">
      <w:pPr>
        <w:adjustRightInd w:val="0"/>
        <w:snapToGrid w:val="0"/>
        <w:spacing w:line="340" w:lineRule="atLeast"/>
        <w:rPr>
          <w:color w:val="auto"/>
          <w:szCs w:val="21"/>
        </w:rPr>
      </w:pPr>
    </w:p>
    <w:p w14:paraId="2FF2C18F">
      <w:pPr>
        <w:adjustRightInd w:val="0"/>
        <w:snapToGrid w:val="0"/>
        <w:spacing w:line="340" w:lineRule="exact"/>
        <w:outlineLvl w:val="1"/>
        <w:rPr>
          <w:rFonts w:eastAsia="黑体"/>
          <w:b/>
          <w:bCs/>
          <w:color w:val="auto"/>
          <w:szCs w:val="21"/>
        </w:rPr>
      </w:pPr>
      <w:bookmarkStart w:id="102" w:name="_Toc199943645"/>
      <w:r>
        <w:rPr>
          <w:rFonts w:eastAsia="黑体"/>
          <w:b/>
          <w:bCs/>
          <w:color w:val="auto"/>
          <w:szCs w:val="21"/>
        </w:rPr>
        <w:t>17.2  监</w:t>
      </w:r>
      <w:r>
        <w:rPr>
          <w:rFonts w:hint="eastAsia" w:eastAsia="黑体"/>
          <w:b/>
          <w:bCs/>
          <w:color w:val="auto"/>
          <w:szCs w:val="21"/>
        </w:rPr>
        <w:t xml:space="preserve"> </w:t>
      </w:r>
      <w:r>
        <w:rPr>
          <w:rFonts w:eastAsia="黑体"/>
          <w:b/>
          <w:bCs/>
          <w:color w:val="auto"/>
          <w:szCs w:val="21"/>
        </w:rPr>
        <w:t>测</w:t>
      </w:r>
      <w:bookmarkEnd w:id="102"/>
    </w:p>
    <w:p w14:paraId="1EED9DCD">
      <w:pPr>
        <w:snapToGrid w:val="0"/>
        <w:spacing w:line="340" w:lineRule="atLeast"/>
        <w:jc w:val="center"/>
        <w:rPr>
          <w:b/>
          <w:color w:val="auto"/>
          <w:szCs w:val="21"/>
        </w:rPr>
      </w:pPr>
    </w:p>
    <w:p w14:paraId="2E10923D">
      <w:pPr>
        <w:snapToGrid w:val="0"/>
        <w:spacing w:line="340" w:lineRule="atLeast"/>
        <w:rPr>
          <w:color w:val="auto"/>
          <w:szCs w:val="21"/>
        </w:rPr>
      </w:pPr>
      <w:r>
        <w:rPr>
          <w:b/>
          <w:color w:val="auto"/>
          <w:szCs w:val="21"/>
        </w:rPr>
        <w:t>17.2.1</w:t>
      </w:r>
      <w:r>
        <w:rPr>
          <w:color w:val="auto"/>
          <w:szCs w:val="21"/>
        </w:rPr>
        <w:t xml:space="preserve">  </w:t>
      </w:r>
      <w:r>
        <w:rPr>
          <w:rFonts w:hAnsi="宋体"/>
          <w:color w:val="auto"/>
          <w:szCs w:val="21"/>
        </w:rPr>
        <w:t>大面积填方等地基处理工程，应对地面沉降进行长期监测，直到沉降达到稳定标准；施工过程中还应对土体位移、孔隙水压力等项目进行监测并根据监测资料进行综合分析，判断地基稳定性。</w:t>
      </w:r>
    </w:p>
    <w:p w14:paraId="01ACA1AF">
      <w:pPr>
        <w:snapToGrid w:val="0"/>
        <w:spacing w:line="340" w:lineRule="atLeast"/>
        <w:rPr>
          <w:color w:val="auto"/>
          <w:szCs w:val="21"/>
        </w:rPr>
      </w:pPr>
      <w:r>
        <w:rPr>
          <w:b/>
          <w:color w:val="auto"/>
          <w:szCs w:val="21"/>
        </w:rPr>
        <w:t xml:space="preserve">17.2.2  </w:t>
      </w:r>
      <w:r>
        <w:rPr>
          <w:rFonts w:hAnsi="宋体"/>
          <w:color w:val="auto"/>
          <w:szCs w:val="21"/>
        </w:rPr>
        <w:t>基坑监测应符合</w:t>
      </w:r>
      <w:r>
        <w:rPr>
          <w:color w:val="auto"/>
          <w:szCs w:val="21"/>
        </w:rPr>
        <w:t>GB</w:t>
      </w:r>
      <w:r>
        <w:rPr>
          <w:rFonts w:hint="eastAsia"/>
          <w:color w:val="auto"/>
          <w:szCs w:val="21"/>
          <w:lang w:val="en-US" w:eastAsia="zh-CN"/>
        </w:rPr>
        <w:t xml:space="preserve"> </w:t>
      </w:r>
      <w:r>
        <w:rPr>
          <w:color w:val="auto"/>
          <w:szCs w:val="21"/>
        </w:rPr>
        <w:t>50497</w:t>
      </w:r>
      <w:r>
        <w:rPr>
          <w:rFonts w:hAnsi="宋体"/>
          <w:color w:val="auto"/>
          <w:szCs w:val="21"/>
        </w:rPr>
        <w:t>的有关规定。</w:t>
      </w:r>
    </w:p>
    <w:p w14:paraId="4C69AA46">
      <w:pPr>
        <w:snapToGrid w:val="0"/>
        <w:spacing w:line="340" w:lineRule="atLeast"/>
        <w:rPr>
          <w:color w:val="auto"/>
          <w:szCs w:val="21"/>
        </w:rPr>
      </w:pPr>
      <w:r>
        <w:rPr>
          <w:b/>
          <w:color w:val="auto"/>
          <w:szCs w:val="21"/>
        </w:rPr>
        <w:t>17.2.3</w:t>
      </w:r>
      <w:r>
        <w:rPr>
          <w:color w:val="auto"/>
          <w:szCs w:val="21"/>
        </w:rPr>
        <w:t xml:space="preserve">  </w:t>
      </w:r>
      <w:r>
        <w:rPr>
          <w:rFonts w:hAnsi="宋体"/>
          <w:color w:val="auto"/>
          <w:szCs w:val="21"/>
        </w:rPr>
        <w:t>地基基础施工过程中对周边环境影响较大时，应对地下水位变化、周边建筑物的沉降和位移、土体变形、地下管线变形等进行监测。</w:t>
      </w:r>
    </w:p>
    <w:p w14:paraId="6795D2D7">
      <w:pPr>
        <w:snapToGrid w:val="0"/>
        <w:spacing w:line="340" w:lineRule="atLeast"/>
        <w:rPr>
          <w:color w:val="auto"/>
          <w:szCs w:val="21"/>
        </w:rPr>
      </w:pPr>
      <w:r>
        <w:rPr>
          <w:b/>
          <w:color w:val="auto"/>
          <w:szCs w:val="21"/>
        </w:rPr>
        <w:t xml:space="preserve">17.2.4  </w:t>
      </w:r>
      <w:r>
        <w:rPr>
          <w:rFonts w:hAnsi="宋体"/>
          <w:color w:val="auto"/>
          <w:szCs w:val="21"/>
        </w:rPr>
        <w:t>边坡工程的监测尚应符合</w:t>
      </w:r>
      <w:r>
        <w:rPr>
          <w:color w:val="auto"/>
          <w:szCs w:val="21"/>
        </w:rPr>
        <w:t>GB</w:t>
      </w:r>
      <w:r>
        <w:rPr>
          <w:rFonts w:hint="eastAsia"/>
          <w:color w:val="auto"/>
          <w:szCs w:val="21"/>
          <w:lang w:val="en-US" w:eastAsia="zh-CN"/>
        </w:rPr>
        <w:t xml:space="preserve"> </w:t>
      </w:r>
      <w:r>
        <w:rPr>
          <w:color w:val="auto"/>
          <w:szCs w:val="21"/>
        </w:rPr>
        <w:t>50330</w:t>
      </w:r>
      <w:r>
        <w:rPr>
          <w:rFonts w:hAnsi="宋体"/>
          <w:color w:val="auto"/>
          <w:szCs w:val="21"/>
        </w:rPr>
        <w:t>的有关规定。边坡工程施工过程中，应严格记录气象条件、挖方、填方、堆载等情况。应对边坡的水平位移和竖向位移进行监测，直到变形稳定为止，且不</w:t>
      </w:r>
      <w:r>
        <w:rPr>
          <w:rFonts w:hint="eastAsia" w:hAnsi="宋体"/>
          <w:color w:val="auto"/>
          <w:szCs w:val="21"/>
        </w:rPr>
        <w:t>应</w:t>
      </w:r>
      <w:r>
        <w:rPr>
          <w:rFonts w:hAnsi="宋体"/>
          <w:color w:val="auto"/>
          <w:szCs w:val="21"/>
        </w:rPr>
        <w:t>少于二年。爆破施工时，应监控爆破对周边环境的影响。</w:t>
      </w:r>
    </w:p>
    <w:p w14:paraId="0395DE4B">
      <w:pPr>
        <w:snapToGrid w:val="0"/>
        <w:spacing w:line="340" w:lineRule="atLeast"/>
        <w:rPr>
          <w:color w:val="auto"/>
          <w:szCs w:val="21"/>
        </w:rPr>
      </w:pPr>
      <w:r>
        <w:rPr>
          <w:b/>
          <w:color w:val="auto"/>
          <w:szCs w:val="21"/>
        </w:rPr>
        <w:t xml:space="preserve">17.2.5  </w:t>
      </w:r>
      <w:r>
        <w:rPr>
          <w:rFonts w:hAnsi="宋体"/>
          <w:color w:val="auto"/>
          <w:szCs w:val="21"/>
        </w:rPr>
        <w:t>对挤土桩布桩较密或周边环境保护要求严格时，应</w:t>
      </w:r>
      <w:r>
        <w:rPr>
          <w:rFonts w:hint="eastAsia" w:hAnsi="宋体"/>
          <w:color w:val="auto"/>
          <w:szCs w:val="21"/>
        </w:rPr>
        <w:t>在</w:t>
      </w:r>
      <w:r>
        <w:rPr>
          <w:rFonts w:hAnsi="宋体"/>
          <w:color w:val="auto"/>
          <w:szCs w:val="21"/>
        </w:rPr>
        <w:t>打桩过程中</w:t>
      </w:r>
      <w:r>
        <w:rPr>
          <w:rFonts w:hint="eastAsia" w:hAnsi="宋体"/>
          <w:color w:val="auto"/>
          <w:szCs w:val="21"/>
        </w:rPr>
        <w:t>对</w:t>
      </w:r>
      <w:r>
        <w:rPr>
          <w:rFonts w:hAnsi="宋体"/>
          <w:color w:val="auto"/>
          <w:szCs w:val="21"/>
        </w:rPr>
        <w:t>土体隆起和位移、邻桩桩顶标高及桩位、周边受影响的建</w:t>
      </w:r>
      <w:r>
        <w:rPr>
          <w:rFonts w:hint="eastAsia" w:hAnsi="宋体"/>
          <w:color w:val="auto"/>
          <w:szCs w:val="21"/>
        </w:rPr>
        <w:t>（构）</w:t>
      </w:r>
      <w:r>
        <w:rPr>
          <w:rFonts w:hAnsi="宋体"/>
          <w:color w:val="auto"/>
          <w:szCs w:val="21"/>
        </w:rPr>
        <w:t>筑物变形及振动等进行监测。</w:t>
      </w:r>
    </w:p>
    <w:p w14:paraId="2B88E9D0">
      <w:pPr>
        <w:snapToGrid w:val="0"/>
        <w:spacing w:line="340" w:lineRule="atLeast"/>
        <w:rPr>
          <w:rFonts w:eastAsia="黑体"/>
          <w:b/>
          <w:color w:val="auto"/>
          <w:szCs w:val="21"/>
        </w:rPr>
      </w:pPr>
      <w:r>
        <w:rPr>
          <w:b/>
          <w:color w:val="auto"/>
          <w:szCs w:val="21"/>
        </w:rPr>
        <w:t xml:space="preserve">17.2.6  </w:t>
      </w:r>
      <w:r>
        <w:rPr>
          <w:rFonts w:hint="eastAsia" w:hAnsi="宋体"/>
          <w:snapToGrid w:val="0"/>
          <w:color w:val="auto"/>
          <w:spacing w:val="-2"/>
          <w:szCs w:val="21"/>
        </w:rPr>
        <w:t>所有新（改、扩）建</w:t>
      </w:r>
      <w:r>
        <w:rPr>
          <w:rFonts w:hAnsi="宋体"/>
          <w:snapToGrid w:val="0"/>
          <w:color w:val="auto"/>
          <w:spacing w:val="-2"/>
          <w:szCs w:val="21"/>
        </w:rPr>
        <w:t>建筑物均应在施工期间及使用期间进行沉降变形观测</w:t>
      </w:r>
      <w:r>
        <w:rPr>
          <w:rFonts w:hint="eastAsia" w:hAnsi="宋体"/>
          <w:snapToGrid w:val="0"/>
          <w:color w:val="auto"/>
          <w:spacing w:val="-2"/>
          <w:szCs w:val="21"/>
        </w:rPr>
        <w:t>，</w:t>
      </w:r>
      <w:r>
        <w:rPr>
          <w:rFonts w:hAnsi="宋体"/>
          <w:snapToGrid w:val="0"/>
          <w:color w:val="auto"/>
          <w:spacing w:val="-2"/>
          <w:szCs w:val="21"/>
        </w:rPr>
        <w:t>直至沉降变形达到稳定标准为止</w:t>
      </w:r>
      <w:r>
        <w:rPr>
          <w:rFonts w:hint="eastAsia" w:hAnsi="宋体"/>
          <w:snapToGrid w:val="0"/>
          <w:color w:val="auto"/>
          <w:spacing w:val="-2"/>
          <w:szCs w:val="21"/>
        </w:rPr>
        <w:t>。</w:t>
      </w:r>
    </w:p>
    <w:p w14:paraId="3580AA71">
      <w:pPr>
        <w:snapToGrid w:val="0"/>
        <w:spacing w:line="340" w:lineRule="atLeast"/>
        <w:rPr>
          <w:color w:val="auto"/>
          <w:szCs w:val="21"/>
        </w:rPr>
      </w:pPr>
      <w:r>
        <w:rPr>
          <w:b/>
          <w:color w:val="auto"/>
          <w:szCs w:val="21"/>
        </w:rPr>
        <w:t xml:space="preserve">17.2.7  </w:t>
      </w:r>
      <w:r>
        <w:rPr>
          <w:rFonts w:hAnsi="宋体"/>
          <w:color w:val="auto"/>
          <w:szCs w:val="21"/>
        </w:rPr>
        <w:t>需要积累建筑物沉降经验或进行设计反分析的工程，应进行建筑物沉降观测和基底压力监测。沉降观测宜同时设分层沉降监测点。</w:t>
      </w:r>
    </w:p>
    <w:p w14:paraId="01637B67">
      <w:pPr>
        <w:snapToGrid w:val="0"/>
        <w:spacing w:line="340" w:lineRule="atLeast"/>
        <w:rPr>
          <w:rFonts w:hAnsi="宋体"/>
          <w:color w:val="auto"/>
          <w:szCs w:val="21"/>
        </w:rPr>
      </w:pPr>
      <w:r>
        <w:rPr>
          <w:b/>
          <w:color w:val="auto"/>
          <w:szCs w:val="21"/>
        </w:rPr>
        <w:t xml:space="preserve">17.2.8  </w:t>
      </w:r>
      <w:r>
        <w:rPr>
          <w:rFonts w:hAnsi="宋体"/>
          <w:color w:val="auto"/>
          <w:szCs w:val="21"/>
        </w:rPr>
        <w:t>对软弱地基、有软弱下卧层的天然地基及复合地基等人工地基、摩擦桩基，在建筑物竣工验收时，应提供施工期间沉降速率发展的趋势，结合工程地质状况、实测沉降量及差异沉降进行分析及必要的估算。在结构封顶且墙体工程竣工后不少于三个月内，当沉降均匀、沉降速率呈衰减趋势、预计后期沉降量不影响使用功能的建筑地基，在其他资料符合要求的条件下，可以进行验收。</w:t>
      </w:r>
    </w:p>
    <w:p w14:paraId="2BFFF225">
      <w:pPr>
        <w:snapToGrid w:val="0"/>
        <w:spacing w:line="340" w:lineRule="atLeast"/>
        <w:rPr>
          <w:rFonts w:hAnsi="宋体"/>
          <w:color w:val="auto"/>
          <w:szCs w:val="21"/>
        </w:rPr>
      </w:pPr>
    </w:p>
    <w:p w14:paraId="2A4F6DCB">
      <w:pPr>
        <w:adjustRightInd w:val="0"/>
        <w:snapToGrid w:val="0"/>
        <w:spacing w:line="400" w:lineRule="atLeast"/>
        <w:outlineLvl w:val="0"/>
        <w:rPr>
          <w:rFonts w:ascii="黑体" w:eastAsia="黑体"/>
          <w:b/>
          <w:bCs/>
          <w:color w:val="auto"/>
          <w:szCs w:val="21"/>
        </w:rPr>
      </w:pPr>
      <w:bookmarkStart w:id="103" w:name="_Toc182413540"/>
      <w:bookmarkStart w:id="104" w:name="_Toc199943646"/>
      <w:r>
        <w:rPr>
          <w:rFonts w:hint="eastAsia" w:ascii="黑体" w:eastAsia="黑体"/>
          <w:b/>
          <w:bCs/>
          <w:color w:val="auto"/>
          <w:szCs w:val="21"/>
        </w:rPr>
        <w:t>1</w:t>
      </w:r>
      <w:r>
        <w:rPr>
          <w:rFonts w:ascii="黑体" w:eastAsia="黑体"/>
          <w:b/>
          <w:bCs/>
          <w:color w:val="auto"/>
          <w:szCs w:val="21"/>
        </w:rPr>
        <w:t xml:space="preserve">8  </w:t>
      </w:r>
      <w:r>
        <w:rPr>
          <w:rFonts w:hint="eastAsia" w:ascii="黑体" w:eastAsia="黑体"/>
          <w:b/>
          <w:bCs/>
          <w:color w:val="auto"/>
          <w:szCs w:val="21"/>
        </w:rPr>
        <w:t>标准的实施及评价</w:t>
      </w:r>
      <w:bookmarkEnd w:id="103"/>
      <w:bookmarkEnd w:id="104"/>
    </w:p>
    <w:p w14:paraId="33C8630E">
      <w:pPr>
        <w:adjustRightInd w:val="0"/>
        <w:snapToGrid w:val="0"/>
        <w:spacing w:line="400" w:lineRule="atLeast"/>
        <w:outlineLvl w:val="0"/>
        <w:rPr>
          <w:rFonts w:ascii="黑体" w:eastAsia="黑体"/>
          <w:b/>
          <w:bCs/>
          <w:color w:val="auto"/>
          <w:szCs w:val="21"/>
        </w:rPr>
      </w:pPr>
    </w:p>
    <w:p w14:paraId="6219533F">
      <w:pPr>
        <w:spacing w:line="360" w:lineRule="auto"/>
        <w:rPr>
          <w:rFonts w:hAnsi="宋体"/>
          <w:color w:val="auto"/>
          <w:szCs w:val="21"/>
        </w:rPr>
      </w:pPr>
      <w:r>
        <w:rPr>
          <w:rFonts w:hint="eastAsia" w:ascii="黑体" w:hAnsi="黑体" w:eastAsia="黑体" w:cs="黑体"/>
          <w:b/>
          <w:bCs/>
          <w:color w:val="auto"/>
        </w:rPr>
        <w:t>1</w:t>
      </w:r>
      <w:r>
        <w:rPr>
          <w:rFonts w:ascii="黑体" w:hAnsi="黑体" w:eastAsia="黑体" w:cs="黑体"/>
          <w:b/>
          <w:bCs/>
          <w:color w:val="auto"/>
        </w:rPr>
        <w:t>8</w:t>
      </w:r>
      <w:r>
        <w:rPr>
          <w:rFonts w:hint="eastAsia" w:ascii="黑体" w:hAnsi="黑体" w:eastAsia="黑体" w:cs="黑体"/>
          <w:b/>
          <w:bCs/>
          <w:color w:val="auto"/>
        </w:rPr>
        <w:t>.1</w:t>
      </w:r>
      <w:r>
        <w:rPr>
          <w:rFonts w:hint="eastAsia"/>
          <w:b/>
          <w:bCs/>
          <w:color w:val="auto"/>
        </w:rPr>
        <w:t xml:space="preserve"> </w:t>
      </w:r>
      <w:r>
        <w:rPr>
          <w:rFonts w:hint="eastAsia" w:hAnsi="宋体"/>
          <w:color w:val="auto"/>
          <w:szCs w:val="21"/>
        </w:rPr>
        <w:t>结合实际，认真做好标准实施准备，包括标准实施的方案准备、组织准备、知识准备、手段准备和物质条件准备等。</w:t>
      </w:r>
    </w:p>
    <w:p w14:paraId="6DE1FC96">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.2</w:t>
      </w:r>
      <w:r>
        <w:rPr>
          <w:rFonts w:hint="eastAsia" w:hAnsi="宋体"/>
          <w:color w:val="auto"/>
          <w:szCs w:val="21"/>
        </w:rPr>
        <w:t xml:space="preserve"> 制定标准实施方案，明确适用对象和场景、提供实施必备条件和保障(组织、制度、资金、人员和设备仪器等)、推荐方法路径，确定资源要素配置、关键环节和控制点，提出标准实施中的注意事项。</w:t>
      </w:r>
    </w:p>
    <w:p w14:paraId="42D81355">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.3</w:t>
      </w:r>
      <w:r>
        <w:rPr>
          <w:rFonts w:hint="eastAsia" w:hAnsi="宋体"/>
          <w:color w:val="auto"/>
          <w:szCs w:val="21"/>
        </w:rPr>
        <w:t>针对相关方和具体对象/岗位进行标准宣贯和培训，结合标准要求，落实责任制，做到横向到边，纵向到底。</w:t>
      </w:r>
    </w:p>
    <w:p w14:paraId="06F31441">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.4</w:t>
      </w:r>
      <w:r>
        <w:rPr>
          <w:rFonts w:hint="eastAsia" w:hAnsi="宋体"/>
          <w:color w:val="auto"/>
          <w:szCs w:val="21"/>
        </w:rPr>
        <w:t xml:space="preserve"> 标准实施主要在工程建设、技术改造等活动中开展。工程建设、技术改造活动标准实施的重点是落实国家的环境保护、安全的要求；落实国际单位制的要求。</w:t>
      </w:r>
    </w:p>
    <w:p w14:paraId="240FBAB8">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.5</w:t>
      </w:r>
      <w:r>
        <w:rPr>
          <w:rFonts w:hint="eastAsia" w:hAnsi="宋体"/>
          <w:color w:val="auto"/>
          <w:szCs w:val="21"/>
        </w:rPr>
        <w:t xml:space="preserve"> 标准实施的检查主要是检查标准实施方案的落实情况，需要逐条检查标准实施内容的落实， 并记录未实施内容的理由或原因。标准实施检查也要检查标准实施的支持手段和物质条件的落实情况。做好标准实施验证记录，畅通标准实施信息采集的方式方法和反馈渠道，定期整理并处理收集到的意见建议。</w:t>
      </w:r>
    </w:p>
    <w:p w14:paraId="4E16B83C">
      <w:pPr>
        <w:spacing w:line="360" w:lineRule="auto"/>
        <w:ind w:firstLine="420" w:firstLineChars="200"/>
        <w:rPr>
          <w:rFonts w:hAnsi="宋体"/>
          <w:color w:val="auto"/>
          <w:szCs w:val="21"/>
        </w:rPr>
      </w:pPr>
      <w:r>
        <w:rPr>
          <w:rFonts w:hint="eastAsia" w:hAnsi="宋体"/>
          <w:color w:val="auto"/>
          <w:szCs w:val="21"/>
        </w:rPr>
        <w:t>对标准实施评价的基本依据是《中华人民共和国标准化法》等。</w:t>
      </w:r>
    </w:p>
    <w:p w14:paraId="21254296">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.6</w:t>
      </w:r>
      <w:r>
        <w:rPr>
          <w:rFonts w:hint="eastAsia" w:hAnsi="宋体"/>
          <w:color w:val="auto"/>
          <w:szCs w:val="21"/>
        </w:rPr>
        <w:t xml:space="preserve"> 在标准实施一定时间后，对照标准实施方案，开展标准实施效果评价分析，总结实施经验成效，梳理存在的薄弱环节，标准实施的评价主要是评价标准实施的效果，主要从技术进步、质量水平提高、客户满意度、规范秩序、效率提高、节约费用、节省时间、履行社会责任等方面进行有益性评价，同时还要评价标准实施带来的问题，以便为未来改进提供参考。</w:t>
      </w:r>
    </w:p>
    <w:p w14:paraId="54E7008A">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.7</w:t>
      </w:r>
      <w:r>
        <w:rPr>
          <w:rFonts w:hint="eastAsia" w:hAnsi="宋体"/>
          <w:color w:val="auto"/>
          <w:szCs w:val="21"/>
        </w:rPr>
        <w:t xml:space="preserve"> 适时向专业标准化技术委员会和标准归口管理单位反馈情况，提出标准推广、修改、补充、完善或者废止等意见建议。</w:t>
      </w:r>
    </w:p>
    <w:p w14:paraId="1BDF1436">
      <w:pPr>
        <w:spacing w:line="360" w:lineRule="auto"/>
        <w:rPr>
          <w:rFonts w:hAnsi="宋体"/>
          <w:color w:val="auto"/>
          <w:szCs w:val="21"/>
        </w:rPr>
      </w:pPr>
      <w:r>
        <w:rPr>
          <w:rFonts w:hint="eastAsia" w:hAnsi="宋体"/>
          <w:b/>
          <w:color w:val="auto"/>
          <w:szCs w:val="21"/>
        </w:rPr>
        <w:t>1</w:t>
      </w:r>
      <w:r>
        <w:rPr>
          <w:rFonts w:hAnsi="宋体"/>
          <w:b/>
          <w:color w:val="auto"/>
          <w:szCs w:val="21"/>
        </w:rPr>
        <w:t>8</w:t>
      </w:r>
      <w:r>
        <w:rPr>
          <w:rFonts w:hint="eastAsia" w:hAnsi="宋体"/>
          <w:b/>
          <w:color w:val="auto"/>
          <w:szCs w:val="21"/>
        </w:rPr>
        <w:t>.8</w:t>
      </w:r>
      <w:r>
        <w:rPr>
          <w:rFonts w:hint="eastAsia" w:hAnsi="宋体"/>
          <w:color w:val="auto"/>
          <w:szCs w:val="21"/>
        </w:rPr>
        <w:t xml:space="preserve"> 标准实施信息及意见反馈表相关示例见附录</w:t>
      </w:r>
      <w:r>
        <w:rPr>
          <w:rFonts w:hAnsi="宋体"/>
          <w:color w:val="auto"/>
          <w:szCs w:val="21"/>
        </w:rPr>
        <w:t>L</w:t>
      </w:r>
      <w:r>
        <w:rPr>
          <w:rFonts w:hint="eastAsia" w:hAnsi="宋体"/>
          <w:color w:val="auto"/>
          <w:szCs w:val="21"/>
        </w:rPr>
        <w:t>。</w:t>
      </w:r>
    </w:p>
    <w:p w14:paraId="0280A26F">
      <w:pPr>
        <w:widowControl/>
        <w:jc w:val="left"/>
        <w:rPr>
          <w:rFonts w:hAnsi="宋体"/>
          <w:color w:val="auto"/>
          <w:szCs w:val="21"/>
        </w:rPr>
      </w:pPr>
      <w:r>
        <w:rPr>
          <w:rFonts w:hAnsi="宋体"/>
          <w:color w:val="auto"/>
          <w:szCs w:val="21"/>
        </w:rPr>
        <w:br w:type="page"/>
      </w:r>
    </w:p>
    <w:p w14:paraId="6F06A8A0">
      <w:pPr>
        <w:spacing w:line="360" w:lineRule="auto"/>
        <w:rPr>
          <w:rFonts w:hAnsi="宋体"/>
          <w:color w:val="auto"/>
          <w:szCs w:val="21"/>
        </w:rPr>
      </w:pPr>
    </w:p>
    <w:p w14:paraId="280D8902">
      <w:pPr>
        <w:adjustRightInd w:val="0"/>
        <w:snapToGrid w:val="0"/>
        <w:spacing w:line="400" w:lineRule="atLeast"/>
        <w:jc w:val="center"/>
        <w:outlineLvl w:val="0"/>
        <w:rPr>
          <w:rFonts w:eastAsia="黑体"/>
          <w:b/>
          <w:color w:val="auto"/>
          <w:spacing w:val="8"/>
          <w:sz w:val="24"/>
        </w:rPr>
      </w:pPr>
      <w:bookmarkStart w:id="105" w:name="_Toc199943647"/>
      <w:r>
        <w:rPr>
          <w:rFonts w:eastAsia="黑体"/>
          <w:b/>
          <w:color w:val="auto"/>
          <w:spacing w:val="8"/>
          <w:sz w:val="24"/>
        </w:rPr>
        <w:t>附录A</w:t>
      </w:r>
      <w:bookmarkEnd w:id="105"/>
    </w:p>
    <w:p w14:paraId="125D65EF">
      <w:pPr>
        <w:adjustRightInd w:val="0"/>
        <w:snapToGrid w:val="0"/>
        <w:spacing w:line="400" w:lineRule="atLeast"/>
        <w:jc w:val="center"/>
        <w:outlineLvl w:val="0"/>
        <w:rPr>
          <w:rFonts w:eastAsia="黑体"/>
          <w:b/>
          <w:color w:val="auto"/>
          <w:spacing w:val="8"/>
          <w:sz w:val="24"/>
        </w:rPr>
      </w:pPr>
      <w:bookmarkStart w:id="106" w:name="_Toc199943648"/>
      <w:r>
        <w:rPr>
          <w:rFonts w:eastAsia="黑体"/>
          <w:b/>
          <w:color w:val="auto"/>
          <w:spacing w:val="8"/>
          <w:sz w:val="24"/>
        </w:rPr>
        <w:t>（规范性）</w:t>
      </w:r>
      <w:bookmarkEnd w:id="106"/>
    </w:p>
    <w:p w14:paraId="4E5343DA">
      <w:pPr>
        <w:adjustRightInd w:val="0"/>
        <w:snapToGrid w:val="0"/>
        <w:spacing w:line="400" w:lineRule="atLeast"/>
        <w:jc w:val="center"/>
        <w:outlineLvl w:val="0"/>
        <w:rPr>
          <w:b/>
          <w:color w:val="auto"/>
          <w:spacing w:val="8"/>
          <w:sz w:val="24"/>
        </w:rPr>
      </w:pPr>
      <w:bookmarkStart w:id="107" w:name="_Toc199943649"/>
      <w:r>
        <w:rPr>
          <w:b/>
          <w:color w:val="auto"/>
          <w:spacing w:val="8"/>
          <w:sz w:val="24"/>
        </w:rPr>
        <w:t>岩、土的现场鉴别</w:t>
      </w:r>
      <w:bookmarkEnd w:id="107"/>
    </w:p>
    <w:p w14:paraId="047C90F7">
      <w:pPr>
        <w:adjustRightInd w:val="0"/>
        <w:snapToGrid w:val="0"/>
        <w:spacing w:line="340" w:lineRule="atLeast"/>
        <w:jc w:val="center"/>
        <w:rPr>
          <w:color w:val="auto"/>
          <w:sz w:val="28"/>
          <w:szCs w:val="20"/>
        </w:rPr>
      </w:pPr>
    </w:p>
    <w:p w14:paraId="0F861975">
      <w:pPr>
        <w:adjustRightInd w:val="0"/>
        <w:snapToGrid w:val="0"/>
        <w:spacing w:line="340" w:lineRule="atLeast"/>
        <w:rPr>
          <w:rFonts w:hint="eastAsia" w:eastAsia="黑体"/>
          <w:b/>
          <w:color w:val="auto"/>
          <w:szCs w:val="21"/>
        </w:rPr>
      </w:pPr>
      <w:r>
        <w:rPr>
          <w:rFonts w:hint="eastAsia" w:eastAsia="黑体"/>
          <w:b/>
          <w:color w:val="auto"/>
          <w:szCs w:val="21"/>
        </w:rPr>
        <w:t>A</w:t>
      </w:r>
      <w:r>
        <w:rPr>
          <w:rFonts w:eastAsia="黑体"/>
          <w:b/>
          <w:color w:val="auto"/>
          <w:szCs w:val="21"/>
        </w:rPr>
        <w:t xml:space="preserve">.1  </w:t>
      </w:r>
      <w:r>
        <w:rPr>
          <w:rFonts w:ascii="宋体" w:hAnsi="宋体"/>
          <w:color w:val="auto"/>
          <w:szCs w:val="21"/>
        </w:rPr>
        <w:t>各类岩</w:t>
      </w:r>
      <w:r>
        <w:rPr>
          <w:rFonts w:hint="eastAsia" w:ascii="宋体" w:hAnsi="宋体"/>
          <w:color w:val="auto"/>
          <w:szCs w:val="21"/>
        </w:rPr>
        <w:t>、</w:t>
      </w:r>
      <w:r>
        <w:rPr>
          <w:rFonts w:ascii="宋体" w:hAnsi="宋体"/>
          <w:color w:val="auto"/>
          <w:szCs w:val="21"/>
        </w:rPr>
        <w:t>土的现场鉴别可按本文件表</w:t>
      </w:r>
      <w:r>
        <w:rPr>
          <w:rFonts w:hint="eastAsia" w:ascii="宋体" w:hAnsi="宋体"/>
          <w:color w:val="auto"/>
          <w:szCs w:val="21"/>
        </w:rPr>
        <w:t>A</w:t>
      </w:r>
      <w:r>
        <w:rPr>
          <w:rFonts w:ascii="宋体" w:hAnsi="宋体"/>
          <w:color w:val="auto"/>
          <w:szCs w:val="21"/>
        </w:rPr>
        <w:t>.1</w:t>
      </w:r>
      <w:r>
        <w:rPr>
          <w:rFonts w:hint="eastAsia" w:ascii="宋体" w:hAnsi="宋体"/>
          <w:color w:val="auto"/>
          <w:szCs w:val="21"/>
        </w:rPr>
        <w:t>～</w:t>
      </w:r>
      <w:r>
        <w:rPr>
          <w:rFonts w:ascii="宋体" w:hAnsi="宋体"/>
          <w:color w:val="auto"/>
          <w:szCs w:val="21"/>
        </w:rPr>
        <w:t>表</w:t>
      </w:r>
      <w:r>
        <w:rPr>
          <w:rFonts w:hint="eastAsia" w:ascii="宋体" w:hAnsi="宋体"/>
          <w:color w:val="auto"/>
          <w:szCs w:val="21"/>
        </w:rPr>
        <w:t>A</w:t>
      </w:r>
      <w:r>
        <w:rPr>
          <w:rFonts w:ascii="宋体" w:hAnsi="宋体"/>
          <w:color w:val="auto"/>
          <w:szCs w:val="21"/>
        </w:rPr>
        <w:t>.12的规定执行</w:t>
      </w:r>
      <w:r>
        <w:rPr>
          <w:rFonts w:hint="eastAsia" w:ascii="宋体" w:hAnsi="宋体"/>
          <w:color w:val="auto"/>
          <w:szCs w:val="21"/>
        </w:rPr>
        <w:t>。</w:t>
      </w:r>
    </w:p>
    <w:p w14:paraId="794F8B29">
      <w:pPr>
        <w:adjustRightInd w:val="0"/>
        <w:snapToGrid w:val="0"/>
        <w:spacing w:line="340" w:lineRule="atLeast"/>
        <w:jc w:val="center"/>
        <w:rPr>
          <w:rFonts w:eastAsia="黑体"/>
          <w:b/>
          <w:color w:val="auto"/>
          <w:szCs w:val="21"/>
        </w:rPr>
      </w:pPr>
      <w:r>
        <w:rPr>
          <w:rFonts w:eastAsia="黑体"/>
          <w:b/>
          <w:color w:val="auto"/>
          <w:szCs w:val="21"/>
        </w:rPr>
        <w:t>表A.1  岩石坚硬程度的现场鉴别</w:t>
      </w:r>
    </w:p>
    <w:tbl>
      <w:tblPr>
        <w:tblStyle w:val="36"/>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4"/>
        <w:gridCol w:w="594"/>
        <w:gridCol w:w="4184"/>
        <w:gridCol w:w="3969"/>
      </w:tblGrid>
      <w:tr w14:paraId="383BA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1188" w:type="dxa"/>
            <w:gridSpan w:val="2"/>
            <w:vAlign w:val="center"/>
          </w:tcPr>
          <w:p w14:paraId="598636FE">
            <w:pPr>
              <w:pStyle w:val="11"/>
              <w:spacing w:line="280" w:lineRule="atLeast"/>
              <w:ind w:left="0"/>
              <w:jc w:val="center"/>
              <w:rPr>
                <w:rFonts w:eastAsia="宋体"/>
                <w:color w:val="auto"/>
                <w:sz w:val="18"/>
                <w:szCs w:val="18"/>
              </w:rPr>
            </w:pPr>
            <w:r>
              <w:rPr>
                <w:rFonts w:hint="eastAsia" w:eastAsia="宋体"/>
                <w:color w:val="auto"/>
                <w:sz w:val="18"/>
                <w:szCs w:val="18"/>
              </w:rPr>
              <w:t>坚硬程度等级</w:t>
            </w:r>
          </w:p>
        </w:tc>
        <w:tc>
          <w:tcPr>
            <w:tcW w:w="4184" w:type="dxa"/>
            <w:vAlign w:val="center"/>
          </w:tcPr>
          <w:p w14:paraId="5E7DEA6A">
            <w:pPr>
              <w:pStyle w:val="11"/>
              <w:spacing w:line="280" w:lineRule="atLeast"/>
              <w:ind w:left="0"/>
              <w:jc w:val="center"/>
              <w:rPr>
                <w:rFonts w:eastAsia="宋体"/>
                <w:color w:val="auto"/>
                <w:sz w:val="18"/>
                <w:szCs w:val="18"/>
              </w:rPr>
            </w:pPr>
            <w:r>
              <w:rPr>
                <w:rFonts w:eastAsia="宋体"/>
                <w:color w:val="auto"/>
                <w:sz w:val="18"/>
                <w:szCs w:val="18"/>
              </w:rPr>
              <w:t>定 性 鉴 定</w:t>
            </w:r>
          </w:p>
        </w:tc>
        <w:tc>
          <w:tcPr>
            <w:tcW w:w="3969" w:type="dxa"/>
            <w:vAlign w:val="center"/>
          </w:tcPr>
          <w:p w14:paraId="5376B0C1">
            <w:pPr>
              <w:pStyle w:val="11"/>
              <w:spacing w:line="280" w:lineRule="atLeast"/>
              <w:ind w:left="0"/>
              <w:jc w:val="center"/>
              <w:rPr>
                <w:rFonts w:eastAsia="宋体"/>
                <w:color w:val="auto"/>
                <w:sz w:val="18"/>
                <w:szCs w:val="18"/>
              </w:rPr>
            </w:pPr>
            <w:r>
              <w:rPr>
                <w:rFonts w:eastAsia="宋体"/>
                <w:color w:val="auto"/>
                <w:sz w:val="18"/>
                <w:szCs w:val="18"/>
              </w:rPr>
              <w:t>代 表 性 岩 石</w:t>
            </w:r>
          </w:p>
        </w:tc>
      </w:tr>
      <w:tr w14:paraId="6CB37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594" w:type="dxa"/>
            <w:vMerge w:val="restart"/>
            <w:vAlign w:val="center"/>
          </w:tcPr>
          <w:p w14:paraId="16A21A96">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硬质岩</w:t>
            </w:r>
          </w:p>
        </w:tc>
        <w:tc>
          <w:tcPr>
            <w:tcW w:w="594" w:type="dxa"/>
            <w:vAlign w:val="center"/>
          </w:tcPr>
          <w:p w14:paraId="7EC97E7F">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坚硬岩</w:t>
            </w:r>
          </w:p>
        </w:tc>
        <w:tc>
          <w:tcPr>
            <w:tcW w:w="4184" w:type="dxa"/>
            <w:vAlign w:val="center"/>
          </w:tcPr>
          <w:p w14:paraId="470C0496">
            <w:pPr>
              <w:pStyle w:val="11"/>
              <w:spacing w:line="280" w:lineRule="atLeast"/>
              <w:ind w:left="0"/>
              <w:rPr>
                <w:rFonts w:eastAsia="宋体"/>
                <w:color w:val="auto"/>
                <w:sz w:val="18"/>
                <w:szCs w:val="18"/>
              </w:rPr>
            </w:pPr>
            <w:r>
              <w:rPr>
                <w:rFonts w:eastAsia="宋体"/>
                <w:color w:val="auto"/>
                <w:sz w:val="18"/>
                <w:szCs w:val="18"/>
              </w:rPr>
              <w:t>锤击声清脆，有回弹，震手，难击碎；基本无吸水反应</w:t>
            </w:r>
          </w:p>
        </w:tc>
        <w:tc>
          <w:tcPr>
            <w:tcW w:w="3969" w:type="dxa"/>
            <w:vAlign w:val="center"/>
          </w:tcPr>
          <w:p w14:paraId="23CB4A3B">
            <w:pPr>
              <w:pStyle w:val="11"/>
              <w:spacing w:line="280" w:lineRule="atLeast"/>
              <w:ind w:left="0"/>
              <w:rPr>
                <w:rFonts w:eastAsia="宋体"/>
                <w:color w:val="auto"/>
                <w:sz w:val="18"/>
                <w:szCs w:val="18"/>
              </w:rPr>
            </w:pPr>
            <w:r>
              <w:rPr>
                <w:rFonts w:hint="eastAsia" w:eastAsia="宋体"/>
                <w:color w:val="auto"/>
                <w:sz w:val="18"/>
                <w:szCs w:val="18"/>
              </w:rPr>
              <w:t>未风化—微风化的花岗岩、闪长岩、辉绿岩、玄武岩、安山岩、片麻岩、石英岩、石英砂岩、硅质砾岩、硅质石灰岩等</w:t>
            </w:r>
          </w:p>
        </w:tc>
      </w:tr>
      <w:tr w14:paraId="719DC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594" w:type="dxa"/>
            <w:vMerge w:val="continue"/>
            <w:vAlign w:val="center"/>
          </w:tcPr>
          <w:p w14:paraId="099F0F21">
            <w:pPr>
              <w:pStyle w:val="11"/>
              <w:tabs>
                <w:tab w:val="decimal" w:pos="1276"/>
                <w:tab w:val="decimal" w:pos="1418"/>
              </w:tabs>
              <w:spacing w:line="280" w:lineRule="atLeast"/>
              <w:ind w:left="0"/>
              <w:jc w:val="center"/>
              <w:rPr>
                <w:rFonts w:eastAsia="宋体"/>
                <w:color w:val="auto"/>
                <w:sz w:val="18"/>
                <w:szCs w:val="18"/>
              </w:rPr>
            </w:pPr>
          </w:p>
        </w:tc>
        <w:tc>
          <w:tcPr>
            <w:tcW w:w="594" w:type="dxa"/>
            <w:vAlign w:val="center"/>
          </w:tcPr>
          <w:p w14:paraId="730799FD">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较硬岩</w:t>
            </w:r>
          </w:p>
        </w:tc>
        <w:tc>
          <w:tcPr>
            <w:tcW w:w="4184" w:type="dxa"/>
            <w:vAlign w:val="center"/>
          </w:tcPr>
          <w:p w14:paraId="41E8411B">
            <w:pPr>
              <w:pStyle w:val="11"/>
              <w:spacing w:line="280" w:lineRule="atLeast"/>
              <w:ind w:left="0"/>
              <w:rPr>
                <w:rFonts w:eastAsia="宋体"/>
                <w:color w:val="auto"/>
                <w:sz w:val="18"/>
                <w:szCs w:val="18"/>
              </w:rPr>
            </w:pPr>
            <w:r>
              <w:rPr>
                <w:rFonts w:eastAsia="宋体"/>
                <w:color w:val="auto"/>
                <w:sz w:val="18"/>
                <w:szCs w:val="18"/>
              </w:rPr>
              <w:t>锤击声较清脆，有轻微回弹，稍震手，较难击碎；有轻微吸水反应</w:t>
            </w:r>
          </w:p>
        </w:tc>
        <w:tc>
          <w:tcPr>
            <w:tcW w:w="3969" w:type="dxa"/>
            <w:vAlign w:val="center"/>
          </w:tcPr>
          <w:p w14:paraId="42B70E35">
            <w:pPr>
              <w:pStyle w:val="11"/>
              <w:spacing w:line="280" w:lineRule="atLeast"/>
              <w:ind w:left="0"/>
              <w:rPr>
                <w:rFonts w:eastAsia="宋体"/>
                <w:color w:val="auto"/>
                <w:sz w:val="18"/>
                <w:szCs w:val="18"/>
              </w:rPr>
            </w:pPr>
            <w:r>
              <w:rPr>
                <w:rFonts w:hint="eastAsia" w:eastAsia="宋体"/>
                <w:color w:val="auto"/>
                <w:sz w:val="18"/>
                <w:szCs w:val="18"/>
              </w:rPr>
              <w:t xml:space="preserve">1 微风化的坚硬岩； </w:t>
            </w:r>
          </w:p>
          <w:p w14:paraId="02649660">
            <w:pPr>
              <w:pStyle w:val="11"/>
              <w:spacing w:line="280" w:lineRule="atLeast"/>
              <w:ind w:left="0"/>
              <w:rPr>
                <w:rFonts w:eastAsia="宋体"/>
                <w:color w:val="auto"/>
                <w:sz w:val="18"/>
                <w:szCs w:val="18"/>
              </w:rPr>
            </w:pPr>
            <w:r>
              <w:rPr>
                <w:rFonts w:hint="eastAsia" w:eastAsia="宋体"/>
                <w:color w:val="auto"/>
                <w:sz w:val="18"/>
                <w:szCs w:val="18"/>
              </w:rPr>
              <w:t>2 未风化—微风化的大理岩、板岩、石灰岩、白云岩、钙质砂岩等</w:t>
            </w:r>
          </w:p>
        </w:tc>
      </w:tr>
      <w:tr w14:paraId="6CBEC6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594" w:type="dxa"/>
            <w:vMerge w:val="restart"/>
            <w:vAlign w:val="center"/>
          </w:tcPr>
          <w:p w14:paraId="46B7034C">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软质岩</w:t>
            </w:r>
          </w:p>
        </w:tc>
        <w:tc>
          <w:tcPr>
            <w:tcW w:w="594" w:type="dxa"/>
          </w:tcPr>
          <w:p w14:paraId="73961003">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较软岩</w:t>
            </w:r>
          </w:p>
        </w:tc>
        <w:tc>
          <w:tcPr>
            <w:tcW w:w="4184" w:type="dxa"/>
            <w:vAlign w:val="center"/>
          </w:tcPr>
          <w:p w14:paraId="2DEF0EB4">
            <w:pPr>
              <w:pStyle w:val="11"/>
              <w:spacing w:line="280" w:lineRule="atLeast"/>
              <w:ind w:left="0"/>
              <w:rPr>
                <w:rFonts w:eastAsia="宋体"/>
                <w:color w:val="auto"/>
                <w:sz w:val="18"/>
                <w:szCs w:val="18"/>
              </w:rPr>
            </w:pPr>
            <w:r>
              <w:rPr>
                <w:rFonts w:eastAsia="宋体"/>
                <w:color w:val="auto"/>
                <w:sz w:val="18"/>
                <w:szCs w:val="18"/>
              </w:rPr>
              <w:t>锤击声不清脆，无回弹震手，较易击碎；指甲可刻出印痕</w:t>
            </w:r>
          </w:p>
        </w:tc>
        <w:tc>
          <w:tcPr>
            <w:tcW w:w="3969" w:type="dxa"/>
            <w:vAlign w:val="center"/>
          </w:tcPr>
          <w:p w14:paraId="27A110AD">
            <w:pPr>
              <w:pStyle w:val="11"/>
              <w:spacing w:line="280" w:lineRule="atLeast"/>
              <w:ind w:left="0"/>
              <w:rPr>
                <w:rFonts w:eastAsia="宋体"/>
                <w:color w:val="auto"/>
                <w:sz w:val="18"/>
                <w:szCs w:val="18"/>
              </w:rPr>
            </w:pPr>
            <w:r>
              <w:rPr>
                <w:rFonts w:hint="eastAsia" w:eastAsia="宋体"/>
                <w:color w:val="auto"/>
                <w:sz w:val="18"/>
                <w:szCs w:val="18"/>
              </w:rPr>
              <w:t xml:space="preserve">1中等风化—强风化的坚硬岩或较硬岩； </w:t>
            </w:r>
          </w:p>
          <w:p w14:paraId="4AFF4B2D">
            <w:pPr>
              <w:pStyle w:val="11"/>
              <w:spacing w:line="280" w:lineRule="atLeast"/>
              <w:ind w:left="0"/>
              <w:rPr>
                <w:rFonts w:eastAsia="宋体"/>
                <w:color w:val="auto"/>
                <w:sz w:val="18"/>
                <w:szCs w:val="18"/>
              </w:rPr>
            </w:pPr>
            <w:r>
              <w:rPr>
                <w:rFonts w:hint="eastAsia" w:eastAsia="宋体"/>
                <w:color w:val="auto"/>
                <w:sz w:val="18"/>
                <w:szCs w:val="18"/>
              </w:rPr>
              <w:t>2 未风化—微风化的凝灰岩、千枚岩、泥灰岩、砂质泥岩等</w:t>
            </w:r>
          </w:p>
        </w:tc>
      </w:tr>
      <w:tr w14:paraId="4C71A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594" w:type="dxa"/>
            <w:vMerge w:val="continue"/>
            <w:vAlign w:val="center"/>
          </w:tcPr>
          <w:p w14:paraId="6657B788">
            <w:pPr>
              <w:pStyle w:val="11"/>
              <w:tabs>
                <w:tab w:val="decimal" w:pos="1276"/>
                <w:tab w:val="decimal" w:pos="1418"/>
              </w:tabs>
              <w:spacing w:line="280" w:lineRule="atLeast"/>
              <w:ind w:left="0"/>
              <w:jc w:val="center"/>
              <w:rPr>
                <w:rFonts w:eastAsia="宋体"/>
                <w:color w:val="auto"/>
                <w:sz w:val="18"/>
                <w:szCs w:val="18"/>
              </w:rPr>
            </w:pPr>
          </w:p>
        </w:tc>
        <w:tc>
          <w:tcPr>
            <w:tcW w:w="594" w:type="dxa"/>
          </w:tcPr>
          <w:p w14:paraId="7C24B4E6">
            <w:pPr>
              <w:pStyle w:val="11"/>
              <w:tabs>
                <w:tab w:val="decimal" w:pos="1276"/>
                <w:tab w:val="decimal" w:pos="1418"/>
              </w:tabs>
              <w:spacing w:line="280" w:lineRule="atLeast"/>
              <w:ind w:left="0"/>
              <w:jc w:val="center"/>
              <w:rPr>
                <w:rFonts w:eastAsia="宋体"/>
                <w:color w:val="auto"/>
                <w:sz w:val="18"/>
                <w:szCs w:val="18"/>
              </w:rPr>
            </w:pPr>
            <w:r>
              <w:rPr>
                <w:rFonts w:hint="eastAsia" w:eastAsia="宋体"/>
                <w:color w:val="auto"/>
                <w:sz w:val="18"/>
                <w:szCs w:val="18"/>
              </w:rPr>
              <w:t>软  岩</w:t>
            </w:r>
          </w:p>
        </w:tc>
        <w:tc>
          <w:tcPr>
            <w:tcW w:w="4184" w:type="dxa"/>
            <w:vAlign w:val="center"/>
          </w:tcPr>
          <w:p w14:paraId="1450F956">
            <w:pPr>
              <w:pStyle w:val="11"/>
              <w:spacing w:line="280" w:lineRule="atLeast"/>
              <w:ind w:left="0"/>
              <w:rPr>
                <w:rFonts w:eastAsia="宋体"/>
                <w:color w:val="auto"/>
                <w:sz w:val="18"/>
                <w:szCs w:val="18"/>
              </w:rPr>
            </w:pPr>
            <w:r>
              <w:rPr>
                <w:rFonts w:eastAsia="宋体"/>
                <w:color w:val="auto"/>
                <w:sz w:val="18"/>
                <w:szCs w:val="18"/>
              </w:rPr>
              <w:t>锤击声哑，无回弹，有凹痕，易击碎；浸水后手可掰开</w:t>
            </w:r>
          </w:p>
        </w:tc>
        <w:tc>
          <w:tcPr>
            <w:tcW w:w="3969" w:type="dxa"/>
            <w:vAlign w:val="center"/>
          </w:tcPr>
          <w:p w14:paraId="4BD9C06F">
            <w:pPr>
              <w:pStyle w:val="11"/>
              <w:tabs>
                <w:tab w:val="decimal" w:pos="1276"/>
                <w:tab w:val="decimal" w:pos="1418"/>
              </w:tabs>
              <w:spacing w:line="280" w:lineRule="atLeast"/>
              <w:ind w:left="0"/>
              <w:jc w:val="left"/>
              <w:rPr>
                <w:rFonts w:eastAsia="宋体"/>
                <w:color w:val="auto"/>
                <w:sz w:val="18"/>
                <w:szCs w:val="18"/>
              </w:rPr>
            </w:pPr>
            <w:r>
              <w:rPr>
                <w:rFonts w:hint="eastAsia" w:eastAsia="宋体"/>
                <w:color w:val="auto"/>
                <w:sz w:val="18"/>
                <w:szCs w:val="18"/>
              </w:rPr>
              <w:t xml:space="preserve">1 强风化的坚硬岩或较硬岩； </w:t>
            </w:r>
          </w:p>
          <w:p w14:paraId="77FDA466">
            <w:pPr>
              <w:pStyle w:val="11"/>
              <w:tabs>
                <w:tab w:val="decimal" w:pos="1276"/>
                <w:tab w:val="decimal" w:pos="1418"/>
              </w:tabs>
              <w:spacing w:line="280" w:lineRule="atLeast"/>
              <w:ind w:left="0"/>
              <w:jc w:val="left"/>
              <w:rPr>
                <w:rFonts w:eastAsia="宋体"/>
                <w:color w:val="auto"/>
                <w:sz w:val="18"/>
                <w:szCs w:val="18"/>
              </w:rPr>
            </w:pPr>
            <w:r>
              <w:rPr>
                <w:rFonts w:hint="eastAsia" w:eastAsia="宋体"/>
                <w:color w:val="auto"/>
                <w:sz w:val="18"/>
                <w:szCs w:val="18"/>
              </w:rPr>
              <w:t xml:space="preserve">2 中等风化—强风化的坚硬岩或较硬岩、较软岩； </w:t>
            </w:r>
          </w:p>
          <w:p w14:paraId="479CB060">
            <w:pPr>
              <w:pStyle w:val="11"/>
              <w:tabs>
                <w:tab w:val="decimal" w:pos="1276"/>
                <w:tab w:val="decimal" w:pos="1418"/>
              </w:tabs>
              <w:spacing w:line="280" w:lineRule="atLeast"/>
              <w:ind w:left="0"/>
              <w:jc w:val="left"/>
              <w:rPr>
                <w:rFonts w:eastAsia="宋体"/>
                <w:color w:val="auto"/>
                <w:sz w:val="18"/>
                <w:szCs w:val="18"/>
              </w:rPr>
            </w:pPr>
            <w:r>
              <w:rPr>
                <w:rFonts w:hint="eastAsia" w:eastAsia="宋体"/>
                <w:color w:val="auto"/>
                <w:sz w:val="18"/>
                <w:szCs w:val="18"/>
              </w:rPr>
              <w:t>3 未风化—微风化的页岩、泥岩、泥质砂岩等</w:t>
            </w:r>
          </w:p>
        </w:tc>
      </w:tr>
      <w:tr w14:paraId="58A4F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1" w:hRule="atLeast"/>
          <w:jc w:val="center"/>
        </w:trPr>
        <w:tc>
          <w:tcPr>
            <w:tcW w:w="1188" w:type="dxa"/>
            <w:gridSpan w:val="2"/>
            <w:vAlign w:val="center"/>
          </w:tcPr>
          <w:p w14:paraId="32EF04D7">
            <w:pPr>
              <w:pStyle w:val="11"/>
              <w:tabs>
                <w:tab w:val="decimal" w:pos="1276"/>
                <w:tab w:val="decimal" w:pos="1418"/>
              </w:tabs>
              <w:spacing w:line="280" w:lineRule="atLeast"/>
              <w:ind w:left="0"/>
              <w:jc w:val="center"/>
              <w:rPr>
                <w:rFonts w:eastAsia="宋体"/>
                <w:color w:val="auto"/>
                <w:sz w:val="18"/>
                <w:szCs w:val="18"/>
              </w:rPr>
            </w:pPr>
            <w:r>
              <w:rPr>
                <w:rFonts w:eastAsia="宋体"/>
                <w:color w:val="auto"/>
                <w:sz w:val="18"/>
                <w:szCs w:val="18"/>
              </w:rPr>
              <w:t>极软岩</w:t>
            </w:r>
          </w:p>
        </w:tc>
        <w:tc>
          <w:tcPr>
            <w:tcW w:w="4184" w:type="dxa"/>
            <w:vAlign w:val="center"/>
          </w:tcPr>
          <w:p w14:paraId="22FACB43">
            <w:pPr>
              <w:pStyle w:val="11"/>
              <w:spacing w:line="280" w:lineRule="atLeast"/>
              <w:ind w:left="0"/>
              <w:rPr>
                <w:rFonts w:eastAsia="宋体"/>
                <w:color w:val="auto"/>
                <w:sz w:val="18"/>
                <w:szCs w:val="18"/>
              </w:rPr>
            </w:pPr>
            <w:r>
              <w:rPr>
                <w:rFonts w:eastAsia="宋体"/>
                <w:color w:val="auto"/>
                <w:sz w:val="18"/>
                <w:szCs w:val="18"/>
              </w:rPr>
              <w:t xml:space="preserve">锤击声哑，无回弹，有较深凹痕，手可捏碎；浸水后可捏成团 </w:t>
            </w:r>
          </w:p>
        </w:tc>
        <w:tc>
          <w:tcPr>
            <w:tcW w:w="3969" w:type="dxa"/>
            <w:vAlign w:val="center"/>
          </w:tcPr>
          <w:p w14:paraId="08CD1A1D">
            <w:pPr>
              <w:pStyle w:val="11"/>
              <w:tabs>
                <w:tab w:val="decimal" w:pos="1276"/>
                <w:tab w:val="decimal" w:pos="1418"/>
              </w:tabs>
              <w:spacing w:line="280" w:lineRule="atLeast"/>
              <w:ind w:left="0"/>
              <w:jc w:val="left"/>
              <w:rPr>
                <w:rFonts w:eastAsia="宋体"/>
                <w:color w:val="auto"/>
                <w:sz w:val="18"/>
                <w:szCs w:val="18"/>
              </w:rPr>
            </w:pPr>
            <w:r>
              <w:rPr>
                <w:rFonts w:hint="eastAsia" w:eastAsia="宋体"/>
                <w:color w:val="auto"/>
                <w:sz w:val="18"/>
                <w:szCs w:val="18"/>
              </w:rPr>
              <w:t xml:space="preserve">1 强风化的较软岩、软岩； </w:t>
            </w:r>
          </w:p>
          <w:p w14:paraId="1A9704FB">
            <w:pPr>
              <w:pStyle w:val="11"/>
              <w:tabs>
                <w:tab w:val="decimal" w:pos="1276"/>
                <w:tab w:val="decimal" w:pos="1418"/>
              </w:tabs>
              <w:spacing w:line="280" w:lineRule="atLeast"/>
              <w:ind w:left="0"/>
              <w:jc w:val="left"/>
              <w:rPr>
                <w:rFonts w:eastAsia="宋体"/>
                <w:color w:val="auto"/>
                <w:sz w:val="18"/>
                <w:szCs w:val="18"/>
              </w:rPr>
            </w:pPr>
            <w:r>
              <w:rPr>
                <w:rFonts w:hint="eastAsia" w:eastAsia="宋体"/>
                <w:color w:val="auto"/>
                <w:sz w:val="18"/>
                <w:szCs w:val="18"/>
              </w:rPr>
              <w:t>2 各种半成岩</w:t>
            </w:r>
          </w:p>
        </w:tc>
      </w:tr>
    </w:tbl>
    <w:p w14:paraId="675D83AD">
      <w:pPr>
        <w:pStyle w:val="11"/>
        <w:tabs>
          <w:tab w:val="decimal" w:pos="1276"/>
          <w:tab w:val="decimal" w:pos="1418"/>
        </w:tabs>
        <w:spacing w:line="280" w:lineRule="atLeast"/>
        <w:ind w:left="0"/>
        <w:rPr>
          <w:rFonts w:eastAsia="宋体"/>
          <w:color w:val="auto"/>
          <w:sz w:val="28"/>
        </w:rPr>
      </w:pPr>
    </w:p>
    <w:p w14:paraId="35742442">
      <w:pPr>
        <w:pStyle w:val="11"/>
        <w:tabs>
          <w:tab w:val="decimal" w:pos="1276"/>
          <w:tab w:val="decimal" w:pos="1418"/>
        </w:tabs>
        <w:spacing w:line="280" w:lineRule="atLeast"/>
        <w:ind w:left="0"/>
        <w:rPr>
          <w:rFonts w:eastAsia="宋体"/>
          <w:color w:val="auto"/>
          <w:sz w:val="28"/>
        </w:rPr>
      </w:pPr>
    </w:p>
    <w:p w14:paraId="66A874E7">
      <w:pPr>
        <w:adjustRightInd w:val="0"/>
        <w:snapToGrid w:val="0"/>
        <w:spacing w:before="240" w:line="280" w:lineRule="atLeast"/>
        <w:jc w:val="center"/>
        <w:rPr>
          <w:rFonts w:eastAsia="黑体"/>
          <w:b/>
          <w:color w:val="auto"/>
          <w:szCs w:val="21"/>
        </w:rPr>
      </w:pPr>
      <w:r>
        <w:rPr>
          <w:rFonts w:eastAsia="黑体"/>
          <w:b/>
          <w:color w:val="auto"/>
          <w:szCs w:val="21"/>
        </w:rPr>
        <w:t>表A.2  岩体完整程度的现场鉴别</w:t>
      </w:r>
    </w:p>
    <w:tbl>
      <w:tblPr>
        <w:tblStyle w:val="36"/>
        <w:tblW w:w="91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994"/>
        <w:gridCol w:w="1298"/>
        <w:gridCol w:w="1298"/>
        <w:gridCol w:w="1941"/>
        <w:gridCol w:w="2509"/>
      </w:tblGrid>
      <w:tr w14:paraId="7CAC7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restart"/>
            <w:tcBorders>
              <w:top w:val="single" w:color="auto" w:sz="12" w:space="0"/>
              <w:bottom w:val="single" w:color="auto" w:sz="6" w:space="0"/>
              <w:right w:val="single" w:color="auto" w:sz="6" w:space="0"/>
            </w:tcBorders>
            <w:vAlign w:val="center"/>
          </w:tcPr>
          <w:p w14:paraId="07595D9E">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完整程度</w:t>
            </w:r>
          </w:p>
          <w:p w14:paraId="6902CAD1">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等级</w:t>
            </w:r>
          </w:p>
        </w:tc>
        <w:tc>
          <w:tcPr>
            <w:tcW w:w="8040" w:type="dxa"/>
            <w:gridSpan w:val="5"/>
            <w:tcBorders>
              <w:top w:val="single" w:color="auto" w:sz="12" w:space="0"/>
              <w:left w:val="single" w:color="auto" w:sz="6" w:space="0"/>
              <w:bottom w:val="single" w:color="auto" w:sz="6" w:space="0"/>
            </w:tcBorders>
            <w:vAlign w:val="center"/>
          </w:tcPr>
          <w:p w14:paraId="6B062E57">
            <w:pPr>
              <w:pStyle w:val="11"/>
              <w:spacing w:line="280" w:lineRule="atLeast"/>
              <w:ind w:left="-108" w:right="-108"/>
              <w:jc w:val="center"/>
              <w:rPr>
                <w:rFonts w:eastAsia="宋体"/>
                <w:color w:val="auto"/>
                <w:sz w:val="18"/>
                <w:szCs w:val="18"/>
              </w:rPr>
            </w:pPr>
            <w:r>
              <w:rPr>
                <w:rFonts w:eastAsia="宋体"/>
                <w:color w:val="auto"/>
                <w:sz w:val="18"/>
                <w:szCs w:val="18"/>
              </w:rPr>
              <w:t>现 场 鉴 别 特 征</w:t>
            </w:r>
          </w:p>
        </w:tc>
      </w:tr>
      <w:tr w14:paraId="7298F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0A5CBBF5">
            <w:pPr>
              <w:pStyle w:val="11"/>
              <w:tabs>
                <w:tab w:val="decimal" w:pos="1276"/>
                <w:tab w:val="decimal" w:pos="1418"/>
              </w:tabs>
              <w:spacing w:line="280" w:lineRule="atLeast"/>
              <w:ind w:left="-108" w:right="-105"/>
              <w:jc w:val="center"/>
              <w:rPr>
                <w:rFonts w:eastAsia="宋体"/>
                <w:color w:val="auto"/>
                <w:sz w:val="18"/>
                <w:szCs w:val="18"/>
              </w:rPr>
            </w:pPr>
          </w:p>
        </w:tc>
        <w:tc>
          <w:tcPr>
            <w:tcW w:w="2292" w:type="dxa"/>
            <w:gridSpan w:val="2"/>
            <w:tcBorders>
              <w:top w:val="single" w:color="auto" w:sz="6" w:space="0"/>
              <w:left w:val="single" w:color="auto" w:sz="6" w:space="0"/>
              <w:bottom w:val="single" w:color="auto" w:sz="6" w:space="0"/>
              <w:right w:val="single" w:color="auto" w:sz="6" w:space="0"/>
            </w:tcBorders>
            <w:vAlign w:val="center"/>
          </w:tcPr>
          <w:p w14:paraId="6F849D51">
            <w:pPr>
              <w:pStyle w:val="11"/>
              <w:spacing w:line="280" w:lineRule="atLeast"/>
              <w:ind w:left="-108" w:right="-108"/>
              <w:jc w:val="center"/>
              <w:rPr>
                <w:rFonts w:eastAsia="宋体"/>
                <w:color w:val="auto"/>
                <w:sz w:val="18"/>
                <w:szCs w:val="18"/>
              </w:rPr>
            </w:pPr>
            <w:r>
              <w:rPr>
                <w:rFonts w:eastAsia="宋体"/>
                <w:color w:val="auto"/>
                <w:sz w:val="18"/>
                <w:szCs w:val="18"/>
              </w:rPr>
              <w:t>结构面发育程度</w:t>
            </w:r>
          </w:p>
        </w:tc>
        <w:tc>
          <w:tcPr>
            <w:tcW w:w="1298" w:type="dxa"/>
            <w:vMerge w:val="restart"/>
            <w:tcBorders>
              <w:top w:val="single" w:color="auto" w:sz="6" w:space="0"/>
              <w:left w:val="single" w:color="auto" w:sz="6" w:space="0"/>
              <w:bottom w:val="single" w:color="auto" w:sz="6" w:space="0"/>
              <w:right w:val="single" w:color="auto" w:sz="6" w:space="0"/>
            </w:tcBorders>
            <w:vAlign w:val="center"/>
          </w:tcPr>
          <w:p w14:paraId="06B26019">
            <w:pPr>
              <w:pStyle w:val="11"/>
              <w:spacing w:line="280" w:lineRule="atLeast"/>
              <w:ind w:left="-108" w:right="-105"/>
              <w:jc w:val="center"/>
              <w:rPr>
                <w:rFonts w:eastAsia="宋体"/>
                <w:color w:val="auto"/>
                <w:sz w:val="18"/>
                <w:szCs w:val="18"/>
              </w:rPr>
            </w:pPr>
            <w:r>
              <w:rPr>
                <w:rFonts w:eastAsia="宋体"/>
                <w:color w:val="auto"/>
                <w:sz w:val="18"/>
                <w:szCs w:val="18"/>
              </w:rPr>
              <w:t>主要结构面</w:t>
            </w:r>
            <w:r>
              <w:rPr>
                <w:rFonts w:eastAsia="宋体"/>
                <w:color w:val="auto"/>
                <w:sz w:val="18"/>
                <w:szCs w:val="18"/>
              </w:rPr>
              <w:br w:type="textWrapping"/>
            </w:r>
            <w:r>
              <w:rPr>
                <w:rFonts w:eastAsia="宋体"/>
                <w:color w:val="auto"/>
                <w:sz w:val="18"/>
                <w:szCs w:val="18"/>
              </w:rPr>
              <w:t>的结合强度</w:t>
            </w:r>
          </w:p>
        </w:tc>
        <w:tc>
          <w:tcPr>
            <w:tcW w:w="1941" w:type="dxa"/>
            <w:vMerge w:val="restart"/>
            <w:tcBorders>
              <w:top w:val="single" w:color="auto" w:sz="6" w:space="0"/>
              <w:left w:val="single" w:color="auto" w:sz="6" w:space="0"/>
              <w:bottom w:val="single" w:color="auto" w:sz="6" w:space="0"/>
              <w:right w:val="single" w:color="auto" w:sz="6" w:space="0"/>
            </w:tcBorders>
            <w:vAlign w:val="center"/>
          </w:tcPr>
          <w:p w14:paraId="742ED9BA">
            <w:pPr>
              <w:pStyle w:val="11"/>
              <w:spacing w:line="280" w:lineRule="atLeast"/>
              <w:ind w:left="-108" w:right="-105"/>
              <w:jc w:val="center"/>
              <w:rPr>
                <w:rFonts w:eastAsia="宋体"/>
                <w:color w:val="auto"/>
                <w:sz w:val="18"/>
                <w:szCs w:val="18"/>
              </w:rPr>
            </w:pPr>
            <w:r>
              <w:rPr>
                <w:rFonts w:eastAsia="宋体"/>
                <w:color w:val="auto"/>
                <w:sz w:val="18"/>
                <w:szCs w:val="18"/>
              </w:rPr>
              <w:t>主要结构面类型</w:t>
            </w:r>
          </w:p>
        </w:tc>
        <w:tc>
          <w:tcPr>
            <w:tcW w:w="2509" w:type="dxa"/>
            <w:vMerge w:val="restart"/>
            <w:tcBorders>
              <w:top w:val="single" w:color="auto" w:sz="6" w:space="0"/>
              <w:left w:val="single" w:color="auto" w:sz="6" w:space="0"/>
              <w:bottom w:val="single" w:color="auto" w:sz="6" w:space="0"/>
            </w:tcBorders>
            <w:vAlign w:val="center"/>
          </w:tcPr>
          <w:p w14:paraId="23FCC9B5">
            <w:pPr>
              <w:pStyle w:val="11"/>
              <w:spacing w:line="280" w:lineRule="atLeast"/>
              <w:ind w:left="-108" w:right="-105"/>
              <w:jc w:val="center"/>
              <w:rPr>
                <w:rFonts w:eastAsia="宋体"/>
                <w:color w:val="auto"/>
                <w:sz w:val="18"/>
                <w:szCs w:val="18"/>
              </w:rPr>
            </w:pPr>
            <w:r>
              <w:rPr>
                <w:rFonts w:eastAsia="宋体"/>
                <w:color w:val="auto"/>
                <w:sz w:val="18"/>
                <w:szCs w:val="18"/>
              </w:rPr>
              <w:t>相应结构类型</w:t>
            </w:r>
          </w:p>
        </w:tc>
      </w:tr>
      <w:tr w14:paraId="1E441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1FE0B0A9">
            <w:pPr>
              <w:pStyle w:val="11"/>
              <w:tabs>
                <w:tab w:val="decimal" w:pos="1276"/>
                <w:tab w:val="decimal" w:pos="1418"/>
              </w:tabs>
              <w:spacing w:line="280" w:lineRule="atLeast"/>
              <w:ind w:left="-108" w:right="-105"/>
              <w:jc w:val="center"/>
              <w:rPr>
                <w:rFonts w:eastAsia="宋体"/>
                <w:color w:val="auto"/>
                <w:sz w:val="18"/>
                <w:szCs w:val="18"/>
              </w:rPr>
            </w:pPr>
          </w:p>
        </w:tc>
        <w:tc>
          <w:tcPr>
            <w:tcW w:w="994" w:type="dxa"/>
            <w:tcBorders>
              <w:top w:val="single" w:color="auto" w:sz="6" w:space="0"/>
              <w:left w:val="single" w:color="auto" w:sz="6" w:space="0"/>
              <w:bottom w:val="single" w:color="auto" w:sz="6" w:space="0"/>
              <w:right w:val="single" w:color="auto" w:sz="6" w:space="0"/>
            </w:tcBorders>
            <w:vAlign w:val="center"/>
          </w:tcPr>
          <w:p w14:paraId="0ACC3DE5">
            <w:pPr>
              <w:pStyle w:val="11"/>
              <w:spacing w:line="280" w:lineRule="atLeast"/>
              <w:ind w:left="-108" w:right="-108"/>
              <w:jc w:val="center"/>
              <w:rPr>
                <w:rFonts w:eastAsia="宋体"/>
                <w:color w:val="auto"/>
                <w:sz w:val="18"/>
                <w:szCs w:val="18"/>
              </w:rPr>
            </w:pPr>
            <w:r>
              <w:rPr>
                <w:rFonts w:eastAsia="宋体"/>
                <w:color w:val="auto"/>
                <w:sz w:val="18"/>
                <w:szCs w:val="18"/>
              </w:rPr>
              <w:t>组数</w:t>
            </w:r>
          </w:p>
        </w:tc>
        <w:tc>
          <w:tcPr>
            <w:tcW w:w="1298" w:type="dxa"/>
            <w:tcBorders>
              <w:top w:val="single" w:color="auto" w:sz="6" w:space="0"/>
              <w:left w:val="single" w:color="auto" w:sz="6" w:space="0"/>
              <w:bottom w:val="single" w:color="auto" w:sz="6" w:space="0"/>
              <w:right w:val="single" w:color="auto" w:sz="6" w:space="0"/>
            </w:tcBorders>
            <w:vAlign w:val="center"/>
          </w:tcPr>
          <w:p w14:paraId="59257480">
            <w:pPr>
              <w:pStyle w:val="11"/>
              <w:spacing w:line="280" w:lineRule="atLeast"/>
              <w:ind w:left="-108" w:right="-108"/>
              <w:jc w:val="center"/>
              <w:rPr>
                <w:rFonts w:eastAsia="宋体"/>
                <w:color w:val="auto"/>
                <w:sz w:val="18"/>
                <w:szCs w:val="18"/>
              </w:rPr>
            </w:pPr>
            <w:r>
              <w:rPr>
                <w:rFonts w:eastAsia="宋体"/>
                <w:color w:val="auto"/>
                <w:sz w:val="18"/>
                <w:szCs w:val="18"/>
              </w:rPr>
              <w:t>平均间距（m）</w:t>
            </w:r>
          </w:p>
        </w:tc>
        <w:tc>
          <w:tcPr>
            <w:tcW w:w="1298" w:type="dxa"/>
            <w:vMerge w:val="continue"/>
            <w:tcBorders>
              <w:top w:val="single" w:color="auto" w:sz="6" w:space="0"/>
              <w:left w:val="single" w:color="auto" w:sz="6" w:space="0"/>
              <w:bottom w:val="single" w:color="auto" w:sz="6" w:space="0"/>
              <w:right w:val="single" w:color="auto" w:sz="6" w:space="0"/>
            </w:tcBorders>
            <w:vAlign w:val="center"/>
          </w:tcPr>
          <w:p w14:paraId="03E435BC">
            <w:pPr>
              <w:pStyle w:val="11"/>
              <w:spacing w:line="280" w:lineRule="atLeast"/>
              <w:ind w:left="-108" w:right="-105"/>
              <w:jc w:val="center"/>
              <w:rPr>
                <w:rFonts w:eastAsia="宋体"/>
                <w:color w:val="auto"/>
                <w:sz w:val="18"/>
                <w:szCs w:val="18"/>
              </w:rPr>
            </w:pPr>
          </w:p>
        </w:tc>
        <w:tc>
          <w:tcPr>
            <w:tcW w:w="1941" w:type="dxa"/>
            <w:vMerge w:val="continue"/>
            <w:tcBorders>
              <w:top w:val="single" w:color="auto" w:sz="6" w:space="0"/>
              <w:left w:val="single" w:color="auto" w:sz="6" w:space="0"/>
              <w:bottom w:val="single" w:color="auto" w:sz="6" w:space="0"/>
              <w:right w:val="single" w:color="auto" w:sz="6" w:space="0"/>
            </w:tcBorders>
            <w:vAlign w:val="center"/>
          </w:tcPr>
          <w:p w14:paraId="444F4C19">
            <w:pPr>
              <w:pStyle w:val="11"/>
              <w:spacing w:line="280" w:lineRule="atLeast"/>
              <w:ind w:left="-108" w:right="-105"/>
              <w:jc w:val="center"/>
              <w:rPr>
                <w:rFonts w:eastAsia="宋体"/>
                <w:color w:val="auto"/>
                <w:sz w:val="18"/>
                <w:szCs w:val="18"/>
              </w:rPr>
            </w:pPr>
          </w:p>
        </w:tc>
        <w:tc>
          <w:tcPr>
            <w:tcW w:w="2509" w:type="dxa"/>
            <w:vMerge w:val="continue"/>
            <w:tcBorders>
              <w:top w:val="single" w:color="auto" w:sz="6" w:space="0"/>
              <w:left w:val="single" w:color="auto" w:sz="6" w:space="0"/>
              <w:bottom w:val="single" w:color="auto" w:sz="6" w:space="0"/>
            </w:tcBorders>
            <w:vAlign w:val="center"/>
          </w:tcPr>
          <w:p w14:paraId="4B406B1B">
            <w:pPr>
              <w:pStyle w:val="11"/>
              <w:spacing w:line="280" w:lineRule="atLeast"/>
              <w:ind w:left="-108" w:right="-105"/>
              <w:jc w:val="center"/>
              <w:rPr>
                <w:rFonts w:eastAsia="宋体"/>
                <w:color w:val="auto"/>
                <w:sz w:val="18"/>
                <w:szCs w:val="18"/>
              </w:rPr>
            </w:pPr>
          </w:p>
        </w:tc>
      </w:tr>
      <w:tr w14:paraId="4B141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tcBorders>
              <w:top w:val="single" w:color="auto" w:sz="6" w:space="0"/>
              <w:bottom w:val="single" w:color="auto" w:sz="6" w:space="0"/>
              <w:right w:val="single" w:color="auto" w:sz="6" w:space="0"/>
            </w:tcBorders>
            <w:vAlign w:val="center"/>
          </w:tcPr>
          <w:p w14:paraId="68263177">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完整</w:t>
            </w:r>
          </w:p>
        </w:tc>
        <w:tc>
          <w:tcPr>
            <w:tcW w:w="994" w:type="dxa"/>
            <w:tcBorders>
              <w:top w:val="single" w:color="auto" w:sz="6" w:space="0"/>
              <w:left w:val="single" w:color="auto" w:sz="6" w:space="0"/>
              <w:bottom w:val="single" w:color="auto" w:sz="6" w:space="0"/>
              <w:right w:val="single" w:color="auto" w:sz="6" w:space="0"/>
            </w:tcBorders>
            <w:vAlign w:val="center"/>
          </w:tcPr>
          <w:p w14:paraId="22A890FF">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1～2</w:t>
            </w:r>
          </w:p>
        </w:tc>
        <w:tc>
          <w:tcPr>
            <w:tcW w:w="1298" w:type="dxa"/>
            <w:tcBorders>
              <w:top w:val="single" w:color="auto" w:sz="6" w:space="0"/>
              <w:left w:val="single" w:color="auto" w:sz="6" w:space="0"/>
              <w:bottom w:val="single" w:color="auto" w:sz="6" w:space="0"/>
              <w:right w:val="single" w:color="auto" w:sz="6" w:space="0"/>
            </w:tcBorders>
            <w:vAlign w:val="center"/>
          </w:tcPr>
          <w:p w14:paraId="3D71E367">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＞1.0</w:t>
            </w:r>
          </w:p>
        </w:tc>
        <w:tc>
          <w:tcPr>
            <w:tcW w:w="1298" w:type="dxa"/>
            <w:tcBorders>
              <w:top w:val="single" w:color="auto" w:sz="6" w:space="0"/>
              <w:left w:val="single" w:color="auto" w:sz="6" w:space="0"/>
              <w:bottom w:val="single" w:color="auto" w:sz="6" w:space="0"/>
              <w:right w:val="single" w:color="auto" w:sz="6" w:space="0"/>
            </w:tcBorders>
            <w:vAlign w:val="center"/>
          </w:tcPr>
          <w:p w14:paraId="51219265">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好或一般</w:t>
            </w:r>
          </w:p>
        </w:tc>
        <w:tc>
          <w:tcPr>
            <w:tcW w:w="1941" w:type="dxa"/>
            <w:tcBorders>
              <w:top w:val="single" w:color="auto" w:sz="6" w:space="0"/>
              <w:left w:val="single" w:color="auto" w:sz="6" w:space="0"/>
              <w:bottom w:val="single" w:color="auto" w:sz="6" w:space="0"/>
              <w:right w:val="single" w:color="auto" w:sz="6" w:space="0"/>
            </w:tcBorders>
            <w:vAlign w:val="center"/>
          </w:tcPr>
          <w:p w14:paraId="23F04D97">
            <w:pPr>
              <w:pStyle w:val="11"/>
              <w:spacing w:line="280" w:lineRule="atLeast"/>
              <w:ind w:left="0" w:right="-105"/>
              <w:jc w:val="center"/>
              <w:rPr>
                <w:rFonts w:eastAsia="宋体"/>
                <w:color w:val="auto"/>
                <w:sz w:val="18"/>
                <w:szCs w:val="18"/>
              </w:rPr>
            </w:pPr>
            <w:r>
              <w:rPr>
                <w:rFonts w:eastAsia="宋体"/>
                <w:color w:val="auto"/>
                <w:sz w:val="18"/>
                <w:szCs w:val="18"/>
              </w:rPr>
              <w:t>节理、裂隙层面</w:t>
            </w:r>
          </w:p>
        </w:tc>
        <w:tc>
          <w:tcPr>
            <w:tcW w:w="2509" w:type="dxa"/>
            <w:tcBorders>
              <w:top w:val="single" w:color="auto" w:sz="6" w:space="0"/>
              <w:left w:val="single" w:color="auto" w:sz="6" w:space="0"/>
              <w:bottom w:val="single" w:color="auto" w:sz="6" w:space="0"/>
            </w:tcBorders>
            <w:vAlign w:val="center"/>
          </w:tcPr>
          <w:p w14:paraId="406C8E20">
            <w:pPr>
              <w:pStyle w:val="11"/>
              <w:spacing w:line="280" w:lineRule="atLeast"/>
              <w:ind w:left="-21" w:right="-105"/>
              <w:rPr>
                <w:rFonts w:eastAsia="宋体"/>
                <w:color w:val="auto"/>
                <w:sz w:val="18"/>
                <w:szCs w:val="18"/>
              </w:rPr>
            </w:pPr>
            <w:r>
              <w:rPr>
                <w:rFonts w:eastAsia="宋体"/>
                <w:color w:val="auto"/>
                <w:sz w:val="18"/>
                <w:szCs w:val="18"/>
              </w:rPr>
              <w:t>整体状或巨厚层状结构</w:t>
            </w:r>
          </w:p>
        </w:tc>
      </w:tr>
      <w:tr w14:paraId="0441B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restart"/>
            <w:tcBorders>
              <w:top w:val="single" w:color="auto" w:sz="6" w:space="0"/>
              <w:bottom w:val="single" w:color="auto" w:sz="6" w:space="0"/>
              <w:right w:val="single" w:color="auto" w:sz="6" w:space="0"/>
            </w:tcBorders>
            <w:vAlign w:val="center"/>
          </w:tcPr>
          <w:p w14:paraId="6FC8C196">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较完整</w:t>
            </w:r>
          </w:p>
        </w:tc>
        <w:tc>
          <w:tcPr>
            <w:tcW w:w="994" w:type="dxa"/>
            <w:tcBorders>
              <w:top w:val="single" w:color="auto" w:sz="6" w:space="0"/>
              <w:left w:val="single" w:color="auto" w:sz="6" w:space="0"/>
              <w:bottom w:val="single" w:color="auto" w:sz="6" w:space="0"/>
              <w:right w:val="single" w:color="auto" w:sz="6" w:space="0"/>
            </w:tcBorders>
            <w:vAlign w:val="center"/>
          </w:tcPr>
          <w:p w14:paraId="518187C7">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1～2</w:t>
            </w:r>
          </w:p>
        </w:tc>
        <w:tc>
          <w:tcPr>
            <w:tcW w:w="1298" w:type="dxa"/>
            <w:tcBorders>
              <w:top w:val="single" w:color="auto" w:sz="6" w:space="0"/>
              <w:left w:val="single" w:color="auto" w:sz="6" w:space="0"/>
              <w:bottom w:val="single" w:color="auto" w:sz="6" w:space="0"/>
              <w:right w:val="single" w:color="auto" w:sz="6" w:space="0"/>
            </w:tcBorders>
            <w:vAlign w:val="center"/>
          </w:tcPr>
          <w:p w14:paraId="10A1B2E1">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＞1.0</w:t>
            </w:r>
          </w:p>
        </w:tc>
        <w:tc>
          <w:tcPr>
            <w:tcW w:w="1298" w:type="dxa"/>
            <w:tcBorders>
              <w:top w:val="single" w:color="auto" w:sz="6" w:space="0"/>
              <w:left w:val="single" w:color="auto" w:sz="6" w:space="0"/>
              <w:bottom w:val="single" w:color="auto" w:sz="6" w:space="0"/>
              <w:right w:val="single" w:color="auto" w:sz="6" w:space="0"/>
            </w:tcBorders>
            <w:vAlign w:val="center"/>
          </w:tcPr>
          <w:p w14:paraId="4B67C96D">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差</w:t>
            </w:r>
          </w:p>
        </w:tc>
        <w:tc>
          <w:tcPr>
            <w:tcW w:w="1941" w:type="dxa"/>
            <w:vMerge w:val="restart"/>
            <w:tcBorders>
              <w:top w:val="single" w:color="auto" w:sz="6" w:space="0"/>
              <w:left w:val="single" w:color="auto" w:sz="6" w:space="0"/>
              <w:bottom w:val="single" w:color="auto" w:sz="6" w:space="0"/>
              <w:right w:val="single" w:color="auto" w:sz="6" w:space="0"/>
            </w:tcBorders>
            <w:vAlign w:val="center"/>
          </w:tcPr>
          <w:p w14:paraId="252F25DF">
            <w:pPr>
              <w:pStyle w:val="11"/>
              <w:spacing w:line="280" w:lineRule="atLeast"/>
              <w:ind w:left="0" w:right="-105"/>
              <w:jc w:val="center"/>
              <w:rPr>
                <w:rFonts w:eastAsia="宋体"/>
                <w:color w:val="auto"/>
                <w:sz w:val="18"/>
                <w:szCs w:val="18"/>
              </w:rPr>
            </w:pPr>
            <w:r>
              <w:rPr>
                <w:rFonts w:eastAsia="宋体"/>
                <w:color w:val="auto"/>
                <w:sz w:val="18"/>
                <w:szCs w:val="18"/>
              </w:rPr>
              <w:t>节理、裂隙层面</w:t>
            </w:r>
          </w:p>
        </w:tc>
        <w:tc>
          <w:tcPr>
            <w:tcW w:w="2509" w:type="dxa"/>
            <w:tcBorders>
              <w:top w:val="single" w:color="auto" w:sz="6" w:space="0"/>
              <w:left w:val="single" w:color="auto" w:sz="6" w:space="0"/>
              <w:bottom w:val="single" w:color="auto" w:sz="6" w:space="0"/>
            </w:tcBorders>
            <w:vAlign w:val="center"/>
          </w:tcPr>
          <w:p w14:paraId="5EF8C486">
            <w:pPr>
              <w:pStyle w:val="11"/>
              <w:spacing w:line="280" w:lineRule="atLeast"/>
              <w:ind w:left="-21" w:right="-105"/>
              <w:rPr>
                <w:rFonts w:eastAsia="宋体"/>
                <w:color w:val="auto"/>
                <w:sz w:val="18"/>
                <w:szCs w:val="18"/>
              </w:rPr>
            </w:pPr>
            <w:r>
              <w:rPr>
                <w:rFonts w:eastAsia="宋体"/>
                <w:color w:val="auto"/>
                <w:sz w:val="18"/>
                <w:szCs w:val="18"/>
              </w:rPr>
              <w:t>块状或厚层状结构</w:t>
            </w:r>
          </w:p>
        </w:tc>
      </w:tr>
      <w:tr w14:paraId="113F1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15F1D349">
            <w:pPr>
              <w:pStyle w:val="11"/>
              <w:tabs>
                <w:tab w:val="decimal" w:pos="1276"/>
                <w:tab w:val="decimal" w:pos="1418"/>
              </w:tabs>
              <w:spacing w:line="280" w:lineRule="atLeast"/>
              <w:ind w:left="-108" w:right="-105"/>
              <w:jc w:val="center"/>
              <w:rPr>
                <w:rFonts w:eastAsia="宋体"/>
                <w:color w:val="auto"/>
                <w:sz w:val="18"/>
                <w:szCs w:val="18"/>
              </w:rPr>
            </w:pPr>
          </w:p>
        </w:tc>
        <w:tc>
          <w:tcPr>
            <w:tcW w:w="994" w:type="dxa"/>
            <w:tcBorders>
              <w:top w:val="single" w:color="auto" w:sz="6" w:space="0"/>
              <w:left w:val="single" w:color="auto" w:sz="6" w:space="0"/>
              <w:bottom w:val="single" w:color="auto" w:sz="6" w:space="0"/>
              <w:right w:val="single" w:color="auto" w:sz="6" w:space="0"/>
            </w:tcBorders>
            <w:vAlign w:val="center"/>
          </w:tcPr>
          <w:p w14:paraId="099BD56F">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2～3</w:t>
            </w:r>
          </w:p>
        </w:tc>
        <w:tc>
          <w:tcPr>
            <w:tcW w:w="1298" w:type="dxa"/>
            <w:tcBorders>
              <w:top w:val="single" w:color="auto" w:sz="6" w:space="0"/>
              <w:left w:val="single" w:color="auto" w:sz="6" w:space="0"/>
              <w:bottom w:val="single" w:color="auto" w:sz="6" w:space="0"/>
              <w:right w:val="single" w:color="auto" w:sz="6" w:space="0"/>
            </w:tcBorders>
            <w:vAlign w:val="center"/>
          </w:tcPr>
          <w:p w14:paraId="53751C00">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1.0～0.4</w:t>
            </w:r>
          </w:p>
        </w:tc>
        <w:tc>
          <w:tcPr>
            <w:tcW w:w="1298" w:type="dxa"/>
            <w:tcBorders>
              <w:top w:val="single" w:color="auto" w:sz="6" w:space="0"/>
              <w:left w:val="single" w:color="auto" w:sz="6" w:space="0"/>
              <w:bottom w:val="single" w:color="auto" w:sz="6" w:space="0"/>
              <w:right w:val="single" w:color="auto" w:sz="6" w:space="0"/>
            </w:tcBorders>
            <w:vAlign w:val="center"/>
          </w:tcPr>
          <w:p w14:paraId="20B1E47A">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好或一般</w:t>
            </w:r>
          </w:p>
        </w:tc>
        <w:tc>
          <w:tcPr>
            <w:tcW w:w="1941" w:type="dxa"/>
            <w:vMerge w:val="continue"/>
            <w:tcBorders>
              <w:top w:val="single" w:color="auto" w:sz="6" w:space="0"/>
              <w:left w:val="single" w:color="auto" w:sz="6" w:space="0"/>
              <w:bottom w:val="single" w:color="auto" w:sz="6" w:space="0"/>
              <w:right w:val="single" w:color="auto" w:sz="6" w:space="0"/>
            </w:tcBorders>
            <w:vAlign w:val="center"/>
          </w:tcPr>
          <w:p w14:paraId="484417FE">
            <w:pPr>
              <w:pStyle w:val="11"/>
              <w:spacing w:line="280" w:lineRule="atLeast"/>
              <w:ind w:left="0" w:right="-105"/>
              <w:jc w:val="center"/>
              <w:rPr>
                <w:rFonts w:eastAsia="宋体"/>
                <w:color w:val="auto"/>
                <w:sz w:val="18"/>
                <w:szCs w:val="18"/>
              </w:rPr>
            </w:pPr>
          </w:p>
        </w:tc>
        <w:tc>
          <w:tcPr>
            <w:tcW w:w="2509" w:type="dxa"/>
            <w:tcBorders>
              <w:top w:val="single" w:color="auto" w:sz="6" w:space="0"/>
              <w:left w:val="single" w:color="auto" w:sz="6" w:space="0"/>
              <w:bottom w:val="single" w:color="auto" w:sz="6" w:space="0"/>
            </w:tcBorders>
            <w:vAlign w:val="center"/>
          </w:tcPr>
          <w:p w14:paraId="0767E011">
            <w:pPr>
              <w:pStyle w:val="11"/>
              <w:spacing w:line="280" w:lineRule="atLeast"/>
              <w:ind w:left="-21" w:right="-105"/>
              <w:rPr>
                <w:rFonts w:eastAsia="宋体"/>
                <w:color w:val="auto"/>
                <w:sz w:val="18"/>
                <w:szCs w:val="18"/>
              </w:rPr>
            </w:pPr>
            <w:r>
              <w:rPr>
                <w:rFonts w:eastAsia="宋体"/>
                <w:color w:val="auto"/>
                <w:sz w:val="18"/>
                <w:szCs w:val="18"/>
              </w:rPr>
              <w:t>块状结构</w:t>
            </w:r>
          </w:p>
        </w:tc>
      </w:tr>
      <w:tr w14:paraId="7340F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restart"/>
            <w:tcBorders>
              <w:top w:val="single" w:color="auto" w:sz="6" w:space="0"/>
              <w:bottom w:val="single" w:color="auto" w:sz="6" w:space="0"/>
              <w:right w:val="single" w:color="auto" w:sz="6" w:space="0"/>
            </w:tcBorders>
            <w:vAlign w:val="center"/>
          </w:tcPr>
          <w:p w14:paraId="59A10116">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较破碎</w:t>
            </w:r>
          </w:p>
        </w:tc>
        <w:tc>
          <w:tcPr>
            <w:tcW w:w="994" w:type="dxa"/>
            <w:tcBorders>
              <w:top w:val="single" w:color="auto" w:sz="6" w:space="0"/>
              <w:left w:val="single" w:color="auto" w:sz="6" w:space="0"/>
              <w:bottom w:val="single" w:color="auto" w:sz="6" w:space="0"/>
              <w:right w:val="single" w:color="auto" w:sz="6" w:space="0"/>
            </w:tcBorders>
            <w:vAlign w:val="center"/>
          </w:tcPr>
          <w:p w14:paraId="2C83890D">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2～3</w:t>
            </w:r>
          </w:p>
        </w:tc>
        <w:tc>
          <w:tcPr>
            <w:tcW w:w="1298" w:type="dxa"/>
            <w:tcBorders>
              <w:top w:val="single" w:color="auto" w:sz="6" w:space="0"/>
              <w:left w:val="single" w:color="auto" w:sz="6" w:space="0"/>
              <w:bottom w:val="single" w:color="auto" w:sz="6" w:space="0"/>
              <w:right w:val="single" w:color="auto" w:sz="6" w:space="0"/>
            </w:tcBorders>
            <w:vAlign w:val="center"/>
          </w:tcPr>
          <w:p w14:paraId="45481865">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1.0～0.4</w:t>
            </w:r>
          </w:p>
        </w:tc>
        <w:tc>
          <w:tcPr>
            <w:tcW w:w="1298" w:type="dxa"/>
            <w:tcBorders>
              <w:top w:val="single" w:color="auto" w:sz="6" w:space="0"/>
              <w:left w:val="single" w:color="auto" w:sz="6" w:space="0"/>
              <w:bottom w:val="single" w:color="auto" w:sz="6" w:space="0"/>
              <w:right w:val="single" w:color="auto" w:sz="6" w:space="0"/>
            </w:tcBorders>
            <w:vAlign w:val="center"/>
          </w:tcPr>
          <w:p w14:paraId="37FB3434">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差</w:t>
            </w:r>
          </w:p>
        </w:tc>
        <w:tc>
          <w:tcPr>
            <w:tcW w:w="1941" w:type="dxa"/>
            <w:vMerge w:val="restart"/>
            <w:tcBorders>
              <w:top w:val="single" w:color="auto" w:sz="6" w:space="0"/>
              <w:left w:val="single" w:color="auto" w:sz="6" w:space="0"/>
              <w:bottom w:val="single" w:color="auto" w:sz="6" w:space="0"/>
              <w:right w:val="single" w:color="auto" w:sz="6" w:space="0"/>
            </w:tcBorders>
            <w:vAlign w:val="center"/>
          </w:tcPr>
          <w:p w14:paraId="0397DB83">
            <w:pPr>
              <w:pStyle w:val="11"/>
              <w:spacing w:line="280" w:lineRule="atLeast"/>
              <w:ind w:left="0" w:right="-105"/>
              <w:jc w:val="center"/>
              <w:rPr>
                <w:rFonts w:eastAsia="宋体"/>
                <w:color w:val="auto"/>
                <w:sz w:val="18"/>
                <w:szCs w:val="18"/>
              </w:rPr>
            </w:pPr>
            <w:r>
              <w:rPr>
                <w:rFonts w:eastAsia="宋体"/>
                <w:color w:val="auto"/>
                <w:sz w:val="18"/>
                <w:szCs w:val="18"/>
              </w:rPr>
              <w:t>节理、裂隙</w:t>
            </w:r>
            <w:r>
              <w:rPr>
                <w:rFonts w:eastAsia="宋体"/>
                <w:color w:val="auto"/>
                <w:sz w:val="18"/>
                <w:szCs w:val="18"/>
              </w:rPr>
              <w:br w:type="textWrapping"/>
            </w:r>
            <w:r>
              <w:rPr>
                <w:rFonts w:eastAsia="宋体"/>
                <w:color w:val="auto"/>
                <w:sz w:val="18"/>
                <w:szCs w:val="18"/>
              </w:rPr>
              <w:t>层面，小断层</w:t>
            </w:r>
          </w:p>
        </w:tc>
        <w:tc>
          <w:tcPr>
            <w:tcW w:w="2509" w:type="dxa"/>
            <w:tcBorders>
              <w:top w:val="single" w:color="auto" w:sz="6" w:space="0"/>
              <w:left w:val="single" w:color="auto" w:sz="6" w:space="0"/>
              <w:bottom w:val="single" w:color="auto" w:sz="6" w:space="0"/>
            </w:tcBorders>
            <w:vAlign w:val="center"/>
          </w:tcPr>
          <w:p w14:paraId="4BFC8196">
            <w:pPr>
              <w:pStyle w:val="11"/>
              <w:spacing w:line="280" w:lineRule="atLeast"/>
              <w:ind w:left="-21" w:right="-105"/>
              <w:rPr>
                <w:rFonts w:eastAsia="宋体"/>
                <w:color w:val="auto"/>
                <w:spacing w:val="-6"/>
                <w:sz w:val="18"/>
                <w:szCs w:val="18"/>
              </w:rPr>
            </w:pPr>
            <w:r>
              <w:rPr>
                <w:rFonts w:eastAsia="宋体"/>
                <w:color w:val="auto"/>
                <w:spacing w:val="-6"/>
                <w:sz w:val="18"/>
                <w:szCs w:val="18"/>
              </w:rPr>
              <w:t>裂隙块状或中厚层状结构</w:t>
            </w:r>
          </w:p>
        </w:tc>
      </w:tr>
      <w:tr w14:paraId="05ACB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7F1D87D9">
            <w:pPr>
              <w:pStyle w:val="11"/>
              <w:tabs>
                <w:tab w:val="decimal" w:pos="1276"/>
                <w:tab w:val="decimal" w:pos="1418"/>
              </w:tabs>
              <w:spacing w:line="280" w:lineRule="atLeast"/>
              <w:ind w:left="-108" w:right="-105"/>
              <w:jc w:val="center"/>
              <w:rPr>
                <w:rFonts w:eastAsia="宋体"/>
                <w:color w:val="auto"/>
                <w:sz w:val="18"/>
                <w:szCs w:val="18"/>
              </w:rPr>
            </w:pPr>
          </w:p>
        </w:tc>
        <w:tc>
          <w:tcPr>
            <w:tcW w:w="994" w:type="dxa"/>
            <w:vMerge w:val="restart"/>
            <w:tcBorders>
              <w:top w:val="single" w:color="auto" w:sz="6" w:space="0"/>
              <w:left w:val="single" w:color="auto" w:sz="6" w:space="0"/>
              <w:bottom w:val="single" w:color="auto" w:sz="6" w:space="0"/>
              <w:right w:val="single" w:color="auto" w:sz="6" w:space="0"/>
            </w:tcBorders>
            <w:vAlign w:val="center"/>
          </w:tcPr>
          <w:p w14:paraId="0FB5E877">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≥3</w:t>
            </w:r>
          </w:p>
        </w:tc>
        <w:tc>
          <w:tcPr>
            <w:tcW w:w="1298" w:type="dxa"/>
            <w:vMerge w:val="restart"/>
            <w:tcBorders>
              <w:top w:val="single" w:color="auto" w:sz="6" w:space="0"/>
              <w:left w:val="single" w:color="auto" w:sz="6" w:space="0"/>
              <w:bottom w:val="single" w:color="auto" w:sz="6" w:space="0"/>
              <w:right w:val="single" w:color="auto" w:sz="6" w:space="0"/>
            </w:tcBorders>
            <w:vAlign w:val="center"/>
          </w:tcPr>
          <w:p w14:paraId="220CBA69">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0.4～0.2</w:t>
            </w:r>
          </w:p>
        </w:tc>
        <w:tc>
          <w:tcPr>
            <w:tcW w:w="1298" w:type="dxa"/>
            <w:tcBorders>
              <w:top w:val="single" w:color="auto" w:sz="6" w:space="0"/>
              <w:left w:val="single" w:color="auto" w:sz="6" w:space="0"/>
              <w:bottom w:val="single" w:color="auto" w:sz="6" w:space="0"/>
              <w:right w:val="single" w:color="auto" w:sz="6" w:space="0"/>
            </w:tcBorders>
            <w:vAlign w:val="center"/>
          </w:tcPr>
          <w:p w14:paraId="0973F30D">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好</w:t>
            </w:r>
          </w:p>
        </w:tc>
        <w:tc>
          <w:tcPr>
            <w:tcW w:w="1941" w:type="dxa"/>
            <w:vMerge w:val="continue"/>
            <w:tcBorders>
              <w:top w:val="single" w:color="auto" w:sz="6" w:space="0"/>
              <w:left w:val="single" w:color="auto" w:sz="6" w:space="0"/>
              <w:bottom w:val="single" w:color="auto" w:sz="6" w:space="0"/>
              <w:right w:val="single" w:color="auto" w:sz="6" w:space="0"/>
            </w:tcBorders>
            <w:vAlign w:val="center"/>
          </w:tcPr>
          <w:p w14:paraId="6739E82C">
            <w:pPr>
              <w:pStyle w:val="11"/>
              <w:spacing w:line="280" w:lineRule="atLeast"/>
              <w:ind w:left="0" w:right="-105"/>
              <w:jc w:val="center"/>
              <w:rPr>
                <w:rFonts w:eastAsia="宋体"/>
                <w:color w:val="auto"/>
                <w:sz w:val="18"/>
                <w:szCs w:val="18"/>
              </w:rPr>
            </w:pPr>
          </w:p>
        </w:tc>
        <w:tc>
          <w:tcPr>
            <w:tcW w:w="2509" w:type="dxa"/>
            <w:tcBorders>
              <w:top w:val="single" w:color="auto" w:sz="6" w:space="0"/>
              <w:left w:val="single" w:color="auto" w:sz="6" w:space="0"/>
              <w:bottom w:val="single" w:color="auto" w:sz="6" w:space="0"/>
            </w:tcBorders>
            <w:vAlign w:val="center"/>
          </w:tcPr>
          <w:p w14:paraId="5098C2DB">
            <w:pPr>
              <w:pStyle w:val="11"/>
              <w:spacing w:line="280" w:lineRule="atLeast"/>
              <w:ind w:left="-21" w:right="-105"/>
              <w:rPr>
                <w:rFonts w:eastAsia="宋体"/>
                <w:color w:val="auto"/>
                <w:sz w:val="18"/>
                <w:szCs w:val="18"/>
              </w:rPr>
            </w:pPr>
            <w:r>
              <w:rPr>
                <w:rFonts w:eastAsia="宋体"/>
                <w:color w:val="auto"/>
                <w:sz w:val="18"/>
                <w:szCs w:val="18"/>
              </w:rPr>
              <w:t>镶嵌碎裂结构</w:t>
            </w:r>
          </w:p>
        </w:tc>
      </w:tr>
      <w:tr w14:paraId="50B6FB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7A58CC7A">
            <w:pPr>
              <w:pStyle w:val="11"/>
              <w:tabs>
                <w:tab w:val="decimal" w:pos="1276"/>
                <w:tab w:val="decimal" w:pos="1418"/>
              </w:tabs>
              <w:spacing w:line="280" w:lineRule="atLeast"/>
              <w:ind w:left="-108" w:right="-105"/>
              <w:jc w:val="center"/>
              <w:rPr>
                <w:rFonts w:eastAsia="宋体"/>
                <w:color w:val="auto"/>
                <w:sz w:val="18"/>
                <w:szCs w:val="18"/>
              </w:rPr>
            </w:pPr>
          </w:p>
        </w:tc>
        <w:tc>
          <w:tcPr>
            <w:tcW w:w="994" w:type="dxa"/>
            <w:vMerge w:val="continue"/>
            <w:tcBorders>
              <w:top w:val="single" w:color="auto" w:sz="6" w:space="0"/>
              <w:left w:val="single" w:color="auto" w:sz="6" w:space="0"/>
              <w:bottom w:val="single" w:color="auto" w:sz="6" w:space="0"/>
              <w:right w:val="single" w:color="auto" w:sz="6" w:space="0"/>
            </w:tcBorders>
            <w:vAlign w:val="center"/>
          </w:tcPr>
          <w:p w14:paraId="04EB892D">
            <w:pPr>
              <w:pStyle w:val="11"/>
              <w:tabs>
                <w:tab w:val="decimal" w:pos="1276"/>
                <w:tab w:val="decimal" w:pos="1418"/>
              </w:tabs>
              <w:spacing w:line="280" w:lineRule="atLeast"/>
              <w:ind w:left="-108" w:right="-105"/>
              <w:jc w:val="center"/>
              <w:rPr>
                <w:rFonts w:eastAsia="宋体"/>
                <w:color w:val="auto"/>
                <w:sz w:val="18"/>
                <w:szCs w:val="18"/>
              </w:rPr>
            </w:pPr>
          </w:p>
        </w:tc>
        <w:tc>
          <w:tcPr>
            <w:tcW w:w="1298" w:type="dxa"/>
            <w:vMerge w:val="continue"/>
            <w:tcBorders>
              <w:top w:val="single" w:color="auto" w:sz="6" w:space="0"/>
              <w:left w:val="single" w:color="auto" w:sz="6" w:space="0"/>
              <w:bottom w:val="single" w:color="auto" w:sz="6" w:space="0"/>
              <w:right w:val="single" w:color="auto" w:sz="6" w:space="0"/>
            </w:tcBorders>
            <w:vAlign w:val="center"/>
          </w:tcPr>
          <w:p w14:paraId="216C3C29">
            <w:pPr>
              <w:pStyle w:val="11"/>
              <w:tabs>
                <w:tab w:val="decimal" w:pos="1276"/>
                <w:tab w:val="decimal" w:pos="1418"/>
              </w:tabs>
              <w:spacing w:line="280" w:lineRule="atLeast"/>
              <w:ind w:left="-108" w:right="-105"/>
              <w:jc w:val="center"/>
              <w:rPr>
                <w:rFonts w:eastAsia="宋体"/>
                <w:color w:val="auto"/>
                <w:sz w:val="18"/>
                <w:szCs w:val="18"/>
              </w:rPr>
            </w:pPr>
          </w:p>
        </w:tc>
        <w:tc>
          <w:tcPr>
            <w:tcW w:w="1298" w:type="dxa"/>
            <w:tcBorders>
              <w:top w:val="single" w:color="auto" w:sz="6" w:space="0"/>
              <w:left w:val="single" w:color="auto" w:sz="6" w:space="0"/>
              <w:bottom w:val="single" w:color="auto" w:sz="6" w:space="0"/>
              <w:right w:val="single" w:color="auto" w:sz="6" w:space="0"/>
            </w:tcBorders>
            <w:vAlign w:val="center"/>
          </w:tcPr>
          <w:p w14:paraId="78DD2A5A">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一般</w:t>
            </w:r>
          </w:p>
        </w:tc>
        <w:tc>
          <w:tcPr>
            <w:tcW w:w="1941" w:type="dxa"/>
            <w:vMerge w:val="continue"/>
            <w:tcBorders>
              <w:top w:val="single" w:color="auto" w:sz="6" w:space="0"/>
              <w:left w:val="single" w:color="auto" w:sz="6" w:space="0"/>
              <w:bottom w:val="single" w:color="auto" w:sz="6" w:space="0"/>
              <w:right w:val="single" w:color="auto" w:sz="6" w:space="0"/>
            </w:tcBorders>
            <w:vAlign w:val="center"/>
          </w:tcPr>
          <w:p w14:paraId="25F3F905">
            <w:pPr>
              <w:pStyle w:val="11"/>
              <w:spacing w:line="280" w:lineRule="atLeast"/>
              <w:ind w:left="0" w:right="-105"/>
              <w:jc w:val="center"/>
              <w:rPr>
                <w:rFonts w:eastAsia="宋体"/>
                <w:color w:val="auto"/>
                <w:sz w:val="18"/>
                <w:szCs w:val="18"/>
              </w:rPr>
            </w:pPr>
          </w:p>
        </w:tc>
        <w:tc>
          <w:tcPr>
            <w:tcW w:w="2509" w:type="dxa"/>
            <w:tcBorders>
              <w:top w:val="single" w:color="auto" w:sz="6" w:space="0"/>
              <w:left w:val="single" w:color="auto" w:sz="6" w:space="0"/>
              <w:bottom w:val="single" w:color="auto" w:sz="6" w:space="0"/>
            </w:tcBorders>
            <w:vAlign w:val="center"/>
          </w:tcPr>
          <w:p w14:paraId="7C3CEA4C">
            <w:pPr>
              <w:pStyle w:val="11"/>
              <w:spacing w:line="280" w:lineRule="atLeast"/>
              <w:ind w:left="-21" w:right="-105"/>
              <w:rPr>
                <w:rFonts w:eastAsia="宋体"/>
                <w:color w:val="auto"/>
                <w:sz w:val="18"/>
                <w:szCs w:val="18"/>
              </w:rPr>
            </w:pPr>
            <w:r>
              <w:rPr>
                <w:rFonts w:eastAsia="宋体"/>
                <w:color w:val="auto"/>
                <w:sz w:val="18"/>
                <w:szCs w:val="18"/>
              </w:rPr>
              <w:t>中、薄层状结构</w:t>
            </w:r>
          </w:p>
        </w:tc>
      </w:tr>
      <w:tr w14:paraId="5111AF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restart"/>
            <w:tcBorders>
              <w:top w:val="single" w:color="auto" w:sz="6" w:space="0"/>
              <w:bottom w:val="single" w:color="auto" w:sz="6" w:space="0"/>
              <w:right w:val="single" w:color="auto" w:sz="6" w:space="0"/>
            </w:tcBorders>
            <w:vAlign w:val="center"/>
          </w:tcPr>
          <w:p w14:paraId="662A83DF">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破碎</w:t>
            </w:r>
          </w:p>
        </w:tc>
        <w:tc>
          <w:tcPr>
            <w:tcW w:w="994" w:type="dxa"/>
            <w:vMerge w:val="restart"/>
            <w:tcBorders>
              <w:top w:val="single" w:color="auto" w:sz="6" w:space="0"/>
              <w:left w:val="single" w:color="auto" w:sz="6" w:space="0"/>
              <w:bottom w:val="single" w:color="auto" w:sz="6" w:space="0"/>
              <w:right w:val="single" w:color="auto" w:sz="6" w:space="0"/>
            </w:tcBorders>
            <w:vAlign w:val="center"/>
          </w:tcPr>
          <w:p w14:paraId="33C153CE">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≥3</w:t>
            </w:r>
          </w:p>
        </w:tc>
        <w:tc>
          <w:tcPr>
            <w:tcW w:w="1298" w:type="dxa"/>
            <w:tcBorders>
              <w:top w:val="single" w:color="auto" w:sz="6" w:space="0"/>
              <w:left w:val="single" w:color="auto" w:sz="6" w:space="0"/>
              <w:bottom w:val="single" w:color="auto" w:sz="6" w:space="0"/>
              <w:right w:val="single" w:color="auto" w:sz="6" w:space="0"/>
            </w:tcBorders>
            <w:vAlign w:val="center"/>
          </w:tcPr>
          <w:p w14:paraId="7F5CAA2F">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0.4～0.2</w:t>
            </w:r>
          </w:p>
        </w:tc>
        <w:tc>
          <w:tcPr>
            <w:tcW w:w="1298" w:type="dxa"/>
            <w:tcBorders>
              <w:top w:val="single" w:color="auto" w:sz="6" w:space="0"/>
              <w:left w:val="single" w:color="auto" w:sz="6" w:space="0"/>
              <w:bottom w:val="single" w:color="auto" w:sz="6" w:space="0"/>
              <w:right w:val="single" w:color="auto" w:sz="6" w:space="0"/>
            </w:tcBorders>
            <w:vAlign w:val="center"/>
          </w:tcPr>
          <w:p w14:paraId="6D069857">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差</w:t>
            </w:r>
          </w:p>
        </w:tc>
        <w:tc>
          <w:tcPr>
            <w:tcW w:w="1941" w:type="dxa"/>
            <w:vMerge w:val="restart"/>
            <w:tcBorders>
              <w:top w:val="single" w:color="auto" w:sz="6" w:space="0"/>
              <w:left w:val="single" w:color="auto" w:sz="6" w:space="0"/>
              <w:bottom w:val="single" w:color="auto" w:sz="6" w:space="0"/>
              <w:right w:val="single" w:color="auto" w:sz="6" w:space="0"/>
            </w:tcBorders>
            <w:vAlign w:val="center"/>
          </w:tcPr>
          <w:p w14:paraId="116BE50E">
            <w:pPr>
              <w:pStyle w:val="11"/>
              <w:spacing w:line="280" w:lineRule="atLeast"/>
              <w:ind w:left="0" w:right="-105"/>
              <w:jc w:val="center"/>
              <w:rPr>
                <w:rFonts w:eastAsia="宋体"/>
                <w:color w:val="auto"/>
                <w:sz w:val="18"/>
                <w:szCs w:val="18"/>
              </w:rPr>
            </w:pPr>
            <w:r>
              <w:rPr>
                <w:rFonts w:eastAsia="宋体"/>
                <w:color w:val="auto"/>
                <w:sz w:val="18"/>
                <w:szCs w:val="18"/>
              </w:rPr>
              <w:t>各种类型结构面</w:t>
            </w:r>
          </w:p>
        </w:tc>
        <w:tc>
          <w:tcPr>
            <w:tcW w:w="2509" w:type="dxa"/>
            <w:tcBorders>
              <w:top w:val="single" w:color="auto" w:sz="6" w:space="0"/>
              <w:left w:val="single" w:color="auto" w:sz="6" w:space="0"/>
              <w:bottom w:val="single" w:color="auto" w:sz="6" w:space="0"/>
            </w:tcBorders>
            <w:vAlign w:val="center"/>
          </w:tcPr>
          <w:p w14:paraId="1A5CD534">
            <w:pPr>
              <w:pStyle w:val="11"/>
              <w:spacing w:line="280" w:lineRule="atLeast"/>
              <w:ind w:left="-21" w:right="-105"/>
              <w:rPr>
                <w:rFonts w:eastAsia="宋体"/>
                <w:color w:val="auto"/>
                <w:sz w:val="18"/>
                <w:szCs w:val="18"/>
              </w:rPr>
            </w:pPr>
            <w:r>
              <w:rPr>
                <w:rFonts w:eastAsia="宋体"/>
                <w:color w:val="auto"/>
                <w:sz w:val="18"/>
                <w:szCs w:val="18"/>
              </w:rPr>
              <w:t>裂隙块状结构</w:t>
            </w:r>
          </w:p>
        </w:tc>
      </w:tr>
      <w:tr w14:paraId="00289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vMerge w:val="continue"/>
            <w:tcBorders>
              <w:top w:val="single" w:color="auto" w:sz="6" w:space="0"/>
              <w:bottom w:val="single" w:color="auto" w:sz="6" w:space="0"/>
              <w:right w:val="single" w:color="auto" w:sz="6" w:space="0"/>
            </w:tcBorders>
            <w:vAlign w:val="center"/>
          </w:tcPr>
          <w:p w14:paraId="0A52949E">
            <w:pPr>
              <w:pStyle w:val="11"/>
              <w:tabs>
                <w:tab w:val="decimal" w:pos="1276"/>
                <w:tab w:val="decimal" w:pos="1418"/>
              </w:tabs>
              <w:spacing w:line="280" w:lineRule="atLeast"/>
              <w:ind w:left="-108" w:right="-105"/>
              <w:jc w:val="center"/>
              <w:rPr>
                <w:rFonts w:eastAsia="宋体"/>
                <w:color w:val="auto"/>
                <w:sz w:val="18"/>
                <w:szCs w:val="18"/>
              </w:rPr>
            </w:pPr>
          </w:p>
        </w:tc>
        <w:tc>
          <w:tcPr>
            <w:tcW w:w="994" w:type="dxa"/>
            <w:vMerge w:val="continue"/>
            <w:tcBorders>
              <w:top w:val="single" w:color="auto" w:sz="6" w:space="0"/>
              <w:left w:val="single" w:color="auto" w:sz="6" w:space="0"/>
              <w:bottom w:val="single" w:color="auto" w:sz="6" w:space="0"/>
              <w:right w:val="single" w:color="auto" w:sz="6" w:space="0"/>
            </w:tcBorders>
            <w:vAlign w:val="center"/>
          </w:tcPr>
          <w:p w14:paraId="351CB4DA">
            <w:pPr>
              <w:pStyle w:val="11"/>
              <w:tabs>
                <w:tab w:val="decimal" w:pos="1276"/>
                <w:tab w:val="decimal" w:pos="1418"/>
              </w:tabs>
              <w:spacing w:line="280" w:lineRule="atLeast"/>
              <w:ind w:left="-108" w:right="-105"/>
              <w:jc w:val="center"/>
              <w:rPr>
                <w:rFonts w:eastAsia="宋体"/>
                <w:color w:val="auto"/>
                <w:sz w:val="18"/>
                <w:szCs w:val="18"/>
              </w:rPr>
            </w:pPr>
          </w:p>
        </w:tc>
        <w:tc>
          <w:tcPr>
            <w:tcW w:w="1298" w:type="dxa"/>
            <w:tcBorders>
              <w:top w:val="single" w:color="auto" w:sz="6" w:space="0"/>
              <w:left w:val="single" w:color="auto" w:sz="6" w:space="0"/>
              <w:bottom w:val="single" w:color="auto" w:sz="6" w:space="0"/>
              <w:right w:val="single" w:color="auto" w:sz="6" w:space="0"/>
            </w:tcBorders>
            <w:vAlign w:val="center"/>
          </w:tcPr>
          <w:p w14:paraId="17F2E9DD">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≤0.2</w:t>
            </w:r>
          </w:p>
        </w:tc>
        <w:tc>
          <w:tcPr>
            <w:tcW w:w="1298" w:type="dxa"/>
            <w:tcBorders>
              <w:top w:val="single" w:color="auto" w:sz="6" w:space="0"/>
              <w:left w:val="single" w:color="auto" w:sz="6" w:space="0"/>
              <w:bottom w:val="single" w:color="auto" w:sz="6" w:space="0"/>
              <w:right w:val="single" w:color="auto" w:sz="6" w:space="0"/>
            </w:tcBorders>
            <w:vAlign w:val="center"/>
          </w:tcPr>
          <w:p w14:paraId="639074AE">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一般或差</w:t>
            </w:r>
          </w:p>
        </w:tc>
        <w:tc>
          <w:tcPr>
            <w:tcW w:w="1941" w:type="dxa"/>
            <w:vMerge w:val="continue"/>
            <w:tcBorders>
              <w:top w:val="single" w:color="auto" w:sz="6" w:space="0"/>
              <w:left w:val="single" w:color="auto" w:sz="6" w:space="0"/>
              <w:bottom w:val="single" w:color="auto" w:sz="6" w:space="0"/>
              <w:right w:val="single" w:color="auto" w:sz="6" w:space="0"/>
            </w:tcBorders>
            <w:vAlign w:val="center"/>
          </w:tcPr>
          <w:p w14:paraId="20F42EA2">
            <w:pPr>
              <w:pStyle w:val="11"/>
              <w:tabs>
                <w:tab w:val="decimal" w:pos="1276"/>
                <w:tab w:val="decimal" w:pos="1418"/>
              </w:tabs>
              <w:spacing w:line="280" w:lineRule="atLeast"/>
              <w:ind w:left="-108" w:right="-105"/>
              <w:jc w:val="center"/>
              <w:rPr>
                <w:rFonts w:eastAsia="宋体"/>
                <w:color w:val="auto"/>
                <w:sz w:val="18"/>
                <w:szCs w:val="18"/>
              </w:rPr>
            </w:pPr>
          </w:p>
        </w:tc>
        <w:tc>
          <w:tcPr>
            <w:tcW w:w="2509" w:type="dxa"/>
            <w:tcBorders>
              <w:top w:val="single" w:color="auto" w:sz="6" w:space="0"/>
              <w:left w:val="single" w:color="auto" w:sz="6" w:space="0"/>
              <w:bottom w:val="single" w:color="auto" w:sz="6" w:space="0"/>
            </w:tcBorders>
            <w:vAlign w:val="center"/>
          </w:tcPr>
          <w:p w14:paraId="7FDCB045">
            <w:pPr>
              <w:pStyle w:val="11"/>
              <w:spacing w:line="280" w:lineRule="atLeast"/>
              <w:ind w:left="-21" w:right="-105"/>
              <w:rPr>
                <w:rFonts w:eastAsia="宋体"/>
                <w:color w:val="auto"/>
                <w:sz w:val="18"/>
                <w:szCs w:val="18"/>
              </w:rPr>
            </w:pPr>
            <w:r>
              <w:rPr>
                <w:rFonts w:eastAsia="宋体"/>
                <w:color w:val="auto"/>
                <w:sz w:val="18"/>
                <w:szCs w:val="18"/>
              </w:rPr>
              <w:t>碎裂状结构</w:t>
            </w:r>
          </w:p>
        </w:tc>
      </w:tr>
      <w:tr w14:paraId="35AA5B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1148" w:type="dxa"/>
            <w:tcBorders>
              <w:top w:val="single" w:color="auto" w:sz="6" w:space="0"/>
              <w:bottom w:val="single" w:color="auto" w:sz="6" w:space="0"/>
              <w:right w:val="single" w:color="auto" w:sz="6" w:space="0"/>
            </w:tcBorders>
            <w:vAlign w:val="center"/>
          </w:tcPr>
          <w:p w14:paraId="11526E8E">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极破碎</w:t>
            </w:r>
          </w:p>
        </w:tc>
        <w:tc>
          <w:tcPr>
            <w:tcW w:w="994" w:type="dxa"/>
            <w:tcBorders>
              <w:top w:val="single" w:color="auto" w:sz="6" w:space="0"/>
              <w:left w:val="single" w:color="auto" w:sz="6" w:space="0"/>
              <w:bottom w:val="single" w:color="auto" w:sz="6" w:space="0"/>
              <w:right w:val="single" w:color="auto" w:sz="6" w:space="0"/>
            </w:tcBorders>
            <w:vAlign w:val="center"/>
          </w:tcPr>
          <w:p w14:paraId="041FC6FB">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无序</w:t>
            </w:r>
          </w:p>
        </w:tc>
        <w:tc>
          <w:tcPr>
            <w:tcW w:w="1298" w:type="dxa"/>
            <w:tcBorders>
              <w:top w:val="single" w:color="auto" w:sz="6" w:space="0"/>
              <w:left w:val="single" w:color="auto" w:sz="6" w:space="0"/>
              <w:bottom w:val="single" w:color="auto" w:sz="6" w:space="0"/>
              <w:right w:val="single" w:color="auto" w:sz="6" w:space="0"/>
            </w:tcBorders>
            <w:vAlign w:val="center"/>
          </w:tcPr>
          <w:p w14:paraId="7DC0B47A">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w:t>
            </w:r>
          </w:p>
        </w:tc>
        <w:tc>
          <w:tcPr>
            <w:tcW w:w="1298" w:type="dxa"/>
            <w:tcBorders>
              <w:top w:val="single" w:color="auto" w:sz="6" w:space="0"/>
              <w:left w:val="single" w:color="auto" w:sz="6" w:space="0"/>
              <w:bottom w:val="single" w:color="auto" w:sz="6" w:space="0"/>
              <w:right w:val="single" w:color="auto" w:sz="6" w:space="0"/>
            </w:tcBorders>
            <w:vAlign w:val="center"/>
          </w:tcPr>
          <w:p w14:paraId="6AADA573">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很差</w:t>
            </w:r>
          </w:p>
        </w:tc>
        <w:tc>
          <w:tcPr>
            <w:tcW w:w="1941" w:type="dxa"/>
            <w:tcBorders>
              <w:top w:val="single" w:color="auto" w:sz="6" w:space="0"/>
              <w:left w:val="single" w:color="auto" w:sz="6" w:space="0"/>
              <w:bottom w:val="single" w:color="auto" w:sz="6" w:space="0"/>
              <w:right w:val="single" w:color="auto" w:sz="6" w:space="0"/>
            </w:tcBorders>
            <w:vAlign w:val="center"/>
          </w:tcPr>
          <w:p w14:paraId="5E9EE08D">
            <w:pPr>
              <w:pStyle w:val="11"/>
              <w:tabs>
                <w:tab w:val="decimal" w:pos="1276"/>
                <w:tab w:val="decimal" w:pos="1418"/>
              </w:tabs>
              <w:spacing w:line="280" w:lineRule="atLeast"/>
              <w:ind w:left="-108" w:right="-105"/>
              <w:jc w:val="center"/>
              <w:rPr>
                <w:rFonts w:eastAsia="宋体"/>
                <w:color w:val="auto"/>
                <w:sz w:val="18"/>
                <w:szCs w:val="18"/>
              </w:rPr>
            </w:pPr>
            <w:r>
              <w:rPr>
                <w:rFonts w:eastAsia="宋体"/>
                <w:color w:val="auto"/>
                <w:sz w:val="18"/>
                <w:szCs w:val="18"/>
              </w:rPr>
              <w:t>---</w:t>
            </w:r>
          </w:p>
        </w:tc>
        <w:tc>
          <w:tcPr>
            <w:tcW w:w="2509" w:type="dxa"/>
            <w:tcBorders>
              <w:top w:val="single" w:color="auto" w:sz="6" w:space="0"/>
              <w:left w:val="single" w:color="auto" w:sz="6" w:space="0"/>
              <w:bottom w:val="single" w:color="auto" w:sz="6" w:space="0"/>
            </w:tcBorders>
            <w:vAlign w:val="center"/>
          </w:tcPr>
          <w:p w14:paraId="3C13AAF6">
            <w:pPr>
              <w:pStyle w:val="11"/>
              <w:spacing w:line="280" w:lineRule="atLeast"/>
              <w:ind w:left="-21" w:right="-105"/>
              <w:rPr>
                <w:rFonts w:eastAsia="宋体"/>
                <w:color w:val="auto"/>
                <w:sz w:val="18"/>
                <w:szCs w:val="18"/>
              </w:rPr>
            </w:pPr>
            <w:r>
              <w:rPr>
                <w:rFonts w:eastAsia="宋体"/>
                <w:color w:val="auto"/>
                <w:sz w:val="18"/>
                <w:szCs w:val="18"/>
              </w:rPr>
              <w:t>散体状结构</w:t>
            </w:r>
          </w:p>
        </w:tc>
      </w:tr>
      <w:tr w14:paraId="3A722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6" w:hRule="atLeast"/>
          <w:jc w:val="center"/>
        </w:trPr>
        <w:tc>
          <w:tcPr>
            <w:tcW w:w="9188" w:type="dxa"/>
            <w:gridSpan w:val="6"/>
            <w:tcBorders>
              <w:top w:val="single" w:color="auto" w:sz="6" w:space="0"/>
              <w:bottom w:val="single" w:color="auto" w:sz="12" w:space="0"/>
            </w:tcBorders>
            <w:vAlign w:val="center"/>
          </w:tcPr>
          <w:p w14:paraId="42B1C9D2">
            <w:pPr>
              <w:pStyle w:val="11"/>
              <w:spacing w:line="280" w:lineRule="atLeast"/>
              <w:ind w:left="-21" w:right="-105"/>
              <w:rPr>
                <w:rFonts w:eastAsia="宋体"/>
                <w:color w:val="auto"/>
                <w:sz w:val="18"/>
                <w:szCs w:val="18"/>
              </w:rPr>
            </w:pPr>
            <w:r>
              <w:rPr>
                <w:rFonts w:hint="eastAsia" w:eastAsia="宋体"/>
                <w:color w:val="auto"/>
                <w:sz w:val="18"/>
                <w:szCs w:val="18"/>
              </w:rPr>
              <w:t>注：平均间距指主要结构面（1组~2组）间距平均值。</w:t>
            </w:r>
          </w:p>
        </w:tc>
      </w:tr>
    </w:tbl>
    <w:p w14:paraId="1CC61EA4">
      <w:pPr>
        <w:adjustRightInd w:val="0"/>
        <w:snapToGrid w:val="0"/>
        <w:spacing w:line="280" w:lineRule="atLeast"/>
        <w:jc w:val="center"/>
        <w:rPr>
          <w:rFonts w:eastAsia="黑体"/>
          <w:b/>
          <w:color w:val="auto"/>
        </w:rPr>
      </w:pPr>
    </w:p>
    <w:p w14:paraId="58D95A57">
      <w:pPr>
        <w:widowControl/>
        <w:jc w:val="left"/>
        <w:rPr>
          <w:rFonts w:eastAsia="黑体"/>
          <w:b/>
          <w:color w:val="auto"/>
        </w:rPr>
      </w:pPr>
      <w:r>
        <w:rPr>
          <w:rFonts w:eastAsia="黑体"/>
          <w:b/>
          <w:color w:val="auto"/>
        </w:rPr>
        <w:br w:type="page"/>
      </w:r>
    </w:p>
    <w:p w14:paraId="69372A02">
      <w:pPr>
        <w:adjustRightInd w:val="0"/>
        <w:snapToGrid w:val="0"/>
        <w:spacing w:before="240" w:line="280" w:lineRule="atLeast"/>
        <w:jc w:val="center"/>
        <w:rPr>
          <w:rFonts w:eastAsia="黑体"/>
          <w:b/>
          <w:color w:val="auto"/>
          <w:szCs w:val="21"/>
        </w:rPr>
      </w:pPr>
      <w:r>
        <w:rPr>
          <w:rFonts w:eastAsia="黑体"/>
          <w:b/>
          <w:color w:val="auto"/>
          <w:szCs w:val="21"/>
        </w:rPr>
        <w:t>表A.3  岩石风化程度的现场鉴别</w:t>
      </w:r>
    </w:p>
    <w:tbl>
      <w:tblPr>
        <w:tblStyle w:val="36"/>
        <w:tblW w:w="91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94"/>
        <w:gridCol w:w="7505"/>
      </w:tblGrid>
      <w:tr w14:paraId="217EB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3" w:hRule="atLeast"/>
          <w:jc w:val="center"/>
        </w:trPr>
        <w:tc>
          <w:tcPr>
            <w:tcW w:w="1694" w:type="dxa"/>
            <w:vAlign w:val="center"/>
          </w:tcPr>
          <w:p w14:paraId="407F622D">
            <w:pPr>
              <w:pStyle w:val="11"/>
              <w:spacing w:line="280" w:lineRule="atLeast"/>
              <w:ind w:left="0"/>
              <w:jc w:val="center"/>
              <w:rPr>
                <w:rFonts w:eastAsia="宋体"/>
                <w:color w:val="auto"/>
                <w:sz w:val="18"/>
                <w:szCs w:val="18"/>
              </w:rPr>
            </w:pPr>
            <w:r>
              <w:rPr>
                <w:rFonts w:eastAsia="宋体"/>
                <w:color w:val="auto"/>
                <w:sz w:val="18"/>
                <w:szCs w:val="18"/>
              </w:rPr>
              <w:t>风化程度</w:t>
            </w:r>
          </w:p>
        </w:tc>
        <w:tc>
          <w:tcPr>
            <w:tcW w:w="7505" w:type="dxa"/>
            <w:vAlign w:val="center"/>
          </w:tcPr>
          <w:p w14:paraId="1BF1146C">
            <w:pPr>
              <w:pStyle w:val="11"/>
              <w:spacing w:line="280" w:lineRule="atLeast"/>
              <w:ind w:left="0"/>
              <w:jc w:val="center"/>
              <w:rPr>
                <w:rFonts w:eastAsia="宋体"/>
                <w:color w:val="auto"/>
                <w:sz w:val="18"/>
                <w:szCs w:val="18"/>
              </w:rPr>
            </w:pPr>
            <w:r>
              <w:rPr>
                <w:rFonts w:eastAsia="宋体"/>
                <w:color w:val="auto"/>
                <w:sz w:val="18"/>
                <w:szCs w:val="18"/>
              </w:rPr>
              <w:t>野 外 特 征</w:t>
            </w:r>
          </w:p>
        </w:tc>
      </w:tr>
      <w:tr w14:paraId="51C33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1" w:hRule="atLeast"/>
          <w:jc w:val="center"/>
        </w:trPr>
        <w:tc>
          <w:tcPr>
            <w:tcW w:w="1694" w:type="dxa"/>
            <w:vAlign w:val="center"/>
          </w:tcPr>
          <w:p w14:paraId="553AF94A">
            <w:pPr>
              <w:pStyle w:val="11"/>
              <w:tabs>
                <w:tab w:val="decimal" w:pos="1276"/>
                <w:tab w:val="decimal" w:pos="1418"/>
              </w:tabs>
              <w:spacing w:line="280" w:lineRule="atLeast"/>
              <w:ind w:left="0"/>
              <w:jc w:val="center"/>
              <w:rPr>
                <w:rFonts w:eastAsia="宋体"/>
                <w:color w:val="auto"/>
                <w:sz w:val="18"/>
                <w:szCs w:val="18"/>
              </w:rPr>
            </w:pPr>
            <w:r>
              <w:rPr>
                <w:rFonts w:eastAsia="宋体"/>
                <w:color w:val="auto"/>
                <w:sz w:val="18"/>
                <w:szCs w:val="18"/>
              </w:rPr>
              <w:t>未风化</w:t>
            </w:r>
          </w:p>
        </w:tc>
        <w:tc>
          <w:tcPr>
            <w:tcW w:w="7505" w:type="dxa"/>
            <w:vAlign w:val="center"/>
          </w:tcPr>
          <w:p w14:paraId="4170CB67">
            <w:pPr>
              <w:pStyle w:val="11"/>
              <w:spacing w:line="280" w:lineRule="atLeast"/>
              <w:ind w:left="0"/>
              <w:rPr>
                <w:rFonts w:eastAsia="宋体"/>
                <w:color w:val="auto"/>
                <w:sz w:val="18"/>
                <w:szCs w:val="18"/>
              </w:rPr>
            </w:pPr>
            <w:r>
              <w:rPr>
                <w:rFonts w:eastAsia="宋体"/>
                <w:color w:val="auto"/>
                <w:sz w:val="18"/>
                <w:szCs w:val="18"/>
              </w:rPr>
              <w:t>岩质新鲜，偶见风化痕迹</w:t>
            </w:r>
          </w:p>
        </w:tc>
      </w:tr>
      <w:tr w14:paraId="1AC83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1694" w:type="dxa"/>
            <w:vAlign w:val="center"/>
          </w:tcPr>
          <w:p w14:paraId="70BF806C">
            <w:pPr>
              <w:pStyle w:val="11"/>
              <w:tabs>
                <w:tab w:val="decimal" w:pos="1276"/>
                <w:tab w:val="decimal" w:pos="1418"/>
              </w:tabs>
              <w:spacing w:line="280" w:lineRule="atLeast"/>
              <w:ind w:left="0"/>
              <w:jc w:val="center"/>
              <w:rPr>
                <w:rFonts w:eastAsia="宋体"/>
                <w:color w:val="auto"/>
                <w:sz w:val="18"/>
                <w:szCs w:val="18"/>
              </w:rPr>
            </w:pPr>
            <w:r>
              <w:rPr>
                <w:rFonts w:eastAsia="宋体"/>
                <w:color w:val="auto"/>
                <w:sz w:val="18"/>
                <w:szCs w:val="18"/>
              </w:rPr>
              <w:t>微风化</w:t>
            </w:r>
          </w:p>
        </w:tc>
        <w:tc>
          <w:tcPr>
            <w:tcW w:w="7505" w:type="dxa"/>
            <w:vAlign w:val="center"/>
          </w:tcPr>
          <w:p w14:paraId="127E4095">
            <w:pPr>
              <w:pStyle w:val="11"/>
              <w:spacing w:line="280" w:lineRule="atLeast"/>
              <w:ind w:left="0"/>
              <w:rPr>
                <w:rFonts w:eastAsia="宋体"/>
                <w:color w:val="auto"/>
                <w:sz w:val="18"/>
                <w:szCs w:val="18"/>
              </w:rPr>
            </w:pPr>
            <w:r>
              <w:rPr>
                <w:rFonts w:eastAsia="宋体"/>
                <w:color w:val="auto"/>
                <w:sz w:val="18"/>
                <w:szCs w:val="18"/>
              </w:rPr>
              <w:t>结构基本未变，仅节理面有铁锰质渲染或矿物略有变色，有少量风化裂隙</w:t>
            </w:r>
          </w:p>
        </w:tc>
      </w:tr>
      <w:tr w14:paraId="04382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1694" w:type="dxa"/>
            <w:vAlign w:val="center"/>
          </w:tcPr>
          <w:p w14:paraId="6E059674">
            <w:pPr>
              <w:pStyle w:val="11"/>
              <w:tabs>
                <w:tab w:val="decimal" w:pos="1276"/>
                <w:tab w:val="decimal" w:pos="1418"/>
              </w:tabs>
              <w:spacing w:line="280" w:lineRule="atLeast"/>
              <w:ind w:left="0"/>
              <w:jc w:val="center"/>
              <w:rPr>
                <w:rFonts w:eastAsia="宋体"/>
                <w:color w:val="auto"/>
                <w:sz w:val="18"/>
                <w:szCs w:val="18"/>
              </w:rPr>
            </w:pPr>
            <w:r>
              <w:rPr>
                <w:rFonts w:eastAsia="宋体"/>
                <w:color w:val="auto"/>
                <w:sz w:val="18"/>
                <w:szCs w:val="18"/>
              </w:rPr>
              <w:t>中等风化</w:t>
            </w:r>
          </w:p>
        </w:tc>
        <w:tc>
          <w:tcPr>
            <w:tcW w:w="7505" w:type="dxa"/>
            <w:vAlign w:val="center"/>
          </w:tcPr>
          <w:p w14:paraId="70D01E50">
            <w:pPr>
              <w:pStyle w:val="11"/>
              <w:spacing w:line="280" w:lineRule="atLeast"/>
              <w:ind w:left="0"/>
              <w:rPr>
                <w:rFonts w:eastAsia="宋体"/>
                <w:color w:val="auto"/>
                <w:sz w:val="18"/>
                <w:szCs w:val="18"/>
              </w:rPr>
            </w:pPr>
            <w:r>
              <w:rPr>
                <w:rFonts w:eastAsia="宋体"/>
                <w:color w:val="auto"/>
                <w:sz w:val="18"/>
                <w:szCs w:val="18"/>
              </w:rPr>
              <w:t>结构部分破坏，矿物成分基本未变化，仅沿节理面出现次生矿物。风化裂隙发育，岩体被切割成岩块。不能用镐挖掘，岩芯钻方可钻进。</w:t>
            </w:r>
          </w:p>
        </w:tc>
      </w:tr>
      <w:tr w14:paraId="41162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1694" w:type="dxa"/>
            <w:vAlign w:val="center"/>
          </w:tcPr>
          <w:p w14:paraId="7DEB6C2B">
            <w:pPr>
              <w:pStyle w:val="11"/>
              <w:tabs>
                <w:tab w:val="decimal" w:pos="1276"/>
                <w:tab w:val="decimal" w:pos="1418"/>
              </w:tabs>
              <w:spacing w:line="280" w:lineRule="atLeast"/>
              <w:ind w:left="0"/>
              <w:jc w:val="center"/>
              <w:rPr>
                <w:rFonts w:eastAsia="宋体"/>
                <w:color w:val="auto"/>
                <w:sz w:val="18"/>
                <w:szCs w:val="18"/>
              </w:rPr>
            </w:pPr>
            <w:r>
              <w:rPr>
                <w:rFonts w:eastAsia="宋体"/>
                <w:color w:val="auto"/>
                <w:sz w:val="18"/>
                <w:szCs w:val="18"/>
              </w:rPr>
              <w:t>强风化</w:t>
            </w:r>
          </w:p>
        </w:tc>
        <w:tc>
          <w:tcPr>
            <w:tcW w:w="7505" w:type="dxa"/>
            <w:vAlign w:val="center"/>
          </w:tcPr>
          <w:p w14:paraId="07680F2D">
            <w:pPr>
              <w:pStyle w:val="11"/>
              <w:spacing w:line="280" w:lineRule="atLeast"/>
              <w:ind w:left="0"/>
              <w:rPr>
                <w:rFonts w:eastAsia="宋体"/>
                <w:color w:val="auto"/>
                <w:sz w:val="18"/>
                <w:szCs w:val="18"/>
              </w:rPr>
            </w:pPr>
            <w:r>
              <w:rPr>
                <w:rFonts w:eastAsia="宋体"/>
                <w:color w:val="auto"/>
                <w:sz w:val="18"/>
                <w:szCs w:val="18"/>
              </w:rPr>
              <w:t>结构已大部分破坏，矿物成分已显著变化。长石、云母已风化成次生矿物。裂隙很发育，岩体破碎。用镐可挖掘，干钻不易钻进。</w:t>
            </w:r>
          </w:p>
        </w:tc>
      </w:tr>
      <w:tr w14:paraId="494A8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9199" w:type="dxa"/>
            <w:gridSpan w:val="2"/>
            <w:vAlign w:val="center"/>
          </w:tcPr>
          <w:p w14:paraId="3E3265D9">
            <w:pPr>
              <w:pStyle w:val="11"/>
              <w:spacing w:line="280" w:lineRule="atLeast"/>
              <w:ind w:left="0"/>
              <w:jc w:val="left"/>
              <w:rPr>
                <w:rFonts w:eastAsia="宋体"/>
                <w:color w:val="auto"/>
                <w:sz w:val="18"/>
                <w:szCs w:val="18"/>
              </w:rPr>
            </w:pPr>
            <w:r>
              <w:rPr>
                <w:rFonts w:hint="eastAsia" w:eastAsia="宋体"/>
                <w:color w:val="auto"/>
                <w:sz w:val="18"/>
                <w:szCs w:val="18"/>
              </w:rPr>
              <w:t xml:space="preserve">注 1：对于沉积岩，标准贯入锤击数 N（未经钻杆长度修正）≥35 为强风化。对于花岗岩类岩石，标准贯入锤击 </w:t>
            </w:r>
          </w:p>
          <w:p w14:paraId="7B0B17E8">
            <w:pPr>
              <w:pStyle w:val="11"/>
              <w:spacing w:line="280" w:lineRule="atLeast"/>
              <w:ind w:left="0" w:firstLine="540" w:firstLineChars="300"/>
              <w:jc w:val="left"/>
              <w:rPr>
                <w:rFonts w:eastAsia="宋体"/>
                <w:color w:val="auto"/>
                <w:sz w:val="18"/>
                <w:szCs w:val="18"/>
              </w:rPr>
            </w:pPr>
            <w:r>
              <w:rPr>
                <w:rFonts w:hint="eastAsia" w:eastAsia="宋体"/>
                <w:color w:val="auto"/>
                <w:sz w:val="18"/>
                <w:szCs w:val="18"/>
              </w:rPr>
              <w:t xml:space="preserve">数 N（未经钻杆长度修正）≥50 为强风化。 </w:t>
            </w:r>
          </w:p>
          <w:p w14:paraId="672E52C2">
            <w:pPr>
              <w:pStyle w:val="11"/>
              <w:spacing w:line="280" w:lineRule="atLeast"/>
              <w:ind w:left="0"/>
              <w:jc w:val="left"/>
              <w:rPr>
                <w:rFonts w:eastAsia="宋体"/>
                <w:color w:val="auto"/>
                <w:sz w:val="18"/>
                <w:szCs w:val="18"/>
              </w:rPr>
            </w:pPr>
            <w:r>
              <w:rPr>
                <w:rFonts w:hint="eastAsia" w:eastAsia="宋体"/>
                <w:color w:val="auto"/>
                <w:sz w:val="18"/>
                <w:szCs w:val="18"/>
              </w:rPr>
              <w:t>注 2：泥岩和半成岩，可不进行风化程度划分。</w:t>
            </w:r>
          </w:p>
        </w:tc>
      </w:tr>
    </w:tbl>
    <w:p w14:paraId="13E19D74">
      <w:pPr>
        <w:adjustRightInd w:val="0"/>
        <w:snapToGrid w:val="0"/>
        <w:spacing w:line="340" w:lineRule="atLeast"/>
        <w:jc w:val="center"/>
        <w:rPr>
          <w:rFonts w:eastAsia="黑体"/>
          <w:b/>
          <w:color w:val="auto"/>
          <w:szCs w:val="21"/>
        </w:rPr>
      </w:pPr>
    </w:p>
    <w:p w14:paraId="25742E5D">
      <w:pPr>
        <w:adjustRightInd w:val="0"/>
        <w:snapToGrid w:val="0"/>
        <w:spacing w:line="340" w:lineRule="atLeast"/>
        <w:jc w:val="center"/>
        <w:rPr>
          <w:rFonts w:eastAsia="黑体"/>
          <w:b/>
          <w:color w:val="auto"/>
          <w:szCs w:val="21"/>
        </w:rPr>
      </w:pPr>
      <w:r>
        <w:rPr>
          <w:rFonts w:eastAsia="黑体"/>
          <w:b/>
          <w:color w:val="auto"/>
          <w:szCs w:val="21"/>
        </w:rPr>
        <w:t>表A.4  碎石土密实度野外鉴别</w:t>
      </w:r>
    </w:p>
    <w:tbl>
      <w:tblPr>
        <w:tblStyle w:val="36"/>
        <w:tblW w:w="912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6"/>
        <w:gridCol w:w="3005"/>
        <w:gridCol w:w="2410"/>
        <w:gridCol w:w="2698"/>
      </w:tblGrid>
      <w:tr w14:paraId="67400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1016" w:type="dxa"/>
            <w:vAlign w:val="center"/>
          </w:tcPr>
          <w:p w14:paraId="38747A3B">
            <w:pPr>
              <w:pStyle w:val="11"/>
              <w:spacing w:line="300" w:lineRule="atLeast"/>
              <w:ind w:left="0"/>
              <w:jc w:val="center"/>
              <w:rPr>
                <w:rFonts w:eastAsia="宋体"/>
                <w:color w:val="auto"/>
                <w:sz w:val="18"/>
                <w:szCs w:val="18"/>
              </w:rPr>
            </w:pPr>
            <w:r>
              <w:rPr>
                <w:rFonts w:eastAsia="宋体"/>
                <w:color w:val="auto"/>
                <w:sz w:val="18"/>
                <w:szCs w:val="18"/>
              </w:rPr>
              <w:t>密实度</w:t>
            </w:r>
          </w:p>
        </w:tc>
        <w:tc>
          <w:tcPr>
            <w:tcW w:w="3005" w:type="dxa"/>
            <w:vAlign w:val="center"/>
          </w:tcPr>
          <w:p w14:paraId="0DBF7D88">
            <w:pPr>
              <w:pStyle w:val="11"/>
              <w:spacing w:line="300" w:lineRule="atLeast"/>
              <w:ind w:left="0"/>
              <w:jc w:val="center"/>
              <w:rPr>
                <w:rFonts w:eastAsia="宋体"/>
                <w:color w:val="auto"/>
                <w:sz w:val="18"/>
                <w:szCs w:val="18"/>
              </w:rPr>
            </w:pPr>
            <w:r>
              <w:rPr>
                <w:rFonts w:eastAsia="宋体"/>
                <w:color w:val="auto"/>
                <w:sz w:val="18"/>
                <w:szCs w:val="18"/>
              </w:rPr>
              <w:t>骨架颗粒含量和排列</w:t>
            </w:r>
          </w:p>
        </w:tc>
        <w:tc>
          <w:tcPr>
            <w:tcW w:w="2410" w:type="dxa"/>
            <w:vAlign w:val="center"/>
          </w:tcPr>
          <w:p w14:paraId="740A5F68">
            <w:pPr>
              <w:pStyle w:val="11"/>
              <w:spacing w:line="300" w:lineRule="atLeast"/>
              <w:ind w:left="0"/>
              <w:jc w:val="center"/>
              <w:rPr>
                <w:rFonts w:eastAsia="宋体"/>
                <w:color w:val="auto"/>
                <w:sz w:val="18"/>
                <w:szCs w:val="18"/>
              </w:rPr>
            </w:pPr>
            <w:r>
              <w:rPr>
                <w:rFonts w:eastAsia="宋体"/>
                <w:color w:val="auto"/>
                <w:sz w:val="18"/>
                <w:szCs w:val="18"/>
              </w:rPr>
              <w:t>可挖性</w:t>
            </w:r>
          </w:p>
        </w:tc>
        <w:tc>
          <w:tcPr>
            <w:tcW w:w="2698" w:type="dxa"/>
            <w:vAlign w:val="center"/>
          </w:tcPr>
          <w:p w14:paraId="50B20F6A">
            <w:pPr>
              <w:pStyle w:val="11"/>
              <w:spacing w:line="300" w:lineRule="atLeast"/>
              <w:ind w:left="0"/>
              <w:jc w:val="center"/>
              <w:rPr>
                <w:rFonts w:eastAsia="宋体"/>
                <w:color w:val="auto"/>
                <w:sz w:val="18"/>
                <w:szCs w:val="18"/>
              </w:rPr>
            </w:pPr>
            <w:r>
              <w:rPr>
                <w:rFonts w:eastAsia="宋体"/>
                <w:color w:val="auto"/>
                <w:sz w:val="18"/>
                <w:szCs w:val="18"/>
              </w:rPr>
              <w:t>可钻性</w:t>
            </w:r>
          </w:p>
        </w:tc>
      </w:tr>
      <w:tr w14:paraId="22324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016" w:type="dxa"/>
            <w:vAlign w:val="center"/>
          </w:tcPr>
          <w:p w14:paraId="7AB33FD4">
            <w:pPr>
              <w:pStyle w:val="11"/>
              <w:spacing w:line="360" w:lineRule="atLeast"/>
              <w:ind w:left="0"/>
              <w:jc w:val="center"/>
              <w:rPr>
                <w:rFonts w:eastAsia="宋体"/>
                <w:color w:val="auto"/>
                <w:sz w:val="18"/>
                <w:szCs w:val="18"/>
              </w:rPr>
            </w:pPr>
            <w:r>
              <w:rPr>
                <w:rFonts w:eastAsia="宋体"/>
                <w:color w:val="auto"/>
                <w:sz w:val="18"/>
                <w:szCs w:val="18"/>
              </w:rPr>
              <w:t>密实</w:t>
            </w:r>
          </w:p>
        </w:tc>
        <w:tc>
          <w:tcPr>
            <w:tcW w:w="3005" w:type="dxa"/>
            <w:vAlign w:val="center"/>
          </w:tcPr>
          <w:p w14:paraId="704750D0">
            <w:pPr>
              <w:pStyle w:val="11"/>
              <w:spacing w:line="240" w:lineRule="auto"/>
              <w:ind w:left="33" w:right="33"/>
              <w:rPr>
                <w:rFonts w:eastAsia="宋体"/>
                <w:color w:val="auto"/>
                <w:sz w:val="18"/>
                <w:szCs w:val="18"/>
              </w:rPr>
            </w:pPr>
            <w:r>
              <w:rPr>
                <w:rFonts w:eastAsia="宋体"/>
                <w:color w:val="auto"/>
                <w:sz w:val="18"/>
                <w:szCs w:val="18"/>
              </w:rPr>
              <w:t>骨架颗粒含量大于总重的70%，呈交错排列，连续接触</w:t>
            </w:r>
          </w:p>
        </w:tc>
        <w:tc>
          <w:tcPr>
            <w:tcW w:w="2410" w:type="dxa"/>
            <w:vAlign w:val="center"/>
          </w:tcPr>
          <w:p w14:paraId="7C466F5D">
            <w:pPr>
              <w:pStyle w:val="11"/>
              <w:spacing w:line="240" w:lineRule="auto"/>
              <w:ind w:left="0"/>
              <w:rPr>
                <w:rFonts w:eastAsia="宋体"/>
                <w:color w:val="auto"/>
                <w:sz w:val="18"/>
                <w:szCs w:val="18"/>
              </w:rPr>
            </w:pPr>
            <w:r>
              <w:rPr>
                <w:rFonts w:eastAsia="宋体"/>
                <w:color w:val="auto"/>
                <w:sz w:val="18"/>
                <w:szCs w:val="18"/>
              </w:rPr>
              <w:t>锹镐挖掘困难，用撬棍方能松动，井壁一般较稳定。</w:t>
            </w:r>
          </w:p>
        </w:tc>
        <w:tc>
          <w:tcPr>
            <w:tcW w:w="2698" w:type="dxa"/>
            <w:vAlign w:val="center"/>
          </w:tcPr>
          <w:p w14:paraId="16520F1A">
            <w:pPr>
              <w:pStyle w:val="11"/>
              <w:spacing w:line="240" w:lineRule="auto"/>
              <w:ind w:left="0"/>
              <w:rPr>
                <w:rFonts w:eastAsia="宋体"/>
                <w:color w:val="auto"/>
                <w:sz w:val="18"/>
                <w:szCs w:val="18"/>
              </w:rPr>
            </w:pPr>
            <w:r>
              <w:rPr>
                <w:rFonts w:eastAsia="宋体"/>
                <w:color w:val="auto"/>
                <w:sz w:val="18"/>
                <w:szCs w:val="18"/>
              </w:rPr>
              <w:t>钻进极困难，冲击钻探时，钻杆、吊锤跳动剧烈，孔壁较稳定。</w:t>
            </w:r>
          </w:p>
        </w:tc>
      </w:tr>
      <w:tr w14:paraId="7BD3A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016" w:type="dxa"/>
            <w:vAlign w:val="center"/>
          </w:tcPr>
          <w:p w14:paraId="7F2C4E32">
            <w:pPr>
              <w:pStyle w:val="11"/>
              <w:tabs>
                <w:tab w:val="decimal" w:pos="1276"/>
                <w:tab w:val="decimal" w:pos="1418"/>
              </w:tabs>
              <w:spacing w:line="240" w:lineRule="auto"/>
              <w:ind w:left="0"/>
              <w:jc w:val="center"/>
              <w:rPr>
                <w:rFonts w:eastAsia="宋体"/>
                <w:color w:val="auto"/>
                <w:sz w:val="18"/>
                <w:szCs w:val="18"/>
              </w:rPr>
            </w:pPr>
            <w:r>
              <w:rPr>
                <w:rFonts w:eastAsia="宋体"/>
                <w:color w:val="auto"/>
                <w:sz w:val="18"/>
                <w:szCs w:val="18"/>
              </w:rPr>
              <w:t>中密</w:t>
            </w:r>
          </w:p>
        </w:tc>
        <w:tc>
          <w:tcPr>
            <w:tcW w:w="3005" w:type="dxa"/>
            <w:vAlign w:val="center"/>
          </w:tcPr>
          <w:p w14:paraId="2F8E63C9">
            <w:pPr>
              <w:pStyle w:val="11"/>
              <w:tabs>
                <w:tab w:val="decimal" w:pos="1276"/>
                <w:tab w:val="decimal" w:pos="1418"/>
              </w:tabs>
              <w:spacing w:line="240" w:lineRule="auto"/>
              <w:ind w:left="33" w:right="33"/>
              <w:rPr>
                <w:rFonts w:eastAsia="宋体"/>
                <w:color w:val="auto"/>
                <w:sz w:val="18"/>
                <w:szCs w:val="18"/>
              </w:rPr>
            </w:pPr>
            <w:r>
              <w:rPr>
                <w:rFonts w:eastAsia="宋体"/>
                <w:color w:val="auto"/>
                <w:sz w:val="18"/>
                <w:szCs w:val="18"/>
              </w:rPr>
              <w:t>骨架颗粒含量等于总重 60%～70%，呈交错排列，大部分接触</w:t>
            </w:r>
          </w:p>
        </w:tc>
        <w:tc>
          <w:tcPr>
            <w:tcW w:w="2410" w:type="dxa"/>
            <w:vAlign w:val="center"/>
          </w:tcPr>
          <w:p w14:paraId="4A138A2E">
            <w:pPr>
              <w:pStyle w:val="11"/>
              <w:spacing w:line="240" w:lineRule="auto"/>
              <w:ind w:left="0"/>
              <w:rPr>
                <w:rFonts w:eastAsia="宋体"/>
                <w:color w:val="auto"/>
                <w:sz w:val="18"/>
                <w:szCs w:val="18"/>
              </w:rPr>
            </w:pPr>
            <w:r>
              <w:rPr>
                <w:rFonts w:eastAsia="宋体"/>
                <w:color w:val="auto"/>
                <w:sz w:val="18"/>
                <w:szCs w:val="18"/>
              </w:rPr>
              <w:t>锹镐可挖掘，井壁有掉块现象，从井壁取出大颗粒处，能保持颗粒凹面形状</w:t>
            </w:r>
          </w:p>
        </w:tc>
        <w:tc>
          <w:tcPr>
            <w:tcW w:w="2698" w:type="dxa"/>
            <w:vAlign w:val="center"/>
          </w:tcPr>
          <w:p w14:paraId="34B4E755">
            <w:pPr>
              <w:pStyle w:val="11"/>
              <w:spacing w:line="240" w:lineRule="auto"/>
              <w:ind w:left="0"/>
              <w:rPr>
                <w:rFonts w:eastAsia="宋体"/>
                <w:color w:val="auto"/>
                <w:sz w:val="18"/>
                <w:szCs w:val="18"/>
              </w:rPr>
            </w:pPr>
            <w:r>
              <w:rPr>
                <w:rFonts w:eastAsia="宋体"/>
                <w:color w:val="auto"/>
                <w:sz w:val="18"/>
                <w:szCs w:val="18"/>
              </w:rPr>
              <w:t>钻进较困难，冲击钻探时，钻杆、吊锤跳动不剧烈，孔壁有坍塌现象。</w:t>
            </w:r>
          </w:p>
        </w:tc>
      </w:tr>
      <w:tr w14:paraId="6B85C9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016" w:type="dxa"/>
            <w:vAlign w:val="center"/>
          </w:tcPr>
          <w:p w14:paraId="7019347F">
            <w:pPr>
              <w:pStyle w:val="11"/>
              <w:tabs>
                <w:tab w:val="decimal" w:pos="1276"/>
                <w:tab w:val="decimal" w:pos="1418"/>
              </w:tabs>
              <w:spacing w:line="360" w:lineRule="atLeast"/>
              <w:ind w:left="0"/>
              <w:jc w:val="center"/>
              <w:rPr>
                <w:rFonts w:eastAsia="宋体"/>
                <w:color w:val="auto"/>
                <w:sz w:val="18"/>
                <w:szCs w:val="18"/>
              </w:rPr>
            </w:pPr>
            <w:r>
              <w:rPr>
                <w:rFonts w:eastAsia="宋体"/>
                <w:color w:val="auto"/>
                <w:sz w:val="18"/>
                <w:szCs w:val="18"/>
              </w:rPr>
              <w:t>稍密</w:t>
            </w:r>
          </w:p>
        </w:tc>
        <w:tc>
          <w:tcPr>
            <w:tcW w:w="3005" w:type="dxa"/>
            <w:vAlign w:val="center"/>
          </w:tcPr>
          <w:p w14:paraId="3D0A2D3F">
            <w:pPr>
              <w:pStyle w:val="11"/>
              <w:tabs>
                <w:tab w:val="decimal" w:pos="1276"/>
                <w:tab w:val="decimal" w:pos="1418"/>
              </w:tabs>
              <w:spacing w:line="240" w:lineRule="auto"/>
              <w:ind w:left="33" w:right="33"/>
              <w:rPr>
                <w:rFonts w:eastAsia="宋体"/>
                <w:color w:val="auto"/>
                <w:sz w:val="18"/>
                <w:szCs w:val="18"/>
              </w:rPr>
            </w:pPr>
            <w:r>
              <w:rPr>
                <w:rFonts w:eastAsia="宋体"/>
                <w:color w:val="auto"/>
                <w:sz w:val="18"/>
                <w:szCs w:val="18"/>
              </w:rPr>
              <w:t>骨架颗粒含量等于总重的55%～60%，排列混乱，大部分不接触</w:t>
            </w:r>
          </w:p>
        </w:tc>
        <w:tc>
          <w:tcPr>
            <w:tcW w:w="2410" w:type="dxa"/>
            <w:vAlign w:val="center"/>
          </w:tcPr>
          <w:p w14:paraId="3DA7C6D9">
            <w:pPr>
              <w:pStyle w:val="11"/>
              <w:spacing w:line="240" w:lineRule="auto"/>
              <w:ind w:left="0"/>
              <w:rPr>
                <w:rFonts w:eastAsia="宋体"/>
                <w:color w:val="auto"/>
                <w:spacing w:val="-6"/>
                <w:sz w:val="18"/>
                <w:szCs w:val="18"/>
              </w:rPr>
            </w:pPr>
            <w:r>
              <w:rPr>
                <w:rFonts w:eastAsia="宋体"/>
                <w:color w:val="auto"/>
                <w:spacing w:val="-6"/>
                <w:sz w:val="18"/>
                <w:szCs w:val="18"/>
              </w:rPr>
              <w:t>锹可以挖掘，井壁易坍塌，从井壁取出大颗粒后，砂土立即坍落</w:t>
            </w:r>
          </w:p>
        </w:tc>
        <w:tc>
          <w:tcPr>
            <w:tcW w:w="2698" w:type="dxa"/>
            <w:vAlign w:val="center"/>
          </w:tcPr>
          <w:p w14:paraId="0E11ECE3">
            <w:pPr>
              <w:pStyle w:val="11"/>
              <w:spacing w:line="240" w:lineRule="auto"/>
              <w:ind w:left="0"/>
              <w:rPr>
                <w:rFonts w:eastAsia="宋体"/>
                <w:color w:val="auto"/>
                <w:sz w:val="18"/>
                <w:szCs w:val="18"/>
              </w:rPr>
            </w:pPr>
            <w:r>
              <w:rPr>
                <w:rFonts w:eastAsia="宋体"/>
                <w:color w:val="auto"/>
                <w:sz w:val="18"/>
                <w:szCs w:val="18"/>
              </w:rPr>
              <w:t>钻进较容易，冲击钻探时，钻杆稍有跳动，孔壁易坍塌</w:t>
            </w:r>
          </w:p>
        </w:tc>
      </w:tr>
      <w:tr w14:paraId="0C88D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1016" w:type="dxa"/>
            <w:vAlign w:val="center"/>
          </w:tcPr>
          <w:p w14:paraId="0D1BA7F5">
            <w:pPr>
              <w:pStyle w:val="11"/>
              <w:tabs>
                <w:tab w:val="decimal" w:pos="1276"/>
                <w:tab w:val="decimal" w:pos="1418"/>
              </w:tabs>
              <w:spacing w:line="360" w:lineRule="atLeast"/>
              <w:ind w:left="0"/>
              <w:jc w:val="center"/>
              <w:rPr>
                <w:rFonts w:eastAsia="宋体"/>
                <w:color w:val="auto"/>
                <w:sz w:val="18"/>
                <w:szCs w:val="18"/>
              </w:rPr>
            </w:pPr>
            <w:r>
              <w:rPr>
                <w:rFonts w:eastAsia="宋体"/>
                <w:color w:val="auto"/>
                <w:sz w:val="18"/>
                <w:szCs w:val="18"/>
              </w:rPr>
              <w:t>松散</w:t>
            </w:r>
          </w:p>
        </w:tc>
        <w:tc>
          <w:tcPr>
            <w:tcW w:w="3005" w:type="dxa"/>
            <w:vAlign w:val="center"/>
          </w:tcPr>
          <w:p w14:paraId="33D7341C">
            <w:pPr>
              <w:pStyle w:val="11"/>
              <w:tabs>
                <w:tab w:val="decimal" w:pos="1276"/>
                <w:tab w:val="decimal" w:pos="1418"/>
              </w:tabs>
              <w:spacing w:line="240" w:lineRule="auto"/>
              <w:ind w:left="33" w:right="33"/>
              <w:rPr>
                <w:rFonts w:eastAsia="宋体"/>
                <w:color w:val="auto"/>
                <w:sz w:val="18"/>
                <w:szCs w:val="18"/>
              </w:rPr>
            </w:pPr>
            <w:r>
              <w:rPr>
                <w:rFonts w:eastAsia="宋体"/>
                <w:color w:val="auto"/>
                <w:sz w:val="18"/>
                <w:szCs w:val="18"/>
              </w:rPr>
              <w:t>骨架颗粒含量小于总重的60%，排列十分混乱，绝大部分不接触</w:t>
            </w:r>
          </w:p>
        </w:tc>
        <w:tc>
          <w:tcPr>
            <w:tcW w:w="2410" w:type="dxa"/>
            <w:vAlign w:val="center"/>
          </w:tcPr>
          <w:p w14:paraId="2EB77A46">
            <w:pPr>
              <w:pStyle w:val="11"/>
              <w:spacing w:line="240" w:lineRule="auto"/>
              <w:ind w:left="0"/>
              <w:rPr>
                <w:rFonts w:eastAsia="宋体"/>
                <w:color w:val="auto"/>
                <w:sz w:val="18"/>
                <w:szCs w:val="18"/>
              </w:rPr>
            </w:pPr>
            <w:r>
              <w:rPr>
                <w:rFonts w:eastAsia="宋体"/>
                <w:color w:val="auto"/>
                <w:sz w:val="18"/>
                <w:szCs w:val="18"/>
              </w:rPr>
              <w:t>锹易挖掘，井壁极易坍塌</w:t>
            </w:r>
          </w:p>
        </w:tc>
        <w:tc>
          <w:tcPr>
            <w:tcW w:w="2698" w:type="dxa"/>
            <w:vAlign w:val="center"/>
          </w:tcPr>
          <w:p w14:paraId="204353A0">
            <w:pPr>
              <w:pStyle w:val="11"/>
              <w:spacing w:line="240" w:lineRule="auto"/>
              <w:ind w:left="0"/>
              <w:rPr>
                <w:rFonts w:eastAsia="宋体"/>
                <w:color w:val="auto"/>
                <w:sz w:val="18"/>
                <w:szCs w:val="18"/>
              </w:rPr>
            </w:pPr>
            <w:r>
              <w:rPr>
                <w:rFonts w:eastAsia="宋体"/>
                <w:color w:val="auto"/>
                <w:sz w:val="18"/>
                <w:szCs w:val="18"/>
              </w:rPr>
              <w:t>钻进很容易，冲击钻探时，钻杆无跳动，孔壁极易坍塌。</w:t>
            </w:r>
          </w:p>
        </w:tc>
      </w:tr>
      <w:tr w14:paraId="29E87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9129" w:type="dxa"/>
            <w:gridSpan w:val="4"/>
            <w:vAlign w:val="center"/>
          </w:tcPr>
          <w:p w14:paraId="24222513">
            <w:pPr>
              <w:pStyle w:val="11"/>
              <w:spacing w:line="240" w:lineRule="auto"/>
              <w:ind w:left="0"/>
              <w:rPr>
                <w:rFonts w:eastAsia="宋体"/>
                <w:color w:val="auto"/>
                <w:sz w:val="18"/>
                <w:szCs w:val="18"/>
              </w:rPr>
            </w:pPr>
            <w:r>
              <w:rPr>
                <w:rFonts w:eastAsia="宋体"/>
                <w:color w:val="auto"/>
                <w:sz w:val="18"/>
                <w:szCs w:val="18"/>
              </w:rPr>
              <w:t>注1：骨架颗粒系指与本文件表7相对应的粒径颗粒；</w:t>
            </w:r>
          </w:p>
          <w:p w14:paraId="3DE5563A">
            <w:pPr>
              <w:pStyle w:val="11"/>
              <w:spacing w:line="240" w:lineRule="auto"/>
              <w:ind w:left="0"/>
              <w:rPr>
                <w:rFonts w:eastAsia="宋体"/>
                <w:color w:val="auto"/>
                <w:sz w:val="18"/>
                <w:szCs w:val="18"/>
              </w:rPr>
            </w:pPr>
            <w:r>
              <w:rPr>
                <w:rFonts w:eastAsia="宋体"/>
                <w:color w:val="auto"/>
                <w:sz w:val="18"/>
                <w:szCs w:val="18"/>
              </w:rPr>
              <w:t>注2：碎石土的密实度应按表中各项要求综合确定。</w:t>
            </w:r>
          </w:p>
        </w:tc>
      </w:tr>
    </w:tbl>
    <w:p w14:paraId="4A451859">
      <w:pPr>
        <w:adjustRightInd w:val="0"/>
        <w:snapToGrid w:val="0"/>
        <w:spacing w:before="720" w:line="340" w:lineRule="atLeast"/>
        <w:jc w:val="center"/>
        <w:rPr>
          <w:rFonts w:eastAsia="黑体"/>
          <w:b/>
          <w:color w:val="auto"/>
          <w:szCs w:val="21"/>
        </w:rPr>
      </w:pPr>
      <w:r>
        <w:rPr>
          <w:rFonts w:eastAsia="黑体"/>
          <w:b/>
          <w:color w:val="auto"/>
          <w:szCs w:val="21"/>
        </w:rPr>
        <w:t>表A.5  老黏性土的现场鉴别</w:t>
      </w:r>
    </w:p>
    <w:tbl>
      <w:tblPr>
        <w:tblStyle w:val="36"/>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2"/>
        <w:gridCol w:w="1410"/>
        <w:gridCol w:w="2954"/>
        <w:gridCol w:w="4089"/>
      </w:tblGrid>
      <w:tr w14:paraId="24BCC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2142" w:type="dxa"/>
            <w:gridSpan w:val="2"/>
            <w:vAlign w:val="center"/>
          </w:tcPr>
          <w:p w14:paraId="0127626C">
            <w:pPr>
              <w:pStyle w:val="11"/>
              <w:spacing w:line="280" w:lineRule="atLeast"/>
              <w:ind w:left="-108" w:right="-108"/>
              <w:jc w:val="center"/>
              <w:rPr>
                <w:rFonts w:eastAsia="宋体"/>
                <w:color w:val="auto"/>
                <w:sz w:val="18"/>
                <w:szCs w:val="18"/>
              </w:rPr>
            </w:pPr>
            <w:r>
              <w:rPr>
                <w:rFonts w:eastAsia="宋体"/>
                <w:color w:val="auto"/>
                <w:sz w:val="18"/>
                <w:szCs w:val="18"/>
              </w:rPr>
              <w:t>地质年代</w:t>
            </w:r>
            <w:r>
              <w:rPr>
                <w:rFonts w:hint="eastAsia" w:eastAsia="宋体"/>
                <w:color w:val="auto"/>
                <w:sz w:val="18"/>
                <w:szCs w:val="18"/>
              </w:rPr>
              <w:t>及成因</w:t>
            </w:r>
          </w:p>
        </w:tc>
        <w:tc>
          <w:tcPr>
            <w:tcW w:w="7043" w:type="dxa"/>
            <w:gridSpan w:val="2"/>
            <w:vAlign w:val="center"/>
          </w:tcPr>
          <w:p w14:paraId="6D7A27AB">
            <w:pPr>
              <w:pStyle w:val="11"/>
              <w:spacing w:line="280" w:lineRule="atLeast"/>
              <w:ind w:left="-108" w:right="-108" w:firstLine="59" w:firstLineChars="33"/>
              <w:rPr>
                <w:rFonts w:eastAsia="宋体"/>
                <w:color w:val="auto"/>
                <w:sz w:val="18"/>
                <w:szCs w:val="18"/>
              </w:rPr>
            </w:pPr>
            <w:r>
              <w:rPr>
                <w:rFonts w:eastAsia="宋体"/>
                <w:color w:val="auto"/>
                <w:sz w:val="18"/>
                <w:szCs w:val="18"/>
              </w:rPr>
              <w:t>第四纪晚更新世（</w:t>
            </w:r>
            <w:r>
              <w:rPr>
                <w:rFonts w:eastAsia="宋体"/>
                <w:i/>
                <w:iCs/>
                <w:color w:val="auto"/>
                <w:sz w:val="18"/>
                <w:szCs w:val="18"/>
              </w:rPr>
              <w:t>Q</w:t>
            </w:r>
            <w:r>
              <w:rPr>
                <w:rFonts w:eastAsia="宋体"/>
                <w:color w:val="auto"/>
                <w:sz w:val="18"/>
                <w:szCs w:val="18"/>
                <w:vertAlign w:val="subscript"/>
              </w:rPr>
              <w:t>3</w:t>
            </w:r>
            <w:r>
              <w:rPr>
                <w:rFonts w:eastAsia="宋体"/>
                <w:color w:val="auto"/>
                <w:sz w:val="18"/>
                <w:szCs w:val="18"/>
              </w:rPr>
              <w:t>）及其以前沉积的黏性土</w:t>
            </w:r>
            <w:r>
              <w:rPr>
                <w:rFonts w:hint="eastAsia" w:eastAsia="宋体"/>
                <w:color w:val="auto"/>
                <w:sz w:val="18"/>
                <w:szCs w:val="18"/>
              </w:rPr>
              <w:t>，河流冲积、洪积。</w:t>
            </w:r>
          </w:p>
        </w:tc>
      </w:tr>
      <w:tr w14:paraId="19D61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jc w:val="center"/>
        </w:trPr>
        <w:tc>
          <w:tcPr>
            <w:tcW w:w="2142" w:type="dxa"/>
            <w:gridSpan w:val="2"/>
            <w:vAlign w:val="center"/>
          </w:tcPr>
          <w:p w14:paraId="5FA15324">
            <w:pPr>
              <w:pStyle w:val="11"/>
              <w:spacing w:line="280" w:lineRule="atLeast"/>
              <w:ind w:left="-108" w:right="-108"/>
              <w:jc w:val="center"/>
              <w:rPr>
                <w:rFonts w:eastAsia="宋体"/>
                <w:color w:val="auto"/>
                <w:sz w:val="18"/>
                <w:szCs w:val="18"/>
              </w:rPr>
            </w:pPr>
            <w:r>
              <w:rPr>
                <w:rFonts w:hint="eastAsia" w:eastAsia="宋体"/>
                <w:color w:val="auto"/>
                <w:sz w:val="18"/>
                <w:szCs w:val="18"/>
              </w:rPr>
              <w:t>分布规律</w:t>
            </w:r>
          </w:p>
        </w:tc>
        <w:tc>
          <w:tcPr>
            <w:tcW w:w="7043" w:type="dxa"/>
            <w:gridSpan w:val="2"/>
            <w:vAlign w:val="center"/>
          </w:tcPr>
          <w:p w14:paraId="56827522">
            <w:pPr>
              <w:pStyle w:val="11"/>
              <w:spacing w:line="280" w:lineRule="atLeast"/>
              <w:ind w:left="-108" w:right="-108" w:firstLine="59" w:firstLineChars="33"/>
              <w:rPr>
                <w:rFonts w:eastAsia="宋体"/>
                <w:color w:val="auto"/>
                <w:sz w:val="18"/>
                <w:szCs w:val="18"/>
              </w:rPr>
            </w:pPr>
            <w:r>
              <w:rPr>
                <w:rFonts w:hint="eastAsia" w:eastAsia="宋体"/>
                <w:color w:val="auto"/>
                <w:sz w:val="18"/>
                <w:szCs w:val="18"/>
              </w:rPr>
              <w:t>多分布在丘陵、垄岗、河流高阶地等。</w:t>
            </w:r>
          </w:p>
        </w:tc>
      </w:tr>
      <w:tr w14:paraId="32930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jc w:val="center"/>
        </w:trPr>
        <w:tc>
          <w:tcPr>
            <w:tcW w:w="2142" w:type="dxa"/>
            <w:gridSpan w:val="2"/>
            <w:vAlign w:val="center"/>
          </w:tcPr>
          <w:p w14:paraId="6A15CFF6">
            <w:pPr>
              <w:pStyle w:val="11"/>
              <w:spacing w:line="280" w:lineRule="atLeast"/>
              <w:ind w:left="-108" w:right="-108"/>
              <w:jc w:val="center"/>
              <w:rPr>
                <w:rFonts w:eastAsia="宋体"/>
                <w:color w:val="auto"/>
                <w:sz w:val="18"/>
                <w:szCs w:val="18"/>
              </w:rPr>
            </w:pPr>
            <w:r>
              <w:rPr>
                <w:rFonts w:eastAsia="宋体"/>
                <w:color w:val="auto"/>
                <w:sz w:val="18"/>
                <w:szCs w:val="18"/>
              </w:rPr>
              <w:t>颜色及包含物</w:t>
            </w:r>
          </w:p>
        </w:tc>
        <w:tc>
          <w:tcPr>
            <w:tcW w:w="7043" w:type="dxa"/>
            <w:gridSpan w:val="2"/>
            <w:vAlign w:val="center"/>
          </w:tcPr>
          <w:p w14:paraId="65E3B05A">
            <w:pPr>
              <w:pStyle w:val="11"/>
              <w:spacing w:line="280" w:lineRule="atLeast"/>
              <w:ind w:left="-108" w:right="-108" w:firstLine="60" w:firstLineChars="36"/>
              <w:jc w:val="left"/>
              <w:rPr>
                <w:rFonts w:eastAsia="宋体"/>
                <w:color w:val="auto"/>
                <w:spacing w:val="-6"/>
                <w:sz w:val="18"/>
                <w:szCs w:val="18"/>
              </w:rPr>
            </w:pPr>
            <w:r>
              <w:rPr>
                <w:rFonts w:eastAsia="宋体"/>
                <w:color w:val="auto"/>
                <w:spacing w:val="-6"/>
                <w:sz w:val="18"/>
                <w:szCs w:val="18"/>
              </w:rPr>
              <w:t>颜色为黄褐色、褐黄色、褐红色、红褐色。含有铁锰质结核及高岭土条纹</w:t>
            </w:r>
            <w:r>
              <w:rPr>
                <w:rFonts w:hint="eastAsia" w:eastAsia="宋体"/>
                <w:color w:val="auto"/>
                <w:spacing w:val="-6"/>
                <w:sz w:val="18"/>
                <w:szCs w:val="18"/>
              </w:rPr>
              <w:t>、网纹等，偶含碎石</w:t>
            </w:r>
            <w:r>
              <w:rPr>
                <w:rFonts w:eastAsia="宋体"/>
                <w:color w:val="auto"/>
                <w:spacing w:val="-6"/>
                <w:sz w:val="18"/>
                <w:szCs w:val="18"/>
              </w:rPr>
              <w:t>。</w:t>
            </w:r>
          </w:p>
        </w:tc>
      </w:tr>
      <w:tr w14:paraId="35F6D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jc w:val="center"/>
        </w:trPr>
        <w:tc>
          <w:tcPr>
            <w:tcW w:w="2142" w:type="dxa"/>
            <w:gridSpan w:val="2"/>
            <w:vAlign w:val="center"/>
          </w:tcPr>
          <w:p w14:paraId="212C2046">
            <w:pPr>
              <w:pStyle w:val="11"/>
              <w:spacing w:line="280" w:lineRule="atLeast"/>
              <w:ind w:left="-108" w:right="-108"/>
              <w:jc w:val="center"/>
              <w:rPr>
                <w:rFonts w:eastAsia="宋体"/>
                <w:color w:val="auto"/>
                <w:sz w:val="18"/>
                <w:szCs w:val="18"/>
              </w:rPr>
            </w:pPr>
            <w:r>
              <w:rPr>
                <w:rFonts w:eastAsia="宋体"/>
                <w:color w:val="auto"/>
                <w:sz w:val="18"/>
                <w:szCs w:val="18"/>
              </w:rPr>
              <w:t>天然状态</w:t>
            </w:r>
          </w:p>
        </w:tc>
        <w:tc>
          <w:tcPr>
            <w:tcW w:w="2954" w:type="dxa"/>
            <w:vAlign w:val="center"/>
          </w:tcPr>
          <w:p w14:paraId="238F952D">
            <w:pPr>
              <w:pStyle w:val="11"/>
              <w:spacing w:line="280" w:lineRule="atLeast"/>
              <w:ind w:left="-108" w:right="-108"/>
              <w:jc w:val="center"/>
              <w:rPr>
                <w:rFonts w:eastAsia="宋体"/>
                <w:color w:val="auto"/>
                <w:sz w:val="18"/>
                <w:szCs w:val="18"/>
              </w:rPr>
            </w:pPr>
            <w:r>
              <w:rPr>
                <w:rFonts w:eastAsia="宋体"/>
                <w:color w:val="auto"/>
                <w:sz w:val="18"/>
                <w:szCs w:val="18"/>
              </w:rPr>
              <w:t>坚  硬</w:t>
            </w:r>
          </w:p>
        </w:tc>
        <w:tc>
          <w:tcPr>
            <w:tcW w:w="4089" w:type="dxa"/>
            <w:vAlign w:val="center"/>
          </w:tcPr>
          <w:p w14:paraId="2B584AEC">
            <w:pPr>
              <w:pStyle w:val="11"/>
              <w:spacing w:line="280" w:lineRule="atLeast"/>
              <w:ind w:left="-108" w:right="-108"/>
              <w:jc w:val="center"/>
              <w:rPr>
                <w:rFonts w:eastAsia="宋体"/>
                <w:color w:val="auto"/>
                <w:sz w:val="18"/>
                <w:szCs w:val="18"/>
              </w:rPr>
            </w:pPr>
            <w:r>
              <w:rPr>
                <w:rFonts w:eastAsia="宋体"/>
                <w:color w:val="auto"/>
                <w:sz w:val="18"/>
                <w:szCs w:val="18"/>
              </w:rPr>
              <w:t>硬  塑</w:t>
            </w:r>
          </w:p>
        </w:tc>
      </w:tr>
      <w:tr w14:paraId="59E31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jc w:val="center"/>
        </w:trPr>
        <w:tc>
          <w:tcPr>
            <w:tcW w:w="732" w:type="dxa"/>
            <w:vMerge w:val="restart"/>
            <w:vAlign w:val="center"/>
          </w:tcPr>
          <w:p w14:paraId="6234A2F6">
            <w:pPr>
              <w:pStyle w:val="11"/>
              <w:spacing w:line="240" w:lineRule="auto"/>
              <w:ind w:left="0"/>
              <w:jc w:val="center"/>
              <w:rPr>
                <w:rFonts w:eastAsia="宋体"/>
                <w:color w:val="auto"/>
                <w:sz w:val="18"/>
                <w:szCs w:val="18"/>
              </w:rPr>
            </w:pPr>
            <w:r>
              <w:rPr>
                <w:rFonts w:hint="eastAsia" w:eastAsia="宋体"/>
                <w:color w:val="auto"/>
                <w:sz w:val="18"/>
                <w:szCs w:val="18"/>
              </w:rPr>
              <w:t>野外</w:t>
            </w:r>
            <w:r>
              <w:rPr>
                <w:rFonts w:eastAsia="宋体"/>
                <w:color w:val="auto"/>
                <w:sz w:val="18"/>
                <w:szCs w:val="18"/>
              </w:rPr>
              <w:t>特征</w:t>
            </w:r>
          </w:p>
        </w:tc>
        <w:tc>
          <w:tcPr>
            <w:tcW w:w="1410" w:type="dxa"/>
            <w:vAlign w:val="center"/>
          </w:tcPr>
          <w:p w14:paraId="4D548E2B">
            <w:pPr>
              <w:pStyle w:val="11"/>
              <w:spacing w:line="240" w:lineRule="auto"/>
              <w:ind w:left="-177" w:right="-112"/>
              <w:jc w:val="center"/>
              <w:rPr>
                <w:rFonts w:eastAsia="宋体"/>
                <w:color w:val="auto"/>
                <w:sz w:val="18"/>
                <w:szCs w:val="18"/>
              </w:rPr>
            </w:pPr>
            <w:r>
              <w:rPr>
                <w:rFonts w:eastAsia="宋体"/>
                <w:color w:val="auto"/>
                <w:sz w:val="18"/>
                <w:szCs w:val="18"/>
              </w:rPr>
              <w:t>黏土</w:t>
            </w:r>
          </w:p>
        </w:tc>
        <w:tc>
          <w:tcPr>
            <w:tcW w:w="2954" w:type="dxa"/>
            <w:vAlign w:val="center"/>
          </w:tcPr>
          <w:p w14:paraId="20C731D9">
            <w:pPr>
              <w:pStyle w:val="11"/>
              <w:spacing w:line="240" w:lineRule="auto"/>
              <w:ind w:left="0"/>
              <w:jc w:val="left"/>
              <w:rPr>
                <w:rFonts w:eastAsia="宋体"/>
                <w:color w:val="auto"/>
                <w:sz w:val="18"/>
                <w:szCs w:val="18"/>
              </w:rPr>
            </w:pPr>
            <w:r>
              <w:rPr>
                <w:rFonts w:eastAsia="宋体"/>
                <w:color w:val="auto"/>
                <w:sz w:val="18"/>
                <w:szCs w:val="18"/>
              </w:rPr>
              <w:t>干而坚硬，很难掰成块</w:t>
            </w:r>
          </w:p>
        </w:tc>
        <w:tc>
          <w:tcPr>
            <w:tcW w:w="4089" w:type="dxa"/>
            <w:vAlign w:val="center"/>
          </w:tcPr>
          <w:p w14:paraId="118EF886">
            <w:pPr>
              <w:pStyle w:val="11"/>
              <w:spacing w:line="240" w:lineRule="auto"/>
              <w:ind w:left="0"/>
              <w:rPr>
                <w:rFonts w:eastAsia="宋体"/>
                <w:color w:val="auto"/>
                <w:sz w:val="18"/>
                <w:szCs w:val="18"/>
              </w:rPr>
            </w:pPr>
            <w:r>
              <w:rPr>
                <w:rFonts w:eastAsia="宋体"/>
                <w:color w:val="auto"/>
                <w:sz w:val="18"/>
                <w:szCs w:val="18"/>
              </w:rPr>
              <w:t>手捏感觉硬，不易变形，用力捏先裂成块</w:t>
            </w:r>
            <w:r>
              <w:rPr>
                <w:rFonts w:hint="eastAsia" w:eastAsia="宋体"/>
                <w:color w:val="auto"/>
                <w:sz w:val="18"/>
                <w:szCs w:val="18"/>
              </w:rPr>
              <w:t>。</w:t>
            </w:r>
          </w:p>
        </w:tc>
      </w:tr>
      <w:tr w14:paraId="2A56D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jc w:val="center"/>
        </w:trPr>
        <w:tc>
          <w:tcPr>
            <w:tcW w:w="732" w:type="dxa"/>
            <w:vMerge w:val="continue"/>
            <w:vAlign w:val="center"/>
          </w:tcPr>
          <w:p w14:paraId="14CAF0E8">
            <w:pPr>
              <w:pStyle w:val="11"/>
              <w:spacing w:line="240" w:lineRule="auto"/>
              <w:ind w:left="0"/>
              <w:jc w:val="center"/>
              <w:rPr>
                <w:rFonts w:eastAsia="宋体"/>
                <w:color w:val="auto"/>
                <w:sz w:val="18"/>
                <w:szCs w:val="18"/>
              </w:rPr>
            </w:pPr>
          </w:p>
        </w:tc>
        <w:tc>
          <w:tcPr>
            <w:tcW w:w="1410" w:type="dxa"/>
            <w:vAlign w:val="center"/>
          </w:tcPr>
          <w:p w14:paraId="3815E96B">
            <w:pPr>
              <w:pStyle w:val="11"/>
              <w:spacing w:line="240" w:lineRule="auto"/>
              <w:ind w:left="0"/>
              <w:jc w:val="center"/>
              <w:rPr>
                <w:rFonts w:eastAsia="宋体"/>
                <w:color w:val="auto"/>
                <w:sz w:val="18"/>
                <w:szCs w:val="18"/>
              </w:rPr>
            </w:pPr>
            <w:r>
              <w:rPr>
                <w:rFonts w:eastAsia="宋体"/>
                <w:color w:val="auto"/>
                <w:sz w:val="18"/>
                <w:szCs w:val="18"/>
              </w:rPr>
              <w:t>粉质黏土</w:t>
            </w:r>
          </w:p>
        </w:tc>
        <w:tc>
          <w:tcPr>
            <w:tcW w:w="2954" w:type="dxa"/>
            <w:vAlign w:val="center"/>
          </w:tcPr>
          <w:p w14:paraId="518E179A">
            <w:pPr>
              <w:pStyle w:val="11"/>
              <w:spacing w:line="240" w:lineRule="auto"/>
              <w:ind w:left="0"/>
              <w:rPr>
                <w:rFonts w:eastAsia="宋体"/>
                <w:color w:val="auto"/>
                <w:sz w:val="18"/>
                <w:szCs w:val="18"/>
              </w:rPr>
            </w:pPr>
            <w:r>
              <w:rPr>
                <w:rFonts w:eastAsia="宋体"/>
                <w:color w:val="auto"/>
                <w:sz w:val="18"/>
                <w:szCs w:val="18"/>
              </w:rPr>
              <w:t>干硬，能掰开或捏成块，有棱角</w:t>
            </w:r>
          </w:p>
        </w:tc>
        <w:tc>
          <w:tcPr>
            <w:tcW w:w="4089" w:type="dxa"/>
            <w:vAlign w:val="center"/>
          </w:tcPr>
          <w:p w14:paraId="7EFEFAB6">
            <w:pPr>
              <w:pStyle w:val="11"/>
              <w:spacing w:line="240" w:lineRule="auto"/>
              <w:ind w:left="0"/>
              <w:rPr>
                <w:rFonts w:eastAsia="宋体"/>
                <w:color w:val="auto"/>
                <w:sz w:val="18"/>
                <w:szCs w:val="18"/>
              </w:rPr>
            </w:pPr>
            <w:r>
              <w:rPr>
                <w:rFonts w:eastAsia="宋体"/>
                <w:color w:val="auto"/>
                <w:sz w:val="18"/>
                <w:szCs w:val="18"/>
              </w:rPr>
              <w:t>手捏感觉硬，不易变形，土块用力捏散成碎块，手按无指印。</w:t>
            </w:r>
          </w:p>
        </w:tc>
      </w:tr>
    </w:tbl>
    <w:p w14:paraId="476E96CE">
      <w:pPr>
        <w:adjustRightInd w:val="0"/>
        <w:snapToGrid w:val="0"/>
        <w:spacing w:before="240" w:line="340" w:lineRule="atLeast"/>
        <w:jc w:val="center"/>
        <w:rPr>
          <w:rFonts w:eastAsia="黑体"/>
          <w:b/>
          <w:color w:val="auto"/>
          <w:szCs w:val="21"/>
        </w:rPr>
      </w:pPr>
      <w:r>
        <w:rPr>
          <w:rFonts w:eastAsia="黑体"/>
          <w:b/>
          <w:color w:val="auto"/>
          <w:szCs w:val="21"/>
        </w:rPr>
        <w:t>表A.6  新近沉积的黏性土的现场鉴别</w:t>
      </w:r>
    </w:p>
    <w:tbl>
      <w:tblPr>
        <w:tblStyle w:val="36"/>
        <w:tblW w:w="91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45"/>
        <w:gridCol w:w="7435"/>
      </w:tblGrid>
      <w:tr w14:paraId="12673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745" w:type="dxa"/>
            <w:vAlign w:val="center"/>
          </w:tcPr>
          <w:p w14:paraId="3B6FC2BB">
            <w:pPr>
              <w:pStyle w:val="11"/>
              <w:spacing w:line="240" w:lineRule="auto"/>
              <w:ind w:left="-108" w:right="-108"/>
              <w:jc w:val="center"/>
              <w:rPr>
                <w:rFonts w:eastAsia="宋体"/>
                <w:color w:val="auto"/>
                <w:sz w:val="18"/>
                <w:szCs w:val="18"/>
              </w:rPr>
            </w:pPr>
            <w:r>
              <w:rPr>
                <w:rFonts w:eastAsia="宋体"/>
                <w:color w:val="auto"/>
                <w:sz w:val="18"/>
                <w:szCs w:val="18"/>
              </w:rPr>
              <w:t>鉴别项目</w:t>
            </w:r>
          </w:p>
        </w:tc>
        <w:tc>
          <w:tcPr>
            <w:tcW w:w="7435" w:type="dxa"/>
            <w:vAlign w:val="center"/>
          </w:tcPr>
          <w:p w14:paraId="6D2B12C3">
            <w:pPr>
              <w:pStyle w:val="11"/>
              <w:spacing w:line="240" w:lineRule="auto"/>
              <w:ind w:left="-108" w:right="-108"/>
              <w:jc w:val="center"/>
              <w:rPr>
                <w:rFonts w:eastAsia="宋体"/>
                <w:color w:val="auto"/>
                <w:sz w:val="18"/>
                <w:szCs w:val="18"/>
              </w:rPr>
            </w:pPr>
            <w:r>
              <w:rPr>
                <w:rFonts w:eastAsia="宋体"/>
                <w:color w:val="auto"/>
                <w:sz w:val="18"/>
                <w:szCs w:val="18"/>
              </w:rPr>
              <w:t>特 征</w:t>
            </w:r>
          </w:p>
        </w:tc>
      </w:tr>
      <w:tr w14:paraId="2CF97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745" w:type="dxa"/>
            <w:vAlign w:val="center"/>
          </w:tcPr>
          <w:p w14:paraId="044DEC38">
            <w:pPr>
              <w:pStyle w:val="11"/>
              <w:spacing w:line="240" w:lineRule="auto"/>
              <w:ind w:left="0"/>
              <w:jc w:val="center"/>
              <w:rPr>
                <w:rFonts w:eastAsia="宋体"/>
                <w:color w:val="auto"/>
                <w:sz w:val="18"/>
                <w:szCs w:val="18"/>
              </w:rPr>
            </w:pPr>
            <w:r>
              <w:rPr>
                <w:rFonts w:eastAsia="宋体"/>
                <w:color w:val="auto"/>
                <w:sz w:val="18"/>
                <w:szCs w:val="18"/>
              </w:rPr>
              <w:t>沉积环境</w:t>
            </w:r>
          </w:p>
        </w:tc>
        <w:tc>
          <w:tcPr>
            <w:tcW w:w="7435" w:type="dxa"/>
            <w:vAlign w:val="center"/>
          </w:tcPr>
          <w:p w14:paraId="2C084231">
            <w:pPr>
              <w:pStyle w:val="11"/>
              <w:spacing w:line="240" w:lineRule="auto"/>
              <w:ind w:left="0"/>
              <w:rPr>
                <w:rFonts w:eastAsia="宋体"/>
                <w:color w:val="auto"/>
                <w:sz w:val="18"/>
                <w:szCs w:val="18"/>
              </w:rPr>
            </w:pPr>
            <w:r>
              <w:rPr>
                <w:rFonts w:eastAsia="宋体"/>
                <w:color w:val="auto"/>
                <w:sz w:val="18"/>
                <w:szCs w:val="18"/>
              </w:rPr>
              <w:t>河漫滩和山前洪冲积扇（锥）的表层；古河道；已堆塞的湖、塘、沟、谷；河道泛滥区：</w:t>
            </w:r>
          </w:p>
        </w:tc>
      </w:tr>
      <w:tr w14:paraId="4473B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745" w:type="dxa"/>
            <w:vAlign w:val="center"/>
          </w:tcPr>
          <w:p w14:paraId="501DBD77">
            <w:pPr>
              <w:pStyle w:val="11"/>
              <w:spacing w:line="300" w:lineRule="atLeast"/>
              <w:ind w:left="0"/>
              <w:jc w:val="center"/>
              <w:rPr>
                <w:rFonts w:eastAsia="宋体"/>
                <w:color w:val="auto"/>
                <w:sz w:val="18"/>
                <w:szCs w:val="18"/>
              </w:rPr>
            </w:pPr>
            <w:r>
              <w:rPr>
                <w:rFonts w:eastAsia="宋体"/>
                <w:color w:val="auto"/>
                <w:sz w:val="18"/>
                <w:szCs w:val="18"/>
              </w:rPr>
              <w:t>颜色</w:t>
            </w:r>
          </w:p>
        </w:tc>
        <w:tc>
          <w:tcPr>
            <w:tcW w:w="7435" w:type="dxa"/>
            <w:vAlign w:val="center"/>
          </w:tcPr>
          <w:p w14:paraId="7EAF7978">
            <w:pPr>
              <w:pStyle w:val="11"/>
              <w:spacing w:line="240" w:lineRule="auto"/>
              <w:ind w:left="0"/>
              <w:rPr>
                <w:rFonts w:eastAsia="宋体"/>
                <w:color w:val="auto"/>
                <w:sz w:val="18"/>
                <w:szCs w:val="18"/>
              </w:rPr>
            </w:pPr>
            <w:r>
              <w:rPr>
                <w:rFonts w:eastAsia="宋体"/>
                <w:color w:val="auto"/>
                <w:sz w:val="18"/>
                <w:szCs w:val="18"/>
              </w:rPr>
              <w:t>颜色较深暗，呈褐、暗黄或灰色，含有机物质较多时带灰黑色；一般呈黄褐色</w:t>
            </w:r>
          </w:p>
        </w:tc>
      </w:tr>
      <w:tr w14:paraId="23F16A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745" w:type="dxa"/>
            <w:vAlign w:val="center"/>
          </w:tcPr>
          <w:p w14:paraId="2D475CCC">
            <w:pPr>
              <w:pStyle w:val="11"/>
              <w:spacing w:line="240" w:lineRule="auto"/>
              <w:ind w:left="0"/>
              <w:jc w:val="center"/>
              <w:rPr>
                <w:rFonts w:eastAsia="宋体"/>
                <w:color w:val="auto"/>
                <w:sz w:val="18"/>
                <w:szCs w:val="18"/>
              </w:rPr>
            </w:pPr>
            <w:r>
              <w:rPr>
                <w:rFonts w:eastAsia="宋体"/>
                <w:color w:val="auto"/>
                <w:sz w:val="18"/>
                <w:szCs w:val="18"/>
              </w:rPr>
              <w:t>结构</w:t>
            </w:r>
            <w:r>
              <w:rPr>
                <w:rFonts w:hint="eastAsia" w:eastAsia="宋体"/>
                <w:color w:val="auto"/>
                <w:sz w:val="18"/>
                <w:szCs w:val="18"/>
              </w:rPr>
              <w:t>及状态</w:t>
            </w:r>
          </w:p>
        </w:tc>
        <w:tc>
          <w:tcPr>
            <w:tcW w:w="7435" w:type="dxa"/>
            <w:vAlign w:val="center"/>
          </w:tcPr>
          <w:p w14:paraId="35C106F1">
            <w:pPr>
              <w:pStyle w:val="11"/>
              <w:spacing w:line="240" w:lineRule="auto"/>
              <w:ind w:left="0"/>
              <w:rPr>
                <w:rFonts w:eastAsia="宋体"/>
                <w:color w:val="auto"/>
                <w:sz w:val="18"/>
                <w:szCs w:val="18"/>
              </w:rPr>
            </w:pPr>
            <w:r>
              <w:rPr>
                <w:rFonts w:eastAsia="宋体"/>
                <w:color w:val="auto"/>
                <w:sz w:val="18"/>
                <w:szCs w:val="18"/>
              </w:rPr>
              <w:t>结构性差，用手扰动原状土时极易变软，塑性较低的土还有震动水析现象</w:t>
            </w:r>
            <w:r>
              <w:rPr>
                <w:rFonts w:hint="eastAsia" w:eastAsia="宋体"/>
                <w:color w:val="auto"/>
                <w:sz w:val="18"/>
                <w:szCs w:val="18"/>
              </w:rPr>
              <w:t>，淤泥及淤泥质土呈流塑状。</w:t>
            </w:r>
          </w:p>
        </w:tc>
      </w:tr>
      <w:tr w14:paraId="3C7E7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745" w:type="dxa"/>
            <w:vAlign w:val="center"/>
          </w:tcPr>
          <w:p w14:paraId="2FD87CBF">
            <w:pPr>
              <w:pStyle w:val="11"/>
              <w:spacing w:line="240" w:lineRule="auto"/>
              <w:ind w:left="0"/>
              <w:jc w:val="center"/>
              <w:rPr>
                <w:rFonts w:eastAsia="宋体"/>
                <w:color w:val="auto"/>
                <w:sz w:val="18"/>
                <w:szCs w:val="18"/>
              </w:rPr>
            </w:pPr>
            <w:r>
              <w:rPr>
                <w:rFonts w:eastAsia="宋体"/>
                <w:color w:val="auto"/>
                <w:sz w:val="18"/>
                <w:szCs w:val="18"/>
              </w:rPr>
              <w:t>含有物</w:t>
            </w:r>
          </w:p>
        </w:tc>
        <w:tc>
          <w:tcPr>
            <w:tcW w:w="7435" w:type="dxa"/>
            <w:vAlign w:val="center"/>
          </w:tcPr>
          <w:p w14:paraId="7269B5A5">
            <w:pPr>
              <w:pStyle w:val="11"/>
              <w:spacing w:line="240" w:lineRule="auto"/>
              <w:ind w:left="0"/>
              <w:rPr>
                <w:rFonts w:eastAsia="宋体"/>
                <w:color w:val="auto"/>
                <w:sz w:val="18"/>
                <w:szCs w:val="18"/>
              </w:rPr>
            </w:pPr>
            <w:r>
              <w:rPr>
                <w:rFonts w:eastAsia="宋体"/>
                <w:color w:val="auto"/>
                <w:sz w:val="18"/>
                <w:szCs w:val="18"/>
              </w:rPr>
              <w:t>完整的剖面中无原生的粒状结核体，但可能含有圆形或亚圆形的钙质结核体（如姜结石）或贝壳等；在城镇附近可能含有少量碎砖、瓦片、陶瓷、铜币或朽木等人类活动的遗物。</w:t>
            </w:r>
          </w:p>
        </w:tc>
      </w:tr>
    </w:tbl>
    <w:p w14:paraId="6FC4C309">
      <w:pPr>
        <w:widowControl/>
        <w:jc w:val="left"/>
        <w:rPr>
          <w:color w:val="auto"/>
          <w:sz w:val="28"/>
          <w:szCs w:val="20"/>
        </w:rPr>
      </w:pPr>
    </w:p>
    <w:p w14:paraId="0D7639D1">
      <w:pPr>
        <w:widowControl/>
        <w:jc w:val="left"/>
        <w:rPr>
          <w:color w:val="auto"/>
          <w:sz w:val="28"/>
          <w:szCs w:val="20"/>
        </w:rPr>
      </w:pPr>
    </w:p>
    <w:p w14:paraId="1678B9C6">
      <w:pPr>
        <w:adjustRightInd w:val="0"/>
        <w:snapToGrid w:val="0"/>
        <w:spacing w:before="240" w:line="340" w:lineRule="atLeast"/>
        <w:jc w:val="center"/>
        <w:rPr>
          <w:rFonts w:eastAsia="黑体"/>
          <w:b/>
          <w:color w:val="auto"/>
          <w:szCs w:val="21"/>
        </w:rPr>
      </w:pPr>
      <w:r>
        <w:rPr>
          <w:rFonts w:eastAsia="黑体"/>
          <w:b/>
          <w:color w:val="auto"/>
          <w:szCs w:val="21"/>
        </w:rPr>
        <w:t>表A.7  红黏土的现场鉴别</w:t>
      </w:r>
    </w:p>
    <w:tbl>
      <w:tblPr>
        <w:tblStyle w:val="36"/>
        <w:tblW w:w="92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0"/>
        <w:gridCol w:w="7449"/>
      </w:tblGrid>
      <w:tr w14:paraId="67FBE1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05971CA9">
            <w:pPr>
              <w:pStyle w:val="11"/>
              <w:spacing w:line="260" w:lineRule="atLeast"/>
              <w:ind w:left="-108" w:right="-108"/>
              <w:jc w:val="center"/>
              <w:rPr>
                <w:rFonts w:eastAsia="宋体"/>
                <w:color w:val="auto"/>
                <w:sz w:val="18"/>
                <w:szCs w:val="18"/>
              </w:rPr>
            </w:pPr>
            <w:r>
              <w:rPr>
                <w:rFonts w:eastAsia="宋体"/>
                <w:color w:val="auto"/>
                <w:sz w:val="18"/>
                <w:szCs w:val="18"/>
              </w:rPr>
              <w:t>鉴别项目</w:t>
            </w:r>
          </w:p>
        </w:tc>
        <w:tc>
          <w:tcPr>
            <w:tcW w:w="7449" w:type="dxa"/>
            <w:vAlign w:val="center"/>
          </w:tcPr>
          <w:p w14:paraId="6DFDD86B">
            <w:pPr>
              <w:pStyle w:val="11"/>
              <w:spacing w:line="260" w:lineRule="atLeast"/>
              <w:ind w:left="-108" w:right="-108"/>
              <w:jc w:val="center"/>
              <w:rPr>
                <w:rFonts w:eastAsia="宋体"/>
                <w:color w:val="auto"/>
                <w:sz w:val="18"/>
                <w:szCs w:val="18"/>
              </w:rPr>
            </w:pPr>
            <w:r>
              <w:rPr>
                <w:rFonts w:eastAsia="宋体"/>
                <w:color w:val="auto"/>
                <w:sz w:val="18"/>
                <w:szCs w:val="18"/>
              </w:rPr>
              <w:t>特       征</w:t>
            </w:r>
          </w:p>
        </w:tc>
      </w:tr>
      <w:tr w14:paraId="0A277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25A0F84E">
            <w:pPr>
              <w:pStyle w:val="11"/>
              <w:spacing w:line="260" w:lineRule="atLeast"/>
              <w:ind w:left="0"/>
              <w:jc w:val="center"/>
              <w:rPr>
                <w:rFonts w:eastAsia="宋体"/>
                <w:color w:val="auto"/>
                <w:sz w:val="18"/>
                <w:szCs w:val="18"/>
              </w:rPr>
            </w:pPr>
            <w:r>
              <w:rPr>
                <w:rFonts w:eastAsia="宋体"/>
                <w:color w:val="auto"/>
                <w:sz w:val="18"/>
                <w:szCs w:val="18"/>
              </w:rPr>
              <w:t>颜</w:t>
            </w:r>
            <w:r>
              <w:rPr>
                <w:rFonts w:hint="eastAsia" w:eastAsia="宋体"/>
                <w:color w:val="auto"/>
                <w:sz w:val="18"/>
                <w:szCs w:val="18"/>
              </w:rPr>
              <w:t xml:space="preserve"> </w:t>
            </w:r>
            <w:r>
              <w:rPr>
                <w:rFonts w:eastAsia="宋体"/>
                <w:color w:val="auto"/>
                <w:sz w:val="18"/>
                <w:szCs w:val="18"/>
              </w:rPr>
              <w:t xml:space="preserve">色 </w:t>
            </w:r>
          </w:p>
        </w:tc>
        <w:tc>
          <w:tcPr>
            <w:tcW w:w="7449" w:type="dxa"/>
            <w:vAlign w:val="center"/>
          </w:tcPr>
          <w:p w14:paraId="3576C96F">
            <w:pPr>
              <w:pStyle w:val="11"/>
              <w:spacing w:line="260" w:lineRule="atLeast"/>
              <w:ind w:left="0"/>
              <w:rPr>
                <w:rFonts w:eastAsia="宋体"/>
                <w:color w:val="auto"/>
                <w:sz w:val="18"/>
                <w:szCs w:val="18"/>
              </w:rPr>
            </w:pPr>
            <w:r>
              <w:rPr>
                <w:rFonts w:ascii="F4" w:hAnsi="F4" w:eastAsia="F4" w:cs="F4"/>
                <w:color w:val="auto"/>
                <w:kern w:val="0"/>
                <w:sz w:val="18"/>
                <w:szCs w:val="18"/>
                <w:lang w:bidi="ar"/>
              </w:rPr>
              <w:t>棕红色或褐黄色</w:t>
            </w:r>
          </w:p>
        </w:tc>
      </w:tr>
      <w:tr w14:paraId="1E27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796975FF">
            <w:pPr>
              <w:pStyle w:val="11"/>
              <w:spacing w:line="260" w:lineRule="atLeast"/>
              <w:ind w:left="0"/>
              <w:jc w:val="center"/>
              <w:rPr>
                <w:rFonts w:eastAsia="宋体"/>
                <w:color w:val="auto"/>
                <w:sz w:val="18"/>
                <w:szCs w:val="18"/>
              </w:rPr>
            </w:pPr>
            <w:r>
              <w:rPr>
                <w:rFonts w:eastAsia="宋体"/>
                <w:color w:val="auto"/>
                <w:sz w:val="18"/>
                <w:szCs w:val="18"/>
              </w:rPr>
              <w:t>母岩岩性</w:t>
            </w:r>
          </w:p>
        </w:tc>
        <w:tc>
          <w:tcPr>
            <w:tcW w:w="7449" w:type="dxa"/>
            <w:vAlign w:val="center"/>
          </w:tcPr>
          <w:p w14:paraId="7FD5B7A6">
            <w:pPr>
              <w:pStyle w:val="11"/>
              <w:spacing w:line="260" w:lineRule="atLeast"/>
              <w:ind w:left="0"/>
              <w:rPr>
                <w:rFonts w:eastAsia="宋体"/>
                <w:color w:val="auto"/>
                <w:sz w:val="18"/>
                <w:szCs w:val="18"/>
              </w:rPr>
            </w:pPr>
            <w:r>
              <w:rPr>
                <w:rFonts w:ascii="F4" w:hAnsi="F4" w:eastAsia="F4" w:cs="F4"/>
                <w:color w:val="auto"/>
                <w:kern w:val="0"/>
                <w:sz w:val="18"/>
                <w:szCs w:val="18"/>
                <w:lang w:bidi="ar"/>
              </w:rPr>
              <w:t>主要为石灰岩、白云岩等碳酸岩类岩石，岩层褶皱剧烈，岩石较破碎，易风化残积。</w:t>
            </w:r>
          </w:p>
        </w:tc>
      </w:tr>
      <w:tr w14:paraId="6AB1E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440EF832">
            <w:pPr>
              <w:pStyle w:val="11"/>
              <w:spacing w:line="240" w:lineRule="auto"/>
              <w:ind w:left="0"/>
              <w:jc w:val="center"/>
              <w:rPr>
                <w:rFonts w:eastAsia="宋体"/>
                <w:color w:val="auto"/>
                <w:sz w:val="18"/>
                <w:szCs w:val="18"/>
              </w:rPr>
            </w:pPr>
            <w:r>
              <w:rPr>
                <w:rFonts w:eastAsia="宋体"/>
                <w:color w:val="auto"/>
                <w:sz w:val="18"/>
                <w:szCs w:val="18"/>
              </w:rPr>
              <w:t>土体结构与裂隙发育</w:t>
            </w:r>
          </w:p>
        </w:tc>
        <w:tc>
          <w:tcPr>
            <w:tcW w:w="7449" w:type="dxa"/>
            <w:vAlign w:val="center"/>
          </w:tcPr>
          <w:p w14:paraId="5870E6EB">
            <w:pPr>
              <w:pStyle w:val="11"/>
              <w:spacing w:line="240" w:lineRule="auto"/>
              <w:ind w:left="0"/>
              <w:rPr>
                <w:rFonts w:eastAsia="宋体"/>
                <w:color w:val="auto"/>
                <w:sz w:val="18"/>
                <w:szCs w:val="18"/>
              </w:rPr>
            </w:pPr>
            <w:r>
              <w:rPr>
                <w:rFonts w:ascii="宋体" w:hAnsi="宋体" w:eastAsia="宋体" w:cs="宋体"/>
                <w:color w:val="auto"/>
                <w:kern w:val="0"/>
                <w:sz w:val="18"/>
                <w:szCs w:val="18"/>
                <w:lang w:bidi="ar"/>
              </w:rPr>
              <w:t>致密状的：偶见裂隙（&lt;1 条/ m）；巨块状的：较多裂隙（1～5 条/ m）；碎块状的：富裂隙（&gt;5 条/ m）。</w:t>
            </w:r>
          </w:p>
        </w:tc>
      </w:tr>
      <w:tr w14:paraId="4226D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476CB4FF">
            <w:pPr>
              <w:pStyle w:val="11"/>
              <w:spacing w:line="240" w:lineRule="auto"/>
              <w:ind w:left="0"/>
              <w:jc w:val="center"/>
              <w:rPr>
                <w:rFonts w:eastAsia="宋体"/>
                <w:color w:val="auto"/>
                <w:sz w:val="18"/>
                <w:szCs w:val="18"/>
              </w:rPr>
            </w:pPr>
            <w:r>
              <w:rPr>
                <w:rFonts w:ascii="F4" w:hAnsi="F4" w:eastAsia="F4" w:cs="F4"/>
                <w:color w:val="auto"/>
                <w:kern w:val="0"/>
                <w:sz w:val="18"/>
                <w:szCs w:val="18"/>
                <w:lang w:bidi="ar"/>
              </w:rPr>
              <w:t>土体状态与压缩性</w:t>
            </w:r>
          </w:p>
        </w:tc>
        <w:tc>
          <w:tcPr>
            <w:tcW w:w="7449" w:type="dxa"/>
            <w:vAlign w:val="center"/>
          </w:tcPr>
          <w:p w14:paraId="0E0B58F9">
            <w:pPr>
              <w:pStyle w:val="11"/>
              <w:spacing w:line="240" w:lineRule="auto"/>
              <w:ind w:left="0"/>
              <w:rPr>
                <w:rFonts w:eastAsia="宋体"/>
                <w:color w:val="auto"/>
                <w:sz w:val="18"/>
                <w:szCs w:val="18"/>
              </w:rPr>
            </w:pPr>
            <w:r>
              <w:rPr>
                <w:rFonts w:ascii="F4" w:hAnsi="F4" w:eastAsia="F4" w:cs="F4"/>
                <w:color w:val="auto"/>
                <w:kern w:val="0"/>
                <w:sz w:val="18"/>
                <w:szCs w:val="18"/>
                <w:lang w:bidi="ar"/>
              </w:rPr>
              <w:t>具有表面收缩，上硬下软特性。地下水位以上的土强度高；地下水位以下一般呈可塑、软塑或流塑状态，强度低、压缩性高。</w:t>
            </w:r>
          </w:p>
        </w:tc>
      </w:tr>
      <w:tr w14:paraId="5F4A0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760" w:type="dxa"/>
            <w:vAlign w:val="center"/>
          </w:tcPr>
          <w:p w14:paraId="00E1B67B">
            <w:pPr>
              <w:pStyle w:val="11"/>
              <w:spacing w:line="300" w:lineRule="atLeast"/>
              <w:ind w:left="0"/>
              <w:jc w:val="center"/>
              <w:rPr>
                <w:rFonts w:eastAsia="宋体"/>
                <w:color w:val="auto"/>
                <w:sz w:val="18"/>
                <w:szCs w:val="18"/>
              </w:rPr>
            </w:pPr>
            <w:r>
              <w:rPr>
                <w:rFonts w:eastAsia="宋体"/>
                <w:color w:val="auto"/>
                <w:sz w:val="18"/>
                <w:szCs w:val="18"/>
              </w:rPr>
              <w:t>分布规律</w:t>
            </w:r>
          </w:p>
        </w:tc>
        <w:tc>
          <w:tcPr>
            <w:tcW w:w="7449" w:type="dxa"/>
            <w:vAlign w:val="center"/>
          </w:tcPr>
          <w:p w14:paraId="51C1D776">
            <w:pPr>
              <w:pStyle w:val="11"/>
              <w:spacing w:line="240" w:lineRule="auto"/>
              <w:ind w:left="0"/>
              <w:rPr>
                <w:rFonts w:eastAsia="宋体"/>
                <w:color w:val="auto"/>
                <w:sz w:val="18"/>
                <w:szCs w:val="18"/>
              </w:rPr>
            </w:pPr>
            <w:r>
              <w:rPr>
                <w:rFonts w:ascii="F4" w:hAnsi="F4" w:eastAsia="F4" w:cs="F4"/>
                <w:color w:val="auto"/>
                <w:kern w:val="0"/>
                <w:sz w:val="18"/>
                <w:szCs w:val="18"/>
                <w:lang w:bidi="ar"/>
              </w:rPr>
              <w:t>覆盖于碳酸岩系之上，多分布在山区或丘陵地带，见于山坡、山麓、盆地或洼地中，其厚度取受基岩的起伏影响，一般是低处厚，高处簿，变化极大。</w:t>
            </w:r>
          </w:p>
        </w:tc>
      </w:tr>
    </w:tbl>
    <w:p w14:paraId="213027DB">
      <w:pPr>
        <w:adjustRightInd w:val="0"/>
        <w:snapToGrid w:val="0"/>
        <w:spacing w:before="240" w:line="360" w:lineRule="atLeast"/>
        <w:jc w:val="center"/>
        <w:rPr>
          <w:rFonts w:eastAsia="黑体"/>
          <w:b/>
          <w:color w:val="auto"/>
        </w:rPr>
      </w:pPr>
    </w:p>
    <w:p w14:paraId="078884E5">
      <w:pPr>
        <w:adjustRightInd w:val="0"/>
        <w:snapToGrid w:val="0"/>
        <w:spacing w:line="340" w:lineRule="atLeast"/>
        <w:jc w:val="center"/>
        <w:rPr>
          <w:rFonts w:eastAsia="黑体"/>
          <w:b/>
          <w:color w:val="auto"/>
          <w:szCs w:val="21"/>
        </w:rPr>
      </w:pPr>
      <w:r>
        <w:rPr>
          <w:rFonts w:eastAsia="黑体"/>
          <w:b/>
          <w:color w:val="auto"/>
          <w:szCs w:val="21"/>
        </w:rPr>
        <w:t>表A.8  膨胀土的现场鉴别</w:t>
      </w:r>
    </w:p>
    <w:tbl>
      <w:tblPr>
        <w:tblStyle w:val="36"/>
        <w:tblW w:w="91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36"/>
        <w:gridCol w:w="6867"/>
      </w:tblGrid>
      <w:tr w14:paraId="0F7C5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9" w:hRule="atLeast"/>
          <w:jc w:val="center"/>
        </w:trPr>
        <w:tc>
          <w:tcPr>
            <w:tcW w:w="2236" w:type="dxa"/>
            <w:vAlign w:val="center"/>
          </w:tcPr>
          <w:p w14:paraId="70DDBE1F">
            <w:pPr>
              <w:pStyle w:val="11"/>
              <w:spacing w:line="300" w:lineRule="atLeast"/>
              <w:ind w:left="-108" w:right="-108"/>
              <w:jc w:val="center"/>
              <w:rPr>
                <w:rFonts w:eastAsia="宋体"/>
                <w:color w:val="auto"/>
                <w:sz w:val="18"/>
                <w:szCs w:val="18"/>
              </w:rPr>
            </w:pPr>
            <w:r>
              <w:rPr>
                <w:rFonts w:eastAsia="宋体"/>
                <w:color w:val="auto"/>
                <w:sz w:val="18"/>
                <w:szCs w:val="18"/>
              </w:rPr>
              <w:t>鉴别项目</w:t>
            </w:r>
          </w:p>
        </w:tc>
        <w:tc>
          <w:tcPr>
            <w:tcW w:w="6867" w:type="dxa"/>
            <w:vAlign w:val="center"/>
          </w:tcPr>
          <w:p w14:paraId="4126CD10">
            <w:pPr>
              <w:pStyle w:val="11"/>
              <w:spacing w:line="300" w:lineRule="atLeast"/>
              <w:ind w:left="-108" w:right="-108"/>
              <w:jc w:val="center"/>
              <w:rPr>
                <w:rFonts w:eastAsia="宋体"/>
                <w:color w:val="auto"/>
                <w:sz w:val="18"/>
                <w:szCs w:val="18"/>
              </w:rPr>
            </w:pPr>
            <w:r>
              <w:rPr>
                <w:rFonts w:eastAsia="宋体"/>
                <w:color w:val="auto"/>
                <w:sz w:val="18"/>
                <w:szCs w:val="18"/>
              </w:rPr>
              <w:t>特     征</w:t>
            </w:r>
          </w:p>
        </w:tc>
      </w:tr>
      <w:tr w14:paraId="05600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2236" w:type="dxa"/>
            <w:vAlign w:val="center"/>
          </w:tcPr>
          <w:p w14:paraId="5F84CE0A">
            <w:pPr>
              <w:pStyle w:val="11"/>
              <w:spacing w:line="240" w:lineRule="auto"/>
              <w:ind w:left="0"/>
              <w:jc w:val="center"/>
              <w:rPr>
                <w:rFonts w:eastAsia="宋体"/>
                <w:color w:val="auto"/>
                <w:sz w:val="18"/>
                <w:szCs w:val="18"/>
              </w:rPr>
            </w:pPr>
            <w:r>
              <w:rPr>
                <w:rFonts w:eastAsia="宋体"/>
                <w:color w:val="auto"/>
                <w:sz w:val="18"/>
                <w:szCs w:val="18"/>
              </w:rPr>
              <w:t>分布规律</w:t>
            </w:r>
          </w:p>
        </w:tc>
        <w:tc>
          <w:tcPr>
            <w:tcW w:w="6867" w:type="dxa"/>
            <w:vAlign w:val="center"/>
          </w:tcPr>
          <w:p w14:paraId="0F13E64E">
            <w:pPr>
              <w:pStyle w:val="11"/>
              <w:spacing w:line="240" w:lineRule="auto"/>
              <w:ind w:left="0"/>
              <w:rPr>
                <w:rFonts w:eastAsia="宋体"/>
                <w:color w:val="auto"/>
                <w:sz w:val="18"/>
                <w:szCs w:val="18"/>
              </w:rPr>
            </w:pPr>
            <w:r>
              <w:rPr>
                <w:rFonts w:eastAsia="宋体"/>
                <w:color w:val="auto"/>
                <w:sz w:val="18"/>
                <w:szCs w:val="18"/>
              </w:rPr>
              <w:t>分布于盆地的边缘和较高级的阶地上、下接湖积或冲积平原，上邻丘陵山地：在堆积时代上多属更新世，在成因类型上冲积、坡积和残积均有</w:t>
            </w:r>
          </w:p>
        </w:tc>
      </w:tr>
      <w:tr w14:paraId="0C77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2236" w:type="dxa"/>
            <w:vAlign w:val="center"/>
          </w:tcPr>
          <w:p w14:paraId="4F7E1C5C">
            <w:pPr>
              <w:pStyle w:val="11"/>
              <w:spacing w:line="240" w:lineRule="atLeast"/>
              <w:ind w:left="0"/>
              <w:jc w:val="center"/>
              <w:rPr>
                <w:rFonts w:eastAsia="宋体"/>
                <w:color w:val="auto"/>
                <w:sz w:val="18"/>
                <w:szCs w:val="18"/>
              </w:rPr>
            </w:pPr>
            <w:r>
              <w:rPr>
                <w:rFonts w:eastAsia="宋体"/>
                <w:color w:val="auto"/>
                <w:sz w:val="18"/>
                <w:szCs w:val="18"/>
              </w:rPr>
              <w:t>矿物成份</w:t>
            </w:r>
          </w:p>
        </w:tc>
        <w:tc>
          <w:tcPr>
            <w:tcW w:w="6867" w:type="dxa"/>
            <w:vAlign w:val="center"/>
          </w:tcPr>
          <w:p w14:paraId="1490B49C">
            <w:pPr>
              <w:pStyle w:val="11"/>
              <w:spacing w:line="240" w:lineRule="atLeast"/>
              <w:ind w:left="0"/>
              <w:rPr>
                <w:rFonts w:eastAsia="宋体"/>
                <w:color w:val="auto"/>
                <w:sz w:val="18"/>
                <w:szCs w:val="18"/>
              </w:rPr>
            </w:pPr>
            <w:r>
              <w:rPr>
                <w:rFonts w:eastAsia="宋体"/>
                <w:color w:val="auto"/>
                <w:sz w:val="18"/>
                <w:szCs w:val="18"/>
              </w:rPr>
              <w:t>含多量的蒙脱石、伊利石（水云母）、多水高岭土等（</w:t>
            </w:r>
            <w:r>
              <w:rPr>
                <w:rFonts w:hint="eastAsia" w:eastAsia="宋体"/>
                <w:color w:val="auto"/>
                <w:sz w:val="18"/>
                <w:szCs w:val="18"/>
              </w:rPr>
              <w:t>化学成分</w:t>
            </w:r>
            <w:r>
              <w:rPr>
                <w:rFonts w:eastAsia="宋体"/>
                <w:color w:val="auto"/>
                <w:sz w:val="18"/>
                <w:szCs w:val="18"/>
              </w:rPr>
              <w:t>以SiO</w:t>
            </w:r>
            <w:r>
              <w:rPr>
                <w:rFonts w:eastAsia="宋体"/>
                <w:color w:val="auto"/>
                <w:sz w:val="18"/>
                <w:szCs w:val="18"/>
                <w:vertAlign w:val="subscript"/>
              </w:rPr>
              <w:t>2</w:t>
            </w:r>
            <w:r>
              <w:rPr>
                <w:rFonts w:eastAsia="宋体"/>
                <w:color w:val="auto"/>
                <w:sz w:val="18"/>
                <w:szCs w:val="18"/>
              </w:rPr>
              <w:t>和Al</w:t>
            </w:r>
            <w:r>
              <w:rPr>
                <w:rFonts w:eastAsia="宋体"/>
                <w:color w:val="auto"/>
                <w:sz w:val="18"/>
                <w:szCs w:val="18"/>
                <w:vertAlign w:val="subscript"/>
              </w:rPr>
              <w:t>2</w:t>
            </w:r>
            <w:r>
              <w:rPr>
                <w:rFonts w:eastAsia="宋体"/>
                <w:color w:val="auto"/>
                <w:sz w:val="18"/>
                <w:szCs w:val="18"/>
              </w:rPr>
              <w:t>O</w:t>
            </w:r>
            <w:r>
              <w:rPr>
                <w:rFonts w:eastAsia="宋体"/>
                <w:color w:val="auto"/>
                <w:sz w:val="18"/>
                <w:szCs w:val="18"/>
                <w:vertAlign w:val="subscript"/>
              </w:rPr>
              <w:t>3</w:t>
            </w:r>
            <w:r>
              <w:rPr>
                <w:rFonts w:eastAsia="宋体"/>
                <w:color w:val="auto"/>
                <w:sz w:val="18"/>
                <w:szCs w:val="18"/>
              </w:rPr>
              <w:t>、Fe</w:t>
            </w:r>
            <w:r>
              <w:rPr>
                <w:rFonts w:eastAsia="宋体"/>
                <w:color w:val="auto"/>
                <w:sz w:val="18"/>
                <w:szCs w:val="18"/>
                <w:vertAlign w:val="subscript"/>
              </w:rPr>
              <w:t>2</w:t>
            </w:r>
            <w:r>
              <w:rPr>
                <w:rFonts w:eastAsia="宋体"/>
                <w:color w:val="auto"/>
                <w:sz w:val="18"/>
                <w:szCs w:val="18"/>
              </w:rPr>
              <w:t>O</w:t>
            </w:r>
            <w:r>
              <w:rPr>
                <w:rFonts w:eastAsia="宋体"/>
                <w:color w:val="auto"/>
                <w:sz w:val="18"/>
                <w:szCs w:val="18"/>
                <w:vertAlign w:val="subscript"/>
              </w:rPr>
              <w:t>3</w:t>
            </w:r>
            <w:r>
              <w:rPr>
                <w:rFonts w:eastAsia="宋体"/>
                <w:color w:val="auto"/>
                <w:sz w:val="18"/>
                <w:szCs w:val="18"/>
              </w:rPr>
              <w:t>为主）。</w:t>
            </w:r>
          </w:p>
        </w:tc>
      </w:tr>
      <w:tr w14:paraId="38C60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2236" w:type="dxa"/>
            <w:vAlign w:val="center"/>
          </w:tcPr>
          <w:p w14:paraId="036A2ABA">
            <w:pPr>
              <w:pStyle w:val="11"/>
              <w:spacing w:line="240" w:lineRule="auto"/>
              <w:ind w:left="0"/>
              <w:jc w:val="center"/>
              <w:rPr>
                <w:rFonts w:eastAsia="宋体"/>
                <w:color w:val="auto"/>
                <w:sz w:val="18"/>
                <w:szCs w:val="18"/>
              </w:rPr>
            </w:pPr>
            <w:r>
              <w:rPr>
                <w:rFonts w:eastAsia="宋体"/>
                <w:color w:val="auto"/>
                <w:sz w:val="18"/>
                <w:szCs w:val="18"/>
              </w:rPr>
              <w:t>颗粒与结构</w:t>
            </w:r>
          </w:p>
        </w:tc>
        <w:tc>
          <w:tcPr>
            <w:tcW w:w="6867" w:type="dxa"/>
            <w:vAlign w:val="center"/>
          </w:tcPr>
          <w:p w14:paraId="0168D59B">
            <w:pPr>
              <w:pStyle w:val="11"/>
              <w:spacing w:line="240" w:lineRule="auto"/>
              <w:ind w:left="0"/>
              <w:rPr>
                <w:rFonts w:eastAsia="宋体"/>
                <w:color w:val="auto"/>
                <w:sz w:val="18"/>
                <w:szCs w:val="18"/>
              </w:rPr>
            </w:pPr>
            <w:r>
              <w:rPr>
                <w:rFonts w:eastAsia="宋体"/>
                <w:color w:val="auto"/>
                <w:sz w:val="18"/>
                <w:szCs w:val="18"/>
              </w:rPr>
              <w:t>黏土颗粒含量较高，塑性指数大，一般接近于黏土，土的结构强度高，但在水的作用下其表部易成泥泞的稀泥并在一定范围内膨胀。</w:t>
            </w:r>
          </w:p>
        </w:tc>
      </w:tr>
      <w:tr w14:paraId="112B0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2236" w:type="dxa"/>
            <w:vAlign w:val="center"/>
          </w:tcPr>
          <w:p w14:paraId="59AE9936">
            <w:pPr>
              <w:pStyle w:val="11"/>
              <w:spacing w:line="240" w:lineRule="auto"/>
              <w:ind w:left="0"/>
              <w:jc w:val="center"/>
              <w:rPr>
                <w:rFonts w:eastAsia="宋体"/>
                <w:color w:val="auto"/>
                <w:sz w:val="18"/>
                <w:szCs w:val="18"/>
              </w:rPr>
            </w:pPr>
            <w:r>
              <w:rPr>
                <w:rFonts w:eastAsia="宋体"/>
                <w:color w:val="auto"/>
                <w:sz w:val="18"/>
                <w:szCs w:val="18"/>
              </w:rPr>
              <w:t>干燥后特征</w:t>
            </w:r>
          </w:p>
        </w:tc>
        <w:tc>
          <w:tcPr>
            <w:tcW w:w="6867" w:type="dxa"/>
            <w:vAlign w:val="center"/>
          </w:tcPr>
          <w:p w14:paraId="209C24C4">
            <w:pPr>
              <w:pStyle w:val="11"/>
              <w:spacing w:line="240" w:lineRule="auto"/>
              <w:ind w:left="0"/>
              <w:rPr>
                <w:rFonts w:eastAsia="宋体"/>
                <w:color w:val="auto"/>
                <w:sz w:val="18"/>
                <w:szCs w:val="18"/>
              </w:rPr>
            </w:pPr>
            <w:r>
              <w:rPr>
                <w:rFonts w:eastAsia="宋体"/>
                <w:color w:val="auto"/>
                <w:sz w:val="18"/>
                <w:szCs w:val="18"/>
              </w:rPr>
              <w:t>干燥时土质坚硬，易裂，具有不甚明显的垂直节理，在现场可见高度2m～5m左右的陡壁，有崩塌现象。</w:t>
            </w:r>
          </w:p>
        </w:tc>
      </w:tr>
    </w:tbl>
    <w:p w14:paraId="55622A5C">
      <w:pPr>
        <w:adjustRightInd w:val="0"/>
        <w:snapToGrid w:val="0"/>
        <w:spacing w:before="240" w:line="340" w:lineRule="atLeast"/>
        <w:jc w:val="center"/>
        <w:rPr>
          <w:rFonts w:eastAsia="黑体"/>
          <w:b/>
          <w:color w:val="auto"/>
          <w:szCs w:val="21"/>
        </w:rPr>
      </w:pPr>
      <w:r>
        <w:rPr>
          <w:rFonts w:eastAsia="黑体"/>
          <w:b/>
          <w:color w:val="auto"/>
          <w:szCs w:val="21"/>
        </w:rPr>
        <w:t>表A.9  残积土的现场鉴别</w:t>
      </w:r>
    </w:p>
    <w:tbl>
      <w:tblPr>
        <w:tblStyle w:val="36"/>
        <w:tblW w:w="91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8"/>
        <w:gridCol w:w="7738"/>
      </w:tblGrid>
      <w:tr w14:paraId="0757C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 w:hRule="atLeast"/>
          <w:jc w:val="center"/>
        </w:trPr>
        <w:tc>
          <w:tcPr>
            <w:tcW w:w="1408" w:type="dxa"/>
            <w:vAlign w:val="center"/>
          </w:tcPr>
          <w:p w14:paraId="5970D532">
            <w:pPr>
              <w:pStyle w:val="11"/>
              <w:spacing w:line="300" w:lineRule="atLeast"/>
              <w:ind w:left="-108" w:right="-108"/>
              <w:jc w:val="center"/>
              <w:rPr>
                <w:rFonts w:eastAsia="宋体"/>
                <w:color w:val="auto"/>
                <w:sz w:val="18"/>
                <w:szCs w:val="18"/>
              </w:rPr>
            </w:pPr>
            <w:r>
              <w:rPr>
                <w:rFonts w:hint="eastAsia" w:eastAsia="宋体"/>
                <w:color w:val="auto"/>
                <w:sz w:val="18"/>
                <w:szCs w:val="18"/>
              </w:rPr>
              <w:t>鉴别项目</w:t>
            </w:r>
          </w:p>
        </w:tc>
        <w:tc>
          <w:tcPr>
            <w:tcW w:w="7738" w:type="dxa"/>
            <w:vAlign w:val="center"/>
          </w:tcPr>
          <w:p w14:paraId="5A354D57">
            <w:pPr>
              <w:pStyle w:val="11"/>
              <w:spacing w:line="300" w:lineRule="atLeast"/>
              <w:ind w:left="-108" w:right="-108"/>
              <w:jc w:val="center"/>
              <w:rPr>
                <w:rFonts w:eastAsia="宋体"/>
                <w:color w:val="auto"/>
                <w:sz w:val="18"/>
                <w:szCs w:val="18"/>
              </w:rPr>
            </w:pPr>
            <w:r>
              <w:rPr>
                <w:rFonts w:eastAsia="宋体"/>
                <w:color w:val="auto"/>
                <w:sz w:val="18"/>
                <w:szCs w:val="18"/>
              </w:rPr>
              <w:t>特      征</w:t>
            </w:r>
          </w:p>
        </w:tc>
      </w:tr>
      <w:tr w14:paraId="09D411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408" w:type="dxa"/>
            <w:vAlign w:val="center"/>
          </w:tcPr>
          <w:p w14:paraId="0953ABF0">
            <w:pPr>
              <w:pStyle w:val="11"/>
              <w:tabs>
                <w:tab w:val="decimal" w:pos="1276"/>
                <w:tab w:val="decimal" w:pos="1418"/>
              </w:tabs>
              <w:spacing w:line="240" w:lineRule="auto"/>
              <w:ind w:left="-108" w:right="-108"/>
              <w:jc w:val="center"/>
              <w:rPr>
                <w:rFonts w:eastAsia="宋体"/>
                <w:color w:val="auto"/>
                <w:sz w:val="18"/>
                <w:szCs w:val="18"/>
              </w:rPr>
            </w:pPr>
            <w:r>
              <w:rPr>
                <w:rFonts w:ascii="F4" w:hAnsi="F4" w:eastAsia="F4" w:cs="F4"/>
                <w:color w:val="auto"/>
                <w:kern w:val="0"/>
                <w:sz w:val="18"/>
                <w:szCs w:val="18"/>
                <w:lang w:bidi="ar"/>
              </w:rPr>
              <w:t>结 构</w:t>
            </w:r>
          </w:p>
        </w:tc>
        <w:tc>
          <w:tcPr>
            <w:tcW w:w="7738" w:type="dxa"/>
            <w:vAlign w:val="center"/>
          </w:tcPr>
          <w:p w14:paraId="3DF2EF8A">
            <w:pPr>
              <w:pStyle w:val="11"/>
              <w:spacing w:line="240" w:lineRule="auto"/>
              <w:ind w:left="0"/>
              <w:rPr>
                <w:rFonts w:eastAsia="宋体"/>
                <w:color w:val="auto"/>
                <w:sz w:val="18"/>
                <w:szCs w:val="18"/>
              </w:rPr>
            </w:pPr>
            <w:r>
              <w:rPr>
                <w:rFonts w:ascii="F4" w:hAnsi="F4" w:eastAsia="F4" w:cs="F4"/>
                <w:color w:val="auto"/>
                <w:kern w:val="0"/>
                <w:sz w:val="18"/>
                <w:szCs w:val="18"/>
                <w:lang w:bidi="ar"/>
              </w:rPr>
              <w:t>结构已全部破坏，矿物成份除石英外，已风化成土状。镐易挖掘，干钻易钻进，具可塑性。</w:t>
            </w:r>
          </w:p>
        </w:tc>
      </w:tr>
      <w:tr w14:paraId="1024E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408" w:type="dxa"/>
            <w:vAlign w:val="center"/>
          </w:tcPr>
          <w:p w14:paraId="65773414">
            <w:pPr>
              <w:pStyle w:val="11"/>
              <w:tabs>
                <w:tab w:val="decimal" w:pos="1276"/>
                <w:tab w:val="decimal" w:pos="1418"/>
              </w:tabs>
              <w:spacing w:line="240" w:lineRule="auto"/>
              <w:ind w:left="-108" w:right="-108"/>
              <w:jc w:val="center"/>
              <w:rPr>
                <w:rFonts w:eastAsia="宋体"/>
                <w:color w:val="auto"/>
                <w:sz w:val="18"/>
                <w:szCs w:val="18"/>
              </w:rPr>
            </w:pPr>
            <w:r>
              <w:rPr>
                <w:rFonts w:ascii="F4" w:hAnsi="F4" w:eastAsia="F4" w:cs="F4"/>
                <w:color w:val="auto"/>
                <w:kern w:val="0"/>
                <w:sz w:val="18"/>
                <w:szCs w:val="18"/>
                <w:lang w:bidi="ar"/>
              </w:rPr>
              <w:t>分布规律</w:t>
            </w:r>
          </w:p>
        </w:tc>
        <w:tc>
          <w:tcPr>
            <w:tcW w:w="7738" w:type="dxa"/>
            <w:vAlign w:val="center"/>
          </w:tcPr>
          <w:p w14:paraId="7DEECC03">
            <w:pPr>
              <w:pStyle w:val="11"/>
              <w:spacing w:line="240" w:lineRule="auto"/>
              <w:ind w:left="0"/>
              <w:rPr>
                <w:rFonts w:eastAsia="宋体"/>
                <w:color w:val="auto"/>
                <w:sz w:val="18"/>
                <w:szCs w:val="18"/>
              </w:rPr>
            </w:pPr>
            <w:r>
              <w:rPr>
                <w:rFonts w:ascii="F4" w:hAnsi="F4" w:eastAsia="F4" w:cs="F4"/>
                <w:color w:val="auto"/>
                <w:kern w:val="0"/>
                <w:sz w:val="18"/>
                <w:szCs w:val="18"/>
                <w:lang w:bidi="ar"/>
              </w:rPr>
              <w:t>分布于基岩起伏平缓地区，与下伏基岩强风化呈渐变关系。</w:t>
            </w:r>
          </w:p>
        </w:tc>
      </w:tr>
      <w:tr w14:paraId="553D8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408" w:type="dxa"/>
            <w:vAlign w:val="center"/>
          </w:tcPr>
          <w:p w14:paraId="3E097FA0">
            <w:pPr>
              <w:pStyle w:val="11"/>
              <w:tabs>
                <w:tab w:val="decimal" w:pos="1276"/>
                <w:tab w:val="decimal" w:pos="1418"/>
              </w:tabs>
              <w:spacing w:line="240" w:lineRule="auto"/>
              <w:ind w:left="-108" w:right="-108"/>
              <w:jc w:val="center"/>
              <w:rPr>
                <w:rFonts w:eastAsia="宋体"/>
                <w:color w:val="auto"/>
                <w:sz w:val="18"/>
                <w:szCs w:val="18"/>
              </w:rPr>
            </w:pPr>
            <w:r>
              <w:rPr>
                <w:rFonts w:ascii="F4" w:hAnsi="F4" w:eastAsia="F4" w:cs="F4"/>
                <w:color w:val="auto"/>
                <w:kern w:val="0"/>
                <w:sz w:val="18"/>
                <w:szCs w:val="18"/>
                <w:lang w:bidi="ar"/>
              </w:rPr>
              <w:t>残积岩性及特点</w:t>
            </w:r>
          </w:p>
        </w:tc>
        <w:tc>
          <w:tcPr>
            <w:tcW w:w="7738" w:type="dxa"/>
            <w:vAlign w:val="center"/>
          </w:tcPr>
          <w:p w14:paraId="6D4DA626">
            <w:pPr>
              <w:widowControl/>
              <w:jc w:val="left"/>
              <w:rPr>
                <w:color w:val="auto"/>
              </w:rPr>
            </w:pPr>
            <w:r>
              <w:rPr>
                <w:rFonts w:ascii="F4" w:hAnsi="F4" w:eastAsia="F4" w:cs="F4"/>
                <w:color w:val="auto"/>
                <w:kern w:val="0"/>
                <w:sz w:val="18"/>
                <w:szCs w:val="18"/>
                <w:lang w:bidi="ar"/>
              </w:rPr>
              <w:t xml:space="preserve">残积砂土：未经分选，具母岩矿物成分，表面粗糙，有棱角，常混碎石及黏性土，其厚度 </w:t>
            </w:r>
          </w:p>
          <w:p w14:paraId="3CB36338">
            <w:pPr>
              <w:widowControl/>
              <w:jc w:val="left"/>
              <w:rPr>
                <w:color w:val="auto"/>
              </w:rPr>
            </w:pPr>
            <w:r>
              <w:rPr>
                <w:rFonts w:ascii="F4" w:hAnsi="F4" w:eastAsia="F4" w:cs="F4"/>
                <w:color w:val="auto"/>
                <w:kern w:val="0"/>
                <w:sz w:val="18"/>
                <w:szCs w:val="18"/>
                <w:lang w:bidi="ar"/>
              </w:rPr>
              <w:t xml:space="preserve">不均。 </w:t>
            </w:r>
          </w:p>
          <w:p w14:paraId="3742CCF6">
            <w:pPr>
              <w:widowControl/>
              <w:jc w:val="left"/>
              <w:rPr>
                <w:color w:val="auto"/>
              </w:rPr>
            </w:pPr>
            <w:r>
              <w:rPr>
                <w:rFonts w:ascii="F4" w:hAnsi="F4" w:eastAsia="F4" w:cs="F4"/>
                <w:color w:val="auto"/>
                <w:kern w:val="0"/>
                <w:sz w:val="18"/>
                <w:szCs w:val="18"/>
                <w:lang w:bidi="ar"/>
              </w:rPr>
              <w:t xml:space="preserve">残积粉土和黏性土：具母岩矿物成分和结构特点，呈可塑、硬塑或坚硬状态，厚度不均。 </w:t>
            </w:r>
          </w:p>
          <w:p w14:paraId="2E741E28">
            <w:pPr>
              <w:widowControl/>
              <w:jc w:val="left"/>
              <w:rPr>
                <w:color w:val="auto"/>
              </w:rPr>
            </w:pPr>
            <w:r>
              <w:rPr>
                <w:rFonts w:ascii="F4" w:hAnsi="F4" w:eastAsia="F4" w:cs="F4"/>
                <w:color w:val="auto"/>
                <w:kern w:val="0"/>
                <w:sz w:val="18"/>
                <w:szCs w:val="18"/>
                <w:lang w:bidi="ar"/>
              </w:rPr>
              <w:t xml:space="preserve">残积碎石土：碎石成分与母岩相同，未经搬运、分选差，粒径差异大、颗粒呈棱角形，厚 </w:t>
            </w:r>
          </w:p>
          <w:p w14:paraId="6AA886FF">
            <w:pPr>
              <w:pStyle w:val="11"/>
              <w:spacing w:line="240" w:lineRule="auto"/>
              <w:ind w:left="0"/>
              <w:rPr>
                <w:rFonts w:eastAsia="宋体"/>
                <w:color w:val="auto"/>
                <w:sz w:val="18"/>
                <w:szCs w:val="18"/>
              </w:rPr>
            </w:pPr>
            <w:r>
              <w:rPr>
                <w:rFonts w:ascii="F4" w:hAnsi="F4" w:eastAsia="F4" w:cs="F4"/>
                <w:color w:val="auto"/>
                <w:kern w:val="0"/>
                <w:sz w:val="18"/>
                <w:szCs w:val="18"/>
                <w:lang w:bidi="ar"/>
              </w:rPr>
              <w:t xml:space="preserve">度不均。 </w:t>
            </w:r>
          </w:p>
        </w:tc>
      </w:tr>
    </w:tbl>
    <w:p w14:paraId="75EB3264">
      <w:pPr>
        <w:adjustRightInd w:val="0"/>
        <w:snapToGrid w:val="0"/>
        <w:spacing w:before="240" w:line="340" w:lineRule="atLeast"/>
        <w:jc w:val="center"/>
        <w:rPr>
          <w:rFonts w:eastAsia="黑体"/>
          <w:b/>
          <w:color w:val="auto"/>
          <w:szCs w:val="21"/>
          <w:highlight w:val="yellow"/>
        </w:rPr>
      </w:pPr>
      <w:r>
        <w:rPr>
          <w:rFonts w:eastAsia="黑体"/>
          <w:b/>
          <w:color w:val="auto"/>
          <w:szCs w:val="21"/>
        </w:rPr>
        <w:t xml:space="preserve">表 </w:t>
      </w:r>
      <w:r>
        <w:rPr>
          <w:rFonts w:hint="eastAsia" w:eastAsia="黑体"/>
          <w:b/>
          <w:color w:val="auto"/>
          <w:szCs w:val="21"/>
        </w:rPr>
        <w:t>A.10</w:t>
      </w:r>
      <w:r>
        <w:rPr>
          <w:rFonts w:eastAsia="黑体"/>
          <w:b/>
          <w:color w:val="auto"/>
          <w:szCs w:val="21"/>
        </w:rPr>
        <w:t xml:space="preserve"> </w:t>
      </w:r>
      <w:r>
        <w:rPr>
          <w:rFonts w:hint="eastAsia" w:eastAsia="黑体"/>
          <w:b/>
          <w:color w:val="auto"/>
          <w:szCs w:val="21"/>
        </w:rPr>
        <w:t>有机质土、泥炭质土和泥炭的现场鉴别</w:t>
      </w:r>
    </w:p>
    <w:tbl>
      <w:tblPr>
        <w:tblStyle w:val="36"/>
        <w:tblW w:w="93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332"/>
        <w:gridCol w:w="1134"/>
        <w:gridCol w:w="850"/>
        <w:gridCol w:w="1843"/>
        <w:gridCol w:w="1276"/>
        <w:gridCol w:w="1766"/>
      </w:tblGrid>
      <w:tr w14:paraId="1575D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66" w:type="dxa"/>
            <w:tcBorders>
              <w:bottom w:val="single" w:color="auto" w:sz="12" w:space="0"/>
            </w:tcBorders>
            <w:vAlign w:val="center"/>
          </w:tcPr>
          <w:p w14:paraId="5CC5B62F">
            <w:pPr>
              <w:jc w:val="center"/>
              <w:rPr>
                <w:rFonts w:ascii="宋体" w:hAnsi="宋体" w:cs="宋体"/>
                <w:color w:val="auto"/>
                <w:sz w:val="18"/>
                <w:szCs w:val="18"/>
              </w:rPr>
            </w:pPr>
            <w:r>
              <w:rPr>
                <w:rFonts w:hint="eastAsia" w:ascii="宋体" w:hAnsi="宋体" w:cs="宋体"/>
                <w:color w:val="auto"/>
                <w:sz w:val="18"/>
                <w:szCs w:val="18"/>
              </w:rPr>
              <w:t>岩土名称</w:t>
            </w:r>
          </w:p>
        </w:tc>
        <w:tc>
          <w:tcPr>
            <w:tcW w:w="1332" w:type="dxa"/>
            <w:tcBorders>
              <w:bottom w:val="single" w:color="auto" w:sz="12" w:space="0"/>
            </w:tcBorders>
            <w:vAlign w:val="center"/>
          </w:tcPr>
          <w:p w14:paraId="6F17F2BD">
            <w:pPr>
              <w:jc w:val="center"/>
              <w:rPr>
                <w:rFonts w:ascii="宋体" w:hAnsi="宋体" w:cs="宋体"/>
                <w:color w:val="auto"/>
                <w:sz w:val="18"/>
                <w:szCs w:val="18"/>
              </w:rPr>
            </w:pPr>
            <w:r>
              <w:rPr>
                <w:rFonts w:hint="eastAsia" w:ascii="宋体" w:hAnsi="宋体" w:cs="宋体"/>
                <w:color w:val="auto"/>
                <w:sz w:val="18"/>
                <w:szCs w:val="18"/>
              </w:rPr>
              <w:t>有机质含量W</w:t>
            </w:r>
            <w:r>
              <w:rPr>
                <w:rFonts w:ascii="宋体" w:hAnsi="宋体" w:cs="宋体"/>
                <w:color w:val="auto"/>
                <w:sz w:val="18"/>
                <w:szCs w:val="18"/>
                <w:vertAlign w:val="subscript"/>
              </w:rPr>
              <w:t>u</w:t>
            </w:r>
          </w:p>
        </w:tc>
        <w:tc>
          <w:tcPr>
            <w:tcW w:w="1134" w:type="dxa"/>
            <w:tcBorders>
              <w:bottom w:val="single" w:color="auto" w:sz="12" w:space="0"/>
            </w:tcBorders>
            <w:vAlign w:val="center"/>
          </w:tcPr>
          <w:p w14:paraId="5F285105">
            <w:pPr>
              <w:jc w:val="center"/>
              <w:rPr>
                <w:rFonts w:ascii="宋体" w:hAnsi="宋体" w:cs="宋体"/>
                <w:color w:val="auto"/>
                <w:sz w:val="18"/>
                <w:szCs w:val="18"/>
              </w:rPr>
            </w:pPr>
            <w:r>
              <w:rPr>
                <w:rFonts w:hint="eastAsia" w:ascii="宋体" w:hAnsi="宋体" w:cs="宋体"/>
                <w:color w:val="auto"/>
                <w:sz w:val="18"/>
                <w:szCs w:val="18"/>
              </w:rPr>
              <w:t>颜色</w:t>
            </w:r>
          </w:p>
        </w:tc>
        <w:tc>
          <w:tcPr>
            <w:tcW w:w="850" w:type="dxa"/>
            <w:tcBorders>
              <w:bottom w:val="single" w:color="auto" w:sz="12" w:space="0"/>
            </w:tcBorders>
            <w:vAlign w:val="center"/>
          </w:tcPr>
          <w:p w14:paraId="748DC115">
            <w:pPr>
              <w:jc w:val="center"/>
              <w:rPr>
                <w:rFonts w:ascii="宋体" w:hAnsi="宋体" w:cs="宋体"/>
                <w:color w:val="auto"/>
                <w:sz w:val="18"/>
                <w:szCs w:val="18"/>
              </w:rPr>
            </w:pPr>
            <w:r>
              <w:rPr>
                <w:rFonts w:hint="eastAsia" w:ascii="宋体" w:hAnsi="宋体" w:cs="宋体"/>
                <w:color w:val="auto"/>
                <w:sz w:val="18"/>
                <w:szCs w:val="18"/>
              </w:rPr>
              <w:t>光泽度</w:t>
            </w:r>
          </w:p>
        </w:tc>
        <w:tc>
          <w:tcPr>
            <w:tcW w:w="1843" w:type="dxa"/>
            <w:tcBorders>
              <w:bottom w:val="single" w:color="auto" w:sz="12" w:space="0"/>
            </w:tcBorders>
            <w:vAlign w:val="center"/>
          </w:tcPr>
          <w:p w14:paraId="074D5CF9">
            <w:pPr>
              <w:jc w:val="center"/>
              <w:rPr>
                <w:rFonts w:ascii="宋体" w:hAnsi="宋体" w:cs="宋体"/>
                <w:color w:val="auto"/>
                <w:sz w:val="18"/>
                <w:szCs w:val="18"/>
              </w:rPr>
            </w:pPr>
            <w:r>
              <w:rPr>
                <w:rFonts w:hint="eastAsia" w:ascii="宋体" w:hAnsi="宋体" w:cs="宋体"/>
                <w:color w:val="auto"/>
                <w:sz w:val="18"/>
                <w:szCs w:val="18"/>
              </w:rPr>
              <w:t>包含物特征</w:t>
            </w:r>
          </w:p>
        </w:tc>
        <w:tc>
          <w:tcPr>
            <w:tcW w:w="1276" w:type="dxa"/>
            <w:tcBorders>
              <w:bottom w:val="single" w:color="auto" w:sz="12" w:space="0"/>
            </w:tcBorders>
            <w:vAlign w:val="center"/>
          </w:tcPr>
          <w:p w14:paraId="66B4345D">
            <w:pPr>
              <w:jc w:val="center"/>
              <w:rPr>
                <w:rFonts w:ascii="宋体" w:hAnsi="宋体" w:cs="宋体"/>
                <w:color w:val="auto"/>
                <w:sz w:val="18"/>
                <w:szCs w:val="18"/>
              </w:rPr>
            </w:pPr>
            <w:r>
              <w:rPr>
                <w:rFonts w:hint="eastAsia" w:ascii="宋体" w:hAnsi="宋体" w:cs="宋体"/>
                <w:color w:val="auto"/>
                <w:sz w:val="18"/>
                <w:szCs w:val="18"/>
              </w:rPr>
              <w:t>腥臭味</w:t>
            </w:r>
          </w:p>
        </w:tc>
        <w:tc>
          <w:tcPr>
            <w:tcW w:w="1766" w:type="dxa"/>
            <w:tcBorders>
              <w:bottom w:val="single" w:color="auto" w:sz="12" w:space="0"/>
            </w:tcBorders>
            <w:vAlign w:val="center"/>
          </w:tcPr>
          <w:p w14:paraId="32211E99">
            <w:pPr>
              <w:jc w:val="center"/>
              <w:rPr>
                <w:rFonts w:ascii="宋体" w:hAnsi="宋体" w:cs="宋体"/>
                <w:color w:val="auto"/>
                <w:sz w:val="18"/>
                <w:szCs w:val="18"/>
              </w:rPr>
            </w:pPr>
            <w:r>
              <w:rPr>
                <w:rFonts w:hint="eastAsia" w:ascii="宋体" w:hAnsi="宋体" w:cs="宋体"/>
                <w:color w:val="auto"/>
                <w:sz w:val="18"/>
                <w:szCs w:val="18"/>
              </w:rPr>
              <w:t>干土性质</w:t>
            </w:r>
          </w:p>
        </w:tc>
      </w:tr>
      <w:tr w14:paraId="14BE7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66" w:type="dxa"/>
            <w:tcBorders>
              <w:top w:val="single" w:color="auto" w:sz="12" w:space="0"/>
            </w:tcBorders>
            <w:vAlign w:val="center"/>
          </w:tcPr>
          <w:p w14:paraId="1C2B4248">
            <w:pPr>
              <w:jc w:val="center"/>
              <w:rPr>
                <w:rFonts w:ascii="宋体" w:hAnsi="宋体" w:cs="宋体"/>
                <w:color w:val="auto"/>
                <w:sz w:val="18"/>
                <w:szCs w:val="18"/>
              </w:rPr>
            </w:pPr>
            <w:r>
              <w:rPr>
                <w:rFonts w:hint="eastAsia" w:ascii="宋体" w:hAnsi="宋体" w:cs="宋体"/>
                <w:color w:val="auto"/>
                <w:sz w:val="18"/>
                <w:szCs w:val="18"/>
              </w:rPr>
              <w:t>有机质土</w:t>
            </w:r>
          </w:p>
        </w:tc>
        <w:tc>
          <w:tcPr>
            <w:tcW w:w="1332" w:type="dxa"/>
            <w:tcBorders>
              <w:top w:val="single" w:color="auto" w:sz="12" w:space="0"/>
            </w:tcBorders>
            <w:vAlign w:val="center"/>
          </w:tcPr>
          <w:p w14:paraId="041FE204">
            <w:pPr>
              <w:spacing w:line="360" w:lineRule="auto"/>
              <w:jc w:val="center"/>
              <w:rPr>
                <w:rFonts w:ascii="宋体" w:hAnsi="宋体" w:cs="宋体"/>
                <w:color w:val="auto"/>
                <w:sz w:val="18"/>
                <w:szCs w:val="18"/>
              </w:rPr>
            </w:pPr>
            <w:r>
              <w:rPr>
                <w:rFonts w:ascii="宋体" w:hAnsi="宋体" w:cs="宋体"/>
                <w:color w:val="auto"/>
                <w:sz w:val="18"/>
                <w:szCs w:val="18"/>
              </w:rPr>
              <w:t>5</w:t>
            </w:r>
            <w:r>
              <w:rPr>
                <w:rFonts w:hint="eastAsia" w:ascii="宋体" w:hAnsi="宋体" w:cs="宋体"/>
                <w:color w:val="auto"/>
                <w:sz w:val="18"/>
                <w:szCs w:val="18"/>
              </w:rPr>
              <w:t>%≤W</w:t>
            </w:r>
            <w:r>
              <w:rPr>
                <w:rFonts w:ascii="宋体" w:hAnsi="宋体" w:cs="宋体"/>
                <w:color w:val="auto"/>
                <w:sz w:val="18"/>
                <w:szCs w:val="18"/>
                <w:vertAlign w:val="subscript"/>
              </w:rPr>
              <w:t>u</w:t>
            </w:r>
            <w:r>
              <w:rPr>
                <w:rFonts w:hint="eastAsia" w:ascii="宋体" w:hAnsi="宋体" w:cs="宋体"/>
                <w:color w:val="auto"/>
                <w:sz w:val="18"/>
                <w:szCs w:val="18"/>
              </w:rPr>
              <w:t>≤</w:t>
            </w:r>
            <w:r>
              <w:rPr>
                <w:rFonts w:ascii="宋体" w:hAnsi="宋体" w:cs="宋体"/>
                <w:color w:val="auto"/>
                <w:sz w:val="18"/>
                <w:szCs w:val="18"/>
              </w:rPr>
              <w:t>10</w:t>
            </w:r>
            <w:r>
              <w:rPr>
                <w:rFonts w:hint="eastAsia" w:ascii="宋体" w:hAnsi="宋体" w:cs="宋体"/>
                <w:color w:val="auto"/>
                <w:sz w:val="18"/>
                <w:szCs w:val="18"/>
              </w:rPr>
              <w:t>%</w:t>
            </w:r>
          </w:p>
        </w:tc>
        <w:tc>
          <w:tcPr>
            <w:tcW w:w="1134" w:type="dxa"/>
            <w:tcBorders>
              <w:top w:val="single" w:color="auto" w:sz="12" w:space="0"/>
            </w:tcBorders>
            <w:vAlign w:val="center"/>
          </w:tcPr>
          <w:p w14:paraId="66420FD8">
            <w:pPr>
              <w:jc w:val="center"/>
              <w:rPr>
                <w:rFonts w:ascii="宋体" w:hAnsi="宋体" w:cs="宋体"/>
                <w:color w:val="auto"/>
                <w:sz w:val="18"/>
                <w:szCs w:val="18"/>
              </w:rPr>
            </w:pPr>
            <w:r>
              <w:rPr>
                <w:rFonts w:hint="eastAsia" w:ascii="宋体" w:hAnsi="宋体" w:cs="宋体"/>
                <w:color w:val="auto"/>
                <w:sz w:val="18"/>
                <w:szCs w:val="18"/>
              </w:rPr>
              <w:t>深灰色</w:t>
            </w:r>
          </w:p>
        </w:tc>
        <w:tc>
          <w:tcPr>
            <w:tcW w:w="850" w:type="dxa"/>
            <w:tcBorders>
              <w:top w:val="single" w:color="auto" w:sz="12" w:space="0"/>
            </w:tcBorders>
            <w:vAlign w:val="center"/>
          </w:tcPr>
          <w:p w14:paraId="7523D7DF">
            <w:pPr>
              <w:jc w:val="center"/>
              <w:rPr>
                <w:rFonts w:ascii="宋体" w:hAnsi="宋体" w:cs="宋体"/>
                <w:color w:val="auto"/>
                <w:sz w:val="18"/>
                <w:szCs w:val="18"/>
              </w:rPr>
            </w:pPr>
            <w:r>
              <w:rPr>
                <w:rFonts w:hint="eastAsia" w:ascii="宋体" w:hAnsi="宋体" w:cs="宋体"/>
                <w:color w:val="auto"/>
                <w:sz w:val="18"/>
                <w:szCs w:val="18"/>
              </w:rPr>
              <w:t>有光泽</w:t>
            </w:r>
          </w:p>
        </w:tc>
        <w:tc>
          <w:tcPr>
            <w:tcW w:w="1843" w:type="dxa"/>
            <w:tcBorders>
              <w:top w:val="single" w:color="auto" w:sz="12" w:space="0"/>
            </w:tcBorders>
            <w:vAlign w:val="center"/>
          </w:tcPr>
          <w:p w14:paraId="1A932507">
            <w:pPr>
              <w:rPr>
                <w:rFonts w:ascii="宋体" w:hAnsi="宋体" w:cs="宋体"/>
                <w:color w:val="auto"/>
                <w:sz w:val="18"/>
                <w:szCs w:val="18"/>
              </w:rPr>
            </w:pPr>
            <w:r>
              <w:rPr>
                <w:rFonts w:hint="eastAsia" w:ascii="宋体" w:hAnsi="宋体" w:cs="宋体"/>
                <w:color w:val="auto"/>
                <w:sz w:val="18"/>
                <w:szCs w:val="18"/>
              </w:rPr>
              <w:t>含腐殖物，含少量未完全分解的动植物体，浸水后有气泡。</w:t>
            </w:r>
          </w:p>
        </w:tc>
        <w:tc>
          <w:tcPr>
            <w:tcW w:w="1276" w:type="dxa"/>
            <w:tcBorders>
              <w:top w:val="single" w:color="auto" w:sz="12" w:space="0"/>
            </w:tcBorders>
            <w:vAlign w:val="center"/>
          </w:tcPr>
          <w:p w14:paraId="482A2308">
            <w:pPr>
              <w:jc w:val="center"/>
              <w:rPr>
                <w:rFonts w:ascii="宋体" w:hAnsi="宋体" w:cs="宋体"/>
                <w:color w:val="auto"/>
                <w:sz w:val="18"/>
                <w:szCs w:val="18"/>
              </w:rPr>
            </w:pPr>
            <w:r>
              <w:rPr>
                <w:rFonts w:hint="eastAsia" w:ascii="宋体" w:hAnsi="宋体" w:cs="宋体"/>
                <w:color w:val="auto"/>
                <w:sz w:val="18"/>
                <w:szCs w:val="18"/>
              </w:rPr>
              <w:t>有腥臭味</w:t>
            </w:r>
          </w:p>
        </w:tc>
        <w:tc>
          <w:tcPr>
            <w:tcW w:w="1766" w:type="dxa"/>
            <w:tcBorders>
              <w:top w:val="single" w:color="auto" w:sz="12" w:space="0"/>
            </w:tcBorders>
            <w:vAlign w:val="center"/>
          </w:tcPr>
          <w:p w14:paraId="709A56EA">
            <w:pPr>
              <w:jc w:val="center"/>
              <w:rPr>
                <w:rFonts w:ascii="宋体" w:hAnsi="宋体" w:cs="宋体"/>
                <w:color w:val="auto"/>
                <w:sz w:val="18"/>
                <w:szCs w:val="18"/>
              </w:rPr>
            </w:pPr>
            <w:r>
              <w:rPr>
                <w:rFonts w:hint="eastAsia" w:ascii="宋体" w:hAnsi="宋体" w:cs="宋体"/>
                <w:color w:val="auto"/>
                <w:sz w:val="18"/>
                <w:szCs w:val="18"/>
              </w:rPr>
              <w:t>干燥后体积收缩</w:t>
            </w:r>
          </w:p>
        </w:tc>
      </w:tr>
      <w:tr w14:paraId="1EAEA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66" w:type="dxa"/>
            <w:vAlign w:val="center"/>
          </w:tcPr>
          <w:p w14:paraId="4D7EB598">
            <w:pPr>
              <w:jc w:val="center"/>
              <w:rPr>
                <w:rFonts w:ascii="宋体" w:hAnsi="宋体" w:cs="宋体"/>
                <w:color w:val="auto"/>
                <w:sz w:val="18"/>
                <w:szCs w:val="18"/>
              </w:rPr>
            </w:pPr>
            <w:r>
              <w:rPr>
                <w:rFonts w:hint="eastAsia" w:ascii="宋体" w:hAnsi="宋体" w:cs="宋体"/>
                <w:color w:val="auto"/>
                <w:sz w:val="18"/>
                <w:szCs w:val="18"/>
              </w:rPr>
              <w:t>泥炭质土</w:t>
            </w:r>
          </w:p>
        </w:tc>
        <w:tc>
          <w:tcPr>
            <w:tcW w:w="1332" w:type="dxa"/>
            <w:vAlign w:val="center"/>
          </w:tcPr>
          <w:p w14:paraId="2B3BB3BA">
            <w:pPr>
              <w:spacing w:line="360" w:lineRule="auto"/>
              <w:jc w:val="center"/>
              <w:rPr>
                <w:rFonts w:ascii="宋体" w:hAnsi="宋体" w:cs="宋体"/>
                <w:color w:val="auto"/>
                <w:sz w:val="18"/>
                <w:szCs w:val="18"/>
              </w:rPr>
            </w:pPr>
            <w:r>
              <w:rPr>
                <w:rFonts w:ascii="宋体" w:hAnsi="宋体" w:cs="宋体"/>
                <w:color w:val="auto"/>
                <w:sz w:val="18"/>
                <w:szCs w:val="18"/>
              </w:rPr>
              <w:t>5</w:t>
            </w:r>
            <w:r>
              <w:rPr>
                <w:rFonts w:hint="eastAsia" w:ascii="宋体" w:hAnsi="宋体" w:cs="宋体"/>
                <w:color w:val="auto"/>
                <w:sz w:val="18"/>
                <w:szCs w:val="18"/>
              </w:rPr>
              <w:t>%&lt;W</w:t>
            </w:r>
            <w:r>
              <w:rPr>
                <w:rFonts w:ascii="宋体" w:hAnsi="宋体" w:cs="宋体"/>
                <w:color w:val="auto"/>
                <w:sz w:val="18"/>
                <w:szCs w:val="18"/>
                <w:vertAlign w:val="subscript"/>
              </w:rPr>
              <w:t>u</w:t>
            </w:r>
            <w:r>
              <w:rPr>
                <w:rFonts w:hint="eastAsia" w:ascii="宋体" w:hAnsi="宋体" w:cs="宋体"/>
                <w:color w:val="auto"/>
                <w:sz w:val="18"/>
                <w:szCs w:val="18"/>
              </w:rPr>
              <w:t>≤</w:t>
            </w:r>
            <w:r>
              <w:rPr>
                <w:rFonts w:ascii="宋体" w:hAnsi="宋体" w:cs="宋体"/>
                <w:color w:val="auto"/>
                <w:sz w:val="18"/>
                <w:szCs w:val="18"/>
              </w:rPr>
              <w:t>60</w:t>
            </w:r>
            <w:r>
              <w:rPr>
                <w:rFonts w:hint="eastAsia" w:ascii="宋体" w:hAnsi="宋体" w:cs="宋体"/>
                <w:color w:val="auto"/>
                <w:sz w:val="18"/>
                <w:szCs w:val="18"/>
              </w:rPr>
              <w:t>%</w:t>
            </w:r>
          </w:p>
        </w:tc>
        <w:tc>
          <w:tcPr>
            <w:tcW w:w="1134" w:type="dxa"/>
            <w:vAlign w:val="center"/>
          </w:tcPr>
          <w:p w14:paraId="178EE575">
            <w:pPr>
              <w:jc w:val="center"/>
              <w:rPr>
                <w:rFonts w:ascii="宋体" w:hAnsi="宋体" w:cs="宋体"/>
                <w:color w:val="auto"/>
                <w:sz w:val="18"/>
                <w:szCs w:val="18"/>
              </w:rPr>
            </w:pPr>
            <w:r>
              <w:rPr>
                <w:rFonts w:hint="eastAsia" w:ascii="宋体" w:hAnsi="宋体" w:cs="宋体"/>
                <w:color w:val="auto"/>
                <w:sz w:val="18"/>
                <w:szCs w:val="18"/>
              </w:rPr>
              <w:t>深灰色或黑色</w:t>
            </w:r>
          </w:p>
        </w:tc>
        <w:tc>
          <w:tcPr>
            <w:tcW w:w="850" w:type="dxa"/>
            <w:vAlign w:val="center"/>
          </w:tcPr>
          <w:p w14:paraId="15014637">
            <w:pPr>
              <w:jc w:val="center"/>
              <w:rPr>
                <w:rFonts w:ascii="宋体" w:hAnsi="宋体" w:cs="宋体"/>
                <w:color w:val="auto"/>
                <w:sz w:val="18"/>
                <w:szCs w:val="18"/>
              </w:rPr>
            </w:pPr>
            <w:r>
              <w:rPr>
                <w:rFonts w:hint="eastAsia" w:ascii="宋体" w:hAnsi="宋体" w:cs="宋体"/>
                <w:color w:val="auto"/>
                <w:sz w:val="18"/>
                <w:szCs w:val="18"/>
              </w:rPr>
              <w:t>稍有光泽</w:t>
            </w:r>
          </w:p>
        </w:tc>
        <w:tc>
          <w:tcPr>
            <w:tcW w:w="1843" w:type="dxa"/>
            <w:vAlign w:val="center"/>
          </w:tcPr>
          <w:p w14:paraId="00979DA6">
            <w:pPr>
              <w:rPr>
                <w:rFonts w:ascii="宋体" w:hAnsi="宋体" w:cs="宋体"/>
                <w:color w:val="auto"/>
                <w:sz w:val="18"/>
                <w:szCs w:val="18"/>
              </w:rPr>
            </w:pPr>
            <w:r>
              <w:rPr>
                <w:rFonts w:hint="eastAsia" w:ascii="宋体" w:hAnsi="宋体" w:cs="宋体"/>
                <w:color w:val="auto"/>
                <w:sz w:val="18"/>
                <w:szCs w:val="18"/>
              </w:rPr>
              <w:t>能看见未完全分解的植物结构，浸水位体胀，易崩解，有植物残渣浮于水中。</w:t>
            </w:r>
          </w:p>
        </w:tc>
        <w:tc>
          <w:tcPr>
            <w:tcW w:w="1276" w:type="dxa"/>
            <w:vAlign w:val="center"/>
          </w:tcPr>
          <w:p w14:paraId="5373B51D">
            <w:pPr>
              <w:jc w:val="center"/>
              <w:rPr>
                <w:rFonts w:ascii="宋体" w:hAnsi="宋体" w:cs="宋体"/>
                <w:color w:val="auto"/>
                <w:sz w:val="18"/>
                <w:szCs w:val="18"/>
              </w:rPr>
            </w:pPr>
            <w:r>
              <w:rPr>
                <w:rFonts w:hint="eastAsia" w:ascii="宋体" w:hAnsi="宋体" w:cs="宋体"/>
                <w:color w:val="auto"/>
                <w:sz w:val="18"/>
                <w:szCs w:val="18"/>
              </w:rPr>
              <w:t>有较浓烈腥臭味</w:t>
            </w:r>
          </w:p>
        </w:tc>
        <w:tc>
          <w:tcPr>
            <w:tcW w:w="1766" w:type="dxa"/>
            <w:vAlign w:val="center"/>
          </w:tcPr>
          <w:p w14:paraId="67964AB1">
            <w:pPr>
              <w:jc w:val="center"/>
              <w:rPr>
                <w:rFonts w:ascii="宋体" w:hAnsi="宋体" w:cs="宋体"/>
                <w:color w:val="auto"/>
                <w:sz w:val="18"/>
                <w:szCs w:val="18"/>
              </w:rPr>
            </w:pPr>
            <w:r>
              <w:rPr>
                <w:rFonts w:hint="eastAsia" w:ascii="宋体" w:hAnsi="宋体" w:cs="宋体"/>
                <w:color w:val="auto"/>
                <w:sz w:val="18"/>
                <w:szCs w:val="18"/>
              </w:rPr>
              <w:t>干缩现象明显</w:t>
            </w:r>
          </w:p>
        </w:tc>
      </w:tr>
      <w:tr w14:paraId="7DE4E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66" w:type="dxa"/>
            <w:vAlign w:val="center"/>
          </w:tcPr>
          <w:p w14:paraId="3CF3B6C2">
            <w:pPr>
              <w:jc w:val="center"/>
              <w:rPr>
                <w:rFonts w:ascii="宋体" w:hAnsi="宋体" w:cs="宋体"/>
                <w:color w:val="auto"/>
                <w:sz w:val="18"/>
                <w:szCs w:val="18"/>
              </w:rPr>
            </w:pPr>
            <w:r>
              <w:rPr>
                <w:rFonts w:hint="eastAsia" w:ascii="宋体" w:hAnsi="宋体" w:cs="宋体"/>
                <w:color w:val="auto"/>
                <w:sz w:val="18"/>
                <w:szCs w:val="18"/>
              </w:rPr>
              <w:t xml:space="preserve">泥 </w:t>
            </w:r>
            <w:r>
              <w:rPr>
                <w:rFonts w:ascii="宋体" w:hAnsi="宋体" w:cs="宋体"/>
                <w:color w:val="auto"/>
                <w:sz w:val="18"/>
                <w:szCs w:val="18"/>
              </w:rPr>
              <w:t xml:space="preserve"> </w:t>
            </w:r>
            <w:r>
              <w:rPr>
                <w:rFonts w:hint="eastAsia" w:ascii="宋体" w:hAnsi="宋体" w:cs="宋体"/>
                <w:color w:val="auto"/>
                <w:sz w:val="18"/>
                <w:szCs w:val="18"/>
              </w:rPr>
              <w:t>炭</w:t>
            </w:r>
          </w:p>
        </w:tc>
        <w:tc>
          <w:tcPr>
            <w:tcW w:w="1332" w:type="dxa"/>
            <w:vAlign w:val="center"/>
          </w:tcPr>
          <w:p w14:paraId="4202E1CE">
            <w:pPr>
              <w:spacing w:line="360" w:lineRule="auto"/>
              <w:jc w:val="center"/>
              <w:rPr>
                <w:rFonts w:ascii="宋体" w:hAnsi="宋体" w:cs="宋体"/>
                <w:color w:val="auto"/>
                <w:sz w:val="18"/>
                <w:szCs w:val="18"/>
              </w:rPr>
            </w:pPr>
            <w:r>
              <w:rPr>
                <w:rFonts w:hint="eastAsia" w:ascii="宋体" w:hAnsi="宋体" w:cs="宋体"/>
                <w:color w:val="auto"/>
                <w:sz w:val="18"/>
                <w:szCs w:val="18"/>
              </w:rPr>
              <w:t>W</w:t>
            </w:r>
            <w:r>
              <w:rPr>
                <w:rFonts w:ascii="宋体" w:hAnsi="宋体" w:cs="宋体"/>
                <w:color w:val="auto"/>
                <w:sz w:val="18"/>
                <w:szCs w:val="18"/>
                <w:vertAlign w:val="subscript"/>
              </w:rPr>
              <w:t>u</w:t>
            </w:r>
            <w:r>
              <w:rPr>
                <w:rFonts w:hint="eastAsia" w:ascii="宋体" w:hAnsi="宋体" w:cs="宋体"/>
                <w:color w:val="auto"/>
                <w:sz w:val="18"/>
                <w:szCs w:val="18"/>
              </w:rPr>
              <w:t>&gt;</w:t>
            </w:r>
            <w:r>
              <w:rPr>
                <w:rFonts w:ascii="宋体" w:hAnsi="宋体" w:cs="宋体"/>
                <w:color w:val="auto"/>
                <w:sz w:val="18"/>
                <w:szCs w:val="18"/>
              </w:rPr>
              <w:t>60</w:t>
            </w:r>
            <w:r>
              <w:rPr>
                <w:rFonts w:hint="eastAsia" w:ascii="宋体" w:hAnsi="宋体" w:cs="宋体"/>
                <w:color w:val="auto"/>
                <w:sz w:val="18"/>
                <w:szCs w:val="18"/>
              </w:rPr>
              <w:t>%</w:t>
            </w:r>
          </w:p>
        </w:tc>
        <w:tc>
          <w:tcPr>
            <w:tcW w:w="1134" w:type="dxa"/>
            <w:vAlign w:val="center"/>
          </w:tcPr>
          <w:p w14:paraId="28AE84FC">
            <w:pPr>
              <w:jc w:val="center"/>
              <w:rPr>
                <w:rFonts w:ascii="宋体" w:hAnsi="宋体" w:cs="宋体"/>
                <w:color w:val="auto"/>
                <w:sz w:val="18"/>
                <w:szCs w:val="18"/>
              </w:rPr>
            </w:pPr>
            <w:r>
              <w:rPr>
                <w:rFonts w:hint="eastAsia" w:ascii="宋体" w:hAnsi="宋体" w:cs="宋体"/>
                <w:color w:val="auto"/>
                <w:sz w:val="18"/>
                <w:szCs w:val="18"/>
              </w:rPr>
              <w:t>黑 色</w:t>
            </w:r>
          </w:p>
        </w:tc>
        <w:tc>
          <w:tcPr>
            <w:tcW w:w="850" w:type="dxa"/>
            <w:vAlign w:val="center"/>
          </w:tcPr>
          <w:p w14:paraId="1371F070">
            <w:pPr>
              <w:jc w:val="center"/>
              <w:rPr>
                <w:rFonts w:ascii="宋体" w:hAnsi="宋体" w:cs="宋体"/>
                <w:color w:val="auto"/>
                <w:sz w:val="18"/>
                <w:szCs w:val="18"/>
              </w:rPr>
            </w:pPr>
            <w:r>
              <w:rPr>
                <w:rFonts w:hint="eastAsia" w:ascii="宋体" w:hAnsi="宋体" w:cs="宋体"/>
                <w:color w:val="auto"/>
                <w:sz w:val="18"/>
                <w:szCs w:val="18"/>
              </w:rPr>
              <w:t>暗无光泽</w:t>
            </w:r>
          </w:p>
        </w:tc>
        <w:tc>
          <w:tcPr>
            <w:tcW w:w="1843" w:type="dxa"/>
            <w:vAlign w:val="center"/>
          </w:tcPr>
          <w:p w14:paraId="26324625">
            <w:pPr>
              <w:rPr>
                <w:rFonts w:ascii="宋体" w:hAnsi="宋体" w:cs="宋体"/>
                <w:color w:val="auto"/>
                <w:sz w:val="18"/>
                <w:szCs w:val="18"/>
              </w:rPr>
            </w:pPr>
            <w:r>
              <w:rPr>
                <w:rFonts w:hint="eastAsia" w:ascii="宋体" w:hAnsi="宋体" w:cs="宋体"/>
                <w:color w:val="auto"/>
                <w:sz w:val="18"/>
                <w:szCs w:val="18"/>
              </w:rPr>
              <w:t>除有泥炭质土特征外，结构松散，土质轻。</w:t>
            </w:r>
          </w:p>
        </w:tc>
        <w:tc>
          <w:tcPr>
            <w:tcW w:w="1276" w:type="dxa"/>
            <w:vAlign w:val="center"/>
          </w:tcPr>
          <w:p w14:paraId="3B45E8A4">
            <w:pPr>
              <w:jc w:val="center"/>
              <w:rPr>
                <w:rFonts w:ascii="宋体" w:hAnsi="宋体" w:cs="宋体"/>
                <w:color w:val="auto"/>
                <w:sz w:val="18"/>
                <w:szCs w:val="18"/>
              </w:rPr>
            </w:pPr>
            <w:r>
              <w:rPr>
                <w:rFonts w:hint="eastAsia" w:ascii="宋体" w:hAnsi="宋体" w:cs="宋体"/>
                <w:color w:val="auto"/>
                <w:sz w:val="18"/>
                <w:szCs w:val="18"/>
              </w:rPr>
              <w:t>有较浓烈腥臭味</w:t>
            </w:r>
          </w:p>
        </w:tc>
        <w:tc>
          <w:tcPr>
            <w:tcW w:w="1766" w:type="dxa"/>
            <w:vAlign w:val="center"/>
          </w:tcPr>
          <w:p w14:paraId="25B3795A">
            <w:pPr>
              <w:jc w:val="center"/>
              <w:rPr>
                <w:rFonts w:ascii="宋体" w:hAnsi="宋体" w:cs="宋体"/>
                <w:color w:val="auto"/>
                <w:sz w:val="18"/>
                <w:szCs w:val="18"/>
              </w:rPr>
            </w:pPr>
            <w:r>
              <w:rPr>
                <w:rFonts w:hint="eastAsia" w:ascii="宋体" w:hAnsi="宋体" w:cs="宋体"/>
                <w:color w:val="auto"/>
                <w:sz w:val="18"/>
                <w:szCs w:val="18"/>
              </w:rPr>
              <w:t>干缩现象极为明显</w:t>
            </w:r>
          </w:p>
        </w:tc>
      </w:tr>
    </w:tbl>
    <w:p w14:paraId="16BEEBD8">
      <w:pPr>
        <w:adjustRightInd w:val="0"/>
        <w:snapToGrid w:val="0"/>
        <w:spacing w:before="240" w:line="340" w:lineRule="atLeast"/>
        <w:jc w:val="center"/>
        <w:rPr>
          <w:rFonts w:ascii="黑体" w:hAnsi="黑体" w:eastAsia="黑体" w:cs="黑体"/>
          <w:color w:val="auto"/>
          <w:szCs w:val="21"/>
        </w:rPr>
      </w:pPr>
      <w:r>
        <w:rPr>
          <w:rFonts w:eastAsia="黑体"/>
          <w:b/>
          <w:color w:val="auto"/>
          <w:szCs w:val="21"/>
        </w:rPr>
        <w:t xml:space="preserve">表 </w:t>
      </w:r>
      <w:r>
        <w:rPr>
          <w:rFonts w:hint="eastAsia" w:eastAsia="黑体"/>
          <w:b/>
          <w:color w:val="auto"/>
          <w:szCs w:val="21"/>
        </w:rPr>
        <w:t>A.11</w:t>
      </w:r>
      <w:r>
        <w:rPr>
          <w:rFonts w:hint="eastAsia" w:ascii="黑体" w:hAnsi="黑体" w:eastAsia="黑体" w:cs="黑体"/>
          <w:color w:val="auto"/>
          <w:szCs w:val="21"/>
        </w:rPr>
        <w:t xml:space="preserve">  砂土的现场鉴别</w:t>
      </w:r>
    </w:p>
    <w:tbl>
      <w:tblPr>
        <w:tblStyle w:val="36"/>
        <w:tblW w:w="93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2047"/>
        <w:gridCol w:w="2047"/>
        <w:gridCol w:w="2047"/>
        <w:gridCol w:w="2049"/>
      </w:tblGrid>
      <w:tr w14:paraId="7C854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154" w:type="dxa"/>
            <w:tcBorders>
              <w:bottom w:val="single" w:color="auto" w:sz="12" w:space="0"/>
            </w:tcBorders>
          </w:tcPr>
          <w:p w14:paraId="60D8E1D6">
            <w:pPr>
              <w:jc w:val="center"/>
              <w:rPr>
                <w:rFonts w:ascii="宋体" w:hAnsi="宋体" w:cs="宋体"/>
                <w:color w:val="auto"/>
                <w:sz w:val="18"/>
                <w:szCs w:val="18"/>
              </w:rPr>
            </w:pPr>
            <w:r>
              <w:rPr>
                <w:rFonts w:hint="eastAsia" w:ascii="宋体" w:hAnsi="宋体" w:cs="宋体"/>
                <w:color w:val="auto"/>
                <w:sz w:val="18"/>
                <w:szCs w:val="18"/>
              </w:rPr>
              <w:t>岩土名称</w:t>
            </w:r>
          </w:p>
        </w:tc>
        <w:tc>
          <w:tcPr>
            <w:tcW w:w="2047" w:type="dxa"/>
            <w:tcBorders>
              <w:bottom w:val="single" w:color="auto" w:sz="12" w:space="0"/>
            </w:tcBorders>
            <w:vAlign w:val="center"/>
          </w:tcPr>
          <w:p w14:paraId="32A7F1A5">
            <w:pPr>
              <w:jc w:val="center"/>
              <w:rPr>
                <w:rFonts w:ascii="宋体" w:hAnsi="宋体" w:cs="宋体"/>
                <w:color w:val="auto"/>
                <w:sz w:val="18"/>
                <w:szCs w:val="18"/>
              </w:rPr>
            </w:pPr>
            <w:r>
              <w:rPr>
                <w:rFonts w:hint="eastAsia" w:ascii="宋体" w:hAnsi="宋体" w:cs="宋体"/>
                <w:color w:val="auto"/>
                <w:sz w:val="18"/>
                <w:szCs w:val="18"/>
              </w:rPr>
              <w:t>观察颗粒粗细</w:t>
            </w:r>
          </w:p>
        </w:tc>
        <w:tc>
          <w:tcPr>
            <w:tcW w:w="2047" w:type="dxa"/>
            <w:tcBorders>
              <w:bottom w:val="single" w:color="auto" w:sz="12" w:space="0"/>
            </w:tcBorders>
            <w:vAlign w:val="center"/>
          </w:tcPr>
          <w:p w14:paraId="46EDC093">
            <w:pPr>
              <w:jc w:val="center"/>
              <w:rPr>
                <w:rFonts w:ascii="宋体" w:hAnsi="宋体" w:cs="宋体"/>
                <w:color w:val="auto"/>
                <w:sz w:val="18"/>
                <w:szCs w:val="18"/>
              </w:rPr>
            </w:pPr>
            <w:r>
              <w:rPr>
                <w:rFonts w:hint="eastAsia" w:ascii="宋体" w:hAnsi="宋体" w:cs="宋体"/>
                <w:color w:val="auto"/>
                <w:sz w:val="18"/>
                <w:szCs w:val="18"/>
              </w:rPr>
              <w:t>干燥状态</w:t>
            </w:r>
          </w:p>
        </w:tc>
        <w:tc>
          <w:tcPr>
            <w:tcW w:w="2047" w:type="dxa"/>
            <w:tcBorders>
              <w:bottom w:val="single" w:color="auto" w:sz="12" w:space="0"/>
            </w:tcBorders>
          </w:tcPr>
          <w:p w14:paraId="11C33C8F">
            <w:pPr>
              <w:jc w:val="center"/>
              <w:rPr>
                <w:rFonts w:ascii="宋体" w:hAnsi="宋体" w:cs="宋体"/>
                <w:color w:val="auto"/>
                <w:sz w:val="18"/>
                <w:szCs w:val="18"/>
              </w:rPr>
            </w:pPr>
            <w:r>
              <w:rPr>
                <w:rFonts w:hint="eastAsia" w:ascii="宋体" w:hAnsi="宋体" w:cs="宋体"/>
                <w:color w:val="auto"/>
                <w:sz w:val="18"/>
                <w:szCs w:val="18"/>
              </w:rPr>
              <w:t>用手拍后的状态</w:t>
            </w:r>
          </w:p>
        </w:tc>
        <w:tc>
          <w:tcPr>
            <w:tcW w:w="2049" w:type="dxa"/>
            <w:tcBorders>
              <w:bottom w:val="single" w:color="auto" w:sz="12" w:space="0"/>
            </w:tcBorders>
            <w:vAlign w:val="center"/>
          </w:tcPr>
          <w:p w14:paraId="0D574F46">
            <w:pPr>
              <w:jc w:val="center"/>
              <w:rPr>
                <w:rFonts w:ascii="宋体" w:hAnsi="宋体" w:cs="宋体"/>
                <w:color w:val="auto"/>
                <w:sz w:val="18"/>
                <w:szCs w:val="18"/>
              </w:rPr>
            </w:pPr>
            <w:r>
              <w:rPr>
                <w:rFonts w:hint="eastAsia" w:ascii="宋体" w:hAnsi="宋体" w:cs="宋体"/>
                <w:color w:val="auto"/>
                <w:sz w:val="18"/>
                <w:szCs w:val="18"/>
              </w:rPr>
              <w:t>手指黏着感</w:t>
            </w:r>
          </w:p>
        </w:tc>
      </w:tr>
      <w:tr w14:paraId="64D92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54" w:type="dxa"/>
            <w:tcBorders>
              <w:top w:val="single" w:color="auto" w:sz="12" w:space="0"/>
            </w:tcBorders>
            <w:vAlign w:val="center"/>
          </w:tcPr>
          <w:p w14:paraId="633DB9E9">
            <w:pPr>
              <w:jc w:val="center"/>
              <w:rPr>
                <w:rFonts w:ascii="宋体" w:hAnsi="宋体" w:cs="宋体"/>
                <w:color w:val="auto"/>
                <w:sz w:val="18"/>
                <w:szCs w:val="18"/>
              </w:rPr>
            </w:pPr>
            <w:r>
              <w:rPr>
                <w:rFonts w:hint="eastAsia" w:ascii="宋体" w:hAnsi="宋体" w:cs="宋体"/>
                <w:color w:val="auto"/>
                <w:sz w:val="18"/>
                <w:szCs w:val="18"/>
              </w:rPr>
              <w:t>砾砂</w:t>
            </w:r>
          </w:p>
        </w:tc>
        <w:tc>
          <w:tcPr>
            <w:tcW w:w="2047" w:type="dxa"/>
            <w:tcBorders>
              <w:top w:val="single" w:color="auto" w:sz="12" w:space="0"/>
            </w:tcBorders>
            <w:vAlign w:val="center"/>
          </w:tcPr>
          <w:p w14:paraId="331FCB04">
            <w:pPr>
              <w:rPr>
                <w:rFonts w:ascii="宋体" w:hAnsi="宋体" w:cs="宋体"/>
                <w:color w:val="auto"/>
                <w:sz w:val="18"/>
                <w:szCs w:val="18"/>
              </w:rPr>
            </w:pPr>
            <w:r>
              <w:rPr>
                <w:rFonts w:hint="eastAsia" w:ascii="宋体" w:hAnsi="宋体" w:cs="宋体"/>
                <w:color w:val="auto"/>
                <w:sz w:val="18"/>
                <w:szCs w:val="18"/>
              </w:rPr>
              <w:t>约2</w:t>
            </w:r>
            <w:r>
              <w:rPr>
                <w:rFonts w:ascii="宋体" w:hAnsi="宋体" w:cs="宋体"/>
                <w:color w:val="auto"/>
                <w:sz w:val="18"/>
                <w:szCs w:val="18"/>
              </w:rPr>
              <w:t>5</w:t>
            </w:r>
            <w:r>
              <w:rPr>
                <w:rFonts w:hint="eastAsia" w:ascii="宋体" w:hAnsi="宋体" w:cs="宋体"/>
                <w:color w:val="auto"/>
                <w:sz w:val="18"/>
                <w:szCs w:val="18"/>
              </w:rPr>
              <w:t xml:space="preserve">%以上的颗粒比荞麦或高粱粒（2 </w:t>
            </w:r>
            <w:r>
              <w:rPr>
                <w:rFonts w:ascii="宋体" w:hAnsi="宋体" w:cs="宋体"/>
                <w:color w:val="auto"/>
                <w:sz w:val="18"/>
                <w:szCs w:val="18"/>
              </w:rPr>
              <w:t>mm</w:t>
            </w:r>
            <w:r>
              <w:rPr>
                <w:rFonts w:hint="eastAsia" w:ascii="宋体" w:hAnsi="宋体" w:cs="宋体"/>
                <w:color w:val="auto"/>
                <w:sz w:val="18"/>
                <w:szCs w:val="18"/>
              </w:rPr>
              <w:t>）大</w:t>
            </w:r>
          </w:p>
        </w:tc>
        <w:tc>
          <w:tcPr>
            <w:tcW w:w="2047" w:type="dxa"/>
            <w:tcBorders>
              <w:top w:val="single" w:color="auto" w:sz="12" w:space="0"/>
            </w:tcBorders>
            <w:vAlign w:val="center"/>
          </w:tcPr>
          <w:p w14:paraId="0F7E618E">
            <w:pPr>
              <w:rPr>
                <w:rFonts w:ascii="宋体" w:hAnsi="宋体" w:cs="宋体"/>
                <w:color w:val="auto"/>
                <w:sz w:val="18"/>
                <w:szCs w:val="18"/>
              </w:rPr>
            </w:pPr>
            <w:r>
              <w:rPr>
                <w:rFonts w:hint="eastAsia" w:ascii="宋体" w:hAnsi="宋体" w:cs="宋体"/>
                <w:color w:val="auto"/>
                <w:sz w:val="18"/>
                <w:szCs w:val="18"/>
              </w:rPr>
              <w:t>颗粒完全分散</w:t>
            </w:r>
          </w:p>
        </w:tc>
        <w:tc>
          <w:tcPr>
            <w:tcW w:w="2047" w:type="dxa"/>
            <w:tcBorders>
              <w:top w:val="single" w:color="auto" w:sz="12" w:space="0"/>
            </w:tcBorders>
            <w:vAlign w:val="center"/>
          </w:tcPr>
          <w:p w14:paraId="79B9E6BF">
            <w:pPr>
              <w:rPr>
                <w:rFonts w:ascii="宋体" w:hAnsi="宋体" w:cs="宋体"/>
                <w:color w:val="auto"/>
                <w:sz w:val="18"/>
                <w:szCs w:val="18"/>
              </w:rPr>
            </w:pPr>
            <w:r>
              <w:rPr>
                <w:rFonts w:hint="eastAsia" w:ascii="宋体" w:hAnsi="宋体" w:cs="宋体"/>
                <w:color w:val="auto"/>
                <w:sz w:val="18"/>
                <w:szCs w:val="18"/>
              </w:rPr>
              <w:t>表面无变化</w:t>
            </w:r>
          </w:p>
        </w:tc>
        <w:tc>
          <w:tcPr>
            <w:tcW w:w="2049" w:type="dxa"/>
            <w:tcBorders>
              <w:top w:val="single" w:color="auto" w:sz="12" w:space="0"/>
            </w:tcBorders>
            <w:vAlign w:val="center"/>
          </w:tcPr>
          <w:p w14:paraId="0B99B1FF">
            <w:pPr>
              <w:rPr>
                <w:rFonts w:ascii="宋体" w:hAnsi="宋体" w:cs="宋体"/>
                <w:color w:val="auto"/>
                <w:sz w:val="18"/>
                <w:szCs w:val="18"/>
              </w:rPr>
            </w:pPr>
            <w:r>
              <w:rPr>
                <w:rFonts w:hint="eastAsia" w:ascii="宋体" w:hAnsi="宋体" w:cs="宋体"/>
                <w:color w:val="auto"/>
                <w:sz w:val="18"/>
                <w:szCs w:val="18"/>
              </w:rPr>
              <w:t>无黏着感</w:t>
            </w:r>
          </w:p>
        </w:tc>
      </w:tr>
      <w:tr w14:paraId="35CC2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54" w:type="dxa"/>
            <w:vAlign w:val="center"/>
          </w:tcPr>
          <w:p w14:paraId="6C685633">
            <w:pPr>
              <w:jc w:val="center"/>
              <w:rPr>
                <w:rFonts w:ascii="宋体" w:hAnsi="宋体" w:cs="宋体"/>
                <w:color w:val="auto"/>
                <w:sz w:val="18"/>
                <w:szCs w:val="18"/>
              </w:rPr>
            </w:pPr>
            <w:r>
              <w:rPr>
                <w:rFonts w:hint="eastAsia" w:ascii="宋体" w:hAnsi="宋体" w:cs="宋体"/>
                <w:color w:val="auto"/>
                <w:sz w:val="18"/>
                <w:szCs w:val="18"/>
              </w:rPr>
              <w:t>粗砂</w:t>
            </w:r>
          </w:p>
        </w:tc>
        <w:tc>
          <w:tcPr>
            <w:tcW w:w="2047" w:type="dxa"/>
            <w:vAlign w:val="center"/>
          </w:tcPr>
          <w:p w14:paraId="7BD388E2">
            <w:pPr>
              <w:rPr>
                <w:rFonts w:ascii="宋体" w:hAnsi="宋体" w:cs="宋体"/>
                <w:color w:val="auto"/>
                <w:sz w:val="18"/>
                <w:szCs w:val="18"/>
              </w:rPr>
            </w:pPr>
            <w:r>
              <w:rPr>
                <w:rFonts w:hint="eastAsia" w:ascii="宋体" w:hAnsi="宋体" w:cs="宋体"/>
                <w:color w:val="auto"/>
                <w:sz w:val="18"/>
                <w:szCs w:val="18"/>
              </w:rPr>
              <w:t>约有一半以上颗粒比小米粒（0</w:t>
            </w:r>
            <w:r>
              <w:rPr>
                <w:rFonts w:ascii="宋体" w:hAnsi="宋体" w:cs="宋体"/>
                <w:color w:val="auto"/>
                <w:sz w:val="18"/>
                <w:szCs w:val="18"/>
              </w:rPr>
              <w:t>.5</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）大</w:t>
            </w:r>
          </w:p>
        </w:tc>
        <w:tc>
          <w:tcPr>
            <w:tcW w:w="2047" w:type="dxa"/>
            <w:vAlign w:val="center"/>
          </w:tcPr>
          <w:p w14:paraId="75702CA9">
            <w:pPr>
              <w:rPr>
                <w:rFonts w:ascii="宋体" w:hAnsi="宋体" w:cs="宋体"/>
                <w:color w:val="auto"/>
                <w:sz w:val="18"/>
                <w:szCs w:val="18"/>
              </w:rPr>
            </w:pPr>
            <w:r>
              <w:rPr>
                <w:rFonts w:hint="eastAsia" w:ascii="宋体" w:hAnsi="宋体" w:cs="宋体"/>
                <w:color w:val="auto"/>
                <w:sz w:val="18"/>
                <w:szCs w:val="18"/>
              </w:rPr>
              <w:t>颗粒完全分散，个别胶结</w:t>
            </w:r>
          </w:p>
        </w:tc>
        <w:tc>
          <w:tcPr>
            <w:tcW w:w="2047" w:type="dxa"/>
            <w:vAlign w:val="center"/>
          </w:tcPr>
          <w:p w14:paraId="4CBBC032">
            <w:pPr>
              <w:rPr>
                <w:rFonts w:ascii="宋体" w:hAnsi="宋体" w:cs="宋体"/>
                <w:color w:val="auto"/>
                <w:sz w:val="18"/>
                <w:szCs w:val="18"/>
              </w:rPr>
            </w:pPr>
            <w:r>
              <w:rPr>
                <w:rFonts w:hint="eastAsia" w:ascii="宋体" w:hAnsi="宋体" w:cs="宋体"/>
                <w:color w:val="auto"/>
                <w:sz w:val="18"/>
                <w:szCs w:val="18"/>
              </w:rPr>
              <w:t>表面无变化</w:t>
            </w:r>
          </w:p>
        </w:tc>
        <w:tc>
          <w:tcPr>
            <w:tcW w:w="2049" w:type="dxa"/>
            <w:vAlign w:val="center"/>
          </w:tcPr>
          <w:p w14:paraId="6C49D6F1">
            <w:pPr>
              <w:rPr>
                <w:rFonts w:ascii="宋体" w:hAnsi="宋体" w:cs="宋体"/>
                <w:color w:val="auto"/>
                <w:sz w:val="18"/>
                <w:szCs w:val="18"/>
              </w:rPr>
            </w:pPr>
            <w:r>
              <w:rPr>
                <w:rFonts w:hint="eastAsia" w:ascii="宋体" w:hAnsi="宋体" w:cs="宋体"/>
                <w:color w:val="auto"/>
                <w:sz w:val="18"/>
                <w:szCs w:val="18"/>
              </w:rPr>
              <w:t>无黏着感</w:t>
            </w:r>
          </w:p>
        </w:tc>
      </w:tr>
      <w:tr w14:paraId="575B8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54" w:type="dxa"/>
            <w:vAlign w:val="center"/>
          </w:tcPr>
          <w:p w14:paraId="04878060">
            <w:pPr>
              <w:jc w:val="center"/>
              <w:rPr>
                <w:rFonts w:ascii="宋体" w:hAnsi="宋体" w:cs="宋体"/>
                <w:color w:val="auto"/>
                <w:sz w:val="18"/>
                <w:szCs w:val="18"/>
              </w:rPr>
            </w:pPr>
            <w:r>
              <w:rPr>
                <w:rFonts w:hint="eastAsia" w:ascii="宋体" w:hAnsi="宋体" w:cs="宋体"/>
                <w:color w:val="auto"/>
                <w:sz w:val="18"/>
                <w:szCs w:val="18"/>
              </w:rPr>
              <w:t>中砂</w:t>
            </w:r>
          </w:p>
        </w:tc>
        <w:tc>
          <w:tcPr>
            <w:tcW w:w="2047" w:type="dxa"/>
            <w:vAlign w:val="center"/>
          </w:tcPr>
          <w:p w14:paraId="06493A05">
            <w:pPr>
              <w:rPr>
                <w:rFonts w:ascii="宋体" w:hAnsi="宋体" w:cs="宋体"/>
                <w:color w:val="auto"/>
                <w:sz w:val="18"/>
                <w:szCs w:val="18"/>
              </w:rPr>
            </w:pPr>
            <w:r>
              <w:rPr>
                <w:rFonts w:hint="eastAsia" w:ascii="宋体" w:hAnsi="宋体" w:cs="宋体"/>
                <w:color w:val="auto"/>
                <w:sz w:val="18"/>
                <w:szCs w:val="18"/>
              </w:rPr>
              <w:t>约有一半以上颗粒与砂糖或白菜籽（</w:t>
            </w:r>
            <w:r>
              <w:rPr>
                <w:rFonts w:ascii="宋体" w:hAnsi="宋体" w:cs="宋体"/>
                <w:color w:val="auto"/>
                <w:sz w:val="18"/>
                <w:szCs w:val="18"/>
              </w:rPr>
              <w:t>0.25</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）近似</w:t>
            </w:r>
          </w:p>
        </w:tc>
        <w:tc>
          <w:tcPr>
            <w:tcW w:w="2047" w:type="dxa"/>
            <w:vAlign w:val="center"/>
          </w:tcPr>
          <w:p w14:paraId="2154F4AA">
            <w:pPr>
              <w:rPr>
                <w:rFonts w:ascii="宋体" w:hAnsi="宋体" w:cs="宋体"/>
                <w:color w:val="auto"/>
                <w:sz w:val="18"/>
                <w:szCs w:val="18"/>
              </w:rPr>
            </w:pPr>
            <w:r>
              <w:rPr>
                <w:rFonts w:hint="eastAsia" w:ascii="宋体" w:hAnsi="宋体" w:cs="宋体"/>
                <w:color w:val="auto"/>
                <w:sz w:val="18"/>
                <w:szCs w:val="18"/>
              </w:rPr>
              <w:t>颗粒基本分散，部份胶结，胶结部份一拍即散</w:t>
            </w:r>
          </w:p>
        </w:tc>
        <w:tc>
          <w:tcPr>
            <w:tcW w:w="2047" w:type="dxa"/>
            <w:vAlign w:val="center"/>
          </w:tcPr>
          <w:p w14:paraId="738CB0AD">
            <w:pPr>
              <w:rPr>
                <w:rFonts w:ascii="宋体" w:hAnsi="宋体" w:cs="宋体"/>
                <w:color w:val="auto"/>
                <w:sz w:val="18"/>
                <w:szCs w:val="18"/>
              </w:rPr>
            </w:pPr>
            <w:r>
              <w:rPr>
                <w:rFonts w:hint="eastAsia" w:ascii="宋体" w:hAnsi="宋体" w:cs="宋体"/>
                <w:color w:val="auto"/>
                <w:sz w:val="18"/>
                <w:szCs w:val="18"/>
              </w:rPr>
              <w:t>表面偶有水印</w:t>
            </w:r>
          </w:p>
        </w:tc>
        <w:tc>
          <w:tcPr>
            <w:tcW w:w="2049" w:type="dxa"/>
            <w:vAlign w:val="center"/>
          </w:tcPr>
          <w:p w14:paraId="4B0F0153">
            <w:pPr>
              <w:rPr>
                <w:rFonts w:ascii="宋体" w:hAnsi="宋体" w:cs="宋体"/>
                <w:color w:val="auto"/>
                <w:sz w:val="18"/>
                <w:szCs w:val="18"/>
              </w:rPr>
            </w:pPr>
            <w:r>
              <w:rPr>
                <w:rFonts w:hint="eastAsia" w:ascii="宋体" w:hAnsi="宋体" w:cs="宋体"/>
                <w:color w:val="auto"/>
                <w:sz w:val="18"/>
                <w:szCs w:val="18"/>
              </w:rPr>
              <w:t>无黏着感</w:t>
            </w:r>
          </w:p>
        </w:tc>
      </w:tr>
      <w:tr w14:paraId="7430B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54" w:type="dxa"/>
            <w:vAlign w:val="center"/>
          </w:tcPr>
          <w:p w14:paraId="49FCF36F">
            <w:pPr>
              <w:jc w:val="center"/>
              <w:rPr>
                <w:rFonts w:ascii="宋体" w:hAnsi="宋体" w:cs="宋体"/>
                <w:color w:val="auto"/>
                <w:sz w:val="18"/>
                <w:szCs w:val="18"/>
              </w:rPr>
            </w:pPr>
            <w:r>
              <w:rPr>
                <w:rFonts w:hint="eastAsia" w:ascii="宋体" w:hAnsi="宋体" w:cs="宋体"/>
                <w:color w:val="auto"/>
                <w:sz w:val="18"/>
                <w:szCs w:val="18"/>
              </w:rPr>
              <w:t>细砂</w:t>
            </w:r>
          </w:p>
        </w:tc>
        <w:tc>
          <w:tcPr>
            <w:tcW w:w="2047" w:type="dxa"/>
            <w:vAlign w:val="center"/>
          </w:tcPr>
          <w:p w14:paraId="4343CB23">
            <w:pPr>
              <w:rPr>
                <w:rFonts w:ascii="宋体" w:hAnsi="宋体" w:cs="宋体"/>
                <w:color w:val="auto"/>
                <w:sz w:val="18"/>
                <w:szCs w:val="18"/>
              </w:rPr>
            </w:pPr>
            <w:r>
              <w:rPr>
                <w:rFonts w:hint="eastAsia" w:ascii="宋体" w:hAnsi="宋体" w:cs="宋体"/>
                <w:color w:val="auto"/>
                <w:sz w:val="18"/>
                <w:szCs w:val="18"/>
              </w:rPr>
              <w:t>大部分颗粒与粗玉米（0</w:t>
            </w:r>
            <w:r>
              <w:rPr>
                <w:rFonts w:ascii="宋体" w:hAnsi="宋体" w:cs="宋体"/>
                <w:color w:val="auto"/>
                <w:sz w:val="18"/>
                <w:szCs w:val="18"/>
              </w:rPr>
              <w:t>.1</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）近似</w:t>
            </w:r>
          </w:p>
        </w:tc>
        <w:tc>
          <w:tcPr>
            <w:tcW w:w="2047" w:type="dxa"/>
            <w:vAlign w:val="center"/>
          </w:tcPr>
          <w:p w14:paraId="48A9770A">
            <w:pPr>
              <w:rPr>
                <w:rFonts w:ascii="宋体" w:hAnsi="宋体" w:cs="宋体"/>
                <w:color w:val="auto"/>
                <w:sz w:val="18"/>
                <w:szCs w:val="18"/>
              </w:rPr>
            </w:pPr>
            <w:r>
              <w:rPr>
                <w:rFonts w:hint="eastAsia" w:ascii="宋体" w:hAnsi="宋体" w:cs="宋体"/>
                <w:color w:val="auto"/>
                <w:sz w:val="18"/>
                <w:szCs w:val="18"/>
              </w:rPr>
              <w:t>颗粒基本分散，少量胶结，胶结部份稍加碰撞即散</w:t>
            </w:r>
          </w:p>
        </w:tc>
        <w:tc>
          <w:tcPr>
            <w:tcW w:w="2047" w:type="dxa"/>
            <w:vAlign w:val="center"/>
          </w:tcPr>
          <w:p w14:paraId="4812D012">
            <w:pPr>
              <w:rPr>
                <w:rFonts w:ascii="宋体" w:hAnsi="宋体" w:cs="宋体"/>
                <w:color w:val="auto"/>
                <w:sz w:val="18"/>
                <w:szCs w:val="18"/>
              </w:rPr>
            </w:pPr>
            <w:r>
              <w:rPr>
                <w:rFonts w:hint="eastAsia" w:ascii="宋体" w:hAnsi="宋体" w:cs="宋体"/>
                <w:color w:val="auto"/>
                <w:sz w:val="18"/>
                <w:szCs w:val="18"/>
              </w:rPr>
              <w:t>表面有水印，可见现翻浆</w:t>
            </w:r>
          </w:p>
        </w:tc>
        <w:tc>
          <w:tcPr>
            <w:tcW w:w="2049" w:type="dxa"/>
            <w:vAlign w:val="center"/>
          </w:tcPr>
          <w:p w14:paraId="0F40620D">
            <w:pPr>
              <w:rPr>
                <w:rFonts w:ascii="宋体" w:hAnsi="宋体" w:cs="宋体"/>
                <w:color w:val="auto"/>
                <w:sz w:val="18"/>
                <w:szCs w:val="18"/>
              </w:rPr>
            </w:pPr>
            <w:r>
              <w:rPr>
                <w:rFonts w:hint="eastAsia" w:ascii="宋体" w:hAnsi="宋体" w:cs="宋体"/>
                <w:color w:val="auto"/>
                <w:sz w:val="18"/>
                <w:szCs w:val="18"/>
              </w:rPr>
              <w:t>稍有轻微黏着感</w:t>
            </w:r>
          </w:p>
        </w:tc>
      </w:tr>
      <w:tr w14:paraId="58BBC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54" w:type="dxa"/>
            <w:vAlign w:val="center"/>
          </w:tcPr>
          <w:p w14:paraId="7BDCAB01">
            <w:pPr>
              <w:jc w:val="center"/>
              <w:rPr>
                <w:rFonts w:ascii="宋体" w:hAnsi="宋体" w:cs="宋体"/>
                <w:color w:val="auto"/>
                <w:sz w:val="18"/>
                <w:szCs w:val="18"/>
              </w:rPr>
            </w:pPr>
            <w:r>
              <w:rPr>
                <w:rFonts w:hint="eastAsia" w:ascii="宋体" w:hAnsi="宋体" w:cs="宋体"/>
                <w:color w:val="auto"/>
                <w:sz w:val="18"/>
                <w:szCs w:val="18"/>
              </w:rPr>
              <w:t>粉砂</w:t>
            </w:r>
          </w:p>
        </w:tc>
        <w:tc>
          <w:tcPr>
            <w:tcW w:w="2047" w:type="dxa"/>
            <w:vAlign w:val="center"/>
          </w:tcPr>
          <w:p w14:paraId="6689D721">
            <w:pPr>
              <w:rPr>
                <w:rFonts w:ascii="宋体" w:hAnsi="宋体" w:cs="宋体"/>
                <w:color w:val="auto"/>
                <w:sz w:val="18"/>
                <w:szCs w:val="18"/>
              </w:rPr>
            </w:pPr>
            <w:r>
              <w:rPr>
                <w:rFonts w:hint="eastAsia" w:ascii="宋体" w:hAnsi="宋体" w:cs="宋体"/>
                <w:color w:val="auto"/>
                <w:sz w:val="18"/>
                <w:szCs w:val="18"/>
              </w:rPr>
              <w:t>大部分颗粒与小米粉（0</w:t>
            </w:r>
            <w:r>
              <w:rPr>
                <w:rFonts w:ascii="宋体" w:hAnsi="宋体" w:cs="宋体"/>
                <w:color w:val="auto"/>
                <w:sz w:val="18"/>
                <w:szCs w:val="18"/>
              </w:rPr>
              <w:t>.1</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）近似</w:t>
            </w:r>
          </w:p>
        </w:tc>
        <w:tc>
          <w:tcPr>
            <w:tcW w:w="2047" w:type="dxa"/>
            <w:vAlign w:val="center"/>
          </w:tcPr>
          <w:p w14:paraId="507C9071">
            <w:pPr>
              <w:rPr>
                <w:rFonts w:ascii="宋体" w:hAnsi="宋体" w:cs="宋体"/>
                <w:color w:val="auto"/>
                <w:sz w:val="18"/>
                <w:szCs w:val="18"/>
              </w:rPr>
            </w:pPr>
            <w:r>
              <w:rPr>
                <w:rFonts w:hint="eastAsia" w:ascii="宋体" w:hAnsi="宋体" w:cs="宋体"/>
                <w:color w:val="auto"/>
                <w:sz w:val="18"/>
                <w:szCs w:val="18"/>
              </w:rPr>
              <w:t>颗粒基本分散，大部分胶结，稍加压即能即散</w:t>
            </w:r>
          </w:p>
        </w:tc>
        <w:tc>
          <w:tcPr>
            <w:tcW w:w="2047" w:type="dxa"/>
            <w:vAlign w:val="center"/>
          </w:tcPr>
          <w:p w14:paraId="70640AD6">
            <w:pPr>
              <w:rPr>
                <w:rFonts w:ascii="宋体" w:hAnsi="宋体" w:cs="宋体"/>
                <w:color w:val="auto"/>
                <w:sz w:val="18"/>
                <w:szCs w:val="18"/>
              </w:rPr>
            </w:pPr>
            <w:r>
              <w:rPr>
                <w:rFonts w:hint="eastAsia" w:ascii="宋体" w:hAnsi="宋体" w:cs="宋体"/>
                <w:color w:val="auto"/>
                <w:sz w:val="18"/>
                <w:szCs w:val="18"/>
              </w:rPr>
              <w:t>表面现翻浆现象显著</w:t>
            </w:r>
          </w:p>
        </w:tc>
        <w:tc>
          <w:tcPr>
            <w:tcW w:w="2049" w:type="dxa"/>
            <w:vAlign w:val="center"/>
          </w:tcPr>
          <w:p w14:paraId="6AF296F8">
            <w:pPr>
              <w:rPr>
                <w:rFonts w:ascii="宋体" w:hAnsi="宋体" w:cs="宋体"/>
                <w:color w:val="auto"/>
                <w:sz w:val="18"/>
                <w:szCs w:val="18"/>
              </w:rPr>
            </w:pPr>
            <w:r>
              <w:rPr>
                <w:rFonts w:hint="eastAsia" w:ascii="宋体" w:hAnsi="宋体" w:cs="宋体"/>
                <w:color w:val="auto"/>
                <w:sz w:val="18"/>
                <w:szCs w:val="18"/>
              </w:rPr>
              <w:t>有轻微黏着感</w:t>
            </w:r>
          </w:p>
        </w:tc>
      </w:tr>
    </w:tbl>
    <w:p w14:paraId="3393CD01">
      <w:pPr>
        <w:adjustRightInd w:val="0"/>
        <w:snapToGrid w:val="0"/>
        <w:spacing w:before="240" w:line="340" w:lineRule="atLeast"/>
        <w:jc w:val="center"/>
        <w:rPr>
          <w:rFonts w:ascii="黑体" w:hAnsi="黑体" w:eastAsia="黑体" w:cs="黑体"/>
          <w:color w:val="auto"/>
          <w:szCs w:val="21"/>
        </w:rPr>
      </w:pPr>
      <w:r>
        <w:rPr>
          <w:rFonts w:eastAsia="黑体"/>
          <w:b/>
          <w:color w:val="auto"/>
          <w:szCs w:val="21"/>
        </w:rPr>
        <w:t xml:space="preserve">表 </w:t>
      </w:r>
      <w:r>
        <w:rPr>
          <w:rFonts w:hint="eastAsia" w:eastAsia="黑体"/>
          <w:b/>
          <w:color w:val="auto"/>
          <w:szCs w:val="21"/>
        </w:rPr>
        <w:t>A.12</w:t>
      </w:r>
      <w:r>
        <w:rPr>
          <w:rFonts w:hint="eastAsia" w:ascii="黑体" w:hAnsi="黑体" w:eastAsia="黑体" w:cs="黑体"/>
          <w:color w:val="auto"/>
          <w:szCs w:val="21"/>
        </w:rPr>
        <w:t xml:space="preserve">  粉土和黏性土的现场鉴别</w:t>
      </w:r>
    </w:p>
    <w:tbl>
      <w:tblPr>
        <w:tblStyle w:val="36"/>
        <w:tblW w:w="93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559"/>
        <w:gridCol w:w="1985"/>
        <w:gridCol w:w="1417"/>
        <w:gridCol w:w="1417"/>
        <w:gridCol w:w="1600"/>
      </w:tblGrid>
      <w:tr w14:paraId="5992F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391" w:type="dxa"/>
            <w:tcBorders>
              <w:bottom w:val="single" w:color="auto" w:sz="12" w:space="0"/>
            </w:tcBorders>
            <w:vAlign w:val="center"/>
          </w:tcPr>
          <w:p w14:paraId="24170558">
            <w:pPr>
              <w:jc w:val="center"/>
              <w:rPr>
                <w:rFonts w:ascii="宋体" w:hAnsi="宋体" w:cs="宋体"/>
                <w:color w:val="auto"/>
                <w:sz w:val="18"/>
                <w:szCs w:val="18"/>
              </w:rPr>
            </w:pPr>
            <w:r>
              <w:rPr>
                <w:rFonts w:hint="eastAsia" w:ascii="宋体" w:hAnsi="宋体" w:cs="宋体"/>
                <w:color w:val="auto"/>
                <w:sz w:val="18"/>
                <w:szCs w:val="18"/>
              </w:rPr>
              <w:t>岩土名称</w:t>
            </w:r>
          </w:p>
        </w:tc>
        <w:tc>
          <w:tcPr>
            <w:tcW w:w="1559" w:type="dxa"/>
            <w:tcBorders>
              <w:bottom w:val="single" w:color="auto" w:sz="12" w:space="0"/>
            </w:tcBorders>
            <w:vAlign w:val="center"/>
          </w:tcPr>
          <w:p w14:paraId="1146E821">
            <w:pPr>
              <w:jc w:val="center"/>
              <w:rPr>
                <w:rFonts w:ascii="宋体" w:hAnsi="宋体" w:cs="宋体"/>
                <w:color w:val="auto"/>
                <w:sz w:val="18"/>
                <w:szCs w:val="18"/>
              </w:rPr>
            </w:pPr>
            <w:r>
              <w:rPr>
                <w:rFonts w:hint="eastAsia" w:ascii="宋体" w:hAnsi="宋体" w:cs="宋体"/>
                <w:color w:val="auto"/>
                <w:sz w:val="18"/>
                <w:szCs w:val="18"/>
              </w:rPr>
              <w:t>湿润时刀切面</w:t>
            </w:r>
          </w:p>
        </w:tc>
        <w:tc>
          <w:tcPr>
            <w:tcW w:w="1985" w:type="dxa"/>
            <w:tcBorders>
              <w:bottom w:val="single" w:color="auto" w:sz="12" w:space="0"/>
            </w:tcBorders>
            <w:vAlign w:val="center"/>
          </w:tcPr>
          <w:p w14:paraId="45DEAC97">
            <w:pPr>
              <w:jc w:val="center"/>
              <w:rPr>
                <w:rFonts w:ascii="宋体" w:hAnsi="宋体" w:cs="宋体"/>
                <w:color w:val="auto"/>
                <w:sz w:val="18"/>
                <w:szCs w:val="18"/>
              </w:rPr>
            </w:pPr>
            <w:r>
              <w:rPr>
                <w:rFonts w:hint="eastAsia" w:ascii="宋体" w:hAnsi="宋体" w:cs="宋体"/>
                <w:color w:val="auto"/>
                <w:sz w:val="18"/>
                <w:szCs w:val="18"/>
              </w:rPr>
              <w:t>手捻感</w:t>
            </w:r>
          </w:p>
        </w:tc>
        <w:tc>
          <w:tcPr>
            <w:tcW w:w="1417" w:type="dxa"/>
            <w:tcBorders>
              <w:bottom w:val="single" w:color="auto" w:sz="12" w:space="0"/>
            </w:tcBorders>
            <w:vAlign w:val="center"/>
          </w:tcPr>
          <w:p w14:paraId="1C45B93D">
            <w:pPr>
              <w:jc w:val="center"/>
              <w:rPr>
                <w:rFonts w:ascii="宋体" w:hAnsi="宋体" w:cs="宋体"/>
                <w:color w:val="auto"/>
                <w:sz w:val="18"/>
                <w:szCs w:val="18"/>
              </w:rPr>
            </w:pPr>
            <w:r>
              <w:rPr>
                <w:rFonts w:hint="eastAsia" w:ascii="宋体" w:hAnsi="宋体" w:cs="宋体"/>
                <w:color w:val="auto"/>
                <w:sz w:val="18"/>
                <w:szCs w:val="18"/>
              </w:rPr>
              <w:t>黏着程度</w:t>
            </w:r>
          </w:p>
        </w:tc>
        <w:tc>
          <w:tcPr>
            <w:tcW w:w="1417" w:type="dxa"/>
            <w:tcBorders>
              <w:bottom w:val="single" w:color="auto" w:sz="12" w:space="0"/>
            </w:tcBorders>
            <w:vAlign w:val="center"/>
          </w:tcPr>
          <w:p w14:paraId="499442EF">
            <w:pPr>
              <w:jc w:val="center"/>
              <w:rPr>
                <w:rFonts w:ascii="宋体" w:hAnsi="宋体" w:cs="宋体"/>
                <w:color w:val="auto"/>
                <w:sz w:val="18"/>
                <w:szCs w:val="18"/>
              </w:rPr>
            </w:pPr>
            <w:r>
              <w:rPr>
                <w:rFonts w:hint="eastAsia" w:ascii="宋体" w:hAnsi="宋体" w:cs="宋体"/>
                <w:color w:val="auto"/>
                <w:sz w:val="18"/>
                <w:szCs w:val="18"/>
              </w:rPr>
              <w:t>湿土搓条情况</w:t>
            </w:r>
          </w:p>
        </w:tc>
        <w:tc>
          <w:tcPr>
            <w:tcW w:w="1600" w:type="dxa"/>
            <w:tcBorders>
              <w:bottom w:val="single" w:color="auto" w:sz="12" w:space="0"/>
            </w:tcBorders>
            <w:vAlign w:val="center"/>
          </w:tcPr>
          <w:p w14:paraId="3B5D0985">
            <w:pPr>
              <w:jc w:val="center"/>
              <w:rPr>
                <w:rFonts w:ascii="宋体" w:hAnsi="宋体" w:cs="宋体"/>
                <w:color w:val="auto"/>
                <w:sz w:val="18"/>
                <w:szCs w:val="18"/>
              </w:rPr>
            </w:pPr>
            <w:r>
              <w:rPr>
                <w:rFonts w:hint="eastAsia" w:ascii="宋体" w:hAnsi="宋体" w:cs="宋体"/>
                <w:color w:val="auto"/>
                <w:sz w:val="18"/>
                <w:szCs w:val="18"/>
              </w:rPr>
              <w:t>干土性质</w:t>
            </w:r>
          </w:p>
        </w:tc>
      </w:tr>
      <w:tr w14:paraId="7FC2B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391" w:type="dxa"/>
            <w:tcBorders>
              <w:top w:val="single" w:color="auto" w:sz="12" w:space="0"/>
            </w:tcBorders>
            <w:vAlign w:val="center"/>
          </w:tcPr>
          <w:p w14:paraId="059B753B">
            <w:pPr>
              <w:jc w:val="center"/>
              <w:rPr>
                <w:rFonts w:ascii="宋体" w:hAnsi="宋体" w:cs="宋体"/>
                <w:color w:val="auto"/>
                <w:sz w:val="18"/>
                <w:szCs w:val="18"/>
              </w:rPr>
            </w:pPr>
            <w:r>
              <w:rPr>
                <w:rFonts w:hint="eastAsia" w:ascii="宋体" w:hAnsi="宋体" w:cs="宋体"/>
                <w:color w:val="auto"/>
                <w:sz w:val="18"/>
                <w:szCs w:val="18"/>
              </w:rPr>
              <w:t>粉 土</w:t>
            </w:r>
          </w:p>
        </w:tc>
        <w:tc>
          <w:tcPr>
            <w:tcW w:w="1559" w:type="dxa"/>
            <w:tcBorders>
              <w:top w:val="single" w:color="auto" w:sz="12" w:space="0"/>
            </w:tcBorders>
          </w:tcPr>
          <w:p w14:paraId="15B96488">
            <w:pPr>
              <w:rPr>
                <w:rFonts w:ascii="宋体" w:hAnsi="宋体" w:cs="宋体"/>
                <w:color w:val="auto"/>
                <w:sz w:val="18"/>
                <w:szCs w:val="18"/>
              </w:rPr>
            </w:pPr>
            <w:r>
              <w:rPr>
                <w:rFonts w:hint="eastAsia" w:ascii="宋体" w:hAnsi="宋体" w:cs="宋体"/>
                <w:color w:val="auto"/>
                <w:sz w:val="18"/>
                <w:szCs w:val="18"/>
              </w:rPr>
              <w:t>无光滑面、切面比较粗糙</w:t>
            </w:r>
          </w:p>
        </w:tc>
        <w:tc>
          <w:tcPr>
            <w:tcW w:w="1985" w:type="dxa"/>
            <w:tcBorders>
              <w:top w:val="single" w:color="auto" w:sz="12" w:space="0"/>
            </w:tcBorders>
          </w:tcPr>
          <w:p w14:paraId="30F028E3">
            <w:pPr>
              <w:rPr>
                <w:rFonts w:ascii="宋体" w:hAnsi="宋体" w:cs="宋体"/>
                <w:color w:val="auto"/>
                <w:sz w:val="18"/>
                <w:szCs w:val="18"/>
              </w:rPr>
            </w:pPr>
            <w:r>
              <w:rPr>
                <w:rFonts w:hint="eastAsia" w:ascii="宋体" w:hAnsi="宋体" w:cs="宋体"/>
                <w:color w:val="auto"/>
                <w:sz w:val="18"/>
                <w:szCs w:val="18"/>
              </w:rPr>
              <w:t>感觉有细颗粒存在或感觉粗糙，有轻微黏滞感或无黏滞感</w:t>
            </w:r>
          </w:p>
        </w:tc>
        <w:tc>
          <w:tcPr>
            <w:tcW w:w="1417" w:type="dxa"/>
            <w:tcBorders>
              <w:top w:val="single" w:color="auto" w:sz="12" w:space="0"/>
            </w:tcBorders>
          </w:tcPr>
          <w:p w14:paraId="186AB3DC">
            <w:pPr>
              <w:rPr>
                <w:rFonts w:ascii="宋体" w:hAnsi="宋体" w:cs="宋体"/>
                <w:color w:val="auto"/>
                <w:sz w:val="18"/>
                <w:szCs w:val="18"/>
              </w:rPr>
            </w:pPr>
            <w:r>
              <w:rPr>
                <w:rFonts w:hint="eastAsia" w:ascii="宋体" w:hAnsi="宋体" w:cs="宋体"/>
                <w:color w:val="auto"/>
                <w:sz w:val="18"/>
                <w:szCs w:val="18"/>
              </w:rPr>
              <w:t>一般不黏着物体，干燥后一碰就掉</w:t>
            </w:r>
          </w:p>
        </w:tc>
        <w:tc>
          <w:tcPr>
            <w:tcW w:w="1417" w:type="dxa"/>
            <w:tcBorders>
              <w:top w:val="single" w:color="auto" w:sz="12" w:space="0"/>
            </w:tcBorders>
          </w:tcPr>
          <w:p w14:paraId="768D63B1">
            <w:pPr>
              <w:rPr>
                <w:rFonts w:ascii="宋体" w:hAnsi="宋体" w:cs="宋体"/>
                <w:color w:val="auto"/>
                <w:sz w:val="18"/>
                <w:szCs w:val="18"/>
              </w:rPr>
            </w:pPr>
            <w:r>
              <w:rPr>
                <w:rFonts w:hint="eastAsia" w:ascii="宋体" w:hAnsi="宋体" w:cs="宋体"/>
                <w:color w:val="auto"/>
                <w:sz w:val="18"/>
                <w:szCs w:val="18"/>
              </w:rPr>
              <w:t xml:space="preserve">能搓成2 </w:t>
            </w:r>
            <w:r>
              <w:rPr>
                <w:rFonts w:ascii="宋体" w:hAnsi="宋体" w:cs="宋体"/>
                <w:color w:val="auto"/>
                <w:sz w:val="18"/>
                <w:szCs w:val="18"/>
              </w:rPr>
              <w:t>mm</w:t>
            </w:r>
            <w:r>
              <w:rPr>
                <w:rFonts w:hint="eastAsia" w:ascii="宋体" w:hAnsi="宋体" w:cs="宋体"/>
                <w:color w:val="auto"/>
                <w:sz w:val="18"/>
                <w:szCs w:val="18"/>
              </w:rPr>
              <w:t>～</w:t>
            </w:r>
            <w:r>
              <w:rPr>
                <w:rFonts w:ascii="宋体" w:hAnsi="宋体" w:cs="宋体"/>
                <w:color w:val="auto"/>
                <w:sz w:val="18"/>
                <w:szCs w:val="18"/>
              </w:rPr>
              <w:t>3</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的土条</w:t>
            </w:r>
          </w:p>
        </w:tc>
        <w:tc>
          <w:tcPr>
            <w:tcW w:w="1600" w:type="dxa"/>
            <w:tcBorders>
              <w:top w:val="single" w:color="auto" w:sz="12" w:space="0"/>
            </w:tcBorders>
          </w:tcPr>
          <w:p w14:paraId="05F4F020">
            <w:pPr>
              <w:rPr>
                <w:rFonts w:ascii="宋体" w:hAnsi="宋体" w:cs="宋体"/>
                <w:color w:val="auto"/>
                <w:sz w:val="18"/>
                <w:szCs w:val="18"/>
              </w:rPr>
            </w:pPr>
            <w:r>
              <w:rPr>
                <w:rFonts w:hint="eastAsia" w:ascii="宋体" w:hAnsi="宋体" w:cs="宋体"/>
                <w:color w:val="auto"/>
                <w:sz w:val="18"/>
                <w:szCs w:val="18"/>
              </w:rPr>
              <w:t>用手很易捏碎</w:t>
            </w:r>
          </w:p>
        </w:tc>
      </w:tr>
      <w:tr w14:paraId="556A8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391" w:type="dxa"/>
            <w:vAlign w:val="center"/>
          </w:tcPr>
          <w:p w14:paraId="3A92C4D5">
            <w:pPr>
              <w:jc w:val="center"/>
              <w:rPr>
                <w:rFonts w:ascii="宋体" w:hAnsi="宋体" w:cs="宋体"/>
                <w:color w:val="auto"/>
                <w:sz w:val="18"/>
                <w:szCs w:val="18"/>
              </w:rPr>
            </w:pPr>
            <w:r>
              <w:rPr>
                <w:rFonts w:hint="eastAsia" w:ascii="宋体" w:hAnsi="宋体" w:cs="宋体"/>
                <w:color w:val="auto"/>
                <w:sz w:val="18"/>
                <w:szCs w:val="18"/>
              </w:rPr>
              <w:t>黏性土</w:t>
            </w:r>
          </w:p>
        </w:tc>
        <w:tc>
          <w:tcPr>
            <w:tcW w:w="1559" w:type="dxa"/>
          </w:tcPr>
          <w:p w14:paraId="32CB024B">
            <w:pPr>
              <w:rPr>
                <w:rFonts w:ascii="宋体" w:hAnsi="宋体" w:cs="宋体"/>
                <w:color w:val="auto"/>
                <w:sz w:val="18"/>
                <w:szCs w:val="18"/>
              </w:rPr>
            </w:pPr>
            <w:r>
              <w:rPr>
                <w:rFonts w:hint="eastAsia" w:ascii="宋体" w:hAnsi="宋体" w:cs="宋体"/>
                <w:color w:val="auto"/>
                <w:sz w:val="18"/>
                <w:szCs w:val="18"/>
              </w:rPr>
              <w:t>切面光滑或稍有光滑，切面规则</w:t>
            </w:r>
          </w:p>
        </w:tc>
        <w:tc>
          <w:tcPr>
            <w:tcW w:w="1985" w:type="dxa"/>
          </w:tcPr>
          <w:p w14:paraId="3E0C6099">
            <w:pPr>
              <w:rPr>
                <w:rFonts w:ascii="宋体" w:hAnsi="宋体" w:cs="宋体"/>
                <w:color w:val="auto"/>
                <w:sz w:val="18"/>
                <w:szCs w:val="18"/>
              </w:rPr>
            </w:pPr>
            <w:r>
              <w:rPr>
                <w:rFonts w:hint="eastAsia" w:ascii="宋体" w:hAnsi="宋体" w:cs="宋体"/>
                <w:color w:val="auto"/>
                <w:sz w:val="18"/>
                <w:szCs w:val="18"/>
              </w:rPr>
              <w:t>感觉不到颗粒的存在或仔细感觉有少量细颗粒，有黏滞感或滑腻感</w:t>
            </w:r>
          </w:p>
        </w:tc>
        <w:tc>
          <w:tcPr>
            <w:tcW w:w="1417" w:type="dxa"/>
          </w:tcPr>
          <w:p w14:paraId="579822BD">
            <w:pPr>
              <w:rPr>
                <w:rFonts w:ascii="宋体" w:hAnsi="宋体" w:cs="宋体"/>
                <w:color w:val="auto"/>
                <w:sz w:val="18"/>
                <w:szCs w:val="18"/>
              </w:rPr>
            </w:pPr>
            <w:r>
              <w:rPr>
                <w:rFonts w:hint="eastAsia" w:ascii="宋体" w:hAnsi="宋体" w:cs="宋体"/>
                <w:color w:val="auto"/>
                <w:sz w:val="18"/>
                <w:szCs w:val="18"/>
              </w:rPr>
              <w:t>能或极易黏着物体，干燥后较易剥掉或不易剥掉</w:t>
            </w:r>
          </w:p>
        </w:tc>
        <w:tc>
          <w:tcPr>
            <w:tcW w:w="1417" w:type="dxa"/>
          </w:tcPr>
          <w:p w14:paraId="7D256849">
            <w:pPr>
              <w:rPr>
                <w:rFonts w:ascii="宋体" w:hAnsi="宋体" w:cs="宋体"/>
                <w:color w:val="auto"/>
                <w:sz w:val="18"/>
                <w:szCs w:val="18"/>
              </w:rPr>
            </w:pPr>
            <w:r>
              <w:rPr>
                <w:rFonts w:hint="eastAsia" w:ascii="宋体" w:hAnsi="宋体" w:cs="宋体"/>
                <w:color w:val="auto"/>
                <w:sz w:val="18"/>
                <w:szCs w:val="18"/>
              </w:rPr>
              <w:t>能搓成0</w:t>
            </w:r>
            <w:r>
              <w:rPr>
                <w:rFonts w:ascii="宋体" w:hAnsi="宋体" w:cs="宋体"/>
                <w:color w:val="auto"/>
                <w:sz w:val="18"/>
                <w:szCs w:val="18"/>
              </w:rPr>
              <w:t>.5</w:t>
            </w:r>
            <w:r>
              <w:rPr>
                <w:rFonts w:hint="eastAsia" w:ascii="宋体" w:hAnsi="宋体" w:cs="宋体"/>
                <w:color w:val="auto"/>
                <w:sz w:val="18"/>
                <w:szCs w:val="18"/>
              </w:rPr>
              <w:t xml:space="preserve"> </w:t>
            </w:r>
            <w:r>
              <w:rPr>
                <w:rFonts w:ascii="宋体" w:hAnsi="宋体" w:cs="宋体"/>
                <w:color w:val="auto"/>
                <w:sz w:val="18"/>
                <w:szCs w:val="18"/>
              </w:rPr>
              <w:t>mm</w:t>
            </w:r>
            <w:r>
              <w:rPr>
                <w:rFonts w:hint="eastAsia" w:ascii="宋体" w:hAnsi="宋体" w:cs="宋体"/>
                <w:color w:val="auto"/>
                <w:sz w:val="18"/>
                <w:szCs w:val="18"/>
              </w:rPr>
              <w:t xml:space="preserve">～2 </w:t>
            </w:r>
            <w:r>
              <w:rPr>
                <w:rFonts w:ascii="宋体" w:hAnsi="宋体" w:cs="宋体"/>
                <w:color w:val="auto"/>
                <w:sz w:val="18"/>
                <w:szCs w:val="18"/>
              </w:rPr>
              <w:t>mm</w:t>
            </w:r>
            <w:r>
              <w:rPr>
                <w:rFonts w:hint="eastAsia" w:ascii="宋体" w:hAnsi="宋体" w:cs="宋体"/>
                <w:color w:val="auto"/>
                <w:sz w:val="18"/>
                <w:szCs w:val="18"/>
              </w:rPr>
              <w:t>的土条</w:t>
            </w:r>
          </w:p>
        </w:tc>
        <w:tc>
          <w:tcPr>
            <w:tcW w:w="1600" w:type="dxa"/>
          </w:tcPr>
          <w:p w14:paraId="40C77451">
            <w:pPr>
              <w:rPr>
                <w:rFonts w:ascii="宋体" w:hAnsi="宋体" w:cs="宋体"/>
                <w:color w:val="auto"/>
                <w:sz w:val="18"/>
                <w:szCs w:val="18"/>
              </w:rPr>
            </w:pPr>
            <w:r>
              <w:rPr>
                <w:rFonts w:hint="eastAsia" w:ascii="宋体" w:hAnsi="宋体" w:cs="宋体"/>
                <w:color w:val="auto"/>
                <w:sz w:val="18"/>
                <w:szCs w:val="18"/>
              </w:rPr>
              <w:t>用手难捏碎，用锤易击碎</w:t>
            </w:r>
          </w:p>
        </w:tc>
      </w:tr>
    </w:tbl>
    <w:p w14:paraId="39E39A04">
      <w:pPr>
        <w:spacing w:line="480" w:lineRule="auto"/>
        <w:ind w:left="420" w:leftChars="200"/>
        <w:rPr>
          <w:color w:val="auto"/>
        </w:rPr>
      </w:pPr>
    </w:p>
    <w:p w14:paraId="0B0A71E3">
      <w:pPr>
        <w:adjustRightInd w:val="0"/>
        <w:snapToGrid w:val="0"/>
        <w:spacing w:line="400" w:lineRule="atLeast"/>
        <w:jc w:val="center"/>
        <w:outlineLvl w:val="0"/>
        <w:rPr>
          <w:rFonts w:eastAsia="黑体"/>
          <w:b/>
          <w:color w:val="auto"/>
          <w:spacing w:val="8"/>
          <w:sz w:val="24"/>
        </w:rPr>
      </w:pPr>
      <w:r>
        <w:rPr>
          <w:color w:val="auto"/>
          <w:sz w:val="28"/>
        </w:rPr>
        <w:br w:type="page"/>
      </w:r>
      <w:bookmarkStart w:id="108" w:name="_Toc199943650"/>
      <w:r>
        <w:rPr>
          <w:rFonts w:eastAsia="黑体"/>
          <w:b/>
          <w:color w:val="auto"/>
          <w:spacing w:val="8"/>
          <w:sz w:val="24"/>
        </w:rPr>
        <w:t>附录B</w:t>
      </w:r>
      <w:bookmarkEnd w:id="108"/>
    </w:p>
    <w:p w14:paraId="0302055B">
      <w:pPr>
        <w:adjustRightInd w:val="0"/>
        <w:snapToGrid w:val="0"/>
        <w:spacing w:line="400" w:lineRule="atLeast"/>
        <w:jc w:val="center"/>
        <w:outlineLvl w:val="0"/>
        <w:rPr>
          <w:rFonts w:eastAsia="黑体"/>
          <w:b/>
          <w:color w:val="auto"/>
          <w:spacing w:val="8"/>
          <w:sz w:val="24"/>
        </w:rPr>
      </w:pPr>
      <w:bookmarkStart w:id="109" w:name="_Toc199943651"/>
      <w:r>
        <w:rPr>
          <w:rFonts w:eastAsia="黑体"/>
          <w:b/>
          <w:color w:val="auto"/>
          <w:spacing w:val="8"/>
          <w:sz w:val="24"/>
        </w:rPr>
        <w:t>（规范性）</w:t>
      </w:r>
      <w:bookmarkEnd w:id="109"/>
    </w:p>
    <w:p w14:paraId="4FA4B5D6">
      <w:pPr>
        <w:adjustRightInd w:val="0"/>
        <w:snapToGrid w:val="0"/>
        <w:spacing w:line="400" w:lineRule="atLeast"/>
        <w:jc w:val="center"/>
        <w:outlineLvl w:val="0"/>
        <w:rPr>
          <w:b/>
          <w:color w:val="auto"/>
          <w:spacing w:val="8"/>
          <w:sz w:val="24"/>
        </w:rPr>
      </w:pPr>
      <w:bookmarkStart w:id="110" w:name="_Toc199943652"/>
      <w:r>
        <w:rPr>
          <w:b/>
          <w:color w:val="auto"/>
          <w:spacing w:val="8"/>
          <w:sz w:val="24"/>
        </w:rPr>
        <w:t>岩土层剪切波速</w:t>
      </w:r>
      <w:bookmarkEnd w:id="110"/>
    </w:p>
    <w:p w14:paraId="6879CF92">
      <w:pPr>
        <w:adjustRightInd w:val="0"/>
        <w:snapToGrid w:val="0"/>
        <w:spacing w:line="340" w:lineRule="atLeast"/>
        <w:jc w:val="center"/>
        <w:rPr>
          <w:color w:val="auto"/>
          <w:szCs w:val="21"/>
        </w:rPr>
      </w:pPr>
    </w:p>
    <w:p w14:paraId="56899E8F">
      <w:pPr>
        <w:adjustRightInd w:val="0"/>
        <w:snapToGrid w:val="0"/>
        <w:spacing w:line="340" w:lineRule="atLeast"/>
        <w:rPr>
          <w:rFonts w:hint="eastAsia" w:eastAsia="黑体"/>
          <w:b/>
          <w:color w:val="auto"/>
          <w:szCs w:val="21"/>
        </w:rPr>
      </w:pPr>
      <w:r>
        <w:rPr>
          <w:rFonts w:eastAsia="黑体"/>
          <w:b/>
          <w:color w:val="auto"/>
          <w:szCs w:val="21"/>
        </w:rPr>
        <w:t xml:space="preserve">B.1  </w:t>
      </w:r>
      <w:r>
        <w:rPr>
          <w:rFonts w:ascii="宋体" w:hAnsi="宋体"/>
          <w:color w:val="auto"/>
          <w:szCs w:val="21"/>
        </w:rPr>
        <w:t>除按规定应进行土层剪切波速测量的场地外</w:t>
      </w:r>
      <w:r>
        <w:rPr>
          <w:rFonts w:hint="eastAsia" w:ascii="宋体" w:hAnsi="宋体"/>
          <w:color w:val="auto"/>
          <w:szCs w:val="21"/>
        </w:rPr>
        <w:t>，</w:t>
      </w:r>
      <w:r>
        <w:rPr>
          <w:rFonts w:ascii="宋体" w:hAnsi="宋体"/>
          <w:color w:val="auto"/>
          <w:szCs w:val="21"/>
        </w:rPr>
        <w:t>当场地无实测剪切波速时</w:t>
      </w:r>
      <w:r>
        <w:rPr>
          <w:rFonts w:hint="eastAsia" w:ascii="宋体" w:hAnsi="宋体"/>
          <w:color w:val="auto"/>
          <w:szCs w:val="21"/>
        </w:rPr>
        <w:t>，</w:t>
      </w:r>
      <w:r>
        <w:rPr>
          <w:rFonts w:ascii="宋体" w:hAnsi="宋体"/>
          <w:color w:val="auto"/>
          <w:szCs w:val="21"/>
        </w:rPr>
        <w:t>各类岩土层的</w:t>
      </w:r>
      <w:r>
        <w:rPr>
          <w:rFonts w:hint="eastAsia" w:ascii="宋体" w:hAnsi="宋体"/>
          <w:color w:val="auto"/>
          <w:szCs w:val="21"/>
        </w:rPr>
        <w:t>剪切波速</w:t>
      </w:r>
      <w:r>
        <w:rPr>
          <w:rFonts w:ascii="宋体" w:hAnsi="宋体"/>
          <w:color w:val="auto"/>
          <w:szCs w:val="21"/>
        </w:rPr>
        <w:t>可参照本文件表B.1</w:t>
      </w:r>
      <w:r>
        <w:rPr>
          <w:color w:val="auto"/>
          <w:szCs w:val="21"/>
        </w:rPr>
        <w:t>～</w:t>
      </w:r>
      <w:r>
        <w:rPr>
          <w:rFonts w:ascii="宋体" w:hAnsi="宋体"/>
          <w:color w:val="auto"/>
          <w:szCs w:val="21"/>
        </w:rPr>
        <w:t>表B.6的规定</w:t>
      </w:r>
      <w:r>
        <w:rPr>
          <w:rFonts w:hint="eastAsia" w:ascii="宋体" w:hAnsi="宋体"/>
          <w:color w:val="auto"/>
          <w:szCs w:val="21"/>
        </w:rPr>
        <w:t>取值。</w:t>
      </w:r>
    </w:p>
    <w:p w14:paraId="2DFE9015">
      <w:pPr>
        <w:adjustRightInd w:val="0"/>
        <w:snapToGrid w:val="0"/>
        <w:spacing w:line="340" w:lineRule="atLeast"/>
        <w:jc w:val="center"/>
        <w:rPr>
          <w:rFonts w:eastAsia="黑体"/>
          <w:b/>
          <w:color w:val="auto"/>
          <w:szCs w:val="21"/>
        </w:rPr>
      </w:pPr>
      <w:r>
        <w:rPr>
          <w:rFonts w:eastAsia="黑体"/>
          <w:b/>
          <w:color w:val="auto"/>
          <w:szCs w:val="21"/>
        </w:rPr>
        <w:t>表B.1  岩土层的剪切波速表</w:t>
      </w:r>
    </w:p>
    <w:tbl>
      <w:tblPr>
        <w:tblStyle w:val="36"/>
        <w:tblW w:w="91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31"/>
        <w:gridCol w:w="885"/>
        <w:gridCol w:w="1024"/>
        <w:gridCol w:w="1024"/>
        <w:gridCol w:w="1024"/>
        <w:gridCol w:w="1024"/>
        <w:gridCol w:w="1024"/>
        <w:gridCol w:w="1024"/>
        <w:gridCol w:w="1116"/>
      </w:tblGrid>
      <w:tr w14:paraId="22BC5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1031" w:type="dxa"/>
            <w:vAlign w:val="center"/>
          </w:tcPr>
          <w:p w14:paraId="4E883D1C">
            <w:pPr>
              <w:adjustRightInd w:val="0"/>
              <w:snapToGrid w:val="0"/>
              <w:jc w:val="center"/>
              <w:rPr>
                <w:bCs/>
                <w:color w:val="auto"/>
                <w:sz w:val="18"/>
                <w:szCs w:val="18"/>
              </w:rPr>
            </w:pPr>
            <w:r>
              <w:rPr>
                <w:bCs/>
                <w:color w:val="auto"/>
                <w:sz w:val="18"/>
                <w:szCs w:val="18"/>
              </w:rPr>
              <w:t>土类</w:t>
            </w:r>
          </w:p>
        </w:tc>
        <w:tc>
          <w:tcPr>
            <w:tcW w:w="885" w:type="dxa"/>
            <w:vAlign w:val="center"/>
          </w:tcPr>
          <w:p w14:paraId="18DA3E0E">
            <w:pPr>
              <w:adjustRightInd w:val="0"/>
              <w:snapToGrid w:val="0"/>
              <w:ind w:left="22" w:leftChars="-50" w:right="-82" w:rightChars="-39" w:hanging="127" w:hangingChars="71"/>
              <w:jc w:val="center"/>
              <w:rPr>
                <w:bCs/>
                <w:color w:val="auto"/>
                <w:sz w:val="18"/>
                <w:szCs w:val="18"/>
              </w:rPr>
            </w:pPr>
            <w:r>
              <w:rPr>
                <w:bCs/>
                <w:color w:val="auto"/>
                <w:sz w:val="18"/>
                <w:szCs w:val="18"/>
              </w:rPr>
              <w:t>人工填土</w:t>
            </w:r>
          </w:p>
        </w:tc>
        <w:tc>
          <w:tcPr>
            <w:tcW w:w="1024" w:type="dxa"/>
            <w:vAlign w:val="center"/>
          </w:tcPr>
          <w:p w14:paraId="17AB85D3">
            <w:pPr>
              <w:adjustRightInd w:val="0"/>
              <w:snapToGrid w:val="0"/>
              <w:ind w:left="22" w:leftChars="-50" w:right="-82" w:rightChars="-39" w:hanging="127" w:hangingChars="71"/>
              <w:jc w:val="center"/>
              <w:rPr>
                <w:bCs/>
                <w:color w:val="auto"/>
                <w:sz w:val="18"/>
                <w:szCs w:val="18"/>
              </w:rPr>
            </w:pPr>
            <w:r>
              <w:rPr>
                <w:bCs/>
                <w:color w:val="auto"/>
                <w:sz w:val="18"/>
                <w:szCs w:val="18"/>
              </w:rPr>
              <w:t>一般黏性土</w:t>
            </w:r>
          </w:p>
        </w:tc>
        <w:tc>
          <w:tcPr>
            <w:tcW w:w="1024" w:type="dxa"/>
            <w:vAlign w:val="center"/>
          </w:tcPr>
          <w:p w14:paraId="5992D82A">
            <w:pPr>
              <w:adjustRightInd w:val="0"/>
              <w:snapToGrid w:val="0"/>
              <w:ind w:left="22" w:leftChars="-50" w:right="-82" w:rightChars="-39" w:hanging="127" w:hangingChars="71"/>
              <w:jc w:val="center"/>
              <w:rPr>
                <w:bCs/>
                <w:color w:val="auto"/>
                <w:sz w:val="18"/>
                <w:szCs w:val="18"/>
              </w:rPr>
            </w:pPr>
            <w:r>
              <w:rPr>
                <w:bCs/>
                <w:color w:val="auto"/>
                <w:sz w:val="18"/>
                <w:szCs w:val="18"/>
              </w:rPr>
              <w:t>淤泥质土</w:t>
            </w:r>
          </w:p>
        </w:tc>
        <w:tc>
          <w:tcPr>
            <w:tcW w:w="1024" w:type="dxa"/>
            <w:vAlign w:val="center"/>
          </w:tcPr>
          <w:p w14:paraId="561460BD">
            <w:pPr>
              <w:adjustRightInd w:val="0"/>
              <w:snapToGrid w:val="0"/>
              <w:ind w:left="22" w:leftChars="-50" w:right="-82" w:rightChars="-39" w:hanging="127" w:hangingChars="71"/>
              <w:jc w:val="center"/>
              <w:rPr>
                <w:bCs/>
                <w:color w:val="auto"/>
                <w:sz w:val="18"/>
                <w:szCs w:val="18"/>
              </w:rPr>
            </w:pPr>
            <w:r>
              <w:rPr>
                <w:bCs/>
                <w:color w:val="auto"/>
                <w:sz w:val="18"/>
                <w:szCs w:val="18"/>
              </w:rPr>
              <w:t>粉土</w:t>
            </w:r>
          </w:p>
        </w:tc>
        <w:tc>
          <w:tcPr>
            <w:tcW w:w="1024" w:type="dxa"/>
            <w:vAlign w:val="center"/>
          </w:tcPr>
          <w:p w14:paraId="1BB423C3">
            <w:pPr>
              <w:adjustRightInd w:val="0"/>
              <w:snapToGrid w:val="0"/>
              <w:ind w:left="22" w:leftChars="-50" w:right="-82" w:rightChars="-39" w:hanging="127" w:hangingChars="71"/>
              <w:jc w:val="center"/>
              <w:rPr>
                <w:bCs/>
                <w:color w:val="auto"/>
                <w:sz w:val="18"/>
                <w:szCs w:val="18"/>
              </w:rPr>
            </w:pPr>
            <w:r>
              <w:rPr>
                <w:bCs/>
                <w:color w:val="auto"/>
                <w:sz w:val="18"/>
                <w:szCs w:val="18"/>
              </w:rPr>
              <w:t>粉细砂</w:t>
            </w:r>
          </w:p>
        </w:tc>
        <w:tc>
          <w:tcPr>
            <w:tcW w:w="1024" w:type="dxa"/>
            <w:vAlign w:val="center"/>
          </w:tcPr>
          <w:p w14:paraId="3968A45C">
            <w:pPr>
              <w:adjustRightInd w:val="0"/>
              <w:snapToGrid w:val="0"/>
              <w:ind w:left="22" w:leftChars="-50" w:right="-82" w:rightChars="-39" w:hanging="127" w:hangingChars="71"/>
              <w:jc w:val="center"/>
              <w:rPr>
                <w:bCs/>
                <w:color w:val="auto"/>
                <w:sz w:val="18"/>
                <w:szCs w:val="18"/>
              </w:rPr>
            </w:pPr>
            <w:r>
              <w:rPr>
                <w:bCs/>
                <w:color w:val="auto"/>
                <w:sz w:val="18"/>
                <w:szCs w:val="18"/>
              </w:rPr>
              <w:t>粗砾砂</w:t>
            </w:r>
          </w:p>
        </w:tc>
        <w:tc>
          <w:tcPr>
            <w:tcW w:w="1024" w:type="dxa"/>
            <w:vAlign w:val="center"/>
          </w:tcPr>
          <w:p w14:paraId="0E4A31C5">
            <w:pPr>
              <w:adjustRightInd w:val="0"/>
              <w:snapToGrid w:val="0"/>
              <w:ind w:left="22" w:leftChars="-50" w:right="-82" w:rightChars="-39" w:hanging="127" w:hangingChars="71"/>
              <w:jc w:val="center"/>
              <w:rPr>
                <w:bCs/>
                <w:color w:val="auto"/>
                <w:sz w:val="18"/>
                <w:szCs w:val="18"/>
              </w:rPr>
            </w:pPr>
            <w:r>
              <w:rPr>
                <w:bCs/>
                <w:color w:val="auto"/>
                <w:sz w:val="18"/>
                <w:szCs w:val="18"/>
              </w:rPr>
              <w:t>砂砾卵石</w:t>
            </w:r>
          </w:p>
        </w:tc>
        <w:tc>
          <w:tcPr>
            <w:tcW w:w="1116" w:type="dxa"/>
            <w:vAlign w:val="center"/>
          </w:tcPr>
          <w:p w14:paraId="53BB7DD8">
            <w:pPr>
              <w:adjustRightInd w:val="0"/>
              <w:snapToGrid w:val="0"/>
              <w:ind w:left="22" w:leftChars="-50" w:right="-82" w:rightChars="-39" w:hanging="127" w:hangingChars="71"/>
              <w:jc w:val="center"/>
              <w:rPr>
                <w:bCs/>
                <w:color w:val="auto"/>
                <w:sz w:val="18"/>
                <w:szCs w:val="18"/>
              </w:rPr>
            </w:pPr>
            <w:r>
              <w:rPr>
                <w:bCs/>
                <w:color w:val="auto"/>
                <w:sz w:val="18"/>
                <w:szCs w:val="18"/>
              </w:rPr>
              <w:t>老黏性土</w:t>
            </w:r>
          </w:p>
        </w:tc>
      </w:tr>
      <w:tr w14:paraId="21D7D0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1031" w:type="dxa"/>
            <w:vAlign w:val="center"/>
          </w:tcPr>
          <w:p w14:paraId="2059977C">
            <w:pPr>
              <w:adjustRightInd w:val="0"/>
              <w:snapToGrid w:val="0"/>
              <w:spacing w:line="160" w:lineRule="atLeast"/>
              <w:ind w:left="35" w:leftChars="-22" w:hanging="81" w:hangingChars="45"/>
              <w:jc w:val="center"/>
              <w:rPr>
                <w:bCs/>
                <w:color w:val="auto"/>
                <w:sz w:val="18"/>
                <w:szCs w:val="18"/>
              </w:rPr>
            </w:pPr>
            <w:r>
              <w:rPr>
                <w:bCs/>
                <w:i/>
                <w:iCs/>
                <w:color w:val="auto"/>
                <w:sz w:val="18"/>
                <w:szCs w:val="18"/>
              </w:rPr>
              <w:t>v</w:t>
            </w:r>
            <w:r>
              <w:rPr>
                <w:bCs/>
                <w:color w:val="auto"/>
                <w:sz w:val="18"/>
                <w:szCs w:val="18"/>
                <w:vertAlign w:val="subscript"/>
              </w:rPr>
              <w:t>s</w:t>
            </w:r>
            <w:r>
              <w:rPr>
                <w:bCs/>
                <w:color w:val="auto"/>
                <w:sz w:val="18"/>
                <w:szCs w:val="18"/>
              </w:rPr>
              <w:t>范围值（m/s）</w:t>
            </w:r>
          </w:p>
        </w:tc>
        <w:tc>
          <w:tcPr>
            <w:tcW w:w="885" w:type="dxa"/>
            <w:vAlign w:val="center"/>
          </w:tcPr>
          <w:p w14:paraId="54700B86">
            <w:pPr>
              <w:adjustRightInd w:val="0"/>
              <w:snapToGrid w:val="0"/>
              <w:spacing w:line="160" w:lineRule="atLeast"/>
              <w:jc w:val="center"/>
              <w:rPr>
                <w:bCs/>
                <w:color w:val="auto"/>
                <w:sz w:val="18"/>
                <w:szCs w:val="18"/>
              </w:rPr>
            </w:pPr>
            <w:r>
              <w:rPr>
                <w:bCs/>
                <w:color w:val="auto"/>
                <w:sz w:val="18"/>
                <w:szCs w:val="18"/>
              </w:rPr>
              <w:t>90～180</w:t>
            </w:r>
          </w:p>
        </w:tc>
        <w:tc>
          <w:tcPr>
            <w:tcW w:w="1024" w:type="dxa"/>
            <w:vAlign w:val="center"/>
          </w:tcPr>
          <w:p w14:paraId="5D53F9B8">
            <w:pPr>
              <w:adjustRightInd w:val="0"/>
              <w:snapToGrid w:val="0"/>
              <w:spacing w:line="160" w:lineRule="atLeast"/>
              <w:jc w:val="center"/>
              <w:rPr>
                <w:bCs/>
                <w:color w:val="auto"/>
                <w:sz w:val="18"/>
                <w:szCs w:val="18"/>
              </w:rPr>
            </w:pPr>
            <w:r>
              <w:rPr>
                <w:bCs/>
                <w:color w:val="auto"/>
                <w:sz w:val="18"/>
                <w:szCs w:val="18"/>
              </w:rPr>
              <w:t>130～240</w:t>
            </w:r>
          </w:p>
        </w:tc>
        <w:tc>
          <w:tcPr>
            <w:tcW w:w="1024" w:type="dxa"/>
            <w:vAlign w:val="center"/>
          </w:tcPr>
          <w:p w14:paraId="526165EC">
            <w:pPr>
              <w:adjustRightInd w:val="0"/>
              <w:snapToGrid w:val="0"/>
              <w:spacing w:line="160" w:lineRule="atLeast"/>
              <w:jc w:val="center"/>
              <w:rPr>
                <w:bCs/>
                <w:color w:val="auto"/>
                <w:sz w:val="18"/>
                <w:szCs w:val="18"/>
              </w:rPr>
            </w:pPr>
            <w:r>
              <w:rPr>
                <w:bCs/>
                <w:color w:val="auto"/>
                <w:sz w:val="18"/>
                <w:szCs w:val="18"/>
              </w:rPr>
              <w:t>100～180</w:t>
            </w:r>
          </w:p>
        </w:tc>
        <w:tc>
          <w:tcPr>
            <w:tcW w:w="1024" w:type="dxa"/>
            <w:vAlign w:val="center"/>
          </w:tcPr>
          <w:p w14:paraId="4E761579">
            <w:pPr>
              <w:adjustRightInd w:val="0"/>
              <w:snapToGrid w:val="0"/>
              <w:spacing w:line="160" w:lineRule="atLeast"/>
              <w:jc w:val="center"/>
              <w:rPr>
                <w:bCs/>
                <w:color w:val="auto"/>
                <w:sz w:val="18"/>
                <w:szCs w:val="18"/>
              </w:rPr>
            </w:pPr>
            <w:r>
              <w:rPr>
                <w:bCs/>
                <w:color w:val="auto"/>
                <w:sz w:val="18"/>
                <w:szCs w:val="18"/>
              </w:rPr>
              <w:t>140～250</w:t>
            </w:r>
          </w:p>
        </w:tc>
        <w:tc>
          <w:tcPr>
            <w:tcW w:w="1024" w:type="dxa"/>
            <w:vAlign w:val="center"/>
          </w:tcPr>
          <w:p w14:paraId="7F60E22B">
            <w:pPr>
              <w:adjustRightInd w:val="0"/>
              <w:snapToGrid w:val="0"/>
              <w:spacing w:line="160" w:lineRule="atLeast"/>
              <w:jc w:val="center"/>
              <w:rPr>
                <w:bCs/>
                <w:color w:val="auto"/>
                <w:sz w:val="18"/>
                <w:szCs w:val="18"/>
              </w:rPr>
            </w:pPr>
            <w:r>
              <w:rPr>
                <w:bCs/>
                <w:color w:val="auto"/>
                <w:sz w:val="18"/>
                <w:szCs w:val="18"/>
              </w:rPr>
              <w:t>170～340</w:t>
            </w:r>
          </w:p>
        </w:tc>
        <w:tc>
          <w:tcPr>
            <w:tcW w:w="1024" w:type="dxa"/>
            <w:vAlign w:val="center"/>
          </w:tcPr>
          <w:p w14:paraId="1379A45E">
            <w:pPr>
              <w:adjustRightInd w:val="0"/>
              <w:snapToGrid w:val="0"/>
              <w:spacing w:line="160" w:lineRule="atLeast"/>
              <w:jc w:val="center"/>
              <w:rPr>
                <w:bCs/>
                <w:color w:val="auto"/>
                <w:sz w:val="18"/>
                <w:szCs w:val="18"/>
              </w:rPr>
            </w:pPr>
            <w:r>
              <w:rPr>
                <w:bCs/>
                <w:color w:val="auto"/>
                <w:sz w:val="18"/>
                <w:szCs w:val="18"/>
              </w:rPr>
              <w:t>280～440</w:t>
            </w:r>
          </w:p>
        </w:tc>
        <w:tc>
          <w:tcPr>
            <w:tcW w:w="1024" w:type="dxa"/>
            <w:vAlign w:val="center"/>
          </w:tcPr>
          <w:p w14:paraId="0F2432DA">
            <w:pPr>
              <w:adjustRightInd w:val="0"/>
              <w:snapToGrid w:val="0"/>
              <w:spacing w:line="160" w:lineRule="atLeast"/>
              <w:jc w:val="center"/>
              <w:rPr>
                <w:bCs/>
                <w:color w:val="auto"/>
                <w:sz w:val="18"/>
                <w:szCs w:val="18"/>
              </w:rPr>
            </w:pPr>
            <w:r>
              <w:rPr>
                <w:bCs/>
                <w:color w:val="auto"/>
                <w:sz w:val="18"/>
                <w:szCs w:val="18"/>
              </w:rPr>
              <w:t>350～450</w:t>
            </w:r>
          </w:p>
        </w:tc>
        <w:tc>
          <w:tcPr>
            <w:tcW w:w="1116" w:type="dxa"/>
            <w:vAlign w:val="center"/>
          </w:tcPr>
          <w:p w14:paraId="1C010C4E">
            <w:pPr>
              <w:adjustRightInd w:val="0"/>
              <w:snapToGrid w:val="0"/>
              <w:spacing w:line="160" w:lineRule="atLeast"/>
              <w:jc w:val="center"/>
              <w:rPr>
                <w:bCs/>
                <w:color w:val="auto"/>
                <w:sz w:val="18"/>
                <w:szCs w:val="18"/>
              </w:rPr>
            </w:pPr>
            <w:r>
              <w:rPr>
                <w:bCs/>
                <w:color w:val="auto"/>
                <w:sz w:val="18"/>
                <w:szCs w:val="18"/>
              </w:rPr>
              <w:t>210～400</w:t>
            </w:r>
          </w:p>
        </w:tc>
      </w:tr>
      <w:tr w14:paraId="3BF5B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031" w:type="dxa"/>
            <w:vAlign w:val="center"/>
          </w:tcPr>
          <w:p w14:paraId="58DA5030">
            <w:pPr>
              <w:adjustRightInd w:val="0"/>
              <w:snapToGrid w:val="0"/>
              <w:spacing w:line="160" w:lineRule="atLeast"/>
              <w:ind w:left="35" w:leftChars="-22" w:hanging="81" w:hangingChars="45"/>
              <w:jc w:val="center"/>
              <w:rPr>
                <w:bCs/>
                <w:color w:val="auto"/>
                <w:sz w:val="18"/>
                <w:szCs w:val="18"/>
              </w:rPr>
            </w:pPr>
            <w:r>
              <w:rPr>
                <w:bCs/>
                <w:i/>
                <w:iCs/>
                <w:color w:val="auto"/>
                <w:sz w:val="18"/>
                <w:szCs w:val="18"/>
              </w:rPr>
              <w:t>v</w:t>
            </w:r>
            <w:r>
              <w:rPr>
                <w:bCs/>
                <w:color w:val="auto"/>
                <w:sz w:val="18"/>
                <w:szCs w:val="18"/>
                <w:vertAlign w:val="subscript"/>
              </w:rPr>
              <w:t>s</w:t>
            </w:r>
            <w:r>
              <w:rPr>
                <w:bCs/>
                <w:color w:val="auto"/>
                <w:sz w:val="18"/>
                <w:szCs w:val="18"/>
              </w:rPr>
              <w:t>平均值（m/s）</w:t>
            </w:r>
          </w:p>
        </w:tc>
        <w:tc>
          <w:tcPr>
            <w:tcW w:w="885" w:type="dxa"/>
            <w:vAlign w:val="center"/>
          </w:tcPr>
          <w:p w14:paraId="3E540431">
            <w:pPr>
              <w:adjustRightInd w:val="0"/>
              <w:snapToGrid w:val="0"/>
              <w:spacing w:line="160" w:lineRule="atLeast"/>
              <w:jc w:val="center"/>
              <w:rPr>
                <w:bCs/>
                <w:color w:val="auto"/>
                <w:sz w:val="18"/>
                <w:szCs w:val="18"/>
              </w:rPr>
            </w:pPr>
            <w:r>
              <w:rPr>
                <w:bCs/>
                <w:color w:val="auto"/>
                <w:sz w:val="18"/>
                <w:szCs w:val="18"/>
              </w:rPr>
              <w:t>140</w:t>
            </w:r>
          </w:p>
        </w:tc>
        <w:tc>
          <w:tcPr>
            <w:tcW w:w="1024" w:type="dxa"/>
            <w:vAlign w:val="center"/>
          </w:tcPr>
          <w:p w14:paraId="585121B1">
            <w:pPr>
              <w:adjustRightInd w:val="0"/>
              <w:snapToGrid w:val="0"/>
              <w:spacing w:line="160" w:lineRule="atLeast"/>
              <w:jc w:val="center"/>
              <w:rPr>
                <w:bCs/>
                <w:color w:val="auto"/>
                <w:sz w:val="18"/>
                <w:szCs w:val="18"/>
              </w:rPr>
            </w:pPr>
            <w:r>
              <w:rPr>
                <w:bCs/>
                <w:color w:val="auto"/>
                <w:sz w:val="18"/>
                <w:szCs w:val="18"/>
              </w:rPr>
              <w:t>170</w:t>
            </w:r>
          </w:p>
        </w:tc>
        <w:tc>
          <w:tcPr>
            <w:tcW w:w="1024" w:type="dxa"/>
            <w:vAlign w:val="center"/>
          </w:tcPr>
          <w:p w14:paraId="36F488B4">
            <w:pPr>
              <w:adjustRightInd w:val="0"/>
              <w:snapToGrid w:val="0"/>
              <w:spacing w:line="160" w:lineRule="atLeast"/>
              <w:jc w:val="center"/>
              <w:rPr>
                <w:bCs/>
                <w:color w:val="auto"/>
                <w:sz w:val="18"/>
                <w:szCs w:val="18"/>
              </w:rPr>
            </w:pPr>
            <w:r>
              <w:rPr>
                <w:bCs/>
                <w:color w:val="auto"/>
                <w:sz w:val="18"/>
                <w:szCs w:val="18"/>
              </w:rPr>
              <w:t>130</w:t>
            </w:r>
          </w:p>
        </w:tc>
        <w:tc>
          <w:tcPr>
            <w:tcW w:w="1024" w:type="dxa"/>
            <w:vAlign w:val="center"/>
          </w:tcPr>
          <w:p w14:paraId="32D70CCE">
            <w:pPr>
              <w:adjustRightInd w:val="0"/>
              <w:snapToGrid w:val="0"/>
              <w:spacing w:line="160" w:lineRule="atLeast"/>
              <w:jc w:val="center"/>
              <w:rPr>
                <w:bCs/>
                <w:color w:val="auto"/>
                <w:sz w:val="18"/>
                <w:szCs w:val="18"/>
              </w:rPr>
            </w:pPr>
            <w:r>
              <w:rPr>
                <w:bCs/>
                <w:color w:val="auto"/>
                <w:sz w:val="18"/>
                <w:szCs w:val="18"/>
              </w:rPr>
              <w:t>180</w:t>
            </w:r>
          </w:p>
        </w:tc>
        <w:tc>
          <w:tcPr>
            <w:tcW w:w="1024" w:type="dxa"/>
            <w:vAlign w:val="center"/>
          </w:tcPr>
          <w:p w14:paraId="5459FDF4">
            <w:pPr>
              <w:adjustRightInd w:val="0"/>
              <w:snapToGrid w:val="0"/>
              <w:spacing w:line="160" w:lineRule="atLeast"/>
              <w:jc w:val="center"/>
              <w:rPr>
                <w:bCs/>
                <w:color w:val="auto"/>
                <w:sz w:val="18"/>
                <w:szCs w:val="18"/>
              </w:rPr>
            </w:pPr>
            <w:r>
              <w:rPr>
                <w:bCs/>
                <w:color w:val="auto"/>
                <w:sz w:val="18"/>
                <w:szCs w:val="18"/>
              </w:rPr>
              <w:t>240</w:t>
            </w:r>
          </w:p>
        </w:tc>
        <w:tc>
          <w:tcPr>
            <w:tcW w:w="1024" w:type="dxa"/>
            <w:vAlign w:val="center"/>
          </w:tcPr>
          <w:p w14:paraId="09F47952">
            <w:pPr>
              <w:adjustRightInd w:val="0"/>
              <w:snapToGrid w:val="0"/>
              <w:spacing w:line="160" w:lineRule="atLeast"/>
              <w:jc w:val="center"/>
              <w:rPr>
                <w:bCs/>
                <w:color w:val="auto"/>
                <w:sz w:val="18"/>
                <w:szCs w:val="18"/>
              </w:rPr>
            </w:pPr>
            <w:r>
              <w:rPr>
                <w:bCs/>
                <w:color w:val="auto"/>
                <w:sz w:val="18"/>
                <w:szCs w:val="18"/>
              </w:rPr>
              <w:t>350</w:t>
            </w:r>
          </w:p>
        </w:tc>
        <w:tc>
          <w:tcPr>
            <w:tcW w:w="1024" w:type="dxa"/>
            <w:vAlign w:val="center"/>
          </w:tcPr>
          <w:p w14:paraId="2AAA7585">
            <w:pPr>
              <w:adjustRightInd w:val="0"/>
              <w:snapToGrid w:val="0"/>
              <w:spacing w:line="160" w:lineRule="atLeast"/>
              <w:jc w:val="center"/>
              <w:rPr>
                <w:bCs/>
                <w:color w:val="auto"/>
                <w:sz w:val="18"/>
                <w:szCs w:val="18"/>
              </w:rPr>
            </w:pPr>
            <w:r>
              <w:rPr>
                <w:bCs/>
                <w:color w:val="auto"/>
                <w:sz w:val="18"/>
                <w:szCs w:val="18"/>
              </w:rPr>
              <w:t>390</w:t>
            </w:r>
          </w:p>
        </w:tc>
        <w:tc>
          <w:tcPr>
            <w:tcW w:w="1116" w:type="dxa"/>
            <w:vAlign w:val="center"/>
          </w:tcPr>
          <w:p w14:paraId="5DADD5DA">
            <w:pPr>
              <w:adjustRightInd w:val="0"/>
              <w:snapToGrid w:val="0"/>
              <w:spacing w:line="160" w:lineRule="atLeast"/>
              <w:jc w:val="center"/>
              <w:rPr>
                <w:bCs/>
                <w:color w:val="auto"/>
                <w:sz w:val="18"/>
                <w:szCs w:val="18"/>
              </w:rPr>
            </w:pPr>
            <w:r>
              <w:rPr>
                <w:bCs/>
                <w:color w:val="auto"/>
                <w:sz w:val="18"/>
                <w:szCs w:val="18"/>
              </w:rPr>
              <w:t>310</w:t>
            </w:r>
          </w:p>
        </w:tc>
      </w:tr>
    </w:tbl>
    <w:p w14:paraId="55D4DFCA">
      <w:pPr>
        <w:adjustRightInd w:val="0"/>
        <w:snapToGrid w:val="0"/>
        <w:spacing w:line="340" w:lineRule="atLeast"/>
        <w:jc w:val="center"/>
        <w:rPr>
          <w:rFonts w:eastAsia="黑体"/>
          <w:b/>
          <w:color w:val="auto"/>
          <w:szCs w:val="21"/>
        </w:rPr>
      </w:pPr>
    </w:p>
    <w:p w14:paraId="59062585">
      <w:pPr>
        <w:adjustRightInd w:val="0"/>
        <w:snapToGrid w:val="0"/>
        <w:spacing w:line="340" w:lineRule="atLeast"/>
        <w:jc w:val="center"/>
        <w:rPr>
          <w:rFonts w:eastAsia="黑体"/>
          <w:b/>
          <w:color w:val="auto"/>
          <w:szCs w:val="21"/>
        </w:rPr>
      </w:pPr>
      <w:r>
        <w:rPr>
          <w:rFonts w:eastAsia="黑体"/>
          <w:b/>
          <w:color w:val="auto"/>
          <w:szCs w:val="21"/>
        </w:rPr>
        <w:t>表B.2  岩石的剪切波速表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82"/>
        <w:gridCol w:w="2176"/>
        <w:gridCol w:w="1741"/>
        <w:gridCol w:w="1792"/>
        <w:gridCol w:w="1864"/>
      </w:tblGrid>
      <w:tr w14:paraId="6F5D5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1582" w:type="dxa"/>
            <w:vMerge w:val="restart"/>
            <w:tcBorders>
              <w:top w:val="single" w:color="000000" w:sz="12" w:space="0"/>
              <w:left w:val="single" w:color="000000" w:sz="12" w:space="0"/>
            </w:tcBorders>
            <w:vAlign w:val="center"/>
          </w:tcPr>
          <w:p w14:paraId="59887E1B">
            <w:pPr>
              <w:adjustRightInd w:val="0"/>
              <w:snapToGrid w:val="0"/>
              <w:jc w:val="center"/>
              <w:rPr>
                <w:color w:val="auto"/>
                <w:sz w:val="18"/>
                <w:szCs w:val="18"/>
              </w:rPr>
            </w:pPr>
            <w:r>
              <w:rPr>
                <w:color w:val="auto"/>
                <w:sz w:val="18"/>
                <w:szCs w:val="18"/>
              </w:rPr>
              <w:t>坚硬程度等级</w:t>
            </w:r>
          </w:p>
        </w:tc>
        <w:tc>
          <w:tcPr>
            <w:tcW w:w="2176" w:type="dxa"/>
            <w:vMerge w:val="restart"/>
            <w:tcBorders>
              <w:top w:val="single" w:color="000000" w:sz="12" w:space="0"/>
              <w:tl2br w:val="nil"/>
            </w:tcBorders>
            <w:vAlign w:val="center"/>
          </w:tcPr>
          <w:p w14:paraId="00FCC2C6">
            <w:pPr>
              <w:adjustRightInd w:val="0"/>
              <w:snapToGrid w:val="0"/>
              <w:jc w:val="center"/>
              <w:rPr>
                <w:color w:val="auto"/>
                <w:sz w:val="18"/>
                <w:szCs w:val="18"/>
              </w:rPr>
            </w:pPr>
            <w:r>
              <w:rPr>
                <w:color w:val="auto"/>
                <w:sz w:val="18"/>
                <w:szCs w:val="18"/>
              </w:rPr>
              <w:t>波速Vs（m/s）</w:t>
            </w:r>
          </w:p>
        </w:tc>
        <w:tc>
          <w:tcPr>
            <w:tcW w:w="5397" w:type="dxa"/>
            <w:gridSpan w:val="3"/>
            <w:tcBorders>
              <w:top w:val="single" w:color="000000" w:sz="12" w:space="0"/>
              <w:right w:val="single" w:color="000000" w:sz="12" w:space="0"/>
            </w:tcBorders>
            <w:vAlign w:val="center"/>
          </w:tcPr>
          <w:p w14:paraId="6E381825">
            <w:pPr>
              <w:adjustRightInd w:val="0"/>
              <w:snapToGrid w:val="0"/>
              <w:jc w:val="center"/>
              <w:rPr>
                <w:color w:val="auto"/>
                <w:sz w:val="18"/>
                <w:szCs w:val="18"/>
              </w:rPr>
            </w:pPr>
            <w:r>
              <w:rPr>
                <w:color w:val="auto"/>
                <w:sz w:val="18"/>
                <w:szCs w:val="18"/>
              </w:rPr>
              <w:t>风化程度</w:t>
            </w:r>
          </w:p>
        </w:tc>
      </w:tr>
      <w:tr w14:paraId="51087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1582" w:type="dxa"/>
            <w:vMerge w:val="continue"/>
            <w:tcBorders>
              <w:left w:val="single" w:color="000000" w:sz="12" w:space="0"/>
            </w:tcBorders>
            <w:vAlign w:val="center"/>
          </w:tcPr>
          <w:p w14:paraId="018749FD">
            <w:pPr>
              <w:adjustRightInd w:val="0"/>
              <w:snapToGrid w:val="0"/>
              <w:jc w:val="center"/>
              <w:rPr>
                <w:color w:val="auto"/>
                <w:sz w:val="18"/>
                <w:szCs w:val="18"/>
              </w:rPr>
            </w:pPr>
          </w:p>
        </w:tc>
        <w:tc>
          <w:tcPr>
            <w:tcW w:w="2176" w:type="dxa"/>
            <w:vMerge w:val="continue"/>
            <w:tcBorders>
              <w:tl2br w:val="nil"/>
            </w:tcBorders>
            <w:vAlign w:val="center"/>
          </w:tcPr>
          <w:p w14:paraId="7C3CB51B">
            <w:pPr>
              <w:adjustRightInd w:val="0"/>
              <w:snapToGrid w:val="0"/>
              <w:jc w:val="left"/>
              <w:rPr>
                <w:color w:val="auto"/>
                <w:sz w:val="18"/>
                <w:szCs w:val="18"/>
              </w:rPr>
            </w:pPr>
          </w:p>
        </w:tc>
        <w:tc>
          <w:tcPr>
            <w:tcW w:w="1741" w:type="dxa"/>
            <w:tcBorders>
              <w:top w:val="single" w:color="000000" w:sz="12" w:space="0"/>
            </w:tcBorders>
            <w:vAlign w:val="center"/>
          </w:tcPr>
          <w:p w14:paraId="7D283D45">
            <w:pPr>
              <w:adjustRightInd w:val="0"/>
              <w:snapToGrid w:val="0"/>
              <w:jc w:val="center"/>
              <w:rPr>
                <w:color w:val="auto"/>
                <w:sz w:val="18"/>
                <w:szCs w:val="18"/>
              </w:rPr>
            </w:pPr>
            <w:r>
              <w:rPr>
                <w:color w:val="auto"/>
                <w:sz w:val="18"/>
                <w:szCs w:val="18"/>
              </w:rPr>
              <w:t>强风化</w:t>
            </w:r>
          </w:p>
        </w:tc>
        <w:tc>
          <w:tcPr>
            <w:tcW w:w="1792" w:type="dxa"/>
            <w:tcBorders>
              <w:top w:val="single" w:color="000000" w:sz="12" w:space="0"/>
            </w:tcBorders>
            <w:vAlign w:val="center"/>
          </w:tcPr>
          <w:p w14:paraId="1C267863">
            <w:pPr>
              <w:adjustRightInd w:val="0"/>
              <w:snapToGrid w:val="0"/>
              <w:jc w:val="center"/>
              <w:rPr>
                <w:color w:val="auto"/>
                <w:sz w:val="18"/>
                <w:szCs w:val="18"/>
              </w:rPr>
            </w:pPr>
            <w:r>
              <w:rPr>
                <w:color w:val="auto"/>
                <w:sz w:val="18"/>
                <w:szCs w:val="18"/>
              </w:rPr>
              <w:t>中风化</w:t>
            </w:r>
          </w:p>
        </w:tc>
        <w:tc>
          <w:tcPr>
            <w:tcW w:w="1864" w:type="dxa"/>
            <w:tcBorders>
              <w:top w:val="single" w:color="000000" w:sz="12" w:space="0"/>
              <w:right w:val="single" w:color="000000" w:sz="12" w:space="0"/>
            </w:tcBorders>
            <w:vAlign w:val="center"/>
          </w:tcPr>
          <w:p w14:paraId="25BFCF84">
            <w:pPr>
              <w:adjustRightInd w:val="0"/>
              <w:snapToGrid w:val="0"/>
              <w:jc w:val="center"/>
              <w:rPr>
                <w:color w:val="auto"/>
                <w:sz w:val="18"/>
                <w:szCs w:val="18"/>
              </w:rPr>
            </w:pPr>
            <w:r>
              <w:rPr>
                <w:color w:val="auto"/>
                <w:sz w:val="18"/>
                <w:szCs w:val="18"/>
              </w:rPr>
              <w:t>未、微风化</w:t>
            </w:r>
          </w:p>
        </w:tc>
      </w:tr>
      <w:tr w14:paraId="32700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1582" w:type="dxa"/>
            <w:tcBorders>
              <w:left w:val="single" w:color="000000" w:sz="12" w:space="0"/>
            </w:tcBorders>
            <w:vAlign w:val="center"/>
          </w:tcPr>
          <w:p w14:paraId="716DAB39">
            <w:pPr>
              <w:adjustRightInd w:val="0"/>
              <w:snapToGrid w:val="0"/>
              <w:jc w:val="center"/>
              <w:rPr>
                <w:color w:val="auto"/>
                <w:sz w:val="18"/>
                <w:szCs w:val="18"/>
              </w:rPr>
            </w:pPr>
            <w:r>
              <w:rPr>
                <w:color w:val="auto"/>
                <w:sz w:val="18"/>
                <w:szCs w:val="18"/>
              </w:rPr>
              <w:t>硬质岩</w:t>
            </w:r>
          </w:p>
        </w:tc>
        <w:tc>
          <w:tcPr>
            <w:tcW w:w="2176" w:type="dxa"/>
            <w:vAlign w:val="center"/>
          </w:tcPr>
          <w:p w14:paraId="75FBE62C">
            <w:pPr>
              <w:adjustRightInd w:val="0"/>
              <w:snapToGrid w:val="0"/>
              <w:jc w:val="center"/>
              <w:rPr>
                <w:color w:val="auto"/>
                <w:sz w:val="18"/>
                <w:szCs w:val="18"/>
              </w:rPr>
            </w:pPr>
            <w:r>
              <w:rPr>
                <w:color w:val="auto"/>
                <w:sz w:val="18"/>
                <w:szCs w:val="18"/>
              </w:rPr>
              <w:t>范围值</w:t>
            </w:r>
          </w:p>
        </w:tc>
        <w:tc>
          <w:tcPr>
            <w:tcW w:w="1741" w:type="dxa"/>
            <w:vAlign w:val="center"/>
          </w:tcPr>
          <w:p w14:paraId="16BB5C43">
            <w:pPr>
              <w:adjustRightInd w:val="0"/>
              <w:snapToGrid w:val="0"/>
              <w:jc w:val="center"/>
              <w:rPr>
                <w:color w:val="auto"/>
                <w:sz w:val="18"/>
                <w:szCs w:val="18"/>
              </w:rPr>
            </w:pPr>
            <w:r>
              <w:rPr>
                <w:color w:val="auto"/>
                <w:sz w:val="18"/>
                <w:szCs w:val="18"/>
              </w:rPr>
              <w:t>500～850</w:t>
            </w:r>
          </w:p>
        </w:tc>
        <w:tc>
          <w:tcPr>
            <w:tcW w:w="1792" w:type="dxa"/>
            <w:vAlign w:val="center"/>
          </w:tcPr>
          <w:p w14:paraId="10F3FA49">
            <w:pPr>
              <w:adjustRightInd w:val="0"/>
              <w:snapToGrid w:val="0"/>
              <w:jc w:val="center"/>
              <w:rPr>
                <w:color w:val="auto"/>
                <w:sz w:val="18"/>
                <w:szCs w:val="18"/>
              </w:rPr>
            </w:pPr>
            <w:r>
              <w:rPr>
                <w:color w:val="auto"/>
                <w:sz w:val="18"/>
                <w:szCs w:val="18"/>
              </w:rPr>
              <w:t>650～900</w:t>
            </w:r>
          </w:p>
        </w:tc>
        <w:tc>
          <w:tcPr>
            <w:tcW w:w="1864" w:type="dxa"/>
            <w:tcBorders>
              <w:right w:val="single" w:color="000000" w:sz="12" w:space="0"/>
            </w:tcBorders>
            <w:vAlign w:val="center"/>
          </w:tcPr>
          <w:p w14:paraId="46EECC58">
            <w:pPr>
              <w:adjustRightInd w:val="0"/>
              <w:snapToGrid w:val="0"/>
              <w:jc w:val="center"/>
              <w:rPr>
                <w:color w:val="auto"/>
                <w:sz w:val="18"/>
                <w:szCs w:val="18"/>
              </w:rPr>
            </w:pPr>
            <w:r>
              <w:rPr>
                <w:color w:val="auto"/>
                <w:sz w:val="18"/>
                <w:szCs w:val="18"/>
              </w:rPr>
              <w:t>850～1200</w:t>
            </w:r>
          </w:p>
        </w:tc>
      </w:tr>
      <w:tr w14:paraId="307CA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1582" w:type="dxa"/>
            <w:tcBorders>
              <w:left w:val="single" w:color="000000" w:sz="12" w:space="0"/>
            </w:tcBorders>
            <w:vAlign w:val="center"/>
          </w:tcPr>
          <w:p w14:paraId="5AD6B4C9">
            <w:pPr>
              <w:adjustRightInd w:val="0"/>
              <w:snapToGrid w:val="0"/>
              <w:jc w:val="center"/>
              <w:rPr>
                <w:color w:val="auto"/>
                <w:sz w:val="18"/>
                <w:szCs w:val="18"/>
              </w:rPr>
            </w:pPr>
          </w:p>
        </w:tc>
        <w:tc>
          <w:tcPr>
            <w:tcW w:w="2176" w:type="dxa"/>
            <w:vAlign w:val="center"/>
          </w:tcPr>
          <w:p w14:paraId="2C247A52">
            <w:pPr>
              <w:adjustRightInd w:val="0"/>
              <w:snapToGrid w:val="0"/>
              <w:jc w:val="center"/>
              <w:rPr>
                <w:color w:val="auto"/>
                <w:sz w:val="18"/>
                <w:szCs w:val="18"/>
              </w:rPr>
            </w:pPr>
            <w:r>
              <w:rPr>
                <w:color w:val="auto"/>
                <w:sz w:val="18"/>
                <w:szCs w:val="18"/>
              </w:rPr>
              <w:t>平均值</w:t>
            </w:r>
          </w:p>
        </w:tc>
        <w:tc>
          <w:tcPr>
            <w:tcW w:w="1741" w:type="dxa"/>
            <w:vAlign w:val="center"/>
          </w:tcPr>
          <w:p w14:paraId="7019C101">
            <w:pPr>
              <w:adjustRightInd w:val="0"/>
              <w:snapToGrid w:val="0"/>
              <w:jc w:val="center"/>
              <w:rPr>
                <w:color w:val="auto"/>
                <w:sz w:val="18"/>
                <w:szCs w:val="18"/>
              </w:rPr>
            </w:pPr>
            <w:r>
              <w:rPr>
                <w:color w:val="auto"/>
                <w:sz w:val="18"/>
                <w:szCs w:val="18"/>
              </w:rPr>
              <w:t>650</w:t>
            </w:r>
          </w:p>
        </w:tc>
        <w:tc>
          <w:tcPr>
            <w:tcW w:w="1792" w:type="dxa"/>
            <w:vAlign w:val="center"/>
          </w:tcPr>
          <w:p w14:paraId="4E262E0D">
            <w:pPr>
              <w:adjustRightInd w:val="0"/>
              <w:snapToGrid w:val="0"/>
              <w:jc w:val="center"/>
              <w:rPr>
                <w:color w:val="auto"/>
                <w:sz w:val="18"/>
                <w:szCs w:val="18"/>
              </w:rPr>
            </w:pPr>
            <w:r>
              <w:rPr>
                <w:color w:val="auto"/>
                <w:sz w:val="18"/>
                <w:szCs w:val="18"/>
              </w:rPr>
              <w:t>750</w:t>
            </w:r>
          </w:p>
        </w:tc>
        <w:tc>
          <w:tcPr>
            <w:tcW w:w="1864" w:type="dxa"/>
            <w:tcBorders>
              <w:right w:val="single" w:color="000000" w:sz="12" w:space="0"/>
            </w:tcBorders>
            <w:vAlign w:val="center"/>
          </w:tcPr>
          <w:p w14:paraId="783A2FF0">
            <w:pPr>
              <w:adjustRightInd w:val="0"/>
              <w:snapToGrid w:val="0"/>
              <w:jc w:val="center"/>
              <w:rPr>
                <w:color w:val="auto"/>
                <w:sz w:val="18"/>
                <w:szCs w:val="18"/>
              </w:rPr>
            </w:pPr>
            <w:r>
              <w:rPr>
                <w:color w:val="auto"/>
                <w:sz w:val="18"/>
                <w:szCs w:val="18"/>
              </w:rPr>
              <w:t>990</w:t>
            </w:r>
          </w:p>
        </w:tc>
      </w:tr>
      <w:tr w14:paraId="57CD5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1582" w:type="dxa"/>
            <w:tcBorders>
              <w:left w:val="single" w:color="000000" w:sz="12" w:space="0"/>
            </w:tcBorders>
            <w:vAlign w:val="center"/>
          </w:tcPr>
          <w:p w14:paraId="3F32BE76">
            <w:pPr>
              <w:adjustRightInd w:val="0"/>
              <w:snapToGrid w:val="0"/>
              <w:jc w:val="center"/>
              <w:rPr>
                <w:color w:val="auto"/>
                <w:sz w:val="18"/>
                <w:szCs w:val="18"/>
              </w:rPr>
            </w:pPr>
            <w:r>
              <w:rPr>
                <w:color w:val="auto"/>
                <w:sz w:val="18"/>
                <w:szCs w:val="18"/>
              </w:rPr>
              <w:t>软质岩</w:t>
            </w:r>
          </w:p>
        </w:tc>
        <w:tc>
          <w:tcPr>
            <w:tcW w:w="2176" w:type="dxa"/>
            <w:vAlign w:val="center"/>
          </w:tcPr>
          <w:p w14:paraId="48AFF796">
            <w:pPr>
              <w:adjustRightInd w:val="0"/>
              <w:snapToGrid w:val="0"/>
              <w:jc w:val="center"/>
              <w:rPr>
                <w:color w:val="auto"/>
                <w:sz w:val="18"/>
                <w:szCs w:val="18"/>
              </w:rPr>
            </w:pPr>
            <w:r>
              <w:rPr>
                <w:color w:val="auto"/>
                <w:sz w:val="18"/>
                <w:szCs w:val="18"/>
              </w:rPr>
              <w:t>范围值</w:t>
            </w:r>
          </w:p>
        </w:tc>
        <w:tc>
          <w:tcPr>
            <w:tcW w:w="1741" w:type="dxa"/>
            <w:vAlign w:val="center"/>
          </w:tcPr>
          <w:p w14:paraId="6E02EB24">
            <w:pPr>
              <w:adjustRightInd w:val="0"/>
              <w:snapToGrid w:val="0"/>
              <w:jc w:val="center"/>
              <w:rPr>
                <w:color w:val="auto"/>
                <w:sz w:val="18"/>
                <w:szCs w:val="18"/>
              </w:rPr>
            </w:pPr>
            <w:r>
              <w:rPr>
                <w:color w:val="auto"/>
                <w:sz w:val="18"/>
                <w:szCs w:val="18"/>
              </w:rPr>
              <w:t>450～750</w:t>
            </w:r>
          </w:p>
        </w:tc>
        <w:tc>
          <w:tcPr>
            <w:tcW w:w="1792" w:type="dxa"/>
            <w:vAlign w:val="center"/>
          </w:tcPr>
          <w:p w14:paraId="451ADFEC">
            <w:pPr>
              <w:adjustRightInd w:val="0"/>
              <w:snapToGrid w:val="0"/>
              <w:jc w:val="center"/>
              <w:rPr>
                <w:color w:val="auto"/>
                <w:sz w:val="18"/>
                <w:szCs w:val="18"/>
              </w:rPr>
            </w:pPr>
            <w:r>
              <w:rPr>
                <w:color w:val="auto"/>
                <w:sz w:val="18"/>
                <w:szCs w:val="18"/>
              </w:rPr>
              <w:t>550～850</w:t>
            </w:r>
          </w:p>
        </w:tc>
        <w:tc>
          <w:tcPr>
            <w:tcW w:w="1864" w:type="dxa"/>
            <w:tcBorders>
              <w:right w:val="single" w:color="000000" w:sz="12" w:space="0"/>
            </w:tcBorders>
            <w:vAlign w:val="center"/>
          </w:tcPr>
          <w:p w14:paraId="5260736A">
            <w:pPr>
              <w:adjustRightInd w:val="0"/>
              <w:snapToGrid w:val="0"/>
              <w:jc w:val="center"/>
              <w:rPr>
                <w:color w:val="auto"/>
                <w:sz w:val="18"/>
                <w:szCs w:val="18"/>
              </w:rPr>
            </w:pPr>
            <w:r>
              <w:rPr>
                <w:color w:val="auto"/>
                <w:sz w:val="18"/>
                <w:szCs w:val="18"/>
              </w:rPr>
              <w:t>750～1000</w:t>
            </w:r>
          </w:p>
        </w:tc>
      </w:tr>
      <w:tr w14:paraId="32388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1582" w:type="dxa"/>
            <w:tcBorders>
              <w:left w:val="single" w:color="000000" w:sz="12" w:space="0"/>
            </w:tcBorders>
            <w:vAlign w:val="center"/>
          </w:tcPr>
          <w:p w14:paraId="469759D4">
            <w:pPr>
              <w:adjustRightInd w:val="0"/>
              <w:snapToGrid w:val="0"/>
              <w:jc w:val="center"/>
              <w:rPr>
                <w:color w:val="auto"/>
                <w:sz w:val="18"/>
                <w:szCs w:val="18"/>
              </w:rPr>
            </w:pPr>
          </w:p>
        </w:tc>
        <w:tc>
          <w:tcPr>
            <w:tcW w:w="2176" w:type="dxa"/>
            <w:vAlign w:val="center"/>
          </w:tcPr>
          <w:p w14:paraId="7E69ABA8">
            <w:pPr>
              <w:adjustRightInd w:val="0"/>
              <w:snapToGrid w:val="0"/>
              <w:jc w:val="center"/>
              <w:rPr>
                <w:color w:val="auto"/>
                <w:sz w:val="18"/>
                <w:szCs w:val="18"/>
              </w:rPr>
            </w:pPr>
            <w:r>
              <w:rPr>
                <w:color w:val="auto"/>
                <w:sz w:val="18"/>
                <w:szCs w:val="18"/>
              </w:rPr>
              <w:t>平均值</w:t>
            </w:r>
          </w:p>
        </w:tc>
        <w:tc>
          <w:tcPr>
            <w:tcW w:w="1741" w:type="dxa"/>
            <w:vAlign w:val="center"/>
          </w:tcPr>
          <w:p w14:paraId="35DB7D5A">
            <w:pPr>
              <w:adjustRightInd w:val="0"/>
              <w:snapToGrid w:val="0"/>
              <w:jc w:val="center"/>
              <w:rPr>
                <w:color w:val="auto"/>
                <w:sz w:val="18"/>
                <w:szCs w:val="18"/>
              </w:rPr>
            </w:pPr>
            <w:r>
              <w:rPr>
                <w:color w:val="auto"/>
                <w:sz w:val="18"/>
                <w:szCs w:val="18"/>
              </w:rPr>
              <w:t>550</w:t>
            </w:r>
          </w:p>
        </w:tc>
        <w:tc>
          <w:tcPr>
            <w:tcW w:w="1792" w:type="dxa"/>
            <w:vAlign w:val="center"/>
          </w:tcPr>
          <w:p w14:paraId="4D8646C8">
            <w:pPr>
              <w:adjustRightInd w:val="0"/>
              <w:snapToGrid w:val="0"/>
              <w:jc w:val="center"/>
              <w:rPr>
                <w:color w:val="auto"/>
                <w:sz w:val="18"/>
                <w:szCs w:val="18"/>
              </w:rPr>
            </w:pPr>
            <w:r>
              <w:rPr>
                <w:color w:val="auto"/>
                <w:sz w:val="18"/>
                <w:szCs w:val="18"/>
              </w:rPr>
              <w:t>680</w:t>
            </w:r>
          </w:p>
        </w:tc>
        <w:tc>
          <w:tcPr>
            <w:tcW w:w="1864" w:type="dxa"/>
            <w:tcBorders>
              <w:right w:val="single" w:color="000000" w:sz="12" w:space="0"/>
            </w:tcBorders>
            <w:vAlign w:val="center"/>
          </w:tcPr>
          <w:p w14:paraId="6EAB6B54">
            <w:pPr>
              <w:adjustRightInd w:val="0"/>
              <w:snapToGrid w:val="0"/>
              <w:jc w:val="center"/>
              <w:rPr>
                <w:color w:val="auto"/>
                <w:sz w:val="18"/>
                <w:szCs w:val="18"/>
              </w:rPr>
            </w:pPr>
            <w:r>
              <w:rPr>
                <w:color w:val="auto"/>
                <w:sz w:val="18"/>
                <w:szCs w:val="18"/>
              </w:rPr>
              <w:t>850</w:t>
            </w:r>
          </w:p>
        </w:tc>
      </w:tr>
      <w:tr w14:paraId="324A4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1582" w:type="dxa"/>
            <w:tcBorders>
              <w:left w:val="single" w:color="000000" w:sz="12" w:space="0"/>
            </w:tcBorders>
            <w:vAlign w:val="center"/>
          </w:tcPr>
          <w:p w14:paraId="181EAA3F">
            <w:pPr>
              <w:adjustRightInd w:val="0"/>
              <w:snapToGrid w:val="0"/>
              <w:jc w:val="center"/>
              <w:rPr>
                <w:color w:val="auto"/>
                <w:sz w:val="18"/>
                <w:szCs w:val="18"/>
              </w:rPr>
            </w:pPr>
            <w:r>
              <w:rPr>
                <w:color w:val="auto"/>
                <w:sz w:val="18"/>
                <w:szCs w:val="18"/>
              </w:rPr>
              <w:t>极软岩（泥岩）</w:t>
            </w:r>
          </w:p>
        </w:tc>
        <w:tc>
          <w:tcPr>
            <w:tcW w:w="2176" w:type="dxa"/>
            <w:vAlign w:val="center"/>
          </w:tcPr>
          <w:p w14:paraId="5267718F">
            <w:pPr>
              <w:adjustRightInd w:val="0"/>
              <w:snapToGrid w:val="0"/>
              <w:jc w:val="center"/>
              <w:rPr>
                <w:color w:val="auto"/>
                <w:sz w:val="18"/>
                <w:szCs w:val="18"/>
              </w:rPr>
            </w:pPr>
            <w:r>
              <w:rPr>
                <w:color w:val="auto"/>
                <w:sz w:val="18"/>
                <w:szCs w:val="18"/>
              </w:rPr>
              <w:t>范围值</w:t>
            </w:r>
          </w:p>
        </w:tc>
        <w:tc>
          <w:tcPr>
            <w:tcW w:w="1741" w:type="dxa"/>
            <w:vAlign w:val="center"/>
          </w:tcPr>
          <w:p w14:paraId="7599270C">
            <w:pPr>
              <w:adjustRightInd w:val="0"/>
              <w:snapToGrid w:val="0"/>
              <w:jc w:val="center"/>
              <w:rPr>
                <w:color w:val="auto"/>
                <w:sz w:val="18"/>
                <w:szCs w:val="18"/>
              </w:rPr>
            </w:pPr>
            <w:r>
              <w:rPr>
                <w:color w:val="auto"/>
                <w:sz w:val="18"/>
                <w:szCs w:val="18"/>
              </w:rPr>
              <w:t>350～500</w:t>
            </w:r>
          </w:p>
        </w:tc>
        <w:tc>
          <w:tcPr>
            <w:tcW w:w="3656" w:type="dxa"/>
            <w:gridSpan w:val="2"/>
            <w:tcBorders>
              <w:right w:val="single" w:color="000000" w:sz="12" w:space="0"/>
            </w:tcBorders>
            <w:vAlign w:val="center"/>
          </w:tcPr>
          <w:p w14:paraId="4AEAFE4C">
            <w:pPr>
              <w:adjustRightInd w:val="0"/>
              <w:snapToGrid w:val="0"/>
              <w:jc w:val="center"/>
              <w:rPr>
                <w:color w:val="auto"/>
                <w:sz w:val="18"/>
                <w:szCs w:val="18"/>
              </w:rPr>
            </w:pPr>
            <w:r>
              <w:rPr>
                <w:color w:val="auto"/>
                <w:sz w:val="18"/>
                <w:szCs w:val="18"/>
              </w:rPr>
              <w:t>500～750</w:t>
            </w:r>
          </w:p>
        </w:tc>
      </w:tr>
      <w:tr w14:paraId="2CEC8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1582" w:type="dxa"/>
            <w:tcBorders>
              <w:left w:val="single" w:color="000000" w:sz="12" w:space="0"/>
              <w:bottom w:val="single" w:color="000000" w:sz="12" w:space="0"/>
            </w:tcBorders>
            <w:vAlign w:val="center"/>
          </w:tcPr>
          <w:p w14:paraId="5007B23C">
            <w:pPr>
              <w:adjustRightInd w:val="0"/>
              <w:snapToGrid w:val="0"/>
              <w:jc w:val="center"/>
              <w:rPr>
                <w:color w:val="auto"/>
                <w:sz w:val="18"/>
                <w:szCs w:val="18"/>
              </w:rPr>
            </w:pPr>
          </w:p>
        </w:tc>
        <w:tc>
          <w:tcPr>
            <w:tcW w:w="2176" w:type="dxa"/>
            <w:tcBorders>
              <w:bottom w:val="single" w:color="000000" w:sz="12" w:space="0"/>
            </w:tcBorders>
            <w:vAlign w:val="center"/>
          </w:tcPr>
          <w:p w14:paraId="5FB094BA">
            <w:pPr>
              <w:adjustRightInd w:val="0"/>
              <w:snapToGrid w:val="0"/>
              <w:jc w:val="center"/>
              <w:rPr>
                <w:color w:val="auto"/>
                <w:sz w:val="18"/>
                <w:szCs w:val="18"/>
              </w:rPr>
            </w:pPr>
            <w:r>
              <w:rPr>
                <w:color w:val="auto"/>
                <w:sz w:val="18"/>
                <w:szCs w:val="18"/>
              </w:rPr>
              <w:t>平均值</w:t>
            </w:r>
          </w:p>
        </w:tc>
        <w:tc>
          <w:tcPr>
            <w:tcW w:w="1741" w:type="dxa"/>
            <w:tcBorders>
              <w:bottom w:val="single" w:color="000000" w:sz="12" w:space="0"/>
            </w:tcBorders>
            <w:vAlign w:val="center"/>
          </w:tcPr>
          <w:p w14:paraId="0FD12FD8">
            <w:pPr>
              <w:adjustRightInd w:val="0"/>
              <w:snapToGrid w:val="0"/>
              <w:jc w:val="center"/>
              <w:rPr>
                <w:color w:val="auto"/>
                <w:sz w:val="18"/>
                <w:szCs w:val="18"/>
              </w:rPr>
            </w:pPr>
            <w:r>
              <w:rPr>
                <w:color w:val="auto"/>
                <w:sz w:val="18"/>
                <w:szCs w:val="18"/>
              </w:rPr>
              <w:t>400</w:t>
            </w:r>
          </w:p>
        </w:tc>
        <w:tc>
          <w:tcPr>
            <w:tcW w:w="3656" w:type="dxa"/>
            <w:gridSpan w:val="2"/>
            <w:tcBorders>
              <w:bottom w:val="single" w:color="000000" w:sz="12" w:space="0"/>
              <w:right w:val="single" w:color="000000" w:sz="12" w:space="0"/>
            </w:tcBorders>
            <w:vAlign w:val="center"/>
          </w:tcPr>
          <w:p w14:paraId="59884F16">
            <w:pPr>
              <w:adjustRightInd w:val="0"/>
              <w:snapToGrid w:val="0"/>
              <w:jc w:val="center"/>
              <w:rPr>
                <w:color w:val="auto"/>
                <w:sz w:val="18"/>
                <w:szCs w:val="18"/>
              </w:rPr>
            </w:pPr>
            <w:r>
              <w:rPr>
                <w:color w:val="auto"/>
                <w:sz w:val="18"/>
                <w:szCs w:val="18"/>
              </w:rPr>
              <w:t>620</w:t>
            </w:r>
          </w:p>
        </w:tc>
      </w:tr>
    </w:tbl>
    <w:p w14:paraId="0C8F01A9">
      <w:pPr>
        <w:adjustRightInd w:val="0"/>
        <w:snapToGrid w:val="0"/>
        <w:spacing w:before="240"/>
        <w:rPr>
          <w:rFonts w:eastAsia="黑体"/>
          <w:b/>
          <w:color w:val="auto"/>
          <w:sz w:val="18"/>
          <w:szCs w:val="18"/>
        </w:rPr>
      </w:pPr>
    </w:p>
    <w:p w14:paraId="3FC6BC8D">
      <w:pPr>
        <w:adjustRightInd w:val="0"/>
        <w:snapToGrid w:val="0"/>
        <w:spacing w:line="340" w:lineRule="atLeast"/>
        <w:jc w:val="center"/>
        <w:rPr>
          <w:rFonts w:eastAsia="黑体"/>
          <w:b/>
          <w:color w:val="auto"/>
          <w:szCs w:val="21"/>
        </w:rPr>
      </w:pPr>
      <w:r>
        <w:rPr>
          <w:rFonts w:eastAsia="黑体"/>
          <w:b/>
          <w:color w:val="auto"/>
          <w:szCs w:val="21"/>
        </w:rPr>
        <w:t>表B.3  利用标贯锤击数平均值确定淤泥质土、黏性土的剪切波速表</w:t>
      </w:r>
    </w:p>
    <w:tbl>
      <w:tblPr>
        <w:tblStyle w:val="36"/>
        <w:tblW w:w="91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622"/>
        <w:gridCol w:w="622"/>
        <w:gridCol w:w="622"/>
        <w:gridCol w:w="622"/>
        <w:gridCol w:w="622"/>
        <w:gridCol w:w="700"/>
        <w:gridCol w:w="721"/>
        <w:gridCol w:w="797"/>
        <w:gridCol w:w="793"/>
        <w:gridCol w:w="696"/>
        <w:gridCol w:w="696"/>
        <w:gridCol w:w="668"/>
      </w:tblGrid>
      <w:tr w14:paraId="3802D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008" w:type="dxa"/>
            <w:vAlign w:val="center"/>
          </w:tcPr>
          <w:p w14:paraId="1B86181A">
            <w:pPr>
              <w:pStyle w:val="9"/>
              <w:spacing w:line="300" w:lineRule="atLeast"/>
              <w:rPr>
                <w:rFonts w:ascii="Times New Roman"/>
                <w:i/>
                <w:color w:val="auto"/>
                <w:sz w:val="18"/>
                <w:szCs w:val="18"/>
              </w:rPr>
            </w:pPr>
            <w:r>
              <w:rPr>
                <w:rFonts w:ascii="Times New Roman"/>
                <w:i/>
                <w:color w:val="auto"/>
                <w:sz w:val="18"/>
                <w:szCs w:val="18"/>
              </w:rPr>
              <w:t>土 类</w:t>
            </w:r>
          </w:p>
        </w:tc>
        <w:tc>
          <w:tcPr>
            <w:tcW w:w="3810" w:type="dxa"/>
            <w:gridSpan w:val="6"/>
            <w:vAlign w:val="center"/>
          </w:tcPr>
          <w:p w14:paraId="10F65B5B">
            <w:pPr>
              <w:adjustRightInd w:val="0"/>
              <w:snapToGrid w:val="0"/>
              <w:spacing w:line="300" w:lineRule="atLeast"/>
              <w:jc w:val="center"/>
              <w:rPr>
                <w:bCs/>
                <w:color w:val="auto"/>
                <w:sz w:val="18"/>
                <w:szCs w:val="18"/>
              </w:rPr>
            </w:pPr>
            <w:r>
              <w:rPr>
                <w:bCs/>
                <w:color w:val="auto"/>
                <w:sz w:val="18"/>
                <w:szCs w:val="18"/>
              </w:rPr>
              <w:t>一般黏性土</w:t>
            </w:r>
          </w:p>
        </w:tc>
        <w:tc>
          <w:tcPr>
            <w:tcW w:w="4371" w:type="dxa"/>
            <w:gridSpan w:val="6"/>
            <w:vAlign w:val="center"/>
          </w:tcPr>
          <w:p w14:paraId="0942C772">
            <w:pPr>
              <w:adjustRightInd w:val="0"/>
              <w:snapToGrid w:val="0"/>
              <w:spacing w:line="300" w:lineRule="atLeast"/>
              <w:jc w:val="center"/>
              <w:rPr>
                <w:bCs/>
                <w:color w:val="auto"/>
                <w:sz w:val="18"/>
                <w:szCs w:val="18"/>
              </w:rPr>
            </w:pPr>
            <w:r>
              <w:rPr>
                <w:bCs/>
                <w:color w:val="auto"/>
                <w:sz w:val="18"/>
                <w:szCs w:val="18"/>
              </w:rPr>
              <w:t>老  黏  性  土</w:t>
            </w:r>
          </w:p>
        </w:tc>
      </w:tr>
      <w:tr w14:paraId="1F751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 w:hRule="atLeast"/>
          <w:jc w:val="center"/>
        </w:trPr>
        <w:tc>
          <w:tcPr>
            <w:tcW w:w="1008" w:type="dxa"/>
            <w:vAlign w:val="center"/>
          </w:tcPr>
          <w:p w14:paraId="70978FF9">
            <w:pPr>
              <w:pStyle w:val="9"/>
              <w:spacing w:line="300" w:lineRule="exact"/>
              <w:rPr>
                <w:rFonts w:ascii="Times New Roman"/>
                <w:color w:val="auto"/>
                <w:sz w:val="18"/>
                <w:szCs w:val="18"/>
              </w:rPr>
            </w:pPr>
            <w:r>
              <w:rPr>
                <w:rFonts w:ascii="Times New Roman"/>
                <w:color w:val="auto"/>
                <w:sz w:val="18"/>
                <w:szCs w:val="18"/>
              </w:rPr>
              <w:t>N</w:t>
            </w:r>
          </w:p>
        </w:tc>
        <w:tc>
          <w:tcPr>
            <w:tcW w:w="622" w:type="dxa"/>
            <w:vAlign w:val="center"/>
          </w:tcPr>
          <w:p w14:paraId="6DEDB36B">
            <w:pPr>
              <w:adjustRightInd w:val="0"/>
              <w:snapToGrid w:val="0"/>
              <w:spacing w:line="300" w:lineRule="exact"/>
              <w:jc w:val="center"/>
              <w:rPr>
                <w:bCs/>
                <w:color w:val="auto"/>
                <w:sz w:val="18"/>
                <w:szCs w:val="18"/>
              </w:rPr>
            </w:pPr>
          </w:p>
        </w:tc>
        <w:tc>
          <w:tcPr>
            <w:tcW w:w="622" w:type="dxa"/>
            <w:vAlign w:val="center"/>
          </w:tcPr>
          <w:p w14:paraId="6FDA5A12">
            <w:pPr>
              <w:adjustRightInd w:val="0"/>
              <w:snapToGrid w:val="0"/>
              <w:spacing w:line="300" w:lineRule="exact"/>
              <w:jc w:val="center"/>
              <w:rPr>
                <w:bCs/>
                <w:color w:val="auto"/>
                <w:sz w:val="18"/>
                <w:szCs w:val="18"/>
              </w:rPr>
            </w:pPr>
            <w:r>
              <w:rPr>
                <w:bCs/>
                <w:color w:val="auto"/>
                <w:sz w:val="18"/>
                <w:szCs w:val="18"/>
              </w:rPr>
              <w:t>3</w:t>
            </w:r>
          </w:p>
        </w:tc>
        <w:tc>
          <w:tcPr>
            <w:tcW w:w="622" w:type="dxa"/>
            <w:vAlign w:val="center"/>
          </w:tcPr>
          <w:p w14:paraId="3957EE6A">
            <w:pPr>
              <w:adjustRightInd w:val="0"/>
              <w:snapToGrid w:val="0"/>
              <w:spacing w:line="300" w:lineRule="exact"/>
              <w:jc w:val="center"/>
              <w:rPr>
                <w:bCs/>
                <w:color w:val="auto"/>
                <w:sz w:val="18"/>
                <w:szCs w:val="18"/>
              </w:rPr>
            </w:pPr>
            <w:r>
              <w:rPr>
                <w:bCs/>
                <w:color w:val="auto"/>
                <w:sz w:val="18"/>
                <w:szCs w:val="18"/>
              </w:rPr>
              <w:t>5</w:t>
            </w:r>
          </w:p>
        </w:tc>
        <w:tc>
          <w:tcPr>
            <w:tcW w:w="622" w:type="dxa"/>
            <w:vAlign w:val="center"/>
          </w:tcPr>
          <w:p w14:paraId="149F6D18">
            <w:pPr>
              <w:adjustRightInd w:val="0"/>
              <w:snapToGrid w:val="0"/>
              <w:spacing w:line="300" w:lineRule="exact"/>
              <w:jc w:val="center"/>
              <w:rPr>
                <w:bCs/>
                <w:color w:val="auto"/>
                <w:sz w:val="18"/>
                <w:szCs w:val="18"/>
              </w:rPr>
            </w:pPr>
            <w:r>
              <w:rPr>
                <w:bCs/>
                <w:color w:val="auto"/>
                <w:sz w:val="18"/>
                <w:szCs w:val="18"/>
              </w:rPr>
              <w:t>7</w:t>
            </w:r>
          </w:p>
        </w:tc>
        <w:tc>
          <w:tcPr>
            <w:tcW w:w="622" w:type="dxa"/>
            <w:vAlign w:val="center"/>
          </w:tcPr>
          <w:p w14:paraId="4E3333C2">
            <w:pPr>
              <w:adjustRightInd w:val="0"/>
              <w:snapToGrid w:val="0"/>
              <w:spacing w:line="300" w:lineRule="exact"/>
              <w:jc w:val="center"/>
              <w:rPr>
                <w:bCs/>
                <w:color w:val="auto"/>
                <w:sz w:val="18"/>
                <w:szCs w:val="18"/>
              </w:rPr>
            </w:pPr>
            <w:r>
              <w:rPr>
                <w:bCs/>
                <w:color w:val="auto"/>
                <w:sz w:val="18"/>
                <w:szCs w:val="18"/>
              </w:rPr>
              <w:t>9</w:t>
            </w:r>
          </w:p>
        </w:tc>
        <w:tc>
          <w:tcPr>
            <w:tcW w:w="700" w:type="dxa"/>
            <w:vAlign w:val="center"/>
          </w:tcPr>
          <w:p w14:paraId="4B49D7AA">
            <w:pPr>
              <w:adjustRightInd w:val="0"/>
              <w:snapToGrid w:val="0"/>
              <w:spacing w:line="300" w:lineRule="exact"/>
              <w:jc w:val="center"/>
              <w:rPr>
                <w:bCs/>
                <w:color w:val="auto"/>
                <w:sz w:val="18"/>
                <w:szCs w:val="18"/>
              </w:rPr>
            </w:pPr>
            <w:r>
              <w:rPr>
                <w:bCs/>
                <w:color w:val="auto"/>
                <w:sz w:val="18"/>
                <w:szCs w:val="18"/>
              </w:rPr>
              <w:t>11</w:t>
            </w:r>
          </w:p>
        </w:tc>
        <w:tc>
          <w:tcPr>
            <w:tcW w:w="721" w:type="dxa"/>
            <w:vAlign w:val="center"/>
          </w:tcPr>
          <w:p w14:paraId="0A42F3BC">
            <w:pPr>
              <w:adjustRightInd w:val="0"/>
              <w:snapToGrid w:val="0"/>
              <w:spacing w:line="300" w:lineRule="exact"/>
              <w:jc w:val="center"/>
              <w:rPr>
                <w:bCs/>
                <w:color w:val="auto"/>
                <w:sz w:val="18"/>
                <w:szCs w:val="18"/>
              </w:rPr>
            </w:pPr>
            <w:r>
              <w:rPr>
                <w:bCs/>
                <w:color w:val="auto"/>
                <w:sz w:val="18"/>
                <w:szCs w:val="18"/>
              </w:rPr>
              <w:t>13</w:t>
            </w:r>
          </w:p>
        </w:tc>
        <w:tc>
          <w:tcPr>
            <w:tcW w:w="797" w:type="dxa"/>
            <w:vAlign w:val="center"/>
          </w:tcPr>
          <w:p w14:paraId="26D5C3C4">
            <w:pPr>
              <w:adjustRightInd w:val="0"/>
              <w:snapToGrid w:val="0"/>
              <w:spacing w:line="300" w:lineRule="exact"/>
              <w:jc w:val="center"/>
              <w:rPr>
                <w:bCs/>
                <w:color w:val="auto"/>
                <w:sz w:val="18"/>
                <w:szCs w:val="18"/>
              </w:rPr>
            </w:pPr>
            <w:r>
              <w:rPr>
                <w:bCs/>
                <w:color w:val="auto"/>
                <w:sz w:val="18"/>
                <w:szCs w:val="18"/>
              </w:rPr>
              <w:t>18</w:t>
            </w:r>
          </w:p>
        </w:tc>
        <w:tc>
          <w:tcPr>
            <w:tcW w:w="793" w:type="dxa"/>
            <w:vAlign w:val="center"/>
          </w:tcPr>
          <w:p w14:paraId="6A8A61AC">
            <w:pPr>
              <w:adjustRightInd w:val="0"/>
              <w:snapToGrid w:val="0"/>
              <w:spacing w:line="300" w:lineRule="exact"/>
              <w:jc w:val="center"/>
              <w:rPr>
                <w:bCs/>
                <w:color w:val="auto"/>
                <w:sz w:val="18"/>
                <w:szCs w:val="18"/>
              </w:rPr>
            </w:pPr>
            <w:r>
              <w:rPr>
                <w:bCs/>
                <w:color w:val="auto"/>
                <w:sz w:val="18"/>
                <w:szCs w:val="18"/>
              </w:rPr>
              <w:t>23</w:t>
            </w:r>
          </w:p>
        </w:tc>
        <w:tc>
          <w:tcPr>
            <w:tcW w:w="696" w:type="dxa"/>
            <w:vAlign w:val="center"/>
          </w:tcPr>
          <w:p w14:paraId="09E027ED">
            <w:pPr>
              <w:adjustRightInd w:val="0"/>
              <w:snapToGrid w:val="0"/>
              <w:spacing w:line="300" w:lineRule="exact"/>
              <w:jc w:val="center"/>
              <w:rPr>
                <w:bCs/>
                <w:color w:val="auto"/>
                <w:sz w:val="18"/>
                <w:szCs w:val="18"/>
              </w:rPr>
            </w:pPr>
            <w:r>
              <w:rPr>
                <w:bCs/>
                <w:color w:val="auto"/>
                <w:sz w:val="18"/>
                <w:szCs w:val="18"/>
              </w:rPr>
              <w:t>26</w:t>
            </w:r>
          </w:p>
        </w:tc>
        <w:tc>
          <w:tcPr>
            <w:tcW w:w="696" w:type="dxa"/>
            <w:vAlign w:val="center"/>
          </w:tcPr>
          <w:p w14:paraId="06B73D3A">
            <w:pPr>
              <w:adjustRightInd w:val="0"/>
              <w:snapToGrid w:val="0"/>
              <w:spacing w:line="300" w:lineRule="exact"/>
              <w:jc w:val="center"/>
              <w:rPr>
                <w:bCs/>
                <w:color w:val="auto"/>
                <w:sz w:val="18"/>
                <w:szCs w:val="18"/>
              </w:rPr>
            </w:pPr>
            <w:r>
              <w:rPr>
                <w:bCs/>
                <w:color w:val="auto"/>
                <w:sz w:val="18"/>
                <w:szCs w:val="18"/>
              </w:rPr>
              <w:t>29</w:t>
            </w:r>
          </w:p>
        </w:tc>
        <w:tc>
          <w:tcPr>
            <w:tcW w:w="668" w:type="dxa"/>
            <w:vAlign w:val="center"/>
          </w:tcPr>
          <w:p w14:paraId="7FCDC52A">
            <w:pPr>
              <w:adjustRightInd w:val="0"/>
              <w:snapToGrid w:val="0"/>
              <w:spacing w:line="300" w:lineRule="exact"/>
              <w:jc w:val="center"/>
              <w:rPr>
                <w:bCs/>
                <w:color w:val="auto"/>
                <w:sz w:val="18"/>
                <w:szCs w:val="18"/>
              </w:rPr>
            </w:pPr>
            <w:r>
              <w:rPr>
                <w:bCs/>
                <w:color w:val="auto"/>
                <w:sz w:val="18"/>
                <w:szCs w:val="18"/>
              </w:rPr>
              <w:t>32</w:t>
            </w:r>
          </w:p>
        </w:tc>
      </w:tr>
      <w:tr w14:paraId="5B853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008" w:type="dxa"/>
            <w:vAlign w:val="center"/>
          </w:tcPr>
          <w:p w14:paraId="29B49171">
            <w:pPr>
              <w:adjustRightInd w:val="0"/>
              <w:snapToGrid w:val="0"/>
              <w:spacing w:line="220" w:lineRule="exact"/>
              <w:ind w:left="8" w:leftChars="-18" w:right="-46" w:rightChars="-22" w:hanging="46" w:hangingChars="26"/>
              <w:jc w:val="center"/>
              <w:rPr>
                <w:bCs/>
                <w:color w:val="auto"/>
                <w:sz w:val="18"/>
                <w:szCs w:val="18"/>
              </w:rPr>
            </w:pPr>
            <w:r>
              <w:rPr>
                <w:bCs/>
                <w:color w:val="auto"/>
                <w:sz w:val="18"/>
                <w:szCs w:val="18"/>
              </w:rPr>
              <w:t>（</w:t>
            </w:r>
            <w:r>
              <w:rPr>
                <w:bCs/>
                <w:iCs/>
                <w:color w:val="auto"/>
                <w:sz w:val="18"/>
                <w:szCs w:val="18"/>
              </w:rPr>
              <w:t>m/s</w:t>
            </w:r>
            <w:r>
              <w:rPr>
                <w:bCs/>
                <w:color w:val="auto"/>
                <w:sz w:val="18"/>
                <w:szCs w:val="18"/>
              </w:rPr>
              <w:t>）</w:t>
            </w:r>
          </w:p>
        </w:tc>
        <w:tc>
          <w:tcPr>
            <w:tcW w:w="622" w:type="dxa"/>
            <w:vAlign w:val="center"/>
          </w:tcPr>
          <w:p w14:paraId="5B924B6C">
            <w:pPr>
              <w:adjustRightInd w:val="0"/>
              <w:snapToGrid w:val="0"/>
              <w:spacing w:line="240" w:lineRule="exact"/>
              <w:ind w:left="15" w:leftChars="-27" w:right="-71" w:rightChars="-34" w:hanging="72" w:hangingChars="40"/>
              <w:jc w:val="center"/>
              <w:rPr>
                <w:bCs/>
                <w:color w:val="auto"/>
                <w:sz w:val="18"/>
                <w:szCs w:val="18"/>
              </w:rPr>
            </w:pPr>
          </w:p>
        </w:tc>
        <w:tc>
          <w:tcPr>
            <w:tcW w:w="622" w:type="dxa"/>
            <w:vAlign w:val="center"/>
          </w:tcPr>
          <w:p w14:paraId="2D44CAE1">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160</w:t>
            </w:r>
          </w:p>
        </w:tc>
        <w:tc>
          <w:tcPr>
            <w:tcW w:w="622" w:type="dxa"/>
            <w:vAlign w:val="center"/>
          </w:tcPr>
          <w:p w14:paraId="487D6CF2">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180</w:t>
            </w:r>
          </w:p>
        </w:tc>
        <w:tc>
          <w:tcPr>
            <w:tcW w:w="622" w:type="dxa"/>
            <w:vAlign w:val="center"/>
          </w:tcPr>
          <w:p w14:paraId="5A7FD53A">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200</w:t>
            </w:r>
          </w:p>
        </w:tc>
        <w:tc>
          <w:tcPr>
            <w:tcW w:w="622" w:type="dxa"/>
            <w:vAlign w:val="center"/>
          </w:tcPr>
          <w:p w14:paraId="4DCA2D7A">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220</w:t>
            </w:r>
          </w:p>
        </w:tc>
        <w:tc>
          <w:tcPr>
            <w:tcW w:w="700" w:type="dxa"/>
            <w:vAlign w:val="center"/>
          </w:tcPr>
          <w:p w14:paraId="41DFCEAC">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230</w:t>
            </w:r>
          </w:p>
        </w:tc>
        <w:tc>
          <w:tcPr>
            <w:tcW w:w="721" w:type="dxa"/>
            <w:vAlign w:val="center"/>
          </w:tcPr>
          <w:p w14:paraId="6EBFA797">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240</w:t>
            </w:r>
          </w:p>
        </w:tc>
        <w:tc>
          <w:tcPr>
            <w:tcW w:w="797" w:type="dxa"/>
            <w:vAlign w:val="center"/>
          </w:tcPr>
          <w:p w14:paraId="457E55DD">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280</w:t>
            </w:r>
          </w:p>
        </w:tc>
        <w:tc>
          <w:tcPr>
            <w:tcW w:w="793" w:type="dxa"/>
            <w:vAlign w:val="center"/>
          </w:tcPr>
          <w:p w14:paraId="6331F77B">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300</w:t>
            </w:r>
          </w:p>
        </w:tc>
        <w:tc>
          <w:tcPr>
            <w:tcW w:w="696" w:type="dxa"/>
            <w:vAlign w:val="center"/>
          </w:tcPr>
          <w:p w14:paraId="361DA75B">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320</w:t>
            </w:r>
          </w:p>
        </w:tc>
        <w:tc>
          <w:tcPr>
            <w:tcW w:w="696" w:type="dxa"/>
            <w:vAlign w:val="center"/>
          </w:tcPr>
          <w:p w14:paraId="45695D76">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340</w:t>
            </w:r>
          </w:p>
        </w:tc>
        <w:tc>
          <w:tcPr>
            <w:tcW w:w="668" w:type="dxa"/>
            <w:vAlign w:val="center"/>
          </w:tcPr>
          <w:p w14:paraId="008B90BA">
            <w:pPr>
              <w:adjustRightInd w:val="0"/>
              <w:snapToGrid w:val="0"/>
              <w:spacing w:line="240" w:lineRule="exact"/>
              <w:ind w:left="15" w:leftChars="-27" w:right="-71" w:rightChars="-34" w:hanging="72" w:hangingChars="40"/>
              <w:jc w:val="center"/>
              <w:rPr>
                <w:bCs/>
                <w:color w:val="auto"/>
                <w:sz w:val="18"/>
                <w:szCs w:val="18"/>
              </w:rPr>
            </w:pPr>
            <w:r>
              <w:rPr>
                <w:bCs/>
                <w:color w:val="auto"/>
                <w:sz w:val="18"/>
                <w:szCs w:val="18"/>
              </w:rPr>
              <w:t>360</w:t>
            </w:r>
          </w:p>
        </w:tc>
      </w:tr>
    </w:tbl>
    <w:p w14:paraId="11BBB34C">
      <w:pPr>
        <w:adjustRightInd w:val="0"/>
        <w:snapToGrid w:val="0"/>
        <w:spacing w:before="240"/>
        <w:rPr>
          <w:rFonts w:eastAsia="黑体"/>
          <w:b/>
          <w:color w:val="auto"/>
          <w:sz w:val="18"/>
          <w:szCs w:val="18"/>
        </w:rPr>
      </w:pPr>
    </w:p>
    <w:p w14:paraId="33FF30BE">
      <w:pPr>
        <w:adjustRightInd w:val="0"/>
        <w:snapToGrid w:val="0"/>
        <w:spacing w:line="340" w:lineRule="atLeast"/>
        <w:jc w:val="center"/>
        <w:rPr>
          <w:rFonts w:eastAsia="黑体"/>
          <w:b/>
          <w:color w:val="auto"/>
          <w:szCs w:val="21"/>
        </w:rPr>
      </w:pPr>
      <w:r>
        <w:rPr>
          <w:rFonts w:eastAsia="黑体"/>
          <w:b/>
          <w:color w:val="auto"/>
          <w:szCs w:val="21"/>
        </w:rPr>
        <w:t>表B.4  利用标贯锤击数平均值确定粉细砂的剪切波速表</w:t>
      </w:r>
    </w:p>
    <w:tbl>
      <w:tblPr>
        <w:tblStyle w:val="36"/>
        <w:tblW w:w="91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02"/>
        <w:gridCol w:w="1133"/>
        <w:gridCol w:w="1151"/>
        <w:gridCol w:w="1179"/>
        <w:gridCol w:w="1096"/>
        <w:gridCol w:w="1096"/>
        <w:gridCol w:w="1130"/>
        <w:gridCol w:w="1081"/>
      </w:tblGrid>
      <w:tr w14:paraId="4283E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1302" w:type="dxa"/>
            <w:vAlign w:val="center"/>
          </w:tcPr>
          <w:p w14:paraId="466DE8CC">
            <w:pPr>
              <w:pStyle w:val="9"/>
              <w:spacing w:line="280" w:lineRule="exact"/>
              <w:rPr>
                <w:rFonts w:ascii="Times New Roman"/>
                <w:color w:val="auto"/>
                <w:sz w:val="18"/>
                <w:szCs w:val="18"/>
              </w:rPr>
            </w:pPr>
            <w:r>
              <w:rPr>
                <w:rFonts w:ascii="Times New Roman"/>
                <w:color w:val="auto"/>
                <w:sz w:val="18"/>
                <w:szCs w:val="18"/>
              </w:rPr>
              <w:t>N</w:t>
            </w:r>
          </w:p>
        </w:tc>
        <w:tc>
          <w:tcPr>
            <w:tcW w:w="1133" w:type="dxa"/>
            <w:vAlign w:val="center"/>
          </w:tcPr>
          <w:p w14:paraId="02A79318">
            <w:pPr>
              <w:adjustRightInd w:val="0"/>
              <w:snapToGrid w:val="0"/>
              <w:spacing w:line="280" w:lineRule="exact"/>
              <w:jc w:val="center"/>
              <w:rPr>
                <w:bCs/>
                <w:color w:val="auto"/>
                <w:sz w:val="18"/>
                <w:szCs w:val="18"/>
              </w:rPr>
            </w:pPr>
            <w:r>
              <w:rPr>
                <w:bCs/>
                <w:color w:val="auto"/>
                <w:sz w:val="18"/>
                <w:szCs w:val="18"/>
              </w:rPr>
              <w:t>10</w:t>
            </w:r>
          </w:p>
        </w:tc>
        <w:tc>
          <w:tcPr>
            <w:tcW w:w="1151" w:type="dxa"/>
            <w:vAlign w:val="center"/>
          </w:tcPr>
          <w:p w14:paraId="7EF71CD2">
            <w:pPr>
              <w:adjustRightInd w:val="0"/>
              <w:snapToGrid w:val="0"/>
              <w:spacing w:line="280" w:lineRule="exact"/>
              <w:jc w:val="center"/>
              <w:rPr>
                <w:bCs/>
                <w:color w:val="auto"/>
                <w:sz w:val="18"/>
                <w:szCs w:val="18"/>
              </w:rPr>
            </w:pPr>
            <w:r>
              <w:rPr>
                <w:bCs/>
                <w:color w:val="auto"/>
                <w:sz w:val="18"/>
                <w:szCs w:val="18"/>
              </w:rPr>
              <w:t>15</w:t>
            </w:r>
          </w:p>
        </w:tc>
        <w:tc>
          <w:tcPr>
            <w:tcW w:w="1179" w:type="dxa"/>
            <w:vAlign w:val="center"/>
          </w:tcPr>
          <w:p w14:paraId="0A6B230E">
            <w:pPr>
              <w:adjustRightInd w:val="0"/>
              <w:snapToGrid w:val="0"/>
              <w:spacing w:line="280" w:lineRule="exact"/>
              <w:jc w:val="center"/>
              <w:rPr>
                <w:bCs/>
                <w:color w:val="auto"/>
                <w:sz w:val="18"/>
                <w:szCs w:val="18"/>
              </w:rPr>
            </w:pPr>
            <w:r>
              <w:rPr>
                <w:bCs/>
                <w:color w:val="auto"/>
                <w:sz w:val="18"/>
                <w:szCs w:val="18"/>
              </w:rPr>
              <w:t>20</w:t>
            </w:r>
          </w:p>
        </w:tc>
        <w:tc>
          <w:tcPr>
            <w:tcW w:w="1096" w:type="dxa"/>
            <w:vAlign w:val="center"/>
          </w:tcPr>
          <w:p w14:paraId="386D3BCD">
            <w:pPr>
              <w:adjustRightInd w:val="0"/>
              <w:snapToGrid w:val="0"/>
              <w:spacing w:line="280" w:lineRule="exact"/>
              <w:jc w:val="center"/>
              <w:rPr>
                <w:bCs/>
                <w:color w:val="auto"/>
                <w:sz w:val="18"/>
                <w:szCs w:val="18"/>
              </w:rPr>
            </w:pPr>
            <w:r>
              <w:rPr>
                <w:bCs/>
                <w:color w:val="auto"/>
                <w:sz w:val="18"/>
                <w:szCs w:val="18"/>
              </w:rPr>
              <w:t>25</w:t>
            </w:r>
          </w:p>
        </w:tc>
        <w:tc>
          <w:tcPr>
            <w:tcW w:w="1096" w:type="dxa"/>
            <w:vAlign w:val="center"/>
          </w:tcPr>
          <w:p w14:paraId="0B73D010">
            <w:pPr>
              <w:adjustRightInd w:val="0"/>
              <w:snapToGrid w:val="0"/>
              <w:spacing w:line="280" w:lineRule="exact"/>
              <w:jc w:val="center"/>
              <w:rPr>
                <w:bCs/>
                <w:color w:val="auto"/>
                <w:sz w:val="18"/>
                <w:szCs w:val="18"/>
              </w:rPr>
            </w:pPr>
            <w:r>
              <w:rPr>
                <w:bCs/>
                <w:color w:val="auto"/>
                <w:sz w:val="18"/>
                <w:szCs w:val="18"/>
              </w:rPr>
              <w:t>30</w:t>
            </w:r>
          </w:p>
        </w:tc>
        <w:tc>
          <w:tcPr>
            <w:tcW w:w="1130" w:type="dxa"/>
            <w:vAlign w:val="center"/>
          </w:tcPr>
          <w:p w14:paraId="6EA3444B">
            <w:pPr>
              <w:adjustRightInd w:val="0"/>
              <w:snapToGrid w:val="0"/>
              <w:spacing w:line="280" w:lineRule="exact"/>
              <w:jc w:val="center"/>
              <w:rPr>
                <w:bCs/>
                <w:color w:val="auto"/>
                <w:sz w:val="18"/>
                <w:szCs w:val="18"/>
              </w:rPr>
            </w:pPr>
            <w:r>
              <w:rPr>
                <w:bCs/>
                <w:color w:val="auto"/>
                <w:sz w:val="18"/>
                <w:szCs w:val="18"/>
              </w:rPr>
              <w:t>35</w:t>
            </w:r>
          </w:p>
        </w:tc>
        <w:tc>
          <w:tcPr>
            <w:tcW w:w="1081" w:type="dxa"/>
            <w:vAlign w:val="center"/>
          </w:tcPr>
          <w:p w14:paraId="2A6809E2">
            <w:pPr>
              <w:adjustRightInd w:val="0"/>
              <w:snapToGrid w:val="0"/>
              <w:spacing w:line="280" w:lineRule="exact"/>
              <w:jc w:val="center"/>
              <w:rPr>
                <w:bCs/>
                <w:color w:val="auto"/>
                <w:sz w:val="18"/>
                <w:szCs w:val="18"/>
              </w:rPr>
            </w:pPr>
            <w:r>
              <w:rPr>
                <w:bCs/>
                <w:color w:val="auto"/>
                <w:sz w:val="18"/>
                <w:szCs w:val="18"/>
              </w:rPr>
              <w:t>40</w:t>
            </w:r>
          </w:p>
        </w:tc>
      </w:tr>
      <w:tr w14:paraId="5E315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302" w:type="dxa"/>
            <w:vAlign w:val="center"/>
          </w:tcPr>
          <w:p w14:paraId="1FC6020A">
            <w:pPr>
              <w:adjustRightInd w:val="0"/>
              <w:snapToGrid w:val="0"/>
              <w:spacing w:line="280" w:lineRule="exact"/>
              <w:ind w:left="8" w:leftChars="-18" w:right="-46" w:rightChars="-22" w:hanging="46" w:hangingChars="26"/>
              <w:jc w:val="center"/>
              <w:rPr>
                <w:bCs/>
                <w:color w:val="auto"/>
                <w:sz w:val="18"/>
                <w:szCs w:val="18"/>
              </w:rPr>
            </w:pPr>
            <w:r>
              <w:rPr>
                <w:bCs/>
                <w:color w:val="auto"/>
                <w:sz w:val="18"/>
                <w:szCs w:val="18"/>
              </w:rPr>
              <w:t xml:space="preserve"> </w:t>
            </w:r>
            <w:r>
              <w:rPr>
                <w:bCs/>
                <w:i/>
                <w:iCs/>
                <w:color w:val="auto"/>
                <w:sz w:val="18"/>
                <w:szCs w:val="18"/>
              </w:rPr>
              <w:t>v</w:t>
            </w:r>
            <w:r>
              <w:rPr>
                <w:bCs/>
                <w:color w:val="auto"/>
                <w:sz w:val="18"/>
                <w:szCs w:val="18"/>
                <w:vertAlign w:val="subscript"/>
              </w:rPr>
              <w:t>s</w:t>
            </w:r>
            <w:r>
              <w:rPr>
                <w:bCs/>
                <w:color w:val="auto"/>
                <w:sz w:val="18"/>
                <w:szCs w:val="18"/>
              </w:rPr>
              <w:t>（m/s）</w:t>
            </w:r>
          </w:p>
        </w:tc>
        <w:tc>
          <w:tcPr>
            <w:tcW w:w="1133" w:type="dxa"/>
            <w:vAlign w:val="center"/>
          </w:tcPr>
          <w:p w14:paraId="4E210064">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200</w:t>
            </w:r>
          </w:p>
        </w:tc>
        <w:tc>
          <w:tcPr>
            <w:tcW w:w="1151" w:type="dxa"/>
            <w:vAlign w:val="center"/>
          </w:tcPr>
          <w:p w14:paraId="7CAD5E17">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230</w:t>
            </w:r>
          </w:p>
        </w:tc>
        <w:tc>
          <w:tcPr>
            <w:tcW w:w="1179" w:type="dxa"/>
            <w:vAlign w:val="center"/>
          </w:tcPr>
          <w:p w14:paraId="44AA783F">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250</w:t>
            </w:r>
          </w:p>
        </w:tc>
        <w:tc>
          <w:tcPr>
            <w:tcW w:w="1096" w:type="dxa"/>
            <w:vAlign w:val="center"/>
          </w:tcPr>
          <w:p w14:paraId="40780CC6">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260</w:t>
            </w:r>
          </w:p>
        </w:tc>
        <w:tc>
          <w:tcPr>
            <w:tcW w:w="1096" w:type="dxa"/>
            <w:vAlign w:val="center"/>
          </w:tcPr>
          <w:p w14:paraId="11900D1F">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270</w:t>
            </w:r>
          </w:p>
        </w:tc>
        <w:tc>
          <w:tcPr>
            <w:tcW w:w="1130" w:type="dxa"/>
            <w:vAlign w:val="center"/>
          </w:tcPr>
          <w:p w14:paraId="5E7E0861">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280</w:t>
            </w:r>
          </w:p>
        </w:tc>
        <w:tc>
          <w:tcPr>
            <w:tcW w:w="1081" w:type="dxa"/>
            <w:vAlign w:val="center"/>
          </w:tcPr>
          <w:p w14:paraId="040CC028">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290</w:t>
            </w:r>
          </w:p>
        </w:tc>
      </w:tr>
    </w:tbl>
    <w:p w14:paraId="5983A9F7">
      <w:pPr>
        <w:adjustRightInd w:val="0"/>
        <w:snapToGrid w:val="0"/>
        <w:spacing w:line="340" w:lineRule="atLeast"/>
        <w:jc w:val="center"/>
        <w:rPr>
          <w:rFonts w:eastAsia="黑体"/>
          <w:b/>
          <w:color w:val="auto"/>
          <w:szCs w:val="21"/>
        </w:rPr>
      </w:pPr>
      <w:r>
        <w:rPr>
          <w:rFonts w:eastAsia="黑体"/>
          <w:b/>
          <w:color w:val="auto"/>
          <w:szCs w:val="21"/>
        </w:rPr>
        <w:t>表B.5  利用静力触探Ps的平均值确定淤泥质土、黏性土的剪切波速表</w:t>
      </w:r>
    </w:p>
    <w:tbl>
      <w:tblPr>
        <w:tblStyle w:val="36"/>
        <w:tblW w:w="91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90"/>
        <w:gridCol w:w="853"/>
        <w:gridCol w:w="855"/>
        <w:gridCol w:w="855"/>
        <w:gridCol w:w="855"/>
        <w:gridCol w:w="917"/>
        <w:gridCol w:w="855"/>
        <w:gridCol w:w="855"/>
        <w:gridCol w:w="948"/>
        <w:gridCol w:w="896"/>
      </w:tblGrid>
      <w:tr w14:paraId="61757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1290" w:type="dxa"/>
            <w:vAlign w:val="center"/>
          </w:tcPr>
          <w:p w14:paraId="4E426D21">
            <w:pPr>
              <w:adjustRightInd w:val="0"/>
              <w:snapToGrid w:val="0"/>
              <w:spacing w:line="280" w:lineRule="exact"/>
              <w:jc w:val="center"/>
              <w:rPr>
                <w:bCs/>
                <w:color w:val="auto"/>
                <w:sz w:val="18"/>
                <w:szCs w:val="18"/>
              </w:rPr>
            </w:pPr>
            <w:r>
              <w:rPr>
                <w:bCs/>
                <w:color w:val="auto"/>
                <w:sz w:val="18"/>
                <w:szCs w:val="18"/>
              </w:rPr>
              <w:t>土 类</w:t>
            </w:r>
          </w:p>
        </w:tc>
        <w:tc>
          <w:tcPr>
            <w:tcW w:w="4335" w:type="dxa"/>
            <w:gridSpan w:val="5"/>
            <w:vAlign w:val="center"/>
          </w:tcPr>
          <w:p w14:paraId="2764BBB9">
            <w:pPr>
              <w:adjustRightInd w:val="0"/>
              <w:snapToGrid w:val="0"/>
              <w:spacing w:line="280" w:lineRule="exact"/>
              <w:jc w:val="center"/>
              <w:rPr>
                <w:bCs/>
                <w:color w:val="auto"/>
                <w:sz w:val="18"/>
                <w:szCs w:val="18"/>
              </w:rPr>
            </w:pPr>
            <w:r>
              <w:rPr>
                <w:bCs/>
                <w:color w:val="auto"/>
                <w:sz w:val="18"/>
                <w:szCs w:val="18"/>
              </w:rPr>
              <w:t>淤泥质土、一般黏性土</w:t>
            </w:r>
          </w:p>
        </w:tc>
        <w:tc>
          <w:tcPr>
            <w:tcW w:w="3554" w:type="dxa"/>
            <w:gridSpan w:val="4"/>
            <w:vAlign w:val="center"/>
          </w:tcPr>
          <w:p w14:paraId="09BC7A0B">
            <w:pPr>
              <w:adjustRightInd w:val="0"/>
              <w:snapToGrid w:val="0"/>
              <w:spacing w:line="280" w:lineRule="exact"/>
              <w:jc w:val="center"/>
              <w:rPr>
                <w:bCs/>
                <w:color w:val="auto"/>
                <w:sz w:val="18"/>
                <w:szCs w:val="18"/>
              </w:rPr>
            </w:pPr>
            <w:r>
              <w:rPr>
                <w:bCs/>
                <w:color w:val="auto"/>
                <w:sz w:val="18"/>
                <w:szCs w:val="18"/>
              </w:rPr>
              <w:t>老  黏  性  土</w:t>
            </w:r>
          </w:p>
        </w:tc>
      </w:tr>
      <w:tr w14:paraId="6DF70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1290" w:type="dxa"/>
            <w:vAlign w:val="center"/>
          </w:tcPr>
          <w:p w14:paraId="08D1B655">
            <w:pPr>
              <w:adjustRightInd w:val="0"/>
              <w:snapToGrid w:val="0"/>
              <w:spacing w:line="280" w:lineRule="exact"/>
              <w:jc w:val="center"/>
              <w:rPr>
                <w:bCs/>
                <w:color w:val="auto"/>
                <w:sz w:val="18"/>
                <w:szCs w:val="18"/>
              </w:rPr>
            </w:pPr>
            <w:r>
              <w:rPr>
                <w:bCs/>
                <w:i/>
                <w:iCs/>
                <w:color w:val="auto"/>
                <w:sz w:val="18"/>
                <w:szCs w:val="18"/>
              </w:rPr>
              <w:t>p</w:t>
            </w:r>
            <w:r>
              <w:rPr>
                <w:bCs/>
                <w:color w:val="auto"/>
                <w:sz w:val="18"/>
                <w:szCs w:val="18"/>
                <w:vertAlign w:val="subscript"/>
              </w:rPr>
              <w:t>s</w:t>
            </w:r>
            <w:r>
              <w:rPr>
                <w:bCs/>
                <w:iCs/>
                <w:color w:val="auto"/>
                <w:sz w:val="18"/>
                <w:szCs w:val="18"/>
              </w:rPr>
              <w:t xml:space="preserve"> （MPa）</w:t>
            </w:r>
          </w:p>
        </w:tc>
        <w:tc>
          <w:tcPr>
            <w:tcW w:w="853" w:type="dxa"/>
            <w:vAlign w:val="center"/>
          </w:tcPr>
          <w:p w14:paraId="57BB2C88">
            <w:pPr>
              <w:adjustRightInd w:val="0"/>
              <w:snapToGrid w:val="0"/>
              <w:spacing w:line="280" w:lineRule="exact"/>
              <w:jc w:val="center"/>
              <w:rPr>
                <w:bCs/>
                <w:color w:val="auto"/>
                <w:sz w:val="18"/>
                <w:szCs w:val="18"/>
              </w:rPr>
            </w:pPr>
            <w:r>
              <w:rPr>
                <w:bCs/>
                <w:color w:val="auto"/>
                <w:sz w:val="18"/>
                <w:szCs w:val="18"/>
              </w:rPr>
              <w:t>0.5</w:t>
            </w:r>
          </w:p>
        </w:tc>
        <w:tc>
          <w:tcPr>
            <w:tcW w:w="855" w:type="dxa"/>
            <w:vAlign w:val="center"/>
          </w:tcPr>
          <w:p w14:paraId="7F4BF3A7">
            <w:pPr>
              <w:adjustRightInd w:val="0"/>
              <w:snapToGrid w:val="0"/>
              <w:spacing w:line="280" w:lineRule="exact"/>
              <w:jc w:val="center"/>
              <w:rPr>
                <w:bCs/>
                <w:color w:val="auto"/>
                <w:sz w:val="18"/>
                <w:szCs w:val="18"/>
              </w:rPr>
            </w:pPr>
            <w:r>
              <w:rPr>
                <w:bCs/>
                <w:color w:val="auto"/>
                <w:sz w:val="18"/>
                <w:szCs w:val="18"/>
              </w:rPr>
              <w:t>1.0</w:t>
            </w:r>
          </w:p>
        </w:tc>
        <w:tc>
          <w:tcPr>
            <w:tcW w:w="855" w:type="dxa"/>
            <w:vAlign w:val="center"/>
          </w:tcPr>
          <w:p w14:paraId="591E2F05">
            <w:pPr>
              <w:adjustRightInd w:val="0"/>
              <w:snapToGrid w:val="0"/>
              <w:spacing w:line="280" w:lineRule="exact"/>
              <w:jc w:val="center"/>
              <w:rPr>
                <w:bCs/>
                <w:color w:val="auto"/>
                <w:sz w:val="18"/>
                <w:szCs w:val="18"/>
              </w:rPr>
            </w:pPr>
            <w:r>
              <w:rPr>
                <w:bCs/>
                <w:color w:val="auto"/>
                <w:sz w:val="18"/>
                <w:szCs w:val="18"/>
              </w:rPr>
              <w:t>1.5</w:t>
            </w:r>
          </w:p>
        </w:tc>
        <w:tc>
          <w:tcPr>
            <w:tcW w:w="855" w:type="dxa"/>
            <w:vAlign w:val="center"/>
          </w:tcPr>
          <w:p w14:paraId="1F722F01">
            <w:pPr>
              <w:adjustRightInd w:val="0"/>
              <w:snapToGrid w:val="0"/>
              <w:spacing w:line="280" w:lineRule="exact"/>
              <w:jc w:val="center"/>
              <w:rPr>
                <w:bCs/>
                <w:color w:val="auto"/>
                <w:sz w:val="18"/>
                <w:szCs w:val="18"/>
              </w:rPr>
            </w:pPr>
            <w:r>
              <w:rPr>
                <w:bCs/>
                <w:color w:val="auto"/>
                <w:sz w:val="18"/>
                <w:szCs w:val="18"/>
              </w:rPr>
              <w:t>2.0</w:t>
            </w:r>
          </w:p>
        </w:tc>
        <w:tc>
          <w:tcPr>
            <w:tcW w:w="917" w:type="dxa"/>
            <w:vAlign w:val="center"/>
          </w:tcPr>
          <w:p w14:paraId="71633FB4">
            <w:pPr>
              <w:adjustRightInd w:val="0"/>
              <w:snapToGrid w:val="0"/>
              <w:spacing w:line="280" w:lineRule="exact"/>
              <w:jc w:val="center"/>
              <w:rPr>
                <w:bCs/>
                <w:color w:val="auto"/>
                <w:sz w:val="18"/>
                <w:szCs w:val="18"/>
              </w:rPr>
            </w:pPr>
            <w:r>
              <w:rPr>
                <w:bCs/>
                <w:color w:val="auto"/>
                <w:sz w:val="18"/>
                <w:szCs w:val="18"/>
              </w:rPr>
              <w:t>2.5</w:t>
            </w:r>
          </w:p>
        </w:tc>
        <w:tc>
          <w:tcPr>
            <w:tcW w:w="855" w:type="dxa"/>
            <w:vAlign w:val="center"/>
          </w:tcPr>
          <w:p w14:paraId="02BC2D50">
            <w:pPr>
              <w:adjustRightInd w:val="0"/>
              <w:snapToGrid w:val="0"/>
              <w:spacing w:line="280" w:lineRule="exact"/>
              <w:jc w:val="center"/>
              <w:rPr>
                <w:bCs/>
                <w:color w:val="auto"/>
                <w:sz w:val="18"/>
                <w:szCs w:val="18"/>
              </w:rPr>
            </w:pPr>
            <w:r>
              <w:rPr>
                <w:bCs/>
                <w:color w:val="auto"/>
                <w:sz w:val="18"/>
                <w:szCs w:val="18"/>
              </w:rPr>
              <w:t>3.0</w:t>
            </w:r>
          </w:p>
        </w:tc>
        <w:tc>
          <w:tcPr>
            <w:tcW w:w="855" w:type="dxa"/>
            <w:vAlign w:val="center"/>
          </w:tcPr>
          <w:p w14:paraId="149631D0">
            <w:pPr>
              <w:adjustRightInd w:val="0"/>
              <w:snapToGrid w:val="0"/>
              <w:spacing w:line="280" w:lineRule="exact"/>
              <w:jc w:val="center"/>
              <w:rPr>
                <w:bCs/>
                <w:color w:val="auto"/>
                <w:sz w:val="18"/>
                <w:szCs w:val="18"/>
              </w:rPr>
            </w:pPr>
            <w:r>
              <w:rPr>
                <w:bCs/>
                <w:color w:val="auto"/>
                <w:sz w:val="18"/>
                <w:szCs w:val="18"/>
              </w:rPr>
              <w:t>4.0</w:t>
            </w:r>
          </w:p>
        </w:tc>
        <w:tc>
          <w:tcPr>
            <w:tcW w:w="948" w:type="dxa"/>
            <w:vAlign w:val="center"/>
          </w:tcPr>
          <w:p w14:paraId="3E6ECA9B">
            <w:pPr>
              <w:adjustRightInd w:val="0"/>
              <w:snapToGrid w:val="0"/>
              <w:spacing w:line="280" w:lineRule="exact"/>
              <w:jc w:val="center"/>
              <w:rPr>
                <w:bCs/>
                <w:color w:val="auto"/>
                <w:sz w:val="18"/>
                <w:szCs w:val="18"/>
              </w:rPr>
            </w:pPr>
            <w:r>
              <w:rPr>
                <w:bCs/>
                <w:color w:val="auto"/>
                <w:sz w:val="18"/>
                <w:szCs w:val="18"/>
              </w:rPr>
              <w:t>5.0</w:t>
            </w:r>
          </w:p>
        </w:tc>
        <w:tc>
          <w:tcPr>
            <w:tcW w:w="896" w:type="dxa"/>
            <w:vAlign w:val="center"/>
          </w:tcPr>
          <w:p w14:paraId="1B3E6893">
            <w:pPr>
              <w:adjustRightInd w:val="0"/>
              <w:snapToGrid w:val="0"/>
              <w:spacing w:line="280" w:lineRule="exact"/>
              <w:jc w:val="center"/>
              <w:rPr>
                <w:bCs/>
                <w:color w:val="auto"/>
                <w:sz w:val="18"/>
                <w:szCs w:val="18"/>
              </w:rPr>
            </w:pPr>
            <w:r>
              <w:rPr>
                <w:bCs/>
                <w:color w:val="auto"/>
                <w:sz w:val="18"/>
                <w:szCs w:val="18"/>
              </w:rPr>
              <w:t>6.0</w:t>
            </w:r>
          </w:p>
        </w:tc>
      </w:tr>
      <w:tr w14:paraId="690AE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1290" w:type="dxa"/>
            <w:vAlign w:val="center"/>
          </w:tcPr>
          <w:p w14:paraId="02977C23">
            <w:pPr>
              <w:adjustRightInd w:val="0"/>
              <w:snapToGrid w:val="0"/>
              <w:spacing w:line="280" w:lineRule="exact"/>
              <w:ind w:left="8" w:leftChars="-18" w:right="-46" w:rightChars="-22" w:hanging="46" w:hangingChars="26"/>
              <w:jc w:val="center"/>
              <w:rPr>
                <w:bCs/>
                <w:color w:val="auto"/>
                <w:sz w:val="18"/>
                <w:szCs w:val="18"/>
              </w:rPr>
            </w:pPr>
            <w:r>
              <w:rPr>
                <w:bCs/>
                <w:i/>
                <w:iCs/>
                <w:color w:val="auto"/>
                <w:sz w:val="18"/>
                <w:szCs w:val="18"/>
              </w:rPr>
              <w:t>v</w:t>
            </w:r>
            <w:r>
              <w:rPr>
                <w:bCs/>
                <w:color w:val="auto"/>
                <w:sz w:val="18"/>
                <w:szCs w:val="18"/>
                <w:vertAlign w:val="subscript"/>
              </w:rPr>
              <w:t>s</w:t>
            </w:r>
            <w:r>
              <w:rPr>
                <w:bCs/>
                <w:color w:val="auto"/>
                <w:sz w:val="18"/>
                <w:szCs w:val="18"/>
              </w:rPr>
              <w:t>（m/s）</w:t>
            </w:r>
          </w:p>
        </w:tc>
        <w:tc>
          <w:tcPr>
            <w:tcW w:w="853" w:type="dxa"/>
            <w:vAlign w:val="center"/>
          </w:tcPr>
          <w:p w14:paraId="4FAEFE4C">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130</w:t>
            </w:r>
          </w:p>
        </w:tc>
        <w:tc>
          <w:tcPr>
            <w:tcW w:w="855" w:type="dxa"/>
            <w:vAlign w:val="center"/>
          </w:tcPr>
          <w:p w14:paraId="5EC2939A">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170</w:t>
            </w:r>
          </w:p>
        </w:tc>
        <w:tc>
          <w:tcPr>
            <w:tcW w:w="855" w:type="dxa"/>
            <w:vAlign w:val="center"/>
          </w:tcPr>
          <w:p w14:paraId="18B261BF">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210</w:t>
            </w:r>
          </w:p>
        </w:tc>
        <w:tc>
          <w:tcPr>
            <w:tcW w:w="855" w:type="dxa"/>
            <w:vAlign w:val="center"/>
          </w:tcPr>
          <w:p w14:paraId="1E61DEA9">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230</w:t>
            </w:r>
          </w:p>
        </w:tc>
        <w:tc>
          <w:tcPr>
            <w:tcW w:w="917" w:type="dxa"/>
            <w:vAlign w:val="center"/>
          </w:tcPr>
          <w:p w14:paraId="1CBAC217">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240</w:t>
            </w:r>
          </w:p>
        </w:tc>
        <w:tc>
          <w:tcPr>
            <w:tcW w:w="855" w:type="dxa"/>
            <w:vAlign w:val="center"/>
          </w:tcPr>
          <w:p w14:paraId="21075B0B">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250</w:t>
            </w:r>
          </w:p>
        </w:tc>
        <w:tc>
          <w:tcPr>
            <w:tcW w:w="855" w:type="dxa"/>
            <w:vAlign w:val="center"/>
          </w:tcPr>
          <w:p w14:paraId="167753E9">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270</w:t>
            </w:r>
          </w:p>
        </w:tc>
        <w:tc>
          <w:tcPr>
            <w:tcW w:w="948" w:type="dxa"/>
            <w:vAlign w:val="center"/>
          </w:tcPr>
          <w:p w14:paraId="5AD85326">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300</w:t>
            </w:r>
          </w:p>
        </w:tc>
        <w:tc>
          <w:tcPr>
            <w:tcW w:w="896" w:type="dxa"/>
            <w:vAlign w:val="center"/>
          </w:tcPr>
          <w:p w14:paraId="1D804579">
            <w:pPr>
              <w:adjustRightInd w:val="0"/>
              <w:snapToGrid w:val="0"/>
              <w:spacing w:line="280" w:lineRule="exact"/>
              <w:ind w:left="15" w:leftChars="-27" w:right="-71" w:rightChars="-34" w:hanging="72" w:hangingChars="40"/>
              <w:jc w:val="center"/>
              <w:rPr>
                <w:bCs/>
                <w:color w:val="auto"/>
                <w:sz w:val="18"/>
                <w:szCs w:val="18"/>
              </w:rPr>
            </w:pPr>
            <w:r>
              <w:rPr>
                <w:bCs/>
                <w:color w:val="auto"/>
                <w:sz w:val="18"/>
                <w:szCs w:val="18"/>
              </w:rPr>
              <w:t>330</w:t>
            </w:r>
          </w:p>
        </w:tc>
      </w:tr>
      <w:tr w14:paraId="19096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9179" w:type="dxa"/>
            <w:gridSpan w:val="10"/>
            <w:vAlign w:val="center"/>
          </w:tcPr>
          <w:p w14:paraId="09AD4F90">
            <w:pPr>
              <w:adjustRightInd w:val="0"/>
              <w:snapToGrid w:val="0"/>
              <w:spacing w:line="280" w:lineRule="exact"/>
              <w:rPr>
                <w:bCs/>
                <w:color w:val="auto"/>
                <w:sz w:val="18"/>
                <w:szCs w:val="18"/>
              </w:rPr>
            </w:pPr>
            <w:r>
              <w:rPr>
                <w:bCs/>
                <w:color w:val="auto"/>
                <w:sz w:val="18"/>
                <w:szCs w:val="18"/>
              </w:rPr>
              <w:t>注：表中</w:t>
            </w:r>
            <w:r>
              <w:rPr>
                <w:bCs/>
                <w:i/>
                <w:iCs/>
                <w:color w:val="auto"/>
                <w:sz w:val="18"/>
                <w:szCs w:val="18"/>
              </w:rPr>
              <w:t>v</w:t>
            </w:r>
            <w:r>
              <w:rPr>
                <w:bCs/>
                <w:color w:val="auto"/>
                <w:sz w:val="18"/>
                <w:szCs w:val="18"/>
                <w:vertAlign w:val="subscript"/>
              </w:rPr>
              <w:t>s</w:t>
            </w:r>
            <w:r>
              <w:rPr>
                <w:bCs/>
                <w:color w:val="auto"/>
                <w:sz w:val="18"/>
                <w:szCs w:val="18"/>
              </w:rPr>
              <w:t>数据乘以1.1的系数为粉性土的剪切波速。</w:t>
            </w:r>
          </w:p>
        </w:tc>
      </w:tr>
    </w:tbl>
    <w:p w14:paraId="74528C59">
      <w:pPr>
        <w:adjustRightInd w:val="0"/>
        <w:snapToGrid w:val="0"/>
        <w:spacing w:line="340" w:lineRule="atLeast"/>
        <w:jc w:val="center"/>
        <w:rPr>
          <w:rFonts w:eastAsia="黑体"/>
          <w:b/>
          <w:color w:val="auto"/>
          <w:szCs w:val="21"/>
        </w:rPr>
      </w:pPr>
      <w:r>
        <w:rPr>
          <w:rFonts w:eastAsia="黑体"/>
          <w:b/>
          <w:color w:val="auto"/>
          <w:szCs w:val="21"/>
        </w:rPr>
        <w:t>表B.6  利用静力触探Ps的平均值确定粉细砂的剪切波速表</w:t>
      </w:r>
    </w:p>
    <w:tbl>
      <w:tblPr>
        <w:tblStyle w:val="36"/>
        <w:tblW w:w="917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16"/>
        <w:gridCol w:w="925"/>
        <w:gridCol w:w="991"/>
        <w:gridCol w:w="1006"/>
        <w:gridCol w:w="925"/>
        <w:gridCol w:w="926"/>
        <w:gridCol w:w="925"/>
        <w:gridCol w:w="1013"/>
        <w:gridCol w:w="1046"/>
      </w:tblGrid>
      <w:tr w14:paraId="57C0D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416" w:type="dxa"/>
            <w:vAlign w:val="center"/>
          </w:tcPr>
          <w:p w14:paraId="71B41839">
            <w:pPr>
              <w:adjustRightInd w:val="0"/>
              <w:snapToGrid w:val="0"/>
              <w:spacing w:line="300" w:lineRule="atLeast"/>
              <w:jc w:val="center"/>
              <w:rPr>
                <w:bCs/>
                <w:color w:val="auto"/>
                <w:sz w:val="18"/>
                <w:szCs w:val="18"/>
              </w:rPr>
            </w:pPr>
            <w:r>
              <w:rPr>
                <w:bCs/>
                <w:i/>
                <w:iCs/>
                <w:color w:val="auto"/>
                <w:sz w:val="18"/>
                <w:szCs w:val="18"/>
              </w:rPr>
              <w:t>p</w:t>
            </w:r>
            <w:r>
              <w:rPr>
                <w:bCs/>
                <w:color w:val="auto"/>
                <w:sz w:val="18"/>
                <w:szCs w:val="18"/>
                <w:vertAlign w:val="subscript"/>
              </w:rPr>
              <w:t>s</w:t>
            </w:r>
            <w:r>
              <w:rPr>
                <w:bCs/>
                <w:color w:val="auto"/>
                <w:sz w:val="18"/>
                <w:szCs w:val="18"/>
              </w:rPr>
              <w:t xml:space="preserve"> （MPa）</w:t>
            </w:r>
          </w:p>
        </w:tc>
        <w:tc>
          <w:tcPr>
            <w:tcW w:w="925" w:type="dxa"/>
            <w:vAlign w:val="center"/>
          </w:tcPr>
          <w:p w14:paraId="043568DC">
            <w:pPr>
              <w:adjustRightInd w:val="0"/>
              <w:snapToGrid w:val="0"/>
              <w:spacing w:line="300" w:lineRule="atLeast"/>
              <w:jc w:val="center"/>
              <w:rPr>
                <w:bCs/>
                <w:color w:val="auto"/>
                <w:sz w:val="18"/>
                <w:szCs w:val="18"/>
              </w:rPr>
            </w:pPr>
            <w:r>
              <w:rPr>
                <w:bCs/>
                <w:color w:val="auto"/>
                <w:sz w:val="18"/>
                <w:szCs w:val="18"/>
              </w:rPr>
              <w:t>4</w:t>
            </w:r>
          </w:p>
        </w:tc>
        <w:tc>
          <w:tcPr>
            <w:tcW w:w="991" w:type="dxa"/>
            <w:vAlign w:val="center"/>
          </w:tcPr>
          <w:p w14:paraId="78BBB99D">
            <w:pPr>
              <w:adjustRightInd w:val="0"/>
              <w:snapToGrid w:val="0"/>
              <w:spacing w:line="300" w:lineRule="atLeast"/>
              <w:jc w:val="center"/>
              <w:rPr>
                <w:bCs/>
                <w:color w:val="auto"/>
                <w:sz w:val="18"/>
                <w:szCs w:val="18"/>
              </w:rPr>
            </w:pPr>
            <w:r>
              <w:rPr>
                <w:bCs/>
                <w:color w:val="auto"/>
                <w:sz w:val="18"/>
                <w:szCs w:val="18"/>
              </w:rPr>
              <w:t>5</w:t>
            </w:r>
          </w:p>
        </w:tc>
        <w:tc>
          <w:tcPr>
            <w:tcW w:w="1006" w:type="dxa"/>
            <w:vAlign w:val="center"/>
          </w:tcPr>
          <w:p w14:paraId="01B657B8">
            <w:pPr>
              <w:adjustRightInd w:val="0"/>
              <w:snapToGrid w:val="0"/>
              <w:spacing w:line="300" w:lineRule="atLeast"/>
              <w:jc w:val="center"/>
              <w:rPr>
                <w:bCs/>
                <w:color w:val="auto"/>
                <w:sz w:val="18"/>
                <w:szCs w:val="18"/>
              </w:rPr>
            </w:pPr>
            <w:r>
              <w:rPr>
                <w:bCs/>
                <w:color w:val="auto"/>
                <w:sz w:val="18"/>
                <w:szCs w:val="18"/>
              </w:rPr>
              <w:t>6</w:t>
            </w:r>
          </w:p>
        </w:tc>
        <w:tc>
          <w:tcPr>
            <w:tcW w:w="925" w:type="dxa"/>
            <w:vAlign w:val="center"/>
          </w:tcPr>
          <w:p w14:paraId="6726CF5D">
            <w:pPr>
              <w:adjustRightInd w:val="0"/>
              <w:snapToGrid w:val="0"/>
              <w:spacing w:line="300" w:lineRule="atLeast"/>
              <w:jc w:val="center"/>
              <w:rPr>
                <w:bCs/>
                <w:color w:val="auto"/>
                <w:sz w:val="18"/>
                <w:szCs w:val="18"/>
              </w:rPr>
            </w:pPr>
            <w:r>
              <w:rPr>
                <w:bCs/>
                <w:color w:val="auto"/>
                <w:sz w:val="18"/>
                <w:szCs w:val="18"/>
              </w:rPr>
              <w:t>7</w:t>
            </w:r>
          </w:p>
        </w:tc>
        <w:tc>
          <w:tcPr>
            <w:tcW w:w="926" w:type="dxa"/>
            <w:vAlign w:val="center"/>
          </w:tcPr>
          <w:p w14:paraId="12968AC6">
            <w:pPr>
              <w:adjustRightInd w:val="0"/>
              <w:snapToGrid w:val="0"/>
              <w:spacing w:line="300" w:lineRule="atLeast"/>
              <w:jc w:val="center"/>
              <w:rPr>
                <w:bCs/>
                <w:color w:val="auto"/>
                <w:sz w:val="18"/>
                <w:szCs w:val="18"/>
              </w:rPr>
            </w:pPr>
            <w:r>
              <w:rPr>
                <w:bCs/>
                <w:color w:val="auto"/>
                <w:sz w:val="18"/>
                <w:szCs w:val="18"/>
              </w:rPr>
              <w:t>8</w:t>
            </w:r>
          </w:p>
        </w:tc>
        <w:tc>
          <w:tcPr>
            <w:tcW w:w="925" w:type="dxa"/>
            <w:vAlign w:val="center"/>
          </w:tcPr>
          <w:p w14:paraId="3D49DF0A">
            <w:pPr>
              <w:adjustRightInd w:val="0"/>
              <w:snapToGrid w:val="0"/>
              <w:spacing w:line="300" w:lineRule="atLeast"/>
              <w:jc w:val="center"/>
              <w:rPr>
                <w:bCs/>
                <w:color w:val="auto"/>
                <w:sz w:val="18"/>
                <w:szCs w:val="18"/>
              </w:rPr>
            </w:pPr>
            <w:r>
              <w:rPr>
                <w:bCs/>
                <w:color w:val="auto"/>
                <w:sz w:val="18"/>
                <w:szCs w:val="18"/>
              </w:rPr>
              <w:t>9</w:t>
            </w:r>
          </w:p>
        </w:tc>
        <w:tc>
          <w:tcPr>
            <w:tcW w:w="1013" w:type="dxa"/>
            <w:vAlign w:val="center"/>
          </w:tcPr>
          <w:p w14:paraId="1BFEEB5F">
            <w:pPr>
              <w:adjustRightInd w:val="0"/>
              <w:snapToGrid w:val="0"/>
              <w:spacing w:line="300" w:lineRule="atLeast"/>
              <w:jc w:val="center"/>
              <w:rPr>
                <w:bCs/>
                <w:color w:val="auto"/>
                <w:sz w:val="18"/>
                <w:szCs w:val="18"/>
              </w:rPr>
            </w:pPr>
            <w:r>
              <w:rPr>
                <w:bCs/>
                <w:color w:val="auto"/>
                <w:sz w:val="18"/>
                <w:szCs w:val="18"/>
              </w:rPr>
              <w:t>10</w:t>
            </w:r>
          </w:p>
        </w:tc>
        <w:tc>
          <w:tcPr>
            <w:tcW w:w="1046" w:type="dxa"/>
            <w:vAlign w:val="center"/>
          </w:tcPr>
          <w:p w14:paraId="77F54AC4">
            <w:pPr>
              <w:adjustRightInd w:val="0"/>
              <w:snapToGrid w:val="0"/>
              <w:spacing w:line="300" w:lineRule="atLeast"/>
              <w:jc w:val="center"/>
              <w:rPr>
                <w:bCs/>
                <w:color w:val="auto"/>
                <w:sz w:val="18"/>
                <w:szCs w:val="18"/>
              </w:rPr>
            </w:pPr>
            <w:r>
              <w:rPr>
                <w:bCs/>
                <w:color w:val="auto"/>
                <w:sz w:val="18"/>
                <w:szCs w:val="18"/>
              </w:rPr>
              <w:t>12</w:t>
            </w:r>
          </w:p>
        </w:tc>
      </w:tr>
      <w:tr w14:paraId="40886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1416" w:type="dxa"/>
            <w:vAlign w:val="center"/>
          </w:tcPr>
          <w:p w14:paraId="6C03209D">
            <w:pPr>
              <w:adjustRightInd w:val="0"/>
              <w:snapToGrid w:val="0"/>
              <w:spacing w:line="300" w:lineRule="atLeast"/>
              <w:ind w:left="8" w:leftChars="-18" w:right="-46" w:rightChars="-22" w:hanging="46" w:hangingChars="26"/>
              <w:jc w:val="center"/>
              <w:rPr>
                <w:bCs/>
                <w:color w:val="auto"/>
                <w:sz w:val="18"/>
                <w:szCs w:val="18"/>
              </w:rPr>
            </w:pPr>
            <w:r>
              <w:rPr>
                <w:bCs/>
                <w:i/>
                <w:iCs/>
                <w:color w:val="auto"/>
                <w:sz w:val="18"/>
                <w:szCs w:val="18"/>
              </w:rPr>
              <w:t>v</w:t>
            </w:r>
            <w:r>
              <w:rPr>
                <w:bCs/>
                <w:color w:val="auto"/>
                <w:sz w:val="18"/>
                <w:szCs w:val="18"/>
                <w:vertAlign w:val="subscript"/>
              </w:rPr>
              <w:t>s</w:t>
            </w:r>
            <w:r>
              <w:rPr>
                <w:bCs/>
                <w:color w:val="auto"/>
                <w:sz w:val="18"/>
                <w:szCs w:val="18"/>
              </w:rPr>
              <w:t>（m/s）</w:t>
            </w:r>
          </w:p>
        </w:tc>
        <w:tc>
          <w:tcPr>
            <w:tcW w:w="925" w:type="dxa"/>
            <w:vAlign w:val="center"/>
          </w:tcPr>
          <w:p w14:paraId="2AFAEFDA">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170</w:t>
            </w:r>
          </w:p>
        </w:tc>
        <w:tc>
          <w:tcPr>
            <w:tcW w:w="991" w:type="dxa"/>
            <w:vAlign w:val="center"/>
          </w:tcPr>
          <w:p w14:paraId="59108715">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190</w:t>
            </w:r>
          </w:p>
        </w:tc>
        <w:tc>
          <w:tcPr>
            <w:tcW w:w="1006" w:type="dxa"/>
            <w:vAlign w:val="center"/>
          </w:tcPr>
          <w:p w14:paraId="44217B41">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210</w:t>
            </w:r>
          </w:p>
        </w:tc>
        <w:tc>
          <w:tcPr>
            <w:tcW w:w="925" w:type="dxa"/>
            <w:vAlign w:val="center"/>
          </w:tcPr>
          <w:p w14:paraId="29C8E676">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230</w:t>
            </w:r>
          </w:p>
        </w:tc>
        <w:tc>
          <w:tcPr>
            <w:tcW w:w="926" w:type="dxa"/>
            <w:vAlign w:val="center"/>
          </w:tcPr>
          <w:p w14:paraId="1695CEB1">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250</w:t>
            </w:r>
          </w:p>
        </w:tc>
        <w:tc>
          <w:tcPr>
            <w:tcW w:w="925" w:type="dxa"/>
            <w:vAlign w:val="center"/>
          </w:tcPr>
          <w:p w14:paraId="336CAC55">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270</w:t>
            </w:r>
          </w:p>
        </w:tc>
        <w:tc>
          <w:tcPr>
            <w:tcW w:w="1013" w:type="dxa"/>
            <w:vAlign w:val="center"/>
          </w:tcPr>
          <w:p w14:paraId="2DDB0B9D">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290</w:t>
            </w:r>
          </w:p>
        </w:tc>
        <w:tc>
          <w:tcPr>
            <w:tcW w:w="1046" w:type="dxa"/>
            <w:vAlign w:val="center"/>
          </w:tcPr>
          <w:p w14:paraId="4CAC7725">
            <w:pPr>
              <w:adjustRightInd w:val="0"/>
              <w:snapToGrid w:val="0"/>
              <w:spacing w:line="300" w:lineRule="atLeast"/>
              <w:ind w:left="15" w:leftChars="-27" w:right="-71" w:rightChars="-34" w:hanging="72" w:hangingChars="40"/>
              <w:jc w:val="center"/>
              <w:rPr>
                <w:bCs/>
                <w:color w:val="auto"/>
                <w:sz w:val="18"/>
                <w:szCs w:val="18"/>
              </w:rPr>
            </w:pPr>
            <w:r>
              <w:rPr>
                <w:bCs/>
                <w:color w:val="auto"/>
                <w:sz w:val="18"/>
                <w:szCs w:val="18"/>
              </w:rPr>
              <w:t>310</w:t>
            </w:r>
          </w:p>
        </w:tc>
      </w:tr>
    </w:tbl>
    <w:p w14:paraId="2D572D4F">
      <w:pPr>
        <w:adjustRightInd w:val="0"/>
        <w:snapToGrid w:val="0"/>
        <w:spacing w:line="400" w:lineRule="atLeast"/>
        <w:jc w:val="center"/>
        <w:outlineLvl w:val="0"/>
        <w:rPr>
          <w:rFonts w:eastAsia="黑体"/>
          <w:b/>
          <w:color w:val="auto"/>
          <w:spacing w:val="8"/>
          <w:sz w:val="24"/>
        </w:rPr>
      </w:pPr>
      <w:r>
        <w:rPr>
          <w:b/>
          <w:color w:val="auto"/>
        </w:rPr>
        <w:br w:type="page"/>
      </w:r>
      <w:bookmarkStart w:id="111" w:name="_Toc199943653"/>
      <w:r>
        <w:rPr>
          <w:rFonts w:eastAsia="黑体"/>
          <w:b/>
          <w:color w:val="auto"/>
          <w:spacing w:val="8"/>
          <w:sz w:val="24"/>
        </w:rPr>
        <w:t>附录C</w:t>
      </w:r>
      <w:bookmarkEnd w:id="111"/>
    </w:p>
    <w:p w14:paraId="669CB45E">
      <w:pPr>
        <w:adjustRightInd w:val="0"/>
        <w:snapToGrid w:val="0"/>
        <w:spacing w:line="400" w:lineRule="atLeast"/>
        <w:jc w:val="center"/>
        <w:outlineLvl w:val="0"/>
        <w:rPr>
          <w:rFonts w:eastAsia="黑体"/>
          <w:b/>
          <w:color w:val="auto"/>
          <w:spacing w:val="8"/>
          <w:sz w:val="24"/>
        </w:rPr>
      </w:pPr>
      <w:bookmarkStart w:id="112" w:name="_Toc199943654"/>
      <w:r>
        <w:rPr>
          <w:rFonts w:eastAsia="黑体"/>
          <w:b/>
          <w:color w:val="auto"/>
          <w:spacing w:val="8"/>
          <w:sz w:val="24"/>
        </w:rPr>
        <w:t>（规范性）</w:t>
      </w:r>
      <w:bookmarkEnd w:id="112"/>
    </w:p>
    <w:p w14:paraId="07A2CECF">
      <w:pPr>
        <w:adjustRightInd w:val="0"/>
        <w:snapToGrid w:val="0"/>
        <w:spacing w:line="400" w:lineRule="atLeast"/>
        <w:jc w:val="center"/>
        <w:outlineLvl w:val="0"/>
        <w:rPr>
          <w:b/>
          <w:color w:val="auto"/>
          <w:spacing w:val="8"/>
          <w:sz w:val="24"/>
        </w:rPr>
      </w:pPr>
      <w:bookmarkStart w:id="113" w:name="_Toc199943655"/>
      <w:r>
        <w:rPr>
          <w:b/>
          <w:color w:val="auto"/>
          <w:spacing w:val="8"/>
          <w:sz w:val="24"/>
        </w:rPr>
        <w:t>抗剪强度指标</w:t>
      </w:r>
      <w:r>
        <w:rPr>
          <w:b/>
          <w:i/>
          <w:iCs/>
          <w:color w:val="auto"/>
          <w:spacing w:val="8"/>
          <w:sz w:val="24"/>
        </w:rPr>
        <w:t>c</w:t>
      </w:r>
      <w:r>
        <w:rPr>
          <w:b/>
          <w:color w:val="auto"/>
          <w:spacing w:val="8"/>
          <w:sz w:val="24"/>
        </w:rPr>
        <w:t>、</w:t>
      </w:r>
      <w:r>
        <w:rPr>
          <w:b/>
          <w:color w:val="auto"/>
          <w:spacing w:val="8"/>
          <w:position w:val="-10"/>
          <w:sz w:val="24"/>
        </w:rPr>
        <w:object>
          <v:shape id="_x0000_i1590" o:spt="75" type="#_x0000_t75" style="height:14.25pt;width:7.5pt;" o:ole="t" filled="f" o:preferrelative="t" stroked="f" coordsize="21600,21600">
            <v:path/>
            <v:fill on="f" focussize="0,0"/>
            <v:stroke on="f" joinstyle="miter"/>
            <v:imagedata r:id="rId12" o:title=""/>
            <o:lock v:ext="edit" aspectratio="t"/>
            <w10:wrap type="none"/>
            <w10:anchorlock/>
          </v:shape>
          <o:OLEObject Type="Embed" ProgID="Equation.DSMT4" ShapeID="_x0000_i1590" DrawAspect="Content" ObjectID="_1468076290" r:id="rId1114">
            <o:LockedField>false</o:LockedField>
          </o:OLEObject>
        </w:object>
      </w:r>
      <w:r>
        <w:rPr>
          <w:b/>
          <w:color w:val="auto"/>
          <w:spacing w:val="8"/>
          <w:sz w:val="24"/>
        </w:rPr>
        <w:t>的标准值</w:t>
      </w:r>
      <w:bookmarkEnd w:id="113"/>
    </w:p>
    <w:p w14:paraId="78730D46">
      <w:pPr>
        <w:adjustRightInd w:val="0"/>
        <w:snapToGrid w:val="0"/>
        <w:spacing w:line="340" w:lineRule="exact"/>
        <w:jc w:val="center"/>
        <w:rPr>
          <w:rFonts w:eastAsia="黑体"/>
          <w:color w:val="auto"/>
          <w:spacing w:val="8"/>
          <w:sz w:val="24"/>
        </w:rPr>
      </w:pPr>
    </w:p>
    <w:p w14:paraId="3DCEE123">
      <w:pPr>
        <w:pStyle w:val="11"/>
        <w:tabs>
          <w:tab w:val="decimal" w:pos="1134"/>
          <w:tab w:val="decimal" w:pos="1418"/>
        </w:tabs>
        <w:spacing w:line="340" w:lineRule="exact"/>
        <w:ind w:left="0"/>
        <w:jc w:val="center"/>
        <w:rPr>
          <w:rFonts w:eastAsia="黑体"/>
          <w:b/>
          <w:bCs/>
          <w:color w:val="auto"/>
          <w:sz w:val="21"/>
          <w:szCs w:val="21"/>
        </w:rPr>
      </w:pPr>
      <w:r>
        <w:rPr>
          <w:rFonts w:eastAsia="黑体"/>
          <w:b/>
          <w:bCs/>
          <w:color w:val="auto"/>
          <w:sz w:val="21"/>
          <w:szCs w:val="21"/>
        </w:rPr>
        <w:t>室内土工试验抗剪强度指标</w:t>
      </w:r>
      <w:r>
        <w:rPr>
          <w:rFonts w:eastAsia="黑体"/>
          <w:b/>
          <w:bCs/>
          <w:i/>
          <w:iCs/>
          <w:color w:val="auto"/>
          <w:sz w:val="21"/>
          <w:szCs w:val="21"/>
        </w:rPr>
        <w:t>c</w:t>
      </w:r>
      <w:r>
        <w:rPr>
          <w:rFonts w:eastAsia="黑体"/>
          <w:b/>
          <w:bCs/>
          <w:color w:val="auto"/>
          <w:sz w:val="21"/>
          <w:szCs w:val="21"/>
        </w:rPr>
        <w:t>、</w:t>
      </w:r>
      <w:r>
        <w:rPr>
          <w:rFonts w:eastAsia="黑体"/>
          <w:b/>
          <w:bCs/>
          <w:color w:val="auto"/>
          <w:position w:val="-10"/>
          <w:sz w:val="21"/>
          <w:szCs w:val="21"/>
        </w:rPr>
        <w:object>
          <v:shape id="_x0000_i1591" o:spt="75" type="#_x0000_t75" style="height:14.25pt;width:7.5pt;" o:ole="t" filled="f" o:preferrelative="t" stroked="f" coordsize="21600,21600">
            <v:path/>
            <v:fill on="f" focussize="0,0"/>
            <v:stroke on="f" joinstyle="miter"/>
            <v:imagedata r:id="rId1116" o:title=""/>
            <o:lock v:ext="edit" aspectratio="t"/>
            <w10:wrap type="none"/>
            <w10:anchorlock/>
          </v:shape>
          <o:OLEObject Type="Embed" ProgID="Equation.DSMT4" ShapeID="_x0000_i1591" DrawAspect="Content" ObjectID="_1468076291" r:id="rId1115">
            <o:LockedField>false</o:LockedField>
          </o:OLEObject>
        </w:object>
      </w:r>
      <w:r>
        <w:rPr>
          <w:rFonts w:eastAsia="黑体"/>
          <w:b/>
          <w:bCs/>
          <w:color w:val="auto"/>
          <w:sz w:val="21"/>
          <w:szCs w:val="21"/>
        </w:rPr>
        <w:t>的标准值</w:t>
      </w:r>
    </w:p>
    <w:p w14:paraId="2F729B04">
      <w:pPr>
        <w:pStyle w:val="11"/>
        <w:tabs>
          <w:tab w:val="decimal" w:pos="1134"/>
          <w:tab w:val="decimal" w:pos="1418"/>
        </w:tabs>
        <w:spacing w:line="340" w:lineRule="exact"/>
        <w:ind w:left="0"/>
        <w:jc w:val="center"/>
        <w:rPr>
          <w:rFonts w:eastAsia="宋体"/>
          <w:b/>
          <w:bCs/>
          <w:color w:val="auto"/>
          <w:sz w:val="24"/>
        </w:rPr>
      </w:pPr>
    </w:p>
    <w:p w14:paraId="06E02779">
      <w:pPr>
        <w:pStyle w:val="11"/>
        <w:tabs>
          <w:tab w:val="decimal" w:pos="1276"/>
          <w:tab w:val="decimal" w:pos="1418"/>
        </w:tabs>
        <w:spacing w:line="240" w:lineRule="atLeast"/>
        <w:ind w:left="0"/>
        <w:rPr>
          <w:rFonts w:eastAsia="宋体"/>
          <w:color w:val="auto"/>
          <w:sz w:val="21"/>
          <w:szCs w:val="21"/>
        </w:rPr>
      </w:pPr>
      <w:r>
        <w:rPr>
          <w:rFonts w:eastAsia="宋体"/>
          <w:b/>
          <w:bCs/>
          <w:color w:val="auto"/>
          <w:sz w:val="21"/>
          <w:szCs w:val="21"/>
        </w:rPr>
        <w:t>C.1</w:t>
      </w:r>
      <w:r>
        <w:rPr>
          <w:rFonts w:eastAsia="宋体"/>
          <w:color w:val="auto"/>
          <w:sz w:val="21"/>
          <w:szCs w:val="21"/>
        </w:rPr>
        <w:t xml:space="preserve">  在基础底面以下同一类土层至少取6组试样，每组按GB/T 50123进行室内剪切试验，得出试验值</w:t>
      </w:r>
      <w:r>
        <w:rPr>
          <w:rFonts w:eastAsia="宋体"/>
          <w:color w:val="auto"/>
          <w:position w:val="-12"/>
          <w:sz w:val="21"/>
          <w:szCs w:val="21"/>
        </w:rPr>
        <w:object>
          <v:shape id="_x0000_i1592" o:spt="75" type="#_x0000_t75" style="height:21.75pt;width:7.5pt;" o:ole="t" filled="f" o:preferrelative="t" stroked="f" coordsize="21600,21600">
            <v:path/>
            <v:fill on="f" focussize="0,0"/>
            <v:stroke on="f" joinstyle="miter"/>
            <v:imagedata r:id="rId1118" o:title=""/>
            <o:lock v:ext="edit" aspectratio="t"/>
            <w10:wrap type="none"/>
            <w10:anchorlock/>
          </v:shape>
          <o:OLEObject Type="Embed" ProgID="Equation.DSMT4" ShapeID="_x0000_i1592" DrawAspect="Content" ObjectID="_1468076292" r:id="rId1117">
            <o:LockedField>false</o:LockedField>
          </o:OLEObject>
        </w:object>
      </w:r>
      <w:r>
        <w:rPr>
          <w:rFonts w:eastAsia="宋体"/>
          <w:color w:val="auto"/>
          <w:sz w:val="21"/>
          <w:szCs w:val="21"/>
        </w:rPr>
        <w:t>、</w:t>
      </w:r>
      <w:r>
        <w:rPr>
          <w:rFonts w:eastAsia="宋体"/>
          <w:color w:val="auto"/>
          <w:position w:val="-12"/>
          <w:sz w:val="21"/>
          <w:szCs w:val="21"/>
        </w:rPr>
        <w:object>
          <v:shape id="_x0000_i1593" o:spt="75" type="#_x0000_t75" style="height:21.75pt;width:14.25pt;" o:ole="t" filled="f" o:preferrelative="t" stroked="f" coordsize="21600,21600">
            <v:path/>
            <v:fill on="f" focussize="0,0"/>
            <v:stroke on="f" joinstyle="miter"/>
            <v:imagedata r:id="rId1120" o:title=""/>
            <o:lock v:ext="edit" aspectratio="t"/>
            <w10:wrap type="none"/>
            <w10:anchorlock/>
          </v:shape>
          <o:OLEObject Type="Embed" ProgID="Equation.DSMT4" ShapeID="_x0000_i1593" DrawAspect="Content" ObjectID="_1468076293" r:id="rId1119">
            <o:LockedField>false</o:LockedField>
          </o:OLEObject>
        </w:object>
      </w:r>
      <w:r>
        <w:rPr>
          <w:rFonts w:eastAsia="宋体"/>
          <w:color w:val="auto"/>
          <w:sz w:val="21"/>
          <w:szCs w:val="21"/>
        </w:rPr>
        <w:t>。</w:t>
      </w:r>
    </w:p>
    <w:p w14:paraId="21FCBF85">
      <w:pPr>
        <w:pStyle w:val="11"/>
        <w:tabs>
          <w:tab w:val="decimal" w:pos="1276"/>
          <w:tab w:val="decimal" w:pos="1418"/>
        </w:tabs>
        <w:spacing w:line="240" w:lineRule="atLeast"/>
        <w:ind w:left="0"/>
        <w:rPr>
          <w:rFonts w:eastAsia="宋体"/>
          <w:color w:val="auto"/>
          <w:sz w:val="21"/>
          <w:szCs w:val="21"/>
        </w:rPr>
      </w:pPr>
      <w:r>
        <w:rPr>
          <w:rFonts w:eastAsia="宋体"/>
          <w:b/>
          <w:bCs/>
          <w:color w:val="auto"/>
          <w:sz w:val="21"/>
          <w:szCs w:val="21"/>
        </w:rPr>
        <w:t>C.2</w:t>
      </w:r>
      <w:r>
        <w:rPr>
          <w:rFonts w:eastAsia="宋体"/>
          <w:color w:val="auto"/>
          <w:sz w:val="21"/>
          <w:szCs w:val="21"/>
        </w:rPr>
        <w:t xml:space="preserve">  每组试验的内摩擦角</w:t>
      </w:r>
      <w:r>
        <w:rPr>
          <w:rFonts w:eastAsia="宋体"/>
          <w:color w:val="auto"/>
          <w:position w:val="-12"/>
          <w:sz w:val="21"/>
          <w:szCs w:val="21"/>
        </w:rPr>
        <w:object>
          <v:shape id="_x0000_i1594" o:spt="75" type="#_x0000_t75" style="height:21.75pt;width:14.25pt;" o:ole="t" filled="f" o:preferrelative="t" stroked="f" coordsize="21600,21600">
            <v:path/>
            <v:fill on="f" focussize="0,0"/>
            <v:stroke on="f" joinstyle="miter"/>
            <v:imagedata r:id="rId1122" o:title=""/>
            <o:lock v:ext="edit" aspectratio="t"/>
            <w10:wrap type="none"/>
            <w10:anchorlock/>
          </v:shape>
          <o:OLEObject Type="Embed" ProgID="Equation.DSMT4" ShapeID="_x0000_i1594" DrawAspect="Content" ObjectID="_1468076294" r:id="rId1121">
            <o:LockedField>false</o:LockedField>
          </o:OLEObject>
        </w:object>
      </w:r>
      <w:r>
        <w:rPr>
          <w:rFonts w:eastAsia="宋体"/>
          <w:color w:val="auto"/>
          <w:sz w:val="21"/>
          <w:szCs w:val="21"/>
        </w:rPr>
        <w:t>、黏聚力</w:t>
      </w:r>
      <w:r>
        <w:rPr>
          <w:rFonts w:eastAsia="宋体"/>
          <w:color w:val="auto"/>
          <w:position w:val="-12"/>
          <w:sz w:val="21"/>
          <w:szCs w:val="21"/>
        </w:rPr>
        <w:object>
          <v:shape id="_x0000_i1595" o:spt="75" type="#_x0000_t75" style="height:21.75pt;width:7.5pt;" o:ole="t" filled="f" o:preferrelative="t" stroked="f" coordsize="21600,21600">
            <v:path/>
            <v:fill on="f" focussize="0,0"/>
            <v:stroke on="f" joinstyle="miter"/>
            <v:imagedata r:id="rId1124" o:title=""/>
            <o:lock v:ext="edit" aspectratio="t"/>
            <w10:wrap type="none"/>
            <w10:anchorlock/>
          </v:shape>
          <o:OLEObject Type="Embed" ProgID="Equation.DSMT4" ShapeID="_x0000_i1595" DrawAspect="Content" ObjectID="_1468076295" r:id="rId1123">
            <o:LockedField>false</o:LockedField>
          </o:OLEObject>
        </w:object>
      </w:r>
      <w:r>
        <w:rPr>
          <w:rFonts w:eastAsia="宋体"/>
          <w:color w:val="auto"/>
          <w:sz w:val="21"/>
          <w:szCs w:val="21"/>
        </w:rPr>
        <w:t>试验值可按</w:t>
      </w:r>
      <w:r>
        <w:rPr>
          <w:rFonts w:hint="eastAsia" w:eastAsia="宋体"/>
          <w:color w:val="auto"/>
          <w:sz w:val="21"/>
          <w:szCs w:val="21"/>
          <w:lang w:val="en-US" w:eastAsia="zh-CN"/>
        </w:rPr>
        <w:t>公式（C.1）~（C.7）</w:t>
      </w:r>
      <w:r>
        <w:rPr>
          <w:rFonts w:eastAsia="宋体"/>
          <w:color w:val="auto"/>
          <w:sz w:val="21"/>
          <w:szCs w:val="21"/>
        </w:rPr>
        <w:t>计算：</w:t>
      </w:r>
    </w:p>
    <w:p w14:paraId="35FF246F">
      <w:pPr>
        <w:pStyle w:val="11"/>
        <w:tabs>
          <w:tab w:val="decimal" w:pos="1276"/>
          <w:tab w:val="decimal" w:pos="1418"/>
        </w:tabs>
        <w:spacing w:line="340" w:lineRule="exact"/>
        <w:ind w:left="0" w:firstLine="422" w:firstLineChars="200"/>
        <w:rPr>
          <w:rFonts w:eastAsia="宋体"/>
          <w:color w:val="auto"/>
          <w:sz w:val="21"/>
          <w:szCs w:val="21"/>
        </w:rPr>
      </w:pPr>
      <w:r>
        <w:rPr>
          <w:rFonts w:eastAsia="宋体"/>
          <w:b/>
          <w:bCs/>
          <w:color w:val="auto"/>
          <w:sz w:val="21"/>
          <w:szCs w:val="21"/>
        </w:rPr>
        <w:t>a)</w:t>
      </w:r>
      <w:r>
        <w:rPr>
          <w:rFonts w:eastAsia="宋体"/>
          <w:color w:val="auto"/>
          <w:sz w:val="21"/>
          <w:szCs w:val="21"/>
        </w:rPr>
        <w:t xml:space="preserve">  直剪试验</w:t>
      </w:r>
    </w:p>
    <w:p w14:paraId="0E77C2A7">
      <w:pPr>
        <w:pStyle w:val="11"/>
        <w:tabs>
          <w:tab w:val="decimal" w:pos="1276"/>
          <w:tab w:val="decimal" w:pos="1418"/>
        </w:tabs>
        <w:wordWrap w:val="0"/>
        <w:spacing w:line="360" w:lineRule="atLeast"/>
        <w:ind w:left="0"/>
        <w:jc w:val="right"/>
        <w:rPr>
          <w:rFonts w:eastAsia="宋体"/>
          <w:color w:val="auto"/>
          <w:sz w:val="21"/>
          <w:szCs w:val="21"/>
        </w:rPr>
      </w:pPr>
      <w:r>
        <w:rPr>
          <w:rFonts w:eastAsia="宋体"/>
          <w:color w:val="auto"/>
          <w:position w:val="-28"/>
          <w:sz w:val="21"/>
          <w:szCs w:val="21"/>
        </w:rPr>
        <w:object>
          <v:shape id="_x0000_i1596" o:spt="75" type="#_x0000_t75" style="height:36pt;width:144pt;" o:ole="t" filled="f" o:preferrelative="t" stroked="f" coordsize="21600,21600">
            <v:path/>
            <v:fill on="f" focussize="0,0"/>
            <v:stroke on="f" joinstyle="miter"/>
            <v:imagedata r:id="rId1126" o:title=""/>
            <o:lock v:ext="edit" aspectratio="t"/>
            <w10:wrap type="none"/>
            <w10:anchorlock/>
          </v:shape>
          <o:OLEObject Type="Embed" ProgID="Equation.DSMT4" ShapeID="_x0000_i1596" DrawAspect="Content" ObjectID="_1468076296" r:id="rId1125">
            <o:LockedField>false</o:LockedField>
          </o:OLEObject>
        </w:object>
      </w:r>
      <w:r>
        <w:rPr>
          <w:rFonts w:eastAsia="宋体"/>
          <w:color w:val="auto"/>
          <w:sz w:val="21"/>
          <w:szCs w:val="21"/>
        </w:rPr>
        <w:t xml:space="preserve">                 </w:t>
      </w:r>
      <w:r>
        <w:rPr>
          <w:rFonts w:eastAsia="宋体"/>
          <w:color w:val="auto"/>
          <w:sz w:val="21"/>
          <w:szCs w:val="21"/>
        </w:rPr>
        <w:tab/>
      </w:r>
      <w:r>
        <w:rPr>
          <w:rFonts w:eastAsia="宋体"/>
          <w:color w:val="auto"/>
          <w:sz w:val="21"/>
          <w:szCs w:val="21"/>
        </w:rPr>
        <w:t>(C.1)</w:t>
      </w:r>
    </w:p>
    <w:p w14:paraId="31185CBF">
      <w:pPr>
        <w:pStyle w:val="11"/>
        <w:tabs>
          <w:tab w:val="decimal" w:pos="1276"/>
          <w:tab w:val="decimal" w:pos="1418"/>
        </w:tabs>
        <w:wordWrap w:val="0"/>
        <w:spacing w:before="120" w:line="360" w:lineRule="atLeast"/>
        <w:ind w:left="0" w:firstLine="851"/>
        <w:jc w:val="right"/>
        <w:rPr>
          <w:rFonts w:eastAsia="宋体"/>
          <w:color w:val="auto"/>
          <w:sz w:val="21"/>
          <w:szCs w:val="21"/>
        </w:rPr>
      </w:pPr>
      <w:r>
        <w:rPr>
          <w:rFonts w:eastAsia="宋体"/>
          <w:color w:val="auto"/>
          <w:position w:val="-24"/>
          <w:sz w:val="21"/>
          <w:szCs w:val="21"/>
        </w:rPr>
        <w:object>
          <v:shape id="_x0000_i1597" o:spt="75" type="#_x0000_t75" style="height:28.5pt;width:165.75pt;" o:ole="t" filled="f" o:preferrelative="t" stroked="f" coordsize="21600,21600">
            <v:path/>
            <v:fill on="f" focussize="0,0"/>
            <v:stroke on="f" joinstyle="miter"/>
            <v:imagedata r:id="rId1128" o:title=""/>
            <o:lock v:ext="edit" aspectratio="t"/>
            <w10:wrap type="none"/>
            <w10:anchorlock/>
          </v:shape>
          <o:OLEObject Type="Embed" ProgID="Equation.DSMT4" ShapeID="_x0000_i1597" DrawAspect="Content" ObjectID="_1468076297" r:id="rId1127">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(C.2)</w:t>
      </w:r>
    </w:p>
    <w:p w14:paraId="59C49EB1">
      <w:pPr>
        <w:pStyle w:val="11"/>
        <w:tabs>
          <w:tab w:val="decimal" w:pos="1276"/>
          <w:tab w:val="decimal" w:pos="1418"/>
        </w:tabs>
        <w:wordWrap w:val="0"/>
        <w:spacing w:before="120" w:line="360" w:lineRule="atLeast"/>
        <w:ind w:left="0"/>
        <w:jc w:val="right"/>
        <w:rPr>
          <w:rFonts w:eastAsia="宋体"/>
          <w:color w:val="auto"/>
          <w:sz w:val="21"/>
          <w:szCs w:val="21"/>
        </w:rPr>
      </w:pPr>
      <w:r>
        <w:rPr>
          <w:rFonts w:eastAsia="宋体"/>
          <w:color w:val="auto"/>
          <w:position w:val="-10"/>
          <w:sz w:val="21"/>
          <w:szCs w:val="21"/>
        </w:rPr>
        <w:object>
          <v:shape id="_x0000_i1598" o:spt="75" type="#_x0000_t75" style="height:21.75pt;width:79.5pt;" o:ole="t" filled="f" o:preferrelative="t" stroked="f" coordsize="21600,21600">
            <v:path/>
            <v:fill on="f" focussize="0,0"/>
            <v:stroke on="f" joinstyle="miter"/>
            <v:imagedata r:id="rId1130" o:title=""/>
            <o:lock v:ext="edit" aspectratio="t"/>
            <w10:wrap type="none"/>
            <w10:anchorlock/>
          </v:shape>
          <o:OLEObject Type="Embed" ProgID="Equation.DSMT4" ShapeID="_x0000_i1598" DrawAspect="Content" ObjectID="_1468076298" r:id="rId1129">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(C.3)</w:t>
      </w:r>
    </w:p>
    <w:p w14:paraId="5811ADC3">
      <w:pPr>
        <w:pStyle w:val="11"/>
        <w:tabs>
          <w:tab w:val="decimal" w:pos="1276"/>
          <w:tab w:val="decimal" w:pos="1418"/>
        </w:tabs>
        <w:spacing w:line="360" w:lineRule="atLeast"/>
        <w:ind w:left="0" w:firstLine="422" w:firstLineChars="200"/>
        <w:rPr>
          <w:rFonts w:eastAsia="宋体"/>
          <w:color w:val="auto"/>
          <w:sz w:val="21"/>
          <w:szCs w:val="21"/>
        </w:rPr>
      </w:pPr>
      <w:r>
        <w:rPr>
          <w:rFonts w:eastAsia="宋体"/>
          <w:b/>
          <w:bCs/>
          <w:color w:val="auto"/>
          <w:sz w:val="21"/>
          <w:szCs w:val="21"/>
        </w:rPr>
        <w:t>b)</w:t>
      </w:r>
      <w:r>
        <w:rPr>
          <w:rFonts w:eastAsia="宋体"/>
          <w:color w:val="auto"/>
          <w:sz w:val="21"/>
          <w:szCs w:val="21"/>
        </w:rPr>
        <w:t xml:space="preserve">  三轴试验</w:t>
      </w:r>
    </w:p>
    <w:p w14:paraId="03C8D23B">
      <w:pPr>
        <w:pStyle w:val="11"/>
        <w:tabs>
          <w:tab w:val="decimal" w:pos="1276"/>
          <w:tab w:val="decimal" w:pos="1418"/>
        </w:tabs>
        <w:wordWrap w:val="0"/>
        <w:spacing w:before="120" w:line="360" w:lineRule="atLeast"/>
        <w:ind w:left="0" w:firstLine="851"/>
        <w:jc w:val="right"/>
        <w:rPr>
          <w:rFonts w:eastAsia="宋体"/>
          <w:color w:val="auto"/>
          <w:sz w:val="21"/>
          <w:szCs w:val="21"/>
        </w:rPr>
      </w:pPr>
      <w:r>
        <w:rPr>
          <w:rFonts w:eastAsia="宋体"/>
          <w:color w:val="auto"/>
          <w:sz w:val="21"/>
          <w:szCs w:val="21"/>
        </w:rPr>
        <w:t xml:space="preserve">  </w:t>
      </w:r>
      <w:r>
        <w:rPr>
          <w:rFonts w:eastAsia="宋体"/>
          <w:color w:val="auto"/>
          <w:position w:val="-28"/>
          <w:sz w:val="21"/>
          <w:szCs w:val="21"/>
        </w:rPr>
        <w:object>
          <v:shape id="_x0000_i1599" o:spt="75" type="#_x0000_t75" style="height:36pt;width:129.75pt;" o:ole="t" filled="f" o:preferrelative="t" stroked="f" coordsize="21600,21600">
            <v:path/>
            <v:fill on="f" focussize="0,0"/>
            <v:stroke on="f" joinstyle="miter"/>
            <v:imagedata r:id="rId1132" o:title=""/>
            <o:lock v:ext="edit" aspectratio="t"/>
            <w10:wrap type="none"/>
            <w10:anchorlock/>
          </v:shape>
          <o:OLEObject Type="Embed" ProgID="Equation.DSMT4" ShapeID="_x0000_i1599" DrawAspect="Content" ObjectID="_1468076299" r:id="rId1131">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(C.4)</w:t>
      </w:r>
    </w:p>
    <w:p w14:paraId="0B41DF43">
      <w:pPr>
        <w:pStyle w:val="11"/>
        <w:tabs>
          <w:tab w:val="decimal" w:pos="1276"/>
          <w:tab w:val="decimal" w:pos="1418"/>
        </w:tabs>
        <w:wordWrap w:val="0"/>
        <w:spacing w:line="360" w:lineRule="atLeast"/>
        <w:ind w:left="0" w:firstLine="851"/>
        <w:jc w:val="right"/>
        <w:rPr>
          <w:rFonts w:eastAsia="宋体"/>
          <w:color w:val="auto"/>
          <w:sz w:val="21"/>
          <w:szCs w:val="21"/>
        </w:rPr>
      </w:pPr>
      <w:r>
        <w:rPr>
          <w:rFonts w:eastAsia="宋体"/>
          <w:color w:val="auto"/>
          <w:position w:val="-30"/>
          <w:sz w:val="21"/>
          <w:szCs w:val="21"/>
        </w:rPr>
        <w:object>
          <v:shape id="_x0000_i1600" o:spt="75" type="#_x0000_t75" style="height:36pt;width:122.25pt;" o:ole="t" filled="f" o:preferrelative="t" stroked="f" coordsize="21600,21600">
            <v:path/>
            <v:fill on="f" focussize="0,0"/>
            <v:stroke on="f" joinstyle="miter"/>
            <v:imagedata r:id="rId1134" o:title=""/>
            <o:lock v:ext="edit" aspectratio="t"/>
            <w10:wrap type="none"/>
            <w10:anchorlock/>
          </v:shape>
          <o:OLEObject Type="Embed" ProgID="Equation.DSMT4" ShapeID="_x0000_i1600" DrawAspect="Content" ObjectID="_1468076300" r:id="rId1133">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(C.5)</w:t>
      </w:r>
    </w:p>
    <w:p w14:paraId="0F4288BC">
      <w:pPr>
        <w:pStyle w:val="11"/>
        <w:tabs>
          <w:tab w:val="decimal" w:pos="1276"/>
          <w:tab w:val="decimal" w:pos="1418"/>
        </w:tabs>
        <w:wordWrap w:val="0"/>
        <w:spacing w:before="120" w:line="360" w:lineRule="atLeast"/>
        <w:ind w:left="0" w:firstLine="851"/>
        <w:jc w:val="right"/>
        <w:rPr>
          <w:rFonts w:eastAsia="宋体"/>
          <w:color w:val="auto"/>
          <w:sz w:val="21"/>
          <w:szCs w:val="21"/>
        </w:rPr>
      </w:pPr>
      <w:r>
        <w:rPr>
          <w:rFonts w:eastAsia="宋体"/>
          <w:color w:val="auto"/>
          <w:position w:val="-24"/>
          <w:sz w:val="21"/>
          <w:szCs w:val="21"/>
        </w:rPr>
        <w:object>
          <v:shape id="_x0000_i1601" o:spt="75" type="#_x0000_t75" style="height:36pt;width:57.75pt;" o:ole="t" filled="f" o:preferrelative="t" stroked="f" coordsize="21600,21600">
            <v:path/>
            <v:fill on="f" focussize="0,0"/>
            <v:stroke on="f" joinstyle="miter"/>
            <v:imagedata r:id="rId1136" o:title=""/>
            <o:lock v:ext="edit" aspectratio="t"/>
            <w10:wrap type="none"/>
            <w10:anchorlock/>
          </v:shape>
          <o:OLEObject Type="Embed" ProgID="Equation.DSMT4" ShapeID="_x0000_i1601" DrawAspect="Content" ObjectID="_1468076301" r:id="rId1135">
            <o:LockedField>false</o:LockedField>
          </o:OLEObject>
        </w:object>
      </w:r>
      <w:r>
        <w:rPr>
          <w:rFonts w:eastAsia="宋体"/>
          <w:color w:val="auto"/>
          <w:sz w:val="21"/>
          <w:szCs w:val="21"/>
        </w:rPr>
        <w:tab/>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ab/>
      </w:r>
      <w:r>
        <w:rPr>
          <w:rFonts w:eastAsia="宋体"/>
          <w:color w:val="auto"/>
          <w:sz w:val="21"/>
          <w:szCs w:val="21"/>
        </w:rPr>
        <w:t xml:space="preserve">   (C.6)</w:t>
      </w:r>
    </w:p>
    <w:p w14:paraId="692EE672">
      <w:pPr>
        <w:pStyle w:val="11"/>
        <w:tabs>
          <w:tab w:val="decimal" w:pos="1276"/>
          <w:tab w:val="decimal" w:pos="1418"/>
        </w:tabs>
        <w:wordWrap w:val="0"/>
        <w:spacing w:before="120" w:line="360" w:lineRule="atLeast"/>
        <w:ind w:left="0" w:firstLine="851"/>
        <w:jc w:val="right"/>
        <w:rPr>
          <w:rFonts w:eastAsia="宋体"/>
          <w:color w:val="auto"/>
          <w:sz w:val="21"/>
          <w:szCs w:val="21"/>
        </w:rPr>
      </w:pPr>
      <w:r>
        <w:rPr>
          <w:rFonts w:eastAsia="宋体"/>
          <w:color w:val="auto"/>
          <w:position w:val="-24"/>
          <w:sz w:val="21"/>
          <w:szCs w:val="21"/>
        </w:rPr>
        <w:object>
          <v:shape id="_x0000_i1602" o:spt="75" type="#_x0000_t75" style="height:36pt;width:57.75pt;" o:ole="t" filled="f" o:preferrelative="t" stroked="f" coordsize="21600,21600">
            <v:path/>
            <v:fill on="f" focussize="0,0"/>
            <v:stroke on="f" joinstyle="miter"/>
            <v:imagedata r:id="rId1138" o:title=""/>
            <o:lock v:ext="edit" aspectratio="t"/>
            <w10:wrap type="none"/>
            <w10:anchorlock/>
          </v:shape>
          <o:OLEObject Type="Embed" ProgID="Equation.DSMT4" ShapeID="_x0000_i1602" DrawAspect="Content" ObjectID="_1468076302" r:id="rId1137">
            <o:LockedField>false</o:LockedField>
          </o:OLEObject>
        </w:object>
      </w:r>
      <w:r>
        <w:rPr>
          <w:rFonts w:eastAsia="宋体"/>
          <w:color w:val="auto"/>
          <w:sz w:val="21"/>
          <w:szCs w:val="21"/>
        </w:rPr>
        <w:tab/>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 xml:space="preserve">   (C.7)</w:t>
      </w:r>
    </w:p>
    <w:p w14:paraId="1E9354F3">
      <w:pPr>
        <w:pStyle w:val="11"/>
        <w:tabs>
          <w:tab w:val="decimal" w:pos="1276"/>
          <w:tab w:val="decimal" w:pos="1418"/>
        </w:tabs>
        <w:spacing w:line="340" w:lineRule="atLeast"/>
        <w:ind w:left="0"/>
        <w:rPr>
          <w:rFonts w:eastAsia="宋体"/>
          <w:color w:val="auto"/>
          <w:sz w:val="21"/>
          <w:szCs w:val="21"/>
        </w:rPr>
      </w:pPr>
      <w:r>
        <w:rPr>
          <w:rFonts w:eastAsia="宋体"/>
          <w:color w:val="auto"/>
          <w:sz w:val="21"/>
          <w:szCs w:val="21"/>
        </w:rPr>
        <w:t xml:space="preserve">式中  </w:t>
      </w:r>
      <w:r>
        <w:rPr>
          <w:rFonts w:eastAsia="宋体"/>
          <w:color w:val="auto"/>
          <w:position w:val="-10"/>
          <w:sz w:val="21"/>
          <w:szCs w:val="21"/>
        </w:rPr>
        <w:object>
          <v:shape id="_x0000_i1603" o:spt="75" type="#_x0000_t75" style="height:14.25pt;width:14.25pt;" o:ole="t" filled="f" o:preferrelative="t" stroked="f" coordsize="21600,21600">
            <v:path/>
            <v:fill on="f" focussize="0,0"/>
            <v:stroke on="f" joinstyle="miter"/>
            <v:imagedata r:id="rId1140" o:title=""/>
            <o:lock v:ext="edit" aspectratio="t"/>
            <w10:wrap type="none"/>
            <w10:anchorlock/>
          </v:shape>
          <o:OLEObject Type="Embed" ProgID="Equation.DSMT4" ShapeID="_x0000_i1603" DrawAspect="Content" ObjectID="_1468076303" r:id="rId1139">
            <o:LockedField>false</o:LockedField>
          </o:OLEObject>
        </w:object>
      </w:r>
      <w:r>
        <w:rPr>
          <w:rFonts w:eastAsia="宋体"/>
          <w:color w:val="auto"/>
          <w:sz w:val="21"/>
          <w:szCs w:val="21"/>
        </w:rPr>
        <w:t>——垂直压力；</w:t>
      </w:r>
    </w:p>
    <w:p w14:paraId="613351DF">
      <w:pPr>
        <w:pStyle w:val="11"/>
        <w:tabs>
          <w:tab w:val="left" w:pos="720"/>
          <w:tab w:val="decimal" w:pos="1276"/>
          <w:tab w:val="decimal" w:pos="1418"/>
        </w:tabs>
        <w:spacing w:line="340" w:lineRule="atLeast"/>
        <w:ind w:left="360" w:firstLine="326"/>
        <w:rPr>
          <w:rFonts w:eastAsia="宋体"/>
          <w:color w:val="auto"/>
          <w:sz w:val="21"/>
          <w:szCs w:val="21"/>
        </w:rPr>
      </w:pPr>
      <w:r>
        <w:rPr>
          <w:rFonts w:eastAsia="宋体"/>
          <w:color w:val="auto"/>
          <w:position w:val="-6"/>
          <w:sz w:val="21"/>
          <w:szCs w:val="21"/>
        </w:rPr>
        <w:object>
          <v:shape id="_x0000_i1604" o:spt="75" type="#_x0000_t75" style="height:7.5pt;width:7.5pt;" o:ole="t" filled="f" o:preferrelative="t" stroked="f" coordsize="21600,21600">
            <v:path/>
            <v:fill on="f" focussize="0,0"/>
            <v:stroke on="f" joinstyle="miter"/>
            <v:imagedata r:id="rId1142" o:title=""/>
            <o:lock v:ext="edit" aspectratio="t"/>
            <w10:wrap type="none"/>
            <w10:anchorlock/>
          </v:shape>
          <o:OLEObject Type="Embed" ProgID="Equation.DSMT4" ShapeID="_x0000_i1604" DrawAspect="Content" ObjectID="_1468076304" r:id="rId1141">
            <o:LockedField>false</o:LockedField>
          </o:OLEObject>
        </w:object>
      </w:r>
      <w:r>
        <w:rPr>
          <w:rFonts w:eastAsia="宋体"/>
          <w:color w:val="auto"/>
          <w:sz w:val="21"/>
          <w:szCs w:val="21"/>
        </w:rPr>
        <w:t>——水平剪力；</w:t>
      </w:r>
    </w:p>
    <w:p w14:paraId="5A709FC6">
      <w:pPr>
        <w:pStyle w:val="11"/>
        <w:tabs>
          <w:tab w:val="left" w:pos="720"/>
          <w:tab w:val="decimal" w:pos="1276"/>
          <w:tab w:val="decimal" w:pos="1418"/>
        </w:tabs>
        <w:spacing w:line="340" w:lineRule="atLeast"/>
        <w:ind w:left="360" w:firstLine="326"/>
        <w:rPr>
          <w:rFonts w:eastAsia="宋体"/>
          <w:color w:val="auto"/>
          <w:sz w:val="21"/>
          <w:szCs w:val="21"/>
        </w:rPr>
      </w:pPr>
      <w:r>
        <w:rPr>
          <w:rFonts w:eastAsia="宋体"/>
          <w:color w:val="auto"/>
          <w:position w:val="-6"/>
          <w:sz w:val="21"/>
          <w:szCs w:val="21"/>
        </w:rPr>
        <w:object>
          <v:shape id="_x0000_i1605" o:spt="75" type="#_x0000_t75" style="height:14.25pt;width:7.5pt;" o:ole="t" filled="f" o:preferrelative="t" stroked="f" coordsize="21600,21600">
            <v:path/>
            <v:fill on="f" focussize="0,0"/>
            <v:stroke on="f" joinstyle="miter"/>
            <v:imagedata r:id="rId1144" o:title=""/>
            <o:lock v:ext="edit" aspectratio="t"/>
            <w10:wrap type="none"/>
            <w10:anchorlock/>
          </v:shape>
          <o:OLEObject Type="Embed" ProgID="Equation.DSMT4" ShapeID="_x0000_i1605" DrawAspect="Content" ObjectID="_1468076305" r:id="rId1143">
            <o:LockedField>false</o:LockedField>
          </o:OLEObject>
        </w:object>
      </w:r>
      <w:r>
        <w:rPr>
          <w:rFonts w:eastAsia="宋体"/>
          <w:color w:val="auto"/>
          <w:sz w:val="21"/>
          <w:szCs w:val="21"/>
        </w:rPr>
        <w:tab/>
      </w:r>
      <w:r>
        <w:rPr>
          <w:rFonts w:eastAsia="宋体"/>
          <w:color w:val="auto"/>
          <w:sz w:val="21"/>
          <w:szCs w:val="21"/>
        </w:rPr>
        <w:t>——每组试样数；</w:t>
      </w:r>
    </w:p>
    <w:p w14:paraId="1BA0366D">
      <w:pPr>
        <w:pStyle w:val="11"/>
        <w:tabs>
          <w:tab w:val="decimal" w:pos="1276"/>
          <w:tab w:val="decimal" w:pos="1418"/>
        </w:tabs>
        <w:spacing w:line="340" w:lineRule="atLeast"/>
        <w:ind w:left="0" w:firstLine="567" w:firstLineChars="270"/>
        <w:rPr>
          <w:rFonts w:eastAsia="宋体"/>
          <w:color w:val="auto"/>
          <w:sz w:val="21"/>
          <w:szCs w:val="21"/>
        </w:rPr>
      </w:pPr>
      <w:r>
        <w:rPr>
          <w:rFonts w:eastAsia="宋体"/>
          <w:color w:val="auto"/>
          <w:position w:val="-12"/>
          <w:sz w:val="21"/>
          <w:szCs w:val="21"/>
        </w:rPr>
        <w:object>
          <v:shape id="_x0000_i1606" o:spt="75" type="#_x0000_t75" style="height:21.75pt;width:14.25pt;" o:ole="t" filled="f" o:preferrelative="t" stroked="f" coordsize="21600,21600">
            <v:path/>
            <v:fill on="f" focussize="0,0"/>
            <v:stroke on="f" joinstyle="miter"/>
            <v:imagedata r:id="rId1146" o:title=""/>
            <o:lock v:ext="edit" aspectratio="t"/>
            <w10:wrap type="none"/>
            <w10:anchorlock/>
          </v:shape>
          <o:OLEObject Type="Embed" ProgID="Equation.DSMT4" ShapeID="_x0000_i1606" DrawAspect="Content" ObjectID="_1468076306" r:id="rId1145">
            <o:LockedField>false</o:LockedField>
          </o:OLEObject>
        </w:object>
      </w:r>
      <w:r>
        <w:rPr>
          <w:rFonts w:eastAsia="宋体"/>
          <w:color w:val="auto"/>
          <w:sz w:val="21"/>
          <w:szCs w:val="21"/>
        </w:rPr>
        <w:t>——剪切破坏时的最大主应力；</w:t>
      </w:r>
    </w:p>
    <w:p w14:paraId="6C9468D8">
      <w:pPr>
        <w:pStyle w:val="11"/>
        <w:tabs>
          <w:tab w:val="decimal" w:pos="1276"/>
          <w:tab w:val="decimal" w:pos="1418"/>
        </w:tabs>
        <w:spacing w:line="340" w:lineRule="atLeast"/>
        <w:ind w:left="0" w:firstLine="602"/>
        <w:rPr>
          <w:rFonts w:eastAsia="宋体"/>
          <w:color w:val="auto"/>
          <w:sz w:val="21"/>
          <w:szCs w:val="21"/>
        </w:rPr>
      </w:pPr>
      <w:r>
        <w:rPr>
          <w:rFonts w:eastAsia="宋体"/>
          <w:color w:val="auto"/>
          <w:position w:val="-12"/>
          <w:sz w:val="21"/>
          <w:szCs w:val="21"/>
        </w:rPr>
        <w:object>
          <v:shape id="_x0000_i1607" o:spt="75" type="#_x0000_t75" style="height:21.75pt;width:14.25pt;" o:ole="t" filled="f" o:preferrelative="t" stroked="f" coordsize="21600,21600">
            <v:path/>
            <v:fill on="f" focussize="0,0"/>
            <v:stroke on="f" joinstyle="miter"/>
            <v:imagedata r:id="rId1148" o:title=""/>
            <o:lock v:ext="edit" aspectratio="t"/>
            <w10:wrap type="none"/>
            <w10:anchorlock/>
          </v:shape>
          <o:OLEObject Type="Embed" ProgID="Equation.DSMT4" ShapeID="_x0000_i1607" DrawAspect="Content" ObjectID="_1468076307" r:id="rId1147">
            <o:LockedField>false</o:LockedField>
          </o:OLEObject>
        </w:object>
      </w:r>
      <w:r>
        <w:rPr>
          <w:rFonts w:eastAsia="宋体"/>
          <w:color w:val="auto"/>
          <w:sz w:val="21"/>
          <w:szCs w:val="21"/>
        </w:rPr>
        <w:t>——周围压力。</w:t>
      </w:r>
    </w:p>
    <w:p w14:paraId="03087C29">
      <w:pPr>
        <w:pStyle w:val="11"/>
        <w:tabs>
          <w:tab w:val="decimal" w:pos="1276"/>
          <w:tab w:val="decimal" w:pos="1418"/>
        </w:tabs>
        <w:spacing w:before="40" w:after="40" w:line="340" w:lineRule="atLeast"/>
        <w:ind w:left="0"/>
        <w:rPr>
          <w:rFonts w:eastAsia="宋体"/>
          <w:color w:val="auto"/>
          <w:spacing w:val="-6"/>
          <w:sz w:val="21"/>
          <w:szCs w:val="21"/>
        </w:rPr>
      </w:pPr>
      <w:r>
        <w:rPr>
          <w:rFonts w:eastAsia="宋体"/>
          <w:b/>
          <w:bCs/>
          <w:color w:val="auto"/>
          <w:sz w:val="21"/>
          <w:szCs w:val="21"/>
        </w:rPr>
        <w:t>C.3</w:t>
      </w:r>
      <w:r>
        <w:rPr>
          <w:rFonts w:eastAsia="宋体"/>
          <w:color w:val="auto"/>
          <w:sz w:val="21"/>
          <w:szCs w:val="21"/>
        </w:rPr>
        <w:t xml:space="preserve">  </w:t>
      </w:r>
      <w:r>
        <w:rPr>
          <w:rFonts w:eastAsia="宋体"/>
          <w:color w:val="auto"/>
          <w:spacing w:val="-6"/>
          <w:sz w:val="21"/>
          <w:szCs w:val="21"/>
        </w:rPr>
        <w:t>内摩擦角标准值</w:t>
      </w:r>
      <w:r>
        <w:rPr>
          <w:rFonts w:eastAsia="宋体"/>
          <w:color w:val="auto"/>
          <w:spacing w:val="-6"/>
          <w:position w:val="-12"/>
          <w:sz w:val="21"/>
          <w:szCs w:val="21"/>
        </w:rPr>
        <w:object>
          <v:shape id="_x0000_i1608" o:spt="75" type="#_x0000_t75" style="height:21.75pt;width:14.25pt;" o:ole="t" filled="f" o:preferrelative="t" stroked="f" coordsize="21600,21600">
            <v:path/>
            <v:fill on="f" focussize="0,0"/>
            <v:stroke on="f" joinstyle="miter"/>
            <v:imagedata r:id="rId1150" o:title=""/>
            <o:lock v:ext="edit" aspectratio="t"/>
            <w10:wrap type="none"/>
            <w10:anchorlock/>
          </v:shape>
          <o:OLEObject Type="Embed" ProgID="Equation.DSMT4" ShapeID="_x0000_i1608" DrawAspect="Content" ObjectID="_1468076308" r:id="rId1149">
            <o:LockedField>false</o:LockedField>
          </o:OLEObject>
        </w:object>
      </w:r>
      <w:r>
        <w:rPr>
          <w:rFonts w:eastAsia="宋体"/>
          <w:color w:val="auto"/>
          <w:spacing w:val="-6"/>
          <w:sz w:val="21"/>
          <w:szCs w:val="21"/>
        </w:rPr>
        <w:t>、黏聚力标准值</w:t>
      </w:r>
      <w:r>
        <w:rPr>
          <w:rFonts w:eastAsia="宋体"/>
          <w:color w:val="auto"/>
          <w:spacing w:val="-6"/>
          <w:position w:val="-12"/>
          <w:sz w:val="21"/>
          <w:szCs w:val="21"/>
        </w:rPr>
        <w:object>
          <v:shape id="_x0000_i1609" o:spt="75" type="#_x0000_t75" style="height:21.75pt;width:14.25pt;" o:ole="t" filled="f" o:preferrelative="t" stroked="f" coordsize="21600,21600">
            <v:path/>
            <v:fill on="f" focussize="0,0"/>
            <v:stroke on="f" joinstyle="miter"/>
            <v:imagedata r:id="rId1152" o:title=""/>
            <o:lock v:ext="edit" aspectratio="t"/>
            <w10:wrap type="none"/>
            <w10:anchorlock/>
          </v:shape>
          <o:OLEObject Type="Embed" ProgID="Equation.DSMT4" ShapeID="_x0000_i1609" DrawAspect="Content" ObjectID="_1468076309" r:id="rId1151">
            <o:LockedField>false</o:LockedField>
          </o:OLEObject>
        </w:object>
      </w:r>
      <w:r>
        <w:rPr>
          <w:rFonts w:eastAsia="宋体"/>
          <w:color w:val="auto"/>
          <w:spacing w:val="-6"/>
          <w:sz w:val="21"/>
          <w:szCs w:val="21"/>
        </w:rPr>
        <w:t>，可按下列规定计算。</w:t>
      </w:r>
    </w:p>
    <w:p w14:paraId="3535B613">
      <w:pPr>
        <w:pStyle w:val="11"/>
        <w:tabs>
          <w:tab w:val="decimal" w:pos="1276"/>
          <w:tab w:val="decimal" w:pos="1418"/>
        </w:tabs>
        <w:spacing w:before="40" w:after="40" w:line="340" w:lineRule="atLeast"/>
        <w:ind w:left="0" w:firstLine="422" w:firstLineChars="200"/>
        <w:rPr>
          <w:rFonts w:eastAsia="宋体"/>
          <w:color w:val="auto"/>
          <w:sz w:val="21"/>
          <w:szCs w:val="21"/>
        </w:rPr>
      </w:pPr>
      <w:r>
        <w:rPr>
          <w:rFonts w:eastAsia="宋体"/>
          <w:b/>
          <w:bCs/>
          <w:color w:val="auto"/>
          <w:sz w:val="21"/>
          <w:szCs w:val="21"/>
        </w:rPr>
        <w:t>a)</w:t>
      </w:r>
      <w:r>
        <w:rPr>
          <w:rFonts w:eastAsia="宋体"/>
          <w:color w:val="auto"/>
          <w:sz w:val="21"/>
          <w:szCs w:val="21"/>
        </w:rPr>
        <w:t xml:space="preserve">  根据室内试验所取得的</w:t>
      </w:r>
      <w:r>
        <w:rPr>
          <w:rFonts w:eastAsia="宋体"/>
          <w:color w:val="auto"/>
          <w:position w:val="-12"/>
          <w:sz w:val="21"/>
          <w:szCs w:val="21"/>
        </w:rPr>
        <w:object>
          <v:shape id="_x0000_i1610" o:spt="75" type="#_x0000_t75" style="height:21.75pt;width:7.5pt;" o:ole="t" filled="f" o:preferrelative="t" stroked="f" coordsize="21600,21600">
            <v:path/>
            <v:fill on="f" focussize="0,0"/>
            <v:stroke on="f" joinstyle="miter"/>
            <v:imagedata r:id="rId1154" o:title=""/>
            <o:lock v:ext="edit" aspectratio="t"/>
            <w10:wrap type="none"/>
            <w10:anchorlock/>
          </v:shape>
          <o:OLEObject Type="Embed" ProgID="Equation.DSMT4" ShapeID="_x0000_i1610" DrawAspect="Content" ObjectID="_1468076310" r:id="rId1153">
            <o:LockedField>false</o:LockedField>
          </o:OLEObject>
        </w:object>
      </w:r>
      <w:r>
        <w:rPr>
          <w:rFonts w:eastAsia="宋体"/>
          <w:color w:val="auto"/>
          <w:sz w:val="21"/>
          <w:szCs w:val="21"/>
        </w:rPr>
        <w:t>、</w:t>
      </w:r>
      <w:r>
        <w:rPr>
          <w:rFonts w:eastAsia="宋体"/>
          <w:color w:val="auto"/>
          <w:position w:val="-12"/>
          <w:sz w:val="21"/>
          <w:szCs w:val="21"/>
        </w:rPr>
        <w:object>
          <v:shape id="_x0000_i1611" o:spt="75" type="#_x0000_t75" style="height:21.75pt;width:14.25pt;" o:ole="t" filled="f" o:preferrelative="t" stroked="f" coordsize="21600,21600">
            <v:path/>
            <v:fill on="f" focussize="0,0"/>
            <v:stroke on="f" joinstyle="miter"/>
            <v:imagedata r:id="rId1156" o:title=""/>
            <o:lock v:ext="edit" aspectratio="t"/>
            <w10:wrap type="none"/>
            <w10:anchorlock/>
          </v:shape>
          <o:OLEObject Type="Embed" ProgID="Equation.DSMT4" ShapeID="_x0000_i1611" DrawAspect="Content" ObjectID="_1468076311" r:id="rId1155">
            <o:LockedField>false</o:LockedField>
          </o:OLEObject>
        </w:object>
      </w:r>
      <w:r>
        <w:rPr>
          <w:rFonts w:eastAsia="宋体"/>
          <w:color w:val="auto"/>
          <w:sz w:val="21"/>
          <w:szCs w:val="21"/>
        </w:rPr>
        <w:t>、</w:t>
      </w:r>
      <w:r>
        <w:rPr>
          <w:rFonts w:eastAsia="宋体"/>
          <w:color w:val="auto"/>
          <w:position w:val="-12"/>
          <w:sz w:val="21"/>
          <w:szCs w:val="21"/>
        </w:rPr>
        <w:object>
          <v:shape id="_x0000_i1612" o:spt="75" type="#_x0000_t75" style="height:21.75pt;width:14.25pt;" o:ole="t" filled="f" o:preferrelative="t" stroked="f" coordsize="21600,21600">
            <v:path/>
            <v:fill on="f" focussize="0,0"/>
            <v:stroke on="f" joinstyle="miter"/>
            <v:imagedata r:id="rId1158" o:title=""/>
            <o:lock v:ext="edit" aspectratio="t"/>
            <w10:wrap type="none"/>
            <w10:anchorlock/>
          </v:shape>
          <o:OLEObject Type="Embed" ProgID="Equation.DSMT4" ShapeID="_x0000_i1612" DrawAspect="Content" ObjectID="_1468076312" r:id="rId1157">
            <o:LockedField>false</o:LockedField>
          </o:OLEObject>
        </w:object>
      </w:r>
      <w:r>
        <w:rPr>
          <w:rFonts w:eastAsia="宋体"/>
          <w:color w:val="auto"/>
          <w:sz w:val="21"/>
          <w:szCs w:val="21"/>
        </w:rPr>
        <w:t>、</w:t>
      </w:r>
      <w:r>
        <w:rPr>
          <w:rFonts w:eastAsia="宋体"/>
          <w:color w:val="auto"/>
          <w:position w:val="-12"/>
          <w:sz w:val="21"/>
          <w:szCs w:val="21"/>
        </w:rPr>
        <w:object>
          <v:shape id="_x0000_i1613" o:spt="75" type="#_x0000_t75" style="height:21.75pt;width:14.25pt;" o:ole="t" filled="f" o:preferrelative="t" stroked="f" coordsize="21600,21600">
            <v:path/>
            <v:fill on="f" focussize="0,0"/>
            <v:stroke on="f" joinstyle="miter"/>
            <v:imagedata r:id="rId1160" o:title=""/>
            <o:lock v:ext="edit" aspectratio="t"/>
            <w10:wrap type="none"/>
            <w10:anchorlock/>
          </v:shape>
          <o:OLEObject Type="Embed" ProgID="Equation.DSMT4" ShapeID="_x0000_i1613" DrawAspect="Content" ObjectID="_1468076313" r:id="rId1159">
            <o:LockedField>false</o:LockedField>
          </o:OLEObject>
        </w:object>
      </w:r>
      <w:r>
        <w:rPr>
          <w:rFonts w:eastAsia="宋体"/>
          <w:color w:val="auto"/>
          <w:sz w:val="21"/>
          <w:szCs w:val="21"/>
        </w:rPr>
        <w:t>、……、</w:t>
      </w:r>
      <w:r>
        <w:rPr>
          <w:rFonts w:eastAsia="宋体"/>
          <w:color w:val="auto"/>
          <w:position w:val="-12"/>
          <w:sz w:val="21"/>
          <w:szCs w:val="21"/>
        </w:rPr>
        <w:object>
          <v:shape id="_x0000_i1614" o:spt="75" type="#_x0000_t75" style="height:21.75pt;width:14.25pt;" o:ole="t" filled="f" o:preferrelative="t" stroked="f" coordsize="21600,21600">
            <v:path/>
            <v:fill on="f" focussize="0,0"/>
            <v:stroke on="f" joinstyle="miter"/>
            <v:imagedata r:id="rId1162" o:title=""/>
            <o:lock v:ext="edit" aspectratio="t"/>
            <w10:wrap type="none"/>
            <w10:anchorlock/>
          </v:shape>
          <o:OLEObject Type="Embed" ProgID="Equation.DSMT4" ShapeID="_x0000_i1614" DrawAspect="Content" ObjectID="_1468076314" r:id="rId1161">
            <o:LockedField>false</o:LockedField>
          </o:OLEObject>
        </w:object>
      </w:r>
      <w:r>
        <w:rPr>
          <w:rFonts w:eastAsia="宋体"/>
          <w:color w:val="auto"/>
          <w:sz w:val="21"/>
          <w:szCs w:val="21"/>
        </w:rPr>
        <w:t>、</w:t>
      </w:r>
      <w:r>
        <w:rPr>
          <w:rFonts w:eastAsia="宋体"/>
          <w:color w:val="auto"/>
          <w:position w:val="-12"/>
          <w:sz w:val="21"/>
          <w:szCs w:val="21"/>
        </w:rPr>
        <w:object>
          <v:shape id="_x0000_i1615" o:spt="75" type="#_x0000_t75" style="height:21.75pt;width:14.25pt;" o:ole="t" filled="f" o:preferrelative="t" stroked="f" coordsize="21600,21600">
            <v:path/>
            <v:fill on="f" focussize="0,0"/>
            <v:stroke on="f" joinstyle="miter"/>
            <v:imagedata r:id="rId1164" o:title=""/>
            <o:lock v:ext="edit" aspectratio="t"/>
            <w10:wrap type="none"/>
            <w10:anchorlock/>
          </v:shape>
          <o:OLEObject Type="Embed" ProgID="Equation.DSMT4" ShapeID="_x0000_i1615" DrawAspect="Content" ObjectID="_1468076315" r:id="rId1163">
            <o:LockedField>false</o:LockedField>
          </o:OLEObject>
        </w:object>
      </w:r>
      <w:r>
        <w:rPr>
          <w:rFonts w:eastAsia="宋体"/>
          <w:color w:val="auto"/>
          <w:sz w:val="21"/>
          <w:szCs w:val="21"/>
        </w:rPr>
        <w:t>的结果，按公式(C.8)、(C.9)、(C.10)计算变异系数</w:t>
      </w:r>
      <w:r>
        <w:rPr>
          <w:rFonts w:eastAsia="宋体"/>
          <w:color w:val="auto"/>
          <w:position w:val="-6"/>
          <w:sz w:val="21"/>
          <w:szCs w:val="21"/>
        </w:rPr>
        <w:object>
          <v:shape id="_x0000_i1616" o:spt="75" type="#_x0000_t75" style="height:14.25pt;width:7.5pt;" o:ole="t" filled="f" o:preferrelative="t" stroked="f" coordsize="21600,21600">
            <v:path/>
            <v:fill on="f" focussize="0,0"/>
            <v:stroke on="f" joinstyle="miter"/>
            <v:imagedata r:id="rId1166" o:title=""/>
            <o:lock v:ext="edit" aspectratio="t"/>
            <w10:wrap type="none"/>
            <w10:anchorlock/>
          </v:shape>
          <o:OLEObject Type="Embed" ProgID="Equation.DSMT4" ShapeID="_x0000_i1616" DrawAspect="Content" ObjectID="_1468076316" r:id="rId1165">
            <o:LockedField>false</o:LockedField>
          </o:OLEObject>
        </w:object>
      </w:r>
      <w:r>
        <w:rPr>
          <w:rFonts w:eastAsia="宋体"/>
          <w:color w:val="auto"/>
          <w:sz w:val="21"/>
          <w:szCs w:val="21"/>
        </w:rPr>
        <w:t>值、平均值</w:t>
      </w:r>
      <w:r>
        <w:rPr>
          <w:rFonts w:eastAsia="宋体"/>
          <w:color w:val="auto"/>
          <w:position w:val="-10"/>
          <w:sz w:val="21"/>
          <w:szCs w:val="21"/>
        </w:rPr>
        <w:object>
          <v:shape id="_x0000_i1617" o:spt="75" type="#_x0000_t75" style="height:14.25pt;width:14.25pt;" o:ole="t" filled="f" o:preferrelative="t" stroked="f" coordsize="21600,21600">
            <v:path/>
            <v:fill on="f" focussize="0,0"/>
            <v:stroke on="f" joinstyle="miter"/>
            <v:imagedata r:id="rId1168" o:title=""/>
            <o:lock v:ext="edit" aspectratio="t"/>
            <w10:wrap type="none"/>
            <w10:anchorlock/>
          </v:shape>
          <o:OLEObject Type="Embed" ProgID="Equation.DSMT4" ShapeID="_x0000_i1617" DrawAspect="Content" ObjectID="_1468076317" r:id="rId1167">
            <o:LockedField>false</o:LockedField>
          </o:OLEObject>
        </w:object>
      </w:r>
      <w:r>
        <w:rPr>
          <w:rFonts w:eastAsia="宋体"/>
          <w:color w:val="auto"/>
          <w:sz w:val="21"/>
          <w:szCs w:val="21"/>
        </w:rPr>
        <w:t>值和标准差</w:t>
      </w:r>
      <w:r>
        <w:rPr>
          <w:rFonts w:eastAsia="宋体"/>
          <w:color w:val="auto"/>
          <w:position w:val="-6"/>
          <w:sz w:val="21"/>
          <w:szCs w:val="21"/>
        </w:rPr>
        <w:object>
          <v:shape id="_x0000_i1618" o:spt="75" type="#_x0000_t75" style="height:7.5pt;width:14.25pt;" o:ole="t" filled="f" o:preferrelative="t" stroked="f" coordsize="21600,21600">
            <v:path/>
            <v:fill on="f" focussize="0,0"/>
            <v:stroke on="f" joinstyle="miter"/>
            <v:imagedata r:id="rId1170" o:title=""/>
            <o:lock v:ext="edit" aspectratio="t"/>
            <w10:wrap type="none"/>
            <w10:anchorlock/>
          </v:shape>
          <o:OLEObject Type="Embed" ProgID="Equation.DSMT4" ShapeID="_x0000_i1618" DrawAspect="Content" ObjectID="_1468076318" r:id="rId1169">
            <o:LockedField>false</o:LockedField>
          </o:OLEObject>
        </w:object>
      </w:r>
      <w:r>
        <w:rPr>
          <w:rFonts w:eastAsia="宋体"/>
          <w:color w:val="auto"/>
          <w:sz w:val="21"/>
          <w:szCs w:val="21"/>
        </w:rPr>
        <w:t>值。</w:t>
      </w:r>
    </w:p>
    <w:p w14:paraId="380D441D">
      <w:pPr>
        <w:pStyle w:val="11"/>
        <w:tabs>
          <w:tab w:val="decimal" w:pos="1276"/>
          <w:tab w:val="decimal" w:pos="1418"/>
        </w:tabs>
        <w:wordWrap w:val="0"/>
        <w:spacing w:before="40" w:after="40" w:line="360" w:lineRule="atLeast"/>
        <w:ind w:left="0" w:firstLine="1134"/>
        <w:jc w:val="right"/>
        <w:rPr>
          <w:rFonts w:eastAsia="宋体"/>
          <w:color w:val="auto"/>
          <w:sz w:val="21"/>
          <w:szCs w:val="21"/>
        </w:rPr>
      </w:pPr>
      <w:r>
        <w:rPr>
          <w:rFonts w:eastAsia="宋体"/>
          <w:color w:val="auto"/>
          <w:position w:val="-28"/>
          <w:sz w:val="21"/>
          <w:szCs w:val="21"/>
        </w:rPr>
        <w:object>
          <v:shape id="_x0000_i1619" o:spt="75" type="#_x0000_t75" style="height:36pt;width:28.5pt;" o:ole="t" filled="f" o:preferrelative="t" stroked="f" coordsize="21600,21600">
            <v:path/>
            <v:fill on="f" focussize="0,0"/>
            <v:stroke on="f" joinstyle="miter"/>
            <v:imagedata r:id="rId1172" o:title=""/>
            <o:lock v:ext="edit" aspectratio="t"/>
            <w10:wrap type="none"/>
            <w10:anchorlock/>
          </v:shape>
          <o:OLEObject Type="Embed" ProgID="Equation.DSMT4" ShapeID="_x0000_i1619" DrawAspect="Content" ObjectID="_1468076319" r:id="rId1171">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 xml:space="preserve">         (C.8)</w:t>
      </w:r>
    </w:p>
    <w:p w14:paraId="5C0F259C">
      <w:pPr>
        <w:pStyle w:val="11"/>
        <w:tabs>
          <w:tab w:val="decimal" w:pos="1276"/>
          <w:tab w:val="decimal" w:pos="1418"/>
        </w:tabs>
        <w:wordWrap w:val="0"/>
        <w:spacing w:before="40" w:after="40" w:line="360" w:lineRule="atLeast"/>
        <w:ind w:left="0"/>
        <w:jc w:val="right"/>
        <w:rPr>
          <w:rFonts w:eastAsia="宋体"/>
          <w:color w:val="auto"/>
          <w:sz w:val="21"/>
          <w:szCs w:val="21"/>
        </w:rPr>
      </w:pPr>
      <w:r>
        <w:rPr>
          <w:rFonts w:eastAsia="宋体"/>
          <w:color w:val="auto"/>
          <w:position w:val="-24"/>
          <w:sz w:val="21"/>
          <w:szCs w:val="21"/>
        </w:rPr>
        <w:object>
          <v:shape id="_x0000_i1620" o:spt="75" type="#_x0000_t75" style="height:43.5pt;width:43.5pt;" o:ole="t" filled="f" o:preferrelative="t" stroked="f" coordsize="21600,21600">
            <v:path/>
            <v:fill on="f" focussize="0,0"/>
            <v:stroke on="f" joinstyle="miter"/>
            <v:imagedata r:id="rId1174" o:title=""/>
            <o:lock v:ext="edit" aspectratio="t"/>
            <w10:wrap type="none"/>
            <w10:anchorlock/>
          </v:shape>
          <o:OLEObject Type="Embed" ProgID="Equation.DSMT4" ShapeID="_x0000_i1620" DrawAspect="Content" ObjectID="_1468076320" r:id="rId1173">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 xml:space="preserve">         (C.9)</w:t>
      </w:r>
    </w:p>
    <w:p w14:paraId="2B3EA9AD">
      <w:pPr>
        <w:pStyle w:val="11"/>
        <w:tabs>
          <w:tab w:val="decimal" w:pos="1276"/>
          <w:tab w:val="decimal" w:pos="1418"/>
        </w:tabs>
        <w:wordWrap w:val="0"/>
        <w:spacing w:before="40" w:after="40" w:line="360" w:lineRule="atLeast"/>
        <w:ind w:left="0" w:firstLine="1134"/>
        <w:jc w:val="right"/>
        <w:rPr>
          <w:rFonts w:eastAsia="宋体"/>
          <w:color w:val="auto"/>
          <w:sz w:val="21"/>
          <w:szCs w:val="21"/>
        </w:rPr>
      </w:pPr>
      <w:r>
        <w:rPr>
          <w:rFonts w:eastAsia="宋体"/>
          <w:color w:val="auto"/>
          <w:position w:val="-26"/>
          <w:sz w:val="21"/>
          <w:szCs w:val="21"/>
        </w:rPr>
        <w:object>
          <v:shape id="_x0000_i1621" o:spt="75" type="#_x0000_t75" style="height:50.25pt;width:86.25pt;" o:ole="t" filled="f" o:preferrelative="t" stroked="f" coordsize="21600,21600">
            <v:path/>
            <v:fill on="f" focussize="0,0"/>
            <v:stroke on="f" joinstyle="miter"/>
            <v:imagedata r:id="rId1176" o:title=""/>
            <o:lock v:ext="edit" aspectratio="t"/>
            <w10:wrap type="none"/>
            <w10:anchorlock/>
          </v:shape>
          <o:OLEObject Type="Embed" ProgID="Equation.DSMT4" ShapeID="_x0000_i1621" DrawAspect="Content" ObjectID="_1468076321" r:id="rId1175">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ab/>
      </w:r>
      <w:r>
        <w:rPr>
          <w:rFonts w:eastAsia="宋体"/>
          <w:color w:val="auto"/>
          <w:sz w:val="21"/>
          <w:szCs w:val="21"/>
        </w:rPr>
        <w:t>(C.10)</w:t>
      </w:r>
    </w:p>
    <w:p w14:paraId="6BFC7442">
      <w:pPr>
        <w:pStyle w:val="11"/>
        <w:tabs>
          <w:tab w:val="decimal" w:pos="1276"/>
          <w:tab w:val="decimal" w:pos="1418"/>
        </w:tabs>
        <w:spacing w:before="100" w:beforeAutospacing="1" w:line="340" w:lineRule="exact"/>
        <w:ind w:left="0"/>
        <w:rPr>
          <w:rFonts w:eastAsia="宋体"/>
          <w:color w:val="auto"/>
          <w:sz w:val="21"/>
          <w:szCs w:val="21"/>
        </w:rPr>
      </w:pPr>
      <w:r>
        <w:rPr>
          <w:rFonts w:eastAsia="宋体"/>
          <w:color w:val="auto"/>
          <w:sz w:val="21"/>
          <w:szCs w:val="21"/>
        </w:rPr>
        <w:t xml:space="preserve">式中  </w:t>
      </w:r>
      <w:r>
        <w:rPr>
          <w:rFonts w:eastAsia="宋体"/>
          <w:color w:val="auto"/>
          <w:position w:val="-6"/>
          <w:sz w:val="21"/>
          <w:szCs w:val="21"/>
        </w:rPr>
        <w:object>
          <v:shape id="_x0000_i1622" o:spt="75" type="#_x0000_t75" style="height:14.25pt;width:7.5pt;" o:ole="t" filled="f" o:preferrelative="t" stroked="f" coordsize="21600,21600">
            <v:path/>
            <v:fill on="f" focussize="0,0"/>
            <v:stroke on="f" joinstyle="miter"/>
            <v:imagedata r:id="rId1178" o:title=""/>
            <o:lock v:ext="edit" aspectratio="t"/>
            <w10:wrap type="none"/>
            <w10:anchorlock/>
          </v:shape>
          <o:OLEObject Type="Embed" ProgID="Equation.DSMT4" ShapeID="_x0000_i1622" DrawAspect="Content" ObjectID="_1468076322" r:id="rId1177">
            <o:LockedField>false</o:LockedField>
          </o:OLEObject>
        </w:object>
      </w:r>
      <w:r>
        <w:rPr>
          <w:rFonts w:eastAsia="宋体"/>
          <w:color w:val="auto"/>
          <w:sz w:val="21"/>
          <w:szCs w:val="21"/>
        </w:rPr>
        <w:t>——变异系数；</w:t>
      </w:r>
    </w:p>
    <w:p w14:paraId="03B7106C">
      <w:pPr>
        <w:pStyle w:val="11"/>
        <w:tabs>
          <w:tab w:val="decimal" w:pos="1595"/>
          <w:tab w:val="decimal" w:pos="2069"/>
          <w:tab w:val="left" w:pos="7054"/>
        </w:tabs>
        <w:spacing w:line="340" w:lineRule="exact"/>
        <w:ind w:left="0" w:firstLine="600" w:firstLineChars="286"/>
        <w:jc w:val="left"/>
        <w:rPr>
          <w:rFonts w:eastAsia="宋体"/>
          <w:color w:val="auto"/>
          <w:sz w:val="21"/>
          <w:szCs w:val="21"/>
        </w:rPr>
      </w:pPr>
      <w:r>
        <w:rPr>
          <w:rFonts w:eastAsia="宋体"/>
          <w:color w:val="auto"/>
          <w:position w:val="-8"/>
          <w:sz w:val="21"/>
          <w:szCs w:val="21"/>
        </w:rPr>
        <w:object>
          <v:shape id="_x0000_i1623" o:spt="75" type="#_x0000_t75" style="height:14.25pt;width:7.5pt;" o:ole="t" filled="f" o:preferrelative="t" stroked="f" coordsize="21600,21600">
            <v:path/>
            <v:fill on="f" focussize="0,0"/>
            <v:stroke on="f" joinstyle="miter"/>
            <v:imagedata r:id="rId1180" o:title=""/>
            <o:lock v:ext="edit" aspectratio="t"/>
            <w10:wrap type="none"/>
            <w10:anchorlock/>
          </v:shape>
          <o:OLEObject Type="Embed" ProgID="Equation.DSMT4" ShapeID="_x0000_i1623" DrawAspect="Content" ObjectID="_1468076323" r:id="rId1179">
            <o:LockedField>false</o:LockedField>
          </o:OLEObject>
        </w:object>
      </w:r>
      <w:r>
        <w:rPr>
          <w:rFonts w:eastAsia="宋体"/>
          <w:color w:val="auto"/>
          <w:sz w:val="21"/>
          <w:szCs w:val="21"/>
        </w:rPr>
        <w:t>——某一土性指标的试验平均值；</w:t>
      </w:r>
    </w:p>
    <w:p w14:paraId="741112FE">
      <w:pPr>
        <w:pStyle w:val="11"/>
        <w:tabs>
          <w:tab w:val="decimal" w:pos="1595"/>
          <w:tab w:val="decimal" w:pos="2069"/>
          <w:tab w:val="left" w:pos="7054"/>
        </w:tabs>
        <w:spacing w:line="340" w:lineRule="exact"/>
        <w:ind w:left="0" w:firstLine="615" w:firstLineChars="293"/>
        <w:jc w:val="left"/>
        <w:rPr>
          <w:rFonts w:eastAsia="宋体"/>
          <w:color w:val="auto"/>
          <w:sz w:val="21"/>
          <w:szCs w:val="21"/>
        </w:rPr>
      </w:pPr>
      <w:r>
        <w:rPr>
          <w:rFonts w:eastAsia="宋体"/>
          <w:color w:val="auto"/>
          <w:position w:val="-6"/>
          <w:sz w:val="21"/>
          <w:szCs w:val="21"/>
        </w:rPr>
        <w:object>
          <v:shape id="_x0000_i1624" o:spt="75" type="#_x0000_t75" style="height:7.5pt;width:7.5pt;" o:ole="t" filled="f" o:preferrelative="t" stroked="f" coordsize="21600,21600">
            <v:path/>
            <v:fill on="f" focussize="0,0"/>
            <v:stroke on="f" joinstyle="miter"/>
            <v:imagedata r:id="rId1182" o:title=""/>
            <o:lock v:ext="edit" aspectratio="t"/>
            <w10:wrap type="none"/>
            <w10:anchorlock/>
          </v:shape>
          <o:OLEObject Type="Embed" ProgID="Equation.DSMT4" ShapeID="_x0000_i1624" DrawAspect="Content" ObjectID="_1468076324" r:id="rId1181">
            <o:LockedField>false</o:LockedField>
          </o:OLEObject>
        </w:object>
      </w:r>
      <w:r>
        <w:rPr>
          <w:rFonts w:eastAsia="宋体"/>
          <w:color w:val="auto"/>
          <w:sz w:val="21"/>
          <w:szCs w:val="21"/>
        </w:rPr>
        <w:t>——标准差。</w:t>
      </w:r>
    </w:p>
    <w:p w14:paraId="3E9BF333">
      <w:pPr>
        <w:pStyle w:val="11"/>
        <w:tabs>
          <w:tab w:val="decimal" w:pos="1276"/>
          <w:tab w:val="decimal" w:pos="1418"/>
        </w:tabs>
        <w:spacing w:line="240" w:lineRule="atLeast"/>
        <w:ind w:left="0" w:firstLine="567"/>
        <w:rPr>
          <w:rFonts w:eastAsia="宋体"/>
          <w:color w:val="auto"/>
          <w:sz w:val="21"/>
          <w:szCs w:val="21"/>
        </w:rPr>
      </w:pPr>
      <w:r>
        <w:rPr>
          <w:rFonts w:eastAsia="宋体"/>
          <w:color w:val="auto"/>
          <w:sz w:val="21"/>
          <w:szCs w:val="21"/>
        </w:rPr>
        <w:t>得出</w:t>
      </w:r>
      <w:r>
        <w:rPr>
          <w:rFonts w:eastAsia="宋体"/>
          <w:color w:val="auto"/>
          <w:position w:val="-12"/>
          <w:sz w:val="21"/>
          <w:szCs w:val="21"/>
        </w:rPr>
        <w:object>
          <v:shape id="_x0000_i1625" o:spt="75" type="#_x0000_t75" style="height:21.75pt;width:14.25pt;" o:ole="t" filled="f" o:preferrelative="t" stroked="f" coordsize="21600,21600">
            <v:path/>
            <v:fill on="f" focussize="0,0"/>
            <v:stroke on="f" joinstyle="miter"/>
            <v:imagedata r:id="rId1184" o:title=""/>
            <o:lock v:ext="edit" aspectratio="t"/>
            <w10:wrap type="none"/>
            <w10:anchorlock/>
          </v:shape>
          <o:OLEObject Type="Embed" ProgID="Equation.DSMT4" ShapeID="_x0000_i1625" DrawAspect="Content" ObjectID="_1468076325" r:id="rId1183">
            <o:LockedField>false</o:LockedField>
          </o:OLEObject>
        </w:object>
      </w:r>
      <w:r>
        <w:rPr>
          <w:rFonts w:eastAsia="宋体"/>
          <w:color w:val="auto"/>
          <w:sz w:val="21"/>
          <w:szCs w:val="21"/>
        </w:rPr>
        <w:t>、</w:t>
      </w:r>
      <w:r>
        <w:rPr>
          <w:rFonts w:eastAsia="宋体"/>
          <w:color w:val="auto"/>
          <w:position w:val="-12"/>
          <w:sz w:val="21"/>
          <w:szCs w:val="21"/>
        </w:rPr>
        <w:object>
          <v:shape id="_x0000_i1626" o:spt="75" type="#_x0000_t75" style="height:21.75pt;width:14.25pt;" o:ole="t" filled="f" o:preferrelative="t" stroked="f" coordsize="21600,21600">
            <v:path/>
            <v:fill on="f" focussize="0,0"/>
            <v:stroke on="f" joinstyle="miter"/>
            <v:imagedata r:id="rId1186" o:title=""/>
            <o:lock v:ext="edit" aspectratio="t"/>
            <w10:wrap type="none"/>
            <w10:anchorlock/>
          </v:shape>
          <o:OLEObject Type="Embed" ProgID="Equation.DSMT4" ShapeID="_x0000_i1626" DrawAspect="Content" ObjectID="_1468076326" r:id="rId1185">
            <o:LockedField>false</o:LockedField>
          </o:OLEObject>
        </w:object>
      </w:r>
      <w:r>
        <w:rPr>
          <w:rFonts w:eastAsia="宋体"/>
          <w:color w:val="auto"/>
          <w:sz w:val="21"/>
          <w:szCs w:val="21"/>
        </w:rPr>
        <w:t>、</w:t>
      </w:r>
      <w:r>
        <w:rPr>
          <w:rFonts w:eastAsia="宋体"/>
          <w:color w:val="auto"/>
          <w:position w:val="-14"/>
          <w:sz w:val="21"/>
          <w:szCs w:val="21"/>
        </w:rPr>
        <w:object>
          <v:shape id="_x0000_i1627" o:spt="75" type="#_x0000_t75" style="height:21.75pt;width:14.25pt;" o:ole="t" filled="f" o:preferrelative="t" stroked="f" coordsize="21600,21600">
            <v:path/>
            <v:fill on="f" focussize="0,0"/>
            <v:stroke on="f" joinstyle="miter"/>
            <v:imagedata r:id="rId1188" o:title=""/>
            <o:lock v:ext="edit" aspectratio="t"/>
            <w10:wrap type="none"/>
            <w10:anchorlock/>
          </v:shape>
          <o:OLEObject Type="Embed" ProgID="Equation.DSMT4" ShapeID="_x0000_i1627" DrawAspect="Content" ObjectID="_1468076327" r:id="rId1187">
            <o:LockedField>false</o:LockedField>
          </o:OLEObject>
        </w:object>
      </w:r>
      <w:r>
        <w:rPr>
          <w:rFonts w:eastAsia="宋体"/>
          <w:color w:val="auto"/>
          <w:sz w:val="21"/>
          <w:szCs w:val="21"/>
        </w:rPr>
        <w:t>、</w:t>
      </w:r>
      <w:r>
        <w:rPr>
          <w:rFonts w:eastAsia="宋体"/>
          <w:color w:val="auto"/>
          <w:position w:val="-12"/>
          <w:sz w:val="21"/>
          <w:szCs w:val="21"/>
        </w:rPr>
        <w:object>
          <v:shape id="_x0000_i1628" o:spt="75" type="#_x0000_t75" style="height:21.75pt;width:14.25pt;" o:ole="t" filled="f" o:preferrelative="t" stroked="f" coordsize="21600,21600">
            <v:path/>
            <v:fill on="f" focussize="0,0"/>
            <v:stroke on="f" joinstyle="miter"/>
            <v:imagedata r:id="rId1190" o:title=""/>
            <o:lock v:ext="edit" aspectratio="t"/>
            <w10:wrap type="none"/>
            <w10:anchorlock/>
          </v:shape>
          <o:OLEObject Type="Embed" ProgID="Equation.DSMT4" ShapeID="_x0000_i1628" DrawAspect="Content" ObjectID="_1468076328" r:id="rId1189">
            <o:LockedField>false</o:LockedField>
          </o:OLEObject>
        </w:object>
      </w:r>
      <w:r>
        <w:rPr>
          <w:rFonts w:eastAsia="宋体"/>
          <w:color w:val="auto"/>
          <w:sz w:val="21"/>
          <w:szCs w:val="21"/>
        </w:rPr>
        <w:t>、</w:t>
      </w:r>
      <w:r>
        <w:rPr>
          <w:rFonts w:eastAsia="宋体"/>
          <w:color w:val="auto"/>
          <w:position w:val="-14"/>
          <w:sz w:val="21"/>
          <w:szCs w:val="21"/>
        </w:rPr>
        <w:object>
          <v:shape id="_x0000_i1629" o:spt="75" type="#_x0000_t75" style="height:21.75pt;width:14.25pt;" o:ole="t" filled="f" o:preferrelative="t" stroked="f" coordsize="21600,21600">
            <v:path/>
            <v:fill on="f" focussize="0,0"/>
            <v:stroke on="f" joinstyle="miter"/>
            <v:imagedata r:id="rId1192" o:title=""/>
            <o:lock v:ext="edit" aspectratio="t"/>
            <w10:wrap type="none"/>
            <w10:anchorlock/>
          </v:shape>
          <o:OLEObject Type="Embed" ProgID="Equation.DSMT4" ShapeID="_x0000_i1629" DrawAspect="Content" ObjectID="_1468076329" r:id="rId1191">
            <o:LockedField>false</o:LockedField>
          </o:OLEObject>
        </w:object>
      </w:r>
      <w:r>
        <w:rPr>
          <w:rFonts w:eastAsia="宋体"/>
          <w:color w:val="auto"/>
          <w:sz w:val="21"/>
          <w:szCs w:val="21"/>
        </w:rPr>
        <w:t>、</w:t>
      </w:r>
      <w:r>
        <w:rPr>
          <w:rFonts w:eastAsia="宋体"/>
          <w:color w:val="auto"/>
          <w:position w:val="-12"/>
          <w:sz w:val="21"/>
          <w:szCs w:val="21"/>
        </w:rPr>
        <w:object>
          <v:shape id="_x0000_i1630" o:spt="75" type="#_x0000_t75" style="height:21.75pt;width:14.25pt;" o:ole="t" filled="f" o:preferrelative="t" stroked="f" coordsize="21600,21600">
            <v:path/>
            <v:fill on="f" focussize="0,0"/>
            <v:stroke on="f" joinstyle="miter"/>
            <v:imagedata r:id="rId1194" o:title=""/>
            <o:lock v:ext="edit" aspectratio="t"/>
            <w10:wrap type="none"/>
            <w10:anchorlock/>
          </v:shape>
          <o:OLEObject Type="Embed" ProgID="Equation.DSMT4" ShapeID="_x0000_i1630" DrawAspect="Content" ObjectID="_1468076330" r:id="rId1193">
            <o:LockedField>false</o:LockedField>
          </o:OLEObject>
        </w:object>
      </w:r>
      <w:r>
        <w:rPr>
          <w:rFonts w:eastAsia="宋体"/>
          <w:color w:val="auto"/>
          <w:sz w:val="21"/>
          <w:szCs w:val="21"/>
        </w:rPr>
        <w:t>的值。</w:t>
      </w:r>
    </w:p>
    <w:p w14:paraId="780354C8">
      <w:pPr>
        <w:pStyle w:val="11"/>
        <w:tabs>
          <w:tab w:val="decimal" w:pos="1276"/>
          <w:tab w:val="decimal" w:pos="1418"/>
        </w:tabs>
        <w:spacing w:line="240" w:lineRule="atLeast"/>
        <w:ind w:left="0" w:firstLine="422" w:firstLineChars="200"/>
        <w:rPr>
          <w:rFonts w:eastAsia="宋体"/>
          <w:color w:val="auto"/>
          <w:sz w:val="21"/>
          <w:szCs w:val="21"/>
        </w:rPr>
      </w:pPr>
      <w:r>
        <w:rPr>
          <w:rFonts w:eastAsia="宋体"/>
          <w:b/>
          <w:bCs/>
          <w:color w:val="auto"/>
          <w:sz w:val="21"/>
          <w:szCs w:val="21"/>
        </w:rPr>
        <w:t>b)</w:t>
      </w:r>
      <w:r>
        <w:rPr>
          <w:rFonts w:eastAsia="宋体"/>
          <w:color w:val="auto"/>
          <w:sz w:val="21"/>
          <w:szCs w:val="21"/>
        </w:rPr>
        <w:t xml:space="preserve">  按公式</w:t>
      </w:r>
      <w:r>
        <w:rPr>
          <w:rFonts w:hint="eastAsia" w:eastAsia="宋体"/>
          <w:color w:val="auto"/>
          <w:sz w:val="21"/>
          <w:szCs w:val="21"/>
          <w:lang w:eastAsia="zh-CN"/>
        </w:rPr>
        <w:t>（</w:t>
      </w:r>
      <w:r>
        <w:rPr>
          <w:rFonts w:eastAsia="宋体"/>
          <w:color w:val="auto"/>
          <w:sz w:val="21"/>
          <w:szCs w:val="21"/>
        </w:rPr>
        <w:t>C.</w:t>
      </w:r>
      <w:r>
        <w:rPr>
          <w:rFonts w:hint="eastAsia" w:eastAsia="宋体"/>
          <w:color w:val="auto"/>
          <w:sz w:val="21"/>
          <w:szCs w:val="21"/>
          <w:lang w:val="en-US" w:eastAsia="zh-CN"/>
        </w:rPr>
        <w:t>11</w:t>
      </w:r>
      <w:r>
        <w:rPr>
          <w:rFonts w:hint="eastAsia" w:eastAsia="宋体"/>
          <w:color w:val="auto"/>
          <w:sz w:val="21"/>
          <w:szCs w:val="21"/>
          <w:lang w:eastAsia="zh-CN"/>
        </w:rPr>
        <w:t>）</w:t>
      </w:r>
      <w:r>
        <w:rPr>
          <w:rFonts w:hint="eastAsia" w:eastAsia="宋体"/>
          <w:color w:val="auto"/>
          <w:sz w:val="21"/>
          <w:szCs w:val="21"/>
          <w:lang w:val="en-US" w:eastAsia="zh-CN"/>
        </w:rPr>
        <w:t>~</w:t>
      </w:r>
      <w:r>
        <w:rPr>
          <w:rFonts w:hint="eastAsia" w:eastAsia="宋体"/>
          <w:color w:val="auto"/>
          <w:sz w:val="21"/>
          <w:szCs w:val="21"/>
          <w:lang w:eastAsia="zh-CN"/>
        </w:rPr>
        <w:t>（</w:t>
      </w:r>
      <w:r>
        <w:rPr>
          <w:rFonts w:eastAsia="宋体"/>
          <w:color w:val="auto"/>
          <w:sz w:val="21"/>
          <w:szCs w:val="21"/>
        </w:rPr>
        <w:t>C.</w:t>
      </w:r>
      <w:r>
        <w:rPr>
          <w:rFonts w:hint="eastAsia" w:eastAsia="宋体"/>
          <w:color w:val="auto"/>
          <w:sz w:val="21"/>
          <w:szCs w:val="21"/>
          <w:lang w:val="en-US" w:eastAsia="zh-CN"/>
        </w:rPr>
        <w:t>12</w:t>
      </w:r>
      <w:r>
        <w:rPr>
          <w:rFonts w:hint="eastAsia" w:eastAsia="宋体"/>
          <w:color w:val="auto"/>
          <w:sz w:val="21"/>
          <w:szCs w:val="21"/>
          <w:lang w:eastAsia="zh-CN"/>
        </w:rPr>
        <w:t>）</w:t>
      </w:r>
      <w:r>
        <w:rPr>
          <w:rFonts w:eastAsia="宋体"/>
          <w:color w:val="auto"/>
          <w:sz w:val="21"/>
          <w:szCs w:val="21"/>
        </w:rPr>
        <w:t>计算内摩擦角和黏聚力的统计修正系数</w:t>
      </w:r>
      <w:r>
        <w:rPr>
          <w:rFonts w:eastAsia="宋体"/>
          <w:color w:val="auto"/>
          <w:position w:val="-14"/>
          <w:sz w:val="21"/>
          <w:szCs w:val="21"/>
        </w:rPr>
        <w:object>
          <v:shape id="_x0000_i1631" o:spt="75" type="#_x0000_t75" style="height:21.75pt;width:14.25pt;" o:ole="t" filled="f" o:preferrelative="t" stroked="f" coordsize="21600,21600">
            <v:path/>
            <v:fill on="f" focussize="0,0"/>
            <v:stroke on="f" joinstyle="miter"/>
            <v:imagedata r:id="rId1196" o:title=""/>
            <o:lock v:ext="edit" aspectratio="t"/>
            <w10:wrap type="none"/>
            <w10:anchorlock/>
          </v:shape>
          <o:OLEObject Type="Embed" ProgID="Equation.DSMT4" ShapeID="_x0000_i1631" DrawAspect="Content" ObjectID="_1468076331" r:id="rId1195">
            <o:LockedField>false</o:LockedField>
          </o:OLEObject>
        </w:object>
      </w:r>
      <w:r>
        <w:rPr>
          <w:rFonts w:eastAsia="宋体"/>
          <w:color w:val="auto"/>
          <w:sz w:val="21"/>
          <w:szCs w:val="21"/>
        </w:rPr>
        <w:t>、</w:t>
      </w:r>
      <w:r>
        <w:rPr>
          <w:rFonts w:eastAsia="宋体"/>
          <w:color w:val="auto"/>
          <w:position w:val="-12"/>
          <w:sz w:val="21"/>
          <w:szCs w:val="21"/>
        </w:rPr>
        <w:object>
          <v:shape id="_x0000_i1632" o:spt="75" type="#_x0000_t75" style="height:21.75pt;width:14.25pt;" o:ole="t" filled="f" o:preferrelative="t" stroked="f" coordsize="21600,21600">
            <v:path/>
            <v:fill on="f" focussize="0,0"/>
            <v:stroke on="f" joinstyle="miter"/>
            <v:imagedata r:id="rId1198" o:title=""/>
            <o:lock v:ext="edit" aspectratio="t"/>
            <w10:wrap type="none"/>
            <w10:anchorlock/>
          </v:shape>
          <o:OLEObject Type="Embed" ProgID="Equation.DSMT4" ShapeID="_x0000_i1632" DrawAspect="Content" ObjectID="_1468076332" r:id="rId1197">
            <o:LockedField>false</o:LockedField>
          </o:OLEObject>
        </w:object>
      </w:r>
      <w:r>
        <w:rPr>
          <w:rFonts w:eastAsia="宋体"/>
          <w:color w:val="auto"/>
          <w:sz w:val="21"/>
          <w:szCs w:val="21"/>
        </w:rPr>
        <w:t>：</w:t>
      </w:r>
    </w:p>
    <w:p w14:paraId="484F8BF5">
      <w:pPr>
        <w:pStyle w:val="11"/>
        <w:tabs>
          <w:tab w:val="decimal" w:pos="1276"/>
          <w:tab w:val="decimal" w:pos="1418"/>
        </w:tabs>
        <w:wordWrap w:val="0"/>
        <w:spacing w:before="40" w:after="40" w:line="360" w:lineRule="atLeast"/>
        <w:ind w:left="0" w:firstLine="848"/>
        <w:jc w:val="right"/>
        <w:rPr>
          <w:rFonts w:eastAsia="宋体"/>
          <w:color w:val="auto"/>
          <w:sz w:val="21"/>
          <w:szCs w:val="21"/>
        </w:rPr>
      </w:pPr>
      <w:r>
        <w:rPr>
          <w:rFonts w:eastAsia="宋体"/>
          <w:color w:val="auto"/>
          <w:position w:val="-28"/>
          <w:sz w:val="21"/>
          <w:szCs w:val="21"/>
        </w:rPr>
        <w:object>
          <v:shape id="_x0000_i1633" o:spt="75" type="#_x0000_t75" style="height:36pt;width:115.5pt;" o:ole="t" filled="f" o:preferrelative="t" stroked="f" coordsize="21600,21600">
            <v:path/>
            <v:fill on="f" focussize="0,0"/>
            <v:stroke on="f" joinstyle="miter"/>
            <v:imagedata r:id="rId1200" o:title=""/>
            <o:lock v:ext="edit" aspectratio="t"/>
            <w10:wrap type="none"/>
            <w10:anchorlock/>
          </v:shape>
          <o:OLEObject Type="Embed" ProgID="Equation.DSMT4" ShapeID="_x0000_i1633" DrawAspect="Content" ObjectID="_1468076333" r:id="rId1199">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(C.11)</w:t>
      </w:r>
    </w:p>
    <w:p w14:paraId="02BEBC0E">
      <w:pPr>
        <w:pStyle w:val="11"/>
        <w:tabs>
          <w:tab w:val="decimal" w:pos="1276"/>
          <w:tab w:val="decimal" w:pos="1418"/>
        </w:tabs>
        <w:wordWrap w:val="0"/>
        <w:spacing w:before="120" w:after="40" w:line="360" w:lineRule="atLeast"/>
        <w:ind w:left="0" w:firstLine="851"/>
        <w:jc w:val="right"/>
        <w:rPr>
          <w:rFonts w:eastAsia="宋体"/>
          <w:color w:val="auto"/>
          <w:sz w:val="21"/>
          <w:szCs w:val="21"/>
        </w:rPr>
      </w:pPr>
      <w:r>
        <w:rPr>
          <w:rFonts w:eastAsia="宋体"/>
          <w:color w:val="auto"/>
          <w:position w:val="-28"/>
          <w:sz w:val="21"/>
          <w:szCs w:val="21"/>
        </w:rPr>
        <w:object>
          <v:shape id="_x0000_i1634" o:spt="75" type="#_x0000_t75" style="height:36pt;width:115.5pt;" o:ole="t" filled="f" o:preferrelative="t" stroked="f" coordsize="21600,21600">
            <v:path/>
            <v:fill on="f" focussize="0,0"/>
            <v:stroke on="f" joinstyle="miter"/>
            <v:imagedata r:id="rId1202" o:title=""/>
            <o:lock v:ext="edit" aspectratio="t"/>
            <w10:wrap type="none"/>
            <w10:anchorlock/>
          </v:shape>
          <o:OLEObject Type="Embed" ProgID="Equation.DSMT4" ShapeID="_x0000_i1634" DrawAspect="Content" ObjectID="_1468076334" r:id="rId1201">
            <o:LockedField>false</o:LockedField>
          </o:OLEObject>
        </w:object>
      </w:r>
      <w:r>
        <w:rPr>
          <w:rFonts w:eastAsia="宋体"/>
          <w:color w:val="auto"/>
          <w:sz w:val="21"/>
          <w:szCs w:val="21"/>
        </w:rPr>
        <w:t xml:space="preserve">      </w: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(C.12)</w:t>
      </w:r>
    </w:p>
    <w:p w14:paraId="3182AF7F">
      <w:pPr>
        <w:pStyle w:val="11"/>
        <w:tabs>
          <w:tab w:val="decimal" w:pos="1276"/>
          <w:tab w:val="decimal" w:pos="1418"/>
        </w:tabs>
        <w:spacing w:before="120" w:line="360" w:lineRule="exact"/>
        <w:ind w:left="0"/>
        <w:rPr>
          <w:rFonts w:eastAsia="宋体"/>
          <w:color w:val="auto"/>
          <w:sz w:val="21"/>
          <w:szCs w:val="21"/>
        </w:rPr>
      </w:pPr>
      <w:r>
        <w:rPr>
          <w:rFonts w:eastAsia="宋体"/>
          <w:color w:val="auto"/>
          <w:sz w:val="21"/>
          <w:szCs w:val="21"/>
        </w:rPr>
        <w:t xml:space="preserve">式中  </w:t>
      </w:r>
      <w:r>
        <w:rPr>
          <w:rFonts w:eastAsia="宋体"/>
          <w:color w:val="auto"/>
          <w:position w:val="-14"/>
          <w:sz w:val="21"/>
          <w:szCs w:val="21"/>
        </w:rPr>
        <w:object>
          <v:shape id="_x0000_i1635" o:spt="75" type="#_x0000_t75" style="height:21.75pt;width:14.25pt;" o:ole="t" filled="f" o:preferrelative="t" stroked="f" coordsize="21600,21600">
            <v:path/>
            <v:fill on="f" focussize="0,0"/>
            <v:stroke on="f" joinstyle="miter"/>
            <v:imagedata r:id="rId1204" o:title=""/>
            <o:lock v:ext="edit" aspectratio="t"/>
            <w10:wrap type="none"/>
            <w10:anchorlock/>
          </v:shape>
          <o:OLEObject Type="Embed" ProgID="Equation.DSMT4" ShapeID="_x0000_i1635" DrawAspect="Content" ObjectID="_1468076335" r:id="rId1203">
            <o:LockedField>false</o:LockedField>
          </o:OLEObject>
        </w:object>
      </w:r>
      <w:r>
        <w:rPr>
          <w:rFonts w:eastAsia="宋体"/>
          <w:color w:val="auto"/>
          <w:sz w:val="21"/>
          <w:szCs w:val="21"/>
        </w:rPr>
        <w:tab/>
      </w:r>
      <w:r>
        <w:rPr>
          <w:rFonts w:eastAsia="宋体"/>
          <w:color w:val="auto"/>
          <w:sz w:val="21"/>
          <w:szCs w:val="21"/>
        </w:rPr>
        <w:t>——内摩擦角的统计修正系数；</w:t>
      </w:r>
    </w:p>
    <w:p w14:paraId="1AD08131">
      <w:pPr>
        <w:pStyle w:val="11"/>
        <w:tabs>
          <w:tab w:val="decimal" w:pos="1595"/>
          <w:tab w:val="decimal" w:pos="2069"/>
          <w:tab w:val="left" w:pos="7054"/>
        </w:tabs>
        <w:spacing w:line="360" w:lineRule="exact"/>
        <w:ind w:left="0" w:firstLine="630" w:firstLineChars="300"/>
        <w:jc w:val="left"/>
        <w:rPr>
          <w:rFonts w:eastAsia="宋体"/>
          <w:color w:val="auto"/>
          <w:sz w:val="21"/>
          <w:szCs w:val="21"/>
        </w:rPr>
      </w:pPr>
      <w:r>
        <w:rPr>
          <w:rFonts w:eastAsia="宋体"/>
          <w:color w:val="auto"/>
          <w:position w:val="-12"/>
          <w:sz w:val="21"/>
          <w:szCs w:val="21"/>
        </w:rPr>
        <w:object>
          <v:shape id="_x0000_i1636" o:spt="75" type="#_x0000_t75" style="height:21.75pt;width:14.25pt;" o:ole="t" filled="f" o:preferrelative="t" stroked="f" coordsize="21600,21600">
            <v:path/>
            <v:fill on="f" focussize="0,0"/>
            <v:stroke on="f" joinstyle="miter"/>
            <v:imagedata r:id="rId1198" o:title=""/>
            <o:lock v:ext="edit" aspectratio="t"/>
            <w10:wrap type="none"/>
            <w10:anchorlock/>
          </v:shape>
          <o:OLEObject Type="Embed" ProgID="Equation.DSMT4" ShapeID="_x0000_i1636" DrawAspect="Content" ObjectID="_1468076336" r:id="rId1205">
            <o:LockedField>false</o:LockedField>
          </o:OLEObject>
        </w:object>
      </w:r>
      <w:r>
        <w:rPr>
          <w:rFonts w:eastAsia="宋体"/>
          <w:color w:val="auto"/>
          <w:sz w:val="21"/>
          <w:szCs w:val="21"/>
        </w:rPr>
        <w:t>——黏聚力的统计修正系数；</w:t>
      </w:r>
    </w:p>
    <w:p w14:paraId="0F6F8851">
      <w:pPr>
        <w:pStyle w:val="11"/>
        <w:tabs>
          <w:tab w:val="decimal" w:pos="1595"/>
          <w:tab w:val="decimal" w:pos="2069"/>
          <w:tab w:val="left" w:pos="7054"/>
        </w:tabs>
        <w:spacing w:line="360" w:lineRule="exact"/>
        <w:ind w:left="0" w:firstLine="657" w:firstLineChars="313"/>
        <w:jc w:val="left"/>
        <w:rPr>
          <w:rFonts w:eastAsia="宋体"/>
          <w:color w:val="auto"/>
          <w:sz w:val="21"/>
          <w:szCs w:val="21"/>
        </w:rPr>
      </w:pPr>
      <w:r>
        <w:rPr>
          <w:rFonts w:eastAsia="宋体"/>
          <w:color w:val="auto"/>
          <w:position w:val="-14"/>
          <w:sz w:val="21"/>
          <w:szCs w:val="21"/>
        </w:rPr>
        <w:object>
          <v:shape id="_x0000_i1637" o:spt="75" type="#_x0000_t75" style="height:21.75pt;width:14.25pt;" o:ole="t" filled="f" o:preferrelative="t" stroked="f" coordsize="21600,21600">
            <v:path/>
            <v:fill on="f" focussize="0,0"/>
            <v:stroke on="f" joinstyle="miter"/>
            <v:imagedata r:id="rId1207" o:title=""/>
            <o:lock v:ext="edit" aspectratio="t"/>
            <w10:wrap type="none"/>
            <w10:anchorlock/>
          </v:shape>
          <o:OLEObject Type="Embed" ProgID="Equation.DSMT4" ShapeID="_x0000_i1637" DrawAspect="Content" ObjectID="_1468076337" r:id="rId1206">
            <o:LockedField>false</o:LockedField>
          </o:OLEObject>
        </w:object>
      </w:r>
      <w:r>
        <w:rPr>
          <w:rFonts w:eastAsia="宋体"/>
          <w:color w:val="auto"/>
          <w:sz w:val="21"/>
          <w:szCs w:val="21"/>
        </w:rPr>
        <w:t>——内摩擦角的变异系数；</w:t>
      </w:r>
    </w:p>
    <w:p w14:paraId="028DBBDC">
      <w:pPr>
        <w:pStyle w:val="11"/>
        <w:tabs>
          <w:tab w:val="decimal" w:pos="1595"/>
          <w:tab w:val="decimal" w:pos="2069"/>
          <w:tab w:val="left" w:pos="7054"/>
        </w:tabs>
        <w:spacing w:line="360" w:lineRule="exact"/>
        <w:ind w:left="0" w:firstLine="661" w:firstLineChars="315"/>
        <w:jc w:val="left"/>
        <w:rPr>
          <w:rFonts w:eastAsia="宋体"/>
          <w:color w:val="auto"/>
          <w:sz w:val="21"/>
          <w:szCs w:val="21"/>
        </w:rPr>
      </w:pPr>
      <w:r>
        <w:rPr>
          <w:rFonts w:eastAsia="宋体"/>
          <w:color w:val="auto"/>
          <w:position w:val="-12"/>
          <w:sz w:val="21"/>
          <w:szCs w:val="21"/>
        </w:rPr>
        <w:object>
          <v:shape id="_x0000_i1638" o:spt="75" type="#_x0000_t75" style="height:21.75pt;width:14.25pt;" o:ole="t" filled="f" o:preferrelative="t" stroked="f" coordsize="21600,21600">
            <v:path/>
            <v:fill on="f" focussize="0,0"/>
            <v:stroke on="f" joinstyle="miter"/>
            <v:imagedata r:id="rId1209" o:title=""/>
            <o:lock v:ext="edit" aspectratio="t"/>
            <w10:wrap type="none"/>
            <w10:anchorlock/>
          </v:shape>
          <o:OLEObject Type="Embed" ProgID="Equation.DSMT4" ShapeID="_x0000_i1638" DrawAspect="Content" ObjectID="_1468076338" r:id="rId1208">
            <o:LockedField>false</o:LockedField>
          </o:OLEObject>
        </w:object>
      </w:r>
      <w:r>
        <w:rPr>
          <w:rFonts w:eastAsia="宋体"/>
          <w:color w:val="auto"/>
          <w:sz w:val="21"/>
          <w:szCs w:val="21"/>
        </w:rPr>
        <w:t>——黏聚力的变异系数；</w:t>
      </w:r>
    </w:p>
    <w:p w14:paraId="11895777">
      <w:pPr>
        <w:pStyle w:val="11"/>
        <w:tabs>
          <w:tab w:val="decimal" w:pos="1595"/>
          <w:tab w:val="decimal" w:pos="2069"/>
          <w:tab w:val="left" w:pos="7054"/>
        </w:tabs>
        <w:spacing w:line="360" w:lineRule="exact"/>
        <w:ind w:left="0" w:firstLine="741" w:firstLineChars="353"/>
        <w:jc w:val="left"/>
        <w:rPr>
          <w:rFonts w:eastAsia="宋体"/>
          <w:color w:val="auto"/>
          <w:sz w:val="21"/>
          <w:szCs w:val="21"/>
        </w:rPr>
      </w:pPr>
      <w:r>
        <w:rPr>
          <w:rFonts w:eastAsia="宋体"/>
          <w:color w:val="auto"/>
          <w:position w:val="-6"/>
          <w:sz w:val="21"/>
          <w:szCs w:val="21"/>
        </w:rPr>
        <w:object>
          <v:shape id="_x0000_i1639" o:spt="75" type="#_x0000_t75" style="height:7.5pt;width:7.5pt;" o:ole="t" filled="f" o:preferrelative="t" stroked="f" coordsize="21600,21600">
            <v:path/>
            <v:fill on="f" focussize="0,0"/>
            <v:stroke on="f" joinstyle="miter"/>
            <v:imagedata r:id="rId1211" o:title=""/>
            <o:lock v:ext="edit" aspectratio="t"/>
            <w10:wrap type="none"/>
            <w10:anchorlock/>
          </v:shape>
          <o:OLEObject Type="Embed" ProgID="Equation.DSMT4" ShapeID="_x0000_i1639" DrawAspect="Content" ObjectID="_1468076339" r:id="rId1210">
            <o:LockedField>false</o:LockedField>
          </o:OLEObject>
        </w:object>
      </w:r>
      <w:r>
        <w:rPr>
          <w:rFonts w:eastAsia="宋体"/>
          <w:color w:val="auto"/>
          <w:sz w:val="21"/>
          <w:szCs w:val="21"/>
        </w:rPr>
        <w:t>——试验组数。</w:t>
      </w:r>
    </w:p>
    <w:p w14:paraId="0A731AE5">
      <w:pPr>
        <w:pStyle w:val="11"/>
        <w:tabs>
          <w:tab w:val="decimal" w:pos="1276"/>
          <w:tab w:val="decimal" w:pos="1418"/>
        </w:tabs>
        <w:spacing w:before="240" w:after="40" w:line="360" w:lineRule="atLeast"/>
        <w:ind w:left="0" w:firstLine="422" w:firstLineChars="200"/>
        <w:rPr>
          <w:rFonts w:eastAsia="宋体"/>
          <w:color w:val="auto"/>
          <w:sz w:val="21"/>
          <w:szCs w:val="21"/>
        </w:rPr>
      </w:pPr>
      <w:r>
        <w:rPr>
          <w:rFonts w:eastAsia="宋体"/>
          <w:b/>
          <w:bCs/>
          <w:color w:val="auto"/>
          <w:sz w:val="21"/>
          <w:szCs w:val="21"/>
        </w:rPr>
        <w:t>c)</w:t>
      </w:r>
      <w:r>
        <w:rPr>
          <w:rFonts w:eastAsia="宋体"/>
          <w:color w:val="auto"/>
          <w:sz w:val="21"/>
          <w:szCs w:val="21"/>
        </w:rPr>
        <w:t xml:space="preserve">                                     </w:t>
      </w:r>
      <w:r>
        <w:rPr>
          <w:rFonts w:eastAsia="宋体"/>
          <w:color w:val="auto"/>
          <w:position w:val="-14"/>
          <w:sz w:val="21"/>
          <w:szCs w:val="21"/>
        </w:rPr>
        <w:object>
          <v:shape id="_x0000_i1640" o:spt="75" type="#_x0000_t75" style="height:21.75pt;width:50.25pt;" o:ole="t" filled="f" o:preferrelative="t" stroked="f" coordsize="21600,21600">
            <v:path/>
            <v:fill on="f" focussize="0,0"/>
            <v:stroke on="f" joinstyle="miter"/>
            <v:imagedata r:id="rId1213" o:title=""/>
            <o:lock v:ext="edit" aspectratio="t"/>
            <w10:wrap type="none"/>
            <w10:anchorlock/>
          </v:shape>
          <o:OLEObject Type="Embed" ProgID="Equation.DSMT4" ShapeID="_x0000_i1640" DrawAspect="Content" ObjectID="_1468076340" r:id="rId1212">
            <o:LockedField>false</o:LockedField>
          </o:OLEObject>
        </w:object>
      </w:r>
      <w:r>
        <w:rPr>
          <w:rFonts w:eastAsia="宋体"/>
          <w:color w:val="auto"/>
          <w:sz w:val="21"/>
          <w:szCs w:val="21"/>
        </w:rPr>
        <w:t xml:space="preserve">                              (C.13)</w:t>
      </w:r>
    </w:p>
    <w:p w14:paraId="5AF8C077">
      <w:pPr>
        <w:pStyle w:val="11"/>
        <w:tabs>
          <w:tab w:val="decimal" w:pos="1276"/>
          <w:tab w:val="decimal" w:pos="1418"/>
        </w:tabs>
        <w:wordWrap w:val="0"/>
        <w:spacing w:line="360" w:lineRule="atLeast"/>
        <w:ind w:left="0"/>
        <w:jc w:val="right"/>
        <w:rPr>
          <w:rFonts w:eastAsia="宋体"/>
          <w:color w:val="auto"/>
          <w:sz w:val="21"/>
          <w:szCs w:val="21"/>
        </w:rPr>
      </w:pPr>
      <w:r>
        <w:rPr>
          <w:rFonts w:eastAsia="宋体"/>
          <w:color w:val="auto"/>
          <w:sz w:val="21"/>
          <w:szCs w:val="21"/>
        </w:rPr>
        <w:t xml:space="preserve">                           </w:t>
      </w:r>
      <w:r>
        <w:rPr>
          <w:rFonts w:eastAsia="宋体"/>
          <w:color w:val="auto"/>
          <w:position w:val="-12"/>
          <w:sz w:val="21"/>
          <w:szCs w:val="21"/>
        </w:rPr>
        <w:object>
          <v:shape id="_x0000_i1641" o:spt="75" type="#_x0000_t75" style="height:21.75pt;width:50.25pt;" o:ole="t" filled="f" o:preferrelative="t" stroked="f" coordsize="21600,21600">
            <v:path/>
            <v:fill on="f" focussize="0,0"/>
            <v:stroke on="f" joinstyle="miter"/>
            <v:imagedata r:id="rId1215" o:title=""/>
            <o:lock v:ext="edit" aspectratio="t"/>
            <w10:wrap type="none"/>
            <w10:anchorlock/>
          </v:shape>
          <o:OLEObject Type="Embed" ProgID="Equation.DSMT4" ShapeID="_x0000_i1641" DrawAspect="Content" ObjectID="_1468076341" r:id="rId1214">
            <o:LockedField>false</o:LockedField>
          </o:OLEObject>
        </w:object>
      </w:r>
      <w:r>
        <w:rPr>
          <w:rFonts w:eastAsia="宋体"/>
          <w:color w:val="auto"/>
          <w:sz w:val="21"/>
          <w:szCs w:val="21"/>
        </w:rPr>
        <w:t xml:space="preserve">                             (C.14)</w:t>
      </w:r>
    </w:p>
    <w:p w14:paraId="344A6914">
      <w:pPr>
        <w:pStyle w:val="11"/>
        <w:tabs>
          <w:tab w:val="decimal" w:pos="1276"/>
          <w:tab w:val="decimal" w:pos="1418"/>
        </w:tabs>
        <w:spacing w:line="340" w:lineRule="atLeast"/>
        <w:ind w:left="0"/>
        <w:rPr>
          <w:rFonts w:eastAsia="宋体"/>
          <w:color w:val="auto"/>
          <w:sz w:val="21"/>
          <w:szCs w:val="21"/>
        </w:rPr>
      </w:pPr>
      <w:r>
        <w:rPr>
          <w:rFonts w:eastAsia="宋体"/>
          <w:color w:val="auto"/>
          <w:sz w:val="21"/>
          <w:szCs w:val="21"/>
        </w:rPr>
        <w:t xml:space="preserve">式中  </w:t>
      </w:r>
      <w:r>
        <w:rPr>
          <w:rFonts w:eastAsia="宋体"/>
          <w:color w:val="auto"/>
          <w:position w:val="-12"/>
          <w:sz w:val="21"/>
          <w:szCs w:val="21"/>
        </w:rPr>
        <w:object>
          <v:shape id="_x0000_i1642" o:spt="75" type="#_x0000_t75" style="height:21.75pt;width:14.25pt;" o:ole="t" filled="f" o:preferrelative="t" stroked="f" coordsize="21600,21600">
            <v:path/>
            <v:fill on="f" focussize="0,0"/>
            <v:stroke on="f" joinstyle="miter"/>
            <v:imagedata r:id="rId1217" o:title=""/>
            <o:lock v:ext="edit" aspectratio="t"/>
            <w10:wrap type="none"/>
            <w10:anchorlock/>
          </v:shape>
          <o:OLEObject Type="Embed" ProgID="Equation.DSMT4" ShapeID="_x0000_i1642" DrawAspect="Content" ObjectID="_1468076342" r:id="rId1216">
            <o:LockedField>false</o:LockedField>
          </o:OLEObject>
        </w:object>
      </w:r>
      <w:r>
        <w:rPr>
          <w:rFonts w:eastAsia="宋体"/>
          <w:color w:val="auto"/>
          <w:sz w:val="21"/>
          <w:szCs w:val="21"/>
        </w:rPr>
        <w:t>——内摩擦角的试验平均值；</w:t>
      </w:r>
    </w:p>
    <w:p w14:paraId="489F88EB">
      <w:pPr>
        <w:pStyle w:val="11"/>
        <w:tabs>
          <w:tab w:val="decimal" w:pos="1595"/>
          <w:tab w:val="decimal" w:pos="2069"/>
          <w:tab w:val="left" w:pos="4786"/>
        </w:tabs>
        <w:spacing w:line="340" w:lineRule="atLeast"/>
        <w:ind w:left="0" w:firstLine="657" w:firstLineChars="313"/>
        <w:jc w:val="left"/>
        <w:rPr>
          <w:rFonts w:eastAsia="宋体"/>
          <w:color w:val="auto"/>
          <w:sz w:val="21"/>
          <w:szCs w:val="21"/>
        </w:rPr>
      </w:pPr>
      <w:r>
        <w:rPr>
          <w:rFonts w:eastAsia="宋体"/>
          <w:color w:val="auto"/>
          <w:position w:val="-12"/>
          <w:sz w:val="21"/>
          <w:szCs w:val="21"/>
        </w:rPr>
        <w:object>
          <v:shape id="_x0000_i1643" o:spt="75" type="#_x0000_t75" style="height:21.75pt;width:14.25pt;" o:ole="t" filled="f" o:preferrelative="t" stroked="f" coordsize="21600,21600">
            <v:path/>
            <v:fill on="f" focussize="0,0"/>
            <v:stroke on="f" joinstyle="miter"/>
            <v:imagedata r:id="rId1219" o:title=""/>
            <o:lock v:ext="edit" aspectratio="t"/>
            <w10:wrap type="none"/>
            <w10:anchorlock/>
          </v:shape>
          <o:OLEObject Type="Embed" ProgID="Equation.DSMT4" ShapeID="_x0000_i1643" DrawAspect="Content" ObjectID="_1468076343" r:id="rId1218">
            <o:LockedField>false</o:LockedField>
          </o:OLEObject>
        </w:object>
      </w:r>
      <w:r>
        <w:rPr>
          <w:rFonts w:eastAsia="宋体"/>
          <w:color w:val="auto"/>
          <w:sz w:val="21"/>
          <w:szCs w:val="21"/>
        </w:rPr>
        <w:t>——</w:t>
      </w:r>
      <w:r>
        <w:rPr>
          <w:rFonts w:eastAsia="宋体"/>
          <w:color w:val="auto"/>
          <w:sz w:val="21"/>
          <w:szCs w:val="21"/>
        </w:rPr>
        <w:tab/>
      </w:r>
      <w:r>
        <w:rPr>
          <w:rFonts w:eastAsia="宋体"/>
          <w:color w:val="auto"/>
          <w:sz w:val="21"/>
          <w:szCs w:val="21"/>
        </w:rPr>
        <w:t>黏聚力的试验平均值。</w:t>
      </w:r>
    </w:p>
    <w:p w14:paraId="6B8A9767">
      <w:pPr>
        <w:pStyle w:val="11"/>
        <w:tabs>
          <w:tab w:val="decimal" w:pos="1276"/>
          <w:tab w:val="decimal" w:pos="1418"/>
        </w:tabs>
        <w:spacing w:line="340" w:lineRule="atLeast"/>
        <w:ind w:left="0" w:firstLine="422" w:firstLineChars="200"/>
        <w:rPr>
          <w:rFonts w:eastAsia="宋体"/>
          <w:color w:val="auto"/>
          <w:sz w:val="21"/>
          <w:szCs w:val="21"/>
        </w:rPr>
      </w:pPr>
      <w:r>
        <w:rPr>
          <w:rFonts w:eastAsia="宋体"/>
          <w:b/>
          <w:bCs/>
          <w:color w:val="auto"/>
          <w:sz w:val="21"/>
          <w:szCs w:val="21"/>
        </w:rPr>
        <w:t>d)</w:t>
      </w:r>
      <w:r>
        <w:rPr>
          <w:rFonts w:eastAsia="宋体"/>
          <w:color w:val="auto"/>
          <w:sz w:val="21"/>
          <w:szCs w:val="21"/>
        </w:rPr>
        <w:t xml:space="preserve">  当</w:t>
      </w:r>
      <w:r>
        <w:rPr>
          <w:rFonts w:eastAsia="宋体"/>
          <w:color w:val="auto"/>
          <w:position w:val="-10"/>
          <w:sz w:val="21"/>
          <w:szCs w:val="21"/>
        </w:rPr>
        <w:object>
          <v:shape id="_x0000_i1644" o:spt="75" type="#_x0000_t75" style="height:14.25pt;width:14.25pt;" o:ole="t" filled="f" o:preferrelative="t" stroked="f" coordsize="21600,21600">
            <v:path/>
            <v:fill on="f" focussize="0,0"/>
            <v:stroke on="f" joinstyle="miter"/>
            <v:imagedata r:id="rId1221" o:title=""/>
            <o:lock v:ext="edit" aspectratio="t"/>
            <w10:wrap type="none"/>
            <w10:anchorlock/>
          </v:shape>
          <o:OLEObject Type="Embed" ProgID="Equation.DSMT4" ShapeID="_x0000_i1644" DrawAspect="Content" ObjectID="_1468076344" r:id="rId1220">
            <o:LockedField>false</o:LockedField>
          </o:OLEObject>
        </w:object>
      </w:r>
      <w:r>
        <w:rPr>
          <w:rFonts w:eastAsia="宋体"/>
          <w:color w:val="auto"/>
          <w:sz w:val="21"/>
          <w:szCs w:val="21"/>
        </w:rPr>
        <w:t>小于0.75时，应分析</w:t>
      </w:r>
      <w:r>
        <w:rPr>
          <w:rFonts w:eastAsia="宋体"/>
          <w:color w:val="auto"/>
          <w:position w:val="-6"/>
          <w:sz w:val="21"/>
          <w:szCs w:val="21"/>
        </w:rPr>
        <w:object>
          <v:shape id="_x0000_i1645" o:spt="75" type="#_x0000_t75" style="height:14.25pt;width:14.25pt;" o:ole="t" filled="f" o:preferrelative="t" stroked="f" coordsize="21600,21600">
            <v:path/>
            <v:fill on="f" focussize="0,0"/>
            <v:stroke on="f" joinstyle="miter"/>
            <v:imagedata r:id="rId1223" o:title=""/>
            <o:lock v:ext="edit" aspectratio="t"/>
            <w10:wrap type="none"/>
            <w10:anchorlock/>
          </v:shape>
          <o:OLEObject Type="Embed" ProgID="Equation.3" ShapeID="_x0000_i1645" DrawAspect="Content" ObjectID="_1468076345" r:id="rId1222">
            <o:LockedField>false</o:LockedField>
          </o:OLEObject>
        </w:object>
      </w:r>
      <w:r>
        <w:rPr>
          <w:rFonts w:eastAsia="宋体"/>
          <w:color w:val="auto"/>
          <w:sz w:val="21"/>
          <w:szCs w:val="21"/>
        </w:rPr>
        <w:t>值过大的原因，如分层是否合理，试验有无差错，并应增加试验组数。</w:t>
      </w:r>
    </w:p>
    <w:p w14:paraId="05A2FDE9">
      <w:pPr>
        <w:adjustRightInd w:val="0"/>
        <w:snapToGrid w:val="0"/>
        <w:spacing w:line="400" w:lineRule="atLeast"/>
        <w:jc w:val="center"/>
        <w:outlineLvl w:val="0"/>
        <w:rPr>
          <w:rFonts w:eastAsia="黑体"/>
          <w:b/>
          <w:color w:val="auto"/>
          <w:spacing w:val="8"/>
          <w:sz w:val="24"/>
        </w:rPr>
      </w:pPr>
      <w:r>
        <w:rPr>
          <w:color w:val="auto"/>
          <w:sz w:val="24"/>
        </w:rPr>
        <w:br w:type="page"/>
      </w:r>
      <w:bookmarkStart w:id="114" w:name="_Toc199943656"/>
      <w:r>
        <w:rPr>
          <w:rFonts w:eastAsia="黑体"/>
          <w:b/>
          <w:color w:val="auto"/>
          <w:spacing w:val="8"/>
          <w:sz w:val="24"/>
        </w:rPr>
        <w:t>附录D</w:t>
      </w:r>
      <w:bookmarkEnd w:id="114"/>
    </w:p>
    <w:p w14:paraId="5D5A184F">
      <w:pPr>
        <w:adjustRightInd w:val="0"/>
        <w:snapToGrid w:val="0"/>
        <w:spacing w:line="400" w:lineRule="atLeast"/>
        <w:jc w:val="center"/>
        <w:outlineLvl w:val="0"/>
        <w:rPr>
          <w:rFonts w:eastAsia="黑体"/>
          <w:b/>
          <w:color w:val="auto"/>
          <w:spacing w:val="8"/>
          <w:sz w:val="24"/>
        </w:rPr>
      </w:pPr>
      <w:bookmarkStart w:id="115" w:name="_Toc199943657"/>
      <w:r>
        <w:rPr>
          <w:rFonts w:eastAsia="黑体"/>
          <w:b/>
          <w:color w:val="auto"/>
          <w:spacing w:val="8"/>
          <w:sz w:val="24"/>
        </w:rPr>
        <w:t>（规范性）</w:t>
      </w:r>
      <w:bookmarkEnd w:id="115"/>
    </w:p>
    <w:p w14:paraId="3D8BC10E">
      <w:pPr>
        <w:adjustRightInd w:val="0"/>
        <w:snapToGrid w:val="0"/>
        <w:spacing w:line="400" w:lineRule="atLeast"/>
        <w:jc w:val="center"/>
        <w:outlineLvl w:val="0"/>
        <w:rPr>
          <w:b/>
          <w:color w:val="auto"/>
          <w:spacing w:val="8"/>
          <w:sz w:val="24"/>
        </w:rPr>
      </w:pPr>
      <w:bookmarkStart w:id="116" w:name="_Toc199943658"/>
      <w:r>
        <w:rPr>
          <w:b/>
          <w:color w:val="auto"/>
          <w:spacing w:val="8"/>
          <w:sz w:val="24"/>
        </w:rPr>
        <w:t>岩石单轴抗压强度试验要点</w:t>
      </w:r>
      <w:bookmarkEnd w:id="116"/>
    </w:p>
    <w:p w14:paraId="55AB0699">
      <w:pPr>
        <w:pStyle w:val="11"/>
        <w:tabs>
          <w:tab w:val="decimal" w:pos="1276"/>
          <w:tab w:val="decimal" w:pos="1418"/>
        </w:tabs>
        <w:spacing w:before="240" w:after="40" w:line="340" w:lineRule="exact"/>
        <w:ind w:left="0"/>
        <w:jc w:val="center"/>
        <w:rPr>
          <w:rFonts w:eastAsia="宋体"/>
          <w:color w:val="auto"/>
          <w:sz w:val="28"/>
        </w:rPr>
      </w:pPr>
    </w:p>
    <w:p w14:paraId="3A0A6C23">
      <w:pPr>
        <w:pStyle w:val="11"/>
        <w:spacing w:line="340" w:lineRule="exact"/>
        <w:ind w:left="0"/>
        <w:rPr>
          <w:rFonts w:eastAsia="宋体"/>
          <w:color w:val="auto"/>
          <w:sz w:val="21"/>
          <w:szCs w:val="21"/>
        </w:rPr>
      </w:pPr>
      <w:r>
        <w:rPr>
          <w:rFonts w:eastAsia="宋体"/>
          <w:b/>
          <w:color w:val="auto"/>
          <w:sz w:val="21"/>
          <w:szCs w:val="21"/>
        </w:rPr>
        <w:t xml:space="preserve">D.1 </w:t>
      </w:r>
      <w:r>
        <w:rPr>
          <w:rFonts w:eastAsia="宋体"/>
          <w:color w:val="auto"/>
          <w:sz w:val="21"/>
          <w:szCs w:val="21"/>
        </w:rPr>
        <w:t xml:space="preserve"> 试料可用钻孔的岩芯或坑探、槽探中采取的岩块。</w:t>
      </w:r>
    </w:p>
    <w:p w14:paraId="05290772">
      <w:pPr>
        <w:pStyle w:val="11"/>
        <w:spacing w:line="340" w:lineRule="exact"/>
        <w:ind w:left="0"/>
        <w:rPr>
          <w:rFonts w:eastAsia="宋体"/>
          <w:color w:val="auto"/>
          <w:sz w:val="21"/>
          <w:szCs w:val="21"/>
        </w:rPr>
      </w:pPr>
      <w:r>
        <w:rPr>
          <w:rFonts w:eastAsia="宋体"/>
          <w:b/>
          <w:color w:val="auto"/>
          <w:sz w:val="21"/>
          <w:szCs w:val="21"/>
        </w:rPr>
        <w:t xml:space="preserve">D.2 </w:t>
      </w:r>
      <w:r>
        <w:rPr>
          <w:rFonts w:eastAsia="宋体"/>
          <w:color w:val="auto"/>
          <w:sz w:val="21"/>
          <w:szCs w:val="21"/>
        </w:rPr>
        <w:t xml:space="preserve"> 岩样尺寸一般为φ50mm×100mm，数量不应少于六个，进行饱和处理。</w:t>
      </w:r>
    </w:p>
    <w:p w14:paraId="4ECF24EA">
      <w:pPr>
        <w:pStyle w:val="11"/>
        <w:spacing w:line="340" w:lineRule="exact"/>
        <w:ind w:left="0"/>
        <w:rPr>
          <w:rFonts w:eastAsia="宋体"/>
          <w:color w:val="auto"/>
          <w:sz w:val="21"/>
          <w:szCs w:val="21"/>
        </w:rPr>
      </w:pPr>
      <w:r>
        <w:rPr>
          <w:rFonts w:eastAsia="宋体"/>
          <w:b/>
          <w:color w:val="auto"/>
          <w:sz w:val="21"/>
          <w:szCs w:val="21"/>
        </w:rPr>
        <w:t xml:space="preserve">D.3 </w:t>
      </w:r>
      <w:r>
        <w:rPr>
          <w:rFonts w:eastAsia="宋体"/>
          <w:color w:val="auto"/>
          <w:sz w:val="21"/>
          <w:szCs w:val="21"/>
        </w:rPr>
        <w:t xml:space="preserve"> 在压力机上以每秒500kPa～800kPa的加载速度加载，直到试样破坏为止，记下最大加载，做好试验前后的试样描述。</w:t>
      </w:r>
    </w:p>
    <w:p w14:paraId="1E6C1928">
      <w:pPr>
        <w:pStyle w:val="11"/>
        <w:spacing w:line="340" w:lineRule="exact"/>
        <w:ind w:left="0"/>
        <w:rPr>
          <w:rFonts w:eastAsia="宋体"/>
          <w:color w:val="auto"/>
          <w:sz w:val="21"/>
          <w:szCs w:val="21"/>
        </w:rPr>
      </w:pPr>
      <w:r>
        <w:rPr>
          <w:rFonts w:eastAsia="宋体"/>
          <w:b/>
          <w:color w:val="auto"/>
          <w:sz w:val="21"/>
          <w:szCs w:val="21"/>
        </w:rPr>
        <w:t>D.4</w:t>
      </w:r>
      <w:r>
        <w:rPr>
          <w:rFonts w:eastAsia="宋体"/>
          <w:color w:val="auto"/>
          <w:sz w:val="21"/>
          <w:szCs w:val="21"/>
        </w:rPr>
        <w:t xml:space="preserve">  根据参加统计的一组试样的试验值计算其平均值、标准差、变异系数，取岩石饱和单轴抗压强度的标准值</w:t>
      </w:r>
      <w:r>
        <w:rPr>
          <w:rFonts w:hint="eastAsia" w:eastAsia="宋体"/>
          <w:color w:val="auto"/>
          <w:sz w:val="21"/>
          <w:szCs w:val="21"/>
          <w:lang w:val="en-US" w:eastAsia="zh-CN"/>
        </w:rPr>
        <w:t>按公式</w:t>
      </w:r>
      <w:r>
        <w:rPr>
          <w:rFonts w:hint="eastAsia" w:eastAsia="宋体"/>
          <w:color w:val="auto"/>
          <w:sz w:val="21"/>
          <w:szCs w:val="21"/>
          <w:lang w:eastAsia="zh-CN"/>
        </w:rPr>
        <w:t>（</w:t>
      </w:r>
      <w:r>
        <w:rPr>
          <w:rFonts w:hint="eastAsia" w:eastAsia="宋体"/>
          <w:color w:val="auto"/>
          <w:sz w:val="21"/>
          <w:szCs w:val="21"/>
          <w:lang w:val="en-US" w:eastAsia="zh-CN"/>
        </w:rPr>
        <w:t>D.1</w:t>
      </w:r>
      <w:r>
        <w:rPr>
          <w:rFonts w:hint="eastAsia" w:eastAsia="宋体"/>
          <w:color w:val="auto"/>
          <w:sz w:val="21"/>
          <w:szCs w:val="21"/>
          <w:lang w:eastAsia="zh-CN"/>
        </w:rPr>
        <w:t>）</w:t>
      </w:r>
      <w:r>
        <w:rPr>
          <w:rFonts w:hint="eastAsia" w:eastAsia="宋体"/>
          <w:color w:val="auto"/>
          <w:sz w:val="21"/>
          <w:szCs w:val="21"/>
          <w:lang w:val="en-US" w:eastAsia="zh-CN"/>
        </w:rPr>
        <w:t>~</w:t>
      </w:r>
      <w:r>
        <w:rPr>
          <w:rFonts w:hint="eastAsia" w:eastAsia="宋体"/>
          <w:color w:val="auto"/>
          <w:sz w:val="21"/>
          <w:szCs w:val="21"/>
          <w:lang w:eastAsia="zh-CN"/>
        </w:rPr>
        <w:t>（</w:t>
      </w:r>
      <w:r>
        <w:rPr>
          <w:rFonts w:hint="eastAsia" w:eastAsia="宋体"/>
          <w:color w:val="auto"/>
          <w:sz w:val="21"/>
          <w:szCs w:val="21"/>
          <w:lang w:val="en-US" w:eastAsia="zh-CN"/>
        </w:rPr>
        <w:t>D.2</w:t>
      </w:r>
      <w:r>
        <w:rPr>
          <w:rFonts w:hint="eastAsia" w:eastAsia="宋体"/>
          <w:color w:val="auto"/>
          <w:sz w:val="21"/>
          <w:szCs w:val="21"/>
          <w:lang w:eastAsia="zh-CN"/>
        </w:rPr>
        <w:t>）</w:t>
      </w:r>
      <w:r>
        <w:rPr>
          <w:rFonts w:hint="eastAsia" w:eastAsia="宋体"/>
          <w:color w:val="auto"/>
          <w:sz w:val="21"/>
          <w:szCs w:val="21"/>
          <w:lang w:val="en-US" w:eastAsia="zh-CN"/>
        </w:rPr>
        <w:t>计算</w:t>
      </w:r>
      <w:r>
        <w:rPr>
          <w:rFonts w:eastAsia="宋体"/>
          <w:color w:val="auto"/>
          <w:sz w:val="21"/>
          <w:szCs w:val="21"/>
        </w:rPr>
        <w:t>：</w:t>
      </w:r>
    </w:p>
    <w:p w14:paraId="02619725">
      <w:pPr>
        <w:pStyle w:val="11"/>
        <w:tabs>
          <w:tab w:val="decimal" w:pos="1276"/>
          <w:tab w:val="decimal" w:pos="1418"/>
        </w:tabs>
        <w:wordWrap w:val="0"/>
        <w:spacing w:before="40" w:after="40" w:line="360" w:lineRule="atLeast"/>
        <w:ind w:left="567" w:firstLine="426"/>
        <w:jc w:val="right"/>
        <w:rPr>
          <w:rFonts w:eastAsia="宋体"/>
          <w:color w:val="auto"/>
          <w:sz w:val="21"/>
          <w:szCs w:val="21"/>
        </w:rPr>
      </w:pPr>
      <w:r>
        <w:rPr>
          <w:rFonts w:eastAsia="宋体"/>
          <w:color w:val="auto"/>
          <w:position w:val="-12"/>
          <w:sz w:val="21"/>
          <w:szCs w:val="21"/>
        </w:rPr>
        <w:object>
          <v:shape id="_x0000_i1646" o:spt="75" type="#_x0000_t75" style="height:21.75pt;width:57.75pt;" o:ole="t" filled="f" o:preferrelative="t" stroked="f" coordsize="21600,21600">
            <v:path/>
            <v:fill on="f" focussize="0,0"/>
            <v:stroke on="f" joinstyle="miter"/>
            <v:imagedata r:id="rId1225" o:title=""/>
            <o:lock v:ext="edit" aspectratio="t"/>
            <w10:wrap type="none"/>
            <w10:anchorlock/>
          </v:shape>
          <o:OLEObject Type="Embed" ProgID="Equation.DSMT4" ShapeID="_x0000_i1646" DrawAspect="Content" ObjectID="_1468076346" r:id="rId1224">
            <o:LockedField>false</o:LockedField>
          </o:OLEObject>
        </w:object>
      </w:r>
      <w:r>
        <w:rPr>
          <w:rFonts w:eastAsia="宋体"/>
          <w:color w:val="auto"/>
          <w:sz w:val="21"/>
          <w:szCs w:val="21"/>
        </w:rPr>
        <w:tab/>
      </w:r>
      <w:r>
        <w:rPr>
          <w:rFonts w:eastAsia="宋体"/>
          <w:color w:val="auto"/>
          <w:sz w:val="21"/>
          <w:szCs w:val="21"/>
        </w:rPr>
        <w:tab/>
      </w:r>
      <w:r>
        <w:rPr>
          <w:rFonts w:eastAsia="宋体"/>
          <w:color w:val="auto"/>
          <w:sz w:val="21"/>
          <w:szCs w:val="21"/>
        </w:rPr>
        <w:tab/>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(D.1)</w:t>
      </w:r>
    </w:p>
    <w:p w14:paraId="6375EAC6">
      <w:pPr>
        <w:pStyle w:val="11"/>
        <w:tabs>
          <w:tab w:val="decimal" w:pos="1276"/>
          <w:tab w:val="decimal" w:pos="1418"/>
        </w:tabs>
        <w:wordWrap w:val="0"/>
        <w:spacing w:before="120" w:after="40" w:line="300" w:lineRule="atLeast"/>
        <w:ind w:left="0"/>
        <w:jc w:val="right"/>
        <w:rPr>
          <w:rFonts w:eastAsia="宋体"/>
          <w:color w:val="auto"/>
          <w:sz w:val="21"/>
          <w:szCs w:val="21"/>
        </w:rPr>
      </w:pPr>
      <w:r>
        <w:rPr>
          <w:rFonts w:eastAsia="宋体"/>
          <w:color w:val="auto"/>
          <w:sz w:val="21"/>
          <w:szCs w:val="21"/>
        </w:rPr>
        <w:t xml:space="preserve"> </w:t>
      </w:r>
      <w:r>
        <w:rPr>
          <w:rFonts w:eastAsia="宋体"/>
          <w:color w:val="auto"/>
          <w:position w:val="-28"/>
          <w:sz w:val="21"/>
          <w:szCs w:val="21"/>
        </w:rPr>
        <w:object>
          <v:shape id="_x0000_i1647" o:spt="75" type="#_x0000_t75" style="height:28.5pt;width:100.5pt;" o:ole="t" filled="f" o:preferrelative="t" stroked="f" coordsize="21600,21600">
            <v:path/>
            <v:fill on="f" focussize="0,0"/>
            <v:stroke on="f" joinstyle="miter"/>
            <v:imagedata r:id="rId1227" o:title=""/>
            <o:lock v:ext="edit" aspectratio="t"/>
            <w10:wrap type="none"/>
            <w10:anchorlock/>
          </v:shape>
          <o:OLEObject Type="Embed" ProgID="Equation.DSMT4" ShapeID="_x0000_i1647" DrawAspect="Content" ObjectID="_1468076347" r:id="rId1226">
            <o:LockedField>false</o:LockedField>
          </o:OLEObject>
        </w:object>
      </w:r>
      <w:r>
        <w:rPr>
          <w:rFonts w:eastAsia="宋体"/>
          <w:color w:val="auto"/>
          <w:sz w:val="21"/>
          <w:szCs w:val="21"/>
        </w:rPr>
        <w:tab/>
      </w:r>
      <w:r>
        <w:rPr>
          <w:rFonts w:eastAsia="宋体"/>
          <w:color w:val="auto"/>
          <w:sz w:val="21"/>
          <w:szCs w:val="21"/>
        </w:rPr>
        <w:t xml:space="preserve">              </w:t>
      </w:r>
      <w:r>
        <w:rPr>
          <w:rFonts w:eastAsia="宋体"/>
          <w:color w:val="auto"/>
          <w:sz w:val="21"/>
          <w:szCs w:val="21"/>
        </w:rPr>
        <w:tab/>
      </w:r>
      <w:r>
        <w:rPr>
          <w:rFonts w:eastAsia="宋体"/>
          <w:color w:val="auto"/>
          <w:sz w:val="21"/>
          <w:szCs w:val="21"/>
        </w:rPr>
        <w:tab/>
      </w:r>
      <w:r>
        <w:rPr>
          <w:rFonts w:eastAsia="宋体"/>
          <w:color w:val="auto"/>
          <w:sz w:val="21"/>
          <w:szCs w:val="21"/>
        </w:rPr>
        <w:t>(D.2)</w:t>
      </w:r>
    </w:p>
    <w:p w14:paraId="01B74230">
      <w:pPr>
        <w:pStyle w:val="11"/>
        <w:tabs>
          <w:tab w:val="decimal" w:pos="1276"/>
          <w:tab w:val="decimal" w:pos="1418"/>
        </w:tabs>
        <w:spacing w:line="340" w:lineRule="atLeast"/>
        <w:ind w:left="0"/>
        <w:rPr>
          <w:rFonts w:eastAsia="宋体"/>
          <w:color w:val="auto"/>
          <w:sz w:val="21"/>
          <w:szCs w:val="21"/>
        </w:rPr>
      </w:pPr>
      <w:r>
        <w:rPr>
          <w:rFonts w:eastAsia="宋体"/>
          <w:color w:val="auto"/>
          <w:sz w:val="21"/>
          <w:szCs w:val="21"/>
        </w:rPr>
        <w:t xml:space="preserve">式中  </w:t>
      </w:r>
      <w:r>
        <w:rPr>
          <w:rFonts w:eastAsia="宋体"/>
          <w:color w:val="auto"/>
          <w:position w:val="-12"/>
          <w:sz w:val="21"/>
          <w:szCs w:val="21"/>
        </w:rPr>
        <w:object>
          <v:shape id="_x0000_i1648" o:spt="75" type="#_x0000_t75" style="height:21.75pt;width:14.25pt;" o:ole="t" filled="f" o:preferrelative="t" stroked="f" coordsize="21600,21600">
            <v:path/>
            <v:fill on="f" focussize="0,0"/>
            <v:stroke on="f" joinstyle="miter"/>
            <v:imagedata r:id="rId1229" o:title=""/>
            <o:lock v:ext="edit" aspectratio="t"/>
            <w10:wrap type="none"/>
            <w10:anchorlock/>
          </v:shape>
          <o:OLEObject Type="Embed" ProgID="Equation.DSMT4" ShapeID="_x0000_i1648" DrawAspect="Content" ObjectID="_1468076348" r:id="rId1228">
            <o:LockedField>false</o:LockedField>
          </o:OLEObject>
        </w:object>
      </w:r>
      <w:r>
        <w:rPr>
          <w:rFonts w:eastAsia="宋体"/>
          <w:color w:val="auto"/>
          <w:sz w:val="21"/>
          <w:szCs w:val="21"/>
        </w:rPr>
        <w:t>——岩石饱和单轴抗压强度平均值；</w:t>
      </w:r>
    </w:p>
    <w:p w14:paraId="284FCE13">
      <w:pPr>
        <w:pStyle w:val="11"/>
        <w:tabs>
          <w:tab w:val="decimal" w:pos="1595"/>
          <w:tab w:val="decimal" w:pos="2069"/>
          <w:tab w:val="left" w:pos="7054"/>
        </w:tabs>
        <w:spacing w:line="340" w:lineRule="atLeast"/>
        <w:ind w:left="0" w:firstLine="630" w:firstLineChars="300"/>
        <w:jc w:val="left"/>
        <w:rPr>
          <w:rFonts w:eastAsia="宋体"/>
          <w:color w:val="auto"/>
          <w:sz w:val="21"/>
          <w:szCs w:val="21"/>
        </w:rPr>
      </w:pPr>
      <w:r>
        <w:rPr>
          <w:rFonts w:eastAsia="宋体"/>
          <w:color w:val="auto"/>
          <w:position w:val="-12"/>
          <w:sz w:val="21"/>
          <w:szCs w:val="21"/>
        </w:rPr>
        <w:object>
          <v:shape id="_x0000_i1649" o:spt="75" type="#_x0000_t75" style="height:21.75pt;width:14.25pt;" o:ole="t" filled="f" o:preferrelative="t" stroked="f" coordsize="21600,21600">
            <v:path/>
            <v:fill on="f" focussize="0,0"/>
            <v:stroke on="f" joinstyle="miter"/>
            <v:imagedata r:id="rId1231" o:title=""/>
            <o:lock v:ext="edit" aspectratio="t"/>
            <w10:wrap type="none"/>
            <w10:anchorlock/>
          </v:shape>
          <o:OLEObject Type="Embed" ProgID="Equation.DSMT4" ShapeID="_x0000_i1649" DrawAspect="Content" ObjectID="_1468076349" r:id="rId1230">
            <o:LockedField>false</o:LockedField>
          </o:OLEObject>
        </w:object>
      </w:r>
      <w:r>
        <w:rPr>
          <w:rFonts w:eastAsia="宋体"/>
          <w:color w:val="auto"/>
          <w:sz w:val="21"/>
          <w:szCs w:val="21"/>
        </w:rPr>
        <w:t>——</w:t>
      </w:r>
      <w:r>
        <w:rPr>
          <w:rFonts w:eastAsia="宋体"/>
          <w:color w:val="auto"/>
          <w:sz w:val="21"/>
          <w:szCs w:val="21"/>
        </w:rPr>
        <w:tab/>
      </w:r>
      <w:r>
        <w:rPr>
          <w:rFonts w:eastAsia="宋体"/>
          <w:color w:val="auto"/>
          <w:sz w:val="21"/>
          <w:szCs w:val="21"/>
        </w:rPr>
        <w:t>岩石饱和单轴抗压强度标准值；</w:t>
      </w:r>
    </w:p>
    <w:p w14:paraId="1ADED30F">
      <w:pPr>
        <w:pStyle w:val="11"/>
        <w:tabs>
          <w:tab w:val="decimal" w:pos="1595"/>
          <w:tab w:val="decimal" w:pos="2069"/>
          <w:tab w:val="left" w:pos="7054"/>
        </w:tabs>
        <w:spacing w:line="340" w:lineRule="atLeast"/>
        <w:ind w:left="0" w:firstLine="707" w:firstLineChars="337"/>
        <w:jc w:val="left"/>
        <w:rPr>
          <w:rFonts w:eastAsia="宋体"/>
          <w:color w:val="auto"/>
          <w:sz w:val="21"/>
          <w:szCs w:val="21"/>
        </w:rPr>
      </w:pPr>
      <w:r>
        <w:rPr>
          <w:rFonts w:eastAsia="宋体"/>
          <w:color w:val="auto"/>
          <w:position w:val="-10"/>
          <w:sz w:val="21"/>
          <w:szCs w:val="21"/>
        </w:rPr>
        <w:object>
          <v:shape id="_x0000_i1650" o:spt="75" type="#_x0000_t75" style="height:14.25pt;width:14.25pt;" o:ole="t" filled="f" o:preferrelative="t" stroked="f" coordsize="21600,21600">
            <v:path/>
            <v:fill on="f" focussize="0,0"/>
            <v:stroke on="f" joinstyle="miter"/>
            <v:imagedata r:id="rId1233" o:title=""/>
            <o:lock v:ext="edit" aspectratio="t"/>
            <w10:wrap type="none"/>
            <w10:anchorlock/>
          </v:shape>
          <o:OLEObject Type="Embed" ProgID="Equation.DSMT4" ShapeID="_x0000_i1650" DrawAspect="Content" ObjectID="_1468076350" r:id="rId1232">
            <o:LockedField>false</o:LockedField>
          </o:OLEObject>
        </w:object>
      </w:r>
      <w:r>
        <w:rPr>
          <w:rFonts w:eastAsia="宋体"/>
          <w:color w:val="auto"/>
          <w:sz w:val="21"/>
          <w:szCs w:val="21"/>
        </w:rPr>
        <w:t>——统计修正系数；</w:t>
      </w:r>
    </w:p>
    <w:p w14:paraId="1723EFEA">
      <w:pPr>
        <w:pStyle w:val="11"/>
        <w:tabs>
          <w:tab w:val="decimal" w:pos="1595"/>
          <w:tab w:val="decimal" w:pos="2069"/>
          <w:tab w:val="left" w:pos="7054"/>
        </w:tabs>
        <w:spacing w:line="340" w:lineRule="atLeast"/>
        <w:ind w:left="0" w:firstLine="768" w:firstLineChars="366"/>
        <w:jc w:val="left"/>
        <w:rPr>
          <w:rFonts w:eastAsia="宋体"/>
          <w:color w:val="auto"/>
          <w:sz w:val="21"/>
          <w:szCs w:val="21"/>
        </w:rPr>
      </w:pPr>
      <w:r>
        <w:rPr>
          <w:rFonts w:eastAsia="宋体"/>
          <w:color w:val="auto"/>
          <w:position w:val="-6"/>
          <w:sz w:val="21"/>
          <w:szCs w:val="21"/>
        </w:rPr>
        <w:object>
          <v:shape id="_x0000_i1651" o:spt="75" type="#_x0000_t75" style="height:7.5pt;width:7.5pt;" o:ole="t" filled="f" o:preferrelative="t" stroked="f" coordsize="21600,21600">
            <v:path/>
            <v:fill on="f" focussize="0,0"/>
            <v:stroke on="f" joinstyle="miter"/>
            <v:imagedata r:id="rId1211" o:title=""/>
            <o:lock v:ext="edit" aspectratio="t"/>
            <w10:wrap type="none"/>
            <w10:anchorlock/>
          </v:shape>
          <o:OLEObject Type="Embed" ProgID="Equation.DSMT4" ShapeID="_x0000_i1651" DrawAspect="Content" ObjectID="_1468076351" r:id="rId1234">
            <o:LockedField>false</o:LockedField>
          </o:OLEObject>
        </w:object>
      </w:r>
      <w:r>
        <w:rPr>
          <w:rFonts w:eastAsia="宋体"/>
          <w:color w:val="auto"/>
          <w:sz w:val="21"/>
          <w:szCs w:val="21"/>
        </w:rPr>
        <w:t>——</w:t>
      </w:r>
      <w:r>
        <w:rPr>
          <w:rFonts w:eastAsia="宋体"/>
          <w:color w:val="auto"/>
          <w:sz w:val="21"/>
          <w:szCs w:val="21"/>
        </w:rPr>
        <w:tab/>
      </w:r>
      <w:r>
        <w:rPr>
          <w:rFonts w:eastAsia="宋体"/>
          <w:color w:val="auto"/>
          <w:sz w:val="21"/>
          <w:szCs w:val="21"/>
        </w:rPr>
        <w:t>试样个数；</w:t>
      </w:r>
    </w:p>
    <w:p w14:paraId="307D9C40">
      <w:pPr>
        <w:pStyle w:val="11"/>
        <w:tabs>
          <w:tab w:val="decimal" w:pos="1595"/>
          <w:tab w:val="decimal" w:pos="2069"/>
          <w:tab w:val="left" w:pos="7054"/>
        </w:tabs>
        <w:spacing w:line="340" w:lineRule="atLeast"/>
        <w:ind w:left="0" w:firstLine="756" w:firstLineChars="360"/>
        <w:jc w:val="left"/>
        <w:rPr>
          <w:rFonts w:eastAsia="宋体"/>
          <w:color w:val="auto"/>
          <w:sz w:val="21"/>
          <w:szCs w:val="21"/>
        </w:rPr>
      </w:pPr>
      <w:r>
        <w:rPr>
          <w:rFonts w:eastAsia="宋体"/>
          <w:color w:val="auto"/>
          <w:position w:val="-6"/>
          <w:sz w:val="21"/>
          <w:szCs w:val="21"/>
        </w:rPr>
        <w:object>
          <v:shape id="_x0000_i1652" o:spt="75" type="#_x0000_t75" style="height:14.25pt;width:7.5pt;" o:ole="t" filled="f" o:preferrelative="t" stroked="f" coordsize="21600,21600">
            <v:path/>
            <v:fill on="f" focussize="0,0"/>
            <v:stroke on="f" joinstyle="miter"/>
            <v:imagedata r:id="rId1236" o:title=""/>
            <o:lock v:ext="edit" aspectratio="t"/>
            <w10:wrap type="none"/>
            <w10:anchorlock/>
          </v:shape>
          <o:OLEObject Type="Embed" ProgID="Equation.DSMT4" ShapeID="_x0000_i1652" DrawAspect="Content" ObjectID="_1468076352" r:id="rId1235">
            <o:LockedField>false</o:LockedField>
          </o:OLEObject>
        </w:object>
      </w:r>
      <w:r>
        <w:rPr>
          <w:rFonts w:eastAsia="宋体"/>
          <w:color w:val="auto"/>
          <w:sz w:val="21"/>
          <w:szCs w:val="21"/>
        </w:rPr>
        <w:t>——</w:t>
      </w:r>
      <w:r>
        <w:rPr>
          <w:rFonts w:eastAsia="宋体"/>
          <w:color w:val="auto"/>
          <w:sz w:val="21"/>
          <w:szCs w:val="21"/>
        </w:rPr>
        <w:tab/>
      </w:r>
      <w:r>
        <w:rPr>
          <w:rFonts w:eastAsia="宋体"/>
          <w:color w:val="auto"/>
          <w:sz w:val="21"/>
          <w:szCs w:val="21"/>
        </w:rPr>
        <w:t>变异系数。</w:t>
      </w:r>
    </w:p>
    <w:p w14:paraId="72EB58E3">
      <w:pPr>
        <w:pStyle w:val="11"/>
        <w:tabs>
          <w:tab w:val="decimal" w:pos="1276"/>
          <w:tab w:val="decimal" w:pos="1418"/>
        </w:tabs>
        <w:spacing w:line="340" w:lineRule="exact"/>
        <w:ind w:left="0" w:firstLine="420" w:firstLineChars="200"/>
        <w:rPr>
          <w:rFonts w:eastAsia="宋体"/>
          <w:color w:val="auto"/>
          <w:sz w:val="21"/>
          <w:szCs w:val="21"/>
        </w:rPr>
      </w:pPr>
      <w:r>
        <w:rPr>
          <w:rFonts w:eastAsia="宋体"/>
          <w:color w:val="auto"/>
          <w:sz w:val="21"/>
          <w:szCs w:val="21"/>
        </w:rPr>
        <w:t>对风化的软岩或极软岩，在确保施工期及使用期不致遭水浸泡时也可采用天然湿度的试样，不进行饱和处理。</w:t>
      </w:r>
    </w:p>
    <w:p w14:paraId="05677FA4">
      <w:pPr>
        <w:pStyle w:val="11"/>
        <w:tabs>
          <w:tab w:val="decimal" w:pos="1276"/>
          <w:tab w:val="decimal" w:pos="1418"/>
        </w:tabs>
        <w:spacing w:after="40" w:line="340" w:lineRule="exact"/>
        <w:ind w:left="0" w:firstLine="420" w:firstLineChars="200"/>
        <w:rPr>
          <w:rFonts w:eastAsia="宋体"/>
          <w:color w:val="auto"/>
          <w:sz w:val="21"/>
          <w:szCs w:val="21"/>
        </w:rPr>
      </w:pPr>
      <w:r>
        <w:rPr>
          <w:rFonts w:eastAsia="宋体"/>
          <w:color w:val="auto"/>
          <w:sz w:val="21"/>
          <w:szCs w:val="21"/>
        </w:rPr>
        <w:t>当无法取得饱和单轴抗压强度数据时，可用点荷载试验强度估算。估算方法按本文件附录K执行。</w:t>
      </w:r>
    </w:p>
    <w:p w14:paraId="75285DEC">
      <w:pPr>
        <w:adjustRightInd w:val="0"/>
        <w:snapToGrid w:val="0"/>
        <w:spacing w:line="400" w:lineRule="atLeast"/>
        <w:jc w:val="center"/>
        <w:outlineLvl w:val="0"/>
        <w:rPr>
          <w:rFonts w:eastAsia="黑体"/>
          <w:b/>
          <w:color w:val="auto"/>
          <w:spacing w:val="8"/>
          <w:sz w:val="24"/>
        </w:rPr>
      </w:pPr>
      <w:r>
        <w:rPr>
          <w:color w:val="auto"/>
          <w:sz w:val="28"/>
        </w:rPr>
        <w:br w:type="page"/>
      </w:r>
      <w:bookmarkStart w:id="117" w:name="_Toc199943659"/>
      <w:r>
        <w:rPr>
          <w:rFonts w:eastAsia="黑体"/>
          <w:b/>
          <w:color w:val="auto"/>
          <w:spacing w:val="8"/>
          <w:sz w:val="24"/>
        </w:rPr>
        <w:t>附录 E</w:t>
      </w:r>
      <w:bookmarkEnd w:id="117"/>
    </w:p>
    <w:p w14:paraId="3167EEA3">
      <w:pPr>
        <w:adjustRightInd w:val="0"/>
        <w:snapToGrid w:val="0"/>
        <w:spacing w:line="400" w:lineRule="atLeast"/>
        <w:jc w:val="center"/>
        <w:outlineLvl w:val="0"/>
        <w:rPr>
          <w:rFonts w:eastAsia="黑体"/>
          <w:b/>
          <w:color w:val="auto"/>
          <w:spacing w:val="8"/>
          <w:sz w:val="24"/>
        </w:rPr>
      </w:pPr>
      <w:bookmarkStart w:id="118" w:name="_Toc199943660"/>
      <w:r>
        <w:rPr>
          <w:rFonts w:eastAsia="黑体"/>
          <w:b/>
          <w:color w:val="auto"/>
          <w:spacing w:val="8"/>
          <w:sz w:val="24"/>
        </w:rPr>
        <w:t>（规范性）</w:t>
      </w:r>
      <w:bookmarkEnd w:id="118"/>
    </w:p>
    <w:p w14:paraId="00C9965C">
      <w:pPr>
        <w:adjustRightInd w:val="0"/>
        <w:snapToGrid w:val="0"/>
        <w:spacing w:line="400" w:lineRule="atLeast"/>
        <w:jc w:val="center"/>
        <w:outlineLvl w:val="0"/>
        <w:rPr>
          <w:b/>
          <w:color w:val="auto"/>
          <w:spacing w:val="8"/>
          <w:sz w:val="24"/>
        </w:rPr>
      </w:pPr>
      <w:bookmarkStart w:id="119" w:name="_Toc199943661"/>
      <w:r>
        <w:rPr>
          <w:b/>
          <w:color w:val="auto"/>
          <w:spacing w:val="8"/>
          <w:sz w:val="24"/>
        </w:rPr>
        <w:t>岩土承载力特征值、压缩性指标</w:t>
      </w:r>
      <w:bookmarkEnd w:id="119"/>
    </w:p>
    <w:p w14:paraId="7CDDDA75">
      <w:pPr>
        <w:adjustRightInd w:val="0"/>
        <w:snapToGrid w:val="0"/>
        <w:spacing w:line="340" w:lineRule="exact"/>
        <w:jc w:val="center"/>
        <w:rPr>
          <w:color w:val="auto"/>
          <w:spacing w:val="8"/>
          <w:sz w:val="28"/>
        </w:rPr>
      </w:pPr>
    </w:p>
    <w:p w14:paraId="59299269">
      <w:pPr>
        <w:adjustRightInd w:val="0"/>
        <w:snapToGrid w:val="0"/>
        <w:spacing w:line="340" w:lineRule="exact"/>
        <w:rPr>
          <w:color w:val="auto"/>
          <w:szCs w:val="21"/>
        </w:rPr>
      </w:pPr>
      <w:r>
        <w:rPr>
          <w:b/>
          <w:bCs/>
          <w:color w:val="auto"/>
          <w:szCs w:val="21"/>
        </w:rPr>
        <w:t>E.1</w:t>
      </w:r>
      <w:r>
        <w:rPr>
          <w:color w:val="auto"/>
          <w:szCs w:val="21"/>
        </w:rPr>
        <w:t xml:space="preserve">  岩土承载力特征值</w:t>
      </w:r>
    </w:p>
    <w:p w14:paraId="162F1714">
      <w:pPr>
        <w:adjustRightInd w:val="0"/>
        <w:snapToGrid w:val="0"/>
        <w:spacing w:line="340" w:lineRule="exact"/>
        <w:ind w:firstLine="422" w:firstLineChars="200"/>
        <w:rPr>
          <w:color w:val="auto"/>
          <w:szCs w:val="21"/>
        </w:rPr>
      </w:pPr>
      <w:r>
        <w:rPr>
          <w:b/>
          <w:bCs/>
          <w:color w:val="auto"/>
          <w:szCs w:val="21"/>
        </w:rPr>
        <w:t>a)</w:t>
      </w:r>
      <w:r>
        <w:rPr>
          <w:color w:val="auto"/>
          <w:szCs w:val="21"/>
        </w:rPr>
        <w:t xml:space="preserve">  根据现场鉴别结果确定地基承载力特征值时宜符合表E.1、表E.2的规定:</w:t>
      </w:r>
    </w:p>
    <w:p w14:paraId="06AA194A">
      <w:pPr>
        <w:adjustRightInd w:val="0"/>
        <w:snapToGrid w:val="0"/>
        <w:spacing w:before="93" w:beforeLines="3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表E.1  岩石地基承载力特征值</w:t>
      </w:r>
      <w:r>
        <w:rPr>
          <w:rFonts w:eastAsia="黑体"/>
          <w:b/>
          <w:i/>
          <w:color w:val="auto"/>
          <w:szCs w:val="21"/>
        </w:rPr>
        <w:t>ƒ</w:t>
      </w:r>
      <w:r>
        <w:rPr>
          <w:rFonts w:eastAsia="黑体"/>
          <w:b/>
          <w:iCs/>
          <w:color w:val="auto"/>
          <w:szCs w:val="21"/>
          <w:vertAlign w:val="subscript"/>
        </w:rPr>
        <w:t>a</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color w:val="auto"/>
          <w:sz w:val="18"/>
          <w:szCs w:val="18"/>
        </w:rPr>
        <w:t>单位为kPa</w:t>
      </w:r>
    </w:p>
    <w:tbl>
      <w:tblPr>
        <w:tblStyle w:val="36"/>
        <w:tblW w:w="91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99"/>
        <w:gridCol w:w="2268"/>
        <w:gridCol w:w="1939"/>
        <w:gridCol w:w="1767"/>
        <w:gridCol w:w="1671"/>
      </w:tblGrid>
      <w:tr w14:paraId="4F7DA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99" w:type="dxa"/>
            <w:vMerge w:val="restart"/>
            <w:tcBorders>
              <w:top w:val="single" w:color="auto" w:sz="12" w:space="0"/>
              <w:right w:val="single" w:color="auto" w:sz="12" w:space="0"/>
              <w:tl2br w:val="nil"/>
            </w:tcBorders>
            <w:vAlign w:val="center"/>
          </w:tcPr>
          <w:p w14:paraId="0A91F5D7">
            <w:pPr>
              <w:pStyle w:val="23"/>
              <w:tabs>
                <w:tab w:val="clear" w:pos="4153"/>
                <w:tab w:val="clear" w:pos="8306"/>
              </w:tabs>
              <w:adjustRightInd w:val="0"/>
              <w:spacing w:line="240" w:lineRule="exact"/>
              <w:jc w:val="center"/>
              <w:rPr>
                <w:color w:val="auto"/>
              </w:rPr>
            </w:pPr>
            <w:r>
              <w:rPr>
                <w:color w:val="auto"/>
              </w:rPr>
              <w:t>岩石类别</w:t>
            </w:r>
          </w:p>
        </w:tc>
        <w:tc>
          <w:tcPr>
            <w:tcW w:w="2268" w:type="dxa"/>
            <w:vMerge w:val="restart"/>
            <w:tcBorders>
              <w:top w:val="single" w:color="auto" w:sz="12" w:space="0"/>
              <w:left w:val="single" w:color="auto" w:sz="12" w:space="0"/>
              <w:bottom w:val="single" w:color="auto" w:sz="6" w:space="0"/>
              <w:tl2br w:val="nil"/>
            </w:tcBorders>
            <w:vAlign w:val="center"/>
          </w:tcPr>
          <w:p w14:paraId="77C48017">
            <w:pPr>
              <w:pStyle w:val="23"/>
              <w:tabs>
                <w:tab w:val="clear" w:pos="4153"/>
                <w:tab w:val="clear" w:pos="8306"/>
              </w:tabs>
              <w:adjustRightInd w:val="0"/>
              <w:spacing w:line="240" w:lineRule="exact"/>
              <w:ind w:left="19" w:leftChars="-13" w:hanging="46" w:hangingChars="26"/>
              <w:rPr>
                <w:color w:val="auto"/>
              </w:rPr>
            </w:pPr>
            <w:r>
              <w:rPr>
                <w:color w:val="auto"/>
              </w:rPr>
              <w:t>饱和单轴抗压强度标准值（MPa）</w:t>
            </w:r>
          </w:p>
        </w:tc>
        <w:tc>
          <w:tcPr>
            <w:tcW w:w="5377" w:type="dxa"/>
            <w:gridSpan w:val="3"/>
            <w:vAlign w:val="center"/>
          </w:tcPr>
          <w:p w14:paraId="01AEE208">
            <w:pPr>
              <w:pStyle w:val="24"/>
              <w:pBdr>
                <w:bottom w:val="none" w:color="auto" w:sz="0" w:space="0"/>
              </w:pBdr>
              <w:tabs>
                <w:tab w:val="clear" w:pos="4153"/>
                <w:tab w:val="clear" w:pos="8306"/>
              </w:tabs>
              <w:adjustRightInd w:val="0"/>
              <w:spacing w:line="240" w:lineRule="exact"/>
              <w:rPr>
                <w:color w:val="auto"/>
              </w:rPr>
            </w:pPr>
            <w:r>
              <w:rPr>
                <w:rFonts w:hint="eastAsia"/>
                <w:color w:val="auto"/>
              </w:rPr>
              <w:t>风化程度</w:t>
            </w:r>
          </w:p>
        </w:tc>
      </w:tr>
      <w:tr w14:paraId="47331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99" w:type="dxa"/>
            <w:vMerge w:val="continue"/>
            <w:tcBorders>
              <w:bottom w:val="single" w:color="auto" w:sz="6" w:space="0"/>
              <w:right w:val="single" w:color="auto" w:sz="12" w:space="0"/>
              <w:tl2br w:val="nil"/>
            </w:tcBorders>
            <w:vAlign w:val="center"/>
          </w:tcPr>
          <w:p w14:paraId="447AB272">
            <w:pPr>
              <w:pStyle w:val="23"/>
              <w:tabs>
                <w:tab w:val="clear" w:pos="4153"/>
                <w:tab w:val="clear" w:pos="8306"/>
              </w:tabs>
              <w:adjustRightInd w:val="0"/>
              <w:spacing w:line="240" w:lineRule="exact"/>
              <w:jc w:val="center"/>
              <w:rPr>
                <w:color w:val="auto"/>
              </w:rPr>
            </w:pPr>
          </w:p>
        </w:tc>
        <w:tc>
          <w:tcPr>
            <w:tcW w:w="2268" w:type="dxa"/>
            <w:vMerge w:val="continue"/>
            <w:tcBorders>
              <w:top w:val="single" w:color="auto" w:sz="6" w:space="0"/>
              <w:left w:val="single" w:color="auto" w:sz="12" w:space="0"/>
              <w:bottom w:val="single" w:color="auto" w:sz="6" w:space="0"/>
              <w:tl2br w:val="nil"/>
            </w:tcBorders>
            <w:vAlign w:val="center"/>
          </w:tcPr>
          <w:p w14:paraId="667D4AA1">
            <w:pPr>
              <w:pStyle w:val="23"/>
              <w:tabs>
                <w:tab w:val="clear" w:pos="4153"/>
                <w:tab w:val="clear" w:pos="8306"/>
              </w:tabs>
              <w:adjustRightInd w:val="0"/>
              <w:spacing w:line="240" w:lineRule="exact"/>
              <w:ind w:left="19" w:leftChars="-13" w:hanging="46" w:hangingChars="26"/>
              <w:jc w:val="right"/>
              <w:rPr>
                <w:color w:val="auto"/>
              </w:rPr>
            </w:pPr>
          </w:p>
        </w:tc>
        <w:tc>
          <w:tcPr>
            <w:tcW w:w="1939" w:type="dxa"/>
            <w:vAlign w:val="center"/>
          </w:tcPr>
          <w:p w14:paraId="5FEF1198">
            <w:pPr>
              <w:pStyle w:val="24"/>
              <w:pBdr>
                <w:bottom w:val="none" w:color="auto" w:sz="0" w:space="0"/>
              </w:pBdr>
              <w:tabs>
                <w:tab w:val="clear" w:pos="4153"/>
                <w:tab w:val="clear" w:pos="8306"/>
              </w:tabs>
              <w:adjustRightInd w:val="0"/>
              <w:spacing w:line="240" w:lineRule="exact"/>
              <w:rPr>
                <w:color w:val="auto"/>
              </w:rPr>
            </w:pPr>
            <w:r>
              <w:rPr>
                <w:color w:val="auto"/>
              </w:rPr>
              <w:t>强风化</w:t>
            </w:r>
          </w:p>
        </w:tc>
        <w:tc>
          <w:tcPr>
            <w:tcW w:w="1767" w:type="dxa"/>
            <w:vAlign w:val="center"/>
          </w:tcPr>
          <w:p w14:paraId="07695CCE">
            <w:pPr>
              <w:adjustRightInd w:val="0"/>
              <w:snapToGrid w:val="0"/>
              <w:spacing w:line="240" w:lineRule="exact"/>
              <w:jc w:val="center"/>
              <w:rPr>
                <w:color w:val="auto"/>
                <w:sz w:val="18"/>
                <w:szCs w:val="18"/>
              </w:rPr>
            </w:pPr>
            <w:r>
              <w:rPr>
                <w:color w:val="auto"/>
                <w:sz w:val="18"/>
                <w:szCs w:val="18"/>
              </w:rPr>
              <w:t>中风化</w:t>
            </w:r>
          </w:p>
        </w:tc>
        <w:tc>
          <w:tcPr>
            <w:tcW w:w="1671" w:type="dxa"/>
            <w:vAlign w:val="center"/>
          </w:tcPr>
          <w:p w14:paraId="652BDF2C">
            <w:pPr>
              <w:pStyle w:val="24"/>
              <w:pBdr>
                <w:bottom w:val="none" w:color="auto" w:sz="0" w:space="0"/>
              </w:pBdr>
              <w:tabs>
                <w:tab w:val="clear" w:pos="4153"/>
                <w:tab w:val="clear" w:pos="8306"/>
              </w:tabs>
              <w:adjustRightInd w:val="0"/>
              <w:spacing w:line="240" w:lineRule="exact"/>
              <w:rPr>
                <w:color w:val="auto"/>
              </w:rPr>
            </w:pPr>
            <w:r>
              <w:rPr>
                <w:color w:val="auto"/>
              </w:rPr>
              <w:t>微风化</w:t>
            </w:r>
          </w:p>
        </w:tc>
      </w:tr>
      <w:tr w14:paraId="3756C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499" w:type="dxa"/>
            <w:tcBorders>
              <w:top w:val="single" w:color="auto" w:sz="6" w:space="0"/>
              <w:bottom w:val="single" w:color="auto" w:sz="6" w:space="0"/>
              <w:right w:val="single" w:color="auto" w:sz="6" w:space="0"/>
            </w:tcBorders>
            <w:vAlign w:val="center"/>
          </w:tcPr>
          <w:p w14:paraId="49E89B9A">
            <w:pPr>
              <w:adjustRightInd w:val="0"/>
              <w:snapToGrid w:val="0"/>
              <w:spacing w:line="260" w:lineRule="atLeast"/>
              <w:jc w:val="center"/>
              <w:rPr>
                <w:color w:val="auto"/>
                <w:sz w:val="18"/>
                <w:szCs w:val="18"/>
              </w:rPr>
            </w:pPr>
            <w:r>
              <w:rPr>
                <w:color w:val="auto"/>
                <w:sz w:val="18"/>
                <w:szCs w:val="18"/>
              </w:rPr>
              <w:t>坚硬岩</w:t>
            </w:r>
          </w:p>
        </w:tc>
        <w:tc>
          <w:tcPr>
            <w:tcW w:w="2268" w:type="dxa"/>
            <w:tcBorders>
              <w:top w:val="single" w:color="auto" w:sz="6" w:space="0"/>
              <w:left w:val="single" w:color="auto" w:sz="6" w:space="0"/>
            </w:tcBorders>
            <w:vAlign w:val="center"/>
          </w:tcPr>
          <w:p w14:paraId="4B0EF545">
            <w:pPr>
              <w:adjustRightInd w:val="0"/>
              <w:snapToGrid w:val="0"/>
              <w:spacing w:line="260" w:lineRule="atLeast"/>
              <w:jc w:val="center"/>
              <w:rPr>
                <w:color w:val="auto"/>
                <w:sz w:val="18"/>
                <w:szCs w:val="18"/>
              </w:rPr>
            </w:pPr>
            <w:r>
              <w:rPr>
                <w:color w:val="auto"/>
                <w:sz w:val="18"/>
                <w:szCs w:val="18"/>
              </w:rPr>
              <w:t>f</w:t>
            </w:r>
            <w:r>
              <w:rPr>
                <w:color w:val="auto"/>
                <w:sz w:val="18"/>
                <w:szCs w:val="18"/>
                <w:vertAlign w:val="subscript"/>
              </w:rPr>
              <w:t>rk</w:t>
            </w:r>
            <w:r>
              <w:rPr>
                <w:color w:val="auto"/>
                <w:sz w:val="18"/>
                <w:szCs w:val="18"/>
              </w:rPr>
              <w:t>＞60</w:t>
            </w:r>
          </w:p>
        </w:tc>
        <w:tc>
          <w:tcPr>
            <w:tcW w:w="1939" w:type="dxa"/>
            <w:vAlign w:val="center"/>
          </w:tcPr>
          <w:p w14:paraId="59B39CD3">
            <w:pPr>
              <w:adjustRightInd w:val="0"/>
              <w:snapToGrid w:val="0"/>
              <w:spacing w:line="260" w:lineRule="atLeast"/>
              <w:jc w:val="center"/>
              <w:rPr>
                <w:color w:val="auto"/>
                <w:sz w:val="18"/>
                <w:szCs w:val="18"/>
              </w:rPr>
            </w:pPr>
            <w:r>
              <w:rPr>
                <w:color w:val="auto"/>
                <w:sz w:val="18"/>
                <w:szCs w:val="18"/>
              </w:rPr>
              <w:t>1000～1500</w:t>
            </w:r>
          </w:p>
        </w:tc>
        <w:tc>
          <w:tcPr>
            <w:tcW w:w="1767" w:type="dxa"/>
            <w:vAlign w:val="center"/>
          </w:tcPr>
          <w:p w14:paraId="1AE0442A">
            <w:pPr>
              <w:adjustRightInd w:val="0"/>
              <w:snapToGrid w:val="0"/>
              <w:spacing w:line="260" w:lineRule="atLeast"/>
              <w:jc w:val="center"/>
              <w:rPr>
                <w:color w:val="auto"/>
                <w:sz w:val="18"/>
                <w:szCs w:val="18"/>
              </w:rPr>
            </w:pPr>
            <w:r>
              <w:rPr>
                <w:color w:val="auto"/>
                <w:sz w:val="18"/>
                <w:szCs w:val="18"/>
              </w:rPr>
              <w:t>6000～1</w:t>
            </w:r>
            <w:r>
              <w:rPr>
                <w:rFonts w:hint="eastAsia"/>
                <w:color w:val="auto"/>
                <w:sz w:val="18"/>
                <w:szCs w:val="18"/>
              </w:rPr>
              <w:t>5</w:t>
            </w:r>
            <w:r>
              <w:rPr>
                <w:color w:val="auto"/>
                <w:sz w:val="18"/>
                <w:szCs w:val="18"/>
              </w:rPr>
              <w:t>000</w:t>
            </w:r>
          </w:p>
        </w:tc>
        <w:tc>
          <w:tcPr>
            <w:tcW w:w="1671" w:type="dxa"/>
            <w:vAlign w:val="center"/>
          </w:tcPr>
          <w:p w14:paraId="7D211DFB">
            <w:pPr>
              <w:adjustRightInd w:val="0"/>
              <w:snapToGrid w:val="0"/>
              <w:spacing w:line="260" w:lineRule="atLeast"/>
              <w:jc w:val="center"/>
              <w:rPr>
                <w:color w:val="auto"/>
                <w:sz w:val="18"/>
                <w:szCs w:val="18"/>
              </w:rPr>
            </w:pPr>
            <w:r>
              <w:rPr>
                <w:color w:val="auto"/>
                <w:sz w:val="18"/>
                <w:szCs w:val="18"/>
              </w:rPr>
              <w:t>12000～24000</w:t>
            </w:r>
          </w:p>
        </w:tc>
      </w:tr>
      <w:tr w14:paraId="6E5E8A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499" w:type="dxa"/>
            <w:tcBorders>
              <w:top w:val="single" w:color="auto" w:sz="6" w:space="0"/>
              <w:bottom w:val="single" w:color="auto" w:sz="6" w:space="0"/>
              <w:right w:val="single" w:color="auto" w:sz="6" w:space="0"/>
            </w:tcBorders>
            <w:vAlign w:val="center"/>
          </w:tcPr>
          <w:p w14:paraId="70E184D8">
            <w:pPr>
              <w:adjustRightInd w:val="0"/>
              <w:snapToGrid w:val="0"/>
              <w:spacing w:line="260" w:lineRule="atLeast"/>
              <w:jc w:val="center"/>
              <w:rPr>
                <w:color w:val="auto"/>
                <w:sz w:val="18"/>
                <w:szCs w:val="18"/>
              </w:rPr>
            </w:pPr>
            <w:r>
              <w:rPr>
                <w:color w:val="auto"/>
                <w:sz w:val="18"/>
                <w:szCs w:val="18"/>
              </w:rPr>
              <w:t>较硬岩</w:t>
            </w:r>
          </w:p>
        </w:tc>
        <w:tc>
          <w:tcPr>
            <w:tcW w:w="2268" w:type="dxa"/>
            <w:tcBorders>
              <w:left w:val="single" w:color="auto" w:sz="6" w:space="0"/>
            </w:tcBorders>
            <w:vAlign w:val="center"/>
          </w:tcPr>
          <w:p w14:paraId="707C213C">
            <w:pPr>
              <w:adjustRightInd w:val="0"/>
              <w:snapToGrid w:val="0"/>
              <w:spacing w:line="260" w:lineRule="atLeast"/>
              <w:jc w:val="center"/>
              <w:rPr>
                <w:color w:val="auto"/>
                <w:sz w:val="18"/>
                <w:szCs w:val="18"/>
              </w:rPr>
            </w:pPr>
            <w:r>
              <w:rPr>
                <w:color w:val="auto"/>
                <w:sz w:val="18"/>
                <w:szCs w:val="18"/>
              </w:rPr>
              <w:t>30＜f</w:t>
            </w:r>
            <w:r>
              <w:rPr>
                <w:color w:val="auto"/>
                <w:sz w:val="18"/>
                <w:szCs w:val="18"/>
                <w:vertAlign w:val="subscript"/>
              </w:rPr>
              <w:t>rk</w:t>
            </w:r>
            <w:r>
              <w:rPr>
                <w:color w:val="auto"/>
                <w:sz w:val="18"/>
                <w:szCs w:val="18"/>
              </w:rPr>
              <w:t>≤60</w:t>
            </w:r>
          </w:p>
        </w:tc>
        <w:tc>
          <w:tcPr>
            <w:tcW w:w="1939" w:type="dxa"/>
            <w:vAlign w:val="center"/>
          </w:tcPr>
          <w:p w14:paraId="4BBAB04E">
            <w:pPr>
              <w:adjustRightInd w:val="0"/>
              <w:snapToGrid w:val="0"/>
              <w:spacing w:line="260" w:lineRule="atLeast"/>
              <w:jc w:val="center"/>
              <w:rPr>
                <w:color w:val="auto"/>
                <w:sz w:val="18"/>
                <w:szCs w:val="18"/>
              </w:rPr>
            </w:pPr>
            <w:r>
              <w:rPr>
                <w:color w:val="auto"/>
                <w:sz w:val="18"/>
                <w:szCs w:val="18"/>
              </w:rPr>
              <w:t>800～1200</w:t>
            </w:r>
          </w:p>
        </w:tc>
        <w:tc>
          <w:tcPr>
            <w:tcW w:w="1767" w:type="dxa"/>
            <w:vAlign w:val="center"/>
          </w:tcPr>
          <w:p w14:paraId="514C7CFA">
            <w:pPr>
              <w:adjustRightInd w:val="0"/>
              <w:snapToGrid w:val="0"/>
              <w:spacing w:line="260" w:lineRule="atLeast"/>
              <w:jc w:val="center"/>
              <w:rPr>
                <w:color w:val="auto"/>
                <w:sz w:val="18"/>
                <w:szCs w:val="18"/>
              </w:rPr>
            </w:pPr>
            <w:r>
              <w:rPr>
                <w:color w:val="auto"/>
                <w:sz w:val="18"/>
                <w:szCs w:val="18"/>
              </w:rPr>
              <w:t>4500～</w:t>
            </w:r>
            <w:r>
              <w:rPr>
                <w:rFonts w:hint="eastAsia"/>
                <w:color w:val="auto"/>
                <w:sz w:val="18"/>
                <w:szCs w:val="18"/>
              </w:rPr>
              <w:t>12</w:t>
            </w:r>
            <w:r>
              <w:rPr>
                <w:color w:val="auto"/>
                <w:sz w:val="18"/>
                <w:szCs w:val="18"/>
              </w:rPr>
              <w:t>000</w:t>
            </w:r>
          </w:p>
        </w:tc>
        <w:tc>
          <w:tcPr>
            <w:tcW w:w="1671" w:type="dxa"/>
            <w:vAlign w:val="center"/>
          </w:tcPr>
          <w:p w14:paraId="09830542">
            <w:pPr>
              <w:adjustRightInd w:val="0"/>
              <w:snapToGrid w:val="0"/>
              <w:spacing w:line="260" w:lineRule="atLeast"/>
              <w:jc w:val="center"/>
              <w:rPr>
                <w:color w:val="auto"/>
                <w:sz w:val="18"/>
                <w:szCs w:val="18"/>
              </w:rPr>
            </w:pPr>
            <w:r>
              <w:rPr>
                <w:rFonts w:hint="eastAsia"/>
                <w:color w:val="auto"/>
                <w:sz w:val="18"/>
                <w:szCs w:val="18"/>
              </w:rPr>
              <w:t>8</w:t>
            </w:r>
            <w:r>
              <w:rPr>
                <w:color w:val="auto"/>
                <w:sz w:val="18"/>
                <w:szCs w:val="18"/>
              </w:rPr>
              <w:t>000～18000</w:t>
            </w:r>
          </w:p>
        </w:tc>
      </w:tr>
      <w:tr w14:paraId="28F28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499" w:type="dxa"/>
            <w:tcBorders>
              <w:top w:val="single" w:color="auto" w:sz="6" w:space="0"/>
              <w:bottom w:val="single" w:color="auto" w:sz="6" w:space="0"/>
              <w:right w:val="single" w:color="auto" w:sz="6" w:space="0"/>
            </w:tcBorders>
            <w:vAlign w:val="center"/>
          </w:tcPr>
          <w:p w14:paraId="25D20AB0">
            <w:pPr>
              <w:adjustRightInd w:val="0"/>
              <w:snapToGrid w:val="0"/>
              <w:spacing w:line="260" w:lineRule="atLeast"/>
              <w:jc w:val="center"/>
              <w:rPr>
                <w:color w:val="auto"/>
                <w:sz w:val="18"/>
                <w:szCs w:val="18"/>
              </w:rPr>
            </w:pPr>
            <w:r>
              <w:rPr>
                <w:color w:val="auto"/>
                <w:sz w:val="18"/>
                <w:szCs w:val="18"/>
              </w:rPr>
              <w:t>较软岩</w:t>
            </w:r>
          </w:p>
        </w:tc>
        <w:tc>
          <w:tcPr>
            <w:tcW w:w="2268" w:type="dxa"/>
            <w:tcBorders>
              <w:left w:val="single" w:color="auto" w:sz="6" w:space="0"/>
            </w:tcBorders>
            <w:vAlign w:val="center"/>
          </w:tcPr>
          <w:p w14:paraId="5B934627">
            <w:pPr>
              <w:adjustRightInd w:val="0"/>
              <w:snapToGrid w:val="0"/>
              <w:spacing w:line="260" w:lineRule="atLeast"/>
              <w:jc w:val="center"/>
              <w:rPr>
                <w:color w:val="auto"/>
                <w:sz w:val="18"/>
                <w:szCs w:val="18"/>
              </w:rPr>
            </w:pPr>
            <w:r>
              <w:rPr>
                <w:color w:val="auto"/>
                <w:sz w:val="18"/>
                <w:szCs w:val="18"/>
              </w:rPr>
              <w:t>15＜f</w:t>
            </w:r>
            <w:r>
              <w:rPr>
                <w:color w:val="auto"/>
                <w:sz w:val="18"/>
                <w:szCs w:val="18"/>
                <w:vertAlign w:val="subscript"/>
              </w:rPr>
              <w:t>rk</w:t>
            </w:r>
            <w:r>
              <w:rPr>
                <w:color w:val="auto"/>
                <w:sz w:val="18"/>
                <w:szCs w:val="18"/>
              </w:rPr>
              <w:t>≤30</w:t>
            </w:r>
          </w:p>
        </w:tc>
        <w:tc>
          <w:tcPr>
            <w:tcW w:w="1939" w:type="dxa"/>
            <w:vAlign w:val="center"/>
          </w:tcPr>
          <w:p w14:paraId="28B6A9AE">
            <w:pPr>
              <w:adjustRightInd w:val="0"/>
              <w:snapToGrid w:val="0"/>
              <w:spacing w:line="260" w:lineRule="atLeast"/>
              <w:jc w:val="center"/>
              <w:rPr>
                <w:color w:val="auto"/>
                <w:sz w:val="18"/>
                <w:szCs w:val="18"/>
              </w:rPr>
            </w:pPr>
            <w:r>
              <w:rPr>
                <w:color w:val="auto"/>
                <w:sz w:val="18"/>
                <w:szCs w:val="18"/>
              </w:rPr>
              <w:t>700～1000</w:t>
            </w:r>
          </w:p>
        </w:tc>
        <w:tc>
          <w:tcPr>
            <w:tcW w:w="1767" w:type="dxa"/>
            <w:vAlign w:val="center"/>
          </w:tcPr>
          <w:p w14:paraId="2DE0735C">
            <w:pPr>
              <w:adjustRightInd w:val="0"/>
              <w:snapToGrid w:val="0"/>
              <w:spacing w:line="260" w:lineRule="atLeast"/>
              <w:jc w:val="center"/>
              <w:rPr>
                <w:color w:val="auto"/>
                <w:sz w:val="18"/>
                <w:szCs w:val="18"/>
              </w:rPr>
            </w:pPr>
            <w:r>
              <w:rPr>
                <w:color w:val="auto"/>
                <w:sz w:val="18"/>
                <w:szCs w:val="18"/>
              </w:rPr>
              <w:t>2500～</w:t>
            </w:r>
            <w:r>
              <w:rPr>
                <w:rFonts w:hint="eastAsia"/>
                <w:color w:val="auto"/>
                <w:sz w:val="18"/>
                <w:szCs w:val="18"/>
              </w:rPr>
              <w:t>6</w:t>
            </w:r>
            <w:r>
              <w:rPr>
                <w:color w:val="auto"/>
                <w:sz w:val="18"/>
                <w:szCs w:val="18"/>
              </w:rPr>
              <w:t>000</w:t>
            </w:r>
          </w:p>
        </w:tc>
        <w:tc>
          <w:tcPr>
            <w:tcW w:w="1671" w:type="dxa"/>
            <w:vAlign w:val="center"/>
          </w:tcPr>
          <w:p w14:paraId="75DBDC4C">
            <w:pPr>
              <w:adjustRightInd w:val="0"/>
              <w:snapToGrid w:val="0"/>
              <w:spacing w:line="260" w:lineRule="atLeast"/>
              <w:jc w:val="center"/>
              <w:rPr>
                <w:color w:val="auto"/>
                <w:sz w:val="18"/>
                <w:szCs w:val="18"/>
              </w:rPr>
            </w:pPr>
            <w:r>
              <w:rPr>
                <w:rFonts w:hint="eastAsia"/>
                <w:color w:val="auto"/>
                <w:sz w:val="18"/>
                <w:szCs w:val="18"/>
              </w:rPr>
              <w:t>5</w:t>
            </w:r>
            <w:r>
              <w:rPr>
                <w:color w:val="auto"/>
                <w:sz w:val="18"/>
                <w:szCs w:val="18"/>
              </w:rPr>
              <w:t>000～</w:t>
            </w:r>
            <w:r>
              <w:rPr>
                <w:rFonts w:hint="eastAsia"/>
                <w:color w:val="auto"/>
                <w:sz w:val="18"/>
                <w:szCs w:val="18"/>
              </w:rPr>
              <w:t>9</w:t>
            </w:r>
            <w:r>
              <w:rPr>
                <w:color w:val="auto"/>
                <w:sz w:val="18"/>
                <w:szCs w:val="18"/>
              </w:rPr>
              <w:t>000</w:t>
            </w:r>
          </w:p>
        </w:tc>
      </w:tr>
      <w:tr w14:paraId="14872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499" w:type="dxa"/>
            <w:tcBorders>
              <w:top w:val="single" w:color="auto" w:sz="6" w:space="0"/>
              <w:bottom w:val="single" w:color="auto" w:sz="6" w:space="0"/>
              <w:right w:val="single" w:color="auto" w:sz="6" w:space="0"/>
            </w:tcBorders>
            <w:vAlign w:val="center"/>
          </w:tcPr>
          <w:p w14:paraId="466390BF">
            <w:pPr>
              <w:adjustRightInd w:val="0"/>
              <w:snapToGrid w:val="0"/>
              <w:spacing w:line="260" w:lineRule="atLeast"/>
              <w:jc w:val="center"/>
              <w:rPr>
                <w:color w:val="auto"/>
                <w:sz w:val="18"/>
                <w:szCs w:val="18"/>
              </w:rPr>
            </w:pPr>
            <w:r>
              <w:rPr>
                <w:color w:val="auto"/>
                <w:sz w:val="18"/>
                <w:szCs w:val="18"/>
              </w:rPr>
              <w:t>软 岩</w:t>
            </w:r>
          </w:p>
        </w:tc>
        <w:tc>
          <w:tcPr>
            <w:tcW w:w="2268" w:type="dxa"/>
            <w:tcBorders>
              <w:left w:val="single" w:color="auto" w:sz="6" w:space="0"/>
            </w:tcBorders>
            <w:vAlign w:val="center"/>
          </w:tcPr>
          <w:p w14:paraId="6D8BD942">
            <w:pPr>
              <w:adjustRightInd w:val="0"/>
              <w:snapToGrid w:val="0"/>
              <w:spacing w:line="260" w:lineRule="atLeast"/>
              <w:jc w:val="center"/>
              <w:rPr>
                <w:color w:val="auto"/>
                <w:sz w:val="18"/>
                <w:szCs w:val="18"/>
              </w:rPr>
            </w:pPr>
            <w:r>
              <w:rPr>
                <w:color w:val="auto"/>
                <w:sz w:val="18"/>
                <w:szCs w:val="18"/>
              </w:rPr>
              <w:t>5＜f</w:t>
            </w:r>
            <w:r>
              <w:rPr>
                <w:color w:val="auto"/>
                <w:sz w:val="18"/>
                <w:szCs w:val="18"/>
                <w:vertAlign w:val="subscript"/>
              </w:rPr>
              <w:t>rk</w:t>
            </w:r>
            <w:r>
              <w:rPr>
                <w:color w:val="auto"/>
                <w:sz w:val="18"/>
                <w:szCs w:val="18"/>
              </w:rPr>
              <w:t>≤15</w:t>
            </w:r>
          </w:p>
        </w:tc>
        <w:tc>
          <w:tcPr>
            <w:tcW w:w="1939" w:type="dxa"/>
            <w:vAlign w:val="center"/>
          </w:tcPr>
          <w:p w14:paraId="7FC2B330">
            <w:pPr>
              <w:adjustRightInd w:val="0"/>
              <w:snapToGrid w:val="0"/>
              <w:spacing w:line="260" w:lineRule="atLeast"/>
              <w:jc w:val="center"/>
              <w:rPr>
                <w:color w:val="auto"/>
                <w:sz w:val="18"/>
                <w:szCs w:val="18"/>
              </w:rPr>
            </w:pPr>
            <w:r>
              <w:rPr>
                <w:color w:val="auto"/>
                <w:sz w:val="18"/>
                <w:szCs w:val="18"/>
              </w:rPr>
              <w:t>500～800</w:t>
            </w:r>
          </w:p>
        </w:tc>
        <w:tc>
          <w:tcPr>
            <w:tcW w:w="1767" w:type="dxa"/>
            <w:vAlign w:val="center"/>
          </w:tcPr>
          <w:p w14:paraId="3B9D2F4B">
            <w:pPr>
              <w:adjustRightInd w:val="0"/>
              <w:snapToGrid w:val="0"/>
              <w:spacing w:line="260" w:lineRule="atLeast"/>
              <w:jc w:val="center"/>
              <w:rPr>
                <w:color w:val="auto"/>
                <w:sz w:val="18"/>
                <w:szCs w:val="18"/>
              </w:rPr>
            </w:pPr>
            <w:r>
              <w:rPr>
                <w:color w:val="auto"/>
                <w:sz w:val="18"/>
                <w:szCs w:val="18"/>
              </w:rPr>
              <w:t>1000～</w:t>
            </w:r>
            <w:r>
              <w:rPr>
                <w:rFonts w:hint="eastAsia"/>
                <w:color w:val="auto"/>
                <w:sz w:val="18"/>
                <w:szCs w:val="18"/>
              </w:rPr>
              <w:t>3</w:t>
            </w:r>
            <w:r>
              <w:rPr>
                <w:color w:val="auto"/>
                <w:sz w:val="18"/>
                <w:szCs w:val="18"/>
              </w:rPr>
              <w:t>000</w:t>
            </w:r>
          </w:p>
        </w:tc>
        <w:tc>
          <w:tcPr>
            <w:tcW w:w="1671" w:type="dxa"/>
            <w:vAlign w:val="center"/>
          </w:tcPr>
          <w:p w14:paraId="1B7B65B6">
            <w:pPr>
              <w:adjustRightInd w:val="0"/>
              <w:snapToGrid w:val="0"/>
              <w:spacing w:line="260" w:lineRule="atLeast"/>
              <w:jc w:val="center"/>
              <w:rPr>
                <w:color w:val="auto"/>
                <w:sz w:val="18"/>
                <w:szCs w:val="18"/>
              </w:rPr>
            </w:pPr>
            <w:r>
              <w:rPr>
                <w:color w:val="auto"/>
                <w:sz w:val="18"/>
                <w:szCs w:val="18"/>
              </w:rPr>
              <w:t>2</w:t>
            </w:r>
            <w:r>
              <w:rPr>
                <w:rFonts w:hint="eastAsia"/>
                <w:color w:val="auto"/>
                <w:sz w:val="18"/>
                <w:szCs w:val="18"/>
              </w:rPr>
              <w:t>5</w:t>
            </w:r>
            <w:r>
              <w:rPr>
                <w:color w:val="auto"/>
                <w:sz w:val="18"/>
                <w:szCs w:val="18"/>
              </w:rPr>
              <w:t>00～</w:t>
            </w:r>
            <w:r>
              <w:rPr>
                <w:rFonts w:hint="eastAsia"/>
                <w:color w:val="auto"/>
                <w:sz w:val="18"/>
                <w:szCs w:val="18"/>
              </w:rPr>
              <w:t>45</w:t>
            </w:r>
            <w:r>
              <w:rPr>
                <w:color w:val="auto"/>
                <w:sz w:val="18"/>
                <w:szCs w:val="18"/>
              </w:rPr>
              <w:t>00</w:t>
            </w:r>
          </w:p>
        </w:tc>
      </w:tr>
      <w:tr w14:paraId="1C88F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499" w:type="dxa"/>
            <w:tcBorders>
              <w:top w:val="single" w:color="auto" w:sz="6" w:space="0"/>
              <w:bottom w:val="single" w:color="auto" w:sz="6" w:space="0"/>
              <w:right w:val="single" w:color="auto" w:sz="6" w:space="0"/>
            </w:tcBorders>
            <w:vAlign w:val="center"/>
          </w:tcPr>
          <w:p w14:paraId="725CDDE7">
            <w:pPr>
              <w:adjustRightInd w:val="0"/>
              <w:snapToGrid w:val="0"/>
              <w:spacing w:line="260" w:lineRule="atLeast"/>
              <w:jc w:val="center"/>
              <w:rPr>
                <w:color w:val="auto"/>
                <w:sz w:val="18"/>
                <w:szCs w:val="18"/>
              </w:rPr>
            </w:pPr>
            <w:r>
              <w:rPr>
                <w:color w:val="auto"/>
                <w:sz w:val="18"/>
                <w:szCs w:val="18"/>
              </w:rPr>
              <w:t>极软岩</w:t>
            </w:r>
          </w:p>
        </w:tc>
        <w:tc>
          <w:tcPr>
            <w:tcW w:w="2268" w:type="dxa"/>
            <w:tcBorders>
              <w:left w:val="single" w:color="auto" w:sz="6" w:space="0"/>
            </w:tcBorders>
            <w:vAlign w:val="center"/>
          </w:tcPr>
          <w:p w14:paraId="2AD42D68">
            <w:pPr>
              <w:adjustRightInd w:val="0"/>
              <w:snapToGrid w:val="0"/>
              <w:spacing w:line="260" w:lineRule="atLeast"/>
              <w:jc w:val="center"/>
              <w:rPr>
                <w:color w:val="auto"/>
                <w:sz w:val="18"/>
                <w:szCs w:val="18"/>
              </w:rPr>
            </w:pPr>
            <w:r>
              <w:rPr>
                <w:color w:val="auto"/>
                <w:sz w:val="18"/>
                <w:szCs w:val="18"/>
              </w:rPr>
              <w:t>f</w:t>
            </w:r>
            <w:r>
              <w:rPr>
                <w:color w:val="auto"/>
                <w:sz w:val="18"/>
                <w:szCs w:val="18"/>
                <w:vertAlign w:val="subscript"/>
              </w:rPr>
              <w:t>rk</w:t>
            </w:r>
            <w:r>
              <w:rPr>
                <w:color w:val="auto"/>
                <w:sz w:val="18"/>
                <w:szCs w:val="18"/>
              </w:rPr>
              <w:t>≤5</w:t>
            </w:r>
          </w:p>
        </w:tc>
        <w:tc>
          <w:tcPr>
            <w:tcW w:w="1939" w:type="dxa"/>
            <w:vAlign w:val="center"/>
          </w:tcPr>
          <w:p w14:paraId="2F27DC88">
            <w:pPr>
              <w:adjustRightInd w:val="0"/>
              <w:snapToGrid w:val="0"/>
              <w:spacing w:line="260" w:lineRule="atLeast"/>
              <w:jc w:val="center"/>
              <w:rPr>
                <w:color w:val="auto"/>
                <w:sz w:val="18"/>
                <w:szCs w:val="18"/>
              </w:rPr>
            </w:pPr>
            <w:r>
              <w:rPr>
                <w:color w:val="auto"/>
                <w:sz w:val="18"/>
                <w:szCs w:val="18"/>
              </w:rPr>
              <w:t>400～600</w:t>
            </w:r>
          </w:p>
        </w:tc>
        <w:tc>
          <w:tcPr>
            <w:tcW w:w="1767" w:type="dxa"/>
            <w:vAlign w:val="center"/>
          </w:tcPr>
          <w:p w14:paraId="16704E88">
            <w:pPr>
              <w:adjustRightInd w:val="0"/>
              <w:snapToGrid w:val="0"/>
              <w:spacing w:line="260" w:lineRule="atLeast"/>
              <w:jc w:val="center"/>
              <w:rPr>
                <w:color w:val="auto"/>
                <w:sz w:val="18"/>
                <w:szCs w:val="18"/>
              </w:rPr>
            </w:pPr>
            <w:r>
              <w:rPr>
                <w:color w:val="auto"/>
                <w:sz w:val="18"/>
                <w:szCs w:val="18"/>
              </w:rPr>
              <w:t>700～1500</w:t>
            </w:r>
          </w:p>
        </w:tc>
        <w:tc>
          <w:tcPr>
            <w:tcW w:w="1671" w:type="dxa"/>
            <w:vAlign w:val="center"/>
          </w:tcPr>
          <w:p w14:paraId="192DEA0F">
            <w:pPr>
              <w:adjustRightInd w:val="0"/>
              <w:snapToGrid w:val="0"/>
              <w:spacing w:line="260" w:lineRule="atLeast"/>
              <w:jc w:val="center"/>
              <w:rPr>
                <w:color w:val="auto"/>
                <w:sz w:val="18"/>
                <w:szCs w:val="18"/>
              </w:rPr>
            </w:pPr>
            <w:r>
              <w:rPr>
                <w:color w:val="auto"/>
                <w:sz w:val="18"/>
                <w:szCs w:val="18"/>
              </w:rPr>
              <w:t>1</w:t>
            </w:r>
            <w:r>
              <w:rPr>
                <w:rFonts w:hint="eastAsia"/>
                <w:color w:val="auto"/>
                <w:sz w:val="18"/>
                <w:szCs w:val="18"/>
              </w:rPr>
              <w:t>5</w:t>
            </w:r>
            <w:r>
              <w:rPr>
                <w:color w:val="auto"/>
                <w:sz w:val="18"/>
                <w:szCs w:val="18"/>
              </w:rPr>
              <w:t>00～2</w:t>
            </w:r>
            <w:r>
              <w:rPr>
                <w:rFonts w:hint="eastAsia"/>
                <w:color w:val="auto"/>
                <w:sz w:val="18"/>
                <w:szCs w:val="18"/>
              </w:rPr>
              <w:t>5</w:t>
            </w:r>
            <w:r>
              <w:rPr>
                <w:color w:val="auto"/>
                <w:sz w:val="18"/>
                <w:szCs w:val="18"/>
              </w:rPr>
              <w:t>00</w:t>
            </w:r>
          </w:p>
        </w:tc>
      </w:tr>
      <w:tr w14:paraId="299C1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9144" w:type="dxa"/>
            <w:gridSpan w:val="5"/>
            <w:vAlign w:val="center"/>
          </w:tcPr>
          <w:p w14:paraId="47033BF6">
            <w:pPr>
              <w:adjustRightInd w:val="0"/>
              <w:snapToGrid w:val="0"/>
              <w:ind w:left="477" w:right="-36" w:rightChars="-17" w:hanging="477" w:hangingChars="265"/>
              <w:rPr>
                <w:color w:val="auto"/>
                <w:sz w:val="18"/>
                <w:szCs w:val="18"/>
              </w:rPr>
            </w:pPr>
            <w:r>
              <w:rPr>
                <w:color w:val="auto"/>
                <w:sz w:val="18"/>
                <w:szCs w:val="18"/>
              </w:rPr>
              <w:t>注</w:t>
            </w:r>
            <w:r>
              <w:rPr>
                <w:rFonts w:hint="eastAsia"/>
                <w:color w:val="auto"/>
                <w:sz w:val="18"/>
                <w:szCs w:val="18"/>
              </w:rPr>
              <w:t>1</w:t>
            </w:r>
            <w:r>
              <w:rPr>
                <w:color w:val="auto"/>
                <w:sz w:val="18"/>
                <w:szCs w:val="18"/>
              </w:rPr>
              <w:t>：岩石地基承载力应根据岩层的地质年代、产状</w:t>
            </w:r>
            <w:r>
              <w:rPr>
                <w:rFonts w:hint="eastAsia"/>
                <w:color w:val="auto"/>
                <w:sz w:val="18"/>
                <w:szCs w:val="18"/>
              </w:rPr>
              <w:t>、破碎程度、饱和单轴抗压强度（极软岩取天然状态下单轴抗压强度）</w:t>
            </w:r>
            <w:r>
              <w:rPr>
                <w:color w:val="auto"/>
                <w:sz w:val="18"/>
                <w:szCs w:val="18"/>
              </w:rPr>
              <w:t>和工程经验综合确定</w:t>
            </w:r>
            <w:r>
              <w:rPr>
                <w:rFonts w:hint="eastAsia"/>
                <w:color w:val="auto"/>
                <w:sz w:val="18"/>
                <w:szCs w:val="18"/>
              </w:rPr>
              <w:t>，有条件时宜进行岩基载荷试验，确定岩石承载力。依据不充分时可取表内数据。</w:t>
            </w:r>
          </w:p>
          <w:p w14:paraId="7D82AE06">
            <w:pPr>
              <w:adjustRightInd w:val="0"/>
              <w:snapToGrid w:val="0"/>
              <w:ind w:right="-36" w:rightChars="-17"/>
              <w:rPr>
                <w:color w:val="auto"/>
                <w:sz w:val="18"/>
                <w:szCs w:val="18"/>
              </w:rPr>
            </w:pPr>
            <w:r>
              <w:rPr>
                <w:color w:val="auto"/>
                <w:sz w:val="18"/>
                <w:szCs w:val="18"/>
              </w:rPr>
              <w:t>注</w:t>
            </w:r>
            <w:r>
              <w:rPr>
                <w:rFonts w:hint="eastAsia"/>
                <w:color w:val="auto"/>
                <w:sz w:val="18"/>
                <w:szCs w:val="18"/>
              </w:rPr>
              <w:t>2</w:t>
            </w:r>
            <w:r>
              <w:rPr>
                <w:color w:val="auto"/>
                <w:sz w:val="18"/>
                <w:szCs w:val="18"/>
              </w:rPr>
              <w:t>：对强风化岩，当含泥量（风化残积土）较少时，取表中上限值</w:t>
            </w:r>
            <w:r>
              <w:rPr>
                <w:rFonts w:hint="eastAsia"/>
                <w:color w:val="auto"/>
                <w:sz w:val="18"/>
                <w:szCs w:val="18"/>
              </w:rPr>
              <w:t>，</w:t>
            </w:r>
            <w:r>
              <w:rPr>
                <w:color w:val="auto"/>
                <w:sz w:val="18"/>
                <w:szCs w:val="18"/>
              </w:rPr>
              <w:t>反之取下限值；</w:t>
            </w:r>
          </w:p>
          <w:p w14:paraId="757BAD51">
            <w:pPr>
              <w:adjustRightInd w:val="0"/>
              <w:snapToGrid w:val="0"/>
              <w:ind w:right="-36" w:rightChars="-17"/>
              <w:rPr>
                <w:color w:val="auto"/>
                <w:sz w:val="18"/>
                <w:szCs w:val="18"/>
              </w:rPr>
            </w:pPr>
            <w:r>
              <w:rPr>
                <w:color w:val="auto"/>
                <w:sz w:val="18"/>
                <w:szCs w:val="18"/>
              </w:rPr>
              <w:t>注</w:t>
            </w:r>
            <w:r>
              <w:rPr>
                <w:rFonts w:hint="eastAsia"/>
                <w:color w:val="auto"/>
                <w:sz w:val="18"/>
                <w:szCs w:val="18"/>
              </w:rPr>
              <w:t>3</w:t>
            </w:r>
            <w:r>
              <w:rPr>
                <w:color w:val="auto"/>
                <w:sz w:val="18"/>
                <w:szCs w:val="18"/>
              </w:rPr>
              <w:t>：对完整、较完整的中风化、微风化岩石，取</w:t>
            </w:r>
            <w:r>
              <w:rPr>
                <w:rFonts w:hint="eastAsia"/>
                <w:color w:val="auto"/>
                <w:sz w:val="18"/>
                <w:szCs w:val="18"/>
              </w:rPr>
              <w:t>表中上限值或较</w:t>
            </w:r>
            <w:r>
              <w:rPr>
                <w:color w:val="auto"/>
                <w:sz w:val="18"/>
                <w:szCs w:val="18"/>
              </w:rPr>
              <w:t>高值，对较破碎的中风化、微风化岩石，取</w:t>
            </w:r>
            <w:r>
              <w:rPr>
                <w:rFonts w:hint="eastAsia"/>
                <w:color w:val="auto"/>
                <w:sz w:val="18"/>
                <w:szCs w:val="18"/>
              </w:rPr>
              <w:t>表中</w:t>
            </w:r>
            <w:r>
              <w:rPr>
                <w:color w:val="auto"/>
                <w:sz w:val="18"/>
                <w:szCs w:val="18"/>
              </w:rPr>
              <w:t>下限值。</w:t>
            </w:r>
          </w:p>
          <w:p w14:paraId="28E72DBD">
            <w:pPr>
              <w:adjustRightInd w:val="0"/>
              <w:snapToGrid w:val="0"/>
              <w:ind w:left="491" w:right="-36" w:rightChars="-17" w:hanging="491" w:hangingChars="273"/>
              <w:rPr>
                <w:color w:val="auto"/>
                <w:sz w:val="18"/>
                <w:szCs w:val="18"/>
              </w:rPr>
            </w:pPr>
            <w:r>
              <w:rPr>
                <w:color w:val="auto"/>
                <w:sz w:val="18"/>
                <w:szCs w:val="18"/>
              </w:rPr>
              <w:t>注</w:t>
            </w:r>
            <w:r>
              <w:rPr>
                <w:rFonts w:hint="eastAsia"/>
                <w:color w:val="auto"/>
                <w:sz w:val="18"/>
                <w:szCs w:val="18"/>
              </w:rPr>
              <w:t>4</w:t>
            </w:r>
            <w:r>
              <w:rPr>
                <w:color w:val="auto"/>
                <w:sz w:val="18"/>
                <w:szCs w:val="18"/>
              </w:rPr>
              <w:t>：对破碎的中、微风化岩石，可采用现场试验确定地基承载力，当无法进行试验时，可在表中下限值的基础上，折减降低使用。</w:t>
            </w:r>
          </w:p>
          <w:p w14:paraId="37FC433A">
            <w:pPr>
              <w:adjustRightInd w:val="0"/>
              <w:snapToGrid w:val="0"/>
              <w:ind w:right="-36" w:rightChars="-17"/>
              <w:rPr>
                <w:color w:val="auto"/>
                <w:sz w:val="18"/>
                <w:szCs w:val="18"/>
              </w:rPr>
            </w:pPr>
            <w:r>
              <w:rPr>
                <w:color w:val="auto"/>
                <w:sz w:val="18"/>
                <w:szCs w:val="18"/>
              </w:rPr>
              <w:t>注5：表中强风化数值为</w:t>
            </w:r>
            <w:r>
              <w:rPr>
                <w:i/>
                <w:color w:val="auto"/>
                <w:sz w:val="18"/>
                <w:szCs w:val="18"/>
              </w:rPr>
              <w:t>f</w:t>
            </w:r>
            <w:r>
              <w:rPr>
                <w:color w:val="auto"/>
                <w:sz w:val="18"/>
                <w:szCs w:val="18"/>
                <w:vertAlign w:val="subscript"/>
              </w:rPr>
              <w:t>ak</w:t>
            </w:r>
            <w:r>
              <w:rPr>
                <w:color w:val="auto"/>
                <w:sz w:val="18"/>
                <w:szCs w:val="18"/>
              </w:rPr>
              <w:t>。</w:t>
            </w:r>
          </w:p>
        </w:tc>
      </w:tr>
    </w:tbl>
    <w:p w14:paraId="5C1292FA">
      <w:pPr>
        <w:adjustRightInd w:val="0"/>
        <w:snapToGrid w:val="0"/>
        <w:spacing w:line="360" w:lineRule="atLeast"/>
        <w:ind w:right="420"/>
        <w:jc w:val="center"/>
        <w:rPr>
          <w:rFonts w:eastAsia="黑体"/>
          <w:b/>
          <w:color w:val="auto"/>
          <w:szCs w:val="21"/>
        </w:rPr>
      </w:pPr>
    </w:p>
    <w:p w14:paraId="252F00B2">
      <w:pPr>
        <w:tabs>
          <w:tab w:val="left" w:pos="9185"/>
        </w:tabs>
        <w:adjustRightInd w:val="0"/>
        <w:snapToGrid w:val="0"/>
        <w:spacing w:before="124" w:beforeLines="4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表E.2  碎石土承载力特征值</w:t>
      </w:r>
      <w:r>
        <w:rPr>
          <w:rFonts w:eastAsia="黑体"/>
          <w:b/>
          <w:i/>
          <w:color w:val="auto"/>
          <w:szCs w:val="21"/>
        </w:rPr>
        <w:t>ƒ</w:t>
      </w:r>
      <w:r>
        <w:rPr>
          <w:rFonts w:eastAsia="黑体"/>
          <w:b/>
          <w:iCs/>
          <w:color w:val="auto"/>
          <w:szCs w:val="21"/>
          <w:vertAlign w:val="subscript"/>
        </w:rPr>
        <w:t>ak</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b/>
          <w:i/>
          <w:color w:val="auto"/>
          <w:sz w:val="20"/>
          <w:szCs w:val="18"/>
          <w:vertAlign w:val="subscript"/>
        </w:rPr>
        <w:t xml:space="preserve"> </w:t>
      </w:r>
      <w:r>
        <w:rPr>
          <w:rFonts w:eastAsia="黑体"/>
          <w:color w:val="auto"/>
          <w:sz w:val="18"/>
          <w:szCs w:val="18"/>
        </w:rPr>
        <w:t>单位为kPa</w:t>
      </w:r>
    </w:p>
    <w:tbl>
      <w:tblPr>
        <w:tblStyle w:val="36"/>
        <w:tblW w:w="91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516"/>
        <w:gridCol w:w="2158"/>
        <w:gridCol w:w="2232"/>
        <w:gridCol w:w="2226"/>
      </w:tblGrid>
      <w:tr w14:paraId="432D2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2516" w:type="dxa"/>
            <w:vMerge w:val="restart"/>
            <w:tcBorders>
              <w:top w:val="single" w:color="auto" w:sz="12" w:space="0"/>
              <w:bottom w:val="single" w:color="auto" w:sz="6" w:space="0"/>
              <w:tl2br w:val="nil"/>
            </w:tcBorders>
            <w:vAlign w:val="center"/>
          </w:tcPr>
          <w:p w14:paraId="7D90B5E2">
            <w:pPr>
              <w:adjustRightInd w:val="0"/>
              <w:snapToGrid w:val="0"/>
              <w:spacing w:line="300" w:lineRule="atLeast"/>
              <w:jc w:val="center"/>
              <w:rPr>
                <w:color w:val="auto"/>
                <w:sz w:val="18"/>
                <w:szCs w:val="18"/>
              </w:rPr>
            </w:pPr>
            <w:r>
              <w:rPr>
                <w:color w:val="auto"/>
                <w:sz w:val="18"/>
                <w:szCs w:val="18"/>
              </w:rPr>
              <w:t>土的名称</w:t>
            </w:r>
          </w:p>
        </w:tc>
        <w:tc>
          <w:tcPr>
            <w:tcW w:w="6616" w:type="dxa"/>
            <w:gridSpan w:val="3"/>
            <w:vAlign w:val="center"/>
          </w:tcPr>
          <w:p w14:paraId="3143E52B">
            <w:pPr>
              <w:adjustRightInd w:val="0"/>
              <w:snapToGrid w:val="0"/>
              <w:spacing w:line="300" w:lineRule="atLeast"/>
              <w:jc w:val="center"/>
              <w:rPr>
                <w:color w:val="auto"/>
                <w:sz w:val="18"/>
                <w:szCs w:val="18"/>
              </w:rPr>
            </w:pPr>
            <w:r>
              <w:rPr>
                <w:color w:val="auto"/>
                <w:sz w:val="18"/>
                <w:szCs w:val="18"/>
              </w:rPr>
              <w:t>密实度</w:t>
            </w:r>
          </w:p>
        </w:tc>
      </w:tr>
      <w:tr w14:paraId="55549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2516" w:type="dxa"/>
            <w:vMerge w:val="continue"/>
            <w:tcBorders>
              <w:top w:val="single" w:color="auto" w:sz="6" w:space="0"/>
              <w:bottom w:val="single" w:color="auto" w:sz="6" w:space="0"/>
              <w:tl2br w:val="nil"/>
            </w:tcBorders>
            <w:vAlign w:val="center"/>
          </w:tcPr>
          <w:p w14:paraId="339ADF72">
            <w:pPr>
              <w:adjustRightInd w:val="0"/>
              <w:snapToGrid w:val="0"/>
              <w:spacing w:line="300" w:lineRule="atLeast"/>
              <w:ind w:firstLine="840"/>
              <w:jc w:val="right"/>
              <w:rPr>
                <w:color w:val="auto"/>
                <w:sz w:val="18"/>
                <w:szCs w:val="18"/>
              </w:rPr>
            </w:pPr>
          </w:p>
        </w:tc>
        <w:tc>
          <w:tcPr>
            <w:tcW w:w="2158" w:type="dxa"/>
            <w:vAlign w:val="center"/>
          </w:tcPr>
          <w:p w14:paraId="6B4DD360">
            <w:pPr>
              <w:pStyle w:val="24"/>
              <w:pBdr>
                <w:bottom w:val="none" w:color="auto" w:sz="0" w:space="0"/>
              </w:pBdr>
              <w:tabs>
                <w:tab w:val="clear" w:pos="4153"/>
                <w:tab w:val="clear" w:pos="8306"/>
              </w:tabs>
              <w:adjustRightInd w:val="0"/>
              <w:spacing w:line="300" w:lineRule="atLeast"/>
              <w:rPr>
                <w:color w:val="auto"/>
              </w:rPr>
            </w:pPr>
            <w:r>
              <w:rPr>
                <w:color w:val="auto"/>
              </w:rPr>
              <w:t>稍 密</w:t>
            </w:r>
          </w:p>
          <w:p w14:paraId="4BED9B01">
            <w:pPr>
              <w:adjustRightInd w:val="0"/>
              <w:snapToGrid w:val="0"/>
              <w:spacing w:line="300" w:lineRule="atLeast"/>
              <w:jc w:val="center"/>
              <w:rPr>
                <w:color w:val="auto"/>
                <w:sz w:val="18"/>
                <w:szCs w:val="18"/>
              </w:rPr>
            </w:pPr>
            <w:r>
              <w:rPr>
                <w:rFonts w:hint="eastAsia"/>
                <w:color w:val="auto"/>
                <w:sz w:val="18"/>
                <w:szCs w:val="18"/>
              </w:rPr>
              <w:t>5≤</w:t>
            </w:r>
            <w:r>
              <w:rPr>
                <w:i/>
                <w:iCs/>
                <w:color w:val="auto"/>
                <w:sz w:val="18"/>
                <w:szCs w:val="18"/>
              </w:rPr>
              <w:t>N</w:t>
            </w:r>
            <w:r>
              <w:rPr>
                <w:color w:val="auto"/>
                <w:sz w:val="18"/>
                <w:szCs w:val="18"/>
                <w:vertAlign w:val="subscript"/>
              </w:rPr>
              <w:t>63.5</w:t>
            </w:r>
            <w:r>
              <w:rPr>
                <w:color w:val="auto"/>
                <w:sz w:val="18"/>
                <w:szCs w:val="18"/>
              </w:rPr>
              <w:t>≤10</w:t>
            </w:r>
          </w:p>
          <w:p w14:paraId="5748A52F">
            <w:pPr>
              <w:pStyle w:val="24"/>
              <w:pBdr>
                <w:bottom w:val="none" w:color="auto" w:sz="0" w:space="0"/>
              </w:pBdr>
              <w:tabs>
                <w:tab w:val="clear" w:pos="4153"/>
                <w:tab w:val="clear" w:pos="8306"/>
              </w:tabs>
              <w:adjustRightInd w:val="0"/>
              <w:spacing w:line="300" w:lineRule="atLeast"/>
              <w:rPr>
                <w:color w:val="auto"/>
              </w:rPr>
            </w:pPr>
            <w:r>
              <w:rPr>
                <w:color w:val="auto"/>
              </w:rPr>
              <w:t>3＜</w:t>
            </w:r>
            <w:r>
              <w:rPr>
                <w:i/>
                <w:iCs/>
                <w:color w:val="auto"/>
              </w:rPr>
              <w:t>N</w:t>
            </w:r>
            <w:r>
              <w:rPr>
                <w:i/>
                <w:iCs/>
                <w:color w:val="auto"/>
                <w:vertAlign w:val="subscript"/>
              </w:rPr>
              <w:t>120</w:t>
            </w:r>
            <w:r>
              <w:rPr>
                <w:color w:val="auto"/>
              </w:rPr>
              <w:t>≤6</w:t>
            </w:r>
          </w:p>
        </w:tc>
        <w:tc>
          <w:tcPr>
            <w:tcW w:w="2232" w:type="dxa"/>
            <w:vAlign w:val="center"/>
          </w:tcPr>
          <w:p w14:paraId="57A2EFB1">
            <w:pPr>
              <w:adjustRightInd w:val="0"/>
              <w:snapToGrid w:val="0"/>
              <w:spacing w:line="300" w:lineRule="atLeast"/>
              <w:jc w:val="center"/>
              <w:rPr>
                <w:color w:val="auto"/>
                <w:sz w:val="18"/>
                <w:szCs w:val="18"/>
              </w:rPr>
            </w:pPr>
            <w:r>
              <w:rPr>
                <w:color w:val="auto"/>
                <w:sz w:val="18"/>
                <w:szCs w:val="18"/>
              </w:rPr>
              <w:t>中 密</w:t>
            </w:r>
          </w:p>
          <w:p w14:paraId="27E72E7C">
            <w:pPr>
              <w:adjustRightInd w:val="0"/>
              <w:snapToGrid w:val="0"/>
              <w:spacing w:line="300" w:lineRule="atLeast"/>
              <w:jc w:val="center"/>
              <w:rPr>
                <w:color w:val="auto"/>
                <w:sz w:val="18"/>
                <w:szCs w:val="18"/>
              </w:rPr>
            </w:pPr>
            <w:r>
              <w:rPr>
                <w:rFonts w:hint="eastAsia"/>
                <w:color w:val="auto"/>
                <w:sz w:val="18"/>
                <w:szCs w:val="18"/>
              </w:rPr>
              <w:t>10</w:t>
            </w:r>
            <w:r>
              <w:rPr>
                <w:rFonts w:hAnsi="宋体"/>
                <w:color w:val="auto"/>
                <w:sz w:val="18"/>
                <w:szCs w:val="18"/>
              </w:rPr>
              <w:t>＜</w:t>
            </w:r>
            <w:r>
              <w:rPr>
                <w:i/>
                <w:iCs/>
                <w:color w:val="auto"/>
                <w:sz w:val="18"/>
                <w:szCs w:val="18"/>
              </w:rPr>
              <w:t>N</w:t>
            </w:r>
            <w:r>
              <w:rPr>
                <w:color w:val="auto"/>
                <w:sz w:val="18"/>
                <w:szCs w:val="18"/>
                <w:vertAlign w:val="subscript"/>
              </w:rPr>
              <w:t>63.5</w:t>
            </w:r>
            <w:r>
              <w:rPr>
                <w:color w:val="auto"/>
                <w:sz w:val="18"/>
                <w:szCs w:val="18"/>
              </w:rPr>
              <w:t>≤</w:t>
            </w:r>
            <w:r>
              <w:rPr>
                <w:rFonts w:hint="eastAsia"/>
                <w:color w:val="auto"/>
                <w:sz w:val="18"/>
                <w:szCs w:val="18"/>
              </w:rPr>
              <w:t>2</w:t>
            </w:r>
            <w:r>
              <w:rPr>
                <w:color w:val="auto"/>
                <w:sz w:val="18"/>
                <w:szCs w:val="18"/>
              </w:rPr>
              <w:t>0</w:t>
            </w:r>
          </w:p>
          <w:p w14:paraId="65D05F8D">
            <w:pPr>
              <w:adjustRightInd w:val="0"/>
              <w:snapToGrid w:val="0"/>
              <w:spacing w:line="300" w:lineRule="atLeast"/>
              <w:jc w:val="center"/>
              <w:rPr>
                <w:color w:val="auto"/>
                <w:sz w:val="18"/>
                <w:szCs w:val="18"/>
              </w:rPr>
            </w:pPr>
            <w:r>
              <w:rPr>
                <w:rFonts w:hint="eastAsia"/>
                <w:color w:val="auto"/>
                <w:sz w:val="18"/>
                <w:szCs w:val="18"/>
              </w:rPr>
              <w:t>6</w:t>
            </w:r>
            <w:r>
              <w:rPr>
                <w:rFonts w:hAnsi="宋体"/>
                <w:color w:val="auto"/>
                <w:sz w:val="18"/>
                <w:szCs w:val="18"/>
              </w:rPr>
              <w:t>＜</w:t>
            </w:r>
            <w:r>
              <w:rPr>
                <w:i/>
                <w:iCs/>
                <w:color w:val="auto"/>
                <w:sz w:val="18"/>
                <w:szCs w:val="18"/>
              </w:rPr>
              <w:t>N</w:t>
            </w:r>
            <w:r>
              <w:rPr>
                <w:rFonts w:hint="eastAsia"/>
                <w:i/>
                <w:iCs/>
                <w:color w:val="auto"/>
                <w:sz w:val="18"/>
                <w:szCs w:val="18"/>
                <w:vertAlign w:val="subscript"/>
              </w:rPr>
              <w:t>120</w:t>
            </w:r>
            <w:r>
              <w:rPr>
                <w:color w:val="auto"/>
                <w:sz w:val="18"/>
                <w:szCs w:val="18"/>
              </w:rPr>
              <w:t>≤</w:t>
            </w:r>
            <w:r>
              <w:rPr>
                <w:rFonts w:hint="eastAsia"/>
                <w:color w:val="auto"/>
                <w:sz w:val="18"/>
                <w:szCs w:val="18"/>
              </w:rPr>
              <w:t>11</w:t>
            </w:r>
          </w:p>
        </w:tc>
        <w:tc>
          <w:tcPr>
            <w:tcW w:w="2226" w:type="dxa"/>
            <w:vAlign w:val="center"/>
          </w:tcPr>
          <w:p w14:paraId="13B5D61C">
            <w:pPr>
              <w:adjustRightInd w:val="0"/>
              <w:snapToGrid w:val="0"/>
              <w:spacing w:line="300" w:lineRule="atLeast"/>
              <w:jc w:val="center"/>
              <w:rPr>
                <w:color w:val="auto"/>
                <w:sz w:val="18"/>
                <w:szCs w:val="18"/>
              </w:rPr>
            </w:pPr>
            <w:r>
              <w:rPr>
                <w:color w:val="auto"/>
                <w:sz w:val="18"/>
                <w:szCs w:val="18"/>
              </w:rPr>
              <w:t>密 实</w:t>
            </w:r>
          </w:p>
          <w:p w14:paraId="4E38F348">
            <w:pPr>
              <w:adjustRightInd w:val="0"/>
              <w:snapToGrid w:val="0"/>
              <w:spacing w:line="300" w:lineRule="atLeast"/>
              <w:jc w:val="center"/>
              <w:rPr>
                <w:color w:val="auto"/>
                <w:sz w:val="18"/>
                <w:szCs w:val="18"/>
              </w:rPr>
            </w:pPr>
            <w:r>
              <w:rPr>
                <w:i/>
                <w:iCs/>
                <w:color w:val="auto"/>
                <w:sz w:val="18"/>
                <w:szCs w:val="18"/>
              </w:rPr>
              <w:t>N</w:t>
            </w:r>
            <w:r>
              <w:rPr>
                <w:color w:val="auto"/>
                <w:sz w:val="18"/>
                <w:szCs w:val="18"/>
                <w:vertAlign w:val="subscript"/>
              </w:rPr>
              <w:t>63.5</w:t>
            </w:r>
            <w:r>
              <w:rPr>
                <w:rFonts w:hint="eastAsia"/>
                <w:color w:val="auto"/>
                <w:sz w:val="18"/>
                <w:szCs w:val="18"/>
              </w:rPr>
              <w:t>＞20</w:t>
            </w:r>
          </w:p>
          <w:p w14:paraId="29A65FA8">
            <w:pPr>
              <w:adjustRightInd w:val="0"/>
              <w:snapToGrid w:val="0"/>
              <w:spacing w:line="300" w:lineRule="atLeast"/>
              <w:jc w:val="center"/>
              <w:rPr>
                <w:color w:val="auto"/>
                <w:sz w:val="18"/>
                <w:szCs w:val="18"/>
              </w:rPr>
            </w:pPr>
            <w:r>
              <w:rPr>
                <w:i/>
                <w:iCs/>
                <w:color w:val="auto"/>
                <w:sz w:val="18"/>
                <w:szCs w:val="18"/>
              </w:rPr>
              <w:t>N</w:t>
            </w:r>
            <w:r>
              <w:rPr>
                <w:rFonts w:hint="eastAsia"/>
                <w:i/>
                <w:iCs/>
                <w:color w:val="auto"/>
                <w:sz w:val="18"/>
                <w:szCs w:val="18"/>
                <w:vertAlign w:val="subscript"/>
              </w:rPr>
              <w:t>120</w:t>
            </w:r>
            <w:r>
              <w:rPr>
                <w:rFonts w:hint="eastAsia"/>
                <w:color w:val="auto"/>
                <w:sz w:val="18"/>
                <w:szCs w:val="18"/>
              </w:rPr>
              <w:t>＞11</w:t>
            </w:r>
          </w:p>
        </w:tc>
      </w:tr>
      <w:tr w14:paraId="7F1F0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2516" w:type="dxa"/>
            <w:tcBorders>
              <w:top w:val="single" w:color="auto" w:sz="6" w:space="0"/>
            </w:tcBorders>
            <w:vAlign w:val="center"/>
          </w:tcPr>
          <w:p w14:paraId="3F5D1848">
            <w:pPr>
              <w:adjustRightInd w:val="0"/>
              <w:snapToGrid w:val="0"/>
              <w:spacing w:line="260" w:lineRule="atLeast"/>
              <w:jc w:val="center"/>
              <w:rPr>
                <w:color w:val="auto"/>
                <w:sz w:val="18"/>
                <w:szCs w:val="18"/>
              </w:rPr>
            </w:pPr>
            <w:r>
              <w:rPr>
                <w:color w:val="auto"/>
                <w:sz w:val="18"/>
                <w:szCs w:val="18"/>
              </w:rPr>
              <w:t>卵  石</w:t>
            </w:r>
          </w:p>
        </w:tc>
        <w:tc>
          <w:tcPr>
            <w:tcW w:w="2158" w:type="dxa"/>
            <w:vAlign w:val="center"/>
          </w:tcPr>
          <w:p w14:paraId="5746073D">
            <w:pPr>
              <w:adjustRightInd w:val="0"/>
              <w:snapToGrid w:val="0"/>
              <w:spacing w:line="260" w:lineRule="atLeast"/>
              <w:jc w:val="center"/>
              <w:rPr>
                <w:color w:val="auto"/>
                <w:sz w:val="18"/>
                <w:szCs w:val="18"/>
              </w:rPr>
            </w:pPr>
            <w:r>
              <w:rPr>
                <w:color w:val="auto"/>
                <w:sz w:val="18"/>
                <w:szCs w:val="18"/>
              </w:rPr>
              <w:t>300～500</w:t>
            </w:r>
          </w:p>
        </w:tc>
        <w:tc>
          <w:tcPr>
            <w:tcW w:w="2232" w:type="dxa"/>
            <w:vAlign w:val="center"/>
          </w:tcPr>
          <w:p w14:paraId="63220AFD">
            <w:pPr>
              <w:adjustRightInd w:val="0"/>
              <w:snapToGrid w:val="0"/>
              <w:spacing w:line="260" w:lineRule="atLeast"/>
              <w:jc w:val="center"/>
              <w:rPr>
                <w:color w:val="auto"/>
                <w:sz w:val="18"/>
                <w:szCs w:val="18"/>
              </w:rPr>
            </w:pPr>
            <w:r>
              <w:rPr>
                <w:color w:val="auto"/>
                <w:sz w:val="18"/>
                <w:szCs w:val="18"/>
              </w:rPr>
              <w:t>500～800</w:t>
            </w:r>
          </w:p>
        </w:tc>
        <w:tc>
          <w:tcPr>
            <w:tcW w:w="2226" w:type="dxa"/>
            <w:vAlign w:val="center"/>
          </w:tcPr>
          <w:p w14:paraId="171E4D06">
            <w:pPr>
              <w:adjustRightInd w:val="0"/>
              <w:snapToGrid w:val="0"/>
              <w:spacing w:line="260" w:lineRule="atLeast"/>
              <w:jc w:val="center"/>
              <w:rPr>
                <w:color w:val="auto"/>
                <w:sz w:val="18"/>
                <w:szCs w:val="18"/>
              </w:rPr>
            </w:pPr>
            <w:r>
              <w:rPr>
                <w:color w:val="auto"/>
                <w:sz w:val="18"/>
                <w:szCs w:val="18"/>
              </w:rPr>
              <w:t>800～1000</w:t>
            </w:r>
          </w:p>
        </w:tc>
      </w:tr>
      <w:tr w14:paraId="76442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2516" w:type="dxa"/>
            <w:vAlign w:val="center"/>
          </w:tcPr>
          <w:p w14:paraId="328A2719">
            <w:pPr>
              <w:adjustRightInd w:val="0"/>
              <w:snapToGrid w:val="0"/>
              <w:spacing w:line="260" w:lineRule="atLeast"/>
              <w:jc w:val="center"/>
              <w:rPr>
                <w:color w:val="auto"/>
                <w:sz w:val="18"/>
                <w:szCs w:val="18"/>
              </w:rPr>
            </w:pPr>
            <w:r>
              <w:rPr>
                <w:color w:val="auto"/>
                <w:sz w:val="18"/>
                <w:szCs w:val="18"/>
              </w:rPr>
              <w:t>碎  石</w:t>
            </w:r>
          </w:p>
        </w:tc>
        <w:tc>
          <w:tcPr>
            <w:tcW w:w="2158" w:type="dxa"/>
            <w:vAlign w:val="center"/>
          </w:tcPr>
          <w:p w14:paraId="5B519C9F">
            <w:pPr>
              <w:adjustRightInd w:val="0"/>
              <w:snapToGrid w:val="0"/>
              <w:spacing w:line="260" w:lineRule="atLeast"/>
              <w:jc w:val="center"/>
              <w:rPr>
                <w:color w:val="auto"/>
                <w:sz w:val="18"/>
                <w:szCs w:val="18"/>
              </w:rPr>
            </w:pPr>
            <w:r>
              <w:rPr>
                <w:color w:val="auto"/>
                <w:sz w:val="18"/>
                <w:szCs w:val="18"/>
              </w:rPr>
              <w:t>250～400</w:t>
            </w:r>
          </w:p>
        </w:tc>
        <w:tc>
          <w:tcPr>
            <w:tcW w:w="2232" w:type="dxa"/>
            <w:vAlign w:val="center"/>
          </w:tcPr>
          <w:p w14:paraId="483C2575">
            <w:pPr>
              <w:adjustRightInd w:val="0"/>
              <w:snapToGrid w:val="0"/>
              <w:spacing w:line="260" w:lineRule="atLeast"/>
              <w:jc w:val="center"/>
              <w:rPr>
                <w:color w:val="auto"/>
                <w:sz w:val="18"/>
                <w:szCs w:val="18"/>
              </w:rPr>
            </w:pPr>
            <w:r>
              <w:rPr>
                <w:color w:val="auto"/>
                <w:sz w:val="18"/>
                <w:szCs w:val="18"/>
              </w:rPr>
              <w:t>400～700</w:t>
            </w:r>
          </w:p>
        </w:tc>
        <w:tc>
          <w:tcPr>
            <w:tcW w:w="2226" w:type="dxa"/>
            <w:vAlign w:val="center"/>
          </w:tcPr>
          <w:p w14:paraId="432817A0">
            <w:pPr>
              <w:adjustRightInd w:val="0"/>
              <w:snapToGrid w:val="0"/>
              <w:spacing w:line="260" w:lineRule="atLeast"/>
              <w:jc w:val="center"/>
              <w:rPr>
                <w:color w:val="auto"/>
                <w:sz w:val="18"/>
                <w:szCs w:val="18"/>
              </w:rPr>
            </w:pPr>
            <w:r>
              <w:rPr>
                <w:color w:val="auto"/>
                <w:sz w:val="18"/>
                <w:szCs w:val="18"/>
              </w:rPr>
              <w:t>700～900</w:t>
            </w:r>
          </w:p>
        </w:tc>
      </w:tr>
      <w:tr w14:paraId="7D15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2516" w:type="dxa"/>
            <w:vAlign w:val="center"/>
          </w:tcPr>
          <w:p w14:paraId="369CF726">
            <w:pPr>
              <w:adjustRightInd w:val="0"/>
              <w:snapToGrid w:val="0"/>
              <w:spacing w:line="260" w:lineRule="atLeast"/>
              <w:jc w:val="center"/>
              <w:rPr>
                <w:color w:val="auto"/>
                <w:sz w:val="18"/>
                <w:szCs w:val="18"/>
              </w:rPr>
            </w:pPr>
            <w:r>
              <w:rPr>
                <w:color w:val="auto"/>
                <w:sz w:val="18"/>
                <w:szCs w:val="18"/>
              </w:rPr>
              <w:t>圆  砾</w:t>
            </w:r>
          </w:p>
        </w:tc>
        <w:tc>
          <w:tcPr>
            <w:tcW w:w="2158" w:type="dxa"/>
            <w:vAlign w:val="center"/>
          </w:tcPr>
          <w:p w14:paraId="508A608A">
            <w:pPr>
              <w:adjustRightInd w:val="0"/>
              <w:snapToGrid w:val="0"/>
              <w:spacing w:line="260" w:lineRule="atLeast"/>
              <w:jc w:val="center"/>
              <w:rPr>
                <w:color w:val="auto"/>
                <w:sz w:val="18"/>
                <w:szCs w:val="18"/>
              </w:rPr>
            </w:pPr>
            <w:r>
              <w:rPr>
                <w:color w:val="auto"/>
                <w:sz w:val="18"/>
                <w:szCs w:val="18"/>
              </w:rPr>
              <w:t>200～300</w:t>
            </w:r>
          </w:p>
        </w:tc>
        <w:tc>
          <w:tcPr>
            <w:tcW w:w="2232" w:type="dxa"/>
            <w:vAlign w:val="center"/>
          </w:tcPr>
          <w:p w14:paraId="7290DD7B">
            <w:pPr>
              <w:adjustRightInd w:val="0"/>
              <w:snapToGrid w:val="0"/>
              <w:spacing w:line="260" w:lineRule="atLeast"/>
              <w:jc w:val="center"/>
              <w:rPr>
                <w:color w:val="auto"/>
                <w:sz w:val="18"/>
                <w:szCs w:val="18"/>
              </w:rPr>
            </w:pPr>
            <w:r>
              <w:rPr>
                <w:color w:val="auto"/>
                <w:sz w:val="18"/>
                <w:szCs w:val="18"/>
              </w:rPr>
              <w:t>300～500</w:t>
            </w:r>
          </w:p>
        </w:tc>
        <w:tc>
          <w:tcPr>
            <w:tcW w:w="2226" w:type="dxa"/>
            <w:vAlign w:val="center"/>
          </w:tcPr>
          <w:p w14:paraId="1F7C84FF">
            <w:pPr>
              <w:adjustRightInd w:val="0"/>
              <w:snapToGrid w:val="0"/>
              <w:spacing w:line="260" w:lineRule="atLeast"/>
              <w:jc w:val="center"/>
              <w:rPr>
                <w:color w:val="auto"/>
                <w:sz w:val="18"/>
                <w:szCs w:val="18"/>
              </w:rPr>
            </w:pPr>
            <w:r>
              <w:rPr>
                <w:color w:val="auto"/>
                <w:sz w:val="18"/>
                <w:szCs w:val="18"/>
              </w:rPr>
              <w:t>500～700</w:t>
            </w:r>
          </w:p>
        </w:tc>
      </w:tr>
      <w:tr w14:paraId="21F11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2516" w:type="dxa"/>
            <w:vAlign w:val="center"/>
          </w:tcPr>
          <w:p w14:paraId="7636A6D1">
            <w:pPr>
              <w:adjustRightInd w:val="0"/>
              <w:snapToGrid w:val="0"/>
              <w:spacing w:line="260" w:lineRule="atLeast"/>
              <w:jc w:val="center"/>
              <w:rPr>
                <w:color w:val="auto"/>
                <w:sz w:val="18"/>
                <w:szCs w:val="18"/>
              </w:rPr>
            </w:pPr>
            <w:r>
              <w:rPr>
                <w:color w:val="auto"/>
                <w:sz w:val="18"/>
                <w:szCs w:val="18"/>
              </w:rPr>
              <w:t>角  砾</w:t>
            </w:r>
          </w:p>
        </w:tc>
        <w:tc>
          <w:tcPr>
            <w:tcW w:w="2158" w:type="dxa"/>
            <w:vAlign w:val="center"/>
          </w:tcPr>
          <w:p w14:paraId="3DD678F6">
            <w:pPr>
              <w:adjustRightInd w:val="0"/>
              <w:snapToGrid w:val="0"/>
              <w:spacing w:line="260" w:lineRule="atLeast"/>
              <w:jc w:val="center"/>
              <w:rPr>
                <w:color w:val="auto"/>
                <w:sz w:val="18"/>
                <w:szCs w:val="18"/>
              </w:rPr>
            </w:pPr>
            <w:r>
              <w:rPr>
                <w:color w:val="auto"/>
                <w:sz w:val="18"/>
                <w:szCs w:val="18"/>
              </w:rPr>
              <w:t>200～250</w:t>
            </w:r>
          </w:p>
        </w:tc>
        <w:tc>
          <w:tcPr>
            <w:tcW w:w="2232" w:type="dxa"/>
            <w:vAlign w:val="center"/>
          </w:tcPr>
          <w:p w14:paraId="0B73515C">
            <w:pPr>
              <w:adjustRightInd w:val="0"/>
              <w:snapToGrid w:val="0"/>
              <w:spacing w:line="260" w:lineRule="atLeast"/>
              <w:jc w:val="center"/>
              <w:rPr>
                <w:color w:val="auto"/>
                <w:sz w:val="18"/>
                <w:szCs w:val="18"/>
              </w:rPr>
            </w:pPr>
            <w:r>
              <w:rPr>
                <w:color w:val="auto"/>
                <w:sz w:val="18"/>
                <w:szCs w:val="18"/>
              </w:rPr>
              <w:t>250～400</w:t>
            </w:r>
          </w:p>
        </w:tc>
        <w:tc>
          <w:tcPr>
            <w:tcW w:w="2226" w:type="dxa"/>
            <w:vAlign w:val="center"/>
          </w:tcPr>
          <w:p w14:paraId="1B82C4F0">
            <w:pPr>
              <w:adjustRightInd w:val="0"/>
              <w:snapToGrid w:val="0"/>
              <w:spacing w:line="260" w:lineRule="atLeast"/>
              <w:jc w:val="center"/>
              <w:rPr>
                <w:color w:val="auto"/>
                <w:sz w:val="18"/>
                <w:szCs w:val="18"/>
              </w:rPr>
            </w:pPr>
            <w:r>
              <w:rPr>
                <w:color w:val="auto"/>
                <w:sz w:val="18"/>
                <w:szCs w:val="18"/>
              </w:rPr>
              <w:t>400～600</w:t>
            </w:r>
          </w:p>
        </w:tc>
      </w:tr>
      <w:tr w14:paraId="0E3AE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1" w:hRule="atLeast"/>
          <w:jc w:val="center"/>
        </w:trPr>
        <w:tc>
          <w:tcPr>
            <w:tcW w:w="9132" w:type="dxa"/>
            <w:gridSpan w:val="4"/>
            <w:vAlign w:val="center"/>
          </w:tcPr>
          <w:p w14:paraId="2CC1C386">
            <w:pPr>
              <w:adjustRightInd w:val="0"/>
              <w:snapToGrid w:val="0"/>
              <w:ind w:left="439" w:hanging="439" w:hangingChars="244"/>
              <w:rPr>
                <w:color w:val="auto"/>
                <w:sz w:val="18"/>
                <w:szCs w:val="18"/>
              </w:rPr>
            </w:pPr>
            <w:r>
              <w:rPr>
                <w:color w:val="auto"/>
                <w:sz w:val="18"/>
                <w:szCs w:val="18"/>
              </w:rPr>
              <w:t>注1：表中数值适用于骨架颗粒空隙全部由中砂、粗砂或硬塑、坚硬状态的黏性土或稍湿的粉土所充填；</w:t>
            </w:r>
          </w:p>
          <w:p w14:paraId="21DE78ED">
            <w:pPr>
              <w:adjustRightInd w:val="0"/>
              <w:snapToGrid w:val="0"/>
              <w:ind w:left="439" w:hanging="439" w:hangingChars="244"/>
              <w:rPr>
                <w:color w:val="auto"/>
                <w:sz w:val="18"/>
                <w:szCs w:val="18"/>
              </w:rPr>
            </w:pPr>
            <w:r>
              <w:rPr>
                <w:color w:val="auto"/>
                <w:sz w:val="18"/>
                <w:szCs w:val="18"/>
              </w:rPr>
              <w:t>注2：当粗颗粒为中风化或强风化时，可按其风化程度适当降低承载力，当颗粒间呈半胶结状时，可适当提高承载力。</w:t>
            </w:r>
          </w:p>
        </w:tc>
      </w:tr>
    </w:tbl>
    <w:p w14:paraId="03B63D47">
      <w:pPr>
        <w:adjustRightInd w:val="0"/>
        <w:snapToGrid w:val="0"/>
        <w:spacing w:before="120" w:line="360" w:lineRule="exact"/>
        <w:ind w:firstLine="422" w:firstLineChars="200"/>
        <w:rPr>
          <w:color w:val="auto"/>
          <w:szCs w:val="21"/>
        </w:rPr>
      </w:pPr>
      <w:r>
        <w:rPr>
          <w:b/>
          <w:bCs/>
          <w:color w:val="auto"/>
          <w:szCs w:val="21"/>
        </w:rPr>
        <w:t>b)</w:t>
      </w:r>
      <w:r>
        <w:rPr>
          <w:color w:val="auto"/>
          <w:szCs w:val="21"/>
        </w:rPr>
        <w:t xml:space="preserve">  根据室内物理、力学指标平均值确定地基承载力特征值时,应符合表E.3～表E.10的规定:</w:t>
      </w:r>
    </w:p>
    <w:p w14:paraId="144BE583">
      <w:pPr>
        <w:adjustRightInd w:val="0"/>
        <w:snapToGrid w:val="0"/>
        <w:spacing w:before="156" w:beforeLines="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表E.3  粉土承载力特征值</w:t>
      </w:r>
      <w:r>
        <w:rPr>
          <w:rFonts w:eastAsia="黑体"/>
          <w:b/>
          <w:i/>
          <w:color w:val="auto"/>
          <w:szCs w:val="21"/>
        </w:rPr>
        <w:t>ƒ</w:t>
      </w:r>
      <w:r>
        <w:rPr>
          <w:rFonts w:eastAsia="黑体"/>
          <w:b/>
          <w:iCs/>
          <w:color w:val="auto"/>
          <w:szCs w:val="21"/>
          <w:vertAlign w:val="subscript"/>
        </w:rPr>
        <w:t>ak</w:t>
      </w:r>
      <w:r>
        <w:rPr>
          <w:rFonts w:eastAsia="黑体"/>
          <w:b/>
          <w:i/>
          <w:color w:val="auto"/>
          <w:szCs w:val="21"/>
          <w:vertAlign w:val="subscript"/>
        </w:rPr>
        <w:t xml:space="preserve">   </w:t>
      </w:r>
      <w:r>
        <w:rPr>
          <w:rFonts w:hint="eastAsia" w:eastAsia="黑体"/>
          <w:b/>
          <w:i/>
          <w:color w:val="auto"/>
          <w:szCs w:val="21"/>
          <w:vertAlign w:val="subscript"/>
        </w:rPr>
        <w:t xml:space="preserve">   </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91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4"/>
        <w:gridCol w:w="1753"/>
        <w:gridCol w:w="1806"/>
        <w:gridCol w:w="1763"/>
        <w:gridCol w:w="1897"/>
      </w:tblGrid>
      <w:tr w14:paraId="4CB1E1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934" w:type="dxa"/>
            <w:vMerge w:val="restart"/>
            <w:tcBorders>
              <w:top w:val="single" w:color="auto" w:sz="12" w:space="0"/>
              <w:bottom w:val="single" w:color="auto" w:sz="6" w:space="0"/>
              <w:tl2br w:val="nil"/>
            </w:tcBorders>
            <w:vAlign w:val="center"/>
          </w:tcPr>
          <w:p w14:paraId="77C750B6">
            <w:pPr>
              <w:adjustRightInd w:val="0"/>
              <w:snapToGrid w:val="0"/>
              <w:spacing w:line="280" w:lineRule="atLeast"/>
              <w:jc w:val="center"/>
              <w:rPr>
                <w:color w:val="auto"/>
                <w:sz w:val="18"/>
                <w:szCs w:val="18"/>
              </w:rPr>
            </w:pPr>
            <w:r>
              <w:rPr>
                <w:color w:val="auto"/>
                <w:sz w:val="18"/>
                <w:szCs w:val="18"/>
              </w:rPr>
              <w:t>孔隙比</w:t>
            </w:r>
            <w:r>
              <w:rPr>
                <w:i/>
                <w:iCs/>
                <w:color w:val="auto"/>
                <w:sz w:val="18"/>
                <w:szCs w:val="18"/>
              </w:rPr>
              <w:t>e</w:t>
            </w:r>
          </w:p>
        </w:tc>
        <w:tc>
          <w:tcPr>
            <w:tcW w:w="7219" w:type="dxa"/>
            <w:gridSpan w:val="4"/>
            <w:vAlign w:val="center"/>
          </w:tcPr>
          <w:p w14:paraId="0FCA4624">
            <w:pPr>
              <w:adjustRightInd w:val="0"/>
              <w:snapToGrid w:val="0"/>
              <w:ind w:left="160" w:leftChars="76" w:right="-42" w:rightChars="-20" w:firstLine="540" w:firstLineChars="300"/>
              <w:jc w:val="center"/>
              <w:rPr>
                <w:color w:val="auto"/>
                <w:sz w:val="18"/>
                <w:szCs w:val="18"/>
              </w:rPr>
            </w:pPr>
            <w:r>
              <w:rPr>
                <w:color w:val="auto"/>
                <w:sz w:val="18"/>
                <w:szCs w:val="18"/>
              </w:rPr>
              <w:t>含水量</w:t>
            </w:r>
            <w:r>
              <w:rPr>
                <w:i/>
                <w:color w:val="auto"/>
                <w:sz w:val="18"/>
                <w:szCs w:val="18"/>
              </w:rPr>
              <w:t>w</w:t>
            </w:r>
            <w:r>
              <w:rPr>
                <w:color w:val="auto"/>
                <w:sz w:val="18"/>
                <w:szCs w:val="18"/>
              </w:rPr>
              <w:t>（%）</w:t>
            </w:r>
          </w:p>
        </w:tc>
      </w:tr>
      <w:tr w14:paraId="13891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934" w:type="dxa"/>
            <w:vMerge w:val="continue"/>
            <w:tcBorders>
              <w:top w:val="single" w:color="auto" w:sz="6" w:space="0"/>
              <w:bottom w:val="single" w:color="auto" w:sz="6" w:space="0"/>
              <w:tl2br w:val="nil"/>
            </w:tcBorders>
            <w:vAlign w:val="center"/>
          </w:tcPr>
          <w:p w14:paraId="027F2624">
            <w:pPr>
              <w:adjustRightInd w:val="0"/>
              <w:snapToGrid w:val="0"/>
              <w:ind w:left="160" w:leftChars="76" w:right="-42" w:rightChars="-20" w:firstLine="540" w:firstLineChars="300"/>
              <w:jc w:val="right"/>
              <w:rPr>
                <w:color w:val="auto"/>
                <w:sz w:val="18"/>
                <w:szCs w:val="18"/>
              </w:rPr>
            </w:pPr>
          </w:p>
        </w:tc>
        <w:tc>
          <w:tcPr>
            <w:tcW w:w="1753" w:type="dxa"/>
            <w:vAlign w:val="center"/>
          </w:tcPr>
          <w:p w14:paraId="5CEA3A20">
            <w:pPr>
              <w:adjustRightInd w:val="0"/>
              <w:snapToGrid w:val="0"/>
              <w:spacing w:line="280" w:lineRule="atLeast"/>
              <w:ind w:left="76"/>
              <w:jc w:val="center"/>
              <w:rPr>
                <w:color w:val="auto"/>
                <w:sz w:val="18"/>
                <w:szCs w:val="18"/>
              </w:rPr>
            </w:pPr>
            <w:r>
              <w:rPr>
                <w:color w:val="auto"/>
                <w:sz w:val="18"/>
                <w:szCs w:val="18"/>
              </w:rPr>
              <w:t>20</w:t>
            </w:r>
          </w:p>
        </w:tc>
        <w:tc>
          <w:tcPr>
            <w:tcW w:w="1806" w:type="dxa"/>
            <w:vAlign w:val="center"/>
          </w:tcPr>
          <w:p w14:paraId="5F86C651">
            <w:pPr>
              <w:adjustRightInd w:val="0"/>
              <w:snapToGrid w:val="0"/>
              <w:spacing w:line="280" w:lineRule="atLeast"/>
              <w:ind w:left="76"/>
              <w:jc w:val="center"/>
              <w:rPr>
                <w:color w:val="auto"/>
                <w:sz w:val="18"/>
                <w:szCs w:val="18"/>
              </w:rPr>
            </w:pPr>
            <w:r>
              <w:rPr>
                <w:color w:val="auto"/>
                <w:sz w:val="18"/>
                <w:szCs w:val="18"/>
              </w:rPr>
              <w:t>25</w:t>
            </w:r>
          </w:p>
        </w:tc>
        <w:tc>
          <w:tcPr>
            <w:tcW w:w="1763" w:type="dxa"/>
            <w:vAlign w:val="center"/>
          </w:tcPr>
          <w:p w14:paraId="49621F96">
            <w:pPr>
              <w:adjustRightInd w:val="0"/>
              <w:snapToGrid w:val="0"/>
              <w:spacing w:line="280" w:lineRule="atLeast"/>
              <w:ind w:left="76"/>
              <w:jc w:val="center"/>
              <w:rPr>
                <w:color w:val="auto"/>
                <w:sz w:val="18"/>
                <w:szCs w:val="18"/>
              </w:rPr>
            </w:pPr>
            <w:r>
              <w:rPr>
                <w:color w:val="auto"/>
                <w:sz w:val="18"/>
                <w:szCs w:val="18"/>
              </w:rPr>
              <w:t>30</w:t>
            </w:r>
          </w:p>
        </w:tc>
        <w:tc>
          <w:tcPr>
            <w:tcW w:w="1897" w:type="dxa"/>
            <w:vAlign w:val="center"/>
          </w:tcPr>
          <w:p w14:paraId="54CF243B">
            <w:pPr>
              <w:adjustRightInd w:val="0"/>
              <w:snapToGrid w:val="0"/>
              <w:spacing w:line="280" w:lineRule="atLeast"/>
              <w:ind w:left="76"/>
              <w:jc w:val="center"/>
              <w:rPr>
                <w:color w:val="auto"/>
                <w:sz w:val="18"/>
                <w:szCs w:val="18"/>
              </w:rPr>
            </w:pPr>
            <w:r>
              <w:rPr>
                <w:color w:val="auto"/>
                <w:sz w:val="18"/>
                <w:szCs w:val="18"/>
              </w:rPr>
              <w:t>35</w:t>
            </w:r>
          </w:p>
        </w:tc>
      </w:tr>
      <w:tr w14:paraId="378C7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tcBorders>
              <w:top w:val="single" w:color="auto" w:sz="6" w:space="0"/>
            </w:tcBorders>
            <w:vAlign w:val="center"/>
          </w:tcPr>
          <w:p w14:paraId="17CE27BF">
            <w:pPr>
              <w:adjustRightInd w:val="0"/>
              <w:snapToGrid w:val="0"/>
              <w:spacing w:line="260" w:lineRule="atLeast"/>
              <w:ind w:left="74"/>
              <w:jc w:val="center"/>
              <w:rPr>
                <w:color w:val="auto"/>
                <w:sz w:val="18"/>
                <w:szCs w:val="18"/>
              </w:rPr>
            </w:pPr>
            <w:r>
              <w:rPr>
                <w:color w:val="auto"/>
                <w:sz w:val="18"/>
                <w:szCs w:val="18"/>
              </w:rPr>
              <w:t>0.6</w:t>
            </w:r>
          </w:p>
        </w:tc>
        <w:tc>
          <w:tcPr>
            <w:tcW w:w="1753" w:type="dxa"/>
            <w:vAlign w:val="center"/>
          </w:tcPr>
          <w:p w14:paraId="5FA36DD7">
            <w:pPr>
              <w:adjustRightInd w:val="0"/>
              <w:snapToGrid w:val="0"/>
              <w:spacing w:line="260" w:lineRule="atLeast"/>
              <w:ind w:left="74"/>
              <w:jc w:val="center"/>
              <w:rPr>
                <w:color w:val="auto"/>
                <w:sz w:val="18"/>
                <w:szCs w:val="18"/>
              </w:rPr>
            </w:pPr>
            <w:r>
              <w:rPr>
                <w:color w:val="auto"/>
                <w:sz w:val="18"/>
                <w:szCs w:val="18"/>
              </w:rPr>
              <w:t>（260）</w:t>
            </w:r>
          </w:p>
        </w:tc>
        <w:tc>
          <w:tcPr>
            <w:tcW w:w="1806" w:type="dxa"/>
            <w:vAlign w:val="center"/>
          </w:tcPr>
          <w:p w14:paraId="0C1BFDCF">
            <w:pPr>
              <w:adjustRightInd w:val="0"/>
              <w:snapToGrid w:val="0"/>
              <w:spacing w:line="260" w:lineRule="atLeast"/>
              <w:ind w:left="74"/>
              <w:jc w:val="center"/>
              <w:rPr>
                <w:color w:val="auto"/>
                <w:sz w:val="18"/>
                <w:szCs w:val="18"/>
              </w:rPr>
            </w:pPr>
            <w:r>
              <w:rPr>
                <w:color w:val="auto"/>
                <w:sz w:val="18"/>
                <w:szCs w:val="18"/>
              </w:rPr>
              <w:t>（240）</w:t>
            </w:r>
          </w:p>
        </w:tc>
        <w:tc>
          <w:tcPr>
            <w:tcW w:w="1763" w:type="dxa"/>
            <w:vAlign w:val="center"/>
          </w:tcPr>
          <w:p w14:paraId="3595170C">
            <w:pPr>
              <w:adjustRightInd w:val="0"/>
              <w:snapToGrid w:val="0"/>
              <w:spacing w:line="260" w:lineRule="atLeast"/>
              <w:ind w:left="74"/>
              <w:jc w:val="center"/>
              <w:rPr>
                <w:color w:val="auto"/>
                <w:sz w:val="18"/>
                <w:szCs w:val="18"/>
              </w:rPr>
            </w:pPr>
            <w:r>
              <w:rPr>
                <w:color w:val="auto"/>
                <w:sz w:val="18"/>
                <w:szCs w:val="18"/>
              </w:rPr>
              <w:t>---</w:t>
            </w:r>
          </w:p>
        </w:tc>
        <w:tc>
          <w:tcPr>
            <w:tcW w:w="1897" w:type="dxa"/>
            <w:vAlign w:val="center"/>
          </w:tcPr>
          <w:p w14:paraId="2F60520F">
            <w:pPr>
              <w:adjustRightInd w:val="0"/>
              <w:snapToGrid w:val="0"/>
              <w:spacing w:line="260" w:lineRule="atLeast"/>
              <w:ind w:left="74"/>
              <w:jc w:val="center"/>
              <w:rPr>
                <w:color w:val="auto"/>
                <w:sz w:val="18"/>
                <w:szCs w:val="18"/>
              </w:rPr>
            </w:pPr>
            <w:r>
              <w:rPr>
                <w:color w:val="auto"/>
                <w:sz w:val="18"/>
                <w:szCs w:val="18"/>
              </w:rPr>
              <w:t>---</w:t>
            </w:r>
          </w:p>
        </w:tc>
      </w:tr>
      <w:tr w14:paraId="274EB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vAlign w:val="center"/>
          </w:tcPr>
          <w:p w14:paraId="0BAE24C6">
            <w:pPr>
              <w:adjustRightInd w:val="0"/>
              <w:snapToGrid w:val="0"/>
              <w:spacing w:line="260" w:lineRule="atLeast"/>
              <w:ind w:left="74"/>
              <w:jc w:val="center"/>
              <w:rPr>
                <w:color w:val="auto"/>
                <w:sz w:val="18"/>
                <w:szCs w:val="18"/>
              </w:rPr>
            </w:pPr>
            <w:r>
              <w:rPr>
                <w:color w:val="auto"/>
                <w:sz w:val="18"/>
                <w:szCs w:val="18"/>
              </w:rPr>
              <w:t>0.7</w:t>
            </w:r>
          </w:p>
        </w:tc>
        <w:tc>
          <w:tcPr>
            <w:tcW w:w="1753" w:type="dxa"/>
            <w:vAlign w:val="center"/>
          </w:tcPr>
          <w:p w14:paraId="0F61BF0C">
            <w:pPr>
              <w:adjustRightInd w:val="0"/>
              <w:snapToGrid w:val="0"/>
              <w:spacing w:line="260" w:lineRule="atLeast"/>
              <w:ind w:left="74"/>
              <w:jc w:val="center"/>
              <w:rPr>
                <w:color w:val="auto"/>
                <w:sz w:val="18"/>
                <w:szCs w:val="18"/>
              </w:rPr>
            </w:pPr>
            <w:r>
              <w:rPr>
                <w:color w:val="auto"/>
                <w:sz w:val="18"/>
                <w:szCs w:val="18"/>
              </w:rPr>
              <w:t>200</w:t>
            </w:r>
          </w:p>
        </w:tc>
        <w:tc>
          <w:tcPr>
            <w:tcW w:w="1806" w:type="dxa"/>
            <w:vAlign w:val="center"/>
          </w:tcPr>
          <w:p w14:paraId="7E6AA822">
            <w:pPr>
              <w:adjustRightInd w:val="0"/>
              <w:snapToGrid w:val="0"/>
              <w:spacing w:line="260" w:lineRule="atLeast"/>
              <w:ind w:left="74"/>
              <w:jc w:val="center"/>
              <w:rPr>
                <w:color w:val="auto"/>
                <w:sz w:val="18"/>
                <w:szCs w:val="18"/>
              </w:rPr>
            </w:pPr>
            <w:r>
              <w:rPr>
                <w:color w:val="auto"/>
                <w:sz w:val="18"/>
                <w:szCs w:val="18"/>
              </w:rPr>
              <w:t>190</w:t>
            </w:r>
          </w:p>
        </w:tc>
        <w:tc>
          <w:tcPr>
            <w:tcW w:w="1763" w:type="dxa"/>
            <w:vAlign w:val="center"/>
          </w:tcPr>
          <w:p w14:paraId="1237E0D6">
            <w:pPr>
              <w:adjustRightInd w:val="0"/>
              <w:snapToGrid w:val="0"/>
              <w:spacing w:line="260" w:lineRule="atLeast"/>
              <w:ind w:left="74"/>
              <w:jc w:val="center"/>
              <w:rPr>
                <w:color w:val="auto"/>
                <w:sz w:val="18"/>
                <w:szCs w:val="18"/>
              </w:rPr>
            </w:pPr>
            <w:r>
              <w:rPr>
                <w:color w:val="auto"/>
                <w:sz w:val="18"/>
                <w:szCs w:val="18"/>
              </w:rPr>
              <w:t>（160）</w:t>
            </w:r>
          </w:p>
        </w:tc>
        <w:tc>
          <w:tcPr>
            <w:tcW w:w="1897" w:type="dxa"/>
            <w:vAlign w:val="center"/>
          </w:tcPr>
          <w:p w14:paraId="4CF3C3E6">
            <w:pPr>
              <w:adjustRightInd w:val="0"/>
              <w:snapToGrid w:val="0"/>
              <w:spacing w:line="260" w:lineRule="atLeast"/>
              <w:ind w:left="74"/>
              <w:jc w:val="center"/>
              <w:rPr>
                <w:color w:val="auto"/>
                <w:sz w:val="18"/>
                <w:szCs w:val="18"/>
              </w:rPr>
            </w:pPr>
            <w:r>
              <w:rPr>
                <w:color w:val="auto"/>
                <w:sz w:val="18"/>
                <w:szCs w:val="18"/>
              </w:rPr>
              <w:t>---</w:t>
            </w:r>
          </w:p>
        </w:tc>
      </w:tr>
      <w:tr w14:paraId="7C11D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vAlign w:val="center"/>
          </w:tcPr>
          <w:p w14:paraId="749D1229">
            <w:pPr>
              <w:adjustRightInd w:val="0"/>
              <w:snapToGrid w:val="0"/>
              <w:spacing w:line="260" w:lineRule="atLeast"/>
              <w:ind w:left="74"/>
              <w:jc w:val="center"/>
              <w:rPr>
                <w:color w:val="auto"/>
                <w:sz w:val="18"/>
                <w:szCs w:val="18"/>
              </w:rPr>
            </w:pPr>
            <w:r>
              <w:rPr>
                <w:color w:val="auto"/>
                <w:sz w:val="18"/>
                <w:szCs w:val="18"/>
              </w:rPr>
              <w:t>0.8</w:t>
            </w:r>
          </w:p>
        </w:tc>
        <w:tc>
          <w:tcPr>
            <w:tcW w:w="1753" w:type="dxa"/>
            <w:vAlign w:val="center"/>
          </w:tcPr>
          <w:p w14:paraId="7B2B8DE0">
            <w:pPr>
              <w:adjustRightInd w:val="0"/>
              <w:snapToGrid w:val="0"/>
              <w:spacing w:line="260" w:lineRule="atLeast"/>
              <w:ind w:left="74"/>
              <w:jc w:val="center"/>
              <w:rPr>
                <w:color w:val="auto"/>
                <w:sz w:val="18"/>
                <w:szCs w:val="18"/>
              </w:rPr>
            </w:pPr>
            <w:r>
              <w:rPr>
                <w:color w:val="auto"/>
                <w:sz w:val="18"/>
                <w:szCs w:val="18"/>
              </w:rPr>
              <w:t>160</w:t>
            </w:r>
          </w:p>
        </w:tc>
        <w:tc>
          <w:tcPr>
            <w:tcW w:w="1806" w:type="dxa"/>
            <w:vAlign w:val="center"/>
          </w:tcPr>
          <w:p w14:paraId="6817B936">
            <w:pPr>
              <w:adjustRightInd w:val="0"/>
              <w:snapToGrid w:val="0"/>
              <w:spacing w:line="260" w:lineRule="atLeast"/>
              <w:ind w:left="74"/>
              <w:jc w:val="center"/>
              <w:rPr>
                <w:color w:val="auto"/>
                <w:sz w:val="18"/>
                <w:szCs w:val="18"/>
              </w:rPr>
            </w:pPr>
            <w:r>
              <w:rPr>
                <w:color w:val="auto"/>
                <w:sz w:val="18"/>
                <w:szCs w:val="18"/>
              </w:rPr>
              <w:t>150</w:t>
            </w:r>
          </w:p>
        </w:tc>
        <w:tc>
          <w:tcPr>
            <w:tcW w:w="1763" w:type="dxa"/>
            <w:vAlign w:val="center"/>
          </w:tcPr>
          <w:p w14:paraId="41D280CC">
            <w:pPr>
              <w:adjustRightInd w:val="0"/>
              <w:snapToGrid w:val="0"/>
              <w:spacing w:line="260" w:lineRule="atLeast"/>
              <w:ind w:left="74"/>
              <w:jc w:val="center"/>
              <w:rPr>
                <w:color w:val="auto"/>
                <w:sz w:val="18"/>
                <w:szCs w:val="18"/>
              </w:rPr>
            </w:pPr>
            <w:r>
              <w:rPr>
                <w:color w:val="auto"/>
                <w:sz w:val="18"/>
                <w:szCs w:val="18"/>
              </w:rPr>
              <w:t>130</w:t>
            </w:r>
          </w:p>
        </w:tc>
        <w:tc>
          <w:tcPr>
            <w:tcW w:w="1897" w:type="dxa"/>
            <w:vAlign w:val="center"/>
          </w:tcPr>
          <w:p w14:paraId="4935CC87">
            <w:pPr>
              <w:adjustRightInd w:val="0"/>
              <w:snapToGrid w:val="0"/>
              <w:spacing w:line="260" w:lineRule="atLeast"/>
              <w:ind w:left="74"/>
              <w:jc w:val="center"/>
              <w:rPr>
                <w:color w:val="auto"/>
                <w:sz w:val="18"/>
                <w:szCs w:val="18"/>
              </w:rPr>
            </w:pPr>
            <w:r>
              <w:rPr>
                <w:color w:val="auto"/>
                <w:sz w:val="18"/>
                <w:szCs w:val="18"/>
              </w:rPr>
              <w:t>---</w:t>
            </w:r>
          </w:p>
        </w:tc>
      </w:tr>
      <w:tr w14:paraId="7BDE3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vAlign w:val="center"/>
          </w:tcPr>
          <w:p w14:paraId="1034176A">
            <w:pPr>
              <w:adjustRightInd w:val="0"/>
              <w:snapToGrid w:val="0"/>
              <w:spacing w:line="260" w:lineRule="atLeast"/>
              <w:ind w:left="74"/>
              <w:jc w:val="center"/>
              <w:rPr>
                <w:color w:val="auto"/>
                <w:sz w:val="18"/>
                <w:szCs w:val="18"/>
              </w:rPr>
            </w:pPr>
            <w:r>
              <w:rPr>
                <w:color w:val="auto"/>
                <w:sz w:val="18"/>
                <w:szCs w:val="18"/>
              </w:rPr>
              <w:t>0.9</w:t>
            </w:r>
          </w:p>
        </w:tc>
        <w:tc>
          <w:tcPr>
            <w:tcW w:w="1753" w:type="dxa"/>
            <w:vAlign w:val="center"/>
          </w:tcPr>
          <w:p w14:paraId="3D4C7D81">
            <w:pPr>
              <w:adjustRightInd w:val="0"/>
              <w:snapToGrid w:val="0"/>
              <w:spacing w:line="260" w:lineRule="atLeast"/>
              <w:ind w:left="74"/>
              <w:jc w:val="center"/>
              <w:rPr>
                <w:color w:val="auto"/>
                <w:sz w:val="18"/>
                <w:szCs w:val="18"/>
              </w:rPr>
            </w:pPr>
            <w:r>
              <w:rPr>
                <w:color w:val="auto"/>
                <w:sz w:val="18"/>
                <w:szCs w:val="18"/>
              </w:rPr>
              <w:t>130</w:t>
            </w:r>
          </w:p>
        </w:tc>
        <w:tc>
          <w:tcPr>
            <w:tcW w:w="1806" w:type="dxa"/>
            <w:vAlign w:val="center"/>
          </w:tcPr>
          <w:p w14:paraId="58CC8786">
            <w:pPr>
              <w:adjustRightInd w:val="0"/>
              <w:snapToGrid w:val="0"/>
              <w:spacing w:line="260" w:lineRule="atLeast"/>
              <w:ind w:left="74"/>
              <w:jc w:val="center"/>
              <w:rPr>
                <w:color w:val="auto"/>
                <w:sz w:val="18"/>
                <w:szCs w:val="18"/>
              </w:rPr>
            </w:pPr>
            <w:r>
              <w:rPr>
                <w:color w:val="auto"/>
                <w:sz w:val="18"/>
                <w:szCs w:val="18"/>
              </w:rPr>
              <w:t>120</w:t>
            </w:r>
          </w:p>
        </w:tc>
        <w:tc>
          <w:tcPr>
            <w:tcW w:w="1763" w:type="dxa"/>
            <w:vAlign w:val="center"/>
          </w:tcPr>
          <w:p w14:paraId="34CE8495">
            <w:pPr>
              <w:adjustRightInd w:val="0"/>
              <w:snapToGrid w:val="0"/>
              <w:spacing w:line="260" w:lineRule="atLeast"/>
              <w:ind w:left="74"/>
              <w:jc w:val="center"/>
              <w:rPr>
                <w:color w:val="auto"/>
                <w:sz w:val="18"/>
                <w:szCs w:val="18"/>
              </w:rPr>
            </w:pPr>
            <w:r>
              <w:rPr>
                <w:color w:val="auto"/>
                <w:sz w:val="18"/>
                <w:szCs w:val="18"/>
              </w:rPr>
              <w:t>100</w:t>
            </w:r>
          </w:p>
        </w:tc>
        <w:tc>
          <w:tcPr>
            <w:tcW w:w="1897" w:type="dxa"/>
            <w:vAlign w:val="center"/>
          </w:tcPr>
          <w:p w14:paraId="19400754">
            <w:pPr>
              <w:adjustRightInd w:val="0"/>
              <w:snapToGrid w:val="0"/>
              <w:spacing w:line="260" w:lineRule="atLeast"/>
              <w:ind w:left="74"/>
              <w:jc w:val="center"/>
              <w:rPr>
                <w:color w:val="auto"/>
                <w:sz w:val="18"/>
                <w:szCs w:val="18"/>
              </w:rPr>
            </w:pPr>
            <w:r>
              <w:rPr>
                <w:color w:val="auto"/>
                <w:sz w:val="18"/>
                <w:szCs w:val="18"/>
              </w:rPr>
              <w:t>（90）</w:t>
            </w:r>
          </w:p>
        </w:tc>
      </w:tr>
      <w:tr w14:paraId="05789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vAlign w:val="center"/>
          </w:tcPr>
          <w:p w14:paraId="26B45DDD">
            <w:pPr>
              <w:adjustRightInd w:val="0"/>
              <w:snapToGrid w:val="0"/>
              <w:spacing w:line="260" w:lineRule="atLeast"/>
              <w:ind w:left="74"/>
              <w:jc w:val="center"/>
              <w:rPr>
                <w:color w:val="auto"/>
                <w:sz w:val="18"/>
                <w:szCs w:val="18"/>
              </w:rPr>
            </w:pPr>
            <w:r>
              <w:rPr>
                <w:color w:val="auto"/>
                <w:sz w:val="18"/>
                <w:szCs w:val="18"/>
              </w:rPr>
              <w:t>1.0</w:t>
            </w:r>
          </w:p>
        </w:tc>
        <w:tc>
          <w:tcPr>
            <w:tcW w:w="1753" w:type="dxa"/>
            <w:vAlign w:val="center"/>
          </w:tcPr>
          <w:p w14:paraId="23286EC6">
            <w:pPr>
              <w:adjustRightInd w:val="0"/>
              <w:snapToGrid w:val="0"/>
              <w:spacing w:line="260" w:lineRule="atLeast"/>
              <w:ind w:left="74"/>
              <w:jc w:val="center"/>
              <w:rPr>
                <w:color w:val="auto"/>
                <w:sz w:val="18"/>
                <w:szCs w:val="18"/>
              </w:rPr>
            </w:pPr>
            <w:r>
              <w:rPr>
                <w:color w:val="auto"/>
                <w:sz w:val="18"/>
                <w:szCs w:val="18"/>
              </w:rPr>
              <w:t>110</w:t>
            </w:r>
          </w:p>
        </w:tc>
        <w:tc>
          <w:tcPr>
            <w:tcW w:w="1806" w:type="dxa"/>
            <w:vAlign w:val="center"/>
          </w:tcPr>
          <w:p w14:paraId="6E2B2CFC">
            <w:pPr>
              <w:adjustRightInd w:val="0"/>
              <w:snapToGrid w:val="0"/>
              <w:spacing w:line="260" w:lineRule="atLeast"/>
              <w:ind w:left="74"/>
              <w:jc w:val="center"/>
              <w:rPr>
                <w:color w:val="auto"/>
                <w:sz w:val="18"/>
                <w:szCs w:val="18"/>
              </w:rPr>
            </w:pPr>
            <w:r>
              <w:rPr>
                <w:color w:val="auto"/>
                <w:sz w:val="18"/>
                <w:szCs w:val="18"/>
              </w:rPr>
              <w:t>100</w:t>
            </w:r>
          </w:p>
        </w:tc>
        <w:tc>
          <w:tcPr>
            <w:tcW w:w="1763" w:type="dxa"/>
            <w:vAlign w:val="center"/>
          </w:tcPr>
          <w:p w14:paraId="6C76EAB7">
            <w:pPr>
              <w:adjustRightInd w:val="0"/>
              <w:snapToGrid w:val="0"/>
              <w:spacing w:line="260" w:lineRule="atLeast"/>
              <w:ind w:left="74"/>
              <w:jc w:val="center"/>
              <w:rPr>
                <w:color w:val="auto"/>
                <w:sz w:val="18"/>
                <w:szCs w:val="18"/>
              </w:rPr>
            </w:pPr>
            <w:r>
              <w:rPr>
                <w:color w:val="auto"/>
                <w:sz w:val="18"/>
                <w:szCs w:val="18"/>
              </w:rPr>
              <w:t>90</w:t>
            </w:r>
          </w:p>
        </w:tc>
        <w:tc>
          <w:tcPr>
            <w:tcW w:w="1897" w:type="dxa"/>
            <w:vAlign w:val="center"/>
          </w:tcPr>
          <w:p w14:paraId="1D805622">
            <w:pPr>
              <w:adjustRightInd w:val="0"/>
              <w:snapToGrid w:val="0"/>
              <w:spacing w:line="260" w:lineRule="atLeast"/>
              <w:ind w:left="74"/>
              <w:jc w:val="center"/>
              <w:rPr>
                <w:color w:val="auto"/>
                <w:sz w:val="18"/>
                <w:szCs w:val="18"/>
              </w:rPr>
            </w:pPr>
            <w:r>
              <w:rPr>
                <w:color w:val="auto"/>
                <w:sz w:val="18"/>
                <w:szCs w:val="18"/>
              </w:rPr>
              <w:t>（80）</w:t>
            </w:r>
          </w:p>
        </w:tc>
      </w:tr>
      <w:tr w14:paraId="2A010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934" w:type="dxa"/>
            <w:vAlign w:val="center"/>
          </w:tcPr>
          <w:p w14:paraId="6790AF96">
            <w:pPr>
              <w:adjustRightInd w:val="0"/>
              <w:snapToGrid w:val="0"/>
              <w:spacing w:line="260" w:lineRule="atLeast"/>
              <w:ind w:left="74"/>
              <w:jc w:val="center"/>
              <w:rPr>
                <w:color w:val="auto"/>
                <w:sz w:val="18"/>
                <w:szCs w:val="18"/>
              </w:rPr>
            </w:pPr>
            <w:r>
              <w:rPr>
                <w:color w:val="auto"/>
                <w:sz w:val="18"/>
                <w:szCs w:val="18"/>
              </w:rPr>
              <w:t>1.1</w:t>
            </w:r>
          </w:p>
        </w:tc>
        <w:tc>
          <w:tcPr>
            <w:tcW w:w="1753" w:type="dxa"/>
            <w:vAlign w:val="center"/>
          </w:tcPr>
          <w:p w14:paraId="0BEBD768">
            <w:pPr>
              <w:adjustRightInd w:val="0"/>
              <w:snapToGrid w:val="0"/>
              <w:spacing w:line="260" w:lineRule="atLeast"/>
              <w:ind w:left="74"/>
              <w:jc w:val="center"/>
              <w:rPr>
                <w:color w:val="auto"/>
                <w:sz w:val="18"/>
                <w:szCs w:val="18"/>
              </w:rPr>
            </w:pPr>
            <w:r>
              <w:rPr>
                <w:color w:val="auto"/>
                <w:sz w:val="18"/>
                <w:szCs w:val="18"/>
              </w:rPr>
              <w:t>100</w:t>
            </w:r>
          </w:p>
        </w:tc>
        <w:tc>
          <w:tcPr>
            <w:tcW w:w="1806" w:type="dxa"/>
            <w:vAlign w:val="center"/>
          </w:tcPr>
          <w:p w14:paraId="050BBB49">
            <w:pPr>
              <w:adjustRightInd w:val="0"/>
              <w:snapToGrid w:val="0"/>
              <w:spacing w:line="260" w:lineRule="atLeast"/>
              <w:ind w:left="74"/>
              <w:jc w:val="center"/>
              <w:rPr>
                <w:color w:val="auto"/>
                <w:sz w:val="18"/>
                <w:szCs w:val="18"/>
              </w:rPr>
            </w:pPr>
            <w:r>
              <w:rPr>
                <w:color w:val="auto"/>
                <w:sz w:val="18"/>
                <w:szCs w:val="18"/>
              </w:rPr>
              <w:t>90</w:t>
            </w:r>
          </w:p>
        </w:tc>
        <w:tc>
          <w:tcPr>
            <w:tcW w:w="1763" w:type="dxa"/>
            <w:vAlign w:val="center"/>
          </w:tcPr>
          <w:p w14:paraId="3DA95E7F">
            <w:pPr>
              <w:adjustRightInd w:val="0"/>
              <w:snapToGrid w:val="0"/>
              <w:spacing w:line="260" w:lineRule="atLeast"/>
              <w:ind w:left="74"/>
              <w:jc w:val="center"/>
              <w:rPr>
                <w:color w:val="auto"/>
                <w:sz w:val="18"/>
                <w:szCs w:val="18"/>
              </w:rPr>
            </w:pPr>
            <w:r>
              <w:rPr>
                <w:color w:val="auto"/>
                <w:sz w:val="18"/>
                <w:szCs w:val="18"/>
              </w:rPr>
              <w:t>80</w:t>
            </w:r>
          </w:p>
        </w:tc>
        <w:tc>
          <w:tcPr>
            <w:tcW w:w="1897" w:type="dxa"/>
            <w:vAlign w:val="center"/>
          </w:tcPr>
          <w:p w14:paraId="4728AAD7">
            <w:pPr>
              <w:adjustRightInd w:val="0"/>
              <w:snapToGrid w:val="0"/>
              <w:spacing w:line="260" w:lineRule="atLeast"/>
              <w:ind w:left="74"/>
              <w:jc w:val="center"/>
              <w:rPr>
                <w:color w:val="auto"/>
                <w:sz w:val="18"/>
                <w:szCs w:val="18"/>
              </w:rPr>
            </w:pPr>
            <w:r>
              <w:rPr>
                <w:color w:val="auto"/>
                <w:sz w:val="18"/>
                <w:szCs w:val="18"/>
              </w:rPr>
              <w:t>（70）</w:t>
            </w:r>
          </w:p>
        </w:tc>
      </w:tr>
      <w:tr w14:paraId="6BD26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9153" w:type="dxa"/>
            <w:gridSpan w:val="5"/>
            <w:vAlign w:val="center"/>
          </w:tcPr>
          <w:p w14:paraId="0664D67D">
            <w:pPr>
              <w:adjustRightInd w:val="0"/>
              <w:snapToGrid w:val="0"/>
              <w:spacing w:line="260" w:lineRule="atLeast"/>
              <w:ind w:left="74"/>
              <w:rPr>
                <w:color w:val="auto"/>
                <w:sz w:val="18"/>
                <w:szCs w:val="18"/>
              </w:rPr>
            </w:pPr>
            <w:r>
              <w:rPr>
                <w:color w:val="auto"/>
                <w:sz w:val="18"/>
                <w:szCs w:val="18"/>
              </w:rPr>
              <w:t>注：有括号者仅供内插用。</w:t>
            </w:r>
          </w:p>
        </w:tc>
      </w:tr>
    </w:tbl>
    <w:p w14:paraId="757AE684">
      <w:pPr>
        <w:adjustRightInd w:val="0"/>
        <w:snapToGrid w:val="0"/>
        <w:spacing w:before="156" w:beforeLines="50" w:line="360" w:lineRule="atLeast"/>
        <w:ind w:right="-29"/>
        <w:jc w:val="center"/>
        <w:rPr>
          <w:rFonts w:eastAsia="黑体"/>
          <w:color w:val="auto"/>
          <w:sz w:val="18"/>
          <w:szCs w:val="18"/>
        </w:rPr>
      </w:pPr>
      <w:r>
        <w:rPr>
          <w:rFonts w:hint="eastAsia" w:eastAsia="黑体"/>
          <w:b/>
          <w:color w:val="auto"/>
          <w:szCs w:val="21"/>
        </w:rPr>
        <w:t xml:space="preserve">                              </w:t>
      </w:r>
      <w:r>
        <w:rPr>
          <w:rFonts w:eastAsia="黑体"/>
          <w:b/>
          <w:color w:val="auto"/>
          <w:szCs w:val="21"/>
        </w:rPr>
        <w:t>表E.4  一般黏性土承载力特征值</w:t>
      </w:r>
      <w:r>
        <w:rPr>
          <w:rFonts w:eastAsia="黑体"/>
          <w:b/>
          <w:i/>
          <w:color w:val="auto"/>
          <w:szCs w:val="21"/>
        </w:rPr>
        <w:t>ƒ</w:t>
      </w:r>
      <w:r>
        <w:rPr>
          <w:rFonts w:eastAsia="黑体"/>
          <w:b/>
          <w:iCs/>
          <w:color w:val="auto"/>
          <w:szCs w:val="21"/>
          <w:vertAlign w:val="subscript"/>
        </w:rPr>
        <w:t>ak</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eastAsia="黑体"/>
          <w:color w:val="auto"/>
          <w:sz w:val="18"/>
          <w:szCs w:val="18"/>
        </w:rPr>
        <w:t xml:space="preserve"> </w:t>
      </w:r>
      <w:r>
        <w:rPr>
          <w:rFonts w:hint="eastAsia" w:eastAsia="黑体"/>
          <w:color w:val="auto"/>
          <w:sz w:val="18"/>
          <w:szCs w:val="18"/>
        </w:rPr>
        <w:t xml:space="preserve">   </w:t>
      </w:r>
      <w:r>
        <w:rPr>
          <w:rFonts w:eastAsia="黑体"/>
          <w:color w:val="auto"/>
          <w:sz w:val="18"/>
          <w:szCs w:val="18"/>
        </w:rPr>
        <w:t>单位为kPa</w:t>
      </w:r>
    </w:p>
    <w:tbl>
      <w:tblPr>
        <w:tblStyle w:val="36"/>
        <w:tblW w:w="91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12"/>
        <w:gridCol w:w="1270"/>
        <w:gridCol w:w="1187"/>
        <w:gridCol w:w="1107"/>
        <w:gridCol w:w="1184"/>
        <w:gridCol w:w="1175"/>
        <w:gridCol w:w="1107"/>
      </w:tblGrid>
      <w:tr w14:paraId="6B943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9" w:hRule="atLeast"/>
          <w:jc w:val="center"/>
        </w:trPr>
        <w:tc>
          <w:tcPr>
            <w:tcW w:w="2112" w:type="dxa"/>
            <w:vMerge w:val="restart"/>
            <w:tcBorders>
              <w:top w:val="single" w:color="auto" w:sz="12" w:space="0"/>
              <w:tl2br w:val="nil"/>
            </w:tcBorders>
            <w:vAlign w:val="center"/>
          </w:tcPr>
          <w:p w14:paraId="3FF518B8">
            <w:pPr>
              <w:adjustRightInd w:val="0"/>
              <w:snapToGrid w:val="0"/>
              <w:spacing w:line="280" w:lineRule="atLeast"/>
              <w:jc w:val="center"/>
              <w:rPr>
                <w:color w:val="auto"/>
                <w:sz w:val="18"/>
                <w:szCs w:val="18"/>
              </w:rPr>
            </w:pPr>
            <w:r>
              <w:rPr>
                <w:color w:val="auto"/>
                <w:sz w:val="18"/>
                <w:szCs w:val="18"/>
              </w:rPr>
              <w:t>孔隙比</w:t>
            </w:r>
            <w:r>
              <w:rPr>
                <w:i/>
                <w:color w:val="auto"/>
                <w:sz w:val="18"/>
                <w:szCs w:val="18"/>
              </w:rPr>
              <w:t>e</w:t>
            </w:r>
          </w:p>
        </w:tc>
        <w:tc>
          <w:tcPr>
            <w:tcW w:w="7030" w:type="dxa"/>
            <w:gridSpan w:val="6"/>
            <w:vAlign w:val="center"/>
          </w:tcPr>
          <w:p w14:paraId="26392AB2">
            <w:pPr>
              <w:adjustRightInd w:val="0"/>
              <w:snapToGrid w:val="0"/>
              <w:spacing w:line="280" w:lineRule="atLeast"/>
              <w:jc w:val="center"/>
              <w:rPr>
                <w:color w:val="auto"/>
                <w:sz w:val="18"/>
                <w:szCs w:val="18"/>
              </w:rPr>
            </w:pPr>
            <w:r>
              <w:rPr>
                <w:color w:val="auto"/>
                <w:sz w:val="18"/>
                <w:szCs w:val="18"/>
              </w:rPr>
              <w:t>液性指数</w:t>
            </w:r>
            <w:r>
              <w:rPr>
                <w:i/>
                <w:iCs/>
                <w:color w:val="auto"/>
                <w:sz w:val="18"/>
                <w:szCs w:val="18"/>
              </w:rPr>
              <w:t>I</w:t>
            </w:r>
            <w:r>
              <w:rPr>
                <w:iCs/>
                <w:color w:val="auto"/>
                <w:sz w:val="18"/>
                <w:szCs w:val="18"/>
                <w:vertAlign w:val="subscript"/>
              </w:rPr>
              <w:t>L</w:t>
            </w:r>
          </w:p>
        </w:tc>
      </w:tr>
      <w:tr w14:paraId="5F944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9" w:hRule="atLeast"/>
          <w:jc w:val="center"/>
        </w:trPr>
        <w:tc>
          <w:tcPr>
            <w:tcW w:w="2112" w:type="dxa"/>
            <w:vMerge w:val="continue"/>
            <w:tcBorders>
              <w:bottom w:val="single" w:color="auto" w:sz="6" w:space="0"/>
              <w:tl2br w:val="nil"/>
            </w:tcBorders>
          </w:tcPr>
          <w:p w14:paraId="6B547006">
            <w:pPr>
              <w:adjustRightInd w:val="0"/>
              <w:snapToGrid w:val="0"/>
              <w:spacing w:line="280" w:lineRule="atLeast"/>
              <w:rPr>
                <w:color w:val="auto"/>
                <w:sz w:val="18"/>
                <w:szCs w:val="18"/>
              </w:rPr>
            </w:pPr>
          </w:p>
        </w:tc>
        <w:tc>
          <w:tcPr>
            <w:tcW w:w="1270" w:type="dxa"/>
            <w:vAlign w:val="center"/>
          </w:tcPr>
          <w:p w14:paraId="3EE1F60A">
            <w:pPr>
              <w:adjustRightInd w:val="0"/>
              <w:snapToGrid w:val="0"/>
              <w:spacing w:line="280" w:lineRule="atLeast"/>
              <w:jc w:val="center"/>
              <w:rPr>
                <w:color w:val="auto"/>
                <w:sz w:val="18"/>
                <w:szCs w:val="18"/>
              </w:rPr>
            </w:pPr>
            <w:r>
              <w:rPr>
                <w:color w:val="auto"/>
                <w:sz w:val="18"/>
                <w:szCs w:val="18"/>
              </w:rPr>
              <w:t>0</w:t>
            </w:r>
          </w:p>
        </w:tc>
        <w:tc>
          <w:tcPr>
            <w:tcW w:w="1187" w:type="dxa"/>
            <w:vAlign w:val="center"/>
          </w:tcPr>
          <w:p w14:paraId="6C15CBB8">
            <w:pPr>
              <w:adjustRightInd w:val="0"/>
              <w:snapToGrid w:val="0"/>
              <w:spacing w:line="280" w:lineRule="atLeast"/>
              <w:jc w:val="center"/>
              <w:rPr>
                <w:color w:val="auto"/>
                <w:sz w:val="18"/>
                <w:szCs w:val="18"/>
              </w:rPr>
            </w:pPr>
            <w:r>
              <w:rPr>
                <w:color w:val="auto"/>
                <w:sz w:val="18"/>
                <w:szCs w:val="18"/>
              </w:rPr>
              <w:t>0.25</w:t>
            </w:r>
          </w:p>
        </w:tc>
        <w:tc>
          <w:tcPr>
            <w:tcW w:w="1107" w:type="dxa"/>
            <w:vAlign w:val="center"/>
          </w:tcPr>
          <w:p w14:paraId="4C542A5D">
            <w:pPr>
              <w:adjustRightInd w:val="0"/>
              <w:snapToGrid w:val="0"/>
              <w:spacing w:line="280" w:lineRule="atLeast"/>
              <w:jc w:val="center"/>
              <w:rPr>
                <w:color w:val="auto"/>
                <w:sz w:val="18"/>
                <w:szCs w:val="18"/>
              </w:rPr>
            </w:pPr>
            <w:r>
              <w:rPr>
                <w:color w:val="auto"/>
                <w:sz w:val="18"/>
                <w:szCs w:val="18"/>
              </w:rPr>
              <w:t>0.50</w:t>
            </w:r>
          </w:p>
        </w:tc>
        <w:tc>
          <w:tcPr>
            <w:tcW w:w="1184" w:type="dxa"/>
            <w:vAlign w:val="center"/>
          </w:tcPr>
          <w:p w14:paraId="630C5355">
            <w:pPr>
              <w:adjustRightInd w:val="0"/>
              <w:snapToGrid w:val="0"/>
              <w:spacing w:line="280" w:lineRule="atLeast"/>
              <w:jc w:val="center"/>
              <w:rPr>
                <w:color w:val="auto"/>
                <w:sz w:val="18"/>
                <w:szCs w:val="18"/>
              </w:rPr>
            </w:pPr>
            <w:r>
              <w:rPr>
                <w:color w:val="auto"/>
                <w:sz w:val="18"/>
                <w:szCs w:val="18"/>
              </w:rPr>
              <w:t>0.75</w:t>
            </w:r>
          </w:p>
        </w:tc>
        <w:tc>
          <w:tcPr>
            <w:tcW w:w="1175" w:type="dxa"/>
            <w:vAlign w:val="center"/>
          </w:tcPr>
          <w:p w14:paraId="21F49252">
            <w:pPr>
              <w:adjustRightInd w:val="0"/>
              <w:snapToGrid w:val="0"/>
              <w:spacing w:line="280" w:lineRule="atLeast"/>
              <w:jc w:val="center"/>
              <w:rPr>
                <w:color w:val="auto"/>
                <w:sz w:val="18"/>
                <w:szCs w:val="18"/>
              </w:rPr>
            </w:pPr>
            <w:r>
              <w:rPr>
                <w:color w:val="auto"/>
                <w:sz w:val="18"/>
                <w:szCs w:val="18"/>
              </w:rPr>
              <w:t>1.00</w:t>
            </w:r>
          </w:p>
        </w:tc>
        <w:tc>
          <w:tcPr>
            <w:tcW w:w="1107" w:type="dxa"/>
            <w:vAlign w:val="center"/>
          </w:tcPr>
          <w:p w14:paraId="63D2C493">
            <w:pPr>
              <w:adjustRightInd w:val="0"/>
              <w:snapToGrid w:val="0"/>
              <w:spacing w:line="280" w:lineRule="atLeast"/>
              <w:jc w:val="center"/>
              <w:rPr>
                <w:color w:val="auto"/>
                <w:sz w:val="18"/>
                <w:szCs w:val="18"/>
              </w:rPr>
            </w:pPr>
            <w:r>
              <w:rPr>
                <w:color w:val="auto"/>
                <w:sz w:val="18"/>
                <w:szCs w:val="18"/>
              </w:rPr>
              <w:t>1.20</w:t>
            </w:r>
          </w:p>
        </w:tc>
      </w:tr>
      <w:tr w14:paraId="011A2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2112" w:type="dxa"/>
            <w:tcBorders>
              <w:top w:val="single" w:color="auto" w:sz="6" w:space="0"/>
            </w:tcBorders>
          </w:tcPr>
          <w:p w14:paraId="7AE84FE1">
            <w:pPr>
              <w:adjustRightInd w:val="0"/>
              <w:snapToGrid w:val="0"/>
              <w:spacing w:line="260" w:lineRule="exact"/>
              <w:ind w:left="228"/>
              <w:jc w:val="center"/>
              <w:rPr>
                <w:color w:val="auto"/>
                <w:sz w:val="18"/>
                <w:szCs w:val="18"/>
              </w:rPr>
            </w:pPr>
            <w:r>
              <w:rPr>
                <w:color w:val="auto"/>
                <w:sz w:val="18"/>
                <w:szCs w:val="18"/>
              </w:rPr>
              <w:t>0.6</w:t>
            </w:r>
          </w:p>
        </w:tc>
        <w:tc>
          <w:tcPr>
            <w:tcW w:w="1270" w:type="dxa"/>
            <w:vAlign w:val="center"/>
          </w:tcPr>
          <w:p w14:paraId="41E9CC70">
            <w:pPr>
              <w:adjustRightInd w:val="0"/>
              <w:snapToGrid w:val="0"/>
              <w:spacing w:line="260" w:lineRule="exact"/>
              <w:ind w:left="228"/>
              <w:jc w:val="center"/>
              <w:rPr>
                <w:color w:val="auto"/>
                <w:sz w:val="18"/>
                <w:szCs w:val="18"/>
              </w:rPr>
            </w:pPr>
          </w:p>
        </w:tc>
        <w:tc>
          <w:tcPr>
            <w:tcW w:w="1187" w:type="dxa"/>
            <w:vAlign w:val="center"/>
          </w:tcPr>
          <w:p w14:paraId="21407F91">
            <w:pPr>
              <w:adjustRightInd w:val="0"/>
              <w:snapToGrid w:val="0"/>
              <w:spacing w:line="260" w:lineRule="exact"/>
              <w:jc w:val="center"/>
              <w:rPr>
                <w:color w:val="auto"/>
                <w:sz w:val="18"/>
                <w:szCs w:val="18"/>
              </w:rPr>
            </w:pPr>
            <w:r>
              <w:rPr>
                <w:color w:val="auto"/>
                <w:sz w:val="18"/>
                <w:szCs w:val="18"/>
              </w:rPr>
              <w:t>270</w:t>
            </w:r>
          </w:p>
        </w:tc>
        <w:tc>
          <w:tcPr>
            <w:tcW w:w="1107" w:type="dxa"/>
            <w:vAlign w:val="center"/>
          </w:tcPr>
          <w:p w14:paraId="6B837DB1">
            <w:pPr>
              <w:adjustRightInd w:val="0"/>
              <w:snapToGrid w:val="0"/>
              <w:spacing w:line="260" w:lineRule="exact"/>
              <w:ind w:left="228"/>
              <w:rPr>
                <w:color w:val="auto"/>
                <w:sz w:val="18"/>
                <w:szCs w:val="18"/>
              </w:rPr>
            </w:pPr>
            <w:r>
              <w:rPr>
                <w:color w:val="auto"/>
                <w:sz w:val="18"/>
                <w:szCs w:val="18"/>
              </w:rPr>
              <w:t>250</w:t>
            </w:r>
          </w:p>
        </w:tc>
        <w:tc>
          <w:tcPr>
            <w:tcW w:w="1184" w:type="dxa"/>
            <w:vAlign w:val="center"/>
          </w:tcPr>
          <w:p w14:paraId="791FF08E">
            <w:pPr>
              <w:adjustRightInd w:val="0"/>
              <w:snapToGrid w:val="0"/>
              <w:spacing w:line="260" w:lineRule="exact"/>
              <w:ind w:left="228"/>
              <w:rPr>
                <w:color w:val="auto"/>
                <w:sz w:val="18"/>
                <w:szCs w:val="18"/>
              </w:rPr>
            </w:pPr>
            <w:r>
              <w:rPr>
                <w:color w:val="auto"/>
                <w:sz w:val="18"/>
                <w:szCs w:val="18"/>
              </w:rPr>
              <w:t>230</w:t>
            </w:r>
          </w:p>
        </w:tc>
        <w:tc>
          <w:tcPr>
            <w:tcW w:w="1175" w:type="dxa"/>
            <w:vAlign w:val="center"/>
          </w:tcPr>
          <w:p w14:paraId="2CC6BCB9">
            <w:pPr>
              <w:adjustRightInd w:val="0"/>
              <w:snapToGrid w:val="0"/>
              <w:spacing w:line="260" w:lineRule="exact"/>
              <w:ind w:left="228"/>
              <w:rPr>
                <w:color w:val="auto"/>
                <w:sz w:val="18"/>
                <w:szCs w:val="18"/>
              </w:rPr>
            </w:pPr>
            <w:r>
              <w:rPr>
                <w:color w:val="auto"/>
                <w:sz w:val="18"/>
                <w:szCs w:val="18"/>
              </w:rPr>
              <w:t>210</w:t>
            </w:r>
          </w:p>
        </w:tc>
        <w:tc>
          <w:tcPr>
            <w:tcW w:w="1107" w:type="dxa"/>
            <w:vAlign w:val="center"/>
          </w:tcPr>
          <w:p w14:paraId="0D0E5FF4">
            <w:pPr>
              <w:adjustRightInd w:val="0"/>
              <w:snapToGrid w:val="0"/>
              <w:spacing w:line="260" w:lineRule="exact"/>
              <w:ind w:left="58" w:leftChars="-39" w:hanging="140" w:hangingChars="78"/>
              <w:jc w:val="center"/>
              <w:rPr>
                <w:color w:val="auto"/>
                <w:sz w:val="18"/>
                <w:szCs w:val="18"/>
              </w:rPr>
            </w:pPr>
            <w:r>
              <w:rPr>
                <w:color w:val="auto"/>
                <w:sz w:val="18"/>
                <w:szCs w:val="18"/>
              </w:rPr>
              <w:t xml:space="preserve"> ---</w:t>
            </w:r>
          </w:p>
        </w:tc>
      </w:tr>
      <w:tr w14:paraId="6A385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2112" w:type="dxa"/>
            <w:vAlign w:val="center"/>
          </w:tcPr>
          <w:p w14:paraId="0FC765EC">
            <w:pPr>
              <w:adjustRightInd w:val="0"/>
              <w:snapToGrid w:val="0"/>
              <w:spacing w:line="260" w:lineRule="exact"/>
              <w:ind w:left="228"/>
              <w:jc w:val="center"/>
              <w:rPr>
                <w:color w:val="auto"/>
                <w:sz w:val="18"/>
                <w:szCs w:val="18"/>
              </w:rPr>
            </w:pPr>
            <w:r>
              <w:rPr>
                <w:color w:val="auto"/>
                <w:sz w:val="18"/>
                <w:szCs w:val="18"/>
              </w:rPr>
              <w:t>0.7</w:t>
            </w:r>
          </w:p>
        </w:tc>
        <w:tc>
          <w:tcPr>
            <w:tcW w:w="1270" w:type="dxa"/>
            <w:vAlign w:val="center"/>
          </w:tcPr>
          <w:p w14:paraId="3A122E9B">
            <w:pPr>
              <w:adjustRightInd w:val="0"/>
              <w:snapToGrid w:val="0"/>
              <w:spacing w:line="260" w:lineRule="exact"/>
              <w:jc w:val="center"/>
              <w:rPr>
                <w:color w:val="auto"/>
                <w:sz w:val="18"/>
                <w:szCs w:val="18"/>
              </w:rPr>
            </w:pPr>
            <w:r>
              <w:rPr>
                <w:color w:val="auto"/>
                <w:sz w:val="18"/>
                <w:szCs w:val="18"/>
              </w:rPr>
              <w:t>250</w:t>
            </w:r>
          </w:p>
        </w:tc>
        <w:tc>
          <w:tcPr>
            <w:tcW w:w="1187" w:type="dxa"/>
            <w:vAlign w:val="center"/>
          </w:tcPr>
          <w:p w14:paraId="4D586F80">
            <w:pPr>
              <w:adjustRightInd w:val="0"/>
              <w:snapToGrid w:val="0"/>
              <w:spacing w:line="260" w:lineRule="exact"/>
              <w:jc w:val="center"/>
              <w:rPr>
                <w:color w:val="auto"/>
                <w:sz w:val="18"/>
                <w:szCs w:val="18"/>
              </w:rPr>
            </w:pPr>
            <w:r>
              <w:rPr>
                <w:color w:val="auto"/>
                <w:sz w:val="18"/>
                <w:szCs w:val="18"/>
              </w:rPr>
              <w:t>220</w:t>
            </w:r>
          </w:p>
        </w:tc>
        <w:tc>
          <w:tcPr>
            <w:tcW w:w="1107" w:type="dxa"/>
            <w:vAlign w:val="center"/>
          </w:tcPr>
          <w:p w14:paraId="41767A12">
            <w:pPr>
              <w:adjustRightInd w:val="0"/>
              <w:snapToGrid w:val="0"/>
              <w:spacing w:line="260" w:lineRule="exact"/>
              <w:ind w:left="228"/>
              <w:rPr>
                <w:color w:val="auto"/>
                <w:sz w:val="18"/>
                <w:szCs w:val="18"/>
              </w:rPr>
            </w:pPr>
            <w:r>
              <w:rPr>
                <w:color w:val="auto"/>
                <w:sz w:val="18"/>
                <w:szCs w:val="18"/>
              </w:rPr>
              <w:t>200</w:t>
            </w:r>
          </w:p>
        </w:tc>
        <w:tc>
          <w:tcPr>
            <w:tcW w:w="1184" w:type="dxa"/>
            <w:vAlign w:val="center"/>
          </w:tcPr>
          <w:p w14:paraId="5943060D">
            <w:pPr>
              <w:adjustRightInd w:val="0"/>
              <w:snapToGrid w:val="0"/>
              <w:spacing w:line="260" w:lineRule="exact"/>
              <w:ind w:left="228"/>
              <w:rPr>
                <w:color w:val="auto"/>
                <w:sz w:val="18"/>
                <w:szCs w:val="18"/>
              </w:rPr>
            </w:pPr>
            <w:r>
              <w:rPr>
                <w:color w:val="auto"/>
                <w:sz w:val="18"/>
                <w:szCs w:val="18"/>
              </w:rPr>
              <w:t>180</w:t>
            </w:r>
          </w:p>
        </w:tc>
        <w:tc>
          <w:tcPr>
            <w:tcW w:w="1175" w:type="dxa"/>
            <w:vAlign w:val="center"/>
          </w:tcPr>
          <w:p w14:paraId="111BF142">
            <w:pPr>
              <w:adjustRightInd w:val="0"/>
              <w:snapToGrid w:val="0"/>
              <w:spacing w:line="260" w:lineRule="exact"/>
              <w:ind w:left="228"/>
              <w:rPr>
                <w:color w:val="auto"/>
                <w:sz w:val="18"/>
                <w:szCs w:val="18"/>
              </w:rPr>
            </w:pPr>
            <w:r>
              <w:rPr>
                <w:color w:val="auto"/>
                <w:sz w:val="18"/>
                <w:szCs w:val="18"/>
              </w:rPr>
              <w:t>160</w:t>
            </w:r>
          </w:p>
        </w:tc>
        <w:tc>
          <w:tcPr>
            <w:tcW w:w="1107" w:type="dxa"/>
            <w:vAlign w:val="center"/>
          </w:tcPr>
          <w:p w14:paraId="0844DA63">
            <w:pPr>
              <w:adjustRightInd w:val="0"/>
              <w:snapToGrid w:val="0"/>
              <w:spacing w:line="260" w:lineRule="exact"/>
              <w:jc w:val="center"/>
              <w:rPr>
                <w:color w:val="auto"/>
                <w:sz w:val="18"/>
                <w:szCs w:val="18"/>
              </w:rPr>
            </w:pPr>
            <w:r>
              <w:rPr>
                <w:color w:val="auto"/>
                <w:sz w:val="18"/>
                <w:szCs w:val="18"/>
              </w:rPr>
              <w:t>（135）</w:t>
            </w:r>
          </w:p>
        </w:tc>
      </w:tr>
      <w:tr w14:paraId="0C280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2112" w:type="dxa"/>
            <w:vAlign w:val="center"/>
          </w:tcPr>
          <w:p w14:paraId="18358D4B">
            <w:pPr>
              <w:adjustRightInd w:val="0"/>
              <w:snapToGrid w:val="0"/>
              <w:spacing w:line="260" w:lineRule="exact"/>
              <w:ind w:left="228"/>
              <w:jc w:val="center"/>
              <w:rPr>
                <w:color w:val="auto"/>
                <w:sz w:val="18"/>
                <w:szCs w:val="18"/>
              </w:rPr>
            </w:pPr>
            <w:r>
              <w:rPr>
                <w:color w:val="auto"/>
                <w:sz w:val="18"/>
                <w:szCs w:val="18"/>
              </w:rPr>
              <w:t>0.8</w:t>
            </w:r>
          </w:p>
        </w:tc>
        <w:tc>
          <w:tcPr>
            <w:tcW w:w="1270" w:type="dxa"/>
            <w:vAlign w:val="center"/>
          </w:tcPr>
          <w:p w14:paraId="0DB50F4E">
            <w:pPr>
              <w:adjustRightInd w:val="0"/>
              <w:snapToGrid w:val="0"/>
              <w:spacing w:line="260" w:lineRule="exact"/>
              <w:jc w:val="center"/>
              <w:rPr>
                <w:color w:val="auto"/>
                <w:sz w:val="18"/>
                <w:szCs w:val="18"/>
              </w:rPr>
            </w:pPr>
            <w:r>
              <w:rPr>
                <w:color w:val="auto"/>
                <w:sz w:val="18"/>
                <w:szCs w:val="18"/>
              </w:rPr>
              <w:t>220</w:t>
            </w:r>
          </w:p>
        </w:tc>
        <w:tc>
          <w:tcPr>
            <w:tcW w:w="1187" w:type="dxa"/>
            <w:vAlign w:val="center"/>
          </w:tcPr>
          <w:p w14:paraId="0A6B9CC8">
            <w:pPr>
              <w:adjustRightInd w:val="0"/>
              <w:snapToGrid w:val="0"/>
              <w:spacing w:line="260" w:lineRule="exact"/>
              <w:jc w:val="center"/>
              <w:rPr>
                <w:color w:val="auto"/>
                <w:sz w:val="18"/>
                <w:szCs w:val="18"/>
              </w:rPr>
            </w:pPr>
            <w:r>
              <w:rPr>
                <w:color w:val="auto"/>
                <w:sz w:val="18"/>
                <w:szCs w:val="18"/>
              </w:rPr>
              <w:t>200</w:t>
            </w:r>
          </w:p>
        </w:tc>
        <w:tc>
          <w:tcPr>
            <w:tcW w:w="1107" w:type="dxa"/>
            <w:vAlign w:val="center"/>
          </w:tcPr>
          <w:p w14:paraId="7031AB08">
            <w:pPr>
              <w:adjustRightInd w:val="0"/>
              <w:snapToGrid w:val="0"/>
              <w:spacing w:line="260" w:lineRule="exact"/>
              <w:ind w:left="228"/>
              <w:rPr>
                <w:color w:val="auto"/>
                <w:sz w:val="18"/>
                <w:szCs w:val="18"/>
              </w:rPr>
            </w:pPr>
            <w:r>
              <w:rPr>
                <w:color w:val="auto"/>
                <w:sz w:val="18"/>
                <w:szCs w:val="18"/>
              </w:rPr>
              <w:t>180</w:t>
            </w:r>
          </w:p>
        </w:tc>
        <w:tc>
          <w:tcPr>
            <w:tcW w:w="1184" w:type="dxa"/>
            <w:vAlign w:val="center"/>
          </w:tcPr>
          <w:p w14:paraId="28CFFD4C">
            <w:pPr>
              <w:adjustRightInd w:val="0"/>
              <w:snapToGrid w:val="0"/>
              <w:spacing w:line="260" w:lineRule="exact"/>
              <w:ind w:left="228"/>
              <w:rPr>
                <w:color w:val="auto"/>
                <w:sz w:val="18"/>
                <w:szCs w:val="18"/>
              </w:rPr>
            </w:pPr>
            <w:r>
              <w:rPr>
                <w:color w:val="auto"/>
                <w:sz w:val="18"/>
                <w:szCs w:val="18"/>
              </w:rPr>
              <w:t>160</w:t>
            </w:r>
          </w:p>
        </w:tc>
        <w:tc>
          <w:tcPr>
            <w:tcW w:w="1175" w:type="dxa"/>
            <w:vAlign w:val="center"/>
          </w:tcPr>
          <w:p w14:paraId="71F00CB3">
            <w:pPr>
              <w:adjustRightInd w:val="0"/>
              <w:snapToGrid w:val="0"/>
              <w:spacing w:line="260" w:lineRule="exact"/>
              <w:ind w:left="228"/>
              <w:rPr>
                <w:color w:val="auto"/>
                <w:sz w:val="18"/>
                <w:szCs w:val="18"/>
              </w:rPr>
            </w:pPr>
            <w:r>
              <w:rPr>
                <w:color w:val="auto"/>
                <w:sz w:val="18"/>
                <w:szCs w:val="18"/>
              </w:rPr>
              <w:t>140</w:t>
            </w:r>
          </w:p>
        </w:tc>
        <w:tc>
          <w:tcPr>
            <w:tcW w:w="1107" w:type="dxa"/>
            <w:vAlign w:val="center"/>
          </w:tcPr>
          <w:p w14:paraId="0C3AEF39">
            <w:pPr>
              <w:adjustRightInd w:val="0"/>
              <w:snapToGrid w:val="0"/>
              <w:spacing w:line="260" w:lineRule="exact"/>
              <w:jc w:val="center"/>
              <w:rPr>
                <w:color w:val="auto"/>
                <w:sz w:val="18"/>
                <w:szCs w:val="18"/>
              </w:rPr>
            </w:pPr>
            <w:r>
              <w:rPr>
                <w:color w:val="auto"/>
                <w:sz w:val="18"/>
                <w:szCs w:val="18"/>
              </w:rPr>
              <w:t>（120）</w:t>
            </w:r>
          </w:p>
        </w:tc>
      </w:tr>
      <w:tr w14:paraId="2CD84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2112" w:type="dxa"/>
            <w:vAlign w:val="center"/>
          </w:tcPr>
          <w:p w14:paraId="13361C01">
            <w:pPr>
              <w:adjustRightInd w:val="0"/>
              <w:snapToGrid w:val="0"/>
              <w:spacing w:line="260" w:lineRule="exact"/>
              <w:ind w:left="228"/>
              <w:jc w:val="center"/>
              <w:rPr>
                <w:color w:val="auto"/>
                <w:sz w:val="18"/>
                <w:szCs w:val="18"/>
              </w:rPr>
            </w:pPr>
            <w:r>
              <w:rPr>
                <w:color w:val="auto"/>
                <w:sz w:val="18"/>
                <w:szCs w:val="18"/>
              </w:rPr>
              <w:t>0.9</w:t>
            </w:r>
          </w:p>
        </w:tc>
        <w:tc>
          <w:tcPr>
            <w:tcW w:w="1270" w:type="dxa"/>
            <w:vAlign w:val="center"/>
          </w:tcPr>
          <w:p w14:paraId="5FA8DF13">
            <w:pPr>
              <w:adjustRightInd w:val="0"/>
              <w:snapToGrid w:val="0"/>
              <w:spacing w:line="260" w:lineRule="exact"/>
              <w:jc w:val="center"/>
              <w:rPr>
                <w:color w:val="auto"/>
                <w:sz w:val="18"/>
                <w:szCs w:val="18"/>
              </w:rPr>
            </w:pPr>
            <w:r>
              <w:rPr>
                <w:color w:val="auto"/>
                <w:sz w:val="18"/>
                <w:szCs w:val="18"/>
              </w:rPr>
              <w:t>190</w:t>
            </w:r>
          </w:p>
        </w:tc>
        <w:tc>
          <w:tcPr>
            <w:tcW w:w="1187" w:type="dxa"/>
            <w:vAlign w:val="center"/>
          </w:tcPr>
          <w:p w14:paraId="012E3318">
            <w:pPr>
              <w:adjustRightInd w:val="0"/>
              <w:snapToGrid w:val="0"/>
              <w:spacing w:line="260" w:lineRule="exact"/>
              <w:jc w:val="center"/>
              <w:rPr>
                <w:color w:val="auto"/>
                <w:sz w:val="18"/>
                <w:szCs w:val="18"/>
              </w:rPr>
            </w:pPr>
            <w:r>
              <w:rPr>
                <w:color w:val="auto"/>
                <w:sz w:val="18"/>
                <w:szCs w:val="18"/>
              </w:rPr>
              <w:t>170</w:t>
            </w:r>
          </w:p>
        </w:tc>
        <w:tc>
          <w:tcPr>
            <w:tcW w:w="1107" w:type="dxa"/>
            <w:vAlign w:val="center"/>
          </w:tcPr>
          <w:p w14:paraId="7D493AB8">
            <w:pPr>
              <w:adjustRightInd w:val="0"/>
              <w:snapToGrid w:val="0"/>
              <w:spacing w:line="260" w:lineRule="exact"/>
              <w:ind w:left="228"/>
              <w:rPr>
                <w:color w:val="auto"/>
                <w:sz w:val="18"/>
                <w:szCs w:val="18"/>
              </w:rPr>
            </w:pPr>
            <w:r>
              <w:rPr>
                <w:color w:val="auto"/>
                <w:sz w:val="18"/>
                <w:szCs w:val="18"/>
              </w:rPr>
              <w:t>150</w:t>
            </w:r>
          </w:p>
        </w:tc>
        <w:tc>
          <w:tcPr>
            <w:tcW w:w="1184" w:type="dxa"/>
            <w:vAlign w:val="center"/>
          </w:tcPr>
          <w:p w14:paraId="12A8141F">
            <w:pPr>
              <w:adjustRightInd w:val="0"/>
              <w:snapToGrid w:val="0"/>
              <w:spacing w:line="260" w:lineRule="exact"/>
              <w:ind w:left="228"/>
              <w:rPr>
                <w:color w:val="auto"/>
                <w:sz w:val="18"/>
                <w:szCs w:val="18"/>
              </w:rPr>
            </w:pPr>
            <w:r>
              <w:rPr>
                <w:color w:val="auto"/>
                <w:sz w:val="18"/>
                <w:szCs w:val="18"/>
              </w:rPr>
              <w:t>130</w:t>
            </w:r>
          </w:p>
        </w:tc>
        <w:tc>
          <w:tcPr>
            <w:tcW w:w="1175" w:type="dxa"/>
            <w:vAlign w:val="center"/>
          </w:tcPr>
          <w:p w14:paraId="184514B4">
            <w:pPr>
              <w:adjustRightInd w:val="0"/>
              <w:snapToGrid w:val="0"/>
              <w:spacing w:line="260" w:lineRule="exact"/>
              <w:ind w:left="228"/>
              <w:rPr>
                <w:color w:val="auto"/>
                <w:sz w:val="18"/>
                <w:szCs w:val="18"/>
              </w:rPr>
            </w:pPr>
            <w:r>
              <w:rPr>
                <w:color w:val="auto"/>
                <w:sz w:val="18"/>
                <w:szCs w:val="18"/>
              </w:rPr>
              <w:t>110</w:t>
            </w:r>
          </w:p>
        </w:tc>
        <w:tc>
          <w:tcPr>
            <w:tcW w:w="1107" w:type="dxa"/>
            <w:vAlign w:val="center"/>
          </w:tcPr>
          <w:p w14:paraId="0894176E">
            <w:pPr>
              <w:adjustRightInd w:val="0"/>
              <w:snapToGrid w:val="0"/>
              <w:spacing w:line="260" w:lineRule="exact"/>
              <w:jc w:val="center"/>
              <w:rPr>
                <w:color w:val="auto"/>
                <w:sz w:val="18"/>
                <w:szCs w:val="18"/>
              </w:rPr>
            </w:pPr>
            <w:r>
              <w:rPr>
                <w:color w:val="auto"/>
                <w:sz w:val="18"/>
                <w:szCs w:val="18"/>
              </w:rPr>
              <w:t>（100）</w:t>
            </w:r>
          </w:p>
        </w:tc>
      </w:tr>
      <w:tr w14:paraId="3CADC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2112" w:type="dxa"/>
            <w:vAlign w:val="center"/>
          </w:tcPr>
          <w:p w14:paraId="30E08406">
            <w:pPr>
              <w:adjustRightInd w:val="0"/>
              <w:snapToGrid w:val="0"/>
              <w:spacing w:line="260" w:lineRule="exact"/>
              <w:ind w:left="228"/>
              <w:jc w:val="center"/>
              <w:rPr>
                <w:color w:val="auto"/>
                <w:sz w:val="18"/>
                <w:szCs w:val="18"/>
              </w:rPr>
            </w:pPr>
            <w:r>
              <w:rPr>
                <w:color w:val="auto"/>
                <w:sz w:val="18"/>
                <w:szCs w:val="18"/>
              </w:rPr>
              <w:t>1.0</w:t>
            </w:r>
          </w:p>
        </w:tc>
        <w:tc>
          <w:tcPr>
            <w:tcW w:w="1270" w:type="dxa"/>
            <w:vAlign w:val="center"/>
          </w:tcPr>
          <w:p w14:paraId="3209B04E">
            <w:pPr>
              <w:adjustRightInd w:val="0"/>
              <w:snapToGrid w:val="0"/>
              <w:spacing w:line="260" w:lineRule="exact"/>
              <w:jc w:val="center"/>
              <w:rPr>
                <w:color w:val="auto"/>
                <w:sz w:val="18"/>
                <w:szCs w:val="18"/>
              </w:rPr>
            </w:pPr>
            <w:r>
              <w:rPr>
                <w:color w:val="auto"/>
                <w:sz w:val="18"/>
                <w:szCs w:val="18"/>
              </w:rPr>
              <w:t>160</w:t>
            </w:r>
          </w:p>
        </w:tc>
        <w:tc>
          <w:tcPr>
            <w:tcW w:w="1187" w:type="dxa"/>
            <w:vAlign w:val="center"/>
          </w:tcPr>
          <w:p w14:paraId="510DD7D7">
            <w:pPr>
              <w:adjustRightInd w:val="0"/>
              <w:snapToGrid w:val="0"/>
              <w:spacing w:line="260" w:lineRule="exact"/>
              <w:jc w:val="center"/>
              <w:rPr>
                <w:color w:val="auto"/>
                <w:sz w:val="18"/>
                <w:szCs w:val="18"/>
              </w:rPr>
            </w:pPr>
            <w:r>
              <w:rPr>
                <w:color w:val="auto"/>
                <w:sz w:val="18"/>
                <w:szCs w:val="18"/>
              </w:rPr>
              <w:t>140</w:t>
            </w:r>
          </w:p>
        </w:tc>
        <w:tc>
          <w:tcPr>
            <w:tcW w:w="1107" w:type="dxa"/>
            <w:vAlign w:val="center"/>
          </w:tcPr>
          <w:p w14:paraId="74330023">
            <w:pPr>
              <w:adjustRightInd w:val="0"/>
              <w:snapToGrid w:val="0"/>
              <w:spacing w:line="260" w:lineRule="exact"/>
              <w:ind w:left="228"/>
              <w:rPr>
                <w:color w:val="auto"/>
                <w:sz w:val="18"/>
                <w:szCs w:val="18"/>
              </w:rPr>
            </w:pPr>
            <w:r>
              <w:rPr>
                <w:color w:val="auto"/>
                <w:sz w:val="18"/>
                <w:szCs w:val="18"/>
              </w:rPr>
              <w:t>120</w:t>
            </w:r>
          </w:p>
        </w:tc>
        <w:tc>
          <w:tcPr>
            <w:tcW w:w="1184" w:type="dxa"/>
            <w:vAlign w:val="center"/>
          </w:tcPr>
          <w:p w14:paraId="701C185D">
            <w:pPr>
              <w:adjustRightInd w:val="0"/>
              <w:snapToGrid w:val="0"/>
              <w:spacing w:line="260" w:lineRule="exact"/>
              <w:ind w:left="228"/>
              <w:rPr>
                <w:color w:val="auto"/>
                <w:sz w:val="18"/>
                <w:szCs w:val="18"/>
              </w:rPr>
            </w:pPr>
            <w:r>
              <w:rPr>
                <w:color w:val="auto"/>
                <w:sz w:val="18"/>
                <w:szCs w:val="18"/>
              </w:rPr>
              <w:t>110</w:t>
            </w:r>
          </w:p>
        </w:tc>
        <w:tc>
          <w:tcPr>
            <w:tcW w:w="1175" w:type="dxa"/>
            <w:vAlign w:val="center"/>
          </w:tcPr>
          <w:p w14:paraId="0FD22C46">
            <w:pPr>
              <w:adjustRightInd w:val="0"/>
              <w:snapToGrid w:val="0"/>
              <w:spacing w:line="260" w:lineRule="exact"/>
              <w:ind w:left="228"/>
              <w:rPr>
                <w:color w:val="auto"/>
                <w:sz w:val="18"/>
                <w:szCs w:val="18"/>
              </w:rPr>
            </w:pPr>
            <w:r>
              <w:rPr>
                <w:color w:val="auto"/>
                <w:sz w:val="18"/>
                <w:szCs w:val="18"/>
              </w:rPr>
              <w:t>100</w:t>
            </w:r>
          </w:p>
        </w:tc>
        <w:tc>
          <w:tcPr>
            <w:tcW w:w="1107" w:type="dxa"/>
            <w:vAlign w:val="center"/>
          </w:tcPr>
          <w:p w14:paraId="79E1E191">
            <w:pPr>
              <w:adjustRightInd w:val="0"/>
              <w:snapToGrid w:val="0"/>
              <w:spacing w:line="260" w:lineRule="exact"/>
              <w:jc w:val="center"/>
              <w:rPr>
                <w:color w:val="auto"/>
                <w:sz w:val="18"/>
                <w:szCs w:val="18"/>
              </w:rPr>
            </w:pPr>
            <w:r>
              <w:rPr>
                <w:color w:val="auto"/>
                <w:sz w:val="18"/>
                <w:szCs w:val="18"/>
              </w:rPr>
              <w:t>（90）</w:t>
            </w:r>
          </w:p>
        </w:tc>
      </w:tr>
      <w:tr w14:paraId="2B5E3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2112" w:type="dxa"/>
            <w:vAlign w:val="center"/>
          </w:tcPr>
          <w:p w14:paraId="50B7B54C">
            <w:pPr>
              <w:adjustRightInd w:val="0"/>
              <w:snapToGrid w:val="0"/>
              <w:spacing w:line="260" w:lineRule="exact"/>
              <w:ind w:left="228"/>
              <w:jc w:val="center"/>
              <w:rPr>
                <w:color w:val="auto"/>
                <w:sz w:val="18"/>
                <w:szCs w:val="18"/>
              </w:rPr>
            </w:pPr>
            <w:r>
              <w:rPr>
                <w:color w:val="auto"/>
                <w:sz w:val="18"/>
                <w:szCs w:val="18"/>
              </w:rPr>
              <w:t>1.1</w:t>
            </w:r>
          </w:p>
        </w:tc>
        <w:tc>
          <w:tcPr>
            <w:tcW w:w="1270" w:type="dxa"/>
            <w:vAlign w:val="center"/>
          </w:tcPr>
          <w:p w14:paraId="0E02CCF9">
            <w:pPr>
              <w:adjustRightInd w:val="0"/>
              <w:snapToGrid w:val="0"/>
              <w:spacing w:line="260" w:lineRule="exact"/>
              <w:ind w:left="228"/>
              <w:jc w:val="center"/>
              <w:rPr>
                <w:color w:val="auto"/>
                <w:sz w:val="18"/>
                <w:szCs w:val="18"/>
              </w:rPr>
            </w:pPr>
          </w:p>
        </w:tc>
        <w:tc>
          <w:tcPr>
            <w:tcW w:w="1187" w:type="dxa"/>
            <w:vAlign w:val="center"/>
          </w:tcPr>
          <w:p w14:paraId="5C5533C2">
            <w:pPr>
              <w:adjustRightInd w:val="0"/>
              <w:snapToGrid w:val="0"/>
              <w:spacing w:line="260" w:lineRule="exact"/>
              <w:jc w:val="center"/>
              <w:rPr>
                <w:color w:val="auto"/>
                <w:sz w:val="18"/>
                <w:szCs w:val="18"/>
              </w:rPr>
            </w:pPr>
            <w:r>
              <w:rPr>
                <w:color w:val="auto"/>
                <w:sz w:val="18"/>
                <w:szCs w:val="18"/>
              </w:rPr>
              <w:t>130</w:t>
            </w:r>
          </w:p>
        </w:tc>
        <w:tc>
          <w:tcPr>
            <w:tcW w:w="1107" w:type="dxa"/>
            <w:vAlign w:val="center"/>
          </w:tcPr>
          <w:p w14:paraId="301BC3EF">
            <w:pPr>
              <w:adjustRightInd w:val="0"/>
              <w:snapToGrid w:val="0"/>
              <w:spacing w:line="260" w:lineRule="exact"/>
              <w:ind w:left="228"/>
              <w:rPr>
                <w:color w:val="auto"/>
                <w:sz w:val="18"/>
                <w:szCs w:val="18"/>
              </w:rPr>
            </w:pPr>
            <w:r>
              <w:rPr>
                <w:color w:val="auto"/>
                <w:sz w:val="18"/>
                <w:szCs w:val="18"/>
              </w:rPr>
              <w:t>110</w:t>
            </w:r>
          </w:p>
        </w:tc>
        <w:tc>
          <w:tcPr>
            <w:tcW w:w="1184" w:type="dxa"/>
            <w:vAlign w:val="center"/>
          </w:tcPr>
          <w:p w14:paraId="5AD11657">
            <w:pPr>
              <w:adjustRightInd w:val="0"/>
              <w:snapToGrid w:val="0"/>
              <w:spacing w:line="260" w:lineRule="exact"/>
              <w:ind w:left="228"/>
              <w:rPr>
                <w:color w:val="auto"/>
                <w:sz w:val="18"/>
                <w:szCs w:val="18"/>
              </w:rPr>
            </w:pPr>
            <w:r>
              <w:rPr>
                <w:color w:val="auto"/>
                <w:sz w:val="18"/>
                <w:szCs w:val="18"/>
              </w:rPr>
              <w:t>100</w:t>
            </w:r>
          </w:p>
        </w:tc>
        <w:tc>
          <w:tcPr>
            <w:tcW w:w="1175" w:type="dxa"/>
            <w:vAlign w:val="center"/>
          </w:tcPr>
          <w:p w14:paraId="63F9BBF4">
            <w:pPr>
              <w:adjustRightInd w:val="0"/>
              <w:snapToGrid w:val="0"/>
              <w:spacing w:line="260" w:lineRule="exact"/>
              <w:ind w:left="228"/>
              <w:rPr>
                <w:color w:val="auto"/>
                <w:sz w:val="18"/>
                <w:szCs w:val="18"/>
              </w:rPr>
            </w:pPr>
            <w:r>
              <w:rPr>
                <w:color w:val="auto"/>
                <w:sz w:val="18"/>
                <w:szCs w:val="18"/>
              </w:rPr>
              <w:t>80</w:t>
            </w:r>
          </w:p>
        </w:tc>
        <w:tc>
          <w:tcPr>
            <w:tcW w:w="1107" w:type="dxa"/>
            <w:vAlign w:val="center"/>
          </w:tcPr>
          <w:p w14:paraId="173C969D">
            <w:pPr>
              <w:adjustRightInd w:val="0"/>
              <w:snapToGrid w:val="0"/>
              <w:spacing w:line="260" w:lineRule="exact"/>
              <w:ind w:firstLine="180" w:firstLineChars="100"/>
              <w:rPr>
                <w:color w:val="auto"/>
                <w:sz w:val="18"/>
                <w:szCs w:val="18"/>
              </w:rPr>
            </w:pPr>
            <w:r>
              <w:rPr>
                <w:color w:val="auto"/>
                <w:sz w:val="18"/>
                <w:szCs w:val="18"/>
              </w:rPr>
              <w:t xml:space="preserve"> （70）</w:t>
            </w:r>
          </w:p>
        </w:tc>
      </w:tr>
      <w:tr w14:paraId="42776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 w:hRule="atLeast"/>
          <w:jc w:val="center"/>
        </w:trPr>
        <w:tc>
          <w:tcPr>
            <w:tcW w:w="9142" w:type="dxa"/>
            <w:gridSpan w:val="7"/>
            <w:vAlign w:val="center"/>
          </w:tcPr>
          <w:p w14:paraId="2641CBA4">
            <w:pPr>
              <w:adjustRightInd w:val="0"/>
              <w:snapToGrid w:val="0"/>
              <w:spacing w:line="260" w:lineRule="exact"/>
              <w:rPr>
                <w:color w:val="auto"/>
                <w:sz w:val="18"/>
                <w:szCs w:val="18"/>
              </w:rPr>
            </w:pPr>
            <w:r>
              <w:rPr>
                <w:color w:val="auto"/>
                <w:sz w:val="18"/>
                <w:szCs w:val="18"/>
              </w:rPr>
              <w:t>注：有括号者仅供内插用。</w:t>
            </w:r>
          </w:p>
        </w:tc>
      </w:tr>
    </w:tbl>
    <w:p w14:paraId="3F5CC2F2">
      <w:pPr>
        <w:adjustRightInd w:val="0"/>
        <w:snapToGrid w:val="0"/>
        <w:jc w:val="center"/>
        <w:rPr>
          <w:rFonts w:eastAsia="黑体"/>
          <w:b/>
          <w:color w:val="auto"/>
        </w:rPr>
      </w:pPr>
    </w:p>
    <w:p w14:paraId="7453D620">
      <w:pPr>
        <w:adjustRightInd w:val="0"/>
        <w:snapToGrid w:val="0"/>
        <w:spacing w:before="156" w:beforeLines="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表E.5  新近沉积黏性土承载力特征值</w:t>
      </w:r>
      <w:r>
        <w:rPr>
          <w:rFonts w:eastAsia="黑体"/>
          <w:b/>
          <w:i/>
          <w:color w:val="auto"/>
          <w:szCs w:val="21"/>
        </w:rPr>
        <w:t>ƒ</w:t>
      </w:r>
      <w:r>
        <w:rPr>
          <w:rFonts w:eastAsia="黑体"/>
          <w:b/>
          <w:iCs/>
          <w:color w:val="auto"/>
          <w:szCs w:val="21"/>
          <w:vertAlign w:val="subscript"/>
        </w:rPr>
        <w:t>ak</w:t>
      </w:r>
      <w:r>
        <w:rPr>
          <w:rFonts w:eastAsia="黑体"/>
          <w:b/>
          <w:i/>
          <w:color w:val="auto"/>
          <w:sz w:val="18"/>
          <w:szCs w:val="18"/>
          <w:vertAlign w:val="subscript"/>
        </w:rPr>
        <w:t xml:space="preserve">              </w:t>
      </w:r>
      <w:r>
        <w:rPr>
          <w:rFonts w:eastAsia="黑体"/>
          <w:color w:val="auto"/>
          <w:sz w:val="18"/>
          <w:szCs w:val="18"/>
        </w:rPr>
        <w:t>单位为kPa</w:t>
      </w:r>
    </w:p>
    <w:tbl>
      <w:tblPr>
        <w:tblStyle w:val="36"/>
        <w:tblW w:w="91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624"/>
        <w:gridCol w:w="2181"/>
        <w:gridCol w:w="2299"/>
        <w:gridCol w:w="2048"/>
      </w:tblGrid>
      <w:tr w14:paraId="59542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624" w:type="dxa"/>
            <w:vMerge w:val="restart"/>
            <w:vAlign w:val="center"/>
          </w:tcPr>
          <w:p w14:paraId="6A61CDFA">
            <w:pPr>
              <w:adjustRightInd w:val="0"/>
              <w:snapToGrid w:val="0"/>
              <w:spacing w:line="300" w:lineRule="exact"/>
              <w:ind w:right="720"/>
              <w:jc w:val="center"/>
              <w:rPr>
                <w:color w:val="auto"/>
                <w:sz w:val="18"/>
                <w:szCs w:val="18"/>
              </w:rPr>
            </w:pPr>
            <w:r>
              <w:rPr>
                <w:color w:val="auto"/>
                <w:sz w:val="18"/>
                <w:szCs w:val="18"/>
              </w:rPr>
              <w:t>孔隙比</w:t>
            </w:r>
            <w:r>
              <w:rPr>
                <w:i/>
                <w:color w:val="auto"/>
                <w:sz w:val="18"/>
                <w:szCs w:val="18"/>
              </w:rPr>
              <w:t>e</w:t>
            </w:r>
          </w:p>
        </w:tc>
        <w:tc>
          <w:tcPr>
            <w:tcW w:w="6528" w:type="dxa"/>
            <w:gridSpan w:val="3"/>
            <w:vAlign w:val="center"/>
          </w:tcPr>
          <w:p w14:paraId="0D0678DF">
            <w:pPr>
              <w:adjustRightInd w:val="0"/>
              <w:snapToGrid w:val="0"/>
              <w:spacing w:line="300" w:lineRule="exact"/>
              <w:jc w:val="center"/>
              <w:rPr>
                <w:color w:val="auto"/>
                <w:sz w:val="18"/>
                <w:szCs w:val="18"/>
              </w:rPr>
            </w:pPr>
            <w:r>
              <w:rPr>
                <w:color w:val="auto"/>
                <w:sz w:val="18"/>
                <w:szCs w:val="18"/>
              </w:rPr>
              <w:t>液性指数</w:t>
            </w:r>
            <w:r>
              <w:rPr>
                <w:i/>
                <w:iCs/>
                <w:color w:val="auto"/>
                <w:sz w:val="18"/>
                <w:szCs w:val="18"/>
              </w:rPr>
              <w:t>I</w:t>
            </w:r>
            <w:r>
              <w:rPr>
                <w:iCs/>
                <w:color w:val="auto"/>
                <w:sz w:val="18"/>
                <w:szCs w:val="18"/>
                <w:vertAlign w:val="subscript"/>
              </w:rPr>
              <w:t>L</w:t>
            </w:r>
          </w:p>
        </w:tc>
      </w:tr>
      <w:tr w14:paraId="41132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624" w:type="dxa"/>
            <w:vMerge w:val="continue"/>
          </w:tcPr>
          <w:p w14:paraId="74C7AE38">
            <w:pPr>
              <w:adjustRightInd w:val="0"/>
              <w:snapToGrid w:val="0"/>
              <w:spacing w:line="300" w:lineRule="exact"/>
              <w:jc w:val="right"/>
              <w:rPr>
                <w:color w:val="auto"/>
                <w:sz w:val="18"/>
                <w:szCs w:val="18"/>
              </w:rPr>
            </w:pPr>
          </w:p>
        </w:tc>
        <w:tc>
          <w:tcPr>
            <w:tcW w:w="2181" w:type="dxa"/>
            <w:vAlign w:val="center"/>
          </w:tcPr>
          <w:p w14:paraId="583645BE">
            <w:pPr>
              <w:pStyle w:val="24"/>
              <w:pBdr>
                <w:bottom w:val="none" w:color="auto" w:sz="0" w:space="0"/>
              </w:pBdr>
              <w:tabs>
                <w:tab w:val="clear" w:pos="4153"/>
                <w:tab w:val="clear" w:pos="8306"/>
              </w:tabs>
              <w:adjustRightInd w:val="0"/>
              <w:spacing w:line="300" w:lineRule="exact"/>
              <w:rPr>
                <w:color w:val="auto"/>
              </w:rPr>
            </w:pPr>
            <w:r>
              <w:rPr>
                <w:color w:val="auto"/>
              </w:rPr>
              <w:t>0.25</w:t>
            </w:r>
          </w:p>
        </w:tc>
        <w:tc>
          <w:tcPr>
            <w:tcW w:w="2299" w:type="dxa"/>
            <w:vAlign w:val="center"/>
          </w:tcPr>
          <w:p w14:paraId="11145F02">
            <w:pPr>
              <w:adjustRightInd w:val="0"/>
              <w:snapToGrid w:val="0"/>
              <w:spacing w:line="300" w:lineRule="exact"/>
              <w:jc w:val="center"/>
              <w:rPr>
                <w:color w:val="auto"/>
                <w:sz w:val="18"/>
                <w:szCs w:val="18"/>
              </w:rPr>
            </w:pPr>
            <w:r>
              <w:rPr>
                <w:color w:val="auto"/>
                <w:sz w:val="18"/>
                <w:szCs w:val="18"/>
              </w:rPr>
              <w:t>0.75</w:t>
            </w:r>
          </w:p>
        </w:tc>
        <w:tc>
          <w:tcPr>
            <w:tcW w:w="2048" w:type="dxa"/>
            <w:vAlign w:val="center"/>
          </w:tcPr>
          <w:p w14:paraId="31E334E2">
            <w:pPr>
              <w:adjustRightInd w:val="0"/>
              <w:snapToGrid w:val="0"/>
              <w:spacing w:line="300" w:lineRule="exact"/>
              <w:jc w:val="center"/>
              <w:rPr>
                <w:color w:val="auto"/>
                <w:sz w:val="18"/>
                <w:szCs w:val="18"/>
              </w:rPr>
            </w:pPr>
            <w:r>
              <w:rPr>
                <w:color w:val="auto"/>
                <w:sz w:val="18"/>
                <w:szCs w:val="18"/>
              </w:rPr>
              <w:t>1.25</w:t>
            </w:r>
          </w:p>
        </w:tc>
      </w:tr>
      <w:tr w14:paraId="20726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2624" w:type="dxa"/>
          </w:tcPr>
          <w:p w14:paraId="4C8D198A">
            <w:pPr>
              <w:adjustRightInd w:val="0"/>
              <w:snapToGrid w:val="0"/>
              <w:spacing w:line="300" w:lineRule="exact"/>
              <w:jc w:val="center"/>
              <w:rPr>
                <w:color w:val="auto"/>
                <w:sz w:val="18"/>
                <w:szCs w:val="18"/>
              </w:rPr>
            </w:pPr>
            <w:r>
              <w:rPr>
                <w:color w:val="auto"/>
                <w:sz w:val="18"/>
                <w:szCs w:val="18"/>
              </w:rPr>
              <w:t>0.8</w:t>
            </w:r>
          </w:p>
        </w:tc>
        <w:tc>
          <w:tcPr>
            <w:tcW w:w="2181" w:type="dxa"/>
          </w:tcPr>
          <w:p w14:paraId="68E81830">
            <w:pPr>
              <w:adjustRightInd w:val="0"/>
              <w:snapToGrid w:val="0"/>
              <w:spacing w:line="300" w:lineRule="exact"/>
              <w:jc w:val="center"/>
              <w:rPr>
                <w:color w:val="auto"/>
                <w:sz w:val="18"/>
                <w:szCs w:val="18"/>
              </w:rPr>
            </w:pPr>
            <w:r>
              <w:rPr>
                <w:color w:val="auto"/>
                <w:sz w:val="18"/>
                <w:szCs w:val="18"/>
              </w:rPr>
              <w:t>120</w:t>
            </w:r>
          </w:p>
        </w:tc>
        <w:tc>
          <w:tcPr>
            <w:tcW w:w="2299" w:type="dxa"/>
          </w:tcPr>
          <w:p w14:paraId="76C2306C">
            <w:pPr>
              <w:adjustRightInd w:val="0"/>
              <w:snapToGrid w:val="0"/>
              <w:spacing w:line="300" w:lineRule="exact"/>
              <w:jc w:val="center"/>
              <w:rPr>
                <w:color w:val="auto"/>
                <w:sz w:val="18"/>
                <w:szCs w:val="18"/>
              </w:rPr>
            </w:pPr>
            <w:r>
              <w:rPr>
                <w:color w:val="auto"/>
                <w:sz w:val="18"/>
                <w:szCs w:val="18"/>
              </w:rPr>
              <w:t>100</w:t>
            </w:r>
          </w:p>
        </w:tc>
        <w:tc>
          <w:tcPr>
            <w:tcW w:w="2048" w:type="dxa"/>
          </w:tcPr>
          <w:p w14:paraId="758AD178">
            <w:pPr>
              <w:adjustRightInd w:val="0"/>
              <w:snapToGrid w:val="0"/>
              <w:spacing w:line="300" w:lineRule="exact"/>
              <w:jc w:val="center"/>
              <w:rPr>
                <w:color w:val="auto"/>
                <w:sz w:val="18"/>
                <w:szCs w:val="18"/>
              </w:rPr>
            </w:pPr>
            <w:r>
              <w:rPr>
                <w:color w:val="auto"/>
                <w:sz w:val="18"/>
                <w:szCs w:val="18"/>
              </w:rPr>
              <w:t>80</w:t>
            </w:r>
          </w:p>
        </w:tc>
      </w:tr>
      <w:tr w14:paraId="3F300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2624" w:type="dxa"/>
          </w:tcPr>
          <w:p w14:paraId="5B1A52B6">
            <w:pPr>
              <w:adjustRightInd w:val="0"/>
              <w:snapToGrid w:val="0"/>
              <w:spacing w:line="300" w:lineRule="exact"/>
              <w:jc w:val="center"/>
              <w:rPr>
                <w:color w:val="auto"/>
                <w:sz w:val="18"/>
                <w:szCs w:val="18"/>
              </w:rPr>
            </w:pPr>
            <w:r>
              <w:rPr>
                <w:color w:val="auto"/>
                <w:sz w:val="18"/>
                <w:szCs w:val="18"/>
              </w:rPr>
              <w:t>0.9</w:t>
            </w:r>
          </w:p>
        </w:tc>
        <w:tc>
          <w:tcPr>
            <w:tcW w:w="2181" w:type="dxa"/>
          </w:tcPr>
          <w:p w14:paraId="4CF22A9F">
            <w:pPr>
              <w:adjustRightInd w:val="0"/>
              <w:snapToGrid w:val="0"/>
              <w:spacing w:line="300" w:lineRule="exact"/>
              <w:jc w:val="center"/>
              <w:rPr>
                <w:color w:val="auto"/>
                <w:sz w:val="18"/>
                <w:szCs w:val="18"/>
              </w:rPr>
            </w:pPr>
            <w:r>
              <w:rPr>
                <w:color w:val="auto"/>
                <w:sz w:val="18"/>
                <w:szCs w:val="18"/>
              </w:rPr>
              <w:t>110</w:t>
            </w:r>
          </w:p>
        </w:tc>
        <w:tc>
          <w:tcPr>
            <w:tcW w:w="2299" w:type="dxa"/>
          </w:tcPr>
          <w:p w14:paraId="1F261161">
            <w:pPr>
              <w:adjustRightInd w:val="0"/>
              <w:snapToGrid w:val="0"/>
              <w:spacing w:line="300" w:lineRule="exact"/>
              <w:jc w:val="center"/>
              <w:rPr>
                <w:color w:val="auto"/>
                <w:sz w:val="18"/>
                <w:szCs w:val="18"/>
              </w:rPr>
            </w:pPr>
            <w:r>
              <w:rPr>
                <w:color w:val="auto"/>
                <w:sz w:val="18"/>
                <w:szCs w:val="18"/>
              </w:rPr>
              <w:t>90</w:t>
            </w:r>
          </w:p>
        </w:tc>
        <w:tc>
          <w:tcPr>
            <w:tcW w:w="2048" w:type="dxa"/>
          </w:tcPr>
          <w:p w14:paraId="07D59362">
            <w:pPr>
              <w:adjustRightInd w:val="0"/>
              <w:snapToGrid w:val="0"/>
              <w:spacing w:line="300" w:lineRule="exact"/>
              <w:jc w:val="center"/>
              <w:rPr>
                <w:color w:val="auto"/>
                <w:sz w:val="18"/>
                <w:szCs w:val="18"/>
              </w:rPr>
            </w:pPr>
            <w:r>
              <w:rPr>
                <w:color w:val="auto"/>
                <w:sz w:val="18"/>
                <w:szCs w:val="18"/>
              </w:rPr>
              <w:t>80</w:t>
            </w:r>
          </w:p>
        </w:tc>
      </w:tr>
      <w:tr w14:paraId="702B3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2624" w:type="dxa"/>
          </w:tcPr>
          <w:p w14:paraId="5934721D">
            <w:pPr>
              <w:adjustRightInd w:val="0"/>
              <w:snapToGrid w:val="0"/>
              <w:spacing w:line="300" w:lineRule="exact"/>
              <w:jc w:val="center"/>
              <w:rPr>
                <w:color w:val="auto"/>
                <w:sz w:val="18"/>
                <w:szCs w:val="18"/>
              </w:rPr>
            </w:pPr>
            <w:r>
              <w:rPr>
                <w:color w:val="auto"/>
                <w:sz w:val="18"/>
                <w:szCs w:val="18"/>
              </w:rPr>
              <w:t>1.0</w:t>
            </w:r>
          </w:p>
        </w:tc>
        <w:tc>
          <w:tcPr>
            <w:tcW w:w="2181" w:type="dxa"/>
          </w:tcPr>
          <w:p w14:paraId="285C3ADC">
            <w:pPr>
              <w:adjustRightInd w:val="0"/>
              <w:snapToGrid w:val="0"/>
              <w:spacing w:line="300" w:lineRule="exact"/>
              <w:jc w:val="center"/>
              <w:rPr>
                <w:color w:val="auto"/>
                <w:sz w:val="18"/>
                <w:szCs w:val="18"/>
              </w:rPr>
            </w:pPr>
            <w:r>
              <w:rPr>
                <w:color w:val="auto"/>
                <w:sz w:val="18"/>
                <w:szCs w:val="18"/>
              </w:rPr>
              <w:t>100</w:t>
            </w:r>
          </w:p>
        </w:tc>
        <w:tc>
          <w:tcPr>
            <w:tcW w:w="2299" w:type="dxa"/>
          </w:tcPr>
          <w:p w14:paraId="11B10C1C">
            <w:pPr>
              <w:adjustRightInd w:val="0"/>
              <w:snapToGrid w:val="0"/>
              <w:spacing w:line="300" w:lineRule="exact"/>
              <w:jc w:val="center"/>
              <w:rPr>
                <w:color w:val="auto"/>
                <w:sz w:val="18"/>
                <w:szCs w:val="18"/>
              </w:rPr>
            </w:pPr>
            <w:r>
              <w:rPr>
                <w:color w:val="auto"/>
                <w:sz w:val="18"/>
                <w:szCs w:val="18"/>
              </w:rPr>
              <w:t>80</w:t>
            </w:r>
          </w:p>
        </w:tc>
        <w:tc>
          <w:tcPr>
            <w:tcW w:w="2048" w:type="dxa"/>
          </w:tcPr>
          <w:p w14:paraId="309ACC1B">
            <w:pPr>
              <w:adjustRightInd w:val="0"/>
              <w:snapToGrid w:val="0"/>
              <w:spacing w:line="300" w:lineRule="exact"/>
              <w:jc w:val="center"/>
              <w:rPr>
                <w:color w:val="auto"/>
                <w:sz w:val="18"/>
                <w:szCs w:val="18"/>
              </w:rPr>
            </w:pPr>
            <w:r>
              <w:rPr>
                <w:color w:val="auto"/>
                <w:sz w:val="18"/>
                <w:szCs w:val="18"/>
              </w:rPr>
              <w:t>70</w:t>
            </w:r>
          </w:p>
        </w:tc>
      </w:tr>
      <w:tr w14:paraId="30D62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2624" w:type="dxa"/>
          </w:tcPr>
          <w:p w14:paraId="21BA0B05">
            <w:pPr>
              <w:adjustRightInd w:val="0"/>
              <w:snapToGrid w:val="0"/>
              <w:spacing w:line="300" w:lineRule="exact"/>
              <w:jc w:val="center"/>
              <w:rPr>
                <w:color w:val="auto"/>
                <w:sz w:val="18"/>
                <w:szCs w:val="18"/>
              </w:rPr>
            </w:pPr>
            <w:r>
              <w:rPr>
                <w:color w:val="auto"/>
                <w:sz w:val="18"/>
                <w:szCs w:val="18"/>
              </w:rPr>
              <w:t>1.1</w:t>
            </w:r>
          </w:p>
        </w:tc>
        <w:tc>
          <w:tcPr>
            <w:tcW w:w="2181" w:type="dxa"/>
          </w:tcPr>
          <w:p w14:paraId="5DCEDE42">
            <w:pPr>
              <w:adjustRightInd w:val="0"/>
              <w:snapToGrid w:val="0"/>
              <w:spacing w:line="300" w:lineRule="exact"/>
              <w:jc w:val="center"/>
              <w:rPr>
                <w:color w:val="auto"/>
                <w:sz w:val="18"/>
                <w:szCs w:val="18"/>
              </w:rPr>
            </w:pPr>
            <w:r>
              <w:rPr>
                <w:color w:val="auto"/>
                <w:sz w:val="18"/>
                <w:szCs w:val="18"/>
              </w:rPr>
              <w:t>90</w:t>
            </w:r>
          </w:p>
        </w:tc>
        <w:tc>
          <w:tcPr>
            <w:tcW w:w="2299" w:type="dxa"/>
          </w:tcPr>
          <w:p w14:paraId="74FA674C">
            <w:pPr>
              <w:adjustRightInd w:val="0"/>
              <w:snapToGrid w:val="0"/>
              <w:spacing w:line="300" w:lineRule="exact"/>
              <w:jc w:val="center"/>
              <w:rPr>
                <w:color w:val="auto"/>
                <w:sz w:val="18"/>
                <w:szCs w:val="18"/>
              </w:rPr>
            </w:pPr>
            <w:r>
              <w:rPr>
                <w:color w:val="auto"/>
                <w:sz w:val="18"/>
                <w:szCs w:val="18"/>
              </w:rPr>
              <w:t>70</w:t>
            </w:r>
          </w:p>
        </w:tc>
        <w:tc>
          <w:tcPr>
            <w:tcW w:w="2048" w:type="dxa"/>
          </w:tcPr>
          <w:p w14:paraId="05083663">
            <w:pPr>
              <w:adjustRightInd w:val="0"/>
              <w:snapToGrid w:val="0"/>
              <w:spacing w:line="300" w:lineRule="exact"/>
              <w:jc w:val="center"/>
              <w:rPr>
                <w:color w:val="auto"/>
                <w:sz w:val="18"/>
                <w:szCs w:val="18"/>
              </w:rPr>
            </w:pPr>
            <w:r>
              <w:rPr>
                <w:color w:val="auto"/>
                <w:sz w:val="18"/>
                <w:szCs w:val="18"/>
              </w:rPr>
              <w:t>---</w:t>
            </w:r>
          </w:p>
        </w:tc>
      </w:tr>
    </w:tbl>
    <w:p w14:paraId="0619D292">
      <w:pPr>
        <w:adjustRightInd w:val="0"/>
        <w:snapToGrid w:val="0"/>
        <w:spacing w:line="360" w:lineRule="atLeast"/>
        <w:jc w:val="center"/>
        <w:rPr>
          <w:rFonts w:eastAsia="黑体"/>
          <w:b/>
          <w:color w:val="auto"/>
          <w:szCs w:val="21"/>
        </w:rPr>
      </w:pPr>
    </w:p>
    <w:p w14:paraId="7BD46E16">
      <w:pPr>
        <w:adjustRightInd w:val="0"/>
        <w:snapToGrid w:val="0"/>
        <w:spacing w:line="360" w:lineRule="atLeast"/>
        <w:jc w:val="center"/>
        <w:rPr>
          <w:rFonts w:eastAsia="黑体"/>
          <w:b/>
          <w:color w:val="auto"/>
          <w:szCs w:val="21"/>
        </w:rPr>
      </w:pPr>
      <w:r>
        <w:rPr>
          <w:rFonts w:eastAsia="黑体"/>
          <w:b/>
          <w:color w:val="auto"/>
          <w:szCs w:val="21"/>
        </w:rPr>
        <w:t>表E.6  老黏性土承载力特征值</w:t>
      </w:r>
      <w:r>
        <w:rPr>
          <w:rFonts w:eastAsia="黑体"/>
          <w:b/>
          <w:i/>
          <w:color w:val="auto"/>
          <w:szCs w:val="21"/>
        </w:rPr>
        <w:t>ƒ</w:t>
      </w:r>
      <w:r>
        <w:rPr>
          <w:rFonts w:eastAsia="黑体"/>
          <w:b/>
          <w:iCs/>
          <w:color w:val="auto"/>
          <w:szCs w:val="21"/>
          <w:vertAlign w:val="subscript"/>
        </w:rPr>
        <w:t>ak</w:t>
      </w:r>
    </w:p>
    <w:tbl>
      <w:tblPr>
        <w:tblStyle w:val="36"/>
        <w:tblW w:w="92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80"/>
        <w:gridCol w:w="1252"/>
        <w:gridCol w:w="1216"/>
        <w:gridCol w:w="1362"/>
        <w:gridCol w:w="1276"/>
        <w:gridCol w:w="1355"/>
        <w:gridCol w:w="1272"/>
      </w:tblGrid>
      <w:tr w14:paraId="5F0C6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1480" w:type="dxa"/>
          </w:tcPr>
          <w:p w14:paraId="1DC01E64">
            <w:pPr>
              <w:adjustRightInd w:val="0"/>
              <w:snapToGrid w:val="0"/>
              <w:spacing w:line="240" w:lineRule="atLeast"/>
              <w:jc w:val="center"/>
              <w:rPr>
                <w:color w:val="auto"/>
                <w:sz w:val="18"/>
                <w:szCs w:val="18"/>
              </w:rPr>
            </w:pPr>
            <w:r>
              <w:rPr>
                <w:color w:val="auto"/>
                <w:sz w:val="18"/>
                <w:szCs w:val="18"/>
              </w:rPr>
              <w:t>含水比</w:t>
            </w:r>
            <w:r>
              <w:rPr>
                <w:color w:val="auto"/>
                <w:position w:val="-12"/>
                <w:sz w:val="18"/>
                <w:szCs w:val="18"/>
              </w:rPr>
              <w:object>
                <v:shape id="_x0000_i1653" o:spt="75" type="#_x0000_t75" style="height:14.25pt;width:14.25pt;" o:ole="t" filled="f" o:preferrelative="t" stroked="f" coordsize="21600,21600">
                  <v:path/>
                  <v:fill on="f" focussize="0,0"/>
                  <v:stroke on="f" joinstyle="miter"/>
                  <v:imagedata r:id="rId1238" o:title=""/>
                  <o:lock v:ext="edit" aspectratio="t"/>
                  <w10:wrap type="none"/>
                  <w10:anchorlock/>
                </v:shape>
                <o:OLEObject Type="Embed" ProgID="Equation.DSMT4" ShapeID="_x0000_i1653" DrawAspect="Content" ObjectID="_1468076353" r:id="rId1237">
                  <o:LockedField>false</o:LockedField>
                </o:OLEObject>
              </w:object>
            </w:r>
          </w:p>
        </w:tc>
        <w:tc>
          <w:tcPr>
            <w:tcW w:w="1252" w:type="dxa"/>
            <w:vAlign w:val="center"/>
          </w:tcPr>
          <w:p w14:paraId="3B8E3ED3">
            <w:pPr>
              <w:adjustRightInd w:val="0"/>
              <w:snapToGrid w:val="0"/>
              <w:spacing w:line="300" w:lineRule="exact"/>
              <w:jc w:val="center"/>
              <w:rPr>
                <w:color w:val="auto"/>
                <w:sz w:val="18"/>
                <w:szCs w:val="18"/>
              </w:rPr>
            </w:pPr>
            <w:r>
              <w:rPr>
                <w:color w:val="auto"/>
                <w:sz w:val="18"/>
                <w:szCs w:val="18"/>
              </w:rPr>
              <w:t>0.50</w:t>
            </w:r>
          </w:p>
        </w:tc>
        <w:tc>
          <w:tcPr>
            <w:tcW w:w="1216" w:type="dxa"/>
            <w:vAlign w:val="center"/>
          </w:tcPr>
          <w:p w14:paraId="2B2A3D52">
            <w:pPr>
              <w:adjustRightInd w:val="0"/>
              <w:snapToGrid w:val="0"/>
              <w:spacing w:line="300" w:lineRule="exact"/>
              <w:jc w:val="center"/>
              <w:rPr>
                <w:color w:val="auto"/>
                <w:sz w:val="18"/>
                <w:szCs w:val="18"/>
              </w:rPr>
            </w:pPr>
            <w:r>
              <w:rPr>
                <w:color w:val="auto"/>
                <w:sz w:val="18"/>
                <w:szCs w:val="18"/>
              </w:rPr>
              <w:t>0.55</w:t>
            </w:r>
          </w:p>
        </w:tc>
        <w:tc>
          <w:tcPr>
            <w:tcW w:w="1362" w:type="dxa"/>
            <w:vAlign w:val="center"/>
          </w:tcPr>
          <w:p w14:paraId="3D8A2DF3">
            <w:pPr>
              <w:adjustRightInd w:val="0"/>
              <w:snapToGrid w:val="0"/>
              <w:spacing w:line="300" w:lineRule="exact"/>
              <w:jc w:val="center"/>
              <w:rPr>
                <w:color w:val="auto"/>
                <w:sz w:val="18"/>
                <w:szCs w:val="18"/>
              </w:rPr>
            </w:pPr>
            <w:r>
              <w:rPr>
                <w:color w:val="auto"/>
                <w:sz w:val="18"/>
                <w:szCs w:val="18"/>
              </w:rPr>
              <w:t>0.60</w:t>
            </w:r>
          </w:p>
        </w:tc>
        <w:tc>
          <w:tcPr>
            <w:tcW w:w="1276" w:type="dxa"/>
            <w:vAlign w:val="center"/>
          </w:tcPr>
          <w:p w14:paraId="26FE2E4A">
            <w:pPr>
              <w:adjustRightInd w:val="0"/>
              <w:snapToGrid w:val="0"/>
              <w:spacing w:line="300" w:lineRule="exact"/>
              <w:jc w:val="center"/>
              <w:rPr>
                <w:color w:val="auto"/>
                <w:sz w:val="18"/>
                <w:szCs w:val="18"/>
              </w:rPr>
            </w:pPr>
            <w:r>
              <w:rPr>
                <w:color w:val="auto"/>
                <w:sz w:val="18"/>
                <w:szCs w:val="18"/>
              </w:rPr>
              <w:t>0.65</w:t>
            </w:r>
          </w:p>
        </w:tc>
        <w:tc>
          <w:tcPr>
            <w:tcW w:w="1355" w:type="dxa"/>
            <w:vAlign w:val="center"/>
          </w:tcPr>
          <w:p w14:paraId="71C6FE5A">
            <w:pPr>
              <w:adjustRightInd w:val="0"/>
              <w:snapToGrid w:val="0"/>
              <w:spacing w:line="300" w:lineRule="exact"/>
              <w:jc w:val="center"/>
              <w:rPr>
                <w:color w:val="auto"/>
                <w:sz w:val="18"/>
                <w:szCs w:val="18"/>
              </w:rPr>
            </w:pPr>
            <w:r>
              <w:rPr>
                <w:color w:val="auto"/>
                <w:sz w:val="18"/>
                <w:szCs w:val="18"/>
              </w:rPr>
              <w:t>0.70</w:t>
            </w:r>
          </w:p>
        </w:tc>
        <w:tc>
          <w:tcPr>
            <w:tcW w:w="1272" w:type="dxa"/>
            <w:vAlign w:val="center"/>
          </w:tcPr>
          <w:p w14:paraId="03303F87">
            <w:pPr>
              <w:adjustRightInd w:val="0"/>
              <w:snapToGrid w:val="0"/>
              <w:spacing w:line="300" w:lineRule="exact"/>
              <w:jc w:val="center"/>
              <w:rPr>
                <w:color w:val="auto"/>
                <w:sz w:val="18"/>
                <w:szCs w:val="18"/>
              </w:rPr>
            </w:pPr>
            <w:r>
              <w:rPr>
                <w:color w:val="auto"/>
                <w:sz w:val="18"/>
                <w:szCs w:val="18"/>
              </w:rPr>
              <w:t>0.75</w:t>
            </w:r>
          </w:p>
        </w:tc>
      </w:tr>
      <w:tr w14:paraId="71F9C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480" w:type="dxa"/>
          </w:tcPr>
          <w:p w14:paraId="074B35C9">
            <w:pPr>
              <w:adjustRightInd w:val="0"/>
              <w:snapToGrid w:val="0"/>
              <w:spacing w:line="240" w:lineRule="atLeast"/>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c>
          <w:tcPr>
            <w:tcW w:w="1252" w:type="dxa"/>
            <w:vAlign w:val="center"/>
          </w:tcPr>
          <w:p w14:paraId="414CB6B3">
            <w:pPr>
              <w:adjustRightInd w:val="0"/>
              <w:snapToGrid w:val="0"/>
              <w:spacing w:line="240" w:lineRule="atLeast"/>
              <w:jc w:val="center"/>
              <w:rPr>
                <w:color w:val="auto"/>
                <w:sz w:val="18"/>
                <w:szCs w:val="18"/>
              </w:rPr>
            </w:pPr>
            <w:r>
              <w:rPr>
                <w:color w:val="auto"/>
                <w:sz w:val="18"/>
                <w:szCs w:val="18"/>
              </w:rPr>
              <w:t>（630）</w:t>
            </w:r>
          </w:p>
        </w:tc>
        <w:tc>
          <w:tcPr>
            <w:tcW w:w="1216" w:type="dxa"/>
            <w:vAlign w:val="center"/>
          </w:tcPr>
          <w:p w14:paraId="6108D020">
            <w:pPr>
              <w:adjustRightInd w:val="0"/>
              <w:snapToGrid w:val="0"/>
              <w:spacing w:line="240" w:lineRule="atLeast"/>
              <w:jc w:val="center"/>
              <w:rPr>
                <w:color w:val="auto"/>
                <w:sz w:val="18"/>
                <w:szCs w:val="18"/>
              </w:rPr>
            </w:pPr>
            <w:r>
              <w:rPr>
                <w:color w:val="auto"/>
                <w:sz w:val="18"/>
                <w:szCs w:val="18"/>
              </w:rPr>
              <w:t>560</w:t>
            </w:r>
          </w:p>
        </w:tc>
        <w:tc>
          <w:tcPr>
            <w:tcW w:w="1362" w:type="dxa"/>
            <w:vAlign w:val="center"/>
          </w:tcPr>
          <w:p w14:paraId="7CEED421">
            <w:pPr>
              <w:adjustRightInd w:val="0"/>
              <w:snapToGrid w:val="0"/>
              <w:spacing w:line="240" w:lineRule="atLeast"/>
              <w:jc w:val="center"/>
              <w:rPr>
                <w:color w:val="auto"/>
                <w:sz w:val="18"/>
                <w:szCs w:val="18"/>
              </w:rPr>
            </w:pPr>
            <w:r>
              <w:rPr>
                <w:color w:val="auto"/>
                <w:sz w:val="18"/>
                <w:szCs w:val="18"/>
              </w:rPr>
              <w:t>480</w:t>
            </w:r>
          </w:p>
        </w:tc>
        <w:tc>
          <w:tcPr>
            <w:tcW w:w="1276" w:type="dxa"/>
            <w:vAlign w:val="center"/>
          </w:tcPr>
          <w:p w14:paraId="743C1D77">
            <w:pPr>
              <w:adjustRightInd w:val="0"/>
              <w:snapToGrid w:val="0"/>
              <w:spacing w:line="240" w:lineRule="atLeast"/>
              <w:jc w:val="center"/>
              <w:rPr>
                <w:color w:val="auto"/>
                <w:sz w:val="18"/>
                <w:szCs w:val="18"/>
              </w:rPr>
            </w:pPr>
            <w:r>
              <w:rPr>
                <w:color w:val="auto"/>
                <w:sz w:val="18"/>
                <w:szCs w:val="18"/>
              </w:rPr>
              <w:t>430</w:t>
            </w:r>
          </w:p>
        </w:tc>
        <w:tc>
          <w:tcPr>
            <w:tcW w:w="1355" w:type="dxa"/>
            <w:vAlign w:val="center"/>
          </w:tcPr>
          <w:p w14:paraId="14570527">
            <w:pPr>
              <w:adjustRightInd w:val="0"/>
              <w:snapToGrid w:val="0"/>
              <w:spacing w:line="240" w:lineRule="atLeast"/>
              <w:jc w:val="center"/>
              <w:rPr>
                <w:color w:val="auto"/>
                <w:sz w:val="18"/>
                <w:szCs w:val="18"/>
              </w:rPr>
            </w:pPr>
            <w:r>
              <w:rPr>
                <w:color w:val="auto"/>
                <w:sz w:val="18"/>
                <w:szCs w:val="18"/>
              </w:rPr>
              <w:t>380</w:t>
            </w:r>
          </w:p>
        </w:tc>
        <w:tc>
          <w:tcPr>
            <w:tcW w:w="1272" w:type="dxa"/>
            <w:vAlign w:val="center"/>
          </w:tcPr>
          <w:p w14:paraId="5CF0511E">
            <w:pPr>
              <w:adjustRightInd w:val="0"/>
              <w:snapToGrid w:val="0"/>
              <w:spacing w:line="240" w:lineRule="atLeast"/>
              <w:jc w:val="center"/>
              <w:rPr>
                <w:color w:val="auto"/>
                <w:sz w:val="18"/>
                <w:szCs w:val="18"/>
              </w:rPr>
            </w:pPr>
            <w:r>
              <w:rPr>
                <w:color w:val="auto"/>
                <w:sz w:val="18"/>
                <w:szCs w:val="18"/>
              </w:rPr>
              <w:t>（350）</w:t>
            </w:r>
          </w:p>
        </w:tc>
      </w:tr>
      <w:tr w14:paraId="7FC62E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9213" w:type="dxa"/>
            <w:gridSpan w:val="7"/>
          </w:tcPr>
          <w:p w14:paraId="53C4EDE6">
            <w:pPr>
              <w:adjustRightInd w:val="0"/>
              <w:snapToGrid w:val="0"/>
              <w:spacing w:line="240" w:lineRule="atLeast"/>
              <w:rPr>
                <w:color w:val="auto"/>
                <w:sz w:val="18"/>
                <w:szCs w:val="18"/>
              </w:rPr>
            </w:pPr>
            <w:r>
              <w:rPr>
                <w:color w:val="auto"/>
                <w:sz w:val="18"/>
                <w:szCs w:val="18"/>
              </w:rPr>
              <w:t>注</w:t>
            </w:r>
            <w:r>
              <w:rPr>
                <w:b/>
                <w:color w:val="auto"/>
                <w:sz w:val="18"/>
                <w:szCs w:val="18"/>
              </w:rPr>
              <w:t>1</w:t>
            </w:r>
            <w:r>
              <w:rPr>
                <w:color w:val="auto"/>
                <w:sz w:val="18"/>
                <w:szCs w:val="18"/>
              </w:rPr>
              <w:t>：含水比</w:t>
            </w:r>
            <w:r>
              <w:rPr>
                <w:color w:val="auto"/>
                <w:position w:val="-12"/>
                <w:sz w:val="18"/>
                <w:szCs w:val="18"/>
              </w:rPr>
              <w:object>
                <v:shape id="_x0000_i1654" o:spt="75" type="#_x0000_t75" style="height:14.25pt;width:14.25pt;" o:ole="t" filled="f" o:preferrelative="t" stroked="f" coordsize="21600,21600">
                  <v:path/>
                  <v:fill on="f" focussize="0,0"/>
                  <v:stroke on="f" joinstyle="miter"/>
                  <v:imagedata r:id="rId1238" o:title=""/>
                  <o:lock v:ext="edit" aspectratio="t"/>
                  <w10:wrap type="none"/>
                  <w10:anchorlock/>
                </v:shape>
                <o:OLEObject Type="Embed" ProgID="Equation.DSMT4" ShapeID="_x0000_i1654" DrawAspect="Content" ObjectID="_1468076354" r:id="rId1239">
                  <o:LockedField>false</o:LockedField>
                </o:OLEObject>
              </w:object>
            </w:r>
            <w:r>
              <w:rPr>
                <w:color w:val="auto"/>
                <w:sz w:val="18"/>
                <w:szCs w:val="18"/>
              </w:rPr>
              <w:t>为天然含水量</w:t>
            </w:r>
            <w:r>
              <w:rPr>
                <w:i/>
                <w:iCs/>
                <w:color w:val="auto"/>
                <w:sz w:val="18"/>
                <w:szCs w:val="18"/>
              </w:rPr>
              <w:t>w</w:t>
            </w:r>
            <w:r>
              <w:rPr>
                <w:color w:val="auto"/>
                <w:sz w:val="18"/>
                <w:szCs w:val="18"/>
              </w:rPr>
              <w:t>与液限</w:t>
            </w:r>
            <w:r>
              <w:rPr>
                <w:color w:val="auto"/>
                <w:position w:val="-12"/>
                <w:sz w:val="18"/>
                <w:szCs w:val="18"/>
              </w:rPr>
              <w:object>
                <v:shape id="_x0000_i1655" o:spt="75" type="#_x0000_t75" style="height:21.75pt;width:14.25pt;" o:ole="t" filled="f" o:preferrelative="t" stroked="f" coordsize="21600,21600">
                  <v:path/>
                  <v:fill on="f" focussize="0,0"/>
                  <v:stroke on="f" joinstyle="miter"/>
                  <v:imagedata r:id="rId1241" o:title=""/>
                  <o:lock v:ext="edit" aspectratio="t"/>
                  <w10:wrap type="none"/>
                  <w10:anchorlock/>
                </v:shape>
                <o:OLEObject Type="Embed" ProgID="Equation.DSMT4" ShapeID="_x0000_i1655" DrawAspect="Content" ObjectID="_1468076355" r:id="rId1240">
                  <o:LockedField>false</o:LockedField>
                </o:OLEObject>
              </w:object>
            </w:r>
            <w:r>
              <w:rPr>
                <w:color w:val="auto"/>
                <w:sz w:val="18"/>
                <w:szCs w:val="18"/>
              </w:rPr>
              <w:t>的比值；</w:t>
            </w:r>
          </w:p>
          <w:p w14:paraId="61892CFA">
            <w:pPr>
              <w:adjustRightInd w:val="0"/>
              <w:snapToGrid w:val="0"/>
              <w:spacing w:line="220" w:lineRule="exact"/>
              <w:jc w:val="left"/>
              <w:rPr>
                <w:color w:val="auto"/>
                <w:sz w:val="18"/>
                <w:szCs w:val="18"/>
              </w:rPr>
            </w:pPr>
            <w:r>
              <w:rPr>
                <w:color w:val="auto"/>
                <w:sz w:val="18"/>
                <w:szCs w:val="18"/>
              </w:rPr>
              <w:t>注</w:t>
            </w:r>
            <w:r>
              <w:rPr>
                <w:b/>
                <w:color w:val="auto"/>
                <w:sz w:val="18"/>
                <w:szCs w:val="18"/>
              </w:rPr>
              <w:t>2</w:t>
            </w:r>
            <w:r>
              <w:rPr>
                <w:color w:val="auto"/>
                <w:sz w:val="18"/>
                <w:szCs w:val="18"/>
              </w:rPr>
              <w:t>：本表仅适用于静力触探比贯入阻力</w:t>
            </w:r>
            <w:r>
              <w:rPr>
                <w:i/>
                <w:iCs/>
                <w:color w:val="auto"/>
                <w:sz w:val="18"/>
                <w:szCs w:val="18"/>
              </w:rPr>
              <w:t>p</w:t>
            </w:r>
            <w:r>
              <w:rPr>
                <w:iCs/>
                <w:color w:val="auto"/>
                <w:sz w:val="18"/>
                <w:szCs w:val="18"/>
                <w:vertAlign w:val="subscript"/>
              </w:rPr>
              <w:t>s</w:t>
            </w:r>
            <w:r>
              <w:rPr>
                <w:color w:val="auto"/>
                <w:sz w:val="18"/>
                <w:szCs w:val="18"/>
              </w:rPr>
              <w:t>≥3.0MPa的土。</w:t>
            </w:r>
          </w:p>
        </w:tc>
      </w:tr>
    </w:tbl>
    <w:p w14:paraId="6F2A678C">
      <w:pPr>
        <w:adjustRightInd w:val="0"/>
        <w:snapToGrid w:val="0"/>
        <w:spacing w:before="360" w:line="360" w:lineRule="atLeast"/>
        <w:jc w:val="center"/>
        <w:rPr>
          <w:rFonts w:eastAsia="黑体"/>
          <w:b/>
          <w:color w:val="auto"/>
          <w:szCs w:val="21"/>
        </w:rPr>
      </w:pPr>
      <w:r>
        <w:rPr>
          <w:rFonts w:eastAsia="黑体"/>
          <w:b/>
          <w:color w:val="auto"/>
          <w:szCs w:val="21"/>
        </w:rPr>
        <w:t>表E.7  淤泥和淤泥质土承载力特征值</w:t>
      </w:r>
      <w:r>
        <w:rPr>
          <w:rFonts w:eastAsia="黑体"/>
          <w:b/>
          <w:i/>
          <w:color w:val="auto"/>
          <w:szCs w:val="21"/>
        </w:rPr>
        <w:t>ƒ</w:t>
      </w:r>
      <w:r>
        <w:rPr>
          <w:rFonts w:eastAsia="黑体"/>
          <w:b/>
          <w:iCs/>
          <w:color w:val="auto"/>
          <w:szCs w:val="21"/>
          <w:vertAlign w:val="subscript"/>
        </w:rPr>
        <w:t>ak</w:t>
      </w:r>
    </w:p>
    <w:tbl>
      <w:tblPr>
        <w:tblStyle w:val="36"/>
        <w:tblW w:w="92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54"/>
        <w:gridCol w:w="1266"/>
        <w:gridCol w:w="1240"/>
        <w:gridCol w:w="1169"/>
        <w:gridCol w:w="1169"/>
        <w:gridCol w:w="1184"/>
        <w:gridCol w:w="1133"/>
      </w:tblGrid>
      <w:tr w14:paraId="2976C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2054" w:type="dxa"/>
            <w:vAlign w:val="center"/>
          </w:tcPr>
          <w:p w14:paraId="1153644C">
            <w:pPr>
              <w:adjustRightInd w:val="0"/>
              <w:snapToGrid w:val="0"/>
              <w:spacing w:line="260" w:lineRule="exact"/>
              <w:jc w:val="center"/>
              <w:rPr>
                <w:color w:val="auto"/>
                <w:sz w:val="18"/>
                <w:szCs w:val="18"/>
              </w:rPr>
            </w:pPr>
            <w:r>
              <w:rPr>
                <w:color w:val="auto"/>
                <w:sz w:val="18"/>
                <w:szCs w:val="18"/>
              </w:rPr>
              <w:t>天然含水量</w:t>
            </w:r>
            <w:r>
              <w:rPr>
                <w:i/>
                <w:iCs/>
                <w:color w:val="auto"/>
                <w:sz w:val="18"/>
                <w:szCs w:val="18"/>
              </w:rPr>
              <w:t>w</w:t>
            </w:r>
            <w:r>
              <w:rPr>
                <w:iCs/>
                <w:color w:val="auto"/>
                <w:sz w:val="18"/>
                <w:szCs w:val="18"/>
              </w:rPr>
              <w:t>（</w:t>
            </w:r>
            <w:r>
              <w:rPr>
                <w:color w:val="auto"/>
                <w:sz w:val="18"/>
                <w:szCs w:val="18"/>
              </w:rPr>
              <w:t>%）</w:t>
            </w:r>
          </w:p>
        </w:tc>
        <w:tc>
          <w:tcPr>
            <w:tcW w:w="1266" w:type="dxa"/>
            <w:vAlign w:val="center"/>
          </w:tcPr>
          <w:p w14:paraId="0F283208">
            <w:pPr>
              <w:adjustRightInd w:val="0"/>
              <w:snapToGrid w:val="0"/>
              <w:spacing w:line="260" w:lineRule="exact"/>
              <w:jc w:val="center"/>
              <w:rPr>
                <w:color w:val="auto"/>
                <w:sz w:val="18"/>
                <w:szCs w:val="18"/>
              </w:rPr>
            </w:pPr>
            <w:r>
              <w:rPr>
                <w:color w:val="auto"/>
                <w:sz w:val="18"/>
                <w:szCs w:val="18"/>
              </w:rPr>
              <w:t>36</w:t>
            </w:r>
          </w:p>
        </w:tc>
        <w:tc>
          <w:tcPr>
            <w:tcW w:w="1240" w:type="dxa"/>
            <w:vAlign w:val="center"/>
          </w:tcPr>
          <w:p w14:paraId="63713E78">
            <w:pPr>
              <w:adjustRightInd w:val="0"/>
              <w:snapToGrid w:val="0"/>
              <w:spacing w:line="260" w:lineRule="exact"/>
              <w:jc w:val="center"/>
              <w:rPr>
                <w:color w:val="auto"/>
                <w:sz w:val="18"/>
                <w:szCs w:val="18"/>
              </w:rPr>
            </w:pPr>
            <w:r>
              <w:rPr>
                <w:color w:val="auto"/>
                <w:sz w:val="18"/>
                <w:szCs w:val="18"/>
              </w:rPr>
              <w:t>40</w:t>
            </w:r>
          </w:p>
        </w:tc>
        <w:tc>
          <w:tcPr>
            <w:tcW w:w="1169" w:type="dxa"/>
            <w:vAlign w:val="center"/>
          </w:tcPr>
          <w:p w14:paraId="3A4D5B46">
            <w:pPr>
              <w:adjustRightInd w:val="0"/>
              <w:snapToGrid w:val="0"/>
              <w:spacing w:line="260" w:lineRule="exact"/>
              <w:jc w:val="center"/>
              <w:rPr>
                <w:color w:val="auto"/>
                <w:sz w:val="18"/>
                <w:szCs w:val="18"/>
              </w:rPr>
            </w:pPr>
            <w:r>
              <w:rPr>
                <w:color w:val="auto"/>
                <w:sz w:val="18"/>
                <w:szCs w:val="18"/>
              </w:rPr>
              <w:t>45</w:t>
            </w:r>
          </w:p>
        </w:tc>
        <w:tc>
          <w:tcPr>
            <w:tcW w:w="1169" w:type="dxa"/>
            <w:vAlign w:val="center"/>
          </w:tcPr>
          <w:p w14:paraId="35DC7090">
            <w:pPr>
              <w:adjustRightInd w:val="0"/>
              <w:snapToGrid w:val="0"/>
              <w:spacing w:line="260" w:lineRule="exact"/>
              <w:jc w:val="center"/>
              <w:rPr>
                <w:color w:val="auto"/>
                <w:sz w:val="18"/>
                <w:szCs w:val="18"/>
              </w:rPr>
            </w:pPr>
            <w:r>
              <w:rPr>
                <w:color w:val="auto"/>
                <w:sz w:val="18"/>
                <w:szCs w:val="18"/>
              </w:rPr>
              <w:t>50</w:t>
            </w:r>
          </w:p>
        </w:tc>
        <w:tc>
          <w:tcPr>
            <w:tcW w:w="1184" w:type="dxa"/>
            <w:vAlign w:val="center"/>
          </w:tcPr>
          <w:p w14:paraId="15A10A0E">
            <w:pPr>
              <w:adjustRightInd w:val="0"/>
              <w:snapToGrid w:val="0"/>
              <w:spacing w:line="260" w:lineRule="exact"/>
              <w:jc w:val="center"/>
              <w:rPr>
                <w:color w:val="auto"/>
                <w:sz w:val="18"/>
                <w:szCs w:val="18"/>
              </w:rPr>
            </w:pPr>
            <w:r>
              <w:rPr>
                <w:color w:val="auto"/>
                <w:sz w:val="18"/>
                <w:szCs w:val="18"/>
              </w:rPr>
              <w:t>55</w:t>
            </w:r>
          </w:p>
        </w:tc>
        <w:tc>
          <w:tcPr>
            <w:tcW w:w="1133" w:type="dxa"/>
            <w:vAlign w:val="center"/>
          </w:tcPr>
          <w:p w14:paraId="3A33689E">
            <w:pPr>
              <w:adjustRightInd w:val="0"/>
              <w:snapToGrid w:val="0"/>
              <w:spacing w:line="260" w:lineRule="exact"/>
              <w:jc w:val="center"/>
              <w:rPr>
                <w:color w:val="auto"/>
                <w:sz w:val="18"/>
                <w:szCs w:val="18"/>
              </w:rPr>
            </w:pPr>
            <w:r>
              <w:rPr>
                <w:color w:val="auto"/>
                <w:sz w:val="18"/>
                <w:szCs w:val="18"/>
              </w:rPr>
              <w:t>65</w:t>
            </w:r>
          </w:p>
        </w:tc>
      </w:tr>
      <w:tr w14:paraId="721BD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2054" w:type="dxa"/>
          </w:tcPr>
          <w:p w14:paraId="5426B6CB">
            <w:pPr>
              <w:adjustRightInd w:val="0"/>
              <w:snapToGrid w:val="0"/>
              <w:spacing w:line="240" w:lineRule="atLeast"/>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c>
          <w:tcPr>
            <w:tcW w:w="1266" w:type="dxa"/>
            <w:vAlign w:val="center"/>
          </w:tcPr>
          <w:p w14:paraId="5DB92C45">
            <w:pPr>
              <w:adjustRightInd w:val="0"/>
              <w:snapToGrid w:val="0"/>
              <w:spacing w:line="240" w:lineRule="atLeast"/>
              <w:jc w:val="center"/>
              <w:rPr>
                <w:color w:val="auto"/>
                <w:sz w:val="18"/>
                <w:szCs w:val="18"/>
              </w:rPr>
            </w:pPr>
            <w:r>
              <w:rPr>
                <w:color w:val="auto"/>
                <w:sz w:val="18"/>
                <w:szCs w:val="18"/>
              </w:rPr>
              <w:t>70</w:t>
            </w:r>
          </w:p>
        </w:tc>
        <w:tc>
          <w:tcPr>
            <w:tcW w:w="1240" w:type="dxa"/>
            <w:vAlign w:val="center"/>
          </w:tcPr>
          <w:p w14:paraId="3B36F3C7">
            <w:pPr>
              <w:adjustRightInd w:val="0"/>
              <w:snapToGrid w:val="0"/>
              <w:spacing w:line="240" w:lineRule="atLeast"/>
              <w:jc w:val="center"/>
              <w:rPr>
                <w:color w:val="auto"/>
                <w:sz w:val="18"/>
                <w:szCs w:val="18"/>
              </w:rPr>
            </w:pPr>
            <w:r>
              <w:rPr>
                <w:color w:val="auto"/>
                <w:sz w:val="18"/>
                <w:szCs w:val="18"/>
              </w:rPr>
              <w:t>65</w:t>
            </w:r>
          </w:p>
        </w:tc>
        <w:tc>
          <w:tcPr>
            <w:tcW w:w="1169" w:type="dxa"/>
            <w:vAlign w:val="center"/>
          </w:tcPr>
          <w:p w14:paraId="0E8DB410">
            <w:pPr>
              <w:adjustRightInd w:val="0"/>
              <w:snapToGrid w:val="0"/>
              <w:spacing w:line="240" w:lineRule="atLeast"/>
              <w:jc w:val="center"/>
              <w:rPr>
                <w:color w:val="auto"/>
                <w:sz w:val="18"/>
                <w:szCs w:val="18"/>
              </w:rPr>
            </w:pPr>
            <w:r>
              <w:rPr>
                <w:color w:val="auto"/>
                <w:sz w:val="18"/>
                <w:szCs w:val="18"/>
              </w:rPr>
              <w:t>60</w:t>
            </w:r>
          </w:p>
        </w:tc>
        <w:tc>
          <w:tcPr>
            <w:tcW w:w="1169" w:type="dxa"/>
            <w:vAlign w:val="center"/>
          </w:tcPr>
          <w:p w14:paraId="6023DCE0">
            <w:pPr>
              <w:adjustRightInd w:val="0"/>
              <w:snapToGrid w:val="0"/>
              <w:spacing w:line="240" w:lineRule="atLeast"/>
              <w:jc w:val="center"/>
              <w:rPr>
                <w:color w:val="auto"/>
                <w:sz w:val="18"/>
                <w:szCs w:val="18"/>
              </w:rPr>
            </w:pPr>
            <w:r>
              <w:rPr>
                <w:color w:val="auto"/>
                <w:sz w:val="18"/>
                <w:szCs w:val="18"/>
              </w:rPr>
              <w:t>55</w:t>
            </w:r>
          </w:p>
        </w:tc>
        <w:tc>
          <w:tcPr>
            <w:tcW w:w="1184" w:type="dxa"/>
            <w:vAlign w:val="center"/>
          </w:tcPr>
          <w:p w14:paraId="7D996D58">
            <w:pPr>
              <w:adjustRightInd w:val="0"/>
              <w:snapToGrid w:val="0"/>
              <w:spacing w:line="240" w:lineRule="atLeast"/>
              <w:jc w:val="center"/>
              <w:rPr>
                <w:color w:val="auto"/>
                <w:sz w:val="18"/>
                <w:szCs w:val="18"/>
              </w:rPr>
            </w:pPr>
            <w:r>
              <w:rPr>
                <w:color w:val="auto"/>
                <w:sz w:val="18"/>
                <w:szCs w:val="18"/>
              </w:rPr>
              <w:t>50</w:t>
            </w:r>
          </w:p>
        </w:tc>
        <w:tc>
          <w:tcPr>
            <w:tcW w:w="1133" w:type="dxa"/>
            <w:vAlign w:val="center"/>
          </w:tcPr>
          <w:p w14:paraId="716F6EEE">
            <w:pPr>
              <w:adjustRightInd w:val="0"/>
              <w:snapToGrid w:val="0"/>
              <w:spacing w:line="240" w:lineRule="atLeast"/>
              <w:jc w:val="center"/>
              <w:rPr>
                <w:color w:val="auto"/>
                <w:sz w:val="18"/>
                <w:szCs w:val="18"/>
              </w:rPr>
            </w:pPr>
            <w:r>
              <w:rPr>
                <w:color w:val="auto"/>
                <w:sz w:val="18"/>
                <w:szCs w:val="18"/>
              </w:rPr>
              <w:t>40</w:t>
            </w:r>
          </w:p>
        </w:tc>
      </w:tr>
    </w:tbl>
    <w:p w14:paraId="614BB3A8">
      <w:pPr>
        <w:adjustRightInd w:val="0"/>
        <w:snapToGrid w:val="0"/>
        <w:spacing w:line="0" w:lineRule="atLeast"/>
        <w:jc w:val="center"/>
        <w:rPr>
          <w:rFonts w:eastAsia="黑体"/>
          <w:b/>
          <w:color w:val="auto"/>
          <w:szCs w:val="21"/>
        </w:rPr>
      </w:pPr>
      <w:r>
        <w:rPr>
          <w:rFonts w:hint="eastAsia" w:eastAsia="黑体"/>
          <w:b/>
          <w:color w:val="auto"/>
          <w:szCs w:val="21"/>
        </w:rPr>
        <w:t xml:space="preserve">                             </w:t>
      </w:r>
    </w:p>
    <w:p w14:paraId="79B413E3">
      <w:pPr>
        <w:wordWrap w:val="0"/>
        <w:adjustRightInd w:val="0"/>
        <w:snapToGrid w:val="0"/>
        <w:spacing w:line="0" w:lineRule="atLeast"/>
        <w:jc w:val="right"/>
        <w:rPr>
          <w:color w:val="auto"/>
          <w:sz w:val="15"/>
          <w:szCs w:val="15"/>
        </w:rPr>
      </w:pPr>
      <w:r>
        <w:rPr>
          <w:rFonts w:eastAsia="黑体"/>
          <w:b/>
          <w:color w:val="auto"/>
          <w:szCs w:val="21"/>
        </w:rPr>
        <w:t>表E.8  红黏土承载力特征值</w:t>
      </w:r>
      <w:r>
        <w:rPr>
          <w:rFonts w:eastAsia="黑体"/>
          <w:b/>
          <w:i/>
          <w:color w:val="auto"/>
          <w:szCs w:val="21"/>
        </w:rPr>
        <w:t>ƒ</w:t>
      </w:r>
      <w:r>
        <w:rPr>
          <w:rFonts w:eastAsia="黑体"/>
          <w:b/>
          <w:iCs/>
          <w:color w:val="auto"/>
          <w:szCs w:val="21"/>
          <w:vertAlign w:val="subscript"/>
        </w:rPr>
        <w:t>ak</w:t>
      </w:r>
      <w:r>
        <w:rPr>
          <w:rFonts w:eastAsia="黑体"/>
          <w:b/>
          <w:color w:val="auto"/>
          <w:szCs w:val="21"/>
        </w:rPr>
        <w:t xml:space="preserve"> </w:t>
      </w:r>
      <w:r>
        <w:rPr>
          <w:rFonts w:eastAsia="黑体"/>
          <w:b/>
          <w:color w:val="auto"/>
          <w:sz w:val="18"/>
          <w:szCs w:val="18"/>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color w:val="auto"/>
          <w:sz w:val="15"/>
          <w:szCs w:val="15"/>
        </w:rPr>
        <w:t xml:space="preserve">单位为kPa </w:t>
      </w:r>
    </w:p>
    <w:tbl>
      <w:tblPr>
        <w:tblStyle w:val="36"/>
        <w:tblW w:w="9228"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68"/>
        <w:gridCol w:w="1059"/>
        <w:gridCol w:w="1097"/>
        <w:gridCol w:w="944"/>
        <w:gridCol w:w="944"/>
        <w:gridCol w:w="964"/>
        <w:gridCol w:w="1045"/>
        <w:gridCol w:w="1003"/>
        <w:gridCol w:w="1004"/>
      </w:tblGrid>
      <w:tr w14:paraId="61966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6" w:hRule="atLeast"/>
        </w:trPr>
        <w:tc>
          <w:tcPr>
            <w:tcW w:w="1168" w:type="dxa"/>
            <w:vAlign w:val="center"/>
          </w:tcPr>
          <w:p w14:paraId="506EAA61">
            <w:pPr>
              <w:adjustRightInd w:val="0"/>
              <w:snapToGrid w:val="0"/>
              <w:spacing w:line="400" w:lineRule="exact"/>
              <w:jc w:val="center"/>
              <w:rPr>
                <w:color w:val="auto"/>
                <w:sz w:val="18"/>
                <w:szCs w:val="18"/>
              </w:rPr>
            </w:pPr>
            <w:r>
              <w:rPr>
                <w:color w:val="auto"/>
                <w:sz w:val="18"/>
                <w:szCs w:val="18"/>
              </w:rPr>
              <w:t>Es</w:t>
            </w:r>
            <w:r>
              <w:rPr>
                <w:color w:val="auto"/>
                <w:sz w:val="18"/>
                <w:szCs w:val="18"/>
                <w:vertAlign w:val="subscript"/>
              </w:rPr>
              <w:t>1-2</w:t>
            </w:r>
            <w:r>
              <w:rPr>
                <w:color w:val="auto"/>
                <w:sz w:val="18"/>
                <w:szCs w:val="18"/>
              </w:rPr>
              <w:t>（MPa）</w:t>
            </w:r>
          </w:p>
        </w:tc>
        <w:tc>
          <w:tcPr>
            <w:tcW w:w="1059" w:type="dxa"/>
            <w:vAlign w:val="center"/>
          </w:tcPr>
          <w:p w14:paraId="22F5656C">
            <w:pPr>
              <w:adjustRightInd w:val="0"/>
              <w:snapToGrid w:val="0"/>
              <w:spacing w:line="300" w:lineRule="exact"/>
              <w:jc w:val="center"/>
              <w:rPr>
                <w:color w:val="auto"/>
                <w:sz w:val="18"/>
                <w:szCs w:val="18"/>
              </w:rPr>
            </w:pPr>
            <w:r>
              <w:rPr>
                <w:color w:val="auto"/>
                <w:sz w:val="18"/>
                <w:szCs w:val="18"/>
              </w:rPr>
              <w:t>6</w:t>
            </w:r>
          </w:p>
        </w:tc>
        <w:tc>
          <w:tcPr>
            <w:tcW w:w="1097" w:type="dxa"/>
            <w:vAlign w:val="center"/>
          </w:tcPr>
          <w:p w14:paraId="5B9513AB">
            <w:pPr>
              <w:adjustRightInd w:val="0"/>
              <w:snapToGrid w:val="0"/>
              <w:spacing w:line="300" w:lineRule="exact"/>
              <w:jc w:val="center"/>
              <w:rPr>
                <w:color w:val="auto"/>
                <w:sz w:val="18"/>
                <w:szCs w:val="18"/>
              </w:rPr>
            </w:pPr>
            <w:r>
              <w:rPr>
                <w:color w:val="auto"/>
                <w:sz w:val="18"/>
                <w:szCs w:val="18"/>
              </w:rPr>
              <w:t>8</w:t>
            </w:r>
          </w:p>
        </w:tc>
        <w:tc>
          <w:tcPr>
            <w:tcW w:w="944" w:type="dxa"/>
            <w:vAlign w:val="center"/>
          </w:tcPr>
          <w:p w14:paraId="2ADE0561">
            <w:pPr>
              <w:adjustRightInd w:val="0"/>
              <w:snapToGrid w:val="0"/>
              <w:spacing w:line="300" w:lineRule="exact"/>
              <w:jc w:val="center"/>
              <w:rPr>
                <w:color w:val="auto"/>
                <w:sz w:val="18"/>
                <w:szCs w:val="18"/>
              </w:rPr>
            </w:pPr>
            <w:r>
              <w:rPr>
                <w:color w:val="auto"/>
                <w:sz w:val="18"/>
                <w:szCs w:val="18"/>
              </w:rPr>
              <w:t>10</w:t>
            </w:r>
          </w:p>
        </w:tc>
        <w:tc>
          <w:tcPr>
            <w:tcW w:w="944" w:type="dxa"/>
            <w:vAlign w:val="center"/>
          </w:tcPr>
          <w:p w14:paraId="60D53173">
            <w:pPr>
              <w:adjustRightInd w:val="0"/>
              <w:snapToGrid w:val="0"/>
              <w:spacing w:line="300" w:lineRule="exact"/>
              <w:jc w:val="center"/>
              <w:rPr>
                <w:color w:val="auto"/>
                <w:sz w:val="18"/>
                <w:szCs w:val="18"/>
              </w:rPr>
            </w:pPr>
            <w:r>
              <w:rPr>
                <w:color w:val="auto"/>
                <w:sz w:val="18"/>
                <w:szCs w:val="18"/>
              </w:rPr>
              <w:t>12</w:t>
            </w:r>
          </w:p>
        </w:tc>
        <w:tc>
          <w:tcPr>
            <w:tcW w:w="964" w:type="dxa"/>
            <w:vAlign w:val="center"/>
          </w:tcPr>
          <w:p w14:paraId="244515A8">
            <w:pPr>
              <w:adjustRightInd w:val="0"/>
              <w:snapToGrid w:val="0"/>
              <w:spacing w:line="300" w:lineRule="exact"/>
              <w:jc w:val="center"/>
              <w:rPr>
                <w:color w:val="auto"/>
                <w:sz w:val="18"/>
                <w:szCs w:val="18"/>
              </w:rPr>
            </w:pPr>
            <w:r>
              <w:rPr>
                <w:color w:val="auto"/>
                <w:sz w:val="18"/>
                <w:szCs w:val="18"/>
              </w:rPr>
              <w:t>14</w:t>
            </w:r>
          </w:p>
        </w:tc>
        <w:tc>
          <w:tcPr>
            <w:tcW w:w="1045" w:type="dxa"/>
            <w:tcBorders>
              <w:right w:val="single" w:color="auto" w:sz="4" w:space="0"/>
            </w:tcBorders>
            <w:vAlign w:val="center"/>
          </w:tcPr>
          <w:p w14:paraId="7178A04F">
            <w:pPr>
              <w:adjustRightInd w:val="0"/>
              <w:snapToGrid w:val="0"/>
              <w:spacing w:line="300" w:lineRule="exact"/>
              <w:jc w:val="center"/>
              <w:rPr>
                <w:color w:val="auto"/>
                <w:sz w:val="18"/>
                <w:szCs w:val="18"/>
              </w:rPr>
            </w:pPr>
            <w:r>
              <w:rPr>
                <w:color w:val="auto"/>
                <w:sz w:val="18"/>
                <w:szCs w:val="18"/>
              </w:rPr>
              <w:t>16</w:t>
            </w:r>
          </w:p>
        </w:tc>
        <w:tc>
          <w:tcPr>
            <w:tcW w:w="1003" w:type="dxa"/>
            <w:tcBorders>
              <w:left w:val="single" w:color="auto" w:sz="4" w:space="0"/>
              <w:right w:val="single" w:color="auto" w:sz="4" w:space="0"/>
            </w:tcBorders>
            <w:vAlign w:val="center"/>
          </w:tcPr>
          <w:p w14:paraId="02577BBF">
            <w:pPr>
              <w:adjustRightInd w:val="0"/>
              <w:snapToGrid w:val="0"/>
              <w:spacing w:line="300" w:lineRule="exact"/>
              <w:jc w:val="center"/>
              <w:rPr>
                <w:color w:val="auto"/>
                <w:sz w:val="18"/>
                <w:szCs w:val="18"/>
              </w:rPr>
            </w:pPr>
            <w:r>
              <w:rPr>
                <w:color w:val="auto"/>
                <w:sz w:val="18"/>
                <w:szCs w:val="18"/>
              </w:rPr>
              <w:t>18</w:t>
            </w:r>
          </w:p>
        </w:tc>
        <w:tc>
          <w:tcPr>
            <w:tcW w:w="1004" w:type="dxa"/>
            <w:tcBorders>
              <w:left w:val="single" w:color="auto" w:sz="4" w:space="0"/>
            </w:tcBorders>
            <w:vAlign w:val="center"/>
          </w:tcPr>
          <w:p w14:paraId="622AAEDB">
            <w:pPr>
              <w:adjustRightInd w:val="0"/>
              <w:snapToGrid w:val="0"/>
              <w:spacing w:line="300" w:lineRule="exact"/>
              <w:jc w:val="center"/>
              <w:rPr>
                <w:color w:val="auto"/>
                <w:sz w:val="18"/>
                <w:szCs w:val="18"/>
              </w:rPr>
            </w:pPr>
            <w:r>
              <w:rPr>
                <w:color w:val="auto"/>
                <w:sz w:val="18"/>
                <w:szCs w:val="18"/>
              </w:rPr>
              <w:t>20</w:t>
            </w:r>
          </w:p>
        </w:tc>
      </w:tr>
      <w:tr w14:paraId="0AE29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1" w:hRule="atLeast"/>
        </w:trPr>
        <w:tc>
          <w:tcPr>
            <w:tcW w:w="1168" w:type="dxa"/>
            <w:vAlign w:val="center"/>
          </w:tcPr>
          <w:p w14:paraId="53778E27">
            <w:pPr>
              <w:adjustRightInd w:val="0"/>
              <w:snapToGrid w:val="0"/>
              <w:spacing w:line="400" w:lineRule="exact"/>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c>
          <w:tcPr>
            <w:tcW w:w="1059" w:type="dxa"/>
            <w:vAlign w:val="center"/>
          </w:tcPr>
          <w:p w14:paraId="5DFD7711">
            <w:pPr>
              <w:adjustRightInd w:val="0"/>
              <w:snapToGrid w:val="0"/>
              <w:spacing w:line="300" w:lineRule="exact"/>
              <w:jc w:val="center"/>
              <w:rPr>
                <w:color w:val="auto"/>
                <w:sz w:val="18"/>
                <w:szCs w:val="18"/>
              </w:rPr>
            </w:pPr>
            <w:r>
              <w:rPr>
                <w:color w:val="auto"/>
                <w:sz w:val="18"/>
                <w:szCs w:val="18"/>
              </w:rPr>
              <w:t>2</w:t>
            </w:r>
            <w:r>
              <w:rPr>
                <w:rFonts w:hint="eastAsia"/>
                <w:color w:val="auto"/>
                <w:sz w:val="18"/>
                <w:szCs w:val="18"/>
              </w:rPr>
              <w:t>2</w:t>
            </w:r>
            <w:r>
              <w:rPr>
                <w:color w:val="auto"/>
                <w:sz w:val="18"/>
                <w:szCs w:val="18"/>
              </w:rPr>
              <w:t>0</w:t>
            </w:r>
          </w:p>
        </w:tc>
        <w:tc>
          <w:tcPr>
            <w:tcW w:w="1097" w:type="dxa"/>
            <w:vAlign w:val="center"/>
          </w:tcPr>
          <w:p w14:paraId="1FEA8B26">
            <w:pPr>
              <w:adjustRightInd w:val="0"/>
              <w:snapToGrid w:val="0"/>
              <w:spacing w:line="300" w:lineRule="exact"/>
              <w:jc w:val="center"/>
              <w:rPr>
                <w:color w:val="auto"/>
                <w:sz w:val="18"/>
                <w:szCs w:val="18"/>
              </w:rPr>
            </w:pPr>
            <w:r>
              <w:rPr>
                <w:color w:val="auto"/>
                <w:sz w:val="18"/>
                <w:szCs w:val="18"/>
              </w:rPr>
              <w:t>2</w:t>
            </w:r>
            <w:r>
              <w:rPr>
                <w:rFonts w:hint="eastAsia"/>
                <w:color w:val="auto"/>
                <w:sz w:val="18"/>
                <w:szCs w:val="18"/>
              </w:rPr>
              <w:t>5</w:t>
            </w:r>
            <w:r>
              <w:rPr>
                <w:color w:val="auto"/>
                <w:sz w:val="18"/>
                <w:szCs w:val="18"/>
              </w:rPr>
              <w:t>0</w:t>
            </w:r>
          </w:p>
        </w:tc>
        <w:tc>
          <w:tcPr>
            <w:tcW w:w="944" w:type="dxa"/>
            <w:vAlign w:val="center"/>
          </w:tcPr>
          <w:p w14:paraId="20968F3B">
            <w:pPr>
              <w:adjustRightInd w:val="0"/>
              <w:snapToGrid w:val="0"/>
              <w:spacing w:line="300" w:lineRule="exact"/>
              <w:jc w:val="center"/>
              <w:rPr>
                <w:color w:val="auto"/>
                <w:sz w:val="18"/>
                <w:szCs w:val="18"/>
              </w:rPr>
            </w:pPr>
            <w:r>
              <w:rPr>
                <w:color w:val="auto"/>
                <w:sz w:val="18"/>
                <w:szCs w:val="18"/>
              </w:rPr>
              <w:t>270</w:t>
            </w:r>
          </w:p>
        </w:tc>
        <w:tc>
          <w:tcPr>
            <w:tcW w:w="944" w:type="dxa"/>
            <w:vAlign w:val="center"/>
          </w:tcPr>
          <w:p w14:paraId="25D4CE78">
            <w:pPr>
              <w:adjustRightInd w:val="0"/>
              <w:snapToGrid w:val="0"/>
              <w:spacing w:line="300" w:lineRule="exact"/>
              <w:jc w:val="center"/>
              <w:rPr>
                <w:color w:val="auto"/>
                <w:sz w:val="18"/>
                <w:szCs w:val="18"/>
              </w:rPr>
            </w:pPr>
            <w:r>
              <w:rPr>
                <w:color w:val="auto"/>
                <w:sz w:val="18"/>
                <w:szCs w:val="18"/>
              </w:rPr>
              <w:t>290</w:t>
            </w:r>
          </w:p>
        </w:tc>
        <w:tc>
          <w:tcPr>
            <w:tcW w:w="964" w:type="dxa"/>
            <w:vAlign w:val="center"/>
          </w:tcPr>
          <w:p w14:paraId="6635CE3F">
            <w:pPr>
              <w:adjustRightInd w:val="0"/>
              <w:snapToGrid w:val="0"/>
              <w:spacing w:line="300" w:lineRule="exact"/>
              <w:jc w:val="center"/>
              <w:rPr>
                <w:color w:val="auto"/>
                <w:sz w:val="18"/>
                <w:szCs w:val="18"/>
              </w:rPr>
            </w:pPr>
            <w:r>
              <w:rPr>
                <w:color w:val="auto"/>
                <w:sz w:val="18"/>
                <w:szCs w:val="18"/>
              </w:rPr>
              <w:t>310</w:t>
            </w:r>
          </w:p>
        </w:tc>
        <w:tc>
          <w:tcPr>
            <w:tcW w:w="1045" w:type="dxa"/>
            <w:tcBorders>
              <w:right w:val="single" w:color="auto" w:sz="4" w:space="0"/>
            </w:tcBorders>
            <w:vAlign w:val="center"/>
          </w:tcPr>
          <w:p w14:paraId="44E59322">
            <w:pPr>
              <w:adjustRightInd w:val="0"/>
              <w:snapToGrid w:val="0"/>
              <w:spacing w:line="300" w:lineRule="exact"/>
              <w:jc w:val="center"/>
              <w:rPr>
                <w:color w:val="auto"/>
                <w:sz w:val="18"/>
                <w:szCs w:val="18"/>
              </w:rPr>
            </w:pPr>
            <w:r>
              <w:rPr>
                <w:color w:val="auto"/>
                <w:sz w:val="18"/>
                <w:szCs w:val="18"/>
              </w:rPr>
              <w:t>320</w:t>
            </w:r>
          </w:p>
        </w:tc>
        <w:tc>
          <w:tcPr>
            <w:tcW w:w="1003" w:type="dxa"/>
            <w:tcBorders>
              <w:left w:val="single" w:color="auto" w:sz="4" w:space="0"/>
              <w:right w:val="single" w:color="auto" w:sz="4" w:space="0"/>
            </w:tcBorders>
            <w:vAlign w:val="center"/>
          </w:tcPr>
          <w:p w14:paraId="2663C8D4">
            <w:pPr>
              <w:adjustRightInd w:val="0"/>
              <w:snapToGrid w:val="0"/>
              <w:spacing w:line="300" w:lineRule="exact"/>
              <w:jc w:val="center"/>
              <w:rPr>
                <w:color w:val="auto"/>
                <w:sz w:val="18"/>
                <w:szCs w:val="18"/>
              </w:rPr>
            </w:pPr>
            <w:r>
              <w:rPr>
                <w:color w:val="auto"/>
                <w:sz w:val="18"/>
                <w:szCs w:val="18"/>
              </w:rPr>
              <w:t>330</w:t>
            </w:r>
          </w:p>
        </w:tc>
        <w:tc>
          <w:tcPr>
            <w:tcW w:w="1004" w:type="dxa"/>
            <w:tcBorders>
              <w:left w:val="single" w:color="auto" w:sz="4" w:space="0"/>
            </w:tcBorders>
            <w:vAlign w:val="center"/>
          </w:tcPr>
          <w:p w14:paraId="46632CC5">
            <w:pPr>
              <w:adjustRightInd w:val="0"/>
              <w:snapToGrid w:val="0"/>
              <w:spacing w:line="300" w:lineRule="exact"/>
              <w:jc w:val="center"/>
              <w:rPr>
                <w:color w:val="auto"/>
                <w:sz w:val="18"/>
                <w:szCs w:val="18"/>
              </w:rPr>
            </w:pPr>
            <w:r>
              <w:rPr>
                <w:color w:val="auto"/>
                <w:sz w:val="18"/>
                <w:szCs w:val="18"/>
              </w:rPr>
              <w:t>340</w:t>
            </w:r>
          </w:p>
        </w:tc>
      </w:tr>
      <w:tr w14:paraId="2D84F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2" w:hRule="atLeast"/>
        </w:trPr>
        <w:tc>
          <w:tcPr>
            <w:tcW w:w="9228" w:type="dxa"/>
            <w:gridSpan w:val="9"/>
            <w:vAlign w:val="center"/>
          </w:tcPr>
          <w:p w14:paraId="5756739C">
            <w:pPr>
              <w:adjustRightInd w:val="0"/>
              <w:snapToGrid w:val="0"/>
              <w:spacing w:line="240" w:lineRule="atLeast"/>
              <w:ind w:left="448" w:hanging="448"/>
              <w:rPr>
                <w:color w:val="auto"/>
                <w:sz w:val="18"/>
                <w:szCs w:val="18"/>
              </w:rPr>
            </w:pPr>
            <w:r>
              <w:rPr>
                <w:color w:val="auto"/>
                <w:sz w:val="18"/>
                <w:szCs w:val="18"/>
              </w:rPr>
              <w:t xml:space="preserve">注：本表适用于碳酸盐类岩层的残积红黏土，对极软岩、软岩的残积黏性土也可参照适用。  </w:t>
            </w:r>
          </w:p>
        </w:tc>
      </w:tr>
    </w:tbl>
    <w:p w14:paraId="38EA2830">
      <w:pPr>
        <w:adjustRightInd w:val="0"/>
        <w:snapToGrid w:val="0"/>
        <w:spacing w:before="468" w:beforeLines="1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表E.9  膨胀土承载力特征值</w:t>
      </w:r>
      <w:r>
        <w:rPr>
          <w:rFonts w:eastAsia="黑体"/>
          <w:b/>
          <w:i/>
          <w:color w:val="auto"/>
          <w:szCs w:val="21"/>
        </w:rPr>
        <w:t>ƒ</w:t>
      </w:r>
      <w:r>
        <w:rPr>
          <w:rFonts w:eastAsia="黑体"/>
          <w:b/>
          <w:iCs/>
          <w:color w:val="auto"/>
          <w:szCs w:val="21"/>
          <w:vertAlign w:val="subscript"/>
        </w:rPr>
        <w:t>ak</w:t>
      </w:r>
      <w:r>
        <w:rPr>
          <w:rFonts w:eastAsia="黑体"/>
          <w:b/>
          <w:color w:val="auto"/>
          <w:szCs w:val="21"/>
        </w:rPr>
        <w:t xml:space="preserve"> </w:t>
      </w:r>
      <w:r>
        <w:rPr>
          <w:rFonts w:eastAsia="黑体"/>
          <w:b/>
          <w:color w:val="auto"/>
          <w:sz w:val="18"/>
          <w:szCs w:val="18"/>
        </w:rPr>
        <w:t xml:space="preserve">   </w:t>
      </w:r>
      <w:r>
        <w:rPr>
          <w:rFonts w:hint="eastAsia" w:eastAsia="黑体"/>
          <w:b/>
          <w:color w:val="auto"/>
          <w:sz w:val="18"/>
          <w:szCs w:val="18"/>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 xml:space="preserve"> 单位为kPa</w:t>
      </w:r>
    </w:p>
    <w:tbl>
      <w:tblPr>
        <w:tblStyle w:val="36"/>
        <w:tblW w:w="91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37"/>
        <w:gridCol w:w="2408"/>
        <w:gridCol w:w="2383"/>
        <w:gridCol w:w="2261"/>
      </w:tblGrid>
      <w:tr w14:paraId="1EF10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2137" w:type="dxa"/>
            <w:vMerge w:val="restart"/>
            <w:tcBorders>
              <w:top w:val="single" w:color="auto" w:sz="12" w:space="0"/>
              <w:tl2br w:val="nil"/>
            </w:tcBorders>
            <w:vAlign w:val="center"/>
          </w:tcPr>
          <w:p w14:paraId="6C78DE83">
            <w:pPr>
              <w:adjustRightInd w:val="0"/>
              <w:snapToGrid w:val="0"/>
              <w:jc w:val="center"/>
              <w:rPr>
                <w:bCs/>
                <w:color w:val="auto"/>
                <w:sz w:val="18"/>
                <w:szCs w:val="18"/>
              </w:rPr>
            </w:pPr>
            <w:r>
              <w:rPr>
                <w:bCs/>
                <w:color w:val="auto"/>
                <w:sz w:val="18"/>
                <w:szCs w:val="18"/>
              </w:rPr>
              <w:t>含水比</w:t>
            </w:r>
            <w:r>
              <w:rPr>
                <w:color w:val="auto"/>
                <w:position w:val="-12"/>
                <w:sz w:val="18"/>
                <w:szCs w:val="18"/>
              </w:rPr>
              <w:object>
                <v:shape id="_x0000_i1656" o:spt="75" type="#_x0000_t75" style="height:14.25pt;width:14.25pt;" o:ole="t" filled="f" o:preferrelative="t" stroked="f" coordsize="21600,21600">
                  <v:path/>
                  <v:fill on="f" focussize="0,0"/>
                  <v:stroke on="f" joinstyle="miter"/>
                  <v:imagedata r:id="rId1238" o:title=""/>
                  <o:lock v:ext="edit" aspectratio="t"/>
                  <w10:wrap type="none"/>
                  <w10:anchorlock/>
                </v:shape>
                <o:OLEObject Type="Embed" ProgID="Equation.DSMT4" ShapeID="_x0000_i1656" DrawAspect="Content" ObjectID="_1468076356" r:id="rId1242">
                  <o:LockedField>false</o:LockedField>
                </o:OLEObject>
              </w:object>
            </w:r>
          </w:p>
        </w:tc>
        <w:tc>
          <w:tcPr>
            <w:tcW w:w="7052" w:type="dxa"/>
            <w:gridSpan w:val="3"/>
            <w:vAlign w:val="center"/>
          </w:tcPr>
          <w:p w14:paraId="74B48132">
            <w:pPr>
              <w:adjustRightInd w:val="0"/>
              <w:snapToGrid w:val="0"/>
              <w:jc w:val="center"/>
              <w:rPr>
                <w:bCs/>
                <w:color w:val="auto"/>
                <w:sz w:val="18"/>
                <w:szCs w:val="18"/>
              </w:rPr>
            </w:pPr>
            <w:r>
              <w:rPr>
                <w:bCs/>
                <w:color w:val="auto"/>
                <w:sz w:val="18"/>
                <w:szCs w:val="18"/>
              </w:rPr>
              <w:t>孔隙比</w:t>
            </w:r>
            <w:r>
              <w:rPr>
                <w:bCs/>
                <w:i/>
                <w:color w:val="auto"/>
                <w:sz w:val="18"/>
                <w:szCs w:val="18"/>
              </w:rPr>
              <w:t>e</w:t>
            </w:r>
          </w:p>
        </w:tc>
      </w:tr>
      <w:tr w14:paraId="6E982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2137" w:type="dxa"/>
            <w:vMerge w:val="continue"/>
            <w:tcBorders>
              <w:bottom w:val="single" w:color="auto" w:sz="6" w:space="0"/>
              <w:tl2br w:val="nil"/>
            </w:tcBorders>
            <w:vAlign w:val="center"/>
          </w:tcPr>
          <w:p w14:paraId="704A892D">
            <w:pPr>
              <w:adjustRightInd w:val="0"/>
              <w:snapToGrid w:val="0"/>
              <w:rPr>
                <w:bCs/>
                <w:color w:val="auto"/>
                <w:sz w:val="18"/>
                <w:szCs w:val="18"/>
              </w:rPr>
            </w:pPr>
          </w:p>
        </w:tc>
        <w:tc>
          <w:tcPr>
            <w:tcW w:w="2408" w:type="dxa"/>
            <w:vAlign w:val="center"/>
          </w:tcPr>
          <w:p w14:paraId="1655C722">
            <w:pPr>
              <w:adjustRightInd w:val="0"/>
              <w:snapToGrid w:val="0"/>
              <w:jc w:val="center"/>
              <w:rPr>
                <w:bCs/>
                <w:color w:val="auto"/>
                <w:sz w:val="18"/>
                <w:szCs w:val="18"/>
              </w:rPr>
            </w:pPr>
            <w:r>
              <w:rPr>
                <w:bCs/>
                <w:color w:val="auto"/>
                <w:sz w:val="18"/>
                <w:szCs w:val="18"/>
              </w:rPr>
              <w:t>0.6</w:t>
            </w:r>
          </w:p>
        </w:tc>
        <w:tc>
          <w:tcPr>
            <w:tcW w:w="2383" w:type="dxa"/>
            <w:vAlign w:val="center"/>
          </w:tcPr>
          <w:p w14:paraId="27857645">
            <w:pPr>
              <w:adjustRightInd w:val="0"/>
              <w:snapToGrid w:val="0"/>
              <w:jc w:val="center"/>
              <w:rPr>
                <w:bCs/>
                <w:color w:val="auto"/>
                <w:sz w:val="18"/>
                <w:szCs w:val="18"/>
              </w:rPr>
            </w:pPr>
            <w:r>
              <w:rPr>
                <w:bCs/>
                <w:color w:val="auto"/>
                <w:sz w:val="18"/>
                <w:szCs w:val="18"/>
              </w:rPr>
              <w:t>0.9</w:t>
            </w:r>
          </w:p>
        </w:tc>
        <w:tc>
          <w:tcPr>
            <w:tcW w:w="2261" w:type="dxa"/>
            <w:vAlign w:val="center"/>
          </w:tcPr>
          <w:p w14:paraId="79C39D23">
            <w:pPr>
              <w:adjustRightInd w:val="0"/>
              <w:snapToGrid w:val="0"/>
              <w:jc w:val="center"/>
              <w:rPr>
                <w:bCs/>
                <w:color w:val="auto"/>
                <w:sz w:val="18"/>
                <w:szCs w:val="18"/>
              </w:rPr>
            </w:pPr>
            <w:r>
              <w:rPr>
                <w:bCs/>
                <w:color w:val="auto"/>
                <w:sz w:val="18"/>
                <w:szCs w:val="18"/>
              </w:rPr>
              <w:t>1.1</w:t>
            </w:r>
          </w:p>
        </w:tc>
      </w:tr>
      <w:tr w14:paraId="15D5D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2137" w:type="dxa"/>
            <w:tcBorders>
              <w:top w:val="single" w:color="auto" w:sz="6" w:space="0"/>
            </w:tcBorders>
            <w:vAlign w:val="center"/>
          </w:tcPr>
          <w:p w14:paraId="1C500C2F">
            <w:pPr>
              <w:adjustRightInd w:val="0"/>
              <w:snapToGrid w:val="0"/>
              <w:ind w:firstLine="633" w:firstLineChars="352"/>
              <w:rPr>
                <w:bCs/>
                <w:color w:val="auto"/>
                <w:sz w:val="18"/>
                <w:szCs w:val="18"/>
              </w:rPr>
            </w:pPr>
            <w:r>
              <w:rPr>
                <w:bCs/>
                <w:color w:val="auto"/>
                <w:sz w:val="18"/>
                <w:szCs w:val="18"/>
              </w:rPr>
              <w:t>＜0.5</w:t>
            </w:r>
          </w:p>
          <w:p w14:paraId="2C1F2A07">
            <w:pPr>
              <w:adjustRightInd w:val="0"/>
              <w:snapToGrid w:val="0"/>
              <w:ind w:firstLine="360" w:firstLineChars="200"/>
              <w:rPr>
                <w:bCs/>
                <w:color w:val="auto"/>
                <w:sz w:val="18"/>
                <w:szCs w:val="18"/>
              </w:rPr>
            </w:pPr>
            <w:r>
              <w:rPr>
                <w:bCs/>
                <w:color w:val="auto"/>
                <w:sz w:val="18"/>
                <w:szCs w:val="18"/>
              </w:rPr>
              <w:t>0.5～0.6</w:t>
            </w:r>
          </w:p>
          <w:p w14:paraId="13D7D7D8">
            <w:pPr>
              <w:adjustRightInd w:val="0"/>
              <w:snapToGrid w:val="0"/>
              <w:ind w:firstLine="360" w:firstLineChars="200"/>
              <w:rPr>
                <w:bCs/>
                <w:color w:val="auto"/>
                <w:sz w:val="18"/>
                <w:szCs w:val="18"/>
              </w:rPr>
            </w:pPr>
            <w:r>
              <w:rPr>
                <w:bCs/>
                <w:color w:val="auto"/>
                <w:sz w:val="18"/>
                <w:szCs w:val="18"/>
              </w:rPr>
              <w:t>0.6～0.7</w:t>
            </w:r>
          </w:p>
        </w:tc>
        <w:tc>
          <w:tcPr>
            <w:tcW w:w="2408" w:type="dxa"/>
            <w:vAlign w:val="center"/>
          </w:tcPr>
          <w:p w14:paraId="76B88282">
            <w:pPr>
              <w:adjustRightInd w:val="0"/>
              <w:snapToGrid w:val="0"/>
              <w:jc w:val="center"/>
              <w:rPr>
                <w:bCs/>
                <w:color w:val="auto"/>
                <w:sz w:val="18"/>
                <w:szCs w:val="18"/>
              </w:rPr>
            </w:pPr>
            <w:r>
              <w:rPr>
                <w:bCs/>
                <w:color w:val="auto"/>
                <w:sz w:val="18"/>
                <w:szCs w:val="18"/>
              </w:rPr>
              <w:t>350</w:t>
            </w:r>
          </w:p>
          <w:p w14:paraId="2F7C7160">
            <w:pPr>
              <w:adjustRightInd w:val="0"/>
              <w:snapToGrid w:val="0"/>
              <w:jc w:val="center"/>
              <w:rPr>
                <w:bCs/>
                <w:color w:val="auto"/>
                <w:sz w:val="18"/>
                <w:szCs w:val="18"/>
              </w:rPr>
            </w:pPr>
            <w:r>
              <w:rPr>
                <w:bCs/>
                <w:color w:val="auto"/>
                <w:sz w:val="18"/>
                <w:szCs w:val="18"/>
              </w:rPr>
              <w:t>300</w:t>
            </w:r>
          </w:p>
          <w:p w14:paraId="31D712ED">
            <w:pPr>
              <w:adjustRightInd w:val="0"/>
              <w:snapToGrid w:val="0"/>
              <w:jc w:val="center"/>
              <w:rPr>
                <w:bCs/>
                <w:color w:val="auto"/>
                <w:sz w:val="18"/>
                <w:szCs w:val="18"/>
              </w:rPr>
            </w:pPr>
            <w:r>
              <w:rPr>
                <w:bCs/>
                <w:color w:val="auto"/>
                <w:sz w:val="18"/>
                <w:szCs w:val="18"/>
              </w:rPr>
              <w:t>250</w:t>
            </w:r>
          </w:p>
        </w:tc>
        <w:tc>
          <w:tcPr>
            <w:tcW w:w="2383" w:type="dxa"/>
            <w:vAlign w:val="center"/>
          </w:tcPr>
          <w:p w14:paraId="2E3AA2D8">
            <w:pPr>
              <w:adjustRightInd w:val="0"/>
              <w:snapToGrid w:val="0"/>
              <w:jc w:val="center"/>
              <w:rPr>
                <w:bCs/>
                <w:color w:val="auto"/>
                <w:sz w:val="18"/>
                <w:szCs w:val="18"/>
              </w:rPr>
            </w:pPr>
            <w:r>
              <w:rPr>
                <w:bCs/>
                <w:color w:val="auto"/>
                <w:sz w:val="18"/>
                <w:szCs w:val="18"/>
              </w:rPr>
              <w:t>280</w:t>
            </w:r>
          </w:p>
          <w:p w14:paraId="300ABF9C">
            <w:pPr>
              <w:adjustRightInd w:val="0"/>
              <w:snapToGrid w:val="0"/>
              <w:jc w:val="center"/>
              <w:rPr>
                <w:bCs/>
                <w:color w:val="auto"/>
                <w:sz w:val="18"/>
                <w:szCs w:val="18"/>
              </w:rPr>
            </w:pPr>
            <w:r>
              <w:rPr>
                <w:bCs/>
                <w:color w:val="auto"/>
                <w:sz w:val="18"/>
                <w:szCs w:val="18"/>
              </w:rPr>
              <w:t>220</w:t>
            </w:r>
          </w:p>
          <w:p w14:paraId="7459DE87">
            <w:pPr>
              <w:adjustRightInd w:val="0"/>
              <w:snapToGrid w:val="0"/>
              <w:jc w:val="center"/>
              <w:rPr>
                <w:bCs/>
                <w:color w:val="auto"/>
                <w:sz w:val="18"/>
                <w:szCs w:val="18"/>
              </w:rPr>
            </w:pPr>
            <w:r>
              <w:rPr>
                <w:bCs/>
                <w:color w:val="auto"/>
                <w:sz w:val="18"/>
                <w:szCs w:val="18"/>
              </w:rPr>
              <w:t>200</w:t>
            </w:r>
          </w:p>
        </w:tc>
        <w:tc>
          <w:tcPr>
            <w:tcW w:w="2261" w:type="dxa"/>
            <w:vAlign w:val="center"/>
          </w:tcPr>
          <w:p w14:paraId="526C47F3">
            <w:pPr>
              <w:adjustRightInd w:val="0"/>
              <w:snapToGrid w:val="0"/>
              <w:jc w:val="center"/>
              <w:rPr>
                <w:bCs/>
                <w:color w:val="auto"/>
                <w:sz w:val="18"/>
                <w:szCs w:val="18"/>
              </w:rPr>
            </w:pPr>
            <w:r>
              <w:rPr>
                <w:bCs/>
                <w:color w:val="auto"/>
                <w:sz w:val="18"/>
                <w:szCs w:val="18"/>
              </w:rPr>
              <w:t>200</w:t>
            </w:r>
          </w:p>
          <w:p w14:paraId="2430F20D">
            <w:pPr>
              <w:adjustRightInd w:val="0"/>
              <w:snapToGrid w:val="0"/>
              <w:jc w:val="center"/>
              <w:rPr>
                <w:bCs/>
                <w:color w:val="auto"/>
                <w:sz w:val="18"/>
                <w:szCs w:val="18"/>
              </w:rPr>
            </w:pPr>
            <w:r>
              <w:rPr>
                <w:bCs/>
                <w:color w:val="auto"/>
                <w:sz w:val="18"/>
                <w:szCs w:val="18"/>
              </w:rPr>
              <w:t>170</w:t>
            </w:r>
          </w:p>
          <w:p w14:paraId="22DF4131">
            <w:pPr>
              <w:adjustRightInd w:val="0"/>
              <w:snapToGrid w:val="0"/>
              <w:jc w:val="center"/>
              <w:rPr>
                <w:bCs/>
                <w:color w:val="auto"/>
                <w:sz w:val="18"/>
                <w:szCs w:val="18"/>
              </w:rPr>
            </w:pPr>
            <w:r>
              <w:rPr>
                <w:bCs/>
                <w:color w:val="auto"/>
                <w:sz w:val="18"/>
                <w:szCs w:val="18"/>
              </w:rPr>
              <w:t>150</w:t>
            </w:r>
          </w:p>
        </w:tc>
      </w:tr>
      <w:tr w14:paraId="56F5F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189" w:type="dxa"/>
            <w:gridSpan w:val="4"/>
            <w:vAlign w:val="center"/>
          </w:tcPr>
          <w:p w14:paraId="5E7D0099">
            <w:pPr>
              <w:adjustRightInd w:val="0"/>
              <w:snapToGrid w:val="0"/>
              <w:spacing w:line="260" w:lineRule="atLeast"/>
              <w:rPr>
                <w:bCs/>
                <w:color w:val="auto"/>
                <w:sz w:val="18"/>
                <w:szCs w:val="18"/>
              </w:rPr>
            </w:pPr>
            <w:r>
              <w:rPr>
                <w:bCs/>
                <w:color w:val="auto"/>
                <w:sz w:val="18"/>
                <w:szCs w:val="18"/>
              </w:rPr>
              <w:t>注：此表适用于基坑开挖时土的天然含水量等于或小于勘察取土试验时土的天然含水量。</w:t>
            </w:r>
          </w:p>
        </w:tc>
      </w:tr>
    </w:tbl>
    <w:p w14:paraId="2918840B">
      <w:pPr>
        <w:adjustRightInd w:val="0"/>
        <w:snapToGrid w:val="0"/>
        <w:ind w:left="632" w:right="480" w:hanging="632" w:hangingChars="300"/>
        <w:jc w:val="center"/>
        <w:rPr>
          <w:rFonts w:eastAsia="黑体"/>
          <w:b/>
          <w:color w:val="auto"/>
          <w:szCs w:val="21"/>
        </w:rPr>
      </w:pPr>
    </w:p>
    <w:p w14:paraId="307739BB">
      <w:pPr>
        <w:adjustRightInd w:val="0"/>
        <w:snapToGrid w:val="0"/>
        <w:ind w:left="632" w:right="480" w:hanging="632" w:hangingChars="300"/>
        <w:jc w:val="center"/>
        <w:rPr>
          <w:rFonts w:eastAsia="黑体"/>
          <w:b/>
          <w:color w:val="auto"/>
          <w:szCs w:val="21"/>
        </w:rPr>
      </w:pPr>
    </w:p>
    <w:p w14:paraId="16E165A8">
      <w:pPr>
        <w:adjustRightInd w:val="0"/>
        <w:snapToGrid w:val="0"/>
        <w:ind w:left="632" w:right="-29" w:hanging="632" w:hangingChars="300"/>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表E.10  花岗岩残积土承载力特征值</w:t>
      </w:r>
      <w:r>
        <w:rPr>
          <w:rFonts w:eastAsia="黑体"/>
          <w:b/>
          <w:i/>
          <w:color w:val="auto"/>
          <w:szCs w:val="21"/>
        </w:rPr>
        <w:t>ƒ</w:t>
      </w:r>
      <w:r>
        <w:rPr>
          <w:rFonts w:eastAsia="黑体"/>
          <w:b/>
          <w:iCs/>
          <w:color w:val="auto"/>
          <w:szCs w:val="21"/>
          <w:vertAlign w:val="subscript"/>
        </w:rPr>
        <w:t>ak</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92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977"/>
        <w:gridCol w:w="850"/>
        <w:gridCol w:w="851"/>
        <w:gridCol w:w="709"/>
        <w:gridCol w:w="850"/>
        <w:gridCol w:w="709"/>
        <w:gridCol w:w="850"/>
        <w:gridCol w:w="709"/>
        <w:gridCol w:w="851"/>
        <w:gridCol w:w="874"/>
        <w:gridCol w:w="18"/>
        <w:gridCol w:w="14"/>
      </w:tblGrid>
      <w:tr w14:paraId="79A3CB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365" w:hRule="atLeast"/>
          <w:jc w:val="center"/>
        </w:trPr>
        <w:tc>
          <w:tcPr>
            <w:tcW w:w="1970" w:type="dxa"/>
            <w:gridSpan w:val="2"/>
            <w:tcBorders>
              <w:top w:val="single" w:color="auto" w:sz="12" w:space="0"/>
              <w:left w:val="single" w:color="auto" w:sz="6" w:space="0"/>
              <w:bottom w:val="single" w:color="auto" w:sz="6" w:space="0"/>
              <w:tl2br w:val="nil"/>
            </w:tcBorders>
            <w:vAlign w:val="center"/>
          </w:tcPr>
          <w:p w14:paraId="66332DA5">
            <w:pPr>
              <w:adjustRightInd w:val="0"/>
              <w:snapToGrid w:val="0"/>
              <w:spacing w:line="240" w:lineRule="exact"/>
              <w:ind w:left="-21" w:leftChars="-10"/>
              <w:jc w:val="center"/>
              <w:rPr>
                <w:color w:val="auto"/>
                <w:sz w:val="18"/>
                <w:szCs w:val="18"/>
              </w:rPr>
            </w:pPr>
            <w:r>
              <w:rPr>
                <w:color w:val="auto"/>
                <w:sz w:val="18"/>
                <w:szCs w:val="18"/>
              </w:rPr>
              <w:t>土 类</w:t>
            </w:r>
          </w:p>
        </w:tc>
        <w:tc>
          <w:tcPr>
            <w:tcW w:w="2410" w:type="dxa"/>
            <w:gridSpan w:val="3"/>
            <w:vAlign w:val="center"/>
          </w:tcPr>
          <w:p w14:paraId="6667E7B6">
            <w:pPr>
              <w:adjustRightInd w:val="0"/>
              <w:snapToGrid w:val="0"/>
              <w:spacing w:line="300" w:lineRule="atLeast"/>
              <w:ind w:left="114"/>
              <w:jc w:val="center"/>
              <w:rPr>
                <w:color w:val="auto"/>
                <w:sz w:val="18"/>
                <w:szCs w:val="18"/>
              </w:rPr>
            </w:pPr>
            <w:r>
              <w:rPr>
                <w:color w:val="auto"/>
                <w:sz w:val="18"/>
                <w:szCs w:val="18"/>
              </w:rPr>
              <w:t>砾质黏性土</w:t>
            </w:r>
          </w:p>
        </w:tc>
        <w:tc>
          <w:tcPr>
            <w:tcW w:w="2409" w:type="dxa"/>
            <w:gridSpan w:val="3"/>
            <w:vAlign w:val="center"/>
          </w:tcPr>
          <w:p w14:paraId="2C4D01D6">
            <w:pPr>
              <w:adjustRightInd w:val="0"/>
              <w:snapToGrid w:val="0"/>
              <w:spacing w:line="300" w:lineRule="atLeast"/>
              <w:ind w:left="114"/>
              <w:jc w:val="center"/>
              <w:rPr>
                <w:color w:val="auto"/>
                <w:sz w:val="18"/>
                <w:szCs w:val="18"/>
              </w:rPr>
            </w:pPr>
            <w:r>
              <w:rPr>
                <w:color w:val="auto"/>
                <w:sz w:val="18"/>
                <w:szCs w:val="18"/>
              </w:rPr>
              <w:t>砂质黏性土</w:t>
            </w:r>
          </w:p>
        </w:tc>
        <w:tc>
          <w:tcPr>
            <w:tcW w:w="2452" w:type="dxa"/>
            <w:gridSpan w:val="4"/>
            <w:vAlign w:val="center"/>
          </w:tcPr>
          <w:p w14:paraId="1F631B07">
            <w:pPr>
              <w:adjustRightInd w:val="0"/>
              <w:snapToGrid w:val="0"/>
              <w:spacing w:line="300" w:lineRule="atLeast"/>
              <w:ind w:left="114"/>
              <w:jc w:val="center"/>
              <w:rPr>
                <w:color w:val="auto"/>
                <w:sz w:val="18"/>
                <w:szCs w:val="18"/>
              </w:rPr>
            </w:pPr>
            <w:r>
              <w:rPr>
                <w:color w:val="auto"/>
                <w:sz w:val="18"/>
                <w:szCs w:val="18"/>
              </w:rPr>
              <w:t>黏性土</w:t>
            </w:r>
          </w:p>
        </w:tc>
      </w:tr>
      <w:tr w14:paraId="5E2F27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1970" w:type="dxa"/>
            <w:gridSpan w:val="2"/>
            <w:tcBorders>
              <w:top w:val="single" w:color="auto" w:sz="6" w:space="0"/>
              <w:left w:val="single" w:color="auto" w:sz="6" w:space="0"/>
              <w:bottom w:val="single" w:color="auto" w:sz="6" w:space="0"/>
              <w:tl2br w:val="nil"/>
            </w:tcBorders>
          </w:tcPr>
          <w:p w14:paraId="1A1FDCF3">
            <w:pPr>
              <w:adjustRightInd w:val="0"/>
              <w:snapToGrid w:val="0"/>
              <w:spacing w:line="260" w:lineRule="exact"/>
              <w:ind w:left="-21" w:leftChars="-10"/>
              <w:jc w:val="center"/>
              <w:rPr>
                <w:color w:val="auto"/>
                <w:sz w:val="18"/>
                <w:szCs w:val="18"/>
              </w:rPr>
            </w:pPr>
            <w:r>
              <w:rPr>
                <w:color w:val="auto"/>
                <w:sz w:val="18"/>
                <w:szCs w:val="18"/>
              </w:rPr>
              <w:t>天然含水量</w:t>
            </w:r>
            <w:r>
              <w:rPr>
                <w:i/>
                <w:color w:val="auto"/>
                <w:sz w:val="18"/>
                <w:szCs w:val="18"/>
              </w:rPr>
              <w:t>w</w:t>
            </w:r>
            <w:r>
              <w:rPr>
                <w:color w:val="auto"/>
                <w:sz w:val="18"/>
                <w:szCs w:val="18"/>
              </w:rPr>
              <w:t>（%）</w:t>
            </w:r>
          </w:p>
        </w:tc>
        <w:tc>
          <w:tcPr>
            <w:tcW w:w="850" w:type="dxa"/>
            <w:vAlign w:val="center"/>
          </w:tcPr>
          <w:p w14:paraId="4A3A6C26">
            <w:pPr>
              <w:adjustRightInd w:val="0"/>
              <w:snapToGrid w:val="0"/>
              <w:spacing w:line="300" w:lineRule="atLeast"/>
              <w:ind w:left="-137" w:right="-76" w:rightChars="-36"/>
              <w:jc w:val="center"/>
              <w:rPr>
                <w:color w:val="auto"/>
                <w:sz w:val="18"/>
                <w:szCs w:val="18"/>
              </w:rPr>
            </w:pPr>
            <w:r>
              <w:rPr>
                <w:color w:val="auto"/>
                <w:sz w:val="18"/>
                <w:szCs w:val="18"/>
              </w:rPr>
              <w:t>20</w:t>
            </w:r>
          </w:p>
        </w:tc>
        <w:tc>
          <w:tcPr>
            <w:tcW w:w="851" w:type="dxa"/>
            <w:vAlign w:val="center"/>
          </w:tcPr>
          <w:p w14:paraId="64304E6F">
            <w:pPr>
              <w:adjustRightInd w:val="0"/>
              <w:snapToGrid w:val="0"/>
              <w:spacing w:line="300" w:lineRule="atLeast"/>
              <w:ind w:left="-137" w:right="-76" w:rightChars="-36"/>
              <w:jc w:val="center"/>
              <w:rPr>
                <w:color w:val="auto"/>
                <w:sz w:val="18"/>
                <w:szCs w:val="18"/>
              </w:rPr>
            </w:pPr>
            <w:r>
              <w:rPr>
                <w:color w:val="auto"/>
                <w:sz w:val="18"/>
                <w:szCs w:val="18"/>
              </w:rPr>
              <w:t>30</w:t>
            </w:r>
          </w:p>
        </w:tc>
        <w:tc>
          <w:tcPr>
            <w:tcW w:w="709" w:type="dxa"/>
            <w:vAlign w:val="center"/>
          </w:tcPr>
          <w:p w14:paraId="7E47A9C8">
            <w:pPr>
              <w:adjustRightInd w:val="0"/>
              <w:snapToGrid w:val="0"/>
              <w:spacing w:line="300" w:lineRule="atLeast"/>
              <w:ind w:left="-137" w:right="-76" w:rightChars="-36"/>
              <w:jc w:val="center"/>
              <w:rPr>
                <w:color w:val="auto"/>
                <w:sz w:val="18"/>
                <w:szCs w:val="18"/>
              </w:rPr>
            </w:pPr>
            <w:r>
              <w:rPr>
                <w:color w:val="auto"/>
                <w:sz w:val="18"/>
                <w:szCs w:val="18"/>
              </w:rPr>
              <w:t>40</w:t>
            </w:r>
          </w:p>
        </w:tc>
        <w:tc>
          <w:tcPr>
            <w:tcW w:w="850" w:type="dxa"/>
            <w:vAlign w:val="center"/>
          </w:tcPr>
          <w:p w14:paraId="2A88342F">
            <w:pPr>
              <w:adjustRightInd w:val="0"/>
              <w:snapToGrid w:val="0"/>
              <w:spacing w:line="300" w:lineRule="atLeast"/>
              <w:ind w:left="-39" w:leftChars="-19" w:right="-76" w:rightChars="-36" w:hanging="1"/>
              <w:jc w:val="center"/>
              <w:rPr>
                <w:color w:val="auto"/>
                <w:sz w:val="18"/>
                <w:szCs w:val="18"/>
              </w:rPr>
            </w:pPr>
            <w:r>
              <w:rPr>
                <w:color w:val="auto"/>
                <w:sz w:val="18"/>
                <w:szCs w:val="18"/>
              </w:rPr>
              <w:t>20</w:t>
            </w:r>
          </w:p>
        </w:tc>
        <w:tc>
          <w:tcPr>
            <w:tcW w:w="709" w:type="dxa"/>
            <w:vAlign w:val="center"/>
          </w:tcPr>
          <w:p w14:paraId="6680DCB0">
            <w:pPr>
              <w:adjustRightInd w:val="0"/>
              <w:snapToGrid w:val="0"/>
              <w:spacing w:line="300" w:lineRule="atLeast"/>
              <w:ind w:left="-137" w:right="-76" w:rightChars="-36"/>
              <w:jc w:val="center"/>
              <w:rPr>
                <w:color w:val="auto"/>
                <w:sz w:val="18"/>
                <w:szCs w:val="18"/>
              </w:rPr>
            </w:pPr>
            <w:r>
              <w:rPr>
                <w:color w:val="auto"/>
                <w:sz w:val="18"/>
                <w:szCs w:val="18"/>
              </w:rPr>
              <w:t>30</w:t>
            </w:r>
          </w:p>
        </w:tc>
        <w:tc>
          <w:tcPr>
            <w:tcW w:w="850" w:type="dxa"/>
            <w:vAlign w:val="center"/>
          </w:tcPr>
          <w:p w14:paraId="4DD4D9E2">
            <w:pPr>
              <w:adjustRightInd w:val="0"/>
              <w:snapToGrid w:val="0"/>
              <w:spacing w:line="300" w:lineRule="atLeast"/>
              <w:ind w:left="-137" w:right="-76" w:rightChars="-36"/>
              <w:jc w:val="center"/>
              <w:rPr>
                <w:color w:val="auto"/>
                <w:sz w:val="18"/>
                <w:szCs w:val="18"/>
              </w:rPr>
            </w:pPr>
            <w:r>
              <w:rPr>
                <w:color w:val="auto"/>
                <w:sz w:val="18"/>
                <w:szCs w:val="18"/>
              </w:rPr>
              <w:t>40</w:t>
            </w:r>
          </w:p>
        </w:tc>
        <w:tc>
          <w:tcPr>
            <w:tcW w:w="709" w:type="dxa"/>
            <w:vAlign w:val="center"/>
          </w:tcPr>
          <w:p w14:paraId="7B1EC7C0">
            <w:pPr>
              <w:adjustRightInd w:val="0"/>
              <w:snapToGrid w:val="0"/>
              <w:spacing w:line="300" w:lineRule="atLeast"/>
              <w:ind w:left="-137" w:right="-76" w:rightChars="-36"/>
              <w:jc w:val="center"/>
              <w:rPr>
                <w:color w:val="auto"/>
                <w:sz w:val="18"/>
                <w:szCs w:val="18"/>
              </w:rPr>
            </w:pPr>
            <w:r>
              <w:rPr>
                <w:color w:val="auto"/>
                <w:sz w:val="18"/>
                <w:szCs w:val="18"/>
              </w:rPr>
              <w:t>＜30</w:t>
            </w:r>
          </w:p>
        </w:tc>
        <w:tc>
          <w:tcPr>
            <w:tcW w:w="851" w:type="dxa"/>
            <w:vAlign w:val="center"/>
          </w:tcPr>
          <w:p w14:paraId="3B43F8FC">
            <w:pPr>
              <w:adjustRightInd w:val="0"/>
              <w:snapToGrid w:val="0"/>
              <w:spacing w:line="300" w:lineRule="atLeast"/>
              <w:ind w:left="-137" w:right="-76" w:rightChars="-36"/>
              <w:jc w:val="center"/>
              <w:rPr>
                <w:color w:val="auto"/>
                <w:sz w:val="18"/>
                <w:szCs w:val="18"/>
              </w:rPr>
            </w:pPr>
            <w:r>
              <w:rPr>
                <w:color w:val="auto"/>
                <w:sz w:val="18"/>
                <w:szCs w:val="18"/>
              </w:rPr>
              <w:t>40</w:t>
            </w:r>
          </w:p>
        </w:tc>
        <w:tc>
          <w:tcPr>
            <w:tcW w:w="906" w:type="dxa"/>
            <w:gridSpan w:val="3"/>
            <w:vAlign w:val="center"/>
          </w:tcPr>
          <w:p w14:paraId="6F15586C">
            <w:pPr>
              <w:adjustRightInd w:val="0"/>
              <w:snapToGrid w:val="0"/>
              <w:spacing w:line="300" w:lineRule="atLeast"/>
              <w:ind w:left="-137" w:right="-76" w:rightChars="-36"/>
              <w:jc w:val="center"/>
              <w:rPr>
                <w:color w:val="auto"/>
                <w:sz w:val="18"/>
                <w:szCs w:val="18"/>
              </w:rPr>
            </w:pPr>
            <w:r>
              <w:rPr>
                <w:color w:val="auto"/>
                <w:sz w:val="18"/>
                <w:szCs w:val="18"/>
              </w:rPr>
              <w:t>50</w:t>
            </w:r>
          </w:p>
        </w:tc>
      </w:tr>
      <w:tr w14:paraId="718A9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296" w:hRule="atLeast"/>
          <w:jc w:val="center"/>
        </w:trPr>
        <w:tc>
          <w:tcPr>
            <w:tcW w:w="993" w:type="dxa"/>
            <w:vMerge w:val="restart"/>
            <w:tcBorders>
              <w:top w:val="single" w:color="auto" w:sz="6" w:space="0"/>
            </w:tcBorders>
            <w:vAlign w:val="center"/>
          </w:tcPr>
          <w:p w14:paraId="49B49FBA">
            <w:pPr>
              <w:adjustRightInd w:val="0"/>
              <w:snapToGrid w:val="0"/>
              <w:spacing w:line="300" w:lineRule="atLeast"/>
              <w:ind w:left="-137" w:right="-76" w:rightChars="-36"/>
              <w:jc w:val="center"/>
              <w:rPr>
                <w:color w:val="auto"/>
                <w:sz w:val="18"/>
                <w:szCs w:val="18"/>
              </w:rPr>
            </w:pPr>
            <w:r>
              <w:rPr>
                <w:color w:val="auto"/>
                <w:sz w:val="18"/>
                <w:szCs w:val="18"/>
              </w:rPr>
              <w:t>孔隙比</w:t>
            </w:r>
            <w:r>
              <w:rPr>
                <w:bCs/>
                <w:i/>
                <w:color w:val="auto"/>
                <w:sz w:val="18"/>
                <w:szCs w:val="18"/>
              </w:rPr>
              <w:t>e</w:t>
            </w:r>
          </w:p>
        </w:tc>
        <w:tc>
          <w:tcPr>
            <w:tcW w:w="977" w:type="dxa"/>
            <w:tcBorders>
              <w:top w:val="single" w:color="auto" w:sz="6" w:space="0"/>
            </w:tcBorders>
            <w:vAlign w:val="center"/>
          </w:tcPr>
          <w:p w14:paraId="388EDE04">
            <w:pPr>
              <w:adjustRightInd w:val="0"/>
              <w:snapToGrid w:val="0"/>
              <w:spacing w:line="300" w:lineRule="atLeast"/>
              <w:ind w:left="-137" w:right="-76" w:rightChars="-36"/>
              <w:jc w:val="center"/>
              <w:rPr>
                <w:color w:val="auto"/>
                <w:sz w:val="18"/>
                <w:szCs w:val="18"/>
              </w:rPr>
            </w:pPr>
            <w:r>
              <w:rPr>
                <w:color w:val="auto"/>
                <w:sz w:val="18"/>
                <w:szCs w:val="18"/>
              </w:rPr>
              <w:t>0.6</w:t>
            </w:r>
          </w:p>
        </w:tc>
        <w:tc>
          <w:tcPr>
            <w:tcW w:w="850" w:type="dxa"/>
            <w:vAlign w:val="center"/>
          </w:tcPr>
          <w:p w14:paraId="1ACEDFEB">
            <w:pPr>
              <w:adjustRightInd w:val="0"/>
              <w:snapToGrid w:val="0"/>
              <w:spacing w:line="300" w:lineRule="atLeast"/>
              <w:ind w:left="-137" w:right="-76" w:rightChars="-36"/>
              <w:jc w:val="center"/>
              <w:rPr>
                <w:color w:val="auto"/>
                <w:sz w:val="18"/>
                <w:szCs w:val="18"/>
              </w:rPr>
            </w:pPr>
            <w:r>
              <w:rPr>
                <w:color w:val="auto"/>
                <w:sz w:val="18"/>
                <w:szCs w:val="18"/>
              </w:rPr>
              <w:t>400</w:t>
            </w:r>
          </w:p>
        </w:tc>
        <w:tc>
          <w:tcPr>
            <w:tcW w:w="851" w:type="dxa"/>
            <w:vAlign w:val="center"/>
          </w:tcPr>
          <w:p w14:paraId="355ADA3E">
            <w:pPr>
              <w:adjustRightInd w:val="0"/>
              <w:snapToGrid w:val="0"/>
              <w:spacing w:line="300" w:lineRule="atLeast"/>
              <w:ind w:left="-137" w:right="-76" w:rightChars="-36"/>
              <w:jc w:val="center"/>
              <w:rPr>
                <w:color w:val="auto"/>
                <w:sz w:val="18"/>
                <w:szCs w:val="18"/>
              </w:rPr>
            </w:pPr>
            <w:r>
              <w:rPr>
                <w:color w:val="auto"/>
                <w:sz w:val="18"/>
                <w:szCs w:val="18"/>
              </w:rPr>
              <w:t>（350）</w:t>
            </w:r>
          </w:p>
        </w:tc>
        <w:tc>
          <w:tcPr>
            <w:tcW w:w="709" w:type="dxa"/>
            <w:vAlign w:val="center"/>
          </w:tcPr>
          <w:p w14:paraId="52FDC52A">
            <w:pPr>
              <w:adjustRightInd w:val="0"/>
              <w:snapToGrid w:val="0"/>
              <w:spacing w:line="300" w:lineRule="atLeast"/>
              <w:ind w:left="-137" w:right="-76" w:rightChars="-36"/>
              <w:jc w:val="center"/>
              <w:rPr>
                <w:color w:val="auto"/>
                <w:sz w:val="18"/>
                <w:szCs w:val="18"/>
              </w:rPr>
            </w:pPr>
            <w:r>
              <w:rPr>
                <w:color w:val="auto"/>
                <w:sz w:val="18"/>
                <w:szCs w:val="18"/>
              </w:rPr>
              <w:t>---</w:t>
            </w:r>
          </w:p>
        </w:tc>
        <w:tc>
          <w:tcPr>
            <w:tcW w:w="850" w:type="dxa"/>
            <w:vAlign w:val="center"/>
          </w:tcPr>
          <w:p w14:paraId="283801BB">
            <w:pPr>
              <w:adjustRightInd w:val="0"/>
              <w:snapToGrid w:val="0"/>
              <w:spacing w:line="300" w:lineRule="atLeast"/>
              <w:ind w:left="-137" w:right="-76" w:rightChars="-36"/>
              <w:jc w:val="center"/>
              <w:rPr>
                <w:color w:val="auto"/>
                <w:sz w:val="18"/>
                <w:szCs w:val="18"/>
              </w:rPr>
            </w:pPr>
            <w:r>
              <w:rPr>
                <w:color w:val="auto"/>
                <w:sz w:val="18"/>
                <w:szCs w:val="18"/>
              </w:rPr>
              <w:t>350</w:t>
            </w:r>
          </w:p>
        </w:tc>
        <w:tc>
          <w:tcPr>
            <w:tcW w:w="709" w:type="dxa"/>
            <w:vAlign w:val="center"/>
          </w:tcPr>
          <w:p w14:paraId="4F9E9BFB">
            <w:pPr>
              <w:adjustRightInd w:val="0"/>
              <w:snapToGrid w:val="0"/>
              <w:spacing w:line="300" w:lineRule="atLeast"/>
              <w:ind w:left="-137" w:right="-76" w:rightChars="-36"/>
              <w:jc w:val="center"/>
              <w:rPr>
                <w:color w:val="auto"/>
                <w:sz w:val="18"/>
                <w:szCs w:val="18"/>
              </w:rPr>
            </w:pPr>
            <w:r>
              <w:rPr>
                <w:color w:val="auto"/>
                <w:sz w:val="18"/>
                <w:szCs w:val="18"/>
              </w:rPr>
              <w:t>300</w:t>
            </w:r>
          </w:p>
        </w:tc>
        <w:tc>
          <w:tcPr>
            <w:tcW w:w="850" w:type="dxa"/>
            <w:vAlign w:val="center"/>
          </w:tcPr>
          <w:p w14:paraId="0F2B8060">
            <w:pPr>
              <w:adjustRightInd w:val="0"/>
              <w:snapToGrid w:val="0"/>
              <w:spacing w:line="300" w:lineRule="atLeast"/>
              <w:ind w:left="-137" w:right="-122" w:rightChars="-58"/>
              <w:jc w:val="center"/>
              <w:rPr>
                <w:color w:val="auto"/>
                <w:sz w:val="18"/>
                <w:szCs w:val="18"/>
              </w:rPr>
            </w:pPr>
            <w:r>
              <w:rPr>
                <w:color w:val="auto"/>
                <w:sz w:val="18"/>
                <w:szCs w:val="18"/>
              </w:rPr>
              <w:t>250</w:t>
            </w:r>
          </w:p>
        </w:tc>
        <w:tc>
          <w:tcPr>
            <w:tcW w:w="709" w:type="dxa"/>
            <w:vAlign w:val="center"/>
          </w:tcPr>
          <w:p w14:paraId="1CB6C839">
            <w:pPr>
              <w:adjustRightInd w:val="0"/>
              <w:snapToGrid w:val="0"/>
              <w:spacing w:line="300" w:lineRule="atLeast"/>
              <w:ind w:left="-137"/>
              <w:jc w:val="center"/>
              <w:rPr>
                <w:color w:val="auto"/>
                <w:sz w:val="18"/>
                <w:szCs w:val="18"/>
              </w:rPr>
            </w:pPr>
            <w:r>
              <w:rPr>
                <w:color w:val="auto"/>
                <w:sz w:val="18"/>
                <w:szCs w:val="18"/>
              </w:rPr>
              <w:t>---</w:t>
            </w:r>
          </w:p>
        </w:tc>
        <w:tc>
          <w:tcPr>
            <w:tcW w:w="851" w:type="dxa"/>
            <w:vAlign w:val="center"/>
          </w:tcPr>
          <w:p w14:paraId="4257B818">
            <w:pPr>
              <w:adjustRightInd w:val="0"/>
              <w:snapToGrid w:val="0"/>
              <w:spacing w:line="300" w:lineRule="atLeast"/>
              <w:ind w:left="-137"/>
              <w:jc w:val="center"/>
              <w:rPr>
                <w:color w:val="auto"/>
                <w:sz w:val="18"/>
                <w:szCs w:val="18"/>
              </w:rPr>
            </w:pPr>
            <w:r>
              <w:rPr>
                <w:color w:val="auto"/>
                <w:sz w:val="18"/>
                <w:szCs w:val="18"/>
              </w:rPr>
              <w:t>---</w:t>
            </w:r>
          </w:p>
        </w:tc>
        <w:tc>
          <w:tcPr>
            <w:tcW w:w="874" w:type="dxa"/>
            <w:vAlign w:val="center"/>
          </w:tcPr>
          <w:p w14:paraId="2A9A44DB">
            <w:pPr>
              <w:adjustRightInd w:val="0"/>
              <w:snapToGrid w:val="0"/>
              <w:spacing w:line="300" w:lineRule="atLeast"/>
              <w:ind w:left="-137"/>
              <w:jc w:val="center"/>
              <w:rPr>
                <w:color w:val="auto"/>
                <w:sz w:val="18"/>
                <w:szCs w:val="18"/>
              </w:rPr>
            </w:pPr>
            <w:r>
              <w:rPr>
                <w:color w:val="auto"/>
                <w:sz w:val="18"/>
                <w:szCs w:val="18"/>
              </w:rPr>
              <w:t>---</w:t>
            </w:r>
          </w:p>
        </w:tc>
      </w:tr>
      <w:tr w14:paraId="0E924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296" w:hRule="atLeast"/>
          <w:jc w:val="center"/>
        </w:trPr>
        <w:tc>
          <w:tcPr>
            <w:tcW w:w="993" w:type="dxa"/>
            <w:vMerge w:val="continue"/>
            <w:vAlign w:val="center"/>
          </w:tcPr>
          <w:p w14:paraId="7E62F1C0">
            <w:pPr>
              <w:adjustRightInd w:val="0"/>
              <w:snapToGrid w:val="0"/>
              <w:spacing w:line="300" w:lineRule="atLeast"/>
              <w:ind w:left="-137" w:right="-76" w:rightChars="-36"/>
              <w:jc w:val="center"/>
              <w:rPr>
                <w:color w:val="auto"/>
                <w:sz w:val="18"/>
                <w:szCs w:val="18"/>
              </w:rPr>
            </w:pPr>
          </w:p>
        </w:tc>
        <w:tc>
          <w:tcPr>
            <w:tcW w:w="977" w:type="dxa"/>
            <w:vAlign w:val="center"/>
          </w:tcPr>
          <w:p w14:paraId="5F969276">
            <w:pPr>
              <w:adjustRightInd w:val="0"/>
              <w:snapToGrid w:val="0"/>
              <w:spacing w:line="300" w:lineRule="atLeast"/>
              <w:ind w:left="-137" w:right="-76" w:rightChars="-36"/>
              <w:jc w:val="center"/>
              <w:rPr>
                <w:color w:val="auto"/>
                <w:sz w:val="18"/>
                <w:szCs w:val="18"/>
              </w:rPr>
            </w:pPr>
            <w:r>
              <w:rPr>
                <w:color w:val="auto"/>
                <w:sz w:val="18"/>
                <w:szCs w:val="18"/>
              </w:rPr>
              <w:t>0.8</w:t>
            </w:r>
          </w:p>
        </w:tc>
        <w:tc>
          <w:tcPr>
            <w:tcW w:w="850" w:type="dxa"/>
            <w:vAlign w:val="center"/>
          </w:tcPr>
          <w:p w14:paraId="4943BCA3">
            <w:pPr>
              <w:adjustRightInd w:val="0"/>
              <w:snapToGrid w:val="0"/>
              <w:spacing w:line="300" w:lineRule="atLeast"/>
              <w:ind w:left="-137" w:right="-76" w:rightChars="-36"/>
              <w:jc w:val="center"/>
              <w:rPr>
                <w:color w:val="auto"/>
                <w:sz w:val="18"/>
                <w:szCs w:val="18"/>
              </w:rPr>
            </w:pPr>
            <w:r>
              <w:rPr>
                <w:color w:val="auto"/>
                <w:sz w:val="18"/>
                <w:szCs w:val="18"/>
              </w:rPr>
              <w:t>350</w:t>
            </w:r>
          </w:p>
        </w:tc>
        <w:tc>
          <w:tcPr>
            <w:tcW w:w="851" w:type="dxa"/>
            <w:vAlign w:val="center"/>
          </w:tcPr>
          <w:p w14:paraId="28885D49">
            <w:pPr>
              <w:adjustRightInd w:val="0"/>
              <w:snapToGrid w:val="0"/>
              <w:spacing w:line="300" w:lineRule="atLeast"/>
              <w:ind w:left="-137" w:right="-76" w:rightChars="-36"/>
              <w:jc w:val="center"/>
              <w:rPr>
                <w:color w:val="auto"/>
                <w:sz w:val="18"/>
                <w:szCs w:val="18"/>
              </w:rPr>
            </w:pPr>
            <w:r>
              <w:rPr>
                <w:color w:val="auto"/>
                <w:sz w:val="18"/>
                <w:szCs w:val="18"/>
              </w:rPr>
              <w:t>300</w:t>
            </w:r>
          </w:p>
        </w:tc>
        <w:tc>
          <w:tcPr>
            <w:tcW w:w="709" w:type="dxa"/>
            <w:vAlign w:val="center"/>
          </w:tcPr>
          <w:p w14:paraId="12B7BFAD">
            <w:pPr>
              <w:adjustRightInd w:val="0"/>
              <w:snapToGrid w:val="0"/>
              <w:spacing w:line="300" w:lineRule="atLeast"/>
              <w:ind w:left="-137" w:right="-76" w:rightChars="-36"/>
              <w:jc w:val="center"/>
              <w:rPr>
                <w:color w:val="auto"/>
                <w:sz w:val="18"/>
                <w:szCs w:val="18"/>
              </w:rPr>
            </w:pPr>
            <w:r>
              <w:rPr>
                <w:color w:val="auto"/>
                <w:sz w:val="18"/>
                <w:szCs w:val="18"/>
              </w:rPr>
              <w:t>---</w:t>
            </w:r>
          </w:p>
        </w:tc>
        <w:tc>
          <w:tcPr>
            <w:tcW w:w="850" w:type="dxa"/>
            <w:vAlign w:val="center"/>
          </w:tcPr>
          <w:p w14:paraId="1E3154CC">
            <w:pPr>
              <w:adjustRightInd w:val="0"/>
              <w:snapToGrid w:val="0"/>
              <w:spacing w:line="300" w:lineRule="atLeast"/>
              <w:ind w:left="-137" w:right="-76" w:rightChars="-36"/>
              <w:jc w:val="center"/>
              <w:rPr>
                <w:color w:val="auto"/>
                <w:sz w:val="18"/>
                <w:szCs w:val="18"/>
              </w:rPr>
            </w:pPr>
            <w:r>
              <w:rPr>
                <w:color w:val="auto"/>
                <w:sz w:val="18"/>
                <w:szCs w:val="18"/>
              </w:rPr>
              <w:t>300</w:t>
            </w:r>
          </w:p>
        </w:tc>
        <w:tc>
          <w:tcPr>
            <w:tcW w:w="709" w:type="dxa"/>
            <w:vAlign w:val="center"/>
          </w:tcPr>
          <w:p w14:paraId="4C11B8EF">
            <w:pPr>
              <w:adjustRightInd w:val="0"/>
              <w:snapToGrid w:val="0"/>
              <w:spacing w:line="300" w:lineRule="atLeast"/>
              <w:ind w:left="-137" w:right="-76" w:rightChars="-36"/>
              <w:jc w:val="center"/>
              <w:rPr>
                <w:color w:val="auto"/>
                <w:sz w:val="18"/>
                <w:szCs w:val="18"/>
              </w:rPr>
            </w:pPr>
            <w:r>
              <w:rPr>
                <w:color w:val="auto"/>
                <w:sz w:val="18"/>
                <w:szCs w:val="18"/>
              </w:rPr>
              <w:t>250</w:t>
            </w:r>
          </w:p>
        </w:tc>
        <w:tc>
          <w:tcPr>
            <w:tcW w:w="850" w:type="dxa"/>
            <w:vAlign w:val="center"/>
          </w:tcPr>
          <w:p w14:paraId="5D7BF3D2">
            <w:pPr>
              <w:adjustRightInd w:val="0"/>
              <w:snapToGrid w:val="0"/>
              <w:spacing w:line="300" w:lineRule="atLeast"/>
              <w:ind w:left="-137" w:right="-122" w:rightChars="-58"/>
              <w:jc w:val="center"/>
              <w:rPr>
                <w:color w:val="auto"/>
                <w:sz w:val="18"/>
                <w:szCs w:val="18"/>
              </w:rPr>
            </w:pPr>
            <w:r>
              <w:rPr>
                <w:color w:val="auto"/>
                <w:sz w:val="18"/>
                <w:szCs w:val="18"/>
              </w:rPr>
              <w:t>（200）</w:t>
            </w:r>
          </w:p>
        </w:tc>
        <w:tc>
          <w:tcPr>
            <w:tcW w:w="709" w:type="dxa"/>
            <w:vAlign w:val="center"/>
          </w:tcPr>
          <w:p w14:paraId="70421991">
            <w:pPr>
              <w:adjustRightInd w:val="0"/>
              <w:snapToGrid w:val="0"/>
              <w:spacing w:line="300" w:lineRule="atLeast"/>
              <w:ind w:left="-137" w:right="-76" w:rightChars="-36"/>
              <w:jc w:val="center"/>
              <w:rPr>
                <w:color w:val="auto"/>
                <w:sz w:val="18"/>
                <w:szCs w:val="18"/>
              </w:rPr>
            </w:pPr>
            <w:r>
              <w:rPr>
                <w:color w:val="auto"/>
                <w:sz w:val="18"/>
                <w:szCs w:val="18"/>
              </w:rPr>
              <w:t>280</w:t>
            </w:r>
          </w:p>
        </w:tc>
        <w:tc>
          <w:tcPr>
            <w:tcW w:w="851" w:type="dxa"/>
            <w:vAlign w:val="center"/>
          </w:tcPr>
          <w:p w14:paraId="6E71BBC4">
            <w:pPr>
              <w:adjustRightInd w:val="0"/>
              <w:snapToGrid w:val="0"/>
              <w:spacing w:line="300" w:lineRule="atLeast"/>
              <w:ind w:left="-137" w:right="-76" w:rightChars="-36"/>
              <w:jc w:val="center"/>
              <w:rPr>
                <w:color w:val="auto"/>
                <w:sz w:val="18"/>
                <w:szCs w:val="18"/>
              </w:rPr>
            </w:pPr>
            <w:r>
              <w:rPr>
                <w:color w:val="auto"/>
                <w:sz w:val="18"/>
                <w:szCs w:val="18"/>
              </w:rPr>
              <w:t>（220）</w:t>
            </w:r>
          </w:p>
        </w:tc>
        <w:tc>
          <w:tcPr>
            <w:tcW w:w="874" w:type="dxa"/>
            <w:vAlign w:val="center"/>
          </w:tcPr>
          <w:p w14:paraId="5446CC2C">
            <w:pPr>
              <w:adjustRightInd w:val="0"/>
              <w:snapToGrid w:val="0"/>
              <w:spacing w:line="300" w:lineRule="atLeast"/>
              <w:ind w:left="-137"/>
              <w:jc w:val="center"/>
              <w:rPr>
                <w:color w:val="auto"/>
                <w:sz w:val="18"/>
                <w:szCs w:val="18"/>
              </w:rPr>
            </w:pPr>
            <w:r>
              <w:rPr>
                <w:color w:val="auto"/>
                <w:sz w:val="18"/>
                <w:szCs w:val="18"/>
              </w:rPr>
              <w:t>---</w:t>
            </w:r>
          </w:p>
        </w:tc>
      </w:tr>
      <w:tr w14:paraId="023A1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307" w:hRule="atLeast"/>
          <w:jc w:val="center"/>
        </w:trPr>
        <w:tc>
          <w:tcPr>
            <w:tcW w:w="993" w:type="dxa"/>
            <w:vMerge w:val="continue"/>
            <w:vAlign w:val="center"/>
          </w:tcPr>
          <w:p w14:paraId="2AF62E88">
            <w:pPr>
              <w:adjustRightInd w:val="0"/>
              <w:snapToGrid w:val="0"/>
              <w:spacing w:line="300" w:lineRule="atLeast"/>
              <w:ind w:left="-137" w:right="-76" w:rightChars="-36"/>
              <w:jc w:val="center"/>
              <w:rPr>
                <w:color w:val="auto"/>
                <w:sz w:val="18"/>
                <w:szCs w:val="18"/>
              </w:rPr>
            </w:pPr>
          </w:p>
        </w:tc>
        <w:tc>
          <w:tcPr>
            <w:tcW w:w="977" w:type="dxa"/>
            <w:vAlign w:val="center"/>
          </w:tcPr>
          <w:p w14:paraId="2A570BA5">
            <w:pPr>
              <w:adjustRightInd w:val="0"/>
              <w:snapToGrid w:val="0"/>
              <w:spacing w:line="300" w:lineRule="atLeast"/>
              <w:ind w:left="-137" w:right="-76" w:rightChars="-36"/>
              <w:jc w:val="center"/>
              <w:rPr>
                <w:color w:val="auto"/>
                <w:sz w:val="18"/>
                <w:szCs w:val="18"/>
              </w:rPr>
            </w:pPr>
            <w:r>
              <w:rPr>
                <w:color w:val="auto"/>
                <w:sz w:val="18"/>
                <w:szCs w:val="18"/>
              </w:rPr>
              <w:t>1.0</w:t>
            </w:r>
          </w:p>
        </w:tc>
        <w:tc>
          <w:tcPr>
            <w:tcW w:w="850" w:type="dxa"/>
            <w:vAlign w:val="center"/>
          </w:tcPr>
          <w:p w14:paraId="4DE88CA7">
            <w:pPr>
              <w:adjustRightInd w:val="0"/>
              <w:snapToGrid w:val="0"/>
              <w:spacing w:line="300" w:lineRule="atLeast"/>
              <w:ind w:left="-137" w:right="-76" w:rightChars="-36"/>
              <w:jc w:val="center"/>
              <w:rPr>
                <w:color w:val="auto"/>
                <w:sz w:val="18"/>
                <w:szCs w:val="18"/>
              </w:rPr>
            </w:pPr>
            <w:r>
              <w:rPr>
                <w:color w:val="auto"/>
                <w:sz w:val="18"/>
                <w:szCs w:val="18"/>
              </w:rPr>
              <w:t>300</w:t>
            </w:r>
          </w:p>
        </w:tc>
        <w:tc>
          <w:tcPr>
            <w:tcW w:w="851" w:type="dxa"/>
            <w:vAlign w:val="center"/>
          </w:tcPr>
          <w:p w14:paraId="02492532">
            <w:pPr>
              <w:adjustRightInd w:val="0"/>
              <w:snapToGrid w:val="0"/>
              <w:spacing w:line="300" w:lineRule="atLeast"/>
              <w:ind w:left="-137" w:right="-76" w:rightChars="-36"/>
              <w:jc w:val="center"/>
              <w:rPr>
                <w:color w:val="auto"/>
                <w:sz w:val="18"/>
                <w:szCs w:val="18"/>
              </w:rPr>
            </w:pPr>
            <w:r>
              <w:rPr>
                <w:color w:val="auto"/>
                <w:sz w:val="18"/>
                <w:szCs w:val="18"/>
              </w:rPr>
              <w:t>250</w:t>
            </w:r>
          </w:p>
        </w:tc>
        <w:tc>
          <w:tcPr>
            <w:tcW w:w="709" w:type="dxa"/>
            <w:vAlign w:val="center"/>
          </w:tcPr>
          <w:p w14:paraId="510C6EC2">
            <w:pPr>
              <w:adjustRightInd w:val="0"/>
              <w:snapToGrid w:val="0"/>
              <w:spacing w:line="300" w:lineRule="atLeast"/>
              <w:ind w:left="-137" w:right="-76" w:rightChars="-36"/>
              <w:jc w:val="center"/>
              <w:rPr>
                <w:color w:val="auto"/>
                <w:sz w:val="18"/>
                <w:szCs w:val="18"/>
              </w:rPr>
            </w:pPr>
            <w:r>
              <w:rPr>
                <w:color w:val="auto"/>
                <w:sz w:val="18"/>
                <w:szCs w:val="18"/>
              </w:rPr>
              <w:t>（200）</w:t>
            </w:r>
          </w:p>
        </w:tc>
        <w:tc>
          <w:tcPr>
            <w:tcW w:w="850" w:type="dxa"/>
            <w:vAlign w:val="center"/>
          </w:tcPr>
          <w:p w14:paraId="5B7085D7">
            <w:pPr>
              <w:adjustRightInd w:val="0"/>
              <w:snapToGrid w:val="0"/>
              <w:spacing w:line="300" w:lineRule="atLeast"/>
              <w:ind w:left="-137" w:right="-76" w:rightChars="-36"/>
              <w:jc w:val="center"/>
              <w:rPr>
                <w:color w:val="auto"/>
                <w:sz w:val="18"/>
                <w:szCs w:val="18"/>
              </w:rPr>
            </w:pPr>
            <w:r>
              <w:rPr>
                <w:color w:val="auto"/>
                <w:sz w:val="18"/>
                <w:szCs w:val="18"/>
              </w:rPr>
              <w:t>250</w:t>
            </w:r>
          </w:p>
        </w:tc>
        <w:tc>
          <w:tcPr>
            <w:tcW w:w="709" w:type="dxa"/>
            <w:vAlign w:val="center"/>
          </w:tcPr>
          <w:p w14:paraId="4FEAE96A">
            <w:pPr>
              <w:adjustRightInd w:val="0"/>
              <w:snapToGrid w:val="0"/>
              <w:spacing w:line="300" w:lineRule="atLeast"/>
              <w:ind w:left="-137" w:right="-76" w:rightChars="-36"/>
              <w:jc w:val="center"/>
              <w:rPr>
                <w:color w:val="auto"/>
                <w:sz w:val="18"/>
                <w:szCs w:val="18"/>
              </w:rPr>
            </w:pPr>
            <w:r>
              <w:rPr>
                <w:color w:val="auto"/>
                <w:sz w:val="18"/>
                <w:szCs w:val="18"/>
              </w:rPr>
              <w:t>200</w:t>
            </w:r>
          </w:p>
        </w:tc>
        <w:tc>
          <w:tcPr>
            <w:tcW w:w="850" w:type="dxa"/>
            <w:vAlign w:val="center"/>
          </w:tcPr>
          <w:p w14:paraId="07AC6EDE">
            <w:pPr>
              <w:adjustRightInd w:val="0"/>
              <w:snapToGrid w:val="0"/>
              <w:spacing w:line="300" w:lineRule="atLeast"/>
              <w:ind w:left="-137" w:right="-122" w:rightChars="-58"/>
              <w:jc w:val="center"/>
              <w:rPr>
                <w:color w:val="auto"/>
                <w:sz w:val="18"/>
                <w:szCs w:val="18"/>
              </w:rPr>
            </w:pPr>
            <w:r>
              <w:rPr>
                <w:color w:val="auto"/>
                <w:sz w:val="18"/>
                <w:szCs w:val="18"/>
              </w:rPr>
              <w:t>（150）</w:t>
            </w:r>
          </w:p>
        </w:tc>
        <w:tc>
          <w:tcPr>
            <w:tcW w:w="709" w:type="dxa"/>
            <w:vAlign w:val="center"/>
          </w:tcPr>
          <w:p w14:paraId="6D11489F">
            <w:pPr>
              <w:adjustRightInd w:val="0"/>
              <w:snapToGrid w:val="0"/>
              <w:spacing w:line="300" w:lineRule="atLeast"/>
              <w:ind w:left="-137" w:right="-76" w:rightChars="-36"/>
              <w:jc w:val="center"/>
              <w:rPr>
                <w:color w:val="auto"/>
                <w:sz w:val="18"/>
                <w:szCs w:val="18"/>
              </w:rPr>
            </w:pPr>
            <w:r>
              <w:rPr>
                <w:color w:val="auto"/>
                <w:sz w:val="18"/>
                <w:szCs w:val="18"/>
              </w:rPr>
              <w:t>240</w:t>
            </w:r>
          </w:p>
        </w:tc>
        <w:tc>
          <w:tcPr>
            <w:tcW w:w="851" w:type="dxa"/>
            <w:vAlign w:val="center"/>
          </w:tcPr>
          <w:p w14:paraId="5FEDA234">
            <w:pPr>
              <w:adjustRightInd w:val="0"/>
              <w:snapToGrid w:val="0"/>
              <w:spacing w:line="300" w:lineRule="atLeast"/>
              <w:ind w:left="-137" w:right="-76" w:rightChars="-36"/>
              <w:jc w:val="center"/>
              <w:rPr>
                <w:color w:val="auto"/>
                <w:sz w:val="18"/>
                <w:szCs w:val="18"/>
              </w:rPr>
            </w:pPr>
            <w:r>
              <w:rPr>
                <w:color w:val="auto"/>
                <w:sz w:val="18"/>
                <w:szCs w:val="18"/>
              </w:rPr>
              <w:t>200</w:t>
            </w:r>
          </w:p>
        </w:tc>
        <w:tc>
          <w:tcPr>
            <w:tcW w:w="874" w:type="dxa"/>
            <w:vAlign w:val="center"/>
          </w:tcPr>
          <w:p w14:paraId="7A2E978D">
            <w:pPr>
              <w:adjustRightInd w:val="0"/>
              <w:snapToGrid w:val="0"/>
              <w:spacing w:line="300" w:lineRule="atLeast"/>
              <w:ind w:left="-137"/>
              <w:jc w:val="center"/>
              <w:rPr>
                <w:color w:val="auto"/>
                <w:sz w:val="18"/>
                <w:szCs w:val="18"/>
              </w:rPr>
            </w:pPr>
            <w:r>
              <w:rPr>
                <w:color w:val="auto"/>
                <w:sz w:val="18"/>
                <w:szCs w:val="18"/>
              </w:rPr>
              <w:t>---</w:t>
            </w:r>
          </w:p>
        </w:tc>
      </w:tr>
      <w:tr w14:paraId="64F47A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296" w:hRule="atLeast"/>
          <w:jc w:val="center"/>
        </w:trPr>
        <w:tc>
          <w:tcPr>
            <w:tcW w:w="993" w:type="dxa"/>
            <w:vMerge w:val="continue"/>
            <w:vAlign w:val="center"/>
          </w:tcPr>
          <w:p w14:paraId="5643CB59">
            <w:pPr>
              <w:adjustRightInd w:val="0"/>
              <w:snapToGrid w:val="0"/>
              <w:spacing w:line="300" w:lineRule="atLeast"/>
              <w:ind w:left="-137" w:right="-76" w:rightChars="-36"/>
              <w:jc w:val="center"/>
              <w:rPr>
                <w:color w:val="auto"/>
                <w:sz w:val="18"/>
                <w:szCs w:val="18"/>
              </w:rPr>
            </w:pPr>
          </w:p>
        </w:tc>
        <w:tc>
          <w:tcPr>
            <w:tcW w:w="977" w:type="dxa"/>
            <w:vAlign w:val="center"/>
          </w:tcPr>
          <w:p w14:paraId="4F188873">
            <w:pPr>
              <w:adjustRightInd w:val="0"/>
              <w:snapToGrid w:val="0"/>
              <w:spacing w:line="300" w:lineRule="atLeast"/>
              <w:ind w:left="-137" w:right="-76" w:rightChars="-36"/>
              <w:jc w:val="center"/>
              <w:rPr>
                <w:color w:val="auto"/>
                <w:sz w:val="18"/>
                <w:szCs w:val="18"/>
              </w:rPr>
            </w:pPr>
            <w:r>
              <w:rPr>
                <w:color w:val="auto"/>
                <w:sz w:val="18"/>
                <w:szCs w:val="18"/>
              </w:rPr>
              <w:t>1.1</w:t>
            </w:r>
          </w:p>
        </w:tc>
        <w:tc>
          <w:tcPr>
            <w:tcW w:w="850" w:type="dxa"/>
            <w:vAlign w:val="center"/>
          </w:tcPr>
          <w:p w14:paraId="6FB85DD2">
            <w:pPr>
              <w:adjustRightInd w:val="0"/>
              <w:snapToGrid w:val="0"/>
              <w:spacing w:line="300" w:lineRule="atLeast"/>
              <w:ind w:left="-137" w:right="-76" w:rightChars="-36"/>
              <w:jc w:val="center"/>
              <w:rPr>
                <w:color w:val="auto"/>
                <w:sz w:val="18"/>
                <w:szCs w:val="18"/>
              </w:rPr>
            </w:pPr>
            <w:r>
              <w:rPr>
                <w:color w:val="auto"/>
                <w:sz w:val="18"/>
                <w:szCs w:val="18"/>
              </w:rPr>
              <w:t>250</w:t>
            </w:r>
          </w:p>
        </w:tc>
        <w:tc>
          <w:tcPr>
            <w:tcW w:w="851" w:type="dxa"/>
            <w:vAlign w:val="center"/>
          </w:tcPr>
          <w:p w14:paraId="2AF3B670">
            <w:pPr>
              <w:adjustRightInd w:val="0"/>
              <w:snapToGrid w:val="0"/>
              <w:spacing w:line="300" w:lineRule="atLeast"/>
              <w:ind w:left="-137" w:right="-76" w:rightChars="-36"/>
              <w:jc w:val="center"/>
              <w:rPr>
                <w:color w:val="auto"/>
                <w:sz w:val="18"/>
                <w:szCs w:val="18"/>
              </w:rPr>
            </w:pPr>
            <w:r>
              <w:rPr>
                <w:color w:val="auto"/>
                <w:sz w:val="18"/>
                <w:szCs w:val="18"/>
              </w:rPr>
              <w:t>200</w:t>
            </w:r>
          </w:p>
        </w:tc>
        <w:tc>
          <w:tcPr>
            <w:tcW w:w="709" w:type="dxa"/>
            <w:vAlign w:val="center"/>
          </w:tcPr>
          <w:p w14:paraId="703DE5D3">
            <w:pPr>
              <w:adjustRightInd w:val="0"/>
              <w:snapToGrid w:val="0"/>
              <w:spacing w:line="300" w:lineRule="atLeast"/>
              <w:ind w:left="-137" w:right="-76" w:rightChars="-36"/>
              <w:jc w:val="center"/>
              <w:rPr>
                <w:color w:val="auto"/>
                <w:sz w:val="18"/>
                <w:szCs w:val="18"/>
              </w:rPr>
            </w:pPr>
            <w:r>
              <w:rPr>
                <w:color w:val="auto"/>
                <w:sz w:val="18"/>
                <w:szCs w:val="18"/>
              </w:rPr>
              <w:t>150</w:t>
            </w:r>
          </w:p>
        </w:tc>
        <w:tc>
          <w:tcPr>
            <w:tcW w:w="850" w:type="dxa"/>
            <w:vAlign w:val="center"/>
          </w:tcPr>
          <w:p w14:paraId="0A74F21A">
            <w:pPr>
              <w:adjustRightInd w:val="0"/>
              <w:snapToGrid w:val="0"/>
              <w:spacing w:line="300" w:lineRule="atLeast"/>
              <w:ind w:left="-137" w:right="-76" w:rightChars="-36"/>
              <w:jc w:val="center"/>
              <w:rPr>
                <w:color w:val="auto"/>
                <w:sz w:val="18"/>
                <w:szCs w:val="18"/>
              </w:rPr>
            </w:pPr>
            <w:r>
              <w:rPr>
                <w:color w:val="auto"/>
                <w:sz w:val="18"/>
                <w:szCs w:val="18"/>
              </w:rPr>
              <w:t>200</w:t>
            </w:r>
          </w:p>
        </w:tc>
        <w:tc>
          <w:tcPr>
            <w:tcW w:w="709" w:type="dxa"/>
            <w:vAlign w:val="center"/>
          </w:tcPr>
          <w:p w14:paraId="7C0244AF">
            <w:pPr>
              <w:adjustRightInd w:val="0"/>
              <w:snapToGrid w:val="0"/>
              <w:spacing w:line="300" w:lineRule="atLeast"/>
              <w:ind w:left="-137" w:right="-76" w:rightChars="-36"/>
              <w:jc w:val="center"/>
              <w:rPr>
                <w:color w:val="auto"/>
                <w:sz w:val="18"/>
                <w:szCs w:val="18"/>
              </w:rPr>
            </w:pPr>
            <w:r>
              <w:rPr>
                <w:color w:val="auto"/>
                <w:sz w:val="18"/>
                <w:szCs w:val="18"/>
              </w:rPr>
              <w:t>150</w:t>
            </w:r>
          </w:p>
        </w:tc>
        <w:tc>
          <w:tcPr>
            <w:tcW w:w="850" w:type="dxa"/>
            <w:vAlign w:val="center"/>
          </w:tcPr>
          <w:p w14:paraId="38DD5045">
            <w:pPr>
              <w:adjustRightInd w:val="0"/>
              <w:snapToGrid w:val="0"/>
              <w:spacing w:line="300" w:lineRule="atLeast"/>
              <w:ind w:left="-137" w:right="-122" w:rightChars="-58"/>
              <w:jc w:val="center"/>
              <w:rPr>
                <w:color w:val="auto"/>
                <w:sz w:val="18"/>
                <w:szCs w:val="18"/>
              </w:rPr>
            </w:pPr>
            <w:r>
              <w:rPr>
                <w:color w:val="auto"/>
                <w:sz w:val="18"/>
                <w:szCs w:val="18"/>
              </w:rPr>
              <w:t>（100）</w:t>
            </w:r>
          </w:p>
        </w:tc>
        <w:tc>
          <w:tcPr>
            <w:tcW w:w="709" w:type="dxa"/>
            <w:vAlign w:val="center"/>
          </w:tcPr>
          <w:p w14:paraId="19E5EF77">
            <w:pPr>
              <w:adjustRightInd w:val="0"/>
              <w:snapToGrid w:val="0"/>
              <w:spacing w:line="300" w:lineRule="atLeast"/>
              <w:ind w:left="-137" w:right="-76" w:rightChars="-36"/>
              <w:jc w:val="center"/>
              <w:rPr>
                <w:color w:val="auto"/>
                <w:sz w:val="18"/>
                <w:szCs w:val="18"/>
              </w:rPr>
            </w:pPr>
            <w:r>
              <w:rPr>
                <w:color w:val="auto"/>
                <w:sz w:val="18"/>
                <w:szCs w:val="18"/>
              </w:rPr>
              <w:t>200</w:t>
            </w:r>
          </w:p>
        </w:tc>
        <w:tc>
          <w:tcPr>
            <w:tcW w:w="851" w:type="dxa"/>
            <w:vAlign w:val="center"/>
          </w:tcPr>
          <w:p w14:paraId="4377828F">
            <w:pPr>
              <w:adjustRightInd w:val="0"/>
              <w:snapToGrid w:val="0"/>
              <w:spacing w:line="300" w:lineRule="atLeast"/>
              <w:ind w:left="-137" w:right="-76" w:rightChars="-36"/>
              <w:jc w:val="center"/>
              <w:rPr>
                <w:color w:val="auto"/>
                <w:sz w:val="18"/>
                <w:szCs w:val="18"/>
              </w:rPr>
            </w:pPr>
            <w:r>
              <w:rPr>
                <w:color w:val="auto"/>
                <w:sz w:val="18"/>
                <w:szCs w:val="18"/>
              </w:rPr>
              <w:t>160</w:t>
            </w:r>
          </w:p>
        </w:tc>
        <w:tc>
          <w:tcPr>
            <w:tcW w:w="874" w:type="dxa"/>
            <w:vAlign w:val="center"/>
          </w:tcPr>
          <w:p w14:paraId="505C89B0">
            <w:pPr>
              <w:adjustRightInd w:val="0"/>
              <w:snapToGrid w:val="0"/>
              <w:spacing w:line="300" w:lineRule="atLeast"/>
              <w:ind w:left="-137" w:right="-76" w:rightChars="-36"/>
              <w:jc w:val="center"/>
              <w:rPr>
                <w:color w:val="auto"/>
                <w:sz w:val="18"/>
                <w:szCs w:val="18"/>
              </w:rPr>
            </w:pPr>
            <w:r>
              <w:rPr>
                <w:color w:val="auto"/>
                <w:sz w:val="18"/>
                <w:szCs w:val="18"/>
              </w:rPr>
              <w:t>（140）</w:t>
            </w:r>
          </w:p>
        </w:tc>
      </w:tr>
      <w:tr w14:paraId="2F3BE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296" w:hRule="atLeast"/>
          <w:jc w:val="center"/>
        </w:trPr>
        <w:tc>
          <w:tcPr>
            <w:tcW w:w="993" w:type="dxa"/>
            <w:vMerge w:val="continue"/>
            <w:vAlign w:val="center"/>
          </w:tcPr>
          <w:p w14:paraId="50D2BDA5">
            <w:pPr>
              <w:adjustRightInd w:val="0"/>
              <w:snapToGrid w:val="0"/>
              <w:spacing w:line="300" w:lineRule="atLeast"/>
              <w:ind w:left="-137" w:right="-76" w:rightChars="-36"/>
              <w:jc w:val="center"/>
              <w:rPr>
                <w:color w:val="auto"/>
                <w:sz w:val="18"/>
                <w:szCs w:val="18"/>
              </w:rPr>
            </w:pPr>
          </w:p>
        </w:tc>
        <w:tc>
          <w:tcPr>
            <w:tcW w:w="977" w:type="dxa"/>
            <w:vAlign w:val="center"/>
          </w:tcPr>
          <w:p w14:paraId="4123CC78">
            <w:pPr>
              <w:adjustRightInd w:val="0"/>
              <w:snapToGrid w:val="0"/>
              <w:spacing w:line="300" w:lineRule="atLeast"/>
              <w:ind w:left="-137" w:right="-76" w:rightChars="-36"/>
              <w:jc w:val="center"/>
              <w:rPr>
                <w:color w:val="auto"/>
                <w:sz w:val="18"/>
                <w:szCs w:val="18"/>
              </w:rPr>
            </w:pPr>
            <w:r>
              <w:rPr>
                <w:color w:val="auto"/>
                <w:sz w:val="18"/>
                <w:szCs w:val="18"/>
              </w:rPr>
              <w:t>1.2</w:t>
            </w:r>
          </w:p>
        </w:tc>
        <w:tc>
          <w:tcPr>
            <w:tcW w:w="850" w:type="dxa"/>
            <w:vAlign w:val="center"/>
          </w:tcPr>
          <w:p w14:paraId="15EE331B">
            <w:pPr>
              <w:adjustRightInd w:val="0"/>
              <w:snapToGrid w:val="0"/>
              <w:spacing w:line="300" w:lineRule="atLeast"/>
              <w:ind w:left="-137"/>
              <w:jc w:val="center"/>
              <w:rPr>
                <w:color w:val="auto"/>
                <w:sz w:val="18"/>
                <w:szCs w:val="18"/>
              </w:rPr>
            </w:pPr>
            <w:r>
              <w:rPr>
                <w:color w:val="auto"/>
                <w:sz w:val="18"/>
                <w:szCs w:val="18"/>
              </w:rPr>
              <w:t>---</w:t>
            </w:r>
          </w:p>
        </w:tc>
        <w:tc>
          <w:tcPr>
            <w:tcW w:w="851" w:type="dxa"/>
            <w:vAlign w:val="center"/>
          </w:tcPr>
          <w:p w14:paraId="34768B5B">
            <w:pPr>
              <w:adjustRightInd w:val="0"/>
              <w:snapToGrid w:val="0"/>
              <w:spacing w:line="300" w:lineRule="atLeast"/>
              <w:ind w:left="-137"/>
              <w:jc w:val="center"/>
              <w:rPr>
                <w:color w:val="auto"/>
                <w:sz w:val="18"/>
                <w:szCs w:val="18"/>
              </w:rPr>
            </w:pPr>
            <w:r>
              <w:rPr>
                <w:color w:val="auto"/>
                <w:sz w:val="18"/>
                <w:szCs w:val="18"/>
              </w:rPr>
              <w:t>---</w:t>
            </w:r>
          </w:p>
        </w:tc>
        <w:tc>
          <w:tcPr>
            <w:tcW w:w="709" w:type="dxa"/>
            <w:vAlign w:val="center"/>
          </w:tcPr>
          <w:p w14:paraId="1009E352">
            <w:pPr>
              <w:adjustRightInd w:val="0"/>
              <w:snapToGrid w:val="0"/>
              <w:spacing w:line="300" w:lineRule="atLeast"/>
              <w:ind w:left="-137"/>
              <w:jc w:val="center"/>
              <w:rPr>
                <w:color w:val="auto"/>
                <w:sz w:val="18"/>
                <w:szCs w:val="18"/>
              </w:rPr>
            </w:pPr>
            <w:r>
              <w:rPr>
                <w:color w:val="auto"/>
                <w:sz w:val="18"/>
                <w:szCs w:val="18"/>
              </w:rPr>
              <w:t>---</w:t>
            </w:r>
          </w:p>
        </w:tc>
        <w:tc>
          <w:tcPr>
            <w:tcW w:w="850" w:type="dxa"/>
            <w:vAlign w:val="center"/>
          </w:tcPr>
          <w:p w14:paraId="75BA810F">
            <w:pPr>
              <w:adjustRightInd w:val="0"/>
              <w:snapToGrid w:val="0"/>
              <w:spacing w:line="300" w:lineRule="atLeast"/>
              <w:ind w:left="-137"/>
              <w:jc w:val="center"/>
              <w:rPr>
                <w:color w:val="auto"/>
                <w:sz w:val="18"/>
                <w:szCs w:val="18"/>
              </w:rPr>
            </w:pPr>
            <w:r>
              <w:rPr>
                <w:color w:val="auto"/>
                <w:sz w:val="18"/>
                <w:szCs w:val="18"/>
              </w:rPr>
              <w:t>---</w:t>
            </w:r>
          </w:p>
        </w:tc>
        <w:tc>
          <w:tcPr>
            <w:tcW w:w="709" w:type="dxa"/>
            <w:vAlign w:val="center"/>
          </w:tcPr>
          <w:p w14:paraId="095656AB">
            <w:pPr>
              <w:adjustRightInd w:val="0"/>
              <w:snapToGrid w:val="0"/>
              <w:spacing w:line="300" w:lineRule="atLeast"/>
              <w:ind w:left="-137"/>
              <w:jc w:val="center"/>
              <w:rPr>
                <w:color w:val="auto"/>
                <w:sz w:val="18"/>
                <w:szCs w:val="18"/>
              </w:rPr>
            </w:pPr>
            <w:r>
              <w:rPr>
                <w:color w:val="auto"/>
                <w:sz w:val="18"/>
                <w:szCs w:val="18"/>
              </w:rPr>
              <w:t>---</w:t>
            </w:r>
          </w:p>
        </w:tc>
        <w:tc>
          <w:tcPr>
            <w:tcW w:w="850" w:type="dxa"/>
            <w:vAlign w:val="center"/>
          </w:tcPr>
          <w:p w14:paraId="30F6D166">
            <w:pPr>
              <w:adjustRightInd w:val="0"/>
              <w:snapToGrid w:val="0"/>
              <w:spacing w:line="300" w:lineRule="atLeast"/>
              <w:ind w:left="-137" w:right="-122" w:rightChars="-58"/>
              <w:jc w:val="center"/>
              <w:rPr>
                <w:color w:val="auto"/>
                <w:sz w:val="18"/>
                <w:szCs w:val="18"/>
              </w:rPr>
            </w:pPr>
            <w:r>
              <w:rPr>
                <w:color w:val="auto"/>
                <w:sz w:val="18"/>
                <w:szCs w:val="18"/>
              </w:rPr>
              <w:t>---</w:t>
            </w:r>
          </w:p>
        </w:tc>
        <w:tc>
          <w:tcPr>
            <w:tcW w:w="709" w:type="dxa"/>
            <w:vAlign w:val="center"/>
          </w:tcPr>
          <w:p w14:paraId="21F8948A">
            <w:pPr>
              <w:adjustRightInd w:val="0"/>
              <w:snapToGrid w:val="0"/>
              <w:spacing w:line="300" w:lineRule="atLeast"/>
              <w:ind w:left="-137" w:right="-76" w:rightChars="-36"/>
              <w:jc w:val="center"/>
              <w:rPr>
                <w:color w:val="auto"/>
                <w:sz w:val="18"/>
                <w:szCs w:val="18"/>
              </w:rPr>
            </w:pPr>
            <w:r>
              <w:rPr>
                <w:color w:val="auto"/>
                <w:sz w:val="18"/>
                <w:szCs w:val="18"/>
              </w:rPr>
              <w:t>160</w:t>
            </w:r>
          </w:p>
        </w:tc>
        <w:tc>
          <w:tcPr>
            <w:tcW w:w="851" w:type="dxa"/>
            <w:vAlign w:val="center"/>
          </w:tcPr>
          <w:p w14:paraId="75AFFFDC">
            <w:pPr>
              <w:adjustRightInd w:val="0"/>
              <w:snapToGrid w:val="0"/>
              <w:spacing w:line="300" w:lineRule="atLeast"/>
              <w:ind w:left="-137" w:right="-76" w:rightChars="-36"/>
              <w:jc w:val="center"/>
              <w:rPr>
                <w:color w:val="auto"/>
                <w:sz w:val="18"/>
                <w:szCs w:val="18"/>
              </w:rPr>
            </w:pPr>
            <w:r>
              <w:rPr>
                <w:color w:val="auto"/>
                <w:sz w:val="18"/>
                <w:szCs w:val="18"/>
              </w:rPr>
              <w:t>140</w:t>
            </w:r>
          </w:p>
        </w:tc>
        <w:tc>
          <w:tcPr>
            <w:tcW w:w="874" w:type="dxa"/>
            <w:vAlign w:val="center"/>
          </w:tcPr>
          <w:p w14:paraId="6727EFAF">
            <w:pPr>
              <w:adjustRightInd w:val="0"/>
              <w:snapToGrid w:val="0"/>
              <w:spacing w:line="300" w:lineRule="atLeast"/>
              <w:ind w:left="-137" w:right="-76" w:rightChars="-36"/>
              <w:jc w:val="center"/>
              <w:rPr>
                <w:color w:val="auto"/>
                <w:sz w:val="18"/>
                <w:szCs w:val="18"/>
              </w:rPr>
            </w:pPr>
            <w:r>
              <w:rPr>
                <w:color w:val="auto"/>
                <w:sz w:val="18"/>
                <w:szCs w:val="18"/>
              </w:rPr>
              <w:t>120</w:t>
            </w:r>
          </w:p>
        </w:tc>
      </w:tr>
      <w:tr w14:paraId="78B11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32" w:type="dxa"/>
          <w:trHeight w:val="701" w:hRule="atLeast"/>
          <w:jc w:val="center"/>
        </w:trPr>
        <w:tc>
          <w:tcPr>
            <w:tcW w:w="9223" w:type="dxa"/>
            <w:gridSpan w:val="11"/>
            <w:vAlign w:val="center"/>
          </w:tcPr>
          <w:p w14:paraId="5E280B8E">
            <w:pPr>
              <w:adjustRightInd w:val="0"/>
              <w:snapToGrid w:val="0"/>
              <w:rPr>
                <w:color w:val="auto"/>
                <w:sz w:val="18"/>
                <w:szCs w:val="18"/>
              </w:rPr>
            </w:pPr>
            <w:r>
              <w:rPr>
                <w:color w:val="auto"/>
                <w:sz w:val="18"/>
                <w:szCs w:val="18"/>
              </w:rPr>
              <w:t>注1：括号内的数值为供内插用；</w:t>
            </w:r>
          </w:p>
          <w:p w14:paraId="49E30E1A">
            <w:pPr>
              <w:adjustRightInd w:val="0"/>
              <w:snapToGrid w:val="0"/>
              <w:ind w:left="506" w:hanging="505" w:hangingChars="281"/>
              <w:rPr>
                <w:color w:val="auto"/>
                <w:spacing w:val="-20"/>
                <w:sz w:val="18"/>
                <w:szCs w:val="18"/>
              </w:rPr>
            </w:pPr>
            <w:r>
              <w:rPr>
                <w:bCs/>
                <w:color w:val="auto"/>
                <w:sz w:val="18"/>
                <w:szCs w:val="18"/>
              </w:rPr>
              <w:t>注2</w:t>
            </w:r>
            <w:r>
              <w:rPr>
                <w:color w:val="auto"/>
                <w:sz w:val="18"/>
                <w:szCs w:val="18"/>
              </w:rPr>
              <w:t>：砾质黏性土为＞2mm颗粒含量超过20%的土，砂质黏性土为不超过20%的土，黏性土为不含＞2mm颗粒的土。</w:t>
            </w:r>
          </w:p>
        </w:tc>
      </w:tr>
    </w:tbl>
    <w:p w14:paraId="461EABBF">
      <w:pPr>
        <w:adjustRightInd w:val="0"/>
        <w:snapToGrid w:val="0"/>
        <w:spacing w:before="240" w:line="340" w:lineRule="atLeast"/>
        <w:ind w:firstLine="422" w:firstLineChars="200"/>
        <w:rPr>
          <w:color w:val="auto"/>
          <w:szCs w:val="21"/>
        </w:rPr>
      </w:pPr>
      <w:r>
        <w:rPr>
          <w:b/>
          <w:bCs/>
          <w:color w:val="auto"/>
          <w:szCs w:val="21"/>
        </w:rPr>
        <w:t>c)</w:t>
      </w:r>
      <w:r>
        <w:rPr>
          <w:color w:val="auto"/>
          <w:szCs w:val="21"/>
        </w:rPr>
        <w:t xml:space="preserve">  根据标准贯入</w:t>
      </w:r>
      <w:r>
        <w:rPr>
          <w:rFonts w:hint="eastAsia"/>
          <w:color w:val="auto"/>
          <w:szCs w:val="21"/>
        </w:rPr>
        <w:t>试验</w:t>
      </w:r>
      <w:r>
        <w:rPr>
          <w:color w:val="auto"/>
          <w:szCs w:val="21"/>
        </w:rPr>
        <w:t>、</w:t>
      </w:r>
      <w:r>
        <w:rPr>
          <w:rFonts w:hint="eastAsia"/>
          <w:color w:val="auto"/>
          <w:szCs w:val="21"/>
        </w:rPr>
        <w:t>圆锥</w:t>
      </w:r>
      <w:r>
        <w:rPr>
          <w:color w:val="auto"/>
          <w:szCs w:val="21"/>
        </w:rPr>
        <w:t>动力触探自由落锤锤击数、静力触探试验比贯入阻力</w:t>
      </w:r>
      <w:r>
        <w:rPr>
          <w:i/>
          <w:color w:val="auto"/>
          <w:szCs w:val="21"/>
        </w:rPr>
        <w:t>p</w:t>
      </w:r>
      <w:r>
        <w:rPr>
          <w:i/>
          <w:color w:val="auto"/>
          <w:szCs w:val="21"/>
          <w:vertAlign w:val="subscript"/>
        </w:rPr>
        <w:t>s</w:t>
      </w:r>
      <w:r>
        <w:rPr>
          <w:color w:val="auto"/>
          <w:szCs w:val="21"/>
        </w:rPr>
        <w:t>的标准值确定地基承载力特征值时,应符合表E.11～表E.22的规定。表中</w:t>
      </w:r>
      <w:r>
        <w:rPr>
          <w:i/>
          <w:iCs/>
          <w:color w:val="auto"/>
          <w:szCs w:val="21"/>
        </w:rPr>
        <w:t>N</w:t>
      </w:r>
      <w:r>
        <w:rPr>
          <w:color w:val="auto"/>
          <w:szCs w:val="21"/>
        </w:rPr>
        <w:t>为未经杆长修正的标准贯入击数标准值。</w:t>
      </w:r>
    </w:p>
    <w:p w14:paraId="4D83276C">
      <w:pPr>
        <w:adjustRightInd w:val="0"/>
        <w:snapToGrid w:val="0"/>
        <w:spacing w:line="340" w:lineRule="atLeast"/>
        <w:ind w:firstLine="738" w:firstLineChars="350"/>
        <w:rPr>
          <w:color w:val="auto"/>
          <w:szCs w:val="21"/>
        </w:rPr>
      </w:pPr>
      <w:r>
        <w:rPr>
          <w:b/>
          <w:bCs/>
          <w:color w:val="auto"/>
          <w:szCs w:val="21"/>
        </w:rPr>
        <w:t>1）</w:t>
      </w:r>
      <w:r>
        <w:rPr>
          <w:color w:val="auto"/>
          <w:szCs w:val="21"/>
        </w:rPr>
        <w:t>标准贯入试验锤击数</w:t>
      </w:r>
      <w:r>
        <w:rPr>
          <w:i/>
          <w:color w:val="auto"/>
          <w:szCs w:val="21"/>
        </w:rPr>
        <w:t>N</w:t>
      </w:r>
      <w:r>
        <w:rPr>
          <w:color w:val="auto"/>
          <w:szCs w:val="21"/>
        </w:rPr>
        <w:t>（或动力触探锤击数</w:t>
      </w:r>
      <w:r>
        <w:rPr>
          <w:i/>
          <w:color w:val="auto"/>
          <w:szCs w:val="21"/>
        </w:rPr>
        <w:t>N</w:t>
      </w:r>
      <w:r>
        <w:rPr>
          <w:color w:val="auto"/>
          <w:szCs w:val="21"/>
          <w:vertAlign w:val="subscript"/>
        </w:rPr>
        <w:t>63.5</w:t>
      </w:r>
      <w:r>
        <w:rPr>
          <w:color w:val="auto"/>
          <w:szCs w:val="21"/>
        </w:rPr>
        <w:t>、</w:t>
      </w:r>
      <w:r>
        <w:rPr>
          <w:i/>
          <w:color w:val="auto"/>
          <w:szCs w:val="21"/>
        </w:rPr>
        <w:t>N</w:t>
      </w:r>
      <w:r>
        <w:rPr>
          <w:color w:val="auto"/>
          <w:szCs w:val="21"/>
          <w:vertAlign w:val="subscript"/>
        </w:rPr>
        <w:t>120</w:t>
      </w:r>
      <w:r>
        <w:rPr>
          <w:color w:val="auto"/>
          <w:szCs w:val="21"/>
        </w:rPr>
        <w:t>，静力触探比贯入阻力</w:t>
      </w:r>
      <w:r>
        <w:rPr>
          <w:i/>
          <w:iCs/>
          <w:color w:val="auto"/>
          <w:szCs w:val="21"/>
        </w:rPr>
        <w:t>p</w:t>
      </w:r>
      <w:r>
        <w:rPr>
          <w:iCs/>
          <w:color w:val="auto"/>
          <w:szCs w:val="21"/>
          <w:vertAlign w:val="subscript"/>
        </w:rPr>
        <w:t>s</w:t>
      </w:r>
      <w:r>
        <w:rPr>
          <w:color w:val="auto"/>
          <w:szCs w:val="21"/>
        </w:rPr>
        <w:t>）的标准值,应按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E.1</w:t>
      </w:r>
      <w:r>
        <w:rPr>
          <w:rFonts w:hint="eastAsia" w:eastAsia="宋体"/>
          <w:color w:val="auto"/>
          <w:sz w:val="21"/>
          <w:szCs w:val="21"/>
          <w:lang w:eastAsia="zh-CN"/>
        </w:rPr>
        <w:t>）</w:t>
      </w:r>
      <w:r>
        <w:rPr>
          <w:color w:val="auto"/>
          <w:szCs w:val="21"/>
        </w:rPr>
        <w:t>计算:</w:t>
      </w:r>
    </w:p>
    <w:p w14:paraId="4CD152A1">
      <w:pPr>
        <w:wordWrap w:val="0"/>
        <w:adjustRightInd w:val="0"/>
        <w:snapToGrid w:val="0"/>
        <w:spacing w:before="120" w:line="340" w:lineRule="atLeast"/>
        <w:ind w:left="2"/>
        <w:jc w:val="right"/>
        <w:rPr>
          <w:color w:val="auto"/>
          <w:szCs w:val="21"/>
        </w:rPr>
      </w:pPr>
      <w:r>
        <w:rPr>
          <w:color w:val="auto"/>
          <w:position w:val="-6"/>
          <w:szCs w:val="21"/>
        </w:rPr>
        <w:object>
          <v:shape id="_x0000_i1657" o:spt="75" type="#_x0000_t75" style="height:14.25pt;width:14.25pt;" o:ole="t" filled="f" o:preferrelative="t" stroked="f" coordsize="21600,21600">
            <v:path/>
            <v:fill on="f" focussize="0,0"/>
            <v:stroke on="f" joinstyle="miter"/>
            <v:imagedata r:id="rId1244" o:title=""/>
            <o:lock v:ext="edit" aspectratio="t"/>
            <w10:wrap type="none"/>
            <w10:anchorlock/>
          </v:shape>
          <o:OLEObject Type="Embed" ProgID="Equation.DSMT4" ShapeID="_x0000_i1657" DrawAspect="Content" ObjectID="_1468076357" r:id="rId1243">
            <o:LockedField>false</o:LockedField>
          </o:OLEObject>
        </w:object>
      </w:r>
      <w:r>
        <w:rPr>
          <w:color w:val="auto"/>
          <w:szCs w:val="21"/>
        </w:rPr>
        <w:t>（或</w:t>
      </w:r>
      <w:r>
        <w:rPr>
          <w:color w:val="auto"/>
          <w:position w:val="-12"/>
          <w:szCs w:val="21"/>
        </w:rPr>
        <w:object>
          <v:shape id="_x0000_i1658" o:spt="75" type="#_x0000_t75" style="height:14.25pt;width:21.75pt;" o:ole="t" filled="f" o:preferrelative="t" stroked="f" coordsize="21600,21600">
            <v:path/>
            <v:fill on="f" focussize="0,0"/>
            <v:stroke on="f" joinstyle="miter"/>
            <v:imagedata r:id="rId1246" o:title=""/>
            <o:lock v:ext="edit" aspectratio="t"/>
            <w10:wrap type="none"/>
            <w10:anchorlock/>
          </v:shape>
          <o:OLEObject Type="Embed" ProgID="Equation.DSMT4" ShapeID="_x0000_i1658" DrawAspect="Content" ObjectID="_1468076358" r:id="rId1245">
            <o:LockedField>false</o:LockedField>
          </o:OLEObject>
        </w:object>
      </w:r>
      <w:r>
        <w:rPr>
          <w:color w:val="auto"/>
          <w:szCs w:val="21"/>
        </w:rPr>
        <w:t>、</w:t>
      </w:r>
      <w:r>
        <w:rPr>
          <w:i/>
          <w:color w:val="auto"/>
          <w:szCs w:val="21"/>
        </w:rPr>
        <w:t>N</w:t>
      </w:r>
      <w:r>
        <w:rPr>
          <w:color w:val="auto"/>
          <w:szCs w:val="21"/>
          <w:vertAlign w:val="subscript"/>
        </w:rPr>
        <w:t>120</w:t>
      </w:r>
      <w:r>
        <w:rPr>
          <w:color w:val="auto"/>
          <w:szCs w:val="21"/>
        </w:rPr>
        <w:t>、</w:t>
      </w:r>
      <w:r>
        <w:rPr>
          <w:color w:val="auto"/>
          <w:position w:val="-12"/>
          <w:szCs w:val="21"/>
        </w:rPr>
        <w:object>
          <v:shape id="_x0000_i1659" o:spt="75" type="#_x0000_t75" style="height:21.75pt;width:14.25pt;" o:ole="t" filled="f" o:preferrelative="t" stroked="f" coordsize="21600,21600">
            <v:path/>
            <v:fill on="f" focussize="0,0"/>
            <v:stroke on="f" joinstyle="miter"/>
            <v:imagedata r:id="rId1248" o:title=""/>
            <o:lock v:ext="edit" aspectratio="t"/>
            <w10:wrap type="none"/>
            <w10:anchorlock/>
          </v:shape>
          <o:OLEObject Type="Embed" ProgID="Equation.DSMT4" ShapeID="_x0000_i1659" DrawAspect="Content" ObjectID="_1468076359" r:id="rId1247">
            <o:LockedField>false</o:LockedField>
          </o:OLEObject>
        </w:object>
      </w:r>
      <w:r>
        <w:rPr>
          <w:color w:val="auto"/>
          <w:szCs w:val="21"/>
        </w:rPr>
        <w:t>）</w:t>
      </w:r>
      <w:r>
        <w:rPr>
          <w:color w:val="auto"/>
          <w:position w:val="-10"/>
          <w:szCs w:val="21"/>
        </w:rPr>
        <w:object>
          <v:shape id="_x0000_i1660" o:spt="75" type="#_x0000_t75" style="height:14.25pt;width:36pt;" o:ole="t" filled="f" o:preferrelative="t" stroked="f" coordsize="21600,21600">
            <v:path/>
            <v:fill on="f" focussize="0,0"/>
            <v:stroke on="f" joinstyle="miter"/>
            <v:imagedata r:id="rId1250" o:title=""/>
            <o:lock v:ext="edit" aspectratio="t"/>
            <w10:wrap type="none"/>
            <w10:anchorlock/>
          </v:shape>
          <o:OLEObject Type="Embed" ProgID="Equation.DSMT4" ShapeID="_x0000_i1660" DrawAspect="Content" ObjectID="_1468076360" r:id="rId1249">
            <o:LockedField>false</o:LockedField>
          </o:OLEObject>
        </w:object>
      </w:r>
      <w:r>
        <w:rPr>
          <w:color w:val="auto"/>
          <w:szCs w:val="21"/>
        </w:rPr>
        <w:t xml:space="preserve">                      (E.1)</w:t>
      </w:r>
    </w:p>
    <w:p w14:paraId="6EA1F572">
      <w:pPr>
        <w:adjustRightInd w:val="0"/>
        <w:snapToGrid w:val="0"/>
        <w:spacing w:line="240" w:lineRule="atLeast"/>
        <w:ind w:left="1129" w:leftChars="4" w:right="-105" w:hanging="1121" w:hangingChars="534"/>
        <w:rPr>
          <w:color w:val="auto"/>
          <w:szCs w:val="21"/>
        </w:rPr>
      </w:pPr>
      <w:r>
        <w:rPr>
          <w:color w:val="auto"/>
          <w:szCs w:val="21"/>
        </w:rPr>
        <w:t xml:space="preserve">式中  </w:t>
      </w:r>
      <w:r>
        <w:rPr>
          <w:color w:val="auto"/>
          <w:position w:val="-10"/>
          <w:szCs w:val="21"/>
        </w:rPr>
        <w:object>
          <v:shape id="_x0000_i1661" o:spt="75" type="#_x0000_t75" style="height:14.25pt;width:14.25pt;" o:ole="t" filled="f" o:preferrelative="t" stroked="f" coordsize="21600,21600">
            <v:path/>
            <v:fill on="f" focussize="0,0"/>
            <v:stroke on="f" joinstyle="miter"/>
            <v:imagedata r:id="rId1252" o:title=""/>
            <o:lock v:ext="edit" aspectratio="t"/>
            <w10:wrap type="none"/>
            <w10:anchorlock/>
          </v:shape>
          <o:OLEObject Type="Embed" ProgID="Equation.DSMT4" ShapeID="_x0000_i1661" DrawAspect="Content" ObjectID="_1468076361" r:id="rId1251">
            <o:LockedField>false</o:LockedField>
          </o:OLEObject>
        </w:object>
      </w:r>
      <w:r>
        <w:rPr>
          <w:color w:val="auto"/>
          <w:szCs w:val="21"/>
        </w:rPr>
        <w:t>——标准贯入自由落锤锤击数</w:t>
      </w:r>
      <w:r>
        <w:rPr>
          <w:i/>
          <w:color w:val="auto"/>
          <w:szCs w:val="21"/>
        </w:rPr>
        <w:t>N</w:t>
      </w:r>
      <w:r>
        <w:rPr>
          <w:color w:val="auto"/>
          <w:szCs w:val="21"/>
        </w:rPr>
        <w:t>（或单孔同一土层的动力触探锤击数</w:t>
      </w:r>
      <w:r>
        <w:rPr>
          <w:color w:val="auto"/>
          <w:position w:val="-12"/>
          <w:szCs w:val="21"/>
        </w:rPr>
        <w:object>
          <v:shape id="_x0000_i1662" o:spt="75" type="#_x0000_t75" style="height:14.25pt;width:21.75pt;" o:ole="t" filled="f" o:preferrelative="t" stroked="f" coordsize="21600,21600">
            <v:path/>
            <v:fill on="f" focussize="0,0"/>
            <v:stroke on="f" joinstyle="miter"/>
            <v:imagedata r:id="rId1254" o:title=""/>
            <o:lock v:ext="edit" aspectratio="t"/>
            <w10:wrap type="none"/>
            <w10:anchorlock/>
          </v:shape>
          <o:OLEObject Type="Embed" ProgID="Equation.3" ShapeID="_x0000_i1662" DrawAspect="Content" ObjectID="_1468076362" r:id="rId1253">
            <o:LockedField>false</o:LockedField>
          </o:OLEObject>
        </w:object>
      </w:r>
      <w:r>
        <w:rPr>
          <w:color w:val="auto"/>
          <w:szCs w:val="21"/>
        </w:rPr>
        <w:t>、</w:t>
      </w:r>
      <w:r>
        <w:rPr>
          <w:i/>
          <w:color w:val="auto"/>
          <w:szCs w:val="21"/>
        </w:rPr>
        <w:t>N</w:t>
      </w:r>
      <w:r>
        <w:rPr>
          <w:color w:val="auto"/>
          <w:szCs w:val="21"/>
          <w:vertAlign w:val="subscript"/>
        </w:rPr>
        <w:t>120</w:t>
      </w:r>
      <w:r>
        <w:rPr>
          <w:color w:val="auto"/>
          <w:szCs w:val="21"/>
        </w:rPr>
        <w:t>、静力触探比贯入阻力</w:t>
      </w:r>
      <w:r>
        <w:rPr>
          <w:color w:val="auto"/>
          <w:position w:val="-12"/>
          <w:szCs w:val="21"/>
        </w:rPr>
        <w:object>
          <v:shape id="_x0000_i1663" o:spt="75" type="#_x0000_t75" style="height:21.75pt;width:14.25pt;" o:ole="t" filled="f" o:preferrelative="t" stroked="f" coordsize="21600,21600">
            <v:path/>
            <v:fill on="f" focussize="0,0"/>
            <v:stroke on="f" joinstyle="miter"/>
            <v:imagedata r:id="rId1248" o:title=""/>
            <o:lock v:ext="edit" aspectratio="t"/>
            <w10:wrap type="none"/>
            <w10:anchorlock/>
          </v:shape>
          <o:OLEObject Type="Embed" ProgID="Equation.DSMT4" ShapeID="_x0000_i1663" DrawAspect="Content" ObjectID="_1468076363" r:id="rId1255">
            <o:LockedField>false</o:LockedField>
          </o:OLEObject>
        </w:object>
      </w:r>
      <w:r>
        <w:rPr>
          <w:color w:val="auto"/>
          <w:szCs w:val="21"/>
        </w:rPr>
        <w:t>）的平均值；</w:t>
      </w:r>
    </w:p>
    <w:p w14:paraId="0FE0855B">
      <w:pPr>
        <w:adjustRightInd w:val="0"/>
        <w:snapToGrid w:val="0"/>
        <w:spacing w:line="340" w:lineRule="exact"/>
        <w:ind w:firstLine="474" w:firstLineChars="226"/>
        <w:rPr>
          <w:color w:val="auto"/>
          <w:szCs w:val="21"/>
        </w:rPr>
      </w:pPr>
      <w:r>
        <w:rPr>
          <w:color w:val="auto"/>
          <w:position w:val="-10"/>
          <w:szCs w:val="21"/>
        </w:rPr>
        <w:object>
          <v:shape id="_x0000_i1664" o:spt="75" type="#_x0000_t75" style="height:14.25pt;width:14.25pt;" o:ole="t" filled="f" o:preferrelative="t" stroked="f" coordsize="21600,21600">
            <v:path/>
            <v:fill on="f" focussize="0,0"/>
            <v:stroke on="f" joinstyle="miter"/>
            <v:imagedata r:id="rId1257" o:title=""/>
            <o:lock v:ext="edit" aspectratio="t"/>
            <w10:wrap type="none"/>
            <w10:anchorlock/>
          </v:shape>
          <o:OLEObject Type="Embed" ProgID="Equation.DSMT4" ShapeID="_x0000_i1664" DrawAspect="Content" ObjectID="_1468076364" r:id="rId1256">
            <o:LockedField>false</o:LockedField>
          </o:OLEObject>
        </w:object>
      </w:r>
      <w:r>
        <w:rPr>
          <w:color w:val="auto"/>
          <w:szCs w:val="21"/>
        </w:rPr>
        <w:t>——统计修正系数,不应小于0.75。</w:t>
      </w:r>
    </w:p>
    <w:p w14:paraId="661E72EC">
      <w:pPr>
        <w:adjustRightInd w:val="0"/>
        <w:snapToGrid w:val="0"/>
        <w:spacing w:line="340" w:lineRule="exact"/>
        <w:ind w:firstLine="761" w:firstLineChars="361"/>
        <w:rPr>
          <w:color w:val="auto"/>
          <w:szCs w:val="21"/>
        </w:rPr>
      </w:pPr>
      <w:r>
        <w:rPr>
          <w:b/>
          <w:bCs/>
          <w:color w:val="auto"/>
          <w:szCs w:val="21"/>
        </w:rPr>
        <w:t>2）</w:t>
      </w:r>
      <w:r>
        <w:rPr>
          <w:color w:val="auto"/>
          <w:szCs w:val="21"/>
        </w:rPr>
        <w:t>统计修正系数,应按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E.2</w:t>
      </w:r>
      <w:r>
        <w:rPr>
          <w:rFonts w:hint="eastAsia" w:eastAsia="宋体"/>
          <w:color w:val="auto"/>
          <w:sz w:val="21"/>
          <w:szCs w:val="21"/>
          <w:lang w:eastAsia="zh-CN"/>
        </w:rPr>
        <w:t>）</w:t>
      </w:r>
      <w:r>
        <w:rPr>
          <w:color w:val="auto"/>
          <w:szCs w:val="21"/>
        </w:rPr>
        <w:t>计算：</w:t>
      </w:r>
    </w:p>
    <w:p w14:paraId="78008F38">
      <w:pPr>
        <w:wordWrap w:val="0"/>
        <w:adjustRightInd w:val="0"/>
        <w:snapToGrid w:val="0"/>
        <w:spacing w:before="240" w:line="360" w:lineRule="atLeast"/>
        <w:ind w:left="2"/>
        <w:jc w:val="right"/>
        <w:rPr>
          <w:color w:val="auto"/>
          <w:szCs w:val="21"/>
        </w:rPr>
      </w:pPr>
      <w:r>
        <w:rPr>
          <w:color w:val="auto"/>
          <w:position w:val="-28"/>
          <w:szCs w:val="21"/>
        </w:rPr>
        <w:object>
          <v:shape id="_x0000_i1665" o:spt="75" type="#_x0000_t75" style="height:36pt;width:115.5pt;" o:ole="t" filled="f" o:preferrelative="t" stroked="f" coordsize="21600,21600">
            <v:path/>
            <v:fill on="f" focussize="0,0"/>
            <v:stroke on="f" joinstyle="miter"/>
            <v:imagedata r:id="rId1259" o:title=""/>
            <o:lock v:ext="edit" aspectratio="t"/>
            <w10:wrap type="none"/>
            <w10:anchorlock/>
          </v:shape>
          <o:OLEObject Type="Embed" ProgID="Equation.DSMT4" ShapeID="_x0000_i1665" DrawAspect="Content" ObjectID="_1468076365" r:id="rId1258">
            <o:LockedField>false</o:LockedField>
          </o:OLEObject>
        </w:object>
      </w:r>
      <w:r>
        <w:rPr>
          <w:color w:val="auto"/>
          <w:szCs w:val="21"/>
        </w:rPr>
        <w:t xml:space="preserve">                       (E.2)</w:t>
      </w:r>
    </w:p>
    <w:p w14:paraId="5C64F834">
      <w:pPr>
        <w:adjustRightInd w:val="0"/>
        <w:snapToGrid w:val="0"/>
        <w:spacing w:before="120" w:line="360" w:lineRule="atLeast"/>
        <w:rPr>
          <w:color w:val="auto"/>
          <w:szCs w:val="21"/>
        </w:rPr>
      </w:pPr>
      <w:r>
        <w:rPr>
          <w:color w:val="auto"/>
          <w:szCs w:val="21"/>
        </w:rPr>
        <w:t xml:space="preserve">式中  </w:t>
      </w:r>
      <w:r>
        <w:rPr>
          <w:color w:val="auto"/>
          <w:position w:val="-10"/>
          <w:szCs w:val="21"/>
        </w:rPr>
        <w:object>
          <v:shape id="_x0000_i1666" o:spt="75" type="#_x0000_t75" style="height:14.25pt;width:14.25pt;" o:ole="t" filled="f" o:preferrelative="t" stroked="f" coordsize="21600,21600">
            <v:path/>
            <v:fill on="f" focussize="0,0"/>
            <v:stroke on="f" joinstyle="miter"/>
            <v:imagedata r:id="rId1261" o:title=""/>
            <o:lock v:ext="edit" aspectratio="t"/>
            <w10:wrap type="none"/>
            <w10:anchorlock/>
          </v:shape>
          <o:OLEObject Type="Embed" ProgID="Equation.DSMT4" ShapeID="_x0000_i1666" DrawAspect="Content" ObjectID="_1468076366" r:id="rId1260">
            <o:LockedField>false</o:LockedField>
          </o:OLEObject>
        </w:object>
      </w:r>
      <w:r>
        <w:rPr>
          <w:color w:val="auto"/>
          <w:szCs w:val="21"/>
        </w:rPr>
        <w:t>——某一原位测试指标的统计修正系数；</w:t>
      </w:r>
    </w:p>
    <w:p w14:paraId="6D9A1A61">
      <w:pPr>
        <w:adjustRightInd w:val="0"/>
        <w:snapToGrid w:val="0"/>
        <w:spacing w:line="360" w:lineRule="atLeast"/>
        <w:ind w:left="1066" w:leftChars="229" w:hanging="585" w:hangingChars="279"/>
        <w:rPr>
          <w:color w:val="auto"/>
          <w:szCs w:val="21"/>
        </w:rPr>
      </w:pPr>
      <w:r>
        <w:rPr>
          <w:color w:val="auto"/>
          <w:position w:val="-6"/>
          <w:szCs w:val="21"/>
        </w:rPr>
        <w:object>
          <v:shape id="_x0000_i1667" o:spt="75" type="#_x0000_t75" style="height:7.5pt;width:7.5pt;" o:ole="t" filled="f" o:preferrelative="t" stroked="f" coordsize="21600,21600">
            <v:path/>
            <v:fill on="f" focussize="0,0"/>
            <v:stroke on="f" joinstyle="miter"/>
            <v:imagedata r:id="rId641" o:title=""/>
            <o:lock v:ext="edit" aspectratio="t"/>
            <w10:wrap type="none"/>
            <w10:anchorlock/>
          </v:shape>
          <o:OLEObject Type="Embed" ProgID="Equation.DSMT4" ShapeID="_x0000_i1667" DrawAspect="Content" ObjectID="_1468076367" r:id="rId1262">
            <o:LockedField>false</o:LockedField>
          </o:OLEObject>
        </w:object>
      </w:r>
      <w:r>
        <w:rPr>
          <w:color w:val="auto"/>
          <w:szCs w:val="21"/>
        </w:rPr>
        <w:t>——据以查表的标准贯入锤击数（或单孔同一土层的动力触探锤击数、静力触探比贯入阻力）参与统计的数据数。</w:t>
      </w:r>
      <w:r>
        <w:rPr>
          <w:i/>
          <w:color w:val="auto"/>
          <w:szCs w:val="21"/>
        </w:rPr>
        <w:t>n</w:t>
      </w:r>
      <w:r>
        <w:rPr>
          <w:color w:val="auto"/>
          <w:szCs w:val="21"/>
        </w:rPr>
        <w:t>不应少于6个。</w:t>
      </w:r>
    </w:p>
    <w:p w14:paraId="2D60556B">
      <w:pPr>
        <w:tabs>
          <w:tab w:val="left" w:pos="721"/>
        </w:tabs>
        <w:adjustRightInd w:val="0"/>
        <w:snapToGrid w:val="0"/>
        <w:spacing w:line="360" w:lineRule="atLeast"/>
        <w:ind w:left="1078" w:leftChars="215" w:hanging="627" w:hangingChars="299"/>
        <w:rPr>
          <w:color w:val="auto"/>
          <w:szCs w:val="21"/>
        </w:rPr>
      </w:pPr>
      <w:r>
        <w:rPr>
          <w:color w:val="auto"/>
          <w:position w:val="-6"/>
          <w:szCs w:val="21"/>
        </w:rPr>
        <w:object>
          <v:shape id="_x0000_i1668" o:spt="75" type="#_x0000_t75" style="height:14.25pt;width:7.5pt;" o:ole="t" filled="f" o:preferrelative="t" stroked="f" coordsize="21600,21600">
            <v:path/>
            <v:fill on="f" focussize="0,0"/>
            <v:stroke on="f" joinstyle="miter"/>
            <v:imagedata r:id="rId1264" o:title=""/>
            <o:lock v:ext="edit" aspectratio="t"/>
            <w10:wrap type="none"/>
            <w10:anchorlock/>
          </v:shape>
          <o:OLEObject Type="Embed" ProgID="Equation.DSMT4" ShapeID="_x0000_i1668" DrawAspect="Content" ObjectID="_1468076368" r:id="rId1263">
            <o:LockedField>false</o:LockedField>
          </o:OLEObject>
        </w:object>
      </w:r>
      <w:r>
        <w:rPr>
          <w:color w:val="auto"/>
          <w:szCs w:val="21"/>
        </w:rPr>
        <w:t>——变异系数。当</w:t>
      </w:r>
      <w:r>
        <w:rPr>
          <w:i/>
          <w:color w:val="auto"/>
          <w:szCs w:val="21"/>
        </w:rPr>
        <w:t>δ</w:t>
      </w:r>
      <w:r>
        <w:rPr>
          <w:color w:val="auto"/>
          <w:szCs w:val="21"/>
        </w:rPr>
        <w:t>值较大值,应分析原因,如分层是否合理,试验有无差错,并应增加测试数量。</w:t>
      </w:r>
    </w:p>
    <w:p w14:paraId="0C2D3177">
      <w:pPr>
        <w:adjustRightInd w:val="0"/>
        <w:snapToGrid w:val="0"/>
        <w:spacing w:before="312" w:beforeLines="100" w:line="360" w:lineRule="atLeast"/>
        <w:jc w:val="center"/>
        <w:rPr>
          <w:rFonts w:eastAsia="黑体"/>
          <w:b/>
          <w:color w:val="auto"/>
          <w:szCs w:val="21"/>
        </w:rPr>
      </w:pPr>
      <w:r>
        <w:rPr>
          <w:rFonts w:eastAsia="黑体"/>
          <w:b/>
          <w:color w:val="auto"/>
          <w:szCs w:val="21"/>
        </w:rPr>
        <w:t>表E.11  中、粗、砾砂承载力特征值</w:t>
      </w:r>
      <w:r>
        <w:rPr>
          <w:rFonts w:eastAsia="黑体"/>
          <w:b/>
          <w:i/>
          <w:color w:val="auto"/>
          <w:szCs w:val="21"/>
        </w:rPr>
        <w:t>ƒ</w:t>
      </w:r>
      <w:r>
        <w:rPr>
          <w:rFonts w:eastAsia="黑体"/>
          <w:b/>
          <w:iCs/>
          <w:color w:val="auto"/>
          <w:szCs w:val="21"/>
          <w:vertAlign w:val="subscript"/>
        </w:rPr>
        <w:t>ak</w:t>
      </w:r>
    </w:p>
    <w:tbl>
      <w:tblPr>
        <w:tblStyle w:val="36"/>
        <w:tblW w:w="916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35"/>
        <w:gridCol w:w="1012"/>
        <w:gridCol w:w="928"/>
        <w:gridCol w:w="1019"/>
        <w:gridCol w:w="944"/>
        <w:gridCol w:w="1055"/>
        <w:gridCol w:w="928"/>
        <w:gridCol w:w="1016"/>
        <w:gridCol w:w="928"/>
      </w:tblGrid>
      <w:tr w14:paraId="00E0A9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335" w:type="dxa"/>
            <w:vAlign w:val="center"/>
          </w:tcPr>
          <w:p w14:paraId="289E0D26">
            <w:pPr>
              <w:adjustRightInd w:val="0"/>
              <w:snapToGrid w:val="0"/>
              <w:spacing w:line="260" w:lineRule="exact"/>
              <w:jc w:val="center"/>
              <w:rPr>
                <w:color w:val="auto"/>
                <w:sz w:val="18"/>
                <w:szCs w:val="18"/>
              </w:rPr>
            </w:pPr>
            <w:r>
              <w:rPr>
                <w:i/>
                <w:color w:val="auto"/>
                <w:sz w:val="18"/>
                <w:szCs w:val="18"/>
              </w:rPr>
              <w:t>N</w:t>
            </w:r>
            <w:r>
              <w:rPr>
                <w:color w:val="auto"/>
                <w:sz w:val="18"/>
                <w:szCs w:val="18"/>
                <w:vertAlign w:val="subscript"/>
              </w:rPr>
              <w:t>63.5</w:t>
            </w:r>
          </w:p>
        </w:tc>
        <w:tc>
          <w:tcPr>
            <w:tcW w:w="1012" w:type="dxa"/>
            <w:vAlign w:val="center"/>
          </w:tcPr>
          <w:p w14:paraId="2836B533">
            <w:pPr>
              <w:adjustRightInd w:val="0"/>
              <w:snapToGrid w:val="0"/>
              <w:spacing w:line="260" w:lineRule="exact"/>
              <w:jc w:val="center"/>
              <w:rPr>
                <w:color w:val="auto"/>
                <w:sz w:val="18"/>
                <w:szCs w:val="18"/>
              </w:rPr>
            </w:pPr>
            <w:r>
              <w:rPr>
                <w:color w:val="auto"/>
                <w:sz w:val="18"/>
                <w:szCs w:val="18"/>
              </w:rPr>
              <w:t>3</w:t>
            </w:r>
          </w:p>
        </w:tc>
        <w:tc>
          <w:tcPr>
            <w:tcW w:w="928" w:type="dxa"/>
            <w:vAlign w:val="center"/>
          </w:tcPr>
          <w:p w14:paraId="5DAFD646">
            <w:pPr>
              <w:adjustRightInd w:val="0"/>
              <w:snapToGrid w:val="0"/>
              <w:spacing w:line="260" w:lineRule="exact"/>
              <w:jc w:val="center"/>
              <w:rPr>
                <w:color w:val="auto"/>
                <w:sz w:val="18"/>
                <w:szCs w:val="18"/>
              </w:rPr>
            </w:pPr>
            <w:r>
              <w:rPr>
                <w:color w:val="auto"/>
                <w:sz w:val="18"/>
                <w:szCs w:val="18"/>
              </w:rPr>
              <w:t>4</w:t>
            </w:r>
          </w:p>
        </w:tc>
        <w:tc>
          <w:tcPr>
            <w:tcW w:w="1019" w:type="dxa"/>
            <w:vAlign w:val="center"/>
          </w:tcPr>
          <w:p w14:paraId="7576D620">
            <w:pPr>
              <w:adjustRightInd w:val="0"/>
              <w:snapToGrid w:val="0"/>
              <w:spacing w:line="260" w:lineRule="exact"/>
              <w:jc w:val="center"/>
              <w:rPr>
                <w:color w:val="auto"/>
                <w:sz w:val="18"/>
                <w:szCs w:val="18"/>
              </w:rPr>
            </w:pPr>
            <w:r>
              <w:rPr>
                <w:color w:val="auto"/>
                <w:sz w:val="18"/>
                <w:szCs w:val="18"/>
              </w:rPr>
              <w:t>5</w:t>
            </w:r>
          </w:p>
        </w:tc>
        <w:tc>
          <w:tcPr>
            <w:tcW w:w="944" w:type="dxa"/>
            <w:vAlign w:val="center"/>
          </w:tcPr>
          <w:p w14:paraId="3B69E5FA">
            <w:pPr>
              <w:adjustRightInd w:val="0"/>
              <w:snapToGrid w:val="0"/>
              <w:spacing w:line="260" w:lineRule="exact"/>
              <w:jc w:val="center"/>
              <w:rPr>
                <w:color w:val="auto"/>
                <w:sz w:val="18"/>
                <w:szCs w:val="18"/>
              </w:rPr>
            </w:pPr>
            <w:r>
              <w:rPr>
                <w:color w:val="auto"/>
                <w:sz w:val="18"/>
                <w:szCs w:val="18"/>
              </w:rPr>
              <w:t>6</w:t>
            </w:r>
          </w:p>
        </w:tc>
        <w:tc>
          <w:tcPr>
            <w:tcW w:w="1055" w:type="dxa"/>
            <w:vAlign w:val="center"/>
          </w:tcPr>
          <w:p w14:paraId="28790E59">
            <w:pPr>
              <w:adjustRightInd w:val="0"/>
              <w:snapToGrid w:val="0"/>
              <w:spacing w:line="260" w:lineRule="exact"/>
              <w:jc w:val="center"/>
              <w:rPr>
                <w:color w:val="auto"/>
                <w:sz w:val="18"/>
                <w:szCs w:val="18"/>
              </w:rPr>
            </w:pPr>
            <w:r>
              <w:rPr>
                <w:color w:val="auto"/>
                <w:sz w:val="18"/>
                <w:szCs w:val="18"/>
              </w:rPr>
              <w:t>7</w:t>
            </w:r>
          </w:p>
        </w:tc>
        <w:tc>
          <w:tcPr>
            <w:tcW w:w="928" w:type="dxa"/>
            <w:vAlign w:val="center"/>
          </w:tcPr>
          <w:p w14:paraId="61DC3345">
            <w:pPr>
              <w:adjustRightInd w:val="0"/>
              <w:snapToGrid w:val="0"/>
              <w:spacing w:line="260" w:lineRule="exact"/>
              <w:jc w:val="center"/>
              <w:rPr>
                <w:color w:val="auto"/>
                <w:sz w:val="18"/>
                <w:szCs w:val="18"/>
              </w:rPr>
            </w:pPr>
            <w:r>
              <w:rPr>
                <w:color w:val="auto"/>
                <w:sz w:val="18"/>
                <w:szCs w:val="18"/>
              </w:rPr>
              <w:t>8</w:t>
            </w:r>
          </w:p>
        </w:tc>
        <w:tc>
          <w:tcPr>
            <w:tcW w:w="1016" w:type="dxa"/>
            <w:vAlign w:val="center"/>
          </w:tcPr>
          <w:p w14:paraId="436E3678">
            <w:pPr>
              <w:adjustRightInd w:val="0"/>
              <w:snapToGrid w:val="0"/>
              <w:spacing w:line="260" w:lineRule="exact"/>
              <w:jc w:val="center"/>
              <w:rPr>
                <w:color w:val="auto"/>
                <w:sz w:val="18"/>
                <w:szCs w:val="18"/>
              </w:rPr>
            </w:pPr>
            <w:r>
              <w:rPr>
                <w:color w:val="auto"/>
                <w:sz w:val="18"/>
                <w:szCs w:val="18"/>
              </w:rPr>
              <w:t>9</w:t>
            </w:r>
          </w:p>
        </w:tc>
        <w:tc>
          <w:tcPr>
            <w:tcW w:w="928" w:type="dxa"/>
            <w:vAlign w:val="center"/>
          </w:tcPr>
          <w:p w14:paraId="1AA9B47A">
            <w:pPr>
              <w:adjustRightInd w:val="0"/>
              <w:snapToGrid w:val="0"/>
              <w:spacing w:line="260" w:lineRule="exact"/>
              <w:jc w:val="center"/>
              <w:rPr>
                <w:color w:val="auto"/>
                <w:sz w:val="18"/>
                <w:szCs w:val="18"/>
              </w:rPr>
            </w:pPr>
            <w:r>
              <w:rPr>
                <w:color w:val="auto"/>
                <w:sz w:val="18"/>
                <w:szCs w:val="18"/>
              </w:rPr>
              <w:t>10</w:t>
            </w:r>
          </w:p>
        </w:tc>
      </w:tr>
      <w:tr w14:paraId="216AE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335" w:type="dxa"/>
            <w:vAlign w:val="center"/>
          </w:tcPr>
          <w:p w14:paraId="24E3C658">
            <w:pPr>
              <w:adjustRightInd w:val="0"/>
              <w:snapToGrid w:val="0"/>
              <w:spacing w:line="260" w:lineRule="exact"/>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（kPa）</w:t>
            </w:r>
          </w:p>
        </w:tc>
        <w:tc>
          <w:tcPr>
            <w:tcW w:w="1012" w:type="dxa"/>
            <w:vAlign w:val="center"/>
          </w:tcPr>
          <w:p w14:paraId="5FB24858">
            <w:pPr>
              <w:adjustRightInd w:val="0"/>
              <w:snapToGrid w:val="0"/>
              <w:spacing w:line="260" w:lineRule="exact"/>
              <w:jc w:val="center"/>
              <w:rPr>
                <w:color w:val="auto"/>
                <w:sz w:val="18"/>
                <w:szCs w:val="18"/>
              </w:rPr>
            </w:pPr>
            <w:r>
              <w:rPr>
                <w:color w:val="auto"/>
                <w:sz w:val="18"/>
                <w:szCs w:val="18"/>
              </w:rPr>
              <w:t>120</w:t>
            </w:r>
          </w:p>
        </w:tc>
        <w:tc>
          <w:tcPr>
            <w:tcW w:w="928" w:type="dxa"/>
            <w:vAlign w:val="center"/>
          </w:tcPr>
          <w:p w14:paraId="14556E51">
            <w:pPr>
              <w:adjustRightInd w:val="0"/>
              <w:snapToGrid w:val="0"/>
              <w:spacing w:line="260" w:lineRule="exact"/>
              <w:jc w:val="center"/>
              <w:rPr>
                <w:color w:val="auto"/>
                <w:sz w:val="18"/>
                <w:szCs w:val="18"/>
              </w:rPr>
            </w:pPr>
            <w:r>
              <w:rPr>
                <w:color w:val="auto"/>
                <w:sz w:val="18"/>
                <w:szCs w:val="18"/>
              </w:rPr>
              <w:t>150</w:t>
            </w:r>
          </w:p>
        </w:tc>
        <w:tc>
          <w:tcPr>
            <w:tcW w:w="1019" w:type="dxa"/>
            <w:vAlign w:val="center"/>
          </w:tcPr>
          <w:p w14:paraId="70C6B31C">
            <w:pPr>
              <w:adjustRightInd w:val="0"/>
              <w:snapToGrid w:val="0"/>
              <w:spacing w:line="260" w:lineRule="exact"/>
              <w:jc w:val="center"/>
              <w:rPr>
                <w:color w:val="auto"/>
                <w:sz w:val="18"/>
                <w:szCs w:val="18"/>
              </w:rPr>
            </w:pPr>
            <w:r>
              <w:rPr>
                <w:color w:val="auto"/>
                <w:sz w:val="18"/>
                <w:szCs w:val="18"/>
              </w:rPr>
              <w:t>180</w:t>
            </w:r>
          </w:p>
        </w:tc>
        <w:tc>
          <w:tcPr>
            <w:tcW w:w="944" w:type="dxa"/>
            <w:vAlign w:val="center"/>
          </w:tcPr>
          <w:p w14:paraId="72D2640D">
            <w:pPr>
              <w:adjustRightInd w:val="0"/>
              <w:snapToGrid w:val="0"/>
              <w:spacing w:line="260" w:lineRule="exact"/>
              <w:jc w:val="center"/>
              <w:rPr>
                <w:color w:val="auto"/>
                <w:sz w:val="18"/>
                <w:szCs w:val="18"/>
              </w:rPr>
            </w:pPr>
            <w:r>
              <w:rPr>
                <w:color w:val="auto"/>
                <w:sz w:val="18"/>
                <w:szCs w:val="18"/>
              </w:rPr>
              <w:t>220</w:t>
            </w:r>
          </w:p>
        </w:tc>
        <w:tc>
          <w:tcPr>
            <w:tcW w:w="1055" w:type="dxa"/>
            <w:vAlign w:val="center"/>
          </w:tcPr>
          <w:p w14:paraId="51706AED">
            <w:pPr>
              <w:adjustRightInd w:val="0"/>
              <w:snapToGrid w:val="0"/>
              <w:spacing w:line="260" w:lineRule="exact"/>
              <w:jc w:val="center"/>
              <w:rPr>
                <w:color w:val="auto"/>
                <w:sz w:val="18"/>
                <w:szCs w:val="18"/>
              </w:rPr>
            </w:pPr>
            <w:r>
              <w:rPr>
                <w:color w:val="auto"/>
                <w:sz w:val="18"/>
                <w:szCs w:val="18"/>
              </w:rPr>
              <w:t>260</w:t>
            </w:r>
          </w:p>
        </w:tc>
        <w:tc>
          <w:tcPr>
            <w:tcW w:w="928" w:type="dxa"/>
            <w:vAlign w:val="center"/>
          </w:tcPr>
          <w:p w14:paraId="60DF619A">
            <w:pPr>
              <w:adjustRightInd w:val="0"/>
              <w:snapToGrid w:val="0"/>
              <w:spacing w:line="260" w:lineRule="exact"/>
              <w:jc w:val="center"/>
              <w:rPr>
                <w:color w:val="auto"/>
                <w:sz w:val="18"/>
                <w:szCs w:val="18"/>
              </w:rPr>
            </w:pPr>
            <w:r>
              <w:rPr>
                <w:color w:val="auto"/>
                <w:sz w:val="18"/>
                <w:szCs w:val="18"/>
              </w:rPr>
              <w:t>300</w:t>
            </w:r>
          </w:p>
        </w:tc>
        <w:tc>
          <w:tcPr>
            <w:tcW w:w="1016" w:type="dxa"/>
            <w:vAlign w:val="center"/>
          </w:tcPr>
          <w:p w14:paraId="4574742F">
            <w:pPr>
              <w:adjustRightInd w:val="0"/>
              <w:snapToGrid w:val="0"/>
              <w:spacing w:line="260" w:lineRule="exact"/>
              <w:jc w:val="center"/>
              <w:rPr>
                <w:color w:val="auto"/>
                <w:sz w:val="18"/>
                <w:szCs w:val="18"/>
              </w:rPr>
            </w:pPr>
            <w:r>
              <w:rPr>
                <w:color w:val="auto"/>
                <w:sz w:val="18"/>
                <w:szCs w:val="18"/>
              </w:rPr>
              <w:t>340</w:t>
            </w:r>
          </w:p>
        </w:tc>
        <w:tc>
          <w:tcPr>
            <w:tcW w:w="928" w:type="dxa"/>
            <w:vAlign w:val="center"/>
          </w:tcPr>
          <w:p w14:paraId="791D5262">
            <w:pPr>
              <w:adjustRightInd w:val="0"/>
              <w:snapToGrid w:val="0"/>
              <w:spacing w:line="260" w:lineRule="exact"/>
              <w:jc w:val="center"/>
              <w:rPr>
                <w:color w:val="auto"/>
                <w:sz w:val="18"/>
                <w:szCs w:val="18"/>
              </w:rPr>
            </w:pPr>
            <w:r>
              <w:rPr>
                <w:color w:val="auto"/>
                <w:sz w:val="18"/>
                <w:szCs w:val="18"/>
              </w:rPr>
              <w:t>380</w:t>
            </w:r>
          </w:p>
        </w:tc>
      </w:tr>
      <w:tr w14:paraId="737F0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9165" w:type="dxa"/>
            <w:gridSpan w:val="9"/>
            <w:vAlign w:val="center"/>
          </w:tcPr>
          <w:p w14:paraId="14769192">
            <w:pPr>
              <w:adjustRightInd w:val="0"/>
              <w:snapToGrid w:val="0"/>
              <w:ind w:left="439" w:right="-60" w:hanging="439" w:hangingChars="244"/>
              <w:rPr>
                <w:color w:val="auto"/>
                <w:sz w:val="18"/>
                <w:szCs w:val="18"/>
              </w:rPr>
            </w:pPr>
            <w:r>
              <w:rPr>
                <w:color w:val="auto"/>
                <w:sz w:val="18"/>
                <w:szCs w:val="18"/>
              </w:rPr>
              <w:t>注</w:t>
            </w:r>
            <w:r>
              <w:rPr>
                <w:bCs/>
                <w:color w:val="auto"/>
                <w:sz w:val="18"/>
                <w:szCs w:val="18"/>
              </w:rPr>
              <w:t>1：</w:t>
            </w:r>
            <w:r>
              <w:rPr>
                <w:color w:val="auto"/>
                <w:sz w:val="18"/>
                <w:szCs w:val="18"/>
              </w:rPr>
              <w:t>本表一般适用于冲积和洪积的砂土、且中、粗砂的不均匀系数不大于6,砾砂的不均匀系数不大于20；</w:t>
            </w:r>
          </w:p>
          <w:p w14:paraId="1B7CA86D">
            <w:pPr>
              <w:adjustRightInd w:val="0"/>
              <w:snapToGrid w:val="0"/>
              <w:rPr>
                <w:color w:val="auto"/>
                <w:sz w:val="18"/>
                <w:szCs w:val="18"/>
              </w:rPr>
            </w:pPr>
            <w:r>
              <w:rPr>
                <w:bCs/>
                <w:color w:val="auto"/>
                <w:sz w:val="18"/>
                <w:szCs w:val="18"/>
              </w:rPr>
              <w:t>注2</w:t>
            </w:r>
            <w:r>
              <w:rPr>
                <w:color w:val="auto"/>
                <w:sz w:val="18"/>
                <w:szCs w:val="18"/>
              </w:rPr>
              <w:t>：表中</w:t>
            </w:r>
            <w:r>
              <w:rPr>
                <w:i/>
                <w:color w:val="auto"/>
                <w:sz w:val="18"/>
                <w:szCs w:val="18"/>
              </w:rPr>
              <w:t>N</w:t>
            </w:r>
            <w:r>
              <w:rPr>
                <w:color w:val="auto"/>
                <w:sz w:val="18"/>
                <w:szCs w:val="18"/>
                <w:vertAlign w:val="subscript"/>
              </w:rPr>
              <w:t>63.5</w:t>
            </w:r>
            <w:r>
              <w:rPr>
                <w:color w:val="auto"/>
                <w:sz w:val="18"/>
                <w:szCs w:val="18"/>
              </w:rPr>
              <w:t>系经杆长修正后的锤击数标准值。</w:t>
            </w:r>
          </w:p>
        </w:tc>
      </w:tr>
    </w:tbl>
    <w:p w14:paraId="1EB3773E">
      <w:pPr>
        <w:adjustRightInd w:val="0"/>
        <w:snapToGrid w:val="0"/>
        <w:spacing w:before="468" w:beforeLines="1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表E.12  砂土承载力特征值</w:t>
      </w:r>
      <w:r>
        <w:rPr>
          <w:rFonts w:eastAsia="黑体"/>
          <w:b/>
          <w:i/>
          <w:color w:val="auto"/>
          <w:szCs w:val="21"/>
        </w:rPr>
        <w:t>ƒ</w:t>
      </w:r>
      <w:r>
        <w:rPr>
          <w:rFonts w:eastAsia="黑体"/>
          <w:b/>
          <w:iCs/>
          <w:color w:val="auto"/>
          <w:szCs w:val="21"/>
          <w:vertAlign w:val="subscript"/>
        </w:rPr>
        <w:t>ak</w:t>
      </w:r>
      <w:r>
        <w:rPr>
          <w:rFonts w:eastAsia="黑体"/>
          <w:b/>
          <w:color w:val="auto"/>
          <w:szCs w:val="21"/>
        </w:rPr>
        <w:t xml:space="preserve">  </w:t>
      </w:r>
      <w:r>
        <w:rPr>
          <w:rFonts w:eastAsia="黑体"/>
          <w:b/>
          <w:color w:val="auto"/>
          <w:sz w:val="18"/>
          <w:szCs w:val="18"/>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color w:val="auto"/>
          <w:sz w:val="18"/>
          <w:szCs w:val="18"/>
        </w:rPr>
        <w:t>单位为kPa</w:t>
      </w:r>
    </w:p>
    <w:tbl>
      <w:tblPr>
        <w:tblStyle w:val="36"/>
        <w:tblW w:w="91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66"/>
        <w:gridCol w:w="944"/>
        <w:gridCol w:w="903"/>
        <w:gridCol w:w="911"/>
        <w:gridCol w:w="927"/>
        <w:gridCol w:w="836"/>
        <w:gridCol w:w="846"/>
        <w:gridCol w:w="817"/>
        <w:gridCol w:w="860"/>
        <w:gridCol w:w="882"/>
      </w:tblGrid>
      <w:tr w14:paraId="37B27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1266" w:type="dxa"/>
            <w:vMerge w:val="restart"/>
            <w:tcBorders>
              <w:top w:val="single" w:color="auto" w:sz="12" w:space="0"/>
              <w:tl2br w:val="nil"/>
            </w:tcBorders>
            <w:vAlign w:val="center"/>
          </w:tcPr>
          <w:p w14:paraId="2A853D45">
            <w:pPr>
              <w:adjustRightInd w:val="0"/>
              <w:snapToGrid w:val="0"/>
              <w:jc w:val="center"/>
              <w:rPr>
                <w:i/>
                <w:color w:val="auto"/>
                <w:sz w:val="18"/>
                <w:szCs w:val="18"/>
              </w:rPr>
            </w:pPr>
            <w:r>
              <w:rPr>
                <w:color w:val="auto"/>
                <w:sz w:val="18"/>
                <w:szCs w:val="18"/>
              </w:rPr>
              <w:t>土类</w:t>
            </w:r>
          </w:p>
        </w:tc>
        <w:tc>
          <w:tcPr>
            <w:tcW w:w="7926" w:type="dxa"/>
            <w:gridSpan w:val="9"/>
            <w:vAlign w:val="center"/>
          </w:tcPr>
          <w:p w14:paraId="01DAD526">
            <w:pPr>
              <w:adjustRightInd w:val="0"/>
              <w:snapToGrid w:val="0"/>
              <w:ind w:firstLine="480"/>
              <w:jc w:val="center"/>
              <w:rPr>
                <w:color w:val="auto"/>
                <w:sz w:val="18"/>
                <w:szCs w:val="18"/>
              </w:rPr>
            </w:pPr>
            <w:r>
              <w:rPr>
                <w:color w:val="auto"/>
                <w:sz w:val="18"/>
                <w:szCs w:val="18"/>
              </w:rPr>
              <w:t>标准贯入试验</w:t>
            </w:r>
            <w:r>
              <w:rPr>
                <w:rFonts w:hint="eastAsia"/>
                <w:color w:val="auto"/>
                <w:sz w:val="18"/>
                <w:szCs w:val="18"/>
              </w:rPr>
              <w:t>锤击数</w:t>
            </w:r>
            <w:r>
              <w:rPr>
                <w:i/>
                <w:color w:val="auto"/>
                <w:sz w:val="18"/>
                <w:szCs w:val="18"/>
              </w:rPr>
              <w:t>N</w:t>
            </w:r>
            <w:r>
              <w:rPr>
                <w:rFonts w:hint="eastAsia"/>
                <w:color w:val="auto"/>
                <w:sz w:val="18"/>
                <w:szCs w:val="18"/>
              </w:rPr>
              <w:t>（击）</w:t>
            </w:r>
          </w:p>
        </w:tc>
      </w:tr>
      <w:tr w14:paraId="2A2DE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1266" w:type="dxa"/>
            <w:vMerge w:val="continue"/>
            <w:tcBorders>
              <w:bottom w:val="single" w:color="auto" w:sz="6" w:space="0"/>
              <w:tl2br w:val="nil"/>
            </w:tcBorders>
          </w:tcPr>
          <w:p w14:paraId="5242EB0C">
            <w:pPr>
              <w:adjustRightInd w:val="0"/>
              <w:snapToGrid w:val="0"/>
              <w:rPr>
                <w:color w:val="auto"/>
                <w:sz w:val="18"/>
                <w:szCs w:val="18"/>
              </w:rPr>
            </w:pPr>
          </w:p>
        </w:tc>
        <w:tc>
          <w:tcPr>
            <w:tcW w:w="944" w:type="dxa"/>
            <w:vAlign w:val="center"/>
          </w:tcPr>
          <w:p w14:paraId="1267D4C2">
            <w:pPr>
              <w:pStyle w:val="24"/>
              <w:pBdr>
                <w:bottom w:val="none" w:color="auto" w:sz="0" w:space="0"/>
              </w:pBdr>
              <w:tabs>
                <w:tab w:val="clear" w:pos="4153"/>
                <w:tab w:val="clear" w:pos="8306"/>
              </w:tabs>
              <w:adjustRightInd w:val="0"/>
              <w:rPr>
                <w:color w:val="auto"/>
              </w:rPr>
            </w:pPr>
            <w:r>
              <w:rPr>
                <w:color w:val="auto"/>
              </w:rPr>
              <w:t>10</w:t>
            </w:r>
          </w:p>
        </w:tc>
        <w:tc>
          <w:tcPr>
            <w:tcW w:w="903" w:type="dxa"/>
            <w:vAlign w:val="center"/>
          </w:tcPr>
          <w:p w14:paraId="5CCC127C">
            <w:pPr>
              <w:adjustRightInd w:val="0"/>
              <w:snapToGrid w:val="0"/>
              <w:jc w:val="center"/>
              <w:rPr>
                <w:color w:val="auto"/>
                <w:sz w:val="18"/>
                <w:szCs w:val="18"/>
              </w:rPr>
            </w:pPr>
            <w:r>
              <w:rPr>
                <w:color w:val="auto"/>
                <w:sz w:val="18"/>
                <w:szCs w:val="18"/>
              </w:rPr>
              <w:t>15</w:t>
            </w:r>
          </w:p>
        </w:tc>
        <w:tc>
          <w:tcPr>
            <w:tcW w:w="911" w:type="dxa"/>
            <w:vAlign w:val="center"/>
          </w:tcPr>
          <w:p w14:paraId="7E85B57A">
            <w:pPr>
              <w:adjustRightInd w:val="0"/>
              <w:snapToGrid w:val="0"/>
              <w:jc w:val="center"/>
              <w:rPr>
                <w:color w:val="auto"/>
                <w:sz w:val="18"/>
                <w:szCs w:val="18"/>
              </w:rPr>
            </w:pPr>
            <w:r>
              <w:rPr>
                <w:color w:val="auto"/>
                <w:sz w:val="18"/>
                <w:szCs w:val="18"/>
              </w:rPr>
              <w:t>20</w:t>
            </w:r>
          </w:p>
        </w:tc>
        <w:tc>
          <w:tcPr>
            <w:tcW w:w="927" w:type="dxa"/>
            <w:vAlign w:val="center"/>
          </w:tcPr>
          <w:p w14:paraId="50B4156E">
            <w:pPr>
              <w:adjustRightInd w:val="0"/>
              <w:snapToGrid w:val="0"/>
              <w:jc w:val="center"/>
              <w:rPr>
                <w:color w:val="auto"/>
                <w:sz w:val="18"/>
                <w:szCs w:val="18"/>
              </w:rPr>
            </w:pPr>
            <w:r>
              <w:rPr>
                <w:color w:val="auto"/>
                <w:sz w:val="18"/>
                <w:szCs w:val="18"/>
              </w:rPr>
              <w:t>25</w:t>
            </w:r>
          </w:p>
        </w:tc>
        <w:tc>
          <w:tcPr>
            <w:tcW w:w="836" w:type="dxa"/>
            <w:vAlign w:val="center"/>
          </w:tcPr>
          <w:p w14:paraId="0450383D">
            <w:pPr>
              <w:adjustRightInd w:val="0"/>
              <w:snapToGrid w:val="0"/>
              <w:jc w:val="center"/>
              <w:rPr>
                <w:color w:val="auto"/>
                <w:sz w:val="18"/>
                <w:szCs w:val="18"/>
              </w:rPr>
            </w:pPr>
            <w:r>
              <w:rPr>
                <w:color w:val="auto"/>
                <w:sz w:val="18"/>
                <w:szCs w:val="18"/>
              </w:rPr>
              <w:t>30</w:t>
            </w:r>
          </w:p>
        </w:tc>
        <w:tc>
          <w:tcPr>
            <w:tcW w:w="846" w:type="dxa"/>
            <w:vAlign w:val="center"/>
          </w:tcPr>
          <w:p w14:paraId="77EC9D96">
            <w:pPr>
              <w:adjustRightInd w:val="0"/>
              <w:snapToGrid w:val="0"/>
              <w:jc w:val="center"/>
              <w:rPr>
                <w:color w:val="auto"/>
                <w:sz w:val="18"/>
                <w:szCs w:val="18"/>
              </w:rPr>
            </w:pPr>
            <w:r>
              <w:rPr>
                <w:color w:val="auto"/>
                <w:sz w:val="18"/>
                <w:szCs w:val="18"/>
              </w:rPr>
              <w:t>35</w:t>
            </w:r>
          </w:p>
        </w:tc>
        <w:tc>
          <w:tcPr>
            <w:tcW w:w="817" w:type="dxa"/>
            <w:vAlign w:val="center"/>
          </w:tcPr>
          <w:p w14:paraId="5C03E672">
            <w:pPr>
              <w:adjustRightInd w:val="0"/>
              <w:snapToGrid w:val="0"/>
              <w:jc w:val="center"/>
              <w:rPr>
                <w:color w:val="auto"/>
                <w:sz w:val="18"/>
                <w:szCs w:val="18"/>
              </w:rPr>
            </w:pPr>
            <w:r>
              <w:rPr>
                <w:color w:val="auto"/>
                <w:sz w:val="18"/>
                <w:szCs w:val="18"/>
              </w:rPr>
              <w:t>40</w:t>
            </w:r>
          </w:p>
        </w:tc>
        <w:tc>
          <w:tcPr>
            <w:tcW w:w="860" w:type="dxa"/>
            <w:vAlign w:val="center"/>
          </w:tcPr>
          <w:p w14:paraId="55615EB0">
            <w:pPr>
              <w:adjustRightInd w:val="0"/>
              <w:snapToGrid w:val="0"/>
              <w:jc w:val="center"/>
              <w:rPr>
                <w:color w:val="auto"/>
                <w:sz w:val="18"/>
                <w:szCs w:val="18"/>
              </w:rPr>
            </w:pPr>
            <w:r>
              <w:rPr>
                <w:color w:val="auto"/>
                <w:sz w:val="18"/>
                <w:szCs w:val="18"/>
              </w:rPr>
              <w:t>45</w:t>
            </w:r>
          </w:p>
        </w:tc>
        <w:tc>
          <w:tcPr>
            <w:tcW w:w="882" w:type="dxa"/>
            <w:vAlign w:val="center"/>
          </w:tcPr>
          <w:p w14:paraId="0892C295">
            <w:pPr>
              <w:adjustRightInd w:val="0"/>
              <w:snapToGrid w:val="0"/>
              <w:jc w:val="center"/>
              <w:rPr>
                <w:color w:val="auto"/>
                <w:sz w:val="18"/>
                <w:szCs w:val="18"/>
              </w:rPr>
            </w:pPr>
            <w:r>
              <w:rPr>
                <w:color w:val="auto"/>
                <w:sz w:val="18"/>
                <w:szCs w:val="18"/>
              </w:rPr>
              <w:t>50</w:t>
            </w:r>
          </w:p>
        </w:tc>
      </w:tr>
      <w:tr w14:paraId="7127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266" w:type="dxa"/>
            <w:tcBorders>
              <w:top w:val="single" w:color="auto" w:sz="6" w:space="0"/>
            </w:tcBorders>
          </w:tcPr>
          <w:p w14:paraId="4C8CF1FB">
            <w:pPr>
              <w:adjustRightInd w:val="0"/>
              <w:snapToGrid w:val="0"/>
              <w:spacing w:line="300" w:lineRule="atLeast"/>
              <w:rPr>
                <w:color w:val="auto"/>
                <w:sz w:val="18"/>
                <w:szCs w:val="18"/>
              </w:rPr>
            </w:pPr>
            <w:r>
              <w:rPr>
                <w:color w:val="auto"/>
                <w:sz w:val="18"/>
                <w:szCs w:val="18"/>
              </w:rPr>
              <w:t>中、粗砂</w:t>
            </w:r>
          </w:p>
        </w:tc>
        <w:tc>
          <w:tcPr>
            <w:tcW w:w="944" w:type="dxa"/>
            <w:vAlign w:val="center"/>
          </w:tcPr>
          <w:p w14:paraId="59D3CEBA">
            <w:pPr>
              <w:adjustRightInd w:val="0"/>
              <w:snapToGrid w:val="0"/>
              <w:spacing w:line="300" w:lineRule="atLeast"/>
              <w:jc w:val="center"/>
              <w:rPr>
                <w:color w:val="auto"/>
                <w:sz w:val="18"/>
                <w:szCs w:val="18"/>
              </w:rPr>
            </w:pPr>
            <w:r>
              <w:rPr>
                <w:color w:val="auto"/>
                <w:sz w:val="18"/>
                <w:szCs w:val="18"/>
              </w:rPr>
              <w:t>180</w:t>
            </w:r>
          </w:p>
        </w:tc>
        <w:tc>
          <w:tcPr>
            <w:tcW w:w="903" w:type="dxa"/>
            <w:vAlign w:val="center"/>
          </w:tcPr>
          <w:p w14:paraId="6A353076">
            <w:pPr>
              <w:adjustRightInd w:val="0"/>
              <w:snapToGrid w:val="0"/>
              <w:spacing w:line="300" w:lineRule="atLeast"/>
              <w:jc w:val="center"/>
              <w:rPr>
                <w:color w:val="auto"/>
                <w:sz w:val="18"/>
                <w:szCs w:val="18"/>
              </w:rPr>
            </w:pPr>
            <w:r>
              <w:rPr>
                <w:color w:val="auto"/>
                <w:sz w:val="18"/>
                <w:szCs w:val="18"/>
              </w:rPr>
              <w:t>250</w:t>
            </w:r>
          </w:p>
        </w:tc>
        <w:tc>
          <w:tcPr>
            <w:tcW w:w="911" w:type="dxa"/>
            <w:vAlign w:val="center"/>
          </w:tcPr>
          <w:p w14:paraId="70B006F2">
            <w:pPr>
              <w:adjustRightInd w:val="0"/>
              <w:snapToGrid w:val="0"/>
              <w:spacing w:line="300" w:lineRule="atLeast"/>
              <w:jc w:val="center"/>
              <w:rPr>
                <w:color w:val="auto"/>
                <w:sz w:val="18"/>
                <w:szCs w:val="18"/>
              </w:rPr>
            </w:pPr>
            <w:r>
              <w:rPr>
                <w:color w:val="auto"/>
                <w:sz w:val="18"/>
                <w:szCs w:val="18"/>
              </w:rPr>
              <w:t>280</w:t>
            </w:r>
          </w:p>
        </w:tc>
        <w:tc>
          <w:tcPr>
            <w:tcW w:w="927" w:type="dxa"/>
            <w:vAlign w:val="center"/>
          </w:tcPr>
          <w:p w14:paraId="670CCEDB">
            <w:pPr>
              <w:adjustRightInd w:val="0"/>
              <w:snapToGrid w:val="0"/>
              <w:spacing w:line="300" w:lineRule="atLeast"/>
              <w:jc w:val="center"/>
              <w:rPr>
                <w:color w:val="auto"/>
                <w:sz w:val="18"/>
                <w:szCs w:val="18"/>
              </w:rPr>
            </w:pPr>
            <w:r>
              <w:rPr>
                <w:color w:val="auto"/>
                <w:sz w:val="18"/>
                <w:szCs w:val="18"/>
              </w:rPr>
              <w:t>310</w:t>
            </w:r>
          </w:p>
        </w:tc>
        <w:tc>
          <w:tcPr>
            <w:tcW w:w="836" w:type="dxa"/>
            <w:vAlign w:val="center"/>
          </w:tcPr>
          <w:p w14:paraId="584062DD">
            <w:pPr>
              <w:adjustRightInd w:val="0"/>
              <w:snapToGrid w:val="0"/>
              <w:spacing w:line="300" w:lineRule="atLeast"/>
              <w:jc w:val="center"/>
              <w:rPr>
                <w:color w:val="auto"/>
                <w:sz w:val="18"/>
                <w:szCs w:val="18"/>
              </w:rPr>
            </w:pPr>
            <w:r>
              <w:rPr>
                <w:color w:val="auto"/>
                <w:sz w:val="18"/>
                <w:szCs w:val="18"/>
              </w:rPr>
              <w:t>340</w:t>
            </w:r>
          </w:p>
        </w:tc>
        <w:tc>
          <w:tcPr>
            <w:tcW w:w="846" w:type="dxa"/>
            <w:vAlign w:val="center"/>
          </w:tcPr>
          <w:p w14:paraId="01DC2652">
            <w:pPr>
              <w:adjustRightInd w:val="0"/>
              <w:snapToGrid w:val="0"/>
              <w:spacing w:line="300" w:lineRule="atLeast"/>
              <w:jc w:val="center"/>
              <w:rPr>
                <w:color w:val="auto"/>
                <w:sz w:val="18"/>
                <w:szCs w:val="18"/>
              </w:rPr>
            </w:pPr>
            <w:r>
              <w:rPr>
                <w:color w:val="auto"/>
                <w:sz w:val="18"/>
                <w:szCs w:val="18"/>
              </w:rPr>
              <w:t>380</w:t>
            </w:r>
          </w:p>
        </w:tc>
        <w:tc>
          <w:tcPr>
            <w:tcW w:w="817" w:type="dxa"/>
            <w:vAlign w:val="center"/>
          </w:tcPr>
          <w:p w14:paraId="2165B578">
            <w:pPr>
              <w:adjustRightInd w:val="0"/>
              <w:snapToGrid w:val="0"/>
              <w:spacing w:line="300" w:lineRule="atLeast"/>
              <w:jc w:val="center"/>
              <w:rPr>
                <w:color w:val="auto"/>
                <w:sz w:val="18"/>
                <w:szCs w:val="18"/>
              </w:rPr>
            </w:pPr>
            <w:r>
              <w:rPr>
                <w:color w:val="auto"/>
                <w:sz w:val="18"/>
                <w:szCs w:val="18"/>
              </w:rPr>
              <w:t>420</w:t>
            </w:r>
          </w:p>
        </w:tc>
        <w:tc>
          <w:tcPr>
            <w:tcW w:w="860" w:type="dxa"/>
            <w:vAlign w:val="center"/>
          </w:tcPr>
          <w:p w14:paraId="713E82BE">
            <w:pPr>
              <w:adjustRightInd w:val="0"/>
              <w:snapToGrid w:val="0"/>
              <w:spacing w:line="300" w:lineRule="atLeast"/>
              <w:jc w:val="center"/>
              <w:rPr>
                <w:color w:val="auto"/>
                <w:sz w:val="18"/>
                <w:szCs w:val="18"/>
              </w:rPr>
            </w:pPr>
            <w:r>
              <w:rPr>
                <w:color w:val="auto"/>
                <w:sz w:val="18"/>
                <w:szCs w:val="18"/>
              </w:rPr>
              <w:t>460</w:t>
            </w:r>
          </w:p>
        </w:tc>
        <w:tc>
          <w:tcPr>
            <w:tcW w:w="882" w:type="dxa"/>
            <w:vAlign w:val="center"/>
          </w:tcPr>
          <w:p w14:paraId="4D8136C4">
            <w:pPr>
              <w:adjustRightInd w:val="0"/>
              <w:snapToGrid w:val="0"/>
              <w:spacing w:line="300" w:lineRule="atLeast"/>
              <w:jc w:val="center"/>
              <w:rPr>
                <w:color w:val="auto"/>
                <w:sz w:val="18"/>
                <w:szCs w:val="18"/>
              </w:rPr>
            </w:pPr>
            <w:r>
              <w:rPr>
                <w:color w:val="auto"/>
                <w:sz w:val="18"/>
                <w:szCs w:val="18"/>
              </w:rPr>
              <w:t>500</w:t>
            </w:r>
          </w:p>
        </w:tc>
      </w:tr>
      <w:tr w14:paraId="584E7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1266" w:type="dxa"/>
          </w:tcPr>
          <w:p w14:paraId="0BAA954E">
            <w:pPr>
              <w:adjustRightInd w:val="0"/>
              <w:snapToGrid w:val="0"/>
              <w:spacing w:line="300" w:lineRule="atLeast"/>
              <w:rPr>
                <w:color w:val="auto"/>
                <w:sz w:val="18"/>
                <w:szCs w:val="18"/>
              </w:rPr>
            </w:pPr>
            <w:r>
              <w:rPr>
                <w:color w:val="auto"/>
                <w:sz w:val="18"/>
                <w:szCs w:val="18"/>
              </w:rPr>
              <w:t>粉、细砂</w:t>
            </w:r>
          </w:p>
        </w:tc>
        <w:tc>
          <w:tcPr>
            <w:tcW w:w="944" w:type="dxa"/>
            <w:vAlign w:val="center"/>
          </w:tcPr>
          <w:p w14:paraId="5667C72C">
            <w:pPr>
              <w:pStyle w:val="24"/>
              <w:pBdr>
                <w:bottom w:val="none" w:color="auto" w:sz="0" w:space="0"/>
              </w:pBdr>
              <w:tabs>
                <w:tab w:val="clear" w:pos="4153"/>
                <w:tab w:val="clear" w:pos="8306"/>
              </w:tabs>
              <w:adjustRightInd w:val="0"/>
              <w:spacing w:line="300" w:lineRule="atLeast"/>
              <w:rPr>
                <w:color w:val="auto"/>
              </w:rPr>
            </w:pPr>
            <w:r>
              <w:rPr>
                <w:color w:val="auto"/>
              </w:rPr>
              <w:t>140</w:t>
            </w:r>
          </w:p>
        </w:tc>
        <w:tc>
          <w:tcPr>
            <w:tcW w:w="903" w:type="dxa"/>
            <w:vAlign w:val="center"/>
          </w:tcPr>
          <w:p w14:paraId="04B11B0E">
            <w:pPr>
              <w:adjustRightInd w:val="0"/>
              <w:snapToGrid w:val="0"/>
              <w:spacing w:line="300" w:lineRule="atLeast"/>
              <w:jc w:val="center"/>
              <w:rPr>
                <w:color w:val="auto"/>
                <w:sz w:val="18"/>
                <w:szCs w:val="18"/>
              </w:rPr>
            </w:pPr>
            <w:r>
              <w:rPr>
                <w:color w:val="auto"/>
                <w:sz w:val="18"/>
                <w:szCs w:val="18"/>
              </w:rPr>
              <w:t>180</w:t>
            </w:r>
          </w:p>
        </w:tc>
        <w:tc>
          <w:tcPr>
            <w:tcW w:w="911" w:type="dxa"/>
            <w:vAlign w:val="center"/>
          </w:tcPr>
          <w:p w14:paraId="458AD13D">
            <w:pPr>
              <w:adjustRightInd w:val="0"/>
              <w:snapToGrid w:val="0"/>
              <w:spacing w:line="300" w:lineRule="atLeast"/>
              <w:jc w:val="center"/>
              <w:rPr>
                <w:color w:val="auto"/>
                <w:sz w:val="18"/>
                <w:szCs w:val="18"/>
              </w:rPr>
            </w:pPr>
            <w:r>
              <w:rPr>
                <w:color w:val="auto"/>
                <w:sz w:val="18"/>
                <w:szCs w:val="18"/>
              </w:rPr>
              <w:t>200</w:t>
            </w:r>
          </w:p>
        </w:tc>
        <w:tc>
          <w:tcPr>
            <w:tcW w:w="927" w:type="dxa"/>
            <w:vAlign w:val="center"/>
          </w:tcPr>
          <w:p w14:paraId="2AB1BAF0">
            <w:pPr>
              <w:adjustRightInd w:val="0"/>
              <w:snapToGrid w:val="0"/>
              <w:spacing w:line="300" w:lineRule="atLeast"/>
              <w:jc w:val="center"/>
              <w:rPr>
                <w:color w:val="auto"/>
                <w:sz w:val="18"/>
                <w:szCs w:val="18"/>
              </w:rPr>
            </w:pPr>
            <w:r>
              <w:rPr>
                <w:color w:val="auto"/>
                <w:sz w:val="18"/>
                <w:szCs w:val="18"/>
              </w:rPr>
              <w:t>230</w:t>
            </w:r>
          </w:p>
        </w:tc>
        <w:tc>
          <w:tcPr>
            <w:tcW w:w="836" w:type="dxa"/>
            <w:vAlign w:val="center"/>
          </w:tcPr>
          <w:p w14:paraId="5C9CFFBB">
            <w:pPr>
              <w:adjustRightInd w:val="0"/>
              <w:snapToGrid w:val="0"/>
              <w:spacing w:line="300" w:lineRule="atLeast"/>
              <w:jc w:val="center"/>
              <w:rPr>
                <w:color w:val="auto"/>
                <w:sz w:val="18"/>
                <w:szCs w:val="18"/>
              </w:rPr>
            </w:pPr>
            <w:r>
              <w:rPr>
                <w:color w:val="auto"/>
                <w:sz w:val="18"/>
                <w:szCs w:val="18"/>
              </w:rPr>
              <w:t>250</w:t>
            </w:r>
          </w:p>
        </w:tc>
        <w:tc>
          <w:tcPr>
            <w:tcW w:w="846" w:type="dxa"/>
            <w:vAlign w:val="center"/>
          </w:tcPr>
          <w:p w14:paraId="49200D04">
            <w:pPr>
              <w:adjustRightInd w:val="0"/>
              <w:snapToGrid w:val="0"/>
              <w:spacing w:line="300" w:lineRule="atLeast"/>
              <w:jc w:val="center"/>
              <w:rPr>
                <w:color w:val="auto"/>
                <w:sz w:val="18"/>
                <w:szCs w:val="18"/>
              </w:rPr>
            </w:pPr>
            <w:r>
              <w:rPr>
                <w:color w:val="auto"/>
                <w:sz w:val="18"/>
                <w:szCs w:val="18"/>
              </w:rPr>
              <w:t>270</w:t>
            </w:r>
          </w:p>
        </w:tc>
        <w:tc>
          <w:tcPr>
            <w:tcW w:w="817" w:type="dxa"/>
            <w:vAlign w:val="center"/>
          </w:tcPr>
          <w:p w14:paraId="51CC1A9C">
            <w:pPr>
              <w:adjustRightInd w:val="0"/>
              <w:snapToGrid w:val="0"/>
              <w:spacing w:line="300" w:lineRule="atLeast"/>
              <w:jc w:val="center"/>
              <w:rPr>
                <w:color w:val="auto"/>
                <w:sz w:val="18"/>
                <w:szCs w:val="18"/>
              </w:rPr>
            </w:pPr>
            <w:r>
              <w:rPr>
                <w:color w:val="auto"/>
                <w:sz w:val="18"/>
                <w:szCs w:val="18"/>
              </w:rPr>
              <w:t>290</w:t>
            </w:r>
          </w:p>
        </w:tc>
        <w:tc>
          <w:tcPr>
            <w:tcW w:w="860" w:type="dxa"/>
            <w:vAlign w:val="center"/>
          </w:tcPr>
          <w:p w14:paraId="7B53BD40">
            <w:pPr>
              <w:adjustRightInd w:val="0"/>
              <w:snapToGrid w:val="0"/>
              <w:spacing w:line="300" w:lineRule="atLeast"/>
              <w:jc w:val="center"/>
              <w:rPr>
                <w:color w:val="auto"/>
                <w:sz w:val="18"/>
                <w:szCs w:val="18"/>
              </w:rPr>
            </w:pPr>
            <w:r>
              <w:rPr>
                <w:color w:val="auto"/>
                <w:sz w:val="18"/>
                <w:szCs w:val="18"/>
              </w:rPr>
              <w:t>310</w:t>
            </w:r>
          </w:p>
        </w:tc>
        <w:tc>
          <w:tcPr>
            <w:tcW w:w="882" w:type="dxa"/>
            <w:vAlign w:val="center"/>
          </w:tcPr>
          <w:p w14:paraId="6F73B3E4">
            <w:pPr>
              <w:adjustRightInd w:val="0"/>
              <w:snapToGrid w:val="0"/>
              <w:spacing w:line="300" w:lineRule="atLeast"/>
              <w:jc w:val="center"/>
              <w:rPr>
                <w:color w:val="auto"/>
                <w:sz w:val="18"/>
                <w:szCs w:val="18"/>
              </w:rPr>
            </w:pPr>
            <w:r>
              <w:rPr>
                <w:color w:val="auto"/>
                <w:sz w:val="18"/>
                <w:szCs w:val="18"/>
              </w:rPr>
              <w:t>340</w:t>
            </w:r>
          </w:p>
        </w:tc>
      </w:tr>
    </w:tbl>
    <w:p w14:paraId="604DCE0D">
      <w:pPr>
        <w:adjustRightInd w:val="0"/>
        <w:snapToGrid w:val="0"/>
        <w:spacing w:line="240" w:lineRule="atLeast"/>
        <w:jc w:val="center"/>
        <w:rPr>
          <w:rFonts w:eastAsia="黑体"/>
          <w:b/>
          <w:color w:val="auto"/>
          <w:sz w:val="18"/>
          <w:szCs w:val="18"/>
        </w:rPr>
      </w:pPr>
    </w:p>
    <w:p w14:paraId="4A5F55D0">
      <w:pPr>
        <w:adjustRightInd w:val="0"/>
        <w:snapToGrid w:val="0"/>
        <w:spacing w:before="156" w:beforeLines="50" w:line="360" w:lineRule="atLeast"/>
        <w:jc w:val="center"/>
        <w:rPr>
          <w:rFonts w:eastAsia="黑体"/>
          <w:b/>
          <w:color w:val="auto"/>
          <w:szCs w:val="21"/>
        </w:rPr>
      </w:pPr>
      <w:r>
        <w:rPr>
          <w:rFonts w:eastAsia="黑体"/>
          <w:b/>
          <w:color w:val="auto"/>
          <w:szCs w:val="21"/>
        </w:rPr>
        <w:t>表E.13  砂类土承载力特征值</w:t>
      </w:r>
      <w:r>
        <w:rPr>
          <w:rFonts w:eastAsia="黑体"/>
          <w:b/>
          <w:i/>
          <w:color w:val="auto"/>
          <w:szCs w:val="21"/>
        </w:rPr>
        <w:t>ƒ</w:t>
      </w:r>
      <w:r>
        <w:rPr>
          <w:rFonts w:eastAsia="黑体"/>
          <w:b/>
          <w:iCs/>
          <w:color w:val="auto"/>
          <w:szCs w:val="21"/>
          <w:vertAlign w:val="subscript"/>
        </w:rPr>
        <w:t>ak</w:t>
      </w:r>
    </w:p>
    <w:tbl>
      <w:tblPr>
        <w:tblStyle w:val="36"/>
        <w:tblW w:w="91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268"/>
        <w:gridCol w:w="2770"/>
        <w:gridCol w:w="3104"/>
      </w:tblGrid>
      <w:tr w14:paraId="4D348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4" w:hRule="atLeast"/>
          <w:jc w:val="center"/>
        </w:trPr>
        <w:tc>
          <w:tcPr>
            <w:tcW w:w="3269" w:type="dxa"/>
            <w:vMerge w:val="restart"/>
            <w:vAlign w:val="center"/>
          </w:tcPr>
          <w:p w14:paraId="7596BD76">
            <w:pPr>
              <w:adjustRightInd w:val="0"/>
              <w:snapToGrid w:val="0"/>
              <w:spacing w:line="260" w:lineRule="exact"/>
              <w:jc w:val="center"/>
              <w:rPr>
                <w:color w:val="auto"/>
                <w:sz w:val="18"/>
                <w:szCs w:val="18"/>
              </w:rPr>
            </w:pPr>
            <w:r>
              <w:rPr>
                <w:i/>
                <w:iCs/>
                <w:color w:val="auto"/>
                <w:sz w:val="18"/>
                <w:szCs w:val="18"/>
              </w:rPr>
              <w:t>p</w:t>
            </w:r>
            <w:r>
              <w:rPr>
                <w:color w:val="auto"/>
                <w:sz w:val="18"/>
                <w:szCs w:val="18"/>
                <w:vertAlign w:val="subscript"/>
              </w:rPr>
              <w:t>s</w:t>
            </w:r>
            <w:r>
              <w:rPr>
                <w:color w:val="auto"/>
                <w:sz w:val="18"/>
                <w:szCs w:val="18"/>
              </w:rPr>
              <w:t>（MPa）</w:t>
            </w:r>
          </w:p>
        </w:tc>
        <w:tc>
          <w:tcPr>
            <w:tcW w:w="5873" w:type="dxa"/>
            <w:gridSpan w:val="2"/>
            <w:vAlign w:val="center"/>
          </w:tcPr>
          <w:p w14:paraId="7D7EBA1F">
            <w:pPr>
              <w:adjustRightInd w:val="0"/>
              <w:snapToGrid w:val="0"/>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r>
      <w:tr w14:paraId="7922D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2" w:hRule="atLeast"/>
          <w:jc w:val="center"/>
        </w:trPr>
        <w:tc>
          <w:tcPr>
            <w:tcW w:w="3269" w:type="dxa"/>
            <w:vMerge w:val="continue"/>
            <w:vAlign w:val="center"/>
          </w:tcPr>
          <w:p w14:paraId="08A5A2A1">
            <w:pPr>
              <w:adjustRightInd w:val="0"/>
              <w:snapToGrid w:val="0"/>
              <w:spacing w:line="260" w:lineRule="exact"/>
              <w:jc w:val="center"/>
              <w:rPr>
                <w:color w:val="auto"/>
                <w:sz w:val="18"/>
                <w:szCs w:val="18"/>
              </w:rPr>
            </w:pPr>
          </w:p>
        </w:tc>
        <w:tc>
          <w:tcPr>
            <w:tcW w:w="2771" w:type="dxa"/>
            <w:vAlign w:val="center"/>
          </w:tcPr>
          <w:p w14:paraId="2AD4F298">
            <w:pPr>
              <w:adjustRightInd w:val="0"/>
              <w:snapToGrid w:val="0"/>
              <w:spacing w:line="260" w:lineRule="exact"/>
              <w:jc w:val="center"/>
              <w:rPr>
                <w:color w:val="auto"/>
                <w:sz w:val="18"/>
                <w:szCs w:val="18"/>
              </w:rPr>
            </w:pPr>
            <w:r>
              <w:rPr>
                <w:color w:val="auto"/>
                <w:sz w:val="18"/>
                <w:szCs w:val="18"/>
              </w:rPr>
              <w:t>粉细砂</w:t>
            </w:r>
          </w:p>
        </w:tc>
        <w:tc>
          <w:tcPr>
            <w:tcW w:w="3102" w:type="dxa"/>
            <w:vAlign w:val="center"/>
          </w:tcPr>
          <w:p w14:paraId="0DE14A61">
            <w:pPr>
              <w:adjustRightInd w:val="0"/>
              <w:snapToGrid w:val="0"/>
              <w:spacing w:line="260" w:lineRule="exact"/>
              <w:jc w:val="center"/>
              <w:rPr>
                <w:color w:val="auto"/>
                <w:sz w:val="18"/>
                <w:szCs w:val="18"/>
              </w:rPr>
            </w:pPr>
            <w:r>
              <w:rPr>
                <w:color w:val="auto"/>
                <w:sz w:val="18"/>
                <w:szCs w:val="18"/>
              </w:rPr>
              <w:t>中粗砂</w:t>
            </w:r>
          </w:p>
        </w:tc>
      </w:tr>
      <w:tr w14:paraId="50172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3891757C">
            <w:pPr>
              <w:adjustRightInd w:val="0"/>
              <w:snapToGrid w:val="0"/>
              <w:spacing w:line="260" w:lineRule="exact"/>
              <w:jc w:val="center"/>
              <w:rPr>
                <w:color w:val="auto"/>
                <w:sz w:val="18"/>
                <w:szCs w:val="18"/>
              </w:rPr>
            </w:pPr>
            <w:r>
              <w:rPr>
                <w:color w:val="auto"/>
                <w:sz w:val="18"/>
                <w:szCs w:val="18"/>
              </w:rPr>
              <w:t>3.0</w:t>
            </w:r>
          </w:p>
        </w:tc>
        <w:tc>
          <w:tcPr>
            <w:tcW w:w="2769" w:type="dxa"/>
            <w:vAlign w:val="center"/>
          </w:tcPr>
          <w:p w14:paraId="11DBDE27">
            <w:pPr>
              <w:pStyle w:val="24"/>
              <w:pBdr>
                <w:bottom w:val="none" w:color="auto" w:sz="0" w:space="0"/>
              </w:pBdr>
              <w:tabs>
                <w:tab w:val="clear" w:pos="4153"/>
                <w:tab w:val="clear" w:pos="8306"/>
              </w:tabs>
              <w:adjustRightInd w:val="0"/>
              <w:spacing w:line="260" w:lineRule="exact"/>
              <w:rPr>
                <w:color w:val="auto"/>
              </w:rPr>
            </w:pPr>
            <w:r>
              <w:rPr>
                <w:color w:val="auto"/>
              </w:rPr>
              <w:t>110</w:t>
            </w:r>
          </w:p>
        </w:tc>
        <w:tc>
          <w:tcPr>
            <w:tcW w:w="3104" w:type="dxa"/>
            <w:vAlign w:val="center"/>
          </w:tcPr>
          <w:p w14:paraId="3CE398F3">
            <w:pPr>
              <w:adjustRightInd w:val="0"/>
              <w:snapToGrid w:val="0"/>
              <w:spacing w:line="260" w:lineRule="exact"/>
              <w:jc w:val="center"/>
              <w:rPr>
                <w:color w:val="auto"/>
                <w:sz w:val="18"/>
                <w:szCs w:val="18"/>
              </w:rPr>
            </w:pPr>
            <w:r>
              <w:rPr>
                <w:color w:val="auto"/>
                <w:sz w:val="18"/>
                <w:szCs w:val="18"/>
              </w:rPr>
              <w:t>140</w:t>
            </w:r>
          </w:p>
        </w:tc>
      </w:tr>
      <w:tr w14:paraId="6AB47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1E9FB98B">
            <w:pPr>
              <w:adjustRightInd w:val="0"/>
              <w:snapToGrid w:val="0"/>
              <w:spacing w:line="260" w:lineRule="exact"/>
              <w:jc w:val="center"/>
              <w:rPr>
                <w:color w:val="auto"/>
                <w:sz w:val="18"/>
                <w:szCs w:val="18"/>
              </w:rPr>
            </w:pPr>
            <w:r>
              <w:rPr>
                <w:color w:val="auto"/>
                <w:sz w:val="18"/>
                <w:szCs w:val="18"/>
              </w:rPr>
              <w:t>4.0</w:t>
            </w:r>
          </w:p>
        </w:tc>
        <w:tc>
          <w:tcPr>
            <w:tcW w:w="2769" w:type="dxa"/>
            <w:vAlign w:val="center"/>
          </w:tcPr>
          <w:p w14:paraId="5E14469A">
            <w:pPr>
              <w:adjustRightInd w:val="0"/>
              <w:snapToGrid w:val="0"/>
              <w:spacing w:line="260" w:lineRule="exact"/>
              <w:jc w:val="center"/>
              <w:rPr>
                <w:color w:val="auto"/>
                <w:sz w:val="18"/>
                <w:szCs w:val="18"/>
              </w:rPr>
            </w:pPr>
            <w:r>
              <w:rPr>
                <w:color w:val="auto"/>
                <w:sz w:val="18"/>
                <w:szCs w:val="18"/>
              </w:rPr>
              <w:t>130</w:t>
            </w:r>
          </w:p>
        </w:tc>
        <w:tc>
          <w:tcPr>
            <w:tcW w:w="3104" w:type="dxa"/>
            <w:vAlign w:val="center"/>
          </w:tcPr>
          <w:p w14:paraId="700CF51C">
            <w:pPr>
              <w:adjustRightInd w:val="0"/>
              <w:snapToGrid w:val="0"/>
              <w:spacing w:line="260" w:lineRule="exact"/>
              <w:jc w:val="center"/>
              <w:rPr>
                <w:color w:val="auto"/>
                <w:sz w:val="18"/>
                <w:szCs w:val="18"/>
              </w:rPr>
            </w:pPr>
            <w:r>
              <w:rPr>
                <w:color w:val="auto"/>
                <w:sz w:val="18"/>
                <w:szCs w:val="18"/>
              </w:rPr>
              <w:t>180</w:t>
            </w:r>
          </w:p>
        </w:tc>
      </w:tr>
      <w:tr w14:paraId="53CD4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02806599">
            <w:pPr>
              <w:adjustRightInd w:val="0"/>
              <w:snapToGrid w:val="0"/>
              <w:spacing w:line="260" w:lineRule="exact"/>
              <w:jc w:val="center"/>
              <w:rPr>
                <w:color w:val="auto"/>
                <w:sz w:val="18"/>
                <w:szCs w:val="18"/>
              </w:rPr>
            </w:pPr>
            <w:r>
              <w:rPr>
                <w:color w:val="auto"/>
                <w:sz w:val="18"/>
                <w:szCs w:val="18"/>
              </w:rPr>
              <w:t>5.0</w:t>
            </w:r>
          </w:p>
        </w:tc>
        <w:tc>
          <w:tcPr>
            <w:tcW w:w="2769" w:type="dxa"/>
            <w:vAlign w:val="center"/>
          </w:tcPr>
          <w:p w14:paraId="6494BD3D">
            <w:pPr>
              <w:adjustRightInd w:val="0"/>
              <w:snapToGrid w:val="0"/>
              <w:spacing w:line="260" w:lineRule="exact"/>
              <w:jc w:val="center"/>
              <w:rPr>
                <w:color w:val="auto"/>
                <w:sz w:val="18"/>
                <w:szCs w:val="18"/>
              </w:rPr>
            </w:pPr>
            <w:r>
              <w:rPr>
                <w:color w:val="auto"/>
                <w:sz w:val="18"/>
                <w:szCs w:val="18"/>
              </w:rPr>
              <w:t>150</w:t>
            </w:r>
          </w:p>
        </w:tc>
        <w:tc>
          <w:tcPr>
            <w:tcW w:w="3104" w:type="dxa"/>
            <w:vAlign w:val="center"/>
          </w:tcPr>
          <w:p w14:paraId="58332445">
            <w:pPr>
              <w:adjustRightInd w:val="0"/>
              <w:snapToGrid w:val="0"/>
              <w:spacing w:line="260" w:lineRule="exact"/>
              <w:jc w:val="center"/>
              <w:rPr>
                <w:color w:val="auto"/>
                <w:sz w:val="18"/>
                <w:szCs w:val="18"/>
              </w:rPr>
            </w:pPr>
            <w:r>
              <w:rPr>
                <w:color w:val="auto"/>
                <w:sz w:val="18"/>
                <w:szCs w:val="18"/>
              </w:rPr>
              <w:t>220</w:t>
            </w:r>
          </w:p>
        </w:tc>
      </w:tr>
      <w:tr w14:paraId="0FBCEA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037A1689">
            <w:pPr>
              <w:adjustRightInd w:val="0"/>
              <w:snapToGrid w:val="0"/>
              <w:spacing w:line="260" w:lineRule="exact"/>
              <w:jc w:val="center"/>
              <w:rPr>
                <w:color w:val="auto"/>
                <w:sz w:val="18"/>
                <w:szCs w:val="18"/>
              </w:rPr>
            </w:pPr>
            <w:r>
              <w:rPr>
                <w:color w:val="auto"/>
                <w:sz w:val="18"/>
                <w:szCs w:val="18"/>
              </w:rPr>
              <w:t>6.0</w:t>
            </w:r>
          </w:p>
        </w:tc>
        <w:tc>
          <w:tcPr>
            <w:tcW w:w="2769" w:type="dxa"/>
            <w:vAlign w:val="center"/>
          </w:tcPr>
          <w:p w14:paraId="0EC886DE">
            <w:pPr>
              <w:adjustRightInd w:val="0"/>
              <w:snapToGrid w:val="0"/>
              <w:spacing w:line="260" w:lineRule="exact"/>
              <w:jc w:val="center"/>
              <w:rPr>
                <w:color w:val="auto"/>
                <w:sz w:val="18"/>
                <w:szCs w:val="18"/>
              </w:rPr>
            </w:pPr>
            <w:r>
              <w:rPr>
                <w:color w:val="auto"/>
                <w:sz w:val="18"/>
                <w:szCs w:val="18"/>
              </w:rPr>
              <w:t>170</w:t>
            </w:r>
          </w:p>
        </w:tc>
        <w:tc>
          <w:tcPr>
            <w:tcW w:w="3104" w:type="dxa"/>
            <w:vAlign w:val="center"/>
          </w:tcPr>
          <w:p w14:paraId="52CEE4D0">
            <w:pPr>
              <w:adjustRightInd w:val="0"/>
              <w:snapToGrid w:val="0"/>
              <w:spacing w:line="260" w:lineRule="exact"/>
              <w:jc w:val="center"/>
              <w:rPr>
                <w:color w:val="auto"/>
                <w:sz w:val="18"/>
                <w:szCs w:val="18"/>
              </w:rPr>
            </w:pPr>
            <w:r>
              <w:rPr>
                <w:color w:val="auto"/>
                <w:sz w:val="18"/>
                <w:szCs w:val="18"/>
              </w:rPr>
              <w:t>260</w:t>
            </w:r>
          </w:p>
        </w:tc>
      </w:tr>
      <w:tr w14:paraId="28175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5F1D5DFE">
            <w:pPr>
              <w:adjustRightInd w:val="0"/>
              <w:snapToGrid w:val="0"/>
              <w:spacing w:line="260" w:lineRule="exact"/>
              <w:jc w:val="center"/>
              <w:rPr>
                <w:color w:val="auto"/>
                <w:sz w:val="18"/>
                <w:szCs w:val="18"/>
              </w:rPr>
            </w:pPr>
            <w:r>
              <w:rPr>
                <w:color w:val="auto"/>
                <w:sz w:val="18"/>
                <w:szCs w:val="18"/>
              </w:rPr>
              <w:t>7.0</w:t>
            </w:r>
          </w:p>
        </w:tc>
        <w:tc>
          <w:tcPr>
            <w:tcW w:w="2769" w:type="dxa"/>
            <w:vAlign w:val="center"/>
          </w:tcPr>
          <w:p w14:paraId="28AE7506">
            <w:pPr>
              <w:adjustRightInd w:val="0"/>
              <w:snapToGrid w:val="0"/>
              <w:spacing w:line="260" w:lineRule="exact"/>
              <w:jc w:val="center"/>
              <w:rPr>
                <w:color w:val="auto"/>
                <w:sz w:val="18"/>
                <w:szCs w:val="18"/>
              </w:rPr>
            </w:pPr>
            <w:r>
              <w:rPr>
                <w:color w:val="auto"/>
                <w:sz w:val="18"/>
                <w:szCs w:val="18"/>
              </w:rPr>
              <w:t>190</w:t>
            </w:r>
          </w:p>
        </w:tc>
        <w:tc>
          <w:tcPr>
            <w:tcW w:w="3104" w:type="dxa"/>
            <w:vAlign w:val="center"/>
          </w:tcPr>
          <w:p w14:paraId="72A89478">
            <w:pPr>
              <w:adjustRightInd w:val="0"/>
              <w:snapToGrid w:val="0"/>
              <w:spacing w:line="260" w:lineRule="exact"/>
              <w:jc w:val="center"/>
              <w:rPr>
                <w:color w:val="auto"/>
                <w:sz w:val="18"/>
                <w:szCs w:val="18"/>
              </w:rPr>
            </w:pPr>
            <w:r>
              <w:rPr>
                <w:color w:val="auto"/>
                <w:sz w:val="18"/>
                <w:szCs w:val="18"/>
              </w:rPr>
              <w:t>290</w:t>
            </w:r>
          </w:p>
        </w:tc>
      </w:tr>
      <w:tr w14:paraId="50099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0EBD0E24">
            <w:pPr>
              <w:adjustRightInd w:val="0"/>
              <w:snapToGrid w:val="0"/>
              <w:spacing w:line="260" w:lineRule="exact"/>
              <w:jc w:val="center"/>
              <w:rPr>
                <w:color w:val="auto"/>
                <w:sz w:val="18"/>
                <w:szCs w:val="18"/>
              </w:rPr>
            </w:pPr>
            <w:r>
              <w:rPr>
                <w:color w:val="auto"/>
                <w:sz w:val="18"/>
                <w:szCs w:val="18"/>
              </w:rPr>
              <w:t>8.0</w:t>
            </w:r>
          </w:p>
        </w:tc>
        <w:tc>
          <w:tcPr>
            <w:tcW w:w="2769" w:type="dxa"/>
            <w:vAlign w:val="center"/>
          </w:tcPr>
          <w:p w14:paraId="5E96A9A5">
            <w:pPr>
              <w:adjustRightInd w:val="0"/>
              <w:snapToGrid w:val="0"/>
              <w:spacing w:line="260" w:lineRule="exact"/>
              <w:jc w:val="center"/>
              <w:rPr>
                <w:color w:val="auto"/>
                <w:sz w:val="18"/>
                <w:szCs w:val="18"/>
              </w:rPr>
            </w:pPr>
            <w:r>
              <w:rPr>
                <w:color w:val="auto"/>
                <w:sz w:val="18"/>
                <w:szCs w:val="18"/>
              </w:rPr>
              <w:t>210</w:t>
            </w:r>
          </w:p>
        </w:tc>
        <w:tc>
          <w:tcPr>
            <w:tcW w:w="3104" w:type="dxa"/>
            <w:vAlign w:val="center"/>
          </w:tcPr>
          <w:p w14:paraId="02E292AD">
            <w:pPr>
              <w:adjustRightInd w:val="0"/>
              <w:snapToGrid w:val="0"/>
              <w:spacing w:line="260" w:lineRule="exact"/>
              <w:jc w:val="center"/>
              <w:rPr>
                <w:color w:val="auto"/>
                <w:sz w:val="18"/>
                <w:szCs w:val="18"/>
              </w:rPr>
            </w:pPr>
            <w:r>
              <w:rPr>
                <w:color w:val="auto"/>
                <w:sz w:val="18"/>
                <w:szCs w:val="18"/>
              </w:rPr>
              <w:t>320</w:t>
            </w:r>
          </w:p>
        </w:tc>
      </w:tr>
      <w:tr w14:paraId="4EBB4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 w:hRule="atLeast"/>
          <w:jc w:val="center"/>
        </w:trPr>
        <w:tc>
          <w:tcPr>
            <w:tcW w:w="3269" w:type="dxa"/>
            <w:vAlign w:val="center"/>
          </w:tcPr>
          <w:p w14:paraId="0AA1ECBC">
            <w:pPr>
              <w:adjustRightInd w:val="0"/>
              <w:snapToGrid w:val="0"/>
              <w:spacing w:line="260" w:lineRule="exact"/>
              <w:jc w:val="center"/>
              <w:rPr>
                <w:color w:val="auto"/>
                <w:sz w:val="18"/>
                <w:szCs w:val="18"/>
              </w:rPr>
            </w:pPr>
            <w:r>
              <w:rPr>
                <w:color w:val="auto"/>
                <w:sz w:val="18"/>
                <w:szCs w:val="18"/>
              </w:rPr>
              <w:t>9.0</w:t>
            </w:r>
          </w:p>
        </w:tc>
        <w:tc>
          <w:tcPr>
            <w:tcW w:w="2769" w:type="dxa"/>
            <w:vAlign w:val="center"/>
          </w:tcPr>
          <w:p w14:paraId="42AAA7B7">
            <w:pPr>
              <w:adjustRightInd w:val="0"/>
              <w:snapToGrid w:val="0"/>
              <w:spacing w:line="260" w:lineRule="exact"/>
              <w:jc w:val="center"/>
              <w:rPr>
                <w:color w:val="auto"/>
                <w:sz w:val="18"/>
                <w:szCs w:val="18"/>
              </w:rPr>
            </w:pPr>
            <w:r>
              <w:rPr>
                <w:color w:val="auto"/>
                <w:sz w:val="18"/>
                <w:szCs w:val="18"/>
              </w:rPr>
              <w:t>230</w:t>
            </w:r>
          </w:p>
        </w:tc>
        <w:tc>
          <w:tcPr>
            <w:tcW w:w="3104" w:type="dxa"/>
            <w:vAlign w:val="center"/>
          </w:tcPr>
          <w:p w14:paraId="33A81F50">
            <w:pPr>
              <w:adjustRightInd w:val="0"/>
              <w:snapToGrid w:val="0"/>
              <w:spacing w:line="260" w:lineRule="exact"/>
              <w:jc w:val="center"/>
              <w:rPr>
                <w:color w:val="auto"/>
                <w:sz w:val="18"/>
                <w:szCs w:val="18"/>
              </w:rPr>
            </w:pPr>
            <w:r>
              <w:rPr>
                <w:color w:val="auto"/>
                <w:sz w:val="18"/>
                <w:szCs w:val="18"/>
              </w:rPr>
              <w:t>350</w:t>
            </w:r>
          </w:p>
        </w:tc>
      </w:tr>
      <w:tr w14:paraId="0A15EA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1F71506B">
            <w:pPr>
              <w:adjustRightInd w:val="0"/>
              <w:snapToGrid w:val="0"/>
              <w:spacing w:line="260" w:lineRule="exact"/>
              <w:jc w:val="center"/>
              <w:rPr>
                <w:color w:val="auto"/>
                <w:sz w:val="18"/>
                <w:szCs w:val="18"/>
              </w:rPr>
            </w:pPr>
            <w:r>
              <w:rPr>
                <w:color w:val="auto"/>
                <w:sz w:val="18"/>
                <w:szCs w:val="18"/>
              </w:rPr>
              <w:t>10.0</w:t>
            </w:r>
          </w:p>
        </w:tc>
        <w:tc>
          <w:tcPr>
            <w:tcW w:w="2769" w:type="dxa"/>
            <w:vAlign w:val="center"/>
          </w:tcPr>
          <w:p w14:paraId="1CD7705E">
            <w:pPr>
              <w:adjustRightInd w:val="0"/>
              <w:snapToGrid w:val="0"/>
              <w:spacing w:line="260" w:lineRule="exact"/>
              <w:jc w:val="center"/>
              <w:rPr>
                <w:color w:val="auto"/>
                <w:sz w:val="18"/>
                <w:szCs w:val="18"/>
              </w:rPr>
            </w:pPr>
            <w:r>
              <w:rPr>
                <w:color w:val="auto"/>
                <w:sz w:val="18"/>
                <w:szCs w:val="18"/>
              </w:rPr>
              <w:t>250</w:t>
            </w:r>
          </w:p>
        </w:tc>
        <w:tc>
          <w:tcPr>
            <w:tcW w:w="3104" w:type="dxa"/>
            <w:vAlign w:val="center"/>
          </w:tcPr>
          <w:p w14:paraId="3036DC5D">
            <w:pPr>
              <w:adjustRightInd w:val="0"/>
              <w:snapToGrid w:val="0"/>
              <w:spacing w:line="260" w:lineRule="exact"/>
              <w:jc w:val="center"/>
              <w:rPr>
                <w:color w:val="auto"/>
                <w:sz w:val="18"/>
                <w:szCs w:val="18"/>
              </w:rPr>
            </w:pPr>
            <w:r>
              <w:rPr>
                <w:color w:val="auto"/>
                <w:sz w:val="18"/>
                <w:szCs w:val="18"/>
              </w:rPr>
              <w:t>380</w:t>
            </w:r>
          </w:p>
        </w:tc>
      </w:tr>
      <w:tr w14:paraId="7D07A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62811325">
            <w:pPr>
              <w:adjustRightInd w:val="0"/>
              <w:snapToGrid w:val="0"/>
              <w:spacing w:line="260" w:lineRule="exact"/>
              <w:jc w:val="center"/>
              <w:rPr>
                <w:color w:val="auto"/>
                <w:sz w:val="18"/>
                <w:szCs w:val="18"/>
              </w:rPr>
            </w:pPr>
            <w:r>
              <w:rPr>
                <w:color w:val="auto"/>
                <w:sz w:val="18"/>
                <w:szCs w:val="18"/>
              </w:rPr>
              <w:t>11.0</w:t>
            </w:r>
          </w:p>
        </w:tc>
        <w:tc>
          <w:tcPr>
            <w:tcW w:w="2769" w:type="dxa"/>
            <w:vAlign w:val="center"/>
          </w:tcPr>
          <w:p w14:paraId="4E8DE442">
            <w:pPr>
              <w:adjustRightInd w:val="0"/>
              <w:snapToGrid w:val="0"/>
              <w:spacing w:line="260" w:lineRule="exact"/>
              <w:jc w:val="center"/>
              <w:rPr>
                <w:color w:val="auto"/>
                <w:sz w:val="18"/>
                <w:szCs w:val="18"/>
              </w:rPr>
            </w:pPr>
            <w:r>
              <w:rPr>
                <w:color w:val="auto"/>
                <w:sz w:val="18"/>
                <w:szCs w:val="18"/>
              </w:rPr>
              <w:t>270</w:t>
            </w:r>
          </w:p>
        </w:tc>
        <w:tc>
          <w:tcPr>
            <w:tcW w:w="3104" w:type="dxa"/>
            <w:vAlign w:val="center"/>
          </w:tcPr>
          <w:p w14:paraId="75903D9B">
            <w:pPr>
              <w:adjustRightInd w:val="0"/>
              <w:snapToGrid w:val="0"/>
              <w:spacing w:line="260" w:lineRule="exact"/>
              <w:jc w:val="center"/>
              <w:rPr>
                <w:color w:val="auto"/>
                <w:sz w:val="18"/>
                <w:szCs w:val="18"/>
              </w:rPr>
            </w:pPr>
            <w:r>
              <w:rPr>
                <w:color w:val="auto"/>
                <w:sz w:val="18"/>
                <w:szCs w:val="18"/>
              </w:rPr>
              <w:t>410</w:t>
            </w:r>
          </w:p>
        </w:tc>
      </w:tr>
      <w:tr w14:paraId="7C4D5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0B05616A">
            <w:pPr>
              <w:adjustRightInd w:val="0"/>
              <w:snapToGrid w:val="0"/>
              <w:spacing w:line="260" w:lineRule="exact"/>
              <w:jc w:val="center"/>
              <w:rPr>
                <w:color w:val="auto"/>
                <w:sz w:val="18"/>
                <w:szCs w:val="18"/>
              </w:rPr>
            </w:pPr>
            <w:r>
              <w:rPr>
                <w:color w:val="auto"/>
                <w:sz w:val="18"/>
                <w:szCs w:val="18"/>
              </w:rPr>
              <w:t>12.0</w:t>
            </w:r>
          </w:p>
        </w:tc>
        <w:tc>
          <w:tcPr>
            <w:tcW w:w="2769" w:type="dxa"/>
            <w:vAlign w:val="center"/>
          </w:tcPr>
          <w:p w14:paraId="0E665C63">
            <w:pPr>
              <w:adjustRightInd w:val="0"/>
              <w:snapToGrid w:val="0"/>
              <w:spacing w:line="260" w:lineRule="exact"/>
              <w:jc w:val="center"/>
              <w:rPr>
                <w:color w:val="auto"/>
                <w:sz w:val="18"/>
                <w:szCs w:val="18"/>
              </w:rPr>
            </w:pPr>
            <w:r>
              <w:rPr>
                <w:color w:val="auto"/>
                <w:sz w:val="18"/>
                <w:szCs w:val="18"/>
              </w:rPr>
              <w:t>290</w:t>
            </w:r>
          </w:p>
        </w:tc>
        <w:tc>
          <w:tcPr>
            <w:tcW w:w="3104" w:type="dxa"/>
            <w:vAlign w:val="center"/>
          </w:tcPr>
          <w:p w14:paraId="0DD5885D">
            <w:pPr>
              <w:adjustRightInd w:val="0"/>
              <w:snapToGrid w:val="0"/>
              <w:spacing w:line="260" w:lineRule="exact"/>
              <w:jc w:val="center"/>
              <w:rPr>
                <w:color w:val="auto"/>
                <w:sz w:val="18"/>
                <w:szCs w:val="18"/>
              </w:rPr>
            </w:pPr>
            <w:r>
              <w:rPr>
                <w:color w:val="auto"/>
                <w:sz w:val="18"/>
                <w:szCs w:val="18"/>
              </w:rPr>
              <w:t>440</w:t>
            </w:r>
          </w:p>
        </w:tc>
      </w:tr>
      <w:tr w14:paraId="461243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779292AC">
            <w:pPr>
              <w:adjustRightInd w:val="0"/>
              <w:snapToGrid w:val="0"/>
              <w:spacing w:line="260" w:lineRule="exact"/>
              <w:jc w:val="center"/>
              <w:rPr>
                <w:color w:val="auto"/>
                <w:sz w:val="18"/>
                <w:szCs w:val="18"/>
              </w:rPr>
            </w:pPr>
            <w:r>
              <w:rPr>
                <w:color w:val="auto"/>
                <w:sz w:val="18"/>
                <w:szCs w:val="18"/>
              </w:rPr>
              <w:t>13.0</w:t>
            </w:r>
          </w:p>
        </w:tc>
        <w:tc>
          <w:tcPr>
            <w:tcW w:w="2769" w:type="dxa"/>
            <w:vAlign w:val="center"/>
          </w:tcPr>
          <w:p w14:paraId="2BDCFD6E">
            <w:pPr>
              <w:adjustRightInd w:val="0"/>
              <w:snapToGrid w:val="0"/>
              <w:spacing w:line="260" w:lineRule="exact"/>
              <w:jc w:val="center"/>
              <w:rPr>
                <w:color w:val="auto"/>
                <w:sz w:val="18"/>
                <w:szCs w:val="18"/>
              </w:rPr>
            </w:pPr>
            <w:r>
              <w:rPr>
                <w:color w:val="auto"/>
                <w:sz w:val="18"/>
                <w:szCs w:val="18"/>
              </w:rPr>
              <w:t>310</w:t>
            </w:r>
          </w:p>
        </w:tc>
        <w:tc>
          <w:tcPr>
            <w:tcW w:w="3104" w:type="dxa"/>
            <w:vAlign w:val="center"/>
          </w:tcPr>
          <w:p w14:paraId="7C1A9A52">
            <w:pPr>
              <w:adjustRightInd w:val="0"/>
              <w:snapToGrid w:val="0"/>
              <w:spacing w:line="260" w:lineRule="exact"/>
              <w:jc w:val="center"/>
              <w:rPr>
                <w:color w:val="auto"/>
                <w:sz w:val="18"/>
                <w:szCs w:val="18"/>
              </w:rPr>
            </w:pPr>
            <w:r>
              <w:rPr>
                <w:color w:val="auto"/>
                <w:sz w:val="18"/>
                <w:szCs w:val="18"/>
              </w:rPr>
              <w:t>470</w:t>
            </w:r>
          </w:p>
        </w:tc>
      </w:tr>
      <w:tr w14:paraId="23FE4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4C955884">
            <w:pPr>
              <w:adjustRightInd w:val="0"/>
              <w:snapToGrid w:val="0"/>
              <w:spacing w:line="260" w:lineRule="exact"/>
              <w:jc w:val="center"/>
              <w:rPr>
                <w:color w:val="auto"/>
                <w:sz w:val="18"/>
                <w:szCs w:val="18"/>
              </w:rPr>
            </w:pPr>
            <w:r>
              <w:rPr>
                <w:color w:val="auto"/>
                <w:sz w:val="18"/>
                <w:szCs w:val="18"/>
              </w:rPr>
              <w:t>14.0</w:t>
            </w:r>
          </w:p>
        </w:tc>
        <w:tc>
          <w:tcPr>
            <w:tcW w:w="2769" w:type="dxa"/>
            <w:vAlign w:val="center"/>
          </w:tcPr>
          <w:p w14:paraId="7F25AC79">
            <w:pPr>
              <w:adjustRightInd w:val="0"/>
              <w:snapToGrid w:val="0"/>
              <w:spacing w:line="260" w:lineRule="exact"/>
              <w:jc w:val="center"/>
              <w:rPr>
                <w:color w:val="auto"/>
                <w:sz w:val="18"/>
                <w:szCs w:val="18"/>
              </w:rPr>
            </w:pPr>
            <w:r>
              <w:rPr>
                <w:color w:val="auto"/>
                <w:sz w:val="18"/>
                <w:szCs w:val="18"/>
              </w:rPr>
              <w:t>330</w:t>
            </w:r>
          </w:p>
        </w:tc>
        <w:tc>
          <w:tcPr>
            <w:tcW w:w="3104" w:type="dxa"/>
            <w:vAlign w:val="center"/>
          </w:tcPr>
          <w:p w14:paraId="586FB058">
            <w:pPr>
              <w:adjustRightInd w:val="0"/>
              <w:snapToGrid w:val="0"/>
              <w:spacing w:line="260" w:lineRule="exact"/>
              <w:jc w:val="center"/>
              <w:rPr>
                <w:color w:val="auto"/>
                <w:sz w:val="18"/>
                <w:szCs w:val="18"/>
              </w:rPr>
            </w:pPr>
            <w:r>
              <w:rPr>
                <w:color w:val="auto"/>
                <w:sz w:val="18"/>
                <w:szCs w:val="18"/>
              </w:rPr>
              <w:t>500</w:t>
            </w:r>
          </w:p>
        </w:tc>
      </w:tr>
      <w:tr w14:paraId="3A7B0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269" w:type="dxa"/>
            <w:vAlign w:val="center"/>
          </w:tcPr>
          <w:p w14:paraId="2C8A898C">
            <w:pPr>
              <w:adjustRightInd w:val="0"/>
              <w:snapToGrid w:val="0"/>
              <w:spacing w:line="260" w:lineRule="exact"/>
              <w:jc w:val="center"/>
              <w:rPr>
                <w:color w:val="auto"/>
                <w:sz w:val="18"/>
                <w:szCs w:val="18"/>
              </w:rPr>
            </w:pPr>
            <w:r>
              <w:rPr>
                <w:color w:val="auto"/>
                <w:sz w:val="18"/>
                <w:szCs w:val="18"/>
              </w:rPr>
              <w:t>15.0</w:t>
            </w:r>
          </w:p>
        </w:tc>
        <w:tc>
          <w:tcPr>
            <w:tcW w:w="2769" w:type="dxa"/>
            <w:vAlign w:val="center"/>
          </w:tcPr>
          <w:p w14:paraId="65502223">
            <w:pPr>
              <w:adjustRightInd w:val="0"/>
              <w:snapToGrid w:val="0"/>
              <w:spacing w:line="260" w:lineRule="exact"/>
              <w:jc w:val="center"/>
              <w:rPr>
                <w:color w:val="auto"/>
                <w:sz w:val="18"/>
                <w:szCs w:val="18"/>
              </w:rPr>
            </w:pPr>
            <w:r>
              <w:rPr>
                <w:color w:val="auto"/>
                <w:sz w:val="18"/>
                <w:szCs w:val="18"/>
              </w:rPr>
              <w:t>350</w:t>
            </w:r>
          </w:p>
        </w:tc>
        <w:tc>
          <w:tcPr>
            <w:tcW w:w="3104" w:type="dxa"/>
            <w:vAlign w:val="center"/>
          </w:tcPr>
          <w:p w14:paraId="0E928849">
            <w:pPr>
              <w:adjustRightInd w:val="0"/>
              <w:snapToGrid w:val="0"/>
              <w:spacing w:line="260" w:lineRule="exact"/>
              <w:jc w:val="center"/>
              <w:rPr>
                <w:color w:val="auto"/>
                <w:sz w:val="18"/>
                <w:szCs w:val="18"/>
              </w:rPr>
            </w:pPr>
            <w:r>
              <w:rPr>
                <w:color w:val="auto"/>
                <w:sz w:val="18"/>
                <w:szCs w:val="18"/>
              </w:rPr>
              <w:t>530</w:t>
            </w:r>
          </w:p>
        </w:tc>
      </w:tr>
      <w:tr w14:paraId="52E97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5" w:hRule="atLeast"/>
          <w:jc w:val="center"/>
        </w:trPr>
        <w:tc>
          <w:tcPr>
            <w:tcW w:w="9142" w:type="dxa"/>
            <w:gridSpan w:val="3"/>
            <w:vAlign w:val="center"/>
          </w:tcPr>
          <w:p w14:paraId="30993CBA">
            <w:pPr>
              <w:adjustRightInd w:val="0"/>
              <w:snapToGrid w:val="0"/>
              <w:ind w:firstLine="180" w:firstLineChars="100"/>
              <w:rPr>
                <w:color w:val="auto"/>
                <w:sz w:val="18"/>
                <w:szCs w:val="18"/>
              </w:rPr>
            </w:pPr>
            <w:r>
              <w:rPr>
                <w:color w:val="auto"/>
                <w:sz w:val="18"/>
                <w:szCs w:val="18"/>
              </w:rPr>
              <w:t>注：以粉砂为主的粉砂与粉土、粉质黏土互层的</w:t>
            </w:r>
            <w:r>
              <w:rPr>
                <w:color w:val="auto"/>
                <w:position w:val="-12"/>
                <w:sz w:val="18"/>
                <w:szCs w:val="18"/>
              </w:rPr>
              <w:object>
                <v:shape id="_x0000_i1669" o:spt="75" type="#_x0000_t75" style="height:14.25pt;width:14.25pt;" o:ole="t" filled="f" o:preferrelative="t" stroked="f" coordsize="21600,21600">
                  <v:path/>
                  <v:fill on="f" focussize="0,0"/>
                  <v:stroke on="f" joinstyle="miter"/>
                  <v:imagedata r:id="rId1266" o:title=""/>
                  <o:lock v:ext="edit" aspectratio="t"/>
                  <w10:wrap type="none"/>
                  <w10:anchorlock/>
                </v:shape>
                <o:OLEObject Type="Embed" ProgID="Equation.DSMT4" ShapeID="_x0000_i1669" DrawAspect="Content" ObjectID="_1468076369" r:id="rId1265">
                  <o:LockedField>false</o:LockedField>
                </o:OLEObject>
              </w:object>
            </w:r>
            <w:r>
              <w:rPr>
                <w:color w:val="auto"/>
                <w:sz w:val="18"/>
                <w:szCs w:val="18"/>
              </w:rPr>
              <w:t>值,应按</w:t>
            </w:r>
            <w:r>
              <w:rPr>
                <w:rFonts w:hint="eastAsia"/>
                <w:color w:val="auto"/>
                <w:sz w:val="18"/>
                <w:szCs w:val="18"/>
                <w:lang w:val="en-US" w:eastAsia="zh-CN"/>
              </w:rPr>
              <w:t>公式</w:t>
            </w:r>
            <w:r>
              <w:rPr>
                <w:rFonts w:hint="eastAsia"/>
                <w:color w:val="auto"/>
                <w:sz w:val="18"/>
                <w:szCs w:val="18"/>
                <w:lang w:eastAsia="zh-CN"/>
              </w:rPr>
              <w:t>（</w:t>
            </w:r>
            <w:r>
              <w:rPr>
                <w:rFonts w:hint="eastAsia"/>
                <w:color w:val="auto"/>
                <w:sz w:val="18"/>
                <w:szCs w:val="18"/>
                <w:lang w:val="en-US" w:eastAsia="zh-CN"/>
              </w:rPr>
              <w:t>E.3</w:t>
            </w:r>
            <w:r>
              <w:rPr>
                <w:rFonts w:hint="eastAsia"/>
                <w:color w:val="auto"/>
                <w:sz w:val="18"/>
                <w:szCs w:val="18"/>
                <w:lang w:eastAsia="zh-CN"/>
              </w:rPr>
              <w:t>）</w:t>
            </w:r>
            <w:r>
              <w:rPr>
                <w:color w:val="auto"/>
                <w:sz w:val="18"/>
                <w:szCs w:val="18"/>
              </w:rPr>
              <w:t>取值:</w:t>
            </w:r>
          </w:p>
          <w:p w14:paraId="0D5EF0C2">
            <w:pPr>
              <w:adjustRightInd w:val="0"/>
              <w:snapToGrid w:val="0"/>
              <w:jc w:val="center"/>
              <w:rPr>
                <w:color w:val="auto"/>
                <w:sz w:val="18"/>
                <w:szCs w:val="18"/>
              </w:rPr>
            </w:pPr>
            <w:r>
              <w:rPr>
                <w:color w:val="auto"/>
                <w:position w:val="-24"/>
                <w:sz w:val="18"/>
                <w:szCs w:val="18"/>
              </w:rPr>
              <w:object>
                <v:shape id="_x0000_i1670" o:spt="75" type="#_x0000_t75" style="height:28.5pt;width:72pt;" o:ole="t" filled="f" o:preferrelative="t" stroked="f" coordsize="21600,21600">
                  <v:path/>
                  <v:fill on="f" focussize="0,0"/>
                  <v:stroke on="f" joinstyle="miter"/>
                  <v:imagedata r:id="rId1268" o:title=""/>
                  <o:lock v:ext="edit" aspectratio="t"/>
                  <w10:wrap type="none"/>
                  <w10:anchorlock/>
                </v:shape>
                <o:OLEObject Type="Embed" ProgID="Equation.DSMT4" ShapeID="_x0000_i1670" DrawAspect="Content" ObjectID="_1468076370" r:id="rId1267">
                  <o:LockedField>false</o:LockedField>
                </o:OLEObject>
              </w:object>
            </w:r>
            <w:r>
              <w:rPr>
                <w:color w:val="auto"/>
                <w:sz w:val="18"/>
                <w:szCs w:val="18"/>
              </w:rPr>
              <w:t xml:space="preserve">              (E.3)</w:t>
            </w:r>
          </w:p>
          <w:p w14:paraId="7017D7D8">
            <w:pPr>
              <w:adjustRightInd w:val="0"/>
              <w:snapToGrid w:val="0"/>
              <w:ind w:firstLine="482"/>
              <w:rPr>
                <w:color w:val="auto"/>
                <w:sz w:val="18"/>
                <w:szCs w:val="18"/>
              </w:rPr>
            </w:pPr>
            <w:r>
              <w:rPr>
                <w:color w:val="auto"/>
                <w:sz w:val="18"/>
                <w:szCs w:val="18"/>
              </w:rPr>
              <w:t xml:space="preserve">式中   </w:t>
            </w:r>
            <w:r>
              <w:rPr>
                <w:color w:val="auto"/>
                <w:position w:val="-14"/>
                <w:sz w:val="18"/>
                <w:szCs w:val="18"/>
              </w:rPr>
              <w:object>
                <v:shape id="_x0000_i1671" o:spt="75" type="#_x0000_t75" style="height:14.25pt;width:21.75pt;" o:ole="t" filled="f" o:preferrelative="t" stroked="f" coordsize="21600,21600">
                  <v:path/>
                  <v:fill on="f" focussize="0,0"/>
                  <v:stroke on="f" joinstyle="miter"/>
                  <v:imagedata r:id="rId1270" o:title=""/>
                  <o:lock v:ext="edit" aspectratio="t"/>
                  <w10:wrap type="none"/>
                  <w10:anchorlock/>
                </v:shape>
                <o:OLEObject Type="Embed" ProgID="Equation.DSMT4" ShapeID="_x0000_i1671" DrawAspect="Content" ObjectID="_1468076371" r:id="rId1269">
                  <o:LockedField>false</o:LockedField>
                </o:OLEObject>
              </w:object>
            </w:r>
            <w:r>
              <w:rPr>
                <w:color w:val="auto"/>
                <w:sz w:val="18"/>
                <w:szCs w:val="18"/>
              </w:rPr>
              <w:t>为三者</w:t>
            </w:r>
            <w:r>
              <w:rPr>
                <w:color w:val="auto"/>
                <w:position w:val="-12"/>
                <w:sz w:val="18"/>
                <w:szCs w:val="18"/>
              </w:rPr>
              <w:object>
                <v:shape id="_x0000_i1672" o:spt="75" type="#_x0000_t75" style="height:14.2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2" DrawAspect="Content" ObjectID="_1468076372" r:id="rId1271">
                  <o:LockedField>false</o:LockedField>
                </o:OLEObject>
              </w:object>
            </w:r>
            <w:r>
              <w:rPr>
                <w:color w:val="auto"/>
                <w:sz w:val="18"/>
                <w:szCs w:val="18"/>
              </w:rPr>
              <w:t>的最大值；</w:t>
            </w:r>
          </w:p>
          <w:p w14:paraId="0820C19C">
            <w:pPr>
              <w:adjustRightInd w:val="0"/>
              <w:snapToGrid w:val="0"/>
              <w:ind w:firstLine="480"/>
              <w:rPr>
                <w:color w:val="auto"/>
                <w:sz w:val="18"/>
                <w:szCs w:val="18"/>
              </w:rPr>
            </w:pPr>
            <w:r>
              <w:rPr>
                <w:color w:val="auto"/>
                <w:sz w:val="18"/>
                <w:szCs w:val="18"/>
              </w:rPr>
              <w:t xml:space="preserve">       </w:t>
            </w:r>
            <w:r>
              <w:rPr>
                <w:color w:val="auto"/>
                <w:position w:val="-14"/>
                <w:sz w:val="18"/>
                <w:szCs w:val="18"/>
              </w:rPr>
              <w:object>
                <v:shape id="_x0000_i1673" o:spt="75" type="#_x0000_t75" style="height:14.25pt;width:21.75pt;" o:ole="t" filled="f" o:preferrelative="t" stroked="f" coordsize="21600,21600">
                  <v:path/>
                  <v:fill on="f" focussize="0,0"/>
                  <v:stroke on="f" joinstyle="miter"/>
                  <v:imagedata r:id="rId1274" o:title=""/>
                  <o:lock v:ext="edit" aspectratio="t"/>
                  <w10:wrap type="none"/>
                  <w10:anchorlock/>
                </v:shape>
                <o:OLEObject Type="Embed" ProgID="Equation.DSMT4" ShapeID="_x0000_i1673" DrawAspect="Content" ObjectID="_1468076373" r:id="rId1273">
                  <o:LockedField>false</o:LockedField>
                </o:OLEObject>
              </w:object>
            </w:r>
            <w:r>
              <w:rPr>
                <w:color w:val="auto"/>
                <w:sz w:val="18"/>
                <w:szCs w:val="18"/>
              </w:rPr>
              <w:t>为三者</w:t>
            </w:r>
            <w:r>
              <w:rPr>
                <w:color w:val="auto"/>
                <w:position w:val="-12"/>
                <w:sz w:val="18"/>
                <w:szCs w:val="18"/>
              </w:rPr>
              <w:object>
                <v:shape id="_x0000_i1674" o:spt="75" type="#_x0000_t75" style="height:14.2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4" DrawAspect="Content" ObjectID="_1468076374" r:id="rId1275">
                  <o:LockedField>false</o:LockedField>
                </o:OLEObject>
              </w:object>
            </w:r>
            <w:r>
              <w:rPr>
                <w:color w:val="auto"/>
                <w:sz w:val="18"/>
                <w:szCs w:val="18"/>
              </w:rPr>
              <w:t>的平均值。</w:t>
            </w:r>
          </w:p>
        </w:tc>
      </w:tr>
    </w:tbl>
    <w:p w14:paraId="287E4B5B">
      <w:pPr>
        <w:adjustRightInd w:val="0"/>
        <w:snapToGrid w:val="0"/>
        <w:spacing w:line="260" w:lineRule="atLeast"/>
        <w:ind w:firstLine="480"/>
        <w:rPr>
          <w:color w:val="auto"/>
          <w:sz w:val="18"/>
        </w:rPr>
      </w:pPr>
    </w:p>
    <w:p w14:paraId="4E141DB2">
      <w:pPr>
        <w:adjustRightInd w:val="0"/>
        <w:snapToGrid w:val="0"/>
        <w:spacing w:line="260" w:lineRule="atLeast"/>
        <w:ind w:firstLine="480"/>
        <w:rPr>
          <w:color w:val="auto"/>
          <w:sz w:val="18"/>
        </w:rPr>
      </w:pPr>
    </w:p>
    <w:p w14:paraId="09B4912B">
      <w:pPr>
        <w:adjustRightInd w:val="0"/>
        <w:snapToGrid w:val="0"/>
        <w:spacing w:line="360" w:lineRule="atLeast"/>
        <w:jc w:val="center"/>
        <w:rPr>
          <w:rFonts w:eastAsia="黑体"/>
          <w:b/>
          <w:color w:val="auto"/>
          <w:szCs w:val="21"/>
        </w:rPr>
      </w:pPr>
      <w:r>
        <w:rPr>
          <w:rFonts w:eastAsia="黑体"/>
          <w:b/>
          <w:color w:val="auto"/>
          <w:szCs w:val="21"/>
        </w:rPr>
        <w:t>表E.14  粉土承载力特征值</w:t>
      </w:r>
      <w:r>
        <w:rPr>
          <w:rFonts w:eastAsia="黑体"/>
          <w:b/>
          <w:i/>
          <w:color w:val="auto"/>
          <w:szCs w:val="21"/>
        </w:rPr>
        <w:t>ƒ</w:t>
      </w:r>
      <w:r>
        <w:rPr>
          <w:rFonts w:eastAsia="黑体"/>
          <w:b/>
          <w:iCs/>
          <w:color w:val="auto"/>
          <w:szCs w:val="21"/>
          <w:vertAlign w:val="subscript"/>
        </w:rPr>
        <w:t>ak</w:t>
      </w:r>
    </w:p>
    <w:tbl>
      <w:tblPr>
        <w:tblStyle w:val="36"/>
        <w:tblW w:w="91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98"/>
        <w:gridCol w:w="1495"/>
        <w:gridCol w:w="1538"/>
        <w:gridCol w:w="1499"/>
        <w:gridCol w:w="1550"/>
        <w:gridCol w:w="1397"/>
      </w:tblGrid>
      <w:tr w14:paraId="426A2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1698" w:type="dxa"/>
            <w:vAlign w:val="center"/>
          </w:tcPr>
          <w:p w14:paraId="1D7A44E7">
            <w:pPr>
              <w:adjustRightInd w:val="0"/>
              <w:snapToGrid w:val="0"/>
              <w:spacing w:line="26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1495" w:type="dxa"/>
            <w:vAlign w:val="center"/>
          </w:tcPr>
          <w:p w14:paraId="345B0E6F">
            <w:pPr>
              <w:adjustRightInd w:val="0"/>
              <w:snapToGrid w:val="0"/>
              <w:spacing w:line="260" w:lineRule="exact"/>
              <w:jc w:val="center"/>
              <w:rPr>
                <w:color w:val="auto"/>
                <w:sz w:val="18"/>
                <w:szCs w:val="18"/>
              </w:rPr>
            </w:pPr>
            <w:r>
              <w:rPr>
                <w:color w:val="auto"/>
                <w:sz w:val="18"/>
                <w:szCs w:val="18"/>
              </w:rPr>
              <w:t>1.0</w:t>
            </w:r>
          </w:p>
        </w:tc>
        <w:tc>
          <w:tcPr>
            <w:tcW w:w="1538" w:type="dxa"/>
            <w:vAlign w:val="center"/>
          </w:tcPr>
          <w:p w14:paraId="11669144">
            <w:pPr>
              <w:adjustRightInd w:val="0"/>
              <w:snapToGrid w:val="0"/>
              <w:spacing w:line="260" w:lineRule="exact"/>
              <w:jc w:val="center"/>
              <w:rPr>
                <w:color w:val="auto"/>
                <w:sz w:val="18"/>
                <w:szCs w:val="18"/>
              </w:rPr>
            </w:pPr>
            <w:r>
              <w:rPr>
                <w:color w:val="auto"/>
                <w:sz w:val="18"/>
                <w:szCs w:val="18"/>
              </w:rPr>
              <w:t>1.5</w:t>
            </w:r>
          </w:p>
        </w:tc>
        <w:tc>
          <w:tcPr>
            <w:tcW w:w="1499" w:type="dxa"/>
            <w:vAlign w:val="center"/>
          </w:tcPr>
          <w:p w14:paraId="1C1D5D1F">
            <w:pPr>
              <w:adjustRightInd w:val="0"/>
              <w:snapToGrid w:val="0"/>
              <w:spacing w:line="260" w:lineRule="exact"/>
              <w:jc w:val="center"/>
              <w:rPr>
                <w:color w:val="auto"/>
                <w:sz w:val="18"/>
                <w:szCs w:val="18"/>
              </w:rPr>
            </w:pPr>
            <w:r>
              <w:rPr>
                <w:color w:val="auto"/>
                <w:sz w:val="18"/>
                <w:szCs w:val="18"/>
              </w:rPr>
              <w:t>2.0</w:t>
            </w:r>
          </w:p>
        </w:tc>
        <w:tc>
          <w:tcPr>
            <w:tcW w:w="1550" w:type="dxa"/>
            <w:vAlign w:val="center"/>
          </w:tcPr>
          <w:p w14:paraId="23DE9D46">
            <w:pPr>
              <w:adjustRightInd w:val="0"/>
              <w:snapToGrid w:val="0"/>
              <w:spacing w:line="260" w:lineRule="exact"/>
              <w:jc w:val="center"/>
              <w:rPr>
                <w:color w:val="auto"/>
                <w:sz w:val="18"/>
                <w:szCs w:val="18"/>
              </w:rPr>
            </w:pPr>
            <w:r>
              <w:rPr>
                <w:color w:val="auto"/>
                <w:sz w:val="18"/>
                <w:szCs w:val="18"/>
              </w:rPr>
              <w:t>2.5</w:t>
            </w:r>
          </w:p>
        </w:tc>
        <w:tc>
          <w:tcPr>
            <w:tcW w:w="1397" w:type="dxa"/>
            <w:vAlign w:val="center"/>
          </w:tcPr>
          <w:p w14:paraId="4013E2F9">
            <w:pPr>
              <w:adjustRightInd w:val="0"/>
              <w:snapToGrid w:val="0"/>
              <w:spacing w:line="260" w:lineRule="exact"/>
              <w:jc w:val="center"/>
              <w:rPr>
                <w:color w:val="auto"/>
                <w:sz w:val="18"/>
                <w:szCs w:val="18"/>
              </w:rPr>
            </w:pPr>
            <w:r>
              <w:rPr>
                <w:color w:val="auto"/>
                <w:sz w:val="18"/>
                <w:szCs w:val="18"/>
              </w:rPr>
              <w:t>3.0</w:t>
            </w:r>
          </w:p>
        </w:tc>
      </w:tr>
      <w:tr w14:paraId="62571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1698" w:type="dxa"/>
            <w:vAlign w:val="center"/>
          </w:tcPr>
          <w:p w14:paraId="5F0AA9D3">
            <w:pPr>
              <w:adjustRightInd w:val="0"/>
              <w:snapToGrid w:val="0"/>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c>
          <w:tcPr>
            <w:tcW w:w="1495" w:type="dxa"/>
            <w:vAlign w:val="center"/>
          </w:tcPr>
          <w:p w14:paraId="6DB2A65C">
            <w:pPr>
              <w:adjustRightInd w:val="0"/>
              <w:snapToGrid w:val="0"/>
              <w:spacing w:line="260" w:lineRule="exact"/>
              <w:jc w:val="center"/>
              <w:rPr>
                <w:color w:val="auto"/>
                <w:sz w:val="18"/>
                <w:szCs w:val="18"/>
              </w:rPr>
            </w:pPr>
            <w:r>
              <w:rPr>
                <w:color w:val="auto"/>
                <w:sz w:val="18"/>
                <w:szCs w:val="18"/>
              </w:rPr>
              <w:t>90</w:t>
            </w:r>
          </w:p>
        </w:tc>
        <w:tc>
          <w:tcPr>
            <w:tcW w:w="1538" w:type="dxa"/>
            <w:vAlign w:val="center"/>
          </w:tcPr>
          <w:p w14:paraId="05DE3F24">
            <w:pPr>
              <w:adjustRightInd w:val="0"/>
              <w:snapToGrid w:val="0"/>
              <w:spacing w:line="260" w:lineRule="exact"/>
              <w:jc w:val="center"/>
              <w:rPr>
                <w:color w:val="auto"/>
                <w:sz w:val="18"/>
                <w:szCs w:val="18"/>
              </w:rPr>
            </w:pPr>
            <w:r>
              <w:rPr>
                <w:color w:val="auto"/>
                <w:sz w:val="18"/>
                <w:szCs w:val="18"/>
              </w:rPr>
              <w:t>100</w:t>
            </w:r>
          </w:p>
        </w:tc>
        <w:tc>
          <w:tcPr>
            <w:tcW w:w="1499" w:type="dxa"/>
            <w:vAlign w:val="center"/>
          </w:tcPr>
          <w:p w14:paraId="3F15BBE5">
            <w:pPr>
              <w:adjustRightInd w:val="0"/>
              <w:snapToGrid w:val="0"/>
              <w:spacing w:line="260" w:lineRule="exact"/>
              <w:jc w:val="center"/>
              <w:rPr>
                <w:color w:val="auto"/>
                <w:sz w:val="18"/>
                <w:szCs w:val="18"/>
              </w:rPr>
            </w:pPr>
            <w:r>
              <w:rPr>
                <w:color w:val="auto"/>
                <w:sz w:val="18"/>
                <w:szCs w:val="18"/>
              </w:rPr>
              <w:t>110</w:t>
            </w:r>
          </w:p>
        </w:tc>
        <w:tc>
          <w:tcPr>
            <w:tcW w:w="1550" w:type="dxa"/>
            <w:vAlign w:val="center"/>
          </w:tcPr>
          <w:p w14:paraId="0A429C04">
            <w:pPr>
              <w:pStyle w:val="24"/>
              <w:pBdr>
                <w:bottom w:val="none" w:color="auto" w:sz="0" w:space="0"/>
              </w:pBdr>
              <w:tabs>
                <w:tab w:val="clear" w:pos="4153"/>
                <w:tab w:val="clear" w:pos="8306"/>
              </w:tabs>
              <w:adjustRightInd w:val="0"/>
              <w:spacing w:line="260" w:lineRule="exact"/>
              <w:rPr>
                <w:color w:val="auto"/>
              </w:rPr>
            </w:pPr>
            <w:r>
              <w:rPr>
                <w:color w:val="auto"/>
              </w:rPr>
              <w:t>130</w:t>
            </w:r>
          </w:p>
        </w:tc>
        <w:tc>
          <w:tcPr>
            <w:tcW w:w="1397" w:type="dxa"/>
            <w:vAlign w:val="center"/>
          </w:tcPr>
          <w:p w14:paraId="2F456704">
            <w:pPr>
              <w:adjustRightInd w:val="0"/>
              <w:snapToGrid w:val="0"/>
              <w:spacing w:line="260" w:lineRule="exact"/>
              <w:jc w:val="center"/>
              <w:rPr>
                <w:color w:val="auto"/>
                <w:sz w:val="18"/>
                <w:szCs w:val="18"/>
              </w:rPr>
            </w:pPr>
            <w:r>
              <w:rPr>
                <w:color w:val="auto"/>
                <w:sz w:val="18"/>
                <w:szCs w:val="18"/>
              </w:rPr>
              <w:t>150</w:t>
            </w:r>
          </w:p>
        </w:tc>
      </w:tr>
      <w:tr w14:paraId="1AAE9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9177" w:type="dxa"/>
            <w:gridSpan w:val="6"/>
            <w:vAlign w:val="center"/>
          </w:tcPr>
          <w:p w14:paraId="6BF51ABC">
            <w:pPr>
              <w:adjustRightInd w:val="0"/>
              <w:snapToGrid w:val="0"/>
              <w:ind w:left="540" w:hanging="540" w:hangingChars="300"/>
              <w:rPr>
                <w:color w:val="auto"/>
                <w:sz w:val="18"/>
                <w:szCs w:val="18"/>
              </w:rPr>
            </w:pPr>
            <w:r>
              <w:rPr>
                <w:color w:val="auto"/>
                <w:sz w:val="18"/>
                <w:szCs w:val="18"/>
              </w:rPr>
              <w:t>注：以粉土为主的粉土与粉砂、粉质黏土的互层的</w:t>
            </w:r>
            <w:r>
              <w:rPr>
                <w:i/>
                <w:color w:val="auto"/>
                <w:sz w:val="18"/>
                <w:szCs w:val="18"/>
              </w:rPr>
              <w:t>ƒ</w:t>
            </w:r>
            <w:r>
              <w:rPr>
                <w:iCs/>
                <w:color w:val="auto"/>
                <w:sz w:val="18"/>
                <w:szCs w:val="18"/>
                <w:vertAlign w:val="subscript"/>
              </w:rPr>
              <w:t>ak</w:t>
            </w:r>
            <w:r>
              <w:rPr>
                <w:color w:val="auto"/>
                <w:sz w:val="18"/>
                <w:szCs w:val="18"/>
              </w:rPr>
              <w:t>值,应取三者的</w:t>
            </w:r>
            <w:r>
              <w:rPr>
                <w:i/>
                <w:color w:val="auto"/>
                <w:sz w:val="18"/>
                <w:szCs w:val="18"/>
              </w:rPr>
              <w:t>ƒ</w:t>
            </w:r>
            <w:r>
              <w:rPr>
                <w:iCs/>
                <w:color w:val="auto"/>
                <w:sz w:val="18"/>
                <w:szCs w:val="18"/>
                <w:vertAlign w:val="subscript"/>
              </w:rPr>
              <w:t>ak</w:t>
            </w:r>
            <w:r>
              <w:rPr>
                <w:color w:val="auto"/>
                <w:sz w:val="18"/>
                <w:szCs w:val="18"/>
              </w:rPr>
              <w:t>的平均值。</w:t>
            </w:r>
          </w:p>
        </w:tc>
      </w:tr>
    </w:tbl>
    <w:p w14:paraId="696FAF05">
      <w:pPr>
        <w:adjustRightInd w:val="0"/>
        <w:snapToGrid w:val="0"/>
        <w:spacing w:before="312" w:beforeLines="100" w:line="360" w:lineRule="atLeast"/>
        <w:jc w:val="center"/>
        <w:rPr>
          <w:rFonts w:eastAsia="黑体"/>
          <w:b/>
          <w:color w:val="auto"/>
          <w:szCs w:val="21"/>
        </w:rPr>
      </w:pPr>
    </w:p>
    <w:p w14:paraId="1D770685">
      <w:pPr>
        <w:adjustRightInd w:val="0"/>
        <w:snapToGrid w:val="0"/>
        <w:spacing w:line="360" w:lineRule="atLeast"/>
        <w:jc w:val="center"/>
        <w:rPr>
          <w:rFonts w:eastAsia="黑体"/>
          <w:b/>
          <w:color w:val="auto"/>
          <w:szCs w:val="21"/>
        </w:rPr>
      </w:pPr>
      <w:r>
        <w:rPr>
          <w:rFonts w:eastAsia="黑体"/>
          <w:b/>
          <w:color w:val="auto"/>
          <w:szCs w:val="21"/>
        </w:rPr>
        <w:t>表E.15  一般黏性土承载力特征值</w:t>
      </w:r>
      <w:r>
        <w:rPr>
          <w:rFonts w:eastAsia="黑体"/>
          <w:b/>
          <w:i/>
          <w:color w:val="auto"/>
          <w:szCs w:val="21"/>
        </w:rPr>
        <w:t>ƒ</w:t>
      </w:r>
      <w:r>
        <w:rPr>
          <w:rFonts w:eastAsia="黑体"/>
          <w:b/>
          <w:iCs/>
          <w:color w:val="auto"/>
          <w:szCs w:val="21"/>
          <w:vertAlign w:val="subscript"/>
        </w:rPr>
        <w:t>ak</w:t>
      </w:r>
    </w:p>
    <w:tbl>
      <w:tblPr>
        <w:tblStyle w:val="36"/>
        <w:tblW w:w="91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09"/>
        <w:gridCol w:w="881"/>
        <w:gridCol w:w="855"/>
        <w:gridCol w:w="814"/>
        <w:gridCol w:w="727"/>
        <w:gridCol w:w="727"/>
        <w:gridCol w:w="727"/>
        <w:gridCol w:w="727"/>
        <w:gridCol w:w="727"/>
        <w:gridCol w:w="774"/>
        <w:gridCol w:w="801"/>
      </w:tblGrid>
      <w:tr w14:paraId="606B9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2" w:hRule="atLeast"/>
          <w:jc w:val="center"/>
        </w:trPr>
        <w:tc>
          <w:tcPr>
            <w:tcW w:w="1409" w:type="dxa"/>
            <w:vAlign w:val="center"/>
          </w:tcPr>
          <w:p w14:paraId="10D338D3">
            <w:pPr>
              <w:adjustRightInd w:val="0"/>
              <w:snapToGrid w:val="0"/>
              <w:spacing w:line="300" w:lineRule="exact"/>
              <w:jc w:val="center"/>
              <w:rPr>
                <w:color w:val="auto"/>
                <w:sz w:val="18"/>
                <w:szCs w:val="18"/>
              </w:rPr>
            </w:pPr>
            <w:r>
              <w:rPr>
                <w:i/>
                <w:color w:val="auto"/>
                <w:sz w:val="18"/>
                <w:szCs w:val="18"/>
              </w:rPr>
              <w:t>N</w:t>
            </w:r>
          </w:p>
        </w:tc>
        <w:tc>
          <w:tcPr>
            <w:tcW w:w="881" w:type="dxa"/>
            <w:vAlign w:val="center"/>
          </w:tcPr>
          <w:p w14:paraId="00261FEA">
            <w:pPr>
              <w:adjustRightInd w:val="0"/>
              <w:snapToGrid w:val="0"/>
              <w:spacing w:line="300" w:lineRule="exact"/>
              <w:jc w:val="center"/>
              <w:rPr>
                <w:color w:val="auto"/>
                <w:sz w:val="18"/>
                <w:szCs w:val="18"/>
              </w:rPr>
            </w:pPr>
            <w:r>
              <w:rPr>
                <w:color w:val="auto"/>
                <w:sz w:val="18"/>
                <w:szCs w:val="18"/>
              </w:rPr>
              <w:t>3</w:t>
            </w:r>
          </w:p>
        </w:tc>
        <w:tc>
          <w:tcPr>
            <w:tcW w:w="855" w:type="dxa"/>
            <w:vAlign w:val="center"/>
          </w:tcPr>
          <w:p w14:paraId="4D33025A">
            <w:pPr>
              <w:adjustRightInd w:val="0"/>
              <w:snapToGrid w:val="0"/>
              <w:spacing w:line="300" w:lineRule="exact"/>
              <w:jc w:val="center"/>
              <w:rPr>
                <w:color w:val="auto"/>
                <w:sz w:val="18"/>
                <w:szCs w:val="18"/>
              </w:rPr>
            </w:pPr>
            <w:r>
              <w:rPr>
                <w:color w:val="auto"/>
                <w:sz w:val="18"/>
                <w:szCs w:val="18"/>
              </w:rPr>
              <w:t>4</w:t>
            </w:r>
          </w:p>
        </w:tc>
        <w:tc>
          <w:tcPr>
            <w:tcW w:w="814" w:type="dxa"/>
            <w:vAlign w:val="center"/>
          </w:tcPr>
          <w:p w14:paraId="41FE83D2">
            <w:pPr>
              <w:adjustRightInd w:val="0"/>
              <w:snapToGrid w:val="0"/>
              <w:spacing w:line="300" w:lineRule="exact"/>
              <w:jc w:val="center"/>
              <w:rPr>
                <w:color w:val="auto"/>
                <w:sz w:val="18"/>
                <w:szCs w:val="18"/>
              </w:rPr>
            </w:pPr>
            <w:r>
              <w:rPr>
                <w:color w:val="auto"/>
                <w:sz w:val="18"/>
                <w:szCs w:val="18"/>
              </w:rPr>
              <w:t>5</w:t>
            </w:r>
          </w:p>
        </w:tc>
        <w:tc>
          <w:tcPr>
            <w:tcW w:w="727" w:type="dxa"/>
            <w:vAlign w:val="center"/>
          </w:tcPr>
          <w:p w14:paraId="1C5E7641">
            <w:pPr>
              <w:adjustRightInd w:val="0"/>
              <w:snapToGrid w:val="0"/>
              <w:spacing w:line="300" w:lineRule="exact"/>
              <w:jc w:val="center"/>
              <w:rPr>
                <w:color w:val="auto"/>
                <w:sz w:val="18"/>
                <w:szCs w:val="18"/>
              </w:rPr>
            </w:pPr>
            <w:r>
              <w:rPr>
                <w:color w:val="auto"/>
                <w:sz w:val="18"/>
                <w:szCs w:val="18"/>
              </w:rPr>
              <w:t>6</w:t>
            </w:r>
          </w:p>
        </w:tc>
        <w:tc>
          <w:tcPr>
            <w:tcW w:w="727" w:type="dxa"/>
            <w:vAlign w:val="center"/>
          </w:tcPr>
          <w:p w14:paraId="10F599BC">
            <w:pPr>
              <w:adjustRightInd w:val="0"/>
              <w:snapToGrid w:val="0"/>
              <w:spacing w:line="300" w:lineRule="exact"/>
              <w:jc w:val="center"/>
              <w:rPr>
                <w:color w:val="auto"/>
                <w:sz w:val="18"/>
                <w:szCs w:val="18"/>
              </w:rPr>
            </w:pPr>
            <w:r>
              <w:rPr>
                <w:color w:val="auto"/>
                <w:sz w:val="18"/>
                <w:szCs w:val="18"/>
              </w:rPr>
              <w:t>7</w:t>
            </w:r>
          </w:p>
        </w:tc>
        <w:tc>
          <w:tcPr>
            <w:tcW w:w="727" w:type="dxa"/>
            <w:vAlign w:val="center"/>
          </w:tcPr>
          <w:p w14:paraId="3EAF24FB">
            <w:pPr>
              <w:adjustRightInd w:val="0"/>
              <w:snapToGrid w:val="0"/>
              <w:spacing w:line="300" w:lineRule="exact"/>
              <w:jc w:val="center"/>
              <w:rPr>
                <w:color w:val="auto"/>
                <w:sz w:val="18"/>
                <w:szCs w:val="18"/>
              </w:rPr>
            </w:pPr>
            <w:r>
              <w:rPr>
                <w:color w:val="auto"/>
                <w:sz w:val="18"/>
                <w:szCs w:val="18"/>
              </w:rPr>
              <w:t>8</w:t>
            </w:r>
          </w:p>
        </w:tc>
        <w:tc>
          <w:tcPr>
            <w:tcW w:w="727" w:type="dxa"/>
            <w:vAlign w:val="center"/>
          </w:tcPr>
          <w:p w14:paraId="7EFEF5A0">
            <w:pPr>
              <w:adjustRightInd w:val="0"/>
              <w:snapToGrid w:val="0"/>
              <w:spacing w:line="300" w:lineRule="exact"/>
              <w:jc w:val="center"/>
              <w:rPr>
                <w:color w:val="auto"/>
                <w:sz w:val="18"/>
                <w:szCs w:val="18"/>
              </w:rPr>
            </w:pPr>
            <w:r>
              <w:rPr>
                <w:color w:val="auto"/>
                <w:sz w:val="18"/>
                <w:szCs w:val="18"/>
              </w:rPr>
              <w:t>9</w:t>
            </w:r>
          </w:p>
        </w:tc>
        <w:tc>
          <w:tcPr>
            <w:tcW w:w="727" w:type="dxa"/>
            <w:vAlign w:val="center"/>
          </w:tcPr>
          <w:p w14:paraId="419C0EE8">
            <w:pPr>
              <w:adjustRightInd w:val="0"/>
              <w:snapToGrid w:val="0"/>
              <w:spacing w:line="300" w:lineRule="exact"/>
              <w:jc w:val="center"/>
              <w:rPr>
                <w:color w:val="auto"/>
                <w:sz w:val="18"/>
                <w:szCs w:val="18"/>
              </w:rPr>
            </w:pPr>
            <w:r>
              <w:rPr>
                <w:color w:val="auto"/>
                <w:sz w:val="18"/>
                <w:szCs w:val="18"/>
              </w:rPr>
              <w:t>10</w:t>
            </w:r>
          </w:p>
        </w:tc>
        <w:tc>
          <w:tcPr>
            <w:tcW w:w="774" w:type="dxa"/>
            <w:vAlign w:val="center"/>
          </w:tcPr>
          <w:p w14:paraId="29F15A5E">
            <w:pPr>
              <w:adjustRightInd w:val="0"/>
              <w:snapToGrid w:val="0"/>
              <w:spacing w:line="300" w:lineRule="exact"/>
              <w:jc w:val="center"/>
              <w:rPr>
                <w:color w:val="auto"/>
                <w:sz w:val="18"/>
                <w:szCs w:val="18"/>
              </w:rPr>
            </w:pPr>
            <w:r>
              <w:rPr>
                <w:color w:val="auto"/>
                <w:sz w:val="18"/>
                <w:szCs w:val="18"/>
              </w:rPr>
              <w:t>11</w:t>
            </w:r>
          </w:p>
        </w:tc>
        <w:tc>
          <w:tcPr>
            <w:tcW w:w="801" w:type="dxa"/>
            <w:vAlign w:val="center"/>
          </w:tcPr>
          <w:p w14:paraId="2596696C">
            <w:pPr>
              <w:adjustRightInd w:val="0"/>
              <w:snapToGrid w:val="0"/>
              <w:spacing w:line="300" w:lineRule="exact"/>
              <w:jc w:val="center"/>
              <w:rPr>
                <w:color w:val="auto"/>
                <w:sz w:val="18"/>
                <w:szCs w:val="18"/>
              </w:rPr>
            </w:pPr>
            <w:r>
              <w:rPr>
                <w:color w:val="auto"/>
                <w:sz w:val="18"/>
                <w:szCs w:val="18"/>
              </w:rPr>
              <w:t>12</w:t>
            </w:r>
          </w:p>
        </w:tc>
      </w:tr>
      <w:tr w14:paraId="42AB1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1409" w:type="dxa"/>
            <w:vAlign w:val="center"/>
          </w:tcPr>
          <w:p w14:paraId="589534F2">
            <w:pPr>
              <w:adjustRightInd w:val="0"/>
              <w:snapToGrid w:val="0"/>
              <w:spacing w:line="240" w:lineRule="atLeast"/>
              <w:jc w:val="center"/>
              <w:rPr>
                <w:color w:val="auto"/>
                <w:sz w:val="18"/>
                <w:szCs w:val="18"/>
              </w:rPr>
            </w:pPr>
            <w:r>
              <w:rPr>
                <w:i/>
                <w:iCs/>
                <w:color w:val="auto"/>
                <w:sz w:val="18"/>
                <w:szCs w:val="18"/>
              </w:rPr>
              <w:t>f</w:t>
            </w:r>
            <w:r>
              <w:rPr>
                <w:color w:val="auto"/>
                <w:sz w:val="18"/>
                <w:szCs w:val="18"/>
                <w:vertAlign w:val="subscript"/>
              </w:rPr>
              <w:t>ak</w:t>
            </w:r>
            <w:r>
              <w:rPr>
                <w:color w:val="auto"/>
                <w:sz w:val="18"/>
                <w:szCs w:val="18"/>
              </w:rPr>
              <w:t>（kPa）</w:t>
            </w:r>
          </w:p>
        </w:tc>
        <w:tc>
          <w:tcPr>
            <w:tcW w:w="881" w:type="dxa"/>
            <w:vAlign w:val="center"/>
          </w:tcPr>
          <w:p w14:paraId="3D1870DE">
            <w:pPr>
              <w:adjustRightInd w:val="0"/>
              <w:snapToGrid w:val="0"/>
              <w:spacing w:line="300" w:lineRule="exact"/>
              <w:jc w:val="center"/>
              <w:rPr>
                <w:color w:val="auto"/>
                <w:sz w:val="18"/>
                <w:szCs w:val="18"/>
              </w:rPr>
            </w:pPr>
            <w:r>
              <w:rPr>
                <w:color w:val="auto"/>
                <w:sz w:val="18"/>
                <w:szCs w:val="18"/>
              </w:rPr>
              <w:t>85</w:t>
            </w:r>
          </w:p>
        </w:tc>
        <w:tc>
          <w:tcPr>
            <w:tcW w:w="855" w:type="dxa"/>
            <w:vAlign w:val="center"/>
          </w:tcPr>
          <w:p w14:paraId="0D129200">
            <w:pPr>
              <w:adjustRightInd w:val="0"/>
              <w:snapToGrid w:val="0"/>
              <w:spacing w:line="300" w:lineRule="exact"/>
              <w:jc w:val="center"/>
              <w:rPr>
                <w:color w:val="auto"/>
                <w:sz w:val="18"/>
                <w:szCs w:val="18"/>
              </w:rPr>
            </w:pPr>
            <w:r>
              <w:rPr>
                <w:color w:val="auto"/>
                <w:sz w:val="18"/>
                <w:szCs w:val="18"/>
              </w:rPr>
              <w:t>100</w:t>
            </w:r>
          </w:p>
        </w:tc>
        <w:tc>
          <w:tcPr>
            <w:tcW w:w="814" w:type="dxa"/>
            <w:vAlign w:val="center"/>
          </w:tcPr>
          <w:p w14:paraId="7C62A579">
            <w:pPr>
              <w:adjustRightInd w:val="0"/>
              <w:snapToGrid w:val="0"/>
              <w:spacing w:line="300" w:lineRule="exact"/>
              <w:jc w:val="center"/>
              <w:rPr>
                <w:color w:val="auto"/>
                <w:sz w:val="18"/>
                <w:szCs w:val="18"/>
              </w:rPr>
            </w:pPr>
            <w:r>
              <w:rPr>
                <w:color w:val="auto"/>
                <w:sz w:val="18"/>
                <w:szCs w:val="18"/>
              </w:rPr>
              <w:t>120</w:t>
            </w:r>
          </w:p>
        </w:tc>
        <w:tc>
          <w:tcPr>
            <w:tcW w:w="727" w:type="dxa"/>
            <w:vAlign w:val="center"/>
          </w:tcPr>
          <w:p w14:paraId="4324EC61">
            <w:pPr>
              <w:adjustRightInd w:val="0"/>
              <w:snapToGrid w:val="0"/>
              <w:spacing w:line="300" w:lineRule="exact"/>
              <w:jc w:val="center"/>
              <w:rPr>
                <w:color w:val="auto"/>
                <w:sz w:val="18"/>
                <w:szCs w:val="18"/>
              </w:rPr>
            </w:pPr>
            <w:r>
              <w:rPr>
                <w:color w:val="auto"/>
                <w:sz w:val="18"/>
                <w:szCs w:val="18"/>
              </w:rPr>
              <w:t>140</w:t>
            </w:r>
          </w:p>
        </w:tc>
        <w:tc>
          <w:tcPr>
            <w:tcW w:w="727" w:type="dxa"/>
            <w:vAlign w:val="center"/>
          </w:tcPr>
          <w:p w14:paraId="026AABAB">
            <w:pPr>
              <w:adjustRightInd w:val="0"/>
              <w:snapToGrid w:val="0"/>
              <w:spacing w:line="300" w:lineRule="exact"/>
              <w:jc w:val="center"/>
              <w:rPr>
                <w:color w:val="auto"/>
                <w:sz w:val="18"/>
                <w:szCs w:val="18"/>
              </w:rPr>
            </w:pPr>
            <w:r>
              <w:rPr>
                <w:color w:val="auto"/>
                <w:sz w:val="18"/>
                <w:szCs w:val="18"/>
              </w:rPr>
              <w:t>160</w:t>
            </w:r>
          </w:p>
        </w:tc>
        <w:tc>
          <w:tcPr>
            <w:tcW w:w="727" w:type="dxa"/>
            <w:vAlign w:val="center"/>
          </w:tcPr>
          <w:p w14:paraId="5B0728CF">
            <w:pPr>
              <w:adjustRightInd w:val="0"/>
              <w:snapToGrid w:val="0"/>
              <w:spacing w:line="300" w:lineRule="exact"/>
              <w:jc w:val="center"/>
              <w:rPr>
                <w:color w:val="auto"/>
                <w:sz w:val="18"/>
                <w:szCs w:val="18"/>
              </w:rPr>
            </w:pPr>
            <w:r>
              <w:rPr>
                <w:color w:val="auto"/>
                <w:sz w:val="18"/>
                <w:szCs w:val="18"/>
              </w:rPr>
              <w:t>180</w:t>
            </w:r>
          </w:p>
        </w:tc>
        <w:tc>
          <w:tcPr>
            <w:tcW w:w="727" w:type="dxa"/>
            <w:vAlign w:val="center"/>
          </w:tcPr>
          <w:p w14:paraId="44A0228F">
            <w:pPr>
              <w:adjustRightInd w:val="0"/>
              <w:snapToGrid w:val="0"/>
              <w:spacing w:line="300" w:lineRule="exact"/>
              <w:jc w:val="center"/>
              <w:rPr>
                <w:color w:val="auto"/>
                <w:sz w:val="18"/>
                <w:szCs w:val="18"/>
              </w:rPr>
            </w:pPr>
            <w:r>
              <w:rPr>
                <w:color w:val="auto"/>
                <w:sz w:val="18"/>
                <w:szCs w:val="18"/>
              </w:rPr>
              <w:t>200</w:t>
            </w:r>
          </w:p>
        </w:tc>
        <w:tc>
          <w:tcPr>
            <w:tcW w:w="727" w:type="dxa"/>
            <w:vAlign w:val="center"/>
          </w:tcPr>
          <w:p w14:paraId="1FA04152">
            <w:pPr>
              <w:adjustRightInd w:val="0"/>
              <w:snapToGrid w:val="0"/>
              <w:spacing w:line="300" w:lineRule="exact"/>
              <w:jc w:val="center"/>
              <w:rPr>
                <w:color w:val="auto"/>
                <w:sz w:val="18"/>
                <w:szCs w:val="18"/>
              </w:rPr>
            </w:pPr>
            <w:r>
              <w:rPr>
                <w:color w:val="auto"/>
                <w:sz w:val="18"/>
                <w:szCs w:val="18"/>
              </w:rPr>
              <w:t>230</w:t>
            </w:r>
          </w:p>
        </w:tc>
        <w:tc>
          <w:tcPr>
            <w:tcW w:w="774" w:type="dxa"/>
            <w:vAlign w:val="center"/>
          </w:tcPr>
          <w:p w14:paraId="6619B6E1">
            <w:pPr>
              <w:adjustRightInd w:val="0"/>
              <w:snapToGrid w:val="0"/>
              <w:spacing w:line="300" w:lineRule="exact"/>
              <w:jc w:val="center"/>
              <w:rPr>
                <w:color w:val="auto"/>
                <w:sz w:val="18"/>
                <w:szCs w:val="18"/>
              </w:rPr>
            </w:pPr>
            <w:r>
              <w:rPr>
                <w:color w:val="auto"/>
                <w:sz w:val="18"/>
                <w:szCs w:val="18"/>
              </w:rPr>
              <w:t>260</w:t>
            </w:r>
          </w:p>
        </w:tc>
        <w:tc>
          <w:tcPr>
            <w:tcW w:w="801" w:type="dxa"/>
            <w:vAlign w:val="center"/>
          </w:tcPr>
          <w:p w14:paraId="5B4B4488">
            <w:pPr>
              <w:adjustRightInd w:val="0"/>
              <w:snapToGrid w:val="0"/>
              <w:spacing w:line="300" w:lineRule="exact"/>
              <w:jc w:val="center"/>
              <w:rPr>
                <w:color w:val="auto"/>
                <w:sz w:val="18"/>
                <w:szCs w:val="18"/>
              </w:rPr>
            </w:pPr>
            <w:r>
              <w:rPr>
                <w:color w:val="auto"/>
                <w:sz w:val="18"/>
                <w:szCs w:val="18"/>
              </w:rPr>
              <w:t>290</w:t>
            </w:r>
          </w:p>
        </w:tc>
      </w:tr>
    </w:tbl>
    <w:p w14:paraId="26B54F14">
      <w:pPr>
        <w:adjustRightInd w:val="0"/>
        <w:snapToGrid w:val="0"/>
        <w:ind w:left="540" w:hanging="540" w:hangingChars="300"/>
        <w:rPr>
          <w:color w:val="auto"/>
          <w:sz w:val="18"/>
        </w:rPr>
      </w:pPr>
    </w:p>
    <w:p w14:paraId="17D434BA">
      <w:pPr>
        <w:adjustRightInd w:val="0"/>
        <w:snapToGrid w:val="0"/>
        <w:ind w:left="540" w:hanging="540" w:hangingChars="300"/>
        <w:rPr>
          <w:color w:val="auto"/>
          <w:sz w:val="18"/>
        </w:rPr>
      </w:pPr>
    </w:p>
    <w:p w14:paraId="7ACAA38D">
      <w:pPr>
        <w:adjustRightInd w:val="0"/>
        <w:snapToGrid w:val="0"/>
        <w:spacing w:before="156" w:beforeLines="50" w:line="360" w:lineRule="atLeast"/>
        <w:jc w:val="center"/>
        <w:rPr>
          <w:rFonts w:eastAsia="黑体"/>
          <w:b/>
          <w:color w:val="auto"/>
          <w:szCs w:val="21"/>
        </w:rPr>
      </w:pPr>
      <w:r>
        <w:rPr>
          <w:rFonts w:eastAsia="黑体"/>
          <w:b/>
          <w:color w:val="auto"/>
          <w:szCs w:val="21"/>
        </w:rPr>
        <w:t>表E.16  淤泥质土、一般黏性土承载力特征值</w:t>
      </w:r>
      <w:r>
        <w:rPr>
          <w:rFonts w:eastAsia="黑体"/>
          <w:b/>
          <w:i/>
          <w:color w:val="auto"/>
          <w:szCs w:val="21"/>
        </w:rPr>
        <w:t>ƒ</w:t>
      </w:r>
      <w:r>
        <w:rPr>
          <w:rFonts w:eastAsia="黑体"/>
          <w:b/>
          <w:iCs/>
          <w:color w:val="auto"/>
          <w:szCs w:val="21"/>
          <w:vertAlign w:val="subscript"/>
        </w:rPr>
        <w:t>ak</w:t>
      </w:r>
    </w:p>
    <w:tbl>
      <w:tblPr>
        <w:tblStyle w:val="36"/>
        <w:tblW w:w="91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99"/>
        <w:gridCol w:w="750"/>
        <w:gridCol w:w="694"/>
        <w:gridCol w:w="694"/>
        <w:gridCol w:w="708"/>
        <w:gridCol w:w="705"/>
        <w:gridCol w:w="693"/>
        <w:gridCol w:w="702"/>
        <w:gridCol w:w="690"/>
        <w:gridCol w:w="737"/>
        <w:gridCol w:w="728"/>
        <w:gridCol w:w="655"/>
      </w:tblGrid>
      <w:tr w14:paraId="5029B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1399" w:type="dxa"/>
            <w:vAlign w:val="center"/>
          </w:tcPr>
          <w:p w14:paraId="2A7970D4">
            <w:pPr>
              <w:adjustRightInd w:val="0"/>
              <w:snapToGrid w:val="0"/>
              <w:spacing w:line="260" w:lineRule="exact"/>
              <w:ind w:left="119"/>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750" w:type="dxa"/>
            <w:vAlign w:val="center"/>
          </w:tcPr>
          <w:p w14:paraId="3AFBE08C">
            <w:pPr>
              <w:adjustRightInd w:val="0"/>
              <w:snapToGrid w:val="0"/>
              <w:spacing w:line="260" w:lineRule="exact"/>
              <w:rPr>
                <w:color w:val="auto"/>
                <w:sz w:val="18"/>
                <w:szCs w:val="18"/>
              </w:rPr>
            </w:pPr>
            <w:r>
              <w:rPr>
                <w:color w:val="auto"/>
                <w:sz w:val="18"/>
                <w:szCs w:val="18"/>
              </w:rPr>
              <w:t>0.3</w:t>
            </w:r>
          </w:p>
        </w:tc>
        <w:tc>
          <w:tcPr>
            <w:tcW w:w="694" w:type="dxa"/>
            <w:vAlign w:val="center"/>
          </w:tcPr>
          <w:p w14:paraId="2713F262">
            <w:pPr>
              <w:adjustRightInd w:val="0"/>
              <w:snapToGrid w:val="0"/>
              <w:spacing w:line="260" w:lineRule="exact"/>
              <w:rPr>
                <w:color w:val="auto"/>
                <w:sz w:val="18"/>
                <w:szCs w:val="18"/>
              </w:rPr>
            </w:pPr>
            <w:r>
              <w:rPr>
                <w:color w:val="auto"/>
                <w:sz w:val="18"/>
                <w:szCs w:val="18"/>
              </w:rPr>
              <w:t>0.5</w:t>
            </w:r>
          </w:p>
        </w:tc>
        <w:tc>
          <w:tcPr>
            <w:tcW w:w="694" w:type="dxa"/>
            <w:vAlign w:val="center"/>
          </w:tcPr>
          <w:p w14:paraId="6AFACBB0">
            <w:pPr>
              <w:adjustRightInd w:val="0"/>
              <w:snapToGrid w:val="0"/>
              <w:spacing w:line="260" w:lineRule="exact"/>
              <w:rPr>
                <w:color w:val="auto"/>
                <w:sz w:val="18"/>
                <w:szCs w:val="18"/>
              </w:rPr>
            </w:pPr>
            <w:r>
              <w:rPr>
                <w:color w:val="auto"/>
                <w:sz w:val="18"/>
                <w:szCs w:val="18"/>
              </w:rPr>
              <w:t>0.7</w:t>
            </w:r>
          </w:p>
        </w:tc>
        <w:tc>
          <w:tcPr>
            <w:tcW w:w="708" w:type="dxa"/>
            <w:vAlign w:val="center"/>
          </w:tcPr>
          <w:p w14:paraId="33667239">
            <w:pPr>
              <w:adjustRightInd w:val="0"/>
              <w:snapToGrid w:val="0"/>
              <w:spacing w:line="260" w:lineRule="exact"/>
              <w:rPr>
                <w:color w:val="auto"/>
                <w:sz w:val="18"/>
                <w:szCs w:val="18"/>
              </w:rPr>
            </w:pPr>
            <w:r>
              <w:rPr>
                <w:color w:val="auto"/>
                <w:sz w:val="18"/>
                <w:szCs w:val="18"/>
              </w:rPr>
              <w:t>0.9</w:t>
            </w:r>
          </w:p>
        </w:tc>
        <w:tc>
          <w:tcPr>
            <w:tcW w:w="705" w:type="dxa"/>
            <w:vAlign w:val="center"/>
          </w:tcPr>
          <w:p w14:paraId="4E9F4AA0">
            <w:pPr>
              <w:adjustRightInd w:val="0"/>
              <w:snapToGrid w:val="0"/>
              <w:spacing w:line="260" w:lineRule="exact"/>
              <w:rPr>
                <w:color w:val="auto"/>
                <w:sz w:val="18"/>
                <w:szCs w:val="18"/>
              </w:rPr>
            </w:pPr>
            <w:r>
              <w:rPr>
                <w:color w:val="auto"/>
                <w:sz w:val="18"/>
                <w:szCs w:val="18"/>
              </w:rPr>
              <w:t>1.2</w:t>
            </w:r>
          </w:p>
        </w:tc>
        <w:tc>
          <w:tcPr>
            <w:tcW w:w="693" w:type="dxa"/>
            <w:vAlign w:val="center"/>
          </w:tcPr>
          <w:p w14:paraId="794D4E3A">
            <w:pPr>
              <w:adjustRightInd w:val="0"/>
              <w:snapToGrid w:val="0"/>
              <w:spacing w:line="260" w:lineRule="exact"/>
              <w:rPr>
                <w:color w:val="auto"/>
                <w:sz w:val="18"/>
                <w:szCs w:val="18"/>
              </w:rPr>
            </w:pPr>
            <w:r>
              <w:rPr>
                <w:color w:val="auto"/>
                <w:sz w:val="18"/>
                <w:szCs w:val="18"/>
              </w:rPr>
              <w:t>1.5</w:t>
            </w:r>
          </w:p>
        </w:tc>
        <w:tc>
          <w:tcPr>
            <w:tcW w:w="702" w:type="dxa"/>
            <w:vAlign w:val="center"/>
          </w:tcPr>
          <w:p w14:paraId="27F6BE74">
            <w:pPr>
              <w:adjustRightInd w:val="0"/>
              <w:snapToGrid w:val="0"/>
              <w:spacing w:line="260" w:lineRule="exact"/>
              <w:rPr>
                <w:color w:val="auto"/>
                <w:sz w:val="18"/>
                <w:szCs w:val="18"/>
              </w:rPr>
            </w:pPr>
            <w:r>
              <w:rPr>
                <w:color w:val="auto"/>
                <w:sz w:val="18"/>
                <w:szCs w:val="18"/>
              </w:rPr>
              <w:t>1.8</w:t>
            </w:r>
          </w:p>
        </w:tc>
        <w:tc>
          <w:tcPr>
            <w:tcW w:w="690" w:type="dxa"/>
            <w:vAlign w:val="center"/>
          </w:tcPr>
          <w:p w14:paraId="077EF1FD">
            <w:pPr>
              <w:adjustRightInd w:val="0"/>
              <w:snapToGrid w:val="0"/>
              <w:spacing w:line="260" w:lineRule="exact"/>
              <w:rPr>
                <w:color w:val="auto"/>
                <w:sz w:val="18"/>
                <w:szCs w:val="18"/>
              </w:rPr>
            </w:pPr>
            <w:r>
              <w:rPr>
                <w:color w:val="auto"/>
                <w:sz w:val="18"/>
                <w:szCs w:val="18"/>
              </w:rPr>
              <w:t>2.1</w:t>
            </w:r>
          </w:p>
        </w:tc>
        <w:tc>
          <w:tcPr>
            <w:tcW w:w="737" w:type="dxa"/>
            <w:vAlign w:val="center"/>
          </w:tcPr>
          <w:p w14:paraId="1F6E04EF">
            <w:pPr>
              <w:adjustRightInd w:val="0"/>
              <w:snapToGrid w:val="0"/>
              <w:spacing w:line="260" w:lineRule="exact"/>
              <w:rPr>
                <w:color w:val="auto"/>
                <w:sz w:val="18"/>
                <w:szCs w:val="18"/>
              </w:rPr>
            </w:pPr>
            <w:r>
              <w:rPr>
                <w:color w:val="auto"/>
                <w:sz w:val="18"/>
                <w:szCs w:val="18"/>
              </w:rPr>
              <w:t>2.4</w:t>
            </w:r>
          </w:p>
        </w:tc>
        <w:tc>
          <w:tcPr>
            <w:tcW w:w="728" w:type="dxa"/>
            <w:vAlign w:val="center"/>
          </w:tcPr>
          <w:p w14:paraId="11B0738A">
            <w:pPr>
              <w:adjustRightInd w:val="0"/>
              <w:snapToGrid w:val="0"/>
              <w:spacing w:line="260" w:lineRule="exact"/>
              <w:rPr>
                <w:color w:val="auto"/>
                <w:sz w:val="18"/>
                <w:szCs w:val="18"/>
              </w:rPr>
            </w:pPr>
            <w:r>
              <w:rPr>
                <w:color w:val="auto"/>
                <w:sz w:val="18"/>
                <w:szCs w:val="18"/>
              </w:rPr>
              <w:t>2.7</w:t>
            </w:r>
          </w:p>
        </w:tc>
        <w:tc>
          <w:tcPr>
            <w:tcW w:w="655" w:type="dxa"/>
            <w:vAlign w:val="center"/>
          </w:tcPr>
          <w:p w14:paraId="2F11D11F">
            <w:pPr>
              <w:adjustRightInd w:val="0"/>
              <w:snapToGrid w:val="0"/>
              <w:spacing w:line="260" w:lineRule="exact"/>
              <w:rPr>
                <w:color w:val="auto"/>
                <w:sz w:val="18"/>
                <w:szCs w:val="18"/>
              </w:rPr>
            </w:pPr>
            <w:r>
              <w:rPr>
                <w:color w:val="auto"/>
                <w:sz w:val="18"/>
                <w:szCs w:val="18"/>
              </w:rPr>
              <w:t>2.9</w:t>
            </w:r>
          </w:p>
        </w:tc>
      </w:tr>
      <w:tr w14:paraId="134D2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399" w:type="dxa"/>
            <w:vAlign w:val="center"/>
          </w:tcPr>
          <w:p w14:paraId="29437B21">
            <w:pPr>
              <w:adjustRightInd w:val="0"/>
              <w:snapToGrid w:val="0"/>
              <w:ind w:left="119"/>
              <w:jc w:val="center"/>
              <w:rPr>
                <w:color w:val="auto"/>
                <w:sz w:val="18"/>
                <w:szCs w:val="18"/>
              </w:rPr>
            </w:pPr>
            <w:r>
              <w:rPr>
                <w:color w:val="auto"/>
                <w:position w:val="-12"/>
                <w:sz w:val="18"/>
                <w:szCs w:val="18"/>
              </w:rPr>
              <w:object>
                <v:shape id="_x0000_i1675"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5" DrawAspect="Content" ObjectID="_1468076375" r:id="rId1276">
                  <o:LockedField>false</o:LockedField>
                </o:OLEObject>
              </w:object>
            </w:r>
            <w:r>
              <w:rPr>
                <w:color w:val="auto"/>
                <w:sz w:val="18"/>
                <w:szCs w:val="18"/>
              </w:rPr>
              <w:t>（kPa）</w:t>
            </w:r>
          </w:p>
        </w:tc>
        <w:tc>
          <w:tcPr>
            <w:tcW w:w="750" w:type="dxa"/>
            <w:vAlign w:val="center"/>
          </w:tcPr>
          <w:p w14:paraId="5839DF65">
            <w:pPr>
              <w:adjustRightInd w:val="0"/>
              <w:snapToGrid w:val="0"/>
              <w:spacing w:line="260" w:lineRule="exact"/>
              <w:rPr>
                <w:color w:val="auto"/>
                <w:sz w:val="18"/>
                <w:szCs w:val="18"/>
              </w:rPr>
            </w:pPr>
            <w:r>
              <w:rPr>
                <w:color w:val="auto"/>
                <w:sz w:val="18"/>
                <w:szCs w:val="18"/>
              </w:rPr>
              <w:t>40</w:t>
            </w:r>
          </w:p>
        </w:tc>
        <w:tc>
          <w:tcPr>
            <w:tcW w:w="694" w:type="dxa"/>
            <w:vAlign w:val="center"/>
          </w:tcPr>
          <w:p w14:paraId="1A6AE177">
            <w:pPr>
              <w:adjustRightInd w:val="0"/>
              <w:snapToGrid w:val="0"/>
              <w:spacing w:line="260" w:lineRule="exact"/>
              <w:rPr>
                <w:color w:val="auto"/>
                <w:sz w:val="18"/>
                <w:szCs w:val="18"/>
              </w:rPr>
            </w:pPr>
            <w:r>
              <w:rPr>
                <w:color w:val="auto"/>
                <w:sz w:val="18"/>
                <w:szCs w:val="18"/>
              </w:rPr>
              <w:t>60</w:t>
            </w:r>
          </w:p>
        </w:tc>
        <w:tc>
          <w:tcPr>
            <w:tcW w:w="694" w:type="dxa"/>
            <w:vAlign w:val="center"/>
          </w:tcPr>
          <w:p w14:paraId="1D17CAAC">
            <w:pPr>
              <w:adjustRightInd w:val="0"/>
              <w:snapToGrid w:val="0"/>
              <w:spacing w:line="260" w:lineRule="exact"/>
              <w:rPr>
                <w:color w:val="auto"/>
                <w:sz w:val="18"/>
                <w:szCs w:val="18"/>
              </w:rPr>
            </w:pPr>
            <w:r>
              <w:rPr>
                <w:color w:val="auto"/>
                <w:sz w:val="18"/>
                <w:szCs w:val="18"/>
              </w:rPr>
              <w:t>80</w:t>
            </w:r>
          </w:p>
        </w:tc>
        <w:tc>
          <w:tcPr>
            <w:tcW w:w="708" w:type="dxa"/>
            <w:vAlign w:val="center"/>
          </w:tcPr>
          <w:p w14:paraId="7332B436">
            <w:pPr>
              <w:adjustRightInd w:val="0"/>
              <w:snapToGrid w:val="0"/>
              <w:spacing w:line="260" w:lineRule="exact"/>
              <w:rPr>
                <w:color w:val="auto"/>
                <w:sz w:val="18"/>
                <w:szCs w:val="18"/>
              </w:rPr>
            </w:pPr>
            <w:r>
              <w:rPr>
                <w:color w:val="auto"/>
                <w:sz w:val="18"/>
                <w:szCs w:val="18"/>
              </w:rPr>
              <w:t>100</w:t>
            </w:r>
          </w:p>
        </w:tc>
        <w:tc>
          <w:tcPr>
            <w:tcW w:w="705" w:type="dxa"/>
            <w:vAlign w:val="center"/>
          </w:tcPr>
          <w:p w14:paraId="13B3E3D2">
            <w:pPr>
              <w:adjustRightInd w:val="0"/>
              <w:snapToGrid w:val="0"/>
              <w:spacing w:line="260" w:lineRule="exact"/>
              <w:rPr>
                <w:color w:val="auto"/>
                <w:sz w:val="18"/>
                <w:szCs w:val="18"/>
              </w:rPr>
            </w:pPr>
            <w:r>
              <w:rPr>
                <w:color w:val="auto"/>
                <w:sz w:val="18"/>
                <w:szCs w:val="18"/>
              </w:rPr>
              <w:t>120</w:t>
            </w:r>
          </w:p>
        </w:tc>
        <w:tc>
          <w:tcPr>
            <w:tcW w:w="693" w:type="dxa"/>
            <w:vAlign w:val="center"/>
          </w:tcPr>
          <w:p w14:paraId="1B0C7CCE">
            <w:pPr>
              <w:adjustRightInd w:val="0"/>
              <w:snapToGrid w:val="0"/>
              <w:spacing w:line="260" w:lineRule="exact"/>
              <w:rPr>
                <w:color w:val="auto"/>
                <w:sz w:val="18"/>
                <w:szCs w:val="18"/>
              </w:rPr>
            </w:pPr>
            <w:r>
              <w:rPr>
                <w:color w:val="auto"/>
                <w:sz w:val="18"/>
                <w:szCs w:val="18"/>
              </w:rPr>
              <w:t>150</w:t>
            </w:r>
          </w:p>
        </w:tc>
        <w:tc>
          <w:tcPr>
            <w:tcW w:w="702" w:type="dxa"/>
            <w:vAlign w:val="center"/>
          </w:tcPr>
          <w:p w14:paraId="746A3D06">
            <w:pPr>
              <w:adjustRightInd w:val="0"/>
              <w:snapToGrid w:val="0"/>
              <w:spacing w:line="260" w:lineRule="exact"/>
              <w:rPr>
                <w:color w:val="auto"/>
                <w:sz w:val="18"/>
                <w:szCs w:val="18"/>
              </w:rPr>
            </w:pPr>
            <w:r>
              <w:rPr>
                <w:color w:val="auto"/>
                <w:sz w:val="18"/>
                <w:szCs w:val="18"/>
              </w:rPr>
              <w:t>180</w:t>
            </w:r>
          </w:p>
        </w:tc>
        <w:tc>
          <w:tcPr>
            <w:tcW w:w="690" w:type="dxa"/>
            <w:vAlign w:val="center"/>
          </w:tcPr>
          <w:p w14:paraId="45A7695F">
            <w:pPr>
              <w:adjustRightInd w:val="0"/>
              <w:snapToGrid w:val="0"/>
              <w:spacing w:line="260" w:lineRule="exact"/>
              <w:rPr>
                <w:color w:val="auto"/>
                <w:sz w:val="18"/>
                <w:szCs w:val="18"/>
              </w:rPr>
            </w:pPr>
            <w:r>
              <w:rPr>
                <w:color w:val="auto"/>
                <w:sz w:val="18"/>
                <w:szCs w:val="18"/>
              </w:rPr>
              <w:t>210</w:t>
            </w:r>
          </w:p>
        </w:tc>
        <w:tc>
          <w:tcPr>
            <w:tcW w:w="737" w:type="dxa"/>
            <w:vAlign w:val="center"/>
          </w:tcPr>
          <w:p w14:paraId="3A0009B0">
            <w:pPr>
              <w:adjustRightInd w:val="0"/>
              <w:snapToGrid w:val="0"/>
              <w:spacing w:line="260" w:lineRule="exact"/>
              <w:rPr>
                <w:color w:val="auto"/>
                <w:sz w:val="18"/>
                <w:szCs w:val="18"/>
              </w:rPr>
            </w:pPr>
            <w:r>
              <w:rPr>
                <w:color w:val="auto"/>
                <w:sz w:val="18"/>
                <w:szCs w:val="18"/>
              </w:rPr>
              <w:t>240</w:t>
            </w:r>
          </w:p>
        </w:tc>
        <w:tc>
          <w:tcPr>
            <w:tcW w:w="728" w:type="dxa"/>
            <w:vAlign w:val="center"/>
          </w:tcPr>
          <w:p w14:paraId="57D7C748">
            <w:pPr>
              <w:adjustRightInd w:val="0"/>
              <w:snapToGrid w:val="0"/>
              <w:spacing w:line="260" w:lineRule="exact"/>
              <w:rPr>
                <w:color w:val="auto"/>
                <w:sz w:val="18"/>
                <w:szCs w:val="18"/>
              </w:rPr>
            </w:pPr>
            <w:r>
              <w:rPr>
                <w:color w:val="auto"/>
                <w:sz w:val="18"/>
                <w:szCs w:val="18"/>
              </w:rPr>
              <w:t>270</w:t>
            </w:r>
          </w:p>
        </w:tc>
        <w:tc>
          <w:tcPr>
            <w:tcW w:w="655" w:type="dxa"/>
            <w:vAlign w:val="center"/>
          </w:tcPr>
          <w:p w14:paraId="4C3CEFD6">
            <w:pPr>
              <w:adjustRightInd w:val="0"/>
              <w:snapToGrid w:val="0"/>
              <w:spacing w:line="260" w:lineRule="exact"/>
              <w:rPr>
                <w:color w:val="auto"/>
                <w:sz w:val="18"/>
                <w:szCs w:val="18"/>
              </w:rPr>
            </w:pPr>
            <w:r>
              <w:rPr>
                <w:color w:val="auto"/>
                <w:sz w:val="18"/>
                <w:szCs w:val="18"/>
              </w:rPr>
              <w:t>290</w:t>
            </w:r>
          </w:p>
        </w:tc>
      </w:tr>
      <w:tr w14:paraId="28233B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9155" w:type="dxa"/>
            <w:gridSpan w:val="12"/>
            <w:vAlign w:val="center"/>
          </w:tcPr>
          <w:p w14:paraId="0994F7D3">
            <w:pPr>
              <w:adjustRightInd w:val="0"/>
              <w:snapToGrid w:val="0"/>
              <w:ind w:left="486" w:leftChars="60" w:hanging="360" w:hangingChars="200"/>
              <w:rPr>
                <w:color w:val="auto"/>
                <w:sz w:val="18"/>
                <w:szCs w:val="18"/>
              </w:rPr>
            </w:pPr>
            <w:r>
              <w:rPr>
                <w:color w:val="auto"/>
                <w:sz w:val="18"/>
                <w:szCs w:val="18"/>
              </w:rPr>
              <w:t>注：以粉质黏土为主的粉质黏土与粉土、粉砂互层的</w:t>
            </w:r>
            <w:r>
              <w:rPr>
                <w:i/>
                <w:color w:val="auto"/>
                <w:sz w:val="18"/>
                <w:szCs w:val="18"/>
              </w:rPr>
              <w:t>ƒ</w:t>
            </w:r>
            <w:r>
              <w:rPr>
                <w:iCs/>
                <w:color w:val="auto"/>
                <w:sz w:val="18"/>
                <w:szCs w:val="18"/>
                <w:vertAlign w:val="subscript"/>
              </w:rPr>
              <w:t>ak</w:t>
            </w:r>
            <w:r>
              <w:rPr>
                <w:color w:val="auto"/>
                <w:sz w:val="18"/>
                <w:szCs w:val="18"/>
              </w:rPr>
              <w:t>值应按</w:t>
            </w:r>
            <w:r>
              <w:rPr>
                <w:rFonts w:hint="eastAsia"/>
                <w:color w:val="auto"/>
                <w:sz w:val="18"/>
                <w:szCs w:val="18"/>
                <w:lang w:val="en-US" w:eastAsia="zh-CN"/>
              </w:rPr>
              <w:t>公式</w:t>
            </w:r>
            <w:r>
              <w:rPr>
                <w:rFonts w:hint="eastAsia"/>
                <w:color w:val="auto"/>
                <w:sz w:val="18"/>
                <w:szCs w:val="18"/>
                <w:lang w:eastAsia="zh-CN"/>
              </w:rPr>
              <w:t>（</w:t>
            </w:r>
            <w:r>
              <w:rPr>
                <w:rFonts w:hint="eastAsia"/>
                <w:color w:val="auto"/>
                <w:sz w:val="18"/>
                <w:szCs w:val="18"/>
                <w:lang w:val="en-US" w:eastAsia="zh-CN"/>
              </w:rPr>
              <w:t>E.4</w:t>
            </w:r>
            <w:r>
              <w:rPr>
                <w:rFonts w:hint="eastAsia"/>
                <w:color w:val="auto"/>
                <w:sz w:val="18"/>
                <w:szCs w:val="18"/>
                <w:lang w:eastAsia="zh-CN"/>
              </w:rPr>
              <w:t>）</w:t>
            </w:r>
            <w:r>
              <w:rPr>
                <w:color w:val="auto"/>
                <w:sz w:val="18"/>
                <w:szCs w:val="18"/>
              </w:rPr>
              <w:t>取值:</w:t>
            </w:r>
          </w:p>
          <w:p w14:paraId="61143593">
            <w:pPr>
              <w:adjustRightInd w:val="0"/>
              <w:snapToGrid w:val="0"/>
              <w:ind w:left="540" w:hanging="540" w:hangingChars="300"/>
              <w:jc w:val="center"/>
              <w:rPr>
                <w:color w:val="auto"/>
                <w:sz w:val="18"/>
                <w:szCs w:val="18"/>
              </w:rPr>
            </w:pPr>
            <w:r>
              <w:rPr>
                <w:color w:val="auto"/>
                <w:position w:val="-24"/>
                <w:sz w:val="18"/>
                <w:szCs w:val="18"/>
              </w:rPr>
              <w:object>
                <v:shape id="_x0000_i1676" o:spt="75" type="#_x0000_t75" style="height:28.5pt;width:93.75pt;" o:ole="t" filled="f" o:preferrelative="t" stroked="f" coordsize="21600,21600">
                  <v:path/>
                  <v:fill on="f" focussize="0,0"/>
                  <v:stroke on="f" joinstyle="miter"/>
                  <v:imagedata r:id="rId1278" o:title=""/>
                  <o:lock v:ext="edit" aspectratio="t"/>
                  <w10:wrap type="none"/>
                  <w10:anchorlock/>
                </v:shape>
                <o:OLEObject Type="Embed" ProgID="Equation.DSMT4" ShapeID="_x0000_i1676" DrawAspect="Content" ObjectID="_1468076376" r:id="rId1277">
                  <o:LockedField>false</o:LockedField>
                </o:OLEObject>
              </w:object>
            </w:r>
            <w:r>
              <w:rPr>
                <w:color w:val="auto"/>
                <w:sz w:val="18"/>
                <w:szCs w:val="18"/>
              </w:rPr>
              <w:t xml:space="preserve">                    (E.4)</w:t>
            </w:r>
          </w:p>
          <w:p w14:paraId="4D533F80">
            <w:pPr>
              <w:adjustRightInd w:val="0"/>
              <w:snapToGrid w:val="0"/>
              <w:ind w:left="540" w:hanging="540" w:hangingChars="300"/>
              <w:rPr>
                <w:color w:val="auto"/>
                <w:sz w:val="18"/>
                <w:szCs w:val="18"/>
              </w:rPr>
            </w:pPr>
            <w:r>
              <w:rPr>
                <w:color w:val="auto"/>
                <w:sz w:val="18"/>
                <w:szCs w:val="18"/>
              </w:rPr>
              <w:t xml:space="preserve">       式中  </w:t>
            </w:r>
            <w:r>
              <w:rPr>
                <w:color w:val="auto"/>
                <w:position w:val="-12"/>
                <w:sz w:val="18"/>
                <w:szCs w:val="18"/>
              </w:rPr>
              <w:object>
                <v:shape id="_x0000_i1677"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7" DrawAspect="Content" ObjectID="_1468076377" r:id="rId1279">
                  <o:LockedField>false</o:LockedField>
                </o:OLEObject>
              </w:object>
            </w:r>
            <w:r>
              <w:rPr>
                <w:color w:val="auto"/>
                <w:sz w:val="18"/>
                <w:szCs w:val="18"/>
              </w:rPr>
              <w:t>(min)为三者</w:t>
            </w:r>
            <w:r>
              <w:rPr>
                <w:color w:val="auto"/>
                <w:position w:val="-12"/>
                <w:sz w:val="18"/>
                <w:szCs w:val="18"/>
              </w:rPr>
              <w:object>
                <v:shape id="_x0000_i1678"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8" DrawAspect="Content" ObjectID="_1468076378" r:id="rId1280">
                  <o:LockedField>false</o:LockedField>
                </o:OLEObject>
              </w:object>
            </w:r>
            <w:r>
              <w:rPr>
                <w:color w:val="auto"/>
                <w:sz w:val="18"/>
                <w:szCs w:val="18"/>
              </w:rPr>
              <w:t>的最小值；</w:t>
            </w:r>
          </w:p>
          <w:p w14:paraId="0B48B760">
            <w:pPr>
              <w:adjustRightInd w:val="0"/>
              <w:snapToGrid w:val="0"/>
              <w:ind w:left="540" w:hanging="540" w:hangingChars="300"/>
              <w:rPr>
                <w:color w:val="auto"/>
                <w:sz w:val="18"/>
                <w:szCs w:val="18"/>
              </w:rPr>
            </w:pPr>
            <w:r>
              <w:rPr>
                <w:color w:val="auto"/>
                <w:sz w:val="18"/>
                <w:szCs w:val="18"/>
              </w:rPr>
              <w:t xml:space="preserve">             </w:t>
            </w:r>
            <w:r>
              <w:rPr>
                <w:color w:val="auto"/>
                <w:position w:val="-12"/>
                <w:sz w:val="18"/>
                <w:szCs w:val="18"/>
              </w:rPr>
              <w:object>
                <v:shape id="_x0000_i1679"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79" DrawAspect="Content" ObjectID="_1468076379" r:id="rId1281">
                  <o:LockedField>false</o:LockedField>
                </o:OLEObject>
              </w:object>
            </w:r>
            <w:r>
              <w:rPr>
                <w:color w:val="auto"/>
                <w:sz w:val="18"/>
                <w:szCs w:val="18"/>
              </w:rPr>
              <w:t>(avg)为三者</w:t>
            </w:r>
            <w:r>
              <w:rPr>
                <w:color w:val="auto"/>
                <w:position w:val="-12"/>
                <w:sz w:val="18"/>
                <w:szCs w:val="18"/>
              </w:rPr>
              <w:object>
                <v:shape id="_x0000_i1680"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80" DrawAspect="Content" ObjectID="_1468076380" r:id="rId1282">
                  <o:LockedField>false</o:LockedField>
                </o:OLEObject>
              </w:object>
            </w:r>
            <w:r>
              <w:rPr>
                <w:color w:val="auto"/>
                <w:sz w:val="18"/>
                <w:szCs w:val="18"/>
              </w:rPr>
              <w:t>的平均值。</w:t>
            </w:r>
          </w:p>
        </w:tc>
      </w:tr>
    </w:tbl>
    <w:p w14:paraId="30E10B5E">
      <w:pPr>
        <w:adjustRightInd w:val="0"/>
        <w:snapToGrid w:val="0"/>
        <w:ind w:left="540" w:hanging="540" w:hangingChars="300"/>
        <w:rPr>
          <w:color w:val="auto"/>
          <w:sz w:val="18"/>
        </w:rPr>
      </w:pPr>
    </w:p>
    <w:p w14:paraId="12A414C2">
      <w:pPr>
        <w:adjustRightInd w:val="0"/>
        <w:snapToGrid w:val="0"/>
        <w:spacing w:before="156" w:beforeLines="50" w:line="360" w:lineRule="atLeast"/>
        <w:jc w:val="center"/>
        <w:rPr>
          <w:rFonts w:eastAsia="黑体"/>
          <w:b/>
          <w:color w:val="auto"/>
          <w:szCs w:val="21"/>
        </w:rPr>
      </w:pPr>
    </w:p>
    <w:p w14:paraId="20024CB4">
      <w:pPr>
        <w:adjustRightInd w:val="0"/>
        <w:snapToGrid w:val="0"/>
        <w:spacing w:before="156" w:beforeLines="50" w:line="360" w:lineRule="atLeast"/>
        <w:jc w:val="center"/>
        <w:rPr>
          <w:rFonts w:eastAsia="黑体"/>
          <w:b/>
          <w:color w:val="auto"/>
          <w:szCs w:val="21"/>
        </w:rPr>
      </w:pPr>
      <w:r>
        <w:rPr>
          <w:rFonts w:eastAsia="黑体"/>
          <w:b/>
          <w:color w:val="auto"/>
          <w:szCs w:val="21"/>
        </w:rPr>
        <w:t>表E.17  老黏性土承载力特征值</w:t>
      </w:r>
      <w:r>
        <w:rPr>
          <w:rFonts w:eastAsia="黑体"/>
          <w:b/>
          <w:i/>
          <w:color w:val="auto"/>
          <w:szCs w:val="21"/>
        </w:rPr>
        <w:t>ƒ</w:t>
      </w:r>
      <w:r>
        <w:rPr>
          <w:rFonts w:eastAsia="黑体"/>
          <w:b/>
          <w:iCs/>
          <w:color w:val="auto"/>
          <w:szCs w:val="21"/>
          <w:vertAlign w:val="subscript"/>
        </w:rPr>
        <w:t>ak</w:t>
      </w:r>
    </w:p>
    <w:tbl>
      <w:tblPr>
        <w:tblStyle w:val="36"/>
        <w:tblW w:w="914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06"/>
        <w:gridCol w:w="834"/>
        <w:gridCol w:w="818"/>
        <w:gridCol w:w="825"/>
        <w:gridCol w:w="771"/>
        <w:gridCol w:w="758"/>
        <w:gridCol w:w="765"/>
        <w:gridCol w:w="769"/>
        <w:gridCol w:w="718"/>
        <w:gridCol w:w="806"/>
        <w:gridCol w:w="879"/>
      </w:tblGrid>
      <w:tr w14:paraId="1FB94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06" w:type="dxa"/>
            <w:vAlign w:val="center"/>
          </w:tcPr>
          <w:p w14:paraId="3BC3BB21">
            <w:pPr>
              <w:pStyle w:val="8"/>
              <w:spacing w:line="300" w:lineRule="exact"/>
              <w:rPr>
                <w:rFonts w:ascii="Times New Roman" w:hAnsi="Times New Roman"/>
                <w:color w:val="auto"/>
                <w:sz w:val="18"/>
                <w:szCs w:val="18"/>
              </w:rPr>
            </w:pPr>
            <w:r>
              <w:rPr>
                <w:rFonts w:ascii="Times New Roman" w:hAnsi="Times New Roman"/>
                <w:color w:val="auto"/>
                <w:sz w:val="18"/>
                <w:szCs w:val="18"/>
              </w:rPr>
              <w:t>N</w:t>
            </w:r>
          </w:p>
        </w:tc>
        <w:tc>
          <w:tcPr>
            <w:tcW w:w="834" w:type="dxa"/>
            <w:vAlign w:val="center"/>
          </w:tcPr>
          <w:p w14:paraId="4B9009BC">
            <w:pPr>
              <w:adjustRightInd w:val="0"/>
              <w:snapToGrid w:val="0"/>
              <w:spacing w:line="260" w:lineRule="exact"/>
              <w:jc w:val="center"/>
              <w:rPr>
                <w:color w:val="auto"/>
                <w:sz w:val="18"/>
                <w:szCs w:val="18"/>
              </w:rPr>
            </w:pPr>
            <w:r>
              <w:rPr>
                <w:color w:val="auto"/>
                <w:sz w:val="18"/>
                <w:szCs w:val="18"/>
              </w:rPr>
              <w:t>13</w:t>
            </w:r>
          </w:p>
        </w:tc>
        <w:tc>
          <w:tcPr>
            <w:tcW w:w="818" w:type="dxa"/>
            <w:vAlign w:val="center"/>
          </w:tcPr>
          <w:p w14:paraId="40647985">
            <w:pPr>
              <w:adjustRightInd w:val="0"/>
              <w:snapToGrid w:val="0"/>
              <w:spacing w:line="260" w:lineRule="exact"/>
              <w:jc w:val="center"/>
              <w:rPr>
                <w:color w:val="auto"/>
                <w:sz w:val="18"/>
                <w:szCs w:val="18"/>
              </w:rPr>
            </w:pPr>
            <w:r>
              <w:rPr>
                <w:color w:val="auto"/>
                <w:sz w:val="18"/>
                <w:szCs w:val="18"/>
              </w:rPr>
              <w:t>14</w:t>
            </w:r>
          </w:p>
        </w:tc>
        <w:tc>
          <w:tcPr>
            <w:tcW w:w="825" w:type="dxa"/>
            <w:vAlign w:val="center"/>
          </w:tcPr>
          <w:p w14:paraId="40A09D7E">
            <w:pPr>
              <w:adjustRightInd w:val="0"/>
              <w:snapToGrid w:val="0"/>
              <w:spacing w:line="260" w:lineRule="exact"/>
              <w:jc w:val="center"/>
              <w:rPr>
                <w:color w:val="auto"/>
                <w:sz w:val="18"/>
                <w:szCs w:val="18"/>
              </w:rPr>
            </w:pPr>
            <w:r>
              <w:rPr>
                <w:color w:val="auto"/>
                <w:sz w:val="18"/>
                <w:szCs w:val="18"/>
              </w:rPr>
              <w:t>15</w:t>
            </w:r>
          </w:p>
        </w:tc>
        <w:tc>
          <w:tcPr>
            <w:tcW w:w="771" w:type="dxa"/>
            <w:vAlign w:val="center"/>
          </w:tcPr>
          <w:p w14:paraId="56D35D11">
            <w:pPr>
              <w:adjustRightInd w:val="0"/>
              <w:snapToGrid w:val="0"/>
              <w:spacing w:line="260" w:lineRule="exact"/>
              <w:jc w:val="center"/>
              <w:rPr>
                <w:color w:val="auto"/>
                <w:sz w:val="18"/>
                <w:szCs w:val="18"/>
              </w:rPr>
            </w:pPr>
            <w:r>
              <w:rPr>
                <w:color w:val="auto"/>
                <w:sz w:val="18"/>
                <w:szCs w:val="18"/>
              </w:rPr>
              <w:t>16</w:t>
            </w:r>
          </w:p>
        </w:tc>
        <w:tc>
          <w:tcPr>
            <w:tcW w:w="758" w:type="dxa"/>
            <w:vAlign w:val="center"/>
          </w:tcPr>
          <w:p w14:paraId="17F1B5EE">
            <w:pPr>
              <w:adjustRightInd w:val="0"/>
              <w:snapToGrid w:val="0"/>
              <w:spacing w:line="260" w:lineRule="exact"/>
              <w:jc w:val="center"/>
              <w:rPr>
                <w:color w:val="auto"/>
                <w:sz w:val="18"/>
                <w:szCs w:val="18"/>
              </w:rPr>
            </w:pPr>
            <w:r>
              <w:rPr>
                <w:color w:val="auto"/>
                <w:sz w:val="18"/>
                <w:szCs w:val="18"/>
              </w:rPr>
              <w:t>17</w:t>
            </w:r>
          </w:p>
        </w:tc>
        <w:tc>
          <w:tcPr>
            <w:tcW w:w="765" w:type="dxa"/>
            <w:vAlign w:val="center"/>
          </w:tcPr>
          <w:p w14:paraId="71794AB8">
            <w:pPr>
              <w:adjustRightInd w:val="0"/>
              <w:snapToGrid w:val="0"/>
              <w:spacing w:line="260" w:lineRule="exact"/>
              <w:jc w:val="center"/>
              <w:rPr>
                <w:color w:val="auto"/>
                <w:sz w:val="18"/>
                <w:szCs w:val="18"/>
              </w:rPr>
            </w:pPr>
            <w:r>
              <w:rPr>
                <w:color w:val="auto"/>
                <w:sz w:val="18"/>
                <w:szCs w:val="18"/>
              </w:rPr>
              <w:t>18</w:t>
            </w:r>
          </w:p>
        </w:tc>
        <w:tc>
          <w:tcPr>
            <w:tcW w:w="769" w:type="dxa"/>
            <w:vAlign w:val="center"/>
          </w:tcPr>
          <w:p w14:paraId="46270F4C">
            <w:pPr>
              <w:adjustRightInd w:val="0"/>
              <w:snapToGrid w:val="0"/>
              <w:spacing w:line="260" w:lineRule="exact"/>
              <w:jc w:val="center"/>
              <w:rPr>
                <w:color w:val="auto"/>
                <w:sz w:val="18"/>
                <w:szCs w:val="18"/>
              </w:rPr>
            </w:pPr>
            <w:r>
              <w:rPr>
                <w:color w:val="auto"/>
                <w:sz w:val="18"/>
                <w:szCs w:val="18"/>
              </w:rPr>
              <w:t>19</w:t>
            </w:r>
          </w:p>
        </w:tc>
        <w:tc>
          <w:tcPr>
            <w:tcW w:w="718" w:type="dxa"/>
            <w:vAlign w:val="center"/>
          </w:tcPr>
          <w:p w14:paraId="31C589ED">
            <w:pPr>
              <w:adjustRightInd w:val="0"/>
              <w:snapToGrid w:val="0"/>
              <w:spacing w:line="260" w:lineRule="exact"/>
              <w:jc w:val="center"/>
              <w:rPr>
                <w:color w:val="auto"/>
                <w:sz w:val="18"/>
                <w:szCs w:val="18"/>
              </w:rPr>
            </w:pPr>
            <w:r>
              <w:rPr>
                <w:color w:val="auto"/>
                <w:sz w:val="18"/>
                <w:szCs w:val="18"/>
              </w:rPr>
              <w:t>20</w:t>
            </w:r>
          </w:p>
        </w:tc>
        <w:tc>
          <w:tcPr>
            <w:tcW w:w="806" w:type="dxa"/>
            <w:vAlign w:val="center"/>
          </w:tcPr>
          <w:p w14:paraId="41F57050">
            <w:pPr>
              <w:adjustRightInd w:val="0"/>
              <w:snapToGrid w:val="0"/>
              <w:spacing w:line="260" w:lineRule="exact"/>
              <w:jc w:val="center"/>
              <w:rPr>
                <w:color w:val="auto"/>
                <w:sz w:val="18"/>
                <w:szCs w:val="18"/>
              </w:rPr>
            </w:pPr>
            <w:r>
              <w:rPr>
                <w:color w:val="auto"/>
                <w:sz w:val="18"/>
                <w:szCs w:val="18"/>
              </w:rPr>
              <w:t>21</w:t>
            </w:r>
          </w:p>
        </w:tc>
        <w:tc>
          <w:tcPr>
            <w:tcW w:w="879" w:type="dxa"/>
            <w:vAlign w:val="center"/>
          </w:tcPr>
          <w:p w14:paraId="42CB55C5">
            <w:pPr>
              <w:adjustRightInd w:val="0"/>
              <w:snapToGrid w:val="0"/>
              <w:spacing w:line="260" w:lineRule="exact"/>
              <w:jc w:val="center"/>
              <w:rPr>
                <w:color w:val="auto"/>
                <w:sz w:val="18"/>
                <w:szCs w:val="18"/>
              </w:rPr>
            </w:pPr>
            <w:r>
              <w:rPr>
                <w:color w:val="auto"/>
                <w:sz w:val="18"/>
                <w:szCs w:val="18"/>
              </w:rPr>
              <w:t>22</w:t>
            </w:r>
          </w:p>
        </w:tc>
      </w:tr>
      <w:tr w14:paraId="2D30E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06" w:type="dxa"/>
            <w:vAlign w:val="center"/>
          </w:tcPr>
          <w:p w14:paraId="12D37AA6">
            <w:pPr>
              <w:adjustRightInd w:val="0"/>
              <w:snapToGrid w:val="0"/>
              <w:spacing w:line="240" w:lineRule="atLeast"/>
              <w:jc w:val="center"/>
              <w:rPr>
                <w:color w:val="auto"/>
                <w:sz w:val="18"/>
                <w:szCs w:val="18"/>
              </w:rPr>
            </w:pPr>
            <w:r>
              <w:rPr>
                <w:color w:val="auto"/>
                <w:position w:val="-12"/>
                <w:sz w:val="18"/>
                <w:szCs w:val="18"/>
              </w:rPr>
              <w:object>
                <v:shape id="_x0000_i1681" o:spt="75" type="#_x0000_t75" style="height:21.75pt;width:14.25pt;" o:ole="t" filled="f" o:preferrelative="t" stroked="f" coordsize="21600,21600">
                  <v:path/>
                  <v:fill on="f" focussize="0,0"/>
                  <v:stroke on="f" joinstyle="miter"/>
                  <v:imagedata r:id="rId1284" o:title=""/>
                  <o:lock v:ext="edit" aspectratio="t"/>
                  <w10:wrap type="none"/>
                  <w10:anchorlock/>
                </v:shape>
                <o:OLEObject Type="Embed" ProgID="Equation.DSMT4" ShapeID="_x0000_i1681" DrawAspect="Content" ObjectID="_1468076381" r:id="rId1283">
                  <o:LockedField>false</o:LockedField>
                </o:OLEObject>
              </w:object>
            </w:r>
            <w:r>
              <w:rPr>
                <w:color w:val="auto"/>
                <w:sz w:val="18"/>
                <w:szCs w:val="18"/>
              </w:rPr>
              <w:t>（kPa）</w:t>
            </w:r>
          </w:p>
        </w:tc>
        <w:tc>
          <w:tcPr>
            <w:tcW w:w="834" w:type="dxa"/>
            <w:vAlign w:val="center"/>
          </w:tcPr>
          <w:p w14:paraId="41B55E44">
            <w:pPr>
              <w:adjustRightInd w:val="0"/>
              <w:snapToGrid w:val="0"/>
              <w:spacing w:line="260" w:lineRule="exact"/>
              <w:jc w:val="center"/>
              <w:rPr>
                <w:color w:val="auto"/>
                <w:sz w:val="18"/>
                <w:szCs w:val="18"/>
              </w:rPr>
            </w:pPr>
            <w:r>
              <w:rPr>
                <w:color w:val="auto"/>
                <w:sz w:val="18"/>
                <w:szCs w:val="18"/>
              </w:rPr>
              <w:t>330</w:t>
            </w:r>
          </w:p>
        </w:tc>
        <w:tc>
          <w:tcPr>
            <w:tcW w:w="818" w:type="dxa"/>
            <w:vAlign w:val="center"/>
          </w:tcPr>
          <w:p w14:paraId="271F9928">
            <w:pPr>
              <w:adjustRightInd w:val="0"/>
              <w:snapToGrid w:val="0"/>
              <w:spacing w:line="260" w:lineRule="exact"/>
              <w:jc w:val="center"/>
              <w:rPr>
                <w:color w:val="auto"/>
                <w:sz w:val="18"/>
                <w:szCs w:val="18"/>
              </w:rPr>
            </w:pPr>
            <w:r>
              <w:rPr>
                <w:color w:val="auto"/>
                <w:sz w:val="18"/>
                <w:szCs w:val="18"/>
              </w:rPr>
              <w:t>360</w:t>
            </w:r>
          </w:p>
        </w:tc>
        <w:tc>
          <w:tcPr>
            <w:tcW w:w="825" w:type="dxa"/>
            <w:vAlign w:val="center"/>
          </w:tcPr>
          <w:p w14:paraId="7FA52441">
            <w:pPr>
              <w:adjustRightInd w:val="0"/>
              <w:snapToGrid w:val="0"/>
              <w:spacing w:line="260" w:lineRule="exact"/>
              <w:jc w:val="center"/>
              <w:rPr>
                <w:color w:val="auto"/>
                <w:sz w:val="18"/>
                <w:szCs w:val="18"/>
              </w:rPr>
            </w:pPr>
            <w:r>
              <w:rPr>
                <w:color w:val="auto"/>
                <w:sz w:val="18"/>
                <w:szCs w:val="18"/>
              </w:rPr>
              <w:t>390</w:t>
            </w:r>
          </w:p>
        </w:tc>
        <w:tc>
          <w:tcPr>
            <w:tcW w:w="771" w:type="dxa"/>
            <w:vAlign w:val="center"/>
          </w:tcPr>
          <w:p w14:paraId="18C7FAF0">
            <w:pPr>
              <w:adjustRightInd w:val="0"/>
              <w:snapToGrid w:val="0"/>
              <w:spacing w:line="260" w:lineRule="exact"/>
              <w:jc w:val="center"/>
              <w:rPr>
                <w:color w:val="auto"/>
                <w:sz w:val="18"/>
                <w:szCs w:val="18"/>
              </w:rPr>
            </w:pPr>
            <w:r>
              <w:rPr>
                <w:color w:val="auto"/>
                <w:sz w:val="18"/>
                <w:szCs w:val="18"/>
              </w:rPr>
              <w:t>420</w:t>
            </w:r>
          </w:p>
        </w:tc>
        <w:tc>
          <w:tcPr>
            <w:tcW w:w="758" w:type="dxa"/>
            <w:vAlign w:val="center"/>
          </w:tcPr>
          <w:p w14:paraId="46A995AC">
            <w:pPr>
              <w:adjustRightInd w:val="0"/>
              <w:snapToGrid w:val="0"/>
              <w:spacing w:line="260" w:lineRule="exact"/>
              <w:jc w:val="center"/>
              <w:rPr>
                <w:color w:val="auto"/>
                <w:sz w:val="18"/>
                <w:szCs w:val="18"/>
              </w:rPr>
            </w:pPr>
            <w:r>
              <w:rPr>
                <w:color w:val="auto"/>
                <w:sz w:val="18"/>
                <w:szCs w:val="18"/>
              </w:rPr>
              <w:t>450</w:t>
            </w:r>
          </w:p>
        </w:tc>
        <w:tc>
          <w:tcPr>
            <w:tcW w:w="765" w:type="dxa"/>
            <w:vAlign w:val="center"/>
          </w:tcPr>
          <w:p w14:paraId="5BE72EB9">
            <w:pPr>
              <w:adjustRightInd w:val="0"/>
              <w:snapToGrid w:val="0"/>
              <w:spacing w:line="260" w:lineRule="exact"/>
              <w:jc w:val="center"/>
              <w:rPr>
                <w:color w:val="auto"/>
                <w:sz w:val="18"/>
                <w:szCs w:val="18"/>
              </w:rPr>
            </w:pPr>
            <w:r>
              <w:rPr>
                <w:color w:val="auto"/>
                <w:sz w:val="18"/>
                <w:szCs w:val="18"/>
              </w:rPr>
              <w:t>480</w:t>
            </w:r>
          </w:p>
        </w:tc>
        <w:tc>
          <w:tcPr>
            <w:tcW w:w="769" w:type="dxa"/>
            <w:vAlign w:val="center"/>
          </w:tcPr>
          <w:p w14:paraId="3777A73A">
            <w:pPr>
              <w:adjustRightInd w:val="0"/>
              <w:snapToGrid w:val="0"/>
              <w:spacing w:line="260" w:lineRule="exact"/>
              <w:jc w:val="center"/>
              <w:rPr>
                <w:color w:val="auto"/>
                <w:sz w:val="18"/>
                <w:szCs w:val="18"/>
              </w:rPr>
            </w:pPr>
            <w:r>
              <w:rPr>
                <w:color w:val="auto"/>
                <w:sz w:val="18"/>
                <w:szCs w:val="18"/>
              </w:rPr>
              <w:t>510</w:t>
            </w:r>
          </w:p>
        </w:tc>
        <w:tc>
          <w:tcPr>
            <w:tcW w:w="718" w:type="dxa"/>
            <w:vAlign w:val="center"/>
          </w:tcPr>
          <w:p w14:paraId="063B3593">
            <w:pPr>
              <w:adjustRightInd w:val="0"/>
              <w:snapToGrid w:val="0"/>
              <w:spacing w:line="260" w:lineRule="exact"/>
              <w:jc w:val="center"/>
              <w:rPr>
                <w:color w:val="auto"/>
                <w:sz w:val="18"/>
                <w:szCs w:val="18"/>
              </w:rPr>
            </w:pPr>
            <w:r>
              <w:rPr>
                <w:color w:val="auto"/>
                <w:sz w:val="18"/>
                <w:szCs w:val="18"/>
              </w:rPr>
              <w:t>540</w:t>
            </w:r>
          </w:p>
        </w:tc>
        <w:tc>
          <w:tcPr>
            <w:tcW w:w="806" w:type="dxa"/>
            <w:vAlign w:val="center"/>
          </w:tcPr>
          <w:p w14:paraId="4A5185B7">
            <w:pPr>
              <w:adjustRightInd w:val="0"/>
              <w:snapToGrid w:val="0"/>
              <w:spacing w:line="260" w:lineRule="exact"/>
              <w:jc w:val="center"/>
              <w:rPr>
                <w:color w:val="auto"/>
                <w:sz w:val="18"/>
                <w:szCs w:val="18"/>
              </w:rPr>
            </w:pPr>
            <w:r>
              <w:rPr>
                <w:color w:val="auto"/>
                <w:sz w:val="18"/>
                <w:szCs w:val="18"/>
              </w:rPr>
              <w:t>570</w:t>
            </w:r>
          </w:p>
        </w:tc>
        <w:tc>
          <w:tcPr>
            <w:tcW w:w="879" w:type="dxa"/>
            <w:vAlign w:val="center"/>
          </w:tcPr>
          <w:p w14:paraId="4F6EAAC4">
            <w:pPr>
              <w:adjustRightInd w:val="0"/>
              <w:snapToGrid w:val="0"/>
              <w:spacing w:line="260" w:lineRule="exact"/>
              <w:jc w:val="center"/>
              <w:rPr>
                <w:color w:val="auto"/>
                <w:sz w:val="18"/>
                <w:szCs w:val="18"/>
              </w:rPr>
            </w:pPr>
            <w:r>
              <w:rPr>
                <w:color w:val="auto"/>
                <w:sz w:val="18"/>
                <w:szCs w:val="18"/>
              </w:rPr>
              <w:t>（610）</w:t>
            </w:r>
          </w:p>
        </w:tc>
      </w:tr>
    </w:tbl>
    <w:p w14:paraId="37E24304">
      <w:pPr>
        <w:adjustRightInd w:val="0"/>
        <w:snapToGrid w:val="0"/>
        <w:ind w:left="540" w:hanging="540" w:hangingChars="300"/>
        <w:rPr>
          <w:color w:val="auto"/>
          <w:sz w:val="18"/>
        </w:rPr>
      </w:pPr>
    </w:p>
    <w:p w14:paraId="03B6F79E">
      <w:pPr>
        <w:adjustRightInd w:val="0"/>
        <w:snapToGrid w:val="0"/>
        <w:spacing w:before="156" w:beforeLines="50" w:line="360" w:lineRule="atLeast"/>
        <w:jc w:val="center"/>
        <w:rPr>
          <w:rFonts w:eastAsia="黑体"/>
          <w:b/>
          <w:color w:val="auto"/>
          <w:szCs w:val="21"/>
        </w:rPr>
      </w:pPr>
      <w:r>
        <w:rPr>
          <w:rFonts w:eastAsia="黑体"/>
          <w:b/>
          <w:color w:val="auto"/>
          <w:szCs w:val="21"/>
        </w:rPr>
        <w:t>表E.18  老黏性土承载力特征值</w:t>
      </w:r>
      <w:r>
        <w:rPr>
          <w:rFonts w:eastAsia="黑体"/>
          <w:b/>
          <w:i/>
          <w:color w:val="auto"/>
          <w:szCs w:val="21"/>
        </w:rPr>
        <w:t>ƒ</w:t>
      </w:r>
      <w:r>
        <w:rPr>
          <w:rFonts w:eastAsia="黑体"/>
          <w:b/>
          <w:iCs/>
          <w:color w:val="auto"/>
          <w:szCs w:val="21"/>
          <w:vertAlign w:val="subscript"/>
        </w:rPr>
        <w:t>ak</w:t>
      </w:r>
    </w:p>
    <w:tbl>
      <w:tblPr>
        <w:tblStyle w:val="36"/>
        <w:tblW w:w="91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61"/>
        <w:gridCol w:w="1239"/>
        <w:gridCol w:w="1092"/>
        <w:gridCol w:w="1052"/>
        <w:gridCol w:w="1053"/>
        <w:gridCol w:w="1082"/>
        <w:gridCol w:w="1136"/>
        <w:gridCol w:w="1026"/>
      </w:tblGrid>
      <w:tr w14:paraId="07AFB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1461" w:type="dxa"/>
            <w:vAlign w:val="center"/>
          </w:tcPr>
          <w:p w14:paraId="5322DEA2">
            <w:pPr>
              <w:adjustRightInd w:val="0"/>
              <w:snapToGrid w:val="0"/>
              <w:spacing w:line="300" w:lineRule="exact"/>
              <w:ind w:left="119"/>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1239" w:type="dxa"/>
            <w:vAlign w:val="center"/>
          </w:tcPr>
          <w:p w14:paraId="534589C6">
            <w:pPr>
              <w:adjustRightInd w:val="0"/>
              <w:snapToGrid w:val="0"/>
              <w:spacing w:line="260" w:lineRule="exact"/>
              <w:jc w:val="center"/>
              <w:rPr>
                <w:color w:val="auto"/>
                <w:sz w:val="18"/>
                <w:szCs w:val="18"/>
              </w:rPr>
            </w:pPr>
            <w:r>
              <w:rPr>
                <w:color w:val="auto"/>
                <w:sz w:val="18"/>
                <w:szCs w:val="18"/>
              </w:rPr>
              <w:t>3.0</w:t>
            </w:r>
          </w:p>
        </w:tc>
        <w:tc>
          <w:tcPr>
            <w:tcW w:w="1092" w:type="dxa"/>
            <w:vAlign w:val="center"/>
          </w:tcPr>
          <w:p w14:paraId="07217AE0">
            <w:pPr>
              <w:adjustRightInd w:val="0"/>
              <w:snapToGrid w:val="0"/>
              <w:spacing w:line="260" w:lineRule="exact"/>
              <w:jc w:val="center"/>
              <w:rPr>
                <w:color w:val="auto"/>
                <w:sz w:val="18"/>
                <w:szCs w:val="18"/>
              </w:rPr>
            </w:pPr>
            <w:r>
              <w:rPr>
                <w:color w:val="auto"/>
                <w:sz w:val="18"/>
                <w:szCs w:val="18"/>
              </w:rPr>
              <w:t>3.3</w:t>
            </w:r>
          </w:p>
        </w:tc>
        <w:tc>
          <w:tcPr>
            <w:tcW w:w="1052" w:type="dxa"/>
            <w:vAlign w:val="center"/>
          </w:tcPr>
          <w:p w14:paraId="76D4A8B8">
            <w:pPr>
              <w:adjustRightInd w:val="0"/>
              <w:snapToGrid w:val="0"/>
              <w:spacing w:line="260" w:lineRule="exact"/>
              <w:jc w:val="center"/>
              <w:rPr>
                <w:color w:val="auto"/>
                <w:sz w:val="18"/>
                <w:szCs w:val="18"/>
              </w:rPr>
            </w:pPr>
            <w:r>
              <w:rPr>
                <w:color w:val="auto"/>
                <w:sz w:val="18"/>
                <w:szCs w:val="18"/>
              </w:rPr>
              <w:t>3.6</w:t>
            </w:r>
          </w:p>
        </w:tc>
        <w:tc>
          <w:tcPr>
            <w:tcW w:w="1053" w:type="dxa"/>
            <w:vAlign w:val="center"/>
          </w:tcPr>
          <w:p w14:paraId="08F6AE64">
            <w:pPr>
              <w:adjustRightInd w:val="0"/>
              <w:snapToGrid w:val="0"/>
              <w:spacing w:line="260" w:lineRule="exact"/>
              <w:jc w:val="center"/>
              <w:rPr>
                <w:color w:val="auto"/>
                <w:sz w:val="18"/>
                <w:szCs w:val="18"/>
              </w:rPr>
            </w:pPr>
            <w:r>
              <w:rPr>
                <w:color w:val="auto"/>
                <w:sz w:val="18"/>
                <w:szCs w:val="18"/>
              </w:rPr>
              <w:t>3.9</w:t>
            </w:r>
          </w:p>
        </w:tc>
        <w:tc>
          <w:tcPr>
            <w:tcW w:w="1082" w:type="dxa"/>
            <w:vAlign w:val="center"/>
          </w:tcPr>
          <w:p w14:paraId="18F5AE2D">
            <w:pPr>
              <w:adjustRightInd w:val="0"/>
              <w:snapToGrid w:val="0"/>
              <w:spacing w:line="260" w:lineRule="exact"/>
              <w:jc w:val="center"/>
              <w:rPr>
                <w:color w:val="auto"/>
                <w:sz w:val="18"/>
                <w:szCs w:val="18"/>
              </w:rPr>
            </w:pPr>
            <w:r>
              <w:rPr>
                <w:color w:val="auto"/>
                <w:sz w:val="18"/>
                <w:szCs w:val="18"/>
              </w:rPr>
              <w:t>4.2</w:t>
            </w:r>
          </w:p>
        </w:tc>
        <w:tc>
          <w:tcPr>
            <w:tcW w:w="1136" w:type="dxa"/>
            <w:vAlign w:val="center"/>
          </w:tcPr>
          <w:p w14:paraId="14D60A9D">
            <w:pPr>
              <w:adjustRightInd w:val="0"/>
              <w:snapToGrid w:val="0"/>
              <w:spacing w:line="260" w:lineRule="exact"/>
              <w:jc w:val="center"/>
              <w:rPr>
                <w:color w:val="auto"/>
                <w:sz w:val="18"/>
                <w:szCs w:val="18"/>
              </w:rPr>
            </w:pPr>
            <w:r>
              <w:rPr>
                <w:color w:val="auto"/>
                <w:sz w:val="18"/>
                <w:szCs w:val="18"/>
              </w:rPr>
              <w:t>4.5</w:t>
            </w:r>
          </w:p>
        </w:tc>
        <w:tc>
          <w:tcPr>
            <w:tcW w:w="1026" w:type="dxa"/>
            <w:vAlign w:val="center"/>
          </w:tcPr>
          <w:p w14:paraId="6210B95B">
            <w:pPr>
              <w:adjustRightInd w:val="0"/>
              <w:snapToGrid w:val="0"/>
              <w:spacing w:line="260" w:lineRule="exact"/>
              <w:jc w:val="center"/>
              <w:rPr>
                <w:color w:val="auto"/>
                <w:sz w:val="18"/>
                <w:szCs w:val="18"/>
              </w:rPr>
            </w:pPr>
            <w:r>
              <w:rPr>
                <w:color w:val="auto"/>
                <w:sz w:val="18"/>
                <w:szCs w:val="18"/>
              </w:rPr>
              <w:t>4.8</w:t>
            </w:r>
          </w:p>
        </w:tc>
      </w:tr>
      <w:tr w14:paraId="2AAF4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1461" w:type="dxa"/>
            <w:vAlign w:val="center"/>
          </w:tcPr>
          <w:p w14:paraId="0550C6B2">
            <w:pPr>
              <w:adjustRightInd w:val="0"/>
              <w:snapToGrid w:val="0"/>
              <w:ind w:left="119"/>
              <w:jc w:val="center"/>
              <w:rPr>
                <w:color w:val="auto"/>
                <w:sz w:val="18"/>
                <w:szCs w:val="18"/>
              </w:rPr>
            </w:pPr>
            <w:r>
              <w:rPr>
                <w:color w:val="auto"/>
                <w:position w:val="-12"/>
                <w:sz w:val="18"/>
                <w:szCs w:val="18"/>
              </w:rPr>
              <w:object>
                <v:shape id="_x0000_i1682" o:spt="75" type="#_x0000_t75" style="height:21.75pt;width:14.25pt;" o:ole="t" filled="f" o:preferrelative="t" stroked="f" coordsize="21600,21600">
                  <v:path/>
                  <v:fill on="f" focussize="0,0"/>
                  <v:stroke on="f" joinstyle="miter"/>
                  <v:imagedata r:id="rId1272" o:title=""/>
                  <o:lock v:ext="edit" aspectratio="t"/>
                  <w10:wrap type="none"/>
                  <w10:anchorlock/>
                </v:shape>
                <o:OLEObject Type="Embed" ProgID="Equation.DSMT4" ShapeID="_x0000_i1682" DrawAspect="Content" ObjectID="_1468076382" r:id="rId1285">
                  <o:LockedField>false</o:LockedField>
                </o:OLEObject>
              </w:object>
            </w:r>
            <w:r>
              <w:rPr>
                <w:color w:val="auto"/>
                <w:sz w:val="18"/>
                <w:szCs w:val="18"/>
              </w:rPr>
              <w:t>（kPa）</w:t>
            </w:r>
          </w:p>
        </w:tc>
        <w:tc>
          <w:tcPr>
            <w:tcW w:w="1239" w:type="dxa"/>
            <w:vAlign w:val="center"/>
          </w:tcPr>
          <w:p w14:paraId="4B6A6B3D">
            <w:pPr>
              <w:adjustRightInd w:val="0"/>
              <w:snapToGrid w:val="0"/>
              <w:spacing w:line="260" w:lineRule="exact"/>
              <w:jc w:val="center"/>
              <w:rPr>
                <w:color w:val="auto"/>
                <w:sz w:val="18"/>
                <w:szCs w:val="18"/>
              </w:rPr>
            </w:pPr>
            <w:r>
              <w:rPr>
                <w:color w:val="auto"/>
                <w:sz w:val="18"/>
                <w:szCs w:val="18"/>
              </w:rPr>
              <w:t>320</w:t>
            </w:r>
          </w:p>
        </w:tc>
        <w:tc>
          <w:tcPr>
            <w:tcW w:w="1092" w:type="dxa"/>
            <w:vAlign w:val="center"/>
          </w:tcPr>
          <w:p w14:paraId="2A333F91">
            <w:pPr>
              <w:adjustRightInd w:val="0"/>
              <w:snapToGrid w:val="0"/>
              <w:spacing w:line="260" w:lineRule="exact"/>
              <w:jc w:val="center"/>
              <w:rPr>
                <w:color w:val="auto"/>
                <w:sz w:val="18"/>
                <w:szCs w:val="18"/>
              </w:rPr>
            </w:pPr>
            <w:r>
              <w:rPr>
                <w:color w:val="auto"/>
                <w:sz w:val="18"/>
                <w:szCs w:val="18"/>
              </w:rPr>
              <w:t>360</w:t>
            </w:r>
          </w:p>
        </w:tc>
        <w:tc>
          <w:tcPr>
            <w:tcW w:w="1052" w:type="dxa"/>
            <w:vAlign w:val="center"/>
          </w:tcPr>
          <w:p w14:paraId="10DE84B6">
            <w:pPr>
              <w:adjustRightInd w:val="0"/>
              <w:snapToGrid w:val="0"/>
              <w:spacing w:line="260" w:lineRule="exact"/>
              <w:jc w:val="center"/>
              <w:rPr>
                <w:color w:val="auto"/>
                <w:sz w:val="18"/>
                <w:szCs w:val="18"/>
              </w:rPr>
            </w:pPr>
            <w:r>
              <w:rPr>
                <w:color w:val="auto"/>
                <w:sz w:val="18"/>
                <w:szCs w:val="18"/>
              </w:rPr>
              <w:t>400</w:t>
            </w:r>
          </w:p>
        </w:tc>
        <w:tc>
          <w:tcPr>
            <w:tcW w:w="1053" w:type="dxa"/>
            <w:vAlign w:val="center"/>
          </w:tcPr>
          <w:p w14:paraId="30474C74">
            <w:pPr>
              <w:adjustRightInd w:val="0"/>
              <w:snapToGrid w:val="0"/>
              <w:spacing w:line="260" w:lineRule="exact"/>
              <w:jc w:val="center"/>
              <w:rPr>
                <w:color w:val="auto"/>
                <w:sz w:val="18"/>
                <w:szCs w:val="18"/>
              </w:rPr>
            </w:pPr>
            <w:r>
              <w:rPr>
                <w:color w:val="auto"/>
                <w:sz w:val="18"/>
                <w:szCs w:val="18"/>
              </w:rPr>
              <w:t>450</w:t>
            </w:r>
          </w:p>
        </w:tc>
        <w:tc>
          <w:tcPr>
            <w:tcW w:w="1082" w:type="dxa"/>
            <w:vAlign w:val="center"/>
          </w:tcPr>
          <w:p w14:paraId="3E12CA1D">
            <w:pPr>
              <w:adjustRightInd w:val="0"/>
              <w:snapToGrid w:val="0"/>
              <w:spacing w:line="260" w:lineRule="exact"/>
              <w:jc w:val="center"/>
              <w:rPr>
                <w:color w:val="auto"/>
                <w:sz w:val="18"/>
                <w:szCs w:val="18"/>
              </w:rPr>
            </w:pPr>
            <w:r>
              <w:rPr>
                <w:color w:val="auto"/>
                <w:sz w:val="18"/>
                <w:szCs w:val="18"/>
              </w:rPr>
              <w:t>500</w:t>
            </w:r>
          </w:p>
        </w:tc>
        <w:tc>
          <w:tcPr>
            <w:tcW w:w="1136" w:type="dxa"/>
            <w:vAlign w:val="center"/>
          </w:tcPr>
          <w:p w14:paraId="46446485">
            <w:pPr>
              <w:adjustRightInd w:val="0"/>
              <w:snapToGrid w:val="0"/>
              <w:spacing w:line="260" w:lineRule="exact"/>
              <w:jc w:val="center"/>
              <w:rPr>
                <w:color w:val="auto"/>
                <w:sz w:val="18"/>
                <w:szCs w:val="18"/>
              </w:rPr>
            </w:pPr>
            <w:r>
              <w:rPr>
                <w:color w:val="auto"/>
                <w:sz w:val="18"/>
                <w:szCs w:val="18"/>
              </w:rPr>
              <w:t>560</w:t>
            </w:r>
          </w:p>
        </w:tc>
        <w:tc>
          <w:tcPr>
            <w:tcW w:w="1026" w:type="dxa"/>
            <w:vAlign w:val="center"/>
          </w:tcPr>
          <w:p w14:paraId="43E77B68">
            <w:pPr>
              <w:adjustRightInd w:val="0"/>
              <w:snapToGrid w:val="0"/>
              <w:spacing w:line="260" w:lineRule="exact"/>
              <w:jc w:val="center"/>
              <w:rPr>
                <w:color w:val="auto"/>
                <w:sz w:val="18"/>
                <w:szCs w:val="18"/>
              </w:rPr>
            </w:pPr>
            <w:r>
              <w:rPr>
                <w:color w:val="auto"/>
                <w:sz w:val="18"/>
                <w:szCs w:val="18"/>
              </w:rPr>
              <w:t>（610）</w:t>
            </w:r>
          </w:p>
        </w:tc>
      </w:tr>
    </w:tbl>
    <w:p w14:paraId="7937CAB2">
      <w:pPr>
        <w:adjustRightInd w:val="0"/>
        <w:snapToGrid w:val="0"/>
        <w:spacing w:before="312" w:beforeLines="100" w:line="360" w:lineRule="atLeast"/>
        <w:jc w:val="center"/>
        <w:rPr>
          <w:rFonts w:eastAsia="黑体"/>
          <w:b/>
          <w:color w:val="auto"/>
          <w:szCs w:val="21"/>
        </w:rPr>
      </w:pPr>
      <w:r>
        <w:rPr>
          <w:rFonts w:eastAsia="黑体"/>
          <w:b/>
          <w:color w:val="auto"/>
          <w:szCs w:val="21"/>
        </w:rPr>
        <w:t>表E.19  素填土承载力特征值</w:t>
      </w:r>
      <w:r>
        <w:rPr>
          <w:rFonts w:eastAsia="黑体"/>
          <w:b/>
          <w:i/>
          <w:color w:val="auto"/>
          <w:szCs w:val="21"/>
        </w:rPr>
        <w:t>ƒ</w:t>
      </w:r>
      <w:r>
        <w:rPr>
          <w:rFonts w:eastAsia="黑体"/>
          <w:b/>
          <w:iCs/>
          <w:color w:val="auto"/>
          <w:szCs w:val="21"/>
          <w:vertAlign w:val="subscript"/>
        </w:rPr>
        <w:t>ak</w:t>
      </w:r>
    </w:p>
    <w:tbl>
      <w:tblPr>
        <w:tblStyle w:val="36"/>
        <w:tblW w:w="910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35"/>
        <w:gridCol w:w="1842"/>
        <w:gridCol w:w="1861"/>
        <w:gridCol w:w="1779"/>
        <w:gridCol w:w="1590"/>
      </w:tblGrid>
      <w:tr w14:paraId="1E676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2035" w:type="dxa"/>
            <w:vAlign w:val="center"/>
          </w:tcPr>
          <w:p w14:paraId="33C3EDAC">
            <w:pPr>
              <w:adjustRightInd w:val="0"/>
              <w:snapToGrid w:val="0"/>
              <w:spacing w:line="260" w:lineRule="exact"/>
              <w:ind w:left="119"/>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1842" w:type="dxa"/>
            <w:vAlign w:val="center"/>
          </w:tcPr>
          <w:p w14:paraId="10862F6D">
            <w:pPr>
              <w:adjustRightInd w:val="0"/>
              <w:snapToGrid w:val="0"/>
              <w:spacing w:line="260" w:lineRule="exact"/>
              <w:jc w:val="center"/>
              <w:rPr>
                <w:color w:val="auto"/>
                <w:sz w:val="18"/>
                <w:szCs w:val="18"/>
              </w:rPr>
            </w:pPr>
            <w:r>
              <w:rPr>
                <w:color w:val="auto"/>
                <w:sz w:val="18"/>
                <w:szCs w:val="18"/>
              </w:rPr>
              <w:t>0.5</w:t>
            </w:r>
          </w:p>
        </w:tc>
        <w:tc>
          <w:tcPr>
            <w:tcW w:w="1861" w:type="dxa"/>
            <w:vAlign w:val="center"/>
          </w:tcPr>
          <w:p w14:paraId="38CCDB1A">
            <w:pPr>
              <w:adjustRightInd w:val="0"/>
              <w:snapToGrid w:val="0"/>
              <w:spacing w:line="260" w:lineRule="exact"/>
              <w:jc w:val="center"/>
              <w:rPr>
                <w:color w:val="auto"/>
                <w:sz w:val="18"/>
                <w:szCs w:val="18"/>
              </w:rPr>
            </w:pPr>
            <w:r>
              <w:rPr>
                <w:color w:val="auto"/>
                <w:sz w:val="18"/>
                <w:szCs w:val="18"/>
              </w:rPr>
              <w:t>1.0</w:t>
            </w:r>
          </w:p>
        </w:tc>
        <w:tc>
          <w:tcPr>
            <w:tcW w:w="1779" w:type="dxa"/>
            <w:vAlign w:val="center"/>
          </w:tcPr>
          <w:p w14:paraId="6472620C">
            <w:pPr>
              <w:adjustRightInd w:val="0"/>
              <w:snapToGrid w:val="0"/>
              <w:spacing w:line="260" w:lineRule="exact"/>
              <w:jc w:val="center"/>
              <w:rPr>
                <w:color w:val="auto"/>
                <w:sz w:val="18"/>
                <w:szCs w:val="18"/>
              </w:rPr>
            </w:pPr>
            <w:r>
              <w:rPr>
                <w:color w:val="auto"/>
                <w:sz w:val="18"/>
                <w:szCs w:val="18"/>
              </w:rPr>
              <w:t>1.5</w:t>
            </w:r>
          </w:p>
        </w:tc>
        <w:tc>
          <w:tcPr>
            <w:tcW w:w="1590" w:type="dxa"/>
            <w:vAlign w:val="center"/>
          </w:tcPr>
          <w:p w14:paraId="1F3FEF6E">
            <w:pPr>
              <w:adjustRightInd w:val="0"/>
              <w:snapToGrid w:val="0"/>
              <w:spacing w:line="260" w:lineRule="exact"/>
              <w:jc w:val="center"/>
              <w:rPr>
                <w:color w:val="auto"/>
                <w:sz w:val="18"/>
                <w:szCs w:val="18"/>
              </w:rPr>
            </w:pPr>
            <w:r>
              <w:rPr>
                <w:color w:val="auto"/>
                <w:sz w:val="18"/>
                <w:szCs w:val="18"/>
              </w:rPr>
              <w:t>2.0</w:t>
            </w:r>
          </w:p>
        </w:tc>
      </w:tr>
      <w:tr w14:paraId="50EF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 w:hRule="atLeast"/>
          <w:jc w:val="center"/>
        </w:trPr>
        <w:tc>
          <w:tcPr>
            <w:tcW w:w="2035" w:type="dxa"/>
            <w:vAlign w:val="center"/>
          </w:tcPr>
          <w:p w14:paraId="4ECBE541">
            <w:pPr>
              <w:adjustRightInd w:val="0"/>
              <w:snapToGrid w:val="0"/>
              <w:spacing w:line="260" w:lineRule="exact"/>
              <w:ind w:left="119"/>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（kPa）</w:t>
            </w:r>
          </w:p>
        </w:tc>
        <w:tc>
          <w:tcPr>
            <w:tcW w:w="1842" w:type="dxa"/>
            <w:vAlign w:val="center"/>
          </w:tcPr>
          <w:p w14:paraId="22F2507C">
            <w:pPr>
              <w:adjustRightInd w:val="0"/>
              <w:snapToGrid w:val="0"/>
              <w:spacing w:line="260" w:lineRule="exact"/>
              <w:jc w:val="center"/>
              <w:rPr>
                <w:color w:val="auto"/>
                <w:sz w:val="18"/>
                <w:szCs w:val="18"/>
              </w:rPr>
            </w:pPr>
            <w:r>
              <w:rPr>
                <w:color w:val="auto"/>
                <w:sz w:val="18"/>
                <w:szCs w:val="18"/>
              </w:rPr>
              <w:t>50</w:t>
            </w:r>
          </w:p>
        </w:tc>
        <w:tc>
          <w:tcPr>
            <w:tcW w:w="1861" w:type="dxa"/>
            <w:vAlign w:val="center"/>
          </w:tcPr>
          <w:p w14:paraId="0E291F2D">
            <w:pPr>
              <w:adjustRightInd w:val="0"/>
              <w:snapToGrid w:val="0"/>
              <w:spacing w:line="260" w:lineRule="exact"/>
              <w:jc w:val="center"/>
              <w:rPr>
                <w:color w:val="auto"/>
                <w:sz w:val="18"/>
                <w:szCs w:val="18"/>
              </w:rPr>
            </w:pPr>
            <w:r>
              <w:rPr>
                <w:color w:val="auto"/>
                <w:sz w:val="18"/>
                <w:szCs w:val="18"/>
              </w:rPr>
              <w:t>80</w:t>
            </w:r>
          </w:p>
        </w:tc>
        <w:tc>
          <w:tcPr>
            <w:tcW w:w="1779" w:type="dxa"/>
            <w:vAlign w:val="center"/>
          </w:tcPr>
          <w:p w14:paraId="6285DAD6">
            <w:pPr>
              <w:adjustRightInd w:val="0"/>
              <w:snapToGrid w:val="0"/>
              <w:spacing w:line="260" w:lineRule="exact"/>
              <w:jc w:val="center"/>
              <w:rPr>
                <w:color w:val="auto"/>
                <w:sz w:val="18"/>
                <w:szCs w:val="18"/>
              </w:rPr>
            </w:pPr>
            <w:r>
              <w:rPr>
                <w:color w:val="auto"/>
                <w:sz w:val="18"/>
                <w:szCs w:val="18"/>
              </w:rPr>
              <w:t>110</w:t>
            </w:r>
          </w:p>
        </w:tc>
        <w:tc>
          <w:tcPr>
            <w:tcW w:w="1590" w:type="dxa"/>
            <w:vAlign w:val="center"/>
          </w:tcPr>
          <w:p w14:paraId="5CBD01CB">
            <w:pPr>
              <w:adjustRightInd w:val="0"/>
              <w:snapToGrid w:val="0"/>
              <w:spacing w:line="260" w:lineRule="exact"/>
              <w:jc w:val="center"/>
              <w:rPr>
                <w:color w:val="auto"/>
                <w:sz w:val="18"/>
                <w:szCs w:val="18"/>
              </w:rPr>
            </w:pPr>
            <w:r>
              <w:rPr>
                <w:color w:val="auto"/>
                <w:sz w:val="18"/>
                <w:szCs w:val="18"/>
              </w:rPr>
              <w:t>130</w:t>
            </w:r>
          </w:p>
        </w:tc>
      </w:tr>
      <w:tr w14:paraId="31C51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9107" w:type="dxa"/>
            <w:gridSpan w:val="5"/>
            <w:vAlign w:val="center"/>
          </w:tcPr>
          <w:p w14:paraId="49D60A11">
            <w:pPr>
              <w:adjustRightInd w:val="0"/>
              <w:snapToGrid w:val="0"/>
              <w:ind w:left="351" w:hanging="351" w:hangingChars="195"/>
              <w:rPr>
                <w:color w:val="auto"/>
                <w:sz w:val="18"/>
                <w:szCs w:val="18"/>
              </w:rPr>
            </w:pPr>
            <w:r>
              <w:rPr>
                <w:color w:val="auto"/>
                <w:sz w:val="18"/>
                <w:szCs w:val="18"/>
              </w:rPr>
              <w:t>注：本表仅适用于堆积时间超过十年、主要由黏性土、粉土组成的素填土；含砖渣、碎石等在30%以下的素填土。</w:t>
            </w:r>
          </w:p>
        </w:tc>
      </w:tr>
    </w:tbl>
    <w:p w14:paraId="080EFCC5">
      <w:pPr>
        <w:adjustRightInd w:val="0"/>
        <w:snapToGrid w:val="0"/>
        <w:spacing w:line="260" w:lineRule="atLeast"/>
        <w:ind w:left="450" w:hanging="450" w:hangingChars="300"/>
        <w:rPr>
          <w:color w:val="auto"/>
          <w:sz w:val="15"/>
          <w:szCs w:val="15"/>
        </w:rPr>
      </w:pPr>
    </w:p>
    <w:p w14:paraId="54FAD1B4">
      <w:pPr>
        <w:adjustRightInd w:val="0"/>
        <w:snapToGrid w:val="0"/>
        <w:spacing w:before="156" w:beforeLines="50" w:line="360" w:lineRule="atLeast"/>
        <w:jc w:val="center"/>
        <w:rPr>
          <w:rFonts w:eastAsia="黑体"/>
          <w:b/>
          <w:color w:val="auto"/>
          <w:szCs w:val="21"/>
        </w:rPr>
      </w:pPr>
      <w:r>
        <w:rPr>
          <w:rFonts w:eastAsia="黑体"/>
          <w:b/>
          <w:color w:val="auto"/>
          <w:szCs w:val="21"/>
        </w:rPr>
        <w:t>表E.20  杂填土承载力特征值</w:t>
      </w:r>
      <w:r>
        <w:rPr>
          <w:rFonts w:eastAsia="黑体"/>
          <w:b/>
          <w:i/>
          <w:color w:val="auto"/>
          <w:szCs w:val="21"/>
        </w:rPr>
        <w:t>ƒ</w:t>
      </w:r>
      <w:r>
        <w:rPr>
          <w:rFonts w:eastAsia="黑体"/>
          <w:b/>
          <w:iCs/>
          <w:color w:val="auto"/>
          <w:szCs w:val="21"/>
          <w:vertAlign w:val="subscript"/>
        </w:rPr>
        <w:t>ak</w:t>
      </w:r>
    </w:p>
    <w:tbl>
      <w:tblPr>
        <w:tblStyle w:val="36"/>
        <w:tblW w:w="913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18"/>
        <w:gridCol w:w="1744"/>
        <w:gridCol w:w="1796"/>
        <w:gridCol w:w="1793"/>
        <w:gridCol w:w="1680"/>
      </w:tblGrid>
      <w:tr w14:paraId="54488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2118" w:type="dxa"/>
            <w:vAlign w:val="center"/>
          </w:tcPr>
          <w:p w14:paraId="76F4CE5F">
            <w:pPr>
              <w:adjustRightInd w:val="0"/>
              <w:snapToGrid w:val="0"/>
              <w:spacing w:line="260" w:lineRule="exact"/>
              <w:ind w:left="119"/>
              <w:jc w:val="center"/>
              <w:rPr>
                <w:color w:val="auto"/>
                <w:sz w:val="18"/>
                <w:szCs w:val="18"/>
              </w:rPr>
            </w:pPr>
            <w:r>
              <w:rPr>
                <w:i/>
                <w:color w:val="auto"/>
                <w:sz w:val="18"/>
                <w:szCs w:val="18"/>
              </w:rPr>
              <w:t>N</w:t>
            </w:r>
            <w:r>
              <w:rPr>
                <w:color w:val="auto"/>
                <w:sz w:val="18"/>
                <w:szCs w:val="18"/>
                <w:vertAlign w:val="subscript"/>
              </w:rPr>
              <w:t>63.5</w:t>
            </w:r>
          </w:p>
        </w:tc>
        <w:tc>
          <w:tcPr>
            <w:tcW w:w="1744" w:type="dxa"/>
            <w:vAlign w:val="center"/>
          </w:tcPr>
          <w:p w14:paraId="74E52839">
            <w:pPr>
              <w:adjustRightInd w:val="0"/>
              <w:snapToGrid w:val="0"/>
              <w:spacing w:line="260" w:lineRule="exact"/>
              <w:jc w:val="center"/>
              <w:rPr>
                <w:color w:val="auto"/>
                <w:sz w:val="18"/>
                <w:szCs w:val="18"/>
              </w:rPr>
            </w:pPr>
            <w:r>
              <w:rPr>
                <w:color w:val="auto"/>
                <w:sz w:val="18"/>
                <w:szCs w:val="18"/>
              </w:rPr>
              <w:t>1</w:t>
            </w:r>
          </w:p>
        </w:tc>
        <w:tc>
          <w:tcPr>
            <w:tcW w:w="1796" w:type="dxa"/>
            <w:vAlign w:val="center"/>
          </w:tcPr>
          <w:p w14:paraId="2A703962">
            <w:pPr>
              <w:adjustRightInd w:val="0"/>
              <w:snapToGrid w:val="0"/>
              <w:spacing w:line="260" w:lineRule="exact"/>
              <w:jc w:val="center"/>
              <w:rPr>
                <w:color w:val="auto"/>
                <w:sz w:val="18"/>
                <w:szCs w:val="18"/>
              </w:rPr>
            </w:pPr>
            <w:r>
              <w:rPr>
                <w:color w:val="auto"/>
                <w:sz w:val="18"/>
                <w:szCs w:val="18"/>
              </w:rPr>
              <w:t>2</w:t>
            </w:r>
          </w:p>
        </w:tc>
        <w:tc>
          <w:tcPr>
            <w:tcW w:w="1793" w:type="dxa"/>
            <w:vAlign w:val="center"/>
          </w:tcPr>
          <w:p w14:paraId="60B771C3">
            <w:pPr>
              <w:adjustRightInd w:val="0"/>
              <w:snapToGrid w:val="0"/>
              <w:spacing w:line="260" w:lineRule="exact"/>
              <w:jc w:val="center"/>
              <w:rPr>
                <w:color w:val="auto"/>
                <w:sz w:val="18"/>
                <w:szCs w:val="18"/>
              </w:rPr>
            </w:pPr>
            <w:r>
              <w:rPr>
                <w:color w:val="auto"/>
                <w:sz w:val="18"/>
                <w:szCs w:val="18"/>
              </w:rPr>
              <w:t>3</w:t>
            </w:r>
          </w:p>
        </w:tc>
        <w:tc>
          <w:tcPr>
            <w:tcW w:w="1680" w:type="dxa"/>
            <w:vAlign w:val="center"/>
          </w:tcPr>
          <w:p w14:paraId="72C9D374">
            <w:pPr>
              <w:adjustRightInd w:val="0"/>
              <w:snapToGrid w:val="0"/>
              <w:spacing w:line="260" w:lineRule="exact"/>
              <w:jc w:val="center"/>
              <w:rPr>
                <w:color w:val="auto"/>
                <w:sz w:val="18"/>
                <w:szCs w:val="18"/>
              </w:rPr>
            </w:pPr>
            <w:r>
              <w:rPr>
                <w:color w:val="auto"/>
                <w:sz w:val="18"/>
                <w:szCs w:val="18"/>
              </w:rPr>
              <w:t>4</w:t>
            </w:r>
          </w:p>
        </w:tc>
      </w:tr>
      <w:tr w14:paraId="12C64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2118" w:type="dxa"/>
            <w:vAlign w:val="center"/>
          </w:tcPr>
          <w:p w14:paraId="5FE750ED">
            <w:pPr>
              <w:adjustRightInd w:val="0"/>
              <w:snapToGrid w:val="0"/>
              <w:spacing w:line="260" w:lineRule="exact"/>
              <w:ind w:left="119"/>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w:t>
            </w:r>
            <w:r>
              <w:rPr>
                <w:iCs/>
                <w:color w:val="auto"/>
                <w:sz w:val="18"/>
                <w:szCs w:val="18"/>
              </w:rPr>
              <w:t>kPa</w:t>
            </w:r>
            <w:r>
              <w:rPr>
                <w:color w:val="auto"/>
                <w:sz w:val="18"/>
                <w:szCs w:val="18"/>
              </w:rPr>
              <w:t>）</w:t>
            </w:r>
          </w:p>
        </w:tc>
        <w:tc>
          <w:tcPr>
            <w:tcW w:w="1744" w:type="dxa"/>
            <w:vAlign w:val="center"/>
          </w:tcPr>
          <w:p w14:paraId="452567D2">
            <w:pPr>
              <w:adjustRightInd w:val="0"/>
              <w:snapToGrid w:val="0"/>
              <w:spacing w:line="260" w:lineRule="exact"/>
              <w:jc w:val="center"/>
              <w:rPr>
                <w:color w:val="auto"/>
                <w:sz w:val="18"/>
                <w:szCs w:val="18"/>
              </w:rPr>
            </w:pPr>
            <w:r>
              <w:rPr>
                <w:color w:val="auto"/>
                <w:sz w:val="18"/>
                <w:szCs w:val="18"/>
              </w:rPr>
              <w:t>40</w:t>
            </w:r>
          </w:p>
        </w:tc>
        <w:tc>
          <w:tcPr>
            <w:tcW w:w="1796" w:type="dxa"/>
            <w:vAlign w:val="center"/>
          </w:tcPr>
          <w:p w14:paraId="371ABF99">
            <w:pPr>
              <w:adjustRightInd w:val="0"/>
              <w:snapToGrid w:val="0"/>
              <w:spacing w:line="260" w:lineRule="exact"/>
              <w:jc w:val="center"/>
              <w:rPr>
                <w:color w:val="auto"/>
                <w:sz w:val="18"/>
                <w:szCs w:val="18"/>
              </w:rPr>
            </w:pPr>
            <w:r>
              <w:rPr>
                <w:color w:val="auto"/>
                <w:sz w:val="18"/>
                <w:szCs w:val="18"/>
              </w:rPr>
              <w:t>80</w:t>
            </w:r>
          </w:p>
        </w:tc>
        <w:tc>
          <w:tcPr>
            <w:tcW w:w="1793" w:type="dxa"/>
            <w:vAlign w:val="center"/>
          </w:tcPr>
          <w:p w14:paraId="1A0E7113">
            <w:pPr>
              <w:adjustRightInd w:val="0"/>
              <w:snapToGrid w:val="0"/>
              <w:spacing w:line="260" w:lineRule="exact"/>
              <w:jc w:val="center"/>
              <w:rPr>
                <w:color w:val="auto"/>
                <w:sz w:val="18"/>
                <w:szCs w:val="18"/>
              </w:rPr>
            </w:pPr>
            <w:r>
              <w:rPr>
                <w:color w:val="auto"/>
                <w:sz w:val="18"/>
                <w:szCs w:val="18"/>
              </w:rPr>
              <w:t>110</w:t>
            </w:r>
          </w:p>
        </w:tc>
        <w:tc>
          <w:tcPr>
            <w:tcW w:w="1680" w:type="dxa"/>
            <w:vAlign w:val="center"/>
          </w:tcPr>
          <w:p w14:paraId="3697F871">
            <w:pPr>
              <w:adjustRightInd w:val="0"/>
              <w:snapToGrid w:val="0"/>
              <w:spacing w:line="260" w:lineRule="exact"/>
              <w:jc w:val="center"/>
              <w:rPr>
                <w:color w:val="auto"/>
                <w:sz w:val="18"/>
                <w:szCs w:val="18"/>
              </w:rPr>
            </w:pPr>
            <w:r>
              <w:rPr>
                <w:color w:val="auto"/>
                <w:sz w:val="18"/>
                <w:szCs w:val="18"/>
              </w:rPr>
              <w:t>150</w:t>
            </w:r>
          </w:p>
        </w:tc>
      </w:tr>
      <w:tr w14:paraId="1F449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9131" w:type="dxa"/>
            <w:gridSpan w:val="5"/>
            <w:vAlign w:val="center"/>
          </w:tcPr>
          <w:p w14:paraId="651F623B">
            <w:pPr>
              <w:adjustRightInd w:val="0"/>
              <w:snapToGrid w:val="0"/>
              <w:spacing w:line="260" w:lineRule="exact"/>
              <w:ind w:left="540" w:hanging="540" w:hangingChars="300"/>
              <w:rPr>
                <w:color w:val="auto"/>
                <w:sz w:val="18"/>
                <w:szCs w:val="18"/>
              </w:rPr>
            </w:pPr>
            <w:r>
              <w:rPr>
                <w:color w:val="auto"/>
                <w:sz w:val="18"/>
                <w:szCs w:val="18"/>
              </w:rPr>
              <w:t>注1：本表适用于堆积时间超过十年的建筑垃圾和土为主的填土；</w:t>
            </w:r>
          </w:p>
          <w:p w14:paraId="4A95A11C">
            <w:pPr>
              <w:adjustRightInd w:val="0"/>
              <w:snapToGrid w:val="0"/>
              <w:spacing w:line="260" w:lineRule="exact"/>
              <w:rPr>
                <w:color w:val="auto"/>
                <w:sz w:val="18"/>
                <w:szCs w:val="18"/>
              </w:rPr>
            </w:pPr>
            <w:r>
              <w:rPr>
                <w:color w:val="auto"/>
                <w:sz w:val="18"/>
                <w:szCs w:val="18"/>
              </w:rPr>
              <w:t>注2：表中</w:t>
            </w:r>
            <w:r>
              <w:rPr>
                <w:i/>
                <w:iCs/>
                <w:color w:val="auto"/>
                <w:sz w:val="18"/>
                <w:szCs w:val="18"/>
              </w:rPr>
              <w:t>N</w:t>
            </w:r>
            <w:r>
              <w:rPr>
                <w:color w:val="auto"/>
                <w:sz w:val="18"/>
                <w:szCs w:val="18"/>
                <w:vertAlign w:val="subscript"/>
              </w:rPr>
              <w:t>63.5</w:t>
            </w:r>
            <w:r>
              <w:rPr>
                <w:color w:val="auto"/>
                <w:sz w:val="18"/>
                <w:szCs w:val="18"/>
              </w:rPr>
              <w:t>为经杆长修正后的锤击数标准值。</w:t>
            </w:r>
          </w:p>
        </w:tc>
      </w:tr>
    </w:tbl>
    <w:p w14:paraId="5975063B">
      <w:pPr>
        <w:adjustRightInd w:val="0"/>
        <w:snapToGrid w:val="0"/>
        <w:spacing w:line="400" w:lineRule="exact"/>
        <w:ind w:left="720" w:hanging="720" w:hangingChars="300"/>
        <w:rPr>
          <w:color w:val="auto"/>
          <w:sz w:val="24"/>
        </w:rPr>
      </w:pPr>
    </w:p>
    <w:p w14:paraId="5DBC949B">
      <w:pPr>
        <w:adjustRightInd w:val="0"/>
        <w:snapToGrid w:val="0"/>
        <w:spacing w:before="156" w:beforeLines="50" w:line="360" w:lineRule="atLeast"/>
        <w:jc w:val="center"/>
        <w:rPr>
          <w:rFonts w:eastAsia="黑体"/>
          <w:b/>
          <w:color w:val="auto"/>
          <w:szCs w:val="21"/>
        </w:rPr>
      </w:pPr>
      <w:r>
        <w:rPr>
          <w:rFonts w:eastAsia="黑体"/>
          <w:b/>
          <w:color w:val="auto"/>
          <w:szCs w:val="21"/>
        </w:rPr>
        <w:t>表E.21  残积黏性土承载力特征值</w:t>
      </w:r>
      <w:r>
        <w:rPr>
          <w:rFonts w:eastAsia="黑体"/>
          <w:b/>
          <w:i/>
          <w:color w:val="auto"/>
          <w:szCs w:val="21"/>
        </w:rPr>
        <w:t>ƒ</w:t>
      </w:r>
      <w:r>
        <w:rPr>
          <w:rFonts w:eastAsia="黑体"/>
          <w:b/>
          <w:iCs/>
          <w:color w:val="auto"/>
          <w:szCs w:val="21"/>
          <w:vertAlign w:val="subscript"/>
        </w:rPr>
        <w:t>ak</w:t>
      </w:r>
    </w:p>
    <w:tbl>
      <w:tblPr>
        <w:tblStyle w:val="36"/>
        <w:tblW w:w="91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75"/>
        <w:gridCol w:w="756"/>
        <w:gridCol w:w="738"/>
        <w:gridCol w:w="714"/>
        <w:gridCol w:w="703"/>
        <w:gridCol w:w="697"/>
        <w:gridCol w:w="735"/>
        <w:gridCol w:w="741"/>
        <w:gridCol w:w="690"/>
        <w:gridCol w:w="734"/>
        <w:gridCol w:w="626"/>
        <w:gridCol w:w="735"/>
      </w:tblGrid>
      <w:tr w14:paraId="2AB32B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275" w:type="dxa"/>
            <w:vAlign w:val="center"/>
          </w:tcPr>
          <w:p w14:paraId="32EDB1F0">
            <w:pPr>
              <w:adjustRightInd w:val="0"/>
              <w:snapToGrid w:val="0"/>
              <w:spacing w:line="300" w:lineRule="atLeast"/>
              <w:ind w:left="119"/>
              <w:jc w:val="center"/>
              <w:rPr>
                <w:color w:val="auto"/>
                <w:sz w:val="18"/>
                <w:szCs w:val="18"/>
              </w:rPr>
            </w:pPr>
            <w:r>
              <w:rPr>
                <w:i/>
                <w:color w:val="auto"/>
                <w:sz w:val="18"/>
                <w:szCs w:val="18"/>
              </w:rPr>
              <w:t>N</w:t>
            </w:r>
          </w:p>
        </w:tc>
        <w:tc>
          <w:tcPr>
            <w:tcW w:w="756" w:type="dxa"/>
            <w:vAlign w:val="center"/>
          </w:tcPr>
          <w:p w14:paraId="1977CD09">
            <w:pPr>
              <w:adjustRightInd w:val="0"/>
              <w:snapToGrid w:val="0"/>
              <w:spacing w:line="260" w:lineRule="exact"/>
              <w:jc w:val="center"/>
              <w:rPr>
                <w:color w:val="auto"/>
                <w:sz w:val="18"/>
                <w:szCs w:val="18"/>
              </w:rPr>
            </w:pPr>
            <w:r>
              <w:rPr>
                <w:color w:val="auto"/>
                <w:sz w:val="18"/>
                <w:szCs w:val="18"/>
              </w:rPr>
              <w:t>14</w:t>
            </w:r>
          </w:p>
        </w:tc>
        <w:tc>
          <w:tcPr>
            <w:tcW w:w="738" w:type="dxa"/>
            <w:vAlign w:val="center"/>
          </w:tcPr>
          <w:p w14:paraId="1134172B">
            <w:pPr>
              <w:adjustRightInd w:val="0"/>
              <w:snapToGrid w:val="0"/>
              <w:spacing w:line="260" w:lineRule="exact"/>
              <w:jc w:val="center"/>
              <w:rPr>
                <w:color w:val="auto"/>
                <w:sz w:val="18"/>
                <w:szCs w:val="18"/>
              </w:rPr>
            </w:pPr>
            <w:r>
              <w:rPr>
                <w:color w:val="auto"/>
                <w:sz w:val="18"/>
                <w:szCs w:val="18"/>
              </w:rPr>
              <w:t>16</w:t>
            </w:r>
          </w:p>
        </w:tc>
        <w:tc>
          <w:tcPr>
            <w:tcW w:w="714" w:type="dxa"/>
            <w:vAlign w:val="center"/>
          </w:tcPr>
          <w:p w14:paraId="0D283B62">
            <w:pPr>
              <w:adjustRightInd w:val="0"/>
              <w:snapToGrid w:val="0"/>
              <w:spacing w:line="260" w:lineRule="exact"/>
              <w:jc w:val="center"/>
              <w:rPr>
                <w:color w:val="auto"/>
                <w:sz w:val="18"/>
                <w:szCs w:val="18"/>
              </w:rPr>
            </w:pPr>
            <w:r>
              <w:rPr>
                <w:color w:val="auto"/>
                <w:sz w:val="18"/>
                <w:szCs w:val="18"/>
              </w:rPr>
              <w:t>18</w:t>
            </w:r>
          </w:p>
        </w:tc>
        <w:tc>
          <w:tcPr>
            <w:tcW w:w="703" w:type="dxa"/>
            <w:vAlign w:val="center"/>
          </w:tcPr>
          <w:p w14:paraId="33AA2A90">
            <w:pPr>
              <w:adjustRightInd w:val="0"/>
              <w:snapToGrid w:val="0"/>
              <w:spacing w:line="260" w:lineRule="exact"/>
              <w:jc w:val="center"/>
              <w:rPr>
                <w:color w:val="auto"/>
                <w:sz w:val="18"/>
                <w:szCs w:val="18"/>
              </w:rPr>
            </w:pPr>
            <w:r>
              <w:rPr>
                <w:color w:val="auto"/>
                <w:sz w:val="18"/>
                <w:szCs w:val="18"/>
              </w:rPr>
              <w:t>20</w:t>
            </w:r>
          </w:p>
        </w:tc>
        <w:tc>
          <w:tcPr>
            <w:tcW w:w="697" w:type="dxa"/>
            <w:vAlign w:val="center"/>
          </w:tcPr>
          <w:p w14:paraId="32174004">
            <w:pPr>
              <w:adjustRightInd w:val="0"/>
              <w:snapToGrid w:val="0"/>
              <w:spacing w:line="260" w:lineRule="exact"/>
              <w:jc w:val="center"/>
              <w:rPr>
                <w:color w:val="auto"/>
                <w:sz w:val="18"/>
                <w:szCs w:val="18"/>
              </w:rPr>
            </w:pPr>
            <w:r>
              <w:rPr>
                <w:color w:val="auto"/>
                <w:sz w:val="18"/>
                <w:szCs w:val="18"/>
              </w:rPr>
              <w:t>22</w:t>
            </w:r>
          </w:p>
        </w:tc>
        <w:tc>
          <w:tcPr>
            <w:tcW w:w="735" w:type="dxa"/>
            <w:vAlign w:val="center"/>
          </w:tcPr>
          <w:p w14:paraId="22DAD3E2">
            <w:pPr>
              <w:adjustRightInd w:val="0"/>
              <w:snapToGrid w:val="0"/>
              <w:spacing w:line="260" w:lineRule="exact"/>
              <w:jc w:val="center"/>
              <w:rPr>
                <w:color w:val="auto"/>
                <w:sz w:val="18"/>
                <w:szCs w:val="18"/>
              </w:rPr>
            </w:pPr>
            <w:r>
              <w:rPr>
                <w:color w:val="auto"/>
                <w:sz w:val="18"/>
                <w:szCs w:val="18"/>
              </w:rPr>
              <w:t>24</w:t>
            </w:r>
          </w:p>
        </w:tc>
        <w:tc>
          <w:tcPr>
            <w:tcW w:w="741" w:type="dxa"/>
            <w:vAlign w:val="center"/>
          </w:tcPr>
          <w:p w14:paraId="5FAB2A77">
            <w:pPr>
              <w:adjustRightInd w:val="0"/>
              <w:snapToGrid w:val="0"/>
              <w:spacing w:line="260" w:lineRule="exact"/>
              <w:jc w:val="center"/>
              <w:rPr>
                <w:color w:val="auto"/>
                <w:sz w:val="18"/>
                <w:szCs w:val="18"/>
              </w:rPr>
            </w:pPr>
            <w:r>
              <w:rPr>
                <w:color w:val="auto"/>
                <w:sz w:val="18"/>
                <w:szCs w:val="18"/>
              </w:rPr>
              <w:t>26</w:t>
            </w:r>
          </w:p>
        </w:tc>
        <w:tc>
          <w:tcPr>
            <w:tcW w:w="690" w:type="dxa"/>
            <w:vAlign w:val="center"/>
          </w:tcPr>
          <w:p w14:paraId="782D29E8">
            <w:pPr>
              <w:adjustRightInd w:val="0"/>
              <w:snapToGrid w:val="0"/>
              <w:spacing w:line="260" w:lineRule="exact"/>
              <w:jc w:val="center"/>
              <w:rPr>
                <w:color w:val="auto"/>
                <w:sz w:val="18"/>
                <w:szCs w:val="18"/>
              </w:rPr>
            </w:pPr>
            <w:r>
              <w:rPr>
                <w:color w:val="auto"/>
                <w:sz w:val="18"/>
                <w:szCs w:val="18"/>
              </w:rPr>
              <w:t>28</w:t>
            </w:r>
          </w:p>
        </w:tc>
        <w:tc>
          <w:tcPr>
            <w:tcW w:w="734" w:type="dxa"/>
            <w:vAlign w:val="center"/>
          </w:tcPr>
          <w:p w14:paraId="24C49865">
            <w:pPr>
              <w:adjustRightInd w:val="0"/>
              <w:snapToGrid w:val="0"/>
              <w:spacing w:line="260" w:lineRule="exact"/>
              <w:jc w:val="center"/>
              <w:rPr>
                <w:color w:val="auto"/>
                <w:sz w:val="18"/>
                <w:szCs w:val="18"/>
              </w:rPr>
            </w:pPr>
            <w:r>
              <w:rPr>
                <w:color w:val="auto"/>
                <w:sz w:val="18"/>
                <w:szCs w:val="18"/>
              </w:rPr>
              <w:t>30</w:t>
            </w:r>
          </w:p>
        </w:tc>
        <w:tc>
          <w:tcPr>
            <w:tcW w:w="626" w:type="dxa"/>
            <w:vAlign w:val="center"/>
          </w:tcPr>
          <w:p w14:paraId="63FD057C">
            <w:pPr>
              <w:adjustRightInd w:val="0"/>
              <w:snapToGrid w:val="0"/>
              <w:spacing w:line="260" w:lineRule="exact"/>
              <w:jc w:val="center"/>
              <w:rPr>
                <w:color w:val="auto"/>
                <w:sz w:val="18"/>
                <w:szCs w:val="18"/>
              </w:rPr>
            </w:pPr>
            <w:r>
              <w:rPr>
                <w:color w:val="auto"/>
                <w:sz w:val="18"/>
                <w:szCs w:val="18"/>
              </w:rPr>
              <w:t>32</w:t>
            </w:r>
          </w:p>
        </w:tc>
        <w:tc>
          <w:tcPr>
            <w:tcW w:w="735" w:type="dxa"/>
            <w:vAlign w:val="center"/>
          </w:tcPr>
          <w:p w14:paraId="282A0439">
            <w:pPr>
              <w:adjustRightInd w:val="0"/>
              <w:snapToGrid w:val="0"/>
              <w:spacing w:line="260" w:lineRule="exact"/>
              <w:jc w:val="center"/>
              <w:rPr>
                <w:color w:val="auto"/>
                <w:sz w:val="18"/>
                <w:szCs w:val="18"/>
              </w:rPr>
            </w:pPr>
            <w:r>
              <w:rPr>
                <w:color w:val="auto"/>
                <w:sz w:val="18"/>
                <w:szCs w:val="18"/>
              </w:rPr>
              <w:t>34</w:t>
            </w:r>
          </w:p>
        </w:tc>
      </w:tr>
      <w:tr w14:paraId="246F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275" w:type="dxa"/>
            <w:vAlign w:val="center"/>
          </w:tcPr>
          <w:p w14:paraId="56582B4B">
            <w:pPr>
              <w:adjustRightInd w:val="0"/>
              <w:snapToGrid w:val="0"/>
              <w:spacing w:line="300" w:lineRule="atLeast"/>
              <w:ind w:left="119"/>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（kPa）</w:t>
            </w:r>
          </w:p>
        </w:tc>
        <w:tc>
          <w:tcPr>
            <w:tcW w:w="756" w:type="dxa"/>
            <w:vAlign w:val="center"/>
          </w:tcPr>
          <w:p w14:paraId="54BB84FE">
            <w:pPr>
              <w:adjustRightInd w:val="0"/>
              <w:snapToGrid w:val="0"/>
              <w:spacing w:line="260" w:lineRule="exact"/>
              <w:jc w:val="center"/>
              <w:rPr>
                <w:color w:val="auto"/>
                <w:sz w:val="18"/>
                <w:szCs w:val="18"/>
              </w:rPr>
            </w:pPr>
            <w:r>
              <w:rPr>
                <w:color w:val="auto"/>
                <w:sz w:val="18"/>
                <w:szCs w:val="18"/>
              </w:rPr>
              <w:t>230</w:t>
            </w:r>
          </w:p>
        </w:tc>
        <w:tc>
          <w:tcPr>
            <w:tcW w:w="738" w:type="dxa"/>
            <w:vAlign w:val="center"/>
          </w:tcPr>
          <w:p w14:paraId="063E3BEF">
            <w:pPr>
              <w:adjustRightInd w:val="0"/>
              <w:snapToGrid w:val="0"/>
              <w:spacing w:line="260" w:lineRule="exact"/>
              <w:jc w:val="center"/>
              <w:rPr>
                <w:color w:val="auto"/>
                <w:sz w:val="18"/>
                <w:szCs w:val="18"/>
              </w:rPr>
            </w:pPr>
            <w:r>
              <w:rPr>
                <w:color w:val="auto"/>
                <w:sz w:val="18"/>
                <w:szCs w:val="18"/>
              </w:rPr>
              <w:t>250</w:t>
            </w:r>
          </w:p>
        </w:tc>
        <w:tc>
          <w:tcPr>
            <w:tcW w:w="714" w:type="dxa"/>
            <w:vAlign w:val="center"/>
          </w:tcPr>
          <w:p w14:paraId="627BF913">
            <w:pPr>
              <w:adjustRightInd w:val="0"/>
              <w:snapToGrid w:val="0"/>
              <w:spacing w:line="260" w:lineRule="exact"/>
              <w:jc w:val="center"/>
              <w:rPr>
                <w:color w:val="auto"/>
                <w:sz w:val="18"/>
                <w:szCs w:val="18"/>
              </w:rPr>
            </w:pPr>
            <w:r>
              <w:rPr>
                <w:color w:val="auto"/>
                <w:sz w:val="18"/>
                <w:szCs w:val="18"/>
              </w:rPr>
              <w:t>270</w:t>
            </w:r>
          </w:p>
        </w:tc>
        <w:tc>
          <w:tcPr>
            <w:tcW w:w="703" w:type="dxa"/>
            <w:vAlign w:val="center"/>
          </w:tcPr>
          <w:p w14:paraId="4E4BB920">
            <w:pPr>
              <w:adjustRightInd w:val="0"/>
              <w:snapToGrid w:val="0"/>
              <w:spacing w:line="260" w:lineRule="exact"/>
              <w:jc w:val="center"/>
              <w:rPr>
                <w:color w:val="auto"/>
                <w:sz w:val="18"/>
                <w:szCs w:val="18"/>
              </w:rPr>
            </w:pPr>
            <w:r>
              <w:rPr>
                <w:color w:val="auto"/>
                <w:sz w:val="18"/>
                <w:szCs w:val="18"/>
              </w:rPr>
              <w:t>290</w:t>
            </w:r>
          </w:p>
        </w:tc>
        <w:tc>
          <w:tcPr>
            <w:tcW w:w="697" w:type="dxa"/>
            <w:vAlign w:val="center"/>
          </w:tcPr>
          <w:p w14:paraId="02B1F5DC">
            <w:pPr>
              <w:adjustRightInd w:val="0"/>
              <w:snapToGrid w:val="0"/>
              <w:spacing w:line="260" w:lineRule="exact"/>
              <w:jc w:val="center"/>
              <w:rPr>
                <w:color w:val="auto"/>
                <w:sz w:val="18"/>
                <w:szCs w:val="18"/>
              </w:rPr>
            </w:pPr>
            <w:r>
              <w:rPr>
                <w:color w:val="auto"/>
                <w:sz w:val="18"/>
                <w:szCs w:val="18"/>
              </w:rPr>
              <w:t>310</w:t>
            </w:r>
          </w:p>
        </w:tc>
        <w:tc>
          <w:tcPr>
            <w:tcW w:w="735" w:type="dxa"/>
            <w:vAlign w:val="center"/>
          </w:tcPr>
          <w:p w14:paraId="18DFA424">
            <w:pPr>
              <w:adjustRightInd w:val="0"/>
              <w:snapToGrid w:val="0"/>
              <w:spacing w:line="260" w:lineRule="exact"/>
              <w:jc w:val="center"/>
              <w:rPr>
                <w:color w:val="auto"/>
                <w:sz w:val="18"/>
                <w:szCs w:val="18"/>
              </w:rPr>
            </w:pPr>
            <w:r>
              <w:rPr>
                <w:color w:val="auto"/>
                <w:sz w:val="18"/>
                <w:szCs w:val="18"/>
              </w:rPr>
              <w:t>330</w:t>
            </w:r>
          </w:p>
        </w:tc>
        <w:tc>
          <w:tcPr>
            <w:tcW w:w="741" w:type="dxa"/>
            <w:vAlign w:val="center"/>
          </w:tcPr>
          <w:p w14:paraId="38FCBF02">
            <w:pPr>
              <w:adjustRightInd w:val="0"/>
              <w:snapToGrid w:val="0"/>
              <w:spacing w:line="260" w:lineRule="exact"/>
              <w:jc w:val="center"/>
              <w:rPr>
                <w:color w:val="auto"/>
                <w:sz w:val="18"/>
                <w:szCs w:val="18"/>
              </w:rPr>
            </w:pPr>
            <w:r>
              <w:rPr>
                <w:color w:val="auto"/>
                <w:sz w:val="18"/>
                <w:szCs w:val="18"/>
              </w:rPr>
              <w:t>350</w:t>
            </w:r>
          </w:p>
        </w:tc>
        <w:tc>
          <w:tcPr>
            <w:tcW w:w="690" w:type="dxa"/>
            <w:vAlign w:val="center"/>
          </w:tcPr>
          <w:p w14:paraId="4B031594">
            <w:pPr>
              <w:adjustRightInd w:val="0"/>
              <w:snapToGrid w:val="0"/>
              <w:spacing w:line="260" w:lineRule="exact"/>
              <w:jc w:val="center"/>
              <w:rPr>
                <w:color w:val="auto"/>
                <w:sz w:val="18"/>
                <w:szCs w:val="18"/>
              </w:rPr>
            </w:pPr>
            <w:r>
              <w:rPr>
                <w:color w:val="auto"/>
                <w:sz w:val="18"/>
                <w:szCs w:val="18"/>
              </w:rPr>
              <w:t>370</w:t>
            </w:r>
          </w:p>
        </w:tc>
        <w:tc>
          <w:tcPr>
            <w:tcW w:w="734" w:type="dxa"/>
            <w:vAlign w:val="center"/>
          </w:tcPr>
          <w:p w14:paraId="7E1DE892">
            <w:pPr>
              <w:adjustRightInd w:val="0"/>
              <w:snapToGrid w:val="0"/>
              <w:spacing w:line="260" w:lineRule="exact"/>
              <w:jc w:val="center"/>
              <w:rPr>
                <w:color w:val="auto"/>
                <w:sz w:val="18"/>
                <w:szCs w:val="18"/>
              </w:rPr>
            </w:pPr>
            <w:r>
              <w:rPr>
                <w:color w:val="auto"/>
                <w:sz w:val="18"/>
                <w:szCs w:val="18"/>
              </w:rPr>
              <w:t>390</w:t>
            </w:r>
          </w:p>
        </w:tc>
        <w:tc>
          <w:tcPr>
            <w:tcW w:w="626" w:type="dxa"/>
            <w:vAlign w:val="center"/>
          </w:tcPr>
          <w:p w14:paraId="6E6B8AC0">
            <w:pPr>
              <w:adjustRightInd w:val="0"/>
              <w:snapToGrid w:val="0"/>
              <w:spacing w:line="260" w:lineRule="exact"/>
              <w:jc w:val="center"/>
              <w:rPr>
                <w:color w:val="auto"/>
                <w:sz w:val="18"/>
                <w:szCs w:val="18"/>
              </w:rPr>
            </w:pPr>
            <w:r>
              <w:rPr>
                <w:color w:val="auto"/>
                <w:sz w:val="18"/>
                <w:szCs w:val="18"/>
              </w:rPr>
              <w:t>410</w:t>
            </w:r>
          </w:p>
        </w:tc>
        <w:tc>
          <w:tcPr>
            <w:tcW w:w="735" w:type="dxa"/>
            <w:vAlign w:val="center"/>
          </w:tcPr>
          <w:p w14:paraId="66801F64">
            <w:pPr>
              <w:adjustRightInd w:val="0"/>
              <w:snapToGrid w:val="0"/>
              <w:spacing w:line="260" w:lineRule="exact"/>
              <w:jc w:val="center"/>
              <w:rPr>
                <w:color w:val="auto"/>
                <w:sz w:val="18"/>
                <w:szCs w:val="18"/>
              </w:rPr>
            </w:pPr>
            <w:r>
              <w:rPr>
                <w:color w:val="auto"/>
                <w:sz w:val="18"/>
                <w:szCs w:val="18"/>
              </w:rPr>
              <w:t>430</w:t>
            </w:r>
          </w:p>
        </w:tc>
      </w:tr>
      <w:tr w14:paraId="08A88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144" w:type="dxa"/>
            <w:gridSpan w:val="12"/>
            <w:vAlign w:val="center"/>
          </w:tcPr>
          <w:p w14:paraId="34097EC7">
            <w:pPr>
              <w:adjustRightInd w:val="0"/>
              <w:snapToGrid w:val="0"/>
              <w:spacing w:line="300" w:lineRule="atLeast"/>
              <w:rPr>
                <w:color w:val="auto"/>
                <w:sz w:val="18"/>
                <w:szCs w:val="18"/>
              </w:rPr>
            </w:pPr>
            <w:r>
              <w:rPr>
                <w:color w:val="auto"/>
                <w:sz w:val="18"/>
                <w:szCs w:val="18"/>
              </w:rPr>
              <w:t>注：本表仅适用于极软岩、软岩的风化残积黏性土。</w:t>
            </w:r>
          </w:p>
        </w:tc>
      </w:tr>
    </w:tbl>
    <w:p w14:paraId="6B2692CD">
      <w:pPr>
        <w:adjustRightInd w:val="0"/>
        <w:snapToGrid w:val="0"/>
        <w:spacing w:before="240" w:line="400" w:lineRule="exact"/>
        <w:jc w:val="center"/>
        <w:rPr>
          <w:rFonts w:eastAsia="黑体"/>
          <w:b/>
          <w:color w:val="auto"/>
          <w:szCs w:val="21"/>
        </w:rPr>
      </w:pPr>
    </w:p>
    <w:p w14:paraId="3C6FF983">
      <w:pPr>
        <w:adjustRightInd w:val="0"/>
        <w:snapToGrid w:val="0"/>
        <w:spacing w:before="240" w:line="400" w:lineRule="exact"/>
        <w:jc w:val="center"/>
        <w:rPr>
          <w:rFonts w:eastAsia="黑体"/>
          <w:b/>
          <w:color w:val="auto"/>
          <w:szCs w:val="21"/>
        </w:rPr>
      </w:pPr>
      <w:r>
        <w:rPr>
          <w:rFonts w:eastAsia="黑体"/>
          <w:b/>
          <w:color w:val="auto"/>
          <w:szCs w:val="21"/>
        </w:rPr>
        <w:t>表E.22  花岗岩残积土承载力特征值</w:t>
      </w:r>
      <w:r>
        <w:rPr>
          <w:rFonts w:eastAsia="黑体"/>
          <w:b/>
          <w:i/>
          <w:color w:val="auto"/>
          <w:szCs w:val="21"/>
        </w:rPr>
        <w:t>ƒ</w:t>
      </w:r>
      <w:r>
        <w:rPr>
          <w:rFonts w:eastAsia="黑体"/>
          <w:b/>
          <w:iCs/>
          <w:color w:val="auto"/>
          <w:szCs w:val="21"/>
          <w:vertAlign w:val="subscript"/>
        </w:rPr>
        <w:t>ak</w:t>
      </w:r>
    </w:p>
    <w:tbl>
      <w:tblPr>
        <w:tblStyle w:val="36"/>
        <w:tblW w:w="91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02"/>
        <w:gridCol w:w="1685"/>
        <w:gridCol w:w="1418"/>
        <w:gridCol w:w="1559"/>
        <w:gridCol w:w="1559"/>
        <w:gridCol w:w="1276"/>
      </w:tblGrid>
      <w:tr w14:paraId="27326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2" w:type="dxa"/>
            <w:vAlign w:val="center"/>
          </w:tcPr>
          <w:p w14:paraId="0F398853">
            <w:pPr>
              <w:adjustRightInd w:val="0"/>
              <w:snapToGrid w:val="0"/>
              <w:spacing w:line="300" w:lineRule="exact"/>
              <w:jc w:val="center"/>
              <w:rPr>
                <w:iCs/>
                <w:color w:val="auto"/>
                <w:sz w:val="18"/>
                <w:szCs w:val="18"/>
              </w:rPr>
            </w:pPr>
            <w:r>
              <w:rPr>
                <w:iCs/>
                <w:color w:val="auto"/>
                <w:sz w:val="18"/>
                <w:szCs w:val="18"/>
              </w:rPr>
              <w:t>N</w:t>
            </w:r>
          </w:p>
        </w:tc>
        <w:tc>
          <w:tcPr>
            <w:tcW w:w="1685" w:type="dxa"/>
            <w:vAlign w:val="center"/>
          </w:tcPr>
          <w:p w14:paraId="530AD882">
            <w:pPr>
              <w:adjustRightInd w:val="0"/>
              <w:snapToGrid w:val="0"/>
              <w:spacing w:line="260" w:lineRule="exact"/>
              <w:jc w:val="center"/>
              <w:rPr>
                <w:color w:val="auto"/>
                <w:sz w:val="18"/>
                <w:szCs w:val="18"/>
              </w:rPr>
            </w:pPr>
            <w:r>
              <w:rPr>
                <w:color w:val="auto"/>
                <w:sz w:val="18"/>
                <w:szCs w:val="18"/>
              </w:rPr>
              <w:t>4～10</w:t>
            </w:r>
          </w:p>
        </w:tc>
        <w:tc>
          <w:tcPr>
            <w:tcW w:w="1418" w:type="dxa"/>
            <w:vAlign w:val="center"/>
          </w:tcPr>
          <w:p w14:paraId="23AC64DF">
            <w:pPr>
              <w:adjustRightInd w:val="0"/>
              <w:snapToGrid w:val="0"/>
              <w:spacing w:line="260" w:lineRule="exact"/>
              <w:jc w:val="center"/>
              <w:rPr>
                <w:color w:val="auto"/>
                <w:sz w:val="18"/>
                <w:szCs w:val="18"/>
              </w:rPr>
            </w:pPr>
            <w:r>
              <w:rPr>
                <w:color w:val="auto"/>
                <w:sz w:val="18"/>
                <w:szCs w:val="18"/>
              </w:rPr>
              <w:t>10～15</w:t>
            </w:r>
          </w:p>
        </w:tc>
        <w:tc>
          <w:tcPr>
            <w:tcW w:w="1559" w:type="dxa"/>
            <w:vAlign w:val="center"/>
          </w:tcPr>
          <w:p w14:paraId="1A05BEAB">
            <w:pPr>
              <w:adjustRightInd w:val="0"/>
              <w:snapToGrid w:val="0"/>
              <w:spacing w:line="260" w:lineRule="exact"/>
              <w:jc w:val="center"/>
              <w:rPr>
                <w:color w:val="auto"/>
                <w:sz w:val="18"/>
                <w:szCs w:val="18"/>
              </w:rPr>
            </w:pPr>
            <w:r>
              <w:rPr>
                <w:color w:val="auto"/>
                <w:sz w:val="18"/>
                <w:szCs w:val="18"/>
              </w:rPr>
              <w:t>15～20</w:t>
            </w:r>
          </w:p>
        </w:tc>
        <w:tc>
          <w:tcPr>
            <w:tcW w:w="1559" w:type="dxa"/>
            <w:vAlign w:val="center"/>
          </w:tcPr>
          <w:p w14:paraId="3BE49E2F">
            <w:pPr>
              <w:adjustRightInd w:val="0"/>
              <w:snapToGrid w:val="0"/>
              <w:spacing w:line="260" w:lineRule="exact"/>
              <w:jc w:val="center"/>
              <w:rPr>
                <w:color w:val="auto"/>
                <w:sz w:val="18"/>
                <w:szCs w:val="18"/>
              </w:rPr>
            </w:pPr>
            <w:r>
              <w:rPr>
                <w:color w:val="auto"/>
                <w:sz w:val="18"/>
                <w:szCs w:val="18"/>
              </w:rPr>
              <w:t>20～30</w:t>
            </w:r>
          </w:p>
        </w:tc>
        <w:tc>
          <w:tcPr>
            <w:tcW w:w="1276" w:type="dxa"/>
            <w:vAlign w:val="center"/>
          </w:tcPr>
          <w:p w14:paraId="6E94C4CE">
            <w:pPr>
              <w:adjustRightInd w:val="0"/>
              <w:snapToGrid w:val="0"/>
              <w:spacing w:line="260" w:lineRule="exact"/>
              <w:jc w:val="center"/>
              <w:rPr>
                <w:color w:val="auto"/>
                <w:sz w:val="18"/>
                <w:szCs w:val="18"/>
              </w:rPr>
            </w:pPr>
            <w:r>
              <w:rPr>
                <w:rFonts w:hint="eastAsia"/>
                <w:color w:val="auto"/>
                <w:sz w:val="18"/>
                <w:szCs w:val="18"/>
              </w:rPr>
              <w:t>3</w:t>
            </w:r>
            <w:r>
              <w:rPr>
                <w:color w:val="auto"/>
                <w:sz w:val="18"/>
                <w:szCs w:val="18"/>
              </w:rPr>
              <w:t>0～</w:t>
            </w:r>
            <w:r>
              <w:rPr>
                <w:rFonts w:hint="eastAsia"/>
                <w:color w:val="auto"/>
                <w:sz w:val="18"/>
                <w:szCs w:val="18"/>
              </w:rPr>
              <w:t>5</w:t>
            </w:r>
            <w:r>
              <w:rPr>
                <w:color w:val="auto"/>
                <w:sz w:val="18"/>
                <w:szCs w:val="18"/>
              </w:rPr>
              <w:t>0</w:t>
            </w:r>
          </w:p>
        </w:tc>
      </w:tr>
      <w:tr w14:paraId="24616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2" w:type="dxa"/>
            <w:vAlign w:val="center"/>
          </w:tcPr>
          <w:p w14:paraId="1F1EEEB5">
            <w:pPr>
              <w:adjustRightInd w:val="0"/>
              <w:snapToGrid w:val="0"/>
              <w:spacing w:line="300" w:lineRule="exact"/>
              <w:jc w:val="center"/>
              <w:rPr>
                <w:color w:val="auto"/>
                <w:sz w:val="18"/>
                <w:szCs w:val="18"/>
              </w:rPr>
            </w:pPr>
            <w:r>
              <w:rPr>
                <w:color w:val="auto"/>
                <w:sz w:val="18"/>
                <w:szCs w:val="18"/>
              </w:rPr>
              <w:t>砾质黏性土</w:t>
            </w:r>
          </w:p>
        </w:tc>
        <w:tc>
          <w:tcPr>
            <w:tcW w:w="1685" w:type="dxa"/>
            <w:vAlign w:val="center"/>
          </w:tcPr>
          <w:p w14:paraId="48B1D056">
            <w:pPr>
              <w:adjustRightInd w:val="0"/>
              <w:snapToGrid w:val="0"/>
              <w:spacing w:line="260" w:lineRule="exact"/>
              <w:jc w:val="center"/>
              <w:rPr>
                <w:color w:val="auto"/>
                <w:sz w:val="18"/>
                <w:szCs w:val="18"/>
              </w:rPr>
            </w:pPr>
            <w:r>
              <w:rPr>
                <w:color w:val="auto"/>
                <w:sz w:val="18"/>
                <w:szCs w:val="18"/>
              </w:rPr>
              <w:t>（100）～220</w:t>
            </w:r>
          </w:p>
        </w:tc>
        <w:tc>
          <w:tcPr>
            <w:tcW w:w="1418" w:type="dxa"/>
            <w:vAlign w:val="center"/>
          </w:tcPr>
          <w:p w14:paraId="7AB7A4BA">
            <w:pPr>
              <w:adjustRightInd w:val="0"/>
              <w:snapToGrid w:val="0"/>
              <w:spacing w:line="260" w:lineRule="exact"/>
              <w:jc w:val="center"/>
              <w:rPr>
                <w:color w:val="auto"/>
                <w:sz w:val="18"/>
                <w:szCs w:val="18"/>
              </w:rPr>
            </w:pPr>
            <w:r>
              <w:rPr>
                <w:color w:val="auto"/>
                <w:sz w:val="18"/>
                <w:szCs w:val="18"/>
              </w:rPr>
              <w:t>220～280</w:t>
            </w:r>
          </w:p>
        </w:tc>
        <w:tc>
          <w:tcPr>
            <w:tcW w:w="1559" w:type="dxa"/>
            <w:vAlign w:val="center"/>
          </w:tcPr>
          <w:p w14:paraId="12BF5D09">
            <w:pPr>
              <w:adjustRightInd w:val="0"/>
              <w:snapToGrid w:val="0"/>
              <w:spacing w:line="260" w:lineRule="exact"/>
              <w:jc w:val="center"/>
              <w:rPr>
                <w:color w:val="auto"/>
                <w:sz w:val="18"/>
                <w:szCs w:val="18"/>
              </w:rPr>
            </w:pPr>
            <w:r>
              <w:rPr>
                <w:color w:val="auto"/>
                <w:sz w:val="18"/>
                <w:szCs w:val="18"/>
              </w:rPr>
              <w:t>280～350</w:t>
            </w:r>
          </w:p>
        </w:tc>
        <w:tc>
          <w:tcPr>
            <w:tcW w:w="1559" w:type="dxa"/>
            <w:vAlign w:val="center"/>
          </w:tcPr>
          <w:p w14:paraId="6A93E6C1">
            <w:pPr>
              <w:adjustRightInd w:val="0"/>
              <w:snapToGrid w:val="0"/>
              <w:spacing w:line="260" w:lineRule="exact"/>
              <w:jc w:val="center"/>
              <w:rPr>
                <w:color w:val="auto"/>
                <w:sz w:val="18"/>
                <w:szCs w:val="18"/>
              </w:rPr>
            </w:pPr>
            <w:r>
              <w:rPr>
                <w:color w:val="auto"/>
                <w:sz w:val="18"/>
                <w:szCs w:val="18"/>
              </w:rPr>
              <w:t>350～</w:t>
            </w:r>
            <w:r>
              <w:rPr>
                <w:rFonts w:hint="eastAsia"/>
                <w:color w:val="auto"/>
                <w:sz w:val="18"/>
                <w:szCs w:val="18"/>
              </w:rPr>
              <w:t>（</w:t>
            </w:r>
            <w:r>
              <w:rPr>
                <w:color w:val="auto"/>
                <w:sz w:val="18"/>
                <w:szCs w:val="18"/>
              </w:rPr>
              <w:t>430</w:t>
            </w:r>
            <w:r>
              <w:rPr>
                <w:rFonts w:hint="eastAsia"/>
                <w:color w:val="auto"/>
                <w:sz w:val="18"/>
                <w:szCs w:val="18"/>
              </w:rPr>
              <w:t>）</w:t>
            </w:r>
          </w:p>
        </w:tc>
        <w:tc>
          <w:tcPr>
            <w:tcW w:w="1276" w:type="dxa"/>
            <w:vAlign w:val="center"/>
          </w:tcPr>
          <w:p w14:paraId="6FBCD9E7">
            <w:pPr>
              <w:adjustRightInd w:val="0"/>
              <w:snapToGrid w:val="0"/>
              <w:spacing w:line="260" w:lineRule="exact"/>
              <w:jc w:val="center"/>
              <w:rPr>
                <w:color w:val="auto"/>
                <w:sz w:val="18"/>
                <w:szCs w:val="18"/>
              </w:rPr>
            </w:pPr>
            <w:r>
              <w:rPr>
                <w:rFonts w:hint="eastAsia"/>
                <w:color w:val="auto"/>
                <w:sz w:val="18"/>
                <w:szCs w:val="18"/>
              </w:rPr>
              <w:t>350</w:t>
            </w:r>
            <w:r>
              <w:rPr>
                <w:color w:val="auto"/>
                <w:sz w:val="18"/>
                <w:szCs w:val="18"/>
              </w:rPr>
              <w:t>～</w:t>
            </w:r>
            <w:r>
              <w:rPr>
                <w:rFonts w:hint="eastAsia"/>
                <w:color w:val="auto"/>
                <w:sz w:val="18"/>
                <w:szCs w:val="18"/>
              </w:rPr>
              <w:t>600</w:t>
            </w:r>
          </w:p>
        </w:tc>
      </w:tr>
      <w:tr w14:paraId="69DA4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2" w:type="dxa"/>
            <w:vAlign w:val="center"/>
          </w:tcPr>
          <w:p w14:paraId="373EB165">
            <w:pPr>
              <w:adjustRightInd w:val="0"/>
              <w:snapToGrid w:val="0"/>
              <w:spacing w:line="300" w:lineRule="exact"/>
              <w:jc w:val="center"/>
              <w:rPr>
                <w:color w:val="auto"/>
                <w:sz w:val="18"/>
                <w:szCs w:val="18"/>
              </w:rPr>
            </w:pPr>
            <w:r>
              <w:rPr>
                <w:color w:val="auto"/>
                <w:sz w:val="18"/>
                <w:szCs w:val="18"/>
              </w:rPr>
              <w:t>砂质黏性土</w:t>
            </w:r>
          </w:p>
        </w:tc>
        <w:tc>
          <w:tcPr>
            <w:tcW w:w="1685" w:type="dxa"/>
            <w:vAlign w:val="center"/>
          </w:tcPr>
          <w:p w14:paraId="2DCB5F35">
            <w:pPr>
              <w:adjustRightInd w:val="0"/>
              <w:snapToGrid w:val="0"/>
              <w:spacing w:line="260" w:lineRule="exact"/>
              <w:jc w:val="center"/>
              <w:rPr>
                <w:color w:val="auto"/>
                <w:sz w:val="18"/>
                <w:szCs w:val="18"/>
              </w:rPr>
            </w:pPr>
            <w:r>
              <w:rPr>
                <w:color w:val="auto"/>
                <w:sz w:val="18"/>
                <w:szCs w:val="18"/>
              </w:rPr>
              <w:t>（80）～200</w:t>
            </w:r>
          </w:p>
        </w:tc>
        <w:tc>
          <w:tcPr>
            <w:tcW w:w="1418" w:type="dxa"/>
            <w:vAlign w:val="center"/>
          </w:tcPr>
          <w:p w14:paraId="7843A661">
            <w:pPr>
              <w:adjustRightInd w:val="0"/>
              <w:snapToGrid w:val="0"/>
              <w:spacing w:line="260" w:lineRule="exact"/>
              <w:jc w:val="center"/>
              <w:rPr>
                <w:color w:val="auto"/>
                <w:sz w:val="18"/>
                <w:szCs w:val="18"/>
              </w:rPr>
            </w:pPr>
            <w:r>
              <w:rPr>
                <w:color w:val="auto"/>
                <w:sz w:val="18"/>
                <w:szCs w:val="18"/>
              </w:rPr>
              <w:t>200～250</w:t>
            </w:r>
          </w:p>
        </w:tc>
        <w:tc>
          <w:tcPr>
            <w:tcW w:w="1559" w:type="dxa"/>
            <w:vAlign w:val="center"/>
          </w:tcPr>
          <w:p w14:paraId="2B32B8B5">
            <w:pPr>
              <w:adjustRightInd w:val="0"/>
              <w:snapToGrid w:val="0"/>
              <w:spacing w:line="260" w:lineRule="exact"/>
              <w:jc w:val="center"/>
              <w:rPr>
                <w:color w:val="auto"/>
                <w:sz w:val="18"/>
                <w:szCs w:val="18"/>
              </w:rPr>
            </w:pPr>
            <w:r>
              <w:rPr>
                <w:color w:val="auto"/>
                <w:sz w:val="18"/>
                <w:szCs w:val="18"/>
              </w:rPr>
              <w:t>250～300</w:t>
            </w:r>
          </w:p>
        </w:tc>
        <w:tc>
          <w:tcPr>
            <w:tcW w:w="1559" w:type="dxa"/>
            <w:vAlign w:val="center"/>
          </w:tcPr>
          <w:p w14:paraId="17C9FA6A">
            <w:pPr>
              <w:adjustRightInd w:val="0"/>
              <w:snapToGrid w:val="0"/>
              <w:spacing w:line="260" w:lineRule="exact"/>
              <w:jc w:val="center"/>
              <w:rPr>
                <w:color w:val="auto"/>
                <w:sz w:val="18"/>
                <w:szCs w:val="18"/>
              </w:rPr>
            </w:pPr>
            <w:r>
              <w:rPr>
                <w:color w:val="auto"/>
                <w:sz w:val="18"/>
                <w:szCs w:val="18"/>
              </w:rPr>
              <w:t>300～</w:t>
            </w:r>
            <w:r>
              <w:rPr>
                <w:rFonts w:hint="eastAsia"/>
                <w:color w:val="auto"/>
                <w:sz w:val="18"/>
                <w:szCs w:val="18"/>
              </w:rPr>
              <w:t>（</w:t>
            </w:r>
            <w:r>
              <w:rPr>
                <w:color w:val="auto"/>
                <w:sz w:val="18"/>
                <w:szCs w:val="18"/>
              </w:rPr>
              <w:t>380</w:t>
            </w:r>
            <w:r>
              <w:rPr>
                <w:rFonts w:hint="eastAsia"/>
                <w:color w:val="auto"/>
                <w:sz w:val="18"/>
                <w:szCs w:val="18"/>
              </w:rPr>
              <w:t>）</w:t>
            </w:r>
          </w:p>
        </w:tc>
        <w:tc>
          <w:tcPr>
            <w:tcW w:w="1276" w:type="dxa"/>
            <w:vAlign w:val="center"/>
          </w:tcPr>
          <w:p w14:paraId="591FFDBE">
            <w:pPr>
              <w:adjustRightInd w:val="0"/>
              <w:snapToGrid w:val="0"/>
              <w:spacing w:line="260" w:lineRule="exact"/>
              <w:jc w:val="center"/>
              <w:rPr>
                <w:color w:val="auto"/>
                <w:sz w:val="18"/>
                <w:szCs w:val="18"/>
              </w:rPr>
            </w:pPr>
            <w:r>
              <w:rPr>
                <w:rFonts w:hint="eastAsia"/>
                <w:color w:val="auto"/>
                <w:sz w:val="18"/>
                <w:szCs w:val="18"/>
              </w:rPr>
              <w:t>---</w:t>
            </w:r>
          </w:p>
        </w:tc>
      </w:tr>
      <w:tr w14:paraId="1541A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702" w:type="dxa"/>
            <w:vAlign w:val="center"/>
          </w:tcPr>
          <w:p w14:paraId="0A5C66BD">
            <w:pPr>
              <w:adjustRightInd w:val="0"/>
              <w:snapToGrid w:val="0"/>
              <w:spacing w:line="300" w:lineRule="exact"/>
              <w:jc w:val="center"/>
              <w:rPr>
                <w:color w:val="auto"/>
                <w:sz w:val="18"/>
                <w:szCs w:val="18"/>
              </w:rPr>
            </w:pPr>
            <w:r>
              <w:rPr>
                <w:color w:val="auto"/>
                <w:sz w:val="18"/>
                <w:szCs w:val="18"/>
              </w:rPr>
              <w:t>黏性土</w:t>
            </w:r>
          </w:p>
        </w:tc>
        <w:tc>
          <w:tcPr>
            <w:tcW w:w="1685" w:type="dxa"/>
            <w:vAlign w:val="center"/>
          </w:tcPr>
          <w:p w14:paraId="3430E9DB">
            <w:pPr>
              <w:adjustRightInd w:val="0"/>
              <w:snapToGrid w:val="0"/>
              <w:spacing w:line="260" w:lineRule="exact"/>
              <w:jc w:val="center"/>
              <w:rPr>
                <w:color w:val="auto"/>
                <w:sz w:val="18"/>
                <w:szCs w:val="18"/>
              </w:rPr>
            </w:pPr>
            <w:r>
              <w:rPr>
                <w:color w:val="auto"/>
                <w:sz w:val="18"/>
                <w:szCs w:val="18"/>
              </w:rPr>
              <w:t>130～180</w:t>
            </w:r>
          </w:p>
        </w:tc>
        <w:tc>
          <w:tcPr>
            <w:tcW w:w="1418" w:type="dxa"/>
            <w:vAlign w:val="center"/>
          </w:tcPr>
          <w:p w14:paraId="062EFB72">
            <w:pPr>
              <w:adjustRightInd w:val="0"/>
              <w:snapToGrid w:val="0"/>
              <w:spacing w:line="260" w:lineRule="exact"/>
              <w:jc w:val="center"/>
              <w:rPr>
                <w:color w:val="auto"/>
                <w:sz w:val="18"/>
                <w:szCs w:val="18"/>
              </w:rPr>
            </w:pPr>
            <w:r>
              <w:rPr>
                <w:color w:val="auto"/>
                <w:sz w:val="18"/>
                <w:szCs w:val="18"/>
              </w:rPr>
              <w:t>180～240</w:t>
            </w:r>
          </w:p>
        </w:tc>
        <w:tc>
          <w:tcPr>
            <w:tcW w:w="1559" w:type="dxa"/>
            <w:vAlign w:val="center"/>
          </w:tcPr>
          <w:p w14:paraId="2ED854ED">
            <w:pPr>
              <w:adjustRightInd w:val="0"/>
              <w:snapToGrid w:val="0"/>
              <w:spacing w:line="260" w:lineRule="exact"/>
              <w:jc w:val="center"/>
              <w:rPr>
                <w:color w:val="auto"/>
                <w:sz w:val="18"/>
                <w:szCs w:val="18"/>
              </w:rPr>
            </w:pPr>
            <w:r>
              <w:rPr>
                <w:color w:val="auto"/>
                <w:sz w:val="18"/>
                <w:szCs w:val="18"/>
              </w:rPr>
              <w:t>240～</w:t>
            </w:r>
            <w:r>
              <w:rPr>
                <w:rFonts w:hint="eastAsia"/>
                <w:color w:val="auto"/>
                <w:sz w:val="18"/>
                <w:szCs w:val="18"/>
              </w:rPr>
              <w:t>（</w:t>
            </w:r>
            <w:r>
              <w:rPr>
                <w:color w:val="auto"/>
                <w:sz w:val="18"/>
                <w:szCs w:val="18"/>
              </w:rPr>
              <w:t>280</w:t>
            </w:r>
            <w:r>
              <w:rPr>
                <w:rFonts w:hint="eastAsia"/>
                <w:color w:val="auto"/>
                <w:sz w:val="18"/>
                <w:szCs w:val="18"/>
              </w:rPr>
              <w:t>）</w:t>
            </w:r>
          </w:p>
        </w:tc>
        <w:tc>
          <w:tcPr>
            <w:tcW w:w="1559" w:type="dxa"/>
            <w:vAlign w:val="center"/>
          </w:tcPr>
          <w:p w14:paraId="74609DEA">
            <w:pPr>
              <w:adjustRightInd w:val="0"/>
              <w:snapToGrid w:val="0"/>
              <w:spacing w:line="260" w:lineRule="exact"/>
              <w:jc w:val="center"/>
              <w:rPr>
                <w:color w:val="auto"/>
                <w:sz w:val="18"/>
                <w:szCs w:val="18"/>
              </w:rPr>
            </w:pPr>
            <w:r>
              <w:rPr>
                <w:color w:val="auto"/>
                <w:sz w:val="18"/>
                <w:szCs w:val="18"/>
              </w:rPr>
              <w:t>280～330</w:t>
            </w:r>
          </w:p>
        </w:tc>
        <w:tc>
          <w:tcPr>
            <w:tcW w:w="1276" w:type="dxa"/>
            <w:vAlign w:val="center"/>
          </w:tcPr>
          <w:p w14:paraId="622B1819">
            <w:pPr>
              <w:adjustRightInd w:val="0"/>
              <w:snapToGrid w:val="0"/>
              <w:spacing w:line="260" w:lineRule="exact"/>
              <w:jc w:val="center"/>
              <w:rPr>
                <w:color w:val="auto"/>
                <w:sz w:val="18"/>
                <w:szCs w:val="18"/>
              </w:rPr>
            </w:pPr>
            <w:r>
              <w:rPr>
                <w:rFonts w:hint="eastAsia"/>
                <w:color w:val="auto"/>
                <w:sz w:val="18"/>
                <w:szCs w:val="18"/>
              </w:rPr>
              <w:t>---</w:t>
            </w:r>
          </w:p>
        </w:tc>
      </w:tr>
      <w:tr w14:paraId="5C3CF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7923" w:type="dxa"/>
            <w:gridSpan w:val="5"/>
            <w:vAlign w:val="center"/>
          </w:tcPr>
          <w:p w14:paraId="77F5E131">
            <w:pPr>
              <w:adjustRightInd w:val="0"/>
              <w:snapToGrid w:val="0"/>
              <w:rPr>
                <w:color w:val="auto"/>
                <w:sz w:val="18"/>
                <w:szCs w:val="18"/>
              </w:rPr>
            </w:pPr>
            <w:r>
              <w:rPr>
                <w:color w:val="auto"/>
                <w:sz w:val="18"/>
                <w:szCs w:val="18"/>
              </w:rPr>
              <w:t>注</w:t>
            </w:r>
            <w:r>
              <w:rPr>
                <w:bCs/>
                <w:color w:val="auto"/>
                <w:sz w:val="18"/>
                <w:szCs w:val="18"/>
              </w:rPr>
              <w:t>1</w:t>
            </w:r>
            <w:r>
              <w:rPr>
                <w:color w:val="auto"/>
                <w:sz w:val="18"/>
                <w:szCs w:val="18"/>
              </w:rPr>
              <w:t>：括号内的数值为供内插用；</w:t>
            </w:r>
          </w:p>
          <w:p w14:paraId="3F0555D1">
            <w:pPr>
              <w:adjustRightInd w:val="0"/>
              <w:snapToGrid w:val="0"/>
              <w:rPr>
                <w:color w:val="auto"/>
                <w:sz w:val="18"/>
                <w:szCs w:val="18"/>
              </w:rPr>
            </w:pPr>
            <w:r>
              <w:rPr>
                <w:color w:val="auto"/>
                <w:sz w:val="18"/>
                <w:szCs w:val="18"/>
              </w:rPr>
              <w:t>注</w:t>
            </w:r>
            <w:r>
              <w:rPr>
                <w:bCs/>
                <w:color w:val="auto"/>
                <w:sz w:val="18"/>
                <w:szCs w:val="18"/>
              </w:rPr>
              <w:t>2</w:t>
            </w:r>
            <w:r>
              <w:rPr>
                <w:color w:val="auto"/>
                <w:sz w:val="18"/>
                <w:szCs w:val="18"/>
              </w:rPr>
              <w:t>：砾质黏性土、砂质黏性土、黏性土的划分同表E.10的注2。</w:t>
            </w:r>
          </w:p>
        </w:tc>
        <w:tc>
          <w:tcPr>
            <w:tcW w:w="1276" w:type="dxa"/>
          </w:tcPr>
          <w:p w14:paraId="719D8DE0">
            <w:pPr>
              <w:adjustRightInd w:val="0"/>
              <w:snapToGrid w:val="0"/>
              <w:rPr>
                <w:color w:val="auto"/>
                <w:sz w:val="18"/>
                <w:szCs w:val="18"/>
              </w:rPr>
            </w:pPr>
          </w:p>
        </w:tc>
      </w:tr>
    </w:tbl>
    <w:p w14:paraId="495DC4C6">
      <w:pPr>
        <w:adjustRightInd w:val="0"/>
        <w:snapToGrid w:val="0"/>
        <w:spacing w:before="240" w:line="360" w:lineRule="exact"/>
        <w:ind w:left="632" w:hanging="632" w:hangingChars="300"/>
        <w:rPr>
          <w:color w:val="auto"/>
          <w:szCs w:val="21"/>
        </w:rPr>
      </w:pPr>
      <w:r>
        <w:rPr>
          <w:b/>
          <w:bCs/>
          <w:color w:val="auto"/>
          <w:szCs w:val="21"/>
        </w:rPr>
        <w:t>E.2</w:t>
      </w:r>
      <w:r>
        <w:rPr>
          <w:color w:val="auto"/>
          <w:szCs w:val="21"/>
        </w:rPr>
        <w:t xml:space="preserve">  岩土压缩性指标</w:t>
      </w:r>
    </w:p>
    <w:p w14:paraId="459440FA">
      <w:pPr>
        <w:adjustRightInd w:val="0"/>
        <w:snapToGrid w:val="0"/>
        <w:spacing w:line="360" w:lineRule="exact"/>
        <w:ind w:firstLine="422" w:firstLineChars="200"/>
        <w:rPr>
          <w:color w:val="auto"/>
          <w:szCs w:val="21"/>
        </w:rPr>
      </w:pPr>
      <w:r>
        <w:rPr>
          <w:b/>
          <w:bCs/>
          <w:color w:val="auto"/>
          <w:szCs w:val="21"/>
        </w:rPr>
        <w:t>a)</w:t>
      </w:r>
      <w:r>
        <w:rPr>
          <w:color w:val="auto"/>
          <w:szCs w:val="21"/>
        </w:rPr>
        <w:t xml:space="preserve">  根据地基承载力特征值确定强风化岩石的变形模量时,应符合表E.23的规定：</w:t>
      </w:r>
    </w:p>
    <w:p w14:paraId="5A96FCED">
      <w:pPr>
        <w:adjustRightInd w:val="0"/>
        <w:snapToGrid w:val="0"/>
        <w:spacing w:before="156" w:beforeLines="50" w:line="360" w:lineRule="atLeast"/>
        <w:jc w:val="center"/>
        <w:rPr>
          <w:rFonts w:eastAsia="黑体"/>
          <w:b/>
          <w:color w:val="auto"/>
          <w:szCs w:val="21"/>
        </w:rPr>
      </w:pPr>
      <w:r>
        <w:rPr>
          <w:rFonts w:eastAsia="黑体"/>
          <w:b/>
          <w:color w:val="auto"/>
          <w:szCs w:val="21"/>
        </w:rPr>
        <w:t>表E.23  强风化岩石变形模量</w:t>
      </w:r>
    </w:p>
    <w:tbl>
      <w:tblPr>
        <w:tblStyle w:val="36"/>
        <w:tblW w:w="91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1"/>
        <w:gridCol w:w="1048"/>
        <w:gridCol w:w="1103"/>
        <w:gridCol w:w="1134"/>
        <w:gridCol w:w="1067"/>
        <w:gridCol w:w="1116"/>
        <w:gridCol w:w="1203"/>
        <w:gridCol w:w="1123"/>
      </w:tblGrid>
      <w:tr w14:paraId="751ECB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1361" w:type="dxa"/>
          </w:tcPr>
          <w:p w14:paraId="48DDA829">
            <w:pPr>
              <w:adjustRightInd w:val="0"/>
              <w:snapToGrid w:val="0"/>
              <w:spacing w:line="300" w:lineRule="exact"/>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（kPa）</w:t>
            </w:r>
          </w:p>
        </w:tc>
        <w:tc>
          <w:tcPr>
            <w:tcW w:w="1048" w:type="dxa"/>
          </w:tcPr>
          <w:p w14:paraId="3FEEFB0C">
            <w:pPr>
              <w:adjustRightInd w:val="0"/>
              <w:snapToGrid w:val="0"/>
              <w:spacing w:line="260" w:lineRule="exact"/>
              <w:jc w:val="center"/>
              <w:rPr>
                <w:color w:val="auto"/>
                <w:sz w:val="18"/>
                <w:szCs w:val="18"/>
              </w:rPr>
            </w:pPr>
            <w:r>
              <w:rPr>
                <w:rFonts w:hint="eastAsia"/>
                <w:color w:val="auto"/>
                <w:sz w:val="18"/>
                <w:szCs w:val="18"/>
              </w:rPr>
              <w:t>4</w:t>
            </w:r>
            <w:r>
              <w:rPr>
                <w:color w:val="auto"/>
                <w:sz w:val="18"/>
                <w:szCs w:val="18"/>
              </w:rPr>
              <w:t>00</w:t>
            </w:r>
          </w:p>
        </w:tc>
        <w:tc>
          <w:tcPr>
            <w:tcW w:w="1103" w:type="dxa"/>
          </w:tcPr>
          <w:p w14:paraId="5D1D439B">
            <w:pPr>
              <w:adjustRightInd w:val="0"/>
              <w:snapToGrid w:val="0"/>
              <w:spacing w:line="260" w:lineRule="exact"/>
              <w:jc w:val="center"/>
              <w:rPr>
                <w:color w:val="auto"/>
                <w:sz w:val="18"/>
                <w:szCs w:val="18"/>
              </w:rPr>
            </w:pPr>
            <w:r>
              <w:rPr>
                <w:color w:val="auto"/>
                <w:sz w:val="18"/>
                <w:szCs w:val="18"/>
              </w:rPr>
              <w:t>500</w:t>
            </w:r>
          </w:p>
        </w:tc>
        <w:tc>
          <w:tcPr>
            <w:tcW w:w="1134" w:type="dxa"/>
          </w:tcPr>
          <w:p w14:paraId="51ECFC64">
            <w:pPr>
              <w:adjustRightInd w:val="0"/>
              <w:snapToGrid w:val="0"/>
              <w:spacing w:line="260" w:lineRule="exact"/>
              <w:jc w:val="center"/>
              <w:rPr>
                <w:color w:val="auto"/>
                <w:sz w:val="18"/>
                <w:szCs w:val="18"/>
              </w:rPr>
            </w:pPr>
            <w:r>
              <w:rPr>
                <w:color w:val="auto"/>
                <w:sz w:val="18"/>
                <w:szCs w:val="18"/>
              </w:rPr>
              <w:t>700</w:t>
            </w:r>
          </w:p>
        </w:tc>
        <w:tc>
          <w:tcPr>
            <w:tcW w:w="1067" w:type="dxa"/>
          </w:tcPr>
          <w:p w14:paraId="3A1500D2">
            <w:pPr>
              <w:adjustRightInd w:val="0"/>
              <w:snapToGrid w:val="0"/>
              <w:spacing w:line="260" w:lineRule="exact"/>
              <w:jc w:val="center"/>
              <w:rPr>
                <w:color w:val="auto"/>
                <w:sz w:val="18"/>
                <w:szCs w:val="18"/>
              </w:rPr>
            </w:pPr>
            <w:r>
              <w:rPr>
                <w:color w:val="auto"/>
                <w:sz w:val="18"/>
                <w:szCs w:val="18"/>
              </w:rPr>
              <w:t>900</w:t>
            </w:r>
          </w:p>
        </w:tc>
        <w:tc>
          <w:tcPr>
            <w:tcW w:w="1116" w:type="dxa"/>
          </w:tcPr>
          <w:p w14:paraId="2E1DC326">
            <w:pPr>
              <w:adjustRightInd w:val="0"/>
              <w:snapToGrid w:val="0"/>
              <w:spacing w:line="260" w:lineRule="exact"/>
              <w:jc w:val="center"/>
              <w:rPr>
                <w:color w:val="auto"/>
                <w:sz w:val="18"/>
                <w:szCs w:val="18"/>
              </w:rPr>
            </w:pPr>
            <w:r>
              <w:rPr>
                <w:color w:val="auto"/>
                <w:sz w:val="18"/>
                <w:szCs w:val="18"/>
              </w:rPr>
              <w:t>1100</w:t>
            </w:r>
          </w:p>
        </w:tc>
        <w:tc>
          <w:tcPr>
            <w:tcW w:w="1203" w:type="dxa"/>
          </w:tcPr>
          <w:p w14:paraId="53C54F57">
            <w:pPr>
              <w:adjustRightInd w:val="0"/>
              <w:snapToGrid w:val="0"/>
              <w:spacing w:line="260" w:lineRule="exact"/>
              <w:jc w:val="center"/>
              <w:rPr>
                <w:color w:val="auto"/>
                <w:sz w:val="18"/>
                <w:szCs w:val="18"/>
              </w:rPr>
            </w:pPr>
            <w:r>
              <w:rPr>
                <w:color w:val="auto"/>
                <w:sz w:val="18"/>
                <w:szCs w:val="18"/>
              </w:rPr>
              <w:t>1300</w:t>
            </w:r>
          </w:p>
        </w:tc>
        <w:tc>
          <w:tcPr>
            <w:tcW w:w="1123" w:type="dxa"/>
          </w:tcPr>
          <w:p w14:paraId="4DCEED91">
            <w:pPr>
              <w:adjustRightInd w:val="0"/>
              <w:snapToGrid w:val="0"/>
              <w:spacing w:line="260" w:lineRule="exact"/>
              <w:jc w:val="center"/>
              <w:rPr>
                <w:color w:val="auto"/>
                <w:sz w:val="18"/>
                <w:szCs w:val="18"/>
              </w:rPr>
            </w:pPr>
            <w:r>
              <w:rPr>
                <w:color w:val="auto"/>
                <w:sz w:val="18"/>
                <w:szCs w:val="18"/>
              </w:rPr>
              <w:t>1500</w:t>
            </w:r>
          </w:p>
        </w:tc>
      </w:tr>
      <w:tr w14:paraId="1E265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1361" w:type="dxa"/>
          </w:tcPr>
          <w:p w14:paraId="316AD30A">
            <w:pPr>
              <w:adjustRightInd w:val="0"/>
              <w:snapToGrid w:val="0"/>
              <w:spacing w:line="300" w:lineRule="exact"/>
              <w:jc w:val="center"/>
              <w:rPr>
                <w:color w:val="auto"/>
                <w:sz w:val="18"/>
                <w:szCs w:val="18"/>
              </w:rPr>
            </w:pPr>
            <w:r>
              <w:rPr>
                <w:i/>
                <w:iCs/>
                <w:color w:val="auto"/>
                <w:sz w:val="18"/>
                <w:szCs w:val="18"/>
              </w:rPr>
              <w:t>E</w:t>
            </w:r>
            <w:r>
              <w:rPr>
                <w:color w:val="auto"/>
                <w:sz w:val="18"/>
                <w:szCs w:val="18"/>
                <w:vertAlign w:val="subscript"/>
              </w:rPr>
              <w:t>0</w:t>
            </w:r>
            <w:r>
              <w:rPr>
                <w:color w:val="auto"/>
                <w:sz w:val="18"/>
                <w:szCs w:val="18"/>
              </w:rPr>
              <w:t>（MPa）</w:t>
            </w:r>
          </w:p>
        </w:tc>
        <w:tc>
          <w:tcPr>
            <w:tcW w:w="1048" w:type="dxa"/>
          </w:tcPr>
          <w:p w14:paraId="33935E9E">
            <w:pPr>
              <w:adjustRightInd w:val="0"/>
              <w:snapToGrid w:val="0"/>
              <w:spacing w:line="260" w:lineRule="exact"/>
              <w:jc w:val="center"/>
              <w:rPr>
                <w:color w:val="auto"/>
                <w:sz w:val="18"/>
                <w:szCs w:val="18"/>
              </w:rPr>
            </w:pPr>
            <w:r>
              <w:rPr>
                <w:rFonts w:hint="eastAsia"/>
                <w:color w:val="auto"/>
                <w:sz w:val="18"/>
                <w:szCs w:val="18"/>
              </w:rPr>
              <w:t>4</w:t>
            </w:r>
            <w:r>
              <w:rPr>
                <w:color w:val="auto"/>
                <w:sz w:val="18"/>
                <w:szCs w:val="18"/>
              </w:rPr>
              <w:t>4</w:t>
            </w:r>
          </w:p>
        </w:tc>
        <w:tc>
          <w:tcPr>
            <w:tcW w:w="1103" w:type="dxa"/>
          </w:tcPr>
          <w:p w14:paraId="50A769A1">
            <w:pPr>
              <w:adjustRightInd w:val="0"/>
              <w:snapToGrid w:val="0"/>
              <w:spacing w:line="260" w:lineRule="exact"/>
              <w:jc w:val="center"/>
              <w:rPr>
                <w:color w:val="auto"/>
                <w:sz w:val="18"/>
                <w:szCs w:val="18"/>
              </w:rPr>
            </w:pPr>
            <w:r>
              <w:rPr>
                <w:color w:val="auto"/>
                <w:sz w:val="18"/>
                <w:szCs w:val="18"/>
              </w:rPr>
              <w:t>46</w:t>
            </w:r>
          </w:p>
        </w:tc>
        <w:tc>
          <w:tcPr>
            <w:tcW w:w="1134" w:type="dxa"/>
          </w:tcPr>
          <w:p w14:paraId="5D0381A8">
            <w:pPr>
              <w:adjustRightInd w:val="0"/>
              <w:snapToGrid w:val="0"/>
              <w:spacing w:line="260" w:lineRule="exact"/>
              <w:jc w:val="center"/>
              <w:rPr>
                <w:color w:val="auto"/>
                <w:sz w:val="18"/>
                <w:szCs w:val="18"/>
              </w:rPr>
            </w:pPr>
            <w:r>
              <w:rPr>
                <w:color w:val="auto"/>
                <w:sz w:val="18"/>
                <w:szCs w:val="18"/>
              </w:rPr>
              <w:t>50</w:t>
            </w:r>
          </w:p>
        </w:tc>
        <w:tc>
          <w:tcPr>
            <w:tcW w:w="1067" w:type="dxa"/>
          </w:tcPr>
          <w:p w14:paraId="32E65852">
            <w:pPr>
              <w:adjustRightInd w:val="0"/>
              <w:snapToGrid w:val="0"/>
              <w:spacing w:line="260" w:lineRule="exact"/>
              <w:jc w:val="center"/>
              <w:rPr>
                <w:color w:val="auto"/>
                <w:sz w:val="18"/>
                <w:szCs w:val="18"/>
              </w:rPr>
            </w:pPr>
            <w:r>
              <w:rPr>
                <w:color w:val="auto"/>
                <w:sz w:val="18"/>
                <w:szCs w:val="18"/>
              </w:rPr>
              <w:t>54</w:t>
            </w:r>
          </w:p>
        </w:tc>
        <w:tc>
          <w:tcPr>
            <w:tcW w:w="1116" w:type="dxa"/>
          </w:tcPr>
          <w:p w14:paraId="1E37D5FC">
            <w:pPr>
              <w:adjustRightInd w:val="0"/>
              <w:snapToGrid w:val="0"/>
              <w:spacing w:line="260" w:lineRule="exact"/>
              <w:jc w:val="center"/>
              <w:rPr>
                <w:color w:val="auto"/>
                <w:sz w:val="18"/>
                <w:szCs w:val="18"/>
              </w:rPr>
            </w:pPr>
            <w:r>
              <w:rPr>
                <w:color w:val="auto"/>
                <w:sz w:val="18"/>
                <w:szCs w:val="18"/>
              </w:rPr>
              <w:t>58</w:t>
            </w:r>
          </w:p>
        </w:tc>
        <w:tc>
          <w:tcPr>
            <w:tcW w:w="1203" w:type="dxa"/>
          </w:tcPr>
          <w:p w14:paraId="50489212">
            <w:pPr>
              <w:adjustRightInd w:val="0"/>
              <w:snapToGrid w:val="0"/>
              <w:spacing w:line="260" w:lineRule="exact"/>
              <w:jc w:val="center"/>
              <w:rPr>
                <w:color w:val="auto"/>
                <w:sz w:val="18"/>
                <w:szCs w:val="18"/>
              </w:rPr>
            </w:pPr>
            <w:r>
              <w:rPr>
                <w:color w:val="auto"/>
                <w:sz w:val="18"/>
                <w:szCs w:val="18"/>
              </w:rPr>
              <w:t>62</w:t>
            </w:r>
          </w:p>
        </w:tc>
        <w:tc>
          <w:tcPr>
            <w:tcW w:w="1123" w:type="dxa"/>
          </w:tcPr>
          <w:p w14:paraId="3E0347EC">
            <w:pPr>
              <w:adjustRightInd w:val="0"/>
              <w:snapToGrid w:val="0"/>
              <w:spacing w:line="260" w:lineRule="exact"/>
              <w:jc w:val="center"/>
              <w:rPr>
                <w:color w:val="auto"/>
                <w:sz w:val="18"/>
                <w:szCs w:val="18"/>
              </w:rPr>
            </w:pPr>
            <w:r>
              <w:rPr>
                <w:color w:val="auto"/>
                <w:sz w:val="18"/>
                <w:szCs w:val="18"/>
              </w:rPr>
              <w:t>66</w:t>
            </w:r>
          </w:p>
        </w:tc>
      </w:tr>
    </w:tbl>
    <w:p w14:paraId="0A2B6C4E">
      <w:pPr>
        <w:adjustRightInd w:val="0"/>
        <w:snapToGrid w:val="0"/>
        <w:spacing w:before="120" w:line="360" w:lineRule="exact"/>
        <w:ind w:firstLine="422" w:firstLineChars="200"/>
        <w:rPr>
          <w:color w:val="auto"/>
          <w:szCs w:val="21"/>
        </w:rPr>
      </w:pPr>
      <w:r>
        <w:rPr>
          <w:b/>
          <w:bCs/>
          <w:color w:val="auto"/>
          <w:szCs w:val="21"/>
        </w:rPr>
        <w:t>b)</w:t>
      </w:r>
      <w:r>
        <w:rPr>
          <w:color w:val="auto"/>
          <w:szCs w:val="21"/>
        </w:rPr>
        <w:t xml:space="preserve">  根据标准贯入、动力触探锤击数、静力触探试验比贯入阻力的标准值确定土的压缩性指标时,应符合表 E.24～表 E.29的规定：</w:t>
      </w:r>
    </w:p>
    <w:p w14:paraId="6EEA18FE">
      <w:pPr>
        <w:adjustRightInd w:val="0"/>
        <w:snapToGrid w:val="0"/>
        <w:spacing w:before="156" w:beforeLines="50" w:line="360" w:lineRule="atLeast"/>
        <w:jc w:val="center"/>
        <w:rPr>
          <w:rFonts w:eastAsia="黑体"/>
          <w:b/>
          <w:color w:val="auto"/>
          <w:szCs w:val="21"/>
        </w:rPr>
      </w:pPr>
      <w:r>
        <w:rPr>
          <w:rFonts w:eastAsia="黑体"/>
          <w:b/>
          <w:color w:val="auto"/>
          <w:szCs w:val="21"/>
        </w:rPr>
        <w:t>表E.24  碎石土的变形模量</w:t>
      </w:r>
    </w:p>
    <w:tbl>
      <w:tblPr>
        <w:tblStyle w:val="36"/>
        <w:tblW w:w="91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11"/>
        <w:gridCol w:w="701"/>
        <w:gridCol w:w="720"/>
        <w:gridCol w:w="717"/>
        <w:gridCol w:w="641"/>
        <w:gridCol w:w="603"/>
        <w:gridCol w:w="603"/>
        <w:gridCol w:w="603"/>
        <w:gridCol w:w="603"/>
        <w:gridCol w:w="603"/>
        <w:gridCol w:w="603"/>
        <w:gridCol w:w="688"/>
        <w:gridCol w:w="660"/>
      </w:tblGrid>
      <w:tr w14:paraId="09899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 w:hRule="atLeast"/>
          <w:jc w:val="center"/>
        </w:trPr>
        <w:tc>
          <w:tcPr>
            <w:tcW w:w="1411" w:type="dxa"/>
          </w:tcPr>
          <w:p w14:paraId="2E311A0D">
            <w:pPr>
              <w:adjustRightInd w:val="0"/>
              <w:snapToGrid w:val="0"/>
              <w:spacing w:line="300" w:lineRule="exact"/>
              <w:jc w:val="center"/>
              <w:rPr>
                <w:color w:val="auto"/>
                <w:sz w:val="18"/>
                <w:szCs w:val="18"/>
              </w:rPr>
            </w:pPr>
            <w:r>
              <w:rPr>
                <w:i/>
                <w:color w:val="auto"/>
                <w:sz w:val="18"/>
                <w:szCs w:val="18"/>
              </w:rPr>
              <w:t>f</w:t>
            </w:r>
            <w:r>
              <w:rPr>
                <w:iCs/>
                <w:color w:val="auto"/>
                <w:sz w:val="18"/>
                <w:szCs w:val="18"/>
                <w:vertAlign w:val="subscript"/>
              </w:rPr>
              <w:t>ak</w:t>
            </w:r>
            <w:r>
              <w:rPr>
                <w:color w:val="auto"/>
                <w:sz w:val="18"/>
                <w:szCs w:val="18"/>
              </w:rPr>
              <w:t>（kPa）</w:t>
            </w:r>
          </w:p>
        </w:tc>
        <w:tc>
          <w:tcPr>
            <w:tcW w:w="701" w:type="dxa"/>
          </w:tcPr>
          <w:p w14:paraId="6AE815A0">
            <w:pPr>
              <w:adjustRightInd w:val="0"/>
              <w:snapToGrid w:val="0"/>
              <w:spacing w:line="260" w:lineRule="exact"/>
              <w:jc w:val="center"/>
              <w:rPr>
                <w:color w:val="auto"/>
                <w:sz w:val="18"/>
                <w:szCs w:val="18"/>
              </w:rPr>
            </w:pPr>
            <w:r>
              <w:rPr>
                <w:color w:val="auto"/>
                <w:sz w:val="18"/>
                <w:szCs w:val="18"/>
              </w:rPr>
              <w:t>240</w:t>
            </w:r>
          </w:p>
        </w:tc>
        <w:tc>
          <w:tcPr>
            <w:tcW w:w="720" w:type="dxa"/>
          </w:tcPr>
          <w:p w14:paraId="2BA9469D">
            <w:pPr>
              <w:adjustRightInd w:val="0"/>
              <w:snapToGrid w:val="0"/>
              <w:spacing w:line="260" w:lineRule="exact"/>
              <w:jc w:val="center"/>
              <w:rPr>
                <w:color w:val="auto"/>
                <w:sz w:val="18"/>
                <w:szCs w:val="18"/>
              </w:rPr>
            </w:pPr>
            <w:r>
              <w:rPr>
                <w:color w:val="auto"/>
                <w:sz w:val="18"/>
                <w:szCs w:val="18"/>
              </w:rPr>
              <w:t>320</w:t>
            </w:r>
          </w:p>
        </w:tc>
        <w:tc>
          <w:tcPr>
            <w:tcW w:w="717" w:type="dxa"/>
          </w:tcPr>
          <w:p w14:paraId="0AF0B63B">
            <w:pPr>
              <w:adjustRightInd w:val="0"/>
              <w:snapToGrid w:val="0"/>
              <w:spacing w:line="260" w:lineRule="exact"/>
              <w:jc w:val="center"/>
              <w:rPr>
                <w:color w:val="auto"/>
                <w:sz w:val="18"/>
                <w:szCs w:val="18"/>
              </w:rPr>
            </w:pPr>
            <w:r>
              <w:rPr>
                <w:color w:val="auto"/>
                <w:sz w:val="18"/>
                <w:szCs w:val="18"/>
              </w:rPr>
              <w:t>400</w:t>
            </w:r>
          </w:p>
        </w:tc>
        <w:tc>
          <w:tcPr>
            <w:tcW w:w="641" w:type="dxa"/>
          </w:tcPr>
          <w:p w14:paraId="6B3618DD">
            <w:pPr>
              <w:adjustRightInd w:val="0"/>
              <w:snapToGrid w:val="0"/>
              <w:spacing w:line="260" w:lineRule="exact"/>
              <w:jc w:val="center"/>
              <w:rPr>
                <w:color w:val="auto"/>
                <w:sz w:val="18"/>
                <w:szCs w:val="18"/>
              </w:rPr>
            </w:pPr>
            <w:r>
              <w:rPr>
                <w:color w:val="auto"/>
                <w:sz w:val="18"/>
                <w:szCs w:val="18"/>
              </w:rPr>
              <w:t>480</w:t>
            </w:r>
          </w:p>
        </w:tc>
        <w:tc>
          <w:tcPr>
            <w:tcW w:w="603" w:type="dxa"/>
          </w:tcPr>
          <w:p w14:paraId="6661A638">
            <w:pPr>
              <w:adjustRightInd w:val="0"/>
              <w:snapToGrid w:val="0"/>
              <w:spacing w:line="260" w:lineRule="exact"/>
              <w:jc w:val="center"/>
              <w:rPr>
                <w:color w:val="auto"/>
                <w:sz w:val="18"/>
                <w:szCs w:val="18"/>
              </w:rPr>
            </w:pPr>
            <w:r>
              <w:rPr>
                <w:color w:val="auto"/>
                <w:sz w:val="18"/>
                <w:szCs w:val="18"/>
              </w:rPr>
              <w:t>560</w:t>
            </w:r>
          </w:p>
        </w:tc>
        <w:tc>
          <w:tcPr>
            <w:tcW w:w="603" w:type="dxa"/>
          </w:tcPr>
          <w:p w14:paraId="10B38632">
            <w:pPr>
              <w:adjustRightInd w:val="0"/>
              <w:snapToGrid w:val="0"/>
              <w:spacing w:line="260" w:lineRule="exact"/>
              <w:jc w:val="center"/>
              <w:rPr>
                <w:color w:val="auto"/>
                <w:sz w:val="18"/>
                <w:szCs w:val="18"/>
              </w:rPr>
            </w:pPr>
            <w:r>
              <w:rPr>
                <w:color w:val="auto"/>
                <w:sz w:val="18"/>
                <w:szCs w:val="18"/>
              </w:rPr>
              <w:t>640</w:t>
            </w:r>
          </w:p>
        </w:tc>
        <w:tc>
          <w:tcPr>
            <w:tcW w:w="603" w:type="dxa"/>
          </w:tcPr>
          <w:p w14:paraId="48FE48D4">
            <w:pPr>
              <w:adjustRightInd w:val="0"/>
              <w:snapToGrid w:val="0"/>
              <w:spacing w:line="260" w:lineRule="exact"/>
              <w:jc w:val="center"/>
              <w:rPr>
                <w:color w:val="auto"/>
                <w:sz w:val="18"/>
                <w:szCs w:val="18"/>
              </w:rPr>
            </w:pPr>
            <w:r>
              <w:rPr>
                <w:color w:val="auto"/>
                <w:sz w:val="18"/>
                <w:szCs w:val="18"/>
              </w:rPr>
              <w:t>720</w:t>
            </w:r>
          </w:p>
        </w:tc>
        <w:tc>
          <w:tcPr>
            <w:tcW w:w="603" w:type="dxa"/>
          </w:tcPr>
          <w:p w14:paraId="5CCB5AF1">
            <w:pPr>
              <w:adjustRightInd w:val="0"/>
              <w:snapToGrid w:val="0"/>
              <w:spacing w:line="260" w:lineRule="exact"/>
              <w:jc w:val="center"/>
              <w:rPr>
                <w:color w:val="auto"/>
                <w:sz w:val="18"/>
                <w:szCs w:val="18"/>
              </w:rPr>
            </w:pPr>
            <w:r>
              <w:rPr>
                <w:color w:val="auto"/>
                <w:sz w:val="18"/>
                <w:szCs w:val="18"/>
              </w:rPr>
              <w:t>800</w:t>
            </w:r>
          </w:p>
        </w:tc>
        <w:tc>
          <w:tcPr>
            <w:tcW w:w="603" w:type="dxa"/>
          </w:tcPr>
          <w:p w14:paraId="15AA6540">
            <w:pPr>
              <w:adjustRightInd w:val="0"/>
              <w:snapToGrid w:val="0"/>
              <w:spacing w:line="260" w:lineRule="exact"/>
              <w:jc w:val="center"/>
              <w:rPr>
                <w:color w:val="auto"/>
                <w:sz w:val="18"/>
                <w:szCs w:val="18"/>
              </w:rPr>
            </w:pPr>
            <w:r>
              <w:rPr>
                <w:color w:val="auto"/>
                <w:sz w:val="18"/>
                <w:szCs w:val="18"/>
              </w:rPr>
              <w:t>860</w:t>
            </w:r>
          </w:p>
        </w:tc>
        <w:tc>
          <w:tcPr>
            <w:tcW w:w="603" w:type="dxa"/>
          </w:tcPr>
          <w:p w14:paraId="58BA7575">
            <w:pPr>
              <w:adjustRightInd w:val="0"/>
              <w:snapToGrid w:val="0"/>
              <w:spacing w:line="260" w:lineRule="exact"/>
              <w:jc w:val="center"/>
              <w:rPr>
                <w:color w:val="auto"/>
                <w:sz w:val="18"/>
                <w:szCs w:val="18"/>
              </w:rPr>
            </w:pPr>
            <w:r>
              <w:rPr>
                <w:color w:val="auto"/>
                <w:sz w:val="18"/>
                <w:szCs w:val="18"/>
              </w:rPr>
              <w:t>900</w:t>
            </w:r>
          </w:p>
        </w:tc>
        <w:tc>
          <w:tcPr>
            <w:tcW w:w="688" w:type="dxa"/>
          </w:tcPr>
          <w:p w14:paraId="6AFB28B5">
            <w:pPr>
              <w:adjustRightInd w:val="0"/>
              <w:snapToGrid w:val="0"/>
              <w:spacing w:line="260" w:lineRule="exact"/>
              <w:jc w:val="center"/>
              <w:rPr>
                <w:color w:val="auto"/>
                <w:sz w:val="18"/>
                <w:szCs w:val="18"/>
              </w:rPr>
            </w:pPr>
            <w:r>
              <w:rPr>
                <w:color w:val="auto"/>
                <w:sz w:val="18"/>
                <w:szCs w:val="18"/>
              </w:rPr>
              <w:t>950</w:t>
            </w:r>
          </w:p>
        </w:tc>
        <w:tc>
          <w:tcPr>
            <w:tcW w:w="660" w:type="dxa"/>
          </w:tcPr>
          <w:p w14:paraId="1FDED640">
            <w:pPr>
              <w:adjustRightInd w:val="0"/>
              <w:snapToGrid w:val="0"/>
              <w:spacing w:line="260" w:lineRule="exact"/>
              <w:jc w:val="center"/>
              <w:rPr>
                <w:color w:val="auto"/>
                <w:sz w:val="18"/>
                <w:szCs w:val="18"/>
              </w:rPr>
            </w:pPr>
            <w:r>
              <w:rPr>
                <w:color w:val="auto"/>
                <w:sz w:val="18"/>
                <w:szCs w:val="18"/>
              </w:rPr>
              <w:t>1000</w:t>
            </w:r>
          </w:p>
        </w:tc>
      </w:tr>
      <w:tr w14:paraId="5C8EC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6" w:hRule="atLeast"/>
          <w:jc w:val="center"/>
        </w:trPr>
        <w:tc>
          <w:tcPr>
            <w:tcW w:w="1411" w:type="dxa"/>
          </w:tcPr>
          <w:p w14:paraId="0B307E9A">
            <w:pPr>
              <w:adjustRightInd w:val="0"/>
              <w:snapToGrid w:val="0"/>
              <w:spacing w:line="300" w:lineRule="exact"/>
              <w:jc w:val="center"/>
              <w:rPr>
                <w:color w:val="auto"/>
                <w:sz w:val="18"/>
                <w:szCs w:val="18"/>
              </w:rPr>
            </w:pPr>
            <w:r>
              <w:rPr>
                <w:i/>
                <w:color w:val="auto"/>
                <w:sz w:val="18"/>
                <w:szCs w:val="18"/>
              </w:rPr>
              <w:t>E</w:t>
            </w:r>
            <w:r>
              <w:rPr>
                <w:color w:val="auto"/>
                <w:sz w:val="18"/>
                <w:szCs w:val="18"/>
                <w:vertAlign w:val="subscript"/>
              </w:rPr>
              <w:t>0</w:t>
            </w:r>
            <w:r>
              <w:rPr>
                <w:color w:val="auto"/>
                <w:sz w:val="18"/>
                <w:szCs w:val="18"/>
              </w:rPr>
              <w:t>（MPa）</w:t>
            </w:r>
          </w:p>
        </w:tc>
        <w:tc>
          <w:tcPr>
            <w:tcW w:w="701" w:type="dxa"/>
          </w:tcPr>
          <w:p w14:paraId="1EDB17F6">
            <w:pPr>
              <w:adjustRightInd w:val="0"/>
              <w:snapToGrid w:val="0"/>
              <w:spacing w:line="260" w:lineRule="exact"/>
              <w:jc w:val="center"/>
              <w:rPr>
                <w:color w:val="auto"/>
                <w:sz w:val="18"/>
                <w:szCs w:val="18"/>
              </w:rPr>
            </w:pPr>
            <w:r>
              <w:rPr>
                <w:color w:val="auto"/>
                <w:sz w:val="18"/>
                <w:szCs w:val="18"/>
              </w:rPr>
              <w:t>16</w:t>
            </w:r>
          </w:p>
        </w:tc>
        <w:tc>
          <w:tcPr>
            <w:tcW w:w="720" w:type="dxa"/>
          </w:tcPr>
          <w:p w14:paraId="4E7DDEA6">
            <w:pPr>
              <w:adjustRightInd w:val="0"/>
              <w:snapToGrid w:val="0"/>
              <w:spacing w:line="260" w:lineRule="exact"/>
              <w:jc w:val="center"/>
              <w:rPr>
                <w:color w:val="auto"/>
                <w:sz w:val="18"/>
                <w:szCs w:val="18"/>
              </w:rPr>
            </w:pPr>
            <w:r>
              <w:rPr>
                <w:color w:val="auto"/>
                <w:sz w:val="18"/>
                <w:szCs w:val="18"/>
              </w:rPr>
              <w:t>21</w:t>
            </w:r>
          </w:p>
        </w:tc>
        <w:tc>
          <w:tcPr>
            <w:tcW w:w="717" w:type="dxa"/>
          </w:tcPr>
          <w:p w14:paraId="7494000C">
            <w:pPr>
              <w:adjustRightInd w:val="0"/>
              <w:snapToGrid w:val="0"/>
              <w:spacing w:line="260" w:lineRule="exact"/>
              <w:jc w:val="center"/>
              <w:rPr>
                <w:color w:val="auto"/>
                <w:sz w:val="18"/>
                <w:szCs w:val="18"/>
              </w:rPr>
            </w:pPr>
            <w:r>
              <w:rPr>
                <w:color w:val="auto"/>
                <w:sz w:val="18"/>
                <w:szCs w:val="18"/>
              </w:rPr>
              <w:t>26</w:t>
            </w:r>
          </w:p>
        </w:tc>
        <w:tc>
          <w:tcPr>
            <w:tcW w:w="641" w:type="dxa"/>
          </w:tcPr>
          <w:p w14:paraId="168896E2">
            <w:pPr>
              <w:adjustRightInd w:val="0"/>
              <w:snapToGrid w:val="0"/>
              <w:spacing w:line="260" w:lineRule="exact"/>
              <w:jc w:val="center"/>
              <w:rPr>
                <w:color w:val="auto"/>
                <w:sz w:val="18"/>
                <w:szCs w:val="18"/>
              </w:rPr>
            </w:pPr>
            <w:r>
              <w:rPr>
                <w:color w:val="auto"/>
                <w:sz w:val="18"/>
                <w:szCs w:val="18"/>
              </w:rPr>
              <w:t>31</w:t>
            </w:r>
          </w:p>
        </w:tc>
        <w:tc>
          <w:tcPr>
            <w:tcW w:w="603" w:type="dxa"/>
          </w:tcPr>
          <w:p w14:paraId="7706A0A2">
            <w:pPr>
              <w:adjustRightInd w:val="0"/>
              <w:snapToGrid w:val="0"/>
              <w:spacing w:line="260" w:lineRule="exact"/>
              <w:jc w:val="center"/>
              <w:rPr>
                <w:color w:val="auto"/>
                <w:sz w:val="18"/>
                <w:szCs w:val="18"/>
              </w:rPr>
            </w:pPr>
            <w:r>
              <w:rPr>
                <w:color w:val="auto"/>
                <w:sz w:val="18"/>
                <w:szCs w:val="18"/>
              </w:rPr>
              <w:t>36</w:t>
            </w:r>
          </w:p>
        </w:tc>
        <w:tc>
          <w:tcPr>
            <w:tcW w:w="603" w:type="dxa"/>
          </w:tcPr>
          <w:p w14:paraId="0A4E12B9">
            <w:pPr>
              <w:adjustRightInd w:val="0"/>
              <w:snapToGrid w:val="0"/>
              <w:spacing w:line="260" w:lineRule="exact"/>
              <w:jc w:val="center"/>
              <w:rPr>
                <w:color w:val="auto"/>
                <w:sz w:val="18"/>
                <w:szCs w:val="18"/>
              </w:rPr>
            </w:pPr>
            <w:r>
              <w:rPr>
                <w:color w:val="auto"/>
                <w:sz w:val="18"/>
                <w:szCs w:val="18"/>
              </w:rPr>
              <w:t>42</w:t>
            </w:r>
          </w:p>
        </w:tc>
        <w:tc>
          <w:tcPr>
            <w:tcW w:w="603" w:type="dxa"/>
          </w:tcPr>
          <w:p w14:paraId="0CF4EBFA">
            <w:pPr>
              <w:adjustRightInd w:val="0"/>
              <w:snapToGrid w:val="0"/>
              <w:spacing w:line="260" w:lineRule="exact"/>
              <w:jc w:val="center"/>
              <w:rPr>
                <w:color w:val="auto"/>
                <w:sz w:val="18"/>
                <w:szCs w:val="18"/>
              </w:rPr>
            </w:pPr>
            <w:r>
              <w:rPr>
                <w:color w:val="auto"/>
                <w:sz w:val="18"/>
                <w:szCs w:val="18"/>
              </w:rPr>
              <w:t>48</w:t>
            </w:r>
          </w:p>
        </w:tc>
        <w:tc>
          <w:tcPr>
            <w:tcW w:w="603" w:type="dxa"/>
          </w:tcPr>
          <w:p w14:paraId="1DE29390">
            <w:pPr>
              <w:adjustRightInd w:val="0"/>
              <w:snapToGrid w:val="0"/>
              <w:spacing w:line="260" w:lineRule="exact"/>
              <w:jc w:val="center"/>
              <w:rPr>
                <w:color w:val="auto"/>
                <w:sz w:val="18"/>
                <w:szCs w:val="18"/>
              </w:rPr>
            </w:pPr>
            <w:r>
              <w:rPr>
                <w:color w:val="auto"/>
                <w:sz w:val="18"/>
                <w:szCs w:val="18"/>
              </w:rPr>
              <w:t>53</w:t>
            </w:r>
          </w:p>
        </w:tc>
        <w:tc>
          <w:tcPr>
            <w:tcW w:w="603" w:type="dxa"/>
          </w:tcPr>
          <w:p w14:paraId="6EE6F5BD">
            <w:pPr>
              <w:adjustRightInd w:val="0"/>
              <w:snapToGrid w:val="0"/>
              <w:spacing w:line="260" w:lineRule="exact"/>
              <w:jc w:val="center"/>
              <w:rPr>
                <w:color w:val="auto"/>
                <w:sz w:val="18"/>
                <w:szCs w:val="18"/>
              </w:rPr>
            </w:pPr>
            <w:r>
              <w:rPr>
                <w:color w:val="auto"/>
                <w:sz w:val="18"/>
                <w:szCs w:val="18"/>
              </w:rPr>
              <w:t>57</w:t>
            </w:r>
          </w:p>
        </w:tc>
        <w:tc>
          <w:tcPr>
            <w:tcW w:w="603" w:type="dxa"/>
          </w:tcPr>
          <w:p w14:paraId="380DAA8A">
            <w:pPr>
              <w:adjustRightInd w:val="0"/>
              <w:snapToGrid w:val="0"/>
              <w:spacing w:line="260" w:lineRule="exact"/>
              <w:jc w:val="center"/>
              <w:rPr>
                <w:color w:val="auto"/>
                <w:sz w:val="18"/>
                <w:szCs w:val="18"/>
              </w:rPr>
            </w:pPr>
            <w:r>
              <w:rPr>
                <w:color w:val="auto"/>
                <w:sz w:val="18"/>
                <w:szCs w:val="18"/>
              </w:rPr>
              <w:t>60</w:t>
            </w:r>
          </w:p>
        </w:tc>
        <w:tc>
          <w:tcPr>
            <w:tcW w:w="688" w:type="dxa"/>
          </w:tcPr>
          <w:p w14:paraId="7E585700">
            <w:pPr>
              <w:adjustRightInd w:val="0"/>
              <w:snapToGrid w:val="0"/>
              <w:spacing w:line="260" w:lineRule="exact"/>
              <w:jc w:val="center"/>
              <w:rPr>
                <w:color w:val="auto"/>
                <w:sz w:val="18"/>
                <w:szCs w:val="18"/>
              </w:rPr>
            </w:pPr>
            <w:r>
              <w:rPr>
                <w:color w:val="auto"/>
                <w:sz w:val="18"/>
                <w:szCs w:val="18"/>
              </w:rPr>
              <w:t>62</w:t>
            </w:r>
          </w:p>
        </w:tc>
        <w:tc>
          <w:tcPr>
            <w:tcW w:w="660" w:type="dxa"/>
          </w:tcPr>
          <w:p w14:paraId="0686575E">
            <w:pPr>
              <w:adjustRightInd w:val="0"/>
              <w:snapToGrid w:val="0"/>
              <w:spacing w:line="260" w:lineRule="exact"/>
              <w:jc w:val="center"/>
              <w:rPr>
                <w:color w:val="auto"/>
                <w:sz w:val="18"/>
                <w:szCs w:val="18"/>
              </w:rPr>
            </w:pPr>
            <w:r>
              <w:rPr>
                <w:color w:val="auto"/>
                <w:sz w:val="18"/>
                <w:szCs w:val="18"/>
              </w:rPr>
              <w:t>65</w:t>
            </w:r>
          </w:p>
        </w:tc>
      </w:tr>
    </w:tbl>
    <w:p w14:paraId="004FF718">
      <w:pPr>
        <w:adjustRightInd w:val="0"/>
        <w:snapToGrid w:val="0"/>
        <w:spacing w:line="320" w:lineRule="atLeast"/>
        <w:ind w:firstLine="280" w:firstLineChars="100"/>
        <w:rPr>
          <w:color w:val="auto"/>
          <w:sz w:val="28"/>
          <w:szCs w:val="28"/>
        </w:rPr>
      </w:pPr>
    </w:p>
    <w:p w14:paraId="2D2E1B3D">
      <w:pPr>
        <w:adjustRightInd w:val="0"/>
        <w:snapToGrid w:val="0"/>
        <w:spacing w:line="360" w:lineRule="atLeast"/>
        <w:jc w:val="center"/>
        <w:rPr>
          <w:rFonts w:eastAsia="黑体"/>
          <w:b/>
          <w:color w:val="auto"/>
          <w:szCs w:val="21"/>
        </w:rPr>
      </w:pPr>
      <w:r>
        <w:rPr>
          <w:rFonts w:eastAsia="黑体"/>
          <w:b/>
          <w:color w:val="auto"/>
          <w:szCs w:val="21"/>
        </w:rPr>
        <w:t>表E.25  砂类土的压缩模量</w:t>
      </w:r>
    </w:p>
    <w:tbl>
      <w:tblPr>
        <w:tblStyle w:val="36"/>
        <w:tblW w:w="915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6"/>
        <w:gridCol w:w="599"/>
        <w:gridCol w:w="617"/>
        <w:gridCol w:w="612"/>
        <w:gridCol w:w="596"/>
        <w:gridCol w:w="615"/>
        <w:gridCol w:w="611"/>
        <w:gridCol w:w="554"/>
        <w:gridCol w:w="561"/>
        <w:gridCol w:w="541"/>
        <w:gridCol w:w="541"/>
        <w:gridCol w:w="541"/>
        <w:gridCol w:w="586"/>
        <w:gridCol w:w="571"/>
      </w:tblGrid>
      <w:tr w14:paraId="1752B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1606" w:type="dxa"/>
          </w:tcPr>
          <w:p w14:paraId="3E53AF31">
            <w:pPr>
              <w:adjustRightInd w:val="0"/>
              <w:snapToGrid w:val="0"/>
              <w:spacing w:line="30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599" w:type="dxa"/>
          </w:tcPr>
          <w:p w14:paraId="37455710">
            <w:pPr>
              <w:adjustRightInd w:val="0"/>
              <w:snapToGrid w:val="0"/>
              <w:spacing w:line="260" w:lineRule="exact"/>
              <w:jc w:val="center"/>
              <w:rPr>
                <w:color w:val="auto"/>
                <w:sz w:val="18"/>
                <w:szCs w:val="18"/>
              </w:rPr>
            </w:pPr>
            <w:r>
              <w:rPr>
                <w:color w:val="auto"/>
                <w:sz w:val="18"/>
                <w:szCs w:val="18"/>
              </w:rPr>
              <w:t>3</w:t>
            </w:r>
          </w:p>
        </w:tc>
        <w:tc>
          <w:tcPr>
            <w:tcW w:w="617" w:type="dxa"/>
          </w:tcPr>
          <w:p w14:paraId="1F48BD7E">
            <w:pPr>
              <w:adjustRightInd w:val="0"/>
              <w:snapToGrid w:val="0"/>
              <w:spacing w:line="260" w:lineRule="exact"/>
              <w:jc w:val="center"/>
              <w:rPr>
                <w:color w:val="auto"/>
                <w:sz w:val="18"/>
                <w:szCs w:val="18"/>
              </w:rPr>
            </w:pPr>
            <w:r>
              <w:rPr>
                <w:color w:val="auto"/>
                <w:sz w:val="18"/>
                <w:szCs w:val="18"/>
              </w:rPr>
              <w:t>4</w:t>
            </w:r>
          </w:p>
        </w:tc>
        <w:tc>
          <w:tcPr>
            <w:tcW w:w="612" w:type="dxa"/>
          </w:tcPr>
          <w:p w14:paraId="73FE1CA3">
            <w:pPr>
              <w:adjustRightInd w:val="0"/>
              <w:snapToGrid w:val="0"/>
              <w:spacing w:line="260" w:lineRule="exact"/>
              <w:jc w:val="center"/>
              <w:rPr>
                <w:color w:val="auto"/>
                <w:sz w:val="18"/>
                <w:szCs w:val="18"/>
              </w:rPr>
            </w:pPr>
            <w:r>
              <w:rPr>
                <w:color w:val="auto"/>
                <w:sz w:val="18"/>
                <w:szCs w:val="18"/>
              </w:rPr>
              <w:t>5</w:t>
            </w:r>
          </w:p>
        </w:tc>
        <w:tc>
          <w:tcPr>
            <w:tcW w:w="596" w:type="dxa"/>
          </w:tcPr>
          <w:p w14:paraId="3EF9E058">
            <w:pPr>
              <w:adjustRightInd w:val="0"/>
              <w:snapToGrid w:val="0"/>
              <w:spacing w:line="260" w:lineRule="exact"/>
              <w:jc w:val="center"/>
              <w:rPr>
                <w:color w:val="auto"/>
                <w:sz w:val="18"/>
                <w:szCs w:val="18"/>
              </w:rPr>
            </w:pPr>
            <w:r>
              <w:rPr>
                <w:color w:val="auto"/>
                <w:sz w:val="18"/>
                <w:szCs w:val="18"/>
              </w:rPr>
              <w:t>6</w:t>
            </w:r>
          </w:p>
        </w:tc>
        <w:tc>
          <w:tcPr>
            <w:tcW w:w="615" w:type="dxa"/>
          </w:tcPr>
          <w:p w14:paraId="02A62BBA">
            <w:pPr>
              <w:adjustRightInd w:val="0"/>
              <w:snapToGrid w:val="0"/>
              <w:spacing w:line="260" w:lineRule="exact"/>
              <w:jc w:val="center"/>
              <w:rPr>
                <w:color w:val="auto"/>
                <w:sz w:val="18"/>
                <w:szCs w:val="18"/>
              </w:rPr>
            </w:pPr>
            <w:r>
              <w:rPr>
                <w:color w:val="auto"/>
                <w:sz w:val="18"/>
                <w:szCs w:val="18"/>
              </w:rPr>
              <w:t>7</w:t>
            </w:r>
          </w:p>
        </w:tc>
        <w:tc>
          <w:tcPr>
            <w:tcW w:w="611" w:type="dxa"/>
          </w:tcPr>
          <w:p w14:paraId="5C7E17AA">
            <w:pPr>
              <w:adjustRightInd w:val="0"/>
              <w:snapToGrid w:val="0"/>
              <w:spacing w:line="260" w:lineRule="exact"/>
              <w:jc w:val="center"/>
              <w:rPr>
                <w:color w:val="auto"/>
                <w:sz w:val="18"/>
                <w:szCs w:val="18"/>
              </w:rPr>
            </w:pPr>
            <w:r>
              <w:rPr>
                <w:color w:val="auto"/>
                <w:sz w:val="18"/>
                <w:szCs w:val="18"/>
              </w:rPr>
              <w:t>8</w:t>
            </w:r>
          </w:p>
        </w:tc>
        <w:tc>
          <w:tcPr>
            <w:tcW w:w="554" w:type="dxa"/>
          </w:tcPr>
          <w:p w14:paraId="393C8E79">
            <w:pPr>
              <w:adjustRightInd w:val="0"/>
              <w:snapToGrid w:val="0"/>
              <w:spacing w:line="260" w:lineRule="exact"/>
              <w:jc w:val="center"/>
              <w:rPr>
                <w:color w:val="auto"/>
                <w:sz w:val="18"/>
                <w:szCs w:val="18"/>
              </w:rPr>
            </w:pPr>
            <w:r>
              <w:rPr>
                <w:color w:val="auto"/>
                <w:sz w:val="18"/>
                <w:szCs w:val="18"/>
              </w:rPr>
              <w:t>9</w:t>
            </w:r>
          </w:p>
        </w:tc>
        <w:tc>
          <w:tcPr>
            <w:tcW w:w="561" w:type="dxa"/>
          </w:tcPr>
          <w:p w14:paraId="044FCF37">
            <w:pPr>
              <w:adjustRightInd w:val="0"/>
              <w:snapToGrid w:val="0"/>
              <w:spacing w:line="260" w:lineRule="exact"/>
              <w:jc w:val="center"/>
              <w:rPr>
                <w:color w:val="auto"/>
                <w:sz w:val="18"/>
                <w:szCs w:val="18"/>
              </w:rPr>
            </w:pPr>
            <w:r>
              <w:rPr>
                <w:color w:val="auto"/>
                <w:sz w:val="18"/>
                <w:szCs w:val="18"/>
              </w:rPr>
              <w:t>10</w:t>
            </w:r>
          </w:p>
        </w:tc>
        <w:tc>
          <w:tcPr>
            <w:tcW w:w="541" w:type="dxa"/>
          </w:tcPr>
          <w:p w14:paraId="6E849AB7">
            <w:pPr>
              <w:adjustRightInd w:val="0"/>
              <w:snapToGrid w:val="0"/>
              <w:spacing w:line="260" w:lineRule="exact"/>
              <w:jc w:val="center"/>
              <w:rPr>
                <w:color w:val="auto"/>
                <w:sz w:val="18"/>
                <w:szCs w:val="18"/>
              </w:rPr>
            </w:pPr>
            <w:r>
              <w:rPr>
                <w:color w:val="auto"/>
                <w:sz w:val="18"/>
                <w:szCs w:val="18"/>
              </w:rPr>
              <w:t>11</w:t>
            </w:r>
          </w:p>
        </w:tc>
        <w:tc>
          <w:tcPr>
            <w:tcW w:w="541" w:type="dxa"/>
          </w:tcPr>
          <w:p w14:paraId="111C89D8">
            <w:pPr>
              <w:adjustRightInd w:val="0"/>
              <w:snapToGrid w:val="0"/>
              <w:spacing w:line="260" w:lineRule="exact"/>
              <w:jc w:val="center"/>
              <w:rPr>
                <w:color w:val="auto"/>
                <w:sz w:val="18"/>
                <w:szCs w:val="18"/>
              </w:rPr>
            </w:pPr>
            <w:r>
              <w:rPr>
                <w:color w:val="auto"/>
                <w:sz w:val="18"/>
                <w:szCs w:val="18"/>
              </w:rPr>
              <w:t>12</w:t>
            </w:r>
          </w:p>
        </w:tc>
        <w:tc>
          <w:tcPr>
            <w:tcW w:w="541" w:type="dxa"/>
          </w:tcPr>
          <w:p w14:paraId="24386B32">
            <w:pPr>
              <w:adjustRightInd w:val="0"/>
              <w:snapToGrid w:val="0"/>
              <w:spacing w:line="260" w:lineRule="exact"/>
              <w:jc w:val="center"/>
              <w:rPr>
                <w:color w:val="auto"/>
                <w:sz w:val="18"/>
                <w:szCs w:val="18"/>
              </w:rPr>
            </w:pPr>
            <w:r>
              <w:rPr>
                <w:color w:val="auto"/>
                <w:sz w:val="18"/>
                <w:szCs w:val="18"/>
              </w:rPr>
              <w:t>13</w:t>
            </w:r>
          </w:p>
        </w:tc>
        <w:tc>
          <w:tcPr>
            <w:tcW w:w="586" w:type="dxa"/>
          </w:tcPr>
          <w:p w14:paraId="7898A47E">
            <w:pPr>
              <w:adjustRightInd w:val="0"/>
              <w:snapToGrid w:val="0"/>
              <w:spacing w:line="260" w:lineRule="exact"/>
              <w:jc w:val="center"/>
              <w:rPr>
                <w:color w:val="auto"/>
                <w:sz w:val="18"/>
                <w:szCs w:val="18"/>
              </w:rPr>
            </w:pPr>
            <w:r>
              <w:rPr>
                <w:color w:val="auto"/>
                <w:sz w:val="18"/>
                <w:szCs w:val="18"/>
              </w:rPr>
              <w:t>14</w:t>
            </w:r>
          </w:p>
        </w:tc>
        <w:tc>
          <w:tcPr>
            <w:tcW w:w="571" w:type="dxa"/>
          </w:tcPr>
          <w:p w14:paraId="388FBD7E">
            <w:pPr>
              <w:adjustRightInd w:val="0"/>
              <w:snapToGrid w:val="0"/>
              <w:spacing w:line="260" w:lineRule="exact"/>
              <w:jc w:val="center"/>
              <w:rPr>
                <w:color w:val="auto"/>
                <w:sz w:val="18"/>
                <w:szCs w:val="18"/>
              </w:rPr>
            </w:pPr>
            <w:r>
              <w:rPr>
                <w:color w:val="auto"/>
                <w:sz w:val="18"/>
                <w:szCs w:val="18"/>
              </w:rPr>
              <w:t>15</w:t>
            </w:r>
          </w:p>
        </w:tc>
      </w:tr>
      <w:tr w14:paraId="72E0E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3" w:hRule="atLeast"/>
          <w:jc w:val="center"/>
        </w:trPr>
        <w:tc>
          <w:tcPr>
            <w:tcW w:w="1606" w:type="dxa"/>
          </w:tcPr>
          <w:p w14:paraId="05CA571A">
            <w:pPr>
              <w:adjustRightInd w:val="0"/>
              <w:snapToGrid w:val="0"/>
              <w:spacing w:line="300" w:lineRule="exact"/>
              <w:jc w:val="center"/>
              <w:rPr>
                <w:color w:val="auto"/>
                <w:sz w:val="18"/>
                <w:szCs w:val="18"/>
              </w:rPr>
            </w:pPr>
            <w:r>
              <w:rPr>
                <w:i/>
                <w:iCs/>
                <w:color w:val="auto"/>
                <w:sz w:val="18"/>
                <w:szCs w:val="18"/>
              </w:rPr>
              <w:t>E</w:t>
            </w:r>
            <w:r>
              <w:rPr>
                <w:iCs/>
                <w:color w:val="auto"/>
                <w:sz w:val="18"/>
                <w:szCs w:val="18"/>
                <w:vertAlign w:val="subscript"/>
              </w:rPr>
              <w:t>s（1-2)</w:t>
            </w:r>
            <w:r>
              <w:rPr>
                <w:color w:val="auto"/>
                <w:sz w:val="18"/>
                <w:szCs w:val="18"/>
              </w:rPr>
              <w:t>（MPa）</w:t>
            </w:r>
          </w:p>
        </w:tc>
        <w:tc>
          <w:tcPr>
            <w:tcW w:w="599" w:type="dxa"/>
          </w:tcPr>
          <w:p w14:paraId="53F2B2D6">
            <w:pPr>
              <w:adjustRightInd w:val="0"/>
              <w:snapToGrid w:val="0"/>
              <w:spacing w:line="260" w:lineRule="exact"/>
              <w:jc w:val="center"/>
              <w:rPr>
                <w:color w:val="auto"/>
                <w:sz w:val="18"/>
                <w:szCs w:val="18"/>
              </w:rPr>
            </w:pPr>
            <w:r>
              <w:rPr>
                <w:color w:val="auto"/>
                <w:sz w:val="18"/>
                <w:szCs w:val="18"/>
              </w:rPr>
              <w:t>10</w:t>
            </w:r>
          </w:p>
        </w:tc>
        <w:tc>
          <w:tcPr>
            <w:tcW w:w="617" w:type="dxa"/>
          </w:tcPr>
          <w:p w14:paraId="3029BA77">
            <w:pPr>
              <w:adjustRightInd w:val="0"/>
              <w:snapToGrid w:val="0"/>
              <w:spacing w:line="260" w:lineRule="exact"/>
              <w:jc w:val="center"/>
              <w:rPr>
                <w:color w:val="auto"/>
                <w:sz w:val="18"/>
                <w:szCs w:val="18"/>
              </w:rPr>
            </w:pPr>
            <w:r>
              <w:rPr>
                <w:color w:val="auto"/>
                <w:sz w:val="18"/>
                <w:szCs w:val="18"/>
              </w:rPr>
              <w:t>12</w:t>
            </w:r>
          </w:p>
        </w:tc>
        <w:tc>
          <w:tcPr>
            <w:tcW w:w="612" w:type="dxa"/>
          </w:tcPr>
          <w:p w14:paraId="0D573E6B">
            <w:pPr>
              <w:adjustRightInd w:val="0"/>
              <w:snapToGrid w:val="0"/>
              <w:spacing w:line="260" w:lineRule="exact"/>
              <w:jc w:val="center"/>
              <w:rPr>
                <w:color w:val="auto"/>
                <w:sz w:val="18"/>
                <w:szCs w:val="18"/>
              </w:rPr>
            </w:pPr>
            <w:r>
              <w:rPr>
                <w:color w:val="auto"/>
                <w:sz w:val="18"/>
                <w:szCs w:val="18"/>
              </w:rPr>
              <w:t>13</w:t>
            </w:r>
          </w:p>
        </w:tc>
        <w:tc>
          <w:tcPr>
            <w:tcW w:w="596" w:type="dxa"/>
          </w:tcPr>
          <w:p w14:paraId="59B68825">
            <w:pPr>
              <w:adjustRightInd w:val="0"/>
              <w:snapToGrid w:val="0"/>
              <w:spacing w:line="260" w:lineRule="exact"/>
              <w:jc w:val="center"/>
              <w:rPr>
                <w:color w:val="auto"/>
                <w:sz w:val="18"/>
                <w:szCs w:val="18"/>
              </w:rPr>
            </w:pPr>
            <w:r>
              <w:rPr>
                <w:color w:val="auto"/>
                <w:sz w:val="18"/>
                <w:szCs w:val="18"/>
              </w:rPr>
              <w:t>15</w:t>
            </w:r>
          </w:p>
        </w:tc>
        <w:tc>
          <w:tcPr>
            <w:tcW w:w="615" w:type="dxa"/>
          </w:tcPr>
          <w:p w14:paraId="552BD2C3">
            <w:pPr>
              <w:adjustRightInd w:val="0"/>
              <w:snapToGrid w:val="0"/>
              <w:spacing w:line="260" w:lineRule="exact"/>
              <w:jc w:val="center"/>
              <w:rPr>
                <w:color w:val="auto"/>
                <w:sz w:val="18"/>
                <w:szCs w:val="18"/>
              </w:rPr>
            </w:pPr>
            <w:r>
              <w:rPr>
                <w:color w:val="auto"/>
                <w:sz w:val="18"/>
                <w:szCs w:val="18"/>
              </w:rPr>
              <w:t>17</w:t>
            </w:r>
          </w:p>
        </w:tc>
        <w:tc>
          <w:tcPr>
            <w:tcW w:w="611" w:type="dxa"/>
          </w:tcPr>
          <w:p w14:paraId="6EFBE96E">
            <w:pPr>
              <w:adjustRightInd w:val="0"/>
              <w:snapToGrid w:val="0"/>
              <w:spacing w:line="260" w:lineRule="exact"/>
              <w:jc w:val="center"/>
              <w:rPr>
                <w:color w:val="auto"/>
                <w:sz w:val="18"/>
                <w:szCs w:val="18"/>
              </w:rPr>
            </w:pPr>
            <w:r>
              <w:rPr>
                <w:color w:val="auto"/>
                <w:sz w:val="18"/>
                <w:szCs w:val="18"/>
              </w:rPr>
              <w:t>19</w:t>
            </w:r>
          </w:p>
        </w:tc>
        <w:tc>
          <w:tcPr>
            <w:tcW w:w="554" w:type="dxa"/>
          </w:tcPr>
          <w:p w14:paraId="6D1CB51B">
            <w:pPr>
              <w:adjustRightInd w:val="0"/>
              <w:snapToGrid w:val="0"/>
              <w:spacing w:line="260" w:lineRule="exact"/>
              <w:jc w:val="center"/>
              <w:rPr>
                <w:color w:val="auto"/>
                <w:sz w:val="18"/>
                <w:szCs w:val="18"/>
              </w:rPr>
            </w:pPr>
            <w:r>
              <w:rPr>
                <w:color w:val="auto"/>
                <w:sz w:val="18"/>
                <w:szCs w:val="18"/>
              </w:rPr>
              <w:t>21</w:t>
            </w:r>
          </w:p>
        </w:tc>
        <w:tc>
          <w:tcPr>
            <w:tcW w:w="561" w:type="dxa"/>
          </w:tcPr>
          <w:p w14:paraId="5E9439A9">
            <w:pPr>
              <w:adjustRightInd w:val="0"/>
              <w:snapToGrid w:val="0"/>
              <w:spacing w:line="260" w:lineRule="exact"/>
              <w:jc w:val="center"/>
              <w:rPr>
                <w:color w:val="auto"/>
                <w:sz w:val="18"/>
                <w:szCs w:val="18"/>
              </w:rPr>
            </w:pPr>
            <w:r>
              <w:rPr>
                <w:color w:val="auto"/>
                <w:sz w:val="18"/>
                <w:szCs w:val="18"/>
              </w:rPr>
              <w:t>23</w:t>
            </w:r>
          </w:p>
        </w:tc>
        <w:tc>
          <w:tcPr>
            <w:tcW w:w="541" w:type="dxa"/>
          </w:tcPr>
          <w:p w14:paraId="295C8C60">
            <w:pPr>
              <w:adjustRightInd w:val="0"/>
              <w:snapToGrid w:val="0"/>
              <w:spacing w:line="260" w:lineRule="exact"/>
              <w:jc w:val="center"/>
              <w:rPr>
                <w:color w:val="auto"/>
                <w:sz w:val="18"/>
                <w:szCs w:val="18"/>
              </w:rPr>
            </w:pPr>
            <w:r>
              <w:rPr>
                <w:color w:val="auto"/>
                <w:sz w:val="18"/>
                <w:szCs w:val="18"/>
              </w:rPr>
              <w:t>25</w:t>
            </w:r>
          </w:p>
        </w:tc>
        <w:tc>
          <w:tcPr>
            <w:tcW w:w="541" w:type="dxa"/>
          </w:tcPr>
          <w:p w14:paraId="4869D972">
            <w:pPr>
              <w:adjustRightInd w:val="0"/>
              <w:snapToGrid w:val="0"/>
              <w:spacing w:line="260" w:lineRule="exact"/>
              <w:jc w:val="center"/>
              <w:rPr>
                <w:color w:val="auto"/>
                <w:sz w:val="18"/>
                <w:szCs w:val="18"/>
              </w:rPr>
            </w:pPr>
            <w:r>
              <w:rPr>
                <w:color w:val="auto"/>
                <w:sz w:val="18"/>
                <w:szCs w:val="18"/>
              </w:rPr>
              <w:t>27</w:t>
            </w:r>
          </w:p>
        </w:tc>
        <w:tc>
          <w:tcPr>
            <w:tcW w:w="541" w:type="dxa"/>
          </w:tcPr>
          <w:p w14:paraId="5E2CE3ED">
            <w:pPr>
              <w:adjustRightInd w:val="0"/>
              <w:snapToGrid w:val="0"/>
              <w:spacing w:line="260" w:lineRule="exact"/>
              <w:jc w:val="center"/>
              <w:rPr>
                <w:color w:val="auto"/>
                <w:sz w:val="18"/>
                <w:szCs w:val="18"/>
              </w:rPr>
            </w:pPr>
            <w:r>
              <w:rPr>
                <w:color w:val="auto"/>
                <w:sz w:val="18"/>
                <w:szCs w:val="18"/>
              </w:rPr>
              <w:t>29</w:t>
            </w:r>
          </w:p>
        </w:tc>
        <w:tc>
          <w:tcPr>
            <w:tcW w:w="586" w:type="dxa"/>
          </w:tcPr>
          <w:p w14:paraId="1AD2AAB7">
            <w:pPr>
              <w:adjustRightInd w:val="0"/>
              <w:snapToGrid w:val="0"/>
              <w:spacing w:line="260" w:lineRule="exact"/>
              <w:jc w:val="center"/>
              <w:rPr>
                <w:color w:val="auto"/>
                <w:sz w:val="18"/>
                <w:szCs w:val="18"/>
              </w:rPr>
            </w:pPr>
            <w:r>
              <w:rPr>
                <w:color w:val="auto"/>
                <w:sz w:val="18"/>
                <w:szCs w:val="18"/>
              </w:rPr>
              <w:t>32</w:t>
            </w:r>
          </w:p>
        </w:tc>
        <w:tc>
          <w:tcPr>
            <w:tcW w:w="571" w:type="dxa"/>
          </w:tcPr>
          <w:p w14:paraId="525D9F64">
            <w:pPr>
              <w:adjustRightInd w:val="0"/>
              <w:snapToGrid w:val="0"/>
              <w:spacing w:line="260" w:lineRule="exact"/>
              <w:jc w:val="center"/>
              <w:rPr>
                <w:color w:val="auto"/>
                <w:sz w:val="18"/>
                <w:szCs w:val="18"/>
              </w:rPr>
            </w:pPr>
            <w:r>
              <w:rPr>
                <w:color w:val="auto"/>
                <w:sz w:val="18"/>
                <w:szCs w:val="18"/>
              </w:rPr>
              <w:t>35</w:t>
            </w:r>
          </w:p>
        </w:tc>
      </w:tr>
      <w:tr w14:paraId="5F85E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9151" w:type="dxa"/>
            <w:gridSpan w:val="14"/>
          </w:tcPr>
          <w:p w14:paraId="6ABE63C0">
            <w:pPr>
              <w:adjustRightInd w:val="0"/>
              <w:snapToGrid w:val="0"/>
              <w:ind w:left="374" w:hanging="374" w:hangingChars="208"/>
              <w:rPr>
                <w:color w:val="auto"/>
                <w:sz w:val="18"/>
                <w:szCs w:val="18"/>
              </w:rPr>
            </w:pPr>
            <w:r>
              <w:rPr>
                <w:color w:val="auto"/>
                <w:sz w:val="18"/>
                <w:szCs w:val="18"/>
              </w:rPr>
              <w:t>注：以粉砂为主的粉砂与粉土、粉质黏土互层的</w:t>
            </w:r>
            <w:r>
              <w:rPr>
                <w:i/>
                <w:iCs/>
                <w:color w:val="auto"/>
                <w:sz w:val="18"/>
                <w:szCs w:val="18"/>
              </w:rPr>
              <w:t>E</w:t>
            </w:r>
            <w:r>
              <w:rPr>
                <w:iCs/>
                <w:color w:val="auto"/>
                <w:sz w:val="18"/>
                <w:szCs w:val="18"/>
                <w:vertAlign w:val="subscript"/>
              </w:rPr>
              <w:t>s</w:t>
            </w:r>
            <w:r>
              <w:rPr>
                <w:color w:val="auto"/>
                <w:sz w:val="18"/>
                <w:szCs w:val="18"/>
              </w:rPr>
              <w:t>值应取三者的</w:t>
            </w:r>
            <w:r>
              <w:rPr>
                <w:i/>
                <w:iCs/>
                <w:color w:val="auto"/>
                <w:sz w:val="18"/>
                <w:szCs w:val="18"/>
              </w:rPr>
              <w:t>E</w:t>
            </w:r>
            <w:r>
              <w:rPr>
                <w:iCs/>
                <w:color w:val="auto"/>
                <w:sz w:val="18"/>
                <w:szCs w:val="18"/>
                <w:vertAlign w:val="subscript"/>
              </w:rPr>
              <w:t>s</w:t>
            </w:r>
            <w:r>
              <w:rPr>
                <w:color w:val="auto"/>
                <w:sz w:val="18"/>
                <w:szCs w:val="18"/>
              </w:rPr>
              <w:t>与其厚度的加权平均值。</w:t>
            </w:r>
          </w:p>
        </w:tc>
      </w:tr>
    </w:tbl>
    <w:p w14:paraId="6E9F4C86">
      <w:pPr>
        <w:adjustRightInd w:val="0"/>
        <w:snapToGrid w:val="0"/>
        <w:spacing w:line="420" w:lineRule="exact"/>
        <w:rPr>
          <w:color w:val="auto"/>
          <w:sz w:val="24"/>
        </w:rPr>
      </w:pPr>
    </w:p>
    <w:p w14:paraId="5F30179A">
      <w:pPr>
        <w:adjustRightInd w:val="0"/>
        <w:snapToGrid w:val="0"/>
        <w:spacing w:line="360" w:lineRule="atLeast"/>
        <w:jc w:val="center"/>
        <w:rPr>
          <w:rFonts w:eastAsia="黑体"/>
          <w:b/>
          <w:color w:val="auto"/>
          <w:szCs w:val="21"/>
        </w:rPr>
      </w:pPr>
      <w:r>
        <w:rPr>
          <w:rFonts w:eastAsia="黑体"/>
          <w:b/>
          <w:color w:val="auto"/>
          <w:szCs w:val="21"/>
        </w:rPr>
        <w:t>表E.26  粉土压缩模量</w:t>
      </w:r>
    </w:p>
    <w:tbl>
      <w:tblPr>
        <w:tblStyle w:val="36"/>
        <w:tblW w:w="91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48"/>
        <w:gridCol w:w="1420"/>
        <w:gridCol w:w="1479"/>
        <w:gridCol w:w="1493"/>
        <w:gridCol w:w="1522"/>
        <w:gridCol w:w="1408"/>
      </w:tblGrid>
      <w:tr w14:paraId="438964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1848" w:type="dxa"/>
          </w:tcPr>
          <w:p w14:paraId="702FAE68">
            <w:pPr>
              <w:adjustRightInd w:val="0"/>
              <w:snapToGrid w:val="0"/>
              <w:spacing w:line="300" w:lineRule="exact"/>
              <w:ind w:left="-478" w:leftChars="-228" w:right="71" w:rightChars="34" w:hanging="1"/>
              <w:jc w:val="center"/>
              <w:rPr>
                <w:color w:val="auto"/>
                <w:sz w:val="18"/>
                <w:szCs w:val="18"/>
              </w:rPr>
            </w:pPr>
            <w:r>
              <w:rPr>
                <w:i/>
                <w:iCs/>
                <w:color w:val="auto"/>
                <w:sz w:val="18"/>
                <w:szCs w:val="18"/>
              </w:rPr>
              <w:t xml:space="preserve">          p</w:t>
            </w:r>
            <w:r>
              <w:rPr>
                <w:iCs/>
                <w:color w:val="auto"/>
                <w:sz w:val="18"/>
                <w:szCs w:val="18"/>
                <w:vertAlign w:val="subscript"/>
              </w:rPr>
              <w:t>s</w:t>
            </w:r>
            <w:r>
              <w:rPr>
                <w:color w:val="auto"/>
                <w:sz w:val="18"/>
                <w:szCs w:val="18"/>
              </w:rPr>
              <w:t>（MPa）</w:t>
            </w:r>
          </w:p>
        </w:tc>
        <w:tc>
          <w:tcPr>
            <w:tcW w:w="1420" w:type="dxa"/>
          </w:tcPr>
          <w:p w14:paraId="072AD68B">
            <w:pPr>
              <w:adjustRightInd w:val="0"/>
              <w:snapToGrid w:val="0"/>
              <w:spacing w:line="300" w:lineRule="exact"/>
              <w:jc w:val="center"/>
              <w:rPr>
                <w:color w:val="auto"/>
                <w:sz w:val="18"/>
                <w:szCs w:val="18"/>
              </w:rPr>
            </w:pPr>
            <w:r>
              <w:rPr>
                <w:color w:val="auto"/>
                <w:sz w:val="18"/>
                <w:szCs w:val="18"/>
              </w:rPr>
              <w:t>1.0</w:t>
            </w:r>
          </w:p>
        </w:tc>
        <w:tc>
          <w:tcPr>
            <w:tcW w:w="1479" w:type="dxa"/>
          </w:tcPr>
          <w:p w14:paraId="15CA3DE6">
            <w:pPr>
              <w:adjustRightInd w:val="0"/>
              <w:snapToGrid w:val="0"/>
              <w:spacing w:line="300" w:lineRule="exact"/>
              <w:jc w:val="center"/>
              <w:rPr>
                <w:color w:val="auto"/>
                <w:sz w:val="18"/>
                <w:szCs w:val="18"/>
              </w:rPr>
            </w:pPr>
            <w:r>
              <w:rPr>
                <w:color w:val="auto"/>
                <w:sz w:val="18"/>
                <w:szCs w:val="18"/>
              </w:rPr>
              <w:t>1.5</w:t>
            </w:r>
          </w:p>
        </w:tc>
        <w:tc>
          <w:tcPr>
            <w:tcW w:w="1493" w:type="dxa"/>
          </w:tcPr>
          <w:p w14:paraId="19F53DF9">
            <w:pPr>
              <w:adjustRightInd w:val="0"/>
              <w:snapToGrid w:val="0"/>
              <w:spacing w:line="300" w:lineRule="exact"/>
              <w:jc w:val="center"/>
              <w:rPr>
                <w:color w:val="auto"/>
                <w:sz w:val="18"/>
                <w:szCs w:val="18"/>
              </w:rPr>
            </w:pPr>
            <w:r>
              <w:rPr>
                <w:color w:val="auto"/>
                <w:sz w:val="18"/>
                <w:szCs w:val="18"/>
              </w:rPr>
              <w:t>2.0</w:t>
            </w:r>
          </w:p>
        </w:tc>
        <w:tc>
          <w:tcPr>
            <w:tcW w:w="1522" w:type="dxa"/>
          </w:tcPr>
          <w:p w14:paraId="6FC5DC34">
            <w:pPr>
              <w:adjustRightInd w:val="0"/>
              <w:snapToGrid w:val="0"/>
              <w:spacing w:line="300" w:lineRule="exact"/>
              <w:jc w:val="center"/>
              <w:rPr>
                <w:color w:val="auto"/>
                <w:sz w:val="18"/>
                <w:szCs w:val="18"/>
              </w:rPr>
            </w:pPr>
            <w:r>
              <w:rPr>
                <w:color w:val="auto"/>
                <w:sz w:val="18"/>
                <w:szCs w:val="18"/>
              </w:rPr>
              <w:t>2.5</w:t>
            </w:r>
          </w:p>
        </w:tc>
        <w:tc>
          <w:tcPr>
            <w:tcW w:w="1408" w:type="dxa"/>
          </w:tcPr>
          <w:p w14:paraId="2D6B68F3">
            <w:pPr>
              <w:adjustRightInd w:val="0"/>
              <w:snapToGrid w:val="0"/>
              <w:spacing w:line="300" w:lineRule="exact"/>
              <w:jc w:val="center"/>
              <w:rPr>
                <w:color w:val="auto"/>
                <w:sz w:val="18"/>
                <w:szCs w:val="18"/>
              </w:rPr>
            </w:pPr>
            <w:r>
              <w:rPr>
                <w:color w:val="auto"/>
                <w:sz w:val="18"/>
                <w:szCs w:val="18"/>
              </w:rPr>
              <w:t>3.0</w:t>
            </w:r>
          </w:p>
        </w:tc>
      </w:tr>
      <w:tr w14:paraId="73A9A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1848" w:type="dxa"/>
          </w:tcPr>
          <w:p w14:paraId="0BA16916">
            <w:pPr>
              <w:adjustRightInd w:val="0"/>
              <w:snapToGrid w:val="0"/>
              <w:spacing w:line="300" w:lineRule="exact"/>
              <w:jc w:val="center"/>
              <w:rPr>
                <w:color w:val="auto"/>
                <w:sz w:val="18"/>
                <w:szCs w:val="18"/>
              </w:rPr>
            </w:pPr>
            <w:r>
              <w:rPr>
                <w:i/>
                <w:iCs/>
                <w:color w:val="auto"/>
                <w:sz w:val="18"/>
                <w:szCs w:val="18"/>
              </w:rPr>
              <w:t>E</w:t>
            </w:r>
            <w:r>
              <w:rPr>
                <w:iCs/>
                <w:color w:val="auto"/>
                <w:sz w:val="18"/>
                <w:szCs w:val="18"/>
                <w:vertAlign w:val="subscript"/>
              </w:rPr>
              <w:t>s（1-2)</w:t>
            </w:r>
            <w:r>
              <w:rPr>
                <w:color w:val="auto"/>
                <w:sz w:val="18"/>
                <w:szCs w:val="18"/>
              </w:rPr>
              <w:t>（MPa）</w:t>
            </w:r>
          </w:p>
        </w:tc>
        <w:tc>
          <w:tcPr>
            <w:tcW w:w="1420" w:type="dxa"/>
          </w:tcPr>
          <w:p w14:paraId="1BF93171">
            <w:pPr>
              <w:adjustRightInd w:val="0"/>
              <w:snapToGrid w:val="0"/>
              <w:spacing w:line="300" w:lineRule="exact"/>
              <w:jc w:val="center"/>
              <w:rPr>
                <w:color w:val="auto"/>
                <w:sz w:val="18"/>
                <w:szCs w:val="18"/>
              </w:rPr>
            </w:pPr>
            <w:r>
              <w:rPr>
                <w:color w:val="auto"/>
                <w:sz w:val="18"/>
                <w:szCs w:val="18"/>
              </w:rPr>
              <w:t>6</w:t>
            </w:r>
          </w:p>
        </w:tc>
        <w:tc>
          <w:tcPr>
            <w:tcW w:w="1479" w:type="dxa"/>
          </w:tcPr>
          <w:p w14:paraId="04FD5B27">
            <w:pPr>
              <w:adjustRightInd w:val="0"/>
              <w:snapToGrid w:val="0"/>
              <w:spacing w:line="300" w:lineRule="exact"/>
              <w:jc w:val="center"/>
              <w:rPr>
                <w:color w:val="auto"/>
                <w:sz w:val="18"/>
                <w:szCs w:val="18"/>
              </w:rPr>
            </w:pPr>
            <w:r>
              <w:rPr>
                <w:color w:val="auto"/>
                <w:sz w:val="18"/>
                <w:szCs w:val="18"/>
              </w:rPr>
              <w:t>7</w:t>
            </w:r>
          </w:p>
        </w:tc>
        <w:tc>
          <w:tcPr>
            <w:tcW w:w="1493" w:type="dxa"/>
          </w:tcPr>
          <w:p w14:paraId="4B3199DA">
            <w:pPr>
              <w:adjustRightInd w:val="0"/>
              <w:snapToGrid w:val="0"/>
              <w:spacing w:line="300" w:lineRule="exact"/>
              <w:jc w:val="center"/>
              <w:rPr>
                <w:color w:val="auto"/>
                <w:sz w:val="18"/>
                <w:szCs w:val="18"/>
              </w:rPr>
            </w:pPr>
            <w:r>
              <w:rPr>
                <w:color w:val="auto"/>
                <w:sz w:val="18"/>
                <w:szCs w:val="18"/>
              </w:rPr>
              <w:t>8</w:t>
            </w:r>
          </w:p>
        </w:tc>
        <w:tc>
          <w:tcPr>
            <w:tcW w:w="1522" w:type="dxa"/>
          </w:tcPr>
          <w:p w14:paraId="0A5AF60F">
            <w:pPr>
              <w:adjustRightInd w:val="0"/>
              <w:snapToGrid w:val="0"/>
              <w:spacing w:line="300" w:lineRule="exact"/>
              <w:jc w:val="center"/>
              <w:rPr>
                <w:color w:val="auto"/>
                <w:sz w:val="18"/>
                <w:szCs w:val="18"/>
              </w:rPr>
            </w:pPr>
            <w:r>
              <w:rPr>
                <w:color w:val="auto"/>
                <w:sz w:val="18"/>
                <w:szCs w:val="18"/>
              </w:rPr>
              <w:t>9</w:t>
            </w:r>
          </w:p>
        </w:tc>
        <w:tc>
          <w:tcPr>
            <w:tcW w:w="1408" w:type="dxa"/>
          </w:tcPr>
          <w:p w14:paraId="301310E5">
            <w:pPr>
              <w:adjustRightInd w:val="0"/>
              <w:snapToGrid w:val="0"/>
              <w:spacing w:line="300" w:lineRule="exact"/>
              <w:jc w:val="center"/>
              <w:rPr>
                <w:color w:val="auto"/>
                <w:sz w:val="18"/>
                <w:szCs w:val="18"/>
              </w:rPr>
            </w:pPr>
            <w:r>
              <w:rPr>
                <w:color w:val="auto"/>
                <w:sz w:val="18"/>
                <w:szCs w:val="18"/>
              </w:rPr>
              <w:t>10</w:t>
            </w:r>
          </w:p>
        </w:tc>
      </w:tr>
      <w:tr w14:paraId="58145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9170" w:type="dxa"/>
            <w:gridSpan w:val="6"/>
          </w:tcPr>
          <w:p w14:paraId="65F5F481">
            <w:pPr>
              <w:adjustRightInd w:val="0"/>
              <w:snapToGrid w:val="0"/>
              <w:spacing w:line="320" w:lineRule="atLeast"/>
              <w:rPr>
                <w:color w:val="auto"/>
                <w:sz w:val="18"/>
                <w:szCs w:val="18"/>
              </w:rPr>
            </w:pPr>
            <w:r>
              <w:rPr>
                <w:color w:val="auto"/>
                <w:sz w:val="18"/>
                <w:szCs w:val="18"/>
              </w:rPr>
              <w:t>注：以粉土为主的粉土与粉砂、粉质黏土互层的</w:t>
            </w:r>
            <w:r>
              <w:rPr>
                <w:i/>
                <w:color w:val="auto"/>
                <w:sz w:val="18"/>
                <w:szCs w:val="18"/>
              </w:rPr>
              <w:t>E</w:t>
            </w:r>
            <w:r>
              <w:rPr>
                <w:iCs/>
                <w:color w:val="auto"/>
                <w:sz w:val="18"/>
                <w:szCs w:val="18"/>
                <w:vertAlign w:val="subscript"/>
              </w:rPr>
              <w:t>s</w:t>
            </w:r>
            <w:r>
              <w:rPr>
                <w:color w:val="auto"/>
                <w:sz w:val="18"/>
                <w:szCs w:val="18"/>
              </w:rPr>
              <w:t>取值同表E.0.2-3的注。</w:t>
            </w:r>
          </w:p>
        </w:tc>
      </w:tr>
    </w:tbl>
    <w:p w14:paraId="6C92E773">
      <w:pPr>
        <w:adjustRightInd w:val="0"/>
        <w:snapToGrid w:val="0"/>
        <w:ind w:left="360" w:hanging="360" w:hangingChars="200"/>
        <w:rPr>
          <w:color w:val="auto"/>
          <w:sz w:val="18"/>
        </w:rPr>
      </w:pPr>
    </w:p>
    <w:p w14:paraId="5DB6762F">
      <w:pPr>
        <w:adjustRightInd w:val="0"/>
        <w:snapToGrid w:val="0"/>
        <w:spacing w:line="360" w:lineRule="atLeast"/>
        <w:jc w:val="center"/>
        <w:rPr>
          <w:rFonts w:eastAsia="黑体"/>
          <w:b/>
          <w:color w:val="auto"/>
          <w:szCs w:val="21"/>
        </w:rPr>
      </w:pPr>
      <w:r>
        <w:rPr>
          <w:rFonts w:eastAsia="黑体"/>
          <w:b/>
          <w:color w:val="auto"/>
          <w:szCs w:val="21"/>
        </w:rPr>
        <w:t>表E.27  素填土压缩模量</w:t>
      </w:r>
    </w:p>
    <w:tbl>
      <w:tblPr>
        <w:tblStyle w:val="36"/>
        <w:tblW w:w="91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11"/>
        <w:gridCol w:w="1860"/>
        <w:gridCol w:w="1772"/>
        <w:gridCol w:w="1841"/>
        <w:gridCol w:w="1700"/>
      </w:tblGrid>
      <w:tr w14:paraId="02BCF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2011" w:type="dxa"/>
          </w:tcPr>
          <w:p w14:paraId="25108209">
            <w:pPr>
              <w:adjustRightInd w:val="0"/>
              <w:snapToGrid w:val="0"/>
              <w:spacing w:line="30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1860" w:type="dxa"/>
          </w:tcPr>
          <w:p w14:paraId="75FFCB30">
            <w:pPr>
              <w:adjustRightInd w:val="0"/>
              <w:snapToGrid w:val="0"/>
              <w:spacing w:line="300" w:lineRule="exact"/>
              <w:jc w:val="center"/>
              <w:rPr>
                <w:color w:val="auto"/>
                <w:sz w:val="18"/>
                <w:szCs w:val="18"/>
              </w:rPr>
            </w:pPr>
            <w:r>
              <w:rPr>
                <w:color w:val="auto"/>
                <w:sz w:val="18"/>
                <w:szCs w:val="18"/>
              </w:rPr>
              <w:t>0.5</w:t>
            </w:r>
          </w:p>
        </w:tc>
        <w:tc>
          <w:tcPr>
            <w:tcW w:w="1772" w:type="dxa"/>
          </w:tcPr>
          <w:p w14:paraId="1EB63307">
            <w:pPr>
              <w:adjustRightInd w:val="0"/>
              <w:snapToGrid w:val="0"/>
              <w:spacing w:line="300" w:lineRule="exact"/>
              <w:jc w:val="center"/>
              <w:rPr>
                <w:color w:val="auto"/>
                <w:sz w:val="18"/>
                <w:szCs w:val="18"/>
              </w:rPr>
            </w:pPr>
            <w:r>
              <w:rPr>
                <w:color w:val="auto"/>
                <w:sz w:val="18"/>
                <w:szCs w:val="18"/>
              </w:rPr>
              <w:t>1.0</w:t>
            </w:r>
          </w:p>
        </w:tc>
        <w:tc>
          <w:tcPr>
            <w:tcW w:w="1841" w:type="dxa"/>
          </w:tcPr>
          <w:p w14:paraId="203CB01F">
            <w:pPr>
              <w:adjustRightInd w:val="0"/>
              <w:snapToGrid w:val="0"/>
              <w:spacing w:line="300" w:lineRule="exact"/>
              <w:jc w:val="center"/>
              <w:rPr>
                <w:color w:val="auto"/>
                <w:sz w:val="18"/>
                <w:szCs w:val="18"/>
              </w:rPr>
            </w:pPr>
            <w:r>
              <w:rPr>
                <w:color w:val="auto"/>
                <w:sz w:val="18"/>
                <w:szCs w:val="18"/>
              </w:rPr>
              <w:t>1.5</w:t>
            </w:r>
          </w:p>
        </w:tc>
        <w:tc>
          <w:tcPr>
            <w:tcW w:w="1700" w:type="dxa"/>
          </w:tcPr>
          <w:p w14:paraId="67C30596">
            <w:pPr>
              <w:adjustRightInd w:val="0"/>
              <w:snapToGrid w:val="0"/>
              <w:spacing w:line="300" w:lineRule="exact"/>
              <w:jc w:val="center"/>
              <w:rPr>
                <w:color w:val="auto"/>
                <w:sz w:val="18"/>
                <w:szCs w:val="18"/>
              </w:rPr>
            </w:pPr>
            <w:r>
              <w:rPr>
                <w:color w:val="auto"/>
                <w:sz w:val="18"/>
                <w:szCs w:val="18"/>
              </w:rPr>
              <w:t>2.0</w:t>
            </w:r>
          </w:p>
        </w:tc>
      </w:tr>
      <w:tr w14:paraId="37CE1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011" w:type="dxa"/>
          </w:tcPr>
          <w:p w14:paraId="6733C1E3">
            <w:pPr>
              <w:adjustRightInd w:val="0"/>
              <w:snapToGrid w:val="0"/>
              <w:spacing w:line="300" w:lineRule="exact"/>
              <w:jc w:val="center"/>
              <w:rPr>
                <w:color w:val="auto"/>
                <w:sz w:val="18"/>
                <w:szCs w:val="18"/>
              </w:rPr>
            </w:pPr>
            <w:r>
              <w:rPr>
                <w:i/>
                <w:iCs/>
                <w:color w:val="auto"/>
                <w:sz w:val="18"/>
                <w:szCs w:val="18"/>
              </w:rPr>
              <w:t>E</w:t>
            </w:r>
            <w:r>
              <w:rPr>
                <w:iCs/>
                <w:color w:val="auto"/>
                <w:sz w:val="18"/>
                <w:szCs w:val="18"/>
                <w:vertAlign w:val="subscript"/>
              </w:rPr>
              <w:t>s(1-2)</w:t>
            </w:r>
            <w:r>
              <w:rPr>
                <w:color w:val="auto"/>
                <w:sz w:val="18"/>
                <w:szCs w:val="18"/>
              </w:rPr>
              <w:t>（MPa）</w:t>
            </w:r>
          </w:p>
        </w:tc>
        <w:tc>
          <w:tcPr>
            <w:tcW w:w="1860" w:type="dxa"/>
          </w:tcPr>
          <w:p w14:paraId="531088B7">
            <w:pPr>
              <w:adjustRightInd w:val="0"/>
              <w:snapToGrid w:val="0"/>
              <w:spacing w:line="300" w:lineRule="exact"/>
              <w:jc w:val="center"/>
              <w:rPr>
                <w:color w:val="auto"/>
                <w:sz w:val="18"/>
                <w:szCs w:val="18"/>
              </w:rPr>
            </w:pPr>
            <w:r>
              <w:rPr>
                <w:color w:val="auto"/>
                <w:sz w:val="18"/>
                <w:szCs w:val="18"/>
              </w:rPr>
              <w:t>2.0</w:t>
            </w:r>
          </w:p>
        </w:tc>
        <w:tc>
          <w:tcPr>
            <w:tcW w:w="1772" w:type="dxa"/>
          </w:tcPr>
          <w:p w14:paraId="03A7934F">
            <w:pPr>
              <w:adjustRightInd w:val="0"/>
              <w:snapToGrid w:val="0"/>
              <w:spacing w:line="300" w:lineRule="exact"/>
              <w:jc w:val="center"/>
              <w:rPr>
                <w:color w:val="auto"/>
                <w:sz w:val="18"/>
                <w:szCs w:val="18"/>
              </w:rPr>
            </w:pPr>
            <w:r>
              <w:rPr>
                <w:color w:val="auto"/>
                <w:sz w:val="18"/>
                <w:szCs w:val="18"/>
              </w:rPr>
              <w:t>3.0</w:t>
            </w:r>
          </w:p>
        </w:tc>
        <w:tc>
          <w:tcPr>
            <w:tcW w:w="1841" w:type="dxa"/>
          </w:tcPr>
          <w:p w14:paraId="414A69C1">
            <w:pPr>
              <w:adjustRightInd w:val="0"/>
              <w:snapToGrid w:val="0"/>
              <w:spacing w:line="300" w:lineRule="exact"/>
              <w:jc w:val="center"/>
              <w:rPr>
                <w:color w:val="auto"/>
                <w:sz w:val="18"/>
                <w:szCs w:val="18"/>
              </w:rPr>
            </w:pPr>
            <w:r>
              <w:rPr>
                <w:color w:val="auto"/>
                <w:sz w:val="18"/>
                <w:szCs w:val="18"/>
              </w:rPr>
              <w:t>4.0</w:t>
            </w:r>
          </w:p>
        </w:tc>
        <w:tc>
          <w:tcPr>
            <w:tcW w:w="1700" w:type="dxa"/>
          </w:tcPr>
          <w:p w14:paraId="3E5B6B5D">
            <w:pPr>
              <w:adjustRightInd w:val="0"/>
              <w:snapToGrid w:val="0"/>
              <w:spacing w:line="300" w:lineRule="exact"/>
              <w:jc w:val="center"/>
              <w:rPr>
                <w:color w:val="auto"/>
                <w:sz w:val="18"/>
                <w:szCs w:val="18"/>
              </w:rPr>
            </w:pPr>
            <w:r>
              <w:rPr>
                <w:color w:val="auto"/>
                <w:sz w:val="18"/>
                <w:szCs w:val="18"/>
              </w:rPr>
              <w:t>5.0</w:t>
            </w:r>
          </w:p>
        </w:tc>
      </w:tr>
      <w:tr w14:paraId="4F4CC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9184" w:type="dxa"/>
            <w:gridSpan w:val="5"/>
          </w:tcPr>
          <w:p w14:paraId="6DFFD9A0">
            <w:pPr>
              <w:adjustRightInd w:val="0"/>
              <w:snapToGrid w:val="0"/>
              <w:rPr>
                <w:color w:val="auto"/>
                <w:sz w:val="18"/>
                <w:szCs w:val="18"/>
              </w:rPr>
            </w:pPr>
            <w:r>
              <w:rPr>
                <w:color w:val="auto"/>
                <w:sz w:val="18"/>
                <w:szCs w:val="18"/>
              </w:rPr>
              <w:t>注：本表仅适用于堆积时间超过十年、主要由黏性土组成的素填土；含砖渣、碎石等在30%以下的填土。</w:t>
            </w:r>
          </w:p>
        </w:tc>
      </w:tr>
    </w:tbl>
    <w:p w14:paraId="4F87AC7A">
      <w:pPr>
        <w:adjustRightInd w:val="0"/>
        <w:snapToGrid w:val="0"/>
        <w:spacing w:line="420" w:lineRule="exact"/>
        <w:rPr>
          <w:color w:val="auto"/>
          <w:sz w:val="24"/>
        </w:rPr>
      </w:pPr>
    </w:p>
    <w:p w14:paraId="5DF3C00C">
      <w:pPr>
        <w:adjustRightInd w:val="0"/>
        <w:snapToGrid w:val="0"/>
        <w:spacing w:line="440" w:lineRule="exact"/>
        <w:jc w:val="center"/>
        <w:rPr>
          <w:rFonts w:eastAsia="黑体"/>
          <w:b/>
          <w:bCs/>
          <w:color w:val="auto"/>
          <w:szCs w:val="21"/>
        </w:rPr>
      </w:pPr>
      <w:r>
        <w:rPr>
          <w:rFonts w:eastAsia="黑体"/>
          <w:b/>
          <w:bCs/>
          <w:color w:val="auto"/>
          <w:szCs w:val="21"/>
        </w:rPr>
        <w:t>表E.28  杂填土压缩模量</w:t>
      </w:r>
    </w:p>
    <w:tbl>
      <w:tblPr>
        <w:tblStyle w:val="36"/>
        <w:tblW w:w="91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21"/>
        <w:gridCol w:w="1812"/>
        <w:gridCol w:w="1903"/>
        <w:gridCol w:w="1774"/>
        <w:gridCol w:w="1744"/>
      </w:tblGrid>
      <w:tr w14:paraId="3CE58D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1921" w:type="dxa"/>
          </w:tcPr>
          <w:p w14:paraId="403D762F">
            <w:pPr>
              <w:adjustRightInd w:val="0"/>
              <w:snapToGrid w:val="0"/>
              <w:spacing w:line="300" w:lineRule="exact"/>
              <w:jc w:val="center"/>
              <w:rPr>
                <w:color w:val="auto"/>
                <w:sz w:val="18"/>
                <w:szCs w:val="18"/>
              </w:rPr>
            </w:pPr>
            <w:r>
              <w:rPr>
                <w:i/>
                <w:color w:val="auto"/>
                <w:sz w:val="18"/>
                <w:szCs w:val="18"/>
              </w:rPr>
              <w:t>N</w:t>
            </w:r>
            <w:r>
              <w:rPr>
                <w:color w:val="auto"/>
                <w:sz w:val="18"/>
                <w:szCs w:val="18"/>
                <w:vertAlign w:val="subscript"/>
              </w:rPr>
              <w:t>63.5</w:t>
            </w:r>
          </w:p>
        </w:tc>
        <w:tc>
          <w:tcPr>
            <w:tcW w:w="1812" w:type="dxa"/>
          </w:tcPr>
          <w:p w14:paraId="0C5CB9A3">
            <w:pPr>
              <w:adjustRightInd w:val="0"/>
              <w:snapToGrid w:val="0"/>
              <w:spacing w:line="300" w:lineRule="exact"/>
              <w:jc w:val="center"/>
              <w:rPr>
                <w:color w:val="auto"/>
                <w:sz w:val="18"/>
                <w:szCs w:val="18"/>
              </w:rPr>
            </w:pPr>
            <w:r>
              <w:rPr>
                <w:color w:val="auto"/>
                <w:sz w:val="18"/>
                <w:szCs w:val="18"/>
              </w:rPr>
              <w:t>1</w:t>
            </w:r>
          </w:p>
        </w:tc>
        <w:tc>
          <w:tcPr>
            <w:tcW w:w="1903" w:type="dxa"/>
          </w:tcPr>
          <w:p w14:paraId="64B1FFA2">
            <w:pPr>
              <w:adjustRightInd w:val="0"/>
              <w:snapToGrid w:val="0"/>
              <w:spacing w:line="300" w:lineRule="exact"/>
              <w:jc w:val="center"/>
              <w:rPr>
                <w:color w:val="auto"/>
                <w:sz w:val="18"/>
                <w:szCs w:val="18"/>
              </w:rPr>
            </w:pPr>
            <w:r>
              <w:rPr>
                <w:color w:val="auto"/>
                <w:sz w:val="18"/>
                <w:szCs w:val="18"/>
              </w:rPr>
              <w:t>2</w:t>
            </w:r>
          </w:p>
        </w:tc>
        <w:tc>
          <w:tcPr>
            <w:tcW w:w="1774" w:type="dxa"/>
          </w:tcPr>
          <w:p w14:paraId="24BF9807">
            <w:pPr>
              <w:adjustRightInd w:val="0"/>
              <w:snapToGrid w:val="0"/>
              <w:spacing w:line="300" w:lineRule="exact"/>
              <w:jc w:val="center"/>
              <w:rPr>
                <w:color w:val="auto"/>
                <w:sz w:val="18"/>
                <w:szCs w:val="18"/>
              </w:rPr>
            </w:pPr>
            <w:r>
              <w:rPr>
                <w:color w:val="auto"/>
                <w:sz w:val="18"/>
                <w:szCs w:val="18"/>
              </w:rPr>
              <w:t>3</w:t>
            </w:r>
          </w:p>
        </w:tc>
        <w:tc>
          <w:tcPr>
            <w:tcW w:w="1744" w:type="dxa"/>
          </w:tcPr>
          <w:p w14:paraId="6566DF2B">
            <w:pPr>
              <w:adjustRightInd w:val="0"/>
              <w:snapToGrid w:val="0"/>
              <w:spacing w:line="300" w:lineRule="exact"/>
              <w:jc w:val="center"/>
              <w:rPr>
                <w:color w:val="auto"/>
                <w:sz w:val="18"/>
                <w:szCs w:val="18"/>
              </w:rPr>
            </w:pPr>
            <w:r>
              <w:rPr>
                <w:color w:val="auto"/>
                <w:sz w:val="18"/>
                <w:szCs w:val="18"/>
              </w:rPr>
              <w:t>4</w:t>
            </w:r>
          </w:p>
        </w:tc>
      </w:tr>
      <w:tr w14:paraId="7BD69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1921" w:type="dxa"/>
          </w:tcPr>
          <w:p w14:paraId="621C34D1">
            <w:pPr>
              <w:adjustRightInd w:val="0"/>
              <w:snapToGrid w:val="0"/>
              <w:spacing w:line="300" w:lineRule="exact"/>
              <w:jc w:val="center"/>
              <w:rPr>
                <w:color w:val="auto"/>
                <w:sz w:val="18"/>
                <w:szCs w:val="18"/>
              </w:rPr>
            </w:pPr>
            <w:r>
              <w:rPr>
                <w:i/>
                <w:iCs/>
                <w:color w:val="auto"/>
                <w:sz w:val="18"/>
                <w:szCs w:val="18"/>
              </w:rPr>
              <w:t>E</w:t>
            </w:r>
            <w:r>
              <w:rPr>
                <w:iCs/>
                <w:color w:val="auto"/>
                <w:sz w:val="18"/>
                <w:szCs w:val="18"/>
                <w:vertAlign w:val="subscript"/>
              </w:rPr>
              <w:t>s(1-2)</w:t>
            </w:r>
            <w:r>
              <w:rPr>
                <w:color w:val="auto"/>
                <w:sz w:val="18"/>
                <w:szCs w:val="18"/>
              </w:rPr>
              <w:t>（MPa）</w:t>
            </w:r>
          </w:p>
        </w:tc>
        <w:tc>
          <w:tcPr>
            <w:tcW w:w="1812" w:type="dxa"/>
          </w:tcPr>
          <w:p w14:paraId="321C3298">
            <w:pPr>
              <w:adjustRightInd w:val="0"/>
              <w:snapToGrid w:val="0"/>
              <w:spacing w:line="300" w:lineRule="exact"/>
              <w:jc w:val="center"/>
              <w:rPr>
                <w:color w:val="auto"/>
                <w:sz w:val="18"/>
                <w:szCs w:val="18"/>
              </w:rPr>
            </w:pPr>
            <w:r>
              <w:rPr>
                <w:color w:val="auto"/>
                <w:sz w:val="18"/>
                <w:szCs w:val="18"/>
              </w:rPr>
              <w:t>2.0</w:t>
            </w:r>
          </w:p>
        </w:tc>
        <w:tc>
          <w:tcPr>
            <w:tcW w:w="1903" w:type="dxa"/>
          </w:tcPr>
          <w:p w14:paraId="0D53E171">
            <w:pPr>
              <w:adjustRightInd w:val="0"/>
              <w:snapToGrid w:val="0"/>
              <w:spacing w:line="300" w:lineRule="exact"/>
              <w:jc w:val="center"/>
              <w:rPr>
                <w:color w:val="auto"/>
                <w:sz w:val="18"/>
                <w:szCs w:val="18"/>
              </w:rPr>
            </w:pPr>
            <w:r>
              <w:rPr>
                <w:color w:val="auto"/>
                <w:sz w:val="18"/>
                <w:szCs w:val="18"/>
              </w:rPr>
              <w:t>3.5</w:t>
            </w:r>
          </w:p>
        </w:tc>
        <w:tc>
          <w:tcPr>
            <w:tcW w:w="1774" w:type="dxa"/>
          </w:tcPr>
          <w:p w14:paraId="184BE76B">
            <w:pPr>
              <w:adjustRightInd w:val="0"/>
              <w:snapToGrid w:val="0"/>
              <w:spacing w:line="300" w:lineRule="exact"/>
              <w:jc w:val="center"/>
              <w:rPr>
                <w:color w:val="auto"/>
                <w:sz w:val="18"/>
                <w:szCs w:val="18"/>
              </w:rPr>
            </w:pPr>
            <w:r>
              <w:rPr>
                <w:color w:val="auto"/>
                <w:sz w:val="18"/>
                <w:szCs w:val="18"/>
              </w:rPr>
              <w:t>5.0</w:t>
            </w:r>
          </w:p>
        </w:tc>
        <w:tc>
          <w:tcPr>
            <w:tcW w:w="1744" w:type="dxa"/>
          </w:tcPr>
          <w:p w14:paraId="33CC66C8">
            <w:pPr>
              <w:adjustRightInd w:val="0"/>
              <w:snapToGrid w:val="0"/>
              <w:spacing w:line="300" w:lineRule="exact"/>
              <w:jc w:val="center"/>
              <w:rPr>
                <w:color w:val="auto"/>
                <w:sz w:val="18"/>
                <w:szCs w:val="18"/>
              </w:rPr>
            </w:pPr>
            <w:r>
              <w:rPr>
                <w:color w:val="auto"/>
                <w:sz w:val="18"/>
                <w:szCs w:val="18"/>
              </w:rPr>
              <w:t>6.5</w:t>
            </w:r>
          </w:p>
        </w:tc>
      </w:tr>
      <w:tr w14:paraId="553A5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9154" w:type="dxa"/>
            <w:gridSpan w:val="5"/>
          </w:tcPr>
          <w:p w14:paraId="13E4A78E">
            <w:pPr>
              <w:adjustRightInd w:val="0"/>
              <w:snapToGrid w:val="0"/>
              <w:spacing w:line="320" w:lineRule="atLeast"/>
              <w:rPr>
                <w:color w:val="auto"/>
                <w:sz w:val="18"/>
                <w:szCs w:val="18"/>
              </w:rPr>
            </w:pPr>
            <w:r>
              <w:rPr>
                <w:color w:val="auto"/>
                <w:sz w:val="18"/>
                <w:szCs w:val="18"/>
              </w:rPr>
              <w:t>注：表中</w:t>
            </w:r>
            <w:r>
              <w:rPr>
                <w:i/>
                <w:iCs/>
                <w:color w:val="auto"/>
                <w:sz w:val="18"/>
                <w:szCs w:val="18"/>
              </w:rPr>
              <w:t>N</w:t>
            </w:r>
            <w:r>
              <w:rPr>
                <w:i/>
                <w:iCs/>
                <w:color w:val="auto"/>
                <w:sz w:val="18"/>
                <w:szCs w:val="18"/>
                <w:vertAlign w:val="subscript"/>
              </w:rPr>
              <w:t>63.5</w:t>
            </w:r>
            <w:r>
              <w:rPr>
                <w:color w:val="auto"/>
                <w:sz w:val="18"/>
                <w:szCs w:val="18"/>
              </w:rPr>
              <w:t>系经杆长修正后的锤击数标准值。</w:t>
            </w:r>
          </w:p>
        </w:tc>
      </w:tr>
    </w:tbl>
    <w:p w14:paraId="1EE5836B">
      <w:pPr>
        <w:adjustRightInd w:val="0"/>
        <w:snapToGrid w:val="0"/>
        <w:spacing w:line="440" w:lineRule="exact"/>
        <w:jc w:val="center"/>
        <w:rPr>
          <w:rFonts w:eastAsia="黑体"/>
          <w:b/>
          <w:bCs/>
          <w:color w:val="auto"/>
          <w:szCs w:val="21"/>
        </w:rPr>
      </w:pPr>
      <w:r>
        <w:rPr>
          <w:rFonts w:eastAsia="黑体"/>
          <w:b/>
          <w:bCs/>
          <w:color w:val="auto"/>
          <w:szCs w:val="21"/>
        </w:rPr>
        <w:t>表E.29  残积黏性土变形模量</w:t>
      </w:r>
    </w:p>
    <w:tbl>
      <w:tblPr>
        <w:tblStyle w:val="36"/>
        <w:tblW w:w="91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53"/>
        <w:gridCol w:w="782"/>
        <w:gridCol w:w="752"/>
        <w:gridCol w:w="702"/>
        <w:gridCol w:w="724"/>
        <w:gridCol w:w="752"/>
        <w:gridCol w:w="709"/>
        <w:gridCol w:w="680"/>
        <w:gridCol w:w="696"/>
        <w:gridCol w:w="720"/>
        <w:gridCol w:w="756"/>
        <w:gridCol w:w="648"/>
      </w:tblGrid>
      <w:tr w14:paraId="0DE910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253" w:type="dxa"/>
          </w:tcPr>
          <w:p w14:paraId="7B38526E">
            <w:pPr>
              <w:adjustRightInd w:val="0"/>
              <w:snapToGrid w:val="0"/>
              <w:spacing w:line="300" w:lineRule="exact"/>
              <w:jc w:val="center"/>
              <w:rPr>
                <w:color w:val="auto"/>
                <w:sz w:val="18"/>
                <w:szCs w:val="18"/>
              </w:rPr>
            </w:pPr>
            <w:r>
              <w:rPr>
                <w:i/>
                <w:color w:val="auto"/>
                <w:sz w:val="18"/>
                <w:szCs w:val="18"/>
              </w:rPr>
              <w:t>N</w:t>
            </w:r>
          </w:p>
        </w:tc>
        <w:tc>
          <w:tcPr>
            <w:tcW w:w="782" w:type="dxa"/>
          </w:tcPr>
          <w:p w14:paraId="75D94F03">
            <w:pPr>
              <w:adjustRightInd w:val="0"/>
              <w:snapToGrid w:val="0"/>
              <w:spacing w:line="300" w:lineRule="exact"/>
              <w:jc w:val="center"/>
              <w:rPr>
                <w:color w:val="auto"/>
                <w:sz w:val="18"/>
                <w:szCs w:val="18"/>
              </w:rPr>
            </w:pPr>
            <w:r>
              <w:rPr>
                <w:color w:val="auto"/>
                <w:sz w:val="18"/>
                <w:szCs w:val="18"/>
              </w:rPr>
              <w:t>14</w:t>
            </w:r>
          </w:p>
        </w:tc>
        <w:tc>
          <w:tcPr>
            <w:tcW w:w="752" w:type="dxa"/>
          </w:tcPr>
          <w:p w14:paraId="015E58F4">
            <w:pPr>
              <w:adjustRightInd w:val="0"/>
              <w:snapToGrid w:val="0"/>
              <w:spacing w:line="300" w:lineRule="exact"/>
              <w:jc w:val="center"/>
              <w:rPr>
                <w:color w:val="auto"/>
                <w:sz w:val="18"/>
                <w:szCs w:val="18"/>
              </w:rPr>
            </w:pPr>
            <w:r>
              <w:rPr>
                <w:color w:val="auto"/>
                <w:sz w:val="18"/>
                <w:szCs w:val="18"/>
              </w:rPr>
              <w:t>16</w:t>
            </w:r>
          </w:p>
        </w:tc>
        <w:tc>
          <w:tcPr>
            <w:tcW w:w="702" w:type="dxa"/>
          </w:tcPr>
          <w:p w14:paraId="3CA3A5E7">
            <w:pPr>
              <w:adjustRightInd w:val="0"/>
              <w:snapToGrid w:val="0"/>
              <w:spacing w:line="300" w:lineRule="exact"/>
              <w:jc w:val="center"/>
              <w:rPr>
                <w:color w:val="auto"/>
                <w:sz w:val="18"/>
                <w:szCs w:val="18"/>
              </w:rPr>
            </w:pPr>
            <w:r>
              <w:rPr>
                <w:color w:val="auto"/>
                <w:sz w:val="18"/>
                <w:szCs w:val="18"/>
              </w:rPr>
              <w:t>18</w:t>
            </w:r>
          </w:p>
        </w:tc>
        <w:tc>
          <w:tcPr>
            <w:tcW w:w="724" w:type="dxa"/>
          </w:tcPr>
          <w:p w14:paraId="7FC6E774">
            <w:pPr>
              <w:adjustRightInd w:val="0"/>
              <w:snapToGrid w:val="0"/>
              <w:spacing w:line="300" w:lineRule="exact"/>
              <w:jc w:val="center"/>
              <w:rPr>
                <w:color w:val="auto"/>
                <w:sz w:val="18"/>
                <w:szCs w:val="18"/>
              </w:rPr>
            </w:pPr>
            <w:r>
              <w:rPr>
                <w:color w:val="auto"/>
                <w:sz w:val="18"/>
                <w:szCs w:val="18"/>
              </w:rPr>
              <w:t>20</w:t>
            </w:r>
          </w:p>
        </w:tc>
        <w:tc>
          <w:tcPr>
            <w:tcW w:w="752" w:type="dxa"/>
          </w:tcPr>
          <w:p w14:paraId="1B6A1C36">
            <w:pPr>
              <w:adjustRightInd w:val="0"/>
              <w:snapToGrid w:val="0"/>
              <w:spacing w:line="300" w:lineRule="exact"/>
              <w:jc w:val="center"/>
              <w:rPr>
                <w:color w:val="auto"/>
                <w:sz w:val="18"/>
                <w:szCs w:val="18"/>
              </w:rPr>
            </w:pPr>
            <w:r>
              <w:rPr>
                <w:color w:val="auto"/>
                <w:sz w:val="18"/>
                <w:szCs w:val="18"/>
              </w:rPr>
              <w:t>22</w:t>
            </w:r>
          </w:p>
        </w:tc>
        <w:tc>
          <w:tcPr>
            <w:tcW w:w="709" w:type="dxa"/>
          </w:tcPr>
          <w:p w14:paraId="2815B30E">
            <w:pPr>
              <w:adjustRightInd w:val="0"/>
              <w:snapToGrid w:val="0"/>
              <w:spacing w:line="300" w:lineRule="exact"/>
              <w:jc w:val="center"/>
              <w:rPr>
                <w:color w:val="auto"/>
                <w:sz w:val="18"/>
                <w:szCs w:val="18"/>
              </w:rPr>
            </w:pPr>
            <w:r>
              <w:rPr>
                <w:color w:val="auto"/>
                <w:sz w:val="18"/>
                <w:szCs w:val="18"/>
              </w:rPr>
              <w:t>24</w:t>
            </w:r>
          </w:p>
        </w:tc>
        <w:tc>
          <w:tcPr>
            <w:tcW w:w="680" w:type="dxa"/>
          </w:tcPr>
          <w:p w14:paraId="67DD9A77">
            <w:pPr>
              <w:adjustRightInd w:val="0"/>
              <w:snapToGrid w:val="0"/>
              <w:spacing w:line="300" w:lineRule="exact"/>
              <w:jc w:val="center"/>
              <w:rPr>
                <w:color w:val="auto"/>
                <w:sz w:val="18"/>
                <w:szCs w:val="18"/>
              </w:rPr>
            </w:pPr>
            <w:r>
              <w:rPr>
                <w:color w:val="auto"/>
                <w:sz w:val="18"/>
                <w:szCs w:val="18"/>
              </w:rPr>
              <w:t>26</w:t>
            </w:r>
          </w:p>
        </w:tc>
        <w:tc>
          <w:tcPr>
            <w:tcW w:w="696" w:type="dxa"/>
          </w:tcPr>
          <w:p w14:paraId="39654B83">
            <w:pPr>
              <w:adjustRightInd w:val="0"/>
              <w:snapToGrid w:val="0"/>
              <w:spacing w:line="300" w:lineRule="exact"/>
              <w:jc w:val="center"/>
              <w:rPr>
                <w:color w:val="auto"/>
                <w:sz w:val="18"/>
                <w:szCs w:val="18"/>
              </w:rPr>
            </w:pPr>
            <w:r>
              <w:rPr>
                <w:color w:val="auto"/>
                <w:sz w:val="18"/>
                <w:szCs w:val="18"/>
              </w:rPr>
              <w:t>28</w:t>
            </w:r>
          </w:p>
        </w:tc>
        <w:tc>
          <w:tcPr>
            <w:tcW w:w="720" w:type="dxa"/>
          </w:tcPr>
          <w:p w14:paraId="399F2D3B">
            <w:pPr>
              <w:adjustRightInd w:val="0"/>
              <w:snapToGrid w:val="0"/>
              <w:spacing w:line="300" w:lineRule="exact"/>
              <w:jc w:val="center"/>
              <w:rPr>
                <w:color w:val="auto"/>
                <w:sz w:val="18"/>
                <w:szCs w:val="18"/>
              </w:rPr>
            </w:pPr>
            <w:r>
              <w:rPr>
                <w:color w:val="auto"/>
                <w:sz w:val="18"/>
                <w:szCs w:val="18"/>
              </w:rPr>
              <w:t>30</w:t>
            </w:r>
          </w:p>
        </w:tc>
        <w:tc>
          <w:tcPr>
            <w:tcW w:w="756" w:type="dxa"/>
          </w:tcPr>
          <w:p w14:paraId="20C91193">
            <w:pPr>
              <w:adjustRightInd w:val="0"/>
              <w:snapToGrid w:val="0"/>
              <w:spacing w:line="300" w:lineRule="exact"/>
              <w:jc w:val="center"/>
              <w:rPr>
                <w:color w:val="auto"/>
                <w:sz w:val="18"/>
                <w:szCs w:val="18"/>
              </w:rPr>
            </w:pPr>
            <w:r>
              <w:rPr>
                <w:color w:val="auto"/>
                <w:sz w:val="18"/>
                <w:szCs w:val="18"/>
              </w:rPr>
              <w:t>32</w:t>
            </w:r>
          </w:p>
        </w:tc>
        <w:tc>
          <w:tcPr>
            <w:tcW w:w="648" w:type="dxa"/>
          </w:tcPr>
          <w:p w14:paraId="28B8DD6B">
            <w:pPr>
              <w:adjustRightInd w:val="0"/>
              <w:snapToGrid w:val="0"/>
              <w:spacing w:line="300" w:lineRule="exact"/>
              <w:jc w:val="center"/>
              <w:rPr>
                <w:color w:val="auto"/>
                <w:sz w:val="18"/>
                <w:szCs w:val="18"/>
              </w:rPr>
            </w:pPr>
            <w:r>
              <w:rPr>
                <w:color w:val="auto"/>
                <w:sz w:val="18"/>
                <w:szCs w:val="18"/>
              </w:rPr>
              <w:t>34</w:t>
            </w:r>
          </w:p>
        </w:tc>
      </w:tr>
      <w:tr w14:paraId="16379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253" w:type="dxa"/>
          </w:tcPr>
          <w:p w14:paraId="02777242">
            <w:pPr>
              <w:adjustRightInd w:val="0"/>
              <w:snapToGrid w:val="0"/>
              <w:spacing w:line="300" w:lineRule="exact"/>
              <w:jc w:val="center"/>
              <w:rPr>
                <w:color w:val="auto"/>
                <w:sz w:val="18"/>
                <w:szCs w:val="18"/>
              </w:rPr>
            </w:pPr>
            <w:r>
              <w:rPr>
                <w:i/>
                <w:iCs/>
                <w:color w:val="auto"/>
                <w:sz w:val="18"/>
                <w:szCs w:val="18"/>
              </w:rPr>
              <w:t>E</w:t>
            </w:r>
            <w:r>
              <w:rPr>
                <w:color w:val="auto"/>
                <w:sz w:val="18"/>
                <w:szCs w:val="18"/>
                <w:vertAlign w:val="subscript"/>
              </w:rPr>
              <w:t>0</w:t>
            </w:r>
            <w:r>
              <w:rPr>
                <w:color w:val="auto"/>
                <w:sz w:val="18"/>
                <w:szCs w:val="18"/>
              </w:rPr>
              <w:t>（MPa）</w:t>
            </w:r>
          </w:p>
        </w:tc>
        <w:tc>
          <w:tcPr>
            <w:tcW w:w="782" w:type="dxa"/>
          </w:tcPr>
          <w:p w14:paraId="39F9DB20">
            <w:pPr>
              <w:adjustRightInd w:val="0"/>
              <w:snapToGrid w:val="0"/>
              <w:spacing w:line="300" w:lineRule="exact"/>
              <w:jc w:val="center"/>
              <w:rPr>
                <w:color w:val="auto"/>
                <w:sz w:val="18"/>
                <w:szCs w:val="18"/>
              </w:rPr>
            </w:pPr>
            <w:r>
              <w:rPr>
                <w:color w:val="auto"/>
                <w:sz w:val="18"/>
                <w:szCs w:val="18"/>
              </w:rPr>
              <w:t>21</w:t>
            </w:r>
          </w:p>
        </w:tc>
        <w:tc>
          <w:tcPr>
            <w:tcW w:w="752" w:type="dxa"/>
          </w:tcPr>
          <w:p w14:paraId="3C3E0490">
            <w:pPr>
              <w:adjustRightInd w:val="0"/>
              <w:snapToGrid w:val="0"/>
              <w:spacing w:line="300" w:lineRule="exact"/>
              <w:jc w:val="center"/>
              <w:rPr>
                <w:color w:val="auto"/>
                <w:sz w:val="18"/>
                <w:szCs w:val="18"/>
              </w:rPr>
            </w:pPr>
            <w:r>
              <w:rPr>
                <w:color w:val="auto"/>
                <w:sz w:val="18"/>
                <w:szCs w:val="18"/>
              </w:rPr>
              <w:t>22</w:t>
            </w:r>
          </w:p>
        </w:tc>
        <w:tc>
          <w:tcPr>
            <w:tcW w:w="702" w:type="dxa"/>
          </w:tcPr>
          <w:p w14:paraId="339EF18F">
            <w:pPr>
              <w:adjustRightInd w:val="0"/>
              <w:snapToGrid w:val="0"/>
              <w:spacing w:line="300" w:lineRule="exact"/>
              <w:jc w:val="center"/>
              <w:rPr>
                <w:color w:val="auto"/>
                <w:sz w:val="18"/>
                <w:szCs w:val="18"/>
              </w:rPr>
            </w:pPr>
            <w:r>
              <w:rPr>
                <w:color w:val="auto"/>
                <w:sz w:val="18"/>
                <w:szCs w:val="18"/>
              </w:rPr>
              <w:t>23</w:t>
            </w:r>
          </w:p>
        </w:tc>
        <w:tc>
          <w:tcPr>
            <w:tcW w:w="724" w:type="dxa"/>
          </w:tcPr>
          <w:p w14:paraId="52A0718E">
            <w:pPr>
              <w:adjustRightInd w:val="0"/>
              <w:snapToGrid w:val="0"/>
              <w:spacing w:line="300" w:lineRule="exact"/>
              <w:jc w:val="center"/>
              <w:rPr>
                <w:color w:val="auto"/>
                <w:sz w:val="18"/>
                <w:szCs w:val="18"/>
              </w:rPr>
            </w:pPr>
            <w:r>
              <w:rPr>
                <w:color w:val="auto"/>
                <w:sz w:val="18"/>
                <w:szCs w:val="18"/>
              </w:rPr>
              <w:t>24</w:t>
            </w:r>
          </w:p>
        </w:tc>
        <w:tc>
          <w:tcPr>
            <w:tcW w:w="752" w:type="dxa"/>
          </w:tcPr>
          <w:p w14:paraId="0C18D663">
            <w:pPr>
              <w:adjustRightInd w:val="0"/>
              <w:snapToGrid w:val="0"/>
              <w:spacing w:line="300" w:lineRule="exact"/>
              <w:jc w:val="center"/>
              <w:rPr>
                <w:color w:val="auto"/>
                <w:sz w:val="18"/>
                <w:szCs w:val="18"/>
              </w:rPr>
            </w:pPr>
            <w:r>
              <w:rPr>
                <w:color w:val="auto"/>
                <w:sz w:val="18"/>
                <w:szCs w:val="18"/>
              </w:rPr>
              <w:t>25</w:t>
            </w:r>
          </w:p>
        </w:tc>
        <w:tc>
          <w:tcPr>
            <w:tcW w:w="709" w:type="dxa"/>
          </w:tcPr>
          <w:p w14:paraId="439532E5">
            <w:pPr>
              <w:adjustRightInd w:val="0"/>
              <w:snapToGrid w:val="0"/>
              <w:spacing w:line="300" w:lineRule="exact"/>
              <w:jc w:val="center"/>
              <w:rPr>
                <w:color w:val="auto"/>
                <w:sz w:val="18"/>
                <w:szCs w:val="18"/>
              </w:rPr>
            </w:pPr>
            <w:r>
              <w:rPr>
                <w:color w:val="auto"/>
                <w:sz w:val="18"/>
                <w:szCs w:val="18"/>
              </w:rPr>
              <w:t>27</w:t>
            </w:r>
          </w:p>
        </w:tc>
        <w:tc>
          <w:tcPr>
            <w:tcW w:w="680" w:type="dxa"/>
          </w:tcPr>
          <w:p w14:paraId="50A57ECA">
            <w:pPr>
              <w:adjustRightInd w:val="0"/>
              <w:snapToGrid w:val="0"/>
              <w:spacing w:line="300" w:lineRule="exact"/>
              <w:jc w:val="center"/>
              <w:rPr>
                <w:color w:val="auto"/>
                <w:sz w:val="18"/>
                <w:szCs w:val="18"/>
              </w:rPr>
            </w:pPr>
            <w:r>
              <w:rPr>
                <w:color w:val="auto"/>
                <w:sz w:val="18"/>
                <w:szCs w:val="18"/>
              </w:rPr>
              <w:t>29</w:t>
            </w:r>
          </w:p>
        </w:tc>
        <w:tc>
          <w:tcPr>
            <w:tcW w:w="696" w:type="dxa"/>
          </w:tcPr>
          <w:p w14:paraId="101D3B2C">
            <w:pPr>
              <w:adjustRightInd w:val="0"/>
              <w:snapToGrid w:val="0"/>
              <w:spacing w:line="300" w:lineRule="exact"/>
              <w:jc w:val="center"/>
              <w:rPr>
                <w:color w:val="auto"/>
                <w:sz w:val="18"/>
                <w:szCs w:val="18"/>
              </w:rPr>
            </w:pPr>
            <w:r>
              <w:rPr>
                <w:color w:val="auto"/>
                <w:sz w:val="18"/>
                <w:szCs w:val="18"/>
              </w:rPr>
              <w:t>32</w:t>
            </w:r>
          </w:p>
        </w:tc>
        <w:tc>
          <w:tcPr>
            <w:tcW w:w="720" w:type="dxa"/>
          </w:tcPr>
          <w:p w14:paraId="31960580">
            <w:pPr>
              <w:adjustRightInd w:val="0"/>
              <w:snapToGrid w:val="0"/>
              <w:spacing w:line="300" w:lineRule="exact"/>
              <w:jc w:val="center"/>
              <w:rPr>
                <w:color w:val="auto"/>
                <w:sz w:val="18"/>
                <w:szCs w:val="18"/>
              </w:rPr>
            </w:pPr>
            <w:r>
              <w:rPr>
                <w:color w:val="auto"/>
                <w:sz w:val="18"/>
                <w:szCs w:val="18"/>
              </w:rPr>
              <w:t>35</w:t>
            </w:r>
          </w:p>
        </w:tc>
        <w:tc>
          <w:tcPr>
            <w:tcW w:w="756" w:type="dxa"/>
          </w:tcPr>
          <w:p w14:paraId="1F0E6D9F">
            <w:pPr>
              <w:adjustRightInd w:val="0"/>
              <w:snapToGrid w:val="0"/>
              <w:spacing w:line="300" w:lineRule="exact"/>
              <w:jc w:val="center"/>
              <w:rPr>
                <w:color w:val="auto"/>
                <w:sz w:val="18"/>
                <w:szCs w:val="18"/>
              </w:rPr>
            </w:pPr>
            <w:r>
              <w:rPr>
                <w:color w:val="auto"/>
                <w:sz w:val="18"/>
                <w:szCs w:val="18"/>
              </w:rPr>
              <w:t>38</w:t>
            </w:r>
          </w:p>
        </w:tc>
        <w:tc>
          <w:tcPr>
            <w:tcW w:w="648" w:type="dxa"/>
          </w:tcPr>
          <w:p w14:paraId="6D951EA0">
            <w:pPr>
              <w:adjustRightInd w:val="0"/>
              <w:snapToGrid w:val="0"/>
              <w:spacing w:line="300" w:lineRule="exact"/>
              <w:jc w:val="center"/>
              <w:rPr>
                <w:color w:val="auto"/>
                <w:sz w:val="18"/>
                <w:szCs w:val="18"/>
              </w:rPr>
            </w:pPr>
            <w:r>
              <w:rPr>
                <w:color w:val="auto"/>
                <w:sz w:val="18"/>
                <w:szCs w:val="18"/>
              </w:rPr>
              <w:t>41</w:t>
            </w:r>
          </w:p>
        </w:tc>
      </w:tr>
      <w:tr w14:paraId="3E442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9174" w:type="dxa"/>
            <w:gridSpan w:val="12"/>
          </w:tcPr>
          <w:p w14:paraId="4BF7F450">
            <w:pPr>
              <w:adjustRightInd w:val="0"/>
              <w:snapToGrid w:val="0"/>
              <w:rPr>
                <w:color w:val="auto"/>
                <w:sz w:val="18"/>
                <w:szCs w:val="18"/>
              </w:rPr>
            </w:pPr>
            <w:r>
              <w:rPr>
                <w:color w:val="auto"/>
                <w:sz w:val="18"/>
                <w:szCs w:val="18"/>
              </w:rPr>
              <w:t>注：本表仅适用于极软岩、软岩的风化残积黏性土。</w:t>
            </w:r>
          </w:p>
        </w:tc>
      </w:tr>
    </w:tbl>
    <w:p w14:paraId="77199D9F">
      <w:pPr>
        <w:rPr>
          <w:color w:val="auto"/>
          <w:sz w:val="15"/>
          <w:szCs w:val="15"/>
        </w:rPr>
      </w:pPr>
    </w:p>
    <w:p w14:paraId="357A50D0">
      <w:pPr>
        <w:adjustRightInd w:val="0"/>
        <w:snapToGrid w:val="0"/>
        <w:spacing w:line="400" w:lineRule="atLeast"/>
        <w:jc w:val="center"/>
        <w:outlineLvl w:val="0"/>
        <w:rPr>
          <w:rFonts w:eastAsia="黑体"/>
          <w:b/>
          <w:color w:val="auto"/>
          <w:spacing w:val="8"/>
          <w:sz w:val="24"/>
        </w:rPr>
      </w:pPr>
      <w:r>
        <w:rPr>
          <w:color w:val="auto"/>
          <w:sz w:val="15"/>
          <w:szCs w:val="15"/>
        </w:rPr>
        <w:br w:type="page"/>
      </w:r>
      <w:bookmarkStart w:id="120" w:name="_Toc199943662"/>
      <w:r>
        <w:rPr>
          <w:rFonts w:eastAsia="黑体"/>
          <w:b/>
          <w:color w:val="auto"/>
          <w:spacing w:val="8"/>
          <w:sz w:val="24"/>
        </w:rPr>
        <w:t>附录 F</w:t>
      </w:r>
      <w:bookmarkEnd w:id="120"/>
    </w:p>
    <w:p w14:paraId="0C61F498">
      <w:pPr>
        <w:adjustRightInd w:val="0"/>
        <w:snapToGrid w:val="0"/>
        <w:spacing w:line="400" w:lineRule="atLeast"/>
        <w:jc w:val="center"/>
        <w:outlineLvl w:val="0"/>
        <w:rPr>
          <w:rFonts w:eastAsia="黑体"/>
          <w:b/>
          <w:color w:val="auto"/>
          <w:spacing w:val="8"/>
          <w:sz w:val="24"/>
        </w:rPr>
      </w:pPr>
      <w:bookmarkStart w:id="121" w:name="_Toc199943663"/>
      <w:r>
        <w:rPr>
          <w:rFonts w:eastAsia="黑体"/>
          <w:b/>
          <w:color w:val="auto"/>
          <w:spacing w:val="8"/>
          <w:sz w:val="24"/>
        </w:rPr>
        <w:t>（规范性）</w:t>
      </w:r>
      <w:bookmarkEnd w:id="121"/>
    </w:p>
    <w:p w14:paraId="7A9C2E26">
      <w:pPr>
        <w:adjustRightInd w:val="0"/>
        <w:snapToGrid w:val="0"/>
        <w:spacing w:line="400" w:lineRule="atLeast"/>
        <w:jc w:val="center"/>
        <w:outlineLvl w:val="0"/>
        <w:rPr>
          <w:rFonts w:eastAsia="黑体"/>
          <w:b/>
          <w:color w:val="auto"/>
          <w:spacing w:val="8"/>
          <w:sz w:val="24"/>
        </w:rPr>
      </w:pPr>
      <w:bookmarkStart w:id="122" w:name="_Toc199943664"/>
      <w:r>
        <w:rPr>
          <w:rFonts w:eastAsia="黑体"/>
          <w:b/>
          <w:color w:val="auto"/>
          <w:spacing w:val="8"/>
          <w:sz w:val="24"/>
        </w:rPr>
        <w:t>桩侧土的摩阻力、桩端阻力特征值</w:t>
      </w:r>
      <w:bookmarkEnd w:id="122"/>
    </w:p>
    <w:p w14:paraId="69CD18EA">
      <w:pPr>
        <w:adjustRightInd w:val="0"/>
        <w:snapToGrid w:val="0"/>
        <w:spacing w:line="340" w:lineRule="exact"/>
        <w:jc w:val="center"/>
        <w:rPr>
          <w:color w:val="auto"/>
          <w:spacing w:val="8"/>
          <w:szCs w:val="21"/>
        </w:rPr>
      </w:pPr>
    </w:p>
    <w:p w14:paraId="089629BD">
      <w:pPr>
        <w:adjustRightInd w:val="0"/>
        <w:snapToGrid w:val="0"/>
        <w:spacing w:line="340" w:lineRule="exact"/>
        <w:rPr>
          <w:color w:val="auto"/>
          <w:szCs w:val="21"/>
        </w:rPr>
      </w:pPr>
      <w:r>
        <w:rPr>
          <w:b/>
          <w:bCs/>
          <w:color w:val="auto"/>
          <w:szCs w:val="21"/>
        </w:rPr>
        <w:t>F.1</w:t>
      </w:r>
      <w:r>
        <w:rPr>
          <w:color w:val="auto"/>
          <w:szCs w:val="21"/>
        </w:rPr>
        <w:t xml:space="preserve">  混凝土预制桩、沉管灌注桩、夯扩桩的桩侧阻力特征值、桩端阻力特征值,可按表F.1、表F.2、表F.3、表F.4、表F.5取值。表中</w:t>
      </w:r>
      <w:r>
        <w:rPr>
          <w:i/>
          <w:color w:val="auto"/>
          <w:szCs w:val="21"/>
        </w:rPr>
        <w:t>N</w:t>
      </w:r>
      <w:r>
        <w:rPr>
          <w:i/>
          <w:iCs/>
          <w:color w:val="auto"/>
          <w:szCs w:val="21"/>
        </w:rPr>
        <w:t>、p</w:t>
      </w:r>
      <w:r>
        <w:rPr>
          <w:color w:val="auto"/>
          <w:szCs w:val="21"/>
          <w:vertAlign w:val="subscript"/>
        </w:rPr>
        <w:t>s</w:t>
      </w:r>
      <w:r>
        <w:rPr>
          <w:color w:val="auto"/>
          <w:szCs w:val="21"/>
        </w:rPr>
        <w:t>分别为未经杆长修正的标准贯入击数、静力触探比贯入阻力的平均值。</w:t>
      </w:r>
    </w:p>
    <w:p w14:paraId="56C368C8">
      <w:pPr>
        <w:tabs>
          <w:tab w:val="left" w:pos="9072"/>
        </w:tabs>
        <w:adjustRightInd w:val="0"/>
        <w:snapToGrid w:val="0"/>
        <w:spacing w:after="156" w:afterLines="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表F.1  混凝土</w:t>
      </w:r>
      <w:r>
        <w:rPr>
          <w:rFonts w:hint="eastAsia" w:eastAsia="黑体"/>
          <w:b/>
          <w:color w:val="auto"/>
          <w:szCs w:val="21"/>
        </w:rPr>
        <w:t>预制桩</w:t>
      </w:r>
      <w:r>
        <w:rPr>
          <w:rFonts w:eastAsia="黑体"/>
          <w:b/>
          <w:color w:val="auto"/>
          <w:szCs w:val="21"/>
        </w:rPr>
        <w:t>桩侧阻力特征值</w:t>
      </w:r>
      <w:r>
        <w:rPr>
          <w:rFonts w:eastAsia="黑体"/>
          <w:b/>
          <w:i/>
          <w:color w:val="auto"/>
          <w:szCs w:val="21"/>
        </w:rPr>
        <w:t>q</w:t>
      </w:r>
      <w:r>
        <w:rPr>
          <w:rFonts w:eastAsia="黑体"/>
          <w:b/>
          <w:iCs/>
          <w:color w:val="auto"/>
          <w:szCs w:val="21"/>
          <w:vertAlign w:val="subscript"/>
        </w:rPr>
        <w:t>sia</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color w:val="auto"/>
          <w:sz w:val="18"/>
          <w:szCs w:val="18"/>
        </w:rPr>
        <w:t>单位为kPa</w:t>
      </w:r>
    </w:p>
    <w:tbl>
      <w:tblPr>
        <w:tblStyle w:val="36"/>
        <w:tblW w:w="90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454"/>
        <w:gridCol w:w="1598"/>
        <w:gridCol w:w="2452"/>
        <w:gridCol w:w="2552"/>
      </w:tblGrid>
      <w:tr w14:paraId="73CD3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2A37C097">
            <w:pPr>
              <w:adjustRightInd w:val="0"/>
              <w:snapToGrid w:val="0"/>
              <w:spacing w:line="260" w:lineRule="exact"/>
              <w:jc w:val="center"/>
              <w:rPr>
                <w:color w:val="auto"/>
                <w:sz w:val="18"/>
                <w:szCs w:val="18"/>
              </w:rPr>
            </w:pPr>
            <w:r>
              <w:rPr>
                <w:color w:val="auto"/>
                <w:sz w:val="18"/>
                <w:szCs w:val="18"/>
              </w:rPr>
              <w:t>土的名称</w:t>
            </w:r>
          </w:p>
        </w:tc>
        <w:tc>
          <w:tcPr>
            <w:tcW w:w="4050" w:type="dxa"/>
            <w:gridSpan w:val="2"/>
            <w:vAlign w:val="center"/>
          </w:tcPr>
          <w:p w14:paraId="37AD2112">
            <w:pPr>
              <w:adjustRightInd w:val="0"/>
              <w:snapToGrid w:val="0"/>
              <w:spacing w:line="260" w:lineRule="exact"/>
              <w:jc w:val="center"/>
              <w:rPr>
                <w:color w:val="auto"/>
                <w:sz w:val="18"/>
                <w:szCs w:val="18"/>
              </w:rPr>
            </w:pPr>
            <w:r>
              <w:rPr>
                <w:color w:val="auto"/>
                <w:sz w:val="18"/>
                <w:szCs w:val="18"/>
              </w:rPr>
              <w:t>土的状态及</w:t>
            </w:r>
            <w:r>
              <w:rPr>
                <w:i/>
                <w:color w:val="auto"/>
                <w:sz w:val="18"/>
                <w:szCs w:val="18"/>
              </w:rPr>
              <w:t>N</w:t>
            </w:r>
            <w:r>
              <w:rPr>
                <w:color w:val="auto"/>
                <w:sz w:val="18"/>
                <w:szCs w:val="18"/>
              </w:rPr>
              <w:t>、</w:t>
            </w:r>
            <w:r>
              <w:rPr>
                <w:i/>
                <w:iCs/>
                <w:color w:val="auto"/>
                <w:sz w:val="18"/>
                <w:szCs w:val="18"/>
              </w:rPr>
              <w:t>N</w:t>
            </w:r>
            <w:r>
              <w:rPr>
                <w:iCs/>
                <w:color w:val="auto"/>
                <w:sz w:val="18"/>
                <w:szCs w:val="18"/>
                <w:vertAlign w:val="subscript"/>
              </w:rPr>
              <w:t>63.5</w:t>
            </w:r>
            <w:r>
              <w:rPr>
                <w:rFonts w:hint="eastAsia"/>
                <w:iCs/>
                <w:color w:val="auto"/>
                <w:sz w:val="18"/>
                <w:szCs w:val="18"/>
              </w:rPr>
              <w:t>、</w:t>
            </w:r>
            <w:r>
              <w:rPr>
                <w:i/>
                <w:color w:val="auto"/>
                <w:sz w:val="18"/>
                <w:szCs w:val="18"/>
              </w:rPr>
              <w:t>p</w:t>
            </w:r>
            <w:r>
              <w:rPr>
                <w:iCs/>
                <w:color w:val="auto"/>
                <w:sz w:val="18"/>
                <w:szCs w:val="18"/>
                <w:vertAlign w:val="subscript"/>
              </w:rPr>
              <w:t>s</w:t>
            </w:r>
            <w:r>
              <w:rPr>
                <w:color w:val="auto"/>
                <w:sz w:val="18"/>
                <w:szCs w:val="18"/>
              </w:rPr>
              <w:t>（MPa）值</w:t>
            </w:r>
          </w:p>
        </w:tc>
        <w:tc>
          <w:tcPr>
            <w:tcW w:w="2552" w:type="dxa"/>
            <w:vAlign w:val="center"/>
          </w:tcPr>
          <w:p w14:paraId="6127BD03">
            <w:pPr>
              <w:adjustRightInd w:val="0"/>
              <w:snapToGrid w:val="0"/>
              <w:spacing w:line="260" w:lineRule="exact"/>
              <w:jc w:val="center"/>
              <w:rPr>
                <w:color w:val="auto"/>
                <w:sz w:val="18"/>
                <w:szCs w:val="18"/>
              </w:rPr>
            </w:pPr>
            <w:r>
              <w:rPr>
                <w:color w:val="auto"/>
                <w:sz w:val="18"/>
                <w:szCs w:val="18"/>
              </w:rPr>
              <w:t>混凝土预制桩桩侧阻力特征值</w:t>
            </w:r>
            <w:r>
              <w:rPr>
                <w:i/>
                <w:iCs/>
                <w:color w:val="auto"/>
                <w:sz w:val="18"/>
                <w:szCs w:val="18"/>
              </w:rPr>
              <w:t>q</w:t>
            </w:r>
            <w:r>
              <w:rPr>
                <w:color w:val="auto"/>
                <w:sz w:val="18"/>
                <w:szCs w:val="18"/>
                <w:vertAlign w:val="subscript"/>
              </w:rPr>
              <w:t>sia</w:t>
            </w:r>
          </w:p>
        </w:tc>
      </w:tr>
      <w:tr w14:paraId="6048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1A661089">
            <w:pPr>
              <w:adjustRightInd w:val="0"/>
              <w:snapToGrid w:val="0"/>
              <w:spacing w:line="240" w:lineRule="exact"/>
              <w:jc w:val="center"/>
              <w:rPr>
                <w:color w:val="auto"/>
                <w:sz w:val="18"/>
                <w:szCs w:val="18"/>
              </w:rPr>
            </w:pPr>
            <w:r>
              <w:rPr>
                <w:color w:val="auto"/>
                <w:sz w:val="18"/>
                <w:szCs w:val="18"/>
              </w:rPr>
              <w:t>填土</w:t>
            </w:r>
          </w:p>
        </w:tc>
        <w:tc>
          <w:tcPr>
            <w:tcW w:w="4050" w:type="dxa"/>
            <w:gridSpan w:val="2"/>
            <w:vAlign w:val="center"/>
          </w:tcPr>
          <w:p w14:paraId="03817CFE">
            <w:pPr>
              <w:adjustRightInd w:val="0"/>
              <w:snapToGrid w:val="0"/>
              <w:spacing w:line="240" w:lineRule="exact"/>
              <w:jc w:val="center"/>
              <w:rPr>
                <w:color w:val="auto"/>
                <w:sz w:val="18"/>
                <w:szCs w:val="18"/>
              </w:rPr>
            </w:pPr>
            <w:r>
              <w:rPr>
                <w:color w:val="auto"/>
                <w:sz w:val="18"/>
                <w:szCs w:val="18"/>
              </w:rPr>
              <w:t>---</w:t>
            </w:r>
          </w:p>
        </w:tc>
        <w:tc>
          <w:tcPr>
            <w:tcW w:w="2552" w:type="dxa"/>
            <w:vAlign w:val="center"/>
          </w:tcPr>
          <w:p w14:paraId="72C3D92B">
            <w:pPr>
              <w:adjustRightInd w:val="0"/>
              <w:snapToGrid w:val="0"/>
              <w:spacing w:line="240" w:lineRule="exact"/>
              <w:jc w:val="center"/>
              <w:rPr>
                <w:color w:val="auto"/>
                <w:sz w:val="18"/>
                <w:szCs w:val="18"/>
              </w:rPr>
            </w:pPr>
            <w:r>
              <w:rPr>
                <w:color w:val="auto"/>
                <w:sz w:val="18"/>
                <w:szCs w:val="18"/>
              </w:rPr>
              <w:t>10～14</w:t>
            </w:r>
          </w:p>
        </w:tc>
      </w:tr>
      <w:tr w14:paraId="37369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76A105A3">
            <w:pPr>
              <w:adjustRightInd w:val="0"/>
              <w:snapToGrid w:val="0"/>
              <w:spacing w:line="240" w:lineRule="exact"/>
              <w:jc w:val="center"/>
              <w:rPr>
                <w:color w:val="auto"/>
                <w:sz w:val="18"/>
                <w:szCs w:val="18"/>
              </w:rPr>
            </w:pPr>
            <w:r>
              <w:rPr>
                <w:color w:val="auto"/>
                <w:sz w:val="18"/>
                <w:szCs w:val="18"/>
              </w:rPr>
              <w:t>淤泥</w:t>
            </w:r>
          </w:p>
        </w:tc>
        <w:tc>
          <w:tcPr>
            <w:tcW w:w="4050" w:type="dxa"/>
            <w:gridSpan w:val="2"/>
            <w:vAlign w:val="center"/>
          </w:tcPr>
          <w:p w14:paraId="2B406F02">
            <w:pPr>
              <w:adjustRightInd w:val="0"/>
              <w:snapToGrid w:val="0"/>
              <w:spacing w:line="240" w:lineRule="exact"/>
              <w:jc w:val="center"/>
              <w:rPr>
                <w:color w:val="auto"/>
                <w:sz w:val="18"/>
                <w:szCs w:val="18"/>
              </w:rPr>
            </w:pPr>
            <w:r>
              <w:rPr>
                <w:color w:val="auto"/>
                <w:sz w:val="18"/>
                <w:szCs w:val="18"/>
              </w:rPr>
              <w:t>---</w:t>
            </w:r>
          </w:p>
        </w:tc>
        <w:tc>
          <w:tcPr>
            <w:tcW w:w="2552" w:type="dxa"/>
            <w:vAlign w:val="center"/>
          </w:tcPr>
          <w:p w14:paraId="0487FD24">
            <w:pPr>
              <w:adjustRightInd w:val="0"/>
              <w:snapToGrid w:val="0"/>
              <w:spacing w:line="240" w:lineRule="exact"/>
              <w:jc w:val="center"/>
              <w:rPr>
                <w:color w:val="auto"/>
                <w:sz w:val="18"/>
                <w:szCs w:val="18"/>
              </w:rPr>
            </w:pPr>
            <w:r>
              <w:rPr>
                <w:color w:val="auto"/>
                <w:sz w:val="18"/>
                <w:szCs w:val="18"/>
              </w:rPr>
              <w:t>6～8</w:t>
            </w:r>
          </w:p>
        </w:tc>
      </w:tr>
      <w:tr w14:paraId="24150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63A1327E">
            <w:pPr>
              <w:adjustRightInd w:val="0"/>
              <w:snapToGrid w:val="0"/>
              <w:spacing w:line="240" w:lineRule="exact"/>
              <w:jc w:val="center"/>
              <w:rPr>
                <w:color w:val="auto"/>
                <w:sz w:val="18"/>
                <w:szCs w:val="18"/>
              </w:rPr>
            </w:pPr>
            <w:r>
              <w:rPr>
                <w:color w:val="auto"/>
                <w:sz w:val="18"/>
                <w:szCs w:val="18"/>
              </w:rPr>
              <w:t>淤泥质土</w:t>
            </w:r>
          </w:p>
        </w:tc>
        <w:tc>
          <w:tcPr>
            <w:tcW w:w="4050" w:type="dxa"/>
            <w:gridSpan w:val="2"/>
            <w:vAlign w:val="center"/>
          </w:tcPr>
          <w:p w14:paraId="5C35B80F">
            <w:pPr>
              <w:adjustRightInd w:val="0"/>
              <w:snapToGrid w:val="0"/>
              <w:spacing w:line="240" w:lineRule="exact"/>
              <w:jc w:val="center"/>
              <w:rPr>
                <w:color w:val="auto"/>
                <w:sz w:val="18"/>
                <w:szCs w:val="18"/>
              </w:rPr>
            </w:pPr>
            <w:r>
              <w:rPr>
                <w:color w:val="auto"/>
                <w:sz w:val="18"/>
                <w:szCs w:val="18"/>
              </w:rPr>
              <w:t>---</w:t>
            </w:r>
          </w:p>
        </w:tc>
        <w:tc>
          <w:tcPr>
            <w:tcW w:w="2552" w:type="dxa"/>
            <w:vAlign w:val="center"/>
          </w:tcPr>
          <w:p w14:paraId="4E9A1BF7">
            <w:pPr>
              <w:adjustRightInd w:val="0"/>
              <w:snapToGrid w:val="0"/>
              <w:spacing w:line="240" w:lineRule="exact"/>
              <w:jc w:val="center"/>
              <w:rPr>
                <w:color w:val="auto"/>
                <w:sz w:val="18"/>
                <w:szCs w:val="18"/>
              </w:rPr>
            </w:pPr>
            <w:r>
              <w:rPr>
                <w:color w:val="auto"/>
                <w:sz w:val="18"/>
                <w:szCs w:val="18"/>
              </w:rPr>
              <w:t>9～15</w:t>
            </w:r>
          </w:p>
        </w:tc>
      </w:tr>
      <w:tr w14:paraId="0AD229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3A89DEA1">
            <w:pPr>
              <w:adjustRightInd w:val="0"/>
              <w:snapToGrid w:val="0"/>
              <w:spacing w:line="240" w:lineRule="exact"/>
              <w:jc w:val="center"/>
              <w:rPr>
                <w:color w:val="auto"/>
                <w:sz w:val="18"/>
                <w:szCs w:val="18"/>
              </w:rPr>
            </w:pPr>
            <w:r>
              <w:rPr>
                <w:color w:val="auto"/>
                <w:sz w:val="18"/>
                <w:szCs w:val="18"/>
              </w:rPr>
              <w:t>黏性土</w:t>
            </w:r>
          </w:p>
        </w:tc>
        <w:tc>
          <w:tcPr>
            <w:tcW w:w="4050" w:type="dxa"/>
            <w:gridSpan w:val="2"/>
            <w:vAlign w:val="center"/>
          </w:tcPr>
          <w:p w14:paraId="10F9DFA0">
            <w:pPr>
              <w:adjustRightInd w:val="0"/>
              <w:snapToGrid w:val="0"/>
              <w:spacing w:line="260" w:lineRule="exact"/>
              <w:jc w:val="center"/>
              <w:rPr>
                <w:color w:val="auto"/>
                <w:sz w:val="18"/>
                <w:szCs w:val="18"/>
              </w:rPr>
            </w:pPr>
            <w:r>
              <w:rPr>
                <w:color w:val="auto"/>
                <w:sz w:val="18"/>
                <w:szCs w:val="18"/>
              </w:rPr>
              <w:t>0.75＜</w:t>
            </w:r>
            <w:r>
              <w:rPr>
                <w:i/>
                <w:iCs/>
                <w:color w:val="auto"/>
                <w:sz w:val="18"/>
                <w:szCs w:val="18"/>
              </w:rPr>
              <w:t>I</w:t>
            </w:r>
            <w:r>
              <w:rPr>
                <w:iCs/>
                <w:color w:val="auto"/>
                <w:sz w:val="18"/>
                <w:szCs w:val="18"/>
                <w:vertAlign w:val="subscript"/>
              </w:rPr>
              <w:t>L</w:t>
            </w:r>
            <w:r>
              <w:rPr>
                <w:color w:val="auto"/>
                <w:sz w:val="18"/>
                <w:szCs w:val="18"/>
              </w:rPr>
              <w:t>≤1</w:t>
            </w:r>
          </w:p>
        </w:tc>
        <w:tc>
          <w:tcPr>
            <w:tcW w:w="2552" w:type="dxa"/>
            <w:vAlign w:val="center"/>
          </w:tcPr>
          <w:p w14:paraId="7C599105">
            <w:pPr>
              <w:adjustRightInd w:val="0"/>
              <w:snapToGrid w:val="0"/>
              <w:spacing w:line="260" w:lineRule="exact"/>
              <w:jc w:val="center"/>
              <w:rPr>
                <w:color w:val="auto"/>
                <w:sz w:val="18"/>
                <w:szCs w:val="18"/>
              </w:rPr>
            </w:pPr>
            <w:r>
              <w:rPr>
                <w:color w:val="auto"/>
                <w:sz w:val="18"/>
                <w:szCs w:val="18"/>
              </w:rPr>
              <w:t>15～20</w:t>
            </w:r>
          </w:p>
        </w:tc>
      </w:tr>
      <w:tr w14:paraId="4AF70E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053498F3">
            <w:pPr>
              <w:adjustRightInd w:val="0"/>
              <w:snapToGrid w:val="0"/>
              <w:spacing w:line="240" w:lineRule="exact"/>
              <w:jc w:val="center"/>
              <w:rPr>
                <w:color w:val="auto"/>
                <w:sz w:val="18"/>
                <w:szCs w:val="18"/>
              </w:rPr>
            </w:pPr>
          </w:p>
        </w:tc>
        <w:tc>
          <w:tcPr>
            <w:tcW w:w="4050" w:type="dxa"/>
            <w:gridSpan w:val="2"/>
            <w:vAlign w:val="center"/>
          </w:tcPr>
          <w:p w14:paraId="41F62973">
            <w:pPr>
              <w:adjustRightInd w:val="0"/>
              <w:snapToGrid w:val="0"/>
              <w:spacing w:line="260" w:lineRule="exact"/>
              <w:jc w:val="center"/>
              <w:rPr>
                <w:color w:val="auto"/>
                <w:sz w:val="18"/>
                <w:szCs w:val="18"/>
              </w:rPr>
            </w:pPr>
            <w:r>
              <w:rPr>
                <w:color w:val="auto"/>
                <w:sz w:val="18"/>
                <w:szCs w:val="18"/>
              </w:rPr>
              <w:t>0.5＜</w:t>
            </w:r>
            <w:r>
              <w:rPr>
                <w:i/>
                <w:iCs/>
                <w:color w:val="auto"/>
                <w:sz w:val="18"/>
                <w:szCs w:val="18"/>
              </w:rPr>
              <w:t>I</w:t>
            </w:r>
            <w:r>
              <w:rPr>
                <w:iCs/>
                <w:color w:val="auto"/>
                <w:sz w:val="18"/>
                <w:szCs w:val="18"/>
                <w:vertAlign w:val="subscript"/>
              </w:rPr>
              <w:t>L</w:t>
            </w:r>
            <w:r>
              <w:rPr>
                <w:color w:val="auto"/>
                <w:sz w:val="18"/>
                <w:szCs w:val="18"/>
              </w:rPr>
              <w:t>≤0.75</w:t>
            </w:r>
          </w:p>
        </w:tc>
        <w:tc>
          <w:tcPr>
            <w:tcW w:w="2552" w:type="dxa"/>
            <w:vAlign w:val="center"/>
          </w:tcPr>
          <w:p w14:paraId="7E8925FC">
            <w:pPr>
              <w:adjustRightInd w:val="0"/>
              <w:snapToGrid w:val="0"/>
              <w:spacing w:line="260" w:lineRule="exact"/>
              <w:jc w:val="center"/>
              <w:rPr>
                <w:color w:val="auto"/>
                <w:sz w:val="18"/>
                <w:szCs w:val="18"/>
              </w:rPr>
            </w:pPr>
            <w:r>
              <w:rPr>
                <w:color w:val="auto"/>
                <w:sz w:val="18"/>
                <w:szCs w:val="18"/>
              </w:rPr>
              <w:t>20～30</w:t>
            </w:r>
          </w:p>
        </w:tc>
      </w:tr>
      <w:tr w14:paraId="52369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046BC5D1">
            <w:pPr>
              <w:adjustRightInd w:val="0"/>
              <w:snapToGrid w:val="0"/>
              <w:spacing w:line="240" w:lineRule="exact"/>
              <w:jc w:val="center"/>
              <w:rPr>
                <w:color w:val="auto"/>
                <w:sz w:val="18"/>
                <w:szCs w:val="18"/>
              </w:rPr>
            </w:pPr>
          </w:p>
        </w:tc>
        <w:tc>
          <w:tcPr>
            <w:tcW w:w="4050" w:type="dxa"/>
            <w:gridSpan w:val="2"/>
            <w:vAlign w:val="center"/>
          </w:tcPr>
          <w:p w14:paraId="5F65BA3E">
            <w:pPr>
              <w:adjustRightInd w:val="0"/>
              <w:snapToGrid w:val="0"/>
              <w:spacing w:line="260" w:lineRule="exact"/>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w:t>
            </w:r>
          </w:p>
        </w:tc>
        <w:tc>
          <w:tcPr>
            <w:tcW w:w="2552" w:type="dxa"/>
            <w:vAlign w:val="center"/>
          </w:tcPr>
          <w:p w14:paraId="04581591">
            <w:pPr>
              <w:adjustRightInd w:val="0"/>
              <w:snapToGrid w:val="0"/>
              <w:spacing w:line="260" w:lineRule="exact"/>
              <w:jc w:val="center"/>
              <w:rPr>
                <w:color w:val="auto"/>
                <w:sz w:val="18"/>
                <w:szCs w:val="18"/>
              </w:rPr>
            </w:pPr>
            <w:r>
              <w:rPr>
                <w:color w:val="auto"/>
                <w:sz w:val="18"/>
                <w:szCs w:val="18"/>
              </w:rPr>
              <w:t>30～35</w:t>
            </w:r>
          </w:p>
        </w:tc>
      </w:tr>
      <w:tr w14:paraId="04E3F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188F8241">
            <w:pPr>
              <w:adjustRightInd w:val="0"/>
              <w:snapToGrid w:val="0"/>
              <w:spacing w:line="240" w:lineRule="exact"/>
              <w:jc w:val="center"/>
              <w:rPr>
                <w:color w:val="auto"/>
                <w:sz w:val="18"/>
                <w:szCs w:val="18"/>
              </w:rPr>
            </w:pPr>
          </w:p>
        </w:tc>
        <w:tc>
          <w:tcPr>
            <w:tcW w:w="4050" w:type="dxa"/>
            <w:gridSpan w:val="2"/>
            <w:vAlign w:val="center"/>
          </w:tcPr>
          <w:p w14:paraId="671B5AD0">
            <w:pPr>
              <w:adjustRightInd w:val="0"/>
              <w:snapToGrid w:val="0"/>
              <w:spacing w:line="260" w:lineRule="exact"/>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2552" w:type="dxa"/>
            <w:vAlign w:val="center"/>
          </w:tcPr>
          <w:p w14:paraId="2F4F47A6">
            <w:pPr>
              <w:adjustRightInd w:val="0"/>
              <w:snapToGrid w:val="0"/>
              <w:spacing w:line="260" w:lineRule="exact"/>
              <w:jc w:val="center"/>
              <w:rPr>
                <w:color w:val="auto"/>
                <w:sz w:val="18"/>
                <w:szCs w:val="18"/>
              </w:rPr>
            </w:pPr>
            <w:r>
              <w:rPr>
                <w:color w:val="auto"/>
                <w:sz w:val="18"/>
                <w:szCs w:val="18"/>
              </w:rPr>
              <w:t>35～40</w:t>
            </w:r>
          </w:p>
        </w:tc>
      </w:tr>
      <w:tr w14:paraId="31617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580284AE">
            <w:pPr>
              <w:adjustRightInd w:val="0"/>
              <w:snapToGrid w:val="0"/>
              <w:spacing w:line="240" w:lineRule="exact"/>
              <w:jc w:val="center"/>
              <w:rPr>
                <w:color w:val="auto"/>
                <w:sz w:val="18"/>
                <w:szCs w:val="18"/>
              </w:rPr>
            </w:pPr>
          </w:p>
        </w:tc>
        <w:tc>
          <w:tcPr>
            <w:tcW w:w="4050" w:type="dxa"/>
            <w:gridSpan w:val="2"/>
            <w:vAlign w:val="center"/>
          </w:tcPr>
          <w:p w14:paraId="4218771E">
            <w:pPr>
              <w:adjustRightInd w:val="0"/>
              <w:snapToGrid w:val="0"/>
              <w:spacing w:line="240" w:lineRule="exac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2552" w:type="dxa"/>
            <w:vAlign w:val="center"/>
          </w:tcPr>
          <w:p w14:paraId="14DDAA2B">
            <w:pPr>
              <w:adjustRightInd w:val="0"/>
              <w:snapToGrid w:val="0"/>
              <w:spacing w:line="240" w:lineRule="exact"/>
              <w:jc w:val="center"/>
              <w:rPr>
                <w:color w:val="auto"/>
                <w:sz w:val="18"/>
                <w:szCs w:val="18"/>
              </w:rPr>
            </w:pPr>
            <w:r>
              <w:rPr>
                <w:color w:val="auto"/>
                <w:sz w:val="18"/>
                <w:szCs w:val="18"/>
              </w:rPr>
              <w:t>40～50</w:t>
            </w:r>
          </w:p>
        </w:tc>
      </w:tr>
      <w:tr w14:paraId="2C956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0D0C9EDA">
            <w:pPr>
              <w:adjustRightInd w:val="0"/>
              <w:snapToGrid w:val="0"/>
              <w:spacing w:line="240" w:lineRule="exact"/>
              <w:jc w:val="center"/>
              <w:rPr>
                <w:color w:val="auto"/>
                <w:sz w:val="18"/>
                <w:szCs w:val="18"/>
              </w:rPr>
            </w:pPr>
            <w:r>
              <w:rPr>
                <w:color w:val="auto"/>
                <w:sz w:val="18"/>
                <w:szCs w:val="18"/>
              </w:rPr>
              <w:t>红黏土</w:t>
            </w:r>
          </w:p>
        </w:tc>
        <w:tc>
          <w:tcPr>
            <w:tcW w:w="4050" w:type="dxa"/>
            <w:gridSpan w:val="2"/>
            <w:vAlign w:val="center"/>
          </w:tcPr>
          <w:p w14:paraId="2C286EF5">
            <w:pPr>
              <w:adjustRightInd w:val="0"/>
              <w:snapToGrid w:val="0"/>
              <w:spacing w:line="240" w:lineRule="exact"/>
              <w:jc w:val="center"/>
              <w:rPr>
                <w:color w:val="auto"/>
                <w:sz w:val="18"/>
                <w:szCs w:val="18"/>
              </w:rPr>
            </w:pPr>
            <w:r>
              <w:rPr>
                <w:color w:val="auto"/>
                <w:sz w:val="18"/>
                <w:szCs w:val="18"/>
              </w:rPr>
              <w:t>0.7＜</w:t>
            </w:r>
            <w:r>
              <w:rPr>
                <w:i/>
                <w:iCs/>
                <w:color w:val="auto"/>
                <w:sz w:val="18"/>
                <w:szCs w:val="18"/>
              </w:rPr>
              <w:t>α</w:t>
            </w:r>
            <w:r>
              <w:rPr>
                <w:iCs/>
                <w:color w:val="auto"/>
                <w:sz w:val="18"/>
                <w:szCs w:val="18"/>
                <w:vertAlign w:val="subscript"/>
              </w:rPr>
              <w:t>w</w:t>
            </w:r>
            <w:r>
              <w:rPr>
                <w:color w:val="auto"/>
                <w:sz w:val="18"/>
                <w:szCs w:val="18"/>
              </w:rPr>
              <w:t>≤1</w:t>
            </w:r>
          </w:p>
        </w:tc>
        <w:tc>
          <w:tcPr>
            <w:tcW w:w="2552" w:type="dxa"/>
            <w:vAlign w:val="center"/>
          </w:tcPr>
          <w:p w14:paraId="792DA534">
            <w:pPr>
              <w:adjustRightInd w:val="0"/>
              <w:snapToGrid w:val="0"/>
              <w:spacing w:line="240" w:lineRule="exact"/>
              <w:jc w:val="center"/>
              <w:rPr>
                <w:color w:val="auto"/>
                <w:sz w:val="18"/>
                <w:szCs w:val="18"/>
              </w:rPr>
            </w:pPr>
            <w:r>
              <w:rPr>
                <w:color w:val="auto"/>
                <w:sz w:val="18"/>
                <w:szCs w:val="18"/>
              </w:rPr>
              <w:t>6～16</w:t>
            </w:r>
          </w:p>
        </w:tc>
      </w:tr>
      <w:tr w14:paraId="49A24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4FBCD7E9">
            <w:pPr>
              <w:adjustRightInd w:val="0"/>
              <w:snapToGrid w:val="0"/>
              <w:spacing w:line="240" w:lineRule="exact"/>
              <w:jc w:val="center"/>
              <w:rPr>
                <w:color w:val="auto"/>
                <w:sz w:val="18"/>
                <w:szCs w:val="18"/>
              </w:rPr>
            </w:pPr>
          </w:p>
        </w:tc>
        <w:tc>
          <w:tcPr>
            <w:tcW w:w="4050" w:type="dxa"/>
            <w:gridSpan w:val="2"/>
            <w:vAlign w:val="center"/>
          </w:tcPr>
          <w:p w14:paraId="1B05581B">
            <w:pPr>
              <w:adjustRightInd w:val="0"/>
              <w:snapToGrid w:val="0"/>
              <w:spacing w:line="240" w:lineRule="exact"/>
              <w:jc w:val="center"/>
              <w:rPr>
                <w:color w:val="auto"/>
                <w:sz w:val="18"/>
                <w:szCs w:val="18"/>
              </w:rPr>
            </w:pPr>
            <w:r>
              <w:rPr>
                <w:color w:val="auto"/>
                <w:sz w:val="18"/>
                <w:szCs w:val="18"/>
              </w:rPr>
              <w:t>0.5＜</w:t>
            </w:r>
            <w:r>
              <w:rPr>
                <w:i/>
                <w:iCs/>
                <w:color w:val="auto"/>
                <w:sz w:val="18"/>
                <w:szCs w:val="18"/>
              </w:rPr>
              <w:t>α</w:t>
            </w:r>
            <w:r>
              <w:rPr>
                <w:iCs/>
                <w:color w:val="auto"/>
                <w:sz w:val="18"/>
                <w:szCs w:val="18"/>
                <w:vertAlign w:val="subscript"/>
              </w:rPr>
              <w:t>w</w:t>
            </w:r>
            <w:r>
              <w:rPr>
                <w:color w:val="auto"/>
                <w:sz w:val="18"/>
                <w:szCs w:val="18"/>
              </w:rPr>
              <w:t>≤0.7</w:t>
            </w:r>
          </w:p>
        </w:tc>
        <w:tc>
          <w:tcPr>
            <w:tcW w:w="2552" w:type="dxa"/>
            <w:vAlign w:val="center"/>
          </w:tcPr>
          <w:p w14:paraId="04CACF41">
            <w:pPr>
              <w:adjustRightInd w:val="0"/>
              <w:snapToGrid w:val="0"/>
              <w:spacing w:line="240" w:lineRule="exact"/>
              <w:jc w:val="center"/>
              <w:rPr>
                <w:color w:val="auto"/>
                <w:sz w:val="18"/>
                <w:szCs w:val="18"/>
              </w:rPr>
            </w:pPr>
            <w:r>
              <w:rPr>
                <w:color w:val="auto"/>
                <w:sz w:val="18"/>
                <w:szCs w:val="18"/>
              </w:rPr>
              <w:t>16～37</w:t>
            </w:r>
          </w:p>
        </w:tc>
      </w:tr>
      <w:tr w14:paraId="7B71E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2DC8C563">
            <w:pPr>
              <w:adjustRightInd w:val="0"/>
              <w:snapToGrid w:val="0"/>
              <w:spacing w:line="240" w:lineRule="exact"/>
              <w:jc w:val="center"/>
              <w:rPr>
                <w:color w:val="auto"/>
                <w:sz w:val="18"/>
                <w:szCs w:val="18"/>
              </w:rPr>
            </w:pPr>
            <w:r>
              <w:rPr>
                <w:color w:val="auto"/>
                <w:sz w:val="18"/>
                <w:szCs w:val="18"/>
              </w:rPr>
              <w:t>粉土</w:t>
            </w:r>
          </w:p>
        </w:tc>
        <w:tc>
          <w:tcPr>
            <w:tcW w:w="4050" w:type="dxa"/>
            <w:gridSpan w:val="2"/>
            <w:vAlign w:val="center"/>
          </w:tcPr>
          <w:p w14:paraId="561F2DDB">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≤1</w:t>
            </w:r>
          </w:p>
        </w:tc>
        <w:tc>
          <w:tcPr>
            <w:tcW w:w="2552" w:type="dxa"/>
            <w:vAlign w:val="center"/>
          </w:tcPr>
          <w:p w14:paraId="394466AC">
            <w:pPr>
              <w:adjustRightInd w:val="0"/>
              <w:snapToGrid w:val="0"/>
              <w:spacing w:line="240" w:lineRule="exact"/>
              <w:jc w:val="center"/>
              <w:rPr>
                <w:color w:val="auto"/>
                <w:sz w:val="18"/>
                <w:szCs w:val="18"/>
              </w:rPr>
            </w:pPr>
            <w:r>
              <w:rPr>
                <w:color w:val="auto"/>
                <w:sz w:val="18"/>
                <w:szCs w:val="18"/>
              </w:rPr>
              <w:t>11～20</w:t>
            </w:r>
          </w:p>
        </w:tc>
      </w:tr>
      <w:tr w14:paraId="7E81A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7F1CF786">
            <w:pPr>
              <w:adjustRightInd w:val="0"/>
              <w:snapToGrid w:val="0"/>
              <w:spacing w:line="240" w:lineRule="exact"/>
              <w:jc w:val="center"/>
              <w:rPr>
                <w:color w:val="auto"/>
                <w:sz w:val="18"/>
                <w:szCs w:val="18"/>
              </w:rPr>
            </w:pPr>
          </w:p>
        </w:tc>
        <w:tc>
          <w:tcPr>
            <w:tcW w:w="4050" w:type="dxa"/>
            <w:gridSpan w:val="2"/>
            <w:vAlign w:val="center"/>
          </w:tcPr>
          <w:p w14:paraId="216CEBE4">
            <w:pPr>
              <w:adjustRightInd w:val="0"/>
              <w:snapToGrid w:val="0"/>
              <w:spacing w:line="240" w:lineRule="exact"/>
              <w:jc w:val="center"/>
              <w:rPr>
                <w:color w:val="auto"/>
                <w:sz w:val="18"/>
                <w:szCs w:val="18"/>
              </w:rPr>
            </w:pPr>
            <w:r>
              <w:rPr>
                <w:color w:val="auto"/>
                <w:sz w:val="18"/>
                <w:szCs w:val="18"/>
              </w:rPr>
              <w:t>1＜</w:t>
            </w:r>
            <w:r>
              <w:rPr>
                <w:i/>
                <w:iCs/>
                <w:color w:val="auto"/>
                <w:sz w:val="18"/>
                <w:szCs w:val="18"/>
              </w:rPr>
              <w:t>p</w:t>
            </w:r>
            <w:r>
              <w:rPr>
                <w:iCs/>
                <w:color w:val="auto"/>
                <w:sz w:val="18"/>
                <w:szCs w:val="18"/>
                <w:vertAlign w:val="subscript"/>
              </w:rPr>
              <w:t>s</w:t>
            </w:r>
            <w:r>
              <w:rPr>
                <w:color w:val="auto"/>
                <w:sz w:val="18"/>
                <w:szCs w:val="18"/>
              </w:rPr>
              <w:t>≤2.5</w:t>
            </w:r>
          </w:p>
        </w:tc>
        <w:tc>
          <w:tcPr>
            <w:tcW w:w="2552" w:type="dxa"/>
            <w:vAlign w:val="center"/>
          </w:tcPr>
          <w:p w14:paraId="2B5DAA31">
            <w:pPr>
              <w:adjustRightInd w:val="0"/>
              <w:snapToGrid w:val="0"/>
              <w:spacing w:line="240" w:lineRule="exact"/>
              <w:jc w:val="center"/>
              <w:rPr>
                <w:color w:val="auto"/>
                <w:sz w:val="18"/>
                <w:szCs w:val="18"/>
              </w:rPr>
            </w:pPr>
            <w:r>
              <w:rPr>
                <w:color w:val="auto"/>
                <w:sz w:val="18"/>
                <w:szCs w:val="18"/>
              </w:rPr>
              <w:t>20～28</w:t>
            </w:r>
          </w:p>
        </w:tc>
      </w:tr>
      <w:tr w14:paraId="6F45E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658EE6C5">
            <w:pPr>
              <w:adjustRightInd w:val="0"/>
              <w:snapToGrid w:val="0"/>
              <w:spacing w:line="240" w:lineRule="exact"/>
              <w:jc w:val="center"/>
              <w:rPr>
                <w:color w:val="auto"/>
                <w:sz w:val="18"/>
                <w:szCs w:val="18"/>
              </w:rPr>
            </w:pPr>
          </w:p>
        </w:tc>
        <w:tc>
          <w:tcPr>
            <w:tcW w:w="4050" w:type="dxa"/>
            <w:gridSpan w:val="2"/>
            <w:vAlign w:val="center"/>
          </w:tcPr>
          <w:p w14:paraId="3E4B976F">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＞2.5</w:t>
            </w:r>
          </w:p>
        </w:tc>
        <w:tc>
          <w:tcPr>
            <w:tcW w:w="2552" w:type="dxa"/>
            <w:vAlign w:val="center"/>
          </w:tcPr>
          <w:p w14:paraId="23FEE72F">
            <w:pPr>
              <w:adjustRightInd w:val="0"/>
              <w:snapToGrid w:val="0"/>
              <w:spacing w:line="240" w:lineRule="exact"/>
              <w:jc w:val="center"/>
              <w:rPr>
                <w:color w:val="auto"/>
                <w:sz w:val="18"/>
                <w:szCs w:val="18"/>
              </w:rPr>
            </w:pPr>
            <w:r>
              <w:rPr>
                <w:color w:val="auto"/>
                <w:sz w:val="18"/>
                <w:szCs w:val="18"/>
              </w:rPr>
              <w:t>28～40</w:t>
            </w:r>
          </w:p>
        </w:tc>
      </w:tr>
      <w:tr w14:paraId="21811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38BB7537">
            <w:pPr>
              <w:adjustRightInd w:val="0"/>
              <w:snapToGrid w:val="0"/>
              <w:spacing w:line="240" w:lineRule="exact"/>
              <w:jc w:val="center"/>
              <w:rPr>
                <w:color w:val="auto"/>
                <w:sz w:val="18"/>
                <w:szCs w:val="18"/>
              </w:rPr>
            </w:pPr>
            <w:r>
              <w:rPr>
                <w:color w:val="auto"/>
                <w:sz w:val="18"/>
                <w:szCs w:val="18"/>
              </w:rPr>
              <w:t>粉细砂</w:t>
            </w:r>
          </w:p>
        </w:tc>
        <w:tc>
          <w:tcPr>
            <w:tcW w:w="1598" w:type="dxa"/>
            <w:tcBorders>
              <w:right w:val="single" w:color="auto" w:sz="4" w:space="0"/>
            </w:tcBorders>
            <w:vAlign w:val="center"/>
          </w:tcPr>
          <w:p w14:paraId="5EF186A0">
            <w:pPr>
              <w:adjustRightInd w:val="0"/>
              <w:snapToGrid w:val="0"/>
              <w:spacing w:line="240" w:lineRule="exact"/>
              <w:jc w:val="center"/>
              <w:rPr>
                <w:color w:val="auto"/>
                <w:sz w:val="18"/>
                <w:szCs w:val="18"/>
              </w:rPr>
            </w:pPr>
            <w:r>
              <w:rPr>
                <w:color w:val="auto"/>
                <w:sz w:val="18"/>
                <w:szCs w:val="18"/>
              </w:rPr>
              <w:t>稍密</w:t>
            </w:r>
          </w:p>
        </w:tc>
        <w:tc>
          <w:tcPr>
            <w:tcW w:w="2452" w:type="dxa"/>
            <w:tcBorders>
              <w:left w:val="single" w:color="auto" w:sz="4" w:space="0"/>
            </w:tcBorders>
            <w:vAlign w:val="center"/>
          </w:tcPr>
          <w:p w14:paraId="771E481B">
            <w:pPr>
              <w:adjustRightInd w:val="0"/>
              <w:snapToGrid w:val="0"/>
              <w:spacing w:line="240" w:lineRule="exact"/>
              <w:jc w:val="center"/>
              <w:rPr>
                <w:color w:val="auto"/>
                <w:sz w:val="18"/>
                <w:szCs w:val="18"/>
              </w:rPr>
            </w:pPr>
            <w:r>
              <w:rPr>
                <w:color w:val="auto"/>
                <w:sz w:val="18"/>
                <w:szCs w:val="18"/>
              </w:rPr>
              <w:t>10＜</w:t>
            </w:r>
            <w:r>
              <w:rPr>
                <w:i/>
                <w:iCs/>
                <w:color w:val="auto"/>
                <w:sz w:val="18"/>
                <w:szCs w:val="18"/>
              </w:rPr>
              <w:t>N</w:t>
            </w:r>
            <w:r>
              <w:rPr>
                <w:color w:val="auto"/>
                <w:sz w:val="18"/>
                <w:szCs w:val="18"/>
              </w:rPr>
              <w:t>≤15</w:t>
            </w:r>
          </w:p>
        </w:tc>
        <w:tc>
          <w:tcPr>
            <w:tcW w:w="2552" w:type="dxa"/>
            <w:vAlign w:val="center"/>
          </w:tcPr>
          <w:p w14:paraId="791EA310">
            <w:pPr>
              <w:adjustRightInd w:val="0"/>
              <w:snapToGrid w:val="0"/>
              <w:spacing w:line="240" w:lineRule="exact"/>
              <w:jc w:val="center"/>
              <w:rPr>
                <w:color w:val="auto"/>
                <w:sz w:val="18"/>
                <w:szCs w:val="18"/>
              </w:rPr>
            </w:pPr>
            <w:r>
              <w:rPr>
                <w:color w:val="auto"/>
                <w:sz w:val="18"/>
                <w:szCs w:val="18"/>
              </w:rPr>
              <w:t>18～25</w:t>
            </w:r>
          </w:p>
        </w:tc>
      </w:tr>
      <w:tr w14:paraId="63360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00B61BA1">
            <w:pPr>
              <w:adjustRightInd w:val="0"/>
              <w:snapToGrid w:val="0"/>
              <w:spacing w:line="240" w:lineRule="exact"/>
              <w:jc w:val="center"/>
              <w:rPr>
                <w:color w:val="auto"/>
                <w:sz w:val="18"/>
                <w:szCs w:val="18"/>
              </w:rPr>
            </w:pPr>
          </w:p>
        </w:tc>
        <w:tc>
          <w:tcPr>
            <w:tcW w:w="1598" w:type="dxa"/>
            <w:tcBorders>
              <w:right w:val="single" w:color="auto" w:sz="4" w:space="0"/>
            </w:tcBorders>
            <w:vAlign w:val="center"/>
          </w:tcPr>
          <w:p w14:paraId="2C4B7BB5">
            <w:pPr>
              <w:adjustRightInd w:val="0"/>
              <w:snapToGrid w:val="0"/>
              <w:spacing w:line="240" w:lineRule="exact"/>
              <w:jc w:val="center"/>
              <w:rPr>
                <w:color w:val="auto"/>
                <w:sz w:val="18"/>
                <w:szCs w:val="18"/>
              </w:rPr>
            </w:pPr>
            <w:r>
              <w:rPr>
                <w:color w:val="auto"/>
                <w:sz w:val="18"/>
                <w:szCs w:val="18"/>
              </w:rPr>
              <w:t>中密</w:t>
            </w:r>
          </w:p>
        </w:tc>
        <w:tc>
          <w:tcPr>
            <w:tcW w:w="2452" w:type="dxa"/>
            <w:tcBorders>
              <w:left w:val="single" w:color="auto" w:sz="4" w:space="0"/>
            </w:tcBorders>
            <w:vAlign w:val="center"/>
          </w:tcPr>
          <w:p w14:paraId="5DAFEB77">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52" w:type="dxa"/>
            <w:vAlign w:val="center"/>
          </w:tcPr>
          <w:p w14:paraId="40CE50F9">
            <w:pPr>
              <w:adjustRightInd w:val="0"/>
              <w:snapToGrid w:val="0"/>
              <w:spacing w:line="240" w:lineRule="exact"/>
              <w:jc w:val="center"/>
              <w:rPr>
                <w:color w:val="auto"/>
                <w:sz w:val="18"/>
                <w:szCs w:val="18"/>
              </w:rPr>
            </w:pPr>
            <w:r>
              <w:rPr>
                <w:color w:val="auto"/>
                <w:sz w:val="18"/>
                <w:szCs w:val="18"/>
              </w:rPr>
              <w:t>25～35</w:t>
            </w:r>
          </w:p>
        </w:tc>
      </w:tr>
      <w:tr w14:paraId="25E36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11EBA314">
            <w:pPr>
              <w:adjustRightInd w:val="0"/>
              <w:snapToGrid w:val="0"/>
              <w:spacing w:line="240" w:lineRule="exact"/>
              <w:jc w:val="center"/>
              <w:rPr>
                <w:color w:val="auto"/>
                <w:sz w:val="18"/>
                <w:szCs w:val="18"/>
              </w:rPr>
            </w:pPr>
          </w:p>
        </w:tc>
        <w:tc>
          <w:tcPr>
            <w:tcW w:w="1598" w:type="dxa"/>
            <w:tcBorders>
              <w:right w:val="single" w:color="auto" w:sz="4" w:space="0"/>
            </w:tcBorders>
            <w:vAlign w:val="center"/>
          </w:tcPr>
          <w:p w14:paraId="370206D5">
            <w:pPr>
              <w:adjustRightInd w:val="0"/>
              <w:snapToGrid w:val="0"/>
              <w:spacing w:line="240" w:lineRule="exact"/>
              <w:jc w:val="center"/>
              <w:rPr>
                <w:color w:val="auto"/>
                <w:sz w:val="18"/>
                <w:szCs w:val="18"/>
              </w:rPr>
            </w:pPr>
            <w:r>
              <w:rPr>
                <w:color w:val="auto"/>
                <w:sz w:val="18"/>
                <w:szCs w:val="18"/>
              </w:rPr>
              <w:t>密实</w:t>
            </w:r>
          </w:p>
        </w:tc>
        <w:tc>
          <w:tcPr>
            <w:tcW w:w="2452" w:type="dxa"/>
            <w:tcBorders>
              <w:left w:val="single" w:color="auto" w:sz="4" w:space="0"/>
            </w:tcBorders>
            <w:vAlign w:val="center"/>
          </w:tcPr>
          <w:p w14:paraId="2E507CAB">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52" w:type="dxa"/>
            <w:vAlign w:val="center"/>
          </w:tcPr>
          <w:p w14:paraId="3153B24E">
            <w:pPr>
              <w:adjustRightInd w:val="0"/>
              <w:snapToGrid w:val="0"/>
              <w:spacing w:line="240" w:lineRule="exact"/>
              <w:jc w:val="center"/>
              <w:rPr>
                <w:color w:val="auto"/>
                <w:sz w:val="18"/>
                <w:szCs w:val="18"/>
              </w:rPr>
            </w:pPr>
            <w:r>
              <w:rPr>
                <w:color w:val="auto"/>
                <w:sz w:val="18"/>
                <w:szCs w:val="18"/>
              </w:rPr>
              <w:t>35～45</w:t>
            </w:r>
          </w:p>
        </w:tc>
      </w:tr>
      <w:tr w14:paraId="1B4977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39E97869">
            <w:pPr>
              <w:adjustRightInd w:val="0"/>
              <w:snapToGrid w:val="0"/>
              <w:spacing w:line="240" w:lineRule="exact"/>
              <w:jc w:val="center"/>
              <w:rPr>
                <w:color w:val="auto"/>
                <w:sz w:val="18"/>
                <w:szCs w:val="18"/>
              </w:rPr>
            </w:pPr>
            <w:r>
              <w:rPr>
                <w:color w:val="auto"/>
                <w:sz w:val="18"/>
                <w:szCs w:val="18"/>
              </w:rPr>
              <w:t>中砂</w:t>
            </w:r>
          </w:p>
        </w:tc>
        <w:tc>
          <w:tcPr>
            <w:tcW w:w="1598" w:type="dxa"/>
            <w:tcBorders>
              <w:right w:val="single" w:color="auto" w:sz="4" w:space="0"/>
            </w:tcBorders>
            <w:vAlign w:val="center"/>
          </w:tcPr>
          <w:p w14:paraId="1E861BAF">
            <w:pPr>
              <w:adjustRightInd w:val="0"/>
              <w:snapToGrid w:val="0"/>
              <w:spacing w:line="240" w:lineRule="exact"/>
              <w:jc w:val="center"/>
              <w:rPr>
                <w:color w:val="auto"/>
                <w:sz w:val="18"/>
                <w:szCs w:val="18"/>
              </w:rPr>
            </w:pPr>
            <w:r>
              <w:rPr>
                <w:color w:val="auto"/>
                <w:sz w:val="18"/>
                <w:szCs w:val="18"/>
              </w:rPr>
              <w:t>中密</w:t>
            </w:r>
          </w:p>
        </w:tc>
        <w:tc>
          <w:tcPr>
            <w:tcW w:w="2452" w:type="dxa"/>
            <w:tcBorders>
              <w:left w:val="single" w:color="auto" w:sz="4" w:space="0"/>
            </w:tcBorders>
            <w:vAlign w:val="center"/>
          </w:tcPr>
          <w:p w14:paraId="634F41B5">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52" w:type="dxa"/>
            <w:vAlign w:val="center"/>
          </w:tcPr>
          <w:p w14:paraId="7E30DEBD">
            <w:pPr>
              <w:adjustRightInd w:val="0"/>
              <w:snapToGrid w:val="0"/>
              <w:spacing w:line="240" w:lineRule="exact"/>
              <w:jc w:val="center"/>
              <w:rPr>
                <w:color w:val="auto"/>
                <w:sz w:val="18"/>
                <w:szCs w:val="18"/>
              </w:rPr>
            </w:pPr>
            <w:r>
              <w:rPr>
                <w:color w:val="auto"/>
                <w:sz w:val="18"/>
                <w:szCs w:val="18"/>
              </w:rPr>
              <w:t>27～37</w:t>
            </w:r>
          </w:p>
        </w:tc>
      </w:tr>
      <w:tr w14:paraId="5DA97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472754EC">
            <w:pPr>
              <w:adjustRightInd w:val="0"/>
              <w:snapToGrid w:val="0"/>
              <w:spacing w:line="240" w:lineRule="exact"/>
              <w:jc w:val="center"/>
              <w:rPr>
                <w:color w:val="auto"/>
                <w:sz w:val="18"/>
                <w:szCs w:val="18"/>
              </w:rPr>
            </w:pPr>
          </w:p>
        </w:tc>
        <w:tc>
          <w:tcPr>
            <w:tcW w:w="1598" w:type="dxa"/>
            <w:tcBorders>
              <w:right w:val="single" w:color="auto" w:sz="4" w:space="0"/>
            </w:tcBorders>
            <w:vAlign w:val="center"/>
          </w:tcPr>
          <w:p w14:paraId="32A27745">
            <w:pPr>
              <w:adjustRightInd w:val="0"/>
              <w:snapToGrid w:val="0"/>
              <w:spacing w:line="240" w:lineRule="exact"/>
              <w:jc w:val="center"/>
              <w:rPr>
                <w:color w:val="auto"/>
                <w:sz w:val="18"/>
                <w:szCs w:val="18"/>
              </w:rPr>
            </w:pPr>
            <w:r>
              <w:rPr>
                <w:color w:val="auto"/>
                <w:sz w:val="18"/>
                <w:szCs w:val="18"/>
              </w:rPr>
              <w:t>密实</w:t>
            </w:r>
          </w:p>
        </w:tc>
        <w:tc>
          <w:tcPr>
            <w:tcW w:w="2452" w:type="dxa"/>
            <w:tcBorders>
              <w:left w:val="single" w:color="auto" w:sz="4" w:space="0"/>
            </w:tcBorders>
            <w:vAlign w:val="center"/>
          </w:tcPr>
          <w:p w14:paraId="34353A1C">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52" w:type="dxa"/>
            <w:vAlign w:val="center"/>
          </w:tcPr>
          <w:p w14:paraId="4BC14D07">
            <w:pPr>
              <w:adjustRightInd w:val="0"/>
              <w:snapToGrid w:val="0"/>
              <w:spacing w:line="240" w:lineRule="exact"/>
              <w:jc w:val="center"/>
              <w:rPr>
                <w:color w:val="auto"/>
                <w:sz w:val="18"/>
                <w:szCs w:val="18"/>
              </w:rPr>
            </w:pPr>
            <w:r>
              <w:rPr>
                <w:color w:val="auto"/>
                <w:sz w:val="18"/>
                <w:szCs w:val="18"/>
              </w:rPr>
              <w:t>37～48</w:t>
            </w:r>
          </w:p>
        </w:tc>
      </w:tr>
      <w:tr w14:paraId="4E9FC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1CA6E95E">
            <w:pPr>
              <w:adjustRightInd w:val="0"/>
              <w:snapToGrid w:val="0"/>
              <w:spacing w:line="240" w:lineRule="exact"/>
              <w:jc w:val="center"/>
              <w:rPr>
                <w:color w:val="auto"/>
                <w:sz w:val="18"/>
                <w:szCs w:val="18"/>
              </w:rPr>
            </w:pPr>
            <w:r>
              <w:rPr>
                <w:color w:val="auto"/>
                <w:sz w:val="18"/>
                <w:szCs w:val="18"/>
              </w:rPr>
              <w:t>粗砂</w:t>
            </w:r>
          </w:p>
        </w:tc>
        <w:tc>
          <w:tcPr>
            <w:tcW w:w="1598" w:type="dxa"/>
            <w:tcBorders>
              <w:right w:val="single" w:color="auto" w:sz="4" w:space="0"/>
            </w:tcBorders>
            <w:vAlign w:val="center"/>
          </w:tcPr>
          <w:p w14:paraId="7206A015">
            <w:pPr>
              <w:adjustRightInd w:val="0"/>
              <w:snapToGrid w:val="0"/>
              <w:spacing w:line="240" w:lineRule="exact"/>
              <w:jc w:val="center"/>
              <w:rPr>
                <w:color w:val="auto"/>
                <w:sz w:val="18"/>
                <w:szCs w:val="18"/>
              </w:rPr>
            </w:pPr>
            <w:r>
              <w:rPr>
                <w:color w:val="auto"/>
                <w:sz w:val="18"/>
                <w:szCs w:val="18"/>
              </w:rPr>
              <w:t>中密</w:t>
            </w:r>
          </w:p>
        </w:tc>
        <w:tc>
          <w:tcPr>
            <w:tcW w:w="2452" w:type="dxa"/>
            <w:tcBorders>
              <w:left w:val="single" w:color="auto" w:sz="4" w:space="0"/>
            </w:tcBorders>
            <w:vAlign w:val="center"/>
          </w:tcPr>
          <w:p w14:paraId="3CE8010B">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52" w:type="dxa"/>
            <w:vAlign w:val="center"/>
          </w:tcPr>
          <w:p w14:paraId="7495D3CC">
            <w:pPr>
              <w:adjustRightInd w:val="0"/>
              <w:snapToGrid w:val="0"/>
              <w:spacing w:line="240" w:lineRule="exact"/>
              <w:jc w:val="center"/>
              <w:rPr>
                <w:color w:val="auto"/>
                <w:sz w:val="18"/>
                <w:szCs w:val="18"/>
              </w:rPr>
            </w:pPr>
            <w:r>
              <w:rPr>
                <w:color w:val="auto"/>
                <w:sz w:val="18"/>
                <w:szCs w:val="18"/>
              </w:rPr>
              <w:t>37～48</w:t>
            </w:r>
          </w:p>
        </w:tc>
      </w:tr>
      <w:tr w14:paraId="293B8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0CD638CE">
            <w:pPr>
              <w:adjustRightInd w:val="0"/>
              <w:snapToGrid w:val="0"/>
              <w:spacing w:line="240" w:lineRule="exact"/>
              <w:jc w:val="center"/>
              <w:rPr>
                <w:color w:val="auto"/>
                <w:sz w:val="18"/>
                <w:szCs w:val="18"/>
              </w:rPr>
            </w:pPr>
          </w:p>
        </w:tc>
        <w:tc>
          <w:tcPr>
            <w:tcW w:w="1598" w:type="dxa"/>
            <w:tcBorders>
              <w:right w:val="single" w:color="auto" w:sz="4" w:space="0"/>
            </w:tcBorders>
            <w:vAlign w:val="center"/>
          </w:tcPr>
          <w:p w14:paraId="6FF503F6">
            <w:pPr>
              <w:adjustRightInd w:val="0"/>
              <w:snapToGrid w:val="0"/>
              <w:spacing w:line="240" w:lineRule="exact"/>
              <w:jc w:val="center"/>
              <w:rPr>
                <w:color w:val="auto"/>
                <w:sz w:val="18"/>
                <w:szCs w:val="18"/>
              </w:rPr>
            </w:pPr>
            <w:r>
              <w:rPr>
                <w:color w:val="auto"/>
                <w:sz w:val="18"/>
                <w:szCs w:val="18"/>
              </w:rPr>
              <w:t>密实</w:t>
            </w:r>
          </w:p>
        </w:tc>
        <w:tc>
          <w:tcPr>
            <w:tcW w:w="2452" w:type="dxa"/>
            <w:tcBorders>
              <w:left w:val="single" w:color="auto" w:sz="4" w:space="0"/>
            </w:tcBorders>
            <w:vAlign w:val="center"/>
          </w:tcPr>
          <w:p w14:paraId="5D0AA042">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52" w:type="dxa"/>
            <w:vAlign w:val="center"/>
          </w:tcPr>
          <w:p w14:paraId="69AEB1BC">
            <w:pPr>
              <w:adjustRightInd w:val="0"/>
              <w:snapToGrid w:val="0"/>
              <w:spacing w:line="240" w:lineRule="exact"/>
              <w:jc w:val="center"/>
              <w:rPr>
                <w:color w:val="auto"/>
                <w:sz w:val="18"/>
                <w:szCs w:val="18"/>
              </w:rPr>
            </w:pPr>
            <w:r>
              <w:rPr>
                <w:color w:val="auto"/>
                <w:sz w:val="18"/>
                <w:szCs w:val="18"/>
              </w:rPr>
              <w:t>48～58</w:t>
            </w:r>
          </w:p>
        </w:tc>
      </w:tr>
      <w:tr w14:paraId="3F44F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restart"/>
            <w:vAlign w:val="center"/>
          </w:tcPr>
          <w:p w14:paraId="7DDDBCED">
            <w:pPr>
              <w:adjustRightInd w:val="0"/>
              <w:snapToGrid w:val="0"/>
              <w:spacing w:line="240" w:lineRule="exact"/>
              <w:jc w:val="center"/>
              <w:rPr>
                <w:color w:val="auto"/>
                <w:sz w:val="18"/>
                <w:szCs w:val="18"/>
              </w:rPr>
            </w:pPr>
            <w:r>
              <w:rPr>
                <w:color w:val="auto"/>
                <w:sz w:val="18"/>
                <w:szCs w:val="18"/>
              </w:rPr>
              <w:t>砾砂</w:t>
            </w:r>
          </w:p>
        </w:tc>
        <w:tc>
          <w:tcPr>
            <w:tcW w:w="1598" w:type="dxa"/>
            <w:tcBorders>
              <w:right w:val="single" w:color="auto" w:sz="4" w:space="0"/>
            </w:tcBorders>
            <w:vAlign w:val="center"/>
          </w:tcPr>
          <w:p w14:paraId="50689E8B">
            <w:pPr>
              <w:adjustRightInd w:val="0"/>
              <w:snapToGrid w:val="0"/>
              <w:spacing w:line="240" w:lineRule="exact"/>
              <w:jc w:val="center"/>
              <w:rPr>
                <w:color w:val="auto"/>
                <w:sz w:val="18"/>
                <w:szCs w:val="18"/>
              </w:rPr>
            </w:pPr>
            <w:r>
              <w:rPr>
                <w:color w:val="auto"/>
                <w:sz w:val="18"/>
                <w:szCs w:val="18"/>
              </w:rPr>
              <w:t>稍密</w:t>
            </w:r>
          </w:p>
        </w:tc>
        <w:tc>
          <w:tcPr>
            <w:tcW w:w="2452" w:type="dxa"/>
            <w:tcBorders>
              <w:left w:val="single" w:color="auto" w:sz="4" w:space="0"/>
            </w:tcBorders>
            <w:vAlign w:val="center"/>
          </w:tcPr>
          <w:p w14:paraId="791156D3">
            <w:pPr>
              <w:adjustRightInd w:val="0"/>
              <w:snapToGrid w:val="0"/>
              <w:spacing w:line="240" w:lineRule="exact"/>
              <w:jc w:val="center"/>
              <w:rPr>
                <w:i/>
                <w:iCs/>
                <w:color w:val="auto"/>
                <w:sz w:val="18"/>
                <w:szCs w:val="18"/>
              </w:rPr>
            </w:pPr>
            <w:r>
              <w:rPr>
                <w:color w:val="auto"/>
                <w:sz w:val="18"/>
                <w:szCs w:val="18"/>
              </w:rPr>
              <w:t>5＜</w:t>
            </w:r>
            <w:r>
              <w:rPr>
                <w:i/>
                <w:iCs/>
                <w:color w:val="auto"/>
                <w:sz w:val="18"/>
                <w:szCs w:val="18"/>
              </w:rPr>
              <w:t>N</w:t>
            </w:r>
            <w:r>
              <w:rPr>
                <w:iCs/>
                <w:color w:val="auto"/>
                <w:sz w:val="18"/>
                <w:szCs w:val="18"/>
                <w:vertAlign w:val="subscript"/>
              </w:rPr>
              <w:t>63.5</w:t>
            </w:r>
            <w:r>
              <w:rPr>
                <w:color w:val="auto"/>
                <w:sz w:val="18"/>
                <w:szCs w:val="18"/>
              </w:rPr>
              <w:t>≤15</w:t>
            </w:r>
          </w:p>
        </w:tc>
        <w:tc>
          <w:tcPr>
            <w:tcW w:w="2552" w:type="dxa"/>
            <w:vAlign w:val="center"/>
          </w:tcPr>
          <w:p w14:paraId="61C6A313">
            <w:pPr>
              <w:adjustRightInd w:val="0"/>
              <w:snapToGrid w:val="0"/>
              <w:spacing w:line="240" w:lineRule="exact"/>
              <w:jc w:val="center"/>
              <w:rPr>
                <w:color w:val="auto"/>
                <w:sz w:val="18"/>
                <w:szCs w:val="18"/>
              </w:rPr>
            </w:pPr>
            <w:r>
              <w:rPr>
                <w:color w:val="auto"/>
                <w:sz w:val="18"/>
                <w:szCs w:val="18"/>
              </w:rPr>
              <w:t>30～50</w:t>
            </w:r>
          </w:p>
        </w:tc>
      </w:tr>
      <w:tr w14:paraId="7C146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Merge w:val="continue"/>
            <w:vAlign w:val="center"/>
          </w:tcPr>
          <w:p w14:paraId="73FDA63E">
            <w:pPr>
              <w:adjustRightInd w:val="0"/>
              <w:snapToGrid w:val="0"/>
              <w:spacing w:line="240" w:lineRule="exact"/>
              <w:jc w:val="center"/>
              <w:rPr>
                <w:color w:val="auto"/>
                <w:sz w:val="18"/>
                <w:szCs w:val="18"/>
              </w:rPr>
            </w:pPr>
          </w:p>
        </w:tc>
        <w:tc>
          <w:tcPr>
            <w:tcW w:w="1598" w:type="dxa"/>
            <w:tcBorders>
              <w:right w:val="single" w:color="auto" w:sz="4" w:space="0"/>
            </w:tcBorders>
            <w:vAlign w:val="center"/>
          </w:tcPr>
          <w:p w14:paraId="6A73ECCB">
            <w:pPr>
              <w:adjustRightInd w:val="0"/>
              <w:snapToGrid w:val="0"/>
              <w:spacing w:line="240" w:lineRule="exact"/>
              <w:jc w:val="center"/>
              <w:rPr>
                <w:color w:val="auto"/>
                <w:sz w:val="18"/>
                <w:szCs w:val="18"/>
              </w:rPr>
            </w:pPr>
            <w:r>
              <w:rPr>
                <w:color w:val="auto"/>
                <w:sz w:val="18"/>
                <w:szCs w:val="18"/>
              </w:rPr>
              <w:t>中密（密实）</w:t>
            </w:r>
          </w:p>
        </w:tc>
        <w:tc>
          <w:tcPr>
            <w:tcW w:w="2452" w:type="dxa"/>
            <w:tcBorders>
              <w:left w:val="single" w:color="auto" w:sz="4" w:space="0"/>
            </w:tcBorders>
            <w:vAlign w:val="center"/>
          </w:tcPr>
          <w:p w14:paraId="42FB546C">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iCs/>
                <w:color w:val="auto"/>
                <w:sz w:val="18"/>
                <w:szCs w:val="18"/>
                <w:vertAlign w:val="subscript"/>
              </w:rPr>
              <w:t>63.5</w:t>
            </w:r>
          </w:p>
        </w:tc>
        <w:tc>
          <w:tcPr>
            <w:tcW w:w="2552" w:type="dxa"/>
            <w:vAlign w:val="center"/>
          </w:tcPr>
          <w:p w14:paraId="37FBFF4B">
            <w:pPr>
              <w:adjustRightInd w:val="0"/>
              <w:snapToGrid w:val="0"/>
              <w:spacing w:line="240" w:lineRule="exact"/>
              <w:jc w:val="center"/>
              <w:rPr>
                <w:color w:val="auto"/>
                <w:sz w:val="18"/>
                <w:szCs w:val="18"/>
              </w:rPr>
            </w:pPr>
            <w:r>
              <w:rPr>
                <w:color w:val="auto"/>
                <w:sz w:val="18"/>
                <w:szCs w:val="18"/>
              </w:rPr>
              <w:t>58～69</w:t>
            </w:r>
          </w:p>
        </w:tc>
      </w:tr>
      <w:tr w14:paraId="39D9E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74BB9ADE">
            <w:pPr>
              <w:adjustRightInd w:val="0"/>
              <w:snapToGrid w:val="0"/>
              <w:spacing w:line="240" w:lineRule="exact"/>
              <w:jc w:val="center"/>
              <w:rPr>
                <w:color w:val="auto"/>
                <w:sz w:val="18"/>
                <w:szCs w:val="18"/>
              </w:rPr>
            </w:pPr>
            <w:r>
              <w:rPr>
                <w:color w:val="auto"/>
                <w:sz w:val="18"/>
                <w:szCs w:val="18"/>
              </w:rPr>
              <w:t>圆砾、角砾</w:t>
            </w:r>
          </w:p>
        </w:tc>
        <w:tc>
          <w:tcPr>
            <w:tcW w:w="1598" w:type="dxa"/>
            <w:tcBorders>
              <w:right w:val="single" w:color="auto" w:sz="4" w:space="0"/>
            </w:tcBorders>
            <w:vAlign w:val="center"/>
          </w:tcPr>
          <w:p w14:paraId="3F71FB92">
            <w:pPr>
              <w:adjustRightInd w:val="0"/>
              <w:snapToGrid w:val="0"/>
              <w:spacing w:line="240" w:lineRule="exact"/>
              <w:jc w:val="center"/>
              <w:rPr>
                <w:color w:val="auto"/>
                <w:sz w:val="18"/>
                <w:szCs w:val="18"/>
              </w:rPr>
            </w:pPr>
            <w:r>
              <w:rPr>
                <w:color w:val="auto"/>
                <w:sz w:val="18"/>
                <w:szCs w:val="18"/>
              </w:rPr>
              <w:t>中密、密实</w:t>
            </w:r>
          </w:p>
        </w:tc>
        <w:tc>
          <w:tcPr>
            <w:tcW w:w="2452" w:type="dxa"/>
            <w:tcBorders>
              <w:left w:val="single" w:color="auto" w:sz="4" w:space="0"/>
            </w:tcBorders>
            <w:vAlign w:val="center"/>
          </w:tcPr>
          <w:p w14:paraId="5720D090">
            <w:pPr>
              <w:adjustRightInd w:val="0"/>
              <w:snapToGrid w:val="0"/>
              <w:spacing w:line="240" w:lineRule="exact"/>
              <w:jc w:val="center"/>
              <w:rPr>
                <w:color w:val="auto"/>
                <w:sz w:val="18"/>
                <w:szCs w:val="18"/>
              </w:rPr>
            </w:pPr>
            <w:r>
              <w:rPr>
                <w:i/>
                <w:iCs/>
                <w:color w:val="auto"/>
                <w:sz w:val="18"/>
                <w:szCs w:val="18"/>
              </w:rPr>
              <w:t>N</w:t>
            </w:r>
            <w:r>
              <w:rPr>
                <w:iCs/>
                <w:color w:val="auto"/>
                <w:sz w:val="18"/>
                <w:szCs w:val="18"/>
                <w:vertAlign w:val="subscript"/>
              </w:rPr>
              <w:t>63.5</w:t>
            </w:r>
            <w:r>
              <w:rPr>
                <w:color w:val="auto"/>
                <w:sz w:val="18"/>
                <w:szCs w:val="18"/>
              </w:rPr>
              <w:t>＞10</w:t>
            </w:r>
          </w:p>
        </w:tc>
        <w:tc>
          <w:tcPr>
            <w:tcW w:w="2552" w:type="dxa"/>
            <w:vAlign w:val="center"/>
          </w:tcPr>
          <w:p w14:paraId="6AC470C2">
            <w:pPr>
              <w:adjustRightInd w:val="0"/>
              <w:snapToGrid w:val="0"/>
              <w:spacing w:line="240" w:lineRule="exact"/>
              <w:jc w:val="center"/>
              <w:rPr>
                <w:color w:val="auto"/>
                <w:sz w:val="18"/>
                <w:szCs w:val="18"/>
              </w:rPr>
            </w:pPr>
            <w:r>
              <w:rPr>
                <w:color w:val="auto"/>
                <w:sz w:val="18"/>
                <w:szCs w:val="18"/>
              </w:rPr>
              <w:t>80～100</w:t>
            </w:r>
          </w:p>
        </w:tc>
      </w:tr>
      <w:tr w14:paraId="5C89D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22D363FF">
            <w:pPr>
              <w:adjustRightInd w:val="0"/>
              <w:snapToGrid w:val="0"/>
              <w:spacing w:line="240" w:lineRule="exact"/>
              <w:jc w:val="center"/>
              <w:rPr>
                <w:color w:val="auto"/>
                <w:sz w:val="18"/>
                <w:szCs w:val="18"/>
              </w:rPr>
            </w:pPr>
            <w:r>
              <w:rPr>
                <w:color w:val="auto"/>
                <w:sz w:val="18"/>
                <w:szCs w:val="18"/>
              </w:rPr>
              <w:t>碎石、卵石</w:t>
            </w:r>
          </w:p>
        </w:tc>
        <w:tc>
          <w:tcPr>
            <w:tcW w:w="1598" w:type="dxa"/>
            <w:tcBorders>
              <w:right w:val="single" w:color="auto" w:sz="4" w:space="0"/>
            </w:tcBorders>
            <w:vAlign w:val="center"/>
          </w:tcPr>
          <w:p w14:paraId="2BB0DF13">
            <w:pPr>
              <w:adjustRightInd w:val="0"/>
              <w:snapToGrid w:val="0"/>
              <w:spacing w:line="240" w:lineRule="exact"/>
              <w:jc w:val="center"/>
              <w:rPr>
                <w:color w:val="auto"/>
                <w:sz w:val="18"/>
                <w:szCs w:val="18"/>
              </w:rPr>
            </w:pPr>
            <w:r>
              <w:rPr>
                <w:color w:val="auto"/>
                <w:sz w:val="18"/>
                <w:szCs w:val="18"/>
              </w:rPr>
              <w:t>中密、密实</w:t>
            </w:r>
          </w:p>
        </w:tc>
        <w:tc>
          <w:tcPr>
            <w:tcW w:w="2452" w:type="dxa"/>
            <w:tcBorders>
              <w:left w:val="single" w:color="auto" w:sz="4" w:space="0"/>
            </w:tcBorders>
            <w:vAlign w:val="center"/>
          </w:tcPr>
          <w:p w14:paraId="6F8A2B11">
            <w:pPr>
              <w:adjustRightInd w:val="0"/>
              <w:snapToGrid w:val="0"/>
              <w:spacing w:line="240" w:lineRule="exact"/>
              <w:jc w:val="center"/>
              <w:rPr>
                <w:color w:val="auto"/>
                <w:sz w:val="18"/>
                <w:szCs w:val="18"/>
              </w:rPr>
            </w:pPr>
            <w:r>
              <w:rPr>
                <w:i/>
                <w:iCs/>
                <w:color w:val="auto"/>
                <w:sz w:val="18"/>
                <w:szCs w:val="18"/>
              </w:rPr>
              <w:t>N</w:t>
            </w:r>
            <w:r>
              <w:rPr>
                <w:iCs/>
                <w:color w:val="auto"/>
                <w:sz w:val="18"/>
                <w:szCs w:val="18"/>
                <w:vertAlign w:val="subscript"/>
              </w:rPr>
              <w:t>63.5</w:t>
            </w:r>
            <w:r>
              <w:rPr>
                <w:color w:val="auto"/>
                <w:sz w:val="18"/>
                <w:szCs w:val="18"/>
              </w:rPr>
              <w:t>＞10</w:t>
            </w:r>
          </w:p>
        </w:tc>
        <w:tc>
          <w:tcPr>
            <w:tcW w:w="2552" w:type="dxa"/>
            <w:vAlign w:val="center"/>
          </w:tcPr>
          <w:p w14:paraId="3D1742C6">
            <w:pPr>
              <w:adjustRightInd w:val="0"/>
              <w:snapToGrid w:val="0"/>
              <w:spacing w:line="240" w:lineRule="exact"/>
              <w:jc w:val="center"/>
              <w:rPr>
                <w:color w:val="auto"/>
                <w:sz w:val="18"/>
                <w:szCs w:val="18"/>
              </w:rPr>
            </w:pPr>
            <w:r>
              <w:rPr>
                <w:color w:val="auto"/>
                <w:sz w:val="18"/>
                <w:szCs w:val="18"/>
              </w:rPr>
              <w:t>100～150</w:t>
            </w:r>
          </w:p>
        </w:tc>
      </w:tr>
      <w:tr w14:paraId="381A5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047892AB">
            <w:pPr>
              <w:adjustRightInd w:val="0"/>
              <w:snapToGrid w:val="0"/>
              <w:spacing w:line="240" w:lineRule="exact"/>
              <w:jc w:val="center"/>
              <w:rPr>
                <w:color w:val="auto"/>
                <w:sz w:val="18"/>
                <w:szCs w:val="18"/>
              </w:rPr>
            </w:pPr>
            <w:r>
              <w:rPr>
                <w:color w:val="auto"/>
                <w:sz w:val="18"/>
                <w:szCs w:val="18"/>
              </w:rPr>
              <w:t>软质岩残积土</w:t>
            </w:r>
          </w:p>
        </w:tc>
        <w:tc>
          <w:tcPr>
            <w:tcW w:w="4050" w:type="dxa"/>
            <w:gridSpan w:val="2"/>
            <w:vAlign w:val="center"/>
          </w:tcPr>
          <w:p w14:paraId="722AB1CD">
            <w:pPr>
              <w:adjustRightInd w:val="0"/>
              <w:snapToGrid w:val="0"/>
              <w:spacing w:line="240" w:lineRule="exact"/>
              <w:jc w:val="center"/>
              <w:rPr>
                <w:color w:val="auto"/>
                <w:sz w:val="18"/>
                <w:szCs w:val="18"/>
              </w:rPr>
            </w:pPr>
            <w:r>
              <w:rPr>
                <w:rFonts w:hint="eastAsia"/>
                <w:color w:val="auto"/>
                <w:sz w:val="18"/>
                <w:szCs w:val="18"/>
              </w:rPr>
              <w:t>25</w:t>
            </w:r>
            <w:r>
              <w:rPr>
                <w:color w:val="auto"/>
                <w:sz w:val="18"/>
                <w:szCs w:val="18"/>
              </w:rPr>
              <w:t>&lt;</w:t>
            </w:r>
            <w:r>
              <w:rPr>
                <w:i/>
                <w:iCs/>
                <w:color w:val="auto"/>
                <w:sz w:val="18"/>
                <w:szCs w:val="18"/>
              </w:rPr>
              <w:t>N</w:t>
            </w:r>
            <w:r>
              <w:rPr>
                <w:color w:val="auto"/>
                <w:sz w:val="18"/>
                <w:szCs w:val="18"/>
              </w:rPr>
              <w:t>&lt;35</w:t>
            </w:r>
          </w:p>
        </w:tc>
        <w:tc>
          <w:tcPr>
            <w:tcW w:w="2552" w:type="dxa"/>
            <w:vAlign w:val="center"/>
          </w:tcPr>
          <w:p w14:paraId="6CC5A396">
            <w:pPr>
              <w:adjustRightInd w:val="0"/>
              <w:snapToGrid w:val="0"/>
              <w:spacing w:line="240" w:lineRule="exact"/>
              <w:jc w:val="center"/>
              <w:rPr>
                <w:color w:val="auto"/>
                <w:sz w:val="18"/>
                <w:szCs w:val="18"/>
              </w:rPr>
            </w:pPr>
            <w:r>
              <w:rPr>
                <w:color w:val="auto"/>
                <w:sz w:val="18"/>
                <w:szCs w:val="18"/>
              </w:rPr>
              <w:t>50～60</w:t>
            </w:r>
          </w:p>
        </w:tc>
      </w:tr>
      <w:tr w14:paraId="005E6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4D508A70">
            <w:pPr>
              <w:adjustRightInd w:val="0"/>
              <w:snapToGrid w:val="0"/>
              <w:spacing w:line="240" w:lineRule="exact"/>
              <w:jc w:val="center"/>
              <w:rPr>
                <w:color w:val="auto"/>
                <w:sz w:val="18"/>
                <w:szCs w:val="18"/>
              </w:rPr>
            </w:pPr>
            <w:r>
              <w:rPr>
                <w:color w:val="auto"/>
                <w:sz w:val="18"/>
                <w:szCs w:val="18"/>
              </w:rPr>
              <w:t>硬质岩残积土</w:t>
            </w:r>
          </w:p>
        </w:tc>
        <w:tc>
          <w:tcPr>
            <w:tcW w:w="4050" w:type="dxa"/>
            <w:gridSpan w:val="2"/>
            <w:vAlign w:val="center"/>
          </w:tcPr>
          <w:p w14:paraId="6893D14F">
            <w:pPr>
              <w:adjustRightInd w:val="0"/>
              <w:snapToGrid w:val="0"/>
              <w:spacing w:line="240" w:lineRule="exact"/>
              <w:jc w:val="center"/>
              <w:rPr>
                <w:color w:val="auto"/>
                <w:sz w:val="18"/>
                <w:szCs w:val="18"/>
              </w:rPr>
            </w:pPr>
            <w:r>
              <w:rPr>
                <w:rFonts w:hint="eastAsia"/>
                <w:color w:val="auto"/>
                <w:sz w:val="18"/>
                <w:szCs w:val="18"/>
              </w:rPr>
              <w:t>35</w:t>
            </w:r>
            <w:r>
              <w:rPr>
                <w:color w:val="auto"/>
                <w:sz w:val="18"/>
                <w:szCs w:val="18"/>
              </w:rPr>
              <w:t>&lt;</w:t>
            </w:r>
            <w:r>
              <w:rPr>
                <w:i/>
                <w:iCs/>
                <w:color w:val="auto"/>
                <w:sz w:val="18"/>
                <w:szCs w:val="18"/>
              </w:rPr>
              <w:t>N</w:t>
            </w:r>
            <w:r>
              <w:rPr>
                <w:color w:val="auto"/>
                <w:sz w:val="18"/>
                <w:szCs w:val="18"/>
              </w:rPr>
              <w:t>&lt;50</w:t>
            </w:r>
          </w:p>
        </w:tc>
        <w:tc>
          <w:tcPr>
            <w:tcW w:w="2552" w:type="dxa"/>
            <w:vAlign w:val="center"/>
          </w:tcPr>
          <w:p w14:paraId="3DDE85E1">
            <w:pPr>
              <w:adjustRightInd w:val="0"/>
              <w:snapToGrid w:val="0"/>
              <w:spacing w:line="240" w:lineRule="exact"/>
              <w:jc w:val="center"/>
              <w:rPr>
                <w:color w:val="auto"/>
                <w:sz w:val="18"/>
                <w:szCs w:val="18"/>
              </w:rPr>
            </w:pPr>
            <w:r>
              <w:rPr>
                <w:color w:val="auto"/>
                <w:sz w:val="18"/>
                <w:szCs w:val="18"/>
              </w:rPr>
              <w:t>70～80</w:t>
            </w:r>
          </w:p>
        </w:tc>
      </w:tr>
      <w:tr w14:paraId="7338A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376E6BCD">
            <w:pPr>
              <w:adjustRightInd w:val="0"/>
              <w:snapToGrid w:val="0"/>
              <w:spacing w:line="240" w:lineRule="exact"/>
              <w:jc w:val="center"/>
              <w:rPr>
                <w:color w:val="auto"/>
                <w:sz w:val="18"/>
                <w:szCs w:val="18"/>
              </w:rPr>
            </w:pPr>
            <w:r>
              <w:rPr>
                <w:color w:val="auto"/>
                <w:sz w:val="18"/>
                <w:szCs w:val="18"/>
              </w:rPr>
              <w:t>强风化软质岩</w:t>
            </w:r>
          </w:p>
        </w:tc>
        <w:tc>
          <w:tcPr>
            <w:tcW w:w="4050" w:type="dxa"/>
            <w:gridSpan w:val="2"/>
            <w:vAlign w:val="center"/>
          </w:tcPr>
          <w:p w14:paraId="50101DEC">
            <w:pPr>
              <w:adjustRightInd w:val="0"/>
              <w:snapToGrid w:val="0"/>
              <w:spacing w:line="240" w:lineRule="exact"/>
              <w:jc w:val="center"/>
              <w:rPr>
                <w:color w:val="auto"/>
                <w:sz w:val="18"/>
                <w:szCs w:val="18"/>
              </w:rPr>
            </w:pPr>
            <w:r>
              <w:rPr>
                <w:i/>
                <w:iCs/>
                <w:color w:val="auto"/>
                <w:sz w:val="18"/>
                <w:szCs w:val="18"/>
              </w:rPr>
              <w:t>N</w:t>
            </w:r>
            <w:r>
              <w:rPr>
                <w:color w:val="auto"/>
                <w:sz w:val="18"/>
                <w:szCs w:val="18"/>
              </w:rPr>
              <w:t xml:space="preserve">≥35  </w:t>
            </w:r>
            <w:r>
              <w:rPr>
                <w:i/>
                <w:iCs/>
                <w:color w:val="auto"/>
                <w:sz w:val="18"/>
                <w:szCs w:val="18"/>
              </w:rPr>
              <w:t>N</w:t>
            </w:r>
            <w:r>
              <w:rPr>
                <w:color w:val="auto"/>
                <w:sz w:val="18"/>
                <w:szCs w:val="18"/>
                <w:vertAlign w:val="subscript"/>
              </w:rPr>
              <w:t>63.5</w:t>
            </w:r>
            <w:r>
              <w:rPr>
                <w:color w:val="auto"/>
                <w:sz w:val="18"/>
                <w:szCs w:val="18"/>
              </w:rPr>
              <w:t>&gt;10</w:t>
            </w:r>
          </w:p>
        </w:tc>
        <w:tc>
          <w:tcPr>
            <w:tcW w:w="2552" w:type="dxa"/>
            <w:vAlign w:val="center"/>
          </w:tcPr>
          <w:p w14:paraId="349C2EF6">
            <w:pPr>
              <w:adjustRightInd w:val="0"/>
              <w:snapToGrid w:val="0"/>
              <w:spacing w:line="240" w:lineRule="exact"/>
              <w:jc w:val="center"/>
              <w:rPr>
                <w:color w:val="auto"/>
                <w:sz w:val="18"/>
                <w:szCs w:val="18"/>
              </w:rPr>
            </w:pPr>
            <w:r>
              <w:rPr>
                <w:color w:val="auto"/>
                <w:sz w:val="18"/>
                <w:szCs w:val="18"/>
              </w:rPr>
              <w:t>80～120</w:t>
            </w:r>
          </w:p>
        </w:tc>
      </w:tr>
      <w:tr w14:paraId="2267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54" w:type="dxa"/>
            <w:vAlign w:val="center"/>
          </w:tcPr>
          <w:p w14:paraId="2EB69F89">
            <w:pPr>
              <w:adjustRightInd w:val="0"/>
              <w:snapToGrid w:val="0"/>
              <w:spacing w:line="240" w:lineRule="exact"/>
              <w:jc w:val="center"/>
              <w:rPr>
                <w:color w:val="auto"/>
                <w:sz w:val="18"/>
                <w:szCs w:val="18"/>
              </w:rPr>
            </w:pPr>
            <w:r>
              <w:rPr>
                <w:color w:val="auto"/>
                <w:sz w:val="18"/>
                <w:szCs w:val="18"/>
              </w:rPr>
              <w:t>强风化硬质岩</w:t>
            </w:r>
          </w:p>
        </w:tc>
        <w:tc>
          <w:tcPr>
            <w:tcW w:w="4050" w:type="dxa"/>
            <w:gridSpan w:val="2"/>
            <w:vAlign w:val="center"/>
          </w:tcPr>
          <w:p w14:paraId="58D1C54B">
            <w:pPr>
              <w:adjustRightInd w:val="0"/>
              <w:snapToGrid w:val="0"/>
              <w:spacing w:line="240" w:lineRule="exact"/>
              <w:jc w:val="center"/>
              <w:rPr>
                <w:color w:val="auto"/>
                <w:sz w:val="18"/>
                <w:szCs w:val="18"/>
              </w:rPr>
            </w:pPr>
            <w:r>
              <w:rPr>
                <w:i/>
                <w:iCs/>
                <w:color w:val="auto"/>
                <w:sz w:val="18"/>
                <w:szCs w:val="18"/>
              </w:rPr>
              <w:t>N</w:t>
            </w:r>
            <w:r>
              <w:rPr>
                <w:color w:val="auto"/>
                <w:sz w:val="18"/>
                <w:szCs w:val="18"/>
              </w:rPr>
              <w:t xml:space="preserve">≥50  </w:t>
            </w:r>
            <w:r>
              <w:rPr>
                <w:i/>
                <w:iCs/>
                <w:color w:val="auto"/>
                <w:sz w:val="18"/>
                <w:szCs w:val="18"/>
              </w:rPr>
              <w:t>N</w:t>
            </w:r>
            <w:r>
              <w:rPr>
                <w:color w:val="auto"/>
                <w:sz w:val="18"/>
                <w:szCs w:val="18"/>
                <w:vertAlign w:val="subscript"/>
              </w:rPr>
              <w:t>63.5</w:t>
            </w:r>
            <w:r>
              <w:rPr>
                <w:color w:val="auto"/>
                <w:sz w:val="18"/>
                <w:szCs w:val="18"/>
              </w:rPr>
              <w:t>&gt;15</w:t>
            </w:r>
          </w:p>
        </w:tc>
        <w:tc>
          <w:tcPr>
            <w:tcW w:w="2552" w:type="dxa"/>
            <w:vAlign w:val="center"/>
          </w:tcPr>
          <w:p w14:paraId="36A601EB">
            <w:pPr>
              <w:adjustRightInd w:val="0"/>
              <w:snapToGrid w:val="0"/>
              <w:spacing w:line="240" w:lineRule="exact"/>
              <w:jc w:val="center"/>
              <w:rPr>
                <w:color w:val="auto"/>
                <w:sz w:val="18"/>
                <w:szCs w:val="18"/>
              </w:rPr>
            </w:pPr>
            <w:r>
              <w:rPr>
                <w:color w:val="auto"/>
                <w:sz w:val="18"/>
                <w:szCs w:val="18"/>
              </w:rPr>
              <w:t>110～150</w:t>
            </w:r>
          </w:p>
        </w:tc>
      </w:tr>
      <w:tr w14:paraId="58EA4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56" w:type="dxa"/>
            <w:gridSpan w:val="4"/>
            <w:vAlign w:val="center"/>
          </w:tcPr>
          <w:p w14:paraId="2A1595BF">
            <w:pPr>
              <w:adjustRightInd w:val="0"/>
              <w:snapToGrid w:val="0"/>
              <w:spacing w:line="240" w:lineRule="exact"/>
              <w:rPr>
                <w:color w:val="auto"/>
                <w:sz w:val="18"/>
                <w:szCs w:val="18"/>
              </w:rPr>
            </w:pPr>
            <w:r>
              <w:rPr>
                <w:color w:val="auto"/>
                <w:sz w:val="18"/>
                <w:szCs w:val="18"/>
              </w:rPr>
              <w:t>注：表中</w:t>
            </w:r>
            <w:r>
              <w:rPr>
                <w:i/>
                <w:iCs/>
                <w:color w:val="auto"/>
                <w:sz w:val="18"/>
                <w:szCs w:val="18"/>
              </w:rPr>
              <w:t>α</w:t>
            </w:r>
            <w:r>
              <w:rPr>
                <w:iCs/>
                <w:color w:val="auto"/>
                <w:sz w:val="18"/>
                <w:szCs w:val="18"/>
                <w:vertAlign w:val="subscript"/>
              </w:rPr>
              <w:t>w</w:t>
            </w:r>
            <w:r>
              <w:rPr>
                <w:color w:val="auto"/>
                <w:sz w:val="18"/>
                <w:szCs w:val="18"/>
              </w:rPr>
              <w:t xml:space="preserve">为含水比 , </w:t>
            </w:r>
            <w:r>
              <w:rPr>
                <w:i/>
                <w:iCs/>
                <w:color w:val="auto"/>
                <w:sz w:val="18"/>
                <w:szCs w:val="18"/>
              </w:rPr>
              <w:t>α</w:t>
            </w:r>
            <w:r>
              <w:rPr>
                <w:iCs/>
                <w:color w:val="auto"/>
                <w:sz w:val="18"/>
                <w:szCs w:val="18"/>
                <w:vertAlign w:val="subscript"/>
              </w:rPr>
              <w:t>w</w:t>
            </w:r>
            <w:r>
              <w:rPr>
                <w:color w:val="auto"/>
                <w:sz w:val="18"/>
                <w:szCs w:val="18"/>
              </w:rPr>
              <w:t>=</w:t>
            </w:r>
            <w:r>
              <w:rPr>
                <w:i/>
                <w:iCs/>
                <w:color w:val="auto"/>
                <w:sz w:val="18"/>
                <w:szCs w:val="18"/>
              </w:rPr>
              <w:t>w</w:t>
            </w:r>
            <w:r>
              <w:rPr>
                <w:color w:val="auto"/>
                <w:sz w:val="18"/>
                <w:szCs w:val="18"/>
              </w:rPr>
              <w:t>/</w:t>
            </w:r>
            <w:r>
              <w:rPr>
                <w:i/>
                <w:iCs/>
                <w:color w:val="auto"/>
                <w:sz w:val="18"/>
                <w:szCs w:val="18"/>
              </w:rPr>
              <w:t>w</w:t>
            </w:r>
            <w:r>
              <w:rPr>
                <w:iCs/>
                <w:color w:val="auto"/>
                <w:sz w:val="18"/>
                <w:szCs w:val="18"/>
                <w:vertAlign w:val="subscript"/>
              </w:rPr>
              <w:t>L</w:t>
            </w:r>
            <w:r>
              <w:rPr>
                <w:color w:val="auto"/>
                <w:sz w:val="18"/>
                <w:szCs w:val="18"/>
              </w:rPr>
              <w:t>。</w:t>
            </w:r>
          </w:p>
        </w:tc>
      </w:tr>
    </w:tbl>
    <w:p w14:paraId="311283D9">
      <w:pPr>
        <w:adjustRightInd w:val="0"/>
        <w:snapToGrid w:val="0"/>
        <w:spacing w:before="156" w:beforeLines="50" w:line="360" w:lineRule="atLeast"/>
        <w:ind w:right="2"/>
        <w:jc w:val="center"/>
        <w:rPr>
          <w:rFonts w:eastAsia="黑体"/>
          <w:b/>
          <w:color w:val="auto"/>
          <w:szCs w:val="21"/>
        </w:rPr>
      </w:pPr>
    </w:p>
    <w:p w14:paraId="05C54C8C">
      <w:pPr>
        <w:adjustRightInd w:val="0"/>
        <w:snapToGrid w:val="0"/>
        <w:spacing w:before="156" w:beforeLines="50" w:line="360" w:lineRule="atLeast"/>
        <w:ind w:right="2"/>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表F.2  混凝土预制桩桩端阻力特征值</w:t>
      </w:r>
      <w:r>
        <w:rPr>
          <w:rFonts w:eastAsia="黑体"/>
          <w:b/>
          <w:i/>
          <w:color w:val="auto"/>
          <w:szCs w:val="21"/>
        </w:rPr>
        <w:t>q</w:t>
      </w:r>
      <w:r>
        <w:rPr>
          <w:rFonts w:eastAsia="黑体"/>
          <w:b/>
          <w:iCs/>
          <w:color w:val="auto"/>
          <w:szCs w:val="21"/>
          <w:vertAlign w:val="subscript"/>
        </w:rPr>
        <w:t>pa</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8984" w:type="dxa"/>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95"/>
        <w:gridCol w:w="1923"/>
        <w:gridCol w:w="1399"/>
        <w:gridCol w:w="1442"/>
        <w:gridCol w:w="1443"/>
        <w:gridCol w:w="1382"/>
      </w:tblGrid>
      <w:tr w14:paraId="45E5F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restart"/>
            <w:vAlign w:val="center"/>
          </w:tcPr>
          <w:p w14:paraId="73FBB642">
            <w:pPr>
              <w:adjustRightInd w:val="0"/>
              <w:snapToGrid w:val="0"/>
              <w:spacing w:line="300" w:lineRule="atLeast"/>
              <w:ind w:left="-105" w:leftChars="-50" w:firstLine="129" w:firstLineChars="72"/>
              <w:jc w:val="center"/>
              <w:rPr>
                <w:color w:val="auto"/>
                <w:sz w:val="18"/>
                <w:szCs w:val="18"/>
              </w:rPr>
            </w:pPr>
            <w:r>
              <w:rPr>
                <w:color w:val="auto"/>
                <w:sz w:val="18"/>
                <w:szCs w:val="18"/>
              </w:rPr>
              <w:t>土的名称</w:t>
            </w:r>
          </w:p>
        </w:tc>
        <w:tc>
          <w:tcPr>
            <w:tcW w:w="1923" w:type="dxa"/>
            <w:vMerge w:val="restart"/>
            <w:vAlign w:val="center"/>
          </w:tcPr>
          <w:p w14:paraId="62D924EC">
            <w:pPr>
              <w:adjustRightInd w:val="0"/>
              <w:snapToGrid w:val="0"/>
              <w:spacing w:line="240" w:lineRule="exact"/>
              <w:jc w:val="center"/>
              <w:rPr>
                <w:color w:val="auto"/>
                <w:sz w:val="18"/>
                <w:szCs w:val="18"/>
              </w:rPr>
            </w:pPr>
            <w:r>
              <w:rPr>
                <w:color w:val="auto"/>
                <w:sz w:val="18"/>
                <w:szCs w:val="18"/>
              </w:rPr>
              <w:t>土的状态及</w:t>
            </w:r>
            <w:r>
              <w:rPr>
                <w:i/>
                <w:color w:val="auto"/>
                <w:sz w:val="18"/>
                <w:szCs w:val="18"/>
              </w:rPr>
              <w:t>N</w:t>
            </w:r>
            <w:r>
              <w:rPr>
                <w:color w:val="auto"/>
                <w:sz w:val="18"/>
                <w:szCs w:val="18"/>
              </w:rPr>
              <w:t>、</w:t>
            </w:r>
            <w:r>
              <w:rPr>
                <w:i/>
                <w:iCs/>
                <w:color w:val="auto"/>
                <w:sz w:val="18"/>
                <w:szCs w:val="18"/>
              </w:rPr>
              <w:t>N</w:t>
            </w:r>
            <w:r>
              <w:rPr>
                <w:iCs/>
                <w:color w:val="auto"/>
                <w:sz w:val="18"/>
                <w:szCs w:val="18"/>
                <w:vertAlign w:val="subscript"/>
              </w:rPr>
              <w:t>63.5</w:t>
            </w:r>
            <w:r>
              <w:rPr>
                <w:rFonts w:hint="eastAsia"/>
                <w:iCs/>
                <w:color w:val="auto"/>
                <w:sz w:val="18"/>
                <w:szCs w:val="18"/>
              </w:rPr>
              <w:t>、</w:t>
            </w:r>
          </w:p>
          <w:p w14:paraId="1825C6BF">
            <w:pPr>
              <w:adjustRightInd w:val="0"/>
              <w:snapToGrid w:val="0"/>
              <w:ind w:left="-105" w:leftChars="-50" w:firstLine="129" w:firstLineChars="72"/>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（MPa）值</w:t>
            </w:r>
          </w:p>
        </w:tc>
        <w:tc>
          <w:tcPr>
            <w:tcW w:w="5665" w:type="dxa"/>
            <w:gridSpan w:val="4"/>
            <w:vAlign w:val="center"/>
          </w:tcPr>
          <w:p w14:paraId="79BC3816">
            <w:pPr>
              <w:adjustRightInd w:val="0"/>
              <w:snapToGrid w:val="0"/>
              <w:spacing w:line="260" w:lineRule="atLeast"/>
              <w:ind w:left="-105" w:leftChars="-50" w:firstLine="129" w:firstLineChars="72"/>
              <w:jc w:val="center"/>
              <w:rPr>
                <w:color w:val="auto"/>
                <w:sz w:val="18"/>
                <w:szCs w:val="18"/>
              </w:rPr>
            </w:pPr>
            <w:r>
              <w:rPr>
                <w:color w:val="auto"/>
                <w:sz w:val="18"/>
                <w:szCs w:val="18"/>
              </w:rPr>
              <w:t>桩入土深度（</w:t>
            </w:r>
            <w:r>
              <w:rPr>
                <w:i/>
                <w:color w:val="auto"/>
                <w:sz w:val="18"/>
                <w:szCs w:val="18"/>
              </w:rPr>
              <w:t>m</w:t>
            </w:r>
            <w:r>
              <w:rPr>
                <w:color w:val="auto"/>
                <w:sz w:val="18"/>
                <w:szCs w:val="18"/>
              </w:rPr>
              <w:t>）</w:t>
            </w:r>
          </w:p>
        </w:tc>
      </w:tr>
      <w:tr w14:paraId="7017F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648BAEDA">
            <w:pPr>
              <w:adjustRightInd w:val="0"/>
              <w:snapToGrid w:val="0"/>
              <w:spacing w:line="300" w:lineRule="atLeast"/>
              <w:ind w:left="-105" w:leftChars="-50" w:firstLine="129" w:firstLineChars="72"/>
              <w:jc w:val="center"/>
              <w:rPr>
                <w:color w:val="auto"/>
                <w:sz w:val="18"/>
                <w:szCs w:val="18"/>
              </w:rPr>
            </w:pPr>
          </w:p>
        </w:tc>
        <w:tc>
          <w:tcPr>
            <w:tcW w:w="1923" w:type="dxa"/>
            <w:vMerge w:val="continue"/>
            <w:vAlign w:val="center"/>
          </w:tcPr>
          <w:p w14:paraId="6FAD3E1C">
            <w:pPr>
              <w:adjustRightInd w:val="0"/>
              <w:snapToGrid w:val="0"/>
              <w:spacing w:line="300" w:lineRule="atLeast"/>
              <w:ind w:left="-105" w:leftChars="-50" w:firstLine="129" w:firstLineChars="72"/>
              <w:jc w:val="center"/>
              <w:rPr>
                <w:color w:val="auto"/>
                <w:sz w:val="18"/>
                <w:szCs w:val="18"/>
              </w:rPr>
            </w:pPr>
          </w:p>
        </w:tc>
        <w:tc>
          <w:tcPr>
            <w:tcW w:w="1399" w:type="dxa"/>
            <w:vAlign w:val="center"/>
          </w:tcPr>
          <w:p w14:paraId="6E30BDE6">
            <w:pPr>
              <w:adjustRightInd w:val="0"/>
              <w:snapToGrid w:val="0"/>
              <w:spacing w:line="300" w:lineRule="atLeast"/>
              <w:ind w:left="-105" w:leftChars="-50" w:firstLine="129" w:firstLineChars="72"/>
              <w:jc w:val="center"/>
              <w:rPr>
                <w:color w:val="auto"/>
                <w:sz w:val="18"/>
                <w:szCs w:val="18"/>
              </w:rPr>
            </w:pPr>
            <w:r>
              <w:rPr>
                <w:i/>
                <w:iCs/>
                <w:color w:val="auto"/>
                <w:sz w:val="18"/>
                <w:szCs w:val="18"/>
              </w:rPr>
              <w:t>h</w:t>
            </w:r>
            <w:r>
              <w:rPr>
                <w:color w:val="auto"/>
                <w:sz w:val="18"/>
                <w:szCs w:val="18"/>
              </w:rPr>
              <w:t>≤10</w:t>
            </w:r>
          </w:p>
        </w:tc>
        <w:tc>
          <w:tcPr>
            <w:tcW w:w="1442" w:type="dxa"/>
            <w:vAlign w:val="center"/>
          </w:tcPr>
          <w:p w14:paraId="44E1FDA6">
            <w:pPr>
              <w:adjustRightInd w:val="0"/>
              <w:snapToGrid w:val="0"/>
              <w:spacing w:line="260" w:lineRule="atLeast"/>
              <w:ind w:left="-105" w:leftChars="-50" w:firstLine="129" w:firstLineChars="72"/>
              <w:jc w:val="center"/>
              <w:rPr>
                <w:i/>
                <w:color w:val="auto"/>
                <w:sz w:val="18"/>
                <w:szCs w:val="18"/>
              </w:rPr>
            </w:pPr>
            <w:r>
              <w:rPr>
                <w:color w:val="auto"/>
                <w:sz w:val="18"/>
                <w:szCs w:val="18"/>
              </w:rPr>
              <w:t>10＜</w:t>
            </w:r>
            <w:r>
              <w:rPr>
                <w:i/>
                <w:iCs/>
                <w:color w:val="auto"/>
                <w:sz w:val="18"/>
                <w:szCs w:val="18"/>
              </w:rPr>
              <w:t>h</w:t>
            </w:r>
            <w:r>
              <w:rPr>
                <w:color w:val="auto"/>
                <w:sz w:val="18"/>
                <w:szCs w:val="18"/>
              </w:rPr>
              <w:t>≤15</w:t>
            </w:r>
          </w:p>
        </w:tc>
        <w:tc>
          <w:tcPr>
            <w:tcW w:w="1443" w:type="dxa"/>
            <w:tcBorders>
              <w:right w:val="single" w:color="auto" w:sz="4" w:space="0"/>
            </w:tcBorders>
            <w:vAlign w:val="center"/>
          </w:tcPr>
          <w:p w14:paraId="54A2601D">
            <w:pPr>
              <w:adjustRightInd w:val="0"/>
              <w:snapToGrid w:val="0"/>
              <w:spacing w:line="260" w:lineRule="atLeast"/>
              <w:ind w:left="-105" w:leftChars="-50" w:firstLine="129" w:firstLineChars="72"/>
              <w:jc w:val="center"/>
              <w:rPr>
                <w:i/>
                <w:color w:val="auto"/>
                <w:sz w:val="18"/>
                <w:szCs w:val="18"/>
              </w:rPr>
            </w:pPr>
            <w:r>
              <w:rPr>
                <w:color w:val="auto"/>
                <w:sz w:val="18"/>
                <w:szCs w:val="18"/>
              </w:rPr>
              <w:t>15＜</w:t>
            </w:r>
            <w:r>
              <w:rPr>
                <w:i/>
                <w:iCs/>
                <w:color w:val="auto"/>
                <w:sz w:val="18"/>
                <w:szCs w:val="18"/>
              </w:rPr>
              <w:t>h</w:t>
            </w:r>
            <w:r>
              <w:rPr>
                <w:color w:val="auto"/>
                <w:sz w:val="18"/>
                <w:szCs w:val="18"/>
              </w:rPr>
              <w:t>≤30</w:t>
            </w:r>
          </w:p>
        </w:tc>
        <w:tc>
          <w:tcPr>
            <w:tcW w:w="1381" w:type="dxa"/>
            <w:tcBorders>
              <w:left w:val="single" w:color="auto" w:sz="4" w:space="0"/>
            </w:tcBorders>
            <w:vAlign w:val="center"/>
          </w:tcPr>
          <w:p w14:paraId="4856430E">
            <w:pPr>
              <w:adjustRightInd w:val="0"/>
              <w:snapToGrid w:val="0"/>
              <w:spacing w:line="300" w:lineRule="atLeast"/>
              <w:jc w:val="center"/>
              <w:rPr>
                <w:color w:val="auto"/>
                <w:sz w:val="18"/>
                <w:szCs w:val="18"/>
              </w:rPr>
            </w:pPr>
            <w:r>
              <w:rPr>
                <w:i/>
                <w:iCs/>
                <w:color w:val="auto"/>
                <w:sz w:val="18"/>
                <w:szCs w:val="18"/>
              </w:rPr>
              <w:t>h</w:t>
            </w:r>
            <w:r>
              <w:rPr>
                <w:color w:val="auto"/>
                <w:sz w:val="18"/>
                <w:szCs w:val="18"/>
              </w:rPr>
              <w:t>＞30</w:t>
            </w:r>
          </w:p>
        </w:tc>
      </w:tr>
      <w:tr w14:paraId="2334D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restart"/>
            <w:vAlign w:val="center"/>
          </w:tcPr>
          <w:p w14:paraId="79B36BB1">
            <w:pPr>
              <w:adjustRightInd w:val="0"/>
              <w:snapToGrid w:val="0"/>
              <w:ind w:left="-105" w:leftChars="-50" w:right="-90" w:rightChars="-43" w:firstLine="32" w:firstLineChars="18"/>
              <w:jc w:val="center"/>
              <w:rPr>
                <w:color w:val="auto"/>
                <w:sz w:val="18"/>
                <w:szCs w:val="18"/>
              </w:rPr>
            </w:pPr>
            <w:r>
              <w:rPr>
                <w:color w:val="auto"/>
                <w:sz w:val="18"/>
                <w:szCs w:val="18"/>
              </w:rPr>
              <w:t>黏性土</w:t>
            </w:r>
          </w:p>
        </w:tc>
        <w:tc>
          <w:tcPr>
            <w:tcW w:w="1923" w:type="dxa"/>
            <w:vAlign w:val="center"/>
          </w:tcPr>
          <w:p w14:paraId="1EACB5A2">
            <w:pPr>
              <w:adjustRightInd w:val="0"/>
              <w:snapToGrid w:val="0"/>
              <w:spacing w:line="300" w:lineRule="atLeast"/>
              <w:ind w:left="-105" w:leftChars="-50" w:firstLine="129" w:firstLineChars="72"/>
              <w:jc w:val="center"/>
              <w:rPr>
                <w:color w:val="auto"/>
                <w:sz w:val="18"/>
                <w:szCs w:val="18"/>
              </w:rPr>
            </w:pPr>
            <w:r>
              <w:rPr>
                <w:color w:val="auto"/>
                <w:sz w:val="18"/>
                <w:szCs w:val="18"/>
              </w:rPr>
              <w:t>0.5＜</w:t>
            </w:r>
            <w:r>
              <w:rPr>
                <w:i/>
                <w:iCs/>
                <w:color w:val="auto"/>
                <w:sz w:val="18"/>
                <w:szCs w:val="18"/>
              </w:rPr>
              <w:t>I</w:t>
            </w:r>
            <w:r>
              <w:rPr>
                <w:iCs/>
                <w:color w:val="auto"/>
                <w:sz w:val="18"/>
                <w:szCs w:val="18"/>
                <w:vertAlign w:val="subscript"/>
              </w:rPr>
              <w:t>L</w:t>
            </w:r>
            <w:r>
              <w:rPr>
                <w:color w:val="auto"/>
                <w:sz w:val="18"/>
                <w:szCs w:val="18"/>
              </w:rPr>
              <w:t>≤0.75</w:t>
            </w:r>
          </w:p>
        </w:tc>
        <w:tc>
          <w:tcPr>
            <w:tcW w:w="1399" w:type="dxa"/>
            <w:vAlign w:val="center"/>
          </w:tcPr>
          <w:p w14:paraId="0F1886B4">
            <w:pPr>
              <w:adjustRightInd w:val="0"/>
              <w:snapToGrid w:val="0"/>
              <w:spacing w:line="300" w:lineRule="atLeast"/>
              <w:ind w:left="-105" w:leftChars="-50" w:firstLine="129" w:firstLineChars="72"/>
              <w:jc w:val="center"/>
              <w:rPr>
                <w:color w:val="auto"/>
                <w:sz w:val="18"/>
                <w:szCs w:val="18"/>
              </w:rPr>
            </w:pPr>
            <w:r>
              <w:rPr>
                <w:color w:val="auto"/>
                <w:sz w:val="18"/>
                <w:szCs w:val="18"/>
              </w:rPr>
              <w:t>400～800</w:t>
            </w:r>
          </w:p>
        </w:tc>
        <w:tc>
          <w:tcPr>
            <w:tcW w:w="1442" w:type="dxa"/>
            <w:vAlign w:val="center"/>
          </w:tcPr>
          <w:p w14:paraId="74696D1D">
            <w:pPr>
              <w:adjustRightInd w:val="0"/>
              <w:snapToGrid w:val="0"/>
              <w:spacing w:line="260" w:lineRule="atLeast"/>
              <w:ind w:left="-105" w:leftChars="-50" w:firstLine="129" w:firstLineChars="72"/>
              <w:jc w:val="center"/>
              <w:rPr>
                <w:color w:val="auto"/>
                <w:sz w:val="18"/>
                <w:szCs w:val="18"/>
              </w:rPr>
            </w:pPr>
            <w:r>
              <w:rPr>
                <w:color w:val="auto"/>
                <w:sz w:val="18"/>
                <w:szCs w:val="18"/>
              </w:rPr>
              <w:t>700～1000</w:t>
            </w:r>
          </w:p>
        </w:tc>
        <w:tc>
          <w:tcPr>
            <w:tcW w:w="1443" w:type="dxa"/>
            <w:tcBorders>
              <w:right w:val="single" w:color="auto" w:sz="4" w:space="0"/>
            </w:tcBorders>
            <w:vAlign w:val="center"/>
          </w:tcPr>
          <w:p w14:paraId="3D3B4392">
            <w:pPr>
              <w:adjustRightInd w:val="0"/>
              <w:snapToGrid w:val="0"/>
              <w:spacing w:line="300" w:lineRule="atLeast"/>
              <w:ind w:left="-105" w:leftChars="-50" w:firstLine="129" w:firstLineChars="72"/>
              <w:jc w:val="center"/>
              <w:rPr>
                <w:color w:val="auto"/>
                <w:sz w:val="18"/>
                <w:szCs w:val="18"/>
              </w:rPr>
            </w:pPr>
            <w:r>
              <w:rPr>
                <w:color w:val="auto"/>
                <w:sz w:val="18"/>
                <w:szCs w:val="18"/>
              </w:rPr>
              <w:t>900～1300</w:t>
            </w:r>
          </w:p>
        </w:tc>
        <w:tc>
          <w:tcPr>
            <w:tcW w:w="1381" w:type="dxa"/>
            <w:tcBorders>
              <w:left w:val="single" w:color="auto" w:sz="4" w:space="0"/>
            </w:tcBorders>
            <w:vAlign w:val="center"/>
          </w:tcPr>
          <w:p w14:paraId="4626BEE5">
            <w:pPr>
              <w:adjustRightInd w:val="0"/>
              <w:snapToGrid w:val="0"/>
              <w:spacing w:line="300" w:lineRule="atLeast"/>
              <w:ind w:left="-105" w:leftChars="-50" w:firstLine="129" w:firstLineChars="72"/>
              <w:jc w:val="center"/>
              <w:rPr>
                <w:color w:val="auto"/>
                <w:sz w:val="18"/>
                <w:szCs w:val="18"/>
              </w:rPr>
            </w:pPr>
            <w:r>
              <w:rPr>
                <w:color w:val="auto"/>
                <w:sz w:val="18"/>
                <w:szCs w:val="18"/>
              </w:rPr>
              <w:t>1100～1600</w:t>
            </w:r>
          </w:p>
        </w:tc>
      </w:tr>
      <w:tr w14:paraId="67CE6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08EF2508">
            <w:pPr>
              <w:adjustRightInd w:val="0"/>
              <w:snapToGrid w:val="0"/>
              <w:spacing w:line="300" w:lineRule="atLeast"/>
              <w:ind w:left="-105" w:leftChars="-50" w:firstLine="129" w:firstLineChars="72"/>
              <w:jc w:val="center"/>
              <w:rPr>
                <w:color w:val="auto"/>
                <w:sz w:val="18"/>
                <w:szCs w:val="18"/>
              </w:rPr>
            </w:pPr>
          </w:p>
        </w:tc>
        <w:tc>
          <w:tcPr>
            <w:tcW w:w="1923" w:type="dxa"/>
            <w:vAlign w:val="center"/>
          </w:tcPr>
          <w:p w14:paraId="19E97E65">
            <w:pPr>
              <w:adjustRightInd w:val="0"/>
              <w:snapToGrid w:val="0"/>
              <w:spacing w:line="300" w:lineRule="atLeast"/>
              <w:ind w:left="-105" w:leftChars="-50" w:firstLine="129" w:firstLineChars="72"/>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w:t>
            </w:r>
          </w:p>
        </w:tc>
        <w:tc>
          <w:tcPr>
            <w:tcW w:w="1399" w:type="dxa"/>
            <w:vAlign w:val="center"/>
          </w:tcPr>
          <w:p w14:paraId="770DE2B1">
            <w:pPr>
              <w:adjustRightInd w:val="0"/>
              <w:snapToGrid w:val="0"/>
              <w:spacing w:line="300" w:lineRule="atLeast"/>
              <w:ind w:left="-105" w:leftChars="-50" w:firstLine="129" w:firstLineChars="72"/>
              <w:jc w:val="center"/>
              <w:rPr>
                <w:color w:val="auto"/>
                <w:sz w:val="18"/>
                <w:szCs w:val="18"/>
              </w:rPr>
            </w:pPr>
            <w:r>
              <w:rPr>
                <w:color w:val="auto"/>
                <w:sz w:val="18"/>
                <w:szCs w:val="18"/>
              </w:rPr>
              <w:t>700～1000</w:t>
            </w:r>
          </w:p>
        </w:tc>
        <w:tc>
          <w:tcPr>
            <w:tcW w:w="1442" w:type="dxa"/>
            <w:vAlign w:val="center"/>
          </w:tcPr>
          <w:p w14:paraId="05F24B43">
            <w:pPr>
              <w:adjustRightInd w:val="0"/>
              <w:snapToGrid w:val="0"/>
              <w:spacing w:line="260" w:lineRule="atLeast"/>
              <w:ind w:left="-105" w:leftChars="-50" w:firstLine="129" w:firstLineChars="72"/>
              <w:jc w:val="center"/>
              <w:rPr>
                <w:color w:val="auto"/>
                <w:sz w:val="18"/>
                <w:szCs w:val="18"/>
              </w:rPr>
            </w:pPr>
            <w:r>
              <w:rPr>
                <w:color w:val="auto"/>
                <w:sz w:val="18"/>
                <w:szCs w:val="18"/>
              </w:rPr>
              <w:t>900～1400</w:t>
            </w:r>
          </w:p>
        </w:tc>
        <w:tc>
          <w:tcPr>
            <w:tcW w:w="1443" w:type="dxa"/>
            <w:tcBorders>
              <w:right w:val="single" w:color="auto" w:sz="4" w:space="0"/>
            </w:tcBorders>
            <w:vAlign w:val="center"/>
          </w:tcPr>
          <w:p w14:paraId="5A7B983A">
            <w:pPr>
              <w:adjustRightInd w:val="0"/>
              <w:snapToGrid w:val="0"/>
              <w:spacing w:line="300" w:lineRule="atLeast"/>
              <w:ind w:left="-105" w:leftChars="-50" w:firstLine="129" w:firstLineChars="72"/>
              <w:jc w:val="center"/>
              <w:rPr>
                <w:color w:val="auto"/>
                <w:sz w:val="18"/>
                <w:szCs w:val="18"/>
              </w:rPr>
            </w:pPr>
            <w:r>
              <w:rPr>
                <w:color w:val="auto"/>
                <w:sz w:val="18"/>
                <w:szCs w:val="18"/>
              </w:rPr>
              <w:t>1200～1800</w:t>
            </w:r>
          </w:p>
        </w:tc>
        <w:tc>
          <w:tcPr>
            <w:tcW w:w="1381" w:type="dxa"/>
            <w:tcBorders>
              <w:left w:val="single" w:color="auto" w:sz="4" w:space="0"/>
            </w:tcBorders>
            <w:vAlign w:val="center"/>
          </w:tcPr>
          <w:p w14:paraId="4DE0B1B6">
            <w:pPr>
              <w:adjustRightInd w:val="0"/>
              <w:snapToGrid w:val="0"/>
              <w:spacing w:line="300" w:lineRule="atLeast"/>
              <w:ind w:left="-105" w:leftChars="-50" w:firstLine="129" w:firstLineChars="72"/>
              <w:jc w:val="center"/>
              <w:rPr>
                <w:color w:val="auto"/>
                <w:sz w:val="18"/>
                <w:szCs w:val="18"/>
              </w:rPr>
            </w:pPr>
            <w:r>
              <w:rPr>
                <w:color w:val="auto"/>
                <w:sz w:val="18"/>
                <w:szCs w:val="18"/>
              </w:rPr>
              <w:t>1700～2000</w:t>
            </w:r>
          </w:p>
        </w:tc>
      </w:tr>
      <w:tr w14:paraId="41525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489964CF">
            <w:pPr>
              <w:adjustRightInd w:val="0"/>
              <w:snapToGrid w:val="0"/>
              <w:spacing w:line="300" w:lineRule="atLeast"/>
              <w:ind w:left="-105" w:leftChars="-50" w:firstLine="129" w:firstLineChars="72"/>
              <w:jc w:val="center"/>
              <w:rPr>
                <w:color w:val="auto"/>
                <w:sz w:val="18"/>
                <w:szCs w:val="18"/>
              </w:rPr>
            </w:pPr>
          </w:p>
        </w:tc>
        <w:tc>
          <w:tcPr>
            <w:tcW w:w="1923" w:type="dxa"/>
            <w:vAlign w:val="center"/>
          </w:tcPr>
          <w:p w14:paraId="62803B50">
            <w:pPr>
              <w:adjustRightInd w:val="0"/>
              <w:snapToGrid w:val="0"/>
              <w:spacing w:line="300" w:lineRule="atLeast"/>
              <w:ind w:left="-105" w:leftChars="-50" w:firstLine="129" w:firstLineChars="72"/>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1399" w:type="dxa"/>
            <w:vAlign w:val="center"/>
          </w:tcPr>
          <w:p w14:paraId="6AB8D181">
            <w:pPr>
              <w:adjustRightInd w:val="0"/>
              <w:snapToGrid w:val="0"/>
              <w:spacing w:line="300" w:lineRule="atLeast"/>
              <w:ind w:left="-105" w:leftChars="-50" w:firstLine="129" w:firstLineChars="72"/>
              <w:jc w:val="center"/>
              <w:rPr>
                <w:color w:val="auto"/>
                <w:sz w:val="18"/>
                <w:szCs w:val="18"/>
              </w:rPr>
            </w:pPr>
            <w:r>
              <w:rPr>
                <w:color w:val="auto"/>
                <w:sz w:val="18"/>
                <w:szCs w:val="18"/>
              </w:rPr>
              <w:t>1000～1500</w:t>
            </w:r>
          </w:p>
        </w:tc>
        <w:tc>
          <w:tcPr>
            <w:tcW w:w="1442" w:type="dxa"/>
            <w:vAlign w:val="center"/>
          </w:tcPr>
          <w:p w14:paraId="5EBF80FB">
            <w:pPr>
              <w:adjustRightInd w:val="0"/>
              <w:snapToGrid w:val="0"/>
              <w:spacing w:line="260" w:lineRule="atLeast"/>
              <w:ind w:left="-105" w:leftChars="-50" w:firstLine="129" w:firstLineChars="72"/>
              <w:jc w:val="center"/>
              <w:rPr>
                <w:color w:val="auto"/>
                <w:sz w:val="18"/>
                <w:szCs w:val="18"/>
              </w:rPr>
            </w:pPr>
            <w:r>
              <w:rPr>
                <w:color w:val="auto"/>
                <w:sz w:val="18"/>
                <w:szCs w:val="18"/>
              </w:rPr>
              <w:t>1400～2200</w:t>
            </w:r>
          </w:p>
        </w:tc>
        <w:tc>
          <w:tcPr>
            <w:tcW w:w="1443" w:type="dxa"/>
            <w:tcBorders>
              <w:right w:val="single" w:color="auto" w:sz="4" w:space="0"/>
            </w:tcBorders>
            <w:vAlign w:val="center"/>
          </w:tcPr>
          <w:p w14:paraId="4E91CFC4">
            <w:pPr>
              <w:adjustRightInd w:val="0"/>
              <w:snapToGrid w:val="0"/>
              <w:spacing w:line="300" w:lineRule="atLeast"/>
              <w:ind w:left="-105" w:leftChars="-50" w:firstLine="129" w:firstLineChars="72"/>
              <w:jc w:val="center"/>
              <w:rPr>
                <w:color w:val="auto"/>
                <w:sz w:val="18"/>
                <w:szCs w:val="18"/>
              </w:rPr>
            </w:pPr>
            <w:r>
              <w:rPr>
                <w:color w:val="auto"/>
                <w:sz w:val="18"/>
                <w:szCs w:val="18"/>
              </w:rPr>
              <w:t>1900～2500</w:t>
            </w:r>
          </w:p>
        </w:tc>
        <w:tc>
          <w:tcPr>
            <w:tcW w:w="1381" w:type="dxa"/>
            <w:tcBorders>
              <w:left w:val="single" w:color="auto" w:sz="4" w:space="0"/>
            </w:tcBorders>
            <w:vAlign w:val="center"/>
          </w:tcPr>
          <w:p w14:paraId="68C97A31">
            <w:pPr>
              <w:adjustRightInd w:val="0"/>
              <w:snapToGrid w:val="0"/>
              <w:spacing w:line="300" w:lineRule="atLeast"/>
              <w:ind w:left="-105" w:leftChars="-50" w:firstLine="129" w:firstLineChars="72"/>
              <w:jc w:val="center"/>
              <w:rPr>
                <w:color w:val="auto"/>
                <w:sz w:val="18"/>
                <w:szCs w:val="18"/>
              </w:rPr>
            </w:pPr>
            <w:r>
              <w:rPr>
                <w:color w:val="auto"/>
                <w:sz w:val="18"/>
                <w:szCs w:val="18"/>
              </w:rPr>
              <w:t>2400～2900</w:t>
            </w:r>
          </w:p>
        </w:tc>
      </w:tr>
      <w:tr w14:paraId="5D56B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405932B9">
            <w:pPr>
              <w:adjustRightInd w:val="0"/>
              <w:snapToGrid w:val="0"/>
              <w:spacing w:line="300" w:lineRule="atLeast"/>
              <w:ind w:left="-105" w:leftChars="-50" w:firstLine="129" w:firstLineChars="72"/>
              <w:jc w:val="center"/>
              <w:rPr>
                <w:color w:val="auto"/>
                <w:sz w:val="18"/>
                <w:szCs w:val="18"/>
              </w:rPr>
            </w:pPr>
          </w:p>
        </w:tc>
        <w:tc>
          <w:tcPr>
            <w:tcW w:w="1923" w:type="dxa"/>
            <w:vAlign w:val="center"/>
          </w:tcPr>
          <w:p w14:paraId="04095637">
            <w:pPr>
              <w:adjustRightInd w:val="0"/>
              <w:snapToGrid w:val="0"/>
              <w:spacing w:line="300" w:lineRule="atLeast"/>
              <w:ind w:left="-105" w:leftChars="-50" w:firstLine="129" w:firstLineChars="72"/>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1399" w:type="dxa"/>
            <w:vAlign w:val="center"/>
          </w:tcPr>
          <w:p w14:paraId="5174CFF6">
            <w:pPr>
              <w:adjustRightInd w:val="0"/>
              <w:snapToGrid w:val="0"/>
              <w:spacing w:line="300" w:lineRule="atLeast"/>
              <w:ind w:left="-105" w:leftChars="-50" w:firstLine="129" w:firstLineChars="72"/>
              <w:jc w:val="center"/>
              <w:rPr>
                <w:color w:val="auto"/>
                <w:sz w:val="18"/>
                <w:szCs w:val="18"/>
              </w:rPr>
            </w:pPr>
            <w:r>
              <w:rPr>
                <w:color w:val="auto"/>
                <w:sz w:val="18"/>
                <w:szCs w:val="18"/>
              </w:rPr>
              <w:t>1400～1900</w:t>
            </w:r>
          </w:p>
        </w:tc>
        <w:tc>
          <w:tcPr>
            <w:tcW w:w="1442" w:type="dxa"/>
            <w:vAlign w:val="center"/>
          </w:tcPr>
          <w:p w14:paraId="38FD2315">
            <w:pPr>
              <w:adjustRightInd w:val="0"/>
              <w:snapToGrid w:val="0"/>
              <w:spacing w:line="260" w:lineRule="atLeast"/>
              <w:ind w:left="-105" w:leftChars="-50" w:firstLine="129" w:firstLineChars="72"/>
              <w:jc w:val="center"/>
              <w:rPr>
                <w:color w:val="auto"/>
                <w:sz w:val="18"/>
                <w:szCs w:val="18"/>
              </w:rPr>
            </w:pPr>
            <w:r>
              <w:rPr>
                <w:color w:val="auto"/>
                <w:sz w:val="18"/>
                <w:szCs w:val="18"/>
              </w:rPr>
              <w:t>1800～2500</w:t>
            </w:r>
          </w:p>
        </w:tc>
        <w:tc>
          <w:tcPr>
            <w:tcW w:w="1443" w:type="dxa"/>
            <w:tcBorders>
              <w:right w:val="single" w:color="auto" w:sz="4" w:space="0"/>
            </w:tcBorders>
            <w:vAlign w:val="center"/>
          </w:tcPr>
          <w:p w14:paraId="7535AEDD">
            <w:pPr>
              <w:adjustRightInd w:val="0"/>
              <w:snapToGrid w:val="0"/>
              <w:spacing w:line="300" w:lineRule="atLeast"/>
              <w:ind w:left="-105" w:leftChars="-50" w:firstLine="129" w:firstLineChars="72"/>
              <w:jc w:val="center"/>
              <w:rPr>
                <w:color w:val="auto"/>
                <w:sz w:val="18"/>
                <w:szCs w:val="18"/>
              </w:rPr>
            </w:pPr>
            <w:r>
              <w:rPr>
                <w:color w:val="auto"/>
                <w:sz w:val="18"/>
                <w:szCs w:val="18"/>
              </w:rPr>
              <w:t>2400～2800</w:t>
            </w:r>
          </w:p>
        </w:tc>
        <w:tc>
          <w:tcPr>
            <w:tcW w:w="1381" w:type="dxa"/>
            <w:tcBorders>
              <w:left w:val="single" w:color="auto" w:sz="4" w:space="0"/>
            </w:tcBorders>
            <w:vAlign w:val="center"/>
          </w:tcPr>
          <w:p w14:paraId="238701FF">
            <w:pPr>
              <w:adjustRightInd w:val="0"/>
              <w:snapToGrid w:val="0"/>
              <w:spacing w:line="300" w:lineRule="atLeast"/>
              <w:ind w:left="-105" w:leftChars="-50" w:firstLine="129" w:firstLineChars="72"/>
              <w:jc w:val="center"/>
              <w:rPr>
                <w:color w:val="auto"/>
                <w:sz w:val="18"/>
                <w:szCs w:val="18"/>
              </w:rPr>
            </w:pPr>
            <w:r>
              <w:rPr>
                <w:color w:val="auto"/>
                <w:sz w:val="18"/>
                <w:szCs w:val="18"/>
              </w:rPr>
              <w:t>2600～3100</w:t>
            </w:r>
          </w:p>
        </w:tc>
      </w:tr>
      <w:tr w14:paraId="1701A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restart"/>
            <w:vAlign w:val="center"/>
          </w:tcPr>
          <w:p w14:paraId="375FD4DE">
            <w:pPr>
              <w:adjustRightInd w:val="0"/>
              <w:snapToGrid w:val="0"/>
              <w:spacing w:line="300" w:lineRule="atLeast"/>
              <w:ind w:left="-105" w:leftChars="-50" w:firstLine="129" w:firstLineChars="72"/>
              <w:jc w:val="center"/>
              <w:rPr>
                <w:color w:val="auto"/>
                <w:sz w:val="18"/>
                <w:szCs w:val="18"/>
              </w:rPr>
            </w:pPr>
            <w:r>
              <w:rPr>
                <w:color w:val="auto"/>
                <w:sz w:val="18"/>
                <w:szCs w:val="18"/>
              </w:rPr>
              <w:t>粉土</w:t>
            </w:r>
          </w:p>
        </w:tc>
        <w:tc>
          <w:tcPr>
            <w:tcW w:w="1923" w:type="dxa"/>
            <w:vAlign w:val="center"/>
          </w:tcPr>
          <w:p w14:paraId="336BDC22">
            <w:pPr>
              <w:adjustRightInd w:val="0"/>
              <w:snapToGrid w:val="0"/>
              <w:spacing w:line="300" w:lineRule="atLeast"/>
              <w:ind w:left="-105" w:leftChars="-50" w:firstLine="129" w:firstLineChars="72"/>
              <w:jc w:val="center"/>
              <w:rPr>
                <w:color w:val="auto"/>
                <w:sz w:val="18"/>
                <w:szCs w:val="18"/>
              </w:rPr>
            </w:pPr>
            <w:r>
              <w:rPr>
                <w:color w:val="auto"/>
                <w:sz w:val="18"/>
                <w:szCs w:val="18"/>
              </w:rPr>
              <w:t>1.0＜</w:t>
            </w:r>
            <w:r>
              <w:rPr>
                <w:i/>
                <w:iCs/>
                <w:color w:val="auto"/>
                <w:sz w:val="18"/>
                <w:szCs w:val="18"/>
              </w:rPr>
              <w:t>p</w:t>
            </w:r>
            <w:r>
              <w:rPr>
                <w:iCs/>
                <w:color w:val="auto"/>
                <w:sz w:val="18"/>
                <w:szCs w:val="18"/>
                <w:vertAlign w:val="subscript"/>
              </w:rPr>
              <w:t>s</w:t>
            </w:r>
            <w:r>
              <w:rPr>
                <w:color w:val="auto"/>
                <w:sz w:val="18"/>
                <w:szCs w:val="18"/>
              </w:rPr>
              <w:t>≤2.5</w:t>
            </w:r>
          </w:p>
        </w:tc>
        <w:tc>
          <w:tcPr>
            <w:tcW w:w="1399" w:type="dxa"/>
            <w:vAlign w:val="center"/>
          </w:tcPr>
          <w:p w14:paraId="16A06C94">
            <w:pPr>
              <w:adjustRightInd w:val="0"/>
              <w:snapToGrid w:val="0"/>
              <w:spacing w:line="300" w:lineRule="atLeast"/>
              <w:ind w:left="-105" w:leftChars="-50" w:firstLine="129" w:firstLineChars="72"/>
              <w:jc w:val="center"/>
              <w:rPr>
                <w:color w:val="auto"/>
                <w:sz w:val="18"/>
                <w:szCs w:val="18"/>
              </w:rPr>
            </w:pPr>
            <w:r>
              <w:rPr>
                <w:color w:val="auto"/>
                <w:sz w:val="18"/>
                <w:szCs w:val="18"/>
              </w:rPr>
              <w:t>500～800</w:t>
            </w:r>
          </w:p>
        </w:tc>
        <w:tc>
          <w:tcPr>
            <w:tcW w:w="1442" w:type="dxa"/>
            <w:vAlign w:val="center"/>
          </w:tcPr>
          <w:p w14:paraId="010E783A">
            <w:pPr>
              <w:adjustRightInd w:val="0"/>
              <w:snapToGrid w:val="0"/>
              <w:spacing w:line="260" w:lineRule="atLeast"/>
              <w:ind w:left="-105" w:leftChars="-50" w:firstLine="129" w:firstLineChars="72"/>
              <w:jc w:val="center"/>
              <w:rPr>
                <w:color w:val="auto"/>
                <w:sz w:val="18"/>
                <w:szCs w:val="18"/>
              </w:rPr>
            </w:pPr>
            <w:r>
              <w:rPr>
                <w:color w:val="auto"/>
                <w:sz w:val="18"/>
                <w:szCs w:val="18"/>
              </w:rPr>
              <w:t>700～1000</w:t>
            </w:r>
          </w:p>
        </w:tc>
        <w:tc>
          <w:tcPr>
            <w:tcW w:w="1443" w:type="dxa"/>
            <w:tcBorders>
              <w:right w:val="single" w:color="auto" w:sz="4" w:space="0"/>
            </w:tcBorders>
            <w:vAlign w:val="center"/>
          </w:tcPr>
          <w:p w14:paraId="63C0C875">
            <w:pPr>
              <w:adjustRightInd w:val="0"/>
              <w:snapToGrid w:val="0"/>
              <w:spacing w:line="300" w:lineRule="atLeast"/>
              <w:ind w:left="-105" w:leftChars="-50" w:firstLine="129" w:firstLineChars="72"/>
              <w:jc w:val="center"/>
              <w:rPr>
                <w:color w:val="auto"/>
                <w:sz w:val="18"/>
                <w:szCs w:val="18"/>
              </w:rPr>
            </w:pPr>
            <w:r>
              <w:rPr>
                <w:color w:val="auto"/>
                <w:sz w:val="18"/>
                <w:szCs w:val="18"/>
              </w:rPr>
              <w:t>900～1500</w:t>
            </w:r>
          </w:p>
        </w:tc>
        <w:tc>
          <w:tcPr>
            <w:tcW w:w="1381" w:type="dxa"/>
            <w:tcBorders>
              <w:left w:val="single" w:color="auto" w:sz="4" w:space="0"/>
            </w:tcBorders>
            <w:vAlign w:val="center"/>
          </w:tcPr>
          <w:p w14:paraId="54F28B35">
            <w:pPr>
              <w:adjustRightInd w:val="0"/>
              <w:snapToGrid w:val="0"/>
              <w:spacing w:line="300" w:lineRule="atLeast"/>
              <w:ind w:left="-105" w:leftChars="-50" w:firstLine="129" w:firstLineChars="72"/>
              <w:jc w:val="center"/>
              <w:rPr>
                <w:color w:val="auto"/>
                <w:sz w:val="18"/>
                <w:szCs w:val="18"/>
              </w:rPr>
            </w:pPr>
            <w:r>
              <w:rPr>
                <w:color w:val="auto"/>
                <w:sz w:val="18"/>
                <w:szCs w:val="18"/>
              </w:rPr>
              <w:t>1400～1700</w:t>
            </w:r>
          </w:p>
        </w:tc>
      </w:tr>
      <w:tr w14:paraId="2C073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755BCF36">
            <w:pPr>
              <w:adjustRightInd w:val="0"/>
              <w:snapToGrid w:val="0"/>
              <w:spacing w:line="300" w:lineRule="atLeast"/>
              <w:ind w:left="-105" w:leftChars="-50" w:firstLine="129" w:firstLineChars="72"/>
              <w:jc w:val="center"/>
              <w:rPr>
                <w:color w:val="auto"/>
                <w:sz w:val="18"/>
                <w:szCs w:val="18"/>
              </w:rPr>
            </w:pPr>
          </w:p>
        </w:tc>
        <w:tc>
          <w:tcPr>
            <w:tcW w:w="1923" w:type="dxa"/>
            <w:vAlign w:val="center"/>
          </w:tcPr>
          <w:p w14:paraId="14DE2AAD">
            <w:pPr>
              <w:adjustRightInd w:val="0"/>
              <w:snapToGrid w:val="0"/>
              <w:spacing w:line="300" w:lineRule="atLeast"/>
              <w:ind w:left="-105" w:leftChars="-50" w:firstLine="129" w:firstLineChars="72"/>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＞2.5</w:t>
            </w:r>
          </w:p>
        </w:tc>
        <w:tc>
          <w:tcPr>
            <w:tcW w:w="1399" w:type="dxa"/>
            <w:vAlign w:val="center"/>
          </w:tcPr>
          <w:p w14:paraId="7E5BF291">
            <w:pPr>
              <w:adjustRightInd w:val="0"/>
              <w:snapToGrid w:val="0"/>
              <w:spacing w:line="300" w:lineRule="atLeast"/>
              <w:ind w:left="-105" w:leftChars="-50" w:firstLine="129" w:firstLineChars="72"/>
              <w:jc w:val="center"/>
              <w:rPr>
                <w:color w:val="auto"/>
                <w:sz w:val="18"/>
                <w:szCs w:val="18"/>
              </w:rPr>
            </w:pPr>
            <w:r>
              <w:rPr>
                <w:color w:val="auto"/>
                <w:sz w:val="18"/>
                <w:szCs w:val="18"/>
              </w:rPr>
              <w:t>600～1100</w:t>
            </w:r>
          </w:p>
        </w:tc>
        <w:tc>
          <w:tcPr>
            <w:tcW w:w="1442" w:type="dxa"/>
            <w:vAlign w:val="center"/>
          </w:tcPr>
          <w:p w14:paraId="72FC25EC">
            <w:pPr>
              <w:adjustRightInd w:val="0"/>
              <w:snapToGrid w:val="0"/>
              <w:spacing w:line="260" w:lineRule="atLeast"/>
              <w:ind w:left="-105" w:leftChars="-50" w:firstLine="129" w:firstLineChars="72"/>
              <w:jc w:val="center"/>
              <w:rPr>
                <w:color w:val="auto"/>
                <w:sz w:val="18"/>
                <w:szCs w:val="18"/>
              </w:rPr>
            </w:pPr>
            <w:r>
              <w:rPr>
                <w:color w:val="auto"/>
                <w:sz w:val="18"/>
                <w:szCs w:val="18"/>
              </w:rPr>
              <w:t>1000～1500</w:t>
            </w:r>
          </w:p>
        </w:tc>
        <w:tc>
          <w:tcPr>
            <w:tcW w:w="1443" w:type="dxa"/>
            <w:tcBorders>
              <w:right w:val="single" w:color="auto" w:sz="4" w:space="0"/>
            </w:tcBorders>
            <w:vAlign w:val="center"/>
          </w:tcPr>
          <w:p w14:paraId="26E83609">
            <w:pPr>
              <w:adjustRightInd w:val="0"/>
              <w:snapToGrid w:val="0"/>
              <w:spacing w:line="300" w:lineRule="atLeast"/>
              <w:ind w:left="-105" w:leftChars="-50" w:firstLine="129" w:firstLineChars="72"/>
              <w:jc w:val="center"/>
              <w:rPr>
                <w:color w:val="auto"/>
                <w:sz w:val="18"/>
                <w:szCs w:val="18"/>
              </w:rPr>
            </w:pPr>
            <w:r>
              <w:rPr>
                <w:color w:val="auto"/>
                <w:sz w:val="18"/>
                <w:szCs w:val="18"/>
              </w:rPr>
              <w:t>1400～1800</w:t>
            </w:r>
          </w:p>
        </w:tc>
        <w:tc>
          <w:tcPr>
            <w:tcW w:w="1381" w:type="dxa"/>
            <w:tcBorders>
              <w:left w:val="single" w:color="auto" w:sz="4" w:space="0"/>
            </w:tcBorders>
            <w:vAlign w:val="center"/>
          </w:tcPr>
          <w:p w14:paraId="2F4301ED">
            <w:pPr>
              <w:adjustRightInd w:val="0"/>
              <w:snapToGrid w:val="0"/>
              <w:spacing w:line="300" w:lineRule="atLeast"/>
              <w:ind w:left="-105" w:leftChars="-50" w:firstLine="129" w:firstLineChars="72"/>
              <w:jc w:val="center"/>
              <w:rPr>
                <w:color w:val="auto"/>
                <w:sz w:val="18"/>
                <w:szCs w:val="18"/>
              </w:rPr>
            </w:pPr>
            <w:r>
              <w:rPr>
                <w:color w:val="auto"/>
                <w:sz w:val="18"/>
                <w:szCs w:val="18"/>
              </w:rPr>
              <w:t>1700～2000</w:t>
            </w:r>
          </w:p>
        </w:tc>
      </w:tr>
      <w:tr w14:paraId="689FBE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restart"/>
            <w:vAlign w:val="center"/>
          </w:tcPr>
          <w:p w14:paraId="000EED3E">
            <w:pPr>
              <w:adjustRightInd w:val="0"/>
              <w:snapToGrid w:val="0"/>
              <w:spacing w:line="300" w:lineRule="atLeast"/>
              <w:ind w:left="-105" w:leftChars="-50" w:firstLine="129" w:firstLineChars="72"/>
              <w:jc w:val="center"/>
              <w:rPr>
                <w:color w:val="auto"/>
                <w:sz w:val="18"/>
                <w:szCs w:val="18"/>
              </w:rPr>
            </w:pPr>
            <w:r>
              <w:rPr>
                <w:color w:val="auto"/>
                <w:sz w:val="18"/>
                <w:szCs w:val="18"/>
              </w:rPr>
              <w:t>粉砂</w:t>
            </w:r>
          </w:p>
        </w:tc>
        <w:tc>
          <w:tcPr>
            <w:tcW w:w="1923" w:type="dxa"/>
            <w:vAlign w:val="center"/>
          </w:tcPr>
          <w:p w14:paraId="33E11226">
            <w:pPr>
              <w:adjustRightInd w:val="0"/>
              <w:snapToGrid w:val="0"/>
              <w:spacing w:line="300" w:lineRule="atLeast"/>
              <w:ind w:left="-105" w:leftChars="-50" w:firstLine="129" w:firstLineChars="72"/>
              <w:jc w:val="center"/>
              <w:rPr>
                <w:color w:val="auto"/>
                <w:sz w:val="18"/>
                <w:szCs w:val="18"/>
              </w:rPr>
            </w:pPr>
            <w:r>
              <w:rPr>
                <w:color w:val="auto"/>
                <w:sz w:val="18"/>
                <w:szCs w:val="18"/>
              </w:rPr>
              <w:t>稍密</w:t>
            </w:r>
          </w:p>
        </w:tc>
        <w:tc>
          <w:tcPr>
            <w:tcW w:w="1399" w:type="dxa"/>
            <w:vAlign w:val="center"/>
          </w:tcPr>
          <w:p w14:paraId="13840717">
            <w:pPr>
              <w:adjustRightInd w:val="0"/>
              <w:snapToGrid w:val="0"/>
              <w:spacing w:line="300" w:lineRule="atLeast"/>
              <w:ind w:left="-105" w:leftChars="-50" w:firstLine="129" w:firstLineChars="72"/>
              <w:jc w:val="center"/>
              <w:rPr>
                <w:color w:val="auto"/>
                <w:sz w:val="18"/>
                <w:szCs w:val="18"/>
              </w:rPr>
            </w:pPr>
            <w:r>
              <w:rPr>
                <w:color w:val="auto"/>
                <w:sz w:val="18"/>
                <w:szCs w:val="18"/>
              </w:rPr>
              <w:t>500～900</w:t>
            </w:r>
          </w:p>
        </w:tc>
        <w:tc>
          <w:tcPr>
            <w:tcW w:w="1442" w:type="dxa"/>
            <w:vAlign w:val="center"/>
          </w:tcPr>
          <w:p w14:paraId="21CEA644">
            <w:pPr>
              <w:adjustRightInd w:val="0"/>
              <w:snapToGrid w:val="0"/>
              <w:spacing w:line="260" w:lineRule="atLeast"/>
              <w:ind w:left="-105" w:leftChars="-50" w:firstLine="129" w:firstLineChars="72"/>
              <w:jc w:val="center"/>
              <w:rPr>
                <w:color w:val="auto"/>
                <w:sz w:val="18"/>
                <w:szCs w:val="18"/>
              </w:rPr>
            </w:pPr>
            <w:r>
              <w:rPr>
                <w:color w:val="auto"/>
                <w:sz w:val="18"/>
                <w:szCs w:val="18"/>
              </w:rPr>
              <w:t>800～1300</w:t>
            </w:r>
          </w:p>
        </w:tc>
        <w:tc>
          <w:tcPr>
            <w:tcW w:w="1443" w:type="dxa"/>
            <w:tcBorders>
              <w:right w:val="single" w:color="auto" w:sz="4" w:space="0"/>
            </w:tcBorders>
            <w:vAlign w:val="center"/>
          </w:tcPr>
          <w:p w14:paraId="253E3CCD">
            <w:pPr>
              <w:adjustRightInd w:val="0"/>
              <w:snapToGrid w:val="0"/>
              <w:spacing w:line="300" w:lineRule="atLeast"/>
              <w:ind w:left="-105" w:leftChars="-50" w:firstLine="129" w:firstLineChars="72"/>
              <w:jc w:val="center"/>
              <w:rPr>
                <w:color w:val="auto"/>
                <w:sz w:val="18"/>
                <w:szCs w:val="18"/>
              </w:rPr>
            </w:pPr>
            <w:r>
              <w:rPr>
                <w:color w:val="auto"/>
                <w:sz w:val="18"/>
                <w:szCs w:val="18"/>
              </w:rPr>
              <w:t>1100～1500</w:t>
            </w:r>
          </w:p>
        </w:tc>
        <w:tc>
          <w:tcPr>
            <w:tcW w:w="1381" w:type="dxa"/>
            <w:tcBorders>
              <w:left w:val="single" w:color="auto" w:sz="4" w:space="0"/>
            </w:tcBorders>
            <w:vAlign w:val="center"/>
          </w:tcPr>
          <w:p w14:paraId="346E15BA">
            <w:pPr>
              <w:adjustRightInd w:val="0"/>
              <w:snapToGrid w:val="0"/>
              <w:spacing w:line="300" w:lineRule="atLeast"/>
              <w:ind w:left="-105" w:leftChars="-50" w:firstLine="129" w:firstLineChars="72"/>
              <w:jc w:val="center"/>
              <w:rPr>
                <w:color w:val="auto"/>
                <w:sz w:val="18"/>
                <w:szCs w:val="18"/>
              </w:rPr>
            </w:pPr>
            <w:r>
              <w:rPr>
                <w:color w:val="auto"/>
                <w:sz w:val="18"/>
                <w:szCs w:val="18"/>
              </w:rPr>
              <w:t>1400～1700</w:t>
            </w:r>
          </w:p>
        </w:tc>
      </w:tr>
      <w:tr w14:paraId="74DA8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Merge w:val="continue"/>
            <w:vAlign w:val="center"/>
          </w:tcPr>
          <w:p w14:paraId="4A2B464C">
            <w:pPr>
              <w:adjustRightInd w:val="0"/>
              <w:snapToGrid w:val="0"/>
              <w:spacing w:line="300" w:lineRule="atLeast"/>
              <w:ind w:left="-105" w:leftChars="-50" w:firstLine="129" w:firstLineChars="72"/>
              <w:jc w:val="center"/>
              <w:rPr>
                <w:color w:val="auto"/>
                <w:sz w:val="18"/>
                <w:szCs w:val="18"/>
              </w:rPr>
            </w:pPr>
          </w:p>
        </w:tc>
        <w:tc>
          <w:tcPr>
            <w:tcW w:w="1923" w:type="dxa"/>
            <w:vAlign w:val="center"/>
          </w:tcPr>
          <w:p w14:paraId="648AD075">
            <w:pPr>
              <w:adjustRightInd w:val="0"/>
              <w:snapToGrid w:val="0"/>
              <w:spacing w:line="300" w:lineRule="atLeast"/>
              <w:ind w:left="-105" w:leftChars="-50" w:firstLine="129" w:firstLineChars="72"/>
              <w:jc w:val="center"/>
              <w:rPr>
                <w:color w:val="auto"/>
                <w:sz w:val="18"/>
                <w:szCs w:val="18"/>
              </w:rPr>
            </w:pPr>
            <w:r>
              <w:rPr>
                <w:color w:val="auto"/>
                <w:sz w:val="18"/>
                <w:szCs w:val="18"/>
              </w:rPr>
              <w:t>中密、密实</w:t>
            </w:r>
          </w:p>
        </w:tc>
        <w:tc>
          <w:tcPr>
            <w:tcW w:w="1399" w:type="dxa"/>
            <w:vAlign w:val="center"/>
          </w:tcPr>
          <w:p w14:paraId="37C1A8EF">
            <w:pPr>
              <w:adjustRightInd w:val="0"/>
              <w:snapToGrid w:val="0"/>
              <w:spacing w:line="300" w:lineRule="atLeast"/>
              <w:ind w:left="-105" w:leftChars="-50" w:firstLine="129" w:firstLineChars="72"/>
              <w:jc w:val="center"/>
              <w:rPr>
                <w:color w:val="auto"/>
                <w:sz w:val="18"/>
                <w:szCs w:val="18"/>
              </w:rPr>
            </w:pPr>
            <w:r>
              <w:rPr>
                <w:color w:val="auto"/>
                <w:sz w:val="18"/>
                <w:szCs w:val="18"/>
              </w:rPr>
              <w:t>700～1100</w:t>
            </w:r>
          </w:p>
        </w:tc>
        <w:tc>
          <w:tcPr>
            <w:tcW w:w="1442" w:type="dxa"/>
            <w:vAlign w:val="center"/>
          </w:tcPr>
          <w:p w14:paraId="1D3B204D">
            <w:pPr>
              <w:adjustRightInd w:val="0"/>
              <w:snapToGrid w:val="0"/>
              <w:spacing w:line="260" w:lineRule="atLeast"/>
              <w:ind w:left="-105" w:leftChars="-50" w:firstLine="129" w:firstLineChars="72"/>
              <w:jc w:val="center"/>
              <w:rPr>
                <w:color w:val="auto"/>
                <w:sz w:val="18"/>
                <w:szCs w:val="18"/>
              </w:rPr>
            </w:pPr>
            <w:r>
              <w:rPr>
                <w:color w:val="auto"/>
                <w:sz w:val="18"/>
                <w:szCs w:val="18"/>
              </w:rPr>
              <w:t>1000～1600</w:t>
            </w:r>
          </w:p>
        </w:tc>
        <w:tc>
          <w:tcPr>
            <w:tcW w:w="1443" w:type="dxa"/>
            <w:tcBorders>
              <w:right w:val="single" w:color="auto" w:sz="4" w:space="0"/>
            </w:tcBorders>
            <w:vAlign w:val="center"/>
          </w:tcPr>
          <w:p w14:paraId="515FB45C">
            <w:pPr>
              <w:adjustRightInd w:val="0"/>
              <w:snapToGrid w:val="0"/>
              <w:spacing w:line="300" w:lineRule="atLeast"/>
              <w:ind w:left="-105" w:leftChars="-50" w:firstLine="129" w:firstLineChars="72"/>
              <w:jc w:val="center"/>
              <w:rPr>
                <w:color w:val="auto"/>
                <w:sz w:val="18"/>
                <w:szCs w:val="18"/>
              </w:rPr>
            </w:pPr>
            <w:r>
              <w:rPr>
                <w:color w:val="auto"/>
                <w:sz w:val="18"/>
                <w:szCs w:val="18"/>
              </w:rPr>
              <w:t>1500～2300</w:t>
            </w:r>
          </w:p>
        </w:tc>
        <w:tc>
          <w:tcPr>
            <w:tcW w:w="1381" w:type="dxa"/>
            <w:tcBorders>
              <w:left w:val="single" w:color="auto" w:sz="4" w:space="0"/>
            </w:tcBorders>
            <w:vAlign w:val="center"/>
          </w:tcPr>
          <w:p w14:paraId="0772A4A2">
            <w:pPr>
              <w:adjustRightInd w:val="0"/>
              <w:snapToGrid w:val="0"/>
              <w:spacing w:line="300" w:lineRule="atLeast"/>
              <w:ind w:left="-105" w:leftChars="-50" w:firstLine="129" w:firstLineChars="72"/>
              <w:jc w:val="center"/>
              <w:rPr>
                <w:color w:val="auto"/>
                <w:sz w:val="18"/>
                <w:szCs w:val="18"/>
              </w:rPr>
            </w:pPr>
            <w:r>
              <w:rPr>
                <w:color w:val="auto"/>
                <w:sz w:val="18"/>
                <w:szCs w:val="18"/>
              </w:rPr>
              <w:t>2200～2800</w:t>
            </w:r>
          </w:p>
        </w:tc>
      </w:tr>
      <w:tr w14:paraId="43B76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Align w:val="center"/>
          </w:tcPr>
          <w:p w14:paraId="159EF2C4">
            <w:pPr>
              <w:adjustRightInd w:val="0"/>
              <w:snapToGrid w:val="0"/>
              <w:spacing w:line="300" w:lineRule="atLeast"/>
              <w:ind w:left="-105" w:leftChars="-50" w:firstLine="129" w:firstLineChars="72"/>
              <w:jc w:val="center"/>
              <w:rPr>
                <w:color w:val="auto"/>
                <w:sz w:val="18"/>
                <w:szCs w:val="18"/>
              </w:rPr>
            </w:pPr>
            <w:r>
              <w:rPr>
                <w:color w:val="auto"/>
                <w:sz w:val="18"/>
                <w:szCs w:val="18"/>
              </w:rPr>
              <w:t>细砂</w:t>
            </w:r>
          </w:p>
        </w:tc>
        <w:tc>
          <w:tcPr>
            <w:tcW w:w="1923" w:type="dxa"/>
            <w:vMerge w:val="restart"/>
            <w:vAlign w:val="center"/>
          </w:tcPr>
          <w:p w14:paraId="0236E11C">
            <w:pPr>
              <w:adjustRightInd w:val="0"/>
              <w:snapToGrid w:val="0"/>
              <w:spacing w:line="300" w:lineRule="atLeast"/>
              <w:ind w:left="-105" w:leftChars="-50" w:firstLine="129" w:firstLineChars="72"/>
              <w:jc w:val="center"/>
              <w:rPr>
                <w:color w:val="auto"/>
                <w:sz w:val="18"/>
                <w:szCs w:val="18"/>
              </w:rPr>
            </w:pPr>
            <w:r>
              <w:rPr>
                <w:color w:val="auto"/>
                <w:sz w:val="18"/>
                <w:szCs w:val="18"/>
              </w:rPr>
              <w:t>中密、密实</w:t>
            </w:r>
          </w:p>
        </w:tc>
        <w:tc>
          <w:tcPr>
            <w:tcW w:w="1399" w:type="dxa"/>
            <w:vAlign w:val="center"/>
          </w:tcPr>
          <w:p w14:paraId="5807C939">
            <w:pPr>
              <w:adjustRightInd w:val="0"/>
              <w:snapToGrid w:val="0"/>
              <w:spacing w:line="300" w:lineRule="atLeast"/>
              <w:ind w:left="-105" w:leftChars="-50" w:firstLine="129" w:firstLineChars="72"/>
              <w:jc w:val="center"/>
              <w:rPr>
                <w:color w:val="auto"/>
                <w:sz w:val="18"/>
                <w:szCs w:val="18"/>
              </w:rPr>
            </w:pPr>
            <w:r>
              <w:rPr>
                <w:color w:val="auto"/>
                <w:sz w:val="18"/>
                <w:szCs w:val="18"/>
              </w:rPr>
              <w:t>1300～2000</w:t>
            </w:r>
          </w:p>
        </w:tc>
        <w:tc>
          <w:tcPr>
            <w:tcW w:w="1442" w:type="dxa"/>
            <w:vAlign w:val="center"/>
          </w:tcPr>
          <w:p w14:paraId="7ADAA8F6">
            <w:pPr>
              <w:adjustRightInd w:val="0"/>
              <w:snapToGrid w:val="0"/>
              <w:spacing w:line="260" w:lineRule="atLeast"/>
              <w:ind w:left="-105" w:leftChars="-50" w:firstLine="129" w:firstLineChars="72"/>
              <w:jc w:val="center"/>
              <w:rPr>
                <w:color w:val="auto"/>
                <w:sz w:val="18"/>
                <w:szCs w:val="18"/>
              </w:rPr>
            </w:pPr>
            <w:r>
              <w:rPr>
                <w:color w:val="auto"/>
                <w:sz w:val="18"/>
                <w:szCs w:val="18"/>
              </w:rPr>
              <w:t>1900～2500</w:t>
            </w:r>
          </w:p>
        </w:tc>
        <w:tc>
          <w:tcPr>
            <w:tcW w:w="1443" w:type="dxa"/>
            <w:tcBorders>
              <w:right w:val="single" w:color="auto" w:sz="4" w:space="0"/>
            </w:tcBorders>
            <w:vAlign w:val="center"/>
          </w:tcPr>
          <w:p w14:paraId="276E05BC">
            <w:pPr>
              <w:adjustRightInd w:val="0"/>
              <w:snapToGrid w:val="0"/>
              <w:spacing w:line="300" w:lineRule="atLeast"/>
              <w:ind w:left="-105" w:leftChars="-50" w:firstLine="129" w:firstLineChars="72"/>
              <w:jc w:val="center"/>
              <w:rPr>
                <w:color w:val="auto"/>
                <w:sz w:val="18"/>
                <w:szCs w:val="18"/>
              </w:rPr>
            </w:pPr>
            <w:r>
              <w:rPr>
                <w:color w:val="auto"/>
                <w:sz w:val="18"/>
                <w:szCs w:val="18"/>
              </w:rPr>
              <w:t>2400～2900</w:t>
            </w:r>
          </w:p>
        </w:tc>
        <w:tc>
          <w:tcPr>
            <w:tcW w:w="1381" w:type="dxa"/>
            <w:tcBorders>
              <w:left w:val="single" w:color="auto" w:sz="4" w:space="0"/>
            </w:tcBorders>
            <w:vAlign w:val="center"/>
          </w:tcPr>
          <w:p w14:paraId="1A9F9D4F">
            <w:pPr>
              <w:adjustRightInd w:val="0"/>
              <w:snapToGrid w:val="0"/>
              <w:spacing w:line="300" w:lineRule="atLeast"/>
              <w:ind w:left="-105" w:leftChars="-50" w:firstLine="129" w:firstLineChars="72"/>
              <w:jc w:val="center"/>
              <w:rPr>
                <w:color w:val="auto"/>
                <w:sz w:val="18"/>
                <w:szCs w:val="18"/>
              </w:rPr>
            </w:pPr>
            <w:r>
              <w:rPr>
                <w:color w:val="auto"/>
                <w:sz w:val="18"/>
                <w:szCs w:val="18"/>
              </w:rPr>
              <w:t>2700～3300</w:t>
            </w:r>
          </w:p>
        </w:tc>
      </w:tr>
      <w:tr w14:paraId="18A89C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Align w:val="center"/>
          </w:tcPr>
          <w:p w14:paraId="499953E8">
            <w:pPr>
              <w:adjustRightInd w:val="0"/>
              <w:snapToGrid w:val="0"/>
              <w:spacing w:line="300" w:lineRule="atLeast"/>
              <w:ind w:left="-105" w:leftChars="-50" w:firstLine="129" w:firstLineChars="72"/>
              <w:jc w:val="center"/>
              <w:rPr>
                <w:color w:val="auto"/>
                <w:sz w:val="18"/>
                <w:szCs w:val="18"/>
              </w:rPr>
            </w:pPr>
            <w:r>
              <w:rPr>
                <w:color w:val="auto"/>
                <w:sz w:val="18"/>
                <w:szCs w:val="18"/>
              </w:rPr>
              <w:t>中砂</w:t>
            </w:r>
          </w:p>
        </w:tc>
        <w:tc>
          <w:tcPr>
            <w:tcW w:w="1923" w:type="dxa"/>
            <w:vMerge w:val="continue"/>
            <w:vAlign w:val="center"/>
          </w:tcPr>
          <w:p w14:paraId="733FC4CB">
            <w:pPr>
              <w:adjustRightInd w:val="0"/>
              <w:snapToGrid w:val="0"/>
              <w:spacing w:line="300" w:lineRule="atLeast"/>
              <w:ind w:left="-105" w:leftChars="-50" w:firstLine="129" w:firstLineChars="72"/>
              <w:jc w:val="center"/>
              <w:rPr>
                <w:color w:val="auto"/>
                <w:sz w:val="18"/>
                <w:szCs w:val="18"/>
              </w:rPr>
            </w:pPr>
          </w:p>
        </w:tc>
        <w:tc>
          <w:tcPr>
            <w:tcW w:w="1399" w:type="dxa"/>
            <w:vAlign w:val="center"/>
          </w:tcPr>
          <w:p w14:paraId="531B1F57">
            <w:pPr>
              <w:adjustRightInd w:val="0"/>
              <w:snapToGrid w:val="0"/>
              <w:spacing w:line="300" w:lineRule="atLeast"/>
              <w:ind w:left="-105" w:leftChars="-50" w:firstLine="129" w:firstLineChars="72"/>
              <w:jc w:val="center"/>
              <w:rPr>
                <w:color w:val="auto"/>
                <w:sz w:val="18"/>
                <w:szCs w:val="18"/>
              </w:rPr>
            </w:pPr>
            <w:r>
              <w:rPr>
                <w:color w:val="auto"/>
                <w:sz w:val="18"/>
                <w:szCs w:val="18"/>
              </w:rPr>
              <w:t>1800～2600</w:t>
            </w:r>
          </w:p>
        </w:tc>
        <w:tc>
          <w:tcPr>
            <w:tcW w:w="1442" w:type="dxa"/>
            <w:vAlign w:val="center"/>
          </w:tcPr>
          <w:p w14:paraId="6B362CB3">
            <w:pPr>
              <w:adjustRightInd w:val="0"/>
              <w:snapToGrid w:val="0"/>
              <w:spacing w:line="260" w:lineRule="atLeast"/>
              <w:ind w:left="-105" w:leftChars="-50" w:firstLine="129" w:firstLineChars="72"/>
              <w:jc w:val="center"/>
              <w:rPr>
                <w:color w:val="auto"/>
                <w:sz w:val="18"/>
                <w:szCs w:val="18"/>
              </w:rPr>
            </w:pPr>
            <w:r>
              <w:rPr>
                <w:color w:val="auto"/>
                <w:sz w:val="18"/>
                <w:szCs w:val="18"/>
              </w:rPr>
              <w:t>2500～3300</w:t>
            </w:r>
          </w:p>
        </w:tc>
        <w:tc>
          <w:tcPr>
            <w:tcW w:w="1443" w:type="dxa"/>
            <w:tcBorders>
              <w:right w:val="single" w:color="auto" w:sz="4" w:space="0"/>
            </w:tcBorders>
            <w:vAlign w:val="center"/>
          </w:tcPr>
          <w:p w14:paraId="5D3494B6">
            <w:pPr>
              <w:adjustRightInd w:val="0"/>
              <w:snapToGrid w:val="0"/>
              <w:spacing w:line="300" w:lineRule="atLeast"/>
              <w:ind w:left="-105" w:leftChars="-50" w:firstLine="129" w:firstLineChars="72"/>
              <w:jc w:val="center"/>
              <w:rPr>
                <w:color w:val="auto"/>
                <w:sz w:val="18"/>
                <w:szCs w:val="18"/>
              </w:rPr>
            </w:pPr>
            <w:r>
              <w:rPr>
                <w:color w:val="auto"/>
                <w:sz w:val="18"/>
                <w:szCs w:val="18"/>
              </w:rPr>
              <w:t>3100～3900</w:t>
            </w:r>
          </w:p>
        </w:tc>
        <w:tc>
          <w:tcPr>
            <w:tcW w:w="1381" w:type="dxa"/>
            <w:tcBorders>
              <w:left w:val="single" w:color="auto" w:sz="4" w:space="0"/>
            </w:tcBorders>
            <w:vAlign w:val="center"/>
          </w:tcPr>
          <w:p w14:paraId="6FDCF182">
            <w:pPr>
              <w:adjustRightInd w:val="0"/>
              <w:snapToGrid w:val="0"/>
              <w:spacing w:line="300" w:lineRule="atLeast"/>
              <w:ind w:left="-105" w:leftChars="-50" w:firstLine="129" w:firstLineChars="72"/>
              <w:jc w:val="center"/>
              <w:rPr>
                <w:color w:val="auto"/>
                <w:sz w:val="18"/>
                <w:szCs w:val="18"/>
              </w:rPr>
            </w:pPr>
            <w:r>
              <w:rPr>
                <w:color w:val="auto"/>
                <w:sz w:val="18"/>
                <w:szCs w:val="18"/>
              </w:rPr>
              <w:t>3700～4200</w:t>
            </w:r>
          </w:p>
        </w:tc>
      </w:tr>
      <w:tr w14:paraId="16D6C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Align w:val="center"/>
          </w:tcPr>
          <w:p w14:paraId="0A357925">
            <w:pPr>
              <w:adjustRightInd w:val="0"/>
              <w:snapToGrid w:val="0"/>
              <w:spacing w:line="300" w:lineRule="atLeast"/>
              <w:ind w:left="-105" w:leftChars="-50" w:firstLine="129" w:firstLineChars="72"/>
              <w:jc w:val="center"/>
              <w:rPr>
                <w:color w:val="auto"/>
                <w:sz w:val="18"/>
                <w:szCs w:val="18"/>
              </w:rPr>
            </w:pPr>
            <w:r>
              <w:rPr>
                <w:color w:val="auto"/>
                <w:sz w:val="18"/>
                <w:szCs w:val="18"/>
              </w:rPr>
              <w:t>粗砂</w:t>
            </w:r>
          </w:p>
        </w:tc>
        <w:tc>
          <w:tcPr>
            <w:tcW w:w="1923" w:type="dxa"/>
            <w:vMerge w:val="continue"/>
            <w:vAlign w:val="center"/>
          </w:tcPr>
          <w:p w14:paraId="708F73B3">
            <w:pPr>
              <w:adjustRightInd w:val="0"/>
              <w:snapToGrid w:val="0"/>
              <w:spacing w:line="300" w:lineRule="atLeast"/>
              <w:ind w:left="-105" w:leftChars="-50" w:firstLine="129" w:firstLineChars="72"/>
              <w:jc w:val="center"/>
              <w:rPr>
                <w:color w:val="auto"/>
                <w:sz w:val="18"/>
                <w:szCs w:val="18"/>
              </w:rPr>
            </w:pPr>
          </w:p>
        </w:tc>
        <w:tc>
          <w:tcPr>
            <w:tcW w:w="1399" w:type="dxa"/>
            <w:vAlign w:val="center"/>
          </w:tcPr>
          <w:p w14:paraId="53A3BE72">
            <w:pPr>
              <w:adjustRightInd w:val="0"/>
              <w:snapToGrid w:val="0"/>
              <w:spacing w:line="300" w:lineRule="atLeast"/>
              <w:ind w:left="-105" w:leftChars="-50" w:firstLine="129" w:firstLineChars="72"/>
              <w:jc w:val="center"/>
              <w:rPr>
                <w:color w:val="auto"/>
                <w:sz w:val="18"/>
                <w:szCs w:val="18"/>
              </w:rPr>
            </w:pPr>
            <w:r>
              <w:rPr>
                <w:color w:val="auto"/>
                <w:sz w:val="18"/>
                <w:szCs w:val="18"/>
              </w:rPr>
              <w:t>2800～3700</w:t>
            </w:r>
          </w:p>
        </w:tc>
        <w:tc>
          <w:tcPr>
            <w:tcW w:w="1442" w:type="dxa"/>
            <w:tcBorders>
              <w:right w:val="single" w:color="auto" w:sz="4" w:space="0"/>
            </w:tcBorders>
            <w:vAlign w:val="center"/>
          </w:tcPr>
          <w:p w14:paraId="674EB1C2">
            <w:pPr>
              <w:adjustRightInd w:val="0"/>
              <w:snapToGrid w:val="0"/>
              <w:spacing w:line="260" w:lineRule="atLeast"/>
              <w:ind w:left="-105" w:leftChars="-50" w:firstLine="129" w:firstLineChars="72"/>
              <w:jc w:val="center"/>
              <w:rPr>
                <w:color w:val="auto"/>
                <w:sz w:val="18"/>
                <w:szCs w:val="18"/>
              </w:rPr>
            </w:pPr>
            <w:r>
              <w:rPr>
                <w:color w:val="auto"/>
                <w:sz w:val="18"/>
                <w:szCs w:val="18"/>
              </w:rPr>
              <w:t>3600～4200</w:t>
            </w:r>
          </w:p>
        </w:tc>
        <w:tc>
          <w:tcPr>
            <w:tcW w:w="1443" w:type="dxa"/>
            <w:tcBorders>
              <w:left w:val="single" w:color="auto" w:sz="4" w:space="0"/>
              <w:right w:val="single" w:color="auto" w:sz="4" w:space="0"/>
            </w:tcBorders>
            <w:vAlign w:val="center"/>
          </w:tcPr>
          <w:p w14:paraId="1FC098AD">
            <w:pPr>
              <w:adjustRightInd w:val="0"/>
              <w:snapToGrid w:val="0"/>
              <w:spacing w:line="300" w:lineRule="atLeast"/>
              <w:ind w:left="-105" w:leftChars="-50" w:firstLine="129" w:firstLineChars="72"/>
              <w:jc w:val="center"/>
              <w:rPr>
                <w:color w:val="auto"/>
                <w:sz w:val="18"/>
                <w:szCs w:val="18"/>
              </w:rPr>
            </w:pPr>
            <w:r>
              <w:rPr>
                <w:color w:val="auto"/>
                <w:sz w:val="18"/>
                <w:szCs w:val="18"/>
              </w:rPr>
              <w:t>4100～4900</w:t>
            </w:r>
          </w:p>
        </w:tc>
        <w:tc>
          <w:tcPr>
            <w:tcW w:w="1381" w:type="dxa"/>
            <w:tcBorders>
              <w:left w:val="single" w:color="auto" w:sz="4" w:space="0"/>
            </w:tcBorders>
            <w:vAlign w:val="center"/>
          </w:tcPr>
          <w:p w14:paraId="60703606">
            <w:pPr>
              <w:adjustRightInd w:val="0"/>
              <w:snapToGrid w:val="0"/>
              <w:spacing w:line="300" w:lineRule="atLeast"/>
              <w:ind w:left="-105" w:leftChars="-50" w:firstLine="129" w:firstLineChars="72"/>
              <w:jc w:val="center"/>
              <w:rPr>
                <w:color w:val="auto"/>
                <w:sz w:val="18"/>
                <w:szCs w:val="18"/>
              </w:rPr>
            </w:pPr>
            <w:r>
              <w:rPr>
                <w:color w:val="auto"/>
                <w:sz w:val="18"/>
                <w:szCs w:val="18"/>
              </w:rPr>
              <w:t>4800～5200</w:t>
            </w:r>
          </w:p>
        </w:tc>
      </w:tr>
      <w:tr w14:paraId="4E4E9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Align w:val="center"/>
          </w:tcPr>
          <w:p w14:paraId="13FE2743">
            <w:pPr>
              <w:adjustRightInd w:val="0"/>
              <w:snapToGrid w:val="0"/>
              <w:spacing w:line="300" w:lineRule="atLeast"/>
              <w:ind w:left="-105" w:leftChars="-50" w:firstLine="129" w:firstLineChars="72"/>
              <w:jc w:val="center"/>
              <w:rPr>
                <w:color w:val="auto"/>
                <w:sz w:val="18"/>
                <w:szCs w:val="18"/>
              </w:rPr>
            </w:pPr>
            <w:r>
              <w:rPr>
                <w:color w:val="auto"/>
                <w:sz w:val="18"/>
                <w:szCs w:val="18"/>
              </w:rPr>
              <w:t>砾砂</w:t>
            </w:r>
          </w:p>
        </w:tc>
        <w:tc>
          <w:tcPr>
            <w:tcW w:w="1923" w:type="dxa"/>
            <w:vMerge w:val="continue"/>
            <w:vAlign w:val="center"/>
          </w:tcPr>
          <w:p w14:paraId="19409759">
            <w:pPr>
              <w:adjustRightInd w:val="0"/>
              <w:snapToGrid w:val="0"/>
              <w:spacing w:line="300" w:lineRule="atLeast"/>
              <w:ind w:left="-105" w:leftChars="-50" w:firstLine="129" w:firstLineChars="72"/>
              <w:jc w:val="center"/>
              <w:rPr>
                <w:color w:val="auto"/>
                <w:sz w:val="18"/>
                <w:szCs w:val="18"/>
              </w:rPr>
            </w:pPr>
          </w:p>
        </w:tc>
        <w:tc>
          <w:tcPr>
            <w:tcW w:w="2841" w:type="dxa"/>
            <w:gridSpan w:val="2"/>
            <w:tcBorders>
              <w:right w:val="single" w:color="auto" w:sz="4" w:space="0"/>
            </w:tcBorders>
            <w:vAlign w:val="center"/>
          </w:tcPr>
          <w:p w14:paraId="66D6EE89">
            <w:pPr>
              <w:adjustRightInd w:val="0"/>
              <w:snapToGrid w:val="0"/>
              <w:spacing w:line="260" w:lineRule="atLeast"/>
              <w:ind w:left="-105" w:leftChars="-50" w:firstLine="129" w:firstLineChars="72"/>
              <w:jc w:val="center"/>
              <w:rPr>
                <w:color w:val="auto"/>
                <w:sz w:val="18"/>
                <w:szCs w:val="18"/>
              </w:rPr>
            </w:pPr>
            <w:r>
              <w:rPr>
                <w:color w:val="auto"/>
                <w:sz w:val="18"/>
                <w:szCs w:val="18"/>
              </w:rPr>
              <w:t>3000～5000</w:t>
            </w:r>
          </w:p>
        </w:tc>
        <w:tc>
          <w:tcPr>
            <w:tcW w:w="2824" w:type="dxa"/>
            <w:gridSpan w:val="2"/>
            <w:tcBorders>
              <w:left w:val="single" w:color="auto" w:sz="4" w:space="0"/>
            </w:tcBorders>
            <w:vAlign w:val="center"/>
          </w:tcPr>
          <w:p w14:paraId="598E8BA0">
            <w:pPr>
              <w:adjustRightInd w:val="0"/>
              <w:snapToGrid w:val="0"/>
              <w:spacing w:line="260" w:lineRule="atLeast"/>
              <w:ind w:left="-105" w:leftChars="-50" w:firstLine="129" w:firstLineChars="72"/>
              <w:jc w:val="center"/>
              <w:rPr>
                <w:color w:val="auto"/>
                <w:sz w:val="18"/>
                <w:szCs w:val="18"/>
              </w:rPr>
            </w:pPr>
            <w:r>
              <w:rPr>
                <w:color w:val="auto"/>
                <w:sz w:val="18"/>
                <w:szCs w:val="18"/>
              </w:rPr>
              <w:t>4500～5500</w:t>
            </w:r>
          </w:p>
        </w:tc>
      </w:tr>
      <w:tr w14:paraId="78486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vAlign w:val="center"/>
          </w:tcPr>
          <w:p w14:paraId="5F17EF57">
            <w:pPr>
              <w:adjustRightInd w:val="0"/>
              <w:snapToGrid w:val="0"/>
              <w:spacing w:line="300" w:lineRule="atLeast"/>
              <w:ind w:left="-105" w:leftChars="-50" w:firstLine="129" w:firstLineChars="72"/>
              <w:jc w:val="center"/>
              <w:rPr>
                <w:color w:val="auto"/>
                <w:sz w:val="18"/>
                <w:szCs w:val="18"/>
              </w:rPr>
            </w:pPr>
            <w:r>
              <w:rPr>
                <w:color w:val="auto"/>
                <w:sz w:val="18"/>
                <w:szCs w:val="18"/>
              </w:rPr>
              <w:t>角砾、圆砾</w:t>
            </w:r>
          </w:p>
        </w:tc>
        <w:tc>
          <w:tcPr>
            <w:tcW w:w="1923" w:type="dxa"/>
            <w:vMerge w:val="restart"/>
            <w:vAlign w:val="center"/>
          </w:tcPr>
          <w:p w14:paraId="0A89A736">
            <w:pPr>
              <w:adjustRightInd w:val="0"/>
              <w:snapToGrid w:val="0"/>
              <w:spacing w:line="300" w:lineRule="atLeast"/>
              <w:ind w:left="-105" w:leftChars="-50" w:firstLine="129" w:firstLineChars="72"/>
              <w:jc w:val="center"/>
              <w:rPr>
                <w:color w:val="auto"/>
                <w:sz w:val="18"/>
                <w:szCs w:val="18"/>
              </w:rPr>
            </w:pPr>
            <w:r>
              <w:rPr>
                <w:i/>
                <w:color w:val="auto"/>
                <w:sz w:val="18"/>
                <w:szCs w:val="18"/>
              </w:rPr>
              <w:t>N</w:t>
            </w:r>
            <w:r>
              <w:rPr>
                <w:iCs/>
                <w:color w:val="auto"/>
                <w:sz w:val="18"/>
                <w:szCs w:val="18"/>
                <w:vertAlign w:val="subscript"/>
              </w:rPr>
              <w:t>63.5</w:t>
            </w:r>
            <w:r>
              <w:rPr>
                <w:color w:val="auto"/>
                <w:sz w:val="18"/>
                <w:szCs w:val="18"/>
              </w:rPr>
              <w:t>＞10</w:t>
            </w:r>
          </w:p>
        </w:tc>
        <w:tc>
          <w:tcPr>
            <w:tcW w:w="2841" w:type="dxa"/>
            <w:gridSpan w:val="2"/>
            <w:tcBorders>
              <w:right w:val="single" w:color="auto" w:sz="4" w:space="0"/>
            </w:tcBorders>
            <w:vAlign w:val="center"/>
          </w:tcPr>
          <w:p w14:paraId="4A85A029">
            <w:pPr>
              <w:adjustRightInd w:val="0"/>
              <w:snapToGrid w:val="0"/>
              <w:spacing w:line="260" w:lineRule="atLeast"/>
              <w:ind w:left="-105" w:leftChars="-50" w:firstLine="129" w:firstLineChars="72"/>
              <w:jc w:val="center"/>
              <w:rPr>
                <w:color w:val="auto"/>
                <w:sz w:val="18"/>
                <w:szCs w:val="18"/>
              </w:rPr>
            </w:pPr>
            <w:r>
              <w:rPr>
                <w:color w:val="auto"/>
                <w:sz w:val="18"/>
                <w:szCs w:val="18"/>
              </w:rPr>
              <w:t>3500～6000</w:t>
            </w:r>
          </w:p>
        </w:tc>
        <w:tc>
          <w:tcPr>
            <w:tcW w:w="2824" w:type="dxa"/>
            <w:gridSpan w:val="2"/>
            <w:tcBorders>
              <w:left w:val="single" w:color="auto" w:sz="4" w:space="0"/>
            </w:tcBorders>
            <w:vAlign w:val="center"/>
          </w:tcPr>
          <w:p w14:paraId="7B6DD7C4">
            <w:pPr>
              <w:adjustRightInd w:val="0"/>
              <w:snapToGrid w:val="0"/>
              <w:spacing w:line="260" w:lineRule="atLeast"/>
              <w:ind w:left="-105" w:leftChars="-50" w:firstLine="129" w:firstLineChars="72"/>
              <w:jc w:val="center"/>
              <w:rPr>
                <w:color w:val="auto"/>
                <w:sz w:val="18"/>
                <w:szCs w:val="18"/>
              </w:rPr>
            </w:pPr>
            <w:r>
              <w:rPr>
                <w:color w:val="auto"/>
                <w:sz w:val="18"/>
                <w:szCs w:val="18"/>
              </w:rPr>
              <w:t>5000～6500</w:t>
            </w:r>
          </w:p>
        </w:tc>
      </w:tr>
      <w:tr w14:paraId="78EF1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tcPr>
          <w:p w14:paraId="4F94D16B">
            <w:pPr>
              <w:adjustRightInd w:val="0"/>
              <w:snapToGrid w:val="0"/>
              <w:spacing w:line="300" w:lineRule="atLeast"/>
              <w:ind w:left="-105" w:leftChars="-50" w:firstLine="129" w:firstLineChars="72"/>
              <w:jc w:val="center"/>
              <w:rPr>
                <w:color w:val="auto"/>
                <w:sz w:val="18"/>
                <w:szCs w:val="18"/>
              </w:rPr>
            </w:pPr>
            <w:r>
              <w:rPr>
                <w:color w:val="auto"/>
                <w:sz w:val="18"/>
                <w:szCs w:val="18"/>
              </w:rPr>
              <w:t>碎石、卵石</w:t>
            </w:r>
          </w:p>
        </w:tc>
        <w:tc>
          <w:tcPr>
            <w:tcW w:w="1923" w:type="dxa"/>
            <w:vMerge w:val="continue"/>
          </w:tcPr>
          <w:p w14:paraId="666BC616">
            <w:pPr>
              <w:adjustRightInd w:val="0"/>
              <w:snapToGrid w:val="0"/>
              <w:spacing w:line="300" w:lineRule="atLeast"/>
              <w:ind w:left="-105" w:leftChars="-50" w:firstLine="129" w:firstLineChars="72"/>
              <w:rPr>
                <w:color w:val="auto"/>
                <w:sz w:val="18"/>
                <w:szCs w:val="18"/>
              </w:rPr>
            </w:pPr>
          </w:p>
        </w:tc>
        <w:tc>
          <w:tcPr>
            <w:tcW w:w="2841" w:type="dxa"/>
            <w:gridSpan w:val="2"/>
            <w:tcBorders>
              <w:right w:val="single" w:color="auto" w:sz="4" w:space="0"/>
            </w:tcBorders>
            <w:vAlign w:val="center"/>
          </w:tcPr>
          <w:p w14:paraId="1B2E0D13">
            <w:pPr>
              <w:adjustRightInd w:val="0"/>
              <w:snapToGrid w:val="0"/>
              <w:spacing w:line="260" w:lineRule="atLeast"/>
              <w:ind w:left="-105" w:leftChars="-50" w:firstLine="129" w:firstLineChars="72"/>
              <w:jc w:val="center"/>
              <w:rPr>
                <w:color w:val="auto"/>
                <w:sz w:val="18"/>
                <w:szCs w:val="18"/>
              </w:rPr>
            </w:pPr>
            <w:r>
              <w:rPr>
                <w:color w:val="auto"/>
                <w:sz w:val="18"/>
                <w:szCs w:val="18"/>
              </w:rPr>
              <w:t>4500～6500</w:t>
            </w:r>
          </w:p>
        </w:tc>
        <w:tc>
          <w:tcPr>
            <w:tcW w:w="2824" w:type="dxa"/>
            <w:gridSpan w:val="2"/>
            <w:tcBorders>
              <w:left w:val="single" w:color="auto" w:sz="4" w:space="0"/>
            </w:tcBorders>
            <w:vAlign w:val="center"/>
          </w:tcPr>
          <w:p w14:paraId="2EF8B875">
            <w:pPr>
              <w:adjustRightInd w:val="0"/>
              <w:snapToGrid w:val="0"/>
              <w:spacing w:line="260" w:lineRule="atLeast"/>
              <w:ind w:left="-105" w:leftChars="-50" w:firstLine="129" w:firstLineChars="72"/>
              <w:jc w:val="center"/>
              <w:rPr>
                <w:color w:val="auto"/>
                <w:sz w:val="18"/>
                <w:szCs w:val="18"/>
              </w:rPr>
            </w:pPr>
            <w:r>
              <w:rPr>
                <w:color w:val="auto"/>
                <w:sz w:val="18"/>
                <w:szCs w:val="18"/>
              </w:rPr>
              <w:t>5500～7500</w:t>
            </w:r>
          </w:p>
        </w:tc>
      </w:tr>
      <w:tr w14:paraId="288920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tcPr>
          <w:p w14:paraId="41AADD0F">
            <w:pPr>
              <w:adjustRightInd w:val="0"/>
              <w:snapToGrid w:val="0"/>
              <w:spacing w:line="300" w:lineRule="atLeast"/>
              <w:ind w:left="-105" w:leftChars="-50" w:firstLine="129" w:firstLineChars="72"/>
              <w:jc w:val="center"/>
              <w:rPr>
                <w:color w:val="auto"/>
                <w:sz w:val="18"/>
                <w:szCs w:val="18"/>
              </w:rPr>
            </w:pPr>
            <w:r>
              <w:rPr>
                <w:color w:val="auto"/>
                <w:sz w:val="18"/>
                <w:szCs w:val="18"/>
              </w:rPr>
              <w:t>软质岩</w:t>
            </w:r>
          </w:p>
        </w:tc>
        <w:tc>
          <w:tcPr>
            <w:tcW w:w="1923" w:type="dxa"/>
          </w:tcPr>
          <w:p w14:paraId="0B3EAACA">
            <w:pPr>
              <w:adjustRightInd w:val="0"/>
              <w:snapToGrid w:val="0"/>
              <w:spacing w:line="300" w:lineRule="atLeast"/>
              <w:ind w:left="-105" w:leftChars="-50" w:firstLine="129" w:firstLineChars="72"/>
              <w:jc w:val="center"/>
              <w:rPr>
                <w:color w:val="auto"/>
                <w:sz w:val="18"/>
                <w:szCs w:val="18"/>
              </w:rPr>
            </w:pPr>
            <w:r>
              <w:rPr>
                <w:color w:val="auto"/>
                <w:sz w:val="18"/>
                <w:szCs w:val="18"/>
              </w:rPr>
              <w:t>强风化</w:t>
            </w:r>
          </w:p>
        </w:tc>
        <w:tc>
          <w:tcPr>
            <w:tcW w:w="5665" w:type="dxa"/>
            <w:gridSpan w:val="4"/>
            <w:vAlign w:val="center"/>
          </w:tcPr>
          <w:p w14:paraId="43593F93">
            <w:pPr>
              <w:adjustRightInd w:val="0"/>
              <w:snapToGrid w:val="0"/>
              <w:spacing w:line="260" w:lineRule="atLeast"/>
              <w:ind w:left="-105" w:leftChars="-50" w:firstLine="129" w:firstLineChars="72"/>
              <w:jc w:val="center"/>
              <w:rPr>
                <w:color w:val="auto"/>
                <w:sz w:val="18"/>
                <w:szCs w:val="18"/>
              </w:rPr>
            </w:pPr>
            <w:r>
              <w:rPr>
                <w:color w:val="auto"/>
                <w:sz w:val="18"/>
                <w:szCs w:val="18"/>
              </w:rPr>
              <w:t>2000～4000</w:t>
            </w:r>
          </w:p>
        </w:tc>
      </w:tr>
      <w:tr w14:paraId="551E6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 w:hRule="atLeast"/>
        </w:trPr>
        <w:tc>
          <w:tcPr>
            <w:tcW w:w="1395" w:type="dxa"/>
          </w:tcPr>
          <w:p w14:paraId="07588CE5">
            <w:pPr>
              <w:adjustRightInd w:val="0"/>
              <w:snapToGrid w:val="0"/>
              <w:spacing w:line="300" w:lineRule="atLeast"/>
              <w:ind w:left="-105" w:leftChars="-50" w:firstLine="129" w:firstLineChars="72"/>
              <w:jc w:val="center"/>
              <w:rPr>
                <w:color w:val="auto"/>
                <w:sz w:val="18"/>
                <w:szCs w:val="18"/>
              </w:rPr>
            </w:pPr>
            <w:r>
              <w:rPr>
                <w:color w:val="auto"/>
                <w:sz w:val="18"/>
                <w:szCs w:val="18"/>
              </w:rPr>
              <w:t>硬质岩</w:t>
            </w:r>
          </w:p>
        </w:tc>
        <w:tc>
          <w:tcPr>
            <w:tcW w:w="1923" w:type="dxa"/>
          </w:tcPr>
          <w:p w14:paraId="7B8F42F5">
            <w:pPr>
              <w:adjustRightInd w:val="0"/>
              <w:snapToGrid w:val="0"/>
              <w:spacing w:line="300" w:lineRule="atLeast"/>
              <w:ind w:left="-105" w:leftChars="-50" w:firstLine="129" w:firstLineChars="72"/>
              <w:jc w:val="center"/>
              <w:rPr>
                <w:color w:val="auto"/>
                <w:sz w:val="18"/>
                <w:szCs w:val="18"/>
              </w:rPr>
            </w:pPr>
            <w:r>
              <w:rPr>
                <w:color w:val="auto"/>
                <w:sz w:val="18"/>
                <w:szCs w:val="18"/>
              </w:rPr>
              <w:t>强风化</w:t>
            </w:r>
          </w:p>
        </w:tc>
        <w:tc>
          <w:tcPr>
            <w:tcW w:w="5665" w:type="dxa"/>
            <w:gridSpan w:val="4"/>
            <w:vAlign w:val="center"/>
          </w:tcPr>
          <w:p w14:paraId="34AD6FCD">
            <w:pPr>
              <w:adjustRightInd w:val="0"/>
              <w:snapToGrid w:val="0"/>
              <w:spacing w:line="260" w:lineRule="atLeast"/>
              <w:ind w:left="-105" w:leftChars="-50" w:firstLine="129" w:firstLineChars="72"/>
              <w:jc w:val="center"/>
              <w:rPr>
                <w:color w:val="auto"/>
                <w:sz w:val="18"/>
                <w:szCs w:val="18"/>
              </w:rPr>
            </w:pPr>
            <w:r>
              <w:rPr>
                <w:color w:val="auto"/>
                <w:sz w:val="18"/>
                <w:szCs w:val="18"/>
              </w:rPr>
              <w:t>2500～5500</w:t>
            </w:r>
          </w:p>
        </w:tc>
      </w:tr>
      <w:tr w14:paraId="531591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atLeast"/>
        </w:trPr>
        <w:tc>
          <w:tcPr>
            <w:tcW w:w="8984" w:type="dxa"/>
            <w:gridSpan w:val="6"/>
          </w:tcPr>
          <w:p w14:paraId="219417CC">
            <w:pPr>
              <w:adjustRightInd w:val="0"/>
              <w:snapToGrid w:val="0"/>
              <w:spacing w:line="260" w:lineRule="atLeast"/>
              <w:ind w:left="-105" w:leftChars="-50" w:firstLine="129" w:firstLineChars="72"/>
              <w:jc w:val="left"/>
              <w:rPr>
                <w:color w:val="auto"/>
                <w:sz w:val="18"/>
                <w:szCs w:val="18"/>
              </w:rPr>
            </w:pPr>
            <w:r>
              <w:rPr>
                <w:color w:val="auto"/>
                <w:sz w:val="18"/>
                <w:szCs w:val="18"/>
              </w:rPr>
              <w:t>注1：本表适用于桩端进入持力层3d左右时的端阻力。</w:t>
            </w:r>
          </w:p>
          <w:p w14:paraId="0C7AF7A6">
            <w:pPr>
              <w:adjustRightInd w:val="0"/>
              <w:snapToGrid w:val="0"/>
              <w:spacing w:line="260" w:lineRule="atLeast"/>
              <w:ind w:left="458" w:leftChars="-7" w:hanging="473" w:hangingChars="263"/>
              <w:jc w:val="left"/>
              <w:rPr>
                <w:color w:val="auto"/>
                <w:sz w:val="18"/>
                <w:szCs w:val="18"/>
              </w:rPr>
            </w:pPr>
            <w:r>
              <w:rPr>
                <w:color w:val="auto"/>
                <w:sz w:val="18"/>
                <w:szCs w:val="18"/>
              </w:rPr>
              <w:t>注2：以压桩力或贯入度控制桩长，且以桩身强度控制设计时，当桩端进入低压缩性土层较深时，表内数据可提高30%～90%，桩端进入持力层深度大时取大值，并应通过静载试验验证。</w:t>
            </w:r>
          </w:p>
        </w:tc>
      </w:tr>
    </w:tbl>
    <w:p w14:paraId="3FF55B32">
      <w:pPr>
        <w:adjustRightInd w:val="0"/>
        <w:snapToGrid w:val="0"/>
        <w:spacing w:before="156" w:beforeLines="5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表F.3  沉管灌注桩或夯扩桩桩侧阻力特征值</w:t>
      </w:r>
      <w:r>
        <w:rPr>
          <w:rFonts w:eastAsia="黑体"/>
          <w:b/>
          <w:i/>
          <w:color w:val="auto"/>
          <w:szCs w:val="21"/>
        </w:rPr>
        <w:t>q</w:t>
      </w:r>
      <w:r>
        <w:rPr>
          <w:rFonts w:eastAsia="黑体"/>
          <w:b/>
          <w:iCs/>
          <w:color w:val="auto"/>
          <w:szCs w:val="21"/>
          <w:vertAlign w:val="subscript"/>
        </w:rPr>
        <w:t>pa</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b/>
          <w:i/>
          <w:color w:val="auto"/>
          <w:sz w:val="20"/>
          <w:szCs w:val="18"/>
          <w:vertAlign w:val="subscript"/>
        </w:rPr>
        <w:t xml:space="preserve"> </w:t>
      </w:r>
      <w:r>
        <w:rPr>
          <w:rFonts w:eastAsia="黑体"/>
          <w:color w:val="auto"/>
          <w:sz w:val="18"/>
          <w:szCs w:val="18"/>
        </w:rPr>
        <w:t>单位为kPa</w:t>
      </w:r>
    </w:p>
    <w:tbl>
      <w:tblPr>
        <w:tblStyle w:val="36"/>
        <w:tblW w:w="9041" w:type="dxa"/>
        <w:tblInd w:w="2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607"/>
        <w:gridCol w:w="1438"/>
        <w:gridCol w:w="2449"/>
        <w:gridCol w:w="2547"/>
      </w:tblGrid>
      <w:tr w14:paraId="34D29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Align w:val="center"/>
          </w:tcPr>
          <w:p w14:paraId="424352A1">
            <w:pPr>
              <w:adjustRightInd w:val="0"/>
              <w:snapToGrid w:val="0"/>
              <w:spacing w:line="260" w:lineRule="exact"/>
              <w:jc w:val="center"/>
              <w:rPr>
                <w:color w:val="auto"/>
                <w:sz w:val="18"/>
                <w:szCs w:val="18"/>
              </w:rPr>
            </w:pPr>
            <w:r>
              <w:rPr>
                <w:color w:val="auto"/>
                <w:sz w:val="18"/>
                <w:szCs w:val="18"/>
              </w:rPr>
              <w:t>土的名称</w:t>
            </w:r>
          </w:p>
        </w:tc>
        <w:tc>
          <w:tcPr>
            <w:tcW w:w="3887" w:type="dxa"/>
            <w:gridSpan w:val="2"/>
            <w:vAlign w:val="center"/>
          </w:tcPr>
          <w:p w14:paraId="53949144">
            <w:pPr>
              <w:adjustRightInd w:val="0"/>
              <w:snapToGrid w:val="0"/>
              <w:spacing w:line="260" w:lineRule="exact"/>
              <w:jc w:val="center"/>
              <w:rPr>
                <w:color w:val="auto"/>
                <w:sz w:val="18"/>
                <w:szCs w:val="18"/>
              </w:rPr>
            </w:pPr>
            <w:r>
              <w:rPr>
                <w:color w:val="auto"/>
                <w:sz w:val="18"/>
                <w:szCs w:val="18"/>
              </w:rPr>
              <w:t>土的状态及</w:t>
            </w:r>
            <w:r>
              <w:rPr>
                <w:i/>
                <w:color w:val="auto"/>
                <w:sz w:val="18"/>
                <w:szCs w:val="18"/>
              </w:rPr>
              <w:t>N</w:t>
            </w:r>
            <w:r>
              <w:rPr>
                <w:color w:val="auto"/>
                <w:sz w:val="18"/>
                <w:szCs w:val="18"/>
              </w:rPr>
              <w:t>、</w:t>
            </w:r>
            <w:r>
              <w:rPr>
                <w:i/>
                <w:color w:val="auto"/>
                <w:sz w:val="18"/>
                <w:szCs w:val="18"/>
              </w:rPr>
              <w:t>p</w:t>
            </w:r>
            <w:r>
              <w:rPr>
                <w:iCs/>
                <w:color w:val="auto"/>
                <w:sz w:val="18"/>
                <w:szCs w:val="18"/>
                <w:vertAlign w:val="subscript"/>
              </w:rPr>
              <w:t>s</w:t>
            </w:r>
            <w:r>
              <w:rPr>
                <w:color w:val="auto"/>
                <w:sz w:val="18"/>
                <w:szCs w:val="18"/>
              </w:rPr>
              <w:t>（MPa）值</w:t>
            </w:r>
          </w:p>
        </w:tc>
        <w:tc>
          <w:tcPr>
            <w:tcW w:w="2547" w:type="dxa"/>
            <w:vAlign w:val="center"/>
          </w:tcPr>
          <w:p w14:paraId="215663B2">
            <w:pPr>
              <w:adjustRightInd w:val="0"/>
              <w:snapToGrid w:val="0"/>
              <w:spacing w:line="260" w:lineRule="exact"/>
              <w:jc w:val="center"/>
              <w:rPr>
                <w:color w:val="auto"/>
                <w:sz w:val="18"/>
                <w:szCs w:val="18"/>
              </w:rPr>
            </w:pPr>
            <w:r>
              <w:rPr>
                <w:color w:val="auto"/>
                <w:sz w:val="18"/>
                <w:szCs w:val="18"/>
              </w:rPr>
              <w:t>沉管灌注桩或夯扩桩桩侧阻力特征值</w:t>
            </w:r>
            <w:r>
              <w:rPr>
                <w:i/>
                <w:iCs/>
                <w:color w:val="auto"/>
                <w:sz w:val="18"/>
                <w:szCs w:val="18"/>
              </w:rPr>
              <w:t>q</w:t>
            </w:r>
            <w:r>
              <w:rPr>
                <w:color w:val="auto"/>
                <w:sz w:val="18"/>
                <w:szCs w:val="18"/>
                <w:vertAlign w:val="subscript"/>
              </w:rPr>
              <w:t>sia</w:t>
            </w:r>
          </w:p>
        </w:tc>
      </w:tr>
      <w:tr w14:paraId="36B91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Align w:val="center"/>
          </w:tcPr>
          <w:p w14:paraId="592696C2">
            <w:pPr>
              <w:adjustRightInd w:val="0"/>
              <w:snapToGrid w:val="0"/>
              <w:spacing w:line="240" w:lineRule="exact"/>
              <w:jc w:val="center"/>
              <w:rPr>
                <w:color w:val="auto"/>
                <w:sz w:val="18"/>
                <w:szCs w:val="18"/>
              </w:rPr>
            </w:pPr>
            <w:r>
              <w:rPr>
                <w:color w:val="auto"/>
                <w:sz w:val="18"/>
                <w:szCs w:val="18"/>
              </w:rPr>
              <w:t>填土</w:t>
            </w:r>
          </w:p>
        </w:tc>
        <w:tc>
          <w:tcPr>
            <w:tcW w:w="3887" w:type="dxa"/>
            <w:gridSpan w:val="2"/>
            <w:vAlign w:val="center"/>
          </w:tcPr>
          <w:p w14:paraId="4804977F">
            <w:pPr>
              <w:adjustRightInd w:val="0"/>
              <w:snapToGrid w:val="0"/>
              <w:spacing w:line="240" w:lineRule="exact"/>
              <w:jc w:val="center"/>
              <w:rPr>
                <w:color w:val="auto"/>
                <w:sz w:val="18"/>
                <w:szCs w:val="18"/>
              </w:rPr>
            </w:pPr>
            <w:r>
              <w:rPr>
                <w:color w:val="auto"/>
                <w:sz w:val="18"/>
                <w:szCs w:val="18"/>
              </w:rPr>
              <w:t>---</w:t>
            </w:r>
          </w:p>
        </w:tc>
        <w:tc>
          <w:tcPr>
            <w:tcW w:w="2547" w:type="dxa"/>
            <w:vAlign w:val="center"/>
          </w:tcPr>
          <w:p w14:paraId="775B9585">
            <w:pPr>
              <w:adjustRightInd w:val="0"/>
              <w:snapToGrid w:val="0"/>
              <w:spacing w:line="240" w:lineRule="exact"/>
              <w:jc w:val="center"/>
              <w:rPr>
                <w:color w:val="auto"/>
                <w:sz w:val="18"/>
                <w:szCs w:val="18"/>
              </w:rPr>
            </w:pPr>
            <w:r>
              <w:rPr>
                <w:color w:val="auto"/>
                <w:sz w:val="18"/>
                <w:szCs w:val="18"/>
              </w:rPr>
              <w:t>8～11</w:t>
            </w:r>
          </w:p>
        </w:tc>
      </w:tr>
      <w:tr w14:paraId="58DFD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Align w:val="center"/>
          </w:tcPr>
          <w:p w14:paraId="394B2DB0">
            <w:pPr>
              <w:adjustRightInd w:val="0"/>
              <w:snapToGrid w:val="0"/>
              <w:spacing w:line="240" w:lineRule="exact"/>
              <w:jc w:val="center"/>
              <w:rPr>
                <w:color w:val="auto"/>
                <w:sz w:val="18"/>
                <w:szCs w:val="18"/>
              </w:rPr>
            </w:pPr>
            <w:r>
              <w:rPr>
                <w:color w:val="auto"/>
                <w:sz w:val="18"/>
                <w:szCs w:val="18"/>
              </w:rPr>
              <w:t>淤泥</w:t>
            </w:r>
          </w:p>
        </w:tc>
        <w:tc>
          <w:tcPr>
            <w:tcW w:w="3887" w:type="dxa"/>
            <w:gridSpan w:val="2"/>
            <w:vAlign w:val="center"/>
          </w:tcPr>
          <w:p w14:paraId="4E71D868">
            <w:pPr>
              <w:adjustRightInd w:val="0"/>
              <w:snapToGrid w:val="0"/>
              <w:spacing w:line="240" w:lineRule="exact"/>
              <w:jc w:val="center"/>
              <w:rPr>
                <w:color w:val="auto"/>
                <w:sz w:val="18"/>
                <w:szCs w:val="18"/>
              </w:rPr>
            </w:pPr>
            <w:r>
              <w:rPr>
                <w:color w:val="auto"/>
                <w:sz w:val="18"/>
                <w:szCs w:val="18"/>
              </w:rPr>
              <w:t>---</w:t>
            </w:r>
          </w:p>
        </w:tc>
        <w:tc>
          <w:tcPr>
            <w:tcW w:w="2547" w:type="dxa"/>
            <w:vAlign w:val="center"/>
          </w:tcPr>
          <w:p w14:paraId="01EEDAB0">
            <w:pPr>
              <w:adjustRightInd w:val="0"/>
              <w:snapToGrid w:val="0"/>
              <w:spacing w:line="240" w:lineRule="exact"/>
              <w:jc w:val="center"/>
              <w:rPr>
                <w:color w:val="auto"/>
                <w:sz w:val="18"/>
                <w:szCs w:val="18"/>
              </w:rPr>
            </w:pPr>
            <w:r>
              <w:rPr>
                <w:color w:val="auto"/>
                <w:sz w:val="18"/>
                <w:szCs w:val="18"/>
              </w:rPr>
              <w:t>5～7</w:t>
            </w:r>
          </w:p>
        </w:tc>
      </w:tr>
      <w:tr w14:paraId="00C1E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Align w:val="center"/>
          </w:tcPr>
          <w:p w14:paraId="4F3F4C93">
            <w:pPr>
              <w:adjustRightInd w:val="0"/>
              <w:snapToGrid w:val="0"/>
              <w:spacing w:line="240" w:lineRule="exact"/>
              <w:jc w:val="center"/>
              <w:rPr>
                <w:color w:val="auto"/>
                <w:sz w:val="18"/>
                <w:szCs w:val="18"/>
              </w:rPr>
            </w:pPr>
            <w:r>
              <w:rPr>
                <w:color w:val="auto"/>
                <w:sz w:val="18"/>
                <w:szCs w:val="18"/>
              </w:rPr>
              <w:t>淤泥质土</w:t>
            </w:r>
          </w:p>
        </w:tc>
        <w:tc>
          <w:tcPr>
            <w:tcW w:w="3887" w:type="dxa"/>
            <w:gridSpan w:val="2"/>
            <w:vAlign w:val="center"/>
          </w:tcPr>
          <w:p w14:paraId="7DC3F470">
            <w:pPr>
              <w:adjustRightInd w:val="0"/>
              <w:snapToGrid w:val="0"/>
              <w:spacing w:line="240" w:lineRule="exact"/>
              <w:jc w:val="center"/>
              <w:rPr>
                <w:color w:val="auto"/>
                <w:sz w:val="18"/>
                <w:szCs w:val="18"/>
              </w:rPr>
            </w:pPr>
            <w:r>
              <w:rPr>
                <w:color w:val="auto"/>
                <w:sz w:val="18"/>
                <w:szCs w:val="18"/>
              </w:rPr>
              <w:t>---</w:t>
            </w:r>
          </w:p>
        </w:tc>
        <w:tc>
          <w:tcPr>
            <w:tcW w:w="2547" w:type="dxa"/>
            <w:vAlign w:val="center"/>
          </w:tcPr>
          <w:p w14:paraId="00FED805">
            <w:pPr>
              <w:adjustRightInd w:val="0"/>
              <w:snapToGrid w:val="0"/>
              <w:spacing w:line="240" w:lineRule="exact"/>
              <w:jc w:val="center"/>
              <w:rPr>
                <w:color w:val="auto"/>
                <w:sz w:val="18"/>
                <w:szCs w:val="18"/>
              </w:rPr>
            </w:pPr>
            <w:r>
              <w:rPr>
                <w:color w:val="auto"/>
                <w:sz w:val="18"/>
                <w:szCs w:val="18"/>
              </w:rPr>
              <w:t>8～11</w:t>
            </w:r>
          </w:p>
        </w:tc>
      </w:tr>
      <w:tr w14:paraId="68BD5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44D7C115">
            <w:pPr>
              <w:adjustRightInd w:val="0"/>
              <w:snapToGrid w:val="0"/>
              <w:spacing w:line="240" w:lineRule="exact"/>
              <w:jc w:val="center"/>
              <w:rPr>
                <w:color w:val="auto"/>
                <w:sz w:val="18"/>
                <w:szCs w:val="18"/>
              </w:rPr>
            </w:pPr>
            <w:r>
              <w:rPr>
                <w:color w:val="auto"/>
                <w:sz w:val="18"/>
                <w:szCs w:val="18"/>
              </w:rPr>
              <w:t>一般黏性土</w:t>
            </w:r>
          </w:p>
          <w:p w14:paraId="3F86A4EC">
            <w:pPr>
              <w:adjustRightInd w:val="0"/>
              <w:snapToGrid w:val="0"/>
              <w:spacing w:line="240" w:lineRule="exact"/>
              <w:jc w:val="center"/>
              <w:rPr>
                <w:color w:val="auto"/>
                <w:sz w:val="18"/>
                <w:szCs w:val="18"/>
              </w:rPr>
            </w:pPr>
            <w:r>
              <w:rPr>
                <w:color w:val="auto"/>
                <w:sz w:val="18"/>
                <w:szCs w:val="18"/>
              </w:rPr>
              <w:t>老黏性土</w:t>
            </w:r>
          </w:p>
        </w:tc>
        <w:tc>
          <w:tcPr>
            <w:tcW w:w="3887" w:type="dxa"/>
            <w:gridSpan w:val="2"/>
            <w:vAlign w:val="center"/>
          </w:tcPr>
          <w:p w14:paraId="10EF50EB">
            <w:pPr>
              <w:adjustRightInd w:val="0"/>
              <w:snapToGrid w:val="0"/>
              <w:spacing w:line="260" w:lineRule="exact"/>
              <w:jc w:val="center"/>
              <w:rPr>
                <w:color w:val="auto"/>
                <w:sz w:val="18"/>
                <w:szCs w:val="18"/>
              </w:rPr>
            </w:pPr>
            <w:r>
              <w:rPr>
                <w:color w:val="auto"/>
                <w:sz w:val="18"/>
                <w:szCs w:val="18"/>
              </w:rPr>
              <w:t>0.75＜</w:t>
            </w:r>
            <w:r>
              <w:rPr>
                <w:i/>
                <w:iCs/>
                <w:color w:val="auto"/>
                <w:sz w:val="18"/>
                <w:szCs w:val="18"/>
              </w:rPr>
              <w:t>I</w:t>
            </w:r>
            <w:r>
              <w:rPr>
                <w:iCs/>
                <w:color w:val="auto"/>
                <w:sz w:val="18"/>
                <w:szCs w:val="18"/>
                <w:vertAlign w:val="subscript"/>
              </w:rPr>
              <w:t>L</w:t>
            </w:r>
            <w:r>
              <w:rPr>
                <w:color w:val="auto"/>
                <w:sz w:val="18"/>
                <w:szCs w:val="18"/>
              </w:rPr>
              <w:t>≤1</w:t>
            </w:r>
          </w:p>
        </w:tc>
        <w:tc>
          <w:tcPr>
            <w:tcW w:w="2547" w:type="dxa"/>
            <w:vAlign w:val="center"/>
          </w:tcPr>
          <w:p w14:paraId="651F3347">
            <w:pPr>
              <w:adjustRightInd w:val="0"/>
              <w:snapToGrid w:val="0"/>
              <w:spacing w:line="260" w:lineRule="exact"/>
              <w:jc w:val="center"/>
              <w:rPr>
                <w:color w:val="auto"/>
                <w:sz w:val="18"/>
                <w:szCs w:val="18"/>
              </w:rPr>
            </w:pPr>
            <w:r>
              <w:rPr>
                <w:color w:val="auto"/>
                <w:sz w:val="18"/>
                <w:szCs w:val="18"/>
              </w:rPr>
              <w:t>11～15</w:t>
            </w:r>
          </w:p>
        </w:tc>
      </w:tr>
      <w:tr w14:paraId="6C74C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77081AE2">
            <w:pPr>
              <w:adjustRightInd w:val="0"/>
              <w:snapToGrid w:val="0"/>
              <w:spacing w:line="240" w:lineRule="exact"/>
              <w:jc w:val="center"/>
              <w:rPr>
                <w:color w:val="auto"/>
                <w:sz w:val="18"/>
                <w:szCs w:val="18"/>
              </w:rPr>
            </w:pPr>
          </w:p>
        </w:tc>
        <w:tc>
          <w:tcPr>
            <w:tcW w:w="3887" w:type="dxa"/>
            <w:gridSpan w:val="2"/>
            <w:vAlign w:val="center"/>
          </w:tcPr>
          <w:p w14:paraId="33079895">
            <w:pPr>
              <w:adjustRightInd w:val="0"/>
              <w:snapToGrid w:val="0"/>
              <w:spacing w:line="260" w:lineRule="exact"/>
              <w:jc w:val="center"/>
              <w:rPr>
                <w:color w:val="auto"/>
                <w:sz w:val="18"/>
                <w:szCs w:val="18"/>
              </w:rPr>
            </w:pPr>
            <w:r>
              <w:rPr>
                <w:color w:val="auto"/>
                <w:sz w:val="18"/>
                <w:szCs w:val="18"/>
              </w:rPr>
              <w:t>0.5＜</w:t>
            </w:r>
            <w:r>
              <w:rPr>
                <w:i/>
                <w:iCs/>
                <w:color w:val="auto"/>
                <w:sz w:val="18"/>
                <w:szCs w:val="18"/>
              </w:rPr>
              <w:t>I</w:t>
            </w:r>
            <w:r>
              <w:rPr>
                <w:iCs/>
                <w:color w:val="auto"/>
                <w:sz w:val="18"/>
                <w:szCs w:val="18"/>
                <w:vertAlign w:val="subscript"/>
              </w:rPr>
              <w:t>L</w:t>
            </w:r>
            <w:r>
              <w:rPr>
                <w:color w:val="auto"/>
                <w:sz w:val="18"/>
                <w:szCs w:val="18"/>
              </w:rPr>
              <w:t>≤0.75</w:t>
            </w:r>
          </w:p>
        </w:tc>
        <w:tc>
          <w:tcPr>
            <w:tcW w:w="2547" w:type="dxa"/>
            <w:vAlign w:val="center"/>
          </w:tcPr>
          <w:p w14:paraId="68BEEBAD">
            <w:pPr>
              <w:adjustRightInd w:val="0"/>
              <w:snapToGrid w:val="0"/>
              <w:spacing w:line="260" w:lineRule="exact"/>
              <w:jc w:val="center"/>
              <w:rPr>
                <w:color w:val="auto"/>
                <w:sz w:val="18"/>
                <w:szCs w:val="18"/>
              </w:rPr>
            </w:pPr>
            <w:r>
              <w:rPr>
                <w:color w:val="auto"/>
                <w:sz w:val="18"/>
                <w:szCs w:val="18"/>
              </w:rPr>
              <w:t>15～23</w:t>
            </w:r>
          </w:p>
        </w:tc>
      </w:tr>
      <w:tr w14:paraId="3000D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5FF28FCB">
            <w:pPr>
              <w:adjustRightInd w:val="0"/>
              <w:snapToGrid w:val="0"/>
              <w:spacing w:line="240" w:lineRule="exact"/>
              <w:jc w:val="center"/>
              <w:rPr>
                <w:color w:val="auto"/>
                <w:sz w:val="18"/>
                <w:szCs w:val="18"/>
              </w:rPr>
            </w:pPr>
          </w:p>
        </w:tc>
        <w:tc>
          <w:tcPr>
            <w:tcW w:w="3887" w:type="dxa"/>
            <w:gridSpan w:val="2"/>
            <w:vAlign w:val="center"/>
          </w:tcPr>
          <w:p w14:paraId="591BB15E">
            <w:pPr>
              <w:adjustRightInd w:val="0"/>
              <w:snapToGrid w:val="0"/>
              <w:spacing w:line="260" w:lineRule="exact"/>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w:t>
            </w:r>
          </w:p>
        </w:tc>
        <w:tc>
          <w:tcPr>
            <w:tcW w:w="2547" w:type="dxa"/>
            <w:vAlign w:val="center"/>
          </w:tcPr>
          <w:p w14:paraId="50651041">
            <w:pPr>
              <w:adjustRightInd w:val="0"/>
              <w:snapToGrid w:val="0"/>
              <w:spacing w:line="260" w:lineRule="exact"/>
              <w:jc w:val="center"/>
              <w:rPr>
                <w:color w:val="auto"/>
                <w:sz w:val="18"/>
                <w:szCs w:val="18"/>
              </w:rPr>
            </w:pPr>
            <w:r>
              <w:rPr>
                <w:color w:val="auto"/>
                <w:sz w:val="18"/>
                <w:szCs w:val="18"/>
              </w:rPr>
              <w:t>23～30</w:t>
            </w:r>
          </w:p>
        </w:tc>
      </w:tr>
      <w:tr w14:paraId="03E2D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26B3F0B9">
            <w:pPr>
              <w:adjustRightInd w:val="0"/>
              <w:snapToGrid w:val="0"/>
              <w:spacing w:line="240" w:lineRule="exact"/>
              <w:jc w:val="center"/>
              <w:rPr>
                <w:color w:val="auto"/>
                <w:sz w:val="18"/>
                <w:szCs w:val="18"/>
              </w:rPr>
            </w:pPr>
          </w:p>
        </w:tc>
        <w:tc>
          <w:tcPr>
            <w:tcW w:w="3887" w:type="dxa"/>
            <w:gridSpan w:val="2"/>
            <w:vAlign w:val="center"/>
          </w:tcPr>
          <w:p w14:paraId="15BBD1A3">
            <w:pPr>
              <w:adjustRightInd w:val="0"/>
              <w:snapToGrid w:val="0"/>
              <w:spacing w:line="260" w:lineRule="exact"/>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2547" w:type="dxa"/>
            <w:vAlign w:val="center"/>
          </w:tcPr>
          <w:p w14:paraId="3C752A4E">
            <w:pPr>
              <w:adjustRightInd w:val="0"/>
              <w:snapToGrid w:val="0"/>
              <w:spacing w:line="260" w:lineRule="exact"/>
              <w:jc w:val="center"/>
              <w:rPr>
                <w:color w:val="auto"/>
                <w:sz w:val="18"/>
                <w:szCs w:val="18"/>
              </w:rPr>
            </w:pPr>
            <w:r>
              <w:rPr>
                <w:color w:val="auto"/>
                <w:sz w:val="18"/>
                <w:szCs w:val="18"/>
              </w:rPr>
              <w:t>30～34</w:t>
            </w:r>
          </w:p>
        </w:tc>
      </w:tr>
      <w:tr w14:paraId="77C1D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77613671">
            <w:pPr>
              <w:adjustRightInd w:val="0"/>
              <w:snapToGrid w:val="0"/>
              <w:spacing w:line="240" w:lineRule="exact"/>
              <w:jc w:val="center"/>
              <w:rPr>
                <w:color w:val="auto"/>
                <w:sz w:val="18"/>
                <w:szCs w:val="18"/>
              </w:rPr>
            </w:pPr>
          </w:p>
        </w:tc>
        <w:tc>
          <w:tcPr>
            <w:tcW w:w="3887" w:type="dxa"/>
            <w:gridSpan w:val="2"/>
            <w:vAlign w:val="center"/>
          </w:tcPr>
          <w:p w14:paraId="582DE824">
            <w:pPr>
              <w:adjustRightInd w:val="0"/>
              <w:snapToGrid w:val="0"/>
              <w:spacing w:line="240" w:lineRule="exac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2547" w:type="dxa"/>
            <w:vAlign w:val="center"/>
          </w:tcPr>
          <w:p w14:paraId="0D1B1708">
            <w:pPr>
              <w:adjustRightInd w:val="0"/>
              <w:snapToGrid w:val="0"/>
              <w:spacing w:line="240" w:lineRule="exact"/>
              <w:jc w:val="center"/>
              <w:rPr>
                <w:color w:val="auto"/>
                <w:sz w:val="18"/>
                <w:szCs w:val="18"/>
              </w:rPr>
            </w:pPr>
            <w:r>
              <w:rPr>
                <w:color w:val="auto"/>
                <w:sz w:val="18"/>
                <w:szCs w:val="18"/>
              </w:rPr>
              <w:t>34～41</w:t>
            </w:r>
          </w:p>
        </w:tc>
      </w:tr>
      <w:tr w14:paraId="5207F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39587C8E">
            <w:pPr>
              <w:adjustRightInd w:val="0"/>
              <w:snapToGrid w:val="0"/>
              <w:spacing w:line="240" w:lineRule="exact"/>
              <w:jc w:val="center"/>
              <w:rPr>
                <w:color w:val="auto"/>
                <w:sz w:val="18"/>
                <w:szCs w:val="18"/>
              </w:rPr>
            </w:pPr>
            <w:r>
              <w:rPr>
                <w:color w:val="auto"/>
                <w:sz w:val="18"/>
                <w:szCs w:val="18"/>
              </w:rPr>
              <w:t>红黏土</w:t>
            </w:r>
          </w:p>
        </w:tc>
        <w:tc>
          <w:tcPr>
            <w:tcW w:w="3887" w:type="dxa"/>
            <w:gridSpan w:val="2"/>
            <w:vAlign w:val="center"/>
          </w:tcPr>
          <w:p w14:paraId="517EE135">
            <w:pPr>
              <w:adjustRightInd w:val="0"/>
              <w:snapToGrid w:val="0"/>
              <w:spacing w:line="240" w:lineRule="exact"/>
              <w:jc w:val="center"/>
              <w:rPr>
                <w:color w:val="auto"/>
                <w:sz w:val="18"/>
                <w:szCs w:val="18"/>
              </w:rPr>
            </w:pPr>
            <w:r>
              <w:rPr>
                <w:color w:val="auto"/>
                <w:sz w:val="18"/>
                <w:szCs w:val="18"/>
              </w:rPr>
              <w:t>0.7＜</w:t>
            </w:r>
            <w:r>
              <w:rPr>
                <w:i/>
                <w:iCs/>
                <w:color w:val="auto"/>
                <w:sz w:val="18"/>
                <w:szCs w:val="18"/>
              </w:rPr>
              <w:t>α</w:t>
            </w:r>
            <w:r>
              <w:rPr>
                <w:iCs/>
                <w:color w:val="auto"/>
                <w:sz w:val="18"/>
                <w:szCs w:val="18"/>
                <w:vertAlign w:val="subscript"/>
              </w:rPr>
              <w:t>w</w:t>
            </w:r>
            <w:r>
              <w:rPr>
                <w:color w:val="auto"/>
                <w:sz w:val="18"/>
                <w:szCs w:val="18"/>
              </w:rPr>
              <w:t>≤1</w:t>
            </w:r>
          </w:p>
        </w:tc>
        <w:tc>
          <w:tcPr>
            <w:tcW w:w="2547" w:type="dxa"/>
            <w:vAlign w:val="center"/>
          </w:tcPr>
          <w:p w14:paraId="2514CE1D">
            <w:pPr>
              <w:adjustRightInd w:val="0"/>
              <w:snapToGrid w:val="0"/>
              <w:spacing w:line="240" w:lineRule="exact"/>
              <w:jc w:val="center"/>
              <w:rPr>
                <w:color w:val="auto"/>
                <w:sz w:val="18"/>
                <w:szCs w:val="18"/>
              </w:rPr>
            </w:pPr>
            <w:r>
              <w:rPr>
                <w:rFonts w:hint="eastAsia"/>
                <w:color w:val="auto"/>
                <w:sz w:val="18"/>
                <w:szCs w:val="18"/>
              </w:rPr>
              <w:t>6</w:t>
            </w:r>
            <w:r>
              <w:rPr>
                <w:color w:val="auto"/>
                <w:sz w:val="18"/>
                <w:szCs w:val="18"/>
              </w:rPr>
              <w:t>～1</w:t>
            </w:r>
            <w:r>
              <w:rPr>
                <w:rFonts w:hint="eastAsia"/>
                <w:color w:val="auto"/>
                <w:sz w:val="18"/>
                <w:szCs w:val="18"/>
              </w:rPr>
              <w:t>5</w:t>
            </w:r>
          </w:p>
        </w:tc>
      </w:tr>
      <w:tr w14:paraId="7FF2E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73BDD178">
            <w:pPr>
              <w:adjustRightInd w:val="0"/>
              <w:snapToGrid w:val="0"/>
              <w:spacing w:line="240" w:lineRule="exact"/>
              <w:jc w:val="center"/>
              <w:rPr>
                <w:color w:val="auto"/>
                <w:sz w:val="18"/>
                <w:szCs w:val="18"/>
              </w:rPr>
            </w:pPr>
          </w:p>
        </w:tc>
        <w:tc>
          <w:tcPr>
            <w:tcW w:w="3887" w:type="dxa"/>
            <w:gridSpan w:val="2"/>
            <w:tcBorders>
              <w:right w:val="single" w:color="000000" w:sz="4" w:space="0"/>
            </w:tcBorders>
            <w:vAlign w:val="center"/>
          </w:tcPr>
          <w:p w14:paraId="27EE4518">
            <w:pPr>
              <w:adjustRightInd w:val="0"/>
              <w:snapToGrid w:val="0"/>
              <w:spacing w:line="240" w:lineRule="exact"/>
              <w:jc w:val="center"/>
              <w:rPr>
                <w:color w:val="auto"/>
                <w:sz w:val="18"/>
                <w:szCs w:val="18"/>
              </w:rPr>
            </w:pPr>
            <w:r>
              <w:rPr>
                <w:color w:val="auto"/>
                <w:sz w:val="18"/>
                <w:szCs w:val="18"/>
              </w:rPr>
              <w:t>0.5＜</w:t>
            </w:r>
            <w:r>
              <w:rPr>
                <w:i/>
                <w:iCs/>
                <w:color w:val="auto"/>
                <w:sz w:val="18"/>
                <w:szCs w:val="18"/>
              </w:rPr>
              <w:t>α</w:t>
            </w:r>
            <w:r>
              <w:rPr>
                <w:iCs/>
                <w:color w:val="auto"/>
                <w:sz w:val="18"/>
                <w:szCs w:val="18"/>
                <w:vertAlign w:val="subscript"/>
              </w:rPr>
              <w:t>w</w:t>
            </w:r>
            <w:r>
              <w:rPr>
                <w:color w:val="auto"/>
                <w:sz w:val="18"/>
                <w:szCs w:val="18"/>
              </w:rPr>
              <w:t>≤0.7</w:t>
            </w:r>
          </w:p>
        </w:tc>
        <w:tc>
          <w:tcPr>
            <w:tcW w:w="2547" w:type="dxa"/>
            <w:tcBorders>
              <w:left w:val="single" w:color="000000" w:sz="4" w:space="0"/>
            </w:tcBorders>
            <w:vAlign w:val="center"/>
          </w:tcPr>
          <w:p w14:paraId="75FD5BE3">
            <w:pPr>
              <w:adjustRightInd w:val="0"/>
              <w:snapToGrid w:val="0"/>
              <w:spacing w:line="240" w:lineRule="exact"/>
              <w:jc w:val="center"/>
              <w:rPr>
                <w:color w:val="auto"/>
                <w:sz w:val="18"/>
                <w:szCs w:val="18"/>
              </w:rPr>
            </w:pPr>
            <w:r>
              <w:rPr>
                <w:color w:val="auto"/>
                <w:sz w:val="18"/>
                <w:szCs w:val="18"/>
              </w:rPr>
              <w:t>1</w:t>
            </w:r>
            <w:r>
              <w:rPr>
                <w:rFonts w:hint="eastAsia"/>
                <w:color w:val="auto"/>
                <w:sz w:val="18"/>
                <w:szCs w:val="18"/>
              </w:rPr>
              <w:t>5</w:t>
            </w:r>
            <w:r>
              <w:rPr>
                <w:color w:val="auto"/>
                <w:sz w:val="18"/>
                <w:szCs w:val="18"/>
              </w:rPr>
              <w:t>～3</w:t>
            </w:r>
            <w:r>
              <w:rPr>
                <w:rFonts w:hint="eastAsia"/>
                <w:color w:val="auto"/>
                <w:sz w:val="18"/>
                <w:szCs w:val="18"/>
              </w:rPr>
              <w:t>5</w:t>
            </w:r>
          </w:p>
        </w:tc>
      </w:tr>
      <w:tr w14:paraId="0D20D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65D68358">
            <w:pPr>
              <w:adjustRightInd w:val="0"/>
              <w:snapToGrid w:val="0"/>
              <w:spacing w:line="240" w:lineRule="exact"/>
              <w:jc w:val="center"/>
              <w:rPr>
                <w:color w:val="auto"/>
                <w:sz w:val="18"/>
                <w:szCs w:val="18"/>
              </w:rPr>
            </w:pPr>
            <w:r>
              <w:rPr>
                <w:color w:val="auto"/>
                <w:sz w:val="18"/>
                <w:szCs w:val="18"/>
              </w:rPr>
              <w:t>粉土</w:t>
            </w:r>
          </w:p>
        </w:tc>
        <w:tc>
          <w:tcPr>
            <w:tcW w:w="1438" w:type="dxa"/>
            <w:tcBorders>
              <w:right w:val="single" w:color="000000" w:sz="4" w:space="0"/>
            </w:tcBorders>
            <w:vAlign w:val="center"/>
          </w:tcPr>
          <w:p w14:paraId="59EEBBBD">
            <w:pPr>
              <w:adjustRightInd w:val="0"/>
              <w:snapToGrid w:val="0"/>
              <w:spacing w:line="240" w:lineRule="exact"/>
              <w:jc w:val="center"/>
              <w:rPr>
                <w:color w:val="auto"/>
                <w:sz w:val="18"/>
                <w:szCs w:val="18"/>
              </w:rPr>
            </w:pPr>
            <w:r>
              <w:rPr>
                <w:color w:val="auto"/>
                <w:sz w:val="18"/>
                <w:szCs w:val="18"/>
              </w:rPr>
              <w:t>稍密</w:t>
            </w:r>
          </w:p>
        </w:tc>
        <w:tc>
          <w:tcPr>
            <w:tcW w:w="2448" w:type="dxa"/>
            <w:tcBorders>
              <w:left w:val="single" w:color="000000" w:sz="4" w:space="0"/>
              <w:right w:val="single" w:color="000000" w:sz="4" w:space="0"/>
            </w:tcBorders>
            <w:vAlign w:val="center"/>
          </w:tcPr>
          <w:p w14:paraId="7B5BA621">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≤1</w:t>
            </w:r>
          </w:p>
        </w:tc>
        <w:tc>
          <w:tcPr>
            <w:tcW w:w="2547" w:type="dxa"/>
            <w:tcBorders>
              <w:left w:val="single" w:color="000000" w:sz="4" w:space="0"/>
            </w:tcBorders>
            <w:vAlign w:val="center"/>
          </w:tcPr>
          <w:p w14:paraId="77EE3BD9">
            <w:pPr>
              <w:adjustRightInd w:val="0"/>
              <w:snapToGrid w:val="0"/>
              <w:spacing w:line="240" w:lineRule="exact"/>
              <w:jc w:val="center"/>
              <w:rPr>
                <w:color w:val="auto"/>
                <w:sz w:val="18"/>
                <w:szCs w:val="18"/>
              </w:rPr>
            </w:pPr>
            <w:r>
              <w:rPr>
                <w:color w:val="auto"/>
                <w:sz w:val="18"/>
                <w:szCs w:val="18"/>
              </w:rPr>
              <w:t>8～16</w:t>
            </w:r>
          </w:p>
        </w:tc>
      </w:tr>
      <w:tr w14:paraId="045FD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4FC585EC">
            <w:pPr>
              <w:adjustRightInd w:val="0"/>
              <w:snapToGrid w:val="0"/>
              <w:spacing w:line="240" w:lineRule="exact"/>
              <w:jc w:val="center"/>
              <w:rPr>
                <w:color w:val="auto"/>
                <w:sz w:val="18"/>
                <w:szCs w:val="18"/>
              </w:rPr>
            </w:pPr>
          </w:p>
        </w:tc>
        <w:tc>
          <w:tcPr>
            <w:tcW w:w="1438" w:type="dxa"/>
            <w:tcBorders>
              <w:right w:val="single" w:color="000000" w:sz="4" w:space="0"/>
            </w:tcBorders>
            <w:vAlign w:val="center"/>
          </w:tcPr>
          <w:p w14:paraId="6A59775F">
            <w:pPr>
              <w:adjustRightInd w:val="0"/>
              <w:snapToGrid w:val="0"/>
              <w:spacing w:line="240" w:lineRule="exact"/>
              <w:jc w:val="center"/>
              <w:rPr>
                <w:color w:val="auto"/>
                <w:sz w:val="18"/>
                <w:szCs w:val="18"/>
              </w:rPr>
            </w:pPr>
            <w:r>
              <w:rPr>
                <w:color w:val="auto"/>
                <w:sz w:val="18"/>
                <w:szCs w:val="18"/>
              </w:rPr>
              <w:t>中密</w:t>
            </w:r>
          </w:p>
        </w:tc>
        <w:tc>
          <w:tcPr>
            <w:tcW w:w="2448" w:type="dxa"/>
            <w:tcBorders>
              <w:left w:val="single" w:color="000000" w:sz="4" w:space="0"/>
              <w:right w:val="single" w:color="000000" w:sz="4" w:space="0"/>
            </w:tcBorders>
            <w:vAlign w:val="center"/>
          </w:tcPr>
          <w:p w14:paraId="48104F2E">
            <w:pPr>
              <w:adjustRightInd w:val="0"/>
              <w:snapToGrid w:val="0"/>
              <w:spacing w:line="240" w:lineRule="exact"/>
              <w:jc w:val="center"/>
              <w:rPr>
                <w:color w:val="auto"/>
                <w:sz w:val="18"/>
                <w:szCs w:val="18"/>
              </w:rPr>
            </w:pPr>
            <w:r>
              <w:rPr>
                <w:color w:val="auto"/>
                <w:sz w:val="18"/>
                <w:szCs w:val="18"/>
              </w:rPr>
              <w:t>1＜</w:t>
            </w:r>
            <w:r>
              <w:rPr>
                <w:i/>
                <w:iCs/>
                <w:color w:val="auto"/>
                <w:sz w:val="18"/>
                <w:szCs w:val="18"/>
              </w:rPr>
              <w:t>p</w:t>
            </w:r>
            <w:r>
              <w:rPr>
                <w:iCs/>
                <w:color w:val="auto"/>
                <w:sz w:val="18"/>
                <w:szCs w:val="18"/>
                <w:vertAlign w:val="subscript"/>
              </w:rPr>
              <w:t>s</w:t>
            </w:r>
            <w:r>
              <w:rPr>
                <w:color w:val="auto"/>
                <w:sz w:val="18"/>
                <w:szCs w:val="18"/>
              </w:rPr>
              <w:t>≤2.5</w:t>
            </w:r>
          </w:p>
        </w:tc>
        <w:tc>
          <w:tcPr>
            <w:tcW w:w="2547" w:type="dxa"/>
            <w:tcBorders>
              <w:left w:val="single" w:color="000000" w:sz="4" w:space="0"/>
            </w:tcBorders>
            <w:vAlign w:val="center"/>
          </w:tcPr>
          <w:p w14:paraId="76F8D0FF">
            <w:pPr>
              <w:adjustRightInd w:val="0"/>
              <w:snapToGrid w:val="0"/>
              <w:spacing w:line="240" w:lineRule="exact"/>
              <w:jc w:val="center"/>
              <w:rPr>
                <w:color w:val="auto"/>
                <w:sz w:val="18"/>
                <w:szCs w:val="18"/>
              </w:rPr>
            </w:pPr>
            <w:r>
              <w:rPr>
                <w:color w:val="auto"/>
                <w:sz w:val="18"/>
                <w:szCs w:val="18"/>
              </w:rPr>
              <w:t>16～25</w:t>
            </w:r>
          </w:p>
        </w:tc>
      </w:tr>
      <w:tr w14:paraId="615E1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043B8831">
            <w:pPr>
              <w:adjustRightInd w:val="0"/>
              <w:snapToGrid w:val="0"/>
              <w:spacing w:line="240" w:lineRule="exact"/>
              <w:jc w:val="center"/>
              <w:rPr>
                <w:color w:val="auto"/>
                <w:sz w:val="18"/>
                <w:szCs w:val="18"/>
              </w:rPr>
            </w:pPr>
          </w:p>
        </w:tc>
        <w:tc>
          <w:tcPr>
            <w:tcW w:w="1438" w:type="dxa"/>
            <w:tcBorders>
              <w:right w:val="single" w:color="000000" w:sz="4" w:space="0"/>
            </w:tcBorders>
            <w:vAlign w:val="center"/>
          </w:tcPr>
          <w:p w14:paraId="07C1AFA8">
            <w:pPr>
              <w:adjustRightInd w:val="0"/>
              <w:snapToGrid w:val="0"/>
              <w:spacing w:line="240" w:lineRule="exact"/>
              <w:jc w:val="center"/>
              <w:rPr>
                <w:color w:val="auto"/>
                <w:sz w:val="18"/>
                <w:szCs w:val="18"/>
              </w:rPr>
            </w:pPr>
            <w:r>
              <w:rPr>
                <w:color w:val="auto"/>
                <w:sz w:val="18"/>
                <w:szCs w:val="18"/>
              </w:rPr>
              <w:t>密实</w:t>
            </w:r>
          </w:p>
        </w:tc>
        <w:tc>
          <w:tcPr>
            <w:tcW w:w="2448" w:type="dxa"/>
            <w:tcBorders>
              <w:left w:val="single" w:color="000000" w:sz="4" w:space="0"/>
              <w:right w:val="single" w:color="000000" w:sz="4" w:space="0"/>
            </w:tcBorders>
            <w:vAlign w:val="center"/>
          </w:tcPr>
          <w:p w14:paraId="41725C4C">
            <w:pPr>
              <w:adjustRightInd w:val="0"/>
              <w:snapToGrid w:val="0"/>
              <w:spacing w:line="240" w:lineRule="exact"/>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＞2.5</w:t>
            </w:r>
          </w:p>
        </w:tc>
        <w:tc>
          <w:tcPr>
            <w:tcW w:w="2547" w:type="dxa"/>
            <w:tcBorders>
              <w:left w:val="single" w:color="000000" w:sz="4" w:space="0"/>
            </w:tcBorders>
            <w:vAlign w:val="center"/>
          </w:tcPr>
          <w:p w14:paraId="23A2C8A1">
            <w:pPr>
              <w:adjustRightInd w:val="0"/>
              <w:snapToGrid w:val="0"/>
              <w:spacing w:line="240" w:lineRule="exact"/>
              <w:jc w:val="center"/>
              <w:rPr>
                <w:color w:val="auto"/>
                <w:sz w:val="18"/>
                <w:szCs w:val="18"/>
              </w:rPr>
            </w:pPr>
            <w:r>
              <w:rPr>
                <w:color w:val="auto"/>
                <w:sz w:val="18"/>
                <w:szCs w:val="18"/>
              </w:rPr>
              <w:t>25～34</w:t>
            </w:r>
          </w:p>
        </w:tc>
      </w:tr>
      <w:tr w14:paraId="30FF5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1DE3E415">
            <w:pPr>
              <w:adjustRightInd w:val="0"/>
              <w:snapToGrid w:val="0"/>
              <w:spacing w:line="240" w:lineRule="exact"/>
              <w:jc w:val="center"/>
              <w:rPr>
                <w:color w:val="auto"/>
                <w:sz w:val="18"/>
                <w:szCs w:val="18"/>
              </w:rPr>
            </w:pPr>
            <w:r>
              <w:rPr>
                <w:color w:val="auto"/>
                <w:sz w:val="18"/>
                <w:szCs w:val="18"/>
              </w:rPr>
              <w:t>粉细砂</w:t>
            </w:r>
          </w:p>
        </w:tc>
        <w:tc>
          <w:tcPr>
            <w:tcW w:w="1438" w:type="dxa"/>
            <w:tcBorders>
              <w:right w:val="single" w:color="auto" w:sz="4" w:space="0"/>
            </w:tcBorders>
            <w:vAlign w:val="center"/>
          </w:tcPr>
          <w:p w14:paraId="674FC7D7">
            <w:pPr>
              <w:adjustRightInd w:val="0"/>
              <w:snapToGrid w:val="0"/>
              <w:spacing w:line="240" w:lineRule="exact"/>
              <w:jc w:val="center"/>
              <w:rPr>
                <w:color w:val="auto"/>
                <w:sz w:val="18"/>
                <w:szCs w:val="18"/>
              </w:rPr>
            </w:pPr>
            <w:r>
              <w:rPr>
                <w:color w:val="auto"/>
                <w:sz w:val="18"/>
                <w:szCs w:val="18"/>
              </w:rPr>
              <w:t>稍密</w:t>
            </w:r>
          </w:p>
        </w:tc>
        <w:tc>
          <w:tcPr>
            <w:tcW w:w="2448" w:type="dxa"/>
            <w:tcBorders>
              <w:left w:val="single" w:color="auto" w:sz="4" w:space="0"/>
            </w:tcBorders>
            <w:vAlign w:val="center"/>
          </w:tcPr>
          <w:p w14:paraId="0213B4A1">
            <w:pPr>
              <w:adjustRightInd w:val="0"/>
              <w:snapToGrid w:val="0"/>
              <w:spacing w:line="240" w:lineRule="exact"/>
              <w:jc w:val="center"/>
              <w:rPr>
                <w:color w:val="auto"/>
                <w:sz w:val="18"/>
                <w:szCs w:val="18"/>
              </w:rPr>
            </w:pPr>
            <w:r>
              <w:rPr>
                <w:color w:val="auto"/>
                <w:sz w:val="18"/>
                <w:szCs w:val="18"/>
              </w:rPr>
              <w:t>10＜</w:t>
            </w:r>
            <w:r>
              <w:rPr>
                <w:i/>
                <w:iCs/>
                <w:color w:val="auto"/>
                <w:sz w:val="18"/>
                <w:szCs w:val="18"/>
              </w:rPr>
              <w:t>N</w:t>
            </w:r>
            <w:r>
              <w:rPr>
                <w:color w:val="auto"/>
                <w:sz w:val="18"/>
                <w:szCs w:val="18"/>
              </w:rPr>
              <w:t>≤15</w:t>
            </w:r>
          </w:p>
        </w:tc>
        <w:tc>
          <w:tcPr>
            <w:tcW w:w="2547" w:type="dxa"/>
            <w:vAlign w:val="center"/>
          </w:tcPr>
          <w:p w14:paraId="559FE53E">
            <w:pPr>
              <w:adjustRightInd w:val="0"/>
              <w:snapToGrid w:val="0"/>
              <w:spacing w:line="240" w:lineRule="exact"/>
              <w:jc w:val="center"/>
              <w:rPr>
                <w:color w:val="auto"/>
                <w:sz w:val="18"/>
                <w:szCs w:val="18"/>
              </w:rPr>
            </w:pPr>
            <w:r>
              <w:rPr>
                <w:color w:val="auto"/>
                <w:sz w:val="18"/>
                <w:szCs w:val="18"/>
              </w:rPr>
              <w:t>15～20</w:t>
            </w:r>
          </w:p>
        </w:tc>
      </w:tr>
      <w:tr w14:paraId="3543F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61790525">
            <w:pPr>
              <w:adjustRightInd w:val="0"/>
              <w:snapToGrid w:val="0"/>
              <w:spacing w:line="240" w:lineRule="exact"/>
              <w:jc w:val="center"/>
              <w:rPr>
                <w:color w:val="auto"/>
                <w:sz w:val="18"/>
                <w:szCs w:val="18"/>
              </w:rPr>
            </w:pPr>
          </w:p>
        </w:tc>
        <w:tc>
          <w:tcPr>
            <w:tcW w:w="1438" w:type="dxa"/>
            <w:tcBorders>
              <w:right w:val="single" w:color="auto" w:sz="4" w:space="0"/>
            </w:tcBorders>
            <w:vAlign w:val="center"/>
          </w:tcPr>
          <w:p w14:paraId="23C14C86">
            <w:pPr>
              <w:adjustRightInd w:val="0"/>
              <w:snapToGrid w:val="0"/>
              <w:spacing w:line="240" w:lineRule="exact"/>
              <w:jc w:val="center"/>
              <w:rPr>
                <w:color w:val="auto"/>
                <w:sz w:val="18"/>
                <w:szCs w:val="18"/>
              </w:rPr>
            </w:pPr>
            <w:r>
              <w:rPr>
                <w:color w:val="auto"/>
                <w:sz w:val="18"/>
                <w:szCs w:val="18"/>
              </w:rPr>
              <w:t>中密</w:t>
            </w:r>
          </w:p>
        </w:tc>
        <w:tc>
          <w:tcPr>
            <w:tcW w:w="2448" w:type="dxa"/>
            <w:tcBorders>
              <w:left w:val="single" w:color="auto" w:sz="4" w:space="0"/>
            </w:tcBorders>
            <w:vAlign w:val="center"/>
          </w:tcPr>
          <w:p w14:paraId="4ABD925C">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47" w:type="dxa"/>
            <w:vAlign w:val="center"/>
          </w:tcPr>
          <w:p w14:paraId="06F31F81">
            <w:pPr>
              <w:adjustRightInd w:val="0"/>
              <w:snapToGrid w:val="0"/>
              <w:spacing w:line="240" w:lineRule="exact"/>
              <w:jc w:val="center"/>
              <w:rPr>
                <w:color w:val="auto"/>
                <w:sz w:val="18"/>
                <w:szCs w:val="18"/>
              </w:rPr>
            </w:pPr>
            <w:r>
              <w:rPr>
                <w:color w:val="auto"/>
                <w:sz w:val="18"/>
                <w:szCs w:val="18"/>
              </w:rPr>
              <w:t>20～25</w:t>
            </w:r>
          </w:p>
        </w:tc>
      </w:tr>
      <w:tr w14:paraId="548F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5E21E2D5">
            <w:pPr>
              <w:adjustRightInd w:val="0"/>
              <w:snapToGrid w:val="0"/>
              <w:spacing w:line="240" w:lineRule="exact"/>
              <w:jc w:val="center"/>
              <w:rPr>
                <w:color w:val="auto"/>
                <w:sz w:val="18"/>
                <w:szCs w:val="18"/>
              </w:rPr>
            </w:pPr>
          </w:p>
        </w:tc>
        <w:tc>
          <w:tcPr>
            <w:tcW w:w="1438" w:type="dxa"/>
            <w:tcBorders>
              <w:right w:val="single" w:color="auto" w:sz="4" w:space="0"/>
            </w:tcBorders>
            <w:vAlign w:val="center"/>
          </w:tcPr>
          <w:p w14:paraId="7C00CCB0">
            <w:pPr>
              <w:adjustRightInd w:val="0"/>
              <w:snapToGrid w:val="0"/>
              <w:spacing w:line="240" w:lineRule="exact"/>
              <w:jc w:val="center"/>
              <w:rPr>
                <w:color w:val="auto"/>
                <w:sz w:val="18"/>
                <w:szCs w:val="18"/>
              </w:rPr>
            </w:pPr>
            <w:r>
              <w:rPr>
                <w:color w:val="auto"/>
                <w:sz w:val="18"/>
                <w:szCs w:val="18"/>
              </w:rPr>
              <w:t>密实</w:t>
            </w:r>
          </w:p>
        </w:tc>
        <w:tc>
          <w:tcPr>
            <w:tcW w:w="2448" w:type="dxa"/>
            <w:tcBorders>
              <w:left w:val="single" w:color="auto" w:sz="4" w:space="0"/>
            </w:tcBorders>
            <w:vAlign w:val="center"/>
          </w:tcPr>
          <w:p w14:paraId="5E9E756C">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47" w:type="dxa"/>
            <w:vAlign w:val="center"/>
          </w:tcPr>
          <w:p w14:paraId="1F817464">
            <w:pPr>
              <w:adjustRightInd w:val="0"/>
              <w:snapToGrid w:val="0"/>
              <w:spacing w:line="240" w:lineRule="exact"/>
              <w:jc w:val="center"/>
              <w:rPr>
                <w:color w:val="auto"/>
                <w:sz w:val="18"/>
                <w:szCs w:val="18"/>
              </w:rPr>
            </w:pPr>
            <w:r>
              <w:rPr>
                <w:color w:val="auto"/>
                <w:sz w:val="18"/>
                <w:szCs w:val="18"/>
              </w:rPr>
              <w:t>25～38</w:t>
            </w:r>
          </w:p>
        </w:tc>
      </w:tr>
      <w:tr w14:paraId="5F956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1F310215">
            <w:pPr>
              <w:adjustRightInd w:val="0"/>
              <w:snapToGrid w:val="0"/>
              <w:spacing w:line="240" w:lineRule="exact"/>
              <w:jc w:val="center"/>
              <w:rPr>
                <w:color w:val="auto"/>
                <w:sz w:val="18"/>
                <w:szCs w:val="18"/>
              </w:rPr>
            </w:pPr>
            <w:r>
              <w:rPr>
                <w:color w:val="auto"/>
                <w:sz w:val="18"/>
                <w:szCs w:val="18"/>
              </w:rPr>
              <w:t>中砂</w:t>
            </w:r>
          </w:p>
        </w:tc>
        <w:tc>
          <w:tcPr>
            <w:tcW w:w="1438" w:type="dxa"/>
            <w:tcBorders>
              <w:right w:val="single" w:color="auto" w:sz="4" w:space="0"/>
            </w:tcBorders>
            <w:vAlign w:val="center"/>
          </w:tcPr>
          <w:p w14:paraId="3D178D38">
            <w:pPr>
              <w:adjustRightInd w:val="0"/>
              <w:snapToGrid w:val="0"/>
              <w:spacing w:line="240" w:lineRule="exact"/>
              <w:jc w:val="center"/>
              <w:rPr>
                <w:color w:val="auto"/>
                <w:sz w:val="18"/>
                <w:szCs w:val="18"/>
              </w:rPr>
            </w:pPr>
            <w:r>
              <w:rPr>
                <w:color w:val="auto"/>
                <w:sz w:val="18"/>
                <w:szCs w:val="18"/>
              </w:rPr>
              <w:t>中密</w:t>
            </w:r>
          </w:p>
        </w:tc>
        <w:tc>
          <w:tcPr>
            <w:tcW w:w="2448" w:type="dxa"/>
            <w:tcBorders>
              <w:left w:val="single" w:color="auto" w:sz="4" w:space="0"/>
            </w:tcBorders>
            <w:vAlign w:val="center"/>
          </w:tcPr>
          <w:p w14:paraId="3B4B0DB3">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47" w:type="dxa"/>
            <w:vAlign w:val="center"/>
          </w:tcPr>
          <w:p w14:paraId="3532F692">
            <w:pPr>
              <w:adjustRightInd w:val="0"/>
              <w:snapToGrid w:val="0"/>
              <w:spacing w:line="240" w:lineRule="exact"/>
              <w:jc w:val="center"/>
              <w:rPr>
                <w:color w:val="auto"/>
                <w:sz w:val="18"/>
                <w:szCs w:val="18"/>
              </w:rPr>
            </w:pPr>
            <w:r>
              <w:rPr>
                <w:color w:val="auto"/>
                <w:sz w:val="18"/>
                <w:szCs w:val="18"/>
              </w:rPr>
              <w:t>21～29</w:t>
            </w:r>
          </w:p>
        </w:tc>
      </w:tr>
      <w:tr w14:paraId="10846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18F109A9">
            <w:pPr>
              <w:adjustRightInd w:val="0"/>
              <w:snapToGrid w:val="0"/>
              <w:spacing w:line="240" w:lineRule="exact"/>
              <w:jc w:val="center"/>
              <w:rPr>
                <w:color w:val="auto"/>
                <w:sz w:val="18"/>
                <w:szCs w:val="18"/>
              </w:rPr>
            </w:pPr>
          </w:p>
        </w:tc>
        <w:tc>
          <w:tcPr>
            <w:tcW w:w="1438" w:type="dxa"/>
            <w:tcBorders>
              <w:right w:val="single" w:color="auto" w:sz="4" w:space="0"/>
            </w:tcBorders>
            <w:vAlign w:val="center"/>
          </w:tcPr>
          <w:p w14:paraId="0DB04203">
            <w:pPr>
              <w:adjustRightInd w:val="0"/>
              <w:snapToGrid w:val="0"/>
              <w:spacing w:line="240" w:lineRule="exact"/>
              <w:jc w:val="center"/>
              <w:rPr>
                <w:color w:val="auto"/>
                <w:sz w:val="18"/>
                <w:szCs w:val="18"/>
              </w:rPr>
            </w:pPr>
            <w:r>
              <w:rPr>
                <w:color w:val="auto"/>
                <w:sz w:val="18"/>
                <w:szCs w:val="18"/>
              </w:rPr>
              <w:t>密实</w:t>
            </w:r>
          </w:p>
        </w:tc>
        <w:tc>
          <w:tcPr>
            <w:tcW w:w="2448" w:type="dxa"/>
            <w:tcBorders>
              <w:left w:val="single" w:color="auto" w:sz="4" w:space="0"/>
            </w:tcBorders>
            <w:vAlign w:val="center"/>
          </w:tcPr>
          <w:p w14:paraId="2DD00437">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47" w:type="dxa"/>
            <w:vAlign w:val="center"/>
          </w:tcPr>
          <w:p w14:paraId="7947E072">
            <w:pPr>
              <w:adjustRightInd w:val="0"/>
              <w:snapToGrid w:val="0"/>
              <w:spacing w:line="240" w:lineRule="exact"/>
              <w:jc w:val="center"/>
              <w:rPr>
                <w:color w:val="auto"/>
                <w:sz w:val="18"/>
                <w:szCs w:val="18"/>
              </w:rPr>
            </w:pPr>
            <w:r>
              <w:rPr>
                <w:color w:val="auto"/>
                <w:sz w:val="18"/>
                <w:szCs w:val="18"/>
              </w:rPr>
              <w:t>29～38</w:t>
            </w:r>
          </w:p>
        </w:tc>
      </w:tr>
      <w:tr w14:paraId="0CE66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restart"/>
            <w:vAlign w:val="center"/>
          </w:tcPr>
          <w:p w14:paraId="338F9E57">
            <w:pPr>
              <w:adjustRightInd w:val="0"/>
              <w:snapToGrid w:val="0"/>
              <w:spacing w:line="240" w:lineRule="exact"/>
              <w:jc w:val="center"/>
              <w:rPr>
                <w:color w:val="auto"/>
                <w:sz w:val="18"/>
                <w:szCs w:val="18"/>
              </w:rPr>
            </w:pPr>
            <w:r>
              <w:rPr>
                <w:color w:val="auto"/>
                <w:sz w:val="18"/>
                <w:szCs w:val="18"/>
              </w:rPr>
              <w:t>粗砂</w:t>
            </w:r>
          </w:p>
        </w:tc>
        <w:tc>
          <w:tcPr>
            <w:tcW w:w="1438" w:type="dxa"/>
            <w:tcBorders>
              <w:right w:val="single" w:color="auto" w:sz="4" w:space="0"/>
            </w:tcBorders>
            <w:vAlign w:val="center"/>
          </w:tcPr>
          <w:p w14:paraId="74973D54">
            <w:pPr>
              <w:adjustRightInd w:val="0"/>
              <w:snapToGrid w:val="0"/>
              <w:spacing w:line="240" w:lineRule="exact"/>
              <w:jc w:val="center"/>
              <w:rPr>
                <w:color w:val="auto"/>
                <w:sz w:val="18"/>
                <w:szCs w:val="18"/>
              </w:rPr>
            </w:pPr>
            <w:r>
              <w:rPr>
                <w:color w:val="auto"/>
                <w:sz w:val="18"/>
                <w:szCs w:val="18"/>
              </w:rPr>
              <w:t>中密</w:t>
            </w:r>
          </w:p>
        </w:tc>
        <w:tc>
          <w:tcPr>
            <w:tcW w:w="2448" w:type="dxa"/>
            <w:tcBorders>
              <w:left w:val="single" w:color="auto" w:sz="4" w:space="0"/>
            </w:tcBorders>
            <w:vAlign w:val="center"/>
          </w:tcPr>
          <w:p w14:paraId="18239D52">
            <w:pPr>
              <w:adjustRightInd w:val="0"/>
              <w:snapToGrid w:val="0"/>
              <w:spacing w:line="240" w:lineRule="exact"/>
              <w:jc w:val="center"/>
              <w:rPr>
                <w:color w:val="auto"/>
                <w:sz w:val="18"/>
                <w:szCs w:val="18"/>
              </w:rPr>
            </w:pPr>
            <w:r>
              <w:rPr>
                <w:color w:val="auto"/>
                <w:sz w:val="18"/>
                <w:szCs w:val="18"/>
              </w:rPr>
              <w:t>15＜</w:t>
            </w:r>
            <w:r>
              <w:rPr>
                <w:i/>
                <w:iCs/>
                <w:color w:val="auto"/>
                <w:sz w:val="18"/>
                <w:szCs w:val="18"/>
              </w:rPr>
              <w:t>N</w:t>
            </w:r>
            <w:r>
              <w:rPr>
                <w:color w:val="auto"/>
                <w:sz w:val="18"/>
                <w:szCs w:val="18"/>
              </w:rPr>
              <w:t>≤30</w:t>
            </w:r>
          </w:p>
        </w:tc>
        <w:tc>
          <w:tcPr>
            <w:tcW w:w="2547" w:type="dxa"/>
            <w:vAlign w:val="center"/>
          </w:tcPr>
          <w:p w14:paraId="6390E557">
            <w:pPr>
              <w:adjustRightInd w:val="0"/>
              <w:snapToGrid w:val="0"/>
              <w:spacing w:line="240" w:lineRule="exact"/>
              <w:jc w:val="center"/>
              <w:rPr>
                <w:color w:val="auto"/>
                <w:sz w:val="18"/>
                <w:szCs w:val="18"/>
              </w:rPr>
            </w:pPr>
            <w:r>
              <w:rPr>
                <w:color w:val="auto"/>
                <w:sz w:val="18"/>
                <w:szCs w:val="18"/>
              </w:rPr>
              <w:t>29～38</w:t>
            </w:r>
          </w:p>
        </w:tc>
      </w:tr>
      <w:tr w14:paraId="691A42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Merge w:val="continue"/>
            <w:vAlign w:val="center"/>
          </w:tcPr>
          <w:p w14:paraId="69D9D123">
            <w:pPr>
              <w:adjustRightInd w:val="0"/>
              <w:snapToGrid w:val="0"/>
              <w:spacing w:line="240" w:lineRule="exact"/>
              <w:jc w:val="center"/>
              <w:rPr>
                <w:color w:val="auto"/>
                <w:sz w:val="18"/>
                <w:szCs w:val="18"/>
              </w:rPr>
            </w:pPr>
          </w:p>
        </w:tc>
        <w:tc>
          <w:tcPr>
            <w:tcW w:w="1438" w:type="dxa"/>
            <w:tcBorders>
              <w:right w:val="single" w:color="auto" w:sz="4" w:space="0"/>
            </w:tcBorders>
            <w:vAlign w:val="center"/>
          </w:tcPr>
          <w:p w14:paraId="19F68115">
            <w:pPr>
              <w:adjustRightInd w:val="0"/>
              <w:snapToGrid w:val="0"/>
              <w:spacing w:line="240" w:lineRule="exact"/>
              <w:jc w:val="center"/>
              <w:rPr>
                <w:color w:val="auto"/>
                <w:sz w:val="18"/>
                <w:szCs w:val="18"/>
              </w:rPr>
            </w:pPr>
            <w:r>
              <w:rPr>
                <w:color w:val="auto"/>
                <w:sz w:val="18"/>
                <w:szCs w:val="18"/>
              </w:rPr>
              <w:t>密实</w:t>
            </w:r>
          </w:p>
        </w:tc>
        <w:tc>
          <w:tcPr>
            <w:tcW w:w="2448" w:type="dxa"/>
            <w:tcBorders>
              <w:left w:val="single" w:color="auto" w:sz="4" w:space="0"/>
            </w:tcBorders>
            <w:vAlign w:val="center"/>
          </w:tcPr>
          <w:p w14:paraId="20661323">
            <w:pPr>
              <w:adjustRightInd w:val="0"/>
              <w:snapToGrid w:val="0"/>
              <w:spacing w:line="240" w:lineRule="exact"/>
              <w:jc w:val="center"/>
              <w:rPr>
                <w:color w:val="auto"/>
                <w:sz w:val="18"/>
                <w:szCs w:val="18"/>
              </w:rPr>
            </w:pPr>
            <w:r>
              <w:rPr>
                <w:i/>
                <w:iCs/>
                <w:color w:val="auto"/>
                <w:sz w:val="18"/>
                <w:szCs w:val="18"/>
              </w:rPr>
              <w:t>N</w:t>
            </w:r>
            <w:r>
              <w:rPr>
                <w:color w:val="auto"/>
                <w:sz w:val="18"/>
                <w:szCs w:val="18"/>
              </w:rPr>
              <w:t>＞30</w:t>
            </w:r>
          </w:p>
        </w:tc>
        <w:tc>
          <w:tcPr>
            <w:tcW w:w="2547" w:type="dxa"/>
            <w:vAlign w:val="center"/>
          </w:tcPr>
          <w:p w14:paraId="2953A351">
            <w:pPr>
              <w:adjustRightInd w:val="0"/>
              <w:snapToGrid w:val="0"/>
              <w:spacing w:line="240" w:lineRule="exact"/>
              <w:jc w:val="center"/>
              <w:rPr>
                <w:color w:val="auto"/>
                <w:sz w:val="18"/>
                <w:szCs w:val="18"/>
              </w:rPr>
            </w:pPr>
            <w:r>
              <w:rPr>
                <w:color w:val="auto"/>
                <w:sz w:val="18"/>
                <w:szCs w:val="18"/>
              </w:rPr>
              <w:t>38～46</w:t>
            </w:r>
          </w:p>
        </w:tc>
      </w:tr>
      <w:tr w14:paraId="6332B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07" w:type="dxa"/>
            <w:vAlign w:val="center"/>
          </w:tcPr>
          <w:p w14:paraId="58763C6C">
            <w:pPr>
              <w:adjustRightInd w:val="0"/>
              <w:snapToGrid w:val="0"/>
              <w:spacing w:line="240" w:lineRule="exact"/>
              <w:jc w:val="center"/>
              <w:rPr>
                <w:color w:val="auto"/>
                <w:sz w:val="18"/>
                <w:szCs w:val="18"/>
              </w:rPr>
            </w:pPr>
            <w:r>
              <w:rPr>
                <w:color w:val="auto"/>
                <w:sz w:val="18"/>
                <w:szCs w:val="18"/>
              </w:rPr>
              <w:t>砾砂</w:t>
            </w:r>
          </w:p>
        </w:tc>
        <w:tc>
          <w:tcPr>
            <w:tcW w:w="1438" w:type="dxa"/>
            <w:tcBorders>
              <w:right w:val="single" w:color="auto" w:sz="4" w:space="0"/>
            </w:tcBorders>
            <w:vAlign w:val="center"/>
          </w:tcPr>
          <w:p w14:paraId="16B5C24B">
            <w:pPr>
              <w:adjustRightInd w:val="0"/>
              <w:snapToGrid w:val="0"/>
              <w:spacing w:line="240" w:lineRule="exact"/>
              <w:jc w:val="center"/>
              <w:rPr>
                <w:color w:val="auto"/>
                <w:sz w:val="18"/>
                <w:szCs w:val="18"/>
              </w:rPr>
            </w:pPr>
            <w:r>
              <w:rPr>
                <w:color w:val="auto"/>
                <w:sz w:val="18"/>
                <w:szCs w:val="18"/>
              </w:rPr>
              <w:t>中密（密实）</w:t>
            </w:r>
          </w:p>
        </w:tc>
        <w:tc>
          <w:tcPr>
            <w:tcW w:w="2448" w:type="dxa"/>
            <w:tcBorders>
              <w:left w:val="single" w:color="auto" w:sz="4" w:space="0"/>
            </w:tcBorders>
            <w:vAlign w:val="center"/>
          </w:tcPr>
          <w:p w14:paraId="3221703C">
            <w:pPr>
              <w:adjustRightInd w:val="0"/>
              <w:snapToGrid w:val="0"/>
              <w:spacing w:line="240" w:lineRule="exact"/>
              <w:jc w:val="center"/>
              <w:rPr>
                <w:i/>
                <w:iCs/>
                <w:color w:val="auto"/>
                <w:sz w:val="18"/>
                <w:szCs w:val="18"/>
              </w:rPr>
            </w:pPr>
            <w:r>
              <w:rPr>
                <w:color w:val="auto"/>
                <w:sz w:val="18"/>
                <w:szCs w:val="18"/>
              </w:rPr>
              <w:t>15＜</w:t>
            </w:r>
            <w:r>
              <w:rPr>
                <w:i/>
                <w:iCs/>
                <w:color w:val="auto"/>
                <w:sz w:val="18"/>
                <w:szCs w:val="18"/>
              </w:rPr>
              <w:t>N</w:t>
            </w:r>
            <w:r>
              <w:rPr>
                <w:iCs/>
                <w:color w:val="auto"/>
                <w:sz w:val="18"/>
                <w:szCs w:val="18"/>
                <w:vertAlign w:val="subscript"/>
              </w:rPr>
              <w:t>63.5</w:t>
            </w:r>
          </w:p>
        </w:tc>
        <w:tc>
          <w:tcPr>
            <w:tcW w:w="2547" w:type="dxa"/>
            <w:vAlign w:val="center"/>
          </w:tcPr>
          <w:p w14:paraId="54C90415">
            <w:pPr>
              <w:adjustRightInd w:val="0"/>
              <w:snapToGrid w:val="0"/>
              <w:spacing w:line="240" w:lineRule="exact"/>
              <w:jc w:val="center"/>
              <w:rPr>
                <w:color w:val="auto"/>
                <w:sz w:val="18"/>
                <w:szCs w:val="18"/>
              </w:rPr>
            </w:pPr>
            <w:r>
              <w:rPr>
                <w:color w:val="auto"/>
                <w:sz w:val="18"/>
                <w:szCs w:val="18"/>
              </w:rPr>
              <w:t>46～55</w:t>
            </w:r>
          </w:p>
        </w:tc>
      </w:tr>
    </w:tbl>
    <w:p w14:paraId="47D3B8AC">
      <w:pPr>
        <w:adjustRightInd w:val="0"/>
        <w:snapToGrid w:val="0"/>
        <w:spacing w:before="156" w:beforeLines="50" w:line="360" w:lineRule="atLeast"/>
        <w:ind w:right="-29"/>
        <w:jc w:val="center"/>
        <w:rPr>
          <w:b/>
          <w:color w:val="auto"/>
        </w:rPr>
      </w:pPr>
    </w:p>
    <w:p w14:paraId="097F8A54">
      <w:pPr>
        <w:adjustRightInd w:val="0"/>
        <w:snapToGrid w:val="0"/>
        <w:spacing w:before="156" w:beforeLines="50" w:line="360" w:lineRule="atLeast"/>
        <w:ind w:right="-29"/>
        <w:jc w:val="center"/>
        <w:rPr>
          <w:rFonts w:eastAsia="黑体"/>
          <w:b/>
          <w:color w:val="auto"/>
          <w:sz w:val="18"/>
          <w:szCs w:val="18"/>
        </w:rPr>
      </w:pPr>
      <w:r>
        <w:rPr>
          <w:rFonts w:hint="eastAsia"/>
          <w:b/>
          <w:color w:val="auto"/>
        </w:rPr>
        <w:t xml:space="preserve">                 </w:t>
      </w:r>
      <w:r>
        <w:rPr>
          <w:rFonts w:eastAsia="黑体"/>
          <w:b/>
          <w:color w:val="auto"/>
          <w:szCs w:val="21"/>
        </w:rPr>
        <w:t>表F.4  沉管灌注桩桩端阻力特征值</w:t>
      </w:r>
      <w:r>
        <w:rPr>
          <w:rFonts w:eastAsia="黑体"/>
          <w:b/>
          <w:i/>
          <w:color w:val="auto"/>
          <w:szCs w:val="21"/>
        </w:rPr>
        <w:t>q</w:t>
      </w:r>
      <w:r>
        <w:rPr>
          <w:rFonts w:eastAsia="黑体"/>
          <w:b/>
          <w:iCs/>
          <w:color w:val="auto"/>
          <w:szCs w:val="21"/>
          <w:vertAlign w:val="subscript"/>
        </w:rPr>
        <w:t>pa</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92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20"/>
        <w:gridCol w:w="1911"/>
        <w:gridCol w:w="1747"/>
        <w:gridCol w:w="1748"/>
        <w:gridCol w:w="2282"/>
      </w:tblGrid>
      <w:tr w14:paraId="396EE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restart"/>
            <w:vAlign w:val="center"/>
          </w:tcPr>
          <w:p w14:paraId="216838A7">
            <w:pPr>
              <w:pStyle w:val="24"/>
              <w:pBdr>
                <w:bottom w:val="none" w:color="auto" w:sz="0" w:space="0"/>
              </w:pBdr>
              <w:tabs>
                <w:tab w:val="clear" w:pos="4153"/>
                <w:tab w:val="clear" w:pos="8306"/>
              </w:tabs>
              <w:adjustRightInd w:val="0"/>
              <w:spacing w:line="240" w:lineRule="exact"/>
              <w:rPr>
                <w:color w:val="auto"/>
              </w:rPr>
            </w:pPr>
            <w:r>
              <w:rPr>
                <w:color w:val="auto"/>
              </w:rPr>
              <w:t>土的名称</w:t>
            </w:r>
          </w:p>
        </w:tc>
        <w:tc>
          <w:tcPr>
            <w:tcW w:w="1911" w:type="dxa"/>
            <w:vMerge w:val="restart"/>
            <w:vAlign w:val="center"/>
          </w:tcPr>
          <w:p w14:paraId="4BFD72C5">
            <w:pPr>
              <w:adjustRightInd w:val="0"/>
              <w:snapToGrid w:val="0"/>
              <w:spacing w:line="240" w:lineRule="exact"/>
              <w:jc w:val="center"/>
              <w:rPr>
                <w:color w:val="auto"/>
                <w:sz w:val="18"/>
                <w:szCs w:val="18"/>
              </w:rPr>
            </w:pPr>
            <w:r>
              <w:rPr>
                <w:color w:val="auto"/>
                <w:sz w:val="18"/>
                <w:szCs w:val="18"/>
              </w:rPr>
              <w:t>土的状态及</w:t>
            </w:r>
            <w:r>
              <w:rPr>
                <w:i/>
                <w:color w:val="auto"/>
                <w:sz w:val="18"/>
                <w:szCs w:val="18"/>
              </w:rPr>
              <w:t>N</w:t>
            </w:r>
            <w:r>
              <w:rPr>
                <w:color w:val="auto"/>
                <w:sz w:val="18"/>
                <w:szCs w:val="18"/>
              </w:rPr>
              <w:t>、</w:t>
            </w:r>
            <w:r>
              <w:rPr>
                <w:i/>
                <w:iCs/>
                <w:color w:val="auto"/>
                <w:sz w:val="18"/>
                <w:szCs w:val="18"/>
              </w:rPr>
              <w:t>N</w:t>
            </w:r>
            <w:r>
              <w:rPr>
                <w:iCs/>
                <w:color w:val="auto"/>
                <w:sz w:val="18"/>
                <w:szCs w:val="18"/>
                <w:vertAlign w:val="subscript"/>
              </w:rPr>
              <w:t>63.5</w:t>
            </w:r>
            <w:r>
              <w:rPr>
                <w:rFonts w:hint="eastAsia"/>
                <w:iCs/>
                <w:color w:val="auto"/>
                <w:sz w:val="18"/>
                <w:szCs w:val="18"/>
              </w:rPr>
              <w:t>、</w:t>
            </w:r>
          </w:p>
          <w:p w14:paraId="21E86915">
            <w:pPr>
              <w:adjustRightInd w:val="0"/>
              <w:snapToGrid w:val="0"/>
              <w:spacing w:line="240" w:lineRule="exact"/>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（MPa）值</w:t>
            </w:r>
          </w:p>
        </w:tc>
        <w:tc>
          <w:tcPr>
            <w:tcW w:w="5777" w:type="dxa"/>
            <w:gridSpan w:val="3"/>
            <w:vAlign w:val="center"/>
          </w:tcPr>
          <w:p w14:paraId="4A8AB53E">
            <w:pPr>
              <w:adjustRightInd w:val="0"/>
              <w:snapToGrid w:val="0"/>
              <w:spacing w:line="240" w:lineRule="exact"/>
              <w:ind w:left="228"/>
              <w:jc w:val="center"/>
              <w:rPr>
                <w:color w:val="auto"/>
                <w:sz w:val="18"/>
                <w:szCs w:val="18"/>
              </w:rPr>
            </w:pPr>
            <w:r>
              <w:rPr>
                <w:color w:val="auto"/>
                <w:sz w:val="18"/>
                <w:szCs w:val="18"/>
              </w:rPr>
              <w:t>桩入土深度（m）</w:t>
            </w:r>
          </w:p>
        </w:tc>
      </w:tr>
      <w:tr w14:paraId="2990A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6CCD2561">
            <w:pPr>
              <w:adjustRightInd w:val="0"/>
              <w:snapToGrid w:val="0"/>
              <w:spacing w:line="240" w:lineRule="exact"/>
              <w:ind w:left="228"/>
              <w:jc w:val="center"/>
              <w:rPr>
                <w:color w:val="auto"/>
                <w:sz w:val="18"/>
                <w:szCs w:val="18"/>
              </w:rPr>
            </w:pPr>
          </w:p>
        </w:tc>
        <w:tc>
          <w:tcPr>
            <w:tcW w:w="1911" w:type="dxa"/>
            <w:vMerge w:val="continue"/>
            <w:vAlign w:val="center"/>
          </w:tcPr>
          <w:p w14:paraId="1CCDA2EC">
            <w:pPr>
              <w:adjustRightInd w:val="0"/>
              <w:snapToGrid w:val="0"/>
              <w:spacing w:line="240" w:lineRule="exact"/>
              <w:ind w:left="228"/>
              <w:jc w:val="center"/>
              <w:rPr>
                <w:color w:val="auto"/>
                <w:sz w:val="18"/>
                <w:szCs w:val="18"/>
              </w:rPr>
            </w:pPr>
          </w:p>
        </w:tc>
        <w:tc>
          <w:tcPr>
            <w:tcW w:w="1747" w:type="dxa"/>
            <w:vAlign w:val="center"/>
          </w:tcPr>
          <w:p w14:paraId="148261B4">
            <w:pPr>
              <w:adjustRightInd w:val="0"/>
              <w:snapToGrid w:val="0"/>
              <w:spacing w:line="240" w:lineRule="exact"/>
              <w:jc w:val="center"/>
              <w:rPr>
                <w:color w:val="auto"/>
                <w:sz w:val="18"/>
                <w:szCs w:val="18"/>
              </w:rPr>
            </w:pPr>
            <w:r>
              <w:rPr>
                <w:color w:val="auto"/>
                <w:sz w:val="18"/>
                <w:szCs w:val="18"/>
              </w:rPr>
              <w:t>5≤</w:t>
            </w:r>
            <w:r>
              <w:rPr>
                <w:i/>
                <w:color w:val="auto"/>
                <w:sz w:val="18"/>
                <w:szCs w:val="18"/>
              </w:rPr>
              <w:t>h</w:t>
            </w:r>
            <w:r>
              <w:rPr>
                <w:color w:val="auto"/>
                <w:sz w:val="18"/>
                <w:szCs w:val="18"/>
              </w:rPr>
              <w:t>≤10</w:t>
            </w:r>
          </w:p>
        </w:tc>
        <w:tc>
          <w:tcPr>
            <w:tcW w:w="1748" w:type="dxa"/>
            <w:vAlign w:val="center"/>
          </w:tcPr>
          <w:p w14:paraId="175C848B">
            <w:pPr>
              <w:adjustRightInd w:val="0"/>
              <w:snapToGrid w:val="0"/>
              <w:spacing w:line="240" w:lineRule="exact"/>
              <w:ind w:left="-37" w:firstLine="43" w:firstLineChars="24"/>
              <w:jc w:val="center"/>
              <w:rPr>
                <w:color w:val="auto"/>
                <w:sz w:val="18"/>
                <w:szCs w:val="18"/>
              </w:rPr>
            </w:pPr>
            <w:r>
              <w:rPr>
                <w:color w:val="auto"/>
                <w:sz w:val="18"/>
                <w:szCs w:val="18"/>
              </w:rPr>
              <w:t>10＜</w:t>
            </w:r>
            <w:r>
              <w:rPr>
                <w:i/>
                <w:color w:val="auto"/>
                <w:sz w:val="18"/>
                <w:szCs w:val="18"/>
              </w:rPr>
              <w:t>h</w:t>
            </w:r>
            <w:r>
              <w:rPr>
                <w:color w:val="auto"/>
                <w:sz w:val="18"/>
                <w:szCs w:val="18"/>
              </w:rPr>
              <w:t>≤15</w:t>
            </w:r>
          </w:p>
        </w:tc>
        <w:tc>
          <w:tcPr>
            <w:tcW w:w="2280" w:type="dxa"/>
            <w:vAlign w:val="center"/>
          </w:tcPr>
          <w:p w14:paraId="1AA8C06D">
            <w:pPr>
              <w:adjustRightInd w:val="0"/>
              <w:snapToGrid w:val="0"/>
              <w:spacing w:line="240" w:lineRule="exact"/>
              <w:ind w:left="229" w:leftChars="109" w:firstLine="180" w:firstLineChars="100"/>
              <w:rPr>
                <w:color w:val="auto"/>
                <w:sz w:val="18"/>
                <w:szCs w:val="18"/>
              </w:rPr>
            </w:pPr>
            <w:r>
              <w:rPr>
                <w:i/>
                <w:color w:val="auto"/>
                <w:sz w:val="18"/>
                <w:szCs w:val="18"/>
              </w:rPr>
              <w:t>h</w:t>
            </w:r>
            <w:r>
              <w:rPr>
                <w:color w:val="auto"/>
                <w:sz w:val="18"/>
                <w:szCs w:val="18"/>
              </w:rPr>
              <w:t>＞15</w:t>
            </w:r>
          </w:p>
        </w:tc>
      </w:tr>
      <w:tr w14:paraId="0FF55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restart"/>
            <w:vAlign w:val="center"/>
          </w:tcPr>
          <w:p w14:paraId="547AA0DD">
            <w:pPr>
              <w:adjustRightInd w:val="0"/>
              <w:snapToGrid w:val="0"/>
              <w:spacing w:line="240" w:lineRule="exact"/>
              <w:jc w:val="center"/>
              <w:rPr>
                <w:color w:val="auto"/>
                <w:sz w:val="18"/>
                <w:szCs w:val="18"/>
              </w:rPr>
            </w:pPr>
            <w:r>
              <w:rPr>
                <w:color w:val="auto"/>
                <w:sz w:val="18"/>
                <w:szCs w:val="18"/>
              </w:rPr>
              <w:t>一般黏性土</w:t>
            </w:r>
          </w:p>
          <w:p w14:paraId="04B2C8A9">
            <w:pPr>
              <w:adjustRightInd w:val="0"/>
              <w:snapToGrid w:val="0"/>
              <w:spacing w:line="240" w:lineRule="exact"/>
              <w:jc w:val="center"/>
              <w:rPr>
                <w:color w:val="auto"/>
                <w:sz w:val="18"/>
                <w:szCs w:val="18"/>
              </w:rPr>
            </w:pPr>
            <w:r>
              <w:rPr>
                <w:color w:val="auto"/>
                <w:sz w:val="18"/>
                <w:szCs w:val="18"/>
              </w:rPr>
              <w:t>老黏性土</w:t>
            </w:r>
          </w:p>
        </w:tc>
        <w:tc>
          <w:tcPr>
            <w:tcW w:w="1911" w:type="dxa"/>
            <w:vAlign w:val="center"/>
          </w:tcPr>
          <w:p w14:paraId="693DEA94">
            <w:pPr>
              <w:adjustRightInd w:val="0"/>
              <w:snapToGrid w:val="0"/>
              <w:spacing w:line="240" w:lineRule="exact"/>
              <w:jc w:val="center"/>
              <w:rPr>
                <w:color w:val="auto"/>
                <w:sz w:val="18"/>
                <w:szCs w:val="18"/>
              </w:rPr>
            </w:pPr>
            <w:r>
              <w:rPr>
                <w:color w:val="auto"/>
                <w:sz w:val="18"/>
                <w:szCs w:val="18"/>
              </w:rPr>
              <w:t>0.5＜</w:t>
            </w:r>
            <w:r>
              <w:rPr>
                <w:i/>
                <w:iCs/>
                <w:color w:val="auto"/>
                <w:sz w:val="18"/>
                <w:szCs w:val="18"/>
              </w:rPr>
              <w:t>I</w:t>
            </w:r>
            <w:r>
              <w:rPr>
                <w:iCs/>
                <w:color w:val="auto"/>
                <w:sz w:val="18"/>
                <w:szCs w:val="18"/>
                <w:vertAlign w:val="subscript"/>
              </w:rPr>
              <w:t>L</w:t>
            </w:r>
            <w:r>
              <w:rPr>
                <w:color w:val="auto"/>
                <w:sz w:val="18"/>
                <w:szCs w:val="18"/>
              </w:rPr>
              <w:t>≤0.75</w:t>
            </w:r>
          </w:p>
        </w:tc>
        <w:tc>
          <w:tcPr>
            <w:tcW w:w="1747" w:type="dxa"/>
            <w:vAlign w:val="center"/>
          </w:tcPr>
          <w:p w14:paraId="6FE79FA7">
            <w:pPr>
              <w:adjustRightInd w:val="0"/>
              <w:snapToGrid w:val="0"/>
              <w:spacing w:line="240" w:lineRule="exact"/>
              <w:jc w:val="center"/>
              <w:rPr>
                <w:color w:val="auto"/>
                <w:sz w:val="18"/>
                <w:szCs w:val="18"/>
              </w:rPr>
            </w:pPr>
            <w:r>
              <w:rPr>
                <w:color w:val="auto"/>
                <w:sz w:val="18"/>
                <w:szCs w:val="18"/>
              </w:rPr>
              <w:t>300～600</w:t>
            </w:r>
          </w:p>
        </w:tc>
        <w:tc>
          <w:tcPr>
            <w:tcW w:w="1748" w:type="dxa"/>
            <w:vAlign w:val="center"/>
          </w:tcPr>
          <w:p w14:paraId="646F0388">
            <w:pPr>
              <w:adjustRightInd w:val="0"/>
              <w:snapToGrid w:val="0"/>
              <w:spacing w:line="240" w:lineRule="exact"/>
              <w:jc w:val="center"/>
              <w:rPr>
                <w:color w:val="auto"/>
                <w:sz w:val="18"/>
                <w:szCs w:val="18"/>
              </w:rPr>
            </w:pPr>
            <w:r>
              <w:rPr>
                <w:color w:val="auto"/>
                <w:sz w:val="18"/>
                <w:szCs w:val="18"/>
              </w:rPr>
              <w:t>600～700</w:t>
            </w:r>
          </w:p>
        </w:tc>
        <w:tc>
          <w:tcPr>
            <w:tcW w:w="2280" w:type="dxa"/>
            <w:vAlign w:val="center"/>
          </w:tcPr>
          <w:p w14:paraId="26D58D7A">
            <w:pPr>
              <w:adjustRightInd w:val="0"/>
              <w:snapToGrid w:val="0"/>
              <w:spacing w:line="240" w:lineRule="exact"/>
              <w:jc w:val="center"/>
              <w:rPr>
                <w:color w:val="auto"/>
                <w:sz w:val="18"/>
                <w:szCs w:val="18"/>
              </w:rPr>
            </w:pPr>
            <w:r>
              <w:rPr>
                <w:color w:val="auto"/>
                <w:sz w:val="18"/>
                <w:szCs w:val="18"/>
              </w:rPr>
              <w:t>700～900</w:t>
            </w:r>
          </w:p>
        </w:tc>
      </w:tr>
      <w:tr w14:paraId="696DD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728EFC82">
            <w:pPr>
              <w:adjustRightInd w:val="0"/>
              <w:snapToGrid w:val="0"/>
              <w:spacing w:line="240" w:lineRule="exact"/>
              <w:jc w:val="center"/>
              <w:rPr>
                <w:color w:val="auto"/>
                <w:sz w:val="18"/>
                <w:szCs w:val="18"/>
              </w:rPr>
            </w:pPr>
          </w:p>
        </w:tc>
        <w:tc>
          <w:tcPr>
            <w:tcW w:w="1911" w:type="dxa"/>
            <w:vAlign w:val="center"/>
          </w:tcPr>
          <w:p w14:paraId="2473E32B">
            <w:pPr>
              <w:adjustRightInd w:val="0"/>
              <w:snapToGrid w:val="0"/>
              <w:spacing w:line="240" w:lineRule="exact"/>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w:t>
            </w:r>
          </w:p>
        </w:tc>
        <w:tc>
          <w:tcPr>
            <w:tcW w:w="1747" w:type="dxa"/>
            <w:vAlign w:val="center"/>
          </w:tcPr>
          <w:p w14:paraId="6C9C6AE7">
            <w:pPr>
              <w:adjustRightInd w:val="0"/>
              <w:snapToGrid w:val="0"/>
              <w:spacing w:line="240" w:lineRule="exact"/>
              <w:jc w:val="center"/>
              <w:rPr>
                <w:color w:val="auto"/>
                <w:sz w:val="18"/>
                <w:szCs w:val="18"/>
              </w:rPr>
            </w:pPr>
            <w:r>
              <w:rPr>
                <w:color w:val="auto"/>
                <w:sz w:val="18"/>
                <w:szCs w:val="18"/>
              </w:rPr>
              <w:t>600～800</w:t>
            </w:r>
          </w:p>
        </w:tc>
        <w:tc>
          <w:tcPr>
            <w:tcW w:w="1748" w:type="dxa"/>
            <w:vAlign w:val="center"/>
          </w:tcPr>
          <w:p w14:paraId="3560FECC">
            <w:pPr>
              <w:adjustRightInd w:val="0"/>
              <w:snapToGrid w:val="0"/>
              <w:spacing w:line="240" w:lineRule="exact"/>
              <w:jc w:val="center"/>
              <w:rPr>
                <w:color w:val="auto"/>
                <w:sz w:val="18"/>
                <w:szCs w:val="18"/>
              </w:rPr>
            </w:pPr>
            <w:r>
              <w:rPr>
                <w:color w:val="auto"/>
                <w:sz w:val="18"/>
                <w:szCs w:val="18"/>
              </w:rPr>
              <w:t>800～1000</w:t>
            </w:r>
          </w:p>
        </w:tc>
        <w:tc>
          <w:tcPr>
            <w:tcW w:w="2280" w:type="dxa"/>
            <w:vAlign w:val="center"/>
          </w:tcPr>
          <w:p w14:paraId="28C6FCE0">
            <w:pPr>
              <w:adjustRightInd w:val="0"/>
              <w:snapToGrid w:val="0"/>
              <w:spacing w:line="240" w:lineRule="exact"/>
              <w:jc w:val="center"/>
              <w:rPr>
                <w:color w:val="auto"/>
                <w:sz w:val="18"/>
                <w:szCs w:val="18"/>
              </w:rPr>
            </w:pPr>
            <w:r>
              <w:rPr>
                <w:color w:val="auto"/>
                <w:sz w:val="18"/>
                <w:szCs w:val="18"/>
              </w:rPr>
              <w:t>1000～1200</w:t>
            </w:r>
          </w:p>
        </w:tc>
      </w:tr>
      <w:tr w14:paraId="0364B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65D24C75">
            <w:pPr>
              <w:adjustRightInd w:val="0"/>
              <w:snapToGrid w:val="0"/>
              <w:spacing w:line="240" w:lineRule="exact"/>
              <w:jc w:val="center"/>
              <w:rPr>
                <w:color w:val="auto"/>
                <w:sz w:val="18"/>
                <w:szCs w:val="18"/>
              </w:rPr>
            </w:pPr>
          </w:p>
        </w:tc>
        <w:tc>
          <w:tcPr>
            <w:tcW w:w="1911" w:type="dxa"/>
            <w:vAlign w:val="center"/>
          </w:tcPr>
          <w:p w14:paraId="2C989F09">
            <w:pPr>
              <w:adjustRightInd w:val="0"/>
              <w:snapToGrid w:val="0"/>
              <w:spacing w:line="240" w:lineRule="exact"/>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1747" w:type="dxa"/>
            <w:vAlign w:val="center"/>
          </w:tcPr>
          <w:p w14:paraId="61109B61">
            <w:pPr>
              <w:adjustRightInd w:val="0"/>
              <w:snapToGrid w:val="0"/>
              <w:spacing w:line="240" w:lineRule="exact"/>
              <w:jc w:val="center"/>
              <w:rPr>
                <w:color w:val="auto"/>
                <w:sz w:val="18"/>
                <w:szCs w:val="18"/>
              </w:rPr>
            </w:pPr>
            <w:r>
              <w:rPr>
                <w:color w:val="auto"/>
                <w:sz w:val="18"/>
                <w:szCs w:val="18"/>
              </w:rPr>
              <w:t>800～1100</w:t>
            </w:r>
          </w:p>
        </w:tc>
        <w:tc>
          <w:tcPr>
            <w:tcW w:w="1748" w:type="dxa"/>
            <w:vAlign w:val="center"/>
          </w:tcPr>
          <w:p w14:paraId="62F9006D">
            <w:pPr>
              <w:adjustRightInd w:val="0"/>
              <w:snapToGrid w:val="0"/>
              <w:spacing w:line="240" w:lineRule="exact"/>
              <w:jc w:val="center"/>
              <w:rPr>
                <w:color w:val="auto"/>
                <w:sz w:val="18"/>
                <w:szCs w:val="18"/>
              </w:rPr>
            </w:pPr>
            <w:r>
              <w:rPr>
                <w:color w:val="auto"/>
                <w:sz w:val="18"/>
                <w:szCs w:val="18"/>
              </w:rPr>
              <w:t>1100～1400</w:t>
            </w:r>
          </w:p>
        </w:tc>
        <w:tc>
          <w:tcPr>
            <w:tcW w:w="2280" w:type="dxa"/>
            <w:vAlign w:val="center"/>
          </w:tcPr>
          <w:p w14:paraId="248DC435">
            <w:pPr>
              <w:adjustRightInd w:val="0"/>
              <w:snapToGrid w:val="0"/>
              <w:spacing w:line="240" w:lineRule="exact"/>
              <w:jc w:val="center"/>
              <w:rPr>
                <w:color w:val="auto"/>
                <w:sz w:val="18"/>
                <w:szCs w:val="18"/>
              </w:rPr>
            </w:pPr>
            <w:r>
              <w:rPr>
                <w:color w:val="auto"/>
                <w:sz w:val="18"/>
                <w:szCs w:val="18"/>
              </w:rPr>
              <w:t>1400～1800</w:t>
            </w:r>
          </w:p>
        </w:tc>
      </w:tr>
      <w:tr w14:paraId="7CB06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317B7B75">
            <w:pPr>
              <w:adjustRightInd w:val="0"/>
              <w:snapToGrid w:val="0"/>
              <w:spacing w:line="240" w:lineRule="exact"/>
              <w:ind w:left="228"/>
              <w:jc w:val="center"/>
              <w:rPr>
                <w:color w:val="auto"/>
                <w:sz w:val="18"/>
                <w:szCs w:val="18"/>
              </w:rPr>
            </w:pPr>
          </w:p>
        </w:tc>
        <w:tc>
          <w:tcPr>
            <w:tcW w:w="1911" w:type="dxa"/>
            <w:vAlign w:val="center"/>
          </w:tcPr>
          <w:p w14:paraId="0283392A">
            <w:pPr>
              <w:adjustRightInd w:val="0"/>
              <w:snapToGrid w:val="0"/>
              <w:spacing w:line="240" w:lineRule="exac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1747" w:type="dxa"/>
            <w:vAlign w:val="center"/>
          </w:tcPr>
          <w:p w14:paraId="4EBCD8DE">
            <w:pPr>
              <w:adjustRightInd w:val="0"/>
              <w:snapToGrid w:val="0"/>
              <w:spacing w:line="240" w:lineRule="exact"/>
              <w:jc w:val="center"/>
              <w:rPr>
                <w:color w:val="auto"/>
                <w:sz w:val="18"/>
                <w:szCs w:val="18"/>
              </w:rPr>
            </w:pPr>
            <w:r>
              <w:rPr>
                <w:color w:val="auto"/>
                <w:sz w:val="18"/>
                <w:szCs w:val="18"/>
              </w:rPr>
              <w:t>1100～1400</w:t>
            </w:r>
          </w:p>
        </w:tc>
        <w:tc>
          <w:tcPr>
            <w:tcW w:w="1748" w:type="dxa"/>
            <w:vAlign w:val="center"/>
          </w:tcPr>
          <w:p w14:paraId="1CF6363C">
            <w:pPr>
              <w:adjustRightInd w:val="0"/>
              <w:snapToGrid w:val="0"/>
              <w:spacing w:line="240" w:lineRule="exact"/>
              <w:jc w:val="center"/>
              <w:rPr>
                <w:color w:val="auto"/>
                <w:sz w:val="18"/>
                <w:szCs w:val="18"/>
              </w:rPr>
            </w:pPr>
            <w:r>
              <w:rPr>
                <w:color w:val="auto"/>
                <w:sz w:val="18"/>
                <w:szCs w:val="18"/>
              </w:rPr>
              <w:t>1400～1700</w:t>
            </w:r>
          </w:p>
        </w:tc>
        <w:tc>
          <w:tcPr>
            <w:tcW w:w="2280" w:type="dxa"/>
            <w:vAlign w:val="center"/>
          </w:tcPr>
          <w:p w14:paraId="1F36EDA9">
            <w:pPr>
              <w:adjustRightInd w:val="0"/>
              <w:snapToGrid w:val="0"/>
              <w:spacing w:line="240" w:lineRule="exact"/>
              <w:jc w:val="center"/>
              <w:rPr>
                <w:color w:val="auto"/>
                <w:sz w:val="18"/>
                <w:szCs w:val="18"/>
              </w:rPr>
            </w:pPr>
            <w:r>
              <w:rPr>
                <w:color w:val="auto"/>
                <w:sz w:val="18"/>
                <w:szCs w:val="18"/>
              </w:rPr>
              <w:t>1700～2000</w:t>
            </w:r>
          </w:p>
        </w:tc>
      </w:tr>
      <w:tr w14:paraId="03DED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restart"/>
            <w:vAlign w:val="center"/>
          </w:tcPr>
          <w:p w14:paraId="7E27821C">
            <w:pPr>
              <w:adjustRightInd w:val="0"/>
              <w:snapToGrid w:val="0"/>
              <w:spacing w:line="240" w:lineRule="exact"/>
              <w:jc w:val="center"/>
              <w:rPr>
                <w:color w:val="auto"/>
                <w:sz w:val="18"/>
                <w:szCs w:val="18"/>
              </w:rPr>
            </w:pPr>
            <w:r>
              <w:rPr>
                <w:color w:val="auto"/>
                <w:sz w:val="18"/>
                <w:szCs w:val="18"/>
              </w:rPr>
              <w:t>粉土</w:t>
            </w:r>
          </w:p>
        </w:tc>
        <w:tc>
          <w:tcPr>
            <w:tcW w:w="1911" w:type="dxa"/>
            <w:vAlign w:val="center"/>
          </w:tcPr>
          <w:p w14:paraId="32CF65A7">
            <w:pPr>
              <w:adjustRightInd w:val="0"/>
              <w:snapToGrid w:val="0"/>
              <w:spacing w:line="240" w:lineRule="exact"/>
              <w:jc w:val="center"/>
              <w:rPr>
                <w:color w:val="auto"/>
                <w:sz w:val="18"/>
                <w:szCs w:val="18"/>
              </w:rPr>
            </w:pPr>
            <w:r>
              <w:rPr>
                <w:color w:val="auto"/>
                <w:sz w:val="18"/>
                <w:szCs w:val="18"/>
              </w:rPr>
              <w:t>1＜</w:t>
            </w:r>
            <w:r>
              <w:rPr>
                <w:i/>
                <w:color w:val="auto"/>
                <w:sz w:val="18"/>
                <w:szCs w:val="18"/>
              </w:rPr>
              <w:t>p</w:t>
            </w:r>
            <w:r>
              <w:rPr>
                <w:iCs/>
                <w:color w:val="auto"/>
                <w:sz w:val="18"/>
                <w:szCs w:val="18"/>
                <w:vertAlign w:val="subscript"/>
              </w:rPr>
              <w:t>s</w:t>
            </w:r>
            <w:r>
              <w:rPr>
                <w:color w:val="auto"/>
                <w:sz w:val="18"/>
                <w:szCs w:val="18"/>
              </w:rPr>
              <w:t>≤2.5</w:t>
            </w:r>
          </w:p>
        </w:tc>
        <w:tc>
          <w:tcPr>
            <w:tcW w:w="1747" w:type="dxa"/>
            <w:vAlign w:val="center"/>
          </w:tcPr>
          <w:p w14:paraId="2E9C0447">
            <w:pPr>
              <w:adjustRightInd w:val="0"/>
              <w:snapToGrid w:val="0"/>
              <w:spacing w:line="240" w:lineRule="exact"/>
              <w:jc w:val="center"/>
              <w:rPr>
                <w:color w:val="auto"/>
                <w:sz w:val="18"/>
                <w:szCs w:val="18"/>
              </w:rPr>
            </w:pPr>
            <w:r>
              <w:rPr>
                <w:color w:val="auto"/>
                <w:sz w:val="18"/>
                <w:szCs w:val="18"/>
              </w:rPr>
              <w:t>500～800</w:t>
            </w:r>
          </w:p>
        </w:tc>
        <w:tc>
          <w:tcPr>
            <w:tcW w:w="1748" w:type="dxa"/>
            <w:vAlign w:val="center"/>
          </w:tcPr>
          <w:p w14:paraId="26BF7FC7">
            <w:pPr>
              <w:adjustRightInd w:val="0"/>
              <w:snapToGrid w:val="0"/>
              <w:spacing w:line="240" w:lineRule="exact"/>
              <w:jc w:val="center"/>
              <w:rPr>
                <w:color w:val="auto"/>
                <w:sz w:val="18"/>
                <w:szCs w:val="18"/>
              </w:rPr>
            </w:pPr>
            <w:r>
              <w:rPr>
                <w:color w:val="auto"/>
                <w:sz w:val="18"/>
                <w:szCs w:val="18"/>
              </w:rPr>
              <w:t>800～1000</w:t>
            </w:r>
          </w:p>
        </w:tc>
        <w:tc>
          <w:tcPr>
            <w:tcW w:w="2280" w:type="dxa"/>
            <w:vAlign w:val="center"/>
          </w:tcPr>
          <w:p w14:paraId="3821076A">
            <w:pPr>
              <w:adjustRightInd w:val="0"/>
              <w:snapToGrid w:val="0"/>
              <w:spacing w:line="240" w:lineRule="exact"/>
              <w:jc w:val="center"/>
              <w:rPr>
                <w:color w:val="auto"/>
                <w:sz w:val="18"/>
                <w:szCs w:val="18"/>
              </w:rPr>
            </w:pPr>
            <w:r>
              <w:rPr>
                <w:color w:val="auto"/>
                <w:sz w:val="18"/>
                <w:szCs w:val="18"/>
              </w:rPr>
              <w:t>1000～1200</w:t>
            </w:r>
          </w:p>
        </w:tc>
      </w:tr>
      <w:tr w14:paraId="2613A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78674BDC">
            <w:pPr>
              <w:adjustRightInd w:val="0"/>
              <w:snapToGrid w:val="0"/>
              <w:spacing w:line="240" w:lineRule="exact"/>
              <w:ind w:left="228"/>
              <w:jc w:val="center"/>
              <w:rPr>
                <w:color w:val="auto"/>
                <w:sz w:val="18"/>
                <w:szCs w:val="18"/>
              </w:rPr>
            </w:pPr>
          </w:p>
        </w:tc>
        <w:tc>
          <w:tcPr>
            <w:tcW w:w="1911" w:type="dxa"/>
            <w:vAlign w:val="center"/>
          </w:tcPr>
          <w:p w14:paraId="2CEF3FAE">
            <w:pPr>
              <w:adjustRightInd w:val="0"/>
              <w:snapToGrid w:val="0"/>
              <w:spacing w:line="240" w:lineRule="exact"/>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＞2.5</w:t>
            </w:r>
          </w:p>
        </w:tc>
        <w:tc>
          <w:tcPr>
            <w:tcW w:w="1747" w:type="dxa"/>
            <w:vAlign w:val="center"/>
          </w:tcPr>
          <w:p w14:paraId="545D9101">
            <w:pPr>
              <w:adjustRightInd w:val="0"/>
              <w:snapToGrid w:val="0"/>
              <w:spacing w:line="240" w:lineRule="exact"/>
              <w:jc w:val="center"/>
              <w:rPr>
                <w:color w:val="auto"/>
                <w:sz w:val="18"/>
                <w:szCs w:val="18"/>
              </w:rPr>
            </w:pPr>
            <w:r>
              <w:rPr>
                <w:color w:val="auto"/>
                <w:sz w:val="18"/>
                <w:szCs w:val="18"/>
              </w:rPr>
              <w:t>600～900</w:t>
            </w:r>
          </w:p>
        </w:tc>
        <w:tc>
          <w:tcPr>
            <w:tcW w:w="1748" w:type="dxa"/>
            <w:vAlign w:val="center"/>
          </w:tcPr>
          <w:p w14:paraId="264089F4">
            <w:pPr>
              <w:adjustRightInd w:val="0"/>
              <w:snapToGrid w:val="0"/>
              <w:spacing w:line="240" w:lineRule="exact"/>
              <w:jc w:val="center"/>
              <w:rPr>
                <w:color w:val="auto"/>
                <w:sz w:val="18"/>
                <w:szCs w:val="18"/>
              </w:rPr>
            </w:pPr>
            <w:r>
              <w:rPr>
                <w:color w:val="auto"/>
                <w:sz w:val="18"/>
                <w:szCs w:val="18"/>
              </w:rPr>
              <w:t>900～1200</w:t>
            </w:r>
          </w:p>
        </w:tc>
        <w:tc>
          <w:tcPr>
            <w:tcW w:w="2280" w:type="dxa"/>
            <w:vAlign w:val="center"/>
          </w:tcPr>
          <w:p w14:paraId="5F61D9EC">
            <w:pPr>
              <w:adjustRightInd w:val="0"/>
              <w:snapToGrid w:val="0"/>
              <w:spacing w:line="240" w:lineRule="exact"/>
              <w:jc w:val="center"/>
              <w:rPr>
                <w:color w:val="auto"/>
                <w:sz w:val="18"/>
                <w:szCs w:val="18"/>
              </w:rPr>
            </w:pPr>
            <w:r>
              <w:rPr>
                <w:color w:val="auto"/>
                <w:sz w:val="18"/>
                <w:szCs w:val="18"/>
              </w:rPr>
              <w:t>1200～1400</w:t>
            </w:r>
          </w:p>
        </w:tc>
      </w:tr>
      <w:tr w14:paraId="1874C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restart"/>
            <w:vAlign w:val="center"/>
          </w:tcPr>
          <w:p w14:paraId="432867FF">
            <w:pPr>
              <w:adjustRightInd w:val="0"/>
              <w:snapToGrid w:val="0"/>
              <w:spacing w:line="240" w:lineRule="exact"/>
              <w:jc w:val="center"/>
              <w:rPr>
                <w:color w:val="auto"/>
                <w:sz w:val="18"/>
                <w:szCs w:val="18"/>
              </w:rPr>
            </w:pPr>
            <w:r>
              <w:rPr>
                <w:color w:val="auto"/>
                <w:sz w:val="18"/>
                <w:szCs w:val="18"/>
              </w:rPr>
              <w:t>粉砂</w:t>
            </w:r>
          </w:p>
        </w:tc>
        <w:tc>
          <w:tcPr>
            <w:tcW w:w="1911" w:type="dxa"/>
            <w:vAlign w:val="center"/>
          </w:tcPr>
          <w:p w14:paraId="338DEF6F">
            <w:pPr>
              <w:adjustRightInd w:val="0"/>
              <w:snapToGrid w:val="0"/>
              <w:spacing w:line="240" w:lineRule="exact"/>
              <w:jc w:val="center"/>
              <w:rPr>
                <w:color w:val="auto"/>
                <w:sz w:val="18"/>
                <w:szCs w:val="18"/>
              </w:rPr>
            </w:pPr>
            <w:r>
              <w:rPr>
                <w:color w:val="auto"/>
                <w:sz w:val="18"/>
                <w:szCs w:val="18"/>
              </w:rPr>
              <w:t>稍密</w:t>
            </w:r>
          </w:p>
        </w:tc>
        <w:tc>
          <w:tcPr>
            <w:tcW w:w="1747" w:type="dxa"/>
            <w:vAlign w:val="center"/>
          </w:tcPr>
          <w:p w14:paraId="251E294F">
            <w:pPr>
              <w:adjustRightInd w:val="0"/>
              <w:snapToGrid w:val="0"/>
              <w:spacing w:line="240" w:lineRule="exact"/>
              <w:jc w:val="center"/>
              <w:rPr>
                <w:color w:val="auto"/>
                <w:sz w:val="18"/>
                <w:szCs w:val="18"/>
              </w:rPr>
            </w:pPr>
            <w:r>
              <w:rPr>
                <w:color w:val="auto"/>
                <w:sz w:val="18"/>
                <w:szCs w:val="18"/>
              </w:rPr>
              <w:t>500～900</w:t>
            </w:r>
          </w:p>
        </w:tc>
        <w:tc>
          <w:tcPr>
            <w:tcW w:w="1748" w:type="dxa"/>
            <w:vAlign w:val="center"/>
          </w:tcPr>
          <w:p w14:paraId="36021737">
            <w:pPr>
              <w:adjustRightInd w:val="0"/>
              <w:snapToGrid w:val="0"/>
              <w:spacing w:line="240" w:lineRule="exact"/>
              <w:jc w:val="center"/>
              <w:rPr>
                <w:color w:val="auto"/>
                <w:sz w:val="18"/>
                <w:szCs w:val="18"/>
              </w:rPr>
            </w:pPr>
            <w:r>
              <w:rPr>
                <w:color w:val="auto"/>
                <w:sz w:val="18"/>
                <w:szCs w:val="18"/>
              </w:rPr>
              <w:t>900～1300</w:t>
            </w:r>
          </w:p>
        </w:tc>
        <w:tc>
          <w:tcPr>
            <w:tcW w:w="2280" w:type="dxa"/>
            <w:vAlign w:val="center"/>
          </w:tcPr>
          <w:p w14:paraId="5D653C70">
            <w:pPr>
              <w:adjustRightInd w:val="0"/>
              <w:snapToGrid w:val="0"/>
              <w:spacing w:line="240" w:lineRule="exact"/>
              <w:jc w:val="center"/>
              <w:rPr>
                <w:color w:val="auto"/>
                <w:sz w:val="18"/>
                <w:szCs w:val="18"/>
              </w:rPr>
            </w:pPr>
            <w:r>
              <w:rPr>
                <w:color w:val="auto"/>
                <w:sz w:val="18"/>
                <w:szCs w:val="18"/>
              </w:rPr>
              <w:t>1200～1500</w:t>
            </w:r>
          </w:p>
        </w:tc>
      </w:tr>
      <w:tr w14:paraId="14BD8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Merge w:val="continue"/>
            <w:vAlign w:val="center"/>
          </w:tcPr>
          <w:p w14:paraId="12DF779E">
            <w:pPr>
              <w:adjustRightInd w:val="0"/>
              <w:snapToGrid w:val="0"/>
              <w:spacing w:line="240" w:lineRule="exact"/>
              <w:ind w:left="228"/>
              <w:jc w:val="center"/>
              <w:rPr>
                <w:color w:val="auto"/>
                <w:sz w:val="18"/>
                <w:szCs w:val="18"/>
              </w:rPr>
            </w:pPr>
          </w:p>
        </w:tc>
        <w:tc>
          <w:tcPr>
            <w:tcW w:w="1911" w:type="dxa"/>
            <w:vAlign w:val="center"/>
          </w:tcPr>
          <w:p w14:paraId="76629D8E">
            <w:pPr>
              <w:adjustRightInd w:val="0"/>
              <w:snapToGrid w:val="0"/>
              <w:spacing w:line="240" w:lineRule="exact"/>
              <w:jc w:val="center"/>
              <w:rPr>
                <w:color w:val="auto"/>
                <w:sz w:val="18"/>
                <w:szCs w:val="18"/>
              </w:rPr>
            </w:pPr>
            <w:r>
              <w:rPr>
                <w:color w:val="auto"/>
                <w:sz w:val="18"/>
                <w:szCs w:val="18"/>
              </w:rPr>
              <w:t>中密、密实</w:t>
            </w:r>
          </w:p>
        </w:tc>
        <w:tc>
          <w:tcPr>
            <w:tcW w:w="1747" w:type="dxa"/>
            <w:vAlign w:val="center"/>
          </w:tcPr>
          <w:p w14:paraId="405137B5">
            <w:pPr>
              <w:adjustRightInd w:val="0"/>
              <w:snapToGrid w:val="0"/>
              <w:spacing w:line="240" w:lineRule="exact"/>
              <w:jc w:val="center"/>
              <w:rPr>
                <w:color w:val="auto"/>
                <w:sz w:val="18"/>
                <w:szCs w:val="18"/>
              </w:rPr>
            </w:pPr>
            <w:r>
              <w:rPr>
                <w:color w:val="auto"/>
                <w:sz w:val="18"/>
                <w:szCs w:val="18"/>
              </w:rPr>
              <w:t>700～1100</w:t>
            </w:r>
          </w:p>
        </w:tc>
        <w:tc>
          <w:tcPr>
            <w:tcW w:w="1748" w:type="dxa"/>
            <w:vAlign w:val="center"/>
          </w:tcPr>
          <w:p w14:paraId="0DC9B0B5">
            <w:pPr>
              <w:adjustRightInd w:val="0"/>
              <w:snapToGrid w:val="0"/>
              <w:spacing w:line="240" w:lineRule="exact"/>
              <w:jc w:val="center"/>
              <w:rPr>
                <w:color w:val="auto"/>
                <w:sz w:val="18"/>
                <w:szCs w:val="18"/>
              </w:rPr>
            </w:pPr>
            <w:r>
              <w:rPr>
                <w:color w:val="auto"/>
                <w:sz w:val="18"/>
                <w:szCs w:val="18"/>
              </w:rPr>
              <w:t>1100～1600</w:t>
            </w:r>
          </w:p>
        </w:tc>
        <w:tc>
          <w:tcPr>
            <w:tcW w:w="2280" w:type="dxa"/>
            <w:vAlign w:val="center"/>
          </w:tcPr>
          <w:p w14:paraId="551CB34F">
            <w:pPr>
              <w:adjustRightInd w:val="0"/>
              <w:snapToGrid w:val="0"/>
              <w:spacing w:line="240" w:lineRule="exact"/>
              <w:jc w:val="center"/>
              <w:rPr>
                <w:color w:val="auto"/>
                <w:sz w:val="18"/>
                <w:szCs w:val="18"/>
              </w:rPr>
            </w:pPr>
            <w:r>
              <w:rPr>
                <w:color w:val="auto"/>
                <w:sz w:val="18"/>
                <w:szCs w:val="18"/>
              </w:rPr>
              <w:t>1400～2100</w:t>
            </w:r>
          </w:p>
        </w:tc>
      </w:tr>
      <w:tr w14:paraId="4AA5B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7F0F6B86">
            <w:pPr>
              <w:adjustRightInd w:val="0"/>
              <w:snapToGrid w:val="0"/>
              <w:spacing w:line="240" w:lineRule="exact"/>
              <w:jc w:val="center"/>
              <w:rPr>
                <w:color w:val="auto"/>
                <w:sz w:val="18"/>
                <w:szCs w:val="18"/>
              </w:rPr>
            </w:pPr>
            <w:r>
              <w:rPr>
                <w:color w:val="auto"/>
                <w:sz w:val="18"/>
                <w:szCs w:val="18"/>
              </w:rPr>
              <w:t>细砂</w:t>
            </w:r>
          </w:p>
        </w:tc>
        <w:tc>
          <w:tcPr>
            <w:tcW w:w="1911" w:type="dxa"/>
            <w:vMerge w:val="restart"/>
            <w:vAlign w:val="center"/>
          </w:tcPr>
          <w:p w14:paraId="00868E33">
            <w:pPr>
              <w:adjustRightInd w:val="0"/>
              <w:snapToGrid w:val="0"/>
              <w:spacing w:line="240" w:lineRule="exact"/>
              <w:jc w:val="center"/>
              <w:rPr>
                <w:color w:val="auto"/>
                <w:sz w:val="18"/>
                <w:szCs w:val="18"/>
              </w:rPr>
            </w:pPr>
            <w:r>
              <w:rPr>
                <w:color w:val="auto"/>
                <w:sz w:val="18"/>
                <w:szCs w:val="18"/>
              </w:rPr>
              <w:t>中密、密实</w:t>
            </w:r>
          </w:p>
        </w:tc>
        <w:tc>
          <w:tcPr>
            <w:tcW w:w="1747" w:type="dxa"/>
            <w:vAlign w:val="center"/>
          </w:tcPr>
          <w:p w14:paraId="11A88B77">
            <w:pPr>
              <w:adjustRightInd w:val="0"/>
              <w:snapToGrid w:val="0"/>
              <w:spacing w:line="240" w:lineRule="exact"/>
              <w:jc w:val="center"/>
              <w:rPr>
                <w:color w:val="auto"/>
                <w:sz w:val="18"/>
                <w:szCs w:val="18"/>
              </w:rPr>
            </w:pPr>
            <w:r>
              <w:rPr>
                <w:color w:val="auto"/>
                <w:sz w:val="18"/>
                <w:szCs w:val="18"/>
              </w:rPr>
              <w:t>1000～1500</w:t>
            </w:r>
          </w:p>
        </w:tc>
        <w:tc>
          <w:tcPr>
            <w:tcW w:w="1748" w:type="dxa"/>
            <w:vAlign w:val="center"/>
          </w:tcPr>
          <w:p w14:paraId="449BD4FB">
            <w:pPr>
              <w:adjustRightInd w:val="0"/>
              <w:snapToGrid w:val="0"/>
              <w:spacing w:line="240" w:lineRule="exact"/>
              <w:jc w:val="center"/>
              <w:rPr>
                <w:color w:val="auto"/>
                <w:sz w:val="18"/>
                <w:szCs w:val="18"/>
              </w:rPr>
            </w:pPr>
            <w:r>
              <w:rPr>
                <w:color w:val="auto"/>
                <w:sz w:val="18"/>
                <w:szCs w:val="18"/>
              </w:rPr>
              <w:t>1400～1900</w:t>
            </w:r>
          </w:p>
        </w:tc>
        <w:tc>
          <w:tcPr>
            <w:tcW w:w="2280" w:type="dxa"/>
            <w:vAlign w:val="center"/>
          </w:tcPr>
          <w:p w14:paraId="39F8F083">
            <w:pPr>
              <w:adjustRightInd w:val="0"/>
              <w:snapToGrid w:val="0"/>
              <w:spacing w:line="240" w:lineRule="exact"/>
              <w:jc w:val="center"/>
              <w:rPr>
                <w:color w:val="auto"/>
                <w:sz w:val="18"/>
                <w:szCs w:val="18"/>
              </w:rPr>
            </w:pPr>
            <w:r>
              <w:rPr>
                <w:color w:val="auto"/>
                <w:sz w:val="18"/>
                <w:szCs w:val="18"/>
              </w:rPr>
              <w:t>1800～2400</w:t>
            </w:r>
          </w:p>
        </w:tc>
      </w:tr>
      <w:tr w14:paraId="5934B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4430FB5B">
            <w:pPr>
              <w:adjustRightInd w:val="0"/>
              <w:snapToGrid w:val="0"/>
              <w:spacing w:line="240" w:lineRule="exact"/>
              <w:jc w:val="center"/>
              <w:rPr>
                <w:color w:val="auto"/>
                <w:sz w:val="18"/>
                <w:szCs w:val="18"/>
              </w:rPr>
            </w:pPr>
            <w:r>
              <w:rPr>
                <w:color w:val="auto"/>
                <w:sz w:val="18"/>
                <w:szCs w:val="18"/>
              </w:rPr>
              <w:t>中砂</w:t>
            </w:r>
          </w:p>
        </w:tc>
        <w:tc>
          <w:tcPr>
            <w:tcW w:w="1911" w:type="dxa"/>
            <w:vMerge w:val="continue"/>
            <w:vAlign w:val="center"/>
          </w:tcPr>
          <w:p w14:paraId="539ED1BA">
            <w:pPr>
              <w:adjustRightInd w:val="0"/>
              <w:snapToGrid w:val="0"/>
              <w:spacing w:line="240" w:lineRule="exact"/>
              <w:ind w:left="228"/>
              <w:jc w:val="center"/>
              <w:rPr>
                <w:color w:val="auto"/>
                <w:sz w:val="18"/>
                <w:szCs w:val="18"/>
              </w:rPr>
            </w:pPr>
          </w:p>
        </w:tc>
        <w:tc>
          <w:tcPr>
            <w:tcW w:w="1747" w:type="dxa"/>
            <w:vAlign w:val="center"/>
          </w:tcPr>
          <w:p w14:paraId="3C27EFA3">
            <w:pPr>
              <w:adjustRightInd w:val="0"/>
              <w:snapToGrid w:val="0"/>
              <w:spacing w:line="240" w:lineRule="exact"/>
              <w:jc w:val="center"/>
              <w:rPr>
                <w:color w:val="auto"/>
                <w:sz w:val="18"/>
                <w:szCs w:val="18"/>
              </w:rPr>
            </w:pPr>
            <w:r>
              <w:rPr>
                <w:color w:val="auto"/>
                <w:sz w:val="18"/>
                <w:szCs w:val="18"/>
              </w:rPr>
              <w:t>1500～1900</w:t>
            </w:r>
          </w:p>
        </w:tc>
        <w:tc>
          <w:tcPr>
            <w:tcW w:w="1748" w:type="dxa"/>
            <w:vAlign w:val="center"/>
          </w:tcPr>
          <w:p w14:paraId="06761B00">
            <w:pPr>
              <w:adjustRightInd w:val="0"/>
              <w:snapToGrid w:val="0"/>
              <w:spacing w:line="240" w:lineRule="exact"/>
              <w:jc w:val="center"/>
              <w:rPr>
                <w:color w:val="auto"/>
                <w:sz w:val="18"/>
                <w:szCs w:val="18"/>
              </w:rPr>
            </w:pPr>
            <w:r>
              <w:rPr>
                <w:color w:val="auto"/>
                <w:sz w:val="18"/>
                <w:szCs w:val="18"/>
              </w:rPr>
              <w:t>1900～2500</w:t>
            </w:r>
          </w:p>
        </w:tc>
        <w:tc>
          <w:tcPr>
            <w:tcW w:w="2280" w:type="dxa"/>
            <w:vAlign w:val="center"/>
          </w:tcPr>
          <w:p w14:paraId="29933E18">
            <w:pPr>
              <w:adjustRightInd w:val="0"/>
              <w:snapToGrid w:val="0"/>
              <w:spacing w:line="240" w:lineRule="exact"/>
              <w:jc w:val="center"/>
              <w:rPr>
                <w:color w:val="auto"/>
                <w:sz w:val="18"/>
                <w:szCs w:val="18"/>
              </w:rPr>
            </w:pPr>
            <w:r>
              <w:rPr>
                <w:color w:val="auto"/>
                <w:sz w:val="18"/>
                <w:szCs w:val="18"/>
              </w:rPr>
              <w:t>2500～3100</w:t>
            </w:r>
          </w:p>
        </w:tc>
      </w:tr>
      <w:tr w14:paraId="5DFDE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51F7F6A6">
            <w:pPr>
              <w:adjustRightInd w:val="0"/>
              <w:snapToGrid w:val="0"/>
              <w:spacing w:line="240" w:lineRule="exact"/>
              <w:jc w:val="center"/>
              <w:rPr>
                <w:color w:val="auto"/>
                <w:sz w:val="18"/>
                <w:szCs w:val="18"/>
              </w:rPr>
            </w:pPr>
            <w:r>
              <w:rPr>
                <w:color w:val="auto"/>
                <w:sz w:val="18"/>
                <w:szCs w:val="18"/>
              </w:rPr>
              <w:t>粗砂</w:t>
            </w:r>
          </w:p>
        </w:tc>
        <w:tc>
          <w:tcPr>
            <w:tcW w:w="1911" w:type="dxa"/>
            <w:vMerge w:val="continue"/>
            <w:vAlign w:val="center"/>
          </w:tcPr>
          <w:p w14:paraId="574291DC">
            <w:pPr>
              <w:adjustRightInd w:val="0"/>
              <w:snapToGrid w:val="0"/>
              <w:spacing w:line="240" w:lineRule="exact"/>
              <w:ind w:left="228"/>
              <w:jc w:val="center"/>
              <w:rPr>
                <w:color w:val="auto"/>
                <w:sz w:val="18"/>
                <w:szCs w:val="18"/>
              </w:rPr>
            </w:pPr>
          </w:p>
        </w:tc>
        <w:tc>
          <w:tcPr>
            <w:tcW w:w="1747" w:type="dxa"/>
            <w:vAlign w:val="center"/>
          </w:tcPr>
          <w:p w14:paraId="4691DAAF">
            <w:pPr>
              <w:adjustRightInd w:val="0"/>
              <w:snapToGrid w:val="0"/>
              <w:spacing w:line="240" w:lineRule="exact"/>
              <w:jc w:val="center"/>
              <w:rPr>
                <w:color w:val="auto"/>
                <w:sz w:val="18"/>
                <w:szCs w:val="18"/>
              </w:rPr>
            </w:pPr>
            <w:r>
              <w:rPr>
                <w:color w:val="auto"/>
                <w:sz w:val="18"/>
                <w:szCs w:val="18"/>
              </w:rPr>
              <w:t>2200～2900</w:t>
            </w:r>
          </w:p>
        </w:tc>
        <w:tc>
          <w:tcPr>
            <w:tcW w:w="1748" w:type="dxa"/>
            <w:vAlign w:val="center"/>
          </w:tcPr>
          <w:p w14:paraId="2176BA4E">
            <w:pPr>
              <w:adjustRightInd w:val="0"/>
              <w:snapToGrid w:val="0"/>
              <w:spacing w:line="240" w:lineRule="exact"/>
              <w:jc w:val="center"/>
              <w:rPr>
                <w:color w:val="auto"/>
                <w:sz w:val="18"/>
                <w:szCs w:val="18"/>
              </w:rPr>
            </w:pPr>
            <w:r>
              <w:rPr>
                <w:color w:val="auto"/>
                <w:sz w:val="18"/>
                <w:szCs w:val="18"/>
              </w:rPr>
              <w:t>2900～3700</w:t>
            </w:r>
          </w:p>
        </w:tc>
        <w:tc>
          <w:tcPr>
            <w:tcW w:w="2280" w:type="dxa"/>
            <w:vAlign w:val="center"/>
          </w:tcPr>
          <w:p w14:paraId="5DAF8646">
            <w:pPr>
              <w:adjustRightInd w:val="0"/>
              <w:snapToGrid w:val="0"/>
              <w:spacing w:line="240" w:lineRule="exact"/>
              <w:jc w:val="center"/>
              <w:rPr>
                <w:color w:val="auto"/>
                <w:sz w:val="18"/>
                <w:szCs w:val="18"/>
              </w:rPr>
            </w:pPr>
            <w:r>
              <w:rPr>
                <w:color w:val="auto"/>
                <w:sz w:val="18"/>
                <w:szCs w:val="18"/>
              </w:rPr>
              <w:t>3700～4300</w:t>
            </w:r>
          </w:p>
        </w:tc>
      </w:tr>
      <w:tr w14:paraId="17F22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77D8A1AD">
            <w:pPr>
              <w:adjustRightInd w:val="0"/>
              <w:snapToGrid w:val="0"/>
              <w:spacing w:line="240" w:lineRule="exact"/>
              <w:jc w:val="center"/>
              <w:rPr>
                <w:color w:val="auto"/>
                <w:sz w:val="18"/>
                <w:szCs w:val="18"/>
              </w:rPr>
            </w:pPr>
            <w:r>
              <w:rPr>
                <w:color w:val="auto"/>
                <w:sz w:val="18"/>
                <w:szCs w:val="18"/>
              </w:rPr>
              <w:t>砾砂</w:t>
            </w:r>
          </w:p>
        </w:tc>
        <w:tc>
          <w:tcPr>
            <w:tcW w:w="1911" w:type="dxa"/>
            <w:vMerge w:val="continue"/>
            <w:vAlign w:val="center"/>
          </w:tcPr>
          <w:p w14:paraId="1715EA48">
            <w:pPr>
              <w:adjustRightInd w:val="0"/>
              <w:snapToGrid w:val="0"/>
              <w:spacing w:line="240" w:lineRule="exact"/>
              <w:ind w:left="228"/>
              <w:jc w:val="center"/>
              <w:rPr>
                <w:color w:val="auto"/>
                <w:sz w:val="18"/>
                <w:szCs w:val="18"/>
              </w:rPr>
            </w:pPr>
          </w:p>
        </w:tc>
        <w:tc>
          <w:tcPr>
            <w:tcW w:w="5775" w:type="dxa"/>
            <w:gridSpan w:val="3"/>
            <w:vAlign w:val="center"/>
          </w:tcPr>
          <w:p w14:paraId="393A2529">
            <w:pPr>
              <w:adjustRightInd w:val="0"/>
              <w:snapToGrid w:val="0"/>
              <w:spacing w:line="240" w:lineRule="exact"/>
              <w:ind w:left="228"/>
              <w:jc w:val="center"/>
              <w:rPr>
                <w:color w:val="auto"/>
                <w:sz w:val="18"/>
                <w:szCs w:val="18"/>
              </w:rPr>
            </w:pPr>
            <w:r>
              <w:rPr>
                <w:color w:val="auto"/>
                <w:sz w:val="18"/>
                <w:szCs w:val="18"/>
              </w:rPr>
              <w:t>2500～4200</w:t>
            </w:r>
          </w:p>
        </w:tc>
      </w:tr>
      <w:tr w14:paraId="5C126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1F97E99E">
            <w:pPr>
              <w:adjustRightInd w:val="0"/>
              <w:snapToGrid w:val="0"/>
              <w:spacing w:line="240" w:lineRule="exact"/>
              <w:jc w:val="center"/>
              <w:rPr>
                <w:color w:val="auto"/>
                <w:sz w:val="18"/>
                <w:szCs w:val="18"/>
              </w:rPr>
            </w:pPr>
            <w:r>
              <w:rPr>
                <w:color w:val="auto"/>
                <w:sz w:val="18"/>
                <w:szCs w:val="18"/>
              </w:rPr>
              <w:t>角砾、圆砾</w:t>
            </w:r>
          </w:p>
        </w:tc>
        <w:tc>
          <w:tcPr>
            <w:tcW w:w="1911" w:type="dxa"/>
            <w:vMerge w:val="restart"/>
            <w:vAlign w:val="center"/>
          </w:tcPr>
          <w:p w14:paraId="2AF45D98">
            <w:pPr>
              <w:adjustRightInd w:val="0"/>
              <w:snapToGrid w:val="0"/>
              <w:spacing w:line="240" w:lineRule="exact"/>
              <w:jc w:val="center"/>
              <w:rPr>
                <w:color w:val="auto"/>
                <w:sz w:val="18"/>
                <w:szCs w:val="18"/>
              </w:rPr>
            </w:pPr>
            <w:r>
              <w:rPr>
                <w:i/>
                <w:color w:val="auto"/>
                <w:sz w:val="18"/>
                <w:szCs w:val="18"/>
              </w:rPr>
              <w:t>N</w:t>
            </w:r>
            <w:r>
              <w:rPr>
                <w:color w:val="auto"/>
                <w:sz w:val="18"/>
                <w:szCs w:val="18"/>
                <w:vertAlign w:val="subscript"/>
              </w:rPr>
              <w:t>63.5</w:t>
            </w:r>
            <w:r>
              <w:rPr>
                <w:color w:val="auto"/>
                <w:sz w:val="18"/>
                <w:szCs w:val="18"/>
              </w:rPr>
              <w:t>＞10</w:t>
            </w:r>
          </w:p>
        </w:tc>
        <w:tc>
          <w:tcPr>
            <w:tcW w:w="5775" w:type="dxa"/>
            <w:gridSpan w:val="3"/>
            <w:vAlign w:val="center"/>
          </w:tcPr>
          <w:p w14:paraId="1C762F8F">
            <w:pPr>
              <w:adjustRightInd w:val="0"/>
              <w:snapToGrid w:val="0"/>
              <w:spacing w:line="240" w:lineRule="exact"/>
              <w:ind w:left="228"/>
              <w:jc w:val="center"/>
              <w:rPr>
                <w:color w:val="auto"/>
                <w:sz w:val="18"/>
                <w:szCs w:val="18"/>
              </w:rPr>
            </w:pPr>
            <w:r>
              <w:rPr>
                <w:color w:val="auto"/>
                <w:sz w:val="18"/>
                <w:szCs w:val="18"/>
              </w:rPr>
              <w:t>2900～4600</w:t>
            </w:r>
          </w:p>
        </w:tc>
      </w:tr>
      <w:tr w14:paraId="4E237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1520" w:type="dxa"/>
            <w:vAlign w:val="center"/>
          </w:tcPr>
          <w:p w14:paraId="03ECF9BF">
            <w:pPr>
              <w:adjustRightInd w:val="0"/>
              <w:snapToGrid w:val="0"/>
              <w:spacing w:line="240" w:lineRule="exact"/>
              <w:jc w:val="center"/>
              <w:rPr>
                <w:color w:val="auto"/>
                <w:sz w:val="18"/>
                <w:szCs w:val="18"/>
              </w:rPr>
            </w:pPr>
            <w:r>
              <w:rPr>
                <w:color w:val="auto"/>
                <w:sz w:val="18"/>
                <w:szCs w:val="18"/>
              </w:rPr>
              <w:t>碎石、卵石</w:t>
            </w:r>
          </w:p>
        </w:tc>
        <w:tc>
          <w:tcPr>
            <w:tcW w:w="1911" w:type="dxa"/>
            <w:vMerge w:val="continue"/>
            <w:vAlign w:val="center"/>
          </w:tcPr>
          <w:p w14:paraId="3012A294">
            <w:pPr>
              <w:adjustRightInd w:val="0"/>
              <w:snapToGrid w:val="0"/>
              <w:spacing w:line="240" w:lineRule="exact"/>
              <w:ind w:left="228"/>
              <w:jc w:val="center"/>
              <w:rPr>
                <w:color w:val="auto"/>
                <w:sz w:val="18"/>
                <w:szCs w:val="18"/>
              </w:rPr>
            </w:pPr>
          </w:p>
        </w:tc>
        <w:tc>
          <w:tcPr>
            <w:tcW w:w="5775" w:type="dxa"/>
            <w:gridSpan w:val="3"/>
            <w:vAlign w:val="center"/>
          </w:tcPr>
          <w:p w14:paraId="07F6B465">
            <w:pPr>
              <w:adjustRightInd w:val="0"/>
              <w:snapToGrid w:val="0"/>
              <w:spacing w:line="240" w:lineRule="exact"/>
              <w:ind w:left="228"/>
              <w:jc w:val="center"/>
              <w:rPr>
                <w:color w:val="auto"/>
                <w:sz w:val="18"/>
                <w:szCs w:val="18"/>
              </w:rPr>
            </w:pPr>
            <w:r>
              <w:rPr>
                <w:color w:val="auto"/>
                <w:sz w:val="18"/>
                <w:szCs w:val="18"/>
              </w:rPr>
              <w:t>3300～5000</w:t>
            </w:r>
          </w:p>
        </w:tc>
      </w:tr>
    </w:tbl>
    <w:p w14:paraId="3DCB4D68">
      <w:pPr>
        <w:adjustRightInd w:val="0"/>
        <w:snapToGrid w:val="0"/>
        <w:spacing w:line="360" w:lineRule="atLeast"/>
        <w:jc w:val="center"/>
        <w:rPr>
          <w:b/>
          <w:color w:val="auto"/>
        </w:rPr>
      </w:pPr>
    </w:p>
    <w:p w14:paraId="28CDAFDC">
      <w:pPr>
        <w:adjustRightInd w:val="0"/>
        <w:snapToGrid w:val="0"/>
        <w:spacing w:line="360" w:lineRule="atLeast"/>
        <w:jc w:val="center"/>
        <w:rPr>
          <w:rFonts w:eastAsia="黑体"/>
          <w:b/>
          <w:color w:val="auto"/>
          <w:sz w:val="20"/>
          <w:szCs w:val="18"/>
        </w:rPr>
      </w:pPr>
      <w:r>
        <w:rPr>
          <w:rFonts w:hint="eastAsia" w:eastAsia="黑体"/>
          <w:b/>
          <w:color w:val="auto"/>
          <w:szCs w:val="21"/>
        </w:rPr>
        <w:t xml:space="preserve">                         </w:t>
      </w:r>
      <w:r>
        <w:rPr>
          <w:rFonts w:eastAsia="黑体"/>
          <w:b/>
          <w:color w:val="auto"/>
          <w:szCs w:val="21"/>
        </w:rPr>
        <w:t>表F.5  夯扩桩桩端阻力特征值</w:t>
      </w:r>
      <w:r>
        <w:rPr>
          <w:rFonts w:eastAsia="黑体"/>
          <w:b/>
          <w:i/>
          <w:color w:val="auto"/>
          <w:szCs w:val="21"/>
        </w:rPr>
        <w:t>q</w:t>
      </w:r>
      <w:r>
        <w:rPr>
          <w:rFonts w:eastAsia="黑体"/>
          <w:b/>
          <w:iCs/>
          <w:color w:val="auto"/>
          <w:szCs w:val="21"/>
          <w:vertAlign w:val="subscript"/>
        </w:rPr>
        <w:t>pa</w:t>
      </w:r>
      <w:r>
        <w:rPr>
          <w:rFonts w:eastAsia="黑体"/>
          <w:b/>
          <w:i/>
          <w:color w:val="auto"/>
          <w:szCs w:val="21"/>
          <w:vertAlign w:val="subscript"/>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92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97"/>
        <w:gridCol w:w="3544"/>
        <w:gridCol w:w="3761"/>
      </w:tblGrid>
      <w:tr w14:paraId="140D40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Align w:val="center"/>
          </w:tcPr>
          <w:p w14:paraId="7F9B4158">
            <w:pPr>
              <w:adjustRightInd w:val="0"/>
              <w:snapToGrid w:val="0"/>
              <w:spacing w:line="240" w:lineRule="exact"/>
              <w:jc w:val="center"/>
              <w:rPr>
                <w:color w:val="auto"/>
                <w:sz w:val="18"/>
                <w:szCs w:val="18"/>
              </w:rPr>
            </w:pPr>
            <w:r>
              <w:rPr>
                <w:color w:val="auto"/>
                <w:sz w:val="18"/>
                <w:szCs w:val="18"/>
              </w:rPr>
              <w:t>土的名称</w:t>
            </w:r>
          </w:p>
        </w:tc>
        <w:tc>
          <w:tcPr>
            <w:tcW w:w="3544" w:type="dxa"/>
            <w:vAlign w:val="center"/>
          </w:tcPr>
          <w:p w14:paraId="11AE4A3D">
            <w:pPr>
              <w:adjustRightInd w:val="0"/>
              <w:snapToGrid w:val="0"/>
              <w:spacing w:line="240" w:lineRule="exact"/>
              <w:jc w:val="center"/>
              <w:rPr>
                <w:color w:val="auto"/>
                <w:sz w:val="18"/>
                <w:szCs w:val="18"/>
              </w:rPr>
            </w:pPr>
            <w:r>
              <w:rPr>
                <w:color w:val="auto"/>
                <w:sz w:val="18"/>
                <w:szCs w:val="18"/>
              </w:rPr>
              <w:t>桩端土的比贯入阻力（MPa）</w:t>
            </w:r>
          </w:p>
        </w:tc>
        <w:tc>
          <w:tcPr>
            <w:tcW w:w="3761" w:type="dxa"/>
            <w:vAlign w:val="center"/>
          </w:tcPr>
          <w:p w14:paraId="2FDBD10D">
            <w:pPr>
              <w:adjustRightInd w:val="0"/>
              <w:snapToGrid w:val="0"/>
              <w:spacing w:line="240" w:lineRule="exact"/>
              <w:jc w:val="center"/>
              <w:rPr>
                <w:color w:val="auto"/>
                <w:sz w:val="18"/>
                <w:szCs w:val="18"/>
              </w:rPr>
            </w:pPr>
            <w:r>
              <w:rPr>
                <w:color w:val="auto"/>
                <w:sz w:val="18"/>
                <w:szCs w:val="18"/>
              </w:rPr>
              <w:t>桩端土承载力特征值</w:t>
            </w:r>
            <w:r>
              <w:rPr>
                <w:i/>
                <w:color w:val="auto"/>
                <w:sz w:val="18"/>
                <w:szCs w:val="18"/>
              </w:rPr>
              <w:t>q</w:t>
            </w:r>
            <w:r>
              <w:rPr>
                <w:iCs/>
                <w:color w:val="auto"/>
                <w:sz w:val="18"/>
                <w:szCs w:val="18"/>
                <w:vertAlign w:val="subscript"/>
              </w:rPr>
              <w:t>pa</w:t>
            </w:r>
          </w:p>
        </w:tc>
      </w:tr>
      <w:tr w14:paraId="7DE0E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restart"/>
            <w:vAlign w:val="center"/>
          </w:tcPr>
          <w:p w14:paraId="139A6BAD">
            <w:pPr>
              <w:adjustRightInd w:val="0"/>
              <w:snapToGrid w:val="0"/>
              <w:jc w:val="center"/>
              <w:rPr>
                <w:color w:val="auto"/>
                <w:sz w:val="18"/>
                <w:szCs w:val="18"/>
              </w:rPr>
            </w:pPr>
            <w:r>
              <w:rPr>
                <w:color w:val="auto"/>
                <w:sz w:val="18"/>
                <w:szCs w:val="18"/>
              </w:rPr>
              <w:t>一般黏性土</w:t>
            </w:r>
          </w:p>
          <w:p w14:paraId="71FD1713">
            <w:pPr>
              <w:adjustRightInd w:val="0"/>
              <w:snapToGrid w:val="0"/>
              <w:jc w:val="center"/>
              <w:rPr>
                <w:color w:val="auto"/>
                <w:sz w:val="18"/>
                <w:szCs w:val="18"/>
              </w:rPr>
            </w:pPr>
            <w:r>
              <w:rPr>
                <w:color w:val="auto"/>
                <w:sz w:val="18"/>
                <w:szCs w:val="18"/>
              </w:rPr>
              <w:t>老黏性土</w:t>
            </w:r>
          </w:p>
        </w:tc>
        <w:tc>
          <w:tcPr>
            <w:tcW w:w="3544" w:type="dxa"/>
            <w:vAlign w:val="center"/>
          </w:tcPr>
          <w:p w14:paraId="37F44C2D">
            <w:pPr>
              <w:adjustRightInd w:val="0"/>
              <w:snapToGrid w:val="0"/>
              <w:spacing w:line="240" w:lineRule="exact"/>
              <w:jc w:val="center"/>
              <w:rPr>
                <w:color w:val="auto"/>
                <w:sz w:val="18"/>
                <w:szCs w:val="18"/>
              </w:rPr>
            </w:pPr>
            <w:r>
              <w:rPr>
                <w:color w:val="auto"/>
                <w:sz w:val="18"/>
                <w:szCs w:val="18"/>
              </w:rPr>
              <w:t>1.5</w:t>
            </w:r>
          </w:p>
        </w:tc>
        <w:tc>
          <w:tcPr>
            <w:tcW w:w="3761" w:type="dxa"/>
            <w:vAlign w:val="center"/>
          </w:tcPr>
          <w:p w14:paraId="5CACBCA9">
            <w:pPr>
              <w:adjustRightInd w:val="0"/>
              <w:snapToGrid w:val="0"/>
              <w:spacing w:line="240" w:lineRule="exact"/>
              <w:jc w:val="center"/>
              <w:rPr>
                <w:color w:val="auto"/>
                <w:sz w:val="18"/>
                <w:szCs w:val="18"/>
              </w:rPr>
            </w:pPr>
            <w:r>
              <w:rPr>
                <w:color w:val="auto"/>
                <w:sz w:val="18"/>
                <w:szCs w:val="18"/>
              </w:rPr>
              <w:t>500</w:t>
            </w:r>
          </w:p>
        </w:tc>
      </w:tr>
      <w:tr w14:paraId="15B42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362B0B03">
            <w:pPr>
              <w:adjustRightInd w:val="0"/>
              <w:snapToGrid w:val="0"/>
              <w:spacing w:line="360" w:lineRule="atLeast"/>
              <w:jc w:val="center"/>
              <w:rPr>
                <w:color w:val="auto"/>
                <w:sz w:val="18"/>
                <w:szCs w:val="18"/>
              </w:rPr>
            </w:pPr>
          </w:p>
        </w:tc>
        <w:tc>
          <w:tcPr>
            <w:tcW w:w="3544" w:type="dxa"/>
            <w:vAlign w:val="center"/>
          </w:tcPr>
          <w:p w14:paraId="136E2BAE">
            <w:pPr>
              <w:adjustRightInd w:val="0"/>
              <w:snapToGrid w:val="0"/>
              <w:spacing w:line="240" w:lineRule="exact"/>
              <w:jc w:val="center"/>
              <w:rPr>
                <w:color w:val="auto"/>
                <w:sz w:val="18"/>
                <w:szCs w:val="18"/>
              </w:rPr>
            </w:pPr>
            <w:r>
              <w:rPr>
                <w:color w:val="auto"/>
                <w:sz w:val="18"/>
                <w:szCs w:val="18"/>
              </w:rPr>
              <w:t>2.0</w:t>
            </w:r>
          </w:p>
        </w:tc>
        <w:tc>
          <w:tcPr>
            <w:tcW w:w="3761" w:type="dxa"/>
            <w:vAlign w:val="center"/>
          </w:tcPr>
          <w:p w14:paraId="75724413">
            <w:pPr>
              <w:adjustRightInd w:val="0"/>
              <w:snapToGrid w:val="0"/>
              <w:spacing w:line="240" w:lineRule="exact"/>
              <w:jc w:val="center"/>
              <w:rPr>
                <w:color w:val="auto"/>
                <w:sz w:val="18"/>
                <w:szCs w:val="18"/>
              </w:rPr>
            </w:pPr>
            <w:r>
              <w:rPr>
                <w:color w:val="auto"/>
                <w:sz w:val="18"/>
                <w:szCs w:val="18"/>
              </w:rPr>
              <w:t>600</w:t>
            </w:r>
          </w:p>
        </w:tc>
      </w:tr>
      <w:tr w14:paraId="59D31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3EC87B9D">
            <w:pPr>
              <w:adjustRightInd w:val="0"/>
              <w:snapToGrid w:val="0"/>
              <w:spacing w:line="360" w:lineRule="atLeast"/>
              <w:jc w:val="center"/>
              <w:rPr>
                <w:color w:val="auto"/>
                <w:sz w:val="18"/>
                <w:szCs w:val="18"/>
              </w:rPr>
            </w:pPr>
          </w:p>
        </w:tc>
        <w:tc>
          <w:tcPr>
            <w:tcW w:w="3544" w:type="dxa"/>
            <w:vAlign w:val="center"/>
          </w:tcPr>
          <w:p w14:paraId="6EC64B72">
            <w:pPr>
              <w:adjustRightInd w:val="0"/>
              <w:snapToGrid w:val="0"/>
              <w:spacing w:line="240" w:lineRule="exact"/>
              <w:jc w:val="center"/>
              <w:rPr>
                <w:color w:val="auto"/>
                <w:sz w:val="18"/>
                <w:szCs w:val="18"/>
              </w:rPr>
            </w:pPr>
            <w:r>
              <w:rPr>
                <w:color w:val="auto"/>
                <w:sz w:val="18"/>
                <w:szCs w:val="18"/>
              </w:rPr>
              <w:t>2.5</w:t>
            </w:r>
          </w:p>
        </w:tc>
        <w:tc>
          <w:tcPr>
            <w:tcW w:w="3761" w:type="dxa"/>
            <w:vAlign w:val="center"/>
          </w:tcPr>
          <w:p w14:paraId="4D5E4096">
            <w:pPr>
              <w:adjustRightInd w:val="0"/>
              <w:snapToGrid w:val="0"/>
              <w:spacing w:line="240" w:lineRule="exact"/>
              <w:jc w:val="center"/>
              <w:rPr>
                <w:color w:val="auto"/>
                <w:sz w:val="18"/>
                <w:szCs w:val="18"/>
              </w:rPr>
            </w:pPr>
            <w:r>
              <w:rPr>
                <w:color w:val="auto"/>
                <w:sz w:val="18"/>
                <w:szCs w:val="18"/>
              </w:rPr>
              <w:t>700</w:t>
            </w:r>
          </w:p>
        </w:tc>
      </w:tr>
      <w:tr w14:paraId="5D368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2953B35E">
            <w:pPr>
              <w:adjustRightInd w:val="0"/>
              <w:snapToGrid w:val="0"/>
              <w:spacing w:line="360" w:lineRule="atLeast"/>
              <w:jc w:val="center"/>
              <w:rPr>
                <w:color w:val="auto"/>
                <w:sz w:val="18"/>
                <w:szCs w:val="18"/>
              </w:rPr>
            </w:pPr>
          </w:p>
        </w:tc>
        <w:tc>
          <w:tcPr>
            <w:tcW w:w="3544" w:type="dxa"/>
            <w:vAlign w:val="center"/>
          </w:tcPr>
          <w:p w14:paraId="7F4C7F22">
            <w:pPr>
              <w:adjustRightInd w:val="0"/>
              <w:snapToGrid w:val="0"/>
              <w:spacing w:line="240" w:lineRule="exact"/>
              <w:jc w:val="center"/>
              <w:rPr>
                <w:color w:val="auto"/>
                <w:sz w:val="18"/>
                <w:szCs w:val="18"/>
              </w:rPr>
            </w:pPr>
            <w:r>
              <w:rPr>
                <w:color w:val="auto"/>
                <w:sz w:val="18"/>
                <w:szCs w:val="18"/>
              </w:rPr>
              <w:t>3.0</w:t>
            </w:r>
          </w:p>
        </w:tc>
        <w:tc>
          <w:tcPr>
            <w:tcW w:w="3761" w:type="dxa"/>
            <w:vAlign w:val="center"/>
          </w:tcPr>
          <w:p w14:paraId="7976164A">
            <w:pPr>
              <w:adjustRightInd w:val="0"/>
              <w:snapToGrid w:val="0"/>
              <w:spacing w:line="240" w:lineRule="exact"/>
              <w:jc w:val="center"/>
              <w:rPr>
                <w:color w:val="auto"/>
                <w:sz w:val="18"/>
                <w:szCs w:val="18"/>
              </w:rPr>
            </w:pPr>
            <w:r>
              <w:rPr>
                <w:color w:val="auto"/>
                <w:sz w:val="18"/>
                <w:szCs w:val="18"/>
              </w:rPr>
              <w:t>800</w:t>
            </w:r>
          </w:p>
        </w:tc>
      </w:tr>
      <w:tr w14:paraId="68E1F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5A7460A0">
            <w:pPr>
              <w:adjustRightInd w:val="0"/>
              <w:snapToGrid w:val="0"/>
              <w:spacing w:line="360" w:lineRule="atLeast"/>
              <w:jc w:val="center"/>
              <w:rPr>
                <w:color w:val="auto"/>
                <w:sz w:val="18"/>
                <w:szCs w:val="18"/>
              </w:rPr>
            </w:pPr>
          </w:p>
        </w:tc>
        <w:tc>
          <w:tcPr>
            <w:tcW w:w="3544" w:type="dxa"/>
            <w:vAlign w:val="center"/>
          </w:tcPr>
          <w:p w14:paraId="51FF5A31">
            <w:pPr>
              <w:adjustRightInd w:val="0"/>
              <w:snapToGrid w:val="0"/>
              <w:spacing w:line="240" w:lineRule="exact"/>
              <w:jc w:val="center"/>
              <w:rPr>
                <w:color w:val="auto"/>
                <w:sz w:val="18"/>
                <w:szCs w:val="18"/>
              </w:rPr>
            </w:pPr>
            <w:r>
              <w:rPr>
                <w:color w:val="auto"/>
                <w:sz w:val="18"/>
                <w:szCs w:val="18"/>
              </w:rPr>
              <w:t>4.0</w:t>
            </w:r>
          </w:p>
        </w:tc>
        <w:tc>
          <w:tcPr>
            <w:tcW w:w="3761" w:type="dxa"/>
            <w:vAlign w:val="center"/>
          </w:tcPr>
          <w:p w14:paraId="6C773D81">
            <w:pPr>
              <w:adjustRightInd w:val="0"/>
              <w:snapToGrid w:val="0"/>
              <w:spacing w:line="240" w:lineRule="exact"/>
              <w:jc w:val="center"/>
              <w:rPr>
                <w:color w:val="auto"/>
                <w:sz w:val="18"/>
                <w:szCs w:val="18"/>
              </w:rPr>
            </w:pPr>
            <w:r>
              <w:rPr>
                <w:color w:val="auto"/>
                <w:sz w:val="18"/>
                <w:szCs w:val="18"/>
              </w:rPr>
              <w:t>900</w:t>
            </w:r>
          </w:p>
        </w:tc>
      </w:tr>
      <w:tr w14:paraId="44FB8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15533596">
            <w:pPr>
              <w:adjustRightInd w:val="0"/>
              <w:snapToGrid w:val="0"/>
              <w:spacing w:line="360" w:lineRule="atLeast"/>
              <w:jc w:val="center"/>
              <w:rPr>
                <w:color w:val="auto"/>
                <w:sz w:val="18"/>
                <w:szCs w:val="18"/>
              </w:rPr>
            </w:pPr>
          </w:p>
        </w:tc>
        <w:tc>
          <w:tcPr>
            <w:tcW w:w="3544" w:type="dxa"/>
            <w:vAlign w:val="center"/>
          </w:tcPr>
          <w:p w14:paraId="202A1B01">
            <w:pPr>
              <w:adjustRightInd w:val="0"/>
              <w:snapToGrid w:val="0"/>
              <w:spacing w:line="240" w:lineRule="exact"/>
              <w:jc w:val="center"/>
              <w:rPr>
                <w:color w:val="auto"/>
                <w:sz w:val="18"/>
                <w:szCs w:val="18"/>
              </w:rPr>
            </w:pPr>
            <w:r>
              <w:rPr>
                <w:color w:val="auto"/>
                <w:sz w:val="18"/>
                <w:szCs w:val="18"/>
              </w:rPr>
              <w:t>5.0</w:t>
            </w:r>
          </w:p>
        </w:tc>
        <w:tc>
          <w:tcPr>
            <w:tcW w:w="3761" w:type="dxa"/>
            <w:vAlign w:val="center"/>
          </w:tcPr>
          <w:p w14:paraId="27369DF3">
            <w:pPr>
              <w:adjustRightInd w:val="0"/>
              <w:snapToGrid w:val="0"/>
              <w:spacing w:line="240" w:lineRule="exact"/>
              <w:jc w:val="center"/>
              <w:rPr>
                <w:color w:val="auto"/>
                <w:sz w:val="18"/>
                <w:szCs w:val="18"/>
              </w:rPr>
            </w:pPr>
            <w:r>
              <w:rPr>
                <w:color w:val="auto"/>
                <w:sz w:val="18"/>
                <w:szCs w:val="18"/>
              </w:rPr>
              <w:t>1100</w:t>
            </w:r>
          </w:p>
        </w:tc>
      </w:tr>
      <w:tr w14:paraId="6B7BD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restart"/>
            <w:vAlign w:val="center"/>
          </w:tcPr>
          <w:p w14:paraId="0D6F2DA5">
            <w:pPr>
              <w:adjustRightInd w:val="0"/>
              <w:snapToGrid w:val="0"/>
              <w:spacing w:line="360" w:lineRule="atLeast"/>
              <w:jc w:val="center"/>
              <w:rPr>
                <w:color w:val="auto"/>
                <w:sz w:val="18"/>
                <w:szCs w:val="18"/>
              </w:rPr>
            </w:pPr>
            <w:r>
              <w:rPr>
                <w:color w:val="auto"/>
                <w:sz w:val="18"/>
                <w:szCs w:val="18"/>
              </w:rPr>
              <w:t>粉土</w:t>
            </w:r>
          </w:p>
        </w:tc>
        <w:tc>
          <w:tcPr>
            <w:tcW w:w="3544" w:type="dxa"/>
            <w:vAlign w:val="center"/>
          </w:tcPr>
          <w:p w14:paraId="6C146B30">
            <w:pPr>
              <w:adjustRightInd w:val="0"/>
              <w:snapToGrid w:val="0"/>
              <w:spacing w:line="240" w:lineRule="exact"/>
              <w:jc w:val="center"/>
              <w:rPr>
                <w:color w:val="auto"/>
                <w:sz w:val="18"/>
                <w:szCs w:val="18"/>
              </w:rPr>
            </w:pPr>
            <w:r>
              <w:rPr>
                <w:color w:val="auto"/>
                <w:sz w:val="18"/>
                <w:szCs w:val="18"/>
              </w:rPr>
              <w:t>1.5</w:t>
            </w:r>
          </w:p>
        </w:tc>
        <w:tc>
          <w:tcPr>
            <w:tcW w:w="3761" w:type="dxa"/>
            <w:vAlign w:val="center"/>
          </w:tcPr>
          <w:p w14:paraId="08E9FE1D">
            <w:pPr>
              <w:adjustRightInd w:val="0"/>
              <w:snapToGrid w:val="0"/>
              <w:spacing w:line="240" w:lineRule="exact"/>
              <w:jc w:val="center"/>
              <w:rPr>
                <w:color w:val="auto"/>
                <w:sz w:val="18"/>
                <w:szCs w:val="18"/>
              </w:rPr>
            </w:pPr>
            <w:r>
              <w:rPr>
                <w:color w:val="auto"/>
                <w:sz w:val="18"/>
                <w:szCs w:val="18"/>
              </w:rPr>
              <w:t>900</w:t>
            </w:r>
          </w:p>
        </w:tc>
      </w:tr>
      <w:tr w14:paraId="1C085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2CEA435A">
            <w:pPr>
              <w:adjustRightInd w:val="0"/>
              <w:snapToGrid w:val="0"/>
              <w:spacing w:line="360" w:lineRule="atLeast"/>
              <w:jc w:val="center"/>
              <w:rPr>
                <w:color w:val="auto"/>
                <w:sz w:val="18"/>
                <w:szCs w:val="18"/>
              </w:rPr>
            </w:pPr>
          </w:p>
        </w:tc>
        <w:tc>
          <w:tcPr>
            <w:tcW w:w="3544" w:type="dxa"/>
            <w:vAlign w:val="center"/>
          </w:tcPr>
          <w:p w14:paraId="47CAEC20">
            <w:pPr>
              <w:adjustRightInd w:val="0"/>
              <w:snapToGrid w:val="0"/>
              <w:spacing w:line="240" w:lineRule="exact"/>
              <w:jc w:val="center"/>
              <w:rPr>
                <w:color w:val="auto"/>
                <w:sz w:val="18"/>
                <w:szCs w:val="18"/>
              </w:rPr>
            </w:pPr>
            <w:r>
              <w:rPr>
                <w:color w:val="auto"/>
                <w:sz w:val="18"/>
                <w:szCs w:val="18"/>
              </w:rPr>
              <w:t>2.0</w:t>
            </w:r>
          </w:p>
        </w:tc>
        <w:tc>
          <w:tcPr>
            <w:tcW w:w="3761" w:type="dxa"/>
            <w:vAlign w:val="center"/>
          </w:tcPr>
          <w:p w14:paraId="1E1C9207">
            <w:pPr>
              <w:adjustRightInd w:val="0"/>
              <w:snapToGrid w:val="0"/>
              <w:spacing w:line="240" w:lineRule="exact"/>
              <w:jc w:val="center"/>
              <w:rPr>
                <w:color w:val="auto"/>
                <w:sz w:val="18"/>
                <w:szCs w:val="18"/>
              </w:rPr>
            </w:pPr>
            <w:r>
              <w:rPr>
                <w:color w:val="auto"/>
                <w:sz w:val="18"/>
                <w:szCs w:val="18"/>
              </w:rPr>
              <w:t>1000</w:t>
            </w:r>
          </w:p>
        </w:tc>
      </w:tr>
      <w:tr w14:paraId="3BD1F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6780C713">
            <w:pPr>
              <w:adjustRightInd w:val="0"/>
              <w:snapToGrid w:val="0"/>
              <w:spacing w:line="360" w:lineRule="atLeast"/>
              <w:jc w:val="center"/>
              <w:rPr>
                <w:color w:val="auto"/>
                <w:sz w:val="18"/>
                <w:szCs w:val="18"/>
              </w:rPr>
            </w:pPr>
          </w:p>
        </w:tc>
        <w:tc>
          <w:tcPr>
            <w:tcW w:w="3544" w:type="dxa"/>
            <w:vAlign w:val="center"/>
          </w:tcPr>
          <w:p w14:paraId="6D2DE6B5">
            <w:pPr>
              <w:adjustRightInd w:val="0"/>
              <w:snapToGrid w:val="0"/>
              <w:spacing w:line="240" w:lineRule="exact"/>
              <w:jc w:val="center"/>
              <w:rPr>
                <w:color w:val="auto"/>
                <w:sz w:val="18"/>
                <w:szCs w:val="18"/>
              </w:rPr>
            </w:pPr>
            <w:r>
              <w:rPr>
                <w:color w:val="auto"/>
                <w:sz w:val="18"/>
                <w:szCs w:val="18"/>
              </w:rPr>
              <w:t>3.0</w:t>
            </w:r>
          </w:p>
        </w:tc>
        <w:tc>
          <w:tcPr>
            <w:tcW w:w="3761" w:type="dxa"/>
            <w:vAlign w:val="center"/>
          </w:tcPr>
          <w:p w14:paraId="0259D015">
            <w:pPr>
              <w:adjustRightInd w:val="0"/>
              <w:snapToGrid w:val="0"/>
              <w:spacing w:line="240" w:lineRule="exact"/>
              <w:jc w:val="center"/>
              <w:rPr>
                <w:color w:val="auto"/>
                <w:sz w:val="18"/>
                <w:szCs w:val="18"/>
              </w:rPr>
            </w:pPr>
            <w:r>
              <w:rPr>
                <w:color w:val="auto"/>
                <w:sz w:val="18"/>
                <w:szCs w:val="18"/>
              </w:rPr>
              <w:t>1100</w:t>
            </w:r>
          </w:p>
        </w:tc>
      </w:tr>
      <w:tr w14:paraId="6DB051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465E6EA0">
            <w:pPr>
              <w:adjustRightInd w:val="0"/>
              <w:snapToGrid w:val="0"/>
              <w:spacing w:line="360" w:lineRule="atLeast"/>
              <w:jc w:val="center"/>
              <w:rPr>
                <w:color w:val="auto"/>
                <w:sz w:val="18"/>
                <w:szCs w:val="18"/>
              </w:rPr>
            </w:pPr>
          </w:p>
        </w:tc>
        <w:tc>
          <w:tcPr>
            <w:tcW w:w="3544" w:type="dxa"/>
            <w:vAlign w:val="center"/>
          </w:tcPr>
          <w:p w14:paraId="25B36299">
            <w:pPr>
              <w:adjustRightInd w:val="0"/>
              <w:snapToGrid w:val="0"/>
              <w:spacing w:line="240" w:lineRule="exact"/>
              <w:jc w:val="center"/>
              <w:rPr>
                <w:color w:val="auto"/>
                <w:sz w:val="18"/>
                <w:szCs w:val="18"/>
              </w:rPr>
            </w:pPr>
            <w:r>
              <w:rPr>
                <w:color w:val="auto"/>
                <w:sz w:val="18"/>
                <w:szCs w:val="18"/>
              </w:rPr>
              <w:t>4.0</w:t>
            </w:r>
          </w:p>
        </w:tc>
        <w:tc>
          <w:tcPr>
            <w:tcW w:w="3761" w:type="dxa"/>
            <w:vAlign w:val="center"/>
          </w:tcPr>
          <w:p w14:paraId="0429D7A9">
            <w:pPr>
              <w:adjustRightInd w:val="0"/>
              <w:snapToGrid w:val="0"/>
              <w:spacing w:line="240" w:lineRule="exact"/>
              <w:jc w:val="center"/>
              <w:rPr>
                <w:color w:val="auto"/>
                <w:sz w:val="18"/>
                <w:szCs w:val="18"/>
              </w:rPr>
            </w:pPr>
            <w:r>
              <w:rPr>
                <w:color w:val="auto"/>
                <w:sz w:val="18"/>
                <w:szCs w:val="18"/>
              </w:rPr>
              <w:t>1300</w:t>
            </w:r>
          </w:p>
        </w:tc>
      </w:tr>
      <w:tr w14:paraId="3D8EE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vAlign w:val="center"/>
          </w:tcPr>
          <w:p w14:paraId="28239DE3">
            <w:pPr>
              <w:adjustRightInd w:val="0"/>
              <w:snapToGrid w:val="0"/>
              <w:spacing w:line="360" w:lineRule="atLeast"/>
              <w:jc w:val="center"/>
              <w:rPr>
                <w:color w:val="auto"/>
                <w:sz w:val="18"/>
                <w:szCs w:val="18"/>
              </w:rPr>
            </w:pPr>
          </w:p>
        </w:tc>
        <w:tc>
          <w:tcPr>
            <w:tcW w:w="3544" w:type="dxa"/>
            <w:vAlign w:val="center"/>
          </w:tcPr>
          <w:p w14:paraId="69D8F3A9">
            <w:pPr>
              <w:adjustRightInd w:val="0"/>
              <w:snapToGrid w:val="0"/>
              <w:spacing w:line="240" w:lineRule="exact"/>
              <w:jc w:val="center"/>
              <w:rPr>
                <w:color w:val="auto"/>
                <w:sz w:val="18"/>
                <w:szCs w:val="18"/>
              </w:rPr>
            </w:pPr>
            <w:r>
              <w:rPr>
                <w:color w:val="auto"/>
                <w:sz w:val="18"/>
                <w:szCs w:val="18"/>
              </w:rPr>
              <w:t>5.0</w:t>
            </w:r>
          </w:p>
        </w:tc>
        <w:tc>
          <w:tcPr>
            <w:tcW w:w="3761" w:type="dxa"/>
            <w:vAlign w:val="center"/>
          </w:tcPr>
          <w:p w14:paraId="32AA0DA5">
            <w:pPr>
              <w:adjustRightInd w:val="0"/>
              <w:snapToGrid w:val="0"/>
              <w:spacing w:line="240" w:lineRule="exact"/>
              <w:jc w:val="center"/>
              <w:rPr>
                <w:color w:val="auto"/>
                <w:sz w:val="18"/>
                <w:szCs w:val="18"/>
              </w:rPr>
            </w:pPr>
            <w:r>
              <w:rPr>
                <w:color w:val="auto"/>
                <w:sz w:val="18"/>
                <w:szCs w:val="18"/>
              </w:rPr>
              <w:t>1500</w:t>
            </w:r>
          </w:p>
        </w:tc>
      </w:tr>
      <w:tr w14:paraId="0C052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restart"/>
            <w:vAlign w:val="center"/>
          </w:tcPr>
          <w:p w14:paraId="07F4944E">
            <w:pPr>
              <w:adjustRightInd w:val="0"/>
              <w:snapToGrid w:val="0"/>
              <w:spacing w:line="360" w:lineRule="atLeast"/>
              <w:jc w:val="center"/>
              <w:rPr>
                <w:color w:val="auto"/>
                <w:sz w:val="18"/>
                <w:szCs w:val="18"/>
              </w:rPr>
            </w:pPr>
            <w:r>
              <w:rPr>
                <w:color w:val="auto"/>
                <w:sz w:val="18"/>
                <w:szCs w:val="18"/>
              </w:rPr>
              <w:t>砂土</w:t>
            </w:r>
          </w:p>
          <w:p w14:paraId="1C7E860A">
            <w:pPr>
              <w:adjustRightInd w:val="0"/>
              <w:snapToGrid w:val="0"/>
              <w:spacing w:line="360" w:lineRule="atLeast"/>
              <w:jc w:val="center"/>
              <w:rPr>
                <w:color w:val="auto"/>
                <w:sz w:val="18"/>
                <w:szCs w:val="18"/>
              </w:rPr>
            </w:pPr>
            <w:r>
              <w:rPr>
                <w:color w:val="auto"/>
                <w:sz w:val="18"/>
                <w:szCs w:val="18"/>
              </w:rPr>
              <w:t>（粉、细砂）</w:t>
            </w:r>
          </w:p>
        </w:tc>
        <w:tc>
          <w:tcPr>
            <w:tcW w:w="3544" w:type="dxa"/>
            <w:vAlign w:val="center"/>
          </w:tcPr>
          <w:p w14:paraId="61503D8F">
            <w:pPr>
              <w:adjustRightInd w:val="0"/>
              <w:snapToGrid w:val="0"/>
              <w:spacing w:line="240" w:lineRule="exact"/>
              <w:jc w:val="center"/>
              <w:rPr>
                <w:color w:val="auto"/>
                <w:sz w:val="18"/>
                <w:szCs w:val="18"/>
              </w:rPr>
            </w:pPr>
            <w:r>
              <w:rPr>
                <w:color w:val="auto"/>
                <w:sz w:val="18"/>
                <w:szCs w:val="18"/>
              </w:rPr>
              <w:t>5.5</w:t>
            </w:r>
          </w:p>
        </w:tc>
        <w:tc>
          <w:tcPr>
            <w:tcW w:w="3761" w:type="dxa"/>
            <w:vAlign w:val="center"/>
          </w:tcPr>
          <w:p w14:paraId="653C2DEB">
            <w:pPr>
              <w:adjustRightInd w:val="0"/>
              <w:snapToGrid w:val="0"/>
              <w:spacing w:line="240" w:lineRule="exact"/>
              <w:jc w:val="center"/>
              <w:rPr>
                <w:color w:val="auto"/>
                <w:sz w:val="18"/>
                <w:szCs w:val="18"/>
              </w:rPr>
            </w:pPr>
            <w:r>
              <w:rPr>
                <w:color w:val="auto"/>
                <w:sz w:val="18"/>
                <w:szCs w:val="18"/>
              </w:rPr>
              <w:t>1500</w:t>
            </w:r>
          </w:p>
        </w:tc>
      </w:tr>
      <w:tr w14:paraId="11481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3354C0CE">
            <w:pPr>
              <w:adjustRightInd w:val="0"/>
              <w:snapToGrid w:val="0"/>
              <w:spacing w:line="360" w:lineRule="atLeast"/>
              <w:rPr>
                <w:color w:val="auto"/>
                <w:sz w:val="18"/>
                <w:szCs w:val="18"/>
              </w:rPr>
            </w:pPr>
          </w:p>
        </w:tc>
        <w:tc>
          <w:tcPr>
            <w:tcW w:w="3544" w:type="dxa"/>
            <w:vAlign w:val="center"/>
          </w:tcPr>
          <w:p w14:paraId="2A79D7F9">
            <w:pPr>
              <w:adjustRightInd w:val="0"/>
              <w:snapToGrid w:val="0"/>
              <w:spacing w:line="240" w:lineRule="exact"/>
              <w:jc w:val="center"/>
              <w:rPr>
                <w:color w:val="auto"/>
                <w:sz w:val="18"/>
                <w:szCs w:val="18"/>
              </w:rPr>
            </w:pPr>
            <w:r>
              <w:rPr>
                <w:color w:val="auto"/>
                <w:sz w:val="18"/>
                <w:szCs w:val="18"/>
              </w:rPr>
              <w:t>6.0</w:t>
            </w:r>
          </w:p>
        </w:tc>
        <w:tc>
          <w:tcPr>
            <w:tcW w:w="3761" w:type="dxa"/>
            <w:vAlign w:val="center"/>
          </w:tcPr>
          <w:p w14:paraId="4326671A">
            <w:pPr>
              <w:adjustRightInd w:val="0"/>
              <w:snapToGrid w:val="0"/>
              <w:spacing w:line="240" w:lineRule="exact"/>
              <w:jc w:val="center"/>
              <w:rPr>
                <w:color w:val="auto"/>
                <w:sz w:val="18"/>
                <w:szCs w:val="18"/>
              </w:rPr>
            </w:pPr>
            <w:r>
              <w:rPr>
                <w:color w:val="auto"/>
                <w:sz w:val="18"/>
                <w:szCs w:val="18"/>
              </w:rPr>
              <w:t>1600</w:t>
            </w:r>
          </w:p>
        </w:tc>
      </w:tr>
      <w:tr w14:paraId="42C5D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4B8D30B0">
            <w:pPr>
              <w:adjustRightInd w:val="0"/>
              <w:snapToGrid w:val="0"/>
              <w:spacing w:line="360" w:lineRule="atLeast"/>
              <w:rPr>
                <w:color w:val="auto"/>
                <w:sz w:val="18"/>
                <w:szCs w:val="18"/>
              </w:rPr>
            </w:pPr>
          </w:p>
        </w:tc>
        <w:tc>
          <w:tcPr>
            <w:tcW w:w="3544" w:type="dxa"/>
            <w:vAlign w:val="center"/>
          </w:tcPr>
          <w:p w14:paraId="02A51A3B">
            <w:pPr>
              <w:adjustRightInd w:val="0"/>
              <w:snapToGrid w:val="0"/>
              <w:spacing w:line="240" w:lineRule="exact"/>
              <w:jc w:val="center"/>
              <w:rPr>
                <w:color w:val="auto"/>
                <w:sz w:val="18"/>
                <w:szCs w:val="18"/>
              </w:rPr>
            </w:pPr>
            <w:r>
              <w:rPr>
                <w:color w:val="auto"/>
                <w:sz w:val="18"/>
                <w:szCs w:val="18"/>
              </w:rPr>
              <w:t>7.0</w:t>
            </w:r>
          </w:p>
        </w:tc>
        <w:tc>
          <w:tcPr>
            <w:tcW w:w="3761" w:type="dxa"/>
            <w:vAlign w:val="center"/>
          </w:tcPr>
          <w:p w14:paraId="65E4F71E">
            <w:pPr>
              <w:adjustRightInd w:val="0"/>
              <w:snapToGrid w:val="0"/>
              <w:spacing w:line="240" w:lineRule="exact"/>
              <w:jc w:val="center"/>
              <w:rPr>
                <w:color w:val="auto"/>
                <w:sz w:val="18"/>
                <w:szCs w:val="18"/>
              </w:rPr>
            </w:pPr>
            <w:r>
              <w:rPr>
                <w:color w:val="auto"/>
                <w:sz w:val="18"/>
                <w:szCs w:val="18"/>
              </w:rPr>
              <w:t>1700</w:t>
            </w:r>
          </w:p>
        </w:tc>
      </w:tr>
      <w:tr w14:paraId="7E817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0292906A">
            <w:pPr>
              <w:adjustRightInd w:val="0"/>
              <w:snapToGrid w:val="0"/>
              <w:spacing w:line="360" w:lineRule="atLeast"/>
              <w:rPr>
                <w:color w:val="auto"/>
                <w:sz w:val="18"/>
                <w:szCs w:val="18"/>
              </w:rPr>
            </w:pPr>
          </w:p>
        </w:tc>
        <w:tc>
          <w:tcPr>
            <w:tcW w:w="3544" w:type="dxa"/>
            <w:vAlign w:val="center"/>
          </w:tcPr>
          <w:p w14:paraId="3983DA8F">
            <w:pPr>
              <w:adjustRightInd w:val="0"/>
              <w:snapToGrid w:val="0"/>
              <w:spacing w:line="240" w:lineRule="exact"/>
              <w:jc w:val="center"/>
              <w:rPr>
                <w:color w:val="auto"/>
                <w:sz w:val="18"/>
                <w:szCs w:val="18"/>
              </w:rPr>
            </w:pPr>
            <w:r>
              <w:rPr>
                <w:color w:val="auto"/>
                <w:sz w:val="18"/>
                <w:szCs w:val="18"/>
              </w:rPr>
              <w:t>8.0</w:t>
            </w:r>
          </w:p>
        </w:tc>
        <w:tc>
          <w:tcPr>
            <w:tcW w:w="3761" w:type="dxa"/>
            <w:vAlign w:val="center"/>
          </w:tcPr>
          <w:p w14:paraId="3D16E650">
            <w:pPr>
              <w:adjustRightInd w:val="0"/>
              <w:snapToGrid w:val="0"/>
              <w:spacing w:line="240" w:lineRule="exact"/>
              <w:jc w:val="center"/>
              <w:rPr>
                <w:color w:val="auto"/>
                <w:sz w:val="18"/>
                <w:szCs w:val="18"/>
              </w:rPr>
            </w:pPr>
            <w:r>
              <w:rPr>
                <w:color w:val="auto"/>
                <w:sz w:val="18"/>
                <w:szCs w:val="18"/>
              </w:rPr>
              <w:t>1900</w:t>
            </w:r>
          </w:p>
        </w:tc>
      </w:tr>
      <w:tr w14:paraId="0919F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4FBA6031">
            <w:pPr>
              <w:adjustRightInd w:val="0"/>
              <w:snapToGrid w:val="0"/>
              <w:spacing w:line="360" w:lineRule="atLeast"/>
              <w:rPr>
                <w:color w:val="auto"/>
                <w:sz w:val="18"/>
                <w:szCs w:val="18"/>
              </w:rPr>
            </w:pPr>
          </w:p>
        </w:tc>
        <w:tc>
          <w:tcPr>
            <w:tcW w:w="3544" w:type="dxa"/>
            <w:vAlign w:val="center"/>
          </w:tcPr>
          <w:p w14:paraId="1A761DB7">
            <w:pPr>
              <w:adjustRightInd w:val="0"/>
              <w:snapToGrid w:val="0"/>
              <w:spacing w:line="240" w:lineRule="exact"/>
              <w:jc w:val="center"/>
              <w:rPr>
                <w:color w:val="auto"/>
                <w:sz w:val="18"/>
                <w:szCs w:val="18"/>
              </w:rPr>
            </w:pPr>
            <w:r>
              <w:rPr>
                <w:color w:val="auto"/>
                <w:sz w:val="18"/>
                <w:szCs w:val="18"/>
              </w:rPr>
              <w:t>9.0</w:t>
            </w:r>
          </w:p>
        </w:tc>
        <w:tc>
          <w:tcPr>
            <w:tcW w:w="3761" w:type="dxa"/>
            <w:vAlign w:val="center"/>
          </w:tcPr>
          <w:p w14:paraId="5CF22420">
            <w:pPr>
              <w:adjustRightInd w:val="0"/>
              <w:snapToGrid w:val="0"/>
              <w:spacing w:line="240" w:lineRule="exact"/>
              <w:jc w:val="center"/>
              <w:rPr>
                <w:color w:val="auto"/>
                <w:sz w:val="18"/>
                <w:szCs w:val="18"/>
              </w:rPr>
            </w:pPr>
            <w:r>
              <w:rPr>
                <w:color w:val="auto"/>
                <w:sz w:val="18"/>
                <w:szCs w:val="18"/>
              </w:rPr>
              <w:t>2100</w:t>
            </w:r>
          </w:p>
        </w:tc>
      </w:tr>
      <w:tr w14:paraId="49FE7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456FCE1C">
            <w:pPr>
              <w:adjustRightInd w:val="0"/>
              <w:snapToGrid w:val="0"/>
              <w:spacing w:line="360" w:lineRule="atLeast"/>
              <w:rPr>
                <w:color w:val="auto"/>
                <w:sz w:val="18"/>
                <w:szCs w:val="18"/>
              </w:rPr>
            </w:pPr>
          </w:p>
        </w:tc>
        <w:tc>
          <w:tcPr>
            <w:tcW w:w="3544" w:type="dxa"/>
            <w:vAlign w:val="center"/>
          </w:tcPr>
          <w:p w14:paraId="769A9383">
            <w:pPr>
              <w:adjustRightInd w:val="0"/>
              <w:snapToGrid w:val="0"/>
              <w:spacing w:line="240" w:lineRule="exact"/>
              <w:jc w:val="center"/>
              <w:rPr>
                <w:color w:val="auto"/>
                <w:sz w:val="18"/>
                <w:szCs w:val="18"/>
              </w:rPr>
            </w:pPr>
            <w:r>
              <w:rPr>
                <w:color w:val="auto"/>
                <w:sz w:val="18"/>
                <w:szCs w:val="18"/>
              </w:rPr>
              <w:t>10</w:t>
            </w:r>
          </w:p>
        </w:tc>
        <w:tc>
          <w:tcPr>
            <w:tcW w:w="3761" w:type="dxa"/>
            <w:vAlign w:val="center"/>
          </w:tcPr>
          <w:p w14:paraId="4935EEC0">
            <w:pPr>
              <w:adjustRightInd w:val="0"/>
              <w:snapToGrid w:val="0"/>
              <w:spacing w:line="240" w:lineRule="exact"/>
              <w:jc w:val="center"/>
              <w:rPr>
                <w:color w:val="auto"/>
                <w:sz w:val="18"/>
                <w:szCs w:val="18"/>
              </w:rPr>
            </w:pPr>
            <w:r>
              <w:rPr>
                <w:color w:val="auto"/>
                <w:sz w:val="18"/>
                <w:szCs w:val="18"/>
              </w:rPr>
              <w:t>2300</w:t>
            </w:r>
          </w:p>
        </w:tc>
      </w:tr>
      <w:tr w14:paraId="0434C5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897" w:type="dxa"/>
            <w:vMerge w:val="continue"/>
          </w:tcPr>
          <w:p w14:paraId="0229C7EE">
            <w:pPr>
              <w:adjustRightInd w:val="0"/>
              <w:snapToGrid w:val="0"/>
              <w:spacing w:line="360" w:lineRule="atLeast"/>
              <w:rPr>
                <w:color w:val="auto"/>
                <w:sz w:val="18"/>
                <w:szCs w:val="18"/>
              </w:rPr>
            </w:pPr>
          </w:p>
        </w:tc>
        <w:tc>
          <w:tcPr>
            <w:tcW w:w="3544" w:type="dxa"/>
            <w:vAlign w:val="center"/>
          </w:tcPr>
          <w:p w14:paraId="5FE00A92">
            <w:pPr>
              <w:adjustRightInd w:val="0"/>
              <w:snapToGrid w:val="0"/>
              <w:spacing w:line="240" w:lineRule="exact"/>
              <w:jc w:val="center"/>
              <w:rPr>
                <w:color w:val="auto"/>
                <w:sz w:val="18"/>
                <w:szCs w:val="18"/>
              </w:rPr>
            </w:pPr>
            <w:r>
              <w:rPr>
                <w:color w:val="auto"/>
                <w:sz w:val="18"/>
                <w:szCs w:val="18"/>
              </w:rPr>
              <w:t>11</w:t>
            </w:r>
          </w:p>
        </w:tc>
        <w:tc>
          <w:tcPr>
            <w:tcW w:w="3761" w:type="dxa"/>
            <w:vAlign w:val="center"/>
          </w:tcPr>
          <w:p w14:paraId="1C8A39A4">
            <w:pPr>
              <w:adjustRightInd w:val="0"/>
              <w:snapToGrid w:val="0"/>
              <w:spacing w:line="240" w:lineRule="exact"/>
              <w:jc w:val="center"/>
              <w:rPr>
                <w:color w:val="auto"/>
                <w:sz w:val="18"/>
                <w:szCs w:val="18"/>
              </w:rPr>
            </w:pPr>
            <w:r>
              <w:rPr>
                <w:color w:val="auto"/>
                <w:sz w:val="18"/>
                <w:szCs w:val="18"/>
              </w:rPr>
              <w:t>2500</w:t>
            </w:r>
          </w:p>
        </w:tc>
      </w:tr>
      <w:tr w14:paraId="28694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9202" w:type="dxa"/>
            <w:gridSpan w:val="3"/>
          </w:tcPr>
          <w:p w14:paraId="773409D7">
            <w:pPr>
              <w:adjustRightInd w:val="0"/>
              <w:snapToGrid w:val="0"/>
              <w:ind w:firstLine="180" w:firstLineChars="100"/>
              <w:rPr>
                <w:color w:val="auto"/>
                <w:sz w:val="18"/>
                <w:szCs w:val="18"/>
              </w:rPr>
            </w:pPr>
            <w:r>
              <w:rPr>
                <w:color w:val="auto"/>
                <w:sz w:val="18"/>
                <w:szCs w:val="18"/>
              </w:rPr>
              <w:t>注：表中桩端土的比贯阻力计算值</w:t>
            </w:r>
            <w:r>
              <w:rPr>
                <w:i/>
                <w:color w:val="auto"/>
                <w:sz w:val="18"/>
                <w:szCs w:val="18"/>
              </w:rPr>
              <w:t>P</w:t>
            </w:r>
            <w:r>
              <w:rPr>
                <w:i/>
                <w:color w:val="auto"/>
                <w:sz w:val="18"/>
                <w:szCs w:val="18"/>
                <w:vertAlign w:val="subscript"/>
              </w:rPr>
              <w:t>s0</w:t>
            </w:r>
            <w:r>
              <w:rPr>
                <w:color w:val="auto"/>
                <w:sz w:val="18"/>
                <w:szCs w:val="18"/>
              </w:rPr>
              <w:t>,按下列公式确定：</w:t>
            </w:r>
          </w:p>
          <w:p w14:paraId="7147BB52">
            <w:pPr>
              <w:adjustRightInd w:val="0"/>
              <w:snapToGrid w:val="0"/>
              <w:ind w:left="504" w:leftChars="240" w:firstLine="450" w:firstLineChars="250"/>
              <w:jc w:val="left"/>
              <w:rPr>
                <w:color w:val="auto"/>
                <w:sz w:val="18"/>
                <w:szCs w:val="18"/>
              </w:rPr>
            </w:pPr>
            <w:r>
              <w:rPr>
                <w:color w:val="auto"/>
                <w:sz w:val="18"/>
                <w:szCs w:val="18"/>
              </w:rPr>
              <w:t>当</w:t>
            </w:r>
            <w:r>
              <w:rPr>
                <w:i/>
                <w:color w:val="auto"/>
                <w:sz w:val="18"/>
                <w:szCs w:val="18"/>
              </w:rPr>
              <w:t>p</w:t>
            </w:r>
            <w:r>
              <w:rPr>
                <w:color w:val="auto"/>
                <w:sz w:val="18"/>
                <w:szCs w:val="18"/>
                <w:vertAlign w:val="subscript"/>
              </w:rPr>
              <w:t>s1</w:t>
            </w:r>
            <w:r>
              <w:rPr>
                <w:color w:val="auto"/>
                <w:sz w:val="18"/>
                <w:szCs w:val="18"/>
              </w:rPr>
              <w:t>≤</w:t>
            </w:r>
            <w:r>
              <w:rPr>
                <w:i/>
                <w:color w:val="auto"/>
                <w:sz w:val="18"/>
                <w:szCs w:val="18"/>
              </w:rPr>
              <w:t>P</w:t>
            </w:r>
            <w:r>
              <w:rPr>
                <w:i/>
                <w:color w:val="auto"/>
                <w:sz w:val="18"/>
                <w:szCs w:val="18"/>
                <w:vertAlign w:val="subscript"/>
              </w:rPr>
              <w:t>s</w:t>
            </w:r>
            <w:r>
              <w:rPr>
                <w:color w:val="auto"/>
                <w:sz w:val="18"/>
                <w:szCs w:val="18"/>
                <w:vertAlign w:val="subscript"/>
              </w:rPr>
              <w:t>2</w:t>
            </w:r>
            <w:r>
              <w:rPr>
                <w:color w:val="auto"/>
                <w:sz w:val="18"/>
                <w:szCs w:val="18"/>
              </w:rPr>
              <w:t xml:space="preserve">时,    </w:t>
            </w:r>
            <w:r>
              <w:rPr>
                <w:i/>
                <w:color w:val="auto"/>
                <w:sz w:val="18"/>
                <w:szCs w:val="18"/>
              </w:rPr>
              <w:t>p</w:t>
            </w:r>
            <w:r>
              <w:rPr>
                <w:color w:val="auto"/>
                <w:sz w:val="18"/>
                <w:szCs w:val="18"/>
                <w:vertAlign w:val="subscript"/>
              </w:rPr>
              <w:t xml:space="preserve">s0 </w:t>
            </w:r>
            <w:r>
              <w:rPr>
                <w:color w:val="auto"/>
                <w:sz w:val="18"/>
                <w:szCs w:val="18"/>
              </w:rPr>
              <w:t>=（</w:t>
            </w:r>
            <w:r>
              <w:rPr>
                <w:i/>
                <w:color w:val="auto"/>
                <w:sz w:val="18"/>
                <w:szCs w:val="18"/>
              </w:rPr>
              <w:t>P</w:t>
            </w:r>
            <w:r>
              <w:rPr>
                <w:color w:val="auto"/>
                <w:sz w:val="18"/>
                <w:szCs w:val="18"/>
                <w:vertAlign w:val="subscript"/>
              </w:rPr>
              <w:t>s1</w:t>
            </w:r>
            <w:r>
              <w:rPr>
                <w:color w:val="auto"/>
                <w:sz w:val="18"/>
                <w:szCs w:val="18"/>
              </w:rPr>
              <w:t>+</w:t>
            </w:r>
            <w:r>
              <w:rPr>
                <w:i/>
                <w:color w:val="auto"/>
                <w:sz w:val="18"/>
                <w:szCs w:val="18"/>
              </w:rPr>
              <w:t>P</w:t>
            </w:r>
            <w:r>
              <w:rPr>
                <w:color w:val="auto"/>
                <w:sz w:val="18"/>
                <w:szCs w:val="18"/>
                <w:vertAlign w:val="subscript"/>
              </w:rPr>
              <w:t>s2</w:t>
            </w:r>
            <w:r>
              <w:rPr>
                <w:color w:val="auto"/>
                <w:sz w:val="18"/>
                <w:szCs w:val="18"/>
              </w:rPr>
              <w:t>)/2                (</w:t>
            </w:r>
            <w:r>
              <w:rPr>
                <w:iCs/>
                <w:color w:val="auto"/>
                <w:sz w:val="18"/>
                <w:szCs w:val="18"/>
              </w:rPr>
              <w:t>F</w:t>
            </w:r>
            <w:r>
              <w:rPr>
                <w:color w:val="auto"/>
                <w:sz w:val="18"/>
                <w:szCs w:val="18"/>
              </w:rPr>
              <w:t>.1)</w:t>
            </w:r>
          </w:p>
          <w:p w14:paraId="2F8FD5CE">
            <w:pPr>
              <w:wordWrap w:val="0"/>
              <w:adjustRightInd w:val="0"/>
              <w:snapToGrid w:val="0"/>
              <w:ind w:left="720" w:hanging="720" w:hangingChars="400"/>
              <w:jc w:val="left"/>
              <w:rPr>
                <w:color w:val="auto"/>
                <w:sz w:val="18"/>
                <w:szCs w:val="18"/>
              </w:rPr>
            </w:pPr>
            <w:r>
              <w:rPr>
                <w:color w:val="auto"/>
                <w:sz w:val="18"/>
                <w:szCs w:val="18"/>
              </w:rPr>
              <w:t xml:space="preserve">             当</w:t>
            </w:r>
            <w:r>
              <w:rPr>
                <w:i/>
                <w:color w:val="auto"/>
                <w:sz w:val="18"/>
                <w:szCs w:val="18"/>
              </w:rPr>
              <w:t>p</w:t>
            </w:r>
            <w:r>
              <w:rPr>
                <w:color w:val="auto"/>
                <w:sz w:val="18"/>
                <w:szCs w:val="18"/>
                <w:vertAlign w:val="subscript"/>
              </w:rPr>
              <w:t>s1</w:t>
            </w:r>
            <w:r>
              <w:rPr>
                <w:color w:val="auto"/>
                <w:sz w:val="18"/>
                <w:szCs w:val="18"/>
              </w:rPr>
              <w:t>＞</w:t>
            </w:r>
            <w:r>
              <w:rPr>
                <w:i/>
                <w:color w:val="auto"/>
                <w:sz w:val="18"/>
                <w:szCs w:val="18"/>
              </w:rPr>
              <w:t>P</w:t>
            </w:r>
            <w:r>
              <w:rPr>
                <w:i/>
                <w:color w:val="auto"/>
                <w:sz w:val="18"/>
                <w:szCs w:val="18"/>
                <w:vertAlign w:val="subscript"/>
              </w:rPr>
              <w:t>s</w:t>
            </w:r>
            <w:r>
              <w:rPr>
                <w:color w:val="auto"/>
                <w:sz w:val="18"/>
                <w:szCs w:val="18"/>
                <w:vertAlign w:val="subscript"/>
              </w:rPr>
              <w:t>2</w:t>
            </w:r>
            <w:r>
              <w:rPr>
                <w:color w:val="auto"/>
                <w:sz w:val="18"/>
                <w:szCs w:val="18"/>
              </w:rPr>
              <w:t xml:space="preserve">时,   </w:t>
            </w:r>
            <w:r>
              <w:rPr>
                <w:i/>
                <w:color w:val="auto"/>
                <w:sz w:val="18"/>
                <w:szCs w:val="18"/>
              </w:rPr>
              <w:t>p</w:t>
            </w:r>
            <w:r>
              <w:rPr>
                <w:color w:val="auto"/>
                <w:sz w:val="18"/>
                <w:szCs w:val="18"/>
                <w:vertAlign w:val="subscript"/>
              </w:rPr>
              <w:t>s0</w:t>
            </w:r>
            <w:r>
              <w:rPr>
                <w:color w:val="auto"/>
                <w:sz w:val="18"/>
                <w:szCs w:val="18"/>
              </w:rPr>
              <w:t>=</w:t>
            </w:r>
            <w:r>
              <w:rPr>
                <w:i/>
                <w:color w:val="auto"/>
                <w:sz w:val="18"/>
                <w:szCs w:val="18"/>
              </w:rPr>
              <w:t>P</w:t>
            </w:r>
            <w:r>
              <w:rPr>
                <w:color w:val="auto"/>
                <w:sz w:val="18"/>
                <w:szCs w:val="18"/>
                <w:vertAlign w:val="subscript"/>
              </w:rPr>
              <w:t xml:space="preserve">s2                                 </w:t>
            </w:r>
            <w:r>
              <w:rPr>
                <w:color w:val="auto"/>
                <w:sz w:val="18"/>
                <w:szCs w:val="18"/>
              </w:rPr>
              <w:t>(</w:t>
            </w:r>
            <w:r>
              <w:rPr>
                <w:iCs/>
                <w:color w:val="auto"/>
                <w:sz w:val="18"/>
                <w:szCs w:val="18"/>
              </w:rPr>
              <w:t>F</w:t>
            </w:r>
            <w:r>
              <w:rPr>
                <w:color w:val="auto"/>
                <w:sz w:val="18"/>
                <w:szCs w:val="18"/>
              </w:rPr>
              <w:t>.2)</w:t>
            </w:r>
          </w:p>
          <w:p w14:paraId="06D78238">
            <w:pPr>
              <w:adjustRightInd w:val="0"/>
              <w:snapToGrid w:val="0"/>
              <w:ind w:left="720" w:hanging="720" w:hangingChars="400"/>
              <w:rPr>
                <w:color w:val="auto"/>
                <w:sz w:val="18"/>
                <w:szCs w:val="18"/>
              </w:rPr>
            </w:pPr>
            <w:r>
              <w:rPr>
                <w:color w:val="auto"/>
                <w:sz w:val="18"/>
                <w:szCs w:val="18"/>
              </w:rPr>
              <w:t xml:space="preserve">  式中 </w:t>
            </w:r>
            <w:r>
              <w:rPr>
                <w:i/>
                <w:color w:val="auto"/>
                <w:sz w:val="18"/>
                <w:szCs w:val="18"/>
              </w:rPr>
              <w:t>p</w:t>
            </w:r>
            <w:r>
              <w:rPr>
                <w:color w:val="auto"/>
                <w:sz w:val="18"/>
                <w:szCs w:val="18"/>
                <w:vertAlign w:val="subscript"/>
              </w:rPr>
              <w:t>s1</w:t>
            </w:r>
            <w:r>
              <w:rPr>
                <w:color w:val="auto"/>
                <w:sz w:val="18"/>
                <w:szCs w:val="18"/>
              </w:rPr>
              <w:t>—桩端标高以上4d（d为桩端直径）范围内土的比贯入阻力的平均值；</w:t>
            </w:r>
          </w:p>
          <w:p w14:paraId="7F982577">
            <w:pPr>
              <w:adjustRightInd w:val="0"/>
              <w:snapToGrid w:val="0"/>
              <w:ind w:left="720" w:hanging="720" w:hangingChars="400"/>
              <w:rPr>
                <w:color w:val="auto"/>
                <w:sz w:val="18"/>
                <w:szCs w:val="18"/>
              </w:rPr>
            </w:pPr>
            <w:r>
              <w:rPr>
                <w:color w:val="auto"/>
                <w:sz w:val="18"/>
                <w:szCs w:val="18"/>
              </w:rPr>
              <w:t xml:space="preserve">       </w:t>
            </w:r>
            <w:r>
              <w:rPr>
                <w:i/>
                <w:color w:val="auto"/>
                <w:sz w:val="18"/>
                <w:szCs w:val="18"/>
              </w:rPr>
              <w:t>p</w:t>
            </w:r>
            <w:r>
              <w:rPr>
                <w:color w:val="auto"/>
                <w:sz w:val="18"/>
                <w:szCs w:val="18"/>
                <w:vertAlign w:val="subscript"/>
              </w:rPr>
              <w:t>s2</w:t>
            </w:r>
            <w:r>
              <w:rPr>
                <w:color w:val="auto"/>
                <w:sz w:val="18"/>
                <w:szCs w:val="18"/>
              </w:rPr>
              <w:t>—桩端标高以下4d范围内土的比贯入阻力的平均值。</w:t>
            </w:r>
          </w:p>
        </w:tc>
      </w:tr>
    </w:tbl>
    <w:p w14:paraId="414EC79F">
      <w:pPr>
        <w:adjustRightInd w:val="0"/>
        <w:snapToGrid w:val="0"/>
        <w:ind w:left="723" w:hanging="723" w:hangingChars="400"/>
        <w:rPr>
          <w:b/>
          <w:bCs/>
          <w:color w:val="auto"/>
          <w:sz w:val="18"/>
        </w:rPr>
      </w:pPr>
    </w:p>
    <w:p w14:paraId="3C0E5C49">
      <w:pPr>
        <w:adjustRightInd w:val="0"/>
        <w:snapToGrid w:val="0"/>
        <w:spacing w:line="360" w:lineRule="exact"/>
        <w:rPr>
          <w:color w:val="auto"/>
          <w:szCs w:val="21"/>
        </w:rPr>
      </w:pPr>
      <w:r>
        <w:rPr>
          <w:b/>
          <w:bCs/>
          <w:color w:val="auto"/>
          <w:szCs w:val="21"/>
        </w:rPr>
        <w:t>F.2</w:t>
      </w:r>
      <w:r>
        <w:rPr>
          <w:color w:val="auto"/>
          <w:szCs w:val="21"/>
        </w:rPr>
        <w:t xml:space="preserve">  钻孔桩桩侧土的摩阻力、桩端阻力特征值,可按表F.6、表F.7取值。表中</w:t>
      </w:r>
      <w:r>
        <w:rPr>
          <w:i/>
          <w:color w:val="auto"/>
          <w:szCs w:val="21"/>
        </w:rPr>
        <w:t>N</w:t>
      </w:r>
      <w:r>
        <w:rPr>
          <w:color w:val="auto"/>
          <w:szCs w:val="21"/>
        </w:rPr>
        <w:t>、</w:t>
      </w:r>
      <w:r>
        <w:rPr>
          <w:i/>
          <w:color w:val="auto"/>
          <w:szCs w:val="21"/>
        </w:rPr>
        <w:t>p</w:t>
      </w:r>
      <w:r>
        <w:rPr>
          <w:color w:val="auto"/>
          <w:szCs w:val="21"/>
          <w:vertAlign w:val="subscript"/>
        </w:rPr>
        <w:t>s</w:t>
      </w:r>
      <w:r>
        <w:rPr>
          <w:color w:val="auto"/>
          <w:szCs w:val="21"/>
        </w:rPr>
        <w:t>意义同F.1。</w:t>
      </w:r>
    </w:p>
    <w:p w14:paraId="3054EF51">
      <w:pPr>
        <w:adjustRightInd w:val="0"/>
        <w:snapToGrid w:val="0"/>
        <w:spacing w:before="240" w:after="156" w:afterLines="50" w:line="360" w:lineRule="atLeast"/>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表F.6  钻孔桩桩侧阻力特征值</w:t>
      </w:r>
      <w:r>
        <w:rPr>
          <w:rFonts w:eastAsia="黑体"/>
          <w:b/>
          <w:i/>
          <w:color w:val="auto"/>
          <w:szCs w:val="21"/>
        </w:rPr>
        <w:t>q</w:t>
      </w:r>
      <w:r>
        <w:rPr>
          <w:rFonts w:eastAsia="黑体"/>
          <w:b/>
          <w:iCs/>
          <w:color w:val="auto"/>
          <w:szCs w:val="21"/>
          <w:vertAlign w:val="subscript"/>
        </w:rPr>
        <w:t>sia</w:t>
      </w:r>
      <w:r>
        <w:rPr>
          <w:rFonts w:eastAsia="黑体"/>
          <w:b/>
          <w:color w:val="auto"/>
          <w:sz w:val="18"/>
          <w:szCs w:val="18"/>
        </w:rPr>
        <w:t xml:space="preserve">     </w:t>
      </w:r>
      <w:r>
        <w:rPr>
          <w:rFonts w:hint="eastAsia" w:eastAsia="黑体"/>
          <w:b/>
          <w:color w:val="auto"/>
          <w:sz w:val="18"/>
          <w:szCs w:val="18"/>
        </w:rPr>
        <w:t xml:space="preserve">           </w:t>
      </w:r>
      <w:r>
        <w:rPr>
          <w:rFonts w:eastAsia="黑体"/>
          <w:b/>
          <w:i/>
          <w:color w:val="auto"/>
          <w:sz w:val="18"/>
          <w:szCs w:val="18"/>
          <w:vertAlign w:val="subscript"/>
        </w:rPr>
        <w:t xml:space="preserve">    </w:t>
      </w:r>
      <w:r>
        <w:rPr>
          <w:rFonts w:eastAsia="黑体"/>
          <w:color w:val="auto"/>
          <w:sz w:val="18"/>
          <w:szCs w:val="18"/>
        </w:rPr>
        <w:t>单位为kPa</w:t>
      </w:r>
    </w:p>
    <w:tbl>
      <w:tblPr>
        <w:tblStyle w:val="36"/>
        <w:tblW w:w="91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33"/>
        <w:gridCol w:w="1339"/>
        <w:gridCol w:w="1955"/>
        <w:gridCol w:w="1945"/>
        <w:gridCol w:w="1967"/>
      </w:tblGrid>
      <w:tr w14:paraId="07634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28C39B76">
            <w:pPr>
              <w:adjustRightInd w:val="0"/>
              <w:snapToGrid w:val="0"/>
              <w:jc w:val="center"/>
              <w:rPr>
                <w:color w:val="auto"/>
                <w:sz w:val="18"/>
                <w:szCs w:val="18"/>
              </w:rPr>
            </w:pPr>
            <w:r>
              <w:rPr>
                <w:color w:val="auto"/>
                <w:sz w:val="18"/>
                <w:szCs w:val="18"/>
              </w:rPr>
              <w:t>土的名称</w:t>
            </w:r>
          </w:p>
        </w:tc>
        <w:tc>
          <w:tcPr>
            <w:tcW w:w="3294" w:type="dxa"/>
            <w:gridSpan w:val="2"/>
            <w:vAlign w:val="center"/>
          </w:tcPr>
          <w:p w14:paraId="7C89FC8C">
            <w:pPr>
              <w:adjustRightInd w:val="0"/>
              <w:snapToGrid w:val="0"/>
              <w:jc w:val="center"/>
              <w:rPr>
                <w:color w:val="auto"/>
                <w:sz w:val="18"/>
                <w:szCs w:val="18"/>
              </w:rPr>
            </w:pPr>
            <w:r>
              <w:rPr>
                <w:color w:val="auto"/>
                <w:sz w:val="18"/>
                <w:szCs w:val="18"/>
              </w:rPr>
              <w:t>土的状态</w:t>
            </w:r>
            <w:r>
              <w:rPr>
                <w:rFonts w:hint="eastAsia"/>
                <w:color w:val="auto"/>
                <w:sz w:val="18"/>
                <w:szCs w:val="18"/>
              </w:rPr>
              <w:t>及</w:t>
            </w:r>
            <w:r>
              <w:rPr>
                <w:i/>
                <w:color w:val="auto"/>
                <w:sz w:val="18"/>
                <w:szCs w:val="18"/>
              </w:rPr>
              <w:t>N</w:t>
            </w:r>
            <w:r>
              <w:rPr>
                <w:color w:val="auto"/>
                <w:sz w:val="18"/>
                <w:szCs w:val="18"/>
              </w:rPr>
              <w:t>、</w:t>
            </w:r>
            <w:r>
              <w:rPr>
                <w:i/>
                <w:iCs/>
                <w:color w:val="auto"/>
                <w:sz w:val="18"/>
                <w:szCs w:val="18"/>
              </w:rPr>
              <w:t>N</w:t>
            </w:r>
            <w:r>
              <w:rPr>
                <w:iCs/>
                <w:color w:val="auto"/>
                <w:sz w:val="18"/>
                <w:szCs w:val="18"/>
                <w:vertAlign w:val="subscript"/>
              </w:rPr>
              <w:t>63.5</w:t>
            </w:r>
            <w:r>
              <w:rPr>
                <w:rFonts w:hint="eastAsia"/>
                <w:iCs/>
                <w:color w:val="auto"/>
                <w:sz w:val="18"/>
                <w:szCs w:val="18"/>
              </w:rPr>
              <w:t>、</w:t>
            </w:r>
            <w:r>
              <w:rPr>
                <w:i/>
                <w:color w:val="auto"/>
                <w:sz w:val="18"/>
                <w:szCs w:val="18"/>
              </w:rPr>
              <w:t>p</w:t>
            </w:r>
            <w:r>
              <w:rPr>
                <w:iCs/>
                <w:color w:val="auto"/>
                <w:sz w:val="18"/>
                <w:szCs w:val="18"/>
                <w:vertAlign w:val="subscript"/>
              </w:rPr>
              <w:t>s</w:t>
            </w:r>
            <w:r>
              <w:rPr>
                <w:color w:val="auto"/>
                <w:sz w:val="18"/>
                <w:szCs w:val="18"/>
              </w:rPr>
              <w:t>（MPa）值</w:t>
            </w:r>
          </w:p>
        </w:tc>
        <w:tc>
          <w:tcPr>
            <w:tcW w:w="1945" w:type="dxa"/>
            <w:vAlign w:val="center"/>
          </w:tcPr>
          <w:p w14:paraId="4492E261">
            <w:pPr>
              <w:adjustRightInd w:val="0"/>
              <w:snapToGrid w:val="0"/>
              <w:jc w:val="center"/>
              <w:rPr>
                <w:color w:val="auto"/>
                <w:sz w:val="18"/>
                <w:szCs w:val="18"/>
              </w:rPr>
            </w:pPr>
            <w:r>
              <w:rPr>
                <w:color w:val="auto"/>
                <w:sz w:val="18"/>
                <w:szCs w:val="18"/>
              </w:rPr>
              <w:t>水下钻（冲）孔桩</w:t>
            </w:r>
          </w:p>
        </w:tc>
        <w:tc>
          <w:tcPr>
            <w:tcW w:w="1967" w:type="dxa"/>
            <w:vAlign w:val="center"/>
          </w:tcPr>
          <w:p w14:paraId="39C77288">
            <w:pPr>
              <w:adjustRightInd w:val="0"/>
              <w:snapToGrid w:val="0"/>
              <w:jc w:val="center"/>
              <w:rPr>
                <w:color w:val="auto"/>
                <w:sz w:val="18"/>
                <w:szCs w:val="18"/>
              </w:rPr>
            </w:pPr>
            <w:r>
              <w:rPr>
                <w:color w:val="auto"/>
                <w:sz w:val="18"/>
                <w:szCs w:val="18"/>
              </w:rPr>
              <w:t>干作业钻（挖）孔桩</w:t>
            </w:r>
          </w:p>
        </w:tc>
      </w:tr>
      <w:tr w14:paraId="1E03F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4B941B20">
            <w:pPr>
              <w:adjustRightInd w:val="0"/>
              <w:snapToGrid w:val="0"/>
              <w:spacing w:line="300" w:lineRule="atLeast"/>
              <w:jc w:val="center"/>
              <w:rPr>
                <w:color w:val="auto"/>
                <w:sz w:val="18"/>
                <w:szCs w:val="18"/>
              </w:rPr>
            </w:pPr>
            <w:r>
              <w:rPr>
                <w:color w:val="auto"/>
                <w:sz w:val="18"/>
                <w:szCs w:val="18"/>
              </w:rPr>
              <w:t>填土</w:t>
            </w:r>
          </w:p>
        </w:tc>
        <w:tc>
          <w:tcPr>
            <w:tcW w:w="3294" w:type="dxa"/>
            <w:gridSpan w:val="2"/>
            <w:vAlign w:val="center"/>
          </w:tcPr>
          <w:p w14:paraId="13A3AFBC">
            <w:pPr>
              <w:adjustRightInd w:val="0"/>
              <w:snapToGrid w:val="0"/>
              <w:spacing w:line="300" w:lineRule="atLeast"/>
              <w:jc w:val="center"/>
              <w:rPr>
                <w:color w:val="auto"/>
                <w:sz w:val="18"/>
                <w:szCs w:val="18"/>
              </w:rPr>
            </w:pPr>
            <w:r>
              <w:rPr>
                <w:color w:val="auto"/>
                <w:sz w:val="18"/>
                <w:szCs w:val="18"/>
              </w:rPr>
              <w:t>---</w:t>
            </w:r>
          </w:p>
        </w:tc>
        <w:tc>
          <w:tcPr>
            <w:tcW w:w="1945" w:type="dxa"/>
            <w:vAlign w:val="center"/>
          </w:tcPr>
          <w:p w14:paraId="0C6E558D">
            <w:pPr>
              <w:adjustRightInd w:val="0"/>
              <w:snapToGrid w:val="0"/>
              <w:spacing w:line="300" w:lineRule="atLeast"/>
              <w:jc w:val="center"/>
              <w:rPr>
                <w:color w:val="auto"/>
                <w:sz w:val="18"/>
                <w:szCs w:val="18"/>
              </w:rPr>
            </w:pPr>
            <w:r>
              <w:rPr>
                <w:color w:val="auto"/>
                <w:sz w:val="18"/>
                <w:szCs w:val="18"/>
              </w:rPr>
              <w:t>9～13</w:t>
            </w:r>
          </w:p>
        </w:tc>
        <w:tc>
          <w:tcPr>
            <w:tcW w:w="1967" w:type="dxa"/>
            <w:vAlign w:val="center"/>
          </w:tcPr>
          <w:p w14:paraId="1F459A28">
            <w:pPr>
              <w:adjustRightInd w:val="0"/>
              <w:snapToGrid w:val="0"/>
              <w:spacing w:line="300" w:lineRule="atLeast"/>
              <w:jc w:val="center"/>
              <w:rPr>
                <w:color w:val="auto"/>
                <w:sz w:val="18"/>
                <w:szCs w:val="18"/>
              </w:rPr>
            </w:pPr>
            <w:r>
              <w:rPr>
                <w:color w:val="auto"/>
                <w:sz w:val="18"/>
                <w:szCs w:val="18"/>
              </w:rPr>
              <w:t>9～13</w:t>
            </w:r>
          </w:p>
        </w:tc>
      </w:tr>
      <w:tr w14:paraId="700B1B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1F1D2053">
            <w:pPr>
              <w:adjustRightInd w:val="0"/>
              <w:snapToGrid w:val="0"/>
              <w:spacing w:line="300" w:lineRule="atLeast"/>
              <w:jc w:val="center"/>
              <w:rPr>
                <w:color w:val="auto"/>
                <w:sz w:val="18"/>
                <w:szCs w:val="18"/>
              </w:rPr>
            </w:pPr>
            <w:r>
              <w:rPr>
                <w:color w:val="auto"/>
                <w:sz w:val="18"/>
                <w:szCs w:val="18"/>
              </w:rPr>
              <w:t>淤泥</w:t>
            </w:r>
          </w:p>
        </w:tc>
        <w:tc>
          <w:tcPr>
            <w:tcW w:w="3294" w:type="dxa"/>
            <w:gridSpan w:val="2"/>
            <w:vAlign w:val="center"/>
          </w:tcPr>
          <w:p w14:paraId="27D40325">
            <w:pPr>
              <w:adjustRightInd w:val="0"/>
              <w:snapToGrid w:val="0"/>
              <w:spacing w:line="300" w:lineRule="atLeast"/>
              <w:jc w:val="center"/>
              <w:rPr>
                <w:color w:val="auto"/>
                <w:sz w:val="18"/>
                <w:szCs w:val="18"/>
              </w:rPr>
            </w:pPr>
            <w:r>
              <w:rPr>
                <w:color w:val="auto"/>
                <w:sz w:val="18"/>
                <w:szCs w:val="18"/>
              </w:rPr>
              <w:t>---</w:t>
            </w:r>
          </w:p>
        </w:tc>
        <w:tc>
          <w:tcPr>
            <w:tcW w:w="1945" w:type="dxa"/>
            <w:vAlign w:val="center"/>
          </w:tcPr>
          <w:p w14:paraId="672C6758">
            <w:pPr>
              <w:adjustRightInd w:val="0"/>
              <w:snapToGrid w:val="0"/>
              <w:spacing w:line="300" w:lineRule="atLeast"/>
              <w:jc w:val="center"/>
              <w:rPr>
                <w:color w:val="auto"/>
                <w:sz w:val="18"/>
                <w:szCs w:val="18"/>
              </w:rPr>
            </w:pPr>
            <w:r>
              <w:rPr>
                <w:color w:val="auto"/>
                <w:sz w:val="18"/>
                <w:szCs w:val="18"/>
              </w:rPr>
              <w:t>5～8</w:t>
            </w:r>
          </w:p>
        </w:tc>
        <w:tc>
          <w:tcPr>
            <w:tcW w:w="1967" w:type="dxa"/>
            <w:vAlign w:val="center"/>
          </w:tcPr>
          <w:p w14:paraId="068E16BD">
            <w:pPr>
              <w:adjustRightInd w:val="0"/>
              <w:snapToGrid w:val="0"/>
              <w:spacing w:line="300" w:lineRule="atLeast"/>
              <w:jc w:val="center"/>
              <w:rPr>
                <w:color w:val="auto"/>
                <w:sz w:val="18"/>
                <w:szCs w:val="18"/>
              </w:rPr>
            </w:pPr>
            <w:r>
              <w:rPr>
                <w:color w:val="auto"/>
                <w:sz w:val="18"/>
                <w:szCs w:val="18"/>
              </w:rPr>
              <w:t>5～8</w:t>
            </w:r>
          </w:p>
        </w:tc>
      </w:tr>
      <w:tr w14:paraId="252BF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3CF839BC">
            <w:pPr>
              <w:adjustRightInd w:val="0"/>
              <w:snapToGrid w:val="0"/>
              <w:spacing w:line="300" w:lineRule="atLeast"/>
              <w:jc w:val="center"/>
              <w:rPr>
                <w:color w:val="auto"/>
                <w:sz w:val="18"/>
                <w:szCs w:val="18"/>
              </w:rPr>
            </w:pPr>
            <w:r>
              <w:rPr>
                <w:color w:val="auto"/>
                <w:sz w:val="18"/>
                <w:szCs w:val="18"/>
              </w:rPr>
              <w:t>淤泥质土</w:t>
            </w:r>
          </w:p>
        </w:tc>
        <w:tc>
          <w:tcPr>
            <w:tcW w:w="3294" w:type="dxa"/>
            <w:gridSpan w:val="2"/>
            <w:vAlign w:val="center"/>
          </w:tcPr>
          <w:p w14:paraId="4FE39814">
            <w:pPr>
              <w:adjustRightInd w:val="0"/>
              <w:snapToGrid w:val="0"/>
              <w:spacing w:line="300" w:lineRule="atLeast"/>
              <w:jc w:val="center"/>
              <w:rPr>
                <w:color w:val="auto"/>
                <w:sz w:val="18"/>
                <w:szCs w:val="18"/>
              </w:rPr>
            </w:pPr>
            <w:r>
              <w:rPr>
                <w:color w:val="auto"/>
                <w:sz w:val="18"/>
                <w:szCs w:val="18"/>
              </w:rPr>
              <w:t>---</w:t>
            </w:r>
          </w:p>
        </w:tc>
        <w:tc>
          <w:tcPr>
            <w:tcW w:w="1945" w:type="dxa"/>
            <w:vAlign w:val="center"/>
          </w:tcPr>
          <w:p w14:paraId="4C09C00F">
            <w:pPr>
              <w:adjustRightInd w:val="0"/>
              <w:snapToGrid w:val="0"/>
              <w:spacing w:line="300" w:lineRule="atLeast"/>
              <w:jc w:val="center"/>
              <w:rPr>
                <w:color w:val="auto"/>
                <w:sz w:val="18"/>
                <w:szCs w:val="18"/>
              </w:rPr>
            </w:pPr>
            <w:r>
              <w:rPr>
                <w:color w:val="auto"/>
                <w:sz w:val="18"/>
                <w:szCs w:val="18"/>
              </w:rPr>
              <w:t>9～14</w:t>
            </w:r>
          </w:p>
        </w:tc>
        <w:tc>
          <w:tcPr>
            <w:tcW w:w="1967" w:type="dxa"/>
            <w:vAlign w:val="center"/>
          </w:tcPr>
          <w:p w14:paraId="059EF74F">
            <w:pPr>
              <w:adjustRightInd w:val="0"/>
              <w:snapToGrid w:val="0"/>
              <w:spacing w:line="300" w:lineRule="atLeast"/>
              <w:jc w:val="center"/>
              <w:rPr>
                <w:color w:val="auto"/>
                <w:sz w:val="18"/>
                <w:szCs w:val="18"/>
              </w:rPr>
            </w:pPr>
            <w:r>
              <w:rPr>
                <w:color w:val="auto"/>
                <w:sz w:val="18"/>
                <w:szCs w:val="18"/>
              </w:rPr>
              <w:t>9～14</w:t>
            </w:r>
          </w:p>
        </w:tc>
      </w:tr>
      <w:tr w14:paraId="6EE2B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6D0E66C2">
            <w:pPr>
              <w:adjustRightInd w:val="0"/>
              <w:snapToGrid w:val="0"/>
              <w:spacing w:line="300" w:lineRule="atLeast"/>
              <w:jc w:val="center"/>
              <w:rPr>
                <w:color w:val="auto"/>
                <w:sz w:val="18"/>
                <w:szCs w:val="18"/>
              </w:rPr>
            </w:pPr>
            <w:r>
              <w:rPr>
                <w:color w:val="auto"/>
                <w:sz w:val="18"/>
                <w:szCs w:val="18"/>
              </w:rPr>
              <w:t>一般黏性土</w:t>
            </w:r>
          </w:p>
          <w:p w14:paraId="248282A1">
            <w:pPr>
              <w:adjustRightInd w:val="0"/>
              <w:snapToGrid w:val="0"/>
              <w:spacing w:line="300" w:lineRule="atLeast"/>
              <w:jc w:val="center"/>
              <w:rPr>
                <w:color w:val="auto"/>
                <w:sz w:val="18"/>
                <w:szCs w:val="18"/>
              </w:rPr>
            </w:pPr>
            <w:r>
              <w:rPr>
                <w:color w:val="auto"/>
                <w:sz w:val="18"/>
                <w:szCs w:val="18"/>
              </w:rPr>
              <w:t>老黏性土</w:t>
            </w:r>
          </w:p>
        </w:tc>
        <w:tc>
          <w:tcPr>
            <w:tcW w:w="3294" w:type="dxa"/>
            <w:gridSpan w:val="2"/>
            <w:vAlign w:val="center"/>
          </w:tcPr>
          <w:p w14:paraId="239F6BD9">
            <w:pPr>
              <w:adjustRightInd w:val="0"/>
              <w:snapToGrid w:val="0"/>
              <w:spacing w:line="300" w:lineRule="atLeast"/>
              <w:jc w:val="center"/>
              <w:rPr>
                <w:color w:val="auto"/>
                <w:sz w:val="18"/>
                <w:szCs w:val="18"/>
              </w:rPr>
            </w:pPr>
            <w:r>
              <w:rPr>
                <w:color w:val="auto"/>
                <w:sz w:val="18"/>
                <w:szCs w:val="18"/>
              </w:rPr>
              <w:t>0.75＜</w:t>
            </w:r>
            <w:r>
              <w:rPr>
                <w:i/>
                <w:iCs/>
                <w:color w:val="auto"/>
                <w:sz w:val="18"/>
                <w:szCs w:val="18"/>
              </w:rPr>
              <w:t>I</w:t>
            </w:r>
            <w:r>
              <w:rPr>
                <w:iCs/>
                <w:color w:val="auto"/>
                <w:sz w:val="18"/>
                <w:szCs w:val="18"/>
                <w:vertAlign w:val="subscript"/>
              </w:rPr>
              <w:t>L</w:t>
            </w:r>
            <w:r>
              <w:rPr>
                <w:color w:val="auto"/>
                <w:sz w:val="18"/>
                <w:szCs w:val="18"/>
              </w:rPr>
              <w:t>≤1.0</w:t>
            </w:r>
          </w:p>
        </w:tc>
        <w:tc>
          <w:tcPr>
            <w:tcW w:w="1945" w:type="dxa"/>
            <w:vAlign w:val="center"/>
          </w:tcPr>
          <w:p w14:paraId="20B0B543">
            <w:pPr>
              <w:adjustRightInd w:val="0"/>
              <w:snapToGrid w:val="0"/>
              <w:spacing w:line="300" w:lineRule="atLeast"/>
              <w:jc w:val="center"/>
              <w:rPr>
                <w:color w:val="auto"/>
                <w:sz w:val="18"/>
                <w:szCs w:val="18"/>
              </w:rPr>
            </w:pPr>
            <w:r>
              <w:rPr>
                <w:color w:val="auto"/>
                <w:sz w:val="18"/>
                <w:szCs w:val="18"/>
              </w:rPr>
              <w:t>19～25</w:t>
            </w:r>
          </w:p>
        </w:tc>
        <w:tc>
          <w:tcPr>
            <w:tcW w:w="1967" w:type="dxa"/>
            <w:vAlign w:val="center"/>
          </w:tcPr>
          <w:p w14:paraId="3FE8F962">
            <w:pPr>
              <w:adjustRightInd w:val="0"/>
              <w:snapToGrid w:val="0"/>
              <w:spacing w:line="300" w:lineRule="atLeast"/>
              <w:jc w:val="center"/>
              <w:rPr>
                <w:color w:val="auto"/>
                <w:sz w:val="18"/>
                <w:szCs w:val="18"/>
              </w:rPr>
            </w:pPr>
            <w:r>
              <w:rPr>
                <w:color w:val="auto"/>
                <w:sz w:val="18"/>
                <w:szCs w:val="18"/>
              </w:rPr>
              <w:t>19～26</w:t>
            </w:r>
          </w:p>
        </w:tc>
      </w:tr>
      <w:tr w14:paraId="4B07F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3EA4A27D">
            <w:pPr>
              <w:adjustRightInd w:val="0"/>
              <w:snapToGrid w:val="0"/>
              <w:spacing w:line="300" w:lineRule="atLeast"/>
              <w:jc w:val="center"/>
              <w:rPr>
                <w:color w:val="auto"/>
                <w:sz w:val="18"/>
                <w:szCs w:val="18"/>
              </w:rPr>
            </w:pPr>
          </w:p>
        </w:tc>
        <w:tc>
          <w:tcPr>
            <w:tcW w:w="3294" w:type="dxa"/>
            <w:gridSpan w:val="2"/>
            <w:vAlign w:val="center"/>
          </w:tcPr>
          <w:p w14:paraId="5A2D6488">
            <w:pPr>
              <w:adjustRightInd w:val="0"/>
              <w:snapToGrid w:val="0"/>
              <w:spacing w:line="300" w:lineRule="atLeast"/>
              <w:jc w:val="center"/>
              <w:rPr>
                <w:color w:val="auto"/>
                <w:sz w:val="18"/>
                <w:szCs w:val="18"/>
              </w:rPr>
            </w:pPr>
            <w:r>
              <w:rPr>
                <w:color w:val="auto"/>
                <w:sz w:val="18"/>
                <w:szCs w:val="18"/>
              </w:rPr>
              <w:t>0.50＜</w:t>
            </w:r>
            <w:r>
              <w:rPr>
                <w:i/>
                <w:iCs/>
                <w:color w:val="auto"/>
                <w:sz w:val="18"/>
                <w:szCs w:val="18"/>
              </w:rPr>
              <w:t>I</w:t>
            </w:r>
            <w:r>
              <w:rPr>
                <w:iCs/>
                <w:color w:val="auto"/>
                <w:sz w:val="18"/>
                <w:szCs w:val="18"/>
                <w:vertAlign w:val="subscript"/>
              </w:rPr>
              <w:t>L</w:t>
            </w:r>
            <w:r>
              <w:rPr>
                <w:color w:val="auto"/>
                <w:sz w:val="18"/>
                <w:szCs w:val="18"/>
              </w:rPr>
              <w:t>≤0.75</w:t>
            </w:r>
          </w:p>
        </w:tc>
        <w:tc>
          <w:tcPr>
            <w:tcW w:w="1945" w:type="dxa"/>
            <w:vAlign w:val="center"/>
          </w:tcPr>
          <w:p w14:paraId="402A5393">
            <w:pPr>
              <w:adjustRightInd w:val="0"/>
              <w:snapToGrid w:val="0"/>
              <w:spacing w:line="300" w:lineRule="atLeast"/>
              <w:jc w:val="center"/>
              <w:rPr>
                <w:color w:val="auto"/>
                <w:sz w:val="18"/>
                <w:szCs w:val="18"/>
              </w:rPr>
            </w:pPr>
            <w:r>
              <w:rPr>
                <w:color w:val="auto"/>
                <w:sz w:val="18"/>
                <w:szCs w:val="18"/>
              </w:rPr>
              <w:t>26～32</w:t>
            </w:r>
          </w:p>
        </w:tc>
        <w:tc>
          <w:tcPr>
            <w:tcW w:w="1967" w:type="dxa"/>
            <w:vAlign w:val="center"/>
          </w:tcPr>
          <w:p w14:paraId="4C3C2144">
            <w:pPr>
              <w:adjustRightInd w:val="0"/>
              <w:snapToGrid w:val="0"/>
              <w:spacing w:line="300" w:lineRule="atLeast"/>
              <w:jc w:val="center"/>
              <w:rPr>
                <w:color w:val="auto"/>
                <w:sz w:val="18"/>
                <w:szCs w:val="18"/>
              </w:rPr>
            </w:pPr>
            <w:r>
              <w:rPr>
                <w:color w:val="auto"/>
                <w:sz w:val="18"/>
                <w:szCs w:val="18"/>
              </w:rPr>
              <w:t>26～33</w:t>
            </w:r>
          </w:p>
        </w:tc>
      </w:tr>
      <w:tr w14:paraId="0588D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2ED68F26">
            <w:pPr>
              <w:adjustRightInd w:val="0"/>
              <w:snapToGrid w:val="0"/>
              <w:spacing w:line="300" w:lineRule="atLeast"/>
              <w:jc w:val="center"/>
              <w:rPr>
                <w:color w:val="auto"/>
                <w:sz w:val="18"/>
                <w:szCs w:val="18"/>
              </w:rPr>
            </w:pPr>
          </w:p>
        </w:tc>
        <w:tc>
          <w:tcPr>
            <w:tcW w:w="3294" w:type="dxa"/>
            <w:gridSpan w:val="2"/>
            <w:vAlign w:val="center"/>
          </w:tcPr>
          <w:p w14:paraId="4AD505D2">
            <w:pPr>
              <w:adjustRightInd w:val="0"/>
              <w:snapToGrid w:val="0"/>
              <w:spacing w:line="300" w:lineRule="atLeast"/>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≤0.50</w:t>
            </w:r>
          </w:p>
        </w:tc>
        <w:tc>
          <w:tcPr>
            <w:tcW w:w="1945" w:type="dxa"/>
            <w:vAlign w:val="center"/>
          </w:tcPr>
          <w:p w14:paraId="46E7E1AA">
            <w:pPr>
              <w:adjustRightInd w:val="0"/>
              <w:snapToGrid w:val="0"/>
              <w:spacing w:line="300" w:lineRule="atLeast"/>
              <w:jc w:val="center"/>
              <w:rPr>
                <w:color w:val="auto"/>
                <w:sz w:val="18"/>
                <w:szCs w:val="18"/>
              </w:rPr>
            </w:pPr>
            <w:r>
              <w:rPr>
                <w:color w:val="auto"/>
                <w:sz w:val="18"/>
                <w:szCs w:val="18"/>
              </w:rPr>
              <w:t>32～41</w:t>
            </w:r>
          </w:p>
        </w:tc>
        <w:tc>
          <w:tcPr>
            <w:tcW w:w="1967" w:type="dxa"/>
            <w:vAlign w:val="center"/>
          </w:tcPr>
          <w:p w14:paraId="3AE7EBDE">
            <w:pPr>
              <w:adjustRightInd w:val="0"/>
              <w:snapToGrid w:val="0"/>
              <w:spacing w:line="300" w:lineRule="atLeast"/>
              <w:jc w:val="center"/>
              <w:rPr>
                <w:color w:val="auto"/>
                <w:sz w:val="18"/>
                <w:szCs w:val="18"/>
              </w:rPr>
            </w:pPr>
            <w:r>
              <w:rPr>
                <w:color w:val="auto"/>
                <w:sz w:val="18"/>
                <w:szCs w:val="18"/>
              </w:rPr>
              <w:t>33～42</w:t>
            </w:r>
          </w:p>
        </w:tc>
      </w:tr>
      <w:tr w14:paraId="7BF10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4DA2A09D">
            <w:pPr>
              <w:adjustRightInd w:val="0"/>
              <w:snapToGrid w:val="0"/>
              <w:spacing w:line="300" w:lineRule="atLeast"/>
              <w:jc w:val="center"/>
              <w:rPr>
                <w:color w:val="auto"/>
                <w:sz w:val="18"/>
                <w:szCs w:val="18"/>
              </w:rPr>
            </w:pPr>
          </w:p>
        </w:tc>
        <w:tc>
          <w:tcPr>
            <w:tcW w:w="3294" w:type="dxa"/>
            <w:gridSpan w:val="2"/>
            <w:vAlign w:val="center"/>
          </w:tcPr>
          <w:p w14:paraId="0A55119D">
            <w:pPr>
              <w:adjustRightInd w:val="0"/>
              <w:snapToGrid w:val="0"/>
              <w:spacing w:line="300" w:lineRule="atLeast"/>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1945" w:type="dxa"/>
            <w:vAlign w:val="center"/>
          </w:tcPr>
          <w:p w14:paraId="2AD254B4">
            <w:pPr>
              <w:adjustRightInd w:val="0"/>
              <w:snapToGrid w:val="0"/>
              <w:spacing w:line="300" w:lineRule="atLeast"/>
              <w:jc w:val="center"/>
              <w:rPr>
                <w:color w:val="auto"/>
                <w:sz w:val="18"/>
                <w:szCs w:val="18"/>
              </w:rPr>
            </w:pPr>
            <w:r>
              <w:rPr>
                <w:color w:val="auto"/>
                <w:sz w:val="18"/>
                <w:szCs w:val="18"/>
              </w:rPr>
              <w:t>41～46</w:t>
            </w:r>
          </w:p>
        </w:tc>
        <w:tc>
          <w:tcPr>
            <w:tcW w:w="1967" w:type="dxa"/>
            <w:vAlign w:val="center"/>
          </w:tcPr>
          <w:p w14:paraId="5C51C3F3">
            <w:pPr>
              <w:adjustRightInd w:val="0"/>
              <w:snapToGrid w:val="0"/>
              <w:spacing w:line="300" w:lineRule="atLeast"/>
              <w:jc w:val="center"/>
              <w:rPr>
                <w:color w:val="auto"/>
                <w:sz w:val="18"/>
                <w:szCs w:val="18"/>
              </w:rPr>
            </w:pPr>
            <w:r>
              <w:rPr>
                <w:color w:val="auto"/>
                <w:sz w:val="18"/>
                <w:szCs w:val="18"/>
              </w:rPr>
              <w:t>41～47</w:t>
            </w:r>
          </w:p>
        </w:tc>
      </w:tr>
      <w:tr w14:paraId="5E8E2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0D81896B">
            <w:pPr>
              <w:adjustRightInd w:val="0"/>
              <w:snapToGrid w:val="0"/>
              <w:spacing w:line="300" w:lineRule="atLeast"/>
              <w:jc w:val="center"/>
              <w:rPr>
                <w:color w:val="auto"/>
                <w:sz w:val="18"/>
                <w:szCs w:val="18"/>
              </w:rPr>
            </w:pPr>
          </w:p>
        </w:tc>
        <w:tc>
          <w:tcPr>
            <w:tcW w:w="3294" w:type="dxa"/>
            <w:gridSpan w:val="2"/>
            <w:vAlign w:val="center"/>
          </w:tcPr>
          <w:p w14:paraId="7196C51C">
            <w:pPr>
              <w:adjustRightInd w:val="0"/>
              <w:snapToGrid w:val="0"/>
              <w:spacing w:line="300" w:lineRule="atLeas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1945" w:type="dxa"/>
            <w:vAlign w:val="center"/>
          </w:tcPr>
          <w:p w14:paraId="2E1B5F1A">
            <w:pPr>
              <w:adjustRightInd w:val="0"/>
              <w:snapToGrid w:val="0"/>
              <w:spacing w:line="300" w:lineRule="atLeast"/>
              <w:jc w:val="center"/>
              <w:rPr>
                <w:color w:val="auto"/>
                <w:sz w:val="18"/>
                <w:szCs w:val="18"/>
              </w:rPr>
            </w:pPr>
            <w:r>
              <w:rPr>
                <w:color w:val="auto"/>
                <w:sz w:val="18"/>
                <w:szCs w:val="18"/>
              </w:rPr>
              <w:t>47～50</w:t>
            </w:r>
          </w:p>
        </w:tc>
        <w:tc>
          <w:tcPr>
            <w:tcW w:w="1967" w:type="dxa"/>
            <w:vAlign w:val="center"/>
          </w:tcPr>
          <w:p w14:paraId="194B1282">
            <w:pPr>
              <w:adjustRightInd w:val="0"/>
              <w:snapToGrid w:val="0"/>
              <w:spacing w:line="300" w:lineRule="atLeast"/>
              <w:jc w:val="center"/>
              <w:rPr>
                <w:color w:val="auto"/>
                <w:sz w:val="18"/>
                <w:szCs w:val="18"/>
              </w:rPr>
            </w:pPr>
            <w:r>
              <w:rPr>
                <w:color w:val="auto"/>
                <w:sz w:val="18"/>
                <w:szCs w:val="18"/>
              </w:rPr>
              <w:t>48～52</w:t>
            </w:r>
          </w:p>
        </w:tc>
      </w:tr>
      <w:tr w14:paraId="373B6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1F66C9C1">
            <w:pPr>
              <w:adjustRightInd w:val="0"/>
              <w:snapToGrid w:val="0"/>
              <w:spacing w:line="300" w:lineRule="atLeast"/>
              <w:jc w:val="center"/>
              <w:rPr>
                <w:color w:val="auto"/>
                <w:sz w:val="18"/>
                <w:szCs w:val="18"/>
              </w:rPr>
            </w:pPr>
            <w:r>
              <w:rPr>
                <w:color w:val="auto"/>
                <w:sz w:val="18"/>
                <w:szCs w:val="18"/>
              </w:rPr>
              <w:t>红黏土</w:t>
            </w:r>
          </w:p>
        </w:tc>
        <w:tc>
          <w:tcPr>
            <w:tcW w:w="3294" w:type="dxa"/>
            <w:gridSpan w:val="2"/>
            <w:vAlign w:val="center"/>
          </w:tcPr>
          <w:p w14:paraId="19B1D823">
            <w:pPr>
              <w:adjustRightInd w:val="0"/>
              <w:snapToGrid w:val="0"/>
              <w:spacing w:line="300" w:lineRule="atLeast"/>
              <w:jc w:val="center"/>
              <w:rPr>
                <w:color w:val="auto"/>
                <w:sz w:val="18"/>
                <w:szCs w:val="18"/>
              </w:rPr>
            </w:pPr>
            <w:r>
              <w:rPr>
                <w:color w:val="auto"/>
                <w:sz w:val="18"/>
                <w:szCs w:val="18"/>
              </w:rPr>
              <w:t>0.7＜</w:t>
            </w:r>
            <w:r>
              <w:rPr>
                <w:i/>
                <w:color w:val="auto"/>
                <w:sz w:val="18"/>
                <w:szCs w:val="18"/>
              </w:rPr>
              <w:t>α</w:t>
            </w:r>
            <w:r>
              <w:rPr>
                <w:iCs/>
                <w:color w:val="auto"/>
                <w:sz w:val="18"/>
                <w:szCs w:val="18"/>
                <w:vertAlign w:val="subscript"/>
              </w:rPr>
              <w:t>w</w:t>
            </w:r>
            <w:r>
              <w:rPr>
                <w:color w:val="auto"/>
                <w:sz w:val="18"/>
                <w:szCs w:val="18"/>
              </w:rPr>
              <w:t>≤1.0</w:t>
            </w:r>
          </w:p>
        </w:tc>
        <w:tc>
          <w:tcPr>
            <w:tcW w:w="1945" w:type="dxa"/>
            <w:vAlign w:val="center"/>
          </w:tcPr>
          <w:p w14:paraId="42A1FDB1">
            <w:pPr>
              <w:adjustRightInd w:val="0"/>
              <w:snapToGrid w:val="0"/>
              <w:spacing w:line="300" w:lineRule="atLeast"/>
              <w:jc w:val="center"/>
              <w:rPr>
                <w:color w:val="auto"/>
                <w:sz w:val="18"/>
                <w:szCs w:val="18"/>
              </w:rPr>
            </w:pPr>
            <w:r>
              <w:rPr>
                <w:color w:val="auto"/>
                <w:sz w:val="18"/>
                <w:szCs w:val="18"/>
              </w:rPr>
              <w:t>6～15</w:t>
            </w:r>
          </w:p>
        </w:tc>
        <w:tc>
          <w:tcPr>
            <w:tcW w:w="1967" w:type="dxa"/>
            <w:vAlign w:val="center"/>
          </w:tcPr>
          <w:p w14:paraId="21C3D81A">
            <w:pPr>
              <w:adjustRightInd w:val="0"/>
              <w:snapToGrid w:val="0"/>
              <w:spacing w:line="300" w:lineRule="atLeast"/>
              <w:jc w:val="center"/>
              <w:rPr>
                <w:color w:val="auto"/>
                <w:sz w:val="18"/>
                <w:szCs w:val="18"/>
              </w:rPr>
            </w:pPr>
            <w:r>
              <w:rPr>
                <w:color w:val="auto"/>
                <w:sz w:val="18"/>
                <w:szCs w:val="18"/>
              </w:rPr>
              <w:t>6～15</w:t>
            </w:r>
          </w:p>
        </w:tc>
      </w:tr>
      <w:tr w14:paraId="52BDC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43F05CAD">
            <w:pPr>
              <w:adjustRightInd w:val="0"/>
              <w:snapToGrid w:val="0"/>
              <w:spacing w:line="300" w:lineRule="atLeast"/>
              <w:jc w:val="center"/>
              <w:rPr>
                <w:color w:val="auto"/>
                <w:sz w:val="18"/>
                <w:szCs w:val="18"/>
              </w:rPr>
            </w:pPr>
          </w:p>
        </w:tc>
        <w:tc>
          <w:tcPr>
            <w:tcW w:w="3294" w:type="dxa"/>
            <w:gridSpan w:val="2"/>
            <w:vAlign w:val="center"/>
          </w:tcPr>
          <w:p w14:paraId="5CB9EAA8">
            <w:pPr>
              <w:adjustRightInd w:val="0"/>
              <w:snapToGrid w:val="0"/>
              <w:spacing w:line="300" w:lineRule="atLeast"/>
              <w:jc w:val="center"/>
              <w:rPr>
                <w:color w:val="auto"/>
                <w:sz w:val="18"/>
                <w:szCs w:val="18"/>
              </w:rPr>
            </w:pPr>
            <w:r>
              <w:rPr>
                <w:color w:val="auto"/>
                <w:sz w:val="18"/>
                <w:szCs w:val="18"/>
              </w:rPr>
              <w:t>0.5＜</w:t>
            </w:r>
            <w:r>
              <w:rPr>
                <w:i/>
                <w:color w:val="auto"/>
                <w:sz w:val="18"/>
                <w:szCs w:val="18"/>
              </w:rPr>
              <w:t>α</w:t>
            </w:r>
            <w:r>
              <w:rPr>
                <w:iCs/>
                <w:color w:val="auto"/>
                <w:sz w:val="18"/>
                <w:szCs w:val="18"/>
                <w:vertAlign w:val="subscript"/>
              </w:rPr>
              <w:t>w</w:t>
            </w:r>
            <w:r>
              <w:rPr>
                <w:color w:val="auto"/>
                <w:sz w:val="18"/>
                <w:szCs w:val="18"/>
              </w:rPr>
              <w:t>≤0.7</w:t>
            </w:r>
          </w:p>
        </w:tc>
        <w:tc>
          <w:tcPr>
            <w:tcW w:w="1945" w:type="dxa"/>
            <w:vAlign w:val="center"/>
          </w:tcPr>
          <w:p w14:paraId="4C37000E">
            <w:pPr>
              <w:adjustRightInd w:val="0"/>
              <w:snapToGrid w:val="0"/>
              <w:spacing w:line="300" w:lineRule="atLeast"/>
              <w:jc w:val="center"/>
              <w:rPr>
                <w:color w:val="auto"/>
                <w:sz w:val="18"/>
                <w:szCs w:val="18"/>
              </w:rPr>
            </w:pPr>
            <w:r>
              <w:rPr>
                <w:color w:val="auto"/>
                <w:sz w:val="18"/>
                <w:szCs w:val="18"/>
              </w:rPr>
              <w:t>15～35</w:t>
            </w:r>
          </w:p>
        </w:tc>
        <w:tc>
          <w:tcPr>
            <w:tcW w:w="1967" w:type="dxa"/>
            <w:vAlign w:val="center"/>
          </w:tcPr>
          <w:p w14:paraId="66838669">
            <w:pPr>
              <w:adjustRightInd w:val="0"/>
              <w:snapToGrid w:val="0"/>
              <w:spacing w:line="300" w:lineRule="atLeast"/>
              <w:jc w:val="center"/>
              <w:rPr>
                <w:color w:val="auto"/>
                <w:sz w:val="18"/>
                <w:szCs w:val="18"/>
              </w:rPr>
            </w:pPr>
            <w:r>
              <w:rPr>
                <w:color w:val="auto"/>
                <w:sz w:val="18"/>
                <w:szCs w:val="18"/>
              </w:rPr>
              <w:t>15～35</w:t>
            </w:r>
          </w:p>
        </w:tc>
      </w:tr>
      <w:tr w14:paraId="54F9D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27F6F311">
            <w:pPr>
              <w:adjustRightInd w:val="0"/>
              <w:snapToGrid w:val="0"/>
              <w:spacing w:line="300" w:lineRule="atLeast"/>
              <w:jc w:val="center"/>
              <w:rPr>
                <w:color w:val="auto"/>
                <w:sz w:val="18"/>
                <w:szCs w:val="18"/>
              </w:rPr>
            </w:pPr>
            <w:r>
              <w:rPr>
                <w:color w:val="auto"/>
                <w:sz w:val="18"/>
                <w:szCs w:val="18"/>
              </w:rPr>
              <w:t>粉土</w:t>
            </w:r>
          </w:p>
        </w:tc>
        <w:tc>
          <w:tcPr>
            <w:tcW w:w="1339" w:type="dxa"/>
            <w:tcBorders>
              <w:right w:val="single" w:color="auto" w:sz="4" w:space="0"/>
            </w:tcBorders>
            <w:vAlign w:val="center"/>
          </w:tcPr>
          <w:p w14:paraId="6D4EC12F">
            <w:pPr>
              <w:adjustRightInd w:val="0"/>
              <w:snapToGrid w:val="0"/>
              <w:jc w:val="center"/>
              <w:rPr>
                <w:color w:val="auto"/>
                <w:sz w:val="18"/>
                <w:szCs w:val="18"/>
              </w:rPr>
            </w:pPr>
            <w:r>
              <w:rPr>
                <w:color w:val="auto"/>
                <w:sz w:val="18"/>
                <w:szCs w:val="18"/>
              </w:rPr>
              <w:t>稍密</w:t>
            </w:r>
          </w:p>
        </w:tc>
        <w:tc>
          <w:tcPr>
            <w:tcW w:w="1955" w:type="dxa"/>
            <w:tcBorders>
              <w:left w:val="single" w:color="auto" w:sz="4" w:space="0"/>
            </w:tcBorders>
            <w:vAlign w:val="center"/>
          </w:tcPr>
          <w:p w14:paraId="064980F4">
            <w:pPr>
              <w:adjustRightInd w:val="0"/>
              <w:snapToGrid w:val="0"/>
              <w:spacing w:line="300" w:lineRule="atLeast"/>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≤1.0</w:t>
            </w:r>
          </w:p>
        </w:tc>
        <w:tc>
          <w:tcPr>
            <w:tcW w:w="1945" w:type="dxa"/>
            <w:vAlign w:val="center"/>
          </w:tcPr>
          <w:p w14:paraId="68A72D66">
            <w:pPr>
              <w:adjustRightInd w:val="0"/>
              <w:snapToGrid w:val="0"/>
              <w:spacing w:line="300" w:lineRule="atLeast"/>
              <w:jc w:val="center"/>
              <w:rPr>
                <w:color w:val="auto"/>
                <w:sz w:val="18"/>
                <w:szCs w:val="18"/>
              </w:rPr>
            </w:pPr>
            <w:r>
              <w:rPr>
                <w:color w:val="auto"/>
                <w:sz w:val="18"/>
                <w:szCs w:val="18"/>
              </w:rPr>
              <w:t>12～21</w:t>
            </w:r>
          </w:p>
        </w:tc>
        <w:tc>
          <w:tcPr>
            <w:tcW w:w="1967" w:type="dxa"/>
            <w:vAlign w:val="center"/>
          </w:tcPr>
          <w:p w14:paraId="41370508">
            <w:pPr>
              <w:adjustRightInd w:val="0"/>
              <w:snapToGrid w:val="0"/>
              <w:spacing w:line="300" w:lineRule="atLeast"/>
              <w:jc w:val="center"/>
              <w:rPr>
                <w:color w:val="auto"/>
                <w:sz w:val="18"/>
                <w:szCs w:val="18"/>
              </w:rPr>
            </w:pPr>
            <w:r>
              <w:rPr>
                <w:color w:val="auto"/>
                <w:sz w:val="18"/>
                <w:szCs w:val="18"/>
              </w:rPr>
              <w:t>12～21</w:t>
            </w:r>
          </w:p>
        </w:tc>
      </w:tr>
      <w:tr w14:paraId="5472B9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3591E939">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09E4DE6E">
            <w:pPr>
              <w:adjustRightInd w:val="0"/>
              <w:snapToGrid w:val="0"/>
              <w:jc w:val="center"/>
              <w:rPr>
                <w:color w:val="auto"/>
                <w:sz w:val="18"/>
                <w:szCs w:val="18"/>
              </w:rPr>
            </w:pPr>
            <w:r>
              <w:rPr>
                <w:color w:val="auto"/>
                <w:sz w:val="18"/>
                <w:szCs w:val="18"/>
              </w:rPr>
              <w:t>中密</w:t>
            </w:r>
          </w:p>
        </w:tc>
        <w:tc>
          <w:tcPr>
            <w:tcW w:w="1955" w:type="dxa"/>
            <w:tcBorders>
              <w:left w:val="single" w:color="auto" w:sz="4" w:space="0"/>
            </w:tcBorders>
            <w:vAlign w:val="center"/>
          </w:tcPr>
          <w:p w14:paraId="5F936DD6">
            <w:pPr>
              <w:adjustRightInd w:val="0"/>
              <w:snapToGrid w:val="0"/>
              <w:spacing w:line="300" w:lineRule="atLeast"/>
              <w:jc w:val="center"/>
              <w:rPr>
                <w:color w:val="auto"/>
                <w:sz w:val="18"/>
                <w:szCs w:val="18"/>
              </w:rPr>
            </w:pPr>
            <w:r>
              <w:rPr>
                <w:color w:val="auto"/>
                <w:sz w:val="18"/>
                <w:szCs w:val="18"/>
              </w:rPr>
              <w:t>1＜</w:t>
            </w:r>
            <w:r>
              <w:rPr>
                <w:i/>
                <w:color w:val="auto"/>
                <w:sz w:val="18"/>
                <w:szCs w:val="18"/>
              </w:rPr>
              <w:t>p</w:t>
            </w:r>
            <w:r>
              <w:rPr>
                <w:iCs/>
                <w:color w:val="auto"/>
                <w:sz w:val="18"/>
                <w:szCs w:val="18"/>
                <w:vertAlign w:val="subscript"/>
              </w:rPr>
              <w:t>s</w:t>
            </w:r>
            <w:r>
              <w:rPr>
                <w:color w:val="auto"/>
                <w:sz w:val="18"/>
                <w:szCs w:val="18"/>
              </w:rPr>
              <w:t>≤2.5</w:t>
            </w:r>
          </w:p>
        </w:tc>
        <w:tc>
          <w:tcPr>
            <w:tcW w:w="1945" w:type="dxa"/>
            <w:vAlign w:val="center"/>
          </w:tcPr>
          <w:p w14:paraId="6A0A3A7B">
            <w:pPr>
              <w:adjustRightInd w:val="0"/>
              <w:snapToGrid w:val="0"/>
              <w:spacing w:line="300" w:lineRule="atLeast"/>
              <w:jc w:val="center"/>
              <w:rPr>
                <w:color w:val="auto"/>
                <w:sz w:val="18"/>
                <w:szCs w:val="18"/>
              </w:rPr>
            </w:pPr>
            <w:r>
              <w:rPr>
                <w:color w:val="auto"/>
                <w:sz w:val="18"/>
                <w:szCs w:val="18"/>
              </w:rPr>
              <w:t>21～31</w:t>
            </w:r>
          </w:p>
        </w:tc>
        <w:tc>
          <w:tcPr>
            <w:tcW w:w="1967" w:type="dxa"/>
            <w:vAlign w:val="center"/>
          </w:tcPr>
          <w:p w14:paraId="3D9335E3">
            <w:pPr>
              <w:adjustRightInd w:val="0"/>
              <w:snapToGrid w:val="0"/>
              <w:spacing w:line="300" w:lineRule="atLeast"/>
              <w:jc w:val="center"/>
              <w:rPr>
                <w:color w:val="auto"/>
                <w:sz w:val="18"/>
                <w:szCs w:val="18"/>
              </w:rPr>
            </w:pPr>
            <w:r>
              <w:rPr>
                <w:color w:val="auto"/>
                <w:sz w:val="18"/>
                <w:szCs w:val="18"/>
              </w:rPr>
              <w:t>21～31</w:t>
            </w:r>
          </w:p>
        </w:tc>
      </w:tr>
      <w:tr w14:paraId="2948C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72F24DCB">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6A0FD989">
            <w:pPr>
              <w:adjustRightInd w:val="0"/>
              <w:snapToGrid w:val="0"/>
              <w:jc w:val="center"/>
              <w:rPr>
                <w:color w:val="auto"/>
                <w:sz w:val="18"/>
                <w:szCs w:val="18"/>
              </w:rPr>
            </w:pPr>
            <w:r>
              <w:rPr>
                <w:color w:val="auto"/>
                <w:sz w:val="18"/>
                <w:szCs w:val="18"/>
              </w:rPr>
              <w:t>密实</w:t>
            </w:r>
          </w:p>
        </w:tc>
        <w:tc>
          <w:tcPr>
            <w:tcW w:w="1955" w:type="dxa"/>
            <w:tcBorders>
              <w:left w:val="single" w:color="auto" w:sz="4" w:space="0"/>
            </w:tcBorders>
            <w:vAlign w:val="center"/>
          </w:tcPr>
          <w:p w14:paraId="5829C26E">
            <w:pPr>
              <w:adjustRightInd w:val="0"/>
              <w:snapToGrid w:val="0"/>
              <w:spacing w:line="300" w:lineRule="atLeast"/>
              <w:jc w:val="center"/>
              <w:rPr>
                <w:color w:val="auto"/>
                <w:sz w:val="18"/>
                <w:szCs w:val="18"/>
              </w:rPr>
            </w:pPr>
            <w:r>
              <w:rPr>
                <w:i/>
                <w:color w:val="auto"/>
                <w:sz w:val="18"/>
                <w:szCs w:val="18"/>
              </w:rPr>
              <w:t>p</w:t>
            </w:r>
            <w:r>
              <w:rPr>
                <w:iCs/>
                <w:color w:val="auto"/>
                <w:sz w:val="18"/>
                <w:szCs w:val="18"/>
                <w:vertAlign w:val="subscript"/>
              </w:rPr>
              <w:t>s</w:t>
            </w:r>
            <w:r>
              <w:rPr>
                <w:color w:val="auto"/>
                <w:sz w:val="18"/>
                <w:szCs w:val="18"/>
              </w:rPr>
              <w:t>＞2.5</w:t>
            </w:r>
          </w:p>
        </w:tc>
        <w:tc>
          <w:tcPr>
            <w:tcW w:w="1945" w:type="dxa"/>
            <w:vAlign w:val="center"/>
          </w:tcPr>
          <w:p w14:paraId="6C9849AB">
            <w:pPr>
              <w:adjustRightInd w:val="0"/>
              <w:snapToGrid w:val="0"/>
              <w:spacing w:line="300" w:lineRule="atLeast"/>
              <w:jc w:val="center"/>
              <w:rPr>
                <w:color w:val="auto"/>
                <w:sz w:val="18"/>
                <w:szCs w:val="18"/>
              </w:rPr>
            </w:pPr>
            <w:r>
              <w:rPr>
                <w:color w:val="auto"/>
                <w:sz w:val="18"/>
                <w:szCs w:val="18"/>
              </w:rPr>
              <w:t>31～41</w:t>
            </w:r>
          </w:p>
        </w:tc>
        <w:tc>
          <w:tcPr>
            <w:tcW w:w="1967" w:type="dxa"/>
            <w:vAlign w:val="center"/>
          </w:tcPr>
          <w:p w14:paraId="59FAA9D5">
            <w:pPr>
              <w:adjustRightInd w:val="0"/>
              <w:snapToGrid w:val="0"/>
              <w:spacing w:line="300" w:lineRule="atLeast"/>
              <w:jc w:val="center"/>
              <w:rPr>
                <w:color w:val="auto"/>
                <w:sz w:val="18"/>
                <w:szCs w:val="18"/>
              </w:rPr>
            </w:pPr>
            <w:r>
              <w:rPr>
                <w:color w:val="auto"/>
                <w:sz w:val="18"/>
                <w:szCs w:val="18"/>
              </w:rPr>
              <w:t>31～41</w:t>
            </w:r>
          </w:p>
        </w:tc>
      </w:tr>
      <w:tr w14:paraId="21C0F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03D24EFA">
            <w:pPr>
              <w:adjustRightInd w:val="0"/>
              <w:snapToGrid w:val="0"/>
              <w:spacing w:line="300" w:lineRule="atLeast"/>
              <w:jc w:val="center"/>
              <w:rPr>
                <w:color w:val="auto"/>
                <w:sz w:val="18"/>
                <w:szCs w:val="18"/>
              </w:rPr>
            </w:pPr>
            <w:r>
              <w:rPr>
                <w:color w:val="auto"/>
                <w:sz w:val="18"/>
                <w:szCs w:val="18"/>
              </w:rPr>
              <w:t>粉细砂</w:t>
            </w:r>
          </w:p>
        </w:tc>
        <w:tc>
          <w:tcPr>
            <w:tcW w:w="1339" w:type="dxa"/>
            <w:tcBorders>
              <w:right w:val="single" w:color="auto" w:sz="4" w:space="0"/>
            </w:tcBorders>
            <w:vAlign w:val="center"/>
          </w:tcPr>
          <w:p w14:paraId="1CD37EEF">
            <w:pPr>
              <w:adjustRightInd w:val="0"/>
              <w:snapToGrid w:val="0"/>
              <w:jc w:val="center"/>
              <w:rPr>
                <w:color w:val="auto"/>
                <w:sz w:val="18"/>
                <w:szCs w:val="18"/>
              </w:rPr>
            </w:pPr>
            <w:r>
              <w:rPr>
                <w:color w:val="auto"/>
                <w:sz w:val="18"/>
                <w:szCs w:val="18"/>
              </w:rPr>
              <w:t>稍密</w:t>
            </w:r>
          </w:p>
        </w:tc>
        <w:tc>
          <w:tcPr>
            <w:tcW w:w="1955" w:type="dxa"/>
            <w:tcBorders>
              <w:left w:val="single" w:color="auto" w:sz="4" w:space="0"/>
            </w:tcBorders>
            <w:vAlign w:val="center"/>
          </w:tcPr>
          <w:p w14:paraId="64097CB8">
            <w:pPr>
              <w:adjustRightInd w:val="0"/>
              <w:snapToGrid w:val="0"/>
              <w:spacing w:line="300" w:lineRule="atLeast"/>
              <w:jc w:val="center"/>
              <w:rPr>
                <w:color w:val="auto"/>
                <w:sz w:val="18"/>
                <w:szCs w:val="18"/>
              </w:rPr>
            </w:pPr>
            <w:r>
              <w:rPr>
                <w:color w:val="auto"/>
                <w:sz w:val="18"/>
                <w:szCs w:val="18"/>
              </w:rPr>
              <w:t>10＜</w:t>
            </w:r>
            <w:r>
              <w:rPr>
                <w:i/>
                <w:color w:val="auto"/>
                <w:sz w:val="18"/>
                <w:szCs w:val="18"/>
              </w:rPr>
              <w:t>N</w:t>
            </w:r>
            <w:r>
              <w:rPr>
                <w:color w:val="auto"/>
                <w:sz w:val="18"/>
                <w:szCs w:val="18"/>
              </w:rPr>
              <w:t>≤15</w:t>
            </w:r>
          </w:p>
        </w:tc>
        <w:tc>
          <w:tcPr>
            <w:tcW w:w="1945" w:type="dxa"/>
            <w:vAlign w:val="center"/>
          </w:tcPr>
          <w:p w14:paraId="60D6BDDE">
            <w:pPr>
              <w:adjustRightInd w:val="0"/>
              <w:snapToGrid w:val="0"/>
              <w:spacing w:line="300" w:lineRule="atLeast"/>
              <w:jc w:val="center"/>
              <w:rPr>
                <w:color w:val="auto"/>
                <w:sz w:val="18"/>
                <w:szCs w:val="18"/>
              </w:rPr>
            </w:pPr>
            <w:r>
              <w:rPr>
                <w:color w:val="auto"/>
                <w:sz w:val="18"/>
                <w:szCs w:val="18"/>
              </w:rPr>
              <w:t>11～23</w:t>
            </w:r>
          </w:p>
        </w:tc>
        <w:tc>
          <w:tcPr>
            <w:tcW w:w="1967" w:type="dxa"/>
            <w:vAlign w:val="center"/>
          </w:tcPr>
          <w:p w14:paraId="13772880">
            <w:pPr>
              <w:adjustRightInd w:val="0"/>
              <w:snapToGrid w:val="0"/>
              <w:spacing w:line="300" w:lineRule="atLeast"/>
              <w:jc w:val="center"/>
              <w:rPr>
                <w:color w:val="auto"/>
                <w:sz w:val="18"/>
                <w:szCs w:val="18"/>
              </w:rPr>
            </w:pPr>
            <w:r>
              <w:rPr>
                <w:color w:val="auto"/>
                <w:sz w:val="18"/>
                <w:szCs w:val="18"/>
              </w:rPr>
              <w:t>11～23</w:t>
            </w:r>
          </w:p>
        </w:tc>
      </w:tr>
      <w:tr w14:paraId="0DBF5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0EA19F4F">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043ACF21">
            <w:pPr>
              <w:adjustRightInd w:val="0"/>
              <w:snapToGrid w:val="0"/>
              <w:jc w:val="center"/>
              <w:rPr>
                <w:color w:val="auto"/>
                <w:sz w:val="18"/>
                <w:szCs w:val="18"/>
              </w:rPr>
            </w:pPr>
            <w:r>
              <w:rPr>
                <w:color w:val="auto"/>
                <w:sz w:val="18"/>
                <w:szCs w:val="18"/>
              </w:rPr>
              <w:t>中密</w:t>
            </w:r>
          </w:p>
        </w:tc>
        <w:tc>
          <w:tcPr>
            <w:tcW w:w="1955" w:type="dxa"/>
            <w:tcBorders>
              <w:left w:val="single" w:color="auto" w:sz="4" w:space="0"/>
            </w:tcBorders>
            <w:vAlign w:val="center"/>
          </w:tcPr>
          <w:p w14:paraId="068667F9">
            <w:pPr>
              <w:adjustRightInd w:val="0"/>
              <w:snapToGrid w:val="0"/>
              <w:spacing w:line="300" w:lineRule="atLeast"/>
              <w:jc w:val="center"/>
              <w:rPr>
                <w:color w:val="auto"/>
                <w:sz w:val="18"/>
                <w:szCs w:val="18"/>
              </w:rPr>
            </w:pPr>
            <w:r>
              <w:rPr>
                <w:color w:val="auto"/>
                <w:sz w:val="18"/>
                <w:szCs w:val="18"/>
              </w:rPr>
              <w:t>15＜</w:t>
            </w:r>
            <w:r>
              <w:rPr>
                <w:i/>
                <w:color w:val="auto"/>
                <w:sz w:val="18"/>
                <w:szCs w:val="18"/>
              </w:rPr>
              <w:t>N</w:t>
            </w:r>
            <w:r>
              <w:rPr>
                <w:color w:val="auto"/>
                <w:sz w:val="18"/>
                <w:szCs w:val="18"/>
              </w:rPr>
              <w:t>≤30</w:t>
            </w:r>
          </w:p>
        </w:tc>
        <w:tc>
          <w:tcPr>
            <w:tcW w:w="1945" w:type="dxa"/>
            <w:vAlign w:val="center"/>
          </w:tcPr>
          <w:p w14:paraId="127F3FE5">
            <w:pPr>
              <w:adjustRightInd w:val="0"/>
              <w:snapToGrid w:val="0"/>
              <w:spacing w:line="300" w:lineRule="atLeast"/>
              <w:jc w:val="center"/>
              <w:rPr>
                <w:color w:val="auto"/>
                <w:sz w:val="18"/>
                <w:szCs w:val="18"/>
              </w:rPr>
            </w:pPr>
            <w:r>
              <w:rPr>
                <w:color w:val="auto"/>
                <w:sz w:val="18"/>
                <w:szCs w:val="18"/>
              </w:rPr>
              <w:t>23～32</w:t>
            </w:r>
          </w:p>
        </w:tc>
        <w:tc>
          <w:tcPr>
            <w:tcW w:w="1967" w:type="dxa"/>
            <w:vAlign w:val="center"/>
          </w:tcPr>
          <w:p w14:paraId="61CD3C2B">
            <w:pPr>
              <w:adjustRightInd w:val="0"/>
              <w:snapToGrid w:val="0"/>
              <w:spacing w:line="300" w:lineRule="atLeast"/>
              <w:jc w:val="center"/>
              <w:rPr>
                <w:color w:val="auto"/>
                <w:sz w:val="18"/>
                <w:szCs w:val="18"/>
              </w:rPr>
            </w:pPr>
            <w:r>
              <w:rPr>
                <w:color w:val="auto"/>
                <w:sz w:val="18"/>
                <w:szCs w:val="18"/>
              </w:rPr>
              <w:t>23～32</w:t>
            </w:r>
          </w:p>
        </w:tc>
      </w:tr>
      <w:tr w14:paraId="2FE31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282E66E5">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6FFBC501">
            <w:pPr>
              <w:adjustRightInd w:val="0"/>
              <w:snapToGrid w:val="0"/>
              <w:jc w:val="center"/>
              <w:rPr>
                <w:color w:val="auto"/>
                <w:sz w:val="18"/>
                <w:szCs w:val="18"/>
              </w:rPr>
            </w:pPr>
            <w:r>
              <w:rPr>
                <w:color w:val="auto"/>
                <w:sz w:val="18"/>
                <w:szCs w:val="18"/>
              </w:rPr>
              <w:t>密实</w:t>
            </w:r>
          </w:p>
        </w:tc>
        <w:tc>
          <w:tcPr>
            <w:tcW w:w="1955" w:type="dxa"/>
            <w:tcBorders>
              <w:left w:val="single" w:color="auto" w:sz="4" w:space="0"/>
            </w:tcBorders>
            <w:vAlign w:val="center"/>
          </w:tcPr>
          <w:p w14:paraId="086BE778">
            <w:pPr>
              <w:adjustRightInd w:val="0"/>
              <w:snapToGrid w:val="0"/>
              <w:jc w:val="center"/>
              <w:rPr>
                <w:color w:val="auto"/>
                <w:sz w:val="18"/>
                <w:szCs w:val="18"/>
              </w:rPr>
            </w:pPr>
            <w:r>
              <w:rPr>
                <w:i/>
                <w:color w:val="auto"/>
                <w:sz w:val="18"/>
                <w:szCs w:val="18"/>
              </w:rPr>
              <w:t>N</w:t>
            </w:r>
            <w:r>
              <w:rPr>
                <w:color w:val="auto"/>
                <w:sz w:val="18"/>
                <w:szCs w:val="18"/>
              </w:rPr>
              <w:t>＞30</w:t>
            </w:r>
          </w:p>
        </w:tc>
        <w:tc>
          <w:tcPr>
            <w:tcW w:w="1945" w:type="dxa"/>
            <w:vAlign w:val="center"/>
          </w:tcPr>
          <w:p w14:paraId="344FF9D2">
            <w:pPr>
              <w:adjustRightInd w:val="0"/>
              <w:snapToGrid w:val="0"/>
              <w:spacing w:line="300" w:lineRule="atLeast"/>
              <w:jc w:val="center"/>
              <w:rPr>
                <w:color w:val="auto"/>
                <w:sz w:val="18"/>
                <w:szCs w:val="18"/>
              </w:rPr>
            </w:pPr>
            <w:r>
              <w:rPr>
                <w:color w:val="auto"/>
                <w:sz w:val="18"/>
                <w:szCs w:val="18"/>
              </w:rPr>
              <w:t>32～43</w:t>
            </w:r>
          </w:p>
        </w:tc>
        <w:tc>
          <w:tcPr>
            <w:tcW w:w="1967" w:type="dxa"/>
            <w:vAlign w:val="center"/>
          </w:tcPr>
          <w:p w14:paraId="33F61D0E">
            <w:pPr>
              <w:adjustRightInd w:val="0"/>
              <w:snapToGrid w:val="0"/>
              <w:spacing w:line="300" w:lineRule="atLeast"/>
              <w:jc w:val="center"/>
              <w:rPr>
                <w:color w:val="auto"/>
                <w:sz w:val="18"/>
                <w:szCs w:val="18"/>
              </w:rPr>
            </w:pPr>
            <w:r>
              <w:rPr>
                <w:color w:val="auto"/>
                <w:sz w:val="18"/>
                <w:szCs w:val="18"/>
              </w:rPr>
              <w:t>32～43</w:t>
            </w:r>
          </w:p>
        </w:tc>
      </w:tr>
      <w:tr w14:paraId="2D9E2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4C128EEB">
            <w:pPr>
              <w:adjustRightInd w:val="0"/>
              <w:snapToGrid w:val="0"/>
              <w:spacing w:line="300" w:lineRule="atLeast"/>
              <w:jc w:val="center"/>
              <w:rPr>
                <w:color w:val="auto"/>
                <w:sz w:val="18"/>
                <w:szCs w:val="18"/>
              </w:rPr>
            </w:pPr>
            <w:r>
              <w:rPr>
                <w:color w:val="auto"/>
                <w:sz w:val="18"/>
                <w:szCs w:val="18"/>
              </w:rPr>
              <w:t>中砂</w:t>
            </w:r>
          </w:p>
        </w:tc>
        <w:tc>
          <w:tcPr>
            <w:tcW w:w="1339" w:type="dxa"/>
            <w:tcBorders>
              <w:right w:val="single" w:color="auto" w:sz="4" w:space="0"/>
            </w:tcBorders>
            <w:vAlign w:val="center"/>
          </w:tcPr>
          <w:p w14:paraId="4CA9A870">
            <w:pPr>
              <w:adjustRightInd w:val="0"/>
              <w:snapToGrid w:val="0"/>
              <w:jc w:val="center"/>
              <w:rPr>
                <w:color w:val="auto"/>
                <w:sz w:val="18"/>
                <w:szCs w:val="18"/>
              </w:rPr>
            </w:pPr>
            <w:r>
              <w:rPr>
                <w:color w:val="auto"/>
                <w:sz w:val="18"/>
                <w:szCs w:val="18"/>
              </w:rPr>
              <w:t>中密</w:t>
            </w:r>
          </w:p>
        </w:tc>
        <w:tc>
          <w:tcPr>
            <w:tcW w:w="1955" w:type="dxa"/>
            <w:tcBorders>
              <w:left w:val="single" w:color="auto" w:sz="4" w:space="0"/>
            </w:tcBorders>
            <w:vAlign w:val="center"/>
          </w:tcPr>
          <w:p w14:paraId="2C27B2B0">
            <w:pPr>
              <w:adjustRightInd w:val="0"/>
              <w:snapToGrid w:val="0"/>
              <w:spacing w:line="300" w:lineRule="atLeast"/>
              <w:jc w:val="center"/>
              <w:rPr>
                <w:color w:val="auto"/>
                <w:sz w:val="18"/>
                <w:szCs w:val="18"/>
              </w:rPr>
            </w:pPr>
            <w:r>
              <w:rPr>
                <w:color w:val="auto"/>
                <w:sz w:val="18"/>
                <w:szCs w:val="18"/>
              </w:rPr>
              <w:t>15＜</w:t>
            </w:r>
            <w:r>
              <w:rPr>
                <w:i/>
                <w:color w:val="auto"/>
                <w:sz w:val="18"/>
                <w:szCs w:val="18"/>
              </w:rPr>
              <w:t>N</w:t>
            </w:r>
            <w:r>
              <w:rPr>
                <w:color w:val="auto"/>
                <w:sz w:val="18"/>
                <w:szCs w:val="18"/>
              </w:rPr>
              <w:t>≤30</w:t>
            </w:r>
          </w:p>
        </w:tc>
        <w:tc>
          <w:tcPr>
            <w:tcW w:w="1945" w:type="dxa"/>
            <w:vAlign w:val="center"/>
          </w:tcPr>
          <w:p w14:paraId="5CC1395A">
            <w:pPr>
              <w:adjustRightInd w:val="0"/>
              <w:snapToGrid w:val="0"/>
              <w:spacing w:line="300" w:lineRule="atLeast"/>
              <w:jc w:val="center"/>
              <w:rPr>
                <w:color w:val="auto"/>
                <w:sz w:val="18"/>
                <w:szCs w:val="18"/>
              </w:rPr>
            </w:pPr>
            <w:r>
              <w:rPr>
                <w:color w:val="auto"/>
                <w:sz w:val="18"/>
                <w:szCs w:val="18"/>
              </w:rPr>
              <w:t>26～36</w:t>
            </w:r>
          </w:p>
        </w:tc>
        <w:tc>
          <w:tcPr>
            <w:tcW w:w="1967" w:type="dxa"/>
            <w:vAlign w:val="center"/>
          </w:tcPr>
          <w:p w14:paraId="0FF6A960">
            <w:pPr>
              <w:adjustRightInd w:val="0"/>
              <w:snapToGrid w:val="0"/>
              <w:spacing w:line="300" w:lineRule="atLeast"/>
              <w:jc w:val="center"/>
              <w:rPr>
                <w:color w:val="auto"/>
                <w:sz w:val="18"/>
                <w:szCs w:val="18"/>
              </w:rPr>
            </w:pPr>
            <w:r>
              <w:rPr>
                <w:color w:val="auto"/>
                <w:sz w:val="18"/>
                <w:szCs w:val="18"/>
              </w:rPr>
              <w:t>26～36</w:t>
            </w:r>
          </w:p>
        </w:tc>
      </w:tr>
      <w:tr w14:paraId="2BFC3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5358FBB1">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3139C4B8">
            <w:pPr>
              <w:adjustRightInd w:val="0"/>
              <w:snapToGrid w:val="0"/>
              <w:jc w:val="center"/>
              <w:rPr>
                <w:color w:val="auto"/>
                <w:sz w:val="18"/>
                <w:szCs w:val="18"/>
              </w:rPr>
            </w:pPr>
            <w:r>
              <w:rPr>
                <w:color w:val="auto"/>
                <w:sz w:val="18"/>
                <w:szCs w:val="18"/>
              </w:rPr>
              <w:t>密实</w:t>
            </w:r>
          </w:p>
        </w:tc>
        <w:tc>
          <w:tcPr>
            <w:tcW w:w="1955" w:type="dxa"/>
            <w:tcBorders>
              <w:left w:val="single" w:color="auto" w:sz="4" w:space="0"/>
            </w:tcBorders>
            <w:vAlign w:val="center"/>
          </w:tcPr>
          <w:p w14:paraId="6DBE8961">
            <w:pPr>
              <w:adjustRightInd w:val="0"/>
              <w:snapToGrid w:val="0"/>
              <w:jc w:val="center"/>
              <w:rPr>
                <w:color w:val="auto"/>
                <w:sz w:val="18"/>
                <w:szCs w:val="18"/>
              </w:rPr>
            </w:pPr>
            <w:r>
              <w:rPr>
                <w:i/>
                <w:color w:val="auto"/>
                <w:sz w:val="18"/>
                <w:szCs w:val="18"/>
              </w:rPr>
              <w:t>N</w:t>
            </w:r>
            <w:r>
              <w:rPr>
                <w:color w:val="auto"/>
                <w:sz w:val="18"/>
                <w:szCs w:val="18"/>
              </w:rPr>
              <w:t>＞30</w:t>
            </w:r>
          </w:p>
        </w:tc>
        <w:tc>
          <w:tcPr>
            <w:tcW w:w="1945" w:type="dxa"/>
            <w:vAlign w:val="center"/>
          </w:tcPr>
          <w:p w14:paraId="6D9CA6AE">
            <w:pPr>
              <w:adjustRightInd w:val="0"/>
              <w:snapToGrid w:val="0"/>
              <w:spacing w:line="300" w:lineRule="atLeast"/>
              <w:jc w:val="center"/>
              <w:rPr>
                <w:color w:val="auto"/>
                <w:sz w:val="18"/>
                <w:szCs w:val="18"/>
              </w:rPr>
            </w:pPr>
            <w:r>
              <w:rPr>
                <w:color w:val="auto"/>
                <w:sz w:val="18"/>
                <w:szCs w:val="18"/>
              </w:rPr>
              <w:t>36～47</w:t>
            </w:r>
          </w:p>
        </w:tc>
        <w:tc>
          <w:tcPr>
            <w:tcW w:w="1967" w:type="dxa"/>
            <w:vAlign w:val="center"/>
          </w:tcPr>
          <w:p w14:paraId="1E49A027">
            <w:pPr>
              <w:adjustRightInd w:val="0"/>
              <w:snapToGrid w:val="0"/>
              <w:spacing w:line="300" w:lineRule="atLeast"/>
              <w:jc w:val="center"/>
              <w:rPr>
                <w:color w:val="auto"/>
                <w:sz w:val="18"/>
                <w:szCs w:val="18"/>
              </w:rPr>
            </w:pPr>
            <w:r>
              <w:rPr>
                <w:color w:val="auto"/>
                <w:sz w:val="18"/>
                <w:szCs w:val="18"/>
              </w:rPr>
              <w:t>36～47</w:t>
            </w:r>
          </w:p>
        </w:tc>
      </w:tr>
      <w:tr w14:paraId="26D13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14820038">
            <w:pPr>
              <w:adjustRightInd w:val="0"/>
              <w:snapToGrid w:val="0"/>
              <w:spacing w:line="300" w:lineRule="atLeast"/>
              <w:jc w:val="center"/>
              <w:rPr>
                <w:color w:val="auto"/>
                <w:sz w:val="18"/>
                <w:szCs w:val="18"/>
              </w:rPr>
            </w:pPr>
            <w:r>
              <w:rPr>
                <w:color w:val="auto"/>
                <w:sz w:val="18"/>
                <w:szCs w:val="18"/>
              </w:rPr>
              <w:t>粗砂</w:t>
            </w:r>
          </w:p>
        </w:tc>
        <w:tc>
          <w:tcPr>
            <w:tcW w:w="1339" w:type="dxa"/>
            <w:tcBorders>
              <w:right w:val="single" w:color="auto" w:sz="4" w:space="0"/>
            </w:tcBorders>
            <w:vAlign w:val="center"/>
          </w:tcPr>
          <w:p w14:paraId="635C1EC1">
            <w:pPr>
              <w:adjustRightInd w:val="0"/>
              <w:snapToGrid w:val="0"/>
              <w:jc w:val="center"/>
              <w:rPr>
                <w:color w:val="auto"/>
                <w:sz w:val="18"/>
                <w:szCs w:val="18"/>
              </w:rPr>
            </w:pPr>
            <w:r>
              <w:rPr>
                <w:color w:val="auto"/>
                <w:sz w:val="18"/>
                <w:szCs w:val="18"/>
              </w:rPr>
              <w:t>中密</w:t>
            </w:r>
          </w:p>
        </w:tc>
        <w:tc>
          <w:tcPr>
            <w:tcW w:w="1955" w:type="dxa"/>
            <w:tcBorders>
              <w:left w:val="single" w:color="auto" w:sz="4" w:space="0"/>
            </w:tcBorders>
            <w:vAlign w:val="center"/>
          </w:tcPr>
          <w:p w14:paraId="64D547F2">
            <w:pPr>
              <w:adjustRightInd w:val="0"/>
              <w:snapToGrid w:val="0"/>
              <w:spacing w:line="300" w:lineRule="atLeast"/>
              <w:jc w:val="center"/>
              <w:rPr>
                <w:color w:val="auto"/>
                <w:sz w:val="18"/>
                <w:szCs w:val="18"/>
              </w:rPr>
            </w:pPr>
            <w:r>
              <w:rPr>
                <w:color w:val="auto"/>
                <w:sz w:val="18"/>
                <w:szCs w:val="18"/>
              </w:rPr>
              <w:t>15＜</w:t>
            </w:r>
            <w:r>
              <w:rPr>
                <w:i/>
                <w:color w:val="auto"/>
                <w:sz w:val="18"/>
                <w:szCs w:val="18"/>
              </w:rPr>
              <w:t>N</w:t>
            </w:r>
            <w:r>
              <w:rPr>
                <w:color w:val="auto"/>
                <w:sz w:val="18"/>
                <w:szCs w:val="18"/>
              </w:rPr>
              <w:t>≤30</w:t>
            </w:r>
          </w:p>
        </w:tc>
        <w:tc>
          <w:tcPr>
            <w:tcW w:w="1945" w:type="dxa"/>
            <w:vAlign w:val="center"/>
          </w:tcPr>
          <w:p w14:paraId="54A1AEBF">
            <w:pPr>
              <w:adjustRightInd w:val="0"/>
              <w:snapToGrid w:val="0"/>
              <w:spacing w:line="300" w:lineRule="atLeast"/>
              <w:jc w:val="center"/>
              <w:rPr>
                <w:color w:val="auto"/>
                <w:sz w:val="18"/>
                <w:szCs w:val="18"/>
              </w:rPr>
            </w:pPr>
            <w:r>
              <w:rPr>
                <w:color w:val="auto"/>
                <w:sz w:val="18"/>
                <w:szCs w:val="18"/>
              </w:rPr>
              <w:t>37～47</w:t>
            </w:r>
          </w:p>
        </w:tc>
        <w:tc>
          <w:tcPr>
            <w:tcW w:w="1967" w:type="dxa"/>
            <w:vAlign w:val="center"/>
          </w:tcPr>
          <w:p w14:paraId="180DF7D2">
            <w:pPr>
              <w:adjustRightInd w:val="0"/>
              <w:snapToGrid w:val="0"/>
              <w:spacing w:line="300" w:lineRule="atLeast"/>
              <w:jc w:val="center"/>
              <w:rPr>
                <w:color w:val="auto"/>
                <w:sz w:val="18"/>
                <w:szCs w:val="18"/>
              </w:rPr>
            </w:pPr>
            <w:r>
              <w:rPr>
                <w:color w:val="auto"/>
                <w:sz w:val="18"/>
                <w:szCs w:val="18"/>
              </w:rPr>
              <w:t>37～47</w:t>
            </w:r>
          </w:p>
        </w:tc>
      </w:tr>
      <w:tr w14:paraId="76EC10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79225B81">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3A4C3C0F">
            <w:pPr>
              <w:adjustRightInd w:val="0"/>
              <w:snapToGrid w:val="0"/>
              <w:jc w:val="center"/>
              <w:rPr>
                <w:color w:val="auto"/>
                <w:sz w:val="18"/>
                <w:szCs w:val="18"/>
              </w:rPr>
            </w:pPr>
            <w:r>
              <w:rPr>
                <w:color w:val="auto"/>
                <w:sz w:val="18"/>
                <w:szCs w:val="18"/>
              </w:rPr>
              <w:t>密实</w:t>
            </w:r>
          </w:p>
        </w:tc>
        <w:tc>
          <w:tcPr>
            <w:tcW w:w="1955" w:type="dxa"/>
            <w:tcBorders>
              <w:left w:val="single" w:color="auto" w:sz="4" w:space="0"/>
            </w:tcBorders>
            <w:vAlign w:val="center"/>
          </w:tcPr>
          <w:p w14:paraId="687D8579">
            <w:pPr>
              <w:adjustRightInd w:val="0"/>
              <w:snapToGrid w:val="0"/>
              <w:jc w:val="center"/>
              <w:rPr>
                <w:color w:val="auto"/>
                <w:sz w:val="18"/>
                <w:szCs w:val="18"/>
              </w:rPr>
            </w:pPr>
            <w:r>
              <w:rPr>
                <w:i/>
                <w:color w:val="auto"/>
                <w:sz w:val="18"/>
                <w:szCs w:val="18"/>
              </w:rPr>
              <w:t>N</w:t>
            </w:r>
            <w:r>
              <w:rPr>
                <w:color w:val="auto"/>
                <w:sz w:val="18"/>
                <w:szCs w:val="18"/>
              </w:rPr>
              <w:t>＞30</w:t>
            </w:r>
          </w:p>
        </w:tc>
        <w:tc>
          <w:tcPr>
            <w:tcW w:w="1945" w:type="dxa"/>
            <w:vAlign w:val="center"/>
          </w:tcPr>
          <w:p w14:paraId="20CBCB73">
            <w:pPr>
              <w:adjustRightInd w:val="0"/>
              <w:snapToGrid w:val="0"/>
              <w:spacing w:line="300" w:lineRule="atLeast"/>
              <w:jc w:val="center"/>
              <w:rPr>
                <w:color w:val="auto"/>
                <w:sz w:val="18"/>
                <w:szCs w:val="18"/>
              </w:rPr>
            </w:pPr>
            <w:r>
              <w:rPr>
                <w:color w:val="auto"/>
                <w:sz w:val="18"/>
                <w:szCs w:val="18"/>
              </w:rPr>
              <w:t>47～58</w:t>
            </w:r>
          </w:p>
        </w:tc>
        <w:tc>
          <w:tcPr>
            <w:tcW w:w="1967" w:type="dxa"/>
            <w:vAlign w:val="center"/>
          </w:tcPr>
          <w:p w14:paraId="78D87620">
            <w:pPr>
              <w:adjustRightInd w:val="0"/>
              <w:snapToGrid w:val="0"/>
              <w:spacing w:line="300" w:lineRule="atLeast"/>
              <w:jc w:val="center"/>
              <w:rPr>
                <w:color w:val="auto"/>
                <w:sz w:val="18"/>
                <w:szCs w:val="18"/>
              </w:rPr>
            </w:pPr>
            <w:r>
              <w:rPr>
                <w:color w:val="auto"/>
                <w:sz w:val="18"/>
                <w:szCs w:val="18"/>
              </w:rPr>
              <w:t>49～60</w:t>
            </w:r>
          </w:p>
        </w:tc>
      </w:tr>
      <w:tr w14:paraId="0C244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restart"/>
            <w:vAlign w:val="center"/>
          </w:tcPr>
          <w:p w14:paraId="5EF946BF">
            <w:pPr>
              <w:adjustRightInd w:val="0"/>
              <w:snapToGrid w:val="0"/>
              <w:spacing w:line="300" w:lineRule="atLeast"/>
              <w:jc w:val="center"/>
              <w:rPr>
                <w:color w:val="auto"/>
                <w:sz w:val="18"/>
                <w:szCs w:val="18"/>
              </w:rPr>
            </w:pPr>
            <w:r>
              <w:rPr>
                <w:color w:val="auto"/>
                <w:sz w:val="18"/>
                <w:szCs w:val="18"/>
              </w:rPr>
              <w:t>砾砂</w:t>
            </w:r>
          </w:p>
        </w:tc>
        <w:tc>
          <w:tcPr>
            <w:tcW w:w="1339" w:type="dxa"/>
            <w:tcBorders>
              <w:right w:val="single" w:color="auto" w:sz="4" w:space="0"/>
            </w:tcBorders>
            <w:vAlign w:val="center"/>
          </w:tcPr>
          <w:p w14:paraId="63CF8B27">
            <w:pPr>
              <w:adjustRightInd w:val="0"/>
              <w:snapToGrid w:val="0"/>
              <w:jc w:val="center"/>
              <w:rPr>
                <w:color w:val="auto"/>
                <w:sz w:val="18"/>
                <w:szCs w:val="18"/>
              </w:rPr>
            </w:pPr>
            <w:r>
              <w:rPr>
                <w:color w:val="auto"/>
                <w:sz w:val="18"/>
                <w:szCs w:val="18"/>
              </w:rPr>
              <w:t>稍密</w:t>
            </w:r>
          </w:p>
        </w:tc>
        <w:tc>
          <w:tcPr>
            <w:tcW w:w="1955" w:type="dxa"/>
            <w:tcBorders>
              <w:left w:val="single" w:color="auto" w:sz="4" w:space="0"/>
            </w:tcBorders>
            <w:vAlign w:val="center"/>
          </w:tcPr>
          <w:p w14:paraId="23E46A95">
            <w:pPr>
              <w:adjustRightInd w:val="0"/>
              <w:snapToGrid w:val="0"/>
              <w:jc w:val="center"/>
              <w:rPr>
                <w:color w:val="auto"/>
                <w:sz w:val="18"/>
                <w:szCs w:val="18"/>
              </w:rPr>
            </w:pPr>
            <w:r>
              <w:rPr>
                <w:color w:val="auto"/>
                <w:sz w:val="18"/>
                <w:szCs w:val="18"/>
              </w:rPr>
              <w:t>5＜</w:t>
            </w:r>
            <w:r>
              <w:rPr>
                <w:i/>
                <w:color w:val="auto"/>
                <w:sz w:val="18"/>
                <w:szCs w:val="18"/>
              </w:rPr>
              <w:t>N</w:t>
            </w:r>
            <w:r>
              <w:rPr>
                <w:iCs/>
                <w:color w:val="auto"/>
                <w:sz w:val="18"/>
                <w:szCs w:val="18"/>
                <w:vertAlign w:val="subscript"/>
              </w:rPr>
              <w:t>63.5</w:t>
            </w:r>
            <w:r>
              <w:rPr>
                <w:color w:val="auto"/>
                <w:sz w:val="18"/>
                <w:szCs w:val="18"/>
              </w:rPr>
              <w:t>≤15</w:t>
            </w:r>
          </w:p>
        </w:tc>
        <w:tc>
          <w:tcPr>
            <w:tcW w:w="1945" w:type="dxa"/>
            <w:vAlign w:val="center"/>
          </w:tcPr>
          <w:p w14:paraId="6669B034">
            <w:pPr>
              <w:adjustRightInd w:val="0"/>
              <w:snapToGrid w:val="0"/>
              <w:spacing w:line="300" w:lineRule="atLeast"/>
              <w:jc w:val="center"/>
              <w:rPr>
                <w:color w:val="auto"/>
                <w:sz w:val="18"/>
                <w:szCs w:val="18"/>
              </w:rPr>
            </w:pPr>
            <w:r>
              <w:rPr>
                <w:color w:val="auto"/>
                <w:sz w:val="18"/>
                <w:szCs w:val="18"/>
              </w:rPr>
              <w:t>25～45</w:t>
            </w:r>
          </w:p>
        </w:tc>
        <w:tc>
          <w:tcPr>
            <w:tcW w:w="1967" w:type="dxa"/>
            <w:vAlign w:val="center"/>
          </w:tcPr>
          <w:p w14:paraId="46DBEABE">
            <w:pPr>
              <w:adjustRightInd w:val="0"/>
              <w:snapToGrid w:val="0"/>
              <w:spacing w:line="300" w:lineRule="atLeast"/>
              <w:jc w:val="center"/>
              <w:rPr>
                <w:color w:val="auto"/>
                <w:sz w:val="18"/>
                <w:szCs w:val="18"/>
              </w:rPr>
            </w:pPr>
            <w:r>
              <w:rPr>
                <w:color w:val="auto"/>
                <w:sz w:val="18"/>
                <w:szCs w:val="18"/>
              </w:rPr>
              <w:t>30～50</w:t>
            </w:r>
          </w:p>
        </w:tc>
      </w:tr>
      <w:tr w14:paraId="320BD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Merge w:val="continue"/>
            <w:vAlign w:val="center"/>
          </w:tcPr>
          <w:p w14:paraId="0599EA33">
            <w:pPr>
              <w:adjustRightInd w:val="0"/>
              <w:snapToGrid w:val="0"/>
              <w:spacing w:line="300" w:lineRule="atLeast"/>
              <w:jc w:val="center"/>
              <w:rPr>
                <w:color w:val="auto"/>
                <w:sz w:val="18"/>
                <w:szCs w:val="18"/>
              </w:rPr>
            </w:pPr>
          </w:p>
        </w:tc>
        <w:tc>
          <w:tcPr>
            <w:tcW w:w="1339" w:type="dxa"/>
            <w:tcBorders>
              <w:right w:val="single" w:color="auto" w:sz="4" w:space="0"/>
            </w:tcBorders>
            <w:vAlign w:val="center"/>
          </w:tcPr>
          <w:p w14:paraId="625C9698">
            <w:pPr>
              <w:adjustRightInd w:val="0"/>
              <w:snapToGrid w:val="0"/>
              <w:jc w:val="center"/>
              <w:rPr>
                <w:color w:val="auto"/>
                <w:sz w:val="18"/>
                <w:szCs w:val="18"/>
              </w:rPr>
            </w:pPr>
            <w:r>
              <w:rPr>
                <w:color w:val="auto"/>
                <w:sz w:val="18"/>
                <w:szCs w:val="18"/>
              </w:rPr>
              <w:t>中密、密实</w:t>
            </w:r>
          </w:p>
        </w:tc>
        <w:tc>
          <w:tcPr>
            <w:tcW w:w="1955" w:type="dxa"/>
            <w:tcBorders>
              <w:left w:val="single" w:color="auto" w:sz="4" w:space="0"/>
            </w:tcBorders>
            <w:vAlign w:val="center"/>
          </w:tcPr>
          <w:p w14:paraId="0ADDCE39">
            <w:pPr>
              <w:adjustRightInd w:val="0"/>
              <w:snapToGrid w:val="0"/>
              <w:jc w:val="center"/>
              <w:rPr>
                <w:color w:val="auto"/>
                <w:sz w:val="18"/>
                <w:szCs w:val="18"/>
              </w:rPr>
            </w:pPr>
            <w:r>
              <w:rPr>
                <w:i/>
                <w:color w:val="auto"/>
                <w:sz w:val="18"/>
                <w:szCs w:val="18"/>
              </w:rPr>
              <w:t>N</w:t>
            </w:r>
            <w:r>
              <w:rPr>
                <w:iCs/>
                <w:color w:val="auto"/>
                <w:sz w:val="18"/>
                <w:szCs w:val="18"/>
                <w:vertAlign w:val="subscript"/>
              </w:rPr>
              <w:t>63.5</w:t>
            </w:r>
            <w:r>
              <w:rPr>
                <w:color w:val="auto"/>
                <w:sz w:val="18"/>
                <w:szCs w:val="18"/>
              </w:rPr>
              <w:t>＞15</w:t>
            </w:r>
          </w:p>
        </w:tc>
        <w:tc>
          <w:tcPr>
            <w:tcW w:w="1945" w:type="dxa"/>
            <w:vAlign w:val="center"/>
          </w:tcPr>
          <w:p w14:paraId="426E5066">
            <w:pPr>
              <w:adjustRightInd w:val="0"/>
              <w:snapToGrid w:val="0"/>
              <w:spacing w:line="300" w:lineRule="atLeast"/>
              <w:jc w:val="center"/>
              <w:rPr>
                <w:color w:val="auto"/>
                <w:sz w:val="18"/>
                <w:szCs w:val="18"/>
              </w:rPr>
            </w:pPr>
            <w:r>
              <w:rPr>
                <w:color w:val="auto"/>
                <w:sz w:val="18"/>
                <w:szCs w:val="18"/>
              </w:rPr>
              <w:t>58～65</w:t>
            </w:r>
          </w:p>
        </w:tc>
        <w:tc>
          <w:tcPr>
            <w:tcW w:w="1967" w:type="dxa"/>
            <w:vAlign w:val="center"/>
          </w:tcPr>
          <w:p w14:paraId="1B6EE66D">
            <w:pPr>
              <w:adjustRightInd w:val="0"/>
              <w:snapToGrid w:val="0"/>
              <w:spacing w:line="300" w:lineRule="atLeast"/>
              <w:jc w:val="center"/>
              <w:rPr>
                <w:color w:val="auto"/>
                <w:sz w:val="18"/>
                <w:szCs w:val="18"/>
              </w:rPr>
            </w:pPr>
            <w:r>
              <w:rPr>
                <w:color w:val="auto"/>
                <w:sz w:val="18"/>
                <w:szCs w:val="18"/>
              </w:rPr>
              <w:t>56～65</w:t>
            </w:r>
          </w:p>
        </w:tc>
      </w:tr>
      <w:tr w14:paraId="60970B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2E7BD548">
            <w:pPr>
              <w:adjustRightInd w:val="0"/>
              <w:snapToGrid w:val="0"/>
              <w:spacing w:line="300" w:lineRule="atLeast"/>
              <w:jc w:val="center"/>
              <w:rPr>
                <w:color w:val="auto"/>
                <w:sz w:val="18"/>
                <w:szCs w:val="18"/>
              </w:rPr>
            </w:pPr>
            <w:r>
              <w:rPr>
                <w:color w:val="auto"/>
                <w:sz w:val="18"/>
                <w:szCs w:val="18"/>
              </w:rPr>
              <w:t>圆砾、角砾</w:t>
            </w:r>
          </w:p>
        </w:tc>
        <w:tc>
          <w:tcPr>
            <w:tcW w:w="1339" w:type="dxa"/>
            <w:tcBorders>
              <w:bottom w:val="single" w:color="auto" w:sz="4" w:space="0"/>
              <w:right w:val="single" w:color="auto" w:sz="4" w:space="0"/>
            </w:tcBorders>
            <w:vAlign w:val="center"/>
          </w:tcPr>
          <w:p w14:paraId="01E4EC22">
            <w:pPr>
              <w:adjustRightInd w:val="0"/>
              <w:snapToGrid w:val="0"/>
              <w:jc w:val="center"/>
              <w:rPr>
                <w:color w:val="auto"/>
                <w:sz w:val="18"/>
                <w:szCs w:val="18"/>
              </w:rPr>
            </w:pPr>
            <w:r>
              <w:rPr>
                <w:color w:val="auto"/>
                <w:sz w:val="18"/>
                <w:szCs w:val="18"/>
              </w:rPr>
              <w:t>中密、密实</w:t>
            </w:r>
          </w:p>
        </w:tc>
        <w:tc>
          <w:tcPr>
            <w:tcW w:w="1955" w:type="dxa"/>
            <w:tcBorders>
              <w:left w:val="single" w:color="auto" w:sz="4" w:space="0"/>
              <w:bottom w:val="single" w:color="auto" w:sz="4" w:space="0"/>
            </w:tcBorders>
            <w:vAlign w:val="center"/>
          </w:tcPr>
          <w:p w14:paraId="5F829E29">
            <w:pPr>
              <w:adjustRightInd w:val="0"/>
              <w:snapToGrid w:val="0"/>
              <w:spacing w:line="300" w:lineRule="atLeast"/>
              <w:jc w:val="center"/>
              <w:rPr>
                <w:i/>
                <w:color w:val="auto"/>
                <w:sz w:val="18"/>
                <w:szCs w:val="18"/>
              </w:rPr>
            </w:pPr>
            <w:r>
              <w:rPr>
                <w:i/>
                <w:color w:val="auto"/>
                <w:sz w:val="18"/>
                <w:szCs w:val="18"/>
              </w:rPr>
              <w:t>N</w:t>
            </w:r>
            <w:r>
              <w:rPr>
                <w:iCs/>
                <w:color w:val="auto"/>
                <w:sz w:val="18"/>
                <w:szCs w:val="18"/>
                <w:vertAlign w:val="subscript"/>
              </w:rPr>
              <w:t>63.5</w:t>
            </w:r>
            <w:r>
              <w:rPr>
                <w:iCs/>
                <w:color w:val="auto"/>
                <w:sz w:val="18"/>
                <w:szCs w:val="18"/>
              </w:rPr>
              <w:t>＞10</w:t>
            </w:r>
          </w:p>
        </w:tc>
        <w:tc>
          <w:tcPr>
            <w:tcW w:w="1945" w:type="dxa"/>
            <w:tcBorders>
              <w:bottom w:val="single" w:color="auto" w:sz="4" w:space="0"/>
            </w:tcBorders>
            <w:vAlign w:val="center"/>
          </w:tcPr>
          <w:p w14:paraId="6807379F">
            <w:pPr>
              <w:adjustRightInd w:val="0"/>
              <w:snapToGrid w:val="0"/>
              <w:spacing w:line="300" w:lineRule="atLeast"/>
              <w:jc w:val="center"/>
              <w:rPr>
                <w:color w:val="auto"/>
                <w:sz w:val="18"/>
                <w:szCs w:val="18"/>
              </w:rPr>
            </w:pPr>
            <w:r>
              <w:rPr>
                <w:color w:val="auto"/>
                <w:sz w:val="18"/>
                <w:szCs w:val="18"/>
              </w:rPr>
              <w:t>67～75</w:t>
            </w:r>
          </w:p>
        </w:tc>
        <w:tc>
          <w:tcPr>
            <w:tcW w:w="1967" w:type="dxa"/>
            <w:tcBorders>
              <w:bottom w:val="single" w:color="auto" w:sz="4" w:space="0"/>
            </w:tcBorders>
            <w:vAlign w:val="center"/>
          </w:tcPr>
          <w:p w14:paraId="79B00076">
            <w:pPr>
              <w:adjustRightInd w:val="0"/>
              <w:snapToGrid w:val="0"/>
              <w:spacing w:line="300" w:lineRule="atLeast"/>
              <w:jc w:val="center"/>
              <w:rPr>
                <w:color w:val="auto"/>
                <w:sz w:val="18"/>
                <w:szCs w:val="18"/>
              </w:rPr>
            </w:pPr>
            <w:r>
              <w:rPr>
                <w:color w:val="auto"/>
                <w:sz w:val="18"/>
                <w:szCs w:val="18"/>
              </w:rPr>
              <w:t>67～75</w:t>
            </w:r>
          </w:p>
        </w:tc>
      </w:tr>
      <w:tr w14:paraId="57F1C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20C1FF30">
            <w:pPr>
              <w:adjustRightInd w:val="0"/>
              <w:snapToGrid w:val="0"/>
              <w:spacing w:line="300" w:lineRule="atLeast"/>
              <w:jc w:val="center"/>
              <w:rPr>
                <w:color w:val="auto"/>
                <w:sz w:val="18"/>
                <w:szCs w:val="18"/>
              </w:rPr>
            </w:pPr>
            <w:r>
              <w:rPr>
                <w:color w:val="auto"/>
                <w:sz w:val="18"/>
                <w:szCs w:val="18"/>
              </w:rPr>
              <w:t>碎石、卵石</w:t>
            </w:r>
          </w:p>
        </w:tc>
        <w:tc>
          <w:tcPr>
            <w:tcW w:w="1339" w:type="dxa"/>
            <w:tcBorders>
              <w:top w:val="single" w:color="auto" w:sz="4" w:space="0"/>
              <w:right w:val="single" w:color="auto" w:sz="4" w:space="0"/>
            </w:tcBorders>
            <w:vAlign w:val="center"/>
          </w:tcPr>
          <w:p w14:paraId="47564613">
            <w:pPr>
              <w:adjustRightInd w:val="0"/>
              <w:snapToGrid w:val="0"/>
              <w:spacing w:line="300" w:lineRule="atLeast"/>
              <w:jc w:val="center"/>
              <w:rPr>
                <w:i/>
                <w:color w:val="auto"/>
                <w:sz w:val="18"/>
                <w:szCs w:val="18"/>
              </w:rPr>
            </w:pPr>
            <w:r>
              <w:rPr>
                <w:color w:val="auto"/>
                <w:sz w:val="18"/>
                <w:szCs w:val="18"/>
              </w:rPr>
              <w:t>中密、密实</w:t>
            </w:r>
          </w:p>
        </w:tc>
        <w:tc>
          <w:tcPr>
            <w:tcW w:w="1955" w:type="dxa"/>
            <w:tcBorders>
              <w:top w:val="single" w:color="auto" w:sz="4" w:space="0"/>
              <w:left w:val="single" w:color="auto" w:sz="4" w:space="0"/>
            </w:tcBorders>
            <w:vAlign w:val="center"/>
          </w:tcPr>
          <w:p w14:paraId="74762686">
            <w:pPr>
              <w:adjustRightInd w:val="0"/>
              <w:snapToGrid w:val="0"/>
              <w:spacing w:line="300" w:lineRule="atLeast"/>
              <w:jc w:val="center"/>
              <w:rPr>
                <w:i/>
                <w:color w:val="auto"/>
                <w:sz w:val="18"/>
                <w:szCs w:val="18"/>
              </w:rPr>
            </w:pPr>
            <w:r>
              <w:rPr>
                <w:i/>
                <w:color w:val="auto"/>
                <w:sz w:val="18"/>
                <w:szCs w:val="18"/>
              </w:rPr>
              <w:t>N</w:t>
            </w:r>
            <w:r>
              <w:rPr>
                <w:iCs/>
                <w:color w:val="auto"/>
                <w:sz w:val="18"/>
                <w:szCs w:val="18"/>
                <w:vertAlign w:val="subscript"/>
              </w:rPr>
              <w:t>63.5</w:t>
            </w:r>
            <w:r>
              <w:rPr>
                <w:iCs/>
                <w:color w:val="auto"/>
                <w:sz w:val="18"/>
                <w:szCs w:val="18"/>
              </w:rPr>
              <w:t>＞10</w:t>
            </w:r>
          </w:p>
        </w:tc>
        <w:tc>
          <w:tcPr>
            <w:tcW w:w="1945" w:type="dxa"/>
            <w:tcBorders>
              <w:top w:val="single" w:color="auto" w:sz="4" w:space="0"/>
            </w:tcBorders>
            <w:vAlign w:val="center"/>
          </w:tcPr>
          <w:p w14:paraId="39475D2F">
            <w:pPr>
              <w:adjustRightInd w:val="0"/>
              <w:snapToGrid w:val="0"/>
              <w:spacing w:line="300" w:lineRule="atLeast"/>
              <w:jc w:val="center"/>
              <w:rPr>
                <w:color w:val="auto"/>
                <w:sz w:val="18"/>
                <w:szCs w:val="18"/>
              </w:rPr>
            </w:pPr>
            <w:r>
              <w:rPr>
                <w:color w:val="auto"/>
                <w:sz w:val="18"/>
                <w:szCs w:val="18"/>
              </w:rPr>
              <w:t>70～85</w:t>
            </w:r>
          </w:p>
        </w:tc>
        <w:tc>
          <w:tcPr>
            <w:tcW w:w="1967" w:type="dxa"/>
            <w:tcBorders>
              <w:top w:val="single" w:color="auto" w:sz="4" w:space="0"/>
            </w:tcBorders>
            <w:vAlign w:val="center"/>
          </w:tcPr>
          <w:p w14:paraId="3978151C">
            <w:pPr>
              <w:adjustRightInd w:val="0"/>
              <w:snapToGrid w:val="0"/>
              <w:spacing w:line="300" w:lineRule="atLeast"/>
              <w:jc w:val="center"/>
              <w:rPr>
                <w:color w:val="auto"/>
                <w:sz w:val="18"/>
                <w:szCs w:val="18"/>
              </w:rPr>
            </w:pPr>
            <w:r>
              <w:rPr>
                <w:color w:val="auto"/>
                <w:sz w:val="18"/>
                <w:szCs w:val="18"/>
              </w:rPr>
              <w:t>75～85</w:t>
            </w:r>
          </w:p>
        </w:tc>
      </w:tr>
      <w:tr w14:paraId="2343D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6488B78C">
            <w:pPr>
              <w:adjustRightInd w:val="0"/>
              <w:snapToGrid w:val="0"/>
              <w:spacing w:line="240" w:lineRule="exact"/>
              <w:jc w:val="center"/>
              <w:rPr>
                <w:color w:val="auto"/>
                <w:sz w:val="18"/>
                <w:szCs w:val="18"/>
              </w:rPr>
            </w:pPr>
            <w:r>
              <w:rPr>
                <w:color w:val="auto"/>
                <w:sz w:val="18"/>
                <w:szCs w:val="18"/>
              </w:rPr>
              <w:t>软质岩残积土</w:t>
            </w:r>
          </w:p>
        </w:tc>
        <w:tc>
          <w:tcPr>
            <w:tcW w:w="1339" w:type="dxa"/>
            <w:tcBorders>
              <w:right w:val="single" w:color="auto" w:sz="4" w:space="0"/>
            </w:tcBorders>
            <w:vAlign w:val="center"/>
          </w:tcPr>
          <w:p w14:paraId="077B7D4D">
            <w:pPr>
              <w:adjustRightInd w:val="0"/>
              <w:snapToGrid w:val="0"/>
              <w:spacing w:line="300" w:lineRule="atLeast"/>
              <w:jc w:val="center"/>
              <w:rPr>
                <w:i/>
                <w:color w:val="auto"/>
                <w:sz w:val="18"/>
                <w:szCs w:val="18"/>
              </w:rPr>
            </w:pPr>
            <w:r>
              <w:rPr>
                <w:i/>
                <w:color w:val="auto"/>
                <w:sz w:val="18"/>
                <w:szCs w:val="18"/>
              </w:rPr>
              <w:t>---</w:t>
            </w:r>
          </w:p>
        </w:tc>
        <w:tc>
          <w:tcPr>
            <w:tcW w:w="1955" w:type="dxa"/>
            <w:tcBorders>
              <w:left w:val="single" w:color="auto" w:sz="4" w:space="0"/>
            </w:tcBorders>
            <w:vAlign w:val="center"/>
          </w:tcPr>
          <w:p w14:paraId="305905A4">
            <w:pPr>
              <w:adjustRightInd w:val="0"/>
              <w:snapToGrid w:val="0"/>
              <w:spacing w:line="300" w:lineRule="atLeast"/>
              <w:jc w:val="center"/>
              <w:rPr>
                <w:i/>
                <w:color w:val="auto"/>
                <w:sz w:val="18"/>
                <w:szCs w:val="18"/>
              </w:rPr>
            </w:pPr>
            <w:r>
              <w:rPr>
                <w:i/>
                <w:color w:val="auto"/>
                <w:sz w:val="18"/>
                <w:szCs w:val="18"/>
              </w:rPr>
              <w:t>N</w:t>
            </w:r>
            <w:r>
              <w:rPr>
                <w:color w:val="auto"/>
                <w:sz w:val="18"/>
                <w:szCs w:val="18"/>
              </w:rPr>
              <w:t>＜35</w:t>
            </w:r>
          </w:p>
        </w:tc>
        <w:tc>
          <w:tcPr>
            <w:tcW w:w="1945" w:type="dxa"/>
            <w:vAlign w:val="center"/>
          </w:tcPr>
          <w:p w14:paraId="785301FB">
            <w:pPr>
              <w:adjustRightInd w:val="0"/>
              <w:snapToGrid w:val="0"/>
              <w:spacing w:line="300" w:lineRule="atLeast"/>
              <w:jc w:val="center"/>
              <w:rPr>
                <w:color w:val="auto"/>
                <w:sz w:val="18"/>
                <w:szCs w:val="18"/>
              </w:rPr>
            </w:pPr>
            <w:r>
              <w:rPr>
                <w:color w:val="auto"/>
                <w:sz w:val="18"/>
                <w:szCs w:val="18"/>
              </w:rPr>
              <w:t>40～50</w:t>
            </w:r>
          </w:p>
        </w:tc>
        <w:tc>
          <w:tcPr>
            <w:tcW w:w="1967" w:type="dxa"/>
            <w:vAlign w:val="center"/>
          </w:tcPr>
          <w:p w14:paraId="1B9DD91D">
            <w:pPr>
              <w:adjustRightInd w:val="0"/>
              <w:snapToGrid w:val="0"/>
              <w:spacing w:line="300" w:lineRule="atLeast"/>
              <w:jc w:val="center"/>
              <w:rPr>
                <w:color w:val="auto"/>
                <w:sz w:val="18"/>
                <w:szCs w:val="18"/>
              </w:rPr>
            </w:pPr>
            <w:r>
              <w:rPr>
                <w:color w:val="auto"/>
                <w:sz w:val="18"/>
                <w:szCs w:val="18"/>
              </w:rPr>
              <w:t>40～50</w:t>
            </w:r>
          </w:p>
        </w:tc>
      </w:tr>
      <w:tr w14:paraId="57DC8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13FDF649">
            <w:pPr>
              <w:adjustRightInd w:val="0"/>
              <w:snapToGrid w:val="0"/>
              <w:spacing w:line="240" w:lineRule="exact"/>
              <w:jc w:val="center"/>
              <w:rPr>
                <w:color w:val="auto"/>
                <w:sz w:val="18"/>
                <w:szCs w:val="18"/>
              </w:rPr>
            </w:pPr>
            <w:r>
              <w:rPr>
                <w:color w:val="auto"/>
                <w:sz w:val="18"/>
                <w:szCs w:val="18"/>
              </w:rPr>
              <w:t>硬质岩残积土</w:t>
            </w:r>
          </w:p>
        </w:tc>
        <w:tc>
          <w:tcPr>
            <w:tcW w:w="1339" w:type="dxa"/>
            <w:tcBorders>
              <w:right w:val="single" w:color="auto" w:sz="4" w:space="0"/>
            </w:tcBorders>
            <w:vAlign w:val="center"/>
          </w:tcPr>
          <w:p w14:paraId="6EDD0D49">
            <w:pPr>
              <w:adjustRightInd w:val="0"/>
              <w:snapToGrid w:val="0"/>
              <w:spacing w:line="300" w:lineRule="atLeast"/>
              <w:jc w:val="center"/>
              <w:rPr>
                <w:i/>
                <w:color w:val="auto"/>
                <w:sz w:val="18"/>
                <w:szCs w:val="18"/>
              </w:rPr>
            </w:pPr>
            <w:r>
              <w:rPr>
                <w:i/>
                <w:color w:val="auto"/>
                <w:sz w:val="18"/>
                <w:szCs w:val="18"/>
              </w:rPr>
              <w:t>---</w:t>
            </w:r>
          </w:p>
        </w:tc>
        <w:tc>
          <w:tcPr>
            <w:tcW w:w="1955" w:type="dxa"/>
            <w:tcBorders>
              <w:left w:val="single" w:color="auto" w:sz="4" w:space="0"/>
            </w:tcBorders>
            <w:vAlign w:val="center"/>
          </w:tcPr>
          <w:p w14:paraId="1F5F91CD">
            <w:pPr>
              <w:adjustRightInd w:val="0"/>
              <w:snapToGrid w:val="0"/>
              <w:spacing w:line="300" w:lineRule="atLeast"/>
              <w:jc w:val="center"/>
              <w:rPr>
                <w:i/>
                <w:color w:val="auto"/>
                <w:sz w:val="18"/>
                <w:szCs w:val="18"/>
              </w:rPr>
            </w:pPr>
            <w:r>
              <w:rPr>
                <w:i/>
                <w:iCs/>
                <w:color w:val="auto"/>
                <w:sz w:val="18"/>
                <w:szCs w:val="18"/>
              </w:rPr>
              <w:t>N</w:t>
            </w:r>
            <w:r>
              <w:rPr>
                <w:color w:val="auto"/>
                <w:sz w:val="18"/>
                <w:szCs w:val="18"/>
              </w:rPr>
              <w:t>&lt;50</w:t>
            </w:r>
          </w:p>
        </w:tc>
        <w:tc>
          <w:tcPr>
            <w:tcW w:w="1945" w:type="dxa"/>
            <w:vAlign w:val="center"/>
          </w:tcPr>
          <w:p w14:paraId="2C101526">
            <w:pPr>
              <w:adjustRightInd w:val="0"/>
              <w:snapToGrid w:val="0"/>
              <w:spacing w:line="300" w:lineRule="atLeast"/>
              <w:jc w:val="center"/>
              <w:rPr>
                <w:color w:val="auto"/>
                <w:sz w:val="18"/>
                <w:szCs w:val="18"/>
              </w:rPr>
            </w:pPr>
            <w:r>
              <w:rPr>
                <w:color w:val="auto"/>
                <w:sz w:val="18"/>
                <w:szCs w:val="18"/>
              </w:rPr>
              <w:t>60～70</w:t>
            </w:r>
          </w:p>
        </w:tc>
        <w:tc>
          <w:tcPr>
            <w:tcW w:w="1967" w:type="dxa"/>
            <w:vAlign w:val="center"/>
          </w:tcPr>
          <w:p w14:paraId="69FD3D9F">
            <w:pPr>
              <w:adjustRightInd w:val="0"/>
              <w:snapToGrid w:val="0"/>
              <w:spacing w:line="300" w:lineRule="atLeast"/>
              <w:jc w:val="center"/>
              <w:rPr>
                <w:color w:val="auto"/>
                <w:sz w:val="18"/>
                <w:szCs w:val="18"/>
              </w:rPr>
            </w:pPr>
            <w:r>
              <w:rPr>
                <w:color w:val="auto"/>
                <w:sz w:val="18"/>
                <w:szCs w:val="18"/>
              </w:rPr>
              <w:t>60～75</w:t>
            </w:r>
          </w:p>
        </w:tc>
      </w:tr>
      <w:tr w14:paraId="28385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2D73A097">
            <w:pPr>
              <w:adjustRightInd w:val="0"/>
              <w:snapToGrid w:val="0"/>
              <w:spacing w:line="240" w:lineRule="exact"/>
              <w:jc w:val="center"/>
              <w:rPr>
                <w:color w:val="auto"/>
                <w:sz w:val="18"/>
                <w:szCs w:val="18"/>
              </w:rPr>
            </w:pPr>
          </w:p>
        </w:tc>
        <w:tc>
          <w:tcPr>
            <w:tcW w:w="1339" w:type="dxa"/>
            <w:tcBorders>
              <w:right w:val="single" w:color="auto" w:sz="4" w:space="0"/>
            </w:tcBorders>
            <w:vAlign w:val="center"/>
          </w:tcPr>
          <w:p w14:paraId="7F0C87ED">
            <w:pPr>
              <w:adjustRightInd w:val="0"/>
              <w:snapToGrid w:val="0"/>
              <w:spacing w:line="300" w:lineRule="atLeast"/>
              <w:jc w:val="center"/>
              <w:rPr>
                <w:i/>
                <w:color w:val="auto"/>
                <w:sz w:val="18"/>
                <w:szCs w:val="18"/>
              </w:rPr>
            </w:pPr>
          </w:p>
        </w:tc>
        <w:tc>
          <w:tcPr>
            <w:tcW w:w="1955" w:type="dxa"/>
            <w:tcBorders>
              <w:left w:val="single" w:color="auto" w:sz="4" w:space="0"/>
            </w:tcBorders>
            <w:vAlign w:val="center"/>
          </w:tcPr>
          <w:p w14:paraId="19D32FB2">
            <w:pPr>
              <w:adjustRightInd w:val="0"/>
              <w:snapToGrid w:val="0"/>
              <w:spacing w:line="300" w:lineRule="atLeast"/>
              <w:jc w:val="center"/>
              <w:rPr>
                <w:i/>
                <w:color w:val="auto"/>
                <w:sz w:val="18"/>
                <w:szCs w:val="18"/>
              </w:rPr>
            </w:pPr>
          </w:p>
        </w:tc>
        <w:tc>
          <w:tcPr>
            <w:tcW w:w="1945" w:type="dxa"/>
            <w:vAlign w:val="center"/>
          </w:tcPr>
          <w:p w14:paraId="2F3DAC74">
            <w:pPr>
              <w:adjustRightInd w:val="0"/>
              <w:snapToGrid w:val="0"/>
              <w:spacing w:line="300" w:lineRule="atLeast"/>
              <w:jc w:val="center"/>
              <w:rPr>
                <w:color w:val="auto"/>
                <w:sz w:val="18"/>
                <w:szCs w:val="18"/>
              </w:rPr>
            </w:pPr>
          </w:p>
        </w:tc>
        <w:tc>
          <w:tcPr>
            <w:tcW w:w="1967" w:type="dxa"/>
            <w:vAlign w:val="center"/>
          </w:tcPr>
          <w:p w14:paraId="33E6FCB6">
            <w:pPr>
              <w:adjustRightInd w:val="0"/>
              <w:snapToGrid w:val="0"/>
              <w:spacing w:line="300" w:lineRule="atLeast"/>
              <w:jc w:val="center"/>
              <w:rPr>
                <w:color w:val="auto"/>
                <w:sz w:val="18"/>
                <w:szCs w:val="18"/>
              </w:rPr>
            </w:pPr>
          </w:p>
        </w:tc>
      </w:tr>
      <w:tr w14:paraId="1C054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33" w:type="dxa"/>
            <w:vAlign w:val="center"/>
          </w:tcPr>
          <w:p w14:paraId="1A6F505C">
            <w:pPr>
              <w:adjustRightInd w:val="0"/>
              <w:snapToGrid w:val="0"/>
              <w:spacing w:line="240" w:lineRule="exact"/>
              <w:jc w:val="center"/>
              <w:rPr>
                <w:color w:val="auto"/>
                <w:sz w:val="18"/>
                <w:szCs w:val="18"/>
              </w:rPr>
            </w:pPr>
          </w:p>
        </w:tc>
        <w:tc>
          <w:tcPr>
            <w:tcW w:w="1339" w:type="dxa"/>
            <w:tcBorders>
              <w:right w:val="single" w:color="auto" w:sz="4" w:space="0"/>
            </w:tcBorders>
            <w:vAlign w:val="center"/>
          </w:tcPr>
          <w:p w14:paraId="0C6F202D">
            <w:pPr>
              <w:adjustRightInd w:val="0"/>
              <w:snapToGrid w:val="0"/>
              <w:spacing w:line="300" w:lineRule="atLeast"/>
              <w:jc w:val="center"/>
              <w:rPr>
                <w:i/>
                <w:color w:val="auto"/>
                <w:sz w:val="18"/>
                <w:szCs w:val="18"/>
              </w:rPr>
            </w:pPr>
          </w:p>
        </w:tc>
        <w:tc>
          <w:tcPr>
            <w:tcW w:w="1955" w:type="dxa"/>
            <w:tcBorders>
              <w:left w:val="single" w:color="auto" w:sz="4" w:space="0"/>
            </w:tcBorders>
            <w:vAlign w:val="center"/>
          </w:tcPr>
          <w:p w14:paraId="399A3E8A">
            <w:pPr>
              <w:adjustRightInd w:val="0"/>
              <w:snapToGrid w:val="0"/>
              <w:spacing w:line="300" w:lineRule="atLeast"/>
              <w:jc w:val="center"/>
              <w:rPr>
                <w:i/>
                <w:color w:val="auto"/>
                <w:sz w:val="18"/>
                <w:szCs w:val="18"/>
              </w:rPr>
            </w:pPr>
          </w:p>
        </w:tc>
        <w:tc>
          <w:tcPr>
            <w:tcW w:w="1945" w:type="dxa"/>
            <w:vAlign w:val="center"/>
          </w:tcPr>
          <w:p w14:paraId="108BF90C">
            <w:pPr>
              <w:adjustRightInd w:val="0"/>
              <w:snapToGrid w:val="0"/>
              <w:spacing w:line="300" w:lineRule="atLeast"/>
              <w:jc w:val="center"/>
              <w:rPr>
                <w:color w:val="auto"/>
                <w:sz w:val="18"/>
                <w:szCs w:val="18"/>
              </w:rPr>
            </w:pPr>
          </w:p>
        </w:tc>
        <w:tc>
          <w:tcPr>
            <w:tcW w:w="1967" w:type="dxa"/>
            <w:vAlign w:val="center"/>
          </w:tcPr>
          <w:p w14:paraId="60B59A16">
            <w:pPr>
              <w:adjustRightInd w:val="0"/>
              <w:snapToGrid w:val="0"/>
              <w:spacing w:line="300" w:lineRule="atLeast"/>
              <w:jc w:val="center"/>
              <w:rPr>
                <w:color w:val="auto"/>
                <w:sz w:val="18"/>
                <w:szCs w:val="18"/>
              </w:rPr>
            </w:pPr>
          </w:p>
        </w:tc>
      </w:tr>
      <w:tr w14:paraId="50794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9139" w:type="dxa"/>
            <w:gridSpan w:val="5"/>
            <w:vAlign w:val="center"/>
          </w:tcPr>
          <w:p w14:paraId="07C8383E">
            <w:pPr>
              <w:adjustRightInd w:val="0"/>
              <w:snapToGrid w:val="0"/>
              <w:jc w:val="left"/>
              <w:rPr>
                <w:color w:val="auto"/>
                <w:sz w:val="18"/>
                <w:szCs w:val="18"/>
              </w:rPr>
            </w:pPr>
            <w:r>
              <w:rPr>
                <w:color w:val="auto"/>
                <w:sz w:val="18"/>
                <w:szCs w:val="18"/>
              </w:rPr>
              <w:t>注1：对于尚未完成自重固结的填土、淤泥和以生活垃圾为主的杂填土，不计算其侧阻力。</w:t>
            </w:r>
          </w:p>
          <w:p w14:paraId="4B67B655">
            <w:pPr>
              <w:adjustRightInd w:val="0"/>
              <w:snapToGrid w:val="0"/>
              <w:jc w:val="left"/>
              <w:rPr>
                <w:iCs/>
                <w:color w:val="auto"/>
                <w:sz w:val="18"/>
                <w:szCs w:val="18"/>
              </w:rPr>
            </w:pPr>
            <w:r>
              <w:rPr>
                <w:color w:val="auto"/>
                <w:sz w:val="18"/>
                <w:szCs w:val="18"/>
              </w:rPr>
              <w:t>注2：软质岩残积土、硬质岩残积土系指母岩分别为</w:t>
            </w:r>
            <w:r>
              <w:rPr>
                <w:i/>
                <w:color w:val="auto"/>
                <w:sz w:val="18"/>
                <w:szCs w:val="18"/>
              </w:rPr>
              <w:t>f</w:t>
            </w:r>
            <w:r>
              <w:rPr>
                <w:color w:val="auto"/>
                <w:sz w:val="18"/>
                <w:szCs w:val="18"/>
                <w:vertAlign w:val="subscript"/>
              </w:rPr>
              <w:t>rk</w:t>
            </w:r>
            <w:r>
              <w:rPr>
                <w:color w:val="auto"/>
                <w:sz w:val="18"/>
                <w:szCs w:val="18"/>
              </w:rPr>
              <w:t>≤15MPa、</w:t>
            </w:r>
            <w:r>
              <w:rPr>
                <w:i/>
                <w:color w:val="auto"/>
                <w:sz w:val="18"/>
                <w:szCs w:val="18"/>
              </w:rPr>
              <w:t>f</w:t>
            </w:r>
            <w:r>
              <w:rPr>
                <w:color w:val="auto"/>
                <w:sz w:val="18"/>
                <w:szCs w:val="18"/>
                <w:vertAlign w:val="subscript"/>
              </w:rPr>
              <w:t>rk</w:t>
            </w:r>
            <w:r>
              <w:rPr>
                <w:iCs/>
                <w:color w:val="auto"/>
                <w:sz w:val="18"/>
                <w:szCs w:val="18"/>
              </w:rPr>
              <w:t>＞30MPa的岩石。</w:t>
            </w:r>
          </w:p>
          <w:p w14:paraId="315824F5">
            <w:pPr>
              <w:adjustRightInd w:val="0"/>
              <w:snapToGrid w:val="0"/>
              <w:jc w:val="left"/>
              <w:rPr>
                <w:color w:val="auto"/>
                <w:sz w:val="18"/>
                <w:szCs w:val="18"/>
              </w:rPr>
            </w:pPr>
            <w:r>
              <w:rPr>
                <w:color w:val="auto"/>
                <w:sz w:val="18"/>
                <w:szCs w:val="18"/>
              </w:rPr>
              <w:t>注</w:t>
            </w:r>
            <w:r>
              <w:rPr>
                <w:iCs/>
                <w:color w:val="auto"/>
                <w:sz w:val="18"/>
                <w:szCs w:val="18"/>
              </w:rPr>
              <w:t>3：长螺旋钻孔压灌桩可按干作业钻（挖）孔桩数据使用，有工程经验时可适当提高。</w:t>
            </w:r>
          </w:p>
        </w:tc>
      </w:tr>
    </w:tbl>
    <w:p w14:paraId="22520E49">
      <w:pPr>
        <w:adjustRightInd w:val="0"/>
        <w:snapToGrid w:val="0"/>
        <w:spacing w:line="360" w:lineRule="exact"/>
        <w:jc w:val="center"/>
        <w:rPr>
          <w:rFonts w:eastAsia="黑体"/>
          <w:b/>
          <w:color w:val="auto"/>
          <w:szCs w:val="21"/>
        </w:rPr>
      </w:pPr>
    </w:p>
    <w:p w14:paraId="1E4D53E6">
      <w:pPr>
        <w:adjustRightInd w:val="0"/>
        <w:snapToGrid w:val="0"/>
        <w:spacing w:after="156" w:afterLines="50"/>
        <w:ind w:right="-204" w:rightChars="-97"/>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表F.7  钻孔桩桩端阻力特征值</w:t>
      </w:r>
      <w:r>
        <w:rPr>
          <w:rFonts w:eastAsia="黑体"/>
          <w:b/>
          <w:i/>
          <w:color w:val="auto"/>
          <w:szCs w:val="21"/>
        </w:rPr>
        <w:t>q</w:t>
      </w:r>
      <w:r>
        <w:rPr>
          <w:rFonts w:eastAsia="黑体"/>
          <w:b/>
          <w:iCs/>
          <w:color w:val="auto"/>
          <w:szCs w:val="21"/>
          <w:vertAlign w:val="subscript"/>
        </w:rPr>
        <w:t>pa</w:t>
      </w:r>
      <w:r>
        <w:rPr>
          <w:rFonts w:eastAsia="黑体"/>
          <w:b/>
          <w:i/>
          <w:color w:val="auto"/>
          <w:sz w:val="18"/>
          <w:szCs w:val="18"/>
          <w:vertAlign w:val="subscript"/>
        </w:rPr>
        <w:t xml:space="preserve">                              </w:t>
      </w:r>
      <w:r>
        <w:rPr>
          <w:rFonts w:eastAsia="黑体"/>
          <w:color w:val="auto"/>
          <w:sz w:val="18"/>
          <w:szCs w:val="18"/>
        </w:rPr>
        <w:t xml:space="preserve"> 单位为kPa</w:t>
      </w:r>
    </w:p>
    <w:tbl>
      <w:tblPr>
        <w:tblStyle w:val="36"/>
        <w:tblW w:w="95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5"/>
        <w:gridCol w:w="563"/>
        <w:gridCol w:w="1069"/>
        <w:gridCol w:w="906"/>
        <w:gridCol w:w="940"/>
        <w:gridCol w:w="946"/>
        <w:gridCol w:w="951"/>
        <w:gridCol w:w="941"/>
        <w:gridCol w:w="1002"/>
        <w:gridCol w:w="1195"/>
      </w:tblGrid>
      <w:tr w14:paraId="3394C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4" w:hRule="atLeast"/>
          <w:jc w:val="center"/>
        </w:trPr>
        <w:tc>
          <w:tcPr>
            <w:tcW w:w="995" w:type="dxa"/>
            <w:vMerge w:val="restart"/>
            <w:vAlign w:val="center"/>
          </w:tcPr>
          <w:p w14:paraId="1C258B6C">
            <w:pPr>
              <w:adjustRightInd w:val="0"/>
              <w:snapToGrid w:val="0"/>
              <w:spacing w:line="220" w:lineRule="exact"/>
              <w:jc w:val="center"/>
              <w:rPr>
                <w:color w:val="auto"/>
                <w:sz w:val="18"/>
                <w:szCs w:val="18"/>
              </w:rPr>
            </w:pPr>
            <w:r>
              <w:rPr>
                <w:color w:val="auto"/>
                <w:sz w:val="18"/>
                <w:szCs w:val="18"/>
              </w:rPr>
              <w:t>土的名称</w:t>
            </w:r>
          </w:p>
        </w:tc>
        <w:tc>
          <w:tcPr>
            <w:tcW w:w="1632" w:type="dxa"/>
            <w:gridSpan w:val="2"/>
            <w:vMerge w:val="restart"/>
            <w:tcBorders>
              <w:top w:val="single" w:color="auto" w:sz="12" w:space="0"/>
              <w:bottom w:val="single" w:color="auto" w:sz="6" w:space="0"/>
              <w:tl2br w:val="nil"/>
            </w:tcBorders>
            <w:vAlign w:val="center"/>
          </w:tcPr>
          <w:p w14:paraId="566C4C17">
            <w:pPr>
              <w:adjustRightInd w:val="0"/>
              <w:snapToGrid w:val="0"/>
              <w:spacing w:line="220" w:lineRule="exact"/>
              <w:jc w:val="center"/>
              <w:rPr>
                <w:color w:val="auto"/>
                <w:sz w:val="18"/>
                <w:szCs w:val="18"/>
              </w:rPr>
            </w:pPr>
            <w:r>
              <w:rPr>
                <w:color w:val="auto"/>
                <w:sz w:val="18"/>
                <w:szCs w:val="18"/>
              </w:rPr>
              <w:t>土的状态</w:t>
            </w:r>
            <w:r>
              <w:rPr>
                <w:rFonts w:hint="eastAsia"/>
                <w:color w:val="auto"/>
                <w:sz w:val="18"/>
                <w:szCs w:val="18"/>
              </w:rPr>
              <w:t>及</w:t>
            </w:r>
            <w:r>
              <w:rPr>
                <w:i/>
                <w:color w:val="auto"/>
                <w:sz w:val="18"/>
                <w:szCs w:val="18"/>
              </w:rPr>
              <w:t>N</w:t>
            </w:r>
            <w:r>
              <w:rPr>
                <w:color w:val="auto"/>
                <w:sz w:val="18"/>
                <w:szCs w:val="18"/>
              </w:rPr>
              <w:t>、</w:t>
            </w:r>
            <w:r>
              <w:rPr>
                <w:i/>
                <w:iCs/>
                <w:color w:val="auto"/>
                <w:sz w:val="18"/>
                <w:szCs w:val="18"/>
              </w:rPr>
              <w:t>N</w:t>
            </w:r>
            <w:r>
              <w:rPr>
                <w:iCs/>
                <w:color w:val="auto"/>
                <w:sz w:val="18"/>
                <w:szCs w:val="18"/>
                <w:vertAlign w:val="subscript"/>
              </w:rPr>
              <w:t>63.5</w:t>
            </w:r>
            <w:r>
              <w:rPr>
                <w:rFonts w:hint="eastAsia"/>
                <w:iCs/>
                <w:color w:val="auto"/>
                <w:sz w:val="18"/>
                <w:szCs w:val="18"/>
              </w:rPr>
              <w:t>、</w:t>
            </w:r>
            <w:r>
              <w:rPr>
                <w:i/>
                <w:color w:val="auto"/>
                <w:sz w:val="18"/>
                <w:szCs w:val="18"/>
              </w:rPr>
              <w:t>p</w:t>
            </w:r>
            <w:r>
              <w:rPr>
                <w:iCs/>
                <w:color w:val="auto"/>
                <w:sz w:val="18"/>
                <w:szCs w:val="18"/>
                <w:vertAlign w:val="subscript"/>
              </w:rPr>
              <w:t>s</w:t>
            </w:r>
            <w:r>
              <w:rPr>
                <w:color w:val="auto"/>
                <w:sz w:val="18"/>
                <w:szCs w:val="18"/>
              </w:rPr>
              <w:t>（MPa）值</w:t>
            </w:r>
          </w:p>
        </w:tc>
        <w:tc>
          <w:tcPr>
            <w:tcW w:w="3743" w:type="dxa"/>
            <w:gridSpan w:val="4"/>
            <w:vAlign w:val="center"/>
          </w:tcPr>
          <w:p w14:paraId="3D0B4B30">
            <w:pPr>
              <w:adjustRightInd w:val="0"/>
              <w:snapToGrid w:val="0"/>
              <w:spacing w:before="62" w:beforeLines="20" w:after="93" w:afterLines="30"/>
              <w:jc w:val="center"/>
              <w:rPr>
                <w:color w:val="auto"/>
                <w:sz w:val="18"/>
                <w:szCs w:val="18"/>
              </w:rPr>
            </w:pPr>
            <w:r>
              <w:rPr>
                <w:color w:val="auto"/>
                <w:sz w:val="18"/>
                <w:szCs w:val="18"/>
              </w:rPr>
              <w:t>水下钻（冲）孔桩</w:t>
            </w:r>
          </w:p>
        </w:tc>
        <w:tc>
          <w:tcPr>
            <w:tcW w:w="3138" w:type="dxa"/>
            <w:gridSpan w:val="3"/>
            <w:vAlign w:val="center"/>
          </w:tcPr>
          <w:p w14:paraId="0047650D">
            <w:pPr>
              <w:adjustRightInd w:val="0"/>
              <w:snapToGrid w:val="0"/>
              <w:spacing w:before="62" w:beforeLines="20" w:after="93" w:afterLines="30"/>
              <w:jc w:val="center"/>
              <w:rPr>
                <w:color w:val="auto"/>
                <w:sz w:val="18"/>
                <w:szCs w:val="18"/>
              </w:rPr>
            </w:pPr>
            <w:r>
              <w:rPr>
                <w:color w:val="auto"/>
                <w:sz w:val="18"/>
                <w:szCs w:val="18"/>
              </w:rPr>
              <w:t>干作业钻孔桩</w:t>
            </w:r>
          </w:p>
        </w:tc>
      </w:tr>
      <w:tr w14:paraId="544DD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jc w:val="center"/>
        </w:trPr>
        <w:tc>
          <w:tcPr>
            <w:tcW w:w="995" w:type="dxa"/>
            <w:vMerge w:val="continue"/>
            <w:vAlign w:val="center"/>
          </w:tcPr>
          <w:p w14:paraId="5AB5D14F">
            <w:pPr>
              <w:adjustRightInd w:val="0"/>
              <w:snapToGrid w:val="0"/>
              <w:spacing w:line="240" w:lineRule="exact"/>
              <w:jc w:val="center"/>
              <w:rPr>
                <w:color w:val="auto"/>
                <w:sz w:val="18"/>
                <w:szCs w:val="18"/>
              </w:rPr>
            </w:pPr>
          </w:p>
        </w:tc>
        <w:tc>
          <w:tcPr>
            <w:tcW w:w="1632" w:type="dxa"/>
            <w:gridSpan w:val="2"/>
            <w:vMerge w:val="continue"/>
            <w:tcBorders>
              <w:top w:val="single" w:color="auto" w:sz="6" w:space="0"/>
              <w:bottom w:val="single" w:color="auto" w:sz="6" w:space="0"/>
            </w:tcBorders>
            <w:vAlign w:val="center"/>
          </w:tcPr>
          <w:p w14:paraId="73A23D34">
            <w:pPr>
              <w:adjustRightInd w:val="0"/>
              <w:snapToGrid w:val="0"/>
              <w:spacing w:line="240" w:lineRule="exact"/>
              <w:jc w:val="center"/>
              <w:rPr>
                <w:color w:val="auto"/>
                <w:sz w:val="18"/>
                <w:szCs w:val="18"/>
              </w:rPr>
            </w:pPr>
          </w:p>
        </w:tc>
        <w:tc>
          <w:tcPr>
            <w:tcW w:w="906" w:type="dxa"/>
            <w:vAlign w:val="center"/>
          </w:tcPr>
          <w:p w14:paraId="2A422E5A">
            <w:pPr>
              <w:adjustRightInd w:val="0"/>
              <w:snapToGrid w:val="0"/>
              <w:spacing w:line="240" w:lineRule="exact"/>
              <w:jc w:val="center"/>
              <w:rPr>
                <w:color w:val="auto"/>
                <w:sz w:val="18"/>
                <w:szCs w:val="18"/>
              </w:rPr>
            </w:pPr>
            <w:r>
              <w:rPr>
                <w:color w:val="auto"/>
                <w:sz w:val="18"/>
                <w:szCs w:val="18"/>
              </w:rPr>
              <w:t>5≤</w:t>
            </w:r>
            <w:r>
              <w:rPr>
                <w:i/>
                <w:color w:val="auto"/>
                <w:sz w:val="18"/>
                <w:szCs w:val="18"/>
              </w:rPr>
              <w:t>h</w:t>
            </w:r>
            <w:r>
              <w:rPr>
                <w:color w:val="auto"/>
                <w:sz w:val="18"/>
                <w:szCs w:val="18"/>
              </w:rPr>
              <w:t>≤10</w:t>
            </w:r>
          </w:p>
        </w:tc>
        <w:tc>
          <w:tcPr>
            <w:tcW w:w="940" w:type="dxa"/>
            <w:vAlign w:val="center"/>
          </w:tcPr>
          <w:p w14:paraId="65C86730">
            <w:pPr>
              <w:adjustRightInd w:val="0"/>
              <w:snapToGrid w:val="0"/>
              <w:spacing w:line="240" w:lineRule="exact"/>
              <w:jc w:val="center"/>
              <w:rPr>
                <w:color w:val="auto"/>
                <w:sz w:val="18"/>
                <w:szCs w:val="18"/>
              </w:rPr>
            </w:pPr>
            <w:r>
              <w:rPr>
                <w:color w:val="auto"/>
                <w:sz w:val="18"/>
                <w:szCs w:val="18"/>
              </w:rPr>
              <w:t>10＜</w:t>
            </w:r>
            <w:r>
              <w:rPr>
                <w:i/>
                <w:color w:val="auto"/>
                <w:sz w:val="18"/>
                <w:szCs w:val="18"/>
              </w:rPr>
              <w:t>h</w:t>
            </w:r>
            <w:r>
              <w:rPr>
                <w:color w:val="auto"/>
                <w:sz w:val="18"/>
                <w:szCs w:val="18"/>
              </w:rPr>
              <w:t>≤15</w:t>
            </w:r>
          </w:p>
        </w:tc>
        <w:tc>
          <w:tcPr>
            <w:tcW w:w="946" w:type="dxa"/>
            <w:tcBorders>
              <w:right w:val="single" w:color="auto" w:sz="4" w:space="0"/>
            </w:tcBorders>
            <w:vAlign w:val="center"/>
          </w:tcPr>
          <w:p w14:paraId="497B62D0">
            <w:pPr>
              <w:adjustRightInd w:val="0"/>
              <w:snapToGrid w:val="0"/>
              <w:spacing w:line="240" w:lineRule="exact"/>
              <w:jc w:val="center"/>
              <w:rPr>
                <w:color w:val="auto"/>
                <w:sz w:val="18"/>
                <w:szCs w:val="18"/>
              </w:rPr>
            </w:pPr>
            <w:r>
              <w:rPr>
                <w:color w:val="auto"/>
                <w:sz w:val="18"/>
                <w:szCs w:val="18"/>
              </w:rPr>
              <w:t>15＜</w:t>
            </w:r>
            <w:r>
              <w:rPr>
                <w:i/>
                <w:color w:val="auto"/>
                <w:sz w:val="18"/>
                <w:szCs w:val="18"/>
              </w:rPr>
              <w:t>h</w:t>
            </w:r>
            <w:r>
              <w:rPr>
                <w:color w:val="auto"/>
                <w:sz w:val="18"/>
                <w:szCs w:val="18"/>
              </w:rPr>
              <w:t>≤30</w:t>
            </w:r>
          </w:p>
        </w:tc>
        <w:tc>
          <w:tcPr>
            <w:tcW w:w="951" w:type="dxa"/>
            <w:tcBorders>
              <w:left w:val="single" w:color="auto" w:sz="4" w:space="0"/>
            </w:tcBorders>
            <w:vAlign w:val="center"/>
          </w:tcPr>
          <w:p w14:paraId="22920493">
            <w:pPr>
              <w:adjustRightInd w:val="0"/>
              <w:snapToGrid w:val="0"/>
              <w:spacing w:line="240" w:lineRule="exact"/>
              <w:jc w:val="center"/>
              <w:rPr>
                <w:color w:val="auto"/>
                <w:sz w:val="18"/>
                <w:szCs w:val="18"/>
              </w:rPr>
            </w:pPr>
            <w:r>
              <w:rPr>
                <w:i/>
                <w:color w:val="auto"/>
                <w:sz w:val="18"/>
                <w:szCs w:val="18"/>
              </w:rPr>
              <w:t>h</w:t>
            </w:r>
            <w:r>
              <w:rPr>
                <w:color w:val="auto"/>
                <w:sz w:val="18"/>
                <w:szCs w:val="18"/>
              </w:rPr>
              <w:t>＞30</w:t>
            </w:r>
          </w:p>
        </w:tc>
        <w:tc>
          <w:tcPr>
            <w:tcW w:w="941" w:type="dxa"/>
            <w:vAlign w:val="center"/>
          </w:tcPr>
          <w:p w14:paraId="5CC76D63">
            <w:pPr>
              <w:adjustRightInd w:val="0"/>
              <w:snapToGrid w:val="0"/>
              <w:spacing w:line="240" w:lineRule="exact"/>
              <w:jc w:val="center"/>
              <w:rPr>
                <w:color w:val="auto"/>
                <w:sz w:val="18"/>
                <w:szCs w:val="18"/>
              </w:rPr>
            </w:pPr>
            <w:r>
              <w:rPr>
                <w:color w:val="auto"/>
                <w:sz w:val="18"/>
                <w:szCs w:val="18"/>
              </w:rPr>
              <w:t>5≤</w:t>
            </w:r>
            <w:r>
              <w:rPr>
                <w:i/>
                <w:color w:val="auto"/>
                <w:sz w:val="18"/>
                <w:szCs w:val="18"/>
              </w:rPr>
              <w:t>h</w:t>
            </w:r>
            <w:r>
              <w:rPr>
                <w:color w:val="auto"/>
                <w:sz w:val="18"/>
                <w:szCs w:val="18"/>
              </w:rPr>
              <w:t>≤10</w:t>
            </w:r>
          </w:p>
        </w:tc>
        <w:tc>
          <w:tcPr>
            <w:tcW w:w="1002" w:type="dxa"/>
            <w:vAlign w:val="center"/>
          </w:tcPr>
          <w:p w14:paraId="10E54C73">
            <w:pPr>
              <w:adjustRightInd w:val="0"/>
              <w:snapToGrid w:val="0"/>
              <w:spacing w:line="240" w:lineRule="exact"/>
              <w:jc w:val="center"/>
              <w:rPr>
                <w:color w:val="auto"/>
                <w:sz w:val="18"/>
                <w:szCs w:val="18"/>
              </w:rPr>
            </w:pPr>
            <w:r>
              <w:rPr>
                <w:color w:val="auto"/>
                <w:sz w:val="18"/>
                <w:szCs w:val="18"/>
              </w:rPr>
              <w:t>10＜</w:t>
            </w:r>
            <w:r>
              <w:rPr>
                <w:i/>
                <w:color w:val="auto"/>
                <w:sz w:val="18"/>
                <w:szCs w:val="18"/>
              </w:rPr>
              <w:t>h</w:t>
            </w:r>
            <w:r>
              <w:rPr>
                <w:color w:val="auto"/>
                <w:sz w:val="18"/>
                <w:szCs w:val="18"/>
              </w:rPr>
              <w:t>≤15</w:t>
            </w:r>
          </w:p>
        </w:tc>
        <w:tc>
          <w:tcPr>
            <w:tcW w:w="1195" w:type="dxa"/>
            <w:vAlign w:val="center"/>
          </w:tcPr>
          <w:p w14:paraId="0EEA2AFD">
            <w:pPr>
              <w:adjustRightInd w:val="0"/>
              <w:snapToGrid w:val="0"/>
              <w:spacing w:line="240" w:lineRule="exact"/>
              <w:jc w:val="center"/>
              <w:rPr>
                <w:color w:val="auto"/>
                <w:sz w:val="18"/>
                <w:szCs w:val="18"/>
              </w:rPr>
            </w:pPr>
            <w:r>
              <w:rPr>
                <w:i/>
                <w:color w:val="auto"/>
                <w:sz w:val="18"/>
                <w:szCs w:val="18"/>
              </w:rPr>
              <w:t>h</w:t>
            </w:r>
            <w:r>
              <w:rPr>
                <w:color w:val="auto"/>
                <w:sz w:val="18"/>
                <w:szCs w:val="18"/>
              </w:rPr>
              <w:t>≥15</w:t>
            </w:r>
          </w:p>
        </w:tc>
      </w:tr>
      <w:tr w14:paraId="4A3A2B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restart"/>
            <w:vAlign w:val="center"/>
          </w:tcPr>
          <w:p w14:paraId="370643FD">
            <w:pPr>
              <w:adjustRightInd w:val="0"/>
              <w:snapToGrid w:val="0"/>
              <w:spacing w:line="240" w:lineRule="exact"/>
              <w:ind w:left="18" w:leftChars="-22" w:right="-71" w:rightChars="-34" w:hanging="64" w:hangingChars="36"/>
              <w:jc w:val="center"/>
              <w:rPr>
                <w:color w:val="auto"/>
                <w:sz w:val="18"/>
                <w:szCs w:val="18"/>
              </w:rPr>
            </w:pPr>
            <w:r>
              <w:rPr>
                <w:color w:val="auto"/>
                <w:sz w:val="18"/>
                <w:szCs w:val="18"/>
              </w:rPr>
              <w:t>一般黏性土</w:t>
            </w:r>
          </w:p>
          <w:p w14:paraId="57637C3B">
            <w:pPr>
              <w:adjustRightInd w:val="0"/>
              <w:snapToGrid w:val="0"/>
              <w:spacing w:line="240" w:lineRule="exact"/>
              <w:jc w:val="center"/>
              <w:rPr>
                <w:color w:val="auto"/>
                <w:sz w:val="18"/>
                <w:szCs w:val="18"/>
              </w:rPr>
            </w:pPr>
            <w:r>
              <w:rPr>
                <w:color w:val="auto"/>
                <w:sz w:val="18"/>
                <w:szCs w:val="18"/>
              </w:rPr>
              <w:t>老黏性土</w:t>
            </w:r>
          </w:p>
        </w:tc>
        <w:tc>
          <w:tcPr>
            <w:tcW w:w="1632" w:type="dxa"/>
            <w:gridSpan w:val="2"/>
            <w:tcBorders>
              <w:top w:val="single" w:color="auto" w:sz="6" w:space="0"/>
            </w:tcBorders>
            <w:vAlign w:val="center"/>
          </w:tcPr>
          <w:p w14:paraId="2017D45A">
            <w:pPr>
              <w:adjustRightInd w:val="0"/>
              <w:snapToGrid w:val="0"/>
              <w:spacing w:line="240" w:lineRule="exact"/>
              <w:jc w:val="center"/>
              <w:rPr>
                <w:color w:val="auto"/>
                <w:sz w:val="18"/>
                <w:szCs w:val="18"/>
              </w:rPr>
            </w:pPr>
            <w:r>
              <w:rPr>
                <w:color w:val="auto"/>
                <w:sz w:val="18"/>
                <w:szCs w:val="18"/>
              </w:rPr>
              <w:t>0.25＜</w:t>
            </w:r>
            <w:r>
              <w:rPr>
                <w:i/>
                <w:iCs/>
                <w:color w:val="auto"/>
                <w:sz w:val="18"/>
                <w:szCs w:val="18"/>
              </w:rPr>
              <w:t>I</w:t>
            </w:r>
            <w:r>
              <w:rPr>
                <w:iCs/>
                <w:color w:val="auto"/>
                <w:sz w:val="18"/>
                <w:szCs w:val="18"/>
                <w:vertAlign w:val="subscript"/>
              </w:rPr>
              <w:t>L</w:t>
            </w:r>
            <w:r>
              <w:rPr>
                <w:color w:val="auto"/>
                <w:sz w:val="18"/>
                <w:szCs w:val="18"/>
              </w:rPr>
              <w:t>≤0.5</w:t>
            </w:r>
          </w:p>
        </w:tc>
        <w:tc>
          <w:tcPr>
            <w:tcW w:w="906" w:type="dxa"/>
            <w:vAlign w:val="center"/>
          </w:tcPr>
          <w:p w14:paraId="08DD2B5F">
            <w:pPr>
              <w:adjustRightInd w:val="0"/>
              <w:snapToGrid w:val="0"/>
              <w:spacing w:line="240" w:lineRule="exact"/>
              <w:ind w:left="12" w:leftChars="-18" w:right="-59" w:rightChars="-28" w:hanging="50" w:hangingChars="28"/>
              <w:jc w:val="left"/>
              <w:rPr>
                <w:color w:val="auto"/>
                <w:sz w:val="18"/>
                <w:szCs w:val="18"/>
              </w:rPr>
            </w:pPr>
            <w:r>
              <w:rPr>
                <w:color w:val="auto"/>
                <w:sz w:val="18"/>
                <w:szCs w:val="18"/>
              </w:rPr>
              <w:t>200～300</w:t>
            </w:r>
          </w:p>
        </w:tc>
        <w:tc>
          <w:tcPr>
            <w:tcW w:w="940" w:type="dxa"/>
            <w:vAlign w:val="center"/>
          </w:tcPr>
          <w:p w14:paraId="609159AF">
            <w:pPr>
              <w:adjustRightInd w:val="0"/>
              <w:snapToGrid w:val="0"/>
              <w:spacing w:line="240" w:lineRule="exact"/>
              <w:jc w:val="center"/>
              <w:rPr>
                <w:color w:val="auto"/>
                <w:sz w:val="18"/>
                <w:szCs w:val="18"/>
              </w:rPr>
            </w:pPr>
            <w:r>
              <w:rPr>
                <w:color w:val="auto"/>
                <w:sz w:val="18"/>
                <w:szCs w:val="18"/>
              </w:rPr>
              <w:t>300～400</w:t>
            </w:r>
          </w:p>
        </w:tc>
        <w:tc>
          <w:tcPr>
            <w:tcW w:w="946" w:type="dxa"/>
            <w:tcBorders>
              <w:right w:val="single" w:color="auto" w:sz="4" w:space="0"/>
            </w:tcBorders>
            <w:vAlign w:val="center"/>
          </w:tcPr>
          <w:p w14:paraId="0A6D7D41">
            <w:pPr>
              <w:adjustRightInd w:val="0"/>
              <w:snapToGrid w:val="0"/>
              <w:spacing w:line="240" w:lineRule="exact"/>
              <w:jc w:val="center"/>
              <w:rPr>
                <w:color w:val="auto"/>
                <w:sz w:val="18"/>
                <w:szCs w:val="18"/>
              </w:rPr>
            </w:pPr>
            <w:r>
              <w:rPr>
                <w:color w:val="auto"/>
                <w:sz w:val="18"/>
                <w:szCs w:val="18"/>
              </w:rPr>
              <w:t>400～500</w:t>
            </w:r>
          </w:p>
        </w:tc>
        <w:tc>
          <w:tcPr>
            <w:tcW w:w="951" w:type="dxa"/>
            <w:tcBorders>
              <w:left w:val="single" w:color="auto" w:sz="4" w:space="0"/>
            </w:tcBorders>
            <w:vAlign w:val="center"/>
          </w:tcPr>
          <w:p w14:paraId="32D9D9AB">
            <w:pPr>
              <w:adjustRightInd w:val="0"/>
              <w:snapToGrid w:val="0"/>
              <w:spacing w:line="240" w:lineRule="exact"/>
              <w:jc w:val="center"/>
              <w:rPr>
                <w:color w:val="auto"/>
                <w:sz w:val="18"/>
                <w:szCs w:val="18"/>
              </w:rPr>
            </w:pPr>
            <w:r>
              <w:rPr>
                <w:color w:val="auto"/>
                <w:sz w:val="18"/>
                <w:szCs w:val="18"/>
              </w:rPr>
              <w:t>500～600</w:t>
            </w:r>
          </w:p>
        </w:tc>
        <w:tc>
          <w:tcPr>
            <w:tcW w:w="941" w:type="dxa"/>
            <w:vAlign w:val="center"/>
          </w:tcPr>
          <w:p w14:paraId="18A7439A">
            <w:pPr>
              <w:adjustRightInd w:val="0"/>
              <w:snapToGrid w:val="0"/>
              <w:spacing w:line="240" w:lineRule="exact"/>
              <w:jc w:val="center"/>
              <w:rPr>
                <w:color w:val="auto"/>
                <w:sz w:val="18"/>
                <w:szCs w:val="18"/>
              </w:rPr>
            </w:pPr>
            <w:r>
              <w:rPr>
                <w:color w:val="auto"/>
                <w:sz w:val="18"/>
                <w:szCs w:val="18"/>
              </w:rPr>
              <w:t>400～500</w:t>
            </w:r>
          </w:p>
        </w:tc>
        <w:tc>
          <w:tcPr>
            <w:tcW w:w="1002" w:type="dxa"/>
            <w:vAlign w:val="center"/>
          </w:tcPr>
          <w:p w14:paraId="54F0C593">
            <w:pPr>
              <w:adjustRightInd w:val="0"/>
              <w:snapToGrid w:val="0"/>
              <w:spacing w:line="240" w:lineRule="exact"/>
              <w:jc w:val="center"/>
              <w:rPr>
                <w:color w:val="auto"/>
                <w:sz w:val="18"/>
                <w:szCs w:val="18"/>
              </w:rPr>
            </w:pPr>
            <w:r>
              <w:rPr>
                <w:color w:val="auto"/>
                <w:sz w:val="18"/>
                <w:szCs w:val="18"/>
              </w:rPr>
              <w:t>700～800</w:t>
            </w:r>
          </w:p>
        </w:tc>
        <w:tc>
          <w:tcPr>
            <w:tcW w:w="1195" w:type="dxa"/>
            <w:vAlign w:val="center"/>
          </w:tcPr>
          <w:p w14:paraId="1AA02F7A">
            <w:pPr>
              <w:adjustRightInd w:val="0"/>
              <w:snapToGrid w:val="0"/>
              <w:spacing w:line="240" w:lineRule="exact"/>
              <w:jc w:val="center"/>
              <w:rPr>
                <w:color w:val="auto"/>
                <w:sz w:val="18"/>
                <w:szCs w:val="18"/>
              </w:rPr>
            </w:pPr>
            <w:r>
              <w:rPr>
                <w:color w:val="auto"/>
                <w:sz w:val="18"/>
                <w:szCs w:val="18"/>
              </w:rPr>
              <w:t>800～900</w:t>
            </w:r>
          </w:p>
        </w:tc>
      </w:tr>
      <w:tr w14:paraId="56843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continue"/>
            <w:vAlign w:val="center"/>
          </w:tcPr>
          <w:p w14:paraId="4ADBB3E9">
            <w:pPr>
              <w:adjustRightInd w:val="0"/>
              <w:snapToGrid w:val="0"/>
              <w:spacing w:line="240" w:lineRule="exact"/>
              <w:jc w:val="center"/>
              <w:rPr>
                <w:color w:val="auto"/>
                <w:sz w:val="18"/>
                <w:szCs w:val="18"/>
              </w:rPr>
            </w:pPr>
          </w:p>
        </w:tc>
        <w:tc>
          <w:tcPr>
            <w:tcW w:w="1632" w:type="dxa"/>
            <w:gridSpan w:val="2"/>
            <w:vAlign w:val="center"/>
          </w:tcPr>
          <w:p w14:paraId="63B75455">
            <w:pPr>
              <w:adjustRightInd w:val="0"/>
              <w:snapToGrid w:val="0"/>
              <w:spacing w:line="240" w:lineRule="exact"/>
              <w:jc w:val="center"/>
              <w:rPr>
                <w:color w:val="auto"/>
                <w:sz w:val="18"/>
                <w:szCs w:val="18"/>
              </w:rPr>
            </w:pPr>
            <w:r>
              <w:rPr>
                <w:color w:val="auto"/>
                <w:sz w:val="18"/>
                <w:szCs w:val="18"/>
              </w:rPr>
              <w:t>0＜</w:t>
            </w:r>
            <w:r>
              <w:rPr>
                <w:i/>
                <w:iCs/>
                <w:color w:val="auto"/>
                <w:sz w:val="18"/>
                <w:szCs w:val="18"/>
              </w:rPr>
              <w:t>I</w:t>
            </w:r>
            <w:r>
              <w:rPr>
                <w:iCs/>
                <w:color w:val="auto"/>
                <w:sz w:val="18"/>
                <w:szCs w:val="18"/>
                <w:vertAlign w:val="subscript"/>
              </w:rPr>
              <w:t>L</w:t>
            </w:r>
            <w:r>
              <w:rPr>
                <w:color w:val="auto"/>
                <w:sz w:val="18"/>
                <w:szCs w:val="18"/>
              </w:rPr>
              <w:t>≤0.25</w:t>
            </w:r>
          </w:p>
        </w:tc>
        <w:tc>
          <w:tcPr>
            <w:tcW w:w="906" w:type="dxa"/>
            <w:vAlign w:val="center"/>
          </w:tcPr>
          <w:p w14:paraId="448B0CB1">
            <w:pPr>
              <w:adjustRightInd w:val="0"/>
              <w:snapToGrid w:val="0"/>
              <w:spacing w:line="240" w:lineRule="exact"/>
              <w:ind w:left="12" w:leftChars="-18" w:right="-59" w:rightChars="-28" w:hanging="50" w:hangingChars="28"/>
              <w:jc w:val="left"/>
              <w:rPr>
                <w:color w:val="auto"/>
                <w:sz w:val="18"/>
                <w:szCs w:val="18"/>
              </w:rPr>
            </w:pPr>
            <w:r>
              <w:rPr>
                <w:color w:val="auto"/>
                <w:sz w:val="18"/>
                <w:szCs w:val="18"/>
              </w:rPr>
              <w:t>300～500</w:t>
            </w:r>
          </w:p>
        </w:tc>
        <w:tc>
          <w:tcPr>
            <w:tcW w:w="940" w:type="dxa"/>
            <w:vAlign w:val="center"/>
          </w:tcPr>
          <w:p w14:paraId="44588F44">
            <w:pPr>
              <w:adjustRightInd w:val="0"/>
              <w:snapToGrid w:val="0"/>
              <w:spacing w:line="240" w:lineRule="exact"/>
              <w:jc w:val="center"/>
              <w:rPr>
                <w:color w:val="auto"/>
                <w:sz w:val="18"/>
                <w:szCs w:val="18"/>
              </w:rPr>
            </w:pPr>
            <w:r>
              <w:rPr>
                <w:color w:val="auto"/>
                <w:sz w:val="18"/>
                <w:szCs w:val="18"/>
              </w:rPr>
              <w:t>500～600</w:t>
            </w:r>
          </w:p>
        </w:tc>
        <w:tc>
          <w:tcPr>
            <w:tcW w:w="946" w:type="dxa"/>
            <w:tcBorders>
              <w:right w:val="single" w:color="auto" w:sz="4" w:space="0"/>
            </w:tcBorders>
            <w:vAlign w:val="center"/>
          </w:tcPr>
          <w:p w14:paraId="3096F32C">
            <w:pPr>
              <w:adjustRightInd w:val="0"/>
              <w:snapToGrid w:val="0"/>
              <w:spacing w:line="240" w:lineRule="exact"/>
              <w:jc w:val="center"/>
              <w:rPr>
                <w:color w:val="auto"/>
                <w:sz w:val="18"/>
                <w:szCs w:val="18"/>
              </w:rPr>
            </w:pPr>
            <w:r>
              <w:rPr>
                <w:color w:val="auto"/>
                <w:sz w:val="18"/>
                <w:szCs w:val="18"/>
              </w:rPr>
              <w:t>600～700</w:t>
            </w:r>
          </w:p>
        </w:tc>
        <w:tc>
          <w:tcPr>
            <w:tcW w:w="951" w:type="dxa"/>
            <w:tcBorders>
              <w:left w:val="single" w:color="auto" w:sz="4" w:space="0"/>
            </w:tcBorders>
            <w:vAlign w:val="center"/>
          </w:tcPr>
          <w:p w14:paraId="57AEAB18">
            <w:pPr>
              <w:adjustRightInd w:val="0"/>
              <w:snapToGrid w:val="0"/>
              <w:spacing w:line="240" w:lineRule="exact"/>
              <w:jc w:val="center"/>
              <w:rPr>
                <w:color w:val="auto"/>
                <w:sz w:val="18"/>
                <w:szCs w:val="18"/>
              </w:rPr>
            </w:pPr>
            <w:r>
              <w:rPr>
                <w:color w:val="auto"/>
                <w:sz w:val="18"/>
                <w:szCs w:val="18"/>
              </w:rPr>
              <w:t>700～800</w:t>
            </w:r>
          </w:p>
        </w:tc>
        <w:tc>
          <w:tcPr>
            <w:tcW w:w="941" w:type="dxa"/>
            <w:vAlign w:val="center"/>
          </w:tcPr>
          <w:p w14:paraId="70ACBD9C">
            <w:pPr>
              <w:adjustRightInd w:val="0"/>
              <w:snapToGrid w:val="0"/>
              <w:spacing w:line="240" w:lineRule="exact"/>
              <w:jc w:val="center"/>
              <w:rPr>
                <w:color w:val="auto"/>
                <w:sz w:val="18"/>
                <w:szCs w:val="18"/>
              </w:rPr>
            </w:pPr>
            <w:r>
              <w:rPr>
                <w:color w:val="auto"/>
                <w:sz w:val="18"/>
                <w:szCs w:val="18"/>
              </w:rPr>
              <w:t>600～800</w:t>
            </w:r>
          </w:p>
        </w:tc>
        <w:tc>
          <w:tcPr>
            <w:tcW w:w="1002" w:type="dxa"/>
            <w:vAlign w:val="center"/>
          </w:tcPr>
          <w:p w14:paraId="62103524">
            <w:pPr>
              <w:tabs>
                <w:tab w:val="left" w:pos="880"/>
              </w:tabs>
              <w:adjustRightInd w:val="0"/>
              <w:snapToGrid w:val="0"/>
              <w:spacing w:line="240" w:lineRule="exact"/>
              <w:ind w:left="22" w:leftChars="-24" w:hanging="72" w:hangingChars="40"/>
              <w:jc w:val="center"/>
              <w:rPr>
                <w:color w:val="auto"/>
                <w:sz w:val="18"/>
                <w:szCs w:val="18"/>
              </w:rPr>
            </w:pPr>
            <w:r>
              <w:rPr>
                <w:color w:val="auto"/>
                <w:sz w:val="18"/>
                <w:szCs w:val="18"/>
              </w:rPr>
              <w:t>800～1000</w:t>
            </w:r>
          </w:p>
        </w:tc>
        <w:tc>
          <w:tcPr>
            <w:tcW w:w="1195" w:type="dxa"/>
            <w:vAlign w:val="center"/>
          </w:tcPr>
          <w:p w14:paraId="03B98A47">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1000～1300</w:t>
            </w:r>
          </w:p>
        </w:tc>
      </w:tr>
      <w:tr w14:paraId="31978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continue"/>
            <w:vAlign w:val="center"/>
          </w:tcPr>
          <w:p w14:paraId="7FD4115B">
            <w:pPr>
              <w:adjustRightInd w:val="0"/>
              <w:snapToGrid w:val="0"/>
              <w:spacing w:line="240" w:lineRule="exact"/>
              <w:jc w:val="center"/>
              <w:rPr>
                <w:color w:val="auto"/>
                <w:sz w:val="18"/>
                <w:szCs w:val="18"/>
              </w:rPr>
            </w:pPr>
          </w:p>
        </w:tc>
        <w:tc>
          <w:tcPr>
            <w:tcW w:w="1632" w:type="dxa"/>
            <w:gridSpan w:val="2"/>
            <w:vAlign w:val="center"/>
          </w:tcPr>
          <w:p w14:paraId="441FE434">
            <w:pPr>
              <w:adjustRightInd w:val="0"/>
              <w:snapToGrid w:val="0"/>
              <w:spacing w:line="240" w:lineRule="exact"/>
              <w:jc w:val="center"/>
              <w:rPr>
                <w:color w:val="auto"/>
                <w:sz w:val="18"/>
                <w:szCs w:val="18"/>
              </w:rPr>
            </w:pPr>
            <w:r>
              <w:rPr>
                <w:i/>
                <w:iCs/>
                <w:color w:val="auto"/>
                <w:sz w:val="18"/>
                <w:szCs w:val="18"/>
              </w:rPr>
              <w:t>I</w:t>
            </w:r>
            <w:r>
              <w:rPr>
                <w:iCs/>
                <w:color w:val="auto"/>
                <w:sz w:val="18"/>
                <w:szCs w:val="18"/>
                <w:vertAlign w:val="subscript"/>
              </w:rPr>
              <w:t>L</w:t>
            </w:r>
            <w:r>
              <w:rPr>
                <w:color w:val="auto"/>
                <w:sz w:val="18"/>
                <w:szCs w:val="18"/>
              </w:rPr>
              <w:t>≤0</w:t>
            </w:r>
          </w:p>
        </w:tc>
        <w:tc>
          <w:tcPr>
            <w:tcW w:w="906" w:type="dxa"/>
            <w:vAlign w:val="center"/>
          </w:tcPr>
          <w:p w14:paraId="31063433">
            <w:pPr>
              <w:adjustRightInd w:val="0"/>
              <w:snapToGrid w:val="0"/>
              <w:spacing w:line="240" w:lineRule="exact"/>
              <w:ind w:left="12" w:leftChars="-18" w:right="-59" w:rightChars="-28" w:hanging="50" w:hangingChars="28"/>
              <w:jc w:val="left"/>
              <w:rPr>
                <w:color w:val="auto"/>
                <w:sz w:val="18"/>
                <w:szCs w:val="18"/>
              </w:rPr>
            </w:pPr>
            <w:r>
              <w:rPr>
                <w:color w:val="auto"/>
                <w:sz w:val="18"/>
                <w:szCs w:val="18"/>
              </w:rPr>
              <w:t>400～600</w:t>
            </w:r>
          </w:p>
        </w:tc>
        <w:tc>
          <w:tcPr>
            <w:tcW w:w="940" w:type="dxa"/>
            <w:vAlign w:val="center"/>
          </w:tcPr>
          <w:p w14:paraId="3BF4F75A">
            <w:pPr>
              <w:adjustRightInd w:val="0"/>
              <w:snapToGrid w:val="0"/>
              <w:spacing w:line="240" w:lineRule="exact"/>
              <w:jc w:val="center"/>
              <w:rPr>
                <w:color w:val="auto"/>
                <w:sz w:val="18"/>
                <w:szCs w:val="18"/>
              </w:rPr>
            </w:pPr>
            <w:r>
              <w:rPr>
                <w:color w:val="auto"/>
                <w:sz w:val="18"/>
                <w:szCs w:val="18"/>
              </w:rPr>
              <w:t>600～700</w:t>
            </w:r>
          </w:p>
        </w:tc>
        <w:tc>
          <w:tcPr>
            <w:tcW w:w="946" w:type="dxa"/>
            <w:tcBorders>
              <w:right w:val="single" w:color="auto" w:sz="4" w:space="0"/>
            </w:tcBorders>
            <w:vAlign w:val="center"/>
          </w:tcPr>
          <w:p w14:paraId="40E13157">
            <w:pPr>
              <w:adjustRightInd w:val="0"/>
              <w:snapToGrid w:val="0"/>
              <w:spacing w:line="240" w:lineRule="exact"/>
              <w:jc w:val="center"/>
              <w:rPr>
                <w:color w:val="auto"/>
                <w:sz w:val="18"/>
                <w:szCs w:val="18"/>
              </w:rPr>
            </w:pPr>
            <w:r>
              <w:rPr>
                <w:color w:val="auto"/>
                <w:sz w:val="18"/>
                <w:szCs w:val="18"/>
              </w:rPr>
              <w:t>700～800</w:t>
            </w:r>
          </w:p>
        </w:tc>
        <w:tc>
          <w:tcPr>
            <w:tcW w:w="951" w:type="dxa"/>
            <w:tcBorders>
              <w:left w:val="single" w:color="auto" w:sz="4" w:space="0"/>
            </w:tcBorders>
            <w:vAlign w:val="center"/>
          </w:tcPr>
          <w:p w14:paraId="018E03D6">
            <w:pPr>
              <w:adjustRightInd w:val="0"/>
              <w:snapToGrid w:val="0"/>
              <w:spacing w:line="240" w:lineRule="exact"/>
              <w:jc w:val="center"/>
              <w:rPr>
                <w:color w:val="auto"/>
                <w:sz w:val="18"/>
                <w:szCs w:val="18"/>
              </w:rPr>
            </w:pPr>
            <w:r>
              <w:rPr>
                <w:color w:val="auto"/>
                <w:sz w:val="18"/>
                <w:szCs w:val="18"/>
              </w:rPr>
              <w:t>800～900</w:t>
            </w:r>
          </w:p>
        </w:tc>
        <w:tc>
          <w:tcPr>
            <w:tcW w:w="941" w:type="dxa"/>
            <w:vAlign w:val="center"/>
          </w:tcPr>
          <w:p w14:paraId="067BEB83">
            <w:pPr>
              <w:adjustRightInd w:val="0"/>
              <w:snapToGrid w:val="0"/>
              <w:spacing w:line="240" w:lineRule="exact"/>
              <w:jc w:val="center"/>
              <w:rPr>
                <w:color w:val="auto"/>
                <w:sz w:val="18"/>
                <w:szCs w:val="18"/>
              </w:rPr>
            </w:pPr>
            <w:r>
              <w:rPr>
                <w:color w:val="auto"/>
                <w:sz w:val="18"/>
                <w:szCs w:val="18"/>
              </w:rPr>
              <w:t>800～900</w:t>
            </w:r>
          </w:p>
        </w:tc>
        <w:tc>
          <w:tcPr>
            <w:tcW w:w="1002" w:type="dxa"/>
            <w:vAlign w:val="center"/>
          </w:tcPr>
          <w:p w14:paraId="7CC75A08">
            <w:pPr>
              <w:tabs>
                <w:tab w:val="left" w:pos="880"/>
              </w:tabs>
              <w:adjustRightInd w:val="0"/>
              <w:snapToGrid w:val="0"/>
              <w:spacing w:line="240" w:lineRule="exact"/>
              <w:ind w:left="22" w:leftChars="-24" w:hanging="72" w:hangingChars="40"/>
              <w:jc w:val="center"/>
              <w:rPr>
                <w:color w:val="auto"/>
                <w:sz w:val="18"/>
                <w:szCs w:val="18"/>
              </w:rPr>
            </w:pPr>
            <w:r>
              <w:rPr>
                <w:color w:val="auto"/>
                <w:sz w:val="18"/>
                <w:szCs w:val="18"/>
              </w:rPr>
              <w:t>900～1200</w:t>
            </w:r>
          </w:p>
        </w:tc>
        <w:tc>
          <w:tcPr>
            <w:tcW w:w="1195" w:type="dxa"/>
            <w:vAlign w:val="center"/>
          </w:tcPr>
          <w:p w14:paraId="68542F4A">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1200～1400</w:t>
            </w:r>
          </w:p>
        </w:tc>
      </w:tr>
      <w:tr w14:paraId="0BD723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restart"/>
            <w:vAlign w:val="center"/>
          </w:tcPr>
          <w:p w14:paraId="5502F5DC">
            <w:pPr>
              <w:adjustRightInd w:val="0"/>
              <w:snapToGrid w:val="0"/>
              <w:spacing w:line="240" w:lineRule="exact"/>
              <w:jc w:val="center"/>
              <w:rPr>
                <w:color w:val="auto"/>
                <w:sz w:val="18"/>
                <w:szCs w:val="18"/>
              </w:rPr>
            </w:pPr>
            <w:r>
              <w:rPr>
                <w:color w:val="auto"/>
                <w:sz w:val="18"/>
                <w:szCs w:val="18"/>
              </w:rPr>
              <w:t>粉土</w:t>
            </w:r>
          </w:p>
        </w:tc>
        <w:tc>
          <w:tcPr>
            <w:tcW w:w="563" w:type="dxa"/>
            <w:tcBorders>
              <w:right w:val="single" w:color="auto" w:sz="4" w:space="0"/>
            </w:tcBorders>
            <w:vAlign w:val="center"/>
          </w:tcPr>
          <w:p w14:paraId="012E2877">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中密</w:t>
            </w:r>
          </w:p>
        </w:tc>
        <w:tc>
          <w:tcPr>
            <w:tcW w:w="1069" w:type="dxa"/>
            <w:tcBorders>
              <w:left w:val="single" w:color="auto" w:sz="4" w:space="0"/>
            </w:tcBorders>
            <w:vAlign w:val="center"/>
          </w:tcPr>
          <w:p w14:paraId="3EC3CF1B">
            <w:pPr>
              <w:adjustRightInd w:val="0"/>
              <w:snapToGrid w:val="0"/>
              <w:spacing w:line="240" w:lineRule="exact"/>
              <w:ind w:left="20" w:leftChars="-23" w:hanging="68" w:hangingChars="38"/>
              <w:jc w:val="center"/>
              <w:rPr>
                <w:color w:val="auto"/>
                <w:sz w:val="18"/>
                <w:szCs w:val="18"/>
              </w:rPr>
            </w:pPr>
            <w:r>
              <w:rPr>
                <w:color w:val="auto"/>
                <w:sz w:val="18"/>
                <w:szCs w:val="18"/>
              </w:rPr>
              <w:t>1.0＜</w:t>
            </w:r>
            <w:r>
              <w:rPr>
                <w:i/>
                <w:color w:val="auto"/>
                <w:sz w:val="18"/>
                <w:szCs w:val="18"/>
              </w:rPr>
              <w:t>p</w:t>
            </w:r>
            <w:r>
              <w:rPr>
                <w:color w:val="auto"/>
                <w:sz w:val="18"/>
                <w:szCs w:val="18"/>
                <w:vertAlign w:val="subscript"/>
              </w:rPr>
              <w:t>s</w:t>
            </w:r>
            <w:r>
              <w:rPr>
                <w:color w:val="auto"/>
                <w:sz w:val="18"/>
                <w:szCs w:val="18"/>
              </w:rPr>
              <w:t>≤2.5</w:t>
            </w:r>
          </w:p>
        </w:tc>
        <w:tc>
          <w:tcPr>
            <w:tcW w:w="906" w:type="dxa"/>
            <w:vAlign w:val="center"/>
          </w:tcPr>
          <w:p w14:paraId="48B07F78">
            <w:pPr>
              <w:adjustRightInd w:val="0"/>
              <w:snapToGrid w:val="0"/>
              <w:spacing w:line="240" w:lineRule="exact"/>
              <w:ind w:left="12" w:leftChars="-18" w:right="-59" w:rightChars="-28" w:hanging="50" w:hangingChars="28"/>
              <w:jc w:val="left"/>
              <w:rPr>
                <w:color w:val="auto"/>
                <w:sz w:val="18"/>
                <w:szCs w:val="18"/>
              </w:rPr>
            </w:pPr>
            <w:r>
              <w:rPr>
                <w:color w:val="auto"/>
                <w:sz w:val="18"/>
                <w:szCs w:val="18"/>
              </w:rPr>
              <w:t>100～200</w:t>
            </w:r>
          </w:p>
        </w:tc>
        <w:tc>
          <w:tcPr>
            <w:tcW w:w="940" w:type="dxa"/>
            <w:vAlign w:val="center"/>
          </w:tcPr>
          <w:p w14:paraId="7D583ECB">
            <w:pPr>
              <w:adjustRightInd w:val="0"/>
              <w:snapToGrid w:val="0"/>
              <w:spacing w:line="240" w:lineRule="exact"/>
              <w:jc w:val="center"/>
              <w:rPr>
                <w:color w:val="auto"/>
                <w:sz w:val="18"/>
                <w:szCs w:val="18"/>
              </w:rPr>
            </w:pPr>
            <w:r>
              <w:rPr>
                <w:color w:val="auto"/>
                <w:sz w:val="18"/>
                <w:szCs w:val="18"/>
              </w:rPr>
              <w:t>200～300</w:t>
            </w:r>
          </w:p>
        </w:tc>
        <w:tc>
          <w:tcPr>
            <w:tcW w:w="946" w:type="dxa"/>
            <w:tcBorders>
              <w:right w:val="single" w:color="auto" w:sz="4" w:space="0"/>
            </w:tcBorders>
            <w:vAlign w:val="center"/>
          </w:tcPr>
          <w:p w14:paraId="371FA018">
            <w:pPr>
              <w:adjustRightInd w:val="0"/>
              <w:snapToGrid w:val="0"/>
              <w:spacing w:line="240" w:lineRule="exact"/>
              <w:jc w:val="center"/>
              <w:rPr>
                <w:color w:val="auto"/>
                <w:sz w:val="18"/>
                <w:szCs w:val="18"/>
              </w:rPr>
            </w:pPr>
            <w:r>
              <w:rPr>
                <w:color w:val="auto"/>
                <w:sz w:val="18"/>
                <w:szCs w:val="18"/>
              </w:rPr>
              <w:t>300～400</w:t>
            </w:r>
          </w:p>
        </w:tc>
        <w:tc>
          <w:tcPr>
            <w:tcW w:w="951" w:type="dxa"/>
            <w:tcBorders>
              <w:left w:val="single" w:color="auto" w:sz="4" w:space="0"/>
            </w:tcBorders>
            <w:vAlign w:val="center"/>
          </w:tcPr>
          <w:p w14:paraId="33BB82A0">
            <w:pPr>
              <w:adjustRightInd w:val="0"/>
              <w:snapToGrid w:val="0"/>
              <w:spacing w:line="240" w:lineRule="exact"/>
              <w:jc w:val="center"/>
              <w:rPr>
                <w:color w:val="auto"/>
                <w:sz w:val="18"/>
                <w:szCs w:val="18"/>
              </w:rPr>
            </w:pPr>
            <w:r>
              <w:rPr>
                <w:color w:val="auto"/>
                <w:sz w:val="18"/>
                <w:szCs w:val="18"/>
              </w:rPr>
              <w:t>400～450</w:t>
            </w:r>
          </w:p>
        </w:tc>
        <w:tc>
          <w:tcPr>
            <w:tcW w:w="941" w:type="dxa"/>
            <w:vAlign w:val="center"/>
          </w:tcPr>
          <w:p w14:paraId="3C20AB0E">
            <w:pPr>
              <w:adjustRightInd w:val="0"/>
              <w:snapToGrid w:val="0"/>
              <w:spacing w:line="240" w:lineRule="exact"/>
              <w:jc w:val="center"/>
              <w:rPr>
                <w:color w:val="auto"/>
                <w:sz w:val="18"/>
                <w:szCs w:val="18"/>
              </w:rPr>
            </w:pPr>
            <w:r>
              <w:rPr>
                <w:color w:val="auto"/>
                <w:sz w:val="18"/>
                <w:szCs w:val="18"/>
              </w:rPr>
              <w:t>300～500</w:t>
            </w:r>
          </w:p>
        </w:tc>
        <w:tc>
          <w:tcPr>
            <w:tcW w:w="1002" w:type="dxa"/>
            <w:vAlign w:val="center"/>
          </w:tcPr>
          <w:p w14:paraId="3C4A0AFF">
            <w:pPr>
              <w:adjustRightInd w:val="0"/>
              <w:snapToGrid w:val="0"/>
              <w:spacing w:line="240" w:lineRule="exact"/>
              <w:jc w:val="center"/>
              <w:rPr>
                <w:color w:val="auto"/>
                <w:sz w:val="18"/>
                <w:szCs w:val="18"/>
              </w:rPr>
            </w:pPr>
            <w:r>
              <w:rPr>
                <w:color w:val="auto"/>
                <w:sz w:val="18"/>
                <w:szCs w:val="18"/>
              </w:rPr>
              <w:t>500～700</w:t>
            </w:r>
          </w:p>
        </w:tc>
        <w:tc>
          <w:tcPr>
            <w:tcW w:w="1195" w:type="dxa"/>
            <w:vAlign w:val="center"/>
          </w:tcPr>
          <w:p w14:paraId="0F22E6B6">
            <w:pPr>
              <w:adjustRightInd w:val="0"/>
              <w:snapToGrid w:val="0"/>
              <w:spacing w:line="240" w:lineRule="exact"/>
              <w:jc w:val="center"/>
              <w:rPr>
                <w:color w:val="auto"/>
                <w:sz w:val="18"/>
                <w:szCs w:val="18"/>
              </w:rPr>
            </w:pPr>
            <w:r>
              <w:rPr>
                <w:color w:val="auto"/>
                <w:sz w:val="18"/>
                <w:szCs w:val="18"/>
              </w:rPr>
              <w:t>700～800</w:t>
            </w:r>
          </w:p>
        </w:tc>
      </w:tr>
      <w:tr w14:paraId="720CA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continue"/>
            <w:vAlign w:val="center"/>
          </w:tcPr>
          <w:p w14:paraId="7DB263A6">
            <w:pPr>
              <w:adjustRightInd w:val="0"/>
              <w:snapToGrid w:val="0"/>
              <w:spacing w:line="240" w:lineRule="exact"/>
              <w:jc w:val="center"/>
              <w:rPr>
                <w:color w:val="auto"/>
                <w:sz w:val="18"/>
                <w:szCs w:val="18"/>
              </w:rPr>
            </w:pPr>
          </w:p>
        </w:tc>
        <w:tc>
          <w:tcPr>
            <w:tcW w:w="563" w:type="dxa"/>
            <w:tcBorders>
              <w:right w:val="single" w:color="auto" w:sz="4" w:space="0"/>
            </w:tcBorders>
            <w:vAlign w:val="center"/>
          </w:tcPr>
          <w:p w14:paraId="4AC8EB3B">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密实</w:t>
            </w:r>
          </w:p>
        </w:tc>
        <w:tc>
          <w:tcPr>
            <w:tcW w:w="1069" w:type="dxa"/>
            <w:tcBorders>
              <w:left w:val="single" w:color="auto" w:sz="4" w:space="0"/>
            </w:tcBorders>
            <w:vAlign w:val="center"/>
          </w:tcPr>
          <w:p w14:paraId="5E581412">
            <w:pPr>
              <w:adjustRightInd w:val="0"/>
              <w:snapToGrid w:val="0"/>
              <w:spacing w:line="240" w:lineRule="exact"/>
              <w:jc w:val="center"/>
              <w:rPr>
                <w:color w:val="auto"/>
                <w:sz w:val="18"/>
                <w:szCs w:val="18"/>
              </w:rPr>
            </w:pPr>
            <w:r>
              <w:rPr>
                <w:i/>
                <w:color w:val="auto"/>
                <w:sz w:val="18"/>
                <w:szCs w:val="18"/>
              </w:rPr>
              <w:t>p</w:t>
            </w:r>
            <w:r>
              <w:rPr>
                <w:color w:val="auto"/>
                <w:sz w:val="18"/>
                <w:szCs w:val="18"/>
                <w:vertAlign w:val="subscript"/>
              </w:rPr>
              <w:t>s</w:t>
            </w:r>
            <w:r>
              <w:rPr>
                <w:color w:val="auto"/>
                <w:sz w:val="18"/>
                <w:szCs w:val="18"/>
              </w:rPr>
              <w:t>＞2.5</w:t>
            </w:r>
          </w:p>
        </w:tc>
        <w:tc>
          <w:tcPr>
            <w:tcW w:w="906" w:type="dxa"/>
            <w:vAlign w:val="center"/>
          </w:tcPr>
          <w:p w14:paraId="1287CD14">
            <w:pPr>
              <w:adjustRightInd w:val="0"/>
              <w:snapToGrid w:val="0"/>
              <w:spacing w:line="240" w:lineRule="exact"/>
              <w:ind w:left="12" w:leftChars="-18" w:right="-59" w:rightChars="-28" w:hanging="50" w:hangingChars="28"/>
              <w:jc w:val="left"/>
              <w:rPr>
                <w:color w:val="auto"/>
                <w:sz w:val="18"/>
                <w:szCs w:val="18"/>
              </w:rPr>
            </w:pPr>
            <w:r>
              <w:rPr>
                <w:color w:val="auto"/>
                <w:sz w:val="18"/>
                <w:szCs w:val="18"/>
              </w:rPr>
              <w:t>200～300</w:t>
            </w:r>
          </w:p>
        </w:tc>
        <w:tc>
          <w:tcPr>
            <w:tcW w:w="940" w:type="dxa"/>
            <w:vAlign w:val="center"/>
          </w:tcPr>
          <w:p w14:paraId="257140F3">
            <w:pPr>
              <w:adjustRightInd w:val="0"/>
              <w:snapToGrid w:val="0"/>
              <w:spacing w:line="240" w:lineRule="exact"/>
              <w:jc w:val="center"/>
              <w:rPr>
                <w:color w:val="auto"/>
                <w:sz w:val="18"/>
                <w:szCs w:val="18"/>
              </w:rPr>
            </w:pPr>
            <w:r>
              <w:rPr>
                <w:color w:val="auto"/>
                <w:sz w:val="18"/>
                <w:szCs w:val="18"/>
              </w:rPr>
              <w:t>300～400</w:t>
            </w:r>
          </w:p>
        </w:tc>
        <w:tc>
          <w:tcPr>
            <w:tcW w:w="946" w:type="dxa"/>
            <w:tcBorders>
              <w:right w:val="single" w:color="auto" w:sz="4" w:space="0"/>
            </w:tcBorders>
            <w:vAlign w:val="center"/>
          </w:tcPr>
          <w:p w14:paraId="7AAA8C95">
            <w:pPr>
              <w:adjustRightInd w:val="0"/>
              <w:snapToGrid w:val="0"/>
              <w:spacing w:line="240" w:lineRule="exact"/>
              <w:jc w:val="center"/>
              <w:rPr>
                <w:color w:val="auto"/>
                <w:sz w:val="18"/>
                <w:szCs w:val="18"/>
              </w:rPr>
            </w:pPr>
            <w:r>
              <w:rPr>
                <w:color w:val="auto"/>
                <w:sz w:val="18"/>
                <w:szCs w:val="18"/>
              </w:rPr>
              <w:t>400～500</w:t>
            </w:r>
          </w:p>
        </w:tc>
        <w:tc>
          <w:tcPr>
            <w:tcW w:w="951" w:type="dxa"/>
            <w:tcBorders>
              <w:left w:val="single" w:color="auto" w:sz="4" w:space="0"/>
            </w:tcBorders>
            <w:vAlign w:val="center"/>
          </w:tcPr>
          <w:p w14:paraId="07EB01A4">
            <w:pPr>
              <w:adjustRightInd w:val="0"/>
              <w:snapToGrid w:val="0"/>
              <w:spacing w:line="240" w:lineRule="exact"/>
              <w:jc w:val="center"/>
              <w:rPr>
                <w:color w:val="auto"/>
                <w:sz w:val="18"/>
                <w:szCs w:val="18"/>
              </w:rPr>
            </w:pPr>
            <w:r>
              <w:rPr>
                <w:color w:val="auto"/>
                <w:sz w:val="18"/>
                <w:szCs w:val="18"/>
              </w:rPr>
              <w:t>500～550</w:t>
            </w:r>
          </w:p>
        </w:tc>
        <w:tc>
          <w:tcPr>
            <w:tcW w:w="941" w:type="dxa"/>
            <w:vAlign w:val="center"/>
          </w:tcPr>
          <w:p w14:paraId="0AB3ACD8">
            <w:pPr>
              <w:adjustRightInd w:val="0"/>
              <w:snapToGrid w:val="0"/>
              <w:spacing w:line="240" w:lineRule="exact"/>
              <w:jc w:val="center"/>
              <w:rPr>
                <w:color w:val="auto"/>
                <w:sz w:val="18"/>
                <w:szCs w:val="18"/>
              </w:rPr>
            </w:pPr>
            <w:r>
              <w:rPr>
                <w:color w:val="auto"/>
                <w:sz w:val="18"/>
                <w:szCs w:val="18"/>
              </w:rPr>
              <w:t>600～800</w:t>
            </w:r>
          </w:p>
        </w:tc>
        <w:tc>
          <w:tcPr>
            <w:tcW w:w="1002" w:type="dxa"/>
            <w:vAlign w:val="center"/>
          </w:tcPr>
          <w:p w14:paraId="0776C3D8">
            <w:pPr>
              <w:adjustRightInd w:val="0"/>
              <w:snapToGrid w:val="0"/>
              <w:spacing w:line="240" w:lineRule="exact"/>
              <w:jc w:val="center"/>
              <w:rPr>
                <w:color w:val="auto"/>
                <w:sz w:val="18"/>
                <w:szCs w:val="18"/>
              </w:rPr>
            </w:pPr>
            <w:r>
              <w:rPr>
                <w:color w:val="auto"/>
                <w:sz w:val="18"/>
                <w:szCs w:val="18"/>
              </w:rPr>
              <w:t>700～900</w:t>
            </w:r>
          </w:p>
        </w:tc>
        <w:tc>
          <w:tcPr>
            <w:tcW w:w="1195" w:type="dxa"/>
            <w:vAlign w:val="center"/>
          </w:tcPr>
          <w:p w14:paraId="4626E6C8">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800～1000</w:t>
            </w:r>
          </w:p>
        </w:tc>
      </w:tr>
      <w:tr w14:paraId="4A7EEF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restart"/>
            <w:vAlign w:val="center"/>
          </w:tcPr>
          <w:p w14:paraId="0828E66A">
            <w:pPr>
              <w:adjustRightInd w:val="0"/>
              <w:snapToGrid w:val="0"/>
              <w:spacing w:line="240" w:lineRule="exact"/>
              <w:jc w:val="center"/>
              <w:rPr>
                <w:color w:val="auto"/>
                <w:sz w:val="18"/>
                <w:szCs w:val="18"/>
              </w:rPr>
            </w:pPr>
            <w:r>
              <w:rPr>
                <w:color w:val="auto"/>
                <w:sz w:val="18"/>
                <w:szCs w:val="18"/>
              </w:rPr>
              <w:t>粉砂</w:t>
            </w:r>
          </w:p>
        </w:tc>
        <w:tc>
          <w:tcPr>
            <w:tcW w:w="563" w:type="dxa"/>
            <w:tcBorders>
              <w:right w:val="single" w:color="auto" w:sz="4" w:space="0"/>
            </w:tcBorders>
            <w:vAlign w:val="center"/>
          </w:tcPr>
          <w:p w14:paraId="6E7C70EB">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稍密</w:t>
            </w:r>
          </w:p>
        </w:tc>
        <w:tc>
          <w:tcPr>
            <w:tcW w:w="1069" w:type="dxa"/>
            <w:tcBorders>
              <w:left w:val="single" w:color="auto" w:sz="4" w:space="0"/>
            </w:tcBorders>
            <w:vAlign w:val="center"/>
          </w:tcPr>
          <w:p w14:paraId="1D12C546">
            <w:pPr>
              <w:adjustRightInd w:val="0"/>
              <w:snapToGrid w:val="0"/>
              <w:spacing w:line="240" w:lineRule="exact"/>
              <w:jc w:val="center"/>
              <w:rPr>
                <w:color w:val="auto"/>
                <w:sz w:val="18"/>
                <w:szCs w:val="18"/>
              </w:rPr>
            </w:pPr>
            <w:r>
              <w:rPr>
                <w:color w:val="auto"/>
                <w:sz w:val="18"/>
                <w:szCs w:val="18"/>
              </w:rPr>
              <w:t>1.0＜</w:t>
            </w:r>
            <w:r>
              <w:rPr>
                <w:i/>
                <w:color w:val="auto"/>
                <w:sz w:val="18"/>
                <w:szCs w:val="18"/>
              </w:rPr>
              <w:t>N</w:t>
            </w:r>
            <w:r>
              <w:rPr>
                <w:color w:val="auto"/>
                <w:sz w:val="18"/>
                <w:szCs w:val="18"/>
              </w:rPr>
              <w:t>≤15</w:t>
            </w:r>
          </w:p>
        </w:tc>
        <w:tc>
          <w:tcPr>
            <w:tcW w:w="906" w:type="dxa"/>
            <w:vAlign w:val="center"/>
          </w:tcPr>
          <w:p w14:paraId="7B4F65A4">
            <w:pPr>
              <w:adjustRightInd w:val="0"/>
              <w:snapToGrid w:val="0"/>
              <w:spacing w:line="240" w:lineRule="exact"/>
              <w:ind w:left="12" w:leftChars="-18" w:right="-59" w:rightChars="-28" w:hanging="50" w:hangingChars="28"/>
              <w:jc w:val="left"/>
              <w:rPr>
                <w:color w:val="auto"/>
                <w:sz w:val="18"/>
                <w:szCs w:val="18"/>
              </w:rPr>
            </w:pPr>
            <w:r>
              <w:rPr>
                <w:color w:val="auto"/>
                <w:sz w:val="18"/>
                <w:szCs w:val="18"/>
              </w:rPr>
              <w:t>150～200</w:t>
            </w:r>
          </w:p>
        </w:tc>
        <w:tc>
          <w:tcPr>
            <w:tcW w:w="940" w:type="dxa"/>
            <w:vAlign w:val="center"/>
          </w:tcPr>
          <w:p w14:paraId="1337AC03">
            <w:pPr>
              <w:adjustRightInd w:val="0"/>
              <w:snapToGrid w:val="0"/>
              <w:spacing w:line="240" w:lineRule="exact"/>
              <w:jc w:val="center"/>
              <w:rPr>
                <w:color w:val="auto"/>
                <w:sz w:val="18"/>
                <w:szCs w:val="18"/>
              </w:rPr>
            </w:pPr>
            <w:r>
              <w:rPr>
                <w:color w:val="auto"/>
                <w:sz w:val="18"/>
                <w:szCs w:val="18"/>
              </w:rPr>
              <w:t>200～250</w:t>
            </w:r>
          </w:p>
        </w:tc>
        <w:tc>
          <w:tcPr>
            <w:tcW w:w="946" w:type="dxa"/>
            <w:tcBorders>
              <w:right w:val="single" w:color="auto" w:sz="4" w:space="0"/>
            </w:tcBorders>
            <w:vAlign w:val="center"/>
          </w:tcPr>
          <w:p w14:paraId="4F3B1E0C">
            <w:pPr>
              <w:adjustRightInd w:val="0"/>
              <w:snapToGrid w:val="0"/>
              <w:spacing w:line="240" w:lineRule="exact"/>
              <w:jc w:val="center"/>
              <w:rPr>
                <w:color w:val="auto"/>
                <w:sz w:val="18"/>
                <w:szCs w:val="18"/>
              </w:rPr>
            </w:pPr>
            <w:r>
              <w:rPr>
                <w:color w:val="auto"/>
                <w:sz w:val="18"/>
                <w:szCs w:val="18"/>
              </w:rPr>
              <w:t>250～300</w:t>
            </w:r>
          </w:p>
        </w:tc>
        <w:tc>
          <w:tcPr>
            <w:tcW w:w="951" w:type="dxa"/>
            <w:tcBorders>
              <w:left w:val="single" w:color="auto" w:sz="4" w:space="0"/>
            </w:tcBorders>
            <w:vAlign w:val="center"/>
          </w:tcPr>
          <w:p w14:paraId="790BDD41">
            <w:pPr>
              <w:adjustRightInd w:val="0"/>
              <w:snapToGrid w:val="0"/>
              <w:spacing w:line="240" w:lineRule="exact"/>
              <w:jc w:val="center"/>
              <w:rPr>
                <w:color w:val="auto"/>
                <w:sz w:val="18"/>
                <w:szCs w:val="18"/>
              </w:rPr>
            </w:pPr>
            <w:r>
              <w:rPr>
                <w:color w:val="auto"/>
                <w:sz w:val="18"/>
                <w:szCs w:val="18"/>
              </w:rPr>
              <w:t>300～350</w:t>
            </w:r>
          </w:p>
        </w:tc>
        <w:tc>
          <w:tcPr>
            <w:tcW w:w="941" w:type="dxa"/>
            <w:vAlign w:val="center"/>
          </w:tcPr>
          <w:p w14:paraId="65FEB3E5">
            <w:pPr>
              <w:adjustRightInd w:val="0"/>
              <w:snapToGrid w:val="0"/>
              <w:spacing w:line="240" w:lineRule="exact"/>
              <w:jc w:val="center"/>
              <w:rPr>
                <w:color w:val="auto"/>
                <w:sz w:val="18"/>
                <w:szCs w:val="18"/>
              </w:rPr>
            </w:pPr>
            <w:r>
              <w:rPr>
                <w:color w:val="auto"/>
                <w:sz w:val="18"/>
                <w:szCs w:val="18"/>
              </w:rPr>
              <w:t>200～400</w:t>
            </w:r>
          </w:p>
        </w:tc>
        <w:tc>
          <w:tcPr>
            <w:tcW w:w="1002" w:type="dxa"/>
            <w:vAlign w:val="center"/>
          </w:tcPr>
          <w:p w14:paraId="486D2D56">
            <w:pPr>
              <w:adjustRightInd w:val="0"/>
              <w:snapToGrid w:val="0"/>
              <w:spacing w:line="240" w:lineRule="exact"/>
              <w:jc w:val="center"/>
              <w:rPr>
                <w:color w:val="auto"/>
                <w:sz w:val="18"/>
                <w:szCs w:val="18"/>
              </w:rPr>
            </w:pPr>
            <w:r>
              <w:rPr>
                <w:color w:val="auto"/>
                <w:sz w:val="18"/>
                <w:szCs w:val="18"/>
              </w:rPr>
              <w:t>500～700</w:t>
            </w:r>
          </w:p>
        </w:tc>
        <w:tc>
          <w:tcPr>
            <w:tcW w:w="1195" w:type="dxa"/>
            <w:vAlign w:val="center"/>
          </w:tcPr>
          <w:p w14:paraId="0683FEC5">
            <w:pPr>
              <w:adjustRightInd w:val="0"/>
              <w:snapToGrid w:val="0"/>
              <w:spacing w:line="240" w:lineRule="exact"/>
              <w:jc w:val="center"/>
              <w:rPr>
                <w:color w:val="auto"/>
                <w:sz w:val="18"/>
                <w:szCs w:val="18"/>
              </w:rPr>
            </w:pPr>
            <w:r>
              <w:rPr>
                <w:color w:val="auto"/>
                <w:sz w:val="18"/>
                <w:szCs w:val="18"/>
              </w:rPr>
              <w:t>700～800</w:t>
            </w:r>
          </w:p>
        </w:tc>
      </w:tr>
      <w:tr w14:paraId="7907C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Merge w:val="continue"/>
            <w:vAlign w:val="center"/>
          </w:tcPr>
          <w:p w14:paraId="2A76D59C">
            <w:pPr>
              <w:adjustRightInd w:val="0"/>
              <w:snapToGrid w:val="0"/>
              <w:spacing w:line="240" w:lineRule="exact"/>
              <w:jc w:val="center"/>
              <w:rPr>
                <w:color w:val="auto"/>
                <w:sz w:val="18"/>
                <w:szCs w:val="18"/>
              </w:rPr>
            </w:pPr>
          </w:p>
        </w:tc>
        <w:tc>
          <w:tcPr>
            <w:tcW w:w="563" w:type="dxa"/>
            <w:tcBorders>
              <w:bottom w:val="single" w:color="auto" w:sz="4" w:space="0"/>
              <w:right w:val="single" w:color="auto" w:sz="4" w:space="0"/>
            </w:tcBorders>
            <w:vAlign w:val="center"/>
          </w:tcPr>
          <w:p w14:paraId="394325E3">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中密</w:t>
            </w:r>
          </w:p>
          <w:p w14:paraId="2166FA9C">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密实</w:t>
            </w:r>
          </w:p>
        </w:tc>
        <w:tc>
          <w:tcPr>
            <w:tcW w:w="1069" w:type="dxa"/>
            <w:tcBorders>
              <w:left w:val="single" w:color="auto" w:sz="4" w:space="0"/>
              <w:bottom w:val="single" w:color="auto" w:sz="4" w:space="0"/>
            </w:tcBorders>
            <w:vAlign w:val="center"/>
          </w:tcPr>
          <w:p w14:paraId="5A77B680">
            <w:pPr>
              <w:adjustRightInd w:val="0"/>
              <w:snapToGrid w:val="0"/>
              <w:spacing w:line="240" w:lineRule="exact"/>
              <w:jc w:val="center"/>
              <w:rPr>
                <w:color w:val="auto"/>
                <w:sz w:val="18"/>
                <w:szCs w:val="18"/>
              </w:rPr>
            </w:pPr>
            <w:r>
              <w:rPr>
                <w:i/>
                <w:color w:val="auto"/>
                <w:sz w:val="18"/>
                <w:szCs w:val="18"/>
              </w:rPr>
              <w:t>N</w:t>
            </w:r>
            <w:r>
              <w:rPr>
                <w:color w:val="auto"/>
                <w:sz w:val="18"/>
                <w:szCs w:val="18"/>
              </w:rPr>
              <w:t>＞15</w:t>
            </w:r>
          </w:p>
        </w:tc>
        <w:tc>
          <w:tcPr>
            <w:tcW w:w="906" w:type="dxa"/>
            <w:vAlign w:val="center"/>
          </w:tcPr>
          <w:p w14:paraId="3D9D6585">
            <w:pPr>
              <w:adjustRightInd w:val="0"/>
              <w:snapToGrid w:val="0"/>
              <w:spacing w:line="240" w:lineRule="exact"/>
              <w:ind w:left="12" w:leftChars="-18" w:right="-59" w:rightChars="-28" w:hanging="50" w:hangingChars="28"/>
              <w:jc w:val="left"/>
              <w:rPr>
                <w:color w:val="auto"/>
                <w:sz w:val="18"/>
                <w:szCs w:val="18"/>
              </w:rPr>
            </w:pPr>
            <w:r>
              <w:rPr>
                <w:color w:val="auto"/>
                <w:sz w:val="18"/>
                <w:szCs w:val="18"/>
              </w:rPr>
              <w:t>200～300</w:t>
            </w:r>
          </w:p>
        </w:tc>
        <w:tc>
          <w:tcPr>
            <w:tcW w:w="940" w:type="dxa"/>
            <w:vAlign w:val="center"/>
          </w:tcPr>
          <w:p w14:paraId="0ADCAC11">
            <w:pPr>
              <w:adjustRightInd w:val="0"/>
              <w:snapToGrid w:val="0"/>
              <w:spacing w:line="240" w:lineRule="exact"/>
              <w:jc w:val="center"/>
              <w:rPr>
                <w:color w:val="auto"/>
                <w:sz w:val="18"/>
                <w:szCs w:val="18"/>
              </w:rPr>
            </w:pPr>
            <w:r>
              <w:rPr>
                <w:color w:val="auto"/>
                <w:sz w:val="18"/>
                <w:szCs w:val="18"/>
              </w:rPr>
              <w:t>300～400</w:t>
            </w:r>
          </w:p>
        </w:tc>
        <w:tc>
          <w:tcPr>
            <w:tcW w:w="946" w:type="dxa"/>
            <w:tcBorders>
              <w:right w:val="single" w:color="auto" w:sz="4" w:space="0"/>
            </w:tcBorders>
            <w:vAlign w:val="center"/>
          </w:tcPr>
          <w:p w14:paraId="14630D3F">
            <w:pPr>
              <w:adjustRightInd w:val="0"/>
              <w:snapToGrid w:val="0"/>
              <w:spacing w:line="240" w:lineRule="exact"/>
              <w:jc w:val="center"/>
              <w:rPr>
                <w:color w:val="auto"/>
                <w:sz w:val="18"/>
                <w:szCs w:val="18"/>
              </w:rPr>
            </w:pPr>
            <w:r>
              <w:rPr>
                <w:color w:val="auto"/>
                <w:sz w:val="18"/>
                <w:szCs w:val="18"/>
              </w:rPr>
              <w:t>400～500</w:t>
            </w:r>
          </w:p>
        </w:tc>
        <w:tc>
          <w:tcPr>
            <w:tcW w:w="951" w:type="dxa"/>
            <w:tcBorders>
              <w:left w:val="single" w:color="auto" w:sz="4" w:space="0"/>
            </w:tcBorders>
            <w:vAlign w:val="center"/>
          </w:tcPr>
          <w:p w14:paraId="0B1B8842">
            <w:pPr>
              <w:adjustRightInd w:val="0"/>
              <w:snapToGrid w:val="0"/>
              <w:spacing w:line="240" w:lineRule="exact"/>
              <w:jc w:val="center"/>
              <w:rPr>
                <w:color w:val="auto"/>
                <w:sz w:val="18"/>
                <w:szCs w:val="18"/>
              </w:rPr>
            </w:pPr>
            <w:r>
              <w:rPr>
                <w:color w:val="auto"/>
                <w:sz w:val="18"/>
                <w:szCs w:val="18"/>
              </w:rPr>
              <w:t>500～550</w:t>
            </w:r>
          </w:p>
        </w:tc>
        <w:tc>
          <w:tcPr>
            <w:tcW w:w="941" w:type="dxa"/>
            <w:vAlign w:val="center"/>
          </w:tcPr>
          <w:p w14:paraId="32AE073F">
            <w:pPr>
              <w:adjustRightInd w:val="0"/>
              <w:snapToGrid w:val="0"/>
              <w:spacing w:line="240" w:lineRule="exact"/>
              <w:jc w:val="center"/>
              <w:rPr>
                <w:color w:val="auto"/>
                <w:sz w:val="18"/>
                <w:szCs w:val="18"/>
              </w:rPr>
            </w:pPr>
            <w:r>
              <w:rPr>
                <w:color w:val="auto"/>
                <w:sz w:val="18"/>
                <w:szCs w:val="18"/>
              </w:rPr>
              <w:t>400～500</w:t>
            </w:r>
          </w:p>
        </w:tc>
        <w:tc>
          <w:tcPr>
            <w:tcW w:w="1002" w:type="dxa"/>
            <w:vAlign w:val="center"/>
          </w:tcPr>
          <w:p w14:paraId="33036087">
            <w:pPr>
              <w:adjustRightInd w:val="0"/>
              <w:snapToGrid w:val="0"/>
              <w:spacing w:line="240" w:lineRule="exact"/>
              <w:jc w:val="center"/>
              <w:rPr>
                <w:color w:val="auto"/>
                <w:sz w:val="18"/>
                <w:szCs w:val="18"/>
              </w:rPr>
            </w:pPr>
            <w:r>
              <w:rPr>
                <w:color w:val="auto"/>
                <w:sz w:val="18"/>
                <w:szCs w:val="18"/>
              </w:rPr>
              <w:t>600～800</w:t>
            </w:r>
          </w:p>
        </w:tc>
        <w:tc>
          <w:tcPr>
            <w:tcW w:w="1195" w:type="dxa"/>
            <w:vAlign w:val="center"/>
          </w:tcPr>
          <w:p w14:paraId="380FDCC9">
            <w:pPr>
              <w:adjustRightInd w:val="0"/>
              <w:snapToGrid w:val="0"/>
              <w:spacing w:line="240" w:lineRule="exact"/>
              <w:jc w:val="center"/>
              <w:rPr>
                <w:color w:val="auto"/>
                <w:sz w:val="18"/>
                <w:szCs w:val="18"/>
              </w:rPr>
            </w:pPr>
            <w:r>
              <w:rPr>
                <w:color w:val="auto"/>
                <w:sz w:val="18"/>
                <w:szCs w:val="18"/>
              </w:rPr>
              <w:t>800～900</w:t>
            </w:r>
          </w:p>
        </w:tc>
      </w:tr>
      <w:tr w14:paraId="264F1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293551C7">
            <w:pPr>
              <w:adjustRightInd w:val="0"/>
              <w:snapToGrid w:val="0"/>
              <w:spacing w:line="240" w:lineRule="exact"/>
              <w:jc w:val="center"/>
              <w:rPr>
                <w:color w:val="auto"/>
                <w:sz w:val="18"/>
                <w:szCs w:val="18"/>
              </w:rPr>
            </w:pPr>
            <w:r>
              <w:rPr>
                <w:color w:val="auto"/>
                <w:sz w:val="18"/>
                <w:szCs w:val="18"/>
              </w:rPr>
              <w:t>细砂</w:t>
            </w:r>
          </w:p>
        </w:tc>
        <w:tc>
          <w:tcPr>
            <w:tcW w:w="563" w:type="dxa"/>
            <w:vMerge w:val="restart"/>
            <w:tcBorders>
              <w:top w:val="single" w:color="auto" w:sz="4" w:space="0"/>
              <w:right w:val="single" w:color="auto" w:sz="4" w:space="0"/>
            </w:tcBorders>
            <w:vAlign w:val="center"/>
          </w:tcPr>
          <w:p w14:paraId="3AF1B5E6">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中密</w:t>
            </w:r>
          </w:p>
          <w:p w14:paraId="7EDEE06D">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密实</w:t>
            </w:r>
          </w:p>
        </w:tc>
        <w:tc>
          <w:tcPr>
            <w:tcW w:w="1069" w:type="dxa"/>
            <w:vMerge w:val="restart"/>
            <w:tcBorders>
              <w:top w:val="single" w:color="auto" w:sz="4" w:space="0"/>
              <w:left w:val="single" w:color="auto" w:sz="4" w:space="0"/>
            </w:tcBorders>
            <w:vAlign w:val="center"/>
          </w:tcPr>
          <w:p w14:paraId="035D2C42">
            <w:pPr>
              <w:adjustRightInd w:val="0"/>
              <w:snapToGrid w:val="0"/>
              <w:spacing w:line="240" w:lineRule="exact"/>
              <w:jc w:val="center"/>
              <w:rPr>
                <w:color w:val="auto"/>
                <w:sz w:val="18"/>
                <w:szCs w:val="18"/>
              </w:rPr>
            </w:pPr>
            <w:r>
              <w:rPr>
                <w:i/>
                <w:color w:val="auto"/>
                <w:sz w:val="18"/>
                <w:szCs w:val="18"/>
              </w:rPr>
              <w:t>N</w:t>
            </w:r>
            <w:r>
              <w:rPr>
                <w:color w:val="auto"/>
                <w:sz w:val="18"/>
                <w:szCs w:val="18"/>
              </w:rPr>
              <w:t>＞15</w:t>
            </w:r>
          </w:p>
        </w:tc>
        <w:tc>
          <w:tcPr>
            <w:tcW w:w="906" w:type="dxa"/>
            <w:vAlign w:val="center"/>
          </w:tcPr>
          <w:p w14:paraId="545B03FB">
            <w:pPr>
              <w:adjustRightInd w:val="0"/>
              <w:snapToGrid w:val="0"/>
              <w:spacing w:line="240" w:lineRule="exact"/>
              <w:ind w:left="12" w:leftChars="-18" w:right="-59" w:rightChars="-28" w:hanging="50" w:hangingChars="28"/>
              <w:jc w:val="left"/>
              <w:rPr>
                <w:color w:val="auto"/>
                <w:sz w:val="18"/>
                <w:szCs w:val="18"/>
              </w:rPr>
            </w:pPr>
            <w:r>
              <w:rPr>
                <w:color w:val="auto"/>
                <w:sz w:val="18"/>
                <w:szCs w:val="18"/>
              </w:rPr>
              <w:t>300～400</w:t>
            </w:r>
          </w:p>
        </w:tc>
        <w:tc>
          <w:tcPr>
            <w:tcW w:w="940" w:type="dxa"/>
            <w:vAlign w:val="center"/>
          </w:tcPr>
          <w:p w14:paraId="22193E54">
            <w:pPr>
              <w:adjustRightInd w:val="0"/>
              <w:snapToGrid w:val="0"/>
              <w:spacing w:line="240" w:lineRule="exact"/>
              <w:jc w:val="center"/>
              <w:rPr>
                <w:color w:val="auto"/>
                <w:sz w:val="18"/>
                <w:szCs w:val="18"/>
              </w:rPr>
            </w:pPr>
            <w:r>
              <w:rPr>
                <w:color w:val="auto"/>
                <w:sz w:val="18"/>
                <w:szCs w:val="18"/>
              </w:rPr>
              <w:t>400～500</w:t>
            </w:r>
          </w:p>
        </w:tc>
        <w:tc>
          <w:tcPr>
            <w:tcW w:w="946" w:type="dxa"/>
            <w:tcBorders>
              <w:right w:val="single" w:color="auto" w:sz="4" w:space="0"/>
            </w:tcBorders>
            <w:vAlign w:val="center"/>
          </w:tcPr>
          <w:p w14:paraId="7DB25FB1">
            <w:pPr>
              <w:adjustRightInd w:val="0"/>
              <w:snapToGrid w:val="0"/>
              <w:spacing w:line="240" w:lineRule="exact"/>
              <w:jc w:val="center"/>
              <w:rPr>
                <w:color w:val="auto"/>
                <w:sz w:val="18"/>
                <w:szCs w:val="18"/>
              </w:rPr>
            </w:pPr>
            <w:r>
              <w:rPr>
                <w:color w:val="auto"/>
                <w:sz w:val="18"/>
                <w:szCs w:val="18"/>
              </w:rPr>
              <w:t>500～600</w:t>
            </w:r>
          </w:p>
        </w:tc>
        <w:tc>
          <w:tcPr>
            <w:tcW w:w="951" w:type="dxa"/>
            <w:tcBorders>
              <w:left w:val="single" w:color="auto" w:sz="4" w:space="0"/>
            </w:tcBorders>
            <w:vAlign w:val="center"/>
          </w:tcPr>
          <w:p w14:paraId="2786997E">
            <w:pPr>
              <w:adjustRightInd w:val="0"/>
              <w:snapToGrid w:val="0"/>
              <w:spacing w:line="240" w:lineRule="exact"/>
              <w:jc w:val="center"/>
              <w:rPr>
                <w:color w:val="auto"/>
                <w:sz w:val="18"/>
                <w:szCs w:val="18"/>
              </w:rPr>
            </w:pPr>
            <w:r>
              <w:rPr>
                <w:color w:val="auto"/>
                <w:sz w:val="18"/>
                <w:szCs w:val="18"/>
              </w:rPr>
              <w:t>600～650</w:t>
            </w:r>
          </w:p>
        </w:tc>
        <w:tc>
          <w:tcPr>
            <w:tcW w:w="941" w:type="dxa"/>
            <w:vAlign w:val="center"/>
          </w:tcPr>
          <w:p w14:paraId="190AC668">
            <w:pPr>
              <w:adjustRightInd w:val="0"/>
              <w:snapToGrid w:val="0"/>
              <w:spacing w:line="240" w:lineRule="exact"/>
              <w:jc w:val="center"/>
              <w:rPr>
                <w:color w:val="auto"/>
                <w:sz w:val="18"/>
                <w:szCs w:val="18"/>
              </w:rPr>
            </w:pPr>
            <w:r>
              <w:rPr>
                <w:color w:val="auto"/>
                <w:sz w:val="18"/>
                <w:szCs w:val="18"/>
              </w:rPr>
              <w:t>600～800</w:t>
            </w:r>
          </w:p>
        </w:tc>
        <w:tc>
          <w:tcPr>
            <w:tcW w:w="1002" w:type="dxa"/>
            <w:vAlign w:val="center"/>
          </w:tcPr>
          <w:p w14:paraId="18547A4C">
            <w:pPr>
              <w:adjustRightInd w:val="0"/>
              <w:snapToGrid w:val="0"/>
              <w:spacing w:line="240" w:lineRule="exact"/>
              <w:jc w:val="center"/>
              <w:rPr>
                <w:color w:val="auto"/>
                <w:sz w:val="18"/>
                <w:szCs w:val="18"/>
              </w:rPr>
            </w:pPr>
            <w:r>
              <w:rPr>
                <w:color w:val="auto"/>
                <w:sz w:val="18"/>
                <w:szCs w:val="18"/>
              </w:rPr>
              <w:t>1000～1200</w:t>
            </w:r>
          </w:p>
        </w:tc>
        <w:tc>
          <w:tcPr>
            <w:tcW w:w="1195" w:type="dxa"/>
            <w:vAlign w:val="center"/>
          </w:tcPr>
          <w:p w14:paraId="5534A075">
            <w:pPr>
              <w:adjustRightInd w:val="0"/>
              <w:snapToGrid w:val="0"/>
              <w:spacing w:line="240" w:lineRule="exact"/>
              <w:jc w:val="center"/>
              <w:rPr>
                <w:color w:val="auto"/>
                <w:sz w:val="18"/>
                <w:szCs w:val="18"/>
              </w:rPr>
            </w:pPr>
            <w:r>
              <w:rPr>
                <w:color w:val="auto"/>
                <w:sz w:val="18"/>
                <w:szCs w:val="18"/>
              </w:rPr>
              <w:t>1200～1300</w:t>
            </w:r>
          </w:p>
        </w:tc>
      </w:tr>
      <w:tr w14:paraId="192E0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7EBCAFD1">
            <w:pPr>
              <w:adjustRightInd w:val="0"/>
              <w:snapToGrid w:val="0"/>
              <w:spacing w:line="240" w:lineRule="exact"/>
              <w:jc w:val="center"/>
              <w:rPr>
                <w:color w:val="auto"/>
                <w:sz w:val="18"/>
                <w:szCs w:val="18"/>
              </w:rPr>
            </w:pPr>
            <w:r>
              <w:rPr>
                <w:color w:val="auto"/>
                <w:sz w:val="18"/>
                <w:szCs w:val="18"/>
              </w:rPr>
              <w:t>中砂</w:t>
            </w:r>
          </w:p>
        </w:tc>
        <w:tc>
          <w:tcPr>
            <w:tcW w:w="563" w:type="dxa"/>
            <w:vMerge w:val="continue"/>
            <w:tcBorders>
              <w:right w:val="single" w:color="auto" w:sz="4" w:space="0"/>
            </w:tcBorders>
            <w:vAlign w:val="center"/>
          </w:tcPr>
          <w:p w14:paraId="7B3626DE">
            <w:pPr>
              <w:adjustRightInd w:val="0"/>
              <w:snapToGrid w:val="0"/>
              <w:spacing w:line="240" w:lineRule="exact"/>
              <w:ind w:left="32" w:leftChars="-36" w:right="-63" w:rightChars="-30" w:hanging="108" w:hangingChars="60"/>
              <w:jc w:val="center"/>
              <w:rPr>
                <w:color w:val="auto"/>
                <w:sz w:val="18"/>
                <w:szCs w:val="18"/>
              </w:rPr>
            </w:pPr>
          </w:p>
        </w:tc>
        <w:tc>
          <w:tcPr>
            <w:tcW w:w="1069" w:type="dxa"/>
            <w:vMerge w:val="continue"/>
            <w:tcBorders>
              <w:left w:val="single" w:color="auto" w:sz="4" w:space="0"/>
            </w:tcBorders>
            <w:vAlign w:val="center"/>
          </w:tcPr>
          <w:p w14:paraId="021A0FF1">
            <w:pPr>
              <w:adjustRightInd w:val="0"/>
              <w:snapToGrid w:val="0"/>
              <w:spacing w:line="240" w:lineRule="exact"/>
              <w:jc w:val="center"/>
              <w:rPr>
                <w:color w:val="auto"/>
                <w:sz w:val="18"/>
                <w:szCs w:val="18"/>
              </w:rPr>
            </w:pPr>
          </w:p>
        </w:tc>
        <w:tc>
          <w:tcPr>
            <w:tcW w:w="906" w:type="dxa"/>
            <w:vAlign w:val="center"/>
          </w:tcPr>
          <w:p w14:paraId="4BC6B1AF">
            <w:pPr>
              <w:adjustRightInd w:val="0"/>
              <w:snapToGrid w:val="0"/>
              <w:spacing w:line="240" w:lineRule="exact"/>
              <w:ind w:left="12" w:leftChars="-18" w:right="-59" w:rightChars="-28" w:hanging="50" w:hangingChars="28"/>
              <w:jc w:val="left"/>
              <w:rPr>
                <w:color w:val="auto"/>
                <w:sz w:val="18"/>
                <w:szCs w:val="18"/>
              </w:rPr>
            </w:pPr>
            <w:r>
              <w:rPr>
                <w:color w:val="auto"/>
                <w:sz w:val="18"/>
                <w:szCs w:val="18"/>
              </w:rPr>
              <w:t>400～500</w:t>
            </w:r>
          </w:p>
        </w:tc>
        <w:tc>
          <w:tcPr>
            <w:tcW w:w="940" w:type="dxa"/>
            <w:vAlign w:val="center"/>
          </w:tcPr>
          <w:p w14:paraId="741322A9">
            <w:pPr>
              <w:adjustRightInd w:val="0"/>
              <w:snapToGrid w:val="0"/>
              <w:spacing w:line="240" w:lineRule="exact"/>
              <w:jc w:val="center"/>
              <w:rPr>
                <w:color w:val="auto"/>
                <w:sz w:val="18"/>
                <w:szCs w:val="18"/>
              </w:rPr>
            </w:pPr>
            <w:r>
              <w:rPr>
                <w:color w:val="auto"/>
                <w:sz w:val="18"/>
                <w:szCs w:val="18"/>
              </w:rPr>
              <w:t>500～700</w:t>
            </w:r>
          </w:p>
        </w:tc>
        <w:tc>
          <w:tcPr>
            <w:tcW w:w="946" w:type="dxa"/>
            <w:tcBorders>
              <w:right w:val="single" w:color="auto" w:sz="4" w:space="0"/>
            </w:tcBorders>
            <w:vAlign w:val="center"/>
          </w:tcPr>
          <w:p w14:paraId="0A7EEDCB">
            <w:pPr>
              <w:adjustRightInd w:val="0"/>
              <w:snapToGrid w:val="0"/>
              <w:spacing w:line="240" w:lineRule="exact"/>
              <w:jc w:val="center"/>
              <w:rPr>
                <w:color w:val="auto"/>
                <w:sz w:val="18"/>
                <w:szCs w:val="18"/>
              </w:rPr>
            </w:pPr>
            <w:r>
              <w:rPr>
                <w:color w:val="auto"/>
                <w:sz w:val="18"/>
                <w:szCs w:val="18"/>
              </w:rPr>
              <w:t>700～900</w:t>
            </w:r>
          </w:p>
        </w:tc>
        <w:tc>
          <w:tcPr>
            <w:tcW w:w="951" w:type="dxa"/>
            <w:tcBorders>
              <w:left w:val="single" w:color="auto" w:sz="4" w:space="0"/>
            </w:tcBorders>
            <w:vAlign w:val="center"/>
          </w:tcPr>
          <w:p w14:paraId="2B576727">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900～1000</w:t>
            </w:r>
          </w:p>
        </w:tc>
        <w:tc>
          <w:tcPr>
            <w:tcW w:w="941" w:type="dxa"/>
            <w:vAlign w:val="center"/>
          </w:tcPr>
          <w:p w14:paraId="5DC1308E">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900～1200</w:t>
            </w:r>
          </w:p>
        </w:tc>
        <w:tc>
          <w:tcPr>
            <w:tcW w:w="1002" w:type="dxa"/>
            <w:vAlign w:val="center"/>
          </w:tcPr>
          <w:p w14:paraId="1FAC267A">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1400～1600</w:t>
            </w:r>
          </w:p>
        </w:tc>
        <w:tc>
          <w:tcPr>
            <w:tcW w:w="1195" w:type="dxa"/>
            <w:vAlign w:val="center"/>
          </w:tcPr>
          <w:p w14:paraId="6EB8B50B">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1600～1900</w:t>
            </w:r>
          </w:p>
        </w:tc>
      </w:tr>
      <w:tr w14:paraId="1F848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4BD53406">
            <w:pPr>
              <w:adjustRightInd w:val="0"/>
              <w:snapToGrid w:val="0"/>
              <w:spacing w:line="240" w:lineRule="exact"/>
              <w:jc w:val="center"/>
              <w:rPr>
                <w:color w:val="auto"/>
                <w:sz w:val="18"/>
                <w:szCs w:val="18"/>
              </w:rPr>
            </w:pPr>
            <w:r>
              <w:rPr>
                <w:color w:val="auto"/>
                <w:sz w:val="18"/>
                <w:szCs w:val="18"/>
              </w:rPr>
              <w:t>粗砂</w:t>
            </w:r>
          </w:p>
        </w:tc>
        <w:tc>
          <w:tcPr>
            <w:tcW w:w="563" w:type="dxa"/>
            <w:vMerge w:val="continue"/>
            <w:tcBorders>
              <w:bottom w:val="single" w:color="auto" w:sz="4" w:space="0"/>
              <w:right w:val="single" w:color="auto" w:sz="4" w:space="0"/>
            </w:tcBorders>
            <w:vAlign w:val="center"/>
          </w:tcPr>
          <w:p w14:paraId="7FD5C94D">
            <w:pPr>
              <w:adjustRightInd w:val="0"/>
              <w:snapToGrid w:val="0"/>
              <w:spacing w:line="240" w:lineRule="exact"/>
              <w:ind w:left="32" w:leftChars="-36" w:right="-63" w:rightChars="-30" w:hanging="108" w:hangingChars="60"/>
              <w:jc w:val="center"/>
              <w:rPr>
                <w:color w:val="auto"/>
                <w:sz w:val="18"/>
                <w:szCs w:val="18"/>
              </w:rPr>
            </w:pPr>
          </w:p>
        </w:tc>
        <w:tc>
          <w:tcPr>
            <w:tcW w:w="1069" w:type="dxa"/>
            <w:vMerge w:val="continue"/>
            <w:tcBorders>
              <w:left w:val="single" w:color="auto" w:sz="4" w:space="0"/>
              <w:bottom w:val="single" w:color="auto" w:sz="4" w:space="0"/>
            </w:tcBorders>
            <w:vAlign w:val="center"/>
          </w:tcPr>
          <w:p w14:paraId="41F0398E">
            <w:pPr>
              <w:adjustRightInd w:val="0"/>
              <w:snapToGrid w:val="0"/>
              <w:spacing w:line="240" w:lineRule="exact"/>
              <w:jc w:val="center"/>
              <w:rPr>
                <w:color w:val="auto"/>
                <w:sz w:val="18"/>
                <w:szCs w:val="18"/>
              </w:rPr>
            </w:pPr>
          </w:p>
        </w:tc>
        <w:tc>
          <w:tcPr>
            <w:tcW w:w="906" w:type="dxa"/>
            <w:vAlign w:val="center"/>
          </w:tcPr>
          <w:p w14:paraId="4CA782E6">
            <w:pPr>
              <w:adjustRightInd w:val="0"/>
              <w:snapToGrid w:val="0"/>
              <w:spacing w:line="240" w:lineRule="exact"/>
              <w:ind w:left="12" w:leftChars="-18" w:right="-59" w:rightChars="-28" w:hanging="50" w:hangingChars="28"/>
              <w:jc w:val="left"/>
              <w:rPr>
                <w:color w:val="auto"/>
                <w:sz w:val="18"/>
                <w:szCs w:val="18"/>
              </w:rPr>
            </w:pPr>
            <w:r>
              <w:rPr>
                <w:color w:val="auto"/>
                <w:sz w:val="18"/>
                <w:szCs w:val="18"/>
              </w:rPr>
              <w:t>700～900</w:t>
            </w:r>
          </w:p>
        </w:tc>
        <w:tc>
          <w:tcPr>
            <w:tcW w:w="940" w:type="dxa"/>
            <w:vAlign w:val="center"/>
          </w:tcPr>
          <w:p w14:paraId="501DC154">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1000～1100</w:t>
            </w:r>
          </w:p>
        </w:tc>
        <w:tc>
          <w:tcPr>
            <w:tcW w:w="946" w:type="dxa"/>
            <w:tcBorders>
              <w:right w:val="single" w:color="auto" w:sz="4" w:space="0"/>
            </w:tcBorders>
            <w:vAlign w:val="center"/>
          </w:tcPr>
          <w:p w14:paraId="7D59B787">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1200～1300</w:t>
            </w:r>
          </w:p>
        </w:tc>
        <w:tc>
          <w:tcPr>
            <w:tcW w:w="951" w:type="dxa"/>
            <w:tcBorders>
              <w:left w:val="single" w:color="auto" w:sz="4" w:space="0"/>
            </w:tcBorders>
            <w:vAlign w:val="center"/>
          </w:tcPr>
          <w:p w14:paraId="486D5411">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1300～1400</w:t>
            </w:r>
          </w:p>
        </w:tc>
        <w:tc>
          <w:tcPr>
            <w:tcW w:w="941" w:type="dxa"/>
            <w:vAlign w:val="center"/>
          </w:tcPr>
          <w:p w14:paraId="7ADDB6E1">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1400～1800</w:t>
            </w:r>
          </w:p>
        </w:tc>
        <w:tc>
          <w:tcPr>
            <w:tcW w:w="1002" w:type="dxa"/>
            <w:vAlign w:val="center"/>
          </w:tcPr>
          <w:p w14:paraId="1F22F2B3">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2000～2300</w:t>
            </w:r>
          </w:p>
        </w:tc>
        <w:tc>
          <w:tcPr>
            <w:tcW w:w="1195" w:type="dxa"/>
            <w:vAlign w:val="center"/>
          </w:tcPr>
          <w:p w14:paraId="784D2359">
            <w:pPr>
              <w:adjustRightInd w:val="0"/>
              <w:snapToGrid w:val="0"/>
              <w:spacing w:line="240" w:lineRule="exact"/>
              <w:ind w:left="18" w:leftChars="-22" w:right="-88" w:rightChars="-42" w:hanging="64" w:hangingChars="36"/>
              <w:jc w:val="center"/>
              <w:rPr>
                <w:color w:val="auto"/>
                <w:sz w:val="18"/>
                <w:szCs w:val="18"/>
              </w:rPr>
            </w:pPr>
            <w:r>
              <w:rPr>
                <w:color w:val="auto"/>
                <w:sz w:val="18"/>
                <w:szCs w:val="18"/>
              </w:rPr>
              <w:t>2300～2600</w:t>
            </w:r>
          </w:p>
        </w:tc>
      </w:tr>
      <w:tr w14:paraId="53C49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3E0A5D91">
            <w:pPr>
              <w:adjustRightInd w:val="0"/>
              <w:snapToGrid w:val="0"/>
              <w:spacing w:line="240" w:lineRule="exact"/>
              <w:jc w:val="center"/>
              <w:rPr>
                <w:color w:val="auto"/>
                <w:sz w:val="18"/>
                <w:szCs w:val="18"/>
              </w:rPr>
            </w:pPr>
            <w:r>
              <w:rPr>
                <w:color w:val="auto"/>
                <w:sz w:val="18"/>
                <w:szCs w:val="18"/>
              </w:rPr>
              <w:t>砾砂</w:t>
            </w:r>
          </w:p>
        </w:tc>
        <w:tc>
          <w:tcPr>
            <w:tcW w:w="563" w:type="dxa"/>
            <w:vMerge w:val="restart"/>
            <w:tcBorders>
              <w:top w:val="single" w:color="auto" w:sz="4" w:space="0"/>
              <w:right w:val="single" w:color="auto" w:sz="4" w:space="0"/>
            </w:tcBorders>
            <w:vAlign w:val="center"/>
          </w:tcPr>
          <w:p w14:paraId="104301AE">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中密</w:t>
            </w:r>
          </w:p>
          <w:p w14:paraId="5B4BA130">
            <w:pPr>
              <w:adjustRightInd w:val="0"/>
              <w:snapToGrid w:val="0"/>
              <w:spacing w:line="240" w:lineRule="exact"/>
              <w:ind w:left="32" w:leftChars="-36" w:right="-63" w:rightChars="-30" w:hanging="108" w:hangingChars="60"/>
              <w:jc w:val="center"/>
              <w:rPr>
                <w:color w:val="auto"/>
                <w:sz w:val="18"/>
                <w:szCs w:val="18"/>
              </w:rPr>
            </w:pPr>
            <w:r>
              <w:rPr>
                <w:color w:val="auto"/>
                <w:sz w:val="18"/>
                <w:szCs w:val="18"/>
              </w:rPr>
              <w:t>密实</w:t>
            </w:r>
          </w:p>
        </w:tc>
        <w:tc>
          <w:tcPr>
            <w:tcW w:w="1069" w:type="dxa"/>
            <w:tcBorders>
              <w:top w:val="single" w:color="auto" w:sz="4" w:space="0"/>
              <w:left w:val="single" w:color="auto" w:sz="4" w:space="0"/>
            </w:tcBorders>
            <w:vAlign w:val="center"/>
          </w:tcPr>
          <w:p w14:paraId="10FC5ED6">
            <w:pPr>
              <w:adjustRightInd w:val="0"/>
              <w:snapToGrid w:val="0"/>
              <w:spacing w:line="240" w:lineRule="exact"/>
              <w:jc w:val="center"/>
              <w:rPr>
                <w:color w:val="auto"/>
                <w:sz w:val="18"/>
                <w:szCs w:val="18"/>
              </w:rPr>
            </w:pPr>
            <w:r>
              <w:rPr>
                <w:i/>
                <w:color w:val="auto"/>
                <w:sz w:val="18"/>
                <w:szCs w:val="18"/>
              </w:rPr>
              <w:t>N</w:t>
            </w:r>
            <w:r>
              <w:rPr>
                <w:color w:val="auto"/>
                <w:sz w:val="18"/>
                <w:szCs w:val="18"/>
                <w:vertAlign w:val="subscript"/>
              </w:rPr>
              <w:t>63.5</w:t>
            </w:r>
            <w:r>
              <w:rPr>
                <w:color w:val="auto"/>
                <w:sz w:val="18"/>
                <w:szCs w:val="18"/>
              </w:rPr>
              <w:t>＞15</w:t>
            </w:r>
          </w:p>
        </w:tc>
        <w:tc>
          <w:tcPr>
            <w:tcW w:w="1846" w:type="dxa"/>
            <w:gridSpan w:val="2"/>
            <w:tcBorders>
              <w:right w:val="single" w:color="auto" w:sz="4" w:space="0"/>
            </w:tcBorders>
            <w:vAlign w:val="center"/>
          </w:tcPr>
          <w:p w14:paraId="3F6963A3">
            <w:pPr>
              <w:adjustRightInd w:val="0"/>
              <w:snapToGrid w:val="0"/>
              <w:spacing w:line="240" w:lineRule="exact"/>
              <w:jc w:val="center"/>
              <w:rPr>
                <w:color w:val="auto"/>
                <w:sz w:val="18"/>
                <w:szCs w:val="18"/>
              </w:rPr>
            </w:pPr>
            <w:r>
              <w:rPr>
                <w:color w:val="auto"/>
                <w:sz w:val="18"/>
                <w:szCs w:val="18"/>
              </w:rPr>
              <w:t>700～1000</w:t>
            </w:r>
          </w:p>
        </w:tc>
        <w:tc>
          <w:tcPr>
            <w:tcW w:w="1897" w:type="dxa"/>
            <w:gridSpan w:val="2"/>
            <w:tcBorders>
              <w:left w:val="single" w:color="auto" w:sz="4" w:space="0"/>
            </w:tcBorders>
            <w:vAlign w:val="center"/>
          </w:tcPr>
          <w:p w14:paraId="55C2D11C">
            <w:pPr>
              <w:adjustRightInd w:val="0"/>
              <w:snapToGrid w:val="0"/>
              <w:spacing w:line="240" w:lineRule="exact"/>
              <w:jc w:val="center"/>
              <w:rPr>
                <w:color w:val="auto"/>
                <w:sz w:val="18"/>
                <w:szCs w:val="18"/>
              </w:rPr>
            </w:pPr>
            <w:r>
              <w:rPr>
                <w:color w:val="auto"/>
                <w:sz w:val="18"/>
                <w:szCs w:val="18"/>
              </w:rPr>
              <w:t>1000～1500</w:t>
            </w:r>
          </w:p>
        </w:tc>
        <w:tc>
          <w:tcPr>
            <w:tcW w:w="3138" w:type="dxa"/>
            <w:gridSpan w:val="3"/>
            <w:vAlign w:val="center"/>
          </w:tcPr>
          <w:p w14:paraId="792059B3">
            <w:pPr>
              <w:adjustRightInd w:val="0"/>
              <w:snapToGrid w:val="0"/>
              <w:spacing w:line="240" w:lineRule="exact"/>
              <w:jc w:val="center"/>
              <w:rPr>
                <w:color w:val="auto"/>
                <w:sz w:val="18"/>
                <w:szCs w:val="18"/>
              </w:rPr>
            </w:pPr>
            <w:r>
              <w:rPr>
                <w:color w:val="auto"/>
                <w:sz w:val="18"/>
                <w:szCs w:val="18"/>
              </w:rPr>
              <w:t>1600～2500</w:t>
            </w:r>
          </w:p>
        </w:tc>
      </w:tr>
      <w:tr w14:paraId="4E09D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1906AE6F">
            <w:pPr>
              <w:adjustRightInd w:val="0"/>
              <w:snapToGrid w:val="0"/>
              <w:spacing w:line="240" w:lineRule="exact"/>
              <w:ind w:left="15" w:leftChars="-36" w:right="-76" w:rightChars="-36" w:hanging="91" w:hangingChars="51"/>
              <w:jc w:val="center"/>
              <w:rPr>
                <w:color w:val="auto"/>
                <w:sz w:val="18"/>
                <w:szCs w:val="18"/>
              </w:rPr>
            </w:pPr>
            <w:r>
              <w:rPr>
                <w:color w:val="auto"/>
                <w:sz w:val="18"/>
                <w:szCs w:val="18"/>
              </w:rPr>
              <w:t>角砾、圆砾</w:t>
            </w:r>
          </w:p>
        </w:tc>
        <w:tc>
          <w:tcPr>
            <w:tcW w:w="563" w:type="dxa"/>
            <w:vMerge w:val="continue"/>
            <w:tcBorders>
              <w:right w:val="single" w:color="auto" w:sz="4" w:space="0"/>
            </w:tcBorders>
            <w:vAlign w:val="center"/>
          </w:tcPr>
          <w:p w14:paraId="42E427CC">
            <w:pPr>
              <w:adjustRightInd w:val="0"/>
              <w:snapToGrid w:val="0"/>
              <w:spacing w:line="240" w:lineRule="exact"/>
              <w:jc w:val="center"/>
              <w:rPr>
                <w:color w:val="auto"/>
                <w:sz w:val="18"/>
                <w:szCs w:val="18"/>
              </w:rPr>
            </w:pPr>
          </w:p>
        </w:tc>
        <w:tc>
          <w:tcPr>
            <w:tcW w:w="1069" w:type="dxa"/>
            <w:tcBorders>
              <w:left w:val="single" w:color="auto" w:sz="4" w:space="0"/>
            </w:tcBorders>
            <w:vAlign w:val="center"/>
          </w:tcPr>
          <w:p w14:paraId="1152A346">
            <w:pPr>
              <w:adjustRightInd w:val="0"/>
              <w:snapToGrid w:val="0"/>
              <w:spacing w:line="240" w:lineRule="exact"/>
              <w:jc w:val="center"/>
              <w:rPr>
                <w:color w:val="auto"/>
                <w:sz w:val="18"/>
                <w:szCs w:val="18"/>
              </w:rPr>
            </w:pPr>
            <w:r>
              <w:rPr>
                <w:i/>
                <w:color w:val="auto"/>
                <w:sz w:val="18"/>
                <w:szCs w:val="18"/>
              </w:rPr>
              <w:t>N</w:t>
            </w:r>
            <w:r>
              <w:rPr>
                <w:color w:val="auto"/>
                <w:sz w:val="18"/>
                <w:szCs w:val="18"/>
                <w:vertAlign w:val="subscript"/>
              </w:rPr>
              <w:t>63.5</w:t>
            </w:r>
            <w:r>
              <w:rPr>
                <w:color w:val="auto"/>
                <w:sz w:val="18"/>
                <w:szCs w:val="18"/>
              </w:rPr>
              <w:t>＞10</w:t>
            </w:r>
          </w:p>
        </w:tc>
        <w:tc>
          <w:tcPr>
            <w:tcW w:w="1846" w:type="dxa"/>
            <w:gridSpan w:val="2"/>
            <w:tcBorders>
              <w:right w:val="single" w:color="auto" w:sz="4" w:space="0"/>
            </w:tcBorders>
            <w:vAlign w:val="center"/>
          </w:tcPr>
          <w:p w14:paraId="73A578E2">
            <w:pPr>
              <w:adjustRightInd w:val="0"/>
              <w:snapToGrid w:val="0"/>
              <w:spacing w:line="240" w:lineRule="exact"/>
              <w:jc w:val="center"/>
              <w:rPr>
                <w:color w:val="auto"/>
                <w:sz w:val="18"/>
                <w:szCs w:val="18"/>
              </w:rPr>
            </w:pPr>
            <w:r>
              <w:rPr>
                <w:color w:val="auto"/>
                <w:sz w:val="18"/>
                <w:szCs w:val="18"/>
              </w:rPr>
              <w:t>900～1100</w:t>
            </w:r>
          </w:p>
        </w:tc>
        <w:tc>
          <w:tcPr>
            <w:tcW w:w="1897" w:type="dxa"/>
            <w:gridSpan w:val="2"/>
            <w:tcBorders>
              <w:left w:val="single" w:color="auto" w:sz="4" w:space="0"/>
            </w:tcBorders>
            <w:vAlign w:val="center"/>
          </w:tcPr>
          <w:p w14:paraId="1B2B2853">
            <w:pPr>
              <w:adjustRightInd w:val="0"/>
              <w:snapToGrid w:val="0"/>
              <w:spacing w:line="240" w:lineRule="exact"/>
              <w:jc w:val="center"/>
              <w:rPr>
                <w:color w:val="auto"/>
                <w:sz w:val="18"/>
                <w:szCs w:val="18"/>
              </w:rPr>
            </w:pPr>
            <w:r>
              <w:rPr>
                <w:color w:val="auto"/>
                <w:sz w:val="18"/>
                <w:szCs w:val="18"/>
              </w:rPr>
              <w:t>1100～1700</w:t>
            </w:r>
          </w:p>
        </w:tc>
        <w:tc>
          <w:tcPr>
            <w:tcW w:w="3138" w:type="dxa"/>
            <w:gridSpan w:val="3"/>
            <w:vAlign w:val="center"/>
          </w:tcPr>
          <w:p w14:paraId="0CBA943B">
            <w:pPr>
              <w:adjustRightInd w:val="0"/>
              <w:snapToGrid w:val="0"/>
              <w:spacing w:line="240" w:lineRule="exact"/>
              <w:jc w:val="center"/>
              <w:rPr>
                <w:color w:val="auto"/>
                <w:sz w:val="18"/>
                <w:szCs w:val="18"/>
              </w:rPr>
            </w:pPr>
            <w:r>
              <w:rPr>
                <w:color w:val="auto"/>
                <w:sz w:val="18"/>
                <w:szCs w:val="18"/>
              </w:rPr>
              <w:t>2000～2700</w:t>
            </w:r>
          </w:p>
        </w:tc>
      </w:tr>
      <w:tr w14:paraId="57216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78B4D1BF">
            <w:pPr>
              <w:adjustRightInd w:val="0"/>
              <w:snapToGrid w:val="0"/>
              <w:spacing w:line="240" w:lineRule="exact"/>
              <w:ind w:left="18" w:leftChars="-22" w:right="-71" w:rightChars="-34" w:hanging="64" w:hangingChars="36"/>
              <w:jc w:val="center"/>
              <w:rPr>
                <w:color w:val="auto"/>
                <w:sz w:val="18"/>
                <w:szCs w:val="18"/>
              </w:rPr>
            </w:pPr>
            <w:r>
              <w:rPr>
                <w:color w:val="auto"/>
                <w:sz w:val="18"/>
                <w:szCs w:val="18"/>
              </w:rPr>
              <w:t>碎石、卵石</w:t>
            </w:r>
          </w:p>
        </w:tc>
        <w:tc>
          <w:tcPr>
            <w:tcW w:w="563" w:type="dxa"/>
            <w:vMerge w:val="continue"/>
            <w:tcBorders>
              <w:right w:val="single" w:color="auto" w:sz="4" w:space="0"/>
            </w:tcBorders>
            <w:vAlign w:val="center"/>
          </w:tcPr>
          <w:p w14:paraId="31945D4D">
            <w:pPr>
              <w:adjustRightInd w:val="0"/>
              <w:snapToGrid w:val="0"/>
              <w:spacing w:line="240" w:lineRule="exact"/>
              <w:jc w:val="center"/>
              <w:rPr>
                <w:color w:val="auto"/>
                <w:sz w:val="18"/>
                <w:szCs w:val="18"/>
              </w:rPr>
            </w:pPr>
          </w:p>
        </w:tc>
        <w:tc>
          <w:tcPr>
            <w:tcW w:w="1069" w:type="dxa"/>
            <w:tcBorders>
              <w:left w:val="single" w:color="auto" w:sz="4" w:space="0"/>
            </w:tcBorders>
            <w:vAlign w:val="center"/>
          </w:tcPr>
          <w:p w14:paraId="4BED1301">
            <w:pPr>
              <w:adjustRightInd w:val="0"/>
              <w:snapToGrid w:val="0"/>
              <w:spacing w:line="240" w:lineRule="exact"/>
              <w:jc w:val="center"/>
              <w:rPr>
                <w:color w:val="auto"/>
                <w:sz w:val="18"/>
                <w:szCs w:val="18"/>
              </w:rPr>
            </w:pPr>
            <w:r>
              <w:rPr>
                <w:i/>
                <w:color w:val="auto"/>
                <w:sz w:val="18"/>
                <w:szCs w:val="18"/>
              </w:rPr>
              <w:t>N</w:t>
            </w:r>
            <w:r>
              <w:rPr>
                <w:color w:val="auto"/>
                <w:sz w:val="18"/>
                <w:szCs w:val="18"/>
                <w:vertAlign w:val="subscript"/>
              </w:rPr>
              <w:t>63.5</w:t>
            </w:r>
            <w:r>
              <w:rPr>
                <w:color w:val="auto"/>
                <w:sz w:val="18"/>
                <w:szCs w:val="18"/>
              </w:rPr>
              <w:t>＞10</w:t>
            </w:r>
          </w:p>
        </w:tc>
        <w:tc>
          <w:tcPr>
            <w:tcW w:w="1846" w:type="dxa"/>
            <w:gridSpan w:val="2"/>
            <w:tcBorders>
              <w:right w:val="single" w:color="auto" w:sz="4" w:space="0"/>
            </w:tcBorders>
            <w:vAlign w:val="center"/>
          </w:tcPr>
          <w:p w14:paraId="41ECB188">
            <w:pPr>
              <w:adjustRightInd w:val="0"/>
              <w:snapToGrid w:val="0"/>
              <w:spacing w:line="240" w:lineRule="exact"/>
              <w:jc w:val="center"/>
              <w:rPr>
                <w:color w:val="auto"/>
                <w:sz w:val="18"/>
                <w:szCs w:val="18"/>
              </w:rPr>
            </w:pPr>
            <w:r>
              <w:rPr>
                <w:color w:val="auto"/>
                <w:sz w:val="18"/>
                <w:szCs w:val="18"/>
              </w:rPr>
              <w:t>1000～1500</w:t>
            </w:r>
          </w:p>
        </w:tc>
        <w:tc>
          <w:tcPr>
            <w:tcW w:w="1897" w:type="dxa"/>
            <w:gridSpan w:val="2"/>
            <w:tcBorders>
              <w:left w:val="single" w:color="auto" w:sz="4" w:space="0"/>
            </w:tcBorders>
            <w:vAlign w:val="center"/>
          </w:tcPr>
          <w:p w14:paraId="32494314">
            <w:pPr>
              <w:adjustRightInd w:val="0"/>
              <w:snapToGrid w:val="0"/>
              <w:spacing w:line="240" w:lineRule="exact"/>
              <w:jc w:val="center"/>
              <w:rPr>
                <w:color w:val="auto"/>
                <w:sz w:val="18"/>
                <w:szCs w:val="18"/>
              </w:rPr>
            </w:pPr>
            <w:r>
              <w:rPr>
                <w:color w:val="auto"/>
                <w:sz w:val="18"/>
                <w:szCs w:val="18"/>
              </w:rPr>
              <w:t>1500～1900</w:t>
            </w:r>
          </w:p>
        </w:tc>
        <w:tc>
          <w:tcPr>
            <w:tcW w:w="3138" w:type="dxa"/>
            <w:gridSpan w:val="3"/>
            <w:vAlign w:val="center"/>
          </w:tcPr>
          <w:p w14:paraId="5940CC2C">
            <w:pPr>
              <w:adjustRightInd w:val="0"/>
              <w:snapToGrid w:val="0"/>
              <w:spacing w:line="240" w:lineRule="exact"/>
              <w:jc w:val="center"/>
              <w:rPr>
                <w:color w:val="auto"/>
                <w:sz w:val="18"/>
                <w:szCs w:val="18"/>
              </w:rPr>
            </w:pPr>
            <w:r>
              <w:rPr>
                <w:color w:val="auto"/>
                <w:sz w:val="18"/>
                <w:szCs w:val="18"/>
              </w:rPr>
              <w:t>2200～3200</w:t>
            </w:r>
          </w:p>
        </w:tc>
      </w:tr>
      <w:tr w14:paraId="37EDE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74261E59">
            <w:pPr>
              <w:adjustRightInd w:val="0"/>
              <w:snapToGrid w:val="0"/>
              <w:spacing w:line="240" w:lineRule="exact"/>
              <w:ind w:left="18" w:leftChars="-26" w:right="-71" w:rightChars="-34" w:hanging="73" w:hangingChars="43"/>
              <w:jc w:val="center"/>
              <w:rPr>
                <w:color w:val="auto"/>
                <w:spacing w:val="-4"/>
                <w:sz w:val="18"/>
                <w:szCs w:val="18"/>
              </w:rPr>
            </w:pPr>
            <w:r>
              <w:rPr>
                <w:color w:val="auto"/>
                <w:spacing w:val="-4"/>
                <w:sz w:val="18"/>
                <w:szCs w:val="18"/>
              </w:rPr>
              <w:t>软质岩</w:t>
            </w:r>
          </w:p>
          <w:p w14:paraId="2FB5C6B9">
            <w:pPr>
              <w:adjustRightInd w:val="0"/>
              <w:snapToGrid w:val="0"/>
              <w:spacing w:line="240" w:lineRule="exact"/>
              <w:ind w:left="18" w:leftChars="-26" w:right="-71" w:rightChars="-34" w:hanging="73" w:hangingChars="43"/>
              <w:jc w:val="center"/>
              <w:rPr>
                <w:color w:val="auto"/>
                <w:spacing w:val="-4"/>
                <w:sz w:val="18"/>
                <w:szCs w:val="18"/>
              </w:rPr>
            </w:pPr>
            <w:r>
              <w:rPr>
                <w:color w:val="auto"/>
                <w:spacing w:val="-4"/>
                <w:sz w:val="18"/>
                <w:szCs w:val="18"/>
              </w:rPr>
              <w:t>残积土</w:t>
            </w:r>
          </w:p>
        </w:tc>
        <w:tc>
          <w:tcPr>
            <w:tcW w:w="1632" w:type="dxa"/>
            <w:gridSpan w:val="2"/>
            <w:vAlign w:val="center"/>
          </w:tcPr>
          <w:p w14:paraId="0F077860">
            <w:pPr>
              <w:adjustRightInd w:val="0"/>
              <w:snapToGrid w:val="0"/>
              <w:spacing w:line="240" w:lineRule="exact"/>
              <w:jc w:val="center"/>
              <w:rPr>
                <w:color w:val="auto"/>
                <w:sz w:val="18"/>
                <w:szCs w:val="18"/>
              </w:rPr>
            </w:pPr>
            <w:r>
              <w:rPr>
                <w:i/>
                <w:color w:val="auto"/>
                <w:sz w:val="18"/>
                <w:szCs w:val="18"/>
              </w:rPr>
              <w:t>N</w:t>
            </w:r>
            <w:r>
              <w:rPr>
                <w:color w:val="auto"/>
                <w:sz w:val="18"/>
                <w:szCs w:val="18"/>
              </w:rPr>
              <w:t>＜35</w:t>
            </w:r>
          </w:p>
        </w:tc>
        <w:tc>
          <w:tcPr>
            <w:tcW w:w="3743" w:type="dxa"/>
            <w:gridSpan w:val="4"/>
            <w:vAlign w:val="center"/>
          </w:tcPr>
          <w:p w14:paraId="50ADB17B">
            <w:pPr>
              <w:adjustRightInd w:val="0"/>
              <w:snapToGrid w:val="0"/>
              <w:spacing w:line="240" w:lineRule="exact"/>
              <w:jc w:val="center"/>
              <w:rPr>
                <w:color w:val="auto"/>
                <w:sz w:val="18"/>
                <w:szCs w:val="18"/>
              </w:rPr>
            </w:pPr>
            <w:r>
              <w:rPr>
                <w:color w:val="auto"/>
                <w:sz w:val="18"/>
                <w:szCs w:val="18"/>
              </w:rPr>
              <w:t>400～</w:t>
            </w:r>
            <w:r>
              <w:rPr>
                <w:rFonts w:hint="eastAsia"/>
                <w:color w:val="auto"/>
                <w:sz w:val="18"/>
                <w:szCs w:val="18"/>
              </w:rPr>
              <w:t>6</w:t>
            </w:r>
            <w:r>
              <w:rPr>
                <w:color w:val="auto"/>
                <w:sz w:val="18"/>
                <w:szCs w:val="18"/>
              </w:rPr>
              <w:t>00</w:t>
            </w:r>
          </w:p>
        </w:tc>
        <w:tc>
          <w:tcPr>
            <w:tcW w:w="3134" w:type="dxa"/>
            <w:gridSpan w:val="3"/>
            <w:vAlign w:val="center"/>
          </w:tcPr>
          <w:p w14:paraId="32B78BF8">
            <w:pPr>
              <w:adjustRightInd w:val="0"/>
              <w:snapToGrid w:val="0"/>
              <w:spacing w:line="240" w:lineRule="exact"/>
              <w:jc w:val="center"/>
              <w:rPr>
                <w:color w:val="auto"/>
                <w:sz w:val="18"/>
                <w:szCs w:val="18"/>
              </w:rPr>
            </w:pPr>
            <w:r>
              <w:rPr>
                <w:rFonts w:hint="eastAsia"/>
                <w:color w:val="auto"/>
                <w:sz w:val="18"/>
                <w:szCs w:val="18"/>
              </w:rPr>
              <w:t>5</w:t>
            </w:r>
            <w:r>
              <w:rPr>
                <w:color w:val="auto"/>
                <w:sz w:val="18"/>
                <w:szCs w:val="18"/>
              </w:rPr>
              <w:t>00～</w:t>
            </w:r>
            <w:r>
              <w:rPr>
                <w:rFonts w:hint="eastAsia"/>
                <w:color w:val="auto"/>
                <w:sz w:val="18"/>
                <w:szCs w:val="18"/>
              </w:rPr>
              <w:t>9</w:t>
            </w:r>
            <w:r>
              <w:rPr>
                <w:color w:val="auto"/>
                <w:sz w:val="18"/>
                <w:szCs w:val="18"/>
              </w:rPr>
              <w:t>00</w:t>
            </w:r>
          </w:p>
        </w:tc>
      </w:tr>
      <w:tr w14:paraId="6E427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95" w:type="dxa"/>
            <w:vAlign w:val="center"/>
          </w:tcPr>
          <w:p w14:paraId="305D0795">
            <w:pPr>
              <w:adjustRightInd w:val="0"/>
              <w:snapToGrid w:val="0"/>
              <w:spacing w:line="240" w:lineRule="exact"/>
              <w:ind w:left="18" w:leftChars="-26" w:right="-71" w:rightChars="-34" w:hanging="73" w:hangingChars="43"/>
              <w:jc w:val="center"/>
              <w:rPr>
                <w:color w:val="auto"/>
                <w:spacing w:val="-4"/>
                <w:sz w:val="18"/>
                <w:szCs w:val="18"/>
              </w:rPr>
            </w:pPr>
            <w:r>
              <w:rPr>
                <w:color w:val="auto"/>
                <w:spacing w:val="-4"/>
                <w:sz w:val="18"/>
                <w:szCs w:val="18"/>
              </w:rPr>
              <w:t>硬质岩</w:t>
            </w:r>
          </w:p>
          <w:p w14:paraId="3846E809">
            <w:pPr>
              <w:adjustRightInd w:val="0"/>
              <w:snapToGrid w:val="0"/>
              <w:spacing w:line="240" w:lineRule="exact"/>
              <w:ind w:left="18" w:leftChars="-26" w:right="-71" w:rightChars="-34" w:hanging="73" w:hangingChars="43"/>
              <w:jc w:val="center"/>
              <w:rPr>
                <w:color w:val="auto"/>
                <w:spacing w:val="-4"/>
                <w:sz w:val="18"/>
                <w:szCs w:val="18"/>
              </w:rPr>
            </w:pPr>
            <w:r>
              <w:rPr>
                <w:color w:val="auto"/>
                <w:spacing w:val="-4"/>
                <w:sz w:val="18"/>
                <w:szCs w:val="18"/>
              </w:rPr>
              <w:t>残积土</w:t>
            </w:r>
          </w:p>
        </w:tc>
        <w:tc>
          <w:tcPr>
            <w:tcW w:w="1632" w:type="dxa"/>
            <w:gridSpan w:val="2"/>
            <w:vAlign w:val="center"/>
          </w:tcPr>
          <w:p w14:paraId="296A0D8F">
            <w:pPr>
              <w:adjustRightInd w:val="0"/>
              <w:snapToGrid w:val="0"/>
              <w:spacing w:line="240" w:lineRule="exact"/>
              <w:jc w:val="center"/>
              <w:rPr>
                <w:color w:val="auto"/>
                <w:sz w:val="18"/>
                <w:szCs w:val="18"/>
              </w:rPr>
            </w:pPr>
            <w:r>
              <w:rPr>
                <w:i/>
                <w:color w:val="auto"/>
                <w:sz w:val="18"/>
                <w:szCs w:val="18"/>
              </w:rPr>
              <w:t>N</w:t>
            </w:r>
            <w:r>
              <w:rPr>
                <w:color w:val="auto"/>
                <w:sz w:val="18"/>
                <w:szCs w:val="18"/>
              </w:rPr>
              <w:t>＜50</w:t>
            </w:r>
          </w:p>
        </w:tc>
        <w:tc>
          <w:tcPr>
            <w:tcW w:w="3743" w:type="dxa"/>
            <w:gridSpan w:val="4"/>
            <w:vAlign w:val="center"/>
          </w:tcPr>
          <w:p w14:paraId="54AF7B74">
            <w:pPr>
              <w:adjustRightInd w:val="0"/>
              <w:snapToGrid w:val="0"/>
              <w:spacing w:line="240" w:lineRule="exact"/>
              <w:jc w:val="center"/>
              <w:rPr>
                <w:color w:val="auto"/>
                <w:sz w:val="18"/>
                <w:szCs w:val="18"/>
              </w:rPr>
            </w:pPr>
            <w:r>
              <w:rPr>
                <w:color w:val="auto"/>
                <w:sz w:val="18"/>
                <w:szCs w:val="18"/>
              </w:rPr>
              <w:t>500～</w:t>
            </w:r>
            <w:r>
              <w:rPr>
                <w:rFonts w:hint="eastAsia"/>
                <w:color w:val="auto"/>
                <w:sz w:val="18"/>
                <w:szCs w:val="18"/>
              </w:rPr>
              <w:t>8</w:t>
            </w:r>
            <w:r>
              <w:rPr>
                <w:color w:val="auto"/>
                <w:sz w:val="18"/>
                <w:szCs w:val="18"/>
              </w:rPr>
              <w:t>00</w:t>
            </w:r>
          </w:p>
        </w:tc>
        <w:tc>
          <w:tcPr>
            <w:tcW w:w="3134" w:type="dxa"/>
            <w:gridSpan w:val="3"/>
            <w:vAlign w:val="center"/>
          </w:tcPr>
          <w:p w14:paraId="00924C3C">
            <w:pPr>
              <w:adjustRightInd w:val="0"/>
              <w:snapToGrid w:val="0"/>
              <w:spacing w:line="240" w:lineRule="exact"/>
              <w:jc w:val="center"/>
              <w:rPr>
                <w:color w:val="auto"/>
                <w:sz w:val="18"/>
                <w:szCs w:val="18"/>
              </w:rPr>
            </w:pPr>
            <w:r>
              <w:rPr>
                <w:rFonts w:hint="eastAsia"/>
                <w:color w:val="auto"/>
                <w:sz w:val="18"/>
                <w:szCs w:val="18"/>
              </w:rPr>
              <w:t>6</w:t>
            </w:r>
            <w:r>
              <w:rPr>
                <w:color w:val="auto"/>
                <w:sz w:val="18"/>
                <w:szCs w:val="18"/>
              </w:rPr>
              <w:t>00～1</w:t>
            </w:r>
            <w:r>
              <w:rPr>
                <w:rFonts w:hint="eastAsia"/>
                <w:color w:val="auto"/>
                <w:sz w:val="18"/>
                <w:szCs w:val="18"/>
              </w:rPr>
              <w:t>1</w:t>
            </w:r>
            <w:r>
              <w:rPr>
                <w:color w:val="auto"/>
                <w:sz w:val="18"/>
                <w:szCs w:val="18"/>
              </w:rPr>
              <w:t>00</w:t>
            </w:r>
          </w:p>
        </w:tc>
      </w:tr>
      <w:tr w14:paraId="0AB94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9504" w:type="dxa"/>
            <w:gridSpan w:val="10"/>
            <w:vAlign w:val="center"/>
          </w:tcPr>
          <w:p w14:paraId="18FB234A">
            <w:pPr>
              <w:adjustRightInd w:val="0"/>
              <w:snapToGrid w:val="0"/>
              <w:spacing w:line="240" w:lineRule="exact"/>
              <w:ind w:left="381" w:leftChars="18" w:hanging="343"/>
              <w:rPr>
                <w:color w:val="auto"/>
                <w:sz w:val="18"/>
                <w:szCs w:val="18"/>
              </w:rPr>
            </w:pPr>
            <w:r>
              <w:rPr>
                <w:color w:val="auto"/>
                <w:sz w:val="18"/>
                <w:szCs w:val="18"/>
              </w:rPr>
              <w:t>注</w:t>
            </w:r>
            <w:r>
              <w:rPr>
                <w:rFonts w:hint="eastAsia"/>
                <w:color w:val="auto"/>
                <w:sz w:val="18"/>
                <w:szCs w:val="18"/>
              </w:rPr>
              <w:t>1</w:t>
            </w:r>
            <w:r>
              <w:rPr>
                <w:color w:val="auto"/>
                <w:sz w:val="18"/>
                <w:szCs w:val="18"/>
              </w:rPr>
              <w:t>：人工挖孔桩按干作业钻孔桩取值，对一般黏性土及老黏性土，宜将表中数据降低15%～30%使用</w:t>
            </w:r>
            <w:r>
              <w:rPr>
                <w:rFonts w:hint="eastAsia"/>
                <w:color w:val="auto"/>
                <w:sz w:val="18"/>
                <w:szCs w:val="18"/>
              </w:rPr>
              <w:t>；</w:t>
            </w:r>
          </w:p>
          <w:p w14:paraId="51D44396">
            <w:pPr>
              <w:adjustRightInd w:val="0"/>
              <w:snapToGrid w:val="0"/>
              <w:spacing w:line="240" w:lineRule="exact"/>
              <w:rPr>
                <w:color w:val="auto"/>
                <w:sz w:val="18"/>
                <w:szCs w:val="18"/>
              </w:rPr>
            </w:pPr>
            <w:r>
              <w:rPr>
                <w:rFonts w:hint="eastAsia"/>
                <w:color w:val="auto"/>
                <w:sz w:val="18"/>
                <w:szCs w:val="18"/>
              </w:rPr>
              <w:t>注2：</w:t>
            </w:r>
            <w:r>
              <w:rPr>
                <w:color w:val="auto"/>
                <w:sz w:val="18"/>
                <w:szCs w:val="18"/>
              </w:rPr>
              <w:t>二、三级阶地岗垅地区老黏土，当基底不浸水时，端阻取降低后的高值，高阶地沟谷、高低阶地交界地带及施工条件差时取降低后的低值</w:t>
            </w:r>
            <w:r>
              <w:rPr>
                <w:rFonts w:hint="eastAsia"/>
                <w:color w:val="auto"/>
                <w:sz w:val="18"/>
                <w:szCs w:val="18"/>
              </w:rPr>
              <w:t>；</w:t>
            </w:r>
          </w:p>
          <w:p w14:paraId="5FE36462">
            <w:pPr>
              <w:adjustRightInd w:val="0"/>
              <w:snapToGrid w:val="0"/>
              <w:spacing w:line="240" w:lineRule="exact"/>
              <w:rPr>
                <w:color w:val="auto"/>
                <w:sz w:val="18"/>
                <w:szCs w:val="18"/>
              </w:rPr>
            </w:pPr>
            <w:r>
              <w:rPr>
                <w:color w:val="auto"/>
                <w:sz w:val="18"/>
                <w:szCs w:val="18"/>
              </w:rPr>
              <w:t>注3</w:t>
            </w:r>
            <w:r>
              <w:rPr>
                <w:rFonts w:hint="eastAsia"/>
                <w:color w:val="auto"/>
                <w:sz w:val="18"/>
                <w:szCs w:val="18"/>
              </w:rPr>
              <w:t>：</w:t>
            </w:r>
            <w:r>
              <w:rPr>
                <w:color w:val="auto"/>
                <w:sz w:val="18"/>
                <w:szCs w:val="18"/>
              </w:rPr>
              <w:t>长螺旋钻孔压灌桩可按干作业钻孔桩取值</w:t>
            </w:r>
            <w:r>
              <w:rPr>
                <w:rFonts w:hint="eastAsia"/>
                <w:color w:val="auto"/>
                <w:sz w:val="18"/>
                <w:szCs w:val="18"/>
              </w:rPr>
              <w:t>；</w:t>
            </w:r>
          </w:p>
          <w:p w14:paraId="7F4F36DE">
            <w:pPr>
              <w:adjustRightInd w:val="0"/>
              <w:snapToGrid w:val="0"/>
              <w:spacing w:line="240" w:lineRule="exact"/>
              <w:rPr>
                <w:color w:val="auto"/>
                <w:sz w:val="18"/>
                <w:szCs w:val="18"/>
              </w:rPr>
            </w:pPr>
            <w:r>
              <w:rPr>
                <w:color w:val="auto"/>
                <w:sz w:val="18"/>
                <w:szCs w:val="18"/>
              </w:rPr>
              <w:t>注4</w:t>
            </w:r>
            <w:r>
              <w:rPr>
                <w:rFonts w:hint="eastAsia"/>
                <w:color w:val="auto"/>
                <w:sz w:val="18"/>
                <w:szCs w:val="18"/>
              </w:rPr>
              <w:t>：h为桩入土深度（m）。</w:t>
            </w:r>
          </w:p>
        </w:tc>
      </w:tr>
    </w:tbl>
    <w:p w14:paraId="59C343C4">
      <w:pPr>
        <w:adjustRightInd w:val="0"/>
        <w:snapToGrid w:val="0"/>
        <w:spacing w:before="240" w:line="360" w:lineRule="exact"/>
        <w:rPr>
          <w:color w:val="auto"/>
          <w:szCs w:val="21"/>
        </w:rPr>
      </w:pPr>
      <w:r>
        <w:rPr>
          <w:b/>
          <w:bCs/>
          <w:color w:val="auto"/>
          <w:szCs w:val="21"/>
        </w:rPr>
        <w:t>F.3</w:t>
      </w:r>
      <w:r>
        <w:rPr>
          <w:color w:val="auto"/>
          <w:szCs w:val="21"/>
        </w:rPr>
        <w:t xml:space="preserve">   钻（挖）孔桩桩侧岩石的侧阻力特征值及端阻力特征值,可按表F.8取值。</w:t>
      </w:r>
    </w:p>
    <w:p w14:paraId="46E8396A">
      <w:pPr>
        <w:tabs>
          <w:tab w:val="left" w:pos="9185"/>
        </w:tabs>
        <w:adjustRightInd w:val="0"/>
        <w:snapToGrid w:val="0"/>
        <w:spacing w:before="240" w:line="360" w:lineRule="atLeast"/>
        <w:ind w:right="-29"/>
        <w:jc w:val="center"/>
        <w:rPr>
          <w:rFonts w:eastAsia="黑体"/>
          <w:b/>
          <w:color w:val="auto"/>
          <w:sz w:val="18"/>
          <w:szCs w:val="18"/>
        </w:rPr>
      </w:pPr>
      <w:r>
        <w:rPr>
          <w:rFonts w:hint="eastAsia" w:eastAsia="黑体"/>
          <w:b/>
          <w:color w:val="auto"/>
          <w:szCs w:val="21"/>
        </w:rPr>
        <w:t xml:space="preserve">                 </w:t>
      </w:r>
      <w:r>
        <w:rPr>
          <w:rFonts w:eastAsia="黑体"/>
          <w:b/>
          <w:color w:val="auto"/>
          <w:szCs w:val="21"/>
        </w:rPr>
        <w:t>表F.8   钻（挖）孔桩桩端阻力特征值</w:t>
      </w:r>
      <w:r>
        <w:rPr>
          <w:rFonts w:eastAsia="黑体"/>
          <w:b/>
          <w:i/>
          <w:color w:val="auto"/>
          <w:szCs w:val="21"/>
        </w:rPr>
        <w:t>q</w:t>
      </w:r>
      <w:r>
        <w:rPr>
          <w:rFonts w:eastAsia="黑体"/>
          <w:b/>
          <w:color w:val="auto"/>
          <w:szCs w:val="21"/>
          <w:vertAlign w:val="subscript"/>
        </w:rPr>
        <w:t>pa</w:t>
      </w:r>
      <w:r>
        <w:rPr>
          <w:rFonts w:eastAsia="黑体"/>
          <w:b/>
          <w:color w:val="auto"/>
          <w:szCs w:val="21"/>
        </w:rPr>
        <w:t>、桩侧阻力特征值</w:t>
      </w:r>
      <w:r>
        <w:rPr>
          <w:rFonts w:eastAsia="黑体"/>
          <w:b/>
          <w:i/>
          <w:color w:val="auto"/>
          <w:szCs w:val="21"/>
        </w:rPr>
        <w:t>q</w:t>
      </w:r>
      <w:r>
        <w:rPr>
          <w:rFonts w:eastAsia="黑体"/>
          <w:b/>
          <w:color w:val="auto"/>
          <w:szCs w:val="21"/>
          <w:vertAlign w:val="subscript"/>
        </w:rPr>
        <w:t>sia</w:t>
      </w:r>
      <w:r>
        <w:rPr>
          <w:rFonts w:eastAsia="黑体"/>
          <w:b/>
          <w:color w:val="auto"/>
          <w:sz w:val="18"/>
          <w:szCs w:val="18"/>
        </w:rPr>
        <w:t xml:space="preserve"> </w:t>
      </w:r>
      <w:r>
        <w:rPr>
          <w:rFonts w:eastAsia="黑体"/>
          <w:b/>
          <w:i/>
          <w:color w:val="auto"/>
          <w:sz w:val="18"/>
          <w:szCs w:val="18"/>
          <w:vertAlign w:val="subscript"/>
        </w:rPr>
        <w:t xml:space="preserve">  </w:t>
      </w:r>
      <w:r>
        <w:rPr>
          <w:rFonts w:hint="eastAsia" w:eastAsia="黑体"/>
          <w:b/>
          <w:i/>
          <w:color w:val="auto"/>
          <w:sz w:val="18"/>
          <w:szCs w:val="18"/>
          <w:vertAlign w:val="subscript"/>
        </w:rPr>
        <w:t xml:space="preserve"> </w:t>
      </w:r>
      <w:r>
        <w:rPr>
          <w:rFonts w:eastAsia="黑体"/>
          <w:b/>
          <w:i/>
          <w:color w:val="auto"/>
          <w:sz w:val="18"/>
          <w:szCs w:val="18"/>
          <w:vertAlign w:val="subscript"/>
        </w:rPr>
        <w:t xml:space="preserve"> </w:t>
      </w:r>
      <w:r>
        <w:rPr>
          <w:rFonts w:eastAsia="黑体"/>
          <w:color w:val="auto"/>
          <w:sz w:val="18"/>
          <w:szCs w:val="18"/>
        </w:rPr>
        <w:t xml:space="preserve"> 单位为kPa</w:t>
      </w:r>
    </w:p>
    <w:tbl>
      <w:tblPr>
        <w:tblStyle w:val="36"/>
        <w:tblW w:w="91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490"/>
        <w:gridCol w:w="1161"/>
        <w:gridCol w:w="1074"/>
        <w:gridCol w:w="1231"/>
        <w:gridCol w:w="1134"/>
        <w:gridCol w:w="1134"/>
        <w:gridCol w:w="992"/>
      </w:tblGrid>
      <w:tr w14:paraId="2CE96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3" w:hRule="atLeast"/>
          <w:jc w:val="center"/>
        </w:trPr>
        <w:tc>
          <w:tcPr>
            <w:tcW w:w="978" w:type="dxa"/>
            <w:vMerge w:val="restart"/>
            <w:tcBorders>
              <w:top w:val="single" w:color="auto" w:sz="12" w:space="0"/>
              <w:bottom w:val="single" w:color="auto" w:sz="6" w:space="0"/>
              <w:tl2br w:val="nil"/>
            </w:tcBorders>
          </w:tcPr>
          <w:p w14:paraId="0B97F6D1">
            <w:pPr>
              <w:adjustRightInd w:val="0"/>
              <w:snapToGrid w:val="0"/>
              <w:spacing w:line="240" w:lineRule="atLeast"/>
              <w:jc w:val="left"/>
              <w:rPr>
                <w:color w:val="auto"/>
                <w:sz w:val="18"/>
                <w:szCs w:val="18"/>
              </w:rPr>
            </w:pPr>
            <w:r>
              <w:rPr>
                <w:color w:val="auto"/>
                <w:sz w:val="18"/>
                <w:szCs w:val="18"/>
              </w:rPr>
              <w:t xml:space="preserve">               </w:t>
            </w:r>
          </w:p>
          <w:p w14:paraId="75044DA3">
            <w:pPr>
              <w:adjustRightInd w:val="0"/>
              <w:snapToGrid w:val="0"/>
              <w:spacing w:line="240" w:lineRule="atLeast"/>
              <w:jc w:val="left"/>
              <w:rPr>
                <w:color w:val="auto"/>
                <w:sz w:val="18"/>
                <w:szCs w:val="18"/>
              </w:rPr>
            </w:pPr>
            <w:r>
              <w:rPr>
                <w:color w:val="auto"/>
                <w:spacing w:val="-8"/>
                <w:sz w:val="18"/>
                <w:szCs w:val="18"/>
              </w:rPr>
              <w:t>岩石类别</w:t>
            </w:r>
            <w:r>
              <w:rPr>
                <w:color w:val="auto"/>
                <w:sz w:val="15"/>
                <w:szCs w:val="15"/>
              </w:rPr>
              <w:t xml:space="preserve">    </w:t>
            </w:r>
            <w:r>
              <w:rPr>
                <w:color w:val="auto"/>
                <w:sz w:val="18"/>
                <w:szCs w:val="18"/>
              </w:rPr>
              <w:t xml:space="preserve">  </w:t>
            </w:r>
          </w:p>
        </w:tc>
        <w:tc>
          <w:tcPr>
            <w:tcW w:w="1490" w:type="dxa"/>
            <w:vMerge w:val="restart"/>
            <w:tcBorders>
              <w:top w:val="single" w:color="auto" w:sz="12" w:space="0"/>
              <w:bottom w:val="single" w:color="auto" w:sz="6" w:space="0"/>
              <w:tl2br w:val="nil"/>
            </w:tcBorders>
            <w:vAlign w:val="center"/>
          </w:tcPr>
          <w:p w14:paraId="4B6361DE">
            <w:pPr>
              <w:adjustRightInd w:val="0"/>
              <w:snapToGrid w:val="0"/>
              <w:spacing w:line="220" w:lineRule="exact"/>
              <w:rPr>
                <w:color w:val="auto"/>
                <w:spacing w:val="-8"/>
                <w:sz w:val="18"/>
                <w:szCs w:val="18"/>
              </w:rPr>
            </w:pPr>
            <w:r>
              <w:rPr>
                <w:rFonts w:hint="eastAsia"/>
                <w:color w:val="auto"/>
                <w:spacing w:val="-8"/>
                <w:sz w:val="18"/>
                <w:szCs w:val="18"/>
              </w:rPr>
              <w:t>饱和</w:t>
            </w:r>
            <w:r>
              <w:rPr>
                <w:color w:val="auto"/>
                <w:sz w:val="18"/>
                <w:szCs w:val="18"/>
              </w:rPr>
              <w:t>单轴抗压</w:t>
            </w:r>
            <w:r>
              <w:rPr>
                <w:color w:val="auto"/>
                <w:spacing w:val="-8"/>
                <w:sz w:val="18"/>
                <w:szCs w:val="18"/>
              </w:rPr>
              <w:t>强度标准值（MPa）</w:t>
            </w:r>
          </w:p>
        </w:tc>
        <w:tc>
          <w:tcPr>
            <w:tcW w:w="2235" w:type="dxa"/>
            <w:gridSpan w:val="2"/>
            <w:vAlign w:val="center"/>
          </w:tcPr>
          <w:p w14:paraId="0262DEB9">
            <w:pPr>
              <w:adjustRightInd w:val="0"/>
              <w:snapToGrid w:val="0"/>
              <w:spacing w:line="240" w:lineRule="atLeast"/>
              <w:jc w:val="center"/>
              <w:rPr>
                <w:color w:val="auto"/>
                <w:sz w:val="18"/>
                <w:szCs w:val="18"/>
              </w:rPr>
            </w:pPr>
            <w:r>
              <w:rPr>
                <w:color w:val="auto"/>
                <w:sz w:val="18"/>
                <w:szCs w:val="18"/>
              </w:rPr>
              <w:t>强风化</w:t>
            </w:r>
          </w:p>
        </w:tc>
        <w:tc>
          <w:tcPr>
            <w:tcW w:w="2365" w:type="dxa"/>
            <w:gridSpan w:val="2"/>
            <w:vAlign w:val="center"/>
          </w:tcPr>
          <w:p w14:paraId="21570F9B">
            <w:pPr>
              <w:adjustRightInd w:val="0"/>
              <w:snapToGrid w:val="0"/>
              <w:spacing w:line="240" w:lineRule="atLeast"/>
              <w:jc w:val="center"/>
              <w:rPr>
                <w:color w:val="auto"/>
                <w:sz w:val="18"/>
                <w:szCs w:val="18"/>
              </w:rPr>
            </w:pPr>
            <w:r>
              <w:rPr>
                <w:color w:val="auto"/>
                <w:sz w:val="18"/>
                <w:szCs w:val="18"/>
              </w:rPr>
              <w:t>中风化</w:t>
            </w:r>
          </w:p>
        </w:tc>
        <w:tc>
          <w:tcPr>
            <w:tcW w:w="2126" w:type="dxa"/>
            <w:gridSpan w:val="2"/>
            <w:vAlign w:val="center"/>
          </w:tcPr>
          <w:p w14:paraId="4723D328">
            <w:pPr>
              <w:adjustRightInd w:val="0"/>
              <w:snapToGrid w:val="0"/>
              <w:spacing w:line="240" w:lineRule="atLeast"/>
              <w:jc w:val="center"/>
              <w:rPr>
                <w:color w:val="auto"/>
                <w:sz w:val="18"/>
                <w:szCs w:val="18"/>
              </w:rPr>
            </w:pPr>
            <w:r>
              <w:rPr>
                <w:color w:val="auto"/>
                <w:sz w:val="18"/>
                <w:szCs w:val="18"/>
              </w:rPr>
              <w:t>微风化</w:t>
            </w:r>
          </w:p>
        </w:tc>
      </w:tr>
      <w:tr w14:paraId="11B64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978" w:type="dxa"/>
            <w:vMerge w:val="continue"/>
            <w:tcBorders>
              <w:top w:val="single" w:color="auto" w:sz="6" w:space="0"/>
              <w:bottom w:val="single" w:color="auto" w:sz="6" w:space="0"/>
            </w:tcBorders>
          </w:tcPr>
          <w:p w14:paraId="1B1944EA">
            <w:pPr>
              <w:adjustRightInd w:val="0"/>
              <w:snapToGrid w:val="0"/>
              <w:spacing w:line="300" w:lineRule="atLeast"/>
              <w:rPr>
                <w:color w:val="auto"/>
                <w:sz w:val="18"/>
                <w:szCs w:val="18"/>
              </w:rPr>
            </w:pPr>
          </w:p>
        </w:tc>
        <w:tc>
          <w:tcPr>
            <w:tcW w:w="1490" w:type="dxa"/>
            <w:vMerge w:val="continue"/>
            <w:tcBorders>
              <w:top w:val="single" w:color="auto" w:sz="6" w:space="0"/>
              <w:bottom w:val="single" w:color="auto" w:sz="6" w:space="0"/>
            </w:tcBorders>
          </w:tcPr>
          <w:p w14:paraId="6B19886D">
            <w:pPr>
              <w:adjustRightInd w:val="0"/>
              <w:snapToGrid w:val="0"/>
              <w:spacing w:line="300" w:lineRule="atLeast"/>
              <w:rPr>
                <w:color w:val="auto"/>
                <w:sz w:val="18"/>
                <w:szCs w:val="18"/>
              </w:rPr>
            </w:pPr>
          </w:p>
        </w:tc>
        <w:tc>
          <w:tcPr>
            <w:tcW w:w="1161" w:type="dxa"/>
            <w:vAlign w:val="center"/>
          </w:tcPr>
          <w:p w14:paraId="1256F745">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pa</w:t>
            </w:r>
          </w:p>
        </w:tc>
        <w:tc>
          <w:tcPr>
            <w:tcW w:w="1074" w:type="dxa"/>
            <w:vAlign w:val="center"/>
          </w:tcPr>
          <w:p w14:paraId="09A4A893">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s</w:t>
            </w:r>
            <w:r>
              <w:rPr>
                <w:i/>
                <w:color w:val="auto"/>
                <w:sz w:val="18"/>
                <w:szCs w:val="18"/>
                <w:vertAlign w:val="subscript"/>
              </w:rPr>
              <w:t>i</w:t>
            </w:r>
            <w:r>
              <w:rPr>
                <w:iCs/>
                <w:color w:val="auto"/>
                <w:sz w:val="18"/>
                <w:szCs w:val="18"/>
                <w:vertAlign w:val="subscript"/>
              </w:rPr>
              <w:t>a</w:t>
            </w:r>
          </w:p>
        </w:tc>
        <w:tc>
          <w:tcPr>
            <w:tcW w:w="1231" w:type="dxa"/>
            <w:vAlign w:val="center"/>
          </w:tcPr>
          <w:p w14:paraId="7B4EED0D">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pa</w:t>
            </w:r>
          </w:p>
        </w:tc>
        <w:tc>
          <w:tcPr>
            <w:tcW w:w="1134" w:type="dxa"/>
            <w:vAlign w:val="center"/>
          </w:tcPr>
          <w:p w14:paraId="4614805C">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s</w:t>
            </w:r>
            <w:r>
              <w:rPr>
                <w:i/>
                <w:color w:val="auto"/>
                <w:sz w:val="18"/>
                <w:szCs w:val="18"/>
                <w:vertAlign w:val="subscript"/>
              </w:rPr>
              <w:t>i</w:t>
            </w:r>
            <w:r>
              <w:rPr>
                <w:iCs/>
                <w:color w:val="auto"/>
                <w:sz w:val="18"/>
                <w:szCs w:val="18"/>
                <w:vertAlign w:val="subscript"/>
              </w:rPr>
              <w:t>a</w:t>
            </w:r>
          </w:p>
        </w:tc>
        <w:tc>
          <w:tcPr>
            <w:tcW w:w="1134" w:type="dxa"/>
            <w:vAlign w:val="center"/>
          </w:tcPr>
          <w:p w14:paraId="25EE9D84">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pa</w:t>
            </w:r>
          </w:p>
        </w:tc>
        <w:tc>
          <w:tcPr>
            <w:tcW w:w="992" w:type="dxa"/>
            <w:vAlign w:val="center"/>
          </w:tcPr>
          <w:p w14:paraId="736BADD3">
            <w:pPr>
              <w:adjustRightInd w:val="0"/>
              <w:snapToGrid w:val="0"/>
              <w:spacing w:line="300" w:lineRule="atLeast"/>
              <w:jc w:val="center"/>
              <w:rPr>
                <w:color w:val="auto"/>
                <w:sz w:val="18"/>
                <w:szCs w:val="18"/>
              </w:rPr>
            </w:pPr>
            <w:r>
              <w:rPr>
                <w:i/>
                <w:color w:val="auto"/>
                <w:sz w:val="18"/>
                <w:szCs w:val="18"/>
              </w:rPr>
              <w:t>q</w:t>
            </w:r>
            <w:r>
              <w:rPr>
                <w:iCs/>
                <w:color w:val="auto"/>
                <w:sz w:val="18"/>
                <w:szCs w:val="18"/>
                <w:vertAlign w:val="subscript"/>
              </w:rPr>
              <w:t>s</w:t>
            </w:r>
            <w:r>
              <w:rPr>
                <w:i/>
                <w:color w:val="auto"/>
                <w:sz w:val="18"/>
                <w:szCs w:val="18"/>
                <w:vertAlign w:val="subscript"/>
              </w:rPr>
              <w:t>i</w:t>
            </w:r>
            <w:r>
              <w:rPr>
                <w:iCs/>
                <w:color w:val="auto"/>
                <w:sz w:val="18"/>
                <w:szCs w:val="18"/>
                <w:vertAlign w:val="subscript"/>
              </w:rPr>
              <w:t>a</w:t>
            </w:r>
          </w:p>
        </w:tc>
      </w:tr>
      <w:tr w14:paraId="63C21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8" w:type="dxa"/>
            <w:tcBorders>
              <w:top w:val="single" w:color="auto" w:sz="6" w:space="0"/>
              <w:right w:val="single" w:color="auto" w:sz="4" w:space="0"/>
            </w:tcBorders>
            <w:vAlign w:val="center"/>
          </w:tcPr>
          <w:p w14:paraId="5FD79B9B">
            <w:pPr>
              <w:adjustRightInd w:val="0"/>
              <w:snapToGrid w:val="0"/>
              <w:spacing w:line="300" w:lineRule="atLeast"/>
              <w:jc w:val="center"/>
              <w:rPr>
                <w:color w:val="auto"/>
                <w:sz w:val="18"/>
                <w:szCs w:val="18"/>
              </w:rPr>
            </w:pPr>
            <w:r>
              <w:rPr>
                <w:color w:val="auto"/>
                <w:sz w:val="18"/>
                <w:szCs w:val="18"/>
              </w:rPr>
              <w:t>坚硬岩</w:t>
            </w:r>
          </w:p>
        </w:tc>
        <w:tc>
          <w:tcPr>
            <w:tcW w:w="1490" w:type="dxa"/>
            <w:tcBorders>
              <w:top w:val="single" w:color="auto" w:sz="6" w:space="0"/>
              <w:left w:val="single" w:color="auto" w:sz="4" w:space="0"/>
            </w:tcBorders>
            <w:vAlign w:val="center"/>
          </w:tcPr>
          <w:p w14:paraId="436DD169">
            <w:pPr>
              <w:adjustRightInd w:val="0"/>
              <w:snapToGrid w:val="0"/>
              <w:spacing w:line="300" w:lineRule="atLeast"/>
              <w:jc w:val="center"/>
              <w:rPr>
                <w:color w:val="auto"/>
                <w:sz w:val="18"/>
                <w:szCs w:val="18"/>
              </w:rPr>
            </w:pPr>
            <w:r>
              <w:rPr>
                <w:i/>
                <w:color w:val="auto"/>
                <w:sz w:val="18"/>
                <w:szCs w:val="18"/>
              </w:rPr>
              <w:t>f</w:t>
            </w:r>
            <w:r>
              <w:rPr>
                <w:color w:val="auto"/>
                <w:sz w:val="18"/>
                <w:szCs w:val="18"/>
                <w:vertAlign w:val="subscript"/>
              </w:rPr>
              <w:t>rk</w:t>
            </w:r>
            <w:r>
              <w:rPr>
                <w:color w:val="auto"/>
                <w:sz w:val="18"/>
                <w:szCs w:val="18"/>
              </w:rPr>
              <w:t>＞60</w:t>
            </w:r>
          </w:p>
        </w:tc>
        <w:tc>
          <w:tcPr>
            <w:tcW w:w="1161" w:type="dxa"/>
            <w:vAlign w:val="center"/>
          </w:tcPr>
          <w:p w14:paraId="09B4D1A8">
            <w:pPr>
              <w:adjustRightInd w:val="0"/>
              <w:snapToGrid w:val="0"/>
              <w:spacing w:line="300" w:lineRule="atLeast"/>
              <w:ind w:left="15" w:leftChars="-36" w:right="-76" w:rightChars="-36" w:hanging="91" w:hangingChars="51"/>
              <w:jc w:val="center"/>
              <w:rPr>
                <w:color w:val="auto"/>
                <w:sz w:val="18"/>
                <w:szCs w:val="18"/>
              </w:rPr>
            </w:pPr>
            <w:r>
              <w:rPr>
                <w:color w:val="auto"/>
                <w:sz w:val="18"/>
                <w:szCs w:val="18"/>
              </w:rPr>
              <w:t>1800～2600</w:t>
            </w:r>
          </w:p>
        </w:tc>
        <w:tc>
          <w:tcPr>
            <w:tcW w:w="1074" w:type="dxa"/>
            <w:vAlign w:val="center"/>
          </w:tcPr>
          <w:p w14:paraId="5B015100">
            <w:pPr>
              <w:adjustRightInd w:val="0"/>
              <w:snapToGrid w:val="0"/>
              <w:spacing w:line="300" w:lineRule="atLeast"/>
              <w:ind w:left="15" w:leftChars="-36" w:right="-76" w:rightChars="-36" w:hanging="91" w:hangingChars="51"/>
              <w:jc w:val="center"/>
              <w:rPr>
                <w:color w:val="auto"/>
                <w:sz w:val="18"/>
                <w:szCs w:val="18"/>
              </w:rPr>
            </w:pPr>
            <w:r>
              <w:rPr>
                <w:color w:val="auto"/>
                <w:sz w:val="18"/>
                <w:szCs w:val="18"/>
              </w:rPr>
              <w:t>1</w:t>
            </w:r>
            <w:r>
              <w:rPr>
                <w:rFonts w:hint="eastAsia"/>
                <w:color w:val="auto"/>
                <w:sz w:val="18"/>
                <w:szCs w:val="18"/>
              </w:rPr>
              <w:t>0</w:t>
            </w:r>
            <w:r>
              <w:rPr>
                <w:color w:val="auto"/>
                <w:sz w:val="18"/>
                <w:szCs w:val="18"/>
              </w:rPr>
              <w:t>0～170</w:t>
            </w:r>
          </w:p>
        </w:tc>
        <w:tc>
          <w:tcPr>
            <w:tcW w:w="1231" w:type="dxa"/>
            <w:vAlign w:val="center"/>
          </w:tcPr>
          <w:p w14:paraId="3832C77B">
            <w:pPr>
              <w:adjustRightInd w:val="0"/>
              <w:snapToGrid w:val="0"/>
              <w:ind w:left="15" w:leftChars="-36" w:right="-76" w:rightChars="-36" w:hanging="91" w:hangingChars="51"/>
              <w:jc w:val="center"/>
              <w:rPr>
                <w:color w:val="auto"/>
                <w:sz w:val="18"/>
                <w:szCs w:val="18"/>
              </w:rPr>
            </w:pPr>
            <w:r>
              <w:rPr>
                <w:color w:val="auto"/>
                <w:sz w:val="18"/>
                <w:szCs w:val="18"/>
              </w:rPr>
              <w:t>6000～1</w:t>
            </w:r>
            <w:r>
              <w:rPr>
                <w:rFonts w:hint="eastAsia"/>
                <w:color w:val="auto"/>
                <w:sz w:val="18"/>
                <w:szCs w:val="18"/>
              </w:rPr>
              <w:t>5</w:t>
            </w:r>
            <w:r>
              <w:rPr>
                <w:color w:val="auto"/>
                <w:sz w:val="18"/>
                <w:szCs w:val="18"/>
              </w:rPr>
              <w:t>000</w:t>
            </w:r>
          </w:p>
        </w:tc>
        <w:tc>
          <w:tcPr>
            <w:tcW w:w="1134" w:type="dxa"/>
            <w:vAlign w:val="center"/>
          </w:tcPr>
          <w:p w14:paraId="72CC10AE">
            <w:pPr>
              <w:adjustRightInd w:val="0"/>
              <w:snapToGrid w:val="0"/>
              <w:ind w:left="15" w:leftChars="-36" w:right="-76" w:rightChars="-36" w:hanging="91" w:hangingChars="51"/>
              <w:jc w:val="center"/>
              <w:rPr>
                <w:color w:val="auto"/>
                <w:sz w:val="18"/>
                <w:szCs w:val="18"/>
              </w:rPr>
            </w:pPr>
            <w:r>
              <w:rPr>
                <w:rFonts w:hint="eastAsia"/>
                <w:color w:val="auto"/>
                <w:sz w:val="18"/>
                <w:szCs w:val="18"/>
              </w:rPr>
              <w:t>35</w:t>
            </w:r>
            <w:r>
              <w:rPr>
                <w:color w:val="auto"/>
                <w:sz w:val="18"/>
                <w:szCs w:val="18"/>
              </w:rPr>
              <w:t>0～</w:t>
            </w:r>
            <w:r>
              <w:rPr>
                <w:rFonts w:hint="eastAsia"/>
                <w:color w:val="auto"/>
                <w:sz w:val="18"/>
                <w:szCs w:val="18"/>
              </w:rPr>
              <w:t>9</w:t>
            </w:r>
            <w:r>
              <w:rPr>
                <w:color w:val="auto"/>
                <w:sz w:val="18"/>
                <w:szCs w:val="18"/>
              </w:rPr>
              <w:t>00</w:t>
            </w:r>
          </w:p>
        </w:tc>
        <w:tc>
          <w:tcPr>
            <w:tcW w:w="1134" w:type="dxa"/>
            <w:vAlign w:val="center"/>
          </w:tcPr>
          <w:p w14:paraId="7D2FA6C4">
            <w:pPr>
              <w:adjustRightInd w:val="0"/>
              <w:snapToGrid w:val="0"/>
              <w:ind w:left="15" w:leftChars="-36" w:right="-76" w:rightChars="-36" w:hanging="91" w:hangingChars="51"/>
              <w:jc w:val="center"/>
              <w:rPr>
                <w:color w:val="auto"/>
                <w:sz w:val="18"/>
                <w:szCs w:val="18"/>
              </w:rPr>
            </w:pPr>
            <w:r>
              <w:rPr>
                <w:color w:val="auto"/>
                <w:sz w:val="18"/>
                <w:szCs w:val="18"/>
              </w:rPr>
              <w:t>12000～24000</w:t>
            </w:r>
          </w:p>
        </w:tc>
        <w:tc>
          <w:tcPr>
            <w:tcW w:w="992" w:type="dxa"/>
            <w:vAlign w:val="center"/>
          </w:tcPr>
          <w:p w14:paraId="421B01EC">
            <w:pPr>
              <w:adjustRightInd w:val="0"/>
              <w:snapToGrid w:val="0"/>
              <w:ind w:left="15" w:leftChars="-36" w:right="-76" w:rightChars="-36" w:hanging="91" w:hangingChars="51"/>
              <w:jc w:val="center"/>
              <w:rPr>
                <w:color w:val="auto"/>
                <w:sz w:val="18"/>
                <w:szCs w:val="18"/>
              </w:rPr>
            </w:pPr>
            <w:r>
              <w:rPr>
                <w:rFonts w:hint="eastAsia"/>
                <w:color w:val="auto"/>
                <w:sz w:val="18"/>
                <w:szCs w:val="18"/>
              </w:rPr>
              <w:t>8</w:t>
            </w:r>
            <w:r>
              <w:rPr>
                <w:color w:val="auto"/>
                <w:sz w:val="18"/>
                <w:szCs w:val="18"/>
              </w:rPr>
              <w:t>00～</w:t>
            </w:r>
            <w:r>
              <w:rPr>
                <w:rFonts w:hint="eastAsia"/>
                <w:color w:val="auto"/>
                <w:sz w:val="18"/>
                <w:szCs w:val="18"/>
              </w:rPr>
              <w:t>15</w:t>
            </w:r>
            <w:r>
              <w:rPr>
                <w:color w:val="auto"/>
                <w:sz w:val="18"/>
                <w:szCs w:val="18"/>
              </w:rPr>
              <w:t>00</w:t>
            </w:r>
          </w:p>
        </w:tc>
      </w:tr>
      <w:tr w14:paraId="5E6AC8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8" w:type="dxa"/>
            <w:tcBorders>
              <w:right w:val="single" w:color="auto" w:sz="4" w:space="0"/>
            </w:tcBorders>
            <w:vAlign w:val="center"/>
          </w:tcPr>
          <w:p w14:paraId="516EDE97">
            <w:pPr>
              <w:adjustRightInd w:val="0"/>
              <w:snapToGrid w:val="0"/>
              <w:spacing w:line="300" w:lineRule="atLeast"/>
              <w:jc w:val="center"/>
              <w:rPr>
                <w:color w:val="auto"/>
                <w:sz w:val="18"/>
                <w:szCs w:val="18"/>
              </w:rPr>
            </w:pPr>
            <w:r>
              <w:rPr>
                <w:color w:val="auto"/>
                <w:sz w:val="18"/>
                <w:szCs w:val="18"/>
              </w:rPr>
              <w:t>较硬岩</w:t>
            </w:r>
          </w:p>
        </w:tc>
        <w:tc>
          <w:tcPr>
            <w:tcW w:w="1490" w:type="dxa"/>
            <w:tcBorders>
              <w:left w:val="single" w:color="auto" w:sz="4" w:space="0"/>
            </w:tcBorders>
            <w:vAlign w:val="center"/>
          </w:tcPr>
          <w:p w14:paraId="2852BB5D">
            <w:pPr>
              <w:adjustRightInd w:val="0"/>
              <w:snapToGrid w:val="0"/>
              <w:spacing w:line="300" w:lineRule="atLeast"/>
              <w:jc w:val="center"/>
              <w:rPr>
                <w:color w:val="auto"/>
                <w:sz w:val="18"/>
                <w:szCs w:val="18"/>
              </w:rPr>
            </w:pPr>
            <w:r>
              <w:rPr>
                <w:color w:val="auto"/>
                <w:sz w:val="18"/>
                <w:szCs w:val="18"/>
              </w:rPr>
              <w:t>30＜</w:t>
            </w:r>
            <w:r>
              <w:rPr>
                <w:i/>
                <w:color w:val="auto"/>
                <w:sz w:val="18"/>
                <w:szCs w:val="18"/>
              </w:rPr>
              <w:t>f</w:t>
            </w:r>
            <w:r>
              <w:rPr>
                <w:color w:val="auto"/>
                <w:sz w:val="18"/>
                <w:szCs w:val="18"/>
                <w:vertAlign w:val="subscript"/>
              </w:rPr>
              <w:t>rk</w:t>
            </w:r>
            <w:r>
              <w:rPr>
                <w:color w:val="auto"/>
                <w:sz w:val="18"/>
                <w:szCs w:val="18"/>
              </w:rPr>
              <w:t>≤60</w:t>
            </w:r>
          </w:p>
        </w:tc>
        <w:tc>
          <w:tcPr>
            <w:tcW w:w="1161" w:type="dxa"/>
            <w:vAlign w:val="center"/>
          </w:tcPr>
          <w:p w14:paraId="36B8E8C3">
            <w:pPr>
              <w:adjustRightInd w:val="0"/>
              <w:snapToGrid w:val="0"/>
              <w:spacing w:line="300" w:lineRule="atLeast"/>
              <w:ind w:left="15" w:leftChars="-36" w:right="-76" w:rightChars="-36" w:hanging="91" w:hangingChars="51"/>
              <w:jc w:val="center"/>
              <w:rPr>
                <w:color w:val="auto"/>
                <w:sz w:val="18"/>
                <w:szCs w:val="18"/>
              </w:rPr>
            </w:pPr>
            <w:r>
              <w:rPr>
                <w:color w:val="auto"/>
                <w:sz w:val="18"/>
                <w:szCs w:val="18"/>
              </w:rPr>
              <w:t>1000～2000</w:t>
            </w:r>
          </w:p>
        </w:tc>
        <w:tc>
          <w:tcPr>
            <w:tcW w:w="1074" w:type="dxa"/>
            <w:vAlign w:val="center"/>
          </w:tcPr>
          <w:p w14:paraId="2C9B8AF8">
            <w:pPr>
              <w:adjustRightInd w:val="0"/>
              <w:snapToGrid w:val="0"/>
              <w:spacing w:line="300" w:lineRule="atLeast"/>
              <w:ind w:left="15" w:leftChars="-36" w:right="-76" w:rightChars="-36" w:hanging="91" w:hangingChars="51"/>
              <w:jc w:val="center"/>
              <w:rPr>
                <w:color w:val="auto"/>
                <w:sz w:val="18"/>
                <w:szCs w:val="18"/>
              </w:rPr>
            </w:pPr>
            <w:r>
              <w:rPr>
                <w:rFonts w:hint="eastAsia"/>
                <w:color w:val="auto"/>
                <w:sz w:val="18"/>
                <w:szCs w:val="18"/>
              </w:rPr>
              <w:t>9</w:t>
            </w:r>
            <w:r>
              <w:rPr>
                <w:color w:val="auto"/>
                <w:sz w:val="18"/>
                <w:szCs w:val="18"/>
              </w:rPr>
              <w:t>0～130</w:t>
            </w:r>
          </w:p>
        </w:tc>
        <w:tc>
          <w:tcPr>
            <w:tcW w:w="1231" w:type="dxa"/>
            <w:vAlign w:val="center"/>
          </w:tcPr>
          <w:p w14:paraId="0390CCA9">
            <w:pPr>
              <w:adjustRightInd w:val="0"/>
              <w:snapToGrid w:val="0"/>
              <w:ind w:left="15" w:leftChars="-36" w:right="-76" w:rightChars="-36" w:hanging="91" w:hangingChars="51"/>
              <w:jc w:val="center"/>
              <w:rPr>
                <w:color w:val="auto"/>
                <w:sz w:val="18"/>
                <w:szCs w:val="18"/>
              </w:rPr>
            </w:pPr>
            <w:r>
              <w:rPr>
                <w:color w:val="auto"/>
                <w:sz w:val="18"/>
                <w:szCs w:val="18"/>
              </w:rPr>
              <w:t>4500～</w:t>
            </w:r>
            <w:r>
              <w:rPr>
                <w:rFonts w:hint="eastAsia"/>
                <w:color w:val="auto"/>
                <w:sz w:val="18"/>
                <w:szCs w:val="18"/>
              </w:rPr>
              <w:t>12</w:t>
            </w:r>
            <w:r>
              <w:rPr>
                <w:color w:val="auto"/>
                <w:sz w:val="18"/>
                <w:szCs w:val="18"/>
              </w:rPr>
              <w:t>000</w:t>
            </w:r>
          </w:p>
        </w:tc>
        <w:tc>
          <w:tcPr>
            <w:tcW w:w="1134" w:type="dxa"/>
            <w:vAlign w:val="center"/>
          </w:tcPr>
          <w:p w14:paraId="581C4032">
            <w:pPr>
              <w:adjustRightInd w:val="0"/>
              <w:snapToGrid w:val="0"/>
              <w:ind w:left="15" w:leftChars="-36" w:right="-76" w:rightChars="-36" w:hanging="91" w:hangingChars="51"/>
              <w:jc w:val="center"/>
              <w:rPr>
                <w:color w:val="auto"/>
                <w:sz w:val="18"/>
                <w:szCs w:val="18"/>
              </w:rPr>
            </w:pPr>
            <w:r>
              <w:rPr>
                <w:rFonts w:hint="eastAsia"/>
                <w:color w:val="auto"/>
                <w:sz w:val="18"/>
                <w:szCs w:val="18"/>
              </w:rPr>
              <w:t>27</w:t>
            </w:r>
            <w:r>
              <w:rPr>
                <w:color w:val="auto"/>
                <w:sz w:val="18"/>
                <w:szCs w:val="18"/>
              </w:rPr>
              <w:t>0～</w:t>
            </w:r>
            <w:r>
              <w:rPr>
                <w:rFonts w:hint="eastAsia"/>
                <w:color w:val="auto"/>
                <w:sz w:val="18"/>
                <w:szCs w:val="18"/>
              </w:rPr>
              <w:t>8</w:t>
            </w:r>
            <w:r>
              <w:rPr>
                <w:color w:val="auto"/>
                <w:sz w:val="18"/>
                <w:szCs w:val="18"/>
              </w:rPr>
              <w:t>00</w:t>
            </w:r>
          </w:p>
        </w:tc>
        <w:tc>
          <w:tcPr>
            <w:tcW w:w="1134" w:type="dxa"/>
            <w:vAlign w:val="center"/>
          </w:tcPr>
          <w:p w14:paraId="5EF35D3F">
            <w:pPr>
              <w:adjustRightInd w:val="0"/>
              <w:snapToGrid w:val="0"/>
              <w:ind w:left="15" w:leftChars="-36" w:right="-76" w:rightChars="-36" w:hanging="91" w:hangingChars="51"/>
              <w:jc w:val="center"/>
              <w:rPr>
                <w:color w:val="auto"/>
                <w:sz w:val="18"/>
                <w:szCs w:val="18"/>
              </w:rPr>
            </w:pPr>
            <w:r>
              <w:rPr>
                <w:rFonts w:hint="eastAsia"/>
                <w:color w:val="auto"/>
                <w:sz w:val="18"/>
                <w:szCs w:val="18"/>
              </w:rPr>
              <w:t>8</w:t>
            </w:r>
            <w:r>
              <w:rPr>
                <w:color w:val="auto"/>
                <w:sz w:val="18"/>
                <w:szCs w:val="18"/>
              </w:rPr>
              <w:t>000～18000</w:t>
            </w:r>
          </w:p>
        </w:tc>
        <w:tc>
          <w:tcPr>
            <w:tcW w:w="992" w:type="dxa"/>
            <w:vAlign w:val="center"/>
          </w:tcPr>
          <w:p w14:paraId="3DDE38ED">
            <w:pPr>
              <w:adjustRightInd w:val="0"/>
              <w:snapToGrid w:val="0"/>
              <w:ind w:left="15" w:leftChars="-36" w:right="-76" w:rightChars="-36" w:hanging="91" w:hangingChars="51"/>
              <w:jc w:val="center"/>
              <w:rPr>
                <w:color w:val="auto"/>
                <w:sz w:val="18"/>
                <w:szCs w:val="18"/>
              </w:rPr>
            </w:pPr>
            <w:r>
              <w:rPr>
                <w:rFonts w:hint="eastAsia"/>
                <w:color w:val="auto"/>
                <w:sz w:val="18"/>
                <w:szCs w:val="18"/>
              </w:rPr>
              <w:t>48</w:t>
            </w:r>
            <w:r>
              <w:rPr>
                <w:color w:val="auto"/>
                <w:sz w:val="18"/>
                <w:szCs w:val="18"/>
              </w:rPr>
              <w:t>0～1</w:t>
            </w:r>
            <w:r>
              <w:rPr>
                <w:rFonts w:hint="eastAsia"/>
                <w:color w:val="auto"/>
                <w:sz w:val="18"/>
                <w:szCs w:val="18"/>
              </w:rPr>
              <w:t>1</w:t>
            </w:r>
            <w:r>
              <w:rPr>
                <w:color w:val="auto"/>
                <w:sz w:val="18"/>
                <w:szCs w:val="18"/>
              </w:rPr>
              <w:t>00</w:t>
            </w:r>
          </w:p>
        </w:tc>
      </w:tr>
      <w:tr w14:paraId="7F39C1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8" w:type="dxa"/>
            <w:tcBorders>
              <w:right w:val="single" w:color="auto" w:sz="4" w:space="0"/>
            </w:tcBorders>
            <w:vAlign w:val="center"/>
          </w:tcPr>
          <w:p w14:paraId="17B358C4">
            <w:pPr>
              <w:adjustRightInd w:val="0"/>
              <w:snapToGrid w:val="0"/>
              <w:jc w:val="center"/>
              <w:rPr>
                <w:color w:val="auto"/>
                <w:sz w:val="18"/>
                <w:szCs w:val="18"/>
              </w:rPr>
            </w:pPr>
            <w:r>
              <w:rPr>
                <w:color w:val="auto"/>
                <w:sz w:val="18"/>
                <w:szCs w:val="18"/>
              </w:rPr>
              <w:t>较软岩</w:t>
            </w:r>
          </w:p>
        </w:tc>
        <w:tc>
          <w:tcPr>
            <w:tcW w:w="1490" w:type="dxa"/>
            <w:tcBorders>
              <w:left w:val="single" w:color="auto" w:sz="4" w:space="0"/>
            </w:tcBorders>
            <w:vAlign w:val="center"/>
          </w:tcPr>
          <w:p w14:paraId="1B633D78">
            <w:pPr>
              <w:adjustRightInd w:val="0"/>
              <w:snapToGrid w:val="0"/>
              <w:spacing w:line="300" w:lineRule="atLeast"/>
              <w:jc w:val="center"/>
              <w:rPr>
                <w:color w:val="auto"/>
                <w:sz w:val="18"/>
                <w:szCs w:val="18"/>
              </w:rPr>
            </w:pPr>
            <w:r>
              <w:rPr>
                <w:color w:val="auto"/>
                <w:sz w:val="18"/>
                <w:szCs w:val="18"/>
              </w:rPr>
              <w:t>15＜</w:t>
            </w:r>
            <w:r>
              <w:rPr>
                <w:i/>
                <w:color w:val="auto"/>
                <w:sz w:val="18"/>
                <w:szCs w:val="18"/>
              </w:rPr>
              <w:t>f</w:t>
            </w:r>
            <w:r>
              <w:rPr>
                <w:color w:val="auto"/>
                <w:sz w:val="18"/>
                <w:szCs w:val="18"/>
                <w:vertAlign w:val="subscript"/>
              </w:rPr>
              <w:t>rk</w:t>
            </w:r>
            <w:r>
              <w:rPr>
                <w:color w:val="auto"/>
                <w:sz w:val="18"/>
                <w:szCs w:val="18"/>
              </w:rPr>
              <w:t>≤30</w:t>
            </w:r>
          </w:p>
        </w:tc>
        <w:tc>
          <w:tcPr>
            <w:tcW w:w="1161" w:type="dxa"/>
            <w:vAlign w:val="center"/>
          </w:tcPr>
          <w:p w14:paraId="6EEDB6E8">
            <w:pPr>
              <w:adjustRightInd w:val="0"/>
              <w:snapToGrid w:val="0"/>
              <w:ind w:left="15" w:leftChars="-36" w:right="-76" w:rightChars="-36" w:hanging="91" w:hangingChars="51"/>
              <w:jc w:val="center"/>
              <w:rPr>
                <w:color w:val="auto"/>
                <w:sz w:val="18"/>
                <w:szCs w:val="18"/>
              </w:rPr>
            </w:pPr>
            <w:r>
              <w:rPr>
                <w:color w:val="auto"/>
                <w:sz w:val="18"/>
                <w:szCs w:val="18"/>
              </w:rPr>
              <w:t>800～1600</w:t>
            </w:r>
          </w:p>
        </w:tc>
        <w:tc>
          <w:tcPr>
            <w:tcW w:w="1074" w:type="dxa"/>
            <w:vAlign w:val="center"/>
          </w:tcPr>
          <w:p w14:paraId="3E08B5C8">
            <w:pPr>
              <w:adjustRightInd w:val="0"/>
              <w:snapToGrid w:val="0"/>
              <w:ind w:left="15" w:leftChars="-36" w:right="-76" w:rightChars="-36" w:hanging="91" w:hangingChars="51"/>
              <w:jc w:val="center"/>
              <w:rPr>
                <w:color w:val="auto"/>
                <w:sz w:val="18"/>
                <w:szCs w:val="18"/>
              </w:rPr>
            </w:pPr>
            <w:r>
              <w:rPr>
                <w:rFonts w:hint="eastAsia"/>
                <w:color w:val="auto"/>
                <w:sz w:val="18"/>
                <w:szCs w:val="18"/>
              </w:rPr>
              <w:t>8</w:t>
            </w:r>
            <w:r>
              <w:rPr>
                <w:color w:val="auto"/>
                <w:sz w:val="18"/>
                <w:szCs w:val="18"/>
              </w:rPr>
              <w:t>0～110</w:t>
            </w:r>
          </w:p>
        </w:tc>
        <w:tc>
          <w:tcPr>
            <w:tcW w:w="1231" w:type="dxa"/>
            <w:vAlign w:val="center"/>
          </w:tcPr>
          <w:p w14:paraId="6A3149BA">
            <w:pPr>
              <w:adjustRightInd w:val="0"/>
              <w:snapToGrid w:val="0"/>
              <w:ind w:left="15" w:leftChars="-36" w:right="-76" w:rightChars="-36" w:hanging="91" w:hangingChars="51"/>
              <w:jc w:val="center"/>
              <w:rPr>
                <w:color w:val="auto"/>
                <w:sz w:val="18"/>
                <w:szCs w:val="18"/>
              </w:rPr>
            </w:pPr>
            <w:r>
              <w:rPr>
                <w:rFonts w:hint="eastAsia"/>
                <w:color w:val="auto"/>
                <w:sz w:val="18"/>
                <w:szCs w:val="18"/>
              </w:rPr>
              <w:t>30</w:t>
            </w:r>
            <w:r>
              <w:rPr>
                <w:color w:val="auto"/>
                <w:sz w:val="18"/>
                <w:szCs w:val="18"/>
              </w:rPr>
              <w:t>00～6000</w:t>
            </w:r>
          </w:p>
        </w:tc>
        <w:tc>
          <w:tcPr>
            <w:tcW w:w="1134" w:type="dxa"/>
            <w:vAlign w:val="center"/>
          </w:tcPr>
          <w:p w14:paraId="40688992">
            <w:pPr>
              <w:adjustRightInd w:val="0"/>
              <w:snapToGrid w:val="0"/>
              <w:ind w:left="15" w:leftChars="-36" w:right="-76" w:rightChars="-36" w:hanging="91" w:hangingChars="51"/>
              <w:jc w:val="center"/>
              <w:rPr>
                <w:color w:val="auto"/>
                <w:sz w:val="18"/>
                <w:szCs w:val="18"/>
              </w:rPr>
            </w:pPr>
            <w:r>
              <w:rPr>
                <w:rFonts w:hint="eastAsia"/>
                <w:color w:val="auto"/>
                <w:sz w:val="18"/>
                <w:szCs w:val="18"/>
              </w:rPr>
              <w:t>18</w:t>
            </w:r>
            <w:r>
              <w:rPr>
                <w:color w:val="auto"/>
                <w:sz w:val="18"/>
                <w:szCs w:val="18"/>
              </w:rPr>
              <w:t>0～</w:t>
            </w:r>
            <w:r>
              <w:rPr>
                <w:rFonts w:hint="eastAsia"/>
                <w:color w:val="auto"/>
                <w:sz w:val="18"/>
                <w:szCs w:val="18"/>
              </w:rPr>
              <w:t>35</w:t>
            </w:r>
            <w:r>
              <w:rPr>
                <w:color w:val="auto"/>
                <w:sz w:val="18"/>
                <w:szCs w:val="18"/>
              </w:rPr>
              <w:t>0</w:t>
            </w:r>
          </w:p>
        </w:tc>
        <w:tc>
          <w:tcPr>
            <w:tcW w:w="1134" w:type="dxa"/>
            <w:vAlign w:val="center"/>
          </w:tcPr>
          <w:p w14:paraId="531495FE">
            <w:pPr>
              <w:adjustRightInd w:val="0"/>
              <w:snapToGrid w:val="0"/>
              <w:ind w:left="15" w:leftChars="-36" w:right="-76" w:rightChars="-36" w:hanging="91" w:hangingChars="51"/>
              <w:jc w:val="center"/>
              <w:rPr>
                <w:color w:val="auto"/>
                <w:sz w:val="18"/>
                <w:szCs w:val="18"/>
              </w:rPr>
            </w:pPr>
            <w:r>
              <w:rPr>
                <w:rFonts w:hint="eastAsia"/>
                <w:color w:val="auto"/>
                <w:sz w:val="18"/>
                <w:szCs w:val="18"/>
              </w:rPr>
              <w:t>5</w:t>
            </w:r>
            <w:r>
              <w:rPr>
                <w:color w:val="auto"/>
                <w:sz w:val="18"/>
                <w:szCs w:val="18"/>
              </w:rPr>
              <w:t>000～9000</w:t>
            </w:r>
          </w:p>
        </w:tc>
        <w:tc>
          <w:tcPr>
            <w:tcW w:w="992" w:type="dxa"/>
            <w:vAlign w:val="center"/>
          </w:tcPr>
          <w:p w14:paraId="4DF58E10">
            <w:pPr>
              <w:adjustRightInd w:val="0"/>
              <w:snapToGrid w:val="0"/>
              <w:ind w:left="15" w:leftChars="-36" w:right="-76" w:rightChars="-36" w:hanging="91" w:hangingChars="51"/>
              <w:jc w:val="center"/>
              <w:rPr>
                <w:color w:val="auto"/>
                <w:sz w:val="18"/>
                <w:szCs w:val="18"/>
              </w:rPr>
            </w:pPr>
            <w:r>
              <w:rPr>
                <w:rFonts w:hint="eastAsia"/>
                <w:color w:val="auto"/>
                <w:sz w:val="18"/>
                <w:szCs w:val="18"/>
              </w:rPr>
              <w:t>25</w:t>
            </w:r>
            <w:r>
              <w:rPr>
                <w:color w:val="auto"/>
                <w:sz w:val="18"/>
                <w:szCs w:val="18"/>
              </w:rPr>
              <w:t>0～</w:t>
            </w:r>
            <w:r>
              <w:rPr>
                <w:rFonts w:hint="eastAsia"/>
                <w:color w:val="auto"/>
                <w:sz w:val="18"/>
                <w:szCs w:val="18"/>
              </w:rPr>
              <w:t>6</w:t>
            </w:r>
            <w:r>
              <w:rPr>
                <w:color w:val="auto"/>
                <w:sz w:val="18"/>
                <w:szCs w:val="18"/>
              </w:rPr>
              <w:t>00</w:t>
            </w:r>
          </w:p>
        </w:tc>
      </w:tr>
      <w:tr w14:paraId="2F6AAD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8" w:type="dxa"/>
            <w:tcBorders>
              <w:right w:val="single" w:color="auto" w:sz="4" w:space="0"/>
            </w:tcBorders>
            <w:vAlign w:val="center"/>
          </w:tcPr>
          <w:p w14:paraId="66AA4033">
            <w:pPr>
              <w:adjustRightInd w:val="0"/>
              <w:snapToGrid w:val="0"/>
              <w:jc w:val="center"/>
              <w:rPr>
                <w:color w:val="auto"/>
                <w:sz w:val="18"/>
                <w:szCs w:val="18"/>
              </w:rPr>
            </w:pPr>
            <w:r>
              <w:rPr>
                <w:color w:val="auto"/>
                <w:sz w:val="18"/>
                <w:szCs w:val="18"/>
              </w:rPr>
              <w:t>软  岩</w:t>
            </w:r>
          </w:p>
        </w:tc>
        <w:tc>
          <w:tcPr>
            <w:tcW w:w="1490" w:type="dxa"/>
            <w:tcBorders>
              <w:left w:val="single" w:color="auto" w:sz="4" w:space="0"/>
            </w:tcBorders>
            <w:vAlign w:val="center"/>
          </w:tcPr>
          <w:p w14:paraId="640ABA42">
            <w:pPr>
              <w:adjustRightInd w:val="0"/>
              <w:snapToGrid w:val="0"/>
              <w:spacing w:line="300" w:lineRule="atLeast"/>
              <w:jc w:val="center"/>
              <w:rPr>
                <w:color w:val="auto"/>
                <w:sz w:val="18"/>
                <w:szCs w:val="18"/>
              </w:rPr>
            </w:pPr>
            <w:r>
              <w:rPr>
                <w:color w:val="auto"/>
                <w:sz w:val="18"/>
                <w:szCs w:val="18"/>
              </w:rPr>
              <w:t>5＜</w:t>
            </w:r>
            <w:r>
              <w:rPr>
                <w:i/>
                <w:color w:val="auto"/>
                <w:sz w:val="18"/>
                <w:szCs w:val="18"/>
              </w:rPr>
              <w:t>f</w:t>
            </w:r>
            <w:r>
              <w:rPr>
                <w:color w:val="auto"/>
                <w:sz w:val="18"/>
                <w:szCs w:val="18"/>
                <w:vertAlign w:val="subscript"/>
              </w:rPr>
              <w:t>rk</w:t>
            </w:r>
            <w:r>
              <w:rPr>
                <w:color w:val="auto"/>
                <w:sz w:val="18"/>
                <w:szCs w:val="18"/>
              </w:rPr>
              <w:t>≤15</w:t>
            </w:r>
          </w:p>
        </w:tc>
        <w:tc>
          <w:tcPr>
            <w:tcW w:w="1161" w:type="dxa"/>
            <w:vAlign w:val="center"/>
          </w:tcPr>
          <w:p w14:paraId="17D37D3B">
            <w:pPr>
              <w:adjustRightInd w:val="0"/>
              <w:snapToGrid w:val="0"/>
              <w:ind w:left="15" w:leftChars="-36" w:right="-76" w:rightChars="-36" w:hanging="91" w:hangingChars="51"/>
              <w:jc w:val="center"/>
              <w:rPr>
                <w:color w:val="auto"/>
                <w:sz w:val="18"/>
                <w:szCs w:val="18"/>
              </w:rPr>
            </w:pPr>
            <w:r>
              <w:rPr>
                <w:color w:val="auto"/>
                <w:sz w:val="18"/>
                <w:szCs w:val="18"/>
              </w:rPr>
              <w:t>600～1200</w:t>
            </w:r>
          </w:p>
        </w:tc>
        <w:tc>
          <w:tcPr>
            <w:tcW w:w="1074" w:type="dxa"/>
            <w:vAlign w:val="center"/>
          </w:tcPr>
          <w:p w14:paraId="5D61DEE4">
            <w:pPr>
              <w:adjustRightInd w:val="0"/>
              <w:snapToGrid w:val="0"/>
              <w:ind w:left="15" w:leftChars="-36" w:right="-76" w:rightChars="-36" w:hanging="91" w:hangingChars="51"/>
              <w:jc w:val="center"/>
              <w:rPr>
                <w:color w:val="auto"/>
                <w:sz w:val="18"/>
                <w:szCs w:val="18"/>
              </w:rPr>
            </w:pPr>
            <w:r>
              <w:rPr>
                <w:color w:val="auto"/>
                <w:sz w:val="18"/>
                <w:szCs w:val="18"/>
              </w:rPr>
              <w:t>5</w:t>
            </w:r>
            <w:r>
              <w:rPr>
                <w:rFonts w:hint="eastAsia"/>
                <w:color w:val="auto"/>
                <w:sz w:val="18"/>
                <w:szCs w:val="18"/>
              </w:rPr>
              <w:t>0</w:t>
            </w:r>
            <w:r>
              <w:rPr>
                <w:color w:val="auto"/>
                <w:sz w:val="18"/>
                <w:szCs w:val="18"/>
              </w:rPr>
              <w:t>～90</w:t>
            </w:r>
          </w:p>
        </w:tc>
        <w:tc>
          <w:tcPr>
            <w:tcW w:w="1231" w:type="dxa"/>
            <w:vAlign w:val="center"/>
          </w:tcPr>
          <w:p w14:paraId="471CF37F">
            <w:pPr>
              <w:adjustRightInd w:val="0"/>
              <w:snapToGrid w:val="0"/>
              <w:ind w:left="15" w:leftChars="-36" w:right="-76" w:rightChars="-36" w:hanging="91" w:hangingChars="51"/>
              <w:jc w:val="center"/>
              <w:rPr>
                <w:color w:val="auto"/>
                <w:sz w:val="18"/>
                <w:szCs w:val="18"/>
              </w:rPr>
            </w:pPr>
            <w:r>
              <w:rPr>
                <w:color w:val="auto"/>
                <w:sz w:val="18"/>
                <w:szCs w:val="18"/>
              </w:rPr>
              <w:t>1500～3500</w:t>
            </w:r>
          </w:p>
        </w:tc>
        <w:tc>
          <w:tcPr>
            <w:tcW w:w="1134" w:type="dxa"/>
            <w:vAlign w:val="center"/>
          </w:tcPr>
          <w:p w14:paraId="34455726">
            <w:pPr>
              <w:adjustRightInd w:val="0"/>
              <w:snapToGrid w:val="0"/>
              <w:ind w:left="15" w:leftChars="-36" w:right="-76" w:rightChars="-36" w:hanging="91" w:hangingChars="51"/>
              <w:jc w:val="center"/>
              <w:rPr>
                <w:color w:val="auto"/>
                <w:sz w:val="18"/>
                <w:szCs w:val="18"/>
              </w:rPr>
            </w:pPr>
            <w:r>
              <w:rPr>
                <w:color w:val="auto"/>
                <w:sz w:val="18"/>
                <w:szCs w:val="18"/>
              </w:rPr>
              <w:t>100～200</w:t>
            </w:r>
          </w:p>
        </w:tc>
        <w:tc>
          <w:tcPr>
            <w:tcW w:w="1134" w:type="dxa"/>
            <w:vAlign w:val="center"/>
          </w:tcPr>
          <w:p w14:paraId="7962CEF5">
            <w:pPr>
              <w:adjustRightInd w:val="0"/>
              <w:snapToGrid w:val="0"/>
              <w:ind w:left="15" w:leftChars="-36" w:right="-76" w:rightChars="-36" w:hanging="91" w:hangingChars="51"/>
              <w:jc w:val="center"/>
              <w:rPr>
                <w:color w:val="auto"/>
                <w:sz w:val="18"/>
                <w:szCs w:val="18"/>
              </w:rPr>
            </w:pPr>
            <w:r>
              <w:rPr>
                <w:color w:val="auto"/>
                <w:sz w:val="18"/>
                <w:szCs w:val="18"/>
              </w:rPr>
              <w:t>3000～</w:t>
            </w:r>
            <w:r>
              <w:rPr>
                <w:rFonts w:hint="eastAsia"/>
                <w:color w:val="auto"/>
                <w:sz w:val="18"/>
                <w:szCs w:val="18"/>
              </w:rPr>
              <w:t>50</w:t>
            </w:r>
            <w:r>
              <w:rPr>
                <w:color w:val="auto"/>
                <w:sz w:val="18"/>
                <w:szCs w:val="18"/>
              </w:rPr>
              <w:t>00</w:t>
            </w:r>
          </w:p>
        </w:tc>
        <w:tc>
          <w:tcPr>
            <w:tcW w:w="992" w:type="dxa"/>
            <w:vAlign w:val="center"/>
          </w:tcPr>
          <w:p w14:paraId="58C5FA79">
            <w:pPr>
              <w:adjustRightInd w:val="0"/>
              <w:snapToGrid w:val="0"/>
              <w:ind w:left="15" w:leftChars="-36" w:right="-76" w:rightChars="-36" w:hanging="91" w:hangingChars="51"/>
              <w:jc w:val="center"/>
              <w:rPr>
                <w:color w:val="auto"/>
                <w:sz w:val="18"/>
                <w:szCs w:val="18"/>
              </w:rPr>
            </w:pPr>
            <w:r>
              <w:rPr>
                <w:rFonts w:hint="eastAsia"/>
                <w:color w:val="auto"/>
                <w:sz w:val="18"/>
                <w:szCs w:val="18"/>
              </w:rPr>
              <w:t>15</w:t>
            </w:r>
            <w:r>
              <w:rPr>
                <w:color w:val="auto"/>
                <w:sz w:val="18"/>
                <w:szCs w:val="18"/>
              </w:rPr>
              <w:t>0～3</w:t>
            </w:r>
            <w:r>
              <w:rPr>
                <w:rFonts w:hint="eastAsia"/>
                <w:color w:val="auto"/>
                <w:sz w:val="18"/>
                <w:szCs w:val="18"/>
              </w:rPr>
              <w:t>0</w:t>
            </w:r>
            <w:r>
              <w:rPr>
                <w:color w:val="auto"/>
                <w:sz w:val="18"/>
                <w:szCs w:val="18"/>
              </w:rPr>
              <w:t>0</w:t>
            </w:r>
          </w:p>
        </w:tc>
      </w:tr>
      <w:tr w14:paraId="35586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78" w:type="dxa"/>
            <w:tcBorders>
              <w:right w:val="single" w:color="auto" w:sz="4" w:space="0"/>
            </w:tcBorders>
            <w:vAlign w:val="center"/>
          </w:tcPr>
          <w:p w14:paraId="550B5789">
            <w:pPr>
              <w:adjustRightInd w:val="0"/>
              <w:snapToGrid w:val="0"/>
              <w:jc w:val="center"/>
              <w:rPr>
                <w:color w:val="auto"/>
                <w:sz w:val="18"/>
                <w:szCs w:val="18"/>
              </w:rPr>
            </w:pPr>
            <w:r>
              <w:rPr>
                <w:color w:val="auto"/>
                <w:sz w:val="18"/>
                <w:szCs w:val="18"/>
              </w:rPr>
              <w:t>极软岩</w:t>
            </w:r>
          </w:p>
        </w:tc>
        <w:tc>
          <w:tcPr>
            <w:tcW w:w="1490" w:type="dxa"/>
            <w:tcBorders>
              <w:left w:val="single" w:color="auto" w:sz="4" w:space="0"/>
            </w:tcBorders>
            <w:vAlign w:val="center"/>
          </w:tcPr>
          <w:p w14:paraId="10882D31">
            <w:pPr>
              <w:adjustRightInd w:val="0"/>
              <w:snapToGrid w:val="0"/>
              <w:jc w:val="center"/>
              <w:rPr>
                <w:color w:val="auto"/>
                <w:sz w:val="18"/>
                <w:szCs w:val="18"/>
              </w:rPr>
            </w:pPr>
            <w:r>
              <w:rPr>
                <w:i/>
                <w:color w:val="auto"/>
                <w:sz w:val="18"/>
                <w:szCs w:val="18"/>
              </w:rPr>
              <w:t>f</w:t>
            </w:r>
            <w:r>
              <w:rPr>
                <w:color w:val="auto"/>
                <w:sz w:val="18"/>
                <w:szCs w:val="18"/>
                <w:vertAlign w:val="subscript"/>
              </w:rPr>
              <w:t>rk</w:t>
            </w:r>
            <w:r>
              <w:rPr>
                <w:color w:val="auto"/>
                <w:sz w:val="18"/>
                <w:szCs w:val="18"/>
              </w:rPr>
              <w:t>≤5</w:t>
            </w:r>
          </w:p>
        </w:tc>
        <w:tc>
          <w:tcPr>
            <w:tcW w:w="1161" w:type="dxa"/>
            <w:vAlign w:val="center"/>
          </w:tcPr>
          <w:p w14:paraId="47E99965">
            <w:pPr>
              <w:adjustRightInd w:val="0"/>
              <w:snapToGrid w:val="0"/>
              <w:ind w:left="15" w:leftChars="-36" w:right="-76" w:rightChars="-36" w:hanging="91" w:hangingChars="51"/>
              <w:jc w:val="center"/>
              <w:rPr>
                <w:color w:val="auto"/>
                <w:sz w:val="18"/>
                <w:szCs w:val="18"/>
              </w:rPr>
            </w:pPr>
            <w:r>
              <w:rPr>
                <w:color w:val="auto"/>
                <w:sz w:val="18"/>
                <w:szCs w:val="18"/>
              </w:rPr>
              <w:t>500～900</w:t>
            </w:r>
          </w:p>
        </w:tc>
        <w:tc>
          <w:tcPr>
            <w:tcW w:w="1074" w:type="dxa"/>
            <w:vAlign w:val="center"/>
          </w:tcPr>
          <w:p w14:paraId="5DD098F2">
            <w:pPr>
              <w:adjustRightInd w:val="0"/>
              <w:snapToGrid w:val="0"/>
              <w:ind w:left="15" w:leftChars="-36" w:right="-76" w:rightChars="-36" w:hanging="91" w:hangingChars="51"/>
              <w:jc w:val="center"/>
              <w:rPr>
                <w:color w:val="auto"/>
                <w:sz w:val="18"/>
                <w:szCs w:val="18"/>
              </w:rPr>
            </w:pPr>
            <w:r>
              <w:rPr>
                <w:color w:val="auto"/>
                <w:sz w:val="18"/>
                <w:szCs w:val="18"/>
              </w:rPr>
              <w:t>40～</w:t>
            </w:r>
            <w:r>
              <w:rPr>
                <w:rFonts w:hint="eastAsia"/>
                <w:color w:val="auto"/>
                <w:sz w:val="18"/>
                <w:szCs w:val="18"/>
              </w:rPr>
              <w:t>8</w:t>
            </w:r>
            <w:r>
              <w:rPr>
                <w:color w:val="auto"/>
                <w:sz w:val="18"/>
                <w:szCs w:val="18"/>
              </w:rPr>
              <w:t>0</w:t>
            </w:r>
          </w:p>
        </w:tc>
        <w:tc>
          <w:tcPr>
            <w:tcW w:w="1231" w:type="dxa"/>
            <w:vAlign w:val="center"/>
          </w:tcPr>
          <w:p w14:paraId="3897E29D">
            <w:pPr>
              <w:adjustRightInd w:val="0"/>
              <w:snapToGrid w:val="0"/>
              <w:ind w:left="15" w:leftChars="-36" w:right="-76" w:rightChars="-36" w:hanging="91" w:hangingChars="51"/>
              <w:jc w:val="center"/>
              <w:rPr>
                <w:color w:val="auto"/>
                <w:sz w:val="18"/>
                <w:szCs w:val="18"/>
              </w:rPr>
            </w:pPr>
            <w:r>
              <w:rPr>
                <w:color w:val="auto"/>
                <w:sz w:val="18"/>
                <w:szCs w:val="18"/>
              </w:rPr>
              <w:t>1000～</w:t>
            </w:r>
            <w:r>
              <w:rPr>
                <w:rFonts w:hint="eastAsia"/>
                <w:color w:val="auto"/>
                <w:sz w:val="18"/>
                <w:szCs w:val="18"/>
              </w:rPr>
              <w:t>2</w:t>
            </w:r>
            <w:r>
              <w:rPr>
                <w:color w:val="auto"/>
                <w:sz w:val="18"/>
                <w:szCs w:val="18"/>
              </w:rPr>
              <w:t>000</w:t>
            </w:r>
          </w:p>
        </w:tc>
        <w:tc>
          <w:tcPr>
            <w:tcW w:w="1134" w:type="dxa"/>
            <w:vAlign w:val="center"/>
          </w:tcPr>
          <w:p w14:paraId="2ED29200">
            <w:pPr>
              <w:adjustRightInd w:val="0"/>
              <w:snapToGrid w:val="0"/>
              <w:ind w:left="15" w:leftChars="-36" w:right="-76" w:rightChars="-36" w:hanging="91" w:hangingChars="51"/>
              <w:jc w:val="center"/>
              <w:rPr>
                <w:color w:val="auto"/>
                <w:sz w:val="18"/>
                <w:szCs w:val="18"/>
              </w:rPr>
            </w:pPr>
            <w:r>
              <w:rPr>
                <w:color w:val="auto"/>
                <w:sz w:val="18"/>
                <w:szCs w:val="18"/>
              </w:rPr>
              <w:t>70～</w:t>
            </w:r>
            <w:r>
              <w:rPr>
                <w:rFonts w:hint="eastAsia"/>
                <w:color w:val="auto"/>
                <w:sz w:val="18"/>
                <w:szCs w:val="18"/>
              </w:rPr>
              <w:t>1</w:t>
            </w:r>
            <w:r>
              <w:rPr>
                <w:color w:val="auto"/>
                <w:sz w:val="18"/>
                <w:szCs w:val="18"/>
              </w:rPr>
              <w:t>20</w:t>
            </w:r>
          </w:p>
        </w:tc>
        <w:tc>
          <w:tcPr>
            <w:tcW w:w="1134" w:type="dxa"/>
            <w:vAlign w:val="center"/>
          </w:tcPr>
          <w:p w14:paraId="01C59311">
            <w:pPr>
              <w:adjustRightInd w:val="0"/>
              <w:snapToGrid w:val="0"/>
              <w:ind w:left="15" w:leftChars="-36" w:right="-76" w:rightChars="-36" w:hanging="91" w:hangingChars="51"/>
              <w:jc w:val="center"/>
              <w:rPr>
                <w:color w:val="auto"/>
                <w:sz w:val="18"/>
                <w:szCs w:val="18"/>
              </w:rPr>
            </w:pPr>
            <w:r>
              <w:rPr>
                <w:color w:val="auto"/>
                <w:sz w:val="18"/>
                <w:szCs w:val="18"/>
              </w:rPr>
              <w:t>2000～3000</w:t>
            </w:r>
          </w:p>
        </w:tc>
        <w:tc>
          <w:tcPr>
            <w:tcW w:w="992" w:type="dxa"/>
            <w:vAlign w:val="center"/>
          </w:tcPr>
          <w:p w14:paraId="13EFF62B">
            <w:pPr>
              <w:adjustRightInd w:val="0"/>
              <w:snapToGrid w:val="0"/>
              <w:ind w:left="15" w:leftChars="-36" w:right="-76" w:rightChars="-36" w:hanging="91" w:hangingChars="51"/>
              <w:jc w:val="center"/>
              <w:rPr>
                <w:color w:val="auto"/>
                <w:sz w:val="18"/>
                <w:szCs w:val="18"/>
              </w:rPr>
            </w:pPr>
            <w:r>
              <w:rPr>
                <w:rFonts w:hint="eastAsia"/>
                <w:color w:val="auto"/>
                <w:sz w:val="18"/>
                <w:szCs w:val="18"/>
              </w:rPr>
              <w:t>12</w:t>
            </w:r>
            <w:r>
              <w:rPr>
                <w:color w:val="auto"/>
                <w:sz w:val="18"/>
                <w:szCs w:val="18"/>
              </w:rPr>
              <w:t>0～</w:t>
            </w:r>
            <w:r>
              <w:rPr>
                <w:rFonts w:hint="eastAsia"/>
                <w:color w:val="auto"/>
                <w:sz w:val="18"/>
                <w:szCs w:val="18"/>
              </w:rPr>
              <w:t>18</w:t>
            </w:r>
            <w:r>
              <w:rPr>
                <w:color w:val="auto"/>
                <w:sz w:val="18"/>
                <w:szCs w:val="18"/>
              </w:rPr>
              <w:t>0</w:t>
            </w:r>
          </w:p>
        </w:tc>
      </w:tr>
      <w:tr w14:paraId="635D7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8" w:hRule="atLeast"/>
          <w:jc w:val="center"/>
        </w:trPr>
        <w:tc>
          <w:tcPr>
            <w:tcW w:w="9194" w:type="dxa"/>
            <w:gridSpan w:val="8"/>
            <w:vAlign w:val="center"/>
          </w:tcPr>
          <w:p w14:paraId="4BA0260F">
            <w:pPr>
              <w:adjustRightInd w:val="0"/>
              <w:snapToGrid w:val="0"/>
              <w:spacing w:line="240" w:lineRule="atLeast"/>
              <w:rPr>
                <w:color w:val="auto"/>
                <w:sz w:val="18"/>
                <w:szCs w:val="18"/>
              </w:rPr>
            </w:pPr>
            <w:r>
              <w:rPr>
                <w:color w:val="auto"/>
                <w:sz w:val="18"/>
                <w:szCs w:val="18"/>
              </w:rPr>
              <w:t>注1：孔底沉渣厚度应小于50mm。</w:t>
            </w:r>
          </w:p>
          <w:p w14:paraId="5D430813">
            <w:pPr>
              <w:adjustRightInd w:val="0"/>
              <w:snapToGrid w:val="0"/>
              <w:spacing w:line="240" w:lineRule="atLeast"/>
              <w:rPr>
                <w:color w:val="auto"/>
                <w:sz w:val="18"/>
                <w:szCs w:val="18"/>
              </w:rPr>
            </w:pPr>
            <w:r>
              <w:rPr>
                <w:color w:val="auto"/>
                <w:sz w:val="18"/>
                <w:szCs w:val="18"/>
              </w:rPr>
              <w:t>注</w:t>
            </w:r>
            <w:r>
              <w:rPr>
                <w:bCs/>
                <w:color w:val="auto"/>
                <w:sz w:val="18"/>
                <w:szCs w:val="18"/>
              </w:rPr>
              <w:t>2：</w:t>
            </w:r>
            <w:r>
              <w:rPr>
                <w:color w:val="auto"/>
                <w:sz w:val="18"/>
                <w:szCs w:val="18"/>
              </w:rPr>
              <w:t>对强风化岩，当含泥量（风化残积土）较少时，取表中上限值，反之取下限值。</w:t>
            </w:r>
          </w:p>
          <w:p w14:paraId="5EBCE5F0">
            <w:pPr>
              <w:adjustRightInd w:val="0"/>
              <w:snapToGrid w:val="0"/>
              <w:spacing w:line="240" w:lineRule="atLeast"/>
              <w:rPr>
                <w:color w:val="auto"/>
                <w:sz w:val="18"/>
                <w:szCs w:val="18"/>
              </w:rPr>
            </w:pPr>
            <w:r>
              <w:rPr>
                <w:color w:val="auto"/>
                <w:sz w:val="18"/>
                <w:szCs w:val="18"/>
              </w:rPr>
              <w:t>注</w:t>
            </w:r>
            <w:r>
              <w:rPr>
                <w:bCs/>
                <w:color w:val="auto"/>
                <w:sz w:val="18"/>
                <w:szCs w:val="18"/>
              </w:rPr>
              <w:t>3：</w:t>
            </w:r>
            <w:r>
              <w:rPr>
                <w:color w:val="auto"/>
                <w:sz w:val="18"/>
                <w:szCs w:val="18"/>
              </w:rPr>
              <w:t>对完整、较完整的中风化、微风化岩石，取表中上限值；较破碎的中风化、微风化岩石，取表中下限值。</w:t>
            </w:r>
          </w:p>
          <w:p w14:paraId="4A528534">
            <w:pPr>
              <w:adjustRightInd w:val="0"/>
              <w:snapToGrid w:val="0"/>
              <w:spacing w:line="240" w:lineRule="atLeast"/>
              <w:ind w:left="464" w:hanging="464" w:hangingChars="258"/>
              <w:rPr>
                <w:color w:val="auto"/>
                <w:sz w:val="18"/>
                <w:szCs w:val="18"/>
              </w:rPr>
            </w:pPr>
            <w:r>
              <w:rPr>
                <w:color w:val="auto"/>
                <w:sz w:val="18"/>
                <w:szCs w:val="18"/>
              </w:rPr>
              <w:t>注</w:t>
            </w:r>
            <w:r>
              <w:rPr>
                <w:bCs/>
                <w:color w:val="auto"/>
                <w:sz w:val="18"/>
                <w:szCs w:val="18"/>
              </w:rPr>
              <w:t>4：</w:t>
            </w:r>
            <w:r>
              <w:rPr>
                <w:color w:val="auto"/>
                <w:sz w:val="18"/>
                <w:szCs w:val="18"/>
              </w:rPr>
              <w:t>对破碎的中、微风化岩石可采用现场试验确定桩端阻力，当无法进行试验时，可在下限值的基础上折减降低使用。</w:t>
            </w:r>
          </w:p>
          <w:p w14:paraId="2F313594">
            <w:pPr>
              <w:adjustRightInd w:val="0"/>
              <w:snapToGrid w:val="0"/>
              <w:spacing w:line="240" w:lineRule="atLeast"/>
              <w:rPr>
                <w:color w:val="auto"/>
                <w:sz w:val="18"/>
                <w:szCs w:val="18"/>
              </w:rPr>
            </w:pPr>
            <w:r>
              <w:rPr>
                <w:color w:val="auto"/>
                <w:sz w:val="18"/>
                <w:szCs w:val="18"/>
              </w:rPr>
              <w:t>注5：嵌岩深度大时，其侧阻力、端阻力取表中较高值；反之取较低值。</w:t>
            </w:r>
          </w:p>
          <w:p w14:paraId="44D7ABFC">
            <w:pPr>
              <w:adjustRightInd w:val="0"/>
              <w:snapToGrid w:val="0"/>
              <w:spacing w:line="240" w:lineRule="atLeast"/>
              <w:rPr>
                <w:color w:val="auto"/>
                <w:sz w:val="18"/>
                <w:szCs w:val="18"/>
              </w:rPr>
            </w:pPr>
            <w:r>
              <w:rPr>
                <w:color w:val="auto"/>
                <w:sz w:val="18"/>
                <w:szCs w:val="18"/>
              </w:rPr>
              <w:t>注6：场地施工条件差，遇水软化的软质岩石，或嵌岩深度较浅时，表中数据应适当降低。</w:t>
            </w:r>
          </w:p>
          <w:p w14:paraId="15F4A6A3">
            <w:pPr>
              <w:adjustRightInd w:val="0"/>
              <w:snapToGrid w:val="0"/>
              <w:spacing w:line="240" w:lineRule="atLeast"/>
              <w:rPr>
                <w:color w:val="auto"/>
                <w:sz w:val="18"/>
                <w:szCs w:val="18"/>
              </w:rPr>
            </w:pPr>
            <w:r>
              <w:rPr>
                <w:rFonts w:hint="eastAsia"/>
                <w:color w:val="auto"/>
                <w:sz w:val="18"/>
                <w:szCs w:val="18"/>
              </w:rPr>
              <w:t>注</w:t>
            </w:r>
            <w:r>
              <w:rPr>
                <w:color w:val="auto"/>
                <w:sz w:val="18"/>
                <w:szCs w:val="18"/>
              </w:rPr>
              <w:t>7：岩石的桩端阻力尚应根据本文件第7.2.6条规定及岩层的地质年代、产状、工程经验等综合考虑确定。</w:t>
            </w:r>
          </w:p>
          <w:p w14:paraId="62CE51FA">
            <w:pPr>
              <w:adjustRightInd w:val="0"/>
              <w:snapToGrid w:val="0"/>
              <w:spacing w:line="240" w:lineRule="atLeast"/>
              <w:rPr>
                <w:color w:val="auto"/>
                <w:sz w:val="18"/>
                <w:szCs w:val="18"/>
              </w:rPr>
            </w:pPr>
            <w:r>
              <w:rPr>
                <w:rFonts w:hint="eastAsia"/>
                <w:color w:val="auto"/>
                <w:sz w:val="18"/>
                <w:szCs w:val="18"/>
              </w:rPr>
              <w:t>注8：极软岩取天然状态下单轴抗压强度标准值。</w:t>
            </w:r>
          </w:p>
        </w:tc>
      </w:tr>
    </w:tbl>
    <w:p w14:paraId="0BA9AC6E">
      <w:pPr>
        <w:rPr>
          <w:color w:val="auto"/>
          <w:sz w:val="15"/>
          <w:szCs w:val="15"/>
        </w:rPr>
      </w:pPr>
    </w:p>
    <w:p w14:paraId="08850787">
      <w:pPr>
        <w:widowControl/>
        <w:jc w:val="left"/>
        <w:rPr>
          <w:rFonts w:eastAsia="黑体"/>
          <w:b/>
          <w:color w:val="auto"/>
          <w:spacing w:val="8"/>
          <w:sz w:val="24"/>
        </w:rPr>
      </w:pPr>
      <w:bookmarkStart w:id="123" w:name="_Toc199943665"/>
      <w:r>
        <w:rPr>
          <w:rFonts w:eastAsia="黑体"/>
          <w:b/>
          <w:color w:val="auto"/>
          <w:spacing w:val="8"/>
          <w:sz w:val="24"/>
        </w:rPr>
        <w:br w:type="page"/>
      </w:r>
    </w:p>
    <w:p w14:paraId="0658A523">
      <w:pPr>
        <w:adjustRightInd w:val="0"/>
        <w:snapToGrid w:val="0"/>
        <w:spacing w:line="400" w:lineRule="atLeast"/>
        <w:jc w:val="center"/>
        <w:outlineLvl w:val="0"/>
        <w:rPr>
          <w:rFonts w:eastAsia="黑体"/>
          <w:b/>
          <w:color w:val="auto"/>
          <w:spacing w:val="8"/>
          <w:sz w:val="24"/>
        </w:rPr>
      </w:pPr>
      <w:r>
        <w:rPr>
          <w:rFonts w:eastAsia="黑体"/>
          <w:b/>
          <w:color w:val="auto"/>
          <w:spacing w:val="8"/>
          <w:sz w:val="24"/>
        </w:rPr>
        <w:t>附录G</w:t>
      </w:r>
      <w:bookmarkEnd w:id="123"/>
    </w:p>
    <w:p w14:paraId="005F9AE9">
      <w:pPr>
        <w:adjustRightInd w:val="0"/>
        <w:snapToGrid w:val="0"/>
        <w:spacing w:line="400" w:lineRule="atLeast"/>
        <w:jc w:val="center"/>
        <w:outlineLvl w:val="0"/>
        <w:rPr>
          <w:rFonts w:eastAsia="黑体"/>
          <w:b/>
          <w:color w:val="auto"/>
          <w:spacing w:val="8"/>
          <w:sz w:val="24"/>
        </w:rPr>
      </w:pPr>
      <w:bookmarkStart w:id="124" w:name="_Toc199943666"/>
      <w:r>
        <w:rPr>
          <w:rFonts w:eastAsia="黑体"/>
          <w:b/>
          <w:color w:val="auto"/>
          <w:spacing w:val="8"/>
          <w:sz w:val="24"/>
        </w:rPr>
        <w:t>（资料性）</w:t>
      </w:r>
      <w:bookmarkEnd w:id="124"/>
    </w:p>
    <w:p w14:paraId="41F61F08">
      <w:pPr>
        <w:adjustRightInd w:val="0"/>
        <w:snapToGrid w:val="0"/>
        <w:spacing w:line="400" w:lineRule="atLeast"/>
        <w:jc w:val="center"/>
        <w:outlineLvl w:val="0"/>
        <w:rPr>
          <w:rFonts w:eastAsia="黑体"/>
          <w:b/>
          <w:color w:val="auto"/>
          <w:spacing w:val="8"/>
          <w:sz w:val="24"/>
        </w:rPr>
      </w:pPr>
      <w:bookmarkStart w:id="125" w:name="_Toc199943667"/>
      <w:r>
        <w:rPr>
          <w:rFonts w:eastAsia="黑体"/>
          <w:b/>
          <w:color w:val="auto"/>
          <w:spacing w:val="8"/>
          <w:sz w:val="24"/>
        </w:rPr>
        <w:t>附加应力系数</w:t>
      </w:r>
      <w:r>
        <w:rPr>
          <w:rFonts w:eastAsia="黑体"/>
          <w:b/>
          <w:color w:val="auto"/>
          <w:spacing w:val="8"/>
          <w:position w:val="-6"/>
          <w:sz w:val="24"/>
        </w:rPr>
        <w:object>
          <v:shape id="_x0000_i1683" o:spt="75" type="#_x0000_t75" style="height:11.25pt;width:11.25pt;" o:ole="t" filled="f" o:preferrelative="t" stroked="f" coordsize="21600,21600">
            <v:path/>
            <v:fill on="f" focussize="0,0"/>
            <v:stroke on="f" joinstyle="miter"/>
            <v:imagedata r:id="rId14" o:title=""/>
            <o:lock v:ext="edit" aspectratio="t"/>
            <w10:wrap type="none"/>
            <w10:anchorlock/>
          </v:shape>
          <o:OLEObject Type="Embed" ProgID="Equation.3" ShapeID="_x0000_i1683" DrawAspect="Content" ObjectID="_1468076383" r:id="rId1286">
            <o:LockedField>false</o:LockedField>
          </o:OLEObject>
        </w:object>
      </w:r>
      <w:r>
        <w:rPr>
          <w:rFonts w:eastAsia="黑体"/>
          <w:b/>
          <w:color w:val="auto"/>
          <w:spacing w:val="8"/>
          <w:sz w:val="24"/>
        </w:rPr>
        <w:t>、平均附加应力系数</w:t>
      </w:r>
      <w:bookmarkEnd w:id="125"/>
      <w:r>
        <w:rPr>
          <w:rFonts w:eastAsia="黑体"/>
          <w:b/>
          <w:color w:val="auto"/>
          <w:spacing w:val="8"/>
          <w:position w:val="-6"/>
          <w:sz w:val="24"/>
        </w:rPr>
        <w:object>
          <v:shape id="_x0000_i1684" o:spt="75" type="#_x0000_t75" style="height:12.75pt;width:12pt;" o:ole="t" filled="f" o:preferrelative="t" stroked="f" coordsize="21600,21600">
            <v:path/>
            <v:fill on="f" focussize="0,0"/>
            <v:stroke on="f" joinstyle="miter"/>
            <v:imagedata r:id="rId16" o:title=""/>
            <o:lock v:ext="edit" aspectratio="t"/>
            <w10:wrap type="none"/>
            <w10:anchorlock/>
          </v:shape>
          <o:OLEObject Type="Embed" ProgID="Equation.DSMT4" ShapeID="_x0000_i1684" DrawAspect="Content" ObjectID="_1468076384" r:id="rId1287">
            <o:LockedField>false</o:LockedField>
          </o:OLEObject>
        </w:object>
      </w:r>
    </w:p>
    <w:p w14:paraId="724CE5DA">
      <w:pPr>
        <w:snapToGrid w:val="0"/>
        <w:spacing w:before="312" w:beforeLines="100" w:line="360" w:lineRule="auto"/>
        <w:jc w:val="center"/>
        <w:rPr>
          <w:b/>
          <w:color w:val="auto"/>
        </w:rPr>
      </w:pPr>
      <w:r>
        <w:rPr>
          <w:color w:val="auto"/>
        </w:rPr>
        <w:drawing>
          <wp:inline distT="0" distB="0" distL="0" distR="0">
            <wp:extent cx="895350" cy="1143000"/>
            <wp:effectExtent l="0" t="0" r="0" b="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pic:cNvPicPr>
                      <a:picLocks noChangeAspect="1" noChangeArrowheads="1"/>
                    </pic:cNvPicPr>
                  </pic:nvPicPr>
                  <pic:blipFill>
                    <a:blip r:embed="rId1288" cstate="print">
                      <a:extLst>
                        <a:ext uri="{28A0092B-C50C-407E-A947-70E740481C1C}">
                          <a14:useLocalDpi xmlns:a14="http://schemas.microsoft.com/office/drawing/2010/main" val="0"/>
                        </a:ext>
                      </a:extLst>
                    </a:blip>
                    <a:srcRect/>
                    <a:stretch>
                      <a:fillRect/>
                    </a:stretch>
                  </pic:blipFill>
                  <pic:spPr>
                    <a:xfrm>
                      <a:off x="0" y="0"/>
                      <a:ext cx="895350" cy="1143000"/>
                    </a:xfrm>
                    <a:prstGeom prst="rect">
                      <a:avLst/>
                    </a:prstGeom>
                    <a:noFill/>
                    <a:ln>
                      <a:noFill/>
                    </a:ln>
                  </pic:spPr>
                </pic:pic>
              </a:graphicData>
            </a:graphic>
          </wp:inline>
        </w:drawing>
      </w:r>
    </w:p>
    <w:p w14:paraId="11CF26BF">
      <w:pPr>
        <w:snapToGrid w:val="0"/>
        <w:ind w:left="2"/>
        <w:jc w:val="left"/>
        <w:rPr>
          <w:rFonts w:eastAsia="黑体"/>
          <w:b/>
          <w:bCs/>
          <w:color w:val="auto"/>
          <w:szCs w:val="21"/>
        </w:rPr>
      </w:pPr>
      <w:r>
        <w:rPr>
          <w:rFonts w:eastAsia="黑体"/>
          <w:b/>
          <w:color w:val="auto"/>
          <w:szCs w:val="21"/>
        </w:rPr>
        <w:t xml:space="preserve">G.1  </w:t>
      </w:r>
      <w:r>
        <w:rPr>
          <w:rFonts w:ascii="宋体" w:hAnsi="宋体"/>
          <w:color w:val="auto"/>
          <w:szCs w:val="21"/>
        </w:rPr>
        <w:t>沉降计算时</w:t>
      </w:r>
      <w:r>
        <w:rPr>
          <w:rFonts w:hint="eastAsia" w:ascii="宋体" w:hAnsi="宋体"/>
          <w:color w:val="auto"/>
          <w:szCs w:val="21"/>
        </w:rPr>
        <w:t>，</w:t>
      </w:r>
      <w:r>
        <w:rPr>
          <w:rFonts w:ascii="宋体" w:hAnsi="宋体"/>
          <w:color w:val="auto"/>
          <w:szCs w:val="21"/>
        </w:rPr>
        <w:t>均布和三角形分布</w:t>
      </w:r>
      <w:r>
        <w:rPr>
          <w:rFonts w:hint="eastAsia" w:ascii="宋体" w:hAnsi="宋体"/>
          <w:color w:val="auto"/>
          <w:szCs w:val="21"/>
        </w:rPr>
        <w:t>荷载作用下矩形面积和圆形面积相关计算点</w:t>
      </w:r>
      <w:r>
        <w:rPr>
          <w:rFonts w:ascii="宋体" w:hAnsi="宋体"/>
          <w:color w:val="auto"/>
          <w:szCs w:val="21"/>
        </w:rPr>
        <w:t>的</w:t>
      </w:r>
      <w:r>
        <w:rPr>
          <w:rFonts w:hint="eastAsia" w:ascii="宋体" w:hAnsi="宋体"/>
          <w:color w:val="auto"/>
          <w:szCs w:val="21"/>
        </w:rPr>
        <w:t>附加应力系数和平均附加应力系数</w:t>
      </w:r>
      <w:r>
        <w:rPr>
          <w:rFonts w:ascii="宋体" w:hAnsi="宋体"/>
          <w:color w:val="auto"/>
          <w:szCs w:val="21"/>
        </w:rPr>
        <w:t>可分别按本文件表G.1</w:t>
      </w:r>
      <w:r>
        <w:rPr>
          <w:rFonts w:hint="eastAsia" w:ascii="宋体" w:hAnsi="宋体"/>
          <w:color w:val="auto"/>
          <w:szCs w:val="21"/>
        </w:rPr>
        <w:t>～</w:t>
      </w:r>
      <w:r>
        <w:rPr>
          <w:rFonts w:ascii="宋体" w:hAnsi="宋体"/>
          <w:color w:val="auto"/>
          <w:szCs w:val="21"/>
        </w:rPr>
        <w:t>表</w:t>
      </w:r>
      <w:r>
        <w:rPr>
          <w:rFonts w:hint="eastAsia" w:ascii="宋体" w:hAnsi="宋体"/>
          <w:color w:val="auto"/>
          <w:szCs w:val="21"/>
        </w:rPr>
        <w:t>G</w:t>
      </w:r>
      <w:r>
        <w:rPr>
          <w:rFonts w:ascii="宋体" w:hAnsi="宋体"/>
          <w:color w:val="auto"/>
          <w:szCs w:val="21"/>
        </w:rPr>
        <w:t>.7的规定</w:t>
      </w:r>
      <w:r>
        <w:rPr>
          <w:rFonts w:hint="eastAsia" w:ascii="宋体" w:hAnsi="宋体"/>
          <w:color w:val="auto"/>
          <w:szCs w:val="21"/>
        </w:rPr>
        <w:t>取值。</w:t>
      </w:r>
    </w:p>
    <w:p w14:paraId="343D1D02">
      <w:pPr>
        <w:snapToGrid w:val="0"/>
        <w:ind w:left="2"/>
        <w:jc w:val="center"/>
        <w:rPr>
          <w:rFonts w:eastAsia="黑体"/>
          <w:b/>
          <w:bCs/>
          <w:color w:val="auto"/>
          <w:szCs w:val="21"/>
        </w:rPr>
      </w:pPr>
      <w:r>
        <w:rPr>
          <w:rFonts w:eastAsia="黑体"/>
          <w:b/>
          <w:bCs/>
          <w:color w:val="auto"/>
          <w:szCs w:val="21"/>
        </w:rPr>
        <w:t>表G.1  均布矩形荷载角点下的附加应力系数</w:t>
      </w:r>
      <w:r>
        <w:rPr>
          <w:rFonts w:eastAsia="黑体"/>
          <w:b/>
          <w:bCs/>
          <w:color w:val="auto"/>
          <w:position w:val="-6"/>
          <w:szCs w:val="21"/>
        </w:rPr>
        <w:object>
          <v:shape id="_x0000_i1685" o:spt="75" type="#_x0000_t75" style="height:11.25pt;width:11.25pt;" o:ole="t" filled="f" o:preferrelative="t" stroked="f" coordsize="21600,21600">
            <v:path/>
            <v:fill on="f" focussize="0,0"/>
            <v:stroke on="f" joinstyle="miter"/>
            <v:imagedata r:id="rId1290" o:title=""/>
            <o:lock v:ext="edit" aspectratio="t"/>
            <w10:wrap type="none"/>
            <w10:anchorlock/>
          </v:shape>
          <o:OLEObject Type="Embed" ProgID="Equation.DSMT4" ShapeID="_x0000_i1685" DrawAspect="Content" ObjectID="_1468076385" r:id="rId1289">
            <o:LockedField>false</o:LockedField>
          </o:OLEObject>
        </w:object>
      </w:r>
      <w:r>
        <w:rPr>
          <w:rFonts w:eastAsia="黑体"/>
          <w:b/>
          <w:bCs/>
          <w:color w:val="auto"/>
          <w:szCs w:val="21"/>
        </w:rPr>
        <w:t>（</w:t>
      </w:r>
      <w:r>
        <w:rPr>
          <w:rFonts w:eastAsia="黑体"/>
          <w:b/>
          <w:bCs/>
          <w:i/>
          <w:color w:val="auto"/>
          <w:szCs w:val="21"/>
        </w:rPr>
        <w:t>l</w:t>
      </w:r>
      <w:r>
        <w:rPr>
          <w:rFonts w:eastAsia="黑体"/>
          <w:b/>
          <w:bCs/>
          <w:color w:val="auto"/>
          <w:szCs w:val="21"/>
        </w:rPr>
        <w:t>、</w:t>
      </w:r>
      <w:r>
        <w:rPr>
          <w:rFonts w:eastAsia="黑体"/>
          <w:b/>
          <w:bCs/>
          <w:i/>
          <w:color w:val="auto"/>
          <w:szCs w:val="21"/>
        </w:rPr>
        <w:t>b</w:t>
      </w:r>
      <w:r>
        <w:rPr>
          <w:rFonts w:eastAsia="黑体"/>
          <w:b/>
          <w:bCs/>
          <w:color w:val="auto"/>
          <w:szCs w:val="21"/>
        </w:rPr>
        <w:t>分别为矩形的</w:t>
      </w:r>
    </w:p>
    <w:p w14:paraId="0116DAC0">
      <w:pPr>
        <w:jc w:val="center"/>
        <w:rPr>
          <w:rFonts w:eastAsia="黑体"/>
          <w:b/>
          <w:bCs/>
          <w:color w:val="auto"/>
          <w:szCs w:val="21"/>
        </w:rPr>
      </w:pPr>
      <w:r>
        <w:rPr>
          <w:rFonts w:eastAsia="黑体"/>
          <w:b/>
          <w:bCs/>
          <w:color w:val="auto"/>
          <w:szCs w:val="21"/>
        </w:rPr>
        <w:t>长度、宽度，</w:t>
      </w:r>
      <w:r>
        <w:rPr>
          <w:rFonts w:eastAsia="黑体"/>
          <w:b/>
          <w:bCs/>
          <w:i/>
          <w:color w:val="auto"/>
          <w:szCs w:val="21"/>
        </w:rPr>
        <w:t>z</w:t>
      </w:r>
      <w:r>
        <w:rPr>
          <w:rFonts w:eastAsia="黑体"/>
          <w:b/>
          <w:bCs/>
          <w:color w:val="auto"/>
          <w:szCs w:val="21"/>
        </w:rPr>
        <w:t>为基础底面以下深度）</w:t>
      </w:r>
    </w:p>
    <w:tbl>
      <w:tblPr>
        <w:tblStyle w:val="36"/>
        <w:tblW w:w="92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779"/>
        <w:gridCol w:w="779"/>
        <w:gridCol w:w="780"/>
        <w:gridCol w:w="779"/>
        <w:gridCol w:w="779"/>
        <w:gridCol w:w="780"/>
        <w:gridCol w:w="779"/>
        <w:gridCol w:w="779"/>
        <w:gridCol w:w="780"/>
        <w:gridCol w:w="779"/>
        <w:gridCol w:w="782"/>
      </w:tblGrid>
      <w:tr w14:paraId="66797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38" w:type="dxa"/>
            <w:vMerge w:val="restart"/>
            <w:vAlign w:val="center"/>
          </w:tcPr>
          <w:p w14:paraId="4A4318EE">
            <w:pPr>
              <w:adjustRightInd w:val="0"/>
              <w:snapToGrid w:val="0"/>
              <w:spacing w:line="200" w:lineRule="exact"/>
              <w:jc w:val="center"/>
              <w:rPr>
                <w:color w:val="auto"/>
                <w:sz w:val="18"/>
                <w:szCs w:val="18"/>
              </w:rPr>
            </w:pPr>
            <w:r>
              <w:rPr>
                <w:i/>
                <w:color w:val="auto"/>
                <w:sz w:val="18"/>
                <w:szCs w:val="18"/>
              </w:rPr>
              <w:t>z</w:t>
            </w:r>
            <w:r>
              <w:rPr>
                <w:color w:val="auto"/>
                <w:sz w:val="18"/>
                <w:szCs w:val="18"/>
              </w:rPr>
              <w:t>/</w:t>
            </w:r>
            <w:r>
              <w:rPr>
                <w:i/>
                <w:color w:val="auto"/>
                <w:sz w:val="18"/>
                <w:szCs w:val="18"/>
              </w:rPr>
              <w:t>b</w:t>
            </w:r>
          </w:p>
        </w:tc>
        <w:tc>
          <w:tcPr>
            <w:tcW w:w="8575" w:type="dxa"/>
            <w:gridSpan w:val="11"/>
            <w:vAlign w:val="center"/>
          </w:tcPr>
          <w:p w14:paraId="20A46AC8">
            <w:pPr>
              <w:adjustRightInd w:val="0"/>
              <w:snapToGrid w:val="0"/>
              <w:spacing w:line="200" w:lineRule="exact"/>
              <w:jc w:val="center"/>
              <w:rPr>
                <w:color w:val="auto"/>
                <w:sz w:val="18"/>
                <w:szCs w:val="18"/>
              </w:rPr>
            </w:pPr>
            <w:r>
              <w:rPr>
                <w:i/>
                <w:color w:val="auto"/>
                <w:sz w:val="18"/>
                <w:szCs w:val="18"/>
              </w:rPr>
              <w:t>l</w:t>
            </w:r>
            <w:r>
              <w:rPr>
                <w:color w:val="auto"/>
                <w:sz w:val="18"/>
                <w:szCs w:val="18"/>
              </w:rPr>
              <w:t>/</w:t>
            </w:r>
            <w:r>
              <w:rPr>
                <w:i/>
                <w:color w:val="auto"/>
                <w:sz w:val="18"/>
                <w:szCs w:val="18"/>
              </w:rPr>
              <w:t>b</w:t>
            </w:r>
          </w:p>
        </w:tc>
      </w:tr>
      <w:tr w14:paraId="2E0D4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38" w:type="dxa"/>
            <w:vMerge w:val="continue"/>
            <w:vAlign w:val="center"/>
          </w:tcPr>
          <w:p w14:paraId="63B4E49E">
            <w:pPr>
              <w:adjustRightInd w:val="0"/>
              <w:snapToGrid w:val="0"/>
              <w:spacing w:line="200" w:lineRule="exact"/>
              <w:jc w:val="center"/>
              <w:rPr>
                <w:color w:val="auto"/>
                <w:sz w:val="18"/>
                <w:szCs w:val="18"/>
              </w:rPr>
            </w:pPr>
          </w:p>
        </w:tc>
        <w:tc>
          <w:tcPr>
            <w:tcW w:w="779" w:type="dxa"/>
            <w:vAlign w:val="center"/>
          </w:tcPr>
          <w:p w14:paraId="5E0C92C8">
            <w:pPr>
              <w:adjustRightInd w:val="0"/>
              <w:snapToGrid w:val="0"/>
              <w:spacing w:line="200" w:lineRule="exact"/>
              <w:jc w:val="center"/>
              <w:rPr>
                <w:color w:val="auto"/>
                <w:sz w:val="18"/>
                <w:szCs w:val="18"/>
              </w:rPr>
            </w:pPr>
            <w:r>
              <w:rPr>
                <w:color w:val="auto"/>
                <w:sz w:val="18"/>
                <w:szCs w:val="18"/>
              </w:rPr>
              <w:t>1.0</w:t>
            </w:r>
          </w:p>
        </w:tc>
        <w:tc>
          <w:tcPr>
            <w:tcW w:w="779" w:type="dxa"/>
            <w:vAlign w:val="center"/>
          </w:tcPr>
          <w:p w14:paraId="518C0D2F">
            <w:pPr>
              <w:adjustRightInd w:val="0"/>
              <w:snapToGrid w:val="0"/>
              <w:spacing w:line="200" w:lineRule="exact"/>
              <w:jc w:val="center"/>
              <w:rPr>
                <w:color w:val="auto"/>
                <w:sz w:val="18"/>
                <w:szCs w:val="18"/>
              </w:rPr>
            </w:pPr>
            <w:r>
              <w:rPr>
                <w:color w:val="auto"/>
                <w:sz w:val="18"/>
                <w:szCs w:val="18"/>
              </w:rPr>
              <w:t>1.2</w:t>
            </w:r>
          </w:p>
        </w:tc>
        <w:tc>
          <w:tcPr>
            <w:tcW w:w="780" w:type="dxa"/>
            <w:vAlign w:val="center"/>
          </w:tcPr>
          <w:p w14:paraId="66BF13A8">
            <w:pPr>
              <w:adjustRightInd w:val="0"/>
              <w:snapToGrid w:val="0"/>
              <w:spacing w:line="200" w:lineRule="exact"/>
              <w:jc w:val="center"/>
              <w:rPr>
                <w:color w:val="auto"/>
                <w:sz w:val="18"/>
                <w:szCs w:val="18"/>
              </w:rPr>
            </w:pPr>
            <w:r>
              <w:rPr>
                <w:color w:val="auto"/>
                <w:sz w:val="18"/>
                <w:szCs w:val="18"/>
              </w:rPr>
              <w:t>1.4</w:t>
            </w:r>
          </w:p>
        </w:tc>
        <w:tc>
          <w:tcPr>
            <w:tcW w:w="779" w:type="dxa"/>
            <w:vAlign w:val="center"/>
          </w:tcPr>
          <w:p w14:paraId="1E7C024D">
            <w:pPr>
              <w:adjustRightInd w:val="0"/>
              <w:snapToGrid w:val="0"/>
              <w:spacing w:line="200" w:lineRule="exact"/>
              <w:jc w:val="center"/>
              <w:rPr>
                <w:color w:val="auto"/>
                <w:sz w:val="18"/>
                <w:szCs w:val="18"/>
              </w:rPr>
            </w:pPr>
            <w:r>
              <w:rPr>
                <w:color w:val="auto"/>
                <w:sz w:val="18"/>
                <w:szCs w:val="18"/>
              </w:rPr>
              <w:t>1.6</w:t>
            </w:r>
          </w:p>
        </w:tc>
        <w:tc>
          <w:tcPr>
            <w:tcW w:w="779" w:type="dxa"/>
            <w:vAlign w:val="center"/>
          </w:tcPr>
          <w:p w14:paraId="4475B8E8">
            <w:pPr>
              <w:adjustRightInd w:val="0"/>
              <w:snapToGrid w:val="0"/>
              <w:spacing w:line="200" w:lineRule="exact"/>
              <w:jc w:val="center"/>
              <w:rPr>
                <w:color w:val="auto"/>
                <w:sz w:val="18"/>
                <w:szCs w:val="18"/>
              </w:rPr>
            </w:pPr>
            <w:r>
              <w:rPr>
                <w:color w:val="auto"/>
                <w:sz w:val="18"/>
                <w:szCs w:val="18"/>
              </w:rPr>
              <w:t>1.8</w:t>
            </w:r>
          </w:p>
        </w:tc>
        <w:tc>
          <w:tcPr>
            <w:tcW w:w="780" w:type="dxa"/>
            <w:vAlign w:val="center"/>
          </w:tcPr>
          <w:p w14:paraId="5B834290">
            <w:pPr>
              <w:adjustRightInd w:val="0"/>
              <w:snapToGrid w:val="0"/>
              <w:spacing w:line="200" w:lineRule="exact"/>
              <w:jc w:val="center"/>
              <w:rPr>
                <w:color w:val="auto"/>
                <w:sz w:val="18"/>
                <w:szCs w:val="18"/>
              </w:rPr>
            </w:pPr>
            <w:r>
              <w:rPr>
                <w:color w:val="auto"/>
                <w:sz w:val="18"/>
                <w:szCs w:val="18"/>
              </w:rPr>
              <w:t>2.0</w:t>
            </w:r>
          </w:p>
        </w:tc>
        <w:tc>
          <w:tcPr>
            <w:tcW w:w="779" w:type="dxa"/>
            <w:vAlign w:val="center"/>
          </w:tcPr>
          <w:p w14:paraId="48430258">
            <w:pPr>
              <w:adjustRightInd w:val="0"/>
              <w:snapToGrid w:val="0"/>
              <w:spacing w:line="200" w:lineRule="exact"/>
              <w:jc w:val="center"/>
              <w:rPr>
                <w:color w:val="auto"/>
                <w:sz w:val="18"/>
                <w:szCs w:val="18"/>
              </w:rPr>
            </w:pPr>
            <w:r>
              <w:rPr>
                <w:color w:val="auto"/>
                <w:sz w:val="18"/>
                <w:szCs w:val="18"/>
              </w:rPr>
              <w:t>2.2</w:t>
            </w:r>
          </w:p>
        </w:tc>
        <w:tc>
          <w:tcPr>
            <w:tcW w:w="779" w:type="dxa"/>
            <w:vAlign w:val="center"/>
          </w:tcPr>
          <w:p w14:paraId="4DE6DC1C">
            <w:pPr>
              <w:adjustRightInd w:val="0"/>
              <w:snapToGrid w:val="0"/>
              <w:spacing w:line="200" w:lineRule="exact"/>
              <w:jc w:val="center"/>
              <w:rPr>
                <w:color w:val="auto"/>
                <w:sz w:val="18"/>
                <w:szCs w:val="18"/>
              </w:rPr>
            </w:pPr>
            <w:r>
              <w:rPr>
                <w:color w:val="auto"/>
                <w:sz w:val="18"/>
                <w:szCs w:val="18"/>
              </w:rPr>
              <w:t>2.4</w:t>
            </w:r>
          </w:p>
        </w:tc>
        <w:tc>
          <w:tcPr>
            <w:tcW w:w="780" w:type="dxa"/>
            <w:vAlign w:val="center"/>
          </w:tcPr>
          <w:p w14:paraId="74CDFC97">
            <w:pPr>
              <w:adjustRightInd w:val="0"/>
              <w:snapToGrid w:val="0"/>
              <w:spacing w:line="200" w:lineRule="exact"/>
              <w:jc w:val="center"/>
              <w:rPr>
                <w:color w:val="auto"/>
                <w:sz w:val="18"/>
                <w:szCs w:val="18"/>
              </w:rPr>
            </w:pPr>
            <w:r>
              <w:rPr>
                <w:color w:val="auto"/>
                <w:sz w:val="18"/>
                <w:szCs w:val="18"/>
              </w:rPr>
              <w:t>2.6</w:t>
            </w:r>
          </w:p>
        </w:tc>
        <w:tc>
          <w:tcPr>
            <w:tcW w:w="779" w:type="dxa"/>
            <w:vAlign w:val="center"/>
          </w:tcPr>
          <w:p w14:paraId="749C354D">
            <w:pPr>
              <w:adjustRightInd w:val="0"/>
              <w:snapToGrid w:val="0"/>
              <w:spacing w:line="200" w:lineRule="exact"/>
              <w:jc w:val="center"/>
              <w:rPr>
                <w:color w:val="auto"/>
                <w:sz w:val="18"/>
                <w:szCs w:val="18"/>
              </w:rPr>
            </w:pPr>
            <w:r>
              <w:rPr>
                <w:color w:val="auto"/>
                <w:sz w:val="18"/>
                <w:szCs w:val="18"/>
              </w:rPr>
              <w:t>2.8</w:t>
            </w:r>
          </w:p>
        </w:tc>
        <w:tc>
          <w:tcPr>
            <w:tcW w:w="780" w:type="dxa"/>
            <w:vAlign w:val="center"/>
          </w:tcPr>
          <w:p w14:paraId="7FABCB9D">
            <w:pPr>
              <w:adjustRightInd w:val="0"/>
              <w:snapToGrid w:val="0"/>
              <w:spacing w:line="200" w:lineRule="exact"/>
              <w:jc w:val="center"/>
              <w:rPr>
                <w:color w:val="auto"/>
                <w:sz w:val="18"/>
                <w:szCs w:val="18"/>
              </w:rPr>
            </w:pPr>
            <w:r>
              <w:rPr>
                <w:color w:val="auto"/>
                <w:sz w:val="18"/>
                <w:szCs w:val="18"/>
              </w:rPr>
              <w:t>3.0</w:t>
            </w:r>
          </w:p>
        </w:tc>
      </w:tr>
      <w:tr w14:paraId="06C72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4" w:hRule="atLeast"/>
          <w:jc w:val="center"/>
        </w:trPr>
        <w:tc>
          <w:tcPr>
            <w:tcW w:w="638" w:type="dxa"/>
          </w:tcPr>
          <w:p w14:paraId="716CD5C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w:t>
            </w:r>
          </w:p>
          <w:p w14:paraId="4CDB675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w:t>
            </w:r>
          </w:p>
          <w:p w14:paraId="08A312C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0.4</w:t>
            </w:r>
          </w:p>
          <w:p w14:paraId="1D7CCA2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0.6</w:t>
            </w:r>
          </w:p>
          <w:p w14:paraId="4368628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0.8</w:t>
            </w:r>
          </w:p>
          <w:p w14:paraId="08F5B92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1.0</w:t>
            </w:r>
          </w:p>
          <w:p w14:paraId="5C9A2408">
            <w:pPr>
              <w:adjustRightInd w:val="0"/>
              <w:snapToGrid w:val="0"/>
              <w:spacing w:line="200" w:lineRule="exact"/>
              <w:ind w:left="11" w:leftChars="-29" w:right="-84" w:rightChars="-40" w:hanging="72" w:hangingChars="40"/>
              <w:jc w:val="center"/>
              <w:rPr>
                <w:color w:val="auto"/>
                <w:sz w:val="18"/>
                <w:szCs w:val="18"/>
              </w:rPr>
            </w:pPr>
          </w:p>
          <w:p w14:paraId="7C29038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1.2</w:t>
            </w:r>
          </w:p>
          <w:p w14:paraId="7AD6EB8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1.4</w:t>
            </w:r>
          </w:p>
          <w:p w14:paraId="684A712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1.6</w:t>
            </w:r>
          </w:p>
          <w:p w14:paraId="5B18902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1.8</w:t>
            </w:r>
          </w:p>
          <w:p w14:paraId="5E82DAE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2.0</w:t>
            </w:r>
          </w:p>
          <w:p w14:paraId="5E7EF71C">
            <w:pPr>
              <w:adjustRightInd w:val="0"/>
              <w:snapToGrid w:val="0"/>
              <w:spacing w:line="200" w:lineRule="exact"/>
              <w:ind w:left="11" w:leftChars="-29" w:right="-84" w:rightChars="-40" w:hanging="72" w:hangingChars="40"/>
              <w:jc w:val="center"/>
              <w:rPr>
                <w:color w:val="auto"/>
                <w:sz w:val="18"/>
                <w:szCs w:val="18"/>
              </w:rPr>
            </w:pPr>
          </w:p>
          <w:p w14:paraId="6FAEC25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2.2</w:t>
            </w:r>
          </w:p>
          <w:p w14:paraId="3D28E2A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2.4</w:t>
            </w:r>
          </w:p>
          <w:p w14:paraId="6C4EA4D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2.6</w:t>
            </w:r>
          </w:p>
          <w:p w14:paraId="6E8ECA2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2.8</w:t>
            </w:r>
          </w:p>
          <w:p w14:paraId="53B61FC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3.0</w:t>
            </w:r>
          </w:p>
          <w:p w14:paraId="28EDD11B">
            <w:pPr>
              <w:adjustRightInd w:val="0"/>
              <w:snapToGrid w:val="0"/>
              <w:spacing w:line="200" w:lineRule="exact"/>
              <w:ind w:left="11" w:leftChars="-29" w:right="-84" w:rightChars="-40" w:hanging="72" w:hangingChars="40"/>
              <w:jc w:val="center"/>
              <w:rPr>
                <w:color w:val="auto"/>
                <w:sz w:val="18"/>
                <w:szCs w:val="18"/>
              </w:rPr>
            </w:pPr>
          </w:p>
          <w:p w14:paraId="5706777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3.2</w:t>
            </w:r>
          </w:p>
          <w:p w14:paraId="6E44858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3.4</w:t>
            </w:r>
          </w:p>
          <w:p w14:paraId="2898EC1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3.6</w:t>
            </w:r>
          </w:p>
          <w:p w14:paraId="3612503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3.8</w:t>
            </w:r>
          </w:p>
          <w:p w14:paraId="064AC2B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4.0</w:t>
            </w:r>
          </w:p>
          <w:p w14:paraId="520F2AD8">
            <w:pPr>
              <w:adjustRightInd w:val="0"/>
              <w:snapToGrid w:val="0"/>
              <w:spacing w:line="200" w:lineRule="exact"/>
              <w:ind w:left="11" w:leftChars="-29" w:right="-84" w:rightChars="-40" w:hanging="72" w:hangingChars="40"/>
              <w:jc w:val="center"/>
              <w:rPr>
                <w:color w:val="auto"/>
                <w:sz w:val="18"/>
                <w:szCs w:val="18"/>
              </w:rPr>
            </w:pPr>
          </w:p>
          <w:p w14:paraId="05AD84F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4.2</w:t>
            </w:r>
          </w:p>
          <w:p w14:paraId="0FDD95B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4.4</w:t>
            </w:r>
          </w:p>
          <w:p w14:paraId="03D47E7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4.6</w:t>
            </w:r>
          </w:p>
          <w:p w14:paraId="2C48BB3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4.8</w:t>
            </w:r>
          </w:p>
          <w:p w14:paraId="091D56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5.0</w:t>
            </w:r>
          </w:p>
          <w:p w14:paraId="1A925159">
            <w:pPr>
              <w:adjustRightInd w:val="0"/>
              <w:snapToGrid w:val="0"/>
              <w:spacing w:line="200" w:lineRule="exact"/>
              <w:ind w:left="11" w:leftChars="-29" w:right="-84" w:rightChars="-40" w:hanging="72" w:hangingChars="40"/>
              <w:jc w:val="center"/>
              <w:rPr>
                <w:color w:val="auto"/>
                <w:sz w:val="18"/>
                <w:szCs w:val="18"/>
              </w:rPr>
            </w:pPr>
          </w:p>
          <w:p w14:paraId="5AABBD7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6.0</w:t>
            </w:r>
          </w:p>
          <w:p w14:paraId="23D69E6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7.0</w:t>
            </w:r>
          </w:p>
          <w:p w14:paraId="5508B83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8.0</w:t>
            </w:r>
          </w:p>
          <w:p w14:paraId="03637A0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9.0</w:t>
            </w:r>
          </w:p>
          <w:p w14:paraId="585CBCF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10.0</w:t>
            </w:r>
          </w:p>
          <w:p w14:paraId="53E50F6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12.0</w:t>
            </w:r>
          </w:p>
          <w:p w14:paraId="41E6EFD0">
            <w:pPr>
              <w:adjustRightInd w:val="0"/>
              <w:snapToGrid w:val="0"/>
              <w:spacing w:line="200" w:lineRule="exact"/>
              <w:ind w:left="11" w:leftChars="-29" w:right="-84" w:rightChars="-40" w:hanging="72" w:hangingChars="40"/>
              <w:jc w:val="center"/>
              <w:rPr>
                <w:color w:val="auto"/>
                <w:sz w:val="18"/>
                <w:szCs w:val="18"/>
              </w:rPr>
            </w:pPr>
          </w:p>
          <w:p w14:paraId="277F093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14.0</w:t>
            </w:r>
          </w:p>
          <w:p w14:paraId="1A9F319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15.0</w:t>
            </w:r>
          </w:p>
          <w:p w14:paraId="229E211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16.0</w:t>
            </w:r>
          </w:p>
          <w:p w14:paraId="6EA583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18.0</w:t>
            </w:r>
          </w:p>
          <w:p w14:paraId="307521B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20.0</w:t>
            </w:r>
          </w:p>
        </w:tc>
        <w:tc>
          <w:tcPr>
            <w:tcW w:w="779" w:type="dxa"/>
          </w:tcPr>
          <w:p w14:paraId="035DE07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0D6C236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0.2486</w:t>
            </w:r>
          </w:p>
          <w:p w14:paraId="565841D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0.2401</w:t>
            </w:r>
          </w:p>
          <w:p w14:paraId="31A5B11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0.2229</w:t>
            </w:r>
          </w:p>
          <w:p w14:paraId="2A67A58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0.1999</w:t>
            </w:r>
          </w:p>
          <w:p w14:paraId="616120A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0.1752</w:t>
            </w:r>
          </w:p>
          <w:p w14:paraId="1ED30B55">
            <w:pPr>
              <w:adjustRightInd w:val="0"/>
              <w:snapToGrid w:val="0"/>
              <w:spacing w:line="200" w:lineRule="exact"/>
              <w:ind w:left="11" w:leftChars="-29" w:right="-84" w:rightChars="-40" w:hanging="72" w:hangingChars="40"/>
              <w:jc w:val="center"/>
              <w:rPr>
                <w:color w:val="auto"/>
                <w:sz w:val="18"/>
                <w:szCs w:val="18"/>
              </w:rPr>
            </w:pPr>
          </w:p>
          <w:p w14:paraId="57940A5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0.1516</w:t>
            </w:r>
          </w:p>
          <w:p w14:paraId="6F13784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0.1305</w:t>
            </w:r>
          </w:p>
          <w:p w14:paraId="3B0A0BF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0.1123</w:t>
            </w:r>
          </w:p>
          <w:p w14:paraId="1498F66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0.0969</w:t>
            </w:r>
          </w:p>
          <w:p w14:paraId="3634107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0.0840</w:t>
            </w:r>
          </w:p>
          <w:p w14:paraId="16C764FC">
            <w:pPr>
              <w:adjustRightInd w:val="0"/>
              <w:snapToGrid w:val="0"/>
              <w:spacing w:line="200" w:lineRule="exact"/>
              <w:ind w:left="11" w:leftChars="-29" w:right="-84" w:rightChars="-40" w:hanging="72" w:hangingChars="40"/>
              <w:jc w:val="center"/>
              <w:rPr>
                <w:color w:val="auto"/>
                <w:sz w:val="18"/>
                <w:szCs w:val="18"/>
              </w:rPr>
            </w:pPr>
          </w:p>
          <w:p w14:paraId="569AF25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0.0732</w:t>
            </w:r>
          </w:p>
          <w:p w14:paraId="2D43689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0.0642</w:t>
            </w:r>
          </w:p>
          <w:p w14:paraId="2653715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0.0566</w:t>
            </w:r>
          </w:p>
          <w:p w14:paraId="0CADA3B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0.0502</w:t>
            </w:r>
          </w:p>
          <w:p w14:paraId="6EBF3B4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0.0447</w:t>
            </w:r>
          </w:p>
          <w:p w14:paraId="07E840AE">
            <w:pPr>
              <w:adjustRightInd w:val="0"/>
              <w:snapToGrid w:val="0"/>
              <w:spacing w:line="200" w:lineRule="exact"/>
              <w:ind w:left="11" w:leftChars="-29" w:right="-84" w:rightChars="-40" w:hanging="72" w:hangingChars="40"/>
              <w:jc w:val="center"/>
              <w:rPr>
                <w:color w:val="auto"/>
                <w:sz w:val="18"/>
                <w:szCs w:val="18"/>
              </w:rPr>
            </w:pPr>
          </w:p>
          <w:p w14:paraId="5428C8B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0.0401</w:t>
            </w:r>
          </w:p>
          <w:p w14:paraId="26E9D86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0.0361</w:t>
            </w:r>
          </w:p>
          <w:p w14:paraId="45DED54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0.0326</w:t>
            </w:r>
          </w:p>
          <w:p w14:paraId="14B0732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0.0296</w:t>
            </w:r>
          </w:p>
          <w:p w14:paraId="2B3FA09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0.0270</w:t>
            </w:r>
          </w:p>
          <w:p w14:paraId="5540BDFF">
            <w:pPr>
              <w:adjustRightInd w:val="0"/>
              <w:snapToGrid w:val="0"/>
              <w:spacing w:line="200" w:lineRule="exact"/>
              <w:ind w:left="11" w:leftChars="-29" w:right="-84" w:rightChars="-40" w:hanging="72" w:hangingChars="40"/>
              <w:jc w:val="center"/>
              <w:rPr>
                <w:color w:val="auto"/>
                <w:sz w:val="18"/>
                <w:szCs w:val="18"/>
              </w:rPr>
            </w:pPr>
          </w:p>
          <w:p w14:paraId="220F9B0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0.0247</w:t>
            </w:r>
          </w:p>
          <w:p w14:paraId="48DADFA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0.0227</w:t>
            </w:r>
          </w:p>
          <w:p w14:paraId="57F55E8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0.0209</w:t>
            </w:r>
          </w:p>
          <w:p w14:paraId="6032E91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0.0193</w:t>
            </w:r>
          </w:p>
          <w:p w14:paraId="4F11D7E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0.0179</w:t>
            </w:r>
          </w:p>
          <w:p w14:paraId="7918BEAA">
            <w:pPr>
              <w:adjustRightInd w:val="0"/>
              <w:snapToGrid w:val="0"/>
              <w:spacing w:line="200" w:lineRule="exact"/>
              <w:ind w:left="11" w:leftChars="-29" w:right="-84" w:rightChars="-40" w:hanging="72" w:hangingChars="40"/>
              <w:jc w:val="center"/>
              <w:rPr>
                <w:color w:val="auto"/>
                <w:sz w:val="18"/>
                <w:szCs w:val="18"/>
              </w:rPr>
            </w:pPr>
          </w:p>
          <w:p w14:paraId="222B4F0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0.0127</w:t>
            </w:r>
          </w:p>
          <w:p w14:paraId="39F5409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0.0094</w:t>
            </w:r>
          </w:p>
          <w:p w14:paraId="77F068A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0.0073</w:t>
            </w:r>
          </w:p>
          <w:p w14:paraId="75F9665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0.0058</w:t>
            </w:r>
          </w:p>
          <w:p w14:paraId="46A04BC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0.0047</w:t>
            </w:r>
          </w:p>
          <w:p w14:paraId="431A833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0.0033</w:t>
            </w:r>
          </w:p>
          <w:p w14:paraId="024C76C6">
            <w:pPr>
              <w:adjustRightInd w:val="0"/>
              <w:snapToGrid w:val="0"/>
              <w:spacing w:line="200" w:lineRule="exact"/>
              <w:ind w:left="11" w:leftChars="-29" w:right="-84" w:rightChars="-40" w:hanging="72" w:hangingChars="40"/>
              <w:jc w:val="center"/>
              <w:rPr>
                <w:color w:val="auto"/>
                <w:sz w:val="18"/>
                <w:szCs w:val="18"/>
              </w:rPr>
            </w:pPr>
          </w:p>
          <w:p w14:paraId="20A87C1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0.0024</w:t>
            </w:r>
          </w:p>
          <w:p w14:paraId="1FE8A6C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0.0021</w:t>
            </w:r>
          </w:p>
          <w:p w14:paraId="462A9CF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0.0019</w:t>
            </w:r>
          </w:p>
          <w:p w14:paraId="5BAD20B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0.0015</w:t>
            </w:r>
          </w:p>
          <w:p w14:paraId="784CB1E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0.0012</w:t>
            </w:r>
          </w:p>
        </w:tc>
        <w:tc>
          <w:tcPr>
            <w:tcW w:w="779" w:type="dxa"/>
          </w:tcPr>
          <w:p w14:paraId="66A22B9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0D921DE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0.2489</w:t>
            </w:r>
          </w:p>
          <w:p w14:paraId="3051FB4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0.2420</w:t>
            </w:r>
          </w:p>
          <w:p w14:paraId="07D258A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0.2275</w:t>
            </w:r>
          </w:p>
          <w:p w14:paraId="21E866D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0.2075</w:t>
            </w:r>
          </w:p>
          <w:p w14:paraId="52F6F61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0.1851</w:t>
            </w:r>
          </w:p>
          <w:p w14:paraId="3FD50CCD">
            <w:pPr>
              <w:adjustRightInd w:val="0"/>
              <w:snapToGrid w:val="0"/>
              <w:spacing w:line="200" w:lineRule="exact"/>
              <w:ind w:left="11" w:leftChars="-29" w:right="-84" w:rightChars="-40" w:hanging="72" w:hangingChars="40"/>
              <w:jc w:val="center"/>
              <w:rPr>
                <w:color w:val="auto"/>
                <w:sz w:val="18"/>
                <w:szCs w:val="18"/>
              </w:rPr>
            </w:pPr>
          </w:p>
          <w:p w14:paraId="309DFA6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0.1628</w:t>
            </w:r>
          </w:p>
          <w:p w14:paraId="0A2FB70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0.1423</w:t>
            </w:r>
          </w:p>
          <w:p w14:paraId="206BAD2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0.1241</w:t>
            </w:r>
          </w:p>
          <w:p w14:paraId="1404A75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0.1083</w:t>
            </w:r>
          </w:p>
          <w:p w14:paraId="1596A39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0.0947</w:t>
            </w:r>
          </w:p>
          <w:p w14:paraId="3CACFC3D">
            <w:pPr>
              <w:adjustRightInd w:val="0"/>
              <w:snapToGrid w:val="0"/>
              <w:spacing w:line="200" w:lineRule="exact"/>
              <w:ind w:left="11" w:leftChars="-29" w:right="-84" w:rightChars="-40" w:hanging="72" w:hangingChars="40"/>
              <w:jc w:val="center"/>
              <w:rPr>
                <w:color w:val="auto"/>
                <w:sz w:val="18"/>
                <w:szCs w:val="18"/>
              </w:rPr>
            </w:pPr>
          </w:p>
          <w:p w14:paraId="48663FF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0.0832</w:t>
            </w:r>
          </w:p>
          <w:p w14:paraId="34FB5DF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0.0734</w:t>
            </w:r>
          </w:p>
          <w:p w14:paraId="13FFAB4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0.0651</w:t>
            </w:r>
          </w:p>
          <w:p w14:paraId="401EEC8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0.0580</w:t>
            </w:r>
          </w:p>
          <w:p w14:paraId="6701787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0.0519</w:t>
            </w:r>
          </w:p>
          <w:p w14:paraId="7216202C">
            <w:pPr>
              <w:adjustRightInd w:val="0"/>
              <w:snapToGrid w:val="0"/>
              <w:spacing w:line="200" w:lineRule="exact"/>
              <w:ind w:left="11" w:leftChars="-29" w:right="-84" w:rightChars="-40" w:hanging="72" w:hangingChars="40"/>
              <w:jc w:val="center"/>
              <w:rPr>
                <w:color w:val="auto"/>
                <w:sz w:val="18"/>
                <w:szCs w:val="18"/>
              </w:rPr>
            </w:pPr>
          </w:p>
          <w:p w14:paraId="04B40AC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0.0467</w:t>
            </w:r>
          </w:p>
          <w:p w14:paraId="0D6C1F8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0.0421</w:t>
            </w:r>
          </w:p>
          <w:p w14:paraId="70DB5BC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0.0382</w:t>
            </w:r>
          </w:p>
          <w:p w14:paraId="7A3C792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0.0348</w:t>
            </w:r>
          </w:p>
          <w:p w14:paraId="7B05859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0.0318</w:t>
            </w:r>
          </w:p>
          <w:p w14:paraId="234FA000">
            <w:pPr>
              <w:adjustRightInd w:val="0"/>
              <w:snapToGrid w:val="0"/>
              <w:spacing w:line="200" w:lineRule="exact"/>
              <w:ind w:left="11" w:leftChars="-29" w:right="-84" w:rightChars="-40" w:hanging="72" w:hangingChars="40"/>
              <w:jc w:val="center"/>
              <w:rPr>
                <w:color w:val="auto"/>
                <w:sz w:val="18"/>
                <w:szCs w:val="18"/>
              </w:rPr>
            </w:pPr>
          </w:p>
          <w:p w14:paraId="232394E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0.0291</w:t>
            </w:r>
          </w:p>
          <w:p w14:paraId="57294DD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0.0268</w:t>
            </w:r>
          </w:p>
          <w:p w14:paraId="489E68E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0.0247</w:t>
            </w:r>
          </w:p>
          <w:p w14:paraId="0D01896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0.0228</w:t>
            </w:r>
          </w:p>
          <w:p w14:paraId="3F3F36C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0.0212</w:t>
            </w:r>
          </w:p>
          <w:p w14:paraId="6E1A750C">
            <w:pPr>
              <w:adjustRightInd w:val="0"/>
              <w:snapToGrid w:val="0"/>
              <w:spacing w:line="200" w:lineRule="exact"/>
              <w:ind w:left="11" w:leftChars="-29" w:right="-84" w:rightChars="-40" w:hanging="72" w:hangingChars="40"/>
              <w:jc w:val="center"/>
              <w:rPr>
                <w:color w:val="auto"/>
                <w:sz w:val="18"/>
                <w:szCs w:val="18"/>
              </w:rPr>
            </w:pPr>
          </w:p>
          <w:p w14:paraId="70C218D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0.0151</w:t>
            </w:r>
          </w:p>
          <w:p w14:paraId="730531B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0.0112</w:t>
            </w:r>
          </w:p>
          <w:p w14:paraId="76E5878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0.0087</w:t>
            </w:r>
          </w:p>
          <w:p w14:paraId="0EE4F28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0.0069</w:t>
            </w:r>
          </w:p>
          <w:p w14:paraId="714A31D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0.0056</w:t>
            </w:r>
          </w:p>
          <w:p w14:paraId="546DEA2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0.0039</w:t>
            </w:r>
          </w:p>
          <w:p w14:paraId="4E2FAC5F">
            <w:pPr>
              <w:adjustRightInd w:val="0"/>
              <w:snapToGrid w:val="0"/>
              <w:spacing w:line="200" w:lineRule="exact"/>
              <w:ind w:left="11" w:leftChars="-29" w:right="-84" w:rightChars="-40" w:hanging="72" w:hangingChars="40"/>
              <w:jc w:val="center"/>
              <w:rPr>
                <w:color w:val="auto"/>
                <w:sz w:val="18"/>
                <w:szCs w:val="18"/>
              </w:rPr>
            </w:pPr>
          </w:p>
          <w:p w14:paraId="138C0F1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0.0029</w:t>
            </w:r>
          </w:p>
          <w:p w14:paraId="487DB5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0.0025</w:t>
            </w:r>
          </w:p>
          <w:p w14:paraId="436B14A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0.0022</w:t>
            </w:r>
          </w:p>
          <w:p w14:paraId="10CC11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0.0018</w:t>
            </w:r>
          </w:p>
          <w:p w14:paraId="6F5E865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0.0014</w:t>
            </w:r>
          </w:p>
        </w:tc>
        <w:tc>
          <w:tcPr>
            <w:tcW w:w="780" w:type="dxa"/>
          </w:tcPr>
          <w:p w14:paraId="256E958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55AC702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0.2490</w:t>
            </w:r>
          </w:p>
          <w:p w14:paraId="48D14E4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0.2429</w:t>
            </w:r>
          </w:p>
          <w:p w14:paraId="3B49FEA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0.2300</w:t>
            </w:r>
          </w:p>
          <w:p w14:paraId="4A0FFA5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0.2120</w:t>
            </w:r>
          </w:p>
          <w:p w14:paraId="3E7B712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0.1914</w:t>
            </w:r>
          </w:p>
          <w:p w14:paraId="404A8907">
            <w:pPr>
              <w:adjustRightInd w:val="0"/>
              <w:snapToGrid w:val="0"/>
              <w:spacing w:line="200" w:lineRule="exact"/>
              <w:ind w:left="11" w:leftChars="-29" w:right="-84" w:rightChars="-40" w:hanging="72" w:hangingChars="40"/>
              <w:jc w:val="center"/>
              <w:rPr>
                <w:color w:val="auto"/>
                <w:sz w:val="18"/>
                <w:szCs w:val="18"/>
              </w:rPr>
            </w:pPr>
          </w:p>
          <w:p w14:paraId="6522ED7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0.1705</w:t>
            </w:r>
          </w:p>
          <w:p w14:paraId="784C850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0.1508</w:t>
            </w:r>
          </w:p>
          <w:p w14:paraId="6F8FAAC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0.1329</w:t>
            </w:r>
          </w:p>
          <w:p w14:paraId="54D5B90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0.1172</w:t>
            </w:r>
          </w:p>
          <w:p w14:paraId="5B56095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0.1034</w:t>
            </w:r>
          </w:p>
          <w:p w14:paraId="3F515E3E">
            <w:pPr>
              <w:adjustRightInd w:val="0"/>
              <w:snapToGrid w:val="0"/>
              <w:spacing w:line="200" w:lineRule="exact"/>
              <w:ind w:left="11" w:leftChars="-29" w:right="-84" w:rightChars="-40" w:hanging="72" w:hangingChars="40"/>
              <w:jc w:val="center"/>
              <w:rPr>
                <w:color w:val="auto"/>
                <w:sz w:val="18"/>
                <w:szCs w:val="18"/>
              </w:rPr>
            </w:pPr>
          </w:p>
          <w:p w14:paraId="46436A1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0.0915</w:t>
            </w:r>
          </w:p>
          <w:p w14:paraId="554406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0.0813</w:t>
            </w:r>
          </w:p>
          <w:p w14:paraId="457E3C2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0.0725</w:t>
            </w:r>
          </w:p>
          <w:p w14:paraId="660281F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0.0649</w:t>
            </w:r>
          </w:p>
          <w:p w14:paraId="775E91B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0.0583</w:t>
            </w:r>
          </w:p>
          <w:p w14:paraId="359492F7">
            <w:pPr>
              <w:adjustRightInd w:val="0"/>
              <w:snapToGrid w:val="0"/>
              <w:spacing w:line="200" w:lineRule="exact"/>
              <w:ind w:left="11" w:leftChars="-29" w:right="-84" w:rightChars="-40" w:hanging="72" w:hangingChars="40"/>
              <w:jc w:val="center"/>
              <w:rPr>
                <w:color w:val="auto"/>
                <w:sz w:val="18"/>
                <w:szCs w:val="18"/>
              </w:rPr>
            </w:pPr>
          </w:p>
          <w:p w14:paraId="3B27B2D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0.0526</w:t>
            </w:r>
          </w:p>
          <w:p w14:paraId="7BAF5CA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0.0477</w:t>
            </w:r>
          </w:p>
          <w:p w14:paraId="5F306FF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0.0433</w:t>
            </w:r>
          </w:p>
          <w:p w14:paraId="3DD8808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0.0395</w:t>
            </w:r>
          </w:p>
          <w:p w14:paraId="1F901A8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0.0362</w:t>
            </w:r>
          </w:p>
          <w:p w14:paraId="79F2C464">
            <w:pPr>
              <w:adjustRightInd w:val="0"/>
              <w:snapToGrid w:val="0"/>
              <w:spacing w:line="200" w:lineRule="exact"/>
              <w:ind w:left="11" w:leftChars="-29" w:right="-84" w:rightChars="-40" w:hanging="72" w:hangingChars="40"/>
              <w:jc w:val="center"/>
              <w:rPr>
                <w:color w:val="auto"/>
                <w:sz w:val="18"/>
                <w:szCs w:val="18"/>
              </w:rPr>
            </w:pPr>
          </w:p>
          <w:p w14:paraId="3DC0578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0.0332</w:t>
            </w:r>
          </w:p>
          <w:p w14:paraId="6697D83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0.0306</w:t>
            </w:r>
          </w:p>
          <w:p w14:paraId="6751C42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0.0283</w:t>
            </w:r>
          </w:p>
          <w:p w14:paraId="74A0D61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0.0262</w:t>
            </w:r>
          </w:p>
          <w:p w14:paraId="4CEBD34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0.0243</w:t>
            </w:r>
          </w:p>
          <w:p w14:paraId="5142CD19">
            <w:pPr>
              <w:adjustRightInd w:val="0"/>
              <w:snapToGrid w:val="0"/>
              <w:spacing w:line="200" w:lineRule="exact"/>
              <w:ind w:left="11" w:leftChars="-29" w:right="-84" w:rightChars="-40" w:hanging="72" w:hangingChars="40"/>
              <w:jc w:val="center"/>
              <w:rPr>
                <w:color w:val="auto"/>
                <w:sz w:val="18"/>
                <w:szCs w:val="18"/>
              </w:rPr>
            </w:pPr>
          </w:p>
          <w:p w14:paraId="20ED1DE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0.0174</w:t>
            </w:r>
          </w:p>
          <w:p w14:paraId="5709CCD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0.0130</w:t>
            </w:r>
          </w:p>
          <w:p w14:paraId="57735FD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0.0101</w:t>
            </w:r>
          </w:p>
          <w:p w14:paraId="0F72488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0.0080</w:t>
            </w:r>
          </w:p>
          <w:p w14:paraId="7B29EBB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0.0065</w:t>
            </w:r>
          </w:p>
          <w:p w14:paraId="4020F2C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0.0046</w:t>
            </w:r>
          </w:p>
          <w:p w14:paraId="15CB1C90">
            <w:pPr>
              <w:adjustRightInd w:val="0"/>
              <w:snapToGrid w:val="0"/>
              <w:spacing w:line="200" w:lineRule="exact"/>
              <w:ind w:left="11" w:leftChars="-29" w:right="-84" w:rightChars="-40" w:hanging="72" w:hangingChars="40"/>
              <w:jc w:val="center"/>
              <w:rPr>
                <w:color w:val="auto"/>
                <w:sz w:val="18"/>
                <w:szCs w:val="18"/>
              </w:rPr>
            </w:pPr>
          </w:p>
          <w:p w14:paraId="19C9B8C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0.0034</w:t>
            </w:r>
          </w:p>
          <w:p w14:paraId="75FAEF0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0.0029</w:t>
            </w:r>
          </w:p>
          <w:p w14:paraId="0A07216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0.0026</w:t>
            </w:r>
          </w:p>
          <w:p w14:paraId="0664554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0.0020</w:t>
            </w:r>
          </w:p>
          <w:p w14:paraId="765055B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0.0017</w:t>
            </w:r>
          </w:p>
        </w:tc>
        <w:tc>
          <w:tcPr>
            <w:tcW w:w="779" w:type="dxa"/>
          </w:tcPr>
          <w:p w14:paraId="3ABBB2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51E7777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0.2491</w:t>
            </w:r>
          </w:p>
          <w:p w14:paraId="43EABD5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0.2434</w:t>
            </w:r>
          </w:p>
          <w:p w14:paraId="3EF7251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0.2315</w:t>
            </w:r>
          </w:p>
          <w:p w14:paraId="34EA4F9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0.2147</w:t>
            </w:r>
          </w:p>
          <w:p w14:paraId="2F92538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0.1955</w:t>
            </w:r>
          </w:p>
          <w:p w14:paraId="1841BD0B">
            <w:pPr>
              <w:adjustRightInd w:val="0"/>
              <w:snapToGrid w:val="0"/>
              <w:spacing w:line="200" w:lineRule="exact"/>
              <w:ind w:left="11" w:leftChars="-29" w:right="-84" w:rightChars="-40" w:hanging="72" w:hangingChars="40"/>
              <w:jc w:val="center"/>
              <w:rPr>
                <w:color w:val="auto"/>
                <w:sz w:val="18"/>
                <w:szCs w:val="18"/>
              </w:rPr>
            </w:pPr>
          </w:p>
          <w:p w14:paraId="37178FF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0.1757</w:t>
            </w:r>
          </w:p>
          <w:p w14:paraId="75CF40B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0.1569</w:t>
            </w:r>
          </w:p>
          <w:p w14:paraId="6CBE3D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0.1396</w:t>
            </w:r>
          </w:p>
          <w:p w14:paraId="4E9B28B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0.1240</w:t>
            </w:r>
          </w:p>
          <w:p w14:paraId="2785BC0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0.1103</w:t>
            </w:r>
          </w:p>
          <w:p w14:paraId="7FA237C6">
            <w:pPr>
              <w:adjustRightInd w:val="0"/>
              <w:snapToGrid w:val="0"/>
              <w:spacing w:line="200" w:lineRule="exact"/>
              <w:ind w:left="11" w:leftChars="-29" w:right="-84" w:rightChars="-40" w:hanging="72" w:hangingChars="40"/>
              <w:jc w:val="center"/>
              <w:rPr>
                <w:color w:val="auto"/>
                <w:sz w:val="18"/>
                <w:szCs w:val="18"/>
              </w:rPr>
            </w:pPr>
          </w:p>
          <w:p w14:paraId="7C3AB84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0.0983</w:t>
            </w:r>
          </w:p>
          <w:p w14:paraId="58E9C21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0.0879</w:t>
            </w:r>
          </w:p>
          <w:p w14:paraId="4AF62A6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0.0788</w:t>
            </w:r>
          </w:p>
          <w:p w14:paraId="48DDFA6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0.0709</w:t>
            </w:r>
          </w:p>
          <w:p w14:paraId="642B988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0.0640</w:t>
            </w:r>
          </w:p>
          <w:p w14:paraId="6D452AD6">
            <w:pPr>
              <w:adjustRightInd w:val="0"/>
              <w:snapToGrid w:val="0"/>
              <w:spacing w:line="200" w:lineRule="exact"/>
              <w:ind w:left="11" w:leftChars="-29" w:right="-84" w:rightChars="-40" w:hanging="72" w:hangingChars="40"/>
              <w:jc w:val="center"/>
              <w:rPr>
                <w:color w:val="auto"/>
                <w:sz w:val="18"/>
                <w:szCs w:val="18"/>
              </w:rPr>
            </w:pPr>
          </w:p>
          <w:p w14:paraId="68EE2DC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0.0579</w:t>
            </w:r>
          </w:p>
          <w:p w14:paraId="76F5855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0.0527</w:t>
            </w:r>
          </w:p>
          <w:p w14:paraId="6CD2DC1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0.0480</w:t>
            </w:r>
          </w:p>
          <w:p w14:paraId="093BFDA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0.0439</w:t>
            </w:r>
          </w:p>
          <w:p w14:paraId="1137448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0.0403</w:t>
            </w:r>
          </w:p>
          <w:p w14:paraId="71ED28F0">
            <w:pPr>
              <w:adjustRightInd w:val="0"/>
              <w:snapToGrid w:val="0"/>
              <w:spacing w:line="200" w:lineRule="exact"/>
              <w:ind w:left="11" w:leftChars="-29" w:right="-84" w:rightChars="-40" w:hanging="72" w:hangingChars="40"/>
              <w:jc w:val="center"/>
              <w:rPr>
                <w:color w:val="auto"/>
                <w:sz w:val="18"/>
                <w:szCs w:val="18"/>
              </w:rPr>
            </w:pPr>
          </w:p>
          <w:p w14:paraId="1544C0B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0.0371</w:t>
            </w:r>
          </w:p>
          <w:p w14:paraId="4D09A2A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0.0342</w:t>
            </w:r>
          </w:p>
          <w:p w14:paraId="72B19F6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0.0317</w:t>
            </w:r>
          </w:p>
          <w:p w14:paraId="1FC32F8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0.0294</w:t>
            </w:r>
          </w:p>
          <w:p w14:paraId="69E0F18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0.0273</w:t>
            </w:r>
          </w:p>
          <w:p w14:paraId="311789A4">
            <w:pPr>
              <w:adjustRightInd w:val="0"/>
              <w:snapToGrid w:val="0"/>
              <w:spacing w:line="200" w:lineRule="exact"/>
              <w:ind w:left="11" w:leftChars="-29" w:right="-84" w:rightChars="-40" w:hanging="72" w:hangingChars="40"/>
              <w:jc w:val="center"/>
              <w:rPr>
                <w:color w:val="auto"/>
                <w:sz w:val="18"/>
                <w:szCs w:val="18"/>
              </w:rPr>
            </w:pPr>
          </w:p>
          <w:p w14:paraId="23D24C4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0.0196</w:t>
            </w:r>
          </w:p>
          <w:p w14:paraId="6D07EB6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0.0147</w:t>
            </w:r>
          </w:p>
          <w:p w14:paraId="6F83B68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0.0114</w:t>
            </w:r>
          </w:p>
          <w:p w14:paraId="61141CA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0.0091</w:t>
            </w:r>
          </w:p>
          <w:p w14:paraId="329AA65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0.0074</w:t>
            </w:r>
          </w:p>
          <w:p w14:paraId="719C7EF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0.0052</w:t>
            </w:r>
          </w:p>
          <w:p w14:paraId="771744E5">
            <w:pPr>
              <w:adjustRightInd w:val="0"/>
              <w:snapToGrid w:val="0"/>
              <w:spacing w:line="200" w:lineRule="exact"/>
              <w:ind w:left="11" w:leftChars="-29" w:right="-84" w:rightChars="-40" w:hanging="72" w:hangingChars="40"/>
              <w:jc w:val="center"/>
              <w:rPr>
                <w:color w:val="auto"/>
                <w:sz w:val="18"/>
                <w:szCs w:val="18"/>
              </w:rPr>
            </w:pPr>
          </w:p>
          <w:p w14:paraId="2B7BEFC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0.0038</w:t>
            </w:r>
          </w:p>
          <w:p w14:paraId="37C1A5E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0.0034</w:t>
            </w:r>
          </w:p>
          <w:p w14:paraId="44BB840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0.0029</w:t>
            </w:r>
          </w:p>
          <w:p w14:paraId="422BE07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0.0023</w:t>
            </w:r>
          </w:p>
          <w:p w14:paraId="129CBD9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0.0019</w:t>
            </w:r>
          </w:p>
        </w:tc>
        <w:tc>
          <w:tcPr>
            <w:tcW w:w="779" w:type="dxa"/>
          </w:tcPr>
          <w:p w14:paraId="39F0C77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7CD3F48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0.2491</w:t>
            </w:r>
          </w:p>
          <w:p w14:paraId="05AC1BE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0.2437</w:t>
            </w:r>
          </w:p>
          <w:p w14:paraId="4E48A74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0.2324</w:t>
            </w:r>
          </w:p>
          <w:p w14:paraId="67DA26A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0.2165</w:t>
            </w:r>
          </w:p>
          <w:p w14:paraId="32079C3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0.1981</w:t>
            </w:r>
          </w:p>
          <w:p w14:paraId="7A83607B">
            <w:pPr>
              <w:adjustRightInd w:val="0"/>
              <w:snapToGrid w:val="0"/>
              <w:spacing w:line="200" w:lineRule="exact"/>
              <w:ind w:left="11" w:leftChars="-29" w:right="-84" w:rightChars="-40" w:hanging="72" w:hangingChars="40"/>
              <w:jc w:val="center"/>
              <w:rPr>
                <w:color w:val="auto"/>
                <w:sz w:val="18"/>
                <w:szCs w:val="18"/>
              </w:rPr>
            </w:pPr>
          </w:p>
          <w:p w14:paraId="3F502EF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0.1793</w:t>
            </w:r>
          </w:p>
          <w:p w14:paraId="3D99A58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0.1613</w:t>
            </w:r>
          </w:p>
          <w:p w14:paraId="5CD29CF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0.1445</w:t>
            </w:r>
          </w:p>
          <w:p w14:paraId="7E39D14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0.1294</w:t>
            </w:r>
          </w:p>
          <w:p w14:paraId="0E55997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0.1158</w:t>
            </w:r>
          </w:p>
          <w:p w14:paraId="78BB9B2C">
            <w:pPr>
              <w:adjustRightInd w:val="0"/>
              <w:snapToGrid w:val="0"/>
              <w:spacing w:line="200" w:lineRule="exact"/>
              <w:ind w:left="11" w:leftChars="-29" w:right="-84" w:rightChars="-40" w:hanging="72" w:hangingChars="40"/>
              <w:jc w:val="center"/>
              <w:rPr>
                <w:color w:val="auto"/>
                <w:sz w:val="18"/>
                <w:szCs w:val="18"/>
              </w:rPr>
            </w:pPr>
          </w:p>
          <w:p w14:paraId="2AC0C65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0.1039</w:t>
            </w:r>
          </w:p>
          <w:p w14:paraId="6C35FED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0.0943</w:t>
            </w:r>
          </w:p>
          <w:p w14:paraId="30345DA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0.0842</w:t>
            </w:r>
          </w:p>
          <w:p w14:paraId="3E06DB7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0.0760</w:t>
            </w:r>
          </w:p>
          <w:p w14:paraId="44531E1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0.0689</w:t>
            </w:r>
          </w:p>
          <w:p w14:paraId="665E8B11">
            <w:pPr>
              <w:adjustRightInd w:val="0"/>
              <w:snapToGrid w:val="0"/>
              <w:spacing w:line="200" w:lineRule="exact"/>
              <w:ind w:left="11" w:leftChars="-29" w:right="-84" w:rightChars="-40" w:hanging="72" w:hangingChars="40"/>
              <w:jc w:val="center"/>
              <w:rPr>
                <w:color w:val="auto"/>
                <w:sz w:val="18"/>
                <w:szCs w:val="18"/>
              </w:rPr>
            </w:pPr>
          </w:p>
          <w:p w14:paraId="5292CCF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0.0627</w:t>
            </w:r>
          </w:p>
          <w:p w14:paraId="50A8E4B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0.0571</w:t>
            </w:r>
          </w:p>
          <w:p w14:paraId="445FE82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0.0523</w:t>
            </w:r>
          </w:p>
          <w:p w14:paraId="0D93CA5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0.0479</w:t>
            </w:r>
          </w:p>
          <w:p w14:paraId="3166FBC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0.0441</w:t>
            </w:r>
          </w:p>
          <w:p w14:paraId="617E2422">
            <w:pPr>
              <w:adjustRightInd w:val="0"/>
              <w:snapToGrid w:val="0"/>
              <w:spacing w:line="200" w:lineRule="exact"/>
              <w:ind w:left="11" w:leftChars="-29" w:right="-84" w:rightChars="-40" w:hanging="72" w:hangingChars="40"/>
              <w:jc w:val="center"/>
              <w:rPr>
                <w:color w:val="auto"/>
                <w:sz w:val="18"/>
                <w:szCs w:val="18"/>
              </w:rPr>
            </w:pPr>
          </w:p>
          <w:p w14:paraId="3792E22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0.0407</w:t>
            </w:r>
          </w:p>
          <w:p w14:paraId="54ABBB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0.0376</w:t>
            </w:r>
          </w:p>
          <w:p w14:paraId="31AC30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0.0348</w:t>
            </w:r>
          </w:p>
          <w:p w14:paraId="6C5675F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0.0324</w:t>
            </w:r>
          </w:p>
          <w:p w14:paraId="160570F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0.0301</w:t>
            </w:r>
          </w:p>
          <w:p w14:paraId="1EACA786">
            <w:pPr>
              <w:adjustRightInd w:val="0"/>
              <w:snapToGrid w:val="0"/>
              <w:spacing w:line="200" w:lineRule="exact"/>
              <w:ind w:left="11" w:leftChars="-29" w:right="-84" w:rightChars="-40" w:hanging="72" w:hangingChars="40"/>
              <w:jc w:val="center"/>
              <w:rPr>
                <w:color w:val="auto"/>
                <w:sz w:val="18"/>
                <w:szCs w:val="18"/>
              </w:rPr>
            </w:pPr>
          </w:p>
          <w:p w14:paraId="483A689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0.0218</w:t>
            </w:r>
          </w:p>
          <w:p w14:paraId="7625EA0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0.0164</w:t>
            </w:r>
          </w:p>
          <w:p w14:paraId="4578A64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0.0127</w:t>
            </w:r>
          </w:p>
          <w:p w14:paraId="3073AE6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0.0102</w:t>
            </w:r>
          </w:p>
          <w:p w14:paraId="006FA5B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0.0083</w:t>
            </w:r>
          </w:p>
          <w:p w14:paraId="7DBA41B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0.0058</w:t>
            </w:r>
          </w:p>
          <w:p w14:paraId="7DFD59AB">
            <w:pPr>
              <w:adjustRightInd w:val="0"/>
              <w:snapToGrid w:val="0"/>
              <w:spacing w:line="200" w:lineRule="exact"/>
              <w:ind w:left="11" w:leftChars="-29" w:right="-84" w:rightChars="-40" w:hanging="72" w:hangingChars="40"/>
              <w:jc w:val="center"/>
              <w:rPr>
                <w:color w:val="auto"/>
                <w:sz w:val="18"/>
                <w:szCs w:val="18"/>
              </w:rPr>
            </w:pPr>
          </w:p>
          <w:p w14:paraId="3189F20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0.0043</w:t>
            </w:r>
          </w:p>
          <w:p w14:paraId="23F9DCB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0.0038</w:t>
            </w:r>
          </w:p>
          <w:p w14:paraId="226FF57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0.0033</w:t>
            </w:r>
          </w:p>
          <w:p w14:paraId="6EDCC5B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0.0026</w:t>
            </w:r>
          </w:p>
          <w:p w14:paraId="4F1F873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0.0021</w:t>
            </w:r>
          </w:p>
        </w:tc>
        <w:tc>
          <w:tcPr>
            <w:tcW w:w="780" w:type="dxa"/>
          </w:tcPr>
          <w:p w14:paraId="1EEC785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15A5F19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0.2491</w:t>
            </w:r>
          </w:p>
          <w:p w14:paraId="3C72A2A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0.2439</w:t>
            </w:r>
          </w:p>
          <w:p w14:paraId="04FED47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0.2330</w:t>
            </w:r>
          </w:p>
          <w:p w14:paraId="3131ED6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0.2176</w:t>
            </w:r>
          </w:p>
          <w:p w14:paraId="73DA037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0.1999</w:t>
            </w:r>
          </w:p>
          <w:p w14:paraId="50B98966">
            <w:pPr>
              <w:adjustRightInd w:val="0"/>
              <w:snapToGrid w:val="0"/>
              <w:spacing w:line="200" w:lineRule="exact"/>
              <w:ind w:left="11" w:leftChars="-29" w:right="-84" w:rightChars="-40" w:hanging="72" w:hangingChars="40"/>
              <w:jc w:val="center"/>
              <w:rPr>
                <w:color w:val="auto"/>
                <w:sz w:val="18"/>
                <w:szCs w:val="18"/>
              </w:rPr>
            </w:pPr>
          </w:p>
          <w:p w14:paraId="46BAD43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0.1818</w:t>
            </w:r>
          </w:p>
          <w:p w14:paraId="5980C5D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0.1644</w:t>
            </w:r>
          </w:p>
          <w:p w14:paraId="23D2CEB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0.1482</w:t>
            </w:r>
          </w:p>
          <w:p w14:paraId="1D8C8D5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0.1334</w:t>
            </w:r>
          </w:p>
          <w:p w14:paraId="7CD0FBD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0.1202</w:t>
            </w:r>
          </w:p>
          <w:p w14:paraId="11789AE0">
            <w:pPr>
              <w:adjustRightInd w:val="0"/>
              <w:snapToGrid w:val="0"/>
              <w:spacing w:line="200" w:lineRule="exact"/>
              <w:ind w:left="11" w:leftChars="-29" w:right="-84" w:rightChars="-40" w:hanging="72" w:hangingChars="40"/>
              <w:jc w:val="center"/>
              <w:rPr>
                <w:color w:val="auto"/>
                <w:sz w:val="18"/>
                <w:szCs w:val="18"/>
              </w:rPr>
            </w:pPr>
          </w:p>
          <w:p w14:paraId="636CC28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0.1084</w:t>
            </w:r>
          </w:p>
          <w:p w14:paraId="097BEA7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0.0979</w:t>
            </w:r>
          </w:p>
          <w:p w14:paraId="1FC75BF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0.0886</w:t>
            </w:r>
          </w:p>
          <w:p w14:paraId="63AE947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0.0805</w:t>
            </w:r>
          </w:p>
          <w:p w14:paraId="3BB0C45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0.0732</w:t>
            </w:r>
          </w:p>
          <w:p w14:paraId="606B4705">
            <w:pPr>
              <w:adjustRightInd w:val="0"/>
              <w:snapToGrid w:val="0"/>
              <w:spacing w:line="200" w:lineRule="exact"/>
              <w:ind w:left="11" w:leftChars="-29" w:right="-84" w:rightChars="-40" w:hanging="72" w:hangingChars="40"/>
              <w:jc w:val="center"/>
              <w:rPr>
                <w:color w:val="auto"/>
                <w:sz w:val="18"/>
                <w:szCs w:val="18"/>
              </w:rPr>
            </w:pPr>
          </w:p>
          <w:p w14:paraId="45EB7F5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0.0668</w:t>
            </w:r>
          </w:p>
          <w:p w14:paraId="0145DB9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0.0611</w:t>
            </w:r>
          </w:p>
          <w:p w14:paraId="6F0FEF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0.0561</w:t>
            </w:r>
          </w:p>
          <w:p w14:paraId="06B3861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0.0516</w:t>
            </w:r>
          </w:p>
          <w:p w14:paraId="4C0FA64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0.0475</w:t>
            </w:r>
          </w:p>
          <w:p w14:paraId="5162E951">
            <w:pPr>
              <w:adjustRightInd w:val="0"/>
              <w:snapToGrid w:val="0"/>
              <w:spacing w:line="200" w:lineRule="exact"/>
              <w:ind w:left="11" w:leftChars="-29" w:right="-84" w:rightChars="-40" w:hanging="72" w:hangingChars="40"/>
              <w:jc w:val="center"/>
              <w:rPr>
                <w:color w:val="auto"/>
                <w:sz w:val="18"/>
                <w:szCs w:val="18"/>
              </w:rPr>
            </w:pPr>
          </w:p>
          <w:p w14:paraId="21E14CB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0.0439</w:t>
            </w:r>
          </w:p>
          <w:p w14:paraId="7832AD9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0.0407</w:t>
            </w:r>
          </w:p>
          <w:p w14:paraId="417D057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0.0378</w:t>
            </w:r>
          </w:p>
          <w:p w14:paraId="77A64FE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0.0352</w:t>
            </w:r>
          </w:p>
          <w:p w14:paraId="3AB8795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0.0328</w:t>
            </w:r>
          </w:p>
          <w:p w14:paraId="5BB1380D">
            <w:pPr>
              <w:adjustRightInd w:val="0"/>
              <w:snapToGrid w:val="0"/>
              <w:spacing w:line="200" w:lineRule="exact"/>
              <w:ind w:left="11" w:leftChars="-29" w:right="-84" w:rightChars="-40" w:hanging="72" w:hangingChars="40"/>
              <w:jc w:val="center"/>
              <w:rPr>
                <w:color w:val="auto"/>
                <w:sz w:val="18"/>
                <w:szCs w:val="18"/>
              </w:rPr>
            </w:pPr>
          </w:p>
          <w:p w14:paraId="4A74FDB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0.0238</w:t>
            </w:r>
          </w:p>
          <w:p w14:paraId="79064B4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0.0180</w:t>
            </w:r>
          </w:p>
          <w:p w14:paraId="2E762F3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0.0140</w:t>
            </w:r>
          </w:p>
          <w:p w14:paraId="1512C38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0.0112</w:t>
            </w:r>
          </w:p>
          <w:p w14:paraId="705CC2D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0.0092</w:t>
            </w:r>
          </w:p>
          <w:p w14:paraId="6A9EC8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0.0064</w:t>
            </w:r>
          </w:p>
          <w:p w14:paraId="102E7E6D">
            <w:pPr>
              <w:adjustRightInd w:val="0"/>
              <w:snapToGrid w:val="0"/>
              <w:spacing w:line="200" w:lineRule="exact"/>
              <w:ind w:left="11" w:leftChars="-29" w:right="-84" w:rightChars="-40" w:hanging="72" w:hangingChars="40"/>
              <w:jc w:val="center"/>
              <w:rPr>
                <w:color w:val="auto"/>
                <w:sz w:val="18"/>
                <w:szCs w:val="18"/>
              </w:rPr>
            </w:pPr>
          </w:p>
          <w:p w14:paraId="6B887B3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0.0048</w:t>
            </w:r>
          </w:p>
          <w:p w14:paraId="2913056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0.0042</w:t>
            </w:r>
          </w:p>
          <w:p w14:paraId="525974C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0.0037</w:t>
            </w:r>
          </w:p>
          <w:p w14:paraId="5917D4E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0.0029</w:t>
            </w:r>
          </w:p>
          <w:p w14:paraId="653105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0.0024</w:t>
            </w:r>
          </w:p>
        </w:tc>
        <w:tc>
          <w:tcPr>
            <w:tcW w:w="779" w:type="dxa"/>
          </w:tcPr>
          <w:p w14:paraId="38F42F0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24E8949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0.2491</w:t>
            </w:r>
          </w:p>
          <w:p w14:paraId="41F2C61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0.2440</w:t>
            </w:r>
          </w:p>
          <w:p w14:paraId="7EB4800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0.2333</w:t>
            </w:r>
          </w:p>
          <w:p w14:paraId="0C1C789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0.2183</w:t>
            </w:r>
          </w:p>
          <w:p w14:paraId="1C1A78D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0.2012</w:t>
            </w:r>
          </w:p>
          <w:p w14:paraId="1C1A400D">
            <w:pPr>
              <w:adjustRightInd w:val="0"/>
              <w:snapToGrid w:val="0"/>
              <w:spacing w:line="200" w:lineRule="exact"/>
              <w:ind w:left="11" w:leftChars="-29" w:right="-84" w:rightChars="-40" w:hanging="72" w:hangingChars="40"/>
              <w:jc w:val="center"/>
              <w:rPr>
                <w:color w:val="auto"/>
                <w:sz w:val="18"/>
                <w:szCs w:val="18"/>
              </w:rPr>
            </w:pPr>
          </w:p>
          <w:p w14:paraId="1C47D93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0.1836</w:t>
            </w:r>
          </w:p>
          <w:p w14:paraId="3864093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0.1667</w:t>
            </w:r>
          </w:p>
          <w:p w14:paraId="4F04C85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0.1509</w:t>
            </w:r>
          </w:p>
          <w:p w14:paraId="742A70C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0.1365</w:t>
            </w:r>
          </w:p>
          <w:p w14:paraId="5AA1D9A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0.1236</w:t>
            </w:r>
          </w:p>
          <w:p w14:paraId="727669F9">
            <w:pPr>
              <w:adjustRightInd w:val="0"/>
              <w:snapToGrid w:val="0"/>
              <w:spacing w:line="200" w:lineRule="exact"/>
              <w:ind w:left="11" w:leftChars="-29" w:right="-84" w:rightChars="-40" w:hanging="72" w:hangingChars="40"/>
              <w:jc w:val="center"/>
              <w:rPr>
                <w:color w:val="auto"/>
                <w:sz w:val="18"/>
                <w:szCs w:val="18"/>
              </w:rPr>
            </w:pPr>
          </w:p>
          <w:p w14:paraId="48E4E59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0.1120</w:t>
            </w:r>
          </w:p>
          <w:p w14:paraId="57AF61A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0.1016</w:t>
            </w:r>
          </w:p>
          <w:p w14:paraId="599ED1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0.0924</w:t>
            </w:r>
          </w:p>
          <w:p w14:paraId="5C2082B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0.0842</w:t>
            </w:r>
          </w:p>
          <w:p w14:paraId="5184C69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0.0769</w:t>
            </w:r>
          </w:p>
          <w:p w14:paraId="2C642E24">
            <w:pPr>
              <w:adjustRightInd w:val="0"/>
              <w:snapToGrid w:val="0"/>
              <w:spacing w:line="200" w:lineRule="exact"/>
              <w:ind w:left="11" w:leftChars="-29" w:right="-84" w:rightChars="-40" w:hanging="72" w:hangingChars="40"/>
              <w:jc w:val="center"/>
              <w:rPr>
                <w:color w:val="auto"/>
                <w:sz w:val="18"/>
                <w:szCs w:val="18"/>
              </w:rPr>
            </w:pPr>
          </w:p>
          <w:p w14:paraId="70B2E42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0.0704</w:t>
            </w:r>
          </w:p>
          <w:p w14:paraId="37049FF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0.0646</w:t>
            </w:r>
          </w:p>
          <w:p w14:paraId="23DA522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0.0594</w:t>
            </w:r>
          </w:p>
          <w:p w14:paraId="0C4C37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0.0548</w:t>
            </w:r>
          </w:p>
          <w:p w14:paraId="0449D9E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0.0507</w:t>
            </w:r>
          </w:p>
          <w:p w14:paraId="65B6E3FD">
            <w:pPr>
              <w:adjustRightInd w:val="0"/>
              <w:snapToGrid w:val="0"/>
              <w:spacing w:line="200" w:lineRule="exact"/>
              <w:ind w:left="11" w:leftChars="-29" w:right="-84" w:rightChars="-40" w:hanging="72" w:hangingChars="40"/>
              <w:jc w:val="center"/>
              <w:rPr>
                <w:color w:val="auto"/>
                <w:sz w:val="18"/>
                <w:szCs w:val="18"/>
              </w:rPr>
            </w:pPr>
          </w:p>
          <w:p w14:paraId="0631FE1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0.0469</w:t>
            </w:r>
          </w:p>
          <w:p w14:paraId="354ACA9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0.0436</w:t>
            </w:r>
          </w:p>
          <w:p w14:paraId="19A1CF5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0.0405</w:t>
            </w:r>
          </w:p>
          <w:p w14:paraId="0925E4B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0.0378</w:t>
            </w:r>
          </w:p>
          <w:p w14:paraId="3D2B4A7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0.0353</w:t>
            </w:r>
          </w:p>
          <w:p w14:paraId="03972E3F">
            <w:pPr>
              <w:adjustRightInd w:val="0"/>
              <w:snapToGrid w:val="0"/>
              <w:spacing w:line="200" w:lineRule="exact"/>
              <w:ind w:left="11" w:leftChars="-29" w:right="-84" w:rightChars="-40" w:hanging="72" w:hangingChars="40"/>
              <w:jc w:val="center"/>
              <w:rPr>
                <w:color w:val="auto"/>
                <w:sz w:val="18"/>
                <w:szCs w:val="18"/>
              </w:rPr>
            </w:pPr>
          </w:p>
          <w:p w14:paraId="49276B4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0.0257</w:t>
            </w:r>
          </w:p>
          <w:p w14:paraId="2407555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0.0195</w:t>
            </w:r>
          </w:p>
          <w:p w14:paraId="5FA6D2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0.0153</w:t>
            </w:r>
          </w:p>
          <w:p w14:paraId="708A657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0.0122</w:t>
            </w:r>
          </w:p>
          <w:p w14:paraId="6F57614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0.0100</w:t>
            </w:r>
          </w:p>
          <w:p w14:paraId="7C1D7C6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0.0071</w:t>
            </w:r>
          </w:p>
          <w:p w14:paraId="12025E30">
            <w:pPr>
              <w:adjustRightInd w:val="0"/>
              <w:snapToGrid w:val="0"/>
              <w:spacing w:line="200" w:lineRule="exact"/>
              <w:ind w:left="11" w:leftChars="-29" w:right="-84" w:rightChars="-40" w:hanging="72" w:hangingChars="40"/>
              <w:jc w:val="center"/>
              <w:rPr>
                <w:color w:val="auto"/>
                <w:sz w:val="18"/>
                <w:szCs w:val="18"/>
              </w:rPr>
            </w:pPr>
          </w:p>
          <w:p w14:paraId="3C54E78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0.0052</w:t>
            </w:r>
          </w:p>
          <w:p w14:paraId="286429B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0.0046</w:t>
            </w:r>
          </w:p>
          <w:p w14:paraId="78E0908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0.0040</w:t>
            </w:r>
          </w:p>
          <w:p w14:paraId="2B91A0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0.0032</w:t>
            </w:r>
          </w:p>
          <w:p w14:paraId="6255CCD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0.0026</w:t>
            </w:r>
          </w:p>
        </w:tc>
        <w:tc>
          <w:tcPr>
            <w:tcW w:w="779" w:type="dxa"/>
          </w:tcPr>
          <w:p w14:paraId="10DE66F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 xml:space="preserve">0.2500 </w:t>
            </w:r>
          </w:p>
          <w:p w14:paraId="19E3DE4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0.2492</w:t>
            </w:r>
          </w:p>
          <w:p w14:paraId="257570A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0.2441</w:t>
            </w:r>
          </w:p>
          <w:p w14:paraId="1571F15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0.2336</w:t>
            </w:r>
          </w:p>
          <w:p w14:paraId="35FE611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0.2188</w:t>
            </w:r>
          </w:p>
          <w:p w14:paraId="47A7CCE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0.2020</w:t>
            </w:r>
          </w:p>
          <w:p w14:paraId="0E69A667">
            <w:pPr>
              <w:adjustRightInd w:val="0"/>
              <w:snapToGrid w:val="0"/>
              <w:spacing w:line="200" w:lineRule="exact"/>
              <w:ind w:left="11" w:leftChars="-29" w:right="-84" w:rightChars="-40" w:hanging="72" w:hangingChars="40"/>
              <w:jc w:val="center"/>
              <w:rPr>
                <w:color w:val="auto"/>
                <w:sz w:val="18"/>
                <w:szCs w:val="18"/>
              </w:rPr>
            </w:pPr>
          </w:p>
          <w:p w14:paraId="6EF6931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0.1849</w:t>
            </w:r>
          </w:p>
          <w:p w14:paraId="07AB987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0.1684</w:t>
            </w:r>
          </w:p>
          <w:p w14:paraId="58F86E4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0.1530</w:t>
            </w:r>
          </w:p>
          <w:p w14:paraId="034928C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0.1389</w:t>
            </w:r>
          </w:p>
          <w:p w14:paraId="11915FC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0.1263</w:t>
            </w:r>
          </w:p>
          <w:p w14:paraId="66557C65">
            <w:pPr>
              <w:adjustRightInd w:val="0"/>
              <w:snapToGrid w:val="0"/>
              <w:spacing w:line="200" w:lineRule="exact"/>
              <w:ind w:left="11" w:leftChars="-29" w:right="-84" w:rightChars="-40" w:hanging="72" w:hangingChars="40"/>
              <w:jc w:val="center"/>
              <w:rPr>
                <w:color w:val="auto"/>
                <w:sz w:val="18"/>
                <w:szCs w:val="18"/>
              </w:rPr>
            </w:pPr>
          </w:p>
          <w:p w14:paraId="1778EA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0.1149</w:t>
            </w:r>
          </w:p>
          <w:p w14:paraId="3F59D4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0.1047</w:t>
            </w:r>
          </w:p>
          <w:p w14:paraId="54785EA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0.0955</w:t>
            </w:r>
          </w:p>
          <w:p w14:paraId="0AAFA21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0.0874</w:t>
            </w:r>
          </w:p>
          <w:p w14:paraId="544F259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0.0801</w:t>
            </w:r>
          </w:p>
          <w:p w14:paraId="74DA7C33">
            <w:pPr>
              <w:adjustRightInd w:val="0"/>
              <w:snapToGrid w:val="0"/>
              <w:spacing w:line="200" w:lineRule="exact"/>
              <w:ind w:left="11" w:leftChars="-29" w:right="-84" w:rightChars="-40" w:hanging="72" w:hangingChars="40"/>
              <w:jc w:val="center"/>
              <w:rPr>
                <w:color w:val="auto"/>
                <w:sz w:val="18"/>
                <w:szCs w:val="18"/>
              </w:rPr>
            </w:pPr>
          </w:p>
          <w:p w14:paraId="0C34399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0.0735</w:t>
            </w:r>
          </w:p>
          <w:p w14:paraId="23BC2AF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0.0674</w:t>
            </w:r>
          </w:p>
          <w:p w14:paraId="6833B8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0.0624</w:t>
            </w:r>
          </w:p>
          <w:p w14:paraId="7652F1D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0.0577</w:t>
            </w:r>
          </w:p>
          <w:p w14:paraId="15D4016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0.0535</w:t>
            </w:r>
          </w:p>
          <w:p w14:paraId="391C9CB8">
            <w:pPr>
              <w:adjustRightInd w:val="0"/>
              <w:snapToGrid w:val="0"/>
              <w:spacing w:line="200" w:lineRule="exact"/>
              <w:ind w:left="11" w:leftChars="-29" w:right="-84" w:rightChars="-40" w:hanging="72" w:hangingChars="40"/>
              <w:jc w:val="center"/>
              <w:rPr>
                <w:color w:val="auto"/>
                <w:sz w:val="18"/>
                <w:szCs w:val="18"/>
              </w:rPr>
            </w:pPr>
          </w:p>
          <w:p w14:paraId="2F99CEE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0.0496</w:t>
            </w:r>
          </w:p>
          <w:p w14:paraId="4883B64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0.0462</w:t>
            </w:r>
          </w:p>
          <w:p w14:paraId="5F3DE25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0.0430</w:t>
            </w:r>
          </w:p>
          <w:p w14:paraId="76B5CA7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0.0402</w:t>
            </w:r>
          </w:p>
          <w:p w14:paraId="1227CE0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0.0376</w:t>
            </w:r>
          </w:p>
          <w:p w14:paraId="4CFF1FDA">
            <w:pPr>
              <w:adjustRightInd w:val="0"/>
              <w:snapToGrid w:val="0"/>
              <w:spacing w:line="200" w:lineRule="exact"/>
              <w:ind w:left="11" w:leftChars="-29" w:right="-84" w:rightChars="-40" w:hanging="72" w:hangingChars="40"/>
              <w:jc w:val="center"/>
              <w:rPr>
                <w:color w:val="auto"/>
                <w:sz w:val="18"/>
                <w:szCs w:val="18"/>
              </w:rPr>
            </w:pPr>
          </w:p>
          <w:p w14:paraId="35E8212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0.0276</w:t>
            </w:r>
          </w:p>
          <w:p w14:paraId="7CCFEEC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0.0210</w:t>
            </w:r>
          </w:p>
          <w:p w14:paraId="1F0CBB8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0.0165</w:t>
            </w:r>
          </w:p>
          <w:p w14:paraId="17B20C6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0.0132</w:t>
            </w:r>
          </w:p>
          <w:p w14:paraId="3CDFBC5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0.0109</w:t>
            </w:r>
          </w:p>
          <w:p w14:paraId="2BAB982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0.0077</w:t>
            </w:r>
          </w:p>
          <w:p w14:paraId="630455A6">
            <w:pPr>
              <w:adjustRightInd w:val="0"/>
              <w:snapToGrid w:val="0"/>
              <w:spacing w:line="200" w:lineRule="exact"/>
              <w:ind w:left="11" w:leftChars="-29" w:right="-84" w:rightChars="-40" w:hanging="72" w:hangingChars="40"/>
              <w:jc w:val="center"/>
              <w:rPr>
                <w:color w:val="auto"/>
                <w:sz w:val="18"/>
                <w:szCs w:val="18"/>
              </w:rPr>
            </w:pPr>
          </w:p>
          <w:p w14:paraId="2B8B130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0.0057</w:t>
            </w:r>
          </w:p>
          <w:p w14:paraId="1835BE7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0.0050</w:t>
            </w:r>
          </w:p>
          <w:p w14:paraId="3B31C0E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0.0044</w:t>
            </w:r>
          </w:p>
          <w:p w14:paraId="44AFC64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0.0035</w:t>
            </w:r>
          </w:p>
          <w:p w14:paraId="7D69B1A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0.0028</w:t>
            </w:r>
          </w:p>
        </w:tc>
        <w:tc>
          <w:tcPr>
            <w:tcW w:w="780" w:type="dxa"/>
          </w:tcPr>
          <w:p w14:paraId="73480EA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 xml:space="preserve">0.2500 </w:t>
            </w:r>
          </w:p>
          <w:p w14:paraId="699FB0C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0.2492</w:t>
            </w:r>
          </w:p>
          <w:p w14:paraId="1702C99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0.2442</w:t>
            </w:r>
          </w:p>
          <w:p w14:paraId="4853679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0.2337</w:t>
            </w:r>
          </w:p>
          <w:p w14:paraId="7037F32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0.2192</w:t>
            </w:r>
          </w:p>
          <w:p w14:paraId="05CE262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0.2026</w:t>
            </w:r>
          </w:p>
          <w:p w14:paraId="4E28FDBB">
            <w:pPr>
              <w:adjustRightInd w:val="0"/>
              <w:snapToGrid w:val="0"/>
              <w:spacing w:line="200" w:lineRule="exact"/>
              <w:ind w:left="11" w:leftChars="-29" w:right="-84" w:rightChars="-40" w:hanging="72" w:hangingChars="40"/>
              <w:jc w:val="center"/>
              <w:rPr>
                <w:color w:val="auto"/>
                <w:sz w:val="18"/>
                <w:szCs w:val="18"/>
              </w:rPr>
            </w:pPr>
          </w:p>
          <w:p w14:paraId="728AEE9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0.1858</w:t>
            </w:r>
          </w:p>
          <w:p w14:paraId="1BA1BDB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0.1696</w:t>
            </w:r>
          </w:p>
          <w:p w14:paraId="3C0529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0.1545</w:t>
            </w:r>
          </w:p>
          <w:p w14:paraId="6E59DC5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0.1408</w:t>
            </w:r>
          </w:p>
          <w:p w14:paraId="75D16E5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0.1284</w:t>
            </w:r>
          </w:p>
          <w:p w14:paraId="009374BA">
            <w:pPr>
              <w:adjustRightInd w:val="0"/>
              <w:snapToGrid w:val="0"/>
              <w:spacing w:line="200" w:lineRule="exact"/>
              <w:ind w:left="11" w:leftChars="-29" w:right="-84" w:rightChars="-40" w:hanging="72" w:hangingChars="40"/>
              <w:jc w:val="center"/>
              <w:rPr>
                <w:color w:val="auto"/>
                <w:sz w:val="18"/>
                <w:szCs w:val="18"/>
              </w:rPr>
            </w:pPr>
          </w:p>
          <w:p w14:paraId="59FC246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0.1172</w:t>
            </w:r>
          </w:p>
          <w:p w14:paraId="744F14C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0.1071</w:t>
            </w:r>
          </w:p>
          <w:p w14:paraId="0A9EF6C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0.0981</w:t>
            </w:r>
          </w:p>
          <w:p w14:paraId="3058E91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0.0900</w:t>
            </w:r>
          </w:p>
          <w:p w14:paraId="59C9DF7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0.0828</w:t>
            </w:r>
          </w:p>
          <w:p w14:paraId="08EDDB05">
            <w:pPr>
              <w:adjustRightInd w:val="0"/>
              <w:snapToGrid w:val="0"/>
              <w:spacing w:line="200" w:lineRule="exact"/>
              <w:ind w:left="11" w:leftChars="-29" w:right="-84" w:rightChars="-40" w:hanging="72" w:hangingChars="40"/>
              <w:jc w:val="center"/>
              <w:rPr>
                <w:color w:val="auto"/>
                <w:sz w:val="18"/>
                <w:szCs w:val="18"/>
              </w:rPr>
            </w:pPr>
          </w:p>
          <w:p w14:paraId="084153F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0.0762</w:t>
            </w:r>
          </w:p>
          <w:p w14:paraId="165E408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0.0704</w:t>
            </w:r>
          </w:p>
          <w:p w14:paraId="5309BEC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0.0651</w:t>
            </w:r>
          </w:p>
          <w:p w14:paraId="4E7D0BB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0.0603</w:t>
            </w:r>
          </w:p>
          <w:p w14:paraId="640E798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0.0560</w:t>
            </w:r>
          </w:p>
          <w:p w14:paraId="7B2F5FC2">
            <w:pPr>
              <w:adjustRightInd w:val="0"/>
              <w:snapToGrid w:val="0"/>
              <w:spacing w:line="200" w:lineRule="exact"/>
              <w:ind w:left="11" w:leftChars="-29" w:right="-84" w:rightChars="-40" w:hanging="72" w:hangingChars="40"/>
              <w:jc w:val="center"/>
              <w:rPr>
                <w:color w:val="auto"/>
                <w:sz w:val="18"/>
                <w:szCs w:val="18"/>
              </w:rPr>
            </w:pPr>
          </w:p>
          <w:p w14:paraId="5E6E8A2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0.0521</w:t>
            </w:r>
          </w:p>
          <w:p w14:paraId="0E878B0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0.0485</w:t>
            </w:r>
          </w:p>
          <w:p w14:paraId="7BE6F3E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0.0453</w:t>
            </w:r>
          </w:p>
          <w:p w14:paraId="66E261C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0.0424</w:t>
            </w:r>
          </w:p>
          <w:p w14:paraId="1102E24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0.0397</w:t>
            </w:r>
          </w:p>
          <w:p w14:paraId="68526D44">
            <w:pPr>
              <w:adjustRightInd w:val="0"/>
              <w:snapToGrid w:val="0"/>
              <w:spacing w:line="200" w:lineRule="exact"/>
              <w:ind w:left="11" w:leftChars="-29" w:right="-84" w:rightChars="-40" w:hanging="72" w:hangingChars="40"/>
              <w:jc w:val="center"/>
              <w:rPr>
                <w:color w:val="auto"/>
                <w:sz w:val="18"/>
                <w:szCs w:val="18"/>
              </w:rPr>
            </w:pPr>
          </w:p>
          <w:p w14:paraId="0028263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0.0293</w:t>
            </w:r>
          </w:p>
          <w:p w14:paraId="657DA3B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0.0224</w:t>
            </w:r>
          </w:p>
          <w:p w14:paraId="7EE869B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0.0176</w:t>
            </w:r>
          </w:p>
          <w:p w14:paraId="4EE8B65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0.0142</w:t>
            </w:r>
          </w:p>
          <w:p w14:paraId="4EA581F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0.0117</w:t>
            </w:r>
          </w:p>
          <w:p w14:paraId="253FAB8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0.0083</w:t>
            </w:r>
          </w:p>
          <w:p w14:paraId="3DCD691C">
            <w:pPr>
              <w:adjustRightInd w:val="0"/>
              <w:snapToGrid w:val="0"/>
              <w:spacing w:line="200" w:lineRule="exact"/>
              <w:ind w:left="11" w:leftChars="-29" w:right="-84" w:rightChars="-40" w:hanging="72" w:hangingChars="40"/>
              <w:jc w:val="center"/>
              <w:rPr>
                <w:color w:val="auto"/>
                <w:sz w:val="18"/>
                <w:szCs w:val="18"/>
              </w:rPr>
            </w:pPr>
          </w:p>
          <w:p w14:paraId="4988E29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0.0061</w:t>
            </w:r>
          </w:p>
          <w:p w14:paraId="482EC30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0.0054</w:t>
            </w:r>
          </w:p>
          <w:p w14:paraId="7306383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0.0047</w:t>
            </w:r>
          </w:p>
          <w:p w14:paraId="1D20337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0.0038</w:t>
            </w:r>
          </w:p>
          <w:p w14:paraId="2B6FC7B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0.0031</w:t>
            </w:r>
          </w:p>
        </w:tc>
        <w:tc>
          <w:tcPr>
            <w:tcW w:w="779" w:type="dxa"/>
          </w:tcPr>
          <w:p w14:paraId="4CD410E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7C79A24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0.2492</w:t>
            </w:r>
          </w:p>
          <w:p w14:paraId="6E67FB9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0.2442</w:t>
            </w:r>
          </w:p>
          <w:p w14:paraId="1B0042E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0.2338</w:t>
            </w:r>
          </w:p>
          <w:p w14:paraId="3CA4BF2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0.2194</w:t>
            </w:r>
          </w:p>
          <w:p w14:paraId="6F5B31C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0.2031</w:t>
            </w:r>
          </w:p>
          <w:p w14:paraId="24D93FB2">
            <w:pPr>
              <w:adjustRightInd w:val="0"/>
              <w:snapToGrid w:val="0"/>
              <w:spacing w:line="200" w:lineRule="exact"/>
              <w:ind w:left="11" w:leftChars="-29" w:right="-84" w:rightChars="-40" w:hanging="72" w:hangingChars="40"/>
              <w:jc w:val="center"/>
              <w:rPr>
                <w:color w:val="auto"/>
                <w:sz w:val="18"/>
                <w:szCs w:val="18"/>
              </w:rPr>
            </w:pPr>
          </w:p>
          <w:p w14:paraId="74144B6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0.1865</w:t>
            </w:r>
          </w:p>
          <w:p w14:paraId="1D96DD3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0.1705</w:t>
            </w:r>
          </w:p>
          <w:p w14:paraId="6A93479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0.1557</w:t>
            </w:r>
          </w:p>
          <w:p w14:paraId="4DFA96C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0.1422</w:t>
            </w:r>
          </w:p>
          <w:p w14:paraId="1FA6986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0.1300</w:t>
            </w:r>
          </w:p>
          <w:p w14:paraId="67734321">
            <w:pPr>
              <w:adjustRightInd w:val="0"/>
              <w:snapToGrid w:val="0"/>
              <w:spacing w:line="200" w:lineRule="exact"/>
              <w:ind w:left="11" w:leftChars="-29" w:right="-84" w:rightChars="-40" w:hanging="72" w:hangingChars="40"/>
              <w:jc w:val="center"/>
              <w:rPr>
                <w:color w:val="auto"/>
                <w:sz w:val="18"/>
                <w:szCs w:val="18"/>
              </w:rPr>
            </w:pPr>
          </w:p>
          <w:p w14:paraId="0BB917A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0.1190</w:t>
            </w:r>
          </w:p>
          <w:p w14:paraId="094B691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0.1092</w:t>
            </w:r>
          </w:p>
          <w:p w14:paraId="49DDB1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0.1003</w:t>
            </w:r>
          </w:p>
          <w:p w14:paraId="0BFE92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0.0923</w:t>
            </w:r>
          </w:p>
          <w:p w14:paraId="6FAEA8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0.0851</w:t>
            </w:r>
          </w:p>
          <w:p w14:paraId="78F4CEFF">
            <w:pPr>
              <w:adjustRightInd w:val="0"/>
              <w:snapToGrid w:val="0"/>
              <w:spacing w:line="200" w:lineRule="exact"/>
              <w:ind w:left="11" w:leftChars="-29" w:right="-84" w:rightChars="-40" w:hanging="72" w:hangingChars="40"/>
              <w:jc w:val="center"/>
              <w:rPr>
                <w:color w:val="auto"/>
                <w:sz w:val="18"/>
                <w:szCs w:val="18"/>
              </w:rPr>
            </w:pPr>
          </w:p>
          <w:p w14:paraId="715480C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0.0786</w:t>
            </w:r>
          </w:p>
          <w:p w14:paraId="7B6DA35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0.0727</w:t>
            </w:r>
          </w:p>
          <w:p w14:paraId="2C13742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0.0674</w:t>
            </w:r>
          </w:p>
          <w:p w14:paraId="4385AC5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0.0626</w:t>
            </w:r>
          </w:p>
          <w:p w14:paraId="7939E22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0.0582</w:t>
            </w:r>
          </w:p>
          <w:p w14:paraId="15F81192">
            <w:pPr>
              <w:adjustRightInd w:val="0"/>
              <w:snapToGrid w:val="0"/>
              <w:spacing w:line="200" w:lineRule="exact"/>
              <w:ind w:left="11" w:leftChars="-29" w:right="-84" w:rightChars="-40" w:hanging="72" w:hangingChars="40"/>
              <w:jc w:val="center"/>
              <w:rPr>
                <w:color w:val="auto"/>
                <w:sz w:val="18"/>
                <w:szCs w:val="18"/>
              </w:rPr>
            </w:pPr>
          </w:p>
          <w:p w14:paraId="0BFB303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0.0543</w:t>
            </w:r>
          </w:p>
          <w:p w14:paraId="78FAFEE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0.0507</w:t>
            </w:r>
          </w:p>
          <w:p w14:paraId="0009AF9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0.0474</w:t>
            </w:r>
          </w:p>
          <w:p w14:paraId="1DEF12C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0.0444</w:t>
            </w:r>
          </w:p>
          <w:p w14:paraId="1F2EBAE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0.0417</w:t>
            </w:r>
          </w:p>
          <w:p w14:paraId="27633675">
            <w:pPr>
              <w:adjustRightInd w:val="0"/>
              <w:snapToGrid w:val="0"/>
              <w:spacing w:line="200" w:lineRule="exact"/>
              <w:ind w:left="11" w:leftChars="-29" w:right="-84" w:rightChars="-40" w:hanging="72" w:hangingChars="40"/>
              <w:jc w:val="center"/>
              <w:rPr>
                <w:color w:val="auto"/>
                <w:sz w:val="18"/>
                <w:szCs w:val="18"/>
              </w:rPr>
            </w:pPr>
          </w:p>
          <w:p w14:paraId="5C2FD96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0.0310</w:t>
            </w:r>
          </w:p>
          <w:p w14:paraId="4EFAEC7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0.0238</w:t>
            </w:r>
          </w:p>
          <w:p w14:paraId="0A1B0438">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0.0188</w:t>
            </w:r>
          </w:p>
          <w:p w14:paraId="7811C26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0.0151</w:t>
            </w:r>
          </w:p>
          <w:p w14:paraId="570DBA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0.0125</w:t>
            </w:r>
          </w:p>
          <w:p w14:paraId="2A1311F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0.0088</w:t>
            </w:r>
          </w:p>
          <w:p w14:paraId="6D1C9FF9">
            <w:pPr>
              <w:adjustRightInd w:val="0"/>
              <w:snapToGrid w:val="0"/>
              <w:spacing w:line="200" w:lineRule="exact"/>
              <w:ind w:left="11" w:leftChars="-29" w:right="-84" w:rightChars="-40" w:hanging="72" w:hangingChars="40"/>
              <w:jc w:val="center"/>
              <w:rPr>
                <w:color w:val="auto"/>
                <w:sz w:val="18"/>
                <w:szCs w:val="18"/>
              </w:rPr>
            </w:pPr>
          </w:p>
          <w:p w14:paraId="1B53601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0.0066</w:t>
            </w:r>
          </w:p>
          <w:p w14:paraId="7AD7EB5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0.0058</w:t>
            </w:r>
          </w:p>
          <w:p w14:paraId="6A8AF58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0.0051</w:t>
            </w:r>
          </w:p>
          <w:p w14:paraId="04B04DC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0.0040</w:t>
            </w:r>
          </w:p>
          <w:p w14:paraId="6A8B507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0.0033</w:t>
            </w:r>
          </w:p>
        </w:tc>
        <w:tc>
          <w:tcPr>
            <w:tcW w:w="780" w:type="dxa"/>
          </w:tcPr>
          <w:p w14:paraId="629FF33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0.2500</w:t>
            </w:r>
          </w:p>
          <w:p w14:paraId="124BFDA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0.2492</w:t>
            </w:r>
          </w:p>
          <w:p w14:paraId="183F599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0.2442</w:t>
            </w:r>
          </w:p>
          <w:p w14:paraId="57AF411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0.2339</w:t>
            </w:r>
          </w:p>
          <w:p w14:paraId="287E8AD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0.2196</w:t>
            </w:r>
          </w:p>
          <w:p w14:paraId="12C8EC9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0.2034</w:t>
            </w:r>
          </w:p>
          <w:p w14:paraId="79D53422">
            <w:pPr>
              <w:adjustRightInd w:val="0"/>
              <w:snapToGrid w:val="0"/>
              <w:spacing w:line="200" w:lineRule="exact"/>
              <w:ind w:left="11" w:leftChars="-29" w:right="-84" w:rightChars="-40" w:hanging="72" w:hangingChars="40"/>
              <w:jc w:val="center"/>
              <w:rPr>
                <w:color w:val="auto"/>
                <w:sz w:val="18"/>
                <w:szCs w:val="18"/>
              </w:rPr>
            </w:pPr>
          </w:p>
          <w:p w14:paraId="5B32852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0.1870</w:t>
            </w:r>
          </w:p>
          <w:p w14:paraId="05E25CD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0.1712</w:t>
            </w:r>
          </w:p>
          <w:p w14:paraId="7E24389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0.1566</w:t>
            </w:r>
          </w:p>
          <w:p w14:paraId="129C3AC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0.1434</w:t>
            </w:r>
          </w:p>
          <w:p w14:paraId="153C0D6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0.1314</w:t>
            </w:r>
          </w:p>
          <w:p w14:paraId="4D86DC07">
            <w:pPr>
              <w:adjustRightInd w:val="0"/>
              <w:snapToGrid w:val="0"/>
              <w:spacing w:line="200" w:lineRule="exact"/>
              <w:ind w:left="11" w:leftChars="-29" w:right="-84" w:rightChars="-40" w:hanging="72" w:hangingChars="40"/>
              <w:jc w:val="center"/>
              <w:rPr>
                <w:color w:val="auto"/>
                <w:sz w:val="18"/>
                <w:szCs w:val="18"/>
              </w:rPr>
            </w:pPr>
          </w:p>
          <w:p w14:paraId="75D33A6D">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0.1205</w:t>
            </w:r>
          </w:p>
          <w:p w14:paraId="253DBB55">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0.1108</w:t>
            </w:r>
          </w:p>
          <w:p w14:paraId="5D3EBF7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0.1020</w:t>
            </w:r>
          </w:p>
          <w:p w14:paraId="2C4CE712">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0.0941</w:t>
            </w:r>
          </w:p>
          <w:p w14:paraId="783A75B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0.0870</w:t>
            </w:r>
          </w:p>
          <w:p w14:paraId="588905B2">
            <w:pPr>
              <w:adjustRightInd w:val="0"/>
              <w:snapToGrid w:val="0"/>
              <w:spacing w:line="200" w:lineRule="exact"/>
              <w:ind w:left="11" w:leftChars="-29" w:right="-84" w:rightChars="-40" w:hanging="72" w:hangingChars="40"/>
              <w:jc w:val="center"/>
              <w:rPr>
                <w:color w:val="auto"/>
                <w:sz w:val="18"/>
                <w:szCs w:val="18"/>
              </w:rPr>
            </w:pPr>
          </w:p>
          <w:p w14:paraId="274FC12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0.0806</w:t>
            </w:r>
          </w:p>
          <w:p w14:paraId="0C00FD0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0.0747</w:t>
            </w:r>
          </w:p>
          <w:p w14:paraId="15D07B6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0.0694</w:t>
            </w:r>
          </w:p>
          <w:p w14:paraId="255A84E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0.0646</w:t>
            </w:r>
          </w:p>
          <w:p w14:paraId="190172A9">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0.0603</w:t>
            </w:r>
          </w:p>
          <w:p w14:paraId="4A0C2139">
            <w:pPr>
              <w:adjustRightInd w:val="0"/>
              <w:snapToGrid w:val="0"/>
              <w:spacing w:line="200" w:lineRule="exact"/>
              <w:ind w:left="11" w:leftChars="-29" w:right="-84" w:rightChars="-40" w:hanging="72" w:hangingChars="40"/>
              <w:jc w:val="center"/>
              <w:rPr>
                <w:color w:val="auto"/>
                <w:sz w:val="18"/>
                <w:szCs w:val="18"/>
              </w:rPr>
            </w:pPr>
          </w:p>
          <w:p w14:paraId="0BF330FC">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0.0563</w:t>
            </w:r>
          </w:p>
          <w:p w14:paraId="713570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0.0526</w:t>
            </w:r>
          </w:p>
          <w:p w14:paraId="7E03D02A">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0.0493</w:t>
            </w:r>
          </w:p>
          <w:p w14:paraId="67177960">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0.0463</w:t>
            </w:r>
          </w:p>
          <w:p w14:paraId="3BC148E4">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0.0435</w:t>
            </w:r>
          </w:p>
          <w:p w14:paraId="7860B92A">
            <w:pPr>
              <w:adjustRightInd w:val="0"/>
              <w:snapToGrid w:val="0"/>
              <w:spacing w:line="200" w:lineRule="exact"/>
              <w:ind w:left="11" w:leftChars="-29" w:right="-84" w:rightChars="-40" w:hanging="72" w:hangingChars="40"/>
              <w:jc w:val="center"/>
              <w:rPr>
                <w:color w:val="auto"/>
                <w:sz w:val="18"/>
                <w:szCs w:val="18"/>
              </w:rPr>
            </w:pPr>
          </w:p>
          <w:p w14:paraId="63898EB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0.0325</w:t>
            </w:r>
          </w:p>
          <w:p w14:paraId="126C82A6">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0.0251</w:t>
            </w:r>
          </w:p>
          <w:p w14:paraId="62DDAF2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0.0198</w:t>
            </w:r>
          </w:p>
          <w:p w14:paraId="044C250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0.0161</w:t>
            </w:r>
          </w:p>
          <w:p w14:paraId="740BD021">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0.0132</w:t>
            </w:r>
          </w:p>
          <w:p w14:paraId="2FBECA7B">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0.0094</w:t>
            </w:r>
          </w:p>
          <w:p w14:paraId="407EE6BD">
            <w:pPr>
              <w:adjustRightInd w:val="0"/>
              <w:snapToGrid w:val="0"/>
              <w:spacing w:line="200" w:lineRule="exact"/>
              <w:ind w:left="11" w:leftChars="-29" w:right="-84" w:rightChars="-40" w:hanging="72" w:hangingChars="40"/>
              <w:jc w:val="center"/>
              <w:rPr>
                <w:color w:val="auto"/>
                <w:sz w:val="18"/>
                <w:szCs w:val="18"/>
              </w:rPr>
            </w:pPr>
          </w:p>
          <w:p w14:paraId="6F9C140E">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0.0070</w:t>
            </w:r>
          </w:p>
          <w:p w14:paraId="165F401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0.0061</w:t>
            </w:r>
          </w:p>
          <w:p w14:paraId="3CCF6607">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0.0054</w:t>
            </w:r>
          </w:p>
          <w:p w14:paraId="2BC033E3">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0.0043</w:t>
            </w:r>
          </w:p>
          <w:p w14:paraId="124B642F">
            <w:pPr>
              <w:adjustRightInd w:val="0"/>
              <w:snapToGrid w:val="0"/>
              <w:spacing w:line="200" w:lineRule="exact"/>
              <w:ind w:left="11" w:leftChars="-29" w:right="-84" w:rightChars="-40" w:hanging="72" w:hangingChars="40"/>
              <w:jc w:val="center"/>
              <w:rPr>
                <w:color w:val="auto"/>
                <w:sz w:val="18"/>
                <w:szCs w:val="18"/>
              </w:rPr>
            </w:pPr>
            <w:r>
              <w:rPr>
                <w:color w:val="auto"/>
                <w:sz w:val="18"/>
                <w:szCs w:val="18"/>
              </w:rPr>
              <w:t>0.0035</w:t>
            </w:r>
          </w:p>
        </w:tc>
      </w:tr>
    </w:tbl>
    <w:p w14:paraId="5D615238">
      <w:pPr>
        <w:rPr>
          <w:rFonts w:eastAsia="黑体"/>
          <w:b/>
          <w:bCs/>
          <w:color w:val="auto"/>
          <w:sz w:val="18"/>
          <w:szCs w:val="18"/>
        </w:rPr>
      </w:pPr>
    </w:p>
    <w:p w14:paraId="1A7A9A25">
      <w:pPr>
        <w:ind w:firstLine="211" w:firstLineChars="100"/>
        <w:rPr>
          <w:rFonts w:eastAsia="黑体"/>
          <w:b/>
          <w:bCs/>
          <w:color w:val="auto"/>
          <w:szCs w:val="21"/>
        </w:rPr>
      </w:pPr>
      <w:r>
        <w:rPr>
          <w:rFonts w:eastAsia="黑体"/>
          <w:b/>
          <w:bCs/>
          <w:color w:val="auto"/>
          <w:szCs w:val="21"/>
        </w:rPr>
        <w:t>续表</w:t>
      </w:r>
    </w:p>
    <w:tbl>
      <w:tblPr>
        <w:tblStyle w:val="36"/>
        <w:tblW w:w="91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9"/>
        <w:gridCol w:w="772"/>
        <w:gridCol w:w="770"/>
        <w:gridCol w:w="770"/>
        <w:gridCol w:w="769"/>
        <w:gridCol w:w="769"/>
        <w:gridCol w:w="769"/>
        <w:gridCol w:w="769"/>
        <w:gridCol w:w="769"/>
        <w:gridCol w:w="769"/>
        <w:gridCol w:w="769"/>
        <w:gridCol w:w="772"/>
      </w:tblGrid>
      <w:tr w14:paraId="1CED0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19" w:type="dxa"/>
            <w:vMerge w:val="restart"/>
            <w:vAlign w:val="center"/>
          </w:tcPr>
          <w:p w14:paraId="468137A3">
            <w:pPr>
              <w:adjustRightInd w:val="0"/>
              <w:snapToGrid w:val="0"/>
              <w:spacing w:line="240" w:lineRule="atLeast"/>
              <w:jc w:val="center"/>
              <w:rPr>
                <w:color w:val="auto"/>
                <w:sz w:val="18"/>
                <w:szCs w:val="18"/>
              </w:rPr>
            </w:pPr>
            <w:r>
              <w:rPr>
                <w:i/>
                <w:color w:val="auto"/>
                <w:sz w:val="18"/>
                <w:szCs w:val="18"/>
              </w:rPr>
              <w:t>z</w:t>
            </w:r>
            <w:r>
              <w:rPr>
                <w:color w:val="auto"/>
                <w:sz w:val="18"/>
                <w:szCs w:val="18"/>
              </w:rPr>
              <w:t>/</w:t>
            </w:r>
            <w:r>
              <w:rPr>
                <w:i/>
                <w:color w:val="auto"/>
                <w:sz w:val="18"/>
                <w:szCs w:val="18"/>
              </w:rPr>
              <w:t>b</w:t>
            </w:r>
          </w:p>
        </w:tc>
        <w:tc>
          <w:tcPr>
            <w:tcW w:w="8467" w:type="dxa"/>
            <w:gridSpan w:val="11"/>
            <w:vAlign w:val="center"/>
          </w:tcPr>
          <w:p w14:paraId="2DBF2618">
            <w:pPr>
              <w:adjustRightInd w:val="0"/>
              <w:snapToGrid w:val="0"/>
              <w:spacing w:line="240" w:lineRule="atLeast"/>
              <w:jc w:val="center"/>
              <w:rPr>
                <w:i/>
                <w:color w:val="auto"/>
                <w:sz w:val="18"/>
                <w:szCs w:val="18"/>
              </w:rPr>
            </w:pPr>
            <w:r>
              <w:rPr>
                <w:i/>
                <w:color w:val="auto"/>
                <w:sz w:val="18"/>
                <w:szCs w:val="18"/>
              </w:rPr>
              <w:t>l/b</w:t>
            </w:r>
          </w:p>
        </w:tc>
      </w:tr>
      <w:tr w14:paraId="4F932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19" w:type="dxa"/>
            <w:vMerge w:val="continue"/>
            <w:vAlign w:val="center"/>
          </w:tcPr>
          <w:p w14:paraId="3117F68F">
            <w:pPr>
              <w:adjustRightInd w:val="0"/>
              <w:snapToGrid w:val="0"/>
              <w:spacing w:line="240" w:lineRule="atLeast"/>
              <w:jc w:val="center"/>
              <w:rPr>
                <w:color w:val="auto"/>
                <w:sz w:val="18"/>
                <w:szCs w:val="18"/>
              </w:rPr>
            </w:pPr>
          </w:p>
        </w:tc>
        <w:tc>
          <w:tcPr>
            <w:tcW w:w="772" w:type="dxa"/>
            <w:vAlign w:val="center"/>
          </w:tcPr>
          <w:p w14:paraId="1A218826">
            <w:pPr>
              <w:adjustRightInd w:val="0"/>
              <w:snapToGrid w:val="0"/>
              <w:spacing w:line="240" w:lineRule="atLeast"/>
              <w:jc w:val="center"/>
              <w:rPr>
                <w:color w:val="auto"/>
                <w:sz w:val="18"/>
                <w:szCs w:val="18"/>
              </w:rPr>
            </w:pPr>
            <w:r>
              <w:rPr>
                <w:color w:val="auto"/>
                <w:sz w:val="18"/>
                <w:szCs w:val="18"/>
              </w:rPr>
              <w:t>3.2</w:t>
            </w:r>
          </w:p>
        </w:tc>
        <w:tc>
          <w:tcPr>
            <w:tcW w:w="770" w:type="dxa"/>
            <w:vAlign w:val="center"/>
          </w:tcPr>
          <w:p w14:paraId="71B932C0">
            <w:pPr>
              <w:adjustRightInd w:val="0"/>
              <w:snapToGrid w:val="0"/>
              <w:spacing w:line="240" w:lineRule="atLeast"/>
              <w:jc w:val="center"/>
              <w:rPr>
                <w:color w:val="auto"/>
                <w:sz w:val="18"/>
                <w:szCs w:val="18"/>
              </w:rPr>
            </w:pPr>
            <w:r>
              <w:rPr>
                <w:color w:val="auto"/>
                <w:sz w:val="18"/>
                <w:szCs w:val="18"/>
              </w:rPr>
              <w:t>3.4</w:t>
            </w:r>
          </w:p>
        </w:tc>
        <w:tc>
          <w:tcPr>
            <w:tcW w:w="770" w:type="dxa"/>
            <w:vAlign w:val="center"/>
          </w:tcPr>
          <w:p w14:paraId="48434985">
            <w:pPr>
              <w:adjustRightInd w:val="0"/>
              <w:snapToGrid w:val="0"/>
              <w:spacing w:line="240" w:lineRule="atLeast"/>
              <w:jc w:val="center"/>
              <w:rPr>
                <w:color w:val="auto"/>
                <w:sz w:val="18"/>
                <w:szCs w:val="18"/>
              </w:rPr>
            </w:pPr>
            <w:r>
              <w:rPr>
                <w:color w:val="auto"/>
                <w:sz w:val="18"/>
                <w:szCs w:val="18"/>
              </w:rPr>
              <w:t>3.6</w:t>
            </w:r>
          </w:p>
        </w:tc>
        <w:tc>
          <w:tcPr>
            <w:tcW w:w="769" w:type="dxa"/>
            <w:vAlign w:val="center"/>
          </w:tcPr>
          <w:p w14:paraId="67D02629">
            <w:pPr>
              <w:adjustRightInd w:val="0"/>
              <w:snapToGrid w:val="0"/>
              <w:spacing w:line="240" w:lineRule="atLeast"/>
              <w:jc w:val="center"/>
              <w:rPr>
                <w:color w:val="auto"/>
                <w:sz w:val="18"/>
                <w:szCs w:val="18"/>
              </w:rPr>
            </w:pPr>
            <w:r>
              <w:rPr>
                <w:color w:val="auto"/>
                <w:sz w:val="18"/>
                <w:szCs w:val="18"/>
              </w:rPr>
              <w:t>3.8</w:t>
            </w:r>
          </w:p>
        </w:tc>
        <w:tc>
          <w:tcPr>
            <w:tcW w:w="769" w:type="dxa"/>
            <w:vAlign w:val="center"/>
          </w:tcPr>
          <w:p w14:paraId="339092D4">
            <w:pPr>
              <w:adjustRightInd w:val="0"/>
              <w:snapToGrid w:val="0"/>
              <w:spacing w:line="240" w:lineRule="atLeast"/>
              <w:jc w:val="center"/>
              <w:rPr>
                <w:color w:val="auto"/>
                <w:sz w:val="18"/>
                <w:szCs w:val="18"/>
              </w:rPr>
            </w:pPr>
            <w:r>
              <w:rPr>
                <w:color w:val="auto"/>
                <w:sz w:val="18"/>
                <w:szCs w:val="18"/>
              </w:rPr>
              <w:t>4.0</w:t>
            </w:r>
          </w:p>
        </w:tc>
        <w:tc>
          <w:tcPr>
            <w:tcW w:w="769" w:type="dxa"/>
            <w:vAlign w:val="center"/>
          </w:tcPr>
          <w:p w14:paraId="55C22960">
            <w:pPr>
              <w:adjustRightInd w:val="0"/>
              <w:snapToGrid w:val="0"/>
              <w:spacing w:line="240" w:lineRule="atLeast"/>
              <w:jc w:val="center"/>
              <w:rPr>
                <w:color w:val="auto"/>
                <w:sz w:val="18"/>
                <w:szCs w:val="18"/>
              </w:rPr>
            </w:pPr>
            <w:r>
              <w:rPr>
                <w:color w:val="auto"/>
                <w:sz w:val="18"/>
                <w:szCs w:val="18"/>
              </w:rPr>
              <w:t>4.2</w:t>
            </w:r>
          </w:p>
        </w:tc>
        <w:tc>
          <w:tcPr>
            <w:tcW w:w="769" w:type="dxa"/>
            <w:vAlign w:val="center"/>
          </w:tcPr>
          <w:p w14:paraId="543053C9">
            <w:pPr>
              <w:adjustRightInd w:val="0"/>
              <w:snapToGrid w:val="0"/>
              <w:spacing w:line="240" w:lineRule="atLeast"/>
              <w:jc w:val="center"/>
              <w:rPr>
                <w:color w:val="auto"/>
                <w:sz w:val="18"/>
                <w:szCs w:val="18"/>
              </w:rPr>
            </w:pPr>
            <w:r>
              <w:rPr>
                <w:color w:val="auto"/>
                <w:sz w:val="18"/>
                <w:szCs w:val="18"/>
              </w:rPr>
              <w:t>4.4</w:t>
            </w:r>
          </w:p>
        </w:tc>
        <w:tc>
          <w:tcPr>
            <w:tcW w:w="769" w:type="dxa"/>
            <w:vAlign w:val="center"/>
          </w:tcPr>
          <w:p w14:paraId="294A1CE2">
            <w:pPr>
              <w:adjustRightInd w:val="0"/>
              <w:snapToGrid w:val="0"/>
              <w:spacing w:line="240" w:lineRule="atLeast"/>
              <w:jc w:val="center"/>
              <w:rPr>
                <w:color w:val="auto"/>
                <w:sz w:val="18"/>
                <w:szCs w:val="18"/>
              </w:rPr>
            </w:pPr>
            <w:r>
              <w:rPr>
                <w:color w:val="auto"/>
                <w:sz w:val="18"/>
                <w:szCs w:val="18"/>
              </w:rPr>
              <w:t>4.6</w:t>
            </w:r>
          </w:p>
        </w:tc>
        <w:tc>
          <w:tcPr>
            <w:tcW w:w="769" w:type="dxa"/>
            <w:vAlign w:val="center"/>
          </w:tcPr>
          <w:p w14:paraId="455BF772">
            <w:pPr>
              <w:adjustRightInd w:val="0"/>
              <w:snapToGrid w:val="0"/>
              <w:spacing w:line="240" w:lineRule="atLeast"/>
              <w:jc w:val="center"/>
              <w:rPr>
                <w:color w:val="auto"/>
                <w:sz w:val="18"/>
                <w:szCs w:val="18"/>
              </w:rPr>
            </w:pPr>
            <w:r>
              <w:rPr>
                <w:color w:val="auto"/>
                <w:sz w:val="18"/>
                <w:szCs w:val="18"/>
              </w:rPr>
              <w:t>4.8</w:t>
            </w:r>
          </w:p>
        </w:tc>
        <w:tc>
          <w:tcPr>
            <w:tcW w:w="769" w:type="dxa"/>
            <w:vAlign w:val="center"/>
          </w:tcPr>
          <w:p w14:paraId="14A17EA6">
            <w:pPr>
              <w:adjustRightInd w:val="0"/>
              <w:snapToGrid w:val="0"/>
              <w:spacing w:line="240" w:lineRule="atLeast"/>
              <w:jc w:val="center"/>
              <w:rPr>
                <w:color w:val="auto"/>
                <w:sz w:val="18"/>
                <w:szCs w:val="18"/>
              </w:rPr>
            </w:pPr>
            <w:r>
              <w:rPr>
                <w:color w:val="auto"/>
                <w:sz w:val="18"/>
                <w:szCs w:val="18"/>
              </w:rPr>
              <w:t>5.0</w:t>
            </w:r>
          </w:p>
        </w:tc>
        <w:tc>
          <w:tcPr>
            <w:tcW w:w="769" w:type="dxa"/>
            <w:vAlign w:val="center"/>
          </w:tcPr>
          <w:p w14:paraId="6E3B8E04">
            <w:pPr>
              <w:adjustRightInd w:val="0"/>
              <w:snapToGrid w:val="0"/>
              <w:spacing w:line="240" w:lineRule="atLeast"/>
              <w:jc w:val="center"/>
              <w:rPr>
                <w:color w:val="auto"/>
                <w:sz w:val="18"/>
                <w:szCs w:val="18"/>
              </w:rPr>
            </w:pPr>
            <w:r>
              <w:rPr>
                <w:color w:val="auto"/>
                <w:sz w:val="18"/>
                <w:szCs w:val="18"/>
              </w:rPr>
              <w:t>5.2</w:t>
            </w:r>
          </w:p>
        </w:tc>
      </w:tr>
      <w:tr w14:paraId="748AC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07" w:hRule="atLeast"/>
          <w:jc w:val="center"/>
        </w:trPr>
        <w:tc>
          <w:tcPr>
            <w:tcW w:w="719" w:type="dxa"/>
          </w:tcPr>
          <w:p w14:paraId="35C3E743">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0</w:t>
            </w:r>
          </w:p>
          <w:p w14:paraId="590633B8">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0.2</w:t>
            </w:r>
          </w:p>
          <w:p w14:paraId="1D5639EA">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0.4</w:t>
            </w:r>
          </w:p>
          <w:p w14:paraId="7C9CA958">
            <w:pPr>
              <w:adjustRightInd w:val="0"/>
              <w:snapToGrid w:val="0"/>
              <w:spacing w:line="220" w:lineRule="exact"/>
              <w:ind w:left="11" w:leftChars="-29" w:right="-84" w:rightChars="-40" w:hanging="72" w:hangingChars="40"/>
              <w:jc w:val="center"/>
              <w:rPr>
                <w:color w:val="auto"/>
                <w:sz w:val="18"/>
                <w:szCs w:val="18"/>
              </w:rPr>
            </w:pPr>
          </w:p>
          <w:p w14:paraId="27FDD924">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0.6</w:t>
            </w:r>
          </w:p>
          <w:p w14:paraId="72AF0D07">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0.8</w:t>
            </w:r>
          </w:p>
          <w:p w14:paraId="754F4AFA">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1.0</w:t>
            </w:r>
          </w:p>
          <w:p w14:paraId="7E88B985">
            <w:pPr>
              <w:adjustRightInd w:val="0"/>
              <w:snapToGrid w:val="0"/>
              <w:spacing w:line="220" w:lineRule="exact"/>
              <w:ind w:left="11" w:leftChars="-29" w:right="-84" w:rightChars="-40" w:hanging="72" w:hangingChars="40"/>
              <w:jc w:val="center"/>
              <w:rPr>
                <w:color w:val="auto"/>
                <w:sz w:val="18"/>
                <w:szCs w:val="18"/>
              </w:rPr>
            </w:pPr>
          </w:p>
          <w:p w14:paraId="58D37044">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1.2</w:t>
            </w:r>
          </w:p>
          <w:p w14:paraId="474232BF">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1.4</w:t>
            </w:r>
          </w:p>
          <w:p w14:paraId="08390778">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1.6</w:t>
            </w:r>
          </w:p>
          <w:p w14:paraId="5F6D9972">
            <w:pPr>
              <w:adjustRightInd w:val="0"/>
              <w:snapToGrid w:val="0"/>
              <w:spacing w:line="220" w:lineRule="exact"/>
              <w:ind w:left="11" w:leftChars="-29" w:right="-84" w:rightChars="-40" w:hanging="72" w:hangingChars="40"/>
              <w:jc w:val="center"/>
              <w:rPr>
                <w:color w:val="auto"/>
                <w:sz w:val="18"/>
                <w:szCs w:val="18"/>
              </w:rPr>
            </w:pPr>
          </w:p>
          <w:p w14:paraId="58F7566F">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1.8</w:t>
            </w:r>
          </w:p>
          <w:p w14:paraId="4C45C101">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2.0</w:t>
            </w:r>
          </w:p>
          <w:p w14:paraId="409DFE65">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2.2</w:t>
            </w:r>
          </w:p>
          <w:p w14:paraId="603D23F1">
            <w:pPr>
              <w:adjustRightInd w:val="0"/>
              <w:snapToGrid w:val="0"/>
              <w:spacing w:line="220" w:lineRule="exact"/>
              <w:ind w:left="11" w:leftChars="-29" w:right="-84" w:rightChars="-40" w:hanging="72" w:hangingChars="40"/>
              <w:jc w:val="center"/>
              <w:rPr>
                <w:color w:val="auto"/>
                <w:sz w:val="18"/>
                <w:szCs w:val="18"/>
              </w:rPr>
            </w:pPr>
          </w:p>
          <w:p w14:paraId="407E8419">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2.4</w:t>
            </w:r>
          </w:p>
          <w:p w14:paraId="2C1D1D00">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2.6</w:t>
            </w:r>
          </w:p>
          <w:p w14:paraId="346735B1">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2.8</w:t>
            </w:r>
          </w:p>
          <w:p w14:paraId="1A555ED9">
            <w:pPr>
              <w:adjustRightInd w:val="0"/>
              <w:snapToGrid w:val="0"/>
              <w:spacing w:line="220" w:lineRule="exact"/>
              <w:ind w:left="11" w:leftChars="-29" w:right="-84" w:rightChars="-40" w:hanging="72" w:hangingChars="40"/>
              <w:jc w:val="center"/>
              <w:rPr>
                <w:color w:val="auto"/>
                <w:sz w:val="18"/>
                <w:szCs w:val="18"/>
              </w:rPr>
            </w:pPr>
          </w:p>
          <w:p w14:paraId="346B9854">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3.0</w:t>
            </w:r>
          </w:p>
          <w:p w14:paraId="14A441B2">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3.2</w:t>
            </w:r>
          </w:p>
          <w:p w14:paraId="14448BE9">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3.4</w:t>
            </w:r>
          </w:p>
          <w:p w14:paraId="5C5100B2">
            <w:pPr>
              <w:adjustRightInd w:val="0"/>
              <w:snapToGrid w:val="0"/>
              <w:spacing w:line="220" w:lineRule="exact"/>
              <w:ind w:left="11" w:leftChars="-29" w:right="-84" w:rightChars="-40" w:hanging="72" w:hangingChars="40"/>
              <w:jc w:val="center"/>
              <w:rPr>
                <w:color w:val="auto"/>
                <w:sz w:val="18"/>
                <w:szCs w:val="18"/>
              </w:rPr>
            </w:pPr>
          </w:p>
          <w:p w14:paraId="2B6776FF">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3.6</w:t>
            </w:r>
          </w:p>
          <w:p w14:paraId="78CC75ED">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3.8</w:t>
            </w:r>
          </w:p>
          <w:p w14:paraId="62396261">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4.0</w:t>
            </w:r>
          </w:p>
          <w:p w14:paraId="5C2C4E1C">
            <w:pPr>
              <w:adjustRightInd w:val="0"/>
              <w:snapToGrid w:val="0"/>
              <w:spacing w:line="220" w:lineRule="exact"/>
              <w:ind w:left="11" w:leftChars="-29" w:right="-84" w:rightChars="-40" w:hanging="72" w:hangingChars="40"/>
              <w:jc w:val="center"/>
              <w:rPr>
                <w:color w:val="auto"/>
                <w:sz w:val="18"/>
                <w:szCs w:val="18"/>
              </w:rPr>
            </w:pPr>
          </w:p>
          <w:p w14:paraId="32298626">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4.2</w:t>
            </w:r>
          </w:p>
          <w:p w14:paraId="2560D3D6">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4.4</w:t>
            </w:r>
          </w:p>
          <w:p w14:paraId="7553002B">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4.6</w:t>
            </w:r>
          </w:p>
          <w:p w14:paraId="627B67E6">
            <w:pPr>
              <w:adjustRightInd w:val="0"/>
              <w:snapToGrid w:val="0"/>
              <w:spacing w:line="220" w:lineRule="exact"/>
              <w:ind w:left="11" w:leftChars="-29" w:right="-84" w:rightChars="-40" w:hanging="72" w:hangingChars="40"/>
              <w:jc w:val="center"/>
              <w:rPr>
                <w:color w:val="auto"/>
                <w:sz w:val="18"/>
                <w:szCs w:val="18"/>
              </w:rPr>
            </w:pPr>
          </w:p>
          <w:p w14:paraId="4286E255">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4.8</w:t>
            </w:r>
          </w:p>
          <w:p w14:paraId="2ED8FA8E">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5.0</w:t>
            </w:r>
          </w:p>
          <w:p w14:paraId="0315A896">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6.0</w:t>
            </w:r>
          </w:p>
          <w:p w14:paraId="251F40D6">
            <w:pPr>
              <w:adjustRightInd w:val="0"/>
              <w:snapToGrid w:val="0"/>
              <w:spacing w:line="220" w:lineRule="exact"/>
              <w:ind w:left="11" w:leftChars="-29" w:right="-84" w:rightChars="-40" w:hanging="72" w:hangingChars="40"/>
              <w:jc w:val="center"/>
              <w:rPr>
                <w:color w:val="auto"/>
                <w:sz w:val="18"/>
                <w:szCs w:val="18"/>
              </w:rPr>
            </w:pPr>
          </w:p>
          <w:p w14:paraId="0B9F93AF">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7.0</w:t>
            </w:r>
          </w:p>
          <w:p w14:paraId="58E28A46">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8.0</w:t>
            </w:r>
          </w:p>
          <w:p w14:paraId="0551D2E8">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9.0</w:t>
            </w:r>
          </w:p>
          <w:p w14:paraId="7C4D4979">
            <w:pPr>
              <w:adjustRightInd w:val="0"/>
              <w:snapToGrid w:val="0"/>
              <w:spacing w:line="220" w:lineRule="exact"/>
              <w:ind w:left="11" w:leftChars="-29" w:right="-84" w:rightChars="-40" w:hanging="72" w:hangingChars="40"/>
              <w:jc w:val="center"/>
              <w:rPr>
                <w:color w:val="auto"/>
                <w:sz w:val="18"/>
                <w:szCs w:val="18"/>
              </w:rPr>
            </w:pPr>
          </w:p>
          <w:p w14:paraId="3EA5061E">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10.0</w:t>
            </w:r>
          </w:p>
          <w:p w14:paraId="48608350">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12.0</w:t>
            </w:r>
          </w:p>
          <w:p w14:paraId="7CB04D99">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14.0</w:t>
            </w:r>
          </w:p>
          <w:p w14:paraId="074547B3">
            <w:pPr>
              <w:adjustRightInd w:val="0"/>
              <w:snapToGrid w:val="0"/>
              <w:spacing w:line="220" w:lineRule="exact"/>
              <w:ind w:left="11" w:leftChars="-29" w:right="-84" w:rightChars="-40" w:hanging="72" w:hangingChars="40"/>
              <w:jc w:val="center"/>
              <w:rPr>
                <w:color w:val="auto"/>
                <w:sz w:val="18"/>
                <w:szCs w:val="18"/>
              </w:rPr>
            </w:pPr>
          </w:p>
          <w:p w14:paraId="3FC39AFB">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15.0</w:t>
            </w:r>
          </w:p>
          <w:p w14:paraId="77A81C21">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16.0</w:t>
            </w:r>
          </w:p>
          <w:p w14:paraId="5F08F63F">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18.0</w:t>
            </w:r>
          </w:p>
          <w:p w14:paraId="77666C38">
            <w:pPr>
              <w:adjustRightInd w:val="0"/>
              <w:snapToGrid w:val="0"/>
              <w:spacing w:line="220" w:lineRule="exact"/>
              <w:ind w:left="11" w:leftChars="-29" w:right="-84" w:rightChars="-40" w:hanging="72" w:hangingChars="40"/>
              <w:jc w:val="center"/>
              <w:rPr>
                <w:color w:val="auto"/>
                <w:sz w:val="18"/>
                <w:szCs w:val="18"/>
              </w:rPr>
            </w:pPr>
            <w:r>
              <w:rPr>
                <w:color w:val="auto"/>
                <w:sz w:val="18"/>
                <w:szCs w:val="18"/>
              </w:rPr>
              <w:t>20.0</w:t>
            </w:r>
          </w:p>
        </w:tc>
        <w:tc>
          <w:tcPr>
            <w:tcW w:w="772" w:type="dxa"/>
          </w:tcPr>
          <w:p w14:paraId="58A1465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7053A4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6DE64FD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0BE0BF9">
            <w:pPr>
              <w:adjustRightInd w:val="0"/>
              <w:snapToGrid w:val="0"/>
              <w:spacing w:line="220" w:lineRule="exact"/>
              <w:ind w:left="-181" w:leftChars="-86" w:right="-130" w:rightChars="-62" w:firstLine="68" w:firstLineChars="40"/>
              <w:jc w:val="center"/>
              <w:rPr>
                <w:color w:val="auto"/>
                <w:spacing w:val="-4"/>
                <w:sz w:val="18"/>
                <w:szCs w:val="18"/>
              </w:rPr>
            </w:pPr>
          </w:p>
          <w:p w14:paraId="3AD2B1E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0.2340</w:t>
            </w:r>
          </w:p>
          <w:p w14:paraId="545CFD3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0.2197</w:t>
            </w:r>
          </w:p>
          <w:p w14:paraId="2AD9F3D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0.2036</w:t>
            </w:r>
          </w:p>
          <w:p w14:paraId="04E62DD3">
            <w:pPr>
              <w:adjustRightInd w:val="0"/>
              <w:snapToGrid w:val="0"/>
              <w:spacing w:line="220" w:lineRule="exact"/>
              <w:ind w:left="-181" w:leftChars="-86" w:right="-130" w:rightChars="-62" w:firstLine="68" w:firstLineChars="40"/>
              <w:jc w:val="center"/>
              <w:rPr>
                <w:color w:val="auto"/>
                <w:spacing w:val="-4"/>
                <w:sz w:val="18"/>
                <w:szCs w:val="18"/>
              </w:rPr>
            </w:pPr>
          </w:p>
          <w:p w14:paraId="17F309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0.1873</w:t>
            </w:r>
          </w:p>
          <w:p w14:paraId="3B86440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0.1718</w:t>
            </w:r>
          </w:p>
          <w:p w14:paraId="4CC11A7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0.1574</w:t>
            </w:r>
          </w:p>
          <w:p w14:paraId="0C367C30">
            <w:pPr>
              <w:adjustRightInd w:val="0"/>
              <w:snapToGrid w:val="0"/>
              <w:spacing w:line="220" w:lineRule="exact"/>
              <w:ind w:left="-181" w:leftChars="-86" w:right="-130" w:rightChars="-62" w:firstLine="68" w:firstLineChars="40"/>
              <w:jc w:val="center"/>
              <w:rPr>
                <w:color w:val="auto"/>
                <w:spacing w:val="-4"/>
                <w:sz w:val="18"/>
                <w:szCs w:val="18"/>
              </w:rPr>
            </w:pPr>
          </w:p>
          <w:p w14:paraId="2DA23B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0.1443</w:t>
            </w:r>
          </w:p>
          <w:p w14:paraId="7E8C936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0.1324</w:t>
            </w:r>
          </w:p>
          <w:p w14:paraId="23ABEB8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0.1218</w:t>
            </w:r>
          </w:p>
          <w:p w14:paraId="683D7DC5">
            <w:pPr>
              <w:adjustRightInd w:val="0"/>
              <w:snapToGrid w:val="0"/>
              <w:spacing w:line="220" w:lineRule="exact"/>
              <w:ind w:left="-181" w:leftChars="-86" w:right="-130" w:rightChars="-62" w:firstLine="68" w:firstLineChars="40"/>
              <w:jc w:val="center"/>
              <w:rPr>
                <w:color w:val="auto"/>
                <w:spacing w:val="-4"/>
                <w:sz w:val="18"/>
                <w:szCs w:val="18"/>
              </w:rPr>
            </w:pPr>
          </w:p>
          <w:p w14:paraId="7F3259B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0.1122</w:t>
            </w:r>
          </w:p>
          <w:p w14:paraId="73FAD77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0.1035</w:t>
            </w:r>
          </w:p>
          <w:p w14:paraId="18F1A31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0.0957</w:t>
            </w:r>
          </w:p>
          <w:p w14:paraId="51438DE6">
            <w:pPr>
              <w:adjustRightInd w:val="0"/>
              <w:snapToGrid w:val="0"/>
              <w:spacing w:line="220" w:lineRule="exact"/>
              <w:ind w:left="-181" w:leftChars="-86" w:right="-130" w:rightChars="-62" w:firstLine="68" w:firstLineChars="40"/>
              <w:jc w:val="center"/>
              <w:rPr>
                <w:color w:val="auto"/>
                <w:spacing w:val="-4"/>
                <w:sz w:val="18"/>
                <w:szCs w:val="18"/>
              </w:rPr>
            </w:pPr>
          </w:p>
          <w:p w14:paraId="2AF709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0.0887</w:t>
            </w:r>
          </w:p>
          <w:p w14:paraId="4D889C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0.0823</w:t>
            </w:r>
          </w:p>
          <w:p w14:paraId="4A32237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0.0765</w:t>
            </w:r>
          </w:p>
          <w:p w14:paraId="71A6E918">
            <w:pPr>
              <w:adjustRightInd w:val="0"/>
              <w:snapToGrid w:val="0"/>
              <w:spacing w:line="220" w:lineRule="exact"/>
              <w:ind w:left="-181" w:leftChars="-86" w:right="-130" w:rightChars="-62" w:firstLine="68" w:firstLineChars="40"/>
              <w:jc w:val="center"/>
              <w:rPr>
                <w:color w:val="auto"/>
                <w:spacing w:val="-4"/>
                <w:sz w:val="18"/>
                <w:szCs w:val="18"/>
              </w:rPr>
            </w:pPr>
          </w:p>
          <w:p w14:paraId="3DF6A58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0.0712</w:t>
            </w:r>
          </w:p>
          <w:p w14:paraId="2984646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0.0664</w:t>
            </w:r>
          </w:p>
          <w:p w14:paraId="3DA0A2F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0.0620</w:t>
            </w:r>
          </w:p>
          <w:p w14:paraId="4E2369BB">
            <w:pPr>
              <w:adjustRightInd w:val="0"/>
              <w:snapToGrid w:val="0"/>
              <w:spacing w:line="220" w:lineRule="exact"/>
              <w:ind w:left="-181" w:leftChars="-86" w:right="-130" w:rightChars="-62" w:firstLine="68" w:firstLineChars="40"/>
              <w:jc w:val="center"/>
              <w:rPr>
                <w:color w:val="auto"/>
                <w:spacing w:val="-4"/>
                <w:sz w:val="18"/>
                <w:szCs w:val="18"/>
              </w:rPr>
            </w:pPr>
          </w:p>
          <w:p w14:paraId="5CD4268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0.0580</w:t>
            </w:r>
          </w:p>
          <w:p w14:paraId="172C8E8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0.0544</w:t>
            </w:r>
          </w:p>
          <w:p w14:paraId="414223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0.0510</w:t>
            </w:r>
          </w:p>
          <w:p w14:paraId="50AC9C9C">
            <w:pPr>
              <w:adjustRightInd w:val="0"/>
              <w:snapToGrid w:val="0"/>
              <w:spacing w:line="220" w:lineRule="exact"/>
              <w:ind w:left="-181" w:leftChars="-86" w:right="-130" w:rightChars="-62" w:firstLine="68" w:firstLineChars="40"/>
              <w:jc w:val="center"/>
              <w:rPr>
                <w:color w:val="auto"/>
                <w:spacing w:val="-4"/>
                <w:sz w:val="18"/>
                <w:szCs w:val="18"/>
              </w:rPr>
            </w:pPr>
          </w:p>
          <w:p w14:paraId="79AA666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0.0480</w:t>
            </w:r>
          </w:p>
          <w:p w14:paraId="33C6967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0.0451</w:t>
            </w:r>
          </w:p>
          <w:p w14:paraId="6476010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0.0340</w:t>
            </w:r>
          </w:p>
          <w:p w14:paraId="5BF1BBC5">
            <w:pPr>
              <w:adjustRightInd w:val="0"/>
              <w:snapToGrid w:val="0"/>
              <w:spacing w:line="220" w:lineRule="exact"/>
              <w:ind w:left="-181" w:leftChars="-86" w:right="-130" w:rightChars="-62" w:firstLine="68" w:firstLineChars="40"/>
              <w:jc w:val="center"/>
              <w:rPr>
                <w:color w:val="auto"/>
                <w:spacing w:val="-4"/>
                <w:sz w:val="18"/>
                <w:szCs w:val="18"/>
              </w:rPr>
            </w:pPr>
          </w:p>
          <w:p w14:paraId="218C2E6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0.0263</w:t>
            </w:r>
          </w:p>
          <w:p w14:paraId="6E899C8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0.0209</w:t>
            </w:r>
          </w:p>
          <w:p w14:paraId="2F7DD70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0.0169</w:t>
            </w:r>
          </w:p>
          <w:p w14:paraId="01A0BDD9">
            <w:pPr>
              <w:adjustRightInd w:val="0"/>
              <w:snapToGrid w:val="0"/>
              <w:spacing w:line="220" w:lineRule="exact"/>
              <w:ind w:left="-181" w:leftChars="-86" w:right="-130" w:rightChars="-62" w:firstLine="68" w:firstLineChars="40"/>
              <w:jc w:val="center"/>
              <w:rPr>
                <w:color w:val="auto"/>
                <w:spacing w:val="-4"/>
                <w:sz w:val="18"/>
                <w:szCs w:val="18"/>
              </w:rPr>
            </w:pPr>
          </w:p>
          <w:p w14:paraId="7FBC4F9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0.0140</w:t>
            </w:r>
          </w:p>
          <w:p w14:paraId="407FAC7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0.0110</w:t>
            </w:r>
          </w:p>
          <w:p w14:paraId="49A681A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0.0074</w:t>
            </w:r>
          </w:p>
          <w:p w14:paraId="475DFC14">
            <w:pPr>
              <w:adjustRightInd w:val="0"/>
              <w:snapToGrid w:val="0"/>
              <w:spacing w:line="220" w:lineRule="exact"/>
              <w:ind w:left="-181" w:leftChars="-86" w:right="-130" w:rightChars="-62" w:firstLine="68" w:firstLineChars="40"/>
              <w:jc w:val="center"/>
              <w:rPr>
                <w:color w:val="auto"/>
                <w:spacing w:val="-4"/>
                <w:sz w:val="18"/>
                <w:szCs w:val="18"/>
              </w:rPr>
            </w:pPr>
          </w:p>
          <w:p w14:paraId="67D64B4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0.0065</w:t>
            </w:r>
          </w:p>
          <w:p w14:paraId="60AAF93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0.0058</w:t>
            </w:r>
          </w:p>
          <w:p w14:paraId="0B956E7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0.0046</w:t>
            </w:r>
          </w:p>
          <w:p w14:paraId="6F3FA6F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0.0037</w:t>
            </w:r>
          </w:p>
        </w:tc>
        <w:tc>
          <w:tcPr>
            <w:tcW w:w="770" w:type="dxa"/>
          </w:tcPr>
          <w:p w14:paraId="3DA4535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423D5E3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3D38202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04B4662">
            <w:pPr>
              <w:adjustRightInd w:val="0"/>
              <w:snapToGrid w:val="0"/>
              <w:spacing w:line="220" w:lineRule="exact"/>
              <w:ind w:left="-181" w:leftChars="-86" w:right="-130" w:rightChars="-62" w:firstLine="68" w:firstLineChars="40"/>
              <w:jc w:val="center"/>
              <w:rPr>
                <w:color w:val="auto"/>
                <w:spacing w:val="-4"/>
                <w:sz w:val="18"/>
                <w:szCs w:val="18"/>
              </w:rPr>
            </w:pPr>
          </w:p>
          <w:p w14:paraId="68E58BE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0.2340</w:t>
            </w:r>
          </w:p>
          <w:p w14:paraId="7091C80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0.2198</w:t>
            </w:r>
          </w:p>
          <w:p w14:paraId="7404BAF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0.2038</w:t>
            </w:r>
          </w:p>
          <w:p w14:paraId="361732F6">
            <w:pPr>
              <w:adjustRightInd w:val="0"/>
              <w:snapToGrid w:val="0"/>
              <w:spacing w:line="220" w:lineRule="exact"/>
              <w:ind w:left="-181" w:leftChars="-86" w:right="-130" w:rightChars="-62" w:firstLine="68" w:firstLineChars="40"/>
              <w:jc w:val="center"/>
              <w:rPr>
                <w:color w:val="auto"/>
                <w:spacing w:val="-4"/>
                <w:sz w:val="18"/>
                <w:szCs w:val="18"/>
              </w:rPr>
            </w:pPr>
          </w:p>
          <w:p w14:paraId="099744F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0.1876</w:t>
            </w:r>
          </w:p>
          <w:p w14:paraId="0788B1F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0.1722</w:t>
            </w:r>
          </w:p>
          <w:p w14:paraId="261DB71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0.1579</w:t>
            </w:r>
          </w:p>
          <w:p w14:paraId="146791AA">
            <w:pPr>
              <w:adjustRightInd w:val="0"/>
              <w:snapToGrid w:val="0"/>
              <w:spacing w:line="220" w:lineRule="exact"/>
              <w:ind w:left="-181" w:leftChars="-86" w:right="-130" w:rightChars="-62" w:firstLine="68" w:firstLineChars="40"/>
              <w:jc w:val="center"/>
              <w:rPr>
                <w:color w:val="auto"/>
                <w:spacing w:val="-4"/>
                <w:sz w:val="18"/>
                <w:szCs w:val="18"/>
              </w:rPr>
            </w:pPr>
          </w:p>
          <w:p w14:paraId="4E809D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0.1450</w:t>
            </w:r>
          </w:p>
          <w:p w14:paraId="4977C2F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0.1333</w:t>
            </w:r>
          </w:p>
          <w:p w14:paraId="531A72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0.1227</w:t>
            </w:r>
          </w:p>
          <w:p w14:paraId="5F9BD8A8">
            <w:pPr>
              <w:adjustRightInd w:val="0"/>
              <w:snapToGrid w:val="0"/>
              <w:spacing w:line="220" w:lineRule="exact"/>
              <w:ind w:left="-181" w:leftChars="-86" w:right="-130" w:rightChars="-62" w:firstLine="68" w:firstLineChars="40"/>
              <w:jc w:val="center"/>
              <w:rPr>
                <w:color w:val="auto"/>
                <w:spacing w:val="-4"/>
                <w:sz w:val="18"/>
                <w:szCs w:val="18"/>
              </w:rPr>
            </w:pPr>
          </w:p>
          <w:p w14:paraId="7BA5FDC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0.1133</w:t>
            </w:r>
          </w:p>
          <w:p w14:paraId="05C26F8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0.1047</w:t>
            </w:r>
          </w:p>
          <w:p w14:paraId="0B2227B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0.0970</w:t>
            </w:r>
          </w:p>
          <w:p w14:paraId="69E55A81">
            <w:pPr>
              <w:adjustRightInd w:val="0"/>
              <w:snapToGrid w:val="0"/>
              <w:spacing w:line="220" w:lineRule="exact"/>
              <w:ind w:left="-181" w:leftChars="-86" w:right="-130" w:rightChars="-62" w:firstLine="68" w:firstLineChars="40"/>
              <w:jc w:val="center"/>
              <w:rPr>
                <w:color w:val="auto"/>
                <w:spacing w:val="-4"/>
                <w:sz w:val="18"/>
                <w:szCs w:val="18"/>
              </w:rPr>
            </w:pPr>
          </w:p>
          <w:p w14:paraId="37581EC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0.0901</w:t>
            </w:r>
          </w:p>
          <w:p w14:paraId="39BEB3E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0.0837</w:t>
            </w:r>
          </w:p>
          <w:p w14:paraId="5DA51B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0.0780</w:t>
            </w:r>
          </w:p>
          <w:p w14:paraId="550332FB">
            <w:pPr>
              <w:adjustRightInd w:val="0"/>
              <w:snapToGrid w:val="0"/>
              <w:spacing w:line="220" w:lineRule="exact"/>
              <w:ind w:left="-181" w:leftChars="-86" w:right="-130" w:rightChars="-62" w:firstLine="68" w:firstLineChars="40"/>
              <w:jc w:val="center"/>
              <w:rPr>
                <w:color w:val="auto"/>
                <w:spacing w:val="-4"/>
                <w:sz w:val="18"/>
                <w:szCs w:val="18"/>
              </w:rPr>
            </w:pPr>
          </w:p>
          <w:p w14:paraId="6059294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0.0728</w:t>
            </w:r>
          </w:p>
          <w:p w14:paraId="2FECF8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0.0680</w:t>
            </w:r>
          </w:p>
          <w:p w14:paraId="4BB502E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0.0636</w:t>
            </w:r>
          </w:p>
          <w:p w14:paraId="3B85E64B">
            <w:pPr>
              <w:adjustRightInd w:val="0"/>
              <w:snapToGrid w:val="0"/>
              <w:spacing w:line="220" w:lineRule="exact"/>
              <w:ind w:left="-181" w:leftChars="-86" w:right="-130" w:rightChars="-62" w:firstLine="68" w:firstLineChars="40"/>
              <w:jc w:val="center"/>
              <w:rPr>
                <w:color w:val="auto"/>
                <w:spacing w:val="-4"/>
                <w:sz w:val="18"/>
                <w:szCs w:val="18"/>
              </w:rPr>
            </w:pPr>
          </w:p>
          <w:p w14:paraId="3EFA866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0.0596</w:t>
            </w:r>
          </w:p>
          <w:p w14:paraId="2D400AD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0.0560</w:t>
            </w:r>
          </w:p>
          <w:p w14:paraId="798CC8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0.0526</w:t>
            </w:r>
          </w:p>
          <w:p w14:paraId="3E6A4331">
            <w:pPr>
              <w:adjustRightInd w:val="0"/>
              <w:snapToGrid w:val="0"/>
              <w:spacing w:line="220" w:lineRule="exact"/>
              <w:ind w:left="-181" w:leftChars="-86" w:right="-130" w:rightChars="-62" w:firstLine="68" w:firstLineChars="40"/>
              <w:jc w:val="center"/>
              <w:rPr>
                <w:color w:val="auto"/>
                <w:spacing w:val="-4"/>
                <w:sz w:val="18"/>
                <w:szCs w:val="18"/>
              </w:rPr>
            </w:pPr>
          </w:p>
          <w:p w14:paraId="6E748D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0.0495</w:t>
            </w:r>
          </w:p>
          <w:p w14:paraId="4C7370E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0.0466</w:t>
            </w:r>
          </w:p>
          <w:p w14:paraId="4D89509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0.0353</w:t>
            </w:r>
          </w:p>
          <w:p w14:paraId="0E166C9D">
            <w:pPr>
              <w:adjustRightInd w:val="0"/>
              <w:snapToGrid w:val="0"/>
              <w:spacing w:line="220" w:lineRule="exact"/>
              <w:ind w:left="-181" w:leftChars="-86" w:right="-130" w:rightChars="-62" w:firstLine="68" w:firstLineChars="40"/>
              <w:jc w:val="center"/>
              <w:rPr>
                <w:color w:val="auto"/>
                <w:spacing w:val="-4"/>
                <w:sz w:val="18"/>
                <w:szCs w:val="18"/>
              </w:rPr>
            </w:pPr>
          </w:p>
          <w:p w14:paraId="6F2A508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0.0275</w:t>
            </w:r>
          </w:p>
          <w:p w14:paraId="6720CFC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0.0219</w:t>
            </w:r>
          </w:p>
          <w:p w14:paraId="5D7D448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0.0178</w:t>
            </w:r>
          </w:p>
          <w:p w14:paraId="5FA14E64">
            <w:pPr>
              <w:adjustRightInd w:val="0"/>
              <w:snapToGrid w:val="0"/>
              <w:spacing w:line="220" w:lineRule="exact"/>
              <w:ind w:left="-181" w:leftChars="-86" w:right="-130" w:rightChars="-62" w:firstLine="68" w:firstLineChars="40"/>
              <w:jc w:val="center"/>
              <w:rPr>
                <w:color w:val="auto"/>
                <w:spacing w:val="-4"/>
                <w:sz w:val="18"/>
                <w:szCs w:val="18"/>
              </w:rPr>
            </w:pPr>
          </w:p>
          <w:p w14:paraId="2FA7540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0.0147</w:t>
            </w:r>
          </w:p>
          <w:p w14:paraId="6934DA6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0.0105</w:t>
            </w:r>
          </w:p>
          <w:p w14:paraId="6D16C2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0.0079</w:t>
            </w:r>
          </w:p>
          <w:p w14:paraId="15979CB1">
            <w:pPr>
              <w:adjustRightInd w:val="0"/>
              <w:snapToGrid w:val="0"/>
              <w:spacing w:line="220" w:lineRule="exact"/>
              <w:ind w:left="-181" w:leftChars="-86" w:right="-130" w:rightChars="-62" w:firstLine="68" w:firstLineChars="40"/>
              <w:jc w:val="center"/>
              <w:rPr>
                <w:color w:val="auto"/>
                <w:spacing w:val="-4"/>
                <w:sz w:val="18"/>
                <w:szCs w:val="18"/>
              </w:rPr>
            </w:pPr>
          </w:p>
          <w:p w14:paraId="2352338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0.0069</w:t>
            </w:r>
          </w:p>
          <w:p w14:paraId="686448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0.0061</w:t>
            </w:r>
          </w:p>
          <w:p w14:paraId="3245CE3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0.0049</w:t>
            </w:r>
          </w:p>
          <w:p w14:paraId="2DC8DB1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0.0040</w:t>
            </w:r>
          </w:p>
        </w:tc>
        <w:tc>
          <w:tcPr>
            <w:tcW w:w="770" w:type="dxa"/>
          </w:tcPr>
          <w:p w14:paraId="7183EDF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49DFF6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55F38E2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E30C408">
            <w:pPr>
              <w:adjustRightInd w:val="0"/>
              <w:snapToGrid w:val="0"/>
              <w:spacing w:line="220" w:lineRule="exact"/>
              <w:ind w:left="-181" w:leftChars="-86" w:right="-130" w:rightChars="-62" w:firstLine="68" w:firstLineChars="40"/>
              <w:jc w:val="center"/>
              <w:rPr>
                <w:color w:val="auto"/>
                <w:spacing w:val="-4"/>
                <w:sz w:val="18"/>
                <w:szCs w:val="18"/>
              </w:rPr>
            </w:pPr>
          </w:p>
          <w:p w14:paraId="6726FE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0.2341</w:t>
            </w:r>
          </w:p>
          <w:p w14:paraId="025EF1D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0.2199</w:t>
            </w:r>
          </w:p>
          <w:p w14:paraId="6FEA631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0.2040</w:t>
            </w:r>
          </w:p>
          <w:p w14:paraId="0C2932A3">
            <w:pPr>
              <w:adjustRightInd w:val="0"/>
              <w:snapToGrid w:val="0"/>
              <w:spacing w:line="220" w:lineRule="exact"/>
              <w:ind w:left="-181" w:leftChars="-86" w:right="-130" w:rightChars="-62" w:firstLine="68" w:firstLineChars="40"/>
              <w:jc w:val="center"/>
              <w:rPr>
                <w:color w:val="auto"/>
                <w:spacing w:val="-4"/>
                <w:sz w:val="18"/>
                <w:szCs w:val="18"/>
              </w:rPr>
            </w:pPr>
          </w:p>
          <w:p w14:paraId="3829F1F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0.1879</w:t>
            </w:r>
          </w:p>
          <w:p w14:paraId="485AF40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0.1725</w:t>
            </w:r>
          </w:p>
          <w:p w14:paraId="10C3C1B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0.1584</w:t>
            </w:r>
          </w:p>
          <w:p w14:paraId="6591CB17">
            <w:pPr>
              <w:adjustRightInd w:val="0"/>
              <w:snapToGrid w:val="0"/>
              <w:spacing w:line="220" w:lineRule="exact"/>
              <w:ind w:left="-181" w:leftChars="-86" w:right="-130" w:rightChars="-62" w:firstLine="68" w:firstLineChars="40"/>
              <w:jc w:val="center"/>
              <w:rPr>
                <w:color w:val="auto"/>
                <w:spacing w:val="-4"/>
                <w:sz w:val="18"/>
                <w:szCs w:val="18"/>
              </w:rPr>
            </w:pPr>
          </w:p>
          <w:p w14:paraId="4E85A28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0.1455</w:t>
            </w:r>
          </w:p>
          <w:p w14:paraId="2EBDD95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0.1339</w:t>
            </w:r>
          </w:p>
          <w:p w14:paraId="6F8713E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0.1235</w:t>
            </w:r>
          </w:p>
          <w:p w14:paraId="4F7D0FC6">
            <w:pPr>
              <w:adjustRightInd w:val="0"/>
              <w:snapToGrid w:val="0"/>
              <w:spacing w:line="220" w:lineRule="exact"/>
              <w:ind w:left="-181" w:leftChars="-86" w:right="-130" w:rightChars="-62" w:firstLine="68" w:firstLineChars="40"/>
              <w:jc w:val="center"/>
              <w:rPr>
                <w:color w:val="auto"/>
                <w:spacing w:val="-4"/>
                <w:sz w:val="18"/>
                <w:szCs w:val="18"/>
              </w:rPr>
            </w:pPr>
          </w:p>
          <w:p w14:paraId="1C8E9C3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0.1142</w:t>
            </w:r>
          </w:p>
          <w:p w14:paraId="4AD18D7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0.1058</w:t>
            </w:r>
          </w:p>
          <w:p w14:paraId="72A23CB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0.0982</w:t>
            </w:r>
          </w:p>
          <w:p w14:paraId="4D027A7A">
            <w:pPr>
              <w:adjustRightInd w:val="0"/>
              <w:snapToGrid w:val="0"/>
              <w:spacing w:line="220" w:lineRule="exact"/>
              <w:ind w:left="-181" w:leftChars="-86" w:right="-130" w:rightChars="-62" w:firstLine="68" w:firstLineChars="40"/>
              <w:jc w:val="center"/>
              <w:rPr>
                <w:color w:val="auto"/>
                <w:spacing w:val="-4"/>
                <w:sz w:val="18"/>
                <w:szCs w:val="18"/>
              </w:rPr>
            </w:pPr>
          </w:p>
          <w:p w14:paraId="4FFA7A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0.0913</w:t>
            </w:r>
          </w:p>
          <w:p w14:paraId="7214FDC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0.0850</w:t>
            </w:r>
          </w:p>
          <w:p w14:paraId="3E8AB68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0.0793</w:t>
            </w:r>
          </w:p>
          <w:p w14:paraId="55536AD7">
            <w:pPr>
              <w:adjustRightInd w:val="0"/>
              <w:snapToGrid w:val="0"/>
              <w:spacing w:line="220" w:lineRule="exact"/>
              <w:ind w:left="-181" w:leftChars="-86" w:right="-130" w:rightChars="-62" w:firstLine="68" w:firstLineChars="40"/>
              <w:jc w:val="center"/>
              <w:rPr>
                <w:color w:val="auto"/>
                <w:spacing w:val="-4"/>
                <w:sz w:val="18"/>
                <w:szCs w:val="18"/>
              </w:rPr>
            </w:pPr>
          </w:p>
          <w:p w14:paraId="65867BD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0.0741</w:t>
            </w:r>
          </w:p>
          <w:p w14:paraId="6328EB7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0.0694</w:t>
            </w:r>
          </w:p>
          <w:p w14:paraId="61CE5BB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0.0650</w:t>
            </w:r>
          </w:p>
          <w:p w14:paraId="00644FCF">
            <w:pPr>
              <w:adjustRightInd w:val="0"/>
              <w:snapToGrid w:val="0"/>
              <w:spacing w:line="220" w:lineRule="exact"/>
              <w:ind w:left="-181" w:leftChars="-86" w:right="-130" w:rightChars="-62" w:firstLine="68" w:firstLineChars="40"/>
              <w:jc w:val="center"/>
              <w:rPr>
                <w:color w:val="auto"/>
                <w:spacing w:val="-4"/>
                <w:sz w:val="18"/>
                <w:szCs w:val="18"/>
              </w:rPr>
            </w:pPr>
          </w:p>
          <w:p w14:paraId="4AC6CB6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0.0610</w:t>
            </w:r>
          </w:p>
          <w:p w14:paraId="7CF6B6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0.0574</w:t>
            </w:r>
          </w:p>
          <w:p w14:paraId="38D6791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0.0540</w:t>
            </w:r>
          </w:p>
          <w:p w14:paraId="0AA90D9F">
            <w:pPr>
              <w:adjustRightInd w:val="0"/>
              <w:snapToGrid w:val="0"/>
              <w:spacing w:line="220" w:lineRule="exact"/>
              <w:ind w:left="-181" w:leftChars="-86" w:right="-130" w:rightChars="-62" w:firstLine="68" w:firstLineChars="40"/>
              <w:jc w:val="center"/>
              <w:rPr>
                <w:color w:val="auto"/>
                <w:spacing w:val="-4"/>
                <w:sz w:val="18"/>
                <w:szCs w:val="18"/>
              </w:rPr>
            </w:pPr>
          </w:p>
          <w:p w14:paraId="1980682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0.0509</w:t>
            </w:r>
          </w:p>
          <w:p w14:paraId="5C23AD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0.0480</w:t>
            </w:r>
          </w:p>
          <w:p w14:paraId="0D3BFC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0.0366</w:t>
            </w:r>
          </w:p>
          <w:p w14:paraId="01C21628">
            <w:pPr>
              <w:adjustRightInd w:val="0"/>
              <w:snapToGrid w:val="0"/>
              <w:spacing w:line="220" w:lineRule="exact"/>
              <w:ind w:left="-181" w:leftChars="-86" w:right="-130" w:rightChars="-62" w:firstLine="68" w:firstLineChars="40"/>
              <w:jc w:val="center"/>
              <w:rPr>
                <w:color w:val="auto"/>
                <w:spacing w:val="-4"/>
                <w:sz w:val="18"/>
                <w:szCs w:val="18"/>
              </w:rPr>
            </w:pPr>
          </w:p>
          <w:p w14:paraId="7CC34C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0.0286</w:t>
            </w:r>
          </w:p>
          <w:p w14:paraId="4155103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0.0228</w:t>
            </w:r>
          </w:p>
          <w:p w14:paraId="48DABBE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0.0186</w:t>
            </w:r>
          </w:p>
          <w:p w14:paraId="2A31112B">
            <w:pPr>
              <w:adjustRightInd w:val="0"/>
              <w:snapToGrid w:val="0"/>
              <w:spacing w:line="220" w:lineRule="exact"/>
              <w:ind w:left="-181" w:leftChars="-86" w:right="-130" w:rightChars="-62" w:firstLine="68" w:firstLineChars="40"/>
              <w:jc w:val="center"/>
              <w:rPr>
                <w:color w:val="auto"/>
                <w:spacing w:val="-4"/>
                <w:sz w:val="18"/>
                <w:szCs w:val="18"/>
              </w:rPr>
            </w:pPr>
          </w:p>
          <w:p w14:paraId="55949DF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0.0154</w:t>
            </w:r>
          </w:p>
          <w:p w14:paraId="1D2D822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0.0111</w:t>
            </w:r>
          </w:p>
          <w:p w14:paraId="12B2160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0.0083</w:t>
            </w:r>
          </w:p>
          <w:p w14:paraId="35E06844">
            <w:pPr>
              <w:adjustRightInd w:val="0"/>
              <w:snapToGrid w:val="0"/>
              <w:spacing w:line="220" w:lineRule="exact"/>
              <w:ind w:left="-181" w:leftChars="-86" w:right="-130" w:rightChars="-62" w:firstLine="68" w:firstLineChars="40"/>
              <w:jc w:val="center"/>
              <w:rPr>
                <w:color w:val="auto"/>
                <w:spacing w:val="-4"/>
                <w:sz w:val="18"/>
                <w:szCs w:val="18"/>
              </w:rPr>
            </w:pPr>
          </w:p>
          <w:p w14:paraId="0CFAB55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0.0073</w:t>
            </w:r>
          </w:p>
          <w:p w14:paraId="304849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0.0064</w:t>
            </w:r>
          </w:p>
          <w:p w14:paraId="4A2E341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0.0051</w:t>
            </w:r>
          </w:p>
          <w:p w14:paraId="591C058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0.0042</w:t>
            </w:r>
          </w:p>
        </w:tc>
        <w:tc>
          <w:tcPr>
            <w:tcW w:w="769" w:type="dxa"/>
          </w:tcPr>
          <w:p w14:paraId="5316D4F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B07C3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3A11A1F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F1A3937">
            <w:pPr>
              <w:adjustRightInd w:val="0"/>
              <w:snapToGrid w:val="0"/>
              <w:spacing w:line="220" w:lineRule="exact"/>
              <w:ind w:left="-181" w:leftChars="-86" w:right="-130" w:rightChars="-62" w:firstLine="68" w:firstLineChars="40"/>
              <w:jc w:val="center"/>
              <w:rPr>
                <w:color w:val="auto"/>
                <w:spacing w:val="-4"/>
                <w:sz w:val="18"/>
                <w:szCs w:val="18"/>
              </w:rPr>
            </w:pPr>
          </w:p>
          <w:p w14:paraId="47F9F39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0.2341</w:t>
            </w:r>
          </w:p>
          <w:p w14:paraId="1C886DC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0.2200</w:t>
            </w:r>
          </w:p>
          <w:p w14:paraId="53A4AAE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0.2041</w:t>
            </w:r>
          </w:p>
          <w:p w14:paraId="5BEB0AF4">
            <w:pPr>
              <w:adjustRightInd w:val="0"/>
              <w:snapToGrid w:val="0"/>
              <w:spacing w:line="220" w:lineRule="exact"/>
              <w:ind w:left="-181" w:leftChars="-86" w:right="-130" w:rightChars="-62" w:firstLine="68" w:firstLineChars="40"/>
              <w:jc w:val="center"/>
              <w:rPr>
                <w:color w:val="auto"/>
                <w:spacing w:val="-4"/>
                <w:sz w:val="18"/>
                <w:szCs w:val="18"/>
              </w:rPr>
            </w:pPr>
          </w:p>
          <w:p w14:paraId="6245BC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0.1880</w:t>
            </w:r>
          </w:p>
          <w:p w14:paraId="74ED08C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0.1728</w:t>
            </w:r>
          </w:p>
          <w:p w14:paraId="1BB2552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0.1587</w:t>
            </w:r>
          </w:p>
          <w:p w14:paraId="6034A0E9">
            <w:pPr>
              <w:adjustRightInd w:val="0"/>
              <w:snapToGrid w:val="0"/>
              <w:spacing w:line="220" w:lineRule="exact"/>
              <w:ind w:left="-181" w:leftChars="-86" w:right="-130" w:rightChars="-62" w:firstLine="68" w:firstLineChars="40"/>
              <w:jc w:val="center"/>
              <w:rPr>
                <w:color w:val="auto"/>
                <w:spacing w:val="-4"/>
                <w:sz w:val="18"/>
                <w:szCs w:val="18"/>
              </w:rPr>
            </w:pPr>
          </w:p>
          <w:p w14:paraId="5350CF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0.1460</w:t>
            </w:r>
          </w:p>
          <w:p w14:paraId="447A25B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0.1345</w:t>
            </w:r>
          </w:p>
          <w:p w14:paraId="6D5376C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0.1242</w:t>
            </w:r>
          </w:p>
          <w:p w14:paraId="68779207">
            <w:pPr>
              <w:adjustRightInd w:val="0"/>
              <w:snapToGrid w:val="0"/>
              <w:spacing w:line="220" w:lineRule="exact"/>
              <w:ind w:left="-181" w:leftChars="-86" w:right="-130" w:rightChars="-62" w:firstLine="68" w:firstLineChars="40"/>
              <w:jc w:val="center"/>
              <w:rPr>
                <w:color w:val="auto"/>
                <w:spacing w:val="-4"/>
                <w:sz w:val="18"/>
                <w:szCs w:val="18"/>
              </w:rPr>
            </w:pPr>
          </w:p>
          <w:p w14:paraId="042B37D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0.1150</w:t>
            </w:r>
          </w:p>
          <w:p w14:paraId="4EF2695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0.1066</w:t>
            </w:r>
          </w:p>
          <w:p w14:paraId="28AC58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0.0991</w:t>
            </w:r>
          </w:p>
          <w:p w14:paraId="5DE88408">
            <w:pPr>
              <w:adjustRightInd w:val="0"/>
              <w:snapToGrid w:val="0"/>
              <w:spacing w:line="220" w:lineRule="exact"/>
              <w:ind w:left="-181" w:leftChars="-86" w:right="-130" w:rightChars="-62" w:firstLine="68" w:firstLineChars="40"/>
              <w:jc w:val="center"/>
              <w:rPr>
                <w:color w:val="auto"/>
                <w:spacing w:val="-4"/>
                <w:sz w:val="18"/>
                <w:szCs w:val="18"/>
              </w:rPr>
            </w:pPr>
          </w:p>
          <w:p w14:paraId="3167C7A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0.0923</w:t>
            </w:r>
          </w:p>
          <w:p w14:paraId="432D0EB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0.0861</w:t>
            </w:r>
          </w:p>
          <w:p w14:paraId="786A32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0.0804</w:t>
            </w:r>
          </w:p>
          <w:p w14:paraId="7CA057F9">
            <w:pPr>
              <w:adjustRightInd w:val="0"/>
              <w:snapToGrid w:val="0"/>
              <w:spacing w:line="220" w:lineRule="exact"/>
              <w:ind w:left="-181" w:leftChars="-86" w:right="-130" w:rightChars="-62" w:firstLine="68" w:firstLineChars="40"/>
              <w:jc w:val="center"/>
              <w:rPr>
                <w:color w:val="auto"/>
                <w:spacing w:val="-4"/>
                <w:sz w:val="18"/>
                <w:szCs w:val="18"/>
              </w:rPr>
            </w:pPr>
          </w:p>
          <w:p w14:paraId="50AB99B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0.0753</w:t>
            </w:r>
          </w:p>
          <w:p w14:paraId="6B40AB5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0.0706</w:t>
            </w:r>
          </w:p>
          <w:p w14:paraId="463B252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0.0663</w:t>
            </w:r>
          </w:p>
          <w:p w14:paraId="1F416025">
            <w:pPr>
              <w:adjustRightInd w:val="0"/>
              <w:snapToGrid w:val="0"/>
              <w:spacing w:line="220" w:lineRule="exact"/>
              <w:ind w:left="-181" w:leftChars="-86" w:right="-130" w:rightChars="-62" w:firstLine="68" w:firstLineChars="40"/>
              <w:jc w:val="center"/>
              <w:rPr>
                <w:color w:val="auto"/>
                <w:spacing w:val="-4"/>
                <w:sz w:val="18"/>
                <w:szCs w:val="18"/>
              </w:rPr>
            </w:pPr>
          </w:p>
          <w:p w14:paraId="680954F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0.0623</w:t>
            </w:r>
          </w:p>
          <w:p w14:paraId="0BB223A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0.0586</w:t>
            </w:r>
          </w:p>
          <w:p w14:paraId="653C588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0.0553</w:t>
            </w:r>
          </w:p>
          <w:p w14:paraId="5B565521">
            <w:pPr>
              <w:adjustRightInd w:val="0"/>
              <w:snapToGrid w:val="0"/>
              <w:spacing w:line="220" w:lineRule="exact"/>
              <w:ind w:left="-181" w:leftChars="-86" w:right="-130" w:rightChars="-62" w:firstLine="68" w:firstLineChars="40"/>
              <w:jc w:val="center"/>
              <w:rPr>
                <w:color w:val="auto"/>
                <w:spacing w:val="-4"/>
                <w:sz w:val="18"/>
                <w:szCs w:val="18"/>
              </w:rPr>
            </w:pPr>
          </w:p>
          <w:p w14:paraId="06B5A1D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0.0522</w:t>
            </w:r>
          </w:p>
          <w:p w14:paraId="130D94D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0.0493</w:t>
            </w:r>
          </w:p>
          <w:p w14:paraId="334E79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0.0377</w:t>
            </w:r>
          </w:p>
          <w:p w14:paraId="484D24D1">
            <w:pPr>
              <w:adjustRightInd w:val="0"/>
              <w:snapToGrid w:val="0"/>
              <w:spacing w:line="220" w:lineRule="exact"/>
              <w:ind w:left="-181" w:leftChars="-86" w:right="-130" w:rightChars="-62" w:firstLine="68" w:firstLineChars="40"/>
              <w:jc w:val="center"/>
              <w:rPr>
                <w:color w:val="auto"/>
                <w:spacing w:val="-4"/>
                <w:sz w:val="18"/>
                <w:szCs w:val="18"/>
              </w:rPr>
            </w:pPr>
          </w:p>
          <w:p w14:paraId="028FF6A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0.0296</w:t>
            </w:r>
          </w:p>
          <w:p w14:paraId="4BB7CE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0.0237</w:t>
            </w:r>
          </w:p>
          <w:p w14:paraId="1089FE6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0.0194</w:t>
            </w:r>
          </w:p>
          <w:p w14:paraId="170C1B1B">
            <w:pPr>
              <w:adjustRightInd w:val="0"/>
              <w:snapToGrid w:val="0"/>
              <w:spacing w:line="220" w:lineRule="exact"/>
              <w:ind w:left="-181" w:leftChars="-86" w:right="-130" w:rightChars="-62" w:firstLine="68" w:firstLineChars="40"/>
              <w:jc w:val="center"/>
              <w:rPr>
                <w:color w:val="auto"/>
                <w:spacing w:val="-4"/>
                <w:sz w:val="18"/>
                <w:szCs w:val="18"/>
              </w:rPr>
            </w:pPr>
          </w:p>
          <w:p w14:paraId="703607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0.0161</w:t>
            </w:r>
          </w:p>
          <w:p w14:paraId="785820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0.0116</w:t>
            </w:r>
          </w:p>
          <w:p w14:paraId="21920A9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0.0087</w:t>
            </w:r>
          </w:p>
          <w:p w14:paraId="2A88403D">
            <w:pPr>
              <w:adjustRightInd w:val="0"/>
              <w:snapToGrid w:val="0"/>
              <w:spacing w:line="220" w:lineRule="exact"/>
              <w:ind w:left="-181" w:leftChars="-86" w:right="-130" w:rightChars="-62" w:firstLine="68" w:firstLineChars="40"/>
              <w:jc w:val="center"/>
              <w:rPr>
                <w:color w:val="auto"/>
                <w:spacing w:val="-4"/>
                <w:sz w:val="18"/>
                <w:szCs w:val="18"/>
              </w:rPr>
            </w:pPr>
          </w:p>
          <w:p w14:paraId="510FAD1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0.0076</w:t>
            </w:r>
          </w:p>
          <w:p w14:paraId="2A52E41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0.0067</w:t>
            </w:r>
          </w:p>
          <w:p w14:paraId="5B0A1D5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0.0054</w:t>
            </w:r>
          </w:p>
          <w:p w14:paraId="23CBF1D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0.0044</w:t>
            </w:r>
          </w:p>
        </w:tc>
        <w:tc>
          <w:tcPr>
            <w:tcW w:w="769" w:type="dxa"/>
          </w:tcPr>
          <w:p w14:paraId="7188078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96D8D3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6C15E57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0DEA6A3D">
            <w:pPr>
              <w:adjustRightInd w:val="0"/>
              <w:snapToGrid w:val="0"/>
              <w:spacing w:line="220" w:lineRule="exact"/>
              <w:ind w:left="-181" w:leftChars="-86" w:right="-130" w:rightChars="-62" w:firstLine="68" w:firstLineChars="40"/>
              <w:jc w:val="center"/>
              <w:rPr>
                <w:color w:val="auto"/>
                <w:spacing w:val="-4"/>
                <w:sz w:val="18"/>
                <w:szCs w:val="18"/>
              </w:rPr>
            </w:pPr>
          </w:p>
          <w:p w14:paraId="7A6B832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0.2341</w:t>
            </w:r>
          </w:p>
          <w:p w14:paraId="56E073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0.2200</w:t>
            </w:r>
          </w:p>
          <w:p w14:paraId="4D85983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0.2042</w:t>
            </w:r>
          </w:p>
          <w:p w14:paraId="69FFA428">
            <w:pPr>
              <w:adjustRightInd w:val="0"/>
              <w:snapToGrid w:val="0"/>
              <w:spacing w:line="220" w:lineRule="exact"/>
              <w:ind w:left="-181" w:leftChars="-86" w:right="-130" w:rightChars="-62" w:firstLine="68" w:firstLineChars="40"/>
              <w:jc w:val="center"/>
              <w:rPr>
                <w:color w:val="auto"/>
                <w:spacing w:val="-4"/>
                <w:sz w:val="18"/>
                <w:szCs w:val="18"/>
              </w:rPr>
            </w:pPr>
          </w:p>
          <w:p w14:paraId="2DD20D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0.1882</w:t>
            </w:r>
          </w:p>
          <w:p w14:paraId="20A4C06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0.1730</w:t>
            </w:r>
          </w:p>
          <w:p w14:paraId="1252E7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0.1590</w:t>
            </w:r>
          </w:p>
          <w:p w14:paraId="18555009">
            <w:pPr>
              <w:adjustRightInd w:val="0"/>
              <w:snapToGrid w:val="0"/>
              <w:spacing w:line="220" w:lineRule="exact"/>
              <w:ind w:left="-181" w:leftChars="-86" w:right="-130" w:rightChars="-62" w:firstLine="68" w:firstLineChars="40"/>
              <w:jc w:val="center"/>
              <w:rPr>
                <w:color w:val="auto"/>
                <w:spacing w:val="-4"/>
                <w:sz w:val="18"/>
                <w:szCs w:val="18"/>
              </w:rPr>
            </w:pPr>
          </w:p>
          <w:p w14:paraId="5BD59C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0.1463</w:t>
            </w:r>
          </w:p>
          <w:p w14:paraId="4D31EE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0.1350</w:t>
            </w:r>
          </w:p>
          <w:p w14:paraId="69928E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0.1248</w:t>
            </w:r>
          </w:p>
          <w:p w14:paraId="00115B99">
            <w:pPr>
              <w:adjustRightInd w:val="0"/>
              <w:snapToGrid w:val="0"/>
              <w:spacing w:line="220" w:lineRule="exact"/>
              <w:ind w:left="-181" w:leftChars="-86" w:right="-130" w:rightChars="-62" w:firstLine="68" w:firstLineChars="40"/>
              <w:jc w:val="center"/>
              <w:rPr>
                <w:color w:val="auto"/>
                <w:spacing w:val="-4"/>
                <w:sz w:val="18"/>
                <w:szCs w:val="18"/>
              </w:rPr>
            </w:pPr>
          </w:p>
          <w:p w14:paraId="431E484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0.1156</w:t>
            </w:r>
          </w:p>
          <w:p w14:paraId="306C79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0.1073</w:t>
            </w:r>
          </w:p>
          <w:p w14:paraId="5DA1865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0.0999</w:t>
            </w:r>
          </w:p>
          <w:p w14:paraId="716E5390">
            <w:pPr>
              <w:adjustRightInd w:val="0"/>
              <w:snapToGrid w:val="0"/>
              <w:spacing w:line="220" w:lineRule="exact"/>
              <w:ind w:left="-181" w:leftChars="-86" w:right="-130" w:rightChars="-62" w:firstLine="68" w:firstLineChars="40"/>
              <w:jc w:val="center"/>
              <w:rPr>
                <w:color w:val="auto"/>
                <w:spacing w:val="-4"/>
                <w:sz w:val="18"/>
                <w:szCs w:val="18"/>
              </w:rPr>
            </w:pPr>
          </w:p>
          <w:p w14:paraId="4978FE6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0.0931</w:t>
            </w:r>
          </w:p>
          <w:p w14:paraId="28A18AA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0.0870</w:t>
            </w:r>
          </w:p>
          <w:p w14:paraId="3DE1F5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0.0814</w:t>
            </w:r>
          </w:p>
          <w:p w14:paraId="2E813908">
            <w:pPr>
              <w:adjustRightInd w:val="0"/>
              <w:snapToGrid w:val="0"/>
              <w:spacing w:line="220" w:lineRule="exact"/>
              <w:ind w:left="-181" w:leftChars="-86" w:right="-130" w:rightChars="-62" w:firstLine="68" w:firstLineChars="40"/>
              <w:jc w:val="center"/>
              <w:rPr>
                <w:color w:val="auto"/>
                <w:spacing w:val="-4"/>
                <w:sz w:val="18"/>
                <w:szCs w:val="18"/>
              </w:rPr>
            </w:pPr>
          </w:p>
          <w:p w14:paraId="042C320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0.0763</w:t>
            </w:r>
          </w:p>
          <w:p w14:paraId="42BF846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0.0717</w:t>
            </w:r>
          </w:p>
          <w:p w14:paraId="1D7DF9F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0.0674</w:t>
            </w:r>
          </w:p>
          <w:p w14:paraId="53A44B5F">
            <w:pPr>
              <w:adjustRightInd w:val="0"/>
              <w:snapToGrid w:val="0"/>
              <w:spacing w:line="220" w:lineRule="exact"/>
              <w:ind w:left="-181" w:leftChars="-86" w:right="-130" w:rightChars="-62" w:firstLine="68" w:firstLineChars="40"/>
              <w:jc w:val="center"/>
              <w:rPr>
                <w:color w:val="auto"/>
                <w:spacing w:val="-4"/>
                <w:sz w:val="18"/>
                <w:szCs w:val="18"/>
              </w:rPr>
            </w:pPr>
          </w:p>
          <w:p w14:paraId="419EB73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0.0634</w:t>
            </w:r>
          </w:p>
          <w:p w14:paraId="32B8ACE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0.0598</w:t>
            </w:r>
          </w:p>
          <w:p w14:paraId="4705A5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0.0564</w:t>
            </w:r>
          </w:p>
          <w:p w14:paraId="3E254366">
            <w:pPr>
              <w:adjustRightInd w:val="0"/>
              <w:snapToGrid w:val="0"/>
              <w:spacing w:line="220" w:lineRule="exact"/>
              <w:ind w:left="-181" w:leftChars="-86" w:right="-130" w:rightChars="-62" w:firstLine="68" w:firstLineChars="40"/>
              <w:jc w:val="center"/>
              <w:rPr>
                <w:color w:val="auto"/>
                <w:spacing w:val="-4"/>
                <w:sz w:val="18"/>
                <w:szCs w:val="18"/>
              </w:rPr>
            </w:pPr>
          </w:p>
          <w:p w14:paraId="62C4B95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0.0533</w:t>
            </w:r>
          </w:p>
          <w:p w14:paraId="2CF2888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0.0504</w:t>
            </w:r>
          </w:p>
          <w:p w14:paraId="10208A5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0.0388</w:t>
            </w:r>
          </w:p>
          <w:p w14:paraId="3C6B4684">
            <w:pPr>
              <w:adjustRightInd w:val="0"/>
              <w:snapToGrid w:val="0"/>
              <w:spacing w:line="220" w:lineRule="exact"/>
              <w:ind w:left="-181" w:leftChars="-86" w:right="-130" w:rightChars="-62" w:firstLine="68" w:firstLineChars="40"/>
              <w:jc w:val="center"/>
              <w:rPr>
                <w:color w:val="auto"/>
                <w:spacing w:val="-4"/>
                <w:sz w:val="18"/>
                <w:szCs w:val="18"/>
              </w:rPr>
            </w:pPr>
          </w:p>
          <w:p w14:paraId="4BF6EC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0.0306</w:t>
            </w:r>
          </w:p>
          <w:p w14:paraId="2DAB1A4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0.0246</w:t>
            </w:r>
          </w:p>
          <w:p w14:paraId="4E5A041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0.0202</w:t>
            </w:r>
          </w:p>
          <w:p w14:paraId="65A874FB">
            <w:pPr>
              <w:adjustRightInd w:val="0"/>
              <w:snapToGrid w:val="0"/>
              <w:spacing w:line="220" w:lineRule="exact"/>
              <w:ind w:left="-181" w:leftChars="-86" w:right="-130" w:rightChars="-62" w:firstLine="68" w:firstLineChars="40"/>
              <w:jc w:val="center"/>
              <w:rPr>
                <w:color w:val="auto"/>
                <w:spacing w:val="-4"/>
                <w:sz w:val="18"/>
                <w:szCs w:val="18"/>
              </w:rPr>
            </w:pPr>
          </w:p>
          <w:p w14:paraId="0EB32A6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0.0168</w:t>
            </w:r>
          </w:p>
          <w:p w14:paraId="16EC56A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0.0121</w:t>
            </w:r>
          </w:p>
          <w:p w14:paraId="33A19E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0.0091</w:t>
            </w:r>
          </w:p>
          <w:p w14:paraId="5C2FC139">
            <w:pPr>
              <w:adjustRightInd w:val="0"/>
              <w:snapToGrid w:val="0"/>
              <w:spacing w:line="220" w:lineRule="exact"/>
              <w:ind w:left="-181" w:leftChars="-86" w:right="-130" w:rightChars="-62" w:firstLine="68" w:firstLineChars="40"/>
              <w:jc w:val="center"/>
              <w:rPr>
                <w:color w:val="auto"/>
                <w:spacing w:val="-4"/>
                <w:sz w:val="18"/>
                <w:szCs w:val="18"/>
              </w:rPr>
            </w:pPr>
          </w:p>
          <w:p w14:paraId="371363E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0.0080</w:t>
            </w:r>
          </w:p>
          <w:p w14:paraId="0D7B522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0.0071</w:t>
            </w:r>
          </w:p>
          <w:p w14:paraId="03BC481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0.0056</w:t>
            </w:r>
          </w:p>
          <w:p w14:paraId="398E764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0.0046</w:t>
            </w:r>
          </w:p>
        </w:tc>
        <w:tc>
          <w:tcPr>
            <w:tcW w:w="769" w:type="dxa"/>
          </w:tcPr>
          <w:p w14:paraId="39394F3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62FC643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4A75A0B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763F7D6F">
            <w:pPr>
              <w:adjustRightInd w:val="0"/>
              <w:snapToGrid w:val="0"/>
              <w:spacing w:line="220" w:lineRule="exact"/>
              <w:ind w:left="-181" w:leftChars="-86" w:right="-130" w:rightChars="-62" w:firstLine="68" w:firstLineChars="40"/>
              <w:jc w:val="center"/>
              <w:rPr>
                <w:color w:val="auto"/>
                <w:spacing w:val="-4"/>
                <w:sz w:val="18"/>
                <w:szCs w:val="18"/>
              </w:rPr>
            </w:pPr>
          </w:p>
          <w:p w14:paraId="7D9F0ED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0.2341</w:t>
            </w:r>
          </w:p>
          <w:p w14:paraId="5E6E212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0.2201</w:t>
            </w:r>
          </w:p>
          <w:p w14:paraId="0580A8D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0.2042</w:t>
            </w:r>
          </w:p>
          <w:p w14:paraId="14C7F623">
            <w:pPr>
              <w:adjustRightInd w:val="0"/>
              <w:snapToGrid w:val="0"/>
              <w:spacing w:line="220" w:lineRule="exact"/>
              <w:ind w:left="-181" w:leftChars="-86" w:right="-130" w:rightChars="-62" w:firstLine="68" w:firstLineChars="40"/>
              <w:jc w:val="center"/>
              <w:rPr>
                <w:color w:val="auto"/>
                <w:spacing w:val="-4"/>
                <w:sz w:val="18"/>
                <w:szCs w:val="18"/>
              </w:rPr>
            </w:pPr>
          </w:p>
          <w:p w14:paraId="2856EAE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0.1883</w:t>
            </w:r>
          </w:p>
          <w:p w14:paraId="61037D1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0.1731</w:t>
            </w:r>
          </w:p>
          <w:p w14:paraId="358687E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0.1592</w:t>
            </w:r>
          </w:p>
          <w:p w14:paraId="2A054EF5">
            <w:pPr>
              <w:adjustRightInd w:val="0"/>
              <w:snapToGrid w:val="0"/>
              <w:spacing w:line="220" w:lineRule="exact"/>
              <w:ind w:left="-181" w:leftChars="-86" w:right="-130" w:rightChars="-62" w:firstLine="68" w:firstLineChars="40"/>
              <w:jc w:val="center"/>
              <w:rPr>
                <w:color w:val="auto"/>
                <w:spacing w:val="-4"/>
                <w:sz w:val="18"/>
                <w:szCs w:val="18"/>
              </w:rPr>
            </w:pPr>
          </w:p>
          <w:p w14:paraId="224AB29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0.1466</w:t>
            </w:r>
          </w:p>
          <w:p w14:paraId="258DF57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0.1353</w:t>
            </w:r>
          </w:p>
          <w:p w14:paraId="72D001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0.1252</w:t>
            </w:r>
          </w:p>
          <w:p w14:paraId="2D44BBE5">
            <w:pPr>
              <w:adjustRightInd w:val="0"/>
              <w:snapToGrid w:val="0"/>
              <w:spacing w:line="220" w:lineRule="exact"/>
              <w:ind w:left="-181" w:leftChars="-86" w:right="-130" w:rightChars="-62" w:firstLine="68" w:firstLineChars="40"/>
              <w:jc w:val="center"/>
              <w:rPr>
                <w:color w:val="auto"/>
                <w:spacing w:val="-4"/>
                <w:sz w:val="18"/>
                <w:szCs w:val="18"/>
              </w:rPr>
            </w:pPr>
          </w:p>
          <w:p w14:paraId="7EE5C0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0.1161</w:t>
            </w:r>
          </w:p>
          <w:p w14:paraId="41B1A3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0.1079</w:t>
            </w:r>
          </w:p>
          <w:p w14:paraId="5B995C2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0.1006</w:t>
            </w:r>
          </w:p>
          <w:p w14:paraId="1F1F22BB">
            <w:pPr>
              <w:adjustRightInd w:val="0"/>
              <w:snapToGrid w:val="0"/>
              <w:spacing w:line="220" w:lineRule="exact"/>
              <w:ind w:left="-181" w:leftChars="-86" w:right="-130" w:rightChars="-62" w:firstLine="68" w:firstLineChars="40"/>
              <w:jc w:val="center"/>
              <w:rPr>
                <w:color w:val="auto"/>
                <w:spacing w:val="-4"/>
                <w:sz w:val="18"/>
                <w:szCs w:val="18"/>
              </w:rPr>
            </w:pPr>
          </w:p>
          <w:p w14:paraId="14A1885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0.0939</w:t>
            </w:r>
          </w:p>
          <w:p w14:paraId="623ABAA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0.0878</w:t>
            </w:r>
          </w:p>
          <w:p w14:paraId="45C0218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0.0823</w:t>
            </w:r>
          </w:p>
          <w:p w14:paraId="1052351B">
            <w:pPr>
              <w:adjustRightInd w:val="0"/>
              <w:snapToGrid w:val="0"/>
              <w:spacing w:line="220" w:lineRule="exact"/>
              <w:ind w:left="-181" w:leftChars="-86" w:right="-130" w:rightChars="-62" w:firstLine="68" w:firstLineChars="40"/>
              <w:jc w:val="center"/>
              <w:rPr>
                <w:color w:val="auto"/>
                <w:spacing w:val="-4"/>
                <w:sz w:val="18"/>
                <w:szCs w:val="18"/>
              </w:rPr>
            </w:pPr>
          </w:p>
          <w:p w14:paraId="7BE47CC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0.0772</w:t>
            </w:r>
          </w:p>
          <w:p w14:paraId="2D8761D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0.0726</w:t>
            </w:r>
          </w:p>
          <w:p w14:paraId="3CFA50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0.0683</w:t>
            </w:r>
          </w:p>
          <w:p w14:paraId="1F442693">
            <w:pPr>
              <w:adjustRightInd w:val="0"/>
              <w:snapToGrid w:val="0"/>
              <w:spacing w:line="220" w:lineRule="exact"/>
              <w:ind w:left="-181" w:leftChars="-86" w:right="-130" w:rightChars="-62" w:firstLine="68" w:firstLineChars="40"/>
              <w:jc w:val="center"/>
              <w:rPr>
                <w:color w:val="auto"/>
                <w:spacing w:val="-4"/>
                <w:sz w:val="18"/>
                <w:szCs w:val="18"/>
              </w:rPr>
            </w:pPr>
          </w:p>
          <w:p w14:paraId="3963693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0.0644</w:t>
            </w:r>
          </w:p>
          <w:p w14:paraId="7657971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0.0608</w:t>
            </w:r>
          </w:p>
          <w:p w14:paraId="072631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0.0574</w:t>
            </w:r>
          </w:p>
          <w:p w14:paraId="63D5F641">
            <w:pPr>
              <w:adjustRightInd w:val="0"/>
              <w:snapToGrid w:val="0"/>
              <w:spacing w:line="220" w:lineRule="exact"/>
              <w:ind w:left="-181" w:leftChars="-86" w:right="-130" w:rightChars="-62" w:firstLine="68" w:firstLineChars="40"/>
              <w:jc w:val="center"/>
              <w:rPr>
                <w:color w:val="auto"/>
                <w:spacing w:val="-4"/>
                <w:sz w:val="18"/>
                <w:szCs w:val="18"/>
              </w:rPr>
            </w:pPr>
          </w:p>
          <w:p w14:paraId="47731FA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0.0543</w:t>
            </w:r>
          </w:p>
          <w:p w14:paraId="06076CC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0.0515</w:t>
            </w:r>
          </w:p>
          <w:p w14:paraId="64A10AE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0.0398</w:t>
            </w:r>
          </w:p>
          <w:p w14:paraId="7E62DE70">
            <w:pPr>
              <w:adjustRightInd w:val="0"/>
              <w:snapToGrid w:val="0"/>
              <w:spacing w:line="220" w:lineRule="exact"/>
              <w:ind w:left="-181" w:leftChars="-86" w:right="-130" w:rightChars="-62" w:firstLine="68" w:firstLineChars="40"/>
              <w:jc w:val="center"/>
              <w:rPr>
                <w:color w:val="auto"/>
                <w:spacing w:val="-4"/>
                <w:sz w:val="18"/>
                <w:szCs w:val="18"/>
              </w:rPr>
            </w:pPr>
          </w:p>
          <w:p w14:paraId="0E354BA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0.0315</w:t>
            </w:r>
          </w:p>
          <w:p w14:paraId="154FEF4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0.0254</w:t>
            </w:r>
          </w:p>
          <w:p w14:paraId="1B03F82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0.0209</w:t>
            </w:r>
          </w:p>
          <w:p w14:paraId="059AEFDE">
            <w:pPr>
              <w:adjustRightInd w:val="0"/>
              <w:snapToGrid w:val="0"/>
              <w:spacing w:line="220" w:lineRule="exact"/>
              <w:ind w:left="-181" w:leftChars="-86" w:right="-130" w:rightChars="-62" w:firstLine="68" w:firstLineChars="40"/>
              <w:jc w:val="center"/>
              <w:rPr>
                <w:color w:val="auto"/>
                <w:spacing w:val="-4"/>
                <w:sz w:val="18"/>
                <w:szCs w:val="18"/>
              </w:rPr>
            </w:pPr>
          </w:p>
          <w:p w14:paraId="38316C2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0.0174</w:t>
            </w:r>
          </w:p>
          <w:p w14:paraId="695E2F2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0.0126</w:t>
            </w:r>
          </w:p>
          <w:p w14:paraId="769570C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0.0095</w:t>
            </w:r>
          </w:p>
          <w:p w14:paraId="59E62A29">
            <w:pPr>
              <w:adjustRightInd w:val="0"/>
              <w:snapToGrid w:val="0"/>
              <w:spacing w:line="220" w:lineRule="exact"/>
              <w:ind w:left="-181" w:leftChars="-86" w:right="-130" w:rightChars="-62" w:firstLine="68" w:firstLineChars="40"/>
              <w:jc w:val="center"/>
              <w:rPr>
                <w:color w:val="auto"/>
                <w:spacing w:val="-4"/>
                <w:sz w:val="18"/>
                <w:szCs w:val="18"/>
              </w:rPr>
            </w:pPr>
          </w:p>
          <w:p w14:paraId="669D160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0.0083</w:t>
            </w:r>
          </w:p>
          <w:p w14:paraId="41BF993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0.0074</w:t>
            </w:r>
          </w:p>
          <w:p w14:paraId="5F21949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0.0059</w:t>
            </w:r>
          </w:p>
          <w:p w14:paraId="02E93F5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0.0048</w:t>
            </w:r>
          </w:p>
        </w:tc>
        <w:tc>
          <w:tcPr>
            <w:tcW w:w="769" w:type="dxa"/>
          </w:tcPr>
          <w:p w14:paraId="195690C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2083645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1F7F7FC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6B04EABD">
            <w:pPr>
              <w:adjustRightInd w:val="0"/>
              <w:snapToGrid w:val="0"/>
              <w:spacing w:line="220" w:lineRule="exact"/>
              <w:ind w:left="-181" w:leftChars="-86" w:right="-130" w:rightChars="-62" w:firstLine="68" w:firstLineChars="40"/>
              <w:jc w:val="center"/>
              <w:rPr>
                <w:color w:val="auto"/>
                <w:spacing w:val="-4"/>
                <w:sz w:val="18"/>
                <w:szCs w:val="18"/>
              </w:rPr>
            </w:pPr>
          </w:p>
          <w:p w14:paraId="07D307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0.2341</w:t>
            </w:r>
          </w:p>
          <w:p w14:paraId="0D943D6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0.2201</w:t>
            </w:r>
          </w:p>
          <w:p w14:paraId="0AA2AA5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0.2043</w:t>
            </w:r>
          </w:p>
          <w:p w14:paraId="62FB65D6">
            <w:pPr>
              <w:adjustRightInd w:val="0"/>
              <w:snapToGrid w:val="0"/>
              <w:spacing w:line="220" w:lineRule="exact"/>
              <w:ind w:left="-181" w:leftChars="-86" w:right="-130" w:rightChars="-62" w:firstLine="68" w:firstLineChars="40"/>
              <w:jc w:val="center"/>
              <w:rPr>
                <w:color w:val="auto"/>
                <w:spacing w:val="-4"/>
                <w:sz w:val="18"/>
                <w:szCs w:val="18"/>
              </w:rPr>
            </w:pPr>
          </w:p>
          <w:p w14:paraId="059C9C2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0.1884</w:t>
            </w:r>
          </w:p>
          <w:p w14:paraId="21BEEFE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0.1733</w:t>
            </w:r>
          </w:p>
          <w:p w14:paraId="2B2950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0.1594</w:t>
            </w:r>
          </w:p>
          <w:p w14:paraId="39941879">
            <w:pPr>
              <w:adjustRightInd w:val="0"/>
              <w:snapToGrid w:val="0"/>
              <w:spacing w:line="220" w:lineRule="exact"/>
              <w:ind w:left="-181" w:leftChars="-86" w:right="-130" w:rightChars="-62" w:firstLine="68" w:firstLineChars="40"/>
              <w:jc w:val="center"/>
              <w:rPr>
                <w:color w:val="auto"/>
                <w:spacing w:val="-4"/>
                <w:sz w:val="18"/>
                <w:szCs w:val="18"/>
              </w:rPr>
            </w:pPr>
          </w:p>
          <w:p w14:paraId="322D9D2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0.1469</w:t>
            </w:r>
          </w:p>
          <w:p w14:paraId="50BCAFD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0.1356</w:t>
            </w:r>
          </w:p>
          <w:p w14:paraId="2ABA66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0.1256</w:t>
            </w:r>
          </w:p>
          <w:p w14:paraId="50FE2A3B">
            <w:pPr>
              <w:adjustRightInd w:val="0"/>
              <w:snapToGrid w:val="0"/>
              <w:spacing w:line="220" w:lineRule="exact"/>
              <w:ind w:left="-181" w:leftChars="-86" w:right="-130" w:rightChars="-62" w:firstLine="68" w:firstLineChars="40"/>
              <w:jc w:val="center"/>
              <w:rPr>
                <w:color w:val="auto"/>
                <w:spacing w:val="-4"/>
                <w:sz w:val="18"/>
                <w:szCs w:val="18"/>
              </w:rPr>
            </w:pPr>
          </w:p>
          <w:p w14:paraId="28C8757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0.1166</w:t>
            </w:r>
          </w:p>
          <w:p w14:paraId="73988B6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0.1084</w:t>
            </w:r>
          </w:p>
          <w:p w14:paraId="2E47330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0.1009</w:t>
            </w:r>
          </w:p>
          <w:p w14:paraId="0D6AA2AB">
            <w:pPr>
              <w:adjustRightInd w:val="0"/>
              <w:snapToGrid w:val="0"/>
              <w:spacing w:line="220" w:lineRule="exact"/>
              <w:ind w:left="-181" w:leftChars="-86" w:right="-130" w:rightChars="-62" w:firstLine="68" w:firstLineChars="40"/>
              <w:jc w:val="center"/>
              <w:rPr>
                <w:color w:val="auto"/>
                <w:spacing w:val="-4"/>
                <w:sz w:val="18"/>
                <w:szCs w:val="18"/>
              </w:rPr>
            </w:pPr>
          </w:p>
          <w:p w14:paraId="20F4328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0.0945</w:t>
            </w:r>
          </w:p>
          <w:p w14:paraId="71FD135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0.0885</w:t>
            </w:r>
          </w:p>
          <w:p w14:paraId="6381D19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0.0830</w:t>
            </w:r>
          </w:p>
          <w:p w14:paraId="0B3F3F65">
            <w:pPr>
              <w:adjustRightInd w:val="0"/>
              <w:snapToGrid w:val="0"/>
              <w:spacing w:line="220" w:lineRule="exact"/>
              <w:ind w:left="-181" w:leftChars="-86" w:right="-130" w:rightChars="-62" w:firstLine="68" w:firstLineChars="40"/>
              <w:jc w:val="center"/>
              <w:rPr>
                <w:color w:val="auto"/>
                <w:spacing w:val="-4"/>
                <w:sz w:val="18"/>
                <w:szCs w:val="18"/>
              </w:rPr>
            </w:pPr>
          </w:p>
          <w:p w14:paraId="2F4E389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0.0780</w:t>
            </w:r>
          </w:p>
          <w:p w14:paraId="5CF3E6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0.0734</w:t>
            </w:r>
          </w:p>
          <w:p w14:paraId="18ACDAB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0.0692</w:t>
            </w:r>
          </w:p>
          <w:p w14:paraId="2FEB641A">
            <w:pPr>
              <w:adjustRightInd w:val="0"/>
              <w:snapToGrid w:val="0"/>
              <w:spacing w:line="220" w:lineRule="exact"/>
              <w:ind w:left="-181" w:leftChars="-86" w:right="-130" w:rightChars="-62" w:firstLine="68" w:firstLineChars="40"/>
              <w:jc w:val="center"/>
              <w:rPr>
                <w:color w:val="auto"/>
                <w:spacing w:val="-4"/>
                <w:sz w:val="18"/>
                <w:szCs w:val="18"/>
              </w:rPr>
            </w:pPr>
          </w:p>
          <w:p w14:paraId="7FF3493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0.0653</w:t>
            </w:r>
          </w:p>
          <w:p w14:paraId="31712B0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0.0617</w:t>
            </w:r>
          </w:p>
          <w:p w14:paraId="4A44D0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0.0584</w:t>
            </w:r>
          </w:p>
          <w:p w14:paraId="3AE11A09">
            <w:pPr>
              <w:adjustRightInd w:val="0"/>
              <w:snapToGrid w:val="0"/>
              <w:spacing w:line="220" w:lineRule="exact"/>
              <w:ind w:left="-181" w:leftChars="-86" w:right="-130" w:rightChars="-62" w:firstLine="68" w:firstLineChars="40"/>
              <w:jc w:val="center"/>
              <w:rPr>
                <w:color w:val="auto"/>
                <w:spacing w:val="-4"/>
                <w:sz w:val="18"/>
                <w:szCs w:val="18"/>
              </w:rPr>
            </w:pPr>
          </w:p>
          <w:p w14:paraId="69A0C5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0.0553</w:t>
            </w:r>
          </w:p>
          <w:p w14:paraId="217AC68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0.0524</w:t>
            </w:r>
          </w:p>
          <w:p w14:paraId="65C9000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0.0407</w:t>
            </w:r>
          </w:p>
          <w:p w14:paraId="437D21EC">
            <w:pPr>
              <w:adjustRightInd w:val="0"/>
              <w:snapToGrid w:val="0"/>
              <w:spacing w:line="220" w:lineRule="exact"/>
              <w:ind w:left="-181" w:leftChars="-86" w:right="-130" w:rightChars="-62" w:firstLine="68" w:firstLineChars="40"/>
              <w:jc w:val="center"/>
              <w:rPr>
                <w:color w:val="auto"/>
                <w:spacing w:val="-4"/>
                <w:sz w:val="18"/>
                <w:szCs w:val="18"/>
              </w:rPr>
            </w:pPr>
          </w:p>
          <w:p w14:paraId="56952A1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0.0324</w:t>
            </w:r>
          </w:p>
          <w:p w14:paraId="5F8375E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0.0262</w:t>
            </w:r>
          </w:p>
          <w:p w14:paraId="5B5813E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0.0216</w:t>
            </w:r>
          </w:p>
          <w:p w14:paraId="1DA48948">
            <w:pPr>
              <w:adjustRightInd w:val="0"/>
              <w:snapToGrid w:val="0"/>
              <w:spacing w:line="220" w:lineRule="exact"/>
              <w:ind w:left="-181" w:leftChars="-86" w:right="-130" w:rightChars="-62" w:firstLine="68" w:firstLineChars="40"/>
              <w:jc w:val="center"/>
              <w:rPr>
                <w:color w:val="auto"/>
                <w:spacing w:val="-4"/>
                <w:sz w:val="18"/>
                <w:szCs w:val="18"/>
              </w:rPr>
            </w:pPr>
          </w:p>
          <w:p w14:paraId="0538E48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0.0180</w:t>
            </w:r>
          </w:p>
          <w:p w14:paraId="7C75256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0.0131</w:t>
            </w:r>
          </w:p>
          <w:p w14:paraId="7427DA7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0.0099</w:t>
            </w:r>
          </w:p>
          <w:p w14:paraId="558FC8FB">
            <w:pPr>
              <w:adjustRightInd w:val="0"/>
              <w:snapToGrid w:val="0"/>
              <w:spacing w:line="220" w:lineRule="exact"/>
              <w:ind w:left="-181" w:leftChars="-86" w:right="-130" w:rightChars="-62" w:firstLine="68" w:firstLineChars="40"/>
              <w:jc w:val="center"/>
              <w:rPr>
                <w:color w:val="auto"/>
                <w:spacing w:val="-4"/>
                <w:sz w:val="18"/>
                <w:szCs w:val="18"/>
              </w:rPr>
            </w:pPr>
          </w:p>
          <w:p w14:paraId="22E1C14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0.0087</w:t>
            </w:r>
          </w:p>
          <w:p w14:paraId="49BA19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0.0077</w:t>
            </w:r>
          </w:p>
          <w:p w14:paraId="42D3B66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0.0062</w:t>
            </w:r>
          </w:p>
          <w:p w14:paraId="714F976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0.0050</w:t>
            </w:r>
          </w:p>
        </w:tc>
        <w:tc>
          <w:tcPr>
            <w:tcW w:w="769" w:type="dxa"/>
          </w:tcPr>
          <w:p w14:paraId="6DDF207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3CF2E6A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5BA3FA1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76AF6335">
            <w:pPr>
              <w:adjustRightInd w:val="0"/>
              <w:snapToGrid w:val="0"/>
              <w:spacing w:line="220" w:lineRule="exact"/>
              <w:ind w:left="-181" w:leftChars="-86" w:right="-130" w:rightChars="-62" w:firstLine="68" w:firstLineChars="40"/>
              <w:jc w:val="center"/>
              <w:rPr>
                <w:color w:val="auto"/>
                <w:spacing w:val="-4"/>
                <w:sz w:val="18"/>
                <w:szCs w:val="18"/>
              </w:rPr>
            </w:pPr>
          </w:p>
          <w:p w14:paraId="794384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4B30957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0.2201</w:t>
            </w:r>
          </w:p>
          <w:p w14:paraId="5B73321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0.2043</w:t>
            </w:r>
          </w:p>
          <w:p w14:paraId="1F14EF84">
            <w:pPr>
              <w:adjustRightInd w:val="0"/>
              <w:snapToGrid w:val="0"/>
              <w:spacing w:line="220" w:lineRule="exact"/>
              <w:ind w:left="-181" w:leftChars="-86" w:right="-130" w:rightChars="-62" w:firstLine="68" w:firstLineChars="40"/>
              <w:jc w:val="center"/>
              <w:rPr>
                <w:color w:val="auto"/>
                <w:spacing w:val="-4"/>
                <w:sz w:val="18"/>
                <w:szCs w:val="18"/>
              </w:rPr>
            </w:pPr>
          </w:p>
          <w:p w14:paraId="0E4F51E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0.1884</w:t>
            </w:r>
          </w:p>
          <w:p w14:paraId="164CC2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0.1734</w:t>
            </w:r>
          </w:p>
          <w:p w14:paraId="79C5BA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0.1596</w:t>
            </w:r>
          </w:p>
          <w:p w14:paraId="5B15A8F9">
            <w:pPr>
              <w:adjustRightInd w:val="0"/>
              <w:snapToGrid w:val="0"/>
              <w:spacing w:line="220" w:lineRule="exact"/>
              <w:ind w:left="-181" w:leftChars="-86" w:right="-130" w:rightChars="-62" w:firstLine="68" w:firstLineChars="40"/>
              <w:jc w:val="center"/>
              <w:rPr>
                <w:color w:val="auto"/>
                <w:spacing w:val="-4"/>
                <w:sz w:val="18"/>
                <w:szCs w:val="18"/>
              </w:rPr>
            </w:pPr>
          </w:p>
          <w:p w14:paraId="092C0B9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0.1471</w:t>
            </w:r>
          </w:p>
          <w:p w14:paraId="46D991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0.1359</w:t>
            </w:r>
          </w:p>
          <w:p w14:paraId="5E9E4A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0.1259</w:t>
            </w:r>
          </w:p>
          <w:p w14:paraId="4CE97CB2">
            <w:pPr>
              <w:adjustRightInd w:val="0"/>
              <w:snapToGrid w:val="0"/>
              <w:spacing w:line="220" w:lineRule="exact"/>
              <w:ind w:left="-181" w:leftChars="-86" w:right="-130" w:rightChars="-62" w:firstLine="68" w:firstLineChars="40"/>
              <w:jc w:val="center"/>
              <w:rPr>
                <w:color w:val="auto"/>
                <w:spacing w:val="-4"/>
                <w:sz w:val="18"/>
                <w:szCs w:val="18"/>
              </w:rPr>
            </w:pPr>
          </w:p>
          <w:p w14:paraId="4EC8D6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0.1169</w:t>
            </w:r>
          </w:p>
          <w:p w14:paraId="5EFFD86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0.1089</w:t>
            </w:r>
          </w:p>
          <w:p w14:paraId="394AD53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0.1016</w:t>
            </w:r>
          </w:p>
          <w:p w14:paraId="4DE7B057">
            <w:pPr>
              <w:adjustRightInd w:val="0"/>
              <w:snapToGrid w:val="0"/>
              <w:spacing w:line="220" w:lineRule="exact"/>
              <w:ind w:left="-181" w:leftChars="-86" w:right="-130" w:rightChars="-62" w:firstLine="68" w:firstLineChars="40"/>
              <w:jc w:val="center"/>
              <w:rPr>
                <w:color w:val="auto"/>
                <w:spacing w:val="-4"/>
                <w:sz w:val="18"/>
                <w:szCs w:val="18"/>
              </w:rPr>
            </w:pPr>
          </w:p>
          <w:p w14:paraId="2562EF7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0.0951</w:t>
            </w:r>
          </w:p>
          <w:p w14:paraId="1D100A0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0.0891</w:t>
            </w:r>
          </w:p>
          <w:p w14:paraId="53F983F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0.0837</w:t>
            </w:r>
          </w:p>
          <w:p w14:paraId="7945F36A">
            <w:pPr>
              <w:adjustRightInd w:val="0"/>
              <w:snapToGrid w:val="0"/>
              <w:spacing w:line="220" w:lineRule="exact"/>
              <w:ind w:left="-181" w:leftChars="-86" w:right="-130" w:rightChars="-62" w:firstLine="68" w:firstLineChars="40"/>
              <w:jc w:val="center"/>
              <w:rPr>
                <w:color w:val="auto"/>
                <w:spacing w:val="-4"/>
                <w:sz w:val="18"/>
                <w:szCs w:val="18"/>
              </w:rPr>
            </w:pPr>
          </w:p>
          <w:p w14:paraId="24C41B6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0.0787</w:t>
            </w:r>
          </w:p>
          <w:p w14:paraId="405B107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0.0741</w:t>
            </w:r>
          </w:p>
          <w:p w14:paraId="12667A4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0.0699</w:t>
            </w:r>
          </w:p>
          <w:p w14:paraId="13E981BE">
            <w:pPr>
              <w:adjustRightInd w:val="0"/>
              <w:snapToGrid w:val="0"/>
              <w:spacing w:line="220" w:lineRule="exact"/>
              <w:ind w:left="-181" w:leftChars="-86" w:right="-130" w:rightChars="-62" w:firstLine="68" w:firstLineChars="40"/>
              <w:jc w:val="center"/>
              <w:rPr>
                <w:color w:val="auto"/>
                <w:spacing w:val="-4"/>
                <w:sz w:val="18"/>
                <w:szCs w:val="18"/>
              </w:rPr>
            </w:pPr>
          </w:p>
          <w:p w14:paraId="1328768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0.0661</w:t>
            </w:r>
          </w:p>
          <w:p w14:paraId="51A07B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0.0625</w:t>
            </w:r>
          </w:p>
          <w:p w14:paraId="275035A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0.0592</w:t>
            </w:r>
          </w:p>
          <w:p w14:paraId="59636D43">
            <w:pPr>
              <w:adjustRightInd w:val="0"/>
              <w:snapToGrid w:val="0"/>
              <w:spacing w:line="220" w:lineRule="exact"/>
              <w:ind w:left="-181" w:leftChars="-86" w:right="-130" w:rightChars="-62" w:firstLine="68" w:firstLineChars="40"/>
              <w:jc w:val="center"/>
              <w:rPr>
                <w:color w:val="auto"/>
                <w:spacing w:val="-4"/>
                <w:sz w:val="18"/>
                <w:szCs w:val="18"/>
              </w:rPr>
            </w:pPr>
          </w:p>
          <w:p w14:paraId="085D531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0.0561</w:t>
            </w:r>
          </w:p>
          <w:p w14:paraId="209D19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0.0534</w:t>
            </w:r>
          </w:p>
          <w:p w14:paraId="4BA745A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0.0416</w:t>
            </w:r>
          </w:p>
          <w:p w14:paraId="6D6A4464">
            <w:pPr>
              <w:adjustRightInd w:val="0"/>
              <w:snapToGrid w:val="0"/>
              <w:spacing w:line="220" w:lineRule="exact"/>
              <w:ind w:left="-181" w:leftChars="-86" w:right="-130" w:rightChars="-62" w:firstLine="68" w:firstLineChars="40"/>
              <w:jc w:val="center"/>
              <w:rPr>
                <w:color w:val="auto"/>
                <w:spacing w:val="-4"/>
                <w:sz w:val="18"/>
                <w:szCs w:val="18"/>
              </w:rPr>
            </w:pPr>
          </w:p>
          <w:p w14:paraId="58B4F84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0.0332</w:t>
            </w:r>
          </w:p>
          <w:p w14:paraId="424288E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0.0270</w:t>
            </w:r>
          </w:p>
          <w:p w14:paraId="103F71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0.0223</w:t>
            </w:r>
          </w:p>
          <w:p w14:paraId="496AE47B">
            <w:pPr>
              <w:adjustRightInd w:val="0"/>
              <w:snapToGrid w:val="0"/>
              <w:spacing w:line="220" w:lineRule="exact"/>
              <w:ind w:left="-181" w:leftChars="-86" w:right="-130" w:rightChars="-62" w:firstLine="68" w:firstLineChars="40"/>
              <w:jc w:val="center"/>
              <w:rPr>
                <w:color w:val="auto"/>
                <w:spacing w:val="-4"/>
                <w:sz w:val="18"/>
                <w:szCs w:val="18"/>
              </w:rPr>
            </w:pPr>
          </w:p>
          <w:p w14:paraId="1DFB4EF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0.0186</w:t>
            </w:r>
          </w:p>
          <w:p w14:paraId="006F220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0.0136</w:t>
            </w:r>
          </w:p>
          <w:p w14:paraId="49C01E1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0.0103</w:t>
            </w:r>
          </w:p>
          <w:p w14:paraId="34C72B61">
            <w:pPr>
              <w:adjustRightInd w:val="0"/>
              <w:snapToGrid w:val="0"/>
              <w:spacing w:line="220" w:lineRule="exact"/>
              <w:ind w:left="-181" w:leftChars="-86" w:right="-130" w:rightChars="-62" w:firstLine="68" w:firstLineChars="40"/>
              <w:jc w:val="center"/>
              <w:rPr>
                <w:color w:val="auto"/>
                <w:spacing w:val="-4"/>
                <w:sz w:val="18"/>
                <w:szCs w:val="18"/>
              </w:rPr>
            </w:pPr>
          </w:p>
          <w:p w14:paraId="3C49A36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0.0090</w:t>
            </w:r>
          </w:p>
          <w:p w14:paraId="3DE266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0.0080</w:t>
            </w:r>
          </w:p>
          <w:p w14:paraId="580AC14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0.0064</w:t>
            </w:r>
          </w:p>
          <w:p w14:paraId="2A3F4AA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0.0053</w:t>
            </w:r>
          </w:p>
        </w:tc>
        <w:tc>
          <w:tcPr>
            <w:tcW w:w="769" w:type="dxa"/>
          </w:tcPr>
          <w:p w14:paraId="0455BF6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928863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56AABAF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00031EF">
            <w:pPr>
              <w:adjustRightInd w:val="0"/>
              <w:snapToGrid w:val="0"/>
              <w:spacing w:line="220" w:lineRule="exact"/>
              <w:ind w:left="-181" w:leftChars="-86" w:right="-130" w:rightChars="-62" w:firstLine="68" w:firstLineChars="40"/>
              <w:jc w:val="center"/>
              <w:rPr>
                <w:color w:val="auto"/>
                <w:spacing w:val="-4"/>
                <w:sz w:val="18"/>
                <w:szCs w:val="18"/>
              </w:rPr>
            </w:pPr>
          </w:p>
          <w:p w14:paraId="27E8E5E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2F3F282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73619D9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0.2044</w:t>
            </w:r>
          </w:p>
          <w:p w14:paraId="18818141">
            <w:pPr>
              <w:adjustRightInd w:val="0"/>
              <w:snapToGrid w:val="0"/>
              <w:spacing w:line="220" w:lineRule="exact"/>
              <w:ind w:left="-181" w:leftChars="-86" w:right="-130" w:rightChars="-62" w:firstLine="68" w:firstLineChars="40"/>
              <w:jc w:val="center"/>
              <w:rPr>
                <w:color w:val="auto"/>
                <w:spacing w:val="-4"/>
                <w:sz w:val="18"/>
                <w:szCs w:val="18"/>
              </w:rPr>
            </w:pPr>
          </w:p>
          <w:p w14:paraId="2EE7771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0.1885</w:t>
            </w:r>
          </w:p>
          <w:p w14:paraId="79C139B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0.1735</w:t>
            </w:r>
          </w:p>
          <w:p w14:paraId="74F4EF5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0.1597</w:t>
            </w:r>
          </w:p>
          <w:p w14:paraId="2F306EED">
            <w:pPr>
              <w:adjustRightInd w:val="0"/>
              <w:snapToGrid w:val="0"/>
              <w:spacing w:line="220" w:lineRule="exact"/>
              <w:ind w:left="-181" w:leftChars="-86" w:right="-130" w:rightChars="-62" w:firstLine="68" w:firstLineChars="40"/>
              <w:jc w:val="center"/>
              <w:rPr>
                <w:color w:val="auto"/>
                <w:spacing w:val="-4"/>
                <w:sz w:val="18"/>
                <w:szCs w:val="18"/>
              </w:rPr>
            </w:pPr>
          </w:p>
          <w:p w14:paraId="4ACDBD2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0.1472</w:t>
            </w:r>
          </w:p>
          <w:p w14:paraId="7C321F8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0.1361</w:t>
            </w:r>
          </w:p>
          <w:p w14:paraId="0E8592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0.1261</w:t>
            </w:r>
          </w:p>
          <w:p w14:paraId="66FD897F">
            <w:pPr>
              <w:adjustRightInd w:val="0"/>
              <w:snapToGrid w:val="0"/>
              <w:spacing w:line="220" w:lineRule="exact"/>
              <w:ind w:left="-181" w:leftChars="-86" w:right="-130" w:rightChars="-62" w:firstLine="68" w:firstLineChars="40"/>
              <w:jc w:val="center"/>
              <w:rPr>
                <w:color w:val="auto"/>
                <w:spacing w:val="-4"/>
                <w:sz w:val="18"/>
                <w:szCs w:val="18"/>
              </w:rPr>
            </w:pPr>
          </w:p>
          <w:p w14:paraId="4D1F99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0.1172</w:t>
            </w:r>
          </w:p>
          <w:p w14:paraId="1547E3F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0.1092</w:t>
            </w:r>
          </w:p>
          <w:p w14:paraId="1F8C68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0.1020</w:t>
            </w:r>
          </w:p>
          <w:p w14:paraId="217521F5">
            <w:pPr>
              <w:adjustRightInd w:val="0"/>
              <w:snapToGrid w:val="0"/>
              <w:spacing w:line="220" w:lineRule="exact"/>
              <w:ind w:left="-181" w:leftChars="-86" w:right="-130" w:rightChars="-62" w:firstLine="68" w:firstLineChars="40"/>
              <w:jc w:val="center"/>
              <w:rPr>
                <w:color w:val="auto"/>
                <w:spacing w:val="-4"/>
                <w:sz w:val="18"/>
                <w:szCs w:val="18"/>
              </w:rPr>
            </w:pPr>
          </w:p>
          <w:p w14:paraId="00E8969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0.0955</w:t>
            </w:r>
          </w:p>
          <w:p w14:paraId="385A86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0.0896</w:t>
            </w:r>
          </w:p>
          <w:p w14:paraId="16C20B4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0.0842</w:t>
            </w:r>
          </w:p>
          <w:p w14:paraId="594CB3DD">
            <w:pPr>
              <w:adjustRightInd w:val="0"/>
              <w:snapToGrid w:val="0"/>
              <w:spacing w:line="220" w:lineRule="exact"/>
              <w:ind w:left="-181" w:leftChars="-86" w:right="-130" w:rightChars="-62" w:firstLine="68" w:firstLineChars="40"/>
              <w:jc w:val="center"/>
              <w:rPr>
                <w:color w:val="auto"/>
                <w:spacing w:val="-4"/>
                <w:sz w:val="18"/>
                <w:szCs w:val="18"/>
              </w:rPr>
            </w:pPr>
          </w:p>
          <w:p w14:paraId="5DDF86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0.0793</w:t>
            </w:r>
          </w:p>
          <w:p w14:paraId="757E4A8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0.0748</w:t>
            </w:r>
          </w:p>
          <w:p w14:paraId="2399F8E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0.0706</w:t>
            </w:r>
          </w:p>
          <w:p w14:paraId="096524AD">
            <w:pPr>
              <w:adjustRightInd w:val="0"/>
              <w:snapToGrid w:val="0"/>
              <w:spacing w:line="220" w:lineRule="exact"/>
              <w:ind w:left="-181" w:leftChars="-86" w:right="-130" w:rightChars="-62" w:firstLine="68" w:firstLineChars="40"/>
              <w:jc w:val="center"/>
              <w:rPr>
                <w:color w:val="auto"/>
                <w:spacing w:val="-4"/>
                <w:sz w:val="18"/>
                <w:szCs w:val="18"/>
              </w:rPr>
            </w:pPr>
          </w:p>
          <w:p w14:paraId="3834443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0.0668</w:t>
            </w:r>
          </w:p>
          <w:p w14:paraId="178B3BF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0.0632</w:t>
            </w:r>
          </w:p>
          <w:p w14:paraId="2F8550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0.0599</w:t>
            </w:r>
          </w:p>
          <w:p w14:paraId="3CFFBE04">
            <w:pPr>
              <w:adjustRightInd w:val="0"/>
              <w:snapToGrid w:val="0"/>
              <w:spacing w:line="220" w:lineRule="exact"/>
              <w:ind w:left="-181" w:leftChars="-86" w:right="-130" w:rightChars="-62" w:firstLine="68" w:firstLineChars="40"/>
              <w:jc w:val="center"/>
              <w:rPr>
                <w:color w:val="auto"/>
                <w:spacing w:val="-4"/>
                <w:sz w:val="18"/>
                <w:szCs w:val="18"/>
              </w:rPr>
            </w:pPr>
          </w:p>
          <w:p w14:paraId="7B936BA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0.0569</w:t>
            </w:r>
          </w:p>
          <w:p w14:paraId="6AC5D0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0.0540</w:t>
            </w:r>
          </w:p>
          <w:p w14:paraId="428D410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0.0424</w:t>
            </w:r>
          </w:p>
          <w:p w14:paraId="08C3155A">
            <w:pPr>
              <w:adjustRightInd w:val="0"/>
              <w:snapToGrid w:val="0"/>
              <w:spacing w:line="220" w:lineRule="exact"/>
              <w:ind w:left="-181" w:leftChars="-86" w:right="-130" w:rightChars="-62" w:firstLine="68" w:firstLineChars="40"/>
              <w:jc w:val="center"/>
              <w:rPr>
                <w:color w:val="auto"/>
                <w:spacing w:val="-4"/>
                <w:sz w:val="18"/>
                <w:szCs w:val="18"/>
              </w:rPr>
            </w:pPr>
          </w:p>
          <w:p w14:paraId="236442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0.0339</w:t>
            </w:r>
          </w:p>
          <w:p w14:paraId="2E27405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0.0277</w:t>
            </w:r>
          </w:p>
          <w:p w14:paraId="59B7E6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0.0229</w:t>
            </w:r>
          </w:p>
          <w:p w14:paraId="7600AC4C">
            <w:pPr>
              <w:adjustRightInd w:val="0"/>
              <w:snapToGrid w:val="0"/>
              <w:spacing w:line="220" w:lineRule="exact"/>
              <w:ind w:left="-181" w:leftChars="-86" w:right="-130" w:rightChars="-62" w:firstLine="68" w:firstLineChars="40"/>
              <w:jc w:val="center"/>
              <w:rPr>
                <w:color w:val="auto"/>
                <w:spacing w:val="-4"/>
                <w:sz w:val="18"/>
                <w:szCs w:val="18"/>
              </w:rPr>
            </w:pPr>
          </w:p>
          <w:p w14:paraId="76C261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0.0192</w:t>
            </w:r>
          </w:p>
          <w:p w14:paraId="30EEBC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0.0140</w:t>
            </w:r>
          </w:p>
          <w:p w14:paraId="1B15789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0.0107</w:t>
            </w:r>
          </w:p>
          <w:p w14:paraId="3348E1EE">
            <w:pPr>
              <w:adjustRightInd w:val="0"/>
              <w:snapToGrid w:val="0"/>
              <w:spacing w:line="220" w:lineRule="exact"/>
              <w:ind w:left="-181" w:leftChars="-86" w:right="-130" w:rightChars="-62" w:firstLine="68" w:firstLineChars="40"/>
              <w:jc w:val="center"/>
              <w:rPr>
                <w:color w:val="auto"/>
                <w:spacing w:val="-4"/>
                <w:sz w:val="18"/>
                <w:szCs w:val="18"/>
              </w:rPr>
            </w:pPr>
          </w:p>
          <w:p w14:paraId="3A2B76E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0.0094</w:t>
            </w:r>
          </w:p>
          <w:p w14:paraId="53B1B45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0.0083</w:t>
            </w:r>
          </w:p>
          <w:p w14:paraId="3D96E6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0.0067</w:t>
            </w:r>
          </w:p>
          <w:p w14:paraId="6EEE4DB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0.0055</w:t>
            </w:r>
          </w:p>
        </w:tc>
        <w:tc>
          <w:tcPr>
            <w:tcW w:w="769" w:type="dxa"/>
          </w:tcPr>
          <w:p w14:paraId="01FDBDB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4686D3C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114876A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4684D35C">
            <w:pPr>
              <w:adjustRightInd w:val="0"/>
              <w:snapToGrid w:val="0"/>
              <w:spacing w:line="220" w:lineRule="exact"/>
              <w:ind w:left="-181" w:leftChars="-86" w:right="-130" w:rightChars="-62" w:firstLine="68" w:firstLineChars="40"/>
              <w:jc w:val="center"/>
              <w:rPr>
                <w:color w:val="auto"/>
                <w:spacing w:val="-4"/>
                <w:sz w:val="18"/>
                <w:szCs w:val="18"/>
              </w:rPr>
            </w:pPr>
          </w:p>
          <w:p w14:paraId="1B67730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4CE68A5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65F5BF9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0.2044</w:t>
            </w:r>
          </w:p>
          <w:p w14:paraId="6B35767A">
            <w:pPr>
              <w:adjustRightInd w:val="0"/>
              <w:snapToGrid w:val="0"/>
              <w:spacing w:line="220" w:lineRule="exact"/>
              <w:ind w:left="-181" w:leftChars="-86" w:right="-130" w:rightChars="-62" w:firstLine="68" w:firstLineChars="40"/>
              <w:jc w:val="center"/>
              <w:rPr>
                <w:color w:val="auto"/>
                <w:spacing w:val="-4"/>
                <w:sz w:val="18"/>
                <w:szCs w:val="18"/>
              </w:rPr>
            </w:pPr>
          </w:p>
          <w:p w14:paraId="12B51E7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0.1885</w:t>
            </w:r>
          </w:p>
          <w:p w14:paraId="31B891E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0.1735</w:t>
            </w:r>
          </w:p>
          <w:p w14:paraId="2993446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0.1598</w:t>
            </w:r>
          </w:p>
          <w:p w14:paraId="34937CF0">
            <w:pPr>
              <w:adjustRightInd w:val="0"/>
              <w:snapToGrid w:val="0"/>
              <w:spacing w:line="220" w:lineRule="exact"/>
              <w:ind w:left="-181" w:leftChars="-86" w:right="-130" w:rightChars="-62" w:firstLine="68" w:firstLineChars="40"/>
              <w:jc w:val="center"/>
              <w:rPr>
                <w:color w:val="auto"/>
                <w:spacing w:val="-4"/>
                <w:sz w:val="18"/>
                <w:szCs w:val="18"/>
              </w:rPr>
            </w:pPr>
          </w:p>
          <w:p w14:paraId="698F552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0.1474</w:t>
            </w:r>
          </w:p>
          <w:p w14:paraId="4807ECC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0.1363</w:t>
            </w:r>
          </w:p>
          <w:p w14:paraId="7025A68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0.1264</w:t>
            </w:r>
          </w:p>
          <w:p w14:paraId="6E193032">
            <w:pPr>
              <w:adjustRightInd w:val="0"/>
              <w:snapToGrid w:val="0"/>
              <w:spacing w:line="220" w:lineRule="exact"/>
              <w:ind w:left="-181" w:leftChars="-86" w:right="-130" w:rightChars="-62" w:firstLine="68" w:firstLineChars="40"/>
              <w:jc w:val="center"/>
              <w:rPr>
                <w:color w:val="auto"/>
                <w:spacing w:val="-4"/>
                <w:sz w:val="18"/>
                <w:szCs w:val="18"/>
              </w:rPr>
            </w:pPr>
          </w:p>
          <w:p w14:paraId="5FD9DD2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0.1175</w:t>
            </w:r>
          </w:p>
          <w:p w14:paraId="76A718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0.1096</w:t>
            </w:r>
          </w:p>
          <w:p w14:paraId="0891743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0.1024</w:t>
            </w:r>
          </w:p>
          <w:p w14:paraId="040F0F0E">
            <w:pPr>
              <w:adjustRightInd w:val="0"/>
              <w:snapToGrid w:val="0"/>
              <w:spacing w:line="220" w:lineRule="exact"/>
              <w:ind w:left="-181" w:leftChars="-86" w:right="-130" w:rightChars="-62" w:firstLine="68" w:firstLineChars="40"/>
              <w:jc w:val="center"/>
              <w:rPr>
                <w:color w:val="auto"/>
                <w:spacing w:val="-4"/>
                <w:sz w:val="18"/>
                <w:szCs w:val="18"/>
              </w:rPr>
            </w:pPr>
          </w:p>
          <w:p w14:paraId="0C97068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0.0959</w:t>
            </w:r>
          </w:p>
          <w:p w14:paraId="5432083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0.0901</w:t>
            </w:r>
          </w:p>
          <w:p w14:paraId="06660B6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0.0847</w:t>
            </w:r>
          </w:p>
          <w:p w14:paraId="5ABAB42B">
            <w:pPr>
              <w:adjustRightInd w:val="0"/>
              <w:snapToGrid w:val="0"/>
              <w:spacing w:line="220" w:lineRule="exact"/>
              <w:ind w:left="-181" w:leftChars="-86" w:right="-130" w:rightChars="-62" w:firstLine="68" w:firstLineChars="40"/>
              <w:jc w:val="center"/>
              <w:rPr>
                <w:color w:val="auto"/>
                <w:spacing w:val="-4"/>
                <w:sz w:val="18"/>
                <w:szCs w:val="18"/>
              </w:rPr>
            </w:pPr>
          </w:p>
          <w:p w14:paraId="0221590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0.0798</w:t>
            </w:r>
          </w:p>
          <w:p w14:paraId="043ABA9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0.0753</w:t>
            </w:r>
          </w:p>
          <w:p w14:paraId="56588C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0.0712</w:t>
            </w:r>
          </w:p>
          <w:p w14:paraId="30FA4241">
            <w:pPr>
              <w:adjustRightInd w:val="0"/>
              <w:snapToGrid w:val="0"/>
              <w:spacing w:line="220" w:lineRule="exact"/>
              <w:ind w:left="-181" w:leftChars="-86" w:right="-130" w:rightChars="-62" w:firstLine="68" w:firstLineChars="40"/>
              <w:jc w:val="center"/>
              <w:rPr>
                <w:color w:val="auto"/>
                <w:spacing w:val="-4"/>
                <w:sz w:val="18"/>
                <w:szCs w:val="18"/>
              </w:rPr>
            </w:pPr>
          </w:p>
          <w:p w14:paraId="18DCA5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0.0674</w:t>
            </w:r>
          </w:p>
          <w:p w14:paraId="207DDD2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0.0639</w:t>
            </w:r>
          </w:p>
          <w:p w14:paraId="19CD895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0.0606</w:t>
            </w:r>
          </w:p>
          <w:p w14:paraId="1D2DD271">
            <w:pPr>
              <w:adjustRightInd w:val="0"/>
              <w:snapToGrid w:val="0"/>
              <w:spacing w:line="220" w:lineRule="exact"/>
              <w:ind w:left="-181" w:leftChars="-86" w:right="-130" w:rightChars="-62" w:firstLine="68" w:firstLineChars="40"/>
              <w:jc w:val="center"/>
              <w:rPr>
                <w:color w:val="auto"/>
                <w:spacing w:val="-4"/>
                <w:sz w:val="18"/>
                <w:szCs w:val="18"/>
              </w:rPr>
            </w:pPr>
          </w:p>
          <w:p w14:paraId="61B676D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0.0575</w:t>
            </w:r>
          </w:p>
          <w:p w14:paraId="0138EA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0.0547</w:t>
            </w:r>
          </w:p>
          <w:p w14:paraId="303F05B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0.0431</w:t>
            </w:r>
          </w:p>
          <w:p w14:paraId="7977F577">
            <w:pPr>
              <w:adjustRightInd w:val="0"/>
              <w:snapToGrid w:val="0"/>
              <w:spacing w:line="220" w:lineRule="exact"/>
              <w:ind w:left="-181" w:leftChars="-86" w:right="-130" w:rightChars="-62" w:firstLine="68" w:firstLineChars="40"/>
              <w:jc w:val="center"/>
              <w:rPr>
                <w:color w:val="auto"/>
                <w:spacing w:val="-4"/>
                <w:sz w:val="18"/>
                <w:szCs w:val="18"/>
              </w:rPr>
            </w:pPr>
          </w:p>
          <w:p w14:paraId="2BC4797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0.0347</w:t>
            </w:r>
          </w:p>
          <w:p w14:paraId="1CF433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0.0283</w:t>
            </w:r>
          </w:p>
          <w:p w14:paraId="41700E5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0.0235</w:t>
            </w:r>
          </w:p>
          <w:p w14:paraId="31B38B26">
            <w:pPr>
              <w:adjustRightInd w:val="0"/>
              <w:snapToGrid w:val="0"/>
              <w:spacing w:line="220" w:lineRule="exact"/>
              <w:ind w:left="-181" w:leftChars="-86" w:right="-130" w:rightChars="-62" w:firstLine="68" w:firstLineChars="40"/>
              <w:jc w:val="center"/>
              <w:rPr>
                <w:color w:val="auto"/>
                <w:spacing w:val="-4"/>
                <w:sz w:val="18"/>
                <w:szCs w:val="18"/>
              </w:rPr>
            </w:pPr>
          </w:p>
          <w:p w14:paraId="2806A96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0.0198</w:t>
            </w:r>
          </w:p>
          <w:p w14:paraId="5C9E215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0.0145</w:t>
            </w:r>
          </w:p>
          <w:p w14:paraId="05B032B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0.0110</w:t>
            </w:r>
          </w:p>
          <w:p w14:paraId="52C4F3FB">
            <w:pPr>
              <w:adjustRightInd w:val="0"/>
              <w:snapToGrid w:val="0"/>
              <w:spacing w:line="220" w:lineRule="exact"/>
              <w:ind w:left="-181" w:leftChars="-86" w:right="-130" w:rightChars="-62" w:firstLine="68" w:firstLineChars="40"/>
              <w:jc w:val="center"/>
              <w:rPr>
                <w:color w:val="auto"/>
                <w:spacing w:val="-4"/>
                <w:sz w:val="18"/>
                <w:szCs w:val="18"/>
              </w:rPr>
            </w:pPr>
          </w:p>
          <w:p w14:paraId="0EB0202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0.0097</w:t>
            </w:r>
          </w:p>
          <w:p w14:paraId="47D32E0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0.0086</w:t>
            </w:r>
          </w:p>
          <w:p w14:paraId="4CC338A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0.0069</w:t>
            </w:r>
          </w:p>
          <w:p w14:paraId="0CB18D9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0.0057</w:t>
            </w:r>
          </w:p>
        </w:tc>
        <w:tc>
          <w:tcPr>
            <w:tcW w:w="769" w:type="dxa"/>
          </w:tcPr>
          <w:p w14:paraId="2CAC22F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1AE9084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2BEF28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2B3B1A3">
            <w:pPr>
              <w:adjustRightInd w:val="0"/>
              <w:snapToGrid w:val="0"/>
              <w:spacing w:line="220" w:lineRule="exact"/>
              <w:ind w:left="-181" w:leftChars="-86" w:right="-130" w:rightChars="-62" w:firstLine="68" w:firstLineChars="40"/>
              <w:jc w:val="center"/>
              <w:rPr>
                <w:color w:val="auto"/>
                <w:spacing w:val="-4"/>
                <w:sz w:val="18"/>
                <w:szCs w:val="18"/>
              </w:rPr>
            </w:pPr>
          </w:p>
          <w:p w14:paraId="70CFE92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1377D4F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7D22B68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0.2044</w:t>
            </w:r>
          </w:p>
          <w:p w14:paraId="04768FC7">
            <w:pPr>
              <w:adjustRightInd w:val="0"/>
              <w:snapToGrid w:val="0"/>
              <w:spacing w:line="220" w:lineRule="exact"/>
              <w:ind w:left="-181" w:leftChars="-86" w:right="-130" w:rightChars="-62" w:firstLine="68" w:firstLineChars="40"/>
              <w:jc w:val="center"/>
              <w:rPr>
                <w:color w:val="auto"/>
                <w:spacing w:val="-4"/>
                <w:sz w:val="18"/>
                <w:szCs w:val="18"/>
              </w:rPr>
            </w:pPr>
          </w:p>
          <w:p w14:paraId="1A2B56C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0.1886</w:t>
            </w:r>
          </w:p>
          <w:p w14:paraId="1D61AB7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0.1736</w:t>
            </w:r>
          </w:p>
          <w:p w14:paraId="595BAD8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0.1599</w:t>
            </w:r>
          </w:p>
          <w:p w14:paraId="33D6BDC1">
            <w:pPr>
              <w:adjustRightInd w:val="0"/>
              <w:snapToGrid w:val="0"/>
              <w:spacing w:line="220" w:lineRule="exact"/>
              <w:ind w:left="-181" w:leftChars="-86" w:right="-130" w:rightChars="-62" w:firstLine="68" w:firstLineChars="40"/>
              <w:jc w:val="center"/>
              <w:rPr>
                <w:color w:val="auto"/>
                <w:spacing w:val="-4"/>
                <w:sz w:val="18"/>
                <w:szCs w:val="18"/>
              </w:rPr>
            </w:pPr>
          </w:p>
          <w:p w14:paraId="3DC6C54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0.1475</w:t>
            </w:r>
          </w:p>
          <w:p w14:paraId="003440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0.1364</w:t>
            </w:r>
          </w:p>
          <w:p w14:paraId="3FA0398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0.1266</w:t>
            </w:r>
          </w:p>
          <w:p w14:paraId="29D030B6">
            <w:pPr>
              <w:adjustRightInd w:val="0"/>
              <w:snapToGrid w:val="0"/>
              <w:spacing w:line="220" w:lineRule="exact"/>
              <w:ind w:left="-181" w:leftChars="-86" w:right="-130" w:rightChars="-62" w:firstLine="68" w:firstLineChars="40"/>
              <w:jc w:val="center"/>
              <w:rPr>
                <w:color w:val="auto"/>
                <w:spacing w:val="-4"/>
                <w:sz w:val="18"/>
                <w:szCs w:val="18"/>
              </w:rPr>
            </w:pPr>
          </w:p>
          <w:p w14:paraId="397559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0.1177</w:t>
            </w:r>
          </w:p>
          <w:p w14:paraId="309B56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0.1098</w:t>
            </w:r>
          </w:p>
          <w:p w14:paraId="0E624A9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0.1027</w:t>
            </w:r>
          </w:p>
          <w:p w14:paraId="23704471">
            <w:pPr>
              <w:adjustRightInd w:val="0"/>
              <w:snapToGrid w:val="0"/>
              <w:spacing w:line="220" w:lineRule="exact"/>
              <w:ind w:left="-181" w:leftChars="-86" w:right="-130" w:rightChars="-62" w:firstLine="68" w:firstLineChars="40"/>
              <w:jc w:val="center"/>
              <w:rPr>
                <w:color w:val="auto"/>
                <w:spacing w:val="-4"/>
                <w:sz w:val="18"/>
                <w:szCs w:val="18"/>
              </w:rPr>
            </w:pPr>
          </w:p>
          <w:p w14:paraId="20AD91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0.0963</w:t>
            </w:r>
          </w:p>
          <w:p w14:paraId="0D3059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0.0904</w:t>
            </w:r>
          </w:p>
          <w:p w14:paraId="19856DB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0.0851</w:t>
            </w:r>
          </w:p>
          <w:p w14:paraId="5002D471">
            <w:pPr>
              <w:adjustRightInd w:val="0"/>
              <w:snapToGrid w:val="0"/>
              <w:spacing w:line="220" w:lineRule="exact"/>
              <w:ind w:left="-181" w:leftChars="-86" w:right="-130" w:rightChars="-62" w:firstLine="68" w:firstLineChars="40"/>
              <w:jc w:val="center"/>
              <w:rPr>
                <w:color w:val="auto"/>
                <w:spacing w:val="-4"/>
                <w:sz w:val="18"/>
                <w:szCs w:val="18"/>
              </w:rPr>
            </w:pPr>
          </w:p>
          <w:p w14:paraId="32DFBAC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0.0803</w:t>
            </w:r>
          </w:p>
          <w:p w14:paraId="0B6F8A9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0.0758</w:t>
            </w:r>
          </w:p>
          <w:p w14:paraId="1713B1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0.0717</w:t>
            </w:r>
          </w:p>
          <w:p w14:paraId="607F1B52">
            <w:pPr>
              <w:adjustRightInd w:val="0"/>
              <w:snapToGrid w:val="0"/>
              <w:spacing w:line="220" w:lineRule="exact"/>
              <w:ind w:left="-181" w:leftChars="-86" w:right="-130" w:rightChars="-62" w:firstLine="68" w:firstLineChars="40"/>
              <w:jc w:val="center"/>
              <w:rPr>
                <w:color w:val="auto"/>
                <w:spacing w:val="-4"/>
                <w:sz w:val="18"/>
                <w:szCs w:val="18"/>
              </w:rPr>
            </w:pPr>
          </w:p>
          <w:p w14:paraId="3BD6A22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0.0679</w:t>
            </w:r>
          </w:p>
          <w:p w14:paraId="0BE160A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0.0644</w:t>
            </w:r>
          </w:p>
          <w:p w14:paraId="78C41B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0.0612</w:t>
            </w:r>
          </w:p>
          <w:p w14:paraId="72AACA0A">
            <w:pPr>
              <w:adjustRightInd w:val="0"/>
              <w:snapToGrid w:val="0"/>
              <w:spacing w:line="220" w:lineRule="exact"/>
              <w:ind w:left="-181" w:leftChars="-86" w:right="-130" w:rightChars="-62" w:firstLine="68" w:firstLineChars="40"/>
              <w:jc w:val="center"/>
              <w:rPr>
                <w:color w:val="auto"/>
                <w:spacing w:val="-4"/>
                <w:sz w:val="18"/>
                <w:szCs w:val="18"/>
              </w:rPr>
            </w:pPr>
          </w:p>
          <w:p w14:paraId="6E261B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0.0582</w:t>
            </w:r>
          </w:p>
          <w:p w14:paraId="4D0CF55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0.0553</w:t>
            </w:r>
          </w:p>
          <w:p w14:paraId="5D2E419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0.0438</w:t>
            </w:r>
          </w:p>
          <w:p w14:paraId="44003C2B">
            <w:pPr>
              <w:adjustRightInd w:val="0"/>
              <w:snapToGrid w:val="0"/>
              <w:spacing w:line="220" w:lineRule="exact"/>
              <w:ind w:left="-181" w:leftChars="-86" w:right="-130" w:rightChars="-62" w:firstLine="68" w:firstLineChars="40"/>
              <w:jc w:val="center"/>
              <w:rPr>
                <w:color w:val="auto"/>
                <w:spacing w:val="-4"/>
                <w:sz w:val="18"/>
                <w:szCs w:val="18"/>
              </w:rPr>
            </w:pPr>
          </w:p>
          <w:p w14:paraId="334EE0A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0.0353</w:t>
            </w:r>
          </w:p>
          <w:p w14:paraId="025415A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0.0290</w:t>
            </w:r>
          </w:p>
          <w:p w14:paraId="735E09C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0.0241</w:t>
            </w:r>
          </w:p>
          <w:p w14:paraId="1D8AB857">
            <w:pPr>
              <w:adjustRightInd w:val="0"/>
              <w:snapToGrid w:val="0"/>
              <w:spacing w:line="220" w:lineRule="exact"/>
              <w:ind w:left="-181" w:leftChars="-86" w:right="-130" w:rightChars="-62" w:firstLine="68" w:firstLineChars="40"/>
              <w:jc w:val="center"/>
              <w:rPr>
                <w:color w:val="auto"/>
                <w:spacing w:val="-4"/>
                <w:sz w:val="18"/>
                <w:szCs w:val="18"/>
              </w:rPr>
            </w:pPr>
          </w:p>
          <w:p w14:paraId="1B9C6D3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0.0203</w:t>
            </w:r>
          </w:p>
          <w:p w14:paraId="4E0A31E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0.0149</w:t>
            </w:r>
          </w:p>
          <w:p w14:paraId="3736A03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0.0113</w:t>
            </w:r>
          </w:p>
          <w:p w14:paraId="6A7DDEC9">
            <w:pPr>
              <w:adjustRightInd w:val="0"/>
              <w:snapToGrid w:val="0"/>
              <w:spacing w:line="220" w:lineRule="exact"/>
              <w:ind w:left="-181" w:leftChars="-86" w:right="-130" w:rightChars="-62" w:firstLine="68" w:firstLineChars="40"/>
              <w:jc w:val="center"/>
              <w:rPr>
                <w:color w:val="auto"/>
                <w:spacing w:val="-4"/>
                <w:sz w:val="18"/>
                <w:szCs w:val="18"/>
              </w:rPr>
            </w:pPr>
          </w:p>
          <w:p w14:paraId="21CF6F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0.0100</w:t>
            </w:r>
          </w:p>
          <w:p w14:paraId="416BD99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0.0089</w:t>
            </w:r>
          </w:p>
          <w:p w14:paraId="56794C6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0.0072</w:t>
            </w:r>
          </w:p>
          <w:p w14:paraId="2FB18E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0.0059</w:t>
            </w:r>
          </w:p>
        </w:tc>
      </w:tr>
    </w:tbl>
    <w:p w14:paraId="1AADB774">
      <w:pPr>
        <w:ind w:firstLine="180" w:firstLineChars="100"/>
        <w:rPr>
          <w:color w:val="auto"/>
          <w:sz w:val="18"/>
        </w:rPr>
      </w:pPr>
      <w:r>
        <w:rPr>
          <w:color w:val="auto"/>
          <w:sz w:val="18"/>
        </w:rPr>
        <w:br w:type="page"/>
      </w:r>
    </w:p>
    <w:p w14:paraId="4F2887B3">
      <w:pPr>
        <w:ind w:firstLine="211" w:firstLineChars="100"/>
        <w:rPr>
          <w:rFonts w:eastAsia="黑体"/>
          <w:b/>
          <w:bCs/>
          <w:color w:val="auto"/>
          <w:szCs w:val="21"/>
        </w:rPr>
      </w:pPr>
      <w:r>
        <w:rPr>
          <w:rFonts w:eastAsia="黑体"/>
          <w:b/>
          <w:bCs/>
          <w:color w:val="auto"/>
          <w:szCs w:val="21"/>
        </w:rPr>
        <w:t>续表</w:t>
      </w:r>
    </w:p>
    <w:tbl>
      <w:tblPr>
        <w:tblStyle w:val="36"/>
        <w:tblW w:w="91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7"/>
        <w:gridCol w:w="716"/>
        <w:gridCol w:w="694"/>
        <w:gridCol w:w="791"/>
        <w:gridCol w:w="695"/>
        <w:gridCol w:w="695"/>
        <w:gridCol w:w="695"/>
        <w:gridCol w:w="693"/>
        <w:gridCol w:w="695"/>
        <w:gridCol w:w="695"/>
        <w:gridCol w:w="695"/>
        <w:gridCol w:w="695"/>
        <w:gridCol w:w="697"/>
      </w:tblGrid>
      <w:tr w14:paraId="2047D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67" w:type="dxa"/>
            <w:vMerge w:val="restart"/>
            <w:vAlign w:val="center"/>
          </w:tcPr>
          <w:p w14:paraId="3A40E3B3">
            <w:pPr>
              <w:adjustRightInd w:val="0"/>
              <w:snapToGrid w:val="0"/>
              <w:spacing w:line="140" w:lineRule="exact"/>
              <w:ind w:left="-181" w:leftChars="-86" w:right="-84" w:rightChars="-40" w:firstLine="163" w:firstLineChars="91"/>
              <w:jc w:val="center"/>
              <w:rPr>
                <w:i/>
                <w:iCs/>
                <w:color w:val="auto"/>
                <w:sz w:val="18"/>
                <w:szCs w:val="18"/>
              </w:rPr>
            </w:pPr>
            <w:r>
              <w:rPr>
                <w:i/>
                <w:iCs/>
                <w:color w:val="auto"/>
                <w:sz w:val="18"/>
                <w:szCs w:val="18"/>
              </w:rPr>
              <w:t>z/b</w:t>
            </w:r>
          </w:p>
        </w:tc>
        <w:tc>
          <w:tcPr>
            <w:tcW w:w="8456" w:type="dxa"/>
            <w:gridSpan w:val="12"/>
            <w:vAlign w:val="center"/>
          </w:tcPr>
          <w:p w14:paraId="44AB265E">
            <w:pPr>
              <w:adjustRightInd w:val="0"/>
              <w:snapToGrid w:val="0"/>
              <w:spacing w:line="240" w:lineRule="exact"/>
              <w:ind w:left="-181" w:leftChars="-86" w:right="-84" w:rightChars="-40" w:firstLine="163" w:firstLineChars="91"/>
              <w:jc w:val="center"/>
              <w:rPr>
                <w:i/>
                <w:iCs/>
                <w:color w:val="auto"/>
                <w:sz w:val="18"/>
                <w:szCs w:val="18"/>
              </w:rPr>
            </w:pPr>
            <w:r>
              <w:rPr>
                <w:i/>
                <w:iCs/>
                <w:color w:val="auto"/>
                <w:sz w:val="18"/>
                <w:szCs w:val="18"/>
              </w:rPr>
              <w:t>l/b</w:t>
            </w:r>
          </w:p>
        </w:tc>
      </w:tr>
      <w:tr w14:paraId="5A7FB7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67" w:type="dxa"/>
            <w:vMerge w:val="continue"/>
            <w:vAlign w:val="center"/>
          </w:tcPr>
          <w:p w14:paraId="2B6B068F">
            <w:pPr>
              <w:adjustRightInd w:val="0"/>
              <w:snapToGrid w:val="0"/>
              <w:spacing w:line="140" w:lineRule="exact"/>
              <w:ind w:left="-181" w:leftChars="-86" w:right="-84" w:rightChars="-40" w:firstLine="163" w:firstLineChars="91"/>
              <w:jc w:val="center"/>
              <w:rPr>
                <w:color w:val="auto"/>
                <w:sz w:val="18"/>
                <w:szCs w:val="18"/>
              </w:rPr>
            </w:pPr>
          </w:p>
        </w:tc>
        <w:tc>
          <w:tcPr>
            <w:tcW w:w="716" w:type="dxa"/>
            <w:vAlign w:val="center"/>
          </w:tcPr>
          <w:p w14:paraId="661C9FE4">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5.4</w:t>
            </w:r>
          </w:p>
        </w:tc>
        <w:tc>
          <w:tcPr>
            <w:tcW w:w="694" w:type="dxa"/>
            <w:vAlign w:val="center"/>
          </w:tcPr>
          <w:p w14:paraId="142DF640">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5.6</w:t>
            </w:r>
          </w:p>
        </w:tc>
        <w:tc>
          <w:tcPr>
            <w:tcW w:w="791" w:type="dxa"/>
            <w:vAlign w:val="center"/>
          </w:tcPr>
          <w:p w14:paraId="5C8CC2D8">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5.8</w:t>
            </w:r>
          </w:p>
        </w:tc>
        <w:tc>
          <w:tcPr>
            <w:tcW w:w="695" w:type="dxa"/>
            <w:vAlign w:val="center"/>
          </w:tcPr>
          <w:p w14:paraId="075DAF3C">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6.0</w:t>
            </w:r>
          </w:p>
        </w:tc>
        <w:tc>
          <w:tcPr>
            <w:tcW w:w="695" w:type="dxa"/>
            <w:vAlign w:val="center"/>
          </w:tcPr>
          <w:p w14:paraId="66CC2617">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6.5</w:t>
            </w:r>
          </w:p>
        </w:tc>
        <w:tc>
          <w:tcPr>
            <w:tcW w:w="695" w:type="dxa"/>
            <w:vAlign w:val="center"/>
          </w:tcPr>
          <w:p w14:paraId="503704F3">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7.0</w:t>
            </w:r>
          </w:p>
        </w:tc>
        <w:tc>
          <w:tcPr>
            <w:tcW w:w="693" w:type="dxa"/>
            <w:vAlign w:val="center"/>
          </w:tcPr>
          <w:p w14:paraId="020BFDB4">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7.5</w:t>
            </w:r>
          </w:p>
        </w:tc>
        <w:tc>
          <w:tcPr>
            <w:tcW w:w="695" w:type="dxa"/>
            <w:vAlign w:val="center"/>
          </w:tcPr>
          <w:p w14:paraId="069591D4">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8.0</w:t>
            </w:r>
          </w:p>
        </w:tc>
        <w:tc>
          <w:tcPr>
            <w:tcW w:w="695" w:type="dxa"/>
            <w:vAlign w:val="center"/>
          </w:tcPr>
          <w:p w14:paraId="42F7614C">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8.5</w:t>
            </w:r>
          </w:p>
        </w:tc>
        <w:tc>
          <w:tcPr>
            <w:tcW w:w="695" w:type="dxa"/>
            <w:vAlign w:val="center"/>
          </w:tcPr>
          <w:p w14:paraId="680B56B2">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9.0</w:t>
            </w:r>
          </w:p>
        </w:tc>
        <w:tc>
          <w:tcPr>
            <w:tcW w:w="695" w:type="dxa"/>
            <w:vAlign w:val="center"/>
          </w:tcPr>
          <w:p w14:paraId="0242605F">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10.0</w:t>
            </w:r>
          </w:p>
        </w:tc>
        <w:tc>
          <w:tcPr>
            <w:tcW w:w="695" w:type="dxa"/>
            <w:vAlign w:val="center"/>
          </w:tcPr>
          <w:p w14:paraId="1D178F66">
            <w:pPr>
              <w:adjustRightInd w:val="0"/>
              <w:snapToGrid w:val="0"/>
              <w:spacing w:line="240" w:lineRule="exact"/>
              <w:ind w:left="-181" w:leftChars="-86" w:right="-84" w:rightChars="-40" w:firstLine="163" w:firstLineChars="91"/>
              <w:jc w:val="center"/>
              <w:rPr>
                <w:color w:val="auto"/>
                <w:sz w:val="18"/>
                <w:szCs w:val="18"/>
              </w:rPr>
            </w:pPr>
            <w:r>
              <w:rPr>
                <w:color w:val="auto"/>
                <w:sz w:val="18"/>
                <w:szCs w:val="18"/>
              </w:rPr>
              <w:t>&gt;10.0</w:t>
            </w:r>
          </w:p>
        </w:tc>
      </w:tr>
      <w:tr w14:paraId="03CD4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5" w:hRule="atLeast"/>
          <w:jc w:val="center"/>
        </w:trPr>
        <w:tc>
          <w:tcPr>
            <w:tcW w:w="667" w:type="dxa"/>
          </w:tcPr>
          <w:p w14:paraId="35D3BA27">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0</w:t>
            </w:r>
          </w:p>
          <w:p w14:paraId="49C40167">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0.2</w:t>
            </w:r>
          </w:p>
          <w:p w14:paraId="4E3A03A0">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0.4</w:t>
            </w:r>
          </w:p>
          <w:p w14:paraId="1C08566C">
            <w:pPr>
              <w:adjustRightInd w:val="0"/>
              <w:snapToGrid w:val="0"/>
              <w:spacing w:line="220" w:lineRule="exact"/>
              <w:ind w:left="-181" w:leftChars="-86" w:right="-84" w:rightChars="-40" w:firstLine="163" w:firstLineChars="91"/>
              <w:jc w:val="center"/>
              <w:rPr>
                <w:color w:val="auto"/>
                <w:sz w:val="18"/>
                <w:szCs w:val="18"/>
              </w:rPr>
            </w:pPr>
          </w:p>
          <w:p w14:paraId="48E749D9">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0.6</w:t>
            </w:r>
          </w:p>
          <w:p w14:paraId="1F803CB6">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0.8</w:t>
            </w:r>
          </w:p>
          <w:p w14:paraId="4DBF56A4">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1.0</w:t>
            </w:r>
          </w:p>
          <w:p w14:paraId="3778C256">
            <w:pPr>
              <w:adjustRightInd w:val="0"/>
              <w:snapToGrid w:val="0"/>
              <w:spacing w:line="220" w:lineRule="exact"/>
              <w:ind w:left="-181" w:leftChars="-86" w:right="-84" w:rightChars="-40" w:firstLine="163" w:firstLineChars="91"/>
              <w:jc w:val="center"/>
              <w:rPr>
                <w:color w:val="auto"/>
                <w:sz w:val="18"/>
                <w:szCs w:val="18"/>
              </w:rPr>
            </w:pPr>
          </w:p>
          <w:p w14:paraId="206524E2">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1.2</w:t>
            </w:r>
          </w:p>
          <w:p w14:paraId="2424E9FA">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1.4</w:t>
            </w:r>
          </w:p>
          <w:p w14:paraId="6CCEB304">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1.6</w:t>
            </w:r>
          </w:p>
          <w:p w14:paraId="607BA812">
            <w:pPr>
              <w:adjustRightInd w:val="0"/>
              <w:snapToGrid w:val="0"/>
              <w:spacing w:line="220" w:lineRule="exact"/>
              <w:ind w:left="-181" w:leftChars="-86" w:right="-84" w:rightChars="-40" w:firstLine="163" w:firstLineChars="91"/>
              <w:jc w:val="center"/>
              <w:rPr>
                <w:color w:val="auto"/>
                <w:sz w:val="18"/>
                <w:szCs w:val="18"/>
              </w:rPr>
            </w:pPr>
          </w:p>
          <w:p w14:paraId="2080E411">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1.8</w:t>
            </w:r>
          </w:p>
          <w:p w14:paraId="7465DE0B">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2.0</w:t>
            </w:r>
          </w:p>
          <w:p w14:paraId="5E8FB7E2">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2.2</w:t>
            </w:r>
          </w:p>
          <w:p w14:paraId="6479D912">
            <w:pPr>
              <w:adjustRightInd w:val="0"/>
              <w:snapToGrid w:val="0"/>
              <w:spacing w:line="220" w:lineRule="exact"/>
              <w:ind w:left="-181" w:leftChars="-86" w:right="-84" w:rightChars="-40" w:firstLine="163" w:firstLineChars="91"/>
              <w:jc w:val="center"/>
              <w:rPr>
                <w:color w:val="auto"/>
                <w:sz w:val="18"/>
                <w:szCs w:val="18"/>
              </w:rPr>
            </w:pPr>
          </w:p>
          <w:p w14:paraId="7E24B8A6">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2.4</w:t>
            </w:r>
          </w:p>
          <w:p w14:paraId="400E1D75">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2.6</w:t>
            </w:r>
          </w:p>
          <w:p w14:paraId="2BA0EA3E">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2.8</w:t>
            </w:r>
          </w:p>
          <w:p w14:paraId="4521A0DD">
            <w:pPr>
              <w:adjustRightInd w:val="0"/>
              <w:snapToGrid w:val="0"/>
              <w:spacing w:line="220" w:lineRule="exact"/>
              <w:ind w:left="-181" w:leftChars="-86" w:right="-84" w:rightChars="-40" w:firstLine="163" w:firstLineChars="91"/>
              <w:jc w:val="center"/>
              <w:rPr>
                <w:color w:val="auto"/>
                <w:sz w:val="18"/>
                <w:szCs w:val="18"/>
              </w:rPr>
            </w:pPr>
          </w:p>
          <w:p w14:paraId="464117D5">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3.0</w:t>
            </w:r>
          </w:p>
          <w:p w14:paraId="4C094851">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3.2</w:t>
            </w:r>
          </w:p>
          <w:p w14:paraId="0524ED74">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3.4</w:t>
            </w:r>
          </w:p>
          <w:p w14:paraId="35F8DEF6">
            <w:pPr>
              <w:adjustRightInd w:val="0"/>
              <w:snapToGrid w:val="0"/>
              <w:spacing w:line="220" w:lineRule="exact"/>
              <w:ind w:left="-181" w:leftChars="-86" w:right="-84" w:rightChars="-40" w:firstLine="163" w:firstLineChars="91"/>
              <w:jc w:val="center"/>
              <w:rPr>
                <w:color w:val="auto"/>
                <w:sz w:val="18"/>
                <w:szCs w:val="18"/>
              </w:rPr>
            </w:pPr>
          </w:p>
          <w:p w14:paraId="1B9D5E8A">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3.6</w:t>
            </w:r>
          </w:p>
          <w:p w14:paraId="184CF38D">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3.8</w:t>
            </w:r>
          </w:p>
          <w:p w14:paraId="60087AB6">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4.0</w:t>
            </w:r>
          </w:p>
          <w:p w14:paraId="012134FA">
            <w:pPr>
              <w:adjustRightInd w:val="0"/>
              <w:snapToGrid w:val="0"/>
              <w:spacing w:line="220" w:lineRule="exact"/>
              <w:ind w:left="-181" w:leftChars="-86" w:right="-84" w:rightChars="-40" w:firstLine="163" w:firstLineChars="91"/>
              <w:jc w:val="center"/>
              <w:rPr>
                <w:color w:val="auto"/>
                <w:sz w:val="18"/>
                <w:szCs w:val="18"/>
              </w:rPr>
            </w:pPr>
          </w:p>
          <w:p w14:paraId="212D9C09">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4.2</w:t>
            </w:r>
          </w:p>
          <w:p w14:paraId="1D1CE9C2">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4.4</w:t>
            </w:r>
          </w:p>
          <w:p w14:paraId="50C6DAB5">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4.6</w:t>
            </w:r>
          </w:p>
          <w:p w14:paraId="06CCDBE4">
            <w:pPr>
              <w:adjustRightInd w:val="0"/>
              <w:snapToGrid w:val="0"/>
              <w:spacing w:line="220" w:lineRule="exact"/>
              <w:ind w:left="-181" w:leftChars="-86" w:right="-84" w:rightChars="-40" w:firstLine="163" w:firstLineChars="91"/>
              <w:jc w:val="center"/>
              <w:rPr>
                <w:color w:val="auto"/>
                <w:sz w:val="18"/>
                <w:szCs w:val="18"/>
              </w:rPr>
            </w:pPr>
          </w:p>
          <w:p w14:paraId="6E2AADB7">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4.8</w:t>
            </w:r>
          </w:p>
          <w:p w14:paraId="3666F32C">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5.0</w:t>
            </w:r>
          </w:p>
          <w:p w14:paraId="07D6D546">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6.0</w:t>
            </w:r>
          </w:p>
          <w:p w14:paraId="2A78E4B6">
            <w:pPr>
              <w:adjustRightInd w:val="0"/>
              <w:snapToGrid w:val="0"/>
              <w:spacing w:line="220" w:lineRule="exact"/>
              <w:ind w:left="-181" w:leftChars="-86" w:right="-84" w:rightChars="-40" w:firstLine="163" w:firstLineChars="91"/>
              <w:jc w:val="center"/>
              <w:rPr>
                <w:color w:val="auto"/>
                <w:sz w:val="18"/>
                <w:szCs w:val="18"/>
              </w:rPr>
            </w:pPr>
          </w:p>
          <w:p w14:paraId="16E2CADB">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7.0</w:t>
            </w:r>
          </w:p>
          <w:p w14:paraId="388DF21B">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8.0</w:t>
            </w:r>
          </w:p>
          <w:p w14:paraId="5D415127">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9.0</w:t>
            </w:r>
          </w:p>
          <w:p w14:paraId="586D1A3A">
            <w:pPr>
              <w:adjustRightInd w:val="0"/>
              <w:snapToGrid w:val="0"/>
              <w:spacing w:line="220" w:lineRule="exact"/>
              <w:ind w:left="-181" w:leftChars="-86" w:right="-84" w:rightChars="-40" w:firstLine="163" w:firstLineChars="91"/>
              <w:jc w:val="center"/>
              <w:rPr>
                <w:color w:val="auto"/>
                <w:sz w:val="18"/>
                <w:szCs w:val="18"/>
              </w:rPr>
            </w:pPr>
          </w:p>
          <w:p w14:paraId="7A20B515">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10.0</w:t>
            </w:r>
          </w:p>
          <w:p w14:paraId="090A49C4">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12.0</w:t>
            </w:r>
          </w:p>
          <w:p w14:paraId="6B397263">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14.0</w:t>
            </w:r>
          </w:p>
          <w:p w14:paraId="2EC34D5F">
            <w:pPr>
              <w:adjustRightInd w:val="0"/>
              <w:snapToGrid w:val="0"/>
              <w:spacing w:line="220" w:lineRule="exact"/>
              <w:ind w:left="-181" w:leftChars="-86" w:right="-84" w:rightChars="-40" w:firstLine="163" w:firstLineChars="91"/>
              <w:jc w:val="center"/>
              <w:rPr>
                <w:color w:val="auto"/>
                <w:sz w:val="18"/>
                <w:szCs w:val="18"/>
              </w:rPr>
            </w:pPr>
          </w:p>
          <w:p w14:paraId="48400864">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15.0</w:t>
            </w:r>
          </w:p>
          <w:p w14:paraId="249B55C0">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16.0</w:t>
            </w:r>
          </w:p>
          <w:p w14:paraId="5BFE2CDB">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18.0</w:t>
            </w:r>
          </w:p>
          <w:p w14:paraId="10BA1ACA">
            <w:pPr>
              <w:adjustRightInd w:val="0"/>
              <w:snapToGrid w:val="0"/>
              <w:spacing w:line="220" w:lineRule="exact"/>
              <w:ind w:left="-181" w:leftChars="-86" w:right="-84" w:rightChars="-40" w:firstLine="163" w:firstLineChars="91"/>
              <w:jc w:val="center"/>
              <w:rPr>
                <w:color w:val="auto"/>
                <w:sz w:val="18"/>
                <w:szCs w:val="18"/>
              </w:rPr>
            </w:pPr>
            <w:r>
              <w:rPr>
                <w:color w:val="auto"/>
                <w:sz w:val="18"/>
                <w:szCs w:val="18"/>
              </w:rPr>
              <w:t>20.0</w:t>
            </w:r>
          </w:p>
        </w:tc>
        <w:tc>
          <w:tcPr>
            <w:tcW w:w="716" w:type="dxa"/>
          </w:tcPr>
          <w:p w14:paraId="4FAFB1C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570C52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25D2287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361A4675">
            <w:pPr>
              <w:adjustRightInd w:val="0"/>
              <w:snapToGrid w:val="0"/>
              <w:spacing w:line="220" w:lineRule="exact"/>
              <w:ind w:left="-181" w:leftChars="-86" w:right="-130" w:rightChars="-62" w:firstLine="68" w:firstLineChars="40"/>
              <w:jc w:val="center"/>
              <w:rPr>
                <w:color w:val="auto"/>
                <w:spacing w:val="-4"/>
                <w:sz w:val="18"/>
                <w:szCs w:val="18"/>
              </w:rPr>
            </w:pPr>
          </w:p>
          <w:p w14:paraId="2B65214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15AE9F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5CD43D4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0.2044</w:t>
            </w:r>
          </w:p>
          <w:p w14:paraId="701BC628">
            <w:pPr>
              <w:adjustRightInd w:val="0"/>
              <w:snapToGrid w:val="0"/>
              <w:spacing w:line="220" w:lineRule="exact"/>
              <w:ind w:left="-181" w:leftChars="-86" w:right="-130" w:rightChars="-62" w:firstLine="68" w:firstLineChars="40"/>
              <w:jc w:val="center"/>
              <w:rPr>
                <w:color w:val="auto"/>
                <w:spacing w:val="-4"/>
                <w:sz w:val="18"/>
                <w:szCs w:val="18"/>
              </w:rPr>
            </w:pPr>
          </w:p>
          <w:p w14:paraId="42D9EAA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0.1886</w:t>
            </w:r>
          </w:p>
          <w:p w14:paraId="7FE3808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0.1737</w:t>
            </w:r>
          </w:p>
          <w:p w14:paraId="6B3E58F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0.1599</w:t>
            </w:r>
          </w:p>
          <w:p w14:paraId="74A56A81">
            <w:pPr>
              <w:adjustRightInd w:val="0"/>
              <w:snapToGrid w:val="0"/>
              <w:spacing w:line="220" w:lineRule="exact"/>
              <w:ind w:left="-181" w:leftChars="-86" w:right="-130" w:rightChars="-62" w:firstLine="68" w:firstLineChars="40"/>
              <w:jc w:val="center"/>
              <w:rPr>
                <w:color w:val="auto"/>
                <w:spacing w:val="-4"/>
                <w:sz w:val="18"/>
                <w:szCs w:val="18"/>
              </w:rPr>
            </w:pPr>
          </w:p>
          <w:p w14:paraId="38CE266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0.1476</w:t>
            </w:r>
          </w:p>
          <w:p w14:paraId="3D6517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0.1366</w:t>
            </w:r>
          </w:p>
          <w:p w14:paraId="45E405E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0.1267</w:t>
            </w:r>
          </w:p>
          <w:p w14:paraId="604935CA">
            <w:pPr>
              <w:adjustRightInd w:val="0"/>
              <w:snapToGrid w:val="0"/>
              <w:spacing w:line="220" w:lineRule="exact"/>
              <w:ind w:left="-181" w:leftChars="-86" w:right="-130" w:rightChars="-62" w:firstLine="68" w:firstLineChars="40"/>
              <w:jc w:val="center"/>
              <w:rPr>
                <w:color w:val="auto"/>
                <w:spacing w:val="-4"/>
                <w:sz w:val="18"/>
                <w:szCs w:val="18"/>
              </w:rPr>
            </w:pPr>
          </w:p>
          <w:p w14:paraId="2DAD43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0.1179</w:t>
            </w:r>
          </w:p>
          <w:p w14:paraId="42CB14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0.1100</w:t>
            </w:r>
          </w:p>
          <w:p w14:paraId="227132A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0.1030</w:t>
            </w:r>
          </w:p>
          <w:p w14:paraId="106EA522">
            <w:pPr>
              <w:adjustRightInd w:val="0"/>
              <w:snapToGrid w:val="0"/>
              <w:spacing w:line="220" w:lineRule="exact"/>
              <w:ind w:left="-181" w:leftChars="-86" w:right="-130" w:rightChars="-62" w:firstLine="68" w:firstLineChars="40"/>
              <w:jc w:val="center"/>
              <w:rPr>
                <w:color w:val="auto"/>
                <w:spacing w:val="-4"/>
                <w:sz w:val="18"/>
                <w:szCs w:val="18"/>
              </w:rPr>
            </w:pPr>
          </w:p>
          <w:p w14:paraId="328745C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0.0966</w:t>
            </w:r>
          </w:p>
          <w:p w14:paraId="59D6898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0.0908</w:t>
            </w:r>
          </w:p>
          <w:p w14:paraId="36621A8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0.0855</w:t>
            </w:r>
          </w:p>
          <w:p w14:paraId="120A6475">
            <w:pPr>
              <w:adjustRightInd w:val="0"/>
              <w:snapToGrid w:val="0"/>
              <w:spacing w:line="220" w:lineRule="exact"/>
              <w:ind w:left="-181" w:leftChars="-86" w:right="-130" w:rightChars="-62" w:firstLine="68" w:firstLineChars="40"/>
              <w:jc w:val="center"/>
              <w:rPr>
                <w:color w:val="auto"/>
                <w:spacing w:val="-4"/>
                <w:sz w:val="18"/>
                <w:szCs w:val="18"/>
              </w:rPr>
            </w:pPr>
          </w:p>
          <w:p w14:paraId="0CBF3FA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0.0807</w:t>
            </w:r>
          </w:p>
          <w:p w14:paraId="19A5424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0.0763</w:t>
            </w:r>
          </w:p>
          <w:p w14:paraId="0B2169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0.0722</w:t>
            </w:r>
          </w:p>
          <w:p w14:paraId="2BC255DB">
            <w:pPr>
              <w:adjustRightInd w:val="0"/>
              <w:snapToGrid w:val="0"/>
              <w:spacing w:line="220" w:lineRule="exact"/>
              <w:ind w:left="-181" w:leftChars="-86" w:right="-130" w:rightChars="-62" w:firstLine="68" w:firstLineChars="40"/>
              <w:jc w:val="center"/>
              <w:rPr>
                <w:color w:val="auto"/>
                <w:spacing w:val="-4"/>
                <w:sz w:val="18"/>
                <w:szCs w:val="18"/>
              </w:rPr>
            </w:pPr>
          </w:p>
          <w:p w14:paraId="279E64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0.0684</w:t>
            </w:r>
          </w:p>
          <w:p w14:paraId="4F5CB5E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0.0649</w:t>
            </w:r>
          </w:p>
          <w:p w14:paraId="3512C56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0.0617</w:t>
            </w:r>
          </w:p>
          <w:p w14:paraId="31801E8B">
            <w:pPr>
              <w:adjustRightInd w:val="0"/>
              <w:snapToGrid w:val="0"/>
              <w:spacing w:line="220" w:lineRule="exact"/>
              <w:ind w:left="-181" w:leftChars="-86" w:right="-130" w:rightChars="-62" w:firstLine="68" w:firstLineChars="40"/>
              <w:jc w:val="center"/>
              <w:rPr>
                <w:color w:val="auto"/>
                <w:spacing w:val="-4"/>
                <w:sz w:val="18"/>
                <w:szCs w:val="18"/>
              </w:rPr>
            </w:pPr>
          </w:p>
          <w:p w14:paraId="58BB7F9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0.0587</w:t>
            </w:r>
          </w:p>
          <w:p w14:paraId="4BC947A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0.0559</w:t>
            </w:r>
          </w:p>
          <w:p w14:paraId="6A37044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0.0444</w:t>
            </w:r>
          </w:p>
          <w:p w14:paraId="20167E0F">
            <w:pPr>
              <w:adjustRightInd w:val="0"/>
              <w:snapToGrid w:val="0"/>
              <w:spacing w:line="220" w:lineRule="exact"/>
              <w:ind w:left="-181" w:leftChars="-86" w:right="-130" w:rightChars="-62" w:firstLine="68" w:firstLineChars="40"/>
              <w:jc w:val="center"/>
              <w:rPr>
                <w:color w:val="auto"/>
                <w:spacing w:val="-4"/>
                <w:sz w:val="18"/>
                <w:szCs w:val="18"/>
              </w:rPr>
            </w:pPr>
          </w:p>
          <w:p w14:paraId="318FE8C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0.0359</w:t>
            </w:r>
          </w:p>
          <w:p w14:paraId="08A7C00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0.0296</w:t>
            </w:r>
          </w:p>
          <w:p w14:paraId="4B9E609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0.0247</w:t>
            </w:r>
          </w:p>
          <w:p w14:paraId="2855E897">
            <w:pPr>
              <w:adjustRightInd w:val="0"/>
              <w:snapToGrid w:val="0"/>
              <w:spacing w:line="220" w:lineRule="exact"/>
              <w:ind w:left="-181" w:leftChars="-86" w:right="-130" w:rightChars="-62" w:firstLine="68" w:firstLineChars="40"/>
              <w:jc w:val="center"/>
              <w:rPr>
                <w:color w:val="auto"/>
                <w:spacing w:val="-4"/>
                <w:sz w:val="18"/>
                <w:szCs w:val="18"/>
              </w:rPr>
            </w:pPr>
          </w:p>
          <w:p w14:paraId="68CEB40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0.0208</w:t>
            </w:r>
          </w:p>
          <w:p w14:paraId="6F8D26A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0.0153</w:t>
            </w:r>
          </w:p>
          <w:p w14:paraId="6336CCD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0.0117</w:t>
            </w:r>
          </w:p>
          <w:p w14:paraId="0E488803">
            <w:pPr>
              <w:adjustRightInd w:val="0"/>
              <w:snapToGrid w:val="0"/>
              <w:spacing w:line="220" w:lineRule="exact"/>
              <w:ind w:left="-181" w:leftChars="-86" w:right="-130" w:rightChars="-62" w:firstLine="68" w:firstLineChars="40"/>
              <w:jc w:val="center"/>
              <w:rPr>
                <w:color w:val="auto"/>
                <w:spacing w:val="-4"/>
                <w:sz w:val="18"/>
                <w:szCs w:val="18"/>
              </w:rPr>
            </w:pPr>
          </w:p>
          <w:p w14:paraId="7535A56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0.0103</w:t>
            </w:r>
          </w:p>
          <w:p w14:paraId="34EDE96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0.0092</w:t>
            </w:r>
          </w:p>
          <w:p w14:paraId="6CE30D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0.0074</w:t>
            </w:r>
          </w:p>
          <w:p w14:paraId="21328CF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0.0061</w:t>
            </w:r>
          </w:p>
        </w:tc>
        <w:tc>
          <w:tcPr>
            <w:tcW w:w="694" w:type="dxa"/>
          </w:tcPr>
          <w:p w14:paraId="4AB911B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1172192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1E5E8A7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13A68353">
            <w:pPr>
              <w:adjustRightInd w:val="0"/>
              <w:snapToGrid w:val="0"/>
              <w:spacing w:line="220" w:lineRule="exact"/>
              <w:ind w:left="-181" w:leftChars="-86" w:right="-130" w:rightChars="-62" w:firstLine="68" w:firstLineChars="40"/>
              <w:jc w:val="center"/>
              <w:rPr>
                <w:color w:val="auto"/>
                <w:spacing w:val="-4"/>
                <w:sz w:val="18"/>
                <w:szCs w:val="18"/>
              </w:rPr>
            </w:pPr>
          </w:p>
          <w:p w14:paraId="3ED5CD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6ED4DB3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11DD500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6B04C5F6">
            <w:pPr>
              <w:adjustRightInd w:val="0"/>
              <w:snapToGrid w:val="0"/>
              <w:spacing w:line="220" w:lineRule="exact"/>
              <w:ind w:left="-181" w:leftChars="-86" w:right="-130" w:rightChars="-62" w:firstLine="68" w:firstLineChars="40"/>
              <w:jc w:val="center"/>
              <w:rPr>
                <w:color w:val="auto"/>
                <w:spacing w:val="-4"/>
                <w:sz w:val="18"/>
                <w:szCs w:val="18"/>
              </w:rPr>
            </w:pPr>
          </w:p>
          <w:p w14:paraId="5410941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0.1887</w:t>
            </w:r>
          </w:p>
          <w:p w14:paraId="5AF9ECD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0.1737</w:t>
            </w:r>
          </w:p>
          <w:p w14:paraId="59360A7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0.1600</w:t>
            </w:r>
          </w:p>
          <w:p w14:paraId="67753F95">
            <w:pPr>
              <w:adjustRightInd w:val="0"/>
              <w:snapToGrid w:val="0"/>
              <w:spacing w:line="220" w:lineRule="exact"/>
              <w:ind w:left="-181" w:leftChars="-86" w:right="-130" w:rightChars="-62" w:firstLine="68" w:firstLineChars="40"/>
              <w:jc w:val="center"/>
              <w:rPr>
                <w:color w:val="auto"/>
                <w:spacing w:val="-4"/>
                <w:sz w:val="18"/>
                <w:szCs w:val="18"/>
              </w:rPr>
            </w:pPr>
          </w:p>
          <w:p w14:paraId="3CDED07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0.1477</w:t>
            </w:r>
          </w:p>
          <w:p w14:paraId="52480F7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0.1367</w:t>
            </w:r>
          </w:p>
          <w:p w14:paraId="1B81A28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0.1269</w:t>
            </w:r>
          </w:p>
          <w:p w14:paraId="02EA9952">
            <w:pPr>
              <w:adjustRightInd w:val="0"/>
              <w:snapToGrid w:val="0"/>
              <w:spacing w:line="220" w:lineRule="exact"/>
              <w:ind w:left="-181" w:leftChars="-86" w:right="-130" w:rightChars="-62" w:firstLine="68" w:firstLineChars="40"/>
              <w:jc w:val="center"/>
              <w:rPr>
                <w:color w:val="auto"/>
                <w:spacing w:val="-4"/>
                <w:sz w:val="18"/>
                <w:szCs w:val="18"/>
              </w:rPr>
            </w:pPr>
          </w:p>
          <w:p w14:paraId="5A18038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0.1181</w:t>
            </w:r>
          </w:p>
          <w:p w14:paraId="295F1BD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0.1102</w:t>
            </w:r>
          </w:p>
          <w:p w14:paraId="16208F3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0.1032</w:t>
            </w:r>
          </w:p>
          <w:p w14:paraId="2E084A68">
            <w:pPr>
              <w:adjustRightInd w:val="0"/>
              <w:snapToGrid w:val="0"/>
              <w:spacing w:line="220" w:lineRule="exact"/>
              <w:ind w:left="-181" w:leftChars="-86" w:right="-130" w:rightChars="-62" w:firstLine="68" w:firstLineChars="40"/>
              <w:jc w:val="center"/>
              <w:rPr>
                <w:color w:val="auto"/>
                <w:spacing w:val="-4"/>
                <w:sz w:val="18"/>
                <w:szCs w:val="18"/>
              </w:rPr>
            </w:pPr>
          </w:p>
          <w:p w14:paraId="74DD9D4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0.0968</w:t>
            </w:r>
          </w:p>
          <w:p w14:paraId="4E89EA9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0.0911</w:t>
            </w:r>
          </w:p>
          <w:p w14:paraId="1BB459C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0.0858</w:t>
            </w:r>
          </w:p>
          <w:p w14:paraId="39F936D2">
            <w:pPr>
              <w:adjustRightInd w:val="0"/>
              <w:snapToGrid w:val="0"/>
              <w:spacing w:line="220" w:lineRule="exact"/>
              <w:ind w:left="-181" w:leftChars="-86" w:right="-130" w:rightChars="-62" w:firstLine="68" w:firstLineChars="40"/>
              <w:jc w:val="center"/>
              <w:rPr>
                <w:color w:val="auto"/>
                <w:spacing w:val="-4"/>
                <w:sz w:val="18"/>
                <w:szCs w:val="18"/>
              </w:rPr>
            </w:pPr>
          </w:p>
          <w:p w14:paraId="01CDDC8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0.0810</w:t>
            </w:r>
          </w:p>
          <w:p w14:paraId="328102E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0.0766</w:t>
            </w:r>
          </w:p>
          <w:p w14:paraId="370BB89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0.0726</w:t>
            </w:r>
          </w:p>
          <w:p w14:paraId="4E82B47D">
            <w:pPr>
              <w:adjustRightInd w:val="0"/>
              <w:snapToGrid w:val="0"/>
              <w:spacing w:line="220" w:lineRule="exact"/>
              <w:ind w:left="-181" w:leftChars="-86" w:right="-130" w:rightChars="-62" w:firstLine="68" w:firstLineChars="40"/>
              <w:jc w:val="center"/>
              <w:rPr>
                <w:color w:val="auto"/>
                <w:spacing w:val="-4"/>
                <w:sz w:val="18"/>
                <w:szCs w:val="18"/>
              </w:rPr>
            </w:pPr>
          </w:p>
          <w:p w14:paraId="4B4E2EF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0.0689</w:t>
            </w:r>
          </w:p>
          <w:p w14:paraId="294C04B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0.0654</w:t>
            </w:r>
          </w:p>
          <w:p w14:paraId="3429FA4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0.0622</w:t>
            </w:r>
          </w:p>
          <w:p w14:paraId="64D0C52E">
            <w:pPr>
              <w:adjustRightInd w:val="0"/>
              <w:snapToGrid w:val="0"/>
              <w:spacing w:line="220" w:lineRule="exact"/>
              <w:ind w:left="-181" w:leftChars="-86" w:right="-130" w:rightChars="-62" w:firstLine="68" w:firstLineChars="40"/>
              <w:jc w:val="center"/>
              <w:rPr>
                <w:color w:val="auto"/>
                <w:spacing w:val="-4"/>
                <w:sz w:val="18"/>
                <w:szCs w:val="18"/>
              </w:rPr>
            </w:pPr>
          </w:p>
          <w:p w14:paraId="41504CE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0.0592</w:t>
            </w:r>
          </w:p>
          <w:p w14:paraId="2778B7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0.0564</w:t>
            </w:r>
          </w:p>
          <w:p w14:paraId="25A4C13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0.0450</w:t>
            </w:r>
          </w:p>
          <w:p w14:paraId="43A6938D">
            <w:pPr>
              <w:adjustRightInd w:val="0"/>
              <w:snapToGrid w:val="0"/>
              <w:spacing w:line="220" w:lineRule="exact"/>
              <w:ind w:left="-181" w:leftChars="-86" w:right="-130" w:rightChars="-62" w:firstLine="68" w:firstLineChars="40"/>
              <w:jc w:val="center"/>
              <w:rPr>
                <w:color w:val="auto"/>
                <w:spacing w:val="-4"/>
                <w:sz w:val="18"/>
                <w:szCs w:val="18"/>
              </w:rPr>
            </w:pPr>
          </w:p>
          <w:p w14:paraId="4E6B20A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0.0365</w:t>
            </w:r>
          </w:p>
          <w:p w14:paraId="79F9328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0.0301</w:t>
            </w:r>
          </w:p>
          <w:p w14:paraId="201269E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0.0252</w:t>
            </w:r>
          </w:p>
          <w:p w14:paraId="3E0469FC">
            <w:pPr>
              <w:adjustRightInd w:val="0"/>
              <w:snapToGrid w:val="0"/>
              <w:spacing w:line="220" w:lineRule="exact"/>
              <w:ind w:left="-181" w:leftChars="-86" w:right="-130" w:rightChars="-62" w:firstLine="68" w:firstLineChars="40"/>
              <w:jc w:val="center"/>
              <w:rPr>
                <w:color w:val="auto"/>
                <w:spacing w:val="-4"/>
                <w:sz w:val="18"/>
                <w:szCs w:val="18"/>
              </w:rPr>
            </w:pPr>
          </w:p>
          <w:p w14:paraId="17833B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0.0213</w:t>
            </w:r>
          </w:p>
          <w:p w14:paraId="45BB8B9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0.0157</w:t>
            </w:r>
          </w:p>
          <w:p w14:paraId="537187C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0.0120</w:t>
            </w:r>
          </w:p>
          <w:p w14:paraId="239DD4CB">
            <w:pPr>
              <w:adjustRightInd w:val="0"/>
              <w:snapToGrid w:val="0"/>
              <w:spacing w:line="220" w:lineRule="exact"/>
              <w:ind w:left="-181" w:leftChars="-86" w:right="-130" w:rightChars="-62" w:firstLine="68" w:firstLineChars="40"/>
              <w:jc w:val="center"/>
              <w:rPr>
                <w:color w:val="auto"/>
                <w:spacing w:val="-4"/>
                <w:sz w:val="18"/>
                <w:szCs w:val="18"/>
              </w:rPr>
            </w:pPr>
          </w:p>
          <w:p w14:paraId="5DE154D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0.0106</w:t>
            </w:r>
          </w:p>
          <w:p w14:paraId="6C445EC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0.0095</w:t>
            </w:r>
          </w:p>
          <w:p w14:paraId="6870499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0.0076</w:t>
            </w:r>
          </w:p>
          <w:p w14:paraId="1D6B57C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0.0063</w:t>
            </w:r>
          </w:p>
        </w:tc>
        <w:tc>
          <w:tcPr>
            <w:tcW w:w="791" w:type="dxa"/>
          </w:tcPr>
          <w:p w14:paraId="66689B4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462E581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765641B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0C08C34">
            <w:pPr>
              <w:adjustRightInd w:val="0"/>
              <w:snapToGrid w:val="0"/>
              <w:spacing w:line="220" w:lineRule="exact"/>
              <w:ind w:left="-181" w:leftChars="-86" w:right="-130" w:rightChars="-62" w:firstLine="68" w:firstLineChars="40"/>
              <w:jc w:val="center"/>
              <w:rPr>
                <w:color w:val="auto"/>
                <w:spacing w:val="-4"/>
                <w:sz w:val="18"/>
                <w:szCs w:val="18"/>
              </w:rPr>
            </w:pPr>
          </w:p>
          <w:p w14:paraId="56F2A40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5FB731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485F875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574B0718">
            <w:pPr>
              <w:adjustRightInd w:val="0"/>
              <w:snapToGrid w:val="0"/>
              <w:spacing w:line="220" w:lineRule="exact"/>
              <w:ind w:left="-181" w:leftChars="-86" w:right="-130" w:rightChars="-62" w:firstLine="68" w:firstLineChars="40"/>
              <w:jc w:val="center"/>
              <w:rPr>
                <w:color w:val="auto"/>
                <w:spacing w:val="-4"/>
                <w:sz w:val="18"/>
                <w:szCs w:val="18"/>
              </w:rPr>
            </w:pPr>
          </w:p>
          <w:p w14:paraId="579EE70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0.1887</w:t>
            </w:r>
          </w:p>
          <w:p w14:paraId="2DF0D0D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0.1737</w:t>
            </w:r>
          </w:p>
          <w:p w14:paraId="74EFFB4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0.1601</w:t>
            </w:r>
          </w:p>
          <w:p w14:paraId="55208E1E">
            <w:pPr>
              <w:adjustRightInd w:val="0"/>
              <w:snapToGrid w:val="0"/>
              <w:spacing w:line="220" w:lineRule="exact"/>
              <w:ind w:left="-181" w:leftChars="-86" w:right="-130" w:rightChars="-62" w:firstLine="68" w:firstLineChars="40"/>
              <w:jc w:val="center"/>
              <w:rPr>
                <w:color w:val="auto"/>
                <w:spacing w:val="-4"/>
                <w:sz w:val="18"/>
                <w:szCs w:val="18"/>
              </w:rPr>
            </w:pPr>
          </w:p>
          <w:p w14:paraId="0C342EE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0.1478</w:t>
            </w:r>
          </w:p>
          <w:p w14:paraId="0D8E41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0.1368</w:t>
            </w:r>
          </w:p>
          <w:p w14:paraId="6D60D3A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0.1270</w:t>
            </w:r>
          </w:p>
          <w:p w14:paraId="61C8B2DD">
            <w:pPr>
              <w:adjustRightInd w:val="0"/>
              <w:snapToGrid w:val="0"/>
              <w:spacing w:line="220" w:lineRule="exact"/>
              <w:ind w:left="-181" w:leftChars="-86" w:right="-130" w:rightChars="-62" w:firstLine="68" w:firstLineChars="40"/>
              <w:jc w:val="center"/>
              <w:rPr>
                <w:color w:val="auto"/>
                <w:spacing w:val="-4"/>
                <w:sz w:val="18"/>
                <w:szCs w:val="18"/>
              </w:rPr>
            </w:pPr>
          </w:p>
          <w:p w14:paraId="6EDD08D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0.1182</w:t>
            </w:r>
          </w:p>
          <w:p w14:paraId="6C2EBC2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0.1104</w:t>
            </w:r>
          </w:p>
          <w:p w14:paraId="006A0FC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0.1034</w:t>
            </w:r>
          </w:p>
          <w:p w14:paraId="3D39CFE6">
            <w:pPr>
              <w:adjustRightInd w:val="0"/>
              <w:snapToGrid w:val="0"/>
              <w:spacing w:line="220" w:lineRule="exact"/>
              <w:ind w:left="-181" w:leftChars="-86" w:right="-130" w:rightChars="-62" w:firstLine="68" w:firstLineChars="40"/>
              <w:jc w:val="center"/>
              <w:rPr>
                <w:color w:val="auto"/>
                <w:spacing w:val="-4"/>
                <w:sz w:val="18"/>
                <w:szCs w:val="18"/>
              </w:rPr>
            </w:pPr>
          </w:p>
          <w:p w14:paraId="60C33A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0.0971</w:t>
            </w:r>
          </w:p>
          <w:p w14:paraId="6DE7CBC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0.0913</w:t>
            </w:r>
          </w:p>
          <w:p w14:paraId="669F25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0.0861</w:t>
            </w:r>
          </w:p>
          <w:p w14:paraId="64F3278F">
            <w:pPr>
              <w:adjustRightInd w:val="0"/>
              <w:snapToGrid w:val="0"/>
              <w:spacing w:line="220" w:lineRule="exact"/>
              <w:ind w:left="-181" w:leftChars="-86" w:right="-130" w:rightChars="-62" w:firstLine="68" w:firstLineChars="40"/>
              <w:jc w:val="center"/>
              <w:rPr>
                <w:color w:val="auto"/>
                <w:spacing w:val="-4"/>
                <w:sz w:val="18"/>
                <w:szCs w:val="18"/>
              </w:rPr>
            </w:pPr>
          </w:p>
          <w:p w14:paraId="52E9D08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0.0814</w:t>
            </w:r>
          </w:p>
          <w:p w14:paraId="43E04CA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0.0770</w:t>
            </w:r>
          </w:p>
          <w:p w14:paraId="4A103F9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0.0730</w:t>
            </w:r>
          </w:p>
          <w:p w14:paraId="1B24EDE2">
            <w:pPr>
              <w:adjustRightInd w:val="0"/>
              <w:snapToGrid w:val="0"/>
              <w:spacing w:line="220" w:lineRule="exact"/>
              <w:ind w:left="-181" w:leftChars="-86" w:right="-130" w:rightChars="-62" w:firstLine="68" w:firstLineChars="40"/>
              <w:jc w:val="center"/>
              <w:rPr>
                <w:color w:val="auto"/>
                <w:spacing w:val="-4"/>
                <w:sz w:val="18"/>
                <w:szCs w:val="18"/>
              </w:rPr>
            </w:pPr>
          </w:p>
          <w:p w14:paraId="28F634A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0.0693</w:t>
            </w:r>
          </w:p>
          <w:p w14:paraId="7200BC5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0.0658</w:t>
            </w:r>
          </w:p>
          <w:p w14:paraId="4B76A8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0.0626</w:t>
            </w:r>
          </w:p>
          <w:p w14:paraId="7184A262">
            <w:pPr>
              <w:adjustRightInd w:val="0"/>
              <w:snapToGrid w:val="0"/>
              <w:spacing w:line="220" w:lineRule="exact"/>
              <w:ind w:left="-181" w:leftChars="-86" w:right="-130" w:rightChars="-62" w:firstLine="68" w:firstLineChars="40"/>
              <w:jc w:val="center"/>
              <w:rPr>
                <w:color w:val="auto"/>
                <w:spacing w:val="-4"/>
                <w:sz w:val="18"/>
                <w:szCs w:val="18"/>
              </w:rPr>
            </w:pPr>
          </w:p>
          <w:p w14:paraId="321E8A5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0.0597</w:t>
            </w:r>
          </w:p>
          <w:p w14:paraId="4E68FE1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0.0569</w:t>
            </w:r>
          </w:p>
          <w:p w14:paraId="0CC91F3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0.0455</w:t>
            </w:r>
          </w:p>
          <w:p w14:paraId="30A4C42F">
            <w:pPr>
              <w:adjustRightInd w:val="0"/>
              <w:snapToGrid w:val="0"/>
              <w:spacing w:line="220" w:lineRule="exact"/>
              <w:ind w:left="-181" w:leftChars="-86" w:right="-130" w:rightChars="-62" w:firstLine="68" w:firstLineChars="40"/>
              <w:jc w:val="center"/>
              <w:rPr>
                <w:color w:val="auto"/>
                <w:spacing w:val="-4"/>
                <w:sz w:val="18"/>
                <w:szCs w:val="18"/>
              </w:rPr>
            </w:pPr>
          </w:p>
          <w:p w14:paraId="6B4AF22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0.0371</w:t>
            </w:r>
          </w:p>
          <w:p w14:paraId="79ADAD0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0.0307</w:t>
            </w:r>
          </w:p>
          <w:p w14:paraId="1F4DC34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0.0257</w:t>
            </w:r>
          </w:p>
          <w:p w14:paraId="468AF9F6">
            <w:pPr>
              <w:adjustRightInd w:val="0"/>
              <w:snapToGrid w:val="0"/>
              <w:spacing w:line="220" w:lineRule="exact"/>
              <w:ind w:left="-181" w:leftChars="-86" w:right="-130" w:rightChars="-62" w:firstLine="68" w:firstLineChars="40"/>
              <w:jc w:val="center"/>
              <w:rPr>
                <w:color w:val="auto"/>
                <w:spacing w:val="-4"/>
                <w:sz w:val="18"/>
                <w:szCs w:val="18"/>
              </w:rPr>
            </w:pPr>
          </w:p>
          <w:p w14:paraId="6078F53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0.0218</w:t>
            </w:r>
          </w:p>
          <w:p w14:paraId="7675D03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0.0161</w:t>
            </w:r>
          </w:p>
          <w:p w14:paraId="17932E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0.0124</w:t>
            </w:r>
          </w:p>
          <w:p w14:paraId="44C6156B">
            <w:pPr>
              <w:adjustRightInd w:val="0"/>
              <w:snapToGrid w:val="0"/>
              <w:spacing w:line="220" w:lineRule="exact"/>
              <w:ind w:left="-181" w:leftChars="-86" w:right="-130" w:rightChars="-62" w:firstLine="68" w:firstLineChars="40"/>
              <w:jc w:val="center"/>
              <w:rPr>
                <w:color w:val="auto"/>
                <w:spacing w:val="-4"/>
                <w:sz w:val="18"/>
                <w:szCs w:val="18"/>
              </w:rPr>
            </w:pPr>
          </w:p>
          <w:p w14:paraId="34A8907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0.0109</w:t>
            </w:r>
          </w:p>
          <w:p w14:paraId="59C4D23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0.0097</w:t>
            </w:r>
          </w:p>
          <w:p w14:paraId="1BC9CD6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0.0079</w:t>
            </w:r>
          </w:p>
          <w:p w14:paraId="2D8FE79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0.0065</w:t>
            </w:r>
          </w:p>
        </w:tc>
        <w:tc>
          <w:tcPr>
            <w:tcW w:w="695" w:type="dxa"/>
          </w:tcPr>
          <w:p w14:paraId="054B29F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50B094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0A7533C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4392E233">
            <w:pPr>
              <w:adjustRightInd w:val="0"/>
              <w:snapToGrid w:val="0"/>
              <w:spacing w:line="220" w:lineRule="exact"/>
              <w:ind w:left="-181" w:leftChars="-86" w:right="-130" w:rightChars="-62" w:firstLine="68" w:firstLineChars="40"/>
              <w:jc w:val="center"/>
              <w:rPr>
                <w:color w:val="auto"/>
                <w:spacing w:val="-4"/>
                <w:sz w:val="18"/>
                <w:szCs w:val="18"/>
              </w:rPr>
            </w:pPr>
          </w:p>
          <w:p w14:paraId="5147C4B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3440662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7FB938D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490D0C89">
            <w:pPr>
              <w:adjustRightInd w:val="0"/>
              <w:snapToGrid w:val="0"/>
              <w:spacing w:line="220" w:lineRule="exact"/>
              <w:ind w:left="-181" w:leftChars="-86" w:right="-130" w:rightChars="-62" w:firstLine="68" w:firstLineChars="40"/>
              <w:jc w:val="center"/>
              <w:rPr>
                <w:color w:val="auto"/>
                <w:spacing w:val="-4"/>
                <w:sz w:val="18"/>
                <w:szCs w:val="18"/>
              </w:rPr>
            </w:pPr>
          </w:p>
          <w:p w14:paraId="3FD7590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0.1887</w:t>
            </w:r>
          </w:p>
          <w:p w14:paraId="7B15A98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0.1738</w:t>
            </w:r>
          </w:p>
          <w:p w14:paraId="018A27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0.1601</w:t>
            </w:r>
          </w:p>
          <w:p w14:paraId="7C517526">
            <w:pPr>
              <w:adjustRightInd w:val="0"/>
              <w:snapToGrid w:val="0"/>
              <w:spacing w:line="220" w:lineRule="exact"/>
              <w:ind w:left="-181" w:leftChars="-86" w:right="-130" w:rightChars="-62" w:firstLine="68" w:firstLineChars="40"/>
              <w:jc w:val="center"/>
              <w:rPr>
                <w:color w:val="auto"/>
                <w:spacing w:val="-4"/>
                <w:sz w:val="18"/>
                <w:szCs w:val="18"/>
              </w:rPr>
            </w:pPr>
          </w:p>
          <w:p w14:paraId="5EAFA73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0.1478</w:t>
            </w:r>
          </w:p>
          <w:p w14:paraId="1FF28A3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0.1368</w:t>
            </w:r>
          </w:p>
          <w:p w14:paraId="1CCBC3B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0.1271</w:t>
            </w:r>
          </w:p>
          <w:p w14:paraId="742F9477">
            <w:pPr>
              <w:adjustRightInd w:val="0"/>
              <w:snapToGrid w:val="0"/>
              <w:spacing w:line="220" w:lineRule="exact"/>
              <w:ind w:left="-181" w:leftChars="-86" w:right="-130" w:rightChars="-62" w:firstLine="68" w:firstLineChars="40"/>
              <w:jc w:val="center"/>
              <w:rPr>
                <w:color w:val="auto"/>
                <w:spacing w:val="-4"/>
                <w:sz w:val="18"/>
                <w:szCs w:val="18"/>
              </w:rPr>
            </w:pPr>
          </w:p>
          <w:p w14:paraId="42AF695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0.1184</w:t>
            </w:r>
          </w:p>
          <w:p w14:paraId="4932CEC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0.1106</w:t>
            </w:r>
          </w:p>
          <w:p w14:paraId="6100800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0.1036</w:t>
            </w:r>
          </w:p>
          <w:p w14:paraId="523AAA0E">
            <w:pPr>
              <w:adjustRightInd w:val="0"/>
              <w:snapToGrid w:val="0"/>
              <w:spacing w:line="220" w:lineRule="exact"/>
              <w:ind w:left="-181" w:leftChars="-86" w:right="-130" w:rightChars="-62" w:firstLine="68" w:firstLineChars="40"/>
              <w:jc w:val="center"/>
              <w:rPr>
                <w:color w:val="auto"/>
                <w:spacing w:val="-4"/>
                <w:sz w:val="18"/>
                <w:szCs w:val="18"/>
              </w:rPr>
            </w:pPr>
          </w:p>
          <w:p w14:paraId="2A62783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0.0973</w:t>
            </w:r>
          </w:p>
          <w:p w14:paraId="68F957C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0.0916</w:t>
            </w:r>
          </w:p>
          <w:p w14:paraId="6A6CA73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0.0864</w:t>
            </w:r>
          </w:p>
          <w:p w14:paraId="7D13465A">
            <w:pPr>
              <w:adjustRightInd w:val="0"/>
              <w:snapToGrid w:val="0"/>
              <w:spacing w:line="220" w:lineRule="exact"/>
              <w:ind w:left="-181" w:leftChars="-86" w:right="-130" w:rightChars="-62" w:firstLine="68" w:firstLineChars="40"/>
              <w:jc w:val="center"/>
              <w:rPr>
                <w:color w:val="auto"/>
                <w:spacing w:val="-4"/>
                <w:sz w:val="18"/>
                <w:szCs w:val="18"/>
              </w:rPr>
            </w:pPr>
          </w:p>
          <w:p w14:paraId="5706B2A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0.0816</w:t>
            </w:r>
          </w:p>
          <w:p w14:paraId="01592DD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0.0773</w:t>
            </w:r>
          </w:p>
          <w:p w14:paraId="4965A9D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0.0733</w:t>
            </w:r>
          </w:p>
          <w:p w14:paraId="30EDCECF">
            <w:pPr>
              <w:adjustRightInd w:val="0"/>
              <w:snapToGrid w:val="0"/>
              <w:spacing w:line="220" w:lineRule="exact"/>
              <w:ind w:left="-181" w:leftChars="-86" w:right="-130" w:rightChars="-62" w:firstLine="68" w:firstLineChars="40"/>
              <w:jc w:val="center"/>
              <w:rPr>
                <w:color w:val="auto"/>
                <w:spacing w:val="-4"/>
                <w:sz w:val="18"/>
                <w:szCs w:val="18"/>
              </w:rPr>
            </w:pPr>
          </w:p>
          <w:p w14:paraId="2DD698A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0.0696</w:t>
            </w:r>
          </w:p>
          <w:p w14:paraId="75D8BBE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0.0662</w:t>
            </w:r>
          </w:p>
          <w:p w14:paraId="45FD922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0.0630</w:t>
            </w:r>
          </w:p>
          <w:p w14:paraId="7893B03E">
            <w:pPr>
              <w:adjustRightInd w:val="0"/>
              <w:snapToGrid w:val="0"/>
              <w:spacing w:line="220" w:lineRule="exact"/>
              <w:ind w:left="-181" w:leftChars="-86" w:right="-130" w:rightChars="-62" w:firstLine="68" w:firstLineChars="40"/>
              <w:jc w:val="center"/>
              <w:rPr>
                <w:color w:val="auto"/>
                <w:spacing w:val="-4"/>
                <w:sz w:val="18"/>
                <w:szCs w:val="18"/>
              </w:rPr>
            </w:pPr>
          </w:p>
          <w:p w14:paraId="68968F7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0.0601</w:t>
            </w:r>
          </w:p>
          <w:p w14:paraId="63E1F4E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0.0573</w:t>
            </w:r>
          </w:p>
          <w:p w14:paraId="5EA4271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0.0460</w:t>
            </w:r>
          </w:p>
          <w:p w14:paraId="2E43605A">
            <w:pPr>
              <w:adjustRightInd w:val="0"/>
              <w:snapToGrid w:val="0"/>
              <w:spacing w:line="220" w:lineRule="exact"/>
              <w:ind w:left="-181" w:leftChars="-86" w:right="-130" w:rightChars="-62" w:firstLine="68" w:firstLineChars="40"/>
              <w:jc w:val="center"/>
              <w:rPr>
                <w:color w:val="auto"/>
                <w:spacing w:val="-4"/>
                <w:sz w:val="18"/>
                <w:szCs w:val="18"/>
              </w:rPr>
            </w:pPr>
          </w:p>
          <w:p w14:paraId="31AA58C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0.0376</w:t>
            </w:r>
          </w:p>
          <w:p w14:paraId="5FAF701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0.0312</w:t>
            </w:r>
          </w:p>
          <w:p w14:paraId="148A30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0.0262</w:t>
            </w:r>
          </w:p>
          <w:p w14:paraId="348C4E3A">
            <w:pPr>
              <w:adjustRightInd w:val="0"/>
              <w:snapToGrid w:val="0"/>
              <w:spacing w:line="220" w:lineRule="exact"/>
              <w:ind w:left="-181" w:leftChars="-86" w:right="-130" w:rightChars="-62" w:firstLine="68" w:firstLineChars="40"/>
              <w:jc w:val="center"/>
              <w:rPr>
                <w:color w:val="auto"/>
                <w:spacing w:val="-4"/>
                <w:sz w:val="18"/>
                <w:szCs w:val="18"/>
              </w:rPr>
            </w:pPr>
          </w:p>
          <w:p w14:paraId="5985DC6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0.0222</w:t>
            </w:r>
          </w:p>
          <w:p w14:paraId="477343A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0.0165</w:t>
            </w:r>
          </w:p>
          <w:p w14:paraId="336B68B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0.0129</w:t>
            </w:r>
          </w:p>
          <w:p w14:paraId="68418D61">
            <w:pPr>
              <w:adjustRightInd w:val="0"/>
              <w:snapToGrid w:val="0"/>
              <w:spacing w:line="220" w:lineRule="exact"/>
              <w:ind w:left="-181" w:leftChars="-86" w:right="-130" w:rightChars="-62" w:firstLine="68" w:firstLineChars="40"/>
              <w:jc w:val="center"/>
              <w:rPr>
                <w:color w:val="auto"/>
                <w:spacing w:val="-4"/>
                <w:sz w:val="18"/>
                <w:szCs w:val="18"/>
              </w:rPr>
            </w:pPr>
          </w:p>
          <w:p w14:paraId="69CE8FB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0.0112</w:t>
            </w:r>
          </w:p>
          <w:p w14:paraId="06570A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0.0100</w:t>
            </w:r>
          </w:p>
          <w:p w14:paraId="6B11E76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0.0081</w:t>
            </w:r>
          </w:p>
          <w:p w14:paraId="5E5C596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0.0067</w:t>
            </w:r>
          </w:p>
        </w:tc>
        <w:tc>
          <w:tcPr>
            <w:tcW w:w="695" w:type="dxa"/>
          </w:tcPr>
          <w:p w14:paraId="671274B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62799C6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7338FF5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70361C3B">
            <w:pPr>
              <w:adjustRightInd w:val="0"/>
              <w:snapToGrid w:val="0"/>
              <w:spacing w:line="220" w:lineRule="exact"/>
              <w:ind w:left="-181" w:leftChars="-86" w:right="-130" w:rightChars="-62" w:firstLine="68" w:firstLineChars="40"/>
              <w:jc w:val="center"/>
              <w:rPr>
                <w:color w:val="auto"/>
                <w:spacing w:val="-4"/>
                <w:sz w:val="18"/>
                <w:szCs w:val="18"/>
              </w:rPr>
            </w:pPr>
          </w:p>
          <w:p w14:paraId="56BB593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2C7F1B8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15E802D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3A301F8C">
            <w:pPr>
              <w:adjustRightInd w:val="0"/>
              <w:snapToGrid w:val="0"/>
              <w:spacing w:line="220" w:lineRule="exact"/>
              <w:ind w:left="-181" w:leftChars="-86" w:right="-130" w:rightChars="-62" w:firstLine="68" w:firstLineChars="40"/>
              <w:jc w:val="center"/>
              <w:rPr>
                <w:color w:val="auto"/>
                <w:spacing w:val="-4"/>
                <w:sz w:val="18"/>
                <w:szCs w:val="18"/>
              </w:rPr>
            </w:pPr>
          </w:p>
          <w:p w14:paraId="4EF2BF6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0.1887</w:t>
            </w:r>
          </w:p>
          <w:p w14:paraId="068FDD7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0.1738</w:t>
            </w:r>
          </w:p>
          <w:p w14:paraId="11E37E6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0.1602</w:t>
            </w:r>
          </w:p>
          <w:p w14:paraId="65833F6E">
            <w:pPr>
              <w:adjustRightInd w:val="0"/>
              <w:snapToGrid w:val="0"/>
              <w:spacing w:line="220" w:lineRule="exact"/>
              <w:ind w:left="-181" w:leftChars="-86" w:right="-130" w:rightChars="-62" w:firstLine="68" w:firstLineChars="40"/>
              <w:jc w:val="center"/>
              <w:rPr>
                <w:color w:val="auto"/>
                <w:spacing w:val="-4"/>
                <w:sz w:val="18"/>
                <w:szCs w:val="18"/>
              </w:rPr>
            </w:pPr>
          </w:p>
          <w:p w14:paraId="42633D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0.1479</w:t>
            </w:r>
          </w:p>
          <w:p w14:paraId="381D2AE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0.1370</w:t>
            </w:r>
          </w:p>
          <w:p w14:paraId="651ADFB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0.1273</w:t>
            </w:r>
          </w:p>
          <w:p w14:paraId="345736E3">
            <w:pPr>
              <w:adjustRightInd w:val="0"/>
              <w:snapToGrid w:val="0"/>
              <w:spacing w:line="220" w:lineRule="exact"/>
              <w:ind w:left="-181" w:leftChars="-86" w:right="-130" w:rightChars="-62" w:firstLine="68" w:firstLineChars="40"/>
              <w:jc w:val="center"/>
              <w:rPr>
                <w:color w:val="auto"/>
                <w:spacing w:val="-4"/>
                <w:sz w:val="18"/>
                <w:szCs w:val="18"/>
              </w:rPr>
            </w:pPr>
          </w:p>
          <w:p w14:paraId="2E7A5A9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0.1186</w:t>
            </w:r>
          </w:p>
          <w:p w14:paraId="4FD8755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0.1109</w:t>
            </w:r>
          </w:p>
          <w:p w14:paraId="5FB01AF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0.1039</w:t>
            </w:r>
          </w:p>
          <w:p w14:paraId="1FA6355A">
            <w:pPr>
              <w:adjustRightInd w:val="0"/>
              <w:snapToGrid w:val="0"/>
              <w:spacing w:line="220" w:lineRule="exact"/>
              <w:ind w:left="-181" w:leftChars="-86" w:right="-130" w:rightChars="-62" w:firstLine="68" w:firstLineChars="40"/>
              <w:jc w:val="center"/>
              <w:rPr>
                <w:color w:val="auto"/>
                <w:spacing w:val="-4"/>
                <w:sz w:val="18"/>
                <w:szCs w:val="18"/>
              </w:rPr>
            </w:pPr>
          </w:p>
          <w:p w14:paraId="33D5856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0.0977</w:t>
            </w:r>
          </w:p>
          <w:p w14:paraId="509A797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0.0920</w:t>
            </w:r>
          </w:p>
          <w:p w14:paraId="69AA0C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0.0869</w:t>
            </w:r>
          </w:p>
          <w:p w14:paraId="6E6E3A65">
            <w:pPr>
              <w:adjustRightInd w:val="0"/>
              <w:snapToGrid w:val="0"/>
              <w:spacing w:line="220" w:lineRule="exact"/>
              <w:ind w:left="-181" w:leftChars="-86" w:right="-130" w:rightChars="-62" w:firstLine="68" w:firstLineChars="40"/>
              <w:jc w:val="center"/>
              <w:rPr>
                <w:color w:val="auto"/>
                <w:spacing w:val="-4"/>
                <w:sz w:val="18"/>
                <w:szCs w:val="18"/>
              </w:rPr>
            </w:pPr>
          </w:p>
          <w:p w14:paraId="629E406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0.0822</w:t>
            </w:r>
          </w:p>
          <w:p w14:paraId="3AE2724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0.0779</w:t>
            </w:r>
          </w:p>
          <w:p w14:paraId="65E05FD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0.0740</w:t>
            </w:r>
          </w:p>
          <w:p w14:paraId="38CC40A7">
            <w:pPr>
              <w:adjustRightInd w:val="0"/>
              <w:snapToGrid w:val="0"/>
              <w:spacing w:line="220" w:lineRule="exact"/>
              <w:ind w:left="-181" w:leftChars="-86" w:right="-130" w:rightChars="-62" w:firstLine="68" w:firstLineChars="40"/>
              <w:jc w:val="center"/>
              <w:rPr>
                <w:color w:val="auto"/>
                <w:spacing w:val="-4"/>
                <w:sz w:val="18"/>
                <w:szCs w:val="18"/>
              </w:rPr>
            </w:pPr>
          </w:p>
          <w:p w14:paraId="2047F73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0.0703</w:t>
            </w:r>
          </w:p>
          <w:p w14:paraId="04D343F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0.0670</w:t>
            </w:r>
          </w:p>
          <w:p w14:paraId="345D41F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0.0638</w:t>
            </w:r>
          </w:p>
          <w:p w14:paraId="6F41FD0B">
            <w:pPr>
              <w:adjustRightInd w:val="0"/>
              <w:snapToGrid w:val="0"/>
              <w:spacing w:line="220" w:lineRule="exact"/>
              <w:ind w:left="-181" w:leftChars="-86" w:right="-130" w:rightChars="-62" w:firstLine="68" w:firstLineChars="40"/>
              <w:jc w:val="center"/>
              <w:rPr>
                <w:color w:val="auto"/>
                <w:spacing w:val="-4"/>
                <w:sz w:val="18"/>
                <w:szCs w:val="18"/>
              </w:rPr>
            </w:pPr>
          </w:p>
          <w:p w14:paraId="0863724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0.0609</w:t>
            </w:r>
          </w:p>
          <w:p w14:paraId="0258D48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0.0582</w:t>
            </w:r>
          </w:p>
          <w:p w14:paraId="0E38161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0.0470</w:t>
            </w:r>
          </w:p>
          <w:p w14:paraId="4B6F683C">
            <w:pPr>
              <w:adjustRightInd w:val="0"/>
              <w:snapToGrid w:val="0"/>
              <w:spacing w:line="220" w:lineRule="exact"/>
              <w:ind w:left="-181" w:leftChars="-86" w:right="-130" w:rightChars="-62" w:firstLine="68" w:firstLineChars="40"/>
              <w:jc w:val="center"/>
              <w:rPr>
                <w:color w:val="auto"/>
                <w:spacing w:val="-4"/>
                <w:sz w:val="18"/>
                <w:szCs w:val="18"/>
              </w:rPr>
            </w:pPr>
          </w:p>
          <w:p w14:paraId="005807A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0.0387</w:t>
            </w:r>
          </w:p>
          <w:p w14:paraId="5F7C3A6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0.0323</w:t>
            </w:r>
          </w:p>
          <w:p w14:paraId="0FB635E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0.0273</w:t>
            </w:r>
          </w:p>
          <w:p w14:paraId="54420C34">
            <w:pPr>
              <w:adjustRightInd w:val="0"/>
              <w:snapToGrid w:val="0"/>
              <w:spacing w:line="220" w:lineRule="exact"/>
              <w:ind w:left="-181" w:leftChars="-86" w:right="-130" w:rightChars="-62" w:firstLine="68" w:firstLineChars="40"/>
              <w:jc w:val="center"/>
              <w:rPr>
                <w:color w:val="auto"/>
                <w:spacing w:val="-4"/>
                <w:sz w:val="18"/>
                <w:szCs w:val="18"/>
              </w:rPr>
            </w:pPr>
          </w:p>
          <w:p w14:paraId="636B153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0.0233</w:t>
            </w:r>
          </w:p>
          <w:p w14:paraId="7549D3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0.0174</w:t>
            </w:r>
          </w:p>
          <w:p w14:paraId="07B2CF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0.0135</w:t>
            </w:r>
          </w:p>
          <w:p w14:paraId="02613951">
            <w:pPr>
              <w:adjustRightInd w:val="0"/>
              <w:snapToGrid w:val="0"/>
              <w:spacing w:line="220" w:lineRule="exact"/>
              <w:ind w:left="-181" w:leftChars="-86" w:right="-130" w:rightChars="-62" w:firstLine="68" w:firstLineChars="40"/>
              <w:jc w:val="center"/>
              <w:rPr>
                <w:color w:val="auto"/>
                <w:spacing w:val="-4"/>
                <w:sz w:val="18"/>
                <w:szCs w:val="18"/>
              </w:rPr>
            </w:pPr>
          </w:p>
          <w:p w14:paraId="1FD020E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0.0119</w:t>
            </w:r>
          </w:p>
          <w:p w14:paraId="1F627E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0.0107</w:t>
            </w:r>
          </w:p>
          <w:p w14:paraId="511F423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0.0086</w:t>
            </w:r>
          </w:p>
          <w:p w14:paraId="6E73F10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0.0071</w:t>
            </w:r>
          </w:p>
        </w:tc>
        <w:tc>
          <w:tcPr>
            <w:tcW w:w="695" w:type="dxa"/>
          </w:tcPr>
          <w:p w14:paraId="4A3CDB7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47AA6B1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0C209B7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5B5707E2">
            <w:pPr>
              <w:adjustRightInd w:val="0"/>
              <w:snapToGrid w:val="0"/>
              <w:spacing w:line="220" w:lineRule="exact"/>
              <w:ind w:left="-181" w:leftChars="-86" w:right="-130" w:rightChars="-62" w:firstLine="68" w:firstLineChars="40"/>
              <w:jc w:val="center"/>
              <w:rPr>
                <w:color w:val="auto"/>
                <w:spacing w:val="-4"/>
                <w:sz w:val="18"/>
                <w:szCs w:val="18"/>
              </w:rPr>
            </w:pPr>
          </w:p>
          <w:p w14:paraId="266D59C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38FB4E3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2C08E85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2640A9A7">
            <w:pPr>
              <w:adjustRightInd w:val="0"/>
              <w:snapToGrid w:val="0"/>
              <w:spacing w:line="220" w:lineRule="exact"/>
              <w:ind w:left="-181" w:leftChars="-86" w:right="-130" w:rightChars="-62" w:firstLine="68" w:firstLineChars="40"/>
              <w:jc w:val="center"/>
              <w:rPr>
                <w:color w:val="auto"/>
                <w:spacing w:val="-4"/>
                <w:sz w:val="18"/>
                <w:szCs w:val="18"/>
              </w:rPr>
            </w:pPr>
          </w:p>
          <w:p w14:paraId="5145561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26DD274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0.1739</w:t>
            </w:r>
          </w:p>
          <w:p w14:paraId="43AA9A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0.1602</w:t>
            </w:r>
          </w:p>
          <w:p w14:paraId="619322F3">
            <w:pPr>
              <w:adjustRightInd w:val="0"/>
              <w:snapToGrid w:val="0"/>
              <w:spacing w:line="220" w:lineRule="exact"/>
              <w:ind w:left="-181" w:leftChars="-86" w:right="-130" w:rightChars="-62" w:firstLine="68" w:firstLineChars="40"/>
              <w:jc w:val="center"/>
              <w:rPr>
                <w:color w:val="auto"/>
                <w:spacing w:val="-4"/>
                <w:sz w:val="18"/>
                <w:szCs w:val="18"/>
              </w:rPr>
            </w:pPr>
          </w:p>
          <w:p w14:paraId="443A630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0.1480</w:t>
            </w:r>
          </w:p>
          <w:p w14:paraId="5B80304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0.1371</w:t>
            </w:r>
          </w:p>
          <w:p w14:paraId="61CADC5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0.1274</w:t>
            </w:r>
          </w:p>
          <w:p w14:paraId="15F3887A">
            <w:pPr>
              <w:adjustRightInd w:val="0"/>
              <w:snapToGrid w:val="0"/>
              <w:spacing w:line="220" w:lineRule="exact"/>
              <w:ind w:left="-181" w:leftChars="-86" w:right="-130" w:rightChars="-62" w:firstLine="68" w:firstLineChars="40"/>
              <w:jc w:val="center"/>
              <w:rPr>
                <w:color w:val="auto"/>
                <w:spacing w:val="-4"/>
                <w:sz w:val="18"/>
                <w:szCs w:val="18"/>
              </w:rPr>
            </w:pPr>
          </w:p>
          <w:p w14:paraId="6808BF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0.1188</w:t>
            </w:r>
          </w:p>
          <w:p w14:paraId="0C5D675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0.1111</w:t>
            </w:r>
          </w:p>
          <w:p w14:paraId="5F4732B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0.1042</w:t>
            </w:r>
          </w:p>
          <w:p w14:paraId="796DB4EC">
            <w:pPr>
              <w:adjustRightInd w:val="0"/>
              <w:snapToGrid w:val="0"/>
              <w:spacing w:line="220" w:lineRule="exact"/>
              <w:ind w:left="-181" w:leftChars="-86" w:right="-130" w:rightChars="-62" w:firstLine="68" w:firstLineChars="40"/>
              <w:jc w:val="center"/>
              <w:rPr>
                <w:color w:val="auto"/>
                <w:spacing w:val="-4"/>
                <w:sz w:val="18"/>
                <w:szCs w:val="18"/>
              </w:rPr>
            </w:pPr>
          </w:p>
          <w:p w14:paraId="1ED69C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0.0980</w:t>
            </w:r>
          </w:p>
          <w:p w14:paraId="616C6F0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0.0923</w:t>
            </w:r>
          </w:p>
          <w:p w14:paraId="4929C85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0.0873</w:t>
            </w:r>
          </w:p>
          <w:p w14:paraId="6F01FCC9">
            <w:pPr>
              <w:adjustRightInd w:val="0"/>
              <w:snapToGrid w:val="0"/>
              <w:spacing w:line="220" w:lineRule="exact"/>
              <w:ind w:left="-181" w:leftChars="-86" w:right="-130" w:rightChars="-62" w:firstLine="68" w:firstLineChars="40"/>
              <w:jc w:val="center"/>
              <w:rPr>
                <w:color w:val="auto"/>
                <w:spacing w:val="-4"/>
                <w:sz w:val="18"/>
                <w:szCs w:val="18"/>
              </w:rPr>
            </w:pPr>
          </w:p>
          <w:p w14:paraId="0E0F0F1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0.0826</w:t>
            </w:r>
          </w:p>
          <w:p w14:paraId="187E47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0.0784</w:t>
            </w:r>
          </w:p>
          <w:p w14:paraId="3EFB130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0.0745</w:t>
            </w:r>
          </w:p>
          <w:p w14:paraId="3CA147E2">
            <w:pPr>
              <w:adjustRightInd w:val="0"/>
              <w:snapToGrid w:val="0"/>
              <w:spacing w:line="220" w:lineRule="exact"/>
              <w:ind w:left="-181" w:leftChars="-86" w:right="-130" w:rightChars="-62" w:firstLine="68" w:firstLineChars="40"/>
              <w:jc w:val="center"/>
              <w:rPr>
                <w:color w:val="auto"/>
                <w:spacing w:val="-4"/>
                <w:sz w:val="18"/>
                <w:szCs w:val="18"/>
              </w:rPr>
            </w:pPr>
          </w:p>
          <w:p w14:paraId="1AA5169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0.0709</w:t>
            </w:r>
          </w:p>
          <w:p w14:paraId="2D4F482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0.0676</w:t>
            </w:r>
          </w:p>
          <w:p w14:paraId="70F4421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0.0645</w:t>
            </w:r>
          </w:p>
          <w:p w14:paraId="107428F4">
            <w:pPr>
              <w:adjustRightInd w:val="0"/>
              <w:snapToGrid w:val="0"/>
              <w:spacing w:line="220" w:lineRule="exact"/>
              <w:ind w:left="-181" w:leftChars="-86" w:right="-130" w:rightChars="-62" w:firstLine="68" w:firstLineChars="40"/>
              <w:jc w:val="center"/>
              <w:rPr>
                <w:color w:val="auto"/>
                <w:spacing w:val="-4"/>
                <w:sz w:val="18"/>
                <w:szCs w:val="18"/>
              </w:rPr>
            </w:pPr>
          </w:p>
          <w:p w14:paraId="2815861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0.0616</w:t>
            </w:r>
          </w:p>
          <w:p w14:paraId="4926641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0.0589</w:t>
            </w:r>
          </w:p>
          <w:p w14:paraId="2B00DAB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0.0479</w:t>
            </w:r>
          </w:p>
          <w:p w14:paraId="69F47604">
            <w:pPr>
              <w:adjustRightInd w:val="0"/>
              <w:snapToGrid w:val="0"/>
              <w:spacing w:line="220" w:lineRule="exact"/>
              <w:ind w:left="-181" w:leftChars="-86" w:right="-130" w:rightChars="-62" w:firstLine="68" w:firstLineChars="40"/>
              <w:jc w:val="center"/>
              <w:rPr>
                <w:color w:val="auto"/>
                <w:spacing w:val="-4"/>
                <w:sz w:val="18"/>
                <w:szCs w:val="18"/>
              </w:rPr>
            </w:pPr>
          </w:p>
          <w:p w14:paraId="7717928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0.0396</w:t>
            </w:r>
          </w:p>
          <w:p w14:paraId="3272F3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0.0332</w:t>
            </w:r>
          </w:p>
          <w:p w14:paraId="67B4186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0.0282</w:t>
            </w:r>
          </w:p>
          <w:p w14:paraId="4438AE4F">
            <w:pPr>
              <w:adjustRightInd w:val="0"/>
              <w:snapToGrid w:val="0"/>
              <w:spacing w:line="220" w:lineRule="exact"/>
              <w:ind w:left="-181" w:leftChars="-86" w:right="-130" w:rightChars="-62" w:firstLine="68" w:firstLineChars="40"/>
              <w:jc w:val="center"/>
              <w:rPr>
                <w:color w:val="auto"/>
                <w:spacing w:val="-4"/>
                <w:sz w:val="18"/>
                <w:szCs w:val="18"/>
              </w:rPr>
            </w:pPr>
          </w:p>
          <w:p w14:paraId="2BB3AF1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0.0242</w:t>
            </w:r>
          </w:p>
          <w:p w14:paraId="084633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0.0183</w:t>
            </w:r>
          </w:p>
          <w:p w14:paraId="05660A3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0.0142</w:t>
            </w:r>
          </w:p>
          <w:p w14:paraId="156CBDA4">
            <w:pPr>
              <w:adjustRightInd w:val="0"/>
              <w:snapToGrid w:val="0"/>
              <w:spacing w:line="220" w:lineRule="exact"/>
              <w:ind w:left="-181" w:leftChars="-86" w:right="-130" w:rightChars="-62" w:firstLine="68" w:firstLineChars="40"/>
              <w:jc w:val="center"/>
              <w:rPr>
                <w:color w:val="auto"/>
                <w:spacing w:val="-4"/>
                <w:sz w:val="18"/>
                <w:szCs w:val="18"/>
              </w:rPr>
            </w:pPr>
          </w:p>
          <w:p w14:paraId="078663D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0.0126</w:t>
            </w:r>
          </w:p>
          <w:p w14:paraId="2AB7854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0.0113</w:t>
            </w:r>
          </w:p>
          <w:p w14:paraId="4F25758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0.0092</w:t>
            </w:r>
          </w:p>
          <w:p w14:paraId="03287FD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0.0076</w:t>
            </w:r>
          </w:p>
        </w:tc>
        <w:tc>
          <w:tcPr>
            <w:tcW w:w="693" w:type="dxa"/>
          </w:tcPr>
          <w:p w14:paraId="696EA82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11B9D44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755845D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3FE85A97">
            <w:pPr>
              <w:adjustRightInd w:val="0"/>
              <w:snapToGrid w:val="0"/>
              <w:spacing w:line="220" w:lineRule="exact"/>
              <w:ind w:left="-181" w:leftChars="-86" w:right="-130" w:rightChars="-62" w:firstLine="68" w:firstLineChars="40"/>
              <w:jc w:val="center"/>
              <w:rPr>
                <w:color w:val="auto"/>
                <w:spacing w:val="-4"/>
                <w:sz w:val="18"/>
                <w:szCs w:val="18"/>
              </w:rPr>
            </w:pPr>
          </w:p>
          <w:p w14:paraId="3D109D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5E1E9FE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1FDC4D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0.2046</w:t>
            </w:r>
          </w:p>
          <w:p w14:paraId="6197D71E">
            <w:pPr>
              <w:adjustRightInd w:val="0"/>
              <w:snapToGrid w:val="0"/>
              <w:spacing w:line="220" w:lineRule="exact"/>
              <w:ind w:left="-181" w:leftChars="-86" w:right="-130" w:rightChars="-62" w:firstLine="68" w:firstLineChars="40"/>
              <w:jc w:val="center"/>
              <w:rPr>
                <w:color w:val="auto"/>
                <w:spacing w:val="-4"/>
                <w:sz w:val="18"/>
                <w:szCs w:val="18"/>
              </w:rPr>
            </w:pPr>
          </w:p>
          <w:p w14:paraId="384C87C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01F089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0.1739</w:t>
            </w:r>
          </w:p>
          <w:p w14:paraId="3AC470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0.1603</w:t>
            </w:r>
          </w:p>
          <w:p w14:paraId="64ACD971">
            <w:pPr>
              <w:adjustRightInd w:val="0"/>
              <w:snapToGrid w:val="0"/>
              <w:spacing w:line="220" w:lineRule="exact"/>
              <w:ind w:left="-181" w:leftChars="-86" w:right="-130" w:rightChars="-62" w:firstLine="68" w:firstLineChars="40"/>
              <w:jc w:val="center"/>
              <w:rPr>
                <w:color w:val="auto"/>
                <w:spacing w:val="-4"/>
                <w:sz w:val="18"/>
                <w:szCs w:val="18"/>
              </w:rPr>
            </w:pPr>
          </w:p>
          <w:p w14:paraId="35D9EE8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0.1481</w:t>
            </w:r>
          </w:p>
          <w:p w14:paraId="2C9D5D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0.1372</w:t>
            </w:r>
          </w:p>
          <w:p w14:paraId="4C75B20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0.1275</w:t>
            </w:r>
          </w:p>
          <w:p w14:paraId="5FAACBBC">
            <w:pPr>
              <w:adjustRightInd w:val="0"/>
              <w:snapToGrid w:val="0"/>
              <w:spacing w:line="220" w:lineRule="exact"/>
              <w:ind w:left="-181" w:leftChars="-86" w:right="-130" w:rightChars="-62" w:firstLine="68" w:firstLineChars="40"/>
              <w:jc w:val="center"/>
              <w:rPr>
                <w:color w:val="auto"/>
                <w:spacing w:val="-4"/>
                <w:sz w:val="18"/>
                <w:szCs w:val="18"/>
              </w:rPr>
            </w:pPr>
          </w:p>
          <w:p w14:paraId="6337DC4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0.1189</w:t>
            </w:r>
          </w:p>
          <w:p w14:paraId="13AF220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0.1112</w:t>
            </w:r>
          </w:p>
          <w:p w14:paraId="2B4F853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0.1043</w:t>
            </w:r>
          </w:p>
          <w:p w14:paraId="4BEEE43C">
            <w:pPr>
              <w:adjustRightInd w:val="0"/>
              <w:snapToGrid w:val="0"/>
              <w:spacing w:line="220" w:lineRule="exact"/>
              <w:ind w:left="-181" w:leftChars="-86" w:right="-130" w:rightChars="-62" w:firstLine="68" w:firstLineChars="40"/>
              <w:jc w:val="center"/>
              <w:rPr>
                <w:color w:val="auto"/>
                <w:spacing w:val="-4"/>
                <w:sz w:val="18"/>
                <w:szCs w:val="18"/>
              </w:rPr>
            </w:pPr>
          </w:p>
          <w:p w14:paraId="740033E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0.0982</w:t>
            </w:r>
          </w:p>
          <w:p w14:paraId="7541783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0.0926</w:t>
            </w:r>
          </w:p>
          <w:p w14:paraId="6D4E390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0.0875</w:t>
            </w:r>
          </w:p>
          <w:p w14:paraId="0255A3B7">
            <w:pPr>
              <w:adjustRightInd w:val="0"/>
              <w:snapToGrid w:val="0"/>
              <w:spacing w:line="220" w:lineRule="exact"/>
              <w:ind w:left="-181" w:leftChars="-86" w:right="-130" w:rightChars="-62" w:firstLine="68" w:firstLineChars="40"/>
              <w:jc w:val="center"/>
              <w:rPr>
                <w:color w:val="auto"/>
                <w:spacing w:val="-4"/>
                <w:sz w:val="18"/>
                <w:szCs w:val="18"/>
              </w:rPr>
            </w:pPr>
          </w:p>
          <w:p w14:paraId="6993ED8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0.0829</w:t>
            </w:r>
          </w:p>
          <w:p w14:paraId="33F1C4F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0.0787</w:t>
            </w:r>
          </w:p>
          <w:p w14:paraId="1104C8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0.0749</w:t>
            </w:r>
          </w:p>
          <w:p w14:paraId="036FECDB">
            <w:pPr>
              <w:adjustRightInd w:val="0"/>
              <w:snapToGrid w:val="0"/>
              <w:spacing w:line="220" w:lineRule="exact"/>
              <w:ind w:left="-181" w:leftChars="-86" w:right="-130" w:rightChars="-62" w:firstLine="68" w:firstLineChars="40"/>
              <w:jc w:val="center"/>
              <w:rPr>
                <w:color w:val="auto"/>
                <w:spacing w:val="-4"/>
                <w:sz w:val="18"/>
                <w:szCs w:val="18"/>
              </w:rPr>
            </w:pPr>
          </w:p>
          <w:p w14:paraId="2E8DEF8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0.0713</w:t>
            </w:r>
          </w:p>
          <w:p w14:paraId="3C04333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0.0680</w:t>
            </w:r>
          </w:p>
          <w:p w14:paraId="3EC1052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0.0650</w:t>
            </w:r>
          </w:p>
          <w:p w14:paraId="1F5DB3C2">
            <w:pPr>
              <w:adjustRightInd w:val="0"/>
              <w:snapToGrid w:val="0"/>
              <w:spacing w:line="220" w:lineRule="exact"/>
              <w:ind w:left="-181" w:leftChars="-86" w:right="-130" w:rightChars="-62" w:firstLine="68" w:firstLineChars="40"/>
              <w:jc w:val="center"/>
              <w:rPr>
                <w:color w:val="auto"/>
                <w:spacing w:val="-4"/>
                <w:sz w:val="18"/>
                <w:szCs w:val="18"/>
              </w:rPr>
            </w:pPr>
          </w:p>
          <w:p w14:paraId="3CEFAAC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0.0621</w:t>
            </w:r>
          </w:p>
          <w:p w14:paraId="08A2998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0.0595</w:t>
            </w:r>
          </w:p>
          <w:p w14:paraId="227EA67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0.0486</w:t>
            </w:r>
          </w:p>
          <w:p w14:paraId="3CE95DC7">
            <w:pPr>
              <w:adjustRightInd w:val="0"/>
              <w:snapToGrid w:val="0"/>
              <w:spacing w:line="220" w:lineRule="exact"/>
              <w:ind w:left="-181" w:leftChars="-86" w:right="-130" w:rightChars="-62" w:firstLine="68" w:firstLineChars="40"/>
              <w:jc w:val="center"/>
              <w:rPr>
                <w:color w:val="auto"/>
                <w:spacing w:val="-4"/>
                <w:sz w:val="18"/>
                <w:szCs w:val="18"/>
              </w:rPr>
            </w:pPr>
          </w:p>
          <w:p w14:paraId="299CC77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0.0404</w:t>
            </w:r>
          </w:p>
          <w:p w14:paraId="17DB339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0.0341</w:t>
            </w:r>
          </w:p>
          <w:p w14:paraId="633066B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0.0291</w:t>
            </w:r>
          </w:p>
          <w:p w14:paraId="2DD633DC">
            <w:pPr>
              <w:adjustRightInd w:val="0"/>
              <w:snapToGrid w:val="0"/>
              <w:spacing w:line="220" w:lineRule="exact"/>
              <w:ind w:left="-181" w:leftChars="-86" w:right="-130" w:rightChars="-62" w:firstLine="68" w:firstLineChars="40"/>
              <w:jc w:val="center"/>
              <w:rPr>
                <w:color w:val="auto"/>
                <w:spacing w:val="-4"/>
                <w:sz w:val="18"/>
                <w:szCs w:val="18"/>
              </w:rPr>
            </w:pPr>
          </w:p>
          <w:p w14:paraId="7B3C5AF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0.0250</w:t>
            </w:r>
          </w:p>
          <w:p w14:paraId="4421B25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0.0190</w:t>
            </w:r>
          </w:p>
          <w:p w14:paraId="505F60F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0.0148</w:t>
            </w:r>
          </w:p>
          <w:p w14:paraId="7B59C2DF">
            <w:pPr>
              <w:adjustRightInd w:val="0"/>
              <w:snapToGrid w:val="0"/>
              <w:spacing w:line="220" w:lineRule="exact"/>
              <w:ind w:left="-181" w:leftChars="-86" w:right="-130" w:rightChars="-62" w:firstLine="68" w:firstLineChars="40"/>
              <w:jc w:val="center"/>
              <w:rPr>
                <w:color w:val="auto"/>
                <w:spacing w:val="-4"/>
                <w:sz w:val="18"/>
                <w:szCs w:val="18"/>
              </w:rPr>
            </w:pPr>
          </w:p>
          <w:p w14:paraId="792E10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0.0132</w:t>
            </w:r>
          </w:p>
          <w:p w14:paraId="2FD2F8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0.0119</w:t>
            </w:r>
          </w:p>
          <w:p w14:paraId="14FCBDA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0.0097</w:t>
            </w:r>
          </w:p>
          <w:p w14:paraId="3B49F41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0.0080</w:t>
            </w:r>
          </w:p>
        </w:tc>
        <w:tc>
          <w:tcPr>
            <w:tcW w:w="695" w:type="dxa"/>
          </w:tcPr>
          <w:p w14:paraId="17CB886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175314C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5E37E3E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1C4E700D">
            <w:pPr>
              <w:adjustRightInd w:val="0"/>
              <w:snapToGrid w:val="0"/>
              <w:spacing w:line="220" w:lineRule="exact"/>
              <w:ind w:left="-181" w:leftChars="-86" w:right="-130" w:rightChars="-62" w:firstLine="68" w:firstLineChars="40"/>
              <w:jc w:val="center"/>
              <w:rPr>
                <w:color w:val="auto"/>
                <w:spacing w:val="-4"/>
                <w:sz w:val="18"/>
                <w:szCs w:val="18"/>
              </w:rPr>
            </w:pPr>
          </w:p>
          <w:p w14:paraId="786B4F4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2DF421C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780A06B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0.2045</w:t>
            </w:r>
          </w:p>
          <w:p w14:paraId="7C94FAF4">
            <w:pPr>
              <w:adjustRightInd w:val="0"/>
              <w:snapToGrid w:val="0"/>
              <w:spacing w:line="220" w:lineRule="exact"/>
              <w:ind w:left="-181" w:leftChars="-86" w:right="-130" w:rightChars="-62" w:firstLine="68" w:firstLineChars="40"/>
              <w:jc w:val="center"/>
              <w:rPr>
                <w:color w:val="auto"/>
                <w:spacing w:val="-4"/>
                <w:sz w:val="18"/>
                <w:szCs w:val="18"/>
              </w:rPr>
            </w:pPr>
          </w:p>
          <w:p w14:paraId="4672675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3A4831A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0.1739</w:t>
            </w:r>
          </w:p>
          <w:p w14:paraId="59476E6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0.1603</w:t>
            </w:r>
          </w:p>
          <w:p w14:paraId="4A285D58">
            <w:pPr>
              <w:adjustRightInd w:val="0"/>
              <w:snapToGrid w:val="0"/>
              <w:spacing w:line="220" w:lineRule="exact"/>
              <w:ind w:left="-181" w:leftChars="-86" w:right="-130" w:rightChars="-62" w:firstLine="68" w:firstLineChars="40"/>
              <w:jc w:val="center"/>
              <w:rPr>
                <w:color w:val="auto"/>
                <w:spacing w:val="-4"/>
                <w:sz w:val="18"/>
                <w:szCs w:val="18"/>
              </w:rPr>
            </w:pPr>
          </w:p>
          <w:p w14:paraId="3ED6BB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0.1481</w:t>
            </w:r>
          </w:p>
          <w:p w14:paraId="4D6A617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0.1372</w:t>
            </w:r>
          </w:p>
          <w:p w14:paraId="1CB1865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0.1276</w:t>
            </w:r>
          </w:p>
          <w:p w14:paraId="1BEDC932">
            <w:pPr>
              <w:adjustRightInd w:val="0"/>
              <w:snapToGrid w:val="0"/>
              <w:spacing w:line="220" w:lineRule="exact"/>
              <w:ind w:left="-181" w:leftChars="-86" w:right="-130" w:rightChars="-62" w:firstLine="68" w:firstLineChars="40"/>
              <w:jc w:val="center"/>
              <w:rPr>
                <w:color w:val="auto"/>
                <w:spacing w:val="-4"/>
                <w:sz w:val="18"/>
                <w:szCs w:val="18"/>
              </w:rPr>
            </w:pPr>
          </w:p>
          <w:p w14:paraId="585B719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0.1190</w:t>
            </w:r>
          </w:p>
          <w:p w14:paraId="6332ADB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0.1113</w:t>
            </w:r>
          </w:p>
          <w:p w14:paraId="3BE8DF0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0.1045</w:t>
            </w:r>
          </w:p>
          <w:p w14:paraId="6BBF16DD">
            <w:pPr>
              <w:adjustRightInd w:val="0"/>
              <w:snapToGrid w:val="0"/>
              <w:spacing w:line="220" w:lineRule="exact"/>
              <w:ind w:left="-181" w:leftChars="-86" w:right="-130" w:rightChars="-62" w:firstLine="68" w:firstLineChars="40"/>
              <w:jc w:val="center"/>
              <w:rPr>
                <w:color w:val="auto"/>
                <w:spacing w:val="-4"/>
                <w:sz w:val="18"/>
                <w:szCs w:val="18"/>
              </w:rPr>
            </w:pPr>
          </w:p>
          <w:p w14:paraId="22F4178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0.0983</w:t>
            </w:r>
          </w:p>
          <w:p w14:paraId="7D1151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0.0928</w:t>
            </w:r>
          </w:p>
          <w:p w14:paraId="49690D5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0.0877</w:t>
            </w:r>
          </w:p>
          <w:p w14:paraId="1777946A">
            <w:pPr>
              <w:adjustRightInd w:val="0"/>
              <w:snapToGrid w:val="0"/>
              <w:spacing w:line="220" w:lineRule="exact"/>
              <w:ind w:left="-181" w:leftChars="-86" w:right="-130" w:rightChars="-62" w:firstLine="68" w:firstLineChars="40"/>
              <w:jc w:val="center"/>
              <w:rPr>
                <w:color w:val="auto"/>
                <w:spacing w:val="-4"/>
                <w:sz w:val="18"/>
                <w:szCs w:val="18"/>
              </w:rPr>
            </w:pPr>
          </w:p>
          <w:p w14:paraId="45E519B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0.0832</w:t>
            </w:r>
          </w:p>
          <w:p w14:paraId="0DB46CB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0.0790</w:t>
            </w:r>
          </w:p>
          <w:p w14:paraId="487D629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0.0752</w:t>
            </w:r>
          </w:p>
          <w:p w14:paraId="62311FC5">
            <w:pPr>
              <w:adjustRightInd w:val="0"/>
              <w:snapToGrid w:val="0"/>
              <w:spacing w:line="220" w:lineRule="exact"/>
              <w:ind w:left="-181" w:leftChars="-86" w:right="-130" w:rightChars="-62" w:firstLine="68" w:firstLineChars="40"/>
              <w:jc w:val="center"/>
              <w:rPr>
                <w:color w:val="auto"/>
                <w:spacing w:val="-4"/>
                <w:sz w:val="18"/>
                <w:szCs w:val="18"/>
              </w:rPr>
            </w:pPr>
          </w:p>
          <w:p w14:paraId="03CA3DB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0.0716</w:t>
            </w:r>
          </w:p>
          <w:p w14:paraId="64C5770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0.0684</w:t>
            </w:r>
          </w:p>
          <w:p w14:paraId="3BB43CC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0.0654</w:t>
            </w:r>
          </w:p>
          <w:p w14:paraId="137FBD82">
            <w:pPr>
              <w:adjustRightInd w:val="0"/>
              <w:snapToGrid w:val="0"/>
              <w:spacing w:line="220" w:lineRule="exact"/>
              <w:ind w:left="-181" w:leftChars="-86" w:right="-130" w:rightChars="-62" w:firstLine="68" w:firstLineChars="40"/>
              <w:jc w:val="center"/>
              <w:rPr>
                <w:color w:val="auto"/>
                <w:spacing w:val="-4"/>
                <w:sz w:val="18"/>
                <w:szCs w:val="18"/>
              </w:rPr>
            </w:pPr>
          </w:p>
          <w:p w14:paraId="62CF0B7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0.0626</w:t>
            </w:r>
          </w:p>
          <w:p w14:paraId="3869D1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0.0599</w:t>
            </w:r>
          </w:p>
          <w:p w14:paraId="16E9DF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0.0491</w:t>
            </w:r>
          </w:p>
          <w:p w14:paraId="28A88799">
            <w:pPr>
              <w:adjustRightInd w:val="0"/>
              <w:snapToGrid w:val="0"/>
              <w:spacing w:line="220" w:lineRule="exact"/>
              <w:ind w:left="-181" w:leftChars="-86" w:right="-130" w:rightChars="-62" w:firstLine="68" w:firstLineChars="40"/>
              <w:jc w:val="center"/>
              <w:rPr>
                <w:color w:val="auto"/>
                <w:spacing w:val="-4"/>
                <w:sz w:val="18"/>
                <w:szCs w:val="18"/>
              </w:rPr>
            </w:pPr>
          </w:p>
          <w:p w14:paraId="3AEE42D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0.0411</w:t>
            </w:r>
          </w:p>
          <w:p w14:paraId="7C9D187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0.0348</w:t>
            </w:r>
          </w:p>
          <w:p w14:paraId="13CDF4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0.0298</w:t>
            </w:r>
          </w:p>
          <w:p w14:paraId="1F67AD47">
            <w:pPr>
              <w:adjustRightInd w:val="0"/>
              <w:snapToGrid w:val="0"/>
              <w:spacing w:line="220" w:lineRule="exact"/>
              <w:ind w:left="-181" w:leftChars="-86" w:right="-130" w:rightChars="-62" w:firstLine="68" w:firstLineChars="40"/>
              <w:jc w:val="center"/>
              <w:rPr>
                <w:color w:val="auto"/>
                <w:spacing w:val="-4"/>
                <w:sz w:val="18"/>
                <w:szCs w:val="18"/>
              </w:rPr>
            </w:pPr>
          </w:p>
          <w:p w14:paraId="1433056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0.0258</w:t>
            </w:r>
          </w:p>
          <w:p w14:paraId="2A45AD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0.0197</w:t>
            </w:r>
          </w:p>
          <w:p w14:paraId="0805352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0.0155</w:t>
            </w:r>
          </w:p>
          <w:p w14:paraId="2C4615F0">
            <w:pPr>
              <w:adjustRightInd w:val="0"/>
              <w:snapToGrid w:val="0"/>
              <w:spacing w:line="220" w:lineRule="exact"/>
              <w:ind w:left="-181" w:leftChars="-86" w:right="-130" w:rightChars="-62" w:firstLine="68" w:firstLineChars="40"/>
              <w:jc w:val="center"/>
              <w:rPr>
                <w:color w:val="auto"/>
                <w:spacing w:val="-4"/>
                <w:sz w:val="18"/>
                <w:szCs w:val="18"/>
              </w:rPr>
            </w:pPr>
          </w:p>
          <w:p w14:paraId="31E0129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0.0138</w:t>
            </w:r>
          </w:p>
          <w:p w14:paraId="2057314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0.0124</w:t>
            </w:r>
          </w:p>
          <w:p w14:paraId="77F1C2F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0.0102</w:t>
            </w:r>
          </w:p>
          <w:p w14:paraId="4E93FC8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0.0084</w:t>
            </w:r>
          </w:p>
        </w:tc>
        <w:tc>
          <w:tcPr>
            <w:tcW w:w="695" w:type="dxa"/>
          </w:tcPr>
          <w:p w14:paraId="02891A3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290A0CE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170086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211B8675">
            <w:pPr>
              <w:adjustRightInd w:val="0"/>
              <w:snapToGrid w:val="0"/>
              <w:spacing w:line="220" w:lineRule="exact"/>
              <w:ind w:left="-181" w:leftChars="-86" w:right="-130" w:rightChars="-62" w:firstLine="68" w:firstLineChars="40"/>
              <w:jc w:val="center"/>
              <w:rPr>
                <w:color w:val="auto"/>
                <w:spacing w:val="-4"/>
                <w:sz w:val="18"/>
                <w:szCs w:val="18"/>
              </w:rPr>
            </w:pPr>
          </w:p>
          <w:p w14:paraId="1D84FD1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4B3CA99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7DC284B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0.2046</w:t>
            </w:r>
          </w:p>
          <w:p w14:paraId="256D3AF2">
            <w:pPr>
              <w:adjustRightInd w:val="0"/>
              <w:snapToGrid w:val="0"/>
              <w:spacing w:line="220" w:lineRule="exact"/>
              <w:ind w:left="-181" w:leftChars="-86" w:right="-130" w:rightChars="-62" w:firstLine="68" w:firstLineChars="40"/>
              <w:jc w:val="center"/>
              <w:rPr>
                <w:color w:val="auto"/>
                <w:spacing w:val="-4"/>
                <w:sz w:val="18"/>
                <w:szCs w:val="18"/>
              </w:rPr>
            </w:pPr>
          </w:p>
          <w:p w14:paraId="199B15C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3AF3C71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0.1739</w:t>
            </w:r>
          </w:p>
          <w:p w14:paraId="01E5D9B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0.1603</w:t>
            </w:r>
          </w:p>
          <w:p w14:paraId="348DDFA6">
            <w:pPr>
              <w:adjustRightInd w:val="0"/>
              <w:snapToGrid w:val="0"/>
              <w:spacing w:line="220" w:lineRule="exact"/>
              <w:ind w:left="-181" w:leftChars="-86" w:right="-130" w:rightChars="-62" w:firstLine="68" w:firstLineChars="40"/>
              <w:jc w:val="center"/>
              <w:rPr>
                <w:color w:val="auto"/>
                <w:spacing w:val="-4"/>
                <w:sz w:val="18"/>
                <w:szCs w:val="18"/>
              </w:rPr>
            </w:pPr>
          </w:p>
          <w:p w14:paraId="1434E6A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0.1481</w:t>
            </w:r>
          </w:p>
          <w:p w14:paraId="521CF25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0.1373</w:t>
            </w:r>
          </w:p>
          <w:p w14:paraId="5E7C04E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0.1277</w:t>
            </w:r>
          </w:p>
          <w:p w14:paraId="0C8A970D">
            <w:pPr>
              <w:adjustRightInd w:val="0"/>
              <w:snapToGrid w:val="0"/>
              <w:spacing w:line="220" w:lineRule="exact"/>
              <w:ind w:left="-181" w:leftChars="-86" w:right="-130" w:rightChars="-62" w:firstLine="68" w:firstLineChars="40"/>
              <w:jc w:val="center"/>
              <w:rPr>
                <w:color w:val="auto"/>
                <w:spacing w:val="-4"/>
                <w:sz w:val="18"/>
                <w:szCs w:val="18"/>
              </w:rPr>
            </w:pPr>
          </w:p>
          <w:p w14:paraId="6788039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0.1191</w:t>
            </w:r>
          </w:p>
          <w:p w14:paraId="575C3B5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0.1114</w:t>
            </w:r>
          </w:p>
          <w:p w14:paraId="08A6CC1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0.1046</w:t>
            </w:r>
          </w:p>
          <w:p w14:paraId="6EEF0843">
            <w:pPr>
              <w:adjustRightInd w:val="0"/>
              <w:snapToGrid w:val="0"/>
              <w:spacing w:line="220" w:lineRule="exact"/>
              <w:ind w:left="-181" w:leftChars="-86" w:right="-130" w:rightChars="-62" w:firstLine="68" w:firstLineChars="40"/>
              <w:jc w:val="center"/>
              <w:rPr>
                <w:color w:val="auto"/>
                <w:spacing w:val="-4"/>
                <w:sz w:val="18"/>
                <w:szCs w:val="18"/>
              </w:rPr>
            </w:pPr>
          </w:p>
          <w:p w14:paraId="457EBAF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0.0985</w:t>
            </w:r>
          </w:p>
          <w:p w14:paraId="4924760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0.0929</w:t>
            </w:r>
          </w:p>
          <w:p w14:paraId="55547A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0.0879</w:t>
            </w:r>
          </w:p>
          <w:p w14:paraId="4973196E">
            <w:pPr>
              <w:adjustRightInd w:val="0"/>
              <w:snapToGrid w:val="0"/>
              <w:spacing w:line="220" w:lineRule="exact"/>
              <w:ind w:left="-181" w:leftChars="-86" w:right="-130" w:rightChars="-62" w:firstLine="68" w:firstLineChars="40"/>
              <w:jc w:val="center"/>
              <w:rPr>
                <w:color w:val="auto"/>
                <w:spacing w:val="-4"/>
                <w:sz w:val="18"/>
                <w:szCs w:val="18"/>
              </w:rPr>
            </w:pPr>
          </w:p>
          <w:p w14:paraId="612BC9A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0.0834</w:t>
            </w:r>
          </w:p>
          <w:p w14:paraId="4E98D6A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0.0792</w:t>
            </w:r>
          </w:p>
          <w:p w14:paraId="133BD17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0.0754</w:t>
            </w:r>
          </w:p>
          <w:p w14:paraId="799A97E6">
            <w:pPr>
              <w:adjustRightInd w:val="0"/>
              <w:snapToGrid w:val="0"/>
              <w:spacing w:line="220" w:lineRule="exact"/>
              <w:ind w:left="-181" w:leftChars="-86" w:right="-130" w:rightChars="-62" w:firstLine="68" w:firstLineChars="40"/>
              <w:jc w:val="center"/>
              <w:rPr>
                <w:color w:val="auto"/>
                <w:spacing w:val="-4"/>
                <w:sz w:val="18"/>
                <w:szCs w:val="18"/>
              </w:rPr>
            </w:pPr>
          </w:p>
          <w:p w14:paraId="182FDC1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0.0719</w:t>
            </w:r>
          </w:p>
          <w:p w14:paraId="015D766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0.0687</w:t>
            </w:r>
          </w:p>
          <w:p w14:paraId="6CF2E5A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0.0657</w:t>
            </w:r>
          </w:p>
          <w:p w14:paraId="5C81C5EF">
            <w:pPr>
              <w:adjustRightInd w:val="0"/>
              <w:snapToGrid w:val="0"/>
              <w:spacing w:line="220" w:lineRule="exact"/>
              <w:ind w:left="-181" w:leftChars="-86" w:right="-130" w:rightChars="-62" w:firstLine="68" w:firstLineChars="40"/>
              <w:jc w:val="center"/>
              <w:rPr>
                <w:color w:val="auto"/>
                <w:spacing w:val="-4"/>
                <w:sz w:val="18"/>
                <w:szCs w:val="18"/>
              </w:rPr>
            </w:pPr>
          </w:p>
          <w:p w14:paraId="4EA88EC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0.0629</w:t>
            </w:r>
          </w:p>
          <w:p w14:paraId="6F59B19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0.0603</w:t>
            </w:r>
          </w:p>
          <w:p w14:paraId="27E68D8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0.0496</w:t>
            </w:r>
          </w:p>
          <w:p w14:paraId="619A8CFD">
            <w:pPr>
              <w:adjustRightInd w:val="0"/>
              <w:snapToGrid w:val="0"/>
              <w:spacing w:line="220" w:lineRule="exact"/>
              <w:ind w:left="-181" w:leftChars="-86" w:right="-130" w:rightChars="-62" w:firstLine="68" w:firstLineChars="40"/>
              <w:jc w:val="center"/>
              <w:rPr>
                <w:color w:val="auto"/>
                <w:spacing w:val="-4"/>
                <w:sz w:val="18"/>
                <w:szCs w:val="18"/>
              </w:rPr>
            </w:pPr>
          </w:p>
          <w:p w14:paraId="68EBB58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0.0416</w:t>
            </w:r>
          </w:p>
          <w:p w14:paraId="5E851BF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0.0354</w:t>
            </w:r>
          </w:p>
          <w:p w14:paraId="1DB4925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0.0304</w:t>
            </w:r>
          </w:p>
          <w:p w14:paraId="77C02ED3">
            <w:pPr>
              <w:adjustRightInd w:val="0"/>
              <w:snapToGrid w:val="0"/>
              <w:spacing w:line="220" w:lineRule="exact"/>
              <w:ind w:left="-181" w:leftChars="-86" w:right="-130" w:rightChars="-62" w:firstLine="68" w:firstLineChars="40"/>
              <w:jc w:val="center"/>
              <w:rPr>
                <w:color w:val="auto"/>
                <w:spacing w:val="-4"/>
                <w:sz w:val="18"/>
                <w:szCs w:val="18"/>
              </w:rPr>
            </w:pPr>
          </w:p>
          <w:p w14:paraId="27185AF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0.0264</w:t>
            </w:r>
          </w:p>
          <w:p w14:paraId="1EA638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0.0203</w:t>
            </w:r>
          </w:p>
          <w:p w14:paraId="25A6685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0.0160</w:t>
            </w:r>
          </w:p>
          <w:p w14:paraId="5DDF4F54">
            <w:pPr>
              <w:adjustRightInd w:val="0"/>
              <w:snapToGrid w:val="0"/>
              <w:spacing w:line="220" w:lineRule="exact"/>
              <w:ind w:left="-181" w:leftChars="-86" w:right="-130" w:rightChars="-62" w:firstLine="68" w:firstLineChars="40"/>
              <w:jc w:val="center"/>
              <w:rPr>
                <w:color w:val="auto"/>
                <w:spacing w:val="-4"/>
                <w:sz w:val="18"/>
                <w:szCs w:val="18"/>
              </w:rPr>
            </w:pPr>
          </w:p>
          <w:p w14:paraId="79256C0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0.0144</w:t>
            </w:r>
          </w:p>
          <w:p w14:paraId="70A9FA1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0.0129</w:t>
            </w:r>
          </w:p>
          <w:p w14:paraId="525AA48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0.0106</w:t>
            </w:r>
          </w:p>
          <w:p w14:paraId="2E4BB21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0.0088</w:t>
            </w:r>
          </w:p>
        </w:tc>
        <w:tc>
          <w:tcPr>
            <w:tcW w:w="695" w:type="dxa"/>
          </w:tcPr>
          <w:p w14:paraId="42D05A9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0EA25C2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1AAA6B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3783506F">
            <w:pPr>
              <w:adjustRightInd w:val="0"/>
              <w:snapToGrid w:val="0"/>
              <w:spacing w:line="220" w:lineRule="exact"/>
              <w:ind w:left="-181" w:leftChars="-86" w:right="-130" w:rightChars="-62" w:firstLine="68" w:firstLineChars="40"/>
              <w:jc w:val="center"/>
              <w:rPr>
                <w:color w:val="auto"/>
                <w:spacing w:val="-4"/>
                <w:sz w:val="18"/>
                <w:szCs w:val="18"/>
              </w:rPr>
            </w:pPr>
          </w:p>
          <w:p w14:paraId="31B44F2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64D34C4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0244D4D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0.2046</w:t>
            </w:r>
          </w:p>
          <w:p w14:paraId="4994FC0E">
            <w:pPr>
              <w:adjustRightInd w:val="0"/>
              <w:snapToGrid w:val="0"/>
              <w:spacing w:line="220" w:lineRule="exact"/>
              <w:ind w:left="-181" w:leftChars="-86" w:right="-130" w:rightChars="-62" w:firstLine="68" w:firstLineChars="40"/>
              <w:jc w:val="center"/>
              <w:rPr>
                <w:color w:val="auto"/>
                <w:spacing w:val="-4"/>
                <w:sz w:val="18"/>
                <w:szCs w:val="18"/>
              </w:rPr>
            </w:pPr>
          </w:p>
          <w:p w14:paraId="153B3A9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00C0AA0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0.1739</w:t>
            </w:r>
          </w:p>
          <w:p w14:paraId="79893CA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0.1604</w:t>
            </w:r>
          </w:p>
          <w:p w14:paraId="4F3F84F9">
            <w:pPr>
              <w:adjustRightInd w:val="0"/>
              <w:snapToGrid w:val="0"/>
              <w:spacing w:line="220" w:lineRule="exact"/>
              <w:ind w:left="-181" w:leftChars="-86" w:right="-130" w:rightChars="-62" w:firstLine="68" w:firstLineChars="40"/>
              <w:jc w:val="center"/>
              <w:rPr>
                <w:color w:val="auto"/>
                <w:spacing w:val="-4"/>
                <w:sz w:val="18"/>
                <w:szCs w:val="18"/>
              </w:rPr>
            </w:pPr>
          </w:p>
          <w:p w14:paraId="59CF229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0.1482</w:t>
            </w:r>
          </w:p>
          <w:p w14:paraId="445C34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0.1373</w:t>
            </w:r>
          </w:p>
          <w:p w14:paraId="4F21110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0.1278</w:t>
            </w:r>
          </w:p>
          <w:p w14:paraId="1FC2F4E2">
            <w:pPr>
              <w:adjustRightInd w:val="0"/>
              <w:snapToGrid w:val="0"/>
              <w:spacing w:line="220" w:lineRule="exact"/>
              <w:ind w:left="-181" w:leftChars="-86" w:right="-130" w:rightChars="-62" w:firstLine="68" w:firstLineChars="40"/>
              <w:jc w:val="center"/>
              <w:rPr>
                <w:color w:val="auto"/>
                <w:spacing w:val="-4"/>
                <w:sz w:val="18"/>
                <w:szCs w:val="18"/>
              </w:rPr>
            </w:pPr>
          </w:p>
          <w:p w14:paraId="09C132F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0.1191</w:t>
            </w:r>
          </w:p>
          <w:p w14:paraId="46F2D71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0.1115</w:t>
            </w:r>
          </w:p>
          <w:p w14:paraId="31C5780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0.1047</w:t>
            </w:r>
          </w:p>
          <w:p w14:paraId="069C242A">
            <w:pPr>
              <w:adjustRightInd w:val="0"/>
              <w:snapToGrid w:val="0"/>
              <w:spacing w:line="220" w:lineRule="exact"/>
              <w:ind w:left="-181" w:leftChars="-86" w:right="-130" w:rightChars="-62" w:firstLine="68" w:firstLineChars="40"/>
              <w:jc w:val="center"/>
              <w:rPr>
                <w:color w:val="auto"/>
                <w:spacing w:val="-4"/>
                <w:sz w:val="18"/>
                <w:szCs w:val="18"/>
              </w:rPr>
            </w:pPr>
          </w:p>
          <w:p w14:paraId="12365F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0.0985</w:t>
            </w:r>
          </w:p>
          <w:p w14:paraId="5CFDD22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0.0930</w:t>
            </w:r>
          </w:p>
          <w:p w14:paraId="006196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0.0880</w:t>
            </w:r>
          </w:p>
          <w:p w14:paraId="0E257473">
            <w:pPr>
              <w:adjustRightInd w:val="0"/>
              <w:snapToGrid w:val="0"/>
              <w:spacing w:line="220" w:lineRule="exact"/>
              <w:ind w:left="-181" w:leftChars="-86" w:right="-130" w:rightChars="-62" w:firstLine="68" w:firstLineChars="40"/>
              <w:jc w:val="center"/>
              <w:rPr>
                <w:color w:val="auto"/>
                <w:spacing w:val="-4"/>
                <w:sz w:val="18"/>
                <w:szCs w:val="18"/>
              </w:rPr>
            </w:pPr>
          </w:p>
          <w:p w14:paraId="2415AA8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0.0835</w:t>
            </w:r>
          </w:p>
          <w:p w14:paraId="227BF0A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0.0794</w:t>
            </w:r>
          </w:p>
          <w:p w14:paraId="6B93634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0.0756</w:t>
            </w:r>
          </w:p>
          <w:p w14:paraId="38454C1D">
            <w:pPr>
              <w:adjustRightInd w:val="0"/>
              <w:snapToGrid w:val="0"/>
              <w:spacing w:line="220" w:lineRule="exact"/>
              <w:ind w:left="-181" w:leftChars="-86" w:right="-130" w:rightChars="-62" w:firstLine="68" w:firstLineChars="40"/>
              <w:jc w:val="center"/>
              <w:rPr>
                <w:color w:val="auto"/>
                <w:spacing w:val="-4"/>
                <w:sz w:val="18"/>
                <w:szCs w:val="18"/>
              </w:rPr>
            </w:pPr>
          </w:p>
          <w:p w14:paraId="33B6886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0.0721</w:t>
            </w:r>
          </w:p>
          <w:p w14:paraId="5DA55F7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0.0689</w:t>
            </w:r>
          </w:p>
          <w:p w14:paraId="2C39948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0.0659</w:t>
            </w:r>
          </w:p>
          <w:p w14:paraId="77392618">
            <w:pPr>
              <w:adjustRightInd w:val="0"/>
              <w:snapToGrid w:val="0"/>
              <w:spacing w:line="220" w:lineRule="exact"/>
              <w:ind w:left="-181" w:leftChars="-86" w:right="-130" w:rightChars="-62" w:firstLine="68" w:firstLineChars="40"/>
              <w:jc w:val="center"/>
              <w:rPr>
                <w:color w:val="auto"/>
                <w:spacing w:val="-4"/>
                <w:sz w:val="18"/>
                <w:szCs w:val="18"/>
              </w:rPr>
            </w:pPr>
          </w:p>
          <w:p w14:paraId="752282A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0.0632</w:t>
            </w:r>
          </w:p>
          <w:p w14:paraId="7C18EFA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0.0606</w:t>
            </w:r>
          </w:p>
          <w:p w14:paraId="50FA9A1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0.0500</w:t>
            </w:r>
          </w:p>
          <w:p w14:paraId="28E593EC">
            <w:pPr>
              <w:adjustRightInd w:val="0"/>
              <w:snapToGrid w:val="0"/>
              <w:spacing w:line="220" w:lineRule="exact"/>
              <w:ind w:left="-181" w:leftChars="-86" w:right="-130" w:rightChars="-62" w:firstLine="68" w:firstLineChars="40"/>
              <w:jc w:val="center"/>
              <w:rPr>
                <w:color w:val="auto"/>
                <w:spacing w:val="-4"/>
                <w:sz w:val="18"/>
                <w:szCs w:val="18"/>
              </w:rPr>
            </w:pPr>
          </w:p>
          <w:p w14:paraId="48BFBC2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0.0421</w:t>
            </w:r>
          </w:p>
          <w:p w14:paraId="0FB73ED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0.0359</w:t>
            </w:r>
          </w:p>
          <w:p w14:paraId="1D75EC3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0.0310</w:t>
            </w:r>
          </w:p>
          <w:p w14:paraId="5873285C">
            <w:pPr>
              <w:adjustRightInd w:val="0"/>
              <w:snapToGrid w:val="0"/>
              <w:spacing w:line="220" w:lineRule="exact"/>
              <w:ind w:left="-181" w:leftChars="-86" w:right="-130" w:rightChars="-62" w:firstLine="68" w:firstLineChars="40"/>
              <w:jc w:val="center"/>
              <w:rPr>
                <w:color w:val="auto"/>
                <w:spacing w:val="-4"/>
                <w:sz w:val="18"/>
                <w:szCs w:val="18"/>
              </w:rPr>
            </w:pPr>
          </w:p>
          <w:p w14:paraId="4B7AAE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0.0270</w:t>
            </w:r>
          </w:p>
          <w:p w14:paraId="269DD67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0.0209</w:t>
            </w:r>
          </w:p>
          <w:p w14:paraId="6384761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0.0166</w:t>
            </w:r>
          </w:p>
          <w:p w14:paraId="07BF7807">
            <w:pPr>
              <w:adjustRightInd w:val="0"/>
              <w:snapToGrid w:val="0"/>
              <w:spacing w:line="220" w:lineRule="exact"/>
              <w:ind w:left="-181" w:leftChars="-86" w:right="-130" w:rightChars="-62" w:firstLine="68" w:firstLineChars="40"/>
              <w:jc w:val="center"/>
              <w:rPr>
                <w:color w:val="auto"/>
                <w:spacing w:val="-4"/>
                <w:sz w:val="18"/>
                <w:szCs w:val="18"/>
              </w:rPr>
            </w:pPr>
          </w:p>
          <w:p w14:paraId="478B53E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0.0149</w:t>
            </w:r>
          </w:p>
          <w:p w14:paraId="59141FD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0.0134</w:t>
            </w:r>
          </w:p>
          <w:p w14:paraId="041A71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0.0110</w:t>
            </w:r>
          </w:p>
          <w:p w14:paraId="449F574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0.0092</w:t>
            </w:r>
          </w:p>
        </w:tc>
        <w:tc>
          <w:tcPr>
            <w:tcW w:w="695" w:type="dxa"/>
          </w:tcPr>
          <w:p w14:paraId="4326881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1267721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67105EB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4B70D8C6">
            <w:pPr>
              <w:adjustRightInd w:val="0"/>
              <w:snapToGrid w:val="0"/>
              <w:spacing w:line="220" w:lineRule="exact"/>
              <w:ind w:left="-181" w:leftChars="-86" w:right="-130" w:rightChars="-62" w:firstLine="68" w:firstLineChars="40"/>
              <w:jc w:val="center"/>
              <w:rPr>
                <w:color w:val="auto"/>
                <w:spacing w:val="-4"/>
                <w:sz w:val="18"/>
                <w:szCs w:val="18"/>
              </w:rPr>
            </w:pPr>
          </w:p>
          <w:p w14:paraId="4D14BBA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34F2FA7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0.2202</w:t>
            </w:r>
          </w:p>
          <w:p w14:paraId="2C2EB77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0.2046</w:t>
            </w:r>
          </w:p>
          <w:p w14:paraId="30206936">
            <w:pPr>
              <w:adjustRightInd w:val="0"/>
              <w:snapToGrid w:val="0"/>
              <w:spacing w:line="220" w:lineRule="exact"/>
              <w:ind w:left="-181" w:leftChars="-86" w:right="-130" w:rightChars="-62" w:firstLine="68" w:firstLineChars="40"/>
              <w:jc w:val="center"/>
              <w:rPr>
                <w:color w:val="auto"/>
                <w:spacing w:val="-4"/>
                <w:sz w:val="18"/>
                <w:szCs w:val="18"/>
              </w:rPr>
            </w:pPr>
          </w:p>
          <w:p w14:paraId="1EC679D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648A963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0.1740</w:t>
            </w:r>
          </w:p>
          <w:p w14:paraId="498A354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0.1604</w:t>
            </w:r>
          </w:p>
          <w:p w14:paraId="695DDBCD">
            <w:pPr>
              <w:adjustRightInd w:val="0"/>
              <w:snapToGrid w:val="0"/>
              <w:spacing w:line="220" w:lineRule="exact"/>
              <w:ind w:left="-181" w:leftChars="-86" w:right="-130" w:rightChars="-62" w:firstLine="68" w:firstLineChars="40"/>
              <w:jc w:val="center"/>
              <w:rPr>
                <w:color w:val="auto"/>
                <w:spacing w:val="-4"/>
                <w:sz w:val="18"/>
                <w:szCs w:val="18"/>
              </w:rPr>
            </w:pPr>
          </w:p>
          <w:p w14:paraId="07F6A29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0.1482</w:t>
            </w:r>
          </w:p>
          <w:p w14:paraId="582044A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0.1374</w:t>
            </w:r>
          </w:p>
          <w:p w14:paraId="329F1A1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0.1277</w:t>
            </w:r>
          </w:p>
          <w:p w14:paraId="19F87ED7">
            <w:pPr>
              <w:adjustRightInd w:val="0"/>
              <w:snapToGrid w:val="0"/>
              <w:spacing w:line="220" w:lineRule="exact"/>
              <w:ind w:left="-181" w:leftChars="-86" w:right="-130" w:rightChars="-62" w:firstLine="68" w:firstLineChars="40"/>
              <w:jc w:val="center"/>
              <w:rPr>
                <w:color w:val="auto"/>
                <w:spacing w:val="-4"/>
                <w:sz w:val="18"/>
                <w:szCs w:val="18"/>
              </w:rPr>
            </w:pPr>
          </w:p>
          <w:p w14:paraId="2F04AC3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0.1192</w:t>
            </w:r>
          </w:p>
          <w:p w14:paraId="6BD76F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0.1116</w:t>
            </w:r>
          </w:p>
          <w:p w14:paraId="3E259F8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0.1048</w:t>
            </w:r>
          </w:p>
          <w:p w14:paraId="3FE18B3E">
            <w:pPr>
              <w:adjustRightInd w:val="0"/>
              <w:snapToGrid w:val="0"/>
              <w:spacing w:line="220" w:lineRule="exact"/>
              <w:ind w:left="-181" w:leftChars="-86" w:right="-130" w:rightChars="-62" w:firstLine="68" w:firstLineChars="40"/>
              <w:jc w:val="center"/>
              <w:rPr>
                <w:color w:val="auto"/>
                <w:spacing w:val="-4"/>
                <w:sz w:val="18"/>
                <w:szCs w:val="18"/>
              </w:rPr>
            </w:pPr>
          </w:p>
          <w:p w14:paraId="5A66069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0.0987</w:t>
            </w:r>
          </w:p>
          <w:p w14:paraId="0BCF40F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0.0932</w:t>
            </w:r>
          </w:p>
          <w:p w14:paraId="63C09D5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0.0882</w:t>
            </w:r>
          </w:p>
          <w:p w14:paraId="210C4EE4">
            <w:pPr>
              <w:adjustRightInd w:val="0"/>
              <w:snapToGrid w:val="0"/>
              <w:spacing w:line="220" w:lineRule="exact"/>
              <w:ind w:left="-181" w:leftChars="-86" w:right="-130" w:rightChars="-62" w:firstLine="68" w:firstLineChars="40"/>
              <w:jc w:val="center"/>
              <w:rPr>
                <w:color w:val="auto"/>
                <w:spacing w:val="-4"/>
                <w:sz w:val="18"/>
                <w:szCs w:val="18"/>
              </w:rPr>
            </w:pPr>
          </w:p>
          <w:p w14:paraId="2E1682F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0.0837</w:t>
            </w:r>
          </w:p>
          <w:p w14:paraId="30C76C3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0.0796</w:t>
            </w:r>
          </w:p>
          <w:p w14:paraId="5AFB2B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0.0758</w:t>
            </w:r>
          </w:p>
          <w:p w14:paraId="71764B1F">
            <w:pPr>
              <w:adjustRightInd w:val="0"/>
              <w:snapToGrid w:val="0"/>
              <w:spacing w:line="220" w:lineRule="exact"/>
              <w:ind w:left="-181" w:leftChars="-86" w:right="-130" w:rightChars="-62" w:firstLine="68" w:firstLineChars="40"/>
              <w:jc w:val="center"/>
              <w:rPr>
                <w:color w:val="auto"/>
                <w:spacing w:val="-4"/>
                <w:sz w:val="18"/>
                <w:szCs w:val="18"/>
              </w:rPr>
            </w:pPr>
          </w:p>
          <w:p w14:paraId="7BD1113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0.0724</w:t>
            </w:r>
          </w:p>
          <w:p w14:paraId="14F009B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0.0692</w:t>
            </w:r>
          </w:p>
          <w:p w14:paraId="092CC33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0.0663</w:t>
            </w:r>
          </w:p>
          <w:p w14:paraId="551474DA">
            <w:pPr>
              <w:adjustRightInd w:val="0"/>
              <w:snapToGrid w:val="0"/>
              <w:spacing w:line="220" w:lineRule="exact"/>
              <w:ind w:left="-181" w:leftChars="-86" w:right="-130" w:rightChars="-62" w:firstLine="68" w:firstLineChars="40"/>
              <w:jc w:val="center"/>
              <w:rPr>
                <w:color w:val="auto"/>
                <w:spacing w:val="-4"/>
                <w:sz w:val="18"/>
                <w:szCs w:val="18"/>
              </w:rPr>
            </w:pPr>
          </w:p>
          <w:p w14:paraId="521239B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0.0635</w:t>
            </w:r>
          </w:p>
          <w:p w14:paraId="27CAB9C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0.0610</w:t>
            </w:r>
          </w:p>
          <w:p w14:paraId="42E09CD2">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0.0506</w:t>
            </w:r>
          </w:p>
          <w:p w14:paraId="021C1AE4">
            <w:pPr>
              <w:adjustRightInd w:val="0"/>
              <w:snapToGrid w:val="0"/>
              <w:spacing w:line="220" w:lineRule="exact"/>
              <w:ind w:left="-181" w:leftChars="-86" w:right="-130" w:rightChars="-62" w:firstLine="68" w:firstLineChars="40"/>
              <w:jc w:val="center"/>
              <w:rPr>
                <w:color w:val="auto"/>
                <w:spacing w:val="-4"/>
                <w:sz w:val="18"/>
                <w:szCs w:val="18"/>
              </w:rPr>
            </w:pPr>
          </w:p>
          <w:p w14:paraId="3B84204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0.0428</w:t>
            </w:r>
          </w:p>
          <w:p w14:paraId="427D30E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0.0367</w:t>
            </w:r>
          </w:p>
          <w:p w14:paraId="0D6326C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0.0319</w:t>
            </w:r>
          </w:p>
          <w:p w14:paraId="154D6DF3">
            <w:pPr>
              <w:adjustRightInd w:val="0"/>
              <w:snapToGrid w:val="0"/>
              <w:spacing w:line="220" w:lineRule="exact"/>
              <w:ind w:left="-181" w:leftChars="-86" w:right="-130" w:rightChars="-62" w:firstLine="68" w:firstLineChars="40"/>
              <w:jc w:val="center"/>
              <w:rPr>
                <w:color w:val="auto"/>
                <w:spacing w:val="-4"/>
                <w:sz w:val="18"/>
                <w:szCs w:val="18"/>
              </w:rPr>
            </w:pPr>
          </w:p>
          <w:p w14:paraId="2E78ADF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0.0279</w:t>
            </w:r>
          </w:p>
          <w:p w14:paraId="1C02657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0.0219</w:t>
            </w:r>
          </w:p>
          <w:p w14:paraId="6A8443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0.0175</w:t>
            </w:r>
          </w:p>
          <w:p w14:paraId="6250E8E2">
            <w:pPr>
              <w:adjustRightInd w:val="0"/>
              <w:snapToGrid w:val="0"/>
              <w:spacing w:line="220" w:lineRule="exact"/>
              <w:ind w:left="-181" w:leftChars="-86" w:right="-130" w:rightChars="-62" w:firstLine="68" w:firstLineChars="40"/>
              <w:jc w:val="center"/>
              <w:rPr>
                <w:color w:val="auto"/>
                <w:spacing w:val="-4"/>
                <w:sz w:val="18"/>
                <w:szCs w:val="18"/>
              </w:rPr>
            </w:pPr>
          </w:p>
          <w:p w14:paraId="7927940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0.0158</w:t>
            </w:r>
          </w:p>
          <w:p w14:paraId="185A7C2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0.0143</w:t>
            </w:r>
          </w:p>
          <w:p w14:paraId="5CEFED3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0.0118</w:t>
            </w:r>
          </w:p>
          <w:p w14:paraId="4C2411A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0.0099</w:t>
            </w:r>
          </w:p>
        </w:tc>
        <w:tc>
          <w:tcPr>
            <w:tcW w:w="695" w:type="dxa"/>
          </w:tcPr>
          <w:p w14:paraId="184E0BC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0.2500</w:t>
            </w:r>
          </w:p>
          <w:p w14:paraId="7A6B88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0.2492</w:t>
            </w:r>
          </w:p>
          <w:p w14:paraId="4E8D210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0.2443</w:t>
            </w:r>
          </w:p>
          <w:p w14:paraId="76DA6100">
            <w:pPr>
              <w:adjustRightInd w:val="0"/>
              <w:snapToGrid w:val="0"/>
              <w:spacing w:line="220" w:lineRule="exact"/>
              <w:ind w:left="-181" w:leftChars="-86" w:right="-130" w:rightChars="-62" w:firstLine="68" w:firstLineChars="40"/>
              <w:jc w:val="center"/>
              <w:rPr>
                <w:color w:val="auto"/>
                <w:spacing w:val="-4"/>
                <w:sz w:val="18"/>
                <w:szCs w:val="18"/>
              </w:rPr>
            </w:pPr>
          </w:p>
          <w:p w14:paraId="5463F51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0.2342</w:t>
            </w:r>
          </w:p>
          <w:p w14:paraId="7268442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0.2203</w:t>
            </w:r>
          </w:p>
          <w:p w14:paraId="5AD2856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0.2046</w:t>
            </w:r>
          </w:p>
          <w:p w14:paraId="21237B5C">
            <w:pPr>
              <w:adjustRightInd w:val="0"/>
              <w:snapToGrid w:val="0"/>
              <w:spacing w:line="220" w:lineRule="exact"/>
              <w:ind w:left="-181" w:leftChars="-86" w:right="-130" w:rightChars="-62" w:firstLine="68" w:firstLineChars="40"/>
              <w:jc w:val="center"/>
              <w:rPr>
                <w:color w:val="auto"/>
                <w:spacing w:val="-4"/>
                <w:sz w:val="18"/>
                <w:szCs w:val="18"/>
              </w:rPr>
            </w:pPr>
          </w:p>
          <w:p w14:paraId="3CD6B1D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0.1888</w:t>
            </w:r>
          </w:p>
          <w:p w14:paraId="47D110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0.1740</w:t>
            </w:r>
          </w:p>
          <w:p w14:paraId="008591D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0.1604</w:t>
            </w:r>
          </w:p>
          <w:p w14:paraId="63AF0D4D">
            <w:pPr>
              <w:adjustRightInd w:val="0"/>
              <w:snapToGrid w:val="0"/>
              <w:spacing w:line="220" w:lineRule="exact"/>
              <w:ind w:left="-181" w:leftChars="-86" w:right="-130" w:rightChars="-62" w:firstLine="68" w:firstLineChars="40"/>
              <w:jc w:val="center"/>
              <w:rPr>
                <w:color w:val="auto"/>
                <w:spacing w:val="-4"/>
                <w:sz w:val="18"/>
                <w:szCs w:val="18"/>
              </w:rPr>
            </w:pPr>
          </w:p>
          <w:p w14:paraId="29A91540">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0.1483</w:t>
            </w:r>
          </w:p>
          <w:p w14:paraId="57CA366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0.1375</w:t>
            </w:r>
          </w:p>
          <w:p w14:paraId="5CBD308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0.1279</w:t>
            </w:r>
          </w:p>
          <w:p w14:paraId="4BBC4F49">
            <w:pPr>
              <w:adjustRightInd w:val="0"/>
              <w:snapToGrid w:val="0"/>
              <w:spacing w:line="220" w:lineRule="exact"/>
              <w:ind w:left="-181" w:leftChars="-86" w:right="-130" w:rightChars="-62" w:firstLine="68" w:firstLineChars="40"/>
              <w:jc w:val="center"/>
              <w:rPr>
                <w:color w:val="auto"/>
                <w:spacing w:val="-4"/>
                <w:sz w:val="18"/>
                <w:szCs w:val="18"/>
              </w:rPr>
            </w:pPr>
          </w:p>
          <w:p w14:paraId="58C4153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0.1194</w:t>
            </w:r>
          </w:p>
          <w:p w14:paraId="7B2F2A0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0.1118</w:t>
            </w:r>
          </w:p>
          <w:p w14:paraId="5994CC7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0.1050</w:t>
            </w:r>
          </w:p>
          <w:p w14:paraId="57263E41">
            <w:pPr>
              <w:adjustRightInd w:val="0"/>
              <w:snapToGrid w:val="0"/>
              <w:spacing w:line="220" w:lineRule="exact"/>
              <w:ind w:left="-181" w:leftChars="-86" w:right="-130" w:rightChars="-62" w:firstLine="68" w:firstLineChars="40"/>
              <w:jc w:val="center"/>
              <w:rPr>
                <w:color w:val="auto"/>
                <w:spacing w:val="-4"/>
                <w:sz w:val="18"/>
                <w:szCs w:val="18"/>
              </w:rPr>
            </w:pPr>
          </w:p>
          <w:p w14:paraId="57B59E0F">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0.0990</w:t>
            </w:r>
          </w:p>
          <w:p w14:paraId="598ABAD4">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0.0935</w:t>
            </w:r>
          </w:p>
          <w:p w14:paraId="322DF25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0.0886</w:t>
            </w:r>
          </w:p>
          <w:p w14:paraId="1FA82E17">
            <w:pPr>
              <w:adjustRightInd w:val="0"/>
              <w:snapToGrid w:val="0"/>
              <w:spacing w:line="220" w:lineRule="exact"/>
              <w:ind w:left="-181" w:leftChars="-86" w:right="-130" w:rightChars="-62" w:firstLine="68" w:firstLineChars="40"/>
              <w:jc w:val="center"/>
              <w:rPr>
                <w:color w:val="auto"/>
                <w:spacing w:val="-4"/>
                <w:sz w:val="18"/>
                <w:szCs w:val="18"/>
              </w:rPr>
            </w:pPr>
          </w:p>
          <w:p w14:paraId="1CD4A117">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0.0842</w:t>
            </w:r>
          </w:p>
          <w:p w14:paraId="5A23B24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0.0802</w:t>
            </w:r>
          </w:p>
          <w:p w14:paraId="114610ED">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0.0765</w:t>
            </w:r>
          </w:p>
          <w:p w14:paraId="04110E5E">
            <w:pPr>
              <w:adjustRightInd w:val="0"/>
              <w:snapToGrid w:val="0"/>
              <w:spacing w:line="220" w:lineRule="exact"/>
              <w:ind w:left="-181" w:leftChars="-86" w:right="-130" w:rightChars="-62" w:firstLine="68" w:firstLineChars="40"/>
              <w:jc w:val="center"/>
              <w:rPr>
                <w:color w:val="auto"/>
                <w:spacing w:val="-4"/>
                <w:sz w:val="18"/>
                <w:szCs w:val="18"/>
              </w:rPr>
            </w:pPr>
          </w:p>
          <w:p w14:paraId="77014F2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0.0731</w:t>
            </w:r>
          </w:p>
          <w:p w14:paraId="134022B5">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0.0700</w:t>
            </w:r>
          </w:p>
          <w:p w14:paraId="57C904E1">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0.0671</w:t>
            </w:r>
          </w:p>
          <w:p w14:paraId="6BCB90EF">
            <w:pPr>
              <w:adjustRightInd w:val="0"/>
              <w:snapToGrid w:val="0"/>
              <w:spacing w:line="220" w:lineRule="exact"/>
              <w:ind w:left="-181" w:leftChars="-86" w:right="-130" w:rightChars="-62" w:firstLine="68" w:firstLineChars="40"/>
              <w:jc w:val="center"/>
              <w:rPr>
                <w:color w:val="auto"/>
                <w:spacing w:val="-4"/>
                <w:sz w:val="18"/>
                <w:szCs w:val="18"/>
              </w:rPr>
            </w:pPr>
          </w:p>
          <w:p w14:paraId="0F20CED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0.0645</w:t>
            </w:r>
          </w:p>
          <w:p w14:paraId="655B742A">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0.0620</w:t>
            </w:r>
          </w:p>
          <w:p w14:paraId="6FF737D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0.0521</w:t>
            </w:r>
          </w:p>
          <w:p w14:paraId="35E7B881">
            <w:pPr>
              <w:adjustRightInd w:val="0"/>
              <w:snapToGrid w:val="0"/>
              <w:spacing w:line="220" w:lineRule="exact"/>
              <w:ind w:left="-181" w:leftChars="-86" w:right="-130" w:rightChars="-62" w:firstLine="68" w:firstLineChars="40"/>
              <w:jc w:val="center"/>
              <w:rPr>
                <w:color w:val="auto"/>
                <w:spacing w:val="-4"/>
                <w:sz w:val="18"/>
                <w:szCs w:val="18"/>
              </w:rPr>
            </w:pPr>
          </w:p>
          <w:p w14:paraId="4D3E946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0.0449</w:t>
            </w:r>
          </w:p>
          <w:p w14:paraId="0ACF9FC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0.0394</w:t>
            </w:r>
          </w:p>
          <w:p w14:paraId="602A20B9">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0.0351</w:t>
            </w:r>
          </w:p>
          <w:p w14:paraId="114B2A31">
            <w:pPr>
              <w:adjustRightInd w:val="0"/>
              <w:snapToGrid w:val="0"/>
              <w:spacing w:line="220" w:lineRule="exact"/>
              <w:ind w:left="-181" w:leftChars="-86" w:right="-130" w:rightChars="-62" w:firstLine="68" w:firstLineChars="40"/>
              <w:jc w:val="center"/>
              <w:rPr>
                <w:color w:val="auto"/>
                <w:spacing w:val="-4"/>
                <w:sz w:val="18"/>
                <w:szCs w:val="18"/>
              </w:rPr>
            </w:pPr>
          </w:p>
          <w:p w14:paraId="26AD74C3">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0.0316</w:t>
            </w:r>
          </w:p>
          <w:p w14:paraId="60BC449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0.0264</w:t>
            </w:r>
          </w:p>
          <w:p w14:paraId="68731EAE">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0.0227</w:t>
            </w:r>
          </w:p>
          <w:p w14:paraId="1384E14C">
            <w:pPr>
              <w:adjustRightInd w:val="0"/>
              <w:snapToGrid w:val="0"/>
              <w:spacing w:line="220" w:lineRule="exact"/>
              <w:ind w:left="-181" w:leftChars="-86" w:right="-130" w:rightChars="-62" w:firstLine="68" w:firstLineChars="40"/>
              <w:jc w:val="center"/>
              <w:rPr>
                <w:color w:val="auto"/>
                <w:spacing w:val="-4"/>
                <w:sz w:val="18"/>
                <w:szCs w:val="18"/>
              </w:rPr>
            </w:pPr>
          </w:p>
          <w:p w14:paraId="7C570C78">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0.0212</w:t>
            </w:r>
          </w:p>
          <w:p w14:paraId="6BC70C0B">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0.0198</w:t>
            </w:r>
          </w:p>
          <w:p w14:paraId="4EB31E06">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0.0176</w:t>
            </w:r>
          </w:p>
          <w:p w14:paraId="5CF1F6BC">
            <w:pPr>
              <w:adjustRightInd w:val="0"/>
              <w:snapToGrid w:val="0"/>
              <w:spacing w:line="220" w:lineRule="exact"/>
              <w:ind w:left="-181" w:leftChars="-86" w:right="-130" w:rightChars="-62" w:firstLine="68" w:firstLineChars="40"/>
              <w:jc w:val="center"/>
              <w:rPr>
                <w:color w:val="auto"/>
                <w:spacing w:val="-4"/>
                <w:sz w:val="18"/>
                <w:szCs w:val="18"/>
              </w:rPr>
            </w:pPr>
            <w:r>
              <w:rPr>
                <w:color w:val="auto"/>
                <w:spacing w:val="-4"/>
                <w:sz w:val="18"/>
                <w:szCs w:val="18"/>
              </w:rPr>
              <w:t>0.0159</w:t>
            </w:r>
          </w:p>
        </w:tc>
      </w:tr>
    </w:tbl>
    <w:p w14:paraId="522DEEAA">
      <w:pPr>
        <w:spacing w:line="360" w:lineRule="auto"/>
        <w:jc w:val="center"/>
        <w:rPr>
          <w:rFonts w:eastAsia="黑体"/>
          <w:b/>
          <w:bCs/>
          <w:color w:val="auto"/>
          <w:szCs w:val="21"/>
        </w:rPr>
      </w:pPr>
      <w:r>
        <w:rPr>
          <w:color w:val="auto"/>
          <w:sz w:val="18"/>
        </w:rPr>
        <w:br w:type="page"/>
      </w:r>
      <w:r>
        <w:rPr>
          <w:rFonts w:eastAsia="黑体"/>
          <w:b/>
          <w:bCs/>
          <w:color w:val="auto"/>
          <w:szCs w:val="21"/>
        </w:rPr>
        <w:t>表G.2  圆形均布荷载中心点及周边下的附加应力系数</w:t>
      </w:r>
      <w:r>
        <w:rPr>
          <w:rFonts w:eastAsia="黑体"/>
          <w:b/>
          <w:bCs/>
          <w:color w:val="auto"/>
          <w:position w:val="-6"/>
          <w:szCs w:val="21"/>
        </w:rPr>
        <w:object>
          <v:shape id="_x0000_i1686" o:spt="75" type="#_x0000_t75" style="height:9.75pt;width:11.25pt;" o:ole="t" filled="f" o:preferrelative="t" stroked="f" coordsize="21600,21600">
            <v:path/>
            <v:fill on="f" focussize="0,0"/>
            <v:stroke on="f" joinstyle="miter"/>
            <v:imagedata r:id="rId1292" o:title=""/>
            <o:lock v:ext="edit" aspectratio="t"/>
            <w10:wrap type="none"/>
            <w10:anchorlock/>
          </v:shape>
          <o:OLEObject Type="Embed" ProgID="Equation.DSMT4" ShapeID="_x0000_i1686" DrawAspect="Content" ObjectID="_1468076386" r:id="rId1291">
            <o:LockedField>false</o:LockedField>
          </o:OLEObject>
        </w:object>
      </w:r>
      <w:r>
        <w:rPr>
          <w:rFonts w:eastAsia="黑体"/>
          <w:b/>
          <w:bCs/>
          <w:color w:val="auto"/>
          <w:szCs w:val="21"/>
        </w:rPr>
        <w:t>、</w:t>
      </w:r>
      <w:r>
        <w:rPr>
          <w:rFonts w:eastAsia="黑体"/>
          <w:b/>
          <w:bCs/>
          <w:color w:val="auto"/>
          <w:position w:val="-6"/>
          <w:szCs w:val="21"/>
        </w:rPr>
        <w:object>
          <v:shape id="_x0000_i1687" o:spt="75" type="#_x0000_t75" style="height:15pt;width:12.75pt;" o:ole="t" filled="f" o:preferrelative="t" stroked="f" coordsize="21600,21600">
            <v:path/>
            <v:fill on="f" focussize="0,0"/>
            <v:stroke on="f" joinstyle="miter"/>
            <v:imagedata r:id="rId1294" o:title=""/>
            <o:lock v:ext="edit" aspectratio="t"/>
            <w10:wrap type="none"/>
            <w10:anchorlock/>
          </v:shape>
          <o:OLEObject Type="Embed" ProgID="Equation.DSMT4" ShapeID="_x0000_i1687" DrawAspect="Content" ObjectID="_1468076387" r:id="rId1293">
            <o:LockedField>false</o:LockedField>
          </o:OLEObject>
        </w:object>
      </w:r>
    </w:p>
    <w:tbl>
      <w:tblPr>
        <w:tblStyle w:val="36"/>
        <w:tblW w:w="91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3"/>
        <w:gridCol w:w="963"/>
        <w:gridCol w:w="964"/>
        <w:gridCol w:w="963"/>
        <w:gridCol w:w="963"/>
        <w:gridCol w:w="964"/>
        <w:gridCol w:w="963"/>
        <w:gridCol w:w="1216"/>
        <w:gridCol w:w="1217"/>
      </w:tblGrid>
      <w:tr w14:paraId="64CEB7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Merge w:val="restart"/>
            <w:vAlign w:val="center"/>
          </w:tcPr>
          <w:p w14:paraId="6A4A67A7">
            <w:pPr>
              <w:adjustRightInd w:val="0"/>
              <w:snapToGrid w:val="0"/>
              <w:spacing w:line="300" w:lineRule="atLeast"/>
              <w:jc w:val="center"/>
              <w:rPr>
                <w:color w:val="auto"/>
                <w:sz w:val="18"/>
                <w:szCs w:val="18"/>
              </w:rPr>
            </w:pPr>
            <w:r>
              <w:rPr>
                <w:i/>
                <w:color w:val="auto"/>
                <w:sz w:val="18"/>
                <w:szCs w:val="18"/>
              </w:rPr>
              <w:t>z</w:t>
            </w:r>
            <w:r>
              <w:rPr>
                <w:color w:val="auto"/>
                <w:sz w:val="18"/>
                <w:szCs w:val="18"/>
              </w:rPr>
              <w:t>/</w:t>
            </w:r>
            <w:r>
              <w:rPr>
                <w:i/>
                <w:color w:val="auto"/>
                <w:sz w:val="18"/>
                <w:szCs w:val="18"/>
              </w:rPr>
              <w:t>r</w:t>
            </w:r>
          </w:p>
        </w:tc>
        <w:tc>
          <w:tcPr>
            <w:tcW w:w="1927" w:type="dxa"/>
            <w:gridSpan w:val="2"/>
            <w:vAlign w:val="center"/>
          </w:tcPr>
          <w:p w14:paraId="375FFA36">
            <w:pPr>
              <w:adjustRightInd w:val="0"/>
              <w:snapToGrid w:val="0"/>
              <w:spacing w:line="260" w:lineRule="atLeast"/>
              <w:jc w:val="center"/>
              <w:rPr>
                <w:color w:val="auto"/>
                <w:sz w:val="18"/>
                <w:szCs w:val="18"/>
              </w:rPr>
            </w:pPr>
            <w:r>
              <w:rPr>
                <w:color w:val="auto"/>
                <w:sz w:val="18"/>
                <w:szCs w:val="18"/>
              </w:rPr>
              <w:t>系数</w:t>
            </w:r>
          </w:p>
        </w:tc>
        <w:tc>
          <w:tcPr>
            <w:tcW w:w="963" w:type="dxa"/>
            <w:vMerge w:val="restart"/>
            <w:vAlign w:val="center"/>
          </w:tcPr>
          <w:p w14:paraId="41EDC29B">
            <w:pPr>
              <w:adjustRightInd w:val="0"/>
              <w:snapToGrid w:val="0"/>
              <w:spacing w:line="260" w:lineRule="atLeast"/>
              <w:jc w:val="center"/>
              <w:rPr>
                <w:color w:val="auto"/>
                <w:sz w:val="18"/>
                <w:szCs w:val="18"/>
              </w:rPr>
            </w:pPr>
            <w:r>
              <w:rPr>
                <w:i/>
                <w:color w:val="auto"/>
                <w:sz w:val="18"/>
                <w:szCs w:val="18"/>
              </w:rPr>
              <w:t>z</w:t>
            </w:r>
            <w:r>
              <w:rPr>
                <w:color w:val="auto"/>
                <w:sz w:val="18"/>
                <w:szCs w:val="18"/>
              </w:rPr>
              <w:t>/</w:t>
            </w:r>
            <w:r>
              <w:rPr>
                <w:i/>
                <w:color w:val="auto"/>
                <w:sz w:val="18"/>
                <w:szCs w:val="18"/>
              </w:rPr>
              <w:t>r</w:t>
            </w:r>
          </w:p>
        </w:tc>
        <w:tc>
          <w:tcPr>
            <w:tcW w:w="1927" w:type="dxa"/>
            <w:gridSpan w:val="2"/>
            <w:vAlign w:val="center"/>
          </w:tcPr>
          <w:p w14:paraId="7ED46C4F">
            <w:pPr>
              <w:adjustRightInd w:val="0"/>
              <w:snapToGrid w:val="0"/>
              <w:spacing w:line="260" w:lineRule="atLeast"/>
              <w:jc w:val="center"/>
              <w:rPr>
                <w:color w:val="auto"/>
                <w:sz w:val="18"/>
                <w:szCs w:val="18"/>
              </w:rPr>
            </w:pPr>
            <w:r>
              <w:rPr>
                <w:color w:val="auto"/>
                <w:sz w:val="18"/>
                <w:szCs w:val="18"/>
              </w:rPr>
              <w:t>系数</w:t>
            </w:r>
          </w:p>
        </w:tc>
        <w:tc>
          <w:tcPr>
            <w:tcW w:w="963" w:type="dxa"/>
            <w:vMerge w:val="restart"/>
            <w:vAlign w:val="center"/>
          </w:tcPr>
          <w:p w14:paraId="223EA99A">
            <w:pPr>
              <w:adjustRightInd w:val="0"/>
              <w:snapToGrid w:val="0"/>
              <w:spacing w:line="260" w:lineRule="atLeast"/>
              <w:jc w:val="center"/>
              <w:rPr>
                <w:color w:val="auto"/>
                <w:sz w:val="18"/>
                <w:szCs w:val="18"/>
              </w:rPr>
            </w:pPr>
            <w:r>
              <w:rPr>
                <w:i/>
                <w:color w:val="auto"/>
                <w:sz w:val="18"/>
                <w:szCs w:val="18"/>
              </w:rPr>
              <w:t>z</w:t>
            </w:r>
            <w:r>
              <w:rPr>
                <w:color w:val="auto"/>
                <w:sz w:val="18"/>
                <w:szCs w:val="18"/>
              </w:rPr>
              <w:t>/</w:t>
            </w:r>
            <w:r>
              <w:rPr>
                <w:i/>
                <w:color w:val="auto"/>
                <w:sz w:val="18"/>
                <w:szCs w:val="18"/>
              </w:rPr>
              <w:t>r</w:t>
            </w:r>
          </w:p>
        </w:tc>
        <w:tc>
          <w:tcPr>
            <w:tcW w:w="2433" w:type="dxa"/>
            <w:gridSpan w:val="2"/>
            <w:vAlign w:val="center"/>
          </w:tcPr>
          <w:p w14:paraId="3C4B8F91">
            <w:pPr>
              <w:adjustRightInd w:val="0"/>
              <w:snapToGrid w:val="0"/>
              <w:spacing w:line="260" w:lineRule="atLeast"/>
              <w:jc w:val="center"/>
              <w:rPr>
                <w:color w:val="auto"/>
                <w:sz w:val="18"/>
                <w:szCs w:val="18"/>
              </w:rPr>
            </w:pPr>
            <w:r>
              <w:rPr>
                <w:color w:val="auto"/>
                <w:sz w:val="18"/>
                <w:szCs w:val="18"/>
              </w:rPr>
              <w:t>系数</w:t>
            </w:r>
          </w:p>
        </w:tc>
      </w:tr>
      <w:tr w14:paraId="2BDD1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Merge w:val="continue"/>
            <w:vAlign w:val="center"/>
          </w:tcPr>
          <w:p w14:paraId="4B9F0713">
            <w:pPr>
              <w:adjustRightInd w:val="0"/>
              <w:snapToGrid w:val="0"/>
              <w:spacing w:line="300" w:lineRule="atLeast"/>
              <w:jc w:val="center"/>
              <w:rPr>
                <w:color w:val="auto"/>
                <w:sz w:val="18"/>
                <w:szCs w:val="18"/>
              </w:rPr>
            </w:pPr>
          </w:p>
        </w:tc>
        <w:tc>
          <w:tcPr>
            <w:tcW w:w="963" w:type="dxa"/>
            <w:vAlign w:val="center"/>
          </w:tcPr>
          <w:p w14:paraId="44EBC2AC">
            <w:pPr>
              <w:adjustRightInd w:val="0"/>
              <w:snapToGrid w:val="0"/>
              <w:spacing w:line="260" w:lineRule="atLeast"/>
              <w:jc w:val="center"/>
              <w:rPr>
                <w:color w:val="auto"/>
                <w:sz w:val="18"/>
                <w:szCs w:val="18"/>
              </w:rPr>
            </w:pPr>
            <w:r>
              <w:rPr>
                <w:color w:val="auto"/>
                <w:position w:val="-6"/>
                <w:sz w:val="18"/>
                <w:szCs w:val="18"/>
              </w:rPr>
              <w:object>
                <v:shape id="_x0000_i1688" o:spt="75" type="#_x0000_t75" style="height:8.25pt;width:9pt;" o:ole="t" filled="f" o:preferrelative="t" stroked="f" coordsize="21600,21600">
                  <v:path/>
                  <v:fill on="f" focussize="0,0"/>
                  <v:stroke on="f" joinstyle="miter"/>
                  <v:imagedata r:id="rId1296" o:title=""/>
                  <o:lock v:ext="edit" aspectratio="t"/>
                  <w10:wrap type="none"/>
                  <w10:anchorlock/>
                </v:shape>
                <o:OLEObject Type="Embed" ProgID="Equation.DSMT4" ShapeID="_x0000_i1688" DrawAspect="Content" ObjectID="_1468076388" r:id="rId1295">
                  <o:LockedField>false</o:LockedField>
                </o:OLEObject>
              </w:object>
            </w:r>
          </w:p>
        </w:tc>
        <w:tc>
          <w:tcPr>
            <w:tcW w:w="964" w:type="dxa"/>
            <w:vAlign w:val="center"/>
          </w:tcPr>
          <w:p w14:paraId="2F2D7325">
            <w:pPr>
              <w:adjustRightInd w:val="0"/>
              <w:snapToGrid w:val="0"/>
              <w:spacing w:line="260" w:lineRule="atLeast"/>
              <w:jc w:val="center"/>
              <w:rPr>
                <w:color w:val="auto"/>
                <w:sz w:val="18"/>
                <w:szCs w:val="18"/>
              </w:rPr>
            </w:pPr>
            <w:r>
              <w:rPr>
                <w:color w:val="auto"/>
                <w:position w:val="-6"/>
                <w:sz w:val="18"/>
                <w:szCs w:val="18"/>
              </w:rPr>
              <w:object>
                <v:shape id="_x0000_i1689" o:spt="75" type="#_x0000_t75" style="height:12.75pt;width:12pt;" o:ole="t" filled="f" o:preferrelative="t" stroked="f" coordsize="21600,21600">
                  <v:path/>
                  <v:fill on="f" focussize="0,0"/>
                  <v:stroke on="f" joinstyle="miter"/>
                  <v:imagedata r:id="rId1298" o:title=""/>
                  <o:lock v:ext="edit" aspectratio="t"/>
                  <w10:wrap type="none"/>
                  <w10:anchorlock/>
                </v:shape>
                <o:OLEObject Type="Embed" ProgID="Equation.DSMT4" ShapeID="_x0000_i1689" DrawAspect="Content" ObjectID="_1468076389" r:id="rId1297">
                  <o:LockedField>false</o:LockedField>
                </o:OLEObject>
              </w:object>
            </w:r>
          </w:p>
        </w:tc>
        <w:tc>
          <w:tcPr>
            <w:tcW w:w="963" w:type="dxa"/>
            <w:vMerge w:val="continue"/>
            <w:vAlign w:val="center"/>
          </w:tcPr>
          <w:p w14:paraId="41300086">
            <w:pPr>
              <w:adjustRightInd w:val="0"/>
              <w:snapToGrid w:val="0"/>
              <w:spacing w:line="260" w:lineRule="atLeast"/>
              <w:jc w:val="center"/>
              <w:rPr>
                <w:color w:val="auto"/>
                <w:sz w:val="18"/>
                <w:szCs w:val="18"/>
              </w:rPr>
            </w:pPr>
          </w:p>
        </w:tc>
        <w:tc>
          <w:tcPr>
            <w:tcW w:w="963" w:type="dxa"/>
            <w:vAlign w:val="center"/>
          </w:tcPr>
          <w:p w14:paraId="54CCCD66">
            <w:pPr>
              <w:adjustRightInd w:val="0"/>
              <w:snapToGrid w:val="0"/>
              <w:spacing w:line="260" w:lineRule="atLeast"/>
              <w:jc w:val="center"/>
              <w:rPr>
                <w:color w:val="auto"/>
                <w:sz w:val="18"/>
                <w:szCs w:val="18"/>
              </w:rPr>
            </w:pPr>
            <w:r>
              <w:rPr>
                <w:color w:val="auto"/>
                <w:position w:val="-6"/>
                <w:sz w:val="18"/>
                <w:szCs w:val="18"/>
              </w:rPr>
              <w:object>
                <v:shape id="_x0000_i1690" o:spt="75" type="#_x0000_t75" style="height:8.25pt;width:9pt;" o:ole="t" filled="f" o:preferrelative="t" stroked="f" coordsize="21600,21600">
                  <v:path/>
                  <v:fill on="f" focussize="0,0"/>
                  <v:stroke on="f" joinstyle="miter"/>
                  <v:imagedata r:id="rId1296" o:title=""/>
                  <o:lock v:ext="edit" aspectratio="t"/>
                  <w10:wrap type="none"/>
                  <w10:anchorlock/>
                </v:shape>
                <o:OLEObject Type="Embed" ProgID="Equation.DSMT4" ShapeID="_x0000_i1690" DrawAspect="Content" ObjectID="_1468076390" r:id="rId1299">
                  <o:LockedField>false</o:LockedField>
                </o:OLEObject>
              </w:object>
            </w:r>
          </w:p>
        </w:tc>
        <w:tc>
          <w:tcPr>
            <w:tcW w:w="964" w:type="dxa"/>
            <w:vAlign w:val="center"/>
          </w:tcPr>
          <w:p w14:paraId="51FB3E42">
            <w:pPr>
              <w:adjustRightInd w:val="0"/>
              <w:snapToGrid w:val="0"/>
              <w:spacing w:line="260" w:lineRule="atLeast"/>
              <w:jc w:val="center"/>
              <w:rPr>
                <w:color w:val="auto"/>
                <w:sz w:val="18"/>
                <w:szCs w:val="18"/>
              </w:rPr>
            </w:pPr>
            <w:r>
              <w:rPr>
                <w:color w:val="auto"/>
                <w:position w:val="-6"/>
                <w:sz w:val="18"/>
                <w:szCs w:val="18"/>
              </w:rPr>
              <w:object>
                <v:shape id="_x0000_i1691" o:spt="75" type="#_x0000_t75" style="height:12.75pt;width:12pt;" o:ole="t" filled="f" o:preferrelative="t" stroked="f" coordsize="21600,21600">
                  <v:path/>
                  <v:fill on="f" focussize="0,0"/>
                  <v:stroke on="f" joinstyle="miter"/>
                  <v:imagedata r:id="rId1298" o:title=""/>
                  <o:lock v:ext="edit" aspectratio="t"/>
                  <w10:wrap type="none"/>
                  <w10:anchorlock/>
                </v:shape>
                <o:OLEObject Type="Embed" ProgID="Equation.DSMT4" ShapeID="_x0000_i1691" DrawAspect="Content" ObjectID="_1468076391" r:id="rId1300">
                  <o:LockedField>false</o:LockedField>
                </o:OLEObject>
              </w:object>
            </w:r>
          </w:p>
        </w:tc>
        <w:tc>
          <w:tcPr>
            <w:tcW w:w="963" w:type="dxa"/>
            <w:vMerge w:val="continue"/>
            <w:vAlign w:val="center"/>
          </w:tcPr>
          <w:p w14:paraId="111B92D4">
            <w:pPr>
              <w:adjustRightInd w:val="0"/>
              <w:snapToGrid w:val="0"/>
              <w:spacing w:line="260" w:lineRule="atLeast"/>
              <w:jc w:val="center"/>
              <w:rPr>
                <w:color w:val="auto"/>
                <w:sz w:val="18"/>
                <w:szCs w:val="18"/>
              </w:rPr>
            </w:pPr>
          </w:p>
        </w:tc>
        <w:tc>
          <w:tcPr>
            <w:tcW w:w="1216" w:type="dxa"/>
            <w:vAlign w:val="center"/>
          </w:tcPr>
          <w:p w14:paraId="7D736F54">
            <w:pPr>
              <w:adjustRightInd w:val="0"/>
              <w:snapToGrid w:val="0"/>
              <w:spacing w:line="260" w:lineRule="atLeast"/>
              <w:jc w:val="center"/>
              <w:rPr>
                <w:color w:val="auto"/>
                <w:sz w:val="18"/>
                <w:szCs w:val="18"/>
              </w:rPr>
            </w:pPr>
            <w:r>
              <w:rPr>
                <w:color w:val="auto"/>
                <w:position w:val="-6"/>
                <w:sz w:val="18"/>
                <w:szCs w:val="18"/>
              </w:rPr>
              <w:object>
                <v:shape id="_x0000_i1692" o:spt="75" type="#_x0000_t75" style="height:8.25pt;width:9pt;" o:ole="t" filled="f" o:preferrelative="t" stroked="f" coordsize="21600,21600">
                  <v:path/>
                  <v:fill on="f" focussize="0,0"/>
                  <v:stroke on="f" joinstyle="miter"/>
                  <v:imagedata r:id="rId1296" o:title=""/>
                  <o:lock v:ext="edit" aspectratio="t"/>
                  <w10:wrap type="none"/>
                  <w10:anchorlock/>
                </v:shape>
                <o:OLEObject Type="Embed" ProgID="Equation.DSMT4" ShapeID="_x0000_i1692" DrawAspect="Content" ObjectID="_1468076392" r:id="rId1301">
                  <o:LockedField>false</o:LockedField>
                </o:OLEObject>
              </w:object>
            </w:r>
          </w:p>
        </w:tc>
        <w:tc>
          <w:tcPr>
            <w:tcW w:w="1217" w:type="dxa"/>
            <w:vAlign w:val="center"/>
          </w:tcPr>
          <w:p w14:paraId="6162E2FA">
            <w:pPr>
              <w:adjustRightInd w:val="0"/>
              <w:snapToGrid w:val="0"/>
              <w:spacing w:line="260" w:lineRule="atLeast"/>
              <w:jc w:val="center"/>
              <w:rPr>
                <w:color w:val="auto"/>
                <w:sz w:val="18"/>
                <w:szCs w:val="18"/>
              </w:rPr>
            </w:pPr>
            <w:r>
              <w:rPr>
                <w:color w:val="auto"/>
                <w:position w:val="-6"/>
                <w:sz w:val="18"/>
                <w:szCs w:val="18"/>
              </w:rPr>
              <w:object>
                <v:shape id="_x0000_i1693" o:spt="75" type="#_x0000_t75" style="height:12.75pt;width:12pt;" o:ole="t" filled="f" o:preferrelative="t" stroked="f" coordsize="21600,21600">
                  <v:path/>
                  <v:fill on="f" focussize="0,0"/>
                  <v:stroke on="f" joinstyle="miter"/>
                  <v:imagedata r:id="rId1298" o:title=""/>
                  <o:lock v:ext="edit" aspectratio="t"/>
                  <w10:wrap type="none"/>
                  <w10:anchorlock/>
                </v:shape>
                <o:OLEObject Type="Embed" ProgID="Equation.DSMT4" ShapeID="_x0000_i1693" DrawAspect="Content" ObjectID="_1468076393" r:id="rId1302">
                  <o:LockedField>false</o:LockedField>
                </o:OLEObject>
              </w:object>
            </w:r>
          </w:p>
        </w:tc>
      </w:tr>
      <w:tr w14:paraId="77CB2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1A505CA1">
            <w:pPr>
              <w:adjustRightInd w:val="0"/>
              <w:snapToGrid w:val="0"/>
              <w:spacing w:line="300" w:lineRule="atLeast"/>
              <w:jc w:val="center"/>
              <w:rPr>
                <w:color w:val="auto"/>
                <w:sz w:val="18"/>
                <w:szCs w:val="18"/>
              </w:rPr>
            </w:pPr>
            <w:r>
              <w:rPr>
                <w:color w:val="auto"/>
                <w:sz w:val="18"/>
                <w:szCs w:val="18"/>
              </w:rPr>
              <w:t>0.0</w:t>
            </w:r>
          </w:p>
        </w:tc>
        <w:tc>
          <w:tcPr>
            <w:tcW w:w="963" w:type="dxa"/>
            <w:vAlign w:val="center"/>
          </w:tcPr>
          <w:p w14:paraId="32021176">
            <w:pPr>
              <w:adjustRightInd w:val="0"/>
              <w:snapToGrid w:val="0"/>
              <w:spacing w:line="260" w:lineRule="atLeast"/>
              <w:jc w:val="center"/>
              <w:rPr>
                <w:color w:val="auto"/>
                <w:sz w:val="18"/>
                <w:szCs w:val="18"/>
              </w:rPr>
            </w:pPr>
            <w:r>
              <w:rPr>
                <w:color w:val="auto"/>
                <w:sz w:val="18"/>
                <w:szCs w:val="18"/>
              </w:rPr>
              <w:t>1.000</w:t>
            </w:r>
          </w:p>
        </w:tc>
        <w:tc>
          <w:tcPr>
            <w:tcW w:w="964" w:type="dxa"/>
            <w:vAlign w:val="center"/>
          </w:tcPr>
          <w:p w14:paraId="084204CD">
            <w:pPr>
              <w:adjustRightInd w:val="0"/>
              <w:snapToGrid w:val="0"/>
              <w:spacing w:line="260" w:lineRule="atLeast"/>
              <w:jc w:val="center"/>
              <w:rPr>
                <w:color w:val="auto"/>
                <w:sz w:val="18"/>
                <w:szCs w:val="18"/>
              </w:rPr>
            </w:pPr>
            <w:r>
              <w:rPr>
                <w:color w:val="auto"/>
                <w:sz w:val="18"/>
                <w:szCs w:val="18"/>
              </w:rPr>
              <w:t>0.500</w:t>
            </w:r>
          </w:p>
        </w:tc>
        <w:tc>
          <w:tcPr>
            <w:tcW w:w="963" w:type="dxa"/>
            <w:vAlign w:val="center"/>
          </w:tcPr>
          <w:p w14:paraId="2ABD3A07">
            <w:pPr>
              <w:adjustRightInd w:val="0"/>
              <w:snapToGrid w:val="0"/>
              <w:spacing w:line="260" w:lineRule="atLeast"/>
              <w:jc w:val="center"/>
              <w:rPr>
                <w:color w:val="auto"/>
                <w:sz w:val="18"/>
                <w:szCs w:val="18"/>
              </w:rPr>
            </w:pPr>
            <w:r>
              <w:rPr>
                <w:color w:val="auto"/>
                <w:sz w:val="18"/>
                <w:szCs w:val="18"/>
              </w:rPr>
              <w:t>1.6</w:t>
            </w:r>
          </w:p>
        </w:tc>
        <w:tc>
          <w:tcPr>
            <w:tcW w:w="963" w:type="dxa"/>
            <w:vAlign w:val="center"/>
          </w:tcPr>
          <w:p w14:paraId="1ED77F48">
            <w:pPr>
              <w:adjustRightInd w:val="0"/>
              <w:snapToGrid w:val="0"/>
              <w:spacing w:line="260" w:lineRule="atLeast"/>
              <w:jc w:val="center"/>
              <w:rPr>
                <w:color w:val="auto"/>
                <w:sz w:val="18"/>
                <w:szCs w:val="18"/>
              </w:rPr>
            </w:pPr>
            <w:r>
              <w:rPr>
                <w:color w:val="auto"/>
                <w:sz w:val="18"/>
                <w:szCs w:val="18"/>
              </w:rPr>
              <w:t>0.390</w:t>
            </w:r>
          </w:p>
        </w:tc>
        <w:tc>
          <w:tcPr>
            <w:tcW w:w="964" w:type="dxa"/>
            <w:vAlign w:val="center"/>
          </w:tcPr>
          <w:p w14:paraId="224AFA38">
            <w:pPr>
              <w:adjustRightInd w:val="0"/>
              <w:snapToGrid w:val="0"/>
              <w:spacing w:line="260" w:lineRule="atLeast"/>
              <w:jc w:val="center"/>
              <w:rPr>
                <w:color w:val="auto"/>
                <w:sz w:val="18"/>
                <w:szCs w:val="18"/>
              </w:rPr>
            </w:pPr>
            <w:r>
              <w:rPr>
                <w:color w:val="auto"/>
                <w:sz w:val="18"/>
                <w:szCs w:val="18"/>
              </w:rPr>
              <w:t>0.244</w:t>
            </w:r>
          </w:p>
        </w:tc>
        <w:tc>
          <w:tcPr>
            <w:tcW w:w="963" w:type="dxa"/>
            <w:vAlign w:val="center"/>
          </w:tcPr>
          <w:p w14:paraId="1011A86D">
            <w:pPr>
              <w:adjustRightInd w:val="0"/>
              <w:snapToGrid w:val="0"/>
              <w:spacing w:line="260" w:lineRule="atLeast"/>
              <w:jc w:val="center"/>
              <w:rPr>
                <w:color w:val="auto"/>
                <w:sz w:val="18"/>
                <w:szCs w:val="18"/>
              </w:rPr>
            </w:pPr>
            <w:r>
              <w:rPr>
                <w:color w:val="auto"/>
                <w:sz w:val="18"/>
                <w:szCs w:val="18"/>
              </w:rPr>
              <w:t>3.2</w:t>
            </w:r>
          </w:p>
        </w:tc>
        <w:tc>
          <w:tcPr>
            <w:tcW w:w="1216" w:type="dxa"/>
            <w:vAlign w:val="center"/>
          </w:tcPr>
          <w:p w14:paraId="188A4ADA">
            <w:pPr>
              <w:adjustRightInd w:val="0"/>
              <w:snapToGrid w:val="0"/>
              <w:spacing w:line="260" w:lineRule="atLeast"/>
              <w:jc w:val="center"/>
              <w:rPr>
                <w:color w:val="auto"/>
                <w:sz w:val="18"/>
                <w:szCs w:val="18"/>
              </w:rPr>
            </w:pPr>
            <w:r>
              <w:rPr>
                <w:color w:val="auto"/>
                <w:sz w:val="18"/>
                <w:szCs w:val="18"/>
              </w:rPr>
              <w:t>0.130</w:t>
            </w:r>
          </w:p>
        </w:tc>
        <w:tc>
          <w:tcPr>
            <w:tcW w:w="1217" w:type="dxa"/>
            <w:vAlign w:val="center"/>
          </w:tcPr>
          <w:p w14:paraId="34A60CC9">
            <w:pPr>
              <w:adjustRightInd w:val="0"/>
              <w:snapToGrid w:val="0"/>
              <w:spacing w:line="260" w:lineRule="atLeast"/>
              <w:jc w:val="center"/>
              <w:rPr>
                <w:color w:val="auto"/>
                <w:sz w:val="18"/>
                <w:szCs w:val="18"/>
              </w:rPr>
            </w:pPr>
            <w:r>
              <w:rPr>
                <w:color w:val="auto"/>
                <w:sz w:val="18"/>
                <w:szCs w:val="18"/>
              </w:rPr>
              <w:t>0.103</w:t>
            </w:r>
          </w:p>
        </w:tc>
      </w:tr>
      <w:tr w14:paraId="7A03C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3FBF995C">
            <w:pPr>
              <w:adjustRightInd w:val="0"/>
              <w:snapToGrid w:val="0"/>
              <w:spacing w:line="300" w:lineRule="atLeast"/>
              <w:jc w:val="center"/>
              <w:rPr>
                <w:color w:val="auto"/>
                <w:sz w:val="18"/>
                <w:szCs w:val="18"/>
              </w:rPr>
            </w:pPr>
            <w:r>
              <w:rPr>
                <w:color w:val="auto"/>
                <w:sz w:val="18"/>
                <w:szCs w:val="18"/>
              </w:rPr>
              <w:t>0.1</w:t>
            </w:r>
          </w:p>
        </w:tc>
        <w:tc>
          <w:tcPr>
            <w:tcW w:w="963" w:type="dxa"/>
            <w:vAlign w:val="center"/>
          </w:tcPr>
          <w:p w14:paraId="5A68B11B">
            <w:pPr>
              <w:adjustRightInd w:val="0"/>
              <w:snapToGrid w:val="0"/>
              <w:spacing w:line="260" w:lineRule="atLeast"/>
              <w:jc w:val="center"/>
              <w:rPr>
                <w:color w:val="auto"/>
                <w:sz w:val="18"/>
                <w:szCs w:val="18"/>
              </w:rPr>
            </w:pPr>
            <w:r>
              <w:rPr>
                <w:color w:val="auto"/>
                <w:sz w:val="18"/>
                <w:szCs w:val="18"/>
              </w:rPr>
              <w:t>0.999</w:t>
            </w:r>
          </w:p>
        </w:tc>
        <w:tc>
          <w:tcPr>
            <w:tcW w:w="964" w:type="dxa"/>
            <w:vAlign w:val="center"/>
          </w:tcPr>
          <w:p w14:paraId="37153F4F">
            <w:pPr>
              <w:adjustRightInd w:val="0"/>
              <w:snapToGrid w:val="0"/>
              <w:spacing w:line="260" w:lineRule="atLeast"/>
              <w:jc w:val="center"/>
              <w:rPr>
                <w:color w:val="auto"/>
                <w:sz w:val="18"/>
                <w:szCs w:val="18"/>
              </w:rPr>
            </w:pPr>
            <w:r>
              <w:rPr>
                <w:color w:val="auto"/>
                <w:sz w:val="18"/>
                <w:szCs w:val="18"/>
              </w:rPr>
              <w:t>0.482</w:t>
            </w:r>
          </w:p>
        </w:tc>
        <w:tc>
          <w:tcPr>
            <w:tcW w:w="963" w:type="dxa"/>
            <w:vAlign w:val="center"/>
          </w:tcPr>
          <w:p w14:paraId="01441F38">
            <w:pPr>
              <w:adjustRightInd w:val="0"/>
              <w:snapToGrid w:val="0"/>
              <w:spacing w:line="260" w:lineRule="atLeast"/>
              <w:jc w:val="center"/>
              <w:rPr>
                <w:color w:val="auto"/>
                <w:sz w:val="18"/>
                <w:szCs w:val="18"/>
              </w:rPr>
            </w:pPr>
            <w:r>
              <w:rPr>
                <w:color w:val="auto"/>
                <w:sz w:val="18"/>
                <w:szCs w:val="18"/>
              </w:rPr>
              <w:t>1.7</w:t>
            </w:r>
          </w:p>
        </w:tc>
        <w:tc>
          <w:tcPr>
            <w:tcW w:w="963" w:type="dxa"/>
            <w:vAlign w:val="center"/>
          </w:tcPr>
          <w:p w14:paraId="0444F3FC">
            <w:pPr>
              <w:adjustRightInd w:val="0"/>
              <w:snapToGrid w:val="0"/>
              <w:spacing w:line="260" w:lineRule="atLeast"/>
              <w:jc w:val="center"/>
              <w:rPr>
                <w:color w:val="auto"/>
                <w:sz w:val="18"/>
                <w:szCs w:val="18"/>
              </w:rPr>
            </w:pPr>
            <w:r>
              <w:rPr>
                <w:color w:val="auto"/>
                <w:sz w:val="18"/>
                <w:szCs w:val="18"/>
              </w:rPr>
              <w:t>0.360</w:t>
            </w:r>
          </w:p>
        </w:tc>
        <w:tc>
          <w:tcPr>
            <w:tcW w:w="964" w:type="dxa"/>
            <w:vAlign w:val="center"/>
          </w:tcPr>
          <w:p w14:paraId="29D3BE5A">
            <w:pPr>
              <w:adjustRightInd w:val="0"/>
              <w:snapToGrid w:val="0"/>
              <w:spacing w:line="260" w:lineRule="atLeast"/>
              <w:jc w:val="center"/>
              <w:rPr>
                <w:color w:val="auto"/>
                <w:sz w:val="18"/>
                <w:szCs w:val="18"/>
              </w:rPr>
            </w:pPr>
            <w:r>
              <w:rPr>
                <w:color w:val="auto"/>
                <w:sz w:val="18"/>
                <w:szCs w:val="18"/>
              </w:rPr>
              <w:t>0.229</w:t>
            </w:r>
          </w:p>
        </w:tc>
        <w:tc>
          <w:tcPr>
            <w:tcW w:w="963" w:type="dxa"/>
            <w:vAlign w:val="center"/>
          </w:tcPr>
          <w:p w14:paraId="021AD91F">
            <w:pPr>
              <w:adjustRightInd w:val="0"/>
              <w:snapToGrid w:val="0"/>
              <w:spacing w:line="260" w:lineRule="atLeast"/>
              <w:jc w:val="center"/>
              <w:rPr>
                <w:color w:val="auto"/>
                <w:sz w:val="18"/>
                <w:szCs w:val="18"/>
              </w:rPr>
            </w:pPr>
            <w:r>
              <w:rPr>
                <w:color w:val="auto"/>
                <w:sz w:val="18"/>
                <w:szCs w:val="18"/>
              </w:rPr>
              <w:t>3.3</w:t>
            </w:r>
          </w:p>
        </w:tc>
        <w:tc>
          <w:tcPr>
            <w:tcW w:w="1216" w:type="dxa"/>
            <w:vAlign w:val="center"/>
          </w:tcPr>
          <w:p w14:paraId="28F612BE">
            <w:pPr>
              <w:adjustRightInd w:val="0"/>
              <w:snapToGrid w:val="0"/>
              <w:spacing w:line="260" w:lineRule="atLeast"/>
              <w:jc w:val="center"/>
              <w:rPr>
                <w:color w:val="auto"/>
                <w:sz w:val="18"/>
                <w:szCs w:val="18"/>
              </w:rPr>
            </w:pPr>
            <w:r>
              <w:rPr>
                <w:color w:val="auto"/>
                <w:sz w:val="18"/>
                <w:szCs w:val="18"/>
              </w:rPr>
              <w:t>0.124</w:t>
            </w:r>
          </w:p>
        </w:tc>
        <w:tc>
          <w:tcPr>
            <w:tcW w:w="1217" w:type="dxa"/>
            <w:vAlign w:val="center"/>
          </w:tcPr>
          <w:p w14:paraId="683CE7CB">
            <w:pPr>
              <w:adjustRightInd w:val="0"/>
              <w:snapToGrid w:val="0"/>
              <w:spacing w:line="260" w:lineRule="atLeast"/>
              <w:jc w:val="center"/>
              <w:rPr>
                <w:color w:val="auto"/>
                <w:sz w:val="18"/>
                <w:szCs w:val="18"/>
              </w:rPr>
            </w:pPr>
            <w:r>
              <w:rPr>
                <w:color w:val="auto"/>
                <w:sz w:val="18"/>
                <w:szCs w:val="18"/>
              </w:rPr>
              <w:t>0.099</w:t>
            </w:r>
          </w:p>
        </w:tc>
      </w:tr>
      <w:tr w14:paraId="68928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67E4D33B">
            <w:pPr>
              <w:adjustRightInd w:val="0"/>
              <w:snapToGrid w:val="0"/>
              <w:spacing w:line="300" w:lineRule="atLeast"/>
              <w:jc w:val="center"/>
              <w:rPr>
                <w:color w:val="auto"/>
                <w:sz w:val="18"/>
                <w:szCs w:val="18"/>
              </w:rPr>
            </w:pPr>
            <w:r>
              <w:rPr>
                <w:color w:val="auto"/>
                <w:sz w:val="18"/>
                <w:szCs w:val="18"/>
              </w:rPr>
              <w:t>0.2</w:t>
            </w:r>
          </w:p>
        </w:tc>
        <w:tc>
          <w:tcPr>
            <w:tcW w:w="963" w:type="dxa"/>
            <w:vAlign w:val="center"/>
          </w:tcPr>
          <w:p w14:paraId="620E996C">
            <w:pPr>
              <w:adjustRightInd w:val="0"/>
              <w:snapToGrid w:val="0"/>
              <w:spacing w:line="260" w:lineRule="atLeast"/>
              <w:jc w:val="center"/>
              <w:rPr>
                <w:color w:val="auto"/>
                <w:sz w:val="18"/>
                <w:szCs w:val="18"/>
              </w:rPr>
            </w:pPr>
            <w:r>
              <w:rPr>
                <w:color w:val="auto"/>
                <w:sz w:val="18"/>
                <w:szCs w:val="18"/>
              </w:rPr>
              <w:t>0.992</w:t>
            </w:r>
          </w:p>
        </w:tc>
        <w:tc>
          <w:tcPr>
            <w:tcW w:w="964" w:type="dxa"/>
            <w:vAlign w:val="center"/>
          </w:tcPr>
          <w:p w14:paraId="71695E37">
            <w:pPr>
              <w:adjustRightInd w:val="0"/>
              <w:snapToGrid w:val="0"/>
              <w:spacing w:line="260" w:lineRule="atLeast"/>
              <w:jc w:val="center"/>
              <w:rPr>
                <w:color w:val="auto"/>
                <w:sz w:val="18"/>
                <w:szCs w:val="18"/>
              </w:rPr>
            </w:pPr>
            <w:r>
              <w:rPr>
                <w:color w:val="auto"/>
                <w:sz w:val="18"/>
                <w:szCs w:val="18"/>
              </w:rPr>
              <w:t>0.464</w:t>
            </w:r>
          </w:p>
        </w:tc>
        <w:tc>
          <w:tcPr>
            <w:tcW w:w="963" w:type="dxa"/>
            <w:vAlign w:val="center"/>
          </w:tcPr>
          <w:p w14:paraId="282E2A58">
            <w:pPr>
              <w:adjustRightInd w:val="0"/>
              <w:snapToGrid w:val="0"/>
              <w:spacing w:line="260" w:lineRule="atLeast"/>
              <w:jc w:val="center"/>
              <w:rPr>
                <w:color w:val="auto"/>
                <w:sz w:val="18"/>
                <w:szCs w:val="18"/>
              </w:rPr>
            </w:pPr>
            <w:r>
              <w:rPr>
                <w:color w:val="auto"/>
                <w:sz w:val="18"/>
                <w:szCs w:val="18"/>
              </w:rPr>
              <w:t>1.8</w:t>
            </w:r>
          </w:p>
        </w:tc>
        <w:tc>
          <w:tcPr>
            <w:tcW w:w="963" w:type="dxa"/>
            <w:vAlign w:val="center"/>
          </w:tcPr>
          <w:p w14:paraId="29A34327">
            <w:pPr>
              <w:adjustRightInd w:val="0"/>
              <w:snapToGrid w:val="0"/>
              <w:spacing w:line="260" w:lineRule="atLeast"/>
              <w:jc w:val="center"/>
              <w:rPr>
                <w:color w:val="auto"/>
                <w:sz w:val="18"/>
                <w:szCs w:val="18"/>
              </w:rPr>
            </w:pPr>
            <w:r>
              <w:rPr>
                <w:color w:val="auto"/>
                <w:sz w:val="18"/>
                <w:szCs w:val="18"/>
              </w:rPr>
              <w:t>0.332</w:t>
            </w:r>
          </w:p>
        </w:tc>
        <w:tc>
          <w:tcPr>
            <w:tcW w:w="964" w:type="dxa"/>
            <w:vAlign w:val="center"/>
          </w:tcPr>
          <w:p w14:paraId="56A9894F">
            <w:pPr>
              <w:adjustRightInd w:val="0"/>
              <w:snapToGrid w:val="0"/>
              <w:spacing w:line="260" w:lineRule="atLeast"/>
              <w:jc w:val="center"/>
              <w:rPr>
                <w:color w:val="auto"/>
                <w:sz w:val="18"/>
                <w:szCs w:val="18"/>
              </w:rPr>
            </w:pPr>
            <w:r>
              <w:rPr>
                <w:color w:val="auto"/>
                <w:sz w:val="18"/>
                <w:szCs w:val="18"/>
              </w:rPr>
              <w:t>0.217</w:t>
            </w:r>
          </w:p>
        </w:tc>
        <w:tc>
          <w:tcPr>
            <w:tcW w:w="963" w:type="dxa"/>
            <w:vAlign w:val="center"/>
          </w:tcPr>
          <w:p w14:paraId="65C271A8">
            <w:pPr>
              <w:adjustRightInd w:val="0"/>
              <w:snapToGrid w:val="0"/>
              <w:spacing w:line="260" w:lineRule="atLeast"/>
              <w:jc w:val="center"/>
              <w:rPr>
                <w:color w:val="auto"/>
                <w:sz w:val="18"/>
                <w:szCs w:val="18"/>
              </w:rPr>
            </w:pPr>
            <w:r>
              <w:rPr>
                <w:color w:val="auto"/>
                <w:sz w:val="18"/>
                <w:szCs w:val="18"/>
              </w:rPr>
              <w:t>3.4</w:t>
            </w:r>
          </w:p>
        </w:tc>
        <w:tc>
          <w:tcPr>
            <w:tcW w:w="1216" w:type="dxa"/>
            <w:vAlign w:val="center"/>
          </w:tcPr>
          <w:p w14:paraId="56646676">
            <w:pPr>
              <w:adjustRightInd w:val="0"/>
              <w:snapToGrid w:val="0"/>
              <w:spacing w:line="260" w:lineRule="atLeast"/>
              <w:jc w:val="center"/>
              <w:rPr>
                <w:color w:val="auto"/>
                <w:sz w:val="18"/>
                <w:szCs w:val="18"/>
              </w:rPr>
            </w:pPr>
            <w:r>
              <w:rPr>
                <w:color w:val="auto"/>
                <w:sz w:val="18"/>
                <w:szCs w:val="18"/>
              </w:rPr>
              <w:t>0.117</w:t>
            </w:r>
          </w:p>
        </w:tc>
        <w:tc>
          <w:tcPr>
            <w:tcW w:w="1217" w:type="dxa"/>
            <w:vAlign w:val="center"/>
          </w:tcPr>
          <w:p w14:paraId="67AA97B0">
            <w:pPr>
              <w:adjustRightInd w:val="0"/>
              <w:snapToGrid w:val="0"/>
              <w:spacing w:line="260" w:lineRule="atLeast"/>
              <w:jc w:val="center"/>
              <w:rPr>
                <w:color w:val="auto"/>
                <w:sz w:val="18"/>
                <w:szCs w:val="18"/>
              </w:rPr>
            </w:pPr>
            <w:r>
              <w:rPr>
                <w:color w:val="auto"/>
                <w:sz w:val="18"/>
                <w:szCs w:val="18"/>
              </w:rPr>
              <w:t>0.094</w:t>
            </w:r>
          </w:p>
        </w:tc>
      </w:tr>
      <w:tr w14:paraId="53433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310FFC7">
            <w:pPr>
              <w:adjustRightInd w:val="0"/>
              <w:snapToGrid w:val="0"/>
              <w:spacing w:line="300" w:lineRule="atLeast"/>
              <w:jc w:val="center"/>
              <w:rPr>
                <w:color w:val="auto"/>
                <w:sz w:val="18"/>
                <w:szCs w:val="18"/>
              </w:rPr>
            </w:pPr>
            <w:r>
              <w:rPr>
                <w:color w:val="auto"/>
                <w:sz w:val="18"/>
                <w:szCs w:val="18"/>
              </w:rPr>
              <w:t>0.3</w:t>
            </w:r>
          </w:p>
        </w:tc>
        <w:tc>
          <w:tcPr>
            <w:tcW w:w="963" w:type="dxa"/>
            <w:vAlign w:val="center"/>
          </w:tcPr>
          <w:p w14:paraId="7CA62615">
            <w:pPr>
              <w:adjustRightInd w:val="0"/>
              <w:snapToGrid w:val="0"/>
              <w:spacing w:line="260" w:lineRule="atLeast"/>
              <w:jc w:val="center"/>
              <w:rPr>
                <w:color w:val="auto"/>
                <w:sz w:val="18"/>
                <w:szCs w:val="18"/>
              </w:rPr>
            </w:pPr>
            <w:r>
              <w:rPr>
                <w:color w:val="auto"/>
                <w:sz w:val="18"/>
                <w:szCs w:val="18"/>
              </w:rPr>
              <w:t>0.976</w:t>
            </w:r>
          </w:p>
        </w:tc>
        <w:tc>
          <w:tcPr>
            <w:tcW w:w="964" w:type="dxa"/>
            <w:vAlign w:val="center"/>
          </w:tcPr>
          <w:p w14:paraId="2BAAE602">
            <w:pPr>
              <w:adjustRightInd w:val="0"/>
              <w:snapToGrid w:val="0"/>
              <w:spacing w:line="260" w:lineRule="atLeast"/>
              <w:jc w:val="center"/>
              <w:rPr>
                <w:color w:val="auto"/>
                <w:sz w:val="18"/>
                <w:szCs w:val="18"/>
              </w:rPr>
            </w:pPr>
            <w:r>
              <w:rPr>
                <w:color w:val="auto"/>
                <w:sz w:val="18"/>
                <w:szCs w:val="18"/>
              </w:rPr>
              <w:t>0.447</w:t>
            </w:r>
          </w:p>
        </w:tc>
        <w:tc>
          <w:tcPr>
            <w:tcW w:w="963" w:type="dxa"/>
            <w:vAlign w:val="center"/>
          </w:tcPr>
          <w:p w14:paraId="4EDD2CA4">
            <w:pPr>
              <w:adjustRightInd w:val="0"/>
              <w:snapToGrid w:val="0"/>
              <w:spacing w:line="260" w:lineRule="atLeast"/>
              <w:jc w:val="center"/>
              <w:rPr>
                <w:color w:val="auto"/>
                <w:sz w:val="18"/>
                <w:szCs w:val="18"/>
              </w:rPr>
            </w:pPr>
            <w:r>
              <w:rPr>
                <w:color w:val="auto"/>
                <w:sz w:val="18"/>
                <w:szCs w:val="18"/>
              </w:rPr>
              <w:t>1.9</w:t>
            </w:r>
          </w:p>
        </w:tc>
        <w:tc>
          <w:tcPr>
            <w:tcW w:w="963" w:type="dxa"/>
            <w:vAlign w:val="center"/>
          </w:tcPr>
          <w:p w14:paraId="0EA72AF2">
            <w:pPr>
              <w:adjustRightInd w:val="0"/>
              <w:snapToGrid w:val="0"/>
              <w:spacing w:line="260" w:lineRule="atLeast"/>
              <w:jc w:val="center"/>
              <w:rPr>
                <w:color w:val="auto"/>
                <w:sz w:val="18"/>
                <w:szCs w:val="18"/>
              </w:rPr>
            </w:pPr>
            <w:r>
              <w:rPr>
                <w:color w:val="auto"/>
                <w:sz w:val="18"/>
                <w:szCs w:val="18"/>
              </w:rPr>
              <w:t>0.307</w:t>
            </w:r>
          </w:p>
        </w:tc>
        <w:tc>
          <w:tcPr>
            <w:tcW w:w="964" w:type="dxa"/>
            <w:vAlign w:val="center"/>
          </w:tcPr>
          <w:p w14:paraId="0807CD2B">
            <w:pPr>
              <w:adjustRightInd w:val="0"/>
              <w:snapToGrid w:val="0"/>
              <w:spacing w:line="260" w:lineRule="atLeast"/>
              <w:jc w:val="center"/>
              <w:rPr>
                <w:color w:val="auto"/>
                <w:sz w:val="18"/>
                <w:szCs w:val="18"/>
              </w:rPr>
            </w:pPr>
            <w:r>
              <w:rPr>
                <w:color w:val="auto"/>
                <w:sz w:val="18"/>
                <w:szCs w:val="18"/>
              </w:rPr>
              <w:t>0.204</w:t>
            </w:r>
          </w:p>
        </w:tc>
        <w:tc>
          <w:tcPr>
            <w:tcW w:w="963" w:type="dxa"/>
            <w:vAlign w:val="center"/>
          </w:tcPr>
          <w:p w14:paraId="2DF9D8BE">
            <w:pPr>
              <w:adjustRightInd w:val="0"/>
              <w:snapToGrid w:val="0"/>
              <w:spacing w:line="260" w:lineRule="atLeast"/>
              <w:jc w:val="center"/>
              <w:rPr>
                <w:color w:val="auto"/>
                <w:sz w:val="18"/>
                <w:szCs w:val="18"/>
              </w:rPr>
            </w:pPr>
            <w:r>
              <w:rPr>
                <w:color w:val="auto"/>
                <w:sz w:val="18"/>
                <w:szCs w:val="18"/>
              </w:rPr>
              <w:t>3.5</w:t>
            </w:r>
          </w:p>
        </w:tc>
        <w:tc>
          <w:tcPr>
            <w:tcW w:w="1216" w:type="dxa"/>
            <w:vAlign w:val="center"/>
          </w:tcPr>
          <w:p w14:paraId="1AFA7E93">
            <w:pPr>
              <w:adjustRightInd w:val="0"/>
              <w:snapToGrid w:val="0"/>
              <w:spacing w:line="260" w:lineRule="atLeast"/>
              <w:jc w:val="center"/>
              <w:rPr>
                <w:color w:val="auto"/>
                <w:sz w:val="18"/>
                <w:szCs w:val="18"/>
              </w:rPr>
            </w:pPr>
            <w:r>
              <w:rPr>
                <w:color w:val="auto"/>
                <w:sz w:val="18"/>
                <w:szCs w:val="18"/>
              </w:rPr>
              <w:t>0.111</w:t>
            </w:r>
          </w:p>
        </w:tc>
        <w:tc>
          <w:tcPr>
            <w:tcW w:w="1217" w:type="dxa"/>
            <w:vAlign w:val="center"/>
          </w:tcPr>
          <w:p w14:paraId="1C7B87FF">
            <w:pPr>
              <w:adjustRightInd w:val="0"/>
              <w:snapToGrid w:val="0"/>
              <w:spacing w:line="260" w:lineRule="atLeast"/>
              <w:jc w:val="center"/>
              <w:rPr>
                <w:color w:val="auto"/>
                <w:sz w:val="18"/>
                <w:szCs w:val="18"/>
              </w:rPr>
            </w:pPr>
            <w:r>
              <w:rPr>
                <w:color w:val="auto"/>
                <w:sz w:val="18"/>
                <w:szCs w:val="18"/>
              </w:rPr>
              <w:t>0.089</w:t>
            </w:r>
          </w:p>
        </w:tc>
      </w:tr>
      <w:tr w14:paraId="15B8C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7A5B491">
            <w:pPr>
              <w:adjustRightInd w:val="0"/>
              <w:snapToGrid w:val="0"/>
              <w:spacing w:line="300" w:lineRule="atLeast"/>
              <w:jc w:val="center"/>
              <w:rPr>
                <w:color w:val="auto"/>
                <w:sz w:val="18"/>
                <w:szCs w:val="18"/>
              </w:rPr>
            </w:pPr>
            <w:r>
              <w:rPr>
                <w:color w:val="auto"/>
                <w:sz w:val="18"/>
                <w:szCs w:val="18"/>
              </w:rPr>
              <w:t>0.4</w:t>
            </w:r>
          </w:p>
        </w:tc>
        <w:tc>
          <w:tcPr>
            <w:tcW w:w="963" w:type="dxa"/>
            <w:vAlign w:val="center"/>
          </w:tcPr>
          <w:p w14:paraId="510331FA">
            <w:pPr>
              <w:adjustRightInd w:val="0"/>
              <w:snapToGrid w:val="0"/>
              <w:spacing w:line="260" w:lineRule="atLeast"/>
              <w:jc w:val="center"/>
              <w:rPr>
                <w:color w:val="auto"/>
                <w:sz w:val="18"/>
                <w:szCs w:val="18"/>
              </w:rPr>
            </w:pPr>
            <w:r>
              <w:rPr>
                <w:color w:val="auto"/>
                <w:sz w:val="18"/>
                <w:szCs w:val="18"/>
              </w:rPr>
              <w:t>0.949</w:t>
            </w:r>
          </w:p>
        </w:tc>
        <w:tc>
          <w:tcPr>
            <w:tcW w:w="964" w:type="dxa"/>
            <w:vAlign w:val="center"/>
          </w:tcPr>
          <w:p w14:paraId="5AEE9454">
            <w:pPr>
              <w:adjustRightInd w:val="0"/>
              <w:snapToGrid w:val="0"/>
              <w:spacing w:line="260" w:lineRule="atLeast"/>
              <w:jc w:val="center"/>
              <w:rPr>
                <w:color w:val="auto"/>
                <w:sz w:val="18"/>
                <w:szCs w:val="18"/>
              </w:rPr>
            </w:pPr>
            <w:r>
              <w:rPr>
                <w:color w:val="auto"/>
                <w:sz w:val="18"/>
                <w:szCs w:val="18"/>
              </w:rPr>
              <w:t>0.432</w:t>
            </w:r>
          </w:p>
        </w:tc>
        <w:tc>
          <w:tcPr>
            <w:tcW w:w="963" w:type="dxa"/>
            <w:vAlign w:val="center"/>
          </w:tcPr>
          <w:p w14:paraId="239AAFE2">
            <w:pPr>
              <w:adjustRightInd w:val="0"/>
              <w:snapToGrid w:val="0"/>
              <w:spacing w:line="260" w:lineRule="atLeast"/>
              <w:jc w:val="center"/>
              <w:rPr>
                <w:color w:val="auto"/>
                <w:sz w:val="18"/>
                <w:szCs w:val="18"/>
              </w:rPr>
            </w:pPr>
            <w:r>
              <w:rPr>
                <w:color w:val="auto"/>
                <w:sz w:val="18"/>
                <w:szCs w:val="18"/>
              </w:rPr>
              <w:t>2.0</w:t>
            </w:r>
          </w:p>
        </w:tc>
        <w:tc>
          <w:tcPr>
            <w:tcW w:w="963" w:type="dxa"/>
            <w:vAlign w:val="center"/>
          </w:tcPr>
          <w:p w14:paraId="64F2EBEF">
            <w:pPr>
              <w:adjustRightInd w:val="0"/>
              <w:snapToGrid w:val="0"/>
              <w:spacing w:line="260" w:lineRule="atLeast"/>
              <w:jc w:val="center"/>
              <w:rPr>
                <w:color w:val="auto"/>
                <w:sz w:val="18"/>
                <w:szCs w:val="18"/>
              </w:rPr>
            </w:pPr>
            <w:r>
              <w:rPr>
                <w:color w:val="auto"/>
                <w:sz w:val="18"/>
                <w:szCs w:val="18"/>
              </w:rPr>
              <w:t>0.285</w:t>
            </w:r>
          </w:p>
        </w:tc>
        <w:tc>
          <w:tcPr>
            <w:tcW w:w="964" w:type="dxa"/>
            <w:vAlign w:val="center"/>
          </w:tcPr>
          <w:p w14:paraId="0F60B369">
            <w:pPr>
              <w:adjustRightInd w:val="0"/>
              <w:snapToGrid w:val="0"/>
              <w:spacing w:line="260" w:lineRule="atLeast"/>
              <w:jc w:val="center"/>
              <w:rPr>
                <w:color w:val="auto"/>
                <w:sz w:val="18"/>
                <w:szCs w:val="18"/>
              </w:rPr>
            </w:pPr>
            <w:r>
              <w:rPr>
                <w:color w:val="auto"/>
                <w:sz w:val="18"/>
                <w:szCs w:val="18"/>
              </w:rPr>
              <w:t>0.193</w:t>
            </w:r>
          </w:p>
        </w:tc>
        <w:tc>
          <w:tcPr>
            <w:tcW w:w="963" w:type="dxa"/>
            <w:vAlign w:val="center"/>
          </w:tcPr>
          <w:p w14:paraId="1E8470D6">
            <w:pPr>
              <w:adjustRightInd w:val="0"/>
              <w:snapToGrid w:val="0"/>
              <w:spacing w:line="260" w:lineRule="atLeast"/>
              <w:jc w:val="center"/>
              <w:rPr>
                <w:color w:val="auto"/>
                <w:sz w:val="18"/>
                <w:szCs w:val="18"/>
              </w:rPr>
            </w:pPr>
            <w:r>
              <w:rPr>
                <w:color w:val="auto"/>
                <w:sz w:val="18"/>
                <w:szCs w:val="18"/>
              </w:rPr>
              <w:t>3.6</w:t>
            </w:r>
          </w:p>
        </w:tc>
        <w:tc>
          <w:tcPr>
            <w:tcW w:w="1216" w:type="dxa"/>
            <w:vAlign w:val="center"/>
          </w:tcPr>
          <w:p w14:paraId="58AB0182">
            <w:pPr>
              <w:adjustRightInd w:val="0"/>
              <w:snapToGrid w:val="0"/>
              <w:spacing w:line="260" w:lineRule="atLeast"/>
              <w:jc w:val="center"/>
              <w:rPr>
                <w:color w:val="auto"/>
                <w:sz w:val="18"/>
                <w:szCs w:val="18"/>
              </w:rPr>
            </w:pPr>
            <w:r>
              <w:rPr>
                <w:color w:val="auto"/>
                <w:sz w:val="18"/>
                <w:szCs w:val="18"/>
              </w:rPr>
              <w:t>0.106</w:t>
            </w:r>
          </w:p>
        </w:tc>
        <w:tc>
          <w:tcPr>
            <w:tcW w:w="1217" w:type="dxa"/>
            <w:vAlign w:val="center"/>
          </w:tcPr>
          <w:p w14:paraId="0D808047">
            <w:pPr>
              <w:adjustRightInd w:val="0"/>
              <w:snapToGrid w:val="0"/>
              <w:spacing w:line="260" w:lineRule="atLeast"/>
              <w:jc w:val="center"/>
              <w:rPr>
                <w:color w:val="auto"/>
                <w:sz w:val="18"/>
                <w:szCs w:val="18"/>
              </w:rPr>
            </w:pPr>
            <w:r>
              <w:rPr>
                <w:color w:val="auto"/>
                <w:sz w:val="18"/>
                <w:szCs w:val="18"/>
              </w:rPr>
              <w:t>0.084</w:t>
            </w:r>
          </w:p>
        </w:tc>
      </w:tr>
      <w:tr w14:paraId="0C7EA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1943E765">
            <w:pPr>
              <w:adjustRightInd w:val="0"/>
              <w:snapToGrid w:val="0"/>
              <w:spacing w:line="300" w:lineRule="atLeast"/>
              <w:jc w:val="center"/>
              <w:rPr>
                <w:color w:val="auto"/>
                <w:sz w:val="18"/>
                <w:szCs w:val="18"/>
              </w:rPr>
            </w:pPr>
            <w:r>
              <w:rPr>
                <w:color w:val="auto"/>
                <w:sz w:val="18"/>
                <w:szCs w:val="18"/>
              </w:rPr>
              <w:t>0.5</w:t>
            </w:r>
          </w:p>
        </w:tc>
        <w:tc>
          <w:tcPr>
            <w:tcW w:w="963" w:type="dxa"/>
            <w:vAlign w:val="center"/>
          </w:tcPr>
          <w:p w14:paraId="08F06961">
            <w:pPr>
              <w:adjustRightInd w:val="0"/>
              <w:snapToGrid w:val="0"/>
              <w:spacing w:line="260" w:lineRule="atLeast"/>
              <w:jc w:val="center"/>
              <w:rPr>
                <w:color w:val="auto"/>
                <w:sz w:val="18"/>
                <w:szCs w:val="18"/>
              </w:rPr>
            </w:pPr>
            <w:r>
              <w:rPr>
                <w:color w:val="auto"/>
                <w:sz w:val="18"/>
                <w:szCs w:val="18"/>
              </w:rPr>
              <w:t>0.911</w:t>
            </w:r>
          </w:p>
        </w:tc>
        <w:tc>
          <w:tcPr>
            <w:tcW w:w="964" w:type="dxa"/>
            <w:vAlign w:val="center"/>
          </w:tcPr>
          <w:p w14:paraId="33A1DEB9">
            <w:pPr>
              <w:adjustRightInd w:val="0"/>
              <w:snapToGrid w:val="0"/>
              <w:spacing w:line="260" w:lineRule="atLeast"/>
              <w:jc w:val="center"/>
              <w:rPr>
                <w:color w:val="auto"/>
                <w:sz w:val="18"/>
                <w:szCs w:val="18"/>
              </w:rPr>
            </w:pPr>
            <w:r>
              <w:rPr>
                <w:color w:val="auto"/>
                <w:sz w:val="18"/>
                <w:szCs w:val="18"/>
              </w:rPr>
              <w:t>0.412</w:t>
            </w:r>
          </w:p>
        </w:tc>
        <w:tc>
          <w:tcPr>
            <w:tcW w:w="963" w:type="dxa"/>
            <w:vAlign w:val="center"/>
          </w:tcPr>
          <w:p w14:paraId="1ABAC4B7">
            <w:pPr>
              <w:adjustRightInd w:val="0"/>
              <w:snapToGrid w:val="0"/>
              <w:spacing w:line="260" w:lineRule="atLeast"/>
              <w:jc w:val="center"/>
              <w:rPr>
                <w:color w:val="auto"/>
                <w:sz w:val="18"/>
                <w:szCs w:val="18"/>
              </w:rPr>
            </w:pPr>
            <w:r>
              <w:rPr>
                <w:color w:val="auto"/>
                <w:sz w:val="18"/>
                <w:szCs w:val="18"/>
              </w:rPr>
              <w:t>2.1</w:t>
            </w:r>
          </w:p>
        </w:tc>
        <w:tc>
          <w:tcPr>
            <w:tcW w:w="963" w:type="dxa"/>
            <w:vAlign w:val="center"/>
          </w:tcPr>
          <w:p w14:paraId="7A2455D2">
            <w:pPr>
              <w:adjustRightInd w:val="0"/>
              <w:snapToGrid w:val="0"/>
              <w:spacing w:line="260" w:lineRule="atLeast"/>
              <w:jc w:val="center"/>
              <w:rPr>
                <w:color w:val="auto"/>
                <w:sz w:val="18"/>
                <w:szCs w:val="18"/>
              </w:rPr>
            </w:pPr>
            <w:r>
              <w:rPr>
                <w:color w:val="auto"/>
                <w:sz w:val="18"/>
                <w:szCs w:val="18"/>
              </w:rPr>
              <w:t>0.264</w:t>
            </w:r>
          </w:p>
        </w:tc>
        <w:tc>
          <w:tcPr>
            <w:tcW w:w="964" w:type="dxa"/>
            <w:vAlign w:val="center"/>
          </w:tcPr>
          <w:p w14:paraId="2CECCD1E">
            <w:pPr>
              <w:adjustRightInd w:val="0"/>
              <w:snapToGrid w:val="0"/>
              <w:spacing w:line="260" w:lineRule="atLeast"/>
              <w:jc w:val="center"/>
              <w:rPr>
                <w:color w:val="auto"/>
                <w:sz w:val="18"/>
                <w:szCs w:val="18"/>
              </w:rPr>
            </w:pPr>
            <w:r>
              <w:rPr>
                <w:color w:val="auto"/>
                <w:sz w:val="18"/>
                <w:szCs w:val="18"/>
              </w:rPr>
              <w:t>0.182</w:t>
            </w:r>
          </w:p>
        </w:tc>
        <w:tc>
          <w:tcPr>
            <w:tcW w:w="963" w:type="dxa"/>
            <w:vAlign w:val="center"/>
          </w:tcPr>
          <w:p w14:paraId="0DD92B0D">
            <w:pPr>
              <w:adjustRightInd w:val="0"/>
              <w:snapToGrid w:val="0"/>
              <w:spacing w:line="260" w:lineRule="atLeast"/>
              <w:jc w:val="center"/>
              <w:rPr>
                <w:color w:val="auto"/>
                <w:sz w:val="18"/>
                <w:szCs w:val="18"/>
              </w:rPr>
            </w:pPr>
            <w:r>
              <w:rPr>
                <w:color w:val="auto"/>
                <w:sz w:val="18"/>
                <w:szCs w:val="18"/>
              </w:rPr>
              <w:t>3.7</w:t>
            </w:r>
          </w:p>
        </w:tc>
        <w:tc>
          <w:tcPr>
            <w:tcW w:w="1216" w:type="dxa"/>
            <w:vAlign w:val="center"/>
          </w:tcPr>
          <w:p w14:paraId="3F81BA4F">
            <w:pPr>
              <w:adjustRightInd w:val="0"/>
              <w:snapToGrid w:val="0"/>
              <w:spacing w:line="260" w:lineRule="atLeast"/>
              <w:jc w:val="center"/>
              <w:rPr>
                <w:color w:val="auto"/>
                <w:sz w:val="18"/>
                <w:szCs w:val="18"/>
              </w:rPr>
            </w:pPr>
            <w:r>
              <w:rPr>
                <w:color w:val="auto"/>
                <w:sz w:val="18"/>
                <w:szCs w:val="18"/>
              </w:rPr>
              <w:t>0.101</w:t>
            </w:r>
          </w:p>
        </w:tc>
        <w:tc>
          <w:tcPr>
            <w:tcW w:w="1217" w:type="dxa"/>
            <w:vAlign w:val="center"/>
          </w:tcPr>
          <w:p w14:paraId="03DF3362">
            <w:pPr>
              <w:adjustRightInd w:val="0"/>
              <w:snapToGrid w:val="0"/>
              <w:spacing w:line="260" w:lineRule="atLeast"/>
              <w:jc w:val="center"/>
              <w:rPr>
                <w:color w:val="auto"/>
                <w:sz w:val="18"/>
                <w:szCs w:val="18"/>
              </w:rPr>
            </w:pPr>
            <w:r>
              <w:rPr>
                <w:color w:val="auto"/>
                <w:sz w:val="18"/>
                <w:szCs w:val="18"/>
              </w:rPr>
              <w:t>0.079</w:t>
            </w:r>
          </w:p>
        </w:tc>
      </w:tr>
      <w:tr w14:paraId="1A668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48A91BDC">
            <w:pPr>
              <w:adjustRightInd w:val="0"/>
              <w:snapToGrid w:val="0"/>
              <w:spacing w:line="300" w:lineRule="atLeast"/>
              <w:jc w:val="center"/>
              <w:rPr>
                <w:color w:val="auto"/>
                <w:sz w:val="18"/>
                <w:szCs w:val="18"/>
              </w:rPr>
            </w:pPr>
            <w:r>
              <w:rPr>
                <w:color w:val="auto"/>
                <w:sz w:val="18"/>
                <w:szCs w:val="18"/>
              </w:rPr>
              <w:t>0.6</w:t>
            </w:r>
          </w:p>
        </w:tc>
        <w:tc>
          <w:tcPr>
            <w:tcW w:w="963" w:type="dxa"/>
            <w:vAlign w:val="center"/>
          </w:tcPr>
          <w:p w14:paraId="4F856CAE">
            <w:pPr>
              <w:adjustRightInd w:val="0"/>
              <w:snapToGrid w:val="0"/>
              <w:spacing w:line="260" w:lineRule="atLeast"/>
              <w:jc w:val="center"/>
              <w:rPr>
                <w:color w:val="auto"/>
                <w:sz w:val="18"/>
                <w:szCs w:val="18"/>
              </w:rPr>
            </w:pPr>
            <w:r>
              <w:rPr>
                <w:color w:val="auto"/>
                <w:sz w:val="18"/>
                <w:szCs w:val="18"/>
              </w:rPr>
              <w:t>0.864</w:t>
            </w:r>
          </w:p>
        </w:tc>
        <w:tc>
          <w:tcPr>
            <w:tcW w:w="964" w:type="dxa"/>
            <w:vAlign w:val="center"/>
          </w:tcPr>
          <w:p w14:paraId="68081BD2">
            <w:pPr>
              <w:adjustRightInd w:val="0"/>
              <w:snapToGrid w:val="0"/>
              <w:spacing w:line="260" w:lineRule="atLeast"/>
              <w:jc w:val="center"/>
              <w:rPr>
                <w:color w:val="auto"/>
                <w:sz w:val="18"/>
                <w:szCs w:val="18"/>
              </w:rPr>
            </w:pPr>
            <w:r>
              <w:rPr>
                <w:color w:val="auto"/>
                <w:sz w:val="18"/>
                <w:szCs w:val="18"/>
              </w:rPr>
              <w:t>0.374</w:t>
            </w:r>
          </w:p>
        </w:tc>
        <w:tc>
          <w:tcPr>
            <w:tcW w:w="963" w:type="dxa"/>
            <w:vAlign w:val="center"/>
          </w:tcPr>
          <w:p w14:paraId="5068EF5C">
            <w:pPr>
              <w:adjustRightInd w:val="0"/>
              <w:snapToGrid w:val="0"/>
              <w:spacing w:line="260" w:lineRule="atLeast"/>
              <w:jc w:val="center"/>
              <w:rPr>
                <w:color w:val="auto"/>
                <w:sz w:val="18"/>
                <w:szCs w:val="18"/>
              </w:rPr>
            </w:pPr>
            <w:r>
              <w:rPr>
                <w:color w:val="auto"/>
                <w:sz w:val="18"/>
                <w:szCs w:val="18"/>
              </w:rPr>
              <w:t>2.2</w:t>
            </w:r>
          </w:p>
        </w:tc>
        <w:tc>
          <w:tcPr>
            <w:tcW w:w="963" w:type="dxa"/>
            <w:vAlign w:val="center"/>
          </w:tcPr>
          <w:p w14:paraId="5DA7F562">
            <w:pPr>
              <w:adjustRightInd w:val="0"/>
              <w:snapToGrid w:val="0"/>
              <w:spacing w:line="260" w:lineRule="atLeast"/>
              <w:jc w:val="center"/>
              <w:rPr>
                <w:color w:val="auto"/>
                <w:sz w:val="18"/>
                <w:szCs w:val="18"/>
              </w:rPr>
            </w:pPr>
            <w:r>
              <w:rPr>
                <w:color w:val="auto"/>
                <w:sz w:val="18"/>
                <w:szCs w:val="18"/>
              </w:rPr>
              <w:t>0.245</w:t>
            </w:r>
          </w:p>
        </w:tc>
        <w:tc>
          <w:tcPr>
            <w:tcW w:w="964" w:type="dxa"/>
            <w:vAlign w:val="center"/>
          </w:tcPr>
          <w:p w14:paraId="50704177">
            <w:pPr>
              <w:adjustRightInd w:val="0"/>
              <w:snapToGrid w:val="0"/>
              <w:spacing w:line="260" w:lineRule="atLeast"/>
              <w:jc w:val="center"/>
              <w:rPr>
                <w:color w:val="auto"/>
                <w:sz w:val="18"/>
                <w:szCs w:val="18"/>
              </w:rPr>
            </w:pPr>
            <w:r>
              <w:rPr>
                <w:color w:val="auto"/>
                <w:sz w:val="18"/>
                <w:szCs w:val="18"/>
              </w:rPr>
              <w:t>0.172</w:t>
            </w:r>
          </w:p>
        </w:tc>
        <w:tc>
          <w:tcPr>
            <w:tcW w:w="963" w:type="dxa"/>
            <w:vAlign w:val="center"/>
          </w:tcPr>
          <w:p w14:paraId="457550BE">
            <w:pPr>
              <w:adjustRightInd w:val="0"/>
              <w:snapToGrid w:val="0"/>
              <w:spacing w:line="260" w:lineRule="atLeast"/>
              <w:jc w:val="center"/>
              <w:rPr>
                <w:color w:val="auto"/>
                <w:sz w:val="18"/>
                <w:szCs w:val="18"/>
              </w:rPr>
            </w:pPr>
            <w:r>
              <w:rPr>
                <w:color w:val="auto"/>
                <w:sz w:val="18"/>
                <w:szCs w:val="18"/>
              </w:rPr>
              <w:t>3.8</w:t>
            </w:r>
          </w:p>
        </w:tc>
        <w:tc>
          <w:tcPr>
            <w:tcW w:w="1216" w:type="dxa"/>
            <w:vAlign w:val="center"/>
          </w:tcPr>
          <w:p w14:paraId="35D6FD39">
            <w:pPr>
              <w:adjustRightInd w:val="0"/>
              <w:snapToGrid w:val="0"/>
              <w:spacing w:line="260" w:lineRule="atLeast"/>
              <w:jc w:val="center"/>
              <w:rPr>
                <w:color w:val="auto"/>
                <w:sz w:val="18"/>
                <w:szCs w:val="18"/>
              </w:rPr>
            </w:pPr>
            <w:r>
              <w:rPr>
                <w:color w:val="auto"/>
                <w:sz w:val="18"/>
                <w:szCs w:val="18"/>
              </w:rPr>
              <w:t>0.096</w:t>
            </w:r>
          </w:p>
        </w:tc>
        <w:tc>
          <w:tcPr>
            <w:tcW w:w="1217" w:type="dxa"/>
            <w:vAlign w:val="center"/>
          </w:tcPr>
          <w:p w14:paraId="0E5215C3">
            <w:pPr>
              <w:adjustRightInd w:val="0"/>
              <w:snapToGrid w:val="0"/>
              <w:spacing w:line="260" w:lineRule="atLeast"/>
              <w:jc w:val="center"/>
              <w:rPr>
                <w:color w:val="auto"/>
                <w:sz w:val="18"/>
                <w:szCs w:val="18"/>
              </w:rPr>
            </w:pPr>
            <w:r>
              <w:rPr>
                <w:color w:val="auto"/>
                <w:sz w:val="18"/>
                <w:szCs w:val="18"/>
              </w:rPr>
              <w:t>0.074</w:t>
            </w:r>
          </w:p>
        </w:tc>
      </w:tr>
      <w:tr w14:paraId="1BF4B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FEEEAD5">
            <w:pPr>
              <w:adjustRightInd w:val="0"/>
              <w:snapToGrid w:val="0"/>
              <w:spacing w:line="300" w:lineRule="atLeast"/>
              <w:jc w:val="center"/>
              <w:rPr>
                <w:color w:val="auto"/>
                <w:sz w:val="18"/>
                <w:szCs w:val="18"/>
              </w:rPr>
            </w:pPr>
            <w:r>
              <w:rPr>
                <w:color w:val="auto"/>
                <w:sz w:val="18"/>
                <w:szCs w:val="18"/>
              </w:rPr>
              <w:t>0.7</w:t>
            </w:r>
          </w:p>
        </w:tc>
        <w:tc>
          <w:tcPr>
            <w:tcW w:w="963" w:type="dxa"/>
            <w:vAlign w:val="center"/>
          </w:tcPr>
          <w:p w14:paraId="20C63A2D">
            <w:pPr>
              <w:adjustRightInd w:val="0"/>
              <w:snapToGrid w:val="0"/>
              <w:spacing w:line="260" w:lineRule="atLeast"/>
              <w:jc w:val="center"/>
              <w:rPr>
                <w:color w:val="auto"/>
                <w:sz w:val="18"/>
                <w:szCs w:val="18"/>
              </w:rPr>
            </w:pPr>
            <w:r>
              <w:rPr>
                <w:color w:val="auto"/>
                <w:sz w:val="18"/>
                <w:szCs w:val="18"/>
              </w:rPr>
              <w:t>0.811</w:t>
            </w:r>
          </w:p>
        </w:tc>
        <w:tc>
          <w:tcPr>
            <w:tcW w:w="964" w:type="dxa"/>
            <w:vAlign w:val="center"/>
          </w:tcPr>
          <w:p w14:paraId="7560AA55">
            <w:pPr>
              <w:adjustRightInd w:val="0"/>
              <w:snapToGrid w:val="0"/>
              <w:spacing w:line="260" w:lineRule="atLeast"/>
              <w:jc w:val="center"/>
              <w:rPr>
                <w:color w:val="auto"/>
                <w:sz w:val="18"/>
                <w:szCs w:val="18"/>
              </w:rPr>
            </w:pPr>
            <w:r>
              <w:rPr>
                <w:color w:val="auto"/>
                <w:sz w:val="18"/>
                <w:szCs w:val="18"/>
              </w:rPr>
              <w:t>0.369</w:t>
            </w:r>
          </w:p>
        </w:tc>
        <w:tc>
          <w:tcPr>
            <w:tcW w:w="963" w:type="dxa"/>
            <w:vAlign w:val="center"/>
          </w:tcPr>
          <w:p w14:paraId="3F9BE57C">
            <w:pPr>
              <w:adjustRightInd w:val="0"/>
              <w:snapToGrid w:val="0"/>
              <w:spacing w:line="260" w:lineRule="atLeast"/>
              <w:jc w:val="center"/>
              <w:rPr>
                <w:color w:val="auto"/>
                <w:sz w:val="18"/>
                <w:szCs w:val="18"/>
              </w:rPr>
            </w:pPr>
            <w:r>
              <w:rPr>
                <w:color w:val="auto"/>
                <w:sz w:val="18"/>
                <w:szCs w:val="18"/>
              </w:rPr>
              <w:t>2.3</w:t>
            </w:r>
          </w:p>
        </w:tc>
        <w:tc>
          <w:tcPr>
            <w:tcW w:w="963" w:type="dxa"/>
            <w:vAlign w:val="center"/>
          </w:tcPr>
          <w:p w14:paraId="019140E1">
            <w:pPr>
              <w:adjustRightInd w:val="0"/>
              <w:snapToGrid w:val="0"/>
              <w:spacing w:line="260" w:lineRule="atLeast"/>
              <w:jc w:val="center"/>
              <w:rPr>
                <w:color w:val="auto"/>
                <w:sz w:val="18"/>
                <w:szCs w:val="18"/>
              </w:rPr>
            </w:pPr>
            <w:r>
              <w:rPr>
                <w:color w:val="auto"/>
                <w:sz w:val="18"/>
                <w:szCs w:val="18"/>
              </w:rPr>
              <w:t>0.229</w:t>
            </w:r>
          </w:p>
        </w:tc>
        <w:tc>
          <w:tcPr>
            <w:tcW w:w="964" w:type="dxa"/>
            <w:vAlign w:val="center"/>
          </w:tcPr>
          <w:p w14:paraId="3730DBBA">
            <w:pPr>
              <w:adjustRightInd w:val="0"/>
              <w:snapToGrid w:val="0"/>
              <w:spacing w:line="260" w:lineRule="atLeast"/>
              <w:jc w:val="center"/>
              <w:rPr>
                <w:color w:val="auto"/>
                <w:sz w:val="18"/>
                <w:szCs w:val="18"/>
              </w:rPr>
            </w:pPr>
            <w:r>
              <w:rPr>
                <w:color w:val="auto"/>
                <w:sz w:val="18"/>
                <w:szCs w:val="18"/>
              </w:rPr>
              <w:t>0.162</w:t>
            </w:r>
          </w:p>
        </w:tc>
        <w:tc>
          <w:tcPr>
            <w:tcW w:w="963" w:type="dxa"/>
            <w:vAlign w:val="center"/>
          </w:tcPr>
          <w:p w14:paraId="4F1A3AC5">
            <w:pPr>
              <w:adjustRightInd w:val="0"/>
              <w:snapToGrid w:val="0"/>
              <w:spacing w:line="260" w:lineRule="atLeast"/>
              <w:jc w:val="center"/>
              <w:rPr>
                <w:color w:val="auto"/>
                <w:sz w:val="18"/>
                <w:szCs w:val="18"/>
              </w:rPr>
            </w:pPr>
            <w:r>
              <w:rPr>
                <w:color w:val="auto"/>
                <w:sz w:val="18"/>
                <w:szCs w:val="18"/>
              </w:rPr>
              <w:t>3.9</w:t>
            </w:r>
          </w:p>
        </w:tc>
        <w:tc>
          <w:tcPr>
            <w:tcW w:w="1216" w:type="dxa"/>
            <w:vAlign w:val="center"/>
          </w:tcPr>
          <w:p w14:paraId="6AAEE931">
            <w:pPr>
              <w:adjustRightInd w:val="0"/>
              <w:snapToGrid w:val="0"/>
              <w:spacing w:line="260" w:lineRule="atLeast"/>
              <w:jc w:val="center"/>
              <w:rPr>
                <w:color w:val="auto"/>
                <w:sz w:val="18"/>
                <w:szCs w:val="18"/>
              </w:rPr>
            </w:pPr>
            <w:r>
              <w:rPr>
                <w:color w:val="auto"/>
                <w:sz w:val="18"/>
                <w:szCs w:val="18"/>
              </w:rPr>
              <w:t>0.091</w:t>
            </w:r>
          </w:p>
        </w:tc>
        <w:tc>
          <w:tcPr>
            <w:tcW w:w="1217" w:type="dxa"/>
            <w:vAlign w:val="center"/>
          </w:tcPr>
          <w:p w14:paraId="01FFCC93">
            <w:pPr>
              <w:adjustRightInd w:val="0"/>
              <w:snapToGrid w:val="0"/>
              <w:spacing w:line="260" w:lineRule="atLeast"/>
              <w:jc w:val="center"/>
              <w:rPr>
                <w:color w:val="auto"/>
                <w:sz w:val="18"/>
                <w:szCs w:val="18"/>
              </w:rPr>
            </w:pPr>
            <w:r>
              <w:rPr>
                <w:color w:val="auto"/>
                <w:sz w:val="18"/>
                <w:szCs w:val="18"/>
              </w:rPr>
              <w:t>0.070</w:t>
            </w:r>
          </w:p>
        </w:tc>
      </w:tr>
      <w:tr w14:paraId="09072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118C0ABF">
            <w:pPr>
              <w:adjustRightInd w:val="0"/>
              <w:snapToGrid w:val="0"/>
              <w:spacing w:line="300" w:lineRule="atLeast"/>
              <w:jc w:val="center"/>
              <w:rPr>
                <w:color w:val="auto"/>
                <w:sz w:val="18"/>
                <w:szCs w:val="18"/>
              </w:rPr>
            </w:pPr>
            <w:r>
              <w:rPr>
                <w:color w:val="auto"/>
                <w:sz w:val="18"/>
                <w:szCs w:val="18"/>
              </w:rPr>
              <w:t>0.8</w:t>
            </w:r>
          </w:p>
        </w:tc>
        <w:tc>
          <w:tcPr>
            <w:tcW w:w="963" w:type="dxa"/>
            <w:vAlign w:val="center"/>
          </w:tcPr>
          <w:p w14:paraId="639BBAE0">
            <w:pPr>
              <w:adjustRightInd w:val="0"/>
              <w:snapToGrid w:val="0"/>
              <w:spacing w:line="260" w:lineRule="atLeast"/>
              <w:jc w:val="center"/>
              <w:rPr>
                <w:color w:val="auto"/>
                <w:sz w:val="18"/>
                <w:szCs w:val="18"/>
              </w:rPr>
            </w:pPr>
            <w:r>
              <w:rPr>
                <w:color w:val="auto"/>
                <w:sz w:val="18"/>
                <w:szCs w:val="18"/>
              </w:rPr>
              <w:t>0.756</w:t>
            </w:r>
          </w:p>
        </w:tc>
        <w:tc>
          <w:tcPr>
            <w:tcW w:w="964" w:type="dxa"/>
            <w:vAlign w:val="center"/>
          </w:tcPr>
          <w:p w14:paraId="35F004C2">
            <w:pPr>
              <w:adjustRightInd w:val="0"/>
              <w:snapToGrid w:val="0"/>
              <w:spacing w:line="260" w:lineRule="atLeast"/>
              <w:jc w:val="center"/>
              <w:rPr>
                <w:color w:val="auto"/>
                <w:sz w:val="18"/>
                <w:szCs w:val="18"/>
              </w:rPr>
            </w:pPr>
            <w:r>
              <w:rPr>
                <w:color w:val="auto"/>
                <w:sz w:val="18"/>
                <w:szCs w:val="18"/>
              </w:rPr>
              <w:t>0.363</w:t>
            </w:r>
          </w:p>
        </w:tc>
        <w:tc>
          <w:tcPr>
            <w:tcW w:w="963" w:type="dxa"/>
            <w:vAlign w:val="center"/>
          </w:tcPr>
          <w:p w14:paraId="778FB4C9">
            <w:pPr>
              <w:adjustRightInd w:val="0"/>
              <w:snapToGrid w:val="0"/>
              <w:spacing w:line="260" w:lineRule="atLeast"/>
              <w:jc w:val="center"/>
              <w:rPr>
                <w:color w:val="auto"/>
                <w:sz w:val="18"/>
                <w:szCs w:val="18"/>
              </w:rPr>
            </w:pPr>
            <w:r>
              <w:rPr>
                <w:color w:val="auto"/>
                <w:sz w:val="18"/>
                <w:szCs w:val="18"/>
              </w:rPr>
              <w:t>2.4</w:t>
            </w:r>
          </w:p>
        </w:tc>
        <w:tc>
          <w:tcPr>
            <w:tcW w:w="963" w:type="dxa"/>
            <w:vAlign w:val="center"/>
          </w:tcPr>
          <w:p w14:paraId="5E97745C">
            <w:pPr>
              <w:adjustRightInd w:val="0"/>
              <w:snapToGrid w:val="0"/>
              <w:spacing w:line="260" w:lineRule="atLeast"/>
              <w:jc w:val="center"/>
              <w:rPr>
                <w:color w:val="auto"/>
                <w:sz w:val="18"/>
                <w:szCs w:val="18"/>
              </w:rPr>
            </w:pPr>
            <w:r>
              <w:rPr>
                <w:color w:val="auto"/>
                <w:sz w:val="18"/>
                <w:szCs w:val="18"/>
              </w:rPr>
              <w:t>0.213</w:t>
            </w:r>
          </w:p>
        </w:tc>
        <w:tc>
          <w:tcPr>
            <w:tcW w:w="964" w:type="dxa"/>
            <w:vAlign w:val="center"/>
          </w:tcPr>
          <w:p w14:paraId="2C77F786">
            <w:pPr>
              <w:adjustRightInd w:val="0"/>
              <w:snapToGrid w:val="0"/>
              <w:spacing w:line="260" w:lineRule="atLeast"/>
              <w:jc w:val="center"/>
              <w:rPr>
                <w:color w:val="auto"/>
                <w:sz w:val="18"/>
                <w:szCs w:val="18"/>
              </w:rPr>
            </w:pPr>
            <w:r>
              <w:rPr>
                <w:color w:val="auto"/>
                <w:sz w:val="18"/>
                <w:szCs w:val="18"/>
              </w:rPr>
              <w:t>0.154</w:t>
            </w:r>
          </w:p>
        </w:tc>
        <w:tc>
          <w:tcPr>
            <w:tcW w:w="963" w:type="dxa"/>
            <w:vAlign w:val="center"/>
          </w:tcPr>
          <w:p w14:paraId="6A93667C">
            <w:pPr>
              <w:adjustRightInd w:val="0"/>
              <w:snapToGrid w:val="0"/>
              <w:spacing w:line="260" w:lineRule="atLeast"/>
              <w:jc w:val="center"/>
              <w:rPr>
                <w:color w:val="auto"/>
                <w:sz w:val="18"/>
                <w:szCs w:val="18"/>
              </w:rPr>
            </w:pPr>
            <w:r>
              <w:rPr>
                <w:color w:val="auto"/>
                <w:sz w:val="18"/>
                <w:szCs w:val="18"/>
              </w:rPr>
              <w:t>4.0</w:t>
            </w:r>
          </w:p>
        </w:tc>
        <w:tc>
          <w:tcPr>
            <w:tcW w:w="1216" w:type="dxa"/>
            <w:vAlign w:val="center"/>
          </w:tcPr>
          <w:p w14:paraId="5ADC4DC7">
            <w:pPr>
              <w:adjustRightInd w:val="0"/>
              <w:snapToGrid w:val="0"/>
              <w:spacing w:line="260" w:lineRule="atLeast"/>
              <w:jc w:val="center"/>
              <w:rPr>
                <w:color w:val="auto"/>
                <w:sz w:val="18"/>
                <w:szCs w:val="18"/>
              </w:rPr>
            </w:pPr>
            <w:r>
              <w:rPr>
                <w:color w:val="auto"/>
                <w:sz w:val="18"/>
                <w:szCs w:val="18"/>
              </w:rPr>
              <w:t>0.087</w:t>
            </w:r>
          </w:p>
        </w:tc>
        <w:tc>
          <w:tcPr>
            <w:tcW w:w="1217" w:type="dxa"/>
            <w:vAlign w:val="center"/>
          </w:tcPr>
          <w:p w14:paraId="00896DCB">
            <w:pPr>
              <w:adjustRightInd w:val="0"/>
              <w:snapToGrid w:val="0"/>
              <w:spacing w:line="260" w:lineRule="atLeast"/>
              <w:jc w:val="center"/>
              <w:rPr>
                <w:color w:val="auto"/>
                <w:sz w:val="18"/>
                <w:szCs w:val="18"/>
              </w:rPr>
            </w:pPr>
            <w:r>
              <w:rPr>
                <w:color w:val="auto"/>
                <w:sz w:val="18"/>
                <w:szCs w:val="18"/>
              </w:rPr>
              <w:t>0.066</w:t>
            </w:r>
          </w:p>
        </w:tc>
      </w:tr>
      <w:tr w14:paraId="0979C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76B17D11">
            <w:pPr>
              <w:adjustRightInd w:val="0"/>
              <w:snapToGrid w:val="0"/>
              <w:spacing w:line="300" w:lineRule="atLeast"/>
              <w:jc w:val="center"/>
              <w:rPr>
                <w:color w:val="auto"/>
                <w:sz w:val="18"/>
                <w:szCs w:val="18"/>
              </w:rPr>
            </w:pPr>
            <w:r>
              <w:rPr>
                <w:color w:val="auto"/>
                <w:sz w:val="18"/>
                <w:szCs w:val="18"/>
              </w:rPr>
              <w:t>0.9</w:t>
            </w:r>
          </w:p>
        </w:tc>
        <w:tc>
          <w:tcPr>
            <w:tcW w:w="963" w:type="dxa"/>
            <w:vAlign w:val="center"/>
          </w:tcPr>
          <w:p w14:paraId="3FD09FA7">
            <w:pPr>
              <w:adjustRightInd w:val="0"/>
              <w:snapToGrid w:val="0"/>
              <w:spacing w:line="260" w:lineRule="atLeast"/>
              <w:jc w:val="center"/>
              <w:rPr>
                <w:color w:val="auto"/>
                <w:sz w:val="18"/>
                <w:szCs w:val="18"/>
              </w:rPr>
            </w:pPr>
            <w:r>
              <w:rPr>
                <w:color w:val="auto"/>
                <w:sz w:val="18"/>
                <w:szCs w:val="18"/>
              </w:rPr>
              <w:t>0.701</w:t>
            </w:r>
          </w:p>
        </w:tc>
        <w:tc>
          <w:tcPr>
            <w:tcW w:w="964" w:type="dxa"/>
            <w:vAlign w:val="center"/>
          </w:tcPr>
          <w:p w14:paraId="7B84D132">
            <w:pPr>
              <w:adjustRightInd w:val="0"/>
              <w:snapToGrid w:val="0"/>
              <w:spacing w:line="260" w:lineRule="atLeast"/>
              <w:jc w:val="center"/>
              <w:rPr>
                <w:color w:val="auto"/>
                <w:sz w:val="18"/>
                <w:szCs w:val="18"/>
              </w:rPr>
            </w:pPr>
            <w:r>
              <w:rPr>
                <w:color w:val="auto"/>
                <w:sz w:val="18"/>
                <w:szCs w:val="18"/>
              </w:rPr>
              <w:t>0.347</w:t>
            </w:r>
          </w:p>
        </w:tc>
        <w:tc>
          <w:tcPr>
            <w:tcW w:w="963" w:type="dxa"/>
            <w:vAlign w:val="center"/>
          </w:tcPr>
          <w:p w14:paraId="3A2B9ABC">
            <w:pPr>
              <w:adjustRightInd w:val="0"/>
              <w:snapToGrid w:val="0"/>
              <w:spacing w:line="260" w:lineRule="atLeast"/>
              <w:jc w:val="center"/>
              <w:rPr>
                <w:color w:val="auto"/>
                <w:sz w:val="18"/>
                <w:szCs w:val="18"/>
              </w:rPr>
            </w:pPr>
            <w:r>
              <w:rPr>
                <w:color w:val="auto"/>
                <w:sz w:val="18"/>
                <w:szCs w:val="18"/>
              </w:rPr>
              <w:t>2.5</w:t>
            </w:r>
          </w:p>
        </w:tc>
        <w:tc>
          <w:tcPr>
            <w:tcW w:w="963" w:type="dxa"/>
            <w:vAlign w:val="center"/>
          </w:tcPr>
          <w:p w14:paraId="145C0721">
            <w:pPr>
              <w:adjustRightInd w:val="0"/>
              <w:snapToGrid w:val="0"/>
              <w:spacing w:line="260" w:lineRule="atLeast"/>
              <w:jc w:val="center"/>
              <w:rPr>
                <w:color w:val="auto"/>
                <w:sz w:val="18"/>
                <w:szCs w:val="18"/>
              </w:rPr>
            </w:pPr>
            <w:r>
              <w:rPr>
                <w:color w:val="auto"/>
                <w:sz w:val="18"/>
                <w:szCs w:val="18"/>
              </w:rPr>
              <w:t>0.200</w:t>
            </w:r>
          </w:p>
        </w:tc>
        <w:tc>
          <w:tcPr>
            <w:tcW w:w="964" w:type="dxa"/>
            <w:vAlign w:val="center"/>
          </w:tcPr>
          <w:p w14:paraId="3DF24CEF">
            <w:pPr>
              <w:adjustRightInd w:val="0"/>
              <w:snapToGrid w:val="0"/>
              <w:spacing w:line="260" w:lineRule="atLeast"/>
              <w:jc w:val="center"/>
              <w:rPr>
                <w:color w:val="auto"/>
                <w:sz w:val="18"/>
                <w:szCs w:val="18"/>
              </w:rPr>
            </w:pPr>
            <w:r>
              <w:rPr>
                <w:color w:val="auto"/>
                <w:sz w:val="18"/>
                <w:szCs w:val="18"/>
              </w:rPr>
              <w:t>0.146</w:t>
            </w:r>
          </w:p>
        </w:tc>
        <w:tc>
          <w:tcPr>
            <w:tcW w:w="963" w:type="dxa"/>
            <w:vAlign w:val="center"/>
          </w:tcPr>
          <w:p w14:paraId="078C70C5">
            <w:pPr>
              <w:adjustRightInd w:val="0"/>
              <w:snapToGrid w:val="0"/>
              <w:spacing w:line="260" w:lineRule="atLeast"/>
              <w:jc w:val="center"/>
              <w:rPr>
                <w:color w:val="auto"/>
                <w:sz w:val="18"/>
                <w:szCs w:val="18"/>
              </w:rPr>
            </w:pPr>
            <w:r>
              <w:rPr>
                <w:color w:val="auto"/>
                <w:sz w:val="18"/>
                <w:szCs w:val="18"/>
              </w:rPr>
              <w:t>4.2</w:t>
            </w:r>
          </w:p>
        </w:tc>
        <w:tc>
          <w:tcPr>
            <w:tcW w:w="1216" w:type="dxa"/>
            <w:vAlign w:val="center"/>
          </w:tcPr>
          <w:p w14:paraId="5101BF3C">
            <w:pPr>
              <w:adjustRightInd w:val="0"/>
              <w:snapToGrid w:val="0"/>
              <w:spacing w:line="260" w:lineRule="atLeast"/>
              <w:jc w:val="center"/>
              <w:rPr>
                <w:color w:val="auto"/>
                <w:sz w:val="18"/>
                <w:szCs w:val="18"/>
              </w:rPr>
            </w:pPr>
            <w:r>
              <w:rPr>
                <w:color w:val="auto"/>
                <w:sz w:val="18"/>
                <w:szCs w:val="18"/>
              </w:rPr>
              <w:t>0.079</w:t>
            </w:r>
          </w:p>
        </w:tc>
        <w:tc>
          <w:tcPr>
            <w:tcW w:w="1217" w:type="dxa"/>
            <w:vAlign w:val="center"/>
          </w:tcPr>
          <w:p w14:paraId="38FF7C8D">
            <w:pPr>
              <w:adjustRightInd w:val="0"/>
              <w:snapToGrid w:val="0"/>
              <w:spacing w:line="260" w:lineRule="atLeast"/>
              <w:jc w:val="center"/>
              <w:rPr>
                <w:color w:val="auto"/>
                <w:sz w:val="18"/>
                <w:szCs w:val="18"/>
              </w:rPr>
            </w:pPr>
            <w:r>
              <w:rPr>
                <w:color w:val="auto"/>
                <w:sz w:val="18"/>
                <w:szCs w:val="18"/>
              </w:rPr>
              <w:t>0.058</w:t>
            </w:r>
          </w:p>
        </w:tc>
      </w:tr>
      <w:tr w14:paraId="44DBF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53758E1">
            <w:pPr>
              <w:adjustRightInd w:val="0"/>
              <w:snapToGrid w:val="0"/>
              <w:spacing w:line="300" w:lineRule="atLeast"/>
              <w:jc w:val="center"/>
              <w:rPr>
                <w:color w:val="auto"/>
                <w:sz w:val="18"/>
                <w:szCs w:val="18"/>
              </w:rPr>
            </w:pPr>
            <w:r>
              <w:rPr>
                <w:color w:val="auto"/>
                <w:sz w:val="18"/>
                <w:szCs w:val="18"/>
              </w:rPr>
              <w:t>1.0</w:t>
            </w:r>
          </w:p>
        </w:tc>
        <w:tc>
          <w:tcPr>
            <w:tcW w:w="963" w:type="dxa"/>
            <w:vAlign w:val="center"/>
          </w:tcPr>
          <w:p w14:paraId="6CA03971">
            <w:pPr>
              <w:adjustRightInd w:val="0"/>
              <w:snapToGrid w:val="0"/>
              <w:spacing w:line="260" w:lineRule="atLeast"/>
              <w:jc w:val="center"/>
              <w:rPr>
                <w:color w:val="auto"/>
                <w:sz w:val="18"/>
                <w:szCs w:val="18"/>
              </w:rPr>
            </w:pPr>
            <w:r>
              <w:rPr>
                <w:color w:val="auto"/>
                <w:sz w:val="18"/>
                <w:szCs w:val="18"/>
              </w:rPr>
              <w:t>0.647</w:t>
            </w:r>
          </w:p>
        </w:tc>
        <w:tc>
          <w:tcPr>
            <w:tcW w:w="964" w:type="dxa"/>
            <w:vAlign w:val="center"/>
          </w:tcPr>
          <w:p w14:paraId="12C2B005">
            <w:pPr>
              <w:adjustRightInd w:val="0"/>
              <w:snapToGrid w:val="0"/>
              <w:spacing w:line="260" w:lineRule="atLeast"/>
              <w:jc w:val="center"/>
              <w:rPr>
                <w:color w:val="auto"/>
                <w:sz w:val="18"/>
                <w:szCs w:val="18"/>
              </w:rPr>
            </w:pPr>
            <w:r>
              <w:rPr>
                <w:color w:val="auto"/>
                <w:sz w:val="18"/>
                <w:szCs w:val="18"/>
              </w:rPr>
              <w:t>0.332</w:t>
            </w:r>
          </w:p>
        </w:tc>
        <w:tc>
          <w:tcPr>
            <w:tcW w:w="963" w:type="dxa"/>
            <w:vAlign w:val="center"/>
          </w:tcPr>
          <w:p w14:paraId="56B89831">
            <w:pPr>
              <w:adjustRightInd w:val="0"/>
              <w:snapToGrid w:val="0"/>
              <w:spacing w:line="260" w:lineRule="atLeast"/>
              <w:jc w:val="center"/>
              <w:rPr>
                <w:color w:val="auto"/>
                <w:sz w:val="18"/>
                <w:szCs w:val="18"/>
              </w:rPr>
            </w:pPr>
            <w:r>
              <w:rPr>
                <w:color w:val="auto"/>
                <w:sz w:val="18"/>
                <w:szCs w:val="18"/>
              </w:rPr>
              <w:t>2.6</w:t>
            </w:r>
          </w:p>
        </w:tc>
        <w:tc>
          <w:tcPr>
            <w:tcW w:w="963" w:type="dxa"/>
            <w:vAlign w:val="center"/>
          </w:tcPr>
          <w:p w14:paraId="2314F65B">
            <w:pPr>
              <w:adjustRightInd w:val="0"/>
              <w:snapToGrid w:val="0"/>
              <w:spacing w:line="260" w:lineRule="atLeast"/>
              <w:jc w:val="center"/>
              <w:rPr>
                <w:color w:val="auto"/>
                <w:sz w:val="18"/>
                <w:szCs w:val="18"/>
              </w:rPr>
            </w:pPr>
            <w:r>
              <w:rPr>
                <w:color w:val="auto"/>
                <w:sz w:val="18"/>
                <w:szCs w:val="18"/>
              </w:rPr>
              <w:t>0.187</w:t>
            </w:r>
          </w:p>
        </w:tc>
        <w:tc>
          <w:tcPr>
            <w:tcW w:w="964" w:type="dxa"/>
            <w:vAlign w:val="center"/>
          </w:tcPr>
          <w:p w14:paraId="70DF0B48">
            <w:pPr>
              <w:adjustRightInd w:val="0"/>
              <w:snapToGrid w:val="0"/>
              <w:spacing w:line="260" w:lineRule="atLeast"/>
              <w:jc w:val="center"/>
              <w:rPr>
                <w:color w:val="auto"/>
                <w:sz w:val="18"/>
                <w:szCs w:val="18"/>
              </w:rPr>
            </w:pPr>
            <w:r>
              <w:rPr>
                <w:color w:val="auto"/>
                <w:sz w:val="18"/>
                <w:szCs w:val="18"/>
              </w:rPr>
              <w:t>0.139</w:t>
            </w:r>
          </w:p>
        </w:tc>
        <w:tc>
          <w:tcPr>
            <w:tcW w:w="963" w:type="dxa"/>
            <w:vAlign w:val="center"/>
          </w:tcPr>
          <w:p w14:paraId="75BFC467">
            <w:pPr>
              <w:adjustRightInd w:val="0"/>
              <w:snapToGrid w:val="0"/>
              <w:spacing w:line="260" w:lineRule="atLeast"/>
              <w:jc w:val="center"/>
              <w:rPr>
                <w:color w:val="auto"/>
                <w:sz w:val="18"/>
                <w:szCs w:val="18"/>
              </w:rPr>
            </w:pPr>
            <w:r>
              <w:rPr>
                <w:color w:val="auto"/>
                <w:sz w:val="18"/>
                <w:szCs w:val="18"/>
              </w:rPr>
              <w:t>4.4</w:t>
            </w:r>
          </w:p>
        </w:tc>
        <w:tc>
          <w:tcPr>
            <w:tcW w:w="1216" w:type="dxa"/>
            <w:vAlign w:val="center"/>
          </w:tcPr>
          <w:p w14:paraId="71FA8876">
            <w:pPr>
              <w:adjustRightInd w:val="0"/>
              <w:snapToGrid w:val="0"/>
              <w:spacing w:line="260" w:lineRule="atLeast"/>
              <w:jc w:val="center"/>
              <w:rPr>
                <w:color w:val="auto"/>
                <w:sz w:val="18"/>
                <w:szCs w:val="18"/>
              </w:rPr>
            </w:pPr>
            <w:r>
              <w:rPr>
                <w:color w:val="auto"/>
                <w:sz w:val="18"/>
                <w:szCs w:val="18"/>
              </w:rPr>
              <w:t>0.073</w:t>
            </w:r>
          </w:p>
        </w:tc>
        <w:tc>
          <w:tcPr>
            <w:tcW w:w="1217" w:type="dxa"/>
            <w:vAlign w:val="center"/>
          </w:tcPr>
          <w:p w14:paraId="2D29DEF1">
            <w:pPr>
              <w:adjustRightInd w:val="0"/>
              <w:snapToGrid w:val="0"/>
              <w:spacing w:line="260" w:lineRule="atLeast"/>
              <w:jc w:val="center"/>
              <w:rPr>
                <w:color w:val="auto"/>
                <w:sz w:val="18"/>
                <w:szCs w:val="18"/>
              </w:rPr>
            </w:pPr>
            <w:r>
              <w:rPr>
                <w:color w:val="auto"/>
                <w:sz w:val="18"/>
                <w:szCs w:val="18"/>
              </w:rPr>
              <w:t>0.052</w:t>
            </w:r>
          </w:p>
        </w:tc>
      </w:tr>
      <w:tr w14:paraId="34E30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551378D">
            <w:pPr>
              <w:adjustRightInd w:val="0"/>
              <w:snapToGrid w:val="0"/>
              <w:spacing w:line="300" w:lineRule="atLeast"/>
              <w:jc w:val="center"/>
              <w:rPr>
                <w:color w:val="auto"/>
                <w:sz w:val="18"/>
                <w:szCs w:val="18"/>
              </w:rPr>
            </w:pPr>
            <w:r>
              <w:rPr>
                <w:color w:val="auto"/>
                <w:sz w:val="18"/>
                <w:szCs w:val="18"/>
              </w:rPr>
              <w:t>1.1</w:t>
            </w:r>
          </w:p>
        </w:tc>
        <w:tc>
          <w:tcPr>
            <w:tcW w:w="963" w:type="dxa"/>
            <w:vAlign w:val="center"/>
          </w:tcPr>
          <w:p w14:paraId="248C7CC4">
            <w:pPr>
              <w:adjustRightInd w:val="0"/>
              <w:snapToGrid w:val="0"/>
              <w:spacing w:line="260" w:lineRule="atLeast"/>
              <w:jc w:val="center"/>
              <w:rPr>
                <w:color w:val="auto"/>
                <w:sz w:val="18"/>
                <w:szCs w:val="18"/>
              </w:rPr>
            </w:pPr>
            <w:r>
              <w:rPr>
                <w:color w:val="auto"/>
                <w:sz w:val="18"/>
                <w:szCs w:val="18"/>
              </w:rPr>
              <w:t>0.595</w:t>
            </w:r>
          </w:p>
        </w:tc>
        <w:tc>
          <w:tcPr>
            <w:tcW w:w="964" w:type="dxa"/>
            <w:vAlign w:val="center"/>
          </w:tcPr>
          <w:p w14:paraId="3A484CF1">
            <w:pPr>
              <w:adjustRightInd w:val="0"/>
              <w:snapToGrid w:val="0"/>
              <w:spacing w:line="260" w:lineRule="atLeast"/>
              <w:jc w:val="center"/>
              <w:rPr>
                <w:color w:val="auto"/>
                <w:sz w:val="18"/>
                <w:szCs w:val="18"/>
              </w:rPr>
            </w:pPr>
            <w:r>
              <w:rPr>
                <w:color w:val="auto"/>
                <w:sz w:val="18"/>
                <w:szCs w:val="18"/>
              </w:rPr>
              <w:t>0.313</w:t>
            </w:r>
          </w:p>
        </w:tc>
        <w:tc>
          <w:tcPr>
            <w:tcW w:w="963" w:type="dxa"/>
            <w:vAlign w:val="center"/>
          </w:tcPr>
          <w:p w14:paraId="42DEC933">
            <w:pPr>
              <w:adjustRightInd w:val="0"/>
              <w:snapToGrid w:val="0"/>
              <w:spacing w:line="260" w:lineRule="atLeast"/>
              <w:jc w:val="center"/>
              <w:rPr>
                <w:color w:val="auto"/>
                <w:sz w:val="18"/>
                <w:szCs w:val="18"/>
              </w:rPr>
            </w:pPr>
            <w:r>
              <w:rPr>
                <w:color w:val="auto"/>
                <w:sz w:val="18"/>
                <w:szCs w:val="18"/>
              </w:rPr>
              <w:t>2.7</w:t>
            </w:r>
          </w:p>
        </w:tc>
        <w:tc>
          <w:tcPr>
            <w:tcW w:w="963" w:type="dxa"/>
            <w:vAlign w:val="center"/>
          </w:tcPr>
          <w:p w14:paraId="23C51CC5">
            <w:pPr>
              <w:adjustRightInd w:val="0"/>
              <w:snapToGrid w:val="0"/>
              <w:spacing w:line="260" w:lineRule="atLeast"/>
              <w:jc w:val="center"/>
              <w:rPr>
                <w:color w:val="auto"/>
                <w:sz w:val="18"/>
                <w:szCs w:val="18"/>
              </w:rPr>
            </w:pPr>
            <w:r>
              <w:rPr>
                <w:color w:val="auto"/>
                <w:sz w:val="18"/>
                <w:szCs w:val="18"/>
              </w:rPr>
              <w:t>0.175</w:t>
            </w:r>
          </w:p>
        </w:tc>
        <w:tc>
          <w:tcPr>
            <w:tcW w:w="964" w:type="dxa"/>
            <w:vAlign w:val="center"/>
          </w:tcPr>
          <w:p w14:paraId="29D8330A">
            <w:pPr>
              <w:adjustRightInd w:val="0"/>
              <w:snapToGrid w:val="0"/>
              <w:spacing w:line="260" w:lineRule="atLeast"/>
              <w:jc w:val="center"/>
              <w:rPr>
                <w:color w:val="auto"/>
                <w:sz w:val="18"/>
                <w:szCs w:val="18"/>
              </w:rPr>
            </w:pPr>
            <w:r>
              <w:rPr>
                <w:color w:val="auto"/>
                <w:sz w:val="18"/>
                <w:szCs w:val="18"/>
              </w:rPr>
              <w:t>0.133</w:t>
            </w:r>
          </w:p>
        </w:tc>
        <w:tc>
          <w:tcPr>
            <w:tcW w:w="963" w:type="dxa"/>
            <w:vAlign w:val="center"/>
          </w:tcPr>
          <w:p w14:paraId="5A22B9B4">
            <w:pPr>
              <w:adjustRightInd w:val="0"/>
              <w:snapToGrid w:val="0"/>
              <w:spacing w:line="260" w:lineRule="atLeast"/>
              <w:jc w:val="center"/>
              <w:rPr>
                <w:color w:val="auto"/>
                <w:sz w:val="18"/>
                <w:szCs w:val="18"/>
              </w:rPr>
            </w:pPr>
            <w:r>
              <w:rPr>
                <w:color w:val="auto"/>
                <w:sz w:val="18"/>
                <w:szCs w:val="18"/>
              </w:rPr>
              <w:t>4.6</w:t>
            </w:r>
          </w:p>
        </w:tc>
        <w:tc>
          <w:tcPr>
            <w:tcW w:w="1216" w:type="dxa"/>
            <w:vAlign w:val="center"/>
          </w:tcPr>
          <w:p w14:paraId="3DFC5F76">
            <w:pPr>
              <w:adjustRightInd w:val="0"/>
              <w:snapToGrid w:val="0"/>
              <w:spacing w:line="260" w:lineRule="atLeast"/>
              <w:jc w:val="center"/>
              <w:rPr>
                <w:color w:val="auto"/>
                <w:sz w:val="18"/>
                <w:szCs w:val="18"/>
              </w:rPr>
            </w:pPr>
            <w:r>
              <w:rPr>
                <w:color w:val="auto"/>
                <w:sz w:val="18"/>
                <w:szCs w:val="18"/>
              </w:rPr>
              <w:t>0.067</w:t>
            </w:r>
          </w:p>
        </w:tc>
        <w:tc>
          <w:tcPr>
            <w:tcW w:w="1217" w:type="dxa"/>
            <w:vAlign w:val="center"/>
          </w:tcPr>
          <w:p w14:paraId="5A8F8B83">
            <w:pPr>
              <w:adjustRightInd w:val="0"/>
              <w:snapToGrid w:val="0"/>
              <w:spacing w:line="260" w:lineRule="atLeast"/>
              <w:jc w:val="center"/>
              <w:rPr>
                <w:color w:val="auto"/>
                <w:sz w:val="18"/>
                <w:szCs w:val="18"/>
              </w:rPr>
            </w:pPr>
            <w:r>
              <w:rPr>
                <w:color w:val="auto"/>
                <w:sz w:val="18"/>
                <w:szCs w:val="18"/>
              </w:rPr>
              <w:t>0.049</w:t>
            </w:r>
          </w:p>
        </w:tc>
      </w:tr>
      <w:tr w14:paraId="4A7F4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386A4CE4">
            <w:pPr>
              <w:adjustRightInd w:val="0"/>
              <w:snapToGrid w:val="0"/>
              <w:spacing w:line="300" w:lineRule="atLeast"/>
              <w:jc w:val="center"/>
              <w:rPr>
                <w:color w:val="auto"/>
                <w:sz w:val="18"/>
                <w:szCs w:val="18"/>
              </w:rPr>
            </w:pPr>
            <w:r>
              <w:rPr>
                <w:color w:val="auto"/>
                <w:sz w:val="18"/>
                <w:szCs w:val="18"/>
              </w:rPr>
              <w:t>1.2</w:t>
            </w:r>
          </w:p>
        </w:tc>
        <w:tc>
          <w:tcPr>
            <w:tcW w:w="963" w:type="dxa"/>
            <w:vAlign w:val="center"/>
          </w:tcPr>
          <w:p w14:paraId="12E848D0">
            <w:pPr>
              <w:adjustRightInd w:val="0"/>
              <w:snapToGrid w:val="0"/>
              <w:spacing w:line="260" w:lineRule="atLeast"/>
              <w:jc w:val="center"/>
              <w:rPr>
                <w:color w:val="auto"/>
                <w:sz w:val="18"/>
                <w:szCs w:val="18"/>
              </w:rPr>
            </w:pPr>
            <w:r>
              <w:rPr>
                <w:color w:val="auto"/>
                <w:sz w:val="18"/>
                <w:szCs w:val="18"/>
              </w:rPr>
              <w:t>0.547</w:t>
            </w:r>
          </w:p>
        </w:tc>
        <w:tc>
          <w:tcPr>
            <w:tcW w:w="964" w:type="dxa"/>
            <w:vAlign w:val="center"/>
          </w:tcPr>
          <w:p w14:paraId="1330B307">
            <w:pPr>
              <w:adjustRightInd w:val="0"/>
              <w:snapToGrid w:val="0"/>
              <w:spacing w:line="260" w:lineRule="atLeast"/>
              <w:jc w:val="center"/>
              <w:rPr>
                <w:color w:val="auto"/>
                <w:sz w:val="18"/>
                <w:szCs w:val="18"/>
              </w:rPr>
            </w:pPr>
            <w:r>
              <w:rPr>
                <w:color w:val="auto"/>
                <w:sz w:val="18"/>
                <w:szCs w:val="18"/>
              </w:rPr>
              <w:t>0.303</w:t>
            </w:r>
          </w:p>
        </w:tc>
        <w:tc>
          <w:tcPr>
            <w:tcW w:w="963" w:type="dxa"/>
            <w:vAlign w:val="center"/>
          </w:tcPr>
          <w:p w14:paraId="24E12870">
            <w:pPr>
              <w:adjustRightInd w:val="0"/>
              <w:snapToGrid w:val="0"/>
              <w:spacing w:line="260" w:lineRule="atLeast"/>
              <w:jc w:val="center"/>
              <w:rPr>
                <w:color w:val="auto"/>
                <w:sz w:val="18"/>
                <w:szCs w:val="18"/>
              </w:rPr>
            </w:pPr>
            <w:r>
              <w:rPr>
                <w:color w:val="auto"/>
                <w:sz w:val="18"/>
                <w:szCs w:val="18"/>
              </w:rPr>
              <w:t>2.8</w:t>
            </w:r>
          </w:p>
        </w:tc>
        <w:tc>
          <w:tcPr>
            <w:tcW w:w="963" w:type="dxa"/>
            <w:vAlign w:val="center"/>
          </w:tcPr>
          <w:p w14:paraId="3BFD2346">
            <w:pPr>
              <w:adjustRightInd w:val="0"/>
              <w:snapToGrid w:val="0"/>
              <w:spacing w:line="260" w:lineRule="atLeast"/>
              <w:jc w:val="center"/>
              <w:rPr>
                <w:color w:val="auto"/>
                <w:sz w:val="18"/>
                <w:szCs w:val="18"/>
              </w:rPr>
            </w:pPr>
            <w:r>
              <w:rPr>
                <w:color w:val="auto"/>
                <w:sz w:val="18"/>
                <w:szCs w:val="18"/>
              </w:rPr>
              <w:t>0.165</w:t>
            </w:r>
          </w:p>
        </w:tc>
        <w:tc>
          <w:tcPr>
            <w:tcW w:w="964" w:type="dxa"/>
            <w:vAlign w:val="center"/>
          </w:tcPr>
          <w:p w14:paraId="6EC470C9">
            <w:pPr>
              <w:adjustRightInd w:val="0"/>
              <w:snapToGrid w:val="0"/>
              <w:spacing w:line="260" w:lineRule="atLeast"/>
              <w:jc w:val="center"/>
              <w:rPr>
                <w:color w:val="auto"/>
                <w:sz w:val="18"/>
                <w:szCs w:val="18"/>
              </w:rPr>
            </w:pPr>
            <w:r>
              <w:rPr>
                <w:color w:val="auto"/>
                <w:sz w:val="18"/>
                <w:szCs w:val="18"/>
              </w:rPr>
              <w:t>0.125</w:t>
            </w:r>
          </w:p>
        </w:tc>
        <w:tc>
          <w:tcPr>
            <w:tcW w:w="963" w:type="dxa"/>
            <w:vAlign w:val="center"/>
          </w:tcPr>
          <w:p w14:paraId="7D79B1FD">
            <w:pPr>
              <w:adjustRightInd w:val="0"/>
              <w:snapToGrid w:val="0"/>
              <w:spacing w:line="260" w:lineRule="atLeast"/>
              <w:jc w:val="center"/>
              <w:rPr>
                <w:color w:val="auto"/>
                <w:sz w:val="18"/>
                <w:szCs w:val="18"/>
              </w:rPr>
            </w:pPr>
            <w:r>
              <w:rPr>
                <w:color w:val="auto"/>
                <w:sz w:val="18"/>
                <w:szCs w:val="18"/>
              </w:rPr>
              <w:t>4.8</w:t>
            </w:r>
          </w:p>
        </w:tc>
        <w:tc>
          <w:tcPr>
            <w:tcW w:w="1216" w:type="dxa"/>
            <w:vAlign w:val="center"/>
          </w:tcPr>
          <w:p w14:paraId="340C8C21">
            <w:pPr>
              <w:adjustRightInd w:val="0"/>
              <w:snapToGrid w:val="0"/>
              <w:spacing w:line="260" w:lineRule="atLeast"/>
              <w:jc w:val="center"/>
              <w:rPr>
                <w:color w:val="auto"/>
                <w:sz w:val="18"/>
                <w:szCs w:val="18"/>
              </w:rPr>
            </w:pPr>
            <w:r>
              <w:rPr>
                <w:color w:val="auto"/>
                <w:sz w:val="18"/>
                <w:szCs w:val="18"/>
              </w:rPr>
              <w:t>0.062</w:t>
            </w:r>
          </w:p>
        </w:tc>
        <w:tc>
          <w:tcPr>
            <w:tcW w:w="1217" w:type="dxa"/>
            <w:vAlign w:val="center"/>
          </w:tcPr>
          <w:p w14:paraId="5A91FF39">
            <w:pPr>
              <w:adjustRightInd w:val="0"/>
              <w:snapToGrid w:val="0"/>
              <w:spacing w:line="260" w:lineRule="atLeast"/>
              <w:jc w:val="center"/>
              <w:rPr>
                <w:color w:val="auto"/>
                <w:sz w:val="18"/>
                <w:szCs w:val="18"/>
              </w:rPr>
            </w:pPr>
            <w:r>
              <w:rPr>
                <w:color w:val="auto"/>
                <w:sz w:val="18"/>
                <w:szCs w:val="18"/>
              </w:rPr>
              <w:t>0.047</w:t>
            </w:r>
          </w:p>
        </w:tc>
      </w:tr>
      <w:tr w14:paraId="01664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04CA78D4">
            <w:pPr>
              <w:adjustRightInd w:val="0"/>
              <w:snapToGrid w:val="0"/>
              <w:spacing w:line="300" w:lineRule="atLeast"/>
              <w:jc w:val="center"/>
              <w:rPr>
                <w:color w:val="auto"/>
                <w:sz w:val="18"/>
                <w:szCs w:val="18"/>
              </w:rPr>
            </w:pPr>
            <w:r>
              <w:rPr>
                <w:color w:val="auto"/>
                <w:sz w:val="18"/>
                <w:szCs w:val="18"/>
              </w:rPr>
              <w:t>1.3</w:t>
            </w:r>
          </w:p>
        </w:tc>
        <w:tc>
          <w:tcPr>
            <w:tcW w:w="963" w:type="dxa"/>
            <w:vAlign w:val="center"/>
          </w:tcPr>
          <w:p w14:paraId="662F233C">
            <w:pPr>
              <w:adjustRightInd w:val="0"/>
              <w:snapToGrid w:val="0"/>
              <w:spacing w:line="260" w:lineRule="atLeast"/>
              <w:jc w:val="center"/>
              <w:rPr>
                <w:color w:val="auto"/>
                <w:sz w:val="18"/>
                <w:szCs w:val="18"/>
              </w:rPr>
            </w:pPr>
            <w:r>
              <w:rPr>
                <w:color w:val="auto"/>
                <w:sz w:val="18"/>
                <w:szCs w:val="18"/>
              </w:rPr>
              <w:t>0.502</w:t>
            </w:r>
          </w:p>
        </w:tc>
        <w:tc>
          <w:tcPr>
            <w:tcW w:w="964" w:type="dxa"/>
            <w:vAlign w:val="center"/>
          </w:tcPr>
          <w:p w14:paraId="7B1E34B2">
            <w:pPr>
              <w:adjustRightInd w:val="0"/>
              <w:snapToGrid w:val="0"/>
              <w:spacing w:line="260" w:lineRule="atLeast"/>
              <w:jc w:val="center"/>
              <w:rPr>
                <w:color w:val="auto"/>
                <w:sz w:val="18"/>
                <w:szCs w:val="18"/>
              </w:rPr>
            </w:pPr>
            <w:r>
              <w:rPr>
                <w:color w:val="auto"/>
                <w:sz w:val="18"/>
                <w:szCs w:val="18"/>
              </w:rPr>
              <w:t>0.286</w:t>
            </w:r>
          </w:p>
        </w:tc>
        <w:tc>
          <w:tcPr>
            <w:tcW w:w="963" w:type="dxa"/>
            <w:vAlign w:val="center"/>
          </w:tcPr>
          <w:p w14:paraId="61FDC05B">
            <w:pPr>
              <w:adjustRightInd w:val="0"/>
              <w:snapToGrid w:val="0"/>
              <w:spacing w:line="260" w:lineRule="atLeast"/>
              <w:jc w:val="center"/>
              <w:rPr>
                <w:color w:val="auto"/>
                <w:sz w:val="18"/>
                <w:szCs w:val="18"/>
              </w:rPr>
            </w:pPr>
            <w:r>
              <w:rPr>
                <w:color w:val="auto"/>
                <w:sz w:val="18"/>
                <w:szCs w:val="18"/>
              </w:rPr>
              <w:t>2.9</w:t>
            </w:r>
          </w:p>
        </w:tc>
        <w:tc>
          <w:tcPr>
            <w:tcW w:w="963" w:type="dxa"/>
            <w:vAlign w:val="center"/>
          </w:tcPr>
          <w:p w14:paraId="7CEB8CEF">
            <w:pPr>
              <w:adjustRightInd w:val="0"/>
              <w:snapToGrid w:val="0"/>
              <w:spacing w:line="260" w:lineRule="atLeast"/>
              <w:jc w:val="center"/>
              <w:rPr>
                <w:color w:val="auto"/>
                <w:sz w:val="18"/>
                <w:szCs w:val="18"/>
              </w:rPr>
            </w:pPr>
            <w:r>
              <w:rPr>
                <w:color w:val="auto"/>
                <w:sz w:val="18"/>
                <w:szCs w:val="18"/>
              </w:rPr>
              <w:t>0.155</w:t>
            </w:r>
          </w:p>
        </w:tc>
        <w:tc>
          <w:tcPr>
            <w:tcW w:w="964" w:type="dxa"/>
            <w:vAlign w:val="center"/>
          </w:tcPr>
          <w:p w14:paraId="6C0A0253">
            <w:pPr>
              <w:adjustRightInd w:val="0"/>
              <w:snapToGrid w:val="0"/>
              <w:spacing w:line="260" w:lineRule="atLeast"/>
              <w:jc w:val="center"/>
              <w:rPr>
                <w:color w:val="auto"/>
                <w:sz w:val="18"/>
                <w:szCs w:val="18"/>
              </w:rPr>
            </w:pPr>
            <w:r>
              <w:rPr>
                <w:color w:val="auto"/>
                <w:sz w:val="18"/>
                <w:szCs w:val="18"/>
              </w:rPr>
              <w:t>0.119</w:t>
            </w:r>
          </w:p>
        </w:tc>
        <w:tc>
          <w:tcPr>
            <w:tcW w:w="963" w:type="dxa"/>
            <w:vAlign w:val="center"/>
          </w:tcPr>
          <w:p w14:paraId="7C7A161F">
            <w:pPr>
              <w:adjustRightInd w:val="0"/>
              <w:snapToGrid w:val="0"/>
              <w:spacing w:line="260" w:lineRule="atLeast"/>
              <w:jc w:val="center"/>
              <w:rPr>
                <w:color w:val="auto"/>
                <w:sz w:val="18"/>
                <w:szCs w:val="18"/>
              </w:rPr>
            </w:pPr>
            <w:r>
              <w:rPr>
                <w:color w:val="auto"/>
                <w:sz w:val="18"/>
                <w:szCs w:val="18"/>
              </w:rPr>
              <w:t>5.0</w:t>
            </w:r>
          </w:p>
        </w:tc>
        <w:tc>
          <w:tcPr>
            <w:tcW w:w="1216" w:type="dxa"/>
            <w:vAlign w:val="center"/>
          </w:tcPr>
          <w:p w14:paraId="0D2E6C44">
            <w:pPr>
              <w:adjustRightInd w:val="0"/>
              <w:snapToGrid w:val="0"/>
              <w:spacing w:line="260" w:lineRule="atLeast"/>
              <w:jc w:val="center"/>
              <w:rPr>
                <w:color w:val="auto"/>
                <w:sz w:val="18"/>
                <w:szCs w:val="18"/>
              </w:rPr>
            </w:pPr>
            <w:r>
              <w:rPr>
                <w:color w:val="auto"/>
                <w:sz w:val="18"/>
                <w:szCs w:val="18"/>
              </w:rPr>
              <w:t>0.057</w:t>
            </w:r>
          </w:p>
        </w:tc>
        <w:tc>
          <w:tcPr>
            <w:tcW w:w="1217" w:type="dxa"/>
            <w:vAlign w:val="center"/>
          </w:tcPr>
          <w:p w14:paraId="20F47FBD">
            <w:pPr>
              <w:adjustRightInd w:val="0"/>
              <w:snapToGrid w:val="0"/>
              <w:spacing w:line="260" w:lineRule="atLeast"/>
              <w:jc w:val="center"/>
              <w:rPr>
                <w:color w:val="auto"/>
                <w:sz w:val="18"/>
                <w:szCs w:val="18"/>
              </w:rPr>
            </w:pPr>
            <w:r>
              <w:rPr>
                <w:color w:val="auto"/>
                <w:sz w:val="18"/>
                <w:szCs w:val="18"/>
              </w:rPr>
              <w:t>0.045</w:t>
            </w:r>
          </w:p>
        </w:tc>
      </w:tr>
      <w:tr w14:paraId="5275A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49B3B089">
            <w:pPr>
              <w:adjustRightInd w:val="0"/>
              <w:snapToGrid w:val="0"/>
              <w:spacing w:line="300" w:lineRule="atLeast"/>
              <w:jc w:val="center"/>
              <w:rPr>
                <w:color w:val="auto"/>
                <w:sz w:val="18"/>
                <w:szCs w:val="18"/>
              </w:rPr>
            </w:pPr>
            <w:r>
              <w:rPr>
                <w:color w:val="auto"/>
                <w:sz w:val="18"/>
                <w:szCs w:val="18"/>
              </w:rPr>
              <w:t>1.4</w:t>
            </w:r>
          </w:p>
        </w:tc>
        <w:tc>
          <w:tcPr>
            <w:tcW w:w="963" w:type="dxa"/>
            <w:vAlign w:val="center"/>
          </w:tcPr>
          <w:p w14:paraId="62AEC067">
            <w:pPr>
              <w:adjustRightInd w:val="0"/>
              <w:snapToGrid w:val="0"/>
              <w:spacing w:line="260" w:lineRule="atLeast"/>
              <w:jc w:val="center"/>
              <w:rPr>
                <w:color w:val="auto"/>
                <w:sz w:val="18"/>
                <w:szCs w:val="18"/>
              </w:rPr>
            </w:pPr>
            <w:r>
              <w:rPr>
                <w:color w:val="auto"/>
                <w:sz w:val="18"/>
                <w:szCs w:val="18"/>
              </w:rPr>
              <w:t>0.461</w:t>
            </w:r>
          </w:p>
        </w:tc>
        <w:tc>
          <w:tcPr>
            <w:tcW w:w="964" w:type="dxa"/>
            <w:vAlign w:val="center"/>
          </w:tcPr>
          <w:p w14:paraId="7ABB4500">
            <w:pPr>
              <w:adjustRightInd w:val="0"/>
              <w:snapToGrid w:val="0"/>
              <w:spacing w:line="260" w:lineRule="atLeast"/>
              <w:jc w:val="center"/>
              <w:rPr>
                <w:color w:val="auto"/>
                <w:sz w:val="18"/>
                <w:szCs w:val="18"/>
              </w:rPr>
            </w:pPr>
            <w:r>
              <w:rPr>
                <w:color w:val="auto"/>
                <w:sz w:val="18"/>
                <w:szCs w:val="18"/>
              </w:rPr>
              <w:t>0.270</w:t>
            </w:r>
          </w:p>
        </w:tc>
        <w:tc>
          <w:tcPr>
            <w:tcW w:w="963" w:type="dxa"/>
            <w:vAlign w:val="center"/>
          </w:tcPr>
          <w:p w14:paraId="5EF783B2">
            <w:pPr>
              <w:adjustRightInd w:val="0"/>
              <w:snapToGrid w:val="0"/>
              <w:spacing w:line="260" w:lineRule="atLeast"/>
              <w:jc w:val="center"/>
              <w:rPr>
                <w:color w:val="auto"/>
                <w:sz w:val="18"/>
                <w:szCs w:val="18"/>
              </w:rPr>
            </w:pPr>
            <w:r>
              <w:rPr>
                <w:color w:val="auto"/>
                <w:sz w:val="18"/>
                <w:szCs w:val="18"/>
              </w:rPr>
              <w:t>3.0</w:t>
            </w:r>
          </w:p>
        </w:tc>
        <w:tc>
          <w:tcPr>
            <w:tcW w:w="963" w:type="dxa"/>
            <w:vAlign w:val="center"/>
          </w:tcPr>
          <w:p w14:paraId="42BBBF71">
            <w:pPr>
              <w:adjustRightInd w:val="0"/>
              <w:snapToGrid w:val="0"/>
              <w:spacing w:line="260" w:lineRule="atLeast"/>
              <w:jc w:val="center"/>
              <w:rPr>
                <w:color w:val="auto"/>
                <w:sz w:val="18"/>
                <w:szCs w:val="18"/>
              </w:rPr>
            </w:pPr>
            <w:r>
              <w:rPr>
                <w:color w:val="auto"/>
                <w:sz w:val="18"/>
                <w:szCs w:val="18"/>
              </w:rPr>
              <w:t>0.146</w:t>
            </w:r>
          </w:p>
        </w:tc>
        <w:tc>
          <w:tcPr>
            <w:tcW w:w="964" w:type="dxa"/>
            <w:vAlign w:val="center"/>
          </w:tcPr>
          <w:p w14:paraId="1BDB199C">
            <w:pPr>
              <w:adjustRightInd w:val="0"/>
              <w:snapToGrid w:val="0"/>
              <w:spacing w:line="260" w:lineRule="atLeast"/>
              <w:jc w:val="center"/>
              <w:rPr>
                <w:color w:val="auto"/>
                <w:sz w:val="18"/>
                <w:szCs w:val="18"/>
              </w:rPr>
            </w:pPr>
            <w:r>
              <w:rPr>
                <w:color w:val="auto"/>
                <w:sz w:val="18"/>
                <w:szCs w:val="18"/>
              </w:rPr>
              <w:t>0.113</w:t>
            </w:r>
          </w:p>
        </w:tc>
        <w:tc>
          <w:tcPr>
            <w:tcW w:w="963" w:type="dxa"/>
            <w:vAlign w:val="center"/>
          </w:tcPr>
          <w:p w14:paraId="76206412">
            <w:pPr>
              <w:adjustRightInd w:val="0"/>
              <w:snapToGrid w:val="0"/>
              <w:spacing w:line="260" w:lineRule="atLeast"/>
              <w:jc w:val="center"/>
              <w:rPr>
                <w:color w:val="auto"/>
                <w:sz w:val="18"/>
                <w:szCs w:val="18"/>
              </w:rPr>
            </w:pPr>
          </w:p>
        </w:tc>
        <w:tc>
          <w:tcPr>
            <w:tcW w:w="1216" w:type="dxa"/>
            <w:vAlign w:val="center"/>
          </w:tcPr>
          <w:p w14:paraId="34D9E9B9">
            <w:pPr>
              <w:adjustRightInd w:val="0"/>
              <w:snapToGrid w:val="0"/>
              <w:spacing w:line="260" w:lineRule="atLeast"/>
              <w:jc w:val="center"/>
              <w:rPr>
                <w:color w:val="auto"/>
                <w:sz w:val="18"/>
                <w:szCs w:val="18"/>
              </w:rPr>
            </w:pPr>
          </w:p>
        </w:tc>
        <w:tc>
          <w:tcPr>
            <w:tcW w:w="1217" w:type="dxa"/>
            <w:vAlign w:val="center"/>
          </w:tcPr>
          <w:p w14:paraId="44359A67">
            <w:pPr>
              <w:adjustRightInd w:val="0"/>
              <w:snapToGrid w:val="0"/>
              <w:spacing w:line="260" w:lineRule="atLeast"/>
              <w:jc w:val="center"/>
              <w:rPr>
                <w:color w:val="auto"/>
                <w:sz w:val="18"/>
                <w:szCs w:val="18"/>
              </w:rPr>
            </w:pPr>
          </w:p>
        </w:tc>
      </w:tr>
      <w:tr w14:paraId="04DC5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963" w:type="dxa"/>
            <w:vAlign w:val="center"/>
          </w:tcPr>
          <w:p w14:paraId="3B355C38">
            <w:pPr>
              <w:adjustRightInd w:val="0"/>
              <w:snapToGrid w:val="0"/>
              <w:spacing w:line="300" w:lineRule="atLeast"/>
              <w:jc w:val="center"/>
              <w:rPr>
                <w:color w:val="auto"/>
                <w:sz w:val="18"/>
                <w:szCs w:val="18"/>
              </w:rPr>
            </w:pPr>
            <w:r>
              <w:rPr>
                <w:color w:val="auto"/>
                <w:sz w:val="18"/>
                <w:szCs w:val="18"/>
              </w:rPr>
              <w:t>1.5</w:t>
            </w:r>
          </w:p>
        </w:tc>
        <w:tc>
          <w:tcPr>
            <w:tcW w:w="963" w:type="dxa"/>
            <w:vAlign w:val="center"/>
          </w:tcPr>
          <w:p w14:paraId="719505E3">
            <w:pPr>
              <w:adjustRightInd w:val="0"/>
              <w:snapToGrid w:val="0"/>
              <w:spacing w:line="260" w:lineRule="atLeast"/>
              <w:jc w:val="center"/>
              <w:rPr>
                <w:color w:val="auto"/>
                <w:sz w:val="18"/>
                <w:szCs w:val="18"/>
              </w:rPr>
            </w:pPr>
            <w:r>
              <w:rPr>
                <w:color w:val="auto"/>
                <w:sz w:val="18"/>
                <w:szCs w:val="18"/>
              </w:rPr>
              <w:t>0.424</w:t>
            </w:r>
          </w:p>
        </w:tc>
        <w:tc>
          <w:tcPr>
            <w:tcW w:w="964" w:type="dxa"/>
            <w:vAlign w:val="center"/>
          </w:tcPr>
          <w:p w14:paraId="73D0D98E">
            <w:pPr>
              <w:adjustRightInd w:val="0"/>
              <w:snapToGrid w:val="0"/>
              <w:spacing w:line="260" w:lineRule="atLeast"/>
              <w:jc w:val="center"/>
              <w:rPr>
                <w:color w:val="auto"/>
                <w:sz w:val="18"/>
                <w:szCs w:val="18"/>
              </w:rPr>
            </w:pPr>
            <w:r>
              <w:rPr>
                <w:color w:val="auto"/>
                <w:sz w:val="18"/>
                <w:szCs w:val="18"/>
              </w:rPr>
              <w:t>0.256</w:t>
            </w:r>
          </w:p>
        </w:tc>
        <w:tc>
          <w:tcPr>
            <w:tcW w:w="963" w:type="dxa"/>
            <w:vAlign w:val="center"/>
          </w:tcPr>
          <w:p w14:paraId="61804019">
            <w:pPr>
              <w:adjustRightInd w:val="0"/>
              <w:snapToGrid w:val="0"/>
              <w:spacing w:line="260" w:lineRule="atLeast"/>
              <w:jc w:val="center"/>
              <w:rPr>
                <w:color w:val="auto"/>
                <w:sz w:val="18"/>
                <w:szCs w:val="18"/>
              </w:rPr>
            </w:pPr>
            <w:r>
              <w:rPr>
                <w:color w:val="auto"/>
                <w:sz w:val="18"/>
                <w:szCs w:val="18"/>
              </w:rPr>
              <w:t>3.1</w:t>
            </w:r>
          </w:p>
        </w:tc>
        <w:tc>
          <w:tcPr>
            <w:tcW w:w="963" w:type="dxa"/>
            <w:vAlign w:val="center"/>
          </w:tcPr>
          <w:p w14:paraId="288C241C">
            <w:pPr>
              <w:adjustRightInd w:val="0"/>
              <w:snapToGrid w:val="0"/>
              <w:spacing w:line="260" w:lineRule="atLeast"/>
              <w:jc w:val="center"/>
              <w:rPr>
                <w:color w:val="auto"/>
                <w:sz w:val="18"/>
                <w:szCs w:val="18"/>
              </w:rPr>
            </w:pPr>
            <w:r>
              <w:rPr>
                <w:color w:val="auto"/>
                <w:sz w:val="18"/>
                <w:szCs w:val="18"/>
              </w:rPr>
              <w:t>0.138</w:t>
            </w:r>
          </w:p>
        </w:tc>
        <w:tc>
          <w:tcPr>
            <w:tcW w:w="964" w:type="dxa"/>
            <w:vAlign w:val="center"/>
          </w:tcPr>
          <w:p w14:paraId="44334579">
            <w:pPr>
              <w:adjustRightInd w:val="0"/>
              <w:snapToGrid w:val="0"/>
              <w:spacing w:line="260" w:lineRule="atLeast"/>
              <w:jc w:val="center"/>
              <w:rPr>
                <w:color w:val="auto"/>
                <w:sz w:val="18"/>
                <w:szCs w:val="18"/>
              </w:rPr>
            </w:pPr>
            <w:r>
              <w:rPr>
                <w:color w:val="auto"/>
                <w:sz w:val="18"/>
                <w:szCs w:val="18"/>
              </w:rPr>
              <w:t>0.108</w:t>
            </w:r>
          </w:p>
        </w:tc>
        <w:tc>
          <w:tcPr>
            <w:tcW w:w="963" w:type="dxa"/>
            <w:vAlign w:val="center"/>
          </w:tcPr>
          <w:p w14:paraId="0E8BE817">
            <w:pPr>
              <w:adjustRightInd w:val="0"/>
              <w:snapToGrid w:val="0"/>
              <w:spacing w:line="260" w:lineRule="atLeast"/>
              <w:jc w:val="center"/>
              <w:rPr>
                <w:color w:val="auto"/>
                <w:sz w:val="18"/>
                <w:szCs w:val="18"/>
              </w:rPr>
            </w:pPr>
          </w:p>
        </w:tc>
        <w:tc>
          <w:tcPr>
            <w:tcW w:w="1216" w:type="dxa"/>
            <w:vAlign w:val="center"/>
          </w:tcPr>
          <w:p w14:paraId="403D7538">
            <w:pPr>
              <w:adjustRightInd w:val="0"/>
              <w:snapToGrid w:val="0"/>
              <w:spacing w:line="260" w:lineRule="atLeast"/>
              <w:jc w:val="center"/>
              <w:rPr>
                <w:color w:val="auto"/>
                <w:sz w:val="18"/>
                <w:szCs w:val="18"/>
              </w:rPr>
            </w:pPr>
          </w:p>
        </w:tc>
        <w:tc>
          <w:tcPr>
            <w:tcW w:w="1217" w:type="dxa"/>
            <w:vAlign w:val="center"/>
          </w:tcPr>
          <w:p w14:paraId="081225F3">
            <w:pPr>
              <w:adjustRightInd w:val="0"/>
              <w:snapToGrid w:val="0"/>
              <w:spacing w:line="260" w:lineRule="atLeast"/>
              <w:jc w:val="center"/>
              <w:rPr>
                <w:color w:val="auto"/>
                <w:sz w:val="18"/>
                <w:szCs w:val="18"/>
              </w:rPr>
            </w:pPr>
          </w:p>
        </w:tc>
      </w:tr>
      <w:tr w14:paraId="02BE8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7" w:hRule="atLeast"/>
          <w:jc w:val="center"/>
        </w:trPr>
        <w:tc>
          <w:tcPr>
            <w:tcW w:w="9174" w:type="dxa"/>
            <w:gridSpan w:val="9"/>
          </w:tcPr>
          <w:p w14:paraId="16FDD25F">
            <w:pPr>
              <w:adjustRightInd w:val="0"/>
              <w:snapToGrid w:val="0"/>
              <w:spacing w:line="240" w:lineRule="atLeast"/>
              <w:ind w:left="432"/>
              <w:rPr>
                <w:color w:val="auto"/>
                <w:sz w:val="18"/>
                <w:szCs w:val="18"/>
              </w:rPr>
            </w:pPr>
            <w:r>
              <w:rPr>
                <w:color w:val="auto"/>
                <w:sz w:val="18"/>
                <w:szCs w:val="18"/>
              </w:rPr>
              <w:t>注：</w:t>
            </w:r>
            <w:r>
              <w:rPr>
                <w:color w:val="auto"/>
                <w:position w:val="-6"/>
                <w:sz w:val="18"/>
                <w:szCs w:val="18"/>
              </w:rPr>
              <w:object>
                <v:shape id="_x0000_i1694" o:spt="75" type="#_x0000_t75" style="height:9pt;width:9pt;" o:ole="t" filled="f" o:preferrelative="t" stroked="f" coordsize="21600,21600">
                  <v:path/>
                  <v:fill on="f" focussize="0,0"/>
                  <v:stroke on="f" joinstyle="miter"/>
                  <v:imagedata r:id="rId1304" o:title=""/>
                  <o:lock v:ext="edit" aspectratio="t"/>
                  <w10:wrap type="none"/>
                  <w10:anchorlock/>
                </v:shape>
                <o:OLEObject Type="Embed" ProgID="Equation.DSMT4" ShapeID="_x0000_i1694" DrawAspect="Content" ObjectID="_1468076394" r:id="rId1303">
                  <o:LockedField>false</o:LockedField>
                </o:OLEObject>
              </w:object>
            </w:r>
            <w:r>
              <w:rPr>
                <w:color w:val="auto"/>
                <w:sz w:val="18"/>
                <w:szCs w:val="18"/>
              </w:rPr>
              <w:t>——圆形均布荷载中点下附加应力系数；</w:t>
            </w:r>
          </w:p>
          <w:p w14:paraId="16FBD8D3">
            <w:pPr>
              <w:adjustRightInd w:val="0"/>
              <w:snapToGrid w:val="0"/>
              <w:spacing w:line="240" w:lineRule="atLeast"/>
              <w:ind w:left="432" w:firstLine="330"/>
              <w:rPr>
                <w:color w:val="auto"/>
                <w:sz w:val="18"/>
                <w:szCs w:val="18"/>
              </w:rPr>
            </w:pPr>
            <w:r>
              <w:rPr>
                <w:color w:val="auto"/>
                <w:position w:val="-6"/>
                <w:sz w:val="18"/>
                <w:szCs w:val="18"/>
              </w:rPr>
              <w:object>
                <v:shape id="_x0000_i1695" o:spt="75" type="#_x0000_t75" style="height:12.75pt;width:11.25pt;" o:ole="t" filled="f" o:preferrelative="t" stroked="f" coordsize="21600,21600">
                  <v:path/>
                  <v:fill on="f" focussize="0,0"/>
                  <v:stroke on="f" joinstyle="miter"/>
                  <v:imagedata r:id="rId1306" o:title=""/>
                  <o:lock v:ext="edit" aspectratio="t"/>
                  <w10:wrap type="none"/>
                  <w10:anchorlock/>
                </v:shape>
                <o:OLEObject Type="Embed" ProgID="Equation.DSMT4" ShapeID="_x0000_i1695" DrawAspect="Content" ObjectID="_1468076395" r:id="rId1305">
                  <o:LockedField>false</o:LockedField>
                </o:OLEObject>
              </w:object>
            </w:r>
            <w:r>
              <w:rPr>
                <w:color w:val="auto"/>
                <w:sz w:val="18"/>
                <w:szCs w:val="18"/>
              </w:rPr>
              <w:t>——圆形均布荷载周边下附加应力系数；</w:t>
            </w:r>
          </w:p>
          <w:p w14:paraId="0D3BDB51">
            <w:pPr>
              <w:adjustRightInd w:val="0"/>
              <w:snapToGrid w:val="0"/>
              <w:spacing w:line="240" w:lineRule="atLeast"/>
              <w:ind w:firstLine="914" w:firstLineChars="508"/>
              <w:rPr>
                <w:color w:val="auto"/>
                <w:sz w:val="18"/>
                <w:szCs w:val="18"/>
              </w:rPr>
            </w:pPr>
            <w:r>
              <w:rPr>
                <w:i/>
                <w:color w:val="auto"/>
                <w:sz w:val="18"/>
                <w:szCs w:val="18"/>
              </w:rPr>
              <w:t>r</w:t>
            </w:r>
            <w:r>
              <w:rPr>
                <w:color w:val="auto"/>
                <w:sz w:val="18"/>
                <w:szCs w:val="18"/>
              </w:rPr>
              <w:t>——圆的半径。</w:t>
            </w:r>
          </w:p>
        </w:tc>
      </w:tr>
    </w:tbl>
    <w:p w14:paraId="1371414E">
      <w:pPr>
        <w:adjustRightInd w:val="0"/>
        <w:snapToGrid w:val="0"/>
        <w:spacing w:line="340" w:lineRule="exact"/>
        <w:jc w:val="center"/>
        <w:rPr>
          <w:color w:val="auto"/>
          <w:spacing w:val="8"/>
          <w:szCs w:val="21"/>
        </w:rPr>
      </w:pPr>
    </w:p>
    <w:p w14:paraId="7C7D12B8">
      <w:pPr>
        <w:adjustRightInd w:val="0"/>
        <w:snapToGrid w:val="0"/>
        <w:spacing w:line="300" w:lineRule="auto"/>
        <w:ind w:left="431"/>
        <w:jc w:val="center"/>
        <w:rPr>
          <w:color w:val="auto"/>
          <w:sz w:val="18"/>
        </w:rPr>
      </w:pPr>
      <w:r>
        <w:rPr>
          <w:color w:val="auto"/>
        </w:rPr>
        <w:br w:type="page"/>
      </w:r>
      <w:r>
        <w:rPr>
          <w:color w:val="auto"/>
        </w:rPr>
        <w:drawing>
          <wp:inline distT="0" distB="0" distL="0" distR="0">
            <wp:extent cx="1238250" cy="1152525"/>
            <wp:effectExtent l="0" t="0" r="0" b="9525"/>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pic:cNvPicPr>
                      <a:picLocks noChangeAspect="1" noChangeArrowheads="1"/>
                    </pic:cNvPicPr>
                  </pic:nvPicPr>
                  <pic:blipFill>
                    <a:blip r:embed="rId1307" cstate="print">
                      <a:extLst>
                        <a:ext uri="{28A0092B-C50C-407E-A947-70E740481C1C}">
                          <a14:useLocalDpi xmlns:a14="http://schemas.microsoft.com/office/drawing/2010/main" val="0"/>
                        </a:ext>
                      </a:extLst>
                    </a:blip>
                    <a:srcRect/>
                    <a:stretch>
                      <a:fillRect/>
                    </a:stretch>
                  </pic:blipFill>
                  <pic:spPr>
                    <a:xfrm>
                      <a:off x="0" y="0"/>
                      <a:ext cx="1238250" cy="1152525"/>
                    </a:xfrm>
                    <a:prstGeom prst="rect">
                      <a:avLst/>
                    </a:prstGeom>
                    <a:noFill/>
                    <a:ln>
                      <a:noFill/>
                    </a:ln>
                  </pic:spPr>
                </pic:pic>
              </a:graphicData>
            </a:graphic>
          </wp:inline>
        </w:drawing>
      </w:r>
    </w:p>
    <w:p w14:paraId="18ED064C">
      <w:pPr>
        <w:adjustRightInd w:val="0"/>
        <w:snapToGrid w:val="0"/>
        <w:spacing w:before="240" w:line="380" w:lineRule="atLeast"/>
        <w:jc w:val="center"/>
        <w:rPr>
          <w:rFonts w:eastAsia="黑体"/>
          <w:b/>
          <w:bCs/>
          <w:color w:val="auto"/>
          <w:szCs w:val="21"/>
        </w:rPr>
      </w:pPr>
      <w:r>
        <w:rPr>
          <w:rFonts w:eastAsia="黑体"/>
          <w:b/>
          <w:bCs/>
          <w:color w:val="auto"/>
          <w:szCs w:val="21"/>
        </w:rPr>
        <w:t>表G.3   矩形面积上三角形分布荷载角点下的附加应力系数</w:t>
      </w:r>
      <w:r>
        <w:rPr>
          <w:rFonts w:eastAsia="黑体"/>
          <w:b/>
          <w:bCs/>
          <w:color w:val="auto"/>
          <w:position w:val="-6"/>
          <w:szCs w:val="21"/>
        </w:rPr>
        <w:object>
          <v:shape id="_x0000_i1696" o:spt="75" type="#_x0000_t75" style="height:9.75pt;width:11.25pt;" o:ole="t" filled="f" o:preferrelative="t" stroked="f" coordsize="21600,21600">
            <v:path/>
            <v:fill on="f" focussize="0,0"/>
            <v:stroke on="f" joinstyle="miter"/>
            <v:imagedata r:id="rId1309" o:title=""/>
            <o:lock v:ext="edit" aspectratio="t"/>
            <w10:wrap type="none"/>
            <w10:anchorlock/>
          </v:shape>
          <o:OLEObject Type="Embed" ProgID="Equation.DSMT4" ShapeID="_x0000_i1696" DrawAspect="Content" ObjectID="_1468076396" r:id="rId1308">
            <o:LockedField>false</o:LockedField>
          </o:OLEObject>
        </w:object>
      </w:r>
    </w:p>
    <w:tbl>
      <w:tblPr>
        <w:tblStyle w:val="36"/>
        <w:tblW w:w="918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5"/>
        <w:gridCol w:w="615"/>
        <w:gridCol w:w="616"/>
        <w:gridCol w:w="615"/>
        <w:gridCol w:w="615"/>
        <w:gridCol w:w="615"/>
        <w:gridCol w:w="616"/>
        <w:gridCol w:w="616"/>
        <w:gridCol w:w="617"/>
        <w:gridCol w:w="616"/>
        <w:gridCol w:w="617"/>
        <w:gridCol w:w="616"/>
        <w:gridCol w:w="617"/>
        <w:gridCol w:w="616"/>
        <w:gridCol w:w="619"/>
      </w:tblGrid>
      <w:tr w14:paraId="3A6BF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8" w:hRule="atLeast"/>
          <w:jc w:val="center"/>
        </w:trPr>
        <w:tc>
          <w:tcPr>
            <w:tcW w:w="555" w:type="dxa"/>
            <w:vMerge w:val="restart"/>
            <w:vAlign w:val="center"/>
          </w:tcPr>
          <w:p w14:paraId="313DECEE">
            <w:pPr>
              <w:adjustRightInd w:val="0"/>
              <w:snapToGrid w:val="0"/>
              <w:spacing w:line="360" w:lineRule="auto"/>
              <w:ind w:left="42" w:leftChars="-51" w:right="-84" w:rightChars="-40" w:hanging="149" w:hangingChars="83"/>
              <w:jc w:val="center"/>
              <w:rPr>
                <w:color w:val="auto"/>
                <w:sz w:val="18"/>
                <w:szCs w:val="18"/>
              </w:rPr>
            </w:pPr>
            <w:r>
              <w:rPr>
                <w:i/>
                <w:color w:val="auto"/>
                <w:sz w:val="18"/>
                <w:szCs w:val="18"/>
              </w:rPr>
              <w:t>z</w:t>
            </w:r>
            <w:r>
              <w:rPr>
                <w:color w:val="auto"/>
                <w:sz w:val="18"/>
                <w:szCs w:val="18"/>
              </w:rPr>
              <w:t>/</w:t>
            </w:r>
            <w:r>
              <w:rPr>
                <w:i/>
                <w:color w:val="auto"/>
                <w:sz w:val="18"/>
                <w:szCs w:val="18"/>
              </w:rPr>
              <w:t>b</w:t>
            </w:r>
          </w:p>
        </w:tc>
        <w:tc>
          <w:tcPr>
            <w:tcW w:w="8626" w:type="dxa"/>
            <w:gridSpan w:val="14"/>
            <w:vAlign w:val="center"/>
          </w:tcPr>
          <w:p w14:paraId="25C4CD01">
            <w:pPr>
              <w:pStyle w:val="24"/>
              <w:pBdr>
                <w:bottom w:val="none" w:color="auto" w:sz="0" w:space="0"/>
              </w:pBdr>
              <w:tabs>
                <w:tab w:val="clear" w:pos="4153"/>
                <w:tab w:val="clear" w:pos="8306"/>
              </w:tabs>
              <w:adjustRightInd w:val="0"/>
              <w:spacing w:line="220" w:lineRule="exact"/>
              <w:rPr>
                <w:color w:val="auto"/>
              </w:rPr>
            </w:pPr>
            <w:r>
              <w:rPr>
                <w:i/>
                <w:color w:val="auto"/>
              </w:rPr>
              <w:t>l</w:t>
            </w:r>
            <w:r>
              <w:rPr>
                <w:color w:val="auto"/>
              </w:rPr>
              <w:t>/</w:t>
            </w:r>
            <w:r>
              <w:rPr>
                <w:i/>
                <w:color w:val="auto"/>
              </w:rPr>
              <w:t>b</w:t>
            </w:r>
          </w:p>
        </w:tc>
      </w:tr>
      <w:tr w14:paraId="5DCD1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8" w:hRule="atLeast"/>
          <w:jc w:val="center"/>
        </w:trPr>
        <w:tc>
          <w:tcPr>
            <w:tcW w:w="555" w:type="dxa"/>
            <w:vMerge w:val="continue"/>
          </w:tcPr>
          <w:p w14:paraId="4AFE0C90">
            <w:pPr>
              <w:adjustRightInd w:val="0"/>
              <w:snapToGrid w:val="0"/>
              <w:spacing w:line="360" w:lineRule="auto"/>
              <w:jc w:val="center"/>
              <w:rPr>
                <w:color w:val="auto"/>
                <w:sz w:val="18"/>
                <w:szCs w:val="18"/>
              </w:rPr>
            </w:pPr>
          </w:p>
        </w:tc>
        <w:tc>
          <w:tcPr>
            <w:tcW w:w="1231" w:type="dxa"/>
            <w:gridSpan w:val="2"/>
          </w:tcPr>
          <w:p w14:paraId="79982341">
            <w:pPr>
              <w:adjustRightInd w:val="0"/>
              <w:snapToGrid w:val="0"/>
              <w:spacing w:line="220" w:lineRule="exact"/>
              <w:jc w:val="center"/>
              <w:rPr>
                <w:color w:val="auto"/>
                <w:sz w:val="18"/>
                <w:szCs w:val="18"/>
              </w:rPr>
            </w:pPr>
            <w:r>
              <w:rPr>
                <w:color w:val="auto"/>
                <w:sz w:val="18"/>
                <w:szCs w:val="18"/>
              </w:rPr>
              <w:t>0.2</w:t>
            </w:r>
          </w:p>
        </w:tc>
        <w:tc>
          <w:tcPr>
            <w:tcW w:w="1230" w:type="dxa"/>
            <w:gridSpan w:val="2"/>
          </w:tcPr>
          <w:p w14:paraId="670F5FBD">
            <w:pPr>
              <w:adjustRightInd w:val="0"/>
              <w:snapToGrid w:val="0"/>
              <w:spacing w:line="220" w:lineRule="exact"/>
              <w:jc w:val="center"/>
              <w:rPr>
                <w:color w:val="auto"/>
                <w:sz w:val="18"/>
                <w:szCs w:val="18"/>
              </w:rPr>
            </w:pPr>
            <w:r>
              <w:rPr>
                <w:color w:val="auto"/>
                <w:sz w:val="18"/>
                <w:szCs w:val="18"/>
              </w:rPr>
              <w:t>0.4</w:t>
            </w:r>
          </w:p>
        </w:tc>
        <w:tc>
          <w:tcPr>
            <w:tcW w:w="1231" w:type="dxa"/>
            <w:gridSpan w:val="2"/>
          </w:tcPr>
          <w:p w14:paraId="3B1B5B42">
            <w:pPr>
              <w:adjustRightInd w:val="0"/>
              <w:snapToGrid w:val="0"/>
              <w:spacing w:line="220" w:lineRule="exact"/>
              <w:jc w:val="center"/>
              <w:rPr>
                <w:color w:val="auto"/>
                <w:sz w:val="18"/>
                <w:szCs w:val="18"/>
              </w:rPr>
            </w:pPr>
            <w:r>
              <w:rPr>
                <w:color w:val="auto"/>
                <w:sz w:val="18"/>
                <w:szCs w:val="18"/>
              </w:rPr>
              <w:t>0.6</w:t>
            </w:r>
          </w:p>
        </w:tc>
        <w:tc>
          <w:tcPr>
            <w:tcW w:w="1233" w:type="dxa"/>
            <w:gridSpan w:val="2"/>
          </w:tcPr>
          <w:p w14:paraId="130E697B">
            <w:pPr>
              <w:adjustRightInd w:val="0"/>
              <w:snapToGrid w:val="0"/>
              <w:spacing w:line="220" w:lineRule="exact"/>
              <w:jc w:val="center"/>
              <w:rPr>
                <w:color w:val="auto"/>
                <w:sz w:val="18"/>
                <w:szCs w:val="18"/>
              </w:rPr>
            </w:pPr>
            <w:r>
              <w:rPr>
                <w:color w:val="auto"/>
                <w:sz w:val="18"/>
                <w:szCs w:val="18"/>
              </w:rPr>
              <w:t>0.8</w:t>
            </w:r>
          </w:p>
        </w:tc>
        <w:tc>
          <w:tcPr>
            <w:tcW w:w="1233" w:type="dxa"/>
            <w:gridSpan w:val="2"/>
          </w:tcPr>
          <w:p w14:paraId="6F710192">
            <w:pPr>
              <w:adjustRightInd w:val="0"/>
              <w:snapToGrid w:val="0"/>
              <w:spacing w:line="220" w:lineRule="exact"/>
              <w:jc w:val="center"/>
              <w:rPr>
                <w:color w:val="auto"/>
                <w:sz w:val="18"/>
                <w:szCs w:val="18"/>
              </w:rPr>
            </w:pPr>
            <w:r>
              <w:rPr>
                <w:color w:val="auto"/>
                <w:sz w:val="18"/>
                <w:szCs w:val="18"/>
              </w:rPr>
              <w:t>1.0</w:t>
            </w:r>
          </w:p>
        </w:tc>
        <w:tc>
          <w:tcPr>
            <w:tcW w:w="1233" w:type="dxa"/>
            <w:gridSpan w:val="2"/>
          </w:tcPr>
          <w:p w14:paraId="48C9BAC2">
            <w:pPr>
              <w:adjustRightInd w:val="0"/>
              <w:snapToGrid w:val="0"/>
              <w:spacing w:line="220" w:lineRule="exact"/>
              <w:jc w:val="center"/>
              <w:rPr>
                <w:color w:val="auto"/>
                <w:sz w:val="18"/>
                <w:szCs w:val="18"/>
              </w:rPr>
            </w:pPr>
            <w:r>
              <w:rPr>
                <w:color w:val="auto"/>
                <w:sz w:val="18"/>
                <w:szCs w:val="18"/>
              </w:rPr>
              <w:t>1.2</w:t>
            </w:r>
          </w:p>
        </w:tc>
        <w:tc>
          <w:tcPr>
            <w:tcW w:w="1234" w:type="dxa"/>
            <w:gridSpan w:val="2"/>
          </w:tcPr>
          <w:p w14:paraId="6E91C98F">
            <w:pPr>
              <w:adjustRightInd w:val="0"/>
              <w:snapToGrid w:val="0"/>
              <w:spacing w:line="220" w:lineRule="exact"/>
              <w:jc w:val="center"/>
              <w:rPr>
                <w:color w:val="auto"/>
                <w:sz w:val="18"/>
                <w:szCs w:val="18"/>
              </w:rPr>
            </w:pPr>
            <w:r>
              <w:rPr>
                <w:color w:val="auto"/>
                <w:sz w:val="18"/>
                <w:szCs w:val="18"/>
              </w:rPr>
              <w:t>1.4</w:t>
            </w:r>
          </w:p>
        </w:tc>
      </w:tr>
      <w:tr w14:paraId="18BA7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8" w:hRule="atLeast"/>
          <w:jc w:val="center"/>
        </w:trPr>
        <w:tc>
          <w:tcPr>
            <w:tcW w:w="555" w:type="dxa"/>
            <w:vMerge w:val="continue"/>
          </w:tcPr>
          <w:p w14:paraId="1D18D7E7">
            <w:pPr>
              <w:adjustRightInd w:val="0"/>
              <w:snapToGrid w:val="0"/>
              <w:spacing w:line="360" w:lineRule="auto"/>
              <w:jc w:val="center"/>
              <w:rPr>
                <w:color w:val="auto"/>
                <w:sz w:val="18"/>
                <w:szCs w:val="18"/>
              </w:rPr>
            </w:pPr>
          </w:p>
        </w:tc>
        <w:tc>
          <w:tcPr>
            <w:tcW w:w="615" w:type="dxa"/>
            <w:vAlign w:val="center"/>
          </w:tcPr>
          <w:p w14:paraId="7566A761">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6" w:type="dxa"/>
            <w:vAlign w:val="center"/>
          </w:tcPr>
          <w:p w14:paraId="743B394E">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5" w:type="dxa"/>
          </w:tcPr>
          <w:p w14:paraId="280B6594">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5" w:type="dxa"/>
          </w:tcPr>
          <w:p w14:paraId="64C80D07">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5" w:type="dxa"/>
          </w:tcPr>
          <w:p w14:paraId="4CCF6EBA">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6" w:type="dxa"/>
          </w:tcPr>
          <w:p w14:paraId="421F1C88">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6" w:type="dxa"/>
          </w:tcPr>
          <w:p w14:paraId="46BD584B">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7" w:type="dxa"/>
          </w:tcPr>
          <w:p w14:paraId="594023DF">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6" w:type="dxa"/>
          </w:tcPr>
          <w:p w14:paraId="562B73C2">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7" w:type="dxa"/>
          </w:tcPr>
          <w:p w14:paraId="25240EC1">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6" w:type="dxa"/>
          </w:tcPr>
          <w:p w14:paraId="500797B6">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7" w:type="dxa"/>
          </w:tcPr>
          <w:p w14:paraId="413E7CD7">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c>
          <w:tcPr>
            <w:tcW w:w="616" w:type="dxa"/>
          </w:tcPr>
          <w:p w14:paraId="6F4B1695">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点1</w:t>
            </w:r>
          </w:p>
        </w:tc>
        <w:tc>
          <w:tcPr>
            <w:tcW w:w="618" w:type="dxa"/>
          </w:tcPr>
          <w:p w14:paraId="3FBAC157">
            <w:pPr>
              <w:adjustRightInd w:val="0"/>
              <w:snapToGrid w:val="0"/>
              <w:spacing w:line="220" w:lineRule="exact"/>
              <w:ind w:left="51" w:leftChars="-62" w:right="-195" w:rightChars="-93" w:hanging="181" w:hangingChars="101"/>
              <w:jc w:val="center"/>
              <w:rPr>
                <w:color w:val="auto"/>
                <w:sz w:val="18"/>
                <w:szCs w:val="18"/>
              </w:rPr>
            </w:pPr>
            <w:r>
              <w:rPr>
                <w:color w:val="auto"/>
                <w:sz w:val="18"/>
                <w:szCs w:val="18"/>
              </w:rPr>
              <w:t>点2</w:t>
            </w:r>
          </w:p>
        </w:tc>
      </w:tr>
      <w:tr w14:paraId="1A3C1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3" w:hRule="atLeast"/>
          <w:jc w:val="center"/>
        </w:trPr>
        <w:tc>
          <w:tcPr>
            <w:tcW w:w="555" w:type="dxa"/>
          </w:tcPr>
          <w:p w14:paraId="72BD164C">
            <w:pPr>
              <w:adjustRightInd w:val="0"/>
              <w:snapToGrid w:val="0"/>
              <w:ind w:left="-1" w:leftChars="-39" w:right="-84" w:rightChars="-40" w:hanging="81" w:hangingChars="45"/>
              <w:jc w:val="center"/>
              <w:rPr>
                <w:color w:val="auto"/>
                <w:sz w:val="18"/>
                <w:szCs w:val="18"/>
              </w:rPr>
            </w:pPr>
            <w:r>
              <w:rPr>
                <w:color w:val="auto"/>
                <w:sz w:val="18"/>
                <w:szCs w:val="18"/>
              </w:rPr>
              <w:t>0.0</w:t>
            </w:r>
          </w:p>
          <w:p w14:paraId="58B479F2">
            <w:pPr>
              <w:adjustRightInd w:val="0"/>
              <w:snapToGrid w:val="0"/>
              <w:ind w:left="-1" w:leftChars="-39" w:right="-84" w:rightChars="-40" w:hanging="81" w:hangingChars="45"/>
              <w:jc w:val="center"/>
              <w:rPr>
                <w:color w:val="auto"/>
                <w:sz w:val="18"/>
                <w:szCs w:val="18"/>
              </w:rPr>
            </w:pPr>
            <w:r>
              <w:rPr>
                <w:color w:val="auto"/>
                <w:sz w:val="18"/>
                <w:szCs w:val="18"/>
              </w:rPr>
              <w:t>0.2</w:t>
            </w:r>
          </w:p>
          <w:p w14:paraId="70C6869C">
            <w:pPr>
              <w:adjustRightInd w:val="0"/>
              <w:snapToGrid w:val="0"/>
              <w:ind w:left="-1" w:leftChars="-39" w:right="-84" w:rightChars="-40" w:hanging="81" w:hangingChars="45"/>
              <w:jc w:val="center"/>
              <w:rPr>
                <w:color w:val="auto"/>
                <w:sz w:val="18"/>
                <w:szCs w:val="18"/>
              </w:rPr>
            </w:pPr>
            <w:r>
              <w:rPr>
                <w:color w:val="auto"/>
                <w:sz w:val="18"/>
                <w:szCs w:val="18"/>
              </w:rPr>
              <w:t>0.4</w:t>
            </w:r>
          </w:p>
          <w:p w14:paraId="4330B1B1">
            <w:pPr>
              <w:adjustRightInd w:val="0"/>
              <w:snapToGrid w:val="0"/>
              <w:ind w:left="-1" w:leftChars="-39" w:right="-84" w:rightChars="-40" w:hanging="81" w:hangingChars="45"/>
              <w:jc w:val="center"/>
              <w:rPr>
                <w:color w:val="auto"/>
                <w:sz w:val="18"/>
                <w:szCs w:val="18"/>
              </w:rPr>
            </w:pPr>
            <w:r>
              <w:rPr>
                <w:color w:val="auto"/>
                <w:sz w:val="18"/>
                <w:szCs w:val="18"/>
              </w:rPr>
              <w:t>0.6</w:t>
            </w:r>
          </w:p>
          <w:p w14:paraId="41F7F0E4">
            <w:pPr>
              <w:adjustRightInd w:val="0"/>
              <w:snapToGrid w:val="0"/>
              <w:ind w:left="-1" w:leftChars="-39" w:right="-84" w:rightChars="-40" w:hanging="81" w:hangingChars="45"/>
              <w:jc w:val="center"/>
              <w:rPr>
                <w:color w:val="auto"/>
                <w:sz w:val="18"/>
                <w:szCs w:val="18"/>
              </w:rPr>
            </w:pPr>
            <w:r>
              <w:rPr>
                <w:color w:val="auto"/>
                <w:sz w:val="18"/>
                <w:szCs w:val="18"/>
              </w:rPr>
              <w:t>0.8</w:t>
            </w:r>
          </w:p>
          <w:p w14:paraId="59BC7896">
            <w:pPr>
              <w:adjustRightInd w:val="0"/>
              <w:snapToGrid w:val="0"/>
              <w:ind w:left="-1" w:leftChars="-39" w:right="-84" w:rightChars="-40" w:hanging="81" w:hangingChars="45"/>
              <w:jc w:val="center"/>
              <w:rPr>
                <w:color w:val="auto"/>
                <w:sz w:val="18"/>
                <w:szCs w:val="18"/>
              </w:rPr>
            </w:pPr>
            <w:r>
              <w:rPr>
                <w:color w:val="auto"/>
                <w:sz w:val="18"/>
                <w:szCs w:val="18"/>
              </w:rPr>
              <w:t>1.0</w:t>
            </w:r>
          </w:p>
          <w:p w14:paraId="6229567F">
            <w:pPr>
              <w:adjustRightInd w:val="0"/>
              <w:snapToGrid w:val="0"/>
              <w:ind w:left="-1" w:leftChars="-39" w:right="-84" w:rightChars="-40" w:hanging="81" w:hangingChars="45"/>
              <w:jc w:val="center"/>
              <w:rPr>
                <w:color w:val="auto"/>
                <w:sz w:val="18"/>
                <w:szCs w:val="18"/>
              </w:rPr>
            </w:pPr>
            <w:r>
              <w:rPr>
                <w:color w:val="auto"/>
                <w:sz w:val="18"/>
                <w:szCs w:val="18"/>
              </w:rPr>
              <w:t>1.2</w:t>
            </w:r>
          </w:p>
          <w:p w14:paraId="099B173E">
            <w:pPr>
              <w:adjustRightInd w:val="0"/>
              <w:snapToGrid w:val="0"/>
              <w:ind w:left="-1" w:leftChars="-39" w:right="-84" w:rightChars="-40" w:hanging="81" w:hangingChars="45"/>
              <w:jc w:val="center"/>
              <w:rPr>
                <w:color w:val="auto"/>
                <w:sz w:val="18"/>
                <w:szCs w:val="18"/>
              </w:rPr>
            </w:pPr>
            <w:r>
              <w:rPr>
                <w:color w:val="auto"/>
                <w:sz w:val="18"/>
                <w:szCs w:val="18"/>
              </w:rPr>
              <w:t>1.4</w:t>
            </w:r>
          </w:p>
          <w:p w14:paraId="3DE5F1AD">
            <w:pPr>
              <w:adjustRightInd w:val="0"/>
              <w:snapToGrid w:val="0"/>
              <w:ind w:left="-1" w:leftChars="-39" w:right="-84" w:rightChars="-40" w:hanging="81" w:hangingChars="45"/>
              <w:jc w:val="center"/>
              <w:rPr>
                <w:color w:val="auto"/>
                <w:sz w:val="18"/>
                <w:szCs w:val="18"/>
              </w:rPr>
            </w:pPr>
            <w:r>
              <w:rPr>
                <w:color w:val="auto"/>
                <w:sz w:val="18"/>
                <w:szCs w:val="18"/>
              </w:rPr>
              <w:t>1.6</w:t>
            </w:r>
          </w:p>
          <w:p w14:paraId="5C9FDDDA">
            <w:pPr>
              <w:adjustRightInd w:val="0"/>
              <w:snapToGrid w:val="0"/>
              <w:ind w:left="-1" w:leftChars="-39" w:right="-84" w:rightChars="-40" w:hanging="81" w:hangingChars="45"/>
              <w:jc w:val="center"/>
              <w:rPr>
                <w:color w:val="auto"/>
                <w:sz w:val="18"/>
                <w:szCs w:val="18"/>
              </w:rPr>
            </w:pPr>
            <w:r>
              <w:rPr>
                <w:color w:val="auto"/>
                <w:sz w:val="18"/>
                <w:szCs w:val="18"/>
              </w:rPr>
              <w:t>1.8</w:t>
            </w:r>
          </w:p>
          <w:p w14:paraId="22A21880">
            <w:pPr>
              <w:adjustRightInd w:val="0"/>
              <w:snapToGrid w:val="0"/>
              <w:ind w:left="-1" w:leftChars="-39" w:right="-84" w:rightChars="-40" w:hanging="81" w:hangingChars="45"/>
              <w:jc w:val="center"/>
              <w:rPr>
                <w:color w:val="auto"/>
                <w:sz w:val="18"/>
                <w:szCs w:val="18"/>
              </w:rPr>
            </w:pPr>
            <w:r>
              <w:rPr>
                <w:color w:val="auto"/>
                <w:sz w:val="18"/>
                <w:szCs w:val="18"/>
              </w:rPr>
              <w:t>2.0</w:t>
            </w:r>
          </w:p>
          <w:p w14:paraId="5220B441">
            <w:pPr>
              <w:adjustRightInd w:val="0"/>
              <w:snapToGrid w:val="0"/>
              <w:ind w:left="-1" w:leftChars="-39" w:right="-84" w:rightChars="-40" w:hanging="81" w:hangingChars="45"/>
              <w:jc w:val="center"/>
              <w:rPr>
                <w:color w:val="auto"/>
                <w:sz w:val="18"/>
                <w:szCs w:val="18"/>
              </w:rPr>
            </w:pPr>
            <w:r>
              <w:rPr>
                <w:color w:val="auto"/>
                <w:sz w:val="18"/>
                <w:szCs w:val="18"/>
              </w:rPr>
              <w:t>2.5</w:t>
            </w:r>
          </w:p>
          <w:p w14:paraId="2DD1B446">
            <w:pPr>
              <w:adjustRightInd w:val="0"/>
              <w:snapToGrid w:val="0"/>
              <w:ind w:left="-1" w:leftChars="-39" w:right="-84" w:rightChars="-40" w:hanging="81" w:hangingChars="45"/>
              <w:jc w:val="center"/>
              <w:rPr>
                <w:color w:val="auto"/>
                <w:sz w:val="18"/>
                <w:szCs w:val="18"/>
              </w:rPr>
            </w:pPr>
            <w:r>
              <w:rPr>
                <w:color w:val="auto"/>
                <w:sz w:val="18"/>
                <w:szCs w:val="18"/>
              </w:rPr>
              <w:t>3.0</w:t>
            </w:r>
          </w:p>
          <w:p w14:paraId="57098256">
            <w:pPr>
              <w:adjustRightInd w:val="0"/>
              <w:snapToGrid w:val="0"/>
              <w:ind w:left="-1" w:leftChars="-39" w:right="-84" w:rightChars="-40" w:hanging="81" w:hangingChars="45"/>
              <w:jc w:val="center"/>
              <w:rPr>
                <w:color w:val="auto"/>
                <w:sz w:val="18"/>
                <w:szCs w:val="18"/>
              </w:rPr>
            </w:pPr>
            <w:r>
              <w:rPr>
                <w:color w:val="auto"/>
                <w:sz w:val="18"/>
                <w:szCs w:val="18"/>
              </w:rPr>
              <w:t>5.0</w:t>
            </w:r>
          </w:p>
          <w:p w14:paraId="41DA55CF">
            <w:pPr>
              <w:adjustRightInd w:val="0"/>
              <w:snapToGrid w:val="0"/>
              <w:ind w:left="-1" w:leftChars="-39" w:right="-84" w:rightChars="-40" w:hanging="81" w:hangingChars="45"/>
              <w:jc w:val="center"/>
              <w:rPr>
                <w:color w:val="auto"/>
                <w:sz w:val="18"/>
                <w:szCs w:val="18"/>
              </w:rPr>
            </w:pPr>
            <w:r>
              <w:rPr>
                <w:color w:val="auto"/>
                <w:sz w:val="18"/>
                <w:szCs w:val="18"/>
              </w:rPr>
              <w:t>7.0</w:t>
            </w:r>
          </w:p>
          <w:p w14:paraId="4FC83E5D">
            <w:pPr>
              <w:adjustRightInd w:val="0"/>
              <w:snapToGrid w:val="0"/>
              <w:ind w:left="-1" w:leftChars="-39" w:right="-84" w:rightChars="-40" w:hanging="81" w:hangingChars="45"/>
              <w:jc w:val="center"/>
              <w:rPr>
                <w:color w:val="auto"/>
                <w:sz w:val="18"/>
                <w:szCs w:val="18"/>
              </w:rPr>
            </w:pPr>
            <w:r>
              <w:rPr>
                <w:color w:val="auto"/>
                <w:sz w:val="18"/>
                <w:szCs w:val="18"/>
              </w:rPr>
              <w:t>10.0</w:t>
            </w:r>
          </w:p>
        </w:tc>
        <w:tc>
          <w:tcPr>
            <w:tcW w:w="615" w:type="dxa"/>
            <w:vAlign w:val="center"/>
          </w:tcPr>
          <w:p w14:paraId="56F3FE0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14C17C9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0.0223</w:t>
            </w:r>
          </w:p>
          <w:p w14:paraId="63B4440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0.0269</w:t>
            </w:r>
          </w:p>
          <w:p w14:paraId="3CFAB73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0.0259</w:t>
            </w:r>
          </w:p>
          <w:p w14:paraId="0C03820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0.0232</w:t>
            </w:r>
          </w:p>
          <w:p w14:paraId="4A53ACB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0.0201</w:t>
            </w:r>
          </w:p>
          <w:p w14:paraId="3FEC90A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0.0171</w:t>
            </w:r>
          </w:p>
          <w:p w14:paraId="60A46B5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0.0145</w:t>
            </w:r>
          </w:p>
          <w:p w14:paraId="2E859F1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0.0123</w:t>
            </w:r>
          </w:p>
          <w:p w14:paraId="1F66665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0.0105</w:t>
            </w:r>
          </w:p>
          <w:p w14:paraId="337EB74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0.0090</w:t>
            </w:r>
          </w:p>
          <w:p w14:paraId="56604B8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0.0063</w:t>
            </w:r>
          </w:p>
          <w:p w14:paraId="351C2CF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0.0046</w:t>
            </w:r>
          </w:p>
          <w:p w14:paraId="63723FC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0.0018</w:t>
            </w:r>
          </w:p>
          <w:p w14:paraId="6FA7C21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0.0009</w:t>
            </w:r>
          </w:p>
          <w:p w14:paraId="65E7CDA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0.0005</w:t>
            </w:r>
          </w:p>
          <w:p w14:paraId="271BA35A">
            <w:pPr>
              <w:adjustRightInd w:val="0"/>
              <w:snapToGrid w:val="0"/>
              <w:ind w:left="-10" w:leftChars="-49" w:right="-84" w:rightChars="-40" w:hanging="93" w:hangingChars="57"/>
              <w:jc w:val="center"/>
              <w:rPr>
                <w:color w:val="auto"/>
                <w:spacing w:val="-8"/>
                <w:sz w:val="18"/>
                <w:szCs w:val="18"/>
              </w:rPr>
            </w:pPr>
          </w:p>
        </w:tc>
        <w:tc>
          <w:tcPr>
            <w:tcW w:w="616" w:type="dxa"/>
          </w:tcPr>
          <w:p w14:paraId="1AA0CA35">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5D3A00B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0.1821</w:t>
            </w:r>
          </w:p>
          <w:p w14:paraId="3F0C569D">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0.1094</w:t>
            </w:r>
          </w:p>
          <w:p w14:paraId="52CF5BF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0.0700</w:t>
            </w:r>
          </w:p>
          <w:p w14:paraId="656FBD3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0.0480</w:t>
            </w:r>
          </w:p>
          <w:p w14:paraId="16F6CC4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0.0346</w:t>
            </w:r>
          </w:p>
          <w:p w14:paraId="6A20355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0.0260</w:t>
            </w:r>
          </w:p>
          <w:p w14:paraId="5D1A44F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0.0202</w:t>
            </w:r>
          </w:p>
          <w:p w14:paraId="1002A7E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0.0160</w:t>
            </w:r>
          </w:p>
          <w:p w14:paraId="2ACE8B9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0.0130</w:t>
            </w:r>
          </w:p>
          <w:p w14:paraId="0A30047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0.0108</w:t>
            </w:r>
          </w:p>
          <w:p w14:paraId="26F988F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0.0072</w:t>
            </w:r>
          </w:p>
          <w:p w14:paraId="47FDD28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0.0051</w:t>
            </w:r>
          </w:p>
          <w:p w14:paraId="70F0240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0.0019</w:t>
            </w:r>
          </w:p>
          <w:p w14:paraId="522D44F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0.0010</w:t>
            </w:r>
          </w:p>
          <w:p w14:paraId="7FEF559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0.0004</w:t>
            </w:r>
          </w:p>
        </w:tc>
        <w:tc>
          <w:tcPr>
            <w:tcW w:w="615" w:type="dxa"/>
          </w:tcPr>
          <w:p w14:paraId="0946EF4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1E23B78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0.0280</w:t>
            </w:r>
          </w:p>
          <w:p w14:paraId="206210F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0.0420</w:t>
            </w:r>
          </w:p>
          <w:p w14:paraId="4C1C2CB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0.0448</w:t>
            </w:r>
          </w:p>
          <w:p w14:paraId="3EC5587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0.0421</w:t>
            </w:r>
          </w:p>
          <w:p w14:paraId="6BB32AB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0.0375</w:t>
            </w:r>
          </w:p>
          <w:p w14:paraId="01D8909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0.0324</w:t>
            </w:r>
          </w:p>
          <w:p w14:paraId="46DD80D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0.0278</w:t>
            </w:r>
          </w:p>
          <w:p w14:paraId="3500DD6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0.0238</w:t>
            </w:r>
          </w:p>
          <w:p w14:paraId="5414E4A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0.0204</w:t>
            </w:r>
          </w:p>
          <w:p w14:paraId="7DCAC04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0.0176</w:t>
            </w:r>
          </w:p>
          <w:p w14:paraId="391254C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0.0125</w:t>
            </w:r>
          </w:p>
          <w:p w14:paraId="0A5A49E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0.0092</w:t>
            </w:r>
          </w:p>
          <w:p w14:paraId="0EA4852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0.0036</w:t>
            </w:r>
          </w:p>
          <w:p w14:paraId="0297AE3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0.0019</w:t>
            </w:r>
          </w:p>
          <w:p w14:paraId="7582F3A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0.0009</w:t>
            </w:r>
          </w:p>
        </w:tc>
        <w:tc>
          <w:tcPr>
            <w:tcW w:w="615" w:type="dxa"/>
          </w:tcPr>
          <w:p w14:paraId="51073233">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7A381740">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0.2115</w:t>
            </w:r>
          </w:p>
          <w:p w14:paraId="109A165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0.1604</w:t>
            </w:r>
          </w:p>
          <w:p w14:paraId="12CDA7A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0.1165</w:t>
            </w:r>
          </w:p>
          <w:p w14:paraId="6D66F5B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0.0853</w:t>
            </w:r>
          </w:p>
          <w:p w14:paraId="0A9C250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0.0638</w:t>
            </w:r>
          </w:p>
          <w:p w14:paraId="15C9C43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0.0491</w:t>
            </w:r>
          </w:p>
          <w:p w14:paraId="67F2AB5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0.0386</w:t>
            </w:r>
          </w:p>
          <w:p w14:paraId="0CC776F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0.0310</w:t>
            </w:r>
          </w:p>
          <w:p w14:paraId="3136AFA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0.0254</w:t>
            </w:r>
          </w:p>
          <w:p w14:paraId="70D2E78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0.0211</w:t>
            </w:r>
          </w:p>
          <w:p w14:paraId="74536E8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0.0140</w:t>
            </w:r>
          </w:p>
          <w:p w14:paraId="1A361D8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0.0100</w:t>
            </w:r>
          </w:p>
          <w:p w14:paraId="5C049A5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0.0038</w:t>
            </w:r>
          </w:p>
          <w:p w14:paraId="1AA98F4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0.0019</w:t>
            </w:r>
          </w:p>
          <w:p w14:paraId="54825D2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0.0010</w:t>
            </w:r>
          </w:p>
        </w:tc>
        <w:tc>
          <w:tcPr>
            <w:tcW w:w="615" w:type="dxa"/>
          </w:tcPr>
          <w:p w14:paraId="1A06935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7526AA7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0.0296</w:t>
            </w:r>
          </w:p>
          <w:p w14:paraId="3EB9370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0.0487</w:t>
            </w:r>
          </w:p>
          <w:p w14:paraId="39C386A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0.0560</w:t>
            </w:r>
          </w:p>
          <w:p w14:paraId="4D16915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0.0553</w:t>
            </w:r>
          </w:p>
          <w:p w14:paraId="48AB91E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0.0508</w:t>
            </w:r>
          </w:p>
          <w:p w14:paraId="1AFB16E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0.0450</w:t>
            </w:r>
          </w:p>
          <w:p w14:paraId="23CEF5E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0.0392</w:t>
            </w:r>
          </w:p>
          <w:p w14:paraId="084D9EF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0.0339</w:t>
            </w:r>
          </w:p>
          <w:p w14:paraId="5A3F902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0.0294</w:t>
            </w:r>
          </w:p>
          <w:p w14:paraId="0B48C2C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0.0255</w:t>
            </w:r>
          </w:p>
          <w:p w14:paraId="44395DA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0.0183</w:t>
            </w:r>
          </w:p>
          <w:p w14:paraId="2133066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0.0135</w:t>
            </w:r>
          </w:p>
          <w:p w14:paraId="4488507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0.0054</w:t>
            </w:r>
          </w:p>
          <w:p w14:paraId="4573D1D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0.0028</w:t>
            </w:r>
          </w:p>
          <w:p w14:paraId="4A9388A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0.0014</w:t>
            </w:r>
          </w:p>
        </w:tc>
        <w:tc>
          <w:tcPr>
            <w:tcW w:w="616" w:type="dxa"/>
          </w:tcPr>
          <w:p w14:paraId="6B981487">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06E4F113">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0.2165</w:t>
            </w:r>
          </w:p>
          <w:p w14:paraId="3782FC00">
            <w:pPr>
              <w:adjustRightInd w:val="0"/>
              <w:snapToGrid w:val="0"/>
              <w:ind w:left="-10" w:leftChars="-49" w:right="-84" w:rightChars="-40" w:hanging="93" w:hangingChars="57"/>
              <w:jc w:val="center"/>
              <w:rPr>
                <w:color w:val="auto"/>
                <w:spacing w:val="-8"/>
                <w:sz w:val="18"/>
                <w:szCs w:val="18"/>
              </w:rPr>
            </w:pPr>
            <w:r>
              <w:rPr>
                <w:color w:val="auto"/>
                <w:spacing w:val="-8"/>
                <w:sz w:val="18"/>
                <w:szCs w:val="18"/>
              </w:rPr>
              <w:t>0.1781</w:t>
            </w:r>
          </w:p>
          <w:p w14:paraId="70200C3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0.1405</w:t>
            </w:r>
          </w:p>
          <w:p w14:paraId="305C1BA6">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0.1093</w:t>
            </w:r>
          </w:p>
          <w:p w14:paraId="64CFCC8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0.0852</w:t>
            </w:r>
          </w:p>
          <w:p w14:paraId="75A1DB6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0.0673</w:t>
            </w:r>
          </w:p>
          <w:p w14:paraId="082950A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0.0540</w:t>
            </w:r>
          </w:p>
          <w:p w14:paraId="1428839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0.0440</w:t>
            </w:r>
          </w:p>
          <w:p w14:paraId="68023C7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0.0363</w:t>
            </w:r>
          </w:p>
          <w:p w14:paraId="0731D5B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0.0304</w:t>
            </w:r>
          </w:p>
          <w:p w14:paraId="2D9D11D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0.0205</w:t>
            </w:r>
          </w:p>
          <w:p w14:paraId="298EF83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0.0148</w:t>
            </w:r>
          </w:p>
          <w:p w14:paraId="4486824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0.0056</w:t>
            </w:r>
          </w:p>
          <w:p w14:paraId="3043A51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0.0029</w:t>
            </w:r>
          </w:p>
          <w:p w14:paraId="6F6CE9B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0.0014</w:t>
            </w:r>
          </w:p>
        </w:tc>
        <w:tc>
          <w:tcPr>
            <w:tcW w:w="616" w:type="dxa"/>
          </w:tcPr>
          <w:p w14:paraId="7DE31AD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3B84D59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0.0301</w:t>
            </w:r>
          </w:p>
          <w:p w14:paraId="2F51447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0.0517</w:t>
            </w:r>
          </w:p>
          <w:p w14:paraId="76A0E9E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0.0621</w:t>
            </w:r>
          </w:p>
          <w:p w14:paraId="37A35EA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0.0637</w:t>
            </w:r>
          </w:p>
          <w:p w14:paraId="480127E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0.0602</w:t>
            </w:r>
          </w:p>
          <w:p w14:paraId="7635A1E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0.0546</w:t>
            </w:r>
          </w:p>
          <w:p w14:paraId="30028BC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0.0483</w:t>
            </w:r>
          </w:p>
          <w:p w14:paraId="5B5FE5B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0.0424</w:t>
            </w:r>
          </w:p>
          <w:p w14:paraId="5A5DB9A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0.0371</w:t>
            </w:r>
          </w:p>
          <w:p w14:paraId="5BB36B0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0.0324</w:t>
            </w:r>
          </w:p>
          <w:p w14:paraId="53605C4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0.0236</w:t>
            </w:r>
          </w:p>
          <w:p w14:paraId="7C2D7AF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0.0176</w:t>
            </w:r>
          </w:p>
          <w:p w14:paraId="13467C4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0.0071</w:t>
            </w:r>
          </w:p>
          <w:p w14:paraId="088E85A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0.0038</w:t>
            </w:r>
          </w:p>
          <w:p w14:paraId="56F2E28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0.0019</w:t>
            </w:r>
          </w:p>
        </w:tc>
        <w:tc>
          <w:tcPr>
            <w:tcW w:w="617" w:type="dxa"/>
          </w:tcPr>
          <w:p w14:paraId="25521873">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55A15B28">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0.2178</w:t>
            </w:r>
          </w:p>
          <w:p w14:paraId="26FAFFB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0.1844</w:t>
            </w:r>
          </w:p>
          <w:p w14:paraId="543C87AC">
            <w:pPr>
              <w:adjustRightInd w:val="0"/>
              <w:snapToGrid w:val="0"/>
              <w:ind w:left="-10" w:leftChars="-49" w:right="-84" w:rightChars="-40" w:hanging="93" w:hangingChars="57"/>
              <w:jc w:val="center"/>
              <w:rPr>
                <w:color w:val="auto"/>
                <w:spacing w:val="-8"/>
                <w:sz w:val="18"/>
                <w:szCs w:val="18"/>
              </w:rPr>
            </w:pPr>
            <w:r>
              <w:rPr>
                <w:color w:val="auto"/>
                <w:spacing w:val="-8"/>
                <w:sz w:val="18"/>
                <w:szCs w:val="18"/>
              </w:rPr>
              <w:t>0.1520</w:t>
            </w:r>
          </w:p>
          <w:p w14:paraId="18E33A0C">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0.1232</w:t>
            </w:r>
          </w:p>
          <w:p w14:paraId="1803200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0.0996</w:t>
            </w:r>
          </w:p>
          <w:p w14:paraId="25934A7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0.0807</w:t>
            </w:r>
          </w:p>
          <w:p w14:paraId="44BF73C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0.0661</w:t>
            </w:r>
          </w:p>
          <w:p w14:paraId="0BA9858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0.0547</w:t>
            </w:r>
          </w:p>
          <w:p w14:paraId="04ACCB1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0.0457</w:t>
            </w:r>
          </w:p>
          <w:p w14:paraId="11FF1CA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0.0387</w:t>
            </w:r>
          </w:p>
          <w:p w14:paraId="06AF644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0.0265</w:t>
            </w:r>
          </w:p>
          <w:p w14:paraId="615263A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0.0192</w:t>
            </w:r>
          </w:p>
          <w:p w14:paraId="7F45B09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0.0074</w:t>
            </w:r>
          </w:p>
          <w:p w14:paraId="272E9F9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0.0038</w:t>
            </w:r>
          </w:p>
          <w:p w14:paraId="248FDFD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0.0019</w:t>
            </w:r>
          </w:p>
        </w:tc>
        <w:tc>
          <w:tcPr>
            <w:tcW w:w="616" w:type="dxa"/>
          </w:tcPr>
          <w:p w14:paraId="520AEF5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67A6BB6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0.0304</w:t>
            </w:r>
          </w:p>
          <w:p w14:paraId="1D71250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0.0531</w:t>
            </w:r>
          </w:p>
          <w:p w14:paraId="64F8B9D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0.0654</w:t>
            </w:r>
          </w:p>
          <w:p w14:paraId="0A21456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0.0688</w:t>
            </w:r>
          </w:p>
          <w:p w14:paraId="1AFC596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0.0666</w:t>
            </w:r>
          </w:p>
          <w:p w14:paraId="3C363C4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0.0615</w:t>
            </w:r>
          </w:p>
          <w:p w14:paraId="07093A9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0.0554</w:t>
            </w:r>
          </w:p>
          <w:p w14:paraId="3D1B4CF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0.0492</w:t>
            </w:r>
          </w:p>
          <w:p w14:paraId="61BF97D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0.0435</w:t>
            </w:r>
          </w:p>
          <w:p w14:paraId="09BCEB8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0.0384</w:t>
            </w:r>
          </w:p>
          <w:p w14:paraId="2130443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0.0284</w:t>
            </w:r>
          </w:p>
          <w:p w14:paraId="7722F46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0.0214</w:t>
            </w:r>
          </w:p>
          <w:p w14:paraId="214D909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0.0088</w:t>
            </w:r>
          </w:p>
          <w:p w14:paraId="0266C4A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0.0027</w:t>
            </w:r>
          </w:p>
          <w:p w14:paraId="1B7DFB8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0.0023</w:t>
            </w:r>
          </w:p>
        </w:tc>
        <w:tc>
          <w:tcPr>
            <w:tcW w:w="617" w:type="dxa"/>
          </w:tcPr>
          <w:p w14:paraId="41D5F90D">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546A6F55">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0.2182</w:t>
            </w:r>
          </w:p>
          <w:p w14:paraId="5F939E6C">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0.1870</w:t>
            </w:r>
          </w:p>
          <w:p w14:paraId="21DBF8D6">
            <w:pPr>
              <w:adjustRightInd w:val="0"/>
              <w:snapToGrid w:val="0"/>
              <w:ind w:left="-10" w:leftChars="-49" w:right="-84" w:rightChars="-40" w:hanging="93" w:hangingChars="57"/>
              <w:jc w:val="center"/>
              <w:rPr>
                <w:color w:val="auto"/>
                <w:spacing w:val="-8"/>
                <w:sz w:val="18"/>
                <w:szCs w:val="18"/>
              </w:rPr>
            </w:pPr>
            <w:r>
              <w:rPr>
                <w:color w:val="auto"/>
                <w:spacing w:val="-8"/>
                <w:sz w:val="18"/>
                <w:szCs w:val="18"/>
              </w:rPr>
              <w:t>0.1575</w:t>
            </w:r>
          </w:p>
          <w:p w14:paraId="0358C7F9">
            <w:pPr>
              <w:adjustRightInd w:val="0"/>
              <w:snapToGrid w:val="0"/>
              <w:ind w:left="-10" w:leftChars="-49" w:right="-84" w:rightChars="-40" w:hanging="93" w:hangingChars="57"/>
              <w:jc w:val="center"/>
              <w:rPr>
                <w:color w:val="auto"/>
                <w:spacing w:val="-8"/>
                <w:sz w:val="18"/>
                <w:szCs w:val="18"/>
              </w:rPr>
            </w:pPr>
            <w:r>
              <w:rPr>
                <w:color w:val="auto"/>
                <w:spacing w:val="-8"/>
                <w:sz w:val="18"/>
                <w:szCs w:val="18"/>
              </w:rPr>
              <w:t>0.1311</w:t>
            </w:r>
          </w:p>
          <w:p w14:paraId="7047CCE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0.1086</w:t>
            </w:r>
          </w:p>
          <w:p w14:paraId="13AB367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0.0901</w:t>
            </w:r>
          </w:p>
          <w:p w14:paraId="731E617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0.0751</w:t>
            </w:r>
          </w:p>
          <w:p w14:paraId="2F02404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0.0628</w:t>
            </w:r>
          </w:p>
          <w:p w14:paraId="5BCFE2E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0.0534</w:t>
            </w:r>
          </w:p>
          <w:p w14:paraId="6EF90D8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0.0456</w:t>
            </w:r>
          </w:p>
          <w:p w14:paraId="606B791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0.0318</w:t>
            </w:r>
          </w:p>
          <w:p w14:paraId="790BF6A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0.0233</w:t>
            </w:r>
          </w:p>
          <w:p w14:paraId="66A8DD2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0.0091</w:t>
            </w:r>
          </w:p>
          <w:p w14:paraId="7DD2C8B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0.0047</w:t>
            </w:r>
          </w:p>
          <w:p w14:paraId="11A84DE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0.0024</w:t>
            </w:r>
          </w:p>
        </w:tc>
        <w:tc>
          <w:tcPr>
            <w:tcW w:w="616" w:type="dxa"/>
          </w:tcPr>
          <w:p w14:paraId="05ED47E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31F2327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0.0305</w:t>
            </w:r>
          </w:p>
          <w:p w14:paraId="37576BE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0.0539</w:t>
            </w:r>
          </w:p>
          <w:p w14:paraId="312512F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0.0673</w:t>
            </w:r>
          </w:p>
          <w:p w14:paraId="564D31F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0.0720</w:t>
            </w:r>
          </w:p>
          <w:p w14:paraId="04B6FC8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0.0708</w:t>
            </w:r>
          </w:p>
          <w:p w14:paraId="0FBBF59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0.0664</w:t>
            </w:r>
          </w:p>
          <w:p w14:paraId="68442ED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0.0606</w:t>
            </w:r>
          </w:p>
          <w:p w14:paraId="1C80141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0.0545</w:t>
            </w:r>
          </w:p>
          <w:p w14:paraId="22C28D2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0.0487</w:t>
            </w:r>
          </w:p>
          <w:p w14:paraId="48CAA38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0.0434</w:t>
            </w:r>
          </w:p>
          <w:p w14:paraId="05F01FB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0.0326</w:t>
            </w:r>
          </w:p>
          <w:p w14:paraId="4A609E0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0.0249</w:t>
            </w:r>
          </w:p>
          <w:p w14:paraId="698E179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0.0104</w:t>
            </w:r>
          </w:p>
          <w:p w14:paraId="54EAB0D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0.0056</w:t>
            </w:r>
          </w:p>
          <w:p w14:paraId="6EC9E24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0.0028</w:t>
            </w:r>
          </w:p>
        </w:tc>
        <w:tc>
          <w:tcPr>
            <w:tcW w:w="617" w:type="dxa"/>
          </w:tcPr>
          <w:p w14:paraId="4B58AA9C">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45E60D6E">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0.2184</w:t>
            </w:r>
          </w:p>
          <w:p w14:paraId="7B21CFC7">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0.1881</w:t>
            </w:r>
          </w:p>
          <w:p w14:paraId="0DAD84B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0.1602</w:t>
            </w:r>
          </w:p>
          <w:p w14:paraId="4A3F5458">
            <w:pPr>
              <w:adjustRightInd w:val="0"/>
              <w:snapToGrid w:val="0"/>
              <w:ind w:left="-10" w:leftChars="-49" w:right="-84" w:rightChars="-40" w:hanging="93" w:hangingChars="57"/>
              <w:jc w:val="center"/>
              <w:rPr>
                <w:color w:val="auto"/>
                <w:spacing w:val="-8"/>
                <w:sz w:val="18"/>
                <w:szCs w:val="18"/>
              </w:rPr>
            </w:pPr>
            <w:r>
              <w:rPr>
                <w:color w:val="auto"/>
                <w:spacing w:val="-8"/>
                <w:sz w:val="18"/>
                <w:szCs w:val="18"/>
              </w:rPr>
              <w:t>0.1355</w:t>
            </w:r>
          </w:p>
          <w:p w14:paraId="110B9CB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0.1143</w:t>
            </w:r>
          </w:p>
          <w:p w14:paraId="4BEBCA4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0.0962</w:t>
            </w:r>
          </w:p>
          <w:p w14:paraId="7B31175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0.0817</w:t>
            </w:r>
          </w:p>
          <w:p w14:paraId="1A6FA30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0.0696</w:t>
            </w:r>
          </w:p>
          <w:p w14:paraId="1971CA8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0.0596</w:t>
            </w:r>
          </w:p>
          <w:p w14:paraId="3B640C6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0.0513</w:t>
            </w:r>
          </w:p>
          <w:p w14:paraId="7B2D658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0.0365</w:t>
            </w:r>
          </w:p>
          <w:p w14:paraId="540BEF6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0.0270</w:t>
            </w:r>
          </w:p>
          <w:p w14:paraId="7300B98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0.0108</w:t>
            </w:r>
          </w:p>
          <w:p w14:paraId="5CDB3AD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0.0056</w:t>
            </w:r>
          </w:p>
          <w:p w14:paraId="598E6F2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0.0028</w:t>
            </w:r>
          </w:p>
        </w:tc>
        <w:tc>
          <w:tcPr>
            <w:tcW w:w="616" w:type="dxa"/>
          </w:tcPr>
          <w:p w14:paraId="1F0CA35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2CA9E29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0.0305</w:t>
            </w:r>
          </w:p>
          <w:p w14:paraId="25B92EE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0.0543</w:t>
            </w:r>
          </w:p>
          <w:p w14:paraId="74D55E2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0.0684</w:t>
            </w:r>
          </w:p>
          <w:p w14:paraId="614E6DC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0.0739</w:t>
            </w:r>
          </w:p>
          <w:p w14:paraId="3542838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0.0735</w:t>
            </w:r>
          </w:p>
          <w:p w14:paraId="7AF118D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0.0698</w:t>
            </w:r>
          </w:p>
          <w:p w14:paraId="1D07796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0.0644</w:t>
            </w:r>
          </w:p>
          <w:p w14:paraId="2AC7A96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0.0586</w:t>
            </w:r>
          </w:p>
          <w:p w14:paraId="63EEE8F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0.0528</w:t>
            </w:r>
          </w:p>
          <w:p w14:paraId="36CD4CC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0.0474</w:t>
            </w:r>
          </w:p>
          <w:p w14:paraId="6F5CF19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0.0362</w:t>
            </w:r>
          </w:p>
          <w:p w14:paraId="3BD9D66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0.0280</w:t>
            </w:r>
          </w:p>
          <w:p w14:paraId="13575C6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0.0120</w:t>
            </w:r>
          </w:p>
          <w:p w14:paraId="7D5B907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0.0064</w:t>
            </w:r>
          </w:p>
          <w:p w14:paraId="64208D3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0.0033</w:t>
            </w:r>
          </w:p>
        </w:tc>
        <w:tc>
          <w:tcPr>
            <w:tcW w:w="618" w:type="dxa"/>
          </w:tcPr>
          <w:p w14:paraId="32C76C36">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18C9CDFE">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0.2185</w:t>
            </w:r>
          </w:p>
          <w:p w14:paraId="3FD7785E">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0.1886</w:t>
            </w:r>
          </w:p>
          <w:p w14:paraId="6CFD3578">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0.1616</w:t>
            </w:r>
          </w:p>
          <w:p w14:paraId="28BE79C5">
            <w:pPr>
              <w:adjustRightInd w:val="0"/>
              <w:snapToGrid w:val="0"/>
              <w:ind w:left="-10" w:leftChars="-49" w:right="-84" w:rightChars="-40" w:hanging="93" w:hangingChars="57"/>
              <w:jc w:val="center"/>
              <w:rPr>
                <w:color w:val="auto"/>
                <w:spacing w:val="-8"/>
                <w:sz w:val="18"/>
                <w:szCs w:val="18"/>
              </w:rPr>
            </w:pPr>
            <w:r>
              <w:rPr>
                <w:color w:val="auto"/>
                <w:spacing w:val="-8"/>
                <w:sz w:val="18"/>
                <w:szCs w:val="18"/>
              </w:rPr>
              <w:t>0.1381</w:t>
            </w:r>
          </w:p>
          <w:p w14:paraId="07FE9A2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0.1176</w:t>
            </w:r>
          </w:p>
          <w:p w14:paraId="5DD198D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0.1007</w:t>
            </w:r>
          </w:p>
          <w:p w14:paraId="7443111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0.0864</w:t>
            </w:r>
          </w:p>
          <w:p w14:paraId="12C299A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0.0743</w:t>
            </w:r>
          </w:p>
          <w:p w14:paraId="6D76E26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0.0644</w:t>
            </w:r>
          </w:p>
          <w:p w14:paraId="3AD9A0F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0.0560</w:t>
            </w:r>
          </w:p>
          <w:p w14:paraId="050E48B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0.0405</w:t>
            </w:r>
          </w:p>
          <w:p w14:paraId="73080DA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0.0303</w:t>
            </w:r>
          </w:p>
          <w:p w14:paraId="5AF5698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0.0123</w:t>
            </w:r>
          </w:p>
          <w:p w14:paraId="4D6293E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0.0066</w:t>
            </w:r>
          </w:p>
          <w:p w14:paraId="0625DE7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0.0032</w:t>
            </w:r>
          </w:p>
        </w:tc>
      </w:tr>
    </w:tbl>
    <w:p w14:paraId="67083739">
      <w:pPr>
        <w:snapToGrid w:val="0"/>
        <w:spacing w:before="480"/>
        <w:ind w:firstLine="209" w:firstLineChars="99"/>
        <w:rPr>
          <w:rFonts w:eastAsia="黑体"/>
          <w:b/>
          <w:bCs/>
          <w:color w:val="auto"/>
          <w:szCs w:val="21"/>
        </w:rPr>
      </w:pPr>
      <w:r>
        <w:rPr>
          <w:rFonts w:eastAsia="黑体"/>
          <w:b/>
          <w:bCs/>
          <w:color w:val="auto"/>
          <w:szCs w:val="21"/>
        </w:rPr>
        <w:t>续表</w:t>
      </w:r>
    </w:p>
    <w:tbl>
      <w:tblPr>
        <w:tblStyle w:val="36"/>
        <w:tblW w:w="91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5"/>
        <w:gridCol w:w="614"/>
        <w:gridCol w:w="615"/>
        <w:gridCol w:w="614"/>
        <w:gridCol w:w="614"/>
        <w:gridCol w:w="614"/>
        <w:gridCol w:w="615"/>
        <w:gridCol w:w="615"/>
        <w:gridCol w:w="616"/>
        <w:gridCol w:w="615"/>
        <w:gridCol w:w="616"/>
        <w:gridCol w:w="615"/>
        <w:gridCol w:w="616"/>
        <w:gridCol w:w="615"/>
        <w:gridCol w:w="617"/>
      </w:tblGrid>
      <w:tr w14:paraId="0F87A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4" w:hRule="atLeast"/>
          <w:jc w:val="center"/>
        </w:trPr>
        <w:tc>
          <w:tcPr>
            <w:tcW w:w="555" w:type="dxa"/>
            <w:vMerge w:val="restart"/>
            <w:vAlign w:val="center"/>
          </w:tcPr>
          <w:p w14:paraId="271A4164">
            <w:pPr>
              <w:adjustRightInd w:val="0"/>
              <w:snapToGrid w:val="0"/>
              <w:spacing w:line="360" w:lineRule="auto"/>
              <w:ind w:left="8" w:leftChars="-8" w:right="-84" w:rightChars="-40" w:hanging="25" w:hangingChars="15"/>
              <w:jc w:val="center"/>
              <w:rPr>
                <w:color w:val="auto"/>
                <w:spacing w:val="-6"/>
                <w:sz w:val="18"/>
                <w:szCs w:val="18"/>
              </w:rPr>
            </w:pPr>
            <w:r>
              <w:rPr>
                <w:color w:val="auto"/>
                <w:spacing w:val="-6"/>
                <w:sz w:val="18"/>
                <w:szCs w:val="18"/>
              </w:rPr>
              <w:t>z/b</w:t>
            </w:r>
          </w:p>
        </w:tc>
        <w:tc>
          <w:tcPr>
            <w:tcW w:w="8611" w:type="dxa"/>
            <w:gridSpan w:val="14"/>
            <w:vAlign w:val="center"/>
          </w:tcPr>
          <w:p w14:paraId="6E0A2C7F">
            <w:pPr>
              <w:adjustRightInd w:val="0"/>
              <w:snapToGrid w:val="0"/>
              <w:spacing w:line="220" w:lineRule="exact"/>
              <w:jc w:val="center"/>
              <w:rPr>
                <w:color w:val="auto"/>
                <w:sz w:val="18"/>
                <w:szCs w:val="18"/>
              </w:rPr>
            </w:pPr>
            <w:r>
              <w:rPr>
                <w:i/>
                <w:color w:val="auto"/>
                <w:sz w:val="18"/>
                <w:szCs w:val="18"/>
              </w:rPr>
              <w:t>l</w:t>
            </w:r>
            <w:r>
              <w:rPr>
                <w:color w:val="auto"/>
                <w:sz w:val="18"/>
                <w:szCs w:val="18"/>
              </w:rPr>
              <w:t>/</w:t>
            </w:r>
            <w:r>
              <w:rPr>
                <w:i/>
                <w:color w:val="auto"/>
                <w:sz w:val="18"/>
                <w:szCs w:val="18"/>
              </w:rPr>
              <w:t>b</w:t>
            </w:r>
          </w:p>
        </w:tc>
      </w:tr>
      <w:tr w14:paraId="07B78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5" w:hRule="atLeast"/>
          <w:jc w:val="center"/>
        </w:trPr>
        <w:tc>
          <w:tcPr>
            <w:tcW w:w="555" w:type="dxa"/>
            <w:vMerge w:val="continue"/>
          </w:tcPr>
          <w:p w14:paraId="06961BEC">
            <w:pPr>
              <w:adjustRightInd w:val="0"/>
              <w:snapToGrid w:val="0"/>
              <w:spacing w:line="360" w:lineRule="auto"/>
              <w:jc w:val="center"/>
              <w:rPr>
                <w:color w:val="auto"/>
                <w:sz w:val="18"/>
                <w:szCs w:val="18"/>
              </w:rPr>
            </w:pPr>
          </w:p>
        </w:tc>
        <w:tc>
          <w:tcPr>
            <w:tcW w:w="1229" w:type="dxa"/>
            <w:gridSpan w:val="2"/>
          </w:tcPr>
          <w:p w14:paraId="04D47CE1">
            <w:pPr>
              <w:adjustRightInd w:val="0"/>
              <w:snapToGrid w:val="0"/>
              <w:spacing w:line="240" w:lineRule="atLeast"/>
              <w:jc w:val="center"/>
              <w:rPr>
                <w:color w:val="auto"/>
                <w:spacing w:val="-6"/>
                <w:sz w:val="18"/>
                <w:szCs w:val="18"/>
              </w:rPr>
            </w:pPr>
            <w:r>
              <w:rPr>
                <w:color w:val="auto"/>
                <w:spacing w:val="-6"/>
                <w:sz w:val="18"/>
                <w:szCs w:val="18"/>
              </w:rPr>
              <w:t>1.6</w:t>
            </w:r>
          </w:p>
        </w:tc>
        <w:tc>
          <w:tcPr>
            <w:tcW w:w="1228" w:type="dxa"/>
            <w:gridSpan w:val="2"/>
          </w:tcPr>
          <w:p w14:paraId="16844054">
            <w:pPr>
              <w:adjustRightInd w:val="0"/>
              <w:snapToGrid w:val="0"/>
              <w:spacing w:line="240" w:lineRule="atLeast"/>
              <w:jc w:val="center"/>
              <w:rPr>
                <w:color w:val="auto"/>
                <w:spacing w:val="-6"/>
                <w:sz w:val="18"/>
                <w:szCs w:val="18"/>
              </w:rPr>
            </w:pPr>
            <w:r>
              <w:rPr>
                <w:color w:val="auto"/>
                <w:spacing w:val="-6"/>
                <w:sz w:val="18"/>
                <w:szCs w:val="18"/>
              </w:rPr>
              <w:t>1.8</w:t>
            </w:r>
          </w:p>
        </w:tc>
        <w:tc>
          <w:tcPr>
            <w:tcW w:w="1229" w:type="dxa"/>
            <w:gridSpan w:val="2"/>
          </w:tcPr>
          <w:p w14:paraId="116C9507">
            <w:pPr>
              <w:adjustRightInd w:val="0"/>
              <w:snapToGrid w:val="0"/>
              <w:spacing w:line="220" w:lineRule="exact"/>
              <w:jc w:val="center"/>
              <w:rPr>
                <w:color w:val="auto"/>
                <w:spacing w:val="-6"/>
                <w:sz w:val="18"/>
                <w:szCs w:val="18"/>
              </w:rPr>
            </w:pPr>
            <w:r>
              <w:rPr>
                <w:color w:val="auto"/>
                <w:spacing w:val="-6"/>
                <w:sz w:val="18"/>
                <w:szCs w:val="18"/>
              </w:rPr>
              <w:t>2.0</w:t>
            </w:r>
          </w:p>
        </w:tc>
        <w:tc>
          <w:tcPr>
            <w:tcW w:w="1231" w:type="dxa"/>
            <w:gridSpan w:val="2"/>
          </w:tcPr>
          <w:p w14:paraId="0AFCB8CF">
            <w:pPr>
              <w:adjustRightInd w:val="0"/>
              <w:snapToGrid w:val="0"/>
              <w:spacing w:line="220" w:lineRule="exact"/>
              <w:jc w:val="center"/>
              <w:rPr>
                <w:color w:val="auto"/>
                <w:spacing w:val="-6"/>
                <w:sz w:val="18"/>
                <w:szCs w:val="18"/>
              </w:rPr>
            </w:pPr>
            <w:r>
              <w:rPr>
                <w:color w:val="auto"/>
                <w:spacing w:val="-6"/>
                <w:sz w:val="18"/>
                <w:szCs w:val="18"/>
              </w:rPr>
              <w:t>4.0</w:t>
            </w:r>
          </w:p>
        </w:tc>
        <w:tc>
          <w:tcPr>
            <w:tcW w:w="1231" w:type="dxa"/>
            <w:gridSpan w:val="2"/>
          </w:tcPr>
          <w:p w14:paraId="5B181D93">
            <w:pPr>
              <w:adjustRightInd w:val="0"/>
              <w:snapToGrid w:val="0"/>
              <w:spacing w:line="220" w:lineRule="exact"/>
              <w:jc w:val="center"/>
              <w:rPr>
                <w:color w:val="auto"/>
                <w:spacing w:val="-6"/>
                <w:sz w:val="18"/>
                <w:szCs w:val="18"/>
              </w:rPr>
            </w:pPr>
            <w:r>
              <w:rPr>
                <w:color w:val="auto"/>
                <w:spacing w:val="-6"/>
                <w:sz w:val="18"/>
                <w:szCs w:val="18"/>
              </w:rPr>
              <w:t>6.0</w:t>
            </w:r>
          </w:p>
        </w:tc>
        <w:tc>
          <w:tcPr>
            <w:tcW w:w="1231" w:type="dxa"/>
            <w:gridSpan w:val="2"/>
          </w:tcPr>
          <w:p w14:paraId="5F47B9F0">
            <w:pPr>
              <w:adjustRightInd w:val="0"/>
              <w:snapToGrid w:val="0"/>
              <w:spacing w:line="220" w:lineRule="exact"/>
              <w:jc w:val="center"/>
              <w:rPr>
                <w:color w:val="auto"/>
                <w:spacing w:val="-6"/>
                <w:sz w:val="18"/>
                <w:szCs w:val="18"/>
              </w:rPr>
            </w:pPr>
            <w:r>
              <w:rPr>
                <w:color w:val="auto"/>
                <w:spacing w:val="-6"/>
                <w:sz w:val="18"/>
                <w:szCs w:val="18"/>
              </w:rPr>
              <w:t>8.0</w:t>
            </w:r>
          </w:p>
        </w:tc>
        <w:tc>
          <w:tcPr>
            <w:tcW w:w="1232" w:type="dxa"/>
            <w:gridSpan w:val="2"/>
          </w:tcPr>
          <w:p w14:paraId="709DAAC5">
            <w:pPr>
              <w:adjustRightInd w:val="0"/>
              <w:snapToGrid w:val="0"/>
              <w:spacing w:line="240" w:lineRule="atLeast"/>
              <w:jc w:val="center"/>
              <w:rPr>
                <w:color w:val="auto"/>
                <w:spacing w:val="-6"/>
                <w:sz w:val="18"/>
                <w:szCs w:val="18"/>
              </w:rPr>
            </w:pPr>
            <w:r>
              <w:rPr>
                <w:color w:val="auto"/>
                <w:spacing w:val="-6"/>
                <w:sz w:val="18"/>
                <w:szCs w:val="18"/>
              </w:rPr>
              <w:t>10.0</w:t>
            </w:r>
          </w:p>
        </w:tc>
      </w:tr>
      <w:tr w14:paraId="29D37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5" w:hRule="atLeast"/>
          <w:jc w:val="center"/>
        </w:trPr>
        <w:tc>
          <w:tcPr>
            <w:tcW w:w="555" w:type="dxa"/>
            <w:vMerge w:val="continue"/>
          </w:tcPr>
          <w:p w14:paraId="3344FE2C">
            <w:pPr>
              <w:adjustRightInd w:val="0"/>
              <w:snapToGrid w:val="0"/>
              <w:spacing w:line="360" w:lineRule="auto"/>
              <w:jc w:val="center"/>
              <w:rPr>
                <w:color w:val="auto"/>
                <w:sz w:val="18"/>
                <w:szCs w:val="18"/>
              </w:rPr>
            </w:pPr>
          </w:p>
        </w:tc>
        <w:tc>
          <w:tcPr>
            <w:tcW w:w="614" w:type="dxa"/>
            <w:vAlign w:val="center"/>
          </w:tcPr>
          <w:p w14:paraId="70EA77BF">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点1</w:t>
            </w:r>
          </w:p>
        </w:tc>
        <w:tc>
          <w:tcPr>
            <w:tcW w:w="615" w:type="dxa"/>
            <w:vAlign w:val="center"/>
          </w:tcPr>
          <w:p w14:paraId="200CB3C4">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点2</w:t>
            </w:r>
          </w:p>
        </w:tc>
        <w:tc>
          <w:tcPr>
            <w:tcW w:w="614" w:type="dxa"/>
          </w:tcPr>
          <w:p w14:paraId="178EEC5F">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点1</w:t>
            </w:r>
          </w:p>
        </w:tc>
        <w:tc>
          <w:tcPr>
            <w:tcW w:w="614" w:type="dxa"/>
          </w:tcPr>
          <w:p w14:paraId="42DFB57F">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点2</w:t>
            </w:r>
          </w:p>
        </w:tc>
        <w:tc>
          <w:tcPr>
            <w:tcW w:w="614" w:type="dxa"/>
          </w:tcPr>
          <w:p w14:paraId="78259FBF">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点1</w:t>
            </w:r>
          </w:p>
        </w:tc>
        <w:tc>
          <w:tcPr>
            <w:tcW w:w="615" w:type="dxa"/>
          </w:tcPr>
          <w:p w14:paraId="7DB9712B">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点2</w:t>
            </w:r>
          </w:p>
        </w:tc>
        <w:tc>
          <w:tcPr>
            <w:tcW w:w="615" w:type="dxa"/>
          </w:tcPr>
          <w:p w14:paraId="5D0681F6">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点1</w:t>
            </w:r>
          </w:p>
        </w:tc>
        <w:tc>
          <w:tcPr>
            <w:tcW w:w="616" w:type="dxa"/>
          </w:tcPr>
          <w:p w14:paraId="5644EB88">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点2</w:t>
            </w:r>
          </w:p>
        </w:tc>
        <w:tc>
          <w:tcPr>
            <w:tcW w:w="615" w:type="dxa"/>
          </w:tcPr>
          <w:p w14:paraId="33FD7731">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点1</w:t>
            </w:r>
          </w:p>
        </w:tc>
        <w:tc>
          <w:tcPr>
            <w:tcW w:w="616" w:type="dxa"/>
          </w:tcPr>
          <w:p w14:paraId="1A5C5E13">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点2</w:t>
            </w:r>
          </w:p>
        </w:tc>
        <w:tc>
          <w:tcPr>
            <w:tcW w:w="615" w:type="dxa"/>
          </w:tcPr>
          <w:p w14:paraId="61D2483F">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点1</w:t>
            </w:r>
          </w:p>
        </w:tc>
        <w:tc>
          <w:tcPr>
            <w:tcW w:w="616" w:type="dxa"/>
          </w:tcPr>
          <w:p w14:paraId="16077046">
            <w:pPr>
              <w:adjustRightInd w:val="0"/>
              <w:snapToGrid w:val="0"/>
              <w:spacing w:line="220" w:lineRule="exact"/>
              <w:ind w:left="-8" w:leftChars="-49" w:right="-84" w:rightChars="-40" w:hanging="95" w:hangingChars="57"/>
              <w:jc w:val="center"/>
              <w:rPr>
                <w:color w:val="auto"/>
                <w:spacing w:val="-6"/>
                <w:sz w:val="18"/>
                <w:szCs w:val="18"/>
              </w:rPr>
            </w:pPr>
            <w:r>
              <w:rPr>
                <w:color w:val="auto"/>
                <w:spacing w:val="-6"/>
                <w:sz w:val="18"/>
                <w:szCs w:val="18"/>
              </w:rPr>
              <w:t>点2</w:t>
            </w:r>
          </w:p>
        </w:tc>
        <w:tc>
          <w:tcPr>
            <w:tcW w:w="615" w:type="dxa"/>
          </w:tcPr>
          <w:p w14:paraId="6139CB6A">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点1</w:t>
            </w:r>
          </w:p>
        </w:tc>
        <w:tc>
          <w:tcPr>
            <w:tcW w:w="617" w:type="dxa"/>
          </w:tcPr>
          <w:p w14:paraId="5CB570BC">
            <w:pPr>
              <w:adjustRightInd w:val="0"/>
              <w:snapToGrid w:val="0"/>
              <w:spacing w:line="240" w:lineRule="atLeast"/>
              <w:ind w:left="-8" w:leftChars="-49" w:right="-84" w:rightChars="-40" w:hanging="95" w:hangingChars="57"/>
              <w:jc w:val="center"/>
              <w:rPr>
                <w:color w:val="auto"/>
                <w:spacing w:val="-6"/>
                <w:sz w:val="18"/>
                <w:szCs w:val="18"/>
              </w:rPr>
            </w:pPr>
            <w:r>
              <w:rPr>
                <w:color w:val="auto"/>
                <w:spacing w:val="-6"/>
                <w:sz w:val="18"/>
                <w:szCs w:val="18"/>
              </w:rPr>
              <w:t>点2</w:t>
            </w:r>
          </w:p>
        </w:tc>
      </w:tr>
      <w:tr w14:paraId="415EB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63" w:hRule="atLeast"/>
          <w:jc w:val="center"/>
        </w:trPr>
        <w:tc>
          <w:tcPr>
            <w:tcW w:w="555" w:type="dxa"/>
          </w:tcPr>
          <w:p w14:paraId="17EB2ADF">
            <w:pPr>
              <w:adjustRightInd w:val="0"/>
              <w:snapToGrid w:val="0"/>
              <w:ind w:left="1" w:leftChars="-45" w:right="-111" w:rightChars="-53" w:hanging="95" w:hangingChars="53"/>
              <w:jc w:val="center"/>
              <w:rPr>
                <w:color w:val="auto"/>
                <w:sz w:val="18"/>
                <w:szCs w:val="18"/>
              </w:rPr>
            </w:pPr>
            <w:r>
              <w:rPr>
                <w:color w:val="auto"/>
                <w:sz w:val="18"/>
                <w:szCs w:val="18"/>
              </w:rPr>
              <w:t>0.0</w:t>
            </w:r>
          </w:p>
          <w:p w14:paraId="07CB24BE">
            <w:pPr>
              <w:adjustRightInd w:val="0"/>
              <w:snapToGrid w:val="0"/>
              <w:ind w:left="1" w:leftChars="-45" w:right="-111" w:rightChars="-53" w:hanging="95" w:hangingChars="53"/>
              <w:jc w:val="center"/>
              <w:rPr>
                <w:color w:val="auto"/>
                <w:sz w:val="18"/>
                <w:szCs w:val="18"/>
              </w:rPr>
            </w:pPr>
            <w:r>
              <w:rPr>
                <w:color w:val="auto"/>
                <w:sz w:val="18"/>
                <w:szCs w:val="18"/>
              </w:rPr>
              <w:t>0.2</w:t>
            </w:r>
          </w:p>
          <w:p w14:paraId="11ED8751">
            <w:pPr>
              <w:adjustRightInd w:val="0"/>
              <w:snapToGrid w:val="0"/>
              <w:ind w:left="1" w:leftChars="-45" w:right="-111" w:rightChars="-53" w:hanging="95" w:hangingChars="53"/>
              <w:jc w:val="center"/>
              <w:rPr>
                <w:color w:val="auto"/>
                <w:sz w:val="18"/>
                <w:szCs w:val="18"/>
              </w:rPr>
            </w:pPr>
            <w:r>
              <w:rPr>
                <w:color w:val="auto"/>
                <w:sz w:val="18"/>
                <w:szCs w:val="18"/>
              </w:rPr>
              <w:t>0.4</w:t>
            </w:r>
          </w:p>
          <w:p w14:paraId="4ABE29AD">
            <w:pPr>
              <w:adjustRightInd w:val="0"/>
              <w:snapToGrid w:val="0"/>
              <w:ind w:left="1" w:leftChars="-45" w:right="-111" w:rightChars="-53" w:hanging="95" w:hangingChars="53"/>
              <w:jc w:val="center"/>
              <w:rPr>
                <w:color w:val="auto"/>
                <w:sz w:val="18"/>
                <w:szCs w:val="18"/>
              </w:rPr>
            </w:pPr>
            <w:r>
              <w:rPr>
                <w:color w:val="auto"/>
                <w:sz w:val="18"/>
                <w:szCs w:val="18"/>
              </w:rPr>
              <w:t>0.6</w:t>
            </w:r>
          </w:p>
          <w:p w14:paraId="06280C06">
            <w:pPr>
              <w:adjustRightInd w:val="0"/>
              <w:snapToGrid w:val="0"/>
              <w:ind w:left="1" w:leftChars="-45" w:right="-111" w:rightChars="-53" w:hanging="95" w:hangingChars="53"/>
              <w:jc w:val="center"/>
              <w:rPr>
                <w:color w:val="auto"/>
                <w:sz w:val="18"/>
                <w:szCs w:val="18"/>
              </w:rPr>
            </w:pPr>
            <w:r>
              <w:rPr>
                <w:color w:val="auto"/>
                <w:sz w:val="18"/>
                <w:szCs w:val="18"/>
              </w:rPr>
              <w:t>0.8</w:t>
            </w:r>
          </w:p>
          <w:p w14:paraId="4FBAB096">
            <w:pPr>
              <w:adjustRightInd w:val="0"/>
              <w:snapToGrid w:val="0"/>
              <w:ind w:left="1" w:leftChars="-45" w:right="-111" w:rightChars="-53" w:hanging="95" w:hangingChars="53"/>
              <w:jc w:val="center"/>
              <w:rPr>
                <w:color w:val="auto"/>
                <w:sz w:val="18"/>
                <w:szCs w:val="18"/>
              </w:rPr>
            </w:pPr>
            <w:r>
              <w:rPr>
                <w:color w:val="auto"/>
                <w:sz w:val="18"/>
                <w:szCs w:val="18"/>
              </w:rPr>
              <w:t>1.0</w:t>
            </w:r>
          </w:p>
          <w:p w14:paraId="1AB98A22">
            <w:pPr>
              <w:adjustRightInd w:val="0"/>
              <w:snapToGrid w:val="0"/>
              <w:ind w:left="1" w:leftChars="-45" w:right="-111" w:rightChars="-53" w:hanging="95" w:hangingChars="53"/>
              <w:jc w:val="center"/>
              <w:rPr>
                <w:color w:val="auto"/>
                <w:sz w:val="18"/>
                <w:szCs w:val="18"/>
              </w:rPr>
            </w:pPr>
            <w:r>
              <w:rPr>
                <w:color w:val="auto"/>
                <w:sz w:val="18"/>
                <w:szCs w:val="18"/>
              </w:rPr>
              <w:t>1.2</w:t>
            </w:r>
          </w:p>
          <w:p w14:paraId="45D51D01">
            <w:pPr>
              <w:adjustRightInd w:val="0"/>
              <w:snapToGrid w:val="0"/>
              <w:ind w:left="1" w:leftChars="-45" w:right="-111" w:rightChars="-53" w:hanging="95" w:hangingChars="53"/>
              <w:jc w:val="center"/>
              <w:rPr>
                <w:color w:val="auto"/>
                <w:sz w:val="18"/>
                <w:szCs w:val="18"/>
              </w:rPr>
            </w:pPr>
            <w:r>
              <w:rPr>
                <w:color w:val="auto"/>
                <w:sz w:val="18"/>
                <w:szCs w:val="18"/>
              </w:rPr>
              <w:t>1.4</w:t>
            </w:r>
          </w:p>
          <w:p w14:paraId="348117D1">
            <w:pPr>
              <w:adjustRightInd w:val="0"/>
              <w:snapToGrid w:val="0"/>
              <w:ind w:left="1" w:leftChars="-45" w:right="-111" w:rightChars="-53" w:hanging="95" w:hangingChars="53"/>
              <w:jc w:val="center"/>
              <w:rPr>
                <w:color w:val="auto"/>
                <w:sz w:val="18"/>
                <w:szCs w:val="18"/>
              </w:rPr>
            </w:pPr>
            <w:r>
              <w:rPr>
                <w:color w:val="auto"/>
                <w:sz w:val="18"/>
                <w:szCs w:val="18"/>
              </w:rPr>
              <w:t>1.6</w:t>
            </w:r>
          </w:p>
          <w:p w14:paraId="174F7F55">
            <w:pPr>
              <w:adjustRightInd w:val="0"/>
              <w:snapToGrid w:val="0"/>
              <w:ind w:left="1" w:leftChars="-45" w:right="-111" w:rightChars="-53" w:hanging="95" w:hangingChars="53"/>
              <w:jc w:val="center"/>
              <w:rPr>
                <w:color w:val="auto"/>
                <w:sz w:val="18"/>
                <w:szCs w:val="18"/>
              </w:rPr>
            </w:pPr>
            <w:r>
              <w:rPr>
                <w:color w:val="auto"/>
                <w:sz w:val="18"/>
                <w:szCs w:val="18"/>
              </w:rPr>
              <w:t>1.8</w:t>
            </w:r>
          </w:p>
          <w:p w14:paraId="718F1E94">
            <w:pPr>
              <w:adjustRightInd w:val="0"/>
              <w:snapToGrid w:val="0"/>
              <w:ind w:left="1" w:leftChars="-45" w:right="-111" w:rightChars="-53" w:hanging="95" w:hangingChars="53"/>
              <w:jc w:val="center"/>
              <w:rPr>
                <w:color w:val="auto"/>
                <w:sz w:val="18"/>
                <w:szCs w:val="18"/>
              </w:rPr>
            </w:pPr>
            <w:r>
              <w:rPr>
                <w:color w:val="auto"/>
                <w:sz w:val="18"/>
                <w:szCs w:val="18"/>
              </w:rPr>
              <w:t>2.0</w:t>
            </w:r>
          </w:p>
          <w:p w14:paraId="7FF57F87">
            <w:pPr>
              <w:adjustRightInd w:val="0"/>
              <w:snapToGrid w:val="0"/>
              <w:ind w:left="1" w:leftChars="-45" w:right="-111" w:rightChars="-53" w:hanging="95" w:hangingChars="53"/>
              <w:jc w:val="center"/>
              <w:rPr>
                <w:color w:val="auto"/>
                <w:sz w:val="18"/>
                <w:szCs w:val="18"/>
              </w:rPr>
            </w:pPr>
            <w:r>
              <w:rPr>
                <w:color w:val="auto"/>
                <w:sz w:val="18"/>
                <w:szCs w:val="18"/>
              </w:rPr>
              <w:t>2.5</w:t>
            </w:r>
          </w:p>
          <w:p w14:paraId="14AB6460">
            <w:pPr>
              <w:adjustRightInd w:val="0"/>
              <w:snapToGrid w:val="0"/>
              <w:ind w:left="1" w:leftChars="-45" w:right="-111" w:rightChars="-53" w:hanging="95" w:hangingChars="53"/>
              <w:jc w:val="center"/>
              <w:rPr>
                <w:color w:val="auto"/>
                <w:sz w:val="18"/>
                <w:szCs w:val="18"/>
              </w:rPr>
            </w:pPr>
            <w:r>
              <w:rPr>
                <w:color w:val="auto"/>
                <w:sz w:val="18"/>
                <w:szCs w:val="18"/>
              </w:rPr>
              <w:t>3.0</w:t>
            </w:r>
          </w:p>
          <w:p w14:paraId="6449EA18">
            <w:pPr>
              <w:adjustRightInd w:val="0"/>
              <w:snapToGrid w:val="0"/>
              <w:ind w:left="1" w:leftChars="-45" w:right="-111" w:rightChars="-53" w:hanging="95" w:hangingChars="53"/>
              <w:jc w:val="center"/>
              <w:rPr>
                <w:color w:val="auto"/>
                <w:sz w:val="18"/>
                <w:szCs w:val="18"/>
              </w:rPr>
            </w:pPr>
            <w:r>
              <w:rPr>
                <w:color w:val="auto"/>
                <w:sz w:val="18"/>
                <w:szCs w:val="18"/>
              </w:rPr>
              <w:t>5.0</w:t>
            </w:r>
          </w:p>
          <w:p w14:paraId="4D8D707C">
            <w:pPr>
              <w:adjustRightInd w:val="0"/>
              <w:snapToGrid w:val="0"/>
              <w:ind w:left="1" w:leftChars="-45" w:right="-111" w:rightChars="-53" w:hanging="95" w:hangingChars="53"/>
              <w:jc w:val="center"/>
              <w:rPr>
                <w:color w:val="auto"/>
                <w:sz w:val="18"/>
                <w:szCs w:val="18"/>
              </w:rPr>
            </w:pPr>
            <w:r>
              <w:rPr>
                <w:color w:val="auto"/>
                <w:sz w:val="18"/>
                <w:szCs w:val="18"/>
              </w:rPr>
              <w:t>7.0</w:t>
            </w:r>
          </w:p>
          <w:p w14:paraId="1FE2A256">
            <w:pPr>
              <w:adjustRightInd w:val="0"/>
              <w:snapToGrid w:val="0"/>
              <w:ind w:left="1" w:leftChars="-45" w:right="-111" w:rightChars="-53" w:hanging="95" w:hangingChars="53"/>
              <w:jc w:val="center"/>
              <w:rPr>
                <w:color w:val="auto"/>
                <w:sz w:val="18"/>
                <w:szCs w:val="18"/>
              </w:rPr>
            </w:pPr>
            <w:r>
              <w:rPr>
                <w:color w:val="auto"/>
                <w:sz w:val="18"/>
                <w:szCs w:val="18"/>
              </w:rPr>
              <w:t>10.0</w:t>
            </w:r>
          </w:p>
        </w:tc>
        <w:tc>
          <w:tcPr>
            <w:tcW w:w="614" w:type="dxa"/>
            <w:vAlign w:val="center"/>
          </w:tcPr>
          <w:p w14:paraId="7BFDA4E2">
            <w:pPr>
              <w:adjustRightInd w:val="0"/>
              <w:snapToGrid w:val="0"/>
              <w:ind w:left="-103" w:leftChars="-49" w:right="-84" w:rightChars="-40"/>
              <w:jc w:val="center"/>
              <w:rPr>
                <w:color w:val="auto"/>
                <w:spacing w:val="-8"/>
                <w:sz w:val="18"/>
                <w:szCs w:val="18"/>
              </w:rPr>
            </w:pPr>
            <w:r>
              <w:rPr>
                <w:color w:val="auto"/>
                <w:spacing w:val="-8"/>
                <w:sz w:val="18"/>
                <w:szCs w:val="18"/>
              </w:rPr>
              <w:t>0.0000</w:t>
            </w:r>
          </w:p>
          <w:p w14:paraId="3A9B75F0">
            <w:pPr>
              <w:adjustRightInd w:val="0"/>
              <w:snapToGrid w:val="0"/>
              <w:ind w:left="-103" w:leftChars="-49" w:right="-84" w:rightChars="-40"/>
              <w:jc w:val="center"/>
              <w:rPr>
                <w:color w:val="auto"/>
                <w:spacing w:val="-8"/>
                <w:sz w:val="18"/>
                <w:szCs w:val="18"/>
              </w:rPr>
            </w:pPr>
            <w:r>
              <w:rPr>
                <w:color w:val="auto"/>
                <w:spacing w:val="-8"/>
                <w:sz w:val="18"/>
                <w:szCs w:val="18"/>
              </w:rPr>
              <w:t>0.0306</w:t>
            </w:r>
          </w:p>
          <w:p w14:paraId="18846205">
            <w:pPr>
              <w:adjustRightInd w:val="0"/>
              <w:snapToGrid w:val="0"/>
              <w:ind w:left="-103" w:leftChars="-49" w:right="-84" w:rightChars="-40"/>
              <w:jc w:val="center"/>
              <w:rPr>
                <w:color w:val="auto"/>
                <w:spacing w:val="-8"/>
                <w:sz w:val="18"/>
                <w:szCs w:val="18"/>
              </w:rPr>
            </w:pPr>
            <w:r>
              <w:rPr>
                <w:color w:val="auto"/>
                <w:spacing w:val="-8"/>
                <w:sz w:val="18"/>
                <w:szCs w:val="18"/>
              </w:rPr>
              <w:t>0.0545</w:t>
            </w:r>
          </w:p>
          <w:p w14:paraId="499FFFF1">
            <w:pPr>
              <w:adjustRightInd w:val="0"/>
              <w:snapToGrid w:val="0"/>
              <w:ind w:left="-103" w:leftChars="-49" w:right="-84" w:rightChars="-40"/>
              <w:jc w:val="center"/>
              <w:rPr>
                <w:color w:val="auto"/>
                <w:spacing w:val="-8"/>
                <w:sz w:val="18"/>
                <w:szCs w:val="18"/>
              </w:rPr>
            </w:pPr>
            <w:r>
              <w:rPr>
                <w:color w:val="auto"/>
                <w:spacing w:val="-8"/>
                <w:sz w:val="18"/>
                <w:szCs w:val="18"/>
              </w:rPr>
              <w:t>0.0690</w:t>
            </w:r>
          </w:p>
          <w:p w14:paraId="71E9416A">
            <w:pPr>
              <w:adjustRightInd w:val="0"/>
              <w:snapToGrid w:val="0"/>
              <w:ind w:left="-103" w:leftChars="-49" w:right="-84" w:rightChars="-40"/>
              <w:jc w:val="center"/>
              <w:rPr>
                <w:color w:val="auto"/>
                <w:spacing w:val="-8"/>
                <w:sz w:val="18"/>
                <w:szCs w:val="18"/>
              </w:rPr>
            </w:pPr>
            <w:r>
              <w:rPr>
                <w:color w:val="auto"/>
                <w:spacing w:val="-8"/>
                <w:sz w:val="18"/>
                <w:szCs w:val="18"/>
              </w:rPr>
              <w:t>0.0751</w:t>
            </w:r>
          </w:p>
          <w:p w14:paraId="7A57D31B">
            <w:pPr>
              <w:adjustRightInd w:val="0"/>
              <w:snapToGrid w:val="0"/>
              <w:ind w:left="-103" w:leftChars="-49" w:right="-84" w:rightChars="-40"/>
              <w:jc w:val="center"/>
              <w:rPr>
                <w:color w:val="auto"/>
                <w:spacing w:val="-8"/>
                <w:sz w:val="18"/>
                <w:szCs w:val="18"/>
              </w:rPr>
            </w:pPr>
            <w:r>
              <w:rPr>
                <w:color w:val="auto"/>
                <w:spacing w:val="-8"/>
                <w:sz w:val="18"/>
                <w:szCs w:val="18"/>
              </w:rPr>
              <w:t>0.0753</w:t>
            </w:r>
          </w:p>
          <w:p w14:paraId="34E5003A">
            <w:pPr>
              <w:adjustRightInd w:val="0"/>
              <w:snapToGrid w:val="0"/>
              <w:ind w:left="-103" w:leftChars="-49" w:right="-84" w:rightChars="-40"/>
              <w:jc w:val="center"/>
              <w:rPr>
                <w:color w:val="auto"/>
                <w:spacing w:val="-8"/>
                <w:sz w:val="18"/>
                <w:szCs w:val="18"/>
              </w:rPr>
            </w:pPr>
            <w:r>
              <w:rPr>
                <w:color w:val="auto"/>
                <w:spacing w:val="-8"/>
                <w:sz w:val="18"/>
                <w:szCs w:val="18"/>
              </w:rPr>
              <w:t>0.0721</w:t>
            </w:r>
          </w:p>
          <w:p w14:paraId="4BB59F1D">
            <w:pPr>
              <w:adjustRightInd w:val="0"/>
              <w:snapToGrid w:val="0"/>
              <w:ind w:left="-103" w:leftChars="-49" w:right="-84" w:rightChars="-40"/>
              <w:jc w:val="center"/>
              <w:rPr>
                <w:color w:val="auto"/>
                <w:spacing w:val="-8"/>
                <w:sz w:val="18"/>
                <w:szCs w:val="18"/>
              </w:rPr>
            </w:pPr>
            <w:r>
              <w:rPr>
                <w:color w:val="auto"/>
                <w:spacing w:val="-8"/>
                <w:sz w:val="18"/>
                <w:szCs w:val="18"/>
              </w:rPr>
              <w:t>0.0672</w:t>
            </w:r>
          </w:p>
          <w:p w14:paraId="5D53A4D5">
            <w:pPr>
              <w:adjustRightInd w:val="0"/>
              <w:snapToGrid w:val="0"/>
              <w:ind w:left="-103" w:leftChars="-49" w:right="-84" w:rightChars="-40"/>
              <w:jc w:val="center"/>
              <w:rPr>
                <w:color w:val="auto"/>
                <w:spacing w:val="-8"/>
                <w:sz w:val="18"/>
                <w:szCs w:val="18"/>
              </w:rPr>
            </w:pPr>
            <w:r>
              <w:rPr>
                <w:color w:val="auto"/>
                <w:spacing w:val="-8"/>
                <w:sz w:val="18"/>
                <w:szCs w:val="18"/>
              </w:rPr>
              <w:t>0.0616</w:t>
            </w:r>
          </w:p>
          <w:p w14:paraId="6B77E49C">
            <w:pPr>
              <w:adjustRightInd w:val="0"/>
              <w:snapToGrid w:val="0"/>
              <w:ind w:left="-103" w:leftChars="-49" w:right="-84" w:rightChars="-40"/>
              <w:jc w:val="center"/>
              <w:rPr>
                <w:color w:val="auto"/>
                <w:spacing w:val="-8"/>
                <w:sz w:val="18"/>
                <w:szCs w:val="18"/>
              </w:rPr>
            </w:pPr>
            <w:r>
              <w:rPr>
                <w:color w:val="auto"/>
                <w:spacing w:val="-8"/>
                <w:sz w:val="18"/>
                <w:szCs w:val="18"/>
              </w:rPr>
              <w:t>0.0560</w:t>
            </w:r>
          </w:p>
          <w:p w14:paraId="066F318A">
            <w:pPr>
              <w:adjustRightInd w:val="0"/>
              <w:snapToGrid w:val="0"/>
              <w:ind w:left="-103" w:leftChars="-49" w:right="-84" w:rightChars="-40"/>
              <w:jc w:val="center"/>
              <w:rPr>
                <w:color w:val="auto"/>
                <w:spacing w:val="-8"/>
                <w:sz w:val="18"/>
                <w:szCs w:val="18"/>
              </w:rPr>
            </w:pPr>
            <w:r>
              <w:rPr>
                <w:color w:val="auto"/>
                <w:spacing w:val="-8"/>
                <w:sz w:val="18"/>
                <w:szCs w:val="18"/>
              </w:rPr>
              <w:t>0.0507</w:t>
            </w:r>
          </w:p>
          <w:p w14:paraId="4BD37B60">
            <w:pPr>
              <w:adjustRightInd w:val="0"/>
              <w:snapToGrid w:val="0"/>
              <w:ind w:left="-103" w:leftChars="-49" w:right="-84" w:rightChars="-40"/>
              <w:jc w:val="center"/>
              <w:rPr>
                <w:color w:val="auto"/>
                <w:spacing w:val="-8"/>
                <w:sz w:val="18"/>
                <w:szCs w:val="18"/>
              </w:rPr>
            </w:pPr>
            <w:r>
              <w:rPr>
                <w:color w:val="auto"/>
                <w:spacing w:val="-8"/>
                <w:sz w:val="18"/>
                <w:szCs w:val="18"/>
              </w:rPr>
              <w:t>0.0393</w:t>
            </w:r>
          </w:p>
          <w:p w14:paraId="1752EA9B">
            <w:pPr>
              <w:adjustRightInd w:val="0"/>
              <w:snapToGrid w:val="0"/>
              <w:ind w:left="-103" w:leftChars="-49" w:right="-84" w:rightChars="-40"/>
              <w:jc w:val="center"/>
              <w:rPr>
                <w:color w:val="auto"/>
                <w:spacing w:val="-8"/>
                <w:sz w:val="18"/>
                <w:szCs w:val="18"/>
              </w:rPr>
            </w:pPr>
            <w:r>
              <w:rPr>
                <w:color w:val="auto"/>
                <w:spacing w:val="-8"/>
                <w:sz w:val="18"/>
                <w:szCs w:val="18"/>
              </w:rPr>
              <w:t>0.0307</w:t>
            </w:r>
          </w:p>
          <w:p w14:paraId="42F85972">
            <w:pPr>
              <w:adjustRightInd w:val="0"/>
              <w:snapToGrid w:val="0"/>
              <w:ind w:left="-103" w:leftChars="-49" w:right="-84" w:rightChars="-40"/>
              <w:jc w:val="center"/>
              <w:rPr>
                <w:color w:val="auto"/>
                <w:spacing w:val="-8"/>
                <w:sz w:val="18"/>
                <w:szCs w:val="18"/>
              </w:rPr>
            </w:pPr>
            <w:r>
              <w:rPr>
                <w:color w:val="auto"/>
                <w:spacing w:val="-8"/>
                <w:sz w:val="18"/>
                <w:szCs w:val="18"/>
              </w:rPr>
              <w:t>0.0135</w:t>
            </w:r>
          </w:p>
          <w:p w14:paraId="4A49A675">
            <w:pPr>
              <w:adjustRightInd w:val="0"/>
              <w:snapToGrid w:val="0"/>
              <w:ind w:left="-103" w:leftChars="-49" w:right="-84" w:rightChars="-40"/>
              <w:jc w:val="center"/>
              <w:rPr>
                <w:color w:val="auto"/>
                <w:spacing w:val="-8"/>
                <w:sz w:val="18"/>
                <w:szCs w:val="18"/>
              </w:rPr>
            </w:pPr>
            <w:r>
              <w:rPr>
                <w:color w:val="auto"/>
                <w:spacing w:val="-8"/>
                <w:sz w:val="18"/>
                <w:szCs w:val="18"/>
              </w:rPr>
              <w:t>0.0073</w:t>
            </w:r>
          </w:p>
          <w:p w14:paraId="257CF12A">
            <w:pPr>
              <w:adjustRightInd w:val="0"/>
              <w:snapToGrid w:val="0"/>
              <w:ind w:left="-103" w:leftChars="-49" w:right="-84" w:rightChars="-40"/>
              <w:jc w:val="center"/>
              <w:rPr>
                <w:color w:val="auto"/>
                <w:spacing w:val="-8"/>
                <w:sz w:val="18"/>
                <w:szCs w:val="18"/>
              </w:rPr>
            </w:pPr>
            <w:r>
              <w:rPr>
                <w:color w:val="auto"/>
                <w:spacing w:val="-8"/>
                <w:sz w:val="18"/>
                <w:szCs w:val="18"/>
              </w:rPr>
              <w:t>0.0037</w:t>
            </w:r>
          </w:p>
          <w:p w14:paraId="2BA813D5">
            <w:pPr>
              <w:adjustRightInd w:val="0"/>
              <w:snapToGrid w:val="0"/>
              <w:ind w:left="-103" w:leftChars="-49" w:right="-84" w:rightChars="-40"/>
              <w:jc w:val="center"/>
              <w:rPr>
                <w:color w:val="auto"/>
                <w:spacing w:val="-8"/>
                <w:sz w:val="18"/>
                <w:szCs w:val="18"/>
              </w:rPr>
            </w:pPr>
          </w:p>
          <w:p w14:paraId="170186CE">
            <w:pPr>
              <w:adjustRightInd w:val="0"/>
              <w:snapToGrid w:val="0"/>
              <w:ind w:left="-103" w:leftChars="-49" w:right="-84" w:rightChars="-40"/>
              <w:jc w:val="center"/>
              <w:rPr>
                <w:color w:val="auto"/>
                <w:spacing w:val="-8"/>
                <w:sz w:val="18"/>
                <w:szCs w:val="18"/>
              </w:rPr>
            </w:pPr>
          </w:p>
          <w:p w14:paraId="59C4C905">
            <w:pPr>
              <w:adjustRightInd w:val="0"/>
              <w:snapToGrid w:val="0"/>
              <w:ind w:left="-103" w:leftChars="-49" w:right="-84" w:rightChars="-40"/>
              <w:jc w:val="center"/>
              <w:rPr>
                <w:color w:val="auto"/>
                <w:spacing w:val="-8"/>
                <w:sz w:val="18"/>
                <w:szCs w:val="18"/>
              </w:rPr>
            </w:pPr>
          </w:p>
        </w:tc>
        <w:tc>
          <w:tcPr>
            <w:tcW w:w="615" w:type="dxa"/>
          </w:tcPr>
          <w:p w14:paraId="33D52629">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6928FF76">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0.2185</w:t>
            </w:r>
          </w:p>
          <w:p w14:paraId="1AB8229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0.1889</w:t>
            </w:r>
          </w:p>
          <w:p w14:paraId="6C272460">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0.1625</w:t>
            </w:r>
          </w:p>
          <w:p w14:paraId="5BA86431">
            <w:pPr>
              <w:adjustRightInd w:val="0"/>
              <w:snapToGrid w:val="0"/>
              <w:ind w:left="-10" w:leftChars="-49" w:right="-84" w:rightChars="-40" w:hanging="93" w:hangingChars="57"/>
              <w:jc w:val="center"/>
              <w:rPr>
                <w:color w:val="auto"/>
                <w:spacing w:val="-8"/>
                <w:sz w:val="18"/>
                <w:szCs w:val="18"/>
              </w:rPr>
            </w:pPr>
            <w:r>
              <w:rPr>
                <w:color w:val="auto"/>
                <w:spacing w:val="-8"/>
                <w:sz w:val="18"/>
                <w:szCs w:val="18"/>
              </w:rPr>
              <w:t>0.1396</w:t>
            </w:r>
          </w:p>
          <w:p w14:paraId="77A9E2CF">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0.1202</w:t>
            </w:r>
          </w:p>
          <w:p w14:paraId="4CCD5612">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0.1037</w:t>
            </w:r>
          </w:p>
          <w:p w14:paraId="428D0F6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0.0897</w:t>
            </w:r>
          </w:p>
          <w:p w14:paraId="0FF3EE4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0.0780</w:t>
            </w:r>
          </w:p>
          <w:p w14:paraId="7D6D07A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0.0681</w:t>
            </w:r>
          </w:p>
          <w:p w14:paraId="19351B2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0.0596</w:t>
            </w:r>
          </w:p>
          <w:p w14:paraId="62A12B8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0.0440</w:t>
            </w:r>
          </w:p>
          <w:p w14:paraId="5280503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0.0333</w:t>
            </w:r>
          </w:p>
          <w:p w14:paraId="356116F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0.0139</w:t>
            </w:r>
          </w:p>
          <w:p w14:paraId="6C59CF4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0.0074</w:t>
            </w:r>
          </w:p>
          <w:p w14:paraId="669D7AD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0.0037</w:t>
            </w:r>
          </w:p>
        </w:tc>
        <w:tc>
          <w:tcPr>
            <w:tcW w:w="614" w:type="dxa"/>
          </w:tcPr>
          <w:p w14:paraId="24B29AC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7E59311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25695D7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0.0546</w:t>
            </w:r>
          </w:p>
          <w:p w14:paraId="2B18DDE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0.0694</w:t>
            </w:r>
          </w:p>
          <w:p w14:paraId="13DACD3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0.0759</w:t>
            </w:r>
          </w:p>
          <w:p w14:paraId="31DFAD1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0.0766</w:t>
            </w:r>
          </w:p>
          <w:p w14:paraId="2C83213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0.0738</w:t>
            </w:r>
          </w:p>
          <w:p w14:paraId="0F67536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0.0692</w:t>
            </w:r>
          </w:p>
          <w:p w14:paraId="195C060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0.0639</w:t>
            </w:r>
          </w:p>
          <w:p w14:paraId="0D7A923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0.0585</w:t>
            </w:r>
          </w:p>
          <w:p w14:paraId="3B7BFBE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0.0533</w:t>
            </w:r>
          </w:p>
          <w:p w14:paraId="6B912FC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0.0419</w:t>
            </w:r>
          </w:p>
          <w:p w14:paraId="56A73C5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0.0331</w:t>
            </w:r>
          </w:p>
          <w:p w14:paraId="0BC98D2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0.0148</w:t>
            </w:r>
          </w:p>
          <w:p w14:paraId="572ED5F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0.0081</w:t>
            </w:r>
          </w:p>
          <w:p w14:paraId="2E31701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0.0041</w:t>
            </w:r>
          </w:p>
        </w:tc>
        <w:tc>
          <w:tcPr>
            <w:tcW w:w="614" w:type="dxa"/>
          </w:tcPr>
          <w:p w14:paraId="5670605E">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000949FA">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0.2185</w:t>
            </w:r>
          </w:p>
          <w:p w14:paraId="10421F1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0.1891</w:t>
            </w:r>
          </w:p>
          <w:p w14:paraId="351D7F53">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0.1630</w:t>
            </w:r>
          </w:p>
          <w:p w14:paraId="621E49B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0.1405</w:t>
            </w:r>
          </w:p>
          <w:p w14:paraId="0C02D8AC">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0.1215</w:t>
            </w:r>
          </w:p>
          <w:p w14:paraId="162AF1A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0.1055</w:t>
            </w:r>
          </w:p>
          <w:p w14:paraId="448F580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0.0921</w:t>
            </w:r>
          </w:p>
          <w:p w14:paraId="1B6159B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0.0806</w:t>
            </w:r>
          </w:p>
          <w:p w14:paraId="26436B8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0.0709</w:t>
            </w:r>
          </w:p>
          <w:p w14:paraId="6FDC8D3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0.0625</w:t>
            </w:r>
          </w:p>
          <w:p w14:paraId="439D0B5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0.0469</w:t>
            </w:r>
          </w:p>
          <w:p w14:paraId="47DF54A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0.0359</w:t>
            </w:r>
          </w:p>
          <w:p w14:paraId="102914E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0.0154</w:t>
            </w:r>
          </w:p>
          <w:p w14:paraId="61D3CDF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0.0083</w:t>
            </w:r>
          </w:p>
          <w:p w14:paraId="2F5B961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0.0042</w:t>
            </w:r>
          </w:p>
        </w:tc>
        <w:tc>
          <w:tcPr>
            <w:tcW w:w="614" w:type="dxa"/>
          </w:tcPr>
          <w:p w14:paraId="079916D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4AFED9F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46AF1D1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0.0547</w:t>
            </w:r>
          </w:p>
          <w:p w14:paraId="7E81BAF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0.0696</w:t>
            </w:r>
          </w:p>
          <w:p w14:paraId="4CE4096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0.0764</w:t>
            </w:r>
          </w:p>
          <w:p w14:paraId="4540BD8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0.0774</w:t>
            </w:r>
          </w:p>
          <w:p w14:paraId="0904093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0.0749</w:t>
            </w:r>
          </w:p>
          <w:p w14:paraId="0506063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0.0707</w:t>
            </w:r>
          </w:p>
          <w:p w14:paraId="305E346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0.0656</w:t>
            </w:r>
          </w:p>
          <w:p w14:paraId="0C5C412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0.0604</w:t>
            </w:r>
          </w:p>
          <w:p w14:paraId="0B8D0E1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0.0553</w:t>
            </w:r>
          </w:p>
          <w:p w14:paraId="2FFDC9E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0.0440</w:t>
            </w:r>
          </w:p>
          <w:p w14:paraId="6AFC72A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0.0352</w:t>
            </w:r>
          </w:p>
          <w:p w14:paraId="4560FF8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0.0161</w:t>
            </w:r>
          </w:p>
          <w:p w14:paraId="39728F2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0.0089</w:t>
            </w:r>
          </w:p>
          <w:p w14:paraId="0B0AFBE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0.0046</w:t>
            </w:r>
          </w:p>
        </w:tc>
        <w:tc>
          <w:tcPr>
            <w:tcW w:w="615" w:type="dxa"/>
          </w:tcPr>
          <w:p w14:paraId="5DBFBA92">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7E9DA60E">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0.2185</w:t>
            </w:r>
          </w:p>
          <w:p w14:paraId="2C68E092">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0.1892</w:t>
            </w:r>
          </w:p>
          <w:p w14:paraId="248F5541">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0.1633</w:t>
            </w:r>
          </w:p>
          <w:p w14:paraId="2B03033F">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0.1412</w:t>
            </w:r>
          </w:p>
          <w:p w14:paraId="0192BA42">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0.1225</w:t>
            </w:r>
          </w:p>
          <w:p w14:paraId="49A5613E">
            <w:pPr>
              <w:adjustRightInd w:val="0"/>
              <w:snapToGrid w:val="0"/>
              <w:ind w:left="-10" w:leftChars="-49" w:right="-84" w:rightChars="-40" w:hanging="93" w:hangingChars="57"/>
              <w:jc w:val="center"/>
              <w:rPr>
                <w:color w:val="auto"/>
                <w:spacing w:val="-8"/>
                <w:sz w:val="18"/>
                <w:szCs w:val="18"/>
              </w:rPr>
            </w:pPr>
            <w:r>
              <w:rPr>
                <w:color w:val="auto"/>
                <w:spacing w:val="-8"/>
                <w:sz w:val="18"/>
                <w:szCs w:val="18"/>
              </w:rPr>
              <w:t>0.1069</w:t>
            </w:r>
          </w:p>
          <w:p w14:paraId="61E4ED8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0.0937</w:t>
            </w:r>
          </w:p>
          <w:p w14:paraId="3698620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0.0826</w:t>
            </w:r>
          </w:p>
          <w:p w14:paraId="1C27DFC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0.0730</w:t>
            </w:r>
          </w:p>
          <w:p w14:paraId="6F64CD9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0.0649</w:t>
            </w:r>
          </w:p>
          <w:p w14:paraId="118A325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0.0491</w:t>
            </w:r>
          </w:p>
          <w:p w14:paraId="186C3C0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0.0380</w:t>
            </w:r>
          </w:p>
          <w:p w14:paraId="178E57B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0.0167</w:t>
            </w:r>
          </w:p>
          <w:p w14:paraId="5A7E60C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0.0091</w:t>
            </w:r>
          </w:p>
          <w:p w14:paraId="11346B4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0.0046</w:t>
            </w:r>
          </w:p>
        </w:tc>
        <w:tc>
          <w:tcPr>
            <w:tcW w:w="615" w:type="dxa"/>
          </w:tcPr>
          <w:p w14:paraId="49EDEAE5">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089F9DC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71D7657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0.0549</w:t>
            </w:r>
          </w:p>
          <w:p w14:paraId="37B5639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0.0702</w:t>
            </w:r>
          </w:p>
          <w:p w14:paraId="300C21A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0.0776</w:t>
            </w:r>
          </w:p>
          <w:p w14:paraId="166C94F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0.0794</w:t>
            </w:r>
          </w:p>
          <w:p w14:paraId="24E59E9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0.0779</w:t>
            </w:r>
          </w:p>
          <w:p w14:paraId="63D1E21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0.0748</w:t>
            </w:r>
          </w:p>
          <w:p w14:paraId="2FBB278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0.0708</w:t>
            </w:r>
          </w:p>
          <w:p w14:paraId="4E3F402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0.0666</w:t>
            </w:r>
          </w:p>
          <w:p w14:paraId="5E213F4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0.0624</w:t>
            </w:r>
          </w:p>
          <w:p w14:paraId="1268605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0.0529</w:t>
            </w:r>
          </w:p>
          <w:p w14:paraId="0EA3753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0.0449</w:t>
            </w:r>
          </w:p>
          <w:p w14:paraId="47F632A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0.0248</w:t>
            </w:r>
          </w:p>
          <w:p w14:paraId="7183B75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0.0152</w:t>
            </w:r>
          </w:p>
          <w:p w14:paraId="6B9CB5B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0.0084</w:t>
            </w:r>
          </w:p>
        </w:tc>
        <w:tc>
          <w:tcPr>
            <w:tcW w:w="616" w:type="dxa"/>
          </w:tcPr>
          <w:p w14:paraId="072E133E">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73A015FF">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0.2186</w:t>
            </w:r>
          </w:p>
          <w:p w14:paraId="5EE1D299">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0.1894</w:t>
            </w:r>
          </w:p>
          <w:p w14:paraId="71B87D4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0.1639</w:t>
            </w:r>
          </w:p>
          <w:p w14:paraId="44731FA3">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0.1424</w:t>
            </w:r>
          </w:p>
          <w:p w14:paraId="30E623B9">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0.1248</w:t>
            </w:r>
          </w:p>
          <w:p w14:paraId="26238742">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0.1103</w:t>
            </w:r>
          </w:p>
          <w:p w14:paraId="0076BB9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0.0982</w:t>
            </w:r>
          </w:p>
          <w:p w14:paraId="71754C8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0.0882</w:t>
            </w:r>
          </w:p>
          <w:p w14:paraId="0EBCF5C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0.0797</w:t>
            </w:r>
          </w:p>
          <w:p w14:paraId="4CDF619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0.0726</w:t>
            </w:r>
          </w:p>
          <w:p w14:paraId="67A6FDD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0.0585</w:t>
            </w:r>
          </w:p>
          <w:p w14:paraId="160B7F9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0.0482</w:t>
            </w:r>
          </w:p>
          <w:p w14:paraId="652F495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0.0256</w:t>
            </w:r>
          </w:p>
          <w:p w14:paraId="5100E40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0.0154</w:t>
            </w:r>
          </w:p>
          <w:p w14:paraId="0257518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0.0083</w:t>
            </w:r>
          </w:p>
        </w:tc>
        <w:tc>
          <w:tcPr>
            <w:tcW w:w="615" w:type="dxa"/>
          </w:tcPr>
          <w:p w14:paraId="6F8D025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7D75C95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07742AA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0.0549</w:t>
            </w:r>
          </w:p>
          <w:p w14:paraId="63FF769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0.0702</w:t>
            </w:r>
          </w:p>
          <w:p w14:paraId="027BDCB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0.0776</w:t>
            </w:r>
          </w:p>
          <w:p w14:paraId="38554BE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0.0795</w:t>
            </w:r>
          </w:p>
          <w:p w14:paraId="2B8B499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0.0782</w:t>
            </w:r>
          </w:p>
          <w:p w14:paraId="4D9F8E0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0.0752</w:t>
            </w:r>
          </w:p>
          <w:p w14:paraId="3274F91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0.0714</w:t>
            </w:r>
          </w:p>
          <w:p w14:paraId="1340972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0.0673</w:t>
            </w:r>
          </w:p>
          <w:p w14:paraId="56F1838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0.0634</w:t>
            </w:r>
          </w:p>
          <w:p w14:paraId="0646B11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0.0543</w:t>
            </w:r>
          </w:p>
          <w:p w14:paraId="589067F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0.0469</w:t>
            </w:r>
          </w:p>
          <w:p w14:paraId="45B5C2A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0.0283</w:t>
            </w:r>
          </w:p>
          <w:p w14:paraId="3486B24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0.0186</w:t>
            </w:r>
          </w:p>
          <w:p w14:paraId="49FA7D0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0.0111</w:t>
            </w:r>
          </w:p>
        </w:tc>
        <w:tc>
          <w:tcPr>
            <w:tcW w:w="616" w:type="dxa"/>
          </w:tcPr>
          <w:p w14:paraId="7F7799CB">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0F24CD09">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0.2186</w:t>
            </w:r>
          </w:p>
          <w:p w14:paraId="72FB4FC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0.1894</w:t>
            </w:r>
          </w:p>
          <w:p w14:paraId="12ECE49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0.1640</w:t>
            </w:r>
          </w:p>
          <w:p w14:paraId="738F396F">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0.1426</w:t>
            </w:r>
          </w:p>
          <w:p w14:paraId="0B069719">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0.1250</w:t>
            </w:r>
          </w:p>
          <w:p w14:paraId="67DE61D3">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0.1105</w:t>
            </w:r>
          </w:p>
          <w:p w14:paraId="0074D30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0.0986</w:t>
            </w:r>
          </w:p>
          <w:p w14:paraId="74E9782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0.0887</w:t>
            </w:r>
          </w:p>
          <w:p w14:paraId="39319E9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0.0805</w:t>
            </w:r>
          </w:p>
          <w:p w14:paraId="2DBC0FF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0.0734</w:t>
            </w:r>
          </w:p>
          <w:p w14:paraId="0EA58AF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0.0601</w:t>
            </w:r>
          </w:p>
          <w:p w14:paraId="546877F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0.0504</w:t>
            </w:r>
          </w:p>
          <w:p w14:paraId="3FB5F50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0.0290</w:t>
            </w:r>
          </w:p>
          <w:p w14:paraId="3B10197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0.0190</w:t>
            </w:r>
          </w:p>
          <w:p w14:paraId="5B24093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0.0111</w:t>
            </w:r>
          </w:p>
        </w:tc>
        <w:tc>
          <w:tcPr>
            <w:tcW w:w="615" w:type="dxa"/>
          </w:tcPr>
          <w:p w14:paraId="2DF5390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73D14A5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1FA2A4E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0.0549</w:t>
            </w:r>
          </w:p>
          <w:p w14:paraId="0EBB50C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0.0702</w:t>
            </w:r>
          </w:p>
          <w:p w14:paraId="2C2637D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0.0776</w:t>
            </w:r>
          </w:p>
          <w:p w14:paraId="74803B1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0.0796</w:t>
            </w:r>
          </w:p>
          <w:p w14:paraId="41196B6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0.0783</w:t>
            </w:r>
          </w:p>
          <w:p w14:paraId="0878529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0.0752</w:t>
            </w:r>
          </w:p>
          <w:p w14:paraId="318BBFB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0.0715</w:t>
            </w:r>
          </w:p>
          <w:p w14:paraId="41F2611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0.0675</w:t>
            </w:r>
          </w:p>
          <w:p w14:paraId="0FCB1E6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0.0636</w:t>
            </w:r>
          </w:p>
          <w:p w14:paraId="2C3EEB8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0.0547</w:t>
            </w:r>
          </w:p>
          <w:p w14:paraId="20226D1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0.0474</w:t>
            </w:r>
          </w:p>
          <w:p w14:paraId="76BE325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0.0296</w:t>
            </w:r>
          </w:p>
          <w:p w14:paraId="714D8D8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0.0204</w:t>
            </w:r>
          </w:p>
          <w:p w14:paraId="398F4F9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0.0128</w:t>
            </w:r>
          </w:p>
        </w:tc>
        <w:tc>
          <w:tcPr>
            <w:tcW w:w="616" w:type="dxa"/>
          </w:tcPr>
          <w:p w14:paraId="6B49D04A">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35939E4B">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0.2186</w:t>
            </w:r>
          </w:p>
          <w:p w14:paraId="4BDCC9F8">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0.1894</w:t>
            </w:r>
          </w:p>
          <w:p w14:paraId="604EEE5C">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0.1640</w:t>
            </w:r>
          </w:p>
          <w:p w14:paraId="5CF8DD28">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0.1426</w:t>
            </w:r>
          </w:p>
          <w:p w14:paraId="318AA5EA">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0.1250</w:t>
            </w:r>
          </w:p>
          <w:p w14:paraId="6FBAC9EB">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0.1105</w:t>
            </w:r>
          </w:p>
          <w:p w14:paraId="5CF8045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0.0987</w:t>
            </w:r>
          </w:p>
          <w:p w14:paraId="3B9F51E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0.0888</w:t>
            </w:r>
          </w:p>
          <w:p w14:paraId="346C06E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0.0806</w:t>
            </w:r>
          </w:p>
          <w:p w14:paraId="0E0574E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0.0736</w:t>
            </w:r>
          </w:p>
          <w:p w14:paraId="7B564D3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0.0604</w:t>
            </w:r>
          </w:p>
          <w:p w14:paraId="3C058E5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0.0509</w:t>
            </w:r>
          </w:p>
          <w:p w14:paraId="72C50E8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0.0303</w:t>
            </w:r>
          </w:p>
          <w:p w14:paraId="61C6D6F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0.0207</w:t>
            </w:r>
          </w:p>
          <w:p w14:paraId="4A518EE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0.0130</w:t>
            </w:r>
          </w:p>
        </w:tc>
        <w:tc>
          <w:tcPr>
            <w:tcW w:w="615" w:type="dxa"/>
          </w:tcPr>
          <w:p w14:paraId="6B4F89D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0.0000</w:t>
            </w:r>
          </w:p>
          <w:p w14:paraId="0FE129D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0.0306</w:t>
            </w:r>
          </w:p>
          <w:p w14:paraId="315FF11B">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0.0549</w:t>
            </w:r>
          </w:p>
          <w:p w14:paraId="6BA42B3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0.0702</w:t>
            </w:r>
          </w:p>
          <w:p w14:paraId="52AD8F3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0.0776</w:t>
            </w:r>
          </w:p>
          <w:p w14:paraId="316E065C">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0.0796</w:t>
            </w:r>
          </w:p>
          <w:p w14:paraId="70D70C78">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0.0783</w:t>
            </w:r>
          </w:p>
          <w:p w14:paraId="501B7791">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0.0753</w:t>
            </w:r>
          </w:p>
          <w:p w14:paraId="14E316A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0.0715</w:t>
            </w:r>
          </w:p>
          <w:p w14:paraId="6EFB900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0.0675</w:t>
            </w:r>
          </w:p>
          <w:p w14:paraId="3D6DB3B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0.0636</w:t>
            </w:r>
          </w:p>
          <w:p w14:paraId="3A70FF2D">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0.0548</w:t>
            </w:r>
          </w:p>
          <w:p w14:paraId="5A806D7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0.0476</w:t>
            </w:r>
          </w:p>
          <w:p w14:paraId="5D37951E">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0.0301</w:t>
            </w:r>
          </w:p>
          <w:p w14:paraId="16E1CDF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0.0212</w:t>
            </w:r>
          </w:p>
          <w:p w14:paraId="7EE530C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0.0139</w:t>
            </w:r>
          </w:p>
        </w:tc>
        <w:tc>
          <w:tcPr>
            <w:tcW w:w="617" w:type="dxa"/>
          </w:tcPr>
          <w:p w14:paraId="6429A99B">
            <w:pPr>
              <w:adjustRightInd w:val="0"/>
              <w:snapToGrid w:val="0"/>
              <w:ind w:left="-10" w:leftChars="-49" w:right="-84" w:rightChars="-40" w:hanging="93" w:hangingChars="57"/>
              <w:jc w:val="center"/>
              <w:rPr>
                <w:color w:val="auto"/>
                <w:spacing w:val="-8"/>
                <w:sz w:val="18"/>
                <w:szCs w:val="18"/>
              </w:rPr>
            </w:pPr>
            <w:r>
              <w:rPr>
                <w:color w:val="auto"/>
                <w:spacing w:val="-8"/>
                <w:sz w:val="18"/>
                <w:szCs w:val="18"/>
              </w:rPr>
              <w:t>0.2500</w:t>
            </w:r>
          </w:p>
          <w:p w14:paraId="6ACDA5D2">
            <w:pPr>
              <w:adjustRightInd w:val="0"/>
              <w:snapToGrid w:val="0"/>
              <w:ind w:left="-10" w:leftChars="-49" w:right="-84" w:rightChars="-40" w:hanging="93" w:hangingChars="57"/>
              <w:jc w:val="center"/>
              <w:rPr>
                <w:color w:val="auto"/>
                <w:spacing w:val="-8"/>
                <w:sz w:val="18"/>
                <w:szCs w:val="18"/>
              </w:rPr>
            </w:pPr>
            <w:r>
              <w:rPr>
                <w:color w:val="auto"/>
                <w:spacing w:val="-8"/>
                <w:sz w:val="18"/>
                <w:szCs w:val="18"/>
              </w:rPr>
              <w:t>0.2186</w:t>
            </w:r>
          </w:p>
          <w:p w14:paraId="431EA17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0.1894</w:t>
            </w:r>
          </w:p>
          <w:p w14:paraId="50529B14">
            <w:pPr>
              <w:adjustRightInd w:val="0"/>
              <w:snapToGrid w:val="0"/>
              <w:ind w:left="-10" w:leftChars="-49" w:right="-84" w:rightChars="-40" w:hanging="93" w:hangingChars="57"/>
              <w:jc w:val="center"/>
              <w:rPr>
                <w:color w:val="auto"/>
                <w:spacing w:val="-8"/>
                <w:sz w:val="18"/>
                <w:szCs w:val="18"/>
              </w:rPr>
            </w:pPr>
            <w:r>
              <w:rPr>
                <w:color w:val="auto"/>
                <w:spacing w:val="-8"/>
                <w:sz w:val="18"/>
                <w:szCs w:val="18"/>
              </w:rPr>
              <w:t>0.1640</w:t>
            </w:r>
          </w:p>
          <w:p w14:paraId="4028FFB6">
            <w:pPr>
              <w:adjustRightInd w:val="0"/>
              <w:snapToGrid w:val="0"/>
              <w:ind w:left="-10" w:leftChars="-49" w:right="-84" w:rightChars="-40" w:hanging="93" w:hangingChars="57"/>
              <w:jc w:val="center"/>
              <w:rPr>
                <w:color w:val="auto"/>
                <w:spacing w:val="-8"/>
                <w:sz w:val="18"/>
                <w:szCs w:val="18"/>
              </w:rPr>
            </w:pPr>
            <w:r>
              <w:rPr>
                <w:color w:val="auto"/>
                <w:spacing w:val="-8"/>
                <w:sz w:val="18"/>
                <w:szCs w:val="18"/>
              </w:rPr>
              <w:t>0.1426</w:t>
            </w:r>
          </w:p>
          <w:p w14:paraId="4D067F06">
            <w:pPr>
              <w:adjustRightInd w:val="0"/>
              <w:snapToGrid w:val="0"/>
              <w:ind w:left="-10" w:leftChars="-49" w:right="-84" w:rightChars="-40" w:hanging="93" w:hangingChars="57"/>
              <w:jc w:val="center"/>
              <w:rPr>
                <w:color w:val="auto"/>
                <w:spacing w:val="-8"/>
                <w:sz w:val="18"/>
                <w:szCs w:val="18"/>
              </w:rPr>
            </w:pPr>
            <w:r>
              <w:rPr>
                <w:color w:val="auto"/>
                <w:spacing w:val="-8"/>
                <w:sz w:val="18"/>
                <w:szCs w:val="18"/>
              </w:rPr>
              <w:t>0.1250</w:t>
            </w:r>
          </w:p>
          <w:p w14:paraId="613F10B9">
            <w:pPr>
              <w:adjustRightInd w:val="0"/>
              <w:snapToGrid w:val="0"/>
              <w:ind w:left="-10" w:leftChars="-49" w:right="-84" w:rightChars="-40" w:hanging="93" w:hangingChars="57"/>
              <w:jc w:val="center"/>
              <w:rPr>
                <w:color w:val="auto"/>
                <w:spacing w:val="-8"/>
                <w:sz w:val="18"/>
                <w:szCs w:val="18"/>
              </w:rPr>
            </w:pPr>
            <w:r>
              <w:rPr>
                <w:color w:val="auto"/>
                <w:spacing w:val="-8"/>
                <w:sz w:val="18"/>
                <w:szCs w:val="18"/>
              </w:rPr>
              <w:t>0.1105</w:t>
            </w:r>
          </w:p>
          <w:p w14:paraId="523E18B7">
            <w:pPr>
              <w:adjustRightInd w:val="0"/>
              <w:snapToGrid w:val="0"/>
              <w:ind w:left="-10" w:leftChars="-49" w:right="-84" w:rightChars="-40" w:hanging="93" w:hangingChars="57"/>
              <w:jc w:val="center"/>
              <w:rPr>
                <w:color w:val="auto"/>
                <w:spacing w:val="-8"/>
                <w:sz w:val="18"/>
                <w:szCs w:val="18"/>
              </w:rPr>
            </w:pPr>
            <w:r>
              <w:rPr>
                <w:color w:val="auto"/>
                <w:spacing w:val="-8"/>
                <w:sz w:val="18"/>
                <w:szCs w:val="18"/>
              </w:rPr>
              <w:t>0.0987</w:t>
            </w:r>
          </w:p>
          <w:p w14:paraId="795B0A36">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0.0889</w:t>
            </w:r>
          </w:p>
          <w:p w14:paraId="323425DF">
            <w:pPr>
              <w:adjustRightInd w:val="0"/>
              <w:snapToGrid w:val="0"/>
              <w:ind w:left="-10" w:leftChars="-49" w:right="-84" w:rightChars="-40" w:hanging="93" w:hangingChars="57"/>
              <w:jc w:val="center"/>
              <w:rPr>
                <w:color w:val="auto"/>
                <w:spacing w:val="-8"/>
                <w:sz w:val="18"/>
                <w:szCs w:val="18"/>
              </w:rPr>
            </w:pPr>
            <w:r>
              <w:rPr>
                <w:color w:val="auto"/>
                <w:spacing w:val="-8"/>
                <w:sz w:val="18"/>
                <w:szCs w:val="18"/>
              </w:rPr>
              <w:t>0.0808</w:t>
            </w:r>
          </w:p>
          <w:p w14:paraId="200D3844">
            <w:pPr>
              <w:adjustRightInd w:val="0"/>
              <w:snapToGrid w:val="0"/>
              <w:ind w:left="-10" w:leftChars="-49" w:right="-84" w:rightChars="-40" w:hanging="93" w:hangingChars="57"/>
              <w:jc w:val="center"/>
              <w:rPr>
                <w:color w:val="auto"/>
                <w:spacing w:val="-8"/>
                <w:sz w:val="18"/>
                <w:szCs w:val="18"/>
              </w:rPr>
            </w:pPr>
            <w:r>
              <w:rPr>
                <w:color w:val="auto"/>
                <w:spacing w:val="-8"/>
                <w:sz w:val="18"/>
                <w:szCs w:val="18"/>
              </w:rPr>
              <w:t>0.0738</w:t>
            </w:r>
          </w:p>
          <w:p w14:paraId="41B9B2E9">
            <w:pPr>
              <w:adjustRightInd w:val="0"/>
              <w:snapToGrid w:val="0"/>
              <w:ind w:left="-10" w:leftChars="-49" w:right="-84" w:rightChars="-40" w:hanging="93" w:hangingChars="57"/>
              <w:jc w:val="center"/>
              <w:rPr>
                <w:color w:val="auto"/>
                <w:spacing w:val="-8"/>
                <w:sz w:val="18"/>
                <w:szCs w:val="18"/>
              </w:rPr>
            </w:pPr>
            <w:r>
              <w:rPr>
                <w:color w:val="auto"/>
                <w:spacing w:val="-8"/>
                <w:sz w:val="18"/>
                <w:szCs w:val="18"/>
              </w:rPr>
              <w:t>0.0605</w:t>
            </w:r>
          </w:p>
          <w:p w14:paraId="443BB0DA">
            <w:pPr>
              <w:adjustRightInd w:val="0"/>
              <w:snapToGrid w:val="0"/>
              <w:ind w:left="-10" w:leftChars="-49" w:right="-84" w:rightChars="-40" w:hanging="93" w:hangingChars="57"/>
              <w:jc w:val="center"/>
              <w:rPr>
                <w:color w:val="auto"/>
                <w:spacing w:val="-8"/>
                <w:sz w:val="18"/>
                <w:szCs w:val="18"/>
              </w:rPr>
            </w:pPr>
            <w:r>
              <w:rPr>
                <w:color w:val="auto"/>
                <w:spacing w:val="-8"/>
                <w:sz w:val="18"/>
                <w:szCs w:val="18"/>
              </w:rPr>
              <w:t>0.0511</w:t>
            </w:r>
          </w:p>
          <w:p w14:paraId="67208F93">
            <w:pPr>
              <w:adjustRightInd w:val="0"/>
              <w:snapToGrid w:val="0"/>
              <w:ind w:left="-10" w:leftChars="-49" w:right="-84" w:rightChars="-40" w:hanging="93" w:hangingChars="57"/>
              <w:jc w:val="center"/>
              <w:rPr>
                <w:color w:val="auto"/>
                <w:spacing w:val="-8"/>
                <w:sz w:val="18"/>
                <w:szCs w:val="18"/>
              </w:rPr>
            </w:pPr>
            <w:r>
              <w:rPr>
                <w:color w:val="auto"/>
                <w:spacing w:val="-8"/>
                <w:sz w:val="18"/>
                <w:szCs w:val="18"/>
              </w:rPr>
              <w:t>0.0309</w:t>
            </w:r>
          </w:p>
          <w:p w14:paraId="1A362EC2">
            <w:pPr>
              <w:adjustRightInd w:val="0"/>
              <w:snapToGrid w:val="0"/>
              <w:ind w:left="-10" w:leftChars="-49" w:right="-84" w:rightChars="-40" w:hanging="93" w:hangingChars="57"/>
              <w:jc w:val="center"/>
              <w:rPr>
                <w:color w:val="auto"/>
                <w:spacing w:val="-8"/>
                <w:sz w:val="18"/>
                <w:szCs w:val="18"/>
              </w:rPr>
            </w:pPr>
            <w:r>
              <w:rPr>
                <w:color w:val="auto"/>
                <w:spacing w:val="-8"/>
                <w:sz w:val="18"/>
                <w:szCs w:val="18"/>
              </w:rPr>
              <w:t>0.0216</w:t>
            </w:r>
          </w:p>
          <w:p w14:paraId="366119B0">
            <w:pPr>
              <w:adjustRightInd w:val="0"/>
              <w:snapToGrid w:val="0"/>
              <w:ind w:left="-10" w:leftChars="-49" w:right="-84" w:rightChars="-40" w:hanging="93" w:hangingChars="57"/>
              <w:jc w:val="center"/>
              <w:rPr>
                <w:color w:val="auto"/>
                <w:spacing w:val="-8"/>
                <w:sz w:val="18"/>
                <w:szCs w:val="18"/>
              </w:rPr>
            </w:pPr>
            <w:r>
              <w:rPr>
                <w:color w:val="auto"/>
                <w:spacing w:val="-8"/>
                <w:sz w:val="18"/>
                <w:szCs w:val="18"/>
              </w:rPr>
              <w:t>0.0141</w:t>
            </w:r>
          </w:p>
        </w:tc>
      </w:tr>
    </w:tbl>
    <w:p w14:paraId="7D6CF1E2">
      <w:pPr>
        <w:adjustRightInd w:val="0"/>
        <w:snapToGrid w:val="0"/>
        <w:spacing w:line="340" w:lineRule="exact"/>
        <w:jc w:val="center"/>
        <w:rPr>
          <w:color w:val="auto"/>
          <w:spacing w:val="8"/>
          <w:szCs w:val="21"/>
        </w:rPr>
      </w:pPr>
    </w:p>
    <w:p w14:paraId="316CB3EA">
      <w:pPr>
        <w:adjustRightInd w:val="0"/>
        <w:snapToGrid w:val="0"/>
        <w:spacing w:line="340" w:lineRule="exact"/>
        <w:jc w:val="center"/>
        <w:rPr>
          <w:color w:val="auto"/>
          <w:spacing w:val="8"/>
          <w:szCs w:val="21"/>
        </w:rPr>
      </w:pPr>
    </w:p>
    <w:p w14:paraId="3E6BCE1A">
      <w:pPr>
        <w:pStyle w:val="24"/>
        <w:pBdr>
          <w:bottom w:val="none" w:color="auto" w:sz="0" w:space="0"/>
        </w:pBdr>
        <w:tabs>
          <w:tab w:val="clear" w:pos="4153"/>
          <w:tab w:val="clear" w:pos="8306"/>
        </w:tabs>
        <w:adjustRightInd w:val="0"/>
        <w:rPr>
          <w:color w:val="auto"/>
        </w:rPr>
      </w:pPr>
      <w:r>
        <w:rPr>
          <w:color w:val="auto"/>
        </w:rPr>
        <w:drawing>
          <wp:inline distT="0" distB="0" distL="0" distR="0">
            <wp:extent cx="1971675" cy="704850"/>
            <wp:effectExtent l="0" t="0" r="9525"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noChangeArrowheads="1"/>
                    </pic:cNvPicPr>
                  </pic:nvPicPr>
                  <pic:blipFill>
                    <a:blip r:embed="rId1310" cstate="print">
                      <a:extLst>
                        <a:ext uri="{28A0092B-C50C-407E-A947-70E740481C1C}">
                          <a14:useLocalDpi xmlns:a14="http://schemas.microsoft.com/office/drawing/2010/main" val="0"/>
                        </a:ext>
                      </a:extLst>
                    </a:blip>
                    <a:srcRect/>
                    <a:stretch>
                      <a:fillRect/>
                    </a:stretch>
                  </pic:blipFill>
                  <pic:spPr>
                    <a:xfrm>
                      <a:off x="0" y="0"/>
                      <a:ext cx="1971675" cy="704850"/>
                    </a:xfrm>
                    <a:prstGeom prst="rect">
                      <a:avLst/>
                    </a:prstGeom>
                    <a:noFill/>
                    <a:ln>
                      <a:noFill/>
                    </a:ln>
                  </pic:spPr>
                </pic:pic>
              </a:graphicData>
            </a:graphic>
          </wp:inline>
        </w:drawing>
      </w:r>
    </w:p>
    <w:p w14:paraId="71C450D4">
      <w:pPr>
        <w:adjustRightInd w:val="0"/>
        <w:snapToGrid w:val="0"/>
        <w:spacing w:before="120"/>
        <w:jc w:val="center"/>
        <w:rPr>
          <w:rFonts w:eastAsia="黑体"/>
          <w:b/>
          <w:bCs/>
          <w:color w:val="auto"/>
          <w:sz w:val="18"/>
          <w:szCs w:val="18"/>
        </w:rPr>
      </w:pPr>
      <w:r>
        <w:rPr>
          <w:rFonts w:eastAsia="黑体"/>
          <w:b/>
          <w:bCs/>
          <w:color w:val="auto"/>
          <w:sz w:val="18"/>
          <w:szCs w:val="18"/>
        </w:rPr>
        <w:t>表G.4  矩形面积上均布荷载作用下角点的平均附加应力系数</w:t>
      </w:r>
      <w:r>
        <w:rPr>
          <w:rFonts w:eastAsia="黑体"/>
          <w:b/>
          <w:bCs/>
          <w:color w:val="auto"/>
          <w:position w:val="-6"/>
          <w:sz w:val="18"/>
          <w:szCs w:val="18"/>
        </w:rPr>
        <w:object>
          <v:shape id="_x0000_i1697" o:spt="75" type="#_x0000_t75" style="height:12pt;width:11.25pt;" o:ole="t" filled="f" o:preferrelative="t" stroked="f" coordsize="21600,21600">
            <v:path/>
            <v:fill on="f" focussize="0,0"/>
            <v:stroke on="f" joinstyle="miter"/>
            <v:imagedata r:id="rId1312" o:title=""/>
            <o:lock v:ext="edit" aspectratio="t"/>
            <w10:wrap type="none"/>
            <w10:anchorlock/>
          </v:shape>
          <o:OLEObject Type="Embed" ProgID="Equation.DSMT4" ShapeID="_x0000_i1697" DrawAspect="Content" ObjectID="_1468076397" r:id="rId1311">
            <o:LockedField>false</o:LockedField>
          </o:OLEObject>
        </w:object>
      </w:r>
    </w:p>
    <w:tbl>
      <w:tblPr>
        <w:tblStyle w:val="36"/>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73"/>
        <w:gridCol w:w="648"/>
        <w:gridCol w:w="686"/>
        <w:gridCol w:w="730"/>
        <w:gridCol w:w="709"/>
        <w:gridCol w:w="708"/>
        <w:gridCol w:w="709"/>
        <w:gridCol w:w="709"/>
        <w:gridCol w:w="709"/>
        <w:gridCol w:w="708"/>
        <w:gridCol w:w="709"/>
        <w:gridCol w:w="709"/>
        <w:gridCol w:w="709"/>
        <w:gridCol w:w="708"/>
      </w:tblGrid>
      <w:tr w14:paraId="7DD21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73" w:type="dxa"/>
            <w:vMerge w:val="restart"/>
            <w:tcBorders>
              <w:top w:val="single" w:color="auto" w:sz="12" w:space="0"/>
              <w:tl2br w:val="nil"/>
            </w:tcBorders>
            <w:vAlign w:val="center"/>
          </w:tcPr>
          <w:p w14:paraId="71408F75">
            <w:pPr>
              <w:pStyle w:val="2"/>
              <w:ind w:left="27" w:leftChars="-29" w:hanging="88" w:hangingChars="49"/>
              <w:rPr>
                <w:color w:val="auto"/>
                <w:szCs w:val="18"/>
              </w:rPr>
            </w:pPr>
            <w:bookmarkStart w:id="126" w:name="_Toc182315343"/>
            <w:bookmarkStart w:id="127" w:name="_Toc199943668"/>
            <w:bookmarkStart w:id="128" w:name="_Toc111241392"/>
            <w:r>
              <w:rPr>
                <w:color w:val="auto"/>
                <w:szCs w:val="18"/>
              </w:rPr>
              <w:t>z/b</w:t>
            </w:r>
            <w:bookmarkEnd w:id="126"/>
            <w:bookmarkEnd w:id="127"/>
            <w:bookmarkEnd w:id="128"/>
          </w:p>
        </w:tc>
        <w:tc>
          <w:tcPr>
            <w:tcW w:w="9151" w:type="dxa"/>
            <w:gridSpan w:val="13"/>
            <w:tcBorders>
              <w:bottom w:val="single" w:color="auto" w:sz="6" w:space="0"/>
            </w:tcBorders>
            <w:vAlign w:val="center"/>
          </w:tcPr>
          <w:p w14:paraId="5A7DC7E3">
            <w:pPr>
              <w:snapToGrid w:val="0"/>
              <w:jc w:val="center"/>
              <w:rPr>
                <w:color w:val="auto"/>
                <w:sz w:val="18"/>
                <w:szCs w:val="18"/>
              </w:rPr>
            </w:pPr>
            <w:bookmarkStart w:id="129" w:name="_Toc111241391"/>
            <w:bookmarkStart w:id="130" w:name="_Toc182315342"/>
            <w:r>
              <w:rPr>
                <w:color w:val="auto"/>
                <w:sz w:val="18"/>
                <w:szCs w:val="18"/>
              </w:rPr>
              <w:t>l/b</w:t>
            </w:r>
            <w:bookmarkEnd w:id="129"/>
            <w:bookmarkEnd w:id="130"/>
          </w:p>
        </w:tc>
      </w:tr>
      <w:tr w14:paraId="42213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473" w:type="dxa"/>
            <w:vMerge w:val="continue"/>
            <w:tcBorders>
              <w:bottom w:val="single" w:color="auto" w:sz="6" w:space="0"/>
              <w:tl2br w:val="nil"/>
            </w:tcBorders>
            <w:vAlign w:val="center"/>
          </w:tcPr>
          <w:p w14:paraId="236DC22C">
            <w:pPr>
              <w:pStyle w:val="2"/>
              <w:ind w:left="27" w:leftChars="-29" w:hanging="88" w:hangingChars="49"/>
              <w:jc w:val="left"/>
              <w:rPr>
                <w:color w:val="auto"/>
                <w:szCs w:val="18"/>
              </w:rPr>
            </w:pPr>
          </w:p>
        </w:tc>
        <w:tc>
          <w:tcPr>
            <w:tcW w:w="648" w:type="dxa"/>
            <w:tcBorders>
              <w:bottom w:val="single" w:color="auto" w:sz="6" w:space="0"/>
            </w:tcBorders>
            <w:vAlign w:val="center"/>
          </w:tcPr>
          <w:p w14:paraId="185128C4">
            <w:pPr>
              <w:snapToGrid w:val="0"/>
              <w:jc w:val="center"/>
              <w:rPr>
                <w:color w:val="auto"/>
                <w:sz w:val="18"/>
                <w:szCs w:val="18"/>
              </w:rPr>
            </w:pPr>
            <w:r>
              <w:rPr>
                <w:color w:val="auto"/>
                <w:sz w:val="18"/>
                <w:szCs w:val="18"/>
              </w:rPr>
              <w:t>1.0</w:t>
            </w:r>
          </w:p>
        </w:tc>
        <w:tc>
          <w:tcPr>
            <w:tcW w:w="686" w:type="dxa"/>
            <w:tcBorders>
              <w:bottom w:val="single" w:color="auto" w:sz="6" w:space="0"/>
            </w:tcBorders>
            <w:vAlign w:val="center"/>
          </w:tcPr>
          <w:p w14:paraId="5195064B">
            <w:pPr>
              <w:snapToGrid w:val="0"/>
              <w:jc w:val="center"/>
              <w:rPr>
                <w:color w:val="auto"/>
                <w:sz w:val="18"/>
                <w:szCs w:val="18"/>
              </w:rPr>
            </w:pPr>
            <w:r>
              <w:rPr>
                <w:color w:val="auto"/>
                <w:sz w:val="18"/>
                <w:szCs w:val="18"/>
              </w:rPr>
              <w:t>1.2</w:t>
            </w:r>
          </w:p>
        </w:tc>
        <w:tc>
          <w:tcPr>
            <w:tcW w:w="730" w:type="dxa"/>
            <w:tcBorders>
              <w:bottom w:val="single" w:color="auto" w:sz="6" w:space="0"/>
            </w:tcBorders>
            <w:vAlign w:val="center"/>
          </w:tcPr>
          <w:p w14:paraId="795E01C9">
            <w:pPr>
              <w:snapToGrid w:val="0"/>
              <w:jc w:val="right"/>
              <w:rPr>
                <w:color w:val="auto"/>
                <w:sz w:val="18"/>
                <w:szCs w:val="18"/>
              </w:rPr>
            </w:pPr>
            <w:r>
              <w:rPr>
                <w:color w:val="auto"/>
                <w:sz w:val="18"/>
                <w:szCs w:val="18"/>
              </w:rPr>
              <w:t>1.4</w:t>
            </w:r>
          </w:p>
        </w:tc>
        <w:tc>
          <w:tcPr>
            <w:tcW w:w="709" w:type="dxa"/>
            <w:tcBorders>
              <w:bottom w:val="single" w:color="auto" w:sz="6" w:space="0"/>
            </w:tcBorders>
            <w:vAlign w:val="center"/>
          </w:tcPr>
          <w:p w14:paraId="519EECDA">
            <w:pPr>
              <w:snapToGrid w:val="0"/>
              <w:jc w:val="center"/>
              <w:rPr>
                <w:color w:val="auto"/>
                <w:sz w:val="18"/>
                <w:szCs w:val="18"/>
              </w:rPr>
            </w:pPr>
            <w:r>
              <w:rPr>
                <w:color w:val="auto"/>
                <w:sz w:val="18"/>
                <w:szCs w:val="18"/>
              </w:rPr>
              <w:t>1.6</w:t>
            </w:r>
          </w:p>
        </w:tc>
        <w:tc>
          <w:tcPr>
            <w:tcW w:w="708" w:type="dxa"/>
            <w:tcBorders>
              <w:bottom w:val="single" w:color="auto" w:sz="6" w:space="0"/>
            </w:tcBorders>
            <w:vAlign w:val="center"/>
          </w:tcPr>
          <w:p w14:paraId="62809E58">
            <w:pPr>
              <w:snapToGrid w:val="0"/>
              <w:jc w:val="center"/>
              <w:rPr>
                <w:color w:val="auto"/>
                <w:sz w:val="18"/>
                <w:szCs w:val="18"/>
              </w:rPr>
            </w:pPr>
            <w:r>
              <w:rPr>
                <w:color w:val="auto"/>
                <w:sz w:val="18"/>
                <w:szCs w:val="18"/>
              </w:rPr>
              <w:t>1.8</w:t>
            </w:r>
          </w:p>
        </w:tc>
        <w:tc>
          <w:tcPr>
            <w:tcW w:w="709" w:type="dxa"/>
            <w:tcBorders>
              <w:bottom w:val="single" w:color="auto" w:sz="6" w:space="0"/>
            </w:tcBorders>
            <w:vAlign w:val="center"/>
          </w:tcPr>
          <w:p w14:paraId="6ECB110D">
            <w:pPr>
              <w:snapToGrid w:val="0"/>
              <w:jc w:val="center"/>
              <w:rPr>
                <w:color w:val="auto"/>
                <w:sz w:val="18"/>
                <w:szCs w:val="18"/>
              </w:rPr>
            </w:pPr>
            <w:r>
              <w:rPr>
                <w:color w:val="auto"/>
                <w:sz w:val="18"/>
                <w:szCs w:val="18"/>
              </w:rPr>
              <w:t>2.0</w:t>
            </w:r>
          </w:p>
        </w:tc>
        <w:tc>
          <w:tcPr>
            <w:tcW w:w="709" w:type="dxa"/>
            <w:tcBorders>
              <w:bottom w:val="single" w:color="auto" w:sz="6" w:space="0"/>
            </w:tcBorders>
            <w:vAlign w:val="center"/>
          </w:tcPr>
          <w:p w14:paraId="5B7FF209">
            <w:pPr>
              <w:snapToGrid w:val="0"/>
              <w:jc w:val="center"/>
              <w:rPr>
                <w:color w:val="auto"/>
                <w:sz w:val="18"/>
                <w:szCs w:val="18"/>
              </w:rPr>
            </w:pPr>
            <w:r>
              <w:rPr>
                <w:color w:val="auto"/>
                <w:sz w:val="18"/>
                <w:szCs w:val="18"/>
              </w:rPr>
              <w:t>2.4</w:t>
            </w:r>
          </w:p>
        </w:tc>
        <w:tc>
          <w:tcPr>
            <w:tcW w:w="709" w:type="dxa"/>
            <w:tcBorders>
              <w:bottom w:val="single" w:color="auto" w:sz="6" w:space="0"/>
            </w:tcBorders>
            <w:vAlign w:val="center"/>
          </w:tcPr>
          <w:p w14:paraId="41BFE6C9">
            <w:pPr>
              <w:snapToGrid w:val="0"/>
              <w:jc w:val="center"/>
              <w:rPr>
                <w:color w:val="auto"/>
                <w:sz w:val="18"/>
                <w:szCs w:val="18"/>
              </w:rPr>
            </w:pPr>
            <w:r>
              <w:rPr>
                <w:color w:val="auto"/>
                <w:sz w:val="18"/>
                <w:szCs w:val="18"/>
              </w:rPr>
              <w:t>2.8</w:t>
            </w:r>
          </w:p>
        </w:tc>
        <w:tc>
          <w:tcPr>
            <w:tcW w:w="708" w:type="dxa"/>
            <w:tcBorders>
              <w:bottom w:val="single" w:color="auto" w:sz="6" w:space="0"/>
            </w:tcBorders>
            <w:vAlign w:val="center"/>
          </w:tcPr>
          <w:p w14:paraId="46CE7058">
            <w:pPr>
              <w:snapToGrid w:val="0"/>
              <w:jc w:val="center"/>
              <w:rPr>
                <w:color w:val="auto"/>
                <w:sz w:val="18"/>
                <w:szCs w:val="18"/>
              </w:rPr>
            </w:pPr>
            <w:r>
              <w:rPr>
                <w:color w:val="auto"/>
                <w:sz w:val="18"/>
                <w:szCs w:val="18"/>
              </w:rPr>
              <w:t>3.2</w:t>
            </w:r>
          </w:p>
        </w:tc>
        <w:tc>
          <w:tcPr>
            <w:tcW w:w="709" w:type="dxa"/>
            <w:tcBorders>
              <w:bottom w:val="single" w:color="auto" w:sz="6" w:space="0"/>
            </w:tcBorders>
            <w:vAlign w:val="center"/>
          </w:tcPr>
          <w:p w14:paraId="479A478E">
            <w:pPr>
              <w:snapToGrid w:val="0"/>
              <w:jc w:val="center"/>
              <w:rPr>
                <w:color w:val="auto"/>
                <w:sz w:val="18"/>
                <w:szCs w:val="18"/>
              </w:rPr>
            </w:pPr>
            <w:r>
              <w:rPr>
                <w:color w:val="auto"/>
                <w:sz w:val="18"/>
                <w:szCs w:val="18"/>
              </w:rPr>
              <w:t>3.6</w:t>
            </w:r>
          </w:p>
        </w:tc>
        <w:tc>
          <w:tcPr>
            <w:tcW w:w="709" w:type="dxa"/>
            <w:tcBorders>
              <w:bottom w:val="single" w:color="auto" w:sz="6" w:space="0"/>
            </w:tcBorders>
            <w:vAlign w:val="center"/>
          </w:tcPr>
          <w:p w14:paraId="707AB2B9">
            <w:pPr>
              <w:snapToGrid w:val="0"/>
              <w:jc w:val="center"/>
              <w:rPr>
                <w:color w:val="auto"/>
                <w:sz w:val="18"/>
                <w:szCs w:val="18"/>
              </w:rPr>
            </w:pPr>
            <w:r>
              <w:rPr>
                <w:color w:val="auto"/>
                <w:sz w:val="18"/>
                <w:szCs w:val="18"/>
              </w:rPr>
              <w:t>4.0</w:t>
            </w:r>
          </w:p>
        </w:tc>
        <w:tc>
          <w:tcPr>
            <w:tcW w:w="709" w:type="dxa"/>
            <w:tcBorders>
              <w:bottom w:val="single" w:color="auto" w:sz="6" w:space="0"/>
            </w:tcBorders>
            <w:vAlign w:val="center"/>
          </w:tcPr>
          <w:p w14:paraId="2AFDC5FB">
            <w:pPr>
              <w:snapToGrid w:val="0"/>
              <w:jc w:val="center"/>
              <w:rPr>
                <w:color w:val="auto"/>
                <w:sz w:val="18"/>
                <w:szCs w:val="18"/>
              </w:rPr>
            </w:pPr>
            <w:r>
              <w:rPr>
                <w:color w:val="auto"/>
                <w:sz w:val="18"/>
                <w:szCs w:val="18"/>
              </w:rPr>
              <w:t>5.0</w:t>
            </w:r>
          </w:p>
        </w:tc>
        <w:tc>
          <w:tcPr>
            <w:tcW w:w="708" w:type="dxa"/>
            <w:tcBorders>
              <w:bottom w:val="single" w:color="auto" w:sz="6" w:space="0"/>
            </w:tcBorders>
            <w:vAlign w:val="center"/>
          </w:tcPr>
          <w:p w14:paraId="02CAFD26">
            <w:pPr>
              <w:snapToGrid w:val="0"/>
              <w:jc w:val="center"/>
              <w:rPr>
                <w:color w:val="auto"/>
                <w:sz w:val="18"/>
                <w:szCs w:val="18"/>
              </w:rPr>
            </w:pPr>
            <w:r>
              <w:rPr>
                <w:color w:val="auto"/>
                <w:sz w:val="18"/>
                <w:szCs w:val="18"/>
              </w:rPr>
              <w:t>10.0</w:t>
            </w:r>
          </w:p>
        </w:tc>
      </w:tr>
      <w:tr w14:paraId="7BA70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6" w:hRule="atLeast"/>
          <w:jc w:val="center"/>
        </w:trPr>
        <w:tc>
          <w:tcPr>
            <w:tcW w:w="473" w:type="dxa"/>
            <w:tcBorders>
              <w:top w:val="single" w:color="auto" w:sz="6" w:space="0"/>
              <w:bottom w:val="nil"/>
            </w:tcBorders>
          </w:tcPr>
          <w:p w14:paraId="31CF81C1">
            <w:pPr>
              <w:adjustRightInd w:val="0"/>
              <w:snapToGrid w:val="0"/>
              <w:spacing w:line="200" w:lineRule="exact"/>
              <w:jc w:val="center"/>
              <w:rPr>
                <w:color w:val="auto"/>
                <w:sz w:val="18"/>
                <w:szCs w:val="18"/>
              </w:rPr>
            </w:pPr>
            <w:r>
              <w:rPr>
                <w:color w:val="auto"/>
                <w:sz w:val="18"/>
                <w:szCs w:val="18"/>
              </w:rPr>
              <w:t>0.0</w:t>
            </w:r>
          </w:p>
          <w:p w14:paraId="545B50AA">
            <w:pPr>
              <w:adjustRightInd w:val="0"/>
              <w:snapToGrid w:val="0"/>
              <w:spacing w:line="200" w:lineRule="exact"/>
              <w:jc w:val="center"/>
              <w:rPr>
                <w:color w:val="auto"/>
                <w:sz w:val="18"/>
                <w:szCs w:val="18"/>
              </w:rPr>
            </w:pPr>
            <w:r>
              <w:rPr>
                <w:color w:val="auto"/>
                <w:sz w:val="18"/>
                <w:szCs w:val="18"/>
              </w:rPr>
              <w:t>0.2</w:t>
            </w:r>
          </w:p>
          <w:p w14:paraId="7B38AB51">
            <w:pPr>
              <w:adjustRightInd w:val="0"/>
              <w:snapToGrid w:val="0"/>
              <w:spacing w:line="200" w:lineRule="exact"/>
              <w:jc w:val="center"/>
              <w:rPr>
                <w:color w:val="auto"/>
                <w:sz w:val="18"/>
                <w:szCs w:val="18"/>
              </w:rPr>
            </w:pPr>
            <w:r>
              <w:rPr>
                <w:color w:val="auto"/>
                <w:sz w:val="18"/>
                <w:szCs w:val="18"/>
              </w:rPr>
              <w:t>0.4</w:t>
            </w:r>
          </w:p>
          <w:p w14:paraId="30F06F6D">
            <w:pPr>
              <w:adjustRightInd w:val="0"/>
              <w:snapToGrid w:val="0"/>
              <w:spacing w:line="200" w:lineRule="exact"/>
              <w:jc w:val="center"/>
              <w:rPr>
                <w:color w:val="auto"/>
                <w:sz w:val="18"/>
                <w:szCs w:val="18"/>
              </w:rPr>
            </w:pPr>
            <w:r>
              <w:rPr>
                <w:color w:val="auto"/>
                <w:sz w:val="18"/>
                <w:szCs w:val="18"/>
              </w:rPr>
              <w:t>0.6</w:t>
            </w:r>
          </w:p>
          <w:p w14:paraId="1D63ED01">
            <w:pPr>
              <w:adjustRightInd w:val="0"/>
              <w:snapToGrid w:val="0"/>
              <w:spacing w:line="200" w:lineRule="exact"/>
              <w:jc w:val="center"/>
              <w:rPr>
                <w:color w:val="auto"/>
                <w:sz w:val="18"/>
                <w:szCs w:val="18"/>
              </w:rPr>
            </w:pPr>
            <w:r>
              <w:rPr>
                <w:color w:val="auto"/>
                <w:sz w:val="18"/>
                <w:szCs w:val="18"/>
              </w:rPr>
              <w:t>0.8</w:t>
            </w:r>
          </w:p>
          <w:p w14:paraId="1202E9A0">
            <w:pPr>
              <w:adjustRightInd w:val="0"/>
              <w:snapToGrid w:val="0"/>
              <w:spacing w:line="200" w:lineRule="exact"/>
              <w:jc w:val="center"/>
              <w:rPr>
                <w:color w:val="auto"/>
                <w:sz w:val="18"/>
                <w:szCs w:val="18"/>
              </w:rPr>
            </w:pPr>
          </w:p>
          <w:p w14:paraId="2DBC39A4">
            <w:pPr>
              <w:adjustRightInd w:val="0"/>
              <w:snapToGrid w:val="0"/>
              <w:spacing w:line="200" w:lineRule="exact"/>
              <w:jc w:val="center"/>
              <w:rPr>
                <w:color w:val="auto"/>
                <w:sz w:val="18"/>
                <w:szCs w:val="18"/>
              </w:rPr>
            </w:pPr>
            <w:r>
              <w:rPr>
                <w:color w:val="auto"/>
                <w:sz w:val="18"/>
                <w:szCs w:val="18"/>
              </w:rPr>
              <w:t>1.0</w:t>
            </w:r>
          </w:p>
          <w:p w14:paraId="0D7EE039">
            <w:pPr>
              <w:adjustRightInd w:val="0"/>
              <w:snapToGrid w:val="0"/>
              <w:spacing w:line="200" w:lineRule="exact"/>
              <w:jc w:val="center"/>
              <w:rPr>
                <w:color w:val="auto"/>
                <w:sz w:val="18"/>
                <w:szCs w:val="18"/>
              </w:rPr>
            </w:pPr>
            <w:r>
              <w:rPr>
                <w:color w:val="auto"/>
                <w:sz w:val="18"/>
                <w:szCs w:val="18"/>
              </w:rPr>
              <w:t>1.2</w:t>
            </w:r>
          </w:p>
          <w:p w14:paraId="710DECD8">
            <w:pPr>
              <w:adjustRightInd w:val="0"/>
              <w:snapToGrid w:val="0"/>
              <w:spacing w:line="200" w:lineRule="exact"/>
              <w:jc w:val="center"/>
              <w:rPr>
                <w:color w:val="auto"/>
                <w:sz w:val="18"/>
                <w:szCs w:val="18"/>
              </w:rPr>
            </w:pPr>
            <w:r>
              <w:rPr>
                <w:color w:val="auto"/>
                <w:sz w:val="18"/>
                <w:szCs w:val="18"/>
              </w:rPr>
              <w:t>1.4</w:t>
            </w:r>
          </w:p>
          <w:p w14:paraId="1564948C">
            <w:pPr>
              <w:adjustRightInd w:val="0"/>
              <w:snapToGrid w:val="0"/>
              <w:spacing w:line="200" w:lineRule="exact"/>
              <w:jc w:val="center"/>
              <w:rPr>
                <w:color w:val="auto"/>
                <w:sz w:val="18"/>
                <w:szCs w:val="18"/>
              </w:rPr>
            </w:pPr>
            <w:r>
              <w:rPr>
                <w:color w:val="auto"/>
                <w:sz w:val="18"/>
                <w:szCs w:val="18"/>
              </w:rPr>
              <w:t>1.6</w:t>
            </w:r>
          </w:p>
          <w:p w14:paraId="4FAB5986">
            <w:pPr>
              <w:adjustRightInd w:val="0"/>
              <w:snapToGrid w:val="0"/>
              <w:spacing w:line="200" w:lineRule="exact"/>
              <w:jc w:val="center"/>
              <w:rPr>
                <w:color w:val="auto"/>
                <w:sz w:val="18"/>
                <w:szCs w:val="18"/>
              </w:rPr>
            </w:pPr>
            <w:r>
              <w:rPr>
                <w:color w:val="auto"/>
                <w:sz w:val="18"/>
                <w:szCs w:val="18"/>
              </w:rPr>
              <w:t>1.8</w:t>
            </w:r>
          </w:p>
          <w:p w14:paraId="0FA93CDD">
            <w:pPr>
              <w:adjustRightInd w:val="0"/>
              <w:snapToGrid w:val="0"/>
              <w:spacing w:line="200" w:lineRule="exact"/>
              <w:jc w:val="center"/>
              <w:rPr>
                <w:color w:val="auto"/>
                <w:sz w:val="18"/>
                <w:szCs w:val="18"/>
              </w:rPr>
            </w:pPr>
          </w:p>
          <w:p w14:paraId="31D77D04">
            <w:pPr>
              <w:adjustRightInd w:val="0"/>
              <w:snapToGrid w:val="0"/>
              <w:spacing w:line="200" w:lineRule="exact"/>
              <w:jc w:val="center"/>
              <w:rPr>
                <w:color w:val="auto"/>
                <w:sz w:val="18"/>
                <w:szCs w:val="18"/>
              </w:rPr>
            </w:pPr>
            <w:r>
              <w:rPr>
                <w:color w:val="auto"/>
                <w:sz w:val="18"/>
                <w:szCs w:val="18"/>
              </w:rPr>
              <w:t>2.0</w:t>
            </w:r>
          </w:p>
          <w:p w14:paraId="5DCB2F5B">
            <w:pPr>
              <w:adjustRightInd w:val="0"/>
              <w:snapToGrid w:val="0"/>
              <w:spacing w:line="200" w:lineRule="exact"/>
              <w:jc w:val="center"/>
              <w:rPr>
                <w:color w:val="auto"/>
                <w:sz w:val="18"/>
                <w:szCs w:val="18"/>
              </w:rPr>
            </w:pPr>
            <w:r>
              <w:rPr>
                <w:color w:val="auto"/>
                <w:sz w:val="18"/>
                <w:szCs w:val="18"/>
              </w:rPr>
              <w:t>2.2</w:t>
            </w:r>
          </w:p>
          <w:p w14:paraId="7E8F75A4">
            <w:pPr>
              <w:adjustRightInd w:val="0"/>
              <w:snapToGrid w:val="0"/>
              <w:spacing w:line="200" w:lineRule="exact"/>
              <w:jc w:val="center"/>
              <w:rPr>
                <w:color w:val="auto"/>
                <w:sz w:val="18"/>
                <w:szCs w:val="18"/>
              </w:rPr>
            </w:pPr>
            <w:r>
              <w:rPr>
                <w:color w:val="auto"/>
                <w:sz w:val="18"/>
                <w:szCs w:val="18"/>
              </w:rPr>
              <w:t>2.4</w:t>
            </w:r>
          </w:p>
          <w:p w14:paraId="511239A4">
            <w:pPr>
              <w:adjustRightInd w:val="0"/>
              <w:snapToGrid w:val="0"/>
              <w:spacing w:line="200" w:lineRule="exact"/>
              <w:jc w:val="center"/>
              <w:rPr>
                <w:color w:val="auto"/>
                <w:sz w:val="18"/>
                <w:szCs w:val="18"/>
              </w:rPr>
            </w:pPr>
            <w:r>
              <w:rPr>
                <w:color w:val="auto"/>
                <w:sz w:val="18"/>
                <w:szCs w:val="18"/>
              </w:rPr>
              <w:t>2.6</w:t>
            </w:r>
          </w:p>
          <w:p w14:paraId="649D3C8D">
            <w:pPr>
              <w:adjustRightInd w:val="0"/>
              <w:snapToGrid w:val="0"/>
              <w:spacing w:line="200" w:lineRule="exact"/>
              <w:jc w:val="center"/>
              <w:rPr>
                <w:color w:val="auto"/>
                <w:sz w:val="18"/>
                <w:szCs w:val="18"/>
              </w:rPr>
            </w:pPr>
            <w:r>
              <w:rPr>
                <w:color w:val="auto"/>
                <w:sz w:val="18"/>
                <w:szCs w:val="18"/>
              </w:rPr>
              <w:t>2.8</w:t>
            </w:r>
          </w:p>
          <w:p w14:paraId="4C7B981C">
            <w:pPr>
              <w:adjustRightInd w:val="0"/>
              <w:snapToGrid w:val="0"/>
              <w:spacing w:line="200" w:lineRule="exact"/>
              <w:jc w:val="center"/>
              <w:rPr>
                <w:color w:val="auto"/>
                <w:sz w:val="18"/>
                <w:szCs w:val="18"/>
              </w:rPr>
            </w:pPr>
          </w:p>
          <w:p w14:paraId="69BA65E6">
            <w:pPr>
              <w:adjustRightInd w:val="0"/>
              <w:snapToGrid w:val="0"/>
              <w:spacing w:line="200" w:lineRule="exact"/>
              <w:jc w:val="center"/>
              <w:rPr>
                <w:color w:val="auto"/>
                <w:sz w:val="18"/>
                <w:szCs w:val="18"/>
              </w:rPr>
            </w:pPr>
            <w:r>
              <w:rPr>
                <w:color w:val="auto"/>
                <w:sz w:val="18"/>
                <w:szCs w:val="18"/>
              </w:rPr>
              <w:t>3.0</w:t>
            </w:r>
          </w:p>
          <w:p w14:paraId="2C52D413">
            <w:pPr>
              <w:adjustRightInd w:val="0"/>
              <w:snapToGrid w:val="0"/>
              <w:spacing w:line="200" w:lineRule="exact"/>
              <w:jc w:val="center"/>
              <w:rPr>
                <w:color w:val="auto"/>
                <w:sz w:val="18"/>
                <w:szCs w:val="18"/>
              </w:rPr>
            </w:pPr>
            <w:r>
              <w:rPr>
                <w:color w:val="auto"/>
                <w:sz w:val="18"/>
                <w:szCs w:val="18"/>
              </w:rPr>
              <w:t>3.2</w:t>
            </w:r>
          </w:p>
          <w:p w14:paraId="160C9588">
            <w:pPr>
              <w:adjustRightInd w:val="0"/>
              <w:snapToGrid w:val="0"/>
              <w:spacing w:line="200" w:lineRule="exact"/>
              <w:jc w:val="center"/>
              <w:rPr>
                <w:color w:val="auto"/>
                <w:sz w:val="18"/>
                <w:szCs w:val="18"/>
              </w:rPr>
            </w:pPr>
            <w:r>
              <w:rPr>
                <w:color w:val="auto"/>
                <w:sz w:val="18"/>
                <w:szCs w:val="18"/>
              </w:rPr>
              <w:t>3.4</w:t>
            </w:r>
          </w:p>
          <w:p w14:paraId="61FD8047">
            <w:pPr>
              <w:adjustRightInd w:val="0"/>
              <w:snapToGrid w:val="0"/>
              <w:spacing w:line="200" w:lineRule="exact"/>
              <w:jc w:val="center"/>
              <w:rPr>
                <w:color w:val="auto"/>
                <w:sz w:val="18"/>
                <w:szCs w:val="18"/>
              </w:rPr>
            </w:pPr>
            <w:r>
              <w:rPr>
                <w:color w:val="auto"/>
                <w:sz w:val="18"/>
                <w:szCs w:val="18"/>
              </w:rPr>
              <w:t>3.6</w:t>
            </w:r>
          </w:p>
          <w:p w14:paraId="216C2371">
            <w:pPr>
              <w:adjustRightInd w:val="0"/>
              <w:snapToGrid w:val="0"/>
              <w:spacing w:line="200" w:lineRule="exact"/>
              <w:jc w:val="center"/>
              <w:rPr>
                <w:color w:val="auto"/>
                <w:sz w:val="18"/>
                <w:szCs w:val="18"/>
              </w:rPr>
            </w:pPr>
            <w:r>
              <w:rPr>
                <w:color w:val="auto"/>
                <w:sz w:val="18"/>
                <w:szCs w:val="18"/>
              </w:rPr>
              <w:t>3.8</w:t>
            </w:r>
          </w:p>
        </w:tc>
        <w:tc>
          <w:tcPr>
            <w:tcW w:w="648" w:type="dxa"/>
            <w:tcBorders>
              <w:top w:val="single" w:color="auto" w:sz="6" w:space="0"/>
              <w:bottom w:val="nil"/>
            </w:tcBorders>
          </w:tcPr>
          <w:p w14:paraId="7DA50EF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2532F70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0.2496</w:t>
            </w:r>
          </w:p>
          <w:p w14:paraId="0A3D2DB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0.2474</w:t>
            </w:r>
          </w:p>
          <w:p w14:paraId="74338A8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0.2423</w:t>
            </w:r>
          </w:p>
          <w:p w14:paraId="1F6F478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0.2346</w:t>
            </w:r>
          </w:p>
          <w:p w14:paraId="24DA239B">
            <w:pPr>
              <w:adjustRightInd w:val="0"/>
              <w:snapToGrid w:val="0"/>
              <w:spacing w:line="200" w:lineRule="exact"/>
              <w:ind w:left="30" w:leftChars="-33" w:right="-48" w:rightChars="-23" w:hanging="99" w:hangingChars="55"/>
              <w:jc w:val="center"/>
              <w:rPr>
                <w:color w:val="auto"/>
                <w:sz w:val="18"/>
                <w:szCs w:val="18"/>
              </w:rPr>
            </w:pPr>
          </w:p>
          <w:p w14:paraId="30D0FE6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0.2252</w:t>
            </w:r>
          </w:p>
          <w:p w14:paraId="5CEBE42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0.2149</w:t>
            </w:r>
          </w:p>
          <w:p w14:paraId="6190B6F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0.2043</w:t>
            </w:r>
          </w:p>
          <w:p w14:paraId="2C81E63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0.1939</w:t>
            </w:r>
          </w:p>
          <w:p w14:paraId="3C25062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0.1840</w:t>
            </w:r>
          </w:p>
          <w:p w14:paraId="385A7EE4">
            <w:pPr>
              <w:adjustRightInd w:val="0"/>
              <w:snapToGrid w:val="0"/>
              <w:spacing w:line="200" w:lineRule="exact"/>
              <w:ind w:left="30" w:leftChars="-33" w:right="-48" w:rightChars="-23" w:hanging="99" w:hangingChars="55"/>
              <w:jc w:val="center"/>
              <w:rPr>
                <w:color w:val="auto"/>
                <w:sz w:val="18"/>
                <w:szCs w:val="18"/>
              </w:rPr>
            </w:pPr>
          </w:p>
          <w:p w14:paraId="12411A0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0.1746</w:t>
            </w:r>
          </w:p>
          <w:p w14:paraId="3AADC97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0.1659</w:t>
            </w:r>
          </w:p>
          <w:p w14:paraId="057FFBD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0.1578</w:t>
            </w:r>
          </w:p>
          <w:p w14:paraId="7F00340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0.1503</w:t>
            </w:r>
          </w:p>
          <w:p w14:paraId="3E26FB1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0.1433</w:t>
            </w:r>
          </w:p>
          <w:p w14:paraId="7B14E4C6">
            <w:pPr>
              <w:adjustRightInd w:val="0"/>
              <w:snapToGrid w:val="0"/>
              <w:spacing w:line="200" w:lineRule="exact"/>
              <w:ind w:left="30" w:leftChars="-33" w:right="-48" w:rightChars="-23" w:hanging="99" w:hangingChars="55"/>
              <w:jc w:val="center"/>
              <w:rPr>
                <w:color w:val="auto"/>
                <w:sz w:val="18"/>
                <w:szCs w:val="18"/>
              </w:rPr>
            </w:pPr>
          </w:p>
          <w:p w14:paraId="6A1B9BB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0.1369</w:t>
            </w:r>
          </w:p>
          <w:p w14:paraId="665EB72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0.1310</w:t>
            </w:r>
          </w:p>
          <w:p w14:paraId="1694FC0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0.1256</w:t>
            </w:r>
          </w:p>
          <w:p w14:paraId="24E4545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0.1205</w:t>
            </w:r>
          </w:p>
          <w:p w14:paraId="5DC339B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0.1158</w:t>
            </w:r>
          </w:p>
        </w:tc>
        <w:tc>
          <w:tcPr>
            <w:tcW w:w="686" w:type="dxa"/>
            <w:tcBorders>
              <w:top w:val="single" w:color="auto" w:sz="6" w:space="0"/>
              <w:bottom w:val="nil"/>
            </w:tcBorders>
          </w:tcPr>
          <w:p w14:paraId="77EF953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0CE462A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0.2497</w:t>
            </w:r>
          </w:p>
          <w:p w14:paraId="359DDE5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0.2479</w:t>
            </w:r>
          </w:p>
          <w:p w14:paraId="793D811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0.2437</w:t>
            </w:r>
          </w:p>
          <w:p w14:paraId="58684EB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0.2372</w:t>
            </w:r>
          </w:p>
          <w:p w14:paraId="41148D2A">
            <w:pPr>
              <w:adjustRightInd w:val="0"/>
              <w:snapToGrid w:val="0"/>
              <w:spacing w:line="200" w:lineRule="exact"/>
              <w:ind w:left="30" w:leftChars="-33" w:right="-48" w:rightChars="-23" w:hanging="99" w:hangingChars="55"/>
              <w:jc w:val="center"/>
              <w:rPr>
                <w:color w:val="auto"/>
                <w:sz w:val="18"/>
                <w:szCs w:val="18"/>
              </w:rPr>
            </w:pPr>
          </w:p>
          <w:p w14:paraId="3B166C3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0.2291</w:t>
            </w:r>
          </w:p>
          <w:p w14:paraId="561EA34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0.2199</w:t>
            </w:r>
          </w:p>
          <w:p w14:paraId="0F1E2F6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0.2102</w:t>
            </w:r>
          </w:p>
          <w:p w14:paraId="41B9072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0.2006</w:t>
            </w:r>
          </w:p>
          <w:p w14:paraId="15FDC67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0.1912</w:t>
            </w:r>
          </w:p>
          <w:p w14:paraId="35750A64">
            <w:pPr>
              <w:adjustRightInd w:val="0"/>
              <w:snapToGrid w:val="0"/>
              <w:spacing w:line="200" w:lineRule="exact"/>
              <w:ind w:left="30" w:leftChars="-33" w:hanging="99" w:hangingChars="55"/>
              <w:jc w:val="right"/>
              <w:rPr>
                <w:color w:val="auto"/>
                <w:sz w:val="18"/>
                <w:szCs w:val="18"/>
              </w:rPr>
            </w:pPr>
          </w:p>
          <w:p w14:paraId="74D91F9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0.1822</w:t>
            </w:r>
          </w:p>
          <w:p w14:paraId="0B9D9DC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0.1737</w:t>
            </w:r>
          </w:p>
          <w:p w14:paraId="796908C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0.1657</w:t>
            </w:r>
          </w:p>
          <w:p w14:paraId="4F3E105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0.1583</w:t>
            </w:r>
          </w:p>
          <w:p w14:paraId="1375E4F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0.1514</w:t>
            </w:r>
          </w:p>
          <w:p w14:paraId="2134A53C">
            <w:pPr>
              <w:adjustRightInd w:val="0"/>
              <w:snapToGrid w:val="0"/>
              <w:spacing w:line="200" w:lineRule="exact"/>
              <w:ind w:left="30" w:leftChars="-33" w:right="-48" w:rightChars="-23" w:hanging="99" w:hangingChars="55"/>
              <w:jc w:val="center"/>
              <w:rPr>
                <w:color w:val="auto"/>
                <w:sz w:val="18"/>
                <w:szCs w:val="18"/>
              </w:rPr>
            </w:pPr>
          </w:p>
          <w:p w14:paraId="45F7158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0.1449</w:t>
            </w:r>
          </w:p>
          <w:p w14:paraId="3995648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0.1390</w:t>
            </w:r>
          </w:p>
          <w:p w14:paraId="305AEA3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0.1334</w:t>
            </w:r>
          </w:p>
          <w:p w14:paraId="292C2A3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0.1282</w:t>
            </w:r>
          </w:p>
          <w:p w14:paraId="302FF4F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0.1234</w:t>
            </w:r>
          </w:p>
        </w:tc>
        <w:tc>
          <w:tcPr>
            <w:tcW w:w="730" w:type="dxa"/>
            <w:tcBorders>
              <w:top w:val="single" w:color="auto" w:sz="6" w:space="0"/>
              <w:bottom w:val="nil"/>
            </w:tcBorders>
          </w:tcPr>
          <w:p w14:paraId="29AA74A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0DE8A8D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0.2497</w:t>
            </w:r>
          </w:p>
          <w:p w14:paraId="2A2002B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0.2481</w:t>
            </w:r>
          </w:p>
          <w:p w14:paraId="78EFE0A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0.2444</w:t>
            </w:r>
          </w:p>
          <w:p w14:paraId="04918DC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0.2387</w:t>
            </w:r>
          </w:p>
          <w:p w14:paraId="30AF5DA1">
            <w:pPr>
              <w:adjustRightInd w:val="0"/>
              <w:snapToGrid w:val="0"/>
              <w:spacing w:line="200" w:lineRule="exact"/>
              <w:ind w:left="30" w:leftChars="-33" w:right="-48" w:rightChars="-23" w:hanging="99" w:hangingChars="55"/>
              <w:jc w:val="center"/>
              <w:rPr>
                <w:color w:val="auto"/>
                <w:sz w:val="18"/>
                <w:szCs w:val="18"/>
              </w:rPr>
            </w:pPr>
          </w:p>
          <w:p w14:paraId="06A0EBB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0.2313</w:t>
            </w:r>
          </w:p>
          <w:p w14:paraId="639F75F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0.2229</w:t>
            </w:r>
          </w:p>
          <w:p w14:paraId="4EADBCE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0.2140</w:t>
            </w:r>
          </w:p>
          <w:p w14:paraId="2E2EE3E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0.2049</w:t>
            </w:r>
          </w:p>
          <w:p w14:paraId="0AF98E8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0.1960</w:t>
            </w:r>
          </w:p>
          <w:p w14:paraId="0C154F2B">
            <w:pPr>
              <w:adjustRightInd w:val="0"/>
              <w:snapToGrid w:val="0"/>
              <w:spacing w:line="200" w:lineRule="exact"/>
              <w:ind w:left="30" w:leftChars="-33" w:right="-48" w:rightChars="-23" w:hanging="99" w:hangingChars="55"/>
              <w:jc w:val="center"/>
              <w:rPr>
                <w:color w:val="auto"/>
                <w:sz w:val="18"/>
                <w:szCs w:val="18"/>
              </w:rPr>
            </w:pPr>
          </w:p>
          <w:p w14:paraId="76D102C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0.1875</w:t>
            </w:r>
          </w:p>
          <w:p w14:paraId="1F5C65F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0.1793</w:t>
            </w:r>
          </w:p>
          <w:p w14:paraId="3FA883E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0.1715</w:t>
            </w:r>
          </w:p>
          <w:p w14:paraId="62E3D4A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0.1642</w:t>
            </w:r>
          </w:p>
          <w:p w14:paraId="1FB8B9E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0.1574</w:t>
            </w:r>
          </w:p>
          <w:p w14:paraId="3F363BA2">
            <w:pPr>
              <w:adjustRightInd w:val="0"/>
              <w:snapToGrid w:val="0"/>
              <w:spacing w:line="200" w:lineRule="exact"/>
              <w:ind w:left="30" w:leftChars="-33" w:right="-48" w:rightChars="-23" w:hanging="99" w:hangingChars="55"/>
              <w:jc w:val="center"/>
              <w:rPr>
                <w:color w:val="auto"/>
                <w:sz w:val="18"/>
                <w:szCs w:val="18"/>
              </w:rPr>
            </w:pPr>
          </w:p>
          <w:p w14:paraId="3C1E1B5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0.1510</w:t>
            </w:r>
          </w:p>
          <w:p w14:paraId="5509F05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0.1450</w:t>
            </w:r>
          </w:p>
          <w:p w14:paraId="7945558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0.1394</w:t>
            </w:r>
          </w:p>
          <w:p w14:paraId="3E3EF817">
            <w:pPr>
              <w:adjustRightInd w:val="0"/>
              <w:snapToGrid w:val="0"/>
              <w:spacing w:line="200" w:lineRule="exact"/>
              <w:ind w:left="30" w:leftChars="-33" w:hanging="99" w:hangingChars="55"/>
              <w:jc w:val="right"/>
              <w:rPr>
                <w:color w:val="auto"/>
                <w:sz w:val="18"/>
                <w:szCs w:val="18"/>
              </w:rPr>
            </w:pPr>
            <w:r>
              <w:rPr>
                <w:color w:val="auto"/>
                <w:sz w:val="18"/>
                <w:szCs w:val="18"/>
              </w:rPr>
              <w:t>0.1342</w:t>
            </w:r>
          </w:p>
          <w:p w14:paraId="1DF51FFF">
            <w:pPr>
              <w:adjustRightInd w:val="0"/>
              <w:snapToGrid w:val="0"/>
              <w:spacing w:line="200" w:lineRule="exact"/>
              <w:ind w:left="30" w:leftChars="-33" w:hanging="99" w:hangingChars="55"/>
              <w:jc w:val="right"/>
              <w:rPr>
                <w:color w:val="auto"/>
                <w:sz w:val="18"/>
                <w:szCs w:val="18"/>
              </w:rPr>
            </w:pPr>
            <w:r>
              <w:rPr>
                <w:color w:val="auto"/>
                <w:sz w:val="18"/>
                <w:szCs w:val="18"/>
              </w:rPr>
              <w:t>0.1293</w:t>
            </w:r>
          </w:p>
        </w:tc>
        <w:tc>
          <w:tcPr>
            <w:tcW w:w="709" w:type="dxa"/>
            <w:tcBorders>
              <w:top w:val="single" w:color="auto" w:sz="6" w:space="0"/>
              <w:bottom w:val="nil"/>
            </w:tcBorders>
          </w:tcPr>
          <w:p w14:paraId="71328FEE">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59A7108F">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1C10BF51">
            <w:pPr>
              <w:adjustRightInd w:val="0"/>
              <w:snapToGrid w:val="0"/>
              <w:spacing w:line="200" w:lineRule="exact"/>
              <w:ind w:left="30" w:leftChars="-33" w:hanging="99" w:hangingChars="55"/>
              <w:jc w:val="right"/>
              <w:rPr>
                <w:color w:val="auto"/>
                <w:sz w:val="18"/>
                <w:szCs w:val="18"/>
              </w:rPr>
            </w:pPr>
            <w:r>
              <w:rPr>
                <w:color w:val="auto"/>
                <w:sz w:val="18"/>
                <w:szCs w:val="18"/>
              </w:rPr>
              <w:t>0.2483</w:t>
            </w:r>
          </w:p>
          <w:p w14:paraId="7AA919C6">
            <w:pPr>
              <w:adjustRightInd w:val="0"/>
              <w:snapToGrid w:val="0"/>
              <w:spacing w:line="200" w:lineRule="exact"/>
              <w:ind w:left="30" w:leftChars="-33" w:hanging="99" w:hangingChars="55"/>
              <w:jc w:val="right"/>
              <w:rPr>
                <w:color w:val="auto"/>
                <w:sz w:val="18"/>
                <w:szCs w:val="18"/>
              </w:rPr>
            </w:pPr>
            <w:r>
              <w:rPr>
                <w:color w:val="auto"/>
                <w:sz w:val="18"/>
                <w:szCs w:val="18"/>
              </w:rPr>
              <w:t>0.2448</w:t>
            </w:r>
          </w:p>
          <w:p w14:paraId="586F2BF9">
            <w:pPr>
              <w:adjustRightInd w:val="0"/>
              <w:snapToGrid w:val="0"/>
              <w:spacing w:line="200" w:lineRule="exact"/>
              <w:ind w:left="30" w:leftChars="-33" w:hanging="99" w:hangingChars="55"/>
              <w:jc w:val="right"/>
              <w:rPr>
                <w:color w:val="auto"/>
                <w:sz w:val="18"/>
                <w:szCs w:val="18"/>
              </w:rPr>
            </w:pPr>
            <w:r>
              <w:rPr>
                <w:color w:val="auto"/>
                <w:sz w:val="18"/>
                <w:szCs w:val="18"/>
              </w:rPr>
              <w:t>0.2395</w:t>
            </w:r>
          </w:p>
          <w:p w14:paraId="36645C9A">
            <w:pPr>
              <w:adjustRightInd w:val="0"/>
              <w:snapToGrid w:val="0"/>
              <w:spacing w:line="200" w:lineRule="exact"/>
              <w:ind w:left="30" w:leftChars="-33" w:hanging="99" w:hangingChars="55"/>
              <w:jc w:val="right"/>
              <w:rPr>
                <w:color w:val="auto"/>
                <w:sz w:val="18"/>
                <w:szCs w:val="18"/>
              </w:rPr>
            </w:pPr>
          </w:p>
          <w:p w14:paraId="2A485105">
            <w:pPr>
              <w:adjustRightInd w:val="0"/>
              <w:snapToGrid w:val="0"/>
              <w:spacing w:line="200" w:lineRule="exact"/>
              <w:ind w:left="30" w:leftChars="-33" w:hanging="99" w:hangingChars="55"/>
              <w:jc w:val="right"/>
              <w:rPr>
                <w:color w:val="auto"/>
                <w:sz w:val="18"/>
                <w:szCs w:val="18"/>
              </w:rPr>
            </w:pPr>
            <w:r>
              <w:rPr>
                <w:color w:val="auto"/>
                <w:sz w:val="18"/>
                <w:szCs w:val="18"/>
              </w:rPr>
              <w:t>0.2326</w:t>
            </w:r>
          </w:p>
          <w:p w14:paraId="0745399A">
            <w:pPr>
              <w:adjustRightInd w:val="0"/>
              <w:snapToGrid w:val="0"/>
              <w:spacing w:line="200" w:lineRule="exact"/>
              <w:ind w:left="30" w:leftChars="-33" w:hanging="99" w:hangingChars="55"/>
              <w:jc w:val="right"/>
              <w:rPr>
                <w:color w:val="auto"/>
                <w:sz w:val="18"/>
                <w:szCs w:val="18"/>
              </w:rPr>
            </w:pPr>
            <w:r>
              <w:rPr>
                <w:color w:val="auto"/>
                <w:sz w:val="18"/>
                <w:szCs w:val="18"/>
              </w:rPr>
              <w:t>0.2248</w:t>
            </w:r>
          </w:p>
          <w:p w14:paraId="7E4BC4F4">
            <w:pPr>
              <w:adjustRightInd w:val="0"/>
              <w:snapToGrid w:val="0"/>
              <w:spacing w:line="200" w:lineRule="exact"/>
              <w:ind w:left="30" w:leftChars="-33" w:hanging="99" w:hangingChars="55"/>
              <w:jc w:val="right"/>
              <w:rPr>
                <w:color w:val="auto"/>
                <w:sz w:val="18"/>
                <w:szCs w:val="18"/>
              </w:rPr>
            </w:pPr>
            <w:r>
              <w:rPr>
                <w:color w:val="auto"/>
                <w:sz w:val="18"/>
                <w:szCs w:val="18"/>
              </w:rPr>
              <w:t>0.2164</w:t>
            </w:r>
          </w:p>
          <w:p w14:paraId="56711A83">
            <w:pPr>
              <w:adjustRightInd w:val="0"/>
              <w:snapToGrid w:val="0"/>
              <w:spacing w:line="200" w:lineRule="exact"/>
              <w:ind w:left="30" w:leftChars="-33" w:hanging="99" w:hangingChars="55"/>
              <w:jc w:val="right"/>
              <w:rPr>
                <w:color w:val="auto"/>
                <w:sz w:val="18"/>
                <w:szCs w:val="18"/>
              </w:rPr>
            </w:pPr>
            <w:r>
              <w:rPr>
                <w:color w:val="auto"/>
                <w:sz w:val="18"/>
                <w:szCs w:val="18"/>
              </w:rPr>
              <w:t>0.2079</w:t>
            </w:r>
          </w:p>
          <w:p w14:paraId="4F6E6E07">
            <w:pPr>
              <w:adjustRightInd w:val="0"/>
              <w:snapToGrid w:val="0"/>
              <w:spacing w:line="200" w:lineRule="exact"/>
              <w:ind w:left="30" w:leftChars="-33" w:hanging="99" w:hangingChars="55"/>
              <w:jc w:val="right"/>
              <w:rPr>
                <w:color w:val="auto"/>
                <w:sz w:val="18"/>
                <w:szCs w:val="18"/>
              </w:rPr>
            </w:pPr>
            <w:r>
              <w:rPr>
                <w:color w:val="auto"/>
                <w:sz w:val="18"/>
                <w:szCs w:val="18"/>
              </w:rPr>
              <w:t>0.1994</w:t>
            </w:r>
          </w:p>
          <w:p w14:paraId="0BEAAD20">
            <w:pPr>
              <w:adjustRightInd w:val="0"/>
              <w:snapToGrid w:val="0"/>
              <w:spacing w:line="200" w:lineRule="exact"/>
              <w:ind w:left="30" w:leftChars="-33" w:hanging="99" w:hangingChars="55"/>
              <w:jc w:val="right"/>
              <w:rPr>
                <w:color w:val="auto"/>
                <w:sz w:val="18"/>
                <w:szCs w:val="18"/>
              </w:rPr>
            </w:pPr>
          </w:p>
          <w:p w14:paraId="2C6D0D67">
            <w:pPr>
              <w:adjustRightInd w:val="0"/>
              <w:snapToGrid w:val="0"/>
              <w:spacing w:line="200" w:lineRule="exact"/>
              <w:ind w:left="30" w:leftChars="-33" w:hanging="99" w:hangingChars="55"/>
              <w:jc w:val="right"/>
              <w:rPr>
                <w:color w:val="auto"/>
                <w:sz w:val="18"/>
                <w:szCs w:val="18"/>
              </w:rPr>
            </w:pPr>
            <w:r>
              <w:rPr>
                <w:color w:val="auto"/>
                <w:sz w:val="18"/>
                <w:szCs w:val="18"/>
              </w:rPr>
              <w:t>0.1912</w:t>
            </w:r>
          </w:p>
          <w:p w14:paraId="3201D61E">
            <w:pPr>
              <w:adjustRightInd w:val="0"/>
              <w:snapToGrid w:val="0"/>
              <w:spacing w:line="200" w:lineRule="exact"/>
              <w:ind w:left="30" w:leftChars="-33" w:hanging="99" w:hangingChars="55"/>
              <w:jc w:val="right"/>
              <w:rPr>
                <w:color w:val="auto"/>
                <w:sz w:val="18"/>
                <w:szCs w:val="18"/>
              </w:rPr>
            </w:pPr>
            <w:r>
              <w:rPr>
                <w:color w:val="auto"/>
                <w:sz w:val="18"/>
                <w:szCs w:val="18"/>
              </w:rPr>
              <w:t>0.1833</w:t>
            </w:r>
          </w:p>
          <w:p w14:paraId="040AF75F">
            <w:pPr>
              <w:adjustRightInd w:val="0"/>
              <w:snapToGrid w:val="0"/>
              <w:spacing w:line="200" w:lineRule="exact"/>
              <w:ind w:left="30" w:leftChars="-33" w:hanging="99" w:hangingChars="55"/>
              <w:jc w:val="right"/>
              <w:rPr>
                <w:color w:val="auto"/>
                <w:sz w:val="18"/>
                <w:szCs w:val="18"/>
              </w:rPr>
            </w:pPr>
            <w:r>
              <w:rPr>
                <w:color w:val="auto"/>
                <w:sz w:val="18"/>
                <w:szCs w:val="18"/>
              </w:rPr>
              <w:t>0.1757</w:t>
            </w:r>
          </w:p>
          <w:p w14:paraId="78A98345">
            <w:pPr>
              <w:adjustRightInd w:val="0"/>
              <w:snapToGrid w:val="0"/>
              <w:spacing w:line="200" w:lineRule="exact"/>
              <w:ind w:left="30" w:leftChars="-33" w:hanging="99" w:hangingChars="55"/>
              <w:jc w:val="right"/>
              <w:rPr>
                <w:color w:val="auto"/>
                <w:sz w:val="18"/>
                <w:szCs w:val="18"/>
              </w:rPr>
            </w:pPr>
            <w:r>
              <w:rPr>
                <w:color w:val="auto"/>
                <w:sz w:val="18"/>
                <w:szCs w:val="18"/>
              </w:rPr>
              <w:t>0.1686</w:t>
            </w:r>
          </w:p>
          <w:p w14:paraId="7642A7DC">
            <w:pPr>
              <w:adjustRightInd w:val="0"/>
              <w:snapToGrid w:val="0"/>
              <w:spacing w:line="200" w:lineRule="exact"/>
              <w:ind w:left="30" w:leftChars="-33" w:hanging="99" w:hangingChars="55"/>
              <w:jc w:val="right"/>
              <w:rPr>
                <w:color w:val="auto"/>
                <w:sz w:val="18"/>
                <w:szCs w:val="18"/>
              </w:rPr>
            </w:pPr>
            <w:r>
              <w:rPr>
                <w:color w:val="auto"/>
                <w:sz w:val="18"/>
                <w:szCs w:val="18"/>
              </w:rPr>
              <w:t>0.1619</w:t>
            </w:r>
          </w:p>
          <w:p w14:paraId="00164EB0">
            <w:pPr>
              <w:adjustRightInd w:val="0"/>
              <w:snapToGrid w:val="0"/>
              <w:spacing w:line="200" w:lineRule="exact"/>
              <w:ind w:left="30" w:leftChars="-33" w:hanging="99" w:hangingChars="55"/>
              <w:jc w:val="right"/>
              <w:rPr>
                <w:color w:val="auto"/>
                <w:sz w:val="18"/>
                <w:szCs w:val="18"/>
              </w:rPr>
            </w:pPr>
          </w:p>
          <w:p w14:paraId="4DD9B171">
            <w:pPr>
              <w:adjustRightInd w:val="0"/>
              <w:snapToGrid w:val="0"/>
              <w:spacing w:line="200" w:lineRule="exact"/>
              <w:ind w:left="30" w:leftChars="-33" w:hanging="99" w:hangingChars="55"/>
              <w:jc w:val="right"/>
              <w:rPr>
                <w:color w:val="auto"/>
                <w:sz w:val="18"/>
                <w:szCs w:val="18"/>
              </w:rPr>
            </w:pPr>
            <w:r>
              <w:rPr>
                <w:color w:val="auto"/>
                <w:sz w:val="18"/>
                <w:szCs w:val="18"/>
              </w:rPr>
              <w:t>0.1556</w:t>
            </w:r>
          </w:p>
          <w:p w14:paraId="09ECD77C">
            <w:pPr>
              <w:adjustRightInd w:val="0"/>
              <w:snapToGrid w:val="0"/>
              <w:spacing w:line="200" w:lineRule="exact"/>
              <w:ind w:left="30" w:leftChars="-33" w:hanging="99" w:hangingChars="55"/>
              <w:jc w:val="right"/>
              <w:rPr>
                <w:color w:val="auto"/>
                <w:sz w:val="18"/>
                <w:szCs w:val="18"/>
              </w:rPr>
            </w:pPr>
            <w:r>
              <w:rPr>
                <w:color w:val="auto"/>
                <w:sz w:val="18"/>
                <w:szCs w:val="18"/>
              </w:rPr>
              <w:t>0.1497</w:t>
            </w:r>
          </w:p>
          <w:p w14:paraId="76D42991">
            <w:pPr>
              <w:adjustRightInd w:val="0"/>
              <w:snapToGrid w:val="0"/>
              <w:spacing w:line="200" w:lineRule="exact"/>
              <w:ind w:left="30" w:leftChars="-33" w:hanging="99" w:hangingChars="55"/>
              <w:jc w:val="right"/>
              <w:rPr>
                <w:color w:val="auto"/>
                <w:sz w:val="18"/>
                <w:szCs w:val="18"/>
              </w:rPr>
            </w:pPr>
            <w:r>
              <w:rPr>
                <w:color w:val="auto"/>
                <w:sz w:val="18"/>
                <w:szCs w:val="18"/>
              </w:rPr>
              <w:t>0.1441</w:t>
            </w:r>
          </w:p>
          <w:p w14:paraId="7CB74305">
            <w:pPr>
              <w:adjustRightInd w:val="0"/>
              <w:snapToGrid w:val="0"/>
              <w:spacing w:line="200" w:lineRule="exact"/>
              <w:ind w:left="30" w:leftChars="-33" w:hanging="99" w:hangingChars="55"/>
              <w:jc w:val="right"/>
              <w:rPr>
                <w:color w:val="auto"/>
                <w:sz w:val="18"/>
                <w:szCs w:val="18"/>
              </w:rPr>
            </w:pPr>
            <w:r>
              <w:rPr>
                <w:color w:val="auto"/>
                <w:sz w:val="18"/>
                <w:szCs w:val="18"/>
              </w:rPr>
              <w:t>0.1389</w:t>
            </w:r>
          </w:p>
          <w:p w14:paraId="08B8C44D">
            <w:pPr>
              <w:adjustRightInd w:val="0"/>
              <w:snapToGrid w:val="0"/>
              <w:spacing w:line="200" w:lineRule="exact"/>
              <w:ind w:left="30" w:leftChars="-33" w:hanging="99" w:hangingChars="55"/>
              <w:jc w:val="right"/>
              <w:rPr>
                <w:color w:val="auto"/>
                <w:sz w:val="18"/>
                <w:szCs w:val="18"/>
              </w:rPr>
            </w:pPr>
            <w:r>
              <w:rPr>
                <w:color w:val="auto"/>
                <w:sz w:val="18"/>
                <w:szCs w:val="18"/>
              </w:rPr>
              <w:t>0.1340</w:t>
            </w:r>
          </w:p>
        </w:tc>
        <w:tc>
          <w:tcPr>
            <w:tcW w:w="708" w:type="dxa"/>
            <w:tcBorders>
              <w:top w:val="single" w:color="auto" w:sz="6" w:space="0"/>
              <w:bottom w:val="nil"/>
            </w:tcBorders>
          </w:tcPr>
          <w:p w14:paraId="7F0B263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1025594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0.2498</w:t>
            </w:r>
          </w:p>
          <w:p w14:paraId="74A407E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0.2483</w:t>
            </w:r>
          </w:p>
          <w:p w14:paraId="4EDFFD3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0.2451</w:t>
            </w:r>
          </w:p>
          <w:p w14:paraId="751F63A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0.2400</w:t>
            </w:r>
          </w:p>
          <w:p w14:paraId="3281C485">
            <w:pPr>
              <w:adjustRightInd w:val="0"/>
              <w:snapToGrid w:val="0"/>
              <w:spacing w:line="200" w:lineRule="exact"/>
              <w:ind w:left="30" w:leftChars="-33" w:right="-48" w:rightChars="-23" w:hanging="99" w:hangingChars="55"/>
              <w:jc w:val="center"/>
              <w:rPr>
                <w:color w:val="auto"/>
                <w:sz w:val="18"/>
                <w:szCs w:val="18"/>
              </w:rPr>
            </w:pPr>
          </w:p>
          <w:p w14:paraId="2716071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0.2335</w:t>
            </w:r>
          </w:p>
          <w:p w14:paraId="3537670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0.2260</w:t>
            </w:r>
          </w:p>
          <w:p w14:paraId="66524D5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0.2180</w:t>
            </w:r>
          </w:p>
          <w:p w14:paraId="115D4A0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0.2099</w:t>
            </w:r>
          </w:p>
          <w:p w14:paraId="428F73F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0.2018</w:t>
            </w:r>
          </w:p>
          <w:p w14:paraId="7D6E33CA">
            <w:pPr>
              <w:adjustRightInd w:val="0"/>
              <w:snapToGrid w:val="0"/>
              <w:spacing w:line="200" w:lineRule="exact"/>
              <w:ind w:left="30" w:leftChars="-33" w:right="-48" w:rightChars="-23" w:hanging="99" w:hangingChars="55"/>
              <w:jc w:val="center"/>
              <w:rPr>
                <w:color w:val="auto"/>
                <w:sz w:val="18"/>
                <w:szCs w:val="18"/>
              </w:rPr>
            </w:pPr>
          </w:p>
          <w:p w14:paraId="3412B59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0.1938</w:t>
            </w:r>
          </w:p>
          <w:p w14:paraId="2434DEE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0.1862</w:t>
            </w:r>
          </w:p>
          <w:p w14:paraId="5BEC69E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0.1789</w:t>
            </w:r>
          </w:p>
          <w:p w14:paraId="009DC41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0.1719</w:t>
            </w:r>
          </w:p>
          <w:p w14:paraId="384A59F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0.1654</w:t>
            </w:r>
          </w:p>
          <w:p w14:paraId="1EE6B9BF">
            <w:pPr>
              <w:adjustRightInd w:val="0"/>
              <w:snapToGrid w:val="0"/>
              <w:spacing w:line="200" w:lineRule="exact"/>
              <w:ind w:left="30" w:leftChars="-33" w:right="-48" w:rightChars="-23" w:hanging="99" w:hangingChars="55"/>
              <w:jc w:val="center"/>
              <w:rPr>
                <w:color w:val="auto"/>
                <w:sz w:val="18"/>
                <w:szCs w:val="18"/>
              </w:rPr>
            </w:pPr>
          </w:p>
          <w:p w14:paraId="06BB1A8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0.1592</w:t>
            </w:r>
          </w:p>
          <w:p w14:paraId="5967730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0.1533</w:t>
            </w:r>
          </w:p>
          <w:p w14:paraId="2BC999B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0.1478</w:t>
            </w:r>
          </w:p>
          <w:p w14:paraId="23CA652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0.1427</w:t>
            </w:r>
          </w:p>
          <w:p w14:paraId="19D70FE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0.1378</w:t>
            </w:r>
          </w:p>
        </w:tc>
        <w:tc>
          <w:tcPr>
            <w:tcW w:w="709" w:type="dxa"/>
            <w:tcBorders>
              <w:top w:val="single" w:color="auto" w:sz="6" w:space="0"/>
              <w:bottom w:val="nil"/>
            </w:tcBorders>
          </w:tcPr>
          <w:p w14:paraId="1765DAE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4AB9E58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0.2498</w:t>
            </w:r>
          </w:p>
          <w:p w14:paraId="2152ECF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0.2484</w:t>
            </w:r>
          </w:p>
          <w:p w14:paraId="2C0B94A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0.2452</w:t>
            </w:r>
          </w:p>
          <w:p w14:paraId="1C36D05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0.2403</w:t>
            </w:r>
          </w:p>
          <w:p w14:paraId="19CD01A5">
            <w:pPr>
              <w:adjustRightInd w:val="0"/>
              <w:snapToGrid w:val="0"/>
              <w:spacing w:line="200" w:lineRule="exact"/>
              <w:ind w:left="30" w:leftChars="-33" w:right="-48" w:rightChars="-23" w:hanging="99" w:hangingChars="55"/>
              <w:jc w:val="center"/>
              <w:rPr>
                <w:color w:val="auto"/>
                <w:sz w:val="18"/>
                <w:szCs w:val="18"/>
              </w:rPr>
            </w:pPr>
          </w:p>
          <w:p w14:paraId="46EC858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0.2340</w:t>
            </w:r>
          </w:p>
          <w:p w14:paraId="56EC6C8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0.2268</w:t>
            </w:r>
          </w:p>
          <w:p w14:paraId="51B1FA0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0.2191</w:t>
            </w:r>
          </w:p>
          <w:p w14:paraId="12B035D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0.2113</w:t>
            </w:r>
          </w:p>
          <w:p w14:paraId="477431B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0.2034</w:t>
            </w:r>
          </w:p>
          <w:p w14:paraId="31B21D6A">
            <w:pPr>
              <w:adjustRightInd w:val="0"/>
              <w:snapToGrid w:val="0"/>
              <w:spacing w:line="200" w:lineRule="exact"/>
              <w:ind w:left="30" w:leftChars="-33" w:right="-48" w:rightChars="-23" w:hanging="99" w:hangingChars="55"/>
              <w:jc w:val="center"/>
              <w:rPr>
                <w:color w:val="auto"/>
                <w:sz w:val="18"/>
                <w:szCs w:val="18"/>
              </w:rPr>
            </w:pPr>
          </w:p>
          <w:p w14:paraId="1D126FA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0.1958</w:t>
            </w:r>
          </w:p>
          <w:p w14:paraId="29DE87F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0.1883</w:t>
            </w:r>
          </w:p>
          <w:p w14:paraId="4BD84E1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0.1812</w:t>
            </w:r>
          </w:p>
          <w:p w14:paraId="398E596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0.1745</w:t>
            </w:r>
          </w:p>
          <w:p w14:paraId="223B197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0.1680</w:t>
            </w:r>
          </w:p>
          <w:p w14:paraId="47AF7DB2">
            <w:pPr>
              <w:adjustRightInd w:val="0"/>
              <w:snapToGrid w:val="0"/>
              <w:spacing w:line="200" w:lineRule="exact"/>
              <w:ind w:left="30" w:leftChars="-33" w:right="-48" w:rightChars="-23" w:hanging="99" w:hangingChars="55"/>
              <w:jc w:val="center"/>
              <w:rPr>
                <w:color w:val="auto"/>
                <w:sz w:val="18"/>
                <w:szCs w:val="18"/>
              </w:rPr>
            </w:pPr>
          </w:p>
          <w:p w14:paraId="6AB7E9F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0.1619</w:t>
            </w:r>
          </w:p>
          <w:p w14:paraId="40751B4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0.1562</w:t>
            </w:r>
          </w:p>
          <w:p w14:paraId="34D6FAB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0.1508</w:t>
            </w:r>
          </w:p>
          <w:p w14:paraId="727FBA2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0.1456</w:t>
            </w:r>
          </w:p>
          <w:p w14:paraId="410CF85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0.1408</w:t>
            </w:r>
          </w:p>
        </w:tc>
        <w:tc>
          <w:tcPr>
            <w:tcW w:w="709" w:type="dxa"/>
            <w:tcBorders>
              <w:top w:val="single" w:color="auto" w:sz="6" w:space="0"/>
              <w:bottom w:val="nil"/>
            </w:tcBorders>
          </w:tcPr>
          <w:p w14:paraId="225A3208">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1A41AFDF">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350172DA">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6B4D0A1F">
            <w:pPr>
              <w:adjustRightInd w:val="0"/>
              <w:snapToGrid w:val="0"/>
              <w:spacing w:line="200" w:lineRule="exact"/>
              <w:ind w:left="30" w:leftChars="-33" w:hanging="99" w:hangingChars="55"/>
              <w:jc w:val="right"/>
              <w:rPr>
                <w:color w:val="auto"/>
                <w:sz w:val="18"/>
                <w:szCs w:val="18"/>
              </w:rPr>
            </w:pPr>
            <w:r>
              <w:rPr>
                <w:color w:val="auto"/>
                <w:sz w:val="18"/>
                <w:szCs w:val="18"/>
              </w:rPr>
              <w:t>0.2454</w:t>
            </w:r>
          </w:p>
          <w:p w14:paraId="7EF97935">
            <w:pPr>
              <w:adjustRightInd w:val="0"/>
              <w:snapToGrid w:val="0"/>
              <w:spacing w:line="200" w:lineRule="exact"/>
              <w:ind w:left="30" w:leftChars="-33" w:hanging="99" w:hangingChars="55"/>
              <w:jc w:val="right"/>
              <w:rPr>
                <w:color w:val="auto"/>
                <w:sz w:val="18"/>
                <w:szCs w:val="18"/>
              </w:rPr>
            </w:pPr>
            <w:r>
              <w:rPr>
                <w:color w:val="auto"/>
                <w:sz w:val="18"/>
                <w:szCs w:val="18"/>
              </w:rPr>
              <w:t>0.2407</w:t>
            </w:r>
          </w:p>
          <w:p w14:paraId="61605E63">
            <w:pPr>
              <w:adjustRightInd w:val="0"/>
              <w:snapToGrid w:val="0"/>
              <w:spacing w:line="200" w:lineRule="exact"/>
              <w:ind w:left="30" w:leftChars="-33" w:hanging="99" w:hangingChars="55"/>
              <w:jc w:val="right"/>
              <w:rPr>
                <w:color w:val="auto"/>
                <w:sz w:val="18"/>
                <w:szCs w:val="18"/>
              </w:rPr>
            </w:pPr>
          </w:p>
          <w:p w14:paraId="03C3E9AB">
            <w:pPr>
              <w:adjustRightInd w:val="0"/>
              <w:snapToGrid w:val="0"/>
              <w:spacing w:line="200" w:lineRule="exact"/>
              <w:ind w:left="30" w:leftChars="-33" w:hanging="99" w:hangingChars="55"/>
              <w:jc w:val="right"/>
              <w:rPr>
                <w:color w:val="auto"/>
                <w:sz w:val="18"/>
                <w:szCs w:val="18"/>
              </w:rPr>
            </w:pPr>
            <w:r>
              <w:rPr>
                <w:color w:val="auto"/>
                <w:sz w:val="18"/>
                <w:szCs w:val="18"/>
              </w:rPr>
              <w:t>0.2346</w:t>
            </w:r>
          </w:p>
          <w:p w14:paraId="0C019167">
            <w:pPr>
              <w:adjustRightInd w:val="0"/>
              <w:snapToGrid w:val="0"/>
              <w:spacing w:line="200" w:lineRule="exact"/>
              <w:ind w:left="30" w:leftChars="-33" w:hanging="99" w:hangingChars="55"/>
              <w:jc w:val="right"/>
              <w:rPr>
                <w:color w:val="auto"/>
                <w:sz w:val="18"/>
                <w:szCs w:val="18"/>
              </w:rPr>
            </w:pPr>
            <w:r>
              <w:rPr>
                <w:color w:val="auto"/>
                <w:sz w:val="18"/>
                <w:szCs w:val="18"/>
              </w:rPr>
              <w:t>0.2278</w:t>
            </w:r>
          </w:p>
          <w:p w14:paraId="4509CA20">
            <w:pPr>
              <w:adjustRightInd w:val="0"/>
              <w:snapToGrid w:val="0"/>
              <w:spacing w:line="200" w:lineRule="exact"/>
              <w:ind w:left="30" w:leftChars="-33" w:hanging="99" w:hangingChars="55"/>
              <w:jc w:val="right"/>
              <w:rPr>
                <w:color w:val="auto"/>
                <w:sz w:val="18"/>
                <w:szCs w:val="18"/>
              </w:rPr>
            </w:pPr>
            <w:r>
              <w:rPr>
                <w:color w:val="auto"/>
                <w:sz w:val="18"/>
                <w:szCs w:val="18"/>
              </w:rPr>
              <w:t>0.2204</w:t>
            </w:r>
          </w:p>
          <w:p w14:paraId="058014E0">
            <w:pPr>
              <w:adjustRightInd w:val="0"/>
              <w:snapToGrid w:val="0"/>
              <w:spacing w:line="200" w:lineRule="exact"/>
              <w:ind w:left="30" w:leftChars="-33" w:hanging="99" w:hangingChars="55"/>
              <w:jc w:val="right"/>
              <w:rPr>
                <w:color w:val="auto"/>
                <w:sz w:val="18"/>
                <w:szCs w:val="18"/>
              </w:rPr>
            </w:pPr>
            <w:r>
              <w:rPr>
                <w:color w:val="auto"/>
                <w:sz w:val="18"/>
                <w:szCs w:val="18"/>
              </w:rPr>
              <w:t>0.2130</w:t>
            </w:r>
          </w:p>
          <w:p w14:paraId="24EC3600">
            <w:pPr>
              <w:adjustRightInd w:val="0"/>
              <w:snapToGrid w:val="0"/>
              <w:spacing w:line="200" w:lineRule="exact"/>
              <w:ind w:left="30" w:leftChars="-33" w:hanging="99" w:hangingChars="55"/>
              <w:jc w:val="right"/>
              <w:rPr>
                <w:color w:val="auto"/>
                <w:sz w:val="18"/>
                <w:szCs w:val="18"/>
              </w:rPr>
            </w:pPr>
            <w:r>
              <w:rPr>
                <w:color w:val="auto"/>
                <w:sz w:val="18"/>
                <w:szCs w:val="18"/>
              </w:rPr>
              <w:t>0.2055</w:t>
            </w:r>
          </w:p>
          <w:p w14:paraId="7337BF2A">
            <w:pPr>
              <w:adjustRightInd w:val="0"/>
              <w:snapToGrid w:val="0"/>
              <w:spacing w:line="200" w:lineRule="exact"/>
              <w:ind w:left="30" w:leftChars="-33" w:hanging="99" w:hangingChars="55"/>
              <w:jc w:val="right"/>
              <w:rPr>
                <w:color w:val="auto"/>
                <w:sz w:val="18"/>
                <w:szCs w:val="18"/>
              </w:rPr>
            </w:pPr>
          </w:p>
          <w:p w14:paraId="1D937B10">
            <w:pPr>
              <w:adjustRightInd w:val="0"/>
              <w:snapToGrid w:val="0"/>
              <w:spacing w:line="200" w:lineRule="exact"/>
              <w:ind w:left="30" w:leftChars="-33" w:hanging="99" w:hangingChars="55"/>
              <w:jc w:val="right"/>
              <w:rPr>
                <w:color w:val="auto"/>
                <w:sz w:val="18"/>
                <w:szCs w:val="18"/>
              </w:rPr>
            </w:pPr>
            <w:r>
              <w:rPr>
                <w:color w:val="auto"/>
                <w:sz w:val="18"/>
                <w:szCs w:val="18"/>
              </w:rPr>
              <w:t>0.1982</w:t>
            </w:r>
          </w:p>
          <w:p w14:paraId="1FB12BC6">
            <w:pPr>
              <w:adjustRightInd w:val="0"/>
              <w:snapToGrid w:val="0"/>
              <w:spacing w:line="200" w:lineRule="exact"/>
              <w:ind w:left="30" w:leftChars="-33" w:hanging="99" w:hangingChars="55"/>
              <w:jc w:val="right"/>
              <w:rPr>
                <w:color w:val="auto"/>
                <w:sz w:val="18"/>
                <w:szCs w:val="18"/>
              </w:rPr>
            </w:pPr>
            <w:r>
              <w:rPr>
                <w:color w:val="auto"/>
                <w:sz w:val="18"/>
                <w:szCs w:val="18"/>
              </w:rPr>
              <w:t>0.1911</w:t>
            </w:r>
          </w:p>
          <w:p w14:paraId="1A2ACBE7">
            <w:pPr>
              <w:adjustRightInd w:val="0"/>
              <w:snapToGrid w:val="0"/>
              <w:spacing w:line="200" w:lineRule="exact"/>
              <w:ind w:left="30" w:leftChars="-33" w:hanging="99" w:hangingChars="55"/>
              <w:jc w:val="right"/>
              <w:rPr>
                <w:color w:val="auto"/>
                <w:sz w:val="18"/>
                <w:szCs w:val="18"/>
              </w:rPr>
            </w:pPr>
            <w:r>
              <w:rPr>
                <w:color w:val="auto"/>
                <w:sz w:val="18"/>
                <w:szCs w:val="18"/>
              </w:rPr>
              <w:t>0.1843</w:t>
            </w:r>
          </w:p>
          <w:p w14:paraId="57E2E6EA">
            <w:pPr>
              <w:adjustRightInd w:val="0"/>
              <w:snapToGrid w:val="0"/>
              <w:spacing w:line="200" w:lineRule="exact"/>
              <w:ind w:left="30" w:leftChars="-33" w:hanging="99" w:hangingChars="55"/>
              <w:jc w:val="right"/>
              <w:rPr>
                <w:color w:val="auto"/>
                <w:sz w:val="18"/>
                <w:szCs w:val="18"/>
              </w:rPr>
            </w:pPr>
            <w:r>
              <w:rPr>
                <w:color w:val="auto"/>
                <w:sz w:val="18"/>
                <w:szCs w:val="18"/>
              </w:rPr>
              <w:t>0.1779</w:t>
            </w:r>
          </w:p>
          <w:p w14:paraId="26296F9E">
            <w:pPr>
              <w:adjustRightInd w:val="0"/>
              <w:snapToGrid w:val="0"/>
              <w:spacing w:line="200" w:lineRule="exact"/>
              <w:ind w:left="30" w:leftChars="-33" w:hanging="99" w:hangingChars="55"/>
              <w:jc w:val="right"/>
              <w:rPr>
                <w:color w:val="auto"/>
                <w:sz w:val="18"/>
                <w:szCs w:val="18"/>
              </w:rPr>
            </w:pPr>
            <w:r>
              <w:rPr>
                <w:color w:val="auto"/>
                <w:sz w:val="18"/>
                <w:szCs w:val="18"/>
              </w:rPr>
              <w:t>0.1717</w:t>
            </w:r>
          </w:p>
          <w:p w14:paraId="5BFA3F34">
            <w:pPr>
              <w:adjustRightInd w:val="0"/>
              <w:snapToGrid w:val="0"/>
              <w:spacing w:line="200" w:lineRule="exact"/>
              <w:ind w:left="30" w:leftChars="-33" w:hanging="99" w:hangingChars="55"/>
              <w:jc w:val="right"/>
              <w:rPr>
                <w:color w:val="auto"/>
                <w:sz w:val="18"/>
                <w:szCs w:val="18"/>
              </w:rPr>
            </w:pPr>
          </w:p>
          <w:p w14:paraId="5D088A36">
            <w:pPr>
              <w:adjustRightInd w:val="0"/>
              <w:snapToGrid w:val="0"/>
              <w:spacing w:line="200" w:lineRule="exact"/>
              <w:ind w:left="30" w:leftChars="-33" w:hanging="99" w:hangingChars="55"/>
              <w:jc w:val="right"/>
              <w:rPr>
                <w:color w:val="auto"/>
                <w:sz w:val="18"/>
                <w:szCs w:val="18"/>
              </w:rPr>
            </w:pPr>
            <w:r>
              <w:rPr>
                <w:color w:val="auto"/>
                <w:sz w:val="18"/>
                <w:szCs w:val="18"/>
              </w:rPr>
              <w:t>0.1658</w:t>
            </w:r>
          </w:p>
          <w:p w14:paraId="7C83D0D4">
            <w:pPr>
              <w:adjustRightInd w:val="0"/>
              <w:snapToGrid w:val="0"/>
              <w:spacing w:line="200" w:lineRule="exact"/>
              <w:ind w:left="30" w:leftChars="-33" w:hanging="99" w:hangingChars="55"/>
              <w:jc w:val="right"/>
              <w:rPr>
                <w:color w:val="auto"/>
                <w:sz w:val="18"/>
                <w:szCs w:val="18"/>
              </w:rPr>
            </w:pPr>
            <w:r>
              <w:rPr>
                <w:color w:val="auto"/>
                <w:sz w:val="18"/>
                <w:szCs w:val="18"/>
              </w:rPr>
              <w:t>0.1602</w:t>
            </w:r>
          </w:p>
          <w:p w14:paraId="025248BF">
            <w:pPr>
              <w:adjustRightInd w:val="0"/>
              <w:snapToGrid w:val="0"/>
              <w:spacing w:line="200" w:lineRule="exact"/>
              <w:ind w:left="30" w:leftChars="-33" w:hanging="99" w:hangingChars="55"/>
              <w:jc w:val="right"/>
              <w:rPr>
                <w:color w:val="auto"/>
                <w:sz w:val="18"/>
                <w:szCs w:val="18"/>
              </w:rPr>
            </w:pPr>
            <w:r>
              <w:rPr>
                <w:color w:val="auto"/>
                <w:sz w:val="18"/>
                <w:szCs w:val="18"/>
              </w:rPr>
              <w:t>0.1550</w:t>
            </w:r>
          </w:p>
          <w:p w14:paraId="0069D66A">
            <w:pPr>
              <w:adjustRightInd w:val="0"/>
              <w:snapToGrid w:val="0"/>
              <w:spacing w:line="200" w:lineRule="exact"/>
              <w:ind w:left="30" w:leftChars="-33" w:hanging="99" w:hangingChars="55"/>
              <w:jc w:val="right"/>
              <w:rPr>
                <w:color w:val="auto"/>
                <w:sz w:val="18"/>
                <w:szCs w:val="18"/>
              </w:rPr>
            </w:pPr>
            <w:r>
              <w:rPr>
                <w:color w:val="auto"/>
                <w:sz w:val="18"/>
                <w:szCs w:val="18"/>
              </w:rPr>
              <w:t>0.1500</w:t>
            </w:r>
          </w:p>
          <w:p w14:paraId="69985DAB">
            <w:pPr>
              <w:adjustRightInd w:val="0"/>
              <w:snapToGrid w:val="0"/>
              <w:spacing w:line="200" w:lineRule="exact"/>
              <w:ind w:left="30" w:leftChars="-33" w:hanging="99" w:hangingChars="55"/>
              <w:jc w:val="right"/>
              <w:rPr>
                <w:color w:val="auto"/>
                <w:sz w:val="18"/>
                <w:szCs w:val="18"/>
              </w:rPr>
            </w:pPr>
            <w:r>
              <w:rPr>
                <w:color w:val="auto"/>
                <w:sz w:val="18"/>
                <w:szCs w:val="18"/>
              </w:rPr>
              <w:t>0.1452</w:t>
            </w:r>
          </w:p>
        </w:tc>
        <w:tc>
          <w:tcPr>
            <w:tcW w:w="709" w:type="dxa"/>
            <w:tcBorders>
              <w:top w:val="single" w:color="auto" w:sz="6" w:space="0"/>
              <w:bottom w:val="nil"/>
            </w:tcBorders>
          </w:tcPr>
          <w:p w14:paraId="56C3D6A5">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4909074A">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41F78B20">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54B3E122">
            <w:pPr>
              <w:adjustRightInd w:val="0"/>
              <w:snapToGrid w:val="0"/>
              <w:spacing w:line="200" w:lineRule="exact"/>
              <w:ind w:left="30" w:leftChars="-33" w:hanging="99" w:hangingChars="55"/>
              <w:jc w:val="right"/>
              <w:rPr>
                <w:color w:val="auto"/>
                <w:sz w:val="18"/>
                <w:szCs w:val="18"/>
              </w:rPr>
            </w:pPr>
            <w:r>
              <w:rPr>
                <w:color w:val="auto"/>
                <w:sz w:val="18"/>
                <w:szCs w:val="18"/>
              </w:rPr>
              <w:t>0.2455</w:t>
            </w:r>
          </w:p>
          <w:p w14:paraId="0AE1C31C">
            <w:pPr>
              <w:adjustRightInd w:val="0"/>
              <w:snapToGrid w:val="0"/>
              <w:spacing w:line="200" w:lineRule="exact"/>
              <w:ind w:left="30" w:leftChars="-33" w:hanging="99" w:hangingChars="55"/>
              <w:jc w:val="right"/>
              <w:rPr>
                <w:color w:val="auto"/>
                <w:sz w:val="18"/>
                <w:szCs w:val="18"/>
              </w:rPr>
            </w:pPr>
            <w:r>
              <w:rPr>
                <w:color w:val="auto"/>
                <w:sz w:val="18"/>
                <w:szCs w:val="18"/>
              </w:rPr>
              <w:t>0.2408</w:t>
            </w:r>
          </w:p>
          <w:p w14:paraId="3078F32E">
            <w:pPr>
              <w:adjustRightInd w:val="0"/>
              <w:snapToGrid w:val="0"/>
              <w:spacing w:line="200" w:lineRule="exact"/>
              <w:ind w:left="30" w:leftChars="-33" w:hanging="99" w:hangingChars="55"/>
              <w:jc w:val="right"/>
              <w:rPr>
                <w:color w:val="auto"/>
                <w:sz w:val="18"/>
                <w:szCs w:val="18"/>
              </w:rPr>
            </w:pPr>
          </w:p>
          <w:p w14:paraId="3BA088BA">
            <w:pPr>
              <w:adjustRightInd w:val="0"/>
              <w:snapToGrid w:val="0"/>
              <w:spacing w:line="200" w:lineRule="exact"/>
              <w:ind w:left="30" w:leftChars="-33" w:hanging="99" w:hangingChars="55"/>
              <w:jc w:val="right"/>
              <w:rPr>
                <w:color w:val="auto"/>
                <w:sz w:val="18"/>
                <w:szCs w:val="18"/>
              </w:rPr>
            </w:pPr>
            <w:r>
              <w:rPr>
                <w:color w:val="auto"/>
                <w:sz w:val="18"/>
                <w:szCs w:val="18"/>
              </w:rPr>
              <w:t>0.2349</w:t>
            </w:r>
          </w:p>
          <w:p w14:paraId="490FA4B0">
            <w:pPr>
              <w:adjustRightInd w:val="0"/>
              <w:snapToGrid w:val="0"/>
              <w:spacing w:line="200" w:lineRule="exact"/>
              <w:ind w:left="30" w:leftChars="-33" w:hanging="99" w:hangingChars="55"/>
              <w:jc w:val="right"/>
              <w:rPr>
                <w:color w:val="auto"/>
                <w:sz w:val="18"/>
                <w:szCs w:val="18"/>
              </w:rPr>
            </w:pPr>
            <w:r>
              <w:rPr>
                <w:color w:val="auto"/>
                <w:sz w:val="18"/>
                <w:szCs w:val="18"/>
              </w:rPr>
              <w:t>0.2282</w:t>
            </w:r>
          </w:p>
          <w:p w14:paraId="36D4374A">
            <w:pPr>
              <w:adjustRightInd w:val="0"/>
              <w:snapToGrid w:val="0"/>
              <w:spacing w:line="200" w:lineRule="exact"/>
              <w:ind w:left="30" w:leftChars="-33" w:hanging="99" w:hangingChars="55"/>
              <w:jc w:val="right"/>
              <w:rPr>
                <w:color w:val="auto"/>
                <w:sz w:val="18"/>
                <w:szCs w:val="18"/>
              </w:rPr>
            </w:pPr>
            <w:r>
              <w:rPr>
                <w:color w:val="auto"/>
                <w:sz w:val="18"/>
                <w:szCs w:val="18"/>
              </w:rPr>
              <w:t>0.2211</w:t>
            </w:r>
          </w:p>
          <w:p w14:paraId="0827628C">
            <w:pPr>
              <w:adjustRightInd w:val="0"/>
              <w:snapToGrid w:val="0"/>
              <w:spacing w:line="200" w:lineRule="exact"/>
              <w:ind w:left="30" w:leftChars="-33" w:hanging="99" w:hangingChars="55"/>
              <w:jc w:val="right"/>
              <w:rPr>
                <w:color w:val="auto"/>
                <w:sz w:val="18"/>
                <w:szCs w:val="18"/>
              </w:rPr>
            </w:pPr>
            <w:r>
              <w:rPr>
                <w:color w:val="auto"/>
                <w:sz w:val="18"/>
                <w:szCs w:val="18"/>
              </w:rPr>
              <w:t>0.2138</w:t>
            </w:r>
          </w:p>
          <w:p w14:paraId="6CC638A2">
            <w:pPr>
              <w:adjustRightInd w:val="0"/>
              <w:snapToGrid w:val="0"/>
              <w:spacing w:line="200" w:lineRule="exact"/>
              <w:ind w:left="30" w:leftChars="-33" w:hanging="99" w:hangingChars="55"/>
              <w:jc w:val="right"/>
              <w:rPr>
                <w:color w:val="auto"/>
                <w:sz w:val="18"/>
                <w:szCs w:val="18"/>
              </w:rPr>
            </w:pPr>
            <w:r>
              <w:rPr>
                <w:color w:val="auto"/>
                <w:sz w:val="18"/>
                <w:szCs w:val="18"/>
              </w:rPr>
              <w:t>0.2066</w:t>
            </w:r>
          </w:p>
          <w:p w14:paraId="42C0701D">
            <w:pPr>
              <w:adjustRightInd w:val="0"/>
              <w:snapToGrid w:val="0"/>
              <w:spacing w:line="200" w:lineRule="exact"/>
              <w:ind w:left="30" w:leftChars="-33" w:hanging="99" w:hangingChars="55"/>
              <w:jc w:val="right"/>
              <w:rPr>
                <w:color w:val="auto"/>
                <w:sz w:val="18"/>
                <w:szCs w:val="18"/>
              </w:rPr>
            </w:pPr>
          </w:p>
          <w:p w14:paraId="4B3B52AE">
            <w:pPr>
              <w:adjustRightInd w:val="0"/>
              <w:snapToGrid w:val="0"/>
              <w:spacing w:line="200" w:lineRule="exact"/>
              <w:ind w:left="30" w:leftChars="-33" w:hanging="99" w:hangingChars="55"/>
              <w:jc w:val="right"/>
              <w:rPr>
                <w:color w:val="auto"/>
                <w:sz w:val="18"/>
                <w:szCs w:val="18"/>
              </w:rPr>
            </w:pPr>
            <w:r>
              <w:rPr>
                <w:color w:val="auto"/>
                <w:sz w:val="18"/>
                <w:szCs w:val="18"/>
              </w:rPr>
              <w:t>0.1996</w:t>
            </w:r>
          </w:p>
          <w:p w14:paraId="203DE6F5">
            <w:pPr>
              <w:adjustRightInd w:val="0"/>
              <w:snapToGrid w:val="0"/>
              <w:spacing w:line="200" w:lineRule="exact"/>
              <w:ind w:left="30" w:leftChars="-33" w:hanging="99" w:hangingChars="55"/>
              <w:jc w:val="right"/>
              <w:rPr>
                <w:color w:val="auto"/>
                <w:sz w:val="18"/>
                <w:szCs w:val="18"/>
              </w:rPr>
            </w:pPr>
            <w:r>
              <w:rPr>
                <w:color w:val="auto"/>
                <w:sz w:val="18"/>
                <w:szCs w:val="18"/>
              </w:rPr>
              <w:t>0.1927</w:t>
            </w:r>
          </w:p>
          <w:p w14:paraId="48CCF514">
            <w:pPr>
              <w:adjustRightInd w:val="0"/>
              <w:snapToGrid w:val="0"/>
              <w:spacing w:line="200" w:lineRule="exact"/>
              <w:ind w:left="30" w:leftChars="-33" w:hanging="99" w:hangingChars="55"/>
              <w:jc w:val="right"/>
              <w:rPr>
                <w:color w:val="auto"/>
                <w:sz w:val="18"/>
                <w:szCs w:val="18"/>
              </w:rPr>
            </w:pPr>
            <w:r>
              <w:rPr>
                <w:color w:val="auto"/>
                <w:sz w:val="18"/>
                <w:szCs w:val="18"/>
              </w:rPr>
              <w:t>0.1862</w:t>
            </w:r>
          </w:p>
          <w:p w14:paraId="6566B5C2">
            <w:pPr>
              <w:adjustRightInd w:val="0"/>
              <w:snapToGrid w:val="0"/>
              <w:spacing w:line="200" w:lineRule="exact"/>
              <w:ind w:left="30" w:leftChars="-33" w:hanging="99" w:hangingChars="55"/>
              <w:jc w:val="right"/>
              <w:rPr>
                <w:color w:val="auto"/>
                <w:sz w:val="18"/>
                <w:szCs w:val="18"/>
              </w:rPr>
            </w:pPr>
            <w:r>
              <w:rPr>
                <w:color w:val="auto"/>
                <w:sz w:val="18"/>
                <w:szCs w:val="18"/>
              </w:rPr>
              <w:t>0.1799</w:t>
            </w:r>
          </w:p>
          <w:p w14:paraId="2BF85502">
            <w:pPr>
              <w:adjustRightInd w:val="0"/>
              <w:snapToGrid w:val="0"/>
              <w:spacing w:line="200" w:lineRule="exact"/>
              <w:ind w:left="30" w:leftChars="-33" w:hanging="99" w:hangingChars="55"/>
              <w:jc w:val="right"/>
              <w:rPr>
                <w:color w:val="auto"/>
                <w:sz w:val="18"/>
                <w:szCs w:val="18"/>
              </w:rPr>
            </w:pPr>
            <w:r>
              <w:rPr>
                <w:color w:val="auto"/>
                <w:sz w:val="18"/>
                <w:szCs w:val="18"/>
              </w:rPr>
              <w:t>0.1739</w:t>
            </w:r>
          </w:p>
          <w:p w14:paraId="63CF16C9">
            <w:pPr>
              <w:adjustRightInd w:val="0"/>
              <w:snapToGrid w:val="0"/>
              <w:spacing w:line="200" w:lineRule="exact"/>
              <w:ind w:left="30" w:leftChars="-33" w:hanging="99" w:hangingChars="55"/>
              <w:jc w:val="right"/>
              <w:rPr>
                <w:color w:val="auto"/>
                <w:sz w:val="18"/>
                <w:szCs w:val="18"/>
              </w:rPr>
            </w:pPr>
          </w:p>
          <w:p w14:paraId="6C2498AB">
            <w:pPr>
              <w:adjustRightInd w:val="0"/>
              <w:snapToGrid w:val="0"/>
              <w:spacing w:line="200" w:lineRule="exact"/>
              <w:ind w:left="30" w:leftChars="-33" w:hanging="99" w:hangingChars="55"/>
              <w:jc w:val="right"/>
              <w:rPr>
                <w:color w:val="auto"/>
                <w:sz w:val="18"/>
                <w:szCs w:val="18"/>
              </w:rPr>
            </w:pPr>
            <w:r>
              <w:rPr>
                <w:color w:val="auto"/>
                <w:sz w:val="18"/>
                <w:szCs w:val="18"/>
              </w:rPr>
              <w:t>0.1682</w:t>
            </w:r>
          </w:p>
          <w:p w14:paraId="65742E87">
            <w:pPr>
              <w:adjustRightInd w:val="0"/>
              <w:snapToGrid w:val="0"/>
              <w:spacing w:line="200" w:lineRule="exact"/>
              <w:ind w:left="30" w:leftChars="-33" w:hanging="99" w:hangingChars="55"/>
              <w:jc w:val="right"/>
              <w:rPr>
                <w:color w:val="auto"/>
                <w:sz w:val="18"/>
                <w:szCs w:val="18"/>
              </w:rPr>
            </w:pPr>
            <w:r>
              <w:rPr>
                <w:color w:val="auto"/>
                <w:sz w:val="18"/>
                <w:szCs w:val="18"/>
              </w:rPr>
              <w:t>0.1628</w:t>
            </w:r>
          </w:p>
          <w:p w14:paraId="25407D42">
            <w:pPr>
              <w:adjustRightInd w:val="0"/>
              <w:snapToGrid w:val="0"/>
              <w:spacing w:line="200" w:lineRule="exact"/>
              <w:ind w:left="30" w:leftChars="-33" w:hanging="99" w:hangingChars="55"/>
              <w:jc w:val="right"/>
              <w:rPr>
                <w:color w:val="auto"/>
                <w:sz w:val="18"/>
                <w:szCs w:val="18"/>
              </w:rPr>
            </w:pPr>
            <w:r>
              <w:rPr>
                <w:color w:val="auto"/>
                <w:sz w:val="18"/>
                <w:szCs w:val="18"/>
              </w:rPr>
              <w:t>0.1577</w:t>
            </w:r>
          </w:p>
          <w:p w14:paraId="7601EB4A">
            <w:pPr>
              <w:adjustRightInd w:val="0"/>
              <w:snapToGrid w:val="0"/>
              <w:spacing w:line="200" w:lineRule="exact"/>
              <w:ind w:left="30" w:leftChars="-33" w:hanging="99" w:hangingChars="55"/>
              <w:jc w:val="right"/>
              <w:rPr>
                <w:color w:val="auto"/>
                <w:sz w:val="18"/>
                <w:szCs w:val="18"/>
              </w:rPr>
            </w:pPr>
            <w:r>
              <w:rPr>
                <w:color w:val="auto"/>
                <w:sz w:val="18"/>
                <w:szCs w:val="18"/>
              </w:rPr>
              <w:t>0.1528</w:t>
            </w:r>
          </w:p>
          <w:p w14:paraId="5D6901A9">
            <w:pPr>
              <w:adjustRightInd w:val="0"/>
              <w:snapToGrid w:val="0"/>
              <w:spacing w:line="200" w:lineRule="exact"/>
              <w:ind w:left="30" w:leftChars="-33" w:hanging="99" w:hangingChars="55"/>
              <w:jc w:val="right"/>
              <w:rPr>
                <w:color w:val="auto"/>
                <w:sz w:val="18"/>
                <w:szCs w:val="18"/>
              </w:rPr>
            </w:pPr>
            <w:r>
              <w:rPr>
                <w:color w:val="auto"/>
                <w:sz w:val="18"/>
                <w:szCs w:val="18"/>
              </w:rPr>
              <w:t>0.1482</w:t>
            </w:r>
          </w:p>
        </w:tc>
        <w:tc>
          <w:tcPr>
            <w:tcW w:w="708" w:type="dxa"/>
            <w:tcBorders>
              <w:top w:val="single" w:color="auto" w:sz="6" w:space="0"/>
              <w:bottom w:val="nil"/>
            </w:tcBorders>
          </w:tcPr>
          <w:p w14:paraId="27253AFA">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2608B5D2">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7DEDBD88">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3B04E4EF">
            <w:pPr>
              <w:adjustRightInd w:val="0"/>
              <w:snapToGrid w:val="0"/>
              <w:spacing w:line="200" w:lineRule="exact"/>
              <w:ind w:left="30" w:leftChars="-33" w:hanging="99" w:hangingChars="55"/>
              <w:jc w:val="right"/>
              <w:rPr>
                <w:color w:val="auto"/>
                <w:sz w:val="18"/>
                <w:szCs w:val="18"/>
              </w:rPr>
            </w:pPr>
            <w:r>
              <w:rPr>
                <w:color w:val="auto"/>
                <w:sz w:val="18"/>
                <w:szCs w:val="18"/>
              </w:rPr>
              <w:t>0.2455</w:t>
            </w:r>
          </w:p>
          <w:p w14:paraId="654ECA88">
            <w:pPr>
              <w:adjustRightInd w:val="0"/>
              <w:snapToGrid w:val="0"/>
              <w:spacing w:line="200" w:lineRule="exact"/>
              <w:ind w:left="30" w:leftChars="-33" w:hanging="99" w:hangingChars="55"/>
              <w:jc w:val="right"/>
              <w:rPr>
                <w:color w:val="auto"/>
                <w:sz w:val="18"/>
                <w:szCs w:val="18"/>
              </w:rPr>
            </w:pPr>
            <w:r>
              <w:rPr>
                <w:color w:val="auto"/>
                <w:sz w:val="18"/>
                <w:szCs w:val="18"/>
              </w:rPr>
              <w:t>0.2409</w:t>
            </w:r>
          </w:p>
          <w:p w14:paraId="46B097E8">
            <w:pPr>
              <w:adjustRightInd w:val="0"/>
              <w:snapToGrid w:val="0"/>
              <w:spacing w:line="200" w:lineRule="exact"/>
              <w:ind w:left="30" w:leftChars="-33" w:hanging="99" w:hangingChars="55"/>
              <w:jc w:val="right"/>
              <w:rPr>
                <w:color w:val="auto"/>
                <w:sz w:val="18"/>
                <w:szCs w:val="18"/>
              </w:rPr>
            </w:pPr>
          </w:p>
          <w:p w14:paraId="4C603612">
            <w:pPr>
              <w:adjustRightInd w:val="0"/>
              <w:snapToGrid w:val="0"/>
              <w:spacing w:line="200" w:lineRule="exact"/>
              <w:ind w:left="30" w:leftChars="-33" w:hanging="99" w:hangingChars="55"/>
              <w:jc w:val="right"/>
              <w:rPr>
                <w:color w:val="auto"/>
                <w:sz w:val="18"/>
                <w:szCs w:val="18"/>
              </w:rPr>
            </w:pPr>
            <w:r>
              <w:rPr>
                <w:color w:val="auto"/>
                <w:sz w:val="18"/>
                <w:szCs w:val="18"/>
              </w:rPr>
              <w:t>0.2351</w:t>
            </w:r>
          </w:p>
          <w:p w14:paraId="14A302BD">
            <w:pPr>
              <w:adjustRightInd w:val="0"/>
              <w:snapToGrid w:val="0"/>
              <w:spacing w:line="200" w:lineRule="exact"/>
              <w:ind w:left="30" w:leftChars="-33" w:hanging="99" w:hangingChars="55"/>
              <w:jc w:val="right"/>
              <w:rPr>
                <w:color w:val="auto"/>
                <w:sz w:val="18"/>
                <w:szCs w:val="18"/>
              </w:rPr>
            </w:pPr>
            <w:r>
              <w:rPr>
                <w:color w:val="auto"/>
                <w:sz w:val="18"/>
                <w:szCs w:val="18"/>
              </w:rPr>
              <w:t>0.2285</w:t>
            </w:r>
          </w:p>
          <w:p w14:paraId="7E0914EA">
            <w:pPr>
              <w:adjustRightInd w:val="0"/>
              <w:snapToGrid w:val="0"/>
              <w:spacing w:line="200" w:lineRule="exact"/>
              <w:ind w:left="30" w:leftChars="-33" w:hanging="99" w:hangingChars="55"/>
              <w:jc w:val="right"/>
              <w:rPr>
                <w:color w:val="auto"/>
                <w:sz w:val="18"/>
                <w:szCs w:val="18"/>
              </w:rPr>
            </w:pPr>
            <w:r>
              <w:rPr>
                <w:color w:val="auto"/>
                <w:sz w:val="18"/>
                <w:szCs w:val="18"/>
              </w:rPr>
              <w:t>0.2215</w:t>
            </w:r>
          </w:p>
          <w:p w14:paraId="1CACC08E">
            <w:pPr>
              <w:adjustRightInd w:val="0"/>
              <w:snapToGrid w:val="0"/>
              <w:spacing w:line="200" w:lineRule="exact"/>
              <w:ind w:left="30" w:leftChars="-33" w:hanging="99" w:hangingChars="55"/>
              <w:jc w:val="right"/>
              <w:rPr>
                <w:color w:val="auto"/>
                <w:sz w:val="18"/>
                <w:szCs w:val="18"/>
              </w:rPr>
            </w:pPr>
            <w:r>
              <w:rPr>
                <w:color w:val="auto"/>
                <w:sz w:val="18"/>
                <w:szCs w:val="18"/>
              </w:rPr>
              <w:t>0.2143</w:t>
            </w:r>
          </w:p>
          <w:p w14:paraId="17B549FE">
            <w:pPr>
              <w:adjustRightInd w:val="0"/>
              <w:snapToGrid w:val="0"/>
              <w:spacing w:line="200" w:lineRule="exact"/>
              <w:ind w:left="30" w:leftChars="-33" w:hanging="99" w:hangingChars="55"/>
              <w:jc w:val="right"/>
              <w:rPr>
                <w:color w:val="auto"/>
                <w:sz w:val="18"/>
                <w:szCs w:val="18"/>
              </w:rPr>
            </w:pPr>
            <w:r>
              <w:rPr>
                <w:color w:val="auto"/>
                <w:sz w:val="18"/>
                <w:szCs w:val="18"/>
              </w:rPr>
              <w:t>0.2073</w:t>
            </w:r>
          </w:p>
          <w:p w14:paraId="2295C48E">
            <w:pPr>
              <w:adjustRightInd w:val="0"/>
              <w:snapToGrid w:val="0"/>
              <w:spacing w:line="200" w:lineRule="exact"/>
              <w:ind w:left="30" w:leftChars="-33" w:hanging="99" w:hangingChars="55"/>
              <w:jc w:val="right"/>
              <w:rPr>
                <w:color w:val="auto"/>
                <w:sz w:val="18"/>
                <w:szCs w:val="18"/>
              </w:rPr>
            </w:pPr>
          </w:p>
          <w:p w14:paraId="5C14C6EA">
            <w:pPr>
              <w:adjustRightInd w:val="0"/>
              <w:snapToGrid w:val="0"/>
              <w:spacing w:line="200" w:lineRule="exact"/>
              <w:ind w:left="30" w:leftChars="-33" w:hanging="99" w:hangingChars="55"/>
              <w:jc w:val="right"/>
              <w:rPr>
                <w:color w:val="auto"/>
                <w:sz w:val="18"/>
                <w:szCs w:val="18"/>
              </w:rPr>
            </w:pPr>
            <w:r>
              <w:rPr>
                <w:color w:val="auto"/>
                <w:sz w:val="18"/>
                <w:szCs w:val="18"/>
              </w:rPr>
              <w:t>0.2004</w:t>
            </w:r>
          </w:p>
          <w:p w14:paraId="61073F30">
            <w:pPr>
              <w:adjustRightInd w:val="0"/>
              <w:snapToGrid w:val="0"/>
              <w:spacing w:line="200" w:lineRule="exact"/>
              <w:ind w:left="30" w:leftChars="-33" w:hanging="99" w:hangingChars="55"/>
              <w:jc w:val="right"/>
              <w:rPr>
                <w:color w:val="auto"/>
                <w:sz w:val="18"/>
                <w:szCs w:val="18"/>
              </w:rPr>
            </w:pPr>
            <w:r>
              <w:rPr>
                <w:color w:val="auto"/>
                <w:sz w:val="18"/>
                <w:szCs w:val="18"/>
              </w:rPr>
              <w:t>0.1937</w:t>
            </w:r>
          </w:p>
          <w:p w14:paraId="4FA4661F">
            <w:pPr>
              <w:adjustRightInd w:val="0"/>
              <w:snapToGrid w:val="0"/>
              <w:spacing w:line="200" w:lineRule="exact"/>
              <w:ind w:left="30" w:leftChars="-33" w:hanging="99" w:hangingChars="55"/>
              <w:jc w:val="right"/>
              <w:rPr>
                <w:color w:val="auto"/>
                <w:sz w:val="18"/>
                <w:szCs w:val="18"/>
              </w:rPr>
            </w:pPr>
            <w:r>
              <w:rPr>
                <w:color w:val="auto"/>
                <w:sz w:val="18"/>
                <w:szCs w:val="18"/>
              </w:rPr>
              <w:t>0.1873</w:t>
            </w:r>
          </w:p>
          <w:p w14:paraId="0055C0D4">
            <w:pPr>
              <w:adjustRightInd w:val="0"/>
              <w:snapToGrid w:val="0"/>
              <w:spacing w:line="200" w:lineRule="exact"/>
              <w:ind w:left="30" w:leftChars="-33" w:hanging="99" w:hangingChars="55"/>
              <w:jc w:val="right"/>
              <w:rPr>
                <w:color w:val="auto"/>
                <w:sz w:val="18"/>
                <w:szCs w:val="18"/>
              </w:rPr>
            </w:pPr>
            <w:r>
              <w:rPr>
                <w:color w:val="auto"/>
                <w:sz w:val="18"/>
                <w:szCs w:val="18"/>
              </w:rPr>
              <w:t>0.1812</w:t>
            </w:r>
          </w:p>
          <w:p w14:paraId="7C3E335F">
            <w:pPr>
              <w:adjustRightInd w:val="0"/>
              <w:snapToGrid w:val="0"/>
              <w:spacing w:line="200" w:lineRule="exact"/>
              <w:ind w:left="30" w:leftChars="-33" w:hanging="99" w:hangingChars="55"/>
              <w:jc w:val="right"/>
              <w:rPr>
                <w:color w:val="auto"/>
                <w:sz w:val="18"/>
                <w:szCs w:val="18"/>
              </w:rPr>
            </w:pPr>
            <w:r>
              <w:rPr>
                <w:color w:val="auto"/>
                <w:sz w:val="18"/>
                <w:szCs w:val="18"/>
              </w:rPr>
              <w:t>0.1753</w:t>
            </w:r>
          </w:p>
          <w:p w14:paraId="62B2FD5A">
            <w:pPr>
              <w:adjustRightInd w:val="0"/>
              <w:snapToGrid w:val="0"/>
              <w:spacing w:line="200" w:lineRule="exact"/>
              <w:ind w:left="30" w:leftChars="-33" w:hanging="99" w:hangingChars="55"/>
              <w:jc w:val="right"/>
              <w:rPr>
                <w:color w:val="auto"/>
                <w:sz w:val="18"/>
                <w:szCs w:val="18"/>
              </w:rPr>
            </w:pPr>
          </w:p>
          <w:p w14:paraId="4272262F">
            <w:pPr>
              <w:adjustRightInd w:val="0"/>
              <w:snapToGrid w:val="0"/>
              <w:spacing w:line="200" w:lineRule="exact"/>
              <w:ind w:left="30" w:leftChars="-33" w:hanging="99" w:hangingChars="55"/>
              <w:jc w:val="right"/>
              <w:rPr>
                <w:color w:val="auto"/>
                <w:sz w:val="18"/>
                <w:szCs w:val="18"/>
              </w:rPr>
            </w:pPr>
            <w:r>
              <w:rPr>
                <w:color w:val="auto"/>
                <w:sz w:val="18"/>
                <w:szCs w:val="18"/>
              </w:rPr>
              <w:t>0.1698</w:t>
            </w:r>
          </w:p>
          <w:p w14:paraId="21DC8FEA">
            <w:pPr>
              <w:adjustRightInd w:val="0"/>
              <w:snapToGrid w:val="0"/>
              <w:spacing w:line="200" w:lineRule="exact"/>
              <w:ind w:left="30" w:leftChars="-33" w:hanging="99" w:hangingChars="55"/>
              <w:jc w:val="right"/>
              <w:rPr>
                <w:color w:val="auto"/>
                <w:sz w:val="18"/>
                <w:szCs w:val="18"/>
              </w:rPr>
            </w:pPr>
            <w:r>
              <w:rPr>
                <w:color w:val="auto"/>
                <w:sz w:val="18"/>
                <w:szCs w:val="18"/>
              </w:rPr>
              <w:t>0.1645</w:t>
            </w:r>
          </w:p>
          <w:p w14:paraId="7B7D782A">
            <w:pPr>
              <w:adjustRightInd w:val="0"/>
              <w:snapToGrid w:val="0"/>
              <w:spacing w:line="200" w:lineRule="exact"/>
              <w:ind w:left="30" w:leftChars="-33" w:hanging="99" w:hangingChars="55"/>
              <w:jc w:val="right"/>
              <w:rPr>
                <w:color w:val="auto"/>
                <w:sz w:val="18"/>
                <w:szCs w:val="18"/>
              </w:rPr>
            </w:pPr>
            <w:r>
              <w:rPr>
                <w:color w:val="auto"/>
                <w:sz w:val="18"/>
                <w:szCs w:val="18"/>
              </w:rPr>
              <w:t>0.1595</w:t>
            </w:r>
          </w:p>
          <w:p w14:paraId="3A7D9B7C">
            <w:pPr>
              <w:adjustRightInd w:val="0"/>
              <w:snapToGrid w:val="0"/>
              <w:spacing w:line="200" w:lineRule="exact"/>
              <w:ind w:left="30" w:leftChars="-33" w:hanging="99" w:hangingChars="55"/>
              <w:jc w:val="right"/>
              <w:rPr>
                <w:color w:val="auto"/>
                <w:sz w:val="18"/>
                <w:szCs w:val="18"/>
              </w:rPr>
            </w:pPr>
            <w:r>
              <w:rPr>
                <w:color w:val="auto"/>
                <w:sz w:val="18"/>
                <w:szCs w:val="18"/>
              </w:rPr>
              <w:t>0.1548</w:t>
            </w:r>
          </w:p>
          <w:p w14:paraId="3C429BA3">
            <w:pPr>
              <w:adjustRightInd w:val="0"/>
              <w:snapToGrid w:val="0"/>
              <w:spacing w:line="200" w:lineRule="exact"/>
              <w:ind w:left="30" w:leftChars="-33" w:hanging="99" w:hangingChars="55"/>
              <w:jc w:val="right"/>
              <w:rPr>
                <w:color w:val="auto"/>
                <w:sz w:val="18"/>
                <w:szCs w:val="18"/>
              </w:rPr>
            </w:pPr>
            <w:r>
              <w:rPr>
                <w:color w:val="auto"/>
                <w:sz w:val="18"/>
                <w:szCs w:val="18"/>
              </w:rPr>
              <w:t>0.1502</w:t>
            </w:r>
          </w:p>
        </w:tc>
        <w:tc>
          <w:tcPr>
            <w:tcW w:w="709" w:type="dxa"/>
            <w:tcBorders>
              <w:top w:val="single" w:color="auto" w:sz="6" w:space="0"/>
              <w:bottom w:val="nil"/>
            </w:tcBorders>
          </w:tcPr>
          <w:p w14:paraId="459DB260">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5AD8F113">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34AB5071">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678386C3">
            <w:pPr>
              <w:adjustRightInd w:val="0"/>
              <w:snapToGrid w:val="0"/>
              <w:spacing w:line="200" w:lineRule="exact"/>
              <w:ind w:left="30" w:leftChars="-33" w:hanging="99" w:hangingChars="55"/>
              <w:jc w:val="right"/>
              <w:rPr>
                <w:color w:val="auto"/>
                <w:sz w:val="18"/>
                <w:szCs w:val="18"/>
              </w:rPr>
            </w:pPr>
            <w:r>
              <w:rPr>
                <w:color w:val="auto"/>
                <w:sz w:val="18"/>
                <w:szCs w:val="18"/>
              </w:rPr>
              <w:t>0.2455</w:t>
            </w:r>
          </w:p>
          <w:p w14:paraId="410D273B">
            <w:pPr>
              <w:adjustRightInd w:val="0"/>
              <w:snapToGrid w:val="0"/>
              <w:spacing w:line="200" w:lineRule="exact"/>
              <w:ind w:left="30" w:leftChars="-33" w:hanging="99" w:hangingChars="55"/>
              <w:jc w:val="right"/>
              <w:rPr>
                <w:color w:val="auto"/>
                <w:sz w:val="18"/>
                <w:szCs w:val="18"/>
              </w:rPr>
            </w:pPr>
            <w:r>
              <w:rPr>
                <w:color w:val="auto"/>
                <w:sz w:val="18"/>
                <w:szCs w:val="18"/>
              </w:rPr>
              <w:t>0.2409</w:t>
            </w:r>
          </w:p>
          <w:p w14:paraId="3B22E32A">
            <w:pPr>
              <w:adjustRightInd w:val="0"/>
              <w:snapToGrid w:val="0"/>
              <w:spacing w:line="200" w:lineRule="exact"/>
              <w:ind w:left="30" w:leftChars="-33" w:hanging="99" w:hangingChars="55"/>
              <w:jc w:val="right"/>
              <w:rPr>
                <w:color w:val="auto"/>
                <w:sz w:val="18"/>
                <w:szCs w:val="18"/>
              </w:rPr>
            </w:pPr>
          </w:p>
          <w:p w14:paraId="7264095B">
            <w:pPr>
              <w:adjustRightInd w:val="0"/>
              <w:snapToGrid w:val="0"/>
              <w:spacing w:line="200" w:lineRule="exact"/>
              <w:ind w:left="30" w:leftChars="-33" w:hanging="99" w:hangingChars="55"/>
              <w:jc w:val="right"/>
              <w:rPr>
                <w:color w:val="auto"/>
                <w:sz w:val="18"/>
                <w:szCs w:val="18"/>
              </w:rPr>
            </w:pPr>
            <w:r>
              <w:rPr>
                <w:color w:val="auto"/>
                <w:sz w:val="18"/>
                <w:szCs w:val="18"/>
              </w:rPr>
              <w:t>0.2352</w:t>
            </w:r>
          </w:p>
          <w:p w14:paraId="216AA0A3">
            <w:pPr>
              <w:adjustRightInd w:val="0"/>
              <w:snapToGrid w:val="0"/>
              <w:spacing w:line="200" w:lineRule="exact"/>
              <w:ind w:left="30" w:leftChars="-33" w:hanging="99" w:hangingChars="55"/>
              <w:jc w:val="right"/>
              <w:rPr>
                <w:color w:val="auto"/>
                <w:sz w:val="18"/>
                <w:szCs w:val="18"/>
              </w:rPr>
            </w:pPr>
            <w:r>
              <w:rPr>
                <w:color w:val="auto"/>
                <w:sz w:val="18"/>
                <w:szCs w:val="18"/>
              </w:rPr>
              <w:t>0.2286</w:t>
            </w:r>
          </w:p>
          <w:p w14:paraId="678EBC64">
            <w:pPr>
              <w:adjustRightInd w:val="0"/>
              <w:snapToGrid w:val="0"/>
              <w:spacing w:line="200" w:lineRule="exact"/>
              <w:ind w:left="30" w:leftChars="-33" w:hanging="99" w:hangingChars="55"/>
              <w:jc w:val="right"/>
              <w:rPr>
                <w:color w:val="auto"/>
                <w:sz w:val="18"/>
                <w:szCs w:val="18"/>
              </w:rPr>
            </w:pPr>
            <w:r>
              <w:rPr>
                <w:color w:val="auto"/>
                <w:sz w:val="18"/>
                <w:szCs w:val="18"/>
              </w:rPr>
              <w:t>0.2217</w:t>
            </w:r>
          </w:p>
          <w:p w14:paraId="538054B8">
            <w:pPr>
              <w:adjustRightInd w:val="0"/>
              <w:snapToGrid w:val="0"/>
              <w:spacing w:line="200" w:lineRule="exact"/>
              <w:ind w:left="30" w:leftChars="-33" w:hanging="99" w:hangingChars="55"/>
              <w:jc w:val="right"/>
              <w:rPr>
                <w:color w:val="auto"/>
                <w:sz w:val="18"/>
                <w:szCs w:val="18"/>
              </w:rPr>
            </w:pPr>
            <w:r>
              <w:rPr>
                <w:color w:val="auto"/>
                <w:sz w:val="18"/>
                <w:szCs w:val="18"/>
              </w:rPr>
              <w:t>0.2146</w:t>
            </w:r>
          </w:p>
          <w:p w14:paraId="5B636C3B">
            <w:pPr>
              <w:adjustRightInd w:val="0"/>
              <w:snapToGrid w:val="0"/>
              <w:spacing w:line="200" w:lineRule="exact"/>
              <w:ind w:left="30" w:leftChars="-33" w:hanging="99" w:hangingChars="55"/>
              <w:jc w:val="right"/>
              <w:rPr>
                <w:color w:val="auto"/>
                <w:sz w:val="18"/>
                <w:szCs w:val="18"/>
              </w:rPr>
            </w:pPr>
            <w:r>
              <w:rPr>
                <w:color w:val="auto"/>
                <w:sz w:val="18"/>
                <w:szCs w:val="18"/>
              </w:rPr>
              <w:t>0.2077</w:t>
            </w:r>
          </w:p>
          <w:p w14:paraId="2AD89F8D">
            <w:pPr>
              <w:adjustRightInd w:val="0"/>
              <w:snapToGrid w:val="0"/>
              <w:spacing w:line="200" w:lineRule="exact"/>
              <w:ind w:left="30" w:leftChars="-33" w:hanging="99" w:hangingChars="55"/>
              <w:jc w:val="right"/>
              <w:rPr>
                <w:color w:val="auto"/>
                <w:sz w:val="18"/>
                <w:szCs w:val="18"/>
              </w:rPr>
            </w:pPr>
          </w:p>
          <w:p w14:paraId="15F92360">
            <w:pPr>
              <w:adjustRightInd w:val="0"/>
              <w:snapToGrid w:val="0"/>
              <w:spacing w:line="200" w:lineRule="exact"/>
              <w:ind w:left="30" w:leftChars="-33" w:hanging="99" w:hangingChars="55"/>
              <w:jc w:val="right"/>
              <w:rPr>
                <w:color w:val="auto"/>
                <w:sz w:val="18"/>
                <w:szCs w:val="18"/>
              </w:rPr>
            </w:pPr>
            <w:r>
              <w:rPr>
                <w:color w:val="auto"/>
                <w:sz w:val="18"/>
                <w:szCs w:val="18"/>
              </w:rPr>
              <w:t>0.2009</w:t>
            </w:r>
          </w:p>
          <w:p w14:paraId="57F43630">
            <w:pPr>
              <w:adjustRightInd w:val="0"/>
              <w:snapToGrid w:val="0"/>
              <w:spacing w:line="200" w:lineRule="exact"/>
              <w:ind w:left="30" w:leftChars="-33" w:hanging="99" w:hangingChars="55"/>
              <w:jc w:val="right"/>
              <w:rPr>
                <w:color w:val="auto"/>
                <w:sz w:val="18"/>
                <w:szCs w:val="18"/>
              </w:rPr>
            </w:pPr>
            <w:r>
              <w:rPr>
                <w:color w:val="auto"/>
                <w:sz w:val="18"/>
                <w:szCs w:val="18"/>
              </w:rPr>
              <w:t>0.1943</w:t>
            </w:r>
          </w:p>
          <w:p w14:paraId="5D4AB780">
            <w:pPr>
              <w:adjustRightInd w:val="0"/>
              <w:snapToGrid w:val="0"/>
              <w:spacing w:line="200" w:lineRule="exact"/>
              <w:ind w:left="30" w:leftChars="-33" w:hanging="99" w:hangingChars="55"/>
              <w:jc w:val="right"/>
              <w:rPr>
                <w:color w:val="auto"/>
                <w:sz w:val="18"/>
                <w:szCs w:val="18"/>
              </w:rPr>
            </w:pPr>
            <w:r>
              <w:rPr>
                <w:color w:val="auto"/>
                <w:sz w:val="18"/>
                <w:szCs w:val="18"/>
              </w:rPr>
              <w:t>0.1880</w:t>
            </w:r>
          </w:p>
          <w:p w14:paraId="3F9D048C">
            <w:pPr>
              <w:adjustRightInd w:val="0"/>
              <w:snapToGrid w:val="0"/>
              <w:spacing w:line="200" w:lineRule="exact"/>
              <w:ind w:left="30" w:leftChars="-33" w:hanging="99" w:hangingChars="55"/>
              <w:jc w:val="right"/>
              <w:rPr>
                <w:color w:val="auto"/>
                <w:sz w:val="18"/>
                <w:szCs w:val="18"/>
              </w:rPr>
            </w:pPr>
            <w:r>
              <w:rPr>
                <w:color w:val="auto"/>
                <w:sz w:val="18"/>
                <w:szCs w:val="18"/>
              </w:rPr>
              <w:t>0.1820</w:t>
            </w:r>
          </w:p>
          <w:p w14:paraId="01CA4513">
            <w:pPr>
              <w:adjustRightInd w:val="0"/>
              <w:snapToGrid w:val="0"/>
              <w:spacing w:line="200" w:lineRule="exact"/>
              <w:ind w:left="30" w:leftChars="-33" w:hanging="99" w:hangingChars="55"/>
              <w:jc w:val="right"/>
              <w:rPr>
                <w:color w:val="auto"/>
                <w:sz w:val="18"/>
                <w:szCs w:val="18"/>
              </w:rPr>
            </w:pPr>
            <w:r>
              <w:rPr>
                <w:color w:val="auto"/>
                <w:sz w:val="18"/>
                <w:szCs w:val="18"/>
              </w:rPr>
              <w:t>0.1763</w:t>
            </w:r>
          </w:p>
          <w:p w14:paraId="6D56B272">
            <w:pPr>
              <w:adjustRightInd w:val="0"/>
              <w:snapToGrid w:val="0"/>
              <w:spacing w:line="200" w:lineRule="exact"/>
              <w:ind w:left="30" w:leftChars="-33" w:hanging="99" w:hangingChars="55"/>
              <w:jc w:val="right"/>
              <w:rPr>
                <w:color w:val="auto"/>
                <w:sz w:val="18"/>
                <w:szCs w:val="18"/>
              </w:rPr>
            </w:pPr>
          </w:p>
          <w:p w14:paraId="5833F5A6">
            <w:pPr>
              <w:adjustRightInd w:val="0"/>
              <w:snapToGrid w:val="0"/>
              <w:spacing w:line="200" w:lineRule="exact"/>
              <w:ind w:left="30" w:leftChars="-33" w:hanging="99" w:hangingChars="55"/>
              <w:jc w:val="right"/>
              <w:rPr>
                <w:color w:val="auto"/>
                <w:sz w:val="18"/>
                <w:szCs w:val="18"/>
              </w:rPr>
            </w:pPr>
            <w:r>
              <w:rPr>
                <w:color w:val="auto"/>
                <w:sz w:val="18"/>
                <w:szCs w:val="18"/>
              </w:rPr>
              <w:t>0.1708</w:t>
            </w:r>
          </w:p>
          <w:p w14:paraId="30EE0B19">
            <w:pPr>
              <w:adjustRightInd w:val="0"/>
              <w:snapToGrid w:val="0"/>
              <w:spacing w:line="200" w:lineRule="exact"/>
              <w:ind w:left="30" w:leftChars="-33" w:hanging="99" w:hangingChars="55"/>
              <w:jc w:val="right"/>
              <w:rPr>
                <w:color w:val="auto"/>
                <w:sz w:val="18"/>
                <w:szCs w:val="18"/>
              </w:rPr>
            </w:pPr>
            <w:r>
              <w:rPr>
                <w:color w:val="auto"/>
                <w:sz w:val="18"/>
                <w:szCs w:val="18"/>
              </w:rPr>
              <w:t>0.1657</w:t>
            </w:r>
          </w:p>
          <w:p w14:paraId="2D8FCF5A">
            <w:pPr>
              <w:adjustRightInd w:val="0"/>
              <w:snapToGrid w:val="0"/>
              <w:spacing w:line="200" w:lineRule="exact"/>
              <w:ind w:left="30" w:leftChars="-33" w:hanging="99" w:hangingChars="55"/>
              <w:jc w:val="right"/>
              <w:rPr>
                <w:color w:val="auto"/>
                <w:sz w:val="18"/>
                <w:szCs w:val="18"/>
              </w:rPr>
            </w:pPr>
            <w:r>
              <w:rPr>
                <w:color w:val="auto"/>
                <w:sz w:val="18"/>
                <w:szCs w:val="18"/>
              </w:rPr>
              <w:t>0.1607</w:t>
            </w:r>
          </w:p>
          <w:p w14:paraId="5EF777EE">
            <w:pPr>
              <w:adjustRightInd w:val="0"/>
              <w:snapToGrid w:val="0"/>
              <w:spacing w:line="200" w:lineRule="exact"/>
              <w:ind w:left="30" w:leftChars="-33" w:hanging="99" w:hangingChars="55"/>
              <w:jc w:val="right"/>
              <w:rPr>
                <w:color w:val="auto"/>
                <w:sz w:val="18"/>
                <w:szCs w:val="18"/>
              </w:rPr>
            </w:pPr>
            <w:r>
              <w:rPr>
                <w:color w:val="auto"/>
                <w:sz w:val="18"/>
                <w:szCs w:val="18"/>
              </w:rPr>
              <w:t>0.1561</w:t>
            </w:r>
          </w:p>
          <w:p w14:paraId="2305E744">
            <w:pPr>
              <w:adjustRightInd w:val="0"/>
              <w:snapToGrid w:val="0"/>
              <w:spacing w:line="200" w:lineRule="exact"/>
              <w:ind w:left="30" w:leftChars="-33" w:hanging="99" w:hangingChars="55"/>
              <w:jc w:val="right"/>
              <w:rPr>
                <w:color w:val="auto"/>
                <w:sz w:val="18"/>
                <w:szCs w:val="18"/>
              </w:rPr>
            </w:pPr>
            <w:r>
              <w:rPr>
                <w:color w:val="auto"/>
                <w:sz w:val="18"/>
                <w:szCs w:val="18"/>
              </w:rPr>
              <w:t>0.1516</w:t>
            </w:r>
          </w:p>
        </w:tc>
        <w:tc>
          <w:tcPr>
            <w:tcW w:w="709" w:type="dxa"/>
            <w:tcBorders>
              <w:top w:val="single" w:color="auto" w:sz="6" w:space="0"/>
              <w:bottom w:val="nil"/>
            </w:tcBorders>
          </w:tcPr>
          <w:p w14:paraId="4FDFB78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0.2500</w:t>
            </w:r>
          </w:p>
          <w:p w14:paraId="1A2EF85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0.2498</w:t>
            </w:r>
          </w:p>
          <w:p w14:paraId="217A981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0.2485</w:t>
            </w:r>
          </w:p>
          <w:p w14:paraId="45D4714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0.2455</w:t>
            </w:r>
          </w:p>
          <w:p w14:paraId="42A4E34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0.2410</w:t>
            </w:r>
          </w:p>
          <w:p w14:paraId="5B675302">
            <w:pPr>
              <w:adjustRightInd w:val="0"/>
              <w:snapToGrid w:val="0"/>
              <w:spacing w:line="200" w:lineRule="exact"/>
              <w:ind w:left="30" w:leftChars="-33" w:right="-48" w:rightChars="-23" w:hanging="99" w:hangingChars="55"/>
              <w:jc w:val="center"/>
              <w:rPr>
                <w:color w:val="auto"/>
                <w:sz w:val="18"/>
                <w:szCs w:val="18"/>
              </w:rPr>
            </w:pPr>
          </w:p>
          <w:p w14:paraId="6DF1709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0.2352</w:t>
            </w:r>
          </w:p>
          <w:p w14:paraId="729F050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0.2287</w:t>
            </w:r>
          </w:p>
          <w:p w14:paraId="4EAE0C3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0.2218</w:t>
            </w:r>
          </w:p>
          <w:p w14:paraId="38BFD57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0.2148</w:t>
            </w:r>
          </w:p>
          <w:p w14:paraId="030A4D6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0.2079</w:t>
            </w:r>
          </w:p>
          <w:p w14:paraId="594B67D6">
            <w:pPr>
              <w:adjustRightInd w:val="0"/>
              <w:snapToGrid w:val="0"/>
              <w:spacing w:line="200" w:lineRule="exact"/>
              <w:ind w:left="30" w:leftChars="-33" w:right="-48" w:rightChars="-23" w:hanging="99" w:hangingChars="55"/>
              <w:jc w:val="center"/>
              <w:rPr>
                <w:color w:val="auto"/>
                <w:sz w:val="18"/>
                <w:szCs w:val="18"/>
              </w:rPr>
            </w:pPr>
          </w:p>
          <w:p w14:paraId="297DF85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0.2012</w:t>
            </w:r>
          </w:p>
          <w:p w14:paraId="4BF4749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0.1947</w:t>
            </w:r>
          </w:p>
          <w:p w14:paraId="12C85A8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0.1885</w:t>
            </w:r>
          </w:p>
          <w:p w14:paraId="39B7251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0.1825</w:t>
            </w:r>
          </w:p>
          <w:p w14:paraId="0502A19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0.1769</w:t>
            </w:r>
          </w:p>
          <w:p w14:paraId="3A711DAE">
            <w:pPr>
              <w:adjustRightInd w:val="0"/>
              <w:snapToGrid w:val="0"/>
              <w:spacing w:line="200" w:lineRule="exact"/>
              <w:ind w:left="30" w:leftChars="-33" w:right="-48" w:rightChars="-23" w:hanging="99" w:hangingChars="55"/>
              <w:jc w:val="center"/>
              <w:rPr>
                <w:color w:val="auto"/>
                <w:sz w:val="18"/>
                <w:szCs w:val="18"/>
              </w:rPr>
            </w:pPr>
          </w:p>
          <w:p w14:paraId="6E45277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0.1715</w:t>
            </w:r>
          </w:p>
          <w:p w14:paraId="37DDFF4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0.1664</w:t>
            </w:r>
          </w:p>
          <w:p w14:paraId="1D5B61A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0.1616</w:t>
            </w:r>
          </w:p>
          <w:p w14:paraId="750C917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0.1570</w:t>
            </w:r>
          </w:p>
          <w:p w14:paraId="7652348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0.1526</w:t>
            </w:r>
          </w:p>
        </w:tc>
        <w:tc>
          <w:tcPr>
            <w:tcW w:w="709" w:type="dxa"/>
            <w:tcBorders>
              <w:top w:val="single" w:color="auto" w:sz="6" w:space="0"/>
              <w:bottom w:val="nil"/>
            </w:tcBorders>
          </w:tcPr>
          <w:p w14:paraId="0EA1566D">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7CF0B089">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7D2E24D4">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723B9ACE">
            <w:pPr>
              <w:adjustRightInd w:val="0"/>
              <w:snapToGrid w:val="0"/>
              <w:spacing w:line="200" w:lineRule="exact"/>
              <w:ind w:left="30" w:leftChars="-33" w:hanging="99" w:hangingChars="55"/>
              <w:jc w:val="right"/>
              <w:rPr>
                <w:color w:val="auto"/>
                <w:sz w:val="18"/>
                <w:szCs w:val="18"/>
              </w:rPr>
            </w:pPr>
            <w:r>
              <w:rPr>
                <w:color w:val="auto"/>
                <w:sz w:val="18"/>
                <w:szCs w:val="18"/>
              </w:rPr>
              <w:t>0.2455</w:t>
            </w:r>
          </w:p>
          <w:p w14:paraId="22D390B5">
            <w:pPr>
              <w:adjustRightInd w:val="0"/>
              <w:snapToGrid w:val="0"/>
              <w:spacing w:line="200" w:lineRule="exact"/>
              <w:ind w:left="30" w:leftChars="-33" w:hanging="99" w:hangingChars="55"/>
              <w:jc w:val="right"/>
              <w:rPr>
                <w:color w:val="auto"/>
                <w:sz w:val="18"/>
                <w:szCs w:val="18"/>
              </w:rPr>
            </w:pPr>
            <w:r>
              <w:rPr>
                <w:color w:val="auto"/>
                <w:sz w:val="18"/>
                <w:szCs w:val="18"/>
              </w:rPr>
              <w:t>0.2410</w:t>
            </w:r>
          </w:p>
          <w:p w14:paraId="008CC6E3">
            <w:pPr>
              <w:adjustRightInd w:val="0"/>
              <w:snapToGrid w:val="0"/>
              <w:spacing w:line="200" w:lineRule="exact"/>
              <w:ind w:left="30" w:leftChars="-33" w:hanging="99" w:hangingChars="55"/>
              <w:jc w:val="right"/>
              <w:rPr>
                <w:color w:val="auto"/>
                <w:sz w:val="18"/>
                <w:szCs w:val="18"/>
              </w:rPr>
            </w:pPr>
          </w:p>
          <w:p w14:paraId="0DF8471C">
            <w:pPr>
              <w:adjustRightInd w:val="0"/>
              <w:snapToGrid w:val="0"/>
              <w:spacing w:line="200" w:lineRule="exact"/>
              <w:ind w:left="30" w:leftChars="-33" w:hanging="99" w:hangingChars="55"/>
              <w:jc w:val="right"/>
              <w:rPr>
                <w:color w:val="auto"/>
                <w:sz w:val="18"/>
                <w:szCs w:val="18"/>
              </w:rPr>
            </w:pPr>
            <w:r>
              <w:rPr>
                <w:color w:val="auto"/>
                <w:sz w:val="18"/>
                <w:szCs w:val="18"/>
              </w:rPr>
              <w:t>0.2353</w:t>
            </w:r>
          </w:p>
          <w:p w14:paraId="7017CFDE">
            <w:pPr>
              <w:adjustRightInd w:val="0"/>
              <w:snapToGrid w:val="0"/>
              <w:spacing w:line="200" w:lineRule="exact"/>
              <w:ind w:left="30" w:leftChars="-33" w:hanging="99" w:hangingChars="55"/>
              <w:jc w:val="right"/>
              <w:rPr>
                <w:color w:val="auto"/>
                <w:sz w:val="18"/>
                <w:szCs w:val="18"/>
              </w:rPr>
            </w:pPr>
            <w:r>
              <w:rPr>
                <w:color w:val="auto"/>
                <w:sz w:val="18"/>
                <w:szCs w:val="18"/>
              </w:rPr>
              <w:t>0.2288</w:t>
            </w:r>
          </w:p>
          <w:p w14:paraId="61ED09E0">
            <w:pPr>
              <w:adjustRightInd w:val="0"/>
              <w:snapToGrid w:val="0"/>
              <w:spacing w:line="200" w:lineRule="exact"/>
              <w:ind w:left="30" w:leftChars="-33" w:hanging="99" w:hangingChars="55"/>
              <w:jc w:val="right"/>
              <w:rPr>
                <w:color w:val="auto"/>
                <w:sz w:val="18"/>
                <w:szCs w:val="18"/>
              </w:rPr>
            </w:pPr>
            <w:r>
              <w:rPr>
                <w:color w:val="auto"/>
                <w:sz w:val="18"/>
                <w:szCs w:val="18"/>
              </w:rPr>
              <w:t>0.2220</w:t>
            </w:r>
          </w:p>
          <w:p w14:paraId="27EE076D">
            <w:pPr>
              <w:adjustRightInd w:val="0"/>
              <w:snapToGrid w:val="0"/>
              <w:spacing w:line="200" w:lineRule="exact"/>
              <w:ind w:left="30" w:leftChars="-33" w:hanging="99" w:hangingChars="55"/>
              <w:jc w:val="right"/>
              <w:rPr>
                <w:color w:val="auto"/>
                <w:sz w:val="18"/>
                <w:szCs w:val="18"/>
              </w:rPr>
            </w:pPr>
            <w:r>
              <w:rPr>
                <w:color w:val="auto"/>
                <w:sz w:val="18"/>
                <w:szCs w:val="18"/>
              </w:rPr>
              <w:t>0.2150</w:t>
            </w:r>
          </w:p>
          <w:p w14:paraId="6D464897">
            <w:pPr>
              <w:adjustRightInd w:val="0"/>
              <w:snapToGrid w:val="0"/>
              <w:spacing w:line="200" w:lineRule="exact"/>
              <w:ind w:left="30" w:leftChars="-33" w:hanging="99" w:hangingChars="55"/>
              <w:jc w:val="right"/>
              <w:rPr>
                <w:color w:val="auto"/>
                <w:sz w:val="18"/>
                <w:szCs w:val="18"/>
              </w:rPr>
            </w:pPr>
            <w:r>
              <w:rPr>
                <w:color w:val="auto"/>
                <w:sz w:val="18"/>
                <w:szCs w:val="18"/>
              </w:rPr>
              <w:t>0.2082</w:t>
            </w:r>
          </w:p>
          <w:p w14:paraId="3FA2ECD2">
            <w:pPr>
              <w:adjustRightInd w:val="0"/>
              <w:snapToGrid w:val="0"/>
              <w:spacing w:line="200" w:lineRule="exact"/>
              <w:ind w:left="30" w:leftChars="-33" w:hanging="99" w:hangingChars="55"/>
              <w:jc w:val="right"/>
              <w:rPr>
                <w:color w:val="auto"/>
                <w:sz w:val="18"/>
                <w:szCs w:val="18"/>
              </w:rPr>
            </w:pPr>
          </w:p>
          <w:p w14:paraId="79279A36">
            <w:pPr>
              <w:adjustRightInd w:val="0"/>
              <w:snapToGrid w:val="0"/>
              <w:spacing w:line="200" w:lineRule="exact"/>
              <w:ind w:left="30" w:leftChars="-33" w:hanging="99" w:hangingChars="55"/>
              <w:jc w:val="right"/>
              <w:rPr>
                <w:color w:val="auto"/>
                <w:sz w:val="18"/>
                <w:szCs w:val="18"/>
              </w:rPr>
            </w:pPr>
            <w:r>
              <w:rPr>
                <w:color w:val="auto"/>
                <w:sz w:val="18"/>
                <w:szCs w:val="18"/>
              </w:rPr>
              <w:t>0.2015</w:t>
            </w:r>
          </w:p>
          <w:p w14:paraId="5BFACC8C">
            <w:pPr>
              <w:adjustRightInd w:val="0"/>
              <w:snapToGrid w:val="0"/>
              <w:spacing w:line="200" w:lineRule="exact"/>
              <w:ind w:left="30" w:leftChars="-33" w:hanging="99" w:hangingChars="55"/>
              <w:jc w:val="right"/>
              <w:rPr>
                <w:color w:val="auto"/>
                <w:sz w:val="18"/>
                <w:szCs w:val="18"/>
              </w:rPr>
            </w:pPr>
            <w:r>
              <w:rPr>
                <w:color w:val="auto"/>
                <w:sz w:val="18"/>
                <w:szCs w:val="18"/>
              </w:rPr>
              <w:t>0.1952</w:t>
            </w:r>
          </w:p>
          <w:p w14:paraId="25591B64">
            <w:pPr>
              <w:adjustRightInd w:val="0"/>
              <w:snapToGrid w:val="0"/>
              <w:spacing w:line="200" w:lineRule="exact"/>
              <w:ind w:left="30" w:leftChars="-33" w:hanging="99" w:hangingChars="55"/>
              <w:jc w:val="right"/>
              <w:rPr>
                <w:color w:val="auto"/>
                <w:sz w:val="18"/>
                <w:szCs w:val="18"/>
              </w:rPr>
            </w:pPr>
            <w:r>
              <w:rPr>
                <w:color w:val="auto"/>
                <w:sz w:val="18"/>
                <w:szCs w:val="18"/>
              </w:rPr>
              <w:t>0.1890</w:t>
            </w:r>
          </w:p>
          <w:p w14:paraId="705F0673">
            <w:pPr>
              <w:adjustRightInd w:val="0"/>
              <w:snapToGrid w:val="0"/>
              <w:spacing w:line="200" w:lineRule="exact"/>
              <w:ind w:left="30" w:leftChars="-33" w:hanging="99" w:hangingChars="55"/>
              <w:jc w:val="right"/>
              <w:rPr>
                <w:color w:val="auto"/>
                <w:sz w:val="18"/>
                <w:szCs w:val="18"/>
              </w:rPr>
            </w:pPr>
            <w:r>
              <w:rPr>
                <w:color w:val="auto"/>
                <w:sz w:val="18"/>
                <w:szCs w:val="18"/>
              </w:rPr>
              <w:t>0.1832</w:t>
            </w:r>
          </w:p>
          <w:p w14:paraId="4483B475">
            <w:pPr>
              <w:adjustRightInd w:val="0"/>
              <w:snapToGrid w:val="0"/>
              <w:spacing w:line="200" w:lineRule="exact"/>
              <w:ind w:left="30" w:leftChars="-33" w:hanging="99" w:hangingChars="55"/>
              <w:jc w:val="right"/>
              <w:rPr>
                <w:color w:val="auto"/>
                <w:sz w:val="18"/>
                <w:szCs w:val="18"/>
              </w:rPr>
            </w:pPr>
            <w:r>
              <w:rPr>
                <w:color w:val="auto"/>
                <w:sz w:val="18"/>
                <w:szCs w:val="18"/>
              </w:rPr>
              <w:t>0.1777</w:t>
            </w:r>
          </w:p>
          <w:p w14:paraId="44113FFA">
            <w:pPr>
              <w:adjustRightInd w:val="0"/>
              <w:snapToGrid w:val="0"/>
              <w:spacing w:line="200" w:lineRule="exact"/>
              <w:ind w:left="30" w:leftChars="-33" w:hanging="99" w:hangingChars="55"/>
              <w:jc w:val="right"/>
              <w:rPr>
                <w:color w:val="auto"/>
                <w:sz w:val="18"/>
                <w:szCs w:val="18"/>
              </w:rPr>
            </w:pPr>
          </w:p>
          <w:p w14:paraId="25F20B05">
            <w:pPr>
              <w:adjustRightInd w:val="0"/>
              <w:snapToGrid w:val="0"/>
              <w:spacing w:line="200" w:lineRule="exact"/>
              <w:ind w:left="30" w:leftChars="-33" w:hanging="99" w:hangingChars="55"/>
              <w:jc w:val="right"/>
              <w:rPr>
                <w:color w:val="auto"/>
                <w:sz w:val="18"/>
                <w:szCs w:val="18"/>
              </w:rPr>
            </w:pPr>
            <w:r>
              <w:rPr>
                <w:color w:val="auto"/>
                <w:sz w:val="18"/>
                <w:szCs w:val="18"/>
              </w:rPr>
              <w:t>0.1725</w:t>
            </w:r>
          </w:p>
          <w:p w14:paraId="0449CA05">
            <w:pPr>
              <w:adjustRightInd w:val="0"/>
              <w:snapToGrid w:val="0"/>
              <w:spacing w:line="200" w:lineRule="exact"/>
              <w:ind w:left="30" w:leftChars="-33" w:hanging="99" w:hangingChars="55"/>
              <w:jc w:val="right"/>
              <w:rPr>
                <w:color w:val="auto"/>
                <w:sz w:val="18"/>
                <w:szCs w:val="18"/>
              </w:rPr>
            </w:pPr>
            <w:r>
              <w:rPr>
                <w:color w:val="auto"/>
                <w:sz w:val="18"/>
                <w:szCs w:val="18"/>
              </w:rPr>
              <w:t>0.1675</w:t>
            </w:r>
          </w:p>
          <w:p w14:paraId="25FD28FE">
            <w:pPr>
              <w:adjustRightInd w:val="0"/>
              <w:snapToGrid w:val="0"/>
              <w:spacing w:line="200" w:lineRule="exact"/>
              <w:ind w:left="30" w:leftChars="-33" w:hanging="99" w:hangingChars="55"/>
              <w:jc w:val="right"/>
              <w:rPr>
                <w:color w:val="auto"/>
                <w:sz w:val="18"/>
                <w:szCs w:val="18"/>
              </w:rPr>
            </w:pPr>
            <w:r>
              <w:rPr>
                <w:color w:val="auto"/>
                <w:sz w:val="18"/>
                <w:szCs w:val="18"/>
              </w:rPr>
              <w:t>0.1628</w:t>
            </w:r>
          </w:p>
          <w:p w14:paraId="52142084">
            <w:pPr>
              <w:adjustRightInd w:val="0"/>
              <w:snapToGrid w:val="0"/>
              <w:spacing w:line="200" w:lineRule="exact"/>
              <w:ind w:left="30" w:leftChars="-33" w:hanging="99" w:hangingChars="55"/>
              <w:jc w:val="right"/>
              <w:rPr>
                <w:color w:val="auto"/>
                <w:sz w:val="18"/>
                <w:szCs w:val="18"/>
              </w:rPr>
            </w:pPr>
            <w:r>
              <w:rPr>
                <w:color w:val="auto"/>
                <w:sz w:val="18"/>
                <w:szCs w:val="18"/>
              </w:rPr>
              <w:t>0.1583</w:t>
            </w:r>
          </w:p>
          <w:p w14:paraId="58064EAF">
            <w:pPr>
              <w:adjustRightInd w:val="0"/>
              <w:snapToGrid w:val="0"/>
              <w:spacing w:line="200" w:lineRule="exact"/>
              <w:ind w:left="30" w:leftChars="-33" w:hanging="99" w:hangingChars="55"/>
              <w:jc w:val="right"/>
              <w:rPr>
                <w:color w:val="auto"/>
                <w:sz w:val="18"/>
                <w:szCs w:val="18"/>
              </w:rPr>
            </w:pPr>
            <w:r>
              <w:rPr>
                <w:color w:val="auto"/>
                <w:sz w:val="18"/>
                <w:szCs w:val="18"/>
              </w:rPr>
              <w:t>0.1541</w:t>
            </w:r>
          </w:p>
        </w:tc>
        <w:tc>
          <w:tcPr>
            <w:tcW w:w="708" w:type="dxa"/>
            <w:tcBorders>
              <w:top w:val="single" w:color="auto" w:sz="6" w:space="0"/>
              <w:bottom w:val="nil"/>
            </w:tcBorders>
          </w:tcPr>
          <w:p w14:paraId="212527E9">
            <w:pPr>
              <w:adjustRightInd w:val="0"/>
              <w:snapToGrid w:val="0"/>
              <w:spacing w:line="200" w:lineRule="exact"/>
              <w:ind w:left="30" w:leftChars="-33" w:hanging="99" w:hangingChars="55"/>
              <w:jc w:val="right"/>
              <w:rPr>
                <w:color w:val="auto"/>
                <w:sz w:val="18"/>
                <w:szCs w:val="18"/>
              </w:rPr>
            </w:pPr>
            <w:r>
              <w:rPr>
                <w:color w:val="auto"/>
                <w:sz w:val="18"/>
                <w:szCs w:val="18"/>
              </w:rPr>
              <w:t>0.2500</w:t>
            </w:r>
          </w:p>
          <w:p w14:paraId="14FD1060">
            <w:pPr>
              <w:adjustRightInd w:val="0"/>
              <w:snapToGrid w:val="0"/>
              <w:spacing w:line="200" w:lineRule="exact"/>
              <w:ind w:left="30" w:leftChars="-33" w:hanging="99" w:hangingChars="55"/>
              <w:jc w:val="right"/>
              <w:rPr>
                <w:color w:val="auto"/>
                <w:sz w:val="18"/>
                <w:szCs w:val="18"/>
              </w:rPr>
            </w:pPr>
            <w:r>
              <w:rPr>
                <w:color w:val="auto"/>
                <w:sz w:val="18"/>
                <w:szCs w:val="18"/>
              </w:rPr>
              <w:t>0.2498</w:t>
            </w:r>
          </w:p>
          <w:p w14:paraId="768CD43C">
            <w:pPr>
              <w:adjustRightInd w:val="0"/>
              <w:snapToGrid w:val="0"/>
              <w:spacing w:line="200" w:lineRule="exact"/>
              <w:ind w:left="30" w:leftChars="-33" w:hanging="99" w:hangingChars="55"/>
              <w:jc w:val="right"/>
              <w:rPr>
                <w:color w:val="auto"/>
                <w:sz w:val="18"/>
                <w:szCs w:val="18"/>
              </w:rPr>
            </w:pPr>
            <w:r>
              <w:rPr>
                <w:color w:val="auto"/>
                <w:sz w:val="18"/>
                <w:szCs w:val="18"/>
              </w:rPr>
              <w:t>0.2485</w:t>
            </w:r>
          </w:p>
          <w:p w14:paraId="283F3C6C">
            <w:pPr>
              <w:adjustRightInd w:val="0"/>
              <w:snapToGrid w:val="0"/>
              <w:spacing w:line="200" w:lineRule="exact"/>
              <w:ind w:left="30" w:leftChars="-33" w:hanging="99" w:hangingChars="55"/>
              <w:jc w:val="right"/>
              <w:rPr>
                <w:color w:val="auto"/>
                <w:sz w:val="18"/>
                <w:szCs w:val="18"/>
              </w:rPr>
            </w:pPr>
            <w:r>
              <w:rPr>
                <w:color w:val="auto"/>
                <w:sz w:val="18"/>
                <w:szCs w:val="18"/>
              </w:rPr>
              <w:t>0.2456</w:t>
            </w:r>
          </w:p>
          <w:p w14:paraId="56C919E7">
            <w:pPr>
              <w:adjustRightInd w:val="0"/>
              <w:snapToGrid w:val="0"/>
              <w:spacing w:line="200" w:lineRule="exact"/>
              <w:ind w:left="30" w:leftChars="-33" w:hanging="99" w:hangingChars="55"/>
              <w:jc w:val="right"/>
              <w:rPr>
                <w:color w:val="auto"/>
                <w:sz w:val="18"/>
                <w:szCs w:val="18"/>
              </w:rPr>
            </w:pPr>
            <w:r>
              <w:rPr>
                <w:color w:val="auto"/>
                <w:sz w:val="18"/>
                <w:szCs w:val="18"/>
              </w:rPr>
              <w:t>0.2410</w:t>
            </w:r>
          </w:p>
          <w:p w14:paraId="523ACC62">
            <w:pPr>
              <w:adjustRightInd w:val="0"/>
              <w:snapToGrid w:val="0"/>
              <w:spacing w:line="200" w:lineRule="exact"/>
              <w:ind w:left="30" w:leftChars="-33" w:hanging="99" w:hangingChars="55"/>
              <w:jc w:val="right"/>
              <w:rPr>
                <w:color w:val="auto"/>
                <w:sz w:val="18"/>
                <w:szCs w:val="18"/>
              </w:rPr>
            </w:pPr>
          </w:p>
          <w:p w14:paraId="78B283FC">
            <w:pPr>
              <w:adjustRightInd w:val="0"/>
              <w:snapToGrid w:val="0"/>
              <w:spacing w:line="200" w:lineRule="exact"/>
              <w:ind w:left="30" w:leftChars="-33" w:hanging="99" w:hangingChars="55"/>
              <w:jc w:val="right"/>
              <w:rPr>
                <w:color w:val="auto"/>
                <w:sz w:val="18"/>
                <w:szCs w:val="18"/>
              </w:rPr>
            </w:pPr>
            <w:r>
              <w:rPr>
                <w:color w:val="auto"/>
                <w:sz w:val="18"/>
                <w:szCs w:val="18"/>
              </w:rPr>
              <w:t>0.2353</w:t>
            </w:r>
          </w:p>
          <w:p w14:paraId="6F51CFC4">
            <w:pPr>
              <w:adjustRightInd w:val="0"/>
              <w:snapToGrid w:val="0"/>
              <w:spacing w:line="200" w:lineRule="exact"/>
              <w:ind w:left="30" w:leftChars="-33" w:hanging="99" w:hangingChars="55"/>
              <w:jc w:val="right"/>
              <w:rPr>
                <w:color w:val="auto"/>
                <w:sz w:val="18"/>
                <w:szCs w:val="18"/>
              </w:rPr>
            </w:pPr>
            <w:r>
              <w:rPr>
                <w:color w:val="auto"/>
                <w:sz w:val="18"/>
                <w:szCs w:val="18"/>
              </w:rPr>
              <w:t>0.2289</w:t>
            </w:r>
          </w:p>
          <w:p w14:paraId="55E04865">
            <w:pPr>
              <w:adjustRightInd w:val="0"/>
              <w:snapToGrid w:val="0"/>
              <w:spacing w:line="200" w:lineRule="exact"/>
              <w:ind w:left="30" w:leftChars="-33" w:hanging="99" w:hangingChars="55"/>
              <w:jc w:val="right"/>
              <w:rPr>
                <w:color w:val="auto"/>
                <w:sz w:val="18"/>
                <w:szCs w:val="18"/>
              </w:rPr>
            </w:pPr>
            <w:r>
              <w:rPr>
                <w:color w:val="auto"/>
                <w:sz w:val="18"/>
                <w:szCs w:val="18"/>
              </w:rPr>
              <w:t>0.2221</w:t>
            </w:r>
          </w:p>
          <w:p w14:paraId="24675BCD">
            <w:pPr>
              <w:adjustRightInd w:val="0"/>
              <w:snapToGrid w:val="0"/>
              <w:spacing w:line="200" w:lineRule="exact"/>
              <w:ind w:left="30" w:leftChars="-33" w:hanging="99" w:hangingChars="55"/>
              <w:jc w:val="right"/>
              <w:rPr>
                <w:color w:val="auto"/>
                <w:sz w:val="18"/>
                <w:szCs w:val="18"/>
              </w:rPr>
            </w:pPr>
            <w:r>
              <w:rPr>
                <w:color w:val="auto"/>
                <w:sz w:val="18"/>
                <w:szCs w:val="18"/>
              </w:rPr>
              <w:t>0.2152</w:t>
            </w:r>
          </w:p>
          <w:p w14:paraId="159E1158">
            <w:pPr>
              <w:adjustRightInd w:val="0"/>
              <w:snapToGrid w:val="0"/>
              <w:spacing w:line="200" w:lineRule="exact"/>
              <w:ind w:left="30" w:leftChars="-33" w:hanging="99" w:hangingChars="55"/>
              <w:jc w:val="right"/>
              <w:rPr>
                <w:color w:val="auto"/>
                <w:sz w:val="18"/>
                <w:szCs w:val="18"/>
              </w:rPr>
            </w:pPr>
            <w:r>
              <w:rPr>
                <w:color w:val="auto"/>
                <w:sz w:val="18"/>
                <w:szCs w:val="18"/>
              </w:rPr>
              <w:t>0.2084</w:t>
            </w:r>
          </w:p>
          <w:p w14:paraId="73317894">
            <w:pPr>
              <w:adjustRightInd w:val="0"/>
              <w:snapToGrid w:val="0"/>
              <w:spacing w:line="200" w:lineRule="exact"/>
              <w:ind w:left="30" w:leftChars="-33" w:hanging="99" w:hangingChars="55"/>
              <w:jc w:val="right"/>
              <w:rPr>
                <w:color w:val="auto"/>
                <w:sz w:val="18"/>
                <w:szCs w:val="18"/>
              </w:rPr>
            </w:pPr>
          </w:p>
          <w:p w14:paraId="25627B13">
            <w:pPr>
              <w:adjustRightInd w:val="0"/>
              <w:snapToGrid w:val="0"/>
              <w:spacing w:line="200" w:lineRule="exact"/>
              <w:ind w:left="30" w:leftChars="-33" w:hanging="99" w:hangingChars="55"/>
              <w:jc w:val="right"/>
              <w:rPr>
                <w:color w:val="auto"/>
                <w:sz w:val="18"/>
                <w:szCs w:val="18"/>
              </w:rPr>
            </w:pPr>
            <w:r>
              <w:rPr>
                <w:color w:val="auto"/>
                <w:sz w:val="18"/>
                <w:szCs w:val="18"/>
              </w:rPr>
              <w:t>0.2018</w:t>
            </w:r>
          </w:p>
          <w:p w14:paraId="3F20415A">
            <w:pPr>
              <w:adjustRightInd w:val="0"/>
              <w:snapToGrid w:val="0"/>
              <w:spacing w:line="200" w:lineRule="exact"/>
              <w:ind w:left="30" w:leftChars="-33" w:hanging="99" w:hangingChars="55"/>
              <w:jc w:val="right"/>
              <w:rPr>
                <w:color w:val="auto"/>
                <w:sz w:val="18"/>
                <w:szCs w:val="18"/>
              </w:rPr>
            </w:pPr>
            <w:r>
              <w:rPr>
                <w:color w:val="auto"/>
                <w:sz w:val="18"/>
                <w:szCs w:val="18"/>
              </w:rPr>
              <w:t>0.1955</w:t>
            </w:r>
          </w:p>
          <w:p w14:paraId="1F763585">
            <w:pPr>
              <w:adjustRightInd w:val="0"/>
              <w:snapToGrid w:val="0"/>
              <w:spacing w:line="200" w:lineRule="exact"/>
              <w:ind w:left="30" w:leftChars="-33" w:hanging="99" w:hangingChars="55"/>
              <w:jc w:val="right"/>
              <w:rPr>
                <w:color w:val="auto"/>
                <w:sz w:val="18"/>
                <w:szCs w:val="18"/>
              </w:rPr>
            </w:pPr>
            <w:r>
              <w:rPr>
                <w:color w:val="auto"/>
                <w:sz w:val="18"/>
                <w:szCs w:val="18"/>
              </w:rPr>
              <w:t>0.1895</w:t>
            </w:r>
          </w:p>
          <w:p w14:paraId="1E5D9C18">
            <w:pPr>
              <w:adjustRightInd w:val="0"/>
              <w:snapToGrid w:val="0"/>
              <w:spacing w:line="200" w:lineRule="exact"/>
              <w:ind w:left="30" w:leftChars="-33" w:hanging="99" w:hangingChars="55"/>
              <w:jc w:val="right"/>
              <w:rPr>
                <w:color w:val="auto"/>
                <w:sz w:val="18"/>
                <w:szCs w:val="18"/>
              </w:rPr>
            </w:pPr>
            <w:r>
              <w:rPr>
                <w:color w:val="auto"/>
                <w:sz w:val="18"/>
                <w:szCs w:val="18"/>
              </w:rPr>
              <w:t>0.1838</w:t>
            </w:r>
          </w:p>
          <w:p w14:paraId="32B051E0">
            <w:pPr>
              <w:adjustRightInd w:val="0"/>
              <w:snapToGrid w:val="0"/>
              <w:spacing w:line="200" w:lineRule="exact"/>
              <w:ind w:left="30" w:leftChars="-33" w:hanging="99" w:hangingChars="55"/>
              <w:jc w:val="right"/>
              <w:rPr>
                <w:color w:val="auto"/>
                <w:sz w:val="18"/>
                <w:szCs w:val="18"/>
              </w:rPr>
            </w:pPr>
            <w:r>
              <w:rPr>
                <w:color w:val="auto"/>
                <w:sz w:val="18"/>
                <w:szCs w:val="18"/>
              </w:rPr>
              <w:t>0.1784</w:t>
            </w:r>
          </w:p>
          <w:p w14:paraId="024ACA21">
            <w:pPr>
              <w:adjustRightInd w:val="0"/>
              <w:snapToGrid w:val="0"/>
              <w:spacing w:line="200" w:lineRule="exact"/>
              <w:ind w:left="30" w:leftChars="-33" w:hanging="99" w:hangingChars="55"/>
              <w:jc w:val="right"/>
              <w:rPr>
                <w:color w:val="auto"/>
                <w:sz w:val="18"/>
                <w:szCs w:val="18"/>
              </w:rPr>
            </w:pPr>
          </w:p>
          <w:p w14:paraId="35DFD899">
            <w:pPr>
              <w:adjustRightInd w:val="0"/>
              <w:snapToGrid w:val="0"/>
              <w:spacing w:line="200" w:lineRule="exact"/>
              <w:ind w:left="30" w:leftChars="-33" w:hanging="99" w:hangingChars="55"/>
              <w:jc w:val="right"/>
              <w:rPr>
                <w:color w:val="auto"/>
                <w:sz w:val="18"/>
                <w:szCs w:val="18"/>
              </w:rPr>
            </w:pPr>
            <w:r>
              <w:rPr>
                <w:color w:val="auto"/>
                <w:sz w:val="18"/>
                <w:szCs w:val="18"/>
              </w:rPr>
              <w:t>0.1733</w:t>
            </w:r>
          </w:p>
          <w:p w14:paraId="148D21FC">
            <w:pPr>
              <w:adjustRightInd w:val="0"/>
              <w:snapToGrid w:val="0"/>
              <w:spacing w:line="200" w:lineRule="exact"/>
              <w:ind w:left="30" w:leftChars="-33" w:hanging="99" w:hangingChars="55"/>
              <w:jc w:val="right"/>
              <w:rPr>
                <w:color w:val="auto"/>
                <w:sz w:val="18"/>
                <w:szCs w:val="18"/>
              </w:rPr>
            </w:pPr>
            <w:r>
              <w:rPr>
                <w:color w:val="auto"/>
                <w:sz w:val="18"/>
                <w:szCs w:val="18"/>
              </w:rPr>
              <w:t>0.1685</w:t>
            </w:r>
          </w:p>
          <w:p w14:paraId="6019A95B">
            <w:pPr>
              <w:adjustRightInd w:val="0"/>
              <w:snapToGrid w:val="0"/>
              <w:spacing w:line="200" w:lineRule="exact"/>
              <w:ind w:left="30" w:leftChars="-33" w:hanging="99" w:hangingChars="55"/>
              <w:jc w:val="right"/>
              <w:rPr>
                <w:color w:val="auto"/>
                <w:sz w:val="18"/>
                <w:szCs w:val="18"/>
              </w:rPr>
            </w:pPr>
            <w:r>
              <w:rPr>
                <w:color w:val="auto"/>
                <w:sz w:val="18"/>
                <w:szCs w:val="18"/>
              </w:rPr>
              <w:t>0.1639</w:t>
            </w:r>
          </w:p>
          <w:p w14:paraId="574465FF">
            <w:pPr>
              <w:adjustRightInd w:val="0"/>
              <w:snapToGrid w:val="0"/>
              <w:spacing w:line="200" w:lineRule="exact"/>
              <w:ind w:left="30" w:leftChars="-33" w:hanging="99" w:hangingChars="55"/>
              <w:jc w:val="right"/>
              <w:rPr>
                <w:color w:val="auto"/>
                <w:sz w:val="18"/>
                <w:szCs w:val="18"/>
              </w:rPr>
            </w:pPr>
            <w:r>
              <w:rPr>
                <w:color w:val="auto"/>
                <w:sz w:val="18"/>
                <w:szCs w:val="18"/>
              </w:rPr>
              <w:t>0.1595</w:t>
            </w:r>
          </w:p>
          <w:p w14:paraId="14D0F263">
            <w:pPr>
              <w:adjustRightInd w:val="0"/>
              <w:snapToGrid w:val="0"/>
              <w:spacing w:line="200" w:lineRule="exact"/>
              <w:ind w:left="30" w:leftChars="-33" w:hanging="99" w:hangingChars="55"/>
              <w:jc w:val="right"/>
              <w:rPr>
                <w:color w:val="auto"/>
                <w:sz w:val="18"/>
                <w:szCs w:val="18"/>
              </w:rPr>
            </w:pPr>
            <w:r>
              <w:rPr>
                <w:color w:val="auto"/>
                <w:sz w:val="18"/>
                <w:szCs w:val="18"/>
              </w:rPr>
              <w:t>0.1554</w:t>
            </w:r>
          </w:p>
        </w:tc>
      </w:tr>
      <w:tr w14:paraId="37269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8" w:hRule="atLeast"/>
          <w:jc w:val="center"/>
        </w:trPr>
        <w:tc>
          <w:tcPr>
            <w:tcW w:w="473" w:type="dxa"/>
            <w:tcBorders>
              <w:top w:val="nil"/>
              <w:bottom w:val="nil"/>
            </w:tcBorders>
          </w:tcPr>
          <w:p w14:paraId="2DF81C89">
            <w:pPr>
              <w:adjustRightInd w:val="0"/>
              <w:snapToGrid w:val="0"/>
              <w:spacing w:line="200" w:lineRule="exact"/>
              <w:jc w:val="center"/>
              <w:rPr>
                <w:color w:val="auto"/>
                <w:sz w:val="18"/>
                <w:szCs w:val="18"/>
              </w:rPr>
            </w:pPr>
          </w:p>
          <w:p w14:paraId="44382203">
            <w:pPr>
              <w:adjustRightInd w:val="0"/>
              <w:snapToGrid w:val="0"/>
              <w:spacing w:line="200" w:lineRule="exact"/>
              <w:jc w:val="center"/>
              <w:rPr>
                <w:color w:val="auto"/>
                <w:sz w:val="18"/>
                <w:szCs w:val="18"/>
              </w:rPr>
            </w:pPr>
            <w:r>
              <w:rPr>
                <w:color w:val="auto"/>
                <w:sz w:val="18"/>
                <w:szCs w:val="18"/>
              </w:rPr>
              <w:t>4.0</w:t>
            </w:r>
          </w:p>
          <w:p w14:paraId="73E789F0">
            <w:pPr>
              <w:adjustRightInd w:val="0"/>
              <w:snapToGrid w:val="0"/>
              <w:spacing w:line="200" w:lineRule="exact"/>
              <w:jc w:val="center"/>
              <w:rPr>
                <w:color w:val="auto"/>
                <w:sz w:val="18"/>
                <w:szCs w:val="18"/>
              </w:rPr>
            </w:pPr>
            <w:r>
              <w:rPr>
                <w:color w:val="auto"/>
                <w:sz w:val="18"/>
                <w:szCs w:val="18"/>
              </w:rPr>
              <w:t>4.2</w:t>
            </w:r>
          </w:p>
          <w:p w14:paraId="40E24169">
            <w:pPr>
              <w:adjustRightInd w:val="0"/>
              <w:snapToGrid w:val="0"/>
              <w:spacing w:line="200" w:lineRule="exact"/>
              <w:jc w:val="center"/>
              <w:rPr>
                <w:color w:val="auto"/>
                <w:sz w:val="18"/>
                <w:szCs w:val="18"/>
              </w:rPr>
            </w:pPr>
            <w:r>
              <w:rPr>
                <w:color w:val="auto"/>
                <w:sz w:val="18"/>
                <w:szCs w:val="18"/>
              </w:rPr>
              <w:t>4.4</w:t>
            </w:r>
          </w:p>
          <w:p w14:paraId="16414451">
            <w:pPr>
              <w:adjustRightInd w:val="0"/>
              <w:snapToGrid w:val="0"/>
              <w:spacing w:line="200" w:lineRule="exact"/>
              <w:jc w:val="center"/>
              <w:rPr>
                <w:color w:val="auto"/>
                <w:sz w:val="18"/>
                <w:szCs w:val="18"/>
              </w:rPr>
            </w:pPr>
            <w:r>
              <w:rPr>
                <w:color w:val="auto"/>
                <w:sz w:val="18"/>
                <w:szCs w:val="18"/>
              </w:rPr>
              <w:t>4.6</w:t>
            </w:r>
          </w:p>
          <w:p w14:paraId="57D93F86">
            <w:pPr>
              <w:adjustRightInd w:val="0"/>
              <w:snapToGrid w:val="0"/>
              <w:spacing w:line="200" w:lineRule="exact"/>
              <w:jc w:val="center"/>
              <w:rPr>
                <w:color w:val="auto"/>
                <w:sz w:val="18"/>
                <w:szCs w:val="18"/>
              </w:rPr>
            </w:pPr>
            <w:r>
              <w:rPr>
                <w:color w:val="auto"/>
                <w:sz w:val="18"/>
                <w:szCs w:val="18"/>
              </w:rPr>
              <w:t>4.8</w:t>
            </w:r>
          </w:p>
          <w:p w14:paraId="791C404C">
            <w:pPr>
              <w:adjustRightInd w:val="0"/>
              <w:snapToGrid w:val="0"/>
              <w:spacing w:line="200" w:lineRule="exact"/>
              <w:jc w:val="center"/>
              <w:rPr>
                <w:color w:val="auto"/>
                <w:sz w:val="18"/>
                <w:szCs w:val="18"/>
              </w:rPr>
            </w:pPr>
          </w:p>
          <w:p w14:paraId="32DDB46E">
            <w:pPr>
              <w:adjustRightInd w:val="0"/>
              <w:snapToGrid w:val="0"/>
              <w:spacing w:line="200" w:lineRule="exact"/>
              <w:jc w:val="center"/>
              <w:rPr>
                <w:color w:val="auto"/>
                <w:sz w:val="18"/>
                <w:szCs w:val="18"/>
              </w:rPr>
            </w:pPr>
            <w:r>
              <w:rPr>
                <w:color w:val="auto"/>
                <w:sz w:val="18"/>
                <w:szCs w:val="18"/>
              </w:rPr>
              <w:t>5.0</w:t>
            </w:r>
          </w:p>
          <w:p w14:paraId="1B23DA83">
            <w:pPr>
              <w:adjustRightInd w:val="0"/>
              <w:snapToGrid w:val="0"/>
              <w:spacing w:line="200" w:lineRule="exact"/>
              <w:jc w:val="center"/>
              <w:rPr>
                <w:color w:val="auto"/>
                <w:sz w:val="18"/>
                <w:szCs w:val="18"/>
              </w:rPr>
            </w:pPr>
            <w:r>
              <w:rPr>
                <w:color w:val="auto"/>
                <w:sz w:val="18"/>
                <w:szCs w:val="18"/>
              </w:rPr>
              <w:t>5.2</w:t>
            </w:r>
          </w:p>
          <w:p w14:paraId="63C3E336">
            <w:pPr>
              <w:adjustRightInd w:val="0"/>
              <w:snapToGrid w:val="0"/>
              <w:spacing w:line="200" w:lineRule="exact"/>
              <w:jc w:val="center"/>
              <w:rPr>
                <w:color w:val="auto"/>
                <w:sz w:val="18"/>
                <w:szCs w:val="18"/>
              </w:rPr>
            </w:pPr>
            <w:r>
              <w:rPr>
                <w:color w:val="auto"/>
                <w:sz w:val="18"/>
                <w:szCs w:val="18"/>
              </w:rPr>
              <w:t>5.4</w:t>
            </w:r>
          </w:p>
          <w:p w14:paraId="254A1EB3">
            <w:pPr>
              <w:adjustRightInd w:val="0"/>
              <w:snapToGrid w:val="0"/>
              <w:spacing w:line="200" w:lineRule="exact"/>
              <w:jc w:val="center"/>
              <w:rPr>
                <w:color w:val="auto"/>
                <w:sz w:val="18"/>
                <w:szCs w:val="18"/>
              </w:rPr>
            </w:pPr>
            <w:r>
              <w:rPr>
                <w:color w:val="auto"/>
                <w:sz w:val="18"/>
                <w:szCs w:val="18"/>
              </w:rPr>
              <w:t>5.6</w:t>
            </w:r>
          </w:p>
          <w:p w14:paraId="6BF4FB73">
            <w:pPr>
              <w:adjustRightInd w:val="0"/>
              <w:snapToGrid w:val="0"/>
              <w:spacing w:line="200" w:lineRule="exact"/>
              <w:jc w:val="center"/>
              <w:rPr>
                <w:color w:val="auto"/>
                <w:sz w:val="18"/>
                <w:szCs w:val="18"/>
              </w:rPr>
            </w:pPr>
            <w:r>
              <w:rPr>
                <w:color w:val="auto"/>
                <w:sz w:val="18"/>
                <w:szCs w:val="18"/>
              </w:rPr>
              <w:t>5.8</w:t>
            </w:r>
          </w:p>
        </w:tc>
        <w:tc>
          <w:tcPr>
            <w:tcW w:w="648" w:type="dxa"/>
            <w:tcBorders>
              <w:top w:val="nil"/>
              <w:bottom w:val="nil"/>
            </w:tcBorders>
          </w:tcPr>
          <w:p w14:paraId="2903E5F2">
            <w:pPr>
              <w:adjustRightInd w:val="0"/>
              <w:snapToGrid w:val="0"/>
              <w:spacing w:line="200" w:lineRule="exact"/>
              <w:ind w:left="30" w:leftChars="-33" w:right="-48" w:rightChars="-23" w:hanging="99" w:hangingChars="55"/>
              <w:jc w:val="center"/>
              <w:rPr>
                <w:color w:val="auto"/>
                <w:sz w:val="18"/>
                <w:szCs w:val="18"/>
              </w:rPr>
            </w:pPr>
          </w:p>
          <w:p w14:paraId="3712DD5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0.1114</w:t>
            </w:r>
          </w:p>
          <w:p w14:paraId="53C839D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0.1073</w:t>
            </w:r>
          </w:p>
          <w:p w14:paraId="45AC1AD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0.1035</w:t>
            </w:r>
          </w:p>
          <w:p w14:paraId="760DE12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0.1000</w:t>
            </w:r>
          </w:p>
          <w:p w14:paraId="68AC5EC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0.0967</w:t>
            </w:r>
          </w:p>
          <w:p w14:paraId="51849D7F">
            <w:pPr>
              <w:adjustRightInd w:val="0"/>
              <w:snapToGrid w:val="0"/>
              <w:spacing w:line="200" w:lineRule="exact"/>
              <w:ind w:left="30" w:leftChars="-33" w:right="-48" w:rightChars="-23" w:hanging="99" w:hangingChars="55"/>
              <w:jc w:val="center"/>
              <w:rPr>
                <w:color w:val="auto"/>
                <w:sz w:val="18"/>
                <w:szCs w:val="18"/>
              </w:rPr>
            </w:pPr>
          </w:p>
          <w:p w14:paraId="559482C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0.0935</w:t>
            </w:r>
          </w:p>
          <w:p w14:paraId="052521A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0.0906</w:t>
            </w:r>
          </w:p>
          <w:p w14:paraId="1F0ED2A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0.0878</w:t>
            </w:r>
          </w:p>
          <w:p w14:paraId="17BA6B3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0.0852</w:t>
            </w:r>
          </w:p>
          <w:p w14:paraId="02E06E1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0.0828</w:t>
            </w:r>
          </w:p>
        </w:tc>
        <w:tc>
          <w:tcPr>
            <w:tcW w:w="686" w:type="dxa"/>
            <w:tcBorders>
              <w:top w:val="nil"/>
              <w:bottom w:val="nil"/>
            </w:tcBorders>
          </w:tcPr>
          <w:p w14:paraId="3CF9E14F">
            <w:pPr>
              <w:adjustRightInd w:val="0"/>
              <w:snapToGrid w:val="0"/>
              <w:spacing w:line="200" w:lineRule="exact"/>
              <w:ind w:left="30" w:leftChars="-33" w:right="-48" w:rightChars="-23" w:hanging="99" w:hangingChars="55"/>
              <w:jc w:val="center"/>
              <w:rPr>
                <w:color w:val="auto"/>
                <w:sz w:val="18"/>
                <w:szCs w:val="18"/>
              </w:rPr>
            </w:pPr>
          </w:p>
          <w:p w14:paraId="298065A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0.1189</w:t>
            </w:r>
          </w:p>
          <w:p w14:paraId="146B88E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0.1147</w:t>
            </w:r>
          </w:p>
          <w:p w14:paraId="0C868CD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0.1107</w:t>
            </w:r>
          </w:p>
          <w:p w14:paraId="6C7981D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0.1070</w:t>
            </w:r>
          </w:p>
          <w:p w14:paraId="286A9C2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0.1036</w:t>
            </w:r>
          </w:p>
          <w:p w14:paraId="16B26061">
            <w:pPr>
              <w:adjustRightInd w:val="0"/>
              <w:snapToGrid w:val="0"/>
              <w:spacing w:line="200" w:lineRule="exact"/>
              <w:ind w:left="30" w:leftChars="-33" w:right="-48" w:rightChars="-23" w:hanging="99" w:hangingChars="55"/>
              <w:jc w:val="center"/>
              <w:rPr>
                <w:color w:val="auto"/>
                <w:sz w:val="18"/>
                <w:szCs w:val="18"/>
              </w:rPr>
            </w:pPr>
          </w:p>
          <w:p w14:paraId="0DD12CC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0.1003</w:t>
            </w:r>
          </w:p>
          <w:p w14:paraId="4952A21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0.0972</w:t>
            </w:r>
          </w:p>
          <w:p w14:paraId="1EB28B8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0.0943</w:t>
            </w:r>
          </w:p>
          <w:p w14:paraId="4CD48C0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0.0916</w:t>
            </w:r>
          </w:p>
          <w:p w14:paraId="5669F2C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0.0890</w:t>
            </w:r>
          </w:p>
        </w:tc>
        <w:tc>
          <w:tcPr>
            <w:tcW w:w="730" w:type="dxa"/>
            <w:tcBorders>
              <w:top w:val="nil"/>
              <w:bottom w:val="nil"/>
            </w:tcBorders>
          </w:tcPr>
          <w:p w14:paraId="7ACCE9BB">
            <w:pPr>
              <w:adjustRightInd w:val="0"/>
              <w:snapToGrid w:val="0"/>
              <w:spacing w:line="200" w:lineRule="exact"/>
              <w:ind w:left="30" w:leftChars="-33" w:right="-48" w:rightChars="-23" w:hanging="99" w:hangingChars="55"/>
              <w:jc w:val="center"/>
              <w:rPr>
                <w:color w:val="auto"/>
                <w:sz w:val="18"/>
                <w:szCs w:val="18"/>
              </w:rPr>
            </w:pPr>
          </w:p>
          <w:p w14:paraId="15F8199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0.1248</w:t>
            </w:r>
          </w:p>
          <w:p w14:paraId="4D503DE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0.1205</w:t>
            </w:r>
          </w:p>
          <w:p w14:paraId="2E89B5C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0.1164</w:t>
            </w:r>
          </w:p>
          <w:p w14:paraId="3E40709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0.1127</w:t>
            </w:r>
          </w:p>
          <w:p w14:paraId="619C3C7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0.1091</w:t>
            </w:r>
          </w:p>
          <w:p w14:paraId="27F232FD">
            <w:pPr>
              <w:adjustRightInd w:val="0"/>
              <w:snapToGrid w:val="0"/>
              <w:spacing w:line="200" w:lineRule="exact"/>
              <w:ind w:left="30" w:leftChars="-33" w:right="-48" w:rightChars="-23" w:hanging="99" w:hangingChars="55"/>
              <w:jc w:val="center"/>
              <w:rPr>
                <w:color w:val="auto"/>
                <w:sz w:val="18"/>
                <w:szCs w:val="18"/>
              </w:rPr>
            </w:pPr>
          </w:p>
          <w:p w14:paraId="498232D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0.1057</w:t>
            </w:r>
          </w:p>
          <w:p w14:paraId="71F68E2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0.1026</w:t>
            </w:r>
          </w:p>
          <w:p w14:paraId="2C9EB44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0.0996</w:t>
            </w:r>
          </w:p>
          <w:p w14:paraId="247433C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0.0968</w:t>
            </w:r>
          </w:p>
          <w:p w14:paraId="13919D0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0.0941</w:t>
            </w:r>
          </w:p>
        </w:tc>
        <w:tc>
          <w:tcPr>
            <w:tcW w:w="709" w:type="dxa"/>
            <w:tcBorders>
              <w:top w:val="nil"/>
              <w:bottom w:val="nil"/>
            </w:tcBorders>
          </w:tcPr>
          <w:p w14:paraId="2383A64C">
            <w:pPr>
              <w:adjustRightInd w:val="0"/>
              <w:snapToGrid w:val="0"/>
              <w:spacing w:line="200" w:lineRule="exact"/>
              <w:ind w:left="30" w:leftChars="-33" w:hanging="99" w:hangingChars="55"/>
              <w:jc w:val="right"/>
              <w:rPr>
                <w:color w:val="auto"/>
                <w:sz w:val="18"/>
                <w:szCs w:val="18"/>
              </w:rPr>
            </w:pPr>
          </w:p>
          <w:p w14:paraId="0568AD98">
            <w:pPr>
              <w:adjustRightInd w:val="0"/>
              <w:snapToGrid w:val="0"/>
              <w:spacing w:line="200" w:lineRule="exact"/>
              <w:ind w:left="30" w:leftChars="-33" w:hanging="99" w:hangingChars="55"/>
              <w:jc w:val="right"/>
              <w:rPr>
                <w:color w:val="auto"/>
                <w:sz w:val="18"/>
                <w:szCs w:val="18"/>
              </w:rPr>
            </w:pPr>
            <w:r>
              <w:rPr>
                <w:color w:val="auto"/>
                <w:sz w:val="18"/>
                <w:szCs w:val="18"/>
              </w:rPr>
              <w:t>0.1294</w:t>
            </w:r>
          </w:p>
          <w:p w14:paraId="3A9C2552">
            <w:pPr>
              <w:adjustRightInd w:val="0"/>
              <w:snapToGrid w:val="0"/>
              <w:spacing w:line="200" w:lineRule="exact"/>
              <w:ind w:left="30" w:leftChars="-33" w:hanging="99" w:hangingChars="55"/>
              <w:jc w:val="right"/>
              <w:rPr>
                <w:color w:val="auto"/>
                <w:sz w:val="18"/>
                <w:szCs w:val="18"/>
              </w:rPr>
            </w:pPr>
            <w:r>
              <w:rPr>
                <w:color w:val="auto"/>
                <w:sz w:val="18"/>
                <w:szCs w:val="18"/>
              </w:rPr>
              <w:t>0.1251</w:t>
            </w:r>
          </w:p>
          <w:p w14:paraId="59443C99">
            <w:pPr>
              <w:adjustRightInd w:val="0"/>
              <w:snapToGrid w:val="0"/>
              <w:spacing w:line="200" w:lineRule="exact"/>
              <w:ind w:left="30" w:leftChars="-33" w:hanging="99" w:hangingChars="55"/>
              <w:jc w:val="right"/>
              <w:rPr>
                <w:color w:val="auto"/>
                <w:sz w:val="18"/>
                <w:szCs w:val="18"/>
              </w:rPr>
            </w:pPr>
            <w:r>
              <w:rPr>
                <w:color w:val="auto"/>
                <w:sz w:val="18"/>
                <w:szCs w:val="18"/>
              </w:rPr>
              <w:t>0.1210</w:t>
            </w:r>
          </w:p>
          <w:p w14:paraId="74433B7C">
            <w:pPr>
              <w:adjustRightInd w:val="0"/>
              <w:snapToGrid w:val="0"/>
              <w:spacing w:line="200" w:lineRule="exact"/>
              <w:ind w:left="30" w:leftChars="-33" w:hanging="99" w:hangingChars="55"/>
              <w:jc w:val="right"/>
              <w:rPr>
                <w:color w:val="auto"/>
                <w:sz w:val="18"/>
                <w:szCs w:val="18"/>
              </w:rPr>
            </w:pPr>
            <w:r>
              <w:rPr>
                <w:color w:val="auto"/>
                <w:sz w:val="18"/>
                <w:szCs w:val="18"/>
              </w:rPr>
              <w:t>0.1172</w:t>
            </w:r>
          </w:p>
          <w:p w14:paraId="21EB828B">
            <w:pPr>
              <w:adjustRightInd w:val="0"/>
              <w:snapToGrid w:val="0"/>
              <w:spacing w:line="200" w:lineRule="exact"/>
              <w:ind w:left="30" w:leftChars="-33" w:hanging="99" w:hangingChars="55"/>
              <w:jc w:val="right"/>
              <w:rPr>
                <w:color w:val="auto"/>
                <w:sz w:val="18"/>
                <w:szCs w:val="18"/>
              </w:rPr>
            </w:pPr>
            <w:r>
              <w:rPr>
                <w:color w:val="auto"/>
                <w:sz w:val="18"/>
                <w:szCs w:val="18"/>
              </w:rPr>
              <w:t>0.1136</w:t>
            </w:r>
          </w:p>
          <w:p w14:paraId="161BF1A4">
            <w:pPr>
              <w:adjustRightInd w:val="0"/>
              <w:snapToGrid w:val="0"/>
              <w:spacing w:line="200" w:lineRule="exact"/>
              <w:ind w:left="30" w:leftChars="-33" w:hanging="99" w:hangingChars="55"/>
              <w:jc w:val="right"/>
              <w:rPr>
                <w:color w:val="auto"/>
                <w:sz w:val="18"/>
                <w:szCs w:val="18"/>
              </w:rPr>
            </w:pPr>
          </w:p>
          <w:p w14:paraId="7B7F8630">
            <w:pPr>
              <w:adjustRightInd w:val="0"/>
              <w:snapToGrid w:val="0"/>
              <w:spacing w:line="200" w:lineRule="exact"/>
              <w:ind w:left="30" w:leftChars="-33" w:hanging="99" w:hangingChars="55"/>
              <w:jc w:val="right"/>
              <w:rPr>
                <w:color w:val="auto"/>
                <w:sz w:val="18"/>
                <w:szCs w:val="18"/>
              </w:rPr>
            </w:pPr>
            <w:r>
              <w:rPr>
                <w:color w:val="auto"/>
                <w:sz w:val="18"/>
                <w:szCs w:val="18"/>
              </w:rPr>
              <w:t>0.1102</w:t>
            </w:r>
          </w:p>
          <w:p w14:paraId="0C92FB1E">
            <w:pPr>
              <w:adjustRightInd w:val="0"/>
              <w:snapToGrid w:val="0"/>
              <w:spacing w:line="200" w:lineRule="exact"/>
              <w:ind w:left="30" w:leftChars="-33" w:hanging="99" w:hangingChars="55"/>
              <w:jc w:val="right"/>
              <w:rPr>
                <w:color w:val="auto"/>
                <w:sz w:val="18"/>
                <w:szCs w:val="18"/>
              </w:rPr>
            </w:pPr>
            <w:r>
              <w:rPr>
                <w:color w:val="auto"/>
                <w:sz w:val="18"/>
                <w:szCs w:val="18"/>
              </w:rPr>
              <w:t>0.1070</w:t>
            </w:r>
          </w:p>
          <w:p w14:paraId="7DB2185B">
            <w:pPr>
              <w:adjustRightInd w:val="0"/>
              <w:snapToGrid w:val="0"/>
              <w:spacing w:line="200" w:lineRule="exact"/>
              <w:ind w:left="30" w:leftChars="-33" w:hanging="99" w:hangingChars="55"/>
              <w:jc w:val="right"/>
              <w:rPr>
                <w:color w:val="auto"/>
                <w:sz w:val="18"/>
                <w:szCs w:val="18"/>
              </w:rPr>
            </w:pPr>
            <w:r>
              <w:rPr>
                <w:color w:val="auto"/>
                <w:sz w:val="18"/>
                <w:szCs w:val="18"/>
              </w:rPr>
              <w:t>0.1039</w:t>
            </w:r>
          </w:p>
          <w:p w14:paraId="446C73E3">
            <w:pPr>
              <w:adjustRightInd w:val="0"/>
              <w:snapToGrid w:val="0"/>
              <w:spacing w:line="200" w:lineRule="exact"/>
              <w:ind w:left="30" w:leftChars="-33" w:hanging="99" w:hangingChars="55"/>
              <w:jc w:val="right"/>
              <w:rPr>
                <w:color w:val="auto"/>
                <w:sz w:val="18"/>
                <w:szCs w:val="18"/>
              </w:rPr>
            </w:pPr>
            <w:r>
              <w:rPr>
                <w:color w:val="auto"/>
                <w:sz w:val="18"/>
                <w:szCs w:val="18"/>
              </w:rPr>
              <w:t>0.1010</w:t>
            </w:r>
          </w:p>
          <w:p w14:paraId="32B60A75">
            <w:pPr>
              <w:adjustRightInd w:val="0"/>
              <w:snapToGrid w:val="0"/>
              <w:spacing w:line="200" w:lineRule="exact"/>
              <w:ind w:left="30" w:leftChars="-33" w:hanging="99" w:hangingChars="55"/>
              <w:jc w:val="right"/>
              <w:rPr>
                <w:color w:val="auto"/>
                <w:sz w:val="18"/>
                <w:szCs w:val="18"/>
              </w:rPr>
            </w:pPr>
            <w:r>
              <w:rPr>
                <w:color w:val="auto"/>
                <w:sz w:val="18"/>
                <w:szCs w:val="18"/>
              </w:rPr>
              <w:t>0.0983</w:t>
            </w:r>
          </w:p>
        </w:tc>
        <w:tc>
          <w:tcPr>
            <w:tcW w:w="708" w:type="dxa"/>
            <w:tcBorders>
              <w:top w:val="nil"/>
              <w:bottom w:val="nil"/>
            </w:tcBorders>
          </w:tcPr>
          <w:p w14:paraId="516B48BC">
            <w:pPr>
              <w:adjustRightInd w:val="0"/>
              <w:snapToGrid w:val="0"/>
              <w:spacing w:line="200" w:lineRule="exact"/>
              <w:ind w:left="30" w:leftChars="-33" w:right="-48" w:rightChars="-23" w:hanging="99" w:hangingChars="55"/>
              <w:jc w:val="center"/>
              <w:rPr>
                <w:color w:val="auto"/>
                <w:sz w:val="18"/>
                <w:szCs w:val="18"/>
              </w:rPr>
            </w:pPr>
          </w:p>
          <w:p w14:paraId="79B30B4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0.1332</w:t>
            </w:r>
          </w:p>
          <w:p w14:paraId="0D5F9CD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0.1289</w:t>
            </w:r>
          </w:p>
          <w:p w14:paraId="4E6324B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0.1248</w:t>
            </w:r>
          </w:p>
          <w:p w14:paraId="71A17E8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0.1209</w:t>
            </w:r>
          </w:p>
          <w:p w14:paraId="0DCFAAA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0.1173</w:t>
            </w:r>
          </w:p>
          <w:p w14:paraId="1F92CD97">
            <w:pPr>
              <w:adjustRightInd w:val="0"/>
              <w:snapToGrid w:val="0"/>
              <w:spacing w:line="200" w:lineRule="exact"/>
              <w:ind w:left="30" w:leftChars="-33" w:right="-48" w:rightChars="-23" w:hanging="99" w:hangingChars="55"/>
              <w:jc w:val="center"/>
              <w:rPr>
                <w:color w:val="auto"/>
                <w:sz w:val="18"/>
                <w:szCs w:val="18"/>
              </w:rPr>
            </w:pPr>
          </w:p>
          <w:p w14:paraId="307F0F7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0.1139</w:t>
            </w:r>
          </w:p>
          <w:p w14:paraId="51321EC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0.1106</w:t>
            </w:r>
          </w:p>
          <w:p w14:paraId="50CEC3E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0.1075</w:t>
            </w:r>
          </w:p>
          <w:p w14:paraId="0A535C9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0.1046</w:t>
            </w:r>
          </w:p>
          <w:p w14:paraId="1D94E8B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0.1018</w:t>
            </w:r>
          </w:p>
        </w:tc>
        <w:tc>
          <w:tcPr>
            <w:tcW w:w="709" w:type="dxa"/>
            <w:tcBorders>
              <w:top w:val="nil"/>
              <w:bottom w:val="nil"/>
            </w:tcBorders>
          </w:tcPr>
          <w:p w14:paraId="4C9F2FAE">
            <w:pPr>
              <w:adjustRightInd w:val="0"/>
              <w:snapToGrid w:val="0"/>
              <w:spacing w:line="200" w:lineRule="exact"/>
              <w:ind w:left="30" w:leftChars="-33" w:right="-48" w:rightChars="-23" w:hanging="99" w:hangingChars="55"/>
              <w:jc w:val="center"/>
              <w:rPr>
                <w:color w:val="auto"/>
                <w:sz w:val="18"/>
                <w:szCs w:val="18"/>
              </w:rPr>
            </w:pPr>
          </w:p>
          <w:p w14:paraId="3C9C813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0.1362</w:t>
            </w:r>
          </w:p>
          <w:p w14:paraId="12BE7D8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0.1319</w:t>
            </w:r>
          </w:p>
          <w:p w14:paraId="46B4762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0.1279</w:t>
            </w:r>
          </w:p>
          <w:p w14:paraId="6BF1DDB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0.1240</w:t>
            </w:r>
          </w:p>
          <w:p w14:paraId="0D694B5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0.1204</w:t>
            </w:r>
          </w:p>
          <w:p w14:paraId="365E1CCF">
            <w:pPr>
              <w:adjustRightInd w:val="0"/>
              <w:snapToGrid w:val="0"/>
              <w:spacing w:line="200" w:lineRule="exact"/>
              <w:ind w:left="30" w:leftChars="-33" w:right="-48" w:rightChars="-23" w:hanging="99" w:hangingChars="55"/>
              <w:jc w:val="center"/>
              <w:rPr>
                <w:color w:val="auto"/>
                <w:sz w:val="18"/>
                <w:szCs w:val="18"/>
              </w:rPr>
            </w:pPr>
          </w:p>
          <w:p w14:paraId="1EBFC76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0.1169</w:t>
            </w:r>
          </w:p>
          <w:p w14:paraId="18E6D71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0.1136</w:t>
            </w:r>
          </w:p>
          <w:p w14:paraId="062D64E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0.1105</w:t>
            </w:r>
          </w:p>
          <w:p w14:paraId="1AC1534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0.1076</w:t>
            </w:r>
          </w:p>
          <w:p w14:paraId="19AF42D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0.1047</w:t>
            </w:r>
          </w:p>
        </w:tc>
        <w:tc>
          <w:tcPr>
            <w:tcW w:w="709" w:type="dxa"/>
            <w:tcBorders>
              <w:top w:val="nil"/>
              <w:bottom w:val="nil"/>
            </w:tcBorders>
          </w:tcPr>
          <w:p w14:paraId="12C0E0A9">
            <w:pPr>
              <w:adjustRightInd w:val="0"/>
              <w:snapToGrid w:val="0"/>
              <w:spacing w:line="200" w:lineRule="exact"/>
              <w:ind w:left="30" w:leftChars="-33" w:hanging="99" w:hangingChars="55"/>
              <w:jc w:val="right"/>
              <w:rPr>
                <w:color w:val="auto"/>
                <w:sz w:val="18"/>
                <w:szCs w:val="18"/>
              </w:rPr>
            </w:pPr>
          </w:p>
          <w:p w14:paraId="571BAFC5">
            <w:pPr>
              <w:adjustRightInd w:val="0"/>
              <w:snapToGrid w:val="0"/>
              <w:spacing w:line="200" w:lineRule="exact"/>
              <w:ind w:left="30" w:leftChars="-33" w:hanging="99" w:hangingChars="55"/>
              <w:jc w:val="right"/>
              <w:rPr>
                <w:color w:val="auto"/>
                <w:sz w:val="18"/>
                <w:szCs w:val="18"/>
              </w:rPr>
            </w:pPr>
            <w:r>
              <w:rPr>
                <w:color w:val="auto"/>
                <w:sz w:val="18"/>
                <w:szCs w:val="18"/>
              </w:rPr>
              <w:t>0.1408</w:t>
            </w:r>
          </w:p>
          <w:p w14:paraId="6C09F0FB">
            <w:pPr>
              <w:adjustRightInd w:val="0"/>
              <w:snapToGrid w:val="0"/>
              <w:spacing w:line="200" w:lineRule="exact"/>
              <w:ind w:left="30" w:leftChars="-33" w:hanging="99" w:hangingChars="55"/>
              <w:jc w:val="right"/>
              <w:rPr>
                <w:color w:val="auto"/>
                <w:sz w:val="18"/>
                <w:szCs w:val="18"/>
              </w:rPr>
            </w:pPr>
            <w:r>
              <w:rPr>
                <w:color w:val="auto"/>
                <w:sz w:val="18"/>
                <w:szCs w:val="18"/>
              </w:rPr>
              <w:t>0.1365</w:t>
            </w:r>
          </w:p>
          <w:p w14:paraId="0598032E">
            <w:pPr>
              <w:adjustRightInd w:val="0"/>
              <w:snapToGrid w:val="0"/>
              <w:spacing w:line="200" w:lineRule="exact"/>
              <w:ind w:left="30" w:leftChars="-33" w:hanging="99" w:hangingChars="55"/>
              <w:jc w:val="right"/>
              <w:rPr>
                <w:color w:val="auto"/>
                <w:sz w:val="18"/>
                <w:szCs w:val="18"/>
              </w:rPr>
            </w:pPr>
            <w:r>
              <w:rPr>
                <w:color w:val="auto"/>
                <w:sz w:val="18"/>
                <w:szCs w:val="18"/>
              </w:rPr>
              <w:t>0.1325</w:t>
            </w:r>
          </w:p>
          <w:p w14:paraId="7E6A3E9A">
            <w:pPr>
              <w:adjustRightInd w:val="0"/>
              <w:snapToGrid w:val="0"/>
              <w:spacing w:line="200" w:lineRule="exact"/>
              <w:ind w:left="30" w:leftChars="-33" w:hanging="99" w:hangingChars="55"/>
              <w:jc w:val="right"/>
              <w:rPr>
                <w:color w:val="auto"/>
                <w:sz w:val="18"/>
                <w:szCs w:val="18"/>
              </w:rPr>
            </w:pPr>
            <w:r>
              <w:rPr>
                <w:color w:val="auto"/>
                <w:sz w:val="18"/>
                <w:szCs w:val="18"/>
              </w:rPr>
              <w:t>0.1287</w:t>
            </w:r>
          </w:p>
          <w:p w14:paraId="00C21374">
            <w:pPr>
              <w:adjustRightInd w:val="0"/>
              <w:snapToGrid w:val="0"/>
              <w:spacing w:line="200" w:lineRule="exact"/>
              <w:ind w:left="30" w:leftChars="-33" w:hanging="99" w:hangingChars="55"/>
              <w:jc w:val="right"/>
              <w:rPr>
                <w:color w:val="auto"/>
                <w:sz w:val="18"/>
                <w:szCs w:val="18"/>
              </w:rPr>
            </w:pPr>
            <w:r>
              <w:rPr>
                <w:color w:val="auto"/>
                <w:sz w:val="18"/>
                <w:szCs w:val="18"/>
              </w:rPr>
              <w:t>0.1250</w:t>
            </w:r>
          </w:p>
          <w:p w14:paraId="67820AA8">
            <w:pPr>
              <w:adjustRightInd w:val="0"/>
              <w:snapToGrid w:val="0"/>
              <w:spacing w:line="200" w:lineRule="exact"/>
              <w:ind w:left="30" w:leftChars="-33" w:hanging="99" w:hangingChars="55"/>
              <w:jc w:val="right"/>
              <w:rPr>
                <w:color w:val="auto"/>
                <w:sz w:val="18"/>
                <w:szCs w:val="18"/>
              </w:rPr>
            </w:pPr>
          </w:p>
          <w:p w14:paraId="165EC0F1">
            <w:pPr>
              <w:adjustRightInd w:val="0"/>
              <w:snapToGrid w:val="0"/>
              <w:spacing w:line="200" w:lineRule="exact"/>
              <w:ind w:left="30" w:leftChars="-33" w:hanging="99" w:hangingChars="55"/>
              <w:jc w:val="right"/>
              <w:rPr>
                <w:color w:val="auto"/>
                <w:sz w:val="18"/>
                <w:szCs w:val="18"/>
              </w:rPr>
            </w:pPr>
            <w:r>
              <w:rPr>
                <w:color w:val="auto"/>
                <w:sz w:val="18"/>
                <w:szCs w:val="18"/>
              </w:rPr>
              <w:t>0.1216</w:t>
            </w:r>
          </w:p>
          <w:p w14:paraId="44F94A05">
            <w:pPr>
              <w:adjustRightInd w:val="0"/>
              <w:snapToGrid w:val="0"/>
              <w:spacing w:line="200" w:lineRule="exact"/>
              <w:ind w:left="30" w:leftChars="-33" w:hanging="99" w:hangingChars="55"/>
              <w:jc w:val="right"/>
              <w:rPr>
                <w:color w:val="auto"/>
                <w:sz w:val="18"/>
                <w:szCs w:val="18"/>
              </w:rPr>
            </w:pPr>
            <w:r>
              <w:rPr>
                <w:color w:val="auto"/>
                <w:sz w:val="18"/>
                <w:szCs w:val="18"/>
              </w:rPr>
              <w:t>0.1183</w:t>
            </w:r>
          </w:p>
          <w:p w14:paraId="38DDC278">
            <w:pPr>
              <w:adjustRightInd w:val="0"/>
              <w:snapToGrid w:val="0"/>
              <w:spacing w:line="200" w:lineRule="exact"/>
              <w:ind w:left="30" w:leftChars="-33" w:hanging="99" w:hangingChars="55"/>
              <w:jc w:val="right"/>
              <w:rPr>
                <w:color w:val="auto"/>
                <w:sz w:val="18"/>
                <w:szCs w:val="18"/>
              </w:rPr>
            </w:pPr>
            <w:r>
              <w:rPr>
                <w:color w:val="auto"/>
                <w:sz w:val="18"/>
                <w:szCs w:val="18"/>
              </w:rPr>
              <w:t>0.1152</w:t>
            </w:r>
          </w:p>
          <w:p w14:paraId="5091FFA2">
            <w:pPr>
              <w:adjustRightInd w:val="0"/>
              <w:snapToGrid w:val="0"/>
              <w:spacing w:line="200" w:lineRule="exact"/>
              <w:ind w:left="30" w:leftChars="-33" w:hanging="99" w:hangingChars="55"/>
              <w:jc w:val="right"/>
              <w:rPr>
                <w:color w:val="auto"/>
                <w:sz w:val="18"/>
                <w:szCs w:val="18"/>
              </w:rPr>
            </w:pPr>
            <w:r>
              <w:rPr>
                <w:color w:val="auto"/>
                <w:sz w:val="18"/>
                <w:szCs w:val="18"/>
              </w:rPr>
              <w:t>0.1122</w:t>
            </w:r>
          </w:p>
          <w:p w14:paraId="3DC89280">
            <w:pPr>
              <w:adjustRightInd w:val="0"/>
              <w:snapToGrid w:val="0"/>
              <w:spacing w:line="200" w:lineRule="exact"/>
              <w:ind w:left="30" w:leftChars="-33" w:hanging="99" w:hangingChars="55"/>
              <w:jc w:val="right"/>
              <w:rPr>
                <w:color w:val="auto"/>
                <w:sz w:val="18"/>
                <w:szCs w:val="18"/>
              </w:rPr>
            </w:pPr>
            <w:r>
              <w:rPr>
                <w:color w:val="auto"/>
                <w:sz w:val="18"/>
                <w:szCs w:val="18"/>
              </w:rPr>
              <w:t>0.1094</w:t>
            </w:r>
          </w:p>
        </w:tc>
        <w:tc>
          <w:tcPr>
            <w:tcW w:w="709" w:type="dxa"/>
            <w:tcBorders>
              <w:top w:val="nil"/>
              <w:bottom w:val="nil"/>
            </w:tcBorders>
          </w:tcPr>
          <w:p w14:paraId="7DCF044F">
            <w:pPr>
              <w:adjustRightInd w:val="0"/>
              <w:snapToGrid w:val="0"/>
              <w:spacing w:line="200" w:lineRule="exact"/>
              <w:ind w:left="30" w:leftChars="-33" w:hanging="99" w:hangingChars="55"/>
              <w:jc w:val="right"/>
              <w:rPr>
                <w:color w:val="auto"/>
                <w:sz w:val="18"/>
                <w:szCs w:val="18"/>
              </w:rPr>
            </w:pPr>
          </w:p>
          <w:p w14:paraId="16AC3B9C">
            <w:pPr>
              <w:adjustRightInd w:val="0"/>
              <w:snapToGrid w:val="0"/>
              <w:spacing w:line="200" w:lineRule="exact"/>
              <w:ind w:left="30" w:leftChars="-33" w:hanging="99" w:hangingChars="55"/>
              <w:jc w:val="right"/>
              <w:rPr>
                <w:color w:val="auto"/>
                <w:sz w:val="18"/>
                <w:szCs w:val="18"/>
              </w:rPr>
            </w:pPr>
            <w:r>
              <w:rPr>
                <w:color w:val="auto"/>
                <w:sz w:val="18"/>
                <w:szCs w:val="18"/>
              </w:rPr>
              <w:t>0.1438</w:t>
            </w:r>
          </w:p>
          <w:p w14:paraId="5E8C4444">
            <w:pPr>
              <w:adjustRightInd w:val="0"/>
              <w:snapToGrid w:val="0"/>
              <w:spacing w:line="200" w:lineRule="exact"/>
              <w:ind w:left="30" w:leftChars="-33" w:hanging="99" w:hangingChars="55"/>
              <w:jc w:val="right"/>
              <w:rPr>
                <w:color w:val="auto"/>
                <w:sz w:val="18"/>
                <w:szCs w:val="18"/>
              </w:rPr>
            </w:pPr>
            <w:r>
              <w:rPr>
                <w:color w:val="auto"/>
                <w:sz w:val="18"/>
                <w:szCs w:val="18"/>
              </w:rPr>
              <w:t>0.1396</w:t>
            </w:r>
          </w:p>
          <w:p w14:paraId="02ADD707">
            <w:pPr>
              <w:adjustRightInd w:val="0"/>
              <w:snapToGrid w:val="0"/>
              <w:spacing w:line="200" w:lineRule="exact"/>
              <w:ind w:left="30" w:leftChars="-33" w:hanging="99" w:hangingChars="55"/>
              <w:jc w:val="right"/>
              <w:rPr>
                <w:color w:val="auto"/>
                <w:sz w:val="18"/>
                <w:szCs w:val="18"/>
              </w:rPr>
            </w:pPr>
            <w:r>
              <w:rPr>
                <w:color w:val="auto"/>
                <w:sz w:val="18"/>
                <w:szCs w:val="18"/>
              </w:rPr>
              <w:t>0.1357</w:t>
            </w:r>
          </w:p>
          <w:p w14:paraId="66D11270">
            <w:pPr>
              <w:adjustRightInd w:val="0"/>
              <w:snapToGrid w:val="0"/>
              <w:spacing w:line="200" w:lineRule="exact"/>
              <w:ind w:left="30" w:leftChars="-33" w:hanging="99" w:hangingChars="55"/>
              <w:jc w:val="right"/>
              <w:rPr>
                <w:color w:val="auto"/>
                <w:sz w:val="18"/>
                <w:szCs w:val="18"/>
              </w:rPr>
            </w:pPr>
            <w:r>
              <w:rPr>
                <w:color w:val="auto"/>
                <w:sz w:val="18"/>
                <w:szCs w:val="18"/>
              </w:rPr>
              <w:t>0.1319</w:t>
            </w:r>
          </w:p>
          <w:p w14:paraId="11E8EB4F">
            <w:pPr>
              <w:adjustRightInd w:val="0"/>
              <w:snapToGrid w:val="0"/>
              <w:spacing w:line="200" w:lineRule="exact"/>
              <w:ind w:left="30" w:leftChars="-33" w:hanging="99" w:hangingChars="55"/>
              <w:jc w:val="right"/>
              <w:rPr>
                <w:color w:val="auto"/>
                <w:sz w:val="18"/>
                <w:szCs w:val="18"/>
              </w:rPr>
            </w:pPr>
            <w:r>
              <w:rPr>
                <w:color w:val="auto"/>
                <w:sz w:val="18"/>
                <w:szCs w:val="18"/>
              </w:rPr>
              <w:t>0.1283</w:t>
            </w:r>
          </w:p>
          <w:p w14:paraId="3A8D7125">
            <w:pPr>
              <w:adjustRightInd w:val="0"/>
              <w:snapToGrid w:val="0"/>
              <w:spacing w:line="200" w:lineRule="exact"/>
              <w:ind w:left="30" w:leftChars="-33" w:hanging="99" w:hangingChars="55"/>
              <w:jc w:val="right"/>
              <w:rPr>
                <w:color w:val="auto"/>
                <w:sz w:val="18"/>
                <w:szCs w:val="18"/>
              </w:rPr>
            </w:pPr>
          </w:p>
          <w:p w14:paraId="789163FB">
            <w:pPr>
              <w:adjustRightInd w:val="0"/>
              <w:snapToGrid w:val="0"/>
              <w:spacing w:line="200" w:lineRule="exact"/>
              <w:ind w:left="30" w:leftChars="-33" w:hanging="99" w:hangingChars="55"/>
              <w:jc w:val="right"/>
              <w:rPr>
                <w:color w:val="auto"/>
                <w:sz w:val="18"/>
                <w:szCs w:val="18"/>
              </w:rPr>
            </w:pPr>
            <w:r>
              <w:rPr>
                <w:color w:val="auto"/>
                <w:sz w:val="18"/>
                <w:szCs w:val="18"/>
              </w:rPr>
              <w:t>0.1249</w:t>
            </w:r>
          </w:p>
          <w:p w14:paraId="17FBDF64">
            <w:pPr>
              <w:adjustRightInd w:val="0"/>
              <w:snapToGrid w:val="0"/>
              <w:spacing w:line="200" w:lineRule="exact"/>
              <w:ind w:left="30" w:leftChars="-33" w:hanging="99" w:hangingChars="55"/>
              <w:jc w:val="right"/>
              <w:rPr>
                <w:color w:val="auto"/>
                <w:sz w:val="18"/>
                <w:szCs w:val="18"/>
              </w:rPr>
            </w:pPr>
            <w:r>
              <w:rPr>
                <w:color w:val="auto"/>
                <w:sz w:val="18"/>
                <w:szCs w:val="18"/>
              </w:rPr>
              <w:t>0.1217</w:t>
            </w:r>
          </w:p>
          <w:p w14:paraId="04E8E27B">
            <w:pPr>
              <w:adjustRightInd w:val="0"/>
              <w:snapToGrid w:val="0"/>
              <w:spacing w:line="200" w:lineRule="exact"/>
              <w:ind w:left="30" w:leftChars="-33" w:hanging="99" w:hangingChars="55"/>
              <w:jc w:val="right"/>
              <w:rPr>
                <w:color w:val="auto"/>
                <w:sz w:val="18"/>
                <w:szCs w:val="18"/>
              </w:rPr>
            </w:pPr>
            <w:r>
              <w:rPr>
                <w:color w:val="auto"/>
                <w:sz w:val="18"/>
                <w:szCs w:val="18"/>
              </w:rPr>
              <w:t>0.1186</w:t>
            </w:r>
          </w:p>
          <w:p w14:paraId="14175C95">
            <w:pPr>
              <w:adjustRightInd w:val="0"/>
              <w:snapToGrid w:val="0"/>
              <w:spacing w:line="200" w:lineRule="exact"/>
              <w:ind w:left="30" w:leftChars="-33" w:hanging="99" w:hangingChars="55"/>
              <w:jc w:val="right"/>
              <w:rPr>
                <w:color w:val="auto"/>
                <w:sz w:val="18"/>
                <w:szCs w:val="18"/>
              </w:rPr>
            </w:pPr>
            <w:r>
              <w:rPr>
                <w:color w:val="auto"/>
                <w:sz w:val="18"/>
                <w:szCs w:val="18"/>
              </w:rPr>
              <w:t>0.1156</w:t>
            </w:r>
          </w:p>
          <w:p w14:paraId="1AF1DD70">
            <w:pPr>
              <w:adjustRightInd w:val="0"/>
              <w:snapToGrid w:val="0"/>
              <w:spacing w:line="200" w:lineRule="exact"/>
              <w:ind w:left="30" w:leftChars="-33" w:hanging="99" w:hangingChars="55"/>
              <w:jc w:val="right"/>
              <w:rPr>
                <w:color w:val="auto"/>
                <w:sz w:val="18"/>
                <w:szCs w:val="18"/>
              </w:rPr>
            </w:pPr>
            <w:r>
              <w:rPr>
                <w:color w:val="auto"/>
                <w:sz w:val="18"/>
                <w:szCs w:val="18"/>
              </w:rPr>
              <w:t>0.1128</w:t>
            </w:r>
          </w:p>
        </w:tc>
        <w:tc>
          <w:tcPr>
            <w:tcW w:w="708" w:type="dxa"/>
            <w:tcBorders>
              <w:top w:val="nil"/>
              <w:bottom w:val="nil"/>
            </w:tcBorders>
          </w:tcPr>
          <w:p w14:paraId="22F7C14E">
            <w:pPr>
              <w:adjustRightInd w:val="0"/>
              <w:snapToGrid w:val="0"/>
              <w:spacing w:line="200" w:lineRule="exact"/>
              <w:ind w:left="30" w:leftChars="-33" w:hanging="99" w:hangingChars="55"/>
              <w:jc w:val="right"/>
              <w:rPr>
                <w:color w:val="auto"/>
                <w:sz w:val="18"/>
                <w:szCs w:val="18"/>
              </w:rPr>
            </w:pPr>
          </w:p>
          <w:p w14:paraId="19AC6726">
            <w:pPr>
              <w:adjustRightInd w:val="0"/>
              <w:snapToGrid w:val="0"/>
              <w:spacing w:line="200" w:lineRule="exact"/>
              <w:ind w:left="30" w:leftChars="-33" w:hanging="99" w:hangingChars="55"/>
              <w:jc w:val="right"/>
              <w:rPr>
                <w:color w:val="auto"/>
                <w:sz w:val="18"/>
                <w:szCs w:val="18"/>
              </w:rPr>
            </w:pPr>
            <w:r>
              <w:rPr>
                <w:color w:val="auto"/>
                <w:sz w:val="18"/>
                <w:szCs w:val="18"/>
              </w:rPr>
              <w:t>0.1459</w:t>
            </w:r>
          </w:p>
          <w:p w14:paraId="01F2C654">
            <w:pPr>
              <w:adjustRightInd w:val="0"/>
              <w:snapToGrid w:val="0"/>
              <w:spacing w:line="200" w:lineRule="exact"/>
              <w:ind w:left="30" w:leftChars="-33" w:hanging="99" w:hangingChars="55"/>
              <w:jc w:val="right"/>
              <w:rPr>
                <w:color w:val="auto"/>
                <w:sz w:val="18"/>
                <w:szCs w:val="18"/>
              </w:rPr>
            </w:pPr>
            <w:r>
              <w:rPr>
                <w:color w:val="auto"/>
                <w:sz w:val="18"/>
                <w:szCs w:val="18"/>
              </w:rPr>
              <w:t>0.1418</w:t>
            </w:r>
          </w:p>
          <w:p w14:paraId="348E7DAF">
            <w:pPr>
              <w:adjustRightInd w:val="0"/>
              <w:snapToGrid w:val="0"/>
              <w:spacing w:line="200" w:lineRule="exact"/>
              <w:ind w:left="30" w:leftChars="-33" w:hanging="99" w:hangingChars="55"/>
              <w:jc w:val="right"/>
              <w:rPr>
                <w:color w:val="auto"/>
                <w:sz w:val="18"/>
                <w:szCs w:val="18"/>
              </w:rPr>
            </w:pPr>
            <w:r>
              <w:rPr>
                <w:color w:val="auto"/>
                <w:sz w:val="18"/>
                <w:szCs w:val="18"/>
              </w:rPr>
              <w:t>0.1379</w:t>
            </w:r>
          </w:p>
          <w:p w14:paraId="7D6A3AB7">
            <w:pPr>
              <w:adjustRightInd w:val="0"/>
              <w:snapToGrid w:val="0"/>
              <w:spacing w:line="200" w:lineRule="exact"/>
              <w:ind w:left="30" w:leftChars="-33" w:hanging="99" w:hangingChars="55"/>
              <w:jc w:val="right"/>
              <w:rPr>
                <w:color w:val="auto"/>
                <w:sz w:val="18"/>
                <w:szCs w:val="18"/>
              </w:rPr>
            </w:pPr>
            <w:r>
              <w:rPr>
                <w:color w:val="auto"/>
                <w:sz w:val="18"/>
                <w:szCs w:val="18"/>
              </w:rPr>
              <w:t>0.1342</w:t>
            </w:r>
          </w:p>
          <w:p w14:paraId="0DAA9692">
            <w:pPr>
              <w:adjustRightInd w:val="0"/>
              <w:snapToGrid w:val="0"/>
              <w:spacing w:line="200" w:lineRule="exact"/>
              <w:ind w:left="30" w:leftChars="-33" w:hanging="99" w:hangingChars="55"/>
              <w:jc w:val="right"/>
              <w:rPr>
                <w:color w:val="auto"/>
                <w:sz w:val="18"/>
                <w:szCs w:val="18"/>
              </w:rPr>
            </w:pPr>
            <w:r>
              <w:rPr>
                <w:color w:val="auto"/>
                <w:sz w:val="18"/>
                <w:szCs w:val="18"/>
              </w:rPr>
              <w:t>0.1307</w:t>
            </w:r>
          </w:p>
          <w:p w14:paraId="7CF2AE16">
            <w:pPr>
              <w:adjustRightInd w:val="0"/>
              <w:snapToGrid w:val="0"/>
              <w:spacing w:line="200" w:lineRule="exact"/>
              <w:ind w:left="30" w:leftChars="-33" w:hanging="99" w:hangingChars="55"/>
              <w:jc w:val="right"/>
              <w:rPr>
                <w:color w:val="auto"/>
                <w:sz w:val="18"/>
                <w:szCs w:val="18"/>
              </w:rPr>
            </w:pPr>
          </w:p>
          <w:p w14:paraId="49239A6B">
            <w:pPr>
              <w:adjustRightInd w:val="0"/>
              <w:snapToGrid w:val="0"/>
              <w:spacing w:line="200" w:lineRule="exact"/>
              <w:ind w:left="30" w:leftChars="-33" w:hanging="99" w:hangingChars="55"/>
              <w:jc w:val="right"/>
              <w:rPr>
                <w:color w:val="auto"/>
                <w:sz w:val="18"/>
                <w:szCs w:val="18"/>
              </w:rPr>
            </w:pPr>
            <w:r>
              <w:rPr>
                <w:color w:val="auto"/>
                <w:sz w:val="18"/>
                <w:szCs w:val="18"/>
              </w:rPr>
              <w:t>0.1273</w:t>
            </w:r>
          </w:p>
          <w:p w14:paraId="57F870A9">
            <w:pPr>
              <w:adjustRightInd w:val="0"/>
              <w:snapToGrid w:val="0"/>
              <w:spacing w:line="200" w:lineRule="exact"/>
              <w:ind w:left="30" w:leftChars="-33" w:hanging="99" w:hangingChars="55"/>
              <w:jc w:val="right"/>
              <w:rPr>
                <w:color w:val="auto"/>
                <w:sz w:val="18"/>
                <w:szCs w:val="18"/>
              </w:rPr>
            </w:pPr>
            <w:r>
              <w:rPr>
                <w:color w:val="auto"/>
                <w:sz w:val="18"/>
                <w:szCs w:val="18"/>
              </w:rPr>
              <w:t>0.1241</w:t>
            </w:r>
          </w:p>
          <w:p w14:paraId="47488DC2">
            <w:pPr>
              <w:adjustRightInd w:val="0"/>
              <w:snapToGrid w:val="0"/>
              <w:spacing w:line="200" w:lineRule="exact"/>
              <w:ind w:left="30" w:leftChars="-33" w:hanging="99" w:hangingChars="55"/>
              <w:jc w:val="right"/>
              <w:rPr>
                <w:color w:val="auto"/>
                <w:sz w:val="18"/>
                <w:szCs w:val="18"/>
              </w:rPr>
            </w:pPr>
            <w:r>
              <w:rPr>
                <w:color w:val="auto"/>
                <w:sz w:val="18"/>
                <w:szCs w:val="18"/>
              </w:rPr>
              <w:t>0.1211</w:t>
            </w:r>
          </w:p>
          <w:p w14:paraId="1C1D474B">
            <w:pPr>
              <w:adjustRightInd w:val="0"/>
              <w:snapToGrid w:val="0"/>
              <w:spacing w:line="200" w:lineRule="exact"/>
              <w:ind w:left="30" w:leftChars="-33" w:hanging="99" w:hangingChars="55"/>
              <w:jc w:val="right"/>
              <w:rPr>
                <w:color w:val="auto"/>
                <w:sz w:val="18"/>
                <w:szCs w:val="18"/>
              </w:rPr>
            </w:pPr>
            <w:r>
              <w:rPr>
                <w:color w:val="auto"/>
                <w:sz w:val="18"/>
                <w:szCs w:val="18"/>
              </w:rPr>
              <w:t>0.1181</w:t>
            </w:r>
          </w:p>
          <w:p w14:paraId="259AC926">
            <w:pPr>
              <w:adjustRightInd w:val="0"/>
              <w:snapToGrid w:val="0"/>
              <w:spacing w:line="200" w:lineRule="exact"/>
              <w:ind w:left="30" w:leftChars="-33" w:hanging="99" w:hangingChars="55"/>
              <w:jc w:val="right"/>
              <w:rPr>
                <w:color w:val="auto"/>
                <w:sz w:val="18"/>
                <w:szCs w:val="18"/>
              </w:rPr>
            </w:pPr>
            <w:r>
              <w:rPr>
                <w:color w:val="auto"/>
                <w:sz w:val="18"/>
                <w:szCs w:val="18"/>
              </w:rPr>
              <w:t>0.1153</w:t>
            </w:r>
          </w:p>
        </w:tc>
        <w:tc>
          <w:tcPr>
            <w:tcW w:w="709" w:type="dxa"/>
            <w:tcBorders>
              <w:top w:val="nil"/>
              <w:bottom w:val="nil"/>
            </w:tcBorders>
          </w:tcPr>
          <w:p w14:paraId="3312812D">
            <w:pPr>
              <w:adjustRightInd w:val="0"/>
              <w:snapToGrid w:val="0"/>
              <w:spacing w:line="200" w:lineRule="exact"/>
              <w:ind w:left="30" w:leftChars="-33" w:hanging="99" w:hangingChars="55"/>
              <w:jc w:val="right"/>
              <w:rPr>
                <w:color w:val="auto"/>
                <w:sz w:val="18"/>
                <w:szCs w:val="18"/>
              </w:rPr>
            </w:pPr>
          </w:p>
          <w:p w14:paraId="0415AFB3">
            <w:pPr>
              <w:adjustRightInd w:val="0"/>
              <w:snapToGrid w:val="0"/>
              <w:spacing w:line="200" w:lineRule="exact"/>
              <w:ind w:left="30" w:leftChars="-33" w:hanging="99" w:hangingChars="55"/>
              <w:jc w:val="right"/>
              <w:rPr>
                <w:color w:val="auto"/>
                <w:sz w:val="18"/>
                <w:szCs w:val="18"/>
              </w:rPr>
            </w:pPr>
            <w:r>
              <w:rPr>
                <w:color w:val="auto"/>
                <w:sz w:val="18"/>
                <w:szCs w:val="18"/>
              </w:rPr>
              <w:t>0.1474</w:t>
            </w:r>
          </w:p>
          <w:p w14:paraId="4AB2FD18">
            <w:pPr>
              <w:adjustRightInd w:val="0"/>
              <w:snapToGrid w:val="0"/>
              <w:spacing w:line="200" w:lineRule="exact"/>
              <w:ind w:left="30" w:leftChars="-33" w:hanging="99" w:hangingChars="55"/>
              <w:jc w:val="right"/>
              <w:rPr>
                <w:color w:val="auto"/>
                <w:sz w:val="18"/>
                <w:szCs w:val="18"/>
              </w:rPr>
            </w:pPr>
            <w:r>
              <w:rPr>
                <w:color w:val="auto"/>
                <w:sz w:val="18"/>
                <w:szCs w:val="18"/>
              </w:rPr>
              <w:t>0.1434</w:t>
            </w:r>
          </w:p>
          <w:p w14:paraId="4BD350CB">
            <w:pPr>
              <w:adjustRightInd w:val="0"/>
              <w:snapToGrid w:val="0"/>
              <w:spacing w:line="200" w:lineRule="exact"/>
              <w:ind w:left="30" w:leftChars="-33" w:hanging="99" w:hangingChars="55"/>
              <w:jc w:val="right"/>
              <w:rPr>
                <w:color w:val="auto"/>
                <w:sz w:val="18"/>
                <w:szCs w:val="18"/>
              </w:rPr>
            </w:pPr>
            <w:r>
              <w:rPr>
                <w:color w:val="auto"/>
                <w:sz w:val="18"/>
                <w:szCs w:val="18"/>
              </w:rPr>
              <w:t>0.1396</w:t>
            </w:r>
          </w:p>
          <w:p w14:paraId="323D05CD">
            <w:pPr>
              <w:adjustRightInd w:val="0"/>
              <w:snapToGrid w:val="0"/>
              <w:spacing w:line="200" w:lineRule="exact"/>
              <w:ind w:left="30" w:leftChars="-33" w:hanging="99" w:hangingChars="55"/>
              <w:jc w:val="right"/>
              <w:rPr>
                <w:color w:val="auto"/>
                <w:sz w:val="18"/>
                <w:szCs w:val="18"/>
              </w:rPr>
            </w:pPr>
            <w:r>
              <w:rPr>
                <w:color w:val="auto"/>
                <w:sz w:val="18"/>
                <w:szCs w:val="18"/>
              </w:rPr>
              <w:t>0.1359</w:t>
            </w:r>
          </w:p>
          <w:p w14:paraId="0DB10F6A">
            <w:pPr>
              <w:adjustRightInd w:val="0"/>
              <w:snapToGrid w:val="0"/>
              <w:spacing w:line="200" w:lineRule="exact"/>
              <w:ind w:left="30" w:leftChars="-33" w:hanging="99" w:hangingChars="55"/>
              <w:jc w:val="right"/>
              <w:rPr>
                <w:color w:val="auto"/>
                <w:sz w:val="18"/>
                <w:szCs w:val="18"/>
              </w:rPr>
            </w:pPr>
            <w:r>
              <w:rPr>
                <w:color w:val="auto"/>
                <w:sz w:val="18"/>
                <w:szCs w:val="18"/>
              </w:rPr>
              <w:t>0.1324</w:t>
            </w:r>
          </w:p>
          <w:p w14:paraId="2FB0F101">
            <w:pPr>
              <w:adjustRightInd w:val="0"/>
              <w:snapToGrid w:val="0"/>
              <w:spacing w:line="200" w:lineRule="exact"/>
              <w:ind w:left="30" w:leftChars="-33" w:hanging="99" w:hangingChars="55"/>
              <w:jc w:val="right"/>
              <w:rPr>
                <w:color w:val="auto"/>
                <w:sz w:val="18"/>
                <w:szCs w:val="18"/>
              </w:rPr>
            </w:pPr>
          </w:p>
          <w:p w14:paraId="123497E6">
            <w:pPr>
              <w:adjustRightInd w:val="0"/>
              <w:snapToGrid w:val="0"/>
              <w:spacing w:line="200" w:lineRule="exact"/>
              <w:ind w:left="30" w:leftChars="-33" w:hanging="99" w:hangingChars="55"/>
              <w:jc w:val="right"/>
              <w:rPr>
                <w:color w:val="auto"/>
                <w:sz w:val="18"/>
                <w:szCs w:val="18"/>
              </w:rPr>
            </w:pPr>
            <w:r>
              <w:rPr>
                <w:color w:val="auto"/>
                <w:sz w:val="18"/>
                <w:szCs w:val="18"/>
              </w:rPr>
              <w:t>0.1291</w:t>
            </w:r>
          </w:p>
          <w:p w14:paraId="15756381">
            <w:pPr>
              <w:adjustRightInd w:val="0"/>
              <w:snapToGrid w:val="0"/>
              <w:spacing w:line="200" w:lineRule="exact"/>
              <w:ind w:left="30" w:leftChars="-33" w:hanging="99" w:hangingChars="55"/>
              <w:jc w:val="right"/>
              <w:rPr>
                <w:color w:val="auto"/>
                <w:sz w:val="18"/>
                <w:szCs w:val="18"/>
              </w:rPr>
            </w:pPr>
            <w:r>
              <w:rPr>
                <w:color w:val="auto"/>
                <w:sz w:val="18"/>
                <w:szCs w:val="18"/>
              </w:rPr>
              <w:t>0.1259</w:t>
            </w:r>
          </w:p>
          <w:p w14:paraId="540F5E9F">
            <w:pPr>
              <w:adjustRightInd w:val="0"/>
              <w:snapToGrid w:val="0"/>
              <w:spacing w:line="200" w:lineRule="exact"/>
              <w:ind w:left="30" w:leftChars="-33" w:hanging="99" w:hangingChars="55"/>
              <w:jc w:val="right"/>
              <w:rPr>
                <w:color w:val="auto"/>
                <w:sz w:val="18"/>
                <w:szCs w:val="18"/>
              </w:rPr>
            </w:pPr>
            <w:r>
              <w:rPr>
                <w:color w:val="auto"/>
                <w:sz w:val="18"/>
                <w:szCs w:val="18"/>
              </w:rPr>
              <w:t>0.1229</w:t>
            </w:r>
          </w:p>
          <w:p w14:paraId="31DA73DA">
            <w:pPr>
              <w:adjustRightInd w:val="0"/>
              <w:snapToGrid w:val="0"/>
              <w:spacing w:line="200" w:lineRule="exact"/>
              <w:ind w:left="30" w:leftChars="-33" w:hanging="99" w:hangingChars="55"/>
              <w:jc w:val="right"/>
              <w:rPr>
                <w:color w:val="auto"/>
                <w:sz w:val="18"/>
                <w:szCs w:val="18"/>
              </w:rPr>
            </w:pPr>
            <w:r>
              <w:rPr>
                <w:color w:val="auto"/>
                <w:sz w:val="18"/>
                <w:szCs w:val="18"/>
              </w:rPr>
              <w:t>0.1200</w:t>
            </w:r>
          </w:p>
          <w:p w14:paraId="44D857CA">
            <w:pPr>
              <w:adjustRightInd w:val="0"/>
              <w:snapToGrid w:val="0"/>
              <w:spacing w:line="200" w:lineRule="exact"/>
              <w:ind w:left="30" w:leftChars="-33" w:hanging="99" w:hangingChars="55"/>
              <w:jc w:val="right"/>
              <w:rPr>
                <w:color w:val="auto"/>
                <w:sz w:val="18"/>
                <w:szCs w:val="18"/>
              </w:rPr>
            </w:pPr>
            <w:r>
              <w:rPr>
                <w:color w:val="auto"/>
                <w:sz w:val="18"/>
                <w:szCs w:val="18"/>
              </w:rPr>
              <w:t>0.1172</w:t>
            </w:r>
          </w:p>
        </w:tc>
        <w:tc>
          <w:tcPr>
            <w:tcW w:w="709" w:type="dxa"/>
            <w:tcBorders>
              <w:top w:val="nil"/>
              <w:bottom w:val="nil"/>
            </w:tcBorders>
          </w:tcPr>
          <w:p w14:paraId="01748FBC">
            <w:pPr>
              <w:adjustRightInd w:val="0"/>
              <w:snapToGrid w:val="0"/>
              <w:spacing w:line="200" w:lineRule="exact"/>
              <w:ind w:left="30" w:leftChars="-33" w:right="-48" w:rightChars="-23" w:hanging="99" w:hangingChars="55"/>
              <w:jc w:val="center"/>
              <w:rPr>
                <w:color w:val="auto"/>
                <w:sz w:val="18"/>
                <w:szCs w:val="18"/>
              </w:rPr>
            </w:pPr>
          </w:p>
          <w:p w14:paraId="1DE4905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0.1485</w:t>
            </w:r>
          </w:p>
          <w:p w14:paraId="642E12A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0.1445</w:t>
            </w:r>
          </w:p>
          <w:p w14:paraId="7380A77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0.1407</w:t>
            </w:r>
          </w:p>
          <w:p w14:paraId="684264E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0.1371</w:t>
            </w:r>
          </w:p>
          <w:p w14:paraId="7AD9F71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0.1337</w:t>
            </w:r>
          </w:p>
          <w:p w14:paraId="14BB5ADE">
            <w:pPr>
              <w:adjustRightInd w:val="0"/>
              <w:snapToGrid w:val="0"/>
              <w:spacing w:line="200" w:lineRule="exact"/>
              <w:ind w:left="30" w:leftChars="-33" w:right="-48" w:rightChars="-23" w:hanging="99" w:hangingChars="55"/>
              <w:jc w:val="center"/>
              <w:rPr>
                <w:color w:val="auto"/>
                <w:sz w:val="18"/>
                <w:szCs w:val="18"/>
              </w:rPr>
            </w:pPr>
          </w:p>
          <w:p w14:paraId="4457C97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0.1304</w:t>
            </w:r>
          </w:p>
          <w:p w14:paraId="12AB283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0.1273</w:t>
            </w:r>
          </w:p>
          <w:p w14:paraId="532361E3">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0.1243</w:t>
            </w:r>
          </w:p>
          <w:p w14:paraId="7C38E1E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0.1215</w:t>
            </w:r>
          </w:p>
          <w:p w14:paraId="27D31CF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0.1187</w:t>
            </w:r>
          </w:p>
        </w:tc>
        <w:tc>
          <w:tcPr>
            <w:tcW w:w="709" w:type="dxa"/>
            <w:tcBorders>
              <w:top w:val="nil"/>
              <w:bottom w:val="nil"/>
            </w:tcBorders>
          </w:tcPr>
          <w:p w14:paraId="76A5FE1B">
            <w:pPr>
              <w:adjustRightInd w:val="0"/>
              <w:snapToGrid w:val="0"/>
              <w:spacing w:line="200" w:lineRule="exact"/>
              <w:ind w:left="30" w:leftChars="-33" w:hanging="99" w:hangingChars="55"/>
              <w:jc w:val="right"/>
              <w:rPr>
                <w:color w:val="auto"/>
                <w:sz w:val="18"/>
                <w:szCs w:val="18"/>
              </w:rPr>
            </w:pPr>
          </w:p>
          <w:p w14:paraId="691EDADE">
            <w:pPr>
              <w:adjustRightInd w:val="0"/>
              <w:snapToGrid w:val="0"/>
              <w:spacing w:line="200" w:lineRule="exact"/>
              <w:ind w:left="30" w:leftChars="-33" w:hanging="99" w:hangingChars="55"/>
              <w:jc w:val="right"/>
              <w:rPr>
                <w:color w:val="auto"/>
                <w:sz w:val="18"/>
                <w:szCs w:val="18"/>
              </w:rPr>
            </w:pPr>
            <w:r>
              <w:rPr>
                <w:color w:val="auto"/>
                <w:sz w:val="18"/>
                <w:szCs w:val="18"/>
              </w:rPr>
              <w:t>0.1500</w:t>
            </w:r>
          </w:p>
          <w:p w14:paraId="7476A27D">
            <w:pPr>
              <w:adjustRightInd w:val="0"/>
              <w:snapToGrid w:val="0"/>
              <w:spacing w:line="200" w:lineRule="exact"/>
              <w:ind w:left="30" w:leftChars="-33" w:hanging="99" w:hangingChars="55"/>
              <w:jc w:val="right"/>
              <w:rPr>
                <w:color w:val="auto"/>
                <w:sz w:val="18"/>
                <w:szCs w:val="18"/>
              </w:rPr>
            </w:pPr>
            <w:r>
              <w:rPr>
                <w:color w:val="auto"/>
                <w:sz w:val="18"/>
                <w:szCs w:val="18"/>
              </w:rPr>
              <w:t>0.1462</w:t>
            </w:r>
          </w:p>
          <w:p w14:paraId="18F231E6">
            <w:pPr>
              <w:adjustRightInd w:val="0"/>
              <w:snapToGrid w:val="0"/>
              <w:spacing w:line="200" w:lineRule="exact"/>
              <w:ind w:left="30" w:leftChars="-33" w:hanging="99" w:hangingChars="55"/>
              <w:jc w:val="right"/>
              <w:rPr>
                <w:color w:val="auto"/>
                <w:sz w:val="18"/>
                <w:szCs w:val="18"/>
              </w:rPr>
            </w:pPr>
            <w:r>
              <w:rPr>
                <w:color w:val="auto"/>
                <w:sz w:val="18"/>
                <w:szCs w:val="18"/>
              </w:rPr>
              <w:t>0.1425</w:t>
            </w:r>
          </w:p>
          <w:p w14:paraId="05676A85">
            <w:pPr>
              <w:adjustRightInd w:val="0"/>
              <w:snapToGrid w:val="0"/>
              <w:spacing w:line="200" w:lineRule="exact"/>
              <w:ind w:left="30" w:leftChars="-33" w:hanging="99" w:hangingChars="55"/>
              <w:jc w:val="right"/>
              <w:rPr>
                <w:color w:val="auto"/>
                <w:sz w:val="18"/>
                <w:szCs w:val="18"/>
              </w:rPr>
            </w:pPr>
            <w:r>
              <w:rPr>
                <w:color w:val="auto"/>
                <w:sz w:val="18"/>
                <w:szCs w:val="18"/>
              </w:rPr>
              <w:t>0.1390</w:t>
            </w:r>
          </w:p>
          <w:p w14:paraId="582C54B6">
            <w:pPr>
              <w:adjustRightInd w:val="0"/>
              <w:snapToGrid w:val="0"/>
              <w:spacing w:line="200" w:lineRule="exact"/>
              <w:ind w:left="30" w:leftChars="-33" w:hanging="99" w:hangingChars="55"/>
              <w:jc w:val="right"/>
              <w:rPr>
                <w:color w:val="auto"/>
                <w:sz w:val="18"/>
                <w:szCs w:val="18"/>
              </w:rPr>
            </w:pPr>
            <w:r>
              <w:rPr>
                <w:color w:val="auto"/>
                <w:sz w:val="18"/>
                <w:szCs w:val="18"/>
              </w:rPr>
              <w:t>0.1357</w:t>
            </w:r>
          </w:p>
          <w:p w14:paraId="081A1E1F">
            <w:pPr>
              <w:adjustRightInd w:val="0"/>
              <w:snapToGrid w:val="0"/>
              <w:spacing w:line="200" w:lineRule="exact"/>
              <w:ind w:left="30" w:leftChars="-33" w:hanging="99" w:hangingChars="55"/>
              <w:jc w:val="right"/>
              <w:rPr>
                <w:color w:val="auto"/>
                <w:sz w:val="18"/>
                <w:szCs w:val="18"/>
              </w:rPr>
            </w:pPr>
          </w:p>
          <w:p w14:paraId="06C81C96">
            <w:pPr>
              <w:adjustRightInd w:val="0"/>
              <w:snapToGrid w:val="0"/>
              <w:spacing w:line="200" w:lineRule="exact"/>
              <w:ind w:left="30" w:leftChars="-33" w:hanging="99" w:hangingChars="55"/>
              <w:jc w:val="right"/>
              <w:rPr>
                <w:color w:val="auto"/>
                <w:sz w:val="18"/>
                <w:szCs w:val="18"/>
              </w:rPr>
            </w:pPr>
            <w:r>
              <w:rPr>
                <w:color w:val="auto"/>
                <w:sz w:val="18"/>
                <w:szCs w:val="18"/>
              </w:rPr>
              <w:t>0.1325</w:t>
            </w:r>
          </w:p>
          <w:p w14:paraId="536D098E">
            <w:pPr>
              <w:adjustRightInd w:val="0"/>
              <w:snapToGrid w:val="0"/>
              <w:spacing w:line="200" w:lineRule="exact"/>
              <w:ind w:left="30" w:leftChars="-33" w:hanging="99" w:hangingChars="55"/>
              <w:jc w:val="right"/>
              <w:rPr>
                <w:color w:val="auto"/>
                <w:sz w:val="18"/>
                <w:szCs w:val="18"/>
              </w:rPr>
            </w:pPr>
            <w:r>
              <w:rPr>
                <w:color w:val="auto"/>
                <w:sz w:val="18"/>
                <w:szCs w:val="18"/>
              </w:rPr>
              <w:t>0.1295</w:t>
            </w:r>
          </w:p>
          <w:p w14:paraId="7C46C1E0">
            <w:pPr>
              <w:adjustRightInd w:val="0"/>
              <w:snapToGrid w:val="0"/>
              <w:spacing w:line="200" w:lineRule="exact"/>
              <w:ind w:left="30" w:leftChars="-33" w:hanging="99" w:hangingChars="55"/>
              <w:jc w:val="right"/>
              <w:rPr>
                <w:color w:val="auto"/>
                <w:sz w:val="18"/>
                <w:szCs w:val="18"/>
              </w:rPr>
            </w:pPr>
            <w:r>
              <w:rPr>
                <w:color w:val="auto"/>
                <w:sz w:val="18"/>
                <w:szCs w:val="18"/>
              </w:rPr>
              <w:t>0.1265</w:t>
            </w:r>
          </w:p>
          <w:p w14:paraId="563FD50D">
            <w:pPr>
              <w:adjustRightInd w:val="0"/>
              <w:snapToGrid w:val="0"/>
              <w:spacing w:line="200" w:lineRule="exact"/>
              <w:ind w:left="30" w:leftChars="-33" w:hanging="99" w:hangingChars="55"/>
              <w:jc w:val="right"/>
              <w:rPr>
                <w:color w:val="auto"/>
                <w:sz w:val="18"/>
                <w:szCs w:val="18"/>
              </w:rPr>
            </w:pPr>
            <w:r>
              <w:rPr>
                <w:color w:val="auto"/>
                <w:sz w:val="18"/>
                <w:szCs w:val="18"/>
              </w:rPr>
              <w:t>0.1238</w:t>
            </w:r>
          </w:p>
          <w:p w14:paraId="78053EB4">
            <w:pPr>
              <w:adjustRightInd w:val="0"/>
              <w:snapToGrid w:val="0"/>
              <w:spacing w:line="200" w:lineRule="exact"/>
              <w:ind w:left="30" w:leftChars="-33" w:hanging="99" w:hangingChars="55"/>
              <w:jc w:val="right"/>
              <w:rPr>
                <w:color w:val="auto"/>
                <w:sz w:val="18"/>
                <w:szCs w:val="18"/>
              </w:rPr>
            </w:pPr>
            <w:r>
              <w:rPr>
                <w:color w:val="auto"/>
                <w:sz w:val="18"/>
                <w:szCs w:val="18"/>
              </w:rPr>
              <w:t>0.1211</w:t>
            </w:r>
          </w:p>
        </w:tc>
        <w:tc>
          <w:tcPr>
            <w:tcW w:w="708" w:type="dxa"/>
            <w:tcBorders>
              <w:top w:val="nil"/>
              <w:bottom w:val="nil"/>
            </w:tcBorders>
          </w:tcPr>
          <w:p w14:paraId="33D962B7">
            <w:pPr>
              <w:adjustRightInd w:val="0"/>
              <w:snapToGrid w:val="0"/>
              <w:spacing w:line="200" w:lineRule="exact"/>
              <w:ind w:left="30" w:leftChars="-33" w:hanging="99" w:hangingChars="55"/>
              <w:jc w:val="right"/>
              <w:rPr>
                <w:color w:val="auto"/>
                <w:sz w:val="18"/>
                <w:szCs w:val="18"/>
              </w:rPr>
            </w:pPr>
          </w:p>
          <w:p w14:paraId="05B0C84B">
            <w:pPr>
              <w:adjustRightInd w:val="0"/>
              <w:snapToGrid w:val="0"/>
              <w:spacing w:line="200" w:lineRule="exact"/>
              <w:ind w:left="30" w:leftChars="-33" w:hanging="99" w:hangingChars="55"/>
              <w:jc w:val="right"/>
              <w:rPr>
                <w:color w:val="auto"/>
                <w:sz w:val="18"/>
                <w:szCs w:val="18"/>
              </w:rPr>
            </w:pPr>
            <w:r>
              <w:rPr>
                <w:color w:val="auto"/>
                <w:sz w:val="18"/>
                <w:szCs w:val="18"/>
              </w:rPr>
              <w:t>0.1516</w:t>
            </w:r>
          </w:p>
          <w:p w14:paraId="1F075896">
            <w:pPr>
              <w:adjustRightInd w:val="0"/>
              <w:snapToGrid w:val="0"/>
              <w:spacing w:line="200" w:lineRule="exact"/>
              <w:ind w:left="30" w:leftChars="-33" w:hanging="99" w:hangingChars="55"/>
              <w:jc w:val="right"/>
              <w:rPr>
                <w:color w:val="auto"/>
                <w:sz w:val="18"/>
                <w:szCs w:val="18"/>
              </w:rPr>
            </w:pPr>
            <w:r>
              <w:rPr>
                <w:color w:val="auto"/>
                <w:sz w:val="18"/>
                <w:szCs w:val="18"/>
              </w:rPr>
              <w:t>0.1479</w:t>
            </w:r>
          </w:p>
          <w:p w14:paraId="51970873">
            <w:pPr>
              <w:adjustRightInd w:val="0"/>
              <w:snapToGrid w:val="0"/>
              <w:spacing w:line="200" w:lineRule="exact"/>
              <w:ind w:left="30" w:leftChars="-33" w:hanging="99" w:hangingChars="55"/>
              <w:jc w:val="right"/>
              <w:rPr>
                <w:color w:val="auto"/>
                <w:sz w:val="18"/>
                <w:szCs w:val="18"/>
              </w:rPr>
            </w:pPr>
            <w:r>
              <w:rPr>
                <w:color w:val="auto"/>
                <w:sz w:val="18"/>
                <w:szCs w:val="18"/>
              </w:rPr>
              <w:t>0.1444</w:t>
            </w:r>
          </w:p>
          <w:p w14:paraId="49A67432">
            <w:pPr>
              <w:adjustRightInd w:val="0"/>
              <w:snapToGrid w:val="0"/>
              <w:spacing w:line="200" w:lineRule="exact"/>
              <w:ind w:left="30" w:leftChars="-33" w:hanging="99" w:hangingChars="55"/>
              <w:jc w:val="right"/>
              <w:rPr>
                <w:color w:val="auto"/>
                <w:sz w:val="18"/>
                <w:szCs w:val="18"/>
              </w:rPr>
            </w:pPr>
            <w:r>
              <w:rPr>
                <w:color w:val="auto"/>
                <w:sz w:val="18"/>
                <w:szCs w:val="18"/>
              </w:rPr>
              <w:t>0.1410</w:t>
            </w:r>
          </w:p>
          <w:p w14:paraId="33E53DA9">
            <w:pPr>
              <w:adjustRightInd w:val="0"/>
              <w:snapToGrid w:val="0"/>
              <w:spacing w:line="200" w:lineRule="exact"/>
              <w:ind w:left="30" w:leftChars="-33" w:hanging="99" w:hangingChars="55"/>
              <w:jc w:val="right"/>
              <w:rPr>
                <w:color w:val="auto"/>
                <w:sz w:val="18"/>
                <w:szCs w:val="18"/>
              </w:rPr>
            </w:pPr>
            <w:r>
              <w:rPr>
                <w:color w:val="auto"/>
                <w:sz w:val="18"/>
                <w:szCs w:val="18"/>
              </w:rPr>
              <w:t>0.1379</w:t>
            </w:r>
          </w:p>
          <w:p w14:paraId="589E2616">
            <w:pPr>
              <w:adjustRightInd w:val="0"/>
              <w:snapToGrid w:val="0"/>
              <w:spacing w:line="200" w:lineRule="exact"/>
              <w:ind w:left="30" w:leftChars="-33" w:hanging="99" w:hangingChars="55"/>
              <w:jc w:val="right"/>
              <w:rPr>
                <w:color w:val="auto"/>
                <w:sz w:val="18"/>
                <w:szCs w:val="18"/>
              </w:rPr>
            </w:pPr>
          </w:p>
          <w:p w14:paraId="7D1B3F05">
            <w:pPr>
              <w:adjustRightInd w:val="0"/>
              <w:snapToGrid w:val="0"/>
              <w:spacing w:line="200" w:lineRule="exact"/>
              <w:ind w:left="30" w:leftChars="-33" w:hanging="99" w:hangingChars="55"/>
              <w:jc w:val="right"/>
              <w:rPr>
                <w:color w:val="auto"/>
                <w:sz w:val="18"/>
                <w:szCs w:val="18"/>
              </w:rPr>
            </w:pPr>
            <w:r>
              <w:rPr>
                <w:color w:val="auto"/>
                <w:sz w:val="18"/>
                <w:szCs w:val="18"/>
              </w:rPr>
              <w:t>0.1348</w:t>
            </w:r>
          </w:p>
          <w:p w14:paraId="2D8554BF">
            <w:pPr>
              <w:adjustRightInd w:val="0"/>
              <w:snapToGrid w:val="0"/>
              <w:spacing w:line="200" w:lineRule="exact"/>
              <w:ind w:left="30" w:leftChars="-33" w:hanging="99" w:hangingChars="55"/>
              <w:jc w:val="right"/>
              <w:rPr>
                <w:color w:val="auto"/>
                <w:sz w:val="18"/>
                <w:szCs w:val="18"/>
              </w:rPr>
            </w:pPr>
            <w:r>
              <w:rPr>
                <w:color w:val="auto"/>
                <w:sz w:val="18"/>
                <w:szCs w:val="18"/>
              </w:rPr>
              <w:t>0.1320</w:t>
            </w:r>
          </w:p>
          <w:p w14:paraId="09298652">
            <w:pPr>
              <w:adjustRightInd w:val="0"/>
              <w:snapToGrid w:val="0"/>
              <w:spacing w:line="200" w:lineRule="exact"/>
              <w:ind w:left="30" w:leftChars="-33" w:hanging="99" w:hangingChars="55"/>
              <w:jc w:val="right"/>
              <w:rPr>
                <w:color w:val="auto"/>
                <w:sz w:val="18"/>
                <w:szCs w:val="18"/>
              </w:rPr>
            </w:pPr>
            <w:r>
              <w:rPr>
                <w:color w:val="auto"/>
                <w:sz w:val="18"/>
                <w:szCs w:val="18"/>
              </w:rPr>
              <w:t>0.1292</w:t>
            </w:r>
          </w:p>
          <w:p w14:paraId="68495ED8">
            <w:pPr>
              <w:adjustRightInd w:val="0"/>
              <w:snapToGrid w:val="0"/>
              <w:spacing w:line="200" w:lineRule="exact"/>
              <w:ind w:left="30" w:leftChars="-33" w:hanging="99" w:hangingChars="55"/>
              <w:jc w:val="right"/>
              <w:rPr>
                <w:color w:val="auto"/>
                <w:sz w:val="18"/>
                <w:szCs w:val="18"/>
              </w:rPr>
            </w:pPr>
            <w:r>
              <w:rPr>
                <w:color w:val="auto"/>
                <w:sz w:val="18"/>
                <w:szCs w:val="18"/>
              </w:rPr>
              <w:t>0.1266</w:t>
            </w:r>
          </w:p>
          <w:p w14:paraId="60DB5796">
            <w:pPr>
              <w:adjustRightInd w:val="0"/>
              <w:snapToGrid w:val="0"/>
              <w:spacing w:line="200" w:lineRule="exact"/>
              <w:ind w:left="30" w:leftChars="-33" w:hanging="99" w:hangingChars="55"/>
              <w:jc w:val="right"/>
              <w:rPr>
                <w:color w:val="auto"/>
                <w:sz w:val="18"/>
                <w:szCs w:val="18"/>
              </w:rPr>
            </w:pPr>
            <w:r>
              <w:rPr>
                <w:color w:val="auto"/>
                <w:sz w:val="18"/>
                <w:szCs w:val="18"/>
              </w:rPr>
              <w:t>0.1240</w:t>
            </w:r>
          </w:p>
        </w:tc>
      </w:tr>
      <w:tr w14:paraId="71BB6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7" w:hRule="atLeast"/>
          <w:jc w:val="center"/>
        </w:trPr>
        <w:tc>
          <w:tcPr>
            <w:tcW w:w="473" w:type="dxa"/>
            <w:tcBorders>
              <w:top w:val="nil"/>
            </w:tcBorders>
          </w:tcPr>
          <w:p w14:paraId="1B6D55D1">
            <w:pPr>
              <w:adjustRightInd w:val="0"/>
              <w:snapToGrid w:val="0"/>
              <w:spacing w:line="200" w:lineRule="exact"/>
              <w:jc w:val="center"/>
              <w:rPr>
                <w:color w:val="auto"/>
                <w:sz w:val="18"/>
                <w:szCs w:val="18"/>
              </w:rPr>
            </w:pPr>
            <w:r>
              <w:rPr>
                <w:color w:val="auto"/>
                <w:sz w:val="18"/>
                <w:szCs w:val="18"/>
              </w:rPr>
              <w:t>6.0</w:t>
            </w:r>
          </w:p>
          <w:p w14:paraId="0F1A256D">
            <w:pPr>
              <w:adjustRightInd w:val="0"/>
              <w:snapToGrid w:val="0"/>
              <w:spacing w:line="200" w:lineRule="exact"/>
              <w:jc w:val="center"/>
              <w:rPr>
                <w:color w:val="auto"/>
                <w:sz w:val="18"/>
                <w:szCs w:val="18"/>
              </w:rPr>
            </w:pPr>
            <w:r>
              <w:rPr>
                <w:color w:val="auto"/>
                <w:sz w:val="18"/>
                <w:szCs w:val="18"/>
              </w:rPr>
              <w:t>6.2</w:t>
            </w:r>
          </w:p>
          <w:p w14:paraId="70E00247">
            <w:pPr>
              <w:adjustRightInd w:val="0"/>
              <w:snapToGrid w:val="0"/>
              <w:spacing w:line="200" w:lineRule="exact"/>
              <w:jc w:val="center"/>
              <w:rPr>
                <w:color w:val="auto"/>
                <w:sz w:val="18"/>
                <w:szCs w:val="18"/>
              </w:rPr>
            </w:pPr>
            <w:r>
              <w:rPr>
                <w:color w:val="auto"/>
                <w:sz w:val="18"/>
                <w:szCs w:val="18"/>
              </w:rPr>
              <w:t>6.4</w:t>
            </w:r>
          </w:p>
          <w:p w14:paraId="402AF255">
            <w:pPr>
              <w:adjustRightInd w:val="0"/>
              <w:snapToGrid w:val="0"/>
              <w:spacing w:line="200" w:lineRule="exact"/>
              <w:jc w:val="center"/>
              <w:rPr>
                <w:color w:val="auto"/>
                <w:sz w:val="18"/>
                <w:szCs w:val="18"/>
              </w:rPr>
            </w:pPr>
            <w:r>
              <w:rPr>
                <w:color w:val="auto"/>
                <w:sz w:val="18"/>
                <w:szCs w:val="18"/>
              </w:rPr>
              <w:t>6.6</w:t>
            </w:r>
          </w:p>
          <w:p w14:paraId="4E340763">
            <w:pPr>
              <w:adjustRightInd w:val="0"/>
              <w:snapToGrid w:val="0"/>
              <w:spacing w:line="200" w:lineRule="exact"/>
              <w:jc w:val="center"/>
              <w:rPr>
                <w:color w:val="auto"/>
                <w:sz w:val="18"/>
                <w:szCs w:val="18"/>
              </w:rPr>
            </w:pPr>
            <w:r>
              <w:rPr>
                <w:color w:val="auto"/>
                <w:sz w:val="18"/>
                <w:szCs w:val="18"/>
              </w:rPr>
              <w:t>6.8</w:t>
            </w:r>
          </w:p>
          <w:p w14:paraId="01D55D36">
            <w:pPr>
              <w:adjustRightInd w:val="0"/>
              <w:snapToGrid w:val="0"/>
              <w:spacing w:line="200" w:lineRule="exact"/>
              <w:jc w:val="center"/>
              <w:rPr>
                <w:color w:val="auto"/>
                <w:sz w:val="18"/>
                <w:szCs w:val="18"/>
              </w:rPr>
            </w:pPr>
          </w:p>
          <w:p w14:paraId="5C0F16E4">
            <w:pPr>
              <w:adjustRightInd w:val="0"/>
              <w:snapToGrid w:val="0"/>
              <w:spacing w:line="200" w:lineRule="exact"/>
              <w:jc w:val="center"/>
              <w:rPr>
                <w:color w:val="auto"/>
                <w:sz w:val="18"/>
                <w:szCs w:val="18"/>
              </w:rPr>
            </w:pPr>
            <w:r>
              <w:rPr>
                <w:color w:val="auto"/>
                <w:sz w:val="18"/>
                <w:szCs w:val="18"/>
              </w:rPr>
              <w:t>7.0</w:t>
            </w:r>
          </w:p>
          <w:p w14:paraId="76430432">
            <w:pPr>
              <w:adjustRightInd w:val="0"/>
              <w:snapToGrid w:val="0"/>
              <w:spacing w:line="200" w:lineRule="exact"/>
              <w:jc w:val="center"/>
              <w:rPr>
                <w:color w:val="auto"/>
                <w:sz w:val="18"/>
                <w:szCs w:val="18"/>
              </w:rPr>
            </w:pPr>
            <w:r>
              <w:rPr>
                <w:color w:val="auto"/>
                <w:sz w:val="18"/>
                <w:szCs w:val="18"/>
              </w:rPr>
              <w:t>7.2</w:t>
            </w:r>
          </w:p>
          <w:p w14:paraId="00814D96">
            <w:pPr>
              <w:adjustRightInd w:val="0"/>
              <w:snapToGrid w:val="0"/>
              <w:spacing w:line="200" w:lineRule="exact"/>
              <w:jc w:val="center"/>
              <w:rPr>
                <w:color w:val="auto"/>
                <w:sz w:val="18"/>
                <w:szCs w:val="18"/>
              </w:rPr>
            </w:pPr>
            <w:r>
              <w:rPr>
                <w:color w:val="auto"/>
                <w:sz w:val="18"/>
                <w:szCs w:val="18"/>
              </w:rPr>
              <w:t>7.4</w:t>
            </w:r>
          </w:p>
          <w:p w14:paraId="368E8314">
            <w:pPr>
              <w:adjustRightInd w:val="0"/>
              <w:snapToGrid w:val="0"/>
              <w:spacing w:line="200" w:lineRule="exact"/>
              <w:jc w:val="center"/>
              <w:rPr>
                <w:color w:val="auto"/>
                <w:sz w:val="18"/>
                <w:szCs w:val="18"/>
              </w:rPr>
            </w:pPr>
            <w:r>
              <w:rPr>
                <w:color w:val="auto"/>
                <w:sz w:val="18"/>
                <w:szCs w:val="18"/>
              </w:rPr>
              <w:t>7.6</w:t>
            </w:r>
          </w:p>
          <w:p w14:paraId="363407DF">
            <w:pPr>
              <w:adjustRightInd w:val="0"/>
              <w:snapToGrid w:val="0"/>
              <w:spacing w:line="200" w:lineRule="exact"/>
              <w:jc w:val="center"/>
              <w:rPr>
                <w:color w:val="auto"/>
                <w:sz w:val="18"/>
                <w:szCs w:val="18"/>
              </w:rPr>
            </w:pPr>
            <w:r>
              <w:rPr>
                <w:color w:val="auto"/>
                <w:sz w:val="18"/>
                <w:szCs w:val="18"/>
              </w:rPr>
              <w:t>7.8</w:t>
            </w:r>
          </w:p>
          <w:p w14:paraId="36F7462C">
            <w:pPr>
              <w:adjustRightInd w:val="0"/>
              <w:snapToGrid w:val="0"/>
              <w:spacing w:line="200" w:lineRule="exact"/>
              <w:jc w:val="center"/>
              <w:rPr>
                <w:color w:val="auto"/>
                <w:sz w:val="18"/>
                <w:szCs w:val="18"/>
              </w:rPr>
            </w:pPr>
          </w:p>
        </w:tc>
        <w:tc>
          <w:tcPr>
            <w:tcW w:w="648" w:type="dxa"/>
            <w:tcBorders>
              <w:top w:val="nil"/>
            </w:tcBorders>
          </w:tcPr>
          <w:p w14:paraId="2B0D217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0.0805</w:t>
            </w:r>
          </w:p>
          <w:p w14:paraId="18EA083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0.0783</w:t>
            </w:r>
          </w:p>
          <w:p w14:paraId="37DF46A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0.0762</w:t>
            </w:r>
          </w:p>
          <w:p w14:paraId="609D5E8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0.0742</w:t>
            </w:r>
          </w:p>
          <w:p w14:paraId="025B5FA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0.0723</w:t>
            </w:r>
          </w:p>
          <w:p w14:paraId="000BC906">
            <w:pPr>
              <w:adjustRightInd w:val="0"/>
              <w:snapToGrid w:val="0"/>
              <w:spacing w:line="200" w:lineRule="exact"/>
              <w:ind w:left="30" w:leftChars="-33" w:right="-48" w:rightChars="-23" w:hanging="99" w:hangingChars="55"/>
              <w:jc w:val="center"/>
              <w:rPr>
                <w:color w:val="auto"/>
                <w:sz w:val="18"/>
                <w:szCs w:val="18"/>
              </w:rPr>
            </w:pPr>
          </w:p>
          <w:p w14:paraId="0D268FF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0.0705</w:t>
            </w:r>
          </w:p>
          <w:p w14:paraId="1AD4A2C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0.0688</w:t>
            </w:r>
          </w:p>
          <w:p w14:paraId="0271722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0.0672</w:t>
            </w:r>
          </w:p>
          <w:p w14:paraId="2CFD5C4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0.0656</w:t>
            </w:r>
          </w:p>
          <w:p w14:paraId="075BC7F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0.0642</w:t>
            </w:r>
          </w:p>
          <w:p w14:paraId="79EC2223">
            <w:pPr>
              <w:adjustRightInd w:val="0"/>
              <w:snapToGrid w:val="0"/>
              <w:spacing w:line="200" w:lineRule="exact"/>
              <w:ind w:left="30" w:leftChars="-33" w:right="-48" w:rightChars="-23" w:hanging="99" w:hangingChars="55"/>
              <w:jc w:val="center"/>
              <w:rPr>
                <w:color w:val="auto"/>
                <w:sz w:val="18"/>
                <w:szCs w:val="18"/>
              </w:rPr>
            </w:pPr>
          </w:p>
        </w:tc>
        <w:tc>
          <w:tcPr>
            <w:tcW w:w="686" w:type="dxa"/>
            <w:tcBorders>
              <w:top w:val="nil"/>
            </w:tcBorders>
          </w:tcPr>
          <w:p w14:paraId="59565C6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0.0866</w:t>
            </w:r>
          </w:p>
          <w:p w14:paraId="1F8711D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0.0842</w:t>
            </w:r>
          </w:p>
          <w:p w14:paraId="286F76E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0.0820</w:t>
            </w:r>
          </w:p>
          <w:p w14:paraId="4E16F3C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0.0799</w:t>
            </w:r>
          </w:p>
          <w:p w14:paraId="3259112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0.0779</w:t>
            </w:r>
          </w:p>
          <w:p w14:paraId="5290FB16">
            <w:pPr>
              <w:adjustRightInd w:val="0"/>
              <w:snapToGrid w:val="0"/>
              <w:spacing w:line="200" w:lineRule="exact"/>
              <w:ind w:left="30" w:leftChars="-33" w:right="-48" w:rightChars="-23" w:hanging="99" w:hangingChars="55"/>
              <w:jc w:val="center"/>
              <w:rPr>
                <w:color w:val="auto"/>
                <w:sz w:val="18"/>
                <w:szCs w:val="18"/>
              </w:rPr>
            </w:pPr>
          </w:p>
          <w:p w14:paraId="707A638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0.0761</w:t>
            </w:r>
          </w:p>
          <w:p w14:paraId="6DB2D63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0.0742</w:t>
            </w:r>
          </w:p>
          <w:p w14:paraId="42E89EE0">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0.0725</w:t>
            </w:r>
          </w:p>
          <w:p w14:paraId="09487B0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0.0709</w:t>
            </w:r>
          </w:p>
          <w:p w14:paraId="63157B4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0.0693</w:t>
            </w:r>
          </w:p>
          <w:p w14:paraId="1028F1BC">
            <w:pPr>
              <w:adjustRightInd w:val="0"/>
              <w:snapToGrid w:val="0"/>
              <w:spacing w:line="200" w:lineRule="exact"/>
              <w:ind w:left="30" w:leftChars="-33" w:right="-48" w:rightChars="-23" w:hanging="99" w:hangingChars="55"/>
              <w:jc w:val="center"/>
              <w:rPr>
                <w:color w:val="auto"/>
                <w:sz w:val="18"/>
                <w:szCs w:val="18"/>
              </w:rPr>
            </w:pPr>
          </w:p>
        </w:tc>
        <w:tc>
          <w:tcPr>
            <w:tcW w:w="730" w:type="dxa"/>
            <w:tcBorders>
              <w:top w:val="nil"/>
            </w:tcBorders>
          </w:tcPr>
          <w:p w14:paraId="08690CF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0.0916</w:t>
            </w:r>
          </w:p>
          <w:p w14:paraId="01A5925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0.0891</w:t>
            </w:r>
          </w:p>
          <w:p w14:paraId="290E1BF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0.0869</w:t>
            </w:r>
          </w:p>
          <w:p w14:paraId="37E6ED1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0.0847</w:t>
            </w:r>
          </w:p>
          <w:p w14:paraId="5A58BC1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0.0826</w:t>
            </w:r>
          </w:p>
          <w:p w14:paraId="26F9E46D">
            <w:pPr>
              <w:adjustRightInd w:val="0"/>
              <w:snapToGrid w:val="0"/>
              <w:spacing w:line="200" w:lineRule="exact"/>
              <w:ind w:left="30" w:leftChars="-33" w:right="-48" w:rightChars="-23" w:hanging="99" w:hangingChars="55"/>
              <w:jc w:val="center"/>
              <w:rPr>
                <w:color w:val="auto"/>
                <w:sz w:val="18"/>
                <w:szCs w:val="18"/>
              </w:rPr>
            </w:pPr>
          </w:p>
          <w:p w14:paraId="7AB85B0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0.0806</w:t>
            </w:r>
          </w:p>
          <w:p w14:paraId="6D11F17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0.0787</w:t>
            </w:r>
          </w:p>
          <w:p w14:paraId="53E49AF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0.0769</w:t>
            </w:r>
          </w:p>
          <w:p w14:paraId="392E08D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0.0752</w:t>
            </w:r>
          </w:p>
          <w:p w14:paraId="2365A29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0.0736</w:t>
            </w:r>
          </w:p>
          <w:p w14:paraId="3D10F7EB">
            <w:pPr>
              <w:adjustRightInd w:val="0"/>
              <w:snapToGrid w:val="0"/>
              <w:spacing w:line="200" w:lineRule="exact"/>
              <w:ind w:left="30" w:leftChars="-33" w:right="-48" w:rightChars="-23" w:hanging="99" w:hangingChars="55"/>
              <w:jc w:val="center"/>
              <w:rPr>
                <w:color w:val="auto"/>
                <w:sz w:val="18"/>
                <w:szCs w:val="18"/>
              </w:rPr>
            </w:pPr>
          </w:p>
        </w:tc>
        <w:tc>
          <w:tcPr>
            <w:tcW w:w="709" w:type="dxa"/>
            <w:tcBorders>
              <w:top w:val="nil"/>
            </w:tcBorders>
          </w:tcPr>
          <w:p w14:paraId="26AD3B52">
            <w:pPr>
              <w:adjustRightInd w:val="0"/>
              <w:snapToGrid w:val="0"/>
              <w:spacing w:line="200" w:lineRule="exact"/>
              <w:ind w:left="30" w:leftChars="-33" w:hanging="99" w:hangingChars="55"/>
              <w:jc w:val="right"/>
              <w:rPr>
                <w:color w:val="auto"/>
                <w:sz w:val="18"/>
                <w:szCs w:val="18"/>
              </w:rPr>
            </w:pPr>
            <w:r>
              <w:rPr>
                <w:color w:val="auto"/>
                <w:sz w:val="18"/>
                <w:szCs w:val="18"/>
              </w:rPr>
              <w:t>0.0957</w:t>
            </w:r>
          </w:p>
          <w:p w14:paraId="78C83E0F">
            <w:pPr>
              <w:adjustRightInd w:val="0"/>
              <w:snapToGrid w:val="0"/>
              <w:spacing w:line="200" w:lineRule="exact"/>
              <w:ind w:left="30" w:leftChars="-33" w:hanging="99" w:hangingChars="55"/>
              <w:jc w:val="right"/>
              <w:rPr>
                <w:color w:val="auto"/>
                <w:sz w:val="18"/>
                <w:szCs w:val="18"/>
              </w:rPr>
            </w:pPr>
            <w:r>
              <w:rPr>
                <w:color w:val="auto"/>
                <w:sz w:val="18"/>
                <w:szCs w:val="18"/>
              </w:rPr>
              <w:t>0.0932</w:t>
            </w:r>
          </w:p>
          <w:p w14:paraId="43E6D8D1">
            <w:pPr>
              <w:adjustRightInd w:val="0"/>
              <w:snapToGrid w:val="0"/>
              <w:spacing w:line="200" w:lineRule="exact"/>
              <w:ind w:left="30" w:leftChars="-33" w:hanging="99" w:hangingChars="55"/>
              <w:jc w:val="right"/>
              <w:rPr>
                <w:color w:val="auto"/>
                <w:sz w:val="18"/>
                <w:szCs w:val="18"/>
              </w:rPr>
            </w:pPr>
            <w:r>
              <w:rPr>
                <w:color w:val="auto"/>
                <w:sz w:val="18"/>
                <w:szCs w:val="18"/>
              </w:rPr>
              <w:t>0.0909</w:t>
            </w:r>
          </w:p>
          <w:p w14:paraId="343272BF">
            <w:pPr>
              <w:adjustRightInd w:val="0"/>
              <w:snapToGrid w:val="0"/>
              <w:spacing w:line="200" w:lineRule="exact"/>
              <w:ind w:left="30" w:leftChars="-33" w:hanging="99" w:hangingChars="55"/>
              <w:jc w:val="right"/>
              <w:rPr>
                <w:color w:val="auto"/>
                <w:sz w:val="18"/>
                <w:szCs w:val="18"/>
              </w:rPr>
            </w:pPr>
            <w:r>
              <w:rPr>
                <w:color w:val="auto"/>
                <w:sz w:val="18"/>
                <w:szCs w:val="18"/>
              </w:rPr>
              <w:t>0.0886</w:t>
            </w:r>
          </w:p>
          <w:p w14:paraId="232256E7">
            <w:pPr>
              <w:adjustRightInd w:val="0"/>
              <w:snapToGrid w:val="0"/>
              <w:spacing w:line="200" w:lineRule="exact"/>
              <w:ind w:left="30" w:leftChars="-33" w:hanging="99" w:hangingChars="55"/>
              <w:jc w:val="right"/>
              <w:rPr>
                <w:color w:val="auto"/>
                <w:sz w:val="18"/>
                <w:szCs w:val="18"/>
              </w:rPr>
            </w:pPr>
            <w:r>
              <w:rPr>
                <w:color w:val="auto"/>
                <w:sz w:val="18"/>
                <w:szCs w:val="18"/>
              </w:rPr>
              <w:t>0.0865</w:t>
            </w:r>
          </w:p>
          <w:p w14:paraId="72C5BF5E">
            <w:pPr>
              <w:adjustRightInd w:val="0"/>
              <w:snapToGrid w:val="0"/>
              <w:spacing w:line="200" w:lineRule="exact"/>
              <w:ind w:left="30" w:leftChars="-33" w:hanging="99" w:hangingChars="55"/>
              <w:jc w:val="right"/>
              <w:rPr>
                <w:color w:val="auto"/>
                <w:sz w:val="18"/>
                <w:szCs w:val="18"/>
              </w:rPr>
            </w:pPr>
          </w:p>
          <w:p w14:paraId="02B43BF6">
            <w:pPr>
              <w:adjustRightInd w:val="0"/>
              <w:snapToGrid w:val="0"/>
              <w:spacing w:line="200" w:lineRule="exact"/>
              <w:ind w:left="30" w:leftChars="-33" w:hanging="99" w:hangingChars="55"/>
              <w:jc w:val="right"/>
              <w:rPr>
                <w:color w:val="auto"/>
                <w:sz w:val="18"/>
                <w:szCs w:val="18"/>
              </w:rPr>
            </w:pPr>
            <w:r>
              <w:rPr>
                <w:color w:val="auto"/>
                <w:sz w:val="18"/>
                <w:szCs w:val="18"/>
              </w:rPr>
              <w:t>0.0844</w:t>
            </w:r>
          </w:p>
          <w:p w14:paraId="75970C06">
            <w:pPr>
              <w:adjustRightInd w:val="0"/>
              <w:snapToGrid w:val="0"/>
              <w:spacing w:line="200" w:lineRule="exact"/>
              <w:ind w:left="30" w:leftChars="-33" w:hanging="99" w:hangingChars="55"/>
              <w:jc w:val="right"/>
              <w:rPr>
                <w:color w:val="auto"/>
                <w:sz w:val="18"/>
                <w:szCs w:val="18"/>
              </w:rPr>
            </w:pPr>
            <w:r>
              <w:rPr>
                <w:color w:val="auto"/>
                <w:sz w:val="18"/>
                <w:szCs w:val="18"/>
              </w:rPr>
              <w:t>0.0825</w:t>
            </w:r>
          </w:p>
          <w:p w14:paraId="10B169D3">
            <w:pPr>
              <w:adjustRightInd w:val="0"/>
              <w:snapToGrid w:val="0"/>
              <w:spacing w:line="200" w:lineRule="exact"/>
              <w:ind w:left="30" w:leftChars="-33" w:hanging="99" w:hangingChars="55"/>
              <w:jc w:val="right"/>
              <w:rPr>
                <w:color w:val="auto"/>
                <w:sz w:val="18"/>
                <w:szCs w:val="18"/>
              </w:rPr>
            </w:pPr>
            <w:r>
              <w:rPr>
                <w:color w:val="auto"/>
                <w:sz w:val="18"/>
                <w:szCs w:val="18"/>
              </w:rPr>
              <w:t>0.0806</w:t>
            </w:r>
          </w:p>
          <w:p w14:paraId="085EA843">
            <w:pPr>
              <w:adjustRightInd w:val="0"/>
              <w:snapToGrid w:val="0"/>
              <w:spacing w:line="200" w:lineRule="exact"/>
              <w:ind w:left="30" w:leftChars="-33" w:hanging="99" w:hangingChars="55"/>
              <w:jc w:val="right"/>
              <w:rPr>
                <w:color w:val="auto"/>
                <w:sz w:val="18"/>
                <w:szCs w:val="18"/>
              </w:rPr>
            </w:pPr>
            <w:r>
              <w:rPr>
                <w:color w:val="auto"/>
                <w:sz w:val="18"/>
                <w:szCs w:val="18"/>
              </w:rPr>
              <w:t>0.0789</w:t>
            </w:r>
          </w:p>
          <w:p w14:paraId="5FEFE462">
            <w:pPr>
              <w:adjustRightInd w:val="0"/>
              <w:snapToGrid w:val="0"/>
              <w:spacing w:line="200" w:lineRule="exact"/>
              <w:ind w:left="30" w:leftChars="-33" w:hanging="99" w:hangingChars="55"/>
              <w:jc w:val="right"/>
              <w:rPr>
                <w:color w:val="auto"/>
                <w:sz w:val="18"/>
                <w:szCs w:val="18"/>
              </w:rPr>
            </w:pPr>
            <w:r>
              <w:rPr>
                <w:color w:val="auto"/>
                <w:sz w:val="18"/>
                <w:szCs w:val="18"/>
              </w:rPr>
              <w:t>0.0771</w:t>
            </w:r>
          </w:p>
          <w:p w14:paraId="5ADCDA06">
            <w:pPr>
              <w:adjustRightInd w:val="0"/>
              <w:snapToGrid w:val="0"/>
              <w:spacing w:line="200" w:lineRule="exact"/>
              <w:ind w:left="30" w:leftChars="-33" w:hanging="99" w:hangingChars="55"/>
              <w:jc w:val="right"/>
              <w:rPr>
                <w:color w:val="auto"/>
                <w:sz w:val="18"/>
                <w:szCs w:val="18"/>
              </w:rPr>
            </w:pPr>
          </w:p>
        </w:tc>
        <w:tc>
          <w:tcPr>
            <w:tcW w:w="708" w:type="dxa"/>
            <w:tcBorders>
              <w:top w:val="nil"/>
            </w:tcBorders>
          </w:tcPr>
          <w:p w14:paraId="72D1AB56">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0.0991</w:t>
            </w:r>
          </w:p>
          <w:p w14:paraId="75B0A22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0.0966</w:t>
            </w:r>
          </w:p>
          <w:p w14:paraId="65CC8F6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0.0942</w:t>
            </w:r>
          </w:p>
          <w:p w14:paraId="3DCE6BF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0.0919</w:t>
            </w:r>
          </w:p>
          <w:p w14:paraId="40AF972F">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0.0898</w:t>
            </w:r>
          </w:p>
          <w:p w14:paraId="7E6AEABF">
            <w:pPr>
              <w:adjustRightInd w:val="0"/>
              <w:snapToGrid w:val="0"/>
              <w:spacing w:line="200" w:lineRule="exact"/>
              <w:ind w:left="30" w:leftChars="-33" w:right="-48" w:rightChars="-23" w:hanging="99" w:hangingChars="55"/>
              <w:jc w:val="center"/>
              <w:rPr>
                <w:color w:val="auto"/>
                <w:sz w:val="18"/>
                <w:szCs w:val="18"/>
              </w:rPr>
            </w:pPr>
          </w:p>
          <w:p w14:paraId="75C9F36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0.0877</w:t>
            </w:r>
          </w:p>
          <w:p w14:paraId="51B7AD7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0.0857</w:t>
            </w:r>
          </w:p>
          <w:p w14:paraId="4435C19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0.0838</w:t>
            </w:r>
          </w:p>
          <w:p w14:paraId="59BB83F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0.0820</w:t>
            </w:r>
          </w:p>
          <w:p w14:paraId="4AA1DBE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0.0802</w:t>
            </w:r>
          </w:p>
          <w:p w14:paraId="249C1B23">
            <w:pPr>
              <w:adjustRightInd w:val="0"/>
              <w:snapToGrid w:val="0"/>
              <w:spacing w:line="200" w:lineRule="exact"/>
              <w:ind w:left="30" w:leftChars="-33" w:right="-48" w:rightChars="-23" w:hanging="99" w:hangingChars="55"/>
              <w:jc w:val="center"/>
              <w:rPr>
                <w:color w:val="auto"/>
                <w:sz w:val="18"/>
                <w:szCs w:val="18"/>
              </w:rPr>
            </w:pPr>
          </w:p>
        </w:tc>
        <w:tc>
          <w:tcPr>
            <w:tcW w:w="709" w:type="dxa"/>
            <w:tcBorders>
              <w:top w:val="nil"/>
            </w:tcBorders>
          </w:tcPr>
          <w:p w14:paraId="149BD0E8">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0.1021</w:t>
            </w:r>
          </w:p>
          <w:p w14:paraId="21F84795">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0.0995</w:t>
            </w:r>
          </w:p>
          <w:p w14:paraId="72EC953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0.0971</w:t>
            </w:r>
          </w:p>
          <w:p w14:paraId="39C39677">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0.0948</w:t>
            </w:r>
          </w:p>
          <w:p w14:paraId="3E44AC7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0.0926</w:t>
            </w:r>
          </w:p>
          <w:p w14:paraId="58B58C0D">
            <w:pPr>
              <w:adjustRightInd w:val="0"/>
              <w:snapToGrid w:val="0"/>
              <w:spacing w:line="200" w:lineRule="exact"/>
              <w:ind w:left="30" w:leftChars="-33" w:right="-48" w:rightChars="-23" w:hanging="99" w:hangingChars="55"/>
              <w:jc w:val="center"/>
              <w:rPr>
                <w:color w:val="auto"/>
                <w:sz w:val="18"/>
                <w:szCs w:val="18"/>
              </w:rPr>
            </w:pPr>
          </w:p>
          <w:p w14:paraId="367C7F7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0.0904</w:t>
            </w:r>
          </w:p>
          <w:p w14:paraId="0351780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0.0884</w:t>
            </w:r>
          </w:p>
          <w:p w14:paraId="4757065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0.0865</w:t>
            </w:r>
          </w:p>
          <w:p w14:paraId="6AB0FACD">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0.0846</w:t>
            </w:r>
          </w:p>
          <w:p w14:paraId="69607EB4">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0.0828</w:t>
            </w:r>
          </w:p>
          <w:p w14:paraId="00ADA4CC">
            <w:pPr>
              <w:adjustRightInd w:val="0"/>
              <w:snapToGrid w:val="0"/>
              <w:spacing w:line="200" w:lineRule="exact"/>
              <w:ind w:left="30" w:leftChars="-33" w:right="-48" w:rightChars="-23" w:hanging="99" w:hangingChars="55"/>
              <w:jc w:val="center"/>
              <w:rPr>
                <w:color w:val="auto"/>
                <w:sz w:val="18"/>
                <w:szCs w:val="18"/>
              </w:rPr>
            </w:pPr>
          </w:p>
        </w:tc>
        <w:tc>
          <w:tcPr>
            <w:tcW w:w="709" w:type="dxa"/>
            <w:tcBorders>
              <w:top w:val="nil"/>
            </w:tcBorders>
          </w:tcPr>
          <w:p w14:paraId="7FFAE9EA">
            <w:pPr>
              <w:adjustRightInd w:val="0"/>
              <w:snapToGrid w:val="0"/>
              <w:spacing w:line="200" w:lineRule="exact"/>
              <w:ind w:left="30" w:leftChars="-33" w:hanging="99" w:hangingChars="55"/>
              <w:jc w:val="right"/>
              <w:rPr>
                <w:color w:val="auto"/>
                <w:sz w:val="18"/>
                <w:szCs w:val="18"/>
              </w:rPr>
            </w:pPr>
            <w:r>
              <w:rPr>
                <w:color w:val="auto"/>
                <w:sz w:val="18"/>
                <w:szCs w:val="18"/>
              </w:rPr>
              <w:t>0.1067</w:t>
            </w:r>
          </w:p>
          <w:p w14:paraId="6D688D6F">
            <w:pPr>
              <w:adjustRightInd w:val="0"/>
              <w:snapToGrid w:val="0"/>
              <w:spacing w:line="200" w:lineRule="exact"/>
              <w:ind w:left="30" w:leftChars="-33" w:hanging="99" w:hangingChars="55"/>
              <w:jc w:val="right"/>
              <w:rPr>
                <w:color w:val="auto"/>
                <w:sz w:val="18"/>
                <w:szCs w:val="18"/>
              </w:rPr>
            </w:pPr>
            <w:r>
              <w:rPr>
                <w:color w:val="auto"/>
                <w:sz w:val="18"/>
                <w:szCs w:val="18"/>
              </w:rPr>
              <w:t>0.1041</w:t>
            </w:r>
          </w:p>
          <w:p w14:paraId="1A0A5312">
            <w:pPr>
              <w:adjustRightInd w:val="0"/>
              <w:snapToGrid w:val="0"/>
              <w:spacing w:line="200" w:lineRule="exact"/>
              <w:ind w:left="30" w:leftChars="-33" w:hanging="99" w:hangingChars="55"/>
              <w:jc w:val="right"/>
              <w:rPr>
                <w:color w:val="auto"/>
                <w:sz w:val="18"/>
                <w:szCs w:val="18"/>
              </w:rPr>
            </w:pPr>
            <w:r>
              <w:rPr>
                <w:color w:val="auto"/>
                <w:sz w:val="18"/>
                <w:szCs w:val="18"/>
              </w:rPr>
              <w:t>0.1016</w:t>
            </w:r>
          </w:p>
          <w:p w14:paraId="169A5FF1">
            <w:pPr>
              <w:adjustRightInd w:val="0"/>
              <w:snapToGrid w:val="0"/>
              <w:spacing w:line="200" w:lineRule="exact"/>
              <w:ind w:left="30" w:leftChars="-33" w:hanging="99" w:hangingChars="55"/>
              <w:jc w:val="right"/>
              <w:rPr>
                <w:color w:val="auto"/>
                <w:sz w:val="18"/>
                <w:szCs w:val="18"/>
              </w:rPr>
            </w:pPr>
            <w:r>
              <w:rPr>
                <w:color w:val="auto"/>
                <w:sz w:val="18"/>
                <w:szCs w:val="18"/>
              </w:rPr>
              <w:t>0.0993</w:t>
            </w:r>
          </w:p>
          <w:p w14:paraId="7F7B4D18">
            <w:pPr>
              <w:adjustRightInd w:val="0"/>
              <w:snapToGrid w:val="0"/>
              <w:spacing w:line="200" w:lineRule="exact"/>
              <w:ind w:left="30" w:leftChars="-33" w:hanging="99" w:hangingChars="55"/>
              <w:jc w:val="right"/>
              <w:rPr>
                <w:color w:val="auto"/>
                <w:sz w:val="18"/>
                <w:szCs w:val="18"/>
              </w:rPr>
            </w:pPr>
            <w:r>
              <w:rPr>
                <w:color w:val="auto"/>
                <w:sz w:val="18"/>
                <w:szCs w:val="18"/>
              </w:rPr>
              <w:t>0.0970</w:t>
            </w:r>
          </w:p>
          <w:p w14:paraId="386595C7">
            <w:pPr>
              <w:adjustRightInd w:val="0"/>
              <w:snapToGrid w:val="0"/>
              <w:spacing w:line="200" w:lineRule="exact"/>
              <w:ind w:left="30" w:leftChars="-33" w:hanging="99" w:hangingChars="55"/>
              <w:jc w:val="right"/>
              <w:rPr>
                <w:color w:val="auto"/>
                <w:sz w:val="18"/>
                <w:szCs w:val="18"/>
              </w:rPr>
            </w:pPr>
          </w:p>
          <w:p w14:paraId="08B22ABC">
            <w:pPr>
              <w:adjustRightInd w:val="0"/>
              <w:snapToGrid w:val="0"/>
              <w:spacing w:line="200" w:lineRule="exact"/>
              <w:ind w:left="30" w:leftChars="-33" w:hanging="99" w:hangingChars="55"/>
              <w:jc w:val="right"/>
              <w:rPr>
                <w:color w:val="auto"/>
                <w:sz w:val="18"/>
                <w:szCs w:val="18"/>
              </w:rPr>
            </w:pPr>
            <w:r>
              <w:rPr>
                <w:color w:val="auto"/>
                <w:sz w:val="18"/>
                <w:szCs w:val="18"/>
              </w:rPr>
              <w:t>0.0949</w:t>
            </w:r>
          </w:p>
          <w:p w14:paraId="447323D6">
            <w:pPr>
              <w:adjustRightInd w:val="0"/>
              <w:snapToGrid w:val="0"/>
              <w:spacing w:line="200" w:lineRule="exact"/>
              <w:ind w:left="30" w:leftChars="-33" w:hanging="99" w:hangingChars="55"/>
              <w:jc w:val="right"/>
              <w:rPr>
                <w:color w:val="auto"/>
                <w:sz w:val="18"/>
                <w:szCs w:val="18"/>
              </w:rPr>
            </w:pPr>
            <w:r>
              <w:rPr>
                <w:color w:val="auto"/>
                <w:sz w:val="18"/>
                <w:szCs w:val="18"/>
              </w:rPr>
              <w:t>0.0928</w:t>
            </w:r>
          </w:p>
          <w:p w14:paraId="1FD8AF8B">
            <w:pPr>
              <w:adjustRightInd w:val="0"/>
              <w:snapToGrid w:val="0"/>
              <w:spacing w:line="200" w:lineRule="exact"/>
              <w:ind w:left="30" w:leftChars="-33" w:hanging="99" w:hangingChars="55"/>
              <w:jc w:val="right"/>
              <w:rPr>
                <w:color w:val="auto"/>
                <w:sz w:val="18"/>
                <w:szCs w:val="18"/>
              </w:rPr>
            </w:pPr>
            <w:r>
              <w:rPr>
                <w:color w:val="auto"/>
                <w:sz w:val="18"/>
                <w:szCs w:val="18"/>
              </w:rPr>
              <w:t>0.0908</w:t>
            </w:r>
          </w:p>
          <w:p w14:paraId="2B6F2DAC">
            <w:pPr>
              <w:adjustRightInd w:val="0"/>
              <w:snapToGrid w:val="0"/>
              <w:spacing w:line="200" w:lineRule="exact"/>
              <w:ind w:left="30" w:leftChars="-33" w:hanging="99" w:hangingChars="55"/>
              <w:jc w:val="right"/>
              <w:rPr>
                <w:color w:val="auto"/>
                <w:sz w:val="18"/>
                <w:szCs w:val="18"/>
              </w:rPr>
            </w:pPr>
            <w:r>
              <w:rPr>
                <w:color w:val="auto"/>
                <w:sz w:val="18"/>
                <w:szCs w:val="18"/>
              </w:rPr>
              <w:t>0.0889</w:t>
            </w:r>
          </w:p>
          <w:p w14:paraId="6C06F6F5">
            <w:pPr>
              <w:adjustRightInd w:val="0"/>
              <w:snapToGrid w:val="0"/>
              <w:spacing w:line="200" w:lineRule="exact"/>
              <w:ind w:left="30" w:leftChars="-33" w:hanging="99" w:hangingChars="55"/>
              <w:jc w:val="right"/>
              <w:rPr>
                <w:color w:val="auto"/>
                <w:sz w:val="18"/>
                <w:szCs w:val="18"/>
              </w:rPr>
            </w:pPr>
            <w:r>
              <w:rPr>
                <w:color w:val="auto"/>
                <w:sz w:val="18"/>
                <w:szCs w:val="18"/>
              </w:rPr>
              <w:t>0.0871</w:t>
            </w:r>
          </w:p>
          <w:p w14:paraId="1C8D5962">
            <w:pPr>
              <w:adjustRightInd w:val="0"/>
              <w:snapToGrid w:val="0"/>
              <w:spacing w:line="200" w:lineRule="exact"/>
              <w:ind w:left="30" w:leftChars="-33" w:hanging="99" w:hangingChars="55"/>
              <w:jc w:val="right"/>
              <w:rPr>
                <w:color w:val="auto"/>
                <w:sz w:val="18"/>
                <w:szCs w:val="18"/>
              </w:rPr>
            </w:pPr>
          </w:p>
        </w:tc>
        <w:tc>
          <w:tcPr>
            <w:tcW w:w="709" w:type="dxa"/>
            <w:tcBorders>
              <w:top w:val="nil"/>
            </w:tcBorders>
          </w:tcPr>
          <w:p w14:paraId="7F23C440">
            <w:pPr>
              <w:adjustRightInd w:val="0"/>
              <w:snapToGrid w:val="0"/>
              <w:spacing w:line="200" w:lineRule="exact"/>
              <w:ind w:left="30" w:leftChars="-33" w:hanging="99" w:hangingChars="55"/>
              <w:jc w:val="right"/>
              <w:rPr>
                <w:color w:val="auto"/>
                <w:sz w:val="18"/>
                <w:szCs w:val="18"/>
              </w:rPr>
            </w:pPr>
            <w:r>
              <w:rPr>
                <w:color w:val="auto"/>
                <w:sz w:val="18"/>
                <w:szCs w:val="18"/>
              </w:rPr>
              <w:t>0.1101</w:t>
            </w:r>
          </w:p>
          <w:p w14:paraId="21278FA0">
            <w:pPr>
              <w:adjustRightInd w:val="0"/>
              <w:snapToGrid w:val="0"/>
              <w:spacing w:line="200" w:lineRule="exact"/>
              <w:ind w:left="30" w:leftChars="-33" w:hanging="99" w:hangingChars="55"/>
              <w:jc w:val="right"/>
              <w:rPr>
                <w:color w:val="auto"/>
                <w:sz w:val="18"/>
                <w:szCs w:val="18"/>
              </w:rPr>
            </w:pPr>
            <w:r>
              <w:rPr>
                <w:color w:val="auto"/>
                <w:sz w:val="18"/>
                <w:szCs w:val="18"/>
              </w:rPr>
              <w:t>0.1075</w:t>
            </w:r>
          </w:p>
          <w:p w14:paraId="47B2D1F5">
            <w:pPr>
              <w:adjustRightInd w:val="0"/>
              <w:snapToGrid w:val="0"/>
              <w:spacing w:line="200" w:lineRule="exact"/>
              <w:ind w:left="30" w:leftChars="-33" w:hanging="99" w:hangingChars="55"/>
              <w:jc w:val="right"/>
              <w:rPr>
                <w:color w:val="auto"/>
                <w:sz w:val="18"/>
                <w:szCs w:val="18"/>
              </w:rPr>
            </w:pPr>
            <w:r>
              <w:rPr>
                <w:color w:val="auto"/>
                <w:sz w:val="18"/>
                <w:szCs w:val="18"/>
              </w:rPr>
              <w:t>0.1050</w:t>
            </w:r>
          </w:p>
          <w:p w14:paraId="63C424FB">
            <w:pPr>
              <w:adjustRightInd w:val="0"/>
              <w:snapToGrid w:val="0"/>
              <w:spacing w:line="200" w:lineRule="exact"/>
              <w:ind w:left="30" w:leftChars="-33" w:hanging="99" w:hangingChars="55"/>
              <w:jc w:val="right"/>
              <w:rPr>
                <w:color w:val="auto"/>
                <w:sz w:val="18"/>
                <w:szCs w:val="18"/>
              </w:rPr>
            </w:pPr>
            <w:r>
              <w:rPr>
                <w:color w:val="auto"/>
                <w:sz w:val="18"/>
                <w:szCs w:val="18"/>
              </w:rPr>
              <w:t>0.1027</w:t>
            </w:r>
          </w:p>
          <w:p w14:paraId="4BBD324E">
            <w:pPr>
              <w:adjustRightInd w:val="0"/>
              <w:snapToGrid w:val="0"/>
              <w:spacing w:line="200" w:lineRule="exact"/>
              <w:ind w:left="30" w:leftChars="-33" w:hanging="99" w:hangingChars="55"/>
              <w:jc w:val="right"/>
              <w:rPr>
                <w:color w:val="auto"/>
                <w:sz w:val="18"/>
                <w:szCs w:val="18"/>
              </w:rPr>
            </w:pPr>
            <w:r>
              <w:rPr>
                <w:color w:val="auto"/>
                <w:sz w:val="18"/>
                <w:szCs w:val="18"/>
              </w:rPr>
              <w:t>0.1004</w:t>
            </w:r>
          </w:p>
          <w:p w14:paraId="78593CDB">
            <w:pPr>
              <w:adjustRightInd w:val="0"/>
              <w:snapToGrid w:val="0"/>
              <w:spacing w:line="200" w:lineRule="exact"/>
              <w:ind w:left="30" w:leftChars="-33" w:hanging="99" w:hangingChars="55"/>
              <w:jc w:val="right"/>
              <w:rPr>
                <w:color w:val="auto"/>
                <w:sz w:val="18"/>
                <w:szCs w:val="18"/>
              </w:rPr>
            </w:pPr>
          </w:p>
          <w:p w14:paraId="02A6055B">
            <w:pPr>
              <w:adjustRightInd w:val="0"/>
              <w:snapToGrid w:val="0"/>
              <w:spacing w:line="200" w:lineRule="exact"/>
              <w:ind w:left="30" w:leftChars="-33" w:hanging="99" w:hangingChars="55"/>
              <w:jc w:val="right"/>
              <w:rPr>
                <w:color w:val="auto"/>
                <w:sz w:val="18"/>
                <w:szCs w:val="18"/>
              </w:rPr>
            </w:pPr>
            <w:r>
              <w:rPr>
                <w:color w:val="auto"/>
                <w:sz w:val="18"/>
                <w:szCs w:val="18"/>
              </w:rPr>
              <w:t>0.0982</w:t>
            </w:r>
          </w:p>
          <w:p w14:paraId="0B79F388">
            <w:pPr>
              <w:adjustRightInd w:val="0"/>
              <w:snapToGrid w:val="0"/>
              <w:spacing w:line="200" w:lineRule="exact"/>
              <w:ind w:left="30" w:leftChars="-33" w:hanging="99" w:hangingChars="55"/>
              <w:jc w:val="right"/>
              <w:rPr>
                <w:color w:val="auto"/>
                <w:sz w:val="18"/>
                <w:szCs w:val="18"/>
              </w:rPr>
            </w:pPr>
            <w:r>
              <w:rPr>
                <w:color w:val="auto"/>
                <w:sz w:val="18"/>
                <w:szCs w:val="18"/>
              </w:rPr>
              <w:t>0.0962</w:t>
            </w:r>
          </w:p>
          <w:p w14:paraId="694E7E93">
            <w:pPr>
              <w:adjustRightInd w:val="0"/>
              <w:snapToGrid w:val="0"/>
              <w:spacing w:line="200" w:lineRule="exact"/>
              <w:ind w:left="30" w:leftChars="-33" w:hanging="99" w:hangingChars="55"/>
              <w:jc w:val="right"/>
              <w:rPr>
                <w:color w:val="auto"/>
                <w:sz w:val="18"/>
                <w:szCs w:val="18"/>
              </w:rPr>
            </w:pPr>
            <w:r>
              <w:rPr>
                <w:color w:val="auto"/>
                <w:sz w:val="18"/>
                <w:szCs w:val="18"/>
              </w:rPr>
              <w:t>0.0942</w:t>
            </w:r>
          </w:p>
          <w:p w14:paraId="2ED59D8E">
            <w:pPr>
              <w:adjustRightInd w:val="0"/>
              <w:snapToGrid w:val="0"/>
              <w:spacing w:line="200" w:lineRule="exact"/>
              <w:ind w:left="30" w:leftChars="-33" w:hanging="99" w:hangingChars="55"/>
              <w:jc w:val="right"/>
              <w:rPr>
                <w:color w:val="auto"/>
                <w:sz w:val="18"/>
                <w:szCs w:val="18"/>
              </w:rPr>
            </w:pPr>
            <w:r>
              <w:rPr>
                <w:color w:val="auto"/>
                <w:sz w:val="18"/>
                <w:szCs w:val="18"/>
              </w:rPr>
              <w:t>0.0922</w:t>
            </w:r>
          </w:p>
          <w:p w14:paraId="263CEF39">
            <w:pPr>
              <w:adjustRightInd w:val="0"/>
              <w:snapToGrid w:val="0"/>
              <w:spacing w:line="200" w:lineRule="exact"/>
              <w:ind w:left="30" w:leftChars="-33" w:hanging="99" w:hangingChars="55"/>
              <w:jc w:val="right"/>
              <w:rPr>
                <w:color w:val="auto"/>
                <w:sz w:val="18"/>
                <w:szCs w:val="18"/>
              </w:rPr>
            </w:pPr>
            <w:r>
              <w:rPr>
                <w:color w:val="auto"/>
                <w:sz w:val="18"/>
                <w:szCs w:val="18"/>
              </w:rPr>
              <w:t>0.0904</w:t>
            </w:r>
          </w:p>
          <w:p w14:paraId="5E63BE71">
            <w:pPr>
              <w:adjustRightInd w:val="0"/>
              <w:snapToGrid w:val="0"/>
              <w:spacing w:line="200" w:lineRule="exact"/>
              <w:ind w:left="30" w:leftChars="-33" w:hanging="99" w:hangingChars="55"/>
              <w:jc w:val="right"/>
              <w:rPr>
                <w:color w:val="auto"/>
                <w:sz w:val="18"/>
                <w:szCs w:val="18"/>
              </w:rPr>
            </w:pPr>
          </w:p>
        </w:tc>
        <w:tc>
          <w:tcPr>
            <w:tcW w:w="708" w:type="dxa"/>
            <w:tcBorders>
              <w:top w:val="nil"/>
            </w:tcBorders>
          </w:tcPr>
          <w:p w14:paraId="60D3CFCA">
            <w:pPr>
              <w:adjustRightInd w:val="0"/>
              <w:snapToGrid w:val="0"/>
              <w:spacing w:line="200" w:lineRule="exact"/>
              <w:ind w:left="30" w:leftChars="-33" w:hanging="99" w:hangingChars="55"/>
              <w:jc w:val="right"/>
              <w:rPr>
                <w:color w:val="auto"/>
                <w:sz w:val="18"/>
                <w:szCs w:val="18"/>
              </w:rPr>
            </w:pPr>
            <w:r>
              <w:rPr>
                <w:color w:val="auto"/>
                <w:sz w:val="18"/>
                <w:szCs w:val="18"/>
              </w:rPr>
              <w:t>0.1126</w:t>
            </w:r>
          </w:p>
          <w:p w14:paraId="1AAB66D7">
            <w:pPr>
              <w:adjustRightInd w:val="0"/>
              <w:snapToGrid w:val="0"/>
              <w:spacing w:line="200" w:lineRule="exact"/>
              <w:ind w:left="30" w:leftChars="-33" w:hanging="99" w:hangingChars="55"/>
              <w:jc w:val="right"/>
              <w:rPr>
                <w:color w:val="auto"/>
                <w:sz w:val="18"/>
                <w:szCs w:val="18"/>
              </w:rPr>
            </w:pPr>
            <w:r>
              <w:rPr>
                <w:color w:val="auto"/>
                <w:sz w:val="18"/>
                <w:szCs w:val="18"/>
              </w:rPr>
              <w:t>0.1101</w:t>
            </w:r>
          </w:p>
          <w:p w14:paraId="397140F9">
            <w:pPr>
              <w:adjustRightInd w:val="0"/>
              <w:snapToGrid w:val="0"/>
              <w:spacing w:line="200" w:lineRule="exact"/>
              <w:ind w:left="30" w:leftChars="-33" w:hanging="99" w:hangingChars="55"/>
              <w:jc w:val="right"/>
              <w:rPr>
                <w:color w:val="auto"/>
                <w:sz w:val="18"/>
                <w:szCs w:val="18"/>
              </w:rPr>
            </w:pPr>
            <w:r>
              <w:rPr>
                <w:color w:val="auto"/>
                <w:sz w:val="18"/>
                <w:szCs w:val="18"/>
              </w:rPr>
              <w:t>0.1076</w:t>
            </w:r>
          </w:p>
          <w:p w14:paraId="70395270">
            <w:pPr>
              <w:adjustRightInd w:val="0"/>
              <w:snapToGrid w:val="0"/>
              <w:spacing w:line="200" w:lineRule="exact"/>
              <w:ind w:left="30" w:leftChars="-33" w:hanging="99" w:hangingChars="55"/>
              <w:jc w:val="right"/>
              <w:rPr>
                <w:color w:val="auto"/>
                <w:sz w:val="18"/>
                <w:szCs w:val="18"/>
              </w:rPr>
            </w:pPr>
            <w:r>
              <w:rPr>
                <w:color w:val="auto"/>
                <w:sz w:val="18"/>
                <w:szCs w:val="18"/>
              </w:rPr>
              <w:t>0.1053</w:t>
            </w:r>
          </w:p>
          <w:p w14:paraId="6ECADC0D">
            <w:pPr>
              <w:adjustRightInd w:val="0"/>
              <w:snapToGrid w:val="0"/>
              <w:spacing w:line="200" w:lineRule="exact"/>
              <w:ind w:left="30" w:leftChars="-33" w:hanging="99" w:hangingChars="55"/>
              <w:jc w:val="right"/>
              <w:rPr>
                <w:color w:val="auto"/>
                <w:sz w:val="18"/>
                <w:szCs w:val="18"/>
              </w:rPr>
            </w:pPr>
            <w:r>
              <w:rPr>
                <w:color w:val="auto"/>
                <w:sz w:val="18"/>
                <w:szCs w:val="18"/>
              </w:rPr>
              <w:t>0.1030</w:t>
            </w:r>
          </w:p>
          <w:p w14:paraId="7B0BE4D2">
            <w:pPr>
              <w:adjustRightInd w:val="0"/>
              <w:snapToGrid w:val="0"/>
              <w:spacing w:line="200" w:lineRule="exact"/>
              <w:ind w:left="30" w:leftChars="-33" w:hanging="99" w:hangingChars="55"/>
              <w:jc w:val="right"/>
              <w:rPr>
                <w:color w:val="auto"/>
                <w:sz w:val="18"/>
                <w:szCs w:val="18"/>
              </w:rPr>
            </w:pPr>
          </w:p>
          <w:p w14:paraId="72D9ADA8">
            <w:pPr>
              <w:adjustRightInd w:val="0"/>
              <w:snapToGrid w:val="0"/>
              <w:spacing w:line="200" w:lineRule="exact"/>
              <w:ind w:left="30" w:leftChars="-33" w:hanging="99" w:hangingChars="55"/>
              <w:jc w:val="right"/>
              <w:rPr>
                <w:color w:val="auto"/>
                <w:sz w:val="18"/>
                <w:szCs w:val="18"/>
              </w:rPr>
            </w:pPr>
            <w:r>
              <w:rPr>
                <w:color w:val="auto"/>
                <w:sz w:val="18"/>
                <w:szCs w:val="18"/>
              </w:rPr>
              <w:t>0.1008</w:t>
            </w:r>
          </w:p>
          <w:p w14:paraId="1FE00492">
            <w:pPr>
              <w:adjustRightInd w:val="0"/>
              <w:snapToGrid w:val="0"/>
              <w:spacing w:line="200" w:lineRule="exact"/>
              <w:ind w:left="30" w:leftChars="-33" w:hanging="99" w:hangingChars="55"/>
              <w:jc w:val="right"/>
              <w:rPr>
                <w:color w:val="auto"/>
                <w:sz w:val="18"/>
                <w:szCs w:val="18"/>
              </w:rPr>
            </w:pPr>
            <w:r>
              <w:rPr>
                <w:color w:val="auto"/>
                <w:sz w:val="18"/>
                <w:szCs w:val="18"/>
              </w:rPr>
              <w:t>0.0987</w:t>
            </w:r>
          </w:p>
          <w:p w14:paraId="799C912D">
            <w:pPr>
              <w:adjustRightInd w:val="0"/>
              <w:snapToGrid w:val="0"/>
              <w:spacing w:line="200" w:lineRule="exact"/>
              <w:ind w:left="30" w:leftChars="-33" w:hanging="99" w:hangingChars="55"/>
              <w:jc w:val="right"/>
              <w:rPr>
                <w:color w:val="auto"/>
                <w:sz w:val="18"/>
                <w:szCs w:val="18"/>
              </w:rPr>
            </w:pPr>
            <w:r>
              <w:rPr>
                <w:color w:val="auto"/>
                <w:sz w:val="18"/>
                <w:szCs w:val="18"/>
              </w:rPr>
              <w:t>0.0967</w:t>
            </w:r>
          </w:p>
          <w:p w14:paraId="21274014">
            <w:pPr>
              <w:adjustRightInd w:val="0"/>
              <w:snapToGrid w:val="0"/>
              <w:spacing w:line="200" w:lineRule="exact"/>
              <w:ind w:left="30" w:leftChars="-33" w:hanging="99" w:hangingChars="55"/>
              <w:jc w:val="right"/>
              <w:rPr>
                <w:color w:val="auto"/>
                <w:sz w:val="18"/>
                <w:szCs w:val="18"/>
              </w:rPr>
            </w:pPr>
            <w:r>
              <w:rPr>
                <w:color w:val="auto"/>
                <w:sz w:val="18"/>
                <w:szCs w:val="18"/>
              </w:rPr>
              <w:t>0.0948</w:t>
            </w:r>
          </w:p>
          <w:p w14:paraId="1ABE0623">
            <w:pPr>
              <w:adjustRightInd w:val="0"/>
              <w:snapToGrid w:val="0"/>
              <w:spacing w:line="200" w:lineRule="exact"/>
              <w:ind w:left="30" w:leftChars="-33" w:hanging="99" w:hangingChars="55"/>
              <w:jc w:val="right"/>
              <w:rPr>
                <w:color w:val="auto"/>
                <w:sz w:val="18"/>
                <w:szCs w:val="18"/>
              </w:rPr>
            </w:pPr>
            <w:r>
              <w:rPr>
                <w:color w:val="auto"/>
                <w:sz w:val="18"/>
                <w:szCs w:val="18"/>
              </w:rPr>
              <w:t>0.0929</w:t>
            </w:r>
          </w:p>
          <w:p w14:paraId="5358E881">
            <w:pPr>
              <w:adjustRightInd w:val="0"/>
              <w:snapToGrid w:val="0"/>
              <w:spacing w:line="200" w:lineRule="exact"/>
              <w:ind w:left="30" w:leftChars="-33" w:hanging="99" w:hangingChars="55"/>
              <w:jc w:val="right"/>
              <w:rPr>
                <w:color w:val="auto"/>
                <w:sz w:val="18"/>
                <w:szCs w:val="18"/>
              </w:rPr>
            </w:pPr>
          </w:p>
        </w:tc>
        <w:tc>
          <w:tcPr>
            <w:tcW w:w="709" w:type="dxa"/>
            <w:tcBorders>
              <w:top w:val="nil"/>
            </w:tcBorders>
          </w:tcPr>
          <w:p w14:paraId="275A699B">
            <w:pPr>
              <w:adjustRightInd w:val="0"/>
              <w:snapToGrid w:val="0"/>
              <w:spacing w:line="200" w:lineRule="exact"/>
              <w:ind w:left="30" w:leftChars="-33" w:hanging="99" w:hangingChars="55"/>
              <w:jc w:val="right"/>
              <w:rPr>
                <w:color w:val="auto"/>
                <w:sz w:val="18"/>
                <w:szCs w:val="18"/>
              </w:rPr>
            </w:pPr>
            <w:r>
              <w:rPr>
                <w:color w:val="auto"/>
                <w:sz w:val="18"/>
                <w:szCs w:val="18"/>
              </w:rPr>
              <w:t>0.1146</w:t>
            </w:r>
          </w:p>
          <w:p w14:paraId="5B481C3E">
            <w:pPr>
              <w:adjustRightInd w:val="0"/>
              <w:snapToGrid w:val="0"/>
              <w:spacing w:line="200" w:lineRule="exact"/>
              <w:ind w:left="30" w:leftChars="-33" w:hanging="99" w:hangingChars="55"/>
              <w:jc w:val="right"/>
              <w:rPr>
                <w:color w:val="auto"/>
                <w:sz w:val="18"/>
                <w:szCs w:val="18"/>
              </w:rPr>
            </w:pPr>
            <w:r>
              <w:rPr>
                <w:color w:val="auto"/>
                <w:sz w:val="18"/>
                <w:szCs w:val="18"/>
              </w:rPr>
              <w:t>0.1120</w:t>
            </w:r>
          </w:p>
          <w:p w14:paraId="60D3BD3D">
            <w:pPr>
              <w:adjustRightInd w:val="0"/>
              <w:snapToGrid w:val="0"/>
              <w:spacing w:line="200" w:lineRule="exact"/>
              <w:ind w:left="30" w:leftChars="-33" w:hanging="99" w:hangingChars="55"/>
              <w:jc w:val="right"/>
              <w:rPr>
                <w:color w:val="auto"/>
                <w:sz w:val="18"/>
                <w:szCs w:val="18"/>
              </w:rPr>
            </w:pPr>
            <w:r>
              <w:rPr>
                <w:color w:val="auto"/>
                <w:sz w:val="18"/>
                <w:szCs w:val="18"/>
              </w:rPr>
              <w:t>0.1096</w:t>
            </w:r>
          </w:p>
          <w:p w14:paraId="1AE201A9">
            <w:pPr>
              <w:adjustRightInd w:val="0"/>
              <w:snapToGrid w:val="0"/>
              <w:spacing w:line="200" w:lineRule="exact"/>
              <w:ind w:left="30" w:leftChars="-33" w:hanging="99" w:hangingChars="55"/>
              <w:jc w:val="right"/>
              <w:rPr>
                <w:color w:val="auto"/>
                <w:sz w:val="18"/>
                <w:szCs w:val="18"/>
              </w:rPr>
            </w:pPr>
            <w:r>
              <w:rPr>
                <w:color w:val="auto"/>
                <w:sz w:val="18"/>
                <w:szCs w:val="18"/>
              </w:rPr>
              <w:t>0.1073</w:t>
            </w:r>
          </w:p>
          <w:p w14:paraId="23FB2C10">
            <w:pPr>
              <w:adjustRightInd w:val="0"/>
              <w:snapToGrid w:val="0"/>
              <w:spacing w:line="200" w:lineRule="exact"/>
              <w:ind w:left="30" w:leftChars="-33" w:hanging="99" w:hangingChars="55"/>
              <w:jc w:val="right"/>
              <w:rPr>
                <w:color w:val="auto"/>
                <w:sz w:val="18"/>
                <w:szCs w:val="18"/>
              </w:rPr>
            </w:pPr>
            <w:r>
              <w:rPr>
                <w:color w:val="auto"/>
                <w:sz w:val="18"/>
                <w:szCs w:val="18"/>
              </w:rPr>
              <w:t>0.1050</w:t>
            </w:r>
          </w:p>
          <w:p w14:paraId="07B95EAB">
            <w:pPr>
              <w:adjustRightInd w:val="0"/>
              <w:snapToGrid w:val="0"/>
              <w:spacing w:line="200" w:lineRule="exact"/>
              <w:ind w:left="30" w:leftChars="-33" w:hanging="99" w:hangingChars="55"/>
              <w:jc w:val="right"/>
              <w:rPr>
                <w:color w:val="auto"/>
                <w:sz w:val="18"/>
                <w:szCs w:val="18"/>
              </w:rPr>
            </w:pPr>
          </w:p>
          <w:p w14:paraId="17B77E4E">
            <w:pPr>
              <w:adjustRightInd w:val="0"/>
              <w:snapToGrid w:val="0"/>
              <w:spacing w:line="200" w:lineRule="exact"/>
              <w:ind w:left="30" w:leftChars="-33" w:hanging="99" w:hangingChars="55"/>
              <w:jc w:val="right"/>
              <w:rPr>
                <w:color w:val="auto"/>
                <w:sz w:val="18"/>
                <w:szCs w:val="18"/>
              </w:rPr>
            </w:pPr>
            <w:r>
              <w:rPr>
                <w:color w:val="auto"/>
                <w:sz w:val="18"/>
                <w:szCs w:val="18"/>
              </w:rPr>
              <w:t>0.1028</w:t>
            </w:r>
          </w:p>
          <w:p w14:paraId="34653850">
            <w:pPr>
              <w:adjustRightInd w:val="0"/>
              <w:snapToGrid w:val="0"/>
              <w:spacing w:line="200" w:lineRule="exact"/>
              <w:ind w:left="30" w:leftChars="-33" w:hanging="99" w:hangingChars="55"/>
              <w:jc w:val="right"/>
              <w:rPr>
                <w:color w:val="auto"/>
                <w:sz w:val="18"/>
                <w:szCs w:val="18"/>
              </w:rPr>
            </w:pPr>
            <w:r>
              <w:rPr>
                <w:color w:val="auto"/>
                <w:sz w:val="18"/>
                <w:szCs w:val="18"/>
              </w:rPr>
              <w:t>0.1008</w:t>
            </w:r>
          </w:p>
          <w:p w14:paraId="6134366D">
            <w:pPr>
              <w:adjustRightInd w:val="0"/>
              <w:snapToGrid w:val="0"/>
              <w:spacing w:line="200" w:lineRule="exact"/>
              <w:ind w:left="30" w:leftChars="-33" w:hanging="99" w:hangingChars="55"/>
              <w:jc w:val="right"/>
              <w:rPr>
                <w:color w:val="auto"/>
                <w:sz w:val="18"/>
                <w:szCs w:val="18"/>
              </w:rPr>
            </w:pPr>
            <w:r>
              <w:rPr>
                <w:color w:val="auto"/>
                <w:sz w:val="18"/>
                <w:szCs w:val="18"/>
              </w:rPr>
              <w:t>0.0988</w:t>
            </w:r>
          </w:p>
          <w:p w14:paraId="6CE11798">
            <w:pPr>
              <w:adjustRightInd w:val="0"/>
              <w:snapToGrid w:val="0"/>
              <w:spacing w:line="200" w:lineRule="exact"/>
              <w:ind w:left="30" w:leftChars="-33" w:hanging="99" w:hangingChars="55"/>
              <w:jc w:val="right"/>
              <w:rPr>
                <w:color w:val="auto"/>
                <w:sz w:val="18"/>
                <w:szCs w:val="18"/>
              </w:rPr>
            </w:pPr>
            <w:r>
              <w:rPr>
                <w:color w:val="auto"/>
                <w:sz w:val="18"/>
                <w:szCs w:val="18"/>
              </w:rPr>
              <w:t>0.0968</w:t>
            </w:r>
          </w:p>
          <w:p w14:paraId="582A8261">
            <w:pPr>
              <w:adjustRightInd w:val="0"/>
              <w:snapToGrid w:val="0"/>
              <w:spacing w:line="200" w:lineRule="exact"/>
              <w:ind w:left="30" w:leftChars="-33" w:hanging="99" w:hangingChars="55"/>
              <w:jc w:val="right"/>
              <w:rPr>
                <w:color w:val="auto"/>
                <w:sz w:val="18"/>
                <w:szCs w:val="18"/>
              </w:rPr>
            </w:pPr>
            <w:r>
              <w:rPr>
                <w:color w:val="auto"/>
                <w:sz w:val="18"/>
                <w:szCs w:val="18"/>
              </w:rPr>
              <w:t>0.0950</w:t>
            </w:r>
          </w:p>
          <w:p w14:paraId="474FB79D">
            <w:pPr>
              <w:adjustRightInd w:val="0"/>
              <w:snapToGrid w:val="0"/>
              <w:spacing w:line="200" w:lineRule="exact"/>
              <w:ind w:left="30" w:leftChars="-33" w:hanging="99" w:hangingChars="55"/>
              <w:jc w:val="right"/>
              <w:rPr>
                <w:color w:val="auto"/>
                <w:sz w:val="18"/>
                <w:szCs w:val="18"/>
              </w:rPr>
            </w:pPr>
          </w:p>
        </w:tc>
        <w:tc>
          <w:tcPr>
            <w:tcW w:w="709" w:type="dxa"/>
            <w:tcBorders>
              <w:top w:val="nil"/>
            </w:tcBorders>
          </w:tcPr>
          <w:p w14:paraId="5ED93A9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0.1161</w:t>
            </w:r>
          </w:p>
          <w:p w14:paraId="101730EC">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0.1136</w:t>
            </w:r>
          </w:p>
          <w:p w14:paraId="0E323E1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0.1111</w:t>
            </w:r>
          </w:p>
          <w:p w14:paraId="52D7896A">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0.1088</w:t>
            </w:r>
          </w:p>
          <w:p w14:paraId="71780129">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0.1066</w:t>
            </w:r>
          </w:p>
          <w:p w14:paraId="6E264831">
            <w:pPr>
              <w:adjustRightInd w:val="0"/>
              <w:snapToGrid w:val="0"/>
              <w:spacing w:line="200" w:lineRule="exact"/>
              <w:ind w:left="30" w:leftChars="-33" w:right="-48" w:rightChars="-23" w:hanging="99" w:hangingChars="55"/>
              <w:jc w:val="center"/>
              <w:rPr>
                <w:color w:val="auto"/>
                <w:sz w:val="18"/>
                <w:szCs w:val="18"/>
              </w:rPr>
            </w:pPr>
          </w:p>
          <w:p w14:paraId="457D7182">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0.1044</w:t>
            </w:r>
          </w:p>
          <w:p w14:paraId="39C23A9E">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0.1023</w:t>
            </w:r>
          </w:p>
          <w:p w14:paraId="5A439BA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0.1004</w:t>
            </w:r>
          </w:p>
          <w:p w14:paraId="569DC98B">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0.0984</w:t>
            </w:r>
          </w:p>
          <w:p w14:paraId="41B6D341">
            <w:pPr>
              <w:adjustRightInd w:val="0"/>
              <w:snapToGrid w:val="0"/>
              <w:spacing w:line="200" w:lineRule="exact"/>
              <w:ind w:left="30" w:leftChars="-33" w:right="-48" w:rightChars="-23" w:hanging="99" w:hangingChars="55"/>
              <w:jc w:val="center"/>
              <w:rPr>
                <w:color w:val="auto"/>
                <w:sz w:val="18"/>
                <w:szCs w:val="18"/>
              </w:rPr>
            </w:pPr>
            <w:r>
              <w:rPr>
                <w:color w:val="auto"/>
                <w:sz w:val="18"/>
                <w:szCs w:val="18"/>
              </w:rPr>
              <w:t>0.0966</w:t>
            </w:r>
          </w:p>
          <w:p w14:paraId="117C0991">
            <w:pPr>
              <w:adjustRightInd w:val="0"/>
              <w:snapToGrid w:val="0"/>
              <w:spacing w:line="200" w:lineRule="exact"/>
              <w:ind w:left="30" w:leftChars="-33" w:right="-48" w:rightChars="-23" w:hanging="99" w:hangingChars="55"/>
              <w:jc w:val="center"/>
              <w:rPr>
                <w:color w:val="auto"/>
                <w:sz w:val="18"/>
                <w:szCs w:val="18"/>
              </w:rPr>
            </w:pPr>
          </w:p>
        </w:tc>
        <w:tc>
          <w:tcPr>
            <w:tcW w:w="709" w:type="dxa"/>
            <w:tcBorders>
              <w:top w:val="nil"/>
            </w:tcBorders>
          </w:tcPr>
          <w:p w14:paraId="449BD32B">
            <w:pPr>
              <w:adjustRightInd w:val="0"/>
              <w:snapToGrid w:val="0"/>
              <w:spacing w:line="200" w:lineRule="exact"/>
              <w:ind w:left="30" w:leftChars="-33" w:hanging="99" w:hangingChars="55"/>
              <w:jc w:val="right"/>
              <w:rPr>
                <w:color w:val="auto"/>
                <w:sz w:val="18"/>
                <w:szCs w:val="18"/>
              </w:rPr>
            </w:pPr>
            <w:r>
              <w:rPr>
                <w:color w:val="auto"/>
                <w:sz w:val="18"/>
                <w:szCs w:val="18"/>
              </w:rPr>
              <w:t>0.1185</w:t>
            </w:r>
          </w:p>
          <w:p w14:paraId="354E16DC">
            <w:pPr>
              <w:adjustRightInd w:val="0"/>
              <w:snapToGrid w:val="0"/>
              <w:spacing w:line="200" w:lineRule="exact"/>
              <w:ind w:left="30" w:leftChars="-33" w:hanging="99" w:hangingChars="55"/>
              <w:jc w:val="right"/>
              <w:rPr>
                <w:color w:val="auto"/>
                <w:sz w:val="18"/>
                <w:szCs w:val="18"/>
              </w:rPr>
            </w:pPr>
            <w:r>
              <w:rPr>
                <w:color w:val="auto"/>
                <w:sz w:val="18"/>
                <w:szCs w:val="18"/>
              </w:rPr>
              <w:t>0.1161</w:t>
            </w:r>
          </w:p>
          <w:p w14:paraId="2F0D7474">
            <w:pPr>
              <w:adjustRightInd w:val="0"/>
              <w:snapToGrid w:val="0"/>
              <w:spacing w:line="200" w:lineRule="exact"/>
              <w:ind w:left="30" w:leftChars="-33" w:hanging="99" w:hangingChars="55"/>
              <w:jc w:val="right"/>
              <w:rPr>
                <w:color w:val="auto"/>
                <w:sz w:val="18"/>
                <w:szCs w:val="18"/>
              </w:rPr>
            </w:pPr>
            <w:r>
              <w:rPr>
                <w:color w:val="auto"/>
                <w:sz w:val="18"/>
                <w:szCs w:val="18"/>
              </w:rPr>
              <w:t>0.1137</w:t>
            </w:r>
          </w:p>
          <w:p w14:paraId="0C5FA765">
            <w:pPr>
              <w:adjustRightInd w:val="0"/>
              <w:snapToGrid w:val="0"/>
              <w:spacing w:line="200" w:lineRule="exact"/>
              <w:ind w:left="30" w:leftChars="-33" w:hanging="99" w:hangingChars="55"/>
              <w:jc w:val="right"/>
              <w:rPr>
                <w:color w:val="auto"/>
                <w:sz w:val="18"/>
                <w:szCs w:val="18"/>
              </w:rPr>
            </w:pPr>
            <w:r>
              <w:rPr>
                <w:color w:val="auto"/>
                <w:sz w:val="18"/>
                <w:szCs w:val="18"/>
              </w:rPr>
              <w:t>0.1114</w:t>
            </w:r>
          </w:p>
          <w:p w14:paraId="75A2E6EC">
            <w:pPr>
              <w:adjustRightInd w:val="0"/>
              <w:snapToGrid w:val="0"/>
              <w:spacing w:line="200" w:lineRule="exact"/>
              <w:ind w:left="30" w:leftChars="-33" w:hanging="99" w:hangingChars="55"/>
              <w:jc w:val="right"/>
              <w:rPr>
                <w:color w:val="auto"/>
                <w:sz w:val="18"/>
                <w:szCs w:val="18"/>
              </w:rPr>
            </w:pPr>
            <w:r>
              <w:rPr>
                <w:color w:val="auto"/>
                <w:sz w:val="18"/>
                <w:szCs w:val="18"/>
              </w:rPr>
              <w:t>0.1092</w:t>
            </w:r>
          </w:p>
          <w:p w14:paraId="14F35FD1">
            <w:pPr>
              <w:adjustRightInd w:val="0"/>
              <w:snapToGrid w:val="0"/>
              <w:spacing w:line="200" w:lineRule="exact"/>
              <w:ind w:left="30" w:leftChars="-33" w:hanging="99" w:hangingChars="55"/>
              <w:jc w:val="right"/>
              <w:rPr>
                <w:color w:val="auto"/>
                <w:sz w:val="18"/>
                <w:szCs w:val="18"/>
              </w:rPr>
            </w:pPr>
          </w:p>
          <w:p w14:paraId="0087EAA9">
            <w:pPr>
              <w:adjustRightInd w:val="0"/>
              <w:snapToGrid w:val="0"/>
              <w:spacing w:line="200" w:lineRule="exact"/>
              <w:ind w:left="30" w:leftChars="-33" w:hanging="99" w:hangingChars="55"/>
              <w:jc w:val="right"/>
              <w:rPr>
                <w:color w:val="auto"/>
                <w:sz w:val="18"/>
                <w:szCs w:val="18"/>
              </w:rPr>
            </w:pPr>
            <w:r>
              <w:rPr>
                <w:color w:val="auto"/>
                <w:sz w:val="18"/>
                <w:szCs w:val="18"/>
              </w:rPr>
              <w:t>0.1071</w:t>
            </w:r>
          </w:p>
          <w:p w14:paraId="5708A16C">
            <w:pPr>
              <w:adjustRightInd w:val="0"/>
              <w:snapToGrid w:val="0"/>
              <w:spacing w:line="200" w:lineRule="exact"/>
              <w:ind w:left="30" w:leftChars="-33" w:hanging="99" w:hangingChars="55"/>
              <w:jc w:val="right"/>
              <w:rPr>
                <w:color w:val="auto"/>
                <w:sz w:val="18"/>
                <w:szCs w:val="18"/>
              </w:rPr>
            </w:pPr>
            <w:r>
              <w:rPr>
                <w:color w:val="auto"/>
                <w:sz w:val="18"/>
                <w:szCs w:val="18"/>
              </w:rPr>
              <w:t>0.1051</w:t>
            </w:r>
          </w:p>
          <w:p w14:paraId="1FFE0D32">
            <w:pPr>
              <w:adjustRightInd w:val="0"/>
              <w:snapToGrid w:val="0"/>
              <w:spacing w:line="200" w:lineRule="exact"/>
              <w:ind w:left="30" w:leftChars="-33" w:hanging="99" w:hangingChars="55"/>
              <w:jc w:val="right"/>
              <w:rPr>
                <w:color w:val="auto"/>
                <w:sz w:val="18"/>
                <w:szCs w:val="18"/>
              </w:rPr>
            </w:pPr>
            <w:r>
              <w:rPr>
                <w:color w:val="auto"/>
                <w:sz w:val="18"/>
                <w:szCs w:val="18"/>
              </w:rPr>
              <w:t>0.1031</w:t>
            </w:r>
          </w:p>
          <w:p w14:paraId="6E56505D">
            <w:pPr>
              <w:adjustRightInd w:val="0"/>
              <w:snapToGrid w:val="0"/>
              <w:spacing w:line="200" w:lineRule="exact"/>
              <w:ind w:left="30" w:leftChars="-33" w:hanging="99" w:hangingChars="55"/>
              <w:jc w:val="right"/>
              <w:rPr>
                <w:color w:val="auto"/>
                <w:sz w:val="18"/>
                <w:szCs w:val="18"/>
              </w:rPr>
            </w:pPr>
            <w:r>
              <w:rPr>
                <w:color w:val="auto"/>
                <w:sz w:val="18"/>
                <w:szCs w:val="18"/>
              </w:rPr>
              <w:t>0.1012</w:t>
            </w:r>
          </w:p>
          <w:p w14:paraId="6A102BC2">
            <w:pPr>
              <w:adjustRightInd w:val="0"/>
              <w:snapToGrid w:val="0"/>
              <w:spacing w:line="200" w:lineRule="exact"/>
              <w:ind w:left="30" w:leftChars="-33" w:hanging="99" w:hangingChars="55"/>
              <w:jc w:val="right"/>
              <w:rPr>
                <w:color w:val="auto"/>
                <w:sz w:val="18"/>
                <w:szCs w:val="18"/>
              </w:rPr>
            </w:pPr>
            <w:r>
              <w:rPr>
                <w:color w:val="auto"/>
                <w:sz w:val="18"/>
                <w:szCs w:val="18"/>
              </w:rPr>
              <w:t>0.0994</w:t>
            </w:r>
          </w:p>
          <w:p w14:paraId="47004E27">
            <w:pPr>
              <w:adjustRightInd w:val="0"/>
              <w:snapToGrid w:val="0"/>
              <w:spacing w:line="200" w:lineRule="exact"/>
              <w:ind w:left="30" w:leftChars="-33" w:hanging="99" w:hangingChars="55"/>
              <w:jc w:val="right"/>
              <w:rPr>
                <w:color w:val="auto"/>
                <w:sz w:val="18"/>
                <w:szCs w:val="18"/>
              </w:rPr>
            </w:pPr>
          </w:p>
        </w:tc>
        <w:tc>
          <w:tcPr>
            <w:tcW w:w="708" w:type="dxa"/>
            <w:tcBorders>
              <w:top w:val="nil"/>
            </w:tcBorders>
          </w:tcPr>
          <w:p w14:paraId="48375476">
            <w:pPr>
              <w:adjustRightInd w:val="0"/>
              <w:snapToGrid w:val="0"/>
              <w:spacing w:line="200" w:lineRule="exact"/>
              <w:ind w:left="30" w:leftChars="-33" w:hanging="99" w:hangingChars="55"/>
              <w:jc w:val="right"/>
              <w:rPr>
                <w:color w:val="auto"/>
                <w:sz w:val="18"/>
                <w:szCs w:val="18"/>
              </w:rPr>
            </w:pPr>
            <w:r>
              <w:rPr>
                <w:color w:val="auto"/>
                <w:sz w:val="18"/>
                <w:szCs w:val="18"/>
              </w:rPr>
              <w:t>0.1216</w:t>
            </w:r>
          </w:p>
          <w:p w14:paraId="2184C845">
            <w:pPr>
              <w:adjustRightInd w:val="0"/>
              <w:snapToGrid w:val="0"/>
              <w:spacing w:line="200" w:lineRule="exact"/>
              <w:ind w:left="30" w:leftChars="-33" w:hanging="99" w:hangingChars="55"/>
              <w:jc w:val="right"/>
              <w:rPr>
                <w:color w:val="auto"/>
                <w:sz w:val="18"/>
                <w:szCs w:val="18"/>
              </w:rPr>
            </w:pPr>
            <w:r>
              <w:rPr>
                <w:color w:val="auto"/>
                <w:sz w:val="18"/>
                <w:szCs w:val="18"/>
              </w:rPr>
              <w:t>0.1193</w:t>
            </w:r>
          </w:p>
          <w:p w14:paraId="1D2E3226">
            <w:pPr>
              <w:adjustRightInd w:val="0"/>
              <w:snapToGrid w:val="0"/>
              <w:spacing w:line="200" w:lineRule="exact"/>
              <w:ind w:left="30" w:leftChars="-33" w:hanging="99" w:hangingChars="55"/>
              <w:jc w:val="right"/>
              <w:rPr>
                <w:color w:val="auto"/>
                <w:sz w:val="18"/>
                <w:szCs w:val="18"/>
              </w:rPr>
            </w:pPr>
            <w:r>
              <w:rPr>
                <w:color w:val="auto"/>
                <w:sz w:val="18"/>
                <w:szCs w:val="18"/>
              </w:rPr>
              <w:t>0.1171</w:t>
            </w:r>
          </w:p>
          <w:p w14:paraId="28310558">
            <w:pPr>
              <w:adjustRightInd w:val="0"/>
              <w:snapToGrid w:val="0"/>
              <w:spacing w:line="200" w:lineRule="exact"/>
              <w:ind w:left="30" w:leftChars="-33" w:hanging="99" w:hangingChars="55"/>
              <w:jc w:val="right"/>
              <w:rPr>
                <w:color w:val="auto"/>
                <w:sz w:val="18"/>
                <w:szCs w:val="18"/>
              </w:rPr>
            </w:pPr>
            <w:r>
              <w:rPr>
                <w:color w:val="auto"/>
                <w:sz w:val="18"/>
                <w:szCs w:val="18"/>
              </w:rPr>
              <w:t>0.1149</w:t>
            </w:r>
          </w:p>
          <w:p w14:paraId="648739AD">
            <w:pPr>
              <w:adjustRightInd w:val="0"/>
              <w:snapToGrid w:val="0"/>
              <w:spacing w:line="200" w:lineRule="exact"/>
              <w:ind w:left="30" w:leftChars="-33" w:hanging="99" w:hangingChars="55"/>
              <w:jc w:val="right"/>
              <w:rPr>
                <w:color w:val="auto"/>
                <w:sz w:val="18"/>
                <w:szCs w:val="18"/>
              </w:rPr>
            </w:pPr>
            <w:r>
              <w:rPr>
                <w:color w:val="auto"/>
                <w:sz w:val="18"/>
                <w:szCs w:val="18"/>
              </w:rPr>
              <w:t>0.1129</w:t>
            </w:r>
          </w:p>
          <w:p w14:paraId="06A29969">
            <w:pPr>
              <w:adjustRightInd w:val="0"/>
              <w:snapToGrid w:val="0"/>
              <w:spacing w:line="200" w:lineRule="exact"/>
              <w:ind w:left="30" w:leftChars="-33" w:hanging="99" w:hangingChars="55"/>
              <w:jc w:val="right"/>
              <w:rPr>
                <w:color w:val="auto"/>
                <w:sz w:val="18"/>
                <w:szCs w:val="18"/>
              </w:rPr>
            </w:pPr>
          </w:p>
          <w:p w14:paraId="32D94D49">
            <w:pPr>
              <w:adjustRightInd w:val="0"/>
              <w:snapToGrid w:val="0"/>
              <w:spacing w:line="200" w:lineRule="exact"/>
              <w:ind w:left="30" w:leftChars="-33" w:hanging="99" w:hangingChars="55"/>
              <w:jc w:val="right"/>
              <w:rPr>
                <w:color w:val="auto"/>
                <w:sz w:val="18"/>
                <w:szCs w:val="18"/>
              </w:rPr>
            </w:pPr>
            <w:r>
              <w:rPr>
                <w:color w:val="auto"/>
                <w:sz w:val="18"/>
                <w:szCs w:val="18"/>
              </w:rPr>
              <w:t>0.1109</w:t>
            </w:r>
          </w:p>
          <w:p w14:paraId="6C23DE07">
            <w:pPr>
              <w:adjustRightInd w:val="0"/>
              <w:snapToGrid w:val="0"/>
              <w:spacing w:line="200" w:lineRule="exact"/>
              <w:ind w:left="30" w:leftChars="-33" w:hanging="99" w:hangingChars="55"/>
              <w:jc w:val="right"/>
              <w:rPr>
                <w:color w:val="auto"/>
                <w:sz w:val="18"/>
                <w:szCs w:val="18"/>
              </w:rPr>
            </w:pPr>
            <w:r>
              <w:rPr>
                <w:color w:val="auto"/>
                <w:sz w:val="18"/>
                <w:szCs w:val="18"/>
              </w:rPr>
              <w:t>0.1090</w:t>
            </w:r>
          </w:p>
          <w:p w14:paraId="74AA2083">
            <w:pPr>
              <w:adjustRightInd w:val="0"/>
              <w:snapToGrid w:val="0"/>
              <w:spacing w:line="200" w:lineRule="exact"/>
              <w:ind w:left="30" w:leftChars="-33" w:hanging="99" w:hangingChars="55"/>
              <w:jc w:val="right"/>
              <w:rPr>
                <w:color w:val="auto"/>
                <w:sz w:val="18"/>
                <w:szCs w:val="18"/>
              </w:rPr>
            </w:pPr>
            <w:r>
              <w:rPr>
                <w:color w:val="auto"/>
                <w:sz w:val="18"/>
                <w:szCs w:val="18"/>
              </w:rPr>
              <w:t>0.1071</w:t>
            </w:r>
          </w:p>
          <w:p w14:paraId="1CD09D5D">
            <w:pPr>
              <w:adjustRightInd w:val="0"/>
              <w:snapToGrid w:val="0"/>
              <w:spacing w:line="200" w:lineRule="exact"/>
              <w:ind w:left="30" w:leftChars="-33" w:hanging="99" w:hangingChars="55"/>
              <w:jc w:val="right"/>
              <w:rPr>
                <w:color w:val="auto"/>
                <w:sz w:val="18"/>
                <w:szCs w:val="18"/>
              </w:rPr>
            </w:pPr>
            <w:r>
              <w:rPr>
                <w:color w:val="auto"/>
                <w:sz w:val="18"/>
                <w:szCs w:val="18"/>
              </w:rPr>
              <w:t>0.1054</w:t>
            </w:r>
          </w:p>
          <w:p w14:paraId="2ED6BEC9">
            <w:pPr>
              <w:adjustRightInd w:val="0"/>
              <w:snapToGrid w:val="0"/>
              <w:spacing w:line="200" w:lineRule="exact"/>
              <w:ind w:left="30" w:leftChars="-33" w:hanging="99" w:hangingChars="55"/>
              <w:jc w:val="right"/>
              <w:rPr>
                <w:color w:val="auto"/>
                <w:sz w:val="18"/>
                <w:szCs w:val="18"/>
              </w:rPr>
            </w:pPr>
            <w:r>
              <w:rPr>
                <w:color w:val="auto"/>
                <w:sz w:val="18"/>
                <w:szCs w:val="18"/>
              </w:rPr>
              <w:t>0.1036</w:t>
            </w:r>
          </w:p>
          <w:p w14:paraId="4DF2B9EE">
            <w:pPr>
              <w:adjustRightInd w:val="0"/>
              <w:snapToGrid w:val="0"/>
              <w:spacing w:line="200" w:lineRule="exact"/>
              <w:ind w:left="30" w:leftChars="-33" w:hanging="99" w:hangingChars="55"/>
              <w:jc w:val="right"/>
              <w:rPr>
                <w:color w:val="auto"/>
                <w:sz w:val="18"/>
                <w:szCs w:val="18"/>
              </w:rPr>
            </w:pPr>
          </w:p>
        </w:tc>
      </w:tr>
    </w:tbl>
    <w:p w14:paraId="4A4F5C84">
      <w:pPr>
        <w:adjustRightInd w:val="0"/>
        <w:snapToGrid w:val="0"/>
        <w:spacing w:line="340" w:lineRule="exact"/>
        <w:jc w:val="center"/>
        <w:rPr>
          <w:color w:val="auto"/>
          <w:spacing w:val="8"/>
          <w:szCs w:val="21"/>
        </w:rPr>
      </w:pPr>
    </w:p>
    <w:p w14:paraId="064B62D6">
      <w:pPr>
        <w:rPr>
          <w:color w:val="auto"/>
          <w:sz w:val="15"/>
          <w:szCs w:val="15"/>
        </w:rPr>
      </w:pPr>
    </w:p>
    <w:p w14:paraId="6C5D831B">
      <w:pPr>
        <w:rPr>
          <w:color w:val="auto"/>
          <w:sz w:val="15"/>
          <w:szCs w:val="15"/>
        </w:rPr>
      </w:pPr>
    </w:p>
    <w:p w14:paraId="07074188">
      <w:pPr>
        <w:rPr>
          <w:color w:val="auto"/>
          <w:sz w:val="15"/>
          <w:szCs w:val="15"/>
        </w:rPr>
      </w:pPr>
    </w:p>
    <w:p w14:paraId="2EEC647C">
      <w:pPr>
        <w:rPr>
          <w:color w:val="auto"/>
          <w:sz w:val="15"/>
          <w:szCs w:val="15"/>
        </w:rPr>
      </w:pPr>
    </w:p>
    <w:p w14:paraId="474FFAB9">
      <w:pPr>
        <w:rPr>
          <w:color w:val="auto"/>
          <w:sz w:val="15"/>
          <w:szCs w:val="15"/>
        </w:rPr>
      </w:pPr>
    </w:p>
    <w:p w14:paraId="52D94574">
      <w:pPr>
        <w:rPr>
          <w:color w:val="auto"/>
          <w:sz w:val="15"/>
          <w:szCs w:val="15"/>
        </w:rPr>
      </w:pPr>
    </w:p>
    <w:p w14:paraId="150B22C5">
      <w:pPr>
        <w:rPr>
          <w:rFonts w:eastAsia="黑体"/>
          <w:b/>
          <w:bCs/>
          <w:color w:val="auto"/>
          <w:sz w:val="18"/>
          <w:szCs w:val="18"/>
        </w:rPr>
      </w:pPr>
      <w:r>
        <w:rPr>
          <w:rFonts w:eastAsia="黑体"/>
          <w:b/>
          <w:bCs/>
          <w:color w:val="auto"/>
          <w:sz w:val="18"/>
          <w:szCs w:val="18"/>
        </w:rPr>
        <w:t>续表</w:t>
      </w:r>
    </w:p>
    <w:tbl>
      <w:tblPr>
        <w:tblStyle w:val="36"/>
        <w:tblW w:w="91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54"/>
        <w:gridCol w:w="654"/>
        <w:gridCol w:w="661"/>
        <w:gridCol w:w="661"/>
        <w:gridCol w:w="661"/>
        <w:gridCol w:w="661"/>
        <w:gridCol w:w="661"/>
        <w:gridCol w:w="661"/>
        <w:gridCol w:w="661"/>
        <w:gridCol w:w="661"/>
        <w:gridCol w:w="661"/>
        <w:gridCol w:w="661"/>
        <w:gridCol w:w="661"/>
        <w:gridCol w:w="661"/>
      </w:tblGrid>
      <w:tr w14:paraId="70EE7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6" w:hRule="atLeast"/>
          <w:jc w:val="center"/>
        </w:trPr>
        <w:tc>
          <w:tcPr>
            <w:tcW w:w="554" w:type="dxa"/>
            <w:vMerge w:val="restart"/>
            <w:tcBorders>
              <w:top w:val="single" w:color="auto" w:sz="12" w:space="0"/>
              <w:tl2br w:val="nil"/>
            </w:tcBorders>
            <w:vAlign w:val="center"/>
          </w:tcPr>
          <w:p w14:paraId="2E351CBB">
            <w:pPr>
              <w:pStyle w:val="2"/>
              <w:ind w:left="17" w:leftChars="-19" w:hanging="57" w:hangingChars="32"/>
              <w:rPr>
                <w:color w:val="auto"/>
                <w:szCs w:val="18"/>
              </w:rPr>
            </w:pPr>
            <w:bookmarkStart w:id="131" w:name="_Toc199943669"/>
            <w:bookmarkStart w:id="132" w:name="_Toc111241394"/>
            <w:bookmarkStart w:id="133" w:name="_Toc182315345"/>
            <w:r>
              <w:rPr>
                <w:color w:val="auto"/>
                <w:szCs w:val="18"/>
              </w:rPr>
              <w:t>z/b</w:t>
            </w:r>
            <w:bookmarkEnd w:id="131"/>
            <w:bookmarkEnd w:id="132"/>
            <w:bookmarkEnd w:id="133"/>
          </w:p>
        </w:tc>
        <w:tc>
          <w:tcPr>
            <w:tcW w:w="8586" w:type="dxa"/>
            <w:gridSpan w:val="13"/>
            <w:tcBorders>
              <w:bottom w:val="single" w:color="auto" w:sz="6" w:space="0"/>
            </w:tcBorders>
            <w:vAlign w:val="center"/>
          </w:tcPr>
          <w:p w14:paraId="4B67AA1D">
            <w:pPr>
              <w:snapToGrid w:val="0"/>
              <w:jc w:val="center"/>
              <w:rPr>
                <w:color w:val="auto"/>
                <w:sz w:val="18"/>
                <w:szCs w:val="18"/>
              </w:rPr>
            </w:pPr>
            <w:r>
              <w:rPr>
                <w:color w:val="auto"/>
                <w:sz w:val="18"/>
                <w:szCs w:val="18"/>
              </w:rPr>
              <w:t>l/b</w:t>
            </w:r>
          </w:p>
        </w:tc>
      </w:tr>
      <w:tr w14:paraId="4F85E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554" w:type="dxa"/>
            <w:vMerge w:val="continue"/>
            <w:tcBorders>
              <w:bottom w:val="single" w:color="auto" w:sz="6" w:space="0"/>
              <w:tl2br w:val="nil"/>
            </w:tcBorders>
            <w:vAlign w:val="center"/>
          </w:tcPr>
          <w:p w14:paraId="151582EA">
            <w:pPr>
              <w:pStyle w:val="2"/>
              <w:ind w:left="17" w:leftChars="-19" w:hanging="57" w:hangingChars="32"/>
              <w:jc w:val="left"/>
              <w:rPr>
                <w:color w:val="auto"/>
                <w:szCs w:val="18"/>
              </w:rPr>
            </w:pPr>
          </w:p>
        </w:tc>
        <w:tc>
          <w:tcPr>
            <w:tcW w:w="654" w:type="dxa"/>
            <w:tcBorders>
              <w:bottom w:val="single" w:color="auto" w:sz="6" w:space="0"/>
            </w:tcBorders>
            <w:vAlign w:val="center"/>
          </w:tcPr>
          <w:p w14:paraId="369A50A5">
            <w:pPr>
              <w:snapToGrid w:val="0"/>
              <w:jc w:val="center"/>
              <w:rPr>
                <w:color w:val="auto"/>
                <w:sz w:val="18"/>
                <w:szCs w:val="18"/>
              </w:rPr>
            </w:pPr>
            <w:r>
              <w:rPr>
                <w:color w:val="auto"/>
                <w:sz w:val="18"/>
                <w:szCs w:val="18"/>
              </w:rPr>
              <w:t>1.0</w:t>
            </w:r>
          </w:p>
        </w:tc>
        <w:tc>
          <w:tcPr>
            <w:tcW w:w="661" w:type="dxa"/>
            <w:tcBorders>
              <w:bottom w:val="single" w:color="auto" w:sz="6" w:space="0"/>
            </w:tcBorders>
            <w:vAlign w:val="center"/>
          </w:tcPr>
          <w:p w14:paraId="0C16F67C">
            <w:pPr>
              <w:snapToGrid w:val="0"/>
              <w:jc w:val="center"/>
              <w:rPr>
                <w:color w:val="auto"/>
                <w:sz w:val="18"/>
                <w:szCs w:val="18"/>
              </w:rPr>
            </w:pPr>
            <w:r>
              <w:rPr>
                <w:color w:val="auto"/>
                <w:sz w:val="18"/>
                <w:szCs w:val="18"/>
              </w:rPr>
              <w:t>1.2</w:t>
            </w:r>
          </w:p>
        </w:tc>
        <w:tc>
          <w:tcPr>
            <w:tcW w:w="661" w:type="dxa"/>
            <w:tcBorders>
              <w:bottom w:val="single" w:color="auto" w:sz="6" w:space="0"/>
            </w:tcBorders>
            <w:vAlign w:val="center"/>
          </w:tcPr>
          <w:p w14:paraId="561959BB">
            <w:pPr>
              <w:snapToGrid w:val="0"/>
              <w:jc w:val="center"/>
              <w:rPr>
                <w:color w:val="auto"/>
                <w:sz w:val="18"/>
                <w:szCs w:val="18"/>
              </w:rPr>
            </w:pPr>
            <w:r>
              <w:rPr>
                <w:color w:val="auto"/>
                <w:sz w:val="18"/>
                <w:szCs w:val="18"/>
              </w:rPr>
              <w:t>1.4</w:t>
            </w:r>
          </w:p>
        </w:tc>
        <w:tc>
          <w:tcPr>
            <w:tcW w:w="661" w:type="dxa"/>
            <w:tcBorders>
              <w:bottom w:val="single" w:color="auto" w:sz="6" w:space="0"/>
            </w:tcBorders>
            <w:vAlign w:val="center"/>
          </w:tcPr>
          <w:p w14:paraId="729BEDEE">
            <w:pPr>
              <w:snapToGrid w:val="0"/>
              <w:jc w:val="center"/>
              <w:rPr>
                <w:color w:val="auto"/>
                <w:sz w:val="18"/>
                <w:szCs w:val="18"/>
              </w:rPr>
            </w:pPr>
            <w:r>
              <w:rPr>
                <w:color w:val="auto"/>
                <w:sz w:val="18"/>
                <w:szCs w:val="18"/>
              </w:rPr>
              <w:t>1.6</w:t>
            </w:r>
          </w:p>
        </w:tc>
        <w:tc>
          <w:tcPr>
            <w:tcW w:w="661" w:type="dxa"/>
            <w:tcBorders>
              <w:bottom w:val="single" w:color="auto" w:sz="6" w:space="0"/>
            </w:tcBorders>
            <w:vAlign w:val="center"/>
          </w:tcPr>
          <w:p w14:paraId="7805CFDF">
            <w:pPr>
              <w:snapToGrid w:val="0"/>
              <w:jc w:val="center"/>
              <w:rPr>
                <w:color w:val="auto"/>
                <w:sz w:val="18"/>
                <w:szCs w:val="18"/>
              </w:rPr>
            </w:pPr>
            <w:r>
              <w:rPr>
                <w:color w:val="auto"/>
                <w:sz w:val="18"/>
                <w:szCs w:val="18"/>
              </w:rPr>
              <w:t>1.8</w:t>
            </w:r>
          </w:p>
        </w:tc>
        <w:tc>
          <w:tcPr>
            <w:tcW w:w="661" w:type="dxa"/>
            <w:tcBorders>
              <w:bottom w:val="single" w:color="auto" w:sz="6" w:space="0"/>
            </w:tcBorders>
            <w:vAlign w:val="center"/>
          </w:tcPr>
          <w:p w14:paraId="7B4F0FA6">
            <w:pPr>
              <w:snapToGrid w:val="0"/>
              <w:jc w:val="center"/>
              <w:rPr>
                <w:color w:val="auto"/>
                <w:sz w:val="18"/>
                <w:szCs w:val="18"/>
              </w:rPr>
            </w:pPr>
            <w:r>
              <w:rPr>
                <w:color w:val="auto"/>
                <w:sz w:val="18"/>
                <w:szCs w:val="18"/>
              </w:rPr>
              <w:t>2.0</w:t>
            </w:r>
          </w:p>
        </w:tc>
        <w:tc>
          <w:tcPr>
            <w:tcW w:w="661" w:type="dxa"/>
            <w:tcBorders>
              <w:bottom w:val="single" w:color="auto" w:sz="6" w:space="0"/>
            </w:tcBorders>
            <w:vAlign w:val="center"/>
          </w:tcPr>
          <w:p w14:paraId="68E55BFA">
            <w:pPr>
              <w:snapToGrid w:val="0"/>
              <w:jc w:val="center"/>
              <w:rPr>
                <w:color w:val="auto"/>
                <w:sz w:val="18"/>
                <w:szCs w:val="18"/>
              </w:rPr>
            </w:pPr>
            <w:r>
              <w:rPr>
                <w:color w:val="auto"/>
                <w:sz w:val="18"/>
                <w:szCs w:val="18"/>
              </w:rPr>
              <w:t>2.4</w:t>
            </w:r>
          </w:p>
        </w:tc>
        <w:tc>
          <w:tcPr>
            <w:tcW w:w="661" w:type="dxa"/>
            <w:tcBorders>
              <w:bottom w:val="single" w:color="auto" w:sz="6" w:space="0"/>
            </w:tcBorders>
            <w:vAlign w:val="center"/>
          </w:tcPr>
          <w:p w14:paraId="2F74FA08">
            <w:pPr>
              <w:snapToGrid w:val="0"/>
              <w:jc w:val="center"/>
              <w:rPr>
                <w:color w:val="auto"/>
                <w:sz w:val="18"/>
                <w:szCs w:val="18"/>
              </w:rPr>
            </w:pPr>
            <w:r>
              <w:rPr>
                <w:color w:val="auto"/>
                <w:sz w:val="18"/>
                <w:szCs w:val="18"/>
              </w:rPr>
              <w:t>2.8</w:t>
            </w:r>
          </w:p>
        </w:tc>
        <w:tc>
          <w:tcPr>
            <w:tcW w:w="661" w:type="dxa"/>
            <w:tcBorders>
              <w:bottom w:val="single" w:color="auto" w:sz="6" w:space="0"/>
            </w:tcBorders>
            <w:vAlign w:val="center"/>
          </w:tcPr>
          <w:p w14:paraId="2D6D5A6E">
            <w:pPr>
              <w:snapToGrid w:val="0"/>
              <w:jc w:val="center"/>
              <w:rPr>
                <w:color w:val="auto"/>
                <w:sz w:val="18"/>
                <w:szCs w:val="18"/>
              </w:rPr>
            </w:pPr>
            <w:r>
              <w:rPr>
                <w:color w:val="auto"/>
                <w:sz w:val="18"/>
                <w:szCs w:val="18"/>
              </w:rPr>
              <w:t>3.2</w:t>
            </w:r>
          </w:p>
        </w:tc>
        <w:tc>
          <w:tcPr>
            <w:tcW w:w="661" w:type="dxa"/>
            <w:tcBorders>
              <w:bottom w:val="single" w:color="auto" w:sz="6" w:space="0"/>
            </w:tcBorders>
            <w:vAlign w:val="center"/>
          </w:tcPr>
          <w:p w14:paraId="3F53A472">
            <w:pPr>
              <w:snapToGrid w:val="0"/>
              <w:jc w:val="center"/>
              <w:rPr>
                <w:color w:val="auto"/>
                <w:sz w:val="18"/>
                <w:szCs w:val="18"/>
              </w:rPr>
            </w:pPr>
            <w:r>
              <w:rPr>
                <w:color w:val="auto"/>
                <w:sz w:val="18"/>
                <w:szCs w:val="18"/>
              </w:rPr>
              <w:t>3.6</w:t>
            </w:r>
          </w:p>
        </w:tc>
        <w:tc>
          <w:tcPr>
            <w:tcW w:w="661" w:type="dxa"/>
            <w:tcBorders>
              <w:bottom w:val="single" w:color="auto" w:sz="6" w:space="0"/>
            </w:tcBorders>
            <w:vAlign w:val="center"/>
          </w:tcPr>
          <w:p w14:paraId="3A808CFD">
            <w:pPr>
              <w:snapToGrid w:val="0"/>
              <w:jc w:val="center"/>
              <w:rPr>
                <w:color w:val="auto"/>
                <w:sz w:val="18"/>
                <w:szCs w:val="18"/>
              </w:rPr>
            </w:pPr>
            <w:r>
              <w:rPr>
                <w:color w:val="auto"/>
                <w:sz w:val="18"/>
                <w:szCs w:val="18"/>
              </w:rPr>
              <w:t>4.0</w:t>
            </w:r>
          </w:p>
        </w:tc>
        <w:tc>
          <w:tcPr>
            <w:tcW w:w="661" w:type="dxa"/>
            <w:tcBorders>
              <w:bottom w:val="single" w:color="auto" w:sz="6" w:space="0"/>
            </w:tcBorders>
            <w:vAlign w:val="center"/>
          </w:tcPr>
          <w:p w14:paraId="05A57C7B">
            <w:pPr>
              <w:snapToGrid w:val="0"/>
              <w:jc w:val="center"/>
              <w:rPr>
                <w:color w:val="auto"/>
                <w:sz w:val="18"/>
                <w:szCs w:val="18"/>
              </w:rPr>
            </w:pPr>
            <w:r>
              <w:rPr>
                <w:color w:val="auto"/>
                <w:sz w:val="18"/>
                <w:szCs w:val="18"/>
              </w:rPr>
              <w:t>5.0</w:t>
            </w:r>
          </w:p>
        </w:tc>
        <w:tc>
          <w:tcPr>
            <w:tcW w:w="661" w:type="dxa"/>
            <w:tcBorders>
              <w:bottom w:val="single" w:color="auto" w:sz="6" w:space="0"/>
            </w:tcBorders>
            <w:vAlign w:val="center"/>
          </w:tcPr>
          <w:p w14:paraId="2053F739">
            <w:pPr>
              <w:snapToGrid w:val="0"/>
              <w:jc w:val="center"/>
              <w:rPr>
                <w:color w:val="auto"/>
                <w:sz w:val="18"/>
                <w:szCs w:val="18"/>
              </w:rPr>
            </w:pPr>
            <w:r>
              <w:rPr>
                <w:color w:val="auto"/>
                <w:sz w:val="18"/>
                <w:szCs w:val="18"/>
              </w:rPr>
              <w:t>10.0</w:t>
            </w:r>
          </w:p>
        </w:tc>
      </w:tr>
      <w:tr w14:paraId="08EF8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47" w:hRule="atLeast"/>
          <w:jc w:val="center"/>
        </w:trPr>
        <w:tc>
          <w:tcPr>
            <w:tcW w:w="554" w:type="dxa"/>
            <w:tcBorders>
              <w:top w:val="single" w:color="auto" w:sz="6" w:space="0"/>
              <w:bottom w:val="nil"/>
            </w:tcBorders>
          </w:tcPr>
          <w:p w14:paraId="51B2DDD8">
            <w:pPr>
              <w:adjustRightInd w:val="0"/>
              <w:snapToGrid w:val="0"/>
              <w:jc w:val="center"/>
              <w:rPr>
                <w:color w:val="auto"/>
                <w:sz w:val="18"/>
                <w:szCs w:val="18"/>
              </w:rPr>
            </w:pPr>
          </w:p>
          <w:p w14:paraId="7BA5C5F3">
            <w:pPr>
              <w:adjustRightInd w:val="0"/>
              <w:snapToGrid w:val="0"/>
              <w:jc w:val="center"/>
              <w:rPr>
                <w:color w:val="auto"/>
                <w:sz w:val="18"/>
                <w:szCs w:val="18"/>
              </w:rPr>
            </w:pPr>
            <w:r>
              <w:rPr>
                <w:color w:val="auto"/>
                <w:sz w:val="18"/>
                <w:szCs w:val="18"/>
              </w:rPr>
              <w:t>8.0</w:t>
            </w:r>
          </w:p>
          <w:p w14:paraId="3E77E0DF">
            <w:pPr>
              <w:adjustRightInd w:val="0"/>
              <w:snapToGrid w:val="0"/>
              <w:jc w:val="center"/>
              <w:rPr>
                <w:color w:val="auto"/>
                <w:sz w:val="18"/>
                <w:szCs w:val="18"/>
              </w:rPr>
            </w:pPr>
            <w:r>
              <w:rPr>
                <w:color w:val="auto"/>
                <w:sz w:val="18"/>
                <w:szCs w:val="18"/>
              </w:rPr>
              <w:t>8.2</w:t>
            </w:r>
          </w:p>
          <w:p w14:paraId="3C9E5C68">
            <w:pPr>
              <w:adjustRightInd w:val="0"/>
              <w:snapToGrid w:val="0"/>
              <w:jc w:val="center"/>
              <w:rPr>
                <w:color w:val="auto"/>
                <w:sz w:val="18"/>
                <w:szCs w:val="18"/>
              </w:rPr>
            </w:pPr>
            <w:r>
              <w:rPr>
                <w:color w:val="auto"/>
                <w:sz w:val="18"/>
                <w:szCs w:val="18"/>
              </w:rPr>
              <w:t>8.4</w:t>
            </w:r>
          </w:p>
          <w:p w14:paraId="50319551">
            <w:pPr>
              <w:adjustRightInd w:val="0"/>
              <w:snapToGrid w:val="0"/>
              <w:jc w:val="center"/>
              <w:rPr>
                <w:color w:val="auto"/>
                <w:sz w:val="18"/>
                <w:szCs w:val="18"/>
              </w:rPr>
            </w:pPr>
            <w:r>
              <w:rPr>
                <w:color w:val="auto"/>
                <w:sz w:val="18"/>
                <w:szCs w:val="18"/>
              </w:rPr>
              <w:t>8.6</w:t>
            </w:r>
          </w:p>
          <w:p w14:paraId="5866CB0E">
            <w:pPr>
              <w:adjustRightInd w:val="0"/>
              <w:snapToGrid w:val="0"/>
              <w:jc w:val="center"/>
              <w:rPr>
                <w:color w:val="auto"/>
                <w:sz w:val="18"/>
                <w:szCs w:val="18"/>
              </w:rPr>
            </w:pPr>
            <w:r>
              <w:rPr>
                <w:color w:val="auto"/>
                <w:sz w:val="18"/>
                <w:szCs w:val="18"/>
              </w:rPr>
              <w:t>8.8</w:t>
            </w:r>
          </w:p>
          <w:p w14:paraId="5D6B5DFB">
            <w:pPr>
              <w:adjustRightInd w:val="0"/>
              <w:snapToGrid w:val="0"/>
              <w:jc w:val="center"/>
              <w:rPr>
                <w:color w:val="auto"/>
                <w:sz w:val="18"/>
                <w:szCs w:val="18"/>
              </w:rPr>
            </w:pPr>
          </w:p>
          <w:p w14:paraId="42D5933F">
            <w:pPr>
              <w:adjustRightInd w:val="0"/>
              <w:snapToGrid w:val="0"/>
              <w:jc w:val="center"/>
              <w:rPr>
                <w:color w:val="auto"/>
                <w:sz w:val="18"/>
                <w:szCs w:val="18"/>
              </w:rPr>
            </w:pPr>
            <w:r>
              <w:rPr>
                <w:color w:val="auto"/>
                <w:sz w:val="18"/>
                <w:szCs w:val="18"/>
              </w:rPr>
              <w:t>9.2</w:t>
            </w:r>
          </w:p>
          <w:p w14:paraId="663842F7">
            <w:pPr>
              <w:adjustRightInd w:val="0"/>
              <w:snapToGrid w:val="0"/>
              <w:jc w:val="center"/>
              <w:rPr>
                <w:color w:val="auto"/>
                <w:sz w:val="18"/>
                <w:szCs w:val="18"/>
              </w:rPr>
            </w:pPr>
            <w:r>
              <w:rPr>
                <w:color w:val="auto"/>
                <w:sz w:val="18"/>
                <w:szCs w:val="18"/>
              </w:rPr>
              <w:t>9.6</w:t>
            </w:r>
          </w:p>
          <w:p w14:paraId="241B9B6C">
            <w:pPr>
              <w:adjustRightInd w:val="0"/>
              <w:snapToGrid w:val="0"/>
              <w:jc w:val="center"/>
              <w:rPr>
                <w:color w:val="auto"/>
                <w:sz w:val="18"/>
                <w:szCs w:val="18"/>
              </w:rPr>
            </w:pPr>
            <w:r>
              <w:rPr>
                <w:color w:val="auto"/>
                <w:sz w:val="18"/>
                <w:szCs w:val="18"/>
              </w:rPr>
              <w:t>10.0</w:t>
            </w:r>
          </w:p>
          <w:p w14:paraId="41C016B5">
            <w:pPr>
              <w:adjustRightInd w:val="0"/>
              <w:snapToGrid w:val="0"/>
              <w:jc w:val="center"/>
              <w:rPr>
                <w:color w:val="auto"/>
                <w:sz w:val="18"/>
                <w:szCs w:val="18"/>
              </w:rPr>
            </w:pPr>
            <w:r>
              <w:rPr>
                <w:color w:val="auto"/>
                <w:sz w:val="18"/>
                <w:szCs w:val="18"/>
              </w:rPr>
              <w:t>10.4</w:t>
            </w:r>
          </w:p>
          <w:p w14:paraId="3AA1CE0E">
            <w:pPr>
              <w:adjustRightInd w:val="0"/>
              <w:snapToGrid w:val="0"/>
              <w:jc w:val="center"/>
              <w:rPr>
                <w:color w:val="auto"/>
                <w:sz w:val="18"/>
                <w:szCs w:val="18"/>
              </w:rPr>
            </w:pPr>
            <w:r>
              <w:rPr>
                <w:color w:val="auto"/>
                <w:sz w:val="18"/>
                <w:szCs w:val="18"/>
              </w:rPr>
              <w:t>10.8</w:t>
            </w:r>
          </w:p>
        </w:tc>
        <w:tc>
          <w:tcPr>
            <w:tcW w:w="654" w:type="dxa"/>
            <w:tcBorders>
              <w:top w:val="single" w:color="auto" w:sz="6" w:space="0"/>
              <w:bottom w:val="nil"/>
            </w:tcBorders>
          </w:tcPr>
          <w:p w14:paraId="77375EB2">
            <w:pPr>
              <w:adjustRightInd w:val="0"/>
              <w:snapToGrid w:val="0"/>
              <w:ind w:left="25" w:leftChars="-28" w:right="-61" w:rightChars="-29" w:hanging="84" w:hangingChars="47"/>
              <w:jc w:val="center"/>
              <w:rPr>
                <w:color w:val="auto"/>
                <w:sz w:val="18"/>
                <w:szCs w:val="18"/>
              </w:rPr>
            </w:pPr>
          </w:p>
          <w:p w14:paraId="5075AA02">
            <w:pPr>
              <w:adjustRightInd w:val="0"/>
              <w:snapToGrid w:val="0"/>
              <w:ind w:left="25" w:leftChars="-28" w:right="-61" w:rightChars="-29" w:hanging="84" w:hangingChars="47"/>
              <w:jc w:val="center"/>
              <w:rPr>
                <w:color w:val="auto"/>
                <w:sz w:val="18"/>
                <w:szCs w:val="18"/>
              </w:rPr>
            </w:pPr>
            <w:r>
              <w:rPr>
                <w:color w:val="auto"/>
                <w:sz w:val="18"/>
                <w:szCs w:val="18"/>
              </w:rPr>
              <w:t>0.0627</w:t>
            </w:r>
          </w:p>
          <w:p w14:paraId="1949A6D4">
            <w:pPr>
              <w:adjustRightInd w:val="0"/>
              <w:snapToGrid w:val="0"/>
              <w:ind w:left="25" w:leftChars="-28" w:right="-61" w:rightChars="-29" w:hanging="84" w:hangingChars="47"/>
              <w:jc w:val="center"/>
              <w:rPr>
                <w:color w:val="auto"/>
                <w:sz w:val="18"/>
                <w:szCs w:val="18"/>
              </w:rPr>
            </w:pPr>
            <w:r>
              <w:rPr>
                <w:color w:val="auto"/>
                <w:sz w:val="18"/>
                <w:szCs w:val="18"/>
              </w:rPr>
              <w:t>0.0614</w:t>
            </w:r>
          </w:p>
          <w:p w14:paraId="2066DCEF">
            <w:pPr>
              <w:adjustRightInd w:val="0"/>
              <w:snapToGrid w:val="0"/>
              <w:ind w:left="25" w:leftChars="-28" w:right="-61" w:rightChars="-29" w:hanging="84" w:hangingChars="47"/>
              <w:jc w:val="center"/>
              <w:rPr>
                <w:color w:val="auto"/>
                <w:sz w:val="18"/>
                <w:szCs w:val="18"/>
              </w:rPr>
            </w:pPr>
            <w:r>
              <w:rPr>
                <w:color w:val="auto"/>
                <w:sz w:val="18"/>
                <w:szCs w:val="18"/>
              </w:rPr>
              <w:t>0.0601</w:t>
            </w:r>
          </w:p>
          <w:p w14:paraId="37D55B8E">
            <w:pPr>
              <w:adjustRightInd w:val="0"/>
              <w:snapToGrid w:val="0"/>
              <w:ind w:left="25" w:leftChars="-28" w:right="-61" w:rightChars="-29" w:hanging="84" w:hangingChars="47"/>
              <w:jc w:val="center"/>
              <w:rPr>
                <w:color w:val="auto"/>
                <w:sz w:val="18"/>
                <w:szCs w:val="18"/>
              </w:rPr>
            </w:pPr>
            <w:r>
              <w:rPr>
                <w:color w:val="auto"/>
                <w:sz w:val="18"/>
                <w:szCs w:val="18"/>
              </w:rPr>
              <w:t>0.0588</w:t>
            </w:r>
          </w:p>
          <w:p w14:paraId="3B2AE02C">
            <w:pPr>
              <w:adjustRightInd w:val="0"/>
              <w:snapToGrid w:val="0"/>
              <w:ind w:left="25" w:leftChars="-28" w:right="-61" w:rightChars="-29" w:hanging="84" w:hangingChars="47"/>
              <w:jc w:val="center"/>
              <w:rPr>
                <w:color w:val="auto"/>
                <w:sz w:val="18"/>
                <w:szCs w:val="18"/>
              </w:rPr>
            </w:pPr>
            <w:r>
              <w:rPr>
                <w:color w:val="auto"/>
                <w:sz w:val="18"/>
                <w:szCs w:val="18"/>
              </w:rPr>
              <w:t>0.0576</w:t>
            </w:r>
          </w:p>
          <w:p w14:paraId="52212C44">
            <w:pPr>
              <w:adjustRightInd w:val="0"/>
              <w:snapToGrid w:val="0"/>
              <w:ind w:left="25" w:leftChars="-28" w:right="-61" w:rightChars="-29" w:hanging="84" w:hangingChars="47"/>
              <w:jc w:val="center"/>
              <w:rPr>
                <w:color w:val="auto"/>
                <w:sz w:val="18"/>
                <w:szCs w:val="18"/>
              </w:rPr>
            </w:pPr>
          </w:p>
          <w:p w14:paraId="2734B35A">
            <w:pPr>
              <w:adjustRightInd w:val="0"/>
              <w:snapToGrid w:val="0"/>
              <w:ind w:left="25" w:leftChars="-28" w:right="-61" w:rightChars="-29" w:hanging="84" w:hangingChars="47"/>
              <w:jc w:val="center"/>
              <w:rPr>
                <w:color w:val="auto"/>
                <w:sz w:val="18"/>
                <w:szCs w:val="18"/>
              </w:rPr>
            </w:pPr>
            <w:r>
              <w:rPr>
                <w:color w:val="auto"/>
                <w:sz w:val="18"/>
                <w:szCs w:val="18"/>
              </w:rPr>
              <w:t>0.0554</w:t>
            </w:r>
          </w:p>
          <w:p w14:paraId="1058E36F">
            <w:pPr>
              <w:adjustRightInd w:val="0"/>
              <w:snapToGrid w:val="0"/>
              <w:ind w:left="25" w:leftChars="-28" w:right="-61" w:rightChars="-29" w:hanging="84" w:hangingChars="47"/>
              <w:jc w:val="center"/>
              <w:rPr>
                <w:color w:val="auto"/>
                <w:sz w:val="18"/>
                <w:szCs w:val="18"/>
              </w:rPr>
            </w:pPr>
            <w:r>
              <w:rPr>
                <w:color w:val="auto"/>
                <w:sz w:val="18"/>
                <w:szCs w:val="18"/>
              </w:rPr>
              <w:t>0.0533</w:t>
            </w:r>
          </w:p>
          <w:p w14:paraId="71E9BD7A">
            <w:pPr>
              <w:adjustRightInd w:val="0"/>
              <w:snapToGrid w:val="0"/>
              <w:ind w:left="25" w:leftChars="-28" w:right="-61" w:rightChars="-29" w:hanging="84" w:hangingChars="47"/>
              <w:jc w:val="center"/>
              <w:rPr>
                <w:color w:val="auto"/>
                <w:sz w:val="18"/>
                <w:szCs w:val="18"/>
              </w:rPr>
            </w:pPr>
            <w:r>
              <w:rPr>
                <w:color w:val="auto"/>
                <w:sz w:val="18"/>
                <w:szCs w:val="18"/>
              </w:rPr>
              <w:t>0.0514</w:t>
            </w:r>
          </w:p>
          <w:p w14:paraId="3D25E03C">
            <w:pPr>
              <w:adjustRightInd w:val="0"/>
              <w:snapToGrid w:val="0"/>
              <w:ind w:left="25" w:leftChars="-28" w:right="-61" w:rightChars="-29" w:hanging="84" w:hangingChars="47"/>
              <w:jc w:val="center"/>
              <w:rPr>
                <w:color w:val="auto"/>
                <w:sz w:val="18"/>
                <w:szCs w:val="18"/>
              </w:rPr>
            </w:pPr>
            <w:r>
              <w:rPr>
                <w:color w:val="auto"/>
                <w:sz w:val="18"/>
                <w:szCs w:val="18"/>
              </w:rPr>
              <w:t>0.0496</w:t>
            </w:r>
          </w:p>
          <w:p w14:paraId="6A4B2C1A">
            <w:pPr>
              <w:adjustRightInd w:val="0"/>
              <w:snapToGrid w:val="0"/>
              <w:ind w:left="25" w:leftChars="-28" w:right="-61" w:rightChars="-29" w:hanging="84" w:hangingChars="47"/>
              <w:jc w:val="center"/>
              <w:rPr>
                <w:color w:val="auto"/>
                <w:sz w:val="18"/>
                <w:szCs w:val="18"/>
              </w:rPr>
            </w:pPr>
            <w:r>
              <w:rPr>
                <w:color w:val="auto"/>
                <w:sz w:val="18"/>
                <w:szCs w:val="18"/>
              </w:rPr>
              <w:t>0.0479</w:t>
            </w:r>
          </w:p>
        </w:tc>
        <w:tc>
          <w:tcPr>
            <w:tcW w:w="661" w:type="dxa"/>
            <w:tcBorders>
              <w:top w:val="single" w:color="auto" w:sz="6" w:space="0"/>
              <w:bottom w:val="nil"/>
            </w:tcBorders>
          </w:tcPr>
          <w:p w14:paraId="487F5C13">
            <w:pPr>
              <w:adjustRightInd w:val="0"/>
              <w:snapToGrid w:val="0"/>
              <w:ind w:left="22" w:leftChars="-24" w:right="-36" w:rightChars="-17" w:hanging="72" w:hangingChars="40"/>
              <w:jc w:val="center"/>
              <w:rPr>
                <w:color w:val="auto"/>
                <w:sz w:val="18"/>
                <w:szCs w:val="18"/>
              </w:rPr>
            </w:pPr>
          </w:p>
          <w:p w14:paraId="3AA01A0A">
            <w:pPr>
              <w:adjustRightInd w:val="0"/>
              <w:snapToGrid w:val="0"/>
              <w:ind w:left="22" w:leftChars="-24" w:right="-36" w:rightChars="-17" w:hanging="72" w:hangingChars="40"/>
              <w:jc w:val="center"/>
              <w:rPr>
                <w:color w:val="auto"/>
                <w:sz w:val="18"/>
                <w:szCs w:val="18"/>
              </w:rPr>
            </w:pPr>
            <w:r>
              <w:rPr>
                <w:color w:val="auto"/>
                <w:sz w:val="18"/>
                <w:szCs w:val="18"/>
              </w:rPr>
              <w:t>0.0678</w:t>
            </w:r>
          </w:p>
          <w:p w14:paraId="08D1C72D">
            <w:pPr>
              <w:adjustRightInd w:val="0"/>
              <w:snapToGrid w:val="0"/>
              <w:ind w:left="22" w:leftChars="-24" w:right="-36" w:rightChars="-17" w:hanging="72" w:hangingChars="40"/>
              <w:jc w:val="center"/>
              <w:rPr>
                <w:color w:val="auto"/>
                <w:sz w:val="18"/>
                <w:szCs w:val="18"/>
              </w:rPr>
            </w:pPr>
            <w:r>
              <w:rPr>
                <w:color w:val="auto"/>
                <w:sz w:val="18"/>
                <w:szCs w:val="18"/>
              </w:rPr>
              <w:t>0.0663</w:t>
            </w:r>
          </w:p>
          <w:p w14:paraId="7AB6AE07">
            <w:pPr>
              <w:adjustRightInd w:val="0"/>
              <w:snapToGrid w:val="0"/>
              <w:ind w:left="22" w:leftChars="-24" w:right="-36" w:rightChars="-17" w:hanging="72" w:hangingChars="40"/>
              <w:jc w:val="center"/>
              <w:rPr>
                <w:color w:val="auto"/>
                <w:sz w:val="18"/>
                <w:szCs w:val="18"/>
              </w:rPr>
            </w:pPr>
            <w:r>
              <w:rPr>
                <w:color w:val="auto"/>
                <w:sz w:val="18"/>
                <w:szCs w:val="18"/>
              </w:rPr>
              <w:t>0.0649</w:t>
            </w:r>
          </w:p>
          <w:p w14:paraId="77413C82">
            <w:pPr>
              <w:adjustRightInd w:val="0"/>
              <w:snapToGrid w:val="0"/>
              <w:ind w:left="22" w:leftChars="-24" w:right="-36" w:rightChars="-17" w:hanging="72" w:hangingChars="40"/>
              <w:jc w:val="center"/>
              <w:rPr>
                <w:color w:val="auto"/>
                <w:sz w:val="18"/>
                <w:szCs w:val="18"/>
              </w:rPr>
            </w:pPr>
            <w:r>
              <w:rPr>
                <w:color w:val="auto"/>
                <w:sz w:val="18"/>
                <w:szCs w:val="18"/>
              </w:rPr>
              <w:t>0.0636</w:t>
            </w:r>
          </w:p>
          <w:p w14:paraId="2BFD0C69">
            <w:pPr>
              <w:adjustRightInd w:val="0"/>
              <w:snapToGrid w:val="0"/>
              <w:ind w:left="22" w:leftChars="-24" w:right="-36" w:rightChars="-17" w:hanging="72" w:hangingChars="40"/>
              <w:jc w:val="center"/>
              <w:rPr>
                <w:color w:val="auto"/>
                <w:sz w:val="18"/>
                <w:szCs w:val="18"/>
              </w:rPr>
            </w:pPr>
            <w:r>
              <w:rPr>
                <w:color w:val="auto"/>
                <w:sz w:val="18"/>
                <w:szCs w:val="18"/>
              </w:rPr>
              <w:t>0.0623</w:t>
            </w:r>
          </w:p>
          <w:p w14:paraId="3AD89655">
            <w:pPr>
              <w:adjustRightInd w:val="0"/>
              <w:snapToGrid w:val="0"/>
              <w:ind w:left="22" w:leftChars="-24" w:right="-36" w:rightChars="-17" w:hanging="72" w:hangingChars="40"/>
              <w:jc w:val="center"/>
              <w:rPr>
                <w:color w:val="auto"/>
                <w:sz w:val="18"/>
                <w:szCs w:val="18"/>
              </w:rPr>
            </w:pPr>
          </w:p>
          <w:p w14:paraId="06BAD838">
            <w:pPr>
              <w:adjustRightInd w:val="0"/>
              <w:snapToGrid w:val="0"/>
              <w:ind w:left="22" w:leftChars="-24" w:right="-36" w:rightChars="-17" w:hanging="72" w:hangingChars="40"/>
              <w:jc w:val="center"/>
              <w:rPr>
                <w:color w:val="auto"/>
                <w:sz w:val="18"/>
                <w:szCs w:val="18"/>
              </w:rPr>
            </w:pPr>
            <w:r>
              <w:rPr>
                <w:color w:val="auto"/>
                <w:sz w:val="18"/>
                <w:szCs w:val="18"/>
              </w:rPr>
              <w:t>0.0599</w:t>
            </w:r>
          </w:p>
          <w:p w14:paraId="1EB643D4">
            <w:pPr>
              <w:adjustRightInd w:val="0"/>
              <w:snapToGrid w:val="0"/>
              <w:ind w:left="22" w:leftChars="-24" w:right="-36" w:rightChars="-17" w:hanging="72" w:hangingChars="40"/>
              <w:jc w:val="center"/>
              <w:rPr>
                <w:color w:val="auto"/>
                <w:sz w:val="18"/>
                <w:szCs w:val="18"/>
              </w:rPr>
            </w:pPr>
            <w:r>
              <w:rPr>
                <w:color w:val="auto"/>
                <w:sz w:val="18"/>
                <w:szCs w:val="18"/>
              </w:rPr>
              <w:t>0.0577</w:t>
            </w:r>
          </w:p>
          <w:p w14:paraId="7636F68E">
            <w:pPr>
              <w:adjustRightInd w:val="0"/>
              <w:snapToGrid w:val="0"/>
              <w:ind w:left="22" w:leftChars="-24" w:right="-36" w:rightChars="-17" w:hanging="72" w:hangingChars="40"/>
              <w:jc w:val="center"/>
              <w:rPr>
                <w:color w:val="auto"/>
                <w:sz w:val="18"/>
                <w:szCs w:val="18"/>
              </w:rPr>
            </w:pPr>
            <w:r>
              <w:rPr>
                <w:color w:val="auto"/>
                <w:sz w:val="18"/>
                <w:szCs w:val="18"/>
              </w:rPr>
              <w:t>0.0556</w:t>
            </w:r>
          </w:p>
          <w:p w14:paraId="5A90D89E">
            <w:pPr>
              <w:adjustRightInd w:val="0"/>
              <w:snapToGrid w:val="0"/>
              <w:ind w:left="22" w:leftChars="-24" w:right="-36" w:rightChars="-17" w:hanging="72" w:hangingChars="40"/>
              <w:jc w:val="center"/>
              <w:rPr>
                <w:color w:val="auto"/>
                <w:sz w:val="18"/>
                <w:szCs w:val="18"/>
              </w:rPr>
            </w:pPr>
            <w:r>
              <w:rPr>
                <w:color w:val="auto"/>
                <w:sz w:val="18"/>
                <w:szCs w:val="18"/>
              </w:rPr>
              <w:t>0.0537</w:t>
            </w:r>
          </w:p>
          <w:p w14:paraId="615BEEC2">
            <w:pPr>
              <w:adjustRightInd w:val="0"/>
              <w:snapToGrid w:val="0"/>
              <w:ind w:left="22" w:leftChars="-24" w:right="-36" w:rightChars="-17" w:hanging="72" w:hangingChars="40"/>
              <w:jc w:val="center"/>
              <w:rPr>
                <w:color w:val="auto"/>
                <w:sz w:val="18"/>
                <w:szCs w:val="18"/>
              </w:rPr>
            </w:pPr>
            <w:r>
              <w:rPr>
                <w:color w:val="auto"/>
                <w:sz w:val="18"/>
                <w:szCs w:val="18"/>
              </w:rPr>
              <w:t>0.0519</w:t>
            </w:r>
          </w:p>
        </w:tc>
        <w:tc>
          <w:tcPr>
            <w:tcW w:w="661" w:type="dxa"/>
            <w:tcBorders>
              <w:top w:val="single" w:color="auto" w:sz="6" w:space="0"/>
              <w:bottom w:val="nil"/>
            </w:tcBorders>
          </w:tcPr>
          <w:p w14:paraId="7A6D4398">
            <w:pPr>
              <w:adjustRightInd w:val="0"/>
              <w:snapToGrid w:val="0"/>
              <w:ind w:left="22" w:leftChars="-24" w:right="-36" w:rightChars="-17" w:hanging="72" w:hangingChars="40"/>
              <w:jc w:val="center"/>
              <w:rPr>
                <w:color w:val="auto"/>
                <w:sz w:val="18"/>
                <w:szCs w:val="18"/>
              </w:rPr>
            </w:pPr>
          </w:p>
          <w:p w14:paraId="465AF261">
            <w:pPr>
              <w:adjustRightInd w:val="0"/>
              <w:snapToGrid w:val="0"/>
              <w:ind w:left="22" w:leftChars="-24" w:right="-36" w:rightChars="-17" w:hanging="72" w:hangingChars="40"/>
              <w:jc w:val="center"/>
              <w:rPr>
                <w:color w:val="auto"/>
                <w:sz w:val="18"/>
                <w:szCs w:val="18"/>
              </w:rPr>
            </w:pPr>
            <w:r>
              <w:rPr>
                <w:color w:val="auto"/>
                <w:sz w:val="18"/>
                <w:szCs w:val="18"/>
              </w:rPr>
              <w:t>0.0720</w:t>
            </w:r>
          </w:p>
          <w:p w14:paraId="68FE209B">
            <w:pPr>
              <w:adjustRightInd w:val="0"/>
              <w:snapToGrid w:val="0"/>
              <w:ind w:left="22" w:leftChars="-24" w:right="-36" w:rightChars="-17" w:hanging="72" w:hangingChars="40"/>
              <w:jc w:val="center"/>
              <w:rPr>
                <w:color w:val="auto"/>
                <w:sz w:val="18"/>
                <w:szCs w:val="18"/>
              </w:rPr>
            </w:pPr>
            <w:r>
              <w:rPr>
                <w:color w:val="auto"/>
                <w:sz w:val="18"/>
                <w:szCs w:val="18"/>
              </w:rPr>
              <w:t>0.0705</w:t>
            </w:r>
          </w:p>
          <w:p w14:paraId="47266613">
            <w:pPr>
              <w:adjustRightInd w:val="0"/>
              <w:snapToGrid w:val="0"/>
              <w:ind w:left="22" w:leftChars="-24" w:right="-36" w:rightChars="-17" w:hanging="72" w:hangingChars="40"/>
              <w:jc w:val="center"/>
              <w:rPr>
                <w:color w:val="auto"/>
                <w:sz w:val="18"/>
                <w:szCs w:val="18"/>
              </w:rPr>
            </w:pPr>
            <w:r>
              <w:rPr>
                <w:color w:val="auto"/>
                <w:sz w:val="18"/>
                <w:szCs w:val="18"/>
              </w:rPr>
              <w:t>0.0690</w:t>
            </w:r>
          </w:p>
          <w:p w14:paraId="4B71FC23">
            <w:pPr>
              <w:adjustRightInd w:val="0"/>
              <w:snapToGrid w:val="0"/>
              <w:ind w:left="22" w:leftChars="-24" w:right="-36" w:rightChars="-17" w:hanging="72" w:hangingChars="40"/>
              <w:jc w:val="center"/>
              <w:rPr>
                <w:color w:val="auto"/>
                <w:sz w:val="18"/>
                <w:szCs w:val="18"/>
              </w:rPr>
            </w:pPr>
            <w:r>
              <w:rPr>
                <w:color w:val="auto"/>
                <w:sz w:val="18"/>
                <w:szCs w:val="18"/>
              </w:rPr>
              <w:t>0.0676</w:t>
            </w:r>
          </w:p>
          <w:p w14:paraId="0F3A59D6">
            <w:pPr>
              <w:adjustRightInd w:val="0"/>
              <w:snapToGrid w:val="0"/>
              <w:ind w:left="22" w:leftChars="-24" w:right="-36" w:rightChars="-17" w:hanging="72" w:hangingChars="40"/>
              <w:jc w:val="center"/>
              <w:rPr>
                <w:color w:val="auto"/>
                <w:sz w:val="18"/>
                <w:szCs w:val="18"/>
              </w:rPr>
            </w:pPr>
            <w:r>
              <w:rPr>
                <w:color w:val="auto"/>
                <w:sz w:val="18"/>
                <w:szCs w:val="18"/>
              </w:rPr>
              <w:t>0.0663</w:t>
            </w:r>
          </w:p>
          <w:p w14:paraId="33FA5BC5">
            <w:pPr>
              <w:adjustRightInd w:val="0"/>
              <w:snapToGrid w:val="0"/>
              <w:ind w:left="22" w:leftChars="-24" w:right="-36" w:rightChars="-17" w:hanging="72" w:hangingChars="40"/>
              <w:jc w:val="center"/>
              <w:rPr>
                <w:color w:val="auto"/>
                <w:sz w:val="18"/>
                <w:szCs w:val="18"/>
              </w:rPr>
            </w:pPr>
          </w:p>
          <w:p w14:paraId="314A5AF1">
            <w:pPr>
              <w:adjustRightInd w:val="0"/>
              <w:snapToGrid w:val="0"/>
              <w:ind w:left="22" w:leftChars="-24" w:right="-36" w:rightChars="-17" w:hanging="72" w:hangingChars="40"/>
              <w:jc w:val="center"/>
              <w:rPr>
                <w:color w:val="auto"/>
                <w:sz w:val="18"/>
                <w:szCs w:val="18"/>
              </w:rPr>
            </w:pPr>
            <w:r>
              <w:rPr>
                <w:color w:val="auto"/>
                <w:sz w:val="18"/>
                <w:szCs w:val="18"/>
              </w:rPr>
              <w:t>0.0637</w:t>
            </w:r>
          </w:p>
          <w:p w14:paraId="4946061D">
            <w:pPr>
              <w:adjustRightInd w:val="0"/>
              <w:snapToGrid w:val="0"/>
              <w:ind w:left="22" w:leftChars="-24" w:right="-36" w:rightChars="-17" w:hanging="72" w:hangingChars="40"/>
              <w:jc w:val="center"/>
              <w:rPr>
                <w:color w:val="auto"/>
                <w:sz w:val="18"/>
                <w:szCs w:val="18"/>
              </w:rPr>
            </w:pPr>
            <w:r>
              <w:rPr>
                <w:color w:val="auto"/>
                <w:sz w:val="18"/>
                <w:szCs w:val="18"/>
              </w:rPr>
              <w:t>0.0614</w:t>
            </w:r>
          </w:p>
          <w:p w14:paraId="00C2CC7E">
            <w:pPr>
              <w:adjustRightInd w:val="0"/>
              <w:snapToGrid w:val="0"/>
              <w:ind w:left="22" w:leftChars="-24" w:right="-36" w:rightChars="-17" w:hanging="72" w:hangingChars="40"/>
              <w:jc w:val="center"/>
              <w:rPr>
                <w:color w:val="auto"/>
                <w:sz w:val="18"/>
                <w:szCs w:val="18"/>
              </w:rPr>
            </w:pPr>
            <w:r>
              <w:rPr>
                <w:color w:val="auto"/>
                <w:sz w:val="18"/>
                <w:szCs w:val="18"/>
              </w:rPr>
              <w:t>0.0592</w:t>
            </w:r>
          </w:p>
          <w:p w14:paraId="3D921276">
            <w:pPr>
              <w:adjustRightInd w:val="0"/>
              <w:snapToGrid w:val="0"/>
              <w:ind w:left="22" w:leftChars="-24" w:right="-36" w:rightChars="-17" w:hanging="72" w:hangingChars="40"/>
              <w:jc w:val="center"/>
              <w:rPr>
                <w:color w:val="auto"/>
                <w:sz w:val="18"/>
                <w:szCs w:val="18"/>
              </w:rPr>
            </w:pPr>
            <w:r>
              <w:rPr>
                <w:color w:val="auto"/>
                <w:sz w:val="18"/>
                <w:szCs w:val="18"/>
              </w:rPr>
              <w:t>0.0572</w:t>
            </w:r>
          </w:p>
          <w:p w14:paraId="05B2F20C">
            <w:pPr>
              <w:adjustRightInd w:val="0"/>
              <w:snapToGrid w:val="0"/>
              <w:ind w:left="22" w:leftChars="-24" w:right="-36" w:rightChars="-17" w:hanging="72" w:hangingChars="40"/>
              <w:jc w:val="center"/>
              <w:rPr>
                <w:color w:val="auto"/>
                <w:sz w:val="18"/>
                <w:szCs w:val="18"/>
              </w:rPr>
            </w:pPr>
            <w:r>
              <w:rPr>
                <w:color w:val="auto"/>
                <w:sz w:val="18"/>
                <w:szCs w:val="18"/>
              </w:rPr>
              <w:t>0.0553</w:t>
            </w:r>
          </w:p>
        </w:tc>
        <w:tc>
          <w:tcPr>
            <w:tcW w:w="661" w:type="dxa"/>
            <w:tcBorders>
              <w:top w:val="single" w:color="auto" w:sz="6" w:space="0"/>
              <w:bottom w:val="nil"/>
            </w:tcBorders>
          </w:tcPr>
          <w:p w14:paraId="6D145FF5">
            <w:pPr>
              <w:adjustRightInd w:val="0"/>
              <w:snapToGrid w:val="0"/>
              <w:ind w:left="22" w:leftChars="-24" w:right="-36" w:rightChars="-17" w:hanging="72" w:hangingChars="40"/>
              <w:jc w:val="center"/>
              <w:rPr>
                <w:color w:val="auto"/>
                <w:sz w:val="18"/>
                <w:szCs w:val="18"/>
              </w:rPr>
            </w:pPr>
          </w:p>
          <w:p w14:paraId="458C4000">
            <w:pPr>
              <w:adjustRightInd w:val="0"/>
              <w:snapToGrid w:val="0"/>
              <w:ind w:left="22" w:leftChars="-24" w:right="-36" w:rightChars="-17" w:hanging="72" w:hangingChars="40"/>
              <w:jc w:val="center"/>
              <w:rPr>
                <w:color w:val="auto"/>
                <w:sz w:val="18"/>
                <w:szCs w:val="18"/>
              </w:rPr>
            </w:pPr>
            <w:r>
              <w:rPr>
                <w:color w:val="auto"/>
                <w:sz w:val="18"/>
                <w:szCs w:val="18"/>
              </w:rPr>
              <w:t>0.0755</w:t>
            </w:r>
          </w:p>
          <w:p w14:paraId="67326707">
            <w:pPr>
              <w:adjustRightInd w:val="0"/>
              <w:snapToGrid w:val="0"/>
              <w:ind w:left="22" w:leftChars="-24" w:right="-36" w:rightChars="-17" w:hanging="72" w:hangingChars="40"/>
              <w:jc w:val="center"/>
              <w:rPr>
                <w:color w:val="auto"/>
                <w:sz w:val="18"/>
                <w:szCs w:val="18"/>
              </w:rPr>
            </w:pPr>
            <w:r>
              <w:rPr>
                <w:color w:val="auto"/>
                <w:sz w:val="18"/>
                <w:szCs w:val="18"/>
              </w:rPr>
              <w:t>0.0739</w:t>
            </w:r>
          </w:p>
          <w:p w14:paraId="4D6328BC">
            <w:pPr>
              <w:adjustRightInd w:val="0"/>
              <w:snapToGrid w:val="0"/>
              <w:ind w:left="22" w:leftChars="-24" w:right="-36" w:rightChars="-17" w:hanging="72" w:hangingChars="40"/>
              <w:jc w:val="center"/>
              <w:rPr>
                <w:color w:val="auto"/>
                <w:sz w:val="18"/>
                <w:szCs w:val="18"/>
              </w:rPr>
            </w:pPr>
            <w:r>
              <w:rPr>
                <w:color w:val="auto"/>
                <w:sz w:val="18"/>
                <w:szCs w:val="18"/>
              </w:rPr>
              <w:t>0.0724</w:t>
            </w:r>
          </w:p>
          <w:p w14:paraId="5E352DB7">
            <w:pPr>
              <w:adjustRightInd w:val="0"/>
              <w:snapToGrid w:val="0"/>
              <w:ind w:left="22" w:leftChars="-24" w:right="-36" w:rightChars="-17" w:hanging="72" w:hangingChars="40"/>
              <w:jc w:val="center"/>
              <w:rPr>
                <w:color w:val="auto"/>
                <w:sz w:val="18"/>
                <w:szCs w:val="18"/>
              </w:rPr>
            </w:pPr>
            <w:r>
              <w:rPr>
                <w:color w:val="auto"/>
                <w:sz w:val="18"/>
                <w:szCs w:val="18"/>
              </w:rPr>
              <w:t>0.0710</w:t>
            </w:r>
          </w:p>
          <w:p w14:paraId="6EA55353">
            <w:pPr>
              <w:adjustRightInd w:val="0"/>
              <w:snapToGrid w:val="0"/>
              <w:ind w:left="22" w:leftChars="-24" w:right="-36" w:rightChars="-17" w:hanging="72" w:hangingChars="40"/>
              <w:jc w:val="center"/>
              <w:rPr>
                <w:color w:val="auto"/>
                <w:sz w:val="18"/>
                <w:szCs w:val="18"/>
              </w:rPr>
            </w:pPr>
            <w:r>
              <w:rPr>
                <w:color w:val="auto"/>
                <w:sz w:val="18"/>
                <w:szCs w:val="18"/>
              </w:rPr>
              <w:t>0.0696</w:t>
            </w:r>
          </w:p>
          <w:p w14:paraId="69C185B5">
            <w:pPr>
              <w:adjustRightInd w:val="0"/>
              <w:snapToGrid w:val="0"/>
              <w:ind w:left="22" w:leftChars="-24" w:right="-36" w:rightChars="-17" w:hanging="72" w:hangingChars="40"/>
              <w:jc w:val="center"/>
              <w:rPr>
                <w:color w:val="auto"/>
                <w:sz w:val="18"/>
                <w:szCs w:val="18"/>
              </w:rPr>
            </w:pPr>
          </w:p>
          <w:p w14:paraId="5819AD07">
            <w:pPr>
              <w:adjustRightInd w:val="0"/>
              <w:snapToGrid w:val="0"/>
              <w:ind w:left="22" w:leftChars="-24" w:right="-36" w:rightChars="-17" w:hanging="72" w:hangingChars="40"/>
              <w:jc w:val="center"/>
              <w:rPr>
                <w:color w:val="auto"/>
                <w:sz w:val="18"/>
                <w:szCs w:val="18"/>
              </w:rPr>
            </w:pPr>
            <w:r>
              <w:rPr>
                <w:color w:val="auto"/>
                <w:sz w:val="18"/>
                <w:szCs w:val="18"/>
              </w:rPr>
              <w:t>0.0670</w:t>
            </w:r>
          </w:p>
          <w:p w14:paraId="7E524C9F">
            <w:pPr>
              <w:adjustRightInd w:val="0"/>
              <w:snapToGrid w:val="0"/>
              <w:ind w:left="22" w:leftChars="-24" w:right="-36" w:rightChars="-17" w:hanging="72" w:hangingChars="40"/>
              <w:jc w:val="center"/>
              <w:rPr>
                <w:color w:val="auto"/>
                <w:sz w:val="18"/>
                <w:szCs w:val="18"/>
              </w:rPr>
            </w:pPr>
            <w:r>
              <w:rPr>
                <w:color w:val="auto"/>
                <w:sz w:val="18"/>
                <w:szCs w:val="18"/>
              </w:rPr>
              <w:t>0.0645</w:t>
            </w:r>
          </w:p>
          <w:p w14:paraId="6CA7F5A8">
            <w:pPr>
              <w:adjustRightInd w:val="0"/>
              <w:snapToGrid w:val="0"/>
              <w:ind w:left="22" w:leftChars="-24" w:right="-36" w:rightChars="-17" w:hanging="72" w:hangingChars="40"/>
              <w:jc w:val="center"/>
              <w:rPr>
                <w:color w:val="auto"/>
                <w:sz w:val="18"/>
                <w:szCs w:val="18"/>
              </w:rPr>
            </w:pPr>
            <w:r>
              <w:rPr>
                <w:color w:val="auto"/>
                <w:sz w:val="18"/>
                <w:szCs w:val="18"/>
              </w:rPr>
              <w:t>0.0622</w:t>
            </w:r>
          </w:p>
          <w:p w14:paraId="72453EA4">
            <w:pPr>
              <w:adjustRightInd w:val="0"/>
              <w:snapToGrid w:val="0"/>
              <w:ind w:left="22" w:leftChars="-24" w:right="-36" w:rightChars="-17" w:hanging="72" w:hangingChars="40"/>
              <w:jc w:val="center"/>
              <w:rPr>
                <w:color w:val="auto"/>
                <w:sz w:val="18"/>
                <w:szCs w:val="18"/>
              </w:rPr>
            </w:pPr>
            <w:r>
              <w:rPr>
                <w:color w:val="auto"/>
                <w:sz w:val="18"/>
                <w:szCs w:val="18"/>
              </w:rPr>
              <w:t>0.0601</w:t>
            </w:r>
          </w:p>
          <w:p w14:paraId="396BD586">
            <w:pPr>
              <w:adjustRightInd w:val="0"/>
              <w:snapToGrid w:val="0"/>
              <w:ind w:left="22" w:leftChars="-24" w:right="-36" w:rightChars="-17" w:hanging="72" w:hangingChars="40"/>
              <w:jc w:val="center"/>
              <w:rPr>
                <w:color w:val="auto"/>
                <w:sz w:val="18"/>
                <w:szCs w:val="18"/>
              </w:rPr>
            </w:pPr>
            <w:r>
              <w:rPr>
                <w:color w:val="auto"/>
                <w:sz w:val="18"/>
                <w:szCs w:val="18"/>
              </w:rPr>
              <w:t>0.0581</w:t>
            </w:r>
          </w:p>
        </w:tc>
        <w:tc>
          <w:tcPr>
            <w:tcW w:w="661" w:type="dxa"/>
            <w:tcBorders>
              <w:top w:val="single" w:color="auto" w:sz="6" w:space="0"/>
              <w:bottom w:val="nil"/>
            </w:tcBorders>
          </w:tcPr>
          <w:p w14:paraId="52F4DAAD">
            <w:pPr>
              <w:adjustRightInd w:val="0"/>
              <w:snapToGrid w:val="0"/>
              <w:ind w:left="22" w:leftChars="-24" w:right="-36" w:rightChars="-17" w:hanging="72" w:hangingChars="40"/>
              <w:jc w:val="center"/>
              <w:rPr>
                <w:color w:val="auto"/>
                <w:sz w:val="18"/>
                <w:szCs w:val="18"/>
              </w:rPr>
            </w:pPr>
          </w:p>
          <w:p w14:paraId="568E4D9D">
            <w:pPr>
              <w:adjustRightInd w:val="0"/>
              <w:snapToGrid w:val="0"/>
              <w:ind w:left="22" w:leftChars="-24" w:right="-36" w:rightChars="-17" w:hanging="72" w:hangingChars="40"/>
              <w:jc w:val="center"/>
              <w:rPr>
                <w:color w:val="auto"/>
                <w:sz w:val="18"/>
                <w:szCs w:val="18"/>
              </w:rPr>
            </w:pPr>
            <w:r>
              <w:rPr>
                <w:color w:val="auto"/>
                <w:sz w:val="18"/>
                <w:szCs w:val="18"/>
              </w:rPr>
              <w:t>0.0785</w:t>
            </w:r>
          </w:p>
          <w:p w14:paraId="1F9F86C0">
            <w:pPr>
              <w:adjustRightInd w:val="0"/>
              <w:snapToGrid w:val="0"/>
              <w:ind w:left="22" w:leftChars="-24" w:right="-36" w:rightChars="-17" w:hanging="72" w:hangingChars="40"/>
              <w:jc w:val="center"/>
              <w:rPr>
                <w:color w:val="auto"/>
                <w:sz w:val="18"/>
                <w:szCs w:val="18"/>
              </w:rPr>
            </w:pPr>
            <w:r>
              <w:rPr>
                <w:color w:val="auto"/>
                <w:sz w:val="18"/>
                <w:szCs w:val="18"/>
              </w:rPr>
              <w:t>0.0769</w:t>
            </w:r>
          </w:p>
          <w:p w14:paraId="77B2792A">
            <w:pPr>
              <w:adjustRightInd w:val="0"/>
              <w:snapToGrid w:val="0"/>
              <w:ind w:left="22" w:leftChars="-24" w:right="-36" w:rightChars="-17" w:hanging="72" w:hangingChars="40"/>
              <w:jc w:val="center"/>
              <w:rPr>
                <w:color w:val="auto"/>
                <w:sz w:val="18"/>
                <w:szCs w:val="18"/>
              </w:rPr>
            </w:pPr>
            <w:r>
              <w:rPr>
                <w:color w:val="auto"/>
                <w:sz w:val="18"/>
                <w:szCs w:val="18"/>
              </w:rPr>
              <w:t>0.0754</w:t>
            </w:r>
          </w:p>
          <w:p w14:paraId="50A8E4D9">
            <w:pPr>
              <w:adjustRightInd w:val="0"/>
              <w:snapToGrid w:val="0"/>
              <w:ind w:left="22" w:leftChars="-24" w:right="-36" w:rightChars="-17" w:hanging="72" w:hangingChars="40"/>
              <w:jc w:val="center"/>
              <w:rPr>
                <w:color w:val="auto"/>
                <w:sz w:val="18"/>
                <w:szCs w:val="18"/>
              </w:rPr>
            </w:pPr>
            <w:r>
              <w:rPr>
                <w:color w:val="auto"/>
                <w:sz w:val="18"/>
                <w:szCs w:val="18"/>
              </w:rPr>
              <w:t>0.0739</w:t>
            </w:r>
          </w:p>
          <w:p w14:paraId="4B93643E">
            <w:pPr>
              <w:adjustRightInd w:val="0"/>
              <w:snapToGrid w:val="0"/>
              <w:ind w:left="22" w:leftChars="-24" w:right="-36" w:rightChars="-17" w:hanging="72" w:hangingChars="40"/>
              <w:jc w:val="center"/>
              <w:rPr>
                <w:color w:val="auto"/>
                <w:sz w:val="18"/>
                <w:szCs w:val="18"/>
              </w:rPr>
            </w:pPr>
            <w:r>
              <w:rPr>
                <w:color w:val="auto"/>
                <w:sz w:val="18"/>
                <w:szCs w:val="18"/>
              </w:rPr>
              <w:t>0.0724</w:t>
            </w:r>
          </w:p>
          <w:p w14:paraId="05A17048">
            <w:pPr>
              <w:adjustRightInd w:val="0"/>
              <w:snapToGrid w:val="0"/>
              <w:ind w:left="22" w:leftChars="-24" w:right="-36" w:rightChars="-17" w:hanging="72" w:hangingChars="40"/>
              <w:jc w:val="center"/>
              <w:rPr>
                <w:color w:val="auto"/>
                <w:sz w:val="18"/>
                <w:szCs w:val="18"/>
              </w:rPr>
            </w:pPr>
          </w:p>
          <w:p w14:paraId="7E746ACF">
            <w:pPr>
              <w:adjustRightInd w:val="0"/>
              <w:snapToGrid w:val="0"/>
              <w:ind w:left="22" w:leftChars="-24" w:right="-36" w:rightChars="-17" w:hanging="72" w:hangingChars="40"/>
              <w:jc w:val="center"/>
              <w:rPr>
                <w:color w:val="auto"/>
                <w:sz w:val="18"/>
                <w:szCs w:val="18"/>
              </w:rPr>
            </w:pPr>
            <w:r>
              <w:rPr>
                <w:color w:val="auto"/>
                <w:sz w:val="18"/>
                <w:szCs w:val="18"/>
              </w:rPr>
              <w:t>0.0697</w:t>
            </w:r>
          </w:p>
          <w:p w14:paraId="28964A4D">
            <w:pPr>
              <w:adjustRightInd w:val="0"/>
              <w:snapToGrid w:val="0"/>
              <w:ind w:left="22" w:leftChars="-24" w:right="-36" w:rightChars="-17" w:hanging="72" w:hangingChars="40"/>
              <w:jc w:val="center"/>
              <w:rPr>
                <w:color w:val="auto"/>
                <w:sz w:val="18"/>
                <w:szCs w:val="18"/>
              </w:rPr>
            </w:pPr>
            <w:r>
              <w:rPr>
                <w:color w:val="auto"/>
                <w:sz w:val="18"/>
                <w:szCs w:val="18"/>
              </w:rPr>
              <w:t>0.0672</w:t>
            </w:r>
          </w:p>
          <w:p w14:paraId="16B4BE30">
            <w:pPr>
              <w:adjustRightInd w:val="0"/>
              <w:snapToGrid w:val="0"/>
              <w:ind w:left="22" w:leftChars="-24" w:right="-36" w:rightChars="-17" w:hanging="72" w:hangingChars="40"/>
              <w:jc w:val="center"/>
              <w:rPr>
                <w:color w:val="auto"/>
                <w:sz w:val="18"/>
                <w:szCs w:val="18"/>
              </w:rPr>
            </w:pPr>
            <w:r>
              <w:rPr>
                <w:color w:val="auto"/>
                <w:sz w:val="18"/>
                <w:szCs w:val="18"/>
              </w:rPr>
              <w:t>0.0649</w:t>
            </w:r>
          </w:p>
          <w:p w14:paraId="096F0D9A">
            <w:pPr>
              <w:adjustRightInd w:val="0"/>
              <w:snapToGrid w:val="0"/>
              <w:ind w:left="22" w:leftChars="-24" w:right="-36" w:rightChars="-17" w:hanging="72" w:hangingChars="40"/>
              <w:jc w:val="center"/>
              <w:rPr>
                <w:color w:val="auto"/>
                <w:sz w:val="18"/>
                <w:szCs w:val="18"/>
              </w:rPr>
            </w:pPr>
            <w:r>
              <w:rPr>
                <w:color w:val="auto"/>
                <w:sz w:val="18"/>
                <w:szCs w:val="18"/>
              </w:rPr>
              <w:t>0.0627</w:t>
            </w:r>
          </w:p>
          <w:p w14:paraId="3AF01271">
            <w:pPr>
              <w:adjustRightInd w:val="0"/>
              <w:snapToGrid w:val="0"/>
              <w:ind w:left="22" w:leftChars="-24" w:right="-36" w:rightChars="-17" w:hanging="72" w:hangingChars="40"/>
              <w:jc w:val="center"/>
              <w:rPr>
                <w:color w:val="auto"/>
                <w:sz w:val="18"/>
                <w:szCs w:val="18"/>
              </w:rPr>
            </w:pPr>
            <w:r>
              <w:rPr>
                <w:color w:val="auto"/>
                <w:sz w:val="18"/>
                <w:szCs w:val="18"/>
              </w:rPr>
              <w:t>0.0606</w:t>
            </w:r>
          </w:p>
        </w:tc>
        <w:tc>
          <w:tcPr>
            <w:tcW w:w="661" w:type="dxa"/>
            <w:tcBorders>
              <w:top w:val="single" w:color="auto" w:sz="6" w:space="0"/>
              <w:bottom w:val="nil"/>
            </w:tcBorders>
          </w:tcPr>
          <w:p w14:paraId="551A7149">
            <w:pPr>
              <w:adjustRightInd w:val="0"/>
              <w:snapToGrid w:val="0"/>
              <w:ind w:left="22" w:leftChars="-24" w:right="-36" w:rightChars="-17" w:hanging="72" w:hangingChars="40"/>
              <w:jc w:val="center"/>
              <w:rPr>
                <w:color w:val="auto"/>
                <w:sz w:val="18"/>
                <w:szCs w:val="18"/>
              </w:rPr>
            </w:pPr>
          </w:p>
          <w:p w14:paraId="10850A0C">
            <w:pPr>
              <w:adjustRightInd w:val="0"/>
              <w:snapToGrid w:val="0"/>
              <w:ind w:left="22" w:leftChars="-24" w:right="-36" w:rightChars="-17" w:hanging="72" w:hangingChars="40"/>
              <w:jc w:val="center"/>
              <w:rPr>
                <w:color w:val="auto"/>
                <w:sz w:val="18"/>
                <w:szCs w:val="18"/>
              </w:rPr>
            </w:pPr>
            <w:r>
              <w:rPr>
                <w:color w:val="auto"/>
                <w:sz w:val="18"/>
                <w:szCs w:val="18"/>
              </w:rPr>
              <w:t>0.0811</w:t>
            </w:r>
          </w:p>
          <w:p w14:paraId="18EA758B">
            <w:pPr>
              <w:adjustRightInd w:val="0"/>
              <w:snapToGrid w:val="0"/>
              <w:ind w:left="22" w:leftChars="-24" w:right="-36" w:rightChars="-17" w:hanging="72" w:hangingChars="40"/>
              <w:jc w:val="center"/>
              <w:rPr>
                <w:color w:val="auto"/>
                <w:sz w:val="18"/>
                <w:szCs w:val="18"/>
              </w:rPr>
            </w:pPr>
            <w:r>
              <w:rPr>
                <w:color w:val="auto"/>
                <w:sz w:val="18"/>
                <w:szCs w:val="18"/>
              </w:rPr>
              <w:t>0.0797</w:t>
            </w:r>
          </w:p>
          <w:p w14:paraId="4478EF8F">
            <w:pPr>
              <w:adjustRightInd w:val="0"/>
              <w:snapToGrid w:val="0"/>
              <w:ind w:left="22" w:leftChars="-24" w:right="-36" w:rightChars="-17" w:hanging="72" w:hangingChars="40"/>
              <w:jc w:val="center"/>
              <w:rPr>
                <w:color w:val="auto"/>
                <w:sz w:val="18"/>
                <w:szCs w:val="18"/>
              </w:rPr>
            </w:pPr>
            <w:r>
              <w:rPr>
                <w:color w:val="auto"/>
                <w:sz w:val="18"/>
                <w:szCs w:val="18"/>
              </w:rPr>
              <w:t>0.0779</w:t>
            </w:r>
          </w:p>
          <w:p w14:paraId="52554F7F">
            <w:pPr>
              <w:adjustRightInd w:val="0"/>
              <w:snapToGrid w:val="0"/>
              <w:ind w:left="22" w:leftChars="-24" w:right="-36" w:rightChars="-17" w:hanging="72" w:hangingChars="40"/>
              <w:jc w:val="center"/>
              <w:rPr>
                <w:color w:val="auto"/>
                <w:sz w:val="18"/>
                <w:szCs w:val="18"/>
              </w:rPr>
            </w:pPr>
            <w:r>
              <w:rPr>
                <w:color w:val="auto"/>
                <w:sz w:val="18"/>
                <w:szCs w:val="18"/>
              </w:rPr>
              <w:t>0.0764</w:t>
            </w:r>
          </w:p>
          <w:p w14:paraId="3204221D">
            <w:pPr>
              <w:adjustRightInd w:val="0"/>
              <w:snapToGrid w:val="0"/>
              <w:ind w:left="22" w:leftChars="-24" w:right="-36" w:rightChars="-17" w:hanging="72" w:hangingChars="40"/>
              <w:jc w:val="center"/>
              <w:rPr>
                <w:color w:val="auto"/>
                <w:sz w:val="18"/>
                <w:szCs w:val="18"/>
              </w:rPr>
            </w:pPr>
            <w:r>
              <w:rPr>
                <w:color w:val="auto"/>
                <w:sz w:val="18"/>
                <w:szCs w:val="18"/>
              </w:rPr>
              <w:t>0.0749</w:t>
            </w:r>
          </w:p>
          <w:p w14:paraId="6BD05720">
            <w:pPr>
              <w:adjustRightInd w:val="0"/>
              <w:snapToGrid w:val="0"/>
              <w:ind w:left="22" w:leftChars="-24" w:right="-36" w:rightChars="-17" w:hanging="72" w:hangingChars="40"/>
              <w:jc w:val="center"/>
              <w:rPr>
                <w:color w:val="auto"/>
                <w:sz w:val="18"/>
                <w:szCs w:val="18"/>
              </w:rPr>
            </w:pPr>
          </w:p>
          <w:p w14:paraId="2912E83F">
            <w:pPr>
              <w:adjustRightInd w:val="0"/>
              <w:snapToGrid w:val="0"/>
              <w:ind w:left="22" w:leftChars="-24" w:right="-36" w:rightChars="-17" w:hanging="72" w:hangingChars="40"/>
              <w:jc w:val="center"/>
              <w:rPr>
                <w:color w:val="auto"/>
                <w:sz w:val="18"/>
                <w:szCs w:val="18"/>
              </w:rPr>
            </w:pPr>
            <w:r>
              <w:rPr>
                <w:color w:val="auto"/>
                <w:sz w:val="18"/>
                <w:szCs w:val="18"/>
              </w:rPr>
              <w:t>0.0721</w:t>
            </w:r>
          </w:p>
          <w:p w14:paraId="37F0D19F">
            <w:pPr>
              <w:adjustRightInd w:val="0"/>
              <w:snapToGrid w:val="0"/>
              <w:ind w:left="22" w:leftChars="-24" w:right="-36" w:rightChars="-17" w:hanging="72" w:hangingChars="40"/>
              <w:jc w:val="center"/>
              <w:rPr>
                <w:color w:val="auto"/>
                <w:sz w:val="18"/>
                <w:szCs w:val="18"/>
              </w:rPr>
            </w:pPr>
            <w:r>
              <w:rPr>
                <w:color w:val="auto"/>
                <w:sz w:val="18"/>
                <w:szCs w:val="18"/>
              </w:rPr>
              <w:t>0.0696</w:t>
            </w:r>
          </w:p>
          <w:p w14:paraId="36AA4427">
            <w:pPr>
              <w:adjustRightInd w:val="0"/>
              <w:snapToGrid w:val="0"/>
              <w:ind w:left="22" w:leftChars="-24" w:right="-36" w:rightChars="-17" w:hanging="72" w:hangingChars="40"/>
              <w:jc w:val="center"/>
              <w:rPr>
                <w:color w:val="auto"/>
                <w:sz w:val="18"/>
                <w:szCs w:val="18"/>
              </w:rPr>
            </w:pPr>
            <w:r>
              <w:rPr>
                <w:color w:val="auto"/>
                <w:sz w:val="18"/>
                <w:szCs w:val="18"/>
              </w:rPr>
              <w:t>0.0672</w:t>
            </w:r>
          </w:p>
          <w:p w14:paraId="567786BD">
            <w:pPr>
              <w:adjustRightInd w:val="0"/>
              <w:snapToGrid w:val="0"/>
              <w:ind w:left="22" w:leftChars="-24" w:right="-36" w:rightChars="-17" w:hanging="72" w:hangingChars="40"/>
              <w:jc w:val="center"/>
              <w:rPr>
                <w:color w:val="auto"/>
                <w:sz w:val="18"/>
                <w:szCs w:val="18"/>
              </w:rPr>
            </w:pPr>
            <w:r>
              <w:rPr>
                <w:color w:val="auto"/>
                <w:sz w:val="18"/>
                <w:szCs w:val="18"/>
              </w:rPr>
              <w:t>0.0649</w:t>
            </w:r>
          </w:p>
          <w:p w14:paraId="595E041C">
            <w:pPr>
              <w:adjustRightInd w:val="0"/>
              <w:snapToGrid w:val="0"/>
              <w:ind w:left="22" w:leftChars="-24" w:right="-36" w:rightChars="-17" w:hanging="72" w:hangingChars="40"/>
              <w:jc w:val="center"/>
              <w:rPr>
                <w:color w:val="auto"/>
                <w:sz w:val="18"/>
                <w:szCs w:val="18"/>
              </w:rPr>
            </w:pPr>
            <w:r>
              <w:rPr>
                <w:color w:val="auto"/>
                <w:sz w:val="18"/>
                <w:szCs w:val="18"/>
              </w:rPr>
              <w:t>0.0628</w:t>
            </w:r>
          </w:p>
        </w:tc>
        <w:tc>
          <w:tcPr>
            <w:tcW w:w="661" w:type="dxa"/>
            <w:tcBorders>
              <w:top w:val="single" w:color="auto" w:sz="6" w:space="0"/>
              <w:bottom w:val="nil"/>
            </w:tcBorders>
          </w:tcPr>
          <w:p w14:paraId="345300FD">
            <w:pPr>
              <w:adjustRightInd w:val="0"/>
              <w:snapToGrid w:val="0"/>
              <w:ind w:left="22" w:leftChars="-24" w:right="-36" w:rightChars="-17" w:hanging="72" w:hangingChars="40"/>
              <w:jc w:val="center"/>
              <w:rPr>
                <w:color w:val="auto"/>
                <w:sz w:val="18"/>
                <w:szCs w:val="18"/>
              </w:rPr>
            </w:pPr>
          </w:p>
          <w:p w14:paraId="3BD6EA86">
            <w:pPr>
              <w:adjustRightInd w:val="0"/>
              <w:snapToGrid w:val="0"/>
              <w:ind w:left="22" w:leftChars="-24" w:right="-36" w:rightChars="-17" w:hanging="72" w:hangingChars="40"/>
              <w:jc w:val="center"/>
              <w:rPr>
                <w:color w:val="auto"/>
                <w:sz w:val="18"/>
                <w:szCs w:val="18"/>
              </w:rPr>
            </w:pPr>
            <w:r>
              <w:rPr>
                <w:color w:val="auto"/>
                <w:sz w:val="18"/>
                <w:szCs w:val="18"/>
              </w:rPr>
              <w:t>0.0853</w:t>
            </w:r>
          </w:p>
          <w:p w14:paraId="0ECCC83C">
            <w:pPr>
              <w:adjustRightInd w:val="0"/>
              <w:snapToGrid w:val="0"/>
              <w:ind w:left="22" w:leftChars="-24" w:right="-36" w:rightChars="-17" w:hanging="72" w:hangingChars="40"/>
              <w:jc w:val="center"/>
              <w:rPr>
                <w:color w:val="auto"/>
                <w:sz w:val="18"/>
                <w:szCs w:val="18"/>
              </w:rPr>
            </w:pPr>
            <w:r>
              <w:rPr>
                <w:color w:val="auto"/>
                <w:sz w:val="18"/>
                <w:szCs w:val="18"/>
              </w:rPr>
              <w:t>0.0837</w:t>
            </w:r>
          </w:p>
          <w:p w14:paraId="56525E5B">
            <w:pPr>
              <w:adjustRightInd w:val="0"/>
              <w:snapToGrid w:val="0"/>
              <w:ind w:left="22" w:leftChars="-24" w:right="-36" w:rightChars="-17" w:hanging="72" w:hangingChars="40"/>
              <w:jc w:val="center"/>
              <w:rPr>
                <w:color w:val="auto"/>
                <w:sz w:val="18"/>
                <w:szCs w:val="18"/>
              </w:rPr>
            </w:pPr>
            <w:r>
              <w:rPr>
                <w:color w:val="auto"/>
                <w:sz w:val="18"/>
                <w:szCs w:val="18"/>
              </w:rPr>
              <w:t>0.0820</w:t>
            </w:r>
          </w:p>
          <w:p w14:paraId="0C600177">
            <w:pPr>
              <w:adjustRightInd w:val="0"/>
              <w:snapToGrid w:val="0"/>
              <w:ind w:left="22" w:leftChars="-24" w:right="-36" w:rightChars="-17" w:hanging="72" w:hangingChars="40"/>
              <w:jc w:val="center"/>
              <w:rPr>
                <w:color w:val="auto"/>
                <w:sz w:val="18"/>
                <w:szCs w:val="18"/>
              </w:rPr>
            </w:pPr>
            <w:r>
              <w:rPr>
                <w:color w:val="auto"/>
                <w:sz w:val="18"/>
                <w:szCs w:val="18"/>
              </w:rPr>
              <w:t>0.0805</w:t>
            </w:r>
          </w:p>
          <w:p w14:paraId="3FC20697">
            <w:pPr>
              <w:adjustRightInd w:val="0"/>
              <w:snapToGrid w:val="0"/>
              <w:ind w:left="22" w:leftChars="-24" w:right="-36" w:rightChars="-17" w:hanging="72" w:hangingChars="40"/>
              <w:jc w:val="center"/>
              <w:rPr>
                <w:color w:val="auto"/>
                <w:sz w:val="18"/>
                <w:szCs w:val="18"/>
              </w:rPr>
            </w:pPr>
            <w:r>
              <w:rPr>
                <w:color w:val="auto"/>
                <w:sz w:val="18"/>
                <w:szCs w:val="18"/>
              </w:rPr>
              <w:t>0.0790</w:t>
            </w:r>
          </w:p>
          <w:p w14:paraId="23093EA2">
            <w:pPr>
              <w:adjustRightInd w:val="0"/>
              <w:snapToGrid w:val="0"/>
              <w:ind w:left="22" w:leftChars="-24" w:right="-36" w:rightChars="-17" w:hanging="72" w:hangingChars="40"/>
              <w:jc w:val="center"/>
              <w:rPr>
                <w:color w:val="auto"/>
                <w:sz w:val="18"/>
                <w:szCs w:val="18"/>
              </w:rPr>
            </w:pPr>
          </w:p>
          <w:p w14:paraId="190F9740">
            <w:pPr>
              <w:adjustRightInd w:val="0"/>
              <w:snapToGrid w:val="0"/>
              <w:ind w:left="22" w:leftChars="-24" w:right="-36" w:rightChars="-17" w:hanging="72" w:hangingChars="40"/>
              <w:jc w:val="center"/>
              <w:rPr>
                <w:color w:val="auto"/>
                <w:sz w:val="18"/>
                <w:szCs w:val="18"/>
              </w:rPr>
            </w:pPr>
            <w:r>
              <w:rPr>
                <w:color w:val="auto"/>
                <w:sz w:val="18"/>
                <w:szCs w:val="18"/>
              </w:rPr>
              <w:t>0.0761</w:t>
            </w:r>
          </w:p>
          <w:p w14:paraId="0D5080B9">
            <w:pPr>
              <w:adjustRightInd w:val="0"/>
              <w:snapToGrid w:val="0"/>
              <w:ind w:left="22" w:leftChars="-24" w:right="-36" w:rightChars="-17" w:hanging="72" w:hangingChars="40"/>
              <w:jc w:val="center"/>
              <w:rPr>
                <w:color w:val="auto"/>
                <w:sz w:val="18"/>
                <w:szCs w:val="18"/>
              </w:rPr>
            </w:pPr>
            <w:r>
              <w:rPr>
                <w:color w:val="auto"/>
                <w:sz w:val="18"/>
                <w:szCs w:val="18"/>
              </w:rPr>
              <w:t>0.0734</w:t>
            </w:r>
          </w:p>
          <w:p w14:paraId="5EF6B4D4">
            <w:pPr>
              <w:adjustRightInd w:val="0"/>
              <w:snapToGrid w:val="0"/>
              <w:ind w:left="22" w:leftChars="-24" w:right="-36" w:rightChars="-17" w:hanging="72" w:hangingChars="40"/>
              <w:jc w:val="center"/>
              <w:rPr>
                <w:color w:val="auto"/>
                <w:sz w:val="18"/>
                <w:szCs w:val="18"/>
              </w:rPr>
            </w:pPr>
            <w:r>
              <w:rPr>
                <w:color w:val="auto"/>
                <w:sz w:val="18"/>
                <w:szCs w:val="18"/>
              </w:rPr>
              <w:t>0.0710</w:t>
            </w:r>
          </w:p>
          <w:p w14:paraId="7D3282FC">
            <w:pPr>
              <w:adjustRightInd w:val="0"/>
              <w:snapToGrid w:val="0"/>
              <w:ind w:left="22" w:leftChars="-24" w:right="-36" w:rightChars="-17" w:hanging="72" w:hangingChars="40"/>
              <w:jc w:val="center"/>
              <w:rPr>
                <w:color w:val="auto"/>
                <w:sz w:val="18"/>
                <w:szCs w:val="18"/>
              </w:rPr>
            </w:pPr>
            <w:r>
              <w:rPr>
                <w:color w:val="auto"/>
                <w:sz w:val="18"/>
                <w:szCs w:val="18"/>
              </w:rPr>
              <w:t>0.0686</w:t>
            </w:r>
          </w:p>
          <w:p w14:paraId="6417AF5B">
            <w:pPr>
              <w:adjustRightInd w:val="0"/>
              <w:snapToGrid w:val="0"/>
              <w:ind w:left="22" w:leftChars="-24" w:right="-36" w:rightChars="-17" w:hanging="72" w:hangingChars="40"/>
              <w:jc w:val="center"/>
              <w:rPr>
                <w:color w:val="auto"/>
                <w:sz w:val="18"/>
                <w:szCs w:val="18"/>
              </w:rPr>
            </w:pPr>
            <w:r>
              <w:rPr>
                <w:color w:val="auto"/>
                <w:sz w:val="18"/>
                <w:szCs w:val="18"/>
              </w:rPr>
              <w:t>0.0664</w:t>
            </w:r>
          </w:p>
        </w:tc>
        <w:tc>
          <w:tcPr>
            <w:tcW w:w="661" w:type="dxa"/>
            <w:tcBorders>
              <w:top w:val="single" w:color="auto" w:sz="6" w:space="0"/>
              <w:bottom w:val="nil"/>
            </w:tcBorders>
          </w:tcPr>
          <w:p w14:paraId="7D7A4E04">
            <w:pPr>
              <w:adjustRightInd w:val="0"/>
              <w:snapToGrid w:val="0"/>
              <w:ind w:left="22" w:leftChars="-24" w:right="-36" w:rightChars="-17" w:hanging="72" w:hangingChars="40"/>
              <w:jc w:val="center"/>
              <w:rPr>
                <w:color w:val="auto"/>
                <w:sz w:val="18"/>
                <w:szCs w:val="18"/>
              </w:rPr>
            </w:pPr>
          </w:p>
          <w:p w14:paraId="7E9C301F">
            <w:pPr>
              <w:adjustRightInd w:val="0"/>
              <w:snapToGrid w:val="0"/>
              <w:ind w:left="22" w:leftChars="-24" w:right="-36" w:rightChars="-17" w:hanging="72" w:hangingChars="40"/>
              <w:jc w:val="center"/>
              <w:rPr>
                <w:color w:val="auto"/>
                <w:sz w:val="18"/>
                <w:szCs w:val="18"/>
              </w:rPr>
            </w:pPr>
            <w:r>
              <w:rPr>
                <w:color w:val="auto"/>
                <w:sz w:val="18"/>
                <w:szCs w:val="18"/>
              </w:rPr>
              <w:t>0.0886</w:t>
            </w:r>
          </w:p>
          <w:p w14:paraId="03D3943B">
            <w:pPr>
              <w:adjustRightInd w:val="0"/>
              <w:snapToGrid w:val="0"/>
              <w:ind w:left="22" w:leftChars="-24" w:right="-36" w:rightChars="-17" w:hanging="72" w:hangingChars="40"/>
              <w:jc w:val="center"/>
              <w:rPr>
                <w:color w:val="auto"/>
                <w:sz w:val="18"/>
                <w:szCs w:val="18"/>
              </w:rPr>
            </w:pPr>
            <w:r>
              <w:rPr>
                <w:color w:val="auto"/>
                <w:sz w:val="18"/>
                <w:szCs w:val="18"/>
              </w:rPr>
              <w:t>0.0869</w:t>
            </w:r>
          </w:p>
          <w:p w14:paraId="6DC48FFF">
            <w:pPr>
              <w:adjustRightInd w:val="0"/>
              <w:snapToGrid w:val="0"/>
              <w:ind w:left="22" w:leftChars="-24" w:right="-36" w:rightChars="-17" w:hanging="72" w:hangingChars="40"/>
              <w:jc w:val="center"/>
              <w:rPr>
                <w:color w:val="auto"/>
                <w:sz w:val="18"/>
                <w:szCs w:val="18"/>
              </w:rPr>
            </w:pPr>
            <w:r>
              <w:rPr>
                <w:color w:val="auto"/>
                <w:sz w:val="18"/>
                <w:szCs w:val="18"/>
              </w:rPr>
              <w:t>0.0852</w:t>
            </w:r>
          </w:p>
          <w:p w14:paraId="6BD403FD">
            <w:pPr>
              <w:adjustRightInd w:val="0"/>
              <w:snapToGrid w:val="0"/>
              <w:ind w:left="22" w:leftChars="-24" w:right="-36" w:rightChars="-17" w:hanging="72" w:hangingChars="40"/>
              <w:jc w:val="center"/>
              <w:rPr>
                <w:color w:val="auto"/>
                <w:sz w:val="18"/>
                <w:szCs w:val="18"/>
              </w:rPr>
            </w:pPr>
            <w:r>
              <w:rPr>
                <w:color w:val="auto"/>
                <w:sz w:val="18"/>
                <w:szCs w:val="18"/>
              </w:rPr>
              <w:t>0.0836</w:t>
            </w:r>
          </w:p>
          <w:p w14:paraId="30799B12">
            <w:pPr>
              <w:adjustRightInd w:val="0"/>
              <w:snapToGrid w:val="0"/>
              <w:ind w:left="22" w:leftChars="-24" w:right="-36" w:rightChars="-17" w:hanging="72" w:hangingChars="40"/>
              <w:jc w:val="center"/>
              <w:rPr>
                <w:color w:val="auto"/>
                <w:sz w:val="18"/>
                <w:szCs w:val="18"/>
              </w:rPr>
            </w:pPr>
            <w:r>
              <w:rPr>
                <w:color w:val="auto"/>
                <w:sz w:val="18"/>
                <w:szCs w:val="18"/>
              </w:rPr>
              <w:t>0.0821</w:t>
            </w:r>
          </w:p>
          <w:p w14:paraId="5A8FCA50">
            <w:pPr>
              <w:adjustRightInd w:val="0"/>
              <w:snapToGrid w:val="0"/>
              <w:ind w:left="22" w:leftChars="-24" w:right="-36" w:rightChars="-17" w:hanging="72" w:hangingChars="40"/>
              <w:jc w:val="center"/>
              <w:rPr>
                <w:color w:val="auto"/>
                <w:sz w:val="18"/>
                <w:szCs w:val="18"/>
              </w:rPr>
            </w:pPr>
          </w:p>
          <w:p w14:paraId="698AB573">
            <w:pPr>
              <w:adjustRightInd w:val="0"/>
              <w:snapToGrid w:val="0"/>
              <w:ind w:left="22" w:leftChars="-24" w:right="-36" w:rightChars="-17" w:hanging="72" w:hangingChars="40"/>
              <w:jc w:val="center"/>
              <w:rPr>
                <w:color w:val="auto"/>
                <w:sz w:val="18"/>
                <w:szCs w:val="18"/>
              </w:rPr>
            </w:pPr>
            <w:r>
              <w:rPr>
                <w:color w:val="auto"/>
                <w:sz w:val="18"/>
                <w:szCs w:val="18"/>
              </w:rPr>
              <w:t>0.0792</w:t>
            </w:r>
          </w:p>
          <w:p w14:paraId="202EA8AD">
            <w:pPr>
              <w:adjustRightInd w:val="0"/>
              <w:snapToGrid w:val="0"/>
              <w:ind w:left="22" w:leftChars="-24" w:right="-36" w:rightChars="-17" w:hanging="72" w:hangingChars="40"/>
              <w:jc w:val="center"/>
              <w:rPr>
                <w:color w:val="auto"/>
                <w:sz w:val="18"/>
                <w:szCs w:val="18"/>
              </w:rPr>
            </w:pPr>
            <w:r>
              <w:rPr>
                <w:color w:val="auto"/>
                <w:sz w:val="18"/>
                <w:szCs w:val="18"/>
              </w:rPr>
              <w:t>0.0765</w:t>
            </w:r>
          </w:p>
          <w:p w14:paraId="59A146B9">
            <w:pPr>
              <w:adjustRightInd w:val="0"/>
              <w:snapToGrid w:val="0"/>
              <w:ind w:left="22" w:leftChars="-24" w:right="-36" w:rightChars="-17" w:hanging="72" w:hangingChars="40"/>
              <w:jc w:val="center"/>
              <w:rPr>
                <w:color w:val="auto"/>
                <w:sz w:val="18"/>
                <w:szCs w:val="18"/>
              </w:rPr>
            </w:pPr>
            <w:r>
              <w:rPr>
                <w:color w:val="auto"/>
                <w:sz w:val="18"/>
                <w:szCs w:val="18"/>
              </w:rPr>
              <w:t>0.0739</w:t>
            </w:r>
          </w:p>
          <w:p w14:paraId="72CBF645">
            <w:pPr>
              <w:adjustRightInd w:val="0"/>
              <w:snapToGrid w:val="0"/>
              <w:ind w:left="22" w:leftChars="-24" w:right="-36" w:rightChars="-17" w:hanging="72" w:hangingChars="40"/>
              <w:jc w:val="center"/>
              <w:rPr>
                <w:color w:val="auto"/>
                <w:sz w:val="18"/>
                <w:szCs w:val="18"/>
              </w:rPr>
            </w:pPr>
            <w:r>
              <w:rPr>
                <w:color w:val="auto"/>
                <w:sz w:val="18"/>
                <w:szCs w:val="18"/>
              </w:rPr>
              <w:t>0.0716</w:t>
            </w:r>
          </w:p>
          <w:p w14:paraId="0C79F14E">
            <w:pPr>
              <w:adjustRightInd w:val="0"/>
              <w:snapToGrid w:val="0"/>
              <w:ind w:left="22" w:leftChars="-24" w:right="-36" w:rightChars="-17" w:hanging="72" w:hangingChars="40"/>
              <w:jc w:val="center"/>
              <w:rPr>
                <w:color w:val="auto"/>
                <w:sz w:val="18"/>
                <w:szCs w:val="18"/>
              </w:rPr>
            </w:pPr>
            <w:r>
              <w:rPr>
                <w:color w:val="auto"/>
                <w:sz w:val="18"/>
                <w:szCs w:val="18"/>
              </w:rPr>
              <w:t>0.0693</w:t>
            </w:r>
          </w:p>
        </w:tc>
        <w:tc>
          <w:tcPr>
            <w:tcW w:w="661" w:type="dxa"/>
            <w:tcBorders>
              <w:top w:val="single" w:color="auto" w:sz="6" w:space="0"/>
              <w:bottom w:val="nil"/>
            </w:tcBorders>
          </w:tcPr>
          <w:p w14:paraId="5DF43FD1">
            <w:pPr>
              <w:adjustRightInd w:val="0"/>
              <w:snapToGrid w:val="0"/>
              <w:ind w:left="22" w:leftChars="-24" w:right="-36" w:rightChars="-17" w:hanging="72" w:hangingChars="40"/>
              <w:jc w:val="center"/>
              <w:rPr>
                <w:color w:val="auto"/>
                <w:sz w:val="18"/>
                <w:szCs w:val="18"/>
              </w:rPr>
            </w:pPr>
          </w:p>
          <w:p w14:paraId="24324757">
            <w:pPr>
              <w:adjustRightInd w:val="0"/>
              <w:snapToGrid w:val="0"/>
              <w:ind w:left="22" w:leftChars="-24" w:right="-36" w:rightChars="-17" w:hanging="72" w:hangingChars="40"/>
              <w:jc w:val="center"/>
              <w:rPr>
                <w:color w:val="auto"/>
                <w:sz w:val="18"/>
                <w:szCs w:val="18"/>
              </w:rPr>
            </w:pPr>
            <w:r>
              <w:rPr>
                <w:color w:val="auto"/>
                <w:sz w:val="18"/>
                <w:szCs w:val="18"/>
              </w:rPr>
              <w:t>0.0912</w:t>
            </w:r>
          </w:p>
          <w:p w14:paraId="18FCF70B">
            <w:pPr>
              <w:adjustRightInd w:val="0"/>
              <w:snapToGrid w:val="0"/>
              <w:ind w:left="22" w:leftChars="-24" w:right="-36" w:rightChars="-17" w:hanging="72" w:hangingChars="40"/>
              <w:jc w:val="center"/>
              <w:rPr>
                <w:color w:val="auto"/>
                <w:sz w:val="18"/>
                <w:szCs w:val="18"/>
              </w:rPr>
            </w:pPr>
            <w:r>
              <w:rPr>
                <w:color w:val="auto"/>
                <w:sz w:val="18"/>
                <w:szCs w:val="18"/>
              </w:rPr>
              <w:t>0.0894</w:t>
            </w:r>
          </w:p>
          <w:p w14:paraId="1957C0B5">
            <w:pPr>
              <w:adjustRightInd w:val="0"/>
              <w:snapToGrid w:val="0"/>
              <w:ind w:left="22" w:leftChars="-24" w:right="-36" w:rightChars="-17" w:hanging="72" w:hangingChars="40"/>
              <w:jc w:val="center"/>
              <w:rPr>
                <w:color w:val="auto"/>
                <w:sz w:val="18"/>
                <w:szCs w:val="18"/>
              </w:rPr>
            </w:pPr>
            <w:r>
              <w:rPr>
                <w:color w:val="auto"/>
                <w:sz w:val="18"/>
                <w:szCs w:val="18"/>
              </w:rPr>
              <w:t>0.0878</w:t>
            </w:r>
          </w:p>
          <w:p w14:paraId="04924562">
            <w:pPr>
              <w:adjustRightInd w:val="0"/>
              <w:snapToGrid w:val="0"/>
              <w:ind w:left="22" w:leftChars="-24" w:right="-36" w:rightChars="-17" w:hanging="72" w:hangingChars="40"/>
              <w:jc w:val="center"/>
              <w:rPr>
                <w:color w:val="auto"/>
                <w:sz w:val="18"/>
                <w:szCs w:val="18"/>
              </w:rPr>
            </w:pPr>
            <w:r>
              <w:rPr>
                <w:color w:val="auto"/>
                <w:sz w:val="18"/>
                <w:szCs w:val="18"/>
              </w:rPr>
              <w:t>0.0862</w:t>
            </w:r>
          </w:p>
          <w:p w14:paraId="6EF9C629">
            <w:pPr>
              <w:adjustRightInd w:val="0"/>
              <w:snapToGrid w:val="0"/>
              <w:ind w:left="22" w:leftChars="-24" w:right="-36" w:rightChars="-17" w:hanging="72" w:hangingChars="40"/>
              <w:jc w:val="center"/>
              <w:rPr>
                <w:color w:val="auto"/>
                <w:sz w:val="18"/>
                <w:szCs w:val="18"/>
              </w:rPr>
            </w:pPr>
            <w:r>
              <w:rPr>
                <w:color w:val="auto"/>
                <w:sz w:val="18"/>
                <w:szCs w:val="18"/>
              </w:rPr>
              <w:t>0.0846</w:t>
            </w:r>
          </w:p>
          <w:p w14:paraId="1F650112">
            <w:pPr>
              <w:adjustRightInd w:val="0"/>
              <w:snapToGrid w:val="0"/>
              <w:ind w:left="22" w:leftChars="-24" w:right="-36" w:rightChars="-17" w:hanging="72" w:hangingChars="40"/>
              <w:jc w:val="center"/>
              <w:rPr>
                <w:color w:val="auto"/>
                <w:sz w:val="18"/>
                <w:szCs w:val="18"/>
              </w:rPr>
            </w:pPr>
          </w:p>
          <w:p w14:paraId="24B6EFCA">
            <w:pPr>
              <w:adjustRightInd w:val="0"/>
              <w:snapToGrid w:val="0"/>
              <w:ind w:left="22" w:leftChars="-24" w:right="-36" w:rightChars="-17" w:hanging="72" w:hangingChars="40"/>
              <w:jc w:val="center"/>
              <w:rPr>
                <w:color w:val="auto"/>
                <w:sz w:val="18"/>
                <w:szCs w:val="18"/>
              </w:rPr>
            </w:pPr>
            <w:r>
              <w:rPr>
                <w:color w:val="auto"/>
                <w:sz w:val="18"/>
                <w:szCs w:val="18"/>
              </w:rPr>
              <w:t>0.0817</w:t>
            </w:r>
          </w:p>
          <w:p w14:paraId="3DCAD85D">
            <w:pPr>
              <w:adjustRightInd w:val="0"/>
              <w:snapToGrid w:val="0"/>
              <w:ind w:left="22" w:leftChars="-24" w:right="-36" w:rightChars="-17" w:hanging="72" w:hangingChars="40"/>
              <w:jc w:val="center"/>
              <w:rPr>
                <w:color w:val="auto"/>
                <w:sz w:val="18"/>
                <w:szCs w:val="18"/>
              </w:rPr>
            </w:pPr>
            <w:r>
              <w:rPr>
                <w:color w:val="auto"/>
                <w:sz w:val="18"/>
                <w:szCs w:val="18"/>
              </w:rPr>
              <w:t>0.0789</w:t>
            </w:r>
          </w:p>
          <w:p w14:paraId="2390B88B">
            <w:pPr>
              <w:adjustRightInd w:val="0"/>
              <w:snapToGrid w:val="0"/>
              <w:ind w:left="22" w:leftChars="-24" w:right="-36" w:rightChars="-17" w:hanging="72" w:hangingChars="40"/>
              <w:jc w:val="center"/>
              <w:rPr>
                <w:color w:val="auto"/>
                <w:sz w:val="18"/>
                <w:szCs w:val="18"/>
              </w:rPr>
            </w:pPr>
            <w:r>
              <w:rPr>
                <w:color w:val="auto"/>
                <w:sz w:val="18"/>
                <w:szCs w:val="18"/>
              </w:rPr>
              <w:t>0.0763</w:t>
            </w:r>
          </w:p>
          <w:p w14:paraId="2DC85A46">
            <w:pPr>
              <w:adjustRightInd w:val="0"/>
              <w:snapToGrid w:val="0"/>
              <w:ind w:left="22" w:leftChars="-24" w:right="-36" w:rightChars="-17" w:hanging="72" w:hangingChars="40"/>
              <w:jc w:val="center"/>
              <w:rPr>
                <w:color w:val="auto"/>
                <w:sz w:val="18"/>
                <w:szCs w:val="18"/>
              </w:rPr>
            </w:pPr>
            <w:r>
              <w:rPr>
                <w:color w:val="auto"/>
                <w:sz w:val="18"/>
                <w:szCs w:val="18"/>
              </w:rPr>
              <w:t>0.0739</w:t>
            </w:r>
          </w:p>
          <w:p w14:paraId="67E8ED9E">
            <w:pPr>
              <w:adjustRightInd w:val="0"/>
              <w:snapToGrid w:val="0"/>
              <w:ind w:left="22" w:leftChars="-24" w:right="-36" w:rightChars="-17" w:hanging="72" w:hangingChars="40"/>
              <w:jc w:val="center"/>
              <w:rPr>
                <w:color w:val="auto"/>
                <w:sz w:val="18"/>
                <w:szCs w:val="18"/>
              </w:rPr>
            </w:pPr>
            <w:r>
              <w:rPr>
                <w:color w:val="auto"/>
                <w:sz w:val="18"/>
                <w:szCs w:val="18"/>
              </w:rPr>
              <w:t>0.0717</w:t>
            </w:r>
          </w:p>
        </w:tc>
        <w:tc>
          <w:tcPr>
            <w:tcW w:w="661" w:type="dxa"/>
            <w:tcBorders>
              <w:top w:val="single" w:color="auto" w:sz="6" w:space="0"/>
              <w:bottom w:val="nil"/>
            </w:tcBorders>
          </w:tcPr>
          <w:p w14:paraId="68E2D23C">
            <w:pPr>
              <w:adjustRightInd w:val="0"/>
              <w:snapToGrid w:val="0"/>
              <w:ind w:left="22" w:leftChars="-24" w:right="-36" w:rightChars="-17" w:hanging="72" w:hangingChars="40"/>
              <w:jc w:val="center"/>
              <w:rPr>
                <w:color w:val="auto"/>
                <w:sz w:val="18"/>
                <w:szCs w:val="18"/>
              </w:rPr>
            </w:pPr>
          </w:p>
          <w:p w14:paraId="386A45EA">
            <w:pPr>
              <w:adjustRightInd w:val="0"/>
              <w:snapToGrid w:val="0"/>
              <w:ind w:left="22" w:leftChars="-24" w:right="-36" w:rightChars="-17" w:hanging="72" w:hangingChars="40"/>
              <w:jc w:val="center"/>
              <w:rPr>
                <w:color w:val="auto"/>
                <w:sz w:val="18"/>
                <w:szCs w:val="18"/>
              </w:rPr>
            </w:pPr>
            <w:r>
              <w:rPr>
                <w:color w:val="auto"/>
                <w:sz w:val="18"/>
                <w:szCs w:val="18"/>
              </w:rPr>
              <w:t>0.0932</w:t>
            </w:r>
          </w:p>
          <w:p w14:paraId="7BEB959E">
            <w:pPr>
              <w:adjustRightInd w:val="0"/>
              <w:snapToGrid w:val="0"/>
              <w:ind w:left="22" w:leftChars="-24" w:right="-36" w:rightChars="-17" w:hanging="72" w:hangingChars="40"/>
              <w:jc w:val="center"/>
              <w:rPr>
                <w:color w:val="auto"/>
                <w:sz w:val="18"/>
                <w:szCs w:val="18"/>
              </w:rPr>
            </w:pPr>
            <w:r>
              <w:rPr>
                <w:color w:val="auto"/>
                <w:sz w:val="18"/>
                <w:szCs w:val="18"/>
              </w:rPr>
              <w:t>0.0914</w:t>
            </w:r>
          </w:p>
          <w:p w14:paraId="6028FA96">
            <w:pPr>
              <w:adjustRightInd w:val="0"/>
              <w:snapToGrid w:val="0"/>
              <w:ind w:left="22" w:leftChars="-24" w:right="-36" w:rightChars="-17" w:hanging="72" w:hangingChars="40"/>
              <w:jc w:val="center"/>
              <w:rPr>
                <w:color w:val="auto"/>
                <w:sz w:val="18"/>
                <w:szCs w:val="18"/>
              </w:rPr>
            </w:pPr>
            <w:r>
              <w:rPr>
                <w:color w:val="auto"/>
                <w:sz w:val="18"/>
                <w:szCs w:val="18"/>
              </w:rPr>
              <w:t>0.0893</w:t>
            </w:r>
          </w:p>
          <w:p w14:paraId="7D8996EA">
            <w:pPr>
              <w:adjustRightInd w:val="0"/>
              <w:snapToGrid w:val="0"/>
              <w:ind w:left="22" w:leftChars="-24" w:right="-36" w:rightChars="-17" w:hanging="72" w:hangingChars="40"/>
              <w:jc w:val="center"/>
              <w:rPr>
                <w:color w:val="auto"/>
                <w:sz w:val="18"/>
                <w:szCs w:val="18"/>
              </w:rPr>
            </w:pPr>
            <w:r>
              <w:rPr>
                <w:color w:val="auto"/>
                <w:sz w:val="18"/>
                <w:szCs w:val="18"/>
              </w:rPr>
              <w:t>0.0882</w:t>
            </w:r>
          </w:p>
          <w:p w14:paraId="04D4D2BB">
            <w:pPr>
              <w:adjustRightInd w:val="0"/>
              <w:snapToGrid w:val="0"/>
              <w:ind w:left="22" w:leftChars="-24" w:right="-36" w:rightChars="-17" w:hanging="72" w:hangingChars="40"/>
              <w:jc w:val="center"/>
              <w:rPr>
                <w:color w:val="auto"/>
                <w:sz w:val="18"/>
                <w:szCs w:val="18"/>
              </w:rPr>
            </w:pPr>
            <w:r>
              <w:rPr>
                <w:color w:val="auto"/>
                <w:sz w:val="18"/>
                <w:szCs w:val="18"/>
              </w:rPr>
              <w:t>0.0866</w:t>
            </w:r>
          </w:p>
          <w:p w14:paraId="77B1DFBA">
            <w:pPr>
              <w:adjustRightInd w:val="0"/>
              <w:snapToGrid w:val="0"/>
              <w:ind w:left="22" w:leftChars="-24" w:right="-36" w:rightChars="-17" w:hanging="72" w:hangingChars="40"/>
              <w:jc w:val="center"/>
              <w:rPr>
                <w:color w:val="auto"/>
                <w:sz w:val="18"/>
                <w:szCs w:val="18"/>
              </w:rPr>
            </w:pPr>
          </w:p>
          <w:p w14:paraId="18D78D8E">
            <w:pPr>
              <w:adjustRightInd w:val="0"/>
              <w:snapToGrid w:val="0"/>
              <w:ind w:left="22" w:leftChars="-24" w:right="-36" w:rightChars="-17" w:hanging="72" w:hangingChars="40"/>
              <w:jc w:val="center"/>
              <w:rPr>
                <w:color w:val="auto"/>
                <w:sz w:val="18"/>
                <w:szCs w:val="18"/>
              </w:rPr>
            </w:pPr>
            <w:r>
              <w:rPr>
                <w:color w:val="auto"/>
                <w:sz w:val="18"/>
                <w:szCs w:val="18"/>
              </w:rPr>
              <w:t>0.0837</w:t>
            </w:r>
          </w:p>
          <w:p w14:paraId="5EDE6D97">
            <w:pPr>
              <w:adjustRightInd w:val="0"/>
              <w:snapToGrid w:val="0"/>
              <w:ind w:left="22" w:leftChars="-24" w:right="-36" w:rightChars="-17" w:hanging="72" w:hangingChars="40"/>
              <w:jc w:val="center"/>
              <w:rPr>
                <w:color w:val="auto"/>
                <w:sz w:val="18"/>
                <w:szCs w:val="18"/>
              </w:rPr>
            </w:pPr>
            <w:r>
              <w:rPr>
                <w:color w:val="auto"/>
                <w:sz w:val="18"/>
                <w:szCs w:val="18"/>
              </w:rPr>
              <w:t>0.0809</w:t>
            </w:r>
          </w:p>
          <w:p w14:paraId="710137AB">
            <w:pPr>
              <w:adjustRightInd w:val="0"/>
              <w:snapToGrid w:val="0"/>
              <w:ind w:left="22" w:leftChars="-24" w:right="-36" w:rightChars="-17" w:hanging="72" w:hangingChars="40"/>
              <w:jc w:val="center"/>
              <w:rPr>
                <w:color w:val="auto"/>
                <w:sz w:val="18"/>
                <w:szCs w:val="18"/>
              </w:rPr>
            </w:pPr>
            <w:r>
              <w:rPr>
                <w:color w:val="auto"/>
                <w:sz w:val="18"/>
                <w:szCs w:val="18"/>
              </w:rPr>
              <w:t>0.0783</w:t>
            </w:r>
          </w:p>
          <w:p w14:paraId="5FDB3A70">
            <w:pPr>
              <w:adjustRightInd w:val="0"/>
              <w:snapToGrid w:val="0"/>
              <w:ind w:left="22" w:leftChars="-24" w:right="-36" w:rightChars="-17" w:hanging="72" w:hangingChars="40"/>
              <w:jc w:val="center"/>
              <w:rPr>
                <w:color w:val="auto"/>
                <w:sz w:val="18"/>
                <w:szCs w:val="18"/>
              </w:rPr>
            </w:pPr>
            <w:r>
              <w:rPr>
                <w:color w:val="auto"/>
                <w:sz w:val="18"/>
                <w:szCs w:val="18"/>
              </w:rPr>
              <w:t>0.0759</w:t>
            </w:r>
          </w:p>
          <w:p w14:paraId="05AFE1F1">
            <w:pPr>
              <w:adjustRightInd w:val="0"/>
              <w:snapToGrid w:val="0"/>
              <w:ind w:left="22" w:leftChars="-24" w:right="-36" w:rightChars="-17" w:hanging="72" w:hangingChars="40"/>
              <w:jc w:val="center"/>
              <w:rPr>
                <w:color w:val="auto"/>
                <w:sz w:val="18"/>
                <w:szCs w:val="18"/>
              </w:rPr>
            </w:pPr>
            <w:r>
              <w:rPr>
                <w:color w:val="auto"/>
                <w:sz w:val="18"/>
                <w:szCs w:val="18"/>
              </w:rPr>
              <w:t>0.0736</w:t>
            </w:r>
          </w:p>
        </w:tc>
        <w:tc>
          <w:tcPr>
            <w:tcW w:w="661" w:type="dxa"/>
            <w:tcBorders>
              <w:top w:val="single" w:color="auto" w:sz="6" w:space="0"/>
              <w:bottom w:val="nil"/>
            </w:tcBorders>
          </w:tcPr>
          <w:p w14:paraId="2A8B66B9">
            <w:pPr>
              <w:adjustRightInd w:val="0"/>
              <w:snapToGrid w:val="0"/>
              <w:ind w:left="22" w:leftChars="-24" w:right="-36" w:rightChars="-17" w:hanging="72" w:hangingChars="40"/>
              <w:jc w:val="center"/>
              <w:rPr>
                <w:color w:val="auto"/>
                <w:sz w:val="18"/>
                <w:szCs w:val="18"/>
              </w:rPr>
            </w:pPr>
          </w:p>
          <w:p w14:paraId="2E99BFEF">
            <w:pPr>
              <w:adjustRightInd w:val="0"/>
              <w:snapToGrid w:val="0"/>
              <w:ind w:left="22" w:leftChars="-24" w:right="-36" w:rightChars="-17" w:hanging="72" w:hangingChars="40"/>
              <w:jc w:val="center"/>
              <w:rPr>
                <w:color w:val="auto"/>
                <w:sz w:val="18"/>
                <w:szCs w:val="18"/>
              </w:rPr>
            </w:pPr>
            <w:r>
              <w:rPr>
                <w:color w:val="auto"/>
                <w:sz w:val="18"/>
                <w:szCs w:val="18"/>
              </w:rPr>
              <w:t>0.0948</w:t>
            </w:r>
          </w:p>
          <w:p w14:paraId="6B8EE8FE">
            <w:pPr>
              <w:adjustRightInd w:val="0"/>
              <w:snapToGrid w:val="0"/>
              <w:ind w:left="22" w:leftChars="-24" w:right="-36" w:rightChars="-17" w:hanging="72" w:hangingChars="40"/>
              <w:jc w:val="center"/>
              <w:rPr>
                <w:color w:val="auto"/>
                <w:sz w:val="18"/>
                <w:szCs w:val="18"/>
              </w:rPr>
            </w:pPr>
            <w:r>
              <w:rPr>
                <w:color w:val="auto"/>
                <w:sz w:val="18"/>
                <w:szCs w:val="18"/>
              </w:rPr>
              <w:t>0.0931</w:t>
            </w:r>
          </w:p>
          <w:p w14:paraId="6A1AB759">
            <w:pPr>
              <w:adjustRightInd w:val="0"/>
              <w:snapToGrid w:val="0"/>
              <w:ind w:left="22" w:leftChars="-24" w:right="-36" w:rightChars="-17" w:hanging="72" w:hangingChars="40"/>
              <w:jc w:val="center"/>
              <w:rPr>
                <w:color w:val="auto"/>
                <w:sz w:val="18"/>
                <w:szCs w:val="18"/>
              </w:rPr>
            </w:pPr>
            <w:r>
              <w:rPr>
                <w:color w:val="auto"/>
                <w:sz w:val="18"/>
                <w:szCs w:val="18"/>
              </w:rPr>
              <w:t>0.0914</w:t>
            </w:r>
          </w:p>
          <w:p w14:paraId="7FC8BA13">
            <w:pPr>
              <w:adjustRightInd w:val="0"/>
              <w:snapToGrid w:val="0"/>
              <w:ind w:left="22" w:leftChars="-24" w:right="-36" w:rightChars="-17" w:hanging="72" w:hangingChars="40"/>
              <w:jc w:val="center"/>
              <w:rPr>
                <w:color w:val="auto"/>
                <w:sz w:val="18"/>
                <w:szCs w:val="18"/>
              </w:rPr>
            </w:pPr>
            <w:r>
              <w:rPr>
                <w:color w:val="auto"/>
                <w:sz w:val="18"/>
                <w:szCs w:val="18"/>
              </w:rPr>
              <w:t>0.0898</w:t>
            </w:r>
          </w:p>
          <w:p w14:paraId="1921BECA">
            <w:pPr>
              <w:adjustRightInd w:val="0"/>
              <w:snapToGrid w:val="0"/>
              <w:ind w:left="22" w:leftChars="-24" w:right="-36" w:rightChars="-17" w:hanging="72" w:hangingChars="40"/>
              <w:jc w:val="center"/>
              <w:rPr>
                <w:color w:val="auto"/>
                <w:sz w:val="18"/>
                <w:szCs w:val="18"/>
              </w:rPr>
            </w:pPr>
            <w:r>
              <w:rPr>
                <w:color w:val="auto"/>
                <w:sz w:val="18"/>
                <w:szCs w:val="18"/>
              </w:rPr>
              <w:t>0.0882</w:t>
            </w:r>
          </w:p>
          <w:p w14:paraId="33E15B13">
            <w:pPr>
              <w:adjustRightInd w:val="0"/>
              <w:snapToGrid w:val="0"/>
              <w:ind w:left="22" w:leftChars="-24" w:right="-36" w:rightChars="-17" w:hanging="72" w:hangingChars="40"/>
              <w:jc w:val="center"/>
              <w:rPr>
                <w:color w:val="auto"/>
                <w:sz w:val="18"/>
                <w:szCs w:val="18"/>
              </w:rPr>
            </w:pPr>
          </w:p>
          <w:p w14:paraId="51A47871">
            <w:pPr>
              <w:adjustRightInd w:val="0"/>
              <w:snapToGrid w:val="0"/>
              <w:ind w:left="22" w:leftChars="-24" w:right="-36" w:rightChars="-17" w:hanging="72" w:hangingChars="40"/>
              <w:jc w:val="center"/>
              <w:rPr>
                <w:color w:val="auto"/>
                <w:sz w:val="18"/>
                <w:szCs w:val="18"/>
              </w:rPr>
            </w:pPr>
            <w:r>
              <w:rPr>
                <w:color w:val="auto"/>
                <w:sz w:val="18"/>
                <w:szCs w:val="18"/>
              </w:rPr>
              <w:t>0.0853</w:t>
            </w:r>
          </w:p>
          <w:p w14:paraId="65252E4E">
            <w:pPr>
              <w:adjustRightInd w:val="0"/>
              <w:snapToGrid w:val="0"/>
              <w:ind w:left="22" w:leftChars="-24" w:right="-36" w:rightChars="-17" w:hanging="72" w:hangingChars="40"/>
              <w:jc w:val="center"/>
              <w:rPr>
                <w:color w:val="auto"/>
                <w:sz w:val="18"/>
                <w:szCs w:val="18"/>
              </w:rPr>
            </w:pPr>
            <w:r>
              <w:rPr>
                <w:color w:val="auto"/>
                <w:sz w:val="18"/>
                <w:szCs w:val="18"/>
              </w:rPr>
              <w:t>0.0852</w:t>
            </w:r>
          </w:p>
          <w:p w14:paraId="0AB0A5BF">
            <w:pPr>
              <w:adjustRightInd w:val="0"/>
              <w:snapToGrid w:val="0"/>
              <w:ind w:left="22" w:leftChars="-24" w:right="-36" w:rightChars="-17" w:hanging="72" w:hangingChars="40"/>
              <w:jc w:val="center"/>
              <w:rPr>
                <w:color w:val="auto"/>
                <w:sz w:val="18"/>
                <w:szCs w:val="18"/>
              </w:rPr>
            </w:pPr>
            <w:r>
              <w:rPr>
                <w:color w:val="auto"/>
                <w:sz w:val="18"/>
                <w:szCs w:val="18"/>
              </w:rPr>
              <w:t>0.0799</w:t>
            </w:r>
          </w:p>
          <w:p w14:paraId="6889DE83">
            <w:pPr>
              <w:adjustRightInd w:val="0"/>
              <w:snapToGrid w:val="0"/>
              <w:ind w:left="22" w:leftChars="-24" w:right="-36" w:rightChars="-17" w:hanging="72" w:hangingChars="40"/>
              <w:jc w:val="center"/>
              <w:rPr>
                <w:color w:val="auto"/>
                <w:sz w:val="18"/>
                <w:szCs w:val="18"/>
              </w:rPr>
            </w:pPr>
            <w:r>
              <w:rPr>
                <w:color w:val="auto"/>
                <w:sz w:val="18"/>
                <w:szCs w:val="18"/>
              </w:rPr>
              <w:t>0.0775</w:t>
            </w:r>
          </w:p>
          <w:p w14:paraId="78CDBAE2">
            <w:pPr>
              <w:adjustRightInd w:val="0"/>
              <w:snapToGrid w:val="0"/>
              <w:ind w:left="22" w:leftChars="-24" w:right="-36" w:rightChars="-17" w:hanging="72" w:hangingChars="40"/>
              <w:jc w:val="center"/>
              <w:rPr>
                <w:color w:val="auto"/>
                <w:sz w:val="18"/>
                <w:szCs w:val="18"/>
              </w:rPr>
            </w:pPr>
            <w:r>
              <w:rPr>
                <w:color w:val="auto"/>
                <w:sz w:val="18"/>
                <w:szCs w:val="18"/>
              </w:rPr>
              <w:t>0.0751</w:t>
            </w:r>
          </w:p>
        </w:tc>
        <w:tc>
          <w:tcPr>
            <w:tcW w:w="661" w:type="dxa"/>
            <w:tcBorders>
              <w:top w:val="single" w:color="auto" w:sz="6" w:space="0"/>
              <w:bottom w:val="nil"/>
            </w:tcBorders>
          </w:tcPr>
          <w:p w14:paraId="4498B4D9">
            <w:pPr>
              <w:adjustRightInd w:val="0"/>
              <w:snapToGrid w:val="0"/>
              <w:ind w:left="22" w:leftChars="-24" w:right="-36" w:rightChars="-17" w:hanging="72" w:hangingChars="40"/>
              <w:jc w:val="center"/>
              <w:rPr>
                <w:color w:val="auto"/>
                <w:sz w:val="18"/>
                <w:szCs w:val="18"/>
              </w:rPr>
            </w:pPr>
          </w:p>
          <w:p w14:paraId="6321C651">
            <w:pPr>
              <w:adjustRightInd w:val="0"/>
              <w:snapToGrid w:val="0"/>
              <w:ind w:left="22" w:leftChars="-24" w:right="-36" w:rightChars="-17" w:hanging="72" w:hangingChars="40"/>
              <w:jc w:val="center"/>
              <w:rPr>
                <w:color w:val="auto"/>
                <w:sz w:val="18"/>
                <w:szCs w:val="18"/>
              </w:rPr>
            </w:pPr>
            <w:r>
              <w:rPr>
                <w:color w:val="auto"/>
                <w:sz w:val="18"/>
                <w:szCs w:val="18"/>
              </w:rPr>
              <w:t>0.0976</w:t>
            </w:r>
          </w:p>
          <w:p w14:paraId="10E82D39">
            <w:pPr>
              <w:adjustRightInd w:val="0"/>
              <w:snapToGrid w:val="0"/>
              <w:ind w:left="22" w:leftChars="-24" w:right="-36" w:rightChars="-17" w:hanging="72" w:hangingChars="40"/>
              <w:jc w:val="center"/>
              <w:rPr>
                <w:color w:val="auto"/>
                <w:sz w:val="18"/>
                <w:szCs w:val="18"/>
              </w:rPr>
            </w:pPr>
            <w:r>
              <w:rPr>
                <w:color w:val="auto"/>
                <w:sz w:val="18"/>
                <w:szCs w:val="18"/>
              </w:rPr>
              <w:t>0.0959</w:t>
            </w:r>
          </w:p>
          <w:p w14:paraId="5AC5CBC5">
            <w:pPr>
              <w:adjustRightInd w:val="0"/>
              <w:snapToGrid w:val="0"/>
              <w:ind w:left="22" w:leftChars="-24" w:right="-36" w:rightChars="-17" w:hanging="72" w:hangingChars="40"/>
              <w:jc w:val="center"/>
              <w:rPr>
                <w:color w:val="auto"/>
                <w:sz w:val="18"/>
                <w:szCs w:val="18"/>
              </w:rPr>
            </w:pPr>
            <w:r>
              <w:rPr>
                <w:color w:val="auto"/>
                <w:sz w:val="18"/>
                <w:szCs w:val="18"/>
              </w:rPr>
              <w:t>0.0943</w:t>
            </w:r>
          </w:p>
          <w:p w14:paraId="56E965C6">
            <w:pPr>
              <w:adjustRightInd w:val="0"/>
              <w:snapToGrid w:val="0"/>
              <w:ind w:left="22" w:leftChars="-24" w:right="-36" w:rightChars="-17" w:hanging="72" w:hangingChars="40"/>
              <w:jc w:val="center"/>
              <w:rPr>
                <w:color w:val="auto"/>
                <w:sz w:val="18"/>
                <w:szCs w:val="18"/>
              </w:rPr>
            </w:pPr>
            <w:r>
              <w:rPr>
                <w:color w:val="auto"/>
                <w:sz w:val="18"/>
                <w:szCs w:val="18"/>
              </w:rPr>
              <w:t>0.0927</w:t>
            </w:r>
          </w:p>
          <w:p w14:paraId="5037ADC5">
            <w:pPr>
              <w:adjustRightInd w:val="0"/>
              <w:snapToGrid w:val="0"/>
              <w:ind w:left="22" w:leftChars="-24" w:right="-36" w:rightChars="-17" w:hanging="72" w:hangingChars="40"/>
              <w:jc w:val="center"/>
              <w:rPr>
                <w:color w:val="auto"/>
                <w:sz w:val="18"/>
                <w:szCs w:val="18"/>
              </w:rPr>
            </w:pPr>
            <w:r>
              <w:rPr>
                <w:color w:val="auto"/>
                <w:sz w:val="18"/>
                <w:szCs w:val="18"/>
              </w:rPr>
              <w:t>0.0912</w:t>
            </w:r>
          </w:p>
          <w:p w14:paraId="118D2F66">
            <w:pPr>
              <w:adjustRightInd w:val="0"/>
              <w:snapToGrid w:val="0"/>
              <w:ind w:left="22" w:leftChars="-24" w:right="-36" w:rightChars="-17" w:hanging="72" w:hangingChars="40"/>
              <w:jc w:val="center"/>
              <w:rPr>
                <w:color w:val="auto"/>
                <w:sz w:val="18"/>
                <w:szCs w:val="18"/>
              </w:rPr>
            </w:pPr>
          </w:p>
          <w:p w14:paraId="7840D3EE">
            <w:pPr>
              <w:adjustRightInd w:val="0"/>
              <w:snapToGrid w:val="0"/>
              <w:ind w:left="22" w:leftChars="-24" w:right="-36" w:rightChars="-17" w:hanging="72" w:hangingChars="40"/>
              <w:jc w:val="center"/>
              <w:rPr>
                <w:color w:val="auto"/>
                <w:sz w:val="18"/>
                <w:szCs w:val="18"/>
              </w:rPr>
            </w:pPr>
            <w:r>
              <w:rPr>
                <w:color w:val="auto"/>
                <w:sz w:val="18"/>
                <w:szCs w:val="18"/>
              </w:rPr>
              <w:t>0.0882</w:t>
            </w:r>
          </w:p>
          <w:p w14:paraId="669DB9FC">
            <w:pPr>
              <w:adjustRightInd w:val="0"/>
              <w:snapToGrid w:val="0"/>
              <w:ind w:left="22" w:leftChars="-24" w:right="-36" w:rightChars="-17" w:hanging="72" w:hangingChars="40"/>
              <w:jc w:val="center"/>
              <w:rPr>
                <w:color w:val="auto"/>
                <w:sz w:val="18"/>
                <w:szCs w:val="18"/>
              </w:rPr>
            </w:pPr>
            <w:r>
              <w:rPr>
                <w:color w:val="auto"/>
                <w:sz w:val="18"/>
                <w:szCs w:val="18"/>
              </w:rPr>
              <w:t>0.0855</w:t>
            </w:r>
          </w:p>
          <w:p w14:paraId="7EA82AF9">
            <w:pPr>
              <w:adjustRightInd w:val="0"/>
              <w:snapToGrid w:val="0"/>
              <w:ind w:left="22" w:leftChars="-24" w:right="-36" w:rightChars="-17" w:hanging="72" w:hangingChars="40"/>
              <w:jc w:val="center"/>
              <w:rPr>
                <w:color w:val="auto"/>
                <w:sz w:val="18"/>
                <w:szCs w:val="18"/>
              </w:rPr>
            </w:pPr>
            <w:r>
              <w:rPr>
                <w:color w:val="auto"/>
                <w:sz w:val="18"/>
                <w:szCs w:val="18"/>
              </w:rPr>
              <w:t>0.0829</w:t>
            </w:r>
          </w:p>
          <w:p w14:paraId="634CCF3F">
            <w:pPr>
              <w:adjustRightInd w:val="0"/>
              <w:snapToGrid w:val="0"/>
              <w:ind w:left="22" w:leftChars="-24" w:right="-36" w:rightChars="-17" w:hanging="72" w:hangingChars="40"/>
              <w:jc w:val="center"/>
              <w:rPr>
                <w:color w:val="auto"/>
                <w:sz w:val="18"/>
                <w:szCs w:val="18"/>
              </w:rPr>
            </w:pPr>
            <w:r>
              <w:rPr>
                <w:color w:val="auto"/>
                <w:sz w:val="18"/>
                <w:szCs w:val="18"/>
              </w:rPr>
              <w:t>0.0804</w:t>
            </w:r>
          </w:p>
          <w:p w14:paraId="6D4D2187">
            <w:pPr>
              <w:adjustRightInd w:val="0"/>
              <w:snapToGrid w:val="0"/>
              <w:ind w:left="22" w:leftChars="-24" w:right="-36" w:rightChars="-17" w:hanging="72" w:hangingChars="40"/>
              <w:jc w:val="center"/>
              <w:rPr>
                <w:color w:val="auto"/>
                <w:sz w:val="18"/>
                <w:szCs w:val="18"/>
              </w:rPr>
            </w:pPr>
            <w:r>
              <w:rPr>
                <w:color w:val="auto"/>
                <w:sz w:val="18"/>
                <w:szCs w:val="18"/>
              </w:rPr>
              <w:t>0.0781</w:t>
            </w:r>
          </w:p>
        </w:tc>
        <w:tc>
          <w:tcPr>
            <w:tcW w:w="661" w:type="dxa"/>
            <w:tcBorders>
              <w:top w:val="single" w:color="auto" w:sz="6" w:space="0"/>
              <w:bottom w:val="nil"/>
            </w:tcBorders>
          </w:tcPr>
          <w:p w14:paraId="3C9376BE">
            <w:pPr>
              <w:adjustRightInd w:val="0"/>
              <w:snapToGrid w:val="0"/>
              <w:ind w:left="22" w:leftChars="-24" w:right="-36" w:rightChars="-17" w:hanging="72" w:hangingChars="40"/>
              <w:jc w:val="center"/>
              <w:rPr>
                <w:color w:val="auto"/>
                <w:sz w:val="18"/>
                <w:szCs w:val="18"/>
              </w:rPr>
            </w:pPr>
          </w:p>
          <w:p w14:paraId="75CC962D">
            <w:pPr>
              <w:adjustRightInd w:val="0"/>
              <w:snapToGrid w:val="0"/>
              <w:ind w:left="22" w:leftChars="-24" w:right="-36" w:rightChars="-17" w:hanging="72" w:hangingChars="40"/>
              <w:jc w:val="center"/>
              <w:rPr>
                <w:color w:val="auto"/>
                <w:sz w:val="18"/>
                <w:szCs w:val="18"/>
              </w:rPr>
            </w:pPr>
            <w:r>
              <w:rPr>
                <w:color w:val="auto"/>
                <w:sz w:val="18"/>
                <w:szCs w:val="18"/>
              </w:rPr>
              <w:t>0.1020</w:t>
            </w:r>
          </w:p>
          <w:p w14:paraId="36C40880">
            <w:pPr>
              <w:adjustRightInd w:val="0"/>
              <w:snapToGrid w:val="0"/>
              <w:ind w:left="22" w:leftChars="-24" w:right="-36" w:rightChars="-17" w:hanging="72" w:hangingChars="40"/>
              <w:jc w:val="center"/>
              <w:rPr>
                <w:color w:val="auto"/>
                <w:sz w:val="18"/>
                <w:szCs w:val="18"/>
              </w:rPr>
            </w:pPr>
            <w:r>
              <w:rPr>
                <w:color w:val="auto"/>
                <w:sz w:val="18"/>
                <w:szCs w:val="18"/>
              </w:rPr>
              <w:t>0.1004</w:t>
            </w:r>
          </w:p>
          <w:p w14:paraId="6D191E77">
            <w:pPr>
              <w:adjustRightInd w:val="0"/>
              <w:snapToGrid w:val="0"/>
              <w:ind w:left="22" w:leftChars="-24" w:right="-36" w:rightChars="-17" w:hanging="72" w:hangingChars="40"/>
              <w:jc w:val="center"/>
              <w:rPr>
                <w:color w:val="auto"/>
                <w:sz w:val="18"/>
                <w:szCs w:val="18"/>
              </w:rPr>
            </w:pPr>
            <w:r>
              <w:rPr>
                <w:color w:val="auto"/>
                <w:sz w:val="18"/>
                <w:szCs w:val="18"/>
              </w:rPr>
              <w:t>0.0988</w:t>
            </w:r>
          </w:p>
          <w:p w14:paraId="78453540">
            <w:pPr>
              <w:adjustRightInd w:val="0"/>
              <w:snapToGrid w:val="0"/>
              <w:ind w:left="22" w:leftChars="-24" w:right="-36" w:rightChars="-17" w:hanging="72" w:hangingChars="40"/>
              <w:jc w:val="center"/>
              <w:rPr>
                <w:color w:val="auto"/>
                <w:sz w:val="18"/>
                <w:szCs w:val="18"/>
              </w:rPr>
            </w:pPr>
            <w:r>
              <w:rPr>
                <w:color w:val="auto"/>
                <w:sz w:val="18"/>
                <w:szCs w:val="18"/>
              </w:rPr>
              <w:t>0.0973</w:t>
            </w:r>
          </w:p>
          <w:p w14:paraId="4ECCF3D8">
            <w:pPr>
              <w:adjustRightInd w:val="0"/>
              <w:snapToGrid w:val="0"/>
              <w:ind w:left="22" w:leftChars="-24" w:right="-36" w:rightChars="-17" w:hanging="72" w:hangingChars="40"/>
              <w:jc w:val="center"/>
              <w:rPr>
                <w:color w:val="auto"/>
                <w:sz w:val="18"/>
                <w:szCs w:val="18"/>
              </w:rPr>
            </w:pPr>
            <w:r>
              <w:rPr>
                <w:color w:val="auto"/>
                <w:sz w:val="18"/>
                <w:szCs w:val="18"/>
              </w:rPr>
              <w:t>0.0959</w:t>
            </w:r>
          </w:p>
          <w:p w14:paraId="1579B786">
            <w:pPr>
              <w:adjustRightInd w:val="0"/>
              <w:snapToGrid w:val="0"/>
              <w:ind w:left="22" w:leftChars="-24" w:right="-36" w:rightChars="-17" w:hanging="72" w:hangingChars="40"/>
              <w:jc w:val="center"/>
              <w:rPr>
                <w:color w:val="auto"/>
                <w:sz w:val="18"/>
                <w:szCs w:val="18"/>
              </w:rPr>
            </w:pPr>
          </w:p>
          <w:p w14:paraId="4C659E5E">
            <w:pPr>
              <w:adjustRightInd w:val="0"/>
              <w:snapToGrid w:val="0"/>
              <w:ind w:left="22" w:leftChars="-24" w:right="-36" w:rightChars="-17" w:hanging="72" w:hangingChars="40"/>
              <w:jc w:val="center"/>
              <w:rPr>
                <w:color w:val="auto"/>
                <w:sz w:val="18"/>
                <w:szCs w:val="18"/>
              </w:rPr>
            </w:pPr>
            <w:r>
              <w:rPr>
                <w:color w:val="auto"/>
                <w:sz w:val="18"/>
                <w:szCs w:val="18"/>
              </w:rPr>
              <w:t>0.0931</w:t>
            </w:r>
          </w:p>
          <w:p w14:paraId="4B394F26">
            <w:pPr>
              <w:adjustRightInd w:val="0"/>
              <w:snapToGrid w:val="0"/>
              <w:ind w:left="22" w:leftChars="-24" w:right="-36" w:rightChars="-17" w:hanging="72" w:hangingChars="40"/>
              <w:jc w:val="center"/>
              <w:rPr>
                <w:color w:val="auto"/>
                <w:sz w:val="18"/>
                <w:szCs w:val="18"/>
              </w:rPr>
            </w:pPr>
            <w:r>
              <w:rPr>
                <w:color w:val="auto"/>
                <w:sz w:val="18"/>
                <w:szCs w:val="18"/>
              </w:rPr>
              <w:t>0.0905</w:t>
            </w:r>
          </w:p>
          <w:p w14:paraId="545DBE1B">
            <w:pPr>
              <w:adjustRightInd w:val="0"/>
              <w:snapToGrid w:val="0"/>
              <w:ind w:left="22" w:leftChars="-24" w:right="-36" w:rightChars="-17" w:hanging="72" w:hangingChars="40"/>
              <w:jc w:val="center"/>
              <w:rPr>
                <w:color w:val="auto"/>
                <w:sz w:val="18"/>
                <w:szCs w:val="18"/>
              </w:rPr>
            </w:pPr>
            <w:r>
              <w:rPr>
                <w:color w:val="auto"/>
                <w:sz w:val="18"/>
                <w:szCs w:val="18"/>
              </w:rPr>
              <w:t>0.0880</w:t>
            </w:r>
          </w:p>
          <w:p w14:paraId="3A7D5711">
            <w:pPr>
              <w:adjustRightInd w:val="0"/>
              <w:snapToGrid w:val="0"/>
              <w:ind w:left="22" w:leftChars="-24" w:right="-36" w:rightChars="-17" w:hanging="72" w:hangingChars="40"/>
              <w:jc w:val="center"/>
              <w:rPr>
                <w:color w:val="auto"/>
                <w:sz w:val="18"/>
                <w:szCs w:val="18"/>
              </w:rPr>
            </w:pPr>
            <w:r>
              <w:rPr>
                <w:color w:val="auto"/>
                <w:sz w:val="18"/>
                <w:szCs w:val="18"/>
              </w:rPr>
              <w:t>0.0857</w:t>
            </w:r>
          </w:p>
          <w:p w14:paraId="2E4E414B">
            <w:pPr>
              <w:adjustRightInd w:val="0"/>
              <w:snapToGrid w:val="0"/>
              <w:ind w:left="22" w:leftChars="-24" w:right="-36" w:rightChars="-17" w:hanging="72" w:hangingChars="40"/>
              <w:jc w:val="center"/>
              <w:rPr>
                <w:color w:val="auto"/>
                <w:sz w:val="18"/>
                <w:szCs w:val="18"/>
              </w:rPr>
            </w:pPr>
            <w:r>
              <w:rPr>
                <w:color w:val="auto"/>
                <w:sz w:val="18"/>
                <w:szCs w:val="18"/>
              </w:rPr>
              <w:t>0.0834</w:t>
            </w:r>
          </w:p>
        </w:tc>
      </w:tr>
      <w:tr w14:paraId="76B5C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9" w:hRule="atLeast"/>
          <w:jc w:val="center"/>
        </w:trPr>
        <w:tc>
          <w:tcPr>
            <w:tcW w:w="554" w:type="dxa"/>
            <w:tcBorders>
              <w:top w:val="nil"/>
            </w:tcBorders>
          </w:tcPr>
          <w:p w14:paraId="557F9E66">
            <w:pPr>
              <w:adjustRightInd w:val="0"/>
              <w:snapToGrid w:val="0"/>
              <w:jc w:val="center"/>
              <w:rPr>
                <w:color w:val="auto"/>
                <w:sz w:val="18"/>
                <w:szCs w:val="18"/>
              </w:rPr>
            </w:pPr>
            <w:r>
              <w:rPr>
                <w:color w:val="auto"/>
                <w:sz w:val="18"/>
                <w:szCs w:val="18"/>
              </w:rPr>
              <w:t>11.2</w:t>
            </w:r>
          </w:p>
          <w:p w14:paraId="2C59B479">
            <w:pPr>
              <w:adjustRightInd w:val="0"/>
              <w:snapToGrid w:val="0"/>
              <w:jc w:val="center"/>
              <w:rPr>
                <w:color w:val="auto"/>
                <w:sz w:val="18"/>
                <w:szCs w:val="18"/>
              </w:rPr>
            </w:pPr>
            <w:r>
              <w:rPr>
                <w:color w:val="auto"/>
                <w:sz w:val="18"/>
                <w:szCs w:val="18"/>
              </w:rPr>
              <w:t>11.6</w:t>
            </w:r>
          </w:p>
          <w:p w14:paraId="4703D2ED">
            <w:pPr>
              <w:adjustRightInd w:val="0"/>
              <w:snapToGrid w:val="0"/>
              <w:jc w:val="center"/>
              <w:rPr>
                <w:color w:val="auto"/>
                <w:sz w:val="18"/>
                <w:szCs w:val="18"/>
              </w:rPr>
            </w:pPr>
            <w:r>
              <w:rPr>
                <w:color w:val="auto"/>
                <w:sz w:val="18"/>
                <w:szCs w:val="18"/>
              </w:rPr>
              <w:t>12.0</w:t>
            </w:r>
          </w:p>
          <w:p w14:paraId="7ACA02FB">
            <w:pPr>
              <w:adjustRightInd w:val="0"/>
              <w:snapToGrid w:val="0"/>
              <w:jc w:val="center"/>
              <w:rPr>
                <w:color w:val="auto"/>
                <w:sz w:val="18"/>
                <w:szCs w:val="18"/>
              </w:rPr>
            </w:pPr>
            <w:r>
              <w:rPr>
                <w:color w:val="auto"/>
                <w:sz w:val="18"/>
                <w:szCs w:val="18"/>
              </w:rPr>
              <w:t>12.8</w:t>
            </w:r>
          </w:p>
          <w:p w14:paraId="477EB4E8">
            <w:pPr>
              <w:adjustRightInd w:val="0"/>
              <w:snapToGrid w:val="0"/>
              <w:jc w:val="center"/>
              <w:rPr>
                <w:color w:val="auto"/>
                <w:sz w:val="18"/>
                <w:szCs w:val="18"/>
              </w:rPr>
            </w:pPr>
            <w:r>
              <w:rPr>
                <w:color w:val="auto"/>
                <w:sz w:val="18"/>
                <w:szCs w:val="18"/>
              </w:rPr>
              <w:t>13.6</w:t>
            </w:r>
          </w:p>
          <w:p w14:paraId="20524782">
            <w:pPr>
              <w:adjustRightInd w:val="0"/>
              <w:snapToGrid w:val="0"/>
              <w:jc w:val="center"/>
              <w:rPr>
                <w:color w:val="auto"/>
                <w:sz w:val="18"/>
                <w:szCs w:val="18"/>
              </w:rPr>
            </w:pPr>
          </w:p>
          <w:p w14:paraId="21E3F7BC">
            <w:pPr>
              <w:adjustRightInd w:val="0"/>
              <w:snapToGrid w:val="0"/>
              <w:jc w:val="center"/>
              <w:rPr>
                <w:color w:val="auto"/>
                <w:sz w:val="18"/>
                <w:szCs w:val="18"/>
              </w:rPr>
            </w:pPr>
            <w:r>
              <w:rPr>
                <w:color w:val="auto"/>
                <w:sz w:val="18"/>
                <w:szCs w:val="18"/>
              </w:rPr>
              <w:t>14.4</w:t>
            </w:r>
          </w:p>
          <w:p w14:paraId="3747E285">
            <w:pPr>
              <w:adjustRightInd w:val="0"/>
              <w:snapToGrid w:val="0"/>
              <w:jc w:val="center"/>
              <w:rPr>
                <w:color w:val="auto"/>
                <w:sz w:val="18"/>
                <w:szCs w:val="18"/>
              </w:rPr>
            </w:pPr>
            <w:r>
              <w:rPr>
                <w:color w:val="auto"/>
                <w:sz w:val="18"/>
                <w:szCs w:val="18"/>
              </w:rPr>
              <w:t>15.2</w:t>
            </w:r>
          </w:p>
          <w:p w14:paraId="4D8F918B">
            <w:pPr>
              <w:adjustRightInd w:val="0"/>
              <w:snapToGrid w:val="0"/>
              <w:jc w:val="center"/>
              <w:rPr>
                <w:color w:val="auto"/>
                <w:sz w:val="18"/>
                <w:szCs w:val="18"/>
              </w:rPr>
            </w:pPr>
            <w:r>
              <w:rPr>
                <w:color w:val="auto"/>
                <w:sz w:val="18"/>
                <w:szCs w:val="18"/>
              </w:rPr>
              <w:t>16.0</w:t>
            </w:r>
          </w:p>
          <w:p w14:paraId="3EF48740">
            <w:pPr>
              <w:adjustRightInd w:val="0"/>
              <w:snapToGrid w:val="0"/>
              <w:jc w:val="center"/>
              <w:rPr>
                <w:color w:val="auto"/>
                <w:sz w:val="18"/>
                <w:szCs w:val="18"/>
              </w:rPr>
            </w:pPr>
            <w:r>
              <w:rPr>
                <w:color w:val="auto"/>
                <w:sz w:val="18"/>
                <w:szCs w:val="18"/>
              </w:rPr>
              <w:t>18.0</w:t>
            </w:r>
          </w:p>
          <w:p w14:paraId="3C52F7EC">
            <w:pPr>
              <w:adjustRightInd w:val="0"/>
              <w:snapToGrid w:val="0"/>
              <w:jc w:val="center"/>
              <w:rPr>
                <w:color w:val="auto"/>
                <w:sz w:val="18"/>
                <w:szCs w:val="18"/>
              </w:rPr>
            </w:pPr>
            <w:r>
              <w:rPr>
                <w:color w:val="auto"/>
                <w:sz w:val="18"/>
                <w:szCs w:val="18"/>
              </w:rPr>
              <w:t>20.0</w:t>
            </w:r>
          </w:p>
          <w:p w14:paraId="0E1D88B2">
            <w:pPr>
              <w:adjustRightInd w:val="0"/>
              <w:snapToGrid w:val="0"/>
              <w:jc w:val="center"/>
              <w:rPr>
                <w:color w:val="auto"/>
                <w:sz w:val="18"/>
                <w:szCs w:val="18"/>
              </w:rPr>
            </w:pPr>
          </w:p>
        </w:tc>
        <w:tc>
          <w:tcPr>
            <w:tcW w:w="654" w:type="dxa"/>
            <w:tcBorders>
              <w:top w:val="nil"/>
            </w:tcBorders>
          </w:tcPr>
          <w:p w14:paraId="18A27647">
            <w:pPr>
              <w:adjustRightInd w:val="0"/>
              <w:snapToGrid w:val="0"/>
              <w:ind w:left="25" w:leftChars="-28" w:right="-61" w:rightChars="-29" w:hanging="84" w:hangingChars="47"/>
              <w:jc w:val="center"/>
              <w:rPr>
                <w:color w:val="auto"/>
                <w:sz w:val="18"/>
                <w:szCs w:val="18"/>
              </w:rPr>
            </w:pPr>
            <w:r>
              <w:rPr>
                <w:color w:val="auto"/>
                <w:sz w:val="18"/>
                <w:szCs w:val="18"/>
              </w:rPr>
              <w:t>0.0463</w:t>
            </w:r>
          </w:p>
          <w:p w14:paraId="7B773708">
            <w:pPr>
              <w:adjustRightInd w:val="0"/>
              <w:snapToGrid w:val="0"/>
              <w:ind w:left="25" w:leftChars="-28" w:right="-61" w:rightChars="-29" w:hanging="84" w:hangingChars="47"/>
              <w:jc w:val="center"/>
              <w:rPr>
                <w:color w:val="auto"/>
                <w:sz w:val="18"/>
                <w:szCs w:val="18"/>
              </w:rPr>
            </w:pPr>
            <w:r>
              <w:rPr>
                <w:color w:val="auto"/>
                <w:sz w:val="18"/>
                <w:szCs w:val="18"/>
              </w:rPr>
              <w:t>0.0448</w:t>
            </w:r>
          </w:p>
          <w:p w14:paraId="7F7C4356">
            <w:pPr>
              <w:adjustRightInd w:val="0"/>
              <w:snapToGrid w:val="0"/>
              <w:ind w:left="25" w:leftChars="-28" w:right="-61" w:rightChars="-29" w:hanging="84" w:hangingChars="47"/>
              <w:jc w:val="center"/>
              <w:rPr>
                <w:color w:val="auto"/>
                <w:sz w:val="18"/>
                <w:szCs w:val="18"/>
              </w:rPr>
            </w:pPr>
            <w:r>
              <w:rPr>
                <w:color w:val="auto"/>
                <w:sz w:val="18"/>
                <w:szCs w:val="18"/>
              </w:rPr>
              <w:t>0.0435</w:t>
            </w:r>
          </w:p>
          <w:p w14:paraId="25A5EE1A">
            <w:pPr>
              <w:adjustRightInd w:val="0"/>
              <w:snapToGrid w:val="0"/>
              <w:ind w:left="25" w:leftChars="-28" w:right="-61" w:rightChars="-29" w:hanging="84" w:hangingChars="47"/>
              <w:jc w:val="center"/>
              <w:rPr>
                <w:color w:val="auto"/>
                <w:sz w:val="18"/>
                <w:szCs w:val="18"/>
              </w:rPr>
            </w:pPr>
            <w:r>
              <w:rPr>
                <w:color w:val="auto"/>
                <w:sz w:val="18"/>
                <w:szCs w:val="18"/>
              </w:rPr>
              <w:t>0.0409</w:t>
            </w:r>
          </w:p>
          <w:p w14:paraId="1FCE03CD">
            <w:pPr>
              <w:adjustRightInd w:val="0"/>
              <w:snapToGrid w:val="0"/>
              <w:ind w:left="25" w:leftChars="-28" w:right="-61" w:rightChars="-29" w:hanging="84" w:hangingChars="47"/>
              <w:jc w:val="center"/>
              <w:rPr>
                <w:color w:val="auto"/>
                <w:sz w:val="18"/>
                <w:szCs w:val="18"/>
              </w:rPr>
            </w:pPr>
            <w:r>
              <w:rPr>
                <w:color w:val="auto"/>
                <w:sz w:val="18"/>
                <w:szCs w:val="18"/>
              </w:rPr>
              <w:t>0.0387</w:t>
            </w:r>
          </w:p>
          <w:p w14:paraId="7758B8E2">
            <w:pPr>
              <w:adjustRightInd w:val="0"/>
              <w:snapToGrid w:val="0"/>
              <w:ind w:left="25" w:leftChars="-28" w:right="-61" w:rightChars="-29" w:hanging="84" w:hangingChars="47"/>
              <w:jc w:val="center"/>
              <w:rPr>
                <w:color w:val="auto"/>
                <w:sz w:val="18"/>
                <w:szCs w:val="18"/>
              </w:rPr>
            </w:pPr>
          </w:p>
          <w:p w14:paraId="7B5DAECA">
            <w:pPr>
              <w:adjustRightInd w:val="0"/>
              <w:snapToGrid w:val="0"/>
              <w:ind w:left="25" w:leftChars="-28" w:right="-61" w:rightChars="-29" w:hanging="84" w:hangingChars="47"/>
              <w:jc w:val="center"/>
              <w:rPr>
                <w:color w:val="auto"/>
                <w:sz w:val="18"/>
                <w:szCs w:val="18"/>
              </w:rPr>
            </w:pPr>
            <w:r>
              <w:rPr>
                <w:color w:val="auto"/>
                <w:sz w:val="18"/>
                <w:szCs w:val="18"/>
              </w:rPr>
              <w:t>0.0367</w:t>
            </w:r>
          </w:p>
          <w:p w14:paraId="46D9825A">
            <w:pPr>
              <w:adjustRightInd w:val="0"/>
              <w:snapToGrid w:val="0"/>
              <w:ind w:left="25" w:leftChars="-28" w:right="-61" w:rightChars="-29" w:hanging="84" w:hangingChars="47"/>
              <w:jc w:val="center"/>
              <w:rPr>
                <w:color w:val="auto"/>
                <w:sz w:val="18"/>
                <w:szCs w:val="18"/>
              </w:rPr>
            </w:pPr>
            <w:r>
              <w:rPr>
                <w:color w:val="auto"/>
                <w:sz w:val="18"/>
                <w:szCs w:val="18"/>
              </w:rPr>
              <w:t>0.0349</w:t>
            </w:r>
          </w:p>
          <w:p w14:paraId="0FCE92C7">
            <w:pPr>
              <w:adjustRightInd w:val="0"/>
              <w:snapToGrid w:val="0"/>
              <w:ind w:left="25" w:leftChars="-28" w:right="-61" w:rightChars="-29" w:hanging="84" w:hangingChars="47"/>
              <w:jc w:val="center"/>
              <w:rPr>
                <w:color w:val="auto"/>
                <w:sz w:val="18"/>
                <w:szCs w:val="18"/>
              </w:rPr>
            </w:pPr>
            <w:r>
              <w:rPr>
                <w:color w:val="auto"/>
                <w:sz w:val="18"/>
                <w:szCs w:val="18"/>
              </w:rPr>
              <w:t>0.0332</w:t>
            </w:r>
          </w:p>
          <w:p w14:paraId="59469A99">
            <w:pPr>
              <w:adjustRightInd w:val="0"/>
              <w:snapToGrid w:val="0"/>
              <w:ind w:left="25" w:leftChars="-28" w:right="-61" w:rightChars="-29" w:hanging="84" w:hangingChars="47"/>
              <w:jc w:val="center"/>
              <w:rPr>
                <w:color w:val="auto"/>
                <w:sz w:val="18"/>
                <w:szCs w:val="18"/>
              </w:rPr>
            </w:pPr>
            <w:r>
              <w:rPr>
                <w:color w:val="auto"/>
                <w:sz w:val="18"/>
                <w:szCs w:val="18"/>
              </w:rPr>
              <w:t>0.0297</w:t>
            </w:r>
          </w:p>
          <w:p w14:paraId="7BBD93EE">
            <w:pPr>
              <w:adjustRightInd w:val="0"/>
              <w:snapToGrid w:val="0"/>
              <w:ind w:left="25" w:leftChars="-28" w:right="-61" w:rightChars="-29" w:hanging="84" w:hangingChars="47"/>
              <w:jc w:val="center"/>
              <w:rPr>
                <w:color w:val="auto"/>
                <w:sz w:val="18"/>
                <w:szCs w:val="18"/>
              </w:rPr>
            </w:pPr>
            <w:r>
              <w:rPr>
                <w:color w:val="auto"/>
                <w:sz w:val="18"/>
                <w:szCs w:val="18"/>
              </w:rPr>
              <w:t>0.0269</w:t>
            </w:r>
          </w:p>
          <w:p w14:paraId="26DBD2A3">
            <w:pPr>
              <w:adjustRightInd w:val="0"/>
              <w:snapToGrid w:val="0"/>
              <w:ind w:left="25" w:leftChars="-28" w:right="-61" w:rightChars="-29" w:hanging="84" w:hangingChars="47"/>
              <w:jc w:val="center"/>
              <w:rPr>
                <w:color w:val="auto"/>
                <w:sz w:val="18"/>
                <w:szCs w:val="18"/>
              </w:rPr>
            </w:pPr>
          </w:p>
        </w:tc>
        <w:tc>
          <w:tcPr>
            <w:tcW w:w="661" w:type="dxa"/>
            <w:tcBorders>
              <w:top w:val="nil"/>
            </w:tcBorders>
          </w:tcPr>
          <w:p w14:paraId="4298F6F7">
            <w:pPr>
              <w:adjustRightInd w:val="0"/>
              <w:snapToGrid w:val="0"/>
              <w:ind w:left="22" w:leftChars="-24" w:right="-36" w:rightChars="-17" w:hanging="72" w:hangingChars="40"/>
              <w:jc w:val="center"/>
              <w:rPr>
                <w:color w:val="auto"/>
                <w:sz w:val="18"/>
                <w:szCs w:val="18"/>
              </w:rPr>
            </w:pPr>
            <w:r>
              <w:rPr>
                <w:color w:val="auto"/>
                <w:sz w:val="18"/>
                <w:szCs w:val="18"/>
              </w:rPr>
              <w:t>0.0502</w:t>
            </w:r>
          </w:p>
          <w:p w14:paraId="162CC8EA">
            <w:pPr>
              <w:adjustRightInd w:val="0"/>
              <w:snapToGrid w:val="0"/>
              <w:ind w:left="22" w:leftChars="-24" w:right="-36" w:rightChars="-17" w:hanging="72" w:hangingChars="40"/>
              <w:jc w:val="center"/>
              <w:rPr>
                <w:color w:val="auto"/>
                <w:sz w:val="18"/>
                <w:szCs w:val="18"/>
              </w:rPr>
            </w:pPr>
            <w:r>
              <w:rPr>
                <w:color w:val="auto"/>
                <w:sz w:val="18"/>
                <w:szCs w:val="18"/>
              </w:rPr>
              <w:t>0.0486</w:t>
            </w:r>
          </w:p>
          <w:p w14:paraId="6C6631E8">
            <w:pPr>
              <w:adjustRightInd w:val="0"/>
              <w:snapToGrid w:val="0"/>
              <w:ind w:left="22" w:leftChars="-24" w:right="-36" w:rightChars="-17" w:hanging="72" w:hangingChars="40"/>
              <w:jc w:val="center"/>
              <w:rPr>
                <w:color w:val="auto"/>
                <w:sz w:val="18"/>
                <w:szCs w:val="18"/>
              </w:rPr>
            </w:pPr>
            <w:r>
              <w:rPr>
                <w:color w:val="auto"/>
                <w:sz w:val="18"/>
                <w:szCs w:val="18"/>
              </w:rPr>
              <w:t>0.0471</w:t>
            </w:r>
          </w:p>
          <w:p w14:paraId="140FB48D">
            <w:pPr>
              <w:adjustRightInd w:val="0"/>
              <w:snapToGrid w:val="0"/>
              <w:ind w:left="22" w:leftChars="-24" w:right="-36" w:rightChars="-17" w:hanging="72" w:hangingChars="40"/>
              <w:jc w:val="center"/>
              <w:rPr>
                <w:color w:val="auto"/>
                <w:sz w:val="18"/>
                <w:szCs w:val="18"/>
              </w:rPr>
            </w:pPr>
            <w:r>
              <w:rPr>
                <w:color w:val="auto"/>
                <w:sz w:val="18"/>
                <w:szCs w:val="18"/>
              </w:rPr>
              <w:t>0.0444</w:t>
            </w:r>
          </w:p>
          <w:p w14:paraId="0A811271">
            <w:pPr>
              <w:adjustRightInd w:val="0"/>
              <w:snapToGrid w:val="0"/>
              <w:ind w:left="22" w:leftChars="-24" w:right="-36" w:rightChars="-17" w:hanging="72" w:hangingChars="40"/>
              <w:jc w:val="center"/>
              <w:rPr>
                <w:color w:val="auto"/>
                <w:sz w:val="18"/>
                <w:szCs w:val="18"/>
              </w:rPr>
            </w:pPr>
            <w:r>
              <w:rPr>
                <w:color w:val="auto"/>
                <w:sz w:val="18"/>
                <w:szCs w:val="18"/>
              </w:rPr>
              <w:t>0.0420</w:t>
            </w:r>
          </w:p>
          <w:p w14:paraId="52C20238">
            <w:pPr>
              <w:adjustRightInd w:val="0"/>
              <w:snapToGrid w:val="0"/>
              <w:ind w:left="22" w:leftChars="-24" w:right="-36" w:rightChars="-17" w:hanging="72" w:hangingChars="40"/>
              <w:jc w:val="center"/>
              <w:rPr>
                <w:color w:val="auto"/>
                <w:sz w:val="18"/>
                <w:szCs w:val="18"/>
              </w:rPr>
            </w:pPr>
          </w:p>
          <w:p w14:paraId="1D01A8DB">
            <w:pPr>
              <w:adjustRightInd w:val="0"/>
              <w:snapToGrid w:val="0"/>
              <w:ind w:left="22" w:leftChars="-24" w:right="-36" w:rightChars="-17" w:hanging="72" w:hangingChars="40"/>
              <w:jc w:val="center"/>
              <w:rPr>
                <w:color w:val="auto"/>
                <w:sz w:val="18"/>
                <w:szCs w:val="18"/>
              </w:rPr>
            </w:pPr>
            <w:r>
              <w:rPr>
                <w:color w:val="auto"/>
                <w:sz w:val="18"/>
                <w:szCs w:val="18"/>
              </w:rPr>
              <w:t>0.0398</w:t>
            </w:r>
          </w:p>
          <w:p w14:paraId="78A58D56">
            <w:pPr>
              <w:adjustRightInd w:val="0"/>
              <w:snapToGrid w:val="0"/>
              <w:ind w:left="22" w:leftChars="-24" w:right="-36" w:rightChars="-17" w:hanging="72" w:hangingChars="40"/>
              <w:jc w:val="center"/>
              <w:rPr>
                <w:color w:val="auto"/>
                <w:sz w:val="18"/>
                <w:szCs w:val="18"/>
              </w:rPr>
            </w:pPr>
            <w:r>
              <w:rPr>
                <w:color w:val="auto"/>
                <w:sz w:val="18"/>
                <w:szCs w:val="18"/>
              </w:rPr>
              <w:t>0.0379</w:t>
            </w:r>
          </w:p>
          <w:p w14:paraId="6B883A21">
            <w:pPr>
              <w:adjustRightInd w:val="0"/>
              <w:snapToGrid w:val="0"/>
              <w:ind w:left="22" w:leftChars="-24" w:right="-36" w:rightChars="-17" w:hanging="72" w:hangingChars="40"/>
              <w:jc w:val="center"/>
              <w:rPr>
                <w:color w:val="auto"/>
                <w:sz w:val="18"/>
                <w:szCs w:val="18"/>
              </w:rPr>
            </w:pPr>
            <w:r>
              <w:rPr>
                <w:color w:val="auto"/>
                <w:sz w:val="18"/>
                <w:szCs w:val="18"/>
              </w:rPr>
              <w:t>0.0361</w:t>
            </w:r>
          </w:p>
          <w:p w14:paraId="2737D054">
            <w:pPr>
              <w:adjustRightInd w:val="0"/>
              <w:snapToGrid w:val="0"/>
              <w:ind w:left="22" w:leftChars="-24" w:right="-36" w:rightChars="-17" w:hanging="72" w:hangingChars="40"/>
              <w:jc w:val="center"/>
              <w:rPr>
                <w:color w:val="auto"/>
                <w:sz w:val="18"/>
                <w:szCs w:val="18"/>
              </w:rPr>
            </w:pPr>
            <w:r>
              <w:rPr>
                <w:color w:val="auto"/>
                <w:sz w:val="18"/>
                <w:szCs w:val="18"/>
              </w:rPr>
              <w:t>0.0323</w:t>
            </w:r>
          </w:p>
          <w:p w14:paraId="3AB921BB">
            <w:pPr>
              <w:adjustRightInd w:val="0"/>
              <w:snapToGrid w:val="0"/>
              <w:ind w:left="22" w:leftChars="-24" w:right="-36" w:rightChars="-17" w:hanging="72" w:hangingChars="40"/>
              <w:jc w:val="center"/>
              <w:rPr>
                <w:color w:val="auto"/>
                <w:sz w:val="18"/>
                <w:szCs w:val="18"/>
              </w:rPr>
            </w:pPr>
            <w:r>
              <w:rPr>
                <w:color w:val="auto"/>
                <w:sz w:val="18"/>
                <w:szCs w:val="18"/>
              </w:rPr>
              <w:t>0.0292</w:t>
            </w:r>
          </w:p>
          <w:p w14:paraId="44E17BDC">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7306C281">
            <w:pPr>
              <w:adjustRightInd w:val="0"/>
              <w:snapToGrid w:val="0"/>
              <w:ind w:left="22" w:leftChars="-24" w:right="-36" w:rightChars="-17" w:hanging="72" w:hangingChars="40"/>
              <w:jc w:val="center"/>
              <w:rPr>
                <w:color w:val="auto"/>
                <w:sz w:val="18"/>
                <w:szCs w:val="18"/>
              </w:rPr>
            </w:pPr>
            <w:r>
              <w:rPr>
                <w:color w:val="auto"/>
                <w:sz w:val="18"/>
                <w:szCs w:val="18"/>
              </w:rPr>
              <w:t>0.0535</w:t>
            </w:r>
          </w:p>
          <w:p w14:paraId="33A64638">
            <w:pPr>
              <w:adjustRightInd w:val="0"/>
              <w:snapToGrid w:val="0"/>
              <w:ind w:left="22" w:leftChars="-24" w:right="-36" w:rightChars="-17" w:hanging="72" w:hangingChars="40"/>
              <w:jc w:val="center"/>
              <w:rPr>
                <w:color w:val="auto"/>
                <w:sz w:val="18"/>
                <w:szCs w:val="18"/>
              </w:rPr>
            </w:pPr>
            <w:r>
              <w:rPr>
                <w:color w:val="auto"/>
                <w:sz w:val="18"/>
                <w:szCs w:val="18"/>
              </w:rPr>
              <w:t>0.0518</w:t>
            </w:r>
          </w:p>
          <w:p w14:paraId="686A0E88">
            <w:pPr>
              <w:adjustRightInd w:val="0"/>
              <w:snapToGrid w:val="0"/>
              <w:ind w:left="22" w:leftChars="-24" w:right="-36" w:rightChars="-17" w:hanging="72" w:hangingChars="40"/>
              <w:jc w:val="center"/>
              <w:rPr>
                <w:color w:val="auto"/>
                <w:sz w:val="18"/>
                <w:szCs w:val="18"/>
              </w:rPr>
            </w:pPr>
            <w:r>
              <w:rPr>
                <w:color w:val="auto"/>
                <w:sz w:val="18"/>
                <w:szCs w:val="18"/>
              </w:rPr>
              <w:t>0.0502</w:t>
            </w:r>
          </w:p>
          <w:p w14:paraId="5E5A8702">
            <w:pPr>
              <w:adjustRightInd w:val="0"/>
              <w:snapToGrid w:val="0"/>
              <w:ind w:left="22" w:leftChars="-24" w:right="-36" w:rightChars="-17" w:hanging="72" w:hangingChars="40"/>
              <w:jc w:val="center"/>
              <w:rPr>
                <w:color w:val="auto"/>
                <w:sz w:val="18"/>
                <w:szCs w:val="18"/>
              </w:rPr>
            </w:pPr>
            <w:r>
              <w:rPr>
                <w:color w:val="auto"/>
                <w:sz w:val="18"/>
                <w:szCs w:val="18"/>
              </w:rPr>
              <w:t>0.0474</w:t>
            </w:r>
          </w:p>
          <w:p w14:paraId="4CB749DC">
            <w:pPr>
              <w:adjustRightInd w:val="0"/>
              <w:snapToGrid w:val="0"/>
              <w:ind w:left="22" w:leftChars="-24" w:right="-36" w:rightChars="-17" w:hanging="72" w:hangingChars="40"/>
              <w:jc w:val="center"/>
              <w:rPr>
                <w:color w:val="auto"/>
                <w:sz w:val="18"/>
                <w:szCs w:val="18"/>
              </w:rPr>
            </w:pPr>
            <w:r>
              <w:rPr>
                <w:color w:val="auto"/>
                <w:sz w:val="18"/>
                <w:szCs w:val="18"/>
              </w:rPr>
              <w:t>0.0448</w:t>
            </w:r>
          </w:p>
          <w:p w14:paraId="0E8C7873">
            <w:pPr>
              <w:adjustRightInd w:val="0"/>
              <w:snapToGrid w:val="0"/>
              <w:ind w:left="22" w:leftChars="-24" w:right="-36" w:rightChars="-17" w:hanging="72" w:hangingChars="40"/>
              <w:jc w:val="center"/>
              <w:rPr>
                <w:color w:val="auto"/>
                <w:sz w:val="18"/>
                <w:szCs w:val="18"/>
              </w:rPr>
            </w:pPr>
          </w:p>
          <w:p w14:paraId="69484634">
            <w:pPr>
              <w:adjustRightInd w:val="0"/>
              <w:snapToGrid w:val="0"/>
              <w:ind w:left="22" w:leftChars="-24" w:right="-36" w:rightChars="-17" w:hanging="72" w:hangingChars="40"/>
              <w:jc w:val="center"/>
              <w:rPr>
                <w:color w:val="auto"/>
                <w:sz w:val="18"/>
                <w:szCs w:val="18"/>
              </w:rPr>
            </w:pPr>
            <w:r>
              <w:rPr>
                <w:color w:val="auto"/>
                <w:sz w:val="18"/>
                <w:szCs w:val="18"/>
              </w:rPr>
              <w:t>0.0425</w:t>
            </w:r>
          </w:p>
          <w:p w14:paraId="78617ABF">
            <w:pPr>
              <w:adjustRightInd w:val="0"/>
              <w:snapToGrid w:val="0"/>
              <w:ind w:left="22" w:leftChars="-24" w:right="-36" w:rightChars="-17" w:hanging="72" w:hangingChars="40"/>
              <w:jc w:val="center"/>
              <w:rPr>
                <w:color w:val="auto"/>
                <w:sz w:val="18"/>
                <w:szCs w:val="18"/>
              </w:rPr>
            </w:pPr>
            <w:r>
              <w:rPr>
                <w:color w:val="auto"/>
                <w:sz w:val="18"/>
                <w:szCs w:val="18"/>
              </w:rPr>
              <w:t>0.0404</w:t>
            </w:r>
          </w:p>
          <w:p w14:paraId="0F2A3E14">
            <w:pPr>
              <w:adjustRightInd w:val="0"/>
              <w:snapToGrid w:val="0"/>
              <w:ind w:left="22" w:leftChars="-24" w:right="-36" w:rightChars="-17" w:hanging="72" w:hangingChars="40"/>
              <w:jc w:val="center"/>
              <w:rPr>
                <w:color w:val="auto"/>
                <w:sz w:val="18"/>
                <w:szCs w:val="18"/>
              </w:rPr>
            </w:pPr>
            <w:r>
              <w:rPr>
                <w:color w:val="auto"/>
                <w:sz w:val="18"/>
                <w:szCs w:val="18"/>
              </w:rPr>
              <w:t>0.0385</w:t>
            </w:r>
          </w:p>
          <w:p w14:paraId="6E641399">
            <w:pPr>
              <w:adjustRightInd w:val="0"/>
              <w:snapToGrid w:val="0"/>
              <w:ind w:left="22" w:leftChars="-24" w:right="-36" w:rightChars="-17" w:hanging="72" w:hangingChars="40"/>
              <w:jc w:val="center"/>
              <w:rPr>
                <w:color w:val="auto"/>
                <w:sz w:val="18"/>
                <w:szCs w:val="18"/>
              </w:rPr>
            </w:pPr>
            <w:r>
              <w:rPr>
                <w:color w:val="auto"/>
                <w:sz w:val="18"/>
                <w:szCs w:val="18"/>
              </w:rPr>
              <w:t>0.0345</w:t>
            </w:r>
          </w:p>
          <w:p w14:paraId="0265E0BF">
            <w:pPr>
              <w:adjustRightInd w:val="0"/>
              <w:snapToGrid w:val="0"/>
              <w:ind w:left="22" w:leftChars="-24" w:right="-36" w:rightChars="-17" w:hanging="72" w:hangingChars="40"/>
              <w:jc w:val="center"/>
              <w:rPr>
                <w:color w:val="auto"/>
                <w:sz w:val="18"/>
                <w:szCs w:val="18"/>
              </w:rPr>
            </w:pPr>
            <w:r>
              <w:rPr>
                <w:color w:val="auto"/>
                <w:sz w:val="18"/>
                <w:szCs w:val="18"/>
              </w:rPr>
              <w:t>0.0312</w:t>
            </w:r>
          </w:p>
          <w:p w14:paraId="5DBE31EE">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2ED2FF33">
            <w:pPr>
              <w:adjustRightInd w:val="0"/>
              <w:snapToGrid w:val="0"/>
              <w:ind w:left="22" w:leftChars="-24" w:right="-36" w:rightChars="-17" w:hanging="72" w:hangingChars="40"/>
              <w:jc w:val="center"/>
              <w:rPr>
                <w:color w:val="auto"/>
                <w:sz w:val="18"/>
                <w:szCs w:val="18"/>
              </w:rPr>
            </w:pPr>
            <w:r>
              <w:rPr>
                <w:color w:val="auto"/>
                <w:sz w:val="18"/>
                <w:szCs w:val="18"/>
              </w:rPr>
              <w:t>0.0563</w:t>
            </w:r>
          </w:p>
          <w:p w14:paraId="6B4E8543">
            <w:pPr>
              <w:adjustRightInd w:val="0"/>
              <w:snapToGrid w:val="0"/>
              <w:ind w:left="22" w:leftChars="-24" w:right="-36" w:rightChars="-17" w:hanging="72" w:hangingChars="40"/>
              <w:jc w:val="center"/>
              <w:rPr>
                <w:color w:val="auto"/>
                <w:sz w:val="18"/>
                <w:szCs w:val="18"/>
              </w:rPr>
            </w:pPr>
            <w:r>
              <w:rPr>
                <w:color w:val="auto"/>
                <w:sz w:val="18"/>
                <w:szCs w:val="18"/>
              </w:rPr>
              <w:t>0.0545</w:t>
            </w:r>
          </w:p>
          <w:p w14:paraId="5398BB29">
            <w:pPr>
              <w:adjustRightInd w:val="0"/>
              <w:snapToGrid w:val="0"/>
              <w:ind w:left="22" w:leftChars="-24" w:right="-36" w:rightChars="-17" w:hanging="72" w:hangingChars="40"/>
              <w:jc w:val="center"/>
              <w:rPr>
                <w:color w:val="auto"/>
                <w:sz w:val="18"/>
                <w:szCs w:val="18"/>
              </w:rPr>
            </w:pPr>
            <w:r>
              <w:rPr>
                <w:color w:val="auto"/>
                <w:sz w:val="18"/>
                <w:szCs w:val="18"/>
              </w:rPr>
              <w:t>0.0529</w:t>
            </w:r>
          </w:p>
          <w:p w14:paraId="48034461">
            <w:pPr>
              <w:adjustRightInd w:val="0"/>
              <w:snapToGrid w:val="0"/>
              <w:ind w:left="22" w:leftChars="-24" w:right="-36" w:rightChars="-17" w:hanging="72" w:hangingChars="40"/>
              <w:jc w:val="center"/>
              <w:rPr>
                <w:color w:val="auto"/>
                <w:sz w:val="18"/>
                <w:szCs w:val="18"/>
              </w:rPr>
            </w:pPr>
            <w:r>
              <w:rPr>
                <w:color w:val="auto"/>
                <w:sz w:val="18"/>
                <w:szCs w:val="18"/>
              </w:rPr>
              <w:t>0.0499</w:t>
            </w:r>
          </w:p>
          <w:p w14:paraId="38FAE8D7">
            <w:pPr>
              <w:adjustRightInd w:val="0"/>
              <w:snapToGrid w:val="0"/>
              <w:ind w:left="22" w:leftChars="-24" w:right="-36" w:rightChars="-17" w:hanging="72" w:hangingChars="40"/>
              <w:jc w:val="center"/>
              <w:rPr>
                <w:color w:val="auto"/>
                <w:sz w:val="18"/>
                <w:szCs w:val="18"/>
              </w:rPr>
            </w:pPr>
            <w:r>
              <w:rPr>
                <w:color w:val="auto"/>
                <w:sz w:val="18"/>
                <w:szCs w:val="18"/>
              </w:rPr>
              <w:t>0.0472</w:t>
            </w:r>
          </w:p>
          <w:p w14:paraId="7A47E935">
            <w:pPr>
              <w:adjustRightInd w:val="0"/>
              <w:snapToGrid w:val="0"/>
              <w:ind w:left="22" w:leftChars="-24" w:right="-36" w:rightChars="-17" w:hanging="72" w:hangingChars="40"/>
              <w:jc w:val="center"/>
              <w:rPr>
                <w:color w:val="auto"/>
                <w:sz w:val="18"/>
                <w:szCs w:val="18"/>
              </w:rPr>
            </w:pPr>
          </w:p>
          <w:p w14:paraId="4B284BFA">
            <w:pPr>
              <w:adjustRightInd w:val="0"/>
              <w:snapToGrid w:val="0"/>
              <w:ind w:left="22" w:leftChars="-24" w:right="-36" w:rightChars="-17" w:hanging="72" w:hangingChars="40"/>
              <w:jc w:val="center"/>
              <w:rPr>
                <w:color w:val="auto"/>
                <w:sz w:val="18"/>
                <w:szCs w:val="18"/>
              </w:rPr>
            </w:pPr>
            <w:r>
              <w:rPr>
                <w:color w:val="auto"/>
                <w:sz w:val="18"/>
                <w:szCs w:val="18"/>
              </w:rPr>
              <w:t>0.0448</w:t>
            </w:r>
          </w:p>
          <w:p w14:paraId="6D940FB9">
            <w:pPr>
              <w:adjustRightInd w:val="0"/>
              <w:snapToGrid w:val="0"/>
              <w:ind w:left="22" w:leftChars="-24" w:right="-36" w:rightChars="-17" w:hanging="72" w:hangingChars="40"/>
              <w:jc w:val="center"/>
              <w:rPr>
                <w:color w:val="auto"/>
                <w:sz w:val="18"/>
                <w:szCs w:val="18"/>
              </w:rPr>
            </w:pPr>
            <w:r>
              <w:rPr>
                <w:color w:val="auto"/>
                <w:sz w:val="18"/>
                <w:szCs w:val="18"/>
              </w:rPr>
              <w:t>0.0426</w:t>
            </w:r>
          </w:p>
          <w:p w14:paraId="1C08965E">
            <w:pPr>
              <w:adjustRightInd w:val="0"/>
              <w:snapToGrid w:val="0"/>
              <w:ind w:left="22" w:leftChars="-24" w:right="-36" w:rightChars="-17" w:hanging="72" w:hangingChars="40"/>
              <w:jc w:val="center"/>
              <w:rPr>
                <w:color w:val="auto"/>
                <w:sz w:val="18"/>
                <w:szCs w:val="18"/>
              </w:rPr>
            </w:pPr>
            <w:r>
              <w:rPr>
                <w:color w:val="auto"/>
                <w:sz w:val="18"/>
                <w:szCs w:val="18"/>
              </w:rPr>
              <w:t>0.0407</w:t>
            </w:r>
          </w:p>
          <w:p w14:paraId="2B0E7D04">
            <w:pPr>
              <w:adjustRightInd w:val="0"/>
              <w:snapToGrid w:val="0"/>
              <w:ind w:left="22" w:leftChars="-24" w:right="-36" w:rightChars="-17" w:hanging="72" w:hangingChars="40"/>
              <w:jc w:val="center"/>
              <w:rPr>
                <w:color w:val="auto"/>
                <w:sz w:val="18"/>
                <w:szCs w:val="18"/>
              </w:rPr>
            </w:pPr>
            <w:r>
              <w:rPr>
                <w:color w:val="auto"/>
                <w:sz w:val="18"/>
                <w:szCs w:val="18"/>
              </w:rPr>
              <w:t>0.0364</w:t>
            </w:r>
          </w:p>
          <w:p w14:paraId="1724415A">
            <w:pPr>
              <w:adjustRightInd w:val="0"/>
              <w:snapToGrid w:val="0"/>
              <w:ind w:left="22" w:leftChars="-24" w:right="-36" w:rightChars="-17" w:hanging="72" w:hangingChars="40"/>
              <w:jc w:val="center"/>
              <w:rPr>
                <w:color w:val="auto"/>
                <w:sz w:val="18"/>
                <w:szCs w:val="18"/>
              </w:rPr>
            </w:pPr>
            <w:r>
              <w:rPr>
                <w:color w:val="auto"/>
                <w:sz w:val="18"/>
                <w:szCs w:val="18"/>
              </w:rPr>
              <w:t>0.0330</w:t>
            </w:r>
          </w:p>
          <w:p w14:paraId="72592065">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4AFC38A1">
            <w:pPr>
              <w:adjustRightInd w:val="0"/>
              <w:snapToGrid w:val="0"/>
              <w:ind w:left="22" w:leftChars="-24" w:right="-36" w:rightChars="-17" w:hanging="72" w:hangingChars="40"/>
              <w:jc w:val="center"/>
              <w:rPr>
                <w:color w:val="auto"/>
                <w:sz w:val="18"/>
                <w:szCs w:val="18"/>
              </w:rPr>
            </w:pPr>
            <w:r>
              <w:rPr>
                <w:color w:val="auto"/>
                <w:sz w:val="18"/>
                <w:szCs w:val="18"/>
              </w:rPr>
              <w:t>0.0587</w:t>
            </w:r>
          </w:p>
          <w:p w14:paraId="2CC8ADC6">
            <w:pPr>
              <w:adjustRightInd w:val="0"/>
              <w:snapToGrid w:val="0"/>
              <w:ind w:left="22" w:leftChars="-24" w:right="-36" w:rightChars="-17" w:hanging="72" w:hangingChars="40"/>
              <w:jc w:val="center"/>
              <w:rPr>
                <w:color w:val="auto"/>
                <w:sz w:val="18"/>
                <w:szCs w:val="18"/>
              </w:rPr>
            </w:pPr>
            <w:r>
              <w:rPr>
                <w:color w:val="auto"/>
                <w:sz w:val="18"/>
                <w:szCs w:val="18"/>
              </w:rPr>
              <w:t>0.0569</w:t>
            </w:r>
          </w:p>
          <w:p w14:paraId="3BE4E860">
            <w:pPr>
              <w:adjustRightInd w:val="0"/>
              <w:snapToGrid w:val="0"/>
              <w:ind w:left="22" w:leftChars="-24" w:right="-36" w:rightChars="-17" w:hanging="72" w:hangingChars="40"/>
              <w:jc w:val="center"/>
              <w:rPr>
                <w:color w:val="auto"/>
                <w:sz w:val="18"/>
                <w:szCs w:val="18"/>
              </w:rPr>
            </w:pPr>
            <w:r>
              <w:rPr>
                <w:color w:val="auto"/>
                <w:sz w:val="18"/>
                <w:szCs w:val="18"/>
              </w:rPr>
              <w:t>0.0552</w:t>
            </w:r>
          </w:p>
          <w:p w14:paraId="2ADB5A08">
            <w:pPr>
              <w:adjustRightInd w:val="0"/>
              <w:snapToGrid w:val="0"/>
              <w:ind w:left="22" w:leftChars="-24" w:right="-36" w:rightChars="-17" w:hanging="72" w:hangingChars="40"/>
              <w:jc w:val="center"/>
              <w:rPr>
                <w:color w:val="auto"/>
                <w:sz w:val="18"/>
                <w:szCs w:val="18"/>
              </w:rPr>
            </w:pPr>
            <w:r>
              <w:rPr>
                <w:color w:val="auto"/>
                <w:sz w:val="18"/>
                <w:szCs w:val="18"/>
              </w:rPr>
              <w:t>0.0521</w:t>
            </w:r>
          </w:p>
          <w:p w14:paraId="14369BC3">
            <w:pPr>
              <w:adjustRightInd w:val="0"/>
              <w:snapToGrid w:val="0"/>
              <w:ind w:left="22" w:leftChars="-24" w:right="-36" w:rightChars="-17" w:hanging="72" w:hangingChars="40"/>
              <w:jc w:val="center"/>
              <w:rPr>
                <w:color w:val="auto"/>
                <w:sz w:val="18"/>
                <w:szCs w:val="18"/>
              </w:rPr>
            </w:pPr>
            <w:r>
              <w:rPr>
                <w:color w:val="auto"/>
                <w:sz w:val="18"/>
                <w:szCs w:val="18"/>
              </w:rPr>
              <w:t>0.0493</w:t>
            </w:r>
          </w:p>
          <w:p w14:paraId="0D5441BF">
            <w:pPr>
              <w:adjustRightInd w:val="0"/>
              <w:snapToGrid w:val="0"/>
              <w:ind w:left="22" w:leftChars="-24" w:right="-36" w:rightChars="-17" w:hanging="72" w:hangingChars="40"/>
              <w:jc w:val="center"/>
              <w:rPr>
                <w:color w:val="auto"/>
                <w:sz w:val="18"/>
                <w:szCs w:val="18"/>
              </w:rPr>
            </w:pPr>
          </w:p>
          <w:p w14:paraId="25775E30">
            <w:pPr>
              <w:adjustRightInd w:val="0"/>
              <w:snapToGrid w:val="0"/>
              <w:ind w:left="22" w:leftChars="-24" w:right="-36" w:rightChars="-17" w:hanging="72" w:hangingChars="40"/>
              <w:jc w:val="center"/>
              <w:rPr>
                <w:color w:val="auto"/>
                <w:sz w:val="18"/>
                <w:szCs w:val="18"/>
              </w:rPr>
            </w:pPr>
            <w:r>
              <w:rPr>
                <w:color w:val="auto"/>
                <w:sz w:val="18"/>
                <w:szCs w:val="18"/>
              </w:rPr>
              <w:t>0.0468</w:t>
            </w:r>
          </w:p>
          <w:p w14:paraId="6E744575">
            <w:pPr>
              <w:adjustRightInd w:val="0"/>
              <w:snapToGrid w:val="0"/>
              <w:ind w:left="22" w:leftChars="-24" w:right="-36" w:rightChars="-17" w:hanging="72" w:hangingChars="40"/>
              <w:jc w:val="center"/>
              <w:rPr>
                <w:color w:val="auto"/>
                <w:sz w:val="18"/>
                <w:szCs w:val="18"/>
              </w:rPr>
            </w:pPr>
            <w:r>
              <w:rPr>
                <w:color w:val="auto"/>
                <w:sz w:val="18"/>
                <w:szCs w:val="18"/>
              </w:rPr>
              <w:t>0.0446</w:t>
            </w:r>
          </w:p>
          <w:p w14:paraId="68286D0E">
            <w:pPr>
              <w:adjustRightInd w:val="0"/>
              <w:snapToGrid w:val="0"/>
              <w:ind w:left="22" w:leftChars="-24" w:right="-36" w:rightChars="-17" w:hanging="72" w:hangingChars="40"/>
              <w:jc w:val="center"/>
              <w:rPr>
                <w:color w:val="auto"/>
                <w:sz w:val="18"/>
                <w:szCs w:val="18"/>
              </w:rPr>
            </w:pPr>
            <w:r>
              <w:rPr>
                <w:color w:val="auto"/>
                <w:sz w:val="18"/>
                <w:szCs w:val="18"/>
              </w:rPr>
              <w:t>0.0425</w:t>
            </w:r>
          </w:p>
          <w:p w14:paraId="4E3E8E62">
            <w:pPr>
              <w:adjustRightInd w:val="0"/>
              <w:snapToGrid w:val="0"/>
              <w:ind w:left="22" w:leftChars="-24" w:right="-36" w:rightChars="-17" w:hanging="72" w:hangingChars="40"/>
              <w:jc w:val="center"/>
              <w:rPr>
                <w:color w:val="auto"/>
                <w:sz w:val="18"/>
                <w:szCs w:val="18"/>
              </w:rPr>
            </w:pPr>
            <w:r>
              <w:rPr>
                <w:color w:val="auto"/>
                <w:sz w:val="18"/>
                <w:szCs w:val="18"/>
              </w:rPr>
              <w:t>0.0381</w:t>
            </w:r>
          </w:p>
          <w:p w14:paraId="505D2EC0">
            <w:pPr>
              <w:adjustRightInd w:val="0"/>
              <w:snapToGrid w:val="0"/>
              <w:ind w:left="22" w:leftChars="-24" w:right="-36" w:rightChars="-17" w:hanging="72" w:hangingChars="40"/>
              <w:jc w:val="center"/>
              <w:rPr>
                <w:color w:val="auto"/>
                <w:sz w:val="18"/>
                <w:szCs w:val="18"/>
              </w:rPr>
            </w:pPr>
            <w:r>
              <w:rPr>
                <w:color w:val="auto"/>
                <w:sz w:val="18"/>
                <w:szCs w:val="18"/>
              </w:rPr>
              <w:t>0.0345</w:t>
            </w:r>
          </w:p>
          <w:p w14:paraId="501118A5">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56385DE8">
            <w:pPr>
              <w:adjustRightInd w:val="0"/>
              <w:snapToGrid w:val="0"/>
              <w:ind w:left="22" w:leftChars="-24" w:right="-36" w:rightChars="-17" w:hanging="72" w:hangingChars="40"/>
              <w:jc w:val="center"/>
              <w:rPr>
                <w:color w:val="auto"/>
                <w:sz w:val="18"/>
                <w:szCs w:val="18"/>
              </w:rPr>
            </w:pPr>
            <w:r>
              <w:rPr>
                <w:color w:val="auto"/>
                <w:sz w:val="18"/>
                <w:szCs w:val="18"/>
              </w:rPr>
              <w:t>0.0609</w:t>
            </w:r>
          </w:p>
          <w:p w14:paraId="03A6EB2B">
            <w:pPr>
              <w:adjustRightInd w:val="0"/>
              <w:snapToGrid w:val="0"/>
              <w:ind w:left="22" w:leftChars="-24" w:right="-36" w:rightChars="-17" w:hanging="72" w:hangingChars="40"/>
              <w:jc w:val="center"/>
              <w:rPr>
                <w:color w:val="auto"/>
                <w:sz w:val="18"/>
                <w:szCs w:val="18"/>
              </w:rPr>
            </w:pPr>
            <w:r>
              <w:rPr>
                <w:color w:val="auto"/>
                <w:sz w:val="18"/>
                <w:szCs w:val="18"/>
              </w:rPr>
              <w:t>0.0590</w:t>
            </w:r>
          </w:p>
          <w:p w14:paraId="320F083F">
            <w:pPr>
              <w:adjustRightInd w:val="0"/>
              <w:snapToGrid w:val="0"/>
              <w:ind w:left="22" w:leftChars="-24" w:right="-36" w:rightChars="-17" w:hanging="72" w:hangingChars="40"/>
              <w:jc w:val="center"/>
              <w:rPr>
                <w:color w:val="auto"/>
                <w:sz w:val="18"/>
                <w:szCs w:val="18"/>
              </w:rPr>
            </w:pPr>
            <w:r>
              <w:rPr>
                <w:color w:val="auto"/>
                <w:sz w:val="18"/>
                <w:szCs w:val="18"/>
              </w:rPr>
              <w:t>0.0573</w:t>
            </w:r>
          </w:p>
          <w:p w14:paraId="64306B6D">
            <w:pPr>
              <w:adjustRightInd w:val="0"/>
              <w:snapToGrid w:val="0"/>
              <w:ind w:left="22" w:leftChars="-24" w:right="-36" w:rightChars="-17" w:hanging="72" w:hangingChars="40"/>
              <w:jc w:val="center"/>
              <w:rPr>
                <w:color w:val="auto"/>
                <w:sz w:val="18"/>
                <w:szCs w:val="18"/>
              </w:rPr>
            </w:pPr>
            <w:r>
              <w:rPr>
                <w:color w:val="auto"/>
                <w:sz w:val="18"/>
                <w:szCs w:val="18"/>
              </w:rPr>
              <w:t>0.0541</w:t>
            </w:r>
          </w:p>
          <w:p w14:paraId="7A8C38AF">
            <w:pPr>
              <w:adjustRightInd w:val="0"/>
              <w:snapToGrid w:val="0"/>
              <w:ind w:left="22" w:leftChars="-24" w:right="-36" w:rightChars="-17" w:hanging="72" w:hangingChars="40"/>
              <w:jc w:val="center"/>
              <w:rPr>
                <w:color w:val="auto"/>
                <w:sz w:val="18"/>
                <w:szCs w:val="18"/>
              </w:rPr>
            </w:pPr>
            <w:r>
              <w:rPr>
                <w:color w:val="auto"/>
                <w:sz w:val="18"/>
                <w:szCs w:val="18"/>
              </w:rPr>
              <w:t>0.0512</w:t>
            </w:r>
          </w:p>
          <w:p w14:paraId="02BEED67">
            <w:pPr>
              <w:adjustRightInd w:val="0"/>
              <w:snapToGrid w:val="0"/>
              <w:ind w:left="22" w:leftChars="-24" w:right="-36" w:rightChars="-17" w:hanging="72" w:hangingChars="40"/>
              <w:jc w:val="center"/>
              <w:rPr>
                <w:color w:val="auto"/>
                <w:sz w:val="18"/>
                <w:szCs w:val="18"/>
              </w:rPr>
            </w:pPr>
          </w:p>
          <w:p w14:paraId="465C0EB8">
            <w:pPr>
              <w:adjustRightInd w:val="0"/>
              <w:snapToGrid w:val="0"/>
              <w:ind w:left="22" w:leftChars="-24" w:right="-36" w:rightChars="-17" w:hanging="72" w:hangingChars="40"/>
              <w:jc w:val="center"/>
              <w:rPr>
                <w:color w:val="auto"/>
                <w:sz w:val="18"/>
                <w:szCs w:val="18"/>
              </w:rPr>
            </w:pPr>
            <w:r>
              <w:rPr>
                <w:color w:val="auto"/>
                <w:sz w:val="18"/>
                <w:szCs w:val="18"/>
              </w:rPr>
              <w:t>0.0486</w:t>
            </w:r>
          </w:p>
          <w:p w14:paraId="5BEB8E94">
            <w:pPr>
              <w:adjustRightInd w:val="0"/>
              <w:snapToGrid w:val="0"/>
              <w:ind w:left="22" w:leftChars="-24" w:right="-36" w:rightChars="-17" w:hanging="72" w:hangingChars="40"/>
              <w:jc w:val="center"/>
              <w:rPr>
                <w:color w:val="auto"/>
                <w:sz w:val="18"/>
                <w:szCs w:val="18"/>
              </w:rPr>
            </w:pPr>
            <w:r>
              <w:rPr>
                <w:color w:val="auto"/>
                <w:sz w:val="18"/>
                <w:szCs w:val="18"/>
              </w:rPr>
              <w:t>0.0463</w:t>
            </w:r>
          </w:p>
          <w:p w14:paraId="7FC2229F">
            <w:pPr>
              <w:adjustRightInd w:val="0"/>
              <w:snapToGrid w:val="0"/>
              <w:ind w:left="22" w:leftChars="-24" w:right="-36" w:rightChars="-17" w:hanging="72" w:hangingChars="40"/>
              <w:jc w:val="center"/>
              <w:rPr>
                <w:color w:val="auto"/>
                <w:sz w:val="18"/>
                <w:szCs w:val="18"/>
              </w:rPr>
            </w:pPr>
            <w:r>
              <w:rPr>
                <w:color w:val="auto"/>
                <w:sz w:val="18"/>
                <w:szCs w:val="18"/>
              </w:rPr>
              <w:t>0.0442</w:t>
            </w:r>
          </w:p>
          <w:p w14:paraId="3658C154">
            <w:pPr>
              <w:adjustRightInd w:val="0"/>
              <w:snapToGrid w:val="0"/>
              <w:ind w:left="22" w:leftChars="-24" w:right="-36" w:rightChars="-17" w:hanging="72" w:hangingChars="40"/>
              <w:jc w:val="center"/>
              <w:rPr>
                <w:color w:val="auto"/>
                <w:sz w:val="18"/>
                <w:szCs w:val="18"/>
              </w:rPr>
            </w:pPr>
            <w:r>
              <w:rPr>
                <w:color w:val="auto"/>
                <w:sz w:val="18"/>
                <w:szCs w:val="18"/>
              </w:rPr>
              <w:t>0.0396</w:t>
            </w:r>
          </w:p>
          <w:p w14:paraId="25964E57">
            <w:pPr>
              <w:adjustRightInd w:val="0"/>
              <w:snapToGrid w:val="0"/>
              <w:ind w:left="22" w:leftChars="-24" w:right="-36" w:rightChars="-17" w:hanging="72" w:hangingChars="40"/>
              <w:jc w:val="center"/>
              <w:rPr>
                <w:color w:val="auto"/>
                <w:sz w:val="18"/>
                <w:szCs w:val="18"/>
              </w:rPr>
            </w:pPr>
            <w:r>
              <w:rPr>
                <w:color w:val="auto"/>
                <w:sz w:val="18"/>
                <w:szCs w:val="18"/>
              </w:rPr>
              <w:t>0.0359</w:t>
            </w:r>
          </w:p>
          <w:p w14:paraId="359488D7">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3E9519D7">
            <w:pPr>
              <w:adjustRightInd w:val="0"/>
              <w:snapToGrid w:val="0"/>
              <w:ind w:left="22" w:leftChars="-24" w:right="-36" w:rightChars="-17" w:hanging="72" w:hangingChars="40"/>
              <w:jc w:val="center"/>
              <w:rPr>
                <w:color w:val="auto"/>
                <w:sz w:val="18"/>
                <w:szCs w:val="18"/>
              </w:rPr>
            </w:pPr>
            <w:r>
              <w:rPr>
                <w:color w:val="auto"/>
                <w:sz w:val="18"/>
                <w:szCs w:val="18"/>
              </w:rPr>
              <w:t>0.0644</w:t>
            </w:r>
          </w:p>
          <w:p w14:paraId="12DCDAC9">
            <w:pPr>
              <w:adjustRightInd w:val="0"/>
              <w:snapToGrid w:val="0"/>
              <w:ind w:left="22" w:leftChars="-24" w:right="-36" w:rightChars="-17" w:hanging="72" w:hangingChars="40"/>
              <w:jc w:val="center"/>
              <w:rPr>
                <w:color w:val="auto"/>
                <w:sz w:val="18"/>
                <w:szCs w:val="18"/>
              </w:rPr>
            </w:pPr>
            <w:r>
              <w:rPr>
                <w:color w:val="auto"/>
                <w:sz w:val="18"/>
                <w:szCs w:val="18"/>
              </w:rPr>
              <w:t>0.0625</w:t>
            </w:r>
          </w:p>
          <w:p w14:paraId="50E191BC">
            <w:pPr>
              <w:adjustRightInd w:val="0"/>
              <w:snapToGrid w:val="0"/>
              <w:ind w:left="22" w:leftChars="-24" w:right="-36" w:rightChars="-17" w:hanging="72" w:hangingChars="40"/>
              <w:jc w:val="center"/>
              <w:rPr>
                <w:color w:val="auto"/>
                <w:sz w:val="18"/>
                <w:szCs w:val="18"/>
              </w:rPr>
            </w:pPr>
            <w:r>
              <w:rPr>
                <w:color w:val="auto"/>
                <w:sz w:val="18"/>
                <w:szCs w:val="18"/>
              </w:rPr>
              <w:t>0.0606</w:t>
            </w:r>
          </w:p>
          <w:p w14:paraId="69AD7C3D">
            <w:pPr>
              <w:adjustRightInd w:val="0"/>
              <w:snapToGrid w:val="0"/>
              <w:ind w:left="22" w:leftChars="-24" w:right="-36" w:rightChars="-17" w:hanging="72" w:hangingChars="40"/>
              <w:jc w:val="center"/>
              <w:rPr>
                <w:color w:val="auto"/>
                <w:sz w:val="18"/>
                <w:szCs w:val="18"/>
              </w:rPr>
            </w:pPr>
            <w:r>
              <w:rPr>
                <w:color w:val="auto"/>
                <w:sz w:val="18"/>
                <w:szCs w:val="18"/>
              </w:rPr>
              <w:t>0.0573</w:t>
            </w:r>
          </w:p>
          <w:p w14:paraId="51CCECA4">
            <w:pPr>
              <w:adjustRightInd w:val="0"/>
              <w:snapToGrid w:val="0"/>
              <w:ind w:left="22" w:leftChars="-24" w:right="-36" w:rightChars="-17" w:hanging="72" w:hangingChars="40"/>
              <w:jc w:val="center"/>
              <w:rPr>
                <w:color w:val="auto"/>
                <w:sz w:val="18"/>
                <w:szCs w:val="18"/>
              </w:rPr>
            </w:pPr>
            <w:r>
              <w:rPr>
                <w:color w:val="auto"/>
                <w:sz w:val="18"/>
                <w:szCs w:val="18"/>
              </w:rPr>
              <w:t>0.0543</w:t>
            </w:r>
          </w:p>
          <w:p w14:paraId="67EB7144">
            <w:pPr>
              <w:adjustRightInd w:val="0"/>
              <w:snapToGrid w:val="0"/>
              <w:ind w:left="22" w:leftChars="-24" w:right="-36" w:rightChars="-17" w:hanging="72" w:hangingChars="40"/>
              <w:jc w:val="center"/>
              <w:rPr>
                <w:color w:val="auto"/>
                <w:sz w:val="18"/>
                <w:szCs w:val="18"/>
              </w:rPr>
            </w:pPr>
          </w:p>
          <w:p w14:paraId="2EBB853A">
            <w:pPr>
              <w:adjustRightInd w:val="0"/>
              <w:snapToGrid w:val="0"/>
              <w:ind w:left="22" w:leftChars="-24" w:right="-36" w:rightChars="-17" w:hanging="72" w:hangingChars="40"/>
              <w:jc w:val="center"/>
              <w:rPr>
                <w:color w:val="auto"/>
                <w:sz w:val="18"/>
                <w:szCs w:val="18"/>
              </w:rPr>
            </w:pPr>
            <w:r>
              <w:rPr>
                <w:color w:val="auto"/>
                <w:sz w:val="18"/>
                <w:szCs w:val="18"/>
              </w:rPr>
              <w:t>0.0516</w:t>
            </w:r>
          </w:p>
          <w:p w14:paraId="2A9B9EA7">
            <w:pPr>
              <w:adjustRightInd w:val="0"/>
              <w:snapToGrid w:val="0"/>
              <w:ind w:left="22" w:leftChars="-24" w:right="-36" w:rightChars="-17" w:hanging="72" w:hangingChars="40"/>
              <w:jc w:val="center"/>
              <w:rPr>
                <w:color w:val="auto"/>
                <w:sz w:val="18"/>
                <w:szCs w:val="18"/>
              </w:rPr>
            </w:pPr>
            <w:r>
              <w:rPr>
                <w:color w:val="auto"/>
                <w:sz w:val="18"/>
                <w:szCs w:val="18"/>
              </w:rPr>
              <w:t>0.0492</w:t>
            </w:r>
          </w:p>
          <w:p w14:paraId="0E19B1EC">
            <w:pPr>
              <w:adjustRightInd w:val="0"/>
              <w:snapToGrid w:val="0"/>
              <w:ind w:left="22" w:leftChars="-24" w:right="-36" w:rightChars="-17" w:hanging="72" w:hangingChars="40"/>
              <w:jc w:val="center"/>
              <w:rPr>
                <w:color w:val="auto"/>
                <w:sz w:val="18"/>
                <w:szCs w:val="18"/>
              </w:rPr>
            </w:pPr>
            <w:r>
              <w:rPr>
                <w:color w:val="auto"/>
                <w:sz w:val="18"/>
                <w:szCs w:val="18"/>
              </w:rPr>
              <w:t>0.0469</w:t>
            </w:r>
          </w:p>
          <w:p w14:paraId="51FD0418">
            <w:pPr>
              <w:adjustRightInd w:val="0"/>
              <w:snapToGrid w:val="0"/>
              <w:ind w:left="22" w:leftChars="-24" w:right="-36" w:rightChars="-17" w:hanging="72" w:hangingChars="40"/>
              <w:jc w:val="center"/>
              <w:rPr>
                <w:color w:val="auto"/>
                <w:sz w:val="18"/>
                <w:szCs w:val="18"/>
              </w:rPr>
            </w:pPr>
            <w:r>
              <w:rPr>
                <w:color w:val="auto"/>
                <w:sz w:val="18"/>
                <w:szCs w:val="18"/>
              </w:rPr>
              <w:t>0.0422</w:t>
            </w:r>
          </w:p>
          <w:p w14:paraId="068DC21A">
            <w:pPr>
              <w:adjustRightInd w:val="0"/>
              <w:snapToGrid w:val="0"/>
              <w:ind w:left="22" w:leftChars="-24" w:right="-36" w:rightChars="-17" w:hanging="72" w:hangingChars="40"/>
              <w:jc w:val="center"/>
              <w:rPr>
                <w:color w:val="auto"/>
                <w:sz w:val="18"/>
                <w:szCs w:val="18"/>
              </w:rPr>
            </w:pPr>
            <w:r>
              <w:rPr>
                <w:color w:val="auto"/>
                <w:sz w:val="18"/>
                <w:szCs w:val="18"/>
              </w:rPr>
              <w:t>0.0383</w:t>
            </w:r>
          </w:p>
          <w:p w14:paraId="6E77819C">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0C76E1C7">
            <w:pPr>
              <w:adjustRightInd w:val="0"/>
              <w:snapToGrid w:val="0"/>
              <w:ind w:left="22" w:leftChars="-24" w:right="-36" w:rightChars="-17" w:hanging="72" w:hangingChars="40"/>
              <w:jc w:val="center"/>
              <w:rPr>
                <w:color w:val="auto"/>
                <w:sz w:val="18"/>
                <w:szCs w:val="18"/>
              </w:rPr>
            </w:pPr>
            <w:r>
              <w:rPr>
                <w:color w:val="auto"/>
                <w:sz w:val="18"/>
                <w:szCs w:val="18"/>
              </w:rPr>
              <w:t>0.0672</w:t>
            </w:r>
          </w:p>
          <w:p w14:paraId="44BE6B28">
            <w:pPr>
              <w:adjustRightInd w:val="0"/>
              <w:snapToGrid w:val="0"/>
              <w:ind w:left="22" w:leftChars="-24" w:right="-36" w:rightChars="-17" w:hanging="72" w:hangingChars="40"/>
              <w:jc w:val="center"/>
              <w:rPr>
                <w:color w:val="auto"/>
                <w:sz w:val="18"/>
                <w:szCs w:val="18"/>
              </w:rPr>
            </w:pPr>
            <w:r>
              <w:rPr>
                <w:color w:val="auto"/>
                <w:sz w:val="18"/>
                <w:szCs w:val="18"/>
              </w:rPr>
              <w:t>0.0652</w:t>
            </w:r>
          </w:p>
          <w:p w14:paraId="55886A35">
            <w:pPr>
              <w:adjustRightInd w:val="0"/>
              <w:snapToGrid w:val="0"/>
              <w:ind w:left="22" w:leftChars="-24" w:right="-36" w:rightChars="-17" w:hanging="72" w:hangingChars="40"/>
              <w:jc w:val="center"/>
              <w:rPr>
                <w:color w:val="auto"/>
                <w:sz w:val="18"/>
                <w:szCs w:val="18"/>
              </w:rPr>
            </w:pPr>
            <w:r>
              <w:rPr>
                <w:color w:val="auto"/>
                <w:sz w:val="18"/>
                <w:szCs w:val="18"/>
              </w:rPr>
              <w:t>0.0634</w:t>
            </w:r>
          </w:p>
          <w:p w14:paraId="6EE93DCB">
            <w:pPr>
              <w:adjustRightInd w:val="0"/>
              <w:snapToGrid w:val="0"/>
              <w:ind w:left="22" w:leftChars="-24" w:right="-36" w:rightChars="-17" w:hanging="72" w:hangingChars="40"/>
              <w:jc w:val="center"/>
              <w:rPr>
                <w:color w:val="auto"/>
                <w:sz w:val="18"/>
                <w:szCs w:val="18"/>
              </w:rPr>
            </w:pPr>
            <w:r>
              <w:rPr>
                <w:color w:val="auto"/>
                <w:sz w:val="18"/>
                <w:szCs w:val="18"/>
              </w:rPr>
              <w:t>0.0599</w:t>
            </w:r>
          </w:p>
          <w:p w14:paraId="1E894510">
            <w:pPr>
              <w:adjustRightInd w:val="0"/>
              <w:snapToGrid w:val="0"/>
              <w:ind w:left="22" w:leftChars="-24" w:right="-36" w:rightChars="-17" w:hanging="72" w:hangingChars="40"/>
              <w:jc w:val="center"/>
              <w:rPr>
                <w:color w:val="auto"/>
                <w:sz w:val="18"/>
                <w:szCs w:val="18"/>
              </w:rPr>
            </w:pPr>
            <w:r>
              <w:rPr>
                <w:color w:val="auto"/>
                <w:sz w:val="18"/>
                <w:szCs w:val="18"/>
              </w:rPr>
              <w:t>0.0568</w:t>
            </w:r>
          </w:p>
          <w:p w14:paraId="3DEAB538">
            <w:pPr>
              <w:adjustRightInd w:val="0"/>
              <w:snapToGrid w:val="0"/>
              <w:ind w:left="22" w:leftChars="-24" w:right="-36" w:rightChars="-17" w:hanging="72" w:hangingChars="40"/>
              <w:jc w:val="center"/>
              <w:rPr>
                <w:color w:val="auto"/>
                <w:sz w:val="18"/>
                <w:szCs w:val="18"/>
              </w:rPr>
            </w:pPr>
          </w:p>
          <w:p w14:paraId="6F733393">
            <w:pPr>
              <w:adjustRightInd w:val="0"/>
              <w:snapToGrid w:val="0"/>
              <w:ind w:left="22" w:leftChars="-24" w:right="-36" w:rightChars="-17" w:hanging="72" w:hangingChars="40"/>
              <w:jc w:val="center"/>
              <w:rPr>
                <w:color w:val="auto"/>
                <w:sz w:val="18"/>
                <w:szCs w:val="18"/>
              </w:rPr>
            </w:pPr>
            <w:r>
              <w:rPr>
                <w:color w:val="auto"/>
                <w:sz w:val="18"/>
                <w:szCs w:val="18"/>
              </w:rPr>
              <w:t>0.0540</w:t>
            </w:r>
          </w:p>
          <w:p w14:paraId="7AF0F063">
            <w:pPr>
              <w:adjustRightInd w:val="0"/>
              <w:snapToGrid w:val="0"/>
              <w:ind w:left="22" w:leftChars="-24" w:right="-36" w:rightChars="-17" w:hanging="72" w:hangingChars="40"/>
              <w:jc w:val="center"/>
              <w:rPr>
                <w:color w:val="auto"/>
                <w:sz w:val="18"/>
                <w:szCs w:val="18"/>
              </w:rPr>
            </w:pPr>
            <w:r>
              <w:rPr>
                <w:color w:val="auto"/>
                <w:sz w:val="18"/>
                <w:szCs w:val="18"/>
              </w:rPr>
              <w:t>0.0515</w:t>
            </w:r>
          </w:p>
          <w:p w14:paraId="72CEB830">
            <w:pPr>
              <w:adjustRightInd w:val="0"/>
              <w:snapToGrid w:val="0"/>
              <w:ind w:left="22" w:leftChars="-24" w:right="-36" w:rightChars="-17" w:hanging="72" w:hangingChars="40"/>
              <w:jc w:val="center"/>
              <w:rPr>
                <w:color w:val="auto"/>
                <w:sz w:val="18"/>
                <w:szCs w:val="18"/>
              </w:rPr>
            </w:pPr>
            <w:r>
              <w:rPr>
                <w:color w:val="auto"/>
                <w:sz w:val="18"/>
                <w:szCs w:val="18"/>
              </w:rPr>
              <w:t>0.0492</w:t>
            </w:r>
          </w:p>
          <w:p w14:paraId="76DD5888">
            <w:pPr>
              <w:adjustRightInd w:val="0"/>
              <w:snapToGrid w:val="0"/>
              <w:ind w:left="22" w:leftChars="-24" w:right="-36" w:rightChars="-17" w:hanging="72" w:hangingChars="40"/>
              <w:jc w:val="center"/>
              <w:rPr>
                <w:color w:val="auto"/>
                <w:sz w:val="18"/>
                <w:szCs w:val="18"/>
              </w:rPr>
            </w:pPr>
            <w:r>
              <w:rPr>
                <w:color w:val="auto"/>
                <w:sz w:val="18"/>
                <w:szCs w:val="18"/>
              </w:rPr>
              <w:t>0.0442</w:t>
            </w:r>
          </w:p>
          <w:p w14:paraId="72E1EE08">
            <w:pPr>
              <w:adjustRightInd w:val="0"/>
              <w:snapToGrid w:val="0"/>
              <w:ind w:left="22" w:leftChars="-24" w:right="-36" w:rightChars="-17" w:hanging="72" w:hangingChars="40"/>
              <w:jc w:val="center"/>
              <w:rPr>
                <w:color w:val="auto"/>
                <w:sz w:val="18"/>
                <w:szCs w:val="18"/>
              </w:rPr>
            </w:pPr>
            <w:r>
              <w:rPr>
                <w:color w:val="auto"/>
                <w:sz w:val="18"/>
                <w:szCs w:val="18"/>
              </w:rPr>
              <w:t>0.0402</w:t>
            </w:r>
          </w:p>
          <w:p w14:paraId="4689BE57">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7BC45F83">
            <w:pPr>
              <w:adjustRightInd w:val="0"/>
              <w:snapToGrid w:val="0"/>
              <w:ind w:left="22" w:leftChars="-24" w:right="-36" w:rightChars="-17" w:hanging="72" w:hangingChars="40"/>
              <w:jc w:val="center"/>
              <w:rPr>
                <w:color w:val="auto"/>
                <w:sz w:val="18"/>
                <w:szCs w:val="18"/>
              </w:rPr>
            </w:pPr>
            <w:r>
              <w:rPr>
                <w:color w:val="auto"/>
                <w:sz w:val="18"/>
                <w:szCs w:val="18"/>
              </w:rPr>
              <w:t>0.0695</w:t>
            </w:r>
          </w:p>
          <w:p w14:paraId="088624EE">
            <w:pPr>
              <w:adjustRightInd w:val="0"/>
              <w:snapToGrid w:val="0"/>
              <w:ind w:left="22" w:leftChars="-24" w:right="-36" w:rightChars="-17" w:hanging="72" w:hangingChars="40"/>
              <w:jc w:val="center"/>
              <w:rPr>
                <w:color w:val="auto"/>
                <w:sz w:val="18"/>
                <w:szCs w:val="18"/>
              </w:rPr>
            </w:pPr>
            <w:r>
              <w:rPr>
                <w:color w:val="auto"/>
                <w:sz w:val="18"/>
                <w:szCs w:val="18"/>
              </w:rPr>
              <w:t>0.0675</w:t>
            </w:r>
          </w:p>
          <w:p w14:paraId="47B99BCA">
            <w:pPr>
              <w:adjustRightInd w:val="0"/>
              <w:snapToGrid w:val="0"/>
              <w:ind w:left="22" w:leftChars="-24" w:right="-36" w:rightChars="-17" w:hanging="72" w:hangingChars="40"/>
              <w:jc w:val="center"/>
              <w:rPr>
                <w:color w:val="auto"/>
                <w:sz w:val="18"/>
                <w:szCs w:val="18"/>
              </w:rPr>
            </w:pPr>
            <w:r>
              <w:rPr>
                <w:color w:val="auto"/>
                <w:sz w:val="18"/>
                <w:szCs w:val="18"/>
              </w:rPr>
              <w:t>0.0656</w:t>
            </w:r>
          </w:p>
          <w:p w14:paraId="0B08F74E">
            <w:pPr>
              <w:adjustRightInd w:val="0"/>
              <w:snapToGrid w:val="0"/>
              <w:ind w:left="22" w:leftChars="-24" w:right="-36" w:rightChars="-17" w:hanging="72" w:hangingChars="40"/>
              <w:jc w:val="center"/>
              <w:rPr>
                <w:color w:val="auto"/>
                <w:sz w:val="18"/>
                <w:szCs w:val="18"/>
              </w:rPr>
            </w:pPr>
            <w:r>
              <w:rPr>
                <w:color w:val="auto"/>
                <w:sz w:val="18"/>
                <w:szCs w:val="18"/>
              </w:rPr>
              <w:t>0.0621</w:t>
            </w:r>
          </w:p>
          <w:p w14:paraId="151DBA86">
            <w:pPr>
              <w:adjustRightInd w:val="0"/>
              <w:snapToGrid w:val="0"/>
              <w:ind w:left="22" w:leftChars="-24" w:right="-36" w:rightChars="-17" w:hanging="72" w:hangingChars="40"/>
              <w:jc w:val="center"/>
              <w:rPr>
                <w:color w:val="auto"/>
                <w:sz w:val="18"/>
                <w:szCs w:val="18"/>
              </w:rPr>
            </w:pPr>
            <w:r>
              <w:rPr>
                <w:color w:val="auto"/>
                <w:sz w:val="18"/>
                <w:szCs w:val="18"/>
              </w:rPr>
              <w:t>0.0589</w:t>
            </w:r>
          </w:p>
          <w:p w14:paraId="43932E82">
            <w:pPr>
              <w:adjustRightInd w:val="0"/>
              <w:snapToGrid w:val="0"/>
              <w:ind w:left="22" w:leftChars="-24" w:right="-36" w:rightChars="-17" w:hanging="72" w:hangingChars="40"/>
              <w:jc w:val="center"/>
              <w:rPr>
                <w:color w:val="auto"/>
                <w:sz w:val="18"/>
                <w:szCs w:val="18"/>
              </w:rPr>
            </w:pPr>
          </w:p>
          <w:p w14:paraId="465C9359">
            <w:pPr>
              <w:adjustRightInd w:val="0"/>
              <w:snapToGrid w:val="0"/>
              <w:ind w:left="22" w:leftChars="-24" w:right="-36" w:rightChars="-17" w:hanging="72" w:hangingChars="40"/>
              <w:jc w:val="center"/>
              <w:rPr>
                <w:color w:val="auto"/>
                <w:sz w:val="18"/>
                <w:szCs w:val="18"/>
              </w:rPr>
            </w:pPr>
            <w:r>
              <w:rPr>
                <w:color w:val="auto"/>
                <w:sz w:val="18"/>
                <w:szCs w:val="18"/>
              </w:rPr>
              <w:t>0.0561</w:t>
            </w:r>
          </w:p>
          <w:p w14:paraId="62C825A6">
            <w:pPr>
              <w:adjustRightInd w:val="0"/>
              <w:snapToGrid w:val="0"/>
              <w:ind w:left="22" w:leftChars="-24" w:right="-36" w:rightChars="-17" w:hanging="72" w:hangingChars="40"/>
              <w:jc w:val="center"/>
              <w:rPr>
                <w:color w:val="auto"/>
                <w:sz w:val="18"/>
                <w:szCs w:val="18"/>
              </w:rPr>
            </w:pPr>
            <w:r>
              <w:rPr>
                <w:color w:val="auto"/>
                <w:sz w:val="18"/>
                <w:szCs w:val="18"/>
              </w:rPr>
              <w:t>0.0535</w:t>
            </w:r>
          </w:p>
          <w:p w14:paraId="57B52934">
            <w:pPr>
              <w:adjustRightInd w:val="0"/>
              <w:snapToGrid w:val="0"/>
              <w:ind w:left="22" w:leftChars="-24" w:right="-36" w:rightChars="-17" w:hanging="72" w:hangingChars="40"/>
              <w:jc w:val="center"/>
              <w:rPr>
                <w:color w:val="auto"/>
                <w:sz w:val="18"/>
                <w:szCs w:val="18"/>
              </w:rPr>
            </w:pPr>
            <w:r>
              <w:rPr>
                <w:color w:val="auto"/>
                <w:sz w:val="18"/>
                <w:szCs w:val="18"/>
              </w:rPr>
              <w:t>0.0511</w:t>
            </w:r>
          </w:p>
          <w:p w14:paraId="4FFFA6C8">
            <w:pPr>
              <w:adjustRightInd w:val="0"/>
              <w:snapToGrid w:val="0"/>
              <w:ind w:left="22" w:leftChars="-24" w:right="-36" w:rightChars="-17" w:hanging="72" w:hangingChars="40"/>
              <w:jc w:val="center"/>
              <w:rPr>
                <w:color w:val="auto"/>
                <w:sz w:val="18"/>
                <w:szCs w:val="18"/>
              </w:rPr>
            </w:pPr>
            <w:r>
              <w:rPr>
                <w:color w:val="auto"/>
                <w:sz w:val="18"/>
                <w:szCs w:val="18"/>
              </w:rPr>
              <w:t>0.0460</w:t>
            </w:r>
          </w:p>
          <w:p w14:paraId="11A22B0B">
            <w:pPr>
              <w:adjustRightInd w:val="0"/>
              <w:snapToGrid w:val="0"/>
              <w:ind w:left="22" w:leftChars="-24" w:right="-36" w:rightChars="-17" w:hanging="72" w:hangingChars="40"/>
              <w:jc w:val="center"/>
              <w:rPr>
                <w:color w:val="auto"/>
                <w:sz w:val="18"/>
                <w:szCs w:val="18"/>
              </w:rPr>
            </w:pPr>
            <w:r>
              <w:rPr>
                <w:color w:val="auto"/>
                <w:sz w:val="18"/>
                <w:szCs w:val="18"/>
              </w:rPr>
              <w:t>0.0418</w:t>
            </w:r>
          </w:p>
          <w:p w14:paraId="292903BC">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0AE7AE90">
            <w:pPr>
              <w:adjustRightInd w:val="0"/>
              <w:snapToGrid w:val="0"/>
              <w:ind w:left="22" w:leftChars="-24" w:right="-36" w:rightChars="-17" w:hanging="72" w:hangingChars="40"/>
              <w:jc w:val="center"/>
              <w:rPr>
                <w:color w:val="auto"/>
                <w:sz w:val="18"/>
                <w:szCs w:val="18"/>
              </w:rPr>
            </w:pPr>
            <w:r>
              <w:rPr>
                <w:color w:val="auto"/>
                <w:sz w:val="18"/>
                <w:szCs w:val="18"/>
              </w:rPr>
              <w:t>0.0714</w:t>
            </w:r>
          </w:p>
          <w:p w14:paraId="1D14E4A5">
            <w:pPr>
              <w:adjustRightInd w:val="0"/>
              <w:snapToGrid w:val="0"/>
              <w:ind w:left="22" w:leftChars="-24" w:right="-36" w:rightChars="-17" w:hanging="72" w:hangingChars="40"/>
              <w:jc w:val="center"/>
              <w:rPr>
                <w:color w:val="auto"/>
                <w:sz w:val="18"/>
                <w:szCs w:val="18"/>
              </w:rPr>
            </w:pPr>
            <w:r>
              <w:rPr>
                <w:color w:val="auto"/>
                <w:sz w:val="18"/>
                <w:szCs w:val="18"/>
              </w:rPr>
              <w:t>0.0694</w:t>
            </w:r>
          </w:p>
          <w:p w14:paraId="6182DFE7">
            <w:pPr>
              <w:adjustRightInd w:val="0"/>
              <w:snapToGrid w:val="0"/>
              <w:ind w:left="22" w:leftChars="-24" w:right="-36" w:rightChars="-17" w:hanging="72" w:hangingChars="40"/>
              <w:jc w:val="center"/>
              <w:rPr>
                <w:color w:val="auto"/>
                <w:sz w:val="18"/>
                <w:szCs w:val="18"/>
              </w:rPr>
            </w:pPr>
            <w:r>
              <w:rPr>
                <w:color w:val="auto"/>
                <w:sz w:val="18"/>
                <w:szCs w:val="18"/>
              </w:rPr>
              <w:t>0.0674</w:t>
            </w:r>
          </w:p>
          <w:p w14:paraId="4B410288">
            <w:pPr>
              <w:adjustRightInd w:val="0"/>
              <w:snapToGrid w:val="0"/>
              <w:ind w:left="22" w:leftChars="-24" w:right="-36" w:rightChars="-17" w:hanging="72" w:hangingChars="40"/>
              <w:jc w:val="center"/>
              <w:rPr>
                <w:color w:val="auto"/>
                <w:sz w:val="18"/>
                <w:szCs w:val="18"/>
              </w:rPr>
            </w:pPr>
            <w:r>
              <w:rPr>
                <w:color w:val="auto"/>
                <w:sz w:val="18"/>
                <w:szCs w:val="18"/>
              </w:rPr>
              <w:t>0.0639</w:t>
            </w:r>
          </w:p>
          <w:p w14:paraId="42A6601D">
            <w:pPr>
              <w:adjustRightInd w:val="0"/>
              <w:snapToGrid w:val="0"/>
              <w:ind w:left="22" w:leftChars="-24" w:right="-36" w:rightChars="-17" w:hanging="72" w:hangingChars="40"/>
              <w:jc w:val="center"/>
              <w:rPr>
                <w:color w:val="auto"/>
                <w:sz w:val="18"/>
                <w:szCs w:val="18"/>
              </w:rPr>
            </w:pPr>
            <w:r>
              <w:rPr>
                <w:color w:val="auto"/>
                <w:sz w:val="18"/>
                <w:szCs w:val="18"/>
              </w:rPr>
              <w:t>0.0607</w:t>
            </w:r>
          </w:p>
          <w:p w14:paraId="5378EE22">
            <w:pPr>
              <w:adjustRightInd w:val="0"/>
              <w:snapToGrid w:val="0"/>
              <w:ind w:left="22" w:leftChars="-24" w:right="-36" w:rightChars="-17" w:hanging="72" w:hangingChars="40"/>
              <w:jc w:val="center"/>
              <w:rPr>
                <w:color w:val="auto"/>
                <w:sz w:val="18"/>
                <w:szCs w:val="18"/>
              </w:rPr>
            </w:pPr>
          </w:p>
          <w:p w14:paraId="142FC7C2">
            <w:pPr>
              <w:adjustRightInd w:val="0"/>
              <w:snapToGrid w:val="0"/>
              <w:ind w:left="22" w:leftChars="-24" w:right="-36" w:rightChars="-17" w:hanging="72" w:hangingChars="40"/>
              <w:jc w:val="center"/>
              <w:rPr>
                <w:color w:val="auto"/>
                <w:sz w:val="18"/>
                <w:szCs w:val="18"/>
              </w:rPr>
            </w:pPr>
            <w:r>
              <w:rPr>
                <w:color w:val="auto"/>
                <w:sz w:val="18"/>
                <w:szCs w:val="18"/>
              </w:rPr>
              <w:t>0.0577</w:t>
            </w:r>
          </w:p>
          <w:p w14:paraId="1CDE8BF6">
            <w:pPr>
              <w:adjustRightInd w:val="0"/>
              <w:snapToGrid w:val="0"/>
              <w:ind w:left="22" w:leftChars="-24" w:right="-36" w:rightChars="-17" w:hanging="72" w:hangingChars="40"/>
              <w:jc w:val="center"/>
              <w:rPr>
                <w:color w:val="auto"/>
                <w:sz w:val="18"/>
                <w:szCs w:val="18"/>
              </w:rPr>
            </w:pPr>
            <w:r>
              <w:rPr>
                <w:color w:val="auto"/>
                <w:sz w:val="18"/>
                <w:szCs w:val="18"/>
              </w:rPr>
              <w:t>0.0551</w:t>
            </w:r>
          </w:p>
          <w:p w14:paraId="45EA3E75">
            <w:pPr>
              <w:adjustRightInd w:val="0"/>
              <w:snapToGrid w:val="0"/>
              <w:ind w:left="22" w:leftChars="-24" w:right="-36" w:rightChars="-17" w:hanging="72" w:hangingChars="40"/>
              <w:jc w:val="center"/>
              <w:rPr>
                <w:color w:val="auto"/>
                <w:sz w:val="18"/>
                <w:szCs w:val="18"/>
              </w:rPr>
            </w:pPr>
            <w:r>
              <w:rPr>
                <w:color w:val="auto"/>
                <w:sz w:val="18"/>
                <w:szCs w:val="18"/>
              </w:rPr>
              <w:t>0.0527</w:t>
            </w:r>
          </w:p>
          <w:p w14:paraId="554553E0">
            <w:pPr>
              <w:adjustRightInd w:val="0"/>
              <w:snapToGrid w:val="0"/>
              <w:ind w:left="22" w:leftChars="-24" w:right="-36" w:rightChars="-17" w:hanging="72" w:hangingChars="40"/>
              <w:jc w:val="center"/>
              <w:rPr>
                <w:color w:val="auto"/>
                <w:sz w:val="18"/>
                <w:szCs w:val="18"/>
              </w:rPr>
            </w:pPr>
            <w:r>
              <w:rPr>
                <w:color w:val="auto"/>
                <w:sz w:val="18"/>
                <w:szCs w:val="18"/>
              </w:rPr>
              <w:t>0.0475</w:t>
            </w:r>
          </w:p>
          <w:p w14:paraId="2F029713">
            <w:pPr>
              <w:adjustRightInd w:val="0"/>
              <w:snapToGrid w:val="0"/>
              <w:ind w:left="22" w:leftChars="-24" w:right="-36" w:rightChars="-17" w:hanging="72" w:hangingChars="40"/>
              <w:jc w:val="center"/>
              <w:rPr>
                <w:color w:val="auto"/>
                <w:sz w:val="18"/>
                <w:szCs w:val="18"/>
              </w:rPr>
            </w:pPr>
            <w:r>
              <w:rPr>
                <w:color w:val="auto"/>
                <w:sz w:val="18"/>
                <w:szCs w:val="18"/>
              </w:rPr>
              <w:t>0.0432</w:t>
            </w:r>
          </w:p>
          <w:p w14:paraId="186FD14C">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4A6AF140">
            <w:pPr>
              <w:adjustRightInd w:val="0"/>
              <w:snapToGrid w:val="0"/>
              <w:ind w:left="22" w:leftChars="-24" w:right="-36" w:rightChars="-17" w:hanging="72" w:hangingChars="40"/>
              <w:jc w:val="center"/>
              <w:rPr>
                <w:color w:val="auto"/>
                <w:sz w:val="18"/>
                <w:szCs w:val="18"/>
              </w:rPr>
            </w:pPr>
            <w:r>
              <w:rPr>
                <w:color w:val="auto"/>
                <w:sz w:val="18"/>
                <w:szCs w:val="18"/>
              </w:rPr>
              <w:t>0.0730</w:t>
            </w:r>
          </w:p>
          <w:p w14:paraId="4711841D">
            <w:pPr>
              <w:adjustRightInd w:val="0"/>
              <w:snapToGrid w:val="0"/>
              <w:ind w:left="22" w:leftChars="-24" w:right="-36" w:rightChars="-17" w:hanging="72" w:hangingChars="40"/>
              <w:jc w:val="center"/>
              <w:rPr>
                <w:color w:val="auto"/>
                <w:sz w:val="18"/>
                <w:szCs w:val="18"/>
              </w:rPr>
            </w:pPr>
            <w:r>
              <w:rPr>
                <w:color w:val="auto"/>
                <w:sz w:val="18"/>
                <w:szCs w:val="18"/>
              </w:rPr>
              <w:t>0.0709</w:t>
            </w:r>
          </w:p>
          <w:p w14:paraId="3D86CC85">
            <w:pPr>
              <w:adjustRightInd w:val="0"/>
              <w:snapToGrid w:val="0"/>
              <w:ind w:left="22" w:leftChars="-24" w:right="-36" w:rightChars="-17" w:hanging="72" w:hangingChars="40"/>
              <w:jc w:val="center"/>
              <w:rPr>
                <w:color w:val="auto"/>
                <w:sz w:val="18"/>
                <w:szCs w:val="18"/>
              </w:rPr>
            </w:pPr>
            <w:r>
              <w:rPr>
                <w:color w:val="auto"/>
                <w:sz w:val="18"/>
                <w:szCs w:val="18"/>
              </w:rPr>
              <w:t>0.0690</w:t>
            </w:r>
          </w:p>
          <w:p w14:paraId="7E809FEE">
            <w:pPr>
              <w:adjustRightInd w:val="0"/>
              <w:snapToGrid w:val="0"/>
              <w:ind w:left="22" w:leftChars="-24" w:right="-36" w:rightChars="-17" w:hanging="72" w:hangingChars="40"/>
              <w:jc w:val="center"/>
              <w:rPr>
                <w:color w:val="auto"/>
                <w:sz w:val="18"/>
                <w:szCs w:val="18"/>
              </w:rPr>
            </w:pPr>
            <w:r>
              <w:rPr>
                <w:color w:val="auto"/>
                <w:sz w:val="18"/>
                <w:szCs w:val="18"/>
              </w:rPr>
              <w:t>0.0654</w:t>
            </w:r>
          </w:p>
          <w:p w14:paraId="36B6BB53">
            <w:pPr>
              <w:adjustRightInd w:val="0"/>
              <w:snapToGrid w:val="0"/>
              <w:ind w:left="22" w:leftChars="-24" w:right="-36" w:rightChars="-17" w:hanging="72" w:hangingChars="40"/>
              <w:jc w:val="center"/>
              <w:rPr>
                <w:color w:val="auto"/>
                <w:sz w:val="18"/>
                <w:szCs w:val="18"/>
              </w:rPr>
            </w:pPr>
            <w:r>
              <w:rPr>
                <w:color w:val="auto"/>
                <w:sz w:val="18"/>
                <w:szCs w:val="18"/>
              </w:rPr>
              <w:t>0.0621</w:t>
            </w:r>
          </w:p>
          <w:p w14:paraId="41B799CB">
            <w:pPr>
              <w:adjustRightInd w:val="0"/>
              <w:snapToGrid w:val="0"/>
              <w:ind w:left="22" w:leftChars="-24" w:right="-36" w:rightChars="-17" w:hanging="72" w:hangingChars="40"/>
              <w:jc w:val="center"/>
              <w:rPr>
                <w:color w:val="auto"/>
                <w:sz w:val="18"/>
                <w:szCs w:val="18"/>
              </w:rPr>
            </w:pPr>
          </w:p>
          <w:p w14:paraId="7E64B3E2">
            <w:pPr>
              <w:adjustRightInd w:val="0"/>
              <w:snapToGrid w:val="0"/>
              <w:ind w:left="22" w:leftChars="-24" w:right="-36" w:rightChars="-17" w:hanging="72" w:hangingChars="40"/>
              <w:jc w:val="center"/>
              <w:rPr>
                <w:color w:val="auto"/>
                <w:sz w:val="18"/>
                <w:szCs w:val="18"/>
              </w:rPr>
            </w:pPr>
            <w:r>
              <w:rPr>
                <w:color w:val="auto"/>
                <w:sz w:val="18"/>
                <w:szCs w:val="18"/>
              </w:rPr>
              <w:t>0.0592</w:t>
            </w:r>
          </w:p>
          <w:p w14:paraId="2E3DAE99">
            <w:pPr>
              <w:adjustRightInd w:val="0"/>
              <w:snapToGrid w:val="0"/>
              <w:ind w:left="22" w:leftChars="-24" w:right="-36" w:rightChars="-17" w:hanging="72" w:hangingChars="40"/>
              <w:jc w:val="center"/>
              <w:rPr>
                <w:color w:val="auto"/>
                <w:sz w:val="18"/>
                <w:szCs w:val="18"/>
              </w:rPr>
            </w:pPr>
            <w:r>
              <w:rPr>
                <w:color w:val="auto"/>
                <w:sz w:val="18"/>
                <w:szCs w:val="18"/>
              </w:rPr>
              <w:t>0.0565</w:t>
            </w:r>
          </w:p>
          <w:p w14:paraId="2044B4A4">
            <w:pPr>
              <w:adjustRightInd w:val="0"/>
              <w:snapToGrid w:val="0"/>
              <w:ind w:left="22" w:leftChars="-24" w:right="-36" w:rightChars="-17" w:hanging="72" w:hangingChars="40"/>
              <w:jc w:val="center"/>
              <w:rPr>
                <w:color w:val="auto"/>
                <w:sz w:val="18"/>
                <w:szCs w:val="18"/>
              </w:rPr>
            </w:pPr>
            <w:r>
              <w:rPr>
                <w:color w:val="auto"/>
                <w:sz w:val="18"/>
                <w:szCs w:val="18"/>
              </w:rPr>
              <w:t>0.0540</w:t>
            </w:r>
          </w:p>
          <w:p w14:paraId="752F4F17">
            <w:pPr>
              <w:adjustRightInd w:val="0"/>
              <w:snapToGrid w:val="0"/>
              <w:ind w:left="22" w:leftChars="-24" w:right="-36" w:rightChars="-17" w:hanging="72" w:hangingChars="40"/>
              <w:jc w:val="center"/>
              <w:rPr>
                <w:color w:val="auto"/>
                <w:sz w:val="18"/>
                <w:szCs w:val="18"/>
              </w:rPr>
            </w:pPr>
            <w:r>
              <w:rPr>
                <w:color w:val="auto"/>
                <w:sz w:val="18"/>
                <w:szCs w:val="18"/>
              </w:rPr>
              <w:t>0.0487</w:t>
            </w:r>
          </w:p>
          <w:p w14:paraId="5F1580F1">
            <w:pPr>
              <w:adjustRightInd w:val="0"/>
              <w:snapToGrid w:val="0"/>
              <w:ind w:left="22" w:leftChars="-24" w:right="-36" w:rightChars="-17" w:hanging="72" w:hangingChars="40"/>
              <w:jc w:val="center"/>
              <w:rPr>
                <w:color w:val="auto"/>
                <w:sz w:val="18"/>
                <w:szCs w:val="18"/>
              </w:rPr>
            </w:pPr>
            <w:r>
              <w:rPr>
                <w:color w:val="auto"/>
                <w:sz w:val="18"/>
                <w:szCs w:val="18"/>
              </w:rPr>
              <w:t>0.0444</w:t>
            </w:r>
          </w:p>
          <w:p w14:paraId="472336AE">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7E14B948">
            <w:pPr>
              <w:adjustRightInd w:val="0"/>
              <w:snapToGrid w:val="0"/>
              <w:ind w:left="22" w:leftChars="-24" w:right="-36" w:rightChars="-17" w:hanging="72" w:hangingChars="40"/>
              <w:jc w:val="center"/>
              <w:rPr>
                <w:color w:val="auto"/>
                <w:sz w:val="18"/>
                <w:szCs w:val="18"/>
              </w:rPr>
            </w:pPr>
            <w:r>
              <w:rPr>
                <w:color w:val="auto"/>
                <w:sz w:val="18"/>
                <w:szCs w:val="18"/>
              </w:rPr>
              <w:t>0.0759</w:t>
            </w:r>
          </w:p>
          <w:p w14:paraId="0EB4AD62">
            <w:pPr>
              <w:adjustRightInd w:val="0"/>
              <w:snapToGrid w:val="0"/>
              <w:ind w:left="22" w:leftChars="-24" w:right="-36" w:rightChars="-17" w:hanging="72" w:hangingChars="40"/>
              <w:jc w:val="center"/>
              <w:rPr>
                <w:color w:val="auto"/>
                <w:sz w:val="18"/>
                <w:szCs w:val="18"/>
              </w:rPr>
            </w:pPr>
            <w:r>
              <w:rPr>
                <w:color w:val="auto"/>
                <w:sz w:val="18"/>
                <w:szCs w:val="18"/>
              </w:rPr>
              <w:t>0.0738</w:t>
            </w:r>
          </w:p>
          <w:p w14:paraId="2F86963E">
            <w:pPr>
              <w:adjustRightInd w:val="0"/>
              <w:snapToGrid w:val="0"/>
              <w:ind w:left="22" w:leftChars="-24" w:right="-36" w:rightChars="-17" w:hanging="72" w:hangingChars="40"/>
              <w:jc w:val="center"/>
              <w:rPr>
                <w:color w:val="auto"/>
                <w:sz w:val="18"/>
                <w:szCs w:val="18"/>
              </w:rPr>
            </w:pPr>
            <w:r>
              <w:rPr>
                <w:color w:val="auto"/>
                <w:sz w:val="18"/>
                <w:szCs w:val="18"/>
              </w:rPr>
              <w:t>0.0719</w:t>
            </w:r>
          </w:p>
          <w:p w14:paraId="76251AF2">
            <w:pPr>
              <w:adjustRightInd w:val="0"/>
              <w:snapToGrid w:val="0"/>
              <w:ind w:left="22" w:leftChars="-24" w:right="-36" w:rightChars="-17" w:hanging="72" w:hangingChars="40"/>
              <w:jc w:val="center"/>
              <w:rPr>
                <w:color w:val="auto"/>
                <w:sz w:val="18"/>
                <w:szCs w:val="18"/>
              </w:rPr>
            </w:pPr>
            <w:r>
              <w:rPr>
                <w:color w:val="auto"/>
                <w:sz w:val="18"/>
                <w:szCs w:val="18"/>
              </w:rPr>
              <w:t>0.0682</w:t>
            </w:r>
          </w:p>
          <w:p w14:paraId="0405C476">
            <w:pPr>
              <w:adjustRightInd w:val="0"/>
              <w:snapToGrid w:val="0"/>
              <w:ind w:left="22" w:leftChars="-24" w:right="-36" w:rightChars="-17" w:hanging="72" w:hangingChars="40"/>
              <w:jc w:val="center"/>
              <w:rPr>
                <w:color w:val="auto"/>
                <w:sz w:val="18"/>
                <w:szCs w:val="18"/>
              </w:rPr>
            </w:pPr>
            <w:r>
              <w:rPr>
                <w:color w:val="auto"/>
                <w:sz w:val="18"/>
                <w:szCs w:val="18"/>
              </w:rPr>
              <w:t>0.0649</w:t>
            </w:r>
          </w:p>
          <w:p w14:paraId="7BAA49D0">
            <w:pPr>
              <w:adjustRightInd w:val="0"/>
              <w:snapToGrid w:val="0"/>
              <w:ind w:left="22" w:leftChars="-24" w:right="-36" w:rightChars="-17" w:hanging="72" w:hangingChars="40"/>
              <w:jc w:val="center"/>
              <w:rPr>
                <w:color w:val="auto"/>
                <w:sz w:val="18"/>
                <w:szCs w:val="18"/>
              </w:rPr>
            </w:pPr>
          </w:p>
          <w:p w14:paraId="5ABDF230">
            <w:pPr>
              <w:adjustRightInd w:val="0"/>
              <w:snapToGrid w:val="0"/>
              <w:ind w:left="22" w:leftChars="-24" w:right="-36" w:rightChars="-17" w:hanging="72" w:hangingChars="40"/>
              <w:jc w:val="center"/>
              <w:rPr>
                <w:color w:val="auto"/>
                <w:sz w:val="18"/>
                <w:szCs w:val="18"/>
              </w:rPr>
            </w:pPr>
            <w:r>
              <w:rPr>
                <w:color w:val="auto"/>
                <w:sz w:val="18"/>
                <w:szCs w:val="18"/>
              </w:rPr>
              <w:t>0.0619</w:t>
            </w:r>
          </w:p>
          <w:p w14:paraId="4AAAAFD0">
            <w:pPr>
              <w:adjustRightInd w:val="0"/>
              <w:snapToGrid w:val="0"/>
              <w:ind w:left="22" w:leftChars="-24" w:right="-36" w:rightChars="-17" w:hanging="72" w:hangingChars="40"/>
              <w:jc w:val="center"/>
              <w:rPr>
                <w:color w:val="auto"/>
                <w:sz w:val="18"/>
                <w:szCs w:val="18"/>
              </w:rPr>
            </w:pPr>
            <w:r>
              <w:rPr>
                <w:color w:val="auto"/>
                <w:sz w:val="18"/>
                <w:szCs w:val="18"/>
              </w:rPr>
              <w:t>0.0592</w:t>
            </w:r>
          </w:p>
          <w:p w14:paraId="2B724356">
            <w:pPr>
              <w:adjustRightInd w:val="0"/>
              <w:snapToGrid w:val="0"/>
              <w:ind w:left="22" w:leftChars="-24" w:right="-36" w:rightChars="-17" w:hanging="72" w:hangingChars="40"/>
              <w:jc w:val="center"/>
              <w:rPr>
                <w:color w:val="auto"/>
                <w:sz w:val="18"/>
                <w:szCs w:val="18"/>
              </w:rPr>
            </w:pPr>
            <w:r>
              <w:rPr>
                <w:color w:val="auto"/>
                <w:sz w:val="18"/>
                <w:szCs w:val="18"/>
              </w:rPr>
              <w:t>0.0567</w:t>
            </w:r>
          </w:p>
          <w:p w14:paraId="7D0F7C89">
            <w:pPr>
              <w:adjustRightInd w:val="0"/>
              <w:snapToGrid w:val="0"/>
              <w:ind w:left="22" w:leftChars="-24" w:right="-36" w:rightChars="-17" w:hanging="72" w:hangingChars="40"/>
              <w:jc w:val="center"/>
              <w:rPr>
                <w:color w:val="auto"/>
                <w:sz w:val="18"/>
                <w:szCs w:val="18"/>
              </w:rPr>
            </w:pPr>
            <w:r>
              <w:rPr>
                <w:color w:val="auto"/>
                <w:sz w:val="18"/>
                <w:szCs w:val="18"/>
              </w:rPr>
              <w:t>0.0512</w:t>
            </w:r>
          </w:p>
          <w:p w14:paraId="637741BD">
            <w:pPr>
              <w:adjustRightInd w:val="0"/>
              <w:snapToGrid w:val="0"/>
              <w:ind w:left="22" w:leftChars="-24" w:right="-36" w:rightChars="-17" w:hanging="72" w:hangingChars="40"/>
              <w:jc w:val="center"/>
              <w:rPr>
                <w:color w:val="auto"/>
                <w:sz w:val="18"/>
                <w:szCs w:val="18"/>
              </w:rPr>
            </w:pPr>
            <w:r>
              <w:rPr>
                <w:color w:val="auto"/>
                <w:sz w:val="18"/>
                <w:szCs w:val="18"/>
              </w:rPr>
              <w:t>0.0468</w:t>
            </w:r>
          </w:p>
          <w:p w14:paraId="4484B7D4">
            <w:pPr>
              <w:adjustRightInd w:val="0"/>
              <w:snapToGrid w:val="0"/>
              <w:ind w:left="22" w:leftChars="-24" w:right="-36" w:rightChars="-17" w:hanging="72" w:hangingChars="40"/>
              <w:jc w:val="center"/>
              <w:rPr>
                <w:color w:val="auto"/>
                <w:sz w:val="18"/>
                <w:szCs w:val="18"/>
              </w:rPr>
            </w:pPr>
          </w:p>
        </w:tc>
        <w:tc>
          <w:tcPr>
            <w:tcW w:w="661" w:type="dxa"/>
            <w:tcBorders>
              <w:top w:val="nil"/>
            </w:tcBorders>
          </w:tcPr>
          <w:p w14:paraId="5EB15973">
            <w:pPr>
              <w:adjustRightInd w:val="0"/>
              <w:snapToGrid w:val="0"/>
              <w:ind w:left="22" w:leftChars="-24" w:right="-36" w:rightChars="-17" w:hanging="72" w:hangingChars="40"/>
              <w:jc w:val="center"/>
              <w:rPr>
                <w:color w:val="auto"/>
                <w:sz w:val="18"/>
                <w:szCs w:val="18"/>
              </w:rPr>
            </w:pPr>
            <w:r>
              <w:rPr>
                <w:color w:val="auto"/>
                <w:sz w:val="18"/>
                <w:szCs w:val="18"/>
              </w:rPr>
              <w:t>0.0813</w:t>
            </w:r>
          </w:p>
          <w:p w14:paraId="0366632F">
            <w:pPr>
              <w:adjustRightInd w:val="0"/>
              <w:snapToGrid w:val="0"/>
              <w:ind w:left="22" w:leftChars="-24" w:right="-36" w:rightChars="-17" w:hanging="72" w:hangingChars="40"/>
              <w:jc w:val="center"/>
              <w:rPr>
                <w:color w:val="auto"/>
                <w:sz w:val="18"/>
                <w:szCs w:val="18"/>
              </w:rPr>
            </w:pPr>
            <w:r>
              <w:rPr>
                <w:color w:val="auto"/>
                <w:sz w:val="18"/>
                <w:szCs w:val="18"/>
              </w:rPr>
              <w:t>0.0793</w:t>
            </w:r>
          </w:p>
          <w:p w14:paraId="473C06E5">
            <w:pPr>
              <w:adjustRightInd w:val="0"/>
              <w:snapToGrid w:val="0"/>
              <w:ind w:left="22" w:leftChars="-24" w:right="-36" w:rightChars="-17" w:hanging="72" w:hangingChars="40"/>
              <w:jc w:val="center"/>
              <w:rPr>
                <w:color w:val="auto"/>
                <w:sz w:val="18"/>
                <w:szCs w:val="18"/>
              </w:rPr>
            </w:pPr>
            <w:r>
              <w:rPr>
                <w:color w:val="auto"/>
                <w:sz w:val="18"/>
                <w:szCs w:val="18"/>
              </w:rPr>
              <w:t>0.0774</w:t>
            </w:r>
          </w:p>
          <w:p w14:paraId="44CB34EA">
            <w:pPr>
              <w:adjustRightInd w:val="0"/>
              <w:snapToGrid w:val="0"/>
              <w:ind w:left="22" w:leftChars="-24" w:right="-36" w:rightChars="-17" w:hanging="72" w:hangingChars="40"/>
              <w:jc w:val="center"/>
              <w:rPr>
                <w:color w:val="auto"/>
                <w:sz w:val="18"/>
                <w:szCs w:val="18"/>
              </w:rPr>
            </w:pPr>
            <w:r>
              <w:rPr>
                <w:color w:val="auto"/>
                <w:sz w:val="18"/>
                <w:szCs w:val="18"/>
              </w:rPr>
              <w:t>0.0739</w:t>
            </w:r>
          </w:p>
          <w:p w14:paraId="2A9F6911">
            <w:pPr>
              <w:adjustRightInd w:val="0"/>
              <w:snapToGrid w:val="0"/>
              <w:ind w:left="22" w:leftChars="-24" w:right="-36" w:rightChars="-17" w:hanging="72" w:hangingChars="40"/>
              <w:jc w:val="center"/>
              <w:rPr>
                <w:color w:val="auto"/>
                <w:sz w:val="18"/>
                <w:szCs w:val="18"/>
              </w:rPr>
            </w:pPr>
            <w:r>
              <w:rPr>
                <w:color w:val="auto"/>
                <w:sz w:val="18"/>
                <w:szCs w:val="18"/>
              </w:rPr>
              <w:t>0.0707</w:t>
            </w:r>
          </w:p>
          <w:p w14:paraId="2A383485">
            <w:pPr>
              <w:adjustRightInd w:val="0"/>
              <w:snapToGrid w:val="0"/>
              <w:ind w:left="22" w:leftChars="-24" w:right="-36" w:rightChars="-17" w:hanging="72" w:hangingChars="40"/>
              <w:jc w:val="center"/>
              <w:rPr>
                <w:color w:val="auto"/>
                <w:sz w:val="18"/>
                <w:szCs w:val="18"/>
              </w:rPr>
            </w:pPr>
          </w:p>
          <w:p w14:paraId="35192BC0">
            <w:pPr>
              <w:adjustRightInd w:val="0"/>
              <w:snapToGrid w:val="0"/>
              <w:ind w:left="22" w:leftChars="-24" w:right="-36" w:rightChars="-17" w:hanging="72" w:hangingChars="40"/>
              <w:jc w:val="center"/>
              <w:rPr>
                <w:color w:val="auto"/>
                <w:sz w:val="18"/>
                <w:szCs w:val="18"/>
              </w:rPr>
            </w:pPr>
            <w:r>
              <w:rPr>
                <w:color w:val="auto"/>
                <w:sz w:val="18"/>
                <w:szCs w:val="18"/>
              </w:rPr>
              <w:t>0.0677</w:t>
            </w:r>
          </w:p>
          <w:p w14:paraId="4B79EFD0">
            <w:pPr>
              <w:adjustRightInd w:val="0"/>
              <w:snapToGrid w:val="0"/>
              <w:ind w:left="22" w:leftChars="-24" w:right="-36" w:rightChars="-17" w:hanging="72" w:hangingChars="40"/>
              <w:jc w:val="center"/>
              <w:rPr>
                <w:color w:val="auto"/>
                <w:sz w:val="18"/>
                <w:szCs w:val="18"/>
              </w:rPr>
            </w:pPr>
            <w:r>
              <w:rPr>
                <w:color w:val="auto"/>
                <w:sz w:val="18"/>
                <w:szCs w:val="18"/>
              </w:rPr>
              <w:t>0.0650</w:t>
            </w:r>
          </w:p>
          <w:p w14:paraId="2F427CAF">
            <w:pPr>
              <w:adjustRightInd w:val="0"/>
              <w:snapToGrid w:val="0"/>
              <w:ind w:left="22" w:leftChars="-24" w:right="-36" w:rightChars="-17" w:hanging="72" w:hangingChars="40"/>
              <w:jc w:val="center"/>
              <w:rPr>
                <w:color w:val="auto"/>
                <w:sz w:val="18"/>
                <w:szCs w:val="18"/>
              </w:rPr>
            </w:pPr>
            <w:r>
              <w:rPr>
                <w:color w:val="auto"/>
                <w:sz w:val="18"/>
                <w:szCs w:val="18"/>
              </w:rPr>
              <w:t>0.0625</w:t>
            </w:r>
          </w:p>
          <w:p w14:paraId="5B96F07F">
            <w:pPr>
              <w:adjustRightInd w:val="0"/>
              <w:snapToGrid w:val="0"/>
              <w:ind w:left="22" w:leftChars="-24" w:right="-36" w:rightChars="-17" w:hanging="72" w:hangingChars="40"/>
              <w:jc w:val="center"/>
              <w:rPr>
                <w:color w:val="auto"/>
                <w:sz w:val="18"/>
                <w:szCs w:val="18"/>
              </w:rPr>
            </w:pPr>
            <w:r>
              <w:rPr>
                <w:color w:val="auto"/>
                <w:sz w:val="18"/>
                <w:szCs w:val="18"/>
              </w:rPr>
              <w:t>0.0570</w:t>
            </w:r>
          </w:p>
          <w:p w14:paraId="44E043E6">
            <w:pPr>
              <w:adjustRightInd w:val="0"/>
              <w:snapToGrid w:val="0"/>
              <w:ind w:left="22" w:leftChars="-24" w:right="-36" w:rightChars="-17" w:hanging="72" w:hangingChars="40"/>
              <w:jc w:val="center"/>
              <w:rPr>
                <w:color w:val="auto"/>
                <w:sz w:val="18"/>
                <w:szCs w:val="18"/>
              </w:rPr>
            </w:pPr>
            <w:r>
              <w:rPr>
                <w:color w:val="auto"/>
                <w:sz w:val="18"/>
                <w:szCs w:val="18"/>
              </w:rPr>
              <w:t>0.0524</w:t>
            </w:r>
          </w:p>
          <w:p w14:paraId="0CA104E4">
            <w:pPr>
              <w:adjustRightInd w:val="0"/>
              <w:snapToGrid w:val="0"/>
              <w:ind w:left="22" w:leftChars="-24" w:right="-36" w:rightChars="-17" w:hanging="72" w:hangingChars="40"/>
              <w:jc w:val="center"/>
              <w:rPr>
                <w:color w:val="auto"/>
                <w:sz w:val="18"/>
                <w:szCs w:val="18"/>
              </w:rPr>
            </w:pPr>
          </w:p>
        </w:tc>
      </w:tr>
    </w:tbl>
    <w:p w14:paraId="20B2DD1A">
      <w:pPr>
        <w:rPr>
          <w:color w:val="auto"/>
          <w:sz w:val="15"/>
          <w:szCs w:val="15"/>
        </w:rPr>
      </w:pPr>
    </w:p>
    <w:p w14:paraId="2102FA39">
      <w:pPr>
        <w:adjustRightInd w:val="0"/>
        <w:snapToGrid w:val="0"/>
        <w:jc w:val="center"/>
        <w:rPr>
          <w:color w:val="auto"/>
          <w:sz w:val="15"/>
          <w:szCs w:val="15"/>
        </w:rPr>
      </w:pPr>
    </w:p>
    <w:p w14:paraId="34E61EF0">
      <w:pPr>
        <w:adjustRightInd w:val="0"/>
        <w:snapToGrid w:val="0"/>
        <w:jc w:val="center"/>
        <w:rPr>
          <w:color w:val="auto"/>
          <w:sz w:val="15"/>
          <w:szCs w:val="15"/>
        </w:rPr>
      </w:pPr>
    </w:p>
    <w:p w14:paraId="3F1A36F0">
      <w:pPr>
        <w:adjustRightInd w:val="0"/>
        <w:snapToGrid w:val="0"/>
        <w:jc w:val="center"/>
        <w:rPr>
          <w:rFonts w:eastAsia="黑体"/>
          <w:b/>
          <w:bCs/>
          <w:color w:val="auto"/>
          <w:szCs w:val="21"/>
        </w:rPr>
      </w:pPr>
      <w:r>
        <w:rPr>
          <w:rFonts w:eastAsia="黑体"/>
          <w:b/>
          <w:bCs/>
          <w:color w:val="auto"/>
          <w:szCs w:val="21"/>
        </w:rPr>
        <w:t>表G.5  圆形面积上均布荷载作用下中点的平均附加应力系数</w:t>
      </w:r>
      <w:r>
        <w:rPr>
          <w:rFonts w:eastAsia="黑体"/>
          <w:b/>
          <w:bCs/>
          <w:color w:val="auto"/>
          <w:position w:val="-6"/>
          <w:szCs w:val="21"/>
        </w:rPr>
        <w:object>
          <v:shape id="_x0000_i1698" o:spt="75" type="#_x0000_t75" style="height:12pt;width:11.25pt;" o:ole="t" filled="f" o:preferrelative="t" stroked="f" coordsize="21600,21600">
            <v:path/>
            <v:fill on="f" focussize="0,0"/>
            <v:stroke on="f" joinstyle="miter"/>
            <v:imagedata r:id="rId1314" o:title=""/>
            <o:lock v:ext="edit" aspectratio="t"/>
            <w10:wrap type="none"/>
            <w10:anchorlock/>
          </v:shape>
          <o:OLEObject Type="Embed" ProgID="Equation.DSMT4" ShapeID="_x0000_i1698" DrawAspect="Content" ObjectID="_1468076398" r:id="rId1313">
            <o:LockedField>false</o:LockedField>
          </o:OLEObject>
        </w:object>
      </w:r>
    </w:p>
    <w:tbl>
      <w:tblPr>
        <w:tblStyle w:val="36"/>
        <w:tblW w:w="91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23"/>
        <w:gridCol w:w="1524"/>
        <w:gridCol w:w="1524"/>
        <w:gridCol w:w="1524"/>
        <w:gridCol w:w="1524"/>
        <w:gridCol w:w="1524"/>
      </w:tblGrid>
      <w:tr w14:paraId="12515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1523" w:type="dxa"/>
            <w:vAlign w:val="center"/>
          </w:tcPr>
          <w:p w14:paraId="74AB9CBE">
            <w:pPr>
              <w:adjustRightInd w:val="0"/>
              <w:snapToGrid w:val="0"/>
              <w:jc w:val="center"/>
              <w:rPr>
                <w:color w:val="auto"/>
                <w:position w:val="-6"/>
                <w:sz w:val="18"/>
                <w:szCs w:val="18"/>
              </w:rPr>
            </w:pPr>
            <w:r>
              <w:rPr>
                <w:i/>
                <w:color w:val="auto"/>
                <w:position w:val="-6"/>
                <w:sz w:val="18"/>
                <w:szCs w:val="18"/>
              </w:rPr>
              <w:t>z</w:t>
            </w:r>
            <w:r>
              <w:rPr>
                <w:color w:val="auto"/>
                <w:position w:val="-6"/>
                <w:sz w:val="18"/>
                <w:szCs w:val="18"/>
              </w:rPr>
              <w:t>/</w:t>
            </w:r>
            <w:r>
              <w:rPr>
                <w:i/>
                <w:color w:val="auto"/>
                <w:position w:val="-6"/>
                <w:sz w:val="18"/>
                <w:szCs w:val="18"/>
              </w:rPr>
              <w:t>r</w:t>
            </w:r>
          </w:p>
        </w:tc>
        <w:tc>
          <w:tcPr>
            <w:tcW w:w="1524" w:type="dxa"/>
          </w:tcPr>
          <w:p w14:paraId="2D1CAA11">
            <w:pPr>
              <w:pStyle w:val="24"/>
              <w:pBdr>
                <w:bottom w:val="none" w:color="auto" w:sz="0" w:space="0"/>
              </w:pBdr>
              <w:tabs>
                <w:tab w:val="clear" w:pos="4153"/>
                <w:tab w:val="clear" w:pos="8306"/>
              </w:tabs>
              <w:adjustRightInd w:val="0"/>
              <w:rPr>
                <w:color w:val="auto"/>
              </w:rPr>
            </w:pPr>
            <w:r>
              <w:rPr>
                <w:color w:val="auto"/>
                <w:position w:val="-6"/>
              </w:rPr>
              <w:object>
                <v:shape id="_x0000_i1699" o:spt="75" type="#_x0000_t75" style="height:11.25pt;width:9.75pt;" o:ole="t" filled="f" o:preferrelative="t" stroked="f" coordsize="21600,21600">
                  <v:path/>
                  <v:fill on="f" focussize="0,0"/>
                  <v:stroke on="f" joinstyle="miter"/>
                  <v:imagedata r:id="rId1316" o:title=""/>
                  <o:lock v:ext="edit" aspectratio="t"/>
                  <w10:wrap type="none"/>
                  <w10:anchorlock/>
                </v:shape>
                <o:OLEObject Type="Embed" ProgID="Equation.DSMT4" ShapeID="_x0000_i1699" DrawAspect="Content" ObjectID="_1468076399" r:id="rId1315">
                  <o:LockedField>false</o:LockedField>
                </o:OLEObject>
              </w:object>
            </w:r>
          </w:p>
        </w:tc>
        <w:tc>
          <w:tcPr>
            <w:tcW w:w="1524" w:type="dxa"/>
            <w:vAlign w:val="center"/>
          </w:tcPr>
          <w:p w14:paraId="38B63180">
            <w:pPr>
              <w:pStyle w:val="24"/>
              <w:pBdr>
                <w:bottom w:val="none" w:color="auto" w:sz="0" w:space="0"/>
              </w:pBdr>
              <w:tabs>
                <w:tab w:val="clear" w:pos="4153"/>
                <w:tab w:val="clear" w:pos="8306"/>
              </w:tabs>
              <w:adjustRightInd w:val="0"/>
              <w:rPr>
                <w:color w:val="auto"/>
                <w:position w:val="-6"/>
              </w:rPr>
            </w:pPr>
            <w:r>
              <w:rPr>
                <w:i/>
                <w:color w:val="auto"/>
                <w:position w:val="-6"/>
              </w:rPr>
              <w:t>z</w:t>
            </w:r>
            <w:r>
              <w:rPr>
                <w:color w:val="auto"/>
                <w:position w:val="-6"/>
              </w:rPr>
              <w:t>/</w:t>
            </w:r>
            <w:r>
              <w:rPr>
                <w:i/>
                <w:color w:val="auto"/>
                <w:position w:val="-6"/>
              </w:rPr>
              <w:t>r</w:t>
            </w:r>
          </w:p>
        </w:tc>
        <w:tc>
          <w:tcPr>
            <w:tcW w:w="1524" w:type="dxa"/>
          </w:tcPr>
          <w:p w14:paraId="75D1925C">
            <w:pPr>
              <w:pStyle w:val="24"/>
              <w:pBdr>
                <w:bottom w:val="none" w:color="auto" w:sz="0" w:space="0"/>
              </w:pBdr>
              <w:tabs>
                <w:tab w:val="clear" w:pos="4153"/>
                <w:tab w:val="clear" w:pos="8306"/>
              </w:tabs>
              <w:adjustRightInd w:val="0"/>
              <w:rPr>
                <w:color w:val="auto"/>
              </w:rPr>
            </w:pPr>
            <w:r>
              <w:rPr>
                <w:color w:val="auto"/>
                <w:position w:val="-6"/>
              </w:rPr>
              <w:object>
                <v:shape id="_x0000_i1700" o:spt="75" type="#_x0000_t75" style="height:11.25pt;width:11.25pt;" o:ole="t" filled="f" o:preferrelative="t" stroked="f" coordsize="21600,21600">
                  <v:path/>
                  <v:fill on="f" focussize="0,0"/>
                  <v:stroke on="f" joinstyle="miter"/>
                  <v:imagedata r:id="rId1318" o:title=""/>
                  <o:lock v:ext="edit" aspectratio="t"/>
                  <w10:wrap type="none"/>
                  <w10:anchorlock/>
                </v:shape>
                <o:OLEObject Type="Embed" ProgID="Equation.DSMT4" ShapeID="_x0000_i1700" DrawAspect="Content" ObjectID="_1468076400" r:id="rId1317">
                  <o:LockedField>false</o:LockedField>
                </o:OLEObject>
              </w:object>
            </w:r>
          </w:p>
        </w:tc>
        <w:tc>
          <w:tcPr>
            <w:tcW w:w="1524" w:type="dxa"/>
            <w:vAlign w:val="center"/>
          </w:tcPr>
          <w:p w14:paraId="5CB7D57A">
            <w:pPr>
              <w:adjustRightInd w:val="0"/>
              <w:snapToGrid w:val="0"/>
              <w:jc w:val="center"/>
              <w:rPr>
                <w:color w:val="auto"/>
                <w:position w:val="-6"/>
                <w:sz w:val="18"/>
                <w:szCs w:val="18"/>
              </w:rPr>
            </w:pPr>
            <w:r>
              <w:rPr>
                <w:i/>
                <w:color w:val="auto"/>
                <w:position w:val="-6"/>
                <w:sz w:val="18"/>
                <w:szCs w:val="18"/>
              </w:rPr>
              <w:t>z</w:t>
            </w:r>
            <w:r>
              <w:rPr>
                <w:color w:val="auto"/>
                <w:position w:val="-6"/>
                <w:sz w:val="18"/>
                <w:szCs w:val="18"/>
              </w:rPr>
              <w:t>/</w:t>
            </w:r>
            <w:r>
              <w:rPr>
                <w:i/>
                <w:color w:val="auto"/>
                <w:position w:val="-6"/>
                <w:sz w:val="18"/>
                <w:szCs w:val="18"/>
              </w:rPr>
              <w:t>r</w:t>
            </w:r>
          </w:p>
        </w:tc>
        <w:tc>
          <w:tcPr>
            <w:tcW w:w="1524" w:type="dxa"/>
          </w:tcPr>
          <w:p w14:paraId="1713F9E0">
            <w:pPr>
              <w:pStyle w:val="24"/>
              <w:pBdr>
                <w:bottom w:val="none" w:color="auto" w:sz="0" w:space="0"/>
              </w:pBdr>
              <w:tabs>
                <w:tab w:val="clear" w:pos="4153"/>
                <w:tab w:val="clear" w:pos="8306"/>
              </w:tabs>
              <w:adjustRightInd w:val="0"/>
              <w:rPr>
                <w:color w:val="auto"/>
              </w:rPr>
            </w:pPr>
            <w:r>
              <w:rPr>
                <w:color w:val="auto"/>
                <w:position w:val="-6"/>
              </w:rPr>
              <w:object>
                <v:shape id="_x0000_i1701" o:spt="75" type="#_x0000_t75" style="height:11.25pt;width:9.75pt;" o:ole="t" filled="f" o:preferrelative="t" stroked="f" coordsize="21600,21600">
                  <v:path/>
                  <v:fill on="f" focussize="0,0"/>
                  <v:stroke on="f" joinstyle="miter"/>
                  <v:imagedata r:id="rId1316" o:title=""/>
                  <o:lock v:ext="edit" aspectratio="t"/>
                  <w10:wrap type="none"/>
                  <w10:anchorlock/>
                </v:shape>
                <o:OLEObject Type="Embed" ProgID="Equation.DSMT4" ShapeID="_x0000_i1701" DrawAspect="Content" ObjectID="_1468076401" r:id="rId1319">
                  <o:LockedField>false</o:LockedField>
                </o:OLEObject>
              </w:object>
            </w:r>
          </w:p>
        </w:tc>
      </w:tr>
      <w:tr w14:paraId="2EA35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2" w:hRule="atLeast"/>
          <w:jc w:val="center"/>
        </w:trPr>
        <w:tc>
          <w:tcPr>
            <w:tcW w:w="1523" w:type="dxa"/>
          </w:tcPr>
          <w:p w14:paraId="4C0D0F17">
            <w:pPr>
              <w:adjustRightInd w:val="0"/>
              <w:snapToGrid w:val="0"/>
              <w:spacing w:line="240" w:lineRule="atLeast"/>
              <w:jc w:val="center"/>
              <w:rPr>
                <w:color w:val="auto"/>
                <w:sz w:val="18"/>
                <w:szCs w:val="18"/>
              </w:rPr>
            </w:pPr>
            <w:r>
              <w:rPr>
                <w:color w:val="auto"/>
                <w:sz w:val="18"/>
                <w:szCs w:val="18"/>
              </w:rPr>
              <w:t>0.0</w:t>
            </w:r>
          </w:p>
          <w:p w14:paraId="06013DBF">
            <w:pPr>
              <w:adjustRightInd w:val="0"/>
              <w:snapToGrid w:val="0"/>
              <w:spacing w:line="240" w:lineRule="atLeast"/>
              <w:jc w:val="center"/>
              <w:rPr>
                <w:color w:val="auto"/>
                <w:sz w:val="18"/>
                <w:szCs w:val="18"/>
              </w:rPr>
            </w:pPr>
            <w:r>
              <w:rPr>
                <w:color w:val="auto"/>
                <w:sz w:val="18"/>
                <w:szCs w:val="18"/>
              </w:rPr>
              <w:t>0.1</w:t>
            </w:r>
          </w:p>
          <w:p w14:paraId="3BAE5E2C">
            <w:pPr>
              <w:adjustRightInd w:val="0"/>
              <w:snapToGrid w:val="0"/>
              <w:spacing w:line="240" w:lineRule="atLeast"/>
              <w:jc w:val="center"/>
              <w:rPr>
                <w:color w:val="auto"/>
                <w:sz w:val="18"/>
                <w:szCs w:val="18"/>
              </w:rPr>
            </w:pPr>
            <w:r>
              <w:rPr>
                <w:color w:val="auto"/>
                <w:sz w:val="18"/>
                <w:szCs w:val="18"/>
              </w:rPr>
              <w:t>0.2</w:t>
            </w:r>
          </w:p>
          <w:p w14:paraId="204297F5">
            <w:pPr>
              <w:adjustRightInd w:val="0"/>
              <w:snapToGrid w:val="0"/>
              <w:spacing w:line="240" w:lineRule="atLeast"/>
              <w:jc w:val="center"/>
              <w:rPr>
                <w:color w:val="auto"/>
                <w:sz w:val="18"/>
                <w:szCs w:val="18"/>
              </w:rPr>
            </w:pPr>
            <w:r>
              <w:rPr>
                <w:color w:val="auto"/>
                <w:sz w:val="18"/>
                <w:szCs w:val="18"/>
              </w:rPr>
              <w:t>0.3</w:t>
            </w:r>
          </w:p>
          <w:p w14:paraId="68744C77">
            <w:pPr>
              <w:adjustRightInd w:val="0"/>
              <w:snapToGrid w:val="0"/>
              <w:spacing w:line="240" w:lineRule="atLeast"/>
              <w:jc w:val="center"/>
              <w:rPr>
                <w:color w:val="auto"/>
                <w:sz w:val="18"/>
                <w:szCs w:val="18"/>
              </w:rPr>
            </w:pPr>
            <w:r>
              <w:rPr>
                <w:color w:val="auto"/>
                <w:sz w:val="18"/>
                <w:szCs w:val="18"/>
              </w:rPr>
              <w:t>0.4</w:t>
            </w:r>
          </w:p>
          <w:p w14:paraId="6CAED2C0">
            <w:pPr>
              <w:adjustRightInd w:val="0"/>
              <w:snapToGrid w:val="0"/>
              <w:spacing w:line="240" w:lineRule="atLeast"/>
              <w:jc w:val="center"/>
              <w:rPr>
                <w:color w:val="auto"/>
                <w:sz w:val="18"/>
                <w:szCs w:val="18"/>
              </w:rPr>
            </w:pPr>
            <w:r>
              <w:rPr>
                <w:color w:val="auto"/>
                <w:sz w:val="18"/>
                <w:szCs w:val="18"/>
              </w:rPr>
              <w:t>0.5</w:t>
            </w:r>
          </w:p>
          <w:p w14:paraId="0E549551">
            <w:pPr>
              <w:adjustRightInd w:val="0"/>
              <w:snapToGrid w:val="0"/>
              <w:spacing w:line="240" w:lineRule="atLeast"/>
              <w:jc w:val="center"/>
              <w:rPr>
                <w:color w:val="auto"/>
                <w:sz w:val="18"/>
                <w:szCs w:val="18"/>
              </w:rPr>
            </w:pPr>
            <w:r>
              <w:rPr>
                <w:color w:val="auto"/>
                <w:sz w:val="18"/>
                <w:szCs w:val="18"/>
              </w:rPr>
              <w:t>0.6</w:t>
            </w:r>
          </w:p>
          <w:p w14:paraId="51AB53F2">
            <w:pPr>
              <w:adjustRightInd w:val="0"/>
              <w:snapToGrid w:val="0"/>
              <w:spacing w:line="240" w:lineRule="atLeast"/>
              <w:jc w:val="center"/>
              <w:rPr>
                <w:color w:val="auto"/>
                <w:sz w:val="18"/>
                <w:szCs w:val="18"/>
              </w:rPr>
            </w:pPr>
            <w:r>
              <w:rPr>
                <w:color w:val="auto"/>
                <w:sz w:val="18"/>
                <w:szCs w:val="18"/>
              </w:rPr>
              <w:t>0.7</w:t>
            </w:r>
          </w:p>
          <w:p w14:paraId="469610D0">
            <w:pPr>
              <w:adjustRightInd w:val="0"/>
              <w:snapToGrid w:val="0"/>
              <w:spacing w:line="240" w:lineRule="atLeast"/>
              <w:jc w:val="center"/>
              <w:rPr>
                <w:color w:val="auto"/>
                <w:sz w:val="18"/>
                <w:szCs w:val="18"/>
              </w:rPr>
            </w:pPr>
            <w:r>
              <w:rPr>
                <w:color w:val="auto"/>
                <w:sz w:val="18"/>
                <w:szCs w:val="18"/>
              </w:rPr>
              <w:t>0.8</w:t>
            </w:r>
          </w:p>
          <w:p w14:paraId="1BD92FA2">
            <w:pPr>
              <w:adjustRightInd w:val="0"/>
              <w:snapToGrid w:val="0"/>
              <w:spacing w:line="240" w:lineRule="atLeast"/>
              <w:jc w:val="center"/>
              <w:rPr>
                <w:color w:val="auto"/>
                <w:sz w:val="18"/>
                <w:szCs w:val="18"/>
              </w:rPr>
            </w:pPr>
            <w:r>
              <w:rPr>
                <w:color w:val="auto"/>
                <w:sz w:val="18"/>
                <w:szCs w:val="18"/>
              </w:rPr>
              <w:t>0.9</w:t>
            </w:r>
          </w:p>
          <w:p w14:paraId="5012A90F">
            <w:pPr>
              <w:adjustRightInd w:val="0"/>
              <w:snapToGrid w:val="0"/>
              <w:spacing w:line="240" w:lineRule="atLeast"/>
              <w:jc w:val="center"/>
              <w:rPr>
                <w:color w:val="auto"/>
                <w:sz w:val="18"/>
                <w:szCs w:val="18"/>
              </w:rPr>
            </w:pPr>
            <w:r>
              <w:rPr>
                <w:color w:val="auto"/>
                <w:sz w:val="18"/>
                <w:szCs w:val="18"/>
              </w:rPr>
              <w:t>1.0</w:t>
            </w:r>
          </w:p>
          <w:p w14:paraId="74517E38">
            <w:pPr>
              <w:adjustRightInd w:val="0"/>
              <w:snapToGrid w:val="0"/>
              <w:spacing w:line="240" w:lineRule="atLeast"/>
              <w:jc w:val="center"/>
              <w:rPr>
                <w:color w:val="auto"/>
                <w:sz w:val="18"/>
                <w:szCs w:val="18"/>
              </w:rPr>
            </w:pPr>
            <w:r>
              <w:rPr>
                <w:color w:val="auto"/>
                <w:sz w:val="18"/>
                <w:szCs w:val="18"/>
              </w:rPr>
              <w:t>1.1</w:t>
            </w:r>
          </w:p>
          <w:p w14:paraId="3A602370">
            <w:pPr>
              <w:adjustRightInd w:val="0"/>
              <w:snapToGrid w:val="0"/>
              <w:spacing w:line="240" w:lineRule="atLeast"/>
              <w:jc w:val="center"/>
              <w:rPr>
                <w:color w:val="auto"/>
                <w:sz w:val="18"/>
                <w:szCs w:val="18"/>
              </w:rPr>
            </w:pPr>
            <w:r>
              <w:rPr>
                <w:color w:val="auto"/>
                <w:sz w:val="18"/>
                <w:szCs w:val="18"/>
              </w:rPr>
              <w:t>1.2</w:t>
            </w:r>
          </w:p>
          <w:p w14:paraId="5E8C97A0">
            <w:pPr>
              <w:adjustRightInd w:val="0"/>
              <w:snapToGrid w:val="0"/>
              <w:spacing w:line="240" w:lineRule="atLeast"/>
              <w:jc w:val="center"/>
              <w:rPr>
                <w:color w:val="auto"/>
                <w:sz w:val="18"/>
                <w:szCs w:val="18"/>
              </w:rPr>
            </w:pPr>
            <w:r>
              <w:rPr>
                <w:color w:val="auto"/>
                <w:sz w:val="18"/>
                <w:szCs w:val="18"/>
              </w:rPr>
              <w:t>1.3</w:t>
            </w:r>
          </w:p>
          <w:p w14:paraId="58A1A41C">
            <w:pPr>
              <w:adjustRightInd w:val="0"/>
              <w:snapToGrid w:val="0"/>
              <w:spacing w:line="240" w:lineRule="atLeast"/>
              <w:jc w:val="center"/>
              <w:rPr>
                <w:color w:val="auto"/>
                <w:sz w:val="18"/>
                <w:szCs w:val="18"/>
              </w:rPr>
            </w:pPr>
            <w:r>
              <w:rPr>
                <w:color w:val="auto"/>
                <w:sz w:val="18"/>
                <w:szCs w:val="18"/>
              </w:rPr>
              <w:t>1.4</w:t>
            </w:r>
          </w:p>
          <w:p w14:paraId="5A36006E">
            <w:pPr>
              <w:adjustRightInd w:val="0"/>
              <w:snapToGrid w:val="0"/>
              <w:spacing w:line="240" w:lineRule="atLeast"/>
              <w:jc w:val="center"/>
              <w:rPr>
                <w:color w:val="auto"/>
                <w:sz w:val="18"/>
                <w:szCs w:val="18"/>
              </w:rPr>
            </w:pPr>
            <w:r>
              <w:rPr>
                <w:color w:val="auto"/>
                <w:sz w:val="18"/>
                <w:szCs w:val="18"/>
              </w:rPr>
              <w:t>1.5</w:t>
            </w:r>
          </w:p>
          <w:p w14:paraId="2B29E94E">
            <w:pPr>
              <w:adjustRightInd w:val="0"/>
              <w:snapToGrid w:val="0"/>
              <w:spacing w:line="240" w:lineRule="atLeast"/>
              <w:jc w:val="center"/>
              <w:rPr>
                <w:color w:val="auto"/>
                <w:sz w:val="18"/>
                <w:szCs w:val="18"/>
              </w:rPr>
            </w:pPr>
            <w:r>
              <w:rPr>
                <w:color w:val="auto"/>
                <w:sz w:val="18"/>
                <w:szCs w:val="18"/>
              </w:rPr>
              <w:t>1.6</w:t>
            </w:r>
          </w:p>
          <w:p w14:paraId="276B5E58">
            <w:pPr>
              <w:adjustRightInd w:val="0"/>
              <w:snapToGrid w:val="0"/>
              <w:spacing w:line="240" w:lineRule="atLeast"/>
              <w:jc w:val="center"/>
              <w:rPr>
                <w:color w:val="auto"/>
                <w:sz w:val="18"/>
                <w:szCs w:val="18"/>
              </w:rPr>
            </w:pPr>
          </w:p>
        </w:tc>
        <w:tc>
          <w:tcPr>
            <w:tcW w:w="1524" w:type="dxa"/>
          </w:tcPr>
          <w:p w14:paraId="3F441C4D">
            <w:pPr>
              <w:adjustRightInd w:val="0"/>
              <w:snapToGrid w:val="0"/>
              <w:spacing w:line="240" w:lineRule="atLeast"/>
              <w:jc w:val="center"/>
              <w:rPr>
                <w:color w:val="auto"/>
                <w:sz w:val="18"/>
                <w:szCs w:val="18"/>
              </w:rPr>
            </w:pPr>
            <w:r>
              <w:rPr>
                <w:color w:val="auto"/>
                <w:sz w:val="18"/>
                <w:szCs w:val="18"/>
              </w:rPr>
              <w:t>1.000</w:t>
            </w:r>
          </w:p>
          <w:p w14:paraId="60707C91">
            <w:pPr>
              <w:adjustRightInd w:val="0"/>
              <w:snapToGrid w:val="0"/>
              <w:spacing w:line="240" w:lineRule="atLeast"/>
              <w:jc w:val="center"/>
              <w:rPr>
                <w:color w:val="auto"/>
                <w:sz w:val="18"/>
                <w:szCs w:val="18"/>
              </w:rPr>
            </w:pPr>
            <w:r>
              <w:rPr>
                <w:color w:val="auto"/>
                <w:sz w:val="18"/>
                <w:szCs w:val="18"/>
              </w:rPr>
              <w:t>1.000</w:t>
            </w:r>
          </w:p>
          <w:p w14:paraId="6C5B8F6D">
            <w:pPr>
              <w:adjustRightInd w:val="0"/>
              <w:snapToGrid w:val="0"/>
              <w:spacing w:line="240" w:lineRule="atLeast"/>
              <w:jc w:val="center"/>
              <w:rPr>
                <w:color w:val="auto"/>
                <w:sz w:val="18"/>
                <w:szCs w:val="18"/>
              </w:rPr>
            </w:pPr>
            <w:r>
              <w:rPr>
                <w:color w:val="auto"/>
                <w:sz w:val="18"/>
                <w:szCs w:val="18"/>
              </w:rPr>
              <w:t>0.998</w:t>
            </w:r>
          </w:p>
          <w:p w14:paraId="6ABCAFF5">
            <w:pPr>
              <w:adjustRightInd w:val="0"/>
              <w:snapToGrid w:val="0"/>
              <w:spacing w:line="240" w:lineRule="atLeast"/>
              <w:jc w:val="center"/>
              <w:rPr>
                <w:color w:val="auto"/>
                <w:sz w:val="18"/>
                <w:szCs w:val="18"/>
              </w:rPr>
            </w:pPr>
            <w:r>
              <w:rPr>
                <w:color w:val="auto"/>
                <w:sz w:val="18"/>
                <w:szCs w:val="18"/>
              </w:rPr>
              <w:t>0.993</w:t>
            </w:r>
          </w:p>
          <w:p w14:paraId="64A386A4">
            <w:pPr>
              <w:adjustRightInd w:val="0"/>
              <w:snapToGrid w:val="0"/>
              <w:spacing w:line="240" w:lineRule="atLeast"/>
              <w:jc w:val="center"/>
              <w:rPr>
                <w:color w:val="auto"/>
                <w:sz w:val="18"/>
                <w:szCs w:val="18"/>
              </w:rPr>
            </w:pPr>
            <w:r>
              <w:rPr>
                <w:color w:val="auto"/>
                <w:sz w:val="18"/>
                <w:szCs w:val="18"/>
              </w:rPr>
              <w:t>0.986</w:t>
            </w:r>
          </w:p>
          <w:p w14:paraId="1E9D8633">
            <w:pPr>
              <w:adjustRightInd w:val="0"/>
              <w:snapToGrid w:val="0"/>
              <w:spacing w:line="240" w:lineRule="atLeast"/>
              <w:jc w:val="center"/>
              <w:rPr>
                <w:color w:val="auto"/>
                <w:sz w:val="18"/>
                <w:szCs w:val="18"/>
              </w:rPr>
            </w:pPr>
            <w:r>
              <w:rPr>
                <w:color w:val="auto"/>
                <w:sz w:val="18"/>
                <w:szCs w:val="18"/>
              </w:rPr>
              <w:t>0.974</w:t>
            </w:r>
          </w:p>
          <w:p w14:paraId="2AC5DE3A">
            <w:pPr>
              <w:adjustRightInd w:val="0"/>
              <w:snapToGrid w:val="0"/>
              <w:spacing w:line="240" w:lineRule="atLeast"/>
              <w:jc w:val="center"/>
              <w:rPr>
                <w:color w:val="auto"/>
                <w:sz w:val="18"/>
                <w:szCs w:val="18"/>
              </w:rPr>
            </w:pPr>
            <w:r>
              <w:rPr>
                <w:color w:val="auto"/>
                <w:sz w:val="18"/>
                <w:szCs w:val="18"/>
              </w:rPr>
              <w:t>0.960</w:t>
            </w:r>
          </w:p>
          <w:p w14:paraId="5FCA2FE5">
            <w:pPr>
              <w:adjustRightInd w:val="0"/>
              <w:snapToGrid w:val="0"/>
              <w:spacing w:line="240" w:lineRule="atLeast"/>
              <w:jc w:val="center"/>
              <w:rPr>
                <w:color w:val="auto"/>
                <w:sz w:val="18"/>
                <w:szCs w:val="18"/>
              </w:rPr>
            </w:pPr>
            <w:r>
              <w:rPr>
                <w:color w:val="auto"/>
                <w:sz w:val="18"/>
                <w:szCs w:val="18"/>
              </w:rPr>
              <w:t>0.942</w:t>
            </w:r>
          </w:p>
          <w:p w14:paraId="708BC75C">
            <w:pPr>
              <w:adjustRightInd w:val="0"/>
              <w:snapToGrid w:val="0"/>
              <w:spacing w:line="240" w:lineRule="atLeast"/>
              <w:jc w:val="center"/>
              <w:rPr>
                <w:color w:val="auto"/>
                <w:sz w:val="18"/>
                <w:szCs w:val="18"/>
              </w:rPr>
            </w:pPr>
            <w:r>
              <w:rPr>
                <w:color w:val="auto"/>
                <w:sz w:val="18"/>
                <w:szCs w:val="18"/>
              </w:rPr>
              <w:t>0.923</w:t>
            </w:r>
          </w:p>
          <w:p w14:paraId="54F17C2C">
            <w:pPr>
              <w:adjustRightInd w:val="0"/>
              <w:snapToGrid w:val="0"/>
              <w:spacing w:line="240" w:lineRule="atLeast"/>
              <w:jc w:val="center"/>
              <w:rPr>
                <w:color w:val="auto"/>
                <w:sz w:val="18"/>
                <w:szCs w:val="18"/>
              </w:rPr>
            </w:pPr>
            <w:r>
              <w:rPr>
                <w:color w:val="auto"/>
                <w:sz w:val="18"/>
                <w:szCs w:val="18"/>
              </w:rPr>
              <w:t>0.901</w:t>
            </w:r>
          </w:p>
          <w:p w14:paraId="560F04CB">
            <w:pPr>
              <w:adjustRightInd w:val="0"/>
              <w:snapToGrid w:val="0"/>
              <w:spacing w:line="240" w:lineRule="atLeast"/>
              <w:jc w:val="center"/>
              <w:rPr>
                <w:color w:val="auto"/>
                <w:sz w:val="18"/>
                <w:szCs w:val="18"/>
              </w:rPr>
            </w:pPr>
            <w:r>
              <w:rPr>
                <w:color w:val="auto"/>
                <w:sz w:val="18"/>
                <w:szCs w:val="18"/>
              </w:rPr>
              <w:t>0.878</w:t>
            </w:r>
          </w:p>
          <w:p w14:paraId="7CD34289">
            <w:pPr>
              <w:adjustRightInd w:val="0"/>
              <w:snapToGrid w:val="0"/>
              <w:spacing w:line="240" w:lineRule="atLeast"/>
              <w:jc w:val="center"/>
              <w:rPr>
                <w:color w:val="auto"/>
                <w:sz w:val="18"/>
                <w:szCs w:val="18"/>
              </w:rPr>
            </w:pPr>
            <w:r>
              <w:rPr>
                <w:color w:val="auto"/>
                <w:sz w:val="18"/>
                <w:szCs w:val="18"/>
              </w:rPr>
              <w:t>0.855</w:t>
            </w:r>
          </w:p>
          <w:p w14:paraId="149058B2">
            <w:pPr>
              <w:adjustRightInd w:val="0"/>
              <w:snapToGrid w:val="0"/>
              <w:spacing w:line="240" w:lineRule="atLeast"/>
              <w:jc w:val="center"/>
              <w:rPr>
                <w:color w:val="auto"/>
                <w:sz w:val="18"/>
                <w:szCs w:val="18"/>
              </w:rPr>
            </w:pPr>
            <w:r>
              <w:rPr>
                <w:color w:val="auto"/>
                <w:sz w:val="18"/>
                <w:szCs w:val="18"/>
              </w:rPr>
              <w:t>0.831</w:t>
            </w:r>
          </w:p>
          <w:p w14:paraId="5C5A653C">
            <w:pPr>
              <w:adjustRightInd w:val="0"/>
              <w:snapToGrid w:val="0"/>
              <w:spacing w:line="240" w:lineRule="atLeast"/>
              <w:jc w:val="center"/>
              <w:rPr>
                <w:color w:val="auto"/>
                <w:sz w:val="18"/>
                <w:szCs w:val="18"/>
              </w:rPr>
            </w:pPr>
            <w:r>
              <w:rPr>
                <w:color w:val="auto"/>
                <w:sz w:val="18"/>
                <w:szCs w:val="18"/>
              </w:rPr>
              <w:t>0.808</w:t>
            </w:r>
          </w:p>
          <w:p w14:paraId="2B1A58D8">
            <w:pPr>
              <w:adjustRightInd w:val="0"/>
              <w:snapToGrid w:val="0"/>
              <w:spacing w:line="240" w:lineRule="atLeast"/>
              <w:jc w:val="center"/>
              <w:rPr>
                <w:color w:val="auto"/>
                <w:sz w:val="18"/>
                <w:szCs w:val="18"/>
              </w:rPr>
            </w:pPr>
            <w:r>
              <w:rPr>
                <w:color w:val="auto"/>
                <w:sz w:val="18"/>
                <w:szCs w:val="18"/>
              </w:rPr>
              <w:t>0.784</w:t>
            </w:r>
          </w:p>
          <w:p w14:paraId="5353833A">
            <w:pPr>
              <w:adjustRightInd w:val="0"/>
              <w:snapToGrid w:val="0"/>
              <w:spacing w:line="240" w:lineRule="atLeast"/>
              <w:jc w:val="center"/>
              <w:rPr>
                <w:color w:val="auto"/>
                <w:sz w:val="18"/>
                <w:szCs w:val="18"/>
              </w:rPr>
            </w:pPr>
            <w:r>
              <w:rPr>
                <w:color w:val="auto"/>
                <w:sz w:val="18"/>
                <w:szCs w:val="18"/>
              </w:rPr>
              <w:t>0.762</w:t>
            </w:r>
          </w:p>
          <w:p w14:paraId="7FD1C879">
            <w:pPr>
              <w:adjustRightInd w:val="0"/>
              <w:snapToGrid w:val="0"/>
              <w:spacing w:line="240" w:lineRule="atLeast"/>
              <w:jc w:val="center"/>
              <w:rPr>
                <w:color w:val="auto"/>
                <w:sz w:val="18"/>
                <w:szCs w:val="18"/>
              </w:rPr>
            </w:pPr>
            <w:r>
              <w:rPr>
                <w:color w:val="auto"/>
                <w:sz w:val="18"/>
                <w:szCs w:val="18"/>
              </w:rPr>
              <w:t>0.739</w:t>
            </w:r>
          </w:p>
          <w:p w14:paraId="357FE87E">
            <w:pPr>
              <w:adjustRightInd w:val="0"/>
              <w:snapToGrid w:val="0"/>
              <w:spacing w:line="240" w:lineRule="atLeast"/>
              <w:jc w:val="center"/>
              <w:rPr>
                <w:color w:val="auto"/>
                <w:sz w:val="18"/>
                <w:szCs w:val="18"/>
              </w:rPr>
            </w:pPr>
          </w:p>
        </w:tc>
        <w:tc>
          <w:tcPr>
            <w:tcW w:w="1524" w:type="dxa"/>
          </w:tcPr>
          <w:p w14:paraId="19E0A52D">
            <w:pPr>
              <w:adjustRightInd w:val="0"/>
              <w:snapToGrid w:val="0"/>
              <w:spacing w:line="240" w:lineRule="atLeast"/>
              <w:jc w:val="center"/>
              <w:rPr>
                <w:color w:val="auto"/>
                <w:sz w:val="18"/>
                <w:szCs w:val="18"/>
              </w:rPr>
            </w:pPr>
            <w:r>
              <w:rPr>
                <w:color w:val="auto"/>
                <w:sz w:val="18"/>
                <w:szCs w:val="18"/>
              </w:rPr>
              <w:t>1.7</w:t>
            </w:r>
          </w:p>
          <w:p w14:paraId="00A4530D">
            <w:pPr>
              <w:adjustRightInd w:val="0"/>
              <w:snapToGrid w:val="0"/>
              <w:spacing w:line="240" w:lineRule="atLeast"/>
              <w:jc w:val="center"/>
              <w:rPr>
                <w:color w:val="auto"/>
                <w:sz w:val="18"/>
                <w:szCs w:val="18"/>
              </w:rPr>
            </w:pPr>
            <w:r>
              <w:rPr>
                <w:color w:val="auto"/>
                <w:sz w:val="18"/>
                <w:szCs w:val="18"/>
              </w:rPr>
              <w:t>1.8</w:t>
            </w:r>
          </w:p>
          <w:p w14:paraId="39CE5378">
            <w:pPr>
              <w:adjustRightInd w:val="0"/>
              <w:snapToGrid w:val="0"/>
              <w:spacing w:line="240" w:lineRule="atLeast"/>
              <w:jc w:val="center"/>
              <w:rPr>
                <w:color w:val="auto"/>
                <w:sz w:val="18"/>
                <w:szCs w:val="18"/>
              </w:rPr>
            </w:pPr>
            <w:r>
              <w:rPr>
                <w:color w:val="auto"/>
                <w:sz w:val="18"/>
                <w:szCs w:val="18"/>
              </w:rPr>
              <w:t>1.9</w:t>
            </w:r>
          </w:p>
          <w:p w14:paraId="51575C7D">
            <w:pPr>
              <w:adjustRightInd w:val="0"/>
              <w:snapToGrid w:val="0"/>
              <w:spacing w:line="240" w:lineRule="atLeast"/>
              <w:jc w:val="center"/>
              <w:rPr>
                <w:color w:val="auto"/>
                <w:sz w:val="18"/>
                <w:szCs w:val="18"/>
              </w:rPr>
            </w:pPr>
            <w:r>
              <w:rPr>
                <w:color w:val="auto"/>
                <w:sz w:val="18"/>
                <w:szCs w:val="18"/>
              </w:rPr>
              <w:t>2.0</w:t>
            </w:r>
          </w:p>
          <w:p w14:paraId="7DB64E48">
            <w:pPr>
              <w:adjustRightInd w:val="0"/>
              <w:snapToGrid w:val="0"/>
              <w:spacing w:line="240" w:lineRule="atLeast"/>
              <w:jc w:val="center"/>
              <w:rPr>
                <w:color w:val="auto"/>
                <w:sz w:val="18"/>
                <w:szCs w:val="18"/>
              </w:rPr>
            </w:pPr>
            <w:r>
              <w:rPr>
                <w:color w:val="auto"/>
                <w:sz w:val="18"/>
                <w:szCs w:val="18"/>
              </w:rPr>
              <w:t>2.1</w:t>
            </w:r>
          </w:p>
          <w:p w14:paraId="65D4E269">
            <w:pPr>
              <w:adjustRightInd w:val="0"/>
              <w:snapToGrid w:val="0"/>
              <w:spacing w:line="240" w:lineRule="atLeast"/>
              <w:jc w:val="center"/>
              <w:rPr>
                <w:color w:val="auto"/>
                <w:sz w:val="18"/>
                <w:szCs w:val="18"/>
              </w:rPr>
            </w:pPr>
            <w:r>
              <w:rPr>
                <w:color w:val="auto"/>
                <w:sz w:val="18"/>
                <w:szCs w:val="18"/>
              </w:rPr>
              <w:t>2.2</w:t>
            </w:r>
          </w:p>
          <w:p w14:paraId="5366AE20">
            <w:pPr>
              <w:adjustRightInd w:val="0"/>
              <w:snapToGrid w:val="0"/>
              <w:spacing w:line="240" w:lineRule="atLeast"/>
              <w:jc w:val="center"/>
              <w:rPr>
                <w:color w:val="auto"/>
                <w:sz w:val="18"/>
                <w:szCs w:val="18"/>
              </w:rPr>
            </w:pPr>
            <w:r>
              <w:rPr>
                <w:color w:val="auto"/>
                <w:sz w:val="18"/>
                <w:szCs w:val="18"/>
              </w:rPr>
              <w:t>2.3</w:t>
            </w:r>
          </w:p>
          <w:p w14:paraId="513E1080">
            <w:pPr>
              <w:adjustRightInd w:val="0"/>
              <w:snapToGrid w:val="0"/>
              <w:spacing w:line="240" w:lineRule="atLeast"/>
              <w:jc w:val="center"/>
              <w:rPr>
                <w:color w:val="auto"/>
                <w:sz w:val="18"/>
                <w:szCs w:val="18"/>
              </w:rPr>
            </w:pPr>
            <w:r>
              <w:rPr>
                <w:color w:val="auto"/>
                <w:sz w:val="18"/>
                <w:szCs w:val="18"/>
              </w:rPr>
              <w:t>2.4</w:t>
            </w:r>
          </w:p>
          <w:p w14:paraId="3CB20F09">
            <w:pPr>
              <w:adjustRightInd w:val="0"/>
              <w:snapToGrid w:val="0"/>
              <w:spacing w:line="240" w:lineRule="atLeast"/>
              <w:jc w:val="center"/>
              <w:rPr>
                <w:color w:val="auto"/>
                <w:sz w:val="18"/>
                <w:szCs w:val="18"/>
              </w:rPr>
            </w:pPr>
            <w:r>
              <w:rPr>
                <w:color w:val="auto"/>
                <w:sz w:val="18"/>
                <w:szCs w:val="18"/>
              </w:rPr>
              <w:t>2.5</w:t>
            </w:r>
          </w:p>
          <w:p w14:paraId="12F118F1">
            <w:pPr>
              <w:adjustRightInd w:val="0"/>
              <w:snapToGrid w:val="0"/>
              <w:spacing w:line="240" w:lineRule="atLeast"/>
              <w:jc w:val="center"/>
              <w:rPr>
                <w:color w:val="auto"/>
                <w:sz w:val="18"/>
                <w:szCs w:val="18"/>
              </w:rPr>
            </w:pPr>
            <w:r>
              <w:rPr>
                <w:color w:val="auto"/>
                <w:sz w:val="18"/>
                <w:szCs w:val="18"/>
              </w:rPr>
              <w:t>2.6</w:t>
            </w:r>
          </w:p>
          <w:p w14:paraId="49A0F13A">
            <w:pPr>
              <w:adjustRightInd w:val="0"/>
              <w:snapToGrid w:val="0"/>
              <w:spacing w:line="240" w:lineRule="atLeast"/>
              <w:jc w:val="center"/>
              <w:rPr>
                <w:color w:val="auto"/>
                <w:sz w:val="18"/>
                <w:szCs w:val="18"/>
              </w:rPr>
            </w:pPr>
            <w:r>
              <w:rPr>
                <w:color w:val="auto"/>
                <w:sz w:val="18"/>
                <w:szCs w:val="18"/>
              </w:rPr>
              <w:t>2.7</w:t>
            </w:r>
          </w:p>
          <w:p w14:paraId="2E81431F">
            <w:pPr>
              <w:adjustRightInd w:val="0"/>
              <w:snapToGrid w:val="0"/>
              <w:spacing w:line="240" w:lineRule="atLeast"/>
              <w:jc w:val="center"/>
              <w:rPr>
                <w:color w:val="auto"/>
                <w:sz w:val="18"/>
                <w:szCs w:val="18"/>
              </w:rPr>
            </w:pPr>
            <w:r>
              <w:rPr>
                <w:color w:val="auto"/>
                <w:sz w:val="18"/>
                <w:szCs w:val="18"/>
              </w:rPr>
              <w:t>2.8</w:t>
            </w:r>
          </w:p>
          <w:p w14:paraId="01B3D851">
            <w:pPr>
              <w:adjustRightInd w:val="0"/>
              <w:snapToGrid w:val="0"/>
              <w:spacing w:line="240" w:lineRule="atLeast"/>
              <w:jc w:val="center"/>
              <w:rPr>
                <w:color w:val="auto"/>
                <w:sz w:val="18"/>
                <w:szCs w:val="18"/>
              </w:rPr>
            </w:pPr>
            <w:r>
              <w:rPr>
                <w:color w:val="auto"/>
                <w:sz w:val="18"/>
                <w:szCs w:val="18"/>
              </w:rPr>
              <w:t>2.9</w:t>
            </w:r>
          </w:p>
          <w:p w14:paraId="5F473886">
            <w:pPr>
              <w:adjustRightInd w:val="0"/>
              <w:snapToGrid w:val="0"/>
              <w:spacing w:line="240" w:lineRule="atLeast"/>
              <w:jc w:val="center"/>
              <w:rPr>
                <w:color w:val="auto"/>
                <w:sz w:val="18"/>
                <w:szCs w:val="18"/>
              </w:rPr>
            </w:pPr>
            <w:r>
              <w:rPr>
                <w:color w:val="auto"/>
                <w:sz w:val="18"/>
                <w:szCs w:val="18"/>
              </w:rPr>
              <w:t>3.0</w:t>
            </w:r>
          </w:p>
          <w:p w14:paraId="3B72A39F">
            <w:pPr>
              <w:adjustRightInd w:val="0"/>
              <w:snapToGrid w:val="0"/>
              <w:spacing w:line="240" w:lineRule="atLeast"/>
              <w:jc w:val="center"/>
              <w:rPr>
                <w:color w:val="auto"/>
                <w:sz w:val="18"/>
                <w:szCs w:val="18"/>
              </w:rPr>
            </w:pPr>
            <w:r>
              <w:rPr>
                <w:color w:val="auto"/>
                <w:sz w:val="18"/>
                <w:szCs w:val="18"/>
              </w:rPr>
              <w:t>3.1</w:t>
            </w:r>
          </w:p>
          <w:p w14:paraId="72AEE450">
            <w:pPr>
              <w:adjustRightInd w:val="0"/>
              <w:snapToGrid w:val="0"/>
              <w:spacing w:line="240" w:lineRule="atLeast"/>
              <w:jc w:val="center"/>
              <w:rPr>
                <w:color w:val="auto"/>
                <w:sz w:val="18"/>
                <w:szCs w:val="18"/>
              </w:rPr>
            </w:pPr>
            <w:r>
              <w:rPr>
                <w:color w:val="auto"/>
                <w:sz w:val="18"/>
                <w:szCs w:val="18"/>
              </w:rPr>
              <w:t>3.2</w:t>
            </w:r>
          </w:p>
          <w:p w14:paraId="4B8EFA18">
            <w:pPr>
              <w:adjustRightInd w:val="0"/>
              <w:snapToGrid w:val="0"/>
              <w:spacing w:line="240" w:lineRule="atLeast"/>
              <w:jc w:val="center"/>
              <w:rPr>
                <w:color w:val="auto"/>
                <w:sz w:val="18"/>
                <w:szCs w:val="18"/>
              </w:rPr>
            </w:pPr>
            <w:r>
              <w:rPr>
                <w:color w:val="auto"/>
                <w:sz w:val="18"/>
                <w:szCs w:val="18"/>
              </w:rPr>
              <w:t>3.3</w:t>
            </w:r>
          </w:p>
          <w:p w14:paraId="67282F34">
            <w:pPr>
              <w:adjustRightInd w:val="0"/>
              <w:snapToGrid w:val="0"/>
              <w:spacing w:line="240" w:lineRule="atLeast"/>
              <w:jc w:val="center"/>
              <w:rPr>
                <w:color w:val="auto"/>
                <w:sz w:val="18"/>
                <w:szCs w:val="18"/>
              </w:rPr>
            </w:pPr>
          </w:p>
        </w:tc>
        <w:tc>
          <w:tcPr>
            <w:tcW w:w="1524" w:type="dxa"/>
          </w:tcPr>
          <w:p w14:paraId="4CA66332">
            <w:pPr>
              <w:adjustRightInd w:val="0"/>
              <w:snapToGrid w:val="0"/>
              <w:spacing w:line="240" w:lineRule="atLeast"/>
              <w:jc w:val="center"/>
              <w:rPr>
                <w:color w:val="auto"/>
                <w:sz w:val="18"/>
                <w:szCs w:val="18"/>
              </w:rPr>
            </w:pPr>
            <w:r>
              <w:rPr>
                <w:color w:val="auto"/>
                <w:sz w:val="18"/>
                <w:szCs w:val="18"/>
              </w:rPr>
              <w:t>0.718</w:t>
            </w:r>
          </w:p>
          <w:p w14:paraId="34624372">
            <w:pPr>
              <w:adjustRightInd w:val="0"/>
              <w:snapToGrid w:val="0"/>
              <w:spacing w:line="240" w:lineRule="atLeast"/>
              <w:jc w:val="center"/>
              <w:rPr>
                <w:color w:val="auto"/>
                <w:sz w:val="18"/>
                <w:szCs w:val="18"/>
              </w:rPr>
            </w:pPr>
            <w:r>
              <w:rPr>
                <w:color w:val="auto"/>
                <w:sz w:val="18"/>
                <w:szCs w:val="18"/>
              </w:rPr>
              <w:t>0.697</w:t>
            </w:r>
          </w:p>
          <w:p w14:paraId="2B462136">
            <w:pPr>
              <w:adjustRightInd w:val="0"/>
              <w:snapToGrid w:val="0"/>
              <w:spacing w:line="240" w:lineRule="atLeast"/>
              <w:jc w:val="center"/>
              <w:rPr>
                <w:color w:val="auto"/>
                <w:sz w:val="18"/>
                <w:szCs w:val="18"/>
              </w:rPr>
            </w:pPr>
            <w:r>
              <w:rPr>
                <w:color w:val="auto"/>
                <w:sz w:val="18"/>
                <w:szCs w:val="18"/>
              </w:rPr>
              <w:t>0.677</w:t>
            </w:r>
          </w:p>
          <w:p w14:paraId="0B0BFBD5">
            <w:pPr>
              <w:adjustRightInd w:val="0"/>
              <w:snapToGrid w:val="0"/>
              <w:spacing w:line="240" w:lineRule="atLeast"/>
              <w:jc w:val="center"/>
              <w:rPr>
                <w:color w:val="auto"/>
                <w:sz w:val="18"/>
                <w:szCs w:val="18"/>
              </w:rPr>
            </w:pPr>
            <w:r>
              <w:rPr>
                <w:color w:val="auto"/>
                <w:sz w:val="18"/>
                <w:szCs w:val="18"/>
              </w:rPr>
              <w:t>0.658</w:t>
            </w:r>
          </w:p>
          <w:p w14:paraId="523ADC61">
            <w:pPr>
              <w:adjustRightInd w:val="0"/>
              <w:snapToGrid w:val="0"/>
              <w:spacing w:line="240" w:lineRule="atLeast"/>
              <w:jc w:val="center"/>
              <w:rPr>
                <w:color w:val="auto"/>
                <w:sz w:val="18"/>
                <w:szCs w:val="18"/>
              </w:rPr>
            </w:pPr>
            <w:r>
              <w:rPr>
                <w:color w:val="auto"/>
                <w:sz w:val="18"/>
                <w:szCs w:val="18"/>
              </w:rPr>
              <w:t>0.640</w:t>
            </w:r>
          </w:p>
          <w:p w14:paraId="4AE4E426">
            <w:pPr>
              <w:adjustRightInd w:val="0"/>
              <w:snapToGrid w:val="0"/>
              <w:spacing w:line="240" w:lineRule="atLeast"/>
              <w:jc w:val="center"/>
              <w:rPr>
                <w:color w:val="auto"/>
                <w:sz w:val="18"/>
                <w:szCs w:val="18"/>
              </w:rPr>
            </w:pPr>
            <w:r>
              <w:rPr>
                <w:color w:val="auto"/>
                <w:sz w:val="18"/>
                <w:szCs w:val="18"/>
              </w:rPr>
              <w:t>0.623</w:t>
            </w:r>
          </w:p>
          <w:p w14:paraId="56F20F3E">
            <w:pPr>
              <w:adjustRightInd w:val="0"/>
              <w:snapToGrid w:val="0"/>
              <w:spacing w:line="240" w:lineRule="atLeast"/>
              <w:jc w:val="center"/>
              <w:rPr>
                <w:color w:val="auto"/>
                <w:sz w:val="18"/>
                <w:szCs w:val="18"/>
              </w:rPr>
            </w:pPr>
            <w:r>
              <w:rPr>
                <w:color w:val="auto"/>
                <w:sz w:val="18"/>
                <w:szCs w:val="18"/>
              </w:rPr>
              <w:t>0.606</w:t>
            </w:r>
          </w:p>
          <w:p w14:paraId="16DA5216">
            <w:pPr>
              <w:adjustRightInd w:val="0"/>
              <w:snapToGrid w:val="0"/>
              <w:spacing w:line="240" w:lineRule="atLeast"/>
              <w:jc w:val="center"/>
              <w:rPr>
                <w:color w:val="auto"/>
                <w:sz w:val="18"/>
                <w:szCs w:val="18"/>
              </w:rPr>
            </w:pPr>
            <w:r>
              <w:rPr>
                <w:color w:val="auto"/>
                <w:sz w:val="18"/>
                <w:szCs w:val="18"/>
              </w:rPr>
              <w:t>0.590</w:t>
            </w:r>
          </w:p>
          <w:p w14:paraId="58D970A0">
            <w:pPr>
              <w:adjustRightInd w:val="0"/>
              <w:snapToGrid w:val="0"/>
              <w:spacing w:line="240" w:lineRule="atLeast"/>
              <w:jc w:val="center"/>
              <w:rPr>
                <w:color w:val="auto"/>
                <w:sz w:val="18"/>
                <w:szCs w:val="18"/>
              </w:rPr>
            </w:pPr>
            <w:r>
              <w:rPr>
                <w:color w:val="auto"/>
                <w:sz w:val="18"/>
                <w:szCs w:val="18"/>
              </w:rPr>
              <w:t>0.574</w:t>
            </w:r>
          </w:p>
          <w:p w14:paraId="54B9B919">
            <w:pPr>
              <w:adjustRightInd w:val="0"/>
              <w:snapToGrid w:val="0"/>
              <w:spacing w:line="240" w:lineRule="atLeast"/>
              <w:jc w:val="center"/>
              <w:rPr>
                <w:color w:val="auto"/>
                <w:sz w:val="18"/>
                <w:szCs w:val="18"/>
              </w:rPr>
            </w:pPr>
            <w:r>
              <w:rPr>
                <w:color w:val="auto"/>
                <w:sz w:val="18"/>
                <w:szCs w:val="18"/>
              </w:rPr>
              <w:t>0.560</w:t>
            </w:r>
          </w:p>
          <w:p w14:paraId="0BCD986B">
            <w:pPr>
              <w:adjustRightInd w:val="0"/>
              <w:snapToGrid w:val="0"/>
              <w:spacing w:line="240" w:lineRule="atLeast"/>
              <w:jc w:val="center"/>
              <w:rPr>
                <w:color w:val="auto"/>
                <w:sz w:val="18"/>
                <w:szCs w:val="18"/>
              </w:rPr>
            </w:pPr>
            <w:r>
              <w:rPr>
                <w:color w:val="auto"/>
                <w:sz w:val="18"/>
                <w:szCs w:val="18"/>
              </w:rPr>
              <w:t>0.546</w:t>
            </w:r>
          </w:p>
          <w:p w14:paraId="0DD9FBA7">
            <w:pPr>
              <w:adjustRightInd w:val="0"/>
              <w:snapToGrid w:val="0"/>
              <w:spacing w:line="240" w:lineRule="atLeast"/>
              <w:jc w:val="center"/>
              <w:rPr>
                <w:color w:val="auto"/>
                <w:sz w:val="18"/>
                <w:szCs w:val="18"/>
              </w:rPr>
            </w:pPr>
            <w:r>
              <w:rPr>
                <w:color w:val="auto"/>
                <w:sz w:val="18"/>
                <w:szCs w:val="18"/>
              </w:rPr>
              <w:t>0.532</w:t>
            </w:r>
          </w:p>
          <w:p w14:paraId="057D7171">
            <w:pPr>
              <w:adjustRightInd w:val="0"/>
              <w:snapToGrid w:val="0"/>
              <w:spacing w:line="240" w:lineRule="atLeast"/>
              <w:jc w:val="center"/>
              <w:rPr>
                <w:color w:val="auto"/>
                <w:sz w:val="18"/>
                <w:szCs w:val="18"/>
              </w:rPr>
            </w:pPr>
            <w:r>
              <w:rPr>
                <w:color w:val="auto"/>
                <w:sz w:val="18"/>
                <w:szCs w:val="18"/>
              </w:rPr>
              <w:t>0.519</w:t>
            </w:r>
          </w:p>
          <w:p w14:paraId="2B4407F7">
            <w:pPr>
              <w:adjustRightInd w:val="0"/>
              <w:snapToGrid w:val="0"/>
              <w:spacing w:line="240" w:lineRule="atLeast"/>
              <w:jc w:val="center"/>
              <w:rPr>
                <w:color w:val="auto"/>
                <w:sz w:val="18"/>
                <w:szCs w:val="18"/>
              </w:rPr>
            </w:pPr>
            <w:r>
              <w:rPr>
                <w:color w:val="auto"/>
                <w:sz w:val="18"/>
                <w:szCs w:val="18"/>
              </w:rPr>
              <w:t>0.507</w:t>
            </w:r>
          </w:p>
          <w:p w14:paraId="06ECF557">
            <w:pPr>
              <w:adjustRightInd w:val="0"/>
              <w:snapToGrid w:val="0"/>
              <w:spacing w:line="240" w:lineRule="atLeast"/>
              <w:jc w:val="center"/>
              <w:rPr>
                <w:color w:val="auto"/>
                <w:sz w:val="18"/>
                <w:szCs w:val="18"/>
              </w:rPr>
            </w:pPr>
            <w:r>
              <w:rPr>
                <w:color w:val="auto"/>
                <w:sz w:val="18"/>
                <w:szCs w:val="18"/>
              </w:rPr>
              <w:t>0.495</w:t>
            </w:r>
          </w:p>
          <w:p w14:paraId="460B823C">
            <w:pPr>
              <w:adjustRightInd w:val="0"/>
              <w:snapToGrid w:val="0"/>
              <w:spacing w:line="240" w:lineRule="atLeast"/>
              <w:jc w:val="center"/>
              <w:rPr>
                <w:color w:val="auto"/>
                <w:sz w:val="18"/>
                <w:szCs w:val="18"/>
              </w:rPr>
            </w:pPr>
            <w:r>
              <w:rPr>
                <w:color w:val="auto"/>
                <w:sz w:val="18"/>
                <w:szCs w:val="18"/>
              </w:rPr>
              <w:t>0.484</w:t>
            </w:r>
          </w:p>
          <w:p w14:paraId="3085A5FB">
            <w:pPr>
              <w:adjustRightInd w:val="0"/>
              <w:snapToGrid w:val="0"/>
              <w:spacing w:line="240" w:lineRule="atLeast"/>
              <w:jc w:val="center"/>
              <w:rPr>
                <w:color w:val="auto"/>
                <w:sz w:val="18"/>
                <w:szCs w:val="18"/>
              </w:rPr>
            </w:pPr>
            <w:r>
              <w:rPr>
                <w:color w:val="auto"/>
                <w:sz w:val="18"/>
                <w:szCs w:val="18"/>
              </w:rPr>
              <w:t>0.473</w:t>
            </w:r>
          </w:p>
          <w:p w14:paraId="7E620157">
            <w:pPr>
              <w:adjustRightInd w:val="0"/>
              <w:snapToGrid w:val="0"/>
              <w:spacing w:line="240" w:lineRule="atLeast"/>
              <w:jc w:val="center"/>
              <w:rPr>
                <w:color w:val="auto"/>
                <w:sz w:val="18"/>
                <w:szCs w:val="18"/>
              </w:rPr>
            </w:pPr>
          </w:p>
        </w:tc>
        <w:tc>
          <w:tcPr>
            <w:tcW w:w="1524" w:type="dxa"/>
          </w:tcPr>
          <w:p w14:paraId="20CF6FD4">
            <w:pPr>
              <w:adjustRightInd w:val="0"/>
              <w:snapToGrid w:val="0"/>
              <w:spacing w:line="240" w:lineRule="atLeast"/>
              <w:jc w:val="center"/>
              <w:rPr>
                <w:color w:val="auto"/>
                <w:sz w:val="18"/>
                <w:szCs w:val="18"/>
              </w:rPr>
            </w:pPr>
            <w:r>
              <w:rPr>
                <w:color w:val="auto"/>
                <w:sz w:val="18"/>
                <w:szCs w:val="18"/>
              </w:rPr>
              <w:t>3.4</w:t>
            </w:r>
          </w:p>
          <w:p w14:paraId="7168A662">
            <w:pPr>
              <w:adjustRightInd w:val="0"/>
              <w:snapToGrid w:val="0"/>
              <w:spacing w:line="240" w:lineRule="atLeast"/>
              <w:jc w:val="center"/>
              <w:rPr>
                <w:color w:val="auto"/>
                <w:sz w:val="18"/>
                <w:szCs w:val="18"/>
              </w:rPr>
            </w:pPr>
            <w:r>
              <w:rPr>
                <w:color w:val="auto"/>
                <w:sz w:val="18"/>
                <w:szCs w:val="18"/>
              </w:rPr>
              <w:t>3.5</w:t>
            </w:r>
          </w:p>
          <w:p w14:paraId="7C0598BB">
            <w:pPr>
              <w:adjustRightInd w:val="0"/>
              <w:snapToGrid w:val="0"/>
              <w:spacing w:line="240" w:lineRule="atLeast"/>
              <w:jc w:val="center"/>
              <w:rPr>
                <w:color w:val="auto"/>
                <w:sz w:val="18"/>
                <w:szCs w:val="18"/>
              </w:rPr>
            </w:pPr>
            <w:r>
              <w:rPr>
                <w:color w:val="auto"/>
                <w:sz w:val="18"/>
                <w:szCs w:val="18"/>
              </w:rPr>
              <w:t>3.6</w:t>
            </w:r>
          </w:p>
          <w:p w14:paraId="5F9A278E">
            <w:pPr>
              <w:adjustRightInd w:val="0"/>
              <w:snapToGrid w:val="0"/>
              <w:spacing w:line="240" w:lineRule="atLeast"/>
              <w:jc w:val="center"/>
              <w:rPr>
                <w:color w:val="auto"/>
                <w:sz w:val="18"/>
                <w:szCs w:val="18"/>
              </w:rPr>
            </w:pPr>
            <w:r>
              <w:rPr>
                <w:color w:val="auto"/>
                <w:sz w:val="18"/>
                <w:szCs w:val="18"/>
              </w:rPr>
              <w:t>3.7</w:t>
            </w:r>
          </w:p>
          <w:p w14:paraId="4279BFDF">
            <w:pPr>
              <w:adjustRightInd w:val="0"/>
              <w:snapToGrid w:val="0"/>
              <w:spacing w:line="240" w:lineRule="atLeast"/>
              <w:jc w:val="center"/>
              <w:rPr>
                <w:color w:val="auto"/>
                <w:sz w:val="18"/>
                <w:szCs w:val="18"/>
              </w:rPr>
            </w:pPr>
            <w:r>
              <w:rPr>
                <w:color w:val="auto"/>
                <w:sz w:val="18"/>
                <w:szCs w:val="18"/>
              </w:rPr>
              <w:t>3.8</w:t>
            </w:r>
          </w:p>
          <w:p w14:paraId="2755D099">
            <w:pPr>
              <w:adjustRightInd w:val="0"/>
              <w:snapToGrid w:val="0"/>
              <w:spacing w:line="240" w:lineRule="atLeast"/>
              <w:jc w:val="center"/>
              <w:rPr>
                <w:color w:val="auto"/>
                <w:sz w:val="18"/>
                <w:szCs w:val="18"/>
              </w:rPr>
            </w:pPr>
            <w:r>
              <w:rPr>
                <w:color w:val="auto"/>
                <w:sz w:val="18"/>
                <w:szCs w:val="18"/>
              </w:rPr>
              <w:t>3.9</w:t>
            </w:r>
          </w:p>
          <w:p w14:paraId="604F0E61">
            <w:pPr>
              <w:adjustRightInd w:val="0"/>
              <w:snapToGrid w:val="0"/>
              <w:spacing w:line="240" w:lineRule="atLeast"/>
              <w:jc w:val="center"/>
              <w:rPr>
                <w:color w:val="auto"/>
                <w:sz w:val="18"/>
                <w:szCs w:val="18"/>
              </w:rPr>
            </w:pPr>
            <w:r>
              <w:rPr>
                <w:color w:val="auto"/>
                <w:sz w:val="18"/>
                <w:szCs w:val="18"/>
              </w:rPr>
              <w:t>4.0</w:t>
            </w:r>
          </w:p>
          <w:p w14:paraId="1DA45EE0">
            <w:pPr>
              <w:adjustRightInd w:val="0"/>
              <w:snapToGrid w:val="0"/>
              <w:spacing w:line="240" w:lineRule="atLeast"/>
              <w:jc w:val="center"/>
              <w:rPr>
                <w:color w:val="auto"/>
                <w:sz w:val="18"/>
                <w:szCs w:val="18"/>
              </w:rPr>
            </w:pPr>
            <w:r>
              <w:rPr>
                <w:color w:val="auto"/>
                <w:sz w:val="18"/>
                <w:szCs w:val="18"/>
              </w:rPr>
              <w:t>4.1</w:t>
            </w:r>
          </w:p>
          <w:p w14:paraId="7677872E">
            <w:pPr>
              <w:adjustRightInd w:val="0"/>
              <w:snapToGrid w:val="0"/>
              <w:spacing w:line="240" w:lineRule="atLeast"/>
              <w:jc w:val="center"/>
              <w:rPr>
                <w:color w:val="auto"/>
                <w:sz w:val="18"/>
                <w:szCs w:val="18"/>
              </w:rPr>
            </w:pPr>
            <w:r>
              <w:rPr>
                <w:color w:val="auto"/>
                <w:sz w:val="18"/>
                <w:szCs w:val="18"/>
              </w:rPr>
              <w:t>4.2</w:t>
            </w:r>
          </w:p>
          <w:p w14:paraId="1F52D2C5">
            <w:pPr>
              <w:adjustRightInd w:val="0"/>
              <w:snapToGrid w:val="0"/>
              <w:spacing w:line="240" w:lineRule="atLeast"/>
              <w:jc w:val="center"/>
              <w:rPr>
                <w:color w:val="auto"/>
                <w:sz w:val="18"/>
                <w:szCs w:val="18"/>
              </w:rPr>
            </w:pPr>
            <w:r>
              <w:rPr>
                <w:color w:val="auto"/>
                <w:sz w:val="18"/>
                <w:szCs w:val="18"/>
              </w:rPr>
              <w:t>4.3</w:t>
            </w:r>
          </w:p>
          <w:p w14:paraId="48B22117">
            <w:pPr>
              <w:adjustRightInd w:val="0"/>
              <w:snapToGrid w:val="0"/>
              <w:spacing w:line="240" w:lineRule="atLeast"/>
              <w:jc w:val="center"/>
              <w:rPr>
                <w:color w:val="auto"/>
                <w:sz w:val="18"/>
                <w:szCs w:val="18"/>
              </w:rPr>
            </w:pPr>
            <w:r>
              <w:rPr>
                <w:color w:val="auto"/>
                <w:sz w:val="18"/>
                <w:szCs w:val="18"/>
              </w:rPr>
              <w:t>4.4</w:t>
            </w:r>
          </w:p>
          <w:p w14:paraId="7066180B">
            <w:pPr>
              <w:adjustRightInd w:val="0"/>
              <w:snapToGrid w:val="0"/>
              <w:spacing w:line="240" w:lineRule="atLeast"/>
              <w:jc w:val="center"/>
              <w:rPr>
                <w:color w:val="auto"/>
                <w:sz w:val="18"/>
                <w:szCs w:val="18"/>
              </w:rPr>
            </w:pPr>
            <w:r>
              <w:rPr>
                <w:color w:val="auto"/>
                <w:sz w:val="18"/>
                <w:szCs w:val="18"/>
              </w:rPr>
              <w:t>4.5</w:t>
            </w:r>
          </w:p>
          <w:p w14:paraId="0B6FABDF">
            <w:pPr>
              <w:adjustRightInd w:val="0"/>
              <w:snapToGrid w:val="0"/>
              <w:spacing w:line="240" w:lineRule="atLeast"/>
              <w:jc w:val="center"/>
              <w:rPr>
                <w:color w:val="auto"/>
                <w:sz w:val="18"/>
                <w:szCs w:val="18"/>
              </w:rPr>
            </w:pPr>
            <w:r>
              <w:rPr>
                <w:color w:val="auto"/>
                <w:sz w:val="18"/>
                <w:szCs w:val="18"/>
              </w:rPr>
              <w:t>4.6</w:t>
            </w:r>
          </w:p>
          <w:p w14:paraId="6263610E">
            <w:pPr>
              <w:adjustRightInd w:val="0"/>
              <w:snapToGrid w:val="0"/>
              <w:spacing w:line="240" w:lineRule="atLeast"/>
              <w:jc w:val="center"/>
              <w:rPr>
                <w:color w:val="auto"/>
                <w:sz w:val="18"/>
                <w:szCs w:val="18"/>
              </w:rPr>
            </w:pPr>
            <w:r>
              <w:rPr>
                <w:color w:val="auto"/>
                <w:sz w:val="18"/>
                <w:szCs w:val="18"/>
              </w:rPr>
              <w:t>4.7</w:t>
            </w:r>
          </w:p>
          <w:p w14:paraId="1ED486D5">
            <w:pPr>
              <w:adjustRightInd w:val="0"/>
              <w:snapToGrid w:val="0"/>
              <w:spacing w:line="240" w:lineRule="atLeast"/>
              <w:jc w:val="center"/>
              <w:rPr>
                <w:color w:val="auto"/>
                <w:sz w:val="18"/>
                <w:szCs w:val="18"/>
              </w:rPr>
            </w:pPr>
            <w:r>
              <w:rPr>
                <w:color w:val="auto"/>
                <w:sz w:val="18"/>
                <w:szCs w:val="18"/>
              </w:rPr>
              <w:t>4.8</w:t>
            </w:r>
          </w:p>
          <w:p w14:paraId="4B14DAC3">
            <w:pPr>
              <w:adjustRightInd w:val="0"/>
              <w:snapToGrid w:val="0"/>
              <w:spacing w:line="240" w:lineRule="atLeast"/>
              <w:jc w:val="center"/>
              <w:rPr>
                <w:color w:val="auto"/>
                <w:sz w:val="18"/>
                <w:szCs w:val="18"/>
              </w:rPr>
            </w:pPr>
            <w:r>
              <w:rPr>
                <w:color w:val="auto"/>
                <w:sz w:val="18"/>
                <w:szCs w:val="18"/>
              </w:rPr>
              <w:t>4.9</w:t>
            </w:r>
          </w:p>
          <w:p w14:paraId="1AAE49D4">
            <w:pPr>
              <w:adjustRightInd w:val="0"/>
              <w:snapToGrid w:val="0"/>
              <w:spacing w:line="240" w:lineRule="atLeast"/>
              <w:jc w:val="center"/>
              <w:rPr>
                <w:color w:val="auto"/>
                <w:sz w:val="18"/>
                <w:szCs w:val="18"/>
              </w:rPr>
            </w:pPr>
            <w:r>
              <w:rPr>
                <w:color w:val="auto"/>
                <w:sz w:val="18"/>
                <w:szCs w:val="18"/>
              </w:rPr>
              <w:t>5.0</w:t>
            </w:r>
          </w:p>
          <w:p w14:paraId="0D7ACFB7">
            <w:pPr>
              <w:adjustRightInd w:val="0"/>
              <w:snapToGrid w:val="0"/>
              <w:spacing w:line="240" w:lineRule="atLeast"/>
              <w:jc w:val="center"/>
              <w:rPr>
                <w:color w:val="auto"/>
                <w:sz w:val="18"/>
                <w:szCs w:val="18"/>
              </w:rPr>
            </w:pPr>
          </w:p>
        </w:tc>
        <w:tc>
          <w:tcPr>
            <w:tcW w:w="1524" w:type="dxa"/>
          </w:tcPr>
          <w:p w14:paraId="21123A4D">
            <w:pPr>
              <w:adjustRightInd w:val="0"/>
              <w:snapToGrid w:val="0"/>
              <w:spacing w:line="240" w:lineRule="atLeast"/>
              <w:jc w:val="center"/>
              <w:rPr>
                <w:color w:val="auto"/>
                <w:sz w:val="18"/>
                <w:szCs w:val="18"/>
              </w:rPr>
            </w:pPr>
            <w:r>
              <w:rPr>
                <w:color w:val="auto"/>
                <w:sz w:val="18"/>
                <w:szCs w:val="18"/>
              </w:rPr>
              <w:t>0.463</w:t>
            </w:r>
          </w:p>
          <w:p w14:paraId="5D8A4B6F">
            <w:pPr>
              <w:adjustRightInd w:val="0"/>
              <w:snapToGrid w:val="0"/>
              <w:spacing w:line="240" w:lineRule="atLeast"/>
              <w:jc w:val="center"/>
              <w:rPr>
                <w:color w:val="auto"/>
                <w:sz w:val="18"/>
                <w:szCs w:val="18"/>
              </w:rPr>
            </w:pPr>
            <w:r>
              <w:rPr>
                <w:color w:val="auto"/>
                <w:sz w:val="18"/>
                <w:szCs w:val="18"/>
              </w:rPr>
              <w:t>0.453</w:t>
            </w:r>
          </w:p>
          <w:p w14:paraId="4DE2BB78">
            <w:pPr>
              <w:adjustRightInd w:val="0"/>
              <w:snapToGrid w:val="0"/>
              <w:spacing w:line="240" w:lineRule="atLeast"/>
              <w:jc w:val="center"/>
              <w:rPr>
                <w:color w:val="auto"/>
                <w:sz w:val="18"/>
                <w:szCs w:val="18"/>
              </w:rPr>
            </w:pPr>
            <w:r>
              <w:rPr>
                <w:color w:val="auto"/>
                <w:sz w:val="18"/>
                <w:szCs w:val="18"/>
              </w:rPr>
              <w:t>0.443</w:t>
            </w:r>
          </w:p>
          <w:p w14:paraId="1F7ABDC4">
            <w:pPr>
              <w:adjustRightInd w:val="0"/>
              <w:snapToGrid w:val="0"/>
              <w:spacing w:line="240" w:lineRule="atLeast"/>
              <w:jc w:val="center"/>
              <w:rPr>
                <w:color w:val="auto"/>
                <w:sz w:val="18"/>
                <w:szCs w:val="18"/>
              </w:rPr>
            </w:pPr>
            <w:r>
              <w:rPr>
                <w:color w:val="auto"/>
                <w:sz w:val="18"/>
                <w:szCs w:val="18"/>
              </w:rPr>
              <w:t>0.434</w:t>
            </w:r>
          </w:p>
          <w:p w14:paraId="0FD6DDA6">
            <w:pPr>
              <w:adjustRightInd w:val="0"/>
              <w:snapToGrid w:val="0"/>
              <w:spacing w:line="240" w:lineRule="atLeast"/>
              <w:jc w:val="center"/>
              <w:rPr>
                <w:color w:val="auto"/>
                <w:sz w:val="18"/>
                <w:szCs w:val="18"/>
              </w:rPr>
            </w:pPr>
            <w:r>
              <w:rPr>
                <w:color w:val="auto"/>
                <w:sz w:val="18"/>
                <w:szCs w:val="18"/>
              </w:rPr>
              <w:t>0.425</w:t>
            </w:r>
          </w:p>
          <w:p w14:paraId="5B3DDD34">
            <w:pPr>
              <w:adjustRightInd w:val="0"/>
              <w:snapToGrid w:val="0"/>
              <w:spacing w:line="240" w:lineRule="atLeast"/>
              <w:jc w:val="center"/>
              <w:rPr>
                <w:color w:val="auto"/>
                <w:sz w:val="18"/>
                <w:szCs w:val="18"/>
              </w:rPr>
            </w:pPr>
            <w:r>
              <w:rPr>
                <w:color w:val="auto"/>
                <w:sz w:val="18"/>
                <w:szCs w:val="18"/>
              </w:rPr>
              <w:t>0.417</w:t>
            </w:r>
          </w:p>
          <w:p w14:paraId="75BC5EC4">
            <w:pPr>
              <w:adjustRightInd w:val="0"/>
              <w:snapToGrid w:val="0"/>
              <w:spacing w:line="240" w:lineRule="atLeast"/>
              <w:jc w:val="center"/>
              <w:rPr>
                <w:color w:val="auto"/>
                <w:sz w:val="18"/>
                <w:szCs w:val="18"/>
              </w:rPr>
            </w:pPr>
            <w:r>
              <w:rPr>
                <w:color w:val="auto"/>
                <w:sz w:val="18"/>
                <w:szCs w:val="18"/>
              </w:rPr>
              <w:t>0.409</w:t>
            </w:r>
          </w:p>
          <w:p w14:paraId="6069C2FA">
            <w:pPr>
              <w:adjustRightInd w:val="0"/>
              <w:snapToGrid w:val="0"/>
              <w:spacing w:line="240" w:lineRule="atLeast"/>
              <w:jc w:val="center"/>
              <w:rPr>
                <w:color w:val="auto"/>
                <w:sz w:val="18"/>
                <w:szCs w:val="18"/>
              </w:rPr>
            </w:pPr>
            <w:r>
              <w:rPr>
                <w:color w:val="auto"/>
                <w:sz w:val="18"/>
                <w:szCs w:val="18"/>
              </w:rPr>
              <w:t>0.401</w:t>
            </w:r>
          </w:p>
          <w:p w14:paraId="33F02250">
            <w:pPr>
              <w:adjustRightInd w:val="0"/>
              <w:snapToGrid w:val="0"/>
              <w:spacing w:line="240" w:lineRule="atLeast"/>
              <w:jc w:val="center"/>
              <w:rPr>
                <w:color w:val="auto"/>
                <w:sz w:val="18"/>
                <w:szCs w:val="18"/>
              </w:rPr>
            </w:pPr>
            <w:r>
              <w:rPr>
                <w:color w:val="auto"/>
                <w:sz w:val="18"/>
                <w:szCs w:val="18"/>
              </w:rPr>
              <w:t>0.393</w:t>
            </w:r>
          </w:p>
          <w:p w14:paraId="4E37176D">
            <w:pPr>
              <w:adjustRightInd w:val="0"/>
              <w:snapToGrid w:val="0"/>
              <w:spacing w:line="240" w:lineRule="atLeast"/>
              <w:jc w:val="center"/>
              <w:rPr>
                <w:color w:val="auto"/>
                <w:sz w:val="18"/>
                <w:szCs w:val="18"/>
              </w:rPr>
            </w:pPr>
            <w:r>
              <w:rPr>
                <w:color w:val="auto"/>
                <w:sz w:val="18"/>
                <w:szCs w:val="18"/>
              </w:rPr>
              <w:t>0.386</w:t>
            </w:r>
          </w:p>
          <w:p w14:paraId="4D516EA5">
            <w:pPr>
              <w:adjustRightInd w:val="0"/>
              <w:snapToGrid w:val="0"/>
              <w:spacing w:line="240" w:lineRule="atLeast"/>
              <w:jc w:val="center"/>
              <w:rPr>
                <w:color w:val="auto"/>
                <w:sz w:val="18"/>
                <w:szCs w:val="18"/>
              </w:rPr>
            </w:pPr>
            <w:r>
              <w:rPr>
                <w:color w:val="auto"/>
                <w:sz w:val="18"/>
                <w:szCs w:val="18"/>
              </w:rPr>
              <w:t>0.379</w:t>
            </w:r>
          </w:p>
          <w:p w14:paraId="5F451EF2">
            <w:pPr>
              <w:adjustRightInd w:val="0"/>
              <w:snapToGrid w:val="0"/>
              <w:spacing w:line="240" w:lineRule="atLeast"/>
              <w:jc w:val="center"/>
              <w:rPr>
                <w:color w:val="auto"/>
                <w:sz w:val="18"/>
                <w:szCs w:val="18"/>
              </w:rPr>
            </w:pPr>
            <w:r>
              <w:rPr>
                <w:color w:val="auto"/>
                <w:sz w:val="18"/>
                <w:szCs w:val="18"/>
              </w:rPr>
              <w:t>0.372</w:t>
            </w:r>
          </w:p>
          <w:p w14:paraId="7A007643">
            <w:pPr>
              <w:adjustRightInd w:val="0"/>
              <w:snapToGrid w:val="0"/>
              <w:spacing w:line="240" w:lineRule="atLeast"/>
              <w:jc w:val="center"/>
              <w:rPr>
                <w:color w:val="auto"/>
                <w:sz w:val="18"/>
                <w:szCs w:val="18"/>
              </w:rPr>
            </w:pPr>
            <w:r>
              <w:rPr>
                <w:color w:val="auto"/>
                <w:sz w:val="18"/>
                <w:szCs w:val="18"/>
              </w:rPr>
              <w:t>0.365</w:t>
            </w:r>
          </w:p>
          <w:p w14:paraId="15C1353E">
            <w:pPr>
              <w:adjustRightInd w:val="0"/>
              <w:snapToGrid w:val="0"/>
              <w:spacing w:line="240" w:lineRule="atLeast"/>
              <w:jc w:val="center"/>
              <w:rPr>
                <w:color w:val="auto"/>
                <w:sz w:val="18"/>
                <w:szCs w:val="18"/>
              </w:rPr>
            </w:pPr>
            <w:r>
              <w:rPr>
                <w:color w:val="auto"/>
                <w:sz w:val="18"/>
                <w:szCs w:val="18"/>
              </w:rPr>
              <w:t>0.359</w:t>
            </w:r>
          </w:p>
          <w:p w14:paraId="65FBEE81">
            <w:pPr>
              <w:adjustRightInd w:val="0"/>
              <w:snapToGrid w:val="0"/>
              <w:spacing w:line="240" w:lineRule="atLeast"/>
              <w:jc w:val="center"/>
              <w:rPr>
                <w:color w:val="auto"/>
                <w:sz w:val="18"/>
                <w:szCs w:val="18"/>
              </w:rPr>
            </w:pPr>
            <w:r>
              <w:rPr>
                <w:color w:val="auto"/>
                <w:sz w:val="18"/>
                <w:szCs w:val="18"/>
              </w:rPr>
              <w:t>0.353</w:t>
            </w:r>
          </w:p>
          <w:p w14:paraId="648F0D78">
            <w:pPr>
              <w:adjustRightInd w:val="0"/>
              <w:snapToGrid w:val="0"/>
              <w:spacing w:line="240" w:lineRule="atLeast"/>
              <w:jc w:val="center"/>
              <w:rPr>
                <w:color w:val="auto"/>
                <w:sz w:val="18"/>
                <w:szCs w:val="18"/>
              </w:rPr>
            </w:pPr>
            <w:r>
              <w:rPr>
                <w:color w:val="auto"/>
                <w:sz w:val="18"/>
                <w:szCs w:val="18"/>
              </w:rPr>
              <w:t>0.347</w:t>
            </w:r>
          </w:p>
          <w:p w14:paraId="155E6AAD">
            <w:pPr>
              <w:adjustRightInd w:val="0"/>
              <w:snapToGrid w:val="0"/>
              <w:spacing w:line="240" w:lineRule="atLeast"/>
              <w:jc w:val="center"/>
              <w:rPr>
                <w:color w:val="auto"/>
                <w:sz w:val="18"/>
                <w:szCs w:val="18"/>
              </w:rPr>
            </w:pPr>
            <w:r>
              <w:rPr>
                <w:color w:val="auto"/>
                <w:sz w:val="18"/>
                <w:szCs w:val="18"/>
              </w:rPr>
              <w:t>0.341</w:t>
            </w:r>
          </w:p>
          <w:p w14:paraId="6A2CE536">
            <w:pPr>
              <w:adjustRightInd w:val="0"/>
              <w:snapToGrid w:val="0"/>
              <w:spacing w:line="240" w:lineRule="atLeast"/>
              <w:jc w:val="center"/>
              <w:rPr>
                <w:color w:val="auto"/>
                <w:sz w:val="18"/>
                <w:szCs w:val="18"/>
              </w:rPr>
            </w:pPr>
          </w:p>
        </w:tc>
      </w:tr>
    </w:tbl>
    <w:p w14:paraId="02E3E04F">
      <w:pPr>
        <w:rPr>
          <w:color w:val="auto"/>
          <w:sz w:val="15"/>
          <w:szCs w:val="15"/>
        </w:rPr>
      </w:pPr>
    </w:p>
    <w:p w14:paraId="5849DD3A">
      <w:pPr>
        <w:rPr>
          <w:color w:val="auto"/>
          <w:sz w:val="15"/>
          <w:szCs w:val="15"/>
        </w:rPr>
      </w:pPr>
    </w:p>
    <w:p w14:paraId="55B675C4">
      <w:pPr>
        <w:adjustRightInd w:val="0"/>
        <w:snapToGrid w:val="0"/>
        <w:spacing w:line="240" w:lineRule="atLeast"/>
        <w:jc w:val="center"/>
        <w:rPr>
          <w:color w:val="auto"/>
          <w:sz w:val="18"/>
          <w:szCs w:val="18"/>
        </w:rPr>
      </w:pPr>
      <w:r>
        <w:rPr>
          <w:color w:val="auto"/>
          <w:sz w:val="15"/>
          <w:szCs w:val="15"/>
        </w:rPr>
        <w:br w:type="page"/>
      </w:r>
      <w:r>
        <w:rPr>
          <w:color w:val="auto"/>
        </w:rPr>
        <w:drawing>
          <wp:inline distT="0" distB="0" distL="0" distR="0">
            <wp:extent cx="2305050" cy="857250"/>
            <wp:effectExtent l="0" t="0" r="0" b="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pic:cNvPicPr>
                      <a:picLocks noChangeAspect="1" noChangeArrowheads="1"/>
                    </pic:cNvPicPr>
                  </pic:nvPicPr>
                  <pic:blipFill>
                    <a:blip r:embed="rId1320" cstate="print">
                      <a:extLst>
                        <a:ext uri="{28A0092B-C50C-407E-A947-70E740481C1C}">
                          <a14:useLocalDpi xmlns:a14="http://schemas.microsoft.com/office/drawing/2010/main" val="0"/>
                        </a:ext>
                      </a:extLst>
                    </a:blip>
                    <a:srcRect/>
                    <a:stretch>
                      <a:fillRect/>
                    </a:stretch>
                  </pic:blipFill>
                  <pic:spPr>
                    <a:xfrm>
                      <a:off x="0" y="0"/>
                      <a:ext cx="2305050" cy="857250"/>
                    </a:xfrm>
                    <a:prstGeom prst="rect">
                      <a:avLst/>
                    </a:prstGeom>
                    <a:noFill/>
                    <a:ln>
                      <a:noFill/>
                    </a:ln>
                  </pic:spPr>
                </pic:pic>
              </a:graphicData>
            </a:graphic>
          </wp:inline>
        </w:drawing>
      </w:r>
    </w:p>
    <w:p w14:paraId="1012C049">
      <w:pPr>
        <w:adjustRightInd w:val="0"/>
        <w:snapToGrid w:val="0"/>
        <w:spacing w:before="120"/>
        <w:jc w:val="center"/>
        <w:rPr>
          <w:rFonts w:eastAsia="黑体"/>
          <w:b/>
          <w:bCs/>
          <w:color w:val="auto"/>
          <w:szCs w:val="21"/>
        </w:rPr>
      </w:pPr>
      <w:r>
        <w:rPr>
          <w:color w:val="auto"/>
          <w:szCs w:val="21"/>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-1122680</wp:posOffset>
                </wp:positionV>
                <wp:extent cx="1257300" cy="297180"/>
                <wp:effectExtent l="0" t="1270" r="0" b="0"/>
                <wp:wrapNone/>
                <wp:docPr id="365" name="文本框 365"/>
                <wp:cNvGraphicFramePr/>
                <a:graphic xmlns:a="http://schemas.openxmlformats.org/drawingml/2006/main">
                  <a:graphicData uri="http://schemas.microsoft.com/office/word/2010/wordprocessingShape">
                    <wps:wsp>
                      <wps:cNvSpPr txBox="1">
                        <a:spLocks noChangeArrowheads="1"/>
                      </wps:cNvSpPr>
                      <wps:spPr bwMode="auto">
                        <a:xfrm>
                          <a:off x="0" y="0"/>
                          <a:ext cx="1257300" cy="297180"/>
                        </a:xfrm>
                        <a:prstGeom prst="rect">
                          <a:avLst/>
                        </a:prstGeom>
                        <a:noFill/>
                        <a:ln>
                          <a:noFill/>
                        </a:ln>
                      </wps:spPr>
                      <wps:txbx>
                        <w:txbxContent>
                          <w:p w14:paraId="560D111A"/>
                        </w:txbxContent>
                      </wps:txbx>
                      <wps:bodyPr rot="0" vert="horz" wrap="square" lIns="18000" tIns="45720" rIns="18000" bIns="45720" anchor="t" anchorCtr="0" upright="1">
                        <a:noAutofit/>
                      </wps:bodyPr>
                    </wps:wsp>
                  </a:graphicData>
                </a:graphic>
              </wp:anchor>
            </w:drawing>
          </mc:Choice>
          <mc:Fallback>
            <w:pict>
              <v:shape id="_x0000_s1026" o:spid="_x0000_s1026" o:spt="202" type="#_x0000_t202" style="position:absolute;left:0pt;margin-left:0pt;margin-top:-88.4pt;height:23.4pt;width:99pt;z-index:251672576;mso-width-relative:page;mso-height-relative:page;" filled="f" stroked="f" coordsize="21600,21600" o:gfxdata="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CGWxU2AAAAAoBAAAP&#10;AAAAAAAAAAEAIAAAACIAAABkcnMvZG93bnJldi54bWxQSwECFAAUAAAACACHTuJA60IUaBgCAAAZ&#10;BAAADgAAAAAAAAABACAAAAAnAQAAZHJzL2Uyb0RvYy54bWxQSwUGAAAAAAYABgBZAQAAsQUAAAAA&#10;">
                <v:fill on="f" focussize="0,0"/>
                <v:stroke on="f"/>
                <v:imagedata o:title=""/>
                <o:lock v:ext="edit" aspectratio="f"/>
                <v:textbox inset="0.5mm,1.27mm,0.5mm,1.27mm">
                  <w:txbxContent>
                    <w:p w14:paraId="560D111A"/>
                  </w:txbxContent>
                </v:textbox>
              </v:shape>
            </w:pict>
          </mc:Fallback>
        </mc:AlternateContent>
      </w:r>
      <w:r>
        <w:rPr>
          <w:rFonts w:eastAsia="黑体"/>
          <w:b/>
          <w:bCs/>
          <w:color w:val="auto"/>
          <w:szCs w:val="21"/>
        </w:rPr>
        <w:t>表G.6  圆形面积上三角形分布荷载作用下边点的</w:t>
      </w:r>
    </w:p>
    <w:p w14:paraId="777381F6">
      <w:pPr>
        <w:adjustRightInd w:val="0"/>
        <w:snapToGrid w:val="0"/>
        <w:jc w:val="center"/>
        <w:rPr>
          <w:rFonts w:eastAsia="黑体"/>
          <w:b/>
          <w:bCs/>
          <w:color w:val="auto"/>
          <w:szCs w:val="21"/>
        </w:rPr>
      </w:pPr>
      <w:r>
        <w:rPr>
          <w:rFonts w:eastAsia="黑体"/>
          <w:b/>
          <w:bCs/>
          <w:color w:val="auto"/>
          <w:szCs w:val="21"/>
        </w:rPr>
        <w:t xml:space="preserve">         附加应力系数</w:t>
      </w:r>
      <w:r>
        <w:rPr>
          <w:rFonts w:eastAsia="黑体"/>
          <w:b/>
          <w:bCs/>
          <w:color w:val="auto"/>
          <w:position w:val="-6"/>
          <w:szCs w:val="21"/>
        </w:rPr>
        <w:object>
          <v:shape id="_x0000_i1702" o:spt="75" type="#_x0000_t75" style="height:9.75pt;width:11.25pt;" o:ole="t" filled="f" o:preferrelative="t" stroked="f" coordsize="21600,21600">
            <v:path/>
            <v:fill on="f" focussize="0,0"/>
            <v:stroke on="f" joinstyle="miter"/>
            <v:imagedata r:id="rId1322" o:title=""/>
            <o:lock v:ext="edit" aspectratio="t"/>
            <w10:wrap type="none"/>
            <w10:anchorlock/>
          </v:shape>
          <o:OLEObject Type="Embed" ProgID="Equation.DSMT4" ShapeID="_x0000_i1702" DrawAspect="Content" ObjectID="_1468076402" r:id="rId1321">
            <o:LockedField>false</o:LockedField>
          </o:OLEObject>
        </w:object>
      </w:r>
      <w:r>
        <w:rPr>
          <w:rFonts w:eastAsia="黑体"/>
          <w:b/>
          <w:bCs/>
          <w:color w:val="auto"/>
          <w:szCs w:val="21"/>
        </w:rPr>
        <w:t>与平均附加应力系数</w:t>
      </w:r>
      <w:r>
        <w:rPr>
          <w:rFonts w:eastAsia="黑体"/>
          <w:b/>
          <w:bCs/>
          <w:color w:val="auto"/>
          <w:position w:val="-6"/>
          <w:szCs w:val="21"/>
        </w:rPr>
        <w:object>
          <v:shape id="_x0000_i1703" o:spt="75" type="#_x0000_t75" style="height:12pt;width:11.25pt;" o:ole="t" filled="f" o:preferrelative="t" stroked="f" coordsize="21600,21600">
            <v:path/>
            <v:fill on="f" focussize="0,0"/>
            <v:stroke on="f" joinstyle="miter"/>
            <v:imagedata r:id="rId1314" o:title=""/>
            <o:lock v:ext="edit" aspectratio="t"/>
            <w10:wrap type="none"/>
            <w10:anchorlock/>
          </v:shape>
          <o:OLEObject Type="Embed" ProgID="Equation.DSMT4" ShapeID="_x0000_i1703" DrawAspect="Content" ObjectID="_1468076403" r:id="rId1323">
            <o:LockedField>false</o:LockedField>
          </o:OLEObject>
        </w:object>
      </w:r>
    </w:p>
    <w:tbl>
      <w:tblPr>
        <w:tblStyle w:val="36"/>
        <w:tblW w:w="91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74"/>
        <w:gridCol w:w="1785"/>
        <w:gridCol w:w="1866"/>
        <w:gridCol w:w="1866"/>
        <w:gridCol w:w="1869"/>
      </w:tblGrid>
      <w:tr w14:paraId="09188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7" w:hRule="atLeast"/>
          <w:jc w:val="center"/>
        </w:trPr>
        <w:tc>
          <w:tcPr>
            <w:tcW w:w="1774" w:type="dxa"/>
            <w:vMerge w:val="restart"/>
            <w:vAlign w:val="center"/>
          </w:tcPr>
          <w:p w14:paraId="0BA6BCE5">
            <w:pPr>
              <w:adjustRightInd w:val="0"/>
              <w:snapToGrid w:val="0"/>
              <w:spacing w:line="140" w:lineRule="atLeast"/>
              <w:jc w:val="center"/>
              <w:rPr>
                <w:color w:val="auto"/>
                <w:sz w:val="18"/>
                <w:szCs w:val="18"/>
              </w:rPr>
            </w:pPr>
            <w:r>
              <w:rPr>
                <w:i/>
                <w:color w:val="auto"/>
                <w:sz w:val="18"/>
                <w:szCs w:val="18"/>
              </w:rPr>
              <w:t>z</w:t>
            </w:r>
            <w:r>
              <w:rPr>
                <w:color w:val="auto"/>
                <w:sz w:val="18"/>
                <w:szCs w:val="18"/>
              </w:rPr>
              <w:t>/</w:t>
            </w:r>
            <w:r>
              <w:rPr>
                <w:i/>
                <w:color w:val="auto"/>
                <w:sz w:val="18"/>
                <w:szCs w:val="18"/>
              </w:rPr>
              <w:t>r</w:t>
            </w:r>
          </w:p>
        </w:tc>
        <w:tc>
          <w:tcPr>
            <w:tcW w:w="3651" w:type="dxa"/>
            <w:gridSpan w:val="2"/>
            <w:vAlign w:val="center"/>
          </w:tcPr>
          <w:p w14:paraId="51A582A8">
            <w:pPr>
              <w:pStyle w:val="24"/>
              <w:pBdr>
                <w:bottom w:val="none" w:color="auto" w:sz="0" w:space="0"/>
              </w:pBdr>
              <w:tabs>
                <w:tab w:val="clear" w:pos="4153"/>
                <w:tab w:val="clear" w:pos="8306"/>
              </w:tabs>
              <w:adjustRightInd w:val="0"/>
              <w:spacing w:line="240" w:lineRule="atLeast"/>
              <w:rPr>
                <w:color w:val="auto"/>
              </w:rPr>
            </w:pPr>
            <w:r>
              <w:rPr>
                <w:color w:val="auto"/>
              </w:rPr>
              <w:t>点1</w:t>
            </w:r>
          </w:p>
        </w:tc>
        <w:tc>
          <w:tcPr>
            <w:tcW w:w="3735" w:type="dxa"/>
            <w:gridSpan w:val="2"/>
            <w:vAlign w:val="center"/>
          </w:tcPr>
          <w:p w14:paraId="311271E7">
            <w:pPr>
              <w:adjustRightInd w:val="0"/>
              <w:snapToGrid w:val="0"/>
              <w:spacing w:line="240" w:lineRule="atLeast"/>
              <w:jc w:val="center"/>
              <w:rPr>
                <w:color w:val="auto"/>
                <w:sz w:val="18"/>
                <w:szCs w:val="18"/>
              </w:rPr>
            </w:pPr>
            <w:r>
              <w:rPr>
                <w:color w:val="auto"/>
                <w:sz w:val="18"/>
                <w:szCs w:val="18"/>
              </w:rPr>
              <w:t>点2</w:t>
            </w:r>
          </w:p>
        </w:tc>
      </w:tr>
      <w:tr w14:paraId="7FC81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5" w:hRule="atLeast"/>
          <w:jc w:val="center"/>
        </w:trPr>
        <w:tc>
          <w:tcPr>
            <w:tcW w:w="1774" w:type="dxa"/>
            <w:vMerge w:val="continue"/>
            <w:vAlign w:val="center"/>
          </w:tcPr>
          <w:p w14:paraId="2830B0CF">
            <w:pPr>
              <w:adjustRightInd w:val="0"/>
              <w:snapToGrid w:val="0"/>
              <w:jc w:val="center"/>
              <w:rPr>
                <w:color w:val="auto"/>
                <w:sz w:val="18"/>
                <w:szCs w:val="18"/>
              </w:rPr>
            </w:pPr>
          </w:p>
        </w:tc>
        <w:tc>
          <w:tcPr>
            <w:tcW w:w="1785" w:type="dxa"/>
            <w:vAlign w:val="center"/>
          </w:tcPr>
          <w:p w14:paraId="4F8D842C">
            <w:pPr>
              <w:adjustRightInd w:val="0"/>
              <w:snapToGrid w:val="0"/>
              <w:spacing w:line="160" w:lineRule="exact"/>
              <w:jc w:val="center"/>
              <w:rPr>
                <w:color w:val="auto"/>
                <w:sz w:val="18"/>
                <w:szCs w:val="18"/>
              </w:rPr>
            </w:pPr>
            <w:r>
              <w:rPr>
                <w:color w:val="auto"/>
                <w:position w:val="-6"/>
                <w:sz w:val="18"/>
                <w:szCs w:val="18"/>
              </w:rPr>
              <w:object>
                <v:shape id="_x0000_i1704" o:spt="75" type="#_x0000_t75" style="height:8.25pt;width:8.25pt;" o:ole="t" filled="f" o:preferrelative="t" stroked="f" coordsize="21600,21600">
                  <v:path/>
                  <v:fill on="f" focussize="0,0"/>
                  <v:stroke on="f" joinstyle="miter"/>
                  <v:imagedata r:id="rId14" o:title=""/>
                  <o:lock v:ext="edit" aspectratio="t"/>
                  <w10:wrap type="none"/>
                  <w10:anchorlock/>
                </v:shape>
                <o:OLEObject Type="Embed" ProgID="Equation.3" ShapeID="_x0000_i1704" DrawAspect="Content" ObjectID="_1468076404" r:id="rId1324">
                  <o:LockedField>false</o:LockedField>
                </o:OLEObject>
              </w:object>
            </w:r>
          </w:p>
        </w:tc>
        <w:tc>
          <w:tcPr>
            <w:tcW w:w="1866" w:type="dxa"/>
            <w:vAlign w:val="center"/>
          </w:tcPr>
          <w:p w14:paraId="4A496C7B">
            <w:pPr>
              <w:adjustRightInd w:val="0"/>
              <w:snapToGrid w:val="0"/>
              <w:spacing w:line="160" w:lineRule="exact"/>
              <w:jc w:val="center"/>
              <w:rPr>
                <w:color w:val="auto"/>
                <w:sz w:val="18"/>
                <w:szCs w:val="18"/>
              </w:rPr>
            </w:pPr>
            <w:r>
              <w:rPr>
                <w:color w:val="auto"/>
                <w:position w:val="-6"/>
                <w:sz w:val="18"/>
                <w:szCs w:val="18"/>
              </w:rPr>
              <w:object>
                <v:shape id="_x0000_i1705" o:spt="75" type="#_x0000_t75" style="height:9pt;width:8.25pt;" o:ole="t" filled="f" o:preferrelative="t" stroked="f" coordsize="21600,21600">
                  <v:path/>
                  <v:fill on="f" focussize="0,0"/>
                  <v:stroke on="f" joinstyle="miter"/>
                  <v:imagedata r:id="rId1326" o:title=""/>
                  <o:lock v:ext="edit" aspectratio="t"/>
                  <w10:wrap type="none"/>
                  <w10:anchorlock/>
                </v:shape>
                <o:OLEObject Type="Embed" ProgID="Equation.DSMT4" ShapeID="_x0000_i1705" DrawAspect="Content" ObjectID="_1468076405" r:id="rId1325">
                  <o:LockedField>false</o:LockedField>
                </o:OLEObject>
              </w:object>
            </w:r>
          </w:p>
        </w:tc>
        <w:tc>
          <w:tcPr>
            <w:tcW w:w="1866" w:type="dxa"/>
            <w:vAlign w:val="center"/>
          </w:tcPr>
          <w:p w14:paraId="42C6D736">
            <w:pPr>
              <w:adjustRightInd w:val="0"/>
              <w:snapToGrid w:val="0"/>
              <w:spacing w:line="160" w:lineRule="exact"/>
              <w:jc w:val="center"/>
              <w:rPr>
                <w:color w:val="auto"/>
                <w:sz w:val="18"/>
                <w:szCs w:val="18"/>
              </w:rPr>
            </w:pPr>
            <w:r>
              <w:rPr>
                <w:color w:val="auto"/>
                <w:position w:val="-6"/>
                <w:sz w:val="18"/>
                <w:szCs w:val="18"/>
              </w:rPr>
              <w:object>
                <v:shape id="_x0000_i1706" o:spt="75" type="#_x0000_t75" style="height:8.25pt;width:8.25pt;" o:ole="t" filled="f" o:preferrelative="t" stroked="f" coordsize="21600,21600">
                  <v:path/>
                  <v:fill on="f" focussize="0,0"/>
                  <v:stroke on="f" joinstyle="miter"/>
                  <v:imagedata r:id="rId14" o:title=""/>
                  <o:lock v:ext="edit" aspectratio="t"/>
                  <w10:wrap type="none"/>
                  <w10:anchorlock/>
                </v:shape>
                <o:OLEObject Type="Embed" ProgID="Equation.3" ShapeID="_x0000_i1706" DrawAspect="Content" ObjectID="_1468076406" r:id="rId1327">
                  <o:LockedField>false</o:LockedField>
                </o:OLEObject>
              </w:object>
            </w:r>
          </w:p>
        </w:tc>
        <w:tc>
          <w:tcPr>
            <w:tcW w:w="1868" w:type="dxa"/>
            <w:vAlign w:val="center"/>
          </w:tcPr>
          <w:p w14:paraId="0626AA9A">
            <w:pPr>
              <w:adjustRightInd w:val="0"/>
              <w:snapToGrid w:val="0"/>
              <w:spacing w:line="160" w:lineRule="exact"/>
              <w:jc w:val="center"/>
              <w:rPr>
                <w:color w:val="auto"/>
                <w:sz w:val="18"/>
                <w:szCs w:val="18"/>
              </w:rPr>
            </w:pPr>
            <w:r>
              <w:rPr>
                <w:color w:val="auto"/>
                <w:position w:val="-6"/>
                <w:sz w:val="18"/>
                <w:szCs w:val="18"/>
              </w:rPr>
              <w:object>
                <v:shape id="_x0000_i1707" o:spt="75" type="#_x0000_t75" style="height:9pt;width:8.25pt;" o:ole="t" filled="f" o:preferrelative="t" stroked="f" coordsize="21600,21600">
                  <v:path/>
                  <v:fill on="f" focussize="0,0"/>
                  <v:stroke on="f" joinstyle="miter"/>
                  <v:imagedata r:id="rId1329" o:title=""/>
                  <o:lock v:ext="edit" aspectratio="t"/>
                  <w10:wrap type="none"/>
                  <w10:anchorlock/>
                </v:shape>
                <o:OLEObject Type="Embed" ProgID="Equation.DSMT4" ShapeID="_x0000_i1707" DrawAspect="Content" ObjectID="_1468076407" r:id="rId1328">
                  <o:LockedField>false</o:LockedField>
                </o:OLEObject>
              </w:object>
            </w:r>
          </w:p>
        </w:tc>
      </w:tr>
      <w:tr w14:paraId="2C37E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8" w:hRule="atLeast"/>
          <w:jc w:val="center"/>
        </w:trPr>
        <w:tc>
          <w:tcPr>
            <w:tcW w:w="1774" w:type="dxa"/>
            <w:vAlign w:val="center"/>
          </w:tcPr>
          <w:p w14:paraId="7A22A711">
            <w:pPr>
              <w:adjustRightInd w:val="0"/>
              <w:snapToGrid w:val="0"/>
              <w:spacing w:line="200" w:lineRule="exact"/>
              <w:jc w:val="center"/>
              <w:rPr>
                <w:color w:val="auto"/>
                <w:sz w:val="18"/>
                <w:szCs w:val="18"/>
              </w:rPr>
            </w:pPr>
            <w:r>
              <w:rPr>
                <w:color w:val="auto"/>
                <w:sz w:val="18"/>
                <w:szCs w:val="18"/>
              </w:rPr>
              <w:t>0.0</w:t>
            </w:r>
          </w:p>
          <w:p w14:paraId="36D36B31">
            <w:pPr>
              <w:adjustRightInd w:val="0"/>
              <w:snapToGrid w:val="0"/>
              <w:spacing w:line="200" w:lineRule="exact"/>
              <w:jc w:val="center"/>
              <w:rPr>
                <w:color w:val="auto"/>
                <w:sz w:val="18"/>
                <w:szCs w:val="18"/>
              </w:rPr>
            </w:pPr>
            <w:r>
              <w:rPr>
                <w:color w:val="auto"/>
                <w:sz w:val="18"/>
                <w:szCs w:val="18"/>
              </w:rPr>
              <w:t>0.1</w:t>
            </w:r>
          </w:p>
          <w:p w14:paraId="276D37A9">
            <w:pPr>
              <w:adjustRightInd w:val="0"/>
              <w:snapToGrid w:val="0"/>
              <w:spacing w:line="200" w:lineRule="exact"/>
              <w:jc w:val="center"/>
              <w:rPr>
                <w:color w:val="auto"/>
                <w:sz w:val="18"/>
                <w:szCs w:val="18"/>
              </w:rPr>
            </w:pPr>
            <w:r>
              <w:rPr>
                <w:color w:val="auto"/>
                <w:sz w:val="18"/>
                <w:szCs w:val="18"/>
              </w:rPr>
              <w:t>0.2</w:t>
            </w:r>
          </w:p>
          <w:p w14:paraId="77178F02">
            <w:pPr>
              <w:adjustRightInd w:val="0"/>
              <w:snapToGrid w:val="0"/>
              <w:spacing w:line="200" w:lineRule="exact"/>
              <w:jc w:val="center"/>
              <w:rPr>
                <w:color w:val="auto"/>
                <w:sz w:val="18"/>
                <w:szCs w:val="18"/>
              </w:rPr>
            </w:pPr>
            <w:r>
              <w:rPr>
                <w:color w:val="auto"/>
                <w:sz w:val="18"/>
                <w:szCs w:val="18"/>
              </w:rPr>
              <w:t>0.3</w:t>
            </w:r>
          </w:p>
          <w:p w14:paraId="651FFD03">
            <w:pPr>
              <w:adjustRightInd w:val="0"/>
              <w:snapToGrid w:val="0"/>
              <w:spacing w:line="200" w:lineRule="exact"/>
              <w:jc w:val="center"/>
              <w:rPr>
                <w:color w:val="auto"/>
                <w:sz w:val="18"/>
                <w:szCs w:val="18"/>
              </w:rPr>
            </w:pPr>
            <w:r>
              <w:rPr>
                <w:color w:val="auto"/>
                <w:sz w:val="18"/>
                <w:szCs w:val="18"/>
              </w:rPr>
              <w:t>0.4</w:t>
            </w:r>
          </w:p>
          <w:p w14:paraId="6BFEA99D">
            <w:pPr>
              <w:adjustRightInd w:val="0"/>
              <w:snapToGrid w:val="0"/>
              <w:spacing w:line="200" w:lineRule="exact"/>
              <w:jc w:val="center"/>
              <w:rPr>
                <w:color w:val="auto"/>
                <w:sz w:val="18"/>
                <w:szCs w:val="18"/>
              </w:rPr>
            </w:pPr>
            <w:r>
              <w:rPr>
                <w:color w:val="auto"/>
                <w:sz w:val="18"/>
                <w:szCs w:val="18"/>
              </w:rPr>
              <w:t>0.5</w:t>
            </w:r>
          </w:p>
          <w:p w14:paraId="2E0F0215">
            <w:pPr>
              <w:adjustRightInd w:val="0"/>
              <w:snapToGrid w:val="0"/>
              <w:spacing w:line="200" w:lineRule="exact"/>
              <w:jc w:val="center"/>
              <w:rPr>
                <w:color w:val="auto"/>
                <w:sz w:val="18"/>
                <w:szCs w:val="18"/>
              </w:rPr>
            </w:pPr>
          </w:p>
          <w:p w14:paraId="312EC016">
            <w:pPr>
              <w:adjustRightInd w:val="0"/>
              <w:snapToGrid w:val="0"/>
              <w:spacing w:line="200" w:lineRule="exact"/>
              <w:jc w:val="center"/>
              <w:rPr>
                <w:color w:val="auto"/>
                <w:sz w:val="18"/>
                <w:szCs w:val="18"/>
              </w:rPr>
            </w:pPr>
            <w:r>
              <w:rPr>
                <w:color w:val="auto"/>
                <w:sz w:val="18"/>
                <w:szCs w:val="18"/>
              </w:rPr>
              <w:t>0.6</w:t>
            </w:r>
          </w:p>
          <w:p w14:paraId="08DFF73F">
            <w:pPr>
              <w:adjustRightInd w:val="0"/>
              <w:snapToGrid w:val="0"/>
              <w:spacing w:line="200" w:lineRule="exact"/>
              <w:jc w:val="center"/>
              <w:rPr>
                <w:color w:val="auto"/>
                <w:sz w:val="18"/>
                <w:szCs w:val="18"/>
              </w:rPr>
            </w:pPr>
            <w:r>
              <w:rPr>
                <w:color w:val="auto"/>
                <w:sz w:val="18"/>
                <w:szCs w:val="18"/>
              </w:rPr>
              <w:t>0.7</w:t>
            </w:r>
          </w:p>
          <w:p w14:paraId="737E8FE2">
            <w:pPr>
              <w:adjustRightInd w:val="0"/>
              <w:snapToGrid w:val="0"/>
              <w:spacing w:line="200" w:lineRule="exact"/>
              <w:jc w:val="center"/>
              <w:rPr>
                <w:color w:val="auto"/>
                <w:sz w:val="18"/>
                <w:szCs w:val="18"/>
              </w:rPr>
            </w:pPr>
            <w:r>
              <w:rPr>
                <w:color w:val="auto"/>
                <w:sz w:val="18"/>
                <w:szCs w:val="18"/>
              </w:rPr>
              <w:t>0.8</w:t>
            </w:r>
          </w:p>
          <w:p w14:paraId="0732BA6A">
            <w:pPr>
              <w:adjustRightInd w:val="0"/>
              <w:snapToGrid w:val="0"/>
              <w:spacing w:line="200" w:lineRule="exact"/>
              <w:jc w:val="center"/>
              <w:rPr>
                <w:color w:val="auto"/>
                <w:sz w:val="18"/>
                <w:szCs w:val="18"/>
              </w:rPr>
            </w:pPr>
            <w:r>
              <w:rPr>
                <w:color w:val="auto"/>
                <w:sz w:val="18"/>
                <w:szCs w:val="18"/>
              </w:rPr>
              <w:t>0.9</w:t>
            </w:r>
          </w:p>
          <w:p w14:paraId="332C3B1A">
            <w:pPr>
              <w:adjustRightInd w:val="0"/>
              <w:snapToGrid w:val="0"/>
              <w:spacing w:line="200" w:lineRule="exact"/>
              <w:jc w:val="center"/>
              <w:rPr>
                <w:color w:val="auto"/>
                <w:sz w:val="18"/>
                <w:szCs w:val="18"/>
              </w:rPr>
            </w:pPr>
            <w:r>
              <w:rPr>
                <w:color w:val="auto"/>
                <w:sz w:val="18"/>
                <w:szCs w:val="18"/>
              </w:rPr>
              <w:t>1.0</w:t>
            </w:r>
          </w:p>
          <w:p w14:paraId="1D3DE840">
            <w:pPr>
              <w:adjustRightInd w:val="0"/>
              <w:snapToGrid w:val="0"/>
              <w:spacing w:line="200" w:lineRule="exact"/>
              <w:jc w:val="center"/>
              <w:rPr>
                <w:color w:val="auto"/>
                <w:sz w:val="18"/>
                <w:szCs w:val="18"/>
              </w:rPr>
            </w:pPr>
          </w:p>
          <w:p w14:paraId="42933FA0">
            <w:pPr>
              <w:adjustRightInd w:val="0"/>
              <w:snapToGrid w:val="0"/>
              <w:spacing w:line="200" w:lineRule="exact"/>
              <w:jc w:val="center"/>
              <w:rPr>
                <w:color w:val="auto"/>
                <w:sz w:val="18"/>
                <w:szCs w:val="18"/>
              </w:rPr>
            </w:pPr>
            <w:r>
              <w:rPr>
                <w:color w:val="auto"/>
                <w:sz w:val="18"/>
                <w:szCs w:val="18"/>
              </w:rPr>
              <w:t>1.1</w:t>
            </w:r>
          </w:p>
          <w:p w14:paraId="1D332AC1">
            <w:pPr>
              <w:adjustRightInd w:val="0"/>
              <w:snapToGrid w:val="0"/>
              <w:spacing w:line="200" w:lineRule="exact"/>
              <w:jc w:val="center"/>
              <w:rPr>
                <w:color w:val="auto"/>
                <w:sz w:val="18"/>
                <w:szCs w:val="18"/>
              </w:rPr>
            </w:pPr>
            <w:r>
              <w:rPr>
                <w:color w:val="auto"/>
                <w:sz w:val="18"/>
                <w:szCs w:val="18"/>
              </w:rPr>
              <w:t>1.2</w:t>
            </w:r>
          </w:p>
          <w:p w14:paraId="480DD1E2">
            <w:pPr>
              <w:adjustRightInd w:val="0"/>
              <w:snapToGrid w:val="0"/>
              <w:spacing w:line="200" w:lineRule="exact"/>
              <w:jc w:val="center"/>
              <w:rPr>
                <w:color w:val="auto"/>
                <w:sz w:val="18"/>
                <w:szCs w:val="18"/>
              </w:rPr>
            </w:pPr>
            <w:r>
              <w:rPr>
                <w:color w:val="auto"/>
                <w:sz w:val="18"/>
                <w:szCs w:val="18"/>
              </w:rPr>
              <w:t>1.3</w:t>
            </w:r>
          </w:p>
          <w:p w14:paraId="76E94D88">
            <w:pPr>
              <w:adjustRightInd w:val="0"/>
              <w:snapToGrid w:val="0"/>
              <w:spacing w:line="200" w:lineRule="exact"/>
              <w:jc w:val="center"/>
              <w:rPr>
                <w:color w:val="auto"/>
                <w:sz w:val="18"/>
                <w:szCs w:val="18"/>
              </w:rPr>
            </w:pPr>
            <w:r>
              <w:rPr>
                <w:color w:val="auto"/>
                <w:sz w:val="18"/>
                <w:szCs w:val="18"/>
              </w:rPr>
              <w:t>1.4</w:t>
            </w:r>
          </w:p>
          <w:p w14:paraId="1833E743">
            <w:pPr>
              <w:adjustRightInd w:val="0"/>
              <w:snapToGrid w:val="0"/>
              <w:spacing w:line="200" w:lineRule="exact"/>
              <w:jc w:val="center"/>
              <w:rPr>
                <w:color w:val="auto"/>
                <w:sz w:val="18"/>
                <w:szCs w:val="18"/>
              </w:rPr>
            </w:pPr>
            <w:r>
              <w:rPr>
                <w:color w:val="auto"/>
                <w:sz w:val="18"/>
                <w:szCs w:val="18"/>
              </w:rPr>
              <w:t>1.5</w:t>
            </w:r>
          </w:p>
          <w:p w14:paraId="3C5C014A">
            <w:pPr>
              <w:adjustRightInd w:val="0"/>
              <w:snapToGrid w:val="0"/>
              <w:spacing w:line="200" w:lineRule="exact"/>
              <w:jc w:val="center"/>
              <w:rPr>
                <w:color w:val="auto"/>
                <w:sz w:val="18"/>
                <w:szCs w:val="18"/>
              </w:rPr>
            </w:pPr>
          </w:p>
          <w:p w14:paraId="45509F4D">
            <w:pPr>
              <w:adjustRightInd w:val="0"/>
              <w:snapToGrid w:val="0"/>
              <w:spacing w:line="200" w:lineRule="exact"/>
              <w:jc w:val="center"/>
              <w:rPr>
                <w:color w:val="auto"/>
                <w:sz w:val="18"/>
                <w:szCs w:val="18"/>
              </w:rPr>
            </w:pPr>
            <w:r>
              <w:rPr>
                <w:color w:val="auto"/>
                <w:sz w:val="18"/>
                <w:szCs w:val="18"/>
              </w:rPr>
              <w:t>1.6</w:t>
            </w:r>
          </w:p>
          <w:p w14:paraId="23589C33">
            <w:pPr>
              <w:adjustRightInd w:val="0"/>
              <w:snapToGrid w:val="0"/>
              <w:spacing w:line="200" w:lineRule="exact"/>
              <w:jc w:val="center"/>
              <w:rPr>
                <w:color w:val="auto"/>
                <w:sz w:val="18"/>
                <w:szCs w:val="18"/>
              </w:rPr>
            </w:pPr>
            <w:r>
              <w:rPr>
                <w:color w:val="auto"/>
                <w:sz w:val="18"/>
                <w:szCs w:val="18"/>
              </w:rPr>
              <w:t>1.7</w:t>
            </w:r>
          </w:p>
          <w:p w14:paraId="6B717A9B">
            <w:pPr>
              <w:adjustRightInd w:val="0"/>
              <w:snapToGrid w:val="0"/>
              <w:spacing w:line="200" w:lineRule="exact"/>
              <w:jc w:val="center"/>
              <w:rPr>
                <w:color w:val="auto"/>
                <w:sz w:val="18"/>
                <w:szCs w:val="18"/>
              </w:rPr>
            </w:pPr>
            <w:r>
              <w:rPr>
                <w:color w:val="auto"/>
                <w:sz w:val="18"/>
                <w:szCs w:val="18"/>
              </w:rPr>
              <w:t>1.8</w:t>
            </w:r>
          </w:p>
          <w:p w14:paraId="644EAD40">
            <w:pPr>
              <w:adjustRightInd w:val="0"/>
              <w:snapToGrid w:val="0"/>
              <w:spacing w:line="200" w:lineRule="exact"/>
              <w:jc w:val="center"/>
              <w:rPr>
                <w:color w:val="auto"/>
                <w:sz w:val="18"/>
                <w:szCs w:val="18"/>
              </w:rPr>
            </w:pPr>
            <w:r>
              <w:rPr>
                <w:color w:val="auto"/>
                <w:sz w:val="18"/>
                <w:szCs w:val="18"/>
              </w:rPr>
              <w:t>1.9</w:t>
            </w:r>
          </w:p>
          <w:p w14:paraId="2C57BD7A">
            <w:pPr>
              <w:adjustRightInd w:val="0"/>
              <w:snapToGrid w:val="0"/>
              <w:spacing w:line="200" w:lineRule="exact"/>
              <w:jc w:val="center"/>
              <w:rPr>
                <w:color w:val="auto"/>
                <w:sz w:val="18"/>
                <w:szCs w:val="18"/>
              </w:rPr>
            </w:pPr>
            <w:r>
              <w:rPr>
                <w:color w:val="auto"/>
                <w:sz w:val="18"/>
                <w:szCs w:val="18"/>
              </w:rPr>
              <w:t>2.0</w:t>
            </w:r>
          </w:p>
          <w:p w14:paraId="094F9233">
            <w:pPr>
              <w:adjustRightInd w:val="0"/>
              <w:snapToGrid w:val="0"/>
              <w:spacing w:line="200" w:lineRule="exact"/>
              <w:jc w:val="center"/>
              <w:rPr>
                <w:color w:val="auto"/>
                <w:sz w:val="18"/>
                <w:szCs w:val="18"/>
              </w:rPr>
            </w:pPr>
          </w:p>
          <w:p w14:paraId="00BAD26F">
            <w:pPr>
              <w:adjustRightInd w:val="0"/>
              <w:snapToGrid w:val="0"/>
              <w:spacing w:line="200" w:lineRule="exact"/>
              <w:jc w:val="center"/>
              <w:rPr>
                <w:color w:val="auto"/>
                <w:sz w:val="18"/>
                <w:szCs w:val="18"/>
              </w:rPr>
            </w:pPr>
            <w:r>
              <w:rPr>
                <w:color w:val="auto"/>
                <w:sz w:val="18"/>
                <w:szCs w:val="18"/>
              </w:rPr>
              <w:t>2.1</w:t>
            </w:r>
          </w:p>
          <w:p w14:paraId="3EBB785D">
            <w:pPr>
              <w:adjustRightInd w:val="0"/>
              <w:snapToGrid w:val="0"/>
              <w:spacing w:line="200" w:lineRule="exact"/>
              <w:jc w:val="center"/>
              <w:rPr>
                <w:color w:val="auto"/>
                <w:sz w:val="18"/>
                <w:szCs w:val="18"/>
              </w:rPr>
            </w:pPr>
            <w:r>
              <w:rPr>
                <w:color w:val="auto"/>
                <w:sz w:val="18"/>
                <w:szCs w:val="18"/>
              </w:rPr>
              <w:t>2.2</w:t>
            </w:r>
          </w:p>
          <w:p w14:paraId="202E006A">
            <w:pPr>
              <w:adjustRightInd w:val="0"/>
              <w:snapToGrid w:val="0"/>
              <w:spacing w:line="200" w:lineRule="exact"/>
              <w:jc w:val="center"/>
              <w:rPr>
                <w:color w:val="auto"/>
                <w:sz w:val="18"/>
                <w:szCs w:val="18"/>
              </w:rPr>
            </w:pPr>
            <w:r>
              <w:rPr>
                <w:color w:val="auto"/>
                <w:sz w:val="18"/>
                <w:szCs w:val="18"/>
              </w:rPr>
              <w:t>2.3</w:t>
            </w:r>
          </w:p>
          <w:p w14:paraId="6A9C3307">
            <w:pPr>
              <w:adjustRightInd w:val="0"/>
              <w:snapToGrid w:val="0"/>
              <w:spacing w:line="200" w:lineRule="exact"/>
              <w:jc w:val="center"/>
              <w:rPr>
                <w:color w:val="auto"/>
                <w:sz w:val="18"/>
                <w:szCs w:val="18"/>
              </w:rPr>
            </w:pPr>
            <w:r>
              <w:rPr>
                <w:color w:val="auto"/>
                <w:sz w:val="18"/>
                <w:szCs w:val="18"/>
              </w:rPr>
              <w:t>2.4</w:t>
            </w:r>
          </w:p>
          <w:p w14:paraId="77EBF663">
            <w:pPr>
              <w:adjustRightInd w:val="0"/>
              <w:snapToGrid w:val="0"/>
              <w:spacing w:line="200" w:lineRule="exact"/>
              <w:jc w:val="center"/>
              <w:rPr>
                <w:color w:val="auto"/>
                <w:sz w:val="18"/>
                <w:szCs w:val="18"/>
              </w:rPr>
            </w:pPr>
            <w:r>
              <w:rPr>
                <w:color w:val="auto"/>
                <w:sz w:val="18"/>
                <w:szCs w:val="18"/>
              </w:rPr>
              <w:t>2.5</w:t>
            </w:r>
          </w:p>
          <w:p w14:paraId="19CC28DC">
            <w:pPr>
              <w:adjustRightInd w:val="0"/>
              <w:snapToGrid w:val="0"/>
              <w:spacing w:line="200" w:lineRule="exact"/>
              <w:jc w:val="center"/>
              <w:rPr>
                <w:color w:val="auto"/>
                <w:sz w:val="18"/>
                <w:szCs w:val="18"/>
              </w:rPr>
            </w:pPr>
            <w:r>
              <w:rPr>
                <w:color w:val="auto"/>
                <w:sz w:val="18"/>
                <w:szCs w:val="18"/>
              </w:rPr>
              <w:t>2.6</w:t>
            </w:r>
          </w:p>
          <w:p w14:paraId="2BD82811">
            <w:pPr>
              <w:adjustRightInd w:val="0"/>
              <w:snapToGrid w:val="0"/>
              <w:spacing w:line="200" w:lineRule="exact"/>
              <w:jc w:val="center"/>
              <w:rPr>
                <w:color w:val="auto"/>
                <w:sz w:val="18"/>
                <w:szCs w:val="18"/>
              </w:rPr>
            </w:pPr>
          </w:p>
          <w:p w14:paraId="5982A5C1">
            <w:pPr>
              <w:adjustRightInd w:val="0"/>
              <w:snapToGrid w:val="0"/>
              <w:spacing w:line="200" w:lineRule="exact"/>
              <w:jc w:val="center"/>
              <w:rPr>
                <w:color w:val="auto"/>
                <w:sz w:val="18"/>
                <w:szCs w:val="18"/>
              </w:rPr>
            </w:pPr>
            <w:r>
              <w:rPr>
                <w:color w:val="auto"/>
                <w:sz w:val="18"/>
                <w:szCs w:val="18"/>
              </w:rPr>
              <w:t>2.7</w:t>
            </w:r>
          </w:p>
          <w:p w14:paraId="5130F66D">
            <w:pPr>
              <w:adjustRightInd w:val="0"/>
              <w:snapToGrid w:val="0"/>
              <w:spacing w:line="200" w:lineRule="exact"/>
              <w:jc w:val="center"/>
              <w:rPr>
                <w:color w:val="auto"/>
                <w:sz w:val="18"/>
                <w:szCs w:val="18"/>
              </w:rPr>
            </w:pPr>
            <w:r>
              <w:rPr>
                <w:color w:val="auto"/>
                <w:sz w:val="18"/>
                <w:szCs w:val="18"/>
              </w:rPr>
              <w:t>2.8</w:t>
            </w:r>
          </w:p>
          <w:p w14:paraId="2E807A9F">
            <w:pPr>
              <w:adjustRightInd w:val="0"/>
              <w:snapToGrid w:val="0"/>
              <w:spacing w:line="200" w:lineRule="exact"/>
              <w:jc w:val="center"/>
              <w:rPr>
                <w:color w:val="auto"/>
                <w:sz w:val="18"/>
                <w:szCs w:val="18"/>
              </w:rPr>
            </w:pPr>
            <w:r>
              <w:rPr>
                <w:color w:val="auto"/>
                <w:sz w:val="18"/>
                <w:szCs w:val="18"/>
              </w:rPr>
              <w:t>2.9</w:t>
            </w:r>
          </w:p>
          <w:p w14:paraId="1C06D724">
            <w:pPr>
              <w:adjustRightInd w:val="0"/>
              <w:snapToGrid w:val="0"/>
              <w:spacing w:line="200" w:lineRule="exact"/>
              <w:jc w:val="center"/>
              <w:rPr>
                <w:color w:val="auto"/>
                <w:sz w:val="18"/>
                <w:szCs w:val="18"/>
              </w:rPr>
            </w:pPr>
            <w:r>
              <w:rPr>
                <w:color w:val="auto"/>
                <w:sz w:val="18"/>
                <w:szCs w:val="18"/>
              </w:rPr>
              <w:t>3.0</w:t>
            </w:r>
          </w:p>
          <w:p w14:paraId="6FD118F2">
            <w:pPr>
              <w:adjustRightInd w:val="0"/>
              <w:snapToGrid w:val="0"/>
              <w:spacing w:line="200" w:lineRule="exact"/>
              <w:jc w:val="center"/>
              <w:rPr>
                <w:color w:val="auto"/>
                <w:sz w:val="18"/>
                <w:szCs w:val="18"/>
              </w:rPr>
            </w:pPr>
            <w:r>
              <w:rPr>
                <w:color w:val="auto"/>
                <w:sz w:val="18"/>
                <w:szCs w:val="18"/>
              </w:rPr>
              <w:t>3.1</w:t>
            </w:r>
          </w:p>
          <w:p w14:paraId="6331DCC7">
            <w:pPr>
              <w:adjustRightInd w:val="0"/>
              <w:snapToGrid w:val="0"/>
              <w:spacing w:line="200" w:lineRule="exact"/>
              <w:jc w:val="center"/>
              <w:rPr>
                <w:color w:val="auto"/>
                <w:sz w:val="18"/>
                <w:szCs w:val="18"/>
              </w:rPr>
            </w:pPr>
          </w:p>
          <w:p w14:paraId="7EA95164">
            <w:pPr>
              <w:adjustRightInd w:val="0"/>
              <w:snapToGrid w:val="0"/>
              <w:spacing w:line="200" w:lineRule="exact"/>
              <w:jc w:val="center"/>
              <w:rPr>
                <w:color w:val="auto"/>
                <w:sz w:val="18"/>
                <w:szCs w:val="18"/>
              </w:rPr>
            </w:pPr>
            <w:r>
              <w:rPr>
                <w:color w:val="auto"/>
                <w:sz w:val="18"/>
                <w:szCs w:val="18"/>
              </w:rPr>
              <w:t>3.2</w:t>
            </w:r>
          </w:p>
          <w:p w14:paraId="5B59C824">
            <w:pPr>
              <w:adjustRightInd w:val="0"/>
              <w:snapToGrid w:val="0"/>
              <w:spacing w:line="200" w:lineRule="exact"/>
              <w:jc w:val="center"/>
              <w:rPr>
                <w:color w:val="auto"/>
                <w:sz w:val="18"/>
                <w:szCs w:val="18"/>
              </w:rPr>
            </w:pPr>
            <w:r>
              <w:rPr>
                <w:color w:val="auto"/>
                <w:sz w:val="18"/>
                <w:szCs w:val="18"/>
              </w:rPr>
              <w:t>3.3</w:t>
            </w:r>
          </w:p>
          <w:p w14:paraId="6A9F1919">
            <w:pPr>
              <w:adjustRightInd w:val="0"/>
              <w:snapToGrid w:val="0"/>
              <w:spacing w:line="200" w:lineRule="exact"/>
              <w:jc w:val="center"/>
              <w:rPr>
                <w:color w:val="auto"/>
                <w:sz w:val="18"/>
                <w:szCs w:val="18"/>
              </w:rPr>
            </w:pPr>
            <w:r>
              <w:rPr>
                <w:color w:val="auto"/>
                <w:sz w:val="18"/>
                <w:szCs w:val="18"/>
              </w:rPr>
              <w:t>3.4</w:t>
            </w:r>
          </w:p>
          <w:p w14:paraId="43693F8C">
            <w:pPr>
              <w:adjustRightInd w:val="0"/>
              <w:snapToGrid w:val="0"/>
              <w:spacing w:line="200" w:lineRule="exact"/>
              <w:jc w:val="center"/>
              <w:rPr>
                <w:color w:val="auto"/>
                <w:sz w:val="18"/>
                <w:szCs w:val="18"/>
              </w:rPr>
            </w:pPr>
            <w:r>
              <w:rPr>
                <w:color w:val="auto"/>
                <w:sz w:val="18"/>
                <w:szCs w:val="18"/>
              </w:rPr>
              <w:t>3.5</w:t>
            </w:r>
          </w:p>
          <w:p w14:paraId="303286F0">
            <w:pPr>
              <w:adjustRightInd w:val="0"/>
              <w:snapToGrid w:val="0"/>
              <w:spacing w:line="200" w:lineRule="exact"/>
              <w:jc w:val="center"/>
              <w:rPr>
                <w:color w:val="auto"/>
                <w:sz w:val="18"/>
                <w:szCs w:val="18"/>
              </w:rPr>
            </w:pPr>
            <w:r>
              <w:rPr>
                <w:color w:val="auto"/>
                <w:sz w:val="18"/>
                <w:szCs w:val="18"/>
              </w:rPr>
              <w:t>3.6</w:t>
            </w:r>
          </w:p>
          <w:p w14:paraId="2457E0DD">
            <w:pPr>
              <w:adjustRightInd w:val="0"/>
              <w:snapToGrid w:val="0"/>
              <w:spacing w:line="200" w:lineRule="exact"/>
              <w:jc w:val="center"/>
              <w:rPr>
                <w:color w:val="auto"/>
                <w:sz w:val="18"/>
                <w:szCs w:val="18"/>
              </w:rPr>
            </w:pPr>
            <w:r>
              <w:rPr>
                <w:color w:val="auto"/>
                <w:sz w:val="18"/>
                <w:szCs w:val="18"/>
              </w:rPr>
              <w:t>3.7</w:t>
            </w:r>
          </w:p>
          <w:p w14:paraId="28949C5F">
            <w:pPr>
              <w:adjustRightInd w:val="0"/>
              <w:snapToGrid w:val="0"/>
              <w:spacing w:line="200" w:lineRule="exact"/>
              <w:jc w:val="center"/>
              <w:rPr>
                <w:color w:val="auto"/>
                <w:sz w:val="18"/>
                <w:szCs w:val="18"/>
              </w:rPr>
            </w:pPr>
          </w:p>
          <w:p w14:paraId="0EE73DC4">
            <w:pPr>
              <w:adjustRightInd w:val="0"/>
              <w:snapToGrid w:val="0"/>
              <w:spacing w:line="200" w:lineRule="exact"/>
              <w:jc w:val="center"/>
              <w:rPr>
                <w:color w:val="auto"/>
                <w:sz w:val="18"/>
                <w:szCs w:val="18"/>
              </w:rPr>
            </w:pPr>
            <w:r>
              <w:rPr>
                <w:color w:val="auto"/>
                <w:sz w:val="18"/>
                <w:szCs w:val="18"/>
              </w:rPr>
              <w:t>3.8</w:t>
            </w:r>
          </w:p>
          <w:p w14:paraId="4CDC79D1">
            <w:pPr>
              <w:adjustRightInd w:val="0"/>
              <w:snapToGrid w:val="0"/>
              <w:spacing w:line="200" w:lineRule="exact"/>
              <w:jc w:val="center"/>
              <w:rPr>
                <w:color w:val="auto"/>
                <w:sz w:val="18"/>
                <w:szCs w:val="18"/>
              </w:rPr>
            </w:pPr>
            <w:r>
              <w:rPr>
                <w:color w:val="auto"/>
                <w:sz w:val="18"/>
                <w:szCs w:val="18"/>
              </w:rPr>
              <w:t>3.9</w:t>
            </w:r>
          </w:p>
          <w:p w14:paraId="6FB9B883">
            <w:pPr>
              <w:adjustRightInd w:val="0"/>
              <w:snapToGrid w:val="0"/>
              <w:spacing w:line="200" w:lineRule="exact"/>
              <w:jc w:val="center"/>
              <w:rPr>
                <w:color w:val="auto"/>
                <w:sz w:val="18"/>
                <w:szCs w:val="18"/>
              </w:rPr>
            </w:pPr>
            <w:r>
              <w:rPr>
                <w:color w:val="auto"/>
                <w:sz w:val="18"/>
                <w:szCs w:val="18"/>
              </w:rPr>
              <w:t>4.0</w:t>
            </w:r>
          </w:p>
          <w:p w14:paraId="2FDDAE9F">
            <w:pPr>
              <w:adjustRightInd w:val="0"/>
              <w:snapToGrid w:val="0"/>
              <w:spacing w:line="200" w:lineRule="exact"/>
              <w:jc w:val="center"/>
              <w:rPr>
                <w:color w:val="auto"/>
                <w:sz w:val="18"/>
                <w:szCs w:val="18"/>
              </w:rPr>
            </w:pPr>
            <w:r>
              <w:rPr>
                <w:color w:val="auto"/>
                <w:sz w:val="18"/>
                <w:szCs w:val="18"/>
              </w:rPr>
              <w:t>4.2</w:t>
            </w:r>
          </w:p>
          <w:p w14:paraId="4124C3E8">
            <w:pPr>
              <w:adjustRightInd w:val="0"/>
              <w:snapToGrid w:val="0"/>
              <w:spacing w:line="200" w:lineRule="exact"/>
              <w:jc w:val="center"/>
              <w:rPr>
                <w:color w:val="auto"/>
                <w:sz w:val="18"/>
                <w:szCs w:val="18"/>
              </w:rPr>
            </w:pPr>
            <w:r>
              <w:rPr>
                <w:color w:val="auto"/>
                <w:sz w:val="18"/>
                <w:szCs w:val="18"/>
              </w:rPr>
              <w:t>4.4</w:t>
            </w:r>
          </w:p>
          <w:p w14:paraId="4D9F50C4">
            <w:pPr>
              <w:adjustRightInd w:val="0"/>
              <w:snapToGrid w:val="0"/>
              <w:spacing w:line="200" w:lineRule="exact"/>
              <w:jc w:val="center"/>
              <w:rPr>
                <w:color w:val="auto"/>
                <w:sz w:val="18"/>
                <w:szCs w:val="18"/>
              </w:rPr>
            </w:pPr>
          </w:p>
          <w:p w14:paraId="2E42D81B">
            <w:pPr>
              <w:adjustRightInd w:val="0"/>
              <w:snapToGrid w:val="0"/>
              <w:spacing w:line="200" w:lineRule="exact"/>
              <w:jc w:val="center"/>
              <w:rPr>
                <w:color w:val="auto"/>
                <w:sz w:val="18"/>
                <w:szCs w:val="18"/>
              </w:rPr>
            </w:pPr>
            <w:r>
              <w:rPr>
                <w:color w:val="auto"/>
                <w:sz w:val="18"/>
                <w:szCs w:val="18"/>
              </w:rPr>
              <w:t>4.6</w:t>
            </w:r>
          </w:p>
          <w:p w14:paraId="49AAFE86">
            <w:pPr>
              <w:adjustRightInd w:val="0"/>
              <w:snapToGrid w:val="0"/>
              <w:spacing w:line="200" w:lineRule="exact"/>
              <w:jc w:val="center"/>
              <w:rPr>
                <w:color w:val="auto"/>
                <w:sz w:val="18"/>
                <w:szCs w:val="18"/>
              </w:rPr>
            </w:pPr>
            <w:r>
              <w:rPr>
                <w:color w:val="auto"/>
                <w:sz w:val="18"/>
                <w:szCs w:val="18"/>
              </w:rPr>
              <w:t>4.8</w:t>
            </w:r>
          </w:p>
          <w:p w14:paraId="1AE9F0DF">
            <w:pPr>
              <w:adjustRightInd w:val="0"/>
              <w:snapToGrid w:val="0"/>
              <w:spacing w:line="200" w:lineRule="exact"/>
              <w:jc w:val="center"/>
              <w:rPr>
                <w:color w:val="auto"/>
                <w:sz w:val="18"/>
                <w:szCs w:val="18"/>
              </w:rPr>
            </w:pPr>
            <w:r>
              <w:rPr>
                <w:color w:val="auto"/>
                <w:sz w:val="18"/>
                <w:szCs w:val="18"/>
              </w:rPr>
              <w:t>5.0</w:t>
            </w:r>
          </w:p>
        </w:tc>
        <w:tc>
          <w:tcPr>
            <w:tcW w:w="1785" w:type="dxa"/>
            <w:vAlign w:val="center"/>
          </w:tcPr>
          <w:p w14:paraId="6F403FE4">
            <w:pPr>
              <w:adjustRightInd w:val="0"/>
              <w:snapToGrid w:val="0"/>
              <w:spacing w:line="200" w:lineRule="exact"/>
              <w:jc w:val="center"/>
              <w:rPr>
                <w:color w:val="auto"/>
                <w:sz w:val="18"/>
                <w:szCs w:val="18"/>
              </w:rPr>
            </w:pPr>
            <w:r>
              <w:rPr>
                <w:color w:val="auto"/>
                <w:sz w:val="18"/>
                <w:szCs w:val="18"/>
              </w:rPr>
              <w:t>0.000</w:t>
            </w:r>
          </w:p>
          <w:p w14:paraId="36BC6E92">
            <w:pPr>
              <w:adjustRightInd w:val="0"/>
              <w:snapToGrid w:val="0"/>
              <w:spacing w:line="200" w:lineRule="exact"/>
              <w:jc w:val="center"/>
              <w:rPr>
                <w:color w:val="auto"/>
                <w:sz w:val="18"/>
                <w:szCs w:val="18"/>
              </w:rPr>
            </w:pPr>
            <w:r>
              <w:rPr>
                <w:color w:val="auto"/>
                <w:sz w:val="18"/>
                <w:szCs w:val="18"/>
              </w:rPr>
              <w:t>0.016</w:t>
            </w:r>
          </w:p>
          <w:p w14:paraId="2D747129">
            <w:pPr>
              <w:adjustRightInd w:val="0"/>
              <w:snapToGrid w:val="0"/>
              <w:spacing w:line="200" w:lineRule="exact"/>
              <w:jc w:val="center"/>
              <w:rPr>
                <w:color w:val="auto"/>
                <w:sz w:val="18"/>
                <w:szCs w:val="18"/>
              </w:rPr>
            </w:pPr>
            <w:r>
              <w:rPr>
                <w:color w:val="auto"/>
                <w:sz w:val="18"/>
                <w:szCs w:val="18"/>
              </w:rPr>
              <w:t>0.031</w:t>
            </w:r>
          </w:p>
          <w:p w14:paraId="53422E0D">
            <w:pPr>
              <w:adjustRightInd w:val="0"/>
              <w:snapToGrid w:val="0"/>
              <w:spacing w:line="200" w:lineRule="exact"/>
              <w:jc w:val="center"/>
              <w:rPr>
                <w:color w:val="auto"/>
                <w:sz w:val="18"/>
                <w:szCs w:val="18"/>
              </w:rPr>
            </w:pPr>
            <w:r>
              <w:rPr>
                <w:color w:val="auto"/>
                <w:sz w:val="18"/>
                <w:szCs w:val="18"/>
              </w:rPr>
              <w:t>0.044</w:t>
            </w:r>
          </w:p>
          <w:p w14:paraId="11FC1FDC">
            <w:pPr>
              <w:adjustRightInd w:val="0"/>
              <w:snapToGrid w:val="0"/>
              <w:spacing w:line="200" w:lineRule="exact"/>
              <w:jc w:val="center"/>
              <w:rPr>
                <w:color w:val="auto"/>
                <w:sz w:val="18"/>
                <w:szCs w:val="18"/>
              </w:rPr>
            </w:pPr>
            <w:r>
              <w:rPr>
                <w:color w:val="auto"/>
                <w:sz w:val="18"/>
                <w:szCs w:val="18"/>
              </w:rPr>
              <w:t>0.054</w:t>
            </w:r>
          </w:p>
          <w:p w14:paraId="5BC9CE67">
            <w:pPr>
              <w:adjustRightInd w:val="0"/>
              <w:snapToGrid w:val="0"/>
              <w:spacing w:line="200" w:lineRule="exact"/>
              <w:jc w:val="center"/>
              <w:rPr>
                <w:color w:val="auto"/>
                <w:sz w:val="18"/>
                <w:szCs w:val="18"/>
              </w:rPr>
            </w:pPr>
            <w:r>
              <w:rPr>
                <w:color w:val="auto"/>
                <w:sz w:val="18"/>
                <w:szCs w:val="18"/>
              </w:rPr>
              <w:t>0.063</w:t>
            </w:r>
          </w:p>
          <w:p w14:paraId="12A3399C">
            <w:pPr>
              <w:adjustRightInd w:val="0"/>
              <w:snapToGrid w:val="0"/>
              <w:spacing w:line="200" w:lineRule="exact"/>
              <w:jc w:val="center"/>
              <w:rPr>
                <w:color w:val="auto"/>
                <w:sz w:val="18"/>
                <w:szCs w:val="18"/>
              </w:rPr>
            </w:pPr>
          </w:p>
          <w:p w14:paraId="09C6E8D3">
            <w:pPr>
              <w:adjustRightInd w:val="0"/>
              <w:snapToGrid w:val="0"/>
              <w:spacing w:line="200" w:lineRule="exact"/>
              <w:jc w:val="center"/>
              <w:rPr>
                <w:color w:val="auto"/>
                <w:sz w:val="18"/>
                <w:szCs w:val="18"/>
              </w:rPr>
            </w:pPr>
            <w:r>
              <w:rPr>
                <w:color w:val="auto"/>
                <w:sz w:val="18"/>
                <w:szCs w:val="18"/>
              </w:rPr>
              <w:t>0.071</w:t>
            </w:r>
          </w:p>
          <w:p w14:paraId="4FD0ED74">
            <w:pPr>
              <w:adjustRightInd w:val="0"/>
              <w:snapToGrid w:val="0"/>
              <w:spacing w:line="200" w:lineRule="exact"/>
              <w:jc w:val="center"/>
              <w:rPr>
                <w:color w:val="auto"/>
                <w:sz w:val="18"/>
                <w:szCs w:val="18"/>
              </w:rPr>
            </w:pPr>
            <w:r>
              <w:rPr>
                <w:color w:val="auto"/>
                <w:sz w:val="18"/>
                <w:szCs w:val="18"/>
              </w:rPr>
              <w:t>0.078</w:t>
            </w:r>
          </w:p>
          <w:p w14:paraId="330F9388">
            <w:pPr>
              <w:adjustRightInd w:val="0"/>
              <w:snapToGrid w:val="0"/>
              <w:spacing w:line="200" w:lineRule="exact"/>
              <w:jc w:val="center"/>
              <w:rPr>
                <w:color w:val="auto"/>
                <w:sz w:val="18"/>
                <w:szCs w:val="18"/>
              </w:rPr>
            </w:pPr>
            <w:r>
              <w:rPr>
                <w:color w:val="auto"/>
                <w:sz w:val="18"/>
                <w:szCs w:val="18"/>
              </w:rPr>
              <w:t>0.083</w:t>
            </w:r>
          </w:p>
          <w:p w14:paraId="33CF4F6F">
            <w:pPr>
              <w:adjustRightInd w:val="0"/>
              <w:snapToGrid w:val="0"/>
              <w:spacing w:line="200" w:lineRule="exact"/>
              <w:jc w:val="center"/>
              <w:rPr>
                <w:color w:val="auto"/>
                <w:sz w:val="18"/>
                <w:szCs w:val="18"/>
              </w:rPr>
            </w:pPr>
            <w:r>
              <w:rPr>
                <w:color w:val="auto"/>
                <w:sz w:val="18"/>
                <w:szCs w:val="18"/>
              </w:rPr>
              <w:t>0.088</w:t>
            </w:r>
          </w:p>
          <w:p w14:paraId="2788568B">
            <w:pPr>
              <w:adjustRightInd w:val="0"/>
              <w:snapToGrid w:val="0"/>
              <w:spacing w:line="200" w:lineRule="exact"/>
              <w:jc w:val="center"/>
              <w:rPr>
                <w:color w:val="auto"/>
                <w:sz w:val="18"/>
                <w:szCs w:val="18"/>
              </w:rPr>
            </w:pPr>
            <w:r>
              <w:rPr>
                <w:color w:val="auto"/>
                <w:sz w:val="18"/>
                <w:szCs w:val="18"/>
              </w:rPr>
              <w:t>0.091</w:t>
            </w:r>
          </w:p>
          <w:p w14:paraId="4B6E1AB7">
            <w:pPr>
              <w:adjustRightInd w:val="0"/>
              <w:snapToGrid w:val="0"/>
              <w:spacing w:line="200" w:lineRule="exact"/>
              <w:jc w:val="center"/>
              <w:rPr>
                <w:color w:val="auto"/>
                <w:sz w:val="18"/>
                <w:szCs w:val="18"/>
              </w:rPr>
            </w:pPr>
          </w:p>
          <w:p w14:paraId="05684964">
            <w:pPr>
              <w:adjustRightInd w:val="0"/>
              <w:snapToGrid w:val="0"/>
              <w:spacing w:line="200" w:lineRule="exact"/>
              <w:jc w:val="center"/>
              <w:rPr>
                <w:color w:val="auto"/>
                <w:sz w:val="18"/>
                <w:szCs w:val="18"/>
              </w:rPr>
            </w:pPr>
            <w:r>
              <w:rPr>
                <w:color w:val="auto"/>
                <w:sz w:val="18"/>
                <w:szCs w:val="18"/>
              </w:rPr>
              <w:t>0.092</w:t>
            </w:r>
          </w:p>
          <w:p w14:paraId="5D36772D">
            <w:pPr>
              <w:adjustRightInd w:val="0"/>
              <w:snapToGrid w:val="0"/>
              <w:spacing w:line="200" w:lineRule="exact"/>
              <w:jc w:val="center"/>
              <w:rPr>
                <w:color w:val="auto"/>
                <w:sz w:val="18"/>
                <w:szCs w:val="18"/>
              </w:rPr>
            </w:pPr>
            <w:r>
              <w:rPr>
                <w:color w:val="auto"/>
                <w:sz w:val="18"/>
                <w:szCs w:val="18"/>
              </w:rPr>
              <w:t>0.093</w:t>
            </w:r>
          </w:p>
          <w:p w14:paraId="5E5BA332">
            <w:pPr>
              <w:adjustRightInd w:val="0"/>
              <w:snapToGrid w:val="0"/>
              <w:spacing w:line="200" w:lineRule="exact"/>
              <w:jc w:val="center"/>
              <w:rPr>
                <w:color w:val="auto"/>
                <w:sz w:val="18"/>
                <w:szCs w:val="18"/>
              </w:rPr>
            </w:pPr>
            <w:r>
              <w:rPr>
                <w:color w:val="auto"/>
                <w:sz w:val="18"/>
                <w:szCs w:val="18"/>
              </w:rPr>
              <w:t>0.092</w:t>
            </w:r>
          </w:p>
          <w:p w14:paraId="5CE72B68">
            <w:pPr>
              <w:adjustRightInd w:val="0"/>
              <w:snapToGrid w:val="0"/>
              <w:spacing w:line="200" w:lineRule="exact"/>
              <w:jc w:val="center"/>
              <w:rPr>
                <w:color w:val="auto"/>
                <w:sz w:val="18"/>
                <w:szCs w:val="18"/>
              </w:rPr>
            </w:pPr>
            <w:r>
              <w:rPr>
                <w:color w:val="auto"/>
                <w:sz w:val="18"/>
                <w:szCs w:val="18"/>
              </w:rPr>
              <w:t>0.091</w:t>
            </w:r>
          </w:p>
          <w:p w14:paraId="4AA7E333">
            <w:pPr>
              <w:adjustRightInd w:val="0"/>
              <w:snapToGrid w:val="0"/>
              <w:spacing w:line="200" w:lineRule="exact"/>
              <w:jc w:val="center"/>
              <w:rPr>
                <w:color w:val="auto"/>
                <w:sz w:val="18"/>
                <w:szCs w:val="18"/>
              </w:rPr>
            </w:pPr>
            <w:r>
              <w:rPr>
                <w:color w:val="auto"/>
                <w:sz w:val="18"/>
                <w:szCs w:val="18"/>
              </w:rPr>
              <w:t>0.089</w:t>
            </w:r>
          </w:p>
          <w:p w14:paraId="7C2035A4">
            <w:pPr>
              <w:adjustRightInd w:val="0"/>
              <w:snapToGrid w:val="0"/>
              <w:spacing w:line="200" w:lineRule="exact"/>
              <w:jc w:val="center"/>
              <w:rPr>
                <w:color w:val="auto"/>
                <w:sz w:val="18"/>
                <w:szCs w:val="18"/>
              </w:rPr>
            </w:pPr>
          </w:p>
          <w:p w14:paraId="3473F6EE">
            <w:pPr>
              <w:adjustRightInd w:val="0"/>
              <w:snapToGrid w:val="0"/>
              <w:spacing w:line="200" w:lineRule="exact"/>
              <w:jc w:val="center"/>
              <w:rPr>
                <w:color w:val="auto"/>
                <w:sz w:val="18"/>
                <w:szCs w:val="18"/>
              </w:rPr>
            </w:pPr>
            <w:r>
              <w:rPr>
                <w:color w:val="auto"/>
                <w:sz w:val="18"/>
                <w:szCs w:val="18"/>
              </w:rPr>
              <w:t>0.087</w:t>
            </w:r>
          </w:p>
          <w:p w14:paraId="5D86CA47">
            <w:pPr>
              <w:adjustRightInd w:val="0"/>
              <w:snapToGrid w:val="0"/>
              <w:spacing w:line="200" w:lineRule="exact"/>
              <w:jc w:val="center"/>
              <w:rPr>
                <w:color w:val="auto"/>
                <w:sz w:val="18"/>
                <w:szCs w:val="18"/>
              </w:rPr>
            </w:pPr>
            <w:r>
              <w:rPr>
                <w:color w:val="auto"/>
                <w:sz w:val="18"/>
                <w:szCs w:val="18"/>
              </w:rPr>
              <w:t>0.085</w:t>
            </w:r>
          </w:p>
          <w:p w14:paraId="4DE3750A">
            <w:pPr>
              <w:adjustRightInd w:val="0"/>
              <w:snapToGrid w:val="0"/>
              <w:spacing w:line="200" w:lineRule="exact"/>
              <w:jc w:val="center"/>
              <w:rPr>
                <w:color w:val="auto"/>
                <w:sz w:val="18"/>
                <w:szCs w:val="18"/>
              </w:rPr>
            </w:pPr>
            <w:r>
              <w:rPr>
                <w:color w:val="auto"/>
                <w:sz w:val="18"/>
                <w:szCs w:val="18"/>
              </w:rPr>
              <w:t>0.083</w:t>
            </w:r>
          </w:p>
          <w:p w14:paraId="1C23504C">
            <w:pPr>
              <w:adjustRightInd w:val="0"/>
              <w:snapToGrid w:val="0"/>
              <w:spacing w:line="200" w:lineRule="exact"/>
              <w:jc w:val="center"/>
              <w:rPr>
                <w:color w:val="auto"/>
                <w:sz w:val="18"/>
                <w:szCs w:val="18"/>
              </w:rPr>
            </w:pPr>
            <w:r>
              <w:rPr>
                <w:color w:val="auto"/>
                <w:sz w:val="18"/>
                <w:szCs w:val="18"/>
              </w:rPr>
              <w:t>0.080</w:t>
            </w:r>
          </w:p>
          <w:p w14:paraId="4D8E6E05">
            <w:pPr>
              <w:adjustRightInd w:val="0"/>
              <w:snapToGrid w:val="0"/>
              <w:spacing w:line="200" w:lineRule="exact"/>
              <w:jc w:val="center"/>
              <w:rPr>
                <w:color w:val="auto"/>
                <w:sz w:val="18"/>
                <w:szCs w:val="18"/>
              </w:rPr>
            </w:pPr>
            <w:r>
              <w:rPr>
                <w:color w:val="auto"/>
                <w:sz w:val="18"/>
                <w:szCs w:val="18"/>
              </w:rPr>
              <w:t>0.078</w:t>
            </w:r>
          </w:p>
          <w:p w14:paraId="5C42A39C">
            <w:pPr>
              <w:adjustRightInd w:val="0"/>
              <w:snapToGrid w:val="0"/>
              <w:spacing w:line="200" w:lineRule="exact"/>
              <w:jc w:val="center"/>
              <w:rPr>
                <w:color w:val="auto"/>
                <w:sz w:val="18"/>
                <w:szCs w:val="18"/>
              </w:rPr>
            </w:pPr>
            <w:r>
              <w:rPr>
                <w:color w:val="auto"/>
                <w:sz w:val="18"/>
                <w:szCs w:val="18"/>
              </w:rPr>
              <w:t>0.075</w:t>
            </w:r>
          </w:p>
          <w:p w14:paraId="2015509D">
            <w:pPr>
              <w:adjustRightInd w:val="0"/>
              <w:snapToGrid w:val="0"/>
              <w:spacing w:line="200" w:lineRule="exact"/>
              <w:jc w:val="center"/>
              <w:rPr>
                <w:color w:val="auto"/>
                <w:sz w:val="18"/>
                <w:szCs w:val="18"/>
              </w:rPr>
            </w:pPr>
          </w:p>
          <w:p w14:paraId="48C222DB">
            <w:pPr>
              <w:adjustRightInd w:val="0"/>
              <w:snapToGrid w:val="0"/>
              <w:spacing w:line="200" w:lineRule="exact"/>
              <w:jc w:val="center"/>
              <w:rPr>
                <w:color w:val="auto"/>
                <w:sz w:val="18"/>
                <w:szCs w:val="18"/>
              </w:rPr>
            </w:pPr>
            <w:r>
              <w:rPr>
                <w:color w:val="auto"/>
                <w:sz w:val="18"/>
                <w:szCs w:val="18"/>
              </w:rPr>
              <w:t>0.072</w:t>
            </w:r>
          </w:p>
          <w:p w14:paraId="0C861054">
            <w:pPr>
              <w:adjustRightInd w:val="0"/>
              <w:snapToGrid w:val="0"/>
              <w:spacing w:line="200" w:lineRule="exact"/>
              <w:jc w:val="center"/>
              <w:rPr>
                <w:color w:val="auto"/>
                <w:sz w:val="18"/>
                <w:szCs w:val="18"/>
              </w:rPr>
            </w:pPr>
            <w:r>
              <w:rPr>
                <w:color w:val="auto"/>
                <w:sz w:val="18"/>
                <w:szCs w:val="18"/>
              </w:rPr>
              <w:t>0.070</w:t>
            </w:r>
          </w:p>
          <w:p w14:paraId="324FB7CE">
            <w:pPr>
              <w:adjustRightInd w:val="0"/>
              <w:snapToGrid w:val="0"/>
              <w:spacing w:line="200" w:lineRule="exact"/>
              <w:jc w:val="center"/>
              <w:rPr>
                <w:color w:val="auto"/>
                <w:sz w:val="18"/>
                <w:szCs w:val="18"/>
              </w:rPr>
            </w:pPr>
            <w:r>
              <w:rPr>
                <w:color w:val="auto"/>
                <w:sz w:val="18"/>
                <w:szCs w:val="18"/>
              </w:rPr>
              <w:t>0.067</w:t>
            </w:r>
          </w:p>
          <w:p w14:paraId="52FC42FB">
            <w:pPr>
              <w:adjustRightInd w:val="0"/>
              <w:snapToGrid w:val="0"/>
              <w:spacing w:line="200" w:lineRule="exact"/>
              <w:jc w:val="center"/>
              <w:rPr>
                <w:color w:val="auto"/>
                <w:sz w:val="18"/>
                <w:szCs w:val="18"/>
              </w:rPr>
            </w:pPr>
            <w:r>
              <w:rPr>
                <w:color w:val="auto"/>
                <w:sz w:val="18"/>
                <w:szCs w:val="18"/>
              </w:rPr>
              <w:t>0.064</w:t>
            </w:r>
          </w:p>
          <w:p w14:paraId="3D90DB82">
            <w:pPr>
              <w:adjustRightInd w:val="0"/>
              <w:snapToGrid w:val="0"/>
              <w:spacing w:line="200" w:lineRule="exact"/>
              <w:jc w:val="center"/>
              <w:rPr>
                <w:color w:val="auto"/>
                <w:sz w:val="18"/>
                <w:szCs w:val="18"/>
              </w:rPr>
            </w:pPr>
            <w:r>
              <w:rPr>
                <w:color w:val="auto"/>
                <w:sz w:val="18"/>
                <w:szCs w:val="18"/>
              </w:rPr>
              <w:t>0.062</w:t>
            </w:r>
          </w:p>
          <w:p w14:paraId="3319BBAC">
            <w:pPr>
              <w:adjustRightInd w:val="0"/>
              <w:snapToGrid w:val="0"/>
              <w:spacing w:line="200" w:lineRule="exact"/>
              <w:jc w:val="center"/>
              <w:rPr>
                <w:color w:val="auto"/>
                <w:sz w:val="18"/>
                <w:szCs w:val="18"/>
              </w:rPr>
            </w:pPr>
          </w:p>
          <w:p w14:paraId="4A343229">
            <w:pPr>
              <w:adjustRightInd w:val="0"/>
              <w:snapToGrid w:val="0"/>
              <w:spacing w:line="200" w:lineRule="exact"/>
              <w:jc w:val="center"/>
              <w:rPr>
                <w:color w:val="auto"/>
                <w:sz w:val="18"/>
                <w:szCs w:val="18"/>
              </w:rPr>
            </w:pPr>
            <w:r>
              <w:rPr>
                <w:color w:val="auto"/>
                <w:sz w:val="18"/>
                <w:szCs w:val="18"/>
              </w:rPr>
              <w:t>0.059</w:t>
            </w:r>
          </w:p>
          <w:p w14:paraId="4F94873D">
            <w:pPr>
              <w:adjustRightInd w:val="0"/>
              <w:snapToGrid w:val="0"/>
              <w:spacing w:line="200" w:lineRule="exact"/>
              <w:jc w:val="center"/>
              <w:rPr>
                <w:color w:val="auto"/>
                <w:sz w:val="18"/>
                <w:szCs w:val="18"/>
              </w:rPr>
            </w:pPr>
            <w:r>
              <w:rPr>
                <w:color w:val="auto"/>
                <w:sz w:val="18"/>
                <w:szCs w:val="18"/>
              </w:rPr>
              <w:t>0.057</w:t>
            </w:r>
          </w:p>
          <w:p w14:paraId="2082DE7E">
            <w:pPr>
              <w:adjustRightInd w:val="0"/>
              <w:snapToGrid w:val="0"/>
              <w:spacing w:line="200" w:lineRule="exact"/>
              <w:jc w:val="center"/>
              <w:rPr>
                <w:color w:val="auto"/>
                <w:sz w:val="18"/>
                <w:szCs w:val="18"/>
              </w:rPr>
            </w:pPr>
            <w:r>
              <w:rPr>
                <w:color w:val="auto"/>
                <w:sz w:val="18"/>
                <w:szCs w:val="18"/>
              </w:rPr>
              <w:t>0.055</w:t>
            </w:r>
          </w:p>
          <w:p w14:paraId="66BE2C98">
            <w:pPr>
              <w:adjustRightInd w:val="0"/>
              <w:snapToGrid w:val="0"/>
              <w:spacing w:line="200" w:lineRule="exact"/>
              <w:jc w:val="center"/>
              <w:rPr>
                <w:color w:val="auto"/>
                <w:sz w:val="18"/>
                <w:szCs w:val="18"/>
              </w:rPr>
            </w:pPr>
            <w:r>
              <w:rPr>
                <w:color w:val="auto"/>
                <w:sz w:val="18"/>
                <w:szCs w:val="18"/>
              </w:rPr>
              <w:t>0.052</w:t>
            </w:r>
          </w:p>
          <w:p w14:paraId="1B8B707B">
            <w:pPr>
              <w:adjustRightInd w:val="0"/>
              <w:snapToGrid w:val="0"/>
              <w:spacing w:line="200" w:lineRule="exact"/>
              <w:jc w:val="center"/>
              <w:rPr>
                <w:color w:val="auto"/>
                <w:sz w:val="18"/>
                <w:szCs w:val="18"/>
              </w:rPr>
            </w:pPr>
            <w:r>
              <w:rPr>
                <w:color w:val="auto"/>
                <w:sz w:val="18"/>
                <w:szCs w:val="18"/>
              </w:rPr>
              <w:t>0.050</w:t>
            </w:r>
          </w:p>
          <w:p w14:paraId="0EBD029C">
            <w:pPr>
              <w:adjustRightInd w:val="0"/>
              <w:snapToGrid w:val="0"/>
              <w:spacing w:line="200" w:lineRule="exact"/>
              <w:jc w:val="center"/>
              <w:rPr>
                <w:color w:val="auto"/>
                <w:sz w:val="18"/>
                <w:szCs w:val="18"/>
              </w:rPr>
            </w:pPr>
          </w:p>
          <w:p w14:paraId="793A0A2E">
            <w:pPr>
              <w:adjustRightInd w:val="0"/>
              <w:snapToGrid w:val="0"/>
              <w:spacing w:line="200" w:lineRule="exact"/>
              <w:jc w:val="center"/>
              <w:rPr>
                <w:color w:val="auto"/>
                <w:sz w:val="18"/>
                <w:szCs w:val="18"/>
              </w:rPr>
            </w:pPr>
            <w:r>
              <w:rPr>
                <w:color w:val="auto"/>
                <w:sz w:val="18"/>
                <w:szCs w:val="18"/>
              </w:rPr>
              <w:t>0.048</w:t>
            </w:r>
          </w:p>
          <w:p w14:paraId="4A24C348">
            <w:pPr>
              <w:adjustRightInd w:val="0"/>
              <w:snapToGrid w:val="0"/>
              <w:spacing w:line="200" w:lineRule="exact"/>
              <w:jc w:val="center"/>
              <w:rPr>
                <w:color w:val="auto"/>
                <w:sz w:val="18"/>
                <w:szCs w:val="18"/>
              </w:rPr>
            </w:pPr>
            <w:r>
              <w:rPr>
                <w:color w:val="auto"/>
                <w:sz w:val="18"/>
                <w:szCs w:val="18"/>
              </w:rPr>
              <w:t>0.046</w:t>
            </w:r>
          </w:p>
          <w:p w14:paraId="75BAFC3B">
            <w:pPr>
              <w:adjustRightInd w:val="0"/>
              <w:snapToGrid w:val="0"/>
              <w:spacing w:line="200" w:lineRule="exact"/>
              <w:jc w:val="center"/>
              <w:rPr>
                <w:color w:val="auto"/>
                <w:sz w:val="18"/>
                <w:szCs w:val="18"/>
              </w:rPr>
            </w:pPr>
            <w:r>
              <w:rPr>
                <w:color w:val="auto"/>
                <w:sz w:val="18"/>
                <w:szCs w:val="18"/>
              </w:rPr>
              <w:t>0.045</w:t>
            </w:r>
          </w:p>
          <w:p w14:paraId="5FE4257E">
            <w:pPr>
              <w:adjustRightInd w:val="0"/>
              <w:snapToGrid w:val="0"/>
              <w:spacing w:line="200" w:lineRule="exact"/>
              <w:jc w:val="center"/>
              <w:rPr>
                <w:color w:val="auto"/>
                <w:sz w:val="18"/>
                <w:szCs w:val="18"/>
              </w:rPr>
            </w:pPr>
            <w:r>
              <w:rPr>
                <w:color w:val="auto"/>
                <w:sz w:val="18"/>
                <w:szCs w:val="18"/>
              </w:rPr>
              <w:t>0.043</w:t>
            </w:r>
          </w:p>
          <w:p w14:paraId="5873C5ED">
            <w:pPr>
              <w:adjustRightInd w:val="0"/>
              <w:snapToGrid w:val="0"/>
              <w:spacing w:line="200" w:lineRule="exact"/>
              <w:jc w:val="center"/>
              <w:rPr>
                <w:color w:val="auto"/>
                <w:sz w:val="18"/>
                <w:szCs w:val="18"/>
              </w:rPr>
            </w:pPr>
            <w:r>
              <w:rPr>
                <w:color w:val="auto"/>
                <w:sz w:val="18"/>
                <w:szCs w:val="18"/>
              </w:rPr>
              <w:t>0.041</w:t>
            </w:r>
          </w:p>
          <w:p w14:paraId="31A6709A">
            <w:pPr>
              <w:adjustRightInd w:val="0"/>
              <w:snapToGrid w:val="0"/>
              <w:spacing w:line="200" w:lineRule="exact"/>
              <w:jc w:val="center"/>
              <w:rPr>
                <w:color w:val="auto"/>
                <w:sz w:val="18"/>
                <w:szCs w:val="18"/>
              </w:rPr>
            </w:pPr>
            <w:r>
              <w:rPr>
                <w:color w:val="auto"/>
                <w:sz w:val="18"/>
                <w:szCs w:val="18"/>
              </w:rPr>
              <w:t>0.040</w:t>
            </w:r>
          </w:p>
          <w:p w14:paraId="0B355E35">
            <w:pPr>
              <w:adjustRightInd w:val="0"/>
              <w:snapToGrid w:val="0"/>
              <w:spacing w:line="200" w:lineRule="exact"/>
              <w:jc w:val="center"/>
              <w:rPr>
                <w:color w:val="auto"/>
                <w:sz w:val="18"/>
                <w:szCs w:val="18"/>
              </w:rPr>
            </w:pPr>
          </w:p>
          <w:p w14:paraId="65D7DCC6">
            <w:pPr>
              <w:adjustRightInd w:val="0"/>
              <w:snapToGrid w:val="0"/>
              <w:spacing w:line="200" w:lineRule="exact"/>
              <w:jc w:val="center"/>
              <w:rPr>
                <w:color w:val="auto"/>
                <w:sz w:val="18"/>
                <w:szCs w:val="18"/>
              </w:rPr>
            </w:pPr>
            <w:r>
              <w:rPr>
                <w:color w:val="auto"/>
                <w:sz w:val="18"/>
                <w:szCs w:val="18"/>
              </w:rPr>
              <w:t>0.038</w:t>
            </w:r>
          </w:p>
          <w:p w14:paraId="23C4642A">
            <w:pPr>
              <w:adjustRightInd w:val="0"/>
              <w:snapToGrid w:val="0"/>
              <w:spacing w:line="200" w:lineRule="exact"/>
              <w:jc w:val="center"/>
              <w:rPr>
                <w:color w:val="auto"/>
                <w:sz w:val="18"/>
                <w:szCs w:val="18"/>
              </w:rPr>
            </w:pPr>
            <w:r>
              <w:rPr>
                <w:color w:val="auto"/>
                <w:sz w:val="18"/>
                <w:szCs w:val="18"/>
              </w:rPr>
              <w:t>0.037</w:t>
            </w:r>
          </w:p>
          <w:p w14:paraId="1AF484A8">
            <w:pPr>
              <w:adjustRightInd w:val="0"/>
              <w:snapToGrid w:val="0"/>
              <w:spacing w:line="200" w:lineRule="exact"/>
              <w:jc w:val="center"/>
              <w:rPr>
                <w:color w:val="auto"/>
                <w:sz w:val="18"/>
                <w:szCs w:val="18"/>
              </w:rPr>
            </w:pPr>
            <w:r>
              <w:rPr>
                <w:color w:val="auto"/>
                <w:sz w:val="18"/>
                <w:szCs w:val="18"/>
              </w:rPr>
              <w:t>0.036</w:t>
            </w:r>
          </w:p>
          <w:p w14:paraId="7D130784">
            <w:pPr>
              <w:adjustRightInd w:val="0"/>
              <w:snapToGrid w:val="0"/>
              <w:spacing w:line="200" w:lineRule="exact"/>
              <w:jc w:val="center"/>
              <w:rPr>
                <w:color w:val="auto"/>
                <w:sz w:val="18"/>
                <w:szCs w:val="18"/>
              </w:rPr>
            </w:pPr>
            <w:r>
              <w:rPr>
                <w:color w:val="auto"/>
                <w:sz w:val="18"/>
                <w:szCs w:val="18"/>
              </w:rPr>
              <w:t>0.033</w:t>
            </w:r>
          </w:p>
          <w:p w14:paraId="164DFC77">
            <w:pPr>
              <w:adjustRightInd w:val="0"/>
              <w:snapToGrid w:val="0"/>
              <w:spacing w:line="200" w:lineRule="exact"/>
              <w:jc w:val="center"/>
              <w:rPr>
                <w:color w:val="auto"/>
                <w:sz w:val="18"/>
                <w:szCs w:val="18"/>
              </w:rPr>
            </w:pPr>
            <w:r>
              <w:rPr>
                <w:color w:val="auto"/>
                <w:sz w:val="18"/>
                <w:szCs w:val="18"/>
              </w:rPr>
              <w:t>0.031</w:t>
            </w:r>
          </w:p>
          <w:p w14:paraId="7F98B229">
            <w:pPr>
              <w:adjustRightInd w:val="0"/>
              <w:snapToGrid w:val="0"/>
              <w:spacing w:line="200" w:lineRule="exact"/>
              <w:jc w:val="center"/>
              <w:rPr>
                <w:color w:val="auto"/>
                <w:sz w:val="18"/>
                <w:szCs w:val="18"/>
              </w:rPr>
            </w:pPr>
          </w:p>
          <w:p w14:paraId="1DA08CAC">
            <w:pPr>
              <w:adjustRightInd w:val="0"/>
              <w:snapToGrid w:val="0"/>
              <w:spacing w:line="200" w:lineRule="exact"/>
              <w:jc w:val="center"/>
              <w:rPr>
                <w:color w:val="auto"/>
                <w:sz w:val="18"/>
                <w:szCs w:val="18"/>
              </w:rPr>
            </w:pPr>
            <w:r>
              <w:rPr>
                <w:color w:val="auto"/>
                <w:sz w:val="18"/>
                <w:szCs w:val="18"/>
              </w:rPr>
              <w:t>0.029</w:t>
            </w:r>
          </w:p>
          <w:p w14:paraId="070E9703">
            <w:pPr>
              <w:adjustRightInd w:val="0"/>
              <w:snapToGrid w:val="0"/>
              <w:spacing w:line="200" w:lineRule="exact"/>
              <w:jc w:val="center"/>
              <w:rPr>
                <w:color w:val="auto"/>
                <w:sz w:val="18"/>
                <w:szCs w:val="18"/>
              </w:rPr>
            </w:pPr>
            <w:r>
              <w:rPr>
                <w:color w:val="auto"/>
                <w:sz w:val="18"/>
                <w:szCs w:val="18"/>
              </w:rPr>
              <w:t>0.027</w:t>
            </w:r>
          </w:p>
          <w:p w14:paraId="49BBD855">
            <w:pPr>
              <w:adjustRightInd w:val="0"/>
              <w:snapToGrid w:val="0"/>
              <w:spacing w:line="200" w:lineRule="exact"/>
              <w:jc w:val="center"/>
              <w:rPr>
                <w:color w:val="auto"/>
                <w:sz w:val="18"/>
                <w:szCs w:val="18"/>
              </w:rPr>
            </w:pPr>
            <w:r>
              <w:rPr>
                <w:color w:val="auto"/>
                <w:sz w:val="18"/>
                <w:szCs w:val="18"/>
              </w:rPr>
              <w:t>0.025</w:t>
            </w:r>
          </w:p>
        </w:tc>
        <w:tc>
          <w:tcPr>
            <w:tcW w:w="1866" w:type="dxa"/>
            <w:vAlign w:val="center"/>
          </w:tcPr>
          <w:p w14:paraId="6567B802">
            <w:pPr>
              <w:adjustRightInd w:val="0"/>
              <w:snapToGrid w:val="0"/>
              <w:spacing w:line="200" w:lineRule="exact"/>
              <w:jc w:val="center"/>
              <w:rPr>
                <w:color w:val="auto"/>
                <w:sz w:val="18"/>
                <w:szCs w:val="18"/>
              </w:rPr>
            </w:pPr>
            <w:r>
              <w:rPr>
                <w:color w:val="auto"/>
                <w:sz w:val="18"/>
                <w:szCs w:val="18"/>
              </w:rPr>
              <w:t>0.000</w:t>
            </w:r>
          </w:p>
          <w:p w14:paraId="76AF35D1">
            <w:pPr>
              <w:adjustRightInd w:val="0"/>
              <w:snapToGrid w:val="0"/>
              <w:spacing w:line="200" w:lineRule="exact"/>
              <w:jc w:val="center"/>
              <w:rPr>
                <w:color w:val="auto"/>
                <w:sz w:val="18"/>
                <w:szCs w:val="18"/>
              </w:rPr>
            </w:pPr>
            <w:r>
              <w:rPr>
                <w:color w:val="auto"/>
                <w:sz w:val="18"/>
                <w:szCs w:val="18"/>
              </w:rPr>
              <w:t>0.008</w:t>
            </w:r>
          </w:p>
          <w:p w14:paraId="76D2680B">
            <w:pPr>
              <w:adjustRightInd w:val="0"/>
              <w:snapToGrid w:val="0"/>
              <w:spacing w:line="200" w:lineRule="exact"/>
              <w:jc w:val="center"/>
              <w:rPr>
                <w:color w:val="auto"/>
                <w:sz w:val="18"/>
                <w:szCs w:val="18"/>
              </w:rPr>
            </w:pPr>
            <w:r>
              <w:rPr>
                <w:color w:val="auto"/>
                <w:sz w:val="18"/>
                <w:szCs w:val="18"/>
              </w:rPr>
              <w:t>0.016</w:t>
            </w:r>
          </w:p>
          <w:p w14:paraId="40C64964">
            <w:pPr>
              <w:adjustRightInd w:val="0"/>
              <w:snapToGrid w:val="0"/>
              <w:spacing w:line="200" w:lineRule="exact"/>
              <w:jc w:val="center"/>
              <w:rPr>
                <w:color w:val="auto"/>
                <w:sz w:val="18"/>
                <w:szCs w:val="18"/>
              </w:rPr>
            </w:pPr>
            <w:r>
              <w:rPr>
                <w:color w:val="auto"/>
                <w:sz w:val="18"/>
                <w:szCs w:val="18"/>
              </w:rPr>
              <w:t>0.023</w:t>
            </w:r>
          </w:p>
          <w:p w14:paraId="3B0A4873">
            <w:pPr>
              <w:adjustRightInd w:val="0"/>
              <w:snapToGrid w:val="0"/>
              <w:spacing w:line="200" w:lineRule="exact"/>
              <w:jc w:val="center"/>
              <w:rPr>
                <w:color w:val="auto"/>
                <w:sz w:val="18"/>
                <w:szCs w:val="18"/>
              </w:rPr>
            </w:pPr>
            <w:r>
              <w:rPr>
                <w:color w:val="auto"/>
                <w:sz w:val="18"/>
                <w:szCs w:val="18"/>
              </w:rPr>
              <w:t>0.030</w:t>
            </w:r>
          </w:p>
          <w:p w14:paraId="4DF5D3D7">
            <w:pPr>
              <w:adjustRightInd w:val="0"/>
              <w:snapToGrid w:val="0"/>
              <w:spacing w:line="200" w:lineRule="exact"/>
              <w:jc w:val="center"/>
              <w:rPr>
                <w:color w:val="auto"/>
                <w:sz w:val="18"/>
                <w:szCs w:val="18"/>
              </w:rPr>
            </w:pPr>
            <w:r>
              <w:rPr>
                <w:color w:val="auto"/>
                <w:sz w:val="18"/>
                <w:szCs w:val="18"/>
              </w:rPr>
              <w:t>0.035</w:t>
            </w:r>
          </w:p>
          <w:p w14:paraId="10503766">
            <w:pPr>
              <w:adjustRightInd w:val="0"/>
              <w:snapToGrid w:val="0"/>
              <w:spacing w:line="200" w:lineRule="exact"/>
              <w:jc w:val="center"/>
              <w:rPr>
                <w:color w:val="auto"/>
                <w:sz w:val="18"/>
                <w:szCs w:val="18"/>
              </w:rPr>
            </w:pPr>
          </w:p>
          <w:p w14:paraId="31375B7F">
            <w:pPr>
              <w:adjustRightInd w:val="0"/>
              <w:snapToGrid w:val="0"/>
              <w:spacing w:line="200" w:lineRule="exact"/>
              <w:jc w:val="center"/>
              <w:rPr>
                <w:color w:val="auto"/>
                <w:sz w:val="18"/>
                <w:szCs w:val="18"/>
              </w:rPr>
            </w:pPr>
            <w:r>
              <w:rPr>
                <w:color w:val="auto"/>
                <w:sz w:val="18"/>
                <w:szCs w:val="18"/>
              </w:rPr>
              <w:t>0.041</w:t>
            </w:r>
          </w:p>
          <w:p w14:paraId="42FEC93E">
            <w:pPr>
              <w:adjustRightInd w:val="0"/>
              <w:snapToGrid w:val="0"/>
              <w:spacing w:line="200" w:lineRule="exact"/>
              <w:jc w:val="center"/>
              <w:rPr>
                <w:color w:val="auto"/>
                <w:sz w:val="18"/>
                <w:szCs w:val="18"/>
              </w:rPr>
            </w:pPr>
            <w:r>
              <w:rPr>
                <w:color w:val="auto"/>
                <w:sz w:val="18"/>
                <w:szCs w:val="18"/>
              </w:rPr>
              <w:t>0.045</w:t>
            </w:r>
          </w:p>
          <w:p w14:paraId="49CA2938">
            <w:pPr>
              <w:adjustRightInd w:val="0"/>
              <w:snapToGrid w:val="0"/>
              <w:spacing w:line="200" w:lineRule="exact"/>
              <w:jc w:val="center"/>
              <w:rPr>
                <w:color w:val="auto"/>
                <w:sz w:val="18"/>
                <w:szCs w:val="18"/>
              </w:rPr>
            </w:pPr>
            <w:r>
              <w:rPr>
                <w:color w:val="auto"/>
                <w:sz w:val="18"/>
                <w:szCs w:val="18"/>
              </w:rPr>
              <w:t>0.050</w:t>
            </w:r>
          </w:p>
          <w:p w14:paraId="301734B2">
            <w:pPr>
              <w:adjustRightInd w:val="0"/>
              <w:snapToGrid w:val="0"/>
              <w:spacing w:line="200" w:lineRule="exact"/>
              <w:jc w:val="center"/>
              <w:rPr>
                <w:color w:val="auto"/>
                <w:sz w:val="18"/>
                <w:szCs w:val="18"/>
              </w:rPr>
            </w:pPr>
            <w:r>
              <w:rPr>
                <w:color w:val="auto"/>
                <w:sz w:val="18"/>
                <w:szCs w:val="18"/>
              </w:rPr>
              <w:t>0.054</w:t>
            </w:r>
          </w:p>
          <w:p w14:paraId="63D0F6BA">
            <w:pPr>
              <w:adjustRightInd w:val="0"/>
              <w:snapToGrid w:val="0"/>
              <w:spacing w:line="200" w:lineRule="exact"/>
              <w:jc w:val="center"/>
              <w:rPr>
                <w:color w:val="auto"/>
                <w:sz w:val="18"/>
                <w:szCs w:val="18"/>
              </w:rPr>
            </w:pPr>
            <w:r>
              <w:rPr>
                <w:color w:val="auto"/>
                <w:sz w:val="18"/>
                <w:szCs w:val="18"/>
              </w:rPr>
              <w:t>0.057</w:t>
            </w:r>
          </w:p>
          <w:p w14:paraId="38EC45F8">
            <w:pPr>
              <w:adjustRightInd w:val="0"/>
              <w:snapToGrid w:val="0"/>
              <w:spacing w:line="200" w:lineRule="exact"/>
              <w:jc w:val="center"/>
              <w:rPr>
                <w:color w:val="auto"/>
                <w:sz w:val="18"/>
                <w:szCs w:val="18"/>
              </w:rPr>
            </w:pPr>
          </w:p>
          <w:p w14:paraId="30DCB64C">
            <w:pPr>
              <w:adjustRightInd w:val="0"/>
              <w:snapToGrid w:val="0"/>
              <w:spacing w:line="200" w:lineRule="exact"/>
              <w:jc w:val="center"/>
              <w:rPr>
                <w:color w:val="auto"/>
                <w:sz w:val="18"/>
                <w:szCs w:val="18"/>
              </w:rPr>
            </w:pPr>
            <w:r>
              <w:rPr>
                <w:color w:val="auto"/>
                <w:sz w:val="18"/>
                <w:szCs w:val="18"/>
              </w:rPr>
              <w:t>0.061</w:t>
            </w:r>
          </w:p>
          <w:p w14:paraId="33AD3D96">
            <w:pPr>
              <w:adjustRightInd w:val="0"/>
              <w:snapToGrid w:val="0"/>
              <w:spacing w:line="200" w:lineRule="exact"/>
              <w:jc w:val="center"/>
              <w:rPr>
                <w:color w:val="auto"/>
                <w:sz w:val="18"/>
                <w:szCs w:val="18"/>
              </w:rPr>
            </w:pPr>
            <w:r>
              <w:rPr>
                <w:color w:val="auto"/>
                <w:sz w:val="18"/>
                <w:szCs w:val="18"/>
              </w:rPr>
              <w:t>0.063</w:t>
            </w:r>
          </w:p>
          <w:p w14:paraId="38E6DF4E">
            <w:pPr>
              <w:adjustRightInd w:val="0"/>
              <w:snapToGrid w:val="0"/>
              <w:spacing w:line="200" w:lineRule="exact"/>
              <w:jc w:val="center"/>
              <w:rPr>
                <w:color w:val="auto"/>
                <w:sz w:val="18"/>
                <w:szCs w:val="18"/>
              </w:rPr>
            </w:pPr>
            <w:r>
              <w:rPr>
                <w:color w:val="auto"/>
                <w:sz w:val="18"/>
                <w:szCs w:val="18"/>
              </w:rPr>
              <w:t>0.065</w:t>
            </w:r>
          </w:p>
          <w:p w14:paraId="070FC452">
            <w:pPr>
              <w:adjustRightInd w:val="0"/>
              <w:snapToGrid w:val="0"/>
              <w:spacing w:line="200" w:lineRule="exact"/>
              <w:jc w:val="center"/>
              <w:rPr>
                <w:color w:val="auto"/>
                <w:sz w:val="18"/>
                <w:szCs w:val="18"/>
              </w:rPr>
            </w:pPr>
            <w:r>
              <w:rPr>
                <w:color w:val="auto"/>
                <w:sz w:val="18"/>
                <w:szCs w:val="18"/>
              </w:rPr>
              <w:t>0.067</w:t>
            </w:r>
          </w:p>
          <w:p w14:paraId="374CEC6C">
            <w:pPr>
              <w:adjustRightInd w:val="0"/>
              <w:snapToGrid w:val="0"/>
              <w:spacing w:line="200" w:lineRule="exact"/>
              <w:jc w:val="center"/>
              <w:rPr>
                <w:color w:val="auto"/>
                <w:sz w:val="18"/>
                <w:szCs w:val="18"/>
              </w:rPr>
            </w:pPr>
            <w:r>
              <w:rPr>
                <w:color w:val="auto"/>
                <w:sz w:val="18"/>
                <w:szCs w:val="18"/>
              </w:rPr>
              <w:t>0.069</w:t>
            </w:r>
          </w:p>
          <w:p w14:paraId="464FBF5B">
            <w:pPr>
              <w:adjustRightInd w:val="0"/>
              <w:snapToGrid w:val="0"/>
              <w:spacing w:line="200" w:lineRule="exact"/>
              <w:jc w:val="center"/>
              <w:rPr>
                <w:color w:val="auto"/>
                <w:sz w:val="18"/>
                <w:szCs w:val="18"/>
              </w:rPr>
            </w:pPr>
          </w:p>
          <w:p w14:paraId="62104C8D">
            <w:pPr>
              <w:adjustRightInd w:val="0"/>
              <w:snapToGrid w:val="0"/>
              <w:spacing w:line="200" w:lineRule="exact"/>
              <w:jc w:val="center"/>
              <w:rPr>
                <w:color w:val="auto"/>
                <w:sz w:val="18"/>
                <w:szCs w:val="18"/>
              </w:rPr>
            </w:pPr>
            <w:r>
              <w:rPr>
                <w:color w:val="auto"/>
                <w:sz w:val="18"/>
                <w:szCs w:val="18"/>
              </w:rPr>
              <w:t>0.070</w:t>
            </w:r>
          </w:p>
          <w:p w14:paraId="112CB638">
            <w:pPr>
              <w:adjustRightInd w:val="0"/>
              <w:snapToGrid w:val="0"/>
              <w:spacing w:line="200" w:lineRule="exact"/>
              <w:jc w:val="center"/>
              <w:rPr>
                <w:color w:val="auto"/>
                <w:sz w:val="18"/>
                <w:szCs w:val="18"/>
              </w:rPr>
            </w:pPr>
            <w:r>
              <w:rPr>
                <w:color w:val="auto"/>
                <w:sz w:val="18"/>
                <w:szCs w:val="18"/>
              </w:rPr>
              <w:t>0.071</w:t>
            </w:r>
          </w:p>
          <w:p w14:paraId="6894C9C5">
            <w:pPr>
              <w:adjustRightInd w:val="0"/>
              <w:snapToGrid w:val="0"/>
              <w:spacing w:line="200" w:lineRule="exact"/>
              <w:jc w:val="center"/>
              <w:rPr>
                <w:color w:val="auto"/>
                <w:sz w:val="18"/>
                <w:szCs w:val="18"/>
              </w:rPr>
            </w:pPr>
            <w:r>
              <w:rPr>
                <w:color w:val="auto"/>
                <w:sz w:val="18"/>
                <w:szCs w:val="18"/>
              </w:rPr>
              <w:t>0.072</w:t>
            </w:r>
          </w:p>
          <w:p w14:paraId="157EA8A6">
            <w:pPr>
              <w:adjustRightInd w:val="0"/>
              <w:snapToGrid w:val="0"/>
              <w:spacing w:line="200" w:lineRule="exact"/>
              <w:jc w:val="center"/>
              <w:rPr>
                <w:color w:val="auto"/>
                <w:sz w:val="18"/>
                <w:szCs w:val="18"/>
              </w:rPr>
            </w:pPr>
            <w:r>
              <w:rPr>
                <w:color w:val="auto"/>
                <w:sz w:val="18"/>
                <w:szCs w:val="18"/>
              </w:rPr>
              <w:t>0.072</w:t>
            </w:r>
          </w:p>
          <w:p w14:paraId="2F4C3FDF">
            <w:pPr>
              <w:adjustRightInd w:val="0"/>
              <w:snapToGrid w:val="0"/>
              <w:spacing w:line="200" w:lineRule="exact"/>
              <w:jc w:val="center"/>
              <w:rPr>
                <w:color w:val="auto"/>
                <w:sz w:val="18"/>
                <w:szCs w:val="18"/>
              </w:rPr>
            </w:pPr>
            <w:r>
              <w:rPr>
                <w:color w:val="auto"/>
                <w:sz w:val="18"/>
                <w:szCs w:val="18"/>
              </w:rPr>
              <w:t>0.073</w:t>
            </w:r>
          </w:p>
          <w:p w14:paraId="34CEF5EA">
            <w:pPr>
              <w:adjustRightInd w:val="0"/>
              <w:snapToGrid w:val="0"/>
              <w:spacing w:line="200" w:lineRule="exact"/>
              <w:jc w:val="center"/>
              <w:rPr>
                <w:color w:val="auto"/>
                <w:sz w:val="18"/>
                <w:szCs w:val="18"/>
              </w:rPr>
            </w:pPr>
            <w:r>
              <w:rPr>
                <w:color w:val="auto"/>
                <w:sz w:val="18"/>
                <w:szCs w:val="18"/>
              </w:rPr>
              <w:t>0.073</w:t>
            </w:r>
          </w:p>
          <w:p w14:paraId="61B7B224">
            <w:pPr>
              <w:adjustRightInd w:val="0"/>
              <w:snapToGrid w:val="0"/>
              <w:spacing w:line="200" w:lineRule="exact"/>
              <w:jc w:val="center"/>
              <w:rPr>
                <w:color w:val="auto"/>
                <w:sz w:val="18"/>
                <w:szCs w:val="18"/>
              </w:rPr>
            </w:pPr>
          </w:p>
          <w:p w14:paraId="463C3AEE">
            <w:pPr>
              <w:adjustRightInd w:val="0"/>
              <w:snapToGrid w:val="0"/>
              <w:spacing w:line="200" w:lineRule="exact"/>
              <w:jc w:val="center"/>
              <w:rPr>
                <w:color w:val="auto"/>
                <w:sz w:val="18"/>
                <w:szCs w:val="18"/>
              </w:rPr>
            </w:pPr>
            <w:r>
              <w:rPr>
                <w:color w:val="auto"/>
                <w:sz w:val="18"/>
                <w:szCs w:val="18"/>
              </w:rPr>
              <w:t>0.073</w:t>
            </w:r>
          </w:p>
          <w:p w14:paraId="3B403BEF">
            <w:pPr>
              <w:adjustRightInd w:val="0"/>
              <w:snapToGrid w:val="0"/>
              <w:spacing w:line="200" w:lineRule="exact"/>
              <w:jc w:val="center"/>
              <w:rPr>
                <w:color w:val="auto"/>
                <w:sz w:val="18"/>
                <w:szCs w:val="18"/>
              </w:rPr>
            </w:pPr>
            <w:r>
              <w:rPr>
                <w:color w:val="auto"/>
                <w:sz w:val="18"/>
                <w:szCs w:val="18"/>
              </w:rPr>
              <w:t>0.073</w:t>
            </w:r>
          </w:p>
          <w:p w14:paraId="3EED286A">
            <w:pPr>
              <w:adjustRightInd w:val="0"/>
              <w:snapToGrid w:val="0"/>
              <w:spacing w:line="200" w:lineRule="exact"/>
              <w:jc w:val="center"/>
              <w:rPr>
                <w:color w:val="auto"/>
                <w:sz w:val="18"/>
                <w:szCs w:val="18"/>
              </w:rPr>
            </w:pPr>
            <w:r>
              <w:rPr>
                <w:color w:val="auto"/>
                <w:sz w:val="18"/>
                <w:szCs w:val="18"/>
              </w:rPr>
              <w:t>0.073</w:t>
            </w:r>
          </w:p>
          <w:p w14:paraId="08E22B7C">
            <w:pPr>
              <w:adjustRightInd w:val="0"/>
              <w:snapToGrid w:val="0"/>
              <w:spacing w:line="200" w:lineRule="exact"/>
              <w:jc w:val="center"/>
              <w:rPr>
                <w:color w:val="auto"/>
                <w:sz w:val="18"/>
                <w:szCs w:val="18"/>
              </w:rPr>
            </w:pPr>
            <w:r>
              <w:rPr>
                <w:color w:val="auto"/>
                <w:sz w:val="18"/>
                <w:szCs w:val="18"/>
              </w:rPr>
              <w:t>0.072</w:t>
            </w:r>
          </w:p>
          <w:p w14:paraId="24E522AC">
            <w:pPr>
              <w:adjustRightInd w:val="0"/>
              <w:snapToGrid w:val="0"/>
              <w:spacing w:line="200" w:lineRule="exact"/>
              <w:jc w:val="center"/>
              <w:rPr>
                <w:color w:val="auto"/>
                <w:sz w:val="18"/>
                <w:szCs w:val="18"/>
              </w:rPr>
            </w:pPr>
            <w:r>
              <w:rPr>
                <w:color w:val="auto"/>
                <w:sz w:val="18"/>
                <w:szCs w:val="18"/>
              </w:rPr>
              <w:t>0.072</w:t>
            </w:r>
          </w:p>
          <w:p w14:paraId="3BD39BB0">
            <w:pPr>
              <w:adjustRightInd w:val="0"/>
              <w:snapToGrid w:val="0"/>
              <w:spacing w:line="200" w:lineRule="exact"/>
              <w:jc w:val="center"/>
              <w:rPr>
                <w:color w:val="auto"/>
                <w:sz w:val="18"/>
                <w:szCs w:val="18"/>
              </w:rPr>
            </w:pPr>
          </w:p>
          <w:p w14:paraId="4B21A86C">
            <w:pPr>
              <w:adjustRightInd w:val="0"/>
              <w:snapToGrid w:val="0"/>
              <w:spacing w:line="200" w:lineRule="exact"/>
              <w:jc w:val="center"/>
              <w:rPr>
                <w:color w:val="auto"/>
                <w:sz w:val="18"/>
                <w:szCs w:val="18"/>
              </w:rPr>
            </w:pPr>
            <w:r>
              <w:rPr>
                <w:color w:val="auto"/>
                <w:sz w:val="18"/>
                <w:szCs w:val="18"/>
              </w:rPr>
              <w:t>0.071</w:t>
            </w:r>
          </w:p>
          <w:p w14:paraId="3DA3FFCF">
            <w:pPr>
              <w:adjustRightInd w:val="0"/>
              <w:snapToGrid w:val="0"/>
              <w:spacing w:line="200" w:lineRule="exact"/>
              <w:jc w:val="center"/>
              <w:rPr>
                <w:color w:val="auto"/>
                <w:sz w:val="18"/>
                <w:szCs w:val="18"/>
              </w:rPr>
            </w:pPr>
            <w:r>
              <w:rPr>
                <w:color w:val="auto"/>
                <w:sz w:val="18"/>
                <w:szCs w:val="18"/>
              </w:rPr>
              <w:t>0.071</w:t>
            </w:r>
          </w:p>
          <w:p w14:paraId="063D916B">
            <w:pPr>
              <w:adjustRightInd w:val="0"/>
              <w:snapToGrid w:val="0"/>
              <w:spacing w:line="200" w:lineRule="exact"/>
              <w:jc w:val="center"/>
              <w:rPr>
                <w:color w:val="auto"/>
                <w:sz w:val="18"/>
                <w:szCs w:val="18"/>
              </w:rPr>
            </w:pPr>
            <w:r>
              <w:rPr>
                <w:color w:val="auto"/>
                <w:sz w:val="18"/>
                <w:szCs w:val="18"/>
              </w:rPr>
              <w:t>0.070</w:t>
            </w:r>
          </w:p>
          <w:p w14:paraId="0AA0D654">
            <w:pPr>
              <w:adjustRightInd w:val="0"/>
              <w:snapToGrid w:val="0"/>
              <w:spacing w:line="200" w:lineRule="exact"/>
              <w:jc w:val="center"/>
              <w:rPr>
                <w:color w:val="auto"/>
                <w:sz w:val="18"/>
                <w:szCs w:val="18"/>
              </w:rPr>
            </w:pPr>
            <w:r>
              <w:rPr>
                <w:color w:val="auto"/>
                <w:sz w:val="18"/>
                <w:szCs w:val="18"/>
              </w:rPr>
              <w:t>0.070</w:t>
            </w:r>
          </w:p>
          <w:p w14:paraId="0A5BCC64">
            <w:pPr>
              <w:adjustRightInd w:val="0"/>
              <w:snapToGrid w:val="0"/>
              <w:spacing w:line="200" w:lineRule="exact"/>
              <w:jc w:val="center"/>
              <w:rPr>
                <w:color w:val="auto"/>
                <w:sz w:val="18"/>
                <w:szCs w:val="18"/>
              </w:rPr>
            </w:pPr>
            <w:r>
              <w:rPr>
                <w:color w:val="auto"/>
                <w:sz w:val="18"/>
                <w:szCs w:val="18"/>
              </w:rPr>
              <w:t>0.069</w:t>
            </w:r>
          </w:p>
          <w:p w14:paraId="59E71CEE">
            <w:pPr>
              <w:adjustRightInd w:val="0"/>
              <w:snapToGrid w:val="0"/>
              <w:spacing w:line="200" w:lineRule="exact"/>
              <w:jc w:val="center"/>
              <w:rPr>
                <w:color w:val="auto"/>
                <w:sz w:val="18"/>
                <w:szCs w:val="18"/>
              </w:rPr>
            </w:pPr>
          </w:p>
          <w:p w14:paraId="04B87CC1">
            <w:pPr>
              <w:adjustRightInd w:val="0"/>
              <w:snapToGrid w:val="0"/>
              <w:spacing w:line="200" w:lineRule="exact"/>
              <w:jc w:val="center"/>
              <w:rPr>
                <w:color w:val="auto"/>
                <w:sz w:val="18"/>
                <w:szCs w:val="18"/>
              </w:rPr>
            </w:pPr>
            <w:r>
              <w:rPr>
                <w:color w:val="auto"/>
                <w:sz w:val="18"/>
                <w:szCs w:val="18"/>
              </w:rPr>
              <w:t>0.069</w:t>
            </w:r>
          </w:p>
          <w:p w14:paraId="02BF2CD0">
            <w:pPr>
              <w:adjustRightInd w:val="0"/>
              <w:snapToGrid w:val="0"/>
              <w:spacing w:line="200" w:lineRule="exact"/>
              <w:jc w:val="center"/>
              <w:rPr>
                <w:color w:val="auto"/>
                <w:sz w:val="18"/>
                <w:szCs w:val="18"/>
              </w:rPr>
            </w:pPr>
            <w:r>
              <w:rPr>
                <w:color w:val="auto"/>
                <w:sz w:val="18"/>
                <w:szCs w:val="18"/>
              </w:rPr>
              <w:t>0.068</w:t>
            </w:r>
          </w:p>
          <w:p w14:paraId="4C966C10">
            <w:pPr>
              <w:adjustRightInd w:val="0"/>
              <w:snapToGrid w:val="0"/>
              <w:spacing w:line="200" w:lineRule="exact"/>
              <w:jc w:val="center"/>
              <w:rPr>
                <w:color w:val="auto"/>
                <w:sz w:val="18"/>
                <w:szCs w:val="18"/>
              </w:rPr>
            </w:pPr>
            <w:r>
              <w:rPr>
                <w:color w:val="auto"/>
                <w:sz w:val="18"/>
                <w:szCs w:val="18"/>
              </w:rPr>
              <w:t>0.067</w:t>
            </w:r>
          </w:p>
          <w:p w14:paraId="52BB2E47">
            <w:pPr>
              <w:adjustRightInd w:val="0"/>
              <w:snapToGrid w:val="0"/>
              <w:spacing w:line="200" w:lineRule="exact"/>
              <w:jc w:val="center"/>
              <w:rPr>
                <w:color w:val="auto"/>
                <w:sz w:val="18"/>
                <w:szCs w:val="18"/>
              </w:rPr>
            </w:pPr>
            <w:r>
              <w:rPr>
                <w:color w:val="auto"/>
                <w:sz w:val="18"/>
                <w:szCs w:val="18"/>
              </w:rPr>
              <w:t>0.067</w:t>
            </w:r>
          </w:p>
          <w:p w14:paraId="3FEA1488">
            <w:pPr>
              <w:adjustRightInd w:val="0"/>
              <w:snapToGrid w:val="0"/>
              <w:spacing w:line="200" w:lineRule="exact"/>
              <w:jc w:val="center"/>
              <w:rPr>
                <w:color w:val="auto"/>
                <w:sz w:val="18"/>
                <w:szCs w:val="18"/>
              </w:rPr>
            </w:pPr>
            <w:r>
              <w:rPr>
                <w:color w:val="auto"/>
                <w:sz w:val="18"/>
                <w:szCs w:val="18"/>
              </w:rPr>
              <w:t>0.066</w:t>
            </w:r>
          </w:p>
          <w:p w14:paraId="1C0B4D96">
            <w:pPr>
              <w:adjustRightInd w:val="0"/>
              <w:snapToGrid w:val="0"/>
              <w:spacing w:line="200" w:lineRule="exact"/>
              <w:jc w:val="center"/>
              <w:rPr>
                <w:color w:val="auto"/>
                <w:sz w:val="18"/>
                <w:szCs w:val="18"/>
              </w:rPr>
            </w:pPr>
            <w:r>
              <w:rPr>
                <w:color w:val="auto"/>
                <w:sz w:val="18"/>
                <w:szCs w:val="18"/>
              </w:rPr>
              <w:t>0.065</w:t>
            </w:r>
          </w:p>
          <w:p w14:paraId="17418393">
            <w:pPr>
              <w:adjustRightInd w:val="0"/>
              <w:snapToGrid w:val="0"/>
              <w:spacing w:line="200" w:lineRule="exact"/>
              <w:jc w:val="center"/>
              <w:rPr>
                <w:color w:val="auto"/>
                <w:sz w:val="18"/>
                <w:szCs w:val="18"/>
              </w:rPr>
            </w:pPr>
          </w:p>
          <w:p w14:paraId="18AB59F2">
            <w:pPr>
              <w:adjustRightInd w:val="0"/>
              <w:snapToGrid w:val="0"/>
              <w:spacing w:line="200" w:lineRule="exact"/>
              <w:jc w:val="center"/>
              <w:rPr>
                <w:color w:val="auto"/>
                <w:sz w:val="18"/>
                <w:szCs w:val="18"/>
              </w:rPr>
            </w:pPr>
            <w:r>
              <w:rPr>
                <w:color w:val="auto"/>
                <w:sz w:val="18"/>
                <w:szCs w:val="18"/>
              </w:rPr>
              <w:t>0.065</w:t>
            </w:r>
          </w:p>
          <w:p w14:paraId="43798A69">
            <w:pPr>
              <w:adjustRightInd w:val="0"/>
              <w:snapToGrid w:val="0"/>
              <w:spacing w:line="200" w:lineRule="exact"/>
              <w:jc w:val="center"/>
              <w:rPr>
                <w:color w:val="auto"/>
                <w:sz w:val="18"/>
                <w:szCs w:val="18"/>
              </w:rPr>
            </w:pPr>
            <w:r>
              <w:rPr>
                <w:color w:val="auto"/>
                <w:sz w:val="18"/>
                <w:szCs w:val="18"/>
              </w:rPr>
              <w:t>0.064</w:t>
            </w:r>
          </w:p>
          <w:p w14:paraId="7E7710D4">
            <w:pPr>
              <w:adjustRightInd w:val="0"/>
              <w:snapToGrid w:val="0"/>
              <w:spacing w:line="200" w:lineRule="exact"/>
              <w:jc w:val="center"/>
              <w:rPr>
                <w:color w:val="auto"/>
                <w:sz w:val="18"/>
                <w:szCs w:val="18"/>
              </w:rPr>
            </w:pPr>
            <w:r>
              <w:rPr>
                <w:color w:val="auto"/>
                <w:sz w:val="18"/>
                <w:szCs w:val="18"/>
              </w:rPr>
              <w:t>0.063</w:t>
            </w:r>
          </w:p>
          <w:p w14:paraId="5A0EE35C">
            <w:pPr>
              <w:adjustRightInd w:val="0"/>
              <w:snapToGrid w:val="0"/>
              <w:spacing w:line="200" w:lineRule="exact"/>
              <w:jc w:val="center"/>
              <w:rPr>
                <w:color w:val="auto"/>
                <w:sz w:val="18"/>
                <w:szCs w:val="18"/>
              </w:rPr>
            </w:pPr>
            <w:r>
              <w:rPr>
                <w:color w:val="auto"/>
                <w:sz w:val="18"/>
                <w:szCs w:val="18"/>
              </w:rPr>
              <w:t>0.062</w:t>
            </w:r>
          </w:p>
          <w:p w14:paraId="02F3DBAE">
            <w:pPr>
              <w:adjustRightInd w:val="0"/>
              <w:snapToGrid w:val="0"/>
              <w:spacing w:line="200" w:lineRule="exact"/>
              <w:jc w:val="center"/>
              <w:rPr>
                <w:color w:val="auto"/>
                <w:sz w:val="18"/>
                <w:szCs w:val="18"/>
              </w:rPr>
            </w:pPr>
            <w:r>
              <w:rPr>
                <w:color w:val="auto"/>
                <w:sz w:val="18"/>
                <w:szCs w:val="18"/>
              </w:rPr>
              <w:t>0.061</w:t>
            </w:r>
          </w:p>
          <w:p w14:paraId="27FE08FB">
            <w:pPr>
              <w:adjustRightInd w:val="0"/>
              <w:snapToGrid w:val="0"/>
              <w:spacing w:line="200" w:lineRule="exact"/>
              <w:jc w:val="center"/>
              <w:rPr>
                <w:color w:val="auto"/>
                <w:sz w:val="18"/>
                <w:szCs w:val="18"/>
              </w:rPr>
            </w:pPr>
          </w:p>
          <w:p w14:paraId="16F2CC5F">
            <w:pPr>
              <w:adjustRightInd w:val="0"/>
              <w:snapToGrid w:val="0"/>
              <w:spacing w:line="200" w:lineRule="exact"/>
              <w:jc w:val="center"/>
              <w:rPr>
                <w:color w:val="auto"/>
                <w:sz w:val="18"/>
                <w:szCs w:val="18"/>
              </w:rPr>
            </w:pPr>
            <w:r>
              <w:rPr>
                <w:color w:val="auto"/>
                <w:sz w:val="18"/>
                <w:szCs w:val="18"/>
              </w:rPr>
              <w:t>0.059</w:t>
            </w:r>
          </w:p>
          <w:p w14:paraId="56935519">
            <w:pPr>
              <w:adjustRightInd w:val="0"/>
              <w:snapToGrid w:val="0"/>
              <w:spacing w:line="200" w:lineRule="exact"/>
              <w:jc w:val="center"/>
              <w:rPr>
                <w:color w:val="auto"/>
                <w:sz w:val="18"/>
                <w:szCs w:val="18"/>
              </w:rPr>
            </w:pPr>
            <w:r>
              <w:rPr>
                <w:color w:val="auto"/>
                <w:sz w:val="18"/>
                <w:szCs w:val="18"/>
              </w:rPr>
              <w:t>0.058</w:t>
            </w:r>
          </w:p>
          <w:p w14:paraId="073C0207">
            <w:pPr>
              <w:adjustRightInd w:val="0"/>
              <w:snapToGrid w:val="0"/>
              <w:spacing w:line="200" w:lineRule="exact"/>
              <w:jc w:val="center"/>
              <w:rPr>
                <w:color w:val="auto"/>
                <w:sz w:val="18"/>
                <w:szCs w:val="18"/>
              </w:rPr>
            </w:pPr>
            <w:r>
              <w:rPr>
                <w:color w:val="auto"/>
                <w:sz w:val="18"/>
                <w:szCs w:val="18"/>
              </w:rPr>
              <w:t>0.057</w:t>
            </w:r>
          </w:p>
        </w:tc>
        <w:tc>
          <w:tcPr>
            <w:tcW w:w="1866" w:type="dxa"/>
            <w:vAlign w:val="center"/>
          </w:tcPr>
          <w:p w14:paraId="05FE7AA8">
            <w:pPr>
              <w:adjustRightInd w:val="0"/>
              <w:snapToGrid w:val="0"/>
              <w:spacing w:line="200" w:lineRule="exact"/>
              <w:jc w:val="center"/>
              <w:rPr>
                <w:color w:val="auto"/>
                <w:sz w:val="18"/>
                <w:szCs w:val="18"/>
              </w:rPr>
            </w:pPr>
            <w:r>
              <w:rPr>
                <w:color w:val="auto"/>
                <w:sz w:val="18"/>
                <w:szCs w:val="18"/>
              </w:rPr>
              <w:t>0.500</w:t>
            </w:r>
          </w:p>
          <w:p w14:paraId="1C6934B5">
            <w:pPr>
              <w:adjustRightInd w:val="0"/>
              <w:snapToGrid w:val="0"/>
              <w:spacing w:line="200" w:lineRule="exact"/>
              <w:jc w:val="center"/>
              <w:rPr>
                <w:color w:val="auto"/>
                <w:sz w:val="18"/>
                <w:szCs w:val="18"/>
              </w:rPr>
            </w:pPr>
            <w:r>
              <w:rPr>
                <w:color w:val="auto"/>
                <w:sz w:val="18"/>
                <w:szCs w:val="18"/>
              </w:rPr>
              <w:t>0.465</w:t>
            </w:r>
          </w:p>
          <w:p w14:paraId="45B0CEF3">
            <w:pPr>
              <w:adjustRightInd w:val="0"/>
              <w:snapToGrid w:val="0"/>
              <w:spacing w:line="200" w:lineRule="exact"/>
              <w:jc w:val="center"/>
              <w:rPr>
                <w:color w:val="auto"/>
                <w:sz w:val="18"/>
                <w:szCs w:val="18"/>
              </w:rPr>
            </w:pPr>
            <w:r>
              <w:rPr>
                <w:color w:val="auto"/>
                <w:sz w:val="18"/>
                <w:szCs w:val="18"/>
              </w:rPr>
              <w:t>0.433</w:t>
            </w:r>
          </w:p>
          <w:p w14:paraId="6963148C">
            <w:pPr>
              <w:adjustRightInd w:val="0"/>
              <w:snapToGrid w:val="0"/>
              <w:spacing w:line="200" w:lineRule="exact"/>
              <w:jc w:val="center"/>
              <w:rPr>
                <w:color w:val="auto"/>
                <w:sz w:val="18"/>
                <w:szCs w:val="18"/>
              </w:rPr>
            </w:pPr>
            <w:r>
              <w:rPr>
                <w:color w:val="auto"/>
                <w:sz w:val="18"/>
                <w:szCs w:val="18"/>
              </w:rPr>
              <w:t>0.403</w:t>
            </w:r>
          </w:p>
          <w:p w14:paraId="46FA52F6">
            <w:pPr>
              <w:adjustRightInd w:val="0"/>
              <w:snapToGrid w:val="0"/>
              <w:spacing w:line="200" w:lineRule="exact"/>
              <w:jc w:val="center"/>
              <w:rPr>
                <w:color w:val="auto"/>
                <w:sz w:val="18"/>
                <w:szCs w:val="18"/>
              </w:rPr>
            </w:pPr>
            <w:r>
              <w:rPr>
                <w:color w:val="auto"/>
                <w:sz w:val="18"/>
                <w:szCs w:val="18"/>
              </w:rPr>
              <w:t>0.376</w:t>
            </w:r>
          </w:p>
          <w:p w14:paraId="00D57EBA">
            <w:pPr>
              <w:adjustRightInd w:val="0"/>
              <w:snapToGrid w:val="0"/>
              <w:spacing w:line="200" w:lineRule="exact"/>
              <w:jc w:val="center"/>
              <w:rPr>
                <w:color w:val="auto"/>
                <w:sz w:val="18"/>
                <w:szCs w:val="18"/>
              </w:rPr>
            </w:pPr>
            <w:r>
              <w:rPr>
                <w:color w:val="auto"/>
                <w:sz w:val="18"/>
                <w:szCs w:val="18"/>
              </w:rPr>
              <w:t>0.349</w:t>
            </w:r>
          </w:p>
          <w:p w14:paraId="22A54FFB">
            <w:pPr>
              <w:adjustRightInd w:val="0"/>
              <w:snapToGrid w:val="0"/>
              <w:spacing w:line="200" w:lineRule="exact"/>
              <w:jc w:val="center"/>
              <w:rPr>
                <w:color w:val="auto"/>
                <w:sz w:val="18"/>
                <w:szCs w:val="18"/>
              </w:rPr>
            </w:pPr>
          </w:p>
          <w:p w14:paraId="1B159549">
            <w:pPr>
              <w:adjustRightInd w:val="0"/>
              <w:snapToGrid w:val="0"/>
              <w:spacing w:line="200" w:lineRule="exact"/>
              <w:jc w:val="center"/>
              <w:rPr>
                <w:color w:val="auto"/>
                <w:sz w:val="18"/>
                <w:szCs w:val="18"/>
              </w:rPr>
            </w:pPr>
            <w:r>
              <w:rPr>
                <w:color w:val="auto"/>
                <w:sz w:val="18"/>
                <w:szCs w:val="18"/>
              </w:rPr>
              <w:t>0.324</w:t>
            </w:r>
          </w:p>
          <w:p w14:paraId="66ED4108">
            <w:pPr>
              <w:adjustRightInd w:val="0"/>
              <w:snapToGrid w:val="0"/>
              <w:spacing w:line="200" w:lineRule="exact"/>
              <w:jc w:val="center"/>
              <w:rPr>
                <w:color w:val="auto"/>
                <w:sz w:val="18"/>
                <w:szCs w:val="18"/>
              </w:rPr>
            </w:pPr>
            <w:r>
              <w:rPr>
                <w:color w:val="auto"/>
                <w:sz w:val="18"/>
                <w:szCs w:val="18"/>
              </w:rPr>
              <w:t>0.300</w:t>
            </w:r>
          </w:p>
          <w:p w14:paraId="6EBE72D3">
            <w:pPr>
              <w:adjustRightInd w:val="0"/>
              <w:snapToGrid w:val="0"/>
              <w:spacing w:line="200" w:lineRule="exact"/>
              <w:jc w:val="center"/>
              <w:rPr>
                <w:color w:val="auto"/>
                <w:sz w:val="18"/>
                <w:szCs w:val="18"/>
              </w:rPr>
            </w:pPr>
            <w:r>
              <w:rPr>
                <w:color w:val="auto"/>
                <w:sz w:val="18"/>
                <w:szCs w:val="18"/>
              </w:rPr>
              <w:t>0.279</w:t>
            </w:r>
          </w:p>
          <w:p w14:paraId="6D197A90">
            <w:pPr>
              <w:adjustRightInd w:val="0"/>
              <w:snapToGrid w:val="0"/>
              <w:spacing w:line="200" w:lineRule="exact"/>
              <w:jc w:val="center"/>
              <w:rPr>
                <w:color w:val="auto"/>
                <w:sz w:val="18"/>
                <w:szCs w:val="18"/>
              </w:rPr>
            </w:pPr>
            <w:r>
              <w:rPr>
                <w:color w:val="auto"/>
                <w:sz w:val="18"/>
                <w:szCs w:val="18"/>
              </w:rPr>
              <w:t>0.258</w:t>
            </w:r>
          </w:p>
          <w:p w14:paraId="750B51B6">
            <w:pPr>
              <w:adjustRightInd w:val="0"/>
              <w:snapToGrid w:val="0"/>
              <w:spacing w:line="200" w:lineRule="exact"/>
              <w:jc w:val="center"/>
              <w:rPr>
                <w:color w:val="auto"/>
                <w:sz w:val="18"/>
                <w:szCs w:val="18"/>
              </w:rPr>
            </w:pPr>
            <w:r>
              <w:rPr>
                <w:color w:val="auto"/>
                <w:sz w:val="18"/>
                <w:szCs w:val="18"/>
              </w:rPr>
              <w:t>0.238</w:t>
            </w:r>
          </w:p>
          <w:p w14:paraId="0C49DF60">
            <w:pPr>
              <w:adjustRightInd w:val="0"/>
              <w:snapToGrid w:val="0"/>
              <w:spacing w:line="200" w:lineRule="exact"/>
              <w:jc w:val="center"/>
              <w:rPr>
                <w:color w:val="auto"/>
                <w:sz w:val="18"/>
                <w:szCs w:val="18"/>
              </w:rPr>
            </w:pPr>
          </w:p>
          <w:p w14:paraId="7D2DE664">
            <w:pPr>
              <w:adjustRightInd w:val="0"/>
              <w:snapToGrid w:val="0"/>
              <w:spacing w:line="200" w:lineRule="exact"/>
              <w:jc w:val="center"/>
              <w:rPr>
                <w:color w:val="auto"/>
                <w:sz w:val="18"/>
                <w:szCs w:val="18"/>
              </w:rPr>
            </w:pPr>
            <w:r>
              <w:rPr>
                <w:color w:val="auto"/>
                <w:sz w:val="18"/>
                <w:szCs w:val="18"/>
              </w:rPr>
              <w:t>0.221</w:t>
            </w:r>
          </w:p>
          <w:p w14:paraId="63AEC384">
            <w:pPr>
              <w:adjustRightInd w:val="0"/>
              <w:snapToGrid w:val="0"/>
              <w:spacing w:line="200" w:lineRule="exact"/>
              <w:jc w:val="center"/>
              <w:rPr>
                <w:color w:val="auto"/>
                <w:sz w:val="18"/>
                <w:szCs w:val="18"/>
              </w:rPr>
            </w:pPr>
            <w:r>
              <w:rPr>
                <w:color w:val="auto"/>
                <w:sz w:val="18"/>
                <w:szCs w:val="18"/>
              </w:rPr>
              <w:t>0.205</w:t>
            </w:r>
          </w:p>
          <w:p w14:paraId="24856F51">
            <w:pPr>
              <w:adjustRightInd w:val="0"/>
              <w:snapToGrid w:val="0"/>
              <w:spacing w:line="200" w:lineRule="exact"/>
              <w:jc w:val="center"/>
              <w:rPr>
                <w:color w:val="auto"/>
                <w:sz w:val="18"/>
                <w:szCs w:val="18"/>
              </w:rPr>
            </w:pPr>
            <w:r>
              <w:rPr>
                <w:color w:val="auto"/>
                <w:sz w:val="18"/>
                <w:szCs w:val="18"/>
              </w:rPr>
              <w:t>0.190</w:t>
            </w:r>
          </w:p>
          <w:p w14:paraId="20AC07F1">
            <w:pPr>
              <w:adjustRightInd w:val="0"/>
              <w:snapToGrid w:val="0"/>
              <w:spacing w:line="200" w:lineRule="exact"/>
              <w:jc w:val="center"/>
              <w:rPr>
                <w:color w:val="auto"/>
                <w:sz w:val="18"/>
                <w:szCs w:val="18"/>
              </w:rPr>
            </w:pPr>
            <w:r>
              <w:rPr>
                <w:color w:val="auto"/>
                <w:sz w:val="18"/>
                <w:szCs w:val="18"/>
              </w:rPr>
              <w:t>0.177</w:t>
            </w:r>
          </w:p>
          <w:p w14:paraId="0930B6CA">
            <w:pPr>
              <w:adjustRightInd w:val="0"/>
              <w:snapToGrid w:val="0"/>
              <w:spacing w:line="200" w:lineRule="exact"/>
              <w:jc w:val="center"/>
              <w:rPr>
                <w:color w:val="auto"/>
                <w:sz w:val="18"/>
                <w:szCs w:val="18"/>
              </w:rPr>
            </w:pPr>
            <w:r>
              <w:rPr>
                <w:color w:val="auto"/>
                <w:sz w:val="18"/>
                <w:szCs w:val="18"/>
              </w:rPr>
              <w:t>0.165</w:t>
            </w:r>
          </w:p>
          <w:p w14:paraId="3098312C">
            <w:pPr>
              <w:adjustRightInd w:val="0"/>
              <w:snapToGrid w:val="0"/>
              <w:spacing w:line="200" w:lineRule="exact"/>
              <w:jc w:val="center"/>
              <w:rPr>
                <w:color w:val="auto"/>
                <w:sz w:val="18"/>
                <w:szCs w:val="18"/>
              </w:rPr>
            </w:pPr>
          </w:p>
          <w:p w14:paraId="05867662">
            <w:pPr>
              <w:adjustRightInd w:val="0"/>
              <w:snapToGrid w:val="0"/>
              <w:spacing w:line="200" w:lineRule="exact"/>
              <w:jc w:val="center"/>
              <w:rPr>
                <w:color w:val="auto"/>
                <w:sz w:val="18"/>
                <w:szCs w:val="18"/>
              </w:rPr>
            </w:pPr>
            <w:r>
              <w:rPr>
                <w:color w:val="auto"/>
                <w:sz w:val="18"/>
                <w:szCs w:val="18"/>
              </w:rPr>
              <w:t>0.154</w:t>
            </w:r>
          </w:p>
          <w:p w14:paraId="54DB7B79">
            <w:pPr>
              <w:adjustRightInd w:val="0"/>
              <w:snapToGrid w:val="0"/>
              <w:spacing w:line="200" w:lineRule="exact"/>
              <w:jc w:val="center"/>
              <w:rPr>
                <w:color w:val="auto"/>
                <w:sz w:val="18"/>
                <w:szCs w:val="18"/>
              </w:rPr>
            </w:pPr>
            <w:r>
              <w:rPr>
                <w:color w:val="auto"/>
                <w:sz w:val="18"/>
                <w:szCs w:val="18"/>
              </w:rPr>
              <w:t>0.144</w:t>
            </w:r>
          </w:p>
          <w:p w14:paraId="3853955B">
            <w:pPr>
              <w:adjustRightInd w:val="0"/>
              <w:snapToGrid w:val="0"/>
              <w:spacing w:line="200" w:lineRule="exact"/>
              <w:jc w:val="center"/>
              <w:rPr>
                <w:color w:val="auto"/>
                <w:sz w:val="18"/>
                <w:szCs w:val="18"/>
              </w:rPr>
            </w:pPr>
            <w:r>
              <w:rPr>
                <w:color w:val="auto"/>
                <w:sz w:val="18"/>
                <w:szCs w:val="18"/>
              </w:rPr>
              <w:t>0.134</w:t>
            </w:r>
          </w:p>
          <w:p w14:paraId="5278E9F1">
            <w:pPr>
              <w:adjustRightInd w:val="0"/>
              <w:snapToGrid w:val="0"/>
              <w:spacing w:line="200" w:lineRule="exact"/>
              <w:jc w:val="center"/>
              <w:rPr>
                <w:color w:val="auto"/>
                <w:sz w:val="18"/>
                <w:szCs w:val="18"/>
              </w:rPr>
            </w:pPr>
            <w:r>
              <w:rPr>
                <w:color w:val="auto"/>
                <w:sz w:val="18"/>
                <w:szCs w:val="18"/>
              </w:rPr>
              <w:t>0.126</w:t>
            </w:r>
          </w:p>
          <w:p w14:paraId="53F6F29F">
            <w:pPr>
              <w:adjustRightInd w:val="0"/>
              <w:snapToGrid w:val="0"/>
              <w:spacing w:line="200" w:lineRule="exact"/>
              <w:jc w:val="center"/>
              <w:rPr>
                <w:color w:val="auto"/>
                <w:sz w:val="18"/>
                <w:szCs w:val="18"/>
              </w:rPr>
            </w:pPr>
            <w:r>
              <w:rPr>
                <w:color w:val="auto"/>
                <w:sz w:val="18"/>
                <w:szCs w:val="18"/>
              </w:rPr>
              <w:t>0.117</w:t>
            </w:r>
          </w:p>
          <w:p w14:paraId="4547C833">
            <w:pPr>
              <w:adjustRightInd w:val="0"/>
              <w:snapToGrid w:val="0"/>
              <w:spacing w:line="200" w:lineRule="exact"/>
              <w:jc w:val="center"/>
              <w:rPr>
                <w:color w:val="auto"/>
                <w:sz w:val="18"/>
                <w:szCs w:val="18"/>
              </w:rPr>
            </w:pPr>
            <w:r>
              <w:rPr>
                <w:color w:val="auto"/>
                <w:sz w:val="18"/>
                <w:szCs w:val="18"/>
              </w:rPr>
              <w:t>0.110</w:t>
            </w:r>
          </w:p>
          <w:p w14:paraId="1959D606">
            <w:pPr>
              <w:adjustRightInd w:val="0"/>
              <w:snapToGrid w:val="0"/>
              <w:spacing w:line="200" w:lineRule="exact"/>
              <w:jc w:val="center"/>
              <w:rPr>
                <w:color w:val="auto"/>
                <w:sz w:val="18"/>
                <w:szCs w:val="18"/>
              </w:rPr>
            </w:pPr>
          </w:p>
          <w:p w14:paraId="09D415E5">
            <w:pPr>
              <w:adjustRightInd w:val="0"/>
              <w:snapToGrid w:val="0"/>
              <w:spacing w:line="200" w:lineRule="exact"/>
              <w:jc w:val="center"/>
              <w:rPr>
                <w:color w:val="auto"/>
                <w:sz w:val="18"/>
                <w:szCs w:val="18"/>
              </w:rPr>
            </w:pPr>
            <w:r>
              <w:rPr>
                <w:color w:val="auto"/>
                <w:sz w:val="18"/>
                <w:szCs w:val="18"/>
              </w:rPr>
              <w:t>0.104</w:t>
            </w:r>
          </w:p>
          <w:p w14:paraId="26DF8499">
            <w:pPr>
              <w:adjustRightInd w:val="0"/>
              <w:snapToGrid w:val="0"/>
              <w:spacing w:line="200" w:lineRule="exact"/>
              <w:jc w:val="center"/>
              <w:rPr>
                <w:color w:val="auto"/>
                <w:sz w:val="18"/>
                <w:szCs w:val="18"/>
              </w:rPr>
            </w:pPr>
            <w:r>
              <w:rPr>
                <w:color w:val="auto"/>
                <w:sz w:val="18"/>
                <w:szCs w:val="18"/>
              </w:rPr>
              <w:t>0.097</w:t>
            </w:r>
          </w:p>
          <w:p w14:paraId="2038CB3F">
            <w:pPr>
              <w:adjustRightInd w:val="0"/>
              <w:snapToGrid w:val="0"/>
              <w:spacing w:line="200" w:lineRule="exact"/>
              <w:jc w:val="center"/>
              <w:rPr>
                <w:color w:val="auto"/>
                <w:sz w:val="18"/>
                <w:szCs w:val="18"/>
              </w:rPr>
            </w:pPr>
            <w:r>
              <w:rPr>
                <w:color w:val="auto"/>
                <w:sz w:val="18"/>
                <w:szCs w:val="18"/>
              </w:rPr>
              <w:t>0.091</w:t>
            </w:r>
          </w:p>
          <w:p w14:paraId="4DE7D5E4">
            <w:pPr>
              <w:adjustRightInd w:val="0"/>
              <w:snapToGrid w:val="0"/>
              <w:spacing w:line="200" w:lineRule="exact"/>
              <w:jc w:val="center"/>
              <w:rPr>
                <w:color w:val="auto"/>
                <w:sz w:val="18"/>
                <w:szCs w:val="18"/>
              </w:rPr>
            </w:pPr>
            <w:r>
              <w:rPr>
                <w:color w:val="auto"/>
                <w:sz w:val="18"/>
                <w:szCs w:val="18"/>
              </w:rPr>
              <w:t>0.086</w:t>
            </w:r>
          </w:p>
          <w:p w14:paraId="174BF46E">
            <w:pPr>
              <w:adjustRightInd w:val="0"/>
              <w:snapToGrid w:val="0"/>
              <w:spacing w:line="200" w:lineRule="exact"/>
              <w:jc w:val="center"/>
              <w:rPr>
                <w:color w:val="auto"/>
                <w:sz w:val="18"/>
                <w:szCs w:val="18"/>
              </w:rPr>
            </w:pPr>
            <w:r>
              <w:rPr>
                <w:color w:val="auto"/>
                <w:sz w:val="18"/>
                <w:szCs w:val="18"/>
              </w:rPr>
              <w:t>0.081</w:t>
            </w:r>
          </w:p>
          <w:p w14:paraId="5196A627">
            <w:pPr>
              <w:adjustRightInd w:val="0"/>
              <w:snapToGrid w:val="0"/>
              <w:spacing w:line="200" w:lineRule="exact"/>
              <w:jc w:val="center"/>
              <w:rPr>
                <w:color w:val="auto"/>
                <w:sz w:val="18"/>
                <w:szCs w:val="18"/>
              </w:rPr>
            </w:pPr>
          </w:p>
          <w:p w14:paraId="53A6A524">
            <w:pPr>
              <w:adjustRightInd w:val="0"/>
              <w:snapToGrid w:val="0"/>
              <w:spacing w:line="200" w:lineRule="exact"/>
              <w:jc w:val="center"/>
              <w:rPr>
                <w:color w:val="auto"/>
                <w:sz w:val="18"/>
                <w:szCs w:val="18"/>
              </w:rPr>
            </w:pPr>
            <w:r>
              <w:rPr>
                <w:color w:val="auto"/>
                <w:sz w:val="18"/>
                <w:szCs w:val="18"/>
              </w:rPr>
              <w:t>0.078</w:t>
            </w:r>
          </w:p>
          <w:p w14:paraId="4C2FCEFE">
            <w:pPr>
              <w:adjustRightInd w:val="0"/>
              <w:snapToGrid w:val="0"/>
              <w:spacing w:line="200" w:lineRule="exact"/>
              <w:jc w:val="center"/>
              <w:rPr>
                <w:color w:val="auto"/>
                <w:sz w:val="18"/>
                <w:szCs w:val="18"/>
              </w:rPr>
            </w:pPr>
            <w:r>
              <w:rPr>
                <w:color w:val="auto"/>
                <w:sz w:val="18"/>
                <w:szCs w:val="18"/>
              </w:rPr>
              <w:t>0.074</w:t>
            </w:r>
          </w:p>
          <w:p w14:paraId="4CA4CC0F">
            <w:pPr>
              <w:adjustRightInd w:val="0"/>
              <w:snapToGrid w:val="0"/>
              <w:spacing w:line="200" w:lineRule="exact"/>
              <w:jc w:val="center"/>
              <w:rPr>
                <w:color w:val="auto"/>
                <w:sz w:val="18"/>
                <w:szCs w:val="18"/>
              </w:rPr>
            </w:pPr>
            <w:r>
              <w:rPr>
                <w:color w:val="auto"/>
                <w:sz w:val="18"/>
                <w:szCs w:val="18"/>
              </w:rPr>
              <w:t>0.070</w:t>
            </w:r>
          </w:p>
          <w:p w14:paraId="3E8200C0">
            <w:pPr>
              <w:adjustRightInd w:val="0"/>
              <w:snapToGrid w:val="0"/>
              <w:spacing w:line="200" w:lineRule="exact"/>
              <w:jc w:val="center"/>
              <w:rPr>
                <w:color w:val="auto"/>
                <w:sz w:val="18"/>
                <w:szCs w:val="18"/>
              </w:rPr>
            </w:pPr>
            <w:r>
              <w:rPr>
                <w:color w:val="auto"/>
                <w:sz w:val="18"/>
                <w:szCs w:val="18"/>
              </w:rPr>
              <w:t>0.067</w:t>
            </w:r>
          </w:p>
          <w:p w14:paraId="4973A776">
            <w:pPr>
              <w:adjustRightInd w:val="0"/>
              <w:snapToGrid w:val="0"/>
              <w:spacing w:line="200" w:lineRule="exact"/>
              <w:jc w:val="center"/>
              <w:rPr>
                <w:color w:val="auto"/>
                <w:sz w:val="18"/>
                <w:szCs w:val="18"/>
              </w:rPr>
            </w:pPr>
            <w:r>
              <w:rPr>
                <w:color w:val="auto"/>
                <w:sz w:val="18"/>
                <w:szCs w:val="18"/>
              </w:rPr>
              <w:t>0.064</w:t>
            </w:r>
          </w:p>
          <w:p w14:paraId="38A27EB1">
            <w:pPr>
              <w:adjustRightInd w:val="0"/>
              <w:snapToGrid w:val="0"/>
              <w:spacing w:line="200" w:lineRule="exact"/>
              <w:jc w:val="center"/>
              <w:rPr>
                <w:color w:val="auto"/>
                <w:sz w:val="18"/>
                <w:szCs w:val="18"/>
              </w:rPr>
            </w:pPr>
          </w:p>
          <w:p w14:paraId="63FADE05">
            <w:pPr>
              <w:adjustRightInd w:val="0"/>
              <w:snapToGrid w:val="0"/>
              <w:spacing w:line="200" w:lineRule="exact"/>
              <w:jc w:val="center"/>
              <w:rPr>
                <w:color w:val="auto"/>
                <w:sz w:val="18"/>
                <w:szCs w:val="18"/>
              </w:rPr>
            </w:pPr>
            <w:r>
              <w:rPr>
                <w:color w:val="auto"/>
                <w:sz w:val="18"/>
                <w:szCs w:val="18"/>
              </w:rPr>
              <w:t>0.061</w:t>
            </w:r>
          </w:p>
          <w:p w14:paraId="069C939F">
            <w:pPr>
              <w:adjustRightInd w:val="0"/>
              <w:snapToGrid w:val="0"/>
              <w:spacing w:line="200" w:lineRule="exact"/>
              <w:jc w:val="center"/>
              <w:rPr>
                <w:color w:val="auto"/>
                <w:sz w:val="18"/>
                <w:szCs w:val="18"/>
              </w:rPr>
            </w:pPr>
            <w:r>
              <w:rPr>
                <w:color w:val="auto"/>
                <w:sz w:val="18"/>
                <w:szCs w:val="18"/>
              </w:rPr>
              <w:t>0.059</w:t>
            </w:r>
          </w:p>
          <w:p w14:paraId="34C55D1B">
            <w:pPr>
              <w:adjustRightInd w:val="0"/>
              <w:snapToGrid w:val="0"/>
              <w:spacing w:line="200" w:lineRule="exact"/>
              <w:jc w:val="center"/>
              <w:rPr>
                <w:color w:val="auto"/>
                <w:sz w:val="18"/>
                <w:szCs w:val="18"/>
              </w:rPr>
            </w:pPr>
            <w:r>
              <w:rPr>
                <w:color w:val="auto"/>
                <w:sz w:val="18"/>
                <w:szCs w:val="18"/>
              </w:rPr>
              <w:t>0.055</w:t>
            </w:r>
          </w:p>
          <w:p w14:paraId="363BBFB4">
            <w:pPr>
              <w:adjustRightInd w:val="0"/>
              <w:snapToGrid w:val="0"/>
              <w:spacing w:line="200" w:lineRule="exact"/>
              <w:jc w:val="center"/>
              <w:rPr>
                <w:color w:val="auto"/>
                <w:sz w:val="18"/>
                <w:szCs w:val="18"/>
              </w:rPr>
            </w:pPr>
            <w:r>
              <w:rPr>
                <w:color w:val="auto"/>
                <w:sz w:val="18"/>
                <w:szCs w:val="18"/>
              </w:rPr>
              <w:t>0.053</w:t>
            </w:r>
          </w:p>
          <w:p w14:paraId="1C78B30B">
            <w:pPr>
              <w:adjustRightInd w:val="0"/>
              <w:snapToGrid w:val="0"/>
              <w:spacing w:line="200" w:lineRule="exact"/>
              <w:jc w:val="center"/>
              <w:rPr>
                <w:color w:val="auto"/>
                <w:sz w:val="18"/>
                <w:szCs w:val="18"/>
              </w:rPr>
            </w:pPr>
            <w:r>
              <w:rPr>
                <w:color w:val="auto"/>
                <w:sz w:val="18"/>
                <w:szCs w:val="18"/>
              </w:rPr>
              <w:t>0.051</w:t>
            </w:r>
          </w:p>
          <w:p w14:paraId="063845A5">
            <w:pPr>
              <w:adjustRightInd w:val="0"/>
              <w:snapToGrid w:val="0"/>
              <w:spacing w:line="200" w:lineRule="exact"/>
              <w:jc w:val="center"/>
              <w:rPr>
                <w:color w:val="auto"/>
                <w:sz w:val="18"/>
                <w:szCs w:val="18"/>
              </w:rPr>
            </w:pPr>
            <w:r>
              <w:rPr>
                <w:color w:val="auto"/>
                <w:sz w:val="18"/>
                <w:szCs w:val="18"/>
              </w:rPr>
              <w:t>0.048</w:t>
            </w:r>
          </w:p>
          <w:p w14:paraId="44B7B2D9">
            <w:pPr>
              <w:adjustRightInd w:val="0"/>
              <w:snapToGrid w:val="0"/>
              <w:spacing w:line="200" w:lineRule="exact"/>
              <w:jc w:val="center"/>
              <w:rPr>
                <w:color w:val="auto"/>
                <w:sz w:val="18"/>
                <w:szCs w:val="18"/>
              </w:rPr>
            </w:pPr>
          </w:p>
          <w:p w14:paraId="0BD9302D">
            <w:pPr>
              <w:adjustRightInd w:val="0"/>
              <w:snapToGrid w:val="0"/>
              <w:spacing w:line="200" w:lineRule="exact"/>
              <w:jc w:val="center"/>
              <w:rPr>
                <w:color w:val="auto"/>
                <w:sz w:val="18"/>
                <w:szCs w:val="18"/>
              </w:rPr>
            </w:pPr>
            <w:r>
              <w:rPr>
                <w:color w:val="auto"/>
                <w:sz w:val="18"/>
                <w:szCs w:val="18"/>
              </w:rPr>
              <w:t>0.046</w:t>
            </w:r>
          </w:p>
          <w:p w14:paraId="71CE3B49">
            <w:pPr>
              <w:adjustRightInd w:val="0"/>
              <w:snapToGrid w:val="0"/>
              <w:spacing w:line="200" w:lineRule="exact"/>
              <w:jc w:val="center"/>
              <w:rPr>
                <w:color w:val="auto"/>
                <w:sz w:val="18"/>
                <w:szCs w:val="18"/>
              </w:rPr>
            </w:pPr>
            <w:r>
              <w:rPr>
                <w:color w:val="auto"/>
                <w:sz w:val="18"/>
                <w:szCs w:val="18"/>
              </w:rPr>
              <w:t>0.043</w:t>
            </w:r>
          </w:p>
          <w:p w14:paraId="7D3F6DEB">
            <w:pPr>
              <w:adjustRightInd w:val="0"/>
              <w:snapToGrid w:val="0"/>
              <w:spacing w:line="200" w:lineRule="exact"/>
              <w:jc w:val="center"/>
              <w:rPr>
                <w:color w:val="auto"/>
                <w:sz w:val="18"/>
                <w:szCs w:val="18"/>
              </w:rPr>
            </w:pPr>
            <w:r>
              <w:rPr>
                <w:color w:val="auto"/>
                <w:sz w:val="18"/>
                <w:szCs w:val="18"/>
              </w:rPr>
              <w:t>0.041</w:t>
            </w:r>
          </w:p>
          <w:p w14:paraId="07C321B9">
            <w:pPr>
              <w:adjustRightInd w:val="0"/>
              <w:snapToGrid w:val="0"/>
              <w:spacing w:line="200" w:lineRule="exact"/>
              <w:jc w:val="center"/>
              <w:rPr>
                <w:color w:val="auto"/>
                <w:sz w:val="18"/>
                <w:szCs w:val="18"/>
              </w:rPr>
            </w:pPr>
            <w:r>
              <w:rPr>
                <w:color w:val="auto"/>
                <w:sz w:val="18"/>
                <w:szCs w:val="18"/>
              </w:rPr>
              <w:t>0.038</w:t>
            </w:r>
          </w:p>
          <w:p w14:paraId="75DE6E99">
            <w:pPr>
              <w:adjustRightInd w:val="0"/>
              <w:snapToGrid w:val="0"/>
              <w:spacing w:line="200" w:lineRule="exact"/>
              <w:jc w:val="center"/>
              <w:rPr>
                <w:color w:val="auto"/>
                <w:sz w:val="18"/>
                <w:szCs w:val="18"/>
              </w:rPr>
            </w:pPr>
            <w:r>
              <w:rPr>
                <w:color w:val="auto"/>
                <w:sz w:val="18"/>
                <w:szCs w:val="18"/>
              </w:rPr>
              <w:t>0.034</w:t>
            </w:r>
          </w:p>
          <w:p w14:paraId="0C68DC43">
            <w:pPr>
              <w:adjustRightInd w:val="0"/>
              <w:snapToGrid w:val="0"/>
              <w:spacing w:line="200" w:lineRule="exact"/>
              <w:jc w:val="center"/>
              <w:rPr>
                <w:color w:val="auto"/>
                <w:sz w:val="18"/>
                <w:szCs w:val="18"/>
              </w:rPr>
            </w:pPr>
          </w:p>
          <w:p w14:paraId="490C7D36">
            <w:pPr>
              <w:adjustRightInd w:val="0"/>
              <w:snapToGrid w:val="0"/>
              <w:spacing w:line="200" w:lineRule="exact"/>
              <w:jc w:val="center"/>
              <w:rPr>
                <w:color w:val="auto"/>
                <w:sz w:val="18"/>
                <w:szCs w:val="18"/>
              </w:rPr>
            </w:pPr>
            <w:r>
              <w:rPr>
                <w:color w:val="auto"/>
                <w:sz w:val="18"/>
                <w:szCs w:val="18"/>
              </w:rPr>
              <w:t>0.031</w:t>
            </w:r>
          </w:p>
          <w:p w14:paraId="1DF1C9AC">
            <w:pPr>
              <w:adjustRightInd w:val="0"/>
              <w:snapToGrid w:val="0"/>
              <w:spacing w:line="200" w:lineRule="exact"/>
              <w:jc w:val="center"/>
              <w:rPr>
                <w:color w:val="auto"/>
                <w:sz w:val="18"/>
                <w:szCs w:val="18"/>
              </w:rPr>
            </w:pPr>
            <w:r>
              <w:rPr>
                <w:color w:val="auto"/>
                <w:sz w:val="18"/>
                <w:szCs w:val="18"/>
              </w:rPr>
              <w:t>0.029</w:t>
            </w:r>
          </w:p>
          <w:p w14:paraId="54F7690C">
            <w:pPr>
              <w:adjustRightInd w:val="0"/>
              <w:snapToGrid w:val="0"/>
              <w:spacing w:line="200" w:lineRule="exact"/>
              <w:jc w:val="center"/>
              <w:rPr>
                <w:color w:val="auto"/>
                <w:sz w:val="18"/>
                <w:szCs w:val="18"/>
              </w:rPr>
            </w:pPr>
            <w:r>
              <w:rPr>
                <w:color w:val="auto"/>
                <w:sz w:val="18"/>
                <w:szCs w:val="18"/>
              </w:rPr>
              <w:t>0.027</w:t>
            </w:r>
          </w:p>
        </w:tc>
        <w:tc>
          <w:tcPr>
            <w:tcW w:w="1868" w:type="dxa"/>
            <w:vAlign w:val="center"/>
          </w:tcPr>
          <w:p w14:paraId="520BCC13">
            <w:pPr>
              <w:adjustRightInd w:val="0"/>
              <w:snapToGrid w:val="0"/>
              <w:spacing w:line="200" w:lineRule="exact"/>
              <w:jc w:val="center"/>
              <w:rPr>
                <w:color w:val="auto"/>
                <w:sz w:val="18"/>
                <w:szCs w:val="18"/>
              </w:rPr>
            </w:pPr>
            <w:r>
              <w:rPr>
                <w:color w:val="auto"/>
                <w:sz w:val="18"/>
                <w:szCs w:val="18"/>
              </w:rPr>
              <w:t>0.500</w:t>
            </w:r>
          </w:p>
          <w:p w14:paraId="6E5E4F3F">
            <w:pPr>
              <w:adjustRightInd w:val="0"/>
              <w:snapToGrid w:val="0"/>
              <w:spacing w:line="200" w:lineRule="exact"/>
              <w:jc w:val="center"/>
              <w:rPr>
                <w:color w:val="auto"/>
                <w:sz w:val="18"/>
                <w:szCs w:val="18"/>
              </w:rPr>
            </w:pPr>
            <w:r>
              <w:rPr>
                <w:color w:val="auto"/>
                <w:sz w:val="18"/>
                <w:szCs w:val="18"/>
              </w:rPr>
              <w:t>0.483</w:t>
            </w:r>
          </w:p>
          <w:p w14:paraId="43D8187F">
            <w:pPr>
              <w:adjustRightInd w:val="0"/>
              <w:snapToGrid w:val="0"/>
              <w:spacing w:line="200" w:lineRule="exact"/>
              <w:jc w:val="center"/>
              <w:rPr>
                <w:color w:val="auto"/>
                <w:sz w:val="18"/>
                <w:szCs w:val="18"/>
              </w:rPr>
            </w:pPr>
            <w:r>
              <w:rPr>
                <w:color w:val="auto"/>
                <w:sz w:val="18"/>
                <w:szCs w:val="18"/>
              </w:rPr>
              <w:t>0.466</w:t>
            </w:r>
          </w:p>
          <w:p w14:paraId="3A555EDC">
            <w:pPr>
              <w:adjustRightInd w:val="0"/>
              <w:snapToGrid w:val="0"/>
              <w:spacing w:line="200" w:lineRule="exact"/>
              <w:jc w:val="center"/>
              <w:rPr>
                <w:color w:val="auto"/>
                <w:sz w:val="18"/>
                <w:szCs w:val="18"/>
              </w:rPr>
            </w:pPr>
            <w:r>
              <w:rPr>
                <w:color w:val="auto"/>
                <w:sz w:val="18"/>
                <w:szCs w:val="18"/>
              </w:rPr>
              <w:t>0.450</w:t>
            </w:r>
          </w:p>
          <w:p w14:paraId="6CEFD5CF">
            <w:pPr>
              <w:adjustRightInd w:val="0"/>
              <w:snapToGrid w:val="0"/>
              <w:spacing w:line="200" w:lineRule="exact"/>
              <w:jc w:val="center"/>
              <w:rPr>
                <w:color w:val="auto"/>
                <w:sz w:val="18"/>
                <w:szCs w:val="18"/>
              </w:rPr>
            </w:pPr>
            <w:r>
              <w:rPr>
                <w:color w:val="auto"/>
                <w:sz w:val="18"/>
                <w:szCs w:val="18"/>
              </w:rPr>
              <w:t>0.435</w:t>
            </w:r>
          </w:p>
          <w:p w14:paraId="71EA733A">
            <w:pPr>
              <w:adjustRightInd w:val="0"/>
              <w:snapToGrid w:val="0"/>
              <w:spacing w:line="200" w:lineRule="exact"/>
              <w:jc w:val="center"/>
              <w:rPr>
                <w:color w:val="auto"/>
                <w:sz w:val="18"/>
                <w:szCs w:val="18"/>
              </w:rPr>
            </w:pPr>
            <w:r>
              <w:rPr>
                <w:color w:val="auto"/>
                <w:sz w:val="18"/>
                <w:szCs w:val="18"/>
              </w:rPr>
              <w:t>0.420</w:t>
            </w:r>
          </w:p>
          <w:p w14:paraId="427A6BE6">
            <w:pPr>
              <w:adjustRightInd w:val="0"/>
              <w:snapToGrid w:val="0"/>
              <w:spacing w:line="200" w:lineRule="exact"/>
              <w:jc w:val="center"/>
              <w:rPr>
                <w:color w:val="auto"/>
                <w:sz w:val="18"/>
                <w:szCs w:val="18"/>
              </w:rPr>
            </w:pPr>
          </w:p>
          <w:p w14:paraId="6239A442">
            <w:pPr>
              <w:adjustRightInd w:val="0"/>
              <w:snapToGrid w:val="0"/>
              <w:spacing w:line="200" w:lineRule="exact"/>
              <w:jc w:val="center"/>
              <w:rPr>
                <w:color w:val="auto"/>
                <w:sz w:val="18"/>
                <w:szCs w:val="18"/>
              </w:rPr>
            </w:pPr>
            <w:r>
              <w:rPr>
                <w:color w:val="auto"/>
                <w:sz w:val="18"/>
                <w:szCs w:val="18"/>
              </w:rPr>
              <w:t>0.406</w:t>
            </w:r>
          </w:p>
          <w:p w14:paraId="53C5E4E7">
            <w:pPr>
              <w:adjustRightInd w:val="0"/>
              <w:snapToGrid w:val="0"/>
              <w:spacing w:line="200" w:lineRule="exact"/>
              <w:jc w:val="center"/>
              <w:rPr>
                <w:color w:val="auto"/>
                <w:sz w:val="18"/>
                <w:szCs w:val="18"/>
              </w:rPr>
            </w:pPr>
            <w:r>
              <w:rPr>
                <w:color w:val="auto"/>
                <w:sz w:val="18"/>
                <w:szCs w:val="18"/>
              </w:rPr>
              <w:t>0.393</w:t>
            </w:r>
          </w:p>
          <w:p w14:paraId="09BAD174">
            <w:pPr>
              <w:adjustRightInd w:val="0"/>
              <w:snapToGrid w:val="0"/>
              <w:spacing w:line="200" w:lineRule="exact"/>
              <w:jc w:val="center"/>
              <w:rPr>
                <w:color w:val="auto"/>
                <w:sz w:val="18"/>
                <w:szCs w:val="18"/>
              </w:rPr>
            </w:pPr>
            <w:r>
              <w:rPr>
                <w:color w:val="auto"/>
                <w:sz w:val="18"/>
                <w:szCs w:val="18"/>
              </w:rPr>
              <w:t>0.380</w:t>
            </w:r>
          </w:p>
          <w:p w14:paraId="2D70FECF">
            <w:pPr>
              <w:adjustRightInd w:val="0"/>
              <w:snapToGrid w:val="0"/>
              <w:spacing w:line="200" w:lineRule="exact"/>
              <w:jc w:val="center"/>
              <w:rPr>
                <w:color w:val="auto"/>
                <w:sz w:val="18"/>
                <w:szCs w:val="18"/>
              </w:rPr>
            </w:pPr>
            <w:r>
              <w:rPr>
                <w:color w:val="auto"/>
                <w:sz w:val="18"/>
                <w:szCs w:val="18"/>
              </w:rPr>
              <w:t>0.368</w:t>
            </w:r>
          </w:p>
          <w:p w14:paraId="02948E52">
            <w:pPr>
              <w:adjustRightInd w:val="0"/>
              <w:snapToGrid w:val="0"/>
              <w:spacing w:line="200" w:lineRule="exact"/>
              <w:jc w:val="center"/>
              <w:rPr>
                <w:color w:val="auto"/>
                <w:sz w:val="18"/>
                <w:szCs w:val="18"/>
              </w:rPr>
            </w:pPr>
            <w:r>
              <w:rPr>
                <w:color w:val="auto"/>
                <w:sz w:val="18"/>
                <w:szCs w:val="18"/>
              </w:rPr>
              <w:t>0.356</w:t>
            </w:r>
          </w:p>
          <w:p w14:paraId="0F92CEC1">
            <w:pPr>
              <w:adjustRightInd w:val="0"/>
              <w:snapToGrid w:val="0"/>
              <w:spacing w:line="200" w:lineRule="exact"/>
              <w:jc w:val="center"/>
              <w:rPr>
                <w:color w:val="auto"/>
                <w:sz w:val="18"/>
                <w:szCs w:val="18"/>
              </w:rPr>
            </w:pPr>
          </w:p>
          <w:p w14:paraId="6251B05C">
            <w:pPr>
              <w:adjustRightInd w:val="0"/>
              <w:snapToGrid w:val="0"/>
              <w:spacing w:line="200" w:lineRule="exact"/>
              <w:jc w:val="center"/>
              <w:rPr>
                <w:color w:val="auto"/>
                <w:sz w:val="18"/>
                <w:szCs w:val="18"/>
              </w:rPr>
            </w:pPr>
            <w:r>
              <w:rPr>
                <w:color w:val="auto"/>
                <w:sz w:val="18"/>
                <w:szCs w:val="18"/>
              </w:rPr>
              <w:t>0.344</w:t>
            </w:r>
          </w:p>
          <w:p w14:paraId="09444EFA">
            <w:pPr>
              <w:adjustRightInd w:val="0"/>
              <w:snapToGrid w:val="0"/>
              <w:spacing w:line="200" w:lineRule="exact"/>
              <w:jc w:val="center"/>
              <w:rPr>
                <w:color w:val="auto"/>
                <w:sz w:val="18"/>
                <w:szCs w:val="18"/>
              </w:rPr>
            </w:pPr>
            <w:r>
              <w:rPr>
                <w:color w:val="auto"/>
                <w:sz w:val="18"/>
                <w:szCs w:val="18"/>
              </w:rPr>
              <w:t>0.333</w:t>
            </w:r>
          </w:p>
          <w:p w14:paraId="134D1ECC">
            <w:pPr>
              <w:adjustRightInd w:val="0"/>
              <w:snapToGrid w:val="0"/>
              <w:spacing w:line="200" w:lineRule="exact"/>
              <w:jc w:val="center"/>
              <w:rPr>
                <w:color w:val="auto"/>
                <w:sz w:val="18"/>
                <w:szCs w:val="18"/>
              </w:rPr>
            </w:pPr>
            <w:r>
              <w:rPr>
                <w:color w:val="auto"/>
                <w:sz w:val="18"/>
                <w:szCs w:val="18"/>
              </w:rPr>
              <w:t>0.323</w:t>
            </w:r>
          </w:p>
          <w:p w14:paraId="202F8545">
            <w:pPr>
              <w:adjustRightInd w:val="0"/>
              <w:snapToGrid w:val="0"/>
              <w:spacing w:line="200" w:lineRule="exact"/>
              <w:jc w:val="center"/>
              <w:rPr>
                <w:color w:val="auto"/>
                <w:sz w:val="18"/>
                <w:szCs w:val="18"/>
              </w:rPr>
            </w:pPr>
            <w:r>
              <w:rPr>
                <w:color w:val="auto"/>
                <w:sz w:val="18"/>
                <w:szCs w:val="18"/>
              </w:rPr>
              <w:t>0.313</w:t>
            </w:r>
          </w:p>
          <w:p w14:paraId="7EB54F92">
            <w:pPr>
              <w:adjustRightInd w:val="0"/>
              <w:snapToGrid w:val="0"/>
              <w:spacing w:line="200" w:lineRule="exact"/>
              <w:jc w:val="center"/>
              <w:rPr>
                <w:color w:val="auto"/>
                <w:sz w:val="18"/>
                <w:szCs w:val="18"/>
              </w:rPr>
            </w:pPr>
            <w:r>
              <w:rPr>
                <w:color w:val="auto"/>
                <w:sz w:val="18"/>
                <w:szCs w:val="18"/>
              </w:rPr>
              <w:t>0.303</w:t>
            </w:r>
          </w:p>
          <w:p w14:paraId="7F029805">
            <w:pPr>
              <w:adjustRightInd w:val="0"/>
              <w:snapToGrid w:val="0"/>
              <w:spacing w:line="200" w:lineRule="exact"/>
              <w:jc w:val="center"/>
              <w:rPr>
                <w:color w:val="auto"/>
                <w:sz w:val="18"/>
                <w:szCs w:val="18"/>
              </w:rPr>
            </w:pPr>
          </w:p>
          <w:p w14:paraId="3F4D5CB3">
            <w:pPr>
              <w:adjustRightInd w:val="0"/>
              <w:snapToGrid w:val="0"/>
              <w:spacing w:line="200" w:lineRule="exact"/>
              <w:jc w:val="center"/>
              <w:rPr>
                <w:color w:val="auto"/>
                <w:sz w:val="18"/>
                <w:szCs w:val="18"/>
              </w:rPr>
            </w:pPr>
            <w:r>
              <w:rPr>
                <w:color w:val="auto"/>
                <w:sz w:val="18"/>
                <w:szCs w:val="18"/>
              </w:rPr>
              <w:t>0.294</w:t>
            </w:r>
          </w:p>
          <w:p w14:paraId="7406BF1C">
            <w:pPr>
              <w:adjustRightInd w:val="0"/>
              <w:snapToGrid w:val="0"/>
              <w:spacing w:line="200" w:lineRule="exact"/>
              <w:jc w:val="center"/>
              <w:rPr>
                <w:color w:val="auto"/>
                <w:sz w:val="18"/>
                <w:szCs w:val="18"/>
              </w:rPr>
            </w:pPr>
            <w:r>
              <w:rPr>
                <w:color w:val="auto"/>
                <w:sz w:val="18"/>
                <w:szCs w:val="18"/>
              </w:rPr>
              <w:t>0.286</w:t>
            </w:r>
          </w:p>
          <w:p w14:paraId="5DE4FE43">
            <w:pPr>
              <w:adjustRightInd w:val="0"/>
              <w:snapToGrid w:val="0"/>
              <w:spacing w:line="200" w:lineRule="exact"/>
              <w:jc w:val="center"/>
              <w:rPr>
                <w:color w:val="auto"/>
                <w:sz w:val="18"/>
                <w:szCs w:val="18"/>
              </w:rPr>
            </w:pPr>
            <w:r>
              <w:rPr>
                <w:color w:val="auto"/>
                <w:sz w:val="18"/>
                <w:szCs w:val="18"/>
              </w:rPr>
              <w:t>0.278</w:t>
            </w:r>
          </w:p>
          <w:p w14:paraId="01E1EBFE">
            <w:pPr>
              <w:adjustRightInd w:val="0"/>
              <w:snapToGrid w:val="0"/>
              <w:spacing w:line="200" w:lineRule="exact"/>
              <w:jc w:val="center"/>
              <w:rPr>
                <w:color w:val="auto"/>
                <w:sz w:val="18"/>
                <w:szCs w:val="18"/>
              </w:rPr>
            </w:pPr>
            <w:r>
              <w:rPr>
                <w:color w:val="auto"/>
                <w:sz w:val="18"/>
                <w:szCs w:val="18"/>
              </w:rPr>
              <w:t>0.270</w:t>
            </w:r>
          </w:p>
          <w:p w14:paraId="6BF43981">
            <w:pPr>
              <w:adjustRightInd w:val="0"/>
              <w:snapToGrid w:val="0"/>
              <w:spacing w:line="200" w:lineRule="exact"/>
              <w:jc w:val="center"/>
              <w:rPr>
                <w:color w:val="auto"/>
                <w:sz w:val="18"/>
                <w:szCs w:val="18"/>
              </w:rPr>
            </w:pPr>
            <w:r>
              <w:rPr>
                <w:color w:val="auto"/>
                <w:sz w:val="18"/>
                <w:szCs w:val="18"/>
              </w:rPr>
              <w:t>0.263</w:t>
            </w:r>
          </w:p>
          <w:p w14:paraId="52A9C92D">
            <w:pPr>
              <w:adjustRightInd w:val="0"/>
              <w:snapToGrid w:val="0"/>
              <w:spacing w:line="200" w:lineRule="exact"/>
              <w:jc w:val="center"/>
              <w:rPr>
                <w:color w:val="auto"/>
                <w:sz w:val="18"/>
                <w:szCs w:val="18"/>
              </w:rPr>
            </w:pPr>
            <w:r>
              <w:rPr>
                <w:color w:val="auto"/>
                <w:sz w:val="18"/>
                <w:szCs w:val="18"/>
              </w:rPr>
              <w:t>0.255</w:t>
            </w:r>
          </w:p>
          <w:p w14:paraId="6B79C999">
            <w:pPr>
              <w:adjustRightInd w:val="0"/>
              <w:snapToGrid w:val="0"/>
              <w:spacing w:line="200" w:lineRule="exact"/>
              <w:jc w:val="center"/>
              <w:rPr>
                <w:color w:val="auto"/>
                <w:sz w:val="18"/>
                <w:szCs w:val="18"/>
              </w:rPr>
            </w:pPr>
          </w:p>
          <w:p w14:paraId="7F244A61">
            <w:pPr>
              <w:adjustRightInd w:val="0"/>
              <w:snapToGrid w:val="0"/>
              <w:spacing w:line="200" w:lineRule="exact"/>
              <w:jc w:val="center"/>
              <w:rPr>
                <w:color w:val="auto"/>
                <w:sz w:val="18"/>
                <w:szCs w:val="18"/>
              </w:rPr>
            </w:pPr>
            <w:r>
              <w:rPr>
                <w:color w:val="auto"/>
                <w:sz w:val="18"/>
                <w:szCs w:val="18"/>
              </w:rPr>
              <w:t>0.249</w:t>
            </w:r>
          </w:p>
          <w:p w14:paraId="09CB51AC">
            <w:pPr>
              <w:adjustRightInd w:val="0"/>
              <w:snapToGrid w:val="0"/>
              <w:spacing w:line="200" w:lineRule="exact"/>
              <w:jc w:val="center"/>
              <w:rPr>
                <w:color w:val="auto"/>
                <w:sz w:val="18"/>
                <w:szCs w:val="18"/>
              </w:rPr>
            </w:pPr>
            <w:r>
              <w:rPr>
                <w:color w:val="auto"/>
                <w:sz w:val="18"/>
                <w:szCs w:val="18"/>
              </w:rPr>
              <w:t>0.242</w:t>
            </w:r>
          </w:p>
          <w:p w14:paraId="7A575DCD">
            <w:pPr>
              <w:adjustRightInd w:val="0"/>
              <w:snapToGrid w:val="0"/>
              <w:spacing w:line="200" w:lineRule="exact"/>
              <w:jc w:val="center"/>
              <w:rPr>
                <w:color w:val="auto"/>
                <w:sz w:val="18"/>
                <w:szCs w:val="18"/>
              </w:rPr>
            </w:pPr>
            <w:r>
              <w:rPr>
                <w:color w:val="auto"/>
                <w:sz w:val="18"/>
                <w:szCs w:val="18"/>
              </w:rPr>
              <w:t>0.236</w:t>
            </w:r>
          </w:p>
          <w:p w14:paraId="564E3FD2">
            <w:pPr>
              <w:adjustRightInd w:val="0"/>
              <w:snapToGrid w:val="0"/>
              <w:spacing w:line="200" w:lineRule="exact"/>
              <w:jc w:val="center"/>
              <w:rPr>
                <w:color w:val="auto"/>
                <w:sz w:val="18"/>
                <w:szCs w:val="18"/>
              </w:rPr>
            </w:pPr>
            <w:r>
              <w:rPr>
                <w:color w:val="auto"/>
                <w:sz w:val="18"/>
                <w:szCs w:val="18"/>
              </w:rPr>
              <w:t>0.230</w:t>
            </w:r>
          </w:p>
          <w:p w14:paraId="01736F63">
            <w:pPr>
              <w:adjustRightInd w:val="0"/>
              <w:snapToGrid w:val="0"/>
              <w:spacing w:line="200" w:lineRule="exact"/>
              <w:jc w:val="center"/>
              <w:rPr>
                <w:color w:val="auto"/>
                <w:sz w:val="18"/>
                <w:szCs w:val="18"/>
              </w:rPr>
            </w:pPr>
            <w:r>
              <w:rPr>
                <w:color w:val="auto"/>
                <w:sz w:val="18"/>
                <w:szCs w:val="18"/>
              </w:rPr>
              <w:t>0.225</w:t>
            </w:r>
          </w:p>
          <w:p w14:paraId="7F46E353">
            <w:pPr>
              <w:adjustRightInd w:val="0"/>
              <w:snapToGrid w:val="0"/>
              <w:spacing w:line="200" w:lineRule="exact"/>
              <w:jc w:val="center"/>
              <w:rPr>
                <w:color w:val="auto"/>
                <w:sz w:val="18"/>
                <w:szCs w:val="18"/>
              </w:rPr>
            </w:pPr>
          </w:p>
          <w:p w14:paraId="5EE56754">
            <w:pPr>
              <w:adjustRightInd w:val="0"/>
              <w:snapToGrid w:val="0"/>
              <w:spacing w:line="200" w:lineRule="exact"/>
              <w:jc w:val="center"/>
              <w:rPr>
                <w:color w:val="auto"/>
                <w:sz w:val="18"/>
                <w:szCs w:val="18"/>
              </w:rPr>
            </w:pPr>
            <w:r>
              <w:rPr>
                <w:color w:val="auto"/>
                <w:sz w:val="18"/>
                <w:szCs w:val="18"/>
              </w:rPr>
              <w:t>0.219</w:t>
            </w:r>
          </w:p>
          <w:p w14:paraId="7E35A0EE">
            <w:pPr>
              <w:adjustRightInd w:val="0"/>
              <w:snapToGrid w:val="0"/>
              <w:spacing w:line="200" w:lineRule="exact"/>
              <w:jc w:val="center"/>
              <w:rPr>
                <w:color w:val="auto"/>
                <w:sz w:val="18"/>
                <w:szCs w:val="18"/>
              </w:rPr>
            </w:pPr>
            <w:r>
              <w:rPr>
                <w:color w:val="auto"/>
                <w:sz w:val="18"/>
                <w:szCs w:val="18"/>
              </w:rPr>
              <w:t>0.214</w:t>
            </w:r>
          </w:p>
          <w:p w14:paraId="0F805DA2">
            <w:pPr>
              <w:adjustRightInd w:val="0"/>
              <w:snapToGrid w:val="0"/>
              <w:spacing w:line="200" w:lineRule="exact"/>
              <w:jc w:val="center"/>
              <w:rPr>
                <w:color w:val="auto"/>
                <w:sz w:val="18"/>
                <w:szCs w:val="18"/>
              </w:rPr>
            </w:pPr>
            <w:r>
              <w:rPr>
                <w:color w:val="auto"/>
                <w:sz w:val="18"/>
                <w:szCs w:val="18"/>
              </w:rPr>
              <w:t>0.209</w:t>
            </w:r>
          </w:p>
          <w:p w14:paraId="4B15DEB2">
            <w:pPr>
              <w:adjustRightInd w:val="0"/>
              <w:snapToGrid w:val="0"/>
              <w:spacing w:line="200" w:lineRule="exact"/>
              <w:jc w:val="center"/>
              <w:rPr>
                <w:color w:val="auto"/>
                <w:sz w:val="18"/>
                <w:szCs w:val="18"/>
              </w:rPr>
            </w:pPr>
            <w:r>
              <w:rPr>
                <w:color w:val="auto"/>
                <w:sz w:val="18"/>
                <w:szCs w:val="18"/>
              </w:rPr>
              <w:t>0.204</w:t>
            </w:r>
          </w:p>
          <w:p w14:paraId="6D07C1A9">
            <w:pPr>
              <w:adjustRightInd w:val="0"/>
              <w:snapToGrid w:val="0"/>
              <w:spacing w:line="200" w:lineRule="exact"/>
              <w:jc w:val="center"/>
              <w:rPr>
                <w:color w:val="auto"/>
                <w:sz w:val="18"/>
                <w:szCs w:val="18"/>
              </w:rPr>
            </w:pPr>
            <w:r>
              <w:rPr>
                <w:color w:val="auto"/>
                <w:sz w:val="18"/>
                <w:szCs w:val="18"/>
              </w:rPr>
              <w:t>0.200</w:t>
            </w:r>
          </w:p>
          <w:p w14:paraId="64E8DA3A">
            <w:pPr>
              <w:adjustRightInd w:val="0"/>
              <w:snapToGrid w:val="0"/>
              <w:spacing w:line="200" w:lineRule="exact"/>
              <w:jc w:val="center"/>
              <w:rPr>
                <w:color w:val="auto"/>
                <w:sz w:val="18"/>
                <w:szCs w:val="18"/>
              </w:rPr>
            </w:pPr>
          </w:p>
          <w:p w14:paraId="0E53B9BB">
            <w:pPr>
              <w:adjustRightInd w:val="0"/>
              <w:snapToGrid w:val="0"/>
              <w:spacing w:line="200" w:lineRule="exact"/>
              <w:jc w:val="center"/>
              <w:rPr>
                <w:color w:val="auto"/>
                <w:sz w:val="18"/>
                <w:szCs w:val="18"/>
              </w:rPr>
            </w:pPr>
            <w:r>
              <w:rPr>
                <w:color w:val="auto"/>
                <w:sz w:val="18"/>
                <w:szCs w:val="18"/>
              </w:rPr>
              <w:t>0.196</w:t>
            </w:r>
          </w:p>
          <w:p w14:paraId="24BE6C67">
            <w:pPr>
              <w:adjustRightInd w:val="0"/>
              <w:snapToGrid w:val="0"/>
              <w:spacing w:line="200" w:lineRule="exact"/>
              <w:jc w:val="center"/>
              <w:rPr>
                <w:color w:val="auto"/>
                <w:sz w:val="18"/>
                <w:szCs w:val="18"/>
              </w:rPr>
            </w:pPr>
            <w:r>
              <w:rPr>
                <w:color w:val="auto"/>
                <w:sz w:val="18"/>
                <w:szCs w:val="18"/>
              </w:rPr>
              <w:t>0.192</w:t>
            </w:r>
          </w:p>
          <w:p w14:paraId="4916036B">
            <w:pPr>
              <w:adjustRightInd w:val="0"/>
              <w:snapToGrid w:val="0"/>
              <w:spacing w:line="200" w:lineRule="exact"/>
              <w:jc w:val="center"/>
              <w:rPr>
                <w:color w:val="auto"/>
                <w:sz w:val="18"/>
                <w:szCs w:val="18"/>
              </w:rPr>
            </w:pPr>
            <w:r>
              <w:rPr>
                <w:color w:val="auto"/>
                <w:sz w:val="18"/>
                <w:szCs w:val="18"/>
              </w:rPr>
              <w:t>0.188</w:t>
            </w:r>
          </w:p>
          <w:p w14:paraId="7AB49A0D">
            <w:pPr>
              <w:adjustRightInd w:val="0"/>
              <w:snapToGrid w:val="0"/>
              <w:spacing w:line="200" w:lineRule="exact"/>
              <w:jc w:val="center"/>
              <w:rPr>
                <w:color w:val="auto"/>
                <w:sz w:val="18"/>
                <w:szCs w:val="18"/>
              </w:rPr>
            </w:pPr>
            <w:r>
              <w:rPr>
                <w:color w:val="auto"/>
                <w:sz w:val="18"/>
                <w:szCs w:val="18"/>
              </w:rPr>
              <w:t>0.184</w:t>
            </w:r>
          </w:p>
          <w:p w14:paraId="062F8DF6">
            <w:pPr>
              <w:adjustRightInd w:val="0"/>
              <w:snapToGrid w:val="0"/>
              <w:spacing w:line="200" w:lineRule="exact"/>
              <w:jc w:val="center"/>
              <w:rPr>
                <w:color w:val="auto"/>
                <w:sz w:val="18"/>
                <w:szCs w:val="18"/>
              </w:rPr>
            </w:pPr>
            <w:r>
              <w:rPr>
                <w:color w:val="auto"/>
                <w:sz w:val="18"/>
                <w:szCs w:val="18"/>
              </w:rPr>
              <w:t>0.180</w:t>
            </w:r>
          </w:p>
          <w:p w14:paraId="3BB94EC8">
            <w:pPr>
              <w:adjustRightInd w:val="0"/>
              <w:snapToGrid w:val="0"/>
              <w:spacing w:line="200" w:lineRule="exact"/>
              <w:jc w:val="center"/>
              <w:rPr>
                <w:color w:val="auto"/>
                <w:sz w:val="18"/>
                <w:szCs w:val="18"/>
              </w:rPr>
            </w:pPr>
            <w:r>
              <w:rPr>
                <w:color w:val="auto"/>
                <w:sz w:val="18"/>
                <w:szCs w:val="18"/>
              </w:rPr>
              <w:t>0.177</w:t>
            </w:r>
          </w:p>
          <w:p w14:paraId="308622AB">
            <w:pPr>
              <w:adjustRightInd w:val="0"/>
              <w:snapToGrid w:val="0"/>
              <w:spacing w:line="200" w:lineRule="exact"/>
              <w:jc w:val="center"/>
              <w:rPr>
                <w:color w:val="auto"/>
                <w:sz w:val="18"/>
                <w:szCs w:val="18"/>
              </w:rPr>
            </w:pPr>
          </w:p>
          <w:p w14:paraId="43EC4F8F">
            <w:pPr>
              <w:adjustRightInd w:val="0"/>
              <w:snapToGrid w:val="0"/>
              <w:spacing w:line="200" w:lineRule="exact"/>
              <w:jc w:val="center"/>
              <w:rPr>
                <w:color w:val="auto"/>
                <w:sz w:val="18"/>
                <w:szCs w:val="18"/>
              </w:rPr>
            </w:pPr>
            <w:r>
              <w:rPr>
                <w:color w:val="auto"/>
                <w:sz w:val="18"/>
                <w:szCs w:val="18"/>
              </w:rPr>
              <w:t>0.173</w:t>
            </w:r>
          </w:p>
          <w:p w14:paraId="02408E7B">
            <w:pPr>
              <w:adjustRightInd w:val="0"/>
              <w:snapToGrid w:val="0"/>
              <w:spacing w:line="200" w:lineRule="exact"/>
              <w:jc w:val="center"/>
              <w:rPr>
                <w:color w:val="auto"/>
                <w:sz w:val="18"/>
                <w:szCs w:val="18"/>
              </w:rPr>
            </w:pPr>
            <w:r>
              <w:rPr>
                <w:color w:val="auto"/>
                <w:sz w:val="18"/>
                <w:szCs w:val="18"/>
              </w:rPr>
              <w:t>0.170</w:t>
            </w:r>
          </w:p>
          <w:p w14:paraId="3C1C65A3">
            <w:pPr>
              <w:adjustRightInd w:val="0"/>
              <w:snapToGrid w:val="0"/>
              <w:spacing w:line="200" w:lineRule="exact"/>
              <w:jc w:val="center"/>
              <w:rPr>
                <w:color w:val="auto"/>
                <w:sz w:val="18"/>
                <w:szCs w:val="18"/>
              </w:rPr>
            </w:pPr>
            <w:r>
              <w:rPr>
                <w:color w:val="auto"/>
                <w:sz w:val="18"/>
                <w:szCs w:val="18"/>
              </w:rPr>
              <w:t>0.167</w:t>
            </w:r>
          </w:p>
          <w:p w14:paraId="2187DBB5">
            <w:pPr>
              <w:adjustRightInd w:val="0"/>
              <w:snapToGrid w:val="0"/>
              <w:spacing w:line="200" w:lineRule="exact"/>
              <w:jc w:val="center"/>
              <w:rPr>
                <w:color w:val="auto"/>
                <w:sz w:val="18"/>
                <w:szCs w:val="18"/>
              </w:rPr>
            </w:pPr>
            <w:r>
              <w:rPr>
                <w:color w:val="auto"/>
                <w:sz w:val="18"/>
                <w:szCs w:val="18"/>
              </w:rPr>
              <w:t>0.161</w:t>
            </w:r>
          </w:p>
          <w:p w14:paraId="6B548103">
            <w:pPr>
              <w:adjustRightInd w:val="0"/>
              <w:snapToGrid w:val="0"/>
              <w:spacing w:line="200" w:lineRule="exact"/>
              <w:jc w:val="center"/>
              <w:rPr>
                <w:color w:val="auto"/>
                <w:sz w:val="18"/>
                <w:szCs w:val="18"/>
              </w:rPr>
            </w:pPr>
            <w:r>
              <w:rPr>
                <w:color w:val="auto"/>
                <w:sz w:val="18"/>
                <w:szCs w:val="18"/>
              </w:rPr>
              <w:t>0.155</w:t>
            </w:r>
          </w:p>
          <w:p w14:paraId="79DE08DB">
            <w:pPr>
              <w:adjustRightInd w:val="0"/>
              <w:snapToGrid w:val="0"/>
              <w:spacing w:line="200" w:lineRule="exact"/>
              <w:jc w:val="center"/>
              <w:rPr>
                <w:color w:val="auto"/>
                <w:sz w:val="18"/>
                <w:szCs w:val="18"/>
              </w:rPr>
            </w:pPr>
          </w:p>
          <w:p w14:paraId="72B90185">
            <w:pPr>
              <w:adjustRightInd w:val="0"/>
              <w:snapToGrid w:val="0"/>
              <w:spacing w:line="200" w:lineRule="exact"/>
              <w:jc w:val="center"/>
              <w:rPr>
                <w:color w:val="auto"/>
                <w:sz w:val="18"/>
                <w:szCs w:val="18"/>
              </w:rPr>
            </w:pPr>
            <w:r>
              <w:rPr>
                <w:color w:val="auto"/>
                <w:sz w:val="18"/>
                <w:szCs w:val="18"/>
              </w:rPr>
              <w:t>0.150</w:t>
            </w:r>
          </w:p>
          <w:p w14:paraId="7EAAD87D">
            <w:pPr>
              <w:adjustRightInd w:val="0"/>
              <w:snapToGrid w:val="0"/>
              <w:spacing w:line="200" w:lineRule="exact"/>
              <w:jc w:val="center"/>
              <w:rPr>
                <w:color w:val="auto"/>
                <w:sz w:val="18"/>
                <w:szCs w:val="18"/>
              </w:rPr>
            </w:pPr>
            <w:r>
              <w:rPr>
                <w:color w:val="auto"/>
                <w:sz w:val="18"/>
                <w:szCs w:val="18"/>
              </w:rPr>
              <w:t>0.145</w:t>
            </w:r>
          </w:p>
          <w:p w14:paraId="573D7ED3">
            <w:pPr>
              <w:adjustRightInd w:val="0"/>
              <w:snapToGrid w:val="0"/>
              <w:spacing w:line="200" w:lineRule="exact"/>
              <w:jc w:val="center"/>
              <w:rPr>
                <w:color w:val="auto"/>
                <w:sz w:val="18"/>
                <w:szCs w:val="18"/>
              </w:rPr>
            </w:pPr>
            <w:r>
              <w:rPr>
                <w:color w:val="auto"/>
                <w:sz w:val="18"/>
                <w:szCs w:val="18"/>
              </w:rPr>
              <w:t>0.140</w:t>
            </w:r>
          </w:p>
        </w:tc>
      </w:tr>
    </w:tbl>
    <w:p w14:paraId="0EDA42EB">
      <w:pPr>
        <w:rPr>
          <w:color w:val="auto"/>
          <w:sz w:val="15"/>
          <w:szCs w:val="15"/>
        </w:rPr>
      </w:pPr>
    </w:p>
    <w:p w14:paraId="2E489128">
      <w:pPr>
        <w:pStyle w:val="24"/>
        <w:pBdr>
          <w:bottom w:val="none" w:color="auto" w:sz="0" w:space="0"/>
        </w:pBdr>
        <w:tabs>
          <w:tab w:val="clear" w:pos="4153"/>
          <w:tab w:val="clear" w:pos="8306"/>
        </w:tabs>
        <w:adjustRightInd w:val="0"/>
        <w:rPr>
          <w:b/>
          <w:bCs/>
          <w:color w:val="auto"/>
        </w:rPr>
      </w:pPr>
      <w:r>
        <w:rPr>
          <w:color w:val="auto"/>
        </w:rPr>
        <w:drawing>
          <wp:inline distT="0" distB="0" distL="0" distR="0">
            <wp:extent cx="3095625" cy="962025"/>
            <wp:effectExtent l="0" t="0" r="9525" b="9525"/>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pic:cNvPicPr>
                      <a:picLocks noChangeAspect="1" noChangeArrowheads="1"/>
                    </pic:cNvPicPr>
                  </pic:nvPicPr>
                  <pic:blipFill>
                    <a:blip r:embed="rId1330">
                      <a:extLst>
                        <a:ext uri="{28A0092B-C50C-407E-A947-70E740481C1C}">
                          <a14:useLocalDpi xmlns:a14="http://schemas.microsoft.com/office/drawing/2010/main" val="0"/>
                        </a:ext>
                      </a:extLst>
                    </a:blip>
                    <a:srcRect/>
                    <a:stretch>
                      <a:fillRect/>
                    </a:stretch>
                  </pic:blipFill>
                  <pic:spPr>
                    <a:xfrm>
                      <a:off x="0" y="0"/>
                      <a:ext cx="3095625" cy="962025"/>
                    </a:xfrm>
                    <a:prstGeom prst="rect">
                      <a:avLst/>
                    </a:prstGeom>
                    <a:noFill/>
                    <a:ln>
                      <a:noFill/>
                    </a:ln>
                  </pic:spPr>
                </pic:pic>
              </a:graphicData>
            </a:graphic>
          </wp:inline>
        </w:drawing>
      </w:r>
    </w:p>
    <w:p w14:paraId="209E510A">
      <w:pPr>
        <w:adjustRightInd w:val="0"/>
        <w:snapToGrid w:val="0"/>
        <w:jc w:val="center"/>
        <w:rPr>
          <w:b/>
          <w:bCs/>
          <w:color w:val="auto"/>
        </w:rPr>
      </w:pPr>
    </w:p>
    <w:p w14:paraId="4E690B77">
      <w:pPr>
        <w:adjustRightInd w:val="0"/>
        <w:snapToGrid w:val="0"/>
        <w:jc w:val="center"/>
        <w:rPr>
          <w:rFonts w:eastAsia="黑体"/>
          <w:b/>
          <w:bCs/>
          <w:color w:val="auto"/>
          <w:szCs w:val="21"/>
        </w:rPr>
      </w:pPr>
      <w:r>
        <w:rPr>
          <w:rFonts w:eastAsia="黑体"/>
          <w:b/>
          <w:bCs/>
          <w:color w:val="auto"/>
          <w:szCs w:val="21"/>
        </w:rPr>
        <w:t>表G.7  矩形面积上三角形分布荷载角点下的平均附加应力系数</w:t>
      </w:r>
      <w:r>
        <w:rPr>
          <w:rFonts w:eastAsia="黑体"/>
          <w:b/>
          <w:bCs/>
          <w:color w:val="auto"/>
          <w:position w:val="-6"/>
          <w:szCs w:val="21"/>
        </w:rPr>
        <w:object>
          <v:shape id="_x0000_i1708" o:spt="75" type="#_x0000_t75" style="height:12pt;width:11.25pt;" o:ole="t" filled="f" o:preferrelative="t" stroked="f" coordsize="21600,21600">
            <v:path/>
            <v:fill on="f" focussize="0,0"/>
            <v:stroke on="f" joinstyle="miter"/>
            <v:imagedata r:id="rId1314" o:title=""/>
            <o:lock v:ext="edit" aspectratio="t"/>
            <w10:wrap type="none"/>
            <w10:anchorlock/>
          </v:shape>
          <o:OLEObject Type="Embed" ProgID="Equation.DSMT4" ShapeID="_x0000_i1708" DrawAspect="Content" ObjectID="_1468076408" r:id="rId1331">
            <o:LockedField>false</o:LockedField>
          </o:OLEObject>
        </w:object>
      </w:r>
    </w:p>
    <w:tbl>
      <w:tblPr>
        <w:tblStyle w:val="36"/>
        <w:tblW w:w="92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4"/>
        <w:gridCol w:w="504"/>
        <w:gridCol w:w="506"/>
        <w:gridCol w:w="504"/>
        <w:gridCol w:w="505"/>
        <w:gridCol w:w="504"/>
        <w:gridCol w:w="506"/>
        <w:gridCol w:w="504"/>
        <w:gridCol w:w="506"/>
        <w:gridCol w:w="504"/>
        <w:gridCol w:w="506"/>
        <w:gridCol w:w="504"/>
        <w:gridCol w:w="510"/>
        <w:gridCol w:w="508"/>
        <w:gridCol w:w="505"/>
        <w:gridCol w:w="507"/>
        <w:gridCol w:w="505"/>
        <w:gridCol w:w="534"/>
      </w:tblGrid>
      <w:tr w14:paraId="2D001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4" w:hRule="atLeast"/>
          <w:jc w:val="center"/>
        </w:trPr>
        <w:tc>
          <w:tcPr>
            <w:tcW w:w="584" w:type="dxa"/>
            <w:vMerge w:val="restart"/>
            <w:vAlign w:val="center"/>
          </w:tcPr>
          <w:p w14:paraId="52214250">
            <w:pPr>
              <w:adjustRightInd w:val="0"/>
              <w:snapToGrid w:val="0"/>
              <w:spacing w:line="220" w:lineRule="exact"/>
              <w:jc w:val="center"/>
              <w:rPr>
                <w:color w:val="auto"/>
                <w:sz w:val="15"/>
                <w:szCs w:val="13"/>
              </w:rPr>
            </w:pPr>
            <w:r>
              <w:rPr>
                <w:i/>
                <w:color w:val="auto"/>
                <w:sz w:val="15"/>
                <w:szCs w:val="13"/>
              </w:rPr>
              <w:t>z</w:t>
            </w:r>
            <w:r>
              <w:rPr>
                <w:color w:val="auto"/>
                <w:sz w:val="15"/>
                <w:szCs w:val="13"/>
              </w:rPr>
              <w:t>/</w:t>
            </w:r>
            <w:r>
              <w:rPr>
                <w:i/>
                <w:color w:val="auto"/>
                <w:sz w:val="15"/>
                <w:szCs w:val="13"/>
              </w:rPr>
              <w:t>b</w:t>
            </w:r>
          </w:p>
        </w:tc>
        <w:tc>
          <w:tcPr>
            <w:tcW w:w="8088" w:type="dxa"/>
            <w:gridSpan w:val="16"/>
            <w:vAlign w:val="center"/>
          </w:tcPr>
          <w:p w14:paraId="24DFDB29">
            <w:pPr>
              <w:adjustRightInd w:val="0"/>
              <w:snapToGrid w:val="0"/>
              <w:spacing w:before="62" w:beforeLines="20" w:line="220" w:lineRule="exact"/>
              <w:jc w:val="center"/>
              <w:rPr>
                <w:color w:val="auto"/>
                <w:sz w:val="15"/>
                <w:szCs w:val="13"/>
              </w:rPr>
            </w:pPr>
            <w:r>
              <w:rPr>
                <w:rFonts w:hint="eastAsia"/>
                <w:color w:val="auto"/>
                <w:sz w:val="15"/>
                <w:szCs w:val="13"/>
              </w:rPr>
              <w:t>l</w:t>
            </w:r>
            <w:r>
              <w:rPr>
                <w:color w:val="auto"/>
                <w:sz w:val="15"/>
                <w:szCs w:val="13"/>
              </w:rPr>
              <w:t>/b</w:t>
            </w:r>
          </w:p>
        </w:tc>
        <w:tc>
          <w:tcPr>
            <w:tcW w:w="534" w:type="dxa"/>
            <w:vMerge w:val="restart"/>
            <w:vAlign w:val="center"/>
          </w:tcPr>
          <w:p w14:paraId="5F876E2D">
            <w:pPr>
              <w:adjustRightInd w:val="0"/>
              <w:snapToGrid w:val="0"/>
              <w:spacing w:line="240" w:lineRule="atLeast"/>
              <w:ind w:right="75"/>
              <w:jc w:val="right"/>
              <w:rPr>
                <w:color w:val="auto"/>
                <w:sz w:val="15"/>
                <w:szCs w:val="13"/>
              </w:rPr>
            </w:pPr>
            <w:r>
              <w:rPr>
                <w:i/>
                <w:color w:val="auto"/>
                <w:sz w:val="15"/>
                <w:szCs w:val="13"/>
              </w:rPr>
              <w:t>z</w:t>
            </w:r>
            <w:r>
              <w:rPr>
                <w:color w:val="auto"/>
                <w:sz w:val="15"/>
                <w:szCs w:val="13"/>
              </w:rPr>
              <w:t>/</w:t>
            </w:r>
            <w:r>
              <w:rPr>
                <w:i/>
                <w:color w:val="auto"/>
                <w:sz w:val="15"/>
                <w:szCs w:val="13"/>
              </w:rPr>
              <w:t>b</w:t>
            </w:r>
          </w:p>
        </w:tc>
      </w:tr>
      <w:tr w14:paraId="7C623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584" w:type="dxa"/>
            <w:vMerge w:val="continue"/>
            <w:vAlign w:val="center"/>
          </w:tcPr>
          <w:p w14:paraId="03CE7FD4">
            <w:pPr>
              <w:adjustRightInd w:val="0"/>
              <w:snapToGrid w:val="0"/>
              <w:spacing w:line="220" w:lineRule="exact"/>
              <w:rPr>
                <w:color w:val="auto"/>
                <w:sz w:val="15"/>
                <w:szCs w:val="13"/>
              </w:rPr>
            </w:pPr>
          </w:p>
        </w:tc>
        <w:tc>
          <w:tcPr>
            <w:tcW w:w="1010" w:type="dxa"/>
            <w:gridSpan w:val="2"/>
            <w:vAlign w:val="center"/>
          </w:tcPr>
          <w:p w14:paraId="290997B9">
            <w:pPr>
              <w:adjustRightInd w:val="0"/>
              <w:snapToGrid w:val="0"/>
              <w:spacing w:line="220" w:lineRule="exact"/>
              <w:jc w:val="center"/>
              <w:rPr>
                <w:color w:val="auto"/>
                <w:sz w:val="15"/>
                <w:szCs w:val="13"/>
              </w:rPr>
            </w:pPr>
            <w:r>
              <w:rPr>
                <w:color w:val="auto"/>
                <w:sz w:val="15"/>
                <w:szCs w:val="13"/>
              </w:rPr>
              <w:t>0.2</w:t>
            </w:r>
          </w:p>
        </w:tc>
        <w:tc>
          <w:tcPr>
            <w:tcW w:w="1009" w:type="dxa"/>
            <w:gridSpan w:val="2"/>
            <w:vAlign w:val="center"/>
          </w:tcPr>
          <w:p w14:paraId="745306FC">
            <w:pPr>
              <w:adjustRightInd w:val="0"/>
              <w:snapToGrid w:val="0"/>
              <w:spacing w:line="220" w:lineRule="exact"/>
              <w:jc w:val="center"/>
              <w:rPr>
                <w:color w:val="auto"/>
                <w:sz w:val="15"/>
                <w:szCs w:val="13"/>
              </w:rPr>
            </w:pPr>
            <w:r>
              <w:rPr>
                <w:color w:val="auto"/>
                <w:sz w:val="15"/>
                <w:szCs w:val="13"/>
              </w:rPr>
              <w:t>0.4</w:t>
            </w:r>
          </w:p>
        </w:tc>
        <w:tc>
          <w:tcPr>
            <w:tcW w:w="1010" w:type="dxa"/>
            <w:gridSpan w:val="2"/>
            <w:vAlign w:val="center"/>
          </w:tcPr>
          <w:p w14:paraId="76FF7E40">
            <w:pPr>
              <w:adjustRightInd w:val="0"/>
              <w:snapToGrid w:val="0"/>
              <w:spacing w:line="220" w:lineRule="exact"/>
              <w:jc w:val="center"/>
              <w:rPr>
                <w:color w:val="auto"/>
                <w:sz w:val="15"/>
                <w:szCs w:val="13"/>
              </w:rPr>
            </w:pPr>
            <w:r>
              <w:rPr>
                <w:color w:val="auto"/>
                <w:sz w:val="15"/>
                <w:szCs w:val="13"/>
              </w:rPr>
              <w:t>0.6</w:t>
            </w:r>
          </w:p>
        </w:tc>
        <w:tc>
          <w:tcPr>
            <w:tcW w:w="1010" w:type="dxa"/>
            <w:gridSpan w:val="2"/>
            <w:vAlign w:val="center"/>
          </w:tcPr>
          <w:p w14:paraId="5552A5E3">
            <w:pPr>
              <w:adjustRightInd w:val="0"/>
              <w:snapToGrid w:val="0"/>
              <w:spacing w:line="220" w:lineRule="exact"/>
              <w:jc w:val="center"/>
              <w:rPr>
                <w:color w:val="auto"/>
                <w:sz w:val="15"/>
                <w:szCs w:val="13"/>
              </w:rPr>
            </w:pPr>
            <w:r>
              <w:rPr>
                <w:color w:val="auto"/>
                <w:sz w:val="15"/>
                <w:szCs w:val="13"/>
              </w:rPr>
              <w:t>0.8</w:t>
            </w:r>
          </w:p>
        </w:tc>
        <w:tc>
          <w:tcPr>
            <w:tcW w:w="1010" w:type="dxa"/>
            <w:gridSpan w:val="2"/>
            <w:vAlign w:val="center"/>
          </w:tcPr>
          <w:p w14:paraId="714ED47F">
            <w:pPr>
              <w:adjustRightInd w:val="0"/>
              <w:snapToGrid w:val="0"/>
              <w:spacing w:line="220" w:lineRule="exact"/>
              <w:jc w:val="center"/>
              <w:rPr>
                <w:color w:val="auto"/>
                <w:sz w:val="15"/>
                <w:szCs w:val="13"/>
              </w:rPr>
            </w:pPr>
            <w:r>
              <w:rPr>
                <w:color w:val="auto"/>
                <w:sz w:val="15"/>
                <w:szCs w:val="13"/>
              </w:rPr>
              <w:t>1.0</w:t>
            </w:r>
          </w:p>
        </w:tc>
        <w:tc>
          <w:tcPr>
            <w:tcW w:w="1014" w:type="dxa"/>
            <w:gridSpan w:val="2"/>
            <w:vAlign w:val="center"/>
          </w:tcPr>
          <w:p w14:paraId="5448AAA9">
            <w:pPr>
              <w:adjustRightInd w:val="0"/>
              <w:snapToGrid w:val="0"/>
              <w:spacing w:line="220" w:lineRule="exact"/>
              <w:jc w:val="center"/>
              <w:rPr>
                <w:color w:val="auto"/>
                <w:sz w:val="15"/>
                <w:szCs w:val="13"/>
              </w:rPr>
            </w:pPr>
            <w:r>
              <w:rPr>
                <w:color w:val="auto"/>
                <w:sz w:val="15"/>
                <w:szCs w:val="13"/>
              </w:rPr>
              <w:t>1.2</w:t>
            </w:r>
          </w:p>
        </w:tc>
        <w:tc>
          <w:tcPr>
            <w:tcW w:w="1013" w:type="dxa"/>
            <w:gridSpan w:val="2"/>
            <w:vAlign w:val="center"/>
          </w:tcPr>
          <w:p w14:paraId="2D7B8DF9">
            <w:pPr>
              <w:adjustRightInd w:val="0"/>
              <w:snapToGrid w:val="0"/>
              <w:spacing w:line="220" w:lineRule="exact"/>
              <w:jc w:val="center"/>
              <w:rPr>
                <w:color w:val="auto"/>
                <w:sz w:val="15"/>
                <w:szCs w:val="13"/>
              </w:rPr>
            </w:pPr>
            <w:r>
              <w:rPr>
                <w:color w:val="auto"/>
                <w:sz w:val="15"/>
                <w:szCs w:val="13"/>
              </w:rPr>
              <w:t>1.4</w:t>
            </w:r>
          </w:p>
        </w:tc>
        <w:tc>
          <w:tcPr>
            <w:tcW w:w="1012" w:type="dxa"/>
            <w:gridSpan w:val="2"/>
            <w:vAlign w:val="bottom"/>
          </w:tcPr>
          <w:p w14:paraId="16EDA1DF">
            <w:pPr>
              <w:adjustRightInd w:val="0"/>
              <w:snapToGrid w:val="0"/>
              <w:spacing w:before="62" w:beforeLines="20" w:line="220" w:lineRule="exact"/>
              <w:jc w:val="center"/>
              <w:rPr>
                <w:color w:val="auto"/>
                <w:sz w:val="15"/>
                <w:szCs w:val="13"/>
              </w:rPr>
            </w:pPr>
            <w:r>
              <w:rPr>
                <w:color w:val="auto"/>
                <w:sz w:val="15"/>
                <w:szCs w:val="13"/>
              </w:rPr>
              <w:t>1.6</w:t>
            </w:r>
          </w:p>
        </w:tc>
        <w:tc>
          <w:tcPr>
            <w:tcW w:w="534" w:type="dxa"/>
            <w:vMerge w:val="continue"/>
            <w:vAlign w:val="center"/>
          </w:tcPr>
          <w:p w14:paraId="1AB8A940">
            <w:pPr>
              <w:adjustRightInd w:val="0"/>
              <w:snapToGrid w:val="0"/>
              <w:spacing w:line="240" w:lineRule="atLeast"/>
              <w:jc w:val="right"/>
              <w:rPr>
                <w:color w:val="auto"/>
                <w:sz w:val="15"/>
                <w:szCs w:val="13"/>
              </w:rPr>
            </w:pPr>
          </w:p>
        </w:tc>
      </w:tr>
      <w:tr w14:paraId="244806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8" w:hRule="atLeast"/>
          <w:jc w:val="center"/>
        </w:trPr>
        <w:tc>
          <w:tcPr>
            <w:tcW w:w="584" w:type="dxa"/>
            <w:vMerge w:val="continue"/>
            <w:vAlign w:val="center"/>
          </w:tcPr>
          <w:p w14:paraId="4E99B757">
            <w:pPr>
              <w:adjustRightInd w:val="0"/>
              <w:snapToGrid w:val="0"/>
              <w:jc w:val="center"/>
              <w:rPr>
                <w:color w:val="auto"/>
                <w:sz w:val="15"/>
                <w:szCs w:val="13"/>
              </w:rPr>
            </w:pPr>
          </w:p>
        </w:tc>
        <w:tc>
          <w:tcPr>
            <w:tcW w:w="504" w:type="dxa"/>
            <w:vAlign w:val="center"/>
          </w:tcPr>
          <w:p w14:paraId="0A7E2A70">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6" w:type="dxa"/>
            <w:vAlign w:val="center"/>
          </w:tcPr>
          <w:p w14:paraId="6AC6A02D">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4" w:type="dxa"/>
            <w:vAlign w:val="center"/>
          </w:tcPr>
          <w:p w14:paraId="07A9602A">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5" w:type="dxa"/>
            <w:vAlign w:val="center"/>
          </w:tcPr>
          <w:p w14:paraId="14AA1DA1">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4" w:type="dxa"/>
            <w:vAlign w:val="center"/>
          </w:tcPr>
          <w:p w14:paraId="09B5BFA6">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6" w:type="dxa"/>
            <w:vAlign w:val="center"/>
          </w:tcPr>
          <w:p w14:paraId="27AA0775">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4" w:type="dxa"/>
            <w:vAlign w:val="center"/>
          </w:tcPr>
          <w:p w14:paraId="148F966C">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6" w:type="dxa"/>
            <w:vAlign w:val="center"/>
          </w:tcPr>
          <w:p w14:paraId="2FC67811">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4" w:type="dxa"/>
            <w:vAlign w:val="center"/>
          </w:tcPr>
          <w:p w14:paraId="77EB6B68">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6" w:type="dxa"/>
            <w:vAlign w:val="center"/>
          </w:tcPr>
          <w:p w14:paraId="28B37F5D">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4" w:type="dxa"/>
            <w:vAlign w:val="center"/>
          </w:tcPr>
          <w:p w14:paraId="0E8E8378">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10" w:type="dxa"/>
            <w:vAlign w:val="center"/>
          </w:tcPr>
          <w:p w14:paraId="67A45313">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8" w:type="dxa"/>
            <w:vAlign w:val="center"/>
          </w:tcPr>
          <w:p w14:paraId="1DBADF89">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5" w:type="dxa"/>
            <w:vAlign w:val="center"/>
          </w:tcPr>
          <w:p w14:paraId="74984E21">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07" w:type="dxa"/>
            <w:vAlign w:val="center"/>
          </w:tcPr>
          <w:p w14:paraId="407F5EEB">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点1</w:t>
            </w:r>
          </w:p>
        </w:tc>
        <w:tc>
          <w:tcPr>
            <w:tcW w:w="505" w:type="dxa"/>
            <w:vAlign w:val="center"/>
          </w:tcPr>
          <w:p w14:paraId="2D8E4D48">
            <w:pPr>
              <w:adjustRightInd w:val="0"/>
              <w:snapToGrid w:val="0"/>
              <w:spacing w:line="240" w:lineRule="atLeast"/>
              <w:ind w:left="-17" w:leftChars="-51" w:right="-88" w:rightChars="-42" w:hanging="90" w:hangingChars="60"/>
              <w:jc w:val="center"/>
              <w:rPr>
                <w:color w:val="auto"/>
                <w:sz w:val="15"/>
                <w:szCs w:val="13"/>
              </w:rPr>
            </w:pPr>
            <w:r>
              <w:rPr>
                <w:color w:val="auto"/>
                <w:sz w:val="15"/>
                <w:szCs w:val="13"/>
              </w:rPr>
              <w:t>点2</w:t>
            </w:r>
          </w:p>
        </w:tc>
        <w:tc>
          <w:tcPr>
            <w:tcW w:w="534" w:type="dxa"/>
            <w:vAlign w:val="center"/>
          </w:tcPr>
          <w:p w14:paraId="3A541102">
            <w:pPr>
              <w:adjustRightInd w:val="0"/>
              <w:snapToGrid w:val="0"/>
              <w:spacing w:line="240" w:lineRule="atLeast"/>
              <w:jc w:val="center"/>
              <w:rPr>
                <w:color w:val="auto"/>
                <w:sz w:val="15"/>
                <w:szCs w:val="13"/>
              </w:rPr>
            </w:pPr>
          </w:p>
        </w:tc>
      </w:tr>
      <w:tr w14:paraId="316B7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2" w:hRule="atLeast"/>
          <w:jc w:val="center"/>
        </w:trPr>
        <w:tc>
          <w:tcPr>
            <w:tcW w:w="584" w:type="dxa"/>
            <w:vAlign w:val="center"/>
          </w:tcPr>
          <w:p w14:paraId="2CD6D812">
            <w:pPr>
              <w:adjustRightInd w:val="0"/>
              <w:snapToGrid w:val="0"/>
              <w:spacing w:line="180" w:lineRule="exact"/>
              <w:jc w:val="center"/>
              <w:rPr>
                <w:color w:val="auto"/>
                <w:sz w:val="15"/>
                <w:szCs w:val="13"/>
              </w:rPr>
            </w:pPr>
            <w:r>
              <w:rPr>
                <w:color w:val="auto"/>
                <w:sz w:val="15"/>
                <w:szCs w:val="13"/>
              </w:rPr>
              <w:t>0.0</w:t>
            </w:r>
          </w:p>
          <w:p w14:paraId="000CAB5E">
            <w:pPr>
              <w:adjustRightInd w:val="0"/>
              <w:snapToGrid w:val="0"/>
              <w:spacing w:line="180" w:lineRule="exact"/>
              <w:jc w:val="center"/>
              <w:rPr>
                <w:color w:val="auto"/>
                <w:sz w:val="15"/>
                <w:szCs w:val="13"/>
              </w:rPr>
            </w:pPr>
            <w:r>
              <w:rPr>
                <w:color w:val="auto"/>
                <w:sz w:val="15"/>
                <w:szCs w:val="13"/>
              </w:rPr>
              <w:t>0.2</w:t>
            </w:r>
          </w:p>
          <w:p w14:paraId="3D60D82C">
            <w:pPr>
              <w:adjustRightInd w:val="0"/>
              <w:snapToGrid w:val="0"/>
              <w:spacing w:line="180" w:lineRule="exact"/>
              <w:jc w:val="center"/>
              <w:rPr>
                <w:color w:val="auto"/>
                <w:sz w:val="15"/>
                <w:szCs w:val="13"/>
              </w:rPr>
            </w:pPr>
            <w:r>
              <w:rPr>
                <w:color w:val="auto"/>
                <w:sz w:val="15"/>
                <w:szCs w:val="13"/>
              </w:rPr>
              <w:t>0.4</w:t>
            </w:r>
          </w:p>
          <w:p w14:paraId="1309D6DC">
            <w:pPr>
              <w:adjustRightInd w:val="0"/>
              <w:snapToGrid w:val="0"/>
              <w:spacing w:line="180" w:lineRule="exact"/>
              <w:jc w:val="center"/>
              <w:rPr>
                <w:color w:val="auto"/>
                <w:sz w:val="15"/>
                <w:szCs w:val="13"/>
              </w:rPr>
            </w:pPr>
            <w:r>
              <w:rPr>
                <w:color w:val="auto"/>
                <w:sz w:val="15"/>
                <w:szCs w:val="13"/>
              </w:rPr>
              <w:t>0.6</w:t>
            </w:r>
          </w:p>
          <w:p w14:paraId="5EDF665B">
            <w:pPr>
              <w:adjustRightInd w:val="0"/>
              <w:snapToGrid w:val="0"/>
              <w:spacing w:line="180" w:lineRule="exact"/>
              <w:jc w:val="center"/>
              <w:rPr>
                <w:color w:val="auto"/>
                <w:sz w:val="15"/>
                <w:szCs w:val="13"/>
              </w:rPr>
            </w:pPr>
            <w:r>
              <w:rPr>
                <w:color w:val="auto"/>
                <w:sz w:val="15"/>
                <w:szCs w:val="13"/>
              </w:rPr>
              <w:t>0.8</w:t>
            </w:r>
          </w:p>
          <w:p w14:paraId="26A293DD">
            <w:pPr>
              <w:adjustRightInd w:val="0"/>
              <w:snapToGrid w:val="0"/>
              <w:spacing w:line="180" w:lineRule="exact"/>
              <w:jc w:val="center"/>
              <w:rPr>
                <w:color w:val="auto"/>
                <w:sz w:val="15"/>
                <w:szCs w:val="13"/>
              </w:rPr>
            </w:pPr>
            <w:r>
              <w:rPr>
                <w:color w:val="auto"/>
                <w:sz w:val="15"/>
                <w:szCs w:val="13"/>
              </w:rPr>
              <w:t>1.0</w:t>
            </w:r>
          </w:p>
          <w:p w14:paraId="528E36A5">
            <w:pPr>
              <w:adjustRightInd w:val="0"/>
              <w:snapToGrid w:val="0"/>
              <w:spacing w:line="80" w:lineRule="exact"/>
              <w:jc w:val="center"/>
              <w:rPr>
                <w:color w:val="auto"/>
                <w:sz w:val="10"/>
                <w:szCs w:val="13"/>
              </w:rPr>
            </w:pPr>
          </w:p>
          <w:p w14:paraId="4D222B68">
            <w:pPr>
              <w:adjustRightInd w:val="0"/>
              <w:snapToGrid w:val="0"/>
              <w:spacing w:line="180" w:lineRule="exact"/>
              <w:jc w:val="center"/>
              <w:rPr>
                <w:color w:val="auto"/>
                <w:sz w:val="15"/>
                <w:szCs w:val="13"/>
              </w:rPr>
            </w:pPr>
            <w:r>
              <w:rPr>
                <w:color w:val="auto"/>
                <w:sz w:val="15"/>
                <w:szCs w:val="13"/>
              </w:rPr>
              <w:t>1.2</w:t>
            </w:r>
          </w:p>
          <w:p w14:paraId="58C2D2C2">
            <w:pPr>
              <w:adjustRightInd w:val="0"/>
              <w:snapToGrid w:val="0"/>
              <w:spacing w:line="180" w:lineRule="exact"/>
              <w:jc w:val="center"/>
              <w:rPr>
                <w:color w:val="auto"/>
                <w:sz w:val="15"/>
                <w:szCs w:val="13"/>
              </w:rPr>
            </w:pPr>
            <w:r>
              <w:rPr>
                <w:color w:val="auto"/>
                <w:sz w:val="15"/>
                <w:szCs w:val="13"/>
              </w:rPr>
              <w:t>1.4</w:t>
            </w:r>
          </w:p>
          <w:p w14:paraId="17CE0D16">
            <w:pPr>
              <w:adjustRightInd w:val="0"/>
              <w:snapToGrid w:val="0"/>
              <w:spacing w:line="180" w:lineRule="exact"/>
              <w:jc w:val="center"/>
              <w:rPr>
                <w:color w:val="auto"/>
                <w:sz w:val="15"/>
                <w:szCs w:val="13"/>
              </w:rPr>
            </w:pPr>
            <w:r>
              <w:rPr>
                <w:color w:val="auto"/>
                <w:sz w:val="15"/>
                <w:szCs w:val="13"/>
              </w:rPr>
              <w:t>1.6</w:t>
            </w:r>
          </w:p>
          <w:p w14:paraId="54AF28E2">
            <w:pPr>
              <w:adjustRightInd w:val="0"/>
              <w:snapToGrid w:val="0"/>
              <w:spacing w:line="180" w:lineRule="exact"/>
              <w:jc w:val="center"/>
              <w:rPr>
                <w:color w:val="auto"/>
                <w:sz w:val="15"/>
                <w:szCs w:val="13"/>
              </w:rPr>
            </w:pPr>
            <w:r>
              <w:rPr>
                <w:color w:val="auto"/>
                <w:sz w:val="15"/>
                <w:szCs w:val="13"/>
              </w:rPr>
              <w:t>1.8</w:t>
            </w:r>
          </w:p>
          <w:p w14:paraId="35FE7604">
            <w:pPr>
              <w:adjustRightInd w:val="0"/>
              <w:snapToGrid w:val="0"/>
              <w:spacing w:line="180" w:lineRule="exact"/>
              <w:jc w:val="center"/>
              <w:rPr>
                <w:color w:val="auto"/>
                <w:sz w:val="15"/>
                <w:szCs w:val="13"/>
              </w:rPr>
            </w:pPr>
            <w:r>
              <w:rPr>
                <w:color w:val="auto"/>
                <w:sz w:val="15"/>
                <w:szCs w:val="13"/>
              </w:rPr>
              <w:t>2.0</w:t>
            </w:r>
          </w:p>
          <w:p w14:paraId="74CDC0A9">
            <w:pPr>
              <w:adjustRightInd w:val="0"/>
              <w:snapToGrid w:val="0"/>
              <w:spacing w:line="80" w:lineRule="exact"/>
              <w:jc w:val="center"/>
              <w:rPr>
                <w:color w:val="auto"/>
                <w:sz w:val="15"/>
                <w:szCs w:val="13"/>
              </w:rPr>
            </w:pPr>
          </w:p>
          <w:p w14:paraId="0EFC2CE6">
            <w:pPr>
              <w:adjustRightInd w:val="0"/>
              <w:snapToGrid w:val="0"/>
              <w:spacing w:line="180" w:lineRule="exact"/>
              <w:jc w:val="center"/>
              <w:rPr>
                <w:color w:val="auto"/>
                <w:sz w:val="15"/>
                <w:szCs w:val="13"/>
              </w:rPr>
            </w:pPr>
            <w:r>
              <w:rPr>
                <w:color w:val="auto"/>
                <w:sz w:val="15"/>
                <w:szCs w:val="13"/>
              </w:rPr>
              <w:t>2.5</w:t>
            </w:r>
          </w:p>
          <w:p w14:paraId="653E5B06">
            <w:pPr>
              <w:adjustRightInd w:val="0"/>
              <w:snapToGrid w:val="0"/>
              <w:spacing w:line="180" w:lineRule="exact"/>
              <w:jc w:val="center"/>
              <w:rPr>
                <w:color w:val="auto"/>
                <w:sz w:val="15"/>
                <w:szCs w:val="13"/>
              </w:rPr>
            </w:pPr>
            <w:r>
              <w:rPr>
                <w:color w:val="auto"/>
                <w:sz w:val="15"/>
                <w:szCs w:val="13"/>
              </w:rPr>
              <w:t>3.0</w:t>
            </w:r>
          </w:p>
          <w:p w14:paraId="5834484C">
            <w:pPr>
              <w:adjustRightInd w:val="0"/>
              <w:snapToGrid w:val="0"/>
              <w:spacing w:line="180" w:lineRule="exact"/>
              <w:jc w:val="center"/>
              <w:rPr>
                <w:color w:val="auto"/>
                <w:sz w:val="15"/>
                <w:szCs w:val="13"/>
              </w:rPr>
            </w:pPr>
            <w:r>
              <w:rPr>
                <w:color w:val="auto"/>
                <w:sz w:val="15"/>
                <w:szCs w:val="13"/>
              </w:rPr>
              <w:t>5.0</w:t>
            </w:r>
          </w:p>
          <w:p w14:paraId="12A25910">
            <w:pPr>
              <w:adjustRightInd w:val="0"/>
              <w:snapToGrid w:val="0"/>
              <w:spacing w:line="180" w:lineRule="exact"/>
              <w:jc w:val="center"/>
              <w:rPr>
                <w:color w:val="auto"/>
                <w:sz w:val="15"/>
                <w:szCs w:val="13"/>
              </w:rPr>
            </w:pPr>
            <w:r>
              <w:rPr>
                <w:color w:val="auto"/>
                <w:sz w:val="15"/>
                <w:szCs w:val="13"/>
              </w:rPr>
              <w:t>7.0</w:t>
            </w:r>
          </w:p>
          <w:p w14:paraId="6850200E">
            <w:pPr>
              <w:adjustRightInd w:val="0"/>
              <w:snapToGrid w:val="0"/>
              <w:spacing w:line="180" w:lineRule="exact"/>
              <w:jc w:val="center"/>
              <w:rPr>
                <w:color w:val="auto"/>
                <w:sz w:val="15"/>
                <w:szCs w:val="13"/>
              </w:rPr>
            </w:pPr>
            <w:r>
              <w:rPr>
                <w:color w:val="auto"/>
                <w:sz w:val="15"/>
                <w:szCs w:val="13"/>
              </w:rPr>
              <w:t>10.0</w:t>
            </w:r>
          </w:p>
        </w:tc>
        <w:tc>
          <w:tcPr>
            <w:tcW w:w="504" w:type="dxa"/>
            <w:vAlign w:val="center"/>
          </w:tcPr>
          <w:p w14:paraId="66A68F3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7939BA4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0.0112</w:t>
            </w:r>
          </w:p>
          <w:p w14:paraId="314C523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0.0179</w:t>
            </w:r>
          </w:p>
          <w:p w14:paraId="4301E1E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0.0207</w:t>
            </w:r>
          </w:p>
          <w:p w14:paraId="3B29A8C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0.0217</w:t>
            </w:r>
          </w:p>
          <w:p w14:paraId="1E96FF5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0.0217</w:t>
            </w:r>
          </w:p>
          <w:p w14:paraId="080DBA51">
            <w:pPr>
              <w:adjustRightInd w:val="0"/>
              <w:snapToGrid w:val="0"/>
              <w:spacing w:line="80" w:lineRule="exact"/>
              <w:jc w:val="center"/>
              <w:rPr>
                <w:color w:val="auto"/>
                <w:spacing w:val="-6"/>
                <w:sz w:val="15"/>
                <w:szCs w:val="13"/>
              </w:rPr>
            </w:pPr>
          </w:p>
          <w:p w14:paraId="610DDFA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0.0212</w:t>
            </w:r>
          </w:p>
          <w:p w14:paraId="2F61794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0.0204</w:t>
            </w:r>
          </w:p>
          <w:p w14:paraId="7940BA1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0.0195</w:t>
            </w:r>
          </w:p>
          <w:p w14:paraId="387D563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0.0186</w:t>
            </w:r>
          </w:p>
          <w:p w14:paraId="3443CEA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0.0178</w:t>
            </w:r>
          </w:p>
          <w:p w14:paraId="15BCA8C7">
            <w:pPr>
              <w:adjustRightInd w:val="0"/>
              <w:snapToGrid w:val="0"/>
              <w:spacing w:line="80" w:lineRule="exact"/>
              <w:jc w:val="center"/>
              <w:rPr>
                <w:color w:val="auto"/>
                <w:spacing w:val="-6"/>
                <w:sz w:val="15"/>
                <w:szCs w:val="13"/>
              </w:rPr>
            </w:pPr>
          </w:p>
          <w:p w14:paraId="58C6E37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0.0157</w:t>
            </w:r>
          </w:p>
          <w:p w14:paraId="6910857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0.0140</w:t>
            </w:r>
          </w:p>
          <w:p w14:paraId="4D15352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0.0097</w:t>
            </w:r>
          </w:p>
          <w:p w14:paraId="5761D36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0.0073</w:t>
            </w:r>
          </w:p>
          <w:p w14:paraId="61E005D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0.0053</w:t>
            </w:r>
          </w:p>
        </w:tc>
        <w:tc>
          <w:tcPr>
            <w:tcW w:w="506" w:type="dxa"/>
          </w:tcPr>
          <w:p w14:paraId="2448EAD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31EAC8B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0.2161</w:t>
            </w:r>
          </w:p>
          <w:p w14:paraId="6DFEAB8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0.1810</w:t>
            </w:r>
          </w:p>
          <w:p w14:paraId="5DFB4A1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0.1505</w:t>
            </w:r>
          </w:p>
          <w:p w14:paraId="7778A73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0.1277</w:t>
            </w:r>
          </w:p>
          <w:p w14:paraId="0BBADBB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0.1104</w:t>
            </w:r>
          </w:p>
          <w:p w14:paraId="6C735EB4">
            <w:pPr>
              <w:adjustRightInd w:val="0"/>
              <w:snapToGrid w:val="0"/>
              <w:spacing w:line="80" w:lineRule="exact"/>
              <w:jc w:val="center"/>
              <w:rPr>
                <w:color w:val="auto"/>
                <w:spacing w:val="-6"/>
                <w:sz w:val="15"/>
                <w:szCs w:val="13"/>
              </w:rPr>
            </w:pPr>
          </w:p>
          <w:p w14:paraId="22BEC8C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0.0970</w:t>
            </w:r>
          </w:p>
          <w:p w14:paraId="2E0DEDF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0.0865</w:t>
            </w:r>
          </w:p>
          <w:p w14:paraId="54D3EEB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0.0779</w:t>
            </w:r>
          </w:p>
          <w:p w14:paraId="14EA671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0.0709</w:t>
            </w:r>
          </w:p>
          <w:p w14:paraId="59D6FE6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0.0650</w:t>
            </w:r>
          </w:p>
          <w:p w14:paraId="61A3B40B">
            <w:pPr>
              <w:adjustRightInd w:val="0"/>
              <w:snapToGrid w:val="0"/>
              <w:spacing w:line="80" w:lineRule="exact"/>
              <w:jc w:val="center"/>
              <w:rPr>
                <w:color w:val="auto"/>
                <w:spacing w:val="-6"/>
                <w:sz w:val="15"/>
                <w:szCs w:val="13"/>
              </w:rPr>
            </w:pPr>
          </w:p>
          <w:p w14:paraId="7D07ECB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0.0538</w:t>
            </w:r>
          </w:p>
          <w:p w14:paraId="07303FF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0.0458</w:t>
            </w:r>
          </w:p>
          <w:p w14:paraId="016839C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0.0289</w:t>
            </w:r>
          </w:p>
          <w:p w14:paraId="50B96C8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0.0211</w:t>
            </w:r>
          </w:p>
          <w:p w14:paraId="0E332A6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0.0150</w:t>
            </w:r>
          </w:p>
        </w:tc>
        <w:tc>
          <w:tcPr>
            <w:tcW w:w="504" w:type="dxa"/>
          </w:tcPr>
          <w:p w14:paraId="212EE56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163F972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0.0140</w:t>
            </w:r>
          </w:p>
          <w:p w14:paraId="4D163C3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0.0245</w:t>
            </w:r>
          </w:p>
          <w:p w14:paraId="2254F07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0.0308</w:t>
            </w:r>
          </w:p>
          <w:p w14:paraId="6E6DDE9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0.0340</w:t>
            </w:r>
          </w:p>
          <w:p w14:paraId="211E20B2">
            <w:pPr>
              <w:adjustRightInd w:val="0"/>
              <w:snapToGrid w:val="0"/>
              <w:ind w:left="-10" w:leftChars="-64" w:right="-132" w:rightChars="-63" w:hanging="124" w:hangingChars="90"/>
              <w:jc w:val="center"/>
              <w:rPr>
                <w:color w:val="auto"/>
                <w:spacing w:val="-6"/>
                <w:sz w:val="15"/>
                <w:szCs w:val="13"/>
              </w:rPr>
            </w:pPr>
            <w:r>
              <w:rPr>
                <w:color w:val="auto"/>
                <w:spacing w:val="-6"/>
                <w:sz w:val="15"/>
                <w:szCs w:val="13"/>
              </w:rPr>
              <w:t>0.0351</w:t>
            </w:r>
          </w:p>
          <w:p w14:paraId="67EEAB38">
            <w:pPr>
              <w:adjustRightInd w:val="0"/>
              <w:snapToGrid w:val="0"/>
              <w:spacing w:line="80" w:lineRule="exact"/>
              <w:jc w:val="center"/>
              <w:rPr>
                <w:color w:val="auto"/>
                <w:spacing w:val="-6"/>
                <w:sz w:val="15"/>
                <w:szCs w:val="13"/>
              </w:rPr>
            </w:pPr>
          </w:p>
          <w:p w14:paraId="09668DF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0.0351</w:t>
            </w:r>
          </w:p>
          <w:p w14:paraId="4B0E5E5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0.0344</w:t>
            </w:r>
          </w:p>
          <w:p w14:paraId="72E99B8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0.0333</w:t>
            </w:r>
          </w:p>
          <w:p w14:paraId="2B1DED7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0.0321</w:t>
            </w:r>
          </w:p>
          <w:p w14:paraId="02536DB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0.0308</w:t>
            </w:r>
          </w:p>
          <w:p w14:paraId="6578D2AB">
            <w:pPr>
              <w:adjustRightInd w:val="0"/>
              <w:snapToGrid w:val="0"/>
              <w:spacing w:line="80" w:lineRule="exact"/>
              <w:jc w:val="center"/>
              <w:rPr>
                <w:color w:val="auto"/>
                <w:spacing w:val="-6"/>
                <w:sz w:val="15"/>
                <w:szCs w:val="13"/>
              </w:rPr>
            </w:pPr>
          </w:p>
          <w:p w14:paraId="1310687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0.0276</w:t>
            </w:r>
          </w:p>
          <w:p w14:paraId="39AF736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0.0248</w:t>
            </w:r>
          </w:p>
          <w:p w14:paraId="3A0AB00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0.0175</w:t>
            </w:r>
          </w:p>
          <w:p w14:paraId="1429840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0.0133</w:t>
            </w:r>
          </w:p>
          <w:p w14:paraId="2A94F7B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0.0097</w:t>
            </w:r>
          </w:p>
        </w:tc>
        <w:tc>
          <w:tcPr>
            <w:tcW w:w="505" w:type="dxa"/>
          </w:tcPr>
          <w:p w14:paraId="4C44508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3C5D62C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0.2308</w:t>
            </w:r>
          </w:p>
          <w:p w14:paraId="5D06F02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0.2084</w:t>
            </w:r>
          </w:p>
          <w:p w14:paraId="45955D9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0.1851</w:t>
            </w:r>
          </w:p>
          <w:p w14:paraId="140AFFC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0.1640</w:t>
            </w:r>
          </w:p>
          <w:p w14:paraId="0264D39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0.1461</w:t>
            </w:r>
          </w:p>
          <w:p w14:paraId="75D695DF">
            <w:pPr>
              <w:adjustRightInd w:val="0"/>
              <w:snapToGrid w:val="0"/>
              <w:spacing w:line="80" w:lineRule="exact"/>
              <w:jc w:val="center"/>
              <w:rPr>
                <w:color w:val="auto"/>
                <w:spacing w:val="-6"/>
                <w:sz w:val="15"/>
                <w:szCs w:val="13"/>
              </w:rPr>
            </w:pPr>
          </w:p>
          <w:p w14:paraId="0A90768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0.1312</w:t>
            </w:r>
          </w:p>
          <w:p w14:paraId="013393D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0.1187</w:t>
            </w:r>
          </w:p>
          <w:p w14:paraId="248C083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0.1082</w:t>
            </w:r>
          </w:p>
          <w:p w14:paraId="11F8679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0.0993</w:t>
            </w:r>
          </w:p>
          <w:p w14:paraId="59068A7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0.0917</w:t>
            </w:r>
          </w:p>
          <w:p w14:paraId="5C52E898">
            <w:pPr>
              <w:adjustRightInd w:val="0"/>
              <w:snapToGrid w:val="0"/>
              <w:spacing w:line="80" w:lineRule="exact"/>
              <w:jc w:val="center"/>
              <w:rPr>
                <w:color w:val="auto"/>
                <w:spacing w:val="-6"/>
                <w:sz w:val="15"/>
                <w:szCs w:val="13"/>
              </w:rPr>
            </w:pPr>
          </w:p>
          <w:p w14:paraId="6837D11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0.0769</w:t>
            </w:r>
          </w:p>
          <w:p w14:paraId="58B3A5B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0.0661</w:t>
            </w:r>
          </w:p>
          <w:p w14:paraId="59FD1A6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0.0424</w:t>
            </w:r>
          </w:p>
          <w:p w14:paraId="514554D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0.0311</w:t>
            </w:r>
          </w:p>
          <w:p w14:paraId="6B3932D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0.0222</w:t>
            </w:r>
          </w:p>
        </w:tc>
        <w:tc>
          <w:tcPr>
            <w:tcW w:w="504" w:type="dxa"/>
          </w:tcPr>
          <w:p w14:paraId="5AD1424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2CEA5DF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0.0148</w:t>
            </w:r>
          </w:p>
          <w:p w14:paraId="1C3FFB7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0.0270</w:t>
            </w:r>
          </w:p>
          <w:p w14:paraId="4CAAD63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0.0355</w:t>
            </w:r>
          </w:p>
          <w:p w14:paraId="40B4D6D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0.0405</w:t>
            </w:r>
          </w:p>
          <w:p w14:paraId="5BE87C7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0.0430</w:t>
            </w:r>
          </w:p>
          <w:p w14:paraId="4AD72E2F">
            <w:pPr>
              <w:adjustRightInd w:val="0"/>
              <w:snapToGrid w:val="0"/>
              <w:spacing w:line="80" w:lineRule="exact"/>
              <w:jc w:val="center"/>
              <w:rPr>
                <w:color w:val="auto"/>
                <w:spacing w:val="-6"/>
                <w:sz w:val="15"/>
                <w:szCs w:val="13"/>
              </w:rPr>
            </w:pPr>
          </w:p>
          <w:p w14:paraId="6CAAA9E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0.0439</w:t>
            </w:r>
          </w:p>
          <w:p w14:paraId="4347E4A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0.0436</w:t>
            </w:r>
          </w:p>
          <w:p w14:paraId="7D0AC7E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0.0427</w:t>
            </w:r>
          </w:p>
          <w:p w14:paraId="72A9DA5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0.0415</w:t>
            </w:r>
          </w:p>
          <w:p w14:paraId="67E5778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0.0401</w:t>
            </w:r>
          </w:p>
          <w:p w14:paraId="6A9D86E6">
            <w:pPr>
              <w:adjustRightInd w:val="0"/>
              <w:snapToGrid w:val="0"/>
              <w:spacing w:line="80" w:lineRule="exact"/>
              <w:jc w:val="center"/>
              <w:rPr>
                <w:color w:val="auto"/>
                <w:spacing w:val="-6"/>
                <w:sz w:val="15"/>
                <w:szCs w:val="13"/>
              </w:rPr>
            </w:pPr>
          </w:p>
          <w:p w14:paraId="581C446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0.0365</w:t>
            </w:r>
          </w:p>
          <w:p w14:paraId="7A4BB66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0.0330</w:t>
            </w:r>
          </w:p>
          <w:p w14:paraId="379C7BC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0.0236</w:t>
            </w:r>
          </w:p>
          <w:p w14:paraId="10AD75F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0.0180</w:t>
            </w:r>
          </w:p>
          <w:p w14:paraId="2925682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0.0133</w:t>
            </w:r>
          </w:p>
        </w:tc>
        <w:tc>
          <w:tcPr>
            <w:tcW w:w="506" w:type="dxa"/>
          </w:tcPr>
          <w:p w14:paraId="3C4B70B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4FBC68F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0.2333</w:t>
            </w:r>
          </w:p>
          <w:p w14:paraId="2E6C16E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0.2153</w:t>
            </w:r>
          </w:p>
          <w:p w14:paraId="4C69961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0.1966</w:t>
            </w:r>
          </w:p>
          <w:p w14:paraId="361E920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0.1787</w:t>
            </w:r>
          </w:p>
          <w:p w14:paraId="7DC9D5C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0.1624</w:t>
            </w:r>
          </w:p>
          <w:p w14:paraId="2936CDA6">
            <w:pPr>
              <w:adjustRightInd w:val="0"/>
              <w:snapToGrid w:val="0"/>
              <w:spacing w:line="80" w:lineRule="exact"/>
              <w:jc w:val="center"/>
              <w:rPr>
                <w:color w:val="auto"/>
                <w:spacing w:val="-6"/>
                <w:sz w:val="15"/>
                <w:szCs w:val="13"/>
              </w:rPr>
            </w:pPr>
          </w:p>
          <w:p w14:paraId="10B7162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0.1480</w:t>
            </w:r>
          </w:p>
          <w:p w14:paraId="45DB6F6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0.1356</w:t>
            </w:r>
          </w:p>
          <w:p w14:paraId="0973FC2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0.1247</w:t>
            </w:r>
          </w:p>
          <w:p w14:paraId="45206E7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0.1153</w:t>
            </w:r>
          </w:p>
          <w:p w14:paraId="2B84EC1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0.1071</w:t>
            </w:r>
          </w:p>
          <w:p w14:paraId="1306B784">
            <w:pPr>
              <w:adjustRightInd w:val="0"/>
              <w:snapToGrid w:val="0"/>
              <w:spacing w:line="80" w:lineRule="exact"/>
              <w:jc w:val="center"/>
              <w:rPr>
                <w:color w:val="auto"/>
                <w:spacing w:val="-6"/>
                <w:sz w:val="15"/>
                <w:szCs w:val="13"/>
              </w:rPr>
            </w:pPr>
          </w:p>
          <w:p w14:paraId="7677B84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0.0908</w:t>
            </w:r>
          </w:p>
          <w:p w14:paraId="0DE6B12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0.0786</w:t>
            </w:r>
          </w:p>
          <w:p w14:paraId="38BFC8D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0.0476</w:t>
            </w:r>
          </w:p>
          <w:p w14:paraId="55110A1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0.0352</w:t>
            </w:r>
          </w:p>
          <w:p w14:paraId="784F6C4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0.0253</w:t>
            </w:r>
          </w:p>
        </w:tc>
        <w:tc>
          <w:tcPr>
            <w:tcW w:w="504" w:type="dxa"/>
          </w:tcPr>
          <w:p w14:paraId="26C83B8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65DBBE9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0.0151</w:t>
            </w:r>
          </w:p>
          <w:p w14:paraId="4CC09A5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0.0280</w:t>
            </w:r>
          </w:p>
          <w:p w14:paraId="31D625D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0.0376</w:t>
            </w:r>
          </w:p>
          <w:p w14:paraId="75D239D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0.0440</w:t>
            </w:r>
          </w:p>
          <w:p w14:paraId="31D346A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0.0476</w:t>
            </w:r>
          </w:p>
          <w:p w14:paraId="5913D80B">
            <w:pPr>
              <w:adjustRightInd w:val="0"/>
              <w:snapToGrid w:val="0"/>
              <w:spacing w:line="80" w:lineRule="exact"/>
              <w:jc w:val="center"/>
              <w:rPr>
                <w:color w:val="auto"/>
                <w:spacing w:val="-6"/>
                <w:sz w:val="15"/>
                <w:szCs w:val="13"/>
              </w:rPr>
            </w:pPr>
          </w:p>
          <w:p w14:paraId="71D4A25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0.0492</w:t>
            </w:r>
          </w:p>
          <w:p w14:paraId="3B59C78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0.0495</w:t>
            </w:r>
          </w:p>
          <w:p w14:paraId="37852DC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0.0490</w:t>
            </w:r>
          </w:p>
          <w:p w14:paraId="2463F3A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0.0480</w:t>
            </w:r>
          </w:p>
          <w:p w14:paraId="5D966D3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0.0467</w:t>
            </w:r>
          </w:p>
          <w:p w14:paraId="55BB780B">
            <w:pPr>
              <w:adjustRightInd w:val="0"/>
              <w:snapToGrid w:val="0"/>
              <w:spacing w:line="80" w:lineRule="exact"/>
              <w:jc w:val="center"/>
              <w:rPr>
                <w:color w:val="auto"/>
                <w:spacing w:val="-6"/>
                <w:sz w:val="15"/>
                <w:szCs w:val="13"/>
              </w:rPr>
            </w:pPr>
          </w:p>
          <w:p w14:paraId="7A6F13F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0.0429</w:t>
            </w:r>
          </w:p>
          <w:p w14:paraId="101B487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0.0392</w:t>
            </w:r>
          </w:p>
          <w:p w14:paraId="124C587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0.0285</w:t>
            </w:r>
          </w:p>
          <w:p w14:paraId="54593CD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0.0219</w:t>
            </w:r>
          </w:p>
          <w:p w14:paraId="7CC8475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0.0162</w:t>
            </w:r>
          </w:p>
        </w:tc>
        <w:tc>
          <w:tcPr>
            <w:tcW w:w="506" w:type="dxa"/>
          </w:tcPr>
          <w:p w14:paraId="565019F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71624F4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0.2339</w:t>
            </w:r>
          </w:p>
          <w:p w14:paraId="455BE33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0.2175</w:t>
            </w:r>
          </w:p>
          <w:p w14:paraId="114F112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0.2011</w:t>
            </w:r>
          </w:p>
          <w:p w14:paraId="09B1015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0.1852</w:t>
            </w:r>
          </w:p>
          <w:p w14:paraId="7C7EDE2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0.1704</w:t>
            </w:r>
          </w:p>
          <w:p w14:paraId="19EEE4E9">
            <w:pPr>
              <w:adjustRightInd w:val="0"/>
              <w:snapToGrid w:val="0"/>
              <w:spacing w:line="80" w:lineRule="exact"/>
              <w:jc w:val="center"/>
              <w:rPr>
                <w:color w:val="auto"/>
                <w:spacing w:val="-6"/>
                <w:sz w:val="15"/>
                <w:szCs w:val="13"/>
              </w:rPr>
            </w:pPr>
          </w:p>
          <w:p w14:paraId="06535AE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0.1571</w:t>
            </w:r>
          </w:p>
          <w:p w14:paraId="3CBF366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0.1451</w:t>
            </w:r>
          </w:p>
          <w:p w14:paraId="10BB805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0.1345</w:t>
            </w:r>
          </w:p>
          <w:p w14:paraId="6045737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0.1252</w:t>
            </w:r>
          </w:p>
          <w:p w14:paraId="609832B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0.1169</w:t>
            </w:r>
          </w:p>
          <w:p w14:paraId="3F60E34A">
            <w:pPr>
              <w:adjustRightInd w:val="0"/>
              <w:snapToGrid w:val="0"/>
              <w:spacing w:line="80" w:lineRule="exact"/>
              <w:jc w:val="center"/>
              <w:rPr>
                <w:color w:val="auto"/>
                <w:spacing w:val="-6"/>
                <w:sz w:val="15"/>
                <w:szCs w:val="13"/>
              </w:rPr>
            </w:pPr>
          </w:p>
          <w:p w14:paraId="3B258F1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0.1000</w:t>
            </w:r>
          </w:p>
          <w:p w14:paraId="5F661C6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0.0871</w:t>
            </w:r>
          </w:p>
          <w:p w14:paraId="5723518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0.0576</w:t>
            </w:r>
          </w:p>
          <w:p w14:paraId="1C107F6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0.0427</w:t>
            </w:r>
          </w:p>
          <w:p w14:paraId="12F72FE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0.0308</w:t>
            </w:r>
          </w:p>
        </w:tc>
        <w:tc>
          <w:tcPr>
            <w:tcW w:w="504" w:type="dxa"/>
          </w:tcPr>
          <w:p w14:paraId="0398795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5B60B96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0.0152</w:t>
            </w:r>
          </w:p>
          <w:p w14:paraId="7A73FA6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0.0285</w:t>
            </w:r>
          </w:p>
          <w:p w14:paraId="56BDA27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0.0388</w:t>
            </w:r>
          </w:p>
          <w:p w14:paraId="6720F55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0.0459</w:t>
            </w:r>
          </w:p>
          <w:p w14:paraId="547B8E2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0.0502</w:t>
            </w:r>
          </w:p>
          <w:p w14:paraId="2AA477E1">
            <w:pPr>
              <w:adjustRightInd w:val="0"/>
              <w:snapToGrid w:val="0"/>
              <w:spacing w:line="80" w:lineRule="exact"/>
              <w:jc w:val="center"/>
              <w:rPr>
                <w:color w:val="auto"/>
                <w:spacing w:val="-6"/>
                <w:sz w:val="15"/>
                <w:szCs w:val="13"/>
              </w:rPr>
            </w:pPr>
          </w:p>
          <w:p w14:paraId="1A1301A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0.0525</w:t>
            </w:r>
          </w:p>
          <w:p w14:paraId="638EBFD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0.0534</w:t>
            </w:r>
          </w:p>
          <w:p w14:paraId="4A4078D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0.0533</w:t>
            </w:r>
          </w:p>
          <w:p w14:paraId="5F5512E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0.0525</w:t>
            </w:r>
          </w:p>
          <w:p w14:paraId="47F5882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0.0513</w:t>
            </w:r>
          </w:p>
          <w:p w14:paraId="3D6B7F83">
            <w:pPr>
              <w:adjustRightInd w:val="0"/>
              <w:snapToGrid w:val="0"/>
              <w:spacing w:line="80" w:lineRule="exact"/>
              <w:jc w:val="center"/>
              <w:rPr>
                <w:color w:val="auto"/>
                <w:spacing w:val="-6"/>
                <w:sz w:val="15"/>
                <w:szCs w:val="13"/>
              </w:rPr>
            </w:pPr>
          </w:p>
          <w:p w14:paraId="27EED6F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0.0478</w:t>
            </w:r>
          </w:p>
          <w:p w14:paraId="0649CBD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0.0439</w:t>
            </w:r>
          </w:p>
          <w:p w14:paraId="3096520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0.0324</w:t>
            </w:r>
          </w:p>
          <w:p w14:paraId="5A1C6C4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0.0251</w:t>
            </w:r>
          </w:p>
          <w:p w14:paraId="044791F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0.0186</w:t>
            </w:r>
          </w:p>
        </w:tc>
        <w:tc>
          <w:tcPr>
            <w:tcW w:w="506" w:type="dxa"/>
          </w:tcPr>
          <w:p w14:paraId="56DD3C2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2A0B5EE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0.2341</w:t>
            </w:r>
          </w:p>
          <w:p w14:paraId="71BD0A2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0.2184</w:t>
            </w:r>
          </w:p>
          <w:p w14:paraId="6BDED9B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0.2030</w:t>
            </w:r>
          </w:p>
          <w:p w14:paraId="7E60494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0.1883</w:t>
            </w:r>
          </w:p>
          <w:p w14:paraId="0130524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0.1746</w:t>
            </w:r>
          </w:p>
          <w:p w14:paraId="60B98DE8">
            <w:pPr>
              <w:adjustRightInd w:val="0"/>
              <w:snapToGrid w:val="0"/>
              <w:spacing w:line="80" w:lineRule="exact"/>
              <w:jc w:val="center"/>
              <w:rPr>
                <w:color w:val="auto"/>
                <w:spacing w:val="-6"/>
                <w:sz w:val="15"/>
                <w:szCs w:val="13"/>
              </w:rPr>
            </w:pPr>
          </w:p>
          <w:p w14:paraId="58CFF90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0.1621</w:t>
            </w:r>
          </w:p>
          <w:p w14:paraId="6A05D69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0.1507</w:t>
            </w:r>
          </w:p>
          <w:p w14:paraId="24178BD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0.1405</w:t>
            </w:r>
          </w:p>
          <w:p w14:paraId="0EA9F78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0.1313</w:t>
            </w:r>
          </w:p>
          <w:p w14:paraId="0E04AA8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0.1232</w:t>
            </w:r>
          </w:p>
          <w:p w14:paraId="3F1363EE">
            <w:pPr>
              <w:adjustRightInd w:val="0"/>
              <w:snapToGrid w:val="0"/>
              <w:spacing w:line="80" w:lineRule="exact"/>
              <w:jc w:val="center"/>
              <w:rPr>
                <w:color w:val="auto"/>
                <w:spacing w:val="-6"/>
                <w:sz w:val="15"/>
                <w:szCs w:val="13"/>
              </w:rPr>
            </w:pPr>
          </w:p>
          <w:p w14:paraId="2FDA53F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0.1063</w:t>
            </w:r>
          </w:p>
          <w:p w14:paraId="3898E8E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0.0931</w:t>
            </w:r>
          </w:p>
          <w:p w14:paraId="25551C8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0.0624</w:t>
            </w:r>
          </w:p>
          <w:p w14:paraId="08C76D3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0.0465</w:t>
            </w:r>
          </w:p>
          <w:p w14:paraId="6ED3D7C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0.0336</w:t>
            </w:r>
          </w:p>
        </w:tc>
        <w:tc>
          <w:tcPr>
            <w:tcW w:w="504" w:type="dxa"/>
          </w:tcPr>
          <w:p w14:paraId="1F1D458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3780B8A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0.0153</w:t>
            </w:r>
          </w:p>
          <w:p w14:paraId="4029BEA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0.0288</w:t>
            </w:r>
          </w:p>
          <w:p w14:paraId="6883EC0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0.0394</w:t>
            </w:r>
          </w:p>
          <w:p w14:paraId="3649855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0.0470</w:t>
            </w:r>
          </w:p>
          <w:p w14:paraId="5F48CAB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0.0518</w:t>
            </w:r>
          </w:p>
          <w:p w14:paraId="3E8F5F19">
            <w:pPr>
              <w:adjustRightInd w:val="0"/>
              <w:snapToGrid w:val="0"/>
              <w:spacing w:line="80" w:lineRule="exact"/>
              <w:jc w:val="center"/>
              <w:rPr>
                <w:color w:val="auto"/>
                <w:spacing w:val="-6"/>
                <w:sz w:val="15"/>
                <w:szCs w:val="13"/>
              </w:rPr>
            </w:pPr>
          </w:p>
          <w:p w14:paraId="1E1DF12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0.0546</w:t>
            </w:r>
          </w:p>
          <w:p w14:paraId="3E4134F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0.0559</w:t>
            </w:r>
          </w:p>
          <w:p w14:paraId="214FC36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0.0561</w:t>
            </w:r>
          </w:p>
          <w:p w14:paraId="2260658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0.0556</w:t>
            </w:r>
          </w:p>
          <w:p w14:paraId="52CB599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0.0547</w:t>
            </w:r>
          </w:p>
          <w:p w14:paraId="0C4A1C41">
            <w:pPr>
              <w:adjustRightInd w:val="0"/>
              <w:snapToGrid w:val="0"/>
              <w:spacing w:line="80" w:lineRule="exact"/>
              <w:jc w:val="center"/>
              <w:rPr>
                <w:color w:val="auto"/>
                <w:spacing w:val="-6"/>
                <w:sz w:val="15"/>
                <w:szCs w:val="13"/>
              </w:rPr>
            </w:pPr>
          </w:p>
          <w:p w14:paraId="07B00C2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0.0513</w:t>
            </w:r>
          </w:p>
          <w:p w14:paraId="6DFCA8A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0.0476</w:t>
            </w:r>
          </w:p>
          <w:p w14:paraId="23735BD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0.0356</w:t>
            </w:r>
          </w:p>
          <w:p w14:paraId="538D606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0.0277</w:t>
            </w:r>
          </w:p>
          <w:p w14:paraId="7322920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0.0207</w:t>
            </w:r>
          </w:p>
        </w:tc>
        <w:tc>
          <w:tcPr>
            <w:tcW w:w="510" w:type="dxa"/>
          </w:tcPr>
          <w:p w14:paraId="371A708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4467462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0.2342</w:t>
            </w:r>
          </w:p>
          <w:p w14:paraId="74A552D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0.2187</w:t>
            </w:r>
          </w:p>
          <w:p w14:paraId="6D1C85C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0.2039</w:t>
            </w:r>
          </w:p>
          <w:p w14:paraId="21A250E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0.1899</w:t>
            </w:r>
          </w:p>
          <w:p w14:paraId="33A62CB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0.1769</w:t>
            </w:r>
          </w:p>
          <w:p w14:paraId="36FE60BB">
            <w:pPr>
              <w:adjustRightInd w:val="0"/>
              <w:snapToGrid w:val="0"/>
              <w:spacing w:line="80" w:lineRule="exact"/>
              <w:jc w:val="center"/>
              <w:rPr>
                <w:color w:val="auto"/>
                <w:spacing w:val="-6"/>
                <w:sz w:val="15"/>
                <w:szCs w:val="13"/>
              </w:rPr>
            </w:pPr>
          </w:p>
          <w:p w14:paraId="121B50A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0.1649</w:t>
            </w:r>
          </w:p>
          <w:p w14:paraId="3391F49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0.1541</w:t>
            </w:r>
          </w:p>
          <w:p w14:paraId="580DA3F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0.1443</w:t>
            </w:r>
          </w:p>
          <w:p w14:paraId="2E2CEE3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0.1354</w:t>
            </w:r>
          </w:p>
          <w:p w14:paraId="72538B1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0.1274</w:t>
            </w:r>
          </w:p>
          <w:p w14:paraId="7743E388">
            <w:pPr>
              <w:adjustRightInd w:val="0"/>
              <w:snapToGrid w:val="0"/>
              <w:spacing w:line="80" w:lineRule="exact"/>
              <w:jc w:val="center"/>
              <w:rPr>
                <w:color w:val="auto"/>
                <w:spacing w:val="-6"/>
                <w:sz w:val="15"/>
                <w:szCs w:val="13"/>
              </w:rPr>
            </w:pPr>
          </w:p>
          <w:p w14:paraId="09BD982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0.1107</w:t>
            </w:r>
          </w:p>
          <w:p w14:paraId="40A7E7A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0.0976</w:t>
            </w:r>
          </w:p>
          <w:p w14:paraId="025BE59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0.0661</w:t>
            </w:r>
          </w:p>
          <w:p w14:paraId="6C9FFAE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0.0496</w:t>
            </w:r>
          </w:p>
          <w:p w14:paraId="26E7FFC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0.0359</w:t>
            </w:r>
          </w:p>
        </w:tc>
        <w:tc>
          <w:tcPr>
            <w:tcW w:w="508" w:type="dxa"/>
          </w:tcPr>
          <w:p w14:paraId="4BEDDB9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2445BD5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0.0153</w:t>
            </w:r>
          </w:p>
          <w:p w14:paraId="136AF4B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0.0289</w:t>
            </w:r>
          </w:p>
          <w:p w14:paraId="7894A37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0.0397</w:t>
            </w:r>
          </w:p>
          <w:p w14:paraId="207F5F5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0.0476</w:t>
            </w:r>
          </w:p>
          <w:p w14:paraId="10FC7F26">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0.0528</w:t>
            </w:r>
          </w:p>
          <w:p w14:paraId="1192A0D5">
            <w:pPr>
              <w:adjustRightInd w:val="0"/>
              <w:snapToGrid w:val="0"/>
              <w:spacing w:line="80" w:lineRule="exact"/>
              <w:jc w:val="center"/>
              <w:rPr>
                <w:color w:val="auto"/>
                <w:spacing w:val="-6"/>
                <w:sz w:val="15"/>
                <w:szCs w:val="13"/>
              </w:rPr>
            </w:pPr>
          </w:p>
          <w:p w14:paraId="7E0A145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0.0560</w:t>
            </w:r>
          </w:p>
          <w:p w14:paraId="0B7D055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0.0575</w:t>
            </w:r>
          </w:p>
          <w:p w14:paraId="1A23C43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0.0580</w:t>
            </w:r>
          </w:p>
          <w:p w14:paraId="2207A69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0.0578</w:t>
            </w:r>
          </w:p>
          <w:p w14:paraId="78A986A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0.0570</w:t>
            </w:r>
          </w:p>
          <w:p w14:paraId="3DCD4D86">
            <w:pPr>
              <w:adjustRightInd w:val="0"/>
              <w:snapToGrid w:val="0"/>
              <w:spacing w:line="80" w:lineRule="exact"/>
              <w:jc w:val="center"/>
              <w:rPr>
                <w:color w:val="auto"/>
                <w:spacing w:val="-6"/>
                <w:sz w:val="15"/>
                <w:szCs w:val="13"/>
              </w:rPr>
            </w:pPr>
          </w:p>
          <w:p w14:paraId="1B2018E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0.0540</w:t>
            </w:r>
          </w:p>
          <w:p w14:paraId="27560FF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0.0503</w:t>
            </w:r>
          </w:p>
          <w:p w14:paraId="1704D29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0.0382</w:t>
            </w:r>
          </w:p>
          <w:p w14:paraId="3F31548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0.0299</w:t>
            </w:r>
          </w:p>
          <w:p w14:paraId="5E54D98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0.0224</w:t>
            </w:r>
          </w:p>
        </w:tc>
        <w:tc>
          <w:tcPr>
            <w:tcW w:w="505" w:type="dxa"/>
          </w:tcPr>
          <w:p w14:paraId="6C0AB8B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2DE36FF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0.2343</w:t>
            </w:r>
          </w:p>
          <w:p w14:paraId="5125BD6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0.2189</w:t>
            </w:r>
          </w:p>
          <w:p w14:paraId="604D1F53">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0.2043</w:t>
            </w:r>
          </w:p>
          <w:p w14:paraId="24760A09">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0.1907</w:t>
            </w:r>
          </w:p>
          <w:p w14:paraId="5D301A3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0.1781</w:t>
            </w:r>
          </w:p>
          <w:p w14:paraId="0391EBE3">
            <w:pPr>
              <w:adjustRightInd w:val="0"/>
              <w:snapToGrid w:val="0"/>
              <w:spacing w:line="80" w:lineRule="exact"/>
              <w:jc w:val="center"/>
              <w:rPr>
                <w:color w:val="auto"/>
                <w:spacing w:val="-6"/>
                <w:sz w:val="15"/>
                <w:szCs w:val="13"/>
              </w:rPr>
            </w:pPr>
          </w:p>
          <w:p w14:paraId="5C23FE7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0.1666</w:t>
            </w:r>
          </w:p>
          <w:p w14:paraId="26C9ACA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0.1562</w:t>
            </w:r>
          </w:p>
          <w:p w14:paraId="545F5890">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0.1467</w:t>
            </w:r>
          </w:p>
          <w:p w14:paraId="44B6B22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0.1381</w:t>
            </w:r>
          </w:p>
          <w:p w14:paraId="400DBFB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0.1303</w:t>
            </w:r>
          </w:p>
          <w:p w14:paraId="3426853D">
            <w:pPr>
              <w:adjustRightInd w:val="0"/>
              <w:snapToGrid w:val="0"/>
              <w:spacing w:line="80" w:lineRule="exact"/>
              <w:jc w:val="center"/>
              <w:rPr>
                <w:color w:val="auto"/>
                <w:spacing w:val="-6"/>
                <w:sz w:val="15"/>
                <w:szCs w:val="13"/>
              </w:rPr>
            </w:pPr>
          </w:p>
          <w:p w14:paraId="1CB0F1F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0.1139</w:t>
            </w:r>
          </w:p>
          <w:p w14:paraId="592BF1E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0.1008</w:t>
            </w:r>
          </w:p>
          <w:p w14:paraId="75C5D9E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0.0690</w:t>
            </w:r>
          </w:p>
          <w:p w14:paraId="3CDFF07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0.0520</w:t>
            </w:r>
          </w:p>
          <w:p w14:paraId="505292C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0.0379</w:t>
            </w:r>
          </w:p>
        </w:tc>
        <w:tc>
          <w:tcPr>
            <w:tcW w:w="507" w:type="dxa"/>
          </w:tcPr>
          <w:p w14:paraId="0133727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0.0000</w:t>
            </w:r>
          </w:p>
          <w:p w14:paraId="71452DC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0.0153</w:t>
            </w:r>
          </w:p>
          <w:p w14:paraId="0976AE8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0.0290</w:t>
            </w:r>
          </w:p>
          <w:p w14:paraId="107662B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0.0399</w:t>
            </w:r>
          </w:p>
          <w:p w14:paraId="24C3A42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0.0480</w:t>
            </w:r>
          </w:p>
          <w:p w14:paraId="18C09C05">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0.0534</w:t>
            </w:r>
          </w:p>
          <w:p w14:paraId="45C20A98">
            <w:pPr>
              <w:adjustRightInd w:val="0"/>
              <w:snapToGrid w:val="0"/>
              <w:spacing w:line="80" w:lineRule="exact"/>
              <w:jc w:val="center"/>
              <w:rPr>
                <w:color w:val="auto"/>
                <w:spacing w:val="-6"/>
                <w:sz w:val="15"/>
                <w:szCs w:val="13"/>
              </w:rPr>
            </w:pPr>
          </w:p>
          <w:p w14:paraId="57FEE29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0.0568</w:t>
            </w:r>
          </w:p>
          <w:p w14:paraId="07BE1D6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0.0586</w:t>
            </w:r>
          </w:p>
          <w:p w14:paraId="3803D73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0.0594</w:t>
            </w:r>
          </w:p>
          <w:p w14:paraId="1A9E4A7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0.0593</w:t>
            </w:r>
          </w:p>
          <w:p w14:paraId="0D40DB2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0.0587</w:t>
            </w:r>
          </w:p>
          <w:p w14:paraId="2B72191A">
            <w:pPr>
              <w:adjustRightInd w:val="0"/>
              <w:snapToGrid w:val="0"/>
              <w:spacing w:line="80" w:lineRule="exact"/>
              <w:jc w:val="center"/>
              <w:rPr>
                <w:color w:val="auto"/>
                <w:spacing w:val="-6"/>
                <w:sz w:val="15"/>
                <w:szCs w:val="13"/>
              </w:rPr>
            </w:pPr>
          </w:p>
          <w:p w14:paraId="4F248B4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0.0560</w:t>
            </w:r>
          </w:p>
          <w:p w14:paraId="3573FB0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0.0525</w:t>
            </w:r>
          </w:p>
          <w:p w14:paraId="6E5BFD47">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0.0403</w:t>
            </w:r>
          </w:p>
          <w:p w14:paraId="6002642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0.0318</w:t>
            </w:r>
          </w:p>
          <w:p w14:paraId="1CE70BA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0.0239</w:t>
            </w:r>
          </w:p>
        </w:tc>
        <w:tc>
          <w:tcPr>
            <w:tcW w:w="505" w:type="dxa"/>
          </w:tcPr>
          <w:p w14:paraId="5DDA8B9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0.2500</w:t>
            </w:r>
          </w:p>
          <w:p w14:paraId="359A954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0.2343</w:t>
            </w:r>
          </w:p>
          <w:p w14:paraId="294AB61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0.2190</w:t>
            </w:r>
          </w:p>
          <w:p w14:paraId="4E09ED6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0.2046</w:t>
            </w:r>
          </w:p>
          <w:p w14:paraId="353D1F9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0.1912</w:t>
            </w:r>
          </w:p>
          <w:p w14:paraId="362F150A">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0.1789</w:t>
            </w:r>
          </w:p>
          <w:p w14:paraId="3B3A31CB">
            <w:pPr>
              <w:adjustRightInd w:val="0"/>
              <w:snapToGrid w:val="0"/>
              <w:spacing w:line="80" w:lineRule="exact"/>
              <w:jc w:val="center"/>
              <w:rPr>
                <w:color w:val="auto"/>
                <w:spacing w:val="-6"/>
                <w:sz w:val="15"/>
                <w:szCs w:val="13"/>
              </w:rPr>
            </w:pPr>
          </w:p>
          <w:p w14:paraId="7EFC232D">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0.1678</w:t>
            </w:r>
          </w:p>
          <w:p w14:paraId="20239081">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0.1576</w:t>
            </w:r>
          </w:p>
          <w:p w14:paraId="50DE2A0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0.1484</w:t>
            </w:r>
          </w:p>
          <w:p w14:paraId="2DD79AD4">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0.1400</w:t>
            </w:r>
          </w:p>
          <w:p w14:paraId="29B21EC8">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0.1324</w:t>
            </w:r>
          </w:p>
          <w:p w14:paraId="35A801B1">
            <w:pPr>
              <w:adjustRightInd w:val="0"/>
              <w:snapToGrid w:val="0"/>
              <w:spacing w:line="80" w:lineRule="exact"/>
              <w:jc w:val="center"/>
              <w:rPr>
                <w:color w:val="auto"/>
                <w:spacing w:val="-6"/>
                <w:sz w:val="15"/>
                <w:szCs w:val="13"/>
              </w:rPr>
            </w:pPr>
          </w:p>
          <w:p w14:paraId="23CED91B">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0.1163</w:t>
            </w:r>
          </w:p>
          <w:p w14:paraId="2180224F">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0.1033</w:t>
            </w:r>
          </w:p>
          <w:p w14:paraId="2EEEC16E">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0.0914</w:t>
            </w:r>
          </w:p>
          <w:p w14:paraId="1AA2681C">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0.0541</w:t>
            </w:r>
          </w:p>
          <w:p w14:paraId="16930CC2">
            <w:pPr>
              <w:adjustRightInd w:val="0"/>
              <w:snapToGrid w:val="0"/>
              <w:spacing w:line="180" w:lineRule="exact"/>
              <w:ind w:left="-10" w:leftChars="-64" w:right="-132" w:rightChars="-63" w:hanging="124" w:hangingChars="90"/>
              <w:jc w:val="center"/>
              <w:rPr>
                <w:color w:val="auto"/>
                <w:spacing w:val="-6"/>
                <w:sz w:val="15"/>
                <w:szCs w:val="13"/>
              </w:rPr>
            </w:pPr>
            <w:r>
              <w:rPr>
                <w:color w:val="auto"/>
                <w:spacing w:val="-6"/>
                <w:sz w:val="15"/>
                <w:szCs w:val="13"/>
              </w:rPr>
              <w:t>0.0395</w:t>
            </w:r>
          </w:p>
        </w:tc>
        <w:tc>
          <w:tcPr>
            <w:tcW w:w="534" w:type="dxa"/>
            <w:vAlign w:val="center"/>
          </w:tcPr>
          <w:p w14:paraId="30CF3A8B">
            <w:pPr>
              <w:adjustRightInd w:val="0"/>
              <w:snapToGrid w:val="0"/>
              <w:spacing w:line="180" w:lineRule="exact"/>
              <w:jc w:val="center"/>
              <w:rPr>
                <w:color w:val="auto"/>
                <w:sz w:val="15"/>
                <w:szCs w:val="13"/>
              </w:rPr>
            </w:pPr>
            <w:r>
              <w:rPr>
                <w:color w:val="auto"/>
                <w:sz w:val="15"/>
                <w:szCs w:val="13"/>
              </w:rPr>
              <w:t>0.0</w:t>
            </w:r>
          </w:p>
          <w:p w14:paraId="1535DF05">
            <w:pPr>
              <w:adjustRightInd w:val="0"/>
              <w:snapToGrid w:val="0"/>
              <w:spacing w:line="180" w:lineRule="exact"/>
              <w:jc w:val="center"/>
              <w:rPr>
                <w:color w:val="auto"/>
                <w:sz w:val="15"/>
                <w:szCs w:val="13"/>
              </w:rPr>
            </w:pPr>
            <w:r>
              <w:rPr>
                <w:color w:val="auto"/>
                <w:sz w:val="15"/>
                <w:szCs w:val="13"/>
              </w:rPr>
              <w:t>0.2</w:t>
            </w:r>
          </w:p>
          <w:p w14:paraId="24036AC4">
            <w:pPr>
              <w:adjustRightInd w:val="0"/>
              <w:snapToGrid w:val="0"/>
              <w:spacing w:line="180" w:lineRule="exact"/>
              <w:jc w:val="center"/>
              <w:rPr>
                <w:color w:val="auto"/>
                <w:sz w:val="15"/>
                <w:szCs w:val="13"/>
              </w:rPr>
            </w:pPr>
            <w:r>
              <w:rPr>
                <w:color w:val="auto"/>
                <w:sz w:val="15"/>
                <w:szCs w:val="13"/>
              </w:rPr>
              <w:t>0.4</w:t>
            </w:r>
          </w:p>
          <w:p w14:paraId="4C703C95">
            <w:pPr>
              <w:adjustRightInd w:val="0"/>
              <w:snapToGrid w:val="0"/>
              <w:spacing w:line="180" w:lineRule="exact"/>
              <w:jc w:val="center"/>
              <w:rPr>
                <w:color w:val="auto"/>
                <w:sz w:val="15"/>
                <w:szCs w:val="13"/>
              </w:rPr>
            </w:pPr>
            <w:r>
              <w:rPr>
                <w:color w:val="auto"/>
                <w:sz w:val="15"/>
                <w:szCs w:val="13"/>
              </w:rPr>
              <w:t>0.6</w:t>
            </w:r>
          </w:p>
          <w:p w14:paraId="37213B32">
            <w:pPr>
              <w:adjustRightInd w:val="0"/>
              <w:snapToGrid w:val="0"/>
              <w:spacing w:line="180" w:lineRule="exact"/>
              <w:jc w:val="center"/>
              <w:rPr>
                <w:color w:val="auto"/>
                <w:sz w:val="15"/>
                <w:szCs w:val="13"/>
              </w:rPr>
            </w:pPr>
            <w:r>
              <w:rPr>
                <w:color w:val="auto"/>
                <w:sz w:val="15"/>
                <w:szCs w:val="13"/>
              </w:rPr>
              <w:t>0.8</w:t>
            </w:r>
          </w:p>
          <w:p w14:paraId="3C7EEC8E">
            <w:pPr>
              <w:adjustRightInd w:val="0"/>
              <w:snapToGrid w:val="0"/>
              <w:spacing w:line="180" w:lineRule="exact"/>
              <w:jc w:val="center"/>
              <w:rPr>
                <w:color w:val="auto"/>
                <w:sz w:val="15"/>
                <w:szCs w:val="13"/>
              </w:rPr>
            </w:pPr>
            <w:r>
              <w:rPr>
                <w:color w:val="auto"/>
                <w:sz w:val="15"/>
                <w:szCs w:val="13"/>
              </w:rPr>
              <w:t>1.0</w:t>
            </w:r>
          </w:p>
          <w:p w14:paraId="4FE99213">
            <w:pPr>
              <w:adjustRightInd w:val="0"/>
              <w:snapToGrid w:val="0"/>
              <w:spacing w:line="80" w:lineRule="exact"/>
              <w:jc w:val="center"/>
              <w:rPr>
                <w:color w:val="auto"/>
                <w:sz w:val="15"/>
                <w:szCs w:val="13"/>
              </w:rPr>
            </w:pPr>
          </w:p>
          <w:p w14:paraId="5FE4FC22">
            <w:pPr>
              <w:adjustRightInd w:val="0"/>
              <w:snapToGrid w:val="0"/>
              <w:spacing w:line="180" w:lineRule="exact"/>
              <w:jc w:val="center"/>
              <w:rPr>
                <w:color w:val="auto"/>
                <w:sz w:val="15"/>
                <w:szCs w:val="13"/>
              </w:rPr>
            </w:pPr>
            <w:r>
              <w:rPr>
                <w:color w:val="auto"/>
                <w:sz w:val="15"/>
                <w:szCs w:val="13"/>
              </w:rPr>
              <w:t>1.2</w:t>
            </w:r>
          </w:p>
          <w:p w14:paraId="56B2951B">
            <w:pPr>
              <w:adjustRightInd w:val="0"/>
              <w:snapToGrid w:val="0"/>
              <w:spacing w:line="180" w:lineRule="exact"/>
              <w:jc w:val="center"/>
              <w:rPr>
                <w:color w:val="auto"/>
                <w:sz w:val="15"/>
                <w:szCs w:val="13"/>
              </w:rPr>
            </w:pPr>
            <w:r>
              <w:rPr>
                <w:color w:val="auto"/>
                <w:sz w:val="15"/>
                <w:szCs w:val="13"/>
              </w:rPr>
              <w:t>1.4</w:t>
            </w:r>
          </w:p>
          <w:p w14:paraId="6B4787AD">
            <w:pPr>
              <w:adjustRightInd w:val="0"/>
              <w:snapToGrid w:val="0"/>
              <w:spacing w:line="180" w:lineRule="exact"/>
              <w:jc w:val="center"/>
              <w:rPr>
                <w:color w:val="auto"/>
                <w:sz w:val="15"/>
                <w:szCs w:val="13"/>
              </w:rPr>
            </w:pPr>
            <w:r>
              <w:rPr>
                <w:color w:val="auto"/>
                <w:sz w:val="15"/>
                <w:szCs w:val="13"/>
              </w:rPr>
              <w:t>1.6</w:t>
            </w:r>
          </w:p>
          <w:p w14:paraId="7941A612">
            <w:pPr>
              <w:adjustRightInd w:val="0"/>
              <w:snapToGrid w:val="0"/>
              <w:spacing w:line="180" w:lineRule="exact"/>
              <w:jc w:val="center"/>
              <w:rPr>
                <w:color w:val="auto"/>
                <w:sz w:val="15"/>
                <w:szCs w:val="13"/>
              </w:rPr>
            </w:pPr>
            <w:r>
              <w:rPr>
                <w:color w:val="auto"/>
                <w:sz w:val="15"/>
                <w:szCs w:val="13"/>
              </w:rPr>
              <w:t>1.8</w:t>
            </w:r>
          </w:p>
          <w:p w14:paraId="33E6B58F">
            <w:pPr>
              <w:adjustRightInd w:val="0"/>
              <w:snapToGrid w:val="0"/>
              <w:spacing w:line="180" w:lineRule="exact"/>
              <w:jc w:val="center"/>
              <w:rPr>
                <w:color w:val="auto"/>
                <w:sz w:val="15"/>
                <w:szCs w:val="13"/>
              </w:rPr>
            </w:pPr>
            <w:r>
              <w:rPr>
                <w:color w:val="auto"/>
                <w:sz w:val="15"/>
                <w:szCs w:val="13"/>
              </w:rPr>
              <w:t>2.0</w:t>
            </w:r>
          </w:p>
          <w:p w14:paraId="42F4B12F">
            <w:pPr>
              <w:adjustRightInd w:val="0"/>
              <w:snapToGrid w:val="0"/>
              <w:spacing w:line="80" w:lineRule="exact"/>
              <w:jc w:val="center"/>
              <w:rPr>
                <w:color w:val="auto"/>
                <w:sz w:val="15"/>
                <w:szCs w:val="13"/>
              </w:rPr>
            </w:pPr>
          </w:p>
          <w:p w14:paraId="2636D1E0">
            <w:pPr>
              <w:adjustRightInd w:val="0"/>
              <w:snapToGrid w:val="0"/>
              <w:spacing w:line="180" w:lineRule="exact"/>
              <w:jc w:val="center"/>
              <w:rPr>
                <w:color w:val="auto"/>
                <w:sz w:val="15"/>
                <w:szCs w:val="13"/>
              </w:rPr>
            </w:pPr>
            <w:r>
              <w:rPr>
                <w:color w:val="auto"/>
                <w:sz w:val="15"/>
                <w:szCs w:val="13"/>
              </w:rPr>
              <w:t>2.5</w:t>
            </w:r>
          </w:p>
          <w:p w14:paraId="5B63F101">
            <w:pPr>
              <w:adjustRightInd w:val="0"/>
              <w:snapToGrid w:val="0"/>
              <w:spacing w:line="180" w:lineRule="exact"/>
              <w:jc w:val="center"/>
              <w:rPr>
                <w:color w:val="auto"/>
                <w:sz w:val="15"/>
                <w:szCs w:val="13"/>
              </w:rPr>
            </w:pPr>
            <w:r>
              <w:rPr>
                <w:color w:val="auto"/>
                <w:sz w:val="15"/>
                <w:szCs w:val="13"/>
              </w:rPr>
              <w:t>3.0</w:t>
            </w:r>
          </w:p>
          <w:p w14:paraId="2D1297A0">
            <w:pPr>
              <w:adjustRightInd w:val="0"/>
              <w:snapToGrid w:val="0"/>
              <w:spacing w:line="180" w:lineRule="exact"/>
              <w:jc w:val="center"/>
              <w:rPr>
                <w:color w:val="auto"/>
                <w:sz w:val="15"/>
                <w:szCs w:val="13"/>
              </w:rPr>
            </w:pPr>
            <w:r>
              <w:rPr>
                <w:color w:val="auto"/>
                <w:sz w:val="15"/>
                <w:szCs w:val="13"/>
              </w:rPr>
              <w:t>5.0</w:t>
            </w:r>
          </w:p>
          <w:p w14:paraId="0A852747">
            <w:pPr>
              <w:adjustRightInd w:val="0"/>
              <w:snapToGrid w:val="0"/>
              <w:spacing w:line="180" w:lineRule="exact"/>
              <w:jc w:val="center"/>
              <w:rPr>
                <w:color w:val="auto"/>
                <w:sz w:val="15"/>
                <w:szCs w:val="13"/>
              </w:rPr>
            </w:pPr>
            <w:r>
              <w:rPr>
                <w:color w:val="auto"/>
                <w:sz w:val="15"/>
                <w:szCs w:val="13"/>
              </w:rPr>
              <w:t>7.0</w:t>
            </w:r>
          </w:p>
          <w:p w14:paraId="25AFE42C">
            <w:pPr>
              <w:adjustRightInd w:val="0"/>
              <w:snapToGrid w:val="0"/>
              <w:spacing w:line="180" w:lineRule="exact"/>
              <w:jc w:val="center"/>
              <w:rPr>
                <w:color w:val="auto"/>
                <w:sz w:val="15"/>
                <w:szCs w:val="13"/>
              </w:rPr>
            </w:pPr>
            <w:r>
              <w:rPr>
                <w:color w:val="auto"/>
                <w:sz w:val="15"/>
                <w:szCs w:val="13"/>
              </w:rPr>
              <w:t>10.0</w:t>
            </w:r>
          </w:p>
        </w:tc>
      </w:tr>
    </w:tbl>
    <w:p w14:paraId="4BFFAEF8">
      <w:pPr>
        <w:rPr>
          <w:color w:val="auto"/>
          <w:sz w:val="15"/>
          <w:szCs w:val="15"/>
        </w:rPr>
      </w:pPr>
    </w:p>
    <w:p w14:paraId="74A93860">
      <w:pPr>
        <w:rPr>
          <w:color w:val="auto"/>
          <w:sz w:val="15"/>
          <w:szCs w:val="15"/>
        </w:rPr>
      </w:pPr>
    </w:p>
    <w:p w14:paraId="5166C1A1">
      <w:pPr>
        <w:rPr>
          <w:color w:val="auto"/>
          <w:sz w:val="15"/>
          <w:szCs w:val="15"/>
        </w:rPr>
      </w:pPr>
    </w:p>
    <w:p w14:paraId="67FADF93">
      <w:pPr>
        <w:adjustRightInd w:val="0"/>
        <w:snapToGrid w:val="0"/>
        <w:rPr>
          <w:rFonts w:eastAsia="黑体"/>
          <w:b/>
          <w:bCs/>
          <w:color w:val="auto"/>
          <w:sz w:val="18"/>
          <w:szCs w:val="18"/>
        </w:rPr>
      </w:pPr>
      <w:r>
        <w:rPr>
          <w:rFonts w:eastAsia="黑体"/>
          <w:b/>
          <w:bCs/>
          <w:color w:val="auto"/>
          <w:sz w:val="18"/>
          <w:szCs w:val="18"/>
        </w:rPr>
        <w:t>续表：</w:t>
      </w:r>
    </w:p>
    <w:tbl>
      <w:tblPr>
        <w:tblStyle w:val="36"/>
        <w:tblW w:w="92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25"/>
        <w:gridCol w:w="569"/>
        <w:gridCol w:w="570"/>
        <w:gridCol w:w="569"/>
        <w:gridCol w:w="569"/>
        <w:gridCol w:w="568"/>
        <w:gridCol w:w="570"/>
        <w:gridCol w:w="569"/>
        <w:gridCol w:w="570"/>
        <w:gridCol w:w="569"/>
        <w:gridCol w:w="570"/>
        <w:gridCol w:w="569"/>
        <w:gridCol w:w="573"/>
        <w:gridCol w:w="573"/>
        <w:gridCol w:w="570"/>
        <w:gridCol w:w="616"/>
      </w:tblGrid>
      <w:tr w14:paraId="2BE98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 w:hRule="atLeast"/>
          <w:jc w:val="center"/>
        </w:trPr>
        <w:tc>
          <w:tcPr>
            <w:tcW w:w="625" w:type="dxa"/>
            <w:vMerge w:val="restart"/>
            <w:vAlign w:val="center"/>
          </w:tcPr>
          <w:p w14:paraId="4021E394">
            <w:pPr>
              <w:adjustRightInd w:val="0"/>
              <w:snapToGrid w:val="0"/>
              <w:jc w:val="center"/>
              <w:rPr>
                <w:color w:val="auto"/>
                <w:sz w:val="15"/>
                <w:szCs w:val="13"/>
              </w:rPr>
            </w:pPr>
            <w:r>
              <w:rPr>
                <w:i/>
                <w:color w:val="auto"/>
                <w:sz w:val="15"/>
                <w:szCs w:val="13"/>
              </w:rPr>
              <w:t>z</w:t>
            </w:r>
            <w:r>
              <w:rPr>
                <w:color w:val="auto"/>
                <w:sz w:val="15"/>
                <w:szCs w:val="13"/>
              </w:rPr>
              <w:t>/</w:t>
            </w:r>
            <w:r>
              <w:rPr>
                <w:i/>
                <w:color w:val="auto"/>
                <w:sz w:val="15"/>
                <w:szCs w:val="13"/>
              </w:rPr>
              <w:t>b</w:t>
            </w:r>
          </w:p>
        </w:tc>
        <w:tc>
          <w:tcPr>
            <w:tcW w:w="7978" w:type="dxa"/>
            <w:gridSpan w:val="14"/>
            <w:vAlign w:val="center"/>
          </w:tcPr>
          <w:p w14:paraId="3F0060D3">
            <w:pPr>
              <w:adjustRightInd w:val="0"/>
              <w:snapToGrid w:val="0"/>
              <w:spacing w:line="240" w:lineRule="exact"/>
              <w:jc w:val="center"/>
              <w:rPr>
                <w:color w:val="auto"/>
                <w:sz w:val="15"/>
                <w:szCs w:val="13"/>
              </w:rPr>
            </w:pPr>
            <w:r>
              <w:rPr>
                <w:rFonts w:hint="eastAsia"/>
                <w:color w:val="auto"/>
                <w:sz w:val="15"/>
                <w:szCs w:val="13"/>
              </w:rPr>
              <w:t>l</w:t>
            </w:r>
            <w:r>
              <w:rPr>
                <w:color w:val="auto"/>
                <w:sz w:val="15"/>
                <w:szCs w:val="13"/>
              </w:rPr>
              <w:t>/b</w:t>
            </w:r>
          </w:p>
        </w:tc>
        <w:tc>
          <w:tcPr>
            <w:tcW w:w="616" w:type="dxa"/>
            <w:vMerge w:val="restart"/>
            <w:vAlign w:val="center"/>
          </w:tcPr>
          <w:p w14:paraId="3FC44FFB">
            <w:pPr>
              <w:adjustRightInd w:val="0"/>
              <w:snapToGrid w:val="0"/>
              <w:spacing w:line="200" w:lineRule="exact"/>
              <w:ind w:right="150"/>
              <w:jc w:val="center"/>
              <w:rPr>
                <w:color w:val="auto"/>
                <w:sz w:val="15"/>
                <w:szCs w:val="13"/>
              </w:rPr>
            </w:pPr>
            <w:r>
              <w:rPr>
                <w:i/>
                <w:color w:val="auto"/>
                <w:sz w:val="15"/>
                <w:szCs w:val="13"/>
              </w:rPr>
              <w:t>z</w:t>
            </w:r>
            <w:r>
              <w:rPr>
                <w:color w:val="auto"/>
                <w:sz w:val="15"/>
                <w:szCs w:val="13"/>
              </w:rPr>
              <w:t>/</w:t>
            </w:r>
            <w:r>
              <w:rPr>
                <w:i/>
                <w:color w:val="auto"/>
                <w:sz w:val="15"/>
                <w:szCs w:val="13"/>
              </w:rPr>
              <w:t>b</w:t>
            </w:r>
          </w:p>
        </w:tc>
      </w:tr>
      <w:tr w14:paraId="0EA03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 w:hRule="atLeast"/>
          <w:jc w:val="center"/>
        </w:trPr>
        <w:tc>
          <w:tcPr>
            <w:tcW w:w="625" w:type="dxa"/>
            <w:vMerge w:val="continue"/>
            <w:vAlign w:val="center"/>
          </w:tcPr>
          <w:p w14:paraId="70360522">
            <w:pPr>
              <w:adjustRightInd w:val="0"/>
              <w:snapToGrid w:val="0"/>
              <w:rPr>
                <w:color w:val="auto"/>
                <w:sz w:val="15"/>
                <w:szCs w:val="13"/>
              </w:rPr>
            </w:pPr>
          </w:p>
        </w:tc>
        <w:tc>
          <w:tcPr>
            <w:tcW w:w="1139" w:type="dxa"/>
            <w:gridSpan w:val="2"/>
            <w:vAlign w:val="center"/>
          </w:tcPr>
          <w:p w14:paraId="13C7F71F">
            <w:pPr>
              <w:adjustRightInd w:val="0"/>
              <w:snapToGrid w:val="0"/>
              <w:spacing w:line="240" w:lineRule="exact"/>
              <w:jc w:val="center"/>
              <w:rPr>
                <w:color w:val="auto"/>
                <w:sz w:val="15"/>
                <w:szCs w:val="13"/>
              </w:rPr>
            </w:pPr>
            <w:r>
              <w:rPr>
                <w:color w:val="auto"/>
                <w:sz w:val="15"/>
                <w:szCs w:val="13"/>
              </w:rPr>
              <w:t>1.8</w:t>
            </w:r>
          </w:p>
        </w:tc>
        <w:tc>
          <w:tcPr>
            <w:tcW w:w="1138" w:type="dxa"/>
            <w:gridSpan w:val="2"/>
          </w:tcPr>
          <w:p w14:paraId="0B92ADA1">
            <w:pPr>
              <w:adjustRightInd w:val="0"/>
              <w:snapToGrid w:val="0"/>
              <w:spacing w:line="240" w:lineRule="exact"/>
              <w:jc w:val="center"/>
              <w:rPr>
                <w:color w:val="auto"/>
                <w:sz w:val="15"/>
                <w:szCs w:val="13"/>
              </w:rPr>
            </w:pPr>
            <w:r>
              <w:rPr>
                <w:color w:val="auto"/>
                <w:sz w:val="15"/>
                <w:szCs w:val="13"/>
              </w:rPr>
              <w:t>2.0</w:t>
            </w:r>
          </w:p>
        </w:tc>
        <w:tc>
          <w:tcPr>
            <w:tcW w:w="1138" w:type="dxa"/>
            <w:gridSpan w:val="2"/>
          </w:tcPr>
          <w:p w14:paraId="789C3165">
            <w:pPr>
              <w:adjustRightInd w:val="0"/>
              <w:snapToGrid w:val="0"/>
              <w:spacing w:line="240" w:lineRule="exact"/>
              <w:jc w:val="center"/>
              <w:rPr>
                <w:color w:val="auto"/>
                <w:sz w:val="15"/>
                <w:szCs w:val="13"/>
              </w:rPr>
            </w:pPr>
            <w:r>
              <w:rPr>
                <w:color w:val="auto"/>
                <w:sz w:val="15"/>
                <w:szCs w:val="13"/>
              </w:rPr>
              <w:t>3.0</w:t>
            </w:r>
          </w:p>
        </w:tc>
        <w:tc>
          <w:tcPr>
            <w:tcW w:w="1139" w:type="dxa"/>
            <w:gridSpan w:val="2"/>
          </w:tcPr>
          <w:p w14:paraId="0BDD69AA">
            <w:pPr>
              <w:adjustRightInd w:val="0"/>
              <w:snapToGrid w:val="0"/>
              <w:spacing w:line="240" w:lineRule="exact"/>
              <w:jc w:val="center"/>
              <w:rPr>
                <w:color w:val="auto"/>
                <w:sz w:val="15"/>
                <w:szCs w:val="13"/>
              </w:rPr>
            </w:pPr>
            <w:r>
              <w:rPr>
                <w:color w:val="auto"/>
                <w:sz w:val="15"/>
                <w:szCs w:val="13"/>
              </w:rPr>
              <w:t>4.0</w:t>
            </w:r>
          </w:p>
        </w:tc>
        <w:tc>
          <w:tcPr>
            <w:tcW w:w="1139" w:type="dxa"/>
            <w:gridSpan w:val="2"/>
          </w:tcPr>
          <w:p w14:paraId="7B799297">
            <w:pPr>
              <w:adjustRightInd w:val="0"/>
              <w:snapToGrid w:val="0"/>
              <w:spacing w:line="240" w:lineRule="exact"/>
              <w:jc w:val="center"/>
              <w:rPr>
                <w:color w:val="auto"/>
                <w:sz w:val="15"/>
                <w:szCs w:val="13"/>
              </w:rPr>
            </w:pPr>
            <w:r>
              <w:rPr>
                <w:color w:val="auto"/>
                <w:sz w:val="15"/>
                <w:szCs w:val="13"/>
              </w:rPr>
              <w:t>6.0</w:t>
            </w:r>
          </w:p>
        </w:tc>
        <w:tc>
          <w:tcPr>
            <w:tcW w:w="1142" w:type="dxa"/>
            <w:gridSpan w:val="2"/>
            <w:vAlign w:val="center"/>
          </w:tcPr>
          <w:p w14:paraId="6F33FD3F">
            <w:pPr>
              <w:adjustRightInd w:val="0"/>
              <w:snapToGrid w:val="0"/>
              <w:spacing w:line="240" w:lineRule="exact"/>
              <w:jc w:val="center"/>
              <w:rPr>
                <w:color w:val="auto"/>
                <w:sz w:val="15"/>
                <w:szCs w:val="13"/>
              </w:rPr>
            </w:pPr>
            <w:r>
              <w:rPr>
                <w:color w:val="auto"/>
                <w:sz w:val="15"/>
                <w:szCs w:val="13"/>
              </w:rPr>
              <w:t>8.0</w:t>
            </w:r>
          </w:p>
        </w:tc>
        <w:tc>
          <w:tcPr>
            <w:tcW w:w="1143" w:type="dxa"/>
            <w:gridSpan w:val="2"/>
          </w:tcPr>
          <w:p w14:paraId="066D22F8">
            <w:pPr>
              <w:adjustRightInd w:val="0"/>
              <w:snapToGrid w:val="0"/>
              <w:spacing w:line="240" w:lineRule="exact"/>
              <w:jc w:val="center"/>
              <w:rPr>
                <w:color w:val="auto"/>
                <w:sz w:val="15"/>
                <w:szCs w:val="13"/>
              </w:rPr>
            </w:pPr>
            <w:r>
              <w:rPr>
                <w:color w:val="auto"/>
                <w:sz w:val="15"/>
                <w:szCs w:val="13"/>
              </w:rPr>
              <w:t>10.0</w:t>
            </w:r>
          </w:p>
        </w:tc>
        <w:tc>
          <w:tcPr>
            <w:tcW w:w="616" w:type="dxa"/>
            <w:vMerge w:val="continue"/>
            <w:vAlign w:val="center"/>
          </w:tcPr>
          <w:p w14:paraId="3CAE96D2">
            <w:pPr>
              <w:adjustRightInd w:val="0"/>
              <w:snapToGrid w:val="0"/>
              <w:spacing w:line="200" w:lineRule="exact"/>
              <w:jc w:val="right"/>
              <w:rPr>
                <w:color w:val="auto"/>
                <w:sz w:val="15"/>
                <w:szCs w:val="13"/>
              </w:rPr>
            </w:pPr>
          </w:p>
        </w:tc>
      </w:tr>
      <w:tr w14:paraId="3E8FB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 w:hRule="atLeast"/>
          <w:jc w:val="center"/>
        </w:trPr>
        <w:tc>
          <w:tcPr>
            <w:tcW w:w="625" w:type="dxa"/>
            <w:vMerge w:val="continue"/>
            <w:vAlign w:val="center"/>
          </w:tcPr>
          <w:p w14:paraId="5EB41E80">
            <w:pPr>
              <w:adjustRightInd w:val="0"/>
              <w:snapToGrid w:val="0"/>
              <w:jc w:val="center"/>
              <w:rPr>
                <w:color w:val="auto"/>
                <w:sz w:val="15"/>
                <w:szCs w:val="13"/>
              </w:rPr>
            </w:pPr>
          </w:p>
        </w:tc>
        <w:tc>
          <w:tcPr>
            <w:tcW w:w="569" w:type="dxa"/>
            <w:vAlign w:val="center"/>
          </w:tcPr>
          <w:p w14:paraId="5A70C48F">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0" w:type="dxa"/>
            <w:vAlign w:val="center"/>
          </w:tcPr>
          <w:p w14:paraId="450B33F9">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69" w:type="dxa"/>
            <w:vAlign w:val="center"/>
          </w:tcPr>
          <w:p w14:paraId="77639FE1">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69" w:type="dxa"/>
            <w:vAlign w:val="center"/>
          </w:tcPr>
          <w:p w14:paraId="0FC87671">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68" w:type="dxa"/>
            <w:vAlign w:val="center"/>
          </w:tcPr>
          <w:p w14:paraId="2DEF9703">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0" w:type="dxa"/>
            <w:vAlign w:val="center"/>
          </w:tcPr>
          <w:p w14:paraId="5017DBFA">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69" w:type="dxa"/>
            <w:vAlign w:val="center"/>
          </w:tcPr>
          <w:p w14:paraId="7BE024C6">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0" w:type="dxa"/>
            <w:vAlign w:val="center"/>
          </w:tcPr>
          <w:p w14:paraId="6B314FDE">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69" w:type="dxa"/>
            <w:vAlign w:val="center"/>
          </w:tcPr>
          <w:p w14:paraId="13B7BEDB">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0" w:type="dxa"/>
            <w:vAlign w:val="center"/>
          </w:tcPr>
          <w:p w14:paraId="15393E82">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69" w:type="dxa"/>
            <w:vAlign w:val="center"/>
          </w:tcPr>
          <w:p w14:paraId="3979F335">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3" w:type="dxa"/>
            <w:vAlign w:val="center"/>
          </w:tcPr>
          <w:p w14:paraId="71D69A96">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573" w:type="dxa"/>
            <w:vAlign w:val="center"/>
          </w:tcPr>
          <w:p w14:paraId="2DFE44D5">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点1</w:t>
            </w:r>
          </w:p>
        </w:tc>
        <w:tc>
          <w:tcPr>
            <w:tcW w:w="570" w:type="dxa"/>
            <w:vAlign w:val="center"/>
          </w:tcPr>
          <w:p w14:paraId="60ED45D0">
            <w:pPr>
              <w:adjustRightInd w:val="0"/>
              <w:snapToGrid w:val="0"/>
              <w:spacing w:line="240" w:lineRule="exact"/>
              <w:ind w:left="-17" w:leftChars="-51" w:right="-88" w:rightChars="-42" w:hanging="90" w:hangingChars="60"/>
              <w:jc w:val="center"/>
              <w:rPr>
                <w:color w:val="auto"/>
                <w:sz w:val="15"/>
                <w:szCs w:val="13"/>
              </w:rPr>
            </w:pPr>
            <w:r>
              <w:rPr>
                <w:color w:val="auto"/>
                <w:sz w:val="15"/>
                <w:szCs w:val="13"/>
              </w:rPr>
              <w:t>点2</w:t>
            </w:r>
          </w:p>
        </w:tc>
        <w:tc>
          <w:tcPr>
            <w:tcW w:w="616" w:type="dxa"/>
            <w:vMerge w:val="continue"/>
            <w:vAlign w:val="center"/>
          </w:tcPr>
          <w:p w14:paraId="3988C906">
            <w:pPr>
              <w:adjustRightInd w:val="0"/>
              <w:snapToGrid w:val="0"/>
              <w:spacing w:line="240" w:lineRule="atLeast"/>
              <w:jc w:val="center"/>
              <w:rPr>
                <w:color w:val="auto"/>
                <w:sz w:val="15"/>
                <w:szCs w:val="13"/>
              </w:rPr>
            </w:pPr>
          </w:p>
        </w:tc>
      </w:tr>
      <w:tr w14:paraId="7D469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2" w:hRule="atLeast"/>
          <w:jc w:val="center"/>
        </w:trPr>
        <w:tc>
          <w:tcPr>
            <w:tcW w:w="625" w:type="dxa"/>
            <w:vAlign w:val="center"/>
          </w:tcPr>
          <w:p w14:paraId="3F7D9738">
            <w:pPr>
              <w:adjustRightInd w:val="0"/>
              <w:snapToGrid w:val="0"/>
              <w:jc w:val="center"/>
              <w:rPr>
                <w:color w:val="auto"/>
                <w:sz w:val="15"/>
                <w:szCs w:val="13"/>
              </w:rPr>
            </w:pPr>
          </w:p>
          <w:p w14:paraId="44B61AFA">
            <w:pPr>
              <w:adjustRightInd w:val="0"/>
              <w:snapToGrid w:val="0"/>
              <w:jc w:val="center"/>
              <w:rPr>
                <w:color w:val="auto"/>
                <w:sz w:val="15"/>
                <w:szCs w:val="13"/>
              </w:rPr>
            </w:pPr>
            <w:r>
              <w:rPr>
                <w:color w:val="auto"/>
                <w:sz w:val="15"/>
                <w:szCs w:val="13"/>
              </w:rPr>
              <w:t>0.0</w:t>
            </w:r>
          </w:p>
          <w:p w14:paraId="21DD114A">
            <w:pPr>
              <w:adjustRightInd w:val="0"/>
              <w:snapToGrid w:val="0"/>
              <w:jc w:val="center"/>
              <w:rPr>
                <w:color w:val="auto"/>
                <w:sz w:val="15"/>
                <w:szCs w:val="13"/>
              </w:rPr>
            </w:pPr>
            <w:r>
              <w:rPr>
                <w:color w:val="auto"/>
                <w:sz w:val="15"/>
                <w:szCs w:val="13"/>
              </w:rPr>
              <w:t>0.2</w:t>
            </w:r>
          </w:p>
          <w:p w14:paraId="4D349615">
            <w:pPr>
              <w:adjustRightInd w:val="0"/>
              <w:snapToGrid w:val="0"/>
              <w:jc w:val="center"/>
              <w:rPr>
                <w:color w:val="auto"/>
                <w:sz w:val="15"/>
                <w:szCs w:val="13"/>
              </w:rPr>
            </w:pPr>
            <w:r>
              <w:rPr>
                <w:color w:val="auto"/>
                <w:sz w:val="15"/>
                <w:szCs w:val="13"/>
              </w:rPr>
              <w:t>0.4</w:t>
            </w:r>
          </w:p>
          <w:p w14:paraId="29BB4212">
            <w:pPr>
              <w:adjustRightInd w:val="0"/>
              <w:snapToGrid w:val="0"/>
              <w:jc w:val="center"/>
              <w:rPr>
                <w:color w:val="auto"/>
                <w:sz w:val="15"/>
                <w:szCs w:val="13"/>
              </w:rPr>
            </w:pPr>
            <w:r>
              <w:rPr>
                <w:color w:val="auto"/>
                <w:sz w:val="15"/>
                <w:szCs w:val="13"/>
              </w:rPr>
              <w:t>0.6</w:t>
            </w:r>
          </w:p>
          <w:p w14:paraId="24A6EEA6">
            <w:pPr>
              <w:adjustRightInd w:val="0"/>
              <w:snapToGrid w:val="0"/>
              <w:jc w:val="center"/>
              <w:rPr>
                <w:color w:val="auto"/>
                <w:sz w:val="15"/>
                <w:szCs w:val="13"/>
              </w:rPr>
            </w:pPr>
            <w:r>
              <w:rPr>
                <w:color w:val="auto"/>
                <w:sz w:val="15"/>
                <w:szCs w:val="13"/>
              </w:rPr>
              <w:t>0.8</w:t>
            </w:r>
          </w:p>
          <w:p w14:paraId="184FBD8A">
            <w:pPr>
              <w:adjustRightInd w:val="0"/>
              <w:snapToGrid w:val="0"/>
              <w:jc w:val="center"/>
              <w:rPr>
                <w:color w:val="auto"/>
                <w:sz w:val="15"/>
                <w:szCs w:val="13"/>
              </w:rPr>
            </w:pPr>
            <w:r>
              <w:rPr>
                <w:color w:val="auto"/>
                <w:sz w:val="15"/>
                <w:szCs w:val="13"/>
              </w:rPr>
              <w:t>1.0</w:t>
            </w:r>
          </w:p>
          <w:p w14:paraId="75AF95C3">
            <w:pPr>
              <w:adjustRightInd w:val="0"/>
              <w:snapToGrid w:val="0"/>
              <w:jc w:val="center"/>
              <w:rPr>
                <w:color w:val="auto"/>
                <w:sz w:val="15"/>
                <w:szCs w:val="13"/>
              </w:rPr>
            </w:pPr>
          </w:p>
          <w:p w14:paraId="706028B9">
            <w:pPr>
              <w:adjustRightInd w:val="0"/>
              <w:snapToGrid w:val="0"/>
              <w:jc w:val="center"/>
              <w:rPr>
                <w:color w:val="auto"/>
                <w:sz w:val="15"/>
                <w:szCs w:val="13"/>
              </w:rPr>
            </w:pPr>
            <w:r>
              <w:rPr>
                <w:color w:val="auto"/>
                <w:sz w:val="15"/>
                <w:szCs w:val="13"/>
              </w:rPr>
              <w:t>1.2</w:t>
            </w:r>
          </w:p>
          <w:p w14:paraId="7DF7F4F2">
            <w:pPr>
              <w:adjustRightInd w:val="0"/>
              <w:snapToGrid w:val="0"/>
              <w:jc w:val="center"/>
              <w:rPr>
                <w:color w:val="auto"/>
                <w:sz w:val="15"/>
                <w:szCs w:val="13"/>
              </w:rPr>
            </w:pPr>
            <w:r>
              <w:rPr>
                <w:color w:val="auto"/>
                <w:sz w:val="15"/>
                <w:szCs w:val="13"/>
              </w:rPr>
              <w:t>1.4</w:t>
            </w:r>
          </w:p>
          <w:p w14:paraId="6A2DA354">
            <w:pPr>
              <w:adjustRightInd w:val="0"/>
              <w:snapToGrid w:val="0"/>
              <w:jc w:val="center"/>
              <w:rPr>
                <w:color w:val="auto"/>
                <w:sz w:val="15"/>
                <w:szCs w:val="13"/>
              </w:rPr>
            </w:pPr>
            <w:r>
              <w:rPr>
                <w:color w:val="auto"/>
                <w:sz w:val="15"/>
                <w:szCs w:val="13"/>
              </w:rPr>
              <w:t>1.6</w:t>
            </w:r>
          </w:p>
          <w:p w14:paraId="4A27C4B5">
            <w:pPr>
              <w:adjustRightInd w:val="0"/>
              <w:snapToGrid w:val="0"/>
              <w:jc w:val="center"/>
              <w:rPr>
                <w:color w:val="auto"/>
                <w:sz w:val="15"/>
                <w:szCs w:val="13"/>
              </w:rPr>
            </w:pPr>
            <w:r>
              <w:rPr>
                <w:color w:val="auto"/>
                <w:sz w:val="15"/>
                <w:szCs w:val="13"/>
              </w:rPr>
              <w:t>1.8</w:t>
            </w:r>
          </w:p>
          <w:p w14:paraId="2B985CA0">
            <w:pPr>
              <w:adjustRightInd w:val="0"/>
              <w:snapToGrid w:val="0"/>
              <w:jc w:val="center"/>
              <w:rPr>
                <w:color w:val="auto"/>
                <w:sz w:val="15"/>
                <w:szCs w:val="13"/>
              </w:rPr>
            </w:pPr>
            <w:r>
              <w:rPr>
                <w:color w:val="auto"/>
                <w:sz w:val="15"/>
                <w:szCs w:val="13"/>
              </w:rPr>
              <w:t>2.0</w:t>
            </w:r>
          </w:p>
          <w:p w14:paraId="0C4E4B89">
            <w:pPr>
              <w:adjustRightInd w:val="0"/>
              <w:snapToGrid w:val="0"/>
              <w:jc w:val="center"/>
              <w:rPr>
                <w:color w:val="auto"/>
                <w:sz w:val="15"/>
                <w:szCs w:val="13"/>
              </w:rPr>
            </w:pPr>
          </w:p>
          <w:p w14:paraId="6237C3C1">
            <w:pPr>
              <w:adjustRightInd w:val="0"/>
              <w:snapToGrid w:val="0"/>
              <w:jc w:val="center"/>
              <w:rPr>
                <w:color w:val="auto"/>
                <w:sz w:val="15"/>
                <w:szCs w:val="13"/>
              </w:rPr>
            </w:pPr>
            <w:r>
              <w:rPr>
                <w:color w:val="auto"/>
                <w:sz w:val="15"/>
                <w:szCs w:val="13"/>
              </w:rPr>
              <w:t>2.5</w:t>
            </w:r>
          </w:p>
          <w:p w14:paraId="08F12685">
            <w:pPr>
              <w:adjustRightInd w:val="0"/>
              <w:snapToGrid w:val="0"/>
              <w:jc w:val="center"/>
              <w:rPr>
                <w:color w:val="auto"/>
                <w:sz w:val="15"/>
                <w:szCs w:val="13"/>
              </w:rPr>
            </w:pPr>
            <w:r>
              <w:rPr>
                <w:color w:val="auto"/>
                <w:sz w:val="15"/>
                <w:szCs w:val="13"/>
              </w:rPr>
              <w:t>3.0</w:t>
            </w:r>
          </w:p>
          <w:p w14:paraId="7DC53DC4">
            <w:pPr>
              <w:adjustRightInd w:val="0"/>
              <w:snapToGrid w:val="0"/>
              <w:jc w:val="center"/>
              <w:rPr>
                <w:color w:val="auto"/>
                <w:sz w:val="15"/>
                <w:szCs w:val="13"/>
              </w:rPr>
            </w:pPr>
            <w:r>
              <w:rPr>
                <w:color w:val="auto"/>
                <w:sz w:val="15"/>
                <w:szCs w:val="13"/>
              </w:rPr>
              <w:t>5.0</w:t>
            </w:r>
          </w:p>
          <w:p w14:paraId="6E8D1259">
            <w:pPr>
              <w:adjustRightInd w:val="0"/>
              <w:snapToGrid w:val="0"/>
              <w:jc w:val="center"/>
              <w:rPr>
                <w:color w:val="auto"/>
                <w:sz w:val="15"/>
                <w:szCs w:val="13"/>
              </w:rPr>
            </w:pPr>
            <w:r>
              <w:rPr>
                <w:color w:val="auto"/>
                <w:sz w:val="15"/>
                <w:szCs w:val="13"/>
              </w:rPr>
              <w:t>7.0</w:t>
            </w:r>
          </w:p>
          <w:p w14:paraId="575A65F6">
            <w:pPr>
              <w:adjustRightInd w:val="0"/>
              <w:snapToGrid w:val="0"/>
              <w:jc w:val="center"/>
              <w:rPr>
                <w:color w:val="auto"/>
                <w:sz w:val="15"/>
                <w:szCs w:val="13"/>
              </w:rPr>
            </w:pPr>
            <w:r>
              <w:rPr>
                <w:color w:val="auto"/>
                <w:sz w:val="15"/>
                <w:szCs w:val="13"/>
              </w:rPr>
              <w:t>10.0</w:t>
            </w:r>
          </w:p>
          <w:p w14:paraId="0FEA5C5F">
            <w:pPr>
              <w:adjustRightInd w:val="0"/>
              <w:snapToGrid w:val="0"/>
              <w:rPr>
                <w:color w:val="auto"/>
                <w:sz w:val="15"/>
                <w:szCs w:val="13"/>
              </w:rPr>
            </w:pPr>
            <w:r>
              <w:rPr>
                <w:color w:val="auto"/>
                <w:sz w:val="15"/>
                <w:szCs w:val="13"/>
              </w:rPr>
              <w:t xml:space="preserve">  </w:t>
            </w:r>
          </w:p>
        </w:tc>
        <w:tc>
          <w:tcPr>
            <w:tcW w:w="569" w:type="dxa"/>
            <w:vAlign w:val="center"/>
          </w:tcPr>
          <w:p w14:paraId="595EB1EE">
            <w:pPr>
              <w:adjustRightInd w:val="0"/>
              <w:snapToGrid w:val="0"/>
              <w:ind w:left="-20" w:leftChars="-51" w:right="-132" w:rightChars="-63" w:hanging="87" w:hangingChars="60"/>
              <w:jc w:val="center"/>
              <w:rPr>
                <w:color w:val="auto"/>
                <w:spacing w:val="-2"/>
                <w:sz w:val="15"/>
                <w:szCs w:val="15"/>
              </w:rPr>
            </w:pPr>
          </w:p>
          <w:p w14:paraId="3AF8A4C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537DB40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41F3288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0.0290</w:t>
            </w:r>
          </w:p>
          <w:p w14:paraId="609E6B4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0.0400</w:t>
            </w:r>
          </w:p>
          <w:p w14:paraId="5040268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0.0482</w:t>
            </w:r>
          </w:p>
          <w:p w14:paraId="0B09C26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0.0538</w:t>
            </w:r>
          </w:p>
          <w:p w14:paraId="367FCA9D">
            <w:pPr>
              <w:adjustRightInd w:val="0"/>
              <w:snapToGrid w:val="0"/>
              <w:ind w:left="-20" w:leftChars="-51" w:right="-132" w:rightChars="-63" w:hanging="87" w:hangingChars="60"/>
              <w:jc w:val="center"/>
              <w:rPr>
                <w:color w:val="auto"/>
                <w:spacing w:val="-2"/>
                <w:sz w:val="15"/>
                <w:szCs w:val="15"/>
              </w:rPr>
            </w:pPr>
          </w:p>
          <w:p w14:paraId="7DDE8EA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0.0574</w:t>
            </w:r>
          </w:p>
          <w:p w14:paraId="07B33F1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0.0594</w:t>
            </w:r>
          </w:p>
          <w:p w14:paraId="71728E1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0.0603</w:t>
            </w:r>
          </w:p>
          <w:p w14:paraId="6671BA0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0.0604</w:t>
            </w:r>
          </w:p>
          <w:p w14:paraId="64D94DB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0.0599</w:t>
            </w:r>
          </w:p>
          <w:p w14:paraId="6BB9848E">
            <w:pPr>
              <w:adjustRightInd w:val="0"/>
              <w:snapToGrid w:val="0"/>
              <w:ind w:left="-20" w:leftChars="-51" w:right="-132" w:rightChars="-63" w:hanging="87" w:hangingChars="60"/>
              <w:jc w:val="center"/>
              <w:rPr>
                <w:color w:val="auto"/>
                <w:spacing w:val="-2"/>
                <w:sz w:val="15"/>
                <w:szCs w:val="15"/>
              </w:rPr>
            </w:pPr>
          </w:p>
          <w:p w14:paraId="6C67C6B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0.0575</w:t>
            </w:r>
          </w:p>
          <w:p w14:paraId="2BC7D43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0.0541</w:t>
            </w:r>
          </w:p>
          <w:p w14:paraId="681D8C5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0.0421</w:t>
            </w:r>
          </w:p>
          <w:p w14:paraId="2054A3D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0.0333</w:t>
            </w:r>
          </w:p>
          <w:p w14:paraId="6A301C8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0.0252</w:t>
            </w:r>
          </w:p>
          <w:p w14:paraId="5E623C69">
            <w:pPr>
              <w:adjustRightInd w:val="0"/>
              <w:snapToGrid w:val="0"/>
              <w:ind w:left="-20" w:leftChars="-51" w:right="-132" w:rightChars="-63" w:hanging="87" w:hangingChars="60"/>
              <w:jc w:val="center"/>
              <w:rPr>
                <w:color w:val="auto"/>
                <w:spacing w:val="-2"/>
                <w:sz w:val="15"/>
                <w:szCs w:val="15"/>
              </w:rPr>
            </w:pPr>
          </w:p>
        </w:tc>
        <w:tc>
          <w:tcPr>
            <w:tcW w:w="570" w:type="dxa"/>
          </w:tcPr>
          <w:p w14:paraId="55BA3E1D">
            <w:pPr>
              <w:adjustRightInd w:val="0"/>
              <w:snapToGrid w:val="0"/>
              <w:ind w:left="-20" w:leftChars="-51" w:right="-132" w:rightChars="-63" w:hanging="87" w:hangingChars="60"/>
              <w:jc w:val="center"/>
              <w:rPr>
                <w:color w:val="auto"/>
                <w:spacing w:val="-2"/>
                <w:sz w:val="15"/>
                <w:szCs w:val="15"/>
              </w:rPr>
            </w:pPr>
          </w:p>
          <w:p w14:paraId="4A362D4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5C904EE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04F10BA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0.2190</w:t>
            </w:r>
          </w:p>
          <w:p w14:paraId="735899F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0.2047</w:t>
            </w:r>
          </w:p>
          <w:p w14:paraId="771E8DC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0.1915</w:t>
            </w:r>
          </w:p>
          <w:p w14:paraId="2693AB7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0.1794</w:t>
            </w:r>
          </w:p>
          <w:p w14:paraId="5A0581A3">
            <w:pPr>
              <w:adjustRightInd w:val="0"/>
              <w:snapToGrid w:val="0"/>
              <w:ind w:left="-20" w:leftChars="-51" w:right="-132" w:rightChars="-63" w:hanging="87" w:hangingChars="60"/>
              <w:jc w:val="center"/>
              <w:rPr>
                <w:color w:val="auto"/>
                <w:spacing w:val="-2"/>
                <w:sz w:val="15"/>
                <w:szCs w:val="15"/>
              </w:rPr>
            </w:pPr>
          </w:p>
          <w:p w14:paraId="2B52F65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0.1684</w:t>
            </w:r>
          </w:p>
          <w:p w14:paraId="33D260B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0.1585</w:t>
            </w:r>
          </w:p>
          <w:p w14:paraId="439A318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0.1494</w:t>
            </w:r>
          </w:p>
          <w:p w14:paraId="2924B50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0.1413</w:t>
            </w:r>
          </w:p>
          <w:p w14:paraId="6B8CB9D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0.1338</w:t>
            </w:r>
          </w:p>
          <w:p w14:paraId="358DC530">
            <w:pPr>
              <w:adjustRightInd w:val="0"/>
              <w:snapToGrid w:val="0"/>
              <w:ind w:left="-20" w:leftChars="-51" w:right="-132" w:rightChars="-63" w:hanging="87" w:hangingChars="60"/>
              <w:jc w:val="center"/>
              <w:rPr>
                <w:color w:val="auto"/>
                <w:spacing w:val="-2"/>
                <w:sz w:val="15"/>
                <w:szCs w:val="15"/>
              </w:rPr>
            </w:pPr>
          </w:p>
          <w:p w14:paraId="3F3E2CE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0.1180</w:t>
            </w:r>
          </w:p>
          <w:p w14:paraId="708E969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0.1052</w:t>
            </w:r>
          </w:p>
          <w:p w14:paraId="572C555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0.0734</w:t>
            </w:r>
          </w:p>
          <w:p w14:paraId="17EDC71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0.0558</w:t>
            </w:r>
          </w:p>
          <w:p w14:paraId="1D8C1DC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0.0409</w:t>
            </w:r>
          </w:p>
          <w:p w14:paraId="7D421591">
            <w:pPr>
              <w:adjustRightInd w:val="0"/>
              <w:snapToGrid w:val="0"/>
              <w:ind w:left="-19" w:right="-132" w:rightChars="-63" w:hanging="88"/>
              <w:jc w:val="center"/>
              <w:rPr>
                <w:color w:val="auto"/>
                <w:spacing w:val="-2"/>
                <w:sz w:val="15"/>
                <w:szCs w:val="15"/>
              </w:rPr>
            </w:pPr>
          </w:p>
        </w:tc>
        <w:tc>
          <w:tcPr>
            <w:tcW w:w="569" w:type="dxa"/>
          </w:tcPr>
          <w:p w14:paraId="38D93DD2">
            <w:pPr>
              <w:adjustRightInd w:val="0"/>
              <w:snapToGrid w:val="0"/>
              <w:ind w:left="-20" w:leftChars="-51" w:right="-132" w:rightChars="-63" w:hanging="87" w:hangingChars="60"/>
              <w:jc w:val="center"/>
              <w:rPr>
                <w:color w:val="auto"/>
                <w:spacing w:val="-2"/>
                <w:sz w:val="15"/>
                <w:szCs w:val="15"/>
              </w:rPr>
            </w:pPr>
          </w:p>
          <w:p w14:paraId="5BB8866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64386DE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7CEAB40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0.0290</w:t>
            </w:r>
          </w:p>
          <w:p w14:paraId="5764DF7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0.0401</w:t>
            </w:r>
          </w:p>
          <w:p w14:paraId="31AA5E8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0.0483</w:t>
            </w:r>
          </w:p>
          <w:p w14:paraId="058A812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0.0540</w:t>
            </w:r>
          </w:p>
          <w:p w14:paraId="6192E86C">
            <w:pPr>
              <w:adjustRightInd w:val="0"/>
              <w:snapToGrid w:val="0"/>
              <w:ind w:left="-20" w:leftChars="-51" w:right="-132" w:rightChars="-63" w:hanging="87" w:hangingChars="60"/>
              <w:jc w:val="center"/>
              <w:rPr>
                <w:color w:val="auto"/>
                <w:spacing w:val="-2"/>
                <w:sz w:val="15"/>
                <w:szCs w:val="15"/>
              </w:rPr>
            </w:pPr>
          </w:p>
          <w:p w14:paraId="7338715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0.0577</w:t>
            </w:r>
          </w:p>
          <w:p w14:paraId="6EBA141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0.0599</w:t>
            </w:r>
          </w:p>
          <w:p w14:paraId="7F44A95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0.0609</w:t>
            </w:r>
          </w:p>
          <w:p w14:paraId="6B7D98D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0.0611</w:t>
            </w:r>
          </w:p>
          <w:p w14:paraId="7002CD2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0.0608</w:t>
            </w:r>
          </w:p>
          <w:p w14:paraId="3D5FA97C">
            <w:pPr>
              <w:adjustRightInd w:val="0"/>
              <w:snapToGrid w:val="0"/>
              <w:ind w:left="-20" w:leftChars="-51" w:right="-132" w:rightChars="-63" w:hanging="87" w:hangingChars="60"/>
              <w:jc w:val="center"/>
              <w:rPr>
                <w:color w:val="auto"/>
                <w:spacing w:val="-2"/>
                <w:sz w:val="15"/>
                <w:szCs w:val="15"/>
              </w:rPr>
            </w:pPr>
          </w:p>
          <w:p w14:paraId="31711E3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0.0586</w:t>
            </w:r>
          </w:p>
          <w:p w14:paraId="3453F35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0.0554</w:t>
            </w:r>
          </w:p>
          <w:p w14:paraId="7FFDCCF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0.0435</w:t>
            </w:r>
          </w:p>
          <w:p w14:paraId="6E54DA4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0.0347</w:t>
            </w:r>
          </w:p>
          <w:p w14:paraId="1A52C77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0.0263</w:t>
            </w:r>
          </w:p>
          <w:p w14:paraId="39B87CC8">
            <w:pPr>
              <w:adjustRightInd w:val="0"/>
              <w:snapToGrid w:val="0"/>
              <w:ind w:left="-19" w:right="-132" w:rightChars="-63" w:hanging="88"/>
              <w:jc w:val="center"/>
              <w:rPr>
                <w:color w:val="auto"/>
                <w:spacing w:val="-2"/>
                <w:sz w:val="15"/>
                <w:szCs w:val="15"/>
              </w:rPr>
            </w:pPr>
          </w:p>
        </w:tc>
        <w:tc>
          <w:tcPr>
            <w:tcW w:w="569" w:type="dxa"/>
          </w:tcPr>
          <w:p w14:paraId="02703B90">
            <w:pPr>
              <w:adjustRightInd w:val="0"/>
              <w:snapToGrid w:val="0"/>
              <w:ind w:left="-20" w:leftChars="-51" w:right="-132" w:rightChars="-63" w:hanging="87" w:hangingChars="60"/>
              <w:jc w:val="center"/>
              <w:rPr>
                <w:color w:val="auto"/>
                <w:spacing w:val="-2"/>
                <w:sz w:val="15"/>
                <w:szCs w:val="15"/>
              </w:rPr>
            </w:pPr>
          </w:p>
          <w:p w14:paraId="0D8B3B9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6298AC2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0144DF7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0.2191</w:t>
            </w:r>
          </w:p>
          <w:p w14:paraId="4723BCA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0.2048</w:t>
            </w:r>
          </w:p>
          <w:p w14:paraId="558E32F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0.1917</w:t>
            </w:r>
          </w:p>
          <w:p w14:paraId="174A292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0.1797</w:t>
            </w:r>
          </w:p>
          <w:p w14:paraId="4046AA5F">
            <w:pPr>
              <w:adjustRightInd w:val="0"/>
              <w:snapToGrid w:val="0"/>
              <w:ind w:left="-20" w:leftChars="-51" w:right="-132" w:rightChars="-63" w:hanging="87" w:hangingChars="60"/>
              <w:jc w:val="center"/>
              <w:rPr>
                <w:color w:val="auto"/>
                <w:spacing w:val="-2"/>
                <w:sz w:val="15"/>
                <w:szCs w:val="15"/>
              </w:rPr>
            </w:pPr>
          </w:p>
          <w:p w14:paraId="063497D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0.1689</w:t>
            </w:r>
          </w:p>
          <w:p w14:paraId="08DBE7B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0.1591</w:t>
            </w:r>
          </w:p>
          <w:p w14:paraId="6B3565E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0.1502</w:t>
            </w:r>
          </w:p>
          <w:p w14:paraId="586AB40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0.1422</w:t>
            </w:r>
          </w:p>
          <w:p w14:paraId="1809BB4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0.1348</w:t>
            </w:r>
          </w:p>
          <w:p w14:paraId="352D0C4E">
            <w:pPr>
              <w:adjustRightInd w:val="0"/>
              <w:snapToGrid w:val="0"/>
              <w:ind w:left="-20" w:leftChars="-51" w:right="-132" w:rightChars="-63" w:hanging="87" w:hangingChars="60"/>
              <w:jc w:val="center"/>
              <w:rPr>
                <w:color w:val="auto"/>
                <w:spacing w:val="-2"/>
                <w:sz w:val="15"/>
                <w:szCs w:val="15"/>
              </w:rPr>
            </w:pPr>
          </w:p>
          <w:p w14:paraId="3767232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0.1193</w:t>
            </w:r>
          </w:p>
          <w:p w14:paraId="5884F9C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0.1067</w:t>
            </w:r>
          </w:p>
          <w:p w14:paraId="5FB0FE2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0.0749</w:t>
            </w:r>
          </w:p>
          <w:p w14:paraId="0228F3C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0.0572</w:t>
            </w:r>
          </w:p>
          <w:p w14:paraId="5D5CD22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0.0403</w:t>
            </w:r>
          </w:p>
          <w:p w14:paraId="42FCC337">
            <w:pPr>
              <w:adjustRightInd w:val="0"/>
              <w:snapToGrid w:val="0"/>
              <w:ind w:left="-19" w:right="-132" w:rightChars="-63" w:hanging="88"/>
              <w:jc w:val="center"/>
              <w:rPr>
                <w:color w:val="auto"/>
                <w:spacing w:val="-2"/>
                <w:sz w:val="15"/>
                <w:szCs w:val="15"/>
              </w:rPr>
            </w:pPr>
          </w:p>
        </w:tc>
        <w:tc>
          <w:tcPr>
            <w:tcW w:w="568" w:type="dxa"/>
          </w:tcPr>
          <w:p w14:paraId="2C72A98A">
            <w:pPr>
              <w:adjustRightInd w:val="0"/>
              <w:snapToGrid w:val="0"/>
              <w:ind w:left="-20" w:leftChars="-51" w:right="-132" w:rightChars="-63" w:hanging="87" w:hangingChars="60"/>
              <w:jc w:val="center"/>
              <w:rPr>
                <w:color w:val="auto"/>
                <w:spacing w:val="-2"/>
                <w:sz w:val="15"/>
                <w:szCs w:val="15"/>
              </w:rPr>
            </w:pPr>
          </w:p>
          <w:p w14:paraId="4332A25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1C31119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7009831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0.0290</w:t>
            </w:r>
          </w:p>
          <w:p w14:paraId="14F18FD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0.0402</w:t>
            </w:r>
          </w:p>
          <w:p w14:paraId="3854B90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0.0486</w:t>
            </w:r>
          </w:p>
          <w:p w14:paraId="1FE5C51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0.0545</w:t>
            </w:r>
          </w:p>
          <w:p w14:paraId="0F7BDF0C">
            <w:pPr>
              <w:adjustRightInd w:val="0"/>
              <w:snapToGrid w:val="0"/>
              <w:ind w:left="-20" w:leftChars="-51" w:right="-132" w:rightChars="-63" w:hanging="87" w:hangingChars="60"/>
              <w:jc w:val="center"/>
              <w:rPr>
                <w:color w:val="auto"/>
                <w:spacing w:val="-2"/>
                <w:sz w:val="15"/>
                <w:szCs w:val="15"/>
              </w:rPr>
            </w:pPr>
          </w:p>
          <w:p w14:paraId="5946DCB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0.0584</w:t>
            </w:r>
          </w:p>
          <w:p w14:paraId="697AC23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0.0609</w:t>
            </w:r>
          </w:p>
          <w:p w14:paraId="2750BE4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0.0623</w:t>
            </w:r>
          </w:p>
          <w:p w14:paraId="4A0ED18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2353507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0.0629</w:t>
            </w:r>
          </w:p>
          <w:p w14:paraId="041F18F9">
            <w:pPr>
              <w:adjustRightInd w:val="0"/>
              <w:snapToGrid w:val="0"/>
              <w:ind w:left="-20" w:leftChars="-51" w:right="-132" w:rightChars="-63" w:hanging="87" w:hangingChars="60"/>
              <w:jc w:val="center"/>
              <w:rPr>
                <w:color w:val="auto"/>
                <w:spacing w:val="-2"/>
                <w:sz w:val="15"/>
                <w:szCs w:val="15"/>
              </w:rPr>
            </w:pPr>
          </w:p>
          <w:p w14:paraId="72CA6FF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0.0614</w:t>
            </w:r>
          </w:p>
          <w:p w14:paraId="5177FCC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0.0589</w:t>
            </w:r>
          </w:p>
          <w:p w14:paraId="44D225B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0.0480</w:t>
            </w:r>
          </w:p>
          <w:p w14:paraId="4CFF4DA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0.0391</w:t>
            </w:r>
          </w:p>
          <w:p w14:paraId="5F5DFA2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0.0302</w:t>
            </w:r>
          </w:p>
          <w:p w14:paraId="1164F8AE">
            <w:pPr>
              <w:adjustRightInd w:val="0"/>
              <w:snapToGrid w:val="0"/>
              <w:ind w:left="-19" w:right="-132" w:rightChars="-63" w:hanging="88"/>
              <w:jc w:val="center"/>
              <w:rPr>
                <w:color w:val="auto"/>
                <w:spacing w:val="-2"/>
                <w:sz w:val="15"/>
                <w:szCs w:val="15"/>
              </w:rPr>
            </w:pPr>
          </w:p>
        </w:tc>
        <w:tc>
          <w:tcPr>
            <w:tcW w:w="570" w:type="dxa"/>
          </w:tcPr>
          <w:p w14:paraId="5BFDC32F">
            <w:pPr>
              <w:adjustRightInd w:val="0"/>
              <w:snapToGrid w:val="0"/>
              <w:ind w:left="-20" w:leftChars="-51" w:right="-132" w:rightChars="-63" w:hanging="87" w:hangingChars="60"/>
              <w:jc w:val="center"/>
              <w:rPr>
                <w:color w:val="auto"/>
                <w:spacing w:val="-2"/>
                <w:sz w:val="15"/>
                <w:szCs w:val="15"/>
              </w:rPr>
            </w:pPr>
          </w:p>
          <w:p w14:paraId="617B19A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2DBA2DB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387C5C7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0.2192</w:t>
            </w:r>
          </w:p>
          <w:p w14:paraId="20A0C57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0.2050</w:t>
            </w:r>
          </w:p>
          <w:p w14:paraId="4C97E30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0.1920</w:t>
            </w:r>
          </w:p>
          <w:p w14:paraId="54B757C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0.1803</w:t>
            </w:r>
          </w:p>
          <w:p w14:paraId="41231267">
            <w:pPr>
              <w:adjustRightInd w:val="0"/>
              <w:snapToGrid w:val="0"/>
              <w:ind w:left="-20" w:leftChars="-51" w:right="-132" w:rightChars="-63" w:hanging="87" w:hangingChars="60"/>
              <w:jc w:val="center"/>
              <w:rPr>
                <w:color w:val="auto"/>
                <w:spacing w:val="-2"/>
                <w:sz w:val="15"/>
                <w:szCs w:val="15"/>
              </w:rPr>
            </w:pPr>
          </w:p>
          <w:p w14:paraId="37DCCF2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0.1697</w:t>
            </w:r>
          </w:p>
          <w:p w14:paraId="3E8AA27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0.1603</w:t>
            </w:r>
          </w:p>
          <w:p w14:paraId="325F59A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0.1517</w:t>
            </w:r>
          </w:p>
          <w:p w14:paraId="59742C4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0.1441</w:t>
            </w:r>
          </w:p>
          <w:p w14:paraId="0697D25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0.1371</w:t>
            </w:r>
          </w:p>
          <w:p w14:paraId="4B11B46D">
            <w:pPr>
              <w:adjustRightInd w:val="0"/>
              <w:snapToGrid w:val="0"/>
              <w:ind w:left="-20" w:leftChars="-51" w:right="-132" w:rightChars="-63" w:hanging="87" w:hangingChars="60"/>
              <w:jc w:val="center"/>
              <w:rPr>
                <w:color w:val="auto"/>
                <w:spacing w:val="-2"/>
                <w:sz w:val="15"/>
                <w:szCs w:val="15"/>
              </w:rPr>
            </w:pPr>
          </w:p>
          <w:p w14:paraId="20C65E4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0.1223</w:t>
            </w:r>
          </w:p>
          <w:p w14:paraId="70EC346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0.1104</w:t>
            </w:r>
          </w:p>
          <w:p w14:paraId="0E0E965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0.0797</w:t>
            </w:r>
          </w:p>
          <w:p w14:paraId="4020AB4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0.0619</w:t>
            </w:r>
          </w:p>
          <w:p w14:paraId="1850A51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0.0462</w:t>
            </w:r>
          </w:p>
          <w:p w14:paraId="72905DFC">
            <w:pPr>
              <w:adjustRightInd w:val="0"/>
              <w:snapToGrid w:val="0"/>
              <w:ind w:left="-19" w:right="-132" w:rightChars="-63" w:hanging="88"/>
              <w:jc w:val="center"/>
              <w:rPr>
                <w:color w:val="auto"/>
                <w:spacing w:val="-2"/>
                <w:sz w:val="15"/>
                <w:szCs w:val="15"/>
              </w:rPr>
            </w:pPr>
          </w:p>
        </w:tc>
        <w:tc>
          <w:tcPr>
            <w:tcW w:w="569" w:type="dxa"/>
          </w:tcPr>
          <w:p w14:paraId="32A8E415">
            <w:pPr>
              <w:adjustRightInd w:val="0"/>
              <w:snapToGrid w:val="0"/>
              <w:ind w:left="-20" w:leftChars="-51" w:right="-132" w:rightChars="-63" w:hanging="87" w:hangingChars="60"/>
              <w:jc w:val="center"/>
              <w:rPr>
                <w:color w:val="auto"/>
                <w:spacing w:val="-2"/>
                <w:sz w:val="15"/>
                <w:szCs w:val="15"/>
              </w:rPr>
            </w:pPr>
          </w:p>
          <w:p w14:paraId="447A14C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3CC1D18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08CFA68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0.0291</w:t>
            </w:r>
          </w:p>
          <w:p w14:paraId="4D3F089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0.0402</w:t>
            </w:r>
          </w:p>
          <w:p w14:paraId="4BE323F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0.0487</w:t>
            </w:r>
          </w:p>
          <w:p w14:paraId="2DA52AE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0.0546</w:t>
            </w:r>
          </w:p>
          <w:p w14:paraId="642B8542">
            <w:pPr>
              <w:adjustRightInd w:val="0"/>
              <w:snapToGrid w:val="0"/>
              <w:ind w:left="-20" w:leftChars="-51" w:right="-132" w:rightChars="-63" w:hanging="87" w:hangingChars="60"/>
              <w:jc w:val="center"/>
              <w:rPr>
                <w:color w:val="auto"/>
                <w:spacing w:val="-2"/>
                <w:sz w:val="15"/>
                <w:szCs w:val="15"/>
              </w:rPr>
            </w:pPr>
          </w:p>
          <w:p w14:paraId="1E172EC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0.0586</w:t>
            </w:r>
          </w:p>
          <w:p w14:paraId="70D66EC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0.0612</w:t>
            </w:r>
          </w:p>
          <w:p w14:paraId="5AB72D0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0.0626</w:t>
            </w:r>
          </w:p>
          <w:p w14:paraId="4F7F411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0.0633</w:t>
            </w:r>
          </w:p>
          <w:p w14:paraId="0424FC1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0.0634</w:t>
            </w:r>
          </w:p>
          <w:p w14:paraId="47322B5B">
            <w:pPr>
              <w:adjustRightInd w:val="0"/>
              <w:snapToGrid w:val="0"/>
              <w:ind w:left="-20" w:leftChars="-51" w:right="-132" w:rightChars="-63" w:hanging="87" w:hangingChars="60"/>
              <w:jc w:val="center"/>
              <w:rPr>
                <w:color w:val="auto"/>
                <w:spacing w:val="-2"/>
                <w:sz w:val="15"/>
                <w:szCs w:val="15"/>
              </w:rPr>
            </w:pPr>
          </w:p>
          <w:p w14:paraId="0B4E72A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0.0623</w:t>
            </w:r>
          </w:p>
          <w:p w14:paraId="244F40D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0.0600</w:t>
            </w:r>
          </w:p>
          <w:p w14:paraId="3D7893D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0.0500</w:t>
            </w:r>
          </w:p>
          <w:p w14:paraId="1B00C2D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0.0414</w:t>
            </w:r>
          </w:p>
          <w:p w14:paraId="6FBC287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0.0325</w:t>
            </w:r>
          </w:p>
          <w:p w14:paraId="7741B8EE">
            <w:pPr>
              <w:adjustRightInd w:val="0"/>
              <w:snapToGrid w:val="0"/>
              <w:ind w:left="-19" w:right="-132" w:rightChars="-63" w:hanging="88"/>
              <w:jc w:val="center"/>
              <w:rPr>
                <w:color w:val="auto"/>
                <w:spacing w:val="-2"/>
                <w:sz w:val="15"/>
                <w:szCs w:val="15"/>
              </w:rPr>
            </w:pPr>
          </w:p>
        </w:tc>
        <w:tc>
          <w:tcPr>
            <w:tcW w:w="570" w:type="dxa"/>
          </w:tcPr>
          <w:p w14:paraId="119F1687">
            <w:pPr>
              <w:adjustRightInd w:val="0"/>
              <w:snapToGrid w:val="0"/>
              <w:ind w:left="-20" w:leftChars="-51" w:right="-132" w:rightChars="-63" w:hanging="87" w:hangingChars="60"/>
              <w:jc w:val="center"/>
              <w:rPr>
                <w:color w:val="auto"/>
                <w:spacing w:val="-2"/>
                <w:sz w:val="15"/>
                <w:szCs w:val="15"/>
              </w:rPr>
            </w:pPr>
          </w:p>
          <w:p w14:paraId="6C95E80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68BFE42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525D835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0.2192</w:t>
            </w:r>
          </w:p>
          <w:p w14:paraId="14D125C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0.2050</w:t>
            </w:r>
          </w:p>
          <w:p w14:paraId="6558A42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0.1920</w:t>
            </w:r>
          </w:p>
          <w:p w14:paraId="37CEE93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0.1803</w:t>
            </w:r>
          </w:p>
          <w:p w14:paraId="1C1EB529">
            <w:pPr>
              <w:adjustRightInd w:val="0"/>
              <w:snapToGrid w:val="0"/>
              <w:ind w:left="-20" w:leftChars="-51" w:right="-132" w:rightChars="-63" w:hanging="87" w:hangingChars="60"/>
              <w:jc w:val="center"/>
              <w:rPr>
                <w:color w:val="auto"/>
                <w:spacing w:val="-2"/>
                <w:sz w:val="15"/>
                <w:szCs w:val="15"/>
              </w:rPr>
            </w:pPr>
          </w:p>
          <w:p w14:paraId="088BBBE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0.1699</w:t>
            </w:r>
          </w:p>
          <w:p w14:paraId="237376C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0.1605</w:t>
            </w:r>
          </w:p>
          <w:p w14:paraId="65F0796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0.1521</w:t>
            </w:r>
          </w:p>
          <w:p w14:paraId="759093A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0.1445</w:t>
            </w:r>
          </w:p>
          <w:p w14:paraId="7995F31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0.1377</w:t>
            </w:r>
          </w:p>
          <w:p w14:paraId="21FBEBF7">
            <w:pPr>
              <w:adjustRightInd w:val="0"/>
              <w:snapToGrid w:val="0"/>
              <w:ind w:left="-20" w:leftChars="-51" w:right="-132" w:rightChars="-63" w:hanging="87" w:hangingChars="60"/>
              <w:jc w:val="center"/>
              <w:rPr>
                <w:color w:val="auto"/>
                <w:spacing w:val="-2"/>
                <w:sz w:val="15"/>
                <w:szCs w:val="15"/>
              </w:rPr>
            </w:pPr>
          </w:p>
          <w:p w14:paraId="12D5D87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0.1233</w:t>
            </w:r>
          </w:p>
          <w:p w14:paraId="51B07DB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0.1116</w:t>
            </w:r>
          </w:p>
          <w:p w14:paraId="1B4BEA5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0.0817</w:t>
            </w:r>
          </w:p>
          <w:p w14:paraId="5C2EA5E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0.0642</w:t>
            </w:r>
          </w:p>
          <w:p w14:paraId="1E7554B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0.0485</w:t>
            </w:r>
          </w:p>
          <w:p w14:paraId="1C666BAB">
            <w:pPr>
              <w:adjustRightInd w:val="0"/>
              <w:snapToGrid w:val="0"/>
              <w:ind w:left="-19" w:right="-132" w:rightChars="-63" w:hanging="88"/>
              <w:jc w:val="center"/>
              <w:rPr>
                <w:color w:val="auto"/>
                <w:spacing w:val="-2"/>
                <w:sz w:val="15"/>
                <w:szCs w:val="15"/>
              </w:rPr>
            </w:pPr>
          </w:p>
        </w:tc>
        <w:tc>
          <w:tcPr>
            <w:tcW w:w="569" w:type="dxa"/>
          </w:tcPr>
          <w:p w14:paraId="092D75EA">
            <w:pPr>
              <w:adjustRightInd w:val="0"/>
              <w:snapToGrid w:val="0"/>
              <w:ind w:left="-20" w:leftChars="-51" w:right="-132" w:rightChars="-63" w:hanging="87" w:hangingChars="60"/>
              <w:jc w:val="center"/>
              <w:rPr>
                <w:color w:val="auto"/>
                <w:spacing w:val="-2"/>
                <w:sz w:val="15"/>
                <w:szCs w:val="15"/>
              </w:rPr>
            </w:pPr>
          </w:p>
          <w:p w14:paraId="2CC0342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7E26B04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1AD3E44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0.0291</w:t>
            </w:r>
          </w:p>
          <w:p w14:paraId="459BA2B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0.0402</w:t>
            </w:r>
          </w:p>
          <w:p w14:paraId="3682677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0.0487</w:t>
            </w:r>
          </w:p>
          <w:p w14:paraId="71B2792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0.0546</w:t>
            </w:r>
          </w:p>
          <w:p w14:paraId="5A312A7F">
            <w:pPr>
              <w:adjustRightInd w:val="0"/>
              <w:snapToGrid w:val="0"/>
              <w:ind w:left="-20" w:leftChars="-51" w:right="-132" w:rightChars="-63" w:hanging="87" w:hangingChars="60"/>
              <w:jc w:val="center"/>
              <w:rPr>
                <w:color w:val="auto"/>
                <w:spacing w:val="-2"/>
                <w:sz w:val="15"/>
                <w:szCs w:val="15"/>
              </w:rPr>
            </w:pPr>
          </w:p>
          <w:p w14:paraId="0CEA8C8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0.0587</w:t>
            </w:r>
          </w:p>
          <w:p w14:paraId="2A38AE9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0.0613</w:t>
            </w:r>
          </w:p>
          <w:p w14:paraId="1FF21AB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0A51722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0.0635</w:t>
            </w:r>
          </w:p>
          <w:p w14:paraId="62FD61E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0.0637</w:t>
            </w:r>
          </w:p>
          <w:p w14:paraId="0646ADD5">
            <w:pPr>
              <w:adjustRightInd w:val="0"/>
              <w:snapToGrid w:val="0"/>
              <w:ind w:left="-20" w:leftChars="-51" w:right="-132" w:rightChars="-63" w:hanging="87" w:hangingChars="60"/>
              <w:jc w:val="center"/>
              <w:rPr>
                <w:color w:val="auto"/>
                <w:spacing w:val="-2"/>
                <w:sz w:val="15"/>
                <w:szCs w:val="15"/>
              </w:rPr>
            </w:pPr>
          </w:p>
          <w:p w14:paraId="338E97D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0.0627</w:t>
            </w:r>
          </w:p>
          <w:p w14:paraId="5B46121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0.0607</w:t>
            </w:r>
          </w:p>
          <w:p w14:paraId="75B7171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0.0515</w:t>
            </w:r>
          </w:p>
          <w:p w14:paraId="239AF1D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0.0435</w:t>
            </w:r>
          </w:p>
          <w:p w14:paraId="66F2383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0.0349</w:t>
            </w:r>
          </w:p>
          <w:p w14:paraId="3525422D">
            <w:pPr>
              <w:adjustRightInd w:val="0"/>
              <w:snapToGrid w:val="0"/>
              <w:ind w:left="-19" w:right="-132" w:rightChars="-63" w:hanging="88"/>
              <w:jc w:val="center"/>
              <w:rPr>
                <w:color w:val="auto"/>
                <w:spacing w:val="-2"/>
                <w:sz w:val="15"/>
                <w:szCs w:val="15"/>
              </w:rPr>
            </w:pPr>
          </w:p>
        </w:tc>
        <w:tc>
          <w:tcPr>
            <w:tcW w:w="570" w:type="dxa"/>
          </w:tcPr>
          <w:p w14:paraId="28FB3507">
            <w:pPr>
              <w:adjustRightInd w:val="0"/>
              <w:snapToGrid w:val="0"/>
              <w:ind w:left="-20" w:leftChars="-51" w:right="-132" w:rightChars="-63" w:hanging="87" w:hangingChars="60"/>
              <w:jc w:val="center"/>
              <w:rPr>
                <w:color w:val="auto"/>
                <w:spacing w:val="-2"/>
                <w:sz w:val="15"/>
                <w:szCs w:val="15"/>
              </w:rPr>
            </w:pPr>
          </w:p>
          <w:p w14:paraId="3A5625B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5379393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0DA4ABF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0.2192</w:t>
            </w:r>
          </w:p>
          <w:p w14:paraId="2A2B7BF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0.2050</w:t>
            </w:r>
          </w:p>
          <w:p w14:paraId="4B07C7E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0.1921</w:t>
            </w:r>
          </w:p>
          <w:p w14:paraId="0D2190B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0.1804</w:t>
            </w:r>
          </w:p>
          <w:p w14:paraId="74924E4C">
            <w:pPr>
              <w:adjustRightInd w:val="0"/>
              <w:snapToGrid w:val="0"/>
              <w:ind w:left="-20" w:leftChars="-51" w:right="-132" w:rightChars="-63" w:hanging="87" w:hangingChars="60"/>
              <w:jc w:val="center"/>
              <w:rPr>
                <w:color w:val="auto"/>
                <w:spacing w:val="-2"/>
                <w:sz w:val="15"/>
                <w:szCs w:val="15"/>
              </w:rPr>
            </w:pPr>
          </w:p>
          <w:p w14:paraId="514AB9A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0.1700</w:t>
            </w:r>
          </w:p>
          <w:p w14:paraId="665FE58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0.1606</w:t>
            </w:r>
          </w:p>
          <w:p w14:paraId="45244A7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0.1523</w:t>
            </w:r>
          </w:p>
          <w:p w14:paraId="10A4176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0.1447</w:t>
            </w:r>
          </w:p>
          <w:p w14:paraId="2598727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0.1380</w:t>
            </w:r>
          </w:p>
          <w:p w14:paraId="62DEDBBF">
            <w:pPr>
              <w:adjustRightInd w:val="0"/>
              <w:snapToGrid w:val="0"/>
              <w:ind w:left="-20" w:leftChars="-51" w:right="-132" w:rightChars="-63" w:hanging="87" w:hangingChars="60"/>
              <w:jc w:val="center"/>
              <w:rPr>
                <w:color w:val="auto"/>
                <w:spacing w:val="-2"/>
                <w:sz w:val="15"/>
                <w:szCs w:val="15"/>
              </w:rPr>
            </w:pPr>
          </w:p>
          <w:p w14:paraId="3563BB8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0.1237</w:t>
            </w:r>
          </w:p>
          <w:p w14:paraId="4B447ED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0.1123</w:t>
            </w:r>
          </w:p>
          <w:p w14:paraId="144889B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0.0833</w:t>
            </w:r>
          </w:p>
          <w:p w14:paraId="2BBE443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0.0663</w:t>
            </w:r>
          </w:p>
          <w:p w14:paraId="6D7D8784">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0.0509</w:t>
            </w:r>
          </w:p>
          <w:p w14:paraId="3F90CE8A">
            <w:pPr>
              <w:adjustRightInd w:val="0"/>
              <w:snapToGrid w:val="0"/>
              <w:ind w:left="-19" w:right="-132" w:rightChars="-63" w:hanging="88"/>
              <w:jc w:val="center"/>
              <w:rPr>
                <w:color w:val="auto"/>
                <w:spacing w:val="-2"/>
                <w:sz w:val="15"/>
                <w:szCs w:val="15"/>
              </w:rPr>
            </w:pPr>
          </w:p>
        </w:tc>
        <w:tc>
          <w:tcPr>
            <w:tcW w:w="569" w:type="dxa"/>
          </w:tcPr>
          <w:p w14:paraId="023D7914">
            <w:pPr>
              <w:adjustRightInd w:val="0"/>
              <w:snapToGrid w:val="0"/>
              <w:ind w:left="-20" w:leftChars="-51" w:right="-132" w:rightChars="-63" w:hanging="87" w:hangingChars="60"/>
              <w:jc w:val="center"/>
              <w:rPr>
                <w:color w:val="auto"/>
                <w:spacing w:val="-2"/>
                <w:sz w:val="15"/>
                <w:szCs w:val="15"/>
              </w:rPr>
            </w:pPr>
          </w:p>
          <w:p w14:paraId="1BA869E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5046394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1CC208B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0.0291</w:t>
            </w:r>
          </w:p>
          <w:p w14:paraId="1705607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0.0402</w:t>
            </w:r>
          </w:p>
          <w:p w14:paraId="6BD083D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0.0487</w:t>
            </w:r>
          </w:p>
          <w:p w14:paraId="4CDA28F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0.0546</w:t>
            </w:r>
          </w:p>
          <w:p w14:paraId="66D70377">
            <w:pPr>
              <w:adjustRightInd w:val="0"/>
              <w:snapToGrid w:val="0"/>
              <w:ind w:left="-20" w:leftChars="-51" w:right="-132" w:rightChars="-63" w:hanging="87" w:hangingChars="60"/>
              <w:jc w:val="center"/>
              <w:rPr>
                <w:color w:val="auto"/>
                <w:spacing w:val="-2"/>
                <w:sz w:val="15"/>
                <w:szCs w:val="15"/>
              </w:rPr>
            </w:pPr>
          </w:p>
          <w:p w14:paraId="4E6146C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0.0587</w:t>
            </w:r>
          </w:p>
          <w:p w14:paraId="34C4A431">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0.0613</w:t>
            </w:r>
          </w:p>
          <w:p w14:paraId="1B9411D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27FBB7B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0.0635</w:t>
            </w:r>
          </w:p>
          <w:p w14:paraId="176A6E0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0.0638</w:t>
            </w:r>
          </w:p>
          <w:p w14:paraId="277BA145">
            <w:pPr>
              <w:adjustRightInd w:val="0"/>
              <w:snapToGrid w:val="0"/>
              <w:ind w:left="-20" w:leftChars="-51" w:right="-132" w:rightChars="-63" w:hanging="87" w:hangingChars="60"/>
              <w:jc w:val="center"/>
              <w:rPr>
                <w:color w:val="auto"/>
                <w:spacing w:val="-2"/>
                <w:sz w:val="15"/>
                <w:szCs w:val="15"/>
              </w:rPr>
            </w:pPr>
          </w:p>
          <w:p w14:paraId="76E24EC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5BCEA08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0.0609</w:t>
            </w:r>
          </w:p>
          <w:p w14:paraId="3AF3E9A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0.0519</w:t>
            </w:r>
          </w:p>
          <w:p w14:paraId="4C5413F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0.0442</w:t>
            </w:r>
          </w:p>
          <w:p w14:paraId="504586D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0.0359</w:t>
            </w:r>
          </w:p>
          <w:p w14:paraId="7B79E91C">
            <w:pPr>
              <w:adjustRightInd w:val="0"/>
              <w:snapToGrid w:val="0"/>
              <w:ind w:left="-19" w:right="-132" w:rightChars="-63" w:hanging="88"/>
              <w:jc w:val="center"/>
              <w:rPr>
                <w:color w:val="auto"/>
                <w:spacing w:val="-2"/>
                <w:sz w:val="15"/>
                <w:szCs w:val="15"/>
              </w:rPr>
            </w:pPr>
          </w:p>
        </w:tc>
        <w:tc>
          <w:tcPr>
            <w:tcW w:w="573" w:type="dxa"/>
          </w:tcPr>
          <w:p w14:paraId="6C9FB2C5">
            <w:pPr>
              <w:adjustRightInd w:val="0"/>
              <w:snapToGrid w:val="0"/>
              <w:ind w:left="-20" w:leftChars="-51" w:right="-132" w:rightChars="-63" w:hanging="87" w:hangingChars="60"/>
              <w:jc w:val="center"/>
              <w:rPr>
                <w:color w:val="auto"/>
                <w:spacing w:val="-2"/>
                <w:sz w:val="15"/>
                <w:szCs w:val="15"/>
              </w:rPr>
            </w:pPr>
          </w:p>
          <w:p w14:paraId="19D3CD4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7BC2ADF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2EB3C04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0.2192</w:t>
            </w:r>
          </w:p>
          <w:p w14:paraId="7A8630A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0.2050</w:t>
            </w:r>
          </w:p>
          <w:p w14:paraId="4E64A6D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0.1921</w:t>
            </w:r>
          </w:p>
          <w:p w14:paraId="31790C4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0.1804</w:t>
            </w:r>
          </w:p>
          <w:p w14:paraId="5B25845D">
            <w:pPr>
              <w:adjustRightInd w:val="0"/>
              <w:snapToGrid w:val="0"/>
              <w:ind w:left="-20" w:leftChars="-51" w:right="-132" w:rightChars="-63" w:hanging="87" w:hangingChars="60"/>
              <w:jc w:val="center"/>
              <w:rPr>
                <w:color w:val="auto"/>
                <w:spacing w:val="-2"/>
                <w:sz w:val="15"/>
                <w:szCs w:val="15"/>
              </w:rPr>
            </w:pPr>
          </w:p>
          <w:p w14:paraId="170386A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0.1700</w:t>
            </w:r>
          </w:p>
          <w:p w14:paraId="1EBA213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0.1606</w:t>
            </w:r>
          </w:p>
          <w:p w14:paraId="65D5FC0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0.1523</w:t>
            </w:r>
          </w:p>
          <w:p w14:paraId="502338D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0.1448</w:t>
            </w:r>
          </w:p>
          <w:p w14:paraId="77F4BD4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0.1380</w:t>
            </w:r>
          </w:p>
          <w:p w14:paraId="4525DFCB">
            <w:pPr>
              <w:adjustRightInd w:val="0"/>
              <w:snapToGrid w:val="0"/>
              <w:ind w:left="-20" w:leftChars="-51" w:right="-132" w:rightChars="-63" w:hanging="87" w:hangingChars="60"/>
              <w:jc w:val="center"/>
              <w:rPr>
                <w:color w:val="auto"/>
                <w:spacing w:val="-2"/>
                <w:sz w:val="15"/>
                <w:szCs w:val="15"/>
              </w:rPr>
            </w:pPr>
          </w:p>
          <w:p w14:paraId="5EB5C1F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0.1238</w:t>
            </w:r>
          </w:p>
          <w:p w14:paraId="3A02419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0.1124</w:t>
            </w:r>
          </w:p>
          <w:p w14:paraId="07AE65D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0.0837</w:t>
            </w:r>
          </w:p>
          <w:p w14:paraId="19AB4CC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0.0671</w:t>
            </w:r>
          </w:p>
          <w:p w14:paraId="007FC983">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0.0520</w:t>
            </w:r>
          </w:p>
          <w:p w14:paraId="50EBCA73">
            <w:pPr>
              <w:adjustRightInd w:val="0"/>
              <w:snapToGrid w:val="0"/>
              <w:ind w:left="-19" w:right="-132" w:rightChars="-63" w:hanging="88"/>
              <w:jc w:val="center"/>
              <w:rPr>
                <w:color w:val="auto"/>
                <w:spacing w:val="-2"/>
                <w:sz w:val="15"/>
                <w:szCs w:val="15"/>
              </w:rPr>
            </w:pPr>
          </w:p>
        </w:tc>
        <w:tc>
          <w:tcPr>
            <w:tcW w:w="573" w:type="dxa"/>
          </w:tcPr>
          <w:p w14:paraId="283F530B">
            <w:pPr>
              <w:adjustRightInd w:val="0"/>
              <w:snapToGrid w:val="0"/>
              <w:ind w:left="-20" w:leftChars="-51" w:right="-132" w:rightChars="-63" w:hanging="87" w:hangingChars="60"/>
              <w:jc w:val="center"/>
              <w:rPr>
                <w:color w:val="auto"/>
                <w:spacing w:val="-2"/>
                <w:sz w:val="15"/>
                <w:szCs w:val="15"/>
              </w:rPr>
            </w:pPr>
          </w:p>
          <w:p w14:paraId="4C4C0DB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0.0000</w:t>
            </w:r>
          </w:p>
          <w:p w14:paraId="3EF9D1B9">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0.0153</w:t>
            </w:r>
          </w:p>
          <w:p w14:paraId="4AE5E32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0.0291</w:t>
            </w:r>
          </w:p>
          <w:p w14:paraId="14B5AFF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0.0402</w:t>
            </w:r>
          </w:p>
          <w:p w14:paraId="4CBB459D">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0.0487</w:t>
            </w:r>
          </w:p>
          <w:p w14:paraId="2C9A7C8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0.0546</w:t>
            </w:r>
          </w:p>
          <w:p w14:paraId="32F7244B">
            <w:pPr>
              <w:adjustRightInd w:val="0"/>
              <w:snapToGrid w:val="0"/>
              <w:ind w:left="-20" w:leftChars="-51" w:right="-132" w:rightChars="-63" w:hanging="87" w:hangingChars="60"/>
              <w:jc w:val="center"/>
              <w:rPr>
                <w:color w:val="auto"/>
                <w:spacing w:val="-2"/>
                <w:sz w:val="15"/>
                <w:szCs w:val="15"/>
              </w:rPr>
            </w:pPr>
          </w:p>
          <w:p w14:paraId="025DF02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0.0587</w:t>
            </w:r>
          </w:p>
          <w:p w14:paraId="701A93C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0.0613</w:t>
            </w:r>
          </w:p>
          <w:p w14:paraId="2065E64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4928893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0.0635</w:t>
            </w:r>
          </w:p>
          <w:p w14:paraId="27A5D8B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0.0638</w:t>
            </w:r>
          </w:p>
          <w:p w14:paraId="6E6C0380">
            <w:pPr>
              <w:adjustRightInd w:val="0"/>
              <w:snapToGrid w:val="0"/>
              <w:ind w:left="-20" w:leftChars="-51" w:right="-132" w:rightChars="-63" w:hanging="87" w:hangingChars="60"/>
              <w:jc w:val="center"/>
              <w:rPr>
                <w:color w:val="auto"/>
                <w:spacing w:val="-2"/>
                <w:sz w:val="15"/>
                <w:szCs w:val="15"/>
              </w:rPr>
            </w:pPr>
          </w:p>
          <w:p w14:paraId="51DD370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0.0628</w:t>
            </w:r>
          </w:p>
          <w:p w14:paraId="5B2BF33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0.0609</w:t>
            </w:r>
          </w:p>
          <w:p w14:paraId="57CBE3D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0.0521</w:t>
            </w:r>
          </w:p>
          <w:p w14:paraId="6A5E777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0.0445</w:t>
            </w:r>
          </w:p>
          <w:p w14:paraId="51F2D6F7">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0.0364</w:t>
            </w:r>
          </w:p>
          <w:p w14:paraId="5A1EFB11">
            <w:pPr>
              <w:adjustRightInd w:val="0"/>
              <w:snapToGrid w:val="0"/>
              <w:ind w:left="-19" w:right="-132" w:rightChars="-63" w:hanging="88"/>
              <w:jc w:val="center"/>
              <w:rPr>
                <w:color w:val="auto"/>
                <w:spacing w:val="-2"/>
                <w:sz w:val="15"/>
                <w:szCs w:val="15"/>
              </w:rPr>
            </w:pPr>
          </w:p>
        </w:tc>
        <w:tc>
          <w:tcPr>
            <w:tcW w:w="570" w:type="dxa"/>
          </w:tcPr>
          <w:p w14:paraId="3C78DD00">
            <w:pPr>
              <w:adjustRightInd w:val="0"/>
              <w:snapToGrid w:val="0"/>
              <w:ind w:left="-20" w:leftChars="-51" w:right="-132" w:rightChars="-63" w:hanging="87" w:hangingChars="60"/>
              <w:jc w:val="center"/>
              <w:rPr>
                <w:color w:val="auto"/>
                <w:spacing w:val="-2"/>
                <w:sz w:val="15"/>
                <w:szCs w:val="15"/>
              </w:rPr>
            </w:pPr>
          </w:p>
          <w:p w14:paraId="2154059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0.2500</w:t>
            </w:r>
          </w:p>
          <w:p w14:paraId="4FDF005F">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0.2343</w:t>
            </w:r>
          </w:p>
          <w:p w14:paraId="37D8A09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0.2192</w:t>
            </w:r>
          </w:p>
          <w:p w14:paraId="4095D86A">
            <w:pPr>
              <w:adjustRightInd w:val="0"/>
              <w:snapToGrid w:val="0"/>
              <w:ind w:left="-20" w:leftChars="-51" w:right="-132" w:rightChars="-63" w:hanging="87" w:hangingChars="60"/>
              <w:jc w:val="center"/>
              <w:rPr>
                <w:color w:val="auto"/>
                <w:spacing w:val="-2"/>
                <w:sz w:val="15"/>
                <w:szCs w:val="15"/>
              </w:rPr>
            </w:pPr>
            <w:r>
              <w:rPr>
                <w:color w:val="auto"/>
                <w:spacing w:val="-2"/>
                <w:sz w:val="15"/>
                <w:szCs w:val="15"/>
              </w:rPr>
              <w:t>0.2050</w:t>
            </w:r>
          </w:p>
          <w:p w14:paraId="5B80652C">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0.1921</w:t>
            </w:r>
          </w:p>
          <w:p w14:paraId="5CE89EDB">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0.1804</w:t>
            </w:r>
          </w:p>
          <w:p w14:paraId="32C300A4">
            <w:pPr>
              <w:adjustRightInd w:val="0"/>
              <w:snapToGrid w:val="0"/>
              <w:ind w:left="-20" w:leftChars="-51" w:right="-132" w:rightChars="-63" w:hanging="87" w:hangingChars="60"/>
              <w:jc w:val="center"/>
              <w:rPr>
                <w:color w:val="auto"/>
                <w:spacing w:val="-2"/>
                <w:sz w:val="15"/>
                <w:szCs w:val="15"/>
              </w:rPr>
            </w:pPr>
          </w:p>
          <w:p w14:paraId="1236789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0.1700</w:t>
            </w:r>
          </w:p>
          <w:p w14:paraId="645620B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0.1606</w:t>
            </w:r>
          </w:p>
          <w:p w14:paraId="1376621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0.1523</w:t>
            </w:r>
          </w:p>
          <w:p w14:paraId="2E972436">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0.1448</w:t>
            </w:r>
          </w:p>
          <w:p w14:paraId="73912748">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0.1380</w:t>
            </w:r>
          </w:p>
          <w:p w14:paraId="38C8D6ED">
            <w:pPr>
              <w:adjustRightInd w:val="0"/>
              <w:snapToGrid w:val="0"/>
              <w:ind w:left="-20" w:leftChars="-51" w:right="-132" w:rightChars="-63" w:hanging="87" w:hangingChars="60"/>
              <w:jc w:val="center"/>
              <w:rPr>
                <w:color w:val="auto"/>
                <w:spacing w:val="-2"/>
                <w:sz w:val="15"/>
                <w:szCs w:val="15"/>
              </w:rPr>
            </w:pPr>
          </w:p>
          <w:p w14:paraId="7D07B11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0.1239</w:t>
            </w:r>
          </w:p>
          <w:p w14:paraId="48F8A955">
            <w:pPr>
              <w:adjustRightInd w:val="0"/>
              <w:snapToGrid w:val="0"/>
              <w:ind w:left="-20" w:leftChars="-51" w:right="-132" w:rightChars="-63" w:hanging="87" w:hangingChars="60"/>
              <w:jc w:val="center"/>
              <w:rPr>
                <w:color w:val="auto"/>
                <w:spacing w:val="-2"/>
                <w:sz w:val="15"/>
                <w:szCs w:val="15"/>
              </w:rPr>
            </w:pPr>
            <w:r>
              <w:rPr>
                <w:color w:val="auto"/>
                <w:spacing w:val="-2"/>
                <w:sz w:val="15"/>
                <w:szCs w:val="15"/>
              </w:rPr>
              <w:t>0.1125</w:t>
            </w:r>
          </w:p>
          <w:p w14:paraId="1B9E4E32">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0.0839</w:t>
            </w:r>
          </w:p>
          <w:p w14:paraId="7C762980">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0.0674</w:t>
            </w:r>
          </w:p>
          <w:p w14:paraId="721660CE">
            <w:pPr>
              <w:adjustRightInd w:val="0"/>
              <w:snapToGrid w:val="0"/>
              <w:ind w:left="-20" w:leftChars="-51" w:right="-132" w:rightChars="-63" w:hanging="87" w:hangingChars="60"/>
              <w:jc w:val="center"/>
              <w:rPr>
                <w:color w:val="auto"/>
                <w:spacing w:val="-2"/>
                <w:sz w:val="15"/>
                <w:szCs w:val="15"/>
              </w:rPr>
            </w:pPr>
            <w:r>
              <w:rPr>
                <w:color w:val="auto"/>
                <w:spacing w:val="-2"/>
                <w:sz w:val="15"/>
                <w:szCs w:val="15"/>
              </w:rPr>
              <w:t>0.0526</w:t>
            </w:r>
          </w:p>
          <w:p w14:paraId="3D96C9D6">
            <w:pPr>
              <w:adjustRightInd w:val="0"/>
              <w:snapToGrid w:val="0"/>
              <w:ind w:left="-19" w:right="-132" w:rightChars="-63" w:hanging="88"/>
              <w:jc w:val="center"/>
              <w:rPr>
                <w:color w:val="auto"/>
                <w:spacing w:val="-2"/>
                <w:sz w:val="15"/>
                <w:szCs w:val="15"/>
              </w:rPr>
            </w:pPr>
          </w:p>
        </w:tc>
        <w:tc>
          <w:tcPr>
            <w:tcW w:w="616" w:type="dxa"/>
            <w:vAlign w:val="center"/>
          </w:tcPr>
          <w:p w14:paraId="46271C2A">
            <w:pPr>
              <w:adjustRightInd w:val="0"/>
              <w:snapToGrid w:val="0"/>
              <w:jc w:val="center"/>
              <w:rPr>
                <w:color w:val="auto"/>
                <w:sz w:val="15"/>
                <w:szCs w:val="13"/>
              </w:rPr>
            </w:pPr>
          </w:p>
          <w:p w14:paraId="17BADD99">
            <w:pPr>
              <w:adjustRightInd w:val="0"/>
              <w:snapToGrid w:val="0"/>
              <w:jc w:val="center"/>
              <w:rPr>
                <w:color w:val="auto"/>
                <w:sz w:val="15"/>
                <w:szCs w:val="13"/>
              </w:rPr>
            </w:pPr>
            <w:r>
              <w:rPr>
                <w:color w:val="auto"/>
                <w:sz w:val="15"/>
                <w:szCs w:val="13"/>
              </w:rPr>
              <w:t>0.0</w:t>
            </w:r>
          </w:p>
          <w:p w14:paraId="3AF5A968">
            <w:pPr>
              <w:adjustRightInd w:val="0"/>
              <w:snapToGrid w:val="0"/>
              <w:jc w:val="center"/>
              <w:rPr>
                <w:color w:val="auto"/>
                <w:sz w:val="15"/>
                <w:szCs w:val="13"/>
              </w:rPr>
            </w:pPr>
            <w:r>
              <w:rPr>
                <w:color w:val="auto"/>
                <w:sz w:val="15"/>
                <w:szCs w:val="13"/>
              </w:rPr>
              <w:t>0.2</w:t>
            </w:r>
          </w:p>
          <w:p w14:paraId="439C3FD0">
            <w:pPr>
              <w:adjustRightInd w:val="0"/>
              <w:snapToGrid w:val="0"/>
              <w:jc w:val="center"/>
              <w:rPr>
                <w:color w:val="auto"/>
                <w:sz w:val="15"/>
                <w:szCs w:val="13"/>
              </w:rPr>
            </w:pPr>
            <w:r>
              <w:rPr>
                <w:color w:val="auto"/>
                <w:sz w:val="15"/>
                <w:szCs w:val="13"/>
              </w:rPr>
              <w:t>0.4</w:t>
            </w:r>
          </w:p>
          <w:p w14:paraId="08638E8C">
            <w:pPr>
              <w:adjustRightInd w:val="0"/>
              <w:snapToGrid w:val="0"/>
              <w:jc w:val="center"/>
              <w:rPr>
                <w:color w:val="auto"/>
                <w:sz w:val="15"/>
                <w:szCs w:val="13"/>
              </w:rPr>
            </w:pPr>
            <w:r>
              <w:rPr>
                <w:color w:val="auto"/>
                <w:sz w:val="15"/>
                <w:szCs w:val="13"/>
              </w:rPr>
              <w:t>0.6</w:t>
            </w:r>
          </w:p>
          <w:p w14:paraId="5A709D35">
            <w:pPr>
              <w:adjustRightInd w:val="0"/>
              <w:snapToGrid w:val="0"/>
              <w:jc w:val="center"/>
              <w:rPr>
                <w:color w:val="auto"/>
                <w:sz w:val="15"/>
                <w:szCs w:val="13"/>
              </w:rPr>
            </w:pPr>
            <w:r>
              <w:rPr>
                <w:color w:val="auto"/>
                <w:sz w:val="15"/>
                <w:szCs w:val="13"/>
              </w:rPr>
              <w:t>0.8</w:t>
            </w:r>
          </w:p>
          <w:p w14:paraId="465A114E">
            <w:pPr>
              <w:adjustRightInd w:val="0"/>
              <w:snapToGrid w:val="0"/>
              <w:jc w:val="center"/>
              <w:rPr>
                <w:color w:val="auto"/>
                <w:sz w:val="15"/>
                <w:szCs w:val="13"/>
              </w:rPr>
            </w:pPr>
            <w:r>
              <w:rPr>
                <w:color w:val="auto"/>
                <w:sz w:val="15"/>
                <w:szCs w:val="13"/>
              </w:rPr>
              <w:t>1.0</w:t>
            </w:r>
          </w:p>
          <w:p w14:paraId="5CE27678">
            <w:pPr>
              <w:adjustRightInd w:val="0"/>
              <w:snapToGrid w:val="0"/>
              <w:jc w:val="center"/>
              <w:rPr>
                <w:color w:val="auto"/>
                <w:sz w:val="15"/>
                <w:szCs w:val="13"/>
              </w:rPr>
            </w:pPr>
          </w:p>
          <w:p w14:paraId="4D450A2C">
            <w:pPr>
              <w:adjustRightInd w:val="0"/>
              <w:snapToGrid w:val="0"/>
              <w:jc w:val="center"/>
              <w:rPr>
                <w:color w:val="auto"/>
                <w:sz w:val="15"/>
                <w:szCs w:val="13"/>
              </w:rPr>
            </w:pPr>
            <w:r>
              <w:rPr>
                <w:color w:val="auto"/>
                <w:sz w:val="15"/>
                <w:szCs w:val="13"/>
              </w:rPr>
              <w:t>1.2</w:t>
            </w:r>
          </w:p>
          <w:p w14:paraId="398C311B">
            <w:pPr>
              <w:adjustRightInd w:val="0"/>
              <w:snapToGrid w:val="0"/>
              <w:jc w:val="center"/>
              <w:rPr>
                <w:color w:val="auto"/>
                <w:sz w:val="15"/>
                <w:szCs w:val="13"/>
              </w:rPr>
            </w:pPr>
            <w:r>
              <w:rPr>
                <w:color w:val="auto"/>
                <w:sz w:val="15"/>
                <w:szCs w:val="13"/>
              </w:rPr>
              <w:t>1.4</w:t>
            </w:r>
          </w:p>
          <w:p w14:paraId="2A6F2638">
            <w:pPr>
              <w:adjustRightInd w:val="0"/>
              <w:snapToGrid w:val="0"/>
              <w:jc w:val="center"/>
              <w:rPr>
                <w:color w:val="auto"/>
                <w:sz w:val="15"/>
                <w:szCs w:val="13"/>
              </w:rPr>
            </w:pPr>
            <w:r>
              <w:rPr>
                <w:color w:val="auto"/>
                <w:sz w:val="15"/>
                <w:szCs w:val="13"/>
              </w:rPr>
              <w:t>1.6</w:t>
            </w:r>
          </w:p>
          <w:p w14:paraId="3D227900">
            <w:pPr>
              <w:adjustRightInd w:val="0"/>
              <w:snapToGrid w:val="0"/>
              <w:jc w:val="center"/>
              <w:rPr>
                <w:color w:val="auto"/>
                <w:sz w:val="15"/>
                <w:szCs w:val="13"/>
              </w:rPr>
            </w:pPr>
            <w:r>
              <w:rPr>
                <w:color w:val="auto"/>
                <w:sz w:val="15"/>
                <w:szCs w:val="13"/>
              </w:rPr>
              <w:t>1.8</w:t>
            </w:r>
          </w:p>
          <w:p w14:paraId="5D4DE674">
            <w:pPr>
              <w:adjustRightInd w:val="0"/>
              <w:snapToGrid w:val="0"/>
              <w:jc w:val="center"/>
              <w:rPr>
                <w:color w:val="auto"/>
                <w:sz w:val="15"/>
                <w:szCs w:val="13"/>
              </w:rPr>
            </w:pPr>
            <w:r>
              <w:rPr>
                <w:color w:val="auto"/>
                <w:sz w:val="15"/>
                <w:szCs w:val="13"/>
              </w:rPr>
              <w:t>2.0</w:t>
            </w:r>
          </w:p>
          <w:p w14:paraId="0BB7D504">
            <w:pPr>
              <w:adjustRightInd w:val="0"/>
              <w:snapToGrid w:val="0"/>
              <w:jc w:val="center"/>
              <w:rPr>
                <w:color w:val="auto"/>
                <w:sz w:val="15"/>
                <w:szCs w:val="13"/>
              </w:rPr>
            </w:pPr>
          </w:p>
          <w:p w14:paraId="280F2D24">
            <w:pPr>
              <w:adjustRightInd w:val="0"/>
              <w:snapToGrid w:val="0"/>
              <w:jc w:val="center"/>
              <w:rPr>
                <w:color w:val="auto"/>
                <w:sz w:val="15"/>
                <w:szCs w:val="13"/>
              </w:rPr>
            </w:pPr>
            <w:r>
              <w:rPr>
                <w:color w:val="auto"/>
                <w:sz w:val="15"/>
                <w:szCs w:val="13"/>
              </w:rPr>
              <w:t>2.5</w:t>
            </w:r>
          </w:p>
          <w:p w14:paraId="7F68DC1C">
            <w:pPr>
              <w:adjustRightInd w:val="0"/>
              <w:snapToGrid w:val="0"/>
              <w:jc w:val="center"/>
              <w:rPr>
                <w:color w:val="auto"/>
                <w:sz w:val="15"/>
                <w:szCs w:val="13"/>
              </w:rPr>
            </w:pPr>
            <w:r>
              <w:rPr>
                <w:color w:val="auto"/>
                <w:sz w:val="15"/>
                <w:szCs w:val="13"/>
              </w:rPr>
              <w:t>3.0</w:t>
            </w:r>
          </w:p>
          <w:p w14:paraId="21679636">
            <w:pPr>
              <w:adjustRightInd w:val="0"/>
              <w:snapToGrid w:val="0"/>
              <w:jc w:val="center"/>
              <w:rPr>
                <w:color w:val="auto"/>
                <w:sz w:val="15"/>
                <w:szCs w:val="13"/>
              </w:rPr>
            </w:pPr>
            <w:r>
              <w:rPr>
                <w:color w:val="auto"/>
                <w:sz w:val="15"/>
                <w:szCs w:val="13"/>
              </w:rPr>
              <w:t>5.0</w:t>
            </w:r>
          </w:p>
          <w:p w14:paraId="7BF77336">
            <w:pPr>
              <w:adjustRightInd w:val="0"/>
              <w:snapToGrid w:val="0"/>
              <w:jc w:val="center"/>
              <w:rPr>
                <w:color w:val="auto"/>
                <w:sz w:val="15"/>
                <w:szCs w:val="13"/>
              </w:rPr>
            </w:pPr>
            <w:r>
              <w:rPr>
                <w:color w:val="auto"/>
                <w:sz w:val="15"/>
                <w:szCs w:val="13"/>
              </w:rPr>
              <w:t>7.0</w:t>
            </w:r>
          </w:p>
          <w:p w14:paraId="7BCBBEEE">
            <w:pPr>
              <w:adjustRightInd w:val="0"/>
              <w:snapToGrid w:val="0"/>
              <w:jc w:val="center"/>
              <w:rPr>
                <w:color w:val="auto"/>
                <w:sz w:val="15"/>
                <w:szCs w:val="13"/>
              </w:rPr>
            </w:pPr>
            <w:r>
              <w:rPr>
                <w:color w:val="auto"/>
                <w:sz w:val="15"/>
                <w:szCs w:val="13"/>
              </w:rPr>
              <w:t>10.0</w:t>
            </w:r>
          </w:p>
          <w:p w14:paraId="0A8C8657">
            <w:pPr>
              <w:adjustRightInd w:val="0"/>
              <w:snapToGrid w:val="0"/>
              <w:rPr>
                <w:color w:val="auto"/>
                <w:sz w:val="15"/>
                <w:szCs w:val="13"/>
              </w:rPr>
            </w:pPr>
            <w:r>
              <w:rPr>
                <w:color w:val="auto"/>
                <w:sz w:val="15"/>
                <w:szCs w:val="13"/>
              </w:rPr>
              <w:t xml:space="preserve">  </w:t>
            </w:r>
          </w:p>
        </w:tc>
      </w:tr>
    </w:tbl>
    <w:p w14:paraId="6FF428C3">
      <w:pPr>
        <w:rPr>
          <w:color w:val="auto"/>
          <w:sz w:val="15"/>
          <w:szCs w:val="15"/>
        </w:rPr>
      </w:pPr>
    </w:p>
    <w:p w14:paraId="3C6970EA">
      <w:pPr>
        <w:adjustRightInd w:val="0"/>
        <w:snapToGrid w:val="0"/>
        <w:spacing w:line="400" w:lineRule="atLeast"/>
        <w:jc w:val="center"/>
        <w:outlineLvl w:val="0"/>
        <w:rPr>
          <w:rFonts w:eastAsia="黑体"/>
          <w:b/>
          <w:color w:val="auto"/>
          <w:spacing w:val="8"/>
          <w:sz w:val="24"/>
        </w:rPr>
      </w:pPr>
      <w:r>
        <w:rPr>
          <w:rFonts w:eastAsia="黑体"/>
          <w:b/>
          <w:color w:val="auto"/>
          <w:spacing w:val="8"/>
          <w:sz w:val="24"/>
        </w:rPr>
        <w:br w:type="page"/>
      </w:r>
      <w:bookmarkStart w:id="134" w:name="_Toc199943673"/>
      <w:r>
        <w:rPr>
          <w:rFonts w:eastAsia="黑体"/>
          <w:b/>
          <w:color w:val="auto"/>
          <w:spacing w:val="8"/>
          <w:sz w:val="24"/>
        </w:rPr>
        <w:t>附录</w:t>
      </w:r>
      <w:r>
        <w:rPr>
          <w:rFonts w:hint="eastAsia" w:eastAsia="黑体"/>
          <w:b/>
          <w:color w:val="auto"/>
          <w:spacing w:val="8"/>
          <w:sz w:val="24"/>
        </w:rPr>
        <w:t>H</w:t>
      </w:r>
      <w:bookmarkEnd w:id="134"/>
    </w:p>
    <w:p w14:paraId="3FE71112">
      <w:pPr>
        <w:adjustRightInd w:val="0"/>
        <w:snapToGrid w:val="0"/>
        <w:spacing w:line="400" w:lineRule="atLeast"/>
        <w:jc w:val="center"/>
        <w:outlineLvl w:val="0"/>
        <w:rPr>
          <w:rFonts w:eastAsia="黑体"/>
          <w:b/>
          <w:color w:val="auto"/>
          <w:spacing w:val="8"/>
          <w:sz w:val="24"/>
        </w:rPr>
      </w:pPr>
      <w:bookmarkStart w:id="135" w:name="_Toc199943674"/>
      <w:r>
        <w:rPr>
          <w:rFonts w:eastAsia="黑体"/>
          <w:b/>
          <w:color w:val="auto"/>
          <w:spacing w:val="8"/>
          <w:sz w:val="24"/>
        </w:rPr>
        <w:t>（规范性）</w:t>
      </w:r>
      <w:bookmarkEnd w:id="135"/>
    </w:p>
    <w:p w14:paraId="2A055C06">
      <w:pPr>
        <w:adjustRightInd w:val="0"/>
        <w:snapToGrid w:val="0"/>
        <w:spacing w:line="400" w:lineRule="atLeast"/>
        <w:jc w:val="center"/>
        <w:outlineLvl w:val="0"/>
        <w:rPr>
          <w:rFonts w:eastAsia="黑体"/>
          <w:b/>
          <w:color w:val="auto"/>
          <w:spacing w:val="8"/>
          <w:sz w:val="24"/>
        </w:rPr>
      </w:pPr>
      <w:bookmarkStart w:id="136" w:name="_Toc199943675"/>
      <w:r>
        <w:rPr>
          <w:rFonts w:eastAsia="黑体"/>
          <w:b/>
          <w:color w:val="auto"/>
          <w:spacing w:val="8"/>
          <w:sz w:val="24"/>
        </w:rPr>
        <w:t>平板式筏基抗冲切计算</w:t>
      </w:r>
      <w:bookmarkEnd w:id="136"/>
    </w:p>
    <w:p w14:paraId="40822308">
      <w:pPr>
        <w:adjustRightInd w:val="0"/>
        <w:snapToGrid w:val="0"/>
        <w:spacing w:line="360" w:lineRule="atLeast"/>
        <w:rPr>
          <w:color w:val="auto"/>
          <w:spacing w:val="8"/>
          <w:szCs w:val="21"/>
        </w:rPr>
      </w:pPr>
    </w:p>
    <w:p w14:paraId="42492FA6">
      <w:pPr>
        <w:adjustRightInd w:val="0"/>
        <w:snapToGrid w:val="0"/>
        <w:spacing w:line="360" w:lineRule="atLeast"/>
        <w:rPr>
          <w:color w:val="auto"/>
          <w:szCs w:val="21"/>
        </w:rPr>
      </w:pPr>
      <w:r>
        <w:rPr>
          <w:b/>
          <w:bCs/>
          <w:color w:val="auto"/>
          <w:szCs w:val="21"/>
        </w:rPr>
        <w:t xml:space="preserve">H.1  </w:t>
      </w:r>
      <w:r>
        <w:rPr>
          <w:color w:val="auto"/>
          <w:szCs w:val="21"/>
        </w:rPr>
        <w:t>平板式筏基距柱边</w:t>
      </w:r>
      <w:r>
        <w:rPr>
          <w:i/>
          <w:color w:val="auto"/>
          <w:szCs w:val="21"/>
        </w:rPr>
        <w:t>h</w:t>
      </w:r>
      <w:r>
        <w:rPr>
          <w:color w:val="auto"/>
          <w:szCs w:val="21"/>
          <w:vertAlign w:val="subscript"/>
        </w:rPr>
        <w:t>0</w:t>
      </w:r>
      <w:r>
        <w:rPr>
          <w:color w:val="auto"/>
          <w:szCs w:val="21"/>
        </w:rPr>
        <w:t>/2处冲切临界截面的最大剪应力</w:t>
      </w:r>
      <w:r>
        <w:rPr>
          <w:color w:val="auto"/>
          <w:position w:val="-12"/>
          <w:szCs w:val="21"/>
        </w:rPr>
        <w:object>
          <v:shape id="_x0000_i1709" o:spt="75" type="#_x0000_t75" style="height:23.25pt;width:23.25pt;" o:ole="t" filled="f" o:preferrelative="t" stroked="f" coordsize="21600,21600">
            <v:path/>
            <v:fill on="f" focussize="0,0"/>
            <v:stroke on="f" joinstyle="miter"/>
            <v:imagedata r:id="rId1333" o:title=""/>
            <o:lock v:ext="edit" aspectratio="t"/>
            <w10:wrap type="none"/>
            <w10:anchorlock/>
          </v:shape>
          <o:OLEObject Type="Embed" ProgID="Equation.DSMT4" ShapeID="_x0000_i1709" DrawAspect="Content" ObjectID="_1468076409" r:id="rId1332">
            <o:LockedField>false</o:LockedField>
          </o:OLEObject>
        </w:object>
      </w:r>
      <w:r>
        <w:rPr>
          <w:color w:val="auto"/>
          <w:szCs w:val="21"/>
        </w:rPr>
        <w:t>应按公式(H.1)、(H.2)、(H.3)计算（图H.1）。</w:t>
      </w:r>
    </w:p>
    <w:p w14:paraId="5AB00AD7">
      <w:pPr>
        <w:adjustRightInd w:val="0"/>
        <w:snapToGrid w:val="0"/>
        <w:spacing w:before="600" w:line="360" w:lineRule="atLeast"/>
        <w:jc w:val="center"/>
        <w:rPr>
          <w:color w:val="auto"/>
          <w:szCs w:val="21"/>
        </w:rPr>
      </w:pPr>
      <w:r>
        <w:rPr>
          <w:color w:val="auto"/>
          <w:szCs w:val="21"/>
        </w:rPr>
        <w:drawing>
          <wp:inline distT="0" distB="0" distL="0" distR="0">
            <wp:extent cx="2314575" cy="1266825"/>
            <wp:effectExtent l="0" t="0" r="9525" b="952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pic:cNvPicPr>
                      <a:picLocks noChangeAspect="1" noChangeArrowheads="1"/>
                    </pic:cNvPicPr>
                  </pic:nvPicPr>
                  <pic:blipFill>
                    <a:blip r:embed="rId1334">
                      <a:extLst>
                        <a:ext uri="{28A0092B-C50C-407E-A947-70E740481C1C}">
                          <a14:useLocalDpi xmlns:a14="http://schemas.microsoft.com/office/drawing/2010/main" val="0"/>
                        </a:ext>
                      </a:extLst>
                    </a:blip>
                    <a:srcRect/>
                    <a:stretch>
                      <a:fillRect/>
                    </a:stretch>
                  </pic:blipFill>
                  <pic:spPr>
                    <a:xfrm>
                      <a:off x="0" y="0"/>
                      <a:ext cx="2314575" cy="1266825"/>
                    </a:xfrm>
                    <a:prstGeom prst="rect">
                      <a:avLst/>
                    </a:prstGeom>
                    <a:noFill/>
                    <a:ln>
                      <a:noFill/>
                    </a:ln>
                  </pic:spPr>
                </pic:pic>
              </a:graphicData>
            </a:graphic>
          </wp:inline>
        </w:drawing>
      </w:r>
    </w:p>
    <w:p w14:paraId="4E638A8D">
      <w:pPr>
        <w:adjustRightInd w:val="0"/>
        <w:snapToGrid w:val="0"/>
        <w:spacing w:line="360" w:lineRule="atLeast"/>
        <w:jc w:val="center"/>
        <w:rPr>
          <w:rFonts w:eastAsia="黑体"/>
          <w:b/>
          <w:color w:val="auto"/>
          <w:szCs w:val="21"/>
        </w:rPr>
      </w:pPr>
      <w:r>
        <w:rPr>
          <w:rFonts w:eastAsia="黑体"/>
          <w:b/>
          <w:color w:val="auto"/>
          <w:szCs w:val="21"/>
        </w:rPr>
        <w:t>图H.1    内柱冲切临界截面</w:t>
      </w:r>
    </w:p>
    <w:p w14:paraId="529E380C">
      <w:pPr>
        <w:wordWrap w:val="0"/>
        <w:adjustRightInd w:val="0"/>
        <w:snapToGrid w:val="0"/>
        <w:spacing w:before="240" w:line="340" w:lineRule="atLeast"/>
        <w:jc w:val="right"/>
        <w:rPr>
          <w:color w:val="auto"/>
          <w:szCs w:val="21"/>
        </w:rPr>
      </w:pPr>
      <w:r>
        <w:rPr>
          <w:color w:val="auto"/>
          <w:position w:val="-30"/>
          <w:szCs w:val="21"/>
        </w:rPr>
        <w:object>
          <v:shape id="_x0000_i1710" o:spt="75" type="#_x0000_t75" style="height:35.25pt;width:109.5pt;" o:ole="t" filled="f" o:preferrelative="t" stroked="f" coordsize="21600,21600">
            <v:path/>
            <v:fill on="f" focussize="0,0"/>
            <v:stroke on="f" joinstyle="miter"/>
            <v:imagedata r:id="rId1336" o:title=""/>
            <o:lock v:ext="edit" aspectratio="t"/>
            <w10:wrap type="none"/>
            <w10:anchorlock/>
          </v:shape>
          <o:OLEObject Type="Embed" ProgID="Equation.DSMT4" ShapeID="_x0000_i1710" DrawAspect="Content" ObjectID="_1468076410" r:id="rId1335">
            <o:LockedField>false</o:LockedField>
          </o:OLEObject>
        </w:object>
      </w:r>
      <w:r>
        <w:rPr>
          <w:color w:val="auto"/>
          <w:szCs w:val="21"/>
        </w:rPr>
        <w:t xml:space="preserve">                       (H.1)</w:t>
      </w:r>
    </w:p>
    <w:p w14:paraId="5EF675B1">
      <w:pPr>
        <w:wordWrap w:val="0"/>
        <w:adjustRightInd w:val="0"/>
        <w:snapToGrid w:val="0"/>
        <w:spacing w:before="120" w:line="340" w:lineRule="atLeast"/>
        <w:jc w:val="right"/>
        <w:rPr>
          <w:color w:val="auto"/>
          <w:szCs w:val="21"/>
        </w:rPr>
      </w:pPr>
      <w:r>
        <w:rPr>
          <w:color w:val="auto"/>
          <w:position w:val="-12"/>
          <w:szCs w:val="21"/>
        </w:rPr>
        <w:object>
          <v:shape id="_x0000_i1711" o:spt="75" type="#_x0000_t75" style="height:18pt;width:18.75pt;" o:ole="t" filled="f" o:preferrelative="t" stroked="f" coordsize="21600,21600">
            <v:path/>
            <v:fill on="f" focussize="0,0"/>
            <v:stroke on="f" joinstyle="miter"/>
            <v:imagedata r:id="rId1338" o:title=""/>
            <o:lock v:ext="edit" aspectratio="t"/>
            <w10:wrap type="none"/>
            <w10:anchorlock/>
          </v:shape>
          <o:OLEObject Type="Embed" ProgID="Equation.DSMT4" ShapeID="_x0000_i1711" DrawAspect="Content" ObjectID="_1468076411" r:id="rId1337">
            <o:LockedField>false</o:LockedField>
          </o:OLEObject>
        </w:object>
      </w:r>
      <w:r>
        <w:rPr>
          <w:color w:val="auto"/>
          <w:szCs w:val="21"/>
        </w:rPr>
        <w:t>≤</w:t>
      </w:r>
      <w:r>
        <w:rPr>
          <w:color w:val="auto"/>
          <w:position w:val="-30"/>
          <w:szCs w:val="21"/>
        </w:rPr>
        <w:object>
          <v:shape id="_x0000_i1712" o:spt="75" type="#_x0000_t75" style="height:35.25pt;width:87pt;" o:ole="t" filled="f" o:preferrelative="t" stroked="f" coordsize="21600,21600">
            <v:path/>
            <v:fill on="f" focussize="0,0"/>
            <v:stroke on="f" joinstyle="miter"/>
            <v:imagedata r:id="rId1340" o:title=""/>
            <o:lock v:ext="edit" aspectratio="t"/>
            <w10:wrap type="none"/>
            <w10:anchorlock/>
          </v:shape>
          <o:OLEObject Type="Embed" ProgID="Equation.DSMT4" ShapeID="_x0000_i1712" DrawAspect="Content" ObjectID="_1468076412" r:id="rId1339">
            <o:LockedField>false</o:LockedField>
          </o:OLEObject>
        </w:object>
      </w:r>
      <w:r>
        <w:rPr>
          <w:color w:val="auto"/>
          <w:szCs w:val="21"/>
        </w:rPr>
        <w:t xml:space="preserve">                      (H.2)</w:t>
      </w:r>
    </w:p>
    <w:p w14:paraId="3A74202D">
      <w:pPr>
        <w:wordWrap w:val="0"/>
        <w:adjustRightInd w:val="0"/>
        <w:snapToGrid w:val="0"/>
        <w:spacing w:before="120" w:line="340" w:lineRule="atLeast"/>
        <w:jc w:val="right"/>
        <w:rPr>
          <w:color w:val="auto"/>
          <w:szCs w:val="21"/>
        </w:rPr>
      </w:pPr>
      <w:r>
        <w:rPr>
          <w:color w:val="auto"/>
          <w:position w:val="-54"/>
          <w:szCs w:val="21"/>
        </w:rPr>
        <w:object>
          <v:shape id="_x0000_i1713" o:spt="75" type="#_x0000_t75" style="height:45.75pt;width:96.75pt;" o:ole="t" filled="f" o:preferrelative="t" stroked="f" coordsize="21600,21600">
            <v:path/>
            <v:fill on="f" focussize="0,0"/>
            <v:stroke on="f" joinstyle="miter"/>
            <v:imagedata r:id="rId1342" o:title=""/>
            <o:lock v:ext="edit" aspectratio="t"/>
            <w10:wrap type="none"/>
            <w10:anchorlock/>
          </v:shape>
          <o:OLEObject Type="Embed" ProgID="Equation.DSMT4" ShapeID="_x0000_i1713" DrawAspect="Content" ObjectID="_1468076413" r:id="rId1341">
            <o:LockedField>false</o:LockedField>
          </o:OLEObject>
        </w:object>
      </w:r>
      <w:r>
        <w:rPr>
          <w:color w:val="auto"/>
          <w:szCs w:val="21"/>
        </w:rPr>
        <w:t xml:space="preserve">                         (H.3)</w:t>
      </w:r>
    </w:p>
    <w:p w14:paraId="7487F033">
      <w:pPr>
        <w:adjustRightInd w:val="0"/>
        <w:snapToGrid w:val="0"/>
        <w:spacing w:before="120" w:line="340" w:lineRule="exact"/>
        <w:ind w:left="1285" w:hanging="1285" w:hangingChars="612"/>
        <w:rPr>
          <w:color w:val="auto"/>
          <w:szCs w:val="21"/>
        </w:rPr>
      </w:pPr>
      <w:r>
        <w:rPr>
          <w:color w:val="auto"/>
          <w:szCs w:val="21"/>
        </w:rPr>
        <w:t xml:space="preserve">式中  </w:t>
      </w:r>
      <w:r>
        <w:rPr>
          <w:color w:val="auto"/>
          <w:position w:val="-12"/>
          <w:szCs w:val="21"/>
        </w:rPr>
        <w:object>
          <v:shape id="_x0000_i1714" o:spt="75" type="#_x0000_t75" style="height:18pt;width:12pt;" o:ole="t" filled="f" o:preferrelative="t" stroked="f" coordsize="21600,21600">
            <v:path/>
            <v:fill on="f" focussize="0,0"/>
            <v:stroke on="f" joinstyle="miter"/>
            <v:imagedata r:id="rId974" o:title=""/>
            <o:lock v:ext="edit" aspectratio="t"/>
            <w10:wrap type="none"/>
            <w10:anchorlock/>
          </v:shape>
          <o:OLEObject Type="Embed" ProgID="Equation.DSMT4" ShapeID="_x0000_i1714" DrawAspect="Content" ObjectID="_1468076414" r:id="rId1343">
            <o:LockedField>false</o:LockedField>
          </o:OLEObject>
        </w:object>
      </w:r>
      <w:r>
        <w:rPr>
          <w:color w:val="auto"/>
          <w:szCs w:val="21"/>
        </w:rPr>
        <w:t>——相应于作用的基本组合时的冲切力，对内柱取轴力设计值减去筏板冲切破坏锥体内的地基反力设计值；对边柱和角柱，取轴力设计值减去筏板冲切临界截面范围内的地基反力设计值；地基反力值应扣除底板自重；</w:t>
      </w:r>
    </w:p>
    <w:p w14:paraId="7A3C9141">
      <w:pPr>
        <w:adjustRightInd w:val="0"/>
        <w:snapToGrid w:val="0"/>
        <w:spacing w:line="340" w:lineRule="exact"/>
        <w:ind w:firstLine="616"/>
        <w:rPr>
          <w:color w:val="auto"/>
          <w:szCs w:val="21"/>
        </w:rPr>
      </w:pPr>
      <w:r>
        <w:rPr>
          <w:color w:val="auto"/>
          <w:position w:val="-12"/>
          <w:szCs w:val="21"/>
        </w:rPr>
        <w:object>
          <v:shape id="_x0000_i1715" o:spt="75" type="#_x0000_t75" style="height:18pt;width:12pt;" o:ole="t" filled="f" o:preferrelative="t" stroked="f" coordsize="21600,21600">
            <v:path/>
            <v:fill on="f" focussize="0,0"/>
            <v:stroke on="f" joinstyle="miter"/>
            <v:imagedata r:id="rId872" o:title=""/>
            <o:lock v:ext="edit" aspectratio="t"/>
            <w10:wrap type="none"/>
            <w10:anchorlock/>
          </v:shape>
          <o:OLEObject Type="Embed" ProgID="Equation.DSMT4" ShapeID="_x0000_i1715" DrawAspect="Content" ObjectID="_1468076415" r:id="rId1344">
            <o:LockedField>false</o:LockedField>
          </o:OLEObject>
        </w:object>
      </w:r>
      <w:r>
        <w:rPr>
          <w:color w:val="auto"/>
          <w:szCs w:val="21"/>
        </w:rPr>
        <w:t>——筏板的有效高度；</w:t>
      </w:r>
    </w:p>
    <w:p w14:paraId="11300282">
      <w:pPr>
        <w:adjustRightInd w:val="0"/>
        <w:snapToGrid w:val="0"/>
        <w:spacing w:line="340" w:lineRule="exact"/>
        <w:ind w:firstLine="360"/>
        <w:rPr>
          <w:color w:val="auto"/>
          <w:szCs w:val="21"/>
        </w:rPr>
      </w:pPr>
      <w:r>
        <w:rPr>
          <w:color w:val="auto"/>
          <w:position w:val="-12"/>
          <w:szCs w:val="21"/>
        </w:rPr>
        <w:object>
          <v:shape id="_x0000_i1716" o:spt="75" type="#_x0000_t75" style="height:18pt;width:23.25pt;" o:ole="t" filled="f" o:preferrelative="t" stroked="f" coordsize="21600,21600">
            <v:path/>
            <v:fill on="f" focussize="0,0"/>
            <v:stroke on="f" joinstyle="miter"/>
            <v:imagedata r:id="rId1346" o:title=""/>
            <o:lock v:ext="edit" aspectratio="t"/>
            <w10:wrap type="none"/>
            <w10:anchorlock/>
          </v:shape>
          <o:OLEObject Type="Embed" ProgID="Equation.DSMT4" ShapeID="_x0000_i1716" DrawAspect="Content" ObjectID="_1468076416" r:id="rId1345">
            <o:LockedField>false</o:LockedField>
          </o:OLEObject>
        </w:object>
      </w:r>
      <w:r>
        <w:rPr>
          <w:color w:val="auto"/>
          <w:szCs w:val="21"/>
        </w:rPr>
        <w:t>——作用在冲切临界截面重心上的不平衡弯矩设计值；</w:t>
      </w:r>
    </w:p>
    <w:p w14:paraId="6851298E">
      <w:pPr>
        <w:adjustRightInd w:val="0"/>
        <w:snapToGrid w:val="0"/>
        <w:spacing w:line="340" w:lineRule="exact"/>
        <w:ind w:left="1354" w:leftChars="183" w:hanging="970" w:hangingChars="462"/>
        <w:rPr>
          <w:color w:val="auto"/>
          <w:szCs w:val="21"/>
        </w:rPr>
      </w:pPr>
      <w:r>
        <w:rPr>
          <w:color w:val="auto"/>
          <w:position w:val="-12"/>
          <w:szCs w:val="21"/>
        </w:rPr>
        <w:object>
          <v:shape id="_x0000_i1717" o:spt="75" type="#_x0000_t75" style="height:18pt;width:12.75pt;" o:ole="t" filled="f" o:preferrelative="t" stroked="f" coordsize="21600,21600">
            <v:path/>
            <v:fill on="f" focussize="0,0"/>
            <v:stroke on="f" joinstyle="miter"/>
            <v:imagedata r:id="rId1348" o:title=""/>
            <o:lock v:ext="edit" aspectratio="t"/>
            <w10:wrap type="none"/>
            <w10:anchorlock/>
          </v:shape>
          <o:OLEObject Type="Embed" ProgID="Equation.DSMT4" ShapeID="_x0000_i1717" DrawAspect="Content" ObjectID="_1468076417" r:id="rId1347">
            <o:LockedField>false</o:LockedField>
          </o:OLEObject>
        </w:object>
      </w:r>
      <w:r>
        <w:rPr>
          <w:color w:val="auto"/>
          <w:szCs w:val="21"/>
        </w:rPr>
        <w:t>——不平衡弯矩通过冲切临界面上的偏心剪力来传递的分配系数；</w:t>
      </w:r>
    </w:p>
    <w:p w14:paraId="5683BDC7">
      <w:pPr>
        <w:adjustRightInd w:val="0"/>
        <w:snapToGrid w:val="0"/>
        <w:spacing w:line="340" w:lineRule="exact"/>
        <w:ind w:left="1319" w:leftChars="187" w:hanging="926" w:hangingChars="441"/>
        <w:rPr>
          <w:color w:val="auto"/>
          <w:szCs w:val="21"/>
        </w:rPr>
      </w:pPr>
      <w:r>
        <w:rPr>
          <w:color w:val="auto"/>
          <w:position w:val="-12"/>
          <w:szCs w:val="21"/>
        </w:rPr>
        <w:object>
          <v:shape id="_x0000_i1718" o:spt="75" type="#_x0000_t75" style="height:18pt;width:15pt;" o:ole="t" filled="f" o:preferrelative="t" stroked="f" coordsize="21600,21600">
            <v:path/>
            <v:fill on="f" focussize="0,0"/>
            <v:stroke on="f" joinstyle="miter"/>
            <v:imagedata r:id="rId1350" o:title=""/>
            <o:lock v:ext="edit" aspectratio="t"/>
            <w10:wrap type="none"/>
            <w10:anchorlock/>
          </v:shape>
          <o:OLEObject Type="Embed" ProgID="Equation.DSMT4" ShapeID="_x0000_i1718" DrawAspect="Content" ObjectID="_1468076418" r:id="rId1349">
            <o:LockedField>false</o:LockedField>
          </o:OLEObject>
        </w:object>
      </w:r>
      <w:r>
        <w:rPr>
          <w:color w:val="auto"/>
          <w:szCs w:val="21"/>
        </w:rPr>
        <w:t>——柱截面长边与短边的比值，当</w:t>
      </w:r>
      <w:r>
        <w:rPr>
          <w:color w:val="auto"/>
          <w:position w:val="-12"/>
          <w:szCs w:val="21"/>
        </w:rPr>
        <w:object>
          <v:shape id="_x0000_i1719" o:spt="75" type="#_x0000_t75" style="height:18pt;width:15pt;" o:ole="t" filled="f" o:preferrelative="t" stroked="f" coordsize="21600,21600">
            <v:path/>
            <v:fill on="f" focussize="0,0"/>
            <v:stroke on="f" joinstyle="miter"/>
            <v:imagedata r:id="rId1350" o:title=""/>
            <o:lock v:ext="edit" aspectratio="t"/>
            <w10:wrap type="none"/>
            <w10:anchorlock/>
          </v:shape>
          <o:OLEObject Type="Embed" ProgID="Equation.DSMT4" ShapeID="_x0000_i1719" DrawAspect="Content" ObjectID="_1468076419" r:id="rId1351">
            <o:LockedField>false</o:LockedField>
          </o:OLEObject>
        </w:object>
      </w:r>
      <w:r>
        <w:rPr>
          <w:color w:val="auto"/>
          <w:szCs w:val="21"/>
        </w:rPr>
        <w:t>＜2时，</w:t>
      </w:r>
      <w:r>
        <w:rPr>
          <w:color w:val="auto"/>
          <w:position w:val="-12"/>
          <w:szCs w:val="21"/>
        </w:rPr>
        <w:object>
          <v:shape id="_x0000_i1720" o:spt="75" type="#_x0000_t75" style="height:18pt;width:15pt;" o:ole="t" filled="f" o:preferrelative="t" stroked="f" coordsize="21600,21600">
            <v:path/>
            <v:fill on="f" focussize="0,0"/>
            <v:stroke on="f" joinstyle="miter"/>
            <v:imagedata r:id="rId1350" o:title=""/>
            <o:lock v:ext="edit" aspectratio="t"/>
            <w10:wrap type="none"/>
            <w10:anchorlock/>
          </v:shape>
          <o:OLEObject Type="Embed" ProgID="Equation.DSMT4" ShapeID="_x0000_i1720" DrawAspect="Content" ObjectID="_1468076420" r:id="rId1352">
            <o:LockedField>false</o:LockedField>
          </o:OLEObject>
        </w:object>
      </w:r>
      <w:r>
        <w:rPr>
          <w:color w:val="auto"/>
          <w:szCs w:val="21"/>
        </w:rPr>
        <w:t>取2；当</w:t>
      </w:r>
      <w:r>
        <w:rPr>
          <w:color w:val="auto"/>
          <w:position w:val="-12"/>
          <w:szCs w:val="21"/>
        </w:rPr>
        <w:object>
          <v:shape id="_x0000_i1721" o:spt="75" type="#_x0000_t75" style="height:18pt;width:15pt;" o:ole="t" filled="f" o:preferrelative="t" stroked="f" coordsize="21600,21600">
            <v:path/>
            <v:fill on="f" focussize="0,0"/>
            <v:stroke on="f" joinstyle="miter"/>
            <v:imagedata r:id="rId1350" o:title=""/>
            <o:lock v:ext="edit" aspectratio="t"/>
            <w10:wrap type="none"/>
            <w10:anchorlock/>
          </v:shape>
          <o:OLEObject Type="Embed" ProgID="Equation.DSMT4" ShapeID="_x0000_i1721" DrawAspect="Content" ObjectID="_1468076421" r:id="rId1353">
            <o:LockedField>false</o:LockedField>
          </o:OLEObject>
        </w:object>
      </w:r>
      <w:r>
        <w:rPr>
          <w:color w:val="auto"/>
          <w:szCs w:val="21"/>
        </w:rPr>
        <w:t>＞4时，</w:t>
      </w:r>
      <w:r>
        <w:rPr>
          <w:color w:val="auto"/>
          <w:position w:val="-12"/>
          <w:szCs w:val="21"/>
        </w:rPr>
        <w:object>
          <v:shape id="_x0000_i1722" o:spt="75" type="#_x0000_t75" style="height:18pt;width:15pt;" o:ole="t" filled="f" o:preferrelative="t" stroked="f" coordsize="21600,21600">
            <v:path/>
            <v:fill on="f" focussize="0,0"/>
            <v:stroke on="f" joinstyle="miter"/>
            <v:imagedata r:id="rId1350" o:title=""/>
            <o:lock v:ext="edit" aspectratio="t"/>
            <w10:wrap type="none"/>
            <w10:anchorlock/>
          </v:shape>
          <o:OLEObject Type="Embed" ProgID="Equation.DSMT4" ShapeID="_x0000_i1722" DrawAspect="Content" ObjectID="_1468076422" r:id="rId1354">
            <o:LockedField>false</o:LockedField>
          </o:OLEObject>
        </w:object>
      </w:r>
      <w:r>
        <w:rPr>
          <w:color w:val="auto"/>
          <w:szCs w:val="21"/>
        </w:rPr>
        <w:t>取4；</w:t>
      </w:r>
    </w:p>
    <w:p w14:paraId="202517A2">
      <w:pPr>
        <w:tabs>
          <w:tab w:val="left" w:pos="720"/>
        </w:tabs>
        <w:adjustRightInd w:val="0"/>
        <w:snapToGrid w:val="0"/>
        <w:spacing w:line="340" w:lineRule="exact"/>
        <w:ind w:firstLine="615" w:firstLineChars="293"/>
        <w:rPr>
          <w:color w:val="auto"/>
          <w:szCs w:val="21"/>
        </w:rPr>
      </w:pPr>
      <w:r>
        <w:rPr>
          <w:color w:val="auto"/>
          <w:position w:val="-12"/>
          <w:szCs w:val="21"/>
        </w:rPr>
        <w:object>
          <v:shape id="_x0000_i1723" o:spt="75" type="#_x0000_t75" style="height:18pt;width:12pt;" o:ole="t" filled="f" o:preferrelative="t" stroked="f" coordsize="21600,21600">
            <v:path/>
            <v:fill on="f" focussize="0,0"/>
            <v:stroke on="f" joinstyle="miter"/>
            <v:imagedata r:id="rId1356" o:title=""/>
            <o:lock v:ext="edit" aspectratio="t"/>
            <w10:wrap type="none"/>
            <w10:anchorlock/>
          </v:shape>
          <o:OLEObject Type="Embed" ProgID="Equation.DSMT4" ShapeID="_x0000_i1723" DrawAspect="Content" ObjectID="_1468076423" r:id="rId1355">
            <o:LockedField>false</o:LockedField>
          </o:OLEObject>
        </w:object>
      </w:r>
      <w:r>
        <w:rPr>
          <w:color w:val="auto"/>
          <w:szCs w:val="21"/>
        </w:rPr>
        <w:t>——与弯矩作用方向一致的冲切临界面的边长；</w:t>
      </w:r>
    </w:p>
    <w:p w14:paraId="715FA166">
      <w:pPr>
        <w:adjustRightInd w:val="0"/>
        <w:snapToGrid w:val="0"/>
        <w:spacing w:line="340" w:lineRule="exact"/>
        <w:ind w:firstLine="588"/>
        <w:rPr>
          <w:color w:val="auto"/>
          <w:szCs w:val="21"/>
        </w:rPr>
      </w:pPr>
      <w:r>
        <w:rPr>
          <w:color w:val="auto"/>
          <w:position w:val="-12"/>
          <w:szCs w:val="21"/>
        </w:rPr>
        <w:object>
          <v:shape id="_x0000_i1724" o:spt="75" type="#_x0000_t75" style="height:18pt;width:12pt;" o:ole="t" filled="f" o:preferrelative="t" stroked="f" coordsize="21600,21600">
            <v:path/>
            <v:fill on="f" focussize="0,0"/>
            <v:stroke on="f" joinstyle="miter"/>
            <v:imagedata r:id="rId1358" o:title=""/>
            <o:lock v:ext="edit" aspectratio="t"/>
            <w10:wrap type="none"/>
            <w10:anchorlock/>
          </v:shape>
          <o:OLEObject Type="Embed" ProgID="Equation.DSMT4" ShapeID="_x0000_i1724" DrawAspect="Content" ObjectID="_1468076424" r:id="rId1357">
            <o:LockedField>false</o:LockedField>
          </o:OLEObject>
        </w:object>
      </w:r>
      <w:r>
        <w:rPr>
          <w:color w:val="auto"/>
          <w:szCs w:val="21"/>
        </w:rPr>
        <w:t>——垂直于</w:t>
      </w:r>
      <w:r>
        <w:rPr>
          <w:color w:val="auto"/>
          <w:position w:val="-12"/>
          <w:szCs w:val="21"/>
        </w:rPr>
        <w:object>
          <v:shape id="_x0000_i1725" o:spt="75" type="#_x0000_t75" style="height:18pt;width:12pt;" o:ole="t" filled="f" o:preferrelative="t" stroked="f" coordsize="21600,21600">
            <v:path/>
            <v:fill on="f" focussize="0,0"/>
            <v:stroke on="f" joinstyle="miter"/>
            <v:imagedata r:id="rId1360" o:title=""/>
            <o:lock v:ext="edit" aspectratio="t"/>
            <w10:wrap type="none"/>
            <w10:anchorlock/>
          </v:shape>
          <o:OLEObject Type="Embed" ProgID="Equation.DSMT4" ShapeID="_x0000_i1725" DrawAspect="Content" ObjectID="_1468076425" r:id="rId1359">
            <o:LockedField>false</o:LockedField>
          </o:OLEObject>
        </w:object>
      </w:r>
      <w:r>
        <w:rPr>
          <w:color w:val="auto"/>
          <w:szCs w:val="21"/>
        </w:rPr>
        <w:t>的冲切临界面的边长；</w:t>
      </w:r>
    </w:p>
    <w:p w14:paraId="75846249">
      <w:pPr>
        <w:adjustRightInd w:val="0"/>
        <w:snapToGrid w:val="0"/>
        <w:spacing w:line="340" w:lineRule="exact"/>
        <w:ind w:left="1318" w:leftChars="159" w:hanging="984" w:hangingChars="469"/>
        <w:rPr>
          <w:color w:val="auto"/>
          <w:szCs w:val="21"/>
        </w:rPr>
      </w:pPr>
      <w:r>
        <w:rPr>
          <w:color w:val="auto"/>
          <w:position w:val="-12"/>
          <w:szCs w:val="21"/>
        </w:rPr>
        <w:object>
          <v:shape id="_x0000_i1726" o:spt="75" type="#_x0000_t75" style="height:18pt;width:18pt;" o:ole="t" filled="f" o:preferrelative="t" stroked="f" coordsize="21600,21600">
            <v:path/>
            <v:fill on="f" focussize="0,0"/>
            <v:stroke on="f" joinstyle="miter"/>
            <v:imagedata r:id="rId1362" o:title=""/>
            <o:lock v:ext="edit" aspectratio="t"/>
            <w10:wrap type="none"/>
            <w10:anchorlock/>
          </v:shape>
          <o:OLEObject Type="Embed" ProgID="Equation.DSMT4" ShapeID="_x0000_i1726" DrawAspect="Content" ObjectID="_1468076426" r:id="rId1361">
            <o:LockedField>false</o:LockedField>
          </o:OLEObject>
        </w:object>
      </w:r>
      <w:r>
        <w:rPr>
          <w:color w:val="auto"/>
          <w:szCs w:val="21"/>
        </w:rPr>
        <w:t>——沿弯矩作用方向，冲切临界截面重心至冲切临界截面最大剪应力点的距离；</w:t>
      </w:r>
    </w:p>
    <w:p w14:paraId="55307985">
      <w:pPr>
        <w:adjustRightInd w:val="0"/>
        <w:snapToGrid w:val="0"/>
        <w:spacing w:line="340" w:lineRule="exact"/>
        <w:ind w:firstLine="518"/>
        <w:rPr>
          <w:color w:val="auto"/>
          <w:szCs w:val="21"/>
        </w:rPr>
      </w:pPr>
      <w:r>
        <w:rPr>
          <w:color w:val="auto"/>
          <w:position w:val="-12"/>
          <w:szCs w:val="21"/>
        </w:rPr>
        <w:object>
          <v:shape id="_x0000_i1727" o:spt="75" type="#_x0000_t75" style="height:18pt;width:15pt;" o:ole="t" filled="f" o:preferrelative="t" stroked="f" coordsize="21600,21600">
            <v:path/>
            <v:fill on="f" focussize="0,0"/>
            <v:stroke on="f" joinstyle="miter"/>
            <v:imagedata r:id="rId1364" o:title=""/>
            <o:lock v:ext="edit" aspectratio="t"/>
            <w10:wrap type="none"/>
            <w10:anchorlock/>
          </v:shape>
          <o:OLEObject Type="Embed" ProgID="Equation.DSMT4" ShapeID="_x0000_i1727" DrawAspect="Content" ObjectID="_1468076427" r:id="rId1363">
            <o:LockedField>false</o:LockedField>
          </o:OLEObject>
        </w:object>
      </w:r>
      <w:r>
        <w:rPr>
          <w:color w:val="auto"/>
          <w:szCs w:val="21"/>
        </w:rPr>
        <w:t>——距柱边</w:t>
      </w:r>
      <w:r>
        <w:rPr>
          <w:color w:val="auto"/>
          <w:position w:val="-12"/>
          <w:szCs w:val="21"/>
        </w:rPr>
        <w:object>
          <v:shape id="_x0000_i1728" o:spt="75" type="#_x0000_t75" style="height:18pt;width:26.25pt;" o:ole="t" filled="f" o:preferrelative="t" stroked="f" coordsize="21600,21600">
            <v:path/>
            <v:fill on="f" focussize="0,0"/>
            <v:stroke on="f" joinstyle="miter"/>
            <v:imagedata r:id="rId1366" o:title=""/>
            <o:lock v:ext="edit" aspectratio="t"/>
            <w10:wrap type="none"/>
            <w10:anchorlock/>
          </v:shape>
          <o:OLEObject Type="Embed" ProgID="Equation.DSMT4" ShapeID="_x0000_i1728" DrawAspect="Content" ObjectID="_1468076428" r:id="rId1365">
            <o:LockedField>false</o:LockedField>
          </o:OLEObject>
        </w:object>
      </w:r>
      <w:r>
        <w:rPr>
          <w:color w:val="auto"/>
          <w:szCs w:val="21"/>
        </w:rPr>
        <w:t>处冲切临界截面周长；</w:t>
      </w:r>
    </w:p>
    <w:p w14:paraId="1BF0EBF8">
      <w:pPr>
        <w:adjustRightInd w:val="0"/>
        <w:snapToGrid w:val="0"/>
        <w:spacing w:line="340" w:lineRule="exact"/>
        <w:ind w:firstLine="588"/>
        <w:rPr>
          <w:color w:val="auto"/>
          <w:szCs w:val="21"/>
        </w:rPr>
      </w:pPr>
      <w:r>
        <w:rPr>
          <w:color w:val="auto"/>
          <w:position w:val="-12"/>
          <w:szCs w:val="21"/>
        </w:rPr>
        <w:object>
          <v:shape id="_x0000_i1729" o:spt="75" type="#_x0000_t75" style="height:18pt;width:12pt;" o:ole="t" filled="f" o:preferrelative="t" stroked="f" coordsize="21600,21600">
            <v:path/>
            <v:fill on="f" focussize="0,0"/>
            <v:stroke on="f" joinstyle="miter"/>
            <v:imagedata r:id="rId1368" o:title=""/>
            <o:lock v:ext="edit" aspectratio="t"/>
            <w10:wrap type="none"/>
            <w10:anchorlock/>
          </v:shape>
          <o:OLEObject Type="Embed" ProgID="Equation.DSMT4" ShapeID="_x0000_i1729" DrawAspect="Content" ObjectID="_1468076429" r:id="rId1367">
            <o:LockedField>false</o:LockedField>
          </o:OLEObject>
        </w:object>
      </w:r>
      <w:r>
        <w:rPr>
          <w:color w:val="auto"/>
          <w:szCs w:val="21"/>
        </w:rPr>
        <w:t>——冲切临界截面对其重心的极惯性矩。</w:t>
      </w:r>
    </w:p>
    <w:p w14:paraId="4A4A1A96">
      <w:pPr>
        <w:adjustRightInd w:val="0"/>
        <w:snapToGrid w:val="0"/>
        <w:spacing w:line="240" w:lineRule="atLeast"/>
        <w:ind w:firstLine="420" w:firstLineChars="200"/>
        <w:rPr>
          <w:color w:val="auto"/>
          <w:szCs w:val="21"/>
        </w:rPr>
      </w:pPr>
      <w:r>
        <w:rPr>
          <w:color w:val="auto"/>
          <w:position w:val="-14"/>
          <w:szCs w:val="21"/>
        </w:rPr>
        <w:object>
          <v:shape id="_x0000_i1730" o:spt="75" type="#_x0000_t75" style="height:18.75pt;width:18pt;" o:ole="t" filled="f" o:preferrelative="t" stroked="f" coordsize="21600,21600">
            <v:path/>
            <v:fill on="f" focussize="0,0"/>
            <v:stroke on="f" joinstyle="miter"/>
            <v:imagedata r:id="rId1370" o:title=""/>
            <o:lock v:ext="edit" aspectratio="t"/>
            <w10:wrap type="none"/>
            <w10:anchorlock/>
          </v:shape>
          <o:OLEObject Type="Embed" ProgID="Equation.DSMT4" ShapeID="_x0000_i1730" DrawAspect="Content" ObjectID="_1468076430" r:id="rId1369">
            <o:LockedField>false</o:LockedField>
          </o:OLEObject>
        </w:object>
      </w:r>
      <w:r>
        <w:rPr>
          <w:color w:val="auto"/>
          <w:szCs w:val="21"/>
        </w:rPr>
        <w:t>按本文件第12.5.3条规定计算确定。</w:t>
      </w:r>
    </w:p>
    <w:p w14:paraId="60850A00">
      <w:pPr>
        <w:adjustRightInd w:val="0"/>
        <w:snapToGrid w:val="0"/>
        <w:spacing w:line="240" w:lineRule="atLeast"/>
        <w:ind w:firstLine="720"/>
        <w:rPr>
          <w:color w:val="auto"/>
          <w:szCs w:val="21"/>
        </w:rPr>
      </w:pPr>
      <w:r>
        <w:rPr>
          <w:color w:val="auto"/>
          <w:position w:val="-12"/>
          <w:szCs w:val="21"/>
        </w:rPr>
        <w:object>
          <v:shape id="_x0000_i1731" o:spt="75" type="#_x0000_t75" style="height:18pt;width:12pt;" o:ole="t" filled="f" o:preferrelative="t" stroked="f" coordsize="21600,21600">
            <v:path/>
            <v:fill on="f" focussize="0,0"/>
            <v:stroke on="f" joinstyle="miter"/>
            <v:imagedata r:id="rId1356" o:title=""/>
            <o:lock v:ext="edit" aspectratio="t"/>
            <w10:wrap type="none"/>
            <w10:anchorlock/>
          </v:shape>
          <o:OLEObject Type="Embed" ProgID="Equation.DSMT4" ShapeID="_x0000_i1731" DrawAspect="Content" ObjectID="_1468076431" r:id="rId1371">
            <o:LockedField>false</o:LockedField>
          </o:OLEObject>
        </w:object>
      </w:r>
      <w:r>
        <w:rPr>
          <w:color w:val="auto"/>
          <w:szCs w:val="21"/>
        </w:rPr>
        <w:t>、</w:t>
      </w:r>
      <w:r>
        <w:rPr>
          <w:color w:val="auto"/>
          <w:position w:val="-12"/>
          <w:szCs w:val="21"/>
        </w:rPr>
        <w:object>
          <v:shape id="_x0000_i1732" o:spt="75" type="#_x0000_t75" style="height:18pt;width:12pt;" o:ole="t" filled="f" o:preferrelative="t" stroked="f" coordsize="21600,21600">
            <v:path/>
            <v:fill on="f" focussize="0,0"/>
            <v:stroke on="f" joinstyle="miter"/>
            <v:imagedata r:id="rId803" o:title=""/>
            <o:lock v:ext="edit" aspectratio="t"/>
            <w10:wrap type="none"/>
            <w10:anchorlock/>
          </v:shape>
          <o:OLEObject Type="Embed" ProgID="Equation.DSMT4" ShapeID="_x0000_i1732" DrawAspect="Content" ObjectID="_1468076432" r:id="rId1372">
            <o:LockedField>false</o:LockedField>
          </o:OLEObject>
        </w:object>
      </w:r>
      <w:r>
        <w:rPr>
          <w:color w:val="auto"/>
          <w:szCs w:val="21"/>
        </w:rPr>
        <w:t>、</w:t>
      </w:r>
      <w:r>
        <w:rPr>
          <w:color w:val="auto"/>
          <w:position w:val="-12"/>
          <w:szCs w:val="21"/>
        </w:rPr>
        <w:object>
          <v:shape id="_x0000_i1733" o:spt="75" type="#_x0000_t75" style="height:18pt;width:18pt;" o:ole="t" filled="f" o:preferrelative="t" stroked="f" coordsize="21600,21600">
            <v:path/>
            <v:fill on="f" focussize="0,0"/>
            <v:stroke on="f" joinstyle="miter"/>
            <v:imagedata r:id="rId1362" o:title=""/>
            <o:lock v:ext="edit" aspectratio="t"/>
            <w10:wrap type="none"/>
            <w10:anchorlock/>
          </v:shape>
          <o:OLEObject Type="Embed" ProgID="Equation.DSMT4" ShapeID="_x0000_i1733" DrawAspect="Content" ObjectID="_1468076433" r:id="rId1373">
            <o:LockedField>false</o:LockedField>
          </o:OLEObject>
        </w:object>
      </w:r>
      <w:r>
        <w:rPr>
          <w:color w:val="auto"/>
          <w:szCs w:val="21"/>
        </w:rPr>
        <w:t>、</w:t>
      </w:r>
      <w:r>
        <w:rPr>
          <w:color w:val="auto"/>
          <w:position w:val="-12"/>
          <w:szCs w:val="21"/>
        </w:rPr>
        <w:object>
          <v:shape id="_x0000_i1734" o:spt="75" type="#_x0000_t75" style="height:18pt;width:15pt;" o:ole="t" filled="f" o:preferrelative="t" stroked="f" coordsize="21600,21600">
            <v:path/>
            <v:fill on="f" focussize="0,0"/>
            <v:stroke on="f" joinstyle="miter"/>
            <v:imagedata r:id="rId1375" o:title=""/>
            <o:lock v:ext="edit" aspectratio="t"/>
            <w10:wrap type="none"/>
            <w10:anchorlock/>
          </v:shape>
          <o:OLEObject Type="Embed" ProgID="Equation.DSMT4" ShapeID="_x0000_i1734" DrawAspect="Content" ObjectID="_1468076434" r:id="rId1374">
            <o:LockedField>false</o:LockedField>
          </o:OLEObject>
        </w:object>
      </w:r>
      <w:r>
        <w:rPr>
          <w:color w:val="auto"/>
          <w:szCs w:val="21"/>
        </w:rPr>
        <w:t>、</w:t>
      </w:r>
      <w:r>
        <w:rPr>
          <w:color w:val="auto"/>
          <w:position w:val="-12"/>
          <w:szCs w:val="21"/>
        </w:rPr>
        <w:object>
          <v:shape id="_x0000_i1735" o:spt="75" type="#_x0000_t75" style="height:18pt;width:12pt;" o:ole="t" filled="f" o:preferrelative="t" stroked="f" coordsize="21600,21600">
            <v:path/>
            <v:fill on="f" focussize="0,0"/>
            <v:stroke on="f" joinstyle="miter"/>
            <v:imagedata r:id="rId1368" o:title=""/>
            <o:lock v:ext="edit" aspectratio="t"/>
            <w10:wrap type="none"/>
            <w10:anchorlock/>
          </v:shape>
          <o:OLEObject Type="Embed" ProgID="Equation.DSMT4" ShapeID="_x0000_i1735" DrawAspect="Content" ObjectID="_1468076435" r:id="rId1376">
            <o:LockedField>false</o:LockedField>
          </o:OLEObject>
        </w:object>
      </w:r>
      <w:r>
        <w:rPr>
          <w:color w:val="auto"/>
          <w:szCs w:val="21"/>
        </w:rPr>
        <w:t>应根据柱所处的位置分别按</w:t>
      </w:r>
      <w:r>
        <w:rPr>
          <w:rFonts w:hint="eastAsia"/>
          <w:color w:val="auto"/>
          <w:szCs w:val="21"/>
        </w:rPr>
        <w:t>公式</w:t>
      </w:r>
      <w:r>
        <w:rPr>
          <w:color w:val="auto"/>
          <w:szCs w:val="21"/>
        </w:rPr>
        <w:t>(H.6)~(H.22)计算确定。</w:t>
      </w:r>
    </w:p>
    <w:p w14:paraId="394C697C">
      <w:pPr>
        <w:adjustRightInd w:val="0"/>
        <w:snapToGrid w:val="0"/>
        <w:spacing w:line="340" w:lineRule="exact"/>
        <w:rPr>
          <w:color w:val="auto"/>
          <w:szCs w:val="21"/>
        </w:rPr>
      </w:pPr>
      <w:r>
        <w:rPr>
          <w:b/>
          <w:bCs/>
          <w:color w:val="auto"/>
          <w:szCs w:val="21"/>
        </w:rPr>
        <w:t xml:space="preserve">H.2  </w:t>
      </w:r>
      <w:r>
        <w:rPr>
          <w:color w:val="auto"/>
          <w:szCs w:val="21"/>
        </w:rPr>
        <w:t>对有抗震设防要求的平板式筏基，应验算地震作用效应和其他荷载效应基本组合的临界截面的最大剪应力</w:t>
      </w:r>
      <w:r>
        <w:rPr>
          <w:color w:val="auto"/>
          <w:position w:val="-12"/>
          <w:szCs w:val="21"/>
        </w:rPr>
        <w:object>
          <v:shape id="_x0000_i1736" o:spt="75" type="#_x0000_t75" style="height:18pt;width:23.25pt;" o:ole="t" filled="f" o:preferrelative="t" stroked="f" coordsize="21600,21600">
            <v:path/>
            <v:fill on="f" focussize="0,0"/>
            <v:stroke on="f" joinstyle="miter"/>
            <v:imagedata r:id="rId1378" o:title=""/>
            <o:lock v:ext="edit" aspectratio="t"/>
            <w10:wrap type="none"/>
            <w10:anchorlock/>
          </v:shape>
          <o:OLEObject Type="Embed" ProgID="Equation.DSMT4" ShapeID="_x0000_i1736" DrawAspect="Content" ObjectID="_1468076436" r:id="rId1377">
            <o:LockedField>false</o:LockedField>
          </o:OLEObject>
        </w:object>
      </w:r>
      <w:r>
        <w:rPr>
          <w:color w:val="auto"/>
          <w:szCs w:val="21"/>
        </w:rPr>
        <w:t>。</w:t>
      </w:r>
    </w:p>
    <w:p w14:paraId="6AAB58E5">
      <w:pPr>
        <w:wordWrap w:val="0"/>
        <w:adjustRightInd w:val="0"/>
        <w:snapToGrid w:val="0"/>
        <w:spacing w:before="120" w:line="360" w:lineRule="atLeast"/>
        <w:ind w:firstLine="1134"/>
        <w:jc w:val="right"/>
        <w:rPr>
          <w:color w:val="auto"/>
          <w:szCs w:val="21"/>
        </w:rPr>
      </w:pPr>
      <w:r>
        <w:rPr>
          <w:color w:val="auto"/>
          <w:position w:val="-30"/>
          <w:szCs w:val="21"/>
        </w:rPr>
        <w:object>
          <v:shape id="_x0000_i1737" o:spt="75" type="#_x0000_t75" style="height:35.25pt;width:111pt;" o:ole="t" filled="f" o:preferrelative="t" stroked="f" coordsize="21600,21600">
            <v:path/>
            <v:fill on="f" focussize="0,0"/>
            <v:stroke on="f" joinstyle="miter"/>
            <v:imagedata r:id="rId1380" o:title=""/>
            <o:lock v:ext="edit" aspectratio="t"/>
            <w10:wrap type="none"/>
            <w10:anchorlock/>
          </v:shape>
          <o:OLEObject Type="Embed" ProgID="Equation.DSMT4" ShapeID="_x0000_i1737" DrawAspect="Content" ObjectID="_1468076437" r:id="rId1379">
            <o:LockedField>false</o:LockedField>
          </o:OLEObject>
        </w:object>
      </w:r>
      <w:r>
        <w:rPr>
          <w:color w:val="auto"/>
          <w:szCs w:val="21"/>
        </w:rPr>
        <w:t xml:space="preserve">                            (H.4)</w:t>
      </w:r>
    </w:p>
    <w:p w14:paraId="338A319F">
      <w:pPr>
        <w:wordWrap w:val="0"/>
        <w:adjustRightInd w:val="0"/>
        <w:snapToGrid w:val="0"/>
        <w:spacing w:before="120" w:line="360" w:lineRule="atLeast"/>
        <w:ind w:firstLine="1134"/>
        <w:jc w:val="right"/>
        <w:rPr>
          <w:color w:val="auto"/>
          <w:szCs w:val="21"/>
        </w:rPr>
      </w:pPr>
      <w:r>
        <w:rPr>
          <w:color w:val="auto"/>
          <w:position w:val="-12"/>
          <w:szCs w:val="21"/>
        </w:rPr>
        <w:object>
          <v:shape id="_x0000_i1738" o:spt="75" type="#_x0000_t75" style="height:18pt;width:26.25pt;" o:ole="t" filled="f" o:preferrelative="t" stroked="f" coordsize="21600,21600">
            <v:path/>
            <v:fill on="f" focussize="0,0"/>
            <v:stroke on="f" joinstyle="miter"/>
            <v:imagedata r:id="rId1382" o:title=""/>
            <o:lock v:ext="edit" aspectratio="t"/>
            <w10:wrap type="none"/>
            <w10:anchorlock/>
          </v:shape>
          <o:OLEObject Type="Embed" ProgID="Equation.DSMT4" ShapeID="_x0000_i1738" DrawAspect="Content" ObjectID="_1468076438" r:id="rId1381">
            <o:LockedField>false</o:LockedField>
          </o:OLEObject>
        </w:object>
      </w:r>
      <w:r>
        <w:rPr>
          <w:color w:val="auto"/>
          <w:szCs w:val="21"/>
        </w:rPr>
        <w:t>≤</w:t>
      </w:r>
      <w:r>
        <w:rPr>
          <w:color w:val="auto"/>
          <w:position w:val="-30"/>
          <w:szCs w:val="21"/>
        </w:rPr>
        <w:object>
          <v:shape id="_x0000_i1739" o:spt="75" type="#_x0000_t75" style="height:36.75pt;width:90pt;" o:ole="t" filled="f" o:preferrelative="t" stroked="f" coordsize="21600,21600">
            <v:path/>
            <v:fill on="f" focussize="0,0"/>
            <v:stroke on="f" joinstyle="miter"/>
            <v:imagedata r:id="rId1384" o:title=""/>
            <o:lock v:ext="edit" aspectratio="t"/>
            <w10:wrap type="none"/>
            <w10:anchorlock/>
          </v:shape>
          <o:OLEObject Type="Embed" ProgID="Equation.DSMT4" ShapeID="_x0000_i1739" DrawAspect="Content" ObjectID="_1468076439" r:id="rId1383">
            <o:LockedField>false</o:LockedField>
          </o:OLEObject>
        </w:object>
      </w:r>
      <w:r>
        <w:rPr>
          <w:color w:val="auto"/>
          <w:szCs w:val="21"/>
        </w:rPr>
        <w:t xml:space="preserve">                          (H.5)</w:t>
      </w:r>
    </w:p>
    <w:p w14:paraId="135AB260">
      <w:pPr>
        <w:adjustRightInd w:val="0"/>
        <w:snapToGrid w:val="0"/>
        <w:spacing w:before="120" w:line="340" w:lineRule="exact"/>
        <w:ind w:left="1457" w:hanging="1457" w:hangingChars="694"/>
        <w:rPr>
          <w:color w:val="auto"/>
          <w:szCs w:val="21"/>
        </w:rPr>
      </w:pPr>
      <w:r>
        <w:rPr>
          <w:color w:val="auto"/>
          <w:szCs w:val="21"/>
        </w:rPr>
        <w:t xml:space="preserve">式中   </w:t>
      </w:r>
      <w:r>
        <w:rPr>
          <w:color w:val="auto"/>
          <w:position w:val="-12"/>
          <w:szCs w:val="21"/>
        </w:rPr>
        <w:object>
          <v:shape id="_x0000_i1740" o:spt="75" type="#_x0000_t75" style="height:18pt;width:15pt;" o:ole="t" filled="f" o:preferrelative="t" stroked="f" coordsize="21600,21600">
            <v:path/>
            <v:fill on="f" focussize="0,0"/>
            <v:stroke on="f" joinstyle="miter"/>
            <v:imagedata r:id="rId1386" o:title=""/>
            <o:lock v:ext="edit" aspectratio="t"/>
            <w10:wrap type="none"/>
            <w10:anchorlock/>
          </v:shape>
          <o:OLEObject Type="Embed" ProgID="Equation.DSMT4" ShapeID="_x0000_i1740" DrawAspect="Content" ObjectID="_1468076440" r:id="rId1385">
            <o:LockedField>false</o:LockedField>
          </o:OLEObject>
        </w:object>
      </w:r>
      <w:r>
        <w:rPr>
          <w:color w:val="auto"/>
          <w:szCs w:val="21"/>
        </w:rPr>
        <w:t>——相应于地震作用效应和其他作用效应基本组合时的冲切力，与</w:t>
      </w:r>
      <w:r>
        <w:rPr>
          <w:color w:val="auto"/>
          <w:position w:val="-12"/>
          <w:szCs w:val="21"/>
        </w:rPr>
        <w:object>
          <v:shape id="_x0000_i1741" o:spt="75" type="#_x0000_t75" style="height:18pt;width:12.75pt;" o:ole="t" filled="f" o:preferrelative="t" stroked="f" coordsize="21600,21600">
            <v:path/>
            <v:fill on="f" focussize="0,0"/>
            <v:stroke on="f" joinstyle="miter"/>
            <v:imagedata r:id="rId1388" o:title=""/>
            <o:lock v:ext="edit" aspectratio="t"/>
            <w10:wrap type="none"/>
            <w10:anchorlock/>
          </v:shape>
          <o:OLEObject Type="Embed" ProgID="Equation.3" ShapeID="_x0000_i1741" DrawAspect="Content" ObjectID="_1468076441" r:id="rId1387">
            <o:LockedField>false</o:LockedField>
          </o:OLEObject>
        </w:object>
      </w:r>
      <w:r>
        <w:rPr>
          <w:color w:val="auto"/>
          <w:szCs w:val="21"/>
        </w:rPr>
        <w:t>相同，应取轴力设计值减去筏板相应范围内的地基反力设计值；</w:t>
      </w:r>
    </w:p>
    <w:p w14:paraId="42592F24">
      <w:pPr>
        <w:adjustRightInd w:val="0"/>
        <w:snapToGrid w:val="0"/>
        <w:spacing w:line="340" w:lineRule="exact"/>
        <w:ind w:left="1505" w:leftChars="211" w:hanging="1062" w:hangingChars="506"/>
        <w:rPr>
          <w:color w:val="auto"/>
          <w:szCs w:val="21"/>
        </w:rPr>
      </w:pPr>
      <w:r>
        <w:rPr>
          <w:color w:val="auto"/>
          <w:position w:val="-12"/>
          <w:szCs w:val="21"/>
        </w:rPr>
        <w:object>
          <v:shape id="_x0000_i1742" o:spt="75" type="#_x0000_t75" style="height:18pt;width:18pt;" o:ole="t" filled="f" o:preferrelative="t" stroked="f" coordsize="21600,21600">
            <v:path/>
            <v:fill on="f" focussize="0,0"/>
            <v:stroke on="f" joinstyle="miter"/>
            <v:imagedata r:id="rId1390" o:title=""/>
            <o:lock v:ext="edit" aspectratio="t"/>
            <w10:wrap type="none"/>
            <w10:anchorlock/>
          </v:shape>
          <o:OLEObject Type="Embed" ProgID="Equation.DSMT4" ShapeID="_x0000_i1742" DrawAspect="Content" ObjectID="_1468076442" r:id="rId1389">
            <o:LockedField>false</o:LockedField>
          </o:OLEObject>
        </w:object>
      </w:r>
      <w:r>
        <w:rPr>
          <w:color w:val="auto"/>
          <w:szCs w:val="21"/>
        </w:rPr>
        <w:t>——考虑地震作用组合后的冲切临界截面重心上的不平衡弯矩设计值；</w:t>
      </w:r>
    </w:p>
    <w:p w14:paraId="3F5A8406">
      <w:pPr>
        <w:adjustRightInd w:val="0"/>
        <w:snapToGrid w:val="0"/>
        <w:spacing w:line="240" w:lineRule="atLeast"/>
        <w:ind w:firstLine="630"/>
        <w:rPr>
          <w:color w:val="auto"/>
          <w:szCs w:val="21"/>
        </w:rPr>
      </w:pPr>
      <w:r>
        <w:rPr>
          <w:color w:val="auto"/>
          <w:position w:val="-12"/>
          <w:szCs w:val="21"/>
        </w:rPr>
        <w:object>
          <v:shape id="_x0000_i1743" o:spt="75" type="#_x0000_t75" style="height:18pt;width:18pt;" o:ole="t" filled="f" o:preferrelative="t" stroked="f" coordsize="21600,21600">
            <v:path/>
            <v:fill on="f" focussize="0,0"/>
            <v:stroke on="f" joinstyle="miter"/>
            <v:imagedata r:id="rId1392" o:title=""/>
            <o:lock v:ext="edit" aspectratio="t"/>
            <w10:wrap type="none"/>
            <w10:anchorlock/>
          </v:shape>
          <o:OLEObject Type="Embed" ProgID="Equation.DSMT4" ShapeID="_x0000_i1743" DrawAspect="Content" ObjectID="_1468076443" r:id="rId1391">
            <o:LockedField>false</o:LockedField>
          </o:OLEObject>
        </w:object>
      </w:r>
      <w:r>
        <w:rPr>
          <w:color w:val="auto"/>
          <w:szCs w:val="21"/>
        </w:rPr>
        <w:t>——承载力抗震调整系数，受剪力时取0.85；</w:t>
      </w:r>
    </w:p>
    <w:p w14:paraId="63AC46A3">
      <w:pPr>
        <w:adjustRightInd w:val="0"/>
        <w:snapToGrid w:val="0"/>
        <w:spacing w:line="340" w:lineRule="exact"/>
        <w:ind w:firstLine="720"/>
        <w:rPr>
          <w:color w:val="auto"/>
          <w:szCs w:val="21"/>
        </w:rPr>
      </w:pPr>
      <w:r>
        <w:rPr>
          <w:color w:val="auto"/>
          <w:szCs w:val="21"/>
        </w:rPr>
        <w:t>其他符号同H.1。</w:t>
      </w:r>
    </w:p>
    <w:p w14:paraId="0F8016C7">
      <w:pPr>
        <w:adjustRightInd w:val="0"/>
        <w:snapToGrid w:val="0"/>
        <w:spacing w:before="120" w:line="340" w:lineRule="exact"/>
        <w:rPr>
          <w:color w:val="auto"/>
          <w:szCs w:val="21"/>
        </w:rPr>
      </w:pPr>
      <w:r>
        <w:rPr>
          <w:b/>
          <w:bCs/>
          <w:color w:val="auto"/>
          <w:szCs w:val="21"/>
        </w:rPr>
        <w:t xml:space="preserve">H.3  </w:t>
      </w:r>
      <w:r>
        <w:rPr>
          <w:color w:val="auto"/>
          <w:szCs w:val="21"/>
        </w:rPr>
        <w:t>内柱应按下列公式计算（图H.2）：</w:t>
      </w:r>
    </w:p>
    <w:p w14:paraId="5D721458">
      <w:pPr>
        <w:adjustRightInd w:val="0"/>
        <w:snapToGrid w:val="0"/>
        <w:spacing w:line="360" w:lineRule="atLeast"/>
        <w:rPr>
          <w:color w:val="auto"/>
          <w:szCs w:val="21"/>
        </w:rPr>
      </w:pPr>
    </w:p>
    <w:p w14:paraId="524BCA9F">
      <w:pPr>
        <w:adjustRightInd w:val="0"/>
        <w:snapToGrid w:val="0"/>
        <w:spacing w:line="360" w:lineRule="atLeast"/>
        <w:jc w:val="center"/>
        <w:rPr>
          <w:color w:val="auto"/>
          <w:szCs w:val="21"/>
        </w:rPr>
      </w:pPr>
      <w:r>
        <w:rPr>
          <w:color w:val="auto"/>
          <w:szCs w:val="21"/>
        </w:rPr>
        <w:drawing>
          <wp:inline distT="0" distB="0" distL="0" distR="0">
            <wp:extent cx="3876675" cy="1524000"/>
            <wp:effectExtent l="0" t="0" r="9525" b="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pic:cNvPicPr>
                      <a:picLocks noChangeAspect="1" noChangeArrowheads="1"/>
                    </pic:cNvPicPr>
                  </pic:nvPicPr>
                  <pic:blipFill>
                    <a:blip r:embed="rId1393">
                      <a:extLst>
                        <a:ext uri="{28A0092B-C50C-407E-A947-70E740481C1C}">
                          <a14:useLocalDpi xmlns:a14="http://schemas.microsoft.com/office/drawing/2010/main" val="0"/>
                        </a:ext>
                      </a:extLst>
                    </a:blip>
                    <a:srcRect/>
                    <a:stretch>
                      <a:fillRect/>
                    </a:stretch>
                  </pic:blipFill>
                  <pic:spPr>
                    <a:xfrm>
                      <a:off x="0" y="0"/>
                      <a:ext cx="3876675" cy="1524000"/>
                    </a:xfrm>
                    <a:prstGeom prst="rect">
                      <a:avLst/>
                    </a:prstGeom>
                    <a:noFill/>
                    <a:ln>
                      <a:noFill/>
                    </a:ln>
                  </pic:spPr>
                </pic:pic>
              </a:graphicData>
            </a:graphic>
          </wp:inline>
        </w:drawing>
      </w:r>
    </w:p>
    <w:p w14:paraId="3F45B17B">
      <w:pPr>
        <w:adjustRightInd w:val="0"/>
        <w:snapToGrid w:val="0"/>
        <w:spacing w:line="360" w:lineRule="atLeast"/>
        <w:jc w:val="center"/>
        <w:rPr>
          <w:b/>
          <w:color w:val="auto"/>
          <w:sz w:val="18"/>
          <w:szCs w:val="18"/>
        </w:rPr>
      </w:pPr>
      <w:r>
        <w:rPr>
          <w:b/>
          <w:color w:val="auto"/>
          <w:sz w:val="18"/>
          <w:szCs w:val="18"/>
        </w:rPr>
        <w:t>图H.2  内柱冲切临界截面</w:t>
      </w:r>
    </w:p>
    <w:p w14:paraId="5FF99FD6">
      <w:pPr>
        <w:wordWrap w:val="0"/>
        <w:adjustRightInd w:val="0"/>
        <w:snapToGrid w:val="0"/>
        <w:spacing w:before="240" w:line="360" w:lineRule="atLeast"/>
        <w:ind w:firstLine="1134"/>
        <w:jc w:val="right"/>
        <w:rPr>
          <w:color w:val="auto"/>
          <w:szCs w:val="21"/>
        </w:rPr>
      </w:pPr>
      <w:r>
        <w:rPr>
          <w:color w:val="auto"/>
          <w:position w:val="-12"/>
          <w:szCs w:val="21"/>
        </w:rPr>
        <w:object>
          <v:shape id="_x0000_i1744" o:spt="75" type="#_x0000_t75" style="height:18pt;width:51.75pt;" o:ole="t" filled="f" o:preferrelative="t" stroked="f" coordsize="21600,21600">
            <v:path/>
            <v:fill on="f" focussize="0,0"/>
            <v:stroke on="f" joinstyle="miter"/>
            <v:imagedata r:id="rId1395" o:title=""/>
            <o:lock v:ext="edit" aspectratio="t"/>
            <w10:wrap type="none"/>
            <w10:anchorlock/>
          </v:shape>
          <o:OLEObject Type="Embed" ProgID="Equation.DSMT4" ShapeID="_x0000_i1744" DrawAspect="Content" ObjectID="_1468076444" r:id="rId1394">
            <o:LockedField>false</o:LockedField>
          </o:OLEObject>
        </w:object>
      </w:r>
      <w:r>
        <w:rPr>
          <w:color w:val="auto"/>
          <w:szCs w:val="21"/>
        </w:rPr>
        <w:t xml:space="preserve">                                 (H.6)</w:t>
      </w:r>
    </w:p>
    <w:p w14:paraId="7A45BA72">
      <w:pPr>
        <w:wordWrap w:val="0"/>
        <w:adjustRightInd w:val="0"/>
        <w:snapToGrid w:val="0"/>
        <w:spacing w:line="360" w:lineRule="atLeast"/>
        <w:ind w:firstLine="1134"/>
        <w:jc w:val="right"/>
        <w:rPr>
          <w:color w:val="auto"/>
          <w:szCs w:val="21"/>
        </w:rPr>
      </w:pPr>
      <w:r>
        <w:rPr>
          <w:color w:val="auto"/>
          <w:position w:val="-12"/>
          <w:szCs w:val="21"/>
        </w:rPr>
        <w:object>
          <v:shape id="_x0000_i1745" o:spt="75" type="#_x0000_t75" style="height:18pt;width:51.75pt;" o:ole="t" filled="f" o:preferrelative="t" stroked="f" coordsize="21600,21600">
            <v:path/>
            <v:fill on="f" focussize="0,0"/>
            <v:stroke on="f" joinstyle="miter"/>
            <v:imagedata r:id="rId1397" o:title=""/>
            <o:lock v:ext="edit" aspectratio="t"/>
            <w10:wrap type="none"/>
            <w10:anchorlock/>
          </v:shape>
          <o:OLEObject Type="Embed" ProgID="Equation.DSMT4" ShapeID="_x0000_i1745" DrawAspect="Content" ObjectID="_1468076445" r:id="rId1396">
            <o:LockedField>false</o:LockedField>
          </o:OLEObject>
        </w:object>
      </w:r>
      <w:r>
        <w:rPr>
          <w:color w:val="auto"/>
          <w:szCs w:val="21"/>
        </w:rPr>
        <w:t xml:space="preserve">                                 (H.7)</w:t>
      </w:r>
    </w:p>
    <w:p w14:paraId="55BD170C">
      <w:pPr>
        <w:wordWrap w:val="0"/>
        <w:adjustRightInd w:val="0"/>
        <w:snapToGrid w:val="0"/>
        <w:spacing w:line="360" w:lineRule="atLeast"/>
        <w:ind w:firstLine="840"/>
        <w:jc w:val="right"/>
        <w:rPr>
          <w:color w:val="auto"/>
          <w:szCs w:val="21"/>
        </w:rPr>
      </w:pPr>
      <w:r>
        <w:rPr>
          <w:color w:val="auto"/>
          <w:position w:val="-24"/>
          <w:szCs w:val="21"/>
        </w:rPr>
        <w:object>
          <v:shape id="_x0000_i1746" o:spt="75" type="#_x0000_t75" style="height:30.75pt;width:39pt;" o:ole="t" filled="f" o:preferrelative="t" stroked="f" coordsize="21600,21600">
            <v:path/>
            <v:fill on="f" focussize="0,0"/>
            <v:stroke on="f" joinstyle="miter"/>
            <v:imagedata r:id="rId1399" o:title=""/>
            <o:lock v:ext="edit" aspectratio="t"/>
            <w10:wrap type="none"/>
            <w10:anchorlock/>
          </v:shape>
          <o:OLEObject Type="Embed" ProgID="Equation.DSMT4" ShapeID="_x0000_i1746" DrawAspect="Content" ObjectID="_1468076446" r:id="rId1398">
            <o:LockedField>false</o:LockedField>
          </o:OLEObject>
        </w:object>
      </w:r>
      <w:r>
        <w:rPr>
          <w:color w:val="auto"/>
          <w:szCs w:val="21"/>
        </w:rPr>
        <w:t xml:space="preserve">                                  (H.8)</w:t>
      </w:r>
    </w:p>
    <w:p w14:paraId="20371C13">
      <w:pPr>
        <w:wordWrap w:val="0"/>
        <w:adjustRightInd w:val="0"/>
        <w:snapToGrid w:val="0"/>
        <w:spacing w:line="360" w:lineRule="atLeast"/>
        <w:ind w:firstLine="840"/>
        <w:jc w:val="right"/>
        <w:rPr>
          <w:color w:val="auto"/>
          <w:szCs w:val="21"/>
        </w:rPr>
      </w:pPr>
      <w:r>
        <w:rPr>
          <w:color w:val="auto"/>
          <w:position w:val="-12"/>
          <w:szCs w:val="21"/>
        </w:rPr>
        <w:object>
          <v:shape id="_x0000_i1747" o:spt="75" type="#_x0000_t75" style="height:18pt;width:64.5pt;" o:ole="t" filled="f" o:preferrelative="t" stroked="f" coordsize="21600,21600">
            <v:path/>
            <v:fill on="f" focussize="0,0"/>
            <v:stroke on="f" joinstyle="miter"/>
            <v:imagedata r:id="rId1401" o:title=""/>
            <o:lock v:ext="edit" aspectratio="t"/>
            <w10:wrap type="none"/>
            <w10:anchorlock/>
          </v:shape>
          <o:OLEObject Type="Embed" ProgID="Equation.DSMT4" ShapeID="_x0000_i1747" DrawAspect="Content" ObjectID="_1468076447" r:id="rId1400">
            <o:LockedField>false</o:LockedField>
          </o:OLEObject>
        </w:object>
      </w:r>
      <w:r>
        <w:rPr>
          <w:color w:val="auto"/>
          <w:szCs w:val="21"/>
        </w:rPr>
        <w:t xml:space="preserve">                               (H.9)</w:t>
      </w:r>
    </w:p>
    <w:p w14:paraId="06E00598">
      <w:pPr>
        <w:wordWrap w:val="0"/>
        <w:adjustRightInd w:val="0"/>
        <w:snapToGrid w:val="0"/>
        <w:spacing w:before="120" w:line="360" w:lineRule="atLeast"/>
        <w:ind w:firstLine="839"/>
        <w:jc w:val="right"/>
        <w:rPr>
          <w:color w:val="auto"/>
          <w:szCs w:val="21"/>
        </w:rPr>
      </w:pPr>
      <w:r>
        <w:rPr>
          <w:color w:val="auto"/>
          <w:position w:val="-24"/>
          <w:szCs w:val="21"/>
        </w:rPr>
        <w:object>
          <v:shape id="_x0000_i1748" o:spt="75" type="#_x0000_t75" style="height:33pt;width:115.5pt;" o:ole="t" filled="f" o:preferrelative="t" stroked="f" coordsize="21600,21600">
            <v:path/>
            <v:fill on="f" focussize="0,0"/>
            <v:stroke on="f" joinstyle="miter"/>
            <v:imagedata r:id="rId1403" o:title=""/>
            <o:lock v:ext="edit" aspectratio="t"/>
            <w10:wrap type="none"/>
            <w10:anchorlock/>
          </v:shape>
          <o:OLEObject Type="Embed" ProgID="Equation.DSMT4" ShapeID="_x0000_i1748" DrawAspect="Content" ObjectID="_1468076448" r:id="rId1402">
            <o:LockedField>false</o:LockedField>
          </o:OLEObject>
        </w:object>
      </w:r>
      <w:r>
        <w:rPr>
          <w:color w:val="auto"/>
          <w:szCs w:val="21"/>
        </w:rPr>
        <w:t xml:space="preserve">                           (H.10)</w:t>
      </w:r>
    </w:p>
    <w:p w14:paraId="0B067655">
      <w:pPr>
        <w:adjustRightInd w:val="0"/>
        <w:snapToGrid w:val="0"/>
        <w:spacing w:before="120" w:line="360" w:lineRule="atLeast"/>
        <w:rPr>
          <w:color w:val="auto"/>
          <w:szCs w:val="21"/>
        </w:rPr>
      </w:pPr>
      <w:r>
        <w:rPr>
          <w:color w:val="auto"/>
          <w:szCs w:val="21"/>
        </w:rPr>
        <w:t xml:space="preserve">式中   </w:t>
      </w:r>
      <w:r>
        <w:rPr>
          <w:color w:val="auto"/>
          <w:position w:val="-12"/>
          <w:szCs w:val="21"/>
        </w:rPr>
        <w:object>
          <v:shape id="_x0000_i1749" o:spt="75" type="#_x0000_t75" style="height:18pt;width:12pt;" o:ole="t" filled="f" o:preferrelative="t" stroked="f" coordsize="21600,21600">
            <v:path/>
            <v:fill on="f" focussize="0,0"/>
            <v:stroke on="f" joinstyle="miter"/>
            <v:imagedata r:id="rId1405" o:title=""/>
            <o:lock v:ext="edit" aspectratio="t"/>
            <w10:wrap type="none"/>
            <w10:anchorlock/>
          </v:shape>
          <o:OLEObject Type="Embed" ProgID="Equation.DSMT4" ShapeID="_x0000_i1749" DrawAspect="Content" ObjectID="_1468076449" r:id="rId1404">
            <o:LockedField>false</o:LockedField>
          </o:OLEObject>
        </w:object>
      </w:r>
      <w:r>
        <w:rPr>
          <w:color w:val="auto"/>
          <w:szCs w:val="21"/>
        </w:rPr>
        <w:t>——与弯矩作用方向一致的柱截面的边长；</w:t>
      </w:r>
    </w:p>
    <w:p w14:paraId="7179F888">
      <w:pPr>
        <w:adjustRightInd w:val="0"/>
        <w:snapToGrid w:val="0"/>
        <w:spacing w:line="360" w:lineRule="atLeast"/>
        <w:rPr>
          <w:color w:val="auto"/>
          <w:szCs w:val="21"/>
        </w:rPr>
      </w:pPr>
      <w:r>
        <w:rPr>
          <w:color w:val="auto"/>
          <w:szCs w:val="21"/>
        </w:rPr>
        <w:t xml:space="preserve">       </w:t>
      </w:r>
      <w:r>
        <w:rPr>
          <w:color w:val="auto"/>
          <w:position w:val="-12"/>
          <w:szCs w:val="21"/>
        </w:rPr>
        <w:object>
          <v:shape id="_x0000_i1750" o:spt="75" type="#_x0000_t75" style="height:18pt;width:12pt;" o:ole="t" filled="f" o:preferrelative="t" stroked="f" coordsize="21600,21600">
            <v:path/>
            <v:fill on="f" focussize="0,0"/>
            <v:stroke on="f" joinstyle="miter"/>
            <v:imagedata r:id="rId1407" o:title=""/>
            <o:lock v:ext="edit" aspectratio="t"/>
            <w10:wrap type="none"/>
            <w10:anchorlock/>
          </v:shape>
          <o:OLEObject Type="Embed" ProgID="Equation.DSMT4" ShapeID="_x0000_i1750" DrawAspect="Content" ObjectID="_1468076450" r:id="rId1406">
            <o:LockedField>false</o:LockedField>
          </o:OLEObject>
        </w:object>
      </w:r>
      <w:r>
        <w:rPr>
          <w:color w:val="auto"/>
          <w:szCs w:val="21"/>
        </w:rPr>
        <w:t>——垂直于</w:t>
      </w:r>
      <w:r>
        <w:rPr>
          <w:color w:val="auto"/>
          <w:position w:val="-12"/>
          <w:szCs w:val="21"/>
        </w:rPr>
        <w:object>
          <v:shape id="_x0000_i1751" o:spt="75" type="#_x0000_t75" style="height:18pt;width:12pt;" o:ole="t" filled="f" o:preferrelative="t" stroked="f" coordsize="21600,21600">
            <v:path/>
            <v:fill on="f" focussize="0,0"/>
            <v:stroke on="f" joinstyle="miter"/>
            <v:imagedata r:id="rId1405" o:title=""/>
            <o:lock v:ext="edit" aspectratio="t"/>
            <w10:wrap type="none"/>
            <w10:anchorlock/>
          </v:shape>
          <o:OLEObject Type="Embed" ProgID="Equation.DSMT4" ShapeID="_x0000_i1751" DrawAspect="Content" ObjectID="_1468076451" r:id="rId1408">
            <o:LockedField>false</o:LockedField>
          </o:OLEObject>
        </w:object>
      </w:r>
      <w:r>
        <w:rPr>
          <w:color w:val="auto"/>
          <w:szCs w:val="21"/>
        </w:rPr>
        <w:t>的柱截面边长。</w:t>
      </w:r>
    </w:p>
    <w:p w14:paraId="1A3CD859">
      <w:pPr>
        <w:adjustRightInd w:val="0"/>
        <w:snapToGrid w:val="0"/>
        <w:spacing w:before="120" w:line="360" w:lineRule="atLeast"/>
        <w:rPr>
          <w:color w:val="auto"/>
          <w:szCs w:val="21"/>
        </w:rPr>
      </w:pPr>
      <w:r>
        <w:rPr>
          <w:b/>
          <w:bCs/>
          <w:color w:val="auto"/>
          <w:szCs w:val="21"/>
        </w:rPr>
        <w:t xml:space="preserve">H.4  </w:t>
      </w:r>
      <w:r>
        <w:rPr>
          <w:color w:val="auto"/>
          <w:szCs w:val="21"/>
        </w:rPr>
        <w:t>边柱应按下列公式计算（图H.3）：</w:t>
      </w:r>
    </w:p>
    <w:p w14:paraId="5F25F46B">
      <w:pPr>
        <w:adjustRightInd w:val="0"/>
        <w:snapToGrid w:val="0"/>
        <w:spacing w:before="240" w:line="360" w:lineRule="atLeast"/>
        <w:jc w:val="center"/>
        <w:rPr>
          <w:color w:val="auto"/>
          <w:szCs w:val="21"/>
        </w:rPr>
      </w:pPr>
      <w:r>
        <w:rPr>
          <w:color w:val="auto"/>
          <w:szCs w:val="21"/>
        </w:rPr>
        <w:drawing>
          <wp:inline distT="0" distB="0" distL="0" distR="0">
            <wp:extent cx="3724275" cy="1438275"/>
            <wp:effectExtent l="0" t="0" r="0" b="9525"/>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pic:cNvPicPr>
                      <a:picLocks noChangeAspect="1" noChangeArrowheads="1"/>
                    </pic:cNvPicPr>
                  </pic:nvPicPr>
                  <pic:blipFill>
                    <a:blip r:embed="rId1409">
                      <a:extLst>
                        <a:ext uri="{28A0092B-C50C-407E-A947-70E740481C1C}">
                          <a14:useLocalDpi xmlns:a14="http://schemas.microsoft.com/office/drawing/2010/main" val="0"/>
                        </a:ext>
                      </a:extLst>
                    </a:blip>
                    <a:srcRect/>
                    <a:stretch>
                      <a:fillRect/>
                    </a:stretch>
                  </pic:blipFill>
                  <pic:spPr>
                    <a:xfrm>
                      <a:off x="0" y="0"/>
                      <a:ext cx="3724275" cy="1438275"/>
                    </a:xfrm>
                    <a:prstGeom prst="rect">
                      <a:avLst/>
                    </a:prstGeom>
                    <a:noFill/>
                    <a:ln>
                      <a:noFill/>
                    </a:ln>
                  </pic:spPr>
                </pic:pic>
              </a:graphicData>
            </a:graphic>
          </wp:inline>
        </w:drawing>
      </w:r>
    </w:p>
    <w:p w14:paraId="06042E17">
      <w:pPr>
        <w:adjustRightInd w:val="0"/>
        <w:snapToGrid w:val="0"/>
        <w:spacing w:before="120" w:line="360" w:lineRule="atLeast"/>
        <w:jc w:val="center"/>
        <w:rPr>
          <w:rFonts w:eastAsia="黑体"/>
          <w:b/>
          <w:color w:val="auto"/>
          <w:sz w:val="18"/>
          <w:szCs w:val="18"/>
        </w:rPr>
      </w:pPr>
      <w:r>
        <w:rPr>
          <w:rFonts w:eastAsia="黑体"/>
          <w:b/>
          <w:color w:val="auto"/>
          <w:sz w:val="18"/>
          <w:szCs w:val="18"/>
        </w:rPr>
        <w:t xml:space="preserve">图H.3   </w:t>
      </w:r>
      <w:r>
        <w:rPr>
          <w:b/>
          <w:color w:val="auto"/>
          <w:sz w:val="18"/>
          <w:szCs w:val="18"/>
        </w:rPr>
        <w:t>边柱冲切临界截面</w:t>
      </w:r>
    </w:p>
    <w:p w14:paraId="33C3A6D2">
      <w:pPr>
        <w:wordWrap w:val="0"/>
        <w:adjustRightInd w:val="0"/>
        <w:snapToGrid w:val="0"/>
        <w:spacing w:before="240" w:line="360" w:lineRule="atLeast"/>
        <w:jc w:val="right"/>
        <w:rPr>
          <w:color w:val="auto"/>
          <w:szCs w:val="21"/>
        </w:rPr>
      </w:pPr>
      <w:r>
        <w:rPr>
          <w:color w:val="auto"/>
          <w:szCs w:val="21"/>
        </w:rPr>
        <w:t xml:space="preserve">        </w:t>
      </w:r>
      <w:r>
        <w:rPr>
          <w:color w:val="auto"/>
          <w:position w:val="-24"/>
          <w:szCs w:val="21"/>
        </w:rPr>
        <w:object>
          <v:shape id="_x0000_i1752" o:spt="75" type="#_x0000_t75" style="height:30.75pt;width:54pt;" o:ole="t" filled="f" o:preferrelative="t" stroked="f" coordsize="21600,21600">
            <v:path/>
            <v:fill on="f" focussize="0,0"/>
            <v:stroke on="f" joinstyle="miter"/>
            <v:imagedata r:id="rId1411" o:title=""/>
            <o:lock v:ext="edit" aspectratio="t"/>
            <w10:wrap type="none"/>
            <w10:anchorlock/>
          </v:shape>
          <o:OLEObject Type="Embed" ProgID="Equation.DSMT4" ShapeID="_x0000_i1752" DrawAspect="Content" ObjectID="_1468076452" r:id="rId1410">
            <o:LockedField>false</o:LockedField>
          </o:OLEObject>
        </w:object>
      </w:r>
      <w:r>
        <w:rPr>
          <w:color w:val="auto"/>
          <w:szCs w:val="21"/>
        </w:rPr>
        <w:t xml:space="preserve">                                     (H.11)</w:t>
      </w:r>
    </w:p>
    <w:p w14:paraId="2ECDE9DE">
      <w:pPr>
        <w:wordWrap w:val="0"/>
        <w:adjustRightInd w:val="0"/>
        <w:snapToGrid w:val="0"/>
        <w:spacing w:before="120" w:line="360" w:lineRule="atLeast"/>
        <w:jc w:val="right"/>
        <w:rPr>
          <w:color w:val="auto"/>
          <w:szCs w:val="21"/>
        </w:rPr>
      </w:pPr>
      <w:r>
        <w:rPr>
          <w:color w:val="auto"/>
          <w:szCs w:val="21"/>
        </w:rPr>
        <w:t xml:space="preserve">        </w:t>
      </w:r>
      <w:r>
        <w:rPr>
          <w:color w:val="auto"/>
          <w:position w:val="-12"/>
          <w:szCs w:val="21"/>
        </w:rPr>
        <w:object>
          <v:shape id="_x0000_i1753" o:spt="75" type="#_x0000_t75" style="height:18pt;width:51.75pt;" o:ole="t" filled="f" o:preferrelative="t" stroked="f" coordsize="21600,21600">
            <v:path/>
            <v:fill on="f" focussize="0,0"/>
            <v:stroke on="f" joinstyle="miter"/>
            <v:imagedata r:id="rId1413" o:title=""/>
            <o:lock v:ext="edit" aspectratio="t"/>
            <w10:wrap type="none"/>
            <w10:anchorlock/>
          </v:shape>
          <o:OLEObject Type="Embed" ProgID="Equation.DSMT4" ShapeID="_x0000_i1753" DrawAspect="Content" ObjectID="_1468076453" r:id="rId1412">
            <o:LockedField>false</o:LockedField>
          </o:OLEObject>
        </w:object>
      </w:r>
      <w:r>
        <w:rPr>
          <w:color w:val="auto"/>
          <w:szCs w:val="21"/>
        </w:rPr>
        <w:t xml:space="preserve">                                    (H.12)</w:t>
      </w:r>
    </w:p>
    <w:p w14:paraId="5F67F071">
      <w:pPr>
        <w:wordWrap w:val="0"/>
        <w:adjustRightInd w:val="0"/>
        <w:snapToGrid w:val="0"/>
        <w:spacing w:before="120" w:line="360" w:lineRule="atLeast"/>
        <w:jc w:val="right"/>
        <w:rPr>
          <w:color w:val="auto"/>
          <w:szCs w:val="21"/>
        </w:rPr>
      </w:pPr>
      <w:r>
        <w:rPr>
          <w:color w:val="auto"/>
          <w:szCs w:val="21"/>
        </w:rPr>
        <w:t xml:space="preserve">        </w:t>
      </w:r>
      <w:r>
        <w:rPr>
          <w:color w:val="auto"/>
          <w:position w:val="-30"/>
          <w:szCs w:val="21"/>
        </w:rPr>
        <w:object>
          <v:shape id="_x0000_i1754" o:spt="75" type="#_x0000_t75" style="height:36.75pt;width:57pt;" o:ole="t" filled="f" o:preferrelative="t" stroked="f" coordsize="21600,21600">
            <v:path/>
            <v:fill on="f" focussize="0,0"/>
            <v:stroke on="f" joinstyle="miter"/>
            <v:imagedata r:id="rId1415" o:title=""/>
            <o:lock v:ext="edit" aspectratio="t"/>
            <w10:wrap type="none"/>
            <w10:anchorlock/>
          </v:shape>
          <o:OLEObject Type="Embed" ProgID="Equation.DSMT4" ShapeID="_x0000_i1754" DrawAspect="Content" ObjectID="_1468076454" r:id="rId1414">
            <o:LockedField>false</o:LockedField>
          </o:OLEObject>
        </w:object>
      </w:r>
      <w:r>
        <w:rPr>
          <w:color w:val="auto"/>
          <w:szCs w:val="21"/>
        </w:rPr>
        <w:t xml:space="preserve">                                    (H.13)</w:t>
      </w:r>
    </w:p>
    <w:p w14:paraId="28487310">
      <w:pPr>
        <w:wordWrap w:val="0"/>
        <w:adjustRightInd w:val="0"/>
        <w:snapToGrid w:val="0"/>
        <w:spacing w:line="360" w:lineRule="atLeast"/>
        <w:jc w:val="right"/>
        <w:rPr>
          <w:color w:val="auto"/>
          <w:szCs w:val="21"/>
        </w:rPr>
      </w:pPr>
      <w:r>
        <w:rPr>
          <w:color w:val="auto"/>
          <w:szCs w:val="21"/>
        </w:rPr>
        <w:t xml:space="preserve">        </w:t>
      </w:r>
      <w:r>
        <w:rPr>
          <w:color w:val="auto"/>
          <w:position w:val="-12"/>
          <w:szCs w:val="21"/>
        </w:rPr>
        <w:object>
          <v:shape id="_x0000_i1755" o:spt="75" type="#_x0000_t75" style="height:18pt;width:54pt;" o:ole="t" filled="f" o:preferrelative="t" stroked="f" coordsize="21600,21600">
            <v:path/>
            <v:fill on="f" focussize="0,0"/>
            <v:stroke on="f" joinstyle="miter"/>
            <v:imagedata r:id="rId1417" o:title=""/>
            <o:lock v:ext="edit" aspectratio="t"/>
            <w10:wrap type="none"/>
            <w10:anchorlock/>
          </v:shape>
          <o:OLEObject Type="Embed" ProgID="Equation.DSMT4" ShapeID="_x0000_i1755" DrawAspect="Content" ObjectID="_1468076455" r:id="rId1416">
            <o:LockedField>false</o:LockedField>
          </o:OLEObject>
        </w:object>
      </w:r>
      <w:r>
        <w:rPr>
          <w:color w:val="auto"/>
          <w:szCs w:val="21"/>
        </w:rPr>
        <w:t xml:space="preserve">                                    (H.14)</w:t>
      </w:r>
    </w:p>
    <w:p w14:paraId="1B41F8D6">
      <w:pPr>
        <w:wordWrap w:val="0"/>
        <w:adjustRightInd w:val="0"/>
        <w:snapToGrid w:val="0"/>
        <w:spacing w:before="120" w:line="360" w:lineRule="atLeast"/>
        <w:jc w:val="right"/>
        <w:rPr>
          <w:color w:val="auto"/>
          <w:szCs w:val="21"/>
        </w:rPr>
      </w:pPr>
      <w:r>
        <w:rPr>
          <w:color w:val="auto"/>
          <w:szCs w:val="21"/>
        </w:rPr>
        <w:t xml:space="preserve">        </w:t>
      </w:r>
      <w:r>
        <w:rPr>
          <w:color w:val="auto"/>
          <w:position w:val="-12"/>
          <w:szCs w:val="21"/>
        </w:rPr>
        <w:object>
          <v:shape id="_x0000_i1756" o:spt="75" type="#_x0000_t75" style="height:18pt;width:60pt;" o:ole="t" filled="f" o:preferrelative="t" stroked="f" coordsize="21600,21600">
            <v:path/>
            <v:fill on="f" focussize="0,0"/>
            <v:stroke on="f" joinstyle="miter"/>
            <v:imagedata r:id="rId1419" o:title=""/>
            <o:lock v:ext="edit" aspectratio="t"/>
            <w10:wrap type="none"/>
            <w10:anchorlock/>
          </v:shape>
          <o:OLEObject Type="Embed" ProgID="Equation.DSMT4" ShapeID="_x0000_i1756" DrawAspect="Content" ObjectID="_1468076456" r:id="rId1418">
            <o:LockedField>false</o:LockedField>
          </o:OLEObject>
        </w:object>
      </w:r>
      <w:r>
        <w:rPr>
          <w:color w:val="auto"/>
          <w:szCs w:val="21"/>
        </w:rPr>
        <w:t xml:space="preserve">                                   (H.15)</w:t>
      </w:r>
    </w:p>
    <w:p w14:paraId="6DFFD9F5">
      <w:pPr>
        <w:wordWrap w:val="0"/>
        <w:adjustRightInd w:val="0"/>
        <w:snapToGrid w:val="0"/>
        <w:spacing w:before="120" w:line="360" w:lineRule="atLeast"/>
        <w:jc w:val="right"/>
        <w:rPr>
          <w:color w:val="auto"/>
          <w:szCs w:val="21"/>
        </w:rPr>
      </w:pPr>
      <w:r>
        <w:rPr>
          <w:color w:val="auto"/>
          <w:position w:val="-24"/>
          <w:szCs w:val="21"/>
        </w:rPr>
        <w:object>
          <v:shape id="_x0000_i1757" o:spt="75" type="#_x0000_t75" style="height:33pt;width:183pt;" o:ole="t" filled="f" o:preferrelative="t" stroked="f" coordsize="21600,21600">
            <v:path/>
            <v:fill on="f" focussize="0,0"/>
            <v:stroke on="f" joinstyle="miter"/>
            <v:imagedata r:id="rId1421" o:title=""/>
            <o:lock v:ext="edit" aspectratio="t"/>
            <w10:wrap type="none"/>
            <w10:anchorlock/>
          </v:shape>
          <o:OLEObject Type="Embed" ProgID="Equation.DSMT4" ShapeID="_x0000_i1757" DrawAspect="Content" ObjectID="_1468076457" r:id="rId1420">
            <o:LockedField>false</o:LockedField>
          </o:OLEObject>
        </w:object>
      </w:r>
      <w:r>
        <w:rPr>
          <w:color w:val="auto"/>
          <w:szCs w:val="21"/>
          <w:vertAlign w:val="superscript"/>
        </w:rPr>
        <w:t xml:space="preserve"> </w:t>
      </w:r>
      <w:r>
        <w:rPr>
          <w:color w:val="auto"/>
          <w:szCs w:val="21"/>
        </w:rPr>
        <w:t xml:space="preserve">                       (H.16)</w:t>
      </w:r>
    </w:p>
    <w:p w14:paraId="20F943B0">
      <w:pPr>
        <w:adjustRightInd w:val="0"/>
        <w:snapToGrid w:val="0"/>
        <w:spacing w:before="120" w:line="360" w:lineRule="atLeast"/>
        <w:rPr>
          <w:color w:val="auto"/>
          <w:szCs w:val="21"/>
        </w:rPr>
      </w:pPr>
      <w:r>
        <w:rPr>
          <w:color w:val="auto"/>
          <w:szCs w:val="21"/>
        </w:rPr>
        <w:t xml:space="preserve">式中   </w:t>
      </w:r>
      <w:r>
        <w:rPr>
          <w:color w:val="auto"/>
          <w:position w:val="-6"/>
          <w:szCs w:val="21"/>
        </w:rPr>
        <w:object>
          <v:shape id="_x0000_i1758" o:spt="75" type="#_x0000_t75" style="height:12.75pt;width:12pt;" o:ole="t" filled="f" o:preferrelative="t" stroked="f" coordsize="21600,21600">
            <v:path/>
            <v:fill on="f" focussize="0,0"/>
            <v:stroke on="f" joinstyle="miter"/>
            <v:imagedata r:id="rId1423" o:title=""/>
            <o:lock v:ext="edit" aspectratio="t"/>
            <w10:wrap type="none"/>
            <w10:anchorlock/>
          </v:shape>
          <o:OLEObject Type="Embed" ProgID="Equation.DSMT4" ShapeID="_x0000_i1758" DrawAspect="Content" ObjectID="_1468076458" r:id="rId1422">
            <o:LockedField>false</o:LockedField>
          </o:OLEObject>
        </w:object>
      </w:r>
      <w:r>
        <w:rPr>
          <w:color w:val="auto"/>
          <w:szCs w:val="21"/>
        </w:rPr>
        <w:t>——冲切临界截面中心位置。</w:t>
      </w:r>
    </w:p>
    <w:p w14:paraId="19564F99">
      <w:pPr>
        <w:adjustRightInd w:val="0"/>
        <w:snapToGrid w:val="0"/>
        <w:spacing w:line="360" w:lineRule="atLeast"/>
        <w:rPr>
          <w:color w:val="auto"/>
          <w:szCs w:val="21"/>
        </w:rPr>
      </w:pPr>
      <w:r>
        <w:rPr>
          <w:b/>
          <w:bCs/>
          <w:color w:val="auto"/>
          <w:szCs w:val="21"/>
        </w:rPr>
        <w:t xml:space="preserve">H.5  </w:t>
      </w:r>
      <w:r>
        <w:rPr>
          <w:color w:val="auto"/>
          <w:szCs w:val="21"/>
        </w:rPr>
        <w:t>角柱应按下列公式计算（图H.4）：</w:t>
      </w:r>
    </w:p>
    <w:p w14:paraId="7288BC98">
      <w:pPr>
        <w:adjustRightInd w:val="0"/>
        <w:snapToGrid w:val="0"/>
        <w:spacing w:before="120" w:line="360" w:lineRule="atLeast"/>
        <w:jc w:val="center"/>
        <w:rPr>
          <w:color w:val="auto"/>
          <w:szCs w:val="21"/>
        </w:rPr>
      </w:pPr>
      <w:r>
        <w:rPr>
          <w:color w:val="auto"/>
          <w:szCs w:val="21"/>
        </w:rPr>
        <w:drawing>
          <wp:inline distT="0" distB="0" distL="0" distR="0">
            <wp:extent cx="3476625" cy="1819275"/>
            <wp:effectExtent l="0" t="0" r="9525" b="952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pic:cNvPicPr>
                      <a:picLocks noChangeAspect="1" noChangeArrowheads="1"/>
                    </pic:cNvPicPr>
                  </pic:nvPicPr>
                  <pic:blipFill>
                    <a:blip r:embed="rId1424">
                      <a:extLst>
                        <a:ext uri="{28A0092B-C50C-407E-A947-70E740481C1C}">
                          <a14:useLocalDpi xmlns:a14="http://schemas.microsoft.com/office/drawing/2010/main" val="0"/>
                        </a:ext>
                      </a:extLst>
                    </a:blip>
                    <a:srcRect/>
                    <a:stretch>
                      <a:fillRect/>
                    </a:stretch>
                  </pic:blipFill>
                  <pic:spPr>
                    <a:xfrm>
                      <a:off x="0" y="0"/>
                      <a:ext cx="3476625" cy="1819275"/>
                    </a:xfrm>
                    <a:prstGeom prst="rect">
                      <a:avLst/>
                    </a:prstGeom>
                    <a:noFill/>
                    <a:ln>
                      <a:noFill/>
                    </a:ln>
                  </pic:spPr>
                </pic:pic>
              </a:graphicData>
            </a:graphic>
          </wp:inline>
        </w:drawing>
      </w:r>
    </w:p>
    <w:p w14:paraId="569E583D">
      <w:pPr>
        <w:adjustRightInd w:val="0"/>
        <w:snapToGrid w:val="0"/>
        <w:spacing w:line="360" w:lineRule="atLeast"/>
        <w:jc w:val="center"/>
        <w:rPr>
          <w:rFonts w:eastAsia="黑体"/>
          <w:b/>
          <w:color w:val="auto"/>
          <w:sz w:val="18"/>
          <w:szCs w:val="18"/>
        </w:rPr>
      </w:pPr>
      <w:r>
        <w:rPr>
          <w:rFonts w:eastAsia="黑体"/>
          <w:b/>
          <w:color w:val="auto"/>
          <w:sz w:val="18"/>
          <w:szCs w:val="18"/>
        </w:rPr>
        <w:t>图H.4  角柱冲切临界截面</w:t>
      </w:r>
    </w:p>
    <w:p w14:paraId="4554EC88">
      <w:pPr>
        <w:wordWrap w:val="0"/>
        <w:adjustRightInd w:val="0"/>
        <w:snapToGrid w:val="0"/>
        <w:spacing w:before="240" w:line="360" w:lineRule="atLeast"/>
        <w:jc w:val="right"/>
        <w:rPr>
          <w:color w:val="auto"/>
          <w:szCs w:val="21"/>
        </w:rPr>
      </w:pPr>
      <w:r>
        <w:rPr>
          <w:color w:val="auto"/>
          <w:szCs w:val="21"/>
        </w:rPr>
        <w:t xml:space="preserve">        </w:t>
      </w:r>
      <w:r>
        <w:rPr>
          <w:color w:val="auto"/>
          <w:position w:val="-24"/>
          <w:szCs w:val="21"/>
        </w:rPr>
        <w:object>
          <v:shape id="_x0000_i1759" o:spt="75" type="#_x0000_t75" style="height:30.75pt;width:54pt;" o:ole="t" filled="f" o:preferrelative="t" stroked="f" coordsize="21600,21600">
            <v:path/>
            <v:fill on="f" focussize="0,0"/>
            <v:stroke on="f" joinstyle="miter"/>
            <v:imagedata r:id="rId1411" o:title=""/>
            <o:lock v:ext="edit" aspectratio="t"/>
            <w10:wrap type="none"/>
            <w10:anchorlock/>
          </v:shape>
          <o:OLEObject Type="Embed" ProgID="Equation.DSMT4" ShapeID="_x0000_i1759" DrawAspect="Content" ObjectID="_1468076459" r:id="rId1425">
            <o:LockedField>false</o:LockedField>
          </o:OLEObject>
        </w:object>
      </w:r>
      <w:r>
        <w:rPr>
          <w:color w:val="auto"/>
          <w:szCs w:val="21"/>
        </w:rPr>
        <w:t xml:space="preserve">                                (H.17)</w:t>
      </w:r>
    </w:p>
    <w:p w14:paraId="037B0B3C">
      <w:pPr>
        <w:wordWrap w:val="0"/>
        <w:adjustRightInd w:val="0"/>
        <w:snapToGrid w:val="0"/>
        <w:spacing w:before="120" w:line="360" w:lineRule="atLeast"/>
        <w:jc w:val="right"/>
        <w:rPr>
          <w:color w:val="auto"/>
          <w:szCs w:val="21"/>
        </w:rPr>
      </w:pPr>
      <w:r>
        <w:rPr>
          <w:color w:val="auto"/>
          <w:szCs w:val="21"/>
        </w:rPr>
        <w:t xml:space="preserve">        </w:t>
      </w:r>
      <w:r>
        <w:rPr>
          <w:color w:val="auto"/>
          <w:position w:val="-24"/>
          <w:szCs w:val="21"/>
        </w:rPr>
        <w:object>
          <v:shape id="_x0000_i1760" o:spt="75" type="#_x0000_t75" style="height:30.75pt;width:54pt;" o:ole="t" filled="f" o:preferrelative="t" stroked="f" coordsize="21600,21600">
            <v:path/>
            <v:fill on="f" focussize="0,0"/>
            <v:stroke on="f" joinstyle="miter"/>
            <v:imagedata r:id="rId1427" o:title=""/>
            <o:lock v:ext="edit" aspectratio="t"/>
            <w10:wrap type="none"/>
            <w10:anchorlock/>
          </v:shape>
          <o:OLEObject Type="Embed" ProgID="Equation.DSMT4" ShapeID="_x0000_i1760" DrawAspect="Content" ObjectID="_1468076460" r:id="rId1426">
            <o:LockedField>false</o:LockedField>
          </o:OLEObject>
        </w:object>
      </w:r>
      <w:r>
        <w:rPr>
          <w:color w:val="auto"/>
          <w:szCs w:val="21"/>
        </w:rPr>
        <w:t xml:space="preserve">                                (H.18)</w:t>
      </w:r>
    </w:p>
    <w:p w14:paraId="6EBA3180">
      <w:pPr>
        <w:wordWrap w:val="0"/>
        <w:adjustRightInd w:val="0"/>
        <w:snapToGrid w:val="0"/>
        <w:spacing w:before="120" w:line="360" w:lineRule="atLeast"/>
        <w:jc w:val="right"/>
        <w:rPr>
          <w:color w:val="auto"/>
          <w:szCs w:val="21"/>
        </w:rPr>
      </w:pPr>
      <w:r>
        <w:rPr>
          <w:color w:val="auto"/>
          <w:szCs w:val="21"/>
        </w:rPr>
        <w:t xml:space="preserve">        </w:t>
      </w:r>
      <w:r>
        <w:rPr>
          <w:color w:val="auto"/>
          <w:position w:val="-30"/>
          <w:szCs w:val="21"/>
        </w:rPr>
        <w:object>
          <v:shape id="_x0000_i1761" o:spt="75" type="#_x0000_t75" style="height:36.75pt;width:62.25pt;" o:ole="t" filled="f" o:preferrelative="t" stroked="f" coordsize="21600,21600">
            <v:path/>
            <v:fill on="f" focussize="0,0"/>
            <v:stroke on="f" joinstyle="miter"/>
            <v:imagedata r:id="rId1429" o:title=""/>
            <o:lock v:ext="edit" aspectratio="t"/>
            <w10:wrap type="none"/>
            <w10:anchorlock/>
          </v:shape>
          <o:OLEObject Type="Embed" ProgID="Equation.DSMT4" ShapeID="_x0000_i1761" DrawAspect="Content" ObjectID="_1468076461" r:id="rId1428">
            <o:LockedField>false</o:LockedField>
          </o:OLEObject>
        </w:object>
      </w:r>
      <w:r>
        <w:rPr>
          <w:color w:val="auto"/>
          <w:szCs w:val="21"/>
        </w:rPr>
        <w:t xml:space="preserve">                               (H.19)</w:t>
      </w:r>
    </w:p>
    <w:p w14:paraId="46235F91">
      <w:pPr>
        <w:wordWrap w:val="0"/>
        <w:adjustRightInd w:val="0"/>
        <w:snapToGrid w:val="0"/>
        <w:spacing w:before="240" w:line="360" w:lineRule="atLeast"/>
        <w:jc w:val="right"/>
        <w:rPr>
          <w:color w:val="auto"/>
          <w:szCs w:val="21"/>
        </w:rPr>
      </w:pPr>
      <w:r>
        <w:rPr>
          <w:color w:val="auto"/>
          <w:szCs w:val="21"/>
        </w:rPr>
        <w:t xml:space="preserve">        </w:t>
      </w:r>
      <w:r>
        <w:rPr>
          <w:color w:val="auto"/>
          <w:position w:val="-12"/>
          <w:szCs w:val="21"/>
        </w:rPr>
        <w:object>
          <v:shape id="_x0000_i1762" o:spt="75" type="#_x0000_t75" style="height:18pt;width:54pt;" o:ole="t" filled="f" o:preferrelative="t" stroked="f" coordsize="21600,21600">
            <v:path/>
            <v:fill on="f" focussize="0,0"/>
            <v:stroke on="f" joinstyle="miter"/>
            <v:imagedata r:id="rId1417" o:title=""/>
            <o:lock v:ext="edit" aspectratio="t"/>
            <w10:wrap type="none"/>
            <w10:anchorlock/>
          </v:shape>
          <o:OLEObject Type="Embed" ProgID="Equation.DSMT4" ShapeID="_x0000_i1762" DrawAspect="Content" ObjectID="_1468076462" r:id="rId1430">
            <o:LockedField>false</o:LockedField>
          </o:OLEObject>
        </w:object>
      </w:r>
      <w:r>
        <w:rPr>
          <w:color w:val="auto"/>
          <w:szCs w:val="21"/>
        </w:rPr>
        <w:t xml:space="preserve">                                (H.20)</w:t>
      </w:r>
    </w:p>
    <w:p w14:paraId="57D694DF">
      <w:pPr>
        <w:wordWrap w:val="0"/>
        <w:adjustRightInd w:val="0"/>
        <w:snapToGrid w:val="0"/>
        <w:spacing w:before="120" w:line="360" w:lineRule="atLeast"/>
        <w:jc w:val="right"/>
        <w:rPr>
          <w:color w:val="auto"/>
          <w:szCs w:val="21"/>
        </w:rPr>
      </w:pPr>
      <w:r>
        <w:rPr>
          <w:color w:val="auto"/>
          <w:szCs w:val="21"/>
        </w:rPr>
        <w:t xml:space="preserve">        </w:t>
      </w:r>
      <w:r>
        <w:rPr>
          <w:color w:val="auto"/>
          <w:position w:val="-12"/>
          <w:szCs w:val="21"/>
        </w:rPr>
        <w:object>
          <v:shape id="_x0000_i1763" o:spt="75" type="#_x0000_t75" style="height:18pt;width:54pt;" o:ole="t" filled="f" o:preferrelative="t" stroked="f" coordsize="21600,21600">
            <v:path/>
            <v:fill on="f" focussize="0,0"/>
            <v:stroke on="f" joinstyle="miter"/>
            <v:imagedata r:id="rId1432" o:title=""/>
            <o:lock v:ext="edit" aspectratio="t"/>
            <w10:wrap type="none"/>
            <w10:anchorlock/>
          </v:shape>
          <o:OLEObject Type="Embed" ProgID="Equation.DSMT4" ShapeID="_x0000_i1763" DrawAspect="Content" ObjectID="_1468076463" r:id="rId1431">
            <o:LockedField>false</o:LockedField>
          </o:OLEObject>
        </w:object>
      </w:r>
      <w:r>
        <w:rPr>
          <w:color w:val="auto"/>
          <w:szCs w:val="21"/>
        </w:rPr>
        <w:t xml:space="preserve">                                 (H.21)</w:t>
      </w:r>
    </w:p>
    <w:p w14:paraId="66A95142">
      <w:pPr>
        <w:wordWrap w:val="0"/>
        <w:adjustRightInd w:val="0"/>
        <w:snapToGrid w:val="0"/>
        <w:spacing w:line="400" w:lineRule="atLeast"/>
        <w:jc w:val="right"/>
        <w:rPr>
          <w:b/>
          <w:color w:val="auto"/>
          <w:spacing w:val="8"/>
          <w:szCs w:val="21"/>
        </w:rPr>
      </w:pPr>
      <w:r>
        <w:rPr>
          <w:color w:val="auto"/>
          <w:position w:val="-12"/>
          <w:szCs w:val="21"/>
        </w:rPr>
        <w:object>
          <v:shape id="_x0000_i1764" o:spt="75" type="#_x0000_t75" style="height:18.75pt;width:217.5pt;" o:ole="t" filled="f" o:preferrelative="t" stroked="f" coordsize="21600,21600">
            <v:path/>
            <v:fill on="f" focussize="0,0"/>
            <v:stroke on="f" joinstyle="miter"/>
            <v:imagedata r:id="rId1434" o:title=""/>
            <o:lock v:ext="edit" aspectratio="t"/>
            <w10:wrap type="none"/>
            <w10:anchorlock/>
          </v:shape>
          <o:OLEObject Type="Embed" ProgID="Equation.DSMT4" ShapeID="_x0000_i1764" DrawAspect="Content" ObjectID="_1468076464" r:id="rId1433">
            <o:LockedField>false</o:LockedField>
          </o:OLEObject>
        </w:object>
      </w:r>
      <w:r>
        <w:rPr>
          <w:color w:val="auto"/>
          <w:szCs w:val="21"/>
        </w:rPr>
        <w:t xml:space="preserve">                   (H.22)</w:t>
      </w:r>
    </w:p>
    <w:p w14:paraId="2192C61D">
      <w:pPr>
        <w:adjustRightInd w:val="0"/>
        <w:snapToGrid w:val="0"/>
        <w:spacing w:line="400" w:lineRule="atLeast"/>
        <w:jc w:val="center"/>
        <w:rPr>
          <w:b/>
          <w:color w:val="auto"/>
          <w:spacing w:val="8"/>
          <w:szCs w:val="21"/>
        </w:rPr>
      </w:pPr>
    </w:p>
    <w:p w14:paraId="6EC8CA2E">
      <w:pPr>
        <w:adjustRightInd w:val="0"/>
        <w:snapToGrid w:val="0"/>
        <w:spacing w:line="400" w:lineRule="atLeast"/>
        <w:jc w:val="center"/>
        <w:rPr>
          <w:rFonts w:eastAsia="黑体"/>
          <w:b/>
          <w:color w:val="auto"/>
          <w:spacing w:val="8"/>
          <w:sz w:val="24"/>
        </w:rPr>
      </w:pPr>
    </w:p>
    <w:p w14:paraId="3182322A">
      <w:pPr>
        <w:adjustRightInd w:val="0"/>
        <w:snapToGrid w:val="0"/>
        <w:spacing w:line="400" w:lineRule="atLeast"/>
        <w:jc w:val="center"/>
        <w:outlineLvl w:val="0"/>
        <w:rPr>
          <w:rFonts w:eastAsia="黑体"/>
          <w:b/>
          <w:color w:val="auto"/>
          <w:spacing w:val="8"/>
          <w:sz w:val="24"/>
        </w:rPr>
      </w:pPr>
      <w:r>
        <w:rPr>
          <w:rFonts w:eastAsia="黑体"/>
          <w:b/>
          <w:color w:val="auto"/>
          <w:spacing w:val="8"/>
          <w:sz w:val="24"/>
        </w:rPr>
        <w:br w:type="page"/>
      </w:r>
      <w:bookmarkStart w:id="137" w:name="_Toc199943676"/>
      <w:r>
        <w:rPr>
          <w:rFonts w:eastAsia="黑体"/>
          <w:b/>
          <w:color w:val="auto"/>
          <w:spacing w:val="8"/>
          <w:sz w:val="24"/>
        </w:rPr>
        <w:t>附录</w:t>
      </w:r>
      <w:r>
        <w:rPr>
          <w:rFonts w:hint="eastAsia" w:eastAsia="黑体"/>
          <w:b/>
          <w:color w:val="auto"/>
          <w:spacing w:val="8"/>
          <w:sz w:val="24"/>
        </w:rPr>
        <w:t>J</w:t>
      </w:r>
      <w:bookmarkEnd w:id="137"/>
    </w:p>
    <w:p w14:paraId="2039B2FF">
      <w:pPr>
        <w:adjustRightInd w:val="0"/>
        <w:snapToGrid w:val="0"/>
        <w:spacing w:line="400" w:lineRule="atLeast"/>
        <w:jc w:val="center"/>
        <w:outlineLvl w:val="0"/>
        <w:rPr>
          <w:rFonts w:eastAsia="黑体"/>
          <w:b/>
          <w:color w:val="auto"/>
          <w:spacing w:val="8"/>
          <w:sz w:val="24"/>
        </w:rPr>
      </w:pPr>
      <w:bookmarkStart w:id="138" w:name="_Toc199943677"/>
      <w:r>
        <w:rPr>
          <w:rFonts w:eastAsia="黑体"/>
          <w:b/>
          <w:color w:val="auto"/>
          <w:spacing w:val="8"/>
          <w:sz w:val="24"/>
        </w:rPr>
        <w:t>（规范性）</w:t>
      </w:r>
      <w:bookmarkEnd w:id="138"/>
    </w:p>
    <w:p w14:paraId="0AFD4DF9">
      <w:pPr>
        <w:adjustRightInd w:val="0"/>
        <w:snapToGrid w:val="0"/>
        <w:spacing w:line="400" w:lineRule="atLeast"/>
        <w:jc w:val="center"/>
        <w:outlineLvl w:val="0"/>
        <w:rPr>
          <w:rFonts w:eastAsia="黑体"/>
          <w:b/>
          <w:color w:val="auto"/>
          <w:spacing w:val="8"/>
          <w:sz w:val="24"/>
        </w:rPr>
      </w:pPr>
      <w:bookmarkStart w:id="139" w:name="_Toc199943678"/>
      <w:r>
        <w:rPr>
          <w:rFonts w:eastAsia="黑体"/>
          <w:b/>
          <w:color w:val="auto"/>
          <w:spacing w:val="8"/>
          <w:sz w:val="24"/>
        </w:rPr>
        <w:t>阶梯形承台及锥形承台斜截面受剪的截面宽度</w:t>
      </w:r>
      <w:bookmarkEnd w:id="139"/>
    </w:p>
    <w:p w14:paraId="2D79CDF2">
      <w:pPr>
        <w:adjustRightInd w:val="0"/>
        <w:snapToGrid w:val="0"/>
        <w:spacing w:line="400" w:lineRule="atLeast"/>
        <w:jc w:val="center"/>
        <w:rPr>
          <w:color w:val="auto"/>
          <w:sz w:val="24"/>
        </w:rPr>
      </w:pPr>
    </w:p>
    <w:p w14:paraId="66FDC82A">
      <w:pPr>
        <w:adjustRightInd w:val="0"/>
        <w:snapToGrid w:val="0"/>
        <w:spacing w:line="360" w:lineRule="atLeast"/>
        <w:rPr>
          <w:color w:val="auto"/>
          <w:szCs w:val="21"/>
        </w:rPr>
      </w:pPr>
      <w:r>
        <w:rPr>
          <w:b/>
          <w:bCs/>
          <w:color w:val="auto"/>
          <w:szCs w:val="21"/>
        </w:rPr>
        <w:t>J.1</w:t>
      </w:r>
      <w:r>
        <w:rPr>
          <w:color w:val="auto"/>
          <w:szCs w:val="21"/>
        </w:rPr>
        <w:t xml:space="preserve">  对于阶梯形承台应分别在变阶处（</w:t>
      </w:r>
      <w:r>
        <w:rPr>
          <w:i/>
          <w:iCs/>
          <w:color w:val="auto"/>
          <w:szCs w:val="21"/>
        </w:rPr>
        <w:t>A</w:t>
      </w:r>
      <w:r>
        <w:rPr>
          <w:color w:val="auto"/>
          <w:szCs w:val="21"/>
          <w:vertAlign w:val="subscript"/>
        </w:rPr>
        <w:t>1</w:t>
      </w:r>
      <w:r>
        <w:rPr>
          <w:color w:val="auto"/>
          <w:szCs w:val="21"/>
        </w:rPr>
        <w:t>-</w:t>
      </w:r>
      <w:r>
        <w:rPr>
          <w:i/>
          <w:iCs/>
          <w:color w:val="auto"/>
          <w:szCs w:val="21"/>
        </w:rPr>
        <w:t>A</w:t>
      </w:r>
      <w:r>
        <w:rPr>
          <w:color w:val="auto"/>
          <w:szCs w:val="21"/>
          <w:vertAlign w:val="subscript"/>
        </w:rPr>
        <w:t>1</w:t>
      </w:r>
      <w:r>
        <w:rPr>
          <w:color w:val="auto"/>
          <w:szCs w:val="21"/>
        </w:rPr>
        <w:t>，</w:t>
      </w:r>
      <w:r>
        <w:rPr>
          <w:i/>
          <w:iCs/>
          <w:color w:val="auto"/>
          <w:szCs w:val="21"/>
        </w:rPr>
        <w:t>B</w:t>
      </w:r>
      <w:r>
        <w:rPr>
          <w:color w:val="auto"/>
          <w:szCs w:val="21"/>
          <w:vertAlign w:val="subscript"/>
        </w:rPr>
        <w:t>1</w:t>
      </w:r>
      <w:r>
        <w:rPr>
          <w:color w:val="auto"/>
          <w:szCs w:val="21"/>
        </w:rPr>
        <w:t>-</w:t>
      </w:r>
      <w:r>
        <w:rPr>
          <w:i/>
          <w:iCs/>
          <w:color w:val="auto"/>
          <w:szCs w:val="21"/>
        </w:rPr>
        <w:t>B</w:t>
      </w:r>
      <w:r>
        <w:rPr>
          <w:color w:val="auto"/>
          <w:szCs w:val="21"/>
          <w:vertAlign w:val="subscript"/>
        </w:rPr>
        <w:t>1</w:t>
      </w:r>
      <w:r>
        <w:rPr>
          <w:color w:val="auto"/>
          <w:szCs w:val="21"/>
        </w:rPr>
        <w:t>）及柱边处（</w:t>
      </w:r>
      <w:r>
        <w:rPr>
          <w:i/>
          <w:iCs/>
          <w:color w:val="auto"/>
          <w:szCs w:val="21"/>
        </w:rPr>
        <w:t>A</w:t>
      </w:r>
      <w:r>
        <w:rPr>
          <w:color w:val="auto"/>
          <w:szCs w:val="21"/>
          <w:vertAlign w:val="subscript"/>
        </w:rPr>
        <w:t>2</w:t>
      </w:r>
      <w:r>
        <w:rPr>
          <w:color w:val="auto"/>
          <w:szCs w:val="21"/>
        </w:rPr>
        <w:t>-</w:t>
      </w:r>
      <w:r>
        <w:rPr>
          <w:i/>
          <w:iCs/>
          <w:color w:val="auto"/>
          <w:szCs w:val="21"/>
        </w:rPr>
        <w:t>A</w:t>
      </w:r>
      <w:r>
        <w:rPr>
          <w:color w:val="auto"/>
          <w:szCs w:val="21"/>
          <w:vertAlign w:val="subscript"/>
        </w:rPr>
        <w:t>2</w:t>
      </w:r>
      <w:r>
        <w:rPr>
          <w:color w:val="auto"/>
          <w:szCs w:val="21"/>
        </w:rPr>
        <w:t>，</w:t>
      </w:r>
      <w:r>
        <w:rPr>
          <w:i/>
          <w:iCs/>
          <w:color w:val="auto"/>
          <w:szCs w:val="21"/>
        </w:rPr>
        <w:t>B</w:t>
      </w:r>
      <w:r>
        <w:rPr>
          <w:color w:val="auto"/>
          <w:szCs w:val="21"/>
          <w:vertAlign w:val="subscript"/>
        </w:rPr>
        <w:t>2</w:t>
      </w:r>
      <w:r>
        <w:rPr>
          <w:color w:val="auto"/>
          <w:szCs w:val="21"/>
        </w:rPr>
        <w:t>-</w:t>
      </w:r>
      <w:r>
        <w:rPr>
          <w:i/>
          <w:iCs/>
          <w:color w:val="auto"/>
          <w:szCs w:val="21"/>
        </w:rPr>
        <w:t>B</w:t>
      </w:r>
      <w:r>
        <w:rPr>
          <w:color w:val="auto"/>
          <w:szCs w:val="21"/>
          <w:vertAlign w:val="subscript"/>
        </w:rPr>
        <w:t>2</w:t>
      </w:r>
      <w:r>
        <w:rPr>
          <w:color w:val="auto"/>
          <w:szCs w:val="21"/>
        </w:rPr>
        <w:t>）进行斜截面受剪计算（图J.1）。</w:t>
      </w:r>
    </w:p>
    <w:p w14:paraId="334A8B42">
      <w:pPr>
        <w:adjustRightInd w:val="0"/>
        <w:snapToGrid w:val="0"/>
        <w:spacing w:line="360" w:lineRule="atLeast"/>
        <w:ind w:firstLine="420" w:firstLineChars="200"/>
        <w:rPr>
          <w:color w:val="auto"/>
          <w:szCs w:val="21"/>
        </w:rPr>
      </w:pPr>
      <w:r>
        <w:rPr>
          <w:color w:val="auto"/>
          <w:szCs w:val="21"/>
        </w:rPr>
        <w:t>计算变阶处截面</w:t>
      </w:r>
      <w:r>
        <w:rPr>
          <w:i/>
          <w:color w:val="auto"/>
          <w:szCs w:val="21"/>
        </w:rPr>
        <w:t>A</w:t>
      </w:r>
      <w:r>
        <w:rPr>
          <w:color w:val="auto"/>
          <w:szCs w:val="21"/>
          <w:vertAlign w:val="subscript"/>
        </w:rPr>
        <w:t>1</w:t>
      </w:r>
      <w:r>
        <w:rPr>
          <w:color w:val="auto"/>
          <w:szCs w:val="21"/>
        </w:rPr>
        <w:t>-</w:t>
      </w:r>
      <w:r>
        <w:rPr>
          <w:i/>
          <w:color w:val="auto"/>
          <w:szCs w:val="21"/>
        </w:rPr>
        <w:t>A</w:t>
      </w:r>
      <w:r>
        <w:rPr>
          <w:color w:val="auto"/>
          <w:szCs w:val="21"/>
          <w:vertAlign w:val="subscript"/>
        </w:rPr>
        <w:t>1</w:t>
      </w:r>
      <w:r>
        <w:rPr>
          <w:color w:val="auto"/>
          <w:szCs w:val="21"/>
        </w:rPr>
        <w:t>、</w:t>
      </w:r>
      <w:r>
        <w:rPr>
          <w:i/>
          <w:color w:val="auto"/>
          <w:szCs w:val="21"/>
        </w:rPr>
        <w:t>B</w:t>
      </w:r>
      <w:r>
        <w:rPr>
          <w:color w:val="auto"/>
          <w:szCs w:val="21"/>
          <w:vertAlign w:val="subscript"/>
        </w:rPr>
        <w:t>1</w:t>
      </w:r>
      <w:r>
        <w:rPr>
          <w:color w:val="auto"/>
          <w:szCs w:val="21"/>
        </w:rPr>
        <w:t>-</w:t>
      </w:r>
      <w:r>
        <w:rPr>
          <w:i/>
          <w:color w:val="auto"/>
          <w:szCs w:val="21"/>
        </w:rPr>
        <w:t>B</w:t>
      </w:r>
      <w:r>
        <w:rPr>
          <w:color w:val="auto"/>
          <w:szCs w:val="21"/>
          <w:vertAlign w:val="subscript"/>
        </w:rPr>
        <w:t>1</w:t>
      </w:r>
      <w:r>
        <w:rPr>
          <w:color w:val="auto"/>
          <w:szCs w:val="21"/>
        </w:rPr>
        <w:t>的斜截面受剪承载力时，其截面有效高度均为</w:t>
      </w:r>
      <w:r>
        <w:rPr>
          <w:i/>
          <w:color w:val="auto"/>
          <w:szCs w:val="21"/>
        </w:rPr>
        <w:t>h</w:t>
      </w:r>
      <w:r>
        <w:rPr>
          <w:color w:val="auto"/>
          <w:szCs w:val="21"/>
          <w:vertAlign w:val="subscript"/>
        </w:rPr>
        <w:t>01</w:t>
      </w:r>
      <w:r>
        <w:rPr>
          <w:color w:val="auto"/>
          <w:szCs w:val="21"/>
        </w:rPr>
        <w:t>，截面计算宽度分别为</w:t>
      </w:r>
      <w:r>
        <w:rPr>
          <w:i/>
          <w:color w:val="auto"/>
          <w:szCs w:val="21"/>
        </w:rPr>
        <w:t>b</w:t>
      </w:r>
      <w:r>
        <w:rPr>
          <w:color w:val="auto"/>
          <w:szCs w:val="21"/>
          <w:vertAlign w:val="subscript"/>
        </w:rPr>
        <w:t>y1</w:t>
      </w:r>
      <w:r>
        <w:rPr>
          <w:color w:val="auto"/>
          <w:szCs w:val="21"/>
        </w:rPr>
        <w:t>和</w:t>
      </w:r>
      <w:r>
        <w:rPr>
          <w:i/>
          <w:iCs/>
          <w:color w:val="auto"/>
          <w:szCs w:val="21"/>
        </w:rPr>
        <w:t>b</w:t>
      </w:r>
      <w:r>
        <w:rPr>
          <w:color w:val="auto"/>
          <w:szCs w:val="21"/>
          <w:vertAlign w:val="subscript"/>
        </w:rPr>
        <w:t>x1</w:t>
      </w:r>
      <w:r>
        <w:rPr>
          <w:color w:val="auto"/>
          <w:szCs w:val="21"/>
        </w:rPr>
        <w:t>。</w:t>
      </w:r>
    </w:p>
    <w:p w14:paraId="0F3686E1">
      <w:pPr>
        <w:adjustRightInd w:val="0"/>
        <w:snapToGrid w:val="0"/>
        <w:spacing w:line="360" w:lineRule="atLeast"/>
        <w:ind w:firstLine="420" w:firstLineChars="200"/>
        <w:rPr>
          <w:color w:val="auto"/>
          <w:szCs w:val="21"/>
        </w:rPr>
      </w:pPr>
      <w:r>
        <w:rPr>
          <w:color w:val="auto"/>
          <w:szCs w:val="21"/>
        </w:rPr>
        <w:t>计算柱边截面</w:t>
      </w:r>
      <w:r>
        <w:rPr>
          <w:i/>
          <w:iCs/>
          <w:color w:val="auto"/>
          <w:szCs w:val="21"/>
        </w:rPr>
        <w:t>A</w:t>
      </w:r>
      <w:r>
        <w:rPr>
          <w:color w:val="auto"/>
          <w:szCs w:val="21"/>
          <w:vertAlign w:val="subscript"/>
        </w:rPr>
        <w:t>2</w:t>
      </w:r>
      <w:r>
        <w:rPr>
          <w:color w:val="auto"/>
          <w:szCs w:val="21"/>
        </w:rPr>
        <w:t>-</w:t>
      </w:r>
      <w:r>
        <w:rPr>
          <w:i/>
          <w:iCs/>
          <w:color w:val="auto"/>
          <w:szCs w:val="21"/>
        </w:rPr>
        <w:t>A</w:t>
      </w:r>
      <w:r>
        <w:rPr>
          <w:color w:val="auto"/>
          <w:szCs w:val="21"/>
          <w:vertAlign w:val="subscript"/>
        </w:rPr>
        <w:t>2</w:t>
      </w:r>
      <w:r>
        <w:rPr>
          <w:color w:val="auto"/>
          <w:szCs w:val="21"/>
        </w:rPr>
        <w:t>和</w:t>
      </w:r>
      <w:r>
        <w:rPr>
          <w:i/>
          <w:iCs/>
          <w:color w:val="auto"/>
          <w:szCs w:val="21"/>
        </w:rPr>
        <w:t>B</w:t>
      </w:r>
      <w:r>
        <w:rPr>
          <w:color w:val="auto"/>
          <w:szCs w:val="21"/>
          <w:vertAlign w:val="subscript"/>
        </w:rPr>
        <w:t>2</w:t>
      </w:r>
      <w:r>
        <w:rPr>
          <w:color w:val="auto"/>
          <w:szCs w:val="21"/>
        </w:rPr>
        <w:t>-</w:t>
      </w:r>
      <w:r>
        <w:rPr>
          <w:i/>
          <w:iCs/>
          <w:color w:val="auto"/>
          <w:szCs w:val="21"/>
        </w:rPr>
        <w:t>B</w:t>
      </w:r>
      <w:r>
        <w:rPr>
          <w:color w:val="auto"/>
          <w:szCs w:val="21"/>
          <w:vertAlign w:val="subscript"/>
        </w:rPr>
        <w:t>2</w:t>
      </w:r>
      <w:r>
        <w:rPr>
          <w:color w:val="auto"/>
          <w:szCs w:val="21"/>
        </w:rPr>
        <w:t>处的斜截面受剪承载力时，其截面有效高度均为</w:t>
      </w:r>
      <w:r>
        <w:rPr>
          <w:i/>
          <w:color w:val="auto"/>
          <w:szCs w:val="21"/>
        </w:rPr>
        <w:t>h</w:t>
      </w:r>
      <w:r>
        <w:rPr>
          <w:color w:val="auto"/>
          <w:szCs w:val="21"/>
          <w:vertAlign w:val="subscript"/>
        </w:rPr>
        <w:t>01</w:t>
      </w:r>
      <w:r>
        <w:rPr>
          <w:color w:val="auto"/>
          <w:szCs w:val="21"/>
        </w:rPr>
        <w:t>+</w:t>
      </w:r>
      <w:r>
        <w:rPr>
          <w:i/>
          <w:color w:val="auto"/>
          <w:szCs w:val="21"/>
        </w:rPr>
        <w:t>h</w:t>
      </w:r>
      <w:r>
        <w:rPr>
          <w:color w:val="auto"/>
          <w:szCs w:val="21"/>
          <w:vertAlign w:val="subscript"/>
        </w:rPr>
        <w:t>02</w:t>
      </w:r>
      <w:r>
        <w:rPr>
          <w:color w:val="auto"/>
          <w:szCs w:val="21"/>
        </w:rPr>
        <w:t>,截面计算宽度按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J.1</w:t>
      </w:r>
      <w:r>
        <w:rPr>
          <w:rFonts w:hint="eastAsia" w:eastAsia="宋体"/>
          <w:color w:val="auto"/>
          <w:sz w:val="21"/>
          <w:szCs w:val="21"/>
          <w:lang w:eastAsia="zh-CN"/>
        </w:rPr>
        <w:t>）</w:t>
      </w:r>
      <w:r>
        <w:rPr>
          <w:rFonts w:hint="eastAsia"/>
          <w:color w:val="auto"/>
          <w:sz w:val="21"/>
          <w:szCs w:val="21"/>
          <w:lang w:val="en-US" w:eastAsia="zh-CN"/>
        </w:rPr>
        <w:t>~</w:t>
      </w:r>
      <w:r>
        <w:rPr>
          <w:rFonts w:hint="eastAsia" w:eastAsia="宋体"/>
          <w:color w:val="auto"/>
          <w:sz w:val="21"/>
          <w:szCs w:val="21"/>
          <w:lang w:eastAsia="zh-CN"/>
        </w:rPr>
        <w:t>（</w:t>
      </w:r>
      <w:r>
        <w:rPr>
          <w:rFonts w:hint="eastAsia"/>
          <w:color w:val="auto"/>
          <w:sz w:val="21"/>
          <w:szCs w:val="21"/>
          <w:lang w:val="en-US" w:eastAsia="zh-CN"/>
        </w:rPr>
        <w:t>J.2</w:t>
      </w:r>
      <w:r>
        <w:rPr>
          <w:rFonts w:hint="eastAsia" w:eastAsia="宋体"/>
          <w:color w:val="auto"/>
          <w:sz w:val="21"/>
          <w:szCs w:val="21"/>
          <w:lang w:eastAsia="zh-CN"/>
        </w:rPr>
        <w:t>）</w:t>
      </w:r>
      <w:r>
        <w:rPr>
          <w:color w:val="auto"/>
          <w:szCs w:val="21"/>
        </w:rPr>
        <w:t>计算：</w:t>
      </w:r>
    </w:p>
    <w:p w14:paraId="2754F1CA">
      <w:pPr>
        <w:adjustRightInd w:val="0"/>
        <w:snapToGrid w:val="0"/>
        <w:spacing w:line="440" w:lineRule="atLeast"/>
        <w:ind w:firstLine="420" w:firstLineChars="200"/>
        <w:rPr>
          <w:color w:val="auto"/>
          <w:szCs w:val="21"/>
        </w:rPr>
      </w:pPr>
      <w:r>
        <w:rPr>
          <w:color w:val="auto"/>
          <w:szCs w:val="21"/>
        </w:rPr>
        <w:t>对</w:t>
      </w:r>
      <w:r>
        <w:rPr>
          <w:i/>
          <w:color w:val="auto"/>
          <w:szCs w:val="21"/>
        </w:rPr>
        <w:t>A</w:t>
      </w:r>
      <w:r>
        <w:rPr>
          <w:color w:val="auto"/>
          <w:szCs w:val="21"/>
          <w:vertAlign w:val="subscript"/>
        </w:rPr>
        <w:t>2</w:t>
      </w:r>
      <w:r>
        <w:rPr>
          <w:color w:val="auto"/>
          <w:szCs w:val="21"/>
        </w:rPr>
        <w:t>-</w:t>
      </w:r>
      <w:r>
        <w:rPr>
          <w:i/>
          <w:color w:val="auto"/>
          <w:szCs w:val="21"/>
        </w:rPr>
        <w:t>A</w:t>
      </w:r>
      <w:r>
        <w:rPr>
          <w:color w:val="auto"/>
          <w:szCs w:val="21"/>
          <w:vertAlign w:val="subscript"/>
        </w:rPr>
        <w:t>2</w:t>
      </w:r>
      <w:r>
        <w:rPr>
          <w:color w:val="auto"/>
          <w:szCs w:val="21"/>
        </w:rPr>
        <w:tab/>
      </w:r>
      <w:r>
        <w:rPr>
          <w:color w:val="auto"/>
          <w:szCs w:val="21"/>
        </w:rPr>
        <w:t xml:space="preserve">                           </w:t>
      </w:r>
      <w:r>
        <w:rPr>
          <w:color w:val="auto"/>
          <w:szCs w:val="21"/>
        </w:rPr>
        <w:tab/>
      </w:r>
      <w:r>
        <w:rPr>
          <w:color w:val="auto"/>
          <w:position w:val="-30"/>
          <w:szCs w:val="21"/>
        </w:rPr>
        <w:object>
          <v:shape id="_x0000_i1765" o:spt="75" type="#_x0000_t75" style="height:36.75pt;width:99pt;" o:ole="t" filled="f" o:preferrelative="t" stroked="f" coordsize="21600,21600">
            <v:path/>
            <v:fill on="f" focussize="0,0"/>
            <v:stroke on="f" joinstyle="miter"/>
            <v:imagedata r:id="rId1436" o:title=""/>
            <o:lock v:ext="edit" aspectratio="t"/>
            <w10:wrap type="none"/>
            <w10:anchorlock/>
          </v:shape>
          <o:OLEObject Type="Embed" ProgID="Equation.DSMT4" ShapeID="_x0000_i1765" DrawAspect="Content" ObjectID="_1468076465" r:id="rId1435">
            <o:LockedField>false</o:LockedField>
          </o:OLEObject>
        </w:object>
      </w:r>
      <w:r>
        <w:rPr>
          <w:color w:val="auto"/>
          <w:szCs w:val="21"/>
        </w:rPr>
        <w:t xml:space="preserve">                   （J.1）</w:t>
      </w:r>
    </w:p>
    <w:p w14:paraId="0F5CBF12">
      <w:pPr>
        <w:wordWrap w:val="0"/>
        <w:adjustRightInd w:val="0"/>
        <w:snapToGrid w:val="0"/>
        <w:spacing w:before="240" w:line="440" w:lineRule="atLeast"/>
        <w:ind w:right="630" w:firstLine="420" w:firstLineChars="200"/>
        <w:jc w:val="right"/>
        <w:rPr>
          <w:color w:val="auto"/>
          <w:szCs w:val="21"/>
        </w:rPr>
      </w:pPr>
      <w:r>
        <w:rPr>
          <w:color w:val="auto"/>
          <w:szCs w:val="21"/>
        </w:rPr>
        <w:t>对</w:t>
      </w:r>
      <w:r>
        <w:rPr>
          <w:i/>
          <w:color w:val="auto"/>
          <w:szCs w:val="21"/>
        </w:rPr>
        <w:t>B</w:t>
      </w:r>
      <w:r>
        <w:rPr>
          <w:color w:val="auto"/>
          <w:szCs w:val="21"/>
          <w:vertAlign w:val="subscript"/>
        </w:rPr>
        <w:t>2</w:t>
      </w:r>
      <w:r>
        <w:rPr>
          <w:color w:val="auto"/>
          <w:szCs w:val="21"/>
        </w:rPr>
        <w:t>-</w:t>
      </w:r>
      <w:r>
        <w:rPr>
          <w:i/>
          <w:color w:val="auto"/>
          <w:szCs w:val="21"/>
        </w:rPr>
        <w:t>B</w:t>
      </w:r>
      <w:r>
        <w:rPr>
          <w:color w:val="auto"/>
          <w:szCs w:val="21"/>
          <w:vertAlign w:val="subscript"/>
        </w:rPr>
        <w:t>2</w:t>
      </w:r>
      <w:r>
        <w:rPr>
          <w:color w:val="auto"/>
          <w:szCs w:val="21"/>
        </w:rPr>
        <w:tab/>
      </w:r>
      <w:r>
        <w:rPr>
          <w:color w:val="auto"/>
          <w:szCs w:val="21"/>
        </w:rPr>
        <w:t xml:space="preserve">                       </w:t>
      </w:r>
      <w:r>
        <w:rPr>
          <w:color w:val="auto"/>
          <w:szCs w:val="21"/>
        </w:rPr>
        <w:tab/>
      </w:r>
      <w:r>
        <w:rPr>
          <w:color w:val="auto"/>
          <w:position w:val="-30"/>
          <w:szCs w:val="21"/>
        </w:rPr>
        <w:object>
          <v:shape id="_x0000_i1766" o:spt="75" type="#_x0000_t75" style="height:35.25pt;width:99pt;" o:ole="t" filled="f" o:preferrelative="t" stroked="f" coordsize="21600,21600">
            <v:path/>
            <v:fill on="f" focussize="0,0"/>
            <v:stroke on="f" joinstyle="miter"/>
            <v:imagedata r:id="rId1438" o:title=""/>
            <o:lock v:ext="edit" aspectratio="t"/>
            <w10:wrap type="none"/>
            <w10:anchorlock/>
          </v:shape>
          <o:OLEObject Type="Embed" ProgID="Equation.DSMT4" ShapeID="_x0000_i1766" DrawAspect="Content" ObjectID="_1468076466" r:id="rId1437">
            <o:LockedField>false</o:LockedField>
          </o:OLEObject>
        </w:object>
      </w:r>
      <w:r>
        <w:rPr>
          <w:color w:val="auto"/>
          <w:szCs w:val="21"/>
        </w:rPr>
        <w:t xml:space="preserve">                     （J.2)</w:t>
      </w:r>
    </w:p>
    <w:p w14:paraId="346E915D">
      <w:pPr>
        <w:adjustRightInd w:val="0"/>
        <w:snapToGrid w:val="0"/>
        <w:spacing w:before="240" w:line="440" w:lineRule="atLeast"/>
        <w:jc w:val="center"/>
        <w:rPr>
          <w:color w:val="auto"/>
          <w:szCs w:val="21"/>
        </w:rPr>
      </w:pPr>
      <w:r>
        <w:rPr>
          <w:color w:val="auto"/>
          <w:szCs w:val="21"/>
        </w:rPr>
        <w:drawing>
          <wp:inline distT="0" distB="0" distL="0" distR="0">
            <wp:extent cx="1857375" cy="1952625"/>
            <wp:effectExtent l="0" t="0" r="9525" b="9525"/>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pic:cNvPicPr>
                      <a:picLocks noChangeAspect="1" noChangeArrowheads="1"/>
                    </pic:cNvPicPr>
                  </pic:nvPicPr>
                  <pic:blipFill>
                    <a:blip r:embed="rId1439">
                      <a:extLst>
                        <a:ext uri="{28A0092B-C50C-407E-A947-70E740481C1C}">
                          <a14:useLocalDpi xmlns:a14="http://schemas.microsoft.com/office/drawing/2010/main" val="0"/>
                        </a:ext>
                      </a:extLst>
                    </a:blip>
                    <a:srcRect/>
                    <a:stretch>
                      <a:fillRect/>
                    </a:stretch>
                  </pic:blipFill>
                  <pic:spPr>
                    <a:xfrm>
                      <a:off x="0" y="0"/>
                      <a:ext cx="1857375" cy="1952625"/>
                    </a:xfrm>
                    <a:prstGeom prst="rect">
                      <a:avLst/>
                    </a:prstGeom>
                    <a:noFill/>
                    <a:ln>
                      <a:noFill/>
                    </a:ln>
                  </pic:spPr>
                </pic:pic>
              </a:graphicData>
            </a:graphic>
          </wp:inline>
        </w:drawing>
      </w:r>
    </w:p>
    <w:p w14:paraId="5FBAB045">
      <w:pPr>
        <w:adjustRightInd w:val="0"/>
        <w:snapToGrid w:val="0"/>
        <w:spacing w:line="340" w:lineRule="atLeast"/>
        <w:jc w:val="center"/>
        <w:rPr>
          <w:rFonts w:eastAsia="黑体"/>
          <w:b/>
          <w:color w:val="auto"/>
          <w:sz w:val="18"/>
          <w:szCs w:val="18"/>
        </w:rPr>
      </w:pPr>
      <w:r>
        <w:rPr>
          <w:rFonts w:eastAsia="黑体"/>
          <w:b/>
          <w:color w:val="auto"/>
          <w:sz w:val="18"/>
          <w:szCs w:val="18"/>
        </w:rPr>
        <w:t>图J.1</w:t>
      </w:r>
      <w:r>
        <w:rPr>
          <w:rFonts w:eastAsia="黑体"/>
          <w:b/>
          <w:color w:val="auto"/>
          <w:sz w:val="18"/>
          <w:szCs w:val="18"/>
        </w:rPr>
        <w:tab/>
      </w:r>
      <w:r>
        <w:rPr>
          <w:rFonts w:eastAsia="黑体"/>
          <w:b/>
          <w:color w:val="auto"/>
          <w:sz w:val="18"/>
          <w:szCs w:val="18"/>
        </w:rPr>
        <w:t>阶梯形承台斜截面受剪计算示意</w:t>
      </w:r>
    </w:p>
    <w:p w14:paraId="6AAA587E">
      <w:pPr>
        <w:adjustRightInd w:val="0"/>
        <w:snapToGrid w:val="0"/>
        <w:spacing w:before="240" w:line="360" w:lineRule="atLeast"/>
        <w:rPr>
          <w:color w:val="auto"/>
          <w:szCs w:val="21"/>
        </w:rPr>
      </w:pPr>
      <w:r>
        <w:rPr>
          <w:color w:val="auto"/>
          <w:sz w:val="18"/>
          <w:szCs w:val="18"/>
        </w:rPr>
        <mc:AlternateContent>
          <mc:Choice Requires="wps">
            <w:drawing>
              <wp:anchor distT="0" distB="0" distL="114300" distR="114300" simplePos="0" relativeHeight="251673600" behindDoc="0" locked="0" layoutInCell="1" allowOverlap="0">
                <wp:simplePos x="0" y="0"/>
                <wp:positionH relativeFrom="column">
                  <wp:posOffset>3862070</wp:posOffset>
                </wp:positionH>
                <wp:positionV relativeFrom="paragraph">
                  <wp:posOffset>275590</wp:posOffset>
                </wp:positionV>
                <wp:extent cx="1881505" cy="2674620"/>
                <wp:effectExtent l="4445" t="0" r="0" b="2540"/>
                <wp:wrapSquare wrapText="bothSides"/>
                <wp:docPr id="349" name="矩形 349"/>
                <wp:cNvGraphicFramePr/>
                <a:graphic xmlns:a="http://schemas.openxmlformats.org/drawingml/2006/main">
                  <a:graphicData uri="http://schemas.microsoft.com/office/word/2010/wordprocessingShape">
                    <wps:wsp>
                      <wps:cNvSpPr>
                        <a:spLocks noChangeArrowheads="1"/>
                      </wps:cNvSpPr>
                      <wps:spPr bwMode="auto">
                        <a:xfrm>
                          <a:off x="0" y="0"/>
                          <a:ext cx="1881505" cy="2674620"/>
                        </a:xfrm>
                        <a:prstGeom prst="rect">
                          <a:avLst/>
                        </a:prstGeom>
                        <a:solidFill>
                          <a:srgbClr val="FFFFFF"/>
                        </a:solidFill>
                        <a:ln>
                          <a:noFill/>
                        </a:ln>
                      </wps:spPr>
                      <wps:txbx>
                        <w:txbxContent>
                          <w:p w14:paraId="773038CF">
                            <w:pPr>
                              <w:rPr>
                                <w:sz w:val="18"/>
                                <w:szCs w:val="18"/>
                              </w:rPr>
                            </w:pPr>
                            <w:r>
                              <w:rPr>
                                <w:sz w:val="18"/>
                                <w:szCs w:val="18"/>
                              </w:rPr>
                              <w:drawing>
                                <wp:inline distT="0" distB="0" distL="0" distR="0">
                                  <wp:extent cx="1695450" cy="2352675"/>
                                  <wp:effectExtent l="0" t="0" r="0" b="952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noChangeArrowheads="1"/>
                                          </pic:cNvPicPr>
                                        </pic:nvPicPr>
                                        <pic:blipFill>
                                          <a:blip r:embed="rId1440">
                                            <a:extLst>
                                              <a:ext uri="{28A0092B-C50C-407E-A947-70E740481C1C}">
                                                <a14:useLocalDpi xmlns:a14="http://schemas.microsoft.com/office/drawing/2010/main" val="0"/>
                                              </a:ext>
                                            </a:extLst>
                                          </a:blip>
                                          <a:srcRect/>
                                          <a:stretch>
                                            <a:fillRect/>
                                          </a:stretch>
                                        </pic:blipFill>
                                        <pic:spPr>
                                          <a:xfrm>
                                            <a:off x="0" y="0"/>
                                            <a:ext cx="1695450" cy="2352675"/>
                                          </a:xfrm>
                                          <a:prstGeom prst="rect">
                                            <a:avLst/>
                                          </a:prstGeom>
                                          <a:noFill/>
                                          <a:ln>
                                            <a:noFill/>
                                          </a:ln>
                                        </pic:spPr>
                                      </pic:pic>
                                    </a:graphicData>
                                  </a:graphic>
                                </wp:inline>
                              </w:drawing>
                            </w:r>
                          </w:p>
                          <w:p w14:paraId="02050CD7">
                            <w:pPr>
                              <w:adjustRightInd w:val="0"/>
                              <w:snapToGrid w:val="0"/>
                              <w:spacing w:before="60" w:line="432" w:lineRule="auto"/>
                              <w:jc w:val="center"/>
                              <w:rPr>
                                <w:rFonts w:ascii="宋体" w:hAnsi="宋体"/>
                                <w:b/>
                                <w:sz w:val="18"/>
                                <w:szCs w:val="18"/>
                              </w:rPr>
                            </w:pPr>
                            <w:r>
                              <w:rPr>
                                <w:rFonts w:hint="eastAsia" w:ascii="黑体" w:eastAsia="黑体"/>
                                <w:b/>
                                <w:sz w:val="18"/>
                                <w:szCs w:val="18"/>
                              </w:rPr>
                              <w:t>图</w:t>
                            </w:r>
                            <w:r>
                              <w:rPr>
                                <w:rFonts w:ascii="黑体" w:eastAsia="黑体"/>
                                <w:b/>
                                <w:sz w:val="18"/>
                                <w:szCs w:val="18"/>
                              </w:rPr>
                              <w:t>J</w:t>
                            </w:r>
                            <w:r>
                              <w:rPr>
                                <w:rFonts w:hint="eastAsia" w:ascii="黑体" w:eastAsia="黑体"/>
                                <w:b/>
                                <w:sz w:val="18"/>
                                <w:szCs w:val="18"/>
                              </w:rPr>
                              <w:t>.2</w:t>
                            </w:r>
                            <w:r>
                              <w:rPr>
                                <w:rFonts w:hint="eastAsia" w:ascii="宋体" w:hAnsi="宋体"/>
                                <w:b/>
                                <w:sz w:val="18"/>
                                <w:szCs w:val="18"/>
                              </w:rPr>
                              <w:t>锥形承台受剪计算示意</w:t>
                            </w:r>
                          </w:p>
                          <w:p w14:paraId="751A2B83"/>
                        </w:txbxContent>
                      </wps:txbx>
                      <wps:bodyPr rot="0" vert="horz" wrap="none" lIns="91440" tIns="45720" rIns="91440" bIns="45720" anchor="t" anchorCtr="0" upright="1">
                        <a:noAutofit/>
                      </wps:bodyPr>
                    </wps:wsp>
                  </a:graphicData>
                </a:graphic>
              </wp:anchor>
            </w:drawing>
          </mc:Choice>
          <mc:Fallback>
            <w:pict>
              <v:rect id="_x0000_s1026" o:spid="_x0000_s1026" o:spt="1" style="position:absolute;left:0pt;margin-left:304.1pt;margin-top:21.7pt;height:210.6pt;width:148.15pt;mso-wrap-distance-bottom:0pt;mso-wrap-distance-left:9pt;mso-wrap-distance-right:9pt;mso-wrap-distance-top:0pt;mso-wrap-style:none;z-index:251673600;mso-width-relative:page;mso-height-relative:page;" fillcolor="#FFFFFF" filled="t" stroked="f" coordsize="21600,21600" o:allowoverlap="f" o:gfxdata="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ORjzjaAAAACgEAAA8AAAAAAAAAAQAgAAAAIgAAAGRycy9kb3ducmV2LnhtbFBLAQIUABQAAAAI&#10;AIdO4kCjAb5WJAIAADQEAAAOAAAAAAAAAAEAIAAAACkBAABkcnMvZTJvRG9jLnhtbFBLBQYAAAAA&#10;BgAGAFkBAAC/BQAAAAA=&#10;">
                <v:fill on="t" focussize="0,0"/>
                <v:stroke on="f"/>
                <v:imagedata o:title=""/>
                <o:lock v:ext="edit" aspectratio="f"/>
                <v:textbox>
                  <w:txbxContent>
                    <w:p w14:paraId="773038CF">
                      <w:pPr>
                        <w:rPr>
                          <w:sz w:val="18"/>
                          <w:szCs w:val="18"/>
                        </w:rPr>
                      </w:pPr>
                      <w:r>
                        <w:rPr>
                          <w:sz w:val="18"/>
                          <w:szCs w:val="18"/>
                        </w:rPr>
                        <w:drawing>
                          <wp:inline distT="0" distB="0" distL="0" distR="0">
                            <wp:extent cx="1695450" cy="2352675"/>
                            <wp:effectExtent l="0" t="0" r="0" b="952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noChangeArrowheads="1"/>
                                    </pic:cNvPicPr>
                                  </pic:nvPicPr>
                                  <pic:blipFill>
                                    <a:blip r:embed="rId1440">
                                      <a:extLst>
                                        <a:ext uri="{28A0092B-C50C-407E-A947-70E740481C1C}">
                                          <a14:useLocalDpi xmlns:a14="http://schemas.microsoft.com/office/drawing/2010/main" val="0"/>
                                        </a:ext>
                                      </a:extLst>
                                    </a:blip>
                                    <a:srcRect/>
                                    <a:stretch>
                                      <a:fillRect/>
                                    </a:stretch>
                                  </pic:blipFill>
                                  <pic:spPr>
                                    <a:xfrm>
                                      <a:off x="0" y="0"/>
                                      <a:ext cx="1695450" cy="2352675"/>
                                    </a:xfrm>
                                    <a:prstGeom prst="rect">
                                      <a:avLst/>
                                    </a:prstGeom>
                                    <a:noFill/>
                                    <a:ln>
                                      <a:noFill/>
                                    </a:ln>
                                  </pic:spPr>
                                </pic:pic>
                              </a:graphicData>
                            </a:graphic>
                          </wp:inline>
                        </w:drawing>
                      </w:r>
                    </w:p>
                    <w:p w14:paraId="02050CD7">
                      <w:pPr>
                        <w:adjustRightInd w:val="0"/>
                        <w:snapToGrid w:val="0"/>
                        <w:spacing w:before="60" w:line="432" w:lineRule="auto"/>
                        <w:jc w:val="center"/>
                        <w:rPr>
                          <w:rFonts w:ascii="宋体" w:hAnsi="宋体"/>
                          <w:b/>
                          <w:sz w:val="18"/>
                          <w:szCs w:val="18"/>
                        </w:rPr>
                      </w:pPr>
                      <w:r>
                        <w:rPr>
                          <w:rFonts w:hint="eastAsia" w:ascii="黑体" w:eastAsia="黑体"/>
                          <w:b/>
                          <w:sz w:val="18"/>
                          <w:szCs w:val="18"/>
                        </w:rPr>
                        <w:t>图</w:t>
                      </w:r>
                      <w:r>
                        <w:rPr>
                          <w:rFonts w:ascii="黑体" w:eastAsia="黑体"/>
                          <w:b/>
                          <w:sz w:val="18"/>
                          <w:szCs w:val="18"/>
                        </w:rPr>
                        <w:t>J</w:t>
                      </w:r>
                      <w:r>
                        <w:rPr>
                          <w:rFonts w:hint="eastAsia" w:ascii="黑体" w:eastAsia="黑体"/>
                          <w:b/>
                          <w:sz w:val="18"/>
                          <w:szCs w:val="18"/>
                        </w:rPr>
                        <w:t>.2</w:t>
                      </w:r>
                      <w:r>
                        <w:rPr>
                          <w:rFonts w:hint="eastAsia" w:ascii="宋体" w:hAnsi="宋体"/>
                          <w:b/>
                          <w:sz w:val="18"/>
                          <w:szCs w:val="18"/>
                        </w:rPr>
                        <w:t>锥形承台受剪计算示意</w:t>
                      </w:r>
                    </w:p>
                    <w:p w14:paraId="751A2B83"/>
                  </w:txbxContent>
                </v:textbox>
                <w10:wrap type="square"/>
              </v:rect>
            </w:pict>
          </mc:Fallback>
        </mc:AlternateContent>
      </w:r>
      <w:r>
        <w:rPr>
          <w:b/>
          <w:bCs/>
          <w:color w:val="auto"/>
          <w:szCs w:val="21"/>
        </w:rPr>
        <w:t xml:space="preserve">J.2  </w:t>
      </w:r>
      <w:r>
        <w:rPr>
          <w:color w:val="auto"/>
          <w:szCs w:val="21"/>
        </w:rPr>
        <w:t>对于锥形承台应对A-A及B-B</w:t>
      </w:r>
      <w:r>
        <w:rPr>
          <w:color w:val="auto"/>
          <w:szCs w:val="21"/>
        </w:rPr>
        <w:tab/>
      </w:r>
      <w:r>
        <w:rPr>
          <w:color w:val="auto"/>
          <w:szCs w:val="21"/>
        </w:rPr>
        <w:t>两个截面进行受剪承载力计算（图J.2），截面有效高度均为</w:t>
      </w:r>
      <w:r>
        <w:rPr>
          <w:i/>
          <w:color w:val="auto"/>
          <w:szCs w:val="21"/>
        </w:rPr>
        <w:t>h</w:t>
      </w:r>
      <w:r>
        <w:rPr>
          <w:i/>
          <w:color w:val="auto"/>
          <w:szCs w:val="21"/>
          <w:vertAlign w:val="subscript"/>
        </w:rPr>
        <w:t>o</w:t>
      </w:r>
      <w:r>
        <w:rPr>
          <w:color w:val="auto"/>
          <w:szCs w:val="21"/>
        </w:rPr>
        <w:t>,截面的计算宽度按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J.3</w:t>
      </w:r>
      <w:r>
        <w:rPr>
          <w:rFonts w:hint="eastAsia" w:eastAsia="宋体"/>
          <w:color w:val="auto"/>
          <w:sz w:val="21"/>
          <w:szCs w:val="21"/>
          <w:lang w:eastAsia="zh-CN"/>
        </w:rPr>
        <w:t>）</w:t>
      </w:r>
      <w:r>
        <w:rPr>
          <w:rFonts w:hint="eastAsia"/>
          <w:color w:val="auto"/>
          <w:sz w:val="21"/>
          <w:szCs w:val="21"/>
          <w:lang w:val="en-US" w:eastAsia="zh-CN"/>
        </w:rPr>
        <w:t>~</w:t>
      </w:r>
      <w:r>
        <w:rPr>
          <w:rFonts w:hint="eastAsia" w:eastAsia="宋体"/>
          <w:color w:val="auto"/>
          <w:sz w:val="21"/>
          <w:szCs w:val="21"/>
          <w:lang w:eastAsia="zh-CN"/>
        </w:rPr>
        <w:t>（</w:t>
      </w:r>
      <w:r>
        <w:rPr>
          <w:rFonts w:hint="eastAsia"/>
          <w:color w:val="auto"/>
          <w:sz w:val="21"/>
          <w:szCs w:val="21"/>
          <w:lang w:val="en-US" w:eastAsia="zh-CN"/>
        </w:rPr>
        <w:t>J.4</w:t>
      </w:r>
      <w:r>
        <w:rPr>
          <w:rFonts w:hint="eastAsia" w:eastAsia="宋体"/>
          <w:color w:val="auto"/>
          <w:sz w:val="21"/>
          <w:szCs w:val="21"/>
          <w:lang w:eastAsia="zh-CN"/>
        </w:rPr>
        <w:t>）</w:t>
      </w:r>
      <w:r>
        <w:rPr>
          <w:color w:val="auto"/>
          <w:szCs w:val="21"/>
        </w:rPr>
        <w:t>计算：</w:t>
      </w:r>
    </w:p>
    <w:p w14:paraId="650AF2B0">
      <w:pPr>
        <w:adjustRightInd w:val="0"/>
        <w:snapToGrid w:val="0"/>
        <w:spacing w:before="240" w:line="440" w:lineRule="atLeast"/>
        <w:ind w:firstLine="420" w:firstLineChars="200"/>
        <w:rPr>
          <w:b/>
          <w:bCs/>
          <w:color w:val="auto"/>
          <w:szCs w:val="21"/>
        </w:rPr>
      </w:pPr>
      <w:r>
        <w:rPr>
          <w:color w:val="auto"/>
          <w:szCs w:val="21"/>
        </w:rPr>
        <w:t xml:space="preserve">对A-A：  </w:t>
      </w:r>
      <w:r>
        <w:rPr>
          <w:color w:val="auto"/>
          <w:position w:val="-34"/>
          <w:szCs w:val="21"/>
        </w:rPr>
        <w:object>
          <v:shape id="_x0000_i1767" o:spt="75" type="#_x0000_t75" style="height:41.25pt;width:127.5pt;" o:ole="t" filled="f" o:preferrelative="t" stroked="f" coordsize="21600,21600">
            <v:path/>
            <v:fill on="f" focussize="0,0"/>
            <v:stroke on="f" joinstyle="miter"/>
            <v:imagedata r:id="rId1442" o:title=""/>
            <o:lock v:ext="edit" aspectratio="t"/>
            <w10:wrap type="none"/>
            <w10:anchorlock/>
          </v:shape>
          <o:OLEObject Type="Embed" ProgID="Equation.DSMT4" ShapeID="_x0000_i1767" DrawAspect="Content" ObjectID="_1468076467" r:id="rId1441">
            <o:LockedField>false</o:LockedField>
          </o:OLEObject>
        </w:object>
      </w:r>
      <w:r>
        <w:rPr>
          <w:color w:val="auto"/>
          <w:szCs w:val="21"/>
        </w:rPr>
        <w:t xml:space="preserve">       (J.3)</w:t>
      </w:r>
    </w:p>
    <w:p w14:paraId="0F04EE66">
      <w:pPr>
        <w:adjustRightInd w:val="0"/>
        <w:snapToGrid w:val="0"/>
        <w:spacing w:before="240" w:line="440" w:lineRule="atLeast"/>
        <w:ind w:right="-64" w:firstLine="420" w:firstLineChars="200"/>
        <w:rPr>
          <w:color w:val="auto"/>
          <w:szCs w:val="21"/>
        </w:rPr>
      </w:pPr>
      <w:r>
        <w:rPr>
          <w:color w:val="auto"/>
          <w:szCs w:val="21"/>
        </w:rPr>
        <w:t xml:space="preserve">对B-B：   </w:t>
      </w:r>
      <w:r>
        <w:rPr>
          <w:color w:val="auto"/>
          <w:position w:val="-32"/>
          <w:szCs w:val="21"/>
        </w:rPr>
        <w:object>
          <v:shape id="_x0000_i1768" o:spt="75" type="#_x0000_t75" style="height:37.5pt;width:129pt;" o:ole="t" filled="f" o:preferrelative="t" stroked="f" coordsize="21600,21600">
            <v:path/>
            <v:fill on="f" focussize="0,0"/>
            <v:stroke on="f" joinstyle="miter"/>
            <v:imagedata r:id="rId1444" o:title=""/>
            <o:lock v:ext="edit" aspectratio="t"/>
            <w10:wrap type="none"/>
            <w10:anchorlock/>
          </v:shape>
          <o:OLEObject Type="Embed" ProgID="Equation.DSMT4" ShapeID="_x0000_i1768" DrawAspect="Content" ObjectID="_1468076468" r:id="rId1443">
            <o:LockedField>false</o:LockedField>
          </o:OLEObject>
        </w:object>
      </w:r>
      <w:r>
        <w:rPr>
          <w:color w:val="auto"/>
          <w:szCs w:val="21"/>
        </w:rPr>
        <w:tab/>
      </w:r>
      <w:r>
        <w:rPr>
          <w:color w:val="auto"/>
          <w:szCs w:val="21"/>
        </w:rPr>
        <w:t xml:space="preserve">      (J.4)</w:t>
      </w:r>
    </w:p>
    <w:p w14:paraId="4544E1B9">
      <w:pPr>
        <w:adjustRightInd w:val="0"/>
        <w:snapToGrid w:val="0"/>
        <w:spacing w:line="400" w:lineRule="atLeast"/>
        <w:jc w:val="center"/>
        <w:outlineLvl w:val="0"/>
        <w:rPr>
          <w:rFonts w:eastAsia="黑体"/>
          <w:b/>
          <w:color w:val="auto"/>
          <w:spacing w:val="8"/>
          <w:sz w:val="24"/>
        </w:rPr>
      </w:pPr>
      <w:r>
        <w:rPr>
          <w:color w:val="auto"/>
          <w:sz w:val="24"/>
        </w:rPr>
        <w:br w:type="page"/>
      </w:r>
      <w:bookmarkStart w:id="140" w:name="_Toc199943679"/>
      <w:r>
        <w:rPr>
          <w:rFonts w:eastAsia="黑体"/>
          <w:b/>
          <w:color w:val="auto"/>
          <w:spacing w:val="8"/>
          <w:sz w:val="24"/>
        </w:rPr>
        <w:t>附录</w:t>
      </w:r>
      <w:r>
        <w:rPr>
          <w:rFonts w:hint="eastAsia" w:eastAsia="黑体"/>
          <w:b/>
          <w:color w:val="auto"/>
          <w:spacing w:val="8"/>
          <w:sz w:val="24"/>
        </w:rPr>
        <w:t>K</w:t>
      </w:r>
      <w:bookmarkEnd w:id="140"/>
    </w:p>
    <w:p w14:paraId="59E633C7">
      <w:pPr>
        <w:adjustRightInd w:val="0"/>
        <w:snapToGrid w:val="0"/>
        <w:spacing w:line="400" w:lineRule="atLeast"/>
        <w:jc w:val="center"/>
        <w:outlineLvl w:val="0"/>
        <w:rPr>
          <w:rFonts w:eastAsia="黑体"/>
          <w:b/>
          <w:color w:val="auto"/>
          <w:spacing w:val="8"/>
          <w:sz w:val="24"/>
        </w:rPr>
      </w:pPr>
      <w:bookmarkStart w:id="141" w:name="_Toc199943680"/>
      <w:r>
        <w:rPr>
          <w:rFonts w:eastAsia="黑体"/>
          <w:b/>
          <w:color w:val="auto"/>
          <w:spacing w:val="8"/>
          <w:sz w:val="24"/>
        </w:rPr>
        <w:t>（规范性）</w:t>
      </w:r>
      <w:bookmarkEnd w:id="141"/>
    </w:p>
    <w:p w14:paraId="77A07DD4">
      <w:pPr>
        <w:adjustRightInd w:val="0"/>
        <w:snapToGrid w:val="0"/>
        <w:spacing w:line="400" w:lineRule="atLeast"/>
        <w:jc w:val="center"/>
        <w:outlineLvl w:val="0"/>
        <w:rPr>
          <w:rFonts w:eastAsia="黑体"/>
          <w:b/>
          <w:color w:val="auto"/>
          <w:sz w:val="24"/>
        </w:rPr>
      </w:pPr>
      <w:bookmarkStart w:id="142" w:name="_Toc199943681"/>
      <w:r>
        <w:rPr>
          <w:rFonts w:eastAsia="黑体"/>
          <w:b/>
          <w:color w:val="auto"/>
          <w:sz w:val="24"/>
        </w:rPr>
        <w:t>岩石点荷载试验</w:t>
      </w:r>
      <w:bookmarkEnd w:id="142"/>
    </w:p>
    <w:p w14:paraId="7F7A547C">
      <w:pPr>
        <w:adjustRightInd w:val="0"/>
        <w:snapToGrid w:val="0"/>
        <w:spacing w:line="340" w:lineRule="exact"/>
        <w:rPr>
          <w:color w:val="auto"/>
          <w:szCs w:val="21"/>
        </w:rPr>
      </w:pPr>
    </w:p>
    <w:p w14:paraId="0B349FDA">
      <w:pPr>
        <w:adjustRightInd w:val="0"/>
        <w:snapToGrid w:val="0"/>
        <w:spacing w:line="340" w:lineRule="atLeast"/>
        <w:rPr>
          <w:color w:val="auto"/>
          <w:szCs w:val="21"/>
        </w:rPr>
      </w:pPr>
      <w:r>
        <w:rPr>
          <w:b/>
          <w:bCs/>
          <w:color w:val="auto"/>
          <w:szCs w:val="21"/>
        </w:rPr>
        <w:t>K.1</w:t>
      </w:r>
      <w:r>
        <w:rPr>
          <w:color w:val="auto"/>
          <w:szCs w:val="21"/>
        </w:rPr>
        <w:t xml:space="preserve">  点荷载强度试验适用于各类岩石。</w:t>
      </w:r>
    </w:p>
    <w:p w14:paraId="413C59DF">
      <w:pPr>
        <w:adjustRightInd w:val="0"/>
        <w:snapToGrid w:val="0"/>
        <w:spacing w:line="340" w:lineRule="atLeast"/>
        <w:rPr>
          <w:color w:val="auto"/>
          <w:szCs w:val="21"/>
        </w:rPr>
      </w:pPr>
      <w:r>
        <w:rPr>
          <w:b/>
          <w:bCs/>
          <w:color w:val="auto"/>
          <w:szCs w:val="21"/>
        </w:rPr>
        <w:t>K.2</w:t>
      </w:r>
      <w:r>
        <w:rPr>
          <w:color w:val="auto"/>
          <w:szCs w:val="21"/>
        </w:rPr>
        <w:t xml:space="preserve">  试件可用钻孔岩芯，或从岩石露头、勘探坑槽、平洞、巷道中采取的岩块。试件在采取和制备过程中，应避免产生裂缝。</w:t>
      </w:r>
    </w:p>
    <w:p w14:paraId="2B8DD9AB">
      <w:pPr>
        <w:adjustRightInd w:val="0"/>
        <w:snapToGrid w:val="0"/>
        <w:spacing w:line="340" w:lineRule="atLeast"/>
        <w:rPr>
          <w:color w:val="auto"/>
          <w:szCs w:val="21"/>
        </w:rPr>
      </w:pPr>
      <w:r>
        <w:rPr>
          <w:b/>
          <w:bCs/>
          <w:color w:val="auto"/>
          <w:szCs w:val="21"/>
        </w:rPr>
        <w:t>K.3</w:t>
      </w:r>
      <w:r>
        <w:rPr>
          <w:color w:val="auto"/>
          <w:szCs w:val="21"/>
        </w:rPr>
        <w:t xml:space="preserve">  试件尺寸应符合下列规定：</w:t>
      </w:r>
    </w:p>
    <w:p w14:paraId="2857B88C">
      <w:pPr>
        <w:adjustRightInd w:val="0"/>
        <w:snapToGrid w:val="0"/>
        <w:spacing w:line="340" w:lineRule="atLeast"/>
        <w:ind w:firstLine="480"/>
        <w:rPr>
          <w:color w:val="auto"/>
          <w:szCs w:val="21"/>
        </w:rPr>
      </w:pPr>
      <w:r>
        <w:rPr>
          <w:b/>
          <w:bCs/>
          <w:color w:val="auto"/>
          <w:szCs w:val="21"/>
        </w:rPr>
        <w:t>a)</w:t>
      </w:r>
      <w:r>
        <w:rPr>
          <w:color w:val="auto"/>
          <w:szCs w:val="21"/>
        </w:rPr>
        <w:t xml:space="preserve">  当采用岩芯试件作径向试验时，试件的长度与直径之比不应小于1；作轴向试验时，加载两点间距与直径之比宜为0.3～1.0。</w:t>
      </w:r>
    </w:p>
    <w:p w14:paraId="0FBABEE6">
      <w:pPr>
        <w:adjustRightInd w:val="0"/>
        <w:snapToGrid w:val="0"/>
        <w:spacing w:line="340" w:lineRule="atLeast"/>
        <w:ind w:firstLine="480"/>
        <w:rPr>
          <w:color w:val="auto"/>
          <w:szCs w:val="21"/>
        </w:rPr>
      </w:pPr>
      <w:r>
        <w:rPr>
          <w:b/>
          <w:bCs/>
          <w:color w:val="auto"/>
          <w:szCs w:val="21"/>
        </w:rPr>
        <w:t>b)</w:t>
      </w:r>
      <w:r>
        <w:rPr>
          <w:color w:val="auto"/>
          <w:szCs w:val="21"/>
        </w:rPr>
        <w:t xml:space="preserve">  当采用方块体或不规则块体试件作试验时，加荷两点间距宜为30mm～50mm；加荷两点间距与加荷处平均宽度之比宜为0.3～1.0；试件长度不应小于加荷两点间距。</w:t>
      </w:r>
    </w:p>
    <w:p w14:paraId="33ACABAC">
      <w:pPr>
        <w:adjustRightInd w:val="0"/>
        <w:snapToGrid w:val="0"/>
        <w:spacing w:line="340" w:lineRule="atLeast"/>
        <w:rPr>
          <w:color w:val="auto"/>
          <w:szCs w:val="21"/>
        </w:rPr>
      </w:pPr>
      <w:r>
        <w:rPr>
          <w:b/>
          <w:bCs/>
          <w:color w:val="auto"/>
          <w:szCs w:val="21"/>
        </w:rPr>
        <w:t>K.4</w:t>
      </w:r>
      <w:r>
        <w:rPr>
          <w:color w:val="auto"/>
          <w:szCs w:val="21"/>
        </w:rPr>
        <w:t xml:space="preserve">  试件含水状态可根据需要选择天然含水状态、烘干状态、饱和状态或其他含水状态。试件烘干和饱和方法应符合GB/T</w:t>
      </w:r>
      <w:r>
        <w:rPr>
          <w:rFonts w:hint="eastAsia"/>
          <w:color w:val="auto"/>
          <w:szCs w:val="21"/>
          <w:lang w:val="en-US" w:eastAsia="zh-CN"/>
        </w:rPr>
        <w:t xml:space="preserve"> </w:t>
      </w:r>
      <w:r>
        <w:rPr>
          <w:color w:val="auto"/>
          <w:szCs w:val="21"/>
        </w:rPr>
        <w:t>50266的有关规定。</w:t>
      </w:r>
    </w:p>
    <w:p w14:paraId="593413F3">
      <w:pPr>
        <w:adjustRightInd w:val="0"/>
        <w:snapToGrid w:val="0"/>
        <w:spacing w:line="340" w:lineRule="atLeast"/>
        <w:rPr>
          <w:color w:val="auto"/>
          <w:szCs w:val="21"/>
        </w:rPr>
      </w:pPr>
      <w:r>
        <w:rPr>
          <w:b/>
          <w:bCs/>
          <w:color w:val="auto"/>
          <w:szCs w:val="21"/>
        </w:rPr>
        <w:t>K.5</w:t>
      </w:r>
      <w:r>
        <w:rPr>
          <w:color w:val="auto"/>
          <w:szCs w:val="21"/>
        </w:rPr>
        <w:t xml:space="preserve">  同一含水状态下的岩芯试件数量每组应为5个～10个，方块体或不规则块体试件数量每组应为15个～20个。</w:t>
      </w:r>
    </w:p>
    <w:p w14:paraId="4A26CD97">
      <w:pPr>
        <w:adjustRightInd w:val="0"/>
        <w:snapToGrid w:val="0"/>
        <w:spacing w:line="340" w:lineRule="atLeast"/>
        <w:rPr>
          <w:color w:val="auto"/>
          <w:szCs w:val="21"/>
        </w:rPr>
      </w:pPr>
      <w:r>
        <w:rPr>
          <w:b/>
          <w:bCs/>
          <w:color w:val="auto"/>
          <w:szCs w:val="21"/>
        </w:rPr>
        <w:t>K.6</w:t>
      </w:r>
      <w:r>
        <w:rPr>
          <w:color w:val="auto"/>
          <w:szCs w:val="21"/>
        </w:rPr>
        <w:t xml:space="preserve">  试件描述应包括下列内容：</w:t>
      </w:r>
    </w:p>
    <w:p w14:paraId="249859E1">
      <w:pPr>
        <w:adjustRightInd w:val="0"/>
        <w:snapToGrid w:val="0"/>
        <w:spacing w:line="340" w:lineRule="atLeast"/>
        <w:ind w:firstLine="480"/>
        <w:rPr>
          <w:color w:val="auto"/>
          <w:szCs w:val="21"/>
        </w:rPr>
      </w:pPr>
      <w:r>
        <w:rPr>
          <w:b/>
          <w:bCs/>
          <w:color w:val="auto"/>
          <w:szCs w:val="21"/>
        </w:rPr>
        <w:t>a)</w:t>
      </w:r>
      <w:r>
        <w:rPr>
          <w:color w:val="auto"/>
          <w:szCs w:val="21"/>
        </w:rPr>
        <w:t xml:space="preserve">  岩石名称、颜色、矿物成分、结构、风化程度、胶结物性质等；</w:t>
      </w:r>
    </w:p>
    <w:p w14:paraId="625E74EC">
      <w:pPr>
        <w:adjustRightInd w:val="0"/>
        <w:snapToGrid w:val="0"/>
        <w:spacing w:line="340" w:lineRule="atLeast"/>
        <w:ind w:firstLine="480"/>
        <w:rPr>
          <w:color w:val="auto"/>
          <w:szCs w:val="21"/>
        </w:rPr>
      </w:pPr>
      <w:r>
        <w:rPr>
          <w:b/>
          <w:bCs/>
          <w:color w:val="auto"/>
          <w:szCs w:val="21"/>
        </w:rPr>
        <w:t>b)</w:t>
      </w:r>
      <w:r>
        <w:rPr>
          <w:color w:val="auto"/>
          <w:szCs w:val="21"/>
        </w:rPr>
        <w:t xml:space="preserve">  试件形状及制备方法；</w:t>
      </w:r>
    </w:p>
    <w:p w14:paraId="0DFA1AE8">
      <w:pPr>
        <w:adjustRightInd w:val="0"/>
        <w:snapToGrid w:val="0"/>
        <w:spacing w:line="340" w:lineRule="atLeast"/>
        <w:ind w:left="480"/>
        <w:rPr>
          <w:color w:val="auto"/>
          <w:szCs w:val="21"/>
        </w:rPr>
      </w:pPr>
      <w:r>
        <w:rPr>
          <w:b/>
          <w:bCs/>
          <w:color w:val="auto"/>
          <w:szCs w:val="21"/>
        </w:rPr>
        <w:t>c)</w:t>
      </w:r>
      <w:r>
        <w:rPr>
          <w:color w:val="auto"/>
          <w:szCs w:val="21"/>
        </w:rPr>
        <w:t xml:space="preserve">  加荷方向与层理、节理、裂隙的关系；</w:t>
      </w:r>
    </w:p>
    <w:p w14:paraId="099386E7">
      <w:pPr>
        <w:adjustRightInd w:val="0"/>
        <w:snapToGrid w:val="0"/>
        <w:spacing w:line="340" w:lineRule="atLeast"/>
        <w:ind w:left="480"/>
        <w:rPr>
          <w:color w:val="auto"/>
          <w:szCs w:val="21"/>
        </w:rPr>
      </w:pPr>
      <w:r>
        <w:rPr>
          <w:b/>
          <w:bCs/>
          <w:color w:val="auto"/>
          <w:szCs w:val="21"/>
        </w:rPr>
        <w:t>d)</w:t>
      </w:r>
      <w:r>
        <w:rPr>
          <w:color w:val="auto"/>
          <w:szCs w:val="21"/>
        </w:rPr>
        <w:t xml:space="preserve">  含水状态及所使用的方法。</w:t>
      </w:r>
    </w:p>
    <w:p w14:paraId="2593C6B6">
      <w:pPr>
        <w:adjustRightInd w:val="0"/>
        <w:snapToGrid w:val="0"/>
        <w:spacing w:line="340" w:lineRule="atLeast"/>
        <w:rPr>
          <w:color w:val="auto"/>
          <w:szCs w:val="21"/>
        </w:rPr>
      </w:pPr>
      <w:r>
        <w:rPr>
          <w:b/>
          <w:bCs/>
          <w:color w:val="auto"/>
          <w:szCs w:val="21"/>
        </w:rPr>
        <w:t>K.7</w:t>
      </w:r>
      <w:r>
        <w:rPr>
          <w:color w:val="auto"/>
          <w:szCs w:val="21"/>
        </w:rPr>
        <w:t xml:space="preserve">  本试验应采用点荷载试验仪。</w:t>
      </w:r>
    </w:p>
    <w:p w14:paraId="7F9E26CF">
      <w:pPr>
        <w:adjustRightInd w:val="0"/>
        <w:snapToGrid w:val="0"/>
        <w:spacing w:line="340" w:lineRule="atLeast"/>
        <w:rPr>
          <w:color w:val="auto"/>
          <w:szCs w:val="21"/>
        </w:rPr>
      </w:pPr>
      <w:r>
        <w:rPr>
          <w:b/>
          <w:bCs/>
          <w:color w:val="auto"/>
          <w:szCs w:val="21"/>
        </w:rPr>
        <w:t>K.8</w:t>
      </w:r>
      <w:r>
        <w:rPr>
          <w:color w:val="auto"/>
          <w:szCs w:val="21"/>
        </w:rPr>
        <w:t xml:space="preserve">  试验应按下列步骤进行：</w:t>
      </w:r>
    </w:p>
    <w:p w14:paraId="3235A6EE">
      <w:pPr>
        <w:adjustRightInd w:val="0"/>
        <w:snapToGrid w:val="0"/>
        <w:spacing w:line="340" w:lineRule="atLeast"/>
        <w:ind w:firstLine="480"/>
        <w:rPr>
          <w:color w:val="auto"/>
          <w:szCs w:val="21"/>
        </w:rPr>
      </w:pPr>
      <w:r>
        <w:rPr>
          <w:b/>
          <w:bCs/>
          <w:color w:val="auto"/>
          <w:szCs w:val="21"/>
        </w:rPr>
        <w:t>a)</w:t>
      </w:r>
      <w:r>
        <w:rPr>
          <w:color w:val="auto"/>
          <w:szCs w:val="21"/>
        </w:rPr>
        <w:t xml:space="preserve">  径向试验时，将岩芯试件放入球端圆锥之间，使上下锥端与试件直径两端紧密接触，量测加荷点间距。接触点距试件自由端的最小距离不应小于加荷两点间距的0.5倍。</w:t>
      </w:r>
    </w:p>
    <w:p w14:paraId="1FD28128">
      <w:pPr>
        <w:adjustRightInd w:val="0"/>
        <w:snapToGrid w:val="0"/>
        <w:spacing w:line="340" w:lineRule="atLeast"/>
        <w:ind w:firstLine="480"/>
        <w:rPr>
          <w:color w:val="auto"/>
          <w:szCs w:val="21"/>
        </w:rPr>
      </w:pPr>
      <w:r>
        <w:rPr>
          <w:b/>
          <w:bCs/>
          <w:color w:val="auto"/>
          <w:szCs w:val="21"/>
        </w:rPr>
        <w:t>b)</w:t>
      </w:r>
      <w:r>
        <w:rPr>
          <w:color w:val="auto"/>
          <w:szCs w:val="21"/>
        </w:rPr>
        <w:t xml:space="preserve">  轴向试验时，将岩芯试件放入球圆锥之间，使上下锥端位于岩芯试件的圆心处并与试件紧密接触。量测加荷点间距及垂直于加荷方向的试件宽度。</w:t>
      </w:r>
    </w:p>
    <w:p w14:paraId="1449A9E6">
      <w:pPr>
        <w:adjustRightInd w:val="0"/>
        <w:snapToGrid w:val="0"/>
        <w:spacing w:line="340" w:lineRule="atLeast"/>
        <w:ind w:firstLine="480"/>
        <w:rPr>
          <w:color w:val="auto"/>
          <w:szCs w:val="21"/>
        </w:rPr>
      </w:pPr>
      <w:r>
        <w:rPr>
          <w:b/>
          <w:bCs/>
          <w:color w:val="auto"/>
          <w:szCs w:val="21"/>
        </w:rPr>
        <w:t>c)</w:t>
      </w:r>
      <w:r>
        <w:rPr>
          <w:color w:val="auto"/>
          <w:szCs w:val="21"/>
        </w:rPr>
        <w:t xml:space="preserve">  方块体与不规则块体试验时，选择试件最小尺寸方向为加荷方向。将试件放入球端圆锥之间，使上下锥端位于试件中心处并与试件紧密接触。量测加荷点间距及通过两加荷点最小截面的宽度（或平均宽度）。接触点距试件自由端的距离不应小于加荷点间距的0.5倍。</w:t>
      </w:r>
    </w:p>
    <w:p w14:paraId="168B300C">
      <w:pPr>
        <w:adjustRightInd w:val="0"/>
        <w:snapToGrid w:val="0"/>
        <w:spacing w:line="340" w:lineRule="atLeast"/>
        <w:ind w:firstLine="480"/>
        <w:rPr>
          <w:color w:val="auto"/>
          <w:szCs w:val="21"/>
        </w:rPr>
      </w:pPr>
      <w:r>
        <w:rPr>
          <w:b/>
          <w:bCs/>
          <w:color w:val="auto"/>
          <w:szCs w:val="21"/>
        </w:rPr>
        <w:t>d)</w:t>
      </w:r>
      <w:r>
        <w:rPr>
          <w:color w:val="auto"/>
          <w:szCs w:val="21"/>
        </w:rPr>
        <w:t xml:space="preserve">  稳定地施加荷载，使试件在10s～60s内破坏，记录破坏荷载。</w:t>
      </w:r>
    </w:p>
    <w:p w14:paraId="039C3726">
      <w:pPr>
        <w:adjustRightInd w:val="0"/>
        <w:snapToGrid w:val="0"/>
        <w:spacing w:line="340" w:lineRule="atLeast"/>
        <w:ind w:firstLine="480"/>
        <w:rPr>
          <w:color w:val="auto"/>
          <w:szCs w:val="21"/>
        </w:rPr>
      </w:pPr>
      <w:r>
        <w:rPr>
          <w:b/>
          <w:bCs/>
          <w:color w:val="auto"/>
          <w:szCs w:val="21"/>
        </w:rPr>
        <w:t>e)</w:t>
      </w:r>
      <w:r>
        <w:rPr>
          <w:color w:val="auto"/>
          <w:szCs w:val="21"/>
        </w:rPr>
        <w:t xml:space="preserve">  试验结束后，应描述试件的破坏形态。破坏面贯穿整个试件并通过两加荷点为有效试验。</w:t>
      </w:r>
    </w:p>
    <w:p w14:paraId="47E0BF80">
      <w:pPr>
        <w:adjustRightInd w:val="0"/>
        <w:snapToGrid w:val="0"/>
        <w:spacing w:line="340" w:lineRule="atLeast"/>
        <w:rPr>
          <w:color w:val="auto"/>
          <w:szCs w:val="21"/>
        </w:rPr>
      </w:pPr>
      <w:r>
        <w:rPr>
          <w:b/>
          <w:bCs/>
          <w:color w:val="auto"/>
          <w:szCs w:val="21"/>
        </w:rPr>
        <w:t>K.9</w:t>
      </w:r>
      <w:r>
        <w:rPr>
          <w:color w:val="auto"/>
          <w:szCs w:val="21"/>
        </w:rPr>
        <w:t xml:space="preserve">  试验成果整理应符合下列要求：</w:t>
      </w:r>
    </w:p>
    <w:p w14:paraId="7B292CE8">
      <w:pPr>
        <w:adjustRightInd w:val="0"/>
        <w:snapToGrid w:val="0"/>
        <w:spacing w:line="340" w:lineRule="atLeast"/>
        <w:ind w:firstLine="480"/>
        <w:rPr>
          <w:color w:val="auto"/>
          <w:szCs w:val="21"/>
        </w:rPr>
      </w:pPr>
      <w:r>
        <w:rPr>
          <w:b/>
          <w:bCs/>
          <w:color w:val="auto"/>
          <w:szCs w:val="21"/>
        </w:rPr>
        <w:t>a)</w:t>
      </w:r>
      <w:r>
        <w:rPr>
          <w:color w:val="auto"/>
          <w:szCs w:val="21"/>
        </w:rPr>
        <w:t xml:space="preserve">  按公式</w:t>
      </w:r>
      <w:r>
        <w:rPr>
          <w:rFonts w:hint="eastAsia" w:eastAsia="宋体"/>
          <w:color w:val="auto"/>
          <w:sz w:val="21"/>
          <w:szCs w:val="21"/>
          <w:lang w:eastAsia="zh-CN"/>
        </w:rPr>
        <w:t>（</w:t>
      </w:r>
      <w:r>
        <w:rPr>
          <w:rFonts w:hint="eastAsia"/>
          <w:color w:val="auto"/>
          <w:sz w:val="21"/>
          <w:szCs w:val="21"/>
          <w:lang w:val="en-US" w:eastAsia="zh-CN"/>
        </w:rPr>
        <w:t>K.2</w:t>
      </w:r>
      <w:r>
        <w:rPr>
          <w:rFonts w:hint="eastAsia" w:eastAsia="宋体"/>
          <w:color w:val="auto"/>
          <w:sz w:val="21"/>
          <w:szCs w:val="21"/>
          <w:lang w:eastAsia="zh-CN"/>
        </w:rPr>
        <w:t>）</w:t>
      </w:r>
      <w:r>
        <w:rPr>
          <w:color w:val="auto"/>
          <w:szCs w:val="21"/>
        </w:rPr>
        <w:t>计算岩石点荷载强度：</w:t>
      </w:r>
    </w:p>
    <w:p w14:paraId="5DE8D60D">
      <w:pPr>
        <w:adjustRightInd w:val="0"/>
        <w:snapToGrid w:val="0"/>
        <w:spacing w:line="340" w:lineRule="atLeast"/>
        <w:ind w:firstLine="482"/>
        <w:jc w:val="right"/>
        <w:rPr>
          <w:color w:val="auto"/>
          <w:szCs w:val="21"/>
        </w:rPr>
      </w:pPr>
      <w:r>
        <w:rPr>
          <w:color w:val="auto"/>
          <w:position w:val="-30"/>
          <w:szCs w:val="21"/>
        </w:rPr>
        <w:object>
          <v:shape id="_x0000_i1769" o:spt="75" type="#_x0000_t75" style="height:35.25pt;width:39pt;" o:ole="t" filled="f" o:preferrelative="t" stroked="f" coordsize="21600,21600">
            <v:path/>
            <v:fill on="f" focussize="0,0"/>
            <v:stroke on="f" joinstyle="miter"/>
            <v:imagedata r:id="rId1446" o:title=""/>
            <o:lock v:ext="edit" aspectratio="t"/>
            <w10:wrap type="none"/>
            <w10:anchorlock/>
          </v:shape>
          <o:OLEObject Type="Embed" ProgID="Equation.DSMT4" ShapeID="_x0000_i1769" DrawAspect="Content" ObjectID="_1468076469" r:id="rId1445">
            <o:LockedField>false</o:LockedField>
          </o:OLEObject>
        </w:object>
      </w:r>
      <w:r>
        <w:rPr>
          <w:color w:val="auto"/>
          <w:szCs w:val="21"/>
        </w:rPr>
        <w:t xml:space="preserve">                                      (K.1)</w:t>
      </w:r>
    </w:p>
    <w:p w14:paraId="0D2294A8">
      <w:pPr>
        <w:adjustRightInd w:val="0"/>
        <w:snapToGrid w:val="0"/>
        <w:spacing w:line="340" w:lineRule="atLeast"/>
        <w:rPr>
          <w:color w:val="auto"/>
          <w:szCs w:val="21"/>
        </w:rPr>
      </w:pPr>
      <w:r>
        <w:rPr>
          <w:color w:val="auto"/>
          <w:szCs w:val="21"/>
        </w:rPr>
        <w:t xml:space="preserve">式中  </w:t>
      </w:r>
      <w:r>
        <w:rPr>
          <w:color w:val="auto"/>
          <w:position w:val="-12"/>
          <w:szCs w:val="21"/>
        </w:rPr>
        <w:object>
          <v:shape id="_x0000_i1770" o:spt="75" type="#_x0000_t75" style="height:18pt;width:12pt;" o:ole="t" filled="f" o:preferrelative="t" stroked="f" coordsize="21600,21600">
            <v:path/>
            <v:fill on="f" focussize="0,0"/>
            <v:stroke on="f" joinstyle="miter"/>
            <v:imagedata r:id="rId1448" o:title=""/>
            <o:lock v:ext="edit" aspectratio="t"/>
            <w10:wrap type="none"/>
            <w10:anchorlock/>
          </v:shape>
          <o:OLEObject Type="Embed" ProgID="Equation.DSMT4" ShapeID="_x0000_i1770" DrawAspect="Content" ObjectID="_1468076470" r:id="rId1447">
            <o:LockedField>false</o:LockedField>
          </o:OLEObject>
        </w:object>
      </w:r>
      <w:r>
        <w:rPr>
          <w:color w:val="auto"/>
          <w:szCs w:val="21"/>
        </w:rPr>
        <w:t>——未经修正的岩石点荷载强度（MPa）；</w:t>
      </w:r>
    </w:p>
    <w:p w14:paraId="2FB16E39">
      <w:pPr>
        <w:adjustRightInd w:val="0"/>
        <w:snapToGrid w:val="0"/>
        <w:spacing w:line="340" w:lineRule="atLeast"/>
        <w:ind w:firstLine="726" w:firstLineChars="346"/>
        <w:rPr>
          <w:color w:val="auto"/>
          <w:szCs w:val="21"/>
        </w:rPr>
      </w:pPr>
      <w:r>
        <w:rPr>
          <w:i/>
          <w:iCs/>
          <w:color w:val="auto"/>
          <w:szCs w:val="21"/>
        </w:rPr>
        <w:t>P</w:t>
      </w:r>
      <w:r>
        <w:rPr>
          <w:color w:val="auto"/>
          <w:szCs w:val="21"/>
        </w:rPr>
        <w:t>——破坏荷载（N）；</w:t>
      </w:r>
    </w:p>
    <w:p w14:paraId="0F86BADF">
      <w:pPr>
        <w:adjustRightInd w:val="0"/>
        <w:snapToGrid w:val="0"/>
        <w:spacing w:line="340" w:lineRule="atLeast"/>
        <w:ind w:firstLine="546" w:firstLineChars="260"/>
        <w:rPr>
          <w:color w:val="auto"/>
          <w:szCs w:val="21"/>
        </w:rPr>
      </w:pPr>
      <w:r>
        <w:rPr>
          <w:color w:val="auto"/>
          <w:position w:val="-12"/>
          <w:szCs w:val="21"/>
        </w:rPr>
        <w:object>
          <v:shape id="_x0000_i1771" o:spt="75" type="#_x0000_t75" style="height:18.75pt;width:15pt;" o:ole="t" filled="f" o:preferrelative="t" stroked="f" coordsize="21600,21600">
            <v:path/>
            <v:fill on="f" focussize="0,0"/>
            <v:stroke on="f" joinstyle="miter"/>
            <v:imagedata r:id="rId1450" o:title=""/>
            <o:lock v:ext="edit" aspectratio="t"/>
            <w10:wrap type="none"/>
            <w10:anchorlock/>
          </v:shape>
          <o:OLEObject Type="Embed" ProgID="Equation.DSMT4" ShapeID="_x0000_i1771" DrawAspect="Content" ObjectID="_1468076471" r:id="rId1449">
            <o:LockedField>false</o:LockedField>
          </o:OLEObject>
        </w:object>
      </w:r>
      <w:r>
        <w:rPr>
          <w:color w:val="auto"/>
          <w:szCs w:val="21"/>
        </w:rPr>
        <w:t>——等价岩芯直径（mm）。</w:t>
      </w:r>
    </w:p>
    <w:p w14:paraId="006050BE">
      <w:pPr>
        <w:adjustRightInd w:val="0"/>
        <w:snapToGrid w:val="0"/>
        <w:spacing w:line="340" w:lineRule="atLeast"/>
        <w:ind w:firstLine="480"/>
        <w:rPr>
          <w:color w:val="auto"/>
          <w:szCs w:val="21"/>
        </w:rPr>
      </w:pPr>
      <w:r>
        <w:rPr>
          <w:b/>
          <w:bCs/>
          <w:color w:val="auto"/>
          <w:szCs w:val="21"/>
        </w:rPr>
        <w:t>b)</w:t>
      </w:r>
      <w:r>
        <w:rPr>
          <w:color w:val="auto"/>
          <w:szCs w:val="21"/>
        </w:rPr>
        <w:t xml:space="preserve">  径向试验时，应按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K.2</w:t>
      </w:r>
      <w:r>
        <w:rPr>
          <w:rFonts w:hint="eastAsia" w:eastAsia="宋体"/>
          <w:color w:val="auto"/>
          <w:sz w:val="21"/>
          <w:szCs w:val="21"/>
          <w:lang w:eastAsia="zh-CN"/>
        </w:rPr>
        <w:t>）</w:t>
      </w:r>
      <w:r>
        <w:rPr>
          <w:rFonts w:hint="eastAsia"/>
          <w:color w:val="auto"/>
          <w:sz w:val="21"/>
          <w:szCs w:val="21"/>
          <w:lang w:val="en-US" w:eastAsia="zh-CN"/>
        </w:rPr>
        <w:t>~</w:t>
      </w:r>
      <w:r>
        <w:rPr>
          <w:rFonts w:hint="eastAsia" w:eastAsia="宋体"/>
          <w:color w:val="auto"/>
          <w:sz w:val="21"/>
          <w:szCs w:val="21"/>
          <w:lang w:eastAsia="zh-CN"/>
        </w:rPr>
        <w:t>（</w:t>
      </w:r>
      <w:r>
        <w:rPr>
          <w:rFonts w:hint="eastAsia"/>
          <w:color w:val="auto"/>
          <w:sz w:val="21"/>
          <w:szCs w:val="21"/>
          <w:lang w:val="en-US" w:eastAsia="zh-CN"/>
        </w:rPr>
        <w:t>K.3</w:t>
      </w:r>
      <w:r>
        <w:rPr>
          <w:rFonts w:hint="eastAsia" w:eastAsia="宋体"/>
          <w:color w:val="auto"/>
          <w:sz w:val="21"/>
          <w:szCs w:val="21"/>
          <w:lang w:eastAsia="zh-CN"/>
        </w:rPr>
        <w:t>）</w:t>
      </w:r>
      <w:r>
        <w:rPr>
          <w:color w:val="auto"/>
          <w:szCs w:val="21"/>
        </w:rPr>
        <w:t>计算等价岩芯直径</w:t>
      </w:r>
      <w:r>
        <w:rPr>
          <w:color w:val="auto"/>
          <w:position w:val="-12"/>
          <w:szCs w:val="21"/>
        </w:rPr>
        <w:object>
          <v:shape id="_x0000_i1772" o:spt="75" type="#_x0000_t75" style="height:18.75pt;width:18pt;" o:ole="t" filled="f" o:preferrelative="t" stroked="f" coordsize="21600,21600">
            <v:path/>
            <v:fill on="f" focussize="0,0"/>
            <v:stroke on="f" joinstyle="miter"/>
            <v:imagedata r:id="rId1452" o:title=""/>
            <o:lock v:ext="edit" aspectratio="t"/>
            <w10:wrap type="none"/>
            <w10:anchorlock/>
          </v:shape>
          <o:OLEObject Type="Embed" ProgID="Equation.3" ShapeID="_x0000_i1772" DrawAspect="Content" ObjectID="_1468076472" r:id="rId1451">
            <o:LockedField>false</o:LockedField>
          </o:OLEObject>
        </w:object>
      </w:r>
      <w:r>
        <w:rPr>
          <w:color w:val="auto"/>
          <w:szCs w:val="21"/>
        </w:rPr>
        <w:t>：</w:t>
      </w:r>
    </w:p>
    <w:p w14:paraId="4C3287A5">
      <w:pPr>
        <w:adjustRightInd w:val="0"/>
        <w:snapToGrid w:val="0"/>
        <w:spacing w:line="340" w:lineRule="atLeast"/>
        <w:ind w:firstLine="482"/>
        <w:jc w:val="right"/>
        <w:rPr>
          <w:color w:val="auto"/>
          <w:szCs w:val="21"/>
        </w:rPr>
      </w:pPr>
      <w:r>
        <w:rPr>
          <w:color w:val="auto"/>
          <w:position w:val="-12"/>
          <w:szCs w:val="21"/>
        </w:rPr>
        <w:object>
          <v:shape id="_x0000_i1773" o:spt="75" type="#_x0000_t75" style="height:18.75pt;width:37.5pt;" o:ole="t" filled="f" o:preferrelative="t" stroked="f" coordsize="21600,21600">
            <v:path/>
            <v:fill on="f" focussize="0,0"/>
            <v:stroke on="f" joinstyle="miter"/>
            <v:imagedata r:id="rId1454" o:title=""/>
            <o:lock v:ext="edit" aspectratio="t"/>
            <w10:wrap type="none"/>
            <w10:anchorlock/>
          </v:shape>
          <o:OLEObject Type="Embed" ProgID="Equation.DSMT4" ShapeID="_x0000_i1773" DrawAspect="Content" ObjectID="_1468076473" r:id="rId1453">
            <o:LockedField>false</o:LockedField>
          </o:OLEObject>
        </w:object>
      </w:r>
      <w:r>
        <w:rPr>
          <w:color w:val="auto"/>
          <w:szCs w:val="21"/>
        </w:rPr>
        <w:t xml:space="preserve">                                    (K.2)</w:t>
      </w:r>
    </w:p>
    <w:p w14:paraId="460440A8">
      <w:pPr>
        <w:adjustRightInd w:val="0"/>
        <w:snapToGrid w:val="0"/>
        <w:spacing w:line="340" w:lineRule="atLeast"/>
        <w:ind w:firstLine="482"/>
        <w:jc w:val="right"/>
        <w:rPr>
          <w:color w:val="auto"/>
          <w:szCs w:val="21"/>
        </w:rPr>
      </w:pPr>
      <w:r>
        <w:rPr>
          <w:color w:val="auto"/>
          <w:position w:val="-12"/>
          <w:szCs w:val="21"/>
        </w:rPr>
        <w:object>
          <v:shape id="_x0000_i1774" o:spt="75" type="#_x0000_t75" style="height:18.75pt;width:48.75pt;" o:ole="t" filled="f" o:preferrelative="t" stroked="f" coordsize="21600,21600">
            <v:path/>
            <v:fill on="f" focussize="0,0"/>
            <v:stroke on="f" joinstyle="miter"/>
            <v:imagedata r:id="rId1456" o:title=""/>
            <o:lock v:ext="edit" aspectratio="t"/>
            <w10:wrap type="none"/>
            <w10:anchorlock/>
          </v:shape>
          <o:OLEObject Type="Embed" ProgID="Equation.DSMT4" ShapeID="_x0000_i1774" DrawAspect="Content" ObjectID="_1468076474" r:id="rId1455">
            <o:LockedField>false</o:LockedField>
          </o:OLEObject>
        </w:object>
      </w:r>
      <w:r>
        <w:rPr>
          <w:color w:val="auto"/>
          <w:szCs w:val="21"/>
        </w:rPr>
        <w:t xml:space="preserve">                                   (K.3)</w:t>
      </w:r>
    </w:p>
    <w:p w14:paraId="51B3129F">
      <w:pPr>
        <w:adjustRightInd w:val="0"/>
        <w:snapToGrid w:val="0"/>
        <w:spacing w:line="340" w:lineRule="atLeast"/>
        <w:rPr>
          <w:color w:val="auto"/>
          <w:szCs w:val="21"/>
        </w:rPr>
      </w:pPr>
      <w:r>
        <w:rPr>
          <w:color w:val="auto"/>
          <w:szCs w:val="21"/>
        </w:rPr>
        <w:t xml:space="preserve">式中  </w:t>
      </w:r>
      <w:r>
        <w:rPr>
          <w:color w:val="auto"/>
          <w:position w:val="-4"/>
          <w:szCs w:val="21"/>
        </w:rPr>
        <w:object>
          <v:shape id="_x0000_i1775" o:spt="75" type="#_x0000_t75" style="height:10.5pt;width:12pt;" o:ole="t" filled="f" o:preferrelative="t" stroked="f" coordsize="21600,21600">
            <v:path/>
            <v:fill on="f" focussize="0,0"/>
            <v:stroke on="f" joinstyle="miter"/>
            <v:imagedata r:id="rId1458" o:title=""/>
            <o:lock v:ext="edit" aspectratio="t"/>
            <w10:wrap type="none"/>
            <w10:anchorlock/>
          </v:shape>
          <o:OLEObject Type="Embed" ProgID="Equation.DSMT4" ShapeID="_x0000_i1775" DrawAspect="Content" ObjectID="_1468076475" r:id="rId1457">
            <o:LockedField>false</o:LockedField>
          </o:OLEObject>
        </w:object>
      </w:r>
      <w:r>
        <w:rPr>
          <w:color w:val="auto"/>
          <w:szCs w:val="21"/>
        </w:rPr>
        <w:t>——加荷点间距（mm）；</w:t>
      </w:r>
    </w:p>
    <w:p w14:paraId="79619D93">
      <w:pPr>
        <w:tabs>
          <w:tab w:val="left" w:pos="720"/>
        </w:tabs>
        <w:adjustRightInd w:val="0"/>
        <w:snapToGrid w:val="0"/>
        <w:spacing w:line="340" w:lineRule="atLeast"/>
        <w:ind w:firstLine="588" w:firstLineChars="280"/>
        <w:rPr>
          <w:color w:val="auto"/>
          <w:szCs w:val="21"/>
        </w:rPr>
      </w:pPr>
      <w:r>
        <w:rPr>
          <w:color w:val="auto"/>
          <w:position w:val="-4"/>
          <w:szCs w:val="21"/>
        </w:rPr>
        <w:object>
          <v:shape id="_x0000_i1776" o:spt="75" type="#_x0000_t75" style="height:12.75pt;width:12.75pt;" o:ole="t" filled="f" o:preferrelative="t" stroked="f" coordsize="21600,21600">
            <v:path/>
            <v:fill on="f" focussize="0,0"/>
            <v:stroke on="f" joinstyle="miter"/>
            <v:imagedata r:id="rId1460" o:title=""/>
            <o:lock v:ext="edit" aspectratio="t"/>
            <w10:wrap type="none"/>
            <w10:anchorlock/>
          </v:shape>
          <o:OLEObject Type="Embed" ProgID="Equation.DSMT4" ShapeID="_x0000_i1776" DrawAspect="Content" ObjectID="_1468076476" r:id="rId1459">
            <o:LockedField>false</o:LockedField>
          </o:OLEObject>
        </w:object>
      </w:r>
      <w:r>
        <w:rPr>
          <w:color w:val="auto"/>
          <w:szCs w:val="21"/>
        </w:rPr>
        <w:t>——上下锥端发生贯入后，试件破坏瞬间的加荷点间距（mm）。</w:t>
      </w:r>
    </w:p>
    <w:p w14:paraId="72DB88E9">
      <w:pPr>
        <w:adjustRightInd w:val="0"/>
        <w:snapToGrid w:val="0"/>
        <w:spacing w:line="340" w:lineRule="atLeast"/>
        <w:ind w:firstLine="480"/>
        <w:rPr>
          <w:color w:val="auto"/>
          <w:szCs w:val="21"/>
        </w:rPr>
      </w:pPr>
      <w:r>
        <w:rPr>
          <w:b/>
          <w:bCs/>
          <w:color w:val="auto"/>
          <w:szCs w:val="21"/>
        </w:rPr>
        <w:t>c)</w:t>
      </w:r>
      <w:r>
        <w:rPr>
          <w:color w:val="auto"/>
          <w:szCs w:val="21"/>
        </w:rPr>
        <w:t xml:space="preserve">  轴向、方块体或不规则块体试验时，应按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K.4</w:t>
      </w:r>
      <w:r>
        <w:rPr>
          <w:rFonts w:hint="eastAsia" w:eastAsia="宋体"/>
          <w:color w:val="auto"/>
          <w:sz w:val="21"/>
          <w:szCs w:val="21"/>
          <w:lang w:eastAsia="zh-CN"/>
        </w:rPr>
        <w:t>）</w:t>
      </w:r>
      <w:r>
        <w:rPr>
          <w:rFonts w:hint="eastAsia"/>
          <w:color w:val="auto"/>
          <w:sz w:val="21"/>
          <w:szCs w:val="21"/>
          <w:lang w:val="en-US" w:eastAsia="zh-CN"/>
        </w:rPr>
        <w:t>~</w:t>
      </w:r>
      <w:r>
        <w:rPr>
          <w:rFonts w:hint="eastAsia" w:eastAsia="宋体"/>
          <w:color w:val="auto"/>
          <w:sz w:val="21"/>
          <w:szCs w:val="21"/>
          <w:lang w:eastAsia="zh-CN"/>
        </w:rPr>
        <w:t>（</w:t>
      </w:r>
      <w:r>
        <w:rPr>
          <w:rFonts w:hint="eastAsia"/>
          <w:color w:val="auto"/>
          <w:sz w:val="21"/>
          <w:szCs w:val="21"/>
          <w:lang w:val="en-US" w:eastAsia="zh-CN"/>
        </w:rPr>
        <w:t>K.5</w:t>
      </w:r>
      <w:r>
        <w:rPr>
          <w:rFonts w:hint="eastAsia" w:eastAsia="宋体"/>
          <w:color w:val="auto"/>
          <w:sz w:val="21"/>
          <w:szCs w:val="21"/>
          <w:lang w:eastAsia="zh-CN"/>
        </w:rPr>
        <w:t>）</w:t>
      </w:r>
      <w:r>
        <w:rPr>
          <w:color w:val="auto"/>
          <w:szCs w:val="21"/>
        </w:rPr>
        <w:t>计算等价岩芯直径</w:t>
      </w:r>
      <w:r>
        <w:rPr>
          <w:color w:val="auto"/>
          <w:position w:val="-12"/>
          <w:szCs w:val="21"/>
        </w:rPr>
        <w:object>
          <v:shape id="_x0000_i1777" o:spt="75" type="#_x0000_t75" style="height:18pt;width:15pt;" o:ole="t" filled="f" o:preferrelative="t" stroked="f" coordsize="21600,21600">
            <v:path/>
            <v:fill on="f" focussize="0,0"/>
            <v:stroke on="f" joinstyle="miter"/>
            <v:imagedata r:id="rId1462" o:title=""/>
            <o:lock v:ext="edit" aspectratio="t"/>
            <w10:wrap type="none"/>
            <w10:anchorlock/>
          </v:shape>
          <o:OLEObject Type="Embed" ProgID="Equation.DSMT4" ShapeID="_x0000_i1777" DrawAspect="Content" ObjectID="_1468076477" r:id="rId1461">
            <o:LockedField>false</o:LockedField>
          </o:OLEObject>
        </w:object>
      </w:r>
      <w:r>
        <w:rPr>
          <w:color w:val="auto"/>
          <w:szCs w:val="21"/>
        </w:rPr>
        <w:t>：</w:t>
      </w:r>
    </w:p>
    <w:p w14:paraId="0EC15BF8">
      <w:pPr>
        <w:adjustRightInd w:val="0"/>
        <w:snapToGrid w:val="0"/>
        <w:spacing w:line="340" w:lineRule="atLeast"/>
        <w:ind w:firstLine="482"/>
        <w:jc w:val="right"/>
        <w:rPr>
          <w:color w:val="auto"/>
          <w:szCs w:val="21"/>
        </w:rPr>
      </w:pPr>
      <w:r>
        <w:rPr>
          <w:color w:val="auto"/>
          <w:position w:val="-24"/>
          <w:szCs w:val="21"/>
        </w:rPr>
        <w:object>
          <v:shape id="_x0000_i1778" o:spt="75" type="#_x0000_t75" style="height:30.75pt;width:48.75pt;" o:ole="t" filled="f" o:preferrelative="t" stroked="f" coordsize="21600,21600">
            <v:path/>
            <v:fill on="f" focussize="0,0"/>
            <v:stroke on="f" joinstyle="miter"/>
            <v:imagedata r:id="rId1464" o:title=""/>
            <o:lock v:ext="edit" aspectratio="t"/>
            <w10:wrap type="none"/>
            <w10:anchorlock/>
          </v:shape>
          <o:OLEObject Type="Embed" ProgID="Equation.DSMT4" ShapeID="_x0000_i1778" DrawAspect="Content" ObjectID="_1468076478" r:id="rId1463">
            <o:LockedField>false</o:LockedField>
          </o:OLEObject>
        </w:object>
      </w:r>
      <w:r>
        <w:rPr>
          <w:color w:val="auto"/>
          <w:szCs w:val="21"/>
        </w:rPr>
        <w:t xml:space="preserve">                                    (K.4)</w:t>
      </w:r>
    </w:p>
    <w:p w14:paraId="3040257A">
      <w:pPr>
        <w:adjustRightInd w:val="0"/>
        <w:snapToGrid w:val="0"/>
        <w:spacing w:line="340" w:lineRule="atLeast"/>
        <w:ind w:firstLine="482"/>
        <w:jc w:val="right"/>
        <w:rPr>
          <w:color w:val="auto"/>
          <w:szCs w:val="21"/>
        </w:rPr>
      </w:pPr>
      <w:r>
        <w:rPr>
          <w:color w:val="auto"/>
          <w:position w:val="-24"/>
          <w:szCs w:val="21"/>
        </w:rPr>
        <w:object>
          <v:shape id="_x0000_i1779" o:spt="75" type="#_x0000_t75" style="height:30.75pt;width:51.75pt;" o:ole="t" filled="f" o:preferrelative="t" stroked="f" coordsize="21600,21600">
            <v:path/>
            <v:fill on="f" focussize="0,0"/>
            <v:stroke on="f" joinstyle="miter"/>
            <v:imagedata r:id="rId1466" o:title=""/>
            <o:lock v:ext="edit" aspectratio="t"/>
            <w10:wrap type="none"/>
            <w10:anchorlock/>
          </v:shape>
          <o:OLEObject Type="Embed" ProgID="Equation.DSMT4" ShapeID="_x0000_i1779" DrawAspect="Content" ObjectID="_1468076479" r:id="rId1465">
            <o:LockedField>false</o:LockedField>
          </o:OLEObject>
        </w:object>
      </w:r>
      <w:r>
        <w:rPr>
          <w:color w:val="auto"/>
          <w:szCs w:val="21"/>
        </w:rPr>
        <w:t xml:space="preserve">                                    (K.5)</w:t>
      </w:r>
    </w:p>
    <w:p w14:paraId="7ABB6BF4">
      <w:pPr>
        <w:adjustRightInd w:val="0"/>
        <w:snapToGrid w:val="0"/>
        <w:spacing w:line="340" w:lineRule="atLeast"/>
        <w:rPr>
          <w:color w:val="auto"/>
          <w:szCs w:val="21"/>
        </w:rPr>
      </w:pPr>
      <w:r>
        <w:rPr>
          <w:color w:val="auto"/>
          <w:szCs w:val="21"/>
        </w:rPr>
        <w:t xml:space="preserve">式中  </w:t>
      </w:r>
      <w:r>
        <w:rPr>
          <w:color w:val="auto"/>
          <w:position w:val="-6"/>
          <w:szCs w:val="21"/>
        </w:rPr>
        <w:object>
          <v:shape id="_x0000_i1780" o:spt="75" type="#_x0000_t75" style="height:12.75pt;width:12.75pt;" o:ole="t" filled="f" o:preferrelative="t" stroked="f" coordsize="21600,21600">
            <v:path/>
            <v:fill on="f" focussize="0,0"/>
            <v:stroke on="f" joinstyle="miter"/>
            <v:imagedata r:id="rId1468" o:title=""/>
            <o:lock v:ext="edit" aspectratio="t"/>
            <w10:wrap type="none"/>
            <w10:anchorlock/>
          </v:shape>
          <o:OLEObject Type="Embed" ProgID="Equation.3" ShapeID="_x0000_i1780" DrawAspect="Content" ObjectID="_1468076480" r:id="rId1467">
            <o:LockedField>false</o:LockedField>
          </o:OLEObject>
        </w:object>
      </w:r>
      <w:r>
        <w:rPr>
          <w:color w:val="auto"/>
          <w:szCs w:val="21"/>
        </w:rPr>
        <w:t>——通过两加荷点最小截面的宽度（或平均宽度）（mm）。</w:t>
      </w:r>
    </w:p>
    <w:p w14:paraId="1A41428E">
      <w:pPr>
        <w:adjustRightInd w:val="0"/>
        <w:snapToGrid w:val="0"/>
        <w:spacing w:line="340" w:lineRule="atLeast"/>
        <w:rPr>
          <w:color w:val="auto"/>
          <w:szCs w:val="21"/>
        </w:rPr>
      </w:pPr>
      <w:r>
        <w:rPr>
          <w:color w:val="auto"/>
          <w:szCs w:val="21"/>
        </w:rPr>
        <w:t xml:space="preserve">  </w:t>
      </w:r>
      <w:r>
        <w:rPr>
          <w:b/>
          <w:bCs/>
          <w:color w:val="auto"/>
          <w:szCs w:val="21"/>
        </w:rPr>
        <w:t xml:space="preserve">  d)</w:t>
      </w:r>
      <w:r>
        <w:rPr>
          <w:color w:val="auto"/>
          <w:szCs w:val="21"/>
        </w:rPr>
        <w:t xml:space="preserve">  当加荷两点间距不等于50mm时，应对计算值进行修正。当其试验数据较多，且同一组试件中的等价岩芯直径具有多种尺寸，而加荷两点间距不等于50mm时，应根据试验结果，绘制</w:t>
      </w:r>
      <w:r>
        <w:rPr>
          <w:color w:val="auto"/>
          <w:position w:val="-12"/>
          <w:szCs w:val="21"/>
        </w:rPr>
        <w:object>
          <v:shape id="_x0000_i1781" o:spt="75" type="#_x0000_t75" style="height:18.75pt;width:15pt;" o:ole="t" filled="f" o:preferrelative="t" stroked="f" coordsize="21600,21600">
            <v:path/>
            <v:fill on="f" focussize="0,0"/>
            <v:stroke on="f" joinstyle="miter"/>
            <v:imagedata r:id="rId1470" o:title=""/>
            <o:lock v:ext="edit" aspectratio="t"/>
            <w10:wrap type="none"/>
            <w10:anchorlock/>
          </v:shape>
          <o:OLEObject Type="Embed" ProgID="Equation.DSMT4" ShapeID="_x0000_i1781" DrawAspect="Content" ObjectID="_1468076481" r:id="rId1469">
            <o:LockedField>false</o:LockedField>
          </o:OLEObject>
        </w:object>
      </w:r>
      <w:r>
        <w:rPr>
          <w:color w:val="auto"/>
          <w:szCs w:val="21"/>
        </w:rPr>
        <w:t>与破坏荷载</w:t>
      </w:r>
      <w:r>
        <w:rPr>
          <w:i/>
          <w:iCs/>
          <w:color w:val="auto"/>
          <w:szCs w:val="21"/>
        </w:rPr>
        <w:t>P</w:t>
      </w:r>
      <w:r>
        <w:rPr>
          <w:color w:val="auto"/>
          <w:szCs w:val="21"/>
        </w:rPr>
        <w:t>的关系曲线，并在曲线上查找</w:t>
      </w:r>
      <w:r>
        <w:rPr>
          <w:color w:val="auto"/>
          <w:position w:val="-12"/>
          <w:szCs w:val="21"/>
        </w:rPr>
        <w:object>
          <v:shape id="_x0000_i1782" o:spt="75" type="#_x0000_t75" style="height:18.75pt;width:72pt;" o:ole="t" filled="f" o:preferrelative="t" stroked="f" coordsize="21600,21600">
            <v:path/>
            <v:fill on="f" focussize="0,0"/>
            <v:stroke on="f" joinstyle="miter"/>
            <v:imagedata r:id="rId1472" o:title=""/>
            <o:lock v:ext="edit" aspectratio="t"/>
            <w10:wrap type="none"/>
            <w10:anchorlock/>
          </v:shape>
          <o:OLEObject Type="Embed" ProgID="Equation.DSMT4" ShapeID="_x0000_i1782" DrawAspect="Content" ObjectID="_1468076482" r:id="rId1471">
            <o:LockedField>false</o:LockedField>
          </o:OLEObject>
        </w:object>
      </w:r>
      <w:r>
        <w:rPr>
          <w:color w:val="auto"/>
          <w:szCs w:val="21"/>
        </w:rPr>
        <w:t>对应的</w:t>
      </w:r>
      <w:r>
        <w:rPr>
          <w:i/>
          <w:iCs/>
          <w:color w:val="auto"/>
          <w:szCs w:val="21"/>
        </w:rPr>
        <w:t>P</w:t>
      </w:r>
      <w:r>
        <w:rPr>
          <w:i/>
          <w:iCs/>
          <w:color w:val="auto"/>
          <w:szCs w:val="21"/>
          <w:vertAlign w:val="subscript"/>
        </w:rPr>
        <w:t>50</w:t>
      </w:r>
      <w:r>
        <w:rPr>
          <w:color w:val="auto"/>
          <w:szCs w:val="21"/>
        </w:rPr>
        <w:t>值，按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K.6</w:t>
      </w:r>
      <w:r>
        <w:rPr>
          <w:rFonts w:hint="eastAsia" w:eastAsia="宋体"/>
          <w:color w:val="auto"/>
          <w:sz w:val="21"/>
          <w:szCs w:val="21"/>
          <w:lang w:eastAsia="zh-CN"/>
        </w:rPr>
        <w:t>）</w:t>
      </w:r>
      <w:r>
        <w:rPr>
          <w:color w:val="auto"/>
          <w:szCs w:val="21"/>
        </w:rPr>
        <w:t>计算岩石点荷载强度：</w:t>
      </w:r>
    </w:p>
    <w:p w14:paraId="5D152DA4">
      <w:pPr>
        <w:adjustRightInd w:val="0"/>
        <w:snapToGrid w:val="0"/>
        <w:spacing w:line="340" w:lineRule="atLeast"/>
        <w:ind w:firstLine="482"/>
        <w:jc w:val="right"/>
        <w:rPr>
          <w:color w:val="auto"/>
          <w:szCs w:val="21"/>
        </w:rPr>
      </w:pPr>
      <w:r>
        <w:rPr>
          <w:color w:val="auto"/>
          <w:position w:val="-24"/>
          <w:szCs w:val="21"/>
        </w:rPr>
        <w:object>
          <v:shape id="_x0000_i1783" o:spt="75" type="#_x0000_t75" style="height:30.75pt;width:57.75pt;" o:ole="t" filled="f" o:preferrelative="t" stroked="f" coordsize="21600,21600">
            <v:path/>
            <v:fill on="f" focussize="0,0"/>
            <v:stroke on="f" joinstyle="miter"/>
            <v:imagedata r:id="rId1474" o:title=""/>
            <o:lock v:ext="edit" aspectratio="t"/>
            <w10:wrap type="none"/>
            <w10:anchorlock/>
          </v:shape>
          <o:OLEObject Type="Embed" ProgID="Equation.DSMT4" ShapeID="_x0000_i1783" DrawAspect="Content" ObjectID="_1468076483" r:id="rId1473">
            <o:LockedField>false</o:LockedField>
          </o:OLEObject>
        </w:object>
      </w:r>
      <w:r>
        <w:rPr>
          <w:color w:val="auto"/>
          <w:szCs w:val="21"/>
        </w:rPr>
        <w:t xml:space="preserve">                                  (K.6)</w:t>
      </w:r>
    </w:p>
    <w:p w14:paraId="210171B3">
      <w:pPr>
        <w:adjustRightInd w:val="0"/>
        <w:snapToGrid w:val="0"/>
        <w:spacing w:line="340" w:lineRule="atLeast"/>
        <w:rPr>
          <w:color w:val="auto"/>
          <w:szCs w:val="21"/>
        </w:rPr>
      </w:pPr>
      <w:r>
        <w:rPr>
          <w:color w:val="auto"/>
          <w:szCs w:val="21"/>
        </w:rPr>
        <w:t xml:space="preserve">式中  </w:t>
      </w:r>
      <w:r>
        <w:rPr>
          <w:color w:val="auto"/>
          <w:position w:val="-14"/>
          <w:szCs w:val="21"/>
        </w:rPr>
        <w:object>
          <v:shape id="_x0000_i1784" o:spt="75" type="#_x0000_t75" style="height:18.75pt;width:21pt;" o:ole="t" filled="f" o:preferrelative="t" stroked="f" coordsize="21600,21600">
            <v:path/>
            <v:fill on="f" focussize="0,0"/>
            <v:stroke on="f" joinstyle="miter"/>
            <v:imagedata r:id="rId1476" o:title=""/>
            <o:lock v:ext="edit" aspectratio="t"/>
            <w10:wrap type="none"/>
            <w10:anchorlock/>
          </v:shape>
          <o:OLEObject Type="Embed" ProgID="Equation.DSMT4" ShapeID="_x0000_i1784" DrawAspect="Content" ObjectID="_1468076484" r:id="rId1475">
            <o:LockedField>false</o:LockedField>
          </o:OLEObject>
        </w:object>
      </w:r>
      <w:r>
        <w:rPr>
          <w:color w:val="auto"/>
          <w:szCs w:val="21"/>
        </w:rPr>
        <w:t>——经尺寸修正后的岩石点荷载强度（MPa）；</w:t>
      </w:r>
    </w:p>
    <w:p w14:paraId="5766CA22">
      <w:pPr>
        <w:adjustRightInd w:val="0"/>
        <w:snapToGrid w:val="0"/>
        <w:spacing w:line="340" w:lineRule="atLeast"/>
        <w:ind w:firstLine="756" w:firstLineChars="360"/>
        <w:rPr>
          <w:color w:val="auto"/>
          <w:szCs w:val="21"/>
        </w:rPr>
      </w:pPr>
      <w:r>
        <w:rPr>
          <w:i/>
          <w:iCs/>
          <w:color w:val="auto"/>
          <w:szCs w:val="21"/>
        </w:rPr>
        <w:t>P</w:t>
      </w:r>
      <w:r>
        <w:rPr>
          <w:i/>
          <w:iCs/>
          <w:color w:val="auto"/>
          <w:szCs w:val="21"/>
          <w:vertAlign w:val="subscript"/>
        </w:rPr>
        <w:t>50</w:t>
      </w:r>
      <w:r>
        <w:rPr>
          <w:color w:val="auto"/>
          <w:szCs w:val="21"/>
        </w:rPr>
        <w:t>——根据</w:t>
      </w:r>
      <w:r>
        <w:rPr>
          <w:color w:val="auto"/>
          <w:position w:val="-12"/>
          <w:szCs w:val="21"/>
        </w:rPr>
        <w:object>
          <v:shape id="_x0000_i1785" o:spt="75" type="#_x0000_t75" style="height:18.75pt;width:15pt;" o:ole="t" filled="f" o:preferrelative="t" stroked="f" coordsize="21600,21600">
            <v:path/>
            <v:fill on="f" focussize="0,0"/>
            <v:stroke on="f" joinstyle="miter"/>
            <v:imagedata r:id="rId1478" o:title=""/>
            <o:lock v:ext="edit" aspectratio="t"/>
            <w10:wrap type="none"/>
            <w10:anchorlock/>
          </v:shape>
          <o:OLEObject Type="Embed" ProgID="Equation.DSMT4" ShapeID="_x0000_i1785" DrawAspect="Content" ObjectID="_1468076485" r:id="rId1477">
            <o:LockedField>false</o:LockedField>
          </o:OLEObject>
        </w:object>
      </w:r>
      <w:r>
        <w:rPr>
          <w:color w:val="auto"/>
          <w:szCs w:val="21"/>
        </w:rPr>
        <w:t>～</w:t>
      </w:r>
      <w:r>
        <w:rPr>
          <w:i/>
          <w:iCs/>
          <w:color w:val="auto"/>
          <w:szCs w:val="21"/>
        </w:rPr>
        <w:t>P</w:t>
      </w:r>
      <w:r>
        <w:rPr>
          <w:color w:val="auto"/>
          <w:szCs w:val="21"/>
        </w:rPr>
        <w:t>关系曲线确定的</w:t>
      </w:r>
      <w:r>
        <w:rPr>
          <w:color w:val="auto"/>
          <w:position w:val="-12"/>
          <w:szCs w:val="21"/>
        </w:rPr>
        <w:object>
          <v:shape id="_x0000_i1786" o:spt="75" type="#_x0000_t75" style="height:18.75pt;width:15pt;" o:ole="t" filled="f" o:preferrelative="t" stroked="f" coordsize="21600,21600">
            <v:path/>
            <v:fill on="f" focussize="0,0"/>
            <v:stroke on="f" joinstyle="miter"/>
            <v:imagedata r:id="rId1478" o:title=""/>
            <o:lock v:ext="edit" aspectratio="t"/>
            <w10:wrap type="none"/>
            <w10:anchorlock/>
          </v:shape>
          <o:OLEObject Type="Embed" ProgID="Equation.DSMT4" ShapeID="_x0000_i1786" DrawAspect="Content" ObjectID="_1468076486" r:id="rId1479">
            <o:LockedField>false</o:LockedField>
          </o:OLEObject>
        </w:object>
      </w:r>
      <w:r>
        <w:rPr>
          <w:color w:val="auto"/>
          <w:szCs w:val="21"/>
        </w:rPr>
        <w:t>为2500mm</w:t>
      </w:r>
      <w:r>
        <w:rPr>
          <w:color w:val="auto"/>
          <w:szCs w:val="21"/>
          <w:vertAlign w:val="superscript"/>
        </w:rPr>
        <w:t>2</w:t>
      </w:r>
      <w:r>
        <w:rPr>
          <w:color w:val="auto"/>
          <w:szCs w:val="21"/>
        </w:rPr>
        <w:t>时的</w:t>
      </w:r>
      <w:r>
        <w:rPr>
          <w:i/>
          <w:iCs/>
          <w:color w:val="auto"/>
          <w:szCs w:val="21"/>
        </w:rPr>
        <w:t>P</w:t>
      </w:r>
      <w:r>
        <w:rPr>
          <w:color w:val="auto"/>
          <w:szCs w:val="21"/>
        </w:rPr>
        <w:t>值（MPa）。</w:t>
      </w:r>
    </w:p>
    <w:p w14:paraId="362608B3">
      <w:pPr>
        <w:adjustRightInd w:val="0"/>
        <w:snapToGrid w:val="0"/>
        <w:spacing w:line="340" w:lineRule="atLeast"/>
        <w:ind w:firstLine="480"/>
        <w:rPr>
          <w:color w:val="auto"/>
          <w:szCs w:val="21"/>
        </w:rPr>
      </w:pPr>
      <w:r>
        <w:rPr>
          <w:b/>
          <w:bCs/>
          <w:color w:val="auto"/>
          <w:szCs w:val="21"/>
        </w:rPr>
        <w:t xml:space="preserve">e) </w:t>
      </w:r>
      <w:r>
        <w:rPr>
          <w:color w:val="auto"/>
          <w:szCs w:val="21"/>
        </w:rPr>
        <w:t xml:space="preserve"> 当加荷两点间距不等于50mm，且其试验数据较少，不宜采用上述方法修正时，应按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K.7</w:t>
      </w:r>
      <w:r>
        <w:rPr>
          <w:rFonts w:hint="eastAsia" w:eastAsia="宋体"/>
          <w:color w:val="auto"/>
          <w:sz w:val="21"/>
          <w:szCs w:val="21"/>
          <w:lang w:eastAsia="zh-CN"/>
        </w:rPr>
        <w:t>）</w:t>
      </w:r>
      <w:r>
        <w:rPr>
          <w:rFonts w:hint="eastAsia"/>
          <w:color w:val="auto"/>
          <w:sz w:val="21"/>
          <w:szCs w:val="21"/>
          <w:lang w:val="en-US" w:eastAsia="zh-CN"/>
        </w:rPr>
        <w:t>~</w:t>
      </w:r>
      <w:r>
        <w:rPr>
          <w:rFonts w:hint="eastAsia" w:eastAsia="宋体"/>
          <w:color w:val="auto"/>
          <w:sz w:val="21"/>
          <w:szCs w:val="21"/>
          <w:lang w:eastAsia="zh-CN"/>
        </w:rPr>
        <w:t>（</w:t>
      </w:r>
      <w:r>
        <w:rPr>
          <w:rFonts w:hint="eastAsia"/>
          <w:color w:val="auto"/>
          <w:sz w:val="21"/>
          <w:szCs w:val="21"/>
          <w:lang w:val="en-US" w:eastAsia="zh-CN"/>
        </w:rPr>
        <w:t>K.8</w:t>
      </w:r>
      <w:r>
        <w:rPr>
          <w:rFonts w:hint="eastAsia" w:eastAsia="宋体"/>
          <w:color w:val="auto"/>
          <w:sz w:val="21"/>
          <w:szCs w:val="21"/>
          <w:lang w:eastAsia="zh-CN"/>
        </w:rPr>
        <w:t>）</w:t>
      </w:r>
      <w:r>
        <w:rPr>
          <w:color w:val="auto"/>
          <w:szCs w:val="21"/>
        </w:rPr>
        <w:t>计算岩石点荷载强度：</w:t>
      </w:r>
    </w:p>
    <w:p w14:paraId="67CC0716">
      <w:pPr>
        <w:adjustRightInd w:val="0"/>
        <w:snapToGrid w:val="0"/>
        <w:spacing w:line="340" w:lineRule="atLeast"/>
        <w:ind w:firstLine="482"/>
        <w:jc w:val="right"/>
        <w:rPr>
          <w:color w:val="auto"/>
          <w:szCs w:val="21"/>
        </w:rPr>
      </w:pPr>
      <w:r>
        <w:rPr>
          <w:color w:val="auto"/>
          <w:position w:val="-14"/>
          <w:szCs w:val="21"/>
        </w:rPr>
        <w:object>
          <v:shape id="_x0000_i1787" o:spt="75" type="#_x0000_t75" style="height:18.75pt;width:48.75pt;" o:ole="t" filled="f" o:preferrelative="t" stroked="f" coordsize="21600,21600">
            <v:path/>
            <v:fill on="f" focussize="0,0"/>
            <v:stroke on="f" joinstyle="miter"/>
            <v:imagedata r:id="rId1481" o:title=""/>
            <o:lock v:ext="edit" aspectratio="t"/>
            <w10:wrap type="none"/>
            <w10:anchorlock/>
          </v:shape>
          <o:OLEObject Type="Embed" ProgID="Equation.DSMT4" ShapeID="_x0000_i1787" DrawAspect="Content" ObjectID="_1468076487" r:id="rId1480">
            <o:LockedField>false</o:LockedField>
          </o:OLEObject>
        </w:object>
      </w:r>
      <w:r>
        <w:rPr>
          <w:color w:val="auto"/>
          <w:szCs w:val="21"/>
        </w:rPr>
        <w:t xml:space="preserve">                                    (K.7)</w:t>
      </w:r>
    </w:p>
    <w:p w14:paraId="6D238AF1">
      <w:pPr>
        <w:adjustRightInd w:val="0"/>
        <w:snapToGrid w:val="0"/>
        <w:spacing w:line="340" w:lineRule="atLeast"/>
        <w:ind w:firstLine="482"/>
        <w:jc w:val="right"/>
        <w:rPr>
          <w:color w:val="auto"/>
          <w:szCs w:val="21"/>
        </w:rPr>
      </w:pPr>
      <w:r>
        <w:rPr>
          <w:color w:val="auto"/>
          <w:position w:val="-24"/>
          <w:szCs w:val="21"/>
        </w:rPr>
        <w:object>
          <v:shape id="_x0000_i1788" o:spt="75" type="#_x0000_t75" style="height:30.75pt;width:51.75pt;" o:ole="t" filled="f" o:preferrelative="t" stroked="f" coordsize="21600,21600">
            <v:path/>
            <v:fill on="f" focussize="0,0"/>
            <v:stroke on="f" joinstyle="miter"/>
            <v:imagedata r:id="rId1483" o:title=""/>
            <o:lock v:ext="edit" aspectratio="t"/>
            <w10:wrap type="none"/>
            <w10:anchorlock/>
          </v:shape>
          <o:OLEObject Type="Embed" ProgID="Equation.DSMT4" ShapeID="_x0000_i1788" DrawAspect="Content" ObjectID="_1468076488" r:id="rId1482">
            <o:LockedField>false</o:LockedField>
          </o:OLEObject>
        </w:object>
      </w:r>
      <w:r>
        <w:rPr>
          <w:color w:val="auto"/>
          <w:szCs w:val="21"/>
        </w:rPr>
        <w:t xml:space="preserve">                                    (K.8)</w:t>
      </w:r>
    </w:p>
    <w:p w14:paraId="08BAE6B1">
      <w:pPr>
        <w:adjustRightInd w:val="0"/>
        <w:snapToGrid w:val="0"/>
        <w:spacing w:line="340" w:lineRule="atLeast"/>
        <w:rPr>
          <w:color w:val="auto"/>
          <w:szCs w:val="21"/>
        </w:rPr>
      </w:pPr>
      <w:r>
        <w:rPr>
          <w:color w:val="auto"/>
          <w:szCs w:val="21"/>
        </w:rPr>
        <w:t xml:space="preserve">式中  </w:t>
      </w:r>
      <w:r>
        <w:rPr>
          <w:color w:val="auto"/>
          <w:position w:val="-4"/>
          <w:szCs w:val="21"/>
        </w:rPr>
        <w:object>
          <v:shape id="_x0000_i1789" o:spt="75" type="#_x0000_t75" style="height:12pt;width:12pt;" o:ole="t" filled="f" o:preferrelative="t" stroked="f" coordsize="21600,21600">
            <v:path/>
            <v:fill on="f" focussize="0,0"/>
            <v:stroke on="f" joinstyle="miter"/>
            <v:imagedata r:id="rId1485" o:title=""/>
            <o:lock v:ext="edit" aspectratio="t"/>
            <w10:wrap type="none"/>
            <w10:anchorlock/>
          </v:shape>
          <o:OLEObject Type="Embed" ProgID="Equation.DSMT4" ShapeID="_x0000_i1789" DrawAspect="Content" ObjectID="_1468076489" r:id="rId1484">
            <o:LockedField>false</o:LockedField>
          </o:OLEObject>
        </w:object>
      </w:r>
      <w:r>
        <w:rPr>
          <w:color w:val="auto"/>
          <w:szCs w:val="21"/>
        </w:rPr>
        <w:t>——修正系数；</w:t>
      </w:r>
    </w:p>
    <w:p w14:paraId="3B50F4B8">
      <w:pPr>
        <w:adjustRightInd w:val="0"/>
        <w:snapToGrid w:val="0"/>
        <w:spacing w:line="340" w:lineRule="atLeast"/>
        <w:ind w:firstLine="630" w:firstLineChars="300"/>
        <w:rPr>
          <w:color w:val="auto"/>
          <w:szCs w:val="21"/>
        </w:rPr>
      </w:pPr>
      <w:r>
        <w:rPr>
          <w:color w:val="auto"/>
          <w:position w:val="-6"/>
          <w:szCs w:val="21"/>
        </w:rPr>
        <w:object>
          <v:shape id="_x0000_i1790" o:spt="75" type="#_x0000_t75" style="height:9.75pt;width:12pt;" o:ole="t" filled="f" o:preferrelative="t" stroked="f" coordsize="21600,21600">
            <v:path/>
            <v:fill on="f" focussize="0,0"/>
            <v:stroke on="f" joinstyle="miter"/>
            <v:imagedata r:id="rId1487" o:title=""/>
            <o:lock v:ext="edit" aspectratio="t"/>
            <w10:wrap type="none"/>
            <w10:anchorlock/>
          </v:shape>
          <o:OLEObject Type="Embed" ProgID="Equation.DSMT4" ShapeID="_x0000_i1790" DrawAspect="Content" ObjectID="_1468076490" r:id="rId1486">
            <o:LockedField>false</o:LockedField>
          </o:OLEObject>
        </w:object>
      </w:r>
      <w:r>
        <w:rPr>
          <w:color w:val="auto"/>
          <w:szCs w:val="21"/>
        </w:rPr>
        <w:t>——修正指数，</w:t>
      </w:r>
      <w:r>
        <w:rPr>
          <w:color w:val="auto"/>
          <w:position w:val="-10"/>
          <w:szCs w:val="21"/>
        </w:rPr>
        <w:object>
          <v:shape id="_x0000_i1791" o:spt="75" type="#_x0000_t75" style="height:15pt;width:53.25pt;" o:ole="t" filled="f" o:preferrelative="t" stroked="f" coordsize="21600,21600">
            <v:path/>
            <v:fill on="f" focussize="0,0"/>
            <v:stroke on="f" joinstyle="miter"/>
            <v:imagedata r:id="rId1489" o:title=""/>
            <o:lock v:ext="edit" aspectratio="t"/>
            <w10:wrap type="none"/>
            <w10:anchorlock/>
          </v:shape>
          <o:OLEObject Type="Embed" ProgID="Equation.DSMT4" ShapeID="_x0000_i1791" DrawAspect="Content" ObjectID="_1468076491" r:id="rId1488">
            <o:LockedField>false</o:LockedField>
          </o:OLEObject>
        </w:object>
      </w:r>
      <w:r>
        <w:rPr>
          <w:color w:val="auto"/>
          <w:szCs w:val="21"/>
        </w:rPr>
        <w:t>，</w:t>
      </w:r>
      <w:r>
        <w:rPr>
          <w:i/>
          <w:iCs/>
          <w:color w:val="auto"/>
          <w:szCs w:val="21"/>
        </w:rPr>
        <w:t>n</w:t>
      </w:r>
      <w:r>
        <w:rPr>
          <w:color w:val="auto"/>
          <w:szCs w:val="21"/>
        </w:rPr>
        <w:t>为</w:t>
      </w:r>
      <w:r>
        <w:rPr>
          <w:color w:val="auto"/>
          <w:position w:val="-10"/>
          <w:szCs w:val="21"/>
        </w:rPr>
        <w:object>
          <v:shape id="_x0000_i1792" o:spt="75" type="#_x0000_t75" style="height:15pt;width:24.75pt;" o:ole="t" filled="f" o:preferrelative="t" stroked="f" coordsize="21600,21600">
            <v:path/>
            <v:fill on="f" focussize="0,0"/>
            <v:stroke on="f" joinstyle="miter"/>
            <v:imagedata r:id="rId1491" o:title=""/>
            <o:lock v:ext="edit" aspectratio="t"/>
            <w10:wrap type="none"/>
            <w10:anchorlock/>
          </v:shape>
          <o:OLEObject Type="Embed" ProgID="Equation.DSMT4" ShapeID="_x0000_i1792" DrawAspect="Content" ObjectID="_1468076492" r:id="rId1490">
            <o:LockedField>false</o:LockedField>
          </o:OLEObject>
        </w:object>
      </w:r>
      <w:r>
        <w:rPr>
          <w:color w:val="auto"/>
          <w:szCs w:val="21"/>
        </w:rPr>
        <w:t>～</w:t>
      </w:r>
      <w:r>
        <w:rPr>
          <w:color w:val="auto"/>
          <w:position w:val="-12"/>
          <w:szCs w:val="21"/>
        </w:rPr>
        <w:object>
          <v:shape id="_x0000_i1793" o:spt="75" type="#_x0000_t75" style="height:18.75pt;width:29.25pt;" o:ole="t" filled="f" o:preferrelative="t" stroked="f" coordsize="21600,21600">
            <v:path/>
            <v:fill on="f" focussize="0,0"/>
            <v:stroke on="f" joinstyle="miter"/>
            <v:imagedata r:id="rId1493" o:title=""/>
            <o:lock v:ext="edit" aspectratio="t"/>
            <w10:wrap type="none"/>
            <w10:anchorlock/>
          </v:shape>
          <o:OLEObject Type="Embed" ProgID="Equation.DSMT4" ShapeID="_x0000_i1793" DrawAspect="Content" ObjectID="_1468076493" r:id="rId1492">
            <o:LockedField>false</o:LockedField>
          </o:OLEObject>
        </w:object>
      </w:r>
      <w:r>
        <w:rPr>
          <w:color w:val="auto"/>
          <w:szCs w:val="21"/>
        </w:rPr>
        <w:t>关系曲线的斜率。</w:t>
      </w:r>
    </w:p>
    <w:p w14:paraId="4359601B">
      <w:pPr>
        <w:adjustRightInd w:val="0"/>
        <w:snapToGrid w:val="0"/>
        <w:spacing w:line="340" w:lineRule="atLeast"/>
        <w:ind w:firstLine="480"/>
        <w:rPr>
          <w:color w:val="auto"/>
          <w:szCs w:val="21"/>
        </w:rPr>
      </w:pPr>
      <w:r>
        <w:rPr>
          <w:b/>
          <w:bCs/>
          <w:color w:val="auto"/>
          <w:szCs w:val="21"/>
        </w:rPr>
        <w:t>f)</w:t>
      </w:r>
      <w:r>
        <w:rPr>
          <w:color w:val="auto"/>
          <w:szCs w:val="21"/>
        </w:rPr>
        <w:t xml:space="preserve">  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K.9</w:t>
      </w:r>
      <w:r>
        <w:rPr>
          <w:rFonts w:hint="eastAsia" w:eastAsia="宋体"/>
          <w:color w:val="auto"/>
          <w:sz w:val="21"/>
          <w:szCs w:val="21"/>
          <w:lang w:eastAsia="zh-CN"/>
        </w:rPr>
        <w:t>）</w:t>
      </w:r>
      <w:r>
        <w:rPr>
          <w:color w:val="auto"/>
          <w:szCs w:val="21"/>
        </w:rPr>
        <w:t>计算岩石点荷载强度各向异性指数：</w:t>
      </w:r>
    </w:p>
    <w:p w14:paraId="34BC8F3D">
      <w:pPr>
        <w:adjustRightInd w:val="0"/>
        <w:snapToGrid w:val="0"/>
        <w:spacing w:line="340" w:lineRule="atLeast"/>
        <w:ind w:firstLine="482"/>
        <w:jc w:val="right"/>
        <w:rPr>
          <w:color w:val="auto"/>
          <w:szCs w:val="21"/>
        </w:rPr>
      </w:pPr>
      <w:r>
        <w:rPr>
          <w:color w:val="auto"/>
          <w:position w:val="-32"/>
          <w:szCs w:val="21"/>
        </w:rPr>
        <w:object>
          <v:shape id="_x0000_i1794" o:spt="75" type="#_x0000_t75" style="height:36.75pt;width:54pt;" o:ole="t" filled="f" o:preferrelative="t" stroked="f" coordsize="21600,21600">
            <v:path/>
            <v:fill on="f" focussize="0,0"/>
            <v:stroke on="f" joinstyle="miter"/>
            <v:imagedata r:id="rId1495" o:title=""/>
            <o:lock v:ext="edit" aspectratio="t"/>
            <w10:wrap type="none"/>
            <w10:anchorlock/>
          </v:shape>
          <o:OLEObject Type="Embed" ProgID="Equation.DSMT4" ShapeID="_x0000_i1794" DrawAspect="Content" ObjectID="_1468076494" r:id="rId1494">
            <o:LockedField>false</o:LockedField>
          </o:OLEObject>
        </w:object>
      </w:r>
      <w:r>
        <w:rPr>
          <w:color w:val="auto"/>
          <w:szCs w:val="21"/>
        </w:rPr>
        <w:t xml:space="preserve">                                    (K.9)</w:t>
      </w:r>
    </w:p>
    <w:p w14:paraId="3723BC4B">
      <w:pPr>
        <w:adjustRightInd w:val="0"/>
        <w:snapToGrid w:val="0"/>
        <w:spacing w:line="340" w:lineRule="atLeast"/>
        <w:rPr>
          <w:color w:val="auto"/>
          <w:szCs w:val="21"/>
        </w:rPr>
      </w:pPr>
      <w:r>
        <w:rPr>
          <w:color w:val="auto"/>
          <w:szCs w:val="21"/>
        </w:rPr>
        <w:t xml:space="preserve">式中  </w:t>
      </w:r>
      <w:r>
        <w:rPr>
          <w:color w:val="auto"/>
          <w:position w:val="-14"/>
          <w:szCs w:val="21"/>
        </w:rPr>
        <w:object>
          <v:shape id="_x0000_i1795" o:spt="75" type="#_x0000_t75" style="height:18.75pt;width:21pt;" o:ole="t" filled="f" o:preferrelative="t" stroked="f" coordsize="21600,21600">
            <v:path/>
            <v:fill on="f" focussize="0,0"/>
            <v:stroke on="f" joinstyle="miter"/>
            <v:imagedata r:id="rId1497" o:title=""/>
            <o:lock v:ext="edit" aspectratio="t"/>
            <w10:wrap type="none"/>
            <w10:anchorlock/>
          </v:shape>
          <o:OLEObject Type="Embed" ProgID="Equation.DSMT4" ShapeID="_x0000_i1795" DrawAspect="Content" ObjectID="_1468076495" r:id="rId1496">
            <o:LockedField>false</o:LockedField>
          </o:OLEObject>
        </w:object>
      </w:r>
      <w:r>
        <w:rPr>
          <w:color w:val="auto"/>
          <w:szCs w:val="21"/>
        </w:rPr>
        <w:t>——岩石点荷载强度各向异性指数；</w:t>
      </w:r>
    </w:p>
    <w:p w14:paraId="6A7FF473">
      <w:pPr>
        <w:adjustRightInd w:val="0"/>
        <w:snapToGrid w:val="0"/>
        <w:spacing w:line="340" w:lineRule="atLeast"/>
        <w:ind w:firstLine="630" w:firstLineChars="300"/>
        <w:rPr>
          <w:color w:val="auto"/>
          <w:szCs w:val="21"/>
        </w:rPr>
      </w:pPr>
      <w:r>
        <w:rPr>
          <w:color w:val="auto"/>
          <w:position w:val="-14"/>
          <w:szCs w:val="21"/>
        </w:rPr>
        <w:object>
          <v:shape id="_x0000_i1796" o:spt="75" type="#_x0000_t75" style="height:18.75pt;width:21pt;" o:ole="t" filled="f" o:preferrelative="t" stroked="f" coordsize="21600,21600">
            <v:path/>
            <v:fill on="f" focussize="0,0"/>
            <v:stroke on="f" joinstyle="miter"/>
            <v:imagedata r:id="rId1499" o:title=""/>
            <o:lock v:ext="edit" aspectratio="t"/>
            <w10:wrap type="none"/>
            <w10:anchorlock/>
          </v:shape>
          <o:OLEObject Type="Embed" ProgID="Equation.DSMT4" ShapeID="_x0000_i1796" DrawAspect="Content" ObjectID="_1468076496" r:id="rId1498">
            <o:LockedField>false</o:LockedField>
          </o:OLEObject>
        </w:object>
      </w:r>
      <w:r>
        <w:rPr>
          <w:color w:val="auto"/>
          <w:szCs w:val="21"/>
        </w:rPr>
        <w:t>——垂直于弱面的岩石点荷载强度（MPa）；</w:t>
      </w:r>
    </w:p>
    <w:p w14:paraId="2FE32BD7">
      <w:pPr>
        <w:adjustRightInd w:val="0"/>
        <w:snapToGrid w:val="0"/>
        <w:spacing w:line="340" w:lineRule="atLeast"/>
        <w:ind w:firstLine="630" w:firstLineChars="300"/>
        <w:rPr>
          <w:color w:val="auto"/>
          <w:szCs w:val="21"/>
        </w:rPr>
      </w:pPr>
      <w:r>
        <w:rPr>
          <w:color w:val="auto"/>
          <w:position w:val="-14"/>
          <w:szCs w:val="21"/>
        </w:rPr>
        <w:object>
          <v:shape id="_x0000_i1797" o:spt="75" type="#_x0000_t75" style="height:18.75pt;width:21pt;" o:ole="t" filled="f" o:preferrelative="t" stroked="f" coordsize="21600,21600">
            <v:path/>
            <v:fill on="f" focussize="0,0"/>
            <v:stroke on="f" joinstyle="miter"/>
            <v:imagedata r:id="rId1501" o:title=""/>
            <o:lock v:ext="edit" aspectratio="t"/>
            <w10:wrap type="none"/>
            <w10:anchorlock/>
          </v:shape>
          <o:OLEObject Type="Embed" ProgID="Equation.DSMT4" ShapeID="_x0000_i1797" DrawAspect="Content" ObjectID="_1468076497" r:id="rId1500">
            <o:LockedField>false</o:LockedField>
          </o:OLEObject>
        </w:object>
      </w:r>
      <w:r>
        <w:rPr>
          <w:color w:val="auto"/>
          <w:szCs w:val="21"/>
        </w:rPr>
        <w:t>——平行于弱面的岩石点荷载强度（MPa）。</w:t>
      </w:r>
    </w:p>
    <w:p w14:paraId="518AC4BF">
      <w:pPr>
        <w:adjustRightInd w:val="0"/>
        <w:snapToGrid w:val="0"/>
        <w:spacing w:line="340" w:lineRule="atLeast"/>
        <w:ind w:firstLine="480"/>
        <w:rPr>
          <w:color w:val="auto"/>
          <w:szCs w:val="21"/>
        </w:rPr>
      </w:pPr>
      <w:r>
        <w:rPr>
          <w:b/>
          <w:bCs/>
          <w:color w:val="auto"/>
          <w:szCs w:val="21"/>
        </w:rPr>
        <w:t>g)</w:t>
      </w:r>
      <w:r>
        <w:rPr>
          <w:color w:val="auto"/>
          <w:szCs w:val="21"/>
        </w:rPr>
        <w:t xml:space="preserve">  按式(L.7）计算的垂直和平行弱面岩石点荷载强度应取平均值。平均值的计算，当一组有效的试验数据不超过10个时，应舍去最高值和最低值，再计算其余数的平均值；当一组有效数据超过10个时，可舍去前二个高值和后二个低值，再计算其余数的平均值。</w:t>
      </w:r>
    </w:p>
    <w:p w14:paraId="34D0B351">
      <w:pPr>
        <w:adjustRightInd w:val="0"/>
        <w:snapToGrid w:val="0"/>
        <w:spacing w:line="340" w:lineRule="atLeast"/>
        <w:ind w:firstLine="480"/>
        <w:rPr>
          <w:color w:val="auto"/>
          <w:szCs w:val="21"/>
        </w:rPr>
      </w:pPr>
      <w:r>
        <w:rPr>
          <w:b/>
          <w:bCs/>
          <w:color w:val="auto"/>
          <w:szCs w:val="21"/>
        </w:rPr>
        <w:t>h)</w:t>
      </w:r>
      <w:r>
        <w:rPr>
          <w:color w:val="auto"/>
          <w:szCs w:val="21"/>
        </w:rPr>
        <w:t xml:space="preserve">  计算值精确至0.01。</w:t>
      </w:r>
    </w:p>
    <w:p w14:paraId="013BC2DE">
      <w:pPr>
        <w:adjustRightInd w:val="0"/>
        <w:snapToGrid w:val="0"/>
        <w:spacing w:line="340" w:lineRule="atLeast"/>
        <w:ind w:firstLine="480"/>
        <w:rPr>
          <w:color w:val="auto"/>
          <w:szCs w:val="21"/>
        </w:rPr>
      </w:pPr>
      <w:r>
        <w:rPr>
          <w:b/>
          <w:bCs/>
          <w:color w:val="auto"/>
          <w:szCs w:val="21"/>
        </w:rPr>
        <w:t>i)</w:t>
      </w:r>
      <w:r>
        <w:rPr>
          <w:color w:val="auto"/>
          <w:szCs w:val="21"/>
        </w:rPr>
        <w:t xml:space="preserve">  点荷载强度试验记录应包括工程名称、取样位置、试件编号、试件描述、试验类型、试件尺寸、破坏荷载。</w:t>
      </w:r>
    </w:p>
    <w:p w14:paraId="7BAFEDAD">
      <w:pPr>
        <w:adjustRightInd w:val="0"/>
        <w:snapToGrid w:val="0"/>
        <w:spacing w:line="340" w:lineRule="atLeast"/>
        <w:rPr>
          <w:color w:val="auto"/>
          <w:szCs w:val="21"/>
        </w:rPr>
      </w:pPr>
      <w:r>
        <w:rPr>
          <w:b/>
          <w:bCs/>
          <w:color w:val="auto"/>
          <w:szCs w:val="21"/>
        </w:rPr>
        <w:t xml:space="preserve">K.10 </w:t>
      </w:r>
      <w:r>
        <w:rPr>
          <w:color w:val="auto"/>
          <w:szCs w:val="21"/>
        </w:rPr>
        <w:t xml:space="preserve"> 采用岩石点荷载试验可按</w:t>
      </w:r>
      <w:r>
        <w:rPr>
          <w:rFonts w:hint="eastAsia"/>
          <w:color w:val="auto"/>
          <w:szCs w:val="21"/>
          <w:lang w:val="en-US" w:eastAsia="zh-CN"/>
        </w:rPr>
        <w:t>公式</w:t>
      </w:r>
      <w:r>
        <w:rPr>
          <w:rFonts w:hint="eastAsia" w:eastAsia="宋体"/>
          <w:color w:val="auto"/>
          <w:sz w:val="21"/>
          <w:szCs w:val="21"/>
          <w:lang w:eastAsia="zh-CN"/>
        </w:rPr>
        <w:t>（</w:t>
      </w:r>
      <w:r>
        <w:rPr>
          <w:rFonts w:hint="eastAsia"/>
          <w:color w:val="auto"/>
          <w:sz w:val="21"/>
          <w:szCs w:val="21"/>
          <w:lang w:val="en-US" w:eastAsia="zh-CN"/>
        </w:rPr>
        <w:t>K.10</w:t>
      </w:r>
      <w:r>
        <w:rPr>
          <w:rFonts w:hint="eastAsia" w:eastAsia="宋体"/>
          <w:color w:val="auto"/>
          <w:sz w:val="21"/>
          <w:szCs w:val="21"/>
          <w:lang w:eastAsia="zh-CN"/>
        </w:rPr>
        <w:t>）</w:t>
      </w:r>
      <w:r>
        <w:rPr>
          <w:color w:val="auto"/>
          <w:szCs w:val="21"/>
        </w:rPr>
        <w:t>估算岩石的单轴抗压强度，并按本文件附录D和第7.2.6条规定确定单轴抗压强度的标准值和岩石承载力特征值。</w:t>
      </w:r>
    </w:p>
    <w:p w14:paraId="4138B0EF">
      <w:pPr>
        <w:adjustRightInd w:val="0"/>
        <w:snapToGrid w:val="0"/>
        <w:spacing w:line="340" w:lineRule="atLeast"/>
        <w:jc w:val="right"/>
        <w:rPr>
          <w:color w:val="auto"/>
          <w:szCs w:val="21"/>
        </w:rPr>
      </w:pPr>
      <w:r>
        <w:rPr>
          <w:color w:val="auto"/>
          <w:position w:val="-14"/>
          <w:szCs w:val="21"/>
        </w:rPr>
        <w:object>
          <v:shape id="_x0000_i1798" o:spt="75" type="#_x0000_t75" style="height:20.25pt;width:80.25pt;" o:ole="t" filled="f" o:preferrelative="t" stroked="f" coordsize="21600,21600">
            <v:path/>
            <v:fill on="f" focussize="0,0"/>
            <v:stroke on="f" joinstyle="miter"/>
            <v:imagedata r:id="rId1503" o:title=""/>
            <o:lock v:ext="edit" aspectratio="t"/>
            <w10:wrap type="none"/>
            <w10:anchorlock/>
          </v:shape>
          <o:OLEObject Type="Embed" ProgID="Equation.DSMT4" ShapeID="_x0000_i1798" DrawAspect="Content" ObjectID="_1468076498" r:id="rId1502">
            <o:LockedField>false</o:LockedField>
          </o:OLEObject>
        </w:object>
      </w:r>
      <w:r>
        <w:rPr>
          <w:color w:val="auto"/>
          <w:szCs w:val="21"/>
        </w:rPr>
        <w:t>（MPa）                               (K.10)</w:t>
      </w:r>
    </w:p>
    <w:p w14:paraId="3FFD6BD5">
      <w:pPr>
        <w:jc w:val="center"/>
        <w:outlineLvl w:val="0"/>
        <w:rPr>
          <w:rFonts w:ascii="黑体" w:eastAsia="黑体"/>
          <w:b/>
          <w:bCs/>
          <w:color w:val="auto"/>
          <w:szCs w:val="21"/>
        </w:rPr>
      </w:pPr>
      <w:bookmarkStart w:id="143" w:name="_Toc182413566"/>
      <w:bookmarkStart w:id="144" w:name="_Toc199943682"/>
      <w:r>
        <w:rPr>
          <w:rFonts w:hint="eastAsia" w:ascii="黑体" w:eastAsia="黑体"/>
          <w:b/>
          <w:bCs/>
          <w:color w:val="auto"/>
          <w:szCs w:val="21"/>
        </w:rPr>
        <w:t>附录</w:t>
      </w:r>
      <w:bookmarkEnd w:id="143"/>
      <w:r>
        <w:rPr>
          <w:rFonts w:hint="eastAsia" w:ascii="黑体" w:eastAsia="黑体"/>
          <w:b/>
          <w:bCs/>
          <w:color w:val="auto"/>
          <w:szCs w:val="21"/>
        </w:rPr>
        <w:t>L</w:t>
      </w:r>
      <w:bookmarkEnd w:id="144"/>
      <w:r>
        <w:rPr>
          <w:rFonts w:hint="eastAsia" w:ascii="黑体" w:eastAsia="黑体"/>
          <w:b/>
          <w:bCs/>
          <w:color w:val="auto"/>
          <w:szCs w:val="21"/>
        </w:rPr>
        <w:t xml:space="preserve"> </w:t>
      </w:r>
    </w:p>
    <w:p w14:paraId="0B2F1E79">
      <w:pPr>
        <w:jc w:val="center"/>
        <w:outlineLvl w:val="0"/>
        <w:rPr>
          <w:rFonts w:ascii="黑体" w:eastAsia="黑体"/>
          <w:b/>
          <w:bCs/>
          <w:color w:val="auto"/>
          <w:szCs w:val="21"/>
        </w:rPr>
      </w:pPr>
      <w:bookmarkStart w:id="145" w:name="_Toc199943683"/>
      <w:bookmarkStart w:id="146" w:name="_Toc182413567"/>
      <w:r>
        <w:rPr>
          <w:rFonts w:hint="eastAsia" w:ascii="黑体" w:eastAsia="黑体"/>
          <w:b/>
          <w:bCs/>
          <w:color w:val="auto"/>
          <w:szCs w:val="21"/>
        </w:rPr>
        <w:t>(资料性)</w:t>
      </w:r>
      <w:bookmarkEnd w:id="145"/>
      <w:bookmarkEnd w:id="146"/>
    </w:p>
    <w:p w14:paraId="56E89978">
      <w:pPr>
        <w:jc w:val="center"/>
        <w:outlineLvl w:val="0"/>
        <w:rPr>
          <w:rFonts w:ascii="黑体" w:eastAsia="黑体"/>
          <w:b/>
          <w:bCs/>
          <w:color w:val="auto"/>
          <w:szCs w:val="21"/>
        </w:rPr>
      </w:pPr>
      <w:bookmarkStart w:id="147" w:name="_Toc182413568"/>
      <w:bookmarkStart w:id="148" w:name="_Toc199943684"/>
      <w:r>
        <w:rPr>
          <w:rFonts w:hint="eastAsia" w:ascii="黑体" w:eastAsia="黑体"/>
          <w:b/>
          <w:bCs/>
          <w:color w:val="auto"/>
          <w:szCs w:val="21"/>
        </w:rPr>
        <w:t>湖北省地方标准实施信息及意见反馈表</w:t>
      </w:r>
      <w:bookmarkEnd w:id="147"/>
      <w:bookmarkEnd w:id="148"/>
    </w:p>
    <w:p w14:paraId="6C410E69">
      <w:pPr>
        <w:widowControl/>
        <w:autoSpaceDE w:val="0"/>
        <w:autoSpaceDN w:val="0"/>
        <w:ind w:firstLine="420" w:firstLineChars="200"/>
        <w:jc w:val="center"/>
        <w:rPr>
          <w:rFonts w:ascii="宋体" w:hAnsi="宋体" w:cs="宋体"/>
          <w:bCs/>
          <w:color w:val="auto"/>
          <w:kern w:val="0"/>
          <w:szCs w:val="21"/>
        </w:rPr>
      </w:pPr>
    </w:p>
    <w:p w14:paraId="049681B9">
      <w:pPr>
        <w:widowControl/>
        <w:autoSpaceDE w:val="0"/>
        <w:autoSpaceDN w:val="0"/>
        <w:rPr>
          <w:rFonts w:ascii="宋体"/>
          <w:color w:val="auto"/>
          <w:kern w:val="0"/>
          <w:szCs w:val="20"/>
        </w:rPr>
      </w:pPr>
      <w:r>
        <w:rPr>
          <w:rFonts w:hint="eastAsia" w:ascii="黑体" w:hAnsi="黑体" w:eastAsia="黑体"/>
          <w:b/>
          <w:color w:val="auto"/>
          <w:kern w:val="0"/>
          <w:szCs w:val="20"/>
        </w:rPr>
        <w:t>L</w:t>
      </w:r>
      <w:r>
        <w:rPr>
          <w:rFonts w:ascii="黑体" w:hAnsi="黑体" w:eastAsia="黑体"/>
          <w:b/>
          <w:color w:val="auto"/>
          <w:kern w:val="0"/>
          <w:szCs w:val="20"/>
        </w:rPr>
        <w:t>.1</w:t>
      </w:r>
      <w:r>
        <w:rPr>
          <w:rFonts w:ascii="宋体"/>
          <w:color w:val="auto"/>
          <w:kern w:val="0"/>
          <w:szCs w:val="20"/>
        </w:rPr>
        <w:t xml:space="preserve">  </w:t>
      </w:r>
      <w:r>
        <w:rPr>
          <w:rFonts w:hint="eastAsia" w:ascii="宋体"/>
          <w:color w:val="auto"/>
          <w:kern w:val="0"/>
          <w:szCs w:val="20"/>
        </w:rPr>
        <w:t>湖北省地方标准实施信息及意见反馈表如表L.1所示。</w:t>
      </w:r>
    </w:p>
    <w:p w14:paraId="1A6B92EB">
      <w:pPr>
        <w:widowControl/>
        <w:numPr>
          <w:ilvl w:val="1"/>
          <w:numId w:val="0"/>
        </w:numPr>
        <w:adjustRightInd w:val="0"/>
        <w:snapToGrid w:val="0"/>
        <w:spacing w:before="156" w:beforeLines="50" w:after="156" w:afterLines="50"/>
        <w:ind w:left="420"/>
        <w:jc w:val="center"/>
        <w:textAlignment w:val="baseline"/>
        <w:rPr>
          <w:rFonts w:ascii="黑体" w:eastAsia="黑体"/>
          <w:color w:val="auto"/>
          <w:kern w:val="21"/>
          <w:szCs w:val="20"/>
        </w:rPr>
      </w:pPr>
      <w:r>
        <w:rPr>
          <w:rFonts w:hint="eastAsia" w:ascii="黑体" w:eastAsia="黑体"/>
          <w:color w:val="auto"/>
          <w:kern w:val="21"/>
          <w:szCs w:val="20"/>
        </w:rPr>
        <w:t>表L.1湖北省地方标准实施信息及意见反馈表</w:t>
      </w:r>
    </w:p>
    <w:tbl>
      <w:tblPr>
        <w:tblStyle w:val="75"/>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823"/>
        <w:gridCol w:w="338"/>
        <w:gridCol w:w="2192"/>
        <w:gridCol w:w="3109"/>
        <w:gridCol w:w="1384"/>
      </w:tblGrid>
      <w:tr w14:paraId="6956C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34" w:type="dxa"/>
            <w:gridSpan w:val="2"/>
            <w:tcBorders>
              <w:top w:val="single" w:color="auto" w:sz="12" w:space="0"/>
              <w:left w:val="single" w:color="auto" w:sz="12" w:space="0"/>
              <w:bottom w:val="single" w:color="000000" w:sz="2" w:space="0"/>
              <w:right w:val="single" w:color="auto" w:sz="4" w:space="0"/>
            </w:tcBorders>
            <w:vAlign w:val="center"/>
          </w:tcPr>
          <w:p w14:paraId="087CD54E">
            <w:pPr>
              <w:widowControl/>
              <w:kinsoku w:val="0"/>
              <w:autoSpaceDE w:val="0"/>
              <w:autoSpaceDN w:val="0"/>
              <w:snapToGrid w:val="0"/>
              <w:ind w:left="115"/>
              <w:jc w:val="left"/>
              <w:textAlignment w:val="baseline"/>
              <w:rPr>
                <w:rFonts w:ascii="宋体" w:hAnsi="宋体" w:eastAsia="Times New Roman"/>
                <w:color w:val="auto"/>
                <w:kern w:val="0"/>
                <w:sz w:val="18"/>
                <w:szCs w:val="18"/>
              </w:rPr>
            </w:pPr>
            <w:r>
              <w:rPr>
                <w:rFonts w:hint="eastAsia" w:ascii="宋体" w:hAnsi="宋体" w:eastAsia="Times New Roman"/>
                <w:color w:val="auto"/>
                <w:spacing w:val="9"/>
                <w:kern w:val="0"/>
                <w:sz w:val="18"/>
                <w:szCs w:val="18"/>
              </w:rPr>
              <w:t>标准名称及编号</w:t>
            </w:r>
          </w:p>
        </w:tc>
        <w:tc>
          <w:tcPr>
            <w:tcW w:w="7023" w:type="dxa"/>
            <w:gridSpan w:val="4"/>
            <w:tcBorders>
              <w:top w:val="single" w:color="auto" w:sz="12" w:space="0"/>
              <w:left w:val="single" w:color="auto" w:sz="4" w:space="0"/>
              <w:bottom w:val="single" w:color="000000" w:sz="2" w:space="0"/>
              <w:right w:val="single" w:color="auto" w:sz="12" w:space="0"/>
            </w:tcBorders>
            <w:vAlign w:val="center"/>
          </w:tcPr>
          <w:p w14:paraId="6E251E90">
            <w:pPr>
              <w:jc w:val="left"/>
              <w:rPr>
                <w:rFonts w:ascii="宋体" w:hAnsi="宋体" w:eastAsia="Times New Roman" w:cs="Arial"/>
                <w:color w:val="auto"/>
                <w:kern w:val="0"/>
                <w:sz w:val="18"/>
                <w:szCs w:val="18"/>
              </w:rPr>
            </w:pPr>
          </w:p>
        </w:tc>
      </w:tr>
      <w:tr w14:paraId="5E608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14:paraId="51D2433D">
            <w:pPr>
              <w:widowControl/>
              <w:kinsoku w:val="0"/>
              <w:autoSpaceDE w:val="0"/>
              <w:autoSpaceDN w:val="0"/>
              <w:snapToGrid w:val="0"/>
              <w:ind w:left="147"/>
              <w:jc w:val="left"/>
              <w:textAlignment w:val="baseline"/>
              <w:rPr>
                <w:rFonts w:ascii="宋体" w:hAnsi="宋体" w:eastAsia="Times New Roman"/>
                <w:color w:val="auto"/>
                <w:kern w:val="0"/>
                <w:sz w:val="18"/>
                <w:szCs w:val="18"/>
              </w:rPr>
            </w:pPr>
            <w:r>
              <w:rPr>
                <w:rFonts w:hint="eastAsia" w:ascii="宋体" w:hAnsi="宋体" w:eastAsia="Times New Roman"/>
                <w:color w:val="auto"/>
                <w:spacing w:val="3"/>
                <w:kern w:val="0"/>
                <w:sz w:val="18"/>
                <w:szCs w:val="18"/>
              </w:rPr>
              <w:t>总体评价</w:t>
            </w:r>
          </w:p>
        </w:tc>
        <w:tc>
          <w:tcPr>
            <w:tcW w:w="1161" w:type="dxa"/>
            <w:gridSpan w:val="2"/>
            <w:tcBorders>
              <w:top w:val="single" w:color="auto" w:sz="12" w:space="0"/>
              <w:left w:val="single" w:color="auto" w:sz="4" w:space="0"/>
              <w:bottom w:val="single" w:color="auto" w:sz="4" w:space="0"/>
              <w:right w:val="single" w:color="auto" w:sz="4" w:space="0"/>
            </w:tcBorders>
            <w:vAlign w:val="center"/>
          </w:tcPr>
          <w:p w14:paraId="43886672">
            <w:pPr>
              <w:widowControl/>
              <w:kinsoku w:val="0"/>
              <w:autoSpaceDE w:val="0"/>
              <w:autoSpaceDN w:val="0"/>
              <w:snapToGrid w:val="0"/>
              <w:ind w:left="229"/>
              <w:jc w:val="left"/>
              <w:textAlignment w:val="baseline"/>
              <w:rPr>
                <w:rFonts w:ascii="宋体" w:hAnsi="宋体" w:eastAsia="Times New Roman"/>
                <w:color w:val="auto"/>
                <w:kern w:val="0"/>
                <w:sz w:val="18"/>
                <w:szCs w:val="18"/>
              </w:rPr>
            </w:pPr>
            <w:r>
              <w:rPr>
                <w:rFonts w:hint="eastAsia" w:ascii="宋体" w:hAnsi="宋体" w:eastAsia="Times New Roman"/>
                <w:color w:val="auto"/>
                <w:spacing w:val="5"/>
                <w:kern w:val="0"/>
                <w:sz w:val="18"/>
                <w:szCs w:val="18"/>
              </w:rPr>
              <w:t>适用性</w:t>
            </w:r>
          </w:p>
        </w:tc>
        <w:tc>
          <w:tcPr>
            <w:tcW w:w="5301" w:type="dxa"/>
            <w:gridSpan w:val="2"/>
            <w:tcBorders>
              <w:top w:val="single" w:color="auto" w:sz="12" w:space="0"/>
              <w:left w:val="single" w:color="auto" w:sz="4" w:space="0"/>
              <w:bottom w:val="single" w:color="auto" w:sz="4" w:space="0"/>
              <w:right w:val="single" w:color="auto" w:sz="4" w:space="0"/>
            </w:tcBorders>
            <w:vAlign w:val="center"/>
          </w:tcPr>
          <w:p w14:paraId="5B9E121D">
            <w:pPr>
              <w:widowControl/>
              <w:kinsoku w:val="0"/>
              <w:autoSpaceDE w:val="0"/>
              <w:autoSpaceDN w:val="0"/>
              <w:snapToGrid w:val="0"/>
              <w:ind w:left="116" w:right="103"/>
              <w:jc w:val="left"/>
              <w:textAlignment w:val="baseline"/>
              <w:rPr>
                <w:rFonts w:ascii="宋体" w:hAnsi="宋体" w:eastAsia="Times New Roman"/>
                <w:color w:val="auto"/>
                <w:kern w:val="0"/>
                <w:sz w:val="18"/>
                <w:szCs w:val="18"/>
              </w:rPr>
            </w:pPr>
            <w:r>
              <w:rPr>
                <w:rFonts w:hint="eastAsia" w:ascii="宋体" w:hAnsi="宋体" w:eastAsia="Times New Roman"/>
                <w:color w:val="auto"/>
                <w:spacing w:val="11"/>
                <w:kern w:val="0"/>
                <w:sz w:val="18"/>
                <w:szCs w:val="18"/>
              </w:rPr>
              <w:t>该标准与当前所在地的产业或社会发展水平是否相匹配？</w:t>
            </w:r>
          </w:p>
        </w:tc>
        <w:tc>
          <w:tcPr>
            <w:tcW w:w="1384" w:type="dxa"/>
            <w:tcBorders>
              <w:top w:val="single" w:color="auto" w:sz="12" w:space="0"/>
              <w:left w:val="single" w:color="auto" w:sz="4" w:space="0"/>
              <w:bottom w:val="single" w:color="auto" w:sz="4" w:space="0"/>
              <w:right w:val="single" w:color="auto" w:sz="12" w:space="0"/>
            </w:tcBorders>
            <w:vAlign w:val="center"/>
          </w:tcPr>
          <w:p w14:paraId="1D44B494">
            <w:pPr>
              <w:widowControl/>
              <w:kinsoku w:val="0"/>
              <w:autoSpaceDE w:val="0"/>
              <w:autoSpaceDN w:val="0"/>
              <w:snapToGrid w:val="0"/>
              <w:ind w:left="127"/>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6" name="图片 6" descr="C:\Users\ADMINI~1.USE\AppData\Local\Temp\ksohtml1191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USE\AppData\Local\Temp\ksohtml11916\wps1.png"/>
                          <pic:cNvPicPr>
                            <a:picLocks noChangeAspect="1" noChangeArrowheads="1"/>
                          </pic:cNvPicPr>
                        </pic:nvPicPr>
                        <pic:blipFill>
                          <a:blip r:embed="rId150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 xml:space="preserve">是  </w:t>
            </w:r>
            <w:r>
              <w:rPr>
                <w:rFonts w:ascii="宋体" w:hAnsi="宋体" w:eastAsia="Times New Roman"/>
                <w:color w:val="auto"/>
                <w:kern w:val="0"/>
                <w:sz w:val="18"/>
                <w:szCs w:val="18"/>
              </w:rPr>
              <w:drawing>
                <wp:inline distT="0" distB="0" distL="0" distR="0">
                  <wp:extent cx="114300" cy="114300"/>
                  <wp:effectExtent l="0" t="0" r="0" b="0"/>
                  <wp:docPr id="10" name="图片 10" descr="C:\Users\ADMINI~1.USE\AppData\Local\Temp\ksohtml1191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USE\AppData\Local\Temp\ksohtml11916\wps2.png"/>
                          <pic:cNvPicPr>
                            <a:picLocks noChangeAspect="1" noChangeArrowheads="1"/>
                          </pic:cNvPicPr>
                        </pic:nvPicPr>
                        <pic:blipFill>
                          <a:blip r:embed="rId150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否</w:t>
            </w:r>
          </w:p>
        </w:tc>
      </w:tr>
      <w:tr w14:paraId="11C06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6BD121BF">
            <w:pPr>
              <w:widowControl/>
              <w:jc w:val="left"/>
              <w:rPr>
                <w:rFonts w:ascii="宋体" w:hAnsi="宋体" w:eastAsia="Times New Roman"/>
                <w:color w:val="auto"/>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0161E784">
            <w:pPr>
              <w:widowControl/>
              <w:kinsoku w:val="0"/>
              <w:autoSpaceDE w:val="0"/>
              <w:autoSpaceDN w:val="0"/>
              <w:snapToGrid w:val="0"/>
              <w:ind w:left="229"/>
              <w:jc w:val="left"/>
              <w:textAlignment w:val="baseline"/>
              <w:rPr>
                <w:rFonts w:ascii="宋体" w:hAnsi="宋体" w:eastAsia="Times New Roman"/>
                <w:color w:val="auto"/>
                <w:kern w:val="0"/>
                <w:sz w:val="18"/>
                <w:szCs w:val="18"/>
              </w:rPr>
            </w:pPr>
            <w:r>
              <w:rPr>
                <w:rFonts w:hint="eastAsia" w:ascii="宋体" w:hAnsi="宋体" w:eastAsia="Times New Roman"/>
                <w:color w:val="auto"/>
                <w:spacing w:val="5"/>
                <w:kern w:val="0"/>
                <w:sz w:val="18"/>
                <w:szCs w:val="18"/>
              </w:rPr>
              <w:t>协调性</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66543371">
            <w:pPr>
              <w:widowControl/>
              <w:kinsoku w:val="0"/>
              <w:autoSpaceDE w:val="0"/>
              <w:autoSpaceDN w:val="0"/>
              <w:snapToGrid w:val="0"/>
              <w:ind w:left="116" w:right="103"/>
              <w:jc w:val="left"/>
              <w:textAlignment w:val="baseline"/>
              <w:rPr>
                <w:rFonts w:ascii="宋体" w:hAnsi="宋体" w:eastAsia="Times New Roman"/>
                <w:color w:val="auto"/>
                <w:kern w:val="0"/>
                <w:sz w:val="18"/>
                <w:szCs w:val="18"/>
              </w:rPr>
            </w:pPr>
            <w:r>
              <w:rPr>
                <w:rFonts w:hint="eastAsia" w:ascii="宋体" w:hAnsi="宋体" w:eastAsia="Times New Roman"/>
                <w:color w:val="auto"/>
                <w:spacing w:val="11"/>
                <w:kern w:val="0"/>
                <w:sz w:val="18"/>
                <w:szCs w:val="18"/>
              </w:rPr>
              <w:t>该标准的特色要求与其他强制性标准的主要技术指标、相关法律法规、部门规章或产业政策是否</w:t>
            </w:r>
            <w:r>
              <w:rPr>
                <w:rFonts w:hint="eastAsia" w:ascii="宋体" w:hAnsi="宋体" w:eastAsia="Times New Roman"/>
                <w:color w:val="auto"/>
                <w:spacing w:val="2"/>
                <w:kern w:val="0"/>
                <w:sz w:val="18"/>
                <w:szCs w:val="18"/>
              </w:rPr>
              <w:t>协调？</w:t>
            </w:r>
          </w:p>
        </w:tc>
        <w:tc>
          <w:tcPr>
            <w:tcW w:w="1384" w:type="dxa"/>
            <w:tcBorders>
              <w:top w:val="single" w:color="auto" w:sz="4" w:space="0"/>
              <w:left w:val="single" w:color="auto" w:sz="4" w:space="0"/>
              <w:bottom w:val="single" w:color="auto" w:sz="4" w:space="0"/>
              <w:right w:val="single" w:color="auto" w:sz="12" w:space="0"/>
            </w:tcBorders>
            <w:vAlign w:val="center"/>
          </w:tcPr>
          <w:p w14:paraId="1BE77FA3">
            <w:pPr>
              <w:widowControl/>
              <w:kinsoku w:val="0"/>
              <w:autoSpaceDE w:val="0"/>
              <w:autoSpaceDN w:val="0"/>
              <w:snapToGrid w:val="0"/>
              <w:ind w:left="127"/>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202" name="图片 202" descr="C:\Users\ADMINI~1.USE\AppData\Local\Temp\ksohtml1191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C:\Users\ADMINI~1.USE\AppData\Local\Temp\ksohtml11916\wps3.png"/>
                          <pic:cNvPicPr>
                            <a:picLocks noChangeAspect="1" noChangeArrowheads="1"/>
                          </pic:cNvPicPr>
                        </pic:nvPicPr>
                        <pic:blipFill>
                          <a:blip r:embed="rId1505">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 xml:space="preserve">是  </w:t>
            </w:r>
            <w:r>
              <w:rPr>
                <w:rFonts w:ascii="宋体" w:hAnsi="宋体" w:eastAsia="Times New Roman"/>
                <w:color w:val="auto"/>
                <w:kern w:val="0"/>
                <w:sz w:val="18"/>
                <w:szCs w:val="18"/>
              </w:rPr>
              <w:drawing>
                <wp:inline distT="0" distB="0" distL="0" distR="0">
                  <wp:extent cx="114300" cy="114300"/>
                  <wp:effectExtent l="0" t="0" r="0" b="0"/>
                  <wp:docPr id="203" name="图片 203" descr="C:\Users\ADMINI~1.USE\AppData\Local\Temp\ksohtml1191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C:\Users\ADMINI~1.USE\AppData\Local\Temp\ksohtml11916\wps4.png"/>
                          <pic:cNvPicPr>
                            <a:picLocks noChangeAspect="1" noChangeArrowheads="1"/>
                          </pic:cNvPicPr>
                        </pic:nvPicPr>
                        <pic:blipFill>
                          <a:blip r:embed="rId1505">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否</w:t>
            </w:r>
          </w:p>
        </w:tc>
      </w:tr>
      <w:tr w14:paraId="3765D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67E10099">
            <w:pPr>
              <w:widowControl/>
              <w:jc w:val="left"/>
              <w:rPr>
                <w:rFonts w:ascii="宋体" w:hAnsi="宋体" w:eastAsia="Times New Roman"/>
                <w:color w:val="auto"/>
                <w:kern w:val="0"/>
                <w:sz w:val="18"/>
                <w:szCs w:val="18"/>
              </w:rPr>
            </w:pP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42BC29E1">
            <w:pPr>
              <w:widowControl/>
              <w:kinsoku w:val="0"/>
              <w:autoSpaceDE w:val="0"/>
              <w:autoSpaceDN w:val="0"/>
              <w:snapToGrid w:val="0"/>
              <w:ind w:left="351"/>
              <w:jc w:val="left"/>
              <w:textAlignment w:val="baseline"/>
              <w:rPr>
                <w:rFonts w:ascii="宋体" w:hAnsi="宋体" w:eastAsia="Times New Roman"/>
                <w:color w:val="auto"/>
                <w:kern w:val="0"/>
                <w:sz w:val="18"/>
                <w:szCs w:val="18"/>
              </w:rPr>
            </w:pPr>
            <w:r>
              <w:rPr>
                <w:rFonts w:hint="eastAsia" w:ascii="宋体" w:hAnsi="宋体" w:eastAsia="Times New Roman"/>
                <w:color w:val="auto"/>
                <w:spacing w:val="2"/>
                <w:kern w:val="0"/>
                <w:position w:val="12"/>
                <w:sz w:val="18"/>
                <w:szCs w:val="18"/>
              </w:rPr>
              <w:t>执行</w:t>
            </w:r>
          </w:p>
          <w:p w14:paraId="7A952AFF">
            <w:pPr>
              <w:widowControl/>
              <w:kinsoku w:val="0"/>
              <w:autoSpaceDE w:val="0"/>
              <w:autoSpaceDN w:val="0"/>
              <w:snapToGrid w:val="0"/>
              <w:ind w:left="355"/>
              <w:jc w:val="left"/>
              <w:textAlignment w:val="baseline"/>
              <w:rPr>
                <w:rFonts w:ascii="宋体" w:hAnsi="宋体" w:eastAsia="Times New Roman"/>
                <w:color w:val="auto"/>
                <w:kern w:val="0"/>
                <w:sz w:val="18"/>
                <w:szCs w:val="18"/>
              </w:rPr>
            </w:pPr>
            <w:r>
              <w:rPr>
                <w:rFonts w:hint="eastAsia" w:ascii="宋体" w:hAnsi="宋体" w:eastAsia="Times New Roman"/>
                <w:color w:val="auto"/>
                <w:kern w:val="0"/>
                <w:sz w:val="18"/>
                <w:szCs w:val="18"/>
              </w:rPr>
              <w:t>情况</w:t>
            </w:r>
          </w:p>
        </w:tc>
        <w:tc>
          <w:tcPr>
            <w:tcW w:w="5301" w:type="dxa"/>
            <w:gridSpan w:val="2"/>
            <w:tcBorders>
              <w:top w:val="single" w:color="auto" w:sz="4" w:space="0"/>
              <w:left w:val="single" w:color="auto" w:sz="4" w:space="0"/>
              <w:bottom w:val="single" w:color="auto" w:sz="4" w:space="0"/>
              <w:right w:val="single" w:color="auto" w:sz="4" w:space="0"/>
            </w:tcBorders>
            <w:vAlign w:val="center"/>
          </w:tcPr>
          <w:p w14:paraId="64A9FCD5">
            <w:pPr>
              <w:widowControl/>
              <w:kinsoku w:val="0"/>
              <w:autoSpaceDE w:val="0"/>
              <w:autoSpaceDN w:val="0"/>
              <w:snapToGrid w:val="0"/>
              <w:ind w:left="116" w:right="103"/>
              <w:jc w:val="left"/>
              <w:textAlignment w:val="baseline"/>
              <w:rPr>
                <w:rFonts w:ascii="宋体" w:hAnsi="宋体" w:eastAsia="Times New Roman"/>
                <w:color w:val="auto"/>
                <w:kern w:val="0"/>
                <w:sz w:val="18"/>
                <w:szCs w:val="18"/>
              </w:rPr>
            </w:pPr>
            <w:r>
              <w:rPr>
                <w:rFonts w:hint="eastAsia" w:ascii="宋体" w:hAnsi="宋体" w:eastAsia="Times New Roman"/>
                <w:color w:val="auto"/>
                <w:spacing w:val="11"/>
                <w:kern w:val="0"/>
                <w:sz w:val="18"/>
                <w:szCs w:val="18"/>
              </w:rPr>
              <w:t>标准执行单位或人员是否按照标准要求组织开展相关工作？</w:t>
            </w:r>
          </w:p>
        </w:tc>
        <w:tc>
          <w:tcPr>
            <w:tcW w:w="1384" w:type="dxa"/>
            <w:tcBorders>
              <w:top w:val="single" w:color="auto" w:sz="4" w:space="0"/>
              <w:left w:val="single" w:color="auto" w:sz="4" w:space="0"/>
              <w:bottom w:val="single" w:color="auto" w:sz="4" w:space="0"/>
              <w:right w:val="single" w:color="auto" w:sz="12" w:space="0"/>
            </w:tcBorders>
            <w:vAlign w:val="center"/>
          </w:tcPr>
          <w:p w14:paraId="5C249599">
            <w:pPr>
              <w:widowControl/>
              <w:kinsoku w:val="0"/>
              <w:autoSpaceDE w:val="0"/>
              <w:autoSpaceDN w:val="0"/>
              <w:snapToGrid w:val="0"/>
              <w:ind w:left="127"/>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204" name="图片 204" descr="C:\Users\ADMINI~1.USE\AppData\Local\Temp\ksohtml1191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C:\Users\ADMINI~1.USE\AppData\Local\Temp\ksohtml11916\wps5.png"/>
                          <pic:cNvPicPr>
                            <a:picLocks noChangeAspect="1" noChangeArrowheads="1"/>
                          </pic:cNvPicPr>
                        </pic:nvPicPr>
                        <pic:blipFill>
                          <a:blip r:embed="rId150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 xml:space="preserve">是  </w:t>
            </w:r>
            <w:r>
              <w:rPr>
                <w:rFonts w:ascii="宋体" w:hAnsi="宋体" w:eastAsia="Times New Roman"/>
                <w:color w:val="auto"/>
                <w:kern w:val="0"/>
                <w:sz w:val="18"/>
                <w:szCs w:val="18"/>
              </w:rPr>
              <w:drawing>
                <wp:inline distT="0" distB="0" distL="0" distR="0">
                  <wp:extent cx="114300" cy="114300"/>
                  <wp:effectExtent l="0" t="0" r="0" b="0"/>
                  <wp:docPr id="205" name="图片 205" descr="C:\Users\ADMINI~1.USE\AppData\Local\Temp\ksohtml1191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C:\Users\ADMINI~1.USE\AppData\Local\Temp\ksohtml11916\wps6.png"/>
                          <pic:cNvPicPr>
                            <a:picLocks noChangeAspect="1" noChangeArrowheads="1"/>
                          </pic:cNvPicPr>
                        </pic:nvPicPr>
                        <pic:blipFill>
                          <a:blip r:embed="rId150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否</w:t>
            </w:r>
          </w:p>
        </w:tc>
      </w:tr>
      <w:tr w14:paraId="44C1E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6F11AB7E">
            <w:pPr>
              <w:widowControl/>
              <w:kinsoku w:val="0"/>
              <w:autoSpaceDE w:val="0"/>
              <w:autoSpaceDN w:val="0"/>
              <w:snapToGrid w:val="0"/>
              <w:ind w:left="143"/>
              <w:jc w:val="left"/>
              <w:textAlignment w:val="baseline"/>
              <w:rPr>
                <w:rFonts w:ascii="宋体" w:hAnsi="宋体" w:eastAsia="Times New Roman"/>
                <w:color w:val="auto"/>
                <w:kern w:val="0"/>
                <w:sz w:val="18"/>
                <w:szCs w:val="18"/>
              </w:rPr>
            </w:pPr>
            <w:r>
              <w:rPr>
                <w:rFonts w:hint="eastAsia" w:ascii="宋体" w:hAnsi="宋体" w:eastAsia="Times New Roman"/>
                <w:color w:val="auto"/>
                <w:spacing w:val="4"/>
                <w:kern w:val="0"/>
                <w:sz w:val="18"/>
                <w:szCs w:val="18"/>
              </w:rPr>
              <w:t>实施信息</w:t>
            </w:r>
          </w:p>
        </w:tc>
        <w:tc>
          <w:tcPr>
            <w:tcW w:w="6462" w:type="dxa"/>
            <w:gridSpan w:val="4"/>
            <w:tcBorders>
              <w:top w:val="single" w:color="auto" w:sz="4" w:space="0"/>
              <w:left w:val="single" w:color="auto" w:sz="4" w:space="0"/>
              <w:bottom w:val="single" w:color="auto" w:sz="4" w:space="0"/>
              <w:right w:val="single" w:color="auto" w:sz="4" w:space="0"/>
            </w:tcBorders>
            <w:vAlign w:val="center"/>
          </w:tcPr>
          <w:p w14:paraId="3A4CD6EF">
            <w:pPr>
              <w:widowControl/>
              <w:kinsoku w:val="0"/>
              <w:autoSpaceDE w:val="0"/>
              <w:autoSpaceDN w:val="0"/>
              <w:snapToGrid w:val="0"/>
              <w:ind w:left="111"/>
              <w:jc w:val="left"/>
              <w:textAlignment w:val="baseline"/>
              <w:rPr>
                <w:rFonts w:ascii="宋体" w:hAnsi="宋体" w:eastAsia="Times New Roman"/>
                <w:color w:val="auto"/>
                <w:kern w:val="0"/>
                <w:sz w:val="18"/>
                <w:szCs w:val="18"/>
              </w:rPr>
            </w:pPr>
            <w:r>
              <w:rPr>
                <w:rFonts w:hint="eastAsia" w:ascii="宋体" w:hAnsi="宋体" w:eastAsia="Times New Roman"/>
                <w:color w:val="auto"/>
                <w:spacing w:val="8"/>
                <w:kern w:val="0"/>
                <w:sz w:val="18"/>
                <w:szCs w:val="18"/>
              </w:rPr>
              <w:t>标准实施过程中是否存在阻力和障碍？</w:t>
            </w:r>
          </w:p>
        </w:tc>
        <w:tc>
          <w:tcPr>
            <w:tcW w:w="1384" w:type="dxa"/>
            <w:tcBorders>
              <w:top w:val="single" w:color="auto" w:sz="4" w:space="0"/>
              <w:left w:val="single" w:color="auto" w:sz="4" w:space="0"/>
              <w:bottom w:val="single" w:color="auto" w:sz="4" w:space="0"/>
              <w:right w:val="single" w:color="auto" w:sz="12" w:space="0"/>
            </w:tcBorders>
            <w:vAlign w:val="center"/>
          </w:tcPr>
          <w:p w14:paraId="739B6468">
            <w:pPr>
              <w:widowControl/>
              <w:kinsoku w:val="0"/>
              <w:autoSpaceDE w:val="0"/>
              <w:autoSpaceDN w:val="0"/>
              <w:snapToGrid w:val="0"/>
              <w:ind w:left="127"/>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206" name="图片 206" descr="C:\Users\ADMINI~1.USE\AppData\Local\Temp\ksohtml1191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C:\Users\ADMINI~1.USE\AppData\Local\Temp\ksohtml11916\wps7.png"/>
                          <pic:cNvPicPr>
                            <a:picLocks noChangeAspect="1" noChangeArrowheads="1"/>
                          </pic:cNvPicPr>
                        </pic:nvPicPr>
                        <pic:blipFill>
                          <a:blip r:embed="rId1505">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 xml:space="preserve">是  </w:t>
            </w:r>
            <w:r>
              <w:rPr>
                <w:rFonts w:ascii="宋体" w:hAnsi="宋体" w:eastAsia="Times New Roman"/>
                <w:color w:val="auto"/>
                <w:kern w:val="0"/>
                <w:sz w:val="18"/>
                <w:szCs w:val="18"/>
              </w:rPr>
              <w:drawing>
                <wp:inline distT="0" distB="0" distL="0" distR="0">
                  <wp:extent cx="114300" cy="114300"/>
                  <wp:effectExtent l="0" t="0" r="0" b="0"/>
                  <wp:docPr id="209" name="图片 209" descr="C:\Users\ADMINI~1.USE\AppData\Local\Temp\ksohtml1191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C:\Users\ADMINI~1.USE\AppData\Local\Temp\ksohtml11916\wps8.png"/>
                          <pic:cNvPicPr>
                            <a:picLocks noChangeAspect="1" noChangeArrowheads="1"/>
                          </pic:cNvPicPr>
                        </pic:nvPicPr>
                        <pic:blipFill>
                          <a:blip r:embed="rId1505">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22"/>
                <w:kern w:val="0"/>
                <w:sz w:val="18"/>
                <w:szCs w:val="18"/>
              </w:rPr>
              <w:t>否</w:t>
            </w:r>
          </w:p>
        </w:tc>
      </w:tr>
      <w:tr w14:paraId="477FB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10010F33">
            <w:pPr>
              <w:widowControl/>
              <w:jc w:val="left"/>
              <w:rPr>
                <w:rFonts w:ascii="宋体" w:hAnsi="宋体" w:eastAsia="Times New Roman"/>
                <w:color w:val="auto"/>
                <w:kern w:val="0"/>
                <w:sz w:val="18"/>
                <w:szCs w:val="18"/>
              </w:rPr>
            </w:pPr>
          </w:p>
        </w:tc>
        <w:tc>
          <w:tcPr>
            <w:tcW w:w="3353" w:type="dxa"/>
            <w:gridSpan w:val="3"/>
            <w:tcBorders>
              <w:top w:val="single" w:color="auto" w:sz="4" w:space="0"/>
              <w:left w:val="single" w:color="auto" w:sz="4" w:space="0"/>
              <w:bottom w:val="single" w:color="auto" w:sz="4" w:space="0"/>
              <w:right w:val="single" w:color="auto" w:sz="4" w:space="0"/>
            </w:tcBorders>
            <w:vAlign w:val="center"/>
          </w:tcPr>
          <w:p w14:paraId="75A84CE6">
            <w:pPr>
              <w:widowControl/>
              <w:kinsoku w:val="0"/>
              <w:autoSpaceDE w:val="0"/>
              <w:autoSpaceDN w:val="0"/>
              <w:snapToGrid w:val="0"/>
              <w:ind w:left="125"/>
              <w:jc w:val="left"/>
              <w:textAlignment w:val="baseline"/>
              <w:rPr>
                <w:rFonts w:ascii="宋体" w:hAnsi="宋体" w:eastAsia="Times New Roman"/>
                <w:color w:val="auto"/>
                <w:kern w:val="0"/>
                <w:sz w:val="18"/>
                <w:szCs w:val="18"/>
              </w:rPr>
            </w:pPr>
            <w:r>
              <w:rPr>
                <w:rFonts w:hint="eastAsia" w:ascii="宋体" w:hAnsi="宋体" w:eastAsia="Times New Roman"/>
                <w:color w:val="auto"/>
                <w:spacing w:val="8"/>
                <w:kern w:val="0"/>
                <w:sz w:val="18"/>
                <w:szCs w:val="18"/>
              </w:rPr>
              <w:t>实施过程中存在的主要问题</w:t>
            </w:r>
          </w:p>
        </w:tc>
        <w:tc>
          <w:tcPr>
            <w:tcW w:w="4493" w:type="dxa"/>
            <w:gridSpan w:val="2"/>
            <w:tcBorders>
              <w:top w:val="single" w:color="auto" w:sz="4" w:space="0"/>
              <w:left w:val="single" w:color="auto" w:sz="4" w:space="0"/>
              <w:bottom w:val="single" w:color="auto" w:sz="4" w:space="0"/>
              <w:right w:val="single" w:color="auto" w:sz="12" w:space="0"/>
            </w:tcBorders>
            <w:vAlign w:val="center"/>
          </w:tcPr>
          <w:p w14:paraId="65F38C2F">
            <w:pPr>
              <w:jc w:val="left"/>
              <w:rPr>
                <w:rFonts w:ascii="宋体" w:hAnsi="宋体" w:eastAsia="Times New Roman" w:cs="Arial"/>
                <w:color w:val="auto"/>
                <w:kern w:val="0"/>
                <w:sz w:val="18"/>
                <w:szCs w:val="18"/>
              </w:rPr>
            </w:pPr>
          </w:p>
        </w:tc>
      </w:tr>
      <w:tr w14:paraId="75D05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1211" w:type="dxa"/>
            <w:vMerge w:val="restart"/>
            <w:tcBorders>
              <w:top w:val="single" w:color="auto" w:sz="4" w:space="0"/>
              <w:left w:val="single" w:color="auto" w:sz="12" w:space="0"/>
              <w:bottom w:val="single" w:color="auto" w:sz="4" w:space="0"/>
              <w:right w:val="single" w:color="auto" w:sz="4" w:space="0"/>
            </w:tcBorders>
            <w:vAlign w:val="center"/>
          </w:tcPr>
          <w:p w14:paraId="645D39D5">
            <w:pPr>
              <w:widowControl/>
              <w:kinsoku w:val="0"/>
              <w:autoSpaceDE w:val="0"/>
              <w:autoSpaceDN w:val="0"/>
              <w:snapToGrid w:val="0"/>
              <w:ind w:left="126"/>
              <w:jc w:val="left"/>
              <w:textAlignment w:val="baseline"/>
              <w:rPr>
                <w:rFonts w:ascii="宋体" w:hAnsi="宋体" w:eastAsia="Times New Roman"/>
                <w:color w:val="auto"/>
                <w:kern w:val="0"/>
                <w:sz w:val="18"/>
                <w:szCs w:val="18"/>
              </w:rPr>
            </w:pPr>
            <w:r>
              <w:rPr>
                <w:rFonts w:hint="eastAsia" w:ascii="宋体" w:hAnsi="宋体" w:eastAsia="Times New Roman"/>
                <w:color w:val="auto"/>
                <w:spacing w:val="8"/>
                <w:kern w:val="0"/>
                <w:sz w:val="18"/>
                <w:szCs w:val="18"/>
              </w:rPr>
              <w:t>修改意见</w:t>
            </w:r>
          </w:p>
        </w:tc>
        <w:tc>
          <w:tcPr>
            <w:tcW w:w="1161" w:type="dxa"/>
            <w:gridSpan w:val="2"/>
            <w:tcBorders>
              <w:top w:val="single" w:color="auto" w:sz="4" w:space="0"/>
              <w:left w:val="single" w:color="auto" w:sz="4" w:space="0"/>
              <w:bottom w:val="single" w:color="auto" w:sz="4" w:space="0"/>
              <w:right w:val="single" w:color="auto" w:sz="4" w:space="0"/>
            </w:tcBorders>
            <w:vAlign w:val="center"/>
          </w:tcPr>
          <w:p w14:paraId="0102692B">
            <w:pPr>
              <w:widowControl/>
              <w:kinsoku w:val="0"/>
              <w:autoSpaceDE w:val="0"/>
              <w:autoSpaceDN w:val="0"/>
              <w:snapToGrid w:val="0"/>
              <w:ind w:left="361"/>
              <w:jc w:val="left"/>
              <w:textAlignment w:val="baseline"/>
              <w:rPr>
                <w:rFonts w:ascii="宋体" w:hAnsi="宋体" w:eastAsia="Times New Roman"/>
                <w:color w:val="auto"/>
                <w:kern w:val="0"/>
                <w:sz w:val="18"/>
                <w:szCs w:val="18"/>
              </w:rPr>
            </w:pPr>
            <w:r>
              <w:rPr>
                <w:rFonts w:hint="eastAsia" w:ascii="宋体" w:hAnsi="宋体" w:eastAsia="Times New Roman"/>
                <w:color w:val="auto"/>
                <w:spacing w:val="-3"/>
                <w:kern w:val="0"/>
                <w:position w:val="12"/>
                <w:sz w:val="18"/>
                <w:szCs w:val="18"/>
              </w:rPr>
              <w:t>总体</w:t>
            </w:r>
          </w:p>
          <w:p w14:paraId="0F740F53">
            <w:pPr>
              <w:widowControl/>
              <w:kinsoku w:val="0"/>
              <w:autoSpaceDE w:val="0"/>
              <w:autoSpaceDN w:val="0"/>
              <w:snapToGrid w:val="0"/>
              <w:ind w:left="361"/>
              <w:jc w:val="left"/>
              <w:textAlignment w:val="baseline"/>
              <w:rPr>
                <w:rFonts w:ascii="宋体" w:hAnsi="宋体" w:eastAsia="Times New Roman"/>
                <w:color w:val="auto"/>
                <w:kern w:val="0"/>
                <w:sz w:val="18"/>
                <w:szCs w:val="18"/>
              </w:rPr>
            </w:pPr>
            <w:r>
              <w:rPr>
                <w:rFonts w:hint="eastAsia" w:ascii="宋体" w:hAnsi="宋体" w:eastAsia="Times New Roman"/>
                <w:color w:val="auto"/>
                <w:spacing w:val="-3"/>
                <w:kern w:val="0"/>
                <w:sz w:val="18"/>
                <w:szCs w:val="18"/>
              </w:rPr>
              <w:t>意见</w:t>
            </w:r>
          </w:p>
        </w:tc>
        <w:tc>
          <w:tcPr>
            <w:tcW w:w="6685" w:type="dxa"/>
            <w:gridSpan w:val="3"/>
            <w:tcBorders>
              <w:top w:val="single" w:color="auto" w:sz="4" w:space="0"/>
              <w:left w:val="single" w:color="auto" w:sz="4" w:space="0"/>
              <w:bottom w:val="single" w:color="auto" w:sz="4" w:space="0"/>
              <w:right w:val="single" w:color="auto" w:sz="12" w:space="0"/>
            </w:tcBorders>
            <w:vAlign w:val="center"/>
          </w:tcPr>
          <w:p w14:paraId="11C3B365">
            <w:pPr>
              <w:widowControl/>
              <w:kinsoku w:val="0"/>
              <w:autoSpaceDE w:val="0"/>
              <w:autoSpaceDN w:val="0"/>
              <w:snapToGrid w:val="0"/>
              <w:ind w:left="124"/>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244" name="图片 244" descr="C:\Users\ADMINI~1.USE\AppData\Local\Temp\ksohtml1191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C:\Users\ADMINI~1.USE\AppData\Local\Temp\ksohtml11916\wps9.png"/>
                          <pic:cNvPicPr>
                            <a:picLocks noChangeAspect="1" noChangeArrowheads="1"/>
                          </pic:cNvPicPr>
                        </pic:nvPicPr>
                        <pic:blipFill>
                          <a:blip r:embed="rId1504">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4"/>
                <w:kern w:val="0"/>
                <w:sz w:val="18"/>
                <w:szCs w:val="18"/>
              </w:rPr>
              <w:t xml:space="preserve">适用    </w:t>
            </w:r>
            <w:r>
              <w:rPr>
                <w:rFonts w:ascii="宋体" w:hAnsi="宋体" w:eastAsia="Times New Roman"/>
                <w:color w:val="auto"/>
                <w:kern w:val="0"/>
                <w:sz w:val="18"/>
                <w:szCs w:val="18"/>
              </w:rPr>
              <w:drawing>
                <wp:inline distT="0" distB="0" distL="0" distR="0">
                  <wp:extent cx="114300" cy="114300"/>
                  <wp:effectExtent l="0" t="0" r="0" b="0"/>
                  <wp:docPr id="847" name="图片 847" descr="C:\Users\ADMINI~1.USE\AppData\Local\Temp\ksohtml1191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图片 847" descr="C:\Users\ADMINI~1.USE\AppData\Local\Temp\ksohtml11916\wps10.png"/>
                          <pic:cNvPicPr>
                            <a:picLocks noChangeAspect="1" noChangeArrowheads="1"/>
                          </pic:cNvPicPr>
                        </pic:nvPicPr>
                        <pic:blipFill>
                          <a:blip r:embed="rId150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4"/>
                <w:kern w:val="0"/>
                <w:sz w:val="18"/>
                <w:szCs w:val="18"/>
              </w:rPr>
              <w:t xml:space="preserve">修改    </w:t>
            </w:r>
            <w:r>
              <w:rPr>
                <w:rFonts w:ascii="宋体" w:hAnsi="宋体" w:eastAsia="Times New Roman"/>
                <w:color w:val="auto"/>
                <w:kern w:val="0"/>
                <w:sz w:val="18"/>
                <w:szCs w:val="18"/>
              </w:rPr>
              <w:drawing>
                <wp:inline distT="0" distB="0" distL="0" distR="0">
                  <wp:extent cx="114300" cy="114300"/>
                  <wp:effectExtent l="0" t="0" r="0" b="0"/>
                  <wp:docPr id="848" name="图片 848" descr="C:\Users\ADMINI~1.USE\AppData\Local\Temp\ksohtml1191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图片 848" descr="C:\Users\ADMINI~1.USE\AppData\Local\Temp\ksohtml11916\wps11.png"/>
                          <pic:cNvPicPr>
                            <a:picLocks noChangeAspect="1" noChangeArrowheads="1"/>
                          </pic:cNvPicPr>
                        </pic:nvPicPr>
                        <pic:blipFill>
                          <a:blip r:embed="rId1506">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4"/>
                <w:kern w:val="0"/>
                <w:sz w:val="18"/>
                <w:szCs w:val="18"/>
              </w:rPr>
              <w:t>废止</w:t>
            </w:r>
          </w:p>
        </w:tc>
      </w:tr>
      <w:tr w14:paraId="5F71D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1211" w:type="dxa"/>
            <w:vMerge w:val="continue"/>
            <w:tcBorders>
              <w:top w:val="single" w:color="auto" w:sz="4" w:space="0"/>
              <w:left w:val="single" w:color="auto" w:sz="12" w:space="0"/>
              <w:bottom w:val="single" w:color="auto" w:sz="4" w:space="0"/>
              <w:right w:val="single" w:color="auto" w:sz="4" w:space="0"/>
            </w:tcBorders>
            <w:vAlign w:val="center"/>
          </w:tcPr>
          <w:p w14:paraId="7AEDD0B2">
            <w:pPr>
              <w:widowControl/>
              <w:jc w:val="left"/>
              <w:rPr>
                <w:rFonts w:ascii="宋体" w:hAnsi="宋体" w:eastAsia="Times New Roman"/>
                <w:color w:val="auto"/>
                <w:kern w:val="0"/>
                <w:sz w:val="18"/>
                <w:szCs w:val="18"/>
              </w:rPr>
            </w:pPr>
          </w:p>
        </w:tc>
        <w:tc>
          <w:tcPr>
            <w:tcW w:w="1161" w:type="dxa"/>
            <w:gridSpan w:val="2"/>
            <w:tcBorders>
              <w:top w:val="single" w:color="auto" w:sz="4" w:space="0"/>
              <w:left w:val="single" w:color="auto" w:sz="4" w:space="0"/>
              <w:bottom w:val="single" w:color="000000" w:sz="2" w:space="0"/>
              <w:right w:val="single" w:color="auto" w:sz="4" w:space="0"/>
            </w:tcBorders>
            <w:vAlign w:val="center"/>
          </w:tcPr>
          <w:p w14:paraId="01ED30D5">
            <w:pPr>
              <w:widowControl/>
              <w:kinsoku w:val="0"/>
              <w:autoSpaceDE w:val="0"/>
              <w:autoSpaceDN w:val="0"/>
              <w:snapToGrid w:val="0"/>
              <w:ind w:left="233"/>
              <w:jc w:val="left"/>
              <w:textAlignment w:val="baseline"/>
              <w:rPr>
                <w:rFonts w:ascii="宋体" w:hAnsi="宋体" w:eastAsia="Times New Roman"/>
                <w:color w:val="auto"/>
                <w:kern w:val="0"/>
                <w:sz w:val="18"/>
                <w:szCs w:val="18"/>
              </w:rPr>
            </w:pPr>
            <w:r>
              <w:rPr>
                <w:rFonts w:hint="eastAsia" w:ascii="宋体" w:hAnsi="宋体" w:eastAsia="Times New Roman"/>
                <w:color w:val="auto"/>
                <w:spacing w:val="4"/>
                <w:kern w:val="0"/>
                <w:position w:val="12"/>
                <w:sz w:val="18"/>
                <w:szCs w:val="18"/>
              </w:rPr>
              <w:t>具体修</w:t>
            </w:r>
          </w:p>
          <w:p w14:paraId="6A37309D">
            <w:pPr>
              <w:widowControl/>
              <w:kinsoku w:val="0"/>
              <w:autoSpaceDE w:val="0"/>
              <w:autoSpaceDN w:val="0"/>
              <w:snapToGrid w:val="0"/>
              <w:ind w:left="251"/>
              <w:jc w:val="left"/>
              <w:textAlignment w:val="baseline"/>
              <w:rPr>
                <w:rFonts w:ascii="宋体" w:hAnsi="宋体" w:eastAsia="Times New Roman"/>
                <w:color w:val="auto"/>
                <w:kern w:val="0"/>
                <w:sz w:val="18"/>
                <w:szCs w:val="18"/>
              </w:rPr>
            </w:pPr>
            <w:r>
              <w:rPr>
                <w:rFonts w:hint="eastAsia" w:ascii="宋体" w:hAnsi="宋体" w:eastAsia="Times New Roman"/>
                <w:color w:val="auto"/>
                <w:spacing w:val="-2"/>
                <w:kern w:val="0"/>
                <w:sz w:val="18"/>
                <w:szCs w:val="18"/>
              </w:rPr>
              <w:t>改意见</w:t>
            </w:r>
          </w:p>
        </w:tc>
        <w:tc>
          <w:tcPr>
            <w:tcW w:w="6685" w:type="dxa"/>
            <w:gridSpan w:val="3"/>
            <w:tcBorders>
              <w:top w:val="single" w:color="auto" w:sz="4" w:space="0"/>
              <w:left w:val="single" w:color="auto" w:sz="4" w:space="0"/>
              <w:bottom w:val="single" w:color="000000" w:sz="2" w:space="0"/>
              <w:right w:val="single" w:color="auto" w:sz="12" w:space="0"/>
            </w:tcBorders>
            <w:vAlign w:val="center"/>
          </w:tcPr>
          <w:p w14:paraId="151D2A63">
            <w:pPr>
              <w:widowControl/>
              <w:kinsoku w:val="0"/>
              <w:autoSpaceDE w:val="0"/>
              <w:autoSpaceDN w:val="0"/>
              <w:snapToGrid w:val="0"/>
              <w:ind w:left="127"/>
              <w:jc w:val="left"/>
              <w:textAlignment w:val="baseline"/>
              <w:rPr>
                <w:rFonts w:ascii="宋体" w:hAnsi="宋体" w:eastAsia="Times New Roman"/>
                <w:color w:val="auto"/>
                <w:kern w:val="0"/>
                <w:sz w:val="18"/>
                <w:szCs w:val="18"/>
              </w:rPr>
            </w:pPr>
            <w:r>
              <w:rPr>
                <w:rFonts w:hint="eastAsia" w:ascii="宋体" w:hAnsi="宋体" w:eastAsia="Times New Roman"/>
                <w:color w:val="auto"/>
                <w:spacing w:val="4"/>
                <w:kern w:val="0"/>
                <w:sz w:val="18"/>
                <w:szCs w:val="18"/>
              </w:rPr>
              <w:t>需修改章节：</w:t>
            </w:r>
          </w:p>
          <w:p w14:paraId="759B9A48">
            <w:pPr>
              <w:widowControl/>
              <w:kinsoku w:val="0"/>
              <w:autoSpaceDE w:val="0"/>
              <w:autoSpaceDN w:val="0"/>
              <w:snapToGrid w:val="0"/>
              <w:ind w:left="121"/>
              <w:jc w:val="left"/>
              <w:textAlignment w:val="baseline"/>
              <w:rPr>
                <w:rFonts w:ascii="宋体" w:hAnsi="宋体" w:eastAsia="Times New Roman"/>
                <w:color w:val="auto"/>
                <w:kern w:val="0"/>
                <w:sz w:val="18"/>
                <w:szCs w:val="18"/>
              </w:rPr>
            </w:pPr>
            <w:r>
              <w:rPr>
                <w:rFonts w:hint="eastAsia" w:ascii="宋体" w:hAnsi="宋体" w:eastAsia="Times New Roman"/>
                <w:color w:val="auto"/>
                <w:spacing w:val="6"/>
                <w:kern w:val="0"/>
                <w:sz w:val="18"/>
                <w:szCs w:val="18"/>
              </w:rPr>
              <w:t>具体修改意见：</w:t>
            </w:r>
          </w:p>
        </w:tc>
      </w:tr>
      <w:tr w14:paraId="2EF41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14:paraId="0273D768">
            <w:pPr>
              <w:widowControl/>
              <w:kinsoku w:val="0"/>
              <w:autoSpaceDE w:val="0"/>
              <w:autoSpaceDN w:val="0"/>
              <w:snapToGrid w:val="0"/>
              <w:ind w:left="132"/>
              <w:jc w:val="left"/>
              <w:textAlignment w:val="baseline"/>
              <w:rPr>
                <w:rFonts w:ascii="宋体" w:hAnsi="宋体" w:eastAsia="Times New Roman"/>
                <w:color w:val="auto"/>
                <w:kern w:val="0"/>
                <w:sz w:val="18"/>
                <w:szCs w:val="18"/>
              </w:rPr>
            </w:pPr>
            <w:r>
              <w:rPr>
                <w:rFonts w:hint="eastAsia" w:ascii="宋体" w:hAnsi="宋体" w:eastAsia="Times New Roman"/>
                <w:color w:val="auto"/>
                <w:spacing w:val="7"/>
                <w:kern w:val="0"/>
                <w:sz w:val="18"/>
                <w:szCs w:val="18"/>
              </w:rPr>
              <w:t>反馈渠道</w:t>
            </w:r>
          </w:p>
        </w:tc>
        <w:tc>
          <w:tcPr>
            <w:tcW w:w="7846" w:type="dxa"/>
            <w:gridSpan w:val="5"/>
            <w:tcBorders>
              <w:top w:val="single" w:color="000000" w:sz="2" w:space="0"/>
              <w:left w:val="single" w:color="auto" w:sz="4" w:space="0"/>
              <w:bottom w:val="single" w:color="000000" w:sz="2" w:space="0"/>
              <w:right w:val="single" w:color="auto" w:sz="4" w:space="0"/>
            </w:tcBorders>
            <w:vAlign w:val="center"/>
          </w:tcPr>
          <w:p w14:paraId="5143326E">
            <w:pPr>
              <w:widowControl/>
              <w:kinsoku w:val="0"/>
              <w:autoSpaceDE w:val="0"/>
              <w:autoSpaceDN w:val="0"/>
              <w:snapToGrid w:val="0"/>
              <w:ind w:left="124"/>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849" name="图片 849" descr="C:\Users\ADMINI~1.USE\AppData\Local\Temp\ksohtml1191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849" descr="C:\Users\ADMINI~1.USE\AppData\Local\Temp\ksohtml11916\wps12.png"/>
                          <pic:cNvPicPr>
                            <a:picLocks noChangeAspect="1" noChangeArrowheads="1"/>
                          </pic:cNvPicPr>
                        </pic:nvPicPr>
                        <pic:blipFill>
                          <a:blip r:embed="rId150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2"/>
                <w:kern w:val="0"/>
                <w:sz w:val="18"/>
                <w:szCs w:val="18"/>
              </w:rPr>
              <w:t>标准化行政主管部门</w:t>
            </w:r>
          </w:p>
          <w:p w14:paraId="01246896">
            <w:pPr>
              <w:widowControl/>
              <w:kinsoku w:val="0"/>
              <w:autoSpaceDE w:val="0"/>
              <w:autoSpaceDN w:val="0"/>
              <w:snapToGrid w:val="0"/>
              <w:ind w:left="124"/>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850" name="图片 850" descr="C:\Users\ADMINI~1.USE\AppData\Local\Temp\ksohtml1191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850" descr="C:\Users\ADMINI~1.USE\AppData\Local\Temp\ksohtml11916\wps13.png"/>
                          <pic:cNvPicPr>
                            <a:picLocks noChangeAspect="1" noChangeArrowheads="1"/>
                          </pic:cNvPicPr>
                        </pic:nvPicPr>
                        <pic:blipFill>
                          <a:blip r:embed="rId1508">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2"/>
                <w:kern w:val="0"/>
                <w:sz w:val="18"/>
                <w:szCs w:val="18"/>
              </w:rPr>
              <w:t>省直行业主管部门</w:t>
            </w:r>
          </w:p>
          <w:p w14:paraId="05147A85">
            <w:pPr>
              <w:widowControl/>
              <w:kinsoku w:val="0"/>
              <w:autoSpaceDE w:val="0"/>
              <w:autoSpaceDN w:val="0"/>
              <w:snapToGrid w:val="0"/>
              <w:ind w:left="124"/>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851" name="图片 851" descr="C:\Users\ADMINI~1.USE\AppData\Local\Temp\ksohtml1191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851" descr="C:\Users\ADMINI~1.USE\AppData\Local\Temp\ksohtml11916\wps14.png"/>
                          <pic:cNvPicPr>
                            <a:picLocks noChangeAspect="1" noChangeArrowheads="1"/>
                          </pic:cNvPicPr>
                        </pic:nvPicPr>
                        <pic:blipFill>
                          <a:blip r:embed="rId150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0"/>
                <w:kern w:val="0"/>
                <w:sz w:val="18"/>
                <w:szCs w:val="18"/>
              </w:rPr>
              <w:t>专业标准化技术委员会（工作组）</w:t>
            </w:r>
          </w:p>
          <w:p w14:paraId="1743F1D9">
            <w:pPr>
              <w:widowControl/>
              <w:kinsoku w:val="0"/>
              <w:autoSpaceDE w:val="0"/>
              <w:autoSpaceDN w:val="0"/>
              <w:snapToGrid w:val="0"/>
              <w:ind w:left="124"/>
              <w:jc w:val="left"/>
              <w:textAlignment w:val="baseline"/>
              <w:rPr>
                <w:rFonts w:ascii="宋体" w:hAnsi="宋体" w:eastAsia="Times New Roman"/>
                <w:color w:val="auto"/>
                <w:kern w:val="0"/>
                <w:sz w:val="18"/>
                <w:szCs w:val="18"/>
              </w:rPr>
            </w:pPr>
            <w:r>
              <w:rPr>
                <w:rFonts w:ascii="宋体" w:hAnsi="宋体" w:eastAsia="Times New Roman"/>
                <w:color w:val="auto"/>
                <w:kern w:val="0"/>
                <w:sz w:val="18"/>
                <w:szCs w:val="18"/>
              </w:rPr>
              <w:drawing>
                <wp:inline distT="0" distB="0" distL="0" distR="0">
                  <wp:extent cx="114300" cy="114300"/>
                  <wp:effectExtent l="0" t="0" r="0" b="0"/>
                  <wp:docPr id="852" name="图片 852" descr="C:\Users\ADMINI~1.USE\AppData\Local\Temp\ksohtml1191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852" descr="C:\Users\ADMINI~1.USE\AppData\Local\Temp\ksohtml11916\wps15.png"/>
                          <pic:cNvPicPr>
                            <a:picLocks noChangeAspect="1" noChangeArrowheads="1"/>
                          </pic:cNvPicPr>
                        </pic:nvPicPr>
                        <pic:blipFill>
                          <a:blip r:embed="rId1507">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hint="eastAsia" w:ascii="宋体" w:hAnsi="宋体" w:eastAsia="Times New Roman"/>
                <w:color w:val="auto"/>
                <w:spacing w:val="11"/>
                <w:kern w:val="0"/>
                <w:sz w:val="18"/>
                <w:szCs w:val="18"/>
              </w:rPr>
              <w:t>标准起草组（牵头起草单位）</w:t>
            </w:r>
          </w:p>
        </w:tc>
      </w:tr>
      <w:tr w14:paraId="57B2D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14:paraId="6E071AC6">
            <w:pPr>
              <w:widowControl/>
              <w:kinsoku w:val="0"/>
              <w:autoSpaceDE w:val="0"/>
              <w:autoSpaceDN w:val="0"/>
              <w:snapToGrid w:val="0"/>
              <w:ind w:left="252"/>
              <w:jc w:val="left"/>
              <w:textAlignment w:val="baseline"/>
              <w:rPr>
                <w:rFonts w:ascii="宋体" w:hAnsi="宋体" w:eastAsia="Times New Roman"/>
                <w:color w:val="auto"/>
                <w:kern w:val="0"/>
                <w:sz w:val="18"/>
                <w:szCs w:val="18"/>
              </w:rPr>
            </w:pPr>
            <w:r>
              <w:rPr>
                <w:rFonts w:hint="eastAsia" w:ascii="宋体" w:hAnsi="宋体" w:eastAsia="Times New Roman"/>
                <w:color w:val="auto"/>
                <w:spacing w:val="6"/>
                <w:kern w:val="0"/>
                <w:sz w:val="18"/>
                <w:szCs w:val="18"/>
              </w:rPr>
              <w:t>反馈人</w:t>
            </w:r>
          </w:p>
        </w:tc>
        <w:tc>
          <w:tcPr>
            <w:tcW w:w="7846" w:type="dxa"/>
            <w:gridSpan w:val="5"/>
            <w:tcBorders>
              <w:top w:val="single" w:color="000000" w:sz="2" w:space="0"/>
              <w:left w:val="single" w:color="auto" w:sz="4" w:space="0"/>
              <w:bottom w:val="single" w:color="auto" w:sz="12" w:space="0"/>
              <w:right w:val="single" w:color="auto" w:sz="12" w:space="0"/>
            </w:tcBorders>
            <w:vAlign w:val="center"/>
          </w:tcPr>
          <w:p w14:paraId="7FF31086">
            <w:pPr>
              <w:widowControl/>
              <w:kinsoku w:val="0"/>
              <w:autoSpaceDE w:val="0"/>
              <w:autoSpaceDN w:val="0"/>
              <w:snapToGrid w:val="0"/>
              <w:ind w:left="113"/>
              <w:jc w:val="left"/>
              <w:textAlignment w:val="baseline"/>
              <w:rPr>
                <w:rFonts w:ascii="宋体" w:hAnsi="宋体" w:eastAsia="Times New Roman"/>
                <w:color w:val="auto"/>
                <w:kern w:val="0"/>
                <w:sz w:val="18"/>
                <w:szCs w:val="18"/>
              </w:rPr>
            </w:pPr>
            <w:r>
              <w:rPr>
                <w:rFonts w:hint="eastAsia" w:ascii="宋体" w:hAnsi="宋体" w:eastAsia="Times New Roman"/>
                <w:color w:val="auto"/>
                <w:spacing w:val="2"/>
                <w:kern w:val="0"/>
                <w:sz w:val="18"/>
                <w:szCs w:val="18"/>
              </w:rPr>
              <w:t>姓名：</w:t>
            </w:r>
            <w:r>
              <w:rPr>
                <w:rFonts w:hint="eastAsia" w:ascii="宋体" w:hAnsi="宋体" w:eastAsia="Times New Roman"/>
                <w:color w:val="auto"/>
                <w:spacing w:val="8"/>
                <w:kern w:val="0"/>
                <w:sz w:val="18"/>
                <w:szCs w:val="18"/>
              </w:rPr>
              <w:t xml:space="preserve">           </w:t>
            </w:r>
            <w:r>
              <w:rPr>
                <w:rFonts w:hint="eastAsia" w:ascii="宋体" w:hAnsi="宋体" w:eastAsia="Times New Roman"/>
                <w:color w:val="auto"/>
                <w:spacing w:val="2"/>
                <w:kern w:val="0"/>
                <w:sz w:val="18"/>
                <w:szCs w:val="18"/>
              </w:rPr>
              <w:t>单位：</w:t>
            </w:r>
            <w:r>
              <w:rPr>
                <w:rFonts w:hint="eastAsia" w:ascii="宋体" w:hAnsi="宋体" w:eastAsia="Times New Roman"/>
                <w:color w:val="auto"/>
                <w:spacing w:val="1"/>
                <w:kern w:val="0"/>
                <w:sz w:val="18"/>
                <w:szCs w:val="18"/>
              </w:rPr>
              <w:t xml:space="preserve">                      </w:t>
            </w:r>
            <w:r>
              <w:rPr>
                <w:rFonts w:hint="eastAsia" w:ascii="宋体" w:hAnsi="宋体" w:eastAsia="Times New Roman"/>
                <w:color w:val="auto"/>
                <w:spacing w:val="2"/>
                <w:kern w:val="0"/>
                <w:sz w:val="18"/>
                <w:szCs w:val="18"/>
              </w:rPr>
              <w:t>联系方式：</w:t>
            </w:r>
          </w:p>
        </w:tc>
      </w:tr>
    </w:tbl>
    <w:p w14:paraId="743B4137">
      <w:pPr>
        <w:ind w:firstLine="360" w:firstLineChars="200"/>
        <w:jc w:val="left"/>
        <w:rPr>
          <w:rFonts w:ascii="宋体" w:hAnsi="宋体" w:cs="宋体"/>
          <w:color w:val="auto"/>
          <w:sz w:val="18"/>
          <w:szCs w:val="18"/>
        </w:rPr>
      </w:pPr>
      <w:r>
        <w:rPr>
          <w:rFonts w:hint="eastAsia" w:ascii="宋体" w:hAnsi="宋体" w:cs="宋体"/>
          <w:color w:val="auto"/>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14:paraId="586DC56D">
      <w:pPr>
        <w:adjustRightInd w:val="0"/>
        <w:snapToGrid w:val="0"/>
        <w:spacing w:line="340" w:lineRule="atLeast"/>
        <w:ind w:right="600"/>
        <w:rPr>
          <w:rFonts w:eastAsia="黑体"/>
          <w:color w:val="auto"/>
          <w:sz w:val="24"/>
          <w:szCs w:val="28"/>
        </w:rPr>
      </w:pPr>
      <w:r>
        <w:rPr>
          <w:color w:val="auto"/>
          <w:sz w:val="15"/>
          <w:szCs w:val="15"/>
        </w:rPr>
        <w:br w:type="page"/>
      </w:r>
    </w:p>
    <w:p w14:paraId="6EA251B6">
      <w:pPr>
        <w:adjustRightInd w:val="0"/>
        <w:jc w:val="center"/>
        <w:outlineLvl w:val="0"/>
        <w:rPr>
          <w:rFonts w:eastAsia="黑体"/>
          <w:color w:val="auto"/>
          <w:sz w:val="24"/>
          <w:szCs w:val="28"/>
        </w:rPr>
      </w:pPr>
      <w:bookmarkStart w:id="149" w:name="_Toc199943685"/>
      <w:r>
        <w:rPr>
          <w:rFonts w:eastAsia="黑体"/>
          <w:color w:val="auto"/>
          <w:sz w:val="24"/>
          <w:szCs w:val="28"/>
        </w:rPr>
        <w:t>本文件用词说明</w:t>
      </w:r>
      <w:bookmarkEnd w:id="149"/>
    </w:p>
    <w:p w14:paraId="3AFCA507">
      <w:pPr>
        <w:spacing w:before="240"/>
        <w:jc w:val="center"/>
        <w:rPr>
          <w:color w:val="auto"/>
        </w:rPr>
      </w:pPr>
    </w:p>
    <w:p w14:paraId="75B30A6D">
      <w:pPr>
        <w:snapToGrid w:val="0"/>
        <w:spacing w:line="340" w:lineRule="atLeast"/>
        <w:ind w:firstLine="413" w:firstLineChars="196"/>
        <w:rPr>
          <w:color w:val="auto"/>
          <w:szCs w:val="21"/>
        </w:rPr>
      </w:pPr>
      <w:r>
        <w:rPr>
          <w:b/>
          <w:bCs/>
          <w:color w:val="auto"/>
          <w:szCs w:val="21"/>
        </w:rPr>
        <w:t>1</w:t>
      </w:r>
      <w:r>
        <w:rPr>
          <w:color w:val="auto"/>
          <w:szCs w:val="21"/>
        </w:rPr>
        <w:t xml:space="preserve">  为便于在执行本文件条文时区别对待，对要求严格程度不同的用词说明如下：</w:t>
      </w:r>
    </w:p>
    <w:p w14:paraId="215F66A4">
      <w:pPr>
        <w:snapToGrid w:val="0"/>
        <w:spacing w:line="340" w:lineRule="atLeast"/>
        <w:ind w:firstLine="723" w:firstLineChars="343"/>
        <w:rPr>
          <w:color w:val="auto"/>
          <w:szCs w:val="21"/>
        </w:rPr>
      </w:pPr>
      <w:r>
        <w:rPr>
          <w:b/>
          <w:bCs/>
          <w:color w:val="auto"/>
          <w:szCs w:val="21"/>
        </w:rPr>
        <w:t>1）</w:t>
      </w:r>
      <w:r>
        <w:rPr>
          <w:color w:val="auto"/>
          <w:szCs w:val="21"/>
        </w:rPr>
        <w:t>表示很严格，非这样做不可的用词：</w:t>
      </w:r>
    </w:p>
    <w:p w14:paraId="24EF8CAD">
      <w:pPr>
        <w:snapToGrid w:val="0"/>
        <w:spacing w:line="340" w:lineRule="atLeast"/>
        <w:ind w:firstLine="420" w:firstLineChars="200"/>
        <w:rPr>
          <w:color w:val="auto"/>
          <w:szCs w:val="21"/>
        </w:rPr>
      </w:pPr>
      <w:r>
        <w:rPr>
          <w:color w:val="auto"/>
          <w:szCs w:val="21"/>
        </w:rPr>
        <w:t>正面词采用“必须”；反面词采用“严禁”。</w:t>
      </w:r>
    </w:p>
    <w:p w14:paraId="769AC975">
      <w:pPr>
        <w:snapToGrid w:val="0"/>
        <w:spacing w:line="340" w:lineRule="atLeast"/>
        <w:ind w:firstLine="723" w:firstLineChars="343"/>
        <w:rPr>
          <w:color w:val="auto"/>
          <w:szCs w:val="21"/>
        </w:rPr>
      </w:pPr>
      <w:r>
        <w:rPr>
          <w:b/>
          <w:bCs/>
          <w:color w:val="auto"/>
          <w:szCs w:val="21"/>
        </w:rPr>
        <w:t>2）</w:t>
      </w:r>
      <w:r>
        <w:rPr>
          <w:color w:val="auto"/>
          <w:szCs w:val="21"/>
        </w:rPr>
        <w:t>表示严格，在正常情况下均应这样做的用词：</w:t>
      </w:r>
    </w:p>
    <w:p w14:paraId="0AD96206">
      <w:pPr>
        <w:snapToGrid w:val="0"/>
        <w:spacing w:line="340" w:lineRule="atLeast"/>
        <w:ind w:firstLine="420" w:firstLineChars="200"/>
        <w:rPr>
          <w:color w:val="auto"/>
          <w:szCs w:val="21"/>
        </w:rPr>
      </w:pPr>
      <w:r>
        <w:rPr>
          <w:color w:val="auto"/>
          <w:szCs w:val="21"/>
        </w:rPr>
        <w:t>正面词采用“应”；反面词采用“不应”或“不得”。</w:t>
      </w:r>
    </w:p>
    <w:p w14:paraId="5874C9FF">
      <w:pPr>
        <w:snapToGrid w:val="0"/>
        <w:spacing w:line="340" w:lineRule="atLeast"/>
        <w:ind w:firstLine="723" w:firstLineChars="343"/>
        <w:rPr>
          <w:color w:val="auto"/>
          <w:szCs w:val="21"/>
        </w:rPr>
      </w:pPr>
      <w:r>
        <w:rPr>
          <w:b/>
          <w:bCs/>
          <w:color w:val="auto"/>
          <w:szCs w:val="21"/>
        </w:rPr>
        <w:t>3）</w:t>
      </w:r>
      <w:r>
        <w:rPr>
          <w:color w:val="auto"/>
          <w:szCs w:val="21"/>
        </w:rPr>
        <w:t>表示允许稍有选择，在条件许可时首先应这样做的用词：</w:t>
      </w:r>
    </w:p>
    <w:p w14:paraId="7F6C5A82">
      <w:pPr>
        <w:snapToGrid w:val="0"/>
        <w:spacing w:line="340" w:lineRule="atLeast"/>
        <w:ind w:firstLine="420" w:firstLineChars="200"/>
        <w:rPr>
          <w:color w:val="auto"/>
          <w:szCs w:val="21"/>
        </w:rPr>
      </w:pPr>
      <w:r>
        <w:rPr>
          <w:color w:val="auto"/>
          <w:szCs w:val="21"/>
        </w:rPr>
        <w:t>正面词采用“宜”；反面词采用“不宜”。</w:t>
      </w:r>
    </w:p>
    <w:p w14:paraId="160D3E56">
      <w:pPr>
        <w:snapToGrid w:val="0"/>
        <w:spacing w:line="340" w:lineRule="atLeast"/>
        <w:ind w:firstLine="723" w:firstLineChars="343"/>
        <w:rPr>
          <w:color w:val="auto"/>
          <w:szCs w:val="21"/>
        </w:rPr>
      </w:pPr>
      <w:r>
        <w:rPr>
          <w:b/>
          <w:bCs/>
          <w:color w:val="auto"/>
          <w:szCs w:val="21"/>
        </w:rPr>
        <w:t>4）</w:t>
      </w:r>
      <w:r>
        <w:rPr>
          <w:color w:val="auto"/>
          <w:szCs w:val="21"/>
        </w:rPr>
        <w:t>表示有选择，在一定条件下可以这样做的，采用“可”。</w:t>
      </w:r>
    </w:p>
    <w:p w14:paraId="14E922EB">
      <w:pPr>
        <w:snapToGrid w:val="0"/>
        <w:spacing w:line="340" w:lineRule="atLeast"/>
        <w:ind w:firstLine="413" w:firstLineChars="196"/>
        <w:rPr>
          <w:color w:val="auto"/>
          <w:szCs w:val="21"/>
        </w:rPr>
      </w:pPr>
      <w:r>
        <w:rPr>
          <w:b/>
          <w:bCs/>
          <w:color w:val="auto"/>
          <w:szCs w:val="21"/>
        </w:rPr>
        <w:t>2</w:t>
      </w:r>
      <w:r>
        <w:rPr>
          <w:color w:val="auto"/>
          <w:szCs w:val="21"/>
        </w:rPr>
        <w:t xml:space="preserve">  规范中指明应按其他有关标准执行时的写法为“应符合……的规定”或“应按……执行”。</w:t>
      </w:r>
    </w:p>
    <w:p w14:paraId="6AF755B7">
      <w:pPr>
        <w:snapToGrid w:val="0"/>
        <w:spacing w:line="340" w:lineRule="atLeast"/>
        <w:ind w:firstLine="420" w:firstLineChars="200"/>
        <w:rPr>
          <w:color w:val="auto"/>
          <w:szCs w:val="21"/>
        </w:rPr>
      </w:pPr>
    </w:p>
    <w:p w14:paraId="1709ED63">
      <w:pPr>
        <w:snapToGrid w:val="0"/>
        <w:spacing w:line="340" w:lineRule="atLeast"/>
        <w:ind w:firstLine="420" w:firstLineChars="200"/>
        <w:rPr>
          <w:color w:val="auto"/>
          <w:szCs w:val="21"/>
        </w:rPr>
      </w:pPr>
    </w:p>
    <w:p w14:paraId="2BF9548E">
      <w:pPr>
        <w:snapToGrid w:val="0"/>
        <w:spacing w:line="340" w:lineRule="atLeast"/>
        <w:ind w:firstLine="420" w:firstLineChars="200"/>
        <w:rPr>
          <w:color w:val="auto"/>
          <w:szCs w:val="21"/>
        </w:rPr>
      </w:pPr>
    </w:p>
    <w:p w14:paraId="143FB58D">
      <w:pPr>
        <w:snapToGrid w:val="0"/>
        <w:spacing w:line="340" w:lineRule="atLeast"/>
        <w:ind w:firstLine="420" w:firstLineChars="200"/>
        <w:rPr>
          <w:color w:val="auto"/>
          <w:szCs w:val="21"/>
        </w:rPr>
      </w:pPr>
    </w:p>
    <w:p w14:paraId="3A75A56E">
      <w:pPr>
        <w:rPr>
          <w:color w:val="auto"/>
        </w:rPr>
      </w:pPr>
      <w:r>
        <w:rPr>
          <w:color w:val="auto"/>
        </w:rPr>
        <w:br w:type="page"/>
      </w:r>
    </w:p>
    <w:p w14:paraId="7C1235FA">
      <w:pPr>
        <w:snapToGrid w:val="0"/>
        <w:spacing w:line="360" w:lineRule="atLeast"/>
        <w:ind w:firstLine="435"/>
        <w:jc w:val="left"/>
        <w:rPr>
          <w:color w:val="auto"/>
        </w:rPr>
      </w:pPr>
    </w:p>
    <w:p w14:paraId="0CB0B433">
      <w:pPr>
        <w:jc w:val="center"/>
        <w:rPr>
          <w:color w:val="auto"/>
        </w:rPr>
      </w:pPr>
    </w:p>
    <w:p w14:paraId="7D4F958B">
      <w:pPr>
        <w:jc w:val="center"/>
        <w:rPr>
          <w:color w:val="auto"/>
        </w:rPr>
      </w:pPr>
    </w:p>
    <w:p w14:paraId="7F559AB1">
      <w:pPr>
        <w:jc w:val="center"/>
        <w:rPr>
          <w:color w:val="auto"/>
        </w:rPr>
      </w:pPr>
    </w:p>
    <w:p w14:paraId="3D6E2541">
      <w:pPr>
        <w:jc w:val="center"/>
        <w:rPr>
          <w:color w:val="auto"/>
        </w:rPr>
      </w:pPr>
    </w:p>
    <w:p w14:paraId="37570C12">
      <w:pPr>
        <w:jc w:val="center"/>
        <w:rPr>
          <w:color w:val="auto"/>
        </w:rPr>
      </w:pPr>
    </w:p>
    <w:p w14:paraId="62D289C3">
      <w:pPr>
        <w:jc w:val="center"/>
        <w:rPr>
          <w:color w:val="auto"/>
        </w:rPr>
      </w:pPr>
    </w:p>
    <w:p w14:paraId="5DD5D40C">
      <w:pPr>
        <w:jc w:val="center"/>
        <w:rPr>
          <w:rFonts w:eastAsia="黑体"/>
          <w:color w:val="auto"/>
          <w:sz w:val="36"/>
          <w:szCs w:val="36"/>
        </w:rPr>
      </w:pPr>
      <w:r>
        <w:rPr>
          <w:rFonts w:eastAsia="黑体"/>
          <w:color w:val="auto"/>
          <w:sz w:val="36"/>
          <w:szCs w:val="36"/>
        </w:rPr>
        <w:t>湖 北 省 地 方 标 准</w:t>
      </w:r>
    </w:p>
    <w:p w14:paraId="7E15DB06">
      <w:pPr>
        <w:jc w:val="center"/>
        <w:rPr>
          <w:color w:val="auto"/>
        </w:rPr>
      </w:pPr>
    </w:p>
    <w:p w14:paraId="084AA860">
      <w:pPr>
        <w:jc w:val="center"/>
        <w:rPr>
          <w:rFonts w:eastAsia="黑体"/>
          <w:color w:val="auto"/>
          <w:sz w:val="50"/>
          <w:szCs w:val="50"/>
        </w:rPr>
      </w:pPr>
      <w:r>
        <w:rPr>
          <w:rFonts w:eastAsia="黑体"/>
          <w:color w:val="auto"/>
          <w:sz w:val="50"/>
          <w:szCs w:val="50"/>
        </w:rPr>
        <w:t>建筑地基基础技术规范</w:t>
      </w:r>
    </w:p>
    <w:p w14:paraId="15E01613">
      <w:pPr>
        <w:jc w:val="center"/>
        <w:rPr>
          <w:color w:val="auto"/>
        </w:rPr>
      </w:pPr>
    </w:p>
    <w:p w14:paraId="033F6DDF">
      <w:pPr>
        <w:jc w:val="center"/>
        <w:rPr>
          <w:b/>
          <w:color w:val="auto"/>
          <w:sz w:val="30"/>
          <w:szCs w:val="30"/>
        </w:rPr>
      </w:pPr>
      <w:r>
        <w:rPr>
          <w:b/>
          <w:color w:val="auto"/>
          <w:sz w:val="30"/>
          <w:szCs w:val="30"/>
        </w:rPr>
        <w:t>DB42/242-202x</w:t>
      </w:r>
    </w:p>
    <w:p w14:paraId="34563F3A">
      <w:pPr>
        <w:jc w:val="center"/>
        <w:rPr>
          <w:color w:val="auto"/>
        </w:rPr>
      </w:pPr>
    </w:p>
    <w:p w14:paraId="174730FE">
      <w:pPr>
        <w:jc w:val="center"/>
        <w:rPr>
          <w:color w:val="auto"/>
        </w:rPr>
      </w:pPr>
    </w:p>
    <w:p w14:paraId="149335A7">
      <w:pPr>
        <w:jc w:val="center"/>
        <w:rPr>
          <w:color w:val="auto"/>
        </w:rPr>
      </w:pPr>
    </w:p>
    <w:p w14:paraId="01153B8D">
      <w:pPr>
        <w:jc w:val="center"/>
        <w:rPr>
          <w:color w:val="auto"/>
        </w:rPr>
      </w:pPr>
    </w:p>
    <w:p w14:paraId="416D0E3F">
      <w:pPr>
        <w:jc w:val="center"/>
        <w:rPr>
          <w:rFonts w:eastAsia="黑体"/>
          <w:color w:val="auto"/>
          <w:sz w:val="44"/>
          <w:szCs w:val="44"/>
        </w:rPr>
      </w:pPr>
      <w:r>
        <w:rPr>
          <w:rFonts w:eastAsia="黑体"/>
          <w:color w:val="auto"/>
          <w:sz w:val="44"/>
          <w:szCs w:val="44"/>
        </w:rPr>
        <w:t>条 文 说 明</w:t>
      </w:r>
    </w:p>
    <w:p w14:paraId="352D469C">
      <w:pPr>
        <w:jc w:val="center"/>
        <w:rPr>
          <w:color w:val="auto"/>
        </w:rPr>
      </w:pPr>
    </w:p>
    <w:p w14:paraId="08704341">
      <w:pPr>
        <w:jc w:val="center"/>
        <w:rPr>
          <w:color w:val="auto"/>
        </w:rPr>
      </w:pPr>
    </w:p>
    <w:p w14:paraId="00AF2EBC">
      <w:pPr>
        <w:jc w:val="center"/>
        <w:rPr>
          <w:color w:val="auto"/>
        </w:rPr>
      </w:pPr>
    </w:p>
    <w:p w14:paraId="2FF938BD">
      <w:pPr>
        <w:jc w:val="center"/>
        <w:rPr>
          <w:color w:val="auto"/>
        </w:rPr>
      </w:pPr>
    </w:p>
    <w:p w14:paraId="707990BB">
      <w:pPr>
        <w:jc w:val="center"/>
        <w:rPr>
          <w:color w:val="auto"/>
        </w:rPr>
      </w:pPr>
    </w:p>
    <w:p w14:paraId="4FD50B8E">
      <w:pPr>
        <w:jc w:val="center"/>
        <w:rPr>
          <w:color w:val="auto"/>
        </w:rPr>
      </w:pPr>
    </w:p>
    <w:p w14:paraId="2BEF5963">
      <w:pPr>
        <w:jc w:val="center"/>
        <w:rPr>
          <w:color w:val="auto"/>
        </w:rPr>
      </w:pPr>
    </w:p>
    <w:p w14:paraId="436AE4FE">
      <w:pPr>
        <w:jc w:val="center"/>
        <w:rPr>
          <w:color w:val="auto"/>
        </w:rPr>
      </w:pPr>
    </w:p>
    <w:p w14:paraId="0F218D0B">
      <w:pPr>
        <w:jc w:val="center"/>
        <w:rPr>
          <w:color w:val="auto"/>
        </w:rPr>
      </w:pPr>
    </w:p>
    <w:p w14:paraId="15E00D03">
      <w:pPr>
        <w:jc w:val="center"/>
        <w:rPr>
          <w:color w:val="auto"/>
        </w:rPr>
      </w:pPr>
    </w:p>
    <w:p w14:paraId="266F75AD">
      <w:pPr>
        <w:jc w:val="center"/>
        <w:rPr>
          <w:color w:val="auto"/>
        </w:rPr>
      </w:pPr>
    </w:p>
    <w:p w14:paraId="53197FC4">
      <w:pPr>
        <w:jc w:val="center"/>
        <w:rPr>
          <w:color w:val="auto"/>
        </w:rPr>
      </w:pPr>
    </w:p>
    <w:p w14:paraId="28E3CE51">
      <w:pPr>
        <w:jc w:val="center"/>
        <w:rPr>
          <w:color w:val="auto"/>
        </w:rPr>
      </w:pPr>
    </w:p>
    <w:p w14:paraId="72340019">
      <w:pPr>
        <w:jc w:val="center"/>
        <w:rPr>
          <w:color w:val="auto"/>
        </w:rPr>
      </w:pPr>
    </w:p>
    <w:p w14:paraId="343AAA19">
      <w:pPr>
        <w:jc w:val="center"/>
        <w:rPr>
          <w:color w:val="auto"/>
        </w:rPr>
      </w:pPr>
    </w:p>
    <w:p w14:paraId="05C773F5">
      <w:pPr>
        <w:jc w:val="center"/>
        <w:rPr>
          <w:color w:val="auto"/>
        </w:rPr>
      </w:pPr>
    </w:p>
    <w:p w14:paraId="32747175">
      <w:pPr>
        <w:jc w:val="center"/>
        <w:rPr>
          <w:color w:val="auto"/>
        </w:rPr>
      </w:pPr>
    </w:p>
    <w:p w14:paraId="7F210BA0">
      <w:pPr>
        <w:jc w:val="center"/>
        <w:rPr>
          <w:color w:val="auto"/>
        </w:rPr>
      </w:pPr>
    </w:p>
    <w:p w14:paraId="782345EC">
      <w:pPr>
        <w:jc w:val="center"/>
        <w:rPr>
          <w:color w:val="auto"/>
        </w:rPr>
      </w:pPr>
    </w:p>
    <w:p w14:paraId="5754722F">
      <w:pPr>
        <w:jc w:val="center"/>
        <w:rPr>
          <w:color w:val="auto"/>
        </w:rPr>
      </w:pPr>
    </w:p>
    <w:p w14:paraId="56A7F132">
      <w:pPr>
        <w:jc w:val="center"/>
        <w:rPr>
          <w:color w:val="auto"/>
        </w:rPr>
      </w:pPr>
    </w:p>
    <w:p w14:paraId="23D5BEFC">
      <w:pPr>
        <w:jc w:val="center"/>
        <w:rPr>
          <w:color w:val="auto"/>
        </w:rPr>
      </w:pPr>
    </w:p>
    <w:p w14:paraId="42460D51">
      <w:pPr>
        <w:jc w:val="center"/>
        <w:rPr>
          <w:rFonts w:eastAsia="黑体"/>
          <w:color w:val="auto"/>
          <w:sz w:val="24"/>
        </w:rPr>
      </w:pPr>
      <w:r>
        <w:rPr>
          <w:rFonts w:eastAsia="黑体"/>
          <w:color w:val="auto"/>
          <w:sz w:val="24"/>
        </w:rPr>
        <w:br w:type="page"/>
      </w:r>
    </w:p>
    <w:p w14:paraId="4492185F">
      <w:pPr>
        <w:pStyle w:val="76"/>
        <w:jc w:val="center"/>
        <w:rPr>
          <w:rFonts w:ascii="黑体" w:hAnsi="黑体" w:eastAsia="黑体"/>
          <w:i w:val="0"/>
          <w:color w:val="auto"/>
          <w:sz w:val="21"/>
          <w:szCs w:val="21"/>
        </w:rPr>
      </w:pPr>
      <w:r>
        <w:rPr>
          <w:rFonts w:ascii="黑体" w:hAnsi="黑体" w:eastAsia="黑体"/>
          <w:i w:val="0"/>
          <w:color w:val="auto"/>
          <w:sz w:val="21"/>
          <w:szCs w:val="21"/>
          <w:lang w:val="zh-CN"/>
        </w:rPr>
        <w:t>目</w:t>
      </w:r>
      <w:r>
        <w:rPr>
          <w:rFonts w:hint="eastAsia" w:ascii="黑体" w:hAnsi="黑体" w:eastAsia="黑体"/>
          <w:i w:val="0"/>
          <w:color w:val="auto"/>
          <w:sz w:val="21"/>
          <w:szCs w:val="21"/>
          <w:lang w:val="zh-CN"/>
        </w:rPr>
        <w:t xml:space="preserve"> </w:t>
      </w:r>
      <w:r>
        <w:rPr>
          <w:rFonts w:ascii="黑体" w:hAnsi="黑体" w:eastAsia="黑体"/>
          <w:i w:val="0"/>
          <w:color w:val="auto"/>
          <w:sz w:val="21"/>
          <w:szCs w:val="21"/>
          <w:lang w:val="zh-CN"/>
        </w:rPr>
        <w:t xml:space="preserve">     次</w:t>
      </w:r>
    </w:p>
    <w:p w14:paraId="06C78BD7">
      <w:pPr>
        <w:pStyle w:val="25"/>
        <w:tabs>
          <w:tab w:val="left" w:pos="420"/>
          <w:tab w:val="right" w:leader="dot" w:pos="9128"/>
        </w:tabs>
        <w:rPr>
          <w:rFonts w:ascii="Calibri" w:hAnsi="Calibri"/>
          <w:color w:val="auto"/>
          <w:szCs w:val="22"/>
        </w:rPr>
      </w:pPr>
      <w:r>
        <w:rPr>
          <w:color w:val="auto"/>
        </w:rPr>
        <w:fldChar w:fldCharType="begin"/>
      </w:r>
      <w:r>
        <w:rPr>
          <w:color w:val="auto"/>
        </w:rPr>
        <w:instrText xml:space="preserve"> TOC \o "1-3" \h \z \u </w:instrText>
      </w:r>
      <w:r>
        <w:rPr>
          <w:color w:val="auto"/>
        </w:rPr>
        <w:fldChar w:fldCharType="separate"/>
      </w:r>
      <w:r>
        <w:rPr>
          <w:rStyle w:val="40"/>
          <w:color w:val="auto"/>
        </w:rPr>
        <w:fldChar w:fldCharType="begin"/>
      </w:r>
      <w:r>
        <w:rPr>
          <w:rStyle w:val="40"/>
          <w:color w:val="auto"/>
        </w:rPr>
        <w:instrText xml:space="preserve"> </w:instrText>
      </w:r>
      <w:r>
        <w:rPr>
          <w:color w:val="auto"/>
        </w:rPr>
        <w:instrText xml:space="preserve">HYPERLINK \l "_Toc182498967"</w:instrText>
      </w:r>
      <w:r>
        <w:rPr>
          <w:rStyle w:val="40"/>
          <w:color w:val="auto"/>
        </w:rPr>
        <w:instrText xml:space="preserve"> </w:instrText>
      </w:r>
      <w:r>
        <w:rPr>
          <w:rStyle w:val="40"/>
          <w:color w:val="auto"/>
        </w:rPr>
        <w:fldChar w:fldCharType="separate"/>
      </w:r>
      <w:r>
        <w:rPr>
          <w:rStyle w:val="40"/>
          <w:color w:val="auto"/>
        </w:rPr>
        <w:t>1</w:t>
      </w:r>
      <w:r>
        <w:rPr>
          <w:rFonts w:ascii="Calibri" w:hAnsi="Calibri"/>
          <w:color w:val="auto"/>
          <w:szCs w:val="22"/>
        </w:rPr>
        <w:tab/>
      </w:r>
      <w:r>
        <w:rPr>
          <w:rStyle w:val="40"/>
          <w:rFonts w:hint="eastAsia"/>
          <w:color w:val="auto"/>
        </w:rPr>
        <w:t>范围</w:t>
      </w:r>
      <w:r>
        <w:rPr>
          <w:color w:val="auto"/>
        </w:rPr>
        <w:tab/>
      </w:r>
      <w:r>
        <w:rPr>
          <w:color w:val="auto"/>
        </w:rPr>
        <w:fldChar w:fldCharType="begin"/>
      </w:r>
      <w:r>
        <w:rPr>
          <w:color w:val="auto"/>
        </w:rPr>
        <w:instrText xml:space="preserve"> PAGEREF _Toc182498967 \h </w:instrText>
      </w:r>
      <w:r>
        <w:rPr>
          <w:color w:val="auto"/>
        </w:rPr>
        <w:fldChar w:fldCharType="separate"/>
      </w:r>
      <w:r>
        <w:rPr>
          <w:color w:val="auto"/>
        </w:rPr>
        <w:t>161</w:t>
      </w:r>
      <w:r>
        <w:rPr>
          <w:color w:val="auto"/>
        </w:rPr>
        <w:fldChar w:fldCharType="end"/>
      </w:r>
      <w:r>
        <w:rPr>
          <w:rStyle w:val="40"/>
          <w:color w:val="auto"/>
        </w:rPr>
        <w:fldChar w:fldCharType="end"/>
      </w:r>
    </w:p>
    <w:p w14:paraId="0DC138B5">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"_Toc182498968"</w:instrText>
      </w:r>
      <w:r>
        <w:rPr>
          <w:rStyle w:val="40"/>
          <w:color w:val="auto"/>
        </w:rPr>
        <w:instrText xml:space="preserve"> </w:instrText>
      </w:r>
      <w:r>
        <w:rPr>
          <w:rStyle w:val="40"/>
          <w:color w:val="auto"/>
        </w:rPr>
        <w:fldChar w:fldCharType="separate"/>
      </w:r>
      <w:r>
        <w:rPr>
          <w:rStyle w:val="40"/>
          <w:color w:val="auto"/>
        </w:rPr>
        <w:t>2</w:t>
      </w:r>
      <w:r>
        <w:rPr>
          <w:rFonts w:ascii="Calibri" w:hAnsi="Calibri"/>
          <w:color w:val="auto"/>
          <w:szCs w:val="22"/>
        </w:rPr>
        <w:tab/>
      </w:r>
      <w:r>
        <w:rPr>
          <w:rStyle w:val="40"/>
          <w:rFonts w:hint="eastAsia"/>
          <w:color w:val="auto"/>
        </w:rPr>
        <w:t>规范性引用文件</w:t>
      </w:r>
      <w:r>
        <w:rPr>
          <w:color w:val="auto"/>
        </w:rPr>
        <w:tab/>
      </w:r>
      <w:r>
        <w:rPr>
          <w:color w:val="auto"/>
        </w:rPr>
        <w:fldChar w:fldCharType="begin"/>
      </w:r>
      <w:r>
        <w:rPr>
          <w:color w:val="auto"/>
        </w:rPr>
        <w:instrText xml:space="preserve"> PAGEREF _Toc182498968 \h </w:instrText>
      </w:r>
      <w:r>
        <w:rPr>
          <w:color w:val="auto"/>
        </w:rPr>
        <w:fldChar w:fldCharType="separate"/>
      </w:r>
      <w:r>
        <w:rPr>
          <w:color w:val="auto"/>
        </w:rPr>
        <w:t>161</w:t>
      </w:r>
      <w:r>
        <w:rPr>
          <w:color w:val="auto"/>
        </w:rPr>
        <w:fldChar w:fldCharType="end"/>
      </w:r>
      <w:r>
        <w:rPr>
          <w:rStyle w:val="40"/>
          <w:color w:val="auto"/>
        </w:rPr>
        <w:fldChar w:fldCharType="end"/>
      </w:r>
    </w:p>
    <w:p w14:paraId="51E71154">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"_Toc182498969"</w:instrText>
      </w:r>
      <w:r>
        <w:rPr>
          <w:rStyle w:val="40"/>
          <w:color w:val="auto"/>
        </w:rPr>
        <w:instrText xml:space="preserve"> </w:instrText>
      </w:r>
      <w:r>
        <w:rPr>
          <w:rStyle w:val="40"/>
          <w:color w:val="auto"/>
        </w:rPr>
        <w:fldChar w:fldCharType="separate"/>
      </w:r>
      <w:r>
        <w:rPr>
          <w:rStyle w:val="40"/>
          <w:color w:val="auto"/>
        </w:rPr>
        <w:t>3</w:t>
      </w:r>
      <w:r>
        <w:rPr>
          <w:rFonts w:ascii="Calibri" w:hAnsi="Calibri"/>
          <w:color w:val="auto"/>
          <w:szCs w:val="22"/>
        </w:rPr>
        <w:tab/>
      </w:r>
      <w:r>
        <w:rPr>
          <w:rStyle w:val="40"/>
          <w:rFonts w:hint="eastAsia"/>
          <w:color w:val="auto"/>
        </w:rPr>
        <w:t>术语和定义</w:t>
      </w:r>
      <w:r>
        <w:rPr>
          <w:color w:val="auto"/>
        </w:rPr>
        <w:tab/>
      </w:r>
      <w:r>
        <w:rPr>
          <w:color w:val="auto"/>
        </w:rPr>
        <w:fldChar w:fldCharType="begin"/>
      </w:r>
      <w:r>
        <w:rPr>
          <w:color w:val="auto"/>
        </w:rPr>
        <w:instrText xml:space="preserve"> PAGEREF _Toc182498969 \h </w:instrText>
      </w:r>
      <w:r>
        <w:rPr>
          <w:color w:val="auto"/>
        </w:rPr>
        <w:fldChar w:fldCharType="separate"/>
      </w:r>
      <w:r>
        <w:rPr>
          <w:color w:val="auto"/>
        </w:rPr>
        <w:t>161</w:t>
      </w:r>
      <w:r>
        <w:rPr>
          <w:color w:val="auto"/>
        </w:rPr>
        <w:fldChar w:fldCharType="end"/>
      </w:r>
      <w:r>
        <w:rPr>
          <w:rStyle w:val="40"/>
          <w:color w:val="auto"/>
        </w:rPr>
        <w:fldChar w:fldCharType="end"/>
      </w:r>
    </w:p>
    <w:p w14:paraId="01A9BCA5">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"_Toc182498970"</w:instrText>
      </w:r>
      <w:r>
        <w:rPr>
          <w:rStyle w:val="40"/>
          <w:color w:val="auto"/>
        </w:rPr>
        <w:instrText xml:space="preserve"> </w:instrText>
      </w:r>
      <w:r>
        <w:rPr>
          <w:rStyle w:val="40"/>
          <w:color w:val="auto"/>
        </w:rPr>
        <w:fldChar w:fldCharType="separate"/>
      </w:r>
      <w:r>
        <w:rPr>
          <w:rStyle w:val="40"/>
          <w:color w:val="auto"/>
        </w:rPr>
        <w:t>4</w:t>
      </w:r>
      <w:r>
        <w:rPr>
          <w:rFonts w:ascii="Calibri" w:hAnsi="Calibri"/>
          <w:color w:val="auto"/>
          <w:szCs w:val="22"/>
        </w:rPr>
        <w:tab/>
      </w:r>
      <w:r>
        <w:rPr>
          <w:rStyle w:val="40"/>
          <w:rFonts w:hint="eastAsia"/>
          <w:color w:val="auto"/>
        </w:rPr>
        <w:t>符号</w:t>
      </w:r>
      <w:r>
        <w:rPr>
          <w:color w:val="auto"/>
        </w:rPr>
        <w:tab/>
      </w:r>
      <w:r>
        <w:rPr>
          <w:color w:val="auto"/>
        </w:rPr>
        <w:fldChar w:fldCharType="begin"/>
      </w:r>
      <w:r>
        <w:rPr>
          <w:color w:val="auto"/>
        </w:rPr>
        <w:instrText xml:space="preserve"> PAGEREF _Toc182498970 \h </w:instrText>
      </w:r>
      <w:r>
        <w:rPr>
          <w:color w:val="auto"/>
        </w:rPr>
        <w:fldChar w:fldCharType="separate"/>
      </w:r>
      <w:r>
        <w:rPr>
          <w:color w:val="auto"/>
        </w:rPr>
        <w:t>161</w:t>
      </w:r>
      <w:r>
        <w:rPr>
          <w:color w:val="auto"/>
        </w:rPr>
        <w:fldChar w:fldCharType="end"/>
      </w:r>
      <w:r>
        <w:rPr>
          <w:rStyle w:val="40"/>
          <w:color w:val="auto"/>
        </w:rPr>
        <w:fldChar w:fldCharType="end"/>
      </w:r>
    </w:p>
    <w:p w14:paraId="628C9794">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"_Toc182498971"</w:instrText>
      </w:r>
      <w:r>
        <w:rPr>
          <w:rStyle w:val="40"/>
          <w:color w:val="auto"/>
        </w:rPr>
        <w:instrText xml:space="preserve"> </w:instrText>
      </w:r>
      <w:r>
        <w:rPr>
          <w:rStyle w:val="40"/>
          <w:color w:val="auto"/>
        </w:rPr>
        <w:fldChar w:fldCharType="separate"/>
      </w:r>
      <w:r>
        <w:rPr>
          <w:rStyle w:val="40"/>
          <w:b/>
          <w:color w:val="auto"/>
        </w:rPr>
        <w:t>5</w:t>
      </w:r>
      <w:r>
        <w:rPr>
          <w:rFonts w:ascii="Calibri" w:hAnsi="Calibri"/>
          <w:color w:val="auto"/>
          <w:szCs w:val="22"/>
        </w:rPr>
        <w:tab/>
      </w:r>
      <w:r>
        <w:rPr>
          <w:rStyle w:val="40"/>
          <w:rFonts w:hint="eastAsia"/>
          <w:b/>
          <w:color w:val="auto"/>
        </w:rPr>
        <w:t>基本规定</w:t>
      </w:r>
      <w:r>
        <w:rPr>
          <w:color w:val="auto"/>
        </w:rPr>
        <w:tab/>
      </w:r>
      <w:r>
        <w:rPr>
          <w:color w:val="auto"/>
        </w:rPr>
        <w:fldChar w:fldCharType="begin"/>
      </w:r>
      <w:r>
        <w:rPr>
          <w:color w:val="auto"/>
        </w:rPr>
        <w:instrText xml:space="preserve"> PAGEREF _Toc182498971 \h </w:instrText>
      </w:r>
      <w:r>
        <w:rPr>
          <w:color w:val="auto"/>
        </w:rPr>
        <w:fldChar w:fldCharType="separate"/>
      </w:r>
      <w:r>
        <w:rPr>
          <w:color w:val="auto"/>
        </w:rPr>
        <w:t>161</w:t>
      </w:r>
      <w:r>
        <w:rPr>
          <w:color w:val="auto"/>
        </w:rPr>
        <w:fldChar w:fldCharType="end"/>
      </w:r>
      <w:r>
        <w:rPr>
          <w:rStyle w:val="40"/>
          <w:color w:val="auto"/>
        </w:rPr>
        <w:fldChar w:fldCharType="end"/>
      </w:r>
    </w:p>
    <w:p w14:paraId="2182E1F8">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"_Toc182498972"</w:instrText>
      </w:r>
      <w:r>
        <w:rPr>
          <w:rStyle w:val="40"/>
          <w:color w:val="auto"/>
        </w:rPr>
        <w:instrText xml:space="preserve"> </w:instrText>
      </w:r>
      <w:r>
        <w:rPr>
          <w:rStyle w:val="40"/>
          <w:color w:val="auto"/>
        </w:rPr>
        <w:fldChar w:fldCharType="separate"/>
      </w:r>
      <w:r>
        <w:rPr>
          <w:rStyle w:val="40"/>
          <w:b/>
          <w:color w:val="auto"/>
        </w:rPr>
        <w:t>6</w:t>
      </w:r>
      <w:r>
        <w:rPr>
          <w:rFonts w:ascii="Calibri" w:hAnsi="Calibri"/>
          <w:color w:val="auto"/>
          <w:szCs w:val="22"/>
        </w:rPr>
        <w:tab/>
      </w:r>
      <w:r>
        <w:rPr>
          <w:rStyle w:val="40"/>
          <w:rFonts w:hint="eastAsia"/>
          <w:b/>
          <w:color w:val="auto"/>
        </w:rPr>
        <w:t>岩土分类及工程特性指标</w:t>
      </w:r>
      <w:r>
        <w:rPr>
          <w:color w:val="auto"/>
        </w:rPr>
        <w:tab/>
      </w:r>
      <w:r>
        <w:rPr>
          <w:color w:val="auto"/>
        </w:rPr>
        <w:fldChar w:fldCharType="begin"/>
      </w:r>
      <w:r>
        <w:rPr>
          <w:color w:val="auto"/>
        </w:rPr>
        <w:instrText xml:space="preserve"> PAGEREF _Toc182498972 \h </w:instrText>
      </w:r>
      <w:r>
        <w:rPr>
          <w:color w:val="auto"/>
        </w:rPr>
        <w:fldChar w:fldCharType="separate"/>
      </w:r>
      <w:r>
        <w:rPr>
          <w:color w:val="auto"/>
        </w:rPr>
        <w:t>164</w:t>
      </w:r>
      <w:r>
        <w:rPr>
          <w:color w:val="auto"/>
        </w:rPr>
        <w:fldChar w:fldCharType="end"/>
      </w:r>
      <w:r>
        <w:rPr>
          <w:rStyle w:val="40"/>
          <w:color w:val="auto"/>
        </w:rPr>
        <w:fldChar w:fldCharType="end"/>
      </w:r>
    </w:p>
    <w:p w14:paraId="522786D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"_Toc182498973"</w:instrText>
      </w:r>
      <w:r>
        <w:rPr>
          <w:rStyle w:val="40"/>
          <w:color w:val="auto"/>
        </w:rPr>
        <w:instrText xml:space="preserve"> </w:instrText>
      </w:r>
      <w:r>
        <w:rPr>
          <w:rStyle w:val="40"/>
          <w:color w:val="auto"/>
        </w:rPr>
        <w:fldChar w:fldCharType="separate"/>
      </w:r>
      <w:r>
        <w:rPr>
          <w:rStyle w:val="40"/>
          <w:color w:val="auto"/>
        </w:rPr>
        <w:t xml:space="preserve">6.1  </w:t>
      </w:r>
      <w:r>
        <w:rPr>
          <w:rStyle w:val="40"/>
          <w:rFonts w:hint="eastAsia"/>
          <w:color w:val="auto"/>
        </w:rPr>
        <w:t>岩土分类</w:t>
      </w:r>
      <w:r>
        <w:rPr>
          <w:color w:val="auto"/>
        </w:rPr>
        <w:tab/>
      </w:r>
      <w:r>
        <w:rPr>
          <w:color w:val="auto"/>
        </w:rPr>
        <w:fldChar w:fldCharType="begin"/>
      </w:r>
      <w:r>
        <w:rPr>
          <w:color w:val="auto"/>
        </w:rPr>
        <w:instrText xml:space="preserve"> PAGEREF _Toc182498973 \h </w:instrText>
      </w:r>
      <w:r>
        <w:rPr>
          <w:color w:val="auto"/>
        </w:rPr>
        <w:fldChar w:fldCharType="separate"/>
      </w:r>
      <w:r>
        <w:rPr>
          <w:color w:val="auto"/>
        </w:rPr>
        <w:t>165</w:t>
      </w:r>
      <w:r>
        <w:rPr>
          <w:color w:val="auto"/>
        </w:rPr>
        <w:fldChar w:fldCharType="end"/>
      </w:r>
      <w:r>
        <w:rPr>
          <w:rStyle w:val="40"/>
          <w:color w:val="auto"/>
        </w:rPr>
        <w:fldChar w:fldCharType="end"/>
      </w:r>
    </w:p>
    <w:p w14:paraId="42A2013A">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"_Toc182498974"</w:instrText>
      </w:r>
      <w:r>
        <w:rPr>
          <w:rStyle w:val="40"/>
          <w:color w:val="auto"/>
        </w:rPr>
        <w:instrText xml:space="preserve"> </w:instrText>
      </w:r>
      <w:r>
        <w:rPr>
          <w:rStyle w:val="40"/>
          <w:color w:val="auto"/>
        </w:rPr>
        <w:fldChar w:fldCharType="separate"/>
      </w:r>
      <w:r>
        <w:rPr>
          <w:rStyle w:val="40"/>
          <w:color w:val="auto"/>
        </w:rPr>
        <w:t xml:space="preserve">6.2  </w:t>
      </w:r>
      <w:r>
        <w:rPr>
          <w:rStyle w:val="40"/>
          <w:rFonts w:hint="eastAsia"/>
          <w:color w:val="auto"/>
        </w:rPr>
        <w:t>工程特性指标</w:t>
      </w:r>
      <w:r>
        <w:rPr>
          <w:color w:val="auto"/>
        </w:rPr>
        <w:tab/>
      </w:r>
      <w:r>
        <w:rPr>
          <w:color w:val="auto"/>
        </w:rPr>
        <w:fldChar w:fldCharType="begin"/>
      </w:r>
      <w:r>
        <w:rPr>
          <w:color w:val="auto"/>
        </w:rPr>
        <w:instrText xml:space="preserve"> PAGEREF _Toc182498974 \h </w:instrText>
      </w:r>
      <w:r>
        <w:rPr>
          <w:color w:val="auto"/>
        </w:rPr>
        <w:fldChar w:fldCharType="separate"/>
      </w:r>
      <w:r>
        <w:rPr>
          <w:color w:val="auto"/>
        </w:rPr>
        <w:t>166</w:t>
      </w:r>
      <w:r>
        <w:rPr>
          <w:color w:val="auto"/>
        </w:rPr>
        <w:fldChar w:fldCharType="end"/>
      </w:r>
      <w:r>
        <w:rPr>
          <w:rStyle w:val="40"/>
          <w:color w:val="auto"/>
        </w:rPr>
        <w:fldChar w:fldCharType="end"/>
      </w:r>
    </w:p>
    <w:p w14:paraId="5F93C14C">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"_Toc182498975"</w:instrText>
      </w:r>
      <w:r>
        <w:rPr>
          <w:rStyle w:val="40"/>
          <w:color w:val="auto"/>
        </w:rPr>
        <w:instrText xml:space="preserve"> </w:instrText>
      </w:r>
      <w:r>
        <w:rPr>
          <w:rStyle w:val="40"/>
          <w:color w:val="auto"/>
        </w:rPr>
        <w:fldChar w:fldCharType="separate"/>
      </w:r>
      <w:r>
        <w:rPr>
          <w:rStyle w:val="40"/>
          <w:color w:val="auto"/>
        </w:rPr>
        <w:t>7</w:t>
      </w:r>
      <w:r>
        <w:rPr>
          <w:rFonts w:ascii="Calibri" w:hAnsi="Calibri"/>
          <w:color w:val="auto"/>
          <w:szCs w:val="22"/>
        </w:rPr>
        <w:tab/>
      </w:r>
      <w:r>
        <w:rPr>
          <w:rStyle w:val="40"/>
          <w:rFonts w:hint="eastAsia"/>
          <w:b/>
          <w:color w:val="auto"/>
        </w:rPr>
        <w:t>天然地基设计计算</w:t>
      </w:r>
      <w:r>
        <w:rPr>
          <w:color w:val="auto"/>
        </w:rPr>
        <w:tab/>
      </w:r>
      <w:r>
        <w:rPr>
          <w:color w:val="auto"/>
        </w:rPr>
        <w:fldChar w:fldCharType="begin"/>
      </w:r>
      <w:r>
        <w:rPr>
          <w:color w:val="auto"/>
        </w:rPr>
        <w:instrText xml:space="preserve"> PAGEREF _Toc182498975 \h </w:instrText>
      </w:r>
      <w:r>
        <w:rPr>
          <w:color w:val="auto"/>
        </w:rPr>
        <w:fldChar w:fldCharType="separate"/>
      </w:r>
      <w:r>
        <w:rPr>
          <w:color w:val="auto"/>
        </w:rPr>
        <w:t>167</w:t>
      </w:r>
      <w:r>
        <w:rPr>
          <w:color w:val="auto"/>
        </w:rPr>
        <w:fldChar w:fldCharType="end"/>
      </w:r>
      <w:r>
        <w:rPr>
          <w:rStyle w:val="40"/>
          <w:color w:val="auto"/>
        </w:rPr>
        <w:fldChar w:fldCharType="end"/>
      </w:r>
    </w:p>
    <w:p w14:paraId="604E61C4">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"_Toc182498976"</w:instrText>
      </w:r>
      <w:r>
        <w:rPr>
          <w:rStyle w:val="40"/>
          <w:color w:val="auto"/>
        </w:rPr>
        <w:instrText xml:space="preserve"> </w:instrText>
      </w:r>
      <w:r>
        <w:rPr>
          <w:rStyle w:val="40"/>
          <w:color w:val="auto"/>
        </w:rPr>
        <w:fldChar w:fldCharType="separate"/>
      </w:r>
      <w:r>
        <w:rPr>
          <w:rStyle w:val="40"/>
          <w:color w:val="auto"/>
        </w:rPr>
        <w:t xml:space="preserve">7.1 </w:t>
      </w:r>
      <w:r>
        <w:rPr>
          <w:rStyle w:val="40"/>
          <w:rFonts w:hint="eastAsia"/>
          <w:color w:val="auto"/>
        </w:rPr>
        <w:t>基础埋置深度</w:t>
      </w:r>
      <w:r>
        <w:rPr>
          <w:color w:val="auto"/>
        </w:rPr>
        <w:tab/>
      </w:r>
      <w:r>
        <w:rPr>
          <w:color w:val="auto"/>
        </w:rPr>
        <w:fldChar w:fldCharType="begin"/>
      </w:r>
      <w:r>
        <w:rPr>
          <w:color w:val="auto"/>
        </w:rPr>
        <w:instrText xml:space="preserve"> PAGEREF _Toc182498976 \h </w:instrText>
      </w:r>
      <w:r>
        <w:rPr>
          <w:color w:val="auto"/>
        </w:rPr>
        <w:fldChar w:fldCharType="separate"/>
      </w:r>
      <w:r>
        <w:rPr>
          <w:color w:val="auto"/>
        </w:rPr>
        <w:t>167</w:t>
      </w:r>
      <w:r>
        <w:rPr>
          <w:color w:val="auto"/>
        </w:rPr>
        <w:fldChar w:fldCharType="end"/>
      </w:r>
      <w:r>
        <w:rPr>
          <w:rStyle w:val="40"/>
          <w:color w:val="auto"/>
        </w:rPr>
        <w:fldChar w:fldCharType="end"/>
      </w:r>
    </w:p>
    <w:p w14:paraId="3082B7F1">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"_Toc182498977"</w:instrText>
      </w:r>
      <w:r>
        <w:rPr>
          <w:rStyle w:val="40"/>
          <w:color w:val="auto"/>
        </w:rPr>
        <w:instrText xml:space="preserve"> </w:instrText>
      </w:r>
      <w:r>
        <w:rPr>
          <w:rStyle w:val="40"/>
          <w:color w:val="auto"/>
        </w:rPr>
        <w:fldChar w:fldCharType="separate"/>
      </w:r>
      <w:r>
        <w:rPr>
          <w:rStyle w:val="40"/>
          <w:color w:val="auto"/>
        </w:rPr>
        <w:t xml:space="preserve">7.2  </w:t>
      </w:r>
      <w:r>
        <w:rPr>
          <w:rStyle w:val="40"/>
          <w:rFonts w:hint="eastAsia"/>
          <w:color w:val="auto"/>
        </w:rPr>
        <w:t>承载力计算</w:t>
      </w:r>
      <w:r>
        <w:rPr>
          <w:color w:val="auto"/>
        </w:rPr>
        <w:tab/>
      </w:r>
      <w:r>
        <w:rPr>
          <w:color w:val="auto"/>
        </w:rPr>
        <w:fldChar w:fldCharType="begin"/>
      </w:r>
      <w:r>
        <w:rPr>
          <w:color w:val="auto"/>
        </w:rPr>
        <w:instrText xml:space="preserve"> PAGEREF _Toc182498977 \h </w:instrText>
      </w:r>
      <w:r>
        <w:rPr>
          <w:color w:val="auto"/>
        </w:rPr>
        <w:fldChar w:fldCharType="separate"/>
      </w:r>
      <w:r>
        <w:rPr>
          <w:color w:val="auto"/>
        </w:rPr>
        <w:t>167</w:t>
      </w:r>
      <w:r>
        <w:rPr>
          <w:color w:val="auto"/>
        </w:rPr>
        <w:fldChar w:fldCharType="end"/>
      </w:r>
      <w:r>
        <w:rPr>
          <w:rStyle w:val="40"/>
          <w:color w:val="auto"/>
        </w:rPr>
        <w:fldChar w:fldCharType="end"/>
      </w:r>
    </w:p>
    <w:p w14:paraId="7B4ECA01">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"_Toc182498978"</w:instrText>
      </w:r>
      <w:r>
        <w:rPr>
          <w:rStyle w:val="40"/>
          <w:color w:val="auto"/>
        </w:rPr>
        <w:instrText xml:space="preserve"> </w:instrText>
      </w:r>
      <w:r>
        <w:rPr>
          <w:rStyle w:val="40"/>
          <w:color w:val="auto"/>
        </w:rPr>
        <w:fldChar w:fldCharType="separate"/>
      </w:r>
      <w:r>
        <w:rPr>
          <w:rStyle w:val="40"/>
          <w:color w:val="auto"/>
        </w:rPr>
        <w:t xml:space="preserve">7.3  </w:t>
      </w:r>
      <w:r>
        <w:rPr>
          <w:rStyle w:val="40"/>
          <w:rFonts w:hint="eastAsia"/>
          <w:color w:val="auto"/>
        </w:rPr>
        <w:t>变形计算</w:t>
      </w:r>
      <w:r>
        <w:rPr>
          <w:color w:val="auto"/>
        </w:rPr>
        <w:tab/>
      </w:r>
      <w:r>
        <w:rPr>
          <w:color w:val="auto"/>
        </w:rPr>
        <w:fldChar w:fldCharType="begin"/>
      </w:r>
      <w:r>
        <w:rPr>
          <w:color w:val="auto"/>
        </w:rPr>
        <w:instrText xml:space="preserve"> PAGEREF _Toc182498978 \h </w:instrText>
      </w:r>
      <w:r>
        <w:rPr>
          <w:color w:val="auto"/>
        </w:rPr>
        <w:fldChar w:fldCharType="separate"/>
      </w:r>
      <w:r>
        <w:rPr>
          <w:color w:val="auto"/>
        </w:rPr>
        <w:t>169</w:t>
      </w:r>
      <w:r>
        <w:rPr>
          <w:color w:val="auto"/>
        </w:rPr>
        <w:fldChar w:fldCharType="end"/>
      </w:r>
      <w:r>
        <w:rPr>
          <w:rStyle w:val="40"/>
          <w:color w:val="auto"/>
        </w:rPr>
        <w:fldChar w:fldCharType="end"/>
      </w:r>
    </w:p>
    <w:p w14:paraId="6B97643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"_Toc182498979"</w:instrText>
      </w:r>
      <w:r>
        <w:rPr>
          <w:rStyle w:val="40"/>
          <w:color w:val="auto"/>
        </w:rPr>
        <w:instrText xml:space="preserve"> </w:instrText>
      </w:r>
      <w:r>
        <w:rPr>
          <w:rStyle w:val="40"/>
          <w:color w:val="auto"/>
        </w:rPr>
        <w:fldChar w:fldCharType="separate"/>
      </w:r>
      <w:r>
        <w:rPr>
          <w:rStyle w:val="40"/>
          <w:color w:val="auto"/>
        </w:rPr>
        <w:t xml:space="preserve">7.4  </w:t>
      </w:r>
      <w:r>
        <w:rPr>
          <w:rStyle w:val="40"/>
          <w:rFonts w:hint="eastAsia"/>
          <w:color w:val="auto"/>
        </w:rPr>
        <w:t>稳定性计算</w:t>
      </w:r>
      <w:r>
        <w:rPr>
          <w:color w:val="auto"/>
        </w:rPr>
        <w:tab/>
      </w:r>
      <w:r>
        <w:rPr>
          <w:color w:val="auto"/>
        </w:rPr>
        <w:fldChar w:fldCharType="begin"/>
      </w:r>
      <w:r>
        <w:rPr>
          <w:color w:val="auto"/>
        </w:rPr>
        <w:instrText xml:space="preserve"> PAGEREF _Toc182498979 \h </w:instrText>
      </w:r>
      <w:r>
        <w:rPr>
          <w:color w:val="auto"/>
        </w:rPr>
        <w:fldChar w:fldCharType="separate"/>
      </w:r>
      <w:r>
        <w:rPr>
          <w:color w:val="auto"/>
        </w:rPr>
        <w:t>172</w:t>
      </w:r>
      <w:r>
        <w:rPr>
          <w:color w:val="auto"/>
        </w:rPr>
        <w:fldChar w:fldCharType="end"/>
      </w:r>
      <w:r>
        <w:rPr>
          <w:rStyle w:val="40"/>
          <w:color w:val="auto"/>
        </w:rPr>
        <w:fldChar w:fldCharType="end"/>
      </w:r>
    </w:p>
    <w:p w14:paraId="23E01E1D">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"_Toc182498980"</w:instrText>
      </w:r>
      <w:r>
        <w:rPr>
          <w:rStyle w:val="40"/>
          <w:color w:val="auto"/>
        </w:rPr>
        <w:instrText xml:space="preserve"> </w:instrText>
      </w:r>
      <w:r>
        <w:rPr>
          <w:rStyle w:val="40"/>
          <w:color w:val="auto"/>
        </w:rPr>
        <w:fldChar w:fldCharType="separate"/>
      </w:r>
      <w:r>
        <w:rPr>
          <w:rStyle w:val="40"/>
          <w:b/>
          <w:color w:val="auto"/>
        </w:rPr>
        <w:t>8</w:t>
      </w:r>
      <w:r>
        <w:rPr>
          <w:rFonts w:ascii="Calibri" w:hAnsi="Calibri"/>
          <w:color w:val="auto"/>
          <w:szCs w:val="22"/>
        </w:rPr>
        <w:tab/>
      </w:r>
      <w:r>
        <w:rPr>
          <w:rStyle w:val="40"/>
          <w:rFonts w:hint="eastAsia"/>
          <w:b/>
          <w:color w:val="auto"/>
        </w:rPr>
        <w:t>软弱地基</w:t>
      </w:r>
      <w:r>
        <w:rPr>
          <w:color w:val="auto"/>
        </w:rPr>
        <w:tab/>
      </w:r>
      <w:r>
        <w:rPr>
          <w:color w:val="auto"/>
        </w:rPr>
        <w:fldChar w:fldCharType="begin"/>
      </w:r>
      <w:r>
        <w:rPr>
          <w:color w:val="auto"/>
        </w:rPr>
        <w:instrText xml:space="preserve"> PAGEREF _Toc182498980 \h </w:instrText>
      </w:r>
      <w:r>
        <w:rPr>
          <w:color w:val="auto"/>
        </w:rPr>
        <w:fldChar w:fldCharType="separate"/>
      </w:r>
      <w:r>
        <w:rPr>
          <w:color w:val="auto"/>
        </w:rPr>
        <w:t>172</w:t>
      </w:r>
      <w:r>
        <w:rPr>
          <w:color w:val="auto"/>
        </w:rPr>
        <w:fldChar w:fldCharType="end"/>
      </w:r>
      <w:r>
        <w:rPr>
          <w:rStyle w:val="40"/>
          <w:color w:val="auto"/>
        </w:rPr>
        <w:fldChar w:fldCharType="end"/>
      </w:r>
    </w:p>
    <w:p w14:paraId="25C6326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"_Toc182498981"</w:instrText>
      </w:r>
      <w:r>
        <w:rPr>
          <w:rStyle w:val="40"/>
          <w:color w:val="auto"/>
        </w:rPr>
        <w:instrText xml:space="preserve"> </w:instrText>
      </w:r>
      <w:r>
        <w:rPr>
          <w:rStyle w:val="40"/>
          <w:color w:val="auto"/>
        </w:rPr>
        <w:fldChar w:fldCharType="separate"/>
      </w:r>
      <w:r>
        <w:rPr>
          <w:rStyle w:val="40"/>
          <w:color w:val="auto"/>
        </w:rPr>
        <w:t xml:space="preserve">8.1  </w:t>
      </w:r>
      <w:r>
        <w:rPr>
          <w:rStyle w:val="40"/>
          <w:rFonts w:hint="eastAsia"/>
          <w:color w:val="auto"/>
        </w:rPr>
        <w:t>一般规定</w:t>
      </w:r>
      <w:r>
        <w:rPr>
          <w:color w:val="auto"/>
        </w:rPr>
        <w:tab/>
      </w:r>
      <w:r>
        <w:rPr>
          <w:color w:val="auto"/>
        </w:rPr>
        <w:fldChar w:fldCharType="begin"/>
      </w:r>
      <w:r>
        <w:rPr>
          <w:color w:val="auto"/>
        </w:rPr>
        <w:instrText xml:space="preserve"> PAGEREF _Toc182498981 \h </w:instrText>
      </w:r>
      <w:r>
        <w:rPr>
          <w:color w:val="auto"/>
        </w:rPr>
        <w:fldChar w:fldCharType="separate"/>
      </w:r>
      <w:r>
        <w:rPr>
          <w:color w:val="auto"/>
        </w:rPr>
        <w:t>172</w:t>
      </w:r>
      <w:r>
        <w:rPr>
          <w:color w:val="auto"/>
        </w:rPr>
        <w:fldChar w:fldCharType="end"/>
      </w:r>
      <w:r>
        <w:rPr>
          <w:rStyle w:val="40"/>
          <w:color w:val="auto"/>
        </w:rPr>
        <w:fldChar w:fldCharType="end"/>
      </w:r>
    </w:p>
    <w:p w14:paraId="7FD3E17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"_Toc182498982"</w:instrText>
      </w:r>
      <w:r>
        <w:rPr>
          <w:rStyle w:val="40"/>
          <w:color w:val="auto"/>
        </w:rPr>
        <w:instrText xml:space="preserve"> </w:instrText>
      </w:r>
      <w:r>
        <w:rPr>
          <w:rStyle w:val="40"/>
          <w:color w:val="auto"/>
        </w:rPr>
        <w:fldChar w:fldCharType="separate"/>
      </w:r>
      <w:r>
        <w:rPr>
          <w:rStyle w:val="40"/>
          <w:color w:val="auto"/>
        </w:rPr>
        <w:t xml:space="preserve">8.2  </w:t>
      </w:r>
      <w:r>
        <w:rPr>
          <w:rStyle w:val="40"/>
          <w:rFonts w:hint="eastAsia"/>
          <w:color w:val="auto"/>
        </w:rPr>
        <w:t>软弱地基计算</w:t>
      </w:r>
      <w:r>
        <w:rPr>
          <w:color w:val="auto"/>
        </w:rPr>
        <w:tab/>
      </w:r>
      <w:r>
        <w:rPr>
          <w:color w:val="auto"/>
        </w:rPr>
        <w:fldChar w:fldCharType="begin"/>
      </w:r>
      <w:r>
        <w:rPr>
          <w:color w:val="auto"/>
        </w:rPr>
        <w:instrText xml:space="preserve"> PAGEREF _Toc182498982 \h </w:instrText>
      </w:r>
      <w:r>
        <w:rPr>
          <w:color w:val="auto"/>
        </w:rPr>
        <w:fldChar w:fldCharType="separate"/>
      </w:r>
      <w:r>
        <w:rPr>
          <w:color w:val="auto"/>
        </w:rPr>
        <w:t>173</w:t>
      </w:r>
      <w:r>
        <w:rPr>
          <w:color w:val="auto"/>
        </w:rPr>
        <w:fldChar w:fldCharType="end"/>
      </w:r>
      <w:r>
        <w:rPr>
          <w:rStyle w:val="40"/>
          <w:color w:val="auto"/>
        </w:rPr>
        <w:fldChar w:fldCharType="end"/>
      </w:r>
    </w:p>
    <w:p w14:paraId="127F7166">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"_Toc182498983"</w:instrText>
      </w:r>
      <w:r>
        <w:rPr>
          <w:rStyle w:val="40"/>
          <w:color w:val="auto"/>
        </w:rPr>
        <w:instrText xml:space="preserve"> </w:instrText>
      </w:r>
      <w:r>
        <w:rPr>
          <w:rStyle w:val="40"/>
          <w:color w:val="auto"/>
        </w:rPr>
        <w:fldChar w:fldCharType="separate"/>
      </w:r>
      <w:r>
        <w:rPr>
          <w:rStyle w:val="40"/>
          <w:color w:val="auto"/>
        </w:rPr>
        <w:t xml:space="preserve">8.3  </w:t>
      </w:r>
      <w:r>
        <w:rPr>
          <w:rStyle w:val="40"/>
          <w:rFonts w:hint="eastAsia"/>
          <w:color w:val="auto"/>
        </w:rPr>
        <w:t>建筑措施</w:t>
      </w:r>
      <w:r>
        <w:rPr>
          <w:color w:val="auto"/>
        </w:rPr>
        <w:tab/>
      </w:r>
      <w:r>
        <w:rPr>
          <w:color w:val="auto"/>
        </w:rPr>
        <w:fldChar w:fldCharType="begin"/>
      </w:r>
      <w:r>
        <w:rPr>
          <w:color w:val="auto"/>
        </w:rPr>
        <w:instrText xml:space="preserve"> PAGEREF _Toc182498983 \h </w:instrText>
      </w:r>
      <w:r>
        <w:rPr>
          <w:color w:val="auto"/>
        </w:rPr>
        <w:fldChar w:fldCharType="separate"/>
      </w:r>
      <w:r>
        <w:rPr>
          <w:color w:val="auto"/>
        </w:rPr>
        <w:t>174</w:t>
      </w:r>
      <w:r>
        <w:rPr>
          <w:color w:val="auto"/>
        </w:rPr>
        <w:fldChar w:fldCharType="end"/>
      </w:r>
      <w:r>
        <w:rPr>
          <w:rStyle w:val="40"/>
          <w:color w:val="auto"/>
        </w:rPr>
        <w:fldChar w:fldCharType="end"/>
      </w:r>
    </w:p>
    <w:p w14:paraId="62B6AAD0">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"_Toc182498984"</w:instrText>
      </w:r>
      <w:r>
        <w:rPr>
          <w:rStyle w:val="40"/>
          <w:color w:val="auto"/>
        </w:rPr>
        <w:instrText xml:space="preserve"> </w:instrText>
      </w:r>
      <w:r>
        <w:rPr>
          <w:rStyle w:val="40"/>
          <w:color w:val="auto"/>
        </w:rPr>
        <w:fldChar w:fldCharType="separate"/>
      </w:r>
      <w:r>
        <w:rPr>
          <w:rStyle w:val="40"/>
          <w:color w:val="auto"/>
        </w:rPr>
        <w:t xml:space="preserve">8.4  </w:t>
      </w:r>
      <w:r>
        <w:rPr>
          <w:rStyle w:val="40"/>
          <w:rFonts w:hint="eastAsia"/>
          <w:color w:val="auto"/>
        </w:rPr>
        <w:t>结构措施</w:t>
      </w:r>
      <w:r>
        <w:rPr>
          <w:color w:val="auto"/>
        </w:rPr>
        <w:tab/>
      </w:r>
      <w:r>
        <w:rPr>
          <w:color w:val="auto"/>
        </w:rPr>
        <w:fldChar w:fldCharType="begin"/>
      </w:r>
      <w:r>
        <w:rPr>
          <w:color w:val="auto"/>
        </w:rPr>
        <w:instrText xml:space="preserve"> PAGEREF _Toc182498984 \h </w:instrText>
      </w:r>
      <w:r>
        <w:rPr>
          <w:color w:val="auto"/>
        </w:rPr>
        <w:fldChar w:fldCharType="separate"/>
      </w:r>
      <w:r>
        <w:rPr>
          <w:color w:val="auto"/>
        </w:rPr>
        <w:t>174</w:t>
      </w:r>
      <w:r>
        <w:rPr>
          <w:color w:val="auto"/>
        </w:rPr>
        <w:fldChar w:fldCharType="end"/>
      </w:r>
      <w:r>
        <w:rPr>
          <w:rStyle w:val="40"/>
          <w:color w:val="auto"/>
        </w:rPr>
        <w:fldChar w:fldCharType="end"/>
      </w:r>
    </w:p>
    <w:p w14:paraId="1A5369CD">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"_Toc182498985"</w:instrText>
      </w:r>
      <w:r>
        <w:rPr>
          <w:rStyle w:val="40"/>
          <w:color w:val="auto"/>
        </w:rPr>
        <w:instrText xml:space="preserve"> </w:instrText>
      </w:r>
      <w:r>
        <w:rPr>
          <w:rStyle w:val="40"/>
          <w:color w:val="auto"/>
        </w:rPr>
        <w:fldChar w:fldCharType="separate"/>
      </w:r>
      <w:r>
        <w:rPr>
          <w:rStyle w:val="40"/>
          <w:color w:val="auto"/>
        </w:rPr>
        <w:t xml:space="preserve">8.5  </w:t>
      </w:r>
      <w:r>
        <w:rPr>
          <w:rStyle w:val="40"/>
          <w:rFonts w:hint="eastAsia"/>
          <w:color w:val="auto"/>
        </w:rPr>
        <w:t>施工措施及使用维护</w:t>
      </w:r>
      <w:r>
        <w:rPr>
          <w:color w:val="auto"/>
        </w:rPr>
        <w:tab/>
      </w:r>
      <w:r>
        <w:rPr>
          <w:color w:val="auto"/>
        </w:rPr>
        <w:fldChar w:fldCharType="begin"/>
      </w:r>
      <w:r>
        <w:rPr>
          <w:color w:val="auto"/>
        </w:rPr>
        <w:instrText xml:space="preserve"> PAGEREF _Toc182498985 \h </w:instrText>
      </w:r>
      <w:r>
        <w:rPr>
          <w:color w:val="auto"/>
        </w:rPr>
        <w:fldChar w:fldCharType="separate"/>
      </w:r>
      <w:r>
        <w:rPr>
          <w:color w:val="auto"/>
        </w:rPr>
        <w:t>175</w:t>
      </w:r>
      <w:r>
        <w:rPr>
          <w:color w:val="auto"/>
        </w:rPr>
        <w:fldChar w:fldCharType="end"/>
      </w:r>
      <w:r>
        <w:rPr>
          <w:rStyle w:val="40"/>
          <w:color w:val="auto"/>
        </w:rPr>
        <w:fldChar w:fldCharType="end"/>
      </w:r>
    </w:p>
    <w:p w14:paraId="72B98E3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"_Toc182498986"</w:instrText>
      </w:r>
      <w:r>
        <w:rPr>
          <w:rStyle w:val="40"/>
          <w:color w:val="auto"/>
        </w:rPr>
        <w:instrText xml:space="preserve"> </w:instrText>
      </w:r>
      <w:r>
        <w:rPr>
          <w:rStyle w:val="40"/>
          <w:color w:val="auto"/>
        </w:rPr>
        <w:fldChar w:fldCharType="separate"/>
      </w:r>
      <w:r>
        <w:rPr>
          <w:rStyle w:val="40"/>
          <w:color w:val="auto"/>
        </w:rPr>
        <w:t xml:space="preserve">8.6  </w:t>
      </w:r>
      <w:r>
        <w:rPr>
          <w:rStyle w:val="40"/>
          <w:rFonts w:hint="eastAsia"/>
          <w:color w:val="auto"/>
        </w:rPr>
        <w:t>大面积地面荷载</w:t>
      </w:r>
      <w:r>
        <w:rPr>
          <w:color w:val="auto"/>
        </w:rPr>
        <w:tab/>
      </w:r>
      <w:r>
        <w:rPr>
          <w:color w:val="auto"/>
        </w:rPr>
        <w:fldChar w:fldCharType="begin"/>
      </w:r>
      <w:r>
        <w:rPr>
          <w:color w:val="auto"/>
        </w:rPr>
        <w:instrText xml:space="preserve"> PAGEREF _Toc182498986 \h </w:instrText>
      </w:r>
      <w:r>
        <w:rPr>
          <w:color w:val="auto"/>
        </w:rPr>
        <w:fldChar w:fldCharType="separate"/>
      </w:r>
      <w:r>
        <w:rPr>
          <w:color w:val="auto"/>
        </w:rPr>
        <w:t>175</w:t>
      </w:r>
      <w:r>
        <w:rPr>
          <w:color w:val="auto"/>
        </w:rPr>
        <w:fldChar w:fldCharType="end"/>
      </w:r>
      <w:r>
        <w:rPr>
          <w:rStyle w:val="40"/>
          <w:color w:val="auto"/>
        </w:rPr>
        <w:fldChar w:fldCharType="end"/>
      </w:r>
    </w:p>
    <w:p w14:paraId="68392771">
      <w:pPr>
        <w:pStyle w:val="25"/>
        <w:tabs>
          <w:tab w:val="left" w:pos="42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"_Toc182498987"</w:instrText>
      </w:r>
      <w:r>
        <w:rPr>
          <w:rStyle w:val="40"/>
          <w:color w:val="auto"/>
        </w:rPr>
        <w:instrText xml:space="preserve"> </w:instrText>
      </w:r>
      <w:r>
        <w:rPr>
          <w:rStyle w:val="40"/>
          <w:color w:val="auto"/>
        </w:rPr>
        <w:fldChar w:fldCharType="separate"/>
      </w:r>
      <w:r>
        <w:rPr>
          <w:rStyle w:val="40"/>
          <w:b/>
          <w:color w:val="auto"/>
        </w:rPr>
        <w:t>9</w:t>
      </w:r>
      <w:r>
        <w:rPr>
          <w:rFonts w:ascii="Calibri" w:hAnsi="Calibri"/>
          <w:color w:val="auto"/>
          <w:szCs w:val="22"/>
        </w:rPr>
        <w:tab/>
      </w:r>
      <w:r>
        <w:rPr>
          <w:rStyle w:val="40"/>
          <w:rFonts w:hint="eastAsia"/>
          <w:b/>
          <w:color w:val="auto"/>
        </w:rPr>
        <w:t>地基处理</w:t>
      </w:r>
      <w:r>
        <w:rPr>
          <w:color w:val="auto"/>
        </w:rPr>
        <w:tab/>
      </w:r>
      <w:r>
        <w:rPr>
          <w:color w:val="auto"/>
        </w:rPr>
        <w:fldChar w:fldCharType="begin"/>
      </w:r>
      <w:r>
        <w:rPr>
          <w:color w:val="auto"/>
        </w:rPr>
        <w:instrText xml:space="preserve"> PAGEREF _Toc182498987 \h </w:instrText>
      </w:r>
      <w:r>
        <w:rPr>
          <w:color w:val="auto"/>
        </w:rPr>
        <w:fldChar w:fldCharType="separate"/>
      </w:r>
      <w:r>
        <w:rPr>
          <w:color w:val="auto"/>
        </w:rPr>
        <w:t>175</w:t>
      </w:r>
      <w:r>
        <w:rPr>
          <w:color w:val="auto"/>
        </w:rPr>
        <w:fldChar w:fldCharType="end"/>
      </w:r>
      <w:r>
        <w:rPr>
          <w:rStyle w:val="40"/>
          <w:color w:val="auto"/>
        </w:rPr>
        <w:fldChar w:fldCharType="end"/>
      </w:r>
    </w:p>
    <w:p w14:paraId="13BE5DD1">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"_Toc182498988"</w:instrText>
      </w:r>
      <w:r>
        <w:rPr>
          <w:rStyle w:val="40"/>
          <w:color w:val="auto"/>
        </w:rPr>
        <w:instrText xml:space="preserve"> </w:instrText>
      </w:r>
      <w:r>
        <w:rPr>
          <w:rStyle w:val="40"/>
          <w:color w:val="auto"/>
        </w:rPr>
        <w:fldChar w:fldCharType="separate"/>
      </w:r>
      <w:r>
        <w:rPr>
          <w:rStyle w:val="40"/>
          <w:color w:val="auto"/>
        </w:rPr>
        <w:t xml:space="preserve">9.1  </w:t>
      </w:r>
      <w:r>
        <w:rPr>
          <w:rStyle w:val="40"/>
          <w:rFonts w:hint="eastAsia"/>
          <w:color w:val="auto"/>
        </w:rPr>
        <w:t>一般规定</w:t>
      </w:r>
      <w:r>
        <w:rPr>
          <w:color w:val="auto"/>
        </w:rPr>
        <w:tab/>
      </w:r>
      <w:r>
        <w:rPr>
          <w:color w:val="auto"/>
        </w:rPr>
        <w:fldChar w:fldCharType="begin"/>
      </w:r>
      <w:r>
        <w:rPr>
          <w:color w:val="auto"/>
        </w:rPr>
        <w:instrText xml:space="preserve"> PAGEREF _Toc182498988 \h </w:instrText>
      </w:r>
      <w:r>
        <w:rPr>
          <w:color w:val="auto"/>
        </w:rPr>
        <w:fldChar w:fldCharType="separate"/>
      </w:r>
      <w:r>
        <w:rPr>
          <w:color w:val="auto"/>
        </w:rPr>
        <w:t>175</w:t>
      </w:r>
      <w:r>
        <w:rPr>
          <w:color w:val="auto"/>
        </w:rPr>
        <w:fldChar w:fldCharType="end"/>
      </w:r>
      <w:r>
        <w:rPr>
          <w:rStyle w:val="40"/>
          <w:color w:val="auto"/>
        </w:rPr>
        <w:fldChar w:fldCharType="end"/>
      </w:r>
    </w:p>
    <w:p w14:paraId="70594C0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"_Toc182498989"</w:instrText>
      </w:r>
      <w:r>
        <w:rPr>
          <w:rStyle w:val="40"/>
          <w:color w:val="auto"/>
        </w:rPr>
        <w:instrText xml:space="preserve"> </w:instrText>
      </w:r>
      <w:r>
        <w:rPr>
          <w:rStyle w:val="40"/>
          <w:color w:val="auto"/>
        </w:rPr>
        <w:fldChar w:fldCharType="separate"/>
      </w:r>
      <w:r>
        <w:rPr>
          <w:rStyle w:val="40"/>
          <w:color w:val="auto"/>
        </w:rPr>
        <w:t xml:space="preserve">9.2  </w:t>
      </w:r>
      <w:r>
        <w:rPr>
          <w:rStyle w:val="40"/>
          <w:rFonts w:hint="eastAsia"/>
          <w:color w:val="auto"/>
        </w:rPr>
        <w:t>水泥土搅拌桩复合地基</w:t>
      </w:r>
      <w:r>
        <w:rPr>
          <w:color w:val="auto"/>
        </w:rPr>
        <w:tab/>
      </w:r>
      <w:r>
        <w:rPr>
          <w:color w:val="auto"/>
        </w:rPr>
        <w:fldChar w:fldCharType="begin"/>
      </w:r>
      <w:r>
        <w:rPr>
          <w:color w:val="auto"/>
        </w:rPr>
        <w:instrText xml:space="preserve"> PAGEREF _Toc182498989 \h </w:instrText>
      </w:r>
      <w:r>
        <w:rPr>
          <w:color w:val="auto"/>
        </w:rPr>
        <w:fldChar w:fldCharType="separate"/>
      </w:r>
      <w:r>
        <w:rPr>
          <w:color w:val="auto"/>
        </w:rPr>
        <w:t>176</w:t>
      </w:r>
      <w:r>
        <w:rPr>
          <w:color w:val="auto"/>
        </w:rPr>
        <w:fldChar w:fldCharType="end"/>
      </w:r>
      <w:r>
        <w:rPr>
          <w:rStyle w:val="40"/>
          <w:color w:val="auto"/>
        </w:rPr>
        <w:fldChar w:fldCharType="end"/>
      </w:r>
    </w:p>
    <w:p w14:paraId="53C70771">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"_Toc182498990"</w:instrText>
      </w:r>
      <w:r>
        <w:rPr>
          <w:rStyle w:val="40"/>
          <w:color w:val="auto"/>
        </w:rPr>
        <w:instrText xml:space="preserve"> </w:instrText>
      </w:r>
      <w:r>
        <w:rPr>
          <w:rStyle w:val="40"/>
          <w:color w:val="auto"/>
        </w:rPr>
        <w:fldChar w:fldCharType="separate"/>
      </w:r>
      <w:r>
        <w:rPr>
          <w:rStyle w:val="40"/>
          <w:color w:val="auto"/>
        </w:rPr>
        <w:t xml:space="preserve">9.3  </w:t>
      </w:r>
      <w:r>
        <w:rPr>
          <w:rStyle w:val="40"/>
          <w:rFonts w:hint="eastAsia"/>
          <w:color w:val="auto"/>
        </w:rPr>
        <w:t>混凝土桩复合地基</w:t>
      </w:r>
      <w:r>
        <w:rPr>
          <w:color w:val="auto"/>
        </w:rPr>
        <w:tab/>
      </w:r>
      <w:r>
        <w:rPr>
          <w:color w:val="auto"/>
        </w:rPr>
        <w:fldChar w:fldCharType="begin"/>
      </w:r>
      <w:r>
        <w:rPr>
          <w:color w:val="auto"/>
        </w:rPr>
        <w:instrText xml:space="preserve"> PAGEREF _Toc182498990 \h </w:instrText>
      </w:r>
      <w:r>
        <w:rPr>
          <w:color w:val="auto"/>
        </w:rPr>
        <w:fldChar w:fldCharType="separate"/>
      </w:r>
      <w:r>
        <w:rPr>
          <w:color w:val="auto"/>
        </w:rPr>
        <w:t>178</w:t>
      </w:r>
      <w:r>
        <w:rPr>
          <w:color w:val="auto"/>
        </w:rPr>
        <w:fldChar w:fldCharType="end"/>
      </w:r>
      <w:r>
        <w:rPr>
          <w:rStyle w:val="40"/>
          <w:color w:val="auto"/>
        </w:rPr>
        <w:fldChar w:fldCharType="end"/>
      </w:r>
    </w:p>
    <w:p w14:paraId="412B52AA">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"_Toc182498991"</w:instrText>
      </w:r>
      <w:r>
        <w:rPr>
          <w:rStyle w:val="40"/>
          <w:color w:val="auto"/>
        </w:rPr>
        <w:instrText xml:space="preserve"> </w:instrText>
      </w:r>
      <w:r>
        <w:rPr>
          <w:rStyle w:val="40"/>
          <w:color w:val="auto"/>
        </w:rPr>
        <w:fldChar w:fldCharType="separate"/>
      </w:r>
      <w:r>
        <w:rPr>
          <w:rStyle w:val="40"/>
          <w:color w:val="auto"/>
        </w:rPr>
        <w:t xml:space="preserve">9.4  </w:t>
      </w:r>
      <w:r>
        <w:rPr>
          <w:rStyle w:val="40"/>
          <w:rFonts w:hint="eastAsia"/>
          <w:color w:val="auto"/>
        </w:rPr>
        <w:t>石灰桩复合地基</w:t>
      </w:r>
      <w:r>
        <w:rPr>
          <w:color w:val="auto"/>
        </w:rPr>
        <w:tab/>
      </w:r>
      <w:r>
        <w:rPr>
          <w:color w:val="auto"/>
        </w:rPr>
        <w:fldChar w:fldCharType="begin"/>
      </w:r>
      <w:r>
        <w:rPr>
          <w:color w:val="auto"/>
        </w:rPr>
        <w:instrText xml:space="preserve"> PAGEREF _Toc182498991 \h </w:instrText>
      </w:r>
      <w:r>
        <w:rPr>
          <w:color w:val="auto"/>
        </w:rPr>
        <w:fldChar w:fldCharType="separate"/>
      </w:r>
      <w:r>
        <w:rPr>
          <w:color w:val="auto"/>
        </w:rPr>
        <w:t>179</w:t>
      </w:r>
      <w:r>
        <w:rPr>
          <w:color w:val="auto"/>
        </w:rPr>
        <w:fldChar w:fldCharType="end"/>
      </w:r>
      <w:r>
        <w:rPr>
          <w:rStyle w:val="40"/>
          <w:color w:val="auto"/>
        </w:rPr>
        <w:fldChar w:fldCharType="end"/>
      </w:r>
    </w:p>
    <w:p w14:paraId="49CDD05A">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"_Toc182498992"</w:instrText>
      </w:r>
      <w:r>
        <w:rPr>
          <w:rStyle w:val="40"/>
          <w:color w:val="auto"/>
        </w:rPr>
        <w:instrText xml:space="preserve"> </w:instrText>
      </w:r>
      <w:r>
        <w:rPr>
          <w:rStyle w:val="40"/>
          <w:color w:val="auto"/>
        </w:rPr>
        <w:fldChar w:fldCharType="separate"/>
      </w:r>
      <w:r>
        <w:rPr>
          <w:rStyle w:val="40"/>
          <w:color w:val="auto"/>
        </w:rPr>
        <w:t xml:space="preserve">9.5  </w:t>
      </w:r>
      <w:r>
        <w:rPr>
          <w:rStyle w:val="40"/>
          <w:rFonts w:hint="eastAsia"/>
          <w:color w:val="auto"/>
        </w:rPr>
        <w:t>强夯法和强夯置换法</w:t>
      </w:r>
      <w:r>
        <w:rPr>
          <w:color w:val="auto"/>
        </w:rPr>
        <w:tab/>
      </w:r>
      <w:r>
        <w:rPr>
          <w:color w:val="auto"/>
        </w:rPr>
        <w:fldChar w:fldCharType="begin"/>
      </w:r>
      <w:r>
        <w:rPr>
          <w:color w:val="auto"/>
        </w:rPr>
        <w:instrText xml:space="preserve"> PAGEREF _Toc182498992 \h </w:instrText>
      </w:r>
      <w:r>
        <w:rPr>
          <w:color w:val="auto"/>
        </w:rPr>
        <w:fldChar w:fldCharType="separate"/>
      </w:r>
      <w:r>
        <w:rPr>
          <w:color w:val="auto"/>
        </w:rPr>
        <w:t>180</w:t>
      </w:r>
      <w:r>
        <w:rPr>
          <w:color w:val="auto"/>
        </w:rPr>
        <w:fldChar w:fldCharType="end"/>
      </w:r>
      <w:r>
        <w:rPr>
          <w:rStyle w:val="40"/>
          <w:color w:val="auto"/>
        </w:rPr>
        <w:fldChar w:fldCharType="end"/>
      </w:r>
    </w:p>
    <w:p w14:paraId="7C096C54">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"_Toc182498993"</w:instrText>
      </w:r>
      <w:r>
        <w:rPr>
          <w:rStyle w:val="40"/>
          <w:color w:val="auto"/>
        </w:rPr>
        <w:instrText xml:space="preserve"> </w:instrText>
      </w:r>
      <w:r>
        <w:rPr>
          <w:rStyle w:val="40"/>
          <w:color w:val="auto"/>
        </w:rPr>
        <w:fldChar w:fldCharType="separate"/>
      </w:r>
      <w:r>
        <w:rPr>
          <w:rStyle w:val="40"/>
          <w:color w:val="auto"/>
        </w:rPr>
        <w:t xml:space="preserve">9.6  </w:t>
      </w:r>
      <w:r>
        <w:rPr>
          <w:rStyle w:val="40"/>
          <w:rFonts w:hint="eastAsia"/>
          <w:color w:val="auto"/>
        </w:rPr>
        <w:t>多桩型复合地基</w:t>
      </w:r>
      <w:r>
        <w:rPr>
          <w:color w:val="auto"/>
        </w:rPr>
        <w:tab/>
      </w:r>
      <w:r>
        <w:rPr>
          <w:color w:val="auto"/>
        </w:rPr>
        <w:fldChar w:fldCharType="begin"/>
      </w:r>
      <w:r>
        <w:rPr>
          <w:color w:val="auto"/>
        </w:rPr>
        <w:instrText xml:space="preserve"> PAGEREF _Toc182498993 \h </w:instrText>
      </w:r>
      <w:r>
        <w:rPr>
          <w:color w:val="auto"/>
        </w:rPr>
        <w:fldChar w:fldCharType="separate"/>
      </w:r>
      <w:r>
        <w:rPr>
          <w:color w:val="auto"/>
        </w:rPr>
        <w:t>180</w:t>
      </w:r>
      <w:r>
        <w:rPr>
          <w:color w:val="auto"/>
        </w:rPr>
        <w:fldChar w:fldCharType="end"/>
      </w:r>
      <w:r>
        <w:rPr>
          <w:rStyle w:val="40"/>
          <w:color w:val="auto"/>
        </w:rPr>
        <w:fldChar w:fldCharType="end"/>
      </w:r>
    </w:p>
    <w:p w14:paraId="272B4DDA">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"_Toc182498994"</w:instrText>
      </w:r>
      <w:r>
        <w:rPr>
          <w:rStyle w:val="40"/>
          <w:color w:val="auto"/>
        </w:rPr>
        <w:instrText xml:space="preserve"> </w:instrText>
      </w:r>
      <w:r>
        <w:rPr>
          <w:rStyle w:val="40"/>
          <w:color w:val="auto"/>
        </w:rPr>
        <w:fldChar w:fldCharType="separate"/>
      </w:r>
      <w:r>
        <w:rPr>
          <w:rStyle w:val="40"/>
          <w:color w:val="auto"/>
        </w:rPr>
        <w:t>10</w:t>
      </w:r>
      <w:r>
        <w:rPr>
          <w:rFonts w:ascii="Calibri" w:hAnsi="Calibri"/>
          <w:color w:val="auto"/>
          <w:szCs w:val="22"/>
        </w:rPr>
        <w:tab/>
      </w:r>
      <w:r>
        <w:rPr>
          <w:rStyle w:val="40"/>
          <w:rFonts w:hint="eastAsia"/>
          <w:b/>
          <w:color w:val="auto"/>
        </w:rPr>
        <w:t>山区地基</w:t>
      </w:r>
      <w:r>
        <w:rPr>
          <w:color w:val="auto"/>
        </w:rPr>
        <w:tab/>
      </w:r>
      <w:r>
        <w:rPr>
          <w:color w:val="auto"/>
        </w:rPr>
        <w:fldChar w:fldCharType="begin"/>
      </w:r>
      <w:r>
        <w:rPr>
          <w:color w:val="auto"/>
        </w:rPr>
        <w:instrText xml:space="preserve"> PAGEREF _Toc182498994 \h </w:instrText>
      </w:r>
      <w:r>
        <w:rPr>
          <w:color w:val="auto"/>
        </w:rPr>
        <w:fldChar w:fldCharType="separate"/>
      </w:r>
      <w:r>
        <w:rPr>
          <w:color w:val="auto"/>
        </w:rPr>
        <w:t>180</w:t>
      </w:r>
      <w:r>
        <w:rPr>
          <w:color w:val="auto"/>
        </w:rPr>
        <w:fldChar w:fldCharType="end"/>
      </w:r>
      <w:r>
        <w:rPr>
          <w:rStyle w:val="40"/>
          <w:color w:val="auto"/>
        </w:rPr>
        <w:fldChar w:fldCharType="end"/>
      </w:r>
    </w:p>
    <w:p w14:paraId="64DB644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"_Toc182498995"</w:instrText>
      </w:r>
      <w:r>
        <w:rPr>
          <w:rStyle w:val="40"/>
          <w:color w:val="auto"/>
        </w:rPr>
        <w:instrText xml:space="preserve"> </w:instrText>
      </w:r>
      <w:r>
        <w:rPr>
          <w:rStyle w:val="40"/>
          <w:color w:val="auto"/>
        </w:rPr>
        <w:fldChar w:fldCharType="separate"/>
      </w:r>
      <w:r>
        <w:rPr>
          <w:rStyle w:val="40"/>
          <w:color w:val="auto"/>
        </w:rPr>
        <w:t xml:space="preserve">10.1  </w:t>
      </w:r>
      <w:r>
        <w:rPr>
          <w:rStyle w:val="40"/>
          <w:rFonts w:hint="eastAsia"/>
          <w:color w:val="auto"/>
        </w:rPr>
        <w:t>一般规定</w:t>
      </w:r>
      <w:r>
        <w:rPr>
          <w:color w:val="auto"/>
        </w:rPr>
        <w:tab/>
      </w:r>
      <w:r>
        <w:rPr>
          <w:color w:val="auto"/>
        </w:rPr>
        <w:fldChar w:fldCharType="begin"/>
      </w:r>
      <w:r>
        <w:rPr>
          <w:color w:val="auto"/>
        </w:rPr>
        <w:instrText xml:space="preserve"> PAGEREF _Toc182498995 \h </w:instrText>
      </w:r>
      <w:r>
        <w:rPr>
          <w:color w:val="auto"/>
        </w:rPr>
        <w:fldChar w:fldCharType="separate"/>
      </w:r>
      <w:r>
        <w:rPr>
          <w:color w:val="auto"/>
        </w:rPr>
        <w:t>180</w:t>
      </w:r>
      <w:r>
        <w:rPr>
          <w:color w:val="auto"/>
        </w:rPr>
        <w:fldChar w:fldCharType="end"/>
      </w:r>
      <w:r>
        <w:rPr>
          <w:rStyle w:val="40"/>
          <w:color w:val="auto"/>
        </w:rPr>
        <w:fldChar w:fldCharType="end"/>
      </w:r>
    </w:p>
    <w:p w14:paraId="6BC43256">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"_Toc182498996"</w:instrText>
      </w:r>
      <w:r>
        <w:rPr>
          <w:rStyle w:val="40"/>
          <w:color w:val="auto"/>
        </w:rPr>
        <w:instrText xml:space="preserve"> </w:instrText>
      </w:r>
      <w:r>
        <w:rPr>
          <w:rStyle w:val="40"/>
          <w:color w:val="auto"/>
        </w:rPr>
        <w:fldChar w:fldCharType="separate"/>
      </w:r>
      <w:r>
        <w:rPr>
          <w:rStyle w:val="40"/>
          <w:rFonts w:ascii="黑体" w:hAnsi="黑体"/>
          <w:color w:val="auto"/>
        </w:rPr>
        <w:t xml:space="preserve">10.2  </w:t>
      </w:r>
      <w:r>
        <w:rPr>
          <w:rStyle w:val="40"/>
          <w:rFonts w:hint="eastAsia"/>
          <w:color w:val="auto"/>
        </w:rPr>
        <w:t>勘察要求</w:t>
      </w:r>
      <w:r>
        <w:rPr>
          <w:color w:val="auto"/>
        </w:rPr>
        <w:tab/>
      </w:r>
      <w:r>
        <w:rPr>
          <w:color w:val="auto"/>
        </w:rPr>
        <w:fldChar w:fldCharType="begin"/>
      </w:r>
      <w:r>
        <w:rPr>
          <w:color w:val="auto"/>
        </w:rPr>
        <w:instrText xml:space="preserve"> PAGEREF _Toc182498996 \h </w:instrText>
      </w:r>
      <w:r>
        <w:rPr>
          <w:color w:val="auto"/>
        </w:rPr>
        <w:fldChar w:fldCharType="separate"/>
      </w:r>
      <w:r>
        <w:rPr>
          <w:color w:val="auto"/>
        </w:rPr>
        <w:t>180</w:t>
      </w:r>
      <w:r>
        <w:rPr>
          <w:color w:val="auto"/>
        </w:rPr>
        <w:fldChar w:fldCharType="end"/>
      </w:r>
      <w:r>
        <w:rPr>
          <w:rStyle w:val="40"/>
          <w:color w:val="auto"/>
        </w:rPr>
        <w:fldChar w:fldCharType="end"/>
      </w:r>
    </w:p>
    <w:p w14:paraId="7E5F423F">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"_Toc182498997"</w:instrText>
      </w:r>
      <w:r>
        <w:rPr>
          <w:rStyle w:val="40"/>
          <w:color w:val="auto"/>
        </w:rPr>
        <w:instrText xml:space="preserve"> </w:instrText>
      </w:r>
      <w:r>
        <w:rPr>
          <w:rStyle w:val="40"/>
          <w:color w:val="auto"/>
        </w:rPr>
        <w:fldChar w:fldCharType="separate"/>
      </w:r>
      <w:r>
        <w:rPr>
          <w:rStyle w:val="40"/>
          <w:rFonts w:ascii="黑体" w:hAnsi="黑体"/>
          <w:color w:val="auto"/>
        </w:rPr>
        <w:t>10.3</w:t>
      </w:r>
      <w:r>
        <w:rPr>
          <w:rStyle w:val="40"/>
          <w:color w:val="auto"/>
        </w:rPr>
        <w:t xml:space="preserve">  </w:t>
      </w:r>
      <w:r>
        <w:rPr>
          <w:rStyle w:val="40"/>
          <w:rFonts w:hint="eastAsia"/>
          <w:color w:val="auto"/>
        </w:rPr>
        <w:t>岩石地基</w:t>
      </w:r>
      <w:r>
        <w:rPr>
          <w:color w:val="auto"/>
        </w:rPr>
        <w:tab/>
      </w:r>
      <w:r>
        <w:rPr>
          <w:color w:val="auto"/>
        </w:rPr>
        <w:fldChar w:fldCharType="begin"/>
      </w:r>
      <w:r>
        <w:rPr>
          <w:color w:val="auto"/>
        </w:rPr>
        <w:instrText xml:space="preserve"> PAGEREF _Toc182498997 \h </w:instrText>
      </w:r>
      <w:r>
        <w:rPr>
          <w:color w:val="auto"/>
        </w:rPr>
        <w:fldChar w:fldCharType="separate"/>
      </w:r>
      <w:r>
        <w:rPr>
          <w:color w:val="auto"/>
        </w:rPr>
        <w:t>181</w:t>
      </w:r>
      <w:r>
        <w:rPr>
          <w:color w:val="auto"/>
        </w:rPr>
        <w:fldChar w:fldCharType="end"/>
      </w:r>
      <w:r>
        <w:rPr>
          <w:rStyle w:val="40"/>
          <w:color w:val="auto"/>
        </w:rPr>
        <w:fldChar w:fldCharType="end"/>
      </w:r>
    </w:p>
    <w:p w14:paraId="0E6941E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"_Toc182498998"</w:instrText>
      </w:r>
      <w:r>
        <w:rPr>
          <w:rStyle w:val="40"/>
          <w:color w:val="auto"/>
        </w:rPr>
        <w:instrText xml:space="preserve"> </w:instrText>
      </w:r>
      <w:r>
        <w:rPr>
          <w:rStyle w:val="40"/>
          <w:color w:val="auto"/>
        </w:rPr>
        <w:fldChar w:fldCharType="separate"/>
      </w:r>
      <w:r>
        <w:rPr>
          <w:rStyle w:val="40"/>
          <w:color w:val="auto"/>
        </w:rPr>
        <w:t xml:space="preserve">10.4  </w:t>
      </w:r>
      <w:r>
        <w:rPr>
          <w:rStyle w:val="40"/>
          <w:rFonts w:hint="eastAsia"/>
          <w:color w:val="auto"/>
        </w:rPr>
        <w:t>土岩组合地基</w:t>
      </w:r>
      <w:r>
        <w:rPr>
          <w:color w:val="auto"/>
        </w:rPr>
        <w:tab/>
      </w:r>
      <w:r>
        <w:rPr>
          <w:color w:val="auto"/>
        </w:rPr>
        <w:fldChar w:fldCharType="begin"/>
      </w:r>
      <w:r>
        <w:rPr>
          <w:color w:val="auto"/>
        </w:rPr>
        <w:instrText xml:space="preserve"> PAGEREF _Toc182498998 \h </w:instrText>
      </w:r>
      <w:r>
        <w:rPr>
          <w:color w:val="auto"/>
        </w:rPr>
        <w:fldChar w:fldCharType="separate"/>
      </w:r>
      <w:r>
        <w:rPr>
          <w:color w:val="auto"/>
        </w:rPr>
        <w:t>181</w:t>
      </w:r>
      <w:r>
        <w:rPr>
          <w:color w:val="auto"/>
        </w:rPr>
        <w:fldChar w:fldCharType="end"/>
      </w:r>
      <w:r>
        <w:rPr>
          <w:rStyle w:val="40"/>
          <w:color w:val="auto"/>
        </w:rPr>
        <w:fldChar w:fldCharType="end"/>
      </w:r>
    </w:p>
    <w:p w14:paraId="4E90841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"_Toc182498999"</w:instrText>
      </w:r>
      <w:r>
        <w:rPr>
          <w:rStyle w:val="40"/>
          <w:color w:val="auto"/>
        </w:rPr>
        <w:instrText xml:space="preserve"> </w:instrText>
      </w:r>
      <w:r>
        <w:rPr>
          <w:rStyle w:val="40"/>
          <w:color w:val="auto"/>
        </w:rPr>
        <w:fldChar w:fldCharType="separate"/>
      </w:r>
      <w:r>
        <w:rPr>
          <w:rStyle w:val="40"/>
          <w:color w:val="auto"/>
        </w:rPr>
        <w:t xml:space="preserve">10.5  </w:t>
      </w:r>
      <w:r>
        <w:rPr>
          <w:rStyle w:val="40"/>
          <w:rFonts w:hint="eastAsia"/>
          <w:color w:val="auto"/>
        </w:rPr>
        <w:t>岩土边坡治理</w:t>
      </w:r>
      <w:r>
        <w:rPr>
          <w:color w:val="auto"/>
        </w:rPr>
        <w:tab/>
      </w:r>
      <w:r>
        <w:rPr>
          <w:color w:val="auto"/>
        </w:rPr>
        <w:fldChar w:fldCharType="begin"/>
      </w:r>
      <w:r>
        <w:rPr>
          <w:color w:val="auto"/>
        </w:rPr>
        <w:instrText xml:space="preserve"> PAGEREF _Toc182498999 \h </w:instrText>
      </w:r>
      <w:r>
        <w:rPr>
          <w:color w:val="auto"/>
        </w:rPr>
        <w:fldChar w:fldCharType="separate"/>
      </w:r>
      <w:r>
        <w:rPr>
          <w:color w:val="auto"/>
        </w:rPr>
        <w:t>181</w:t>
      </w:r>
      <w:r>
        <w:rPr>
          <w:color w:val="auto"/>
        </w:rPr>
        <w:fldChar w:fldCharType="end"/>
      </w:r>
      <w:r>
        <w:rPr>
          <w:rStyle w:val="40"/>
          <w:color w:val="auto"/>
        </w:rPr>
        <w:fldChar w:fldCharType="end"/>
      </w:r>
    </w:p>
    <w:p w14:paraId="45C3C973">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"_Toc182499000"</w:instrText>
      </w:r>
      <w:r>
        <w:rPr>
          <w:rStyle w:val="40"/>
          <w:color w:val="auto"/>
        </w:rPr>
        <w:instrText xml:space="preserve"> </w:instrText>
      </w:r>
      <w:r>
        <w:rPr>
          <w:rStyle w:val="40"/>
          <w:color w:val="auto"/>
        </w:rPr>
        <w:fldChar w:fldCharType="separate"/>
      </w:r>
      <w:r>
        <w:rPr>
          <w:rStyle w:val="40"/>
          <w:color w:val="auto"/>
        </w:rPr>
        <w:t xml:space="preserve">10.6  </w:t>
      </w:r>
      <w:r>
        <w:rPr>
          <w:rStyle w:val="40"/>
          <w:rFonts w:hint="eastAsia"/>
          <w:color w:val="auto"/>
        </w:rPr>
        <w:t>压实填土地基</w:t>
      </w:r>
      <w:r>
        <w:rPr>
          <w:color w:val="auto"/>
        </w:rPr>
        <w:tab/>
      </w:r>
      <w:r>
        <w:rPr>
          <w:color w:val="auto"/>
        </w:rPr>
        <w:fldChar w:fldCharType="begin"/>
      </w:r>
      <w:r>
        <w:rPr>
          <w:color w:val="auto"/>
        </w:rPr>
        <w:instrText xml:space="preserve"> PAGEREF _Toc182499000 \h </w:instrText>
      </w:r>
      <w:r>
        <w:rPr>
          <w:color w:val="auto"/>
        </w:rPr>
        <w:fldChar w:fldCharType="separate"/>
      </w:r>
      <w:r>
        <w:rPr>
          <w:color w:val="auto"/>
        </w:rPr>
        <w:t>181</w:t>
      </w:r>
      <w:r>
        <w:rPr>
          <w:color w:val="auto"/>
        </w:rPr>
        <w:fldChar w:fldCharType="end"/>
      </w:r>
      <w:r>
        <w:rPr>
          <w:rStyle w:val="40"/>
          <w:color w:val="auto"/>
        </w:rPr>
        <w:fldChar w:fldCharType="end"/>
      </w:r>
    </w:p>
    <w:p w14:paraId="4CA12ECC">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"_Toc182499001"</w:instrText>
      </w:r>
      <w:r>
        <w:rPr>
          <w:rStyle w:val="40"/>
          <w:color w:val="auto"/>
        </w:rPr>
        <w:instrText xml:space="preserve"> </w:instrText>
      </w:r>
      <w:r>
        <w:rPr>
          <w:rStyle w:val="40"/>
          <w:color w:val="auto"/>
        </w:rPr>
        <w:fldChar w:fldCharType="separate"/>
      </w:r>
      <w:r>
        <w:rPr>
          <w:rStyle w:val="40"/>
          <w:b/>
          <w:color w:val="auto"/>
        </w:rPr>
        <w:t>11</w:t>
      </w:r>
      <w:r>
        <w:rPr>
          <w:rFonts w:ascii="Calibri" w:hAnsi="Calibri"/>
          <w:color w:val="auto"/>
          <w:szCs w:val="22"/>
        </w:rPr>
        <w:tab/>
      </w:r>
      <w:r>
        <w:rPr>
          <w:rStyle w:val="40"/>
          <w:rFonts w:hint="eastAsia"/>
          <w:b/>
          <w:color w:val="auto"/>
        </w:rPr>
        <w:t>特殊土地基及特殊场地</w:t>
      </w:r>
      <w:r>
        <w:rPr>
          <w:color w:val="auto"/>
        </w:rPr>
        <w:tab/>
      </w:r>
      <w:r>
        <w:rPr>
          <w:color w:val="auto"/>
        </w:rPr>
        <w:fldChar w:fldCharType="begin"/>
      </w:r>
      <w:r>
        <w:rPr>
          <w:color w:val="auto"/>
        </w:rPr>
        <w:instrText xml:space="preserve"> PAGEREF _Toc182499001 \h </w:instrText>
      </w:r>
      <w:r>
        <w:rPr>
          <w:color w:val="auto"/>
        </w:rPr>
        <w:fldChar w:fldCharType="separate"/>
      </w:r>
      <w:r>
        <w:rPr>
          <w:color w:val="auto"/>
        </w:rPr>
        <w:t>182</w:t>
      </w:r>
      <w:r>
        <w:rPr>
          <w:color w:val="auto"/>
        </w:rPr>
        <w:fldChar w:fldCharType="end"/>
      </w:r>
      <w:r>
        <w:rPr>
          <w:rStyle w:val="40"/>
          <w:color w:val="auto"/>
        </w:rPr>
        <w:fldChar w:fldCharType="end"/>
      </w:r>
    </w:p>
    <w:p w14:paraId="3BD32E1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"_Toc182499002"</w:instrText>
      </w:r>
      <w:r>
        <w:rPr>
          <w:rStyle w:val="40"/>
          <w:color w:val="auto"/>
        </w:rPr>
        <w:instrText xml:space="preserve"> </w:instrText>
      </w:r>
      <w:r>
        <w:rPr>
          <w:rStyle w:val="40"/>
          <w:color w:val="auto"/>
        </w:rPr>
        <w:fldChar w:fldCharType="separate"/>
      </w:r>
      <w:r>
        <w:rPr>
          <w:rStyle w:val="40"/>
          <w:color w:val="auto"/>
        </w:rPr>
        <w:t xml:space="preserve">11.1  </w:t>
      </w:r>
      <w:r>
        <w:rPr>
          <w:rStyle w:val="40"/>
          <w:rFonts w:hint="eastAsia"/>
          <w:color w:val="auto"/>
        </w:rPr>
        <w:t>膨胀土地基</w:t>
      </w:r>
      <w:r>
        <w:rPr>
          <w:color w:val="auto"/>
        </w:rPr>
        <w:tab/>
      </w:r>
      <w:r>
        <w:rPr>
          <w:color w:val="auto"/>
        </w:rPr>
        <w:fldChar w:fldCharType="begin"/>
      </w:r>
      <w:r>
        <w:rPr>
          <w:color w:val="auto"/>
        </w:rPr>
        <w:instrText xml:space="preserve"> PAGEREF _Toc182499002 \h </w:instrText>
      </w:r>
      <w:r>
        <w:rPr>
          <w:color w:val="auto"/>
        </w:rPr>
        <w:fldChar w:fldCharType="separate"/>
      </w:r>
      <w:r>
        <w:rPr>
          <w:color w:val="auto"/>
        </w:rPr>
        <w:t>182</w:t>
      </w:r>
      <w:r>
        <w:rPr>
          <w:color w:val="auto"/>
        </w:rPr>
        <w:fldChar w:fldCharType="end"/>
      </w:r>
      <w:r>
        <w:rPr>
          <w:rStyle w:val="40"/>
          <w:color w:val="auto"/>
        </w:rPr>
        <w:fldChar w:fldCharType="end"/>
      </w:r>
    </w:p>
    <w:p w14:paraId="3DE9F829">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"_Toc182499003"</w:instrText>
      </w:r>
      <w:r>
        <w:rPr>
          <w:rStyle w:val="40"/>
          <w:color w:val="auto"/>
        </w:rPr>
        <w:instrText xml:space="preserve"> </w:instrText>
      </w:r>
      <w:r>
        <w:rPr>
          <w:rStyle w:val="40"/>
          <w:color w:val="auto"/>
        </w:rPr>
        <w:fldChar w:fldCharType="separate"/>
      </w:r>
      <w:r>
        <w:rPr>
          <w:rStyle w:val="40"/>
          <w:color w:val="auto"/>
        </w:rPr>
        <w:t xml:space="preserve">11.2  </w:t>
      </w:r>
      <w:r>
        <w:rPr>
          <w:rStyle w:val="40"/>
          <w:rFonts w:hint="eastAsia"/>
          <w:color w:val="auto"/>
        </w:rPr>
        <w:t>红黏土地基</w:t>
      </w:r>
      <w:r>
        <w:rPr>
          <w:color w:val="auto"/>
        </w:rPr>
        <w:tab/>
      </w:r>
      <w:r>
        <w:rPr>
          <w:color w:val="auto"/>
        </w:rPr>
        <w:fldChar w:fldCharType="begin"/>
      </w:r>
      <w:r>
        <w:rPr>
          <w:color w:val="auto"/>
        </w:rPr>
        <w:instrText xml:space="preserve"> PAGEREF _Toc182499003 \h </w:instrText>
      </w:r>
      <w:r>
        <w:rPr>
          <w:color w:val="auto"/>
        </w:rPr>
        <w:fldChar w:fldCharType="separate"/>
      </w:r>
      <w:r>
        <w:rPr>
          <w:color w:val="auto"/>
        </w:rPr>
        <w:t>191</w:t>
      </w:r>
      <w:r>
        <w:rPr>
          <w:color w:val="auto"/>
        </w:rPr>
        <w:fldChar w:fldCharType="end"/>
      </w:r>
      <w:r>
        <w:rPr>
          <w:rStyle w:val="40"/>
          <w:color w:val="auto"/>
        </w:rPr>
        <w:fldChar w:fldCharType="end"/>
      </w:r>
    </w:p>
    <w:p w14:paraId="421296EF">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"_Toc182499004"</w:instrText>
      </w:r>
      <w:r>
        <w:rPr>
          <w:rStyle w:val="40"/>
          <w:color w:val="auto"/>
        </w:rPr>
        <w:instrText xml:space="preserve"> </w:instrText>
      </w:r>
      <w:r>
        <w:rPr>
          <w:rStyle w:val="40"/>
          <w:color w:val="auto"/>
        </w:rPr>
        <w:fldChar w:fldCharType="separate"/>
      </w:r>
      <w:r>
        <w:rPr>
          <w:rStyle w:val="40"/>
          <w:color w:val="auto"/>
        </w:rPr>
        <w:t xml:space="preserve">11.3  </w:t>
      </w:r>
      <w:r>
        <w:rPr>
          <w:rStyle w:val="40"/>
          <w:rFonts w:hint="eastAsia"/>
          <w:color w:val="auto"/>
        </w:rPr>
        <w:t>岩溶、土洞及地面塌陷场地</w:t>
      </w:r>
      <w:r>
        <w:rPr>
          <w:color w:val="auto"/>
        </w:rPr>
        <w:tab/>
      </w:r>
      <w:r>
        <w:rPr>
          <w:color w:val="auto"/>
        </w:rPr>
        <w:fldChar w:fldCharType="begin"/>
      </w:r>
      <w:r>
        <w:rPr>
          <w:color w:val="auto"/>
        </w:rPr>
        <w:instrText xml:space="preserve"> PAGEREF _Toc182499004 \h </w:instrText>
      </w:r>
      <w:r>
        <w:rPr>
          <w:color w:val="auto"/>
        </w:rPr>
        <w:fldChar w:fldCharType="separate"/>
      </w:r>
      <w:r>
        <w:rPr>
          <w:color w:val="auto"/>
        </w:rPr>
        <w:t>191</w:t>
      </w:r>
      <w:r>
        <w:rPr>
          <w:color w:val="auto"/>
        </w:rPr>
        <w:fldChar w:fldCharType="end"/>
      </w:r>
      <w:r>
        <w:rPr>
          <w:rStyle w:val="40"/>
          <w:color w:val="auto"/>
        </w:rPr>
        <w:fldChar w:fldCharType="end"/>
      </w:r>
    </w:p>
    <w:p w14:paraId="1102776B">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"_Toc182499005"</w:instrText>
      </w:r>
      <w:r>
        <w:rPr>
          <w:rStyle w:val="40"/>
          <w:color w:val="auto"/>
        </w:rPr>
        <w:instrText xml:space="preserve"> </w:instrText>
      </w:r>
      <w:r>
        <w:rPr>
          <w:rStyle w:val="40"/>
          <w:color w:val="auto"/>
        </w:rPr>
        <w:fldChar w:fldCharType="separate"/>
      </w:r>
      <w:r>
        <w:rPr>
          <w:rStyle w:val="40"/>
          <w:color w:val="auto"/>
        </w:rPr>
        <w:t xml:space="preserve">11.4  </w:t>
      </w:r>
      <w:r>
        <w:rPr>
          <w:rStyle w:val="40"/>
          <w:rFonts w:hint="eastAsia"/>
          <w:color w:val="auto"/>
        </w:rPr>
        <w:t>采空区场地</w:t>
      </w:r>
      <w:r>
        <w:rPr>
          <w:color w:val="auto"/>
        </w:rPr>
        <w:tab/>
      </w:r>
      <w:r>
        <w:rPr>
          <w:color w:val="auto"/>
        </w:rPr>
        <w:fldChar w:fldCharType="begin"/>
      </w:r>
      <w:r>
        <w:rPr>
          <w:color w:val="auto"/>
        </w:rPr>
        <w:instrText xml:space="preserve"> PAGEREF _Toc182499005 \h </w:instrText>
      </w:r>
      <w:r>
        <w:rPr>
          <w:color w:val="auto"/>
        </w:rPr>
        <w:fldChar w:fldCharType="separate"/>
      </w:r>
      <w:r>
        <w:rPr>
          <w:color w:val="auto"/>
        </w:rPr>
        <w:t>192</w:t>
      </w:r>
      <w:r>
        <w:rPr>
          <w:color w:val="auto"/>
        </w:rPr>
        <w:fldChar w:fldCharType="end"/>
      </w:r>
      <w:r>
        <w:rPr>
          <w:rStyle w:val="40"/>
          <w:color w:val="auto"/>
        </w:rPr>
        <w:fldChar w:fldCharType="end"/>
      </w:r>
    </w:p>
    <w:p w14:paraId="2EC5A7F2">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"_Toc182499006"</w:instrText>
      </w:r>
      <w:r>
        <w:rPr>
          <w:rStyle w:val="40"/>
          <w:color w:val="auto"/>
        </w:rPr>
        <w:instrText xml:space="preserve"> </w:instrText>
      </w:r>
      <w:r>
        <w:rPr>
          <w:rStyle w:val="40"/>
          <w:color w:val="auto"/>
        </w:rPr>
        <w:fldChar w:fldCharType="separate"/>
      </w:r>
      <w:r>
        <w:rPr>
          <w:rStyle w:val="40"/>
          <w:color w:val="auto"/>
        </w:rPr>
        <w:t xml:space="preserve">11.5  </w:t>
      </w:r>
      <w:r>
        <w:rPr>
          <w:rStyle w:val="40"/>
          <w:rFonts w:hint="eastAsia"/>
          <w:color w:val="auto"/>
        </w:rPr>
        <w:t>城市人防洞室</w:t>
      </w:r>
      <w:r>
        <w:rPr>
          <w:color w:val="auto"/>
        </w:rPr>
        <w:tab/>
      </w:r>
      <w:r>
        <w:rPr>
          <w:color w:val="auto"/>
        </w:rPr>
        <w:fldChar w:fldCharType="begin"/>
      </w:r>
      <w:r>
        <w:rPr>
          <w:color w:val="auto"/>
        </w:rPr>
        <w:instrText xml:space="preserve"> PAGEREF _Toc182499006 \h </w:instrText>
      </w:r>
      <w:r>
        <w:rPr>
          <w:color w:val="auto"/>
        </w:rPr>
        <w:fldChar w:fldCharType="separate"/>
      </w:r>
      <w:r>
        <w:rPr>
          <w:color w:val="auto"/>
        </w:rPr>
        <w:t>196</w:t>
      </w:r>
      <w:r>
        <w:rPr>
          <w:color w:val="auto"/>
        </w:rPr>
        <w:fldChar w:fldCharType="end"/>
      </w:r>
      <w:r>
        <w:rPr>
          <w:rStyle w:val="40"/>
          <w:color w:val="auto"/>
        </w:rPr>
        <w:fldChar w:fldCharType="end"/>
      </w:r>
    </w:p>
    <w:p w14:paraId="5D58EEA7">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"_Toc182499007"</w:instrText>
      </w:r>
      <w:r>
        <w:rPr>
          <w:rStyle w:val="40"/>
          <w:color w:val="auto"/>
        </w:rPr>
        <w:instrText xml:space="preserve"> </w:instrText>
      </w:r>
      <w:r>
        <w:rPr>
          <w:rStyle w:val="40"/>
          <w:color w:val="auto"/>
        </w:rPr>
        <w:fldChar w:fldCharType="separate"/>
      </w:r>
      <w:r>
        <w:rPr>
          <w:rStyle w:val="40"/>
          <w:b/>
          <w:color w:val="auto"/>
        </w:rPr>
        <w:t>12</w:t>
      </w:r>
      <w:r>
        <w:rPr>
          <w:rFonts w:ascii="Calibri" w:hAnsi="Calibri"/>
          <w:color w:val="auto"/>
          <w:szCs w:val="22"/>
        </w:rPr>
        <w:tab/>
      </w:r>
      <w:r>
        <w:rPr>
          <w:rStyle w:val="40"/>
          <w:rFonts w:hint="eastAsia"/>
          <w:b/>
          <w:color w:val="auto"/>
        </w:rPr>
        <w:t>桩基础</w:t>
      </w:r>
      <w:r>
        <w:rPr>
          <w:color w:val="auto"/>
        </w:rPr>
        <w:tab/>
      </w:r>
      <w:r>
        <w:rPr>
          <w:color w:val="auto"/>
        </w:rPr>
        <w:fldChar w:fldCharType="begin"/>
      </w:r>
      <w:r>
        <w:rPr>
          <w:color w:val="auto"/>
        </w:rPr>
        <w:instrText xml:space="preserve"> PAGEREF _Toc182499007 \h </w:instrText>
      </w:r>
      <w:r>
        <w:rPr>
          <w:color w:val="auto"/>
        </w:rPr>
        <w:fldChar w:fldCharType="separate"/>
      </w:r>
      <w:r>
        <w:rPr>
          <w:color w:val="auto"/>
        </w:rPr>
        <w:t>196</w:t>
      </w:r>
      <w:r>
        <w:rPr>
          <w:color w:val="auto"/>
        </w:rPr>
        <w:fldChar w:fldCharType="end"/>
      </w:r>
      <w:r>
        <w:rPr>
          <w:rStyle w:val="40"/>
          <w:color w:val="auto"/>
        </w:rPr>
        <w:fldChar w:fldCharType="end"/>
      </w:r>
    </w:p>
    <w:p w14:paraId="759ACD7B">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"_Toc182499008"</w:instrText>
      </w:r>
      <w:r>
        <w:rPr>
          <w:rStyle w:val="40"/>
          <w:color w:val="auto"/>
        </w:rPr>
        <w:instrText xml:space="preserve"> </w:instrText>
      </w:r>
      <w:r>
        <w:rPr>
          <w:rStyle w:val="40"/>
          <w:color w:val="auto"/>
        </w:rPr>
        <w:fldChar w:fldCharType="separate"/>
      </w:r>
      <w:r>
        <w:rPr>
          <w:rStyle w:val="40"/>
          <w:color w:val="auto"/>
        </w:rPr>
        <w:t xml:space="preserve">12.1  </w:t>
      </w:r>
      <w:r>
        <w:rPr>
          <w:rStyle w:val="40"/>
          <w:rFonts w:hint="eastAsia"/>
          <w:color w:val="auto"/>
        </w:rPr>
        <w:t>一般规定</w:t>
      </w:r>
      <w:r>
        <w:rPr>
          <w:color w:val="auto"/>
        </w:rPr>
        <w:tab/>
      </w:r>
      <w:r>
        <w:rPr>
          <w:color w:val="auto"/>
        </w:rPr>
        <w:fldChar w:fldCharType="begin"/>
      </w:r>
      <w:r>
        <w:rPr>
          <w:color w:val="auto"/>
        </w:rPr>
        <w:instrText xml:space="preserve"> PAGEREF _Toc182499008 \h </w:instrText>
      </w:r>
      <w:r>
        <w:rPr>
          <w:color w:val="auto"/>
        </w:rPr>
        <w:fldChar w:fldCharType="separate"/>
      </w:r>
      <w:r>
        <w:rPr>
          <w:color w:val="auto"/>
        </w:rPr>
        <w:t>197</w:t>
      </w:r>
      <w:r>
        <w:rPr>
          <w:color w:val="auto"/>
        </w:rPr>
        <w:fldChar w:fldCharType="end"/>
      </w:r>
      <w:r>
        <w:rPr>
          <w:rStyle w:val="40"/>
          <w:color w:val="auto"/>
        </w:rPr>
        <w:fldChar w:fldCharType="end"/>
      </w:r>
    </w:p>
    <w:p w14:paraId="585BE619">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"_Toc182499009"</w:instrText>
      </w:r>
      <w:r>
        <w:rPr>
          <w:rStyle w:val="40"/>
          <w:color w:val="auto"/>
        </w:rPr>
        <w:instrText xml:space="preserve"> </w:instrText>
      </w:r>
      <w:r>
        <w:rPr>
          <w:rStyle w:val="40"/>
          <w:color w:val="auto"/>
        </w:rPr>
        <w:fldChar w:fldCharType="separate"/>
      </w:r>
      <w:r>
        <w:rPr>
          <w:rStyle w:val="40"/>
          <w:color w:val="auto"/>
        </w:rPr>
        <w:t xml:space="preserve">12.2  </w:t>
      </w:r>
      <w:r>
        <w:rPr>
          <w:rStyle w:val="40"/>
          <w:rFonts w:hint="eastAsia"/>
          <w:color w:val="auto"/>
        </w:rPr>
        <w:t>构造要求</w:t>
      </w:r>
      <w:r>
        <w:rPr>
          <w:color w:val="auto"/>
        </w:rPr>
        <w:tab/>
      </w:r>
      <w:r>
        <w:rPr>
          <w:color w:val="auto"/>
        </w:rPr>
        <w:fldChar w:fldCharType="begin"/>
      </w:r>
      <w:r>
        <w:rPr>
          <w:color w:val="auto"/>
        </w:rPr>
        <w:instrText xml:space="preserve"> PAGEREF _Toc182499009 \h </w:instrText>
      </w:r>
      <w:r>
        <w:rPr>
          <w:color w:val="auto"/>
        </w:rPr>
        <w:fldChar w:fldCharType="separate"/>
      </w:r>
      <w:r>
        <w:rPr>
          <w:color w:val="auto"/>
        </w:rPr>
        <w:t>198</w:t>
      </w:r>
      <w:r>
        <w:rPr>
          <w:color w:val="auto"/>
        </w:rPr>
        <w:fldChar w:fldCharType="end"/>
      </w:r>
      <w:r>
        <w:rPr>
          <w:rStyle w:val="40"/>
          <w:color w:val="auto"/>
        </w:rPr>
        <w:fldChar w:fldCharType="end"/>
      </w:r>
    </w:p>
    <w:p w14:paraId="287D791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"_Toc182499010"</w:instrText>
      </w:r>
      <w:r>
        <w:rPr>
          <w:rStyle w:val="40"/>
          <w:color w:val="auto"/>
        </w:rPr>
        <w:instrText xml:space="preserve"> </w:instrText>
      </w:r>
      <w:r>
        <w:rPr>
          <w:rStyle w:val="40"/>
          <w:color w:val="auto"/>
        </w:rPr>
        <w:fldChar w:fldCharType="separate"/>
      </w:r>
      <w:r>
        <w:rPr>
          <w:rStyle w:val="40"/>
          <w:color w:val="auto"/>
        </w:rPr>
        <w:t xml:space="preserve">12.3  </w:t>
      </w:r>
      <w:r>
        <w:rPr>
          <w:rStyle w:val="40"/>
          <w:rFonts w:hint="eastAsia"/>
          <w:color w:val="auto"/>
        </w:rPr>
        <w:t>桩基承载力计算</w:t>
      </w:r>
      <w:r>
        <w:rPr>
          <w:color w:val="auto"/>
        </w:rPr>
        <w:tab/>
      </w:r>
      <w:r>
        <w:rPr>
          <w:color w:val="auto"/>
        </w:rPr>
        <w:fldChar w:fldCharType="begin"/>
      </w:r>
      <w:r>
        <w:rPr>
          <w:color w:val="auto"/>
        </w:rPr>
        <w:instrText xml:space="preserve"> PAGEREF _Toc182499010 \h </w:instrText>
      </w:r>
      <w:r>
        <w:rPr>
          <w:color w:val="auto"/>
        </w:rPr>
        <w:fldChar w:fldCharType="separate"/>
      </w:r>
      <w:r>
        <w:rPr>
          <w:color w:val="auto"/>
        </w:rPr>
        <w:t>200</w:t>
      </w:r>
      <w:r>
        <w:rPr>
          <w:color w:val="auto"/>
        </w:rPr>
        <w:fldChar w:fldCharType="end"/>
      </w:r>
      <w:r>
        <w:rPr>
          <w:rStyle w:val="40"/>
          <w:color w:val="auto"/>
        </w:rPr>
        <w:fldChar w:fldCharType="end"/>
      </w:r>
    </w:p>
    <w:p w14:paraId="3D7FAD6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"_Toc182499011"</w:instrText>
      </w:r>
      <w:r>
        <w:rPr>
          <w:rStyle w:val="40"/>
          <w:color w:val="auto"/>
        </w:rPr>
        <w:instrText xml:space="preserve"> </w:instrText>
      </w:r>
      <w:r>
        <w:rPr>
          <w:rStyle w:val="40"/>
          <w:color w:val="auto"/>
        </w:rPr>
        <w:fldChar w:fldCharType="separate"/>
      </w:r>
      <w:r>
        <w:rPr>
          <w:rStyle w:val="40"/>
          <w:color w:val="auto"/>
        </w:rPr>
        <w:t xml:space="preserve">12.4  </w:t>
      </w:r>
      <w:r>
        <w:rPr>
          <w:rStyle w:val="40"/>
          <w:rFonts w:hint="eastAsia"/>
          <w:color w:val="auto"/>
        </w:rPr>
        <w:t>桩基沉降计算</w:t>
      </w:r>
      <w:r>
        <w:rPr>
          <w:color w:val="auto"/>
        </w:rPr>
        <w:tab/>
      </w:r>
      <w:r>
        <w:rPr>
          <w:color w:val="auto"/>
        </w:rPr>
        <w:fldChar w:fldCharType="begin"/>
      </w:r>
      <w:r>
        <w:rPr>
          <w:color w:val="auto"/>
        </w:rPr>
        <w:instrText xml:space="preserve"> PAGEREF _Toc182499011 \h </w:instrText>
      </w:r>
      <w:r>
        <w:rPr>
          <w:color w:val="auto"/>
        </w:rPr>
        <w:fldChar w:fldCharType="separate"/>
      </w:r>
      <w:r>
        <w:rPr>
          <w:color w:val="auto"/>
        </w:rPr>
        <w:t>200</w:t>
      </w:r>
      <w:r>
        <w:rPr>
          <w:color w:val="auto"/>
        </w:rPr>
        <w:fldChar w:fldCharType="end"/>
      </w:r>
      <w:r>
        <w:rPr>
          <w:rStyle w:val="40"/>
          <w:color w:val="auto"/>
        </w:rPr>
        <w:fldChar w:fldCharType="end"/>
      </w:r>
    </w:p>
    <w:p w14:paraId="00345093">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"_Toc182499012"</w:instrText>
      </w:r>
      <w:r>
        <w:rPr>
          <w:rStyle w:val="40"/>
          <w:color w:val="auto"/>
        </w:rPr>
        <w:instrText xml:space="preserve"> </w:instrText>
      </w:r>
      <w:r>
        <w:rPr>
          <w:rStyle w:val="40"/>
          <w:color w:val="auto"/>
        </w:rPr>
        <w:fldChar w:fldCharType="separate"/>
      </w:r>
      <w:r>
        <w:rPr>
          <w:rStyle w:val="40"/>
          <w:color w:val="auto"/>
        </w:rPr>
        <w:t xml:space="preserve">12.5  </w:t>
      </w:r>
      <w:r>
        <w:rPr>
          <w:rStyle w:val="40"/>
          <w:rFonts w:hint="eastAsia"/>
          <w:color w:val="auto"/>
        </w:rPr>
        <w:t>桩基承台设计</w:t>
      </w:r>
      <w:r>
        <w:rPr>
          <w:color w:val="auto"/>
        </w:rPr>
        <w:tab/>
      </w:r>
      <w:r>
        <w:rPr>
          <w:color w:val="auto"/>
        </w:rPr>
        <w:fldChar w:fldCharType="begin"/>
      </w:r>
      <w:r>
        <w:rPr>
          <w:color w:val="auto"/>
        </w:rPr>
        <w:instrText xml:space="preserve"> PAGEREF _Toc182499012 \h </w:instrText>
      </w:r>
      <w:r>
        <w:rPr>
          <w:color w:val="auto"/>
        </w:rPr>
        <w:fldChar w:fldCharType="separate"/>
      </w:r>
      <w:r>
        <w:rPr>
          <w:color w:val="auto"/>
        </w:rPr>
        <w:t>201</w:t>
      </w:r>
      <w:r>
        <w:rPr>
          <w:color w:val="auto"/>
        </w:rPr>
        <w:fldChar w:fldCharType="end"/>
      </w:r>
      <w:r>
        <w:rPr>
          <w:rStyle w:val="40"/>
          <w:color w:val="auto"/>
        </w:rPr>
        <w:fldChar w:fldCharType="end"/>
      </w:r>
    </w:p>
    <w:p w14:paraId="58B4C388">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"_Toc182499013"</w:instrText>
      </w:r>
      <w:r>
        <w:rPr>
          <w:rStyle w:val="40"/>
          <w:color w:val="auto"/>
        </w:rPr>
        <w:instrText xml:space="preserve"> </w:instrText>
      </w:r>
      <w:r>
        <w:rPr>
          <w:rStyle w:val="40"/>
          <w:color w:val="auto"/>
        </w:rPr>
        <w:fldChar w:fldCharType="separate"/>
      </w:r>
      <w:r>
        <w:rPr>
          <w:rStyle w:val="40"/>
          <w:b/>
          <w:color w:val="auto"/>
        </w:rPr>
        <w:t>13</w:t>
      </w:r>
      <w:r>
        <w:rPr>
          <w:rFonts w:ascii="Calibri" w:hAnsi="Calibri"/>
          <w:color w:val="auto"/>
          <w:szCs w:val="22"/>
        </w:rPr>
        <w:tab/>
      </w:r>
      <w:r>
        <w:rPr>
          <w:rStyle w:val="40"/>
          <w:rFonts w:hint="eastAsia"/>
          <w:b/>
          <w:color w:val="auto"/>
        </w:rPr>
        <w:t>基</w:t>
      </w:r>
      <w:r>
        <w:rPr>
          <w:rStyle w:val="40"/>
          <w:b/>
          <w:color w:val="auto"/>
        </w:rPr>
        <w:t xml:space="preserve"> </w:t>
      </w:r>
      <w:r>
        <w:rPr>
          <w:rStyle w:val="40"/>
          <w:rFonts w:hint="eastAsia"/>
          <w:b/>
          <w:color w:val="auto"/>
        </w:rPr>
        <w:t>础</w:t>
      </w:r>
      <w:r>
        <w:rPr>
          <w:color w:val="auto"/>
        </w:rPr>
        <w:tab/>
      </w:r>
      <w:r>
        <w:rPr>
          <w:color w:val="auto"/>
        </w:rPr>
        <w:fldChar w:fldCharType="begin"/>
      </w:r>
      <w:r>
        <w:rPr>
          <w:color w:val="auto"/>
        </w:rPr>
        <w:instrText xml:space="preserve"> PAGEREF _Toc182499013 \h </w:instrText>
      </w:r>
      <w:r>
        <w:rPr>
          <w:color w:val="auto"/>
        </w:rPr>
        <w:fldChar w:fldCharType="separate"/>
      </w:r>
      <w:r>
        <w:rPr>
          <w:color w:val="auto"/>
        </w:rPr>
        <w:t>201</w:t>
      </w:r>
      <w:r>
        <w:rPr>
          <w:color w:val="auto"/>
        </w:rPr>
        <w:fldChar w:fldCharType="end"/>
      </w:r>
      <w:r>
        <w:rPr>
          <w:rStyle w:val="40"/>
          <w:color w:val="auto"/>
        </w:rPr>
        <w:fldChar w:fldCharType="end"/>
      </w:r>
    </w:p>
    <w:p w14:paraId="278801CE">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"_Toc182499014"</w:instrText>
      </w:r>
      <w:r>
        <w:rPr>
          <w:rStyle w:val="40"/>
          <w:color w:val="auto"/>
        </w:rPr>
        <w:instrText xml:space="preserve"> </w:instrText>
      </w:r>
      <w:r>
        <w:rPr>
          <w:rStyle w:val="40"/>
          <w:color w:val="auto"/>
        </w:rPr>
        <w:fldChar w:fldCharType="separate"/>
      </w:r>
      <w:r>
        <w:rPr>
          <w:rStyle w:val="40"/>
          <w:color w:val="auto"/>
        </w:rPr>
        <w:t xml:space="preserve">13.1  </w:t>
      </w:r>
      <w:r>
        <w:rPr>
          <w:rStyle w:val="40"/>
          <w:rFonts w:hint="eastAsia"/>
          <w:color w:val="auto"/>
        </w:rPr>
        <w:t>无筋扩展基础及扩展基础</w:t>
      </w:r>
      <w:r>
        <w:rPr>
          <w:color w:val="auto"/>
        </w:rPr>
        <w:tab/>
      </w:r>
      <w:r>
        <w:rPr>
          <w:color w:val="auto"/>
        </w:rPr>
        <w:fldChar w:fldCharType="begin"/>
      </w:r>
      <w:r>
        <w:rPr>
          <w:color w:val="auto"/>
        </w:rPr>
        <w:instrText xml:space="preserve"> PAGEREF _Toc182499014 \h </w:instrText>
      </w:r>
      <w:r>
        <w:rPr>
          <w:color w:val="auto"/>
        </w:rPr>
        <w:fldChar w:fldCharType="separate"/>
      </w:r>
      <w:r>
        <w:rPr>
          <w:color w:val="auto"/>
        </w:rPr>
        <w:t>201</w:t>
      </w:r>
      <w:r>
        <w:rPr>
          <w:color w:val="auto"/>
        </w:rPr>
        <w:fldChar w:fldCharType="end"/>
      </w:r>
      <w:r>
        <w:rPr>
          <w:rStyle w:val="40"/>
          <w:color w:val="auto"/>
        </w:rPr>
        <w:fldChar w:fldCharType="end"/>
      </w:r>
    </w:p>
    <w:p w14:paraId="5A1512F6">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"_Toc182499015"</w:instrText>
      </w:r>
      <w:r>
        <w:rPr>
          <w:rStyle w:val="40"/>
          <w:color w:val="auto"/>
        </w:rPr>
        <w:instrText xml:space="preserve"> </w:instrText>
      </w:r>
      <w:r>
        <w:rPr>
          <w:rStyle w:val="40"/>
          <w:color w:val="auto"/>
        </w:rPr>
        <w:fldChar w:fldCharType="separate"/>
      </w:r>
      <w:r>
        <w:rPr>
          <w:rStyle w:val="40"/>
          <w:color w:val="auto"/>
        </w:rPr>
        <w:t xml:space="preserve">13.2  </w:t>
      </w:r>
      <w:r>
        <w:rPr>
          <w:rStyle w:val="40"/>
          <w:rFonts w:hint="eastAsia"/>
          <w:color w:val="auto"/>
        </w:rPr>
        <w:t>柱下条形基础</w:t>
      </w:r>
      <w:r>
        <w:rPr>
          <w:color w:val="auto"/>
        </w:rPr>
        <w:tab/>
      </w:r>
      <w:r>
        <w:rPr>
          <w:color w:val="auto"/>
        </w:rPr>
        <w:fldChar w:fldCharType="begin"/>
      </w:r>
      <w:r>
        <w:rPr>
          <w:color w:val="auto"/>
        </w:rPr>
        <w:instrText xml:space="preserve"> PAGEREF _Toc182499015 \h </w:instrText>
      </w:r>
      <w:r>
        <w:rPr>
          <w:color w:val="auto"/>
        </w:rPr>
        <w:fldChar w:fldCharType="separate"/>
      </w:r>
      <w:r>
        <w:rPr>
          <w:color w:val="auto"/>
        </w:rPr>
        <w:t>202</w:t>
      </w:r>
      <w:r>
        <w:rPr>
          <w:color w:val="auto"/>
        </w:rPr>
        <w:fldChar w:fldCharType="end"/>
      </w:r>
      <w:r>
        <w:rPr>
          <w:rStyle w:val="40"/>
          <w:color w:val="auto"/>
        </w:rPr>
        <w:fldChar w:fldCharType="end"/>
      </w:r>
    </w:p>
    <w:p w14:paraId="7311DF1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"_Toc182499016"</w:instrText>
      </w:r>
      <w:r>
        <w:rPr>
          <w:rStyle w:val="40"/>
          <w:color w:val="auto"/>
        </w:rPr>
        <w:instrText xml:space="preserve"> </w:instrText>
      </w:r>
      <w:r>
        <w:rPr>
          <w:rStyle w:val="40"/>
          <w:color w:val="auto"/>
        </w:rPr>
        <w:fldChar w:fldCharType="separate"/>
      </w:r>
      <w:r>
        <w:rPr>
          <w:rStyle w:val="40"/>
          <w:color w:val="auto"/>
        </w:rPr>
        <w:t xml:space="preserve">13.3  </w:t>
      </w:r>
      <w:r>
        <w:rPr>
          <w:rStyle w:val="40"/>
          <w:rFonts w:hint="eastAsia"/>
          <w:color w:val="auto"/>
        </w:rPr>
        <w:t>筏基与桩筏基础</w:t>
      </w:r>
      <w:r>
        <w:rPr>
          <w:color w:val="auto"/>
        </w:rPr>
        <w:tab/>
      </w:r>
      <w:r>
        <w:rPr>
          <w:color w:val="auto"/>
        </w:rPr>
        <w:fldChar w:fldCharType="begin"/>
      </w:r>
      <w:r>
        <w:rPr>
          <w:color w:val="auto"/>
        </w:rPr>
        <w:instrText xml:space="preserve"> PAGEREF _Toc182499016 \h </w:instrText>
      </w:r>
      <w:r>
        <w:rPr>
          <w:color w:val="auto"/>
        </w:rPr>
        <w:fldChar w:fldCharType="separate"/>
      </w:r>
      <w:r>
        <w:rPr>
          <w:color w:val="auto"/>
        </w:rPr>
        <w:t>202</w:t>
      </w:r>
      <w:r>
        <w:rPr>
          <w:color w:val="auto"/>
        </w:rPr>
        <w:fldChar w:fldCharType="end"/>
      </w:r>
      <w:r>
        <w:rPr>
          <w:rStyle w:val="40"/>
          <w:color w:val="auto"/>
        </w:rPr>
        <w:fldChar w:fldCharType="end"/>
      </w:r>
    </w:p>
    <w:p w14:paraId="1DFA931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"_Toc182499017"</w:instrText>
      </w:r>
      <w:r>
        <w:rPr>
          <w:rStyle w:val="40"/>
          <w:color w:val="auto"/>
        </w:rPr>
        <w:instrText xml:space="preserve"> </w:instrText>
      </w:r>
      <w:r>
        <w:rPr>
          <w:rStyle w:val="40"/>
          <w:color w:val="auto"/>
        </w:rPr>
        <w:fldChar w:fldCharType="separate"/>
      </w:r>
      <w:r>
        <w:rPr>
          <w:rStyle w:val="40"/>
          <w:color w:val="auto"/>
        </w:rPr>
        <w:t xml:space="preserve">13.4  </w:t>
      </w:r>
      <w:r>
        <w:rPr>
          <w:rStyle w:val="40"/>
          <w:rFonts w:hint="eastAsia"/>
          <w:color w:val="auto"/>
        </w:rPr>
        <w:t>地下室设计</w:t>
      </w:r>
      <w:r>
        <w:rPr>
          <w:color w:val="auto"/>
        </w:rPr>
        <w:tab/>
      </w:r>
      <w:r>
        <w:rPr>
          <w:color w:val="auto"/>
        </w:rPr>
        <w:fldChar w:fldCharType="begin"/>
      </w:r>
      <w:r>
        <w:rPr>
          <w:color w:val="auto"/>
        </w:rPr>
        <w:instrText xml:space="preserve"> PAGEREF _Toc182499017 \h </w:instrText>
      </w:r>
      <w:r>
        <w:rPr>
          <w:color w:val="auto"/>
        </w:rPr>
        <w:fldChar w:fldCharType="separate"/>
      </w:r>
      <w:r>
        <w:rPr>
          <w:color w:val="auto"/>
        </w:rPr>
        <w:t>203</w:t>
      </w:r>
      <w:r>
        <w:rPr>
          <w:color w:val="auto"/>
        </w:rPr>
        <w:fldChar w:fldCharType="end"/>
      </w:r>
      <w:r>
        <w:rPr>
          <w:rStyle w:val="40"/>
          <w:color w:val="auto"/>
        </w:rPr>
        <w:fldChar w:fldCharType="end"/>
      </w:r>
    </w:p>
    <w:p w14:paraId="2CDCAA94">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"_Toc182499018"</w:instrText>
      </w:r>
      <w:r>
        <w:rPr>
          <w:rStyle w:val="40"/>
          <w:color w:val="auto"/>
        </w:rPr>
        <w:instrText xml:space="preserve"> </w:instrText>
      </w:r>
      <w:r>
        <w:rPr>
          <w:rStyle w:val="40"/>
          <w:color w:val="auto"/>
        </w:rPr>
        <w:fldChar w:fldCharType="separate"/>
      </w:r>
      <w:r>
        <w:rPr>
          <w:rStyle w:val="40"/>
          <w:color w:val="auto"/>
        </w:rPr>
        <w:t xml:space="preserve">13.5  </w:t>
      </w:r>
      <w:r>
        <w:rPr>
          <w:rStyle w:val="40"/>
          <w:rFonts w:hint="eastAsia"/>
          <w:color w:val="auto"/>
        </w:rPr>
        <w:t>地下建筑物抗浮设计</w:t>
      </w:r>
      <w:r>
        <w:rPr>
          <w:color w:val="auto"/>
        </w:rPr>
        <w:tab/>
      </w:r>
      <w:r>
        <w:rPr>
          <w:color w:val="auto"/>
        </w:rPr>
        <w:fldChar w:fldCharType="begin"/>
      </w:r>
      <w:r>
        <w:rPr>
          <w:color w:val="auto"/>
        </w:rPr>
        <w:instrText xml:space="preserve"> PAGEREF _Toc182499018 \h </w:instrText>
      </w:r>
      <w:r>
        <w:rPr>
          <w:color w:val="auto"/>
        </w:rPr>
        <w:fldChar w:fldCharType="separate"/>
      </w:r>
      <w:r>
        <w:rPr>
          <w:color w:val="auto"/>
        </w:rPr>
        <w:t>203</w:t>
      </w:r>
      <w:r>
        <w:rPr>
          <w:color w:val="auto"/>
        </w:rPr>
        <w:fldChar w:fldCharType="end"/>
      </w:r>
      <w:r>
        <w:rPr>
          <w:rStyle w:val="40"/>
          <w:color w:val="auto"/>
        </w:rPr>
        <w:fldChar w:fldCharType="end"/>
      </w:r>
    </w:p>
    <w:p w14:paraId="5E0BAB2D">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"_Toc182499019"</w:instrText>
      </w:r>
      <w:r>
        <w:rPr>
          <w:rStyle w:val="40"/>
          <w:color w:val="auto"/>
        </w:rPr>
        <w:instrText xml:space="preserve"> </w:instrText>
      </w:r>
      <w:r>
        <w:rPr>
          <w:rStyle w:val="40"/>
          <w:color w:val="auto"/>
        </w:rPr>
        <w:fldChar w:fldCharType="separate"/>
      </w:r>
      <w:r>
        <w:rPr>
          <w:rStyle w:val="40"/>
          <w:color w:val="auto"/>
        </w:rPr>
        <w:t xml:space="preserve">13.6  </w:t>
      </w:r>
      <w:r>
        <w:rPr>
          <w:rStyle w:val="40"/>
          <w:rFonts w:hint="eastAsia"/>
          <w:color w:val="auto"/>
        </w:rPr>
        <w:t>墩基础</w:t>
      </w:r>
      <w:r>
        <w:rPr>
          <w:color w:val="auto"/>
        </w:rPr>
        <w:tab/>
      </w:r>
      <w:r>
        <w:rPr>
          <w:color w:val="auto"/>
        </w:rPr>
        <w:fldChar w:fldCharType="begin"/>
      </w:r>
      <w:r>
        <w:rPr>
          <w:color w:val="auto"/>
        </w:rPr>
        <w:instrText xml:space="preserve"> PAGEREF _Toc182499019 \h </w:instrText>
      </w:r>
      <w:r>
        <w:rPr>
          <w:color w:val="auto"/>
        </w:rPr>
        <w:fldChar w:fldCharType="separate"/>
      </w:r>
      <w:r>
        <w:rPr>
          <w:color w:val="auto"/>
        </w:rPr>
        <w:t>205</w:t>
      </w:r>
      <w:r>
        <w:rPr>
          <w:color w:val="auto"/>
        </w:rPr>
        <w:fldChar w:fldCharType="end"/>
      </w:r>
      <w:r>
        <w:rPr>
          <w:rStyle w:val="40"/>
          <w:color w:val="auto"/>
        </w:rPr>
        <w:fldChar w:fldCharType="end"/>
      </w:r>
    </w:p>
    <w:p w14:paraId="6871726B">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"_Toc182499020"</w:instrText>
      </w:r>
      <w:r>
        <w:rPr>
          <w:rStyle w:val="40"/>
          <w:color w:val="auto"/>
        </w:rPr>
        <w:instrText xml:space="preserve"> </w:instrText>
      </w:r>
      <w:r>
        <w:rPr>
          <w:rStyle w:val="40"/>
          <w:color w:val="auto"/>
        </w:rPr>
        <w:fldChar w:fldCharType="separate"/>
      </w:r>
      <w:r>
        <w:rPr>
          <w:rStyle w:val="40"/>
          <w:color w:val="auto"/>
        </w:rPr>
        <w:t xml:space="preserve">13.7  </w:t>
      </w:r>
      <w:r>
        <w:rPr>
          <w:rStyle w:val="40"/>
          <w:rFonts w:hint="eastAsia"/>
          <w:color w:val="auto"/>
        </w:rPr>
        <w:t>山区地区基础</w:t>
      </w:r>
      <w:r>
        <w:rPr>
          <w:color w:val="auto"/>
        </w:rPr>
        <w:tab/>
      </w:r>
      <w:r>
        <w:rPr>
          <w:color w:val="auto"/>
        </w:rPr>
        <w:fldChar w:fldCharType="begin"/>
      </w:r>
      <w:r>
        <w:rPr>
          <w:color w:val="auto"/>
        </w:rPr>
        <w:instrText xml:space="preserve"> PAGEREF _Toc182499020 \h </w:instrText>
      </w:r>
      <w:r>
        <w:rPr>
          <w:color w:val="auto"/>
        </w:rPr>
        <w:fldChar w:fldCharType="separate"/>
      </w:r>
      <w:r>
        <w:rPr>
          <w:color w:val="auto"/>
        </w:rPr>
        <w:t>206</w:t>
      </w:r>
      <w:r>
        <w:rPr>
          <w:color w:val="auto"/>
        </w:rPr>
        <w:fldChar w:fldCharType="end"/>
      </w:r>
      <w:r>
        <w:rPr>
          <w:rStyle w:val="40"/>
          <w:color w:val="auto"/>
        </w:rPr>
        <w:fldChar w:fldCharType="end"/>
      </w:r>
    </w:p>
    <w:p w14:paraId="33BF419D">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"_Toc182499021"</w:instrText>
      </w:r>
      <w:r>
        <w:rPr>
          <w:rStyle w:val="40"/>
          <w:color w:val="auto"/>
        </w:rPr>
        <w:instrText xml:space="preserve"> </w:instrText>
      </w:r>
      <w:r>
        <w:rPr>
          <w:rStyle w:val="40"/>
          <w:color w:val="auto"/>
        </w:rPr>
        <w:fldChar w:fldCharType="separate"/>
      </w:r>
      <w:r>
        <w:rPr>
          <w:rStyle w:val="40"/>
          <w:b/>
          <w:snapToGrid w:val="0"/>
          <w:color w:val="auto"/>
        </w:rPr>
        <w:t>14</w:t>
      </w:r>
      <w:r>
        <w:rPr>
          <w:rFonts w:ascii="Calibri" w:hAnsi="Calibri"/>
          <w:color w:val="auto"/>
          <w:szCs w:val="22"/>
        </w:rPr>
        <w:tab/>
      </w:r>
      <w:r>
        <w:rPr>
          <w:rStyle w:val="40"/>
          <w:rFonts w:hint="eastAsia"/>
          <w:b/>
          <w:color w:val="auto"/>
        </w:rPr>
        <w:t>地基基础抗震设计要点</w:t>
      </w:r>
      <w:r>
        <w:rPr>
          <w:color w:val="auto"/>
        </w:rPr>
        <w:tab/>
      </w:r>
      <w:r>
        <w:rPr>
          <w:color w:val="auto"/>
        </w:rPr>
        <w:fldChar w:fldCharType="begin"/>
      </w:r>
      <w:r>
        <w:rPr>
          <w:color w:val="auto"/>
        </w:rPr>
        <w:instrText xml:space="preserve"> PAGEREF _Toc182499021 \h </w:instrText>
      </w:r>
      <w:r>
        <w:rPr>
          <w:color w:val="auto"/>
        </w:rPr>
        <w:fldChar w:fldCharType="separate"/>
      </w:r>
      <w:r>
        <w:rPr>
          <w:color w:val="auto"/>
        </w:rPr>
        <w:t>206</w:t>
      </w:r>
      <w:r>
        <w:rPr>
          <w:color w:val="auto"/>
        </w:rPr>
        <w:fldChar w:fldCharType="end"/>
      </w:r>
      <w:r>
        <w:rPr>
          <w:rStyle w:val="40"/>
          <w:color w:val="auto"/>
        </w:rPr>
        <w:fldChar w:fldCharType="end"/>
      </w:r>
    </w:p>
    <w:p w14:paraId="1FB172CC">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"_Toc182499022"</w:instrText>
      </w:r>
      <w:r>
        <w:rPr>
          <w:rStyle w:val="40"/>
          <w:color w:val="auto"/>
        </w:rPr>
        <w:instrText xml:space="preserve"> </w:instrText>
      </w:r>
      <w:r>
        <w:rPr>
          <w:rStyle w:val="40"/>
          <w:color w:val="auto"/>
        </w:rPr>
        <w:fldChar w:fldCharType="separate"/>
      </w:r>
      <w:r>
        <w:rPr>
          <w:rStyle w:val="40"/>
          <w:snapToGrid w:val="0"/>
          <w:color w:val="auto"/>
        </w:rPr>
        <w:t xml:space="preserve">14.1  </w:t>
      </w:r>
      <w:r>
        <w:rPr>
          <w:rStyle w:val="40"/>
          <w:rFonts w:hint="eastAsia"/>
          <w:snapToGrid w:val="0"/>
          <w:color w:val="auto"/>
        </w:rPr>
        <w:t>一般规定</w:t>
      </w:r>
      <w:r>
        <w:rPr>
          <w:color w:val="auto"/>
        </w:rPr>
        <w:tab/>
      </w:r>
      <w:r>
        <w:rPr>
          <w:color w:val="auto"/>
        </w:rPr>
        <w:fldChar w:fldCharType="begin"/>
      </w:r>
      <w:r>
        <w:rPr>
          <w:color w:val="auto"/>
        </w:rPr>
        <w:instrText xml:space="preserve"> PAGEREF _Toc182499022 \h </w:instrText>
      </w:r>
      <w:r>
        <w:rPr>
          <w:color w:val="auto"/>
        </w:rPr>
        <w:fldChar w:fldCharType="separate"/>
      </w:r>
      <w:r>
        <w:rPr>
          <w:color w:val="auto"/>
        </w:rPr>
        <w:t>206</w:t>
      </w:r>
      <w:r>
        <w:rPr>
          <w:color w:val="auto"/>
        </w:rPr>
        <w:fldChar w:fldCharType="end"/>
      </w:r>
      <w:r>
        <w:rPr>
          <w:rStyle w:val="40"/>
          <w:color w:val="auto"/>
        </w:rPr>
        <w:fldChar w:fldCharType="end"/>
      </w:r>
    </w:p>
    <w:p w14:paraId="196587AB">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"_Toc182499023"</w:instrText>
      </w:r>
      <w:r>
        <w:rPr>
          <w:rStyle w:val="40"/>
          <w:color w:val="auto"/>
        </w:rPr>
        <w:instrText xml:space="preserve"> </w:instrText>
      </w:r>
      <w:r>
        <w:rPr>
          <w:rStyle w:val="40"/>
          <w:color w:val="auto"/>
        </w:rPr>
        <w:fldChar w:fldCharType="separate"/>
      </w:r>
      <w:r>
        <w:rPr>
          <w:rStyle w:val="40"/>
          <w:color w:val="auto"/>
        </w:rPr>
        <w:t xml:space="preserve">14.2  </w:t>
      </w:r>
      <w:r>
        <w:rPr>
          <w:rStyle w:val="40"/>
          <w:rFonts w:hint="eastAsia"/>
          <w:color w:val="auto"/>
        </w:rPr>
        <w:t>天然地基和复合地基</w:t>
      </w:r>
      <w:r>
        <w:rPr>
          <w:color w:val="auto"/>
        </w:rPr>
        <w:tab/>
      </w:r>
      <w:r>
        <w:rPr>
          <w:color w:val="auto"/>
        </w:rPr>
        <w:fldChar w:fldCharType="begin"/>
      </w:r>
      <w:r>
        <w:rPr>
          <w:color w:val="auto"/>
        </w:rPr>
        <w:instrText xml:space="preserve"> PAGEREF _Toc182499023 \h </w:instrText>
      </w:r>
      <w:r>
        <w:rPr>
          <w:color w:val="auto"/>
        </w:rPr>
        <w:fldChar w:fldCharType="separate"/>
      </w:r>
      <w:r>
        <w:rPr>
          <w:color w:val="auto"/>
        </w:rPr>
        <w:t>206</w:t>
      </w:r>
      <w:r>
        <w:rPr>
          <w:color w:val="auto"/>
        </w:rPr>
        <w:fldChar w:fldCharType="end"/>
      </w:r>
      <w:r>
        <w:rPr>
          <w:rStyle w:val="40"/>
          <w:color w:val="auto"/>
        </w:rPr>
        <w:fldChar w:fldCharType="end"/>
      </w:r>
    </w:p>
    <w:p w14:paraId="06299242">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"_Toc182499024"</w:instrText>
      </w:r>
      <w:r>
        <w:rPr>
          <w:rStyle w:val="40"/>
          <w:color w:val="auto"/>
        </w:rPr>
        <w:instrText xml:space="preserve"> </w:instrText>
      </w:r>
      <w:r>
        <w:rPr>
          <w:rStyle w:val="40"/>
          <w:color w:val="auto"/>
        </w:rPr>
        <w:fldChar w:fldCharType="separate"/>
      </w:r>
      <w:r>
        <w:rPr>
          <w:rStyle w:val="40"/>
          <w:color w:val="auto"/>
        </w:rPr>
        <w:t xml:space="preserve">14.3   </w:t>
      </w:r>
      <w:r>
        <w:rPr>
          <w:rStyle w:val="40"/>
          <w:rFonts w:hint="eastAsia"/>
          <w:color w:val="auto"/>
        </w:rPr>
        <w:t>桩</w:t>
      </w:r>
      <w:r>
        <w:rPr>
          <w:rStyle w:val="40"/>
          <w:color w:val="auto"/>
        </w:rPr>
        <w:t xml:space="preserve">   </w:t>
      </w:r>
      <w:r>
        <w:rPr>
          <w:rStyle w:val="40"/>
          <w:rFonts w:hint="eastAsia"/>
          <w:color w:val="auto"/>
        </w:rPr>
        <w:t>基</w:t>
      </w:r>
      <w:r>
        <w:rPr>
          <w:color w:val="auto"/>
        </w:rPr>
        <w:tab/>
      </w:r>
      <w:r>
        <w:rPr>
          <w:color w:val="auto"/>
        </w:rPr>
        <w:fldChar w:fldCharType="begin"/>
      </w:r>
      <w:r>
        <w:rPr>
          <w:color w:val="auto"/>
        </w:rPr>
        <w:instrText xml:space="preserve"> PAGEREF _Toc182499024 \h </w:instrText>
      </w:r>
      <w:r>
        <w:rPr>
          <w:color w:val="auto"/>
        </w:rPr>
        <w:fldChar w:fldCharType="separate"/>
      </w:r>
      <w:r>
        <w:rPr>
          <w:color w:val="auto"/>
        </w:rPr>
        <w:t>207</w:t>
      </w:r>
      <w:r>
        <w:rPr>
          <w:color w:val="auto"/>
        </w:rPr>
        <w:fldChar w:fldCharType="end"/>
      </w:r>
      <w:r>
        <w:rPr>
          <w:rStyle w:val="40"/>
          <w:color w:val="auto"/>
        </w:rPr>
        <w:fldChar w:fldCharType="end"/>
      </w:r>
    </w:p>
    <w:p w14:paraId="34279BEC">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"_Toc182499025"</w:instrText>
      </w:r>
      <w:r>
        <w:rPr>
          <w:rStyle w:val="40"/>
          <w:color w:val="auto"/>
        </w:rPr>
        <w:instrText xml:space="preserve"> </w:instrText>
      </w:r>
      <w:r>
        <w:rPr>
          <w:rStyle w:val="40"/>
          <w:color w:val="auto"/>
        </w:rPr>
        <w:fldChar w:fldCharType="separate"/>
      </w:r>
      <w:r>
        <w:rPr>
          <w:rStyle w:val="40"/>
          <w:snapToGrid w:val="0"/>
          <w:color w:val="auto"/>
        </w:rPr>
        <w:t xml:space="preserve">14.4   </w:t>
      </w:r>
      <w:r>
        <w:rPr>
          <w:rStyle w:val="40"/>
          <w:rFonts w:hint="eastAsia"/>
          <w:snapToGrid w:val="0"/>
          <w:color w:val="auto"/>
        </w:rPr>
        <w:t>抗震措施</w:t>
      </w:r>
      <w:r>
        <w:rPr>
          <w:color w:val="auto"/>
        </w:rPr>
        <w:tab/>
      </w:r>
      <w:r>
        <w:rPr>
          <w:color w:val="auto"/>
        </w:rPr>
        <w:fldChar w:fldCharType="begin"/>
      </w:r>
      <w:r>
        <w:rPr>
          <w:color w:val="auto"/>
        </w:rPr>
        <w:instrText xml:space="preserve"> PAGEREF _Toc182499025 \h </w:instrText>
      </w:r>
      <w:r>
        <w:rPr>
          <w:color w:val="auto"/>
        </w:rPr>
        <w:fldChar w:fldCharType="separate"/>
      </w:r>
      <w:r>
        <w:rPr>
          <w:color w:val="auto"/>
        </w:rPr>
        <w:t>207</w:t>
      </w:r>
      <w:r>
        <w:rPr>
          <w:color w:val="auto"/>
        </w:rPr>
        <w:fldChar w:fldCharType="end"/>
      </w:r>
      <w:r>
        <w:rPr>
          <w:rStyle w:val="40"/>
          <w:color w:val="auto"/>
        </w:rPr>
        <w:fldChar w:fldCharType="end"/>
      </w:r>
    </w:p>
    <w:p w14:paraId="127AD4DD">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"_Toc182499026"</w:instrText>
      </w:r>
      <w:r>
        <w:rPr>
          <w:rStyle w:val="40"/>
          <w:color w:val="auto"/>
        </w:rPr>
        <w:instrText xml:space="preserve"> </w:instrText>
      </w:r>
      <w:r>
        <w:rPr>
          <w:rStyle w:val="40"/>
          <w:color w:val="auto"/>
        </w:rPr>
        <w:fldChar w:fldCharType="separate"/>
      </w:r>
      <w:r>
        <w:rPr>
          <w:rStyle w:val="40"/>
          <w:b/>
          <w:color w:val="auto"/>
        </w:rPr>
        <w:t>15</w:t>
      </w:r>
      <w:r>
        <w:rPr>
          <w:rFonts w:ascii="Calibri" w:hAnsi="Calibri"/>
          <w:color w:val="auto"/>
          <w:szCs w:val="22"/>
        </w:rPr>
        <w:tab/>
      </w:r>
      <w:r>
        <w:rPr>
          <w:rStyle w:val="40"/>
          <w:rFonts w:hint="eastAsia"/>
          <w:b/>
          <w:color w:val="auto"/>
        </w:rPr>
        <w:t>地基基础施工</w:t>
      </w:r>
      <w:r>
        <w:rPr>
          <w:color w:val="auto"/>
        </w:rPr>
        <w:tab/>
      </w:r>
      <w:r>
        <w:rPr>
          <w:color w:val="auto"/>
        </w:rPr>
        <w:fldChar w:fldCharType="begin"/>
      </w:r>
      <w:r>
        <w:rPr>
          <w:color w:val="auto"/>
        </w:rPr>
        <w:instrText xml:space="preserve"> PAGEREF _Toc182499026 \h </w:instrText>
      </w:r>
      <w:r>
        <w:rPr>
          <w:color w:val="auto"/>
        </w:rPr>
        <w:fldChar w:fldCharType="separate"/>
      </w:r>
      <w:r>
        <w:rPr>
          <w:color w:val="auto"/>
        </w:rPr>
        <w:t>207</w:t>
      </w:r>
      <w:r>
        <w:rPr>
          <w:color w:val="auto"/>
        </w:rPr>
        <w:fldChar w:fldCharType="end"/>
      </w:r>
      <w:r>
        <w:rPr>
          <w:rStyle w:val="40"/>
          <w:color w:val="auto"/>
        </w:rPr>
        <w:fldChar w:fldCharType="end"/>
      </w:r>
    </w:p>
    <w:p w14:paraId="1286BF59">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"_Toc182499027"</w:instrText>
      </w:r>
      <w:r>
        <w:rPr>
          <w:rStyle w:val="40"/>
          <w:color w:val="auto"/>
        </w:rPr>
        <w:instrText xml:space="preserve"> </w:instrText>
      </w:r>
      <w:r>
        <w:rPr>
          <w:rStyle w:val="40"/>
          <w:color w:val="auto"/>
        </w:rPr>
        <w:fldChar w:fldCharType="separate"/>
      </w:r>
      <w:r>
        <w:rPr>
          <w:rStyle w:val="40"/>
          <w:color w:val="auto"/>
        </w:rPr>
        <w:t xml:space="preserve">15.1  </w:t>
      </w:r>
      <w:r>
        <w:rPr>
          <w:rStyle w:val="40"/>
          <w:rFonts w:hint="eastAsia"/>
          <w:color w:val="auto"/>
        </w:rPr>
        <w:t>一般规定</w:t>
      </w:r>
      <w:r>
        <w:rPr>
          <w:color w:val="auto"/>
        </w:rPr>
        <w:tab/>
      </w:r>
      <w:r>
        <w:rPr>
          <w:color w:val="auto"/>
        </w:rPr>
        <w:fldChar w:fldCharType="begin"/>
      </w:r>
      <w:r>
        <w:rPr>
          <w:color w:val="auto"/>
        </w:rPr>
        <w:instrText xml:space="preserve"> PAGEREF _Toc182499027 \h </w:instrText>
      </w:r>
      <w:r>
        <w:rPr>
          <w:color w:val="auto"/>
        </w:rPr>
        <w:fldChar w:fldCharType="separate"/>
      </w:r>
      <w:r>
        <w:rPr>
          <w:color w:val="auto"/>
        </w:rPr>
        <w:t>207</w:t>
      </w:r>
      <w:r>
        <w:rPr>
          <w:color w:val="auto"/>
        </w:rPr>
        <w:fldChar w:fldCharType="end"/>
      </w:r>
      <w:r>
        <w:rPr>
          <w:rStyle w:val="40"/>
          <w:color w:val="auto"/>
        </w:rPr>
        <w:fldChar w:fldCharType="end"/>
      </w:r>
    </w:p>
    <w:p w14:paraId="17A8A1FF">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"_Toc182499028"</w:instrText>
      </w:r>
      <w:r>
        <w:rPr>
          <w:rStyle w:val="40"/>
          <w:color w:val="auto"/>
        </w:rPr>
        <w:instrText xml:space="preserve"> </w:instrText>
      </w:r>
      <w:r>
        <w:rPr>
          <w:rStyle w:val="40"/>
          <w:color w:val="auto"/>
        </w:rPr>
        <w:fldChar w:fldCharType="separate"/>
      </w:r>
      <w:r>
        <w:rPr>
          <w:rStyle w:val="40"/>
          <w:color w:val="auto"/>
        </w:rPr>
        <w:t xml:space="preserve">15.2  </w:t>
      </w:r>
      <w:r>
        <w:rPr>
          <w:rStyle w:val="40"/>
          <w:rFonts w:hint="eastAsia"/>
          <w:color w:val="auto"/>
        </w:rPr>
        <w:t>土方开挖与回填</w:t>
      </w:r>
      <w:r>
        <w:rPr>
          <w:color w:val="auto"/>
        </w:rPr>
        <w:tab/>
      </w:r>
      <w:r>
        <w:rPr>
          <w:color w:val="auto"/>
        </w:rPr>
        <w:fldChar w:fldCharType="begin"/>
      </w:r>
      <w:r>
        <w:rPr>
          <w:color w:val="auto"/>
        </w:rPr>
        <w:instrText xml:space="preserve"> PAGEREF _Toc182499028 \h </w:instrText>
      </w:r>
      <w:r>
        <w:rPr>
          <w:color w:val="auto"/>
        </w:rPr>
        <w:fldChar w:fldCharType="separate"/>
      </w:r>
      <w:r>
        <w:rPr>
          <w:color w:val="auto"/>
        </w:rPr>
        <w:t>208</w:t>
      </w:r>
      <w:r>
        <w:rPr>
          <w:color w:val="auto"/>
        </w:rPr>
        <w:fldChar w:fldCharType="end"/>
      </w:r>
      <w:r>
        <w:rPr>
          <w:rStyle w:val="40"/>
          <w:color w:val="auto"/>
        </w:rPr>
        <w:fldChar w:fldCharType="end"/>
      </w:r>
    </w:p>
    <w:p w14:paraId="67B11670">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"_Toc182499029"</w:instrText>
      </w:r>
      <w:r>
        <w:rPr>
          <w:rStyle w:val="40"/>
          <w:color w:val="auto"/>
        </w:rPr>
        <w:instrText xml:space="preserve"> </w:instrText>
      </w:r>
      <w:r>
        <w:rPr>
          <w:rStyle w:val="40"/>
          <w:color w:val="auto"/>
        </w:rPr>
        <w:fldChar w:fldCharType="separate"/>
      </w:r>
      <w:r>
        <w:rPr>
          <w:rStyle w:val="40"/>
          <w:color w:val="auto"/>
        </w:rPr>
        <w:t xml:space="preserve">15.3  </w:t>
      </w:r>
      <w:r>
        <w:rPr>
          <w:rStyle w:val="40"/>
          <w:rFonts w:hint="eastAsia"/>
          <w:color w:val="auto"/>
        </w:rPr>
        <w:t>大体积基础混凝土施工</w:t>
      </w:r>
      <w:r>
        <w:rPr>
          <w:color w:val="auto"/>
        </w:rPr>
        <w:tab/>
      </w:r>
      <w:r>
        <w:rPr>
          <w:color w:val="auto"/>
        </w:rPr>
        <w:fldChar w:fldCharType="begin"/>
      </w:r>
      <w:r>
        <w:rPr>
          <w:color w:val="auto"/>
        </w:rPr>
        <w:instrText xml:space="preserve"> PAGEREF _Toc182499029 \h </w:instrText>
      </w:r>
      <w:r>
        <w:rPr>
          <w:color w:val="auto"/>
        </w:rPr>
        <w:fldChar w:fldCharType="separate"/>
      </w:r>
      <w:r>
        <w:rPr>
          <w:color w:val="auto"/>
        </w:rPr>
        <w:t>208</w:t>
      </w:r>
      <w:r>
        <w:rPr>
          <w:color w:val="auto"/>
        </w:rPr>
        <w:fldChar w:fldCharType="end"/>
      </w:r>
      <w:r>
        <w:rPr>
          <w:rStyle w:val="40"/>
          <w:color w:val="auto"/>
        </w:rPr>
        <w:fldChar w:fldCharType="end"/>
      </w:r>
    </w:p>
    <w:p w14:paraId="6DE40F4F">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"_Toc182499030"</w:instrText>
      </w:r>
      <w:r>
        <w:rPr>
          <w:rStyle w:val="40"/>
          <w:color w:val="auto"/>
        </w:rPr>
        <w:instrText xml:space="preserve"> </w:instrText>
      </w:r>
      <w:r>
        <w:rPr>
          <w:rStyle w:val="40"/>
          <w:color w:val="auto"/>
        </w:rPr>
        <w:fldChar w:fldCharType="separate"/>
      </w:r>
      <w:r>
        <w:rPr>
          <w:rStyle w:val="40"/>
          <w:color w:val="auto"/>
        </w:rPr>
        <w:t xml:space="preserve">15.4  </w:t>
      </w:r>
      <w:r>
        <w:rPr>
          <w:rStyle w:val="40"/>
          <w:rFonts w:hint="eastAsia"/>
          <w:color w:val="auto"/>
        </w:rPr>
        <w:t>钻孔灌注桩后压浆施工</w:t>
      </w:r>
      <w:r>
        <w:rPr>
          <w:color w:val="auto"/>
        </w:rPr>
        <w:tab/>
      </w:r>
      <w:r>
        <w:rPr>
          <w:color w:val="auto"/>
        </w:rPr>
        <w:fldChar w:fldCharType="begin"/>
      </w:r>
      <w:r>
        <w:rPr>
          <w:color w:val="auto"/>
        </w:rPr>
        <w:instrText xml:space="preserve"> PAGEREF _Toc182499030 \h </w:instrText>
      </w:r>
      <w:r>
        <w:rPr>
          <w:color w:val="auto"/>
        </w:rPr>
        <w:fldChar w:fldCharType="separate"/>
      </w:r>
      <w:r>
        <w:rPr>
          <w:color w:val="auto"/>
        </w:rPr>
        <w:t>209</w:t>
      </w:r>
      <w:r>
        <w:rPr>
          <w:color w:val="auto"/>
        </w:rPr>
        <w:fldChar w:fldCharType="end"/>
      </w:r>
      <w:r>
        <w:rPr>
          <w:rStyle w:val="40"/>
          <w:color w:val="auto"/>
        </w:rPr>
        <w:fldChar w:fldCharType="end"/>
      </w:r>
    </w:p>
    <w:p w14:paraId="693AFB94">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"_Toc182499031"</w:instrText>
      </w:r>
      <w:r>
        <w:rPr>
          <w:rStyle w:val="40"/>
          <w:color w:val="auto"/>
        </w:rPr>
        <w:instrText xml:space="preserve"> </w:instrText>
      </w:r>
      <w:r>
        <w:rPr>
          <w:rStyle w:val="40"/>
          <w:color w:val="auto"/>
        </w:rPr>
        <w:fldChar w:fldCharType="separate"/>
      </w:r>
      <w:r>
        <w:rPr>
          <w:rStyle w:val="40"/>
          <w:color w:val="auto"/>
        </w:rPr>
        <w:t xml:space="preserve">15.5  </w:t>
      </w:r>
      <w:r>
        <w:rPr>
          <w:rStyle w:val="40"/>
          <w:rFonts w:hint="eastAsia"/>
          <w:color w:val="auto"/>
        </w:rPr>
        <w:t>长螺旋钻孔压灌桩施工</w:t>
      </w:r>
      <w:r>
        <w:rPr>
          <w:color w:val="auto"/>
        </w:rPr>
        <w:tab/>
      </w:r>
      <w:r>
        <w:rPr>
          <w:color w:val="auto"/>
        </w:rPr>
        <w:fldChar w:fldCharType="begin"/>
      </w:r>
      <w:r>
        <w:rPr>
          <w:color w:val="auto"/>
        </w:rPr>
        <w:instrText xml:space="preserve"> PAGEREF _Toc182499031 \h </w:instrText>
      </w:r>
      <w:r>
        <w:rPr>
          <w:color w:val="auto"/>
        </w:rPr>
        <w:fldChar w:fldCharType="separate"/>
      </w:r>
      <w:r>
        <w:rPr>
          <w:color w:val="auto"/>
        </w:rPr>
        <w:t>210</w:t>
      </w:r>
      <w:r>
        <w:rPr>
          <w:color w:val="auto"/>
        </w:rPr>
        <w:fldChar w:fldCharType="end"/>
      </w:r>
      <w:r>
        <w:rPr>
          <w:rStyle w:val="40"/>
          <w:color w:val="auto"/>
        </w:rPr>
        <w:fldChar w:fldCharType="end"/>
      </w:r>
    </w:p>
    <w:p w14:paraId="47EC9F57">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"_Toc182499032"</w:instrText>
      </w:r>
      <w:r>
        <w:rPr>
          <w:rStyle w:val="40"/>
          <w:color w:val="auto"/>
        </w:rPr>
        <w:instrText xml:space="preserve"> </w:instrText>
      </w:r>
      <w:r>
        <w:rPr>
          <w:rStyle w:val="40"/>
          <w:color w:val="auto"/>
        </w:rPr>
        <w:fldChar w:fldCharType="separate"/>
      </w:r>
      <w:r>
        <w:rPr>
          <w:rStyle w:val="40"/>
          <w:color w:val="auto"/>
        </w:rPr>
        <w:t xml:space="preserve">15.6  </w:t>
      </w:r>
      <w:r>
        <w:rPr>
          <w:rStyle w:val="40"/>
          <w:rFonts w:hint="eastAsia"/>
          <w:color w:val="auto"/>
        </w:rPr>
        <w:t>旋挖灌注桩施工</w:t>
      </w:r>
      <w:r>
        <w:rPr>
          <w:color w:val="auto"/>
        </w:rPr>
        <w:tab/>
      </w:r>
      <w:r>
        <w:rPr>
          <w:color w:val="auto"/>
        </w:rPr>
        <w:fldChar w:fldCharType="begin"/>
      </w:r>
      <w:r>
        <w:rPr>
          <w:color w:val="auto"/>
        </w:rPr>
        <w:instrText xml:space="preserve"> PAGEREF _Toc182499032 \h </w:instrText>
      </w:r>
      <w:r>
        <w:rPr>
          <w:color w:val="auto"/>
        </w:rPr>
        <w:fldChar w:fldCharType="separate"/>
      </w:r>
      <w:r>
        <w:rPr>
          <w:color w:val="auto"/>
        </w:rPr>
        <w:t>210</w:t>
      </w:r>
      <w:r>
        <w:rPr>
          <w:color w:val="auto"/>
        </w:rPr>
        <w:fldChar w:fldCharType="end"/>
      </w:r>
      <w:r>
        <w:rPr>
          <w:rStyle w:val="40"/>
          <w:color w:val="auto"/>
        </w:rPr>
        <w:fldChar w:fldCharType="end"/>
      </w:r>
    </w:p>
    <w:p w14:paraId="1BB2F602">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"_Toc182499033"</w:instrText>
      </w:r>
      <w:r>
        <w:rPr>
          <w:rStyle w:val="40"/>
          <w:color w:val="auto"/>
        </w:rPr>
        <w:instrText xml:space="preserve"> </w:instrText>
      </w:r>
      <w:r>
        <w:rPr>
          <w:rStyle w:val="40"/>
          <w:color w:val="auto"/>
        </w:rPr>
        <w:fldChar w:fldCharType="separate"/>
      </w:r>
      <w:r>
        <w:rPr>
          <w:rStyle w:val="40"/>
          <w:color w:val="auto"/>
        </w:rPr>
        <w:t xml:space="preserve">15.7  </w:t>
      </w:r>
      <w:r>
        <w:rPr>
          <w:rStyle w:val="40"/>
          <w:rFonts w:hint="eastAsia"/>
          <w:color w:val="auto"/>
        </w:rPr>
        <w:t>岩溶地质条件下的灌注桩施工</w:t>
      </w:r>
      <w:r>
        <w:rPr>
          <w:color w:val="auto"/>
        </w:rPr>
        <w:tab/>
      </w:r>
      <w:r>
        <w:rPr>
          <w:color w:val="auto"/>
        </w:rPr>
        <w:fldChar w:fldCharType="begin"/>
      </w:r>
      <w:r>
        <w:rPr>
          <w:color w:val="auto"/>
        </w:rPr>
        <w:instrText xml:space="preserve"> PAGEREF _Toc182499033 \h </w:instrText>
      </w:r>
      <w:r>
        <w:rPr>
          <w:color w:val="auto"/>
        </w:rPr>
        <w:fldChar w:fldCharType="separate"/>
      </w:r>
      <w:r>
        <w:rPr>
          <w:color w:val="auto"/>
        </w:rPr>
        <w:t>210</w:t>
      </w:r>
      <w:r>
        <w:rPr>
          <w:color w:val="auto"/>
        </w:rPr>
        <w:fldChar w:fldCharType="end"/>
      </w:r>
      <w:r>
        <w:rPr>
          <w:rStyle w:val="40"/>
          <w:color w:val="auto"/>
        </w:rPr>
        <w:fldChar w:fldCharType="end"/>
      </w:r>
    </w:p>
    <w:p w14:paraId="1D67AC3F">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"_Toc182499034"</w:instrText>
      </w:r>
      <w:r>
        <w:rPr>
          <w:rStyle w:val="40"/>
          <w:color w:val="auto"/>
        </w:rPr>
        <w:instrText xml:space="preserve"> </w:instrText>
      </w:r>
      <w:r>
        <w:rPr>
          <w:rStyle w:val="40"/>
          <w:color w:val="auto"/>
        </w:rPr>
        <w:fldChar w:fldCharType="separate"/>
      </w:r>
      <w:r>
        <w:rPr>
          <w:rStyle w:val="40"/>
          <w:color w:val="auto"/>
        </w:rPr>
        <w:t xml:space="preserve">15.8  </w:t>
      </w:r>
      <w:r>
        <w:rPr>
          <w:rStyle w:val="40"/>
          <w:rFonts w:hint="eastAsia"/>
          <w:color w:val="auto"/>
        </w:rPr>
        <w:t>预制桩施工</w:t>
      </w:r>
      <w:r>
        <w:rPr>
          <w:color w:val="auto"/>
        </w:rPr>
        <w:tab/>
      </w:r>
      <w:r>
        <w:rPr>
          <w:color w:val="auto"/>
        </w:rPr>
        <w:fldChar w:fldCharType="begin"/>
      </w:r>
      <w:r>
        <w:rPr>
          <w:color w:val="auto"/>
        </w:rPr>
        <w:instrText xml:space="preserve"> PAGEREF _Toc182499034 \h </w:instrText>
      </w:r>
      <w:r>
        <w:rPr>
          <w:color w:val="auto"/>
        </w:rPr>
        <w:fldChar w:fldCharType="separate"/>
      </w:r>
      <w:r>
        <w:rPr>
          <w:color w:val="auto"/>
        </w:rPr>
        <w:t>210</w:t>
      </w:r>
      <w:r>
        <w:rPr>
          <w:color w:val="auto"/>
        </w:rPr>
        <w:fldChar w:fldCharType="end"/>
      </w:r>
      <w:r>
        <w:rPr>
          <w:rStyle w:val="40"/>
          <w:color w:val="auto"/>
        </w:rPr>
        <w:fldChar w:fldCharType="end"/>
      </w:r>
    </w:p>
    <w:p w14:paraId="1761AA8C">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"_Toc182499035"</w:instrText>
      </w:r>
      <w:r>
        <w:rPr>
          <w:rStyle w:val="40"/>
          <w:color w:val="auto"/>
        </w:rPr>
        <w:instrText xml:space="preserve"> </w:instrText>
      </w:r>
      <w:r>
        <w:rPr>
          <w:rStyle w:val="40"/>
          <w:color w:val="auto"/>
        </w:rPr>
        <w:fldChar w:fldCharType="separate"/>
      </w:r>
      <w:r>
        <w:rPr>
          <w:rStyle w:val="40"/>
          <w:color w:val="auto"/>
        </w:rPr>
        <w:t xml:space="preserve">15.9  </w:t>
      </w:r>
      <w:r>
        <w:rPr>
          <w:rStyle w:val="40"/>
          <w:rFonts w:hint="eastAsia"/>
          <w:color w:val="auto"/>
        </w:rPr>
        <w:t>山区地基施工</w:t>
      </w:r>
      <w:r>
        <w:rPr>
          <w:color w:val="auto"/>
        </w:rPr>
        <w:tab/>
      </w:r>
      <w:r>
        <w:rPr>
          <w:color w:val="auto"/>
        </w:rPr>
        <w:fldChar w:fldCharType="begin"/>
      </w:r>
      <w:r>
        <w:rPr>
          <w:color w:val="auto"/>
        </w:rPr>
        <w:instrText xml:space="preserve"> PAGEREF _Toc182499035 \h </w:instrText>
      </w:r>
      <w:r>
        <w:rPr>
          <w:color w:val="auto"/>
        </w:rPr>
        <w:fldChar w:fldCharType="separate"/>
      </w:r>
      <w:r>
        <w:rPr>
          <w:color w:val="auto"/>
        </w:rPr>
        <w:t>211</w:t>
      </w:r>
      <w:r>
        <w:rPr>
          <w:color w:val="auto"/>
        </w:rPr>
        <w:fldChar w:fldCharType="end"/>
      </w:r>
      <w:r>
        <w:rPr>
          <w:rStyle w:val="40"/>
          <w:color w:val="auto"/>
        </w:rPr>
        <w:fldChar w:fldCharType="end"/>
      </w:r>
    </w:p>
    <w:p w14:paraId="1FF1E316">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"_Toc182499036"</w:instrText>
      </w:r>
      <w:r>
        <w:rPr>
          <w:rStyle w:val="40"/>
          <w:color w:val="auto"/>
        </w:rPr>
        <w:instrText xml:space="preserve"> </w:instrText>
      </w:r>
      <w:r>
        <w:rPr>
          <w:rStyle w:val="40"/>
          <w:color w:val="auto"/>
        </w:rPr>
        <w:fldChar w:fldCharType="separate"/>
      </w:r>
      <w:r>
        <w:rPr>
          <w:rStyle w:val="40"/>
          <w:color w:val="auto"/>
        </w:rPr>
        <w:t xml:space="preserve">15.10  </w:t>
      </w:r>
      <w:r>
        <w:rPr>
          <w:rStyle w:val="40"/>
          <w:rFonts w:hint="eastAsia"/>
          <w:color w:val="auto"/>
        </w:rPr>
        <w:t>其他灌注桩的施工要点</w:t>
      </w:r>
      <w:r>
        <w:rPr>
          <w:color w:val="auto"/>
        </w:rPr>
        <w:tab/>
      </w:r>
      <w:r>
        <w:rPr>
          <w:color w:val="auto"/>
        </w:rPr>
        <w:fldChar w:fldCharType="begin"/>
      </w:r>
      <w:r>
        <w:rPr>
          <w:color w:val="auto"/>
        </w:rPr>
        <w:instrText xml:space="preserve"> PAGEREF _Toc182499036 \h </w:instrText>
      </w:r>
      <w:r>
        <w:rPr>
          <w:color w:val="auto"/>
        </w:rPr>
        <w:fldChar w:fldCharType="separate"/>
      </w:r>
      <w:r>
        <w:rPr>
          <w:color w:val="auto"/>
        </w:rPr>
        <w:t>212</w:t>
      </w:r>
      <w:r>
        <w:rPr>
          <w:color w:val="auto"/>
        </w:rPr>
        <w:fldChar w:fldCharType="end"/>
      </w:r>
      <w:r>
        <w:rPr>
          <w:rStyle w:val="40"/>
          <w:color w:val="auto"/>
        </w:rPr>
        <w:fldChar w:fldCharType="end"/>
      </w:r>
    </w:p>
    <w:p w14:paraId="732723D3">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"_Toc182499037"</w:instrText>
      </w:r>
      <w:r>
        <w:rPr>
          <w:rStyle w:val="40"/>
          <w:color w:val="auto"/>
        </w:rPr>
        <w:instrText xml:space="preserve"> </w:instrText>
      </w:r>
      <w:r>
        <w:rPr>
          <w:rStyle w:val="40"/>
          <w:color w:val="auto"/>
        </w:rPr>
        <w:fldChar w:fldCharType="separate"/>
      </w:r>
      <w:r>
        <w:rPr>
          <w:rStyle w:val="40"/>
          <w:b/>
          <w:snapToGrid w:val="0"/>
          <w:color w:val="auto"/>
        </w:rPr>
        <w:t>16</w:t>
      </w:r>
      <w:r>
        <w:rPr>
          <w:rFonts w:ascii="Calibri" w:hAnsi="Calibri"/>
          <w:color w:val="auto"/>
          <w:szCs w:val="22"/>
        </w:rPr>
        <w:tab/>
      </w:r>
      <w:r>
        <w:rPr>
          <w:rStyle w:val="40"/>
          <w:rFonts w:hint="eastAsia"/>
          <w:b/>
          <w:color w:val="auto"/>
        </w:rPr>
        <w:t>轨道交通与邻近建筑</w:t>
      </w:r>
      <w:r>
        <w:rPr>
          <w:color w:val="auto"/>
        </w:rPr>
        <w:tab/>
      </w:r>
      <w:r>
        <w:rPr>
          <w:color w:val="auto"/>
        </w:rPr>
        <w:fldChar w:fldCharType="begin"/>
      </w:r>
      <w:r>
        <w:rPr>
          <w:color w:val="auto"/>
        </w:rPr>
        <w:instrText xml:space="preserve"> PAGEREF _Toc182499037 \h </w:instrText>
      </w:r>
      <w:r>
        <w:rPr>
          <w:color w:val="auto"/>
        </w:rPr>
        <w:fldChar w:fldCharType="separate"/>
      </w:r>
      <w:r>
        <w:rPr>
          <w:color w:val="auto"/>
        </w:rPr>
        <w:t>212</w:t>
      </w:r>
      <w:r>
        <w:rPr>
          <w:color w:val="auto"/>
        </w:rPr>
        <w:fldChar w:fldCharType="end"/>
      </w:r>
      <w:r>
        <w:rPr>
          <w:rStyle w:val="40"/>
          <w:color w:val="auto"/>
        </w:rPr>
        <w:fldChar w:fldCharType="end"/>
      </w:r>
    </w:p>
    <w:p w14:paraId="694D3B53">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"_Toc182499038"</w:instrText>
      </w:r>
      <w:r>
        <w:rPr>
          <w:rStyle w:val="40"/>
          <w:color w:val="auto"/>
        </w:rPr>
        <w:instrText xml:space="preserve"> </w:instrText>
      </w:r>
      <w:r>
        <w:rPr>
          <w:rStyle w:val="40"/>
          <w:color w:val="auto"/>
        </w:rPr>
        <w:fldChar w:fldCharType="separate"/>
      </w:r>
      <w:r>
        <w:rPr>
          <w:rStyle w:val="40"/>
          <w:color w:val="auto"/>
        </w:rPr>
        <w:t xml:space="preserve">16.1 </w:t>
      </w:r>
      <w:r>
        <w:rPr>
          <w:rStyle w:val="40"/>
          <w:rFonts w:hint="eastAsia"/>
          <w:color w:val="auto"/>
        </w:rPr>
        <w:t>一般规定</w:t>
      </w:r>
      <w:r>
        <w:rPr>
          <w:color w:val="auto"/>
        </w:rPr>
        <w:tab/>
      </w:r>
      <w:r>
        <w:rPr>
          <w:color w:val="auto"/>
        </w:rPr>
        <w:fldChar w:fldCharType="begin"/>
      </w:r>
      <w:r>
        <w:rPr>
          <w:color w:val="auto"/>
        </w:rPr>
        <w:instrText xml:space="preserve"> PAGEREF _Toc182499038 \h </w:instrText>
      </w:r>
      <w:r>
        <w:rPr>
          <w:color w:val="auto"/>
        </w:rPr>
        <w:fldChar w:fldCharType="separate"/>
      </w:r>
      <w:r>
        <w:rPr>
          <w:color w:val="auto"/>
        </w:rPr>
        <w:t>212</w:t>
      </w:r>
      <w:r>
        <w:rPr>
          <w:color w:val="auto"/>
        </w:rPr>
        <w:fldChar w:fldCharType="end"/>
      </w:r>
      <w:r>
        <w:rPr>
          <w:rStyle w:val="40"/>
          <w:color w:val="auto"/>
        </w:rPr>
        <w:fldChar w:fldCharType="end"/>
      </w:r>
    </w:p>
    <w:p w14:paraId="079E440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"_Toc182499039"</w:instrText>
      </w:r>
      <w:r>
        <w:rPr>
          <w:rStyle w:val="40"/>
          <w:color w:val="auto"/>
        </w:rPr>
        <w:instrText xml:space="preserve"> </w:instrText>
      </w:r>
      <w:r>
        <w:rPr>
          <w:rStyle w:val="40"/>
          <w:color w:val="auto"/>
        </w:rPr>
        <w:fldChar w:fldCharType="separate"/>
      </w:r>
      <w:r>
        <w:rPr>
          <w:rStyle w:val="40"/>
          <w:color w:val="auto"/>
        </w:rPr>
        <w:t xml:space="preserve">16.2 </w:t>
      </w:r>
      <w:r>
        <w:rPr>
          <w:rStyle w:val="40"/>
          <w:rFonts w:hint="eastAsia"/>
          <w:color w:val="auto"/>
        </w:rPr>
        <w:t>工程勘察</w:t>
      </w:r>
      <w:r>
        <w:rPr>
          <w:color w:val="auto"/>
        </w:rPr>
        <w:tab/>
      </w:r>
      <w:r>
        <w:rPr>
          <w:color w:val="auto"/>
        </w:rPr>
        <w:fldChar w:fldCharType="begin"/>
      </w:r>
      <w:r>
        <w:rPr>
          <w:color w:val="auto"/>
        </w:rPr>
        <w:instrText xml:space="preserve"> PAGEREF _Toc182499039 \h </w:instrText>
      </w:r>
      <w:r>
        <w:rPr>
          <w:color w:val="auto"/>
        </w:rPr>
        <w:fldChar w:fldCharType="separate"/>
      </w:r>
      <w:r>
        <w:rPr>
          <w:color w:val="auto"/>
        </w:rPr>
        <w:t>213</w:t>
      </w:r>
      <w:r>
        <w:rPr>
          <w:color w:val="auto"/>
        </w:rPr>
        <w:fldChar w:fldCharType="end"/>
      </w:r>
      <w:r>
        <w:rPr>
          <w:rStyle w:val="40"/>
          <w:color w:val="auto"/>
        </w:rPr>
        <w:fldChar w:fldCharType="end"/>
      </w:r>
    </w:p>
    <w:p w14:paraId="1D2EDC78">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"_Toc182499040"</w:instrText>
      </w:r>
      <w:r>
        <w:rPr>
          <w:rStyle w:val="40"/>
          <w:color w:val="auto"/>
        </w:rPr>
        <w:instrText xml:space="preserve"> </w:instrText>
      </w:r>
      <w:r>
        <w:rPr>
          <w:rStyle w:val="40"/>
          <w:color w:val="auto"/>
        </w:rPr>
        <w:fldChar w:fldCharType="separate"/>
      </w:r>
      <w:r>
        <w:rPr>
          <w:rStyle w:val="40"/>
          <w:color w:val="auto"/>
        </w:rPr>
        <w:t xml:space="preserve">16.3  </w:t>
      </w:r>
      <w:r>
        <w:rPr>
          <w:rStyle w:val="40"/>
          <w:rFonts w:hint="eastAsia"/>
          <w:color w:val="auto"/>
        </w:rPr>
        <w:t>轨道交通地下工程设计</w:t>
      </w:r>
      <w:r>
        <w:rPr>
          <w:color w:val="auto"/>
        </w:rPr>
        <w:tab/>
      </w:r>
      <w:r>
        <w:rPr>
          <w:color w:val="auto"/>
        </w:rPr>
        <w:fldChar w:fldCharType="begin"/>
      </w:r>
      <w:r>
        <w:rPr>
          <w:color w:val="auto"/>
        </w:rPr>
        <w:instrText xml:space="preserve"> PAGEREF _Toc182499040 \h </w:instrText>
      </w:r>
      <w:r>
        <w:rPr>
          <w:color w:val="auto"/>
        </w:rPr>
        <w:fldChar w:fldCharType="separate"/>
      </w:r>
      <w:r>
        <w:rPr>
          <w:color w:val="auto"/>
        </w:rPr>
        <w:t>214</w:t>
      </w:r>
      <w:r>
        <w:rPr>
          <w:color w:val="auto"/>
        </w:rPr>
        <w:fldChar w:fldCharType="end"/>
      </w:r>
      <w:r>
        <w:rPr>
          <w:rStyle w:val="40"/>
          <w:color w:val="auto"/>
        </w:rPr>
        <w:fldChar w:fldCharType="end"/>
      </w:r>
    </w:p>
    <w:p w14:paraId="7C6FC1C5">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"_Toc182499041"</w:instrText>
      </w:r>
      <w:r>
        <w:rPr>
          <w:rStyle w:val="40"/>
          <w:color w:val="auto"/>
        </w:rPr>
        <w:instrText xml:space="preserve"> </w:instrText>
      </w:r>
      <w:r>
        <w:rPr>
          <w:rStyle w:val="40"/>
          <w:color w:val="auto"/>
        </w:rPr>
        <w:fldChar w:fldCharType="separate"/>
      </w:r>
      <w:r>
        <w:rPr>
          <w:rStyle w:val="40"/>
          <w:color w:val="auto"/>
        </w:rPr>
        <w:t xml:space="preserve">16.4  </w:t>
      </w:r>
      <w:r>
        <w:rPr>
          <w:rStyle w:val="40"/>
          <w:rFonts w:hint="eastAsia"/>
          <w:color w:val="auto"/>
        </w:rPr>
        <w:t>围护结构与桩基检测</w:t>
      </w:r>
      <w:r>
        <w:rPr>
          <w:color w:val="auto"/>
        </w:rPr>
        <w:tab/>
      </w:r>
      <w:r>
        <w:rPr>
          <w:color w:val="auto"/>
        </w:rPr>
        <w:fldChar w:fldCharType="begin"/>
      </w:r>
      <w:r>
        <w:rPr>
          <w:color w:val="auto"/>
        </w:rPr>
        <w:instrText xml:space="preserve"> PAGEREF _Toc182499041 \h </w:instrText>
      </w:r>
      <w:r>
        <w:rPr>
          <w:color w:val="auto"/>
        </w:rPr>
        <w:fldChar w:fldCharType="separate"/>
      </w:r>
      <w:r>
        <w:rPr>
          <w:color w:val="auto"/>
        </w:rPr>
        <w:t>217</w:t>
      </w:r>
      <w:r>
        <w:rPr>
          <w:color w:val="auto"/>
        </w:rPr>
        <w:fldChar w:fldCharType="end"/>
      </w:r>
      <w:r>
        <w:rPr>
          <w:rStyle w:val="40"/>
          <w:color w:val="auto"/>
        </w:rPr>
        <w:fldChar w:fldCharType="end"/>
      </w:r>
    </w:p>
    <w:p w14:paraId="14570603">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"_Toc182499042"</w:instrText>
      </w:r>
      <w:r>
        <w:rPr>
          <w:rStyle w:val="40"/>
          <w:color w:val="auto"/>
        </w:rPr>
        <w:instrText xml:space="preserve"> </w:instrText>
      </w:r>
      <w:r>
        <w:rPr>
          <w:rStyle w:val="40"/>
          <w:color w:val="auto"/>
        </w:rPr>
        <w:fldChar w:fldCharType="separate"/>
      </w:r>
      <w:r>
        <w:rPr>
          <w:rStyle w:val="40"/>
          <w:color w:val="auto"/>
        </w:rPr>
        <w:t xml:space="preserve">16.5 </w:t>
      </w:r>
      <w:r>
        <w:rPr>
          <w:rStyle w:val="40"/>
          <w:rFonts w:hint="eastAsia"/>
          <w:color w:val="auto"/>
        </w:rPr>
        <w:t>规划控制</w:t>
      </w:r>
      <w:r>
        <w:rPr>
          <w:color w:val="auto"/>
        </w:rPr>
        <w:tab/>
      </w:r>
      <w:r>
        <w:rPr>
          <w:color w:val="auto"/>
        </w:rPr>
        <w:fldChar w:fldCharType="begin"/>
      </w:r>
      <w:r>
        <w:rPr>
          <w:color w:val="auto"/>
        </w:rPr>
        <w:instrText xml:space="preserve"> PAGEREF _Toc182499042 \h </w:instrText>
      </w:r>
      <w:r>
        <w:rPr>
          <w:color w:val="auto"/>
        </w:rPr>
        <w:fldChar w:fldCharType="separate"/>
      </w:r>
      <w:r>
        <w:rPr>
          <w:color w:val="auto"/>
        </w:rPr>
        <w:t>218</w:t>
      </w:r>
      <w:r>
        <w:rPr>
          <w:color w:val="auto"/>
        </w:rPr>
        <w:fldChar w:fldCharType="end"/>
      </w:r>
      <w:r>
        <w:rPr>
          <w:rStyle w:val="40"/>
          <w:color w:val="auto"/>
        </w:rPr>
        <w:fldChar w:fldCharType="end"/>
      </w:r>
    </w:p>
    <w:p w14:paraId="3BDD6715">
      <w:pPr>
        <w:pStyle w:val="25"/>
        <w:tabs>
          <w:tab w:val="left" w:pos="630"/>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"_Toc182499043"</w:instrText>
      </w:r>
      <w:r>
        <w:rPr>
          <w:rStyle w:val="40"/>
          <w:color w:val="auto"/>
        </w:rPr>
        <w:instrText xml:space="preserve"> </w:instrText>
      </w:r>
      <w:r>
        <w:rPr>
          <w:rStyle w:val="40"/>
          <w:color w:val="auto"/>
        </w:rPr>
        <w:fldChar w:fldCharType="separate"/>
      </w:r>
      <w:r>
        <w:rPr>
          <w:rStyle w:val="40"/>
          <w:b/>
          <w:color w:val="auto"/>
        </w:rPr>
        <w:t>17</w:t>
      </w:r>
      <w:r>
        <w:rPr>
          <w:rFonts w:ascii="Calibri" w:hAnsi="Calibri"/>
          <w:color w:val="auto"/>
          <w:szCs w:val="22"/>
        </w:rPr>
        <w:tab/>
      </w:r>
      <w:r>
        <w:rPr>
          <w:rStyle w:val="40"/>
          <w:rFonts w:hint="eastAsia"/>
          <w:b/>
          <w:color w:val="auto"/>
        </w:rPr>
        <w:t>检验与监测</w:t>
      </w:r>
      <w:r>
        <w:rPr>
          <w:color w:val="auto"/>
        </w:rPr>
        <w:tab/>
      </w:r>
      <w:r>
        <w:rPr>
          <w:color w:val="auto"/>
        </w:rPr>
        <w:fldChar w:fldCharType="begin"/>
      </w:r>
      <w:r>
        <w:rPr>
          <w:color w:val="auto"/>
        </w:rPr>
        <w:instrText xml:space="preserve"> PAGEREF _Toc182499043 \h </w:instrText>
      </w:r>
      <w:r>
        <w:rPr>
          <w:color w:val="auto"/>
        </w:rPr>
        <w:fldChar w:fldCharType="separate"/>
      </w:r>
      <w:r>
        <w:rPr>
          <w:color w:val="auto"/>
        </w:rPr>
        <w:t>218</w:t>
      </w:r>
      <w:r>
        <w:rPr>
          <w:color w:val="auto"/>
        </w:rPr>
        <w:fldChar w:fldCharType="end"/>
      </w:r>
      <w:r>
        <w:rPr>
          <w:rStyle w:val="40"/>
          <w:color w:val="auto"/>
        </w:rPr>
        <w:fldChar w:fldCharType="end"/>
      </w:r>
    </w:p>
    <w:p w14:paraId="5D3529D6">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"_Toc182499044"</w:instrText>
      </w:r>
      <w:r>
        <w:rPr>
          <w:rStyle w:val="40"/>
          <w:color w:val="auto"/>
        </w:rPr>
        <w:instrText xml:space="preserve"> </w:instrText>
      </w:r>
      <w:r>
        <w:rPr>
          <w:rStyle w:val="40"/>
          <w:color w:val="auto"/>
        </w:rPr>
        <w:fldChar w:fldCharType="separate"/>
      </w:r>
      <w:r>
        <w:rPr>
          <w:rStyle w:val="40"/>
          <w:color w:val="auto"/>
        </w:rPr>
        <w:t xml:space="preserve">17.1  </w:t>
      </w:r>
      <w:r>
        <w:rPr>
          <w:rStyle w:val="40"/>
          <w:rFonts w:hint="eastAsia"/>
          <w:color w:val="auto"/>
        </w:rPr>
        <w:t>检</w:t>
      </w:r>
      <w:r>
        <w:rPr>
          <w:rStyle w:val="40"/>
          <w:color w:val="auto"/>
        </w:rPr>
        <w:t xml:space="preserve"> </w:t>
      </w:r>
      <w:r>
        <w:rPr>
          <w:rStyle w:val="40"/>
          <w:rFonts w:hint="eastAsia"/>
          <w:color w:val="auto"/>
        </w:rPr>
        <w:t>验</w:t>
      </w:r>
      <w:r>
        <w:rPr>
          <w:color w:val="auto"/>
        </w:rPr>
        <w:tab/>
      </w:r>
      <w:r>
        <w:rPr>
          <w:color w:val="auto"/>
        </w:rPr>
        <w:fldChar w:fldCharType="begin"/>
      </w:r>
      <w:r>
        <w:rPr>
          <w:color w:val="auto"/>
        </w:rPr>
        <w:instrText xml:space="preserve"> PAGEREF _Toc182499044 \h </w:instrText>
      </w:r>
      <w:r>
        <w:rPr>
          <w:color w:val="auto"/>
        </w:rPr>
        <w:fldChar w:fldCharType="separate"/>
      </w:r>
      <w:r>
        <w:rPr>
          <w:color w:val="auto"/>
        </w:rPr>
        <w:t>218</w:t>
      </w:r>
      <w:r>
        <w:rPr>
          <w:color w:val="auto"/>
        </w:rPr>
        <w:fldChar w:fldCharType="end"/>
      </w:r>
      <w:r>
        <w:rPr>
          <w:rStyle w:val="40"/>
          <w:color w:val="auto"/>
        </w:rPr>
        <w:fldChar w:fldCharType="end"/>
      </w:r>
    </w:p>
    <w:p w14:paraId="00DE47AA">
      <w:pPr>
        <w:pStyle w:val="30"/>
        <w:tabs>
          <w:tab w:val="right" w:leader="dot" w:pos="9128"/>
        </w:tabs>
        <w:rPr>
          <w:color w:val="auto"/>
        </w:rPr>
      </w:pPr>
      <w:r>
        <w:rPr>
          <w:rStyle w:val="40"/>
          <w:color w:val="auto"/>
        </w:rPr>
        <w:fldChar w:fldCharType="begin"/>
      </w:r>
      <w:r>
        <w:rPr>
          <w:rStyle w:val="40"/>
          <w:color w:val="auto"/>
        </w:rPr>
        <w:instrText xml:space="preserve"> </w:instrText>
      </w:r>
      <w:r>
        <w:rPr>
          <w:color w:val="auto"/>
        </w:rPr>
        <w:instrText xml:space="preserve">HYPERLINK \l "_Toc182499045"</w:instrText>
      </w:r>
      <w:r>
        <w:rPr>
          <w:rStyle w:val="40"/>
          <w:color w:val="auto"/>
        </w:rPr>
        <w:instrText xml:space="preserve"> </w:instrText>
      </w:r>
      <w:r>
        <w:rPr>
          <w:rStyle w:val="40"/>
          <w:color w:val="auto"/>
        </w:rPr>
        <w:fldChar w:fldCharType="separate"/>
      </w:r>
      <w:r>
        <w:rPr>
          <w:rStyle w:val="40"/>
          <w:color w:val="auto"/>
        </w:rPr>
        <w:t xml:space="preserve">17.2  </w:t>
      </w:r>
      <w:r>
        <w:rPr>
          <w:rStyle w:val="40"/>
          <w:rFonts w:hint="eastAsia"/>
          <w:color w:val="auto"/>
        </w:rPr>
        <w:t>监测</w:t>
      </w:r>
      <w:r>
        <w:rPr>
          <w:color w:val="auto"/>
        </w:rPr>
        <w:tab/>
      </w:r>
      <w:r>
        <w:rPr>
          <w:color w:val="auto"/>
        </w:rPr>
        <w:fldChar w:fldCharType="begin"/>
      </w:r>
      <w:r>
        <w:rPr>
          <w:color w:val="auto"/>
        </w:rPr>
        <w:instrText xml:space="preserve"> PAGEREF _Toc182499045 \h </w:instrText>
      </w:r>
      <w:r>
        <w:rPr>
          <w:color w:val="auto"/>
        </w:rPr>
        <w:fldChar w:fldCharType="separate"/>
      </w:r>
      <w:r>
        <w:rPr>
          <w:color w:val="auto"/>
        </w:rPr>
        <w:t>219</w:t>
      </w:r>
      <w:r>
        <w:rPr>
          <w:color w:val="auto"/>
        </w:rPr>
        <w:fldChar w:fldCharType="end"/>
      </w:r>
      <w:r>
        <w:rPr>
          <w:rStyle w:val="40"/>
          <w:color w:val="auto"/>
        </w:rPr>
        <w:fldChar w:fldCharType="end"/>
      </w:r>
    </w:p>
    <w:p w14:paraId="7051EE7C">
      <w:pPr>
        <w:pStyle w:val="25"/>
        <w:tabs>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"_Toc182499046"</w:instrText>
      </w:r>
      <w:r>
        <w:rPr>
          <w:rStyle w:val="40"/>
          <w:color w:val="auto"/>
        </w:rPr>
        <w:instrText xml:space="preserve"> </w:instrText>
      </w:r>
      <w:r>
        <w:rPr>
          <w:rStyle w:val="40"/>
          <w:color w:val="auto"/>
        </w:rPr>
        <w:fldChar w:fldCharType="separate"/>
      </w:r>
      <w:r>
        <w:rPr>
          <w:rStyle w:val="40"/>
          <w:rFonts w:hint="eastAsia" w:ascii="黑体" w:hAnsi="黑体"/>
          <w:b/>
          <w:color w:val="auto"/>
        </w:rPr>
        <w:t>附录</w:t>
      </w:r>
      <w:r>
        <w:rPr>
          <w:rStyle w:val="40"/>
          <w:rFonts w:ascii="黑体" w:hAnsi="黑体"/>
          <w:b/>
          <w:color w:val="auto"/>
        </w:rPr>
        <w:t xml:space="preserve"> E</w:t>
      </w:r>
      <w:r>
        <w:rPr>
          <w:rStyle w:val="40"/>
          <w:color w:val="auto"/>
        </w:rPr>
        <w:fldChar w:fldCharType="end"/>
      </w:r>
      <w:r>
        <w:rPr>
          <w:rStyle w:val="40"/>
          <w:color w:val="auto"/>
        </w:rPr>
        <w:fldChar w:fldCharType="begin"/>
      </w:r>
      <w:r>
        <w:rPr>
          <w:rStyle w:val="40"/>
          <w:color w:val="auto"/>
        </w:rPr>
        <w:instrText xml:space="preserve"> </w:instrText>
      </w:r>
      <w:r>
        <w:rPr>
          <w:color w:val="auto"/>
        </w:rPr>
        <w:instrText xml:space="preserve">HYPERLINK \l "_Toc182499047"</w:instrText>
      </w:r>
      <w:r>
        <w:rPr>
          <w:rStyle w:val="40"/>
          <w:color w:val="auto"/>
        </w:rPr>
        <w:instrText xml:space="preserve"> </w:instrText>
      </w:r>
      <w:r>
        <w:rPr>
          <w:rStyle w:val="40"/>
          <w:color w:val="auto"/>
        </w:rPr>
        <w:fldChar w:fldCharType="separate"/>
      </w:r>
      <w:r>
        <w:rPr>
          <w:rStyle w:val="40"/>
          <w:rFonts w:ascii="黑体" w:hAnsi="黑体"/>
          <w:b/>
          <w:color w:val="auto"/>
        </w:rPr>
        <w:t>(</w:t>
      </w:r>
      <w:r>
        <w:rPr>
          <w:rStyle w:val="40"/>
          <w:rFonts w:hint="eastAsia" w:ascii="黑体" w:hAnsi="黑体"/>
          <w:b/>
          <w:color w:val="auto"/>
        </w:rPr>
        <w:t>规范性</w:t>
      </w:r>
      <w:r>
        <w:rPr>
          <w:rStyle w:val="40"/>
          <w:rFonts w:ascii="黑体" w:hAnsi="黑体"/>
          <w:b/>
          <w:color w:val="auto"/>
        </w:rPr>
        <w:t>)</w:t>
      </w:r>
      <w:r>
        <w:rPr>
          <w:rStyle w:val="40"/>
          <w:color w:val="auto"/>
        </w:rPr>
        <w:fldChar w:fldCharType="end"/>
      </w:r>
      <w:r>
        <w:rPr>
          <w:rStyle w:val="40"/>
          <w:color w:val="auto"/>
        </w:rPr>
        <w:fldChar w:fldCharType="begin"/>
      </w:r>
      <w:r>
        <w:rPr>
          <w:rStyle w:val="40"/>
          <w:color w:val="auto"/>
        </w:rPr>
        <w:instrText xml:space="preserve"> </w:instrText>
      </w:r>
      <w:r>
        <w:rPr>
          <w:color w:val="auto"/>
        </w:rPr>
        <w:instrText xml:space="preserve">HYPERLINK \l "_Toc182499048"</w:instrText>
      </w:r>
      <w:r>
        <w:rPr>
          <w:rStyle w:val="40"/>
          <w:color w:val="auto"/>
        </w:rPr>
        <w:instrText xml:space="preserve"> </w:instrText>
      </w:r>
      <w:r>
        <w:rPr>
          <w:rStyle w:val="40"/>
          <w:color w:val="auto"/>
        </w:rPr>
        <w:fldChar w:fldCharType="separate"/>
      </w:r>
      <w:r>
        <w:rPr>
          <w:rStyle w:val="40"/>
          <w:rFonts w:hint="eastAsia" w:ascii="黑体" w:hAnsi="黑体"/>
          <w:b/>
          <w:color w:val="auto"/>
        </w:rPr>
        <w:t>岩土承载力特征值、压缩性指标</w:t>
      </w:r>
      <w:r>
        <w:rPr>
          <w:color w:val="auto"/>
        </w:rPr>
        <w:tab/>
      </w:r>
      <w:r>
        <w:rPr>
          <w:color w:val="auto"/>
        </w:rPr>
        <w:fldChar w:fldCharType="begin"/>
      </w:r>
      <w:r>
        <w:rPr>
          <w:color w:val="auto"/>
        </w:rPr>
        <w:instrText xml:space="preserve"> PAGEREF _Toc182499048 \h </w:instrText>
      </w:r>
      <w:r>
        <w:rPr>
          <w:color w:val="auto"/>
        </w:rPr>
        <w:fldChar w:fldCharType="separate"/>
      </w:r>
      <w:r>
        <w:rPr>
          <w:color w:val="auto"/>
        </w:rPr>
        <w:t>220</w:t>
      </w:r>
      <w:r>
        <w:rPr>
          <w:color w:val="auto"/>
        </w:rPr>
        <w:fldChar w:fldCharType="end"/>
      </w:r>
      <w:r>
        <w:rPr>
          <w:rStyle w:val="40"/>
          <w:color w:val="auto"/>
        </w:rPr>
        <w:fldChar w:fldCharType="end"/>
      </w:r>
    </w:p>
    <w:p w14:paraId="21820A24">
      <w:pPr>
        <w:pStyle w:val="25"/>
        <w:tabs>
          <w:tab w:val="right" w:leader="dot" w:pos="9128"/>
        </w:tabs>
        <w:rPr>
          <w:rFonts w:ascii="Calibri" w:hAnsi="Calibri"/>
          <w:color w:val="auto"/>
          <w:szCs w:val="22"/>
        </w:rPr>
      </w:pPr>
      <w:r>
        <w:rPr>
          <w:rStyle w:val="40"/>
          <w:color w:val="auto"/>
        </w:rPr>
        <w:fldChar w:fldCharType="begin"/>
      </w:r>
      <w:r>
        <w:rPr>
          <w:rStyle w:val="40"/>
          <w:color w:val="auto"/>
        </w:rPr>
        <w:instrText xml:space="preserve"> </w:instrText>
      </w:r>
      <w:r>
        <w:rPr>
          <w:color w:val="auto"/>
        </w:rPr>
        <w:instrText xml:space="preserve">HYPERLINK \l "_Toc182499049"</w:instrText>
      </w:r>
      <w:r>
        <w:rPr>
          <w:rStyle w:val="40"/>
          <w:color w:val="auto"/>
        </w:rPr>
        <w:instrText xml:space="preserve"> </w:instrText>
      </w:r>
      <w:r>
        <w:rPr>
          <w:rStyle w:val="40"/>
          <w:color w:val="auto"/>
        </w:rPr>
        <w:fldChar w:fldCharType="separate"/>
      </w:r>
      <w:r>
        <w:rPr>
          <w:rStyle w:val="40"/>
          <w:rFonts w:hint="eastAsia" w:ascii="黑体" w:hAnsi="黑体"/>
          <w:b/>
          <w:color w:val="auto"/>
        </w:rPr>
        <w:t>附录</w:t>
      </w:r>
      <w:r>
        <w:rPr>
          <w:rStyle w:val="40"/>
          <w:rFonts w:ascii="黑体" w:hAnsi="黑体"/>
          <w:b/>
          <w:color w:val="auto"/>
        </w:rPr>
        <w:t xml:space="preserve"> F</w:t>
      </w:r>
      <w:r>
        <w:rPr>
          <w:rStyle w:val="40"/>
          <w:color w:val="auto"/>
        </w:rPr>
        <w:fldChar w:fldCharType="end"/>
      </w:r>
      <w:r>
        <w:rPr>
          <w:rStyle w:val="40"/>
          <w:color w:val="auto"/>
        </w:rPr>
        <w:fldChar w:fldCharType="begin"/>
      </w:r>
      <w:r>
        <w:rPr>
          <w:rStyle w:val="40"/>
          <w:color w:val="auto"/>
        </w:rPr>
        <w:instrText xml:space="preserve"> </w:instrText>
      </w:r>
      <w:r>
        <w:rPr>
          <w:color w:val="auto"/>
        </w:rPr>
        <w:instrText xml:space="preserve">HYPERLINK \l "_Toc182499050"</w:instrText>
      </w:r>
      <w:r>
        <w:rPr>
          <w:rStyle w:val="40"/>
          <w:color w:val="auto"/>
        </w:rPr>
        <w:instrText xml:space="preserve"> </w:instrText>
      </w:r>
      <w:r>
        <w:rPr>
          <w:rStyle w:val="40"/>
          <w:color w:val="auto"/>
        </w:rPr>
        <w:fldChar w:fldCharType="separate"/>
      </w:r>
      <w:r>
        <w:rPr>
          <w:rStyle w:val="40"/>
          <w:rFonts w:ascii="黑体" w:hAnsi="黑体"/>
          <w:b/>
          <w:color w:val="auto"/>
        </w:rPr>
        <w:t>(</w:t>
      </w:r>
      <w:r>
        <w:rPr>
          <w:rStyle w:val="40"/>
          <w:rFonts w:hint="eastAsia" w:ascii="黑体" w:hAnsi="黑体"/>
          <w:b/>
          <w:color w:val="auto"/>
        </w:rPr>
        <w:t>规范性</w:t>
      </w:r>
      <w:r>
        <w:rPr>
          <w:rStyle w:val="40"/>
          <w:rFonts w:ascii="黑体" w:hAnsi="黑体"/>
          <w:b/>
          <w:color w:val="auto"/>
        </w:rPr>
        <w:t>)</w:t>
      </w:r>
      <w:r>
        <w:rPr>
          <w:rStyle w:val="40"/>
          <w:color w:val="auto"/>
        </w:rPr>
        <w:fldChar w:fldCharType="end"/>
      </w:r>
      <w:r>
        <w:rPr>
          <w:rStyle w:val="40"/>
          <w:color w:val="auto"/>
        </w:rPr>
        <w:fldChar w:fldCharType="begin"/>
      </w:r>
      <w:r>
        <w:rPr>
          <w:rStyle w:val="40"/>
          <w:color w:val="auto"/>
        </w:rPr>
        <w:instrText xml:space="preserve"> </w:instrText>
      </w:r>
      <w:r>
        <w:rPr>
          <w:color w:val="auto"/>
        </w:rPr>
        <w:instrText xml:space="preserve">HYPERLINK \l "_Toc182499051"</w:instrText>
      </w:r>
      <w:r>
        <w:rPr>
          <w:rStyle w:val="40"/>
          <w:color w:val="auto"/>
        </w:rPr>
        <w:instrText xml:space="preserve"> </w:instrText>
      </w:r>
      <w:r>
        <w:rPr>
          <w:rStyle w:val="40"/>
          <w:color w:val="auto"/>
        </w:rPr>
        <w:fldChar w:fldCharType="separate"/>
      </w:r>
      <w:r>
        <w:rPr>
          <w:rStyle w:val="40"/>
          <w:rFonts w:hint="eastAsia" w:ascii="黑体" w:hAnsi="黑体"/>
          <w:b/>
          <w:color w:val="auto"/>
        </w:rPr>
        <w:t>桩侧土的摩阻力、桩端阻力特征值</w:t>
      </w:r>
      <w:r>
        <w:rPr>
          <w:color w:val="auto"/>
        </w:rPr>
        <w:tab/>
      </w:r>
      <w:r>
        <w:rPr>
          <w:color w:val="auto"/>
        </w:rPr>
        <w:fldChar w:fldCharType="begin"/>
      </w:r>
      <w:r>
        <w:rPr>
          <w:color w:val="auto"/>
        </w:rPr>
        <w:instrText xml:space="preserve"> PAGEREF _Toc182499051 \h </w:instrText>
      </w:r>
      <w:r>
        <w:rPr>
          <w:color w:val="auto"/>
        </w:rPr>
        <w:fldChar w:fldCharType="separate"/>
      </w:r>
      <w:r>
        <w:rPr>
          <w:color w:val="auto"/>
        </w:rPr>
        <w:t>223</w:t>
      </w:r>
      <w:r>
        <w:rPr>
          <w:color w:val="auto"/>
        </w:rPr>
        <w:fldChar w:fldCharType="end"/>
      </w:r>
      <w:r>
        <w:rPr>
          <w:rStyle w:val="40"/>
          <w:color w:val="auto"/>
        </w:rPr>
        <w:fldChar w:fldCharType="end"/>
      </w:r>
    </w:p>
    <w:p w14:paraId="47FB9C82">
      <w:pPr>
        <w:rPr>
          <w:color w:val="auto"/>
        </w:rPr>
      </w:pPr>
      <w:r>
        <w:rPr>
          <w:b/>
          <w:bCs/>
          <w:color w:val="auto"/>
          <w:lang w:val="zh-CN"/>
        </w:rPr>
        <w:fldChar w:fldCharType="end"/>
      </w:r>
    </w:p>
    <w:p w14:paraId="280464BF">
      <w:pPr>
        <w:jc w:val="center"/>
        <w:rPr>
          <w:rFonts w:eastAsia="黑体"/>
          <w:color w:val="auto"/>
          <w:sz w:val="24"/>
        </w:rPr>
      </w:pPr>
    </w:p>
    <w:p w14:paraId="691E06D3">
      <w:pPr>
        <w:pStyle w:val="34"/>
        <w:numPr>
          <w:ilvl w:val="0"/>
          <w:numId w:val="3"/>
        </w:numPr>
        <w:rPr>
          <w:color w:val="auto"/>
          <w:szCs w:val="21"/>
        </w:rPr>
      </w:pPr>
      <w:r>
        <w:rPr>
          <w:color w:val="auto"/>
        </w:rPr>
        <w:br w:type="page"/>
      </w:r>
      <w:bookmarkStart w:id="150" w:name="_Toc182498967"/>
      <w:r>
        <w:rPr>
          <w:rFonts w:hint="eastAsia"/>
          <w:color w:val="auto"/>
          <w:szCs w:val="21"/>
        </w:rPr>
        <w:t>范围</w:t>
      </w:r>
      <w:bookmarkEnd w:id="150"/>
    </w:p>
    <w:p w14:paraId="5108DD6F">
      <w:pPr>
        <w:snapToGrid w:val="0"/>
        <w:spacing w:line="360" w:lineRule="atLeast"/>
        <w:jc w:val="center"/>
        <w:rPr>
          <w:color w:val="auto"/>
        </w:rPr>
      </w:pPr>
    </w:p>
    <w:p w14:paraId="3201B940">
      <w:pPr>
        <w:pStyle w:val="18"/>
        <w:snapToGrid w:val="0"/>
        <w:spacing w:line="360" w:lineRule="atLeast"/>
        <w:rPr>
          <w:rFonts w:ascii="Times New Roman" w:hAnsi="Times New Roman"/>
          <w:color w:val="auto"/>
        </w:rPr>
      </w:pPr>
      <w:r>
        <w:rPr>
          <w:rFonts w:ascii="Times New Roman" w:hAnsi="Times New Roman"/>
          <w:color w:val="auto"/>
        </w:rPr>
        <w:t xml:space="preserve">    本文件主要适用于我省建筑工程地基基础的设计与施工，同时提出了地基基础检测与监测的原则要求，均以符合或严于现行国家标准及行业标准有关规定为修编规范的原则，市政工程可参照使用。</w:t>
      </w:r>
    </w:p>
    <w:p w14:paraId="13D7C2AE">
      <w:pPr>
        <w:pStyle w:val="18"/>
        <w:snapToGrid w:val="0"/>
        <w:spacing w:line="360" w:lineRule="atLeast"/>
        <w:ind w:firstLine="420" w:firstLineChars="200"/>
        <w:rPr>
          <w:rFonts w:ascii="Times New Roman" w:hAnsi="Times New Roman"/>
          <w:color w:val="auto"/>
        </w:rPr>
      </w:pPr>
      <w:r>
        <w:rPr>
          <w:rFonts w:ascii="Times New Roman" w:hAnsi="Times New Roman"/>
          <w:color w:val="auto"/>
        </w:rPr>
        <w:t>本文件修编过程中充分考虑了湖北省的地方特点，体现了地方标准的可操作性和适用性，同时对现行标准进行了补充和完善。</w:t>
      </w:r>
    </w:p>
    <w:p w14:paraId="0591D17B">
      <w:pPr>
        <w:pStyle w:val="18"/>
        <w:snapToGrid w:val="0"/>
        <w:spacing w:line="360" w:lineRule="atLeast"/>
        <w:ind w:firstLine="420" w:firstLineChars="200"/>
        <w:rPr>
          <w:rFonts w:ascii="Times New Roman" w:hAnsi="Times New Roman"/>
          <w:color w:val="auto"/>
        </w:rPr>
      </w:pPr>
      <w:r>
        <w:rPr>
          <w:rFonts w:ascii="Times New Roman" w:hAnsi="Times New Roman"/>
          <w:color w:val="auto"/>
        </w:rPr>
        <w:t>本文件仅包括地基及桩基检测、深基坑工程的原则要求，应与湖北省地方标准DB42/T</w:t>
      </w:r>
      <w:r>
        <w:rPr>
          <w:rFonts w:hint="eastAsia" w:ascii="Times New Roman" w:hAnsi="Times New Roman"/>
          <w:color w:val="auto"/>
          <w:lang w:val="en-US" w:eastAsia="zh-CN"/>
        </w:rPr>
        <w:t xml:space="preserve"> </w:t>
      </w:r>
      <w:r>
        <w:rPr>
          <w:rFonts w:ascii="Times New Roman" w:hAnsi="Times New Roman"/>
          <w:color w:val="auto"/>
        </w:rPr>
        <w:t>159及行业标准</w:t>
      </w:r>
      <w:r>
        <w:rPr>
          <w:rFonts w:hint="eastAsia" w:ascii="Times New Roman" w:hAnsi="Times New Roman"/>
          <w:color w:val="auto"/>
        </w:rPr>
        <w:t>J</w:t>
      </w:r>
      <w:r>
        <w:rPr>
          <w:rFonts w:ascii="Times New Roman" w:hAnsi="Times New Roman"/>
          <w:color w:val="auto"/>
        </w:rPr>
        <w:t>GJ</w:t>
      </w:r>
      <w:r>
        <w:rPr>
          <w:rFonts w:hint="eastAsia" w:ascii="Times New Roman" w:hAnsi="Times New Roman"/>
          <w:color w:val="auto"/>
          <w:lang w:val="en-US" w:eastAsia="zh-CN"/>
        </w:rPr>
        <w:t xml:space="preserve"> </w:t>
      </w:r>
      <w:r>
        <w:rPr>
          <w:rFonts w:ascii="Times New Roman" w:hAnsi="Times New Roman"/>
          <w:color w:val="auto"/>
        </w:rPr>
        <w:t>106等配套使用。</w:t>
      </w:r>
    </w:p>
    <w:p w14:paraId="1622E3EF">
      <w:pPr>
        <w:pStyle w:val="18"/>
        <w:snapToGrid w:val="0"/>
        <w:spacing w:line="360" w:lineRule="atLeast"/>
        <w:ind w:firstLine="420" w:firstLineChars="200"/>
        <w:rPr>
          <w:rFonts w:ascii="Times New Roman" w:hAnsi="Times New Roman"/>
          <w:color w:val="auto"/>
        </w:rPr>
      </w:pPr>
      <w:r>
        <w:rPr>
          <w:rFonts w:ascii="Times New Roman" w:hAnsi="Times New Roman"/>
          <w:color w:val="auto"/>
        </w:rPr>
        <w:t>对于膨胀土地基等，由于土类的物理力学性质比较特殊，选用土的承载力、基础埋深、地基处理等应按国家现行标准GBJ</w:t>
      </w:r>
      <w:r>
        <w:rPr>
          <w:rFonts w:hint="eastAsia" w:ascii="Times New Roman" w:hAnsi="Times New Roman"/>
          <w:color w:val="auto"/>
          <w:lang w:val="en-US" w:eastAsia="zh-CN"/>
        </w:rPr>
        <w:t xml:space="preserve"> </w:t>
      </w:r>
      <w:r>
        <w:rPr>
          <w:rFonts w:ascii="Times New Roman" w:hAnsi="Times New Roman"/>
          <w:color w:val="auto"/>
        </w:rPr>
        <w:t>112的规定进行设计。对于振动荷载作用下的地基设计，由于土的动力性能与静力性能差异较大，应按国家现行标准GB</w:t>
      </w:r>
      <w:r>
        <w:rPr>
          <w:rFonts w:hint="eastAsia" w:ascii="Times New Roman" w:hAnsi="Times New Roman"/>
          <w:color w:val="auto"/>
          <w:lang w:val="en-US" w:eastAsia="zh-CN"/>
        </w:rPr>
        <w:t xml:space="preserve"> </w:t>
      </w:r>
      <w:r>
        <w:rPr>
          <w:rFonts w:ascii="Times New Roman" w:hAnsi="Times New Roman"/>
          <w:color w:val="auto"/>
        </w:rPr>
        <w:t>50040的规定进行设计。但基础设计，仍然可以采用本文件进行设计。</w:t>
      </w:r>
    </w:p>
    <w:p w14:paraId="5F30579B">
      <w:pPr>
        <w:pStyle w:val="18"/>
        <w:snapToGrid w:val="0"/>
        <w:spacing w:line="360" w:lineRule="atLeast"/>
        <w:ind w:firstLine="420" w:firstLineChars="200"/>
        <w:rPr>
          <w:rFonts w:ascii="Times New Roman" w:hAnsi="Times New Roman"/>
          <w:color w:val="auto"/>
        </w:rPr>
      </w:pPr>
      <w:r>
        <w:rPr>
          <w:rFonts w:ascii="Times New Roman" w:hAnsi="Times New Roman"/>
          <w:color w:val="auto"/>
        </w:rPr>
        <w:t>由于地基土的性质复杂。在同一地基内土的力学指标离散性一般较大，加上暗塘、古河道、山前洪积、溶岩等许多不良地质条件，必需强调因地制宜原则。设计人员</w:t>
      </w:r>
      <w:r>
        <w:rPr>
          <w:rFonts w:hint="eastAsia" w:ascii="Times New Roman" w:hAnsi="Times New Roman"/>
          <w:color w:val="auto"/>
        </w:rPr>
        <w:t>应</w:t>
      </w:r>
      <w:r>
        <w:rPr>
          <w:rFonts w:ascii="Times New Roman" w:hAnsi="Times New Roman"/>
          <w:color w:val="auto"/>
        </w:rPr>
        <w:t>根据具体工程的地质条件、结构类型以及地基在长期荷载作用下的工作</w:t>
      </w:r>
      <w:r>
        <w:rPr>
          <w:rFonts w:hint="eastAsia" w:ascii="Times New Roman" w:hAnsi="Times New Roman"/>
          <w:color w:val="auto"/>
        </w:rPr>
        <w:t>性状</w:t>
      </w:r>
      <w:r>
        <w:rPr>
          <w:rFonts w:ascii="Times New Roman" w:hAnsi="Times New Roman"/>
          <w:color w:val="auto"/>
        </w:rPr>
        <w:t>，采用优化设计方法，以提高设计质量。</w:t>
      </w:r>
    </w:p>
    <w:p w14:paraId="0F8F617F">
      <w:pPr>
        <w:pStyle w:val="18"/>
        <w:snapToGrid w:val="0"/>
        <w:spacing w:line="360" w:lineRule="atLeast"/>
        <w:rPr>
          <w:rFonts w:ascii="Times New Roman" w:hAnsi="Times New Roman"/>
          <w:color w:val="auto"/>
        </w:rPr>
      </w:pPr>
    </w:p>
    <w:p w14:paraId="5C65EE2A">
      <w:pPr>
        <w:pStyle w:val="34"/>
        <w:numPr>
          <w:ilvl w:val="0"/>
          <w:numId w:val="3"/>
        </w:numPr>
        <w:rPr>
          <w:color w:val="auto"/>
          <w:szCs w:val="21"/>
        </w:rPr>
      </w:pPr>
      <w:bookmarkStart w:id="151" w:name="_Toc182498968"/>
      <w:r>
        <w:rPr>
          <w:color w:val="auto"/>
          <w:szCs w:val="21"/>
        </w:rPr>
        <w:t>规范性引用文件</w:t>
      </w:r>
      <w:bookmarkEnd w:id="151"/>
    </w:p>
    <w:p w14:paraId="253E80A6">
      <w:pPr>
        <w:snapToGrid w:val="0"/>
        <w:spacing w:line="360" w:lineRule="atLeast"/>
        <w:ind w:firstLine="420" w:firstLineChars="200"/>
        <w:rPr>
          <w:rFonts w:hint="eastAsia" w:ascii="宋体" w:hAnsi="宋体"/>
          <w:color w:val="auto"/>
        </w:rPr>
      </w:pPr>
      <w:r>
        <w:rPr>
          <w:rFonts w:hint="eastAsia" w:ascii="宋体" w:hAnsi="宋体"/>
          <w:color w:val="auto"/>
        </w:rPr>
        <w:t>(</w:t>
      </w:r>
      <w:r>
        <w:rPr>
          <w:rFonts w:ascii="宋体" w:hAnsi="宋体"/>
          <w:color w:val="auto"/>
        </w:rPr>
        <w:t>无</w:t>
      </w:r>
      <w:r>
        <w:rPr>
          <w:rFonts w:hint="eastAsia" w:ascii="宋体" w:hAnsi="宋体"/>
          <w:color w:val="auto"/>
        </w:rPr>
        <w:t>说明)</w:t>
      </w:r>
    </w:p>
    <w:p w14:paraId="5702E628">
      <w:pPr>
        <w:pStyle w:val="34"/>
        <w:numPr>
          <w:ilvl w:val="0"/>
          <w:numId w:val="3"/>
        </w:numPr>
        <w:rPr>
          <w:color w:val="auto"/>
          <w:szCs w:val="21"/>
        </w:rPr>
      </w:pPr>
      <w:bookmarkStart w:id="152" w:name="_Toc182498969"/>
      <w:r>
        <w:rPr>
          <w:color w:val="auto"/>
          <w:szCs w:val="21"/>
        </w:rPr>
        <w:t>术语和</w:t>
      </w:r>
      <w:r>
        <w:rPr>
          <w:rFonts w:hint="eastAsia"/>
          <w:color w:val="auto"/>
          <w:szCs w:val="21"/>
        </w:rPr>
        <w:t>定义</w:t>
      </w:r>
      <w:bookmarkEnd w:id="152"/>
    </w:p>
    <w:p w14:paraId="35A2D402">
      <w:pPr>
        <w:pStyle w:val="18"/>
        <w:snapToGrid w:val="0"/>
        <w:spacing w:line="360" w:lineRule="atLeast"/>
        <w:rPr>
          <w:rFonts w:ascii="Times New Roman" w:hAnsi="Times New Roman"/>
          <w:color w:val="auto"/>
        </w:rPr>
      </w:pPr>
      <w:r>
        <w:rPr>
          <w:rFonts w:ascii="Times New Roman" w:hAnsi="Times New Roman" w:eastAsia="黑体"/>
          <w:b/>
          <w:bCs/>
          <w:color w:val="auto"/>
          <w:szCs w:val="21"/>
        </w:rPr>
        <w:t xml:space="preserve">3.1.9 </w:t>
      </w:r>
      <w:r>
        <w:rPr>
          <w:rFonts w:ascii="Times New Roman" w:hAnsi="Times New Roman"/>
          <w:color w:val="auto"/>
        </w:rPr>
        <w:t xml:space="preserve"> 由于土为大变形材料，当荷载增加时，随着地基变形的相应增长，地基承载力也在逐渐加大，很难界定出一个真正的“极限值”；另一方面，建筑物的使用有一个功能要求，常常是地基承载力还有潜力可挖，而变形已达到或超过按正常使用的限值。因</w:t>
      </w:r>
      <w:r>
        <w:rPr>
          <w:rFonts w:hint="eastAsia" w:ascii="Times New Roman" w:hAnsi="Times New Roman"/>
          <w:color w:val="auto"/>
        </w:rPr>
        <w:t>此</w:t>
      </w:r>
      <w:r>
        <w:rPr>
          <w:rFonts w:ascii="Times New Roman" w:hAnsi="Times New Roman"/>
          <w:color w:val="auto"/>
        </w:rPr>
        <w:t>，地基设计是采用正常使用极限状态这一原则，所选定的地基承载力是在地基土的压力变形曲线线性变形段内相应于不超过比例界限点的地基压力值，即允许承载力。</w:t>
      </w:r>
    </w:p>
    <w:p w14:paraId="6E019409">
      <w:pPr>
        <w:pStyle w:val="18"/>
        <w:snapToGrid w:val="0"/>
        <w:spacing w:line="360" w:lineRule="atLeast"/>
        <w:ind w:firstLine="420"/>
        <w:rPr>
          <w:rFonts w:ascii="Times New Roman" w:hAnsi="Times New Roman"/>
          <w:color w:val="auto"/>
        </w:rPr>
      </w:pPr>
      <w:r>
        <w:rPr>
          <w:rFonts w:ascii="Times New Roman" w:hAnsi="Times New Roman"/>
          <w:color w:val="auto"/>
        </w:rPr>
        <w:t>根据国外有关文献，相应于我国规范中“标准值”的含义可以有特征值、公称值、名义值、标定值四种，在国际标准ISO</w:t>
      </w:r>
      <w:r>
        <w:rPr>
          <w:rFonts w:hint="eastAsia" w:ascii="Times New Roman" w:hAnsi="Times New Roman"/>
          <w:color w:val="auto"/>
          <w:lang w:val="en-US" w:eastAsia="zh-CN"/>
        </w:rPr>
        <w:t xml:space="preserve"> </w:t>
      </w:r>
      <w:r>
        <w:rPr>
          <w:rFonts w:ascii="Times New Roman" w:hAnsi="Times New Roman"/>
          <w:color w:val="auto"/>
        </w:rPr>
        <w:t>2394中相应的术语直译为“特征值”(Characteristic Value)，该值的确定可以是统计得出，也可以是传统经验值或某一物理限定的值。</w:t>
      </w:r>
    </w:p>
    <w:p w14:paraId="6A1D7A51">
      <w:pPr>
        <w:pStyle w:val="18"/>
        <w:snapToGrid w:val="0"/>
        <w:spacing w:line="360" w:lineRule="atLeast"/>
        <w:ind w:firstLine="420"/>
        <w:rPr>
          <w:rFonts w:ascii="Times New Roman" w:hAnsi="Times New Roman"/>
          <w:color w:val="auto"/>
        </w:rPr>
      </w:pPr>
      <w:r>
        <w:rPr>
          <w:rFonts w:ascii="Times New Roman" w:hAnsi="Times New Roman"/>
          <w:color w:val="auto"/>
        </w:rPr>
        <w:t>采用</w:t>
      </w:r>
      <w:r>
        <w:rPr>
          <w:rFonts w:hint="eastAsia" w:ascii="Times New Roman" w:hAnsi="Times New Roman"/>
          <w:color w:val="auto"/>
        </w:rPr>
        <w:t>“</w:t>
      </w:r>
      <w:r>
        <w:rPr>
          <w:rFonts w:ascii="Times New Roman" w:hAnsi="Times New Roman"/>
          <w:color w:val="auto"/>
        </w:rPr>
        <w:t>特征值</w:t>
      </w:r>
      <w:r>
        <w:rPr>
          <w:rFonts w:hint="eastAsia" w:ascii="Times New Roman" w:hAnsi="Times New Roman"/>
          <w:color w:val="auto"/>
        </w:rPr>
        <w:t>”</w:t>
      </w:r>
      <w:r>
        <w:rPr>
          <w:rFonts w:ascii="Times New Roman" w:hAnsi="Times New Roman"/>
          <w:color w:val="auto"/>
        </w:rPr>
        <w:t>一词，用以表示正常使用极限状态计算时采用的地基承载力和单桩承载力的值，其涵义即为在发挥正常使用功能时所允许采用的抗力设计值。</w:t>
      </w:r>
    </w:p>
    <w:p w14:paraId="60244D92">
      <w:pPr>
        <w:pStyle w:val="34"/>
        <w:numPr>
          <w:ilvl w:val="0"/>
          <w:numId w:val="3"/>
        </w:numPr>
        <w:rPr>
          <w:rFonts w:hint="eastAsia"/>
          <w:color w:val="auto"/>
        </w:rPr>
      </w:pPr>
      <w:bookmarkStart w:id="153" w:name="_Toc182498970"/>
      <w:r>
        <w:rPr>
          <w:color w:val="auto"/>
        </w:rPr>
        <w:t>符号</w:t>
      </w:r>
      <w:bookmarkEnd w:id="153"/>
    </w:p>
    <w:p w14:paraId="59A2D66B">
      <w:pPr>
        <w:pStyle w:val="18"/>
        <w:ind w:left="420"/>
        <w:rPr>
          <w:rFonts w:ascii="Times New Roman" w:hAnsi="Times New Roman"/>
          <w:color w:val="auto"/>
        </w:rPr>
      </w:pPr>
      <w:r>
        <w:rPr>
          <w:rFonts w:hint="eastAsia" w:hAnsi="宋体"/>
          <w:color w:val="auto"/>
        </w:rPr>
        <w:t>(</w:t>
      </w:r>
      <w:r>
        <w:rPr>
          <w:rFonts w:hAnsi="宋体"/>
          <w:color w:val="auto"/>
        </w:rPr>
        <w:t>无</w:t>
      </w:r>
      <w:r>
        <w:rPr>
          <w:rFonts w:hint="eastAsia" w:hAnsi="宋体"/>
          <w:color w:val="auto"/>
        </w:rPr>
        <w:t>说明)</w:t>
      </w:r>
    </w:p>
    <w:p w14:paraId="2A9DFB57">
      <w:pPr>
        <w:pStyle w:val="34"/>
        <w:numPr>
          <w:ilvl w:val="0"/>
          <w:numId w:val="3"/>
        </w:numPr>
        <w:rPr>
          <w:b/>
          <w:bCs w:val="0"/>
          <w:color w:val="auto"/>
        </w:rPr>
      </w:pPr>
      <w:bookmarkStart w:id="154" w:name="_Toc182498971"/>
      <w:r>
        <w:rPr>
          <w:b/>
          <w:bCs w:val="0"/>
          <w:color w:val="auto"/>
        </w:rPr>
        <w:t>基本规定</w:t>
      </w:r>
      <w:bookmarkEnd w:id="154"/>
    </w:p>
    <w:p w14:paraId="3D14AFAF">
      <w:pPr>
        <w:rPr>
          <w:color w:val="auto"/>
        </w:rPr>
      </w:pPr>
    </w:p>
    <w:p w14:paraId="17CDE2E7">
      <w:pPr>
        <w:pStyle w:val="18"/>
        <w:snapToGrid w:val="0"/>
        <w:spacing w:line="360" w:lineRule="atLeast"/>
        <w:rPr>
          <w:rFonts w:ascii="Times New Roman" w:hAnsi="Times New Roman"/>
          <w:color w:val="auto"/>
        </w:rPr>
      </w:pPr>
      <w:r>
        <w:rPr>
          <w:rFonts w:ascii="Times New Roman" w:hAnsi="Times New Roman"/>
          <w:b/>
          <w:color w:val="auto"/>
        </w:rPr>
        <w:t>5.1</w:t>
      </w:r>
      <w:r>
        <w:rPr>
          <w:rFonts w:ascii="Times New Roman" w:hAnsi="Times New Roman"/>
          <w:color w:val="auto"/>
        </w:rPr>
        <w:t xml:space="preserve">  建筑地基基础设计等级是按照地基基础设计的复杂性和技术难度确定的，划分时考虑了建筑物的性质、规模、高度和体型；对地基变形的要求；场地和地基条件的复杂程度；以及由于地基问题对建筑物的安全和正常使用可能造成影响的严重程度等因素。</w:t>
      </w:r>
    </w:p>
    <w:p w14:paraId="0E3CDD49">
      <w:pPr>
        <w:pStyle w:val="18"/>
        <w:snapToGrid w:val="0"/>
        <w:spacing w:line="360" w:lineRule="atLeast"/>
        <w:ind w:firstLine="420"/>
        <w:rPr>
          <w:rFonts w:ascii="Times New Roman" w:hAnsi="Times New Roman"/>
          <w:color w:val="auto"/>
        </w:rPr>
      </w:pPr>
      <w:r>
        <w:rPr>
          <w:rFonts w:ascii="Times New Roman" w:hAnsi="Times New Roman"/>
          <w:color w:val="auto"/>
        </w:rPr>
        <w:t>地基基础设计等级采用三级划分，如正文表1。现对该表作如下重点说明：</w:t>
      </w:r>
    </w:p>
    <w:p w14:paraId="0F181277">
      <w:pPr>
        <w:pStyle w:val="18"/>
        <w:snapToGrid w:val="0"/>
        <w:spacing w:line="360" w:lineRule="atLeast"/>
        <w:ind w:firstLine="420"/>
        <w:rPr>
          <w:rFonts w:ascii="Times New Roman" w:hAnsi="Times New Roman"/>
          <w:color w:val="auto"/>
        </w:rPr>
      </w:pPr>
      <w:r>
        <w:rPr>
          <w:rFonts w:ascii="Times New Roman" w:hAnsi="Times New Roman"/>
          <w:color w:val="auto"/>
        </w:rPr>
        <w:t>a)  30层以上的高层建筑，不论其体型复杂与否均列入甲级，这是考虑到其高度和重量对地基承载力和变形均有较高要求，采用天然地基往往不能满足设计需要，而须考虑桩基或进行地基处理</w:t>
      </w:r>
      <w:r>
        <w:rPr>
          <w:rFonts w:hint="eastAsia" w:ascii="Times New Roman" w:hAnsi="Times New Roman"/>
          <w:color w:val="auto"/>
        </w:rPr>
        <w:t>。</w:t>
      </w:r>
    </w:p>
    <w:p w14:paraId="428CE350">
      <w:pPr>
        <w:pStyle w:val="18"/>
        <w:snapToGrid w:val="0"/>
        <w:spacing w:line="360" w:lineRule="atLeast"/>
        <w:ind w:firstLine="420"/>
        <w:rPr>
          <w:rFonts w:hint="eastAsia" w:ascii="Times New Roman" w:hAnsi="Times New Roman"/>
          <w:color w:val="auto"/>
        </w:rPr>
      </w:pPr>
      <w:r>
        <w:rPr>
          <w:rFonts w:ascii="Times New Roman" w:hAnsi="Times New Roman"/>
          <w:color w:val="auto"/>
        </w:rPr>
        <w:t>b)  体型复杂、层数相差超过10层的高低层联成一体的建筑物是指在平面上和立面上高度变化较大、体型变化复杂，且建于同一整体基础上的高层宾馆、办公楼、商业建筑等建筑物。由于上部荷载大小相差悬殊、结构刚度和构造变化复杂，很易出现地基不均匀变形，为使地基变形不超过建筑物的允许值，地基基础设计的复杂程度和技术难度均较大，有时需要采用多种地基和基础类型或考虑采用地基与基础和上部结构共同作用的变形分析计算来解决不均匀沉降对基础和上部结构的影响问题</w:t>
      </w:r>
      <w:r>
        <w:rPr>
          <w:rFonts w:hint="eastAsia" w:ascii="Times New Roman" w:hAnsi="Times New Roman"/>
          <w:color w:val="auto"/>
        </w:rPr>
        <w:t>。</w:t>
      </w:r>
    </w:p>
    <w:p w14:paraId="34366322">
      <w:pPr>
        <w:pStyle w:val="18"/>
        <w:snapToGrid w:val="0"/>
        <w:spacing w:line="360" w:lineRule="atLeast"/>
        <w:ind w:firstLine="420"/>
        <w:rPr>
          <w:rFonts w:hint="eastAsia" w:ascii="Times New Roman" w:hAnsi="Times New Roman"/>
          <w:color w:val="auto"/>
        </w:rPr>
      </w:pPr>
      <w:r>
        <w:rPr>
          <w:rFonts w:hint="eastAsia" w:ascii="Times New Roman" w:hAnsi="Times New Roman"/>
          <w:color w:val="auto"/>
        </w:rPr>
        <w:t>c</w:t>
      </w:r>
      <w:r>
        <w:rPr>
          <w:rFonts w:ascii="Times New Roman" w:hAnsi="Times New Roman"/>
          <w:color w:val="auto"/>
        </w:rPr>
        <w:t>)  大面积的多层地下建筑物存在深基坑开挖的降水、支护和对邻近建筑物可能造成严重不良影响等问题，增加了地基基础设计的复杂性，有些地面以上荷载很小的大面积多层地下建筑物，如地下停车场、商场、运动场等还存在抗地下水浮力的设计问题</w:t>
      </w:r>
      <w:r>
        <w:rPr>
          <w:rFonts w:hint="eastAsia" w:ascii="Times New Roman" w:hAnsi="Times New Roman"/>
          <w:color w:val="auto"/>
        </w:rPr>
        <w:t>。</w:t>
      </w:r>
    </w:p>
    <w:p w14:paraId="6148B536">
      <w:pPr>
        <w:pStyle w:val="18"/>
        <w:snapToGrid w:val="0"/>
        <w:spacing w:line="360" w:lineRule="atLeast"/>
        <w:ind w:firstLine="420"/>
        <w:rPr>
          <w:rFonts w:hint="eastAsia" w:ascii="Times New Roman" w:hAnsi="Times New Roman"/>
          <w:color w:val="auto"/>
        </w:rPr>
      </w:pPr>
      <w:r>
        <w:rPr>
          <w:rFonts w:hint="eastAsia" w:ascii="Times New Roman" w:hAnsi="Times New Roman"/>
          <w:color w:val="auto"/>
        </w:rPr>
        <w:t>d</w:t>
      </w:r>
      <w:r>
        <w:rPr>
          <w:rFonts w:ascii="Times New Roman" w:hAnsi="Times New Roman"/>
          <w:color w:val="auto"/>
        </w:rPr>
        <w:t>)  复杂地质条件下的坡上建筑物是指坡体岩土的种类、性质、产状和地下水条件变化复杂等对坡体稳定性不利的情况，此时应作坡体稳定性分析，必要时应采取整治措施</w:t>
      </w:r>
      <w:r>
        <w:rPr>
          <w:rFonts w:hint="eastAsia" w:ascii="Times New Roman" w:hAnsi="Times New Roman"/>
          <w:color w:val="auto"/>
        </w:rPr>
        <w:t>。</w:t>
      </w:r>
    </w:p>
    <w:p w14:paraId="443FCD28">
      <w:pPr>
        <w:pStyle w:val="18"/>
        <w:snapToGrid w:val="0"/>
        <w:spacing w:line="360" w:lineRule="atLeast"/>
        <w:ind w:firstLine="420"/>
        <w:rPr>
          <w:rFonts w:hint="eastAsia" w:ascii="Times New Roman" w:hAnsi="Times New Roman"/>
          <w:color w:val="auto"/>
        </w:rPr>
      </w:pPr>
      <w:r>
        <w:rPr>
          <w:rFonts w:hint="eastAsia" w:ascii="Times New Roman" w:hAnsi="Times New Roman"/>
          <w:color w:val="auto"/>
        </w:rPr>
        <w:t>e</w:t>
      </w:r>
      <w:r>
        <w:rPr>
          <w:rFonts w:ascii="Times New Roman" w:hAnsi="Times New Roman"/>
          <w:color w:val="auto"/>
        </w:rPr>
        <w:t>)  对原有工程有较大影响的新建建筑物是指在原有建筑物旁和在地铁、地下隧道、重要地下管道上或旁边新建的建筑物，当新建建筑物对原有工程影响较大时，为保证原有工程的安全和正常使用，增加了地基基础设计的复杂性和难度</w:t>
      </w:r>
      <w:r>
        <w:rPr>
          <w:rFonts w:hint="eastAsia" w:ascii="Times New Roman" w:hAnsi="Times New Roman"/>
          <w:color w:val="auto"/>
        </w:rPr>
        <w:t>。</w:t>
      </w:r>
    </w:p>
    <w:p w14:paraId="0FB3D436">
      <w:pPr>
        <w:pStyle w:val="18"/>
        <w:snapToGrid w:val="0"/>
        <w:spacing w:line="360" w:lineRule="atLeast"/>
        <w:ind w:firstLine="420"/>
        <w:rPr>
          <w:rFonts w:ascii="Times New Roman" w:hAnsi="Times New Roman"/>
          <w:color w:val="auto"/>
        </w:rPr>
      </w:pPr>
      <w:r>
        <w:rPr>
          <w:rFonts w:hint="eastAsia" w:ascii="Times New Roman" w:hAnsi="Times New Roman"/>
          <w:color w:val="auto"/>
        </w:rPr>
        <w:t>f</w:t>
      </w:r>
      <w:r>
        <w:rPr>
          <w:rFonts w:ascii="Times New Roman" w:hAnsi="Times New Roman"/>
          <w:color w:val="auto"/>
        </w:rPr>
        <w:t>)  场地和地基条件复杂的建筑物是指不良地质现象强烈发育的场地，如泥石流、崩塌、滑坡、岩溶土洞塌陷等，或地质环境恶劣的场地，如地下采空区、地面沉降区、地裂缝地区等，复杂地基是指地基岩土种类和性质变化很大、有古河道或暗浜分布、地基为特殊性岩土，如膨胀土、湿陷性土等以及地下水对工程影响很大需特殊处理等情况，上述情况均增加了地基基础设计的复杂程度和技术难度。</w:t>
      </w:r>
    </w:p>
    <w:p w14:paraId="559CC423">
      <w:pPr>
        <w:pStyle w:val="18"/>
        <w:snapToGrid w:val="0"/>
        <w:spacing w:line="360" w:lineRule="atLeast"/>
        <w:ind w:firstLine="420"/>
        <w:rPr>
          <w:rFonts w:ascii="Times New Roman" w:hAnsi="Times New Roman"/>
          <w:color w:val="auto"/>
        </w:rPr>
      </w:pPr>
      <w:r>
        <w:rPr>
          <w:rFonts w:hint="eastAsia" w:ascii="Times New Roman" w:hAnsi="Times New Roman"/>
          <w:color w:val="auto"/>
        </w:rPr>
        <w:t>g</w:t>
      </w:r>
      <w:r>
        <w:rPr>
          <w:rFonts w:ascii="Times New Roman" w:hAnsi="Times New Roman"/>
          <w:color w:val="auto"/>
        </w:rPr>
        <w:t>)  开挖深度大于15m的基坑以及基坑周边环境条件复杂、环境保护要求高时对基坑支档结构的位移控制严格，也列入甲级。</w:t>
      </w:r>
    </w:p>
    <w:p w14:paraId="7F89B7D6">
      <w:pPr>
        <w:pStyle w:val="18"/>
        <w:snapToGrid w:val="0"/>
        <w:spacing w:line="360" w:lineRule="atLeast"/>
        <w:ind w:firstLine="420"/>
        <w:rPr>
          <w:rFonts w:ascii="Times New Roman" w:hAnsi="Times New Roman"/>
          <w:color w:val="auto"/>
        </w:rPr>
      </w:pPr>
      <w:r>
        <w:rPr>
          <w:rFonts w:ascii="Times New Roman" w:hAnsi="Times New Roman"/>
          <w:color w:val="auto"/>
        </w:rPr>
        <w:t>h)  设计等级为丙级的建筑物是指建筑场地稳定，地基岩土均匀良好、荷载分布均匀的七层及七层以下的民用建筑和一般工业建筑物以及次要的轻型建筑物。</w:t>
      </w:r>
    </w:p>
    <w:p w14:paraId="66AFDA9C">
      <w:pPr>
        <w:pStyle w:val="18"/>
        <w:snapToGrid w:val="0"/>
        <w:spacing w:line="360" w:lineRule="atLeast"/>
        <w:ind w:firstLine="420"/>
        <w:rPr>
          <w:rFonts w:ascii="Times New Roman" w:hAnsi="Times New Roman"/>
          <w:color w:val="auto"/>
        </w:rPr>
      </w:pPr>
      <w:r>
        <w:rPr>
          <w:rFonts w:ascii="Times New Roman" w:hAnsi="Times New Roman"/>
          <w:color w:val="auto"/>
        </w:rPr>
        <w:t>由于情况复杂，设计时应根据建筑物和地基的具体情况参照上述说明确定地基基础的设计等级。</w:t>
      </w:r>
    </w:p>
    <w:p w14:paraId="24571160">
      <w:pPr>
        <w:pStyle w:val="18"/>
        <w:snapToGrid w:val="0"/>
        <w:spacing w:line="360" w:lineRule="atLeast"/>
        <w:rPr>
          <w:rFonts w:ascii="Times New Roman" w:hAnsi="Times New Roman"/>
          <w:color w:val="auto"/>
        </w:rPr>
      </w:pPr>
      <w:r>
        <w:rPr>
          <w:rFonts w:ascii="Times New Roman" w:hAnsi="Times New Roman"/>
          <w:b/>
          <w:color w:val="auto"/>
        </w:rPr>
        <w:t>5.2</w:t>
      </w:r>
      <w:r>
        <w:rPr>
          <w:rFonts w:ascii="Times New Roman" w:hAnsi="Times New Roman"/>
          <w:color w:val="auto"/>
        </w:rPr>
        <w:t xml:space="preserve">  本条规定了地基设计的原则</w:t>
      </w:r>
    </w:p>
    <w:p w14:paraId="3973CCFC">
      <w:pPr>
        <w:pStyle w:val="18"/>
        <w:snapToGrid w:val="0"/>
        <w:spacing w:line="360" w:lineRule="atLeast"/>
        <w:rPr>
          <w:rFonts w:ascii="Times New Roman" w:hAnsi="Times New Roman"/>
          <w:color w:val="auto"/>
        </w:rPr>
      </w:pPr>
      <w:r>
        <w:rPr>
          <w:rFonts w:ascii="Times New Roman" w:hAnsi="Times New Roman"/>
          <w:color w:val="auto"/>
        </w:rPr>
        <w:t xml:space="preserve">      </w:t>
      </w:r>
      <w:r>
        <w:rPr>
          <w:rFonts w:hint="eastAsia" w:ascii="Times New Roman" w:hAnsi="Times New Roman"/>
          <w:b/>
          <w:color w:val="auto"/>
        </w:rPr>
        <w:t>a</w:t>
      </w:r>
      <w:r>
        <w:rPr>
          <w:rFonts w:ascii="Times New Roman" w:hAnsi="Times New Roman"/>
          <w:b/>
          <w:color w:val="auto"/>
        </w:rPr>
        <w:t>)</w:t>
      </w:r>
      <w:r>
        <w:rPr>
          <w:rFonts w:ascii="Times New Roman" w:hAnsi="Times New Roman"/>
          <w:color w:val="auto"/>
        </w:rPr>
        <w:t xml:space="preserve">  各类建筑物的地基计算均应满足承载力计算的要求。</w:t>
      </w:r>
    </w:p>
    <w:p w14:paraId="5E96673E">
      <w:pPr>
        <w:pStyle w:val="18"/>
        <w:snapToGrid w:val="0"/>
        <w:spacing w:line="360" w:lineRule="atLeast"/>
        <w:rPr>
          <w:rFonts w:ascii="Times New Roman" w:hAnsi="Times New Roman"/>
          <w:color w:val="auto"/>
        </w:rPr>
      </w:pPr>
      <w:r>
        <w:rPr>
          <w:rFonts w:ascii="Times New Roman" w:hAnsi="Times New Roman"/>
          <w:color w:val="auto"/>
        </w:rPr>
        <w:t xml:space="preserve">      </w:t>
      </w:r>
      <w:r>
        <w:rPr>
          <w:rFonts w:ascii="Times New Roman" w:hAnsi="Times New Roman"/>
          <w:b/>
          <w:color w:val="auto"/>
        </w:rPr>
        <w:t>b)</w:t>
      </w:r>
      <w:r>
        <w:rPr>
          <w:rFonts w:ascii="Times New Roman" w:hAnsi="Times New Roman"/>
          <w:color w:val="auto"/>
        </w:rPr>
        <w:t xml:space="preserve">  设计等级为甲、乙级的建筑物均应按地基变形设计，这是由于因地基变形造成上部结构的破坏和裂缝的事例很多，因此控制地基变形成为地基基础设计的主要原则，在满足承载力计算的前提下，应按控制地基变形的正常使用极限状态设计。</w:t>
      </w:r>
    </w:p>
    <w:p w14:paraId="4A65346B">
      <w:pPr>
        <w:pStyle w:val="18"/>
        <w:snapToGrid w:val="0"/>
        <w:spacing w:line="360" w:lineRule="atLeast"/>
        <w:rPr>
          <w:rFonts w:ascii="Times New Roman" w:hAnsi="Times New Roman"/>
          <w:color w:val="auto"/>
        </w:rPr>
      </w:pPr>
      <w:r>
        <w:rPr>
          <w:rFonts w:ascii="Times New Roman" w:hAnsi="Times New Roman"/>
          <w:color w:val="auto"/>
        </w:rPr>
        <w:t xml:space="preserve">      </w:t>
      </w:r>
      <w:r>
        <w:rPr>
          <w:rFonts w:ascii="Times New Roman" w:hAnsi="Times New Roman"/>
          <w:b/>
          <w:color w:val="auto"/>
        </w:rPr>
        <w:t>c)</w:t>
      </w:r>
      <w:r>
        <w:rPr>
          <w:rFonts w:ascii="Times New Roman" w:hAnsi="Times New Roman"/>
          <w:color w:val="auto"/>
        </w:rPr>
        <w:t xml:space="preserve">  对地下水埋藏较浅，而地下室或地下建筑存在上浮问题时，应进行抗浮验算的规定。</w:t>
      </w:r>
    </w:p>
    <w:p w14:paraId="33B8E225">
      <w:pPr>
        <w:pStyle w:val="18"/>
        <w:snapToGrid w:val="0"/>
        <w:spacing w:line="360" w:lineRule="atLeast"/>
        <w:rPr>
          <w:rFonts w:ascii="Times New Roman" w:hAnsi="Times New Roman"/>
          <w:color w:val="auto"/>
        </w:rPr>
      </w:pPr>
      <w:r>
        <w:rPr>
          <w:rFonts w:ascii="Times New Roman" w:hAnsi="Times New Roman"/>
          <w:b/>
          <w:color w:val="auto"/>
        </w:rPr>
        <w:t xml:space="preserve">5.3、5.4  </w:t>
      </w:r>
      <w:r>
        <w:rPr>
          <w:rFonts w:ascii="Times New Roman" w:hAnsi="Times New Roman"/>
          <w:color w:val="auto"/>
        </w:rPr>
        <w:t>本条沿用了GB50007的规定，国家标准从1974年版开始，收集了大量建筑物的沉降观测资料，加以整理分析，从而确定各类建筑物的允许变形值。经过1989年、2002年、2011年三次修编后，更趋于合理、完善。国标规定的各类建筑物允许变形值参考了国内外相关规范的规定，符合湖北省的实际情况，故予采用。</w:t>
      </w:r>
    </w:p>
    <w:p w14:paraId="54645A8F">
      <w:pPr>
        <w:pStyle w:val="18"/>
        <w:snapToGrid w:val="0"/>
        <w:spacing w:line="360" w:lineRule="atLeast"/>
        <w:rPr>
          <w:rFonts w:ascii="Times New Roman" w:hAnsi="Times New Roman"/>
          <w:color w:val="auto"/>
          <w:szCs w:val="21"/>
        </w:rPr>
      </w:pPr>
      <w:r>
        <w:rPr>
          <w:rFonts w:ascii="Times New Roman" w:hAnsi="Times New Roman"/>
          <w:color w:val="auto"/>
        </w:rPr>
        <w:t xml:space="preserve">    国标规定的“砌体承重结构基础的局部倾斜”允许值与“多层和高层建筑的整体倾斜”允许值有矛盾之处，实用中应考虑砌体结构的局部挠曲，</w:t>
      </w:r>
      <w:r>
        <w:rPr>
          <w:rFonts w:ascii="Times New Roman" w:hAnsi="Times New Roman"/>
          <w:color w:val="auto"/>
          <w:szCs w:val="21"/>
        </w:rPr>
        <w:t>其计算方法如下图所示：</w:t>
      </w:r>
    </w:p>
    <w:p w14:paraId="27990981">
      <w:pPr>
        <w:adjustRightInd w:val="0"/>
        <w:snapToGrid w:val="0"/>
        <w:spacing w:line="360" w:lineRule="atLeast"/>
        <w:ind w:left="432"/>
        <w:rPr>
          <w:color w:val="auto"/>
          <w:szCs w:val="21"/>
        </w:rPr>
      </w:pPr>
      <w:r>
        <w:rPr>
          <w:color w:val="auto"/>
          <w:szCs w:val="21"/>
        </w:rPr>
        <w:t>由于A、B、C的不均匀沉降形成的挠度为图中的</w:t>
      </w:r>
      <w:r>
        <w:rPr>
          <w:i/>
          <w:iCs/>
          <w:color w:val="auto"/>
          <w:szCs w:val="21"/>
        </w:rPr>
        <w:t>S</w:t>
      </w:r>
      <w:r>
        <w:rPr>
          <w:iCs/>
          <w:color w:val="auto"/>
          <w:szCs w:val="21"/>
          <w:vertAlign w:val="subscript"/>
        </w:rPr>
        <w:t>mn</w:t>
      </w:r>
      <w:r>
        <w:rPr>
          <w:color w:val="auto"/>
          <w:szCs w:val="21"/>
        </w:rPr>
        <w:t>。</w:t>
      </w:r>
    </w:p>
    <w:p w14:paraId="6E1A256F">
      <w:pPr>
        <w:adjustRightInd w:val="0"/>
        <w:snapToGrid w:val="0"/>
        <w:spacing w:line="360" w:lineRule="atLeast"/>
        <w:ind w:firstLine="432"/>
        <w:rPr>
          <w:color w:val="auto"/>
          <w:szCs w:val="21"/>
        </w:rPr>
      </w:pPr>
      <w:r>
        <w:rPr>
          <w:color w:val="auto"/>
          <w:szCs w:val="21"/>
        </w:rPr>
        <w:t>AB两点之间的倾斜率</w:t>
      </w:r>
    </w:p>
    <w:p w14:paraId="53AC500A">
      <w:pPr>
        <w:adjustRightInd w:val="0"/>
        <w:ind w:firstLine="894" w:firstLineChars="426"/>
        <w:rPr>
          <w:color w:val="auto"/>
          <w:szCs w:val="21"/>
        </w:rPr>
      </w:pPr>
      <w:r>
        <w:rPr>
          <w:color w:val="auto"/>
          <w:szCs w:val="21"/>
        </w:rPr>
        <w:drawing>
          <wp:anchor distT="0" distB="0" distL="144145" distR="252095" simplePos="0" relativeHeight="251678720" behindDoc="1" locked="0" layoutInCell="1" allowOverlap="1">
            <wp:simplePos x="0" y="0"/>
            <wp:positionH relativeFrom="column">
              <wp:posOffset>2714625</wp:posOffset>
            </wp:positionH>
            <wp:positionV relativeFrom="paragraph">
              <wp:posOffset>10160</wp:posOffset>
            </wp:positionV>
            <wp:extent cx="1828800" cy="1151255"/>
            <wp:effectExtent l="0" t="0" r="0" b="10795"/>
            <wp:wrapTight wrapText="bothSides">
              <wp:wrapPolygon>
                <wp:start x="2025" y="715"/>
                <wp:lineTo x="0" y="1787"/>
                <wp:lineTo x="0" y="5719"/>
                <wp:lineTo x="1125" y="6434"/>
                <wp:lineTo x="450" y="7863"/>
                <wp:lineTo x="900" y="9650"/>
                <wp:lineTo x="2250" y="12152"/>
                <wp:lineTo x="2025" y="17871"/>
                <wp:lineTo x="2250" y="21088"/>
                <wp:lineTo x="19350" y="21088"/>
                <wp:lineTo x="19350" y="6434"/>
                <wp:lineTo x="21375" y="3932"/>
                <wp:lineTo x="21375" y="1787"/>
                <wp:lineTo x="19350" y="715"/>
                <wp:lineTo x="2025" y="715"/>
              </wp:wrapPolygon>
            </wp:wrapTight>
            <wp:docPr id="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3"/>
                    <pic:cNvPicPr>
                      <a:picLocks noChangeAspect="1"/>
                    </pic:cNvPicPr>
                  </pic:nvPicPr>
                  <pic:blipFill>
                    <a:blip r:embed="rId1509"/>
                    <a:stretch>
                      <a:fillRect/>
                    </a:stretch>
                  </pic:blipFill>
                  <pic:spPr>
                    <a:xfrm>
                      <a:off x="0" y="0"/>
                      <a:ext cx="1828800" cy="1151255"/>
                    </a:xfrm>
                    <a:prstGeom prst="rect">
                      <a:avLst/>
                    </a:prstGeom>
                    <a:noFill/>
                    <a:ln>
                      <a:noFill/>
                    </a:ln>
                  </pic:spPr>
                </pic:pic>
              </a:graphicData>
            </a:graphic>
          </wp:anchor>
        </w:drawing>
      </w:r>
      <w:r>
        <w:rPr>
          <w:color w:val="auto"/>
          <w:position w:val="-30"/>
          <w:szCs w:val="21"/>
        </w:rPr>
        <w:object>
          <v:shape id="_x0000_i1799" o:spt="75" type="#_x0000_t75" style="height:34pt;width:69pt;" o:ole="t" filled="f" stroked="f" coordsize="21600,21600">
            <v:path/>
            <v:fill on="f" focussize="0,0"/>
            <v:stroke on="f"/>
            <v:imagedata r:id="rId1511" o:title=""/>
            <o:lock v:ext="edit" grouping="f" rotation="f" text="f" aspectratio="t"/>
            <w10:wrap type="none"/>
            <w10:anchorlock/>
          </v:shape>
          <o:OLEObject Type="Embed" ProgID="Equation.3" ShapeID="_x0000_i1799" DrawAspect="Content" ObjectID="_1468076499" r:id="rId1510">
            <o:LockedField>false</o:LockedField>
          </o:OLEObject>
        </w:object>
      </w:r>
    </w:p>
    <w:p w14:paraId="443DC1C5">
      <w:pPr>
        <w:adjustRightInd w:val="0"/>
        <w:ind w:firstLine="432"/>
        <w:rPr>
          <w:color w:val="auto"/>
          <w:szCs w:val="21"/>
        </w:rPr>
      </w:pPr>
      <w:r>
        <w:rPr>
          <w:color w:val="auto"/>
          <w:szCs w:val="21"/>
        </w:rPr>
        <w:t>AC两点之间的倾斜率</w:t>
      </w:r>
    </w:p>
    <w:p w14:paraId="52544113">
      <w:pPr>
        <w:tabs>
          <w:tab w:val="left" w:pos="720"/>
        </w:tabs>
        <w:adjustRightInd w:val="0"/>
        <w:snapToGrid w:val="0"/>
        <w:ind w:left="359" w:leftChars="171" w:firstLine="588" w:firstLineChars="280"/>
        <w:rPr>
          <w:color w:val="auto"/>
          <w:szCs w:val="21"/>
        </w:rPr>
      </w:pPr>
      <w:r>
        <w:rPr>
          <w:color w:val="auto"/>
          <w:position w:val="-30"/>
          <w:szCs w:val="21"/>
        </w:rPr>
        <w:object>
          <v:shape id="_x0000_i1800" o:spt="75" type="#_x0000_t75" style="height:34pt;width:62pt;" o:ole="t" filled="f" stroked="f" coordsize="21600,21600">
            <v:path/>
            <v:fill on="f" focussize="0,0"/>
            <v:stroke on="f"/>
            <v:imagedata r:id="rId1513" o:title=""/>
            <o:lock v:ext="edit" grouping="f" rotation="f" text="f" aspectratio="t"/>
            <w10:wrap type="none"/>
            <w10:anchorlock/>
          </v:shape>
          <o:OLEObject Type="Embed" ProgID="Equation.3" ShapeID="_x0000_i1800" DrawAspect="Content" ObjectID="_1468076500" r:id="rId1512">
            <o:LockedField>false</o:LockedField>
          </o:OLEObject>
        </w:object>
      </w:r>
      <w:r>
        <w:rPr>
          <w:color w:val="auto"/>
          <w:szCs w:val="21"/>
        </w:rPr>
        <w:t>；</w:t>
      </w:r>
    </w:p>
    <w:p w14:paraId="64647BC7">
      <w:pPr>
        <w:adjustRightInd w:val="0"/>
        <w:snapToGrid w:val="0"/>
        <w:ind w:firstLine="965" w:firstLineChars="460"/>
        <w:rPr>
          <w:b/>
          <w:color w:val="auto"/>
          <w:sz w:val="18"/>
          <w:szCs w:val="18"/>
        </w:rPr>
      </w:pPr>
      <w:r>
        <w:rPr>
          <w:color w:val="auto"/>
          <w:position w:val="-12"/>
          <w:szCs w:val="21"/>
        </w:rPr>
        <w:object>
          <v:shape id="_x0000_i1801" o:spt="75" type="#_x0000_t75" style="height:18pt;width:100pt;" o:ole="t" filled="f" stroked="f" coordsize="21600,21600">
            <v:path/>
            <v:fill on="f" focussize="0,0"/>
            <v:stroke on="f"/>
            <v:imagedata r:id="rId1515" o:title=""/>
            <o:lock v:ext="edit" grouping="f" rotation="f" text="f" aspectratio="t"/>
            <w10:wrap type="none"/>
            <w10:anchorlock/>
          </v:shape>
          <o:OLEObject Type="Embed" ProgID="Equation.3" ShapeID="_x0000_i1801" DrawAspect="Content" ObjectID="_1468076501" r:id="rId1514">
            <o:LockedField>false</o:LockedField>
          </o:OLEObject>
        </w:object>
      </w:r>
      <w:r>
        <w:rPr>
          <w:color w:val="auto"/>
          <w:szCs w:val="21"/>
        </w:rPr>
        <w:t xml:space="preserve">                </w:t>
      </w:r>
      <w:r>
        <w:rPr>
          <w:b/>
          <w:color w:val="auto"/>
          <w:sz w:val="18"/>
          <w:szCs w:val="18"/>
        </w:rPr>
        <w:t>图1  相对挠曲计算示意</w:t>
      </w:r>
    </w:p>
    <w:p w14:paraId="3E263110">
      <w:pPr>
        <w:adjustRightInd w:val="0"/>
        <w:ind w:firstLine="432"/>
        <w:rPr>
          <w:color w:val="auto"/>
          <w:szCs w:val="21"/>
        </w:rPr>
      </w:pPr>
      <w:r>
        <w:rPr>
          <w:color w:val="auto"/>
          <w:szCs w:val="21"/>
        </w:rPr>
        <w:t>定义局部挠曲</w:t>
      </w:r>
      <w:r>
        <w:rPr>
          <w:color w:val="auto"/>
          <w:position w:val="-30"/>
          <w:szCs w:val="21"/>
        </w:rPr>
        <w:object>
          <v:shape id="_x0000_i1802" o:spt="75" type="#_x0000_t75" style="height:34pt;width:39pt;" o:ole="t" filled="f" stroked="f" coordsize="21600,21600">
            <v:path/>
            <v:fill on="f" focussize="0,0"/>
            <v:stroke on="f"/>
            <v:imagedata r:id="rId1517" o:title=""/>
            <o:lock v:ext="edit" grouping="f" rotation="f" text="f" aspectratio="t"/>
            <w10:wrap type="none"/>
            <w10:anchorlock/>
          </v:shape>
          <o:OLEObject Type="Embed" ProgID="Equation.3" ShapeID="_x0000_i1802" DrawAspect="Content" ObjectID="_1468076502" r:id="rId1516">
            <o:LockedField>false</o:LockedField>
          </o:OLEObject>
        </w:object>
      </w:r>
      <w:r>
        <w:rPr>
          <w:color w:val="auto"/>
          <w:szCs w:val="21"/>
        </w:rPr>
        <w:t>，</w:t>
      </w:r>
    </w:p>
    <w:p w14:paraId="5FDDCE24">
      <w:pPr>
        <w:adjustRightInd w:val="0"/>
        <w:snapToGrid w:val="0"/>
        <w:ind w:firstLine="210" w:firstLineChars="100"/>
        <w:rPr>
          <w:color w:val="auto"/>
          <w:szCs w:val="21"/>
          <w:vertAlign w:val="subscript"/>
        </w:rPr>
      </w:pPr>
      <w:r>
        <w:rPr>
          <w:color w:val="auto"/>
          <w:szCs w:val="21"/>
        </w:rPr>
        <w:t xml:space="preserve">      则：</w:t>
      </w:r>
      <w:r>
        <w:rPr>
          <w:color w:val="auto"/>
          <w:position w:val="-30"/>
          <w:szCs w:val="21"/>
        </w:rPr>
        <w:object>
          <v:shape id="_x0000_i1803" o:spt="75" type="#_x0000_t75" style="height:34pt;width:38pt;" o:ole="t" filled="f" stroked="f" coordsize="21600,21600">
            <v:path/>
            <v:fill on="f" focussize="0,0"/>
            <v:stroke on="f"/>
            <v:imagedata r:id="rId1519" o:title=""/>
            <o:lock v:ext="edit" grouping="f" rotation="f" text="f" aspectratio="t"/>
            <w10:wrap type="none"/>
            <w10:anchorlock/>
          </v:shape>
          <o:OLEObject Type="Embed" ProgID="Equation.3" ShapeID="_x0000_i1803" DrawAspect="Content" ObjectID="_1468076503" r:id="rId1518">
            <o:LockedField>false</o:LockedField>
          </o:OLEObject>
        </w:object>
      </w:r>
    </w:p>
    <w:p w14:paraId="25C3C6B1">
      <w:pPr>
        <w:adjustRightInd w:val="0"/>
        <w:snapToGrid w:val="0"/>
        <w:rPr>
          <w:i/>
          <w:iCs/>
          <w:color w:val="auto"/>
          <w:szCs w:val="21"/>
        </w:rPr>
      </w:pPr>
      <w:r>
        <w:rPr>
          <w:i/>
          <w:iCs/>
          <w:color w:val="auto"/>
          <w:szCs w:val="21"/>
          <w:vertAlign w:val="subscript"/>
        </w:rPr>
        <w:t xml:space="preserve">                    </w:t>
      </w:r>
      <w:r>
        <w:rPr>
          <w:i/>
          <w:iCs/>
          <w:color w:val="auto"/>
          <w:szCs w:val="21"/>
        </w:rPr>
        <w:t>=</w:t>
      </w:r>
      <w:r>
        <w:rPr>
          <w:i/>
          <w:iCs/>
          <w:color w:val="auto"/>
          <w:position w:val="-30"/>
          <w:szCs w:val="21"/>
        </w:rPr>
        <w:object>
          <v:shape id="_x0000_i1804" o:spt="75" type="#_x0000_t75" style="height:34pt;width:78pt;" o:ole="t" filled="f" stroked="f" coordsize="21600,21600">
            <v:path/>
            <v:fill on="f" focussize="0,0"/>
            <v:stroke on="f"/>
            <v:imagedata r:id="rId1521" o:title=""/>
            <o:lock v:ext="edit" grouping="f" rotation="f" text="f" aspectratio="t"/>
            <w10:wrap type="none"/>
            <w10:anchorlock/>
          </v:shape>
          <o:OLEObject Type="Embed" ProgID="Equation.3" ShapeID="_x0000_i1804" DrawAspect="Content" ObjectID="_1468076504" r:id="rId1520">
            <o:LockedField>false</o:LockedField>
          </o:OLEObject>
        </w:object>
      </w:r>
    </w:p>
    <w:p w14:paraId="25C68651">
      <w:pPr>
        <w:pStyle w:val="20"/>
        <w:adjustRightInd w:val="0"/>
        <w:snapToGrid w:val="0"/>
        <w:rPr>
          <w:rFonts w:ascii="Times New Roman"/>
          <w:i/>
          <w:iCs/>
          <w:color w:val="auto"/>
          <w:szCs w:val="21"/>
          <w:vertAlign w:val="subscript"/>
        </w:rPr>
      </w:pPr>
      <w:r>
        <w:rPr>
          <w:rFonts w:ascii="Times New Roman"/>
          <w:i/>
          <w:iCs/>
          <w:color w:val="auto"/>
          <w:szCs w:val="21"/>
        </w:rPr>
        <w:t xml:space="preserve">             =</w:t>
      </w:r>
      <w:r>
        <w:rPr>
          <w:rFonts w:ascii="Times New Roman"/>
          <w:i/>
          <w:iCs/>
          <w:color w:val="auto"/>
          <w:position w:val="-30"/>
          <w:szCs w:val="21"/>
        </w:rPr>
        <w:object>
          <v:shape id="_x0000_i1805" o:spt="75" type="#_x0000_t75" style="height:34pt;width:113pt;" o:ole="t" filled="f" o:preferrelative="t" stroked="f" coordsize="21600,21600">
            <v:path/>
            <v:fill on="f" focussize="0,0"/>
            <v:stroke on="f"/>
            <v:imagedata r:id="rId1523" o:title=""/>
            <o:lock v:ext="edit" grouping="f" rotation="f" text="f" aspectratio="t"/>
            <w10:wrap type="none"/>
            <w10:anchorlock/>
          </v:shape>
          <o:OLEObject Type="Embed" ProgID="Equation.3" ShapeID="_x0000_i1805" DrawAspect="Content" ObjectID="_1468076505" r:id="rId1522">
            <o:LockedField>false</o:LockedField>
          </o:OLEObject>
        </w:object>
      </w:r>
    </w:p>
    <w:p w14:paraId="3508D461">
      <w:pPr>
        <w:adjustRightInd w:val="0"/>
        <w:snapToGrid w:val="0"/>
        <w:ind w:left="420" w:leftChars="200" w:firstLine="924" w:firstLineChars="440"/>
        <w:rPr>
          <w:i/>
          <w:iCs/>
          <w:color w:val="auto"/>
          <w:szCs w:val="21"/>
          <w:vertAlign w:val="subscript"/>
        </w:rPr>
      </w:pPr>
      <w:r>
        <w:rPr>
          <w:i/>
          <w:iCs/>
          <w:color w:val="auto"/>
          <w:szCs w:val="21"/>
        </w:rPr>
        <w:t>=</w:t>
      </w:r>
      <w:r>
        <w:rPr>
          <w:i/>
          <w:iCs/>
          <w:color w:val="auto"/>
          <w:position w:val="-30"/>
          <w:szCs w:val="21"/>
        </w:rPr>
        <w:object>
          <v:shape id="_x0000_i1806" o:spt="75" type="#_x0000_t75" style="height:34pt;width:62pt;" o:ole="t" filled="f" stroked="f" coordsize="21600,21600">
            <v:path/>
            <v:fill on="f" focussize="0,0"/>
            <v:stroke on="f"/>
            <v:imagedata r:id="rId1525" o:title=""/>
            <o:lock v:ext="edit" grouping="f" rotation="f" text="f" aspectratio="t"/>
            <w10:wrap type="none"/>
            <w10:anchorlock/>
          </v:shape>
          <o:OLEObject Type="Embed" ProgID="Equation.3" ShapeID="_x0000_i1806" DrawAspect="Content" ObjectID="_1468076506" r:id="rId1524">
            <o:LockedField>false</o:LockedField>
          </o:OLEObject>
        </w:object>
      </w:r>
    </w:p>
    <w:p w14:paraId="4A6233C5">
      <w:pPr>
        <w:adjustRightInd w:val="0"/>
        <w:ind w:firstLine="420" w:firstLineChars="200"/>
        <w:rPr>
          <w:color w:val="auto"/>
          <w:szCs w:val="21"/>
        </w:rPr>
      </w:pPr>
      <w:r>
        <w:rPr>
          <w:i/>
          <w:color w:val="auto"/>
          <w:szCs w:val="21"/>
        </w:rPr>
        <w:t>δ</w:t>
      </w:r>
      <w:r>
        <w:rPr>
          <w:color w:val="auto"/>
          <w:szCs w:val="21"/>
        </w:rPr>
        <w:t>值以绝对值表示。如区分正、负，则正值表示下凹、负值表示上凸。</w:t>
      </w:r>
    </w:p>
    <w:p w14:paraId="1972D396">
      <w:pPr>
        <w:adjustRightInd w:val="0"/>
        <w:ind w:firstLine="420" w:firstLineChars="200"/>
        <w:rPr>
          <w:color w:val="auto"/>
          <w:szCs w:val="21"/>
        </w:rPr>
      </w:pPr>
      <w:r>
        <w:rPr>
          <w:color w:val="auto"/>
          <w:szCs w:val="21"/>
        </w:rPr>
        <w:t>也可采用下式直接计算</w:t>
      </w:r>
      <w:r>
        <w:rPr>
          <w:i/>
          <w:color w:val="auto"/>
          <w:szCs w:val="21"/>
        </w:rPr>
        <w:t>δ</w:t>
      </w:r>
      <w:r>
        <w:rPr>
          <w:color w:val="auto"/>
          <w:szCs w:val="21"/>
        </w:rPr>
        <w:t>：</w:t>
      </w:r>
    </w:p>
    <w:p w14:paraId="65FC9783">
      <w:pPr>
        <w:adjustRightInd w:val="0"/>
        <w:jc w:val="center"/>
        <w:rPr>
          <w:color w:val="auto"/>
          <w:szCs w:val="21"/>
        </w:rPr>
      </w:pPr>
      <w:r>
        <w:rPr>
          <w:color w:val="auto"/>
          <w:position w:val="-30"/>
          <w:szCs w:val="21"/>
        </w:rPr>
        <w:object>
          <v:shape id="_x0000_i1807" o:spt="75" type="#_x0000_t75" style="height:34pt;width:95pt;" o:ole="t" filled="f" stroked="f" coordsize="21600,21600">
            <v:path/>
            <v:fill on="f" focussize="0,0"/>
            <v:stroke on="f"/>
            <v:imagedata r:id="rId1527" o:title=""/>
            <o:lock v:ext="edit" grouping="f" rotation="f" text="f" aspectratio="t"/>
            <w10:wrap type="none"/>
            <w10:anchorlock/>
          </v:shape>
          <o:OLEObject Type="Embed" ProgID="Equation.3" ShapeID="_x0000_i1807" DrawAspect="Content" ObjectID="_1468076507" r:id="rId1526">
            <o:LockedField>false</o:LockedField>
          </o:OLEObject>
        </w:object>
      </w:r>
    </w:p>
    <w:p w14:paraId="1B4AC2E6">
      <w:pPr>
        <w:adjustRightInd w:val="0"/>
        <w:ind w:firstLine="420" w:firstLineChars="200"/>
        <w:rPr>
          <w:color w:val="auto"/>
          <w:szCs w:val="21"/>
        </w:rPr>
      </w:pPr>
      <w:r>
        <w:rPr>
          <w:color w:val="auto"/>
          <w:szCs w:val="21"/>
        </w:rPr>
        <w:t>若B点在A、C之间的中点附近，则：</w:t>
      </w:r>
    </w:p>
    <w:p w14:paraId="7B1F5CA4">
      <w:pPr>
        <w:pStyle w:val="18"/>
        <w:jc w:val="center"/>
        <w:rPr>
          <w:rFonts w:ascii="Times New Roman" w:hAnsi="Times New Roman"/>
          <w:color w:val="auto"/>
        </w:rPr>
      </w:pPr>
      <w:r>
        <w:rPr>
          <w:rFonts w:ascii="Times New Roman" w:hAnsi="Times New Roman"/>
          <w:color w:val="auto"/>
          <w:position w:val="-30"/>
          <w:szCs w:val="21"/>
        </w:rPr>
        <w:object>
          <v:shape id="_x0000_i1808" o:spt="75" type="#_x0000_t75" style="height:34pt;width:93pt;" o:ole="t" filled="f" stroked="f" coordsize="21600,21600">
            <v:path/>
            <v:fill on="f" focussize="0,0"/>
            <v:stroke on="f"/>
            <v:imagedata r:id="rId1529" o:title=""/>
            <o:lock v:ext="edit" grouping="f" rotation="f" text="f" aspectratio="t"/>
            <w10:wrap type="none"/>
            <w10:anchorlock/>
          </v:shape>
          <o:OLEObject Type="Embed" ProgID="Equation.3" ShapeID="_x0000_i1808" DrawAspect="Content" ObjectID="_1468076508" r:id="rId1528">
            <o:LockedField>false</o:LockedField>
          </o:OLEObject>
        </w:object>
      </w:r>
    </w:p>
    <w:p w14:paraId="29B6AA94">
      <w:pPr>
        <w:adjustRightInd w:val="0"/>
        <w:snapToGrid w:val="0"/>
        <w:spacing w:line="360" w:lineRule="atLeast"/>
        <w:ind w:firstLine="411" w:firstLineChars="196"/>
        <w:rPr>
          <w:color w:val="auto"/>
          <w:szCs w:val="21"/>
        </w:rPr>
      </w:pPr>
      <w:r>
        <w:rPr>
          <w:color w:val="auto"/>
          <w:szCs w:val="21"/>
        </w:rPr>
        <w:t>对中低压缩性土</w:t>
      </w:r>
      <w:r>
        <w:rPr>
          <w:i/>
          <w:color w:val="auto"/>
          <w:szCs w:val="21"/>
        </w:rPr>
        <w:t>δ</w:t>
      </w:r>
      <w:r>
        <w:rPr>
          <w:color w:val="auto"/>
          <w:szCs w:val="21"/>
        </w:rPr>
        <w:t>不应超过0.0010，高压缩性土不应超过0.0015。</w:t>
      </w:r>
    </w:p>
    <w:p w14:paraId="1914763B">
      <w:pPr>
        <w:adjustRightInd w:val="0"/>
        <w:snapToGrid w:val="0"/>
        <w:spacing w:line="360" w:lineRule="atLeast"/>
        <w:ind w:firstLine="411" w:firstLineChars="196"/>
        <w:rPr>
          <w:color w:val="auto"/>
          <w:szCs w:val="21"/>
        </w:rPr>
      </w:pPr>
      <w:r>
        <w:rPr>
          <w:color w:val="auto"/>
          <w:szCs w:val="21"/>
        </w:rPr>
        <w:t>关于绝对沉降的控制标准，采用国标GB50007对多层建筑和体型简单的高层建筑基础平均沉降允许200mm的规定。我省武汉市、黄石市等地都曾发生过建筑物超量沉降的事故，导致房屋倾斜、开裂或严重影响使用功能。经验表明，绝对沉降愈大，差异沉降发生的可能性也愈大。绝对沉降愈大，沉降稳定的时间愈长，到竣工时，沉降速率仍然很高，后期变化难以预测，很可能出现各种纠纷，往往不能顺利验收，影响房屋及时投入使用。从使用功能方面考虑在规范中控制绝对沉降也是必要的。</w:t>
      </w:r>
    </w:p>
    <w:p w14:paraId="26F43598">
      <w:pPr>
        <w:pStyle w:val="18"/>
        <w:snapToGrid w:val="0"/>
        <w:spacing w:line="360" w:lineRule="atLeast"/>
        <w:rPr>
          <w:rFonts w:ascii="Times New Roman" w:hAnsi="Times New Roman"/>
          <w:color w:val="auto"/>
        </w:rPr>
      </w:pPr>
      <w:r>
        <w:rPr>
          <w:rFonts w:ascii="Times New Roman" w:hAnsi="Times New Roman"/>
          <w:b/>
          <w:color w:val="auto"/>
        </w:rPr>
        <w:t>5.5</w:t>
      </w:r>
      <w:r>
        <w:rPr>
          <w:rFonts w:ascii="Times New Roman" w:hAnsi="Times New Roman"/>
          <w:color w:val="auto"/>
        </w:rPr>
        <w:t xml:space="preserve"> 本条在国标GB50007的基础上作了较大修改。主要考虑采用天然地基的建筑物，特别是持力层为软土，当建筑物刚度较差时，常发生结构开裂或倾斜现象，因此应从严控制。对建筑物的层数、吊车额定起重量及</w:t>
      </w:r>
      <w:r>
        <w:rPr>
          <w:rFonts w:hint="eastAsia" w:ascii="Times New Roman" w:hAnsi="Times New Roman"/>
          <w:color w:val="auto"/>
        </w:rPr>
        <w:t>厂房跨度</w:t>
      </w:r>
      <w:r>
        <w:rPr>
          <w:rFonts w:ascii="Times New Roman" w:hAnsi="Times New Roman"/>
          <w:color w:val="auto"/>
        </w:rPr>
        <w:t>均作了较严格的限制，确保安全。</w:t>
      </w:r>
    </w:p>
    <w:p w14:paraId="14568C12">
      <w:pPr>
        <w:pStyle w:val="18"/>
        <w:snapToGrid w:val="0"/>
        <w:spacing w:line="360" w:lineRule="atLeast"/>
        <w:rPr>
          <w:rFonts w:ascii="Times New Roman" w:hAnsi="Times New Roman"/>
          <w:color w:val="auto"/>
        </w:rPr>
      </w:pPr>
      <w:r>
        <w:rPr>
          <w:rFonts w:ascii="Times New Roman" w:hAnsi="Times New Roman"/>
          <w:b/>
          <w:color w:val="auto"/>
        </w:rPr>
        <w:t>5.6</w:t>
      </w:r>
      <w:r>
        <w:rPr>
          <w:rFonts w:ascii="Times New Roman" w:hAnsi="Times New Roman"/>
          <w:color w:val="auto"/>
        </w:rPr>
        <w:t xml:space="preserve">  新近填土作为荷载对下伏软弱土层的变形影响较大，由于新近填土荷载对下伏软弱土层产生的附加应力及附加沉降，在湖北省已造成天然地基沉降过大、桩基产生负摩擦力造成桩身破坏或沉降过大等多起事故，应引起高度重视。</w:t>
      </w:r>
    </w:p>
    <w:p w14:paraId="5C9E7F68">
      <w:pPr>
        <w:pStyle w:val="18"/>
        <w:snapToGrid w:val="0"/>
        <w:spacing w:line="360" w:lineRule="atLeast"/>
        <w:rPr>
          <w:rFonts w:ascii="Times New Roman" w:hAnsi="Times New Roman"/>
          <w:color w:val="auto"/>
        </w:rPr>
      </w:pPr>
      <w:r>
        <w:rPr>
          <w:rFonts w:ascii="Times New Roman" w:hAnsi="Times New Roman"/>
          <w:b/>
          <w:color w:val="auto"/>
        </w:rPr>
        <w:t xml:space="preserve">5.10  </w:t>
      </w:r>
      <w:r>
        <w:rPr>
          <w:rFonts w:ascii="Times New Roman" w:hAnsi="Times New Roman"/>
          <w:color w:val="auto"/>
        </w:rPr>
        <w:t>由于地基基础特别是基础构件维修困难，对基础的耐久性问题应予以特别重视。应保证在建筑物整个使用寿命期间的地基基础不能失效，而不是仅仅保证建筑设计</w:t>
      </w:r>
      <w:r>
        <w:rPr>
          <w:rFonts w:hint="eastAsia" w:ascii="Times New Roman" w:hAnsi="Times New Roman"/>
          <w:color w:val="auto"/>
        </w:rPr>
        <w:t>工作</w:t>
      </w:r>
      <w:r>
        <w:rPr>
          <w:rFonts w:ascii="Times New Roman" w:hAnsi="Times New Roman"/>
          <w:color w:val="auto"/>
        </w:rPr>
        <w:t>年限内的耐久性。目前在地基基础耐久性方面的规定尚不完善，难以保证基础受拉、受弯构件的耐久性，设计中应根据实际情况采取相应的措施，提高基础构件的耐久性。</w:t>
      </w:r>
    </w:p>
    <w:p w14:paraId="0C78719E">
      <w:pPr>
        <w:pStyle w:val="18"/>
        <w:snapToGrid w:val="0"/>
        <w:spacing w:line="360" w:lineRule="atLeast"/>
        <w:ind w:firstLine="420"/>
        <w:rPr>
          <w:rFonts w:ascii="Times New Roman" w:hAnsi="Times New Roman"/>
          <w:color w:val="auto"/>
        </w:rPr>
      </w:pPr>
      <w:r>
        <w:rPr>
          <w:rFonts w:ascii="Times New Roman" w:hAnsi="Times New Roman"/>
          <w:color w:val="auto"/>
        </w:rPr>
        <w:t>本条摘录了GB/T</w:t>
      </w:r>
      <w:r>
        <w:rPr>
          <w:rFonts w:hint="eastAsia" w:ascii="Times New Roman" w:hAnsi="Times New Roman"/>
          <w:color w:val="auto"/>
          <w:lang w:val="en-US" w:eastAsia="zh-CN"/>
        </w:rPr>
        <w:t xml:space="preserve"> </w:t>
      </w:r>
      <w:r>
        <w:rPr>
          <w:rFonts w:ascii="Times New Roman" w:hAnsi="Times New Roman"/>
          <w:color w:val="auto"/>
        </w:rPr>
        <w:t>50010中有关混凝土材料耐久性的相关规定。根据现行国家标准</w:t>
      </w:r>
      <w:r>
        <w:rPr>
          <w:rFonts w:hint="eastAsia" w:ascii="Times New Roman" w:hAnsi="Times New Roman"/>
          <w:color w:val="auto"/>
        </w:rPr>
        <w:t>G</w:t>
      </w:r>
      <w:r>
        <w:rPr>
          <w:rFonts w:ascii="Times New Roman" w:hAnsi="Times New Roman"/>
          <w:color w:val="auto"/>
        </w:rPr>
        <w:t>B55008的规定</w:t>
      </w:r>
      <w:r>
        <w:rPr>
          <w:rFonts w:hint="eastAsia" w:ascii="Times New Roman" w:hAnsi="Times New Roman"/>
          <w:color w:val="auto"/>
        </w:rPr>
        <w:t>，将“最大氯离子含量”改为“水溶性氯离子最大含量”。</w:t>
      </w:r>
    </w:p>
    <w:p w14:paraId="71960CB6">
      <w:pPr>
        <w:pStyle w:val="18"/>
        <w:snapToGrid w:val="0"/>
        <w:spacing w:line="360" w:lineRule="atLeast"/>
        <w:ind w:firstLine="420"/>
        <w:rPr>
          <w:rFonts w:ascii="Times New Roman" w:hAnsi="Times New Roman"/>
          <w:color w:val="auto"/>
        </w:rPr>
      </w:pPr>
      <w:r>
        <w:rPr>
          <w:rFonts w:ascii="Times New Roman" w:hAnsi="Times New Roman"/>
          <w:color w:val="auto"/>
        </w:rPr>
        <w:t>基础及承台的混凝土抗裂验算应符合GB/T50010的有关规定；桩身混凝土抗裂验算要求应符合本文件第12章的规定。</w:t>
      </w:r>
    </w:p>
    <w:p w14:paraId="6CF86EE3">
      <w:pPr>
        <w:snapToGrid w:val="0"/>
        <w:spacing w:line="340" w:lineRule="atLeast"/>
        <w:rPr>
          <w:bCs/>
          <w:color w:val="auto"/>
          <w:szCs w:val="21"/>
        </w:rPr>
      </w:pPr>
      <w:r>
        <w:rPr>
          <w:rFonts w:eastAsia="黑体"/>
          <w:b/>
          <w:bCs/>
          <w:color w:val="auto"/>
          <w:szCs w:val="21"/>
        </w:rPr>
        <w:t xml:space="preserve">5.18  </w:t>
      </w:r>
      <w:r>
        <w:rPr>
          <w:bCs/>
          <w:color w:val="auto"/>
          <w:szCs w:val="21"/>
        </w:rPr>
        <w:t>强烈地震时产生软土震陷，不仅被科学实验和理论研究证实，而且在宏观震害调查，特别是“5.12”汶川地震调查中证明其存在。软土震陷评估方法分为定性、半定量和定量三种方法。GB</w:t>
      </w:r>
      <w:r>
        <w:rPr>
          <w:rFonts w:hint="eastAsia"/>
          <w:bCs/>
          <w:color w:val="auto"/>
          <w:szCs w:val="21"/>
          <w:lang w:val="en-US" w:eastAsia="zh-CN"/>
        </w:rPr>
        <w:t xml:space="preserve"> </w:t>
      </w:r>
      <w:r>
        <w:rPr>
          <w:bCs/>
          <w:color w:val="auto"/>
          <w:szCs w:val="21"/>
        </w:rPr>
        <w:t>50021条文说明列入的评估方法为代表性的定性评估方法，主要根据唐山地震经验提出软土震陷临界承载力和剪切波速。由于软土震陷机理复杂、难以定量预测，《软土地区工程地质勘察规范》半定量给出了震陷量。软土震陷定量评估方法主要有分层总和法、应力锥简化计算方法、软化模型法、应力路线简化计算法等，但均不十分成熟，实际应用不多。</w:t>
      </w:r>
    </w:p>
    <w:p w14:paraId="430D167C">
      <w:pPr>
        <w:snapToGrid w:val="0"/>
        <w:spacing w:line="340" w:lineRule="atLeast"/>
        <w:rPr>
          <w:rFonts w:eastAsia="黑体"/>
          <w:b/>
          <w:bCs/>
          <w:color w:val="auto"/>
          <w:szCs w:val="21"/>
        </w:rPr>
      </w:pPr>
      <w:r>
        <w:rPr>
          <w:rFonts w:eastAsia="黑体"/>
          <w:b/>
          <w:bCs/>
          <w:color w:val="auto"/>
          <w:szCs w:val="21"/>
        </w:rPr>
        <w:t xml:space="preserve">5.23  </w:t>
      </w:r>
      <w:r>
        <w:rPr>
          <w:bCs/>
          <w:color w:val="auto"/>
          <w:szCs w:val="21"/>
        </w:rPr>
        <w:t>对于</w:t>
      </w:r>
      <w:r>
        <w:rPr>
          <w:color w:val="auto"/>
          <w:kern w:val="0"/>
        </w:rPr>
        <w:t>场地复杂或有特殊要求的工程、地基条件与原勘察报告不符的工程，当详细勘察阶段岩土工程勘察资料不能满足施工图设计要求时，进行施工勘察是必</w:t>
      </w:r>
      <w:r>
        <w:rPr>
          <w:rFonts w:hint="eastAsia"/>
          <w:color w:val="auto"/>
          <w:kern w:val="0"/>
          <w:lang w:eastAsia="zh-CN"/>
        </w:rPr>
        <w:t>需</w:t>
      </w:r>
      <w:bookmarkStart w:id="238" w:name="_GoBack"/>
      <w:bookmarkEnd w:id="238"/>
      <w:r>
        <w:rPr>
          <w:color w:val="auto"/>
          <w:kern w:val="0"/>
        </w:rPr>
        <w:t>的。</w:t>
      </w:r>
    </w:p>
    <w:p w14:paraId="44647306">
      <w:pPr>
        <w:snapToGrid w:val="0"/>
        <w:spacing w:line="340" w:lineRule="atLeast"/>
        <w:rPr>
          <w:color w:val="auto"/>
          <w:kern w:val="0"/>
        </w:rPr>
      </w:pPr>
      <w:r>
        <w:rPr>
          <w:rFonts w:eastAsia="黑体"/>
          <w:b/>
          <w:bCs/>
          <w:color w:val="auto"/>
          <w:szCs w:val="21"/>
        </w:rPr>
        <w:t>5.24</w:t>
      </w:r>
      <w:r>
        <w:rPr>
          <w:color w:val="auto"/>
          <w:kern w:val="0"/>
        </w:rPr>
        <w:t xml:space="preserve">  本条对不同地基基础设计等级建筑物的勘察方法、测试内容以及岩土参数指标提出了不同的要求。平板载荷试验可以较直观地提供承载力及变形模量，但试验条件受到一些限制。对于埋藏较深的土层，只能依靠螺旋板载荷试验及旁压试验，少数情况可利用深层平板载荷试验，费时费力，因此，在执行“甲级设计等级建筑物应提供载荷试验指标”的规定时应考虑工程具体情况。一般情况下，对于甲级建筑物采用天然地基时基底下的持力层应当提供载荷试验指标，当基坑开挖深度较大时，可与设计、施工单位协商，在施工过程中配合进行平板载荷试验，操作困难时可在勘察阶段采用螺旋板载荷试验、旁压试验或深层平板载荷试验提供数据。当持力层厚度不大，建筑物荷载较大时，对持力层以下主要土层如经验不足也宜提供载荷试验指标。</w:t>
      </w:r>
    </w:p>
    <w:p w14:paraId="73AACA98">
      <w:pPr>
        <w:snapToGrid w:val="0"/>
        <w:spacing w:line="340" w:lineRule="atLeast"/>
        <w:ind w:firstLine="435"/>
        <w:rPr>
          <w:color w:val="auto"/>
          <w:kern w:val="0"/>
        </w:rPr>
      </w:pPr>
      <w:r>
        <w:rPr>
          <w:color w:val="auto"/>
          <w:kern w:val="0"/>
        </w:rPr>
        <w:t>当采用桩基础时，对于承载力很高的甲级设计等级的人工挖孔桩基础宜提供桩端持力层的载荷试验指标。需考虑承台底抗力时，承台底持力层也宜提供载荷试验指标。对于一些经验不足的岩土，如残积土、红黏土、强风化岩层等，在条件允许时应进行载荷试验。</w:t>
      </w:r>
    </w:p>
    <w:p w14:paraId="26D77976">
      <w:pPr>
        <w:snapToGrid w:val="0"/>
        <w:spacing w:line="340" w:lineRule="atLeast"/>
        <w:ind w:firstLine="420" w:firstLineChars="200"/>
        <w:rPr>
          <w:color w:val="auto"/>
          <w:kern w:val="0"/>
        </w:rPr>
      </w:pPr>
      <w:r>
        <w:rPr>
          <w:color w:val="auto"/>
          <w:kern w:val="0"/>
        </w:rPr>
        <w:t>工程经验表明，当地基土中存在对工程不利的互层土，或土层分布不均匀时，采用单一的土工试验资料难以准确判别和划分，以静力触探或其他原位测试的方法配合土工试验资料加以综合判别是合适的。</w:t>
      </w:r>
    </w:p>
    <w:p w14:paraId="7BD5D53C">
      <w:pPr>
        <w:pStyle w:val="18"/>
        <w:snapToGrid w:val="0"/>
        <w:spacing w:line="360" w:lineRule="atLeast"/>
        <w:rPr>
          <w:rFonts w:ascii="Times New Roman" w:hAnsi="Times New Roman"/>
          <w:color w:val="auto"/>
        </w:rPr>
      </w:pPr>
      <w:r>
        <w:rPr>
          <w:rFonts w:ascii="Times New Roman" w:hAnsi="Times New Roman"/>
          <w:b/>
          <w:color w:val="auto"/>
        </w:rPr>
        <w:t>5.26</w:t>
      </w:r>
      <w:r>
        <w:rPr>
          <w:rFonts w:ascii="Times New Roman" w:hAnsi="Times New Roman"/>
          <w:color w:val="auto"/>
        </w:rPr>
        <w:t xml:space="preserve">  荷载效应组合的设计值应按现行国家</w:t>
      </w:r>
      <w:r>
        <w:rPr>
          <w:rFonts w:hint="eastAsia" w:ascii="Times New Roman" w:hAnsi="Times New Roman"/>
          <w:color w:val="auto"/>
        </w:rPr>
        <w:t>标准GB</w:t>
      </w:r>
      <w:r>
        <w:rPr>
          <w:rFonts w:hint="eastAsia" w:ascii="Times New Roman" w:hAnsi="Times New Roman"/>
          <w:color w:val="auto"/>
          <w:lang w:val="en-US" w:eastAsia="zh-CN"/>
        </w:rPr>
        <w:t xml:space="preserve"> </w:t>
      </w:r>
      <w:r>
        <w:rPr>
          <w:rFonts w:hint="eastAsia" w:ascii="Times New Roman" w:hAnsi="Times New Roman"/>
          <w:color w:val="auto"/>
        </w:rPr>
        <w:t>55001</w:t>
      </w:r>
      <w:r>
        <w:rPr>
          <w:rFonts w:ascii="Times New Roman" w:hAnsi="Times New Roman"/>
          <w:color w:val="auto"/>
        </w:rPr>
        <w:t>的规定执行</w:t>
      </w:r>
      <w:r>
        <w:rPr>
          <w:rFonts w:hint="eastAsia" w:ascii="Times New Roman" w:hAnsi="Times New Roman"/>
          <w:color w:val="auto"/>
        </w:rPr>
        <w:t>，</w:t>
      </w:r>
      <w:r>
        <w:rPr>
          <w:rFonts w:ascii="Times New Roman" w:hAnsi="Times New Roman"/>
          <w:color w:val="auto"/>
        </w:rPr>
        <w:t>其中</w:t>
      </w:r>
      <w:r>
        <w:rPr>
          <w:rFonts w:hint="eastAsia" w:ascii="Times New Roman" w:hAnsi="Times New Roman"/>
          <w:color w:val="auto"/>
        </w:rPr>
        <w:t>现行国家标准GB</w:t>
      </w:r>
      <w:r>
        <w:rPr>
          <w:rFonts w:hint="eastAsia" w:ascii="Times New Roman" w:hAnsi="Times New Roman"/>
          <w:color w:val="auto"/>
          <w:lang w:val="en-US" w:eastAsia="zh-CN"/>
        </w:rPr>
        <w:t xml:space="preserve"> </w:t>
      </w:r>
      <w:r>
        <w:rPr>
          <w:rFonts w:hint="eastAsia" w:ascii="Times New Roman" w:hAnsi="Times New Roman"/>
          <w:color w:val="auto"/>
        </w:rPr>
        <w:t>55001提高</w:t>
      </w:r>
      <w:r>
        <w:rPr>
          <w:rFonts w:ascii="Times New Roman" w:hAnsi="Times New Roman"/>
          <w:color w:val="auto"/>
        </w:rPr>
        <w:t>了部分荷载及</w:t>
      </w:r>
      <w:r>
        <w:rPr>
          <w:rFonts w:hint="eastAsia" w:ascii="Times New Roman" w:hAnsi="Times New Roman"/>
          <w:color w:val="auto"/>
        </w:rPr>
        <w:t>荷载</w:t>
      </w:r>
      <w:r>
        <w:rPr>
          <w:rFonts w:ascii="Times New Roman" w:hAnsi="Times New Roman"/>
          <w:color w:val="auto"/>
        </w:rPr>
        <w:t>分项系数的取值。本文件修编中引用了GB 50007规定的各种组合效应设计值表达式，GB 50007规范编制组对基础构件设计的分项系数进行了大量试算工作，对高层建筑筏板基础5人次8项工程、高耸构筑物1人次2项工程、烟囱2人次8项工程，支挡结构5人次20项工程的试算结果统计，对由永久荷载控制的荷载效应基本组合采用简化算法确定设计值时，综合荷载分项系数</w:t>
      </w:r>
      <w:r>
        <w:rPr>
          <w:rFonts w:hint="eastAsia" w:ascii="Times New Roman" w:hAnsi="Times New Roman"/>
          <w:color w:val="auto"/>
        </w:rPr>
        <w:t>可取</w:t>
      </w:r>
      <w:r>
        <w:rPr>
          <w:rFonts w:ascii="Times New Roman" w:hAnsi="Times New Roman"/>
          <w:color w:val="auto"/>
        </w:rPr>
        <w:t>1.35。</w:t>
      </w:r>
    </w:p>
    <w:p w14:paraId="4F3E6048">
      <w:pPr>
        <w:pStyle w:val="18"/>
        <w:snapToGrid w:val="0"/>
        <w:spacing w:line="360" w:lineRule="atLeast"/>
        <w:rPr>
          <w:rFonts w:ascii="Times New Roman" w:hAnsi="Times New Roman"/>
          <w:color w:val="auto"/>
        </w:rPr>
      </w:pPr>
      <w:r>
        <w:rPr>
          <w:rFonts w:ascii="Times New Roman" w:hAnsi="Times New Roman"/>
          <w:b/>
          <w:color w:val="auto"/>
        </w:rPr>
        <w:t>5.27</w:t>
      </w:r>
      <w:r>
        <w:rPr>
          <w:rFonts w:ascii="Times New Roman" w:hAnsi="Times New Roman"/>
          <w:color w:val="auto"/>
        </w:rPr>
        <w:t xml:space="preserve">  现行国家标准GB</w:t>
      </w:r>
      <w:r>
        <w:rPr>
          <w:rFonts w:hint="eastAsia" w:ascii="Times New Roman" w:hAnsi="Times New Roman"/>
          <w:color w:val="auto"/>
          <w:lang w:val="en-US" w:eastAsia="zh-CN"/>
        </w:rPr>
        <w:t xml:space="preserve"> </w:t>
      </w:r>
      <w:r>
        <w:rPr>
          <w:rFonts w:ascii="Times New Roman" w:hAnsi="Times New Roman"/>
          <w:color w:val="auto"/>
        </w:rPr>
        <w:t>55001规定，工程设计时</w:t>
      </w:r>
      <w:r>
        <w:rPr>
          <w:rFonts w:hint="eastAsia" w:ascii="Times New Roman" w:hAnsi="Times New Roman"/>
          <w:color w:val="auto"/>
        </w:rPr>
        <w:t>，</w:t>
      </w:r>
      <w:r>
        <w:rPr>
          <w:rFonts w:ascii="Times New Roman" w:hAnsi="Times New Roman"/>
          <w:color w:val="auto"/>
        </w:rPr>
        <w:t>应根据工程的使用功能</w:t>
      </w:r>
      <w:r>
        <w:rPr>
          <w:rFonts w:hint="eastAsia" w:ascii="Times New Roman" w:hAnsi="Times New Roman"/>
          <w:color w:val="auto"/>
        </w:rPr>
        <w:t>、</w:t>
      </w:r>
      <w:r>
        <w:rPr>
          <w:rFonts w:ascii="Times New Roman" w:hAnsi="Times New Roman"/>
          <w:color w:val="auto"/>
        </w:rPr>
        <w:t>建造和使用维护成本以及环境影响等因素规定设计</w:t>
      </w:r>
      <w:r>
        <w:rPr>
          <w:rFonts w:hint="eastAsia" w:ascii="Times New Roman" w:hAnsi="Times New Roman"/>
          <w:color w:val="auto"/>
        </w:rPr>
        <w:t>工作</w:t>
      </w:r>
      <w:r>
        <w:rPr>
          <w:rFonts w:ascii="Times New Roman" w:hAnsi="Times New Roman"/>
          <w:color w:val="auto"/>
        </w:rPr>
        <w:t>年限，地基基础设计必须满足上部结构设计</w:t>
      </w:r>
      <w:r>
        <w:rPr>
          <w:rFonts w:hint="eastAsia" w:ascii="Times New Roman" w:hAnsi="Times New Roman"/>
          <w:color w:val="auto"/>
        </w:rPr>
        <w:t>工作</w:t>
      </w:r>
      <w:r>
        <w:rPr>
          <w:rFonts w:ascii="Times New Roman" w:hAnsi="Times New Roman"/>
          <w:color w:val="auto"/>
        </w:rPr>
        <w:t>年限的要求。</w:t>
      </w:r>
    </w:p>
    <w:p w14:paraId="658955F7">
      <w:pPr>
        <w:pStyle w:val="34"/>
        <w:numPr>
          <w:ilvl w:val="0"/>
          <w:numId w:val="3"/>
        </w:numPr>
        <w:rPr>
          <w:b/>
          <w:bCs w:val="0"/>
          <w:color w:val="auto"/>
        </w:rPr>
      </w:pPr>
      <w:bookmarkStart w:id="155" w:name="_Toc182498972"/>
      <w:r>
        <w:rPr>
          <w:b/>
          <w:bCs w:val="0"/>
          <w:color w:val="auto"/>
        </w:rPr>
        <w:t>岩土分类及工程特性指标</w:t>
      </w:r>
      <w:bookmarkEnd w:id="155"/>
    </w:p>
    <w:p w14:paraId="19EE0191">
      <w:pPr>
        <w:adjustRightInd w:val="0"/>
        <w:rPr>
          <w:b/>
          <w:bCs/>
          <w:color w:val="auto"/>
          <w:szCs w:val="21"/>
        </w:rPr>
      </w:pPr>
    </w:p>
    <w:p w14:paraId="2D8DC5AC">
      <w:pPr>
        <w:pStyle w:val="77"/>
        <w:rPr>
          <w:color w:val="auto"/>
        </w:rPr>
      </w:pPr>
      <w:bookmarkStart w:id="156" w:name="_Toc182498973"/>
      <w:r>
        <w:rPr>
          <w:color w:val="auto"/>
        </w:rPr>
        <w:t>6.1  岩土分类</w:t>
      </w:r>
      <w:bookmarkEnd w:id="156"/>
    </w:p>
    <w:p w14:paraId="1C3D50F8">
      <w:pPr>
        <w:adjustRightInd w:val="0"/>
        <w:snapToGrid w:val="0"/>
        <w:spacing w:line="340" w:lineRule="atLeast"/>
        <w:rPr>
          <w:bCs/>
          <w:color w:val="auto"/>
          <w:szCs w:val="21"/>
        </w:rPr>
      </w:pPr>
      <w:r>
        <w:rPr>
          <w:b/>
          <w:bCs/>
          <w:color w:val="auto"/>
          <w:szCs w:val="21"/>
        </w:rPr>
        <w:t xml:space="preserve">6.1.1～6.1.3  </w:t>
      </w:r>
      <w:r>
        <w:rPr>
          <w:bCs/>
          <w:color w:val="auto"/>
          <w:szCs w:val="21"/>
        </w:rPr>
        <w:t>根据本地区经验认为全风化岩石结构基本破坏，大部分已风化呈土状，全风化与残积土难以区分，所以本文件取消了全风化，仍沿用多年来本地区对风化带的划分方法，将岩石的风化程度分为未风化、微风化、中风化和强风化。</w:t>
      </w:r>
    </w:p>
    <w:p w14:paraId="01EEFA52">
      <w:pPr>
        <w:adjustRightInd w:val="0"/>
        <w:snapToGrid w:val="0"/>
        <w:spacing w:line="340" w:lineRule="atLeast"/>
        <w:ind w:firstLine="420" w:firstLineChars="200"/>
        <w:rPr>
          <w:bCs/>
          <w:color w:val="auto"/>
          <w:szCs w:val="21"/>
        </w:rPr>
      </w:pPr>
      <w:r>
        <w:rPr>
          <w:bCs/>
          <w:color w:val="auto"/>
          <w:szCs w:val="21"/>
        </w:rPr>
        <w:t>残积土常作为基础的持力层，所以将残积土也列入作为建筑地基的岩土，以便积累经验。</w:t>
      </w:r>
    </w:p>
    <w:p w14:paraId="0B7FEFA0">
      <w:pPr>
        <w:adjustRightInd w:val="0"/>
        <w:snapToGrid w:val="0"/>
        <w:spacing w:line="340" w:lineRule="atLeast"/>
        <w:ind w:firstLine="420" w:firstLineChars="200"/>
        <w:rPr>
          <w:bCs/>
          <w:color w:val="auto"/>
          <w:szCs w:val="21"/>
        </w:rPr>
      </w:pPr>
      <w:r>
        <w:rPr>
          <w:bCs/>
          <w:color w:val="auto"/>
          <w:szCs w:val="21"/>
        </w:rPr>
        <w:t>残积土系由不同的母岩就地风化而成，未经搬运的土，属于特殊类型土，其工程性质与老黏性土差异大，应根据其成因、颜色、结构、颗粒物质组成等主要现场特征，加以鉴别，避免将残积土误定为工程性质良好的老黏性土或碎石土。</w:t>
      </w:r>
    </w:p>
    <w:p w14:paraId="56BB98B8">
      <w:pPr>
        <w:adjustRightInd w:val="0"/>
        <w:snapToGrid w:val="0"/>
        <w:spacing w:line="340" w:lineRule="atLeast"/>
        <w:rPr>
          <w:color w:val="auto"/>
          <w:szCs w:val="21"/>
        </w:rPr>
      </w:pPr>
      <w:r>
        <w:rPr>
          <w:b/>
          <w:bCs/>
          <w:color w:val="auto"/>
          <w:szCs w:val="21"/>
        </w:rPr>
        <w:t xml:space="preserve">6.1.6  </w:t>
      </w:r>
      <w:r>
        <w:rPr>
          <w:bCs/>
          <w:color w:val="auto"/>
          <w:szCs w:val="21"/>
        </w:rPr>
        <w:t>正文中</w:t>
      </w:r>
      <w:r>
        <w:rPr>
          <w:rFonts w:ascii="宋体" w:hAnsi="宋体"/>
          <w:color w:val="auto"/>
          <w:szCs w:val="21"/>
        </w:rPr>
        <w:t>表8</w:t>
      </w:r>
      <w:r>
        <w:rPr>
          <w:color w:val="auto"/>
          <w:szCs w:val="21"/>
        </w:rPr>
        <w:t>是根据铁道部第二勘测设计院研究成果制定的。</w:t>
      </w:r>
      <w:r>
        <w:rPr>
          <w:rFonts w:hint="eastAsia"/>
          <w:color w:val="auto"/>
          <w:szCs w:val="21"/>
        </w:rPr>
        <w:t>正文中</w:t>
      </w:r>
      <w:r>
        <w:rPr>
          <w:color w:val="auto"/>
          <w:szCs w:val="21"/>
        </w:rPr>
        <w:t>表9是根据中国建筑西南勘察研究院的研究成果制定的。</w:t>
      </w:r>
    </w:p>
    <w:p w14:paraId="69208426">
      <w:pPr>
        <w:adjustRightInd w:val="0"/>
        <w:snapToGrid w:val="0"/>
        <w:spacing w:line="340" w:lineRule="atLeast"/>
        <w:rPr>
          <w:color w:val="auto"/>
          <w:szCs w:val="21"/>
        </w:rPr>
      </w:pPr>
      <w:r>
        <w:rPr>
          <w:color w:val="auto"/>
          <w:szCs w:val="21"/>
        </w:rPr>
        <w:t xml:space="preserve">    圆锥动力触探成果的修正问题，在《地基工程原位测试技术》(中国铁道出版社、1996)已明确说明。应用圆锥动力触探锤击数判别</w:t>
      </w:r>
      <w:r>
        <w:rPr>
          <w:rFonts w:hint="eastAsia"/>
          <w:color w:val="auto"/>
          <w:szCs w:val="21"/>
        </w:rPr>
        <w:t>碎石</w:t>
      </w:r>
      <w:r>
        <w:rPr>
          <w:color w:val="auto"/>
          <w:szCs w:val="21"/>
        </w:rPr>
        <w:t>土密实程度和确定承载力时，需进行杆长修正，修正方法已纳入GB</w:t>
      </w:r>
      <w:r>
        <w:rPr>
          <w:rFonts w:hint="eastAsia"/>
          <w:color w:val="auto"/>
          <w:szCs w:val="21"/>
          <w:lang w:val="en-US" w:eastAsia="zh-CN"/>
        </w:rPr>
        <w:t xml:space="preserve"> </w:t>
      </w:r>
      <w:r>
        <w:rPr>
          <w:color w:val="auto"/>
          <w:szCs w:val="21"/>
        </w:rPr>
        <w:t>50021-2001附录</w:t>
      </w:r>
      <w:r>
        <w:rPr>
          <w:iCs/>
          <w:color w:val="auto"/>
          <w:szCs w:val="21"/>
        </w:rPr>
        <w:t>B</w:t>
      </w:r>
      <w:r>
        <w:rPr>
          <w:color w:val="auto"/>
          <w:szCs w:val="21"/>
        </w:rPr>
        <w:t>中。</w:t>
      </w:r>
    </w:p>
    <w:p w14:paraId="6C560148">
      <w:pPr>
        <w:adjustRightInd w:val="0"/>
        <w:snapToGrid w:val="0"/>
        <w:spacing w:line="340" w:lineRule="atLeast"/>
        <w:rPr>
          <w:color w:val="auto"/>
          <w:szCs w:val="21"/>
        </w:rPr>
      </w:pPr>
      <w:r>
        <w:rPr>
          <w:b/>
          <w:bCs/>
          <w:color w:val="auto"/>
          <w:szCs w:val="21"/>
        </w:rPr>
        <w:t>6.1.8</w:t>
      </w:r>
      <w:r>
        <w:rPr>
          <w:color w:val="auto"/>
          <w:szCs w:val="21"/>
        </w:rPr>
        <w:t xml:space="preserve">  </w:t>
      </w:r>
      <w:r>
        <w:rPr>
          <w:rFonts w:hint="eastAsia"/>
          <w:color w:val="auto"/>
          <w:szCs w:val="21"/>
        </w:rPr>
        <w:t>正文</w:t>
      </w:r>
      <w:r>
        <w:rPr>
          <w:color w:val="auto"/>
          <w:szCs w:val="21"/>
        </w:rPr>
        <w:t>表11中利用</w:t>
      </w:r>
      <w:r>
        <w:rPr>
          <w:i/>
          <w:iCs/>
          <w:color w:val="auto"/>
          <w:szCs w:val="21"/>
        </w:rPr>
        <w:t>p</w:t>
      </w:r>
      <w:r>
        <w:rPr>
          <w:iCs/>
          <w:color w:val="auto"/>
          <w:szCs w:val="21"/>
          <w:vertAlign w:val="subscript"/>
        </w:rPr>
        <w:t>s</w:t>
      </w:r>
      <w:r>
        <w:rPr>
          <w:color w:val="auto"/>
          <w:szCs w:val="21"/>
        </w:rPr>
        <w:t>判别粉细砂的密实程度，是根据武汉地区201组粉细砂层的</w:t>
      </w:r>
      <w:r>
        <w:rPr>
          <w:i/>
          <w:iCs/>
          <w:color w:val="auto"/>
          <w:szCs w:val="21"/>
        </w:rPr>
        <w:t>p</w:t>
      </w:r>
      <w:r>
        <w:rPr>
          <w:color w:val="auto"/>
          <w:szCs w:val="21"/>
          <w:vertAlign w:val="subscript"/>
        </w:rPr>
        <w:t>s</w:t>
      </w:r>
      <w:r>
        <w:rPr>
          <w:color w:val="auto"/>
          <w:szCs w:val="21"/>
        </w:rPr>
        <w:t>～</w:t>
      </w:r>
      <w:r>
        <w:rPr>
          <w:i/>
          <w:iCs/>
          <w:color w:val="auto"/>
          <w:szCs w:val="21"/>
        </w:rPr>
        <w:t>N</w:t>
      </w:r>
      <w:r>
        <w:rPr>
          <w:color w:val="auto"/>
          <w:szCs w:val="21"/>
        </w:rPr>
        <w:t>的统计关系，按</w:t>
      </w:r>
      <w:r>
        <w:rPr>
          <w:rFonts w:eastAsia="黑体"/>
          <w:i/>
          <w:iCs/>
          <w:color w:val="auto"/>
          <w:szCs w:val="21"/>
        </w:rPr>
        <w:t>N</w:t>
      </w:r>
      <w:r>
        <w:rPr>
          <w:color w:val="auto"/>
          <w:szCs w:val="21"/>
        </w:rPr>
        <w:t>判别砂土密实程度的界限值反算</w:t>
      </w:r>
      <w:r>
        <w:rPr>
          <w:i/>
          <w:iCs/>
          <w:color w:val="auto"/>
          <w:szCs w:val="21"/>
        </w:rPr>
        <w:t>p</w:t>
      </w:r>
      <w:r>
        <w:rPr>
          <w:color w:val="auto"/>
          <w:szCs w:val="21"/>
          <w:vertAlign w:val="subscript"/>
        </w:rPr>
        <w:t>s</w:t>
      </w:r>
      <w:r>
        <w:rPr>
          <w:color w:val="auto"/>
          <w:szCs w:val="21"/>
        </w:rPr>
        <w:t>值而建表的。</w:t>
      </w:r>
    </w:p>
    <w:p w14:paraId="43D0B87A">
      <w:pPr>
        <w:adjustRightInd w:val="0"/>
        <w:snapToGrid w:val="0"/>
        <w:spacing w:line="340" w:lineRule="atLeast"/>
        <w:ind w:firstLine="420" w:firstLineChars="200"/>
        <w:rPr>
          <w:color w:val="auto"/>
          <w:szCs w:val="21"/>
        </w:rPr>
      </w:pPr>
      <w:r>
        <w:rPr>
          <w:color w:val="auto"/>
          <w:szCs w:val="21"/>
        </w:rPr>
        <w:t>表中利用</w:t>
      </w:r>
      <w:r>
        <w:rPr>
          <w:i/>
          <w:iCs/>
          <w:color w:val="auto"/>
          <w:szCs w:val="21"/>
        </w:rPr>
        <w:t>p</w:t>
      </w:r>
      <w:r>
        <w:rPr>
          <w:color w:val="auto"/>
          <w:szCs w:val="21"/>
          <w:vertAlign w:val="subscript"/>
        </w:rPr>
        <w:t>s</w:t>
      </w:r>
      <w:r>
        <w:rPr>
          <w:color w:val="auto"/>
          <w:szCs w:val="21"/>
        </w:rPr>
        <w:t>判别中粗砂的密实程度是参照TJ</w:t>
      </w:r>
      <w:r>
        <w:rPr>
          <w:rFonts w:hint="eastAsia"/>
          <w:color w:val="auto"/>
          <w:szCs w:val="21"/>
          <w:lang w:val="en-US" w:eastAsia="zh-CN"/>
        </w:rPr>
        <w:t xml:space="preserve"> </w:t>
      </w:r>
      <w:r>
        <w:rPr>
          <w:color w:val="auto"/>
          <w:szCs w:val="21"/>
        </w:rPr>
        <w:t>21-77划分中粗砂密实程度的界限值确定的。</w:t>
      </w:r>
    </w:p>
    <w:p w14:paraId="1617B311">
      <w:pPr>
        <w:adjustRightInd w:val="0"/>
        <w:snapToGrid w:val="0"/>
        <w:spacing w:line="340" w:lineRule="atLeast"/>
        <w:ind w:firstLine="420" w:firstLineChars="200"/>
        <w:rPr>
          <w:color w:val="auto"/>
          <w:szCs w:val="21"/>
        </w:rPr>
      </w:pPr>
      <w:r>
        <w:rPr>
          <w:color w:val="auto"/>
          <w:szCs w:val="21"/>
        </w:rPr>
        <w:t>当利用</w:t>
      </w:r>
      <w:r>
        <w:rPr>
          <w:i/>
          <w:iCs/>
          <w:color w:val="auto"/>
          <w:szCs w:val="21"/>
        </w:rPr>
        <w:t>p</w:t>
      </w:r>
      <w:r>
        <w:rPr>
          <w:i/>
          <w:color w:val="auto"/>
          <w:szCs w:val="21"/>
          <w:vertAlign w:val="subscript"/>
        </w:rPr>
        <w:t>s</w:t>
      </w:r>
      <w:r>
        <w:rPr>
          <w:color w:val="auto"/>
          <w:szCs w:val="21"/>
        </w:rPr>
        <w:t>判定粉细砂密实度与利用</w:t>
      </w:r>
      <w:r>
        <w:rPr>
          <w:i/>
          <w:color w:val="auto"/>
          <w:szCs w:val="21"/>
        </w:rPr>
        <w:t>N</w:t>
      </w:r>
      <w:r>
        <w:rPr>
          <w:color w:val="auto"/>
          <w:szCs w:val="21"/>
        </w:rPr>
        <w:t>判定出现矛盾时，应综合考虑，如差别很大，应分析原因。</w:t>
      </w:r>
    </w:p>
    <w:p w14:paraId="60F7449D">
      <w:pPr>
        <w:adjustRightInd w:val="0"/>
        <w:snapToGrid w:val="0"/>
        <w:spacing w:line="340" w:lineRule="atLeast"/>
        <w:rPr>
          <w:color w:val="auto"/>
          <w:szCs w:val="21"/>
        </w:rPr>
      </w:pPr>
      <w:r>
        <w:rPr>
          <w:b/>
          <w:bCs/>
          <w:color w:val="auto"/>
          <w:szCs w:val="21"/>
        </w:rPr>
        <w:t>6.1.10</w:t>
      </w:r>
      <w:r>
        <w:rPr>
          <w:color w:val="auto"/>
          <w:szCs w:val="21"/>
        </w:rPr>
        <w:t xml:space="preserve">  按本文件黏性土的分类仍保留一般黏性土和老黏性土，这是因为湖北地区的老黏性土无论其承载力和变形性质都远较一般黏性土为好，如果采用一般黏性土的承载力来评价老黏土，势必得出承载力偏低的结果。同时，多年来湖北省及武汉地区采用TJ</w:t>
      </w:r>
      <w:r>
        <w:rPr>
          <w:rFonts w:hint="eastAsia"/>
          <w:color w:val="auto"/>
          <w:szCs w:val="21"/>
          <w:lang w:val="en-US" w:eastAsia="zh-CN"/>
        </w:rPr>
        <w:t xml:space="preserve"> </w:t>
      </w:r>
      <w:r>
        <w:rPr>
          <w:color w:val="auto"/>
          <w:szCs w:val="21"/>
        </w:rPr>
        <w:t>7-74规范、DB</w:t>
      </w:r>
      <w:r>
        <w:rPr>
          <w:rFonts w:hint="eastAsia"/>
          <w:color w:val="auto"/>
          <w:szCs w:val="21"/>
          <w:lang w:val="en-US" w:eastAsia="zh-CN"/>
        </w:rPr>
        <w:t xml:space="preserve"> </w:t>
      </w:r>
      <w:r>
        <w:rPr>
          <w:color w:val="auto"/>
          <w:szCs w:val="21"/>
        </w:rPr>
        <w:t>42/169-1999及WBJ</w:t>
      </w:r>
      <w:r>
        <w:rPr>
          <w:rFonts w:hint="eastAsia"/>
          <w:color w:val="auto"/>
          <w:szCs w:val="21"/>
          <w:lang w:val="en-US" w:eastAsia="zh-CN"/>
        </w:rPr>
        <w:t xml:space="preserve"> </w:t>
      </w:r>
      <w:r>
        <w:rPr>
          <w:color w:val="auto"/>
          <w:szCs w:val="21"/>
        </w:rPr>
        <w:t>1-1-92确定老黏土地基承载力的工程效果比较明显。另外，GB</w:t>
      </w:r>
      <w:r>
        <w:rPr>
          <w:rFonts w:hint="eastAsia"/>
          <w:color w:val="auto"/>
          <w:szCs w:val="21"/>
          <w:lang w:val="en-US" w:eastAsia="zh-CN"/>
        </w:rPr>
        <w:t xml:space="preserve"> </w:t>
      </w:r>
      <w:r>
        <w:rPr>
          <w:color w:val="auto"/>
          <w:szCs w:val="21"/>
        </w:rPr>
        <w:t>50007对于土的承载力也强调根据本地区经验确定。</w:t>
      </w:r>
    </w:p>
    <w:p w14:paraId="7B92CC8A">
      <w:pPr>
        <w:adjustRightInd w:val="0"/>
        <w:snapToGrid w:val="0"/>
        <w:spacing w:line="340" w:lineRule="atLeast"/>
        <w:ind w:firstLine="420" w:firstLineChars="200"/>
        <w:rPr>
          <w:color w:val="auto"/>
          <w:szCs w:val="21"/>
        </w:rPr>
      </w:pPr>
      <w:r>
        <w:rPr>
          <w:color w:val="auto"/>
          <w:szCs w:val="21"/>
        </w:rPr>
        <w:t>基于上述理由，本文件保留了老黏土和一般黏性土的名称，同时分别给出了地基承载力表。</w:t>
      </w:r>
    </w:p>
    <w:p w14:paraId="20E0C69D">
      <w:pPr>
        <w:adjustRightInd w:val="0"/>
        <w:snapToGrid w:val="0"/>
        <w:spacing w:line="340" w:lineRule="atLeast"/>
        <w:ind w:firstLine="420" w:firstLineChars="200"/>
        <w:rPr>
          <w:color w:val="auto"/>
          <w:szCs w:val="21"/>
        </w:rPr>
      </w:pPr>
      <w:r>
        <w:rPr>
          <w:color w:val="auto"/>
          <w:szCs w:val="21"/>
        </w:rPr>
        <w:t>关于一般黏性土与老黏性土的划分，首先应根据其沉积年代，但也要考虑其力学特性。根据对载荷试验与静力触探、标准贯入试验的对比资料绘制的黏性土的</w:t>
      </w:r>
      <w:r>
        <w:rPr>
          <w:i/>
          <w:iCs/>
          <w:color w:val="auto"/>
          <w:szCs w:val="21"/>
        </w:rPr>
        <w:t>ƒ</w:t>
      </w:r>
      <w:r>
        <w:rPr>
          <w:color w:val="auto"/>
          <w:szCs w:val="21"/>
          <w:vertAlign w:val="subscript"/>
        </w:rPr>
        <w:t>ak</w:t>
      </w:r>
      <w:r>
        <w:rPr>
          <w:i/>
          <w:iCs/>
          <w:color w:val="auto"/>
          <w:szCs w:val="21"/>
        </w:rPr>
        <w:t>～p</w:t>
      </w:r>
      <w:r>
        <w:rPr>
          <w:color w:val="auto"/>
          <w:szCs w:val="21"/>
          <w:vertAlign w:val="subscript"/>
        </w:rPr>
        <w:t>s</w:t>
      </w:r>
      <w:r>
        <w:rPr>
          <w:i/>
          <w:iCs/>
          <w:color w:val="auto"/>
          <w:szCs w:val="21"/>
        </w:rPr>
        <w:t>、</w:t>
      </w:r>
      <w:r>
        <w:rPr>
          <w:i/>
          <w:color w:val="auto"/>
          <w:szCs w:val="21"/>
        </w:rPr>
        <w:t>E</w:t>
      </w:r>
      <w:r>
        <w:rPr>
          <w:color w:val="auto"/>
          <w:szCs w:val="21"/>
          <w:vertAlign w:val="subscript"/>
        </w:rPr>
        <w:t>0</w:t>
      </w:r>
      <w:r>
        <w:rPr>
          <w:i/>
          <w:iCs/>
          <w:color w:val="auto"/>
          <w:szCs w:val="21"/>
        </w:rPr>
        <w:t>～</w:t>
      </w:r>
      <w:r>
        <w:rPr>
          <w:i/>
          <w:color w:val="auto"/>
          <w:szCs w:val="21"/>
        </w:rPr>
        <w:t>N</w:t>
      </w:r>
      <w:r>
        <w:rPr>
          <w:i/>
          <w:iCs/>
          <w:color w:val="auto"/>
          <w:szCs w:val="21"/>
        </w:rPr>
        <w:t>、ƒ</w:t>
      </w:r>
      <w:r>
        <w:rPr>
          <w:color w:val="auto"/>
          <w:szCs w:val="21"/>
          <w:vertAlign w:val="subscript"/>
        </w:rPr>
        <w:t>ak</w:t>
      </w:r>
      <w:r>
        <w:rPr>
          <w:i/>
          <w:iCs/>
          <w:color w:val="auto"/>
          <w:szCs w:val="21"/>
        </w:rPr>
        <w:t>～</w:t>
      </w:r>
      <w:r>
        <w:rPr>
          <w:i/>
          <w:color w:val="auto"/>
          <w:szCs w:val="21"/>
        </w:rPr>
        <w:t>N</w:t>
      </w:r>
      <w:r>
        <w:rPr>
          <w:color w:val="auto"/>
          <w:szCs w:val="21"/>
        </w:rPr>
        <w:t>关系曲线分析，可以明显看出，关系曲线不是简单的直线关系，而是呈折线变化。当</w:t>
      </w:r>
      <w:r>
        <w:rPr>
          <w:i/>
          <w:color w:val="auto"/>
          <w:szCs w:val="21"/>
        </w:rPr>
        <w:t>N</w:t>
      </w:r>
      <w:r>
        <w:rPr>
          <w:i/>
          <w:iCs/>
          <w:color w:val="auto"/>
          <w:szCs w:val="21"/>
        </w:rPr>
        <w:t>＞</w:t>
      </w:r>
      <w:r>
        <w:rPr>
          <w:color w:val="auto"/>
          <w:szCs w:val="21"/>
        </w:rPr>
        <w:t>13击、</w:t>
      </w:r>
      <w:r>
        <w:rPr>
          <w:i/>
          <w:color w:val="auto"/>
          <w:szCs w:val="21"/>
        </w:rPr>
        <w:t>p</w:t>
      </w:r>
      <w:r>
        <w:rPr>
          <w:iCs/>
          <w:color w:val="auto"/>
          <w:szCs w:val="21"/>
          <w:vertAlign w:val="subscript"/>
        </w:rPr>
        <w:t>s</w:t>
      </w:r>
      <w:r>
        <w:rPr>
          <w:color w:val="auto"/>
          <w:szCs w:val="21"/>
        </w:rPr>
        <w:t xml:space="preserve">＞3MPa后， </w:t>
      </w:r>
      <w:r>
        <w:rPr>
          <w:i/>
          <w:iCs/>
          <w:color w:val="auto"/>
          <w:szCs w:val="21"/>
        </w:rPr>
        <w:t>ƒ</w:t>
      </w:r>
      <w:r>
        <w:rPr>
          <w:color w:val="auto"/>
          <w:szCs w:val="21"/>
          <w:vertAlign w:val="subscript"/>
        </w:rPr>
        <w:t>ak</w:t>
      </w:r>
      <w:r>
        <w:rPr>
          <w:i/>
          <w:iCs/>
          <w:color w:val="auto"/>
          <w:szCs w:val="21"/>
        </w:rPr>
        <w:t>～p</w:t>
      </w:r>
      <w:r>
        <w:rPr>
          <w:color w:val="auto"/>
          <w:szCs w:val="21"/>
          <w:vertAlign w:val="subscript"/>
        </w:rPr>
        <w:t>s</w:t>
      </w:r>
      <w:r>
        <w:rPr>
          <w:i/>
          <w:iCs/>
          <w:color w:val="auto"/>
          <w:szCs w:val="21"/>
        </w:rPr>
        <w:t>、E</w:t>
      </w:r>
      <w:r>
        <w:rPr>
          <w:color w:val="auto"/>
          <w:szCs w:val="21"/>
          <w:vertAlign w:val="subscript"/>
        </w:rPr>
        <w:t>0</w:t>
      </w:r>
      <w:r>
        <w:rPr>
          <w:i/>
          <w:iCs/>
          <w:color w:val="auto"/>
          <w:szCs w:val="21"/>
        </w:rPr>
        <w:t>～N</w:t>
      </w:r>
      <w:r>
        <w:rPr>
          <w:color w:val="auto"/>
          <w:szCs w:val="21"/>
        </w:rPr>
        <w:t>曲线向上偏折，曲线斜率明显增大，</w:t>
      </w:r>
      <w:r>
        <w:rPr>
          <w:i/>
          <w:iCs/>
          <w:color w:val="auto"/>
          <w:szCs w:val="21"/>
        </w:rPr>
        <w:t xml:space="preserve"> p</w:t>
      </w:r>
      <w:r>
        <w:rPr>
          <w:color w:val="auto"/>
          <w:szCs w:val="21"/>
          <w:vertAlign w:val="subscript"/>
        </w:rPr>
        <w:t>s</w:t>
      </w:r>
      <w:r>
        <w:rPr>
          <w:i/>
          <w:iCs/>
          <w:color w:val="auto"/>
          <w:szCs w:val="21"/>
        </w:rPr>
        <w:t>、</w:t>
      </w:r>
      <w:r>
        <w:rPr>
          <w:i/>
          <w:color w:val="auto"/>
          <w:szCs w:val="21"/>
        </w:rPr>
        <w:t>N</w:t>
      </w:r>
      <w:r>
        <w:rPr>
          <w:color w:val="auto"/>
          <w:szCs w:val="21"/>
        </w:rPr>
        <w:t xml:space="preserve">值增加， </w:t>
      </w:r>
      <w:r>
        <w:rPr>
          <w:i/>
          <w:iCs/>
          <w:color w:val="auto"/>
          <w:szCs w:val="21"/>
        </w:rPr>
        <w:t>ƒ</w:t>
      </w:r>
      <w:r>
        <w:rPr>
          <w:color w:val="auto"/>
          <w:szCs w:val="21"/>
          <w:vertAlign w:val="subscript"/>
        </w:rPr>
        <w:t>ak</w:t>
      </w:r>
      <w:r>
        <w:rPr>
          <w:i/>
          <w:iCs/>
          <w:color w:val="auto"/>
          <w:szCs w:val="21"/>
        </w:rPr>
        <w:t>、E</w:t>
      </w:r>
      <w:r>
        <w:rPr>
          <w:color w:val="auto"/>
          <w:szCs w:val="21"/>
          <w:vertAlign w:val="subscript"/>
        </w:rPr>
        <w:t>0</w:t>
      </w:r>
      <w:r>
        <w:rPr>
          <w:color w:val="auto"/>
          <w:szCs w:val="21"/>
        </w:rPr>
        <w:t>则急剧增大，说明</w:t>
      </w:r>
      <w:r>
        <w:rPr>
          <w:i/>
          <w:color w:val="auto"/>
          <w:szCs w:val="21"/>
        </w:rPr>
        <w:t>p</w:t>
      </w:r>
      <w:r>
        <w:rPr>
          <w:color w:val="auto"/>
          <w:szCs w:val="21"/>
          <w:vertAlign w:val="subscript"/>
        </w:rPr>
        <w:t>s</w:t>
      </w:r>
      <w:r>
        <w:rPr>
          <w:color w:val="auto"/>
          <w:szCs w:val="21"/>
        </w:rPr>
        <w:t>对</w:t>
      </w:r>
      <w:r>
        <w:rPr>
          <w:i/>
          <w:iCs/>
          <w:color w:val="auto"/>
          <w:szCs w:val="21"/>
        </w:rPr>
        <w:t>ƒ</w:t>
      </w:r>
      <w:r>
        <w:rPr>
          <w:color w:val="auto"/>
          <w:szCs w:val="21"/>
          <w:vertAlign w:val="subscript"/>
        </w:rPr>
        <w:t>ak</w:t>
      </w:r>
      <w:r>
        <w:rPr>
          <w:i/>
          <w:iCs/>
          <w:color w:val="auto"/>
          <w:szCs w:val="21"/>
        </w:rPr>
        <w:t>、</w:t>
      </w:r>
      <w:r>
        <w:rPr>
          <w:i/>
          <w:color w:val="auto"/>
          <w:szCs w:val="21"/>
        </w:rPr>
        <w:t>N</w:t>
      </w:r>
      <w:r>
        <w:rPr>
          <w:color w:val="auto"/>
          <w:szCs w:val="21"/>
        </w:rPr>
        <w:t>对</w:t>
      </w:r>
      <w:r>
        <w:rPr>
          <w:i/>
          <w:iCs/>
          <w:color w:val="auto"/>
          <w:szCs w:val="21"/>
        </w:rPr>
        <w:t>E</w:t>
      </w:r>
      <w:r>
        <w:rPr>
          <w:color w:val="auto"/>
          <w:szCs w:val="21"/>
          <w:vertAlign w:val="subscript"/>
        </w:rPr>
        <w:t>0</w:t>
      </w:r>
      <w:r>
        <w:rPr>
          <w:color w:val="auto"/>
          <w:szCs w:val="21"/>
        </w:rPr>
        <w:t>值的影响比对一般黏性土更加敏感显著。而</w:t>
      </w:r>
      <w:r>
        <w:rPr>
          <w:i/>
          <w:color w:val="auto"/>
          <w:szCs w:val="21"/>
        </w:rPr>
        <w:t>ƒ</w:t>
      </w:r>
      <w:r>
        <w:rPr>
          <w:iCs/>
          <w:color w:val="auto"/>
          <w:szCs w:val="21"/>
          <w:vertAlign w:val="subscript"/>
        </w:rPr>
        <w:t>ak</w:t>
      </w:r>
      <w:r>
        <w:rPr>
          <w:color w:val="auto"/>
          <w:szCs w:val="21"/>
        </w:rPr>
        <w:t>～</w:t>
      </w:r>
      <w:r>
        <w:rPr>
          <w:i/>
          <w:color w:val="auto"/>
          <w:szCs w:val="21"/>
        </w:rPr>
        <w:t>N</w:t>
      </w:r>
      <w:r>
        <w:rPr>
          <w:color w:val="auto"/>
          <w:szCs w:val="21"/>
        </w:rPr>
        <w:t>曲线则出现相反的现象，当</w:t>
      </w:r>
      <w:r>
        <w:rPr>
          <w:i/>
          <w:color w:val="auto"/>
          <w:szCs w:val="21"/>
        </w:rPr>
        <w:t>N</w:t>
      </w:r>
      <w:r>
        <w:rPr>
          <w:i/>
          <w:iCs/>
          <w:color w:val="auto"/>
          <w:szCs w:val="21"/>
        </w:rPr>
        <w:t>＞</w:t>
      </w:r>
      <w:r>
        <w:rPr>
          <w:color w:val="auto"/>
          <w:szCs w:val="21"/>
        </w:rPr>
        <w:t>13击后，关系曲线向下偏折，曲线斜率变小，</w:t>
      </w:r>
      <w:r>
        <w:rPr>
          <w:i/>
          <w:color w:val="auto"/>
          <w:szCs w:val="21"/>
        </w:rPr>
        <w:t>N</w:t>
      </w:r>
      <w:r>
        <w:rPr>
          <w:color w:val="auto"/>
          <w:szCs w:val="21"/>
        </w:rPr>
        <w:t>值增加，</w:t>
      </w:r>
      <w:r>
        <w:rPr>
          <w:i/>
          <w:color w:val="auto"/>
          <w:szCs w:val="21"/>
        </w:rPr>
        <w:t>ƒ</w:t>
      </w:r>
      <w:r>
        <w:rPr>
          <w:iCs/>
          <w:color w:val="auto"/>
          <w:szCs w:val="21"/>
          <w:vertAlign w:val="subscript"/>
        </w:rPr>
        <w:t>ak</w:t>
      </w:r>
      <w:r>
        <w:rPr>
          <w:color w:val="auto"/>
          <w:szCs w:val="21"/>
        </w:rPr>
        <w:t>增加幅度比一般黏性土小，说明一般黏性土的</w:t>
      </w:r>
      <w:r>
        <w:rPr>
          <w:i/>
          <w:iCs/>
          <w:color w:val="auto"/>
          <w:szCs w:val="21"/>
        </w:rPr>
        <w:t>N</w:t>
      </w:r>
      <w:r>
        <w:rPr>
          <w:color w:val="auto"/>
          <w:szCs w:val="21"/>
        </w:rPr>
        <w:t>对</w:t>
      </w:r>
      <w:r>
        <w:rPr>
          <w:i/>
          <w:color w:val="auto"/>
          <w:szCs w:val="21"/>
        </w:rPr>
        <w:t>ƒ</w:t>
      </w:r>
      <w:r>
        <w:rPr>
          <w:iCs/>
          <w:color w:val="auto"/>
          <w:szCs w:val="21"/>
          <w:vertAlign w:val="subscript"/>
        </w:rPr>
        <w:t>ak</w:t>
      </w:r>
      <w:r>
        <w:rPr>
          <w:color w:val="auto"/>
          <w:szCs w:val="21"/>
        </w:rPr>
        <w:t>值的影响比对老黏性土的敏感显著。据此，在一般情况下，老黏性土，应属于静力触探比贯入阻力平均值大于或等于3MPa或标准贯入锤击数平均值大于或等于13击的土，一般黏性土应属于静力触探比贯入阻力平均值小于3MPa或标准贯入锤击数平均值小于13击的土。</w:t>
      </w:r>
    </w:p>
    <w:p w14:paraId="1990842A">
      <w:pPr>
        <w:adjustRightInd w:val="0"/>
        <w:snapToGrid w:val="0"/>
        <w:spacing w:line="340" w:lineRule="atLeast"/>
        <w:ind w:firstLine="420" w:firstLineChars="200"/>
        <w:rPr>
          <w:color w:val="auto"/>
          <w:szCs w:val="21"/>
        </w:rPr>
      </w:pPr>
      <w:r>
        <w:rPr>
          <w:color w:val="auto"/>
          <w:szCs w:val="21"/>
        </w:rPr>
        <w:t>如果根据地质年代和根据力学性质确定的结果不一致，应分析原因。</w:t>
      </w:r>
    </w:p>
    <w:p w14:paraId="26B27299">
      <w:pPr>
        <w:adjustRightInd w:val="0"/>
        <w:snapToGrid w:val="0"/>
        <w:spacing w:line="340" w:lineRule="atLeast"/>
        <w:rPr>
          <w:color w:val="auto"/>
          <w:szCs w:val="21"/>
        </w:rPr>
      </w:pPr>
      <w:r>
        <w:rPr>
          <w:b/>
          <w:bCs/>
          <w:color w:val="auto"/>
          <w:szCs w:val="21"/>
        </w:rPr>
        <w:t>6.1.11</w:t>
      </w:r>
      <w:r>
        <w:rPr>
          <w:color w:val="auto"/>
          <w:szCs w:val="21"/>
        </w:rPr>
        <w:t xml:space="preserve">  利用标准贯入锤击数、静力触探比贯入阻力的平均值划分黏性土状态，是根据武汉地区室内试验的</w:t>
      </w:r>
      <w:r>
        <w:rPr>
          <w:i/>
          <w:color w:val="auto"/>
          <w:szCs w:val="21"/>
        </w:rPr>
        <w:t>I</w:t>
      </w:r>
      <w:r>
        <w:rPr>
          <w:iCs/>
          <w:color w:val="auto"/>
          <w:szCs w:val="21"/>
          <w:vertAlign w:val="subscript"/>
        </w:rPr>
        <w:t>L</w:t>
      </w:r>
      <w:r>
        <w:rPr>
          <w:color w:val="auto"/>
          <w:szCs w:val="21"/>
        </w:rPr>
        <w:t>与</w:t>
      </w:r>
      <w:r>
        <w:rPr>
          <w:i/>
          <w:color w:val="auto"/>
          <w:szCs w:val="21"/>
        </w:rPr>
        <w:t>N</w:t>
      </w:r>
      <w:r>
        <w:rPr>
          <w:color w:val="auto"/>
          <w:szCs w:val="21"/>
        </w:rPr>
        <w:t>、</w:t>
      </w:r>
      <w:r>
        <w:rPr>
          <w:i/>
          <w:color w:val="auto"/>
          <w:szCs w:val="21"/>
        </w:rPr>
        <w:t>p</w:t>
      </w:r>
      <w:r>
        <w:rPr>
          <w:iCs/>
          <w:color w:val="auto"/>
          <w:szCs w:val="21"/>
          <w:vertAlign w:val="subscript"/>
        </w:rPr>
        <w:t>s</w:t>
      </w:r>
      <w:r>
        <w:rPr>
          <w:color w:val="auto"/>
          <w:szCs w:val="21"/>
        </w:rPr>
        <w:t>对比资料，经统计得出下列关系式：</w:t>
      </w:r>
    </w:p>
    <w:p w14:paraId="54965F7E">
      <w:pPr>
        <w:adjustRightInd w:val="0"/>
        <w:snapToGrid w:val="0"/>
        <w:spacing w:line="340" w:lineRule="atLeast"/>
        <w:ind w:firstLine="1092" w:firstLineChars="520"/>
        <w:rPr>
          <w:color w:val="auto"/>
          <w:szCs w:val="21"/>
        </w:rPr>
      </w:pPr>
      <w:r>
        <w:rPr>
          <w:color w:val="auto"/>
          <w:position w:val="-12"/>
          <w:szCs w:val="21"/>
        </w:rPr>
        <w:object>
          <v:shape id="_x0000_i1809" o:spt="75" type="#_x0000_t75" style="height:19pt;width:83pt;" o:ole="t" filled="f" stroked="f" coordsize="21600,21600">
            <v:path/>
            <v:fill on="f" focussize="0,0"/>
            <v:stroke on="f"/>
            <v:imagedata r:id="rId1531" o:title=""/>
            <o:lock v:ext="edit" grouping="f" rotation="f" text="f" aspectratio="t"/>
            <w10:wrap type="none"/>
            <w10:anchorlock/>
          </v:shape>
          <o:OLEObject Type="Embed" ProgID="Equation.3" ShapeID="_x0000_i1809" DrawAspect="Content" ObjectID="_1468076509" r:id="rId1530">
            <o:LockedField>false</o:LockedField>
          </o:OLEObject>
        </w:object>
      </w:r>
      <w:r>
        <w:rPr>
          <w:color w:val="auto"/>
          <w:szCs w:val="21"/>
        </w:rPr>
        <w:t xml:space="preserve">      </w:t>
      </w:r>
      <w:r>
        <w:rPr>
          <w:i/>
          <w:color w:val="auto"/>
          <w:szCs w:val="21"/>
        </w:rPr>
        <w:t>n</w:t>
      </w:r>
      <w:r>
        <w:rPr>
          <w:color w:val="auto"/>
          <w:szCs w:val="21"/>
        </w:rPr>
        <w:t>=54，相关系数</w:t>
      </w:r>
      <w:r>
        <w:rPr>
          <w:i/>
          <w:color w:val="auto"/>
          <w:szCs w:val="21"/>
        </w:rPr>
        <w:t>r</w:t>
      </w:r>
      <w:r>
        <w:rPr>
          <w:color w:val="auto"/>
          <w:szCs w:val="21"/>
        </w:rPr>
        <w:t>=-0.83</w:t>
      </w:r>
    </w:p>
    <w:p w14:paraId="17B57272">
      <w:pPr>
        <w:adjustRightInd w:val="0"/>
        <w:snapToGrid w:val="0"/>
        <w:spacing w:line="340" w:lineRule="atLeast"/>
        <w:ind w:firstLine="1197" w:firstLineChars="570"/>
        <w:rPr>
          <w:color w:val="auto"/>
          <w:szCs w:val="21"/>
        </w:rPr>
      </w:pPr>
      <w:r>
        <w:rPr>
          <w:i/>
          <w:iCs/>
          <w:color w:val="auto"/>
          <w:szCs w:val="21"/>
        </w:rPr>
        <w:t>I</w:t>
      </w:r>
      <w:r>
        <w:rPr>
          <w:color w:val="auto"/>
          <w:szCs w:val="21"/>
          <w:vertAlign w:val="subscript"/>
        </w:rPr>
        <w:t>L</w:t>
      </w:r>
      <w:r>
        <w:rPr>
          <w:i/>
          <w:iCs/>
          <w:color w:val="auto"/>
          <w:szCs w:val="21"/>
        </w:rPr>
        <w:t>=</w:t>
      </w:r>
      <w:r>
        <w:rPr>
          <w:color w:val="auto"/>
          <w:szCs w:val="21"/>
        </w:rPr>
        <w:t>11.84</w:t>
      </w:r>
      <w:r>
        <w:rPr>
          <w:i/>
          <w:iCs/>
          <w:color w:val="auto"/>
          <w:szCs w:val="21"/>
        </w:rPr>
        <w:t>p</w:t>
      </w:r>
      <w:r>
        <w:rPr>
          <w:color w:val="auto"/>
          <w:szCs w:val="21"/>
          <w:vertAlign w:val="subscript"/>
        </w:rPr>
        <w:t>s</w:t>
      </w:r>
      <w:r>
        <w:rPr>
          <w:color w:val="auto"/>
          <w:szCs w:val="21"/>
          <w:vertAlign w:val="superscript"/>
        </w:rPr>
        <w:t>-0.291</w:t>
      </w:r>
      <w:r>
        <w:rPr>
          <w:i/>
          <w:iCs/>
          <w:color w:val="auto"/>
          <w:szCs w:val="21"/>
        </w:rPr>
        <w:t>-</w:t>
      </w:r>
      <w:r>
        <w:rPr>
          <w:color w:val="auto"/>
          <w:szCs w:val="21"/>
        </w:rPr>
        <w:t xml:space="preserve">1       </w:t>
      </w:r>
      <w:r>
        <w:rPr>
          <w:i/>
          <w:color w:val="auto"/>
          <w:szCs w:val="21"/>
        </w:rPr>
        <w:t>n</w:t>
      </w:r>
      <w:r>
        <w:rPr>
          <w:color w:val="auto"/>
          <w:szCs w:val="21"/>
        </w:rPr>
        <w:t>=81，</w:t>
      </w:r>
      <w:r>
        <w:rPr>
          <w:i/>
          <w:color w:val="auto"/>
          <w:szCs w:val="21"/>
        </w:rPr>
        <w:t>r</w:t>
      </w:r>
      <w:r>
        <w:rPr>
          <w:color w:val="auto"/>
          <w:szCs w:val="21"/>
        </w:rPr>
        <w:t>=-0.77，</w:t>
      </w:r>
      <w:r>
        <w:rPr>
          <w:i/>
          <w:iCs/>
          <w:color w:val="auto"/>
          <w:szCs w:val="21"/>
        </w:rPr>
        <w:t>p</w:t>
      </w:r>
      <w:r>
        <w:rPr>
          <w:color w:val="auto"/>
          <w:szCs w:val="21"/>
          <w:vertAlign w:val="subscript"/>
        </w:rPr>
        <w:t>s</w:t>
      </w:r>
      <w:r>
        <w:rPr>
          <w:color w:val="auto"/>
          <w:szCs w:val="21"/>
        </w:rPr>
        <w:t>单位为(kPa)。</w:t>
      </w:r>
    </w:p>
    <w:p w14:paraId="61293D82">
      <w:pPr>
        <w:adjustRightInd w:val="0"/>
        <w:snapToGrid w:val="0"/>
        <w:spacing w:line="340" w:lineRule="atLeast"/>
        <w:ind w:firstLine="420" w:firstLineChars="200"/>
        <w:rPr>
          <w:color w:val="auto"/>
          <w:szCs w:val="21"/>
        </w:rPr>
      </w:pPr>
      <w:r>
        <w:rPr>
          <w:color w:val="auto"/>
          <w:szCs w:val="21"/>
        </w:rPr>
        <w:t>上式第一式系手拉绳标贯击数(</w:t>
      </w:r>
      <w:r>
        <w:rPr>
          <w:i/>
          <w:color w:val="auto"/>
          <w:szCs w:val="21"/>
        </w:rPr>
        <w:t>N</w:t>
      </w:r>
      <w:r>
        <w:rPr>
          <w:color w:val="auto"/>
          <w:szCs w:val="21"/>
        </w:rPr>
        <w:t>)与</w:t>
      </w:r>
      <w:r>
        <w:rPr>
          <w:i/>
          <w:color w:val="auto"/>
          <w:szCs w:val="21"/>
        </w:rPr>
        <w:t>I</w:t>
      </w:r>
      <w:r>
        <w:rPr>
          <w:iCs/>
          <w:color w:val="auto"/>
          <w:szCs w:val="21"/>
          <w:vertAlign w:val="subscript"/>
        </w:rPr>
        <w:t>L</w:t>
      </w:r>
      <w:r>
        <w:rPr>
          <w:color w:val="auto"/>
          <w:szCs w:val="21"/>
        </w:rPr>
        <w:t>的关系。</w:t>
      </w:r>
    </w:p>
    <w:p w14:paraId="07238901">
      <w:pPr>
        <w:adjustRightInd w:val="0"/>
        <w:snapToGrid w:val="0"/>
        <w:spacing w:line="340" w:lineRule="atLeast"/>
        <w:ind w:firstLine="420" w:firstLineChars="200"/>
        <w:rPr>
          <w:color w:val="auto"/>
          <w:szCs w:val="21"/>
        </w:rPr>
      </w:pPr>
      <w:r>
        <w:rPr>
          <w:color w:val="auto"/>
          <w:szCs w:val="21"/>
        </w:rPr>
        <w:t>对低塑性的黏性土、粉土、粉砂互层的黏性土，由于粒组中粉粒与极细砂粒成分比较高，塑性试验往往呈现“假塑性”，液限试验对这类土也不适用，加之土样的采取和试样制备也极易扰动。利用室内土工试验判别这类黏性土的状态，往往不能真实反映其实际性状。如新城花园二期商住楼工程3-1、3-2均为粉质黏土、粉土、粉砂互层土，厚达15.7m，室内试验结果：天然含水量大于液限、孔隙比大于1.0、液性指数大于1.0，塑性指数为11。根据上述室内试验指标，3-1、3-2层定名为流塑状态的淤泥质粉质黏土、粉土、粉砂互层。如果按原位测试判别，这两层土中的粉质黏土层的静力触探比贯入阻力</w:t>
      </w:r>
      <w:r>
        <w:rPr>
          <w:i/>
          <w:iCs/>
          <w:color w:val="auto"/>
          <w:szCs w:val="21"/>
        </w:rPr>
        <w:t>p</w:t>
      </w:r>
      <w:r>
        <w:rPr>
          <w:iCs/>
          <w:color w:val="auto"/>
          <w:szCs w:val="21"/>
          <w:vertAlign w:val="subscript"/>
        </w:rPr>
        <w:t>s</w:t>
      </w:r>
      <w:r>
        <w:rPr>
          <w:color w:val="auto"/>
          <w:szCs w:val="21"/>
        </w:rPr>
        <w:t xml:space="preserve"> =0.8MPa～1.1MPa，粉土、粉砂的</w:t>
      </w:r>
      <w:r>
        <w:rPr>
          <w:i/>
          <w:iCs/>
          <w:color w:val="auto"/>
          <w:szCs w:val="21"/>
        </w:rPr>
        <w:t>p</w:t>
      </w:r>
      <w:r>
        <w:rPr>
          <w:iCs/>
          <w:color w:val="auto"/>
          <w:szCs w:val="21"/>
          <w:vertAlign w:val="subscript"/>
        </w:rPr>
        <w:t>s</w:t>
      </w:r>
      <w:r>
        <w:rPr>
          <w:color w:val="auto"/>
          <w:szCs w:val="21"/>
        </w:rPr>
        <w:t>＞1.8MPa，标准贯入锤击数</w:t>
      </w:r>
      <w:r>
        <w:rPr>
          <w:i/>
          <w:color w:val="auto"/>
          <w:szCs w:val="21"/>
        </w:rPr>
        <w:t>N</w:t>
      </w:r>
      <w:r>
        <w:rPr>
          <w:color w:val="auto"/>
          <w:szCs w:val="21"/>
        </w:rPr>
        <w:t>=3.1击～4.9击，则应定名为可塑状态的粉质黏土、粉土、粉砂互层。</w:t>
      </w:r>
    </w:p>
    <w:p w14:paraId="0C9B88DF">
      <w:pPr>
        <w:adjustRightInd w:val="0"/>
        <w:snapToGrid w:val="0"/>
        <w:spacing w:line="340" w:lineRule="atLeast"/>
        <w:ind w:firstLine="420" w:firstLineChars="200"/>
        <w:rPr>
          <w:color w:val="auto"/>
          <w:szCs w:val="21"/>
        </w:rPr>
      </w:pPr>
      <w:r>
        <w:rPr>
          <w:color w:val="auto"/>
          <w:szCs w:val="21"/>
        </w:rPr>
        <w:t>为了探讨利用3-1、3-2互层土作为夯扩桩基的持力层的可能性，设计了25根试桩，试桩结果：满足设计要求的有24根桩，其中18根桩未破坏，最终沉降量最小为18.07mm，最大为35.99mm，回弹变形与沉降量百分比最大为60.3%，最小为25.3%，平均为38.2%，持力层土在单桩竖向极限承载力为1600kN时，仍处于弹性状态。6根桩压至破坏，取前一级荷载为单桩竖向极限承载力时的最低沉降量，最小为17.4mm，最大为36.3mm，只有1根桩由于贯入度过大不满足设计要求，其单桩竖向极限承载力为960kN，与设计要求1120kN相差14.3%。</w:t>
      </w:r>
    </w:p>
    <w:p w14:paraId="4FE2EFCE">
      <w:pPr>
        <w:adjustRightInd w:val="0"/>
        <w:snapToGrid w:val="0"/>
        <w:spacing w:line="340" w:lineRule="atLeast"/>
        <w:ind w:firstLine="420" w:firstLineChars="200"/>
        <w:rPr>
          <w:color w:val="auto"/>
          <w:szCs w:val="21"/>
        </w:rPr>
      </w:pPr>
      <w:r>
        <w:rPr>
          <w:color w:val="auto"/>
          <w:szCs w:val="21"/>
        </w:rPr>
        <w:t>因此，本文件规定对低塑性的黏性土、粉土、粉砂互层中的黏性土的状态，应以原位测试判别为主。另外，对于按室内试验定名为淤泥质粉质黏土、粉土、粉砂互层的土，亦应以原位测试判别其状态。</w:t>
      </w:r>
    </w:p>
    <w:p w14:paraId="3349AA2C">
      <w:pPr>
        <w:adjustRightInd w:val="0"/>
        <w:snapToGrid w:val="0"/>
        <w:spacing w:line="340" w:lineRule="atLeast"/>
        <w:rPr>
          <w:color w:val="auto"/>
          <w:szCs w:val="21"/>
        </w:rPr>
      </w:pPr>
      <w:r>
        <w:rPr>
          <w:b/>
          <w:bCs/>
          <w:color w:val="auto"/>
          <w:szCs w:val="21"/>
        </w:rPr>
        <w:t>6.1.13</w:t>
      </w:r>
      <w:r>
        <w:rPr>
          <w:color w:val="auto"/>
          <w:szCs w:val="21"/>
        </w:rPr>
        <w:t xml:space="preserve">  利用静力触探比贯入阻力峰值平均值划分粉土的密实度系根椐武汉地区88组</w:t>
      </w:r>
      <w:r>
        <w:rPr>
          <w:rFonts w:eastAsia="黑体"/>
          <w:i/>
          <w:color w:val="auto"/>
          <w:szCs w:val="21"/>
        </w:rPr>
        <w:t>p</w:t>
      </w:r>
      <w:r>
        <w:rPr>
          <w:color w:val="auto"/>
          <w:szCs w:val="21"/>
          <w:vertAlign w:val="subscript"/>
        </w:rPr>
        <w:t>s</w:t>
      </w:r>
      <w:r>
        <w:rPr>
          <w:i/>
          <w:iCs/>
          <w:color w:val="auto"/>
          <w:szCs w:val="21"/>
        </w:rPr>
        <w:t>～e</w:t>
      </w:r>
      <w:r>
        <w:rPr>
          <w:color w:val="auto"/>
          <w:szCs w:val="21"/>
        </w:rPr>
        <w:t>对比资料得到下列</w:t>
      </w:r>
      <w:r>
        <w:rPr>
          <w:i/>
          <w:iCs/>
          <w:color w:val="auto"/>
          <w:szCs w:val="21"/>
        </w:rPr>
        <w:t>p</w:t>
      </w:r>
      <w:r>
        <w:rPr>
          <w:iCs/>
          <w:color w:val="auto"/>
          <w:szCs w:val="21"/>
          <w:vertAlign w:val="subscript"/>
        </w:rPr>
        <w:t>s</w:t>
      </w:r>
      <w:r>
        <w:rPr>
          <w:color w:val="auto"/>
          <w:szCs w:val="21"/>
        </w:rPr>
        <w:t>～</w:t>
      </w:r>
      <w:r>
        <w:rPr>
          <w:i/>
          <w:color w:val="auto"/>
          <w:szCs w:val="21"/>
        </w:rPr>
        <w:t>e</w:t>
      </w:r>
      <w:r>
        <w:rPr>
          <w:color w:val="auto"/>
          <w:szCs w:val="21"/>
        </w:rPr>
        <w:t>对应关系：</w:t>
      </w:r>
    </w:p>
    <w:p w14:paraId="529445AA">
      <w:pPr>
        <w:adjustRightInd w:val="0"/>
        <w:snapToGrid w:val="0"/>
        <w:spacing w:line="340" w:lineRule="atLeast"/>
        <w:rPr>
          <w:color w:val="auto"/>
          <w:szCs w:val="21"/>
        </w:rPr>
      </w:pPr>
    </w:p>
    <w:p w14:paraId="402F2673">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w:t>
      </w:r>
      <w:r>
        <w:rPr>
          <w:color w:val="auto"/>
        </w:rPr>
        <w:fldChar w:fldCharType="end"/>
      </w:r>
      <w:r>
        <w:rPr>
          <w:b/>
          <w:color w:val="auto"/>
          <w:szCs w:val="21"/>
        </w:rPr>
        <w:t xml:space="preserve">  静力触探比贯阻力与粉土密实度关系</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3"/>
        <w:gridCol w:w="1735"/>
        <w:gridCol w:w="1519"/>
        <w:gridCol w:w="1385"/>
        <w:gridCol w:w="1453"/>
        <w:gridCol w:w="1385"/>
      </w:tblGrid>
      <w:tr w14:paraId="5B577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1663" w:type="dxa"/>
            <w:noWrap w:val="0"/>
            <w:vAlign w:val="top"/>
          </w:tcPr>
          <w:p w14:paraId="03C944FB">
            <w:pPr>
              <w:adjustRightInd w:val="0"/>
              <w:jc w:val="center"/>
              <w:rPr>
                <w:color w:val="auto"/>
                <w:sz w:val="18"/>
                <w:szCs w:val="18"/>
              </w:rPr>
            </w:pPr>
            <w:r>
              <w:rPr>
                <w:i/>
                <w:iCs/>
                <w:color w:val="auto"/>
                <w:sz w:val="18"/>
                <w:szCs w:val="18"/>
              </w:rPr>
              <w:t>p</w:t>
            </w:r>
            <w:r>
              <w:rPr>
                <w:iCs/>
                <w:color w:val="auto"/>
                <w:sz w:val="18"/>
                <w:szCs w:val="18"/>
                <w:vertAlign w:val="subscript"/>
              </w:rPr>
              <w:t>s</w:t>
            </w:r>
            <w:r>
              <w:rPr>
                <w:color w:val="auto"/>
                <w:sz w:val="18"/>
                <w:szCs w:val="18"/>
              </w:rPr>
              <w:t>(MPa)</w:t>
            </w:r>
          </w:p>
        </w:tc>
        <w:tc>
          <w:tcPr>
            <w:tcW w:w="1735" w:type="dxa"/>
            <w:noWrap w:val="0"/>
            <w:vAlign w:val="top"/>
          </w:tcPr>
          <w:p w14:paraId="17D66BF0">
            <w:pPr>
              <w:adjustRightInd w:val="0"/>
              <w:jc w:val="center"/>
              <w:rPr>
                <w:color w:val="auto"/>
                <w:sz w:val="18"/>
                <w:szCs w:val="18"/>
              </w:rPr>
            </w:pPr>
            <w:r>
              <w:rPr>
                <w:color w:val="auto"/>
                <w:sz w:val="18"/>
                <w:szCs w:val="18"/>
              </w:rPr>
              <w:t>1.0</w:t>
            </w:r>
          </w:p>
        </w:tc>
        <w:tc>
          <w:tcPr>
            <w:tcW w:w="1519" w:type="dxa"/>
            <w:noWrap w:val="0"/>
            <w:vAlign w:val="top"/>
          </w:tcPr>
          <w:p w14:paraId="623766BA">
            <w:pPr>
              <w:adjustRightInd w:val="0"/>
              <w:jc w:val="center"/>
              <w:rPr>
                <w:color w:val="auto"/>
                <w:sz w:val="18"/>
                <w:szCs w:val="18"/>
              </w:rPr>
            </w:pPr>
            <w:r>
              <w:rPr>
                <w:color w:val="auto"/>
                <w:sz w:val="18"/>
                <w:szCs w:val="18"/>
              </w:rPr>
              <w:t>1.5</w:t>
            </w:r>
          </w:p>
        </w:tc>
        <w:tc>
          <w:tcPr>
            <w:tcW w:w="1385" w:type="dxa"/>
            <w:noWrap w:val="0"/>
            <w:vAlign w:val="top"/>
          </w:tcPr>
          <w:p w14:paraId="2BA69A07">
            <w:pPr>
              <w:adjustRightInd w:val="0"/>
              <w:jc w:val="center"/>
              <w:rPr>
                <w:color w:val="auto"/>
                <w:sz w:val="18"/>
                <w:szCs w:val="18"/>
              </w:rPr>
            </w:pPr>
            <w:r>
              <w:rPr>
                <w:color w:val="auto"/>
                <w:sz w:val="18"/>
                <w:szCs w:val="18"/>
              </w:rPr>
              <w:t>2.0</w:t>
            </w:r>
          </w:p>
        </w:tc>
        <w:tc>
          <w:tcPr>
            <w:tcW w:w="1453" w:type="dxa"/>
            <w:noWrap w:val="0"/>
            <w:vAlign w:val="top"/>
          </w:tcPr>
          <w:p w14:paraId="1DD20CF6">
            <w:pPr>
              <w:adjustRightInd w:val="0"/>
              <w:jc w:val="center"/>
              <w:rPr>
                <w:color w:val="auto"/>
                <w:sz w:val="18"/>
                <w:szCs w:val="18"/>
              </w:rPr>
            </w:pPr>
            <w:r>
              <w:rPr>
                <w:color w:val="auto"/>
                <w:sz w:val="18"/>
                <w:szCs w:val="18"/>
              </w:rPr>
              <w:t>2.5</w:t>
            </w:r>
          </w:p>
        </w:tc>
        <w:tc>
          <w:tcPr>
            <w:tcW w:w="1385" w:type="dxa"/>
            <w:noWrap w:val="0"/>
            <w:vAlign w:val="top"/>
          </w:tcPr>
          <w:p w14:paraId="748061D6">
            <w:pPr>
              <w:adjustRightInd w:val="0"/>
              <w:jc w:val="center"/>
              <w:rPr>
                <w:color w:val="auto"/>
                <w:sz w:val="18"/>
                <w:szCs w:val="18"/>
              </w:rPr>
            </w:pPr>
            <w:r>
              <w:rPr>
                <w:color w:val="auto"/>
                <w:sz w:val="18"/>
                <w:szCs w:val="18"/>
              </w:rPr>
              <w:t>3.0</w:t>
            </w:r>
          </w:p>
        </w:tc>
      </w:tr>
      <w:tr w14:paraId="23CE0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1663" w:type="dxa"/>
            <w:noWrap w:val="0"/>
            <w:vAlign w:val="top"/>
          </w:tcPr>
          <w:p w14:paraId="152488FA">
            <w:pPr>
              <w:adjustRightInd w:val="0"/>
              <w:jc w:val="center"/>
              <w:rPr>
                <w:color w:val="auto"/>
                <w:sz w:val="18"/>
                <w:szCs w:val="18"/>
              </w:rPr>
            </w:pPr>
            <w:r>
              <w:rPr>
                <w:i/>
                <w:color w:val="auto"/>
                <w:sz w:val="18"/>
                <w:szCs w:val="18"/>
              </w:rPr>
              <w:t>e</w:t>
            </w:r>
          </w:p>
        </w:tc>
        <w:tc>
          <w:tcPr>
            <w:tcW w:w="1735" w:type="dxa"/>
            <w:noWrap w:val="0"/>
            <w:vAlign w:val="top"/>
          </w:tcPr>
          <w:p w14:paraId="739193E9">
            <w:pPr>
              <w:adjustRightInd w:val="0"/>
              <w:jc w:val="center"/>
              <w:rPr>
                <w:color w:val="auto"/>
                <w:sz w:val="18"/>
                <w:szCs w:val="18"/>
              </w:rPr>
            </w:pPr>
            <w:r>
              <w:rPr>
                <w:color w:val="auto"/>
                <w:sz w:val="18"/>
                <w:szCs w:val="18"/>
              </w:rPr>
              <w:t>0.89</w:t>
            </w:r>
          </w:p>
        </w:tc>
        <w:tc>
          <w:tcPr>
            <w:tcW w:w="1519" w:type="dxa"/>
            <w:noWrap w:val="0"/>
            <w:vAlign w:val="top"/>
          </w:tcPr>
          <w:p w14:paraId="38DC4D3C">
            <w:pPr>
              <w:adjustRightInd w:val="0"/>
              <w:jc w:val="center"/>
              <w:rPr>
                <w:color w:val="auto"/>
                <w:sz w:val="18"/>
                <w:szCs w:val="18"/>
              </w:rPr>
            </w:pPr>
            <w:r>
              <w:rPr>
                <w:color w:val="auto"/>
                <w:sz w:val="18"/>
                <w:szCs w:val="18"/>
              </w:rPr>
              <w:t>0.82</w:t>
            </w:r>
          </w:p>
        </w:tc>
        <w:tc>
          <w:tcPr>
            <w:tcW w:w="1385" w:type="dxa"/>
            <w:noWrap w:val="0"/>
            <w:vAlign w:val="top"/>
          </w:tcPr>
          <w:p w14:paraId="53ECB06D">
            <w:pPr>
              <w:adjustRightInd w:val="0"/>
              <w:jc w:val="center"/>
              <w:rPr>
                <w:color w:val="auto"/>
                <w:sz w:val="18"/>
                <w:szCs w:val="18"/>
              </w:rPr>
            </w:pPr>
            <w:r>
              <w:rPr>
                <w:color w:val="auto"/>
                <w:sz w:val="18"/>
                <w:szCs w:val="18"/>
              </w:rPr>
              <w:t>0.77</w:t>
            </w:r>
          </w:p>
        </w:tc>
        <w:tc>
          <w:tcPr>
            <w:tcW w:w="1453" w:type="dxa"/>
            <w:noWrap w:val="0"/>
            <w:vAlign w:val="top"/>
          </w:tcPr>
          <w:p w14:paraId="686CAA9C">
            <w:pPr>
              <w:adjustRightInd w:val="0"/>
              <w:jc w:val="center"/>
              <w:rPr>
                <w:color w:val="auto"/>
                <w:sz w:val="18"/>
                <w:szCs w:val="18"/>
              </w:rPr>
            </w:pPr>
            <w:r>
              <w:rPr>
                <w:color w:val="auto"/>
                <w:sz w:val="18"/>
                <w:szCs w:val="18"/>
              </w:rPr>
              <w:t>0.74</w:t>
            </w:r>
          </w:p>
        </w:tc>
        <w:tc>
          <w:tcPr>
            <w:tcW w:w="1385" w:type="dxa"/>
            <w:noWrap w:val="0"/>
            <w:vAlign w:val="top"/>
          </w:tcPr>
          <w:p w14:paraId="063CA564">
            <w:pPr>
              <w:adjustRightInd w:val="0"/>
              <w:jc w:val="center"/>
              <w:rPr>
                <w:color w:val="auto"/>
                <w:sz w:val="18"/>
                <w:szCs w:val="18"/>
              </w:rPr>
            </w:pPr>
            <w:r>
              <w:rPr>
                <w:color w:val="auto"/>
                <w:sz w:val="18"/>
                <w:szCs w:val="18"/>
              </w:rPr>
              <w:t>0.71</w:t>
            </w:r>
          </w:p>
        </w:tc>
      </w:tr>
    </w:tbl>
    <w:p w14:paraId="27C33A7A">
      <w:pPr>
        <w:adjustRightInd w:val="0"/>
        <w:snapToGrid w:val="0"/>
        <w:spacing w:before="240" w:line="340" w:lineRule="atLeast"/>
        <w:rPr>
          <w:color w:val="auto"/>
          <w:szCs w:val="21"/>
        </w:rPr>
      </w:pPr>
      <w:r>
        <w:rPr>
          <w:b/>
          <w:bCs/>
          <w:color w:val="auto"/>
          <w:szCs w:val="21"/>
        </w:rPr>
        <w:t>6.1.19</w:t>
      </w:r>
      <w:r>
        <w:rPr>
          <w:color w:val="auto"/>
          <w:szCs w:val="21"/>
        </w:rPr>
        <w:t xml:space="preserve">  残积土与沉积岩类风化岩的划分，系根据武汉地区岩土工程勘察的统计结果，由极软岩、软岩和较软岩风化的残积土层标贯击数</w:t>
      </w:r>
      <w:r>
        <w:rPr>
          <w:i/>
          <w:iCs/>
          <w:color w:val="auto"/>
          <w:szCs w:val="21"/>
        </w:rPr>
        <w:t>N</w:t>
      </w:r>
      <w:r>
        <w:rPr>
          <w:iCs/>
          <w:color w:val="auto"/>
          <w:szCs w:val="21"/>
          <w:vertAlign w:val="subscript"/>
        </w:rPr>
        <w:t>max</w:t>
      </w:r>
      <w:r>
        <w:rPr>
          <w:color w:val="auto"/>
          <w:szCs w:val="21"/>
        </w:rPr>
        <w:t>=32击，</w:t>
      </w:r>
      <w:r>
        <w:rPr>
          <w:i/>
          <w:iCs/>
          <w:color w:val="auto"/>
          <w:szCs w:val="21"/>
        </w:rPr>
        <w:t>N</w:t>
      </w:r>
      <w:r>
        <w:rPr>
          <w:iCs/>
          <w:color w:val="auto"/>
          <w:szCs w:val="21"/>
          <w:vertAlign w:val="subscript"/>
        </w:rPr>
        <w:t>min</w:t>
      </w:r>
      <w:r>
        <w:rPr>
          <w:color w:val="auto"/>
          <w:szCs w:val="21"/>
        </w:rPr>
        <w:t>=13击，剪切波速</w:t>
      </w:r>
      <w:r>
        <w:rPr>
          <w:color w:val="auto"/>
          <w:position w:val="-12"/>
          <w:szCs w:val="21"/>
        </w:rPr>
        <w:object>
          <v:shape id="_x0000_i1810" o:spt="75" type="#_x0000_t75" style="height:18pt;width:24pt;" o:ole="t" filled="f" stroked="f" coordsize="21600,21600">
            <v:path/>
            <v:fill on="f" focussize="0,0"/>
            <v:stroke on="f"/>
            <v:imagedata r:id="rId1533" o:title=""/>
            <o:lock v:ext="edit" grouping="f" rotation="f" text="f" aspectratio="t"/>
            <w10:wrap type="none"/>
            <w10:anchorlock/>
          </v:shape>
          <o:OLEObject Type="Embed" ProgID="Equation.3" ShapeID="_x0000_i1810" DrawAspect="Content" ObjectID="_1468076510" r:id="rId1532">
            <o:LockedField>false</o:LockedField>
          </o:OLEObject>
        </w:object>
      </w:r>
      <w:r>
        <w:rPr>
          <w:color w:val="auto"/>
          <w:szCs w:val="21"/>
        </w:rPr>
        <w:t>=218m/s，强风化层剪切波速</w:t>
      </w:r>
      <w:r>
        <w:rPr>
          <w:color w:val="auto"/>
          <w:position w:val="-12"/>
          <w:szCs w:val="21"/>
        </w:rPr>
        <w:object>
          <v:shape id="_x0000_i1811" o:spt="75" type="#_x0000_t75" style="height:18pt;width:22pt;" o:ole="t" filled="f" stroked="f" coordsize="21600,21600">
            <v:path/>
            <v:fill on="f" focussize="0,0"/>
            <v:stroke on="f"/>
            <v:imagedata r:id="rId1535" o:title=""/>
            <o:lock v:ext="edit" grouping="f" rotation="f" text="f" aspectratio="t"/>
            <w10:wrap type="none"/>
            <w10:anchorlock/>
          </v:shape>
          <o:OLEObject Type="Embed" ProgID="Equation.3" ShapeID="_x0000_i1811" DrawAspect="Content" ObjectID="_1468076511" r:id="rId1534">
            <o:LockedField>false</o:LockedField>
          </o:OLEObject>
        </w:object>
      </w:r>
      <w:r>
        <w:rPr>
          <w:color w:val="auto"/>
          <w:szCs w:val="21"/>
        </w:rPr>
        <w:t>=344m/s。故取</w:t>
      </w:r>
      <w:r>
        <w:rPr>
          <w:i/>
          <w:color w:val="auto"/>
          <w:szCs w:val="21"/>
        </w:rPr>
        <w:t>N</w:t>
      </w:r>
      <w:r>
        <w:rPr>
          <w:color w:val="auto"/>
          <w:szCs w:val="21"/>
        </w:rPr>
        <w:t>＜35击、350m/s＞</w:t>
      </w:r>
      <w:r>
        <w:rPr>
          <w:i/>
          <w:iCs/>
          <w:color w:val="auto"/>
          <w:szCs w:val="21"/>
        </w:rPr>
        <w:t>v</w:t>
      </w:r>
      <w:r>
        <w:rPr>
          <w:iCs/>
          <w:color w:val="auto"/>
          <w:szCs w:val="21"/>
          <w:vertAlign w:val="subscript"/>
        </w:rPr>
        <w:t>s</w:t>
      </w:r>
      <w:r>
        <w:rPr>
          <w:color w:val="auto"/>
          <w:szCs w:val="21"/>
        </w:rPr>
        <w:t>≥210m/s时为残积土，</w:t>
      </w:r>
      <w:r>
        <w:rPr>
          <w:i/>
          <w:color w:val="auto"/>
          <w:szCs w:val="21"/>
        </w:rPr>
        <w:t>N</w:t>
      </w:r>
      <w:r>
        <w:rPr>
          <w:color w:val="auto"/>
          <w:szCs w:val="21"/>
        </w:rPr>
        <w:t>≥35击、</w:t>
      </w:r>
      <w:r>
        <w:rPr>
          <w:i/>
          <w:iCs/>
          <w:color w:val="auto"/>
          <w:szCs w:val="21"/>
        </w:rPr>
        <w:t>v</w:t>
      </w:r>
      <w:r>
        <w:rPr>
          <w:iCs/>
          <w:color w:val="auto"/>
          <w:szCs w:val="21"/>
          <w:vertAlign w:val="subscript"/>
        </w:rPr>
        <w:t>s</w:t>
      </w:r>
      <w:r>
        <w:rPr>
          <w:color w:val="auto"/>
          <w:szCs w:val="21"/>
        </w:rPr>
        <w:t>≥350m/s时为强风化岩。</w:t>
      </w:r>
    </w:p>
    <w:p w14:paraId="29990F32">
      <w:pPr>
        <w:adjustRightInd w:val="0"/>
        <w:snapToGrid w:val="0"/>
        <w:spacing w:line="340" w:lineRule="atLeast"/>
        <w:ind w:firstLine="420" w:firstLineChars="200"/>
        <w:rPr>
          <w:color w:val="auto"/>
          <w:szCs w:val="21"/>
        </w:rPr>
      </w:pPr>
      <w:r>
        <w:rPr>
          <w:color w:val="auto"/>
          <w:szCs w:val="21"/>
        </w:rPr>
        <w:t>正文表16残积土与沉积岩类风化岩的划分、参考了深圳的经验，正文表13利用</w:t>
      </w:r>
      <w:r>
        <w:rPr>
          <w:i/>
          <w:iCs/>
          <w:color w:val="auto"/>
          <w:szCs w:val="21"/>
        </w:rPr>
        <w:t>N</w:t>
      </w:r>
      <w:r>
        <w:rPr>
          <w:color w:val="auto"/>
          <w:szCs w:val="21"/>
        </w:rPr>
        <w:t>、</w:t>
      </w:r>
      <w:r>
        <w:rPr>
          <w:i/>
          <w:iCs/>
          <w:color w:val="auto"/>
          <w:szCs w:val="21"/>
        </w:rPr>
        <w:t>p</w:t>
      </w:r>
      <w:r>
        <w:rPr>
          <w:iCs/>
          <w:color w:val="auto"/>
          <w:szCs w:val="21"/>
          <w:vertAlign w:val="subscript"/>
        </w:rPr>
        <w:t>s</w:t>
      </w:r>
      <w:r>
        <w:rPr>
          <w:color w:val="auto"/>
          <w:szCs w:val="21"/>
        </w:rPr>
        <w:t>值划分黏性土的状态和正文表14利用</w:t>
      </w:r>
      <w:r>
        <w:rPr>
          <w:i/>
          <w:iCs/>
          <w:color w:val="auto"/>
          <w:szCs w:val="21"/>
        </w:rPr>
        <w:t>p</w:t>
      </w:r>
      <w:r>
        <w:rPr>
          <w:iCs/>
          <w:color w:val="auto"/>
          <w:szCs w:val="21"/>
          <w:vertAlign w:val="subscript"/>
        </w:rPr>
        <w:t>s</w:t>
      </w:r>
      <w:r>
        <w:rPr>
          <w:color w:val="auto"/>
          <w:szCs w:val="21"/>
        </w:rPr>
        <w:t>值划分粉土的密实程度，均系武汉地区的统计关系，可适用于江汉平原，其他地区在应用时，应结合地区经验进行判别划分。</w:t>
      </w:r>
    </w:p>
    <w:p w14:paraId="79E79677">
      <w:pPr>
        <w:pStyle w:val="77"/>
        <w:rPr>
          <w:color w:val="auto"/>
        </w:rPr>
      </w:pPr>
      <w:bookmarkStart w:id="157" w:name="_Toc182498974"/>
      <w:r>
        <w:rPr>
          <w:color w:val="auto"/>
        </w:rPr>
        <w:t>6.2  工程特性指标</w:t>
      </w:r>
      <w:bookmarkEnd w:id="157"/>
    </w:p>
    <w:p w14:paraId="447E7B75">
      <w:pPr>
        <w:adjustRightInd w:val="0"/>
        <w:snapToGrid w:val="0"/>
        <w:spacing w:line="340" w:lineRule="atLeast"/>
        <w:rPr>
          <w:color w:val="auto"/>
          <w:szCs w:val="21"/>
        </w:rPr>
      </w:pPr>
      <w:r>
        <w:rPr>
          <w:b/>
          <w:bCs/>
          <w:color w:val="auto"/>
          <w:szCs w:val="21"/>
        </w:rPr>
        <w:t>6.2.1</w:t>
      </w:r>
      <w:r>
        <w:rPr>
          <w:color w:val="auto"/>
          <w:szCs w:val="21"/>
        </w:rPr>
        <w:t xml:space="preserve">  每层土采取的土试样不少于6个系根据GB</w:t>
      </w:r>
      <w:r>
        <w:rPr>
          <w:rFonts w:hint="eastAsia"/>
          <w:color w:val="auto"/>
          <w:szCs w:val="21"/>
          <w:lang w:val="en-US" w:eastAsia="zh-CN"/>
        </w:rPr>
        <w:t xml:space="preserve"> </w:t>
      </w:r>
      <w:r>
        <w:rPr>
          <w:color w:val="auto"/>
          <w:szCs w:val="21"/>
        </w:rPr>
        <w:t>50021的规定写入本文件的。对于次要的薄夹层土，当取样困难时，可辅以原位测试加以判定。</w:t>
      </w:r>
    </w:p>
    <w:p w14:paraId="05B39222">
      <w:pPr>
        <w:adjustRightInd w:val="0"/>
        <w:snapToGrid w:val="0"/>
        <w:spacing w:line="340" w:lineRule="atLeast"/>
        <w:rPr>
          <w:color w:val="auto"/>
          <w:szCs w:val="21"/>
        </w:rPr>
      </w:pPr>
      <w:r>
        <w:rPr>
          <w:b/>
          <w:bCs/>
          <w:color w:val="auto"/>
          <w:szCs w:val="21"/>
        </w:rPr>
        <w:t>6.2.2</w:t>
      </w:r>
      <w:r>
        <w:rPr>
          <w:color w:val="auto"/>
          <w:szCs w:val="21"/>
        </w:rPr>
        <w:t xml:space="preserve">  土的工程特性指标代表值采用了GB</w:t>
      </w:r>
      <w:r>
        <w:rPr>
          <w:rFonts w:hint="eastAsia"/>
          <w:color w:val="auto"/>
          <w:szCs w:val="21"/>
          <w:lang w:val="en-US" w:eastAsia="zh-CN"/>
        </w:rPr>
        <w:t xml:space="preserve"> </w:t>
      </w:r>
      <w:r>
        <w:rPr>
          <w:color w:val="auto"/>
          <w:szCs w:val="21"/>
        </w:rPr>
        <w:t>50007的规定。GB</w:t>
      </w:r>
      <w:r>
        <w:rPr>
          <w:rFonts w:hint="eastAsia"/>
          <w:color w:val="auto"/>
          <w:szCs w:val="21"/>
          <w:lang w:val="en-US" w:eastAsia="zh-CN"/>
        </w:rPr>
        <w:t xml:space="preserve"> </w:t>
      </w:r>
      <w:r>
        <w:rPr>
          <w:color w:val="auto"/>
          <w:szCs w:val="21"/>
        </w:rPr>
        <w:t>50007规定的代表值取用方法已与其他国家标准相协调。对于原位测试指标，如静力触探的贯入阻力、动探及标贯击数等代表值，当利用其判别土的状态或密实度时，应取平均值；当利用其确定地基承载力时，应取标准值。</w:t>
      </w:r>
    </w:p>
    <w:p w14:paraId="4CB499B5">
      <w:pPr>
        <w:adjustRightInd w:val="0"/>
        <w:snapToGrid w:val="0"/>
        <w:spacing w:line="340" w:lineRule="atLeast"/>
        <w:rPr>
          <w:color w:val="auto"/>
          <w:szCs w:val="21"/>
        </w:rPr>
      </w:pPr>
      <w:r>
        <w:rPr>
          <w:b/>
          <w:bCs/>
          <w:color w:val="auto"/>
          <w:szCs w:val="21"/>
        </w:rPr>
        <w:t>6.2.3</w:t>
      </w:r>
      <w:r>
        <w:rPr>
          <w:color w:val="auto"/>
          <w:szCs w:val="21"/>
        </w:rPr>
        <w:t xml:space="preserve">  GB</w:t>
      </w:r>
      <w:r>
        <w:rPr>
          <w:rFonts w:hint="eastAsia"/>
          <w:color w:val="auto"/>
          <w:szCs w:val="21"/>
          <w:lang w:val="en-US" w:eastAsia="zh-CN"/>
        </w:rPr>
        <w:t xml:space="preserve"> </w:t>
      </w:r>
      <w:r>
        <w:rPr>
          <w:color w:val="auto"/>
          <w:szCs w:val="21"/>
        </w:rPr>
        <w:t>50007及本文件均规定了甲级设计等级的建筑物应提供载荷试验指标。载荷试验指标的提供仅依靠浅层平板载荷试验及深层平板载荷试验是难以实现的，在勘察阶段中尚宜考虑采用螺旋板载荷试验及旁压试验来取得承载力等指标。</w:t>
      </w:r>
    </w:p>
    <w:p w14:paraId="002E74EB">
      <w:pPr>
        <w:adjustRightInd w:val="0"/>
        <w:snapToGrid w:val="0"/>
        <w:spacing w:line="340" w:lineRule="atLeast"/>
        <w:rPr>
          <w:color w:val="auto"/>
          <w:szCs w:val="21"/>
        </w:rPr>
      </w:pPr>
      <w:r>
        <w:rPr>
          <w:b/>
          <w:bCs/>
          <w:color w:val="auto"/>
          <w:szCs w:val="21"/>
        </w:rPr>
        <w:t>6.2.4</w:t>
      </w:r>
      <w:r>
        <w:rPr>
          <w:color w:val="auto"/>
          <w:szCs w:val="21"/>
        </w:rPr>
        <w:t xml:space="preserve">  GB</w:t>
      </w:r>
      <w:r>
        <w:rPr>
          <w:rFonts w:hint="eastAsia"/>
          <w:color w:val="auto"/>
          <w:szCs w:val="21"/>
          <w:lang w:val="en-US" w:eastAsia="zh-CN"/>
        </w:rPr>
        <w:t xml:space="preserve"> </w:t>
      </w:r>
      <w:r>
        <w:rPr>
          <w:color w:val="auto"/>
          <w:szCs w:val="21"/>
        </w:rPr>
        <w:t>50007、GB</w:t>
      </w:r>
      <w:r>
        <w:rPr>
          <w:rFonts w:hint="eastAsia"/>
          <w:color w:val="auto"/>
          <w:szCs w:val="21"/>
          <w:lang w:val="en-US" w:eastAsia="zh-CN"/>
        </w:rPr>
        <w:t xml:space="preserve"> </w:t>
      </w:r>
      <w:r>
        <w:rPr>
          <w:color w:val="auto"/>
          <w:szCs w:val="21"/>
        </w:rPr>
        <w:t>50021相继取消了承载力等经验表格。目的是促使各地根据当地情况进行试验，积累符合当地实际的经验数据。本文件岩土承载力压缩性指标表的编制资料主要来源于以下两方面：</w:t>
      </w:r>
    </w:p>
    <w:p w14:paraId="57A0EE9A">
      <w:pPr>
        <w:adjustRightInd w:val="0"/>
        <w:snapToGrid w:val="0"/>
        <w:spacing w:line="340" w:lineRule="atLeast"/>
        <w:ind w:firstLine="422" w:firstLineChars="200"/>
        <w:rPr>
          <w:color w:val="auto"/>
          <w:szCs w:val="21"/>
        </w:rPr>
      </w:pPr>
      <w:r>
        <w:rPr>
          <w:rFonts w:hint="eastAsia"/>
          <w:b/>
          <w:color w:val="auto"/>
          <w:szCs w:val="21"/>
        </w:rPr>
        <w:t>a</w:t>
      </w:r>
      <w:r>
        <w:rPr>
          <w:b/>
          <w:color w:val="auto"/>
          <w:szCs w:val="21"/>
        </w:rPr>
        <w:t>)</w:t>
      </w:r>
      <w:r>
        <w:rPr>
          <w:color w:val="auto"/>
          <w:szCs w:val="21"/>
        </w:rPr>
        <w:t xml:space="preserve">  以往国家、地方规范所给出的岩土参数表，这部分参数表经过多年工程实践已积累了一些经验，并取得了良好的工程效果。在编制时，根据GB</w:t>
      </w:r>
      <w:r>
        <w:rPr>
          <w:rFonts w:hint="eastAsia"/>
          <w:color w:val="auto"/>
          <w:szCs w:val="21"/>
          <w:lang w:val="en-US" w:eastAsia="zh-CN"/>
        </w:rPr>
        <w:t xml:space="preserve"> </w:t>
      </w:r>
      <w:r>
        <w:rPr>
          <w:color w:val="auto"/>
          <w:szCs w:val="21"/>
        </w:rPr>
        <w:t>50007对地基承载力的规定要求，作了相应的调整后纳入本文件。</w:t>
      </w:r>
    </w:p>
    <w:p w14:paraId="6636707D">
      <w:pPr>
        <w:adjustRightInd w:val="0"/>
        <w:snapToGrid w:val="0"/>
        <w:spacing w:line="340" w:lineRule="atLeast"/>
        <w:ind w:firstLine="420" w:firstLineChars="200"/>
        <w:rPr>
          <w:color w:val="auto"/>
          <w:szCs w:val="21"/>
        </w:rPr>
      </w:pPr>
      <w:r>
        <w:rPr>
          <w:color w:val="auto"/>
          <w:szCs w:val="21"/>
        </w:rPr>
        <w:t>这部分参数表包括表E.2、表E.5、表E.7～表E.16和表E.24。</w:t>
      </w:r>
    </w:p>
    <w:p w14:paraId="762A3F0A">
      <w:pPr>
        <w:pStyle w:val="21"/>
        <w:spacing w:line="340" w:lineRule="atLeast"/>
        <w:ind w:firstLine="420"/>
        <w:rPr>
          <w:rFonts w:ascii="Times New Roman" w:hAnsi="Times New Roman"/>
          <w:color w:val="auto"/>
          <w:spacing w:val="0"/>
        </w:rPr>
      </w:pPr>
      <w:r>
        <w:rPr>
          <w:rFonts w:ascii="Times New Roman" w:hAnsi="Times New Roman"/>
          <w:color w:val="auto"/>
          <w:spacing w:val="0"/>
        </w:rPr>
        <w:t>鉴于湖北省地形、地貌、地质条件复杂，同类土性质随地区有一定差异，因此，使用这类表时，尚应结合当地经验和试验结果综合确定。</w:t>
      </w:r>
    </w:p>
    <w:p w14:paraId="5ED03C00">
      <w:pPr>
        <w:snapToGrid w:val="0"/>
        <w:spacing w:line="340" w:lineRule="atLeast"/>
        <w:ind w:firstLine="413" w:firstLineChars="196"/>
        <w:rPr>
          <w:color w:val="auto"/>
        </w:rPr>
      </w:pPr>
      <w:r>
        <w:rPr>
          <w:b/>
          <w:color w:val="auto"/>
          <w:szCs w:val="21"/>
        </w:rPr>
        <w:t>b)</w:t>
      </w:r>
      <w:r>
        <w:rPr>
          <w:color w:val="auto"/>
          <w:szCs w:val="21"/>
        </w:rPr>
        <w:t xml:space="preserve">  目前，湖北省除武汉外的其他地区，尚不具备建立地基土承载力表的条件，本文件编制时，主要收集了武汉地区几十年来所积累的资料，经过统计分析后，得出各种岩土的承载力和压缩性指标相关表，分别纳入湖北省DB</w:t>
      </w:r>
      <w:r>
        <w:rPr>
          <w:rFonts w:hint="eastAsia"/>
          <w:color w:val="auto"/>
          <w:szCs w:val="21"/>
          <w:lang w:val="en-US" w:eastAsia="zh-CN"/>
        </w:rPr>
        <w:t xml:space="preserve"> </w:t>
      </w:r>
      <w:r>
        <w:rPr>
          <w:color w:val="auto"/>
          <w:szCs w:val="21"/>
        </w:rPr>
        <w:t>42/169-1999、WBJ</w:t>
      </w:r>
      <w:r>
        <w:rPr>
          <w:rFonts w:hint="eastAsia"/>
          <w:color w:val="auto"/>
          <w:szCs w:val="21"/>
          <w:lang w:val="en-US" w:eastAsia="zh-CN"/>
        </w:rPr>
        <w:t xml:space="preserve"> </w:t>
      </w:r>
      <w:r>
        <w:rPr>
          <w:color w:val="auto"/>
          <w:szCs w:val="21"/>
        </w:rPr>
        <w:t>1-1-92中，经过多年工程实践取得了良好的工程效果，在编制时，根据国标GB50007对地基承载力的规定要求，将原位载荷试验取得的原地基承载力基本值作了必要的调整后在附录E中列出了各种岩土的承载力特征值和压缩性指标，对于地质条件与武汉地区相类似的江汉平原局部地区，可以参照使用，对于其他地区，尚应结合当地经验或经试验确定之。本文件给出的武汉地区的经验表格不能取代各地试验结果，在执行本文件时应严格遵守本文件第5.24条、第7.2.3条及其他条款的规定，合理使用附录E中的经验表格。</w:t>
      </w:r>
    </w:p>
    <w:p w14:paraId="05FBF221">
      <w:pPr>
        <w:pStyle w:val="34"/>
        <w:numPr>
          <w:ilvl w:val="0"/>
          <w:numId w:val="3"/>
        </w:numPr>
        <w:rPr>
          <w:color w:val="auto"/>
        </w:rPr>
      </w:pPr>
      <w:bookmarkStart w:id="158" w:name="_Toc182498975"/>
      <w:r>
        <w:rPr>
          <w:b/>
          <w:bCs w:val="0"/>
          <w:color w:val="auto"/>
        </w:rPr>
        <w:t>天然地基设计计算</w:t>
      </w:r>
      <w:bookmarkEnd w:id="158"/>
    </w:p>
    <w:p w14:paraId="28E280B2">
      <w:pPr>
        <w:pStyle w:val="77"/>
        <w:rPr>
          <w:color w:val="auto"/>
        </w:rPr>
      </w:pPr>
      <w:bookmarkStart w:id="159" w:name="_Toc182498976"/>
      <w:r>
        <w:rPr>
          <w:color w:val="auto"/>
        </w:rPr>
        <w:t>7.1 基础埋置深度</w:t>
      </w:r>
      <w:bookmarkEnd w:id="159"/>
    </w:p>
    <w:p w14:paraId="20053630">
      <w:pPr>
        <w:pStyle w:val="20"/>
        <w:keepNext w:val="0"/>
        <w:keepLines w:val="0"/>
        <w:pageBreakBefore w:val="0"/>
        <w:widowControl w:val="0"/>
        <w:kinsoku/>
        <w:wordWrap/>
        <w:overflowPunct/>
        <w:topLinePunct w:val="0"/>
        <w:autoSpaceDE/>
        <w:autoSpaceDN/>
        <w:bidi w:val="0"/>
        <w:adjustRightInd w:val="0"/>
        <w:snapToGrid w:val="0"/>
        <w:spacing w:line="340" w:lineRule="atLeast"/>
        <w:ind w:left="0" w:leftChars="0"/>
        <w:textAlignment w:val="auto"/>
        <w:rPr>
          <w:rFonts w:ascii="Times New Roman"/>
          <w:color w:val="auto"/>
          <w:szCs w:val="21"/>
        </w:rPr>
      </w:pPr>
      <w:r>
        <w:rPr>
          <w:rFonts w:ascii="Times New Roman"/>
          <w:b/>
          <w:bCs/>
          <w:color w:val="auto"/>
          <w:szCs w:val="21"/>
        </w:rPr>
        <w:t>7.1.4</w:t>
      </w:r>
      <w:r>
        <w:rPr>
          <w:rFonts w:ascii="Times New Roman"/>
          <w:color w:val="auto"/>
          <w:szCs w:val="21"/>
        </w:rPr>
        <w:t xml:space="preserve">  高层建筑的高度超过50m时，按规定的埋深具有设置地下室的条件，为增强地基基础稳定性，合理利用地下空间，本条作了应设地下室的规定。</w:t>
      </w:r>
    </w:p>
    <w:p w14:paraId="0CE47C6D">
      <w:pPr>
        <w:pStyle w:val="20"/>
        <w:keepNext w:val="0"/>
        <w:keepLines w:val="0"/>
        <w:pageBreakBefore w:val="0"/>
        <w:widowControl w:val="0"/>
        <w:kinsoku/>
        <w:wordWrap/>
        <w:overflowPunct/>
        <w:topLinePunct w:val="0"/>
        <w:autoSpaceDE/>
        <w:autoSpaceDN/>
        <w:bidi w:val="0"/>
        <w:adjustRightInd w:val="0"/>
        <w:snapToGrid w:val="0"/>
        <w:spacing w:line="340" w:lineRule="atLeast"/>
        <w:ind w:left="0" w:leftChars="0"/>
        <w:textAlignment w:val="auto"/>
        <w:rPr>
          <w:rFonts w:ascii="Times New Roman"/>
          <w:color w:val="auto"/>
          <w:szCs w:val="21"/>
        </w:rPr>
      </w:pPr>
      <w:r>
        <w:rPr>
          <w:rFonts w:ascii="Times New Roman"/>
          <w:b/>
          <w:bCs/>
          <w:color w:val="auto"/>
          <w:szCs w:val="21"/>
        </w:rPr>
        <w:t>7.1.7</w:t>
      </w:r>
      <w:r>
        <w:rPr>
          <w:rFonts w:ascii="Times New Roman"/>
          <w:color w:val="auto"/>
          <w:szCs w:val="21"/>
        </w:rPr>
        <w:t xml:space="preserve">  持力层顶面经常是倾斜的，因此导致基础埋深的变化。如果相邻基础埋深相差过大，较浅的基础的荷载将扩散传递至较深的基础，结果是改变原设计的基础受力状况。为避免这种情况发生，本条对埋深不同的相邻基础的高差作了限制，即不应大于两基础净距的0.5倍，若土质较好(如硬塑以上黏土、碎石土)可适当放宽限制。山区地基难以满足上述要求，应按本文件10.1.6条的要求执行。</w:t>
      </w:r>
    </w:p>
    <w:p w14:paraId="00385E1B">
      <w:pPr>
        <w:pStyle w:val="77"/>
        <w:rPr>
          <w:color w:val="auto"/>
        </w:rPr>
      </w:pPr>
      <w:bookmarkStart w:id="160" w:name="_Toc182498977"/>
      <w:r>
        <w:rPr>
          <w:color w:val="auto"/>
        </w:rPr>
        <w:t>7.2  承载力计算</w:t>
      </w:r>
      <w:bookmarkEnd w:id="160"/>
    </w:p>
    <w:p w14:paraId="057A08E1">
      <w:pPr>
        <w:adjustRightInd w:val="0"/>
        <w:snapToGrid w:val="0"/>
        <w:spacing w:line="340" w:lineRule="atLeast"/>
        <w:rPr>
          <w:color w:val="auto"/>
          <w:szCs w:val="21"/>
        </w:rPr>
      </w:pPr>
      <w:r>
        <w:rPr>
          <w:b/>
          <w:bCs/>
          <w:color w:val="auto"/>
          <w:szCs w:val="21"/>
        </w:rPr>
        <w:t>7.2.1</w:t>
      </w:r>
      <w:r>
        <w:rPr>
          <w:color w:val="auto"/>
          <w:szCs w:val="21"/>
        </w:rPr>
        <w:t xml:space="preserve">  符号</w:t>
      </w:r>
      <w:r>
        <w:rPr>
          <w:i/>
          <w:color w:val="auto"/>
          <w:szCs w:val="21"/>
        </w:rPr>
        <w:t>f</w:t>
      </w:r>
      <w:r>
        <w:rPr>
          <w:iCs/>
          <w:color w:val="auto"/>
          <w:szCs w:val="21"/>
          <w:vertAlign w:val="subscript"/>
        </w:rPr>
        <w:t>a</w:t>
      </w:r>
      <w:r>
        <w:rPr>
          <w:color w:val="auto"/>
          <w:szCs w:val="21"/>
        </w:rPr>
        <w:t>在国标GB50007中解释为“修正后的地基承载力特征值”。由于</w:t>
      </w:r>
      <w:r>
        <w:rPr>
          <w:i/>
          <w:color w:val="auto"/>
          <w:szCs w:val="21"/>
        </w:rPr>
        <w:t>f</w:t>
      </w:r>
      <w:r>
        <w:rPr>
          <w:iCs/>
          <w:color w:val="auto"/>
          <w:szCs w:val="21"/>
          <w:vertAlign w:val="subscript"/>
        </w:rPr>
        <w:t>a</w:t>
      </w:r>
      <w:r>
        <w:rPr>
          <w:color w:val="auto"/>
          <w:szCs w:val="21"/>
        </w:rPr>
        <w:t>可以通过理论公式、原位测试和查表等多种方法确定，其中采用理论公式可按</w:t>
      </w:r>
      <w:r>
        <w:rPr>
          <w:rFonts w:hint="eastAsia"/>
          <w:color w:val="auto"/>
          <w:szCs w:val="21"/>
        </w:rPr>
        <w:t>土的抗剪强度指标</w:t>
      </w:r>
      <w:r>
        <w:rPr>
          <w:color w:val="auto"/>
          <w:szCs w:val="21"/>
        </w:rPr>
        <w:t>计算承载力特征值，而不必进行“修正”，因此本文件将</w:t>
      </w:r>
      <w:r>
        <w:rPr>
          <w:i/>
          <w:color w:val="auto"/>
          <w:szCs w:val="21"/>
        </w:rPr>
        <w:t>f</w:t>
      </w:r>
      <w:r>
        <w:rPr>
          <w:iCs/>
          <w:color w:val="auto"/>
          <w:szCs w:val="21"/>
          <w:vertAlign w:val="subscript"/>
        </w:rPr>
        <w:t>a</w:t>
      </w:r>
      <w:r>
        <w:rPr>
          <w:color w:val="auto"/>
          <w:szCs w:val="21"/>
        </w:rPr>
        <w:t>定义为</w:t>
      </w:r>
      <w:r>
        <w:rPr>
          <w:rFonts w:hint="eastAsia"/>
          <w:color w:val="auto"/>
          <w:szCs w:val="21"/>
        </w:rPr>
        <w:t>“</w:t>
      </w:r>
      <w:r>
        <w:rPr>
          <w:color w:val="auto"/>
          <w:szCs w:val="21"/>
        </w:rPr>
        <w:t>按</w:t>
      </w:r>
      <w:r>
        <w:rPr>
          <w:rFonts w:hint="eastAsia"/>
          <w:color w:val="auto"/>
          <w:szCs w:val="21"/>
        </w:rPr>
        <w:t>土的抗剪强度指标</w:t>
      </w:r>
      <w:r>
        <w:rPr>
          <w:color w:val="auto"/>
          <w:szCs w:val="21"/>
        </w:rPr>
        <w:t>确定的地基承载力特征值或修正后的地基承载力特征值</w:t>
      </w:r>
      <w:r>
        <w:rPr>
          <w:rFonts w:hint="eastAsia"/>
          <w:color w:val="auto"/>
          <w:szCs w:val="21"/>
        </w:rPr>
        <w:t>”，</w:t>
      </w:r>
      <w:r>
        <w:rPr>
          <w:color w:val="auto"/>
          <w:szCs w:val="21"/>
        </w:rPr>
        <w:t>其含义包括采用理论公式直接计算的结果和查表、原位测试所得数据加以深、宽修正的结果。</w:t>
      </w:r>
    </w:p>
    <w:p w14:paraId="6C182330">
      <w:pPr>
        <w:adjustRightInd w:val="0"/>
        <w:snapToGrid w:val="0"/>
        <w:spacing w:line="340" w:lineRule="atLeast"/>
        <w:rPr>
          <w:color w:val="auto"/>
          <w:szCs w:val="21"/>
        </w:rPr>
      </w:pPr>
      <w:r>
        <w:rPr>
          <w:b/>
          <w:bCs/>
          <w:color w:val="auto"/>
          <w:szCs w:val="21"/>
        </w:rPr>
        <w:t>7.2.3</w:t>
      </w:r>
      <w:r>
        <w:rPr>
          <w:color w:val="auto"/>
          <w:szCs w:val="21"/>
        </w:rPr>
        <w:t xml:space="preserve">  修订后的国标GB50007删除了承载力表，同时也删除了获取承载力特征值采用什么方法的有关规定。本文件根据地区经验列入了承载力表，相应地也应规定不同的承载力确定方法的适用范围。本条规定原则上参照国标制定。</w:t>
      </w:r>
    </w:p>
    <w:p w14:paraId="596E0AF1">
      <w:pPr>
        <w:adjustRightInd w:val="0"/>
        <w:snapToGrid w:val="0"/>
        <w:spacing w:line="340" w:lineRule="atLeast"/>
        <w:rPr>
          <w:color w:val="auto"/>
          <w:szCs w:val="21"/>
        </w:rPr>
      </w:pPr>
      <w:r>
        <w:rPr>
          <w:b/>
          <w:bCs/>
          <w:color w:val="auto"/>
          <w:szCs w:val="21"/>
        </w:rPr>
        <w:t>7.2.4</w:t>
      </w:r>
      <w:r>
        <w:rPr>
          <w:color w:val="auto"/>
          <w:szCs w:val="21"/>
        </w:rPr>
        <w:t xml:space="preserve">  本文件补充了极限承载力计算公式。这个公式是国际上都很熟悉的公式，容易被接受，国内已纳入《高层建筑岩土工程勘察规范》。这一公式是按极限平衡条件推导的，从土力学观点而言具有确定的意义，可以反映不同基础形式对承载力的影响；而国标中的承载力公式是按有限塑性区条件列出的，大致相当于过去的</w:t>
      </w:r>
      <w:r>
        <w:rPr>
          <w:i/>
          <w:color w:val="auto"/>
          <w:szCs w:val="21"/>
        </w:rPr>
        <w:t>p</w:t>
      </w:r>
      <w:r>
        <w:rPr>
          <w:color w:val="auto"/>
          <w:sz w:val="18"/>
          <w:szCs w:val="21"/>
          <w:vertAlign w:val="subscript"/>
        </w:rPr>
        <w:t>1/4</w:t>
      </w:r>
      <w:r>
        <w:rPr>
          <w:color w:val="auto"/>
          <w:szCs w:val="21"/>
        </w:rPr>
        <w:t>，是按平面课题推导而得的，只符合条形基础的情况，而且在考虑塑性区发展程度上有相当大的人为主观因素。欧洲规范规定计算承载力时不采用总的安全系数，而对</w:t>
      </w:r>
      <w:r>
        <w:rPr>
          <w:i/>
          <w:color w:val="auto"/>
          <w:szCs w:val="21"/>
        </w:rPr>
        <w:t>c</w:t>
      </w:r>
      <w:r>
        <w:rPr>
          <w:color w:val="auto"/>
          <w:szCs w:val="21"/>
        </w:rPr>
        <w:t>、</w:t>
      </w:r>
      <w:r>
        <w:rPr>
          <w:color w:val="auto"/>
          <w:position w:val="-10"/>
          <w:szCs w:val="21"/>
        </w:rPr>
        <w:object>
          <v:shape id="_x0000_i1812" o:spt="75" type="#_x0000_t75" style="height:13pt;width:10pt;" o:ole="t" filled="f" o:preferrelative="t" stroked="f" coordsize="21600,21600">
            <v:path/>
            <v:fill on="f" focussize="0,0"/>
            <v:stroke on="f"/>
            <v:imagedata r:id="rId1537" o:title=""/>
            <o:lock v:ext="edit" grouping="f" rotation="f" text="f" aspectratio="t"/>
            <w10:wrap type="none"/>
            <w10:anchorlock/>
          </v:shape>
          <o:OLEObject Type="Embed" ProgID="Equation.DSMT4" ShapeID="_x0000_i1812" DrawAspect="Content" ObjectID="_1468076512" r:id="rId1536">
            <o:LockedField>false</o:LockedField>
          </o:OLEObject>
        </w:object>
      </w:r>
      <w:r>
        <w:rPr>
          <w:color w:val="auto"/>
          <w:szCs w:val="21"/>
        </w:rPr>
        <w:t>分别采用分项安全系数。本文件经过对不同土类的对比计算，仍采用总的安全系数，为便于掌握，规定了不同土类的安全系数取值。对重要工程应采用国标公式和本条公式对比计算综合考虑取值。</w:t>
      </w:r>
    </w:p>
    <w:p w14:paraId="386433BA">
      <w:pPr>
        <w:adjustRightInd w:val="0"/>
        <w:snapToGrid w:val="0"/>
        <w:spacing w:line="340" w:lineRule="atLeast"/>
        <w:ind w:firstLine="420" w:firstLineChars="200"/>
        <w:rPr>
          <w:color w:val="auto"/>
          <w:szCs w:val="21"/>
        </w:rPr>
      </w:pPr>
      <w:r>
        <w:rPr>
          <w:color w:val="auto"/>
          <w:szCs w:val="21"/>
        </w:rPr>
        <w:t>用理论公式计算地基承载力特征值时宜采用三轴压缩试验得出的抗剪强度参数，并根据地基是否预固结、加荷速率高低选用不固结不排水或固结不排水试验结果。</w:t>
      </w:r>
      <w:r>
        <w:rPr>
          <w:i/>
          <w:color w:val="auto"/>
          <w:szCs w:val="21"/>
        </w:rPr>
        <w:t>c</w:t>
      </w:r>
      <w:r>
        <w:rPr>
          <w:iCs/>
          <w:color w:val="auto"/>
          <w:szCs w:val="21"/>
          <w:vertAlign w:val="subscript"/>
        </w:rPr>
        <w:t>k</w:t>
      </w:r>
      <w:r>
        <w:rPr>
          <w:color w:val="auto"/>
          <w:szCs w:val="21"/>
          <w:vertAlign w:val="subscript"/>
        </w:rPr>
        <w:t xml:space="preserve"> </w:t>
      </w:r>
      <w:r>
        <w:rPr>
          <w:color w:val="auto"/>
          <w:szCs w:val="21"/>
        </w:rPr>
        <w:t>、</w:t>
      </w:r>
      <w:r>
        <w:rPr>
          <w:color w:val="auto"/>
          <w:position w:val="-12"/>
          <w:szCs w:val="21"/>
        </w:rPr>
        <w:object>
          <v:shape id="_x0000_i1813" o:spt="75" type="#_x0000_t75" style="height:18pt;width:15pt;" o:ole="t" filled="f" stroked="f" coordsize="21600,21600">
            <v:path/>
            <v:fill on="f" focussize="0,0"/>
            <v:stroke on="f"/>
            <v:imagedata r:id="rId1539" o:title=""/>
            <o:lock v:ext="edit" grouping="f" rotation="f" text="f" aspectratio="t"/>
            <w10:wrap type="none"/>
            <w10:anchorlock/>
          </v:shape>
          <o:OLEObject Type="Embed" ProgID="Equation.DSMT4" ShapeID="_x0000_i1813" DrawAspect="Content" ObjectID="_1468076513" r:id="rId1538">
            <o:LockedField>false</o:LockedField>
          </o:OLEObject>
        </w:object>
      </w:r>
      <w:r>
        <w:rPr>
          <w:color w:val="auto"/>
          <w:szCs w:val="21"/>
        </w:rPr>
        <w:t xml:space="preserve">是经过统计修正以后的标准值，当试验结果不正常时，可参照土的物理性质指标和其他原位测试结果并根据地区经验作适当调整。 </w:t>
      </w:r>
    </w:p>
    <w:p w14:paraId="426D1311">
      <w:pPr>
        <w:adjustRightInd w:val="0"/>
        <w:snapToGrid w:val="0"/>
        <w:spacing w:line="340" w:lineRule="atLeast"/>
        <w:ind w:firstLine="420" w:firstLineChars="200"/>
        <w:rPr>
          <w:color w:val="auto"/>
          <w:szCs w:val="21"/>
        </w:rPr>
      </w:pPr>
      <w:r>
        <w:rPr>
          <w:color w:val="auto"/>
          <w:szCs w:val="21"/>
        </w:rPr>
        <w:t xml:space="preserve">承载力计算中基底上、下土的重度在考虑地下水(特别是多层地下水)浮托时如何取值过去往往使设计人员困惑。本条对此作了明确规定。总的原则是：基础置于隔水层内时即不考虑地下水浮托问题，隔水层包括黏土、粉质黏土等不透水或弱透水层。如基础置于含水层(包括强透水性的砂土、碎石土以及厚层粉土等)内，则按所在含水层的水位进行基底以上土的重度加权计算。这样处理虽与有效应力理论不甚相符，但符合实际经验，且便于掌握。  </w:t>
      </w:r>
    </w:p>
    <w:p w14:paraId="28B355FB">
      <w:pPr>
        <w:adjustRightInd w:val="0"/>
        <w:snapToGrid w:val="0"/>
        <w:spacing w:line="340" w:lineRule="atLeast"/>
        <w:rPr>
          <w:color w:val="auto"/>
          <w:szCs w:val="21"/>
        </w:rPr>
      </w:pPr>
      <w:r>
        <w:rPr>
          <w:b/>
          <w:bCs/>
          <w:color w:val="auto"/>
          <w:szCs w:val="21"/>
        </w:rPr>
        <w:t>7.2.5</w:t>
      </w:r>
      <w:r>
        <w:rPr>
          <w:b/>
          <w:color w:val="auto"/>
          <w:szCs w:val="21"/>
        </w:rPr>
        <w:t xml:space="preserve"> </w:t>
      </w:r>
      <w:r>
        <w:rPr>
          <w:color w:val="auto"/>
          <w:szCs w:val="21"/>
        </w:rPr>
        <w:t xml:space="preserve"> 本条对黏性土的承载力修正系数进行了调整。国标GB50007中以</w:t>
      </w:r>
      <w:r>
        <w:rPr>
          <w:i/>
          <w:color w:val="auto"/>
          <w:szCs w:val="21"/>
        </w:rPr>
        <w:t>e</w:t>
      </w:r>
      <w:r>
        <w:rPr>
          <w:color w:val="auto"/>
          <w:szCs w:val="21"/>
        </w:rPr>
        <w:t>和</w:t>
      </w:r>
      <w:r>
        <w:rPr>
          <w:i/>
          <w:color w:val="auto"/>
          <w:szCs w:val="21"/>
        </w:rPr>
        <w:t>I</w:t>
      </w:r>
      <w:r>
        <w:rPr>
          <w:iCs/>
          <w:color w:val="auto"/>
          <w:szCs w:val="21"/>
          <w:vertAlign w:val="subscript"/>
        </w:rPr>
        <w:t>L</w:t>
      </w:r>
      <w:r>
        <w:rPr>
          <w:color w:val="auto"/>
          <w:szCs w:val="21"/>
        </w:rPr>
        <w:t>等于0.85作为</w:t>
      </w:r>
      <w:r>
        <w:rPr>
          <w:i/>
          <w:color w:val="auto"/>
          <w:szCs w:val="21"/>
        </w:rPr>
        <w:t>η</w:t>
      </w:r>
      <w:r>
        <w:rPr>
          <w:iCs/>
          <w:color w:val="auto"/>
          <w:szCs w:val="21"/>
          <w:vertAlign w:val="subscript"/>
        </w:rPr>
        <w:t>d</w:t>
      </w:r>
      <w:r>
        <w:rPr>
          <w:color w:val="auto"/>
          <w:szCs w:val="21"/>
        </w:rPr>
        <w:t>取值的一个分界点，</w:t>
      </w:r>
      <w:r>
        <w:rPr>
          <w:i/>
          <w:color w:val="auto"/>
          <w:szCs w:val="21"/>
        </w:rPr>
        <w:t>η</w:t>
      </w:r>
      <w:r>
        <w:rPr>
          <w:iCs/>
          <w:color w:val="auto"/>
          <w:szCs w:val="21"/>
          <w:vertAlign w:val="subscript"/>
        </w:rPr>
        <w:t>d</w:t>
      </w:r>
      <w:r>
        <w:rPr>
          <w:color w:val="auto"/>
          <w:szCs w:val="21"/>
        </w:rPr>
        <w:t>值由1.0突变至1.6。根据本地区经验，孔隙比在0.85上下时并不能说明土质有本质的变化，而以</w:t>
      </w:r>
      <w:r>
        <w:rPr>
          <w:i/>
          <w:color w:val="auto"/>
          <w:szCs w:val="21"/>
        </w:rPr>
        <w:t>I</w:t>
      </w:r>
      <w:r>
        <w:rPr>
          <w:iCs/>
          <w:color w:val="auto"/>
          <w:szCs w:val="21"/>
          <w:vertAlign w:val="subscript"/>
        </w:rPr>
        <w:t>L</w:t>
      </w:r>
      <w:r>
        <w:rPr>
          <w:color w:val="auto"/>
          <w:szCs w:val="21"/>
        </w:rPr>
        <w:t>的三个界限值(0.25、0.75、1.0)来划分则物理意义更明确。因此在正文表19中将黏性土按</w:t>
      </w:r>
      <w:r>
        <w:rPr>
          <w:i/>
          <w:color w:val="auto"/>
          <w:szCs w:val="21"/>
        </w:rPr>
        <w:t>I</w:t>
      </w:r>
      <w:r>
        <w:rPr>
          <w:iCs/>
          <w:color w:val="auto"/>
          <w:szCs w:val="21"/>
          <w:vertAlign w:val="subscript"/>
        </w:rPr>
        <w:t>L</w:t>
      </w:r>
      <w:r>
        <w:rPr>
          <w:color w:val="auto"/>
          <w:szCs w:val="21"/>
        </w:rPr>
        <w:t>分为1.0、0.75、0.25三档，分别相当于流塑、软塑、可塑、硬塑之间的界限值，按此三档提供</w:t>
      </w:r>
      <w:r>
        <w:rPr>
          <w:i/>
          <w:color w:val="auto"/>
          <w:szCs w:val="21"/>
        </w:rPr>
        <w:t>η</w:t>
      </w:r>
      <w:r>
        <w:rPr>
          <w:iCs/>
          <w:color w:val="auto"/>
          <w:szCs w:val="21"/>
          <w:vertAlign w:val="subscript"/>
        </w:rPr>
        <w:t>b</w:t>
      </w:r>
      <w:r>
        <w:rPr>
          <w:color w:val="auto"/>
          <w:szCs w:val="21"/>
        </w:rPr>
        <w:t>、</w:t>
      </w:r>
      <w:r>
        <w:rPr>
          <w:i/>
          <w:color w:val="auto"/>
          <w:szCs w:val="21"/>
        </w:rPr>
        <w:t>η</w:t>
      </w:r>
      <w:r>
        <w:rPr>
          <w:iCs/>
          <w:color w:val="auto"/>
          <w:szCs w:val="21"/>
          <w:vertAlign w:val="subscript"/>
        </w:rPr>
        <w:t>d</w:t>
      </w:r>
      <w:r>
        <w:rPr>
          <w:color w:val="auto"/>
          <w:szCs w:val="21"/>
        </w:rPr>
        <w:t>，</w:t>
      </w:r>
      <w:r>
        <w:rPr>
          <w:i/>
          <w:color w:val="auto"/>
          <w:szCs w:val="21"/>
        </w:rPr>
        <w:t xml:space="preserve"> I</w:t>
      </w:r>
      <w:r>
        <w:rPr>
          <w:iCs/>
          <w:color w:val="auto"/>
          <w:szCs w:val="21"/>
          <w:vertAlign w:val="subscript"/>
        </w:rPr>
        <w:t>L</w:t>
      </w:r>
      <w:r>
        <w:rPr>
          <w:color w:val="auto"/>
          <w:szCs w:val="21"/>
        </w:rPr>
        <w:t>=1.0时</w:t>
      </w:r>
      <w:r>
        <w:rPr>
          <w:i/>
          <w:color w:val="auto"/>
          <w:szCs w:val="21"/>
        </w:rPr>
        <w:t>η</w:t>
      </w:r>
      <w:r>
        <w:rPr>
          <w:iCs/>
          <w:color w:val="auto"/>
          <w:szCs w:val="21"/>
          <w:vertAlign w:val="subscript"/>
        </w:rPr>
        <w:t>b</w:t>
      </w:r>
      <w:r>
        <w:rPr>
          <w:color w:val="auto"/>
          <w:szCs w:val="21"/>
        </w:rPr>
        <w:t>=0、</w:t>
      </w:r>
      <w:r>
        <w:rPr>
          <w:i/>
          <w:color w:val="auto"/>
          <w:szCs w:val="21"/>
        </w:rPr>
        <w:t>η</w:t>
      </w:r>
      <w:r>
        <w:rPr>
          <w:iCs/>
          <w:color w:val="auto"/>
          <w:szCs w:val="21"/>
          <w:vertAlign w:val="subscript"/>
        </w:rPr>
        <w:t>d</w:t>
      </w:r>
      <w:r>
        <w:rPr>
          <w:color w:val="auto"/>
          <w:szCs w:val="21"/>
        </w:rPr>
        <w:t>=1.0，相当于</w:t>
      </w:r>
      <w:r>
        <w:rPr>
          <w:i/>
          <w:color w:val="auto"/>
          <w:szCs w:val="21"/>
        </w:rPr>
        <w:t>φ</w:t>
      </w:r>
      <w:r>
        <w:rPr>
          <w:color w:val="auto"/>
          <w:szCs w:val="21"/>
        </w:rPr>
        <w:t>=0；</w:t>
      </w:r>
      <w:r>
        <w:rPr>
          <w:i/>
          <w:color w:val="auto"/>
          <w:szCs w:val="21"/>
        </w:rPr>
        <w:t>I</w:t>
      </w:r>
      <w:r>
        <w:rPr>
          <w:iCs/>
          <w:color w:val="auto"/>
          <w:szCs w:val="21"/>
          <w:vertAlign w:val="subscript"/>
        </w:rPr>
        <w:t>L</w:t>
      </w:r>
      <w:r>
        <w:rPr>
          <w:color w:val="auto"/>
          <w:szCs w:val="21"/>
        </w:rPr>
        <w:t>=0.75时</w:t>
      </w:r>
      <w:r>
        <w:rPr>
          <w:i/>
          <w:color w:val="auto"/>
          <w:szCs w:val="21"/>
        </w:rPr>
        <w:t>η</w:t>
      </w:r>
      <w:r>
        <w:rPr>
          <w:iCs/>
          <w:color w:val="auto"/>
          <w:szCs w:val="21"/>
          <w:vertAlign w:val="subscript"/>
        </w:rPr>
        <w:t>b</w:t>
      </w:r>
      <w:r>
        <w:rPr>
          <w:color w:val="auto"/>
          <w:szCs w:val="21"/>
        </w:rPr>
        <w:t>=0.1、</w:t>
      </w:r>
      <w:r>
        <w:rPr>
          <w:i/>
          <w:color w:val="auto"/>
          <w:szCs w:val="21"/>
        </w:rPr>
        <w:t>η</w:t>
      </w:r>
      <w:r>
        <w:rPr>
          <w:iCs/>
          <w:color w:val="auto"/>
          <w:szCs w:val="21"/>
          <w:vertAlign w:val="subscript"/>
        </w:rPr>
        <w:t>d</w:t>
      </w:r>
      <w:r>
        <w:rPr>
          <w:color w:val="auto"/>
          <w:szCs w:val="21"/>
        </w:rPr>
        <w:t>=1.4，相当于</w:t>
      </w:r>
      <w:r>
        <w:rPr>
          <w:i/>
          <w:color w:val="auto"/>
          <w:szCs w:val="21"/>
        </w:rPr>
        <w:t>φ</w:t>
      </w:r>
      <w:r>
        <w:rPr>
          <w:color w:val="auto"/>
          <w:szCs w:val="21"/>
        </w:rPr>
        <w:t>=6°；</w:t>
      </w:r>
      <w:r>
        <w:rPr>
          <w:i/>
          <w:color w:val="auto"/>
          <w:szCs w:val="21"/>
        </w:rPr>
        <w:t>I</w:t>
      </w:r>
      <w:r>
        <w:rPr>
          <w:iCs/>
          <w:color w:val="auto"/>
          <w:szCs w:val="21"/>
          <w:vertAlign w:val="subscript"/>
        </w:rPr>
        <w:t>L</w:t>
      </w:r>
      <w:r>
        <w:rPr>
          <w:color w:val="auto"/>
          <w:szCs w:val="21"/>
        </w:rPr>
        <w:t>=0.25时</w:t>
      </w:r>
      <w:r>
        <w:rPr>
          <w:i/>
          <w:color w:val="auto"/>
          <w:szCs w:val="21"/>
        </w:rPr>
        <w:t>η</w:t>
      </w:r>
      <w:r>
        <w:rPr>
          <w:iCs/>
          <w:color w:val="auto"/>
          <w:szCs w:val="21"/>
          <w:vertAlign w:val="subscript"/>
        </w:rPr>
        <w:t>b</w:t>
      </w:r>
      <w:r>
        <w:rPr>
          <w:color w:val="auto"/>
          <w:szCs w:val="21"/>
        </w:rPr>
        <w:t>=0.3、</w:t>
      </w:r>
      <w:r>
        <w:rPr>
          <w:i/>
          <w:color w:val="auto"/>
          <w:szCs w:val="21"/>
        </w:rPr>
        <w:t>η</w:t>
      </w:r>
      <w:r>
        <w:rPr>
          <w:iCs/>
          <w:color w:val="auto"/>
          <w:szCs w:val="21"/>
          <w:vertAlign w:val="subscript"/>
        </w:rPr>
        <w:t>d</w:t>
      </w:r>
      <w:r>
        <w:rPr>
          <w:color w:val="auto"/>
          <w:szCs w:val="21"/>
        </w:rPr>
        <w:t>=1.8，相当于</w:t>
      </w:r>
      <w:r>
        <w:rPr>
          <w:i/>
          <w:color w:val="auto"/>
          <w:szCs w:val="21"/>
        </w:rPr>
        <w:t>φ</w:t>
      </w:r>
      <w:r>
        <w:rPr>
          <w:color w:val="auto"/>
          <w:szCs w:val="21"/>
        </w:rPr>
        <w:t>=10°～12°。当</w:t>
      </w:r>
      <w:r>
        <w:rPr>
          <w:i/>
          <w:color w:val="auto"/>
          <w:szCs w:val="21"/>
        </w:rPr>
        <w:t>I</w:t>
      </w:r>
      <w:r>
        <w:rPr>
          <w:iCs/>
          <w:color w:val="auto"/>
          <w:szCs w:val="21"/>
          <w:vertAlign w:val="subscript"/>
        </w:rPr>
        <w:t>L</w:t>
      </w:r>
      <w:r>
        <w:rPr>
          <w:color w:val="auto"/>
          <w:szCs w:val="21"/>
        </w:rPr>
        <w:t>界于0.25与1.0之间时可以内插。如</w:t>
      </w:r>
      <w:r>
        <w:rPr>
          <w:i/>
          <w:color w:val="auto"/>
          <w:szCs w:val="21"/>
        </w:rPr>
        <w:t>I</w:t>
      </w:r>
      <w:r>
        <w:rPr>
          <w:iCs/>
          <w:color w:val="auto"/>
          <w:szCs w:val="21"/>
          <w:vertAlign w:val="subscript"/>
        </w:rPr>
        <w:t>L</w:t>
      </w:r>
      <w:r>
        <w:rPr>
          <w:color w:val="auto"/>
          <w:szCs w:val="21"/>
        </w:rPr>
        <w:t>=0.85，内插</w:t>
      </w:r>
      <w:r>
        <w:rPr>
          <w:i/>
          <w:color w:val="auto"/>
          <w:szCs w:val="21"/>
        </w:rPr>
        <w:t>η</w:t>
      </w:r>
      <w:r>
        <w:rPr>
          <w:iCs/>
          <w:color w:val="auto"/>
          <w:szCs w:val="21"/>
          <w:vertAlign w:val="subscript"/>
        </w:rPr>
        <w:t>d</w:t>
      </w:r>
      <w:r>
        <w:rPr>
          <w:color w:val="auto"/>
          <w:szCs w:val="21"/>
        </w:rPr>
        <w:t>=1.32，但当</w:t>
      </w:r>
      <w:r>
        <w:rPr>
          <w:i/>
          <w:color w:val="auto"/>
          <w:szCs w:val="21"/>
        </w:rPr>
        <w:t>I</w:t>
      </w:r>
      <w:r>
        <w:rPr>
          <w:iCs/>
          <w:color w:val="auto"/>
          <w:szCs w:val="21"/>
          <w:vertAlign w:val="subscript"/>
        </w:rPr>
        <w:t>L</w:t>
      </w:r>
      <w:r>
        <w:rPr>
          <w:color w:val="auto"/>
          <w:szCs w:val="21"/>
        </w:rPr>
        <w:t>略小于0.85(例如0.845)时则远小于原来的1.6，偏于安全，且比较合理。</w:t>
      </w:r>
    </w:p>
    <w:p w14:paraId="5B803F95">
      <w:pPr>
        <w:adjustRightInd w:val="0"/>
        <w:snapToGrid w:val="0"/>
        <w:spacing w:line="340" w:lineRule="atLeast"/>
        <w:ind w:firstLine="420"/>
        <w:rPr>
          <w:color w:val="auto"/>
          <w:szCs w:val="21"/>
        </w:rPr>
      </w:pPr>
      <w:r>
        <w:rPr>
          <w:color w:val="auto"/>
          <w:szCs w:val="21"/>
        </w:rPr>
        <w:t>对于主裙楼一体的结构，主体结构的基础埋深可按国标GB50007的条文说明取值。地下室采用构造底板时，可将底板</w:t>
      </w:r>
      <w:r>
        <w:rPr>
          <w:rFonts w:hint="eastAsia"/>
          <w:color w:val="auto"/>
          <w:szCs w:val="21"/>
        </w:rPr>
        <w:t>允许抗力及建筑物自重中的小值折算成土层厚度进行修正</w:t>
      </w:r>
      <w:r>
        <w:rPr>
          <w:color w:val="auto"/>
          <w:szCs w:val="21"/>
        </w:rPr>
        <w:t>。</w:t>
      </w:r>
    </w:p>
    <w:p w14:paraId="1876EE65">
      <w:pPr>
        <w:adjustRightInd w:val="0"/>
        <w:snapToGrid w:val="0"/>
        <w:spacing w:line="340" w:lineRule="atLeast"/>
        <w:rPr>
          <w:color w:val="auto"/>
          <w:szCs w:val="21"/>
        </w:rPr>
      </w:pPr>
      <w:r>
        <w:rPr>
          <w:b/>
          <w:bCs/>
          <w:color w:val="auto"/>
          <w:szCs w:val="21"/>
        </w:rPr>
        <w:t>7.2.7</w:t>
      </w:r>
      <w:r>
        <w:rPr>
          <w:color w:val="auto"/>
          <w:szCs w:val="21"/>
        </w:rPr>
        <w:t xml:space="preserve">  本条关于软弱下卧层验算，仍采用国标GB50007的公式，但对应力扩散角的取值作了调整。本文件2003版扩散角主要是根据地区经验，结合TJ7-74规范的规定进行取值。与本文件2003版、TJ7-74规范相比，本文件</w:t>
      </w:r>
      <w:r>
        <w:rPr>
          <w:rFonts w:hint="eastAsia"/>
          <w:color w:val="auto"/>
          <w:szCs w:val="21"/>
        </w:rPr>
        <w:t>2</w:t>
      </w:r>
      <w:r>
        <w:rPr>
          <w:color w:val="auto"/>
          <w:szCs w:val="21"/>
        </w:rPr>
        <w:t>014版扩大了扩散角通过插值取值的范围，扩散角取值的突变情况有所好转，并对本文件2003版中b&gt;12m、z≥3m时扩散角均取22°（30°）进行了限制。</w:t>
      </w:r>
      <w:r>
        <w:rPr>
          <w:rFonts w:hint="eastAsia"/>
          <w:color w:val="auto"/>
          <w:szCs w:val="21"/>
        </w:rPr>
        <w:t>2</w:t>
      </w:r>
      <w:r>
        <w:rPr>
          <w:color w:val="auto"/>
          <w:szCs w:val="21"/>
        </w:rPr>
        <w:t>014版修编后，扩散角在基础宽度为12m左右处，应根据建筑物和地质情况由设计人员进行适当取值。为直观反映扩散角在上述不同情况下的取值方法，将本文件2003版、TJ7-74规范和本文件</w:t>
      </w:r>
      <w:r>
        <w:rPr>
          <w:rFonts w:hint="eastAsia"/>
          <w:color w:val="auto"/>
          <w:szCs w:val="21"/>
        </w:rPr>
        <w:t>2</w:t>
      </w:r>
      <w:r>
        <w:rPr>
          <w:color w:val="auto"/>
          <w:szCs w:val="21"/>
        </w:rPr>
        <w:t>014版的扩散角取值图示如下：</w:t>
      </w:r>
    </w:p>
    <w:p w14:paraId="1CA3C064">
      <w:pPr>
        <w:adjustRightInd w:val="0"/>
        <w:snapToGrid w:val="0"/>
        <w:spacing w:line="340" w:lineRule="atLeast"/>
        <w:rPr>
          <w:color w:val="auto"/>
        </w:rPr>
      </w:pPr>
      <w:r>
        <w:rPr>
          <w:color w:val="auto"/>
        </w:rPr>
        <w:drawing>
          <wp:inline distT="0" distB="0" distL="114300" distR="114300">
            <wp:extent cx="6172200" cy="1983740"/>
            <wp:effectExtent l="0" t="0" r="0" b="0"/>
            <wp:docPr id="133"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790"/>
                    <pic:cNvPicPr>
                      <a:picLocks noChangeAspect="1"/>
                    </pic:cNvPicPr>
                  </pic:nvPicPr>
                  <pic:blipFill>
                    <a:blip r:embed="rId1540"/>
                    <a:stretch>
                      <a:fillRect/>
                    </a:stretch>
                  </pic:blipFill>
                  <pic:spPr>
                    <a:xfrm>
                      <a:off x="0" y="0"/>
                      <a:ext cx="6172200" cy="1983740"/>
                    </a:xfrm>
                    <a:prstGeom prst="rect">
                      <a:avLst/>
                    </a:prstGeom>
                    <a:noFill/>
                    <a:ln>
                      <a:noFill/>
                    </a:ln>
                  </pic:spPr>
                </pic:pic>
              </a:graphicData>
            </a:graphic>
          </wp:inline>
        </w:drawing>
      </w:r>
    </w:p>
    <w:p w14:paraId="6AD5BC02">
      <w:pPr>
        <w:adjustRightInd w:val="0"/>
        <w:snapToGrid w:val="0"/>
        <w:spacing w:line="340" w:lineRule="atLeast"/>
        <w:jc w:val="center"/>
        <w:rPr>
          <w:color w:val="auto"/>
          <w:szCs w:val="21"/>
        </w:rPr>
      </w:pPr>
      <w:r>
        <w:rPr>
          <w:b/>
          <w:color w:val="auto"/>
          <w:sz w:val="18"/>
          <w:szCs w:val="18"/>
        </w:rPr>
        <w:t>图2  本文件2003版（DB42/242-2003）扩散角</w:t>
      </w:r>
      <w:r>
        <w:rPr>
          <w:b/>
          <w:i/>
          <w:color w:val="auto"/>
          <w:sz w:val="18"/>
          <w:szCs w:val="18"/>
        </w:rPr>
        <w:t>θ</w:t>
      </w:r>
      <w:r>
        <w:rPr>
          <w:b/>
          <w:color w:val="auto"/>
          <w:sz w:val="18"/>
          <w:szCs w:val="18"/>
        </w:rPr>
        <w:t>取值</w:t>
      </w:r>
    </w:p>
    <w:p w14:paraId="6E98463E">
      <w:pPr>
        <w:adjustRightInd w:val="0"/>
        <w:snapToGrid w:val="0"/>
        <w:spacing w:line="340" w:lineRule="atLeast"/>
        <w:jc w:val="center"/>
        <w:rPr>
          <w:color w:val="auto"/>
        </w:rPr>
      </w:pPr>
      <w:r>
        <w:rPr>
          <w:color w:val="auto"/>
        </w:rPr>
        <w:drawing>
          <wp:inline distT="0" distB="0" distL="114300" distR="114300">
            <wp:extent cx="6171565" cy="1979295"/>
            <wp:effectExtent l="0" t="0" r="0" b="0"/>
            <wp:docPr id="136" name="图片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791"/>
                    <pic:cNvPicPr>
                      <a:picLocks noChangeAspect="1"/>
                    </pic:cNvPicPr>
                  </pic:nvPicPr>
                  <pic:blipFill>
                    <a:blip r:embed="rId1541"/>
                    <a:stretch>
                      <a:fillRect/>
                    </a:stretch>
                  </pic:blipFill>
                  <pic:spPr>
                    <a:xfrm>
                      <a:off x="0" y="0"/>
                      <a:ext cx="6171565" cy="1979295"/>
                    </a:xfrm>
                    <a:prstGeom prst="rect">
                      <a:avLst/>
                    </a:prstGeom>
                    <a:noFill/>
                    <a:ln>
                      <a:noFill/>
                    </a:ln>
                  </pic:spPr>
                </pic:pic>
              </a:graphicData>
            </a:graphic>
          </wp:inline>
        </w:drawing>
      </w:r>
    </w:p>
    <w:p w14:paraId="69F7512C">
      <w:pPr>
        <w:adjustRightInd w:val="0"/>
        <w:snapToGrid w:val="0"/>
        <w:spacing w:line="340" w:lineRule="atLeast"/>
        <w:jc w:val="center"/>
        <w:rPr>
          <w:color w:val="auto"/>
        </w:rPr>
      </w:pPr>
      <w:r>
        <w:rPr>
          <w:b/>
          <w:color w:val="auto"/>
          <w:sz w:val="18"/>
          <w:szCs w:val="18"/>
        </w:rPr>
        <w:t>图3  TJ7-74规范扩散角</w:t>
      </w:r>
      <w:r>
        <w:rPr>
          <w:b/>
          <w:i/>
          <w:color w:val="auto"/>
          <w:sz w:val="18"/>
          <w:szCs w:val="18"/>
        </w:rPr>
        <w:t>θ</w:t>
      </w:r>
      <w:r>
        <w:rPr>
          <w:b/>
          <w:color w:val="auto"/>
          <w:sz w:val="18"/>
          <w:szCs w:val="18"/>
        </w:rPr>
        <w:t>取值</w:t>
      </w:r>
    </w:p>
    <w:p w14:paraId="058B1F90">
      <w:pPr>
        <w:adjustRightInd w:val="0"/>
        <w:snapToGrid w:val="0"/>
        <w:spacing w:line="340" w:lineRule="atLeast"/>
        <w:rPr>
          <w:color w:val="auto"/>
        </w:rPr>
      </w:pPr>
      <w:r>
        <w:rPr>
          <w:color w:val="auto"/>
        </w:rPr>
        <w:drawing>
          <wp:inline distT="0" distB="0" distL="114300" distR="114300">
            <wp:extent cx="6057265" cy="1840865"/>
            <wp:effectExtent l="0" t="0" r="0" b="0"/>
            <wp:docPr id="134" name="图片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792"/>
                    <pic:cNvPicPr>
                      <a:picLocks noChangeAspect="1"/>
                    </pic:cNvPicPr>
                  </pic:nvPicPr>
                  <pic:blipFill>
                    <a:blip r:embed="rId1542"/>
                    <a:stretch>
                      <a:fillRect/>
                    </a:stretch>
                  </pic:blipFill>
                  <pic:spPr>
                    <a:xfrm>
                      <a:off x="0" y="0"/>
                      <a:ext cx="6057265" cy="1840865"/>
                    </a:xfrm>
                    <a:prstGeom prst="rect">
                      <a:avLst/>
                    </a:prstGeom>
                    <a:noFill/>
                    <a:ln>
                      <a:noFill/>
                    </a:ln>
                  </pic:spPr>
                </pic:pic>
              </a:graphicData>
            </a:graphic>
          </wp:inline>
        </w:drawing>
      </w:r>
    </w:p>
    <w:p w14:paraId="4082EE49">
      <w:pPr>
        <w:adjustRightInd w:val="0"/>
        <w:snapToGrid w:val="0"/>
        <w:spacing w:line="340" w:lineRule="atLeast"/>
        <w:jc w:val="center"/>
        <w:rPr>
          <w:b/>
          <w:color w:val="auto"/>
          <w:sz w:val="18"/>
          <w:szCs w:val="18"/>
        </w:rPr>
      </w:pPr>
      <w:r>
        <w:rPr>
          <w:b/>
          <w:color w:val="auto"/>
          <w:sz w:val="18"/>
          <w:szCs w:val="18"/>
        </w:rPr>
        <w:t>图4  本文件</w:t>
      </w:r>
      <w:r>
        <w:rPr>
          <w:rFonts w:hint="eastAsia"/>
          <w:b/>
          <w:color w:val="auto"/>
          <w:sz w:val="18"/>
          <w:szCs w:val="18"/>
        </w:rPr>
        <w:t>2</w:t>
      </w:r>
      <w:r>
        <w:rPr>
          <w:b/>
          <w:color w:val="auto"/>
          <w:sz w:val="18"/>
          <w:szCs w:val="18"/>
        </w:rPr>
        <w:t>014版的扩散角</w:t>
      </w:r>
      <w:r>
        <w:rPr>
          <w:b/>
          <w:i/>
          <w:color w:val="auto"/>
          <w:sz w:val="18"/>
          <w:szCs w:val="18"/>
        </w:rPr>
        <w:t>θ</w:t>
      </w:r>
      <w:r>
        <w:rPr>
          <w:b/>
          <w:color w:val="auto"/>
          <w:sz w:val="18"/>
          <w:szCs w:val="18"/>
        </w:rPr>
        <w:t>取值</w:t>
      </w:r>
    </w:p>
    <w:p w14:paraId="628BDC34">
      <w:pPr>
        <w:adjustRightInd w:val="0"/>
        <w:snapToGrid w:val="0"/>
        <w:spacing w:line="340" w:lineRule="atLeast"/>
        <w:rPr>
          <w:color w:val="auto"/>
          <w:szCs w:val="21"/>
        </w:rPr>
      </w:pPr>
      <w:r>
        <w:rPr>
          <w:b/>
          <w:bCs/>
          <w:color w:val="auto"/>
          <w:szCs w:val="21"/>
        </w:rPr>
        <w:t>7.2.8</w:t>
      </w:r>
      <w:r>
        <w:rPr>
          <w:color w:val="auto"/>
          <w:szCs w:val="21"/>
        </w:rPr>
        <w:t xml:space="preserve">  </w:t>
      </w:r>
      <w:r>
        <w:rPr>
          <w:rFonts w:hint="eastAsia"/>
          <w:color w:val="auto"/>
          <w:szCs w:val="21"/>
        </w:rPr>
        <w:t>既有建筑物加层改造前，要求进行安全鉴定和抗震鉴定，为保证与抗震鉴定规范的一致性，</w:t>
      </w:r>
      <w:r>
        <w:rPr>
          <w:color w:val="auto"/>
          <w:szCs w:val="21"/>
        </w:rPr>
        <w:t>本条关于原有建筑物加层改造时地基承载力特征值的确定是参照</w:t>
      </w:r>
      <w:r>
        <w:rPr>
          <w:rFonts w:hint="eastAsia"/>
          <w:color w:val="auto"/>
          <w:szCs w:val="21"/>
        </w:rPr>
        <w:t>GB</w:t>
      </w:r>
      <w:r>
        <w:rPr>
          <w:rFonts w:hint="eastAsia"/>
          <w:color w:val="auto"/>
          <w:szCs w:val="21"/>
          <w:lang w:val="en-US" w:eastAsia="zh-CN"/>
        </w:rPr>
        <w:t xml:space="preserve"> </w:t>
      </w:r>
      <w:r>
        <w:rPr>
          <w:rFonts w:hint="eastAsia"/>
          <w:color w:val="auto"/>
          <w:szCs w:val="21"/>
        </w:rPr>
        <w:t>50023-2009第4.2.7条</w:t>
      </w:r>
      <w:r>
        <w:rPr>
          <w:color w:val="auto"/>
          <w:szCs w:val="21"/>
        </w:rPr>
        <w:t>制定的。</w:t>
      </w:r>
    </w:p>
    <w:p w14:paraId="631BE61A">
      <w:pPr>
        <w:pStyle w:val="77"/>
        <w:rPr>
          <w:color w:val="auto"/>
        </w:rPr>
      </w:pPr>
      <w:bookmarkStart w:id="161" w:name="_Toc182498978"/>
      <w:r>
        <w:rPr>
          <w:color w:val="auto"/>
        </w:rPr>
        <w:t>7.3  变形计算</w:t>
      </w:r>
      <w:bookmarkEnd w:id="161"/>
    </w:p>
    <w:p w14:paraId="096AB1C9">
      <w:pPr>
        <w:adjustRightInd w:val="0"/>
        <w:snapToGrid w:val="0"/>
        <w:spacing w:line="340" w:lineRule="atLeast"/>
        <w:rPr>
          <w:color w:val="auto"/>
          <w:szCs w:val="21"/>
        </w:rPr>
      </w:pPr>
      <w:r>
        <w:rPr>
          <w:b/>
          <w:bCs/>
          <w:color w:val="auto"/>
          <w:szCs w:val="21"/>
        </w:rPr>
        <w:t>7.3.2</w:t>
      </w:r>
      <w:r>
        <w:rPr>
          <w:color w:val="auto"/>
          <w:szCs w:val="21"/>
        </w:rPr>
        <w:t xml:space="preserve">  本文件除采用GB</w:t>
      </w:r>
      <w:r>
        <w:rPr>
          <w:rFonts w:hint="eastAsia"/>
          <w:color w:val="auto"/>
          <w:szCs w:val="21"/>
        </w:rPr>
        <w:t xml:space="preserve"> </w:t>
      </w:r>
      <w:r>
        <w:rPr>
          <w:color w:val="auto"/>
          <w:szCs w:val="21"/>
        </w:rPr>
        <w:t>50007的沉降计算方法以外，另补充考虑应力历史的沉降计算方法，即采用压缩指数的计算方法。此法是国际通用方法。其显著的优点是： 1、考虑应力历史，对初始压缩和回弹再压缩分别用不同的参数计算，更接近实际；2、考虑不同压力阶段压缩性指标的变化，无须人为选定不同压力段的压缩模量；3、避免采用变化幅度很大的修正系数，根据若干比较计算，现行方法需通过“经验”来调整的那一部分如果考虑应力历史，可以从理论角度来弥补；因此修正系数可为1.0。采用这种计算方法，要求勘察单位进行高压固结试验，且试验必须采用Ⅰ级原状土试样。由于土样扰动往往难以避免，试验结果可能离散或异常，因此对试验结果应加以鉴别。按应力历史计算地基沉降需要提供</w:t>
      </w:r>
      <w:r>
        <w:rPr>
          <w:i/>
          <w:color w:val="auto"/>
          <w:szCs w:val="21"/>
        </w:rPr>
        <w:t>p</w:t>
      </w:r>
      <w:r>
        <w:rPr>
          <w:iCs/>
          <w:color w:val="auto"/>
          <w:szCs w:val="21"/>
          <w:vertAlign w:val="subscript"/>
        </w:rPr>
        <w:t>c</w:t>
      </w:r>
      <w:r>
        <w:rPr>
          <w:color w:val="auto"/>
          <w:szCs w:val="21"/>
        </w:rPr>
        <w:t>、</w:t>
      </w:r>
      <w:r>
        <w:rPr>
          <w:i/>
          <w:color w:val="auto"/>
          <w:szCs w:val="21"/>
        </w:rPr>
        <w:t>c</w:t>
      </w:r>
      <w:r>
        <w:rPr>
          <w:iCs/>
          <w:color w:val="auto"/>
          <w:szCs w:val="21"/>
          <w:vertAlign w:val="subscript"/>
        </w:rPr>
        <w:t>c</w:t>
      </w:r>
      <w:r>
        <w:rPr>
          <w:color w:val="auto"/>
          <w:szCs w:val="21"/>
        </w:rPr>
        <w:t>、</w:t>
      </w:r>
      <w:r>
        <w:rPr>
          <w:i/>
          <w:color w:val="auto"/>
          <w:szCs w:val="21"/>
        </w:rPr>
        <w:t>c</w:t>
      </w:r>
      <w:r>
        <w:rPr>
          <w:iCs/>
          <w:color w:val="auto"/>
          <w:szCs w:val="21"/>
          <w:vertAlign w:val="subscript"/>
        </w:rPr>
        <w:t>s</w:t>
      </w:r>
      <w:r>
        <w:rPr>
          <w:color w:val="auto"/>
          <w:szCs w:val="21"/>
        </w:rPr>
        <w:t>三个主要参数。在试验资料不够完整可靠的情况下，建议参考以下经验关系。这些关系是国内外长期实践统计的结果，经与武汉地区现有资料比较，认为比较合适。</w:t>
      </w:r>
    </w:p>
    <w:p w14:paraId="0F81BDA4">
      <w:pPr>
        <w:adjustRightInd w:val="0"/>
        <w:snapToGrid w:val="0"/>
        <w:spacing w:line="340" w:lineRule="atLeast"/>
        <w:ind w:firstLine="413" w:firstLineChars="196"/>
        <w:rPr>
          <w:color w:val="auto"/>
          <w:szCs w:val="21"/>
        </w:rPr>
      </w:pPr>
      <w:r>
        <w:rPr>
          <w:rFonts w:hint="eastAsia"/>
          <w:b/>
          <w:bCs/>
          <w:color w:val="auto"/>
          <w:szCs w:val="21"/>
        </w:rPr>
        <w:t>a</w:t>
      </w:r>
      <w:r>
        <w:rPr>
          <w:b/>
          <w:bCs/>
          <w:color w:val="auto"/>
          <w:szCs w:val="21"/>
        </w:rPr>
        <w:t>)</w:t>
      </w:r>
      <w:r>
        <w:rPr>
          <w:color w:val="auto"/>
          <w:szCs w:val="21"/>
        </w:rPr>
        <w:t xml:space="preserve">  对黏性土</w:t>
      </w:r>
    </w:p>
    <w:p w14:paraId="64D478EC">
      <w:pPr>
        <w:tabs>
          <w:tab w:val="left" w:pos="1260"/>
        </w:tabs>
        <w:adjustRightInd w:val="0"/>
        <w:snapToGrid w:val="0"/>
        <w:spacing w:line="340" w:lineRule="atLeast"/>
        <w:ind w:left="1404" w:hanging="504"/>
        <w:rPr>
          <w:color w:val="auto"/>
          <w:szCs w:val="21"/>
        </w:rPr>
      </w:pPr>
      <w:r>
        <w:rPr>
          <w:i/>
          <w:color w:val="auto"/>
          <w:szCs w:val="21"/>
        </w:rPr>
        <w:t>p</w:t>
      </w:r>
      <w:r>
        <w:rPr>
          <w:iCs/>
          <w:color w:val="auto"/>
          <w:szCs w:val="21"/>
          <w:vertAlign w:val="subscript"/>
        </w:rPr>
        <w:t>c</w:t>
      </w:r>
      <w:r>
        <w:rPr>
          <w:color w:val="auto"/>
          <w:szCs w:val="21"/>
        </w:rPr>
        <w:t>=48</w:t>
      </w:r>
      <w:r>
        <w:rPr>
          <w:i/>
          <w:color w:val="auto"/>
          <w:szCs w:val="21"/>
        </w:rPr>
        <w:t>N</w:t>
      </w:r>
      <w:r>
        <w:rPr>
          <w:color w:val="auto"/>
          <w:szCs w:val="21"/>
        </w:rPr>
        <w:t xml:space="preserve">  (kPa)  (</w:t>
      </w:r>
      <w:r>
        <w:rPr>
          <w:i/>
          <w:color w:val="auto"/>
          <w:szCs w:val="21"/>
        </w:rPr>
        <w:t>N</w:t>
      </w:r>
      <w:r>
        <w:rPr>
          <w:color w:val="auto"/>
          <w:szCs w:val="21"/>
        </w:rPr>
        <w:t>为标贯击数)</w:t>
      </w:r>
    </w:p>
    <w:p w14:paraId="0C583F80">
      <w:pPr>
        <w:tabs>
          <w:tab w:val="left" w:pos="1260"/>
        </w:tabs>
        <w:adjustRightInd w:val="0"/>
        <w:snapToGrid w:val="0"/>
        <w:spacing w:line="340" w:lineRule="atLeast"/>
        <w:ind w:left="851" w:firstLine="49"/>
        <w:rPr>
          <w:color w:val="auto"/>
          <w:szCs w:val="21"/>
        </w:rPr>
      </w:pPr>
      <w:r>
        <w:rPr>
          <w:i/>
          <w:color w:val="auto"/>
          <w:szCs w:val="21"/>
        </w:rPr>
        <w:t>p</w:t>
      </w:r>
      <w:r>
        <w:rPr>
          <w:iCs/>
          <w:color w:val="auto"/>
          <w:szCs w:val="21"/>
          <w:vertAlign w:val="subscript"/>
        </w:rPr>
        <w:t>c</w:t>
      </w:r>
      <w:r>
        <w:rPr>
          <w:color w:val="auto"/>
          <w:szCs w:val="21"/>
        </w:rPr>
        <w:t>=0.25</w:t>
      </w:r>
      <w:r>
        <w:rPr>
          <w:i/>
          <w:color w:val="auto"/>
          <w:szCs w:val="21"/>
        </w:rPr>
        <w:t>q</w:t>
      </w:r>
      <w:r>
        <w:rPr>
          <w:iCs/>
          <w:color w:val="auto"/>
          <w:szCs w:val="21"/>
          <w:vertAlign w:val="subscript"/>
        </w:rPr>
        <w:t>c</w:t>
      </w:r>
      <w:r>
        <w:rPr>
          <w:color w:val="auto"/>
          <w:szCs w:val="21"/>
        </w:rPr>
        <w:t>或</w:t>
      </w:r>
      <w:r>
        <w:rPr>
          <w:i/>
          <w:color w:val="auto"/>
          <w:szCs w:val="21"/>
        </w:rPr>
        <w:t>p</w:t>
      </w:r>
      <w:r>
        <w:rPr>
          <w:iCs/>
          <w:color w:val="auto"/>
          <w:szCs w:val="21"/>
          <w:vertAlign w:val="subscript"/>
        </w:rPr>
        <w:t>c</w:t>
      </w:r>
      <w:r>
        <w:rPr>
          <w:color w:val="auto"/>
          <w:szCs w:val="21"/>
        </w:rPr>
        <w:t>=0.23</w:t>
      </w:r>
      <w:r>
        <w:rPr>
          <w:i/>
          <w:color w:val="auto"/>
          <w:szCs w:val="21"/>
        </w:rPr>
        <w:t>p</w:t>
      </w:r>
      <w:r>
        <w:rPr>
          <w:iCs/>
          <w:color w:val="auto"/>
          <w:szCs w:val="21"/>
          <w:vertAlign w:val="subscript"/>
        </w:rPr>
        <w:t>s</w:t>
      </w:r>
      <w:r>
        <w:rPr>
          <w:color w:val="auto"/>
          <w:szCs w:val="21"/>
        </w:rPr>
        <w:t>(</w:t>
      </w:r>
      <w:r>
        <w:rPr>
          <w:i/>
          <w:color w:val="auto"/>
          <w:szCs w:val="21"/>
        </w:rPr>
        <w:t>q</w:t>
      </w:r>
      <w:r>
        <w:rPr>
          <w:iCs/>
          <w:color w:val="auto"/>
          <w:szCs w:val="21"/>
          <w:vertAlign w:val="subscript"/>
        </w:rPr>
        <w:t>c</w:t>
      </w:r>
      <w:r>
        <w:rPr>
          <w:color w:val="auto"/>
          <w:szCs w:val="21"/>
        </w:rPr>
        <w:t>为静力触探锥尖阻力，</w:t>
      </w:r>
      <w:r>
        <w:rPr>
          <w:i/>
          <w:color w:val="auto"/>
          <w:szCs w:val="21"/>
        </w:rPr>
        <w:t>p</w:t>
      </w:r>
      <w:r>
        <w:rPr>
          <w:iCs/>
          <w:color w:val="auto"/>
          <w:szCs w:val="21"/>
          <w:vertAlign w:val="subscript"/>
        </w:rPr>
        <w:t>s</w:t>
      </w:r>
      <w:r>
        <w:rPr>
          <w:color w:val="auto"/>
          <w:szCs w:val="21"/>
        </w:rPr>
        <w:t>为静力触探比贯入阻力)</w:t>
      </w:r>
    </w:p>
    <w:p w14:paraId="5FADF14B">
      <w:pPr>
        <w:adjustRightInd w:val="0"/>
        <w:snapToGrid w:val="0"/>
        <w:spacing w:line="340" w:lineRule="atLeast"/>
        <w:ind w:firstLine="413" w:firstLineChars="196"/>
        <w:rPr>
          <w:color w:val="auto"/>
          <w:szCs w:val="21"/>
        </w:rPr>
      </w:pPr>
      <w:r>
        <w:rPr>
          <w:b/>
          <w:bCs/>
          <w:color w:val="auto"/>
          <w:szCs w:val="21"/>
        </w:rPr>
        <w:t>b)</w:t>
      </w:r>
      <w:r>
        <w:rPr>
          <w:color w:val="auto"/>
          <w:szCs w:val="21"/>
        </w:rPr>
        <w:t xml:space="preserve">  对淤泥、淤泥质土、软黏性土</w:t>
      </w:r>
    </w:p>
    <w:p w14:paraId="64FF2741">
      <w:pPr>
        <w:tabs>
          <w:tab w:val="left" w:pos="1260"/>
        </w:tabs>
        <w:adjustRightInd w:val="0"/>
        <w:snapToGrid w:val="0"/>
        <w:spacing w:line="340" w:lineRule="atLeast"/>
        <w:ind w:left="1404" w:hanging="504"/>
        <w:rPr>
          <w:color w:val="auto"/>
          <w:szCs w:val="21"/>
        </w:rPr>
      </w:pPr>
      <w:r>
        <w:rPr>
          <w:i/>
          <w:color w:val="auto"/>
          <w:szCs w:val="21"/>
        </w:rPr>
        <w:t>c</w:t>
      </w:r>
      <w:r>
        <w:rPr>
          <w:iCs/>
          <w:color w:val="auto"/>
          <w:szCs w:val="21"/>
          <w:vertAlign w:val="subscript"/>
        </w:rPr>
        <w:t>c</w:t>
      </w:r>
      <w:r>
        <w:rPr>
          <w:color w:val="auto"/>
          <w:szCs w:val="21"/>
        </w:rPr>
        <w:t>=0.6(</w:t>
      </w:r>
      <w:r>
        <w:rPr>
          <w:i/>
          <w:color w:val="auto"/>
          <w:szCs w:val="21"/>
        </w:rPr>
        <w:t>e</w:t>
      </w:r>
      <w:r>
        <w:rPr>
          <w:color w:val="auto"/>
          <w:szCs w:val="21"/>
          <w:vertAlign w:val="subscript"/>
        </w:rPr>
        <w:t>0</w:t>
      </w:r>
      <w:r>
        <w:rPr>
          <w:color w:val="auto"/>
          <w:szCs w:val="21"/>
        </w:rPr>
        <w:t>-0.5) (</w:t>
      </w:r>
      <w:r>
        <w:rPr>
          <w:i/>
          <w:color w:val="auto"/>
          <w:szCs w:val="21"/>
        </w:rPr>
        <w:t>e</w:t>
      </w:r>
      <w:r>
        <w:rPr>
          <w:color w:val="auto"/>
          <w:szCs w:val="21"/>
          <w:vertAlign w:val="subscript"/>
        </w:rPr>
        <w:t>0</w:t>
      </w:r>
      <w:r>
        <w:rPr>
          <w:color w:val="auto"/>
          <w:szCs w:val="21"/>
        </w:rPr>
        <w:t>为孔隙比)</w:t>
      </w:r>
    </w:p>
    <w:p w14:paraId="537A3E76">
      <w:pPr>
        <w:tabs>
          <w:tab w:val="left" w:pos="1260"/>
        </w:tabs>
        <w:adjustRightInd w:val="0"/>
        <w:snapToGrid w:val="0"/>
        <w:spacing w:line="340" w:lineRule="atLeast"/>
        <w:ind w:left="1404" w:hanging="504"/>
        <w:rPr>
          <w:color w:val="auto"/>
          <w:szCs w:val="21"/>
        </w:rPr>
      </w:pPr>
      <w:r>
        <w:rPr>
          <w:i/>
          <w:color w:val="auto"/>
          <w:szCs w:val="21"/>
        </w:rPr>
        <w:t>c</w:t>
      </w:r>
      <w:r>
        <w:rPr>
          <w:iCs/>
          <w:color w:val="auto"/>
          <w:szCs w:val="21"/>
          <w:vertAlign w:val="subscript"/>
        </w:rPr>
        <w:t>c</w:t>
      </w:r>
      <w:r>
        <w:rPr>
          <w:color w:val="auto"/>
          <w:szCs w:val="21"/>
        </w:rPr>
        <w:t>=0.54(2.</w:t>
      </w:r>
      <w:r>
        <w:rPr>
          <w:i/>
          <w:color w:val="auto"/>
          <w:szCs w:val="21"/>
        </w:rPr>
        <w:t>6w</w:t>
      </w:r>
      <w:r>
        <w:rPr>
          <w:color w:val="auto"/>
          <w:szCs w:val="21"/>
        </w:rPr>
        <w:t>-0.35) (</w:t>
      </w:r>
      <w:r>
        <w:rPr>
          <w:i/>
          <w:color w:val="auto"/>
          <w:szCs w:val="21"/>
        </w:rPr>
        <w:t>w</w:t>
      </w:r>
      <w:r>
        <w:rPr>
          <w:color w:val="auto"/>
          <w:szCs w:val="21"/>
        </w:rPr>
        <w:t>为含水量，以小数计)</w:t>
      </w:r>
    </w:p>
    <w:p w14:paraId="20F195E8">
      <w:pPr>
        <w:adjustRightInd w:val="0"/>
        <w:snapToGrid w:val="0"/>
        <w:spacing w:line="340" w:lineRule="atLeast"/>
        <w:ind w:firstLine="413" w:firstLineChars="196"/>
        <w:rPr>
          <w:color w:val="auto"/>
          <w:szCs w:val="21"/>
        </w:rPr>
      </w:pPr>
      <w:r>
        <w:rPr>
          <w:b/>
          <w:bCs/>
          <w:color w:val="auto"/>
          <w:szCs w:val="21"/>
        </w:rPr>
        <w:t>c)</w:t>
      </w:r>
      <w:r>
        <w:rPr>
          <w:color w:val="auto"/>
          <w:szCs w:val="21"/>
        </w:rPr>
        <w:t xml:space="preserve">  对一般黏性土和老黏性土</w:t>
      </w:r>
    </w:p>
    <w:p w14:paraId="30775BD1">
      <w:pPr>
        <w:tabs>
          <w:tab w:val="left" w:pos="1260"/>
        </w:tabs>
        <w:adjustRightInd w:val="0"/>
        <w:snapToGrid w:val="0"/>
        <w:spacing w:line="340" w:lineRule="atLeast"/>
        <w:ind w:left="1404" w:hanging="504"/>
        <w:rPr>
          <w:color w:val="auto"/>
          <w:szCs w:val="21"/>
        </w:rPr>
      </w:pPr>
      <w:r>
        <w:rPr>
          <w:i/>
          <w:color w:val="auto"/>
          <w:szCs w:val="21"/>
        </w:rPr>
        <w:t>c</w:t>
      </w:r>
      <w:r>
        <w:rPr>
          <w:color w:val="auto"/>
          <w:szCs w:val="21"/>
          <w:vertAlign w:val="subscript"/>
        </w:rPr>
        <w:t>c</w:t>
      </w:r>
      <w:r>
        <w:rPr>
          <w:color w:val="auto"/>
          <w:szCs w:val="21"/>
        </w:rPr>
        <w:t>=0.3(</w:t>
      </w:r>
      <w:r>
        <w:rPr>
          <w:i/>
          <w:color w:val="auto"/>
          <w:szCs w:val="21"/>
        </w:rPr>
        <w:t>e</w:t>
      </w:r>
      <w:r>
        <w:rPr>
          <w:color w:val="auto"/>
          <w:szCs w:val="21"/>
          <w:vertAlign w:val="subscript"/>
        </w:rPr>
        <w:t>0</w:t>
      </w:r>
      <w:r>
        <w:rPr>
          <w:color w:val="auto"/>
          <w:szCs w:val="21"/>
        </w:rPr>
        <w:t>-0.27) (</w:t>
      </w:r>
      <w:r>
        <w:rPr>
          <w:i/>
          <w:color w:val="auto"/>
          <w:szCs w:val="21"/>
        </w:rPr>
        <w:t>e</w:t>
      </w:r>
      <w:r>
        <w:rPr>
          <w:color w:val="auto"/>
          <w:szCs w:val="21"/>
          <w:vertAlign w:val="subscript"/>
        </w:rPr>
        <w:t>0</w:t>
      </w:r>
      <w:r>
        <w:rPr>
          <w:color w:val="auto"/>
          <w:szCs w:val="21"/>
        </w:rPr>
        <w:t>为孔隙比)</w:t>
      </w:r>
    </w:p>
    <w:p w14:paraId="0148B4D8">
      <w:pPr>
        <w:adjustRightInd w:val="0"/>
        <w:snapToGrid w:val="0"/>
        <w:spacing w:line="340" w:lineRule="atLeast"/>
        <w:ind w:firstLine="413" w:firstLineChars="196"/>
        <w:rPr>
          <w:color w:val="auto"/>
          <w:szCs w:val="21"/>
        </w:rPr>
      </w:pPr>
      <w:r>
        <w:rPr>
          <w:b/>
          <w:bCs/>
          <w:color w:val="auto"/>
          <w:szCs w:val="21"/>
        </w:rPr>
        <w:t>d)</w:t>
      </w:r>
      <w:r>
        <w:rPr>
          <w:color w:val="auto"/>
          <w:szCs w:val="21"/>
        </w:rPr>
        <w:t xml:space="preserve">  对砂类土</w:t>
      </w:r>
    </w:p>
    <w:p w14:paraId="238CD3BC">
      <w:pPr>
        <w:tabs>
          <w:tab w:val="left" w:pos="1260"/>
        </w:tabs>
        <w:adjustRightInd w:val="0"/>
        <w:snapToGrid w:val="0"/>
        <w:spacing w:line="340" w:lineRule="atLeast"/>
        <w:ind w:left="1404" w:hanging="504"/>
        <w:rPr>
          <w:color w:val="auto"/>
          <w:szCs w:val="21"/>
        </w:rPr>
      </w:pPr>
      <w:r>
        <w:rPr>
          <w:color w:val="auto"/>
          <w:szCs w:val="21"/>
        </w:rPr>
        <w:t>松砂：</w:t>
      </w:r>
      <w:r>
        <w:rPr>
          <w:i/>
          <w:color w:val="auto"/>
          <w:szCs w:val="21"/>
        </w:rPr>
        <w:t>c</w:t>
      </w:r>
      <w:r>
        <w:rPr>
          <w:color w:val="auto"/>
          <w:szCs w:val="21"/>
          <w:vertAlign w:val="subscript"/>
        </w:rPr>
        <w:t>c</w:t>
      </w:r>
      <w:r>
        <w:rPr>
          <w:color w:val="auto"/>
          <w:szCs w:val="21"/>
        </w:rPr>
        <w:t>=0.05～0.06</w:t>
      </w:r>
    </w:p>
    <w:p w14:paraId="79FFA56F">
      <w:pPr>
        <w:tabs>
          <w:tab w:val="left" w:pos="1260"/>
        </w:tabs>
        <w:adjustRightInd w:val="0"/>
        <w:snapToGrid w:val="0"/>
        <w:spacing w:line="340" w:lineRule="atLeast"/>
        <w:ind w:left="1404" w:hanging="504"/>
        <w:rPr>
          <w:color w:val="auto"/>
          <w:szCs w:val="21"/>
        </w:rPr>
      </w:pPr>
      <w:r>
        <w:rPr>
          <w:color w:val="auto"/>
          <w:szCs w:val="21"/>
        </w:rPr>
        <w:t>密砂：</w:t>
      </w:r>
      <w:r>
        <w:rPr>
          <w:i/>
          <w:color w:val="auto"/>
          <w:szCs w:val="21"/>
        </w:rPr>
        <w:t>c</w:t>
      </w:r>
      <w:r>
        <w:rPr>
          <w:color w:val="auto"/>
          <w:szCs w:val="21"/>
          <w:vertAlign w:val="subscript"/>
        </w:rPr>
        <w:t>c</w:t>
      </w:r>
      <w:r>
        <w:rPr>
          <w:color w:val="auto"/>
          <w:szCs w:val="21"/>
        </w:rPr>
        <w:t>=0.02～0.03</w:t>
      </w:r>
    </w:p>
    <w:p w14:paraId="7A307A29">
      <w:pPr>
        <w:adjustRightInd w:val="0"/>
        <w:snapToGrid w:val="0"/>
        <w:spacing w:line="340" w:lineRule="atLeast"/>
        <w:ind w:firstLine="413" w:firstLineChars="196"/>
        <w:rPr>
          <w:color w:val="auto"/>
          <w:szCs w:val="21"/>
        </w:rPr>
      </w:pPr>
      <w:r>
        <w:rPr>
          <w:b/>
          <w:bCs/>
          <w:color w:val="auto"/>
          <w:szCs w:val="21"/>
        </w:rPr>
        <w:t>e)</w:t>
      </w:r>
      <w:r>
        <w:rPr>
          <w:color w:val="auto"/>
          <w:szCs w:val="21"/>
        </w:rPr>
        <w:t xml:space="preserve">  对各类土</w:t>
      </w:r>
    </w:p>
    <w:p w14:paraId="6CDA9110">
      <w:pPr>
        <w:tabs>
          <w:tab w:val="left" w:pos="1260"/>
        </w:tabs>
        <w:adjustRightInd w:val="0"/>
        <w:snapToGrid w:val="0"/>
        <w:spacing w:line="340" w:lineRule="atLeast"/>
        <w:ind w:left="1404" w:hanging="504"/>
        <w:rPr>
          <w:color w:val="auto"/>
          <w:szCs w:val="21"/>
        </w:rPr>
      </w:pPr>
      <w:r>
        <w:rPr>
          <w:i/>
          <w:color w:val="auto"/>
          <w:szCs w:val="21"/>
        </w:rPr>
        <w:t>c</w:t>
      </w:r>
      <w:r>
        <w:rPr>
          <w:iCs/>
          <w:color w:val="auto"/>
          <w:szCs w:val="21"/>
          <w:vertAlign w:val="subscript"/>
        </w:rPr>
        <w:t>s</w:t>
      </w:r>
      <w:r>
        <w:rPr>
          <w:color w:val="auto"/>
          <w:szCs w:val="21"/>
          <w:vertAlign w:val="subscript"/>
        </w:rPr>
        <w:t xml:space="preserve"> </w:t>
      </w:r>
      <w:r>
        <w:rPr>
          <w:color w:val="auto"/>
          <w:szCs w:val="21"/>
        </w:rPr>
        <w:t>=(1/5～1/15)</w:t>
      </w:r>
      <w:r>
        <w:rPr>
          <w:i/>
          <w:color w:val="auto"/>
          <w:szCs w:val="21"/>
        </w:rPr>
        <w:t>c</w:t>
      </w:r>
      <w:r>
        <w:rPr>
          <w:iCs/>
          <w:color w:val="auto"/>
          <w:szCs w:val="21"/>
          <w:vertAlign w:val="subscript"/>
        </w:rPr>
        <w:t>c</w:t>
      </w:r>
      <w:r>
        <w:rPr>
          <w:color w:val="auto"/>
          <w:szCs w:val="21"/>
        </w:rPr>
        <w:t xml:space="preserve"> </w:t>
      </w:r>
    </w:p>
    <w:p w14:paraId="1504ADB9">
      <w:pPr>
        <w:pStyle w:val="15"/>
        <w:snapToGrid w:val="0"/>
        <w:spacing w:after="0" w:line="340" w:lineRule="atLeast"/>
        <w:rPr>
          <w:color w:val="auto"/>
          <w:szCs w:val="21"/>
        </w:rPr>
      </w:pPr>
      <w:r>
        <w:rPr>
          <w:color w:val="auto"/>
          <w:szCs w:val="21"/>
        </w:rPr>
        <w:t>关于土的应力历史应根据其地质成因年代结合试验结果综合判定。对于武汉地区可按以下原则处理。</w:t>
      </w:r>
    </w:p>
    <w:p w14:paraId="70D5DD69">
      <w:pPr>
        <w:adjustRightInd w:val="0"/>
        <w:snapToGrid w:val="0"/>
        <w:spacing w:line="340" w:lineRule="atLeast"/>
        <w:rPr>
          <w:color w:val="auto"/>
          <w:szCs w:val="21"/>
        </w:rPr>
      </w:pPr>
      <w:r>
        <w:rPr>
          <w:color w:val="auto"/>
          <w:szCs w:val="21"/>
        </w:rPr>
        <w:t xml:space="preserve"> </w:t>
      </w:r>
      <w:r>
        <w:rPr>
          <w:b/>
          <w:bCs/>
          <w:color w:val="auto"/>
          <w:szCs w:val="21"/>
        </w:rPr>
        <w:t xml:space="preserve">   a)</w:t>
      </w:r>
      <w:r>
        <w:rPr>
          <w:color w:val="auto"/>
          <w:szCs w:val="21"/>
        </w:rPr>
        <w:t xml:space="preserve">  沿江一级阶地的一般黏性土、砂卵石层均按正常固结土计算，但对浅部可塑以上的黏性土硬壳层可考虑其准前期固结压力，对小于</w:t>
      </w:r>
      <w:r>
        <w:rPr>
          <w:i/>
          <w:color w:val="auto"/>
          <w:szCs w:val="21"/>
        </w:rPr>
        <w:t>p</w:t>
      </w:r>
      <w:r>
        <w:rPr>
          <w:i/>
          <w:color w:val="auto"/>
          <w:szCs w:val="21"/>
          <w:vertAlign w:val="subscript"/>
        </w:rPr>
        <w:t>c</w:t>
      </w:r>
      <w:r>
        <w:rPr>
          <w:color w:val="auto"/>
          <w:szCs w:val="21"/>
        </w:rPr>
        <w:t>的压力段按回弹再压缩指数进行计算。</w:t>
      </w:r>
    </w:p>
    <w:p w14:paraId="78BEC666">
      <w:pPr>
        <w:adjustRightInd w:val="0"/>
        <w:snapToGrid w:val="0"/>
        <w:spacing w:line="340" w:lineRule="atLeast"/>
        <w:ind w:firstLine="415" w:firstLineChars="197"/>
        <w:rPr>
          <w:color w:val="auto"/>
          <w:szCs w:val="21"/>
        </w:rPr>
      </w:pPr>
      <w:r>
        <w:rPr>
          <w:b/>
          <w:bCs/>
          <w:color w:val="auto"/>
          <w:szCs w:val="21"/>
        </w:rPr>
        <w:t>b)</w:t>
      </w:r>
      <w:r>
        <w:rPr>
          <w:color w:val="auto"/>
          <w:szCs w:val="21"/>
        </w:rPr>
        <w:t xml:space="preserve">  对三级阶地的老黏性土(</w:t>
      </w:r>
      <w:r>
        <w:rPr>
          <w:i/>
          <w:color w:val="auto"/>
          <w:szCs w:val="21"/>
        </w:rPr>
        <w:t>Q</w:t>
      </w:r>
      <w:r>
        <w:rPr>
          <w:color w:val="auto"/>
          <w:szCs w:val="21"/>
          <w:vertAlign w:val="subscript"/>
        </w:rPr>
        <w:t>3</w:t>
      </w:r>
      <w:r>
        <w:rPr>
          <w:color w:val="auto"/>
          <w:szCs w:val="21"/>
        </w:rPr>
        <w:t>、</w:t>
      </w:r>
      <w:r>
        <w:rPr>
          <w:i/>
          <w:color w:val="auto"/>
          <w:szCs w:val="21"/>
        </w:rPr>
        <w:t>Q</w:t>
      </w:r>
      <w:r>
        <w:rPr>
          <w:color w:val="auto"/>
          <w:szCs w:val="21"/>
          <w:vertAlign w:val="subscript"/>
        </w:rPr>
        <w:t>2</w:t>
      </w:r>
      <w:r>
        <w:rPr>
          <w:color w:val="auto"/>
          <w:szCs w:val="21"/>
        </w:rPr>
        <w:t>)及其下部的粉土、砂卵石层均按超固结土进行计算。</w:t>
      </w:r>
    </w:p>
    <w:p w14:paraId="1E6DD973">
      <w:pPr>
        <w:adjustRightInd w:val="0"/>
        <w:snapToGrid w:val="0"/>
        <w:spacing w:line="340" w:lineRule="atLeast"/>
        <w:ind w:firstLine="420"/>
        <w:rPr>
          <w:color w:val="auto"/>
          <w:szCs w:val="21"/>
        </w:rPr>
      </w:pPr>
      <w:r>
        <w:rPr>
          <w:b/>
          <w:bCs/>
          <w:color w:val="auto"/>
          <w:szCs w:val="21"/>
        </w:rPr>
        <w:t>c)</w:t>
      </w:r>
      <w:r>
        <w:rPr>
          <w:color w:val="auto"/>
          <w:szCs w:val="21"/>
        </w:rPr>
        <w:t xml:space="preserve">  湖塘底的新近沉积土、吹填土、新近人工填土应属欠固结土。这类土目前试验资料很少，一般不能作为天然地基，故本文件未列入欠固结土的沉降计算公式。</w:t>
      </w:r>
    </w:p>
    <w:p w14:paraId="169F1558">
      <w:pPr>
        <w:adjustRightInd w:val="0"/>
        <w:snapToGrid w:val="0"/>
        <w:spacing w:line="340" w:lineRule="atLeast"/>
        <w:ind w:firstLine="420"/>
        <w:rPr>
          <w:color w:val="auto"/>
          <w:szCs w:val="21"/>
        </w:rPr>
      </w:pPr>
      <w:r>
        <w:rPr>
          <w:color w:val="auto"/>
          <w:szCs w:val="21"/>
        </w:rPr>
        <w:t>考虑应力历史的沉降计算和回弹再压缩计算可参照下例进行。</w:t>
      </w:r>
    </w:p>
    <w:p w14:paraId="07305A43">
      <w:pPr>
        <w:adjustRightInd w:val="0"/>
        <w:snapToGrid w:val="0"/>
        <w:spacing w:line="340" w:lineRule="atLeast"/>
        <w:ind w:firstLine="420"/>
        <w:rPr>
          <w:color w:val="auto"/>
          <w:szCs w:val="21"/>
        </w:rPr>
      </w:pPr>
      <w:r>
        <w:rPr>
          <w:color w:val="auto"/>
          <w:szCs w:val="21"/>
        </w:rPr>
        <w:t>某高层建筑筏板基础底面尺寸为30m×48m，埋置深度为6m，基础底面以上土层的平均重度为18.5kN/m</w:t>
      </w:r>
      <w:r>
        <w:rPr>
          <w:color w:val="auto"/>
          <w:szCs w:val="21"/>
          <w:vertAlign w:val="superscript"/>
        </w:rPr>
        <w:t>3</w:t>
      </w:r>
      <w:r>
        <w:rPr>
          <w:color w:val="auto"/>
          <w:szCs w:val="21"/>
        </w:rPr>
        <w:t>，基底总压力249.4kPa，基底附加压力138.4kPa，基础底面以下土层如下：</w:t>
      </w:r>
    </w:p>
    <w:p w14:paraId="11DA424D">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w:t>
      </w:r>
      <w:r>
        <w:rPr>
          <w:color w:val="auto"/>
        </w:rPr>
        <w:fldChar w:fldCharType="end"/>
      </w:r>
      <w:r>
        <w:rPr>
          <w:b/>
          <w:color w:val="auto"/>
          <w:szCs w:val="21"/>
        </w:rPr>
        <w:t xml:space="preserve">  基底以下土层物理力学性质</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43"/>
        <w:gridCol w:w="1368"/>
        <w:gridCol w:w="1295"/>
        <w:gridCol w:w="1285"/>
        <w:gridCol w:w="1650"/>
        <w:gridCol w:w="1134"/>
        <w:gridCol w:w="1148"/>
      </w:tblGrid>
      <w:tr w14:paraId="7DF0B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243" w:type="dxa"/>
            <w:noWrap w:val="0"/>
            <w:vAlign w:val="center"/>
          </w:tcPr>
          <w:p w14:paraId="5BAF4CC9">
            <w:pPr>
              <w:adjustRightInd w:val="0"/>
              <w:snapToGrid w:val="0"/>
              <w:jc w:val="center"/>
              <w:rPr>
                <w:color w:val="auto"/>
                <w:sz w:val="18"/>
                <w:szCs w:val="18"/>
              </w:rPr>
            </w:pPr>
            <w:r>
              <w:rPr>
                <w:color w:val="auto"/>
                <w:sz w:val="18"/>
                <w:szCs w:val="18"/>
              </w:rPr>
              <w:t>深度</w:t>
            </w:r>
          </w:p>
        </w:tc>
        <w:tc>
          <w:tcPr>
            <w:tcW w:w="1368" w:type="dxa"/>
            <w:noWrap w:val="0"/>
            <w:vAlign w:val="center"/>
          </w:tcPr>
          <w:p w14:paraId="0292AAC0">
            <w:pPr>
              <w:adjustRightInd w:val="0"/>
              <w:snapToGrid w:val="0"/>
              <w:jc w:val="center"/>
              <w:rPr>
                <w:color w:val="auto"/>
                <w:sz w:val="18"/>
                <w:szCs w:val="18"/>
              </w:rPr>
            </w:pPr>
            <w:r>
              <w:rPr>
                <w:color w:val="auto"/>
                <w:sz w:val="18"/>
                <w:szCs w:val="18"/>
              </w:rPr>
              <w:t>土 类</w:t>
            </w:r>
          </w:p>
        </w:tc>
        <w:tc>
          <w:tcPr>
            <w:tcW w:w="1295" w:type="dxa"/>
            <w:noWrap w:val="0"/>
            <w:vAlign w:val="center"/>
          </w:tcPr>
          <w:p w14:paraId="01BA4E3B">
            <w:pPr>
              <w:adjustRightInd w:val="0"/>
              <w:snapToGrid w:val="0"/>
              <w:jc w:val="center"/>
              <w:rPr>
                <w:color w:val="auto"/>
                <w:sz w:val="18"/>
                <w:szCs w:val="18"/>
              </w:rPr>
            </w:pPr>
            <w:r>
              <w:rPr>
                <w:color w:val="auto"/>
                <w:sz w:val="18"/>
                <w:szCs w:val="18"/>
              </w:rPr>
              <w:t>天然孔</w:t>
            </w:r>
          </w:p>
          <w:p w14:paraId="18D6762B">
            <w:pPr>
              <w:adjustRightInd w:val="0"/>
              <w:snapToGrid w:val="0"/>
              <w:jc w:val="center"/>
              <w:rPr>
                <w:color w:val="auto"/>
                <w:sz w:val="18"/>
                <w:szCs w:val="18"/>
              </w:rPr>
            </w:pPr>
            <w:r>
              <w:rPr>
                <w:color w:val="auto"/>
                <w:sz w:val="18"/>
                <w:szCs w:val="18"/>
              </w:rPr>
              <w:t>隙比e</w:t>
            </w:r>
          </w:p>
        </w:tc>
        <w:tc>
          <w:tcPr>
            <w:tcW w:w="1285" w:type="dxa"/>
            <w:noWrap w:val="0"/>
            <w:vAlign w:val="center"/>
          </w:tcPr>
          <w:p w14:paraId="6CC32D31">
            <w:pPr>
              <w:adjustRightInd w:val="0"/>
              <w:snapToGrid w:val="0"/>
              <w:jc w:val="center"/>
              <w:rPr>
                <w:color w:val="auto"/>
                <w:sz w:val="18"/>
                <w:szCs w:val="18"/>
              </w:rPr>
            </w:pPr>
            <w:r>
              <w:rPr>
                <w:color w:val="auto"/>
                <w:sz w:val="18"/>
                <w:szCs w:val="18"/>
              </w:rPr>
              <w:t>天然重度</w:t>
            </w:r>
            <w:r>
              <w:rPr>
                <w:color w:val="auto"/>
                <w:position w:val="-8"/>
                <w:sz w:val="18"/>
                <w:szCs w:val="18"/>
              </w:rPr>
              <w:object>
                <v:shape id="_x0000_i1814" o:spt="75" type="#_x0000_t75" style="height:10pt;width:8pt;" o:ole="t" filled="f" o:preferrelative="t" stroked="f" coordsize="21600,21600">
                  <v:path/>
                  <v:fill on="f" focussize="0,0"/>
                  <v:stroke on="f"/>
                  <v:imagedata r:id="rId1544" o:title=""/>
                  <o:lock v:ext="edit" grouping="f" rotation="f" text="f" aspectratio="t"/>
                  <w10:wrap type="none"/>
                  <w10:anchorlock/>
                </v:shape>
                <o:OLEObject Type="Embed" ProgID="Equation.DSMT4" ShapeID="_x0000_i1814" DrawAspect="Content" ObjectID="_1468076514" r:id="rId1543">
                  <o:LockedField>false</o:LockedField>
                </o:OLEObject>
              </w:object>
            </w:r>
            <w:r>
              <w:rPr>
                <w:color w:val="auto"/>
                <w:sz w:val="18"/>
                <w:szCs w:val="18"/>
              </w:rPr>
              <w:t>(kN/m</w:t>
            </w:r>
            <w:r>
              <w:rPr>
                <w:color w:val="auto"/>
                <w:sz w:val="18"/>
                <w:szCs w:val="18"/>
                <w:vertAlign w:val="superscript"/>
              </w:rPr>
              <w:t>3</w:t>
            </w:r>
            <w:r>
              <w:rPr>
                <w:color w:val="auto"/>
                <w:sz w:val="18"/>
                <w:szCs w:val="18"/>
              </w:rPr>
              <w:t>)</w:t>
            </w:r>
          </w:p>
        </w:tc>
        <w:tc>
          <w:tcPr>
            <w:tcW w:w="1650" w:type="dxa"/>
            <w:noWrap w:val="0"/>
            <w:vAlign w:val="center"/>
          </w:tcPr>
          <w:p w14:paraId="06388EDF">
            <w:pPr>
              <w:adjustRightInd w:val="0"/>
              <w:snapToGrid w:val="0"/>
              <w:jc w:val="center"/>
              <w:rPr>
                <w:color w:val="auto"/>
                <w:sz w:val="18"/>
                <w:szCs w:val="18"/>
              </w:rPr>
            </w:pPr>
            <w:r>
              <w:rPr>
                <w:color w:val="auto"/>
                <w:sz w:val="18"/>
                <w:szCs w:val="18"/>
              </w:rPr>
              <w:t>前期固结压力</w:t>
            </w:r>
            <w:r>
              <w:rPr>
                <w:i/>
                <w:color w:val="auto"/>
                <w:sz w:val="18"/>
                <w:szCs w:val="18"/>
              </w:rPr>
              <w:t>p</w:t>
            </w:r>
            <w:r>
              <w:rPr>
                <w:iCs/>
                <w:color w:val="auto"/>
                <w:sz w:val="18"/>
                <w:szCs w:val="18"/>
                <w:vertAlign w:val="subscript"/>
              </w:rPr>
              <w:t>c</w:t>
            </w:r>
            <w:r>
              <w:rPr>
                <w:color w:val="auto"/>
                <w:sz w:val="18"/>
                <w:szCs w:val="18"/>
              </w:rPr>
              <w:t>(kPa)</w:t>
            </w:r>
          </w:p>
        </w:tc>
        <w:tc>
          <w:tcPr>
            <w:tcW w:w="1134" w:type="dxa"/>
            <w:noWrap w:val="0"/>
            <w:vAlign w:val="center"/>
          </w:tcPr>
          <w:p w14:paraId="1E3E433B">
            <w:pPr>
              <w:adjustRightInd w:val="0"/>
              <w:snapToGrid w:val="0"/>
              <w:jc w:val="center"/>
              <w:rPr>
                <w:color w:val="auto"/>
                <w:sz w:val="18"/>
                <w:szCs w:val="18"/>
              </w:rPr>
            </w:pPr>
            <w:r>
              <w:rPr>
                <w:color w:val="auto"/>
                <w:sz w:val="18"/>
                <w:szCs w:val="18"/>
              </w:rPr>
              <w:t>压缩指数</w:t>
            </w:r>
            <w:r>
              <w:rPr>
                <w:i/>
                <w:color w:val="auto"/>
                <w:sz w:val="18"/>
                <w:szCs w:val="18"/>
              </w:rPr>
              <w:t>c</w:t>
            </w:r>
            <w:r>
              <w:rPr>
                <w:iCs/>
                <w:color w:val="auto"/>
                <w:sz w:val="18"/>
                <w:szCs w:val="18"/>
                <w:vertAlign w:val="subscript"/>
              </w:rPr>
              <w:t>c</w:t>
            </w:r>
          </w:p>
        </w:tc>
        <w:tc>
          <w:tcPr>
            <w:tcW w:w="1148" w:type="dxa"/>
            <w:noWrap w:val="0"/>
            <w:vAlign w:val="center"/>
          </w:tcPr>
          <w:p w14:paraId="71902B04">
            <w:pPr>
              <w:adjustRightInd w:val="0"/>
              <w:snapToGrid w:val="0"/>
              <w:jc w:val="center"/>
              <w:rPr>
                <w:color w:val="auto"/>
                <w:sz w:val="18"/>
                <w:szCs w:val="18"/>
                <w:vertAlign w:val="subscript"/>
              </w:rPr>
            </w:pPr>
            <w:r>
              <w:rPr>
                <w:color w:val="auto"/>
                <w:sz w:val="18"/>
                <w:szCs w:val="18"/>
              </w:rPr>
              <w:t>回弹指数</w:t>
            </w:r>
            <w:r>
              <w:rPr>
                <w:i/>
                <w:color w:val="auto"/>
                <w:sz w:val="18"/>
                <w:szCs w:val="18"/>
              </w:rPr>
              <w:t>c</w:t>
            </w:r>
            <w:r>
              <w:rPr>
                <w:iCs/>
                <w:color w:val="auto"/>
                <w:sz w:val="18"/>
                <w:szCs w:val="18"/>
                <w:vertAlign w:val="subscript"/>
              </w:rPr>
              <w:t>s</w:t>
            </w:r>
          </w:p>
        </w:tc>
      </w:tr>
      <w:tr w14:paraId="0C9EA9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6EEFEB92">
            <w:pPr>
              <w:adjustRightInd w:val="0"/>
              <w:snapToGrid w:val="0"/>
              <w:jc w:val="center"/>
              <w:rPr>
                <w:color w:val="auto"/>
                <w:sz w:val="18"/>
                <w:szCs w:val="18"/>
              </w:rPr>
            </w:pPr>
            <w:r>
              <w:rPr>
                <w:color w:val="auto"/>
                <w:sz w:val="18"/>
                <w:szCs w:val="18"/>
              </w:rPr>
              <w:t>6.0～7.5m</w:t>
            </w:r>
          </w:p>
        </w:tc>
        <w:tc>
          <w:tcPr>
            <w:tcW w:w="1368" w:type="dxa"/>
            <w:noWrap w:val="0"/>
            <w:vAlign w:val="center"/>
          </w:tcPr>
          <w:p w14:paraId="2D351C64">
            <w:pPr>
              <w:adjustRightInd w:val="0"/>
              <w:snapToGrid w:val="0"/>
              <w:jc w:val="center"/>
              <w:rPr>
                <w:color w:val="auto"/>
                <w:sz w:val="18"/>
                <w:szCs w:val="18"/>
              </w:rPr>
            </w:pPr>
            <w:r>
              <w:rPr>
                <w:color w:val="auto"/>
                <w:sz w:val="18"/>
                <w:szCs w:val="18"/>
              </w:rPr>
              <w:t>正常固结粉质黏土</w:t>
            </w:r>
          </w:p>
        </w:tc>
        <w:tc>
          <w:tcPr>
            <w:tcW w:w="1295" w:type="dxa"/>
            <w:noWrap w:val="0"/>
            <w:vAlign w:val="center"/>
          </w:tcPr>
          <w:p w14:paraId="2344E065">
            <w:pPr>
              <w:adjustRightInd w:val="0"/>
              <w:snapToGrid w:val="0"/>
              <w:jc w:val="center"/>
              <w:rPr>
                <w:color w:val="auto"/>
                <w:sz w:val="18"/>
                <w:szCs w:val="18"/>
              </w:rPr>
            </w:pPr>
            <w:r>
              <w:rPr>
                <w:color w:val="auto"/>
                <w:sz w:val="18"/>
                <w:szCs w:val="18"/>
              </w:rPr>
              <w:t>0.900</w:t>
            </w:r>
          </w:p>
        </w:tc>
        <w:tc>
          <w:tcPr>
            <w:tcW w:w="1285" w:type="dxa"/>
            <w:noWrap w:val="0"/>
            <w:vAlign w:val="center"/>
          </w:tcPr>
          <w:p w14:paraId="297D5453">
            <w:pPr>
              <w:adjustRightInd w:val="0"/>
              <w:snapToGrid w:val="0"/>
              <w:jc w:val="center"/>
              <w:rPr>
                <w:color w:val="auto"/>
                <w:sz w:val="18"/>
                <w:szCs w:val="18"/>
              </w:rPr>
            </w:pPr>
            <w:r>
              <w:rPr>
                <w:color w:val="auto"/>
                <w:sz w:val="18"/>
                <w:szCs w:val="18"/>
              </w:rPr>
              <w:t>18.5</w:t>
            </w:r>
          </w:p>
        </w:tc>
        <w:tc>
          <w:tcPr>
            <w:tcW w:w="1650" w:type="dxa"/>
            <w:noWrap w:val="0"/>
            <w:vAlign w:val="center"/>
          </w:tcPr>
          <w:p w14:paraId="5A9CDCF3">
            <w:pPr>
              <w:adjustRightInd w:val="0"/>
              <w:snapToGrid w:val="0"/>
              <w:jc w:val="center"/>
              <w:rPr>
                <w:color w:val="auto"/>
                <w:sz w:val="18"/>
                <w:szCs w:val="18"/>
              </w:rPr>
            </w:pPr>
            <w:r>
              <w:rPr>
                <w:color w:val="auto"/>
                <w:sz w:val="18"/>
                <w:szCs w:val="18"/>
              </w:rPr>
              <w:t>认为与自重压力相等</w:t>
            </w:r>
          </w:p>
        </w:tc>
        <w:tc>
          <w:tcPr>
            <w:tcW w:w="1134" w:type="dxa"/>
            <w:noWrap w:val="0"/>
            <w:vAlign w:val="center"/>
          </w:tcPr>
          <w:p w14:paraId="47F2FC88">
            <w:pPr>
              <w:adjustRightInd w:val="0"/>
              <w:snapToGrid w:val="0"/>
              <w:jc w:val="center"/>
              <w:rPr>
                <w:color w:val="auto"/>
                <w:sz w:val="18"/>
                <w:szCs w:val="18"/>
              </w:rPr>
            </w:pPr>
            <w:r>
              <w:rPr>
                <w:color w:val="auto"/>
                <w:sz w:val="18"/>
                <w:szCs w:val="18"/>
              </w:rPr>
              <w:t>0.189</w:t>
            </w:r>
          </w:p>
        </w:tc>
        <w:tc>
          <w:tcPr>
            <w:tcW w:w="1148" w:type="dxa"/>
            <w:noWrap w:val="0"/>
            <w:vAlign w:val="center"/>
          </w:tcPr>
          <w:p w14:paraId="4D389E48">
            <w:pPr>
              <w:adjustRightInd w:val="0"/>
              <w:snapToGrid w:val="0"/>
              <w:jc w:val="center"/>
              <w:rPr>
                <w:color w:val="auto"/>
                <w:sz w:val="18"/>
                <w:szCs w:val="18"/>
              </w:rPr>
            </w:pPr>
            <w:r>
              <w:rPr>
                <w:color w:val="auto"/>
                <w:sz w:val="18"/>
                <w:szCs w:val="18"/>
              </w:rPr>
              <w:t>0.020</w:t>
            </w:r>
          </w:p>
        </w:tc>
      </w:tr>
      <w:tr w14:paraId="5143DF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66F11552">
            <w:pPr>
              <w:adjustRightInd w:val="0"/>
              <w:snapToGrid w:val="0"/>
              <w:jc w:val="center"/>
              <w:rPr>
                <w:color w:val="auto"/>
                <w:sz w:val="18"/>
                <w:szCs w:val="18"/>
              </w:rPr>
            </w:pPr>
            <w:r>
              <w:rPr>
                <w:color w:val="auto"/>
                <w:sz w:val="18"/>
                <w:szCs w:val="18"/>
              </w:rPr>
              <w:t>7.5～9.0m</w:t>
            </w:r>
          </w:p>
        </w:tc>
        <w:tc>
          <w:tcPr>
            <w:tcW w:w="1368" w:type="dxa"/>
            <w:noWrap w:val="0"/>
            <w:vAlign w:val="center"/>
          </w:tcPr>
          <w:p w14:paraId="337F10DF">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0B6BE60E">
            <w:pPr>
              <w:adjustRightInd w:val="0"/>
              <w:snapToGrid w:val="0"/>
              <w:jc w:val="center"/>
              <w:rPr>
                <w:color w:val="auto"/>
                <w:sz w:val="18"/>
                <w:szCs w:val="18"/>
              </w:rPr>
            </w:pPr>
            <w:r>
              <w:rPr>
                <w:color w:val="auto"/>
                <w:sz w:val="18"/>
                <w:szCs w:val="18"/>
              </w:rPr>
              <w:t>0.850</w:t>
            </w:r>
          </w:p>
        </w:tc>
        <w:tc>
          <w:tcPr>
            <w:tcW w:w="1285" w:type="dxa"/>
            <w:noWrap w:val="0"/>
            <w:vAlign w:val="center"/>
          </w:tcPr>
          <w:p w14:paraId="083DA422">
            <w:pPr>
              <w:adjustRightInd w:val="0"/>
              <w:snapToGrid w:val="0"/>
              <w:jc w:val="center"/>
              <w:rPr>
                <w:color w:val="auto"/>
                <w:sz w:val="18"/>
                <w:szCs w:val="18"/>
              </w:rPr>
            </w:pPr>
            <w:r>
              <w:rPr>
                <w:color w:val="auto"/>
                <w:sz w:val="18"/>
                <w:szCs w:val="18"/>
              </w:rPr>
              <w:t>18.5</w:t>
            </w:r>
          </w:p>
        </w:tc>
        <w:tc>
          <w:tcPr>
            <w:tcW w:w="1650" w:type="dxa"/>
            <w:noWrap w:val="0"/>
            <w:vAlign w:val="center"/>
          </w:tcPr>
          <w:p w14:paraId="4175797C">
            <w:pPr>
              <w:adjustRightInd w:val="0"/>
              <w:snapToGrid w:val="0"/>
              <w:jc w:val="center"/>
              <w:rPr>
                <w:color w:val="auto"/>
                <w:sz w:val="18"/>
                <w:szCs w:val="18"/>
              </w:rPr>
            </w:pPr>
            <w:r>
              <w:rPr>
                <w:color w:val="auto"/>
                <w:sz w:val="18"/>
                <w:szCs w:val="18"/>
              </w:rPr>
              <w:t>180</w:t>
            </w:r>
          </w:p>
        </w:tc>
        <w:tc>
          <w:tcPr>
            <w:tcW w:w="1134" w:type="dxa"/>
            <w:noWrap w:val="0"/>
            <w:vAlign w:val="center"/>
          </w:tcPr>
          <w:p w14:paraId="7A0C217D">
            <w:pPr>
              <w:adjustRightInd w:val="0"/>
              <w:snapToGrid w:val="0"/>
              <w:jc w:val="center"/>
              <w:rPr>
                <w:color w:val="auto"/>
                <w:sz w:val="18"/>
                <w:szCs w:val="18"/>
              </w:rPr>
            </w:pPr>
            <w:r>
              <w:rPr>
                <w:color w:val="auto"/>
                <w:sz w:val="18"/>
                <w:szCs w:val="18"/>
              </w:rPr>
              <w:t>0.174</w:t>
            </w:r>
          </w:p>
        </w:tc>
        <w:tc>
          <w:tcPr>
            <w:tcW w:w="1148" w:type="dxa"/>
            <w:noWrap w:val="0"/>
            <w:vAlign w:val="center"/>
          </w:tcPr>
          <w:p w14:paraId="0F0B5203">
            <w:pPr>
              <w:adjustRightInd w:val="0"/>
              <w:snapToGrid w:val="0"/>
              <w:jc w:val="center"/>
              <w:rPr>
                <w:color w:val="auto"/>
                <w:sz w:val="18"/>
                <w:szCs w:val="18"/>
              </w:rPr>
            </w:pPr>
            <w:r>
              <w:rPr>
                <w:color w:val="auto"/>
                <w:sz w:val="18"/>
                <w:szCs w:val="18"/>
              </w:rPr>
              <w:t>0.015</w:t>
            </w:r>
          </w:p>
        </w:tc>
      </w:tr>
      <w:tr w14:paraId="310E9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55436EAE">
            <w:pPr>
              <w:adjustRightInd w:val="0"/>
              <w:snapToGrid w:val="0"/>
              <w:ind w:left="11" w:leftChars="-24" w:right="-136" w:rightChars="-65" w:hanging="61" w:hangingChars="34"/>
              <w:jc w:val="center"/>
              <w:rPr>
                <w:color w:val="auto"/>
                <w:sz w:val="18"/>
                <w:szCs w:val="18"/>
              </w:rPr>
            </w:pPr>
            <w:r>
              <w:rPr>
                <w:color w:val="auto"/>
                <w:sz w:val="18"/>
                <w:szCs w:val="18"/>
              </w:rPr>
              <w:t>9.0～11.0m</w:t>
            </w:r>
          </w:p>
        </w:tc>
        <w:tc>
          <w:tcPr>
            <w:tcW w:w="1368" w:type="dxa"/>
            <w:noWrap w:val="0"/>
            <w:vAlign w:val="center"/>
          </w:tcPr>
          <w:p w14:paraId="4C08C937">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5338294A">
            <w:pPr>
              <w:adjustRightInd w:val="0"/>
              <w:snapToGrid w:val="0"/>
              <w:jc w:val="center"/>
              <w:rPr>
                <w:color w:val="auto"/>
                <w:sz w:val="18"/>
                <w:szCs w:val="18"/>
              </w:rPr>
            </w:pPr>
            <w:r>
              <w:rPr>
                <w:color w:val="auto"/>
                <w:sz w:val="18"/>
                <w:szCs w:val="18"/>
              </w:rPr>
              <w:t>0.750</w:t>
            </w:r>
          </w:p>
        </w:tc>
        <w:tc>
          <w:tcPr>
            <w:tcW w:w="1285" w:type="dxa"/>
            <w:noWrap w:val="0"/>
            <w:vAlign w:val="center"/>
          </w:tcPr>
          <w:p w14:paraId="717730E3">
            <w:pPr>
              <w:adjustRightInd w:val="0"/>
              <w:snapToGrid w:val="0"/>
              <w:jc w:val="center"/>
              <w:rPr>
                <w:color w:val="auto"/>
                <w:sz w:val="18"/>
                <w:szCs w:val="18"/>
              </w:rPr>
            </w:pPr>
            <w:r>
              <w:rPr>
                <w:color w:val="auto"/>
                <w:sz w:val="18"/>
                <w:szCs w:val="18"/>
              </w:rPr>
              <w:t>19.5</w:t>
            </w:r>
          </w:p>
        </w:tc>
        <w:tc>
          <w:tcPr>
            <w:tcW w:w="1650" w:type="dxa"/>
            <w:noWrap w:val="0"/>
            <w:vAlign w:val="center"/>
          </w:tcPr>
          <w:p w14:paraId="089B5D2D">
            <w:pPr>
              <w:adjustRightInd w:val="0"/>
              <w:snapToGrid w:val="0"/>
              <w:jc w:val="center"/>
              <w:rPr>
                <w:color w:val="auto"/>
                <w:sz w:val="18"/>
                <w:szCs w:val="18"/>
              </w:rPr>
            </w:pPr>
            <w:r>
              <w:rPr>
                <w:color w:val="auto"/>
                <w:sz w:val="18"/>
                <w:szCs w:val="18"/>
              </w:rPr>
              <w:t>250</w:t>
            </w:r>
          </w:p>
        </w:tc>
        <w:tc>
          <w:tcPr>
            <w:tcW w:w="1134" w:type="dxa"/>
            <w:noWrap w:val="0"/>
            <w:vAlign w:val="center"/>
          </w:tcPr>
          <w:p w14:paraId="776BDB1C">
            <w:pPr>
              <w:adjustRightInd w:val="0"/>
              <w:snapToGrid w:val="0"/>
              <w:jc w:val="center"/>
              <w:rPr>
                <w:color w:val="auto"/>
                <w:sz w:val="18"/>
                <w:szCs w:val="18"/>
              </w:rPr>
            </w:pPr>
            <w:r>
              <w:rPr>
                <w:color w:val="auto"/>
                <w:sz w:val="18"/>
                <w:szCs w:val="18"/>
              </w:rPr>
              <w:t>0.150</w:t>
            </w:r>
          </w:p>
        </w:tc>
        <w:tc>
          <w:tcPr>
            <w:tcW w:w="1148" w:type="dxa"/>
            <w:noWrap w:val="0"/>
            <w:vAlign w:val="center"/>
          </w:tcPr>
          <w:p w14:paraId="248A58A7">
            <w:pPr>
              <w:adjustRightInd w:val="0"/>
              <w:snapToGrid w:val="0"/>
              <w:jc w:val="center"/>
              <w:rPr>
                <w:color w:val="auto"/>
                <w:sz w:val="18"/>
                <w:szCs w:val="18"/>
              </w:rPr>
            </w:pPr>
            <w:r>
              <w:rPr>
                <w:color w:val="auto"/>
                <w:sz w:val="18"/>
                <w:szCs w:val="18"/>
              </w:rPr>
              <w:t>0.012</w:t>
            </w:r>
          </w:p>
        </w:tc>
      </w:tr>
      <w:tr w14:paraId="35318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48F77DC8">
            <w:pPr>
              <w:adjustRightInd w:val="0"/>
              <w:snapToGrid w:val="0"/>
              <w:ind w:left="11" w:leftChars="-24" w:right="-136" w:rightChars="-65" w:hanging="61" w:hangingChars="34"/>
              <w:jc w:val="center"/>
              <w:rPr>
                <w:color w:val="auto"/>
                <w:sz w:val="18"/>
                <w:szCs w:val="18"/>
              </w:rPr>
            </w:pPr>
            <w:r>
              <w:rPr>
                <w:color w:val="auto"/>
                <w:sz w:val="18"/>
                <w:szCs w:val="18"/>
              </w:rPr>
              <w:t>11.0～13.0m</w:t>
            </w:r>
          </w:p>
        </w:tc>
        <w:tc>
          <w:tcPr>
            <w:tcW w:w="1368" w:type="dxa"/>
            <w:noWrap w:val="0"/>
            <w:vAlign w:val="center"/>
          </w:tcPr>
          <w:p w14:paraId="3DA8E8B7">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44879680">
            <w:pPr>
              <w:adjustRightInd w:val="0"/>
              <w:snapToGrid w:val="0"/>
              <w:jc w:val="center"/>
              <w:rPr>
                <w:color w:val="auto"/>
                <w:sz w:val="18"/>
                <w:szCs w:val="18"/>
              </w:rPr>
            </w:pPr>
            <w:r>
              <w:rPr>
                <w:color w:val="auto"/>
                <w:sz w:val="18"/>
                <w:szCs w:val="18"/>
              </w:rPr>
              <w:t>0.720</w:t>
            </w:r>
          </w:p>
        </w:tc>
        <w:tc>
          <w:tcPr>
            <w:tcW w:w="1285" w:type="dxa"/>
            <w:noWrap w:val="0"/>
            <w:vAlign w:val="center"/>
          </w:tcPr>
          <w:p w14:paraId="0594C765">
            <w:pPr>
              <w:adjustRightInd w:val="0"/>
              <w:snapToGrid w:val="0"/>
              <w:jc w:val="center"/>
              <w:rPr>
                <w:color w:val="auto"/>
                <w:sz w:val="18"/>
                <w:szCs w:val="18"/>
              </w:rPr>
            </w:pPr>
            <w:r>
              <w:rPr>
                <w:color w:val="auto"/>
                <w:sz w:val="18"/>
                <w:szCs w:val="18"/>
              </w:rPr>
              <w:t>19.5</w:t>
            </w:r>
          </w:p>
        </w:tc>
        <w:tc>
          <w:tcPr>
            <w:tcW w:w="1650" w:type="dxa"/>
            <w:noWrap w:val="0"/>
            <w:vAlign w:val="center"/>
          </w:tcPr>
          <w:p w14:paraId="2B03BC41">
            <w:pPr>
              <w:adjustRightInd w:val="0"/>
              <w:snapToGrid w:val="0"/>
              <w:jc w:val="center"/>
              <w:rPr>
                <w:color w:val="auto"/>
                <w:sz w:val="18"/>
                <w:szCs w:val="18"/>
              </w:rPr>
            </w:pPr>
            <w:r>
              <w:rPr>
                <w:color w:val="auto"/>
                <w:sz w:val="18"/>
                <w:szCs w:val="18"/>
              </w:rPr>
              <w:t>324</w:t>
            </w:r>
          </w:p>
        </w:tc>
        <w:tc>
          <w:tcPr>
            <w:tcW w:w="1134" w:type="dxa"/>
            <w:noWrap w:val="0"/>
            <w:vAlign w:val="center"/>
          </w:tcPr>
          <w:p w14:paraId="55F25D6F">
            <w:pPr>
              <w:adjustRightInd w:val="0"/>
              <w:snapToGrid w:val="0"/>
              <w:jc w:val="center"/>
              <w:rPr>
                <w:color w:val="auto"/>
                <w:sz w:val="18"/>
                <w:szCs w:val="18"/>
              </w:rPr>
            </w:pPr>
            <w:r>
              <w:rPr>
                <w:color w:val="auto"/>
                <w:sz w:val="18"/>
                <w:szCs w:val="18"/>
              </w:rPr>
              <w:t>0.135</w:t>
            </w:r>
          </w:p>
        </w:tc>
        <w:tc>
          <w:tcPr>
            <w:tcW w:w="1148" w:type="dxa"/>
            <w:noWrap w:val="0"/>
            <w:vAlign w:val="center"/>
          </w:tcPr>
          <w:p w14:paraId="6561F51B">
            <w:pPr>
              <w:adjustRightInd w:val="0"/>
              <w:snapToGrid w:val="0"/>
              <w:jc w:val="center"/>
              <w:rPr>
                <w:color w:val="auto"/>
                <w:sz w:val="18"/>
                <w:szCs w:val="18"/>
              </w:rPr>
            </w:pPr>
            <w:r>
              <w:rPr>
                <w:color w:val="auto"/>
                <w:sz w:val="18"/>
                <w:szCs w:val="18"/>
              </w:rPr>
              <w:t>0.010</w:t>
            </w:r>
          </w:p>
        </w:tc>
      </w:tr>
      <w:tr w14:paraId="7E9647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264C1789">
            <w:pPr>
              <w:adjustRightInd w:val="0"/>
              <w:snapToGrid w:val="0"/>
              <w:ind w:left="11" w:leftChars="-24" w:right="-136" w:rightChars="-65" w:hanging="61" w:hangingChars="34"/>
              <w:jc w:val="center"/>
              <w:rPr>
                <w:color w:val="auto"/>
                <w:sz w:val="18"/>
                <w:szCs w:val="18"/>
              </w:rPr>
            </w:pPr>
            <w:r>
              <w:rPr>
                <w:color w:val="auto"/>
                <w:sz w:val="18"/>
                <w:szCs w:val="18"/>
              </w:rPr>
              <w:t>13.0～15.0m</w:t>
            </w:r>
          </w:p>
        </w:tc>
        <w:tc>
          <w:tcPr>
            <w:tcW w:w="1368" w:type="dxa"/>
            <w:noWrap w:val="0"/>
            <w:vAlign w:val="center"/>
          </w:tcPr>
          <w:p w14:paraId="5965A940">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52FA1D26">
            <w:pPr>
              <w:adjustRightInd w:val="0"/>
              <w:snapToGrid w:val="0"/>
              <w:jc w:val="center"/>
              <w:rPr>
                <w:color w:val="auto"/>
                <w:sz w:val="18"/>
                <w:szCs w:val="18"/>
              </w:rPr>
            </w:pPr>
            <w:r>
              <w:rPr>
                <w:color w:val="auto"/>
                <w:sz w:val="18"/>
                <w:szCs w:val="18"/>
              </w:rPr>
              <w:t>0.705</w:t>
            </w:r>
          </w:p>
        </w:tc>
        <w:tc>
          <w:tcPr>
            <w:tcW w:w="1285" w:type="dxa"/>
            <w:noWrap w:val="0"/>
            <w:vAlign w:val="center"/>
          </w:tcPr>
          <w:p w14:paraId="0ED2A4B0">
            <w:pPr>
              <w:adjustRightInd w:val="0"/>
              <w:snapToGrid w:val="0"/>
              <w:jc w:val="center"/>
              <w:rPr>
                <w:color w:val="auto"/>
                <w:sz w:val="18"/>
                <w:szCs w:val="18"/>
              </w:rPr>
            </w:pPr>
            <w:r>
              <w:rPr>
                <w:color w:val="auto"/>
                <w:sz w:val="18"/>
                <w:szCs w:val="18"/>
              </w:rPr>
              <w:t>19.5</w:t>
            </w:r>
          </w:p>
        </w:tc>
        <w:tc>
          <w:tcPr>
            <w:tcW w:w="1650" w:type="dxa"/>
            <w:noWrap w:val="0"/>
            <w:vAlign w:val="center"/>
          </w:tcPr>
          <w:p w14:paraId="6DB894A8">
            <w:pPr>
              <w:adjustRightInd w:val="0"/>
              <w:snapToGrid w:val="0"/>
              <w:jc w:val="center"/>
              <w:rPr>
                <w:color w:val="auto"/>
                <w:sz w:val="18"/>
                <w:szCs w:val="18"/>
              </w:rPr>
            </w:pPr>
            <w:r>
              <w:rPr>
                <w:color w:val="auto"/>
                <w:sz w:val="18"/>
                <w:szCs w:val="18"/>
              </w:rPr>
              <w:t>400</w:t>
            </w:r>
          </w:p>
        </w:tc>
        <w:tc>
          <w:tcPr>
            <w:tcW w:w="1134" w:type="dxa"/>
            <w:noWrap w:val="0"/>
            <w:vAlign w:val="center"/>
          </w:tcPr>
          <w:p w14:paraId="11F1C382">
            <w:pPr>
              <w:adjustRightInd w:val="0"/>
              <w:snapToGrid w:val="0"/>
              <w:jc w:val="center"/>
              <w:rPr>
                <w:color w:val="auto"/>
                <w:sz w:val="18"/>
                <w:szCs w:val="18"/>
              </w:rPr>
            </w:pPr>
            <w:r>
              <w:rPr>
                <w:color w:val="auto"/>
                <w:sz w:val="18"/>
                <w:szCs w:val="18"/>
              </w:rPr>
              <w:t>0.131</w:t>
            </w:r>
          </w:p>
        </w:tc>
        <w:tc>
          <w:tcPr>
            <w:tcW w:w="1148" w:type="dxa"/>
            <w:noWrap w:val="0"/>
            <w:vAlign w:val="center"/>
          </w:tcPr>
          <w:p w14:paraId="04A78CB0">
            <w:pPr>
              <w:adjustRightInd w:val="0"/>
              <w:snapToGrid w:val="0"/>
              <w:jc w:val="center"/>
              <w:rPr>
                <w:color w:val="auto"/>
                <w:sz w:val="18"/>
                <w:szCs w:val="18"/>
              </w:rPr>
            </w:pPr>
            <w:r>
              <w:rPr>
                <w:color w:val="auto"/>
                <w:sz w:val="18"/>
                <w:szCs w:val="18"/>
              </w:rPr>
              <w:t>0.009</w:t>
            </w:r>
          </w:p>
        </w:tc>
      </w:tr>
      <w:tr w14:paraId="4BBB7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2B67DD79">
            <w:pPr>
              <w:adjustRightInd w:val="0"/>
              <w:snapToGrid w:val="0"/>
              <w:ind w:left="11" w:leftChars="-24" w:right="-136" w:rightChars="-65" w:hanging="61" w:hangingChars="34"/>
              <w:jc w:val="center"/>
              <w:rPr>
                <w:color w:val="auto"/>
                <w:sz w:val="18"/>
                <w:szCs w:val="18"/>
              </w:rPr>
            </w:pPr>
            <w:r>
              <w:rPr>
                <w:color w:val="auto"/>
                <w:sz w:val="18"/>
                <w:szCs w:val="18"/>
              </w:rPr>
              <w:t>15.0～18.0m</w:t>
            </w:r>
          </w:p>
        </w:tc>
        <w:tc>
          <w:tcPr>
            <w:tcW w:w="1368" w:type="dxa"/>
            <w:noWrap w:val="0"/>
            <w:vAlign w:val="center"/>
          </w:tcPr>
          <w:p w14:paraId="6332978F">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490AE2B5">
            <w:pPr>
              <w:adjustRightInd w:val="0"/>
              <w:snapToGrid w:val="0"/>
              <w:jc w:val="center"/>
              <w:rPr>
                <w:color w:val="auto"/>
                <w:sz w:val="18"/>
                <w:szCs w:val="18"/>
              </w:rPr>
            </w:pPr>
            <w:r>
              <w:rPr>
                <w:color w:val="auto"/>
                <w:sz w:val="18"/>
                <w:szCs w:val="18"/>
              </w:rPr>
              <w:t>0.680</w:t>
            </w:r>
          </w:p>
        </w:tc>
        <w:tc>
          <w:tcPr>
            <w:tcW w:w="1285" w:type="dxa"/>
            <w:noWrap w:val="0"/>
            <w:vAlign w:val="center"/>
          </w:tcPr>
          <w:p w14:paraId="197D50E1">
            <w:pPr>
              <w:adjustRightInd w:val="0"/>
              <w:snapToGrid w:val="0"/>
              <w:jc w:val="center"/>
              <w:rPr>
                <w:color w:val="auto"/>
                <w:sz w:val="18"/>
                <w:szCs w:val="18"/>
              </w:rPr>
            </w:pPr>
            <w:r>
              <w:rPr>
                <w:color w:val="auto"/>
                <w:sz w:val="18"/>
                <w:szCs w:val="18"/>
              </w:rPr>
              <w:t>19.5</w:t>
            </w:r>
          </w:p>
        </w:tc>
        <w:tc>
          <w:tcPr>
            <w:tcW w:w="1650" w:type="dxa"/>
            <w:noWrap w:val="0"/>
            <w:vAlign w:val="center"/>
          </w:tcPr>
          <w:p w14:paraId="3066F0F4">
            <w:pPr>
              <w:adjustRightInd w:val="0"/>
              <w:snapToGrid w:val="0"/>
              <w:jc w:val="center"/>
              <w:rPr>
                <w:color w:val="auto"/>
                <w:sz w:val="18"/>
                <w:szCs w:val="18"/>
              </w:rPr>
            </w:pPr>
            <w:r>
              <w:rPr>
                <w:color w:val="auto"/>
                <w:sz w:val="18"/>
                <w:szCs w:val="18"/>
              </w:rPr>
              <w:t>490</w:t>
            </w:r>
          </w:p>
        </w:tc>
        <w:tc>
          <w:tcPr>
            <w:tcW w:w="1134" w:type="dxa"/>
            <w:noWrap w:val="0"/>
            <w:vAlign w:val="center"/>
          </w:tcPr>
          <w:p w14:paraId="7F73178C">
            <w:pPr>
              <w:adjustRightInd w:val="0"/>
              <w:snapToGrid w:val="0"/>
              <w:jc w:val="center"/>
              <w:rPr>
                <w:color w:val="auto"/>
                <w:sz w:val="18"/>
                <w:szCs w:val="18"/>
              </w:rPr>
            </w:pPr>
            <w:r>
              <w:rPr>
                <w:color w:val="auto"/>
                <w:sz w:val="18"/>
                <w:szCs w:val="18"/>
              </w:rPr>
              <w:t>0.123</w:t>
            </w:r>
          </w:p>
        </w:tc>
        <w:tc>
          <w:tcPr>
            <w:tcW w:w="1148" w:type="dxa"/>
            <w:noWrap w:val="0"/>
            <w:vAlign w:val="center"/>
          </w:tcPr>
          <w:p w14:paraId="79899762">
            <w:pPr>
              <w:adjustRightInd w:val="0"/>
              <w:snapToGrid w:val="0"/>
              <w:jc w:val="center"/>
              <w:rPr>
                <w:color w:val="auto"/>
                <w:sz w:val="18"/>
                <w:szCs w:val="18"/>
              </w:rPr>
            </w:pPr>
            <w:r>
              <w:rPr>
                <w:color w:val="auto"/>
                <w:sz w:val="18"/>
                <w:szCs w:val="18"/>
              </w:rPr>
              <w:t>0.007</w:t>
            </w:r>
          </w:p>
        </w:tc>
      </w:tr>
      <w:tr w14:paraId="38E00C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43" w:type="dxa"/>
            <w:noWrap w:val="0"/>
            <w:vAlign w:val="center"/>
          </w:tcPr>
          <w:p w14:paraId="2454BF12">
            <w:pPr>
              <w:adjustRightInd w:val="0"/>
              <w:snapToGrid w:val="0"/>
              <w:ind w:left="11" w:leftChars="-24" w:right="-136" w:rightChars="-65" w:hanging="61" w:hangingChars="34"/>
              <w:jc w:val="center"/>
              <w:rPr>
                <w:color w:val="auto"/>
                <w:sz w:val="18"/>
                <w:szCs w:val="18"/>
              </w:rPr>
            </w:pPr>
            <w:r>
              <w:rPr>
                <w:color w:val="auto"/>
                <w:sz w:val="18"/>
                <w:szCs w:val="18"/>
              </w:rPr>
              <w:t>18.0～35.0m</w:t>
            </w:r>
          </w:p>
        </w:tc>
        <w:tc>
          <w:tcPr>
            <w:tcW w:w="1368" w:type="dxa"/>
            <w:noWrap w:val="0"/>
            <w:vAlign w:val="center"/>
          </w:tcPr>
          <w:p w14:paraId="5084F31E">
            <w:pPr>
              <w:adjustRightInd w:val="0"/>
              <w:snapToGrid w:val="0"/>
              <w:ind w:left="15" w:leftChars="-38" w:right="-86" w:rightChars="-41" w:hanging="95" w:hangingChars="53"/>
              <w:jc w:val="center"/>
              <w:rPr>
                <w:color w:val="auto"/>
                <w:sz w:val="18"/>
                <w:szCs w:val="18"/>
              </w:rPr>
            </w:pPr>
            <w:r>
              <w:rPr>
                <w:color w:val="auto"/>
                <w:sz w:val="18"/>
                <w:szCs w:val="18"/>
              </w:rPr>
              <w:t>超固结黏土</w:t>
            </w:r>
          </w:p>
        </w:tc>
        <w:tc>
          <w:tcPr>
            <w:tcW w:w="1295" w:type="dxa"/>
            <w:noWrap w:val="0"/>
            <w:vAlign w:val="center"/>
          </w:tcPr>
          <w:p w14:paraId="4F25A761">
            <w:pPr>
              <w:adjustRightInd w:val="0"/>
              <w:snapToGrid w:val="0"/>
              <w:jc w:val="center"/>
              <w:rPr>
                <w:color w:val="auto"/>
                <w:sz w:val="18"/>
                <w:szCs w:val="18"/>
              </w:rPr>
            </w:pPr>
            <w:r>
              <w:rPr>
                <w:color w:val="auto"/>
                <w:sz w:val="18"/>
                <w:szCs w:val="18"/>
              </w:rPr>
              <w:t>0.620</w:t>
            </w:r>
          </w:p>
        </w:tc>
        <w:tc>
          <w:tcPr>
            <w:tcW w:w="1285" w:type="dxa"/>
            <w:noWrap w:val="0"/>
            <w:vAlign w:val="center"/>
          </w:tcPr>
          <w:p w14:paraId="48D97601">
            <w:pPr>
              <w:adjustRightInd w:val="0"/>
              <w:snapToGrid w:val="0"/>
              <w:jc w:val="center"/>
              <w:rPr>
                <w:color w:val="auto"/>
                <w:sz w:val="18"/>
                <w:szCs w:val="18"/>
              </w:rPr>
            </w:pPr>
            <w:r>
              <w:rPr>
                <w:color w:val="auto"/>
                <w:sz w:val="18"/>
                <w:szCs w:val="18"/>
              </w:rPr>
              <w:t>19.5</w:t>
            </w:r>
          </w:p>
        </w:tc>
        <w:tc>
          <w:tcPr>
            <w:tcW w:w="1650" w:type="dxa"/>
            <w:noWrap w:val="0"/>
            <w:vAlign w:val="center"/>
          </w:tcPr>
          <w:p w14:paraId="2D18FE5A">
            <w:pPr>
              <w:adjustRightInd w:val="0"/>
              <w:snapToGrid w:val="0"/>
              <w:jc w:val="center"/>
              <w:rPr>
                <w:color w:val="auto"/>
                <w:sz w:val="18"/>
                <w:szCs w:val="18"/>
              </w:rPr>
            </w:pPr>
            <w:r>
              <w:rPr>
                <w:color w:val="auto"/>
                <w:sz w:val="18"/>
                <w:szCs w:val="18"/>
              </w:rPr>
              <w:t>600</w:t>
            </w:r>
          </w:p>
        </w:tc>
        <w:tc>
          <w:tcPr>
            <w:tcW w:w="1134" w:type="dxa"/>
            <w:noWrap w:val="0"/>
            <w:vAlign w:val="center"/>
          </w:tcPr>
          <w:p w14:paraId="1B4888A9">
            <w:pPr>
              <w:adjustRightInd w:val="0"/>
              <w:snapToGrid w:val="0"/>
              <w:jc w:val="center"/>
              <w:rPr>
                <w:color w:val="auto"/>
                <w:sz w:val="18"/>
                <w:szCs w:val="18"/>
              </w:rPr>
            </w:pPr>
            <w:r>
              <w:rPr>
                <w:color w:val="auto"/>
                <w:sz w:val="18"/>
                <w:szCs w:val="18"/>
              </w:rPr>
              <w:t>0.105</w:t>
            </w:r>
          </w:p>
        </w:tc>
        <w:tc>
          <w:tcPr>
            <w:tcW w:w="1148" w:type="dxa"/>
            <w:noWrap w:val="0"/>
            <w:vAlign w:val="center"/>
          </w:tcPr>
          <w:p w14:paraId="55B63BFE">
            <w:pPr>
              <w:adjustRightInd w:val="0"/>
              <w:snapToGrid w:val="0"/>
              <w:jc w:val="center"/>
              <w:rPr>
                <w:color w:val="auto"/>
                <w:sz w:val="18"/>
                <w:szCs w:val="18"/>
              </w:rPr>
            </w:pPr>
            <w:r>
              <w:rPr>
                <w:color w:val="auto"/>
                <w:sz w:val="18"/>
                <w:szCs w:val="18"/>
              </w:rPr>
              <w:t>0.006</w:t>
            </w:r>
          </w:p>
        </w:tc>
      </w:tr>
    </w:tbl>
    <w:p w14:paraId="23727AE5">
      <w:pPr>
        <w:adjustRightInd w:val="0"/>
        <w:spacing w:before="240"/>
        <w:rPr>
          <w:color w:val="auto"/>
          <w:szCs w:val="21"/>
        </w:rPr>
      </w:pPr>
      <w:r>
        <w:rPr>
          <w:color w:val="auto"/>
          <w:szCs w:val="21"/>
        </w:rPr>
        <w:t>求：</w:t>
      </w:r>
      <w:r>
        <w:rPr>
          <w:b/>
          <w:color w:val="auto"/>
          <w:szCs w:val="21"/>
        </w:rPr>
        <w:t>1</w:t>
      </w:r>
      <w:r>
        <w:rPr>
          <w:color w:val="auto"/>
          <w:szCs w:val="21"/>
        </w:rPr>
        <w:t xml:space="preserve">  建筑物中心点下附加压力引起的沉降量；</w:t>
      </w:r>
    </w:p>
    <w:p w14:paraId="5FB421B9">
      <w:pPr>
        <w:adjustRightInd w:val="0"/>
        <w:ind w:firstLine="420"/>
        <w:rPr>
          <w:color w:val="auto"/>
          <w:szCs w:val="21"/>
        </w:rPr>
      </w:pPr>
      <w:r>
        <w:rPr>
          <w:b/>
          <w:color w:val="auto"/>
          <w:szCs w:val="21"/>
        </w:rPr>
        <w:t>2</w:t>
      </w:r>
      <w:r>
        <w:rPr>
          <w:color w:val="auto"/>
          <w:szCs w:val="21"/>
        </w:rPr>
        <w:t xml:space="preserve">  基坑开挖回弹再压缩沉降量；</w:t>
      </w:r>
    </w:p>
    <w:p w14:paraId="64111FDF">
      <w:pPr>
        <w:adjustRightInd w:val="0"/>
        <w:ind w:firstLine="420"/>
        <w:rPr>
          <w:color w:val="auto"/>
          <w:szCs w:val="21"/>
        </w:rPr>
      </w:pPr>
      <w:r>
        <w:rPr>
          <w:b/>
          <w:color w:val="auto"/>
          <w:szCs w:val="21"/>
        </w:rPr>
        <w:t>3</w:t>
      </w:r>
      <w:r>
        <w:rPr>
          <w:color w:val="auto"/>
          <w:szCs w:val="21"/>
        </w:rPr>
        <w:t xml:space="preserve">  总沉降量。</w:t>
      </w:r>
    </w:p>
    <w:p w14:paraId="5D0EE862">
      <w:pPr>
        <w:adjustRightInd w:val="0"/>
        <w:rPr>
          <w:color w:val="auto"/>
          <w:szCs w:val="21"/>
        </w:rPr>
      </w:pPr>
      <w:r>
        <w:rPr>
          <w:color w:val="auto"/>
          <w:szCs w:val="21"/>
        </w:rPr>
        <w:t>解：</w:t>
      </w:r>
    </w:p>
    <w:p w14:paraId="07DD697B">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3</w:t>
      </w:r>
      <w:r>
        <w:rPr>
          <w:color w:val="auto"/>
        </w:rPr>
        <w:fldChar w:fldCharType="end"/>
      </w:r>
      <w:r>
        <w:rPr>
          <w:b/>
          <w:color w:val="auto"/>
          <w:szCs w:val="21"/>
        </w:rPr>
        <w:t xml:space="preserve">   分层计算土自重压力、附加压力，确定压缩层下限</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7"/>
        <w:gridCol w:w="693"/>
        <w:gridCol w:w="839"/>
        <w:gridCol w:w="744"/>
        <w:gridCol w:w="805"/>
        <w:gridCol w:w="1074"/>
        <w:gridCol w:w="1034"/>
        <w:gridCol w:w="1148"/>
        <w:gridCol w:w="961"/>
        <w:gridCol w:w="1242"/>
      </w:tblGrid>
      <w:tr w14:paraId="2C6CF7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08EF699A">
            <w:pPr>
              <w:adjustRightInd w:val="0"/>
              <w:snapToGrid w:val="0"/>
              <w:ind w:left="3" w:leftChars="-7" w:right="-111" w:rightChars="-53" w:hanging="18" w:hangingChars="10"/>
              <w:jc w:val="center"/>
              <w:rPr>
                <w:color w:val="auto"/>
                <w:sz w:val="18"/>
                <w:szCs w:val="18"/>
              </w:rPr>
            </w:pPr>
            <w:r>
              <w:rPr>
                <w:color w:val="auto"/>
                <w:sz w:val="18"/>
                <w:szCs w:val="18"/>
              </w:rPr>
              <w:t>分层</w:t>
            </w:r>
          </w:p>
          <w:p w14:paraId="3201D5DE">
            <w:pPr>
              <w:adjustRightInd w:val="0"/>
              <w:snapToGrid w:val="0"/>
              <w:ind w:left="3" w:leftChars="-7" w:right="-111" w:rightChars="-53" w:hanging="18" w:hangingChars="10"/>
              <w:jc w:val="center"/>
              <w:rPr>
                <w:color w:val="auto"/>
                <w:sz w:val="18"/>
                <w:szCs w:val="18"/>
              </w:rPr>
            </w:pPr>
            <w:r>
              <w:rPr>
                <w:color w:val="auto"/>
                <w:sz w:val="18"/>
                <w:szCs w:val="18"/>
              </w:rPr>
              <w:t>序号</w:t>
            </w:r>
          </w:p>
        </w:tc>
        <w:tc>
          <w:tcPr>
            <w:tcW w:w="693" w:type="dxa"/>
            <w:noWrap w:val="0"/>
            <w:vAlign w:val="center"/>
          </w:tcPr>
          <w:p w14:paraId="6E16C6BA">
            <w:pPr>
              <w:adjustRightInd w:val="0"/>
              <w:snapToGrid w:val="0"/>
              <w:ind w:left="20" w:leftChars="-42" w:right="-63" w:rightChars="-30" w:hanging="108" w:hangingChars="60"/>
              <w:jc w:val="center"/>
              <w:rPr>
                <w:color w:val="auto"/>
                <w:sz w:val="18"/>
                <w:szCs w:val="18"/>
              </w:rPr>
            </w:pPr>
            <w:r>
              <w:rPr>
                <w:color w:val="auto"/>
                <w:sz w:val="18"/>
                <w:szCs w:val="18"/>
              </w:rPr>
              <w:t>深度(m)</w:t>
            </w:r>
          </w:p>
        </w:tc>
        <w:tc>
          <w:tcPr>
            <w:tcW w:w="839" w:type="dxa"/>
            <w:noWrap w:val="0"/>
            <w:vAlign w:val="center"/>
          </w:tcPr>
          <w:p w14:paraId="59581A7E">
            <w:pPr>
              <w:adjustRightInd w:val="0"/>
              <w:snapToGrid w:val="0"/>
              <w:ind w:left="25" w:leftChars="-57" w:right="-126" w:rightChars="-60" w:hanging="145" w:hangingChars="81"/>
              <w:jc w:val="center"/>
              <w:rPr>
                <w:color w:val="auto"/>
                <w:sz w:val="18"/>
                <w:szCs w:val="18"/>
              </w:rPr>
            </w:pPr>
            <w:r>
              <w:rPr>
                <w:color w:val="auto"/>
                <w:sz w:val="18"/>
                <w:szCs w:val="18"/>
              </w:rPr>
              <w:t>相对基</w:t>
            </w:r>
          </w:p>
          <w:p w14:paraId="587C2127">
            <w:pPr>
              <w:adjustRightInd w:val="0"/>
              <w:snapToGrid w:val="0"/>
              <w:ind w:left="25" w:leftChars="-57" w:right="-126" w:rightChars="-60" w:hanging="145" w:hangingChars="81"/>
              <w:jc w:val="center"/>
              <w:rPr>
                <w:color w:val="auto"/>
                <w:sz w:val="18"/>
                <w:szCs w:val="18"/>
              </w:rPr>
            </w:pPr>
            <w:r>
              <w:rPr>
                <w:color w:val="auto"/>
                <w:sz w:val="18"/>
                <w:szCs w:val="18"/>
              </w:rPr>
              <w:t>底深度</w:t>
            </w:r>
          </w:p>
          <w:p w14:paraId="3FB1DB32">
            <w:pPr>
              <w:adjustRightInd w:val="0"/>
              <w:snapToGrid w:val="0"/>
              <w:ind w:left="25" w:leftChars="-57" w:right="-126" w:rightChars="-60" w:hanging="145" w:hangingChars="81"/>
              <w:jc w:val="center"/>
              <w:rPr>
                <w:color w:val="auto"/>
                <w:sz w:val="18"/>
                <w:szCs w:val="18"/>
              </w:rPr>
            </w:pPr>
            <w:r>
              <w:rPr>
                <w:color w:val="auto"/>
                <w:sz w:val="18"/>
                <w:szCs w:val="18"/>
              </w:rPr>
              <w:t>(m)</w:t>
            </w:r>
          </w:p>
        </w:tc>
        <w:tc>
          <w:tcPr>
            <w:tcW w:w="744" w:type="dxa"/>
            <w:noWrap w:val="0"/>
            <w:vAlign w:val="center"/>
          </w:tcPr>
          <w:p w14:paraId="5A2922C7">
            <w:pPr>
              <w:adjustRightInd w:val="0"/>
              <w:snapToGrid w:val="0"/>
              <w:ind w:left="22" w:leftChars="-51" w:right="-111" w:rightChars="-53" w:hanging="129" w:hangingChars="72"/>
              <w:jc w:val="center"/>
              <w:rPr>
                <w:color w:val="auto"/>
                <w:sz w:val="18"/>
                <w:szCs w:val="18"/>
              </w:rPr>
            </w:pPr>
            <w:r>
              <w:rPr>
                <w:color w:val="auto"/>
                <w:sz w:val="18"/>
                <w:szCs w:val="18"/>
              </w:rPr>
              <w:t>分层</w:t>
            </w:r>
          </w:p>
          <w:p w14:paraId="4A2752E3">
            <w:pPr>
              <w:adjustRightInd w:val="0"/>
              <w:snapToGrid w:val="0"/>
              <w:ind w:left="22" w:leftChars="-51" w:right="-111" w:rightChars="-53" w:hanging="129" w:hangingChars="72"/>
              <w:jc w:val="center"/>
              <w:rPr>
                <w:color w:val="auto"/>
                <w:sz w:val="18"/>
                <w:szCs w:val="18"/>
              </w:rPr>
            </w:pPr>
            <w:r>
              <w:rPr>
                <w:color w:val="auto"/>
                <w:sz w:val="18"/>
                <w:szCs w:val="18"/>
              </w:rPr>
              <w:t>厚度</w:t>
            </w:r>
          </w:p>
          <w:p w14:paraId="2356534A">
            <w:pPr>
              <w:adjustRightInd w:val="0"/>
              <w:snapToGrid w:val="0"/>
              <w:ind w:left="22" w:leftChars="-51" w:right="-111" w:rightChars="-53" w:hanging="129" w:hangingChars="72"/>
              <w:jc w:val="center"/>
              <w:rPr>
                <w:color w:val="auto"/>
                <w:sz w:val="18"/>
                <w:szCs w:val="18"/>
              </w:rPr>
            </w:pPr>
            <w:r>
              <w:rPr>
                <w:color w:val="auto"/>
                <w:sz w:val="18"/>
                <w:szCs w:val="18"/>
              </w:rPr>
              <w:t>(cm)</w:t>
            </w:r>
          </w:p>
        </w:tc>
        <w:tc>
          <w:tcPr>
            <w:tcW w:w="805" w:type="dxa"/>
            <w:noWrap w:val="0"/>
            <w:vAlign w:val="center"/>
          </w:tcPr>
          <w:p w14:paraId="565A89DF">
            <w:pPr>
              <w:adjustRightInd w:val="0"/>
              <w:snapToGrid w:val="0"/>
              <w:ind w:left="22" w:leftChars="-51" w:right="-111" w:rightChars="-53" w:hanging="129" w:hangingChars="72"/>
              <w:jc w:val="center"/>
              <w:rPr>
                <w:color w:val="auto"/>
                <w:sz w:val="18"/>
                <w:szCs w:val="18"/>
              </w:rPr>
            </w:pPr>
            <w:r>
              <w:rPr>
                <w:color w:val="auto"/>
                <w:sz w:val="18"/>
                <w:szCs w:val="18"/>
              </w:rPr>
              <w:t>分层中</w:t>
            </w:r>
          </w:p>
          <w:p w14:paraId="6EE91878">
            <w:pPr>
              <w:adjustRightInd w:val="0"/>
              <w:snapToGrid w:val="0"/>
              <w:ind w:left="22" w:leftChars="-51" w:right="-111" w:rightChars="-53" w:hanging="129" w:hangingChars="72"/>
              <w:jc w:val="center"/>
              <w:rPr>
                <w:color w:val="auto"/>
                <w:sz w:val="18"/>
                <w:szCs w:val="18"/>
              </w:rPr>
            </w:pPr>
            <w:r>
              <w:rPr>
                <w:color w:val="auto"/>
                <w:sz w:val="18"/>
                <w:szCs w:val="18"/>
              </w:rPr>
              <w:t>点深度</w:t>
            </w:r>
          </w:p>
          <w:p w14:paraId="616052CE">
            <w:pPr>
              <w:adjustRightInd w:val="0"/>
              <w:snapToGrid w:val="0"/>
              <w:ind w:left="22" w:leftChars="-51" w:right="-111" w:rightChars="-53" w:hanging="129" w:hangingChars="72"/>
              <w:jc w:val="center"/>
              <w:rPr>
                <w:color w:val="auto"/>
                <w:sz w:val="18"/>
                <w:szCs w:val="18"/>
              </w:rPr>
            </w:pPr>
            <w:r>
              <w:rPr>
                <w:color w:val="auto"/>
                <w:sz w:val="18"/>
                <w:szCs w:val="18"/>
              </w:rPr>
              <w:t>(m)</w:t>
            </w:r>
          </w:p>
        </w:tc>
        <w:tc>
          <w:tcPr>
            <w:tcW w:w="1074" w:type="dxa"/>
            <w:noWrap w:val="0"/>
            <w:vAlign w:val="center"/>
          </w:tcPr>
          <w:p w14:paraId="51046831">
            <w:pPr>
              <w:adjustRightInd w:val="0"/>
              <w:snapToGrid w:val="0"/>
              <w:ind w:left="22" w:leftChars="-51" w:right="-115" w:rightChars="-55" w:hanging="129" w:hangingChars="72"/>
              <w:jc w:val="center"/>
              <w:rPr>
                <w:color w:val="auto"/>
                <w:sz w:val="18"/>
                <w:szCs w:val="18"/>
              </w:rPr>
            </w:pPr>
            <w:r>
              <w:rPr>
                <w:color w:val="auto"/>
                <w:sz w:val="18"/>
                <w:szCs w:val="18"/>
              </w:rPr>
              <w:t>土自重</w:t>
            </w:r>
          </w:p>
          <w:p w14:paraId="59635D3C">
            <w:pPr>
              <w:adjustRightInd w:val="0"/>
              <w:snapToGrid w:val="0"/>
              <w:ind w:left="22" w:leftChars="-51" w:right="-115" w:rightChars="-55" w:hanging="129" w:hangingChars="72"/>
              <w:jc w:val="center"/>
              <w:rPr>
                <w:color w:val="auto"/>
                <w:sz w:val="18"/>
                <w:szCs w:val="18"/>
              </w:rPr>
            </w:pPr>
            <w:r>
              <w:rPr>
                <w:color w:val="auto"/>
                <w:sz w:val="18"/>
                <w:szCs w:val="18"/>
              </w:rPr>
              <w:t>压力</w:t>
            </w:r>
          </w:p>
          <w:p w14:paraId="2AEF1336">
            <w:pPr>
              <w:adjustRightInd w:val="0"/>
              <w:snapToGrid w:val="0"/>
              <w:ind w:left="22" w:leftChars="-51" w:right="-115" w:rightChars="-55" w:hanging="129" w:hangingChars="72"/>
              <w:jc w:val="center"/>
              <w:rPr>
                <w:color w:val="auto"/>
                <w:sz w:val="18"/>
                <w:szCs w:val="18"/>
              </w:rPr>
            </w:pPr>
            <w:r>
              <w:rPr>
                <w:i/>
                <w:color w:val="auto"/>
                <w:sz w:val="18"/>
                <w:szCs w:val="18"/>
              </w:rPr>
              <w:t>p</w:t>
            </w:r>
            <w:r>
              <w:rPr>
                <w:iCs/>
                <w:color w:val="auto"/>
                <w:sz w:val="18"/>
                <w:szCs w:val="18"/>
                <w:vertAlign w:val="subscript"/>
              </w:rPr>
              <w:t>0</w:t>
            </w:r>
            <w:r>
              <w:rPr>
                <w:i/>
                <w:color w:val="auto"/>
                <w:sz w:val="18"/>
                <w:szCs w:val="18"/>
                <w:vertAlign w:val="subscript"/>
              </w:rPr>
              <w:t>i</w:t>
            </w:r>
            <w:r>
              <w:rPr>
                <w:color w:val="auto"/>
                <w:sz w:val="18"/>
                <w:szCs w:val="18"/>
              </w:rPr>
              <w:t>(kPa)</w:t>
            </w:r>
          </w:p>
        </w:tc>
        <w:tc>
          <w:tcPr>
            <w:tcW w:w="1034" w:type="dxa"/>
            <w:noWrap w:val="0"/>
            <w:vAlign w:val="center"/>
          </w:tcPr>
          <w:p w14:paraId="4F1AE7AE">
            <w:pPr>
              <w:adjustRightInd w:val="0"/>
              <w:snapToGrid w:val="0"/>
              <w:jc w:val="center"/>
              <w:rPr>
                <w:color w:val="auto"/>
                <w:sz w:val="18"/>
                <w:szCs w:val="18"/>
                <w:vertAlign w:val="subscript"/>
              </w:rPr>
            </w:pPr>
            <w:r>
              <w:rPr>
                <w:color w:val="auto"/>
                <w:sz w:val="18"/>
                <w:szCs w:val="18"/>
              </w:rPr>
              <w:t>附加应力系数</w:t>
            </w:r>
            <w:r>
              <w:rPr>
                <w:color w:val="auto"/>
                <w:position w:val="-12"/>
                <w:sz w:val="18"/>
                <w:szCs w:val="18"/>
              </w:rPr>
              <w:object>
                <v:shape id="_x0000_i1815" o:spt="75" type="#_x0000_t75" style="height:18pt;width:10pt;" o:ole="t" filled="f" stroked="f" coordsize="21600,21600">
                  <v:path/>
                  <v:fill on="f" focussize="0,0"/>
                  <v:stroke on="f"/>
                  <v:imagedata r:id="rId1546" o:title=""/>
                  <o:lock v:ext="edit" grouping="f" rotation="f" text="f" aspectratio="t"/>
                  <w10:wrap type="none"/>
                  <w10:anchorlock/>
                </v:shape>
                <o:OLEObject Type="Embed" ProgID="Equation.DSMT4" ShapeID="_x0000_i1815" DrawAspect="Content" ObjectID="_1468076515" r:id="rId1545">
                  <o:LockedField>false</o:LockedField>
                </o:OLEObject>
              </w:object>
            </w:r>
          </w:p>
        </w:tc>
        <w:tc>
          <w:tcPr>
            <w:tcW w:w="1148" w:type="dxa"/>
            <w:noWrap w:val="0"/>
            <w:vAlign w:val="center"/>
          </w:tcPr>
          <w:p w14:paraId="1040CBA2">
            <w:pPr>
              <w:adjustRightInd w:val="0"/>
              <w:snapToGrid w:val="0"/>
              <w:ind w:left="28" w:leftChars="-63" w:right="-82" w:rightChars="-39" w:hanging="160" w:hangingChars="89"/>
              <w:jc w:val="center"/>
              <w:rPr>
                <w:color w:val="auto"/>
                <w:sz w:val="18"/>
                <w:szCs w:val="18"/>
              </w:rPr>
            </w:pPr>
            <w:r>
              <w:rPr>
                <w:color w:val="auto"/>
                <w:sz w:val="18"/>
                <w:szCs w:val="18"/>
              </w:rPr>
              <w:t>附加应</w:t>
            </w:r>
          </w:p>
          <w:p w14:paraId="640421C7">
            <w:pPr>
              <w:adjustRightInd w:val="0"/>
              <w:snapToGrid w:val="0"/>
              <w:ind w:left="28" w:leftChars="-63" w:right="-82" w:rightChars="-39" w:hanging="160" w:hangingChars="89"/>
              <w:jc w:val="center"/>
              <w:rPr>
                <w:i/>
                <w:color w:val="auto"/>
                <w:sz w:val="18"/>
                <w:szCs w:val="18"/>
                <w:vertAlign w:val="subscript"/>
              </w:rPr>
            </w:pPr>
            <w:r>
              <w:rPr>
                <w:color w:val="auto"/>
                <w:sz w:val="18"/>
                <w:szCs w:val="18"/>
              </w:rPr>
              <w:t>力</w:t>
            </w:r>
            <w:r>
              <w:rPr>
                <w:i/>
                <w:color w:val="auto"/>
                <w:sz w:val="18"/>
                <w:szCs w:val="18"/>
              </w:rPr>
              <w:t>p</w:t>
            </w:r>
            <w:r>
              <w:rPr>
                <w:iCs/>
                <w:color w:val="auto"/>
                <w:sz w:val="18"/>
                <w:szCs w:val="18"/>
                <w:vertAlign w:val="subscript"/>
              </w:rPr>
              <w:t>z</w:t>
            </w:r>
            <w:r>
              <w:rPr>
                <w:i/>
                <w:color w:val="auto"/>
                <w:sz w:val="18"/>
                <w:szCs w:val="18"/>
                <w:vertAlign w:val="subscript"/>
              </w:rPr>
              <w:t>i</w:t>
            </w:r>
          </w:p>
          <w:p w14:paraId="239D3162">
            <w:pPr>
              <w:adjustRightInd w:val="0"/>
              <w:snapToGrid w:val="0"/>
              <w:ind w:left="28" w:leftChars="-63" w:right="-82" w:rightChars="-39" w:hanging="160" w:hangingChars="89"/>
              <w:jc w:val="center"/>
              <w:rPr>
                <w:color w:val="auto"/>
                <w:sz w:val="18"/>
                <w:szCs w:val="18"/>
              </w:rPr>
            </w:pPr>
            <w:r>
              <w:rPr>
                <w:color w:val="auto"/>
                <w:sz w:val="18"/>
                <w:szCs w:val="18"/>
              </w:rPr>
              <w:t>(kPa)</w:t>
            </w:r>
          </w:p>
        </w:tc>
        <w:tc>
          <w:tcPr>
            <w:tcW w:w="961" w:type="dxa"/>
            <w:noWrap w:val="0"/>
            <w:vAlign w:val="center"/>
          </w:tcPr>
          <w:p w14:paraId="71605173">
            <w:pPr>
              <w:adjustRightInd w:val="0"/>
              <w:snapToGrid w:val="0"/>
              <w:jc w:val="center"/>
              <w:rPr>
                <w:color w:val="auto"/>
                <w:sz w:val="18"/>
                <w:szCs w:val="18"/>
              </w:rPr>
            </w:pPr>
            <w:r>
              <w:rPr>
                <w:i/>
                <w:color w:val="auto"/>
                <w:sz w:val="18"/>
                <w:szCs w:val="18"/>
              </w:rPr>
              <w:t>p</w:t>
            </w:r>
            <w:r>
              <w:rPr>
                <w:iCs/>
                <w:color w:val="auto"/>
                <w:sz w:val="18"/>
                <w:szCs w:val="18"/>
                <w:vertAlign w:val="subscript"/>
              </w:rPr>
              <w:t>o</w:t>
            </w:r>
            <w:r>
              <w:rPr>
                <w:i/>
                <w:color w:val="auto"/>
                <w:sz w:val="18"/>
                <w:szCs w:val="18"/>
                <w:vertAlign w:val="subscript"/>
              </w:rPr>
              <w:t>i</w:t>
            </w:r>
            <w:r>
              <w:rPr>
                <w:i/>
                <w:color w:val="auto"/>
                <w:sz w:val="18"/>
                <w:szCs w:val="18"/>
              </w:rPr>
              <w:t xml:space="preserve"> </w:t>
            </w:r>
            <w:r>
              <w:rPr>
                <w:color w:val="auto"/>
                <w:sz w:val="18"/>
                <w:szCs w:val="18"/>
              </w:rPr>
              <w:t>+</w:t>
            </w:r>
            <w:r>
              <w:rPr>
                <w:i/>
                <w:color w:val="auto"/>
                <w:sz w:val="18"/>
                <w:szCs w:val="18"/>
              </w:rPr>
              <w:t>p</w:t>
            </w:r>
            <w:r>
              <w:rPr>
                <w:iCs/>
                <w:color w:val="auto"/>
                <w:sz w:val="18"/>
                <w:szCs w:val="18"/>
                <w:vertAlign w:val="subscript"/>
              </w:rPr>
              <w:t>z</w:t>
            </w:r>
            <w:r>
              <w:rPr>
                <w:i/>
                <w:color w:val="auto"/>
                <w:sz w:val="18"/>
                <w:szCs w:val="18"/>
                <w:vertAlign w:val="subscript"/>
              </w:rPr>
              <w:t>i</w:t>
            </w:r>
          </w:p>
          <w:p w14:paraId="173E59E1">
            <w:pPr>
              <w:adjustRightInd w:val="0"/>
              <w:snapToGrid w:val="0"/>
              <w:jc w:val="center"/>
              <w:rPr>
                <w:color w:val="auto"/>
                <w:sz w:val="18"/>
                <w:szCs w:val="18"/>
              </w:rPr>
            </w:pPr>
            <w:r>
              <w:rPr>
                <w:color w:val="auto"/>
                <w:sz w:val="18"/>
                <w:szCs w:val="18"/>
              </w:rPr>
              <w:t>(kPa)</w:t>
            </w:r>
          </w:p>
        </w:tc>
        <w:tc>
          <w:tcPr>
            <w:tcW w:w="1242" w:type="dxa"/>
            <w:noWrap w:val="0"/>
            <w:vAlign w:val="center"/>
          </w:tcPr>
          <w:p w14:paraId="2101795F">
            <w:pPr>
              <w:adjustRightInd w:val="0"/>
              <w:snapToGrid w:val="0"/>
              <w:jc w:val="center"/>
              <w:rPr>
                <w:color w:val="auto"/>
                <w:sz w:val="18"/>
                <w:szCs w:val="18"/>
              </w:rPr>
            </w:pPr>
            <w:r>
              <w:rPr>
                <w:color w:val="auto"/>
                <w:sz w:val="18"/>
                <w:szCs w:val="18"/>
              </w:rPr>
              <w:t>前期固结压力</w:t>
            </w:r>
            <w:r>
              <w:rPr>
                <w:i/>
                <w:color w:val="auto"/>
                <w:sz w:val="18"/>
                <w:szCs w:val="18"/>
              </w:rPr>
              <w:t>p</w:t>
            </w:r>
            <w:r>
              <w:rPr>
                <w:iCs/>
                <w:color w:val="auto"/>
                <w:sz w:val="18"/>
                <w:szCs w:val="18"/>
                <w:vertAlign w:val="subscript"/>
              </w:rPr>
              <w:t>c</w:t>
            </w:r>
            <w:r>
              <w:rPr>
                <w:color w:val="auto"/>
                <w:sz w:val="18"/>
                <w:szCs w:val="18"/>
              </w:rPr>
              <w:t>(kPa)</w:t>
            </w:r>
          </w:p>
        </w:tc>
      </w:tr>
      <w:tr w14:paraId="7E973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787BD62B">
            <w:pPr>
              <w:adjustRightInd w:val="0"/>
              <w:snapToGrid w:val="0"/>
              <w:jc w:val="center"/>
              <w:rPr>
                <w:color w:val="auto"/>
                <w:sz w:val="18"/>
                <w:szCs w:val="18"/>
              </w:rPr>
            </w:pPr>
            <w:r>
              <w:rPr>
                <w:color w:val="auto"/>
                <w:sz w:val="18"/>
                <w:szCs w:val="18"/>
              </w:rPr>
              <w:t>1</w:t>
            </w:r>
          </w:p>
        </w:tc>
        <w:tc>
          <w:tcPr>
            <w:tcW w:w="693" w:type="dxa"/>
            <w:noWrap w:val="0"/>
            <w:vAlign w:val="center"/>
          </w:tcPr>
          <w:p w14:paraId="187FC686">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10.0</w:t>
            </w:r>
          </w:p>
          <w:p w14:paraId="79AB1A3F">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11.5</w:t>
            </w:r>
          </w:p>
        </w:tc>
        <w:tc>
          <w:tcPr>
            <w:tcW w:w="839" w:type="dxa"/>
            <w:noWrap w:val="0"/>
            <w:vAlign w:val="center"/>
          </w:tcPr>
          <w:p w14:paraId="2A7DB800">
            <w:pPr>
              <w:adjustRightInd w:val="0"/>
              <w:snapToGrid w:val="0"/>
              <w:spacing w:line="240" w:lineRule="atLeast"/>
              <w:jc w:val="center"/>
              <w:rPr>
                <w:color w:val="auto"/>
                <w:sz w:val="18"/>
                <w:szCs w:val="18"/>
              </w:rPr>
            </w:pPr>
            <w:r>
              <w:rPr>
                <w:color w:val="auto"/>
                <w:sz w:val="18"/>
                <w:szCs w:val="18"/>
              </w:rPr>
              <w:t>0.0</w:t>
            </w:r>
          </w:p>
          <w:p w14:paraId="0BBB5E60">
            <w:pPr>
              <w:adjustRightInd w:val="0"/>
              <w:snapToGrid w:val="0"/>
              <w:spacing w:line="240" w:lineRule="atLeast"/>
              <w:jc w:val="center"/>
              <w:rPr>
                <w:color w:val="auto"/>
                <w:sz w:val="18"/>
                <w:szCs w:val="18"/>
              </w:rPr>
            </w:pPr>
            <w:r>
              <w:rPr>
                <w:color w:val="auto"/>
                <w:sz w:val="18"/>
                <w:szCs w:val="18"/>
              </w:rPr>
              <w:t>1.5</w:t>
            </w:r>
          </w:p>
        </w:tc>
        <w:tc>
          <w:tcPr>
            <w:tcW w:w="744" w:type="dxa"/>
            <w:noWrap w:val="0"/>
            <w:vAlign w:val="center"/>
          </w:tcPr>
          <w:p w14:paraId="2A260027">
            <w:pPr>
              <w:adjustRightInd w:val="0"/>
              <w:snapToGrid w:val="0"/>
              <w:spacing w:line="240" w:lineRule="atLeast"/>
              <w:jc w:val="center"/>
              <w:rPr>
                <w:color w:val="auto"/>
                <w:sz w:val="18"/>
                <w:szCs w:val="18"/>
              </w:rPr>
            </w:pPr>
            <w:r>
              <w:rPr>
                <w:color w:val="auto"/>
                <w:sz w:val="18"/>
                <w:szCs w:val="18"/>
              </w:rPr>
              <w:t>150</w:t>
            </w:r>
          </w:p>
        </w:tc>
        <w:tc>
          <w:tcPr>
            <w:tcW w:w="805" w:type="dxa"/>
            <w:noWrap w:val="0"/>
            <w:vAlign w:val="center"/>
          </w:tcPr>
          <w:p w14:paraId="4BD76BE7">
            <w:pPr>
              <w:adjustRightInd w:val="0"/>
              <w:snapToGrid w:val="0"/>
              <w:jc w:val="center"/>
              <w:rPr>
                <w:color w:val="auto"/>
                <w:sz w:val="18"/>
                <w:szCs w:val="18"/>
              </w:rPr>
            </w:pPr>
            <w:r>
              <w:rPr>
                <w:color w:val="auto"/>
                <w:sz w:val="18"/>
                <w:szCs w:val="18"/>
              </w:rPr>
              <w:t>0.75</w:t>
            </w:r>
          </w:p>
        </w:tc>
        <w:tc>
          <w:tcPr>
            <w:tcW w:w="1074" w:type="dxa"/>
            <w:noWrap w:val="0"/>
            <w:vAlign w:val="center"/>
          </w:tcPr>
          <w:p w14:paraId="14FBA967">
            <w:pPr>
              <w:adjustRightInd w:val="0"/>
              <w:snapToGrid w:val="0"/>
              <w:jc w:val="center"/>
              <w:rPr>
                <w:color w:val="auto"/>
                <w:sz w:val="18"/>
                <w:szCs w:val="18"/>
              </w:rPr>
            </w:pPr>
            <w:r>
              <w:rPr>
                <w:color w:val="auto"/>
                <w:sz w:val="18"/>
                <w:szCs w:val="18"/>
              </w:rPr>
              <w:t>124.9</w:t>
            </w:r>
          </w:p>
        </w:tc>
        <w:tc>
          <w:tcPr>
            <w:tcW w:w="1034" w:type="dxa"/>
            <w:noWrap w:val="0"/>
            <w:vAlign w:val="center"/>
          </w:tcPr>
          <w:p w14:paraId="2778C9CD">
            <w:pPr>
              <w:adjustRightInd w:val="0"/>
              <w:snapToGrid w:val="0"/>
              <w:jc w:val="center"/>
              <w:rPr>
                <w:color w:val="auto"/>
                <w:sz w:val="18"/>
                <w:szCs w:val="18"/>
              </w:rPr>
            </w:pPr>
            <w:r>
              <w:rPr>
                <w:color w:val="auto"/>
                <w:sz w:val="18"/>
                <w:szCs w:val="18"/>
              </w:rPr>
              <w:t>0.9991</w:t>
            </w:r>
          </w:p>
        </w:tc>
        <w:tc>
          <w:tcPr>
            <w:tcW w:w="1148" w:type="dxa"/>
            <w:noWrap w:val="0"/>
            <w:vAlign w:val="center"/>
          </w:tcPr>
          <w:p w14:paraId="14A1CA4B">
            <w:pPr>
              <w:adjustRightInd w:val="0"/>
              <w:snapToGrid w:val="0"/>
              <w:jc w:val="center"/>
              <w:rPr>
                <w:color w:val="auto"/>
                <w:sz w:val="18"/>
                <w:szCs w:val="18"/>
              </w:rPr>
            </w:pPr>
            <w:r>
              <w:rPr>
                <w:color w:val="auto"/>
                <w:sz w:val="18"/>
                <w:szCs w:val="18"/>
              </w:rPr>
              <w:t>138.3</w:t>
            </w:r>
          </w:p>
        </w:tc>
        <w:tc>
          <w:tcPr>
            <w:tcW w:w="961" w:type="dxa"/>
            <w:noWrap w:val="0"/>
            <w:vAlign w:val="center"/>
          </w:tcPr>
          <w:p w14:paraId="12597E44">
            <w:pPr>
              <w:adjustRightInd w:val="0"/>
              <w:snapToGrid w:val="0"/>
              <w:jc w:val="center"/>
              <w:rPr>
                <w:color w:val="auto"/>
                <w:sz w:val="18"/>
                <w:szCs w:val="18"/>
              </w:rPr>
            </w:pPr>
            <w:r>
              <w:rPr>
                <w:color w:val="auto"/>
                <w:sz w:val="18"/>
                <w:szCs w:val="18"/>
              </w:rPr>
              <w:t>263.2</w:t>
            </w:r>
          </w:p>
        </w:tc>
        <w:tc>
          <w:tcPr>
            <w:tcW w:w="1242" w:type="dxa"/>
            <w:noWrap w:val="0"/>
            <w:vAlign w:val="center"/>
          </w:tcPr>
          <w:p w14:paraId="1BDCE505">
            <w:pPr>
              <w:adjustRightInd w:val="0"/>
              <w:snapToGrid w:val="0"/>
              <w:ind w:left="24" w:leftChars="-52" w:right="-80" w:rightChars="-38" w:hanging="133" w:hangingChars="74"/>
              <w:jc w:val="center"/>
              <w:rPr>
                <w:color w:val="auto"/>
                <w:sz w:val="18"/>
                <w:szCs w:val="18"/>
              </w:rPr>
            </w:pPr>
            <w:r>
              <w:rPr>
                <w:color w:val="auto"/>
                <w:sz w:val="18"/>
                <w:szCs w:val="18"/>
              </w:rPr>
              <w:t>认为与土自</w:t>
            </w:r>
          </w:p>
          <w:p w14:paraId="774AA2F2">
            <w:pPr>
              <w:adjustRightInd w:val="0"/>
              <w:snapToGrid w:val="0"/>
              <w:ind w:left="24" w:leftChars="-52" w:right="-80" w:rightChars="-38" w:hanging="133" w:hangingChars="74"/>
              <w:jc w:val="center"/>
              <w:rPr>
                <w:color w:val="auto"/>
                <w:sz w:val="18"/>
                <w:szCs w:val="18"/>
              </w:rPr>
            </w:pPr>
            <w:r>
              <w:rPr>
                <w:color w:val="auto"/>
                <w:sz w:val="18"/>
                <w:szCs w:val="18"/>
              </w:rPr>
              <w:t>重压力相等</w:t>
            </w:r>
          </w:p>
        </w:tc>
      </w:tr>
      <w:tr w14:paraId="5C65F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50A7B8FB">
            <w:pPr>
              <w:adjustRightInd w:val="0"/>
              <w:snapToGrid w:val="0"/>
              <w:jc w:val="center"/>
              <w:rPr>
                <w:color w:val="auto"/>
                <w:sz w:val="18"/>
                <w:szCs w:val="18"/>
              </w:rPr>
            </w:pPr>
            <w:r>
              <w:rPr>
                <w:color w:val="auto"/>
                <w:sz w:val="18"/>
                <w:szCs w:val="18"/>
              </w:rPr>
              <w:t>2</w:t>
            </w:r>
          </w:p>
        </w:tc>
        <w:tc>
          <w:tcPr>
            <w:tcW w:w="693" w:type="dxa"/>
            <w:noWrap w:val="0"/>
            <w:vAlign w:val="center"/>
          </w:tcPr>
          <w:p w14:paraId="05B4AE3C">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11.5</w:t>
            </w:r>
          </w:p>
          <w:p w14:paraId="568AF013">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13.0</w:t>
            </w:r>
          </w:p>
        </w:tc>
        <w:tc>
          <w:tcPr>
            <w:tcW w:w="839" w:type="dxa"/>
            <w:noWrap w:val="0"/>
            <w:vAlign w:val="center"/>
          </w:tcPr>
          <w:p w14:paraId="7588D5B1">
            <w:pPr>
              <w:adjustRightInd w:val="0"/>
              <w:snapToGrid w:val="0"/>
              <w:spacing w:line="240" w:lineRule="atLeast"/>
              <w:jc w:val="center"/>
              <w:rPr>
                <w:color w:val="auto"/>
                <w:sz w:val="18"/>
                <w:szCs w:val="18"/>
              </w:rPr>
            </w:pPr>
            <w:r>
              <w:rPr>
                <w:color w:val="auto"/>
                <w:sz w:val="18"/>
                <w:szCs w:val="18"/>
              </w:rPr>
              <w:t>1.5</w:t>
            </w:r>
          </w:p>
          <w:p w14:paraId="77D7DE2B">
            <w:pPr>
              <w:adjustRightInd w:val="0"/>
              <w:snapToGrid w:val="0"/>
              <w:spacing w:line="240" w:lineRule="atLeast"/>
              <w:jc w:val="center"/>
              <w:rPr>
                <w:color w:val="auto"/>
                <w:sz w:val="18"/>
                <w:szCs w:val="18"/>
              </w:rPr>
            </w:pPr>
            <w:r>
              <w:rPr>
                <w:color w:val="auto"/>
                <w:sz w:val="18"/>
                <w:szCs w:val="18"/>
              </w:rPr>
              <w:t>3.0</w:t>
            </w:r>
          </w:p>
        </w:tc>
        <w:tc>
          <w:tcPr>
            <w:tcW w:w="744" w:type="dxa"/>
            <w:noWrap w:val="0"/>
            <w:vAlign w:val="center"/>
          </w:tcPr>
          <w:p w14:paraId="7A177CAF">
            <w:pPr>
              <w:adjustRightInd w:val="0"/>
              <w:snapToGrid w:val="0"/>
              <w:spacing w:line="240" w:lineRule="atLeast"/>
              <w:jc w:val="center"/>
              <w:rPr>
                <w:color w:val="auto"/>
                <w:sz w:val="18"/>
                <w:szCs w:val="18"/>
              </w:rPr>
            </w:pPr>
            <w:r>
              <w:rPr>
                <w:color w:val="auto"/>
                <w:sz w:val="18"/>
                <w:szCs w:val="18"/>
              </w:rPr>
              <w:t>150</w:t>
            </w:r>
          </w:p>
        </w:tc>
        <w:tc>
          <w:tcPr>
            <w:tcW w:w="805" w:type="dxa"/>
            <w:noWrap w:val="0"/>
            <w:vAlign w:val="center"/>
          </w:tcPr>
          <w:p w14:paraId="557C31DA">
            <w:pPr>
              <w:adjustRightInd w:val="0"/>
              <w:snapToGrid w:val="0"/>
              <w:jc w:val="center"/>
              <w:rPr>
                <w:color w:val="auto"/>
                <w:sz w:val="18"/>
                <w:szCs w:val="18"/>
              </w:rPr>
            </w:pPr>
            <w:r>
              <w:rPr>
                <w:color w:val="auto"/>
                <w:sz w:val="18"/>
                <w:szCs w:val="18"/>
              </w:rPr>
              <w:t>2.25</w:t>
            </w:r>
          </w:p>
        </w:tc>
        <w:tc>
          <w:tcPr>
            <w:tcW w:w="1074" w:type="dxa"/>
            <w:noWrap w:val="0"/>
            <w:vAlign w:val="center"/>
          </w:tcPr>
          <w:p w14:paraId="7CEDE74B">
            <w:pPr>
              <w:adjustRightInd w:val="0"/>
              <w:snapToGrid w:val="0"/>
              <w:jc w:val="center"/>
              <w:rPr>
                <w:color w:val="auto"/>
                <w:sz w:val="18"/>
                <w:szCs w:val="18"/>
              </w:rPr>
            </w:pPr>
            <w:r>
              <w:rPr>
                <w:color w:val="auto"/>
                <w:sz w:val="18"/>
                <w:szCs w:val="18"/>
              </w:rPr>
              <w:t>152.6</w:t>
            </w:r>
          </w:p>
        </w:tc>
        <w:tc>
          <w:tcPr>
            <w:tcW w:w="1034" w:type="dxa"/>
            <w:noWrap w:val="0"/>
            <w:vAlign w:val="center"/>
          </w:tcPr>
          <w:p w14:paraId="19EB9D65">
            <w:pPr>
              <w:adjustRightInd w:val="0"/>
              <w:snapToGrid w:val="0"/>
              <w:jc w:val="center"/>
              <w:rPr>
                <w:color w:val="auto"/>
                <w:sz w:val="18"/>
                <w:szCs w:val="18"/>
              </w:rPr>
            </w:pPr>
            <w:r>
              <w:rPr>
                <w:color w:val="auto"/>
                <w:sz w:val="18"/>
                <w:szCs w:val="18"/>
              </w:rPr>
              <w:t>0.9973</w:t>
            </w:r>
          </w:p>
        </w:tc>
        <w:tc>
          <w:tcPr>
            <w:tcW w:w="1148" w:type="dxa"/>
            <w:noWrap w:val="0"/>
            <w:vAlign w:val="center"/>
          </w:tcPr>
          <w:p w14:paraId="38859DFD">
            <w:pPr>
              <w:adjustRightInd w:val="0"/>
              <w:snapToGrid w:val="0"/>
              <w:jc w:val="center"/>
              <w:rPr>
                <w:color w:val="auto"/>
                <w:sz w:val="18"/>
                <w:szCs w:val="18"/>
              </w:rPr>
            </w:pPr>
            <w:r>
              <w:rPr>
                <w:color w:val="auto"/>
                <w:sz w:val="18"/>
                <w:szCs w:val="18"/>
              </w:rPr>
              <w:t>138.0</w:t>
            </w:r>
          </w:p>
        </w:tc>
        <w:tc>
          <w:tcPr>
            <w:tcW w:w="961" w:type="dxa"/>
            <w:noWrap w:val="0"/>
            <w:vAlign w:val="center"/>
          </w:tcPr>
          <w:p w14:paraId="4A202624">
            <w:pPr>
              <w:adjustRightInd w:val="0"/>
              <w:snapToGrid w:val="0"/>
              <w:jc w:val="center"/>
              <w:rPr>
                <w:color w:val="auto"/>
                <w:sz w:val="18"/>
                <w:szCs w:val="18"/>
              </w:rPr>
            </w:pPr>
            <w:r>
              <w:rPr>
                <w:color w:val="auto"/>
                <w:sz w:val="18"/>
                <w:szCs w:val="18"/>
              </w:rPr>
              <w:t>290.6</w:t>
            </w:r>
          </w:p>
        </w:tc>
        <w:tc>
          <w:tcPr>
            <w:tcW w:w="1242" w:type="dxa"/>
            <w:noWrap w:val="0"/>
            <w:vAlign w:val="center"/>
          </w:tcPr>
          <w:p w14:paraId="1CDAB4F5">
            <w:pPr>
              <w:adjustRightInd w:val="0"/>
              <w:snapToGrid w:val="0"/>
              <w:jc w:val="center"/>
              <w:rPr>
                <w:color w:val="auto"/>
                <w:sz w:val="18"/>
                <w:szCs w:val="18"/>
              </w:rPr>
            </w:pPr>
            <w:r>
              <w:rPr>
                <w:color w:val="auto"/>
                <w:sz w:val="18"/>
                <w:szCs w:val="18"/>
              </w:rPr>
              <w:t>180</w:t>
            </w:r>
          </w:p>
        </w:tc>
      </w:tr>
      <w:tr w14:paraId="05E3A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6209E162">
            <w:pPr>
              <w:adjustRightInd w:val="0"/>
              <w:snapToGrid w:val="0"/>
              <w:jc w:val="center"/>
              <w:rPr>
                <w:color w:val="auto"/>
                <w:sz w:val="18"/>
                <w:szCs w:val="18"/>
              </w:rPr>
            </w:pPr>
            <w:r>
              <w:rPr>
                <w:color w:val="auto"/>
                <w:sz w:val="18"/>
                <w:szCs w:val="18"/>
              </w:rPr>
              <w:t>3</w:t>
            </w:r>
          </w:p>
        </w:tc>
        <w:tc>
          <w:tcPr>
            <w:tcW w:w="693" w:type="dxa"/>
            <w:noWrap w:val="0"/>
            <w:vAlign w:val="center"/>
          </w:tcPr>
          <w:p w14:paraId="3A9FE05D">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13.0</w:t>
            </w:r>
          </w:p>
          <w:p w14:paraId="49DC82BA">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15.0</w:t>
            </w:r>
          </w:p>
        </w:tc>
        <w:tc>
          <w:tcPr>
            <w:tcW w:w="839" w:type="dxa"/>
            <w:noWrap w:val="0"/>
            <w:vAlign w:val="center"/>
          </w:tcPr>
          <w:p w14:paraId="2D93C70F">
            <w:pPr>
              <w:adjustRightInd w:val="0"/>
              <w:snapToGrid w:val="0"/>
              <w:spacing w:line="240" w:lineRule="atLeast"/>
              <w:jc w:val="center"/>
              <w:rPr>
                <w:color w:val="auto"/>
                <w:sz w:val="18"/>
                <w:szCs w:val="18"/>
              </w:rPr>
            </w:pPr>
            <w:r>
              <w:rPr>
                <w:color w:val="auto"/>
                <w:sz w:val="18"/>
                <w:szCs w:val="18"/>
              </w:rPr>
              <w:t>3.0</w:t>
            </w:r>
          </w:p>
          <w:p w14:paraId="71CD06FB">
            <w:pPr>
              <w:adjustRightInd w:val="0"/>
              <w:snapToGrid w:val="0"/>
              <w:spacing w:line="240" w:lineRule="atLeast"/>
              <w:jc w:val="center"/>
              <w:rPr>
                <w:color w:val="auto"/>
                <w:sz w:val="18"/>
                <w:szCs w:val="18"/>
              </w:rPr>
            </w:pPr>
            <w:r>
              <w:rPr>
                <w:color w:val="auto"/>
                <w:sz w:val="18"/>
                <w:szCs w:val="18"/>
              </w:rPr>
              <w:t>5.0</w:t>
            </w:r>
          </w:p>
        </w:tc>
        <w:tc>
          <w:tcPr>
            <w:tcW w:w="744" w:type="dxa"/>
            <w:noWrap w:val="0"/>
            <w:vAlign w:val="center"/>
          </w:tcPr>
          <w:p w14:paraId="0C9C3FB9">
            <w:pPr>
              <w:adjustRightInd w:val="0"/>
              <w:snapToGrid w:val="0"/>
              <w:spacing w:line="240" w:lineRule="atLeast"/>
              <w:jc w:val="center"/>
              <w:rPr>
                <w:color w:val="auto"/>
                <w:sz w:val="18"/>
                <w:szCs w:val="18"/>
              </w:rPr>
            </w:pPr>
            <w:r>
              <w:rPr>
                <w:color w:val="auto"/>
                <w:sz w:val="18"/>
                <w:szCs w:val="18"/>
              </w:rPr>
              <w:t>200</w:t>
            </w:r>
          </w:p>
        </w:tc>
        <w:tc>
          <w:tcPr>
            <w:tcW w:w="805" w:type="dxa"/>
            <w:noWrap w:val="0"/>
            <w:vAlign w:val="center"/>
          </w:tcPr>
          <w:p w14:paraId="006A5194">
            <w:pPr>
              <w:adjustRightInd w:val="0"/>
              <w:snapToGrid w:val="0"/>
              <w:jc w:val="center"/>
              <w:rPr>
                <w:color w:val="auto"/>
                <w:sz w:val="18"/>
                <w:szCs w:val="18"/>
              </w:rPr>
            </w:pPr>
            <w:r>
              <w:rPr>
                <w:color w:val="auto"/>
                <w:sz w:val="18"/>
                <w:szCs w:val="18"/>
              </w:rPr>
              <w:t>4.0</w:t>
            </w:r>
          </w:p>
        </w:tc>
        <w:tc>
          <w:tcPr>
            <w:tcW w:w="1074" w:type="dxa"/>
            <w:noWrap w:val="0"/>
            <w:vAlign w:val="center"/>
          </w:tcPr>
          <w:p w14:paraId="6BEBB432">
            <w:pPr>
              <w:adjustRightInd w:val="0"/>
              <w:snapToGrid w:val="0"/>
              <w:jc w:val="center"/>
              <w:rPr>
                <w:color w:val="auto"/>
                <w:sz w:val="18"/>
                <w:szCs w:val="18"/>
              </w:rPr>
            </w:pPr>
            <w:r>
              <w:rPr>
                <w:color w:val="auto"/>
                <w:sz w:val="18"/>
                <w:szCs w:val="18"/>
              </w:rPr>
              <w:t>186.0</w:t>
            </w:r>
          </w:p>
        </w:tc>
        <w:tc>
          <w:tcPr>
            <w:tcW w:w="1034" w:type="dxa"/>
            <w:noWrap w:val="0"/>
            <w:vAlign w:val="center"/>
          </w:tcPr>
          <w:p w14:paraId="437BABAF">
            <w:pPr>
              <w:adjustRightInd w:val="0"/>
              <w:snapToGrid w:val="0"/>
              <w:jc w:val="center"/>
              <w:rPr>
                <w:color w:val="auto"/>
                <w:sz w:val="18"/>
                <w:szCs w:val="18"/>
              </w:rPr>
            </w:pPr>
            <w:r>
              <w:rPr>
                <w:color w:val="auto"/>
                <w:sz w:val="18"/>
                <w:szCs w:val="18"/>
              </w:rPr>
              <w:t>0.9888</w:t>
            </w:r>
          </w:p>
        </w:tc>
        <w:tc>
          <w:tcPr>
            <w:tcW w:w="1148" w:type="dxa"/>
            <w:noWrap w:val="0"/>
            <w:vAlign w:val="center"/>
          </w:tcPr>
          <w:p w14:paraId="471E95A1">
            <w:pPr>
              <w:adjustRightInd w:val="0"/>
              <w:snapToGrid w:val="0"/>
              <w:jc w:val="center"/>
              <w:rPr>
                <w:color w:val="auto"/>
                <w:sz w:val="18"/>
                <w:szCs w:val="18"/>
              </w:rPr>
            </w:pPr>
            <w:r>
              <w:rPr>
                <w:color w:val="auto"/>
                <w:sz w:val="18"/>
                <w:szCs w:val="18"/>
              </w:rPr>
              <w:t>136.8</w:t>
            </w:r>
          </w:p>
        </w:tc>
        <w:tc>
          <w:tcPr>
            <w:tcW w:w="961" w:type="dxa"/>
            <w:noWrap w:val="0"/>
            <w:vAlign w:val="center"/>
          </w:tcPr>
          <w:p w14:paraId="53C209F9">
            <w:pPr>
              <w:adjustRightInd w:val="0"/>
              <w:snapToGrid w:val="0"/>
              <w:jc w:val="center"/>
              <w:rPr>
                <w:color w:val="auto"/>
                <w:sz w:val="18"/>
                <w:szCs w:val="18"/>
              </w:rPr>
            </w:pPr>
            <w:r>
              <w:rPr>
                <w:color w:val="auto"/>
                <w:sz w:val="18"/>
                <w:szCs w:val="18"/>
              </w:rPr>
              <w:t>322.8</w:t>
            </w:r>
          </w:p>
        </w:tc>
        <w:tc>
          <w:tcPr>
            <w:tcW w:w="1242" w:type="dxa"/>
            <w:noWrap w:val="0"/>
            <w:vAlign w:val="center"/>
          </w:tcPr>
          <w:p w14:paraId="62231B8E">
            <w:pPr>
              <w:adjustRightInd w:val="0"/>
              <w:snapToGrid w:val="0"/>
              <w:jc w:val="center"/>
              <w:rPr>
                <w:color w:val="auto"/>
                <w:sz w:val="18"/>
                <w:szCs w:val="18"/>
              </w:rPr>
            </w:pPr>
            <w:r>
              <w:rPr>
                <w:color w:val="auto"/>
                <w:sz w:val="18"/>
                <w:szCs w:val="18"/>
              </w:rPr>
              <w:t>250</w:t>
            </w:r>
          </w:p>
        </w:tc>
      </w:tr>
      <w:tr w14:paraId="48C6D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3E1EEDA1">
            <w:pPr>
              <w:adjustRightInd w:val="0"/>
              <w:snapToGrid w:val="0"/>
              <w:jc w:val="center"/>
              <w:rPr>
                <w:color w:val="auto"/>
                <w:sz w:val="18"/>
                <w:szCs w:val="18"/>
              </w:rPr>
            </w:pPr>
            <w:r>
              <w:rPr>
                <w:color w:val="auto"/>
                <w:sz w:val="18"/>
                <w:szCs w:val="18"/>
              </w:rPr>
              <w:t>4</w:t>
            </w:r>
          </w:p>
        </w:tc>
        <w:tc>
          <w:tcPr>
            <w:tcW w:w="693" w:type="dxa"/>
            <w:noWrap w:val="0"/>
            <w:vAlign w:val="center"/>
          </w:tcPr>
          <w:p w14:paraId="63E01C53">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15.0</w:t>
            </w:r>
          </w:p>
          <w:p w14:paraId="4DC0BF9F">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17.0</w:t>
            </w:r>
          </w:p>
        </w:tc>
        <w:tc>
          <w:tcPr>
            <w:tcW w:w="839" w:type="dxa"/>
            <w:noWrap w:val="0"/>
            <w:vAlign w:val="center"/>
          </w:tcPr>
          <w:p w14:paraId="01E2033E">
            <w:pPr>
              <w:adjustRightInd w:val="0"/>
              <w:snapToGrid w:val="0"/>
              <w:spacing w:line="240" w:lineRule="atLeast"/>
              <w:jc w:val="center"/>
              <w:rPr>
                <w:color w:val="auto"/>
                <w:sz w:val="18"/>
                <w:szCs w:val="18"/>
              </w:rPr>
            </w:pPr>
            <w:r>
              <w:rPr>
                <w:color w:val="auto"/>
                <w:sz w:val="18"/>
                <w:szCs w:val="18"/>
              </w:rPr>
              <w:t>5.0</w:t>
            </w:r>
          </w:p>
          <w:p w14:paraId="1347A9A8">
            <w:pPr>
              <w:adjustRightInd w:val="0"/>
              <w:snapToGrid w:val="0"/>
              <w:spacing w:line="240" w:lineRule="atLeast"/>
              <w:jc w:val="center"/>
              <w:rPr>
                <w:color w:val="auto"/>
                <w:sz w:val="18"/>
                <w:szCs w:val="18"/>
              </w:rPr>
            </w:pPr>
            <w:r>
              <w:rPr>
                <w:color w:val="auto"/>
                <w:sz w:val="18"/>
                <w:szCs w:val="18"/>
              </w:rPr>
              <w:t>7.0</w:t>
            </w:r>
          </w:p>
        </w:tc>
        <w:tc>
          <w:tcPr>
            <w:tcW w:w="744" w:type="dxa"/>
            <w:noWrap w:val="0"/>
            <w:vAlign w:val="center"/>
          </w:tcPr>
          <w:p w14:paraId="625A7461">
            <w:pPr>
              <w:adjustRightInd w:val="0"/>
              <w:snapToGrid w:val="0"/>
              <w:spacing w:line="240" w:lineRule="atLeast"/>
              <w:jc w:val="center"/>
              <w:rPr>
                <w:color w:val="auto"/>
                <w:sz w:val="18"/>
                <w:szCs w:val="18"/>
              </w:rPr>
            </w:pPr>
            <w:r>
              <w:rPr>
                <w:color w:val="auto"/>
                <w:sz w:val="18"/>
                <w:szCs w:val="18"/>
              </w:rPr>
              <w:t>200</w:t>
            </w:r>
          </w:p>
        </w:tc>
        <w:tc>
          <w:tcPr>
            <w:tcW w:w="805" w:type="dxa"/>
            <w:noWrap w:val="0"/>
            <w:vAlign w:val="center"/>
          </w:tcPr>
          <w:p w14:paraId="713E80F5">
            <w:pPr>
              <w:adjustRightInd w:val="0"/>
              <w:snapToGrid w:val="0"/>
              <w:jc w:val="center"/>
              <w:rPr>
                <w:color w:val="auto"/>
                <w:sz w:val="18"/>
                <w:szCs w:val="18"/>
              </w:rPr>
            </w:pPr>
            <w:r>
              <w:rPr>
                <w:color w:val="auto"/>
                <w:sz w:val="18"/>
                <w:szCs w:val="18"/>
              </w:rPr>
              <w:t>6.0</w:t>
            </w:r>
          </w:p>
        </w:tc>
        <w:tc>
          <w:tcPr>
            <w:tcW w:w="1074" w:type="dxa"/>
            <w:noWrap w:val="0"/>
            <w:vAlign w:val="center"/>
          </w:tcPr>
          <w:p w14:paraId="07C6E884">
            <w:pPr>
              <w:adjustRightInd w:val="0"/>
              <w:snapToGrid w:val="0"/>
              <w:jc w:val="center"/>
              <w:rPr>
                <w:color w:val="auto"/>
                <w:sz w:val="18"/>
                <w:szCs w:val="18"/>
              </w:rPr>
            </w:pPr>
            <w:r>
              <w:rPr>
                <w:color w:val="auto"/>
                <w:sz w:val="18"/>
                <w:szCs w:val="18"/>
              </w:rPr>
              <w:t>225.0</w:t>
            </w:r>
          </w:p>
        </w:tc>
        <w:tc>
          <w:tcPr>
            <w:tcW w:w="1034" w:type="dxa"/>
            <w:noWrap w:val="0"/>
            <w:vAlign w:val="center"/>
          </w:tcPr>
          <w:p w14:paraId="7D37F9F9">
            <w:pPr>
              <w:adjustRightInd w:val="0"/>
              <w:snapToGrid w:val="0"/>
              <w:jc w:val="center"/>
              <w:rPr>
                <w:color w:val="auto"/>
                <w:sz w:val="18"/>
                <w:szCs w:val="18"/>
              </w:rPr>
            </w:pPr>
            <w:r>
              <w:rPr>
                <w:color w:val="auto"/>
                <w:sz w:val="18"/>
                <w:szCs w:val="18"/>
              </w:rPr>
              <w:t>0.9736</w:t>
            </w:r>
          </w:p>
        </w:tc>
        <w:tc>
          <w:tcPr>
            <w:tcW w:w="1148" w:type="dxa"/>
            <w:noWrap w:val="0"/>
            <w:vAlign w:val="center"/>
          </w:tcPr>
          <w:p w14:paraId="26187606">
            <w:pPr>
              <w:adjustRightInd w:val="0"/>
              <w:snapToGrid w:val="0"/>
              <w:jc w:val="center"/>
              <w:rPr>
                <w:color w:val="auto"/>
                <w:sz w:val="18"/>
                <w:szCs w:val="18"/>
              </w:rPr>
            </w:pPr>
            <w:r>
              <w:rPr>
                <w:color w:val="auto"/>
                <w:sz w:val="18"/>
                <w:szCs w:val="18"/>
              </w:rPr>
              <w:t>134.7</w:t>
            </w:r>
          </w:p>
        </w:tc>
        <w:tc>
          <w:tcPr>
            <w:tcW w:w="961" w:type="dxa"/>
            <w:noWrap w:val="0"/>
            <w:vAlign w:val="center"/>
          </w:tcPr>
          <w:p w14:paraId="4CAD41B0">
            <w:pPr>
              <w:adjustRightInd w:val="0"/>
              <w:snapToGrid w:val="0"/>
              <w:jc w:val="center"/>
              <w:rPr>
                <w:color w:val="auto"/>
                <w:sz w:val="18"/>
                <w:szCs w:val="18"/>
              </w:rPr>
            </w:pPr>
            <w:r>
              <w:rPr>
                <w:color w:val="auto"/>
                <w:sz w:val="18"/>
                <w:szCs w:val="18"/>
              </w:rPr>
              <w:t>359.7</w:t>
            </w:r>
          </w:p>
        </w:tc>
        <w:tc>
          <w:tcPr>
            <w:tcW w:w="1242" w:type="dxa"/>
            <w:noWrap w:val="0"/>
            <w:vAlign w:val="center"/>
          </w:tcPr>
          <w:p w14:paraId="253E38EE">
            <w:pPr>
              <w:adjustRightInd w:val="0"/>
              <w:snapToGrid w:val="0"/>
              <w:jc w:val="center"/>
              <w:rPr>
                <w:color w:val="auto"/>
                <w:sz w:val="18"/>
                <w:szCs w:val="18"/>
              </w:rPr>
            </w:pPr>
            <w:r>
              <w:rPr>
                <w:color w:val="auto"/>
                <w:sz w:val="18"/>
                <w:szCs w:val="18"/>
              </w:rPr>
              <w:t>324</w:t>
            </w:r>
          </w:p>
        </w:tc>
      </w:tr>
      <w:tr w14:paraId="2043B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4B936FE5">
            <w:pPr>
              <w:adjustRightInd w:val="0"/>
              <w:snapToGrid w:val="0"/>
              <w:jc w:val="center"/>
              <w:rPr>
                <w:color w:val="auto"/>
                <w:sz w:val="18"/>
                <w:szCs w:val="18"/>
              </w:rPr>
            </w:pPr>
            <w:r>
              <w:rPr>
                <w:color w:val="auto"/>
                <w:sz w:val="18"/>
                <w:szCs w:val="18"/>
              </w:rPr>
              <w:t>5</w:t>
            </w:r>
          </w:p>
        </w:tc>
        <w:tc>
          <w:tcPr>
            <w:tcW w:w="693" w:type="dxa"/>
            <w:noWrap w:val="0"/>
            <w:vAlign w:val="center"/>
          </w:tcPr>
          <w:p w14:paraId="3B3AE2A9">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17.0</w:t>
            </w:r>
          </w:p>
          <w:p w14:paraId="3C4B0671">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19.0</w:t>
            </w:r>
          </w:p>
        </w:tc>
        <w:tc>
          <w:tcPr>
            <w:tcW w:w="839" w:type="dxa"/>
            <w:noWrap w:val="0"/>
            <w:vAlign w:val="center"/>
          </w:tcPr>
          <w:p w14:paraId="629C2F1D">
            <w:pPr>
              <w:adjustRightInd w:val="0"/>
              <w:snapToGrid w:val="0"/>
              <w:spacing w:line="240" w:lineRule="atLeast"/>
              <w:jc w:val="center"/>
              <w:rPr>
                <w:color w:val="auto"/>
                <w:sz w:val="18"/>
                <w:szCs w:val="18"/>
              </w:rPr>
            </w:pPr>
            <w:r>
              <w:rPr>
                <w:color w:val="auto"/>
                <w:sz w:val="18"/>
                <w:szCs w:val="18"/>
              </w:rPr>
              <w:t>7.0</w:t>
            </w:r>
          </w:p>
          <w:p w14:paraId="32333C84">
            <w:pPr>
              <w:adjustRightInd w:val="0"/>
              <w:snapToGrid w:val="0"/>
              <w:spacing w:line="240" w:lineRule="atLeast"/>
              <w:jc w:val="center"/>
              <w:rPr>
                <w:color w:val="auto"/>
                <w:sz w:val="18"/>
                <w:szCs w:val="18"/>
              </w:rPr>
            </w:pPr>
            <w:r>
              <w:rPr>
                <w:color w:val="auto"/>
                <w:sz w:val="18"/>
                <w:szCs w:val="18"/>
              </w:rPr>
              <w:t>9.0</w:t>
            </w:r>
          </w:p>
        </w:tc>
        <w:tc>
          <w:tcPr>
            <w:tcW w:w="744" w:type="dxa"/>
            <w:noWrap w:val="0"/>
            <w:vAlign w:val="center"/>
          </w:tcPr>
          <w:p w14:paraId="638745B7">
            <w:pPr>
              <w:adjustRightInd w:val="0"/>
              <w:snapToGrid w:val="0"/>
              <w:spacing w:line="240" w:lineRule="atLeast"/>
              <w:jc w:val="center"/>
              <w:rPr>
                <w:color w:val="auto"/>
                <w:sz w:val="18"/>
                <w:szCs w:val="18"/>
              </w:rPr>
            </w:pPr>
            <w:r>
              <w:rPr>
                <w:color w:val="auto"/>
                <w:sz w:val="18"/>
                <w:szCs w:val="18"/>
              </w:rPr>
              <w:t>200</w:t>
            </w:r>
          </w:p>
        </w:tc>
        <w:tc>
          <w:tcPr>
            <w:tcW w:w="805" w:type="dxa"/>
            <w:noWrap w:val="0"/>
            <w:vAlign w:val="center"/>
          </w:tcPr>
          <w:p w14:paraId="4DFF0920">
            <w:pPr>
              <w:adjustRightInd w:val="0"/>
              <w:snapToGrid w:val="0"/>
              <w:jc w:val="center"/>
              <w:rPr>
                <w:color w:val="auto"/>
                <w:sz w:val="18"/>
                <w:szCs w:val="18"/>
              </w:rPr>
            </w:pPr>
            <w:r>
              <w:rPr>
                <w:color w:val="auto"/>
                <w:sz w:val="18"/>
                <w:szCs w:val="18"/>
              </w:rPr>
              <w:t>8.0</w:t>
            </w:r>
          </w:p>
        </w:tc>
        <w:tc>
          <w:tcPr>
            <w:tcW w:w="1074" w:type="dxa"/>
            <w:noWrap w:val="0"/>
            <w:vAlign w:val="center"/>
          </w:tcPr>
          <w:p w14:paraId="38C8505F">
            <w:pPr>
              <w:adjustRightInd w:val="0"/>
              <w:snapToGrid w:val="0"/>
              <w:jc w:val="center"/>
              <w:rPr>
                <w:color w:val="auto"/>
                <w:sz w:val="18"/>
                <w:szCs w:val="18"/>
              </w:rPr>
            </w:pPr>
            <w:r>
              <w:rPr>
                <w:color w:val="auto"/>
                <w:sz w:val="18"/>
                <w:szCs w:val="18"/>
              </w:rPr>
              <w:t>264.0</w:t>
            </w:r>
          </w:p>
        </w:tc>
        <w:tc>
          <w:tcPr>
            <w:tcW w:w="1034" w:type="dxa"/>
            <w:noWrap w:val="0"/>
            <w:vAlign w:val="center"/>
          </w:tcPr>
          <w:p w14:paraId="68A8B8D2">
            <w:pPr>
              <w:adjustRightInd w:val="0"/>
              <w:snapToGrid w:val="0"/>
              <w:jc w:val="center"/>
              <w:rPr>
                <w:color w:val="auto"/>
                <w:sz w:val="18"/>
                <w:szCs w:val="18"/>
              </w:rPr>
            </w:pPr>
            <w:r>
              <w:rPr>
                <w:color w:val="auto"/>
                <w:sz w:val="18"/>
                <w:szCs w:val="18"/>
              </w:rPr>
              <w:t>0.9687</w:t>
            </w:r>
          </w:p>
        </w:tc>
        <w:tc>
          <w:tcPr>
            <w:tcW w:w="1148" w:type="dxa"/>
            <w:noWrap w:val="0"/>
            <w:vAlign w:val="center"/>
          </w:tcPr>
          <w:p w14:paraId="5F30A349">
            <w:pPr>
              <w:adjustRightInd w:val="0"/>
              <w:snapToGrid w:val="0"/>
              <w:jc w:val="center"/>
              <w:rPr>
                <w:color w:val="auto"/>
                <w:sz w:val="18"/>
                <w:szCs w:val="18"/>
              </w:rPr>
            </w:pPr>
            <w:r>
              <w:rPr>
                <w:color w:val="auto"/>
                <w:sz w:val="18"/>
                <w:szCs w:val="18"/>
              </w:rPr>
              <w:t>134.1</w:t>
            </w:r>
          </w:p>
        </w:tc>
        <w:tc>
          <w:tcPr>
            <w:tcW w:w="961" w:type="dxa"/>
            <w:noWrap w:val="0"/>
            <w:vAlign w:val="center"/>
          </w:tcPr>
          <w:p w14:paraId="3338B399">
            <w:pPr>
              <w:adjustRightInd w:val="0"/>
              <w:snapToGrid w:val="0"/>
              <w:jc w:val="center"/>
              <w:rPr>
                <w:color w:val="auto"/>
                <w:sz w:val="18"/>
                <w:szCs w:val="18"/>
              </w:rPr>
            </w:pPr>
            <w:r>
              <w:rPr>
                <w:color w:val="auto"/>
                <w:sz w:val="18"/>
                <w:szCs w:val="18"/>
              </w:rPr>
              <w:t>398.1</w:t>
            </w:r>
          </w:p>
        </w:tc>
        <w:tc>
          <w:tcPr>
            <w:tcW w:w="1242" w:type="dxa"/>
            <w:noWrap w:val="0"/>
            <w:vAlign w:val="center"/>
          </w:tcPr>
          <w:p w14:paraId="200E9135">
            <w:pPr>
              <w:adjustRightInd w:val="0"/>
              <w:snapToGrid w:val="0"/>
              <w:jc w:val="center"/>
              <w:rPr>
                <w:color w:val="auto"/>
                <w:sz w:val="18"/>
                <w:szCs w:val="18"/>
              </w:rPr>
            </w:pPr>
            <w:r>
              <w:rPr>
                <w:color w:val="auto"/>
                <w:sz w:val="18"/>
                <w:szCs w:val="18"/>
              </w:rPr>
              <w:t>400</w:t>
            </w:r>
          </w:p>
        </w:tc>
      </w:tr>
      <w:tr w14:paraId="684605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22022DA6">
            <w:pPr>
              <w:adjustRightInd w:val="0"/>
              <w:snapToGrid w:val="0"/>
              <w:jc w:val="center"/>
              <w:rPr>
                <w:color w:val="auto"/>
                <w:sz w:val="18"/>
                <w:szCs w:val="18"/>
              </w:rPr>
            </w:pPr>
            <w:r>
              <w:rPr>
                <w:color w:val="auto"/>
                <w:sz w:val="18"/>
                <w:szCs w:val="18"/>
              </w:rPr>
              <w:t>6</w:t>
            </w:r>
          </w:p>
        </w:tc>
        <w:tc>
          <w:tcPr>
            <w:tcW w:w="693" w:type="dxa"/>
            <w:noWrap w:val="0"/>
            <w:vAlign w:val="center"/>
          </w:tcPr>
          <w:p w14:paraId="4A33DCC8">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19.0</w:t>
            </w:r>
          </w:p>
          <w:p w14:paraId="457BB02A">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22.0</w:t>
            </w:r>
          </w:p>
        </w:tc>
        <w:tc>
          <w:tcPr>
            <w:tcW w:w="839" w:type="dxa"/>
            <w:noWrap w:val="0"/>
            <w:vAlign w:val="center"/>
          </w:tcPr>
          <w:p w14:paraId="708F47AF">
            <w:pPr>
              <w:adjustRightInd w:val="0"/>
              <w:snapToGrid w:val="0"/>
              <w:spacing w:line="240" w:lineRule="atLeast"/>
              <w:jc w:val="center"/>
              <w:rPr>
                <w:color w:val="auto"/>
                <w:sz w:val="18"/>
                <w:szCs w:val="18"/>
              </w:rPr>
            </w:pPr>
            <w:r>
              <w:rPr>
                <w:color w:val="auto"/>
                <w:sz w:val="18"/>
                <w:szCs w:val="18"/>
              </w:rPr>
              <w:t>9.0</w:t>
            </w:r>
          </w:p>
          <w:p w14:paraId="4A42D58F">
            <w:pPr>
              <w:adjustRightInd w:val="0"/>
              <w:snapToGrid w:val="0"/>
              <w:spacing w:line="240" w:lineRule="atLeast"/>
              <w:jc w:val="center"/>
              <w:rPr>
                <w:color w:val="auto"/>
                <w:sz w:val="18"/>
                <w:szCs w:val="18"/>
              </w:rPr>
            </w:pPr>
            <w:r>
              <w:rPr>
                <w:color w:val="auto"/>
                <w:sz w:val="18"/>
                <w:szCs w:val="18"/>
              </w:rPr>
              <w:t>12.0</w:t>
            </w:r>
          </w:p>
        </w:tc>
        <w:tc>
          <w:tcPr>
            <w:tcW w:w="744" w:type="dxa"/>
            <w:noWrap w:val="0"/>
            <w:vAlign w:val="center"/>
          </w:tcPr>
          <w:p w14:paraId="4434DEE4">
            <w:pPr>
              <w:adjustRightInd w:val="0"/>
              <w:snapToGrid w:val="0"/>
              <w:spacing w:line="240" w:lineRule="atLeast"/>
              <w:jc w:val="center"/>
              <w:rPr>
                <w:color w:val="auto"/>
                <w:sz w:val="18"/>
                <w:szCs w:val="18"/>
              </w:rPr>
            </w:pPr>
            <w:r>
              <w:rPr>
                <w:color w:val="auto"/>
                <w:sz w:val="18"/>
                <w:szCs w:val="18"/>
              </w:rPr>
              <w:t>300</w:t>
            </w:r>
          </w:p>
        </w:tc>
        <w:tc>
          <w:tcPr>
            <w:tcW w:w="805" w:type="dxa"/>
            <w:noWrap w:val="0"/>
            <w:vAlign w:val="center"/>
          </w:tcPr>
          <w:p w14:paraId="5FB91199">
            <w:pPr>
              <w:adjustRightInd w:val="0"/>
              <w:snapToGrid w:val="0"/>
              <w:jc w:val="center"/>
              <w:rPr>
                <w:color w:val="auto"/>
                <w:sz w:val="18"/>
                <w:szCs w:val="18"/>
              </w:rPr>
            </w:pPr>
            <w:r>
              <w:rPr>
                <w:color w:val="auto"/>
                <w:sz w:val="18"/>
                <w:szCs w:val="18"/>
              </w:rPr>
              <w:t>10.5</w:t>
            </w:r>
          </w:p>
        </w:tc>
        <w:tc>
          <w:tcPr>
            <w:tcW w:w="1074" w:type="dxa"/>
            <w:noWrap w:val="0"/>
            <w:vAlign w:val="center"/>
          </w:tcPr>
          <w:p w14:paraId="43BD7B9B">
            <w:pPr>
              <w:adjustRightInd w:val="0"/>
              <w:snapToGrid w:val="0"/>
              <w:jc w:val="center"/>
              <w:rPr>
                <w:color w:val="auto"/>
                <w:sz w:val="18"/>
                <w:szCs w:val="18"/>
              </w:rPr>
            </w:pPr>
            <w:r>
              <w:rPr>
                <w:color w:val="auto"/>
                <w:sz w:val="18"/>
                <w:szCs w:val="18"/>
              </w:rPr>
              <w:t>312.8</w:t>
            </w:r>
          </w:p>
        </w:tc>
        <w:tc>
          <w:tcPr>
            <w:tcW w:w="1034" w:type="dxa"/>
            <w:noWrap w:val="0"/>
            <w:vAlign w:val="center"/>
          </w:tcPr>
          <w:p w14:paraId="523070B5">
            <w:pPr>
              <w:adjustRightInd w:val="0"/>
              <w:snapToGrid w:val="0"/>
              <w:jc w:val="center"/>
              <w:rPr>
                <w:color w:val="auto"/>
                <w:sz w:val="18"/>
                <w:szCs w:val="18"/>
              </w:rPr>
            </w:pPr>
            <w:r>
              <w:rPr>
                <w:color w:val="auto"/>
                <w:sz w:val="18"/>
                <w:szCs w:val="18"/>
              </w:rPr>
              <w:t>0.8924</w:t>
            </w:r>
          </w:p>
        </w:tc>
        <w:tc>
          <w:tcPr>
            <w:tcW w:w="1148" w:type="dxa"/>
            <w:noWrap w:val="0"/>
            <w:vAlign w:val="center"/>
          </w:tcPr>
          <w:p w14:paraId="7F3E2531">
            <w:pPr>
              <w:adjustRightInd w:val="0"/>
              <w:snapToGrid w:val="0"/>
              <w:jc w:val="center"/>
              <w:rPr>
                <w:color w:val="auto"/>
                <w:sz w:val="18"/>
                <w:szCs w:val="18"/>
              </w:rPr>
            </w:pPr>
            <w:r>
              <w:rPr>
                <w:color w:val="auto"/>
                <w:sz w:val="18"/>
                <w:szCs w:val="18"/>
              </w:rPr>
              <w:t>123.5</w:t>
            </w:r>
          </w:p>
        </w:tc>
        <w:tc>
          <w:tcPr>
            <w:tcW w:w="961" w:type="dxa"/>
            <w:noWrap w:val="0"/>
            <w:vAlign w:val="center"/>
          </w:tcPr>
          <w:p w14:paraId="3A0AE70E">
            <w:pPr>
              <w:adjustRightInd w:val="0"/>
              <w:snapToGrid w:val="0"/>
              <w:jc w:val="center"/>
              <w:rPr>
                <w:color w:val="auto"/>
                <w:sz w:val="18"/>
                <w:szCs w:val="18"/>
              </w:rPr>
            </w:pPr>
            <w:r>
              <w:rPr>
                <w:color w:val="auto"/>
                <w:sz w:val="18"/>
                <w:szCs w:val="18"/>
              </w:rPr>
              <w:t>436.3</w:t>
            </w:r>
          </w:p>
        </w:tc>
        <w:tc>
          <w:tcPr>
            <w:tcW w:w="1242" w:type="dxa"/>
            <w:noWrap w:val="0"/>
            <w:vAlign w:val="center"/>
          </w:tcPr>
          <w:p w14:paraId="2803412E">
            <w:pPr>
              <w:adjustRightInd w:val="0"/>
              <w:snapToGrid w:val="0"/>
              <w:jc w:val="center"/>
              <w:rPr>
                <w:color w:val="auto"/>
                <w:sz w:val="18"/>
                <w:szCs w:val="18"/>
              </w:rPr>
            </w:pPr>
            <w:r>
              <w:rPr>
                <w:color w:val="auto"/>
                <w:sz w:val="18"/>
                <w:szCs w:val="18"/>
              </w:rPr>
              <w:t>490</w:t>
            </w:r>
          </w:p>
        </w:tc>
      </w:tr>
      <w:tr w14:paraId="22DAE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0D0D2FAE">
            <w:pPr>
              <w:adjustRightInd w:val="0"/>
              <w:snapToGrid w:val="0"/>
              <w:jc w:val="center"/>
              <w:rPr>
                <w:color w:val="auto"/>
                <w:sz w:val="18"/>
                <w:szCs w:val="18"/>
              </w:rPr>
            </w:pPr>
            <w:r>
              <w:rPr>
                <w:color w:val="auto"/>
                <w:sz w:val="18"/>
                <w:szCs w:val="18"/>
              </w:rPr>
              <w:t>7</w:t>
            </w:r>
          </w:p>
        </w:tc>
        <w:tc>
          <w:tcPr>
            <w:tcW w:w="693" w:type="dxa"/>
            <w:noWrap w:val="0"/>
            <w:vAlign w:val="center"/>
          </w:tcPr>
          <w:p w14:paraId="35840CE9">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22.0</w:t>
            </w:r>
          </w:p>
          <w:p w14:paraId="4525F124">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25.0</w:t>
            </w:r>
          </w:p>
        </w:tc>
        <w:tc>
          <w:tcPr>
            <w:tcW w:w="839" w:type="dxa"/>
            <w:noWrap w:val="0"/>
            <w:vAlign w:val="center"/>
          </w:tcPr>
          <w:p w14:paraId="01D96F63">
            <w:pPr>
              <w:adjustRightInd w:val="0"/>
              <w:snapToGrid w:val="0"/>
              <w:spacing w:line="240" w:lineRule="atLeast"/>
              <w:jc w:val="center"/>
              <w:rPr>
                <w:color w:val="auto"/>
                <w:sz w:val="18"/>
                <w:szCs w:val="18"/>
              </w:rPr>
            </w:pPr>
            <w:r>
              <w:rPr>
                <w:color w:val="auto"/>
                <w:sz w:val="18"/>
                <w:szCs w:val="18"/>
              </w:rPr>
              <w:t>12.0</w:t>
            </w:r>
          </w:p>
          <w:p w14:paraId="47D2D6DF">
            <w:pPr>
              <w:adjustRightInd w:val="0"/>
              <w:snapToGrid w:val="0"/>
              <w:spacing w:line="240" w:lineRule="atLeast"/>
              <w:jc w:val="center"/>
              <w:rPr>
                <w:color w:val="auto"/>
                <w:sz w:val="18"/>
                <w:szCs w:val="18"/>
              </w:rPr>
            </w:pPr>
            <w:r>
              <w:rPr>
                <w:color w:val="auto"/>
                <w:sz w:val="18"/>
                <w:szCs w:val="18"/>
              </w:rPr>
              <w:t>15.0</w:t>
            </w:r>
          </w:p>
        </w:tc>
        <w:tc>
          <w:tcPr>
            <w:tcW w:w="744" w:type="dxa"/>
            <w:noWrap w:val="0"/>
            <w:vAlign w:val="center"/>
          </w:tcPr>
          <w:p w14:paraId="07D7F8C7">
            <w:pPr>
              <w:adjustRightInd w:val="0"/>
              <w:snapToGrid w:val="0"/>
              <w:spacing w:line="240" w:lineRule="atLeast"/>
              <w:jc w:val="center"/>
              <w:rPr>
                <w:color w:val="auto"/>
                <w:sz w:val="18"/>
                <w:szCs w:val="18"/>
              </w:rPr>
            </w:pPr>
            <w:r>
              <w:rPr>
                <w:color w:val="auto"/>
                <w:sz w:val="18"/>
                <w:szCs w:val="18"/>
              </w:rPr>
              <w:t>300</w:t>
            </w:r>
          </w:p>
        </w:tc>
        <w:tc>
          <w:tcPr>
            <w:tcW w:w="805" w:type="dxa"/>
            <w:noWrap w:val="0"/>
            <w:vAlign w:val="center"/>
          </w:tcPr>
          <w:p w14:paraId="54D44D61">
            <w:pPr>
              <w:adjustRightInd w:val="0"/>
              <w:snapToGrid w:val="0"/>
              <w:jc w:val="center"/>
              <w:rPr>
                <w:color w:val="auto"/>
                <w:sz w:val="18"/>
                <w:szCs w:val="18"/>
              </w:rPr>
            </w:pPr>
            <w:r>
              <w:rPr>
                <w:color w:val="auto"/>
                <w:sz w:val="18"/>
                <w:szCs w:val="18"/>
              </w:rPr>
              <w:t>13.5</w:t>
            </w:r>
          </w:p>
        </w:tc>
        <w:tc>
          <w:tcPr>
            <w:tcW w:w="1074" w:type="dxa"/>
            <w:noWrap w:val="0"/>
            <w:vAlign w:val="center"/>
          </w:tcPr>
          <w:p w14:paraId="71DB460F">
            <w:pPr>
              <w:adjustRightInd w:val="0"/>
              <w:snapToGrid w:val="0"/>
              <w:jc w:val="center"/>
              <w:rPr>
                <w:color w:val="auto"/>
                <w:sz w:val="18"/>
                <w:szCs w:val="18"/>
              </w:rPr>
            </w:pPr>
            <w:r>
              <w:rPr>
                <w:color w:val="auto"/>
                <w:sz w:val="18"/>
                <w:szCs w:val="18"/>
              </w:rPr>
              <w:t>371.3</w:t>
            </w:r>
          </w:p>
        </w:tc>
        <w:tc>
          <w:tcPr>
            <w:tcW w:w="1034" w:type="dxa"/>
            <w:noWrap w:val="0"/>
            <w:vAlign w:val="center"/>
          </w:tcPr>
          <w:p w14:paraId="01609E95">
            <w:pPr>
              <w:adjustRightInd w:val="0"/>
              <w:snapToGrid w:val="0"/>
              <w:jc w:val="center"/>
              <w:rPr>
                <w:color w:val="auto"/>
                <w:sz w:val="18"/>
                <w:szCs w:val="18"/>
              </w:rPr>
            </w:pPr>
            <w:r>
              <w:rPr>
                <w:color w:val="auto"/>
                <w:sz w:val="18"/>
                <w:szCs w:val="18"/>
              </w:rPr>
              <w:t>0.8204</w:t>
            </w:r>
          </w:p>
        </w:tc>
        <w:tc>
          <w:tcPr>
            <w:tcW w:w="1148" w:type="dxa"/>
            <w:noWrap w:val="0"/>
            <w:vAlign w:val="center"/>
          </w:tcPr>
          <w:p w14:paraId="5FA58B39">
            <w:pPr>
              <w:adjustRightInd w:val="0"/>
              <w:snapToGrid w:val="0"/>
              <w:jc w:val="center"/>
              <w:rPr>
                <w:color w:val="auto"/>
                <w:sz w:val="18"/>
                <w:szCs w:val="18"/>
              </w:rPr>
            </w:pPr>
            <w:r>
              <w:rPr>
                <w:color w:val="auto"/>
                <w:sz w:val="18"/>
                <w:szCs w:val="18"/>
              </w:rPr>
              <w:t>113.5</w:t>
            </w:r>
          </w:p>
        </w:tc>
        <w:tc>
          <w:tcPr>
            <w:tcW w:w="961" w:type="dxa"/>
            <w:noWrap w:val="0"/>
            <w:vAlign w:val="center"/>
          </w:tcPr>
          <w:p w14:paraId="7F6261F6">
            <w:pPr>
              <w:adjustRightInd w:val="0"/>
              <w:snapToGrid w:val="0"/>
              <w:jc w:val="center"/>
              <w:rPr>
                <w:color w:val="auto"/>
                <w:sz w:val="18"/>
                <w:szCs w:val="18"/>
              </w:rPr>
            </w:pPr>
            <w:r>
              <w:rPr>
                <w:color w:val="auto"/>
                <w:sz w:val="18"/>
                <w:szCs w:val="18"/>
              </w:rPr>
              <w:t>484.8</w:t>
            </w:r>
          </w:p>
        </w:tc>
        <w:tc>
          <w:tcPr>
            <w:tcW w:w="1242" w:type="dxa"/>
            <w:noWrap w:val="0"/>
            <w:vAlign w:val="center"/>
          </w:tcPr>
          <w:p w14:paraId="174C4B50">
            <w:pPr>
              <w:adjustRightInd w:val="0"/>
              <w:snapToGrid w:val="0"/>
              <w:jc w:val="center"/>
              <w:rPr>
                <w:color w:val="auto"/>
                <w:sz w:val="18"/>
                <w:szCs w:val="18"/>
              </w:rPr>
            </w:pPr>
            <w:r>
              <w:rPr>
                <w:color w:val="auto"/>
                <w:sz w:val="18"/>
                <w:szCs w:val="18"/>
              </w:rPr>
              <w:t>600</w:t>
            </w:r>
          </w:p>
        </w:tc>
      </w:tr>
      <w:tr w14:paraId="1CB21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6FB705A0">
            <w:pPr>
              <w:adjustRightInd w:val="0"/>
              <w:snapToGrid w:val="0"/>
              <w:jc w:val="center"/>
              <w:rPr>
                <w:color w:val="auto"/>
                <w:sz w:val="18"/>
                <w:szCs w:val="18"/>
              </w:rPr>
            </w:pPr>
            <w:r>
              <w:rPr>
                <w:color w:val="auto"/>
                <w:sz w:val="18"/>
                <w:szCs w:val="18"/>
              </w:rPr>
              <w:t>8</w:t>
            </w:r>
          </w:p>
        </w:tc>
        <w:tc>
          <w:tcPr>
            <w:tcW w:w="693" w:type="dxa"/>
            <w:noWrap w:val="0"/>
            <w:vAlign w:val="center"/>
          </w:tcPr>
          <w:p w14:paraId="47CDB073">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25.0</w:t>
            </w:r>
          </w:p>
          <w:p w14:paraId="614C40D6">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28.0</w:t>
            </w:r>
          </w:p>
        </w:tc>
        <w:tc>
          <w:tcPr>
            <w:tcW w:w="839" w:type="dxa"/>
            <w:noWrap w:val="0"/>
            <w:vAlign w:val="center"/>
          </w:tcPr>
          <w:p w14:paraId="43B168D2">
            <w:pPr>
              <w:adjustRightInd w:val="0"/>
              <w:snapToGrid w:val="0"/>
              <w:spacing w:line="240" w:lineRule="atLeast"/>
              <w:jc w:val="center"/>
              <w:rPr>
                <w:color w:val="auto"/>
                <w:sz w:val="18"/>
                <w:szCs w:val="18"/>
              </w:rPr>
            </w:pPr>
            <w:r>
              <w:rPr>
                <w:color w:val="auto"/>
                <w:sz w:val="18"/>
                <w:szCs w:val="18"/>
              </w:rPr>
              <w:t>15.0</w:t>
            </w:r>
          </w:p>
          <w:p w14:paraId="009ECD04">
            <w:pPr>
              <w:adjustRightInd w:val="0"/>
              <w:snapToGrid w:val="0"/>
              <w:spacing w:line="240" w:lineRule="atLeast"/>
              <w:jc w:val="center"/>
              <w:rPr>
                <w:color w:val="auto"/>
                <w:sz w:val="18"/>
                <w:szCs w:val="18"/>
              </w:rPr>
            </w:pPr>
            <w:r>
              <w:rPr>
                <w:color w:val="auto"/>
                <w:sz w:val="18"/>
                <w:szCs w:val="18"/>
              </w:rPr>
              <w:t>18.0</w:t>
            </w:r>
          </w:p>
        </w:tc>
        <w:tc>
          <w:tcPr>
            <w:tcW w:w="744" w:type="dxa"/>
            <w:noWrap w:val="0"/>
            <w:vAlign w:val="center"/>
          </w:tcPr>
          <w:p w14:paraId="454673EF">
            <w:pPr>
              <w:adjustRightInd w:val="0"/>
              <w:snapToGrid w:val="0"/>
              <w:spacing w:line="240" w:lineRule="atLeast"/>
              <w:jc w:val="center"/>
              <w:rPr>
                <w:color w:val="auto"/>
                <w:sz w:val="18"/>
                <w:szCs w:val="18"/>
              </w:rPr>
            </w:pPr>
            <w:r>
              <w:rPr>
                <w:color w:val="auto"/>
                <w:sz w:val="18"/>
                <w:szCs w:val="18"/>
              </w:rPr>
              <w:t>300</w:t>
            </w:r>
          </w:p>
        </w:tc>
        <w:tc>
          <w:tcPr>
            <w:tcW w:w="805" w:type="dxa"/>
            <w:noWrap w:val="0"/>
            <w:vAlign w:val="center"/>
          </w:tcPr>
          <w:p w14:paraId="7646DBEF">
            <w:pPr>
              <w:adjustRightInd w:val="0"/>
              <w:snapToGrid w:val="0"/>
              <w:jc w:val="center"/>
              <w:rPr>
                <w:color w:val="auto"/>
                <w:sz w:val="18"/>
                <w:szCs w:val="18"/>
              </w:rPr>
            </w:pPr>
            <w:r>
              <w:rPr>
                <w:color w:val="auto"/>
                <w:sz w:val="18"/>
                <w:szCs w:val="18"/>
              </w:rPr>
              <w:t>16.5</w:t>
            </w:r>
          </w:p>
        </w:tc>
        <w:tc>
          <w:tcPr>
            <w:tcW w:w="1074" w:type="dxa"/>
            <w:noWrap w:val="0"/>
            <w:vAlign w:val="center"/>
          </w:tcPr>
          <w:p w14:paraId="70CC35FA">
            <w:pPr>
              <w:adjustRightInd w:val="0"/>
              <w:snapToGrid w:val="0"/>
              <w:jc w:val="center"/>
              <w:rPr>
                <w:color w:val="auto"/>
                <w:sz w:val="18"/>
                <w:szCs w:val="18"/>
              </w:rPr>
            </w:pPr>
            <w:r>
              <w:rPr>
                <w:color w:val="auto"/>
                <w:sz w:val="18"/>
                <w:szCs w:val="18"/>
              </w:rPr>
              <w:t>429.8</w:t>
            </w:r>
          </w:p>
        </w:tc>
        <w:tc>
          <w:tcPr>
            <w:tcW w:w="1034" w:type="dxa"/>
            <w:noWrap w:val="0"/>
            <w:vAlign w:val="center"/>
          </w:tcPr>
          <w:p w14:paraId="7979E7DE">
            <w:pPr>
              <w:adjustRightInd w:val="0"/>
              <w:snapToGrid w:val="0"/>
              <w:jc w:val="center"/>
              <w:rPr>
                <w:color w:val="auto"/>
                <w:sz w:val="18"/>
                <w:szCs w:val="18"/>
              </w:rPr>
            </w:pPr>
            <w:r>
              <w:rPr>
                <w:color w:val="auto"/>
                <w:sz w:val="18"/>
                <w:szCs w:val="18"/>
              </w:rPr>
              <w:t>0.7426</w:t>
            </w:r>
          </w:p>
        </w:tc>
        <w:tc>
          <w:tcPr>
            <w:tcW w:w="1148" w:type="dxa"/>
            <w:noWrap w:val="0"/>
            <w:vAlign w:val="center"/>
          </w:tcPr>
          <w:p w14:paraId="3BC2397B">
            <w:pPr>
              <w:adjustRightInd w:val="0"/>
              <w:snapToGrid w:val="0"/>
              <w:jc w:val="center"/>
              <w:rPr>
                <w:color w:val="auto"/>
                <w:sz w:val="18"/>
                <w:szCs w:val="18"/>
              </w:rPr>
            </w:pPr>
            <w:r>
              <w:rPr>
                <w:color w:val="auto"/>
                <w:sz w:val="18"/>
                <w:szCs w:val="18"/>
              </w:rPr>
              <w:t>102.8</w:t>
            </w:r>
          </w:p>
        </w:tc>
        <w:tc>
          <w:tcPr>
            <w:tcW w:w="961" w:type="dxa"/>
            <w:noWrap w:val="0"/>
            <w:vAlign w:val="center"/>
          </w:tcPr>
          <w:p w14:paraId="16FD1E1E">
            <w:pPr>
              <w:adjustRightInd w:val="0"/>
              <w:snapToGrid w:val="0"/>
              <w:jc w:val="center"/>
              <w:rPr>
                <w:color w:val="auto"/>
                <w:sz w:val="18"/>
                <w:szCs w:val="18"/>
              </w:rPr>
            </w:pPr>
            <w:r>
              <w:rPr>
                <w:color w:val="auto"/>
                <w:sz w:val="18"/>
                <w:szCs w:val="18"/>
              </w:rPr>
              <w:t>532.6</w:t>
            </w:r>
          </w:p>
        </w:tc>
        <w:tc>
          <w:tcPr>
            <w:tcW w:w="1242" w:type="dxa"/>
            <w:noWrap w:val="0"/>
            <w:vAlign w:val="center"/>
          </w:tcPr>
          <w:p w14:paraId="0EB653B3">
            <w:pPr>
              <w:adjustRightInd w:val="0"/>
              <w:snapToGrid w:val="0"/>
              <w:jc w:val="center"/>
              <w:rPr>
                <w:color w:val="auto"/>
                <w:sz w:val="18"/>
                <w:szCs w:val="18"/>
              </w:rPr>
            </w:pPr>
            <w:r>
              <w:rPr>
                <w:color w:val="auto"/>
                <w:sz w:val="18"/>
                <w:szCs w:val="18"/>
              </w:rPr>
              <w:t>600</w:t>
            </w:r>
          </w:p>
        </w:tc>
      </w:tr>
      <w:tr w14:paraId="09A41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677" w:type="dxa"/>
            <w:noWrap w:val="0"/>
            <w:vAlign w:val="center"/>
          </w:tcPr>
          <w:p w14:paraId="7D511A99">
            <w:pPr>
              <w:adjustRightInd w:val="0"/>
              <w:snapToGrid w:val="0"/>
              <w:jc w:val="center"/>
              <w:rPr>
                <w:color w:val="auto"/>
                <w:sz w:val="18"/>
                <w:szCs w:val="18"/>
              </w:rPr>
            </w:pPr>
            <w:r>
              <w:rPr>
                <w:color w:val="auto"/>
                <w:sz w:val="18"/>
                <w:szCs w:val="18"/>
              </w:rPr>
              <w:t>9</w:t>
            </w:r>
          </w:p>
        </w:tc>
        <w:tc>
          <w:tcPr>
            <w:tcW w:w="693" w:type="dxa"/>
            <w:noWrap w:val="0"/>
            <w:vAlign w:val="center"/>
          </w:tcPr>
          <w:p w14:paraId="7D36C816">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28.0</w:t>
            </w:r>
          </w:p>
          <w:p w14:paraId="71C1598C">
            <w:pPr>
              <w:adjustRightInd w:val="0"/>
              <w:snapToGrid w:val="0"/>
              <w:spacing w:line="240" w:lineRule="atLeast"/>
              <w:ind w:left="22" w:leftChars="-51" w:right="-111" w:rightChars="-53" w:hanging="129" w:hangingChars="72"/>
              <w:jc w:val="center"/>
              <w:rPr>
                <w:color w:val="auto"/>
                <w:sz w:val="18"/>
                <w:szCs w:val="18"/>
              </w:rPr>
            </w:pPr>
            <w:r>
              <w:rPr>
                <w:color w:val="auto"/>
                <w:sz w:val="18"/>
                <w:szCs w:val="18"/>
              </w:rPr>
              <w:t>31.0</w:t>
            </w:r>
          </w:p>
        </w:tc>
        <w:tc>
          <w:tcPr>
            <w:tcW w:w="839" w:type="dxa"/>
            <w:noWrap w:val="0"/>
            <w:vAlign w:val="center"/>
          </w:tcPr>
          <w:p w14:paraId="15D303C5">
            <w:pPr>
              <w:adjustRightInd w:val="0"/>
              <w:snapToGrid w:val="0"/>
              <w:spacing w:line="240" w:lineRule="atLeast"/>
              <w:jc w:val="center"/>
              <w:rPr>
                <w:color w:val="auto"/>
                <w:sz w:val="18"/>
                <w:szCs w:val="18"/>
              </w:rPr>
            </w:pPr>
            <w:r>
              <w:rPr>
                <w:color w:val="auto"/>
                <w:sz w:val="18"/>
                <w:szCs w:val="18"/>
              </w:rPr>
              <w:t>15.0</w:t>
            </w:r>
          </w:p>
          <w:p w14:paraId="324F9E32">
            <w:pPr>
              <w:adjustRightInd w:val="0"/>
              <w:snapToGrid w:val="0"/>
              <w:spacing w:line="240" w:lineRule="atLeast"/>
              <w:jc w:val="center"/>
              <w:rPr>
                <w:color w:val="auto"/>
                <w:sz w:val="18"/>
                <w:szCs w:val="18"/>
              </w:rPr>
            </w:pPr>
            <w:r>
              <w:rPr>
                <w:color w:val="auto"/>
                <w:sz w:val="18"/>
                <w:szCs w:val="18"/>
              </w:rPr>
              <w:t>18.0</w:t>
            </w:r>
          </w:p>
        </w:tc>
        <w:tc>
          <w:tcPr>
            <w:tcW w:w="744" w:type="dxa"/>
            <w:noWrap w:val="0"/>
            <w:vAlign w:val="center"/>
          </w:tcPr>
          <w:p w14:paraId="77A14360">
            <w:pPr>
              <w:adjustRightInd w:val="0"/>
              <w:snapToGrid w:val="0"/>
              <w:spacing w:line="240" w:lineRule="atLeast"/>
              <w:jc w:val="center"/>
              <w:rPr>
                <w:color w:val="auto"/>
                <w:sz w:val="18"/>
                <w:szCs w:val="18"/>
              </w:rPr>
            </w:pPr>
            <w:r>
              <w:rPr>
                <w:color w:val="auto"/>
                <w:sz w:val="18"/>
                <w:szCs w:val="18"/>
              </w:rPr>
              <w:t>300</w:t>
            </w:r>
          </w:p>
        </w:tc>
        <w:tc>
          <w:tcPr>
            <w:tcW w:w="805" w:type="dxa"/>
            <w:noWrap w:val="0"/>
            <w:vAlign w:val="center"/>
          </w:tcPr>
          <w:p w14:paraId="32CE56D2">
            <w:pPr>
              <w:adjustRightInd w:val="0"/>
              <w:snapToGrid w:val="0"/>
              <w:jc w:val="center"/>
              <w:rPr>
                <w:color w:val="auto"/>
                <w:sz w:val="18"/>
                <w:szCs w:val="18"/>
              </w:rPr>
            </w:pPr>
            <w:r>
              <w:rPr>
                <w:color w:val="auto"/>
                <w:sz w:val="18"/>
                <w:szCs w:val="18"/>
              </w:rPr>
              <w:t>16.5</w:t>
            </w:r>
          </w:p>
        </w:tc>
        <w:tc>
          <w:tcPr>
            <w:tcW w:w="1074" w:type="dxa"/>
            <w:noWrap w:val="0"/>
            <w:vAlign w:val="center"/>
          </w:tcPr>
          <w:p w14:paraId="75EE2EC4">
            <w:pPr>
              <w:adjustRightInd w:val="0"/>
              <w:snapToGrid w:val="0"/>
              <w:jc w:val="center"/>
              <w:rPr>
                <w:color w:val="auto"/>
                <w:sz w:val="18"/>
                <w:szCs w:val="18"/>
              </w:rPr>
            </w:pPr>
            <w:r>
              <w:rPr>
                <w:color w:val="auto"/>
                <w:sz w:val="18"/>
                <w:szCs w:val="18"/>
              </w:rPr>
              <w:t>488.3</w:t>
            </w:r>
          </w:p>
        </w:tc>
        <w:tc>
          <w:tcPr>
            <w:tcW w:w="1034" w:type="dxa"/>
            <w:noWrap w:val="0"/>
            <w:vAlign w:val="center"/>
          </w:tcPr>
          <w:p w14:paraId="780FAC78">
            <w:pPr>
              <w:adjustRightInd w:val="0"/>
              <w:snapToGrid w:val="0"/>
              <w:jc w:val="center"/>
              <w:rPr>
                <w:color w:val="auto"/>
                <w:sz w:val="18"/>
                <w:szCs w:val="18"/>
              </w:rPr>
            </w:pPr>
            <w:r>
              <w:rPr>
                <w:color w:val="auto"/>
                <w:sz w:val="18"/>
                <w:szCs w:val="18"/>
              </w:rPr>
              <w:t>0.6654</w:t>
            </w:r>
          </w:p>
        </w:tc>
        <w:tc>
          <w:tcPr>
            <w:tcW w:w="1148" w:type="dxa"/>
            <w:noWrap w:val="0"/>
            <w:vAlign w:val="center"/>
          </w:tcPr>
          <w:p w14:paraId="42CDA8E5">
            <w:pPr>
              <w:adjustRightInd w:val="0"/>
              <w:snapToGrid w:val="0"/>
              <w:jc w:val="center"/>
              <w:rPr>
                <w:color w:val="auto"/>
                <w:sz w:val="18"/>
                <w:szCs w:val="18"/>
              </w:rPr>
            </w:pPr>
            <w:r>
              <w:rPr>
                <w:color w:val="auto"/>
                <w:sz w:val="18"/>
                <w:szCs w:val="18"/>
              </w:rPr>
              <w:t>92.1</w:t>
            </w:r>
          </w:p>
        </w:tc>
        <w:tc>
          <w:tcPr>
            <w:tcW w:w="961" w:type="dxa"/>
            <w:noWrap w:val="0"/>
            <w:vAlign w:val="center"/>
          </w:tcPr>
          <w:p w14:paraId="41E38853">
            <w:pPr>
              <w:adjustRightInd w:val="0"/>
              <w:snapToGrid w:val="0"/>
              <w:jc w:val="center"/>
              <w:rPr>
                <w:color w:val="auto"/>
                <w:sz w:val="18"/>
                <w:szCs w:val="18"/>
              </w:rPr>
            </w:pPr>
            <w:r>
              <w:rPr>
                <w:color w:val="auto"/>
                <w:sz w:val="18"/>
                <w:szCs w:val="18"/>
              </w:rPr>
              <w:t>580.4</w:t>
            </w:r>
          </w:p>
        </w:tc>
        <w:tc>
          <w:tcPr>
            <w:tcW w:w="1242" w:type="dxa"/>
            <w:noWrap w:val="0"/>
            <w:vAlign w:val="center"/>
          </w:tcPr>
          <w:p w14:paraId="19E17232">
            <w:pPr>
              <w:adjustRightInd w:val="0"/>
              <w:snapToGrid w:val="0"/>
              <w:jc w:val="center"/>
              <w:rPr>
                <w:color w:val="auto"/>
                <w:sz w:val="18"/>
                <w:szCs w:val="18"/>
              </w:rPr>
            </w:pPr>
            <w:r>
              <w:rPr>
                <w:color w:val="auto"/>
                <w:sz w:val="18"/>
                <w:szCs w:val="18"/>
              </w:rPr>
              <w:t>600</w:t>
            </w:r>
          </w:p>
        </w:tc>
      </w:tr>
      <w:tr w14:paraId="6B7F3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 w:hRule="atLeast"/>
          <w:jc w:val="center"/>
        </w:trPr>
        <w:tc>
          <w:tcPr>
            <w:tcW w:w="9217" w:type="dxa"/>
            <w:gridSpan w:val="10"/>
            <w:noWrap w:val="0"/>
            <w:vAlign w:val="center"/>
          </w:tcPr>
          <w:p w14:paraId="2488F215">
            <w:pPr>
              <w:adjustRightInd w:val="0"/>
              <w:snapToGrid w:val="0"/>
              <w:rPr>
                <w:color w:val="auto"/>
                <w:sz w:val="18"/>
                <w:szCs w:val="18"/>
              </w:rPr>
            </w:pPr>
            <w:r>
              <w:rPr>
                <w:color w:val="auto"/>
                <w:sz w:val="18"/>
                <w:szCs w:val="18"/>
              </w:rPr>
              <w:t xml:space="preserve">注1 </w:t>
            </w:r>
            <w:r>
              <w:rPr>
                <w:color w:val="auto"/>
                <w:position w:val="-12"/>
                <w:sz w:val="18"/>
                <w:szCs w:val="18"/>
              </w:rPr>
              <w:object>
                <v:shape id="_x0000_i1816" o:spt="75" type="#_x0000_t75" style="height:18pt;width:10pt;" o:ole="t" filled="f" stroked="f" coordsize="21600,21600">
                  <v:path/>
                  <v:fill on="f" focussize="0,0"/>
                  <v:stroke on="f"/>
                  <v:imagedata r:id="rId1546" o:title=""/>
                  <o:lock v:ext="edit" grouping="f" rotation="f" text="f" aspectratio="t"/>
                  <w10:wrap type="none"/>
                  <w10:anchorlock/>
                </v:shape>
                <o:OLEObject Type="Embed" ProgID="Equation.DSMT4" ShapeID="_x0000_i1816" DrawAspect="Content" ObjectID="_1468076516" r:id="rId1547">
                  <o:LockedField>false</o:LockedField>
                </o:OLEObject>
              </w:object>
            </w:r>
            <w:r>
              <w:rPr>
                <w:color w:val="auto"/>
                <w:sz w:val="18"/>
                <w:szCs w:val="18"/>
              </w:rPr>
              <w:t>是采用角点法查附录G表G.0.1确定的基础中心点下不同深度的附加应力系数；</w:t>
            </w:r>
          </w:p>
          <w:p w14:paraId="6406A5CD">
            <w:pPr>
              <w:adjustRightInd w:val="0"/>
              <w:snapToGrid w:val="0"/>
              <w:rPr>
                <w:color w:val="auto"/>
                <w:sz w:val="18"/>
                <w:szCs w:val="18"/>
              </w:rPr>
            </w:pPr>
            <w:r>
              <w:rPr>
                <w:color w:val="auto"/>
                <w:sz w:val="18"/>
                <w:szCs w:val="18"/>
              </w:rPr>
              <w:t>注2 第9计算层中点附加应力92.1＜488.3×0.2，满足压缩层下限要求。</w:t>
            </w:r>
          </w:p>
        </w:tc>
      </w:tr>
    </w:tbl>
    <w:p w14:paraId="2E8AF710">
      <w:pPr>
        <w:pStyle w:val="12"/>
        <w:jc w:val="center"/>
        <w:rPr>
          <w:color w:val="auto"/>
        </w:rPr>
      </w:pPr>
    </w:p>
    <w:p w14:paraId="2F86FCD2">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4</w:t>
      </w:r>
      <w:r>
        <w:rPr>
          <w:color w:val="auto"/>
        </w:rPr>
        <w:fldChar w:fldCharType="end"/>
      </w:r>
      <w:r>
        <w:rPr>
          <w:b/>
          <w:color w:val="auto"/>
          <w:szCs w:val="21"/>
        </w:rPr>
        <w:t xml:space="preserve">  分层计算沉降</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0"/>
        <w:gridCol w:w="1271"/>
        <w:gridCol w:w="1352"/>
        <w:gridCol w:w="1281"/>
        <w:gridCol w:w="3756"/>
        <w:gridCol w:w="841"/>
      </w:tblGrid>
      <w:tr w14:paraId="7A6B9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33881DB6">
            <w:pPr>
              <w:adjustRightInd w:val="0"/>
              <w:snapToGrid w:val="0"/>
              <w:jc w:val="center"/>
              <w:rPr>
                <w:color w:val="auto"/>
                <w:sz w:val="18"/>
                <w:szCs w:val="18"/>
              </w:rPr>
            </w:pPr>
            <w:r>
              <w:rPr>
                <w:color w:val="auto"/>
                <w:sz w:val="18"/>
                <w:szCs w:val="18"/>
              </w:rPr>
              <w:t>计算分层</w:t>
            </w:r>
          </w:p>
        </w:tc>
        <w:tc>
          <w:tcPr>
            <w:tcW w:w="1271" w:type="dxa"/>
            <w:noWrap w:val="0"/>
            <w:vAlign w:val="center"/>
          </w:tcPr>
          <w:p w14:paraId="2B8F552A">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Δ</w:t>
            </w:r>
            <w:r>
              <w:rPr>
                <w:i/>
                <w:color w:val="auto"/>
                <w:sz w:val="18"/>
                <w:szCs w:val="18"/>
              </w:rPr>
              <w:t>hi</w:t>
            </w:r>
          </w:p>
          <w:p w14:paraId="1F0586EC">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w:t>
            </w:r>
            <w:r>
              <w:rPr>
                <w:i/>
                <w:color w:val="auto"/>
                <w:sz w:val="18"/>
                <w:szCs w:val="18"/>
              </w:rPr>
              <w:t>ei</w:t>
            </w:r>
          </w:p>
          <w:p w14:paraId="5FEDF368">
            <w:pPr>
              <w:adjustRightInd w:val="0"/>
              <w:snapToGrid w:val="0"/>
              <w:spacing w:line="240" w:lineRule="atLeast"/>
              <w:rPr>
                <w:i/>
                <w:color w:val="auto"/>
                <w:sz w:val="18"/>
                <w:szCs w:val="18"/>
              </w:rPr>
            </w:pPr>
            <w:r>
              <w:rPr>
                <w:rFonts w:ascii="宋体"/>
                <w:color w:val="auto"/>
                <w:sz w:val="18"/>
                <w:szCs w:val="18"/>
              </w:rPr>
              <w:t>⑶</w:t>
            </w:r>
            <w:r>
              <w:rPr>
                <w:color w:val="auto"/>
                <w:sz w:val="18"/>
                <w:szCs w:val="18"/>
              </w:rPr>
              <w:t xml:space="preserve"> </w:t>
            </w:r>
            <w:r>
              <w:rPr>
                <w:i/>
                <w:color w:val="auto"/>
                <w:sz w:val="18"/>
                <w:szCs w:val="18"/>
              </w:rPr>
              <w:t>c</w:t>
            </w:r>
            <w:r>
              <w:rPr>
                <w:iCs/>
                <w:color w:val="auto"/>
                <w:sz w:val="18"/>
                <w:szCs w:val="18"/>
                <w:vertAlign w:val="subscript"/>
              </w:rPr>
              <w:t>c</w:t>
            </w:r>
            <w:r>
              <w:rPr>
                <w:i/>
                <w:color w:val="auto"/>
                <w:sz w:val="18"/>
                <w:szCs w:val="18"/>
                <w:vertAlign w:val="subscript"/>
              </w:rPr>
              <w:t>i</w:t>
            </w:r>
          </w:p>
          <w:p w14:paraId="7AABBE61">
            <w:pPr>
              <w:adjustRightInd w:val="0"/>
              <w:snapToGrid w:val="0"/>
              <w:spacing w:line="240" w:lineRule="atLeast"/>
              <w:rPr>
                <w:color w:val="auto"/>
                <w:sz w:val="18"/>
                <w:szCs w:val="18"/>
              </w:rPr>
            </w:pPr>
            <w:r>
              <w:rPr>
                <w:rFonts w:ascii="宋体"/>
                <w:color w:val="auto"/>
                <w:sz w:val="18"/>
                <w:szCs w:val="18"/>
              </w:rPr>
              <w:t>⑷</w:t>
            </w:r>
            <w:r>
              <w:rPr>
                <w:i/>
                <w:color w:val="auto"/>
                <w:sz w:val="18"/>
                <w:szCs w:val="18"/>
              </w:rPr>
              <w:t xml:space="preserve"> c</w:t>
            </w:r>
            <w:r>
              <w:rPr>
                <w:iCs/>
                <w:color w:val="auto"/>
                <w:sz w:val="18"/>
                <w:szCs w:val="18"/>
                <w:vertAlign w:val="subscript"/>
              </w:rPr>
              <w:t>s</w:t>
            </w:r>
            <w:r>
              <w:rPr>
                <w:i/>
                <w:color w:val="auto"/>
                <w:sz w:val="18"/>
                <w:szCs w:val="18"/>
                <w:vertAlign w:val="subscript"/>
              </w:rPr>
              <w:t>i</w:t>
            </w:r>
          </w:p>
        </w:tc>
        <w:tc>
          <w:tcPr>
            <w:tcW w:w="1352" w:type="dxa"/>
            <w:noWrap w:val="0"/>
            <w:vAlign w:val="center"/>
          </w:tcPr>
          <w:p w14:paraId="5C8A84BE">
            <w:pPr>
              <w:adjustRightInd w:val="0"/>
              <w:snapToGrid w:val="0"/>
              <w:spacing w:line="240" w:lineRule="atLeast"/>
              <w:rPr>
                <w:color w:val="auto"/>
                <w:sz w:val="18"/>
                <w:szCs w:val="18"/>
                <w:vertAlign w:val="subscript"/>
              </w:rPr>
            </w:pPr>
            <w:r>
              <w:rPr>
                <w:rFonts w:ascii="宋体"/>
                <w:color w:val="auto"/>
                <w:sz w:val="18"/>
                <w:szCs w:val="18"/>
              </w:rPr>
              <w:t>⑴</w:t>
            </w:r>
            <w:r>
              <w:rPr>
                <w:color w:val="auto"/>
                <w:sz w:val="18"/>
                <w:szCs w:val="18"/>
              </w:rPr>
              <w:t xml:space="preserve"> </w:t>
            </w:r>
            <w:r>
              <w:rPr>
                <w:i/>
                <w:color w:val="auto"/>
                <w:sz w:val="18"/>
                <w:szCs w:val="18"/>
              </w:rPr>
              <w:t>p</w:t>
            </w:r>
            <w:r>
              <w:rPr>
                <w:iCs/>
                <w:color w:val="auto"/>
                <w:sz w:val="18"/>
                <w:szCs w:val="18"/>
                <w:vertAlign w:val="subscript"/>
              </w:rPr>
              <w:t>o</w:t>
            </w:r>
            <w:r>
              <w:rPr>
                <w:i/>
                <w:color w:val="auto"/>
                <w:sz w:val="18"/>
                <w:szCs w:val="18"/>
                <w:vertAlign w:val="subscript"/>
              </w:rPr>
              <w:t>i</w:t>
            </w:r>
            <w:r>
              <w:rPr>
                <w:i/>
                <w:color w:val="auto"/>
                <w:sz w:val="18"/>
                <w:szCs w:val="18"/>
              </w:rPr>
              <w:t xml:space="preserve"> </w:t>
            </w:r>
          </w:p>
          <w:p w14:paraId="4CB9FFFB">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w:t>
            </w:r>
            <w:r>
              <w:rPr>
                <w:i/>
                <w:color w:val="auto"/>
                <w:sz w:val="18"/>
                <w:szCs w:val="18"/>
              </w:rPr>
              <w:t>p</w:t>
            </w:r>
            <w:r>
              <w:rPr>
                <w:iCs/>
                <w:color w:val="auto"/>
                <w:sz w:val="18"/>
                <w:szCs w:val="18"/>
                <w:vertAlign w:val="subscript"/>
              </w:rPr>
              <w:t>z</w:t>
            </w:r>
            <w:r>
              <w:rPr>
                <w:i/>
                <w:color w:val="auto"/>
                <w:sz w:val="18"/>
                <w:szCs w:val="18"/>
                <w:vertAlign w:val="subscript"/>
              </w:rPr>
              <w:t>i</w:t>
            </w:r>
          </w:p>
          <w:p w14:paraId="00713CB1">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w:t>
            </w: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p>
          <w:p w14:paraId="1D322CC3">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w:t>
            </w:r>
            <w:r>
              <w:rPr>
                <w:i/>
                <w:color w:val="auto"/>
                <w:sz w:val="18"/>
                <w:szCs w:val="18"/>
              </w:rPr>
              <w:t>p</w:t>
            </w:r>
            <w:r>
              <w:rPr>
                <w:iCs/>
                <w:color w:val="auto"/>
                <w:sz w:val="18"/>
                <w:szCs w:val="18"/>
                <w:vertAlign w:val="subscript"/>
              </w:rPr>
              <w:t>c</w:t>
            </w:r>
            <w:r>
              <w:rPr>
                <w:i/>
                <w:color w:val="auto"/>
                <w:sz w:val="18"/>
                <w:szCs w:val="18"/>
                <w:vertAlign w:val="subscript"/>
              </w:rPr>
              <w:t>i</w:t>
            </w:r>
          </w:p>
        </w:tc>
        <w:tc>
          <w:tcPr>
            <w:tcW w:w="1281" w:type="dxa"/>
            <w:noWrap w:val="0"/>
            <w:vAlign w:val="center"/>
          </w:tcPr>
          <w:p w14:paraId="4939E7F0">
            <w:pPr>
              <w:adjustRightInd w:val="0"/>
              <w:snapToGrid w:val="0"/>
              <w:jc w:val="center"/>
              <w:rPr>
                <w:color w:val="auto"/>
                <w:sz w:val="18"/>
                <w:szCs w:val="18"/>
              </w:rPr>
            </w:pPr>
            <w:r>
              <w:rPr>
                <w:color w:val="auto"/>
                <w:sz w:val="18"/>
                <w:szCs w:val="18"/>
              </w:rPr>
              <w:t>计算条件</w:t>
            </w:r>
          </w:p>
        </w:tc>
        <w:tc>
          <w:tcPr>
            <w:tcW w:w="3756" w:type="dxa"/>
            <w:noWrap w:val="0"/>
            <w:vAlign w:val="center"/>
          </w:tcPr>
          <w:p w14:paraId="3B2EB164">
            <w:pPr>
              <w:adjustRightInd w:val="0"/>
              <w:snapToGrid w:val="0"/>
              <w:jc w:val="center"/>
              <w:rPr>
                <w:color w:val="auto"/>
                <w:sz w:val="18"/>
                <w:szCs w:val="18"/>
              </w:rPr>
            </w:pPr>
            <w:r>
              <w:rPr>
                <w:color w:val="auto"/>
                <w:sz w:val="18"/>
                <w:szCs w:val="18"/>
              </w:rPr>
              <w:t>算  式</w:t>
            </w:r>
          </w:p>
        </w:tc>
        <w:tc>
          <w:tcPr>
            <w:tcW w:w="841" w:type="dxa"/>
            <w:noWrap w:val="0"/>
            <w:vAlign w:val="center"/>
          </w:tcPr>
          <w:p w14:paraId="3E140C51">
            <w:pPr>
              <w:adjustRightInd w:val="0"/>
              <w:snapToGrid w:val="0"/>
              <w:jc w:val="center"/>
              <w:rPr>
                <w:color w:val="auto"/>
                <w:sz w:val="18"/>
                <w:szCs w:val="18"/>
              </w:rPr>
            </w:pPr>
            <w:r>
              <w:rPr>
                <w:color w:val="auto"/>
                <w:position w:val="-12"/>
                <w:sz w:val="18"/>
                <w:szCs w:val="18"/>
              </w:rPr>
              <w:object>
                <v:shape id="_x0000_i1817" o:spt="75" type="#_x0000_t75" style="height:18pt;width:15pt;" o:ole="t" filled="f" stroked="f" coordsize="21600,21600">
                  <v:path/>
                  <v:fill on="f" focussize="0,0"/>
                  <v:stroke on="f"/>
                  <v:imagedata r:id="rId1549" o:title=""/>
                  <o:lock v:ext="edit" grouping="f" rotation="f" text="f" aspectratio="t"/>
                  <w10:wrap type="none"/>
                  <w10:anchorlock/>
                </v:shape>
                <o:OLEObject Type="Embed" ProgID="Equation.DSMT4" ShapeID="_x0000_i1817" DrawAspect="Content" ObjectID="_1468076517" r:id="rId1548">
                  <o:LockedField>false</o:LockedField>
                </o:OLEObject>
              </w:object>
            </w:r>
          </w:p>
          <w:p w14:paraId="28444F2C">
            <w:pPr>
              <w:adjustRightInd w:val="0"/>
              <w:snapToGrid w:val="0"/>
              <w:jc w:val="center"/>
              <w:rPr>
                <w:color w:val="auto"/>
                <w:sz w:val="18"/>
                <w:szCs w:val="18"/>
              </w:rPr>
            </w:pPr>
            <w:r>
              <w:rPr>
                <w:color w:val="auto"/>
                <w:sz w:val="18"/>
                <w:szCs w:val="18"/>
              </w:rPr>
              <w:t>(cm)</w:t>
            </w:r>
          </w:p>
        </w:tc>
      </w:tr>
      <w:tr w14:paraId="26FE1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270EBFAC">
            <w:pPr>
              <w:adjustRightInd w:val="0"/>
              <w:snapToGrid w:val="0"/>
              <w:jc w:val="center"/>
              <w:rPr>
                <w:color w:val="auto"/>
                <w:sz w:val="18"/>
                <w:szCs w:val="18"/>
              </w:rPr>
            </w:pPr>
            <w:r>
              <w:rPr>
                <w:color w:val="auto"/>
                <w:sz w:val="18"/>
                <w:szCs w:val="18"/>
              </w:rPr>
              <w:t>1</w:t>
            </w:r>
          </w:p>
        </w:tc>
        <w:tc>
          <w:tcPr>
            <w:tcW w:w="1271" w:type="dxa"/>
            <w:noWrap w:val="0"/>
            <w:vAlign w:val="center"/>
          </w:tcPr>
          <w:p w14:paraId="404978C7">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150</w:t>
            </w:r>
          </w:p>
          <w:p w14:paraId="1A38724A">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0.900</w:t>
            </w:r>
          </w:p>
          <w:p w14:paraId="7318F149">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0.189</w:t>
            </w:r>
          </w:p>
          <w:p w14:paraId="525D5AB1">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0.020</w:t>
            </w:r>
          </w:p>
        </w:tc>
        <w:tc>
          <w:tcPr>
            <w:tcW w:w="1352" w:type="dxa"/>
            <w:noWrap w:val="0"/>
            <w:vAlign w:val="center"/>
          </w:tcPr>
          <w:p w14:paraId="513979C2">
            <w:pPr>
              <w:adjustRightInd w:val="0"/>
              <w:snapToGrid w:val="0"/>
              <w:spacing w:line="240" w:lineRule="atLeast"/>
              <w:ind w:left="-2" w:leftChars="-1"/>
              <w:rPr>
                <w:color w:val="auto"/>
                <w:sz w:val="18"/>
                <w:szCs w:val="18"/>
              </w:rPr>
            </w:pPr>
            <w:r>
              <w:rPr>
                <w:rFonts w:ascii="宋体"/>
                <w:color w:val="auto"/>
                <w:sz w:val="18"/>
                <w:szCs w:val="18"/>
              </w:rPr>
              <w:t>⑴</w:t>
            </w:r>
            <w:r>
              <w:rPr>
                <w:color w:val="auto"/>
                <w:sz w:val="18"/>
                <w:szCs w:val="18"/>
              </w:rPr>
              <w:t xml:space="preserve"> 124.9</w:t>
            </w:r>
          </w:p>
          <w:p w14:paraId="76AC4637">
            <w:pPr>
              <w:adjustRightInd w:val="0"/>
              <w:snapToGrid w:val="0"/>
              <w:spacing w:line="240" w:lineRule="atLeast"/>
              <w:ind w:left="-2" w:leftChars="-1"/>
              <w:rPr>
                <w:color w:val="auto"/>
                <w:sz w:val="18"/>
                <w:szCs w:val="18"/>
              </w:rPr>
            </w:pPr>
            <w:r>
              <w:rPr>
                <w:rFonts w:ascii="宋体"/>
                <w:color w:val="auto"/>
                <w:sz w:val="18"/>
                <w:szCs w:val="18"/>
              </w:rPr>
              <w:t>⑵</w:t>
            </w:r>
            <w:r>
              <w:rPr>
                <w:color w:val="auto"/>
                <w:sz w:val="18"/>
                <w:szCs w:val="18"/>
              </w:rPr>
              <w:t xml:space="preserve"> 138.3</w:t>
            </w:r>
          </w:p>
          <w:p w14:paraId="461D03BE">
            <w:pPr>
              <w:adjustRightInd w:val="0"/>
              <w:snapToGrid w:val="0"/>
              <w:spacing w:line="240" w:lineRule="atLeast"/>
              <w:ind w:left="-2" w:leftChars="-1"/>
              <w:rPr>
                <w:color w:val="auto"/>
                <w:sz w:val="18"/>
                <w:szCs w:val="18"/>
              </w:rPr>
            </w:pPr>
            <w:r>
              <w:rPr>
                <w:rFonts w:ascii="宋体"/>
                <w:color w:val="auto"/>
                <w:sz w:val="18"/>
                <w:szCs w:val="18"/>
              </w:rPr>
              <w:t>⑶</w:t>
            </w:r>
            <w:r>
              <w:rPr>
                <w:color w:val="auto"/>
                <w:sz w:val="18"/>
                <w:szCs w:val="18"/>
              </w:rPr>
              <w:t xml:space="preserve"> 263.2</w:t>
            </w:r>
          </w:p>
          <w:p w14:paraId="5E8652AB">
            <w:pPr>
              <w:adjustRightInd w:val="0"/>
              <w:snapToGrid w:val="0"/>
              <w:spacing w:line="240" w:lineRule="atLeast"/>
              <w:ind w:left="-2" w:leftChars="-1"/>
              <w:rPr>
                <w:color w:val="auto"/>
                <w:sz w:val="18"/>
                <w:szCs w:val="18"/>
              </w:rPr>
            </w:pPr>
            <w:r>
              <w:rPr>
                <w:rFonts w:ascii="宋体"/>
                <w:color w:val="auto"/>
                <w:sz w:val="18"/>
                <w:szCs w:val="18"/>
              </w:rPr>
              <w:t>⑷</w:t>
            </w:r>
            <w:r>
              <w:rPr>
                <w:color w:val="auto"/>
                <w:sz w:val="18"/>
                <w:szCs w:val="18"/>
              </w:rPr>
              <w:t xml:space="preserve"> 等于</w:t>
            </w:r>
            <w:r>
              <w:rPr>
                <w:i/>
                <w:color w:val="auto"/>
                <w:sz w:val="18"/>
                <w:szCs w:val="18"/>
              </w:rPr>
              <w:t>p</w:t>
            </w:r>
            <w:r>
              <w:rPr>
                <w:iCs/>
                <w:color w:val="auto"/>
                <w:sz w:val="18"/>
                <w:szCs w:val="18"/>
                <w:vertAlign w:val="subscript"/>
              </w:rPr>
              <w:t>0</w:t>
            </w:r>
            <w:r>
              <w:rPr>
                <w:i/>
                <w:color w:val="auto"/>
                <w:sz w:val="18"/>
                <w:szCs w:val="18"/>
                <w:vertAlign w:val="subscript"/>
              </w:rPr>
              <w:t>i</w:t>
            </w:r>
          </w:p>
        </w:tc>
        <w:tc>
          <w:tcPr>
            <w:tcW w:w="1281" w:type="dxa"/>
            <w:noWrap w:val="0"/>
            <w:vAlign w:val="center"/>
          </w:tcPr>
          <w:p w14:paraId="0C357DA6">
            <w:pPr>
              <w:adjustRightInd w:val="0"/>
              <w:snapToGrid w:val="0"/>
              <w:jc w:val="center"/>
              <w:rPr>
                <w:color w:val="auto"/>
                <w:sz w:val="18"/>
                <w:szCs w:val="18"/>
              </w:rPr>
            </w:pPr>
            <w:r>
              <w:rPr>
                <w:color w:val="auto"/>
                <w:sz w:val="18"/>
                <w:szCs w:val="18"/>
              </w:rPr>
              <w:t>正常固结</w:t>
            </w:r>
          </w:p>
        </w:tc>
        <w:tc>
          <w:tcPr>
            <w:tcW w:w="3756" w:type="dxa"/>
            <w:noWrap w:val="0"/>
            <w:vAlign w:val="center"/>
          </w:tcPr>
          <w:p w14:paraId="077D7683">
            <w:pPr>
              <w:adjustRightInd w:val="0"/>
              <w:snapToGrid w:val="0"/>
              <w:jc w:val="center"/>
              <w:rPr>
                <w:color w:val="auto"/>
                <w:sz w:val="18"/>
                <w:szCs w:val="18"/>
              </w:rPr>
            </w:pPr>
            <w:r>
              <w:rPr>
                <w:color w:val="auto"/>
                <w:sz w:val="18"/>
                <w:szCs w:val="18"/>
              </w:rPr>
              <w:t>150÷(1+0.9)×0.189×log(263.2÷124.9)</w:t>
            </w:r>
          </w:p>
        </w:tc>
        <w:tc>
          <w:tcPr>
            <w:tcW w:w="841" w:type="dxa"/>
            <w:noWrap w:val="0"/>
            <w:vAlign w:val="center"/>
          </w:tcPr>
          <w:p w14:paraId="25E21AAB">
            <w:pPr>
              <w:adjustRightInd w:val="0"/>
              <w:snapToGrid w:val="0"/>
              <w:jc w:val="center"/>
              <w:rPr>
                <w:color w:val="auto"/>
                <w:sz w:val="18"/>
                <w:szCs w:val="18"/>
              </w:rPr>
            </w:pPr>
            <w:r>
              <w:rPr>
                <w:color w:val="auto"/>
                <w:sz w:val="18"/>
                <w:szCs w:val="18"/>
              </w:rPr>
              <w:t>4.83</w:t>
            </w:r>
          </w:p>
        </w:tc>
      </w:tr>
      <w:tr w14:paraId="16857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633CF93F">
            <w:pPr>
              <w:adjustRightInd w:val="0"/>
              <w:snapToGrid w:val="0"/>
              <w:jc w:val="center"/>
              <w:rPr>
                <w:color w:val="auto"/>
                <w:sz w:val="18"/>
                <w:szCs w:val="18"/>
              </w:rPr>
            </w:pPr>
            <w:r>
              <w:rPr>
                <w:color w:val="auto"/>
                <w:sz w:val="18"/>
                <w:szCs w:val="18"/>
              </w:rPr>
              <w:t>2</w:t>
            </w:r>
          </w:p>
        </w:tc>
        <w:tc>
          <w:tcPr>
            <w:tcW w:w="1271" w:type="dxa"/>
            <w:noWrap w:val="0"/>
            <w:vAlign w:val="center"/>
          </w:tcPr>
          <w:p w14:paraId="152E3A96">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150</w:t>
            </w:r>
          </w:p>
          <w:p w14:paraId="7E7D3112">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0.850</w:t>
            </w:r>
          </w:p>
          <w:p w14:paraId="2CAD0741">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0.174</w:t>
            </w:r>
          </w:p>
          <w:p w14:paraId="11BD7DE7">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0.015</w:t>
            </w:r>
          </w:p>
        </w:tc>
        <w:tc>
          <w:tcPr>
            <w:tcW w:w="1352" w:type="dxa"/>
            <w:noWrap w:val="0"/>
            <w:vAlign w:val="center"/>
          </w:tcPr>
          <w:p w14:paraId="0B3D52A9">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152.6</w:t>
            </w:r>
          </w:p>
          <w:p w14:paraId="0BB48294">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138.0</w:t>
            </w:r>
          </w:p>
          <w:p w14:paraId="59644F24">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290.6</w:t>
            </w:r>
          </w:p>
          <w:p w14:paraId="01338957">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180</w:t>
            </w:r>
          </w:p>
        </w:tc>
        <w:tc>
          <w:tcPr>
            <w:tcW w:w="1281" w:type="dxa"/>
            <w:noWrap w:val="0"/>
            <w:vAlign w:val="center"/>
          </w:tcPr>
          <w:p w14:paraId="3BA74879">
            <w:pPr>
              <w:adjustRightInd w:val="0"/>
              <w:snapToGrid w:val="0"/>
              <w:jc w:val="center"/>
              <w:rPr>
                <w:color w:val="auto"/>
                <w:sz w:val="18"/>
                <w:szCs w:val="18"/>
              </w:rPr>
            </w:pPr>
            <w:r>
              <w:rPr>
                <w:color w:val="auto"/>
                <w:sz w:val="18"/>
                <w:szCs w:val="18"/>
              </w:rPr>
              <w:t>超固结</w:t>
            </w:r>
          </w:p>
          <w:p w14:paraId="3EFD756B">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4924F395">
            <w:pPr>
              <w:adjustRightInd w:val="0"/>
              <w:snapToGrid w:val="0"/>
              <w:jc w:val="center"/>
              <w:rPr>
                <w:color w:val="auto"/>
                <w:sz w:val="18"/>
                <w:szCs w:val="18"/>
              </w:rPr>
            </w:pPr>
            <w:r>
              <w:rPr>
                <w:color w:val="auto"/>
                <w:sz w:val="18"/>
                <w:szCs w:val="18"/>
              </w:rPr>
              <w:t>150÷(1+0.85)×[0.015×log(180÷152.6)+0.174×log(290.6÷180)]</w:t>
            </w:r>
          </w:p>
        </w:tc>
        <w:tc>
          <w:tcPr>
            <w:tcW w:w="841" w:type="dxa"/>
            <w:noWrap w:val="0"/>
            <w:vAlign w:val="center"/>
          </w:tcPr>
          <w:p w14:paraId="0C2B2659">
            <w:pPr>
              <w:adjustRightInd w:val="0"/>
              <w:snapToGrid w:val="0"/>
              <w:jc w:val="center"/>
              <w:rPr>
                <w:color w:val="auto"/>
                <w:sz w:val="18"/>
                <w:szCs w:val="18"/>
              </w:rPr>
            </w:pPr>
            <w:r>
              <w:rPr>
                <w:color w:val="auto"/>
                <w:sz w:val="18"/>
                <w:szCs w:val="18"/>
              </w:rPr>
              <w:t>3.02</w:t>
            </w:r>
          </w:p>
        </w:tc>
      </w:tr>
      <w:tr w14:paraId="74B46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5A15AA71">
            <w:pPr>
              <w:adjustRightInd w:val="0"/>
              <w:snapToGrid w:val="0"/>
              <w:jc w:val="center"/>
              <w:rPr>
                <w:color w:val="auto"/>
                <w:sz w:val="18"/>
                <w:szCs w:val="18"/>
              </w:rPr>
            </w:pPr>
            <w:r>
              <w:rPr>
                <w:color w:val="auto"/>
                <w:sz w:val="18"/>
                <w:szCs w:val="18"/>
              </w:rPr>
              <w:t>3</w:t>
            </w:r>
          </w:p>
        </w:tc>
        <w:tc>
          <w:tcPr>
            <w:tcW w:w="1271" w:type="dxa"/>
            <w:noWrap w:val="0"/>
            <w:vAlign w:val="center"/>
          </w:tcPr>
          <w:p w14:paraId="2D86DB0A">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200</w:t>
            </w:r>
          </w:p>
          <w:p w14:paraId="72019EF2">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0.750</w:t>
            </w:r>
          </w:p>
          <w:p w14:paraId="410DE061">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0.150</w:t>
            </w:r>
          </w:p>
          <w:p w14:paraId="55B2B7B1">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0.012</w:t>
            </w:r>
          </w:p>
        </w:tc>
        <w:tc>
          <w:tcPr>
            <w:tcW w:w="1352" w:type="dxa"/>
            <w:noWrap w:val="0"/>
            <w:vAlign w:val="center"/>
          </w:tcPr>
          <w:p w14:paraId="4136C3D1">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186.0</w:t>
            </w:r>
          </w:p>
          <w:p w14:paraId="5DCAD8E7">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136.8</w:t>
            </w:r>
          </w:p>
          <w:p w14:paraId="72A973CC">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322.8</w:t>
            </w:r>
          </w:p>
          <w:p w14:paraId="24397E03">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250</w:t>
            </w:r>
          </w:p>
        </w:tc>
        <w:tc>
          <w:tcPr>
            <w:tcW w:w="1281" w:type="dxa"/>
            <w:noWrap w:val="0"/>
            <w:vAlign w:val="center"/>
          </w:tcPr>
          <w:p w14:paraId="6922B677">
            <w:pPr>
              <w:adjustRightInd w:val="0"/>
              <w:snapToGrid w:val="0"/>
              <w:jc w:val="center"/>
              <w:rPr>
                <w:color w:val="auto"/>
                <w:sz w:val="18"/>
                <w:szCs w:val="18"/>
              </w:rPr>
            </w:pPr>
            <w:r>
              <w:rPr>
                <w:color w:val="auto"/>
                <w:sz w:val="18"/>
                <w:szCs w:val="18"/>
              </w:rPr>
              <w:t>超固结</w:t>
            </w:r>
          </w:p>
          <w:p w14:paraId="72A838C6">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12B6C487">
            <w:pPr>
              <w:adjustRightInd w:val="0"/>
              <w:snapToGrid w:val="0"/>
              <w:jc w:val="center"/>
              <w:rPr>
                <w:color w:val="auto"/>
                <w:sz w:val="18"/>
                <w:szCs w:val="18"/>
              </w:rPr>
            </w:pPr>
            <w:r>
              <w:rPr>
                <w:color w:val="auto"/>
                <w:sz w:val="18"/>
                <w:szCs w:val="18"/>
              </w:rPr>
              <w:t>200÷(1+0.75)×[0.012×log(250÷186.0)+0.150×log(322.8÷250)]</w:t>
            </w:r>
          </w:p>
        </w:tc>
        <w:tc>
          <w:tcPr>
            <w:tcW w:w="841" w:type="dxa"/>
            <w:noWrap w:val="0"/>
            <w:vAlign w:val="center"/>
          </w:tcPr>
          <w:p w14:paraId="5D20A7CC">
            <w:pPr>
              <w:adjustRightInd w:val="0"/>
              <w:snapToGrid w:val="0"/>
              <w:jc w:val="center"/>
              <w:rPr>
                <w:color w:val="auto"/>
                <w:sz w:val="18"/>
                <w:szCs w:val="18"/>
              </w:rPr>
            </w:pPr>
            <w:r>
              <w:rPr>
                <w:color w:val="auto"/>
                <w:sz w:val="18"/>
                <w:szCs w:val="18"/>
              </w:rPr>
              <w:t>2.08</w:t>
            </w:r>
          </w:p>
        </w:tc>
      </w:tr>
      <w:tr w14:paraId="6573E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34E0A239">
            <w:pPr>
              <w:adjustRightInd w:val="0"/>
              <w:snapToGrid w:val="0"/>
              <w:jc w:val="center"/>
              <w:rPr>
                <w:color w:val="auto"/>
                <w:sz w:val="18"/>
                <w:szCs w:val="18"/>
              </w:rPr>
            </w:pPr>
            <w:r>
              <w:rPr>
                <w:color w:val="auto"/>
                <w:sz w:val="18"/>
                <w:szCs w:val="18"/>
              </w:rPr>
              <w:t>4</w:t>
            </w:r>
          </w:p>
        </w:tc>
        <w:tc>
          <w:tcPr>
            <w:tcW w:w="1271" w:type="dxa"/>
            <w:noWrap w:val="0"/>
            <w:vAlign w:val="center"/>
          </w:tcPr>
          <w:p w14:paraId="09837FAF">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200</w:t>
            </w:r>
          </w:p>
          <w:p w14:paraId="2E3D3034">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0.720</w:t>
            </w:r>
          </w:p>
          <w:p w14:paraId="0BD1CEF1">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0.135</w:t>
            </w:r>
          </w:p>
          <w:p w14:paraId="02963D80">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0.010</w:t>
            </w:r>
          </w:p>
        </w:tc>
        <w:tc>
          <w:tcPr>
            <w:tcW w:w="1352" w:type="dxa"/>
            <w:noWrap w:val="0"/>
            <w:vAlign w:val="center"/>
          </w:tcPr>
          <w:p w14:paraId="159DC622">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225.0</w:t>
            </w:r>
          </w:p>
          <w:p w14:paraId="74C5DA27">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134.7</w:t>
            </w:r>
          </w:p>
          <w:p w14:paraId="0019B322">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359.7</w:t>
            </w:r>
          </w:p>
          <w:p w14:paraId="5C25289F">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324</w:t>
            </w:r>
          </w:p>
        </w:tc>
        <w:tc>
          <w:tcPr>
            <w:tcW w:w="1281" w:type="dxa"/>
            <w:noWrap w:val="0"/>
            <w:vAlign w:val="center"/>
          </w:tcPr>
          <w:p w14:paraId="171B9573">
            <w:pPr>
              <w:adjustRightInd w:val="0"/>
              <w:snapToGrid w:val="0"/>
              <w:jc w:val="center"/>
              <w:rPr>
                <w:color w:val="auto"/>
                <w:sz w:val="18"/>
                <w:szCs w:val="18"/>
              </w:rPr>
            </w:pPr>
            <w:r>
              <w:rPr>
                <w:color w:val="auto"/>
                <w:sz w:val="18"/>
                <w:szCs w:val="18"/>
              </w:rPr>
              <w:t>超固结</w:t>
            </w:r>
          </w:p>
          <w:p w14:paraId="05162639">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6D2DADCE">
            <w:pPr>
              <w:adjustRightInd w:val="0"/>
              <w:snapToGrid w:val="0"/>
              <w:jc w:val="center"/>
              <w:rPr>
                <w:color w:val="auto"/>
                <w:sz w:val="18"/>
                <w:szCs w:val="18"/>
              </w:rPr>
            </w:pPr>
            <w:r>
              <w:rPr>
                <w:color w:val="auto"/>
                <w:sz w:val="18"/>
                <w:szCs w:val="18"/>
              </w:rPr>
              <w:t>200÷(1+0.72)×[0.010×log(324÷225)+0.135×log(359.7÷324)]</w:t>
            </w:r>
          </w:p>
        </w:tc>
        <w:tc>
          <w:tcPr>
            <w:tcW w:w="841" w:type="dxa"/>
            <w:noWrap w:val="0"/>
            <w:vAlign w:val="center"/>
          </w:tcPr>
          <w:p w14:paraId="727E13A5">
            <w:pPr>
              <w:adjustRightInd w:val="0"/>
              <w:snapToGrid w:val="0"/>
              <w:jc w:val="center"/>
              <w:rPr>
                <w:color w:val="auto"/>
                <w:sz w:val="18"/>
                <w:szCs w:val="18"/>
              </w:rPr>
            </w:pPr>
            <w:r>
              <w:rPr>
                <w:color w:val="auto"/>
                <w:sz w:val="18"/>
                <w:szCs w:val="18"/>
              </w:rPr>
              <w:t>0.90</w:t>
            </w:r>
          </w:p>
        </w:tc>
      </w:tr>
      <w:tr w14:paraId="3AF1FF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0C86DF4D">
            <w:pPr>
              <w:adjustRightInd w:val="0"/>
              <w:snapToGrid w:val="0"/>
              <w:jc w:val="center"/>
              <w:rPr>
                <w:color w:val="auto"/>
                <w:sz w:val="18"/>
                <w:szCs w:val="18"/>
              </w:rPr>
            </w:pPr>
            <w:r>
              <w:rPr>
                <w:color w:val="auto"/>
                <w:sz w:val="18"/>
                <w:szCs w:val="18"/>
              </w:rPr>
              <w:t>5</w:t>
            </w:r>
          </w:p>
        </w:tc>
        <w:tc>
          <w:tcPr>
            <w:tcW w:w="1271" w:type="dxa"/>
            <w:noWrap w:val="0"/>
            <w:vAlign w:val="center"/>
          </w:tcPr>
          <w:p w14:paraId="3E4BEBBA">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200</w:t>
            </w:r>
          </w:p>
          <w:p w14:paraId="0152FAEA">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0.705</w:t>
            </w:r>
          </w:p>
          <w:p w14:paraId="2BE58617">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0.131</w:t>
            </w:r>
          </w:p>
          <w:p w14:paraId="60B7DE0F">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0.009</w:t>
            </w:r>
          </w:p>
        </w:tc>
        <w:tc>
          <w:tcPr>
            <w:tcW w:w="1352" w:type="dxa"/>
            <w:noWrap w:val="0"/>
            <w:vAlign w:val="center"/>
          </w:tcPr>
          <w:p w14:paraId="5BEA7C0C">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264.0</w:t>
            </w:r>
          </w:p>
          <w:p w14:paraId="657F4F39">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134.1</w:t>
            </w:r>
          </w:p>
          <w:p w14:paraId="11562A44">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398.1</w:t>
            </w:r>
          </w:p>
          <w:p w14:paraId="698EF47A">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400</w:t>
            </w:r>
          </w:p>
        </w:tc>
        <w:tc>
          <w:tcPr>
            <w:tcW w:w="1281" w:type="dxa"/>
            <w:noWrap w:val="0"/>
            <w:vAlign w:val="center"/>
          </w:tcPr>
          <w:p w14:paraId="624BBF62">
            <w:pPr>
              <w:adjustRightInd w:val="0"/>
              <w:snapToGrid w:val="0"/>
              <w:jc w:val="center"/>
              <w:rPr>
                <w:color w:val="auto"/>
                <w:sz w:val="18"/>
                <w:szCs w:val="18"/>
              </w:rPr>
            </w:pPr>
            <w:r>
              <w:rPr>
                <w:color w:val="auto"/>
                <w:sz w:val="18"/>
                <w:szCs w:val="18"/>
              </w:rPr>
              <w:t>超固结</w:t>
            </w:r>
          </w:p>
          <w:p w14:paraId="28900B28">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6B376560">
            <w:pPr>
              <w:adjustRightInd w:val="0"/>
              <w:snapToGrid w:val="0"/>
              <w:jc w:val="center"/>
              <w:rPr>
                <w:color w:val="auto"/>
                <w:sz w:val="18"/>
                <w:szCs w:val="18"/>
              </w:rPr>
            </w:pPr>
            <w:r>
              <w:rPr>
                <w:color w:val="auto"/>
                <w:sz w:val="18"/>
                <w:szCs w:val="18"/>
              </w:rPr>
              <w:t>200÷(1+0.705)×0.009×log(398.1÷264)</w:t>
            </w:r>
          </w:p>
        </w:tc>
        <w:tc>
          <w:tcPr>
            <w:tcW w:w="841" w:type="dxa"/>
            <w:noWrap w:val="0"/>
            <w:vAlign w:val="center"/>
          </w:tcPr>
          <w:p w14:paraId="4C303508">
            <w:pPr>
              <w:adjustRightInd w:val="0"/>
              <w:snapToGrid w:val="0"/>
              <w:jc w:val="center"/>
              <w:rPr>
                <w:color w:val="auto"/>
                <w:sz w:val="18"/>
                <w:szCs w:val="18"/>
              </w:rPr>
            </w:pPr>
            <w:r>
              <w:rPr>
                <w:color w:val="auto"/>
                <w:sz w:val="18"/>
                <w:szCs w:val="18"/>
              </w:rPr>
              <w:t>0.19</w:t>
            </w:r>
          </w:p>
        </w:tc>
      </w:tr>
      <w:tr w14:paraId="55E01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1BD51DF1">
            <w:pPr>
              <w:adjustRightInd w:val="0"/>
              <w:snapToGrid w:val="0"/>
              <w:jc w:val="center"/>
              <w:rPr>
                <w:color w:val="auto"/>
                <w:sz w:val="18"/>
                <w:szCs w:val="18"/>
              </w:rPr>
            </w:pPr>
            <w:r>
              <w:rPr>
                <w:color w:val="auto"/>
                <w:sz w:val="18"/>
                <w:szCs w:val="18"/>
              </w:rPr>
              <w:t>6</w:t>
            </w:r>
          </w:p>
        </w:tc>
        <w:tc>
          <w:tcPr>
            <w:tcW w:w="1271" w:type="dxa"/>
            <w:noWrap w:val="0"/>
            <w:vAlign w:val="center"/>
          </w:tcPr>
          <w:p w14:paraId="184C4189">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300</w:t>
            </w:r>
          </w:p>
          <w:p w14:paraId="5290D416">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0.680</w:t>
            </w:r>
          </w:p>
          <w:p w14:paraId="678D86C9">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0.123</w:t>
            </w:r>
          </w:p>
          <w:p w14:paraId="65FEB1EC">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0.007</w:t>
            </w:r>
          </w:p>
        </w:tc>
        <w:tc>
          <w:tcPr>
            <w:tcW w:w="1352" w:type="dxa"/>
            <w:noWrap w:val="0"/>
            <w:vAlign w:val="center"/>
          </w:tcPr>
          <w:p w14:paraId="3424C6F2">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312.8</w:t>
            </w:r>
          </w:p>
          <w:p w14:paraId="69BE0454">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123.5</w:t>
            </w:r>
          </w:p>
          <w:p w14:paraId="1174F2AF">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436.3</w:t>
            </w:r>
          </w:p>
          <w:p w14:paraId="2F841281">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490</w:t>
            </w:r>
          </w:p>
        </w:tc>
        <w:tc>
          <w:tcPr>
            <w:tcW w:w="1281" w:type="dxa"/>
            <w:noWrap w:val="0"/>
            <w:vAlign w:val="center"/>
          </w:tcPr>
          <w:p w14:paraId="7B846DED">
            <w:pPr>
              <w:adjustRightInd w:val="0"/>
              <w:snapToGrid w:val="0"/>
              <w:jc w:val="center"/>
              <w:rPr>
                <w:color w:val="auto"/>
                <w:sz w:val="18"/>
                <w:szCs w:val="18"/>
              </w:rPr>
            </w:pPr>
            <w:r>
              <w:rPr>
                <w:color w:val="auto"/>
                <w:sz w:val="18"/>
                <w:szCs w:val="18"/>
              </w:rPr>
              <w:t>超固结</w:t>
            </w:r>
          </w:p>
          <w:p w14:paraId="02F3B115">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353463B3">
            <w:pPr>
              <w:adjustRightInd w:val="0"/>
              <w:snapToGrid w:val="0"/>
              <w:jc w:val="center"/>
              <w:rPr>
                <w:color w:val="auto"/>
                <w:sz w:val="18"/>
                <w:szCs w:val="18"/>
              </w:rPr>
            </w:pPr>
            <w:r>
              <w:rPr>
                <w:color w:val="auto"/>
                <w:sz w:val="18"/>
                <w:szCs w:val="18"/>
              </w:rPr>
              <w:t>300÷(1+0.680)×0.007×log(436.3÷312.8)</w:t>
            </w:r>
          </w:p>
        </w:tc>
        <w:tc>
          <w:tcPr>
            <w:tcW w:w="841" w:type="dxa"/>
            <w:noWrap w:val="0"/>
            <w:vAlign w:val="center"/>
          </w:tcPr>
          <w:p w14:paraId="3E103A81">
            <w:pPr>
              <w:adjustRightInd w:val="0"/>
              <w:snapToGrid w:val="0"/>
              <w:jc w:val="center"/>
              <w:rPr>
                <w:color w:val="auto"/>
                <w:sz w:val="18"/>
                <w:szCs w:val="18"/>
              </w:rPr>
            </w:pPr>
            <w:r>
              <w:rPr>
                <w:color w:val="auto"/>
                <w:sz w:val="18"/>
                <w:szCs w:val="18"/>
              </w:rPr>
              <w:t>0.18</w:t>
            </w:r>
          </w:p>
        </w:tc>
      </w:tr>
      <w:tr w14:paraId="73230E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1FC02D5E">
            <w:pPr>
              <w:adjustRightInd w:val="0"/>
              <w:snapToGrid w:val="0"/>
              <w:jc w:val="center"/>
              <w:rPr>
                <w:color w:val="auto"/>
                <w:sz w:val="18"/>
                <w:szCs w:val="18"/>
              </w:rPr>
            </w:pPr>
            <w:r>
              <w:rPr>
                <w:color w:val="auto"/>
                <w:sz w:val="18"/>
                <w:szCs w:val="18"/>
              </w:rPr>
              <w:t>7</w:t>
            </w:r>
          </w:p>
        </w:tc>
        <w:tc>
          <w:tcPr>
            <w:tcW w:w="1271" w:type="dxa"/>
            <w:noWrap w:val="0"/>
            <w:vAlign w:val="center"/>
          </w:tcPr>
          <w:p w14:paraId="130A7752">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300</w:t>
            </w:r>
          </w:p>
          <w:p w14:paraId="27A8C2DB">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0.620</w:t>
            </w:r>
          </w:p>
          <w:p w14:paraId="68F4DDCA">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0.105</w:t>
            </w:r>
          </w:p>
          <w:p w14:paraId="2F7A7BD3">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0.006</w:t>
            </w:r>
          </w:p>
        </w:tc>
        <w:tc>
          <w:tcPr>
            <w:tcW w:w="1352" w:type="dxa"/>
            <w:noWrap w:val="0"/>
            <w:vAlign w:val="center"/>
          </w:tcPr>
          <w:p w14:paraId="6CF6FA19">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371.3</w:t>
            </w:r>
          </w:p>
          <w:p w14:paraId="5D8A8FE7">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113.5</w:t>
            </w:r>
          </w:p>
          <w:p w14:paraId="3183337A">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484.8</w:t>
            </w:r>
          </w:p>
          <w:p w14:paraId="148AB566">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600</w:t>
            </w:r>
          </w:p>
        </w:tc>
        <w:tc>
          <w:tcPr>
            <w:tcW w:w="1281" w:type="dxa"/>
            <w:noWrap w:val="0"/>
            <w:vAlign w:val="center"/>
          </w:tcPr>
          <w:p w14:paraId="3489C2B4">
            <w:pPr>
              <w:adjustRightInd w:val="0"/>
              <w:snapToGrid w:val="0"/>
              <w:jc w:val="center"/>
              <w:rPr>
                <w:color w:val="auto"/>
                <w:sz w:val="18"/>
                <w:szCs w:val="18"/>
              </w:rPr>
            </w:pPr>
            <w:r>
              <w:rPr>
                <w:color w:val="auto"/>
                <w:sz w:val="18"/>
                <w:szCs w:val="18"/>
              </w:rPr>
              <w:t>超固结</w:t>
            </w:r>
          </w:p>
          <w:p w14:paraId="6184844D">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7DED84CE">
            <w:pPr>
              <w:adjustRightInd w:val="0"/>
              <w:snapToGrid w:val="0"/>
              <w:jc w:val="center"/>
              <w:rPr>
                <w:color w:val="auto"/>
                <w:sz w:val="18"/>
                <w:szCs w:val="18"/>
              </w:rPr>
            </w:pPr>
            <w:r>
              <w:rPr>
                <w:color w:val="auto"/>
                <w:sz w:val="18"/>
                <w:szCs w:val="18"/>
              </w:rPr>
              <w:t>300÷(1+0.620)×0.006×log(484.8÷371.3)</w:t>
            </w:r>
          </w:p>
        </w:tc>
        <w:tc>
          <w:tcPr>
            <w:tcW w:w="841" w:type="dxa"/>
            <w:noWrap w:val="0"/>
            <w:vAlign w:val="center"/>
          </w:tcPr>
          <w:p w14:paraId="7979B642">
            <w:pPr>
              <w:adjustRightInd w:val="0"/>
              <w:snapToGrid w:val="0"/>
              <w:jc w:val="center"/>
              <w:rPr>
                <w:color w:val="auto"/>
                <w:sz w:val="18"/>
                <w:szCs w:val="18"/>
              </w:rPr>
            </w:pPr>
            <w:r>
              <w:rPr>
                <w:color w:val="auto"/>
                <w:sz w:val="18"/>
                <w:szCs w:val="18"/>
              </w:rPr>
              <w:t>0.13</w:t>
            </w:r>
          </w:p>
        </w:tc>
      </w:tr>
      <w:tr w14:paraId="44748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72511FAF">
            <w:pPr>
              <w:adjustRightInd w:val="0"/>
              <w:snapToGrid w:val="0"/>
              <w:jc w:val="center"/>
              <w:rPr>
                <w:color w:val="auto"/>
                <w:sz w:val="18"/>
                <w:szCs w:val="18"/>
              </w:rPr>
            </w:pPr>
            <w:r>
              <w:rPr>
                <w:color w:val="auto"/>
                <w:sz w:val="18"/>
                <w:szCs w:val="18"/>
              </w:rPr>
              <w:t>8</w:t>
            </w:r>
          </w:p>
        </w:tc>
        <w:tc>
          <w:tcPr>
            <w:tcW w:w="1271" w:type="dxa"/>
            <w:noWrap w:val="0"/>
            <w:vAlign w:val="center"/>
          </w:tcPr>
          <w:p w14:paraId="6CC6EDA6">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300</w:t>
            </w:r>
          </w:p>
          <w:p w14:paraId="2A66EF0C">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0.620</w:t>
            </w:r>
          </w:p>
          <w:p w14:paraId="2DF8CA5E">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0.105</w:t>
            </w:r>
          </w:p>
          <w:p w14:paraId="6A008E7A">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0.006</w:t>
            </w:r>
          </w:p>
        </w:tc>
        <w:tc>
          <w:tcPr>
            <w:tcW w:w="1352" w:type="dxa"/>
            <w:noWrap w:val="0"/>
            <w:vAlign w:val="center"/>
          </w:tcPr>
          <w:p w14:paraId="224DC4BF">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429.8</w:t>
            </w:r>
          </w:p>
          <w:p w14:paraId="7928F3C3">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102.8</w:t>
            </w:r>
          </w:p>
          <w:p w14:paraId="1E4C0F55">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532.6</w:t>
            </w:r>
          </w:p>
          <w:p w14:paraId="3470E62D">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600</w:t>
            </w:r>
          </w:p>
        </w:tc>
        <w:tc>
          <w:tcPr>
            <w:tcW w:w="1281" w:type="dxa"/>
            <w:noWrap w:val="0"/>
            <w:vAlign w:val="center"/>
          </w:tcPr>
          <w:p w14:paraId="62466E98">
            <w:pPr>
              <w:adjustRightInd w:val="0"/>
              <w:snapToGrid w:val="0"/>
              <w:jc w:val="center"/>
              <w:rPr>
                <w:color w:val="auto"/>
                <w:sz w:val="18"/>
                <w:szCs w:val="18"/>
              </w:rPr>
            </w:pPr>
            <w:r>
              <w:rPr>
                <w:color w:val="auto"/>
                <w:sz w:val="18"/>
                <w:szCs w:val="18"/>
              </w:rPr>
              <w:t>超固结</w:t>
            </w:r>
          </w:p>
          <w:p w14:paraId="3BAA224D">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6A8A5889">
            <w:pPr>
              <w:adjustRightInd w:val="0"/>
              <w:snapToGrid w:val="0"/>
              <w:jc w:val="center"/>
              <w:rPr>
                <w:color w:val="auto"/>
                <w:sz w:val="18"/>
                <w:szCs w:val="18"/>
              </w:rPr>
            </w:pPr>
            <w:r>
              <w:rPr>
                <w:color w:val="auto"/>
                <w:sz w:val="18"/>
                <w:szCs w:val="18"/>
              </w:rPr>
              <w:t>300÷(1+0.620)×0.006×log(532.6÷429.8)</w:t>
            </w:r>
          </w:p>
        </w:tc>
        <w:tc>
          <w:tcPr>
            <w:tcW w:w="841" w:type="dxa"/>
            <w:noWrap w:val="0"/>
            <w:vAlign w:val="center"/>
          </w:tcPr>
          <w:p w14:paraId="7A549EE1">
            <w:pPr>
              <w:adjustRightInd w:val="0"/>
              <w:snapToGrid w:val="0"/>
              <w:jc w:val="center"/>
              <w:rPr>
                <w:color w:val="auto"/>
                <w:sz w:val="18"/>
                <w:szCs w:val="18"/>
              </w:rPr>
            </w:pPr>
            <w:r>
              <w:rPr>
                <w:color w:val="auto"/>
                <w:sz w:val="18"/>
                <w:szCs w:val="18"/>
              </w:rPr>
              <w:t>0.1</w:t>
            </w:r>
          </w:p>
        </w:tc>
      </w:tr>
      <w:tr w14:paraId="19562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 w:hRule="atLeast"/>
          <w:jc w:val="center"/>
        </w:trPr>
        <w:tc>
          <w:tcPr>
            <w:tcW w:w="700" w:type="dxa"/>
            <w:noWrap w:val="0"/>
            <w:vAlign w:val="center"/>
          </w:tcPr>
          <w:p w14:paraId="40862190">
            <w:pPr>
              <w:adjustRightInd w:val="0"/>
              <w:snapToGrid w:val="0"/>
              <w:jc w:val="center"/>
              <w:rPr>
                <w:color w:val="auto"/>
                <w:sz w:val="18"/>
                <w:szCs w:val="18"/>
              </w:rPr>
            </w:pPr>
            <w:r>
              <w:rPr>
                <w:color w:val="auto"/>
                <w:sz w:val="18"/>
                <w:szCs w:val="18"/>
              </w:rPr>
              <w:t>9</w:t>
            </w:r>
          </w:p>
        </w:tc>
        <w:tc>
          <w:tcPr>
            <w:tcW w:w="1271" w:type="dxa"/>
            <w:noWrap w:val="0"/>
            <w:vAlign w:val="center"/>
          </w:tcPr>
          <w:p w14:paraId="66726B7B">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300</w:t>
            </w:r>
          </w:p>
          <w:p w14:paraId="116CF8B4">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0.620</w:t>
            </w:r>
          </w:p>
          <w:p w14:paraId="093B9CF1">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0.105</w:t>
            </w:r>
          </w:p>
          <w:p w14:paraId="6E0B6063">
            <w:pPr>
              <w:adjustRightInd w:val="0"/>
              <w:snapToGrid w:val="0"/>
              <w:spacing w:line="240" w:lineRule="atLeast"/>
              <w:rPr>
                <w:color w:val="auto"/>
                <w:sz w:val="18"/>
                <w:szCs w:val="18"/>
              </w:rPr>
            </w:pPr>
            <w:r>
              <w:rPr>
                <w:rFonts w:ascii="宋体"/>
                <w:color w:val="auto"/>
                <w:sz w:val="18"/>
                <w:szCs w:val="18"/>
              </w:rPr>
              <w:t>⑷</w:t>
            </w:r>
            <w:r>
              <w:rPr>
                <w:color w:val="auto"/>
                <w:sz w:val="18"/>
                <w:szCs w:val="18"/>
              </w:rPr>
              <w:t xml:space="preserve"> 0.006</w:t>
            </w:r>
          </w:p>
        </w:tc>
        <w:tc>
          <w:tcPr>
            <w:tcW w:w="1352" w:type="dxa"/>
            <w:noWrap w:val="0"/>
            <w:vAlign w:val="center"/>
          </w:tcPr>
          <w:p w14:paraId="3E3F7449">
            <w:pPr>
              <w:adjustRightInd w:val="0"/>
              <w:snapToGrid w:val="0"/>
              <w:spacing w:line="240" w:lineRule="atLeast"/>
              <w:rPr>
                <w:color w:val="auto"/>
                <w:sz w:val="18"/>
                <w:szCs w:val="18"/>
              </w:rPr>
            </w:pPr>
            <w:r>
              <w:rPr>
                <w:rFonts w:ascii="宋体"/>
                <w:color w:val="auto"/>
                <w:sz w:val="18"/>
                <w:szCs w:val="18"/>
              </w:rPr>
              <w:t>⑴</w:t>
            </w:r>
            <w:r>
              <w:rPr>
                <w:color w:val="auto"/>
                <w:sz w:val="18"/>
                <w:szCs w:val="18"/>
              </w:rPr>
              <w:t xml:space="preserve"> 488.3</w:t>
            </w:r>
          </w:p>
          <w:p w14:paraId="2074C452">
            <w:pPr>
              <w:adjustRightInd w:val="0"/>
              <w:snapToGrid w:val="0"/>
              <w:spacing w:line="240" w:lineRule="atLeast"/>
              <w:rPr>
                <w:color w:val="auto"/>
                <w:sz w:val="18"/>
                <w:szCs w:val="18"/>
              </w:rPr>
            </w:pPr>
            <w:r>
              <w:rPr>
                <w:rFonts w:ascii="宋体"/>
                <w:color w:val="auto"/>
                <w:sz w:val="18"/>
                <w:szCs w:val="18"/>
              </w:rPr>
              <w:t>⑵</w:t>
            </w:r>
            <w:r>
              <w:rPr>
                <w:color w:val="auto"/>
                <w:sz w:val="18"/>
                <w:szCs w:val="18"/>
              </w:rPr>
              <w:t xml:space="preserve"> 92.1</w:t>
            </w:r>
          </w:p>
          <w:p w14:paraId="19F9BF23">
            <w:pPr>
              <w:adjustRightInd w:val="0"/>
              <w:snapToGrid w:val="0"/>
              <w:spacing w:line="240" w:lineRule="atLeast"/>
              <w:rPr>
                <w:color w:val="auto"/>
                <w:sz w:val="18"/>
                <w:szCs w:val="18"/>
              </w:rPr>
            </w:pPr>
            <w:r>
              <w:rPr>
                <w:rFonts w:ascii="宋体"/>
                <w:color w:val="auto"/>
                <w:sz w:val="18"/>
                <w:szCs w:val="18"/>
              </w:rPr>
              <w:t>⑶</w:t>
            </w:r>
            <w:r>
              <w:rPr>
                <w:color w:val="auto"/>
                <w:sz w:val="18"/>
                <w:szCs w:val="18"/>
              </w:rPr>
              <w:t xml:space="preserve"> 580.4</w:t>
            </w:r>
          </w:p>
          <w:p w14:paraId="4CC944A5">
            <w:pPr>
              <w:adjustRightInd w:val="0"/>
              <w:snapToGrid w:val="0"/>
              <w:spacing w:line="240" w:lineRule="atLeast"/>
              <w:ind w:left="1" w:leftChars="-4" w:hanging="9" w:hangingChars="5"/>
              <w:rPr>
                <w:color w:val="auto"/>
                <w:sz w:val="18"/>
                <w:szCs w:val="18"/>
              </w:rPr>
            </w:pPr>
            <w:r>
              <w:rPr>
                <w:rFonts w:ascii="宋体"/>
                <w:color w:val="auto"/>
                <w:sz w:val="18"/>
                <w:szCs w:val="18"/>
              </w:rPr>
              <w:t>⑷</w:t>
            </w:r>
            <w:r>
              <w:rPr>
                <w:color w:val="auto"/>
                <w:sz w:val="18"/>
                <w:szCs w:val="18"/>
              </w:rPr>
              <w:t xml:space="preserve"> 600</w:t>
            </w:r>
          </w:p>
        </w:tc>
        <w:tc>
          <w:tcPr>
            <w:tcW w:w="1281" w:type="dxa"/>
            <w:noWrap w:val="0"/>
            <w:vAlign w:val="center"/>
          </w:tcPr>
          <w:p w14:paraId="1B52AC8E">
            <w:pPr>
              <w:adjustRightInd w:val="0"/>
              <w:snapToGrid w:val="0"/>
              <w:jc w:val="center"/>
              <w:rPr>
                <w:color w:val="auto"/>
                <w:sz w:val="18"/>
                <w:szCs w:val="18"/>
              </w:rPr>
            </w:pPr>
            <w:r>
              <w:rPr>
                <w:color w:val="auto"/>
                <w:sz w:val="18"/>
                <w:szCs w:val="18"/>
              </w:rPr>
              <w:t>超固结</w:t>
            </w:r>
          </w:p>
          <w:p w14:paraId="3A110DBD">
            <w:pPr>
              <w:adjustRightInd w:val="0"/>
              <w:snapToGrid w:val="0"/>
              <w:jc w:val="center"/>
              <w:rPr>
                <w:color w:val="auto"/>
                <w:sz w:val="18"/>
                <w:szCs w:val="18"/>
              </w:rPr>
            </w:pPr>
            <w:r>
              <w:rPr>
                <w:i/>
                <w:color w:val="auto"/>
                <w:sz w:val="18"/>
                <w:szCs w:val="18"/>
              </w:rPr>
              <w:t>p</w:t>
            </w:r>
            <w:r>
              <w:rPr>
                <w:iCs/>
                <w:color w:val="auto"/>
                <w:sz w:val="18"/>
                <w:szCs w:val="18"/>
                <w:vertAlign w:val="subscript"/>
              </w:rPr>
              <w:t>z</w:t>
            </w:r>
            <w:r>
              <w:rPr>
                <w:i/>
                <w:color w:val="auto"/>
                <w:sz w:val="18"/>
                <w:szCs w:val="18"/>
                <w:vertAlign w:val="subscript"/>
              </w:rPr>
              <w:t>i</w:t>
            </w: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vertAlign w:val="subscript"/>
              </w:rPr>
              <w:t>＜</w:t>
            </w:r>
            <w:r>
              <w:rPr>
                <w:i/>
                <w:color w:val="auto"/>
                <w:sz w:val="18"/>
                <w:szCs w:val="18"/>
              </w:rPr>
              <w:t>p</w:t>
            </w:r>
            <w:r>
              <w:rPr>
                <w:iCs/>
                <w:color w:val="auto"/>
                <w:sz w:val="18"/>
                <w:szCs w:val="18"/>
                <w:vertAlign w:val="subscript"/>
              </w:rPr>
              <w:t>c</w:t>
            </w:r>
            <w:r>
              <w:rPr>
                <w:i/>
                <w:color w:val="auto"/>
                <w:sz w:val="18"/>
                <w:szCs w:val="18"/>
                <w:vertAlign w:val="subscript"/>
              </w:rPr>
              <w:t>i</w:t>
            </w:r>
          </w:p>
        </w:tc>
        <w:tc>
          <w:tcPr>
            <w:tcW w:w="3756" w:type="dxa"/>
            <w:noWrap w:val="0"/>
            <w:vAlign w:val="center"/>
          </w:tcPr>
          <w:p w14:paraId="5BE60281">
            <w:pPr>
              <w:adjustRightInd w:val="0"/>
              <w:snapToGrid w:val="0"/>
              <w:jc w:val="center"/>
              <w:rPr>
                <w:color w:val="auto"/>
                <w:sz w:val="18"/>
                <w:szCs w:val="18"/>
              </w:rPr>
            </w:pPr>
            <w:r>
              <w:rPr>
                <w:color w:val="auto"/>
                <w:sz w:val="18"/>
                <w:szCs w:val="18"/>
              </w:rPr>
              <w:t>300÷(1+0.620)×0.006×log(580.4÷488.3)</w:t>
            </w:r>
          </w:p>
        </w:tc>
        <w:tc>
          <w:tcPr>
            <w:tcW w:w="841" w:type="dxa"/>
            <w:noWrap w:val="0"/>
            <w:vAlign w:val="center"/>
          </w:tcPr>
          <w:p w14:paraId="68B26491">
            <w:pPr>
              <w:adjustRightInd w:val="0"/>
              <w:snapToGrid w:val="0"/>
              <w:jc w:val="center"/>
              <w:rPr>
                <w:color w:val="auto"/>
                <w:sz w:val="18"/>
                <w:szCs w:val="18"/>
              </w:rPr>
            </w:pPr>
            <w:r>
              <w:rPr>
                <w:color w:val="auto"/>
                <w:sz w:val="18"/>
                <w:szCs w:val="18"/>
              </w:rPr>
              <w:t>0.08</w:t>
            </w:r>
          </w:p>
        </w:tc>
      </w:tr>
    </w:tbl>
    <w:p w14:paraId="470992A9">
      <w:pPr>
        <w:adjustRightInd w:val="0"/>
        <w:spacing w:before="240"/>
        <w:ind w:firstLine="420"/>
        <w:jc w:val="left"/>
        <w:rPr>
          <w:color w:val="auto"/>
          <w:szCs w:val="21"/>
        </w:rPr>
      </w:pPr>
      <w:r>
        <w:rPr>
          <w:color w:val="auto"/>
          <w:szCs w:val="21"/>
        </w:rPr>
        <w:t>ΣΔ</w:t>
      </w:r>
      <w:r>
        <w:rPr>
          <w:color w:val="auto"/>
          <w:szCs w:val="21"/>
          <w:vertAlign w:val="subscript"/>
        </w:rPr>
        <w:t>si</w:t>
      </w:r>
      <w:r>
        <w:rPr>
          <w:color w:val="auto"/>
          <w:szCs w:val="21"/>
        </w:rPr>
        <w:t>=11.51cm</w:t>
      </w:r>
    </w:p>
    <w:p w14:paraId="69AFF5B2">
      <w:pPr>
        <w:adjustRightInd w:val="0"/>
        <w:ind w:firstLine="420"/>
        <w:rPr>
          <w:color w:val="auto"/>
          <w:szCs w:val="21"/>
        </w:rPr>
      </w:pPr>
    </w:p>
    <w:p w14:paraId="5F4864C5">
      <w:pPr>
        <w:adjustRightInd w:val="0"/>
        <w:ind w:firstLine="420"/>
        <w:rPr>
          <w:color w:val="auto"/>
          <w:szCs w:val="21"/>
        </w:rPr>
      </w:pPr>
      <w:r>
        <w:rPr>
          <w:b/>
          <w:color w:val="auto"/>
          <w:szCs w:val="21"/>
        </w:rPr>
        <w:t>3</w:t>
      </w:r>
      <w:r>
        <w:rPr>
          <w:color w:val="auto"/>
          <w:szCs w:val="21"/>
        </w:rPr>
        <w:t xml:space="preserve">  以基底土自重压力(18.5×6=111kPa)作为开挖卸载，计算各分层附加压力，确定回弹变形层下限。</w:t>
      </w:r>
    </w:p>
    <w:p w14:paraId="628C20E5">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5</w:t>
      </w:r>
      <w:r>
        <w:rPr>
          <w:color w:val="auto"/>
        </w:rPr>
        <w:fldChar w:fldCharType="end"/>
      </w:r>
      <w:r>
        <w:rPr>
          <w:b/>
          <w:color w:val="auto"/>
          <w:szCs w:val="21"/>
        </w:rPr>
        <w:t xml:space="preserve">  基底以下各土层附加压力</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70"/>
        <w:gridCol w:w="1067"/>
        <w:gridCol w:w="1067"/>
        <w:gridCol w:w="1067"/>
        <w:gridCol w:w="1068"/>
        <w:gridCol w:w="1067"/>
        <w:gridCol w:w="1067"/>
        <w:gridCol w:w="1067"/>
        <w:gridCol w:w="1068"/>
      </w:tblGrid>
      <w:tr w14:paraId="33265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20E3292C">
            <w:pPr>
              <w:adjustRightInd w:val="0"/>
              <w:snapToGrid w:val="0"/>
              <w:jc w:val="center"/>
              <w:rPr>
                <w:color w:val="auto"/>
                <w:sz w:val="18"/>
                <w:szCs w:val="18"/>
              </w:rPr>
            </w:pPr>
            <w:r>
              <w:rPr>
                <w:color w:val="auto"/>
                <w:sz w:val="18"/>
                <w:szCs w:val="18"/>
              </w:rPr>
              <w:t>分层序号</w:t>
            </w:r>
          </w:p>
        </w:tc>
        <w:tc>
          <w:tcPr>
            <w:tcW w:w="1067" w:type="dxa"/>
            <w:noWrap w:val="0"/>
            <w:vAlign w:val="center"/>
          </w:tcPr>
          <w:p w14:paraId="1106EEA9">
            <w:pPr>
              <w:adjustRightInd w:val="0"/>
              <w:snapToGrid w:val="0"/>
              <w:jc w:val="center"/>
              <w:rPr>
                <w:color w:val="auto"/>
                <w:sz w:val="18"/>
                <w:szCs w:val="18"/>
              </w:rPr>
            </w:pPr>
            <w:r>
              <w:rPr>
                <w:color w:val="auto"/>
                <w:sz w:val="18"/>
                <w:szCs w:val="18"/>
              </w:rPr>
              <w:t>深度(m)</w:t>
            </w:r>
          </w:p>
        </w:tc>
        <w:tc>
          <w:tcPr>
            <w:tcW w:w="1067" w:type="dxa"/>
            <w:noWrap w:val="0"/>
            <w:vAlign w:val="center"/>
          </w:tcPr>
          <w:p w14:paraId="59F9E264">
            <w:pPr>
              <w:adjustRightInd w:val="0"/>
              <w:snapToGrid w:val="0"/>
              <w:jc w:val="center"/>
              <w:rPr>
                <w:color w:val="auto"/>
                <w:sz w:val="18"/>
                <w:szCs w:val="18"/>
              </w:rPr>
            </w:pPr>
            <w:r>
              <w:rPr>
                <w:color w:val="auto"/>
                <w:sz w:val="18"/>
                <w:szCs w:val="18"/>
              </w:rPr>
              <w:t>相对基底深度(m)</w:t>
            </w:r>
          </w:p>
        </w:tc>
        <w:tc>
          <w:tcPr>
            <w:tcW w:w="1067" w:type="dxa"/>
            <w:noWrap w:val="0"/>
            <w:vAlign w:val="center"/>
          </w:tcPr>
          <w:p w14:paraId="3027CB45">
            <w:pPr>
              <w:adjustRightInd w:val="0"/>
              <w:snapToGrid w:val="0"/>
              <w:jc w:val="center"/>
              <w:rPr>
                <w:color w:val="auto"/>
                <w:sz w:val="18"/>
                <w:szCs w:val="18"/>
              </w:rPr>
            </w:pPr>
            <w:r>
              <w:rPr>
                <w:color w:val="auto"/>
                <w:sz w:val="18"/>
                <w:szCs w:val="18"/>
              </w:rPr>
              <w:t>分层厚度(cm)</w:t>
            </w:r>
          </w:p>
        </w:tc>
        <w:tc>
          <w:tcPr>
            <w:tcW w:w="1068" w:type="dxa"/>
            <w:noWrap w:val="0"/>
            <w:vAlign w:val="center"/>
          </w:tcPr>
          <w:p w14:paraId="2F3C2B78">
            <w:pPr>
              <w:adjustRightInd w:val="0"/>
              <w:snapToGrid w:val="0"/>
              <w:jc w:val="center"/>
              <w:rPr>
                <w:color w:val="auto"/>
                <w:sz w:val="18"/>
                <w:szCs w:val="18"/>
              </w:rPr>
            </w:pPr>
            <w:r>
              <w:rPr>
                <w:color w:val="auto"/>
                <w:sz w:val="18"/>
                <w:szCs w:val="18"/>
              </w:rPr>
              <w:t>分层中点深度(m)</w:t>
            </w:r>
          </w:p>
        </w:tc>
        <w:tc>
          <w:tcPr>
            <w:tcW w:w="1067" w:type="dxa"/>
            <w:noWrap w:val="0"/>
            <w:vAlign w:val="center"/>
          </w:tcPr>
          <w:p w14:paraId="633FB56C">
            <w:pPr>
              <w:adjustRightInd w:val="0"/>
              <w:snapToGrid w:val="0"/>
              <w:jc w:val="center"/>
              <w:rPr>
                <w:color w:val="auto"/>
                <w:sz w:val="18"/>
                <w:szCs w:val="18"/>
              </w:rPr>
            </w:pPr>
            <w:r>
              <w:rPr>
                <w:color w:val="auto"/>
                <w:sz w:val="18"/>
                <w:szCs w:val="18"/>
              </w:rPr>
              <w:t>土自重</w:t>
            </w:r>
          </w:p>
          <w:p w14:paraId="4512F5F5">
            <w:pPr>
              <w:adjustRightInd w:val="0"/>
              <w:snapToGrid w:val="0"/>
              <w:jc w:val="center"/>
              <w:rPr>
                <w:color w:val="auto"/>
                <w:sz w:val="18"/>
                <w:szCs w:val="18"/>
              </w:rPr>
            </w:pPr>
            <w:r>
              <w:rPr>
                <w:color w:val="auto"/>
                <w:sz w:val="18"/>
                <w:szCs w:val="18"/>
              </w:rPr>
              <w:t>压力</w:t>
            </w:r>
            <w:r>
              <w:rPr>
                <w:i/>
                <w:color w:val="auto"/>
                <w:sz w:val="18"/>
                <w:szCs w:val="18"/>
              </w:rPr>
              <w:t>p</w:t>
            </w:r>
            <w:r>
              <w:rPr>
                <w:iCs/>
                <w:color w:val="auto"/>
                <w:sz w:val="18"/>
                <w:szCs w:val="18"/>
                <w:vertAlign w:val="subscript"/>
              </w:rPr>
              <w:t>0</w:t>
            </w:r>
            <w:r>
              <w:rPr>
                <w:i/>
                <w:color w:val="auto"/>
                <w:sz w:val="18"/>
                <w:szCs w:val="18"/>
                <w:vertAlign w:val="subscript"/>
              </w:rPr>
              <w:t>i</w:t>
            </w:r>
            <w:r>
              <w:rPr>
                <w:color w:val="auto"/>
                <w:sz w:val="18"/>
                <w:szCs w:val="18"/>
              </w:rPr>
              <w:t>(kPa)</w:t>
            </w:r>
          </w:p>
        </w:tc>
        <w:tc>
          <w:tcPr>
            <w:tcW w:w="1067" w:type="dxa"/>
            <w:noWrap w:val="0"/>
            <w:vAlign w:val="center"/>
          </w:tcPr>
          <w:p w14:paraId="1F8AE2D9">
            <w:pPr>
              <w:adjustRightInd w:val="0"/>
              <w:snapToGrid w:val="0"/>
              <w:jc w:val="center"/>
              <w:rPr>
                <w:color w:val="auto"/>
                <w:sz w:val="18"/>
                <w:szCs w:val="18"/>
                <w:vertAlign w:val="subscript"/>
              </w:rPr>
            </w:pPr>
            <w:r>
              <w:rPr>
                <w:color w:val="auto"/>
                <w:sz w:val="18"/>
                <w:szCs w:val="18"/>
              </w:rPr>
              <w:t>附加应力系数</w:t>
            </w:r>
            <w:r>
              <w:rPr>
                <w:i/>
                <w:color w:val="auto"/>
                <w:sz w:val="18"/>
                <w:szCs w:val="18"/>
              </w:rPr>
              <w:t>α</w:t>
            </w:r>
            <w:r>
              <w:rPr>
                <w:i/>
                <w:color w:val="auto"/>
                <w:sz w:val="18"/>
                <w:szCs w:val="18"/>
                <w:vertAlign w:val="subscript"/>
              </w:rPr>
              <w:t>i</w:t>
            </w:r>
          </w:p>
        </w:tc>
        <w:tc>
          <w:tcPr>
            <w:tcW w:w="1067" w:type="dxa"/>
            <w:noWrap w:val="0"/>
            <w:vAlign w:val="center"/>
          </w:tcPr>
          <w:p w14:paraId="68CB2CC8">
            <w:pPr>
              <w:adjustRightInd w:val="0"/>
              <w:snapToGrid w:val="0"/>
              <w:jc w:val="center"/>
              <w:rPr>
                <w:color w:val="auto"/>
                <w:sz w:val="18"/>
                <w:szCs w:val="18"/>
              </w:rPr>
            </w:pPr>
            <w:r>
              <w:rPr>
                <w:color w:val="auto"/>
                <w:sz w:val="18"/>
                <w:szCs w:val="18"/>
              </w:rPr>
              <w:t>附加应力</w:t>
            </w:r>
            <w:r>
              <w:rPr>
                <w:i/>
                <w:color w:val="auto"/>
                <w:sz w:val="18"/>
                <w:szCs w:val="18"/>
              </w:rPr>
              <w:t>p</w:t>
            </w:r>
            <w:r>
              <w:rPr>
                <w:iCs/>
                <w:color w:val="auto"/>
                <w:sz w:val="18"/>
                <w:szCs w:val="18"/>
                <w:vertAlign w:val="subscript"/>
              </w:rPr>
              <w:t>z</w:t>
            </w:r>
            <w:r>
              <w:rPr>
                <w:i/>
                <w:color w:val="auto"/>
                <w:sz w:val="18"/>
                <w:szCs w:val="18"/>
                <w:vertAlign w:val="subscript"/>
              </w:rPr>
              <w:t>i</w:t>
            </w:r>
            <w:r>
              <w:rPr>
                <w:color w:val="auto"/>
                <w:sz w:val="18"/>
                <w:szCs w:val="18"/>
              </w:rPr>
              <w:t>(kPa)</w:t>
            </w:r>
          </w:p>
        </w:tc>
        <w:tc>
          <w:tcPr>
            <w:tcW w:w="1068" w:type="dxa"/>
            <w:noWrap w:val="0"/>
            <w:vAlign w:val="center"/>
          </w:tcPr>
          <w:p w14:paraId="3E3099D1">
            <w:pPr>
              <w:adjustRightInd w:val="0"/>
              <w:snapToGrid w:val="0"/>
              <w:jc w:val="center"/>
              <w:rPr>
                <w:color w:val="auto"/>
                <w:sz w:val="18"/>
                <w:szCs w:val="18"/>
              </w:rPr>
            </w:pPr>
            <w:r>
              <w:rPr>
                <w:i/>
                <w:color w:val="auto"/>
                <w:sz w:val="18"/>
                <w:szCs w:val="18"/>
              </w:rPr>
              <w:t>p</w:t>
            </w:r>
            <w:r>
              <w:rPr>
                <w:iCs/>
                <w:color w:val="auto"/>
                <w:sz w:val="18"/>
                <w:szCs w:val="18"/>
                <w:vertAlign w:val="subscript"/>
              </w:rPr>
              <w:t>o</w:t>
            </w:r>
            <w:r>
              <w:rPr>
                <w:i/>
                <w:color w:val="auto"/>
                <w:sz w:val="18"/>
                <w:szCs w:val="18"/>
                <w:vertAlign w:val="subscript"/>
              </w:rPr>
              <w:t>i</w:t>
            </w:r>
            <w:r>
              <w:rPr>
                <w:color w:val="auto"/>
                <w:sz w:val="18"/>
                <w:szCs w:val="18"/>
              </w:rPr>
              <w:t xml:space="preserve"> +</w:t>
            </w:r>
            <w:r>
              <w:rPr>
                <w:i/>
                <w:color w:val="auto"/>
                <w:sz w:val="18"/>
                <w:szCs w:val="18"/>
              </w:rPr>
              <w:t xml:space="preserve"> p</w:t>
            </w:r>
            <w:r>
              <w:rPr>
                <w:iCs/>
                <w:color w:val="auto"/>
                <w:sz w:val="18"/>
                <w:szCs w:val="18"/>
                <w:vertAlign w:val="subscript"/>
              </w:rPr>
              <w:t>z</w:t>
            </w:r>
            <w:r>
              <w:rPr>
                <w:i/>
                <w:color w:val="auto"/>
                <w:sz w:val="18"/>
                <w:szCs w:val="18"/>
                <w:vertAlign w:val="subscript"/>
              </w:rPr>
              <w:t>i</w:t>
            </w:r>
          </w:p>
          <w:p w14:paraId="6DF9986A">
            <w:pPr>
              <w:adjustRightInd w:val="0"/>
              <w:snapToGrid w:val="0"/>
              <w:jc w:val="center"/>
              <w:rPr>
                <w:color w:val="auto"/>
                <w:sz w:val="18"/>
                <w:szCs w:val="18"/>
              </w:rPr>
            </w:pPr>
            <w:r>
              <w:rPr>
                <w:color w:val="auto"/>
                <w:sz w:val="18"/>
                <w:szCs w:val="18"/>
              </w:rPr>
              <w:t>(kPa)</w:t>
            </w:r>
          </w:p>
        </w:tc>
      </w:tr>
      <w:tr w14:paraId="7FD2C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6EF1A964">
            <w:pPr>
              <w:adjustRightInd w:val="0"/>
              <w:snapToGrid w:val="0"/>
              <w:jc w:val="center"/>
              <w:rPr>
                <w:color w:val="auto"/>
                <w:sz w:val="18"/>
                <w:szCs w:val="18"/>
              </w:rPr>
            </w:pPr>
            <w:r>
              <w:rPr>
                <w:color w:val="auto"/>
                <w:sz w:val="18"/>
                <w:szCs w:val="18"/>
              </w:rPr>
              <w:t>1</w:t>
            </w:r>
          </w:p>
        </w:tc>
        <w:tc>
          <w:tcPr>
            <w:tcW w:w="1067" w:type="dxa"/>
            <w:noWrap w:val="0"/>
            <w:vAlign w:val="center"/>
          </w:tcPr>
          <w:p w14:paraId="0D7DE791">
            <w:pPr>
              <w:adjustRightInd w:val="0"/>
              <w:snapToGrid w:val="0"/>
              <w:spacing w:line="240" w:lineRule="atLeast"/>
              <w:jc w:val="center"/>
              <w:rPr>
                <w:color w:val="auto"/>
                <w:sz w:val="18"/>
                <w:szCs w:val="18"/>
              </w:rPr>
            </w:pPr>
            <w:r>
              <w:rPr>
                <w:color w:val="auto"/>
                <w:sz w:val="18"/>
                <w:szCs w:val="18"/>
              </w:rPr>
              <w:t>10.0</w:t>
            </w:r>
          </w:p>
          <w:p w14:paraId="728F85D3">
            <w:pPr>
              <w:adjustRightInd w:val="0"/>
              <w:snapToGrid w:val="0"/>
              <w:spacing w:line="240" w:lineRule="atLeast"/>
              <w:jc w:val="center"/>
              <w:rPr>
                <w:color w:val="auto"/>
                <w:sz w:val="18"/>
                <w:szCs w:val="18"/>
              </w:rPr>
            </w:pPr>
            <w:r>
              <w:rPr>
                <w:color w:val="auto"/>
                <w:sz w:val="18"/>
                <w:szCs w:val="18"/>
              </w:rPr>
              <w:t>11.5</w:t>
            </w:r>
          </w:p>
        </w:tc>
        <w:tc>
          <w:tcPr>
            <w:tcW w:w="1067" w:type="dxa"/>
            <w:noWrap w:val="0"/>
            <w:vAlign w:val="center"/>
          </w:tcPr>
          <w:p w14:paraId="742C0773">
            <w:pPr>
              <w:adjustRightInd w:val="0"/>
              <w:snapToGrid w:val="0"/>
              <w:spacing w:line="240" w:lineRule="atLeast"/>
              <w:jc w:val="center"/>
              <w:rPr>
                <w:color w:val="auto"/>
                <w:sz w:val="18"/>
                <w:szCs w:val="18"/>
              </w:rPr>
            </w:pPr>
            <w:r>
              <w:rPr>
                <w:color w:val="auto"/>
                <w:sz w:val="18"/>
                <w:szCs w:val="18"/>
              </w:rPr>
              <w:t>0.0</w:t>
            </w:r>
          </w:p>
          <w:p w14:paraId="797A4F41">
            <w:pPr>
              <w:adjustRightInd w:val="0"/>
              <w:snapToGrid w:val="0"/>
              <w:spacing w:line="240" w:lineRule="atLeast"/>
              <w:jc w:val="center"/>
              <w:rPr>
                <w:color w:val="auto"/>
                <w:sz w:val="18"/>
                <w:szCs w:val="18"/>
              </w:rPr>
            </w:pPr>
            <w:r>
              <w:rPr>
                <w:color w:val="auto"/>
                <w:sz w:val="18"/>
                <w:szCs w:val="18"/>
              </w:rPr>
              <w:t>1.5</w:t>
            </w:r>
          </w:p>
        </w:tc>
        <w:tc>
          <w:tcPr>
            <w:tcW w:w="1067" w:type="dxa"/>
            <w:noWrap w:val="0"/>
            <w:vAlign w:val="center"/>
          </w:tcPr>
          <w:p w14:paraId="0AE3E8C6">
            <w:pPr>
              <w:adjustRightInd w:val="0"/>
              <w:snapToGrid w:val="0"/>
              <w:jc w:val="center"/>
              <w:rPr>
                <w:color w:val="auto"/>
                <w:sz w:val="18"/>
                <w:szCs w:val="18"/>
              </w:rPr>
            </w:pPr>
            <w:r>
              <w:rPr>
                <w:color w:val="auto"/>
                <w:sz w:val="18"/>
                <w:szCs w:val="18"/>
              </w:rPr>
              <w:t>150</w:t>
            </w:r>
          </w:p>
        </w:tc>
        <w:tc>
          <w:tcPr>
            <w:tcW w:w="1068" w:type="dxa"/>
            <w:noWrap w:val="0"/>
            <w:vAlign w:val="center"/>
          </w:tcPr>
          <w:p w14:paraId="0A142FB3">
            <w:pPr>
              <w:adjustRightInd w:val="0"/>
              <w:snapToGrid w:val="0"/>
              <w:jc w:val="center"/>
              <w:rPr>
                <w:color w:val="auto"/>
                <w:sz w:val="18"/>
                <w:szCs w:val="18"/>
              </w:rPr>
            </w:pPr>
            <w:r>
              <w:rPr>
                <w:color w:val="auto"/>
                <w:sz w:val="18"/>
                <w:szCs w:val="18"/>
              </w:rPr>
              <w:t>0.75</w:t>
            </w:r>
          </w:p>
        </w:tc>
        <w:tc>
          <w:tcPr>
            <w:tcW w:w="1067" w:type="dxa"/>
            <w:noWrap w:val="0"/>
            <w:vAlign w:val="center"/>
          </w:tcPr>
          <w:p w14:paraId="0EE59F68">
            <w:pPr>
              <w:adjustRightInd w:val="0"/>
              <w:snapToGrid w:val="0"/>
              <w:jc w:val="center"/>
              <w:rPr>
                <w:color w:val="auto"/>
                <w:sz w:val="18"/>
                <w:szCs w:val="18"/>
              </w:rPr>
            </w:pPr>
            <w:r>
              <w:rPr>
                <w:color w:val="auto"/>
                <w:sz w:val="18"/>
                <w:szCs w:val="18"/>
              </w:rPr>
              <w:t>124.9</w:t>
            </w:r>
          </w:p>
        </w:tc>
        <w:tc>
          <w:tcPr>
            <w:tcW w:w="1067" w:type="dxa"/>
            <w:noWrap w:val="0"/>
            <w:vAlign w:val="center"/>
          </w:tcPr>
          <w:p w14:paraId="7134EC52">
            <w:pPr>
              <w:adjustRightInd w:val="0"/>
              <w:snapToGrid w:val="0"/>
              <w:jc w:val="center"/>
              <w:rPr>
                <w:color w:val="auto"/>
                <w:sz w:val="18"/>
                <w:szCs w:val="18"/>
              </w:rPr>
            </w:pPr>
            <w:r>
              <w:rPr>
                <w:color w:val="auto"/>
                <w:sz w:val="18"/>
                <w:szCs w:val="18"/>
              </w:rPr>
              <w:t>0.9991</w:t>
            </w:r>
          </w:p>
        </w:tc>
        <w:tc>
          <w:tcPr>
            <w:tcW w:w="1067" w:type="dxa"/>
            <w:noWrap w:val="0"/>
            <w:vAlign w:val="center"/>
          </w:tcPr>
          <w:p w14:paraId="31D2BC02">
            <w:pPr>
              <w:adjustRightInd w:val="0"/>
              <w:snapToGrid w:val="0"/>
              <w:jc w:val="center"/>
              <w:rPr>
                <w:color w:val="auto"/>
                <w:sz w:val="18"/>
                <w:szCs w:val="18"/>
              </w:rPr>
            </w:pPr>
            <w:r>
              <w:rPr>
                <w:color w:val="auto"/>
                <w:sz w:val="18"/>
                <w:szCs w:val="18"/>
              </w:rPr>
              <w:t>-110.9</w:t>
            </w:r>
          </w:p>
        </w:tc>
        <w:tc>
          <w:tcPr>
            <w:tcW w:w="1068" w:type="dxa"/>
            <w:noWrap w:val="0"/>
            <w:vAlign w:val="center"/>
          </w:tcPr>
          <w:p w14:paraId="120EB2D4">
            <w:pPr>
              <w:adjustRightInd w:val="0"/>
              <w:snapToGrid w:val="0"/>
              <w:jc w:val="center"/>
              <w:rPr>
                <w:color w:val="auto"/>
                <w:sz w:val="18"/>
                <w:szCs w:val="18"/>
              </w:rPr>
            </w:pPr>
            <w:r>
              <w:rPr>
                <w:color w:val="auto"/>
                <w:sz w:val="18"/>
                <w:szCs w:val="18"/>
              </w:rPr>
              <w:t>14.0</w:t>
            </w:r>
          </w:p>
        </w:tc>
      </w:tr>
      <w:tr w14:paraId="0AC19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3643CBD7">
            <w:pPr>
              <w:adjustRightInd w:val="0"/>
              <w:snapToGrid w:val="0"/>
              <w:jc w:val="center"/>
              <w:rPr>
                <w:color w:val="auto"/>
                <w:sz w:val="18"/>
                <w:szCs w:val="18"/>
              </w:rPr>
            </w:pPr>
            <w:r>
              <w:rPr>
                <w:color w:val="auto"/>
                <w:sz w:val="18"/>
                <w:szCs w:val="18"/>
              </w:rPr>
              <w:t>2</w:t>
            </w:r>
          </w:p>
        </w:tc>
        <w:tc>
          <w:tcPr>
            <w:tcW w:w="1067" w:type="dxa"/>
            <w:noWrap w:val="0"/>
            <w:vAlign w:val="center"/>
          </w:tcPr>
          <w:p w14:paraId="6C7EDEE0">
            <w:pPr>
              <w:adjustRightInd w:val="0"/>
              <w:snapToGrid w:val="0"/>
              <w:spacing w:line="240" w:lineRule="atLeast"/>
              <w:jc w:val="center"/>
              <w:rPr>
                <w:color w:val="auto"/>
                <w:sz w:val="18"/>
                <w:szCs w:val="18"/>
              </w:rPr>
            </w:pPr>
            <w:r>
              <w:rPr>
                <w:color w:val="auto"/>
                <w:sz w:val="18"/>
                <w:szCs w:val="18"/>
              </w:rPr>
              <w:t>11.5</w:t>
            </w:r>
          </w:p>
          <w:p w14:paraId="2FD29070">
            <w:pPr>
              <w:adjustRightInd w:val="0"/>
              <w:snapToGrid w:val="0"/>
              <w:spacing w:line="240" w:lineRule="atLeast"/>
              <w:jc w:val="center"/>
              <w:rPr>
                <w:color w:val="auto"/>
                <w:sz w:val="18"/>
                <w:szCs w:val="18"/>
              </w:rPr>
            </w:pPr>
            <w:r>
              <w:rPr>
                <w:color w:val="auto"/>
                <w:sz w:val="18"/>
                <w:szCs w:val="18"/>
              </w:rPr>
              <w:t>13.0</w:t>
            </w:r>
          </w:p>
        </w:tc>
        <w:tc>
          <w:tcPr>
            <w:tcW w:w="1067" w:type="dxa"/>
            <w:noWrap w:val="0"/>
            <w:vAlign w:val="center"/>
          </w:tcPr>
          <w:p w14:paraId="6D91B356">
            <w:pPr>
              <w:adjustRightInd w:val="0"/>
              <w:snapToGrid w:val="0"/>
              <w:spacing w:line="240" w:lineRule="atLeast"/>
              <w:jc w:val="center"/>
              <w:rPr>
                <w:color w:val="auto"/>
                <w:sz w:val="18"/>
                <w:szCs w:val="18"/>
              </w:rPr>
            </w:pPr>
            <w:r>
              <w:rPr>
                <w:color w:val="auto"/>
                <w:sz w:val="18"/>
                <w:szCs w:val="18"/>
              </w:rPr>
              <w:t>1.5</w:t>
            </w:r>
          </w:p>
          <w:p w14:paraId="33E83B97">
            <w:pPr>
              <w:adjustRightInd w:val="0"/>
              <w:snapToGrid w:val="0"/>
              <w:spacing w:line="240" w:lineRule="atLeast"/>
              <w:jc w:val="center"/>
              <w:rPr>
                <w:color w:val="auto"/>
                <w:sz w:val="18"/>
                <w:szCs w:val="18"/>
              </w:rPr>
            </w:pPr>
            <w:r>
              <w:rPr>
                <w:color w:val="auto"/>
                <w:sz w:val="18"/>
                <w:szCs w:val="18"/>
              </w:rPr>
              <w:t>3.0</w:t>
            </w:r>
          </w:p>
        </w:tc>
        <w:tc>
          <w:tcPr>
            <w:tcW w:w="1067" w:type="dxa"/>
            <w:noWrap w:val="0"/>
            <w:vAlign w:val="center"/>
          </w:tcPr>
          <w:p w14:paraId="5187AF26">
            <w:pPr>
              <w:adjustRightInd w:val="0"/>
              <w:snapToGrid w:val="0"/>
              <w:jc w:val="center"/>
              <w:rPr>
                <w:color w:val="auto"/>
                <w:sz w:val="18"/>
                <w:szCs w:val="18"/>
              </w:rPr>
            </w:pPr>
            <w:r>
              <w:rPr>
                <w:color w:val="auto"/>
                <w:sz w:val="18"/>
                <w:szCs w:val="18"/>
              </w:rPr>
              <w:t>150</w:t>
            </w:r>
          </w:p>
        </w:tc>
        <w:tc>
          <w:tcPr>
            <w:tcW w:w="1068" w:type="dxa"/>
            <w:noWrap w:val="0"/>
            <w:vAlign w:val="center"/>
          </w:tcPr>
          <w:p w14:paraId="67085937">
            <w:pPr>
              <w:adjustRightInd w:val="0"/>
              <w:snapToGrid w:val="0"/>
              <w:jc w:val="center"/>
              <w:rPr>
                <w:color w:val="auto"/>
                <w:sz w:val="18"/>
                <w:szCs w:val="18"/>
              </w:rPr>
            </w:pPr>
            <w:r>
              <w:rPr>
                <w:color w:val="auto"/>
                <w:sz w:val="18"/>
                <w:szCs w:val="18"/>
              </w:rPr>
              <w:t>2.25</w:t>
            </w:r>
          </w:p>
        </w:tc>
        <w:tc>
          <w:tcPr>
            <w:tcW w:w="1067" w:type="dxa"/>
            <w:noWrap w:val="0"/>
            <w:vAlign w:val="center"/>
          </w:tcPr>
          <w:p w14:paraId="7A5E7269">
            <w:pPr>
              <w:adjustRightInd w:val="0"/>
              <w:snapToGrid w:val="0"/>
              <w:jc w:val="center"/>
              <w:rPr>
                <w:color w:val="auto"/>
                <w:sz w:val="18"/>
                <w:szCs w:val="18"/>
              </w:rPr>
            </w:pPr>
            <w:r>
              <w:rPr>
                <w:color w:val="auto"/>
                <w:sz w:val="18"/>
                <w:szCs w:val="18"/>
              </w:rPr>
              <w:t>152.6</w:t>
            </w:r>
          </w:p>
        </w:tc>
        <w:tc>
          <w:tcPr>
            <w:tcW w:w="1067" w:type="dxa"/>
            <w:noWrap w:val="0"/>
            <w:vAlign w:val="center"/>
          </w:tcPr>
          <w:p w14:paraId="27F3496F">
            <w:pPr>
              <w:adjustRightInd w:val="0"/>
              <w:snapToGrid w:val="0"/>
              <w:jc w:val="center"/>
              <w:rPr>
                <w:color w:val="auto"/>
                <w:sz w:val="18"/>
                <w:szCs w:val="18"/>
              </w:rPr>
            </w:pPr>
            <w:r>
              <w:rPr>
                <w:color w:val="auto"/>
                <w:sz w:val="18"/>
                <w:szCs w:val="18"/>
              </w:rPr>
              <w:t>0.9973</w:t>
            </w:r>
          </w:p>
        </w:tc>
        <w:tc>
          <w:tcPr>
            <w:tcW w:w="1067" w:type="dxa"/>
            <w:noWrap w:val="0"/>
            <w:vAlign w:val="center"/>
          </w:tcPr>
          <w:p w14:paraId="0872F601">
            <w:pPr>
              <w:adjustRightInd w:val="0"/>
              <w:snapToGrid w:val="0"/>
              <w:jc w:val="center"/>
              <w:rPr>
                <w:color w:val="auto"/>
                <w:sz w:val="18"/>
                <w:szCs w:val="18"/>
              </w:rPr>
            </w:pPr>
            <w:r>
              <w:rPr>
                <w:color w:val="auto"/>
                <w:sz w:val="18"/>
                <w:szCs w:val="18"/>
              </w:rPr>
              <w:t>-110.7</w:t>
            </w:r>
          </w:p>
        </w:tc>
        <w:tc>
          <w:tcPr>
            <w:tcW w:w="1068" w:type="dxa"/>
            <w:noWrap w:val="0"/>
            <w:vAlign w:val="center"/>
          </w:tcPr>
          <w:p w14:paraId="670FADC8">
            <w:pPr>
              <w:adjustRightInd w:val="0"/>
              <w:snapToGrid w:val="0"/>
              <w:jc w:val="center"/>
              <w:rPr>
                <w:color w:val="auto"/>
                <w:sz w:val="18"/>
                <w:szCs w:val="18"/>
              </w:rPr>
            </w:pPr>
            <w:r>
              <w:rPr>
                <w:color w:val="auto"/>
                <w:sz w:val="18"/>
                <w:szCs w:val="18"/>
              </w:rPr>
              <w:t>41.9</w:t>
            </w:r>
          </w:p>
        </w:tc>
      </w:tr>
      <w:tr w14:paraId="542C4D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4144B012">
            <w:pPr>
              <w:adjustRightInd w:val="0"/>
              <w:snapToGrid w:val="0"/>
              <w:jc w:val="center"/>
              <w:rPr>
                <w:color w:val="auto"/>
                <w:sz w:val="18"/>
                <w:szCs w:val="18"/>
              </w:rPr>
            </w:pPr>
            <w:r>
              <w:rPr>
                <w:color w:val="auto"/>
                <w:sz w:val="18"/>
                <w:szCs w:val="18"/>
              </w:rPr>
              <w:t>3</w:t>
            </w:r>
          </w:p>
        </w:tc>
        <w:tc>
          <w:tcPr>
            <w:tcW w:w="1067" w:type="dxa"/>
            <w:noWrap w:val="0"/>
            <w:vAlign w:val="center"/>
          </w:tcPr>
          <w:p w14:paraId="74E3CA7D">
            <w:pPr>
              <w:adjustRightInd w:val="0"/>
              <w:snapToGrid w:val="0"/>
              <w:spacing w:line="240" w:lineRule="atLeast"/>
              <w:jc w:val="center"/>
              <w:rPr>
                <w:color w:val="auto"/>
                <w:sz w:val="18"/>
                <w:szCs w:val="18"/>
              </w:rPr>
            </w:pPr>
            <w:r>
              <w:rPr>
                <w:color w:val="auto"/>
                <w:sz w:val="18"/>
                <w:szCs w:val="18"/>
              </w:rPr>
              <w:t>13.0</w:t>
            </w:r>
          </w:p>
          <w:p w14:paraId="0FC088C2">
            <w:pPr>
              <w:adjustRightInd w:val="0"/>
              <w:snapToGrid w:val="0"/>
              <w:spacing w:line="240" w:lineRule="atLeast"/>
              <w:jc w:val="center"/>
              <w:rPr>
                <w:color w:val="auto"/>
                <w:sz w:val="18"/>
                <w:szCs w:val="18"/>
              </w:rPr>
            </w:pPr>
            <w:r>
              <w:rPr>
                <w:color w:val="auto"/>
                <w:sz w:val="18"/>
                <w:szCs w:val="18"/>
              </w:rPr>
              <w:t>15.0</w:t>
            </w:r>
          </w:p>
        </w:tc>
        <w:tc>
          <w:tcPr>
            <w:tcW w:w="1067" w:type="dxa"/>
            <w:noWrap w:val="0"/>
            <w:vAlign w:val="center"/>
          </w:tcPr>
          <w:p w14:paraId="4DE1409B">
            <w:pPr>
              <w:adjustRightInd w:val="0"/>
              <w:snapToGrid w:val="0"/>
              <w:spacing w:line="240" w:lineRule="atLeast"/>
              <w:jc w:val="center"/>
              <w:rPr>
                <w:color w:val="auto"/>
                <w:sz w:val="18"/>
                <w:szCs w:val="18"/>
              </w:rPr>
            </w:pPr>
            <w:r>
              <w:rPr>
                <w:color w:val="auto"/>
                <w:sz w:val="18"/>
                <w:szCs w:val="18"/>
              </w:rPr>
              <w:t>3.0</w:t>
            </w:r>
          </w:p>
          <w:p w14:paraId="6D1FB432">
            <w:pPr>
              <w:adjustRightInd w:val="0"/>
              <w:snapToGrid w:val="0"/>
              <w:spacing w:line="240" w:lineRule="atLeast"/>
              <w:jc w:val="center"/>
              <w:rPr>
                <w:color w:val="auto"/>
                <w:sz w:val="18"/>
                <w:szCs w:val="18"/>
              </w:rPr>
            </w:pPr>
            <w:r>
              <w:rPr>
                <w:color w:val="auto"/>
                <w:sz w:val="18"/>
                <w:szCs w:val="18"/>
              </w:rPr>
              <w:t>5.0</w:t>
            </w:r>
          </w:p>
        </w:tc>
        <w:tc>
          <w:tcPr>
            <w:tcW w:w="1067" w:type="dxa"/>
            <w:noWrap w:val="0"/>
            <w:vAlign w:val="center"/>
          </w:tcPr>
          <w:p w14:paraId="57EAA3C4">
            <w:pPr>
              <w:adjustRightInd w:val="0"/>
              <w:snapToGrid w:val="0"/>
              <w:jc w:val="center"/>
              <w:rPr>
                <w:color w:val="auto"/>
                <w:sz w:val="18"/>
                <w:szCs w:val="18"/>
              </w:rPr>
            </w:pPr>
            <w:r>
              <w:rPr>
                <w:color w:val="auto"/>
                <w:sz w:val="18"/>
                <w:szCs w:val="18"/>
              </w:rPr>
              <w:t>200</w:t>
            </w:r>
          </w:p>
        </w:tc>
        <w:tc>
          <w:tcPr>
            <w:tcW w:w="1068" w:type="dxa"/>
            <w:noWrap w:val="0"/>
            <w:vAlign w:val="center"/>
          </w:tcPr>
          <w:p w14:paraId="581E843E">
            <w:pPr>
              <w:adjustRightInd w:val="0"/>
              <w:snapToGrid w:val="0"/>
              <w:jc w:val="center"/>
              <w:rPr>
                <w:color w:val="auto"/>
                <w:sz w:val="18"/>
                <w:szCs w:val="18"/>
              </w:rPr>
            </w:pPr>
            <w:r>
              <w:rPr>
                <w:color w:val="auto"/>
                <w:sz w:val="18"/>
                <w:szCs w:val="18"/>
              </w:rPr>
              <w:t>4.0</w:t>
            </w:r>
          </w:p>
        </w:tc>
        <w:tc>
          <w:tcPr>
            <w:tcW w:w="1067" w:type="dxa"/>
            <w:noWrap w:val="0"/>
            <w:vAlign w:val="center"/>
          </w:tcPr>
          <w:p w14:paraId="76E9E35A">
            <w:pPr>
              <w:adjustRightInd w:val="0"/>
              <w:snapToGrid w:val="0"/>
              <w:jc w:val="center"/>
              <w:rPr>
                <w:color w:val="auto"/>
                <w:sz w:val="18"/>
                <w:szCs w:val="18"/>
              </w:rPr>
            </w:pPr>
            <w:r>
              <w:rPr>
                <w:color w:val="auto"/>
                <w:sz w:val="18"/>
                <w:szCs w:val="18"/>
              </w:rPr>
              <w:t>186.0</w:t>
            </w:r>
          </w:p>
        </w:tc>
        <w:tc>
          <w:tcPr>
            <w:tcW w:w="1067" w:type="dxa"/>
            <w:noWrap w:val="0"/>
            <w:vAlign w:val="center"/>
          </w:tcPr>
          <w:p w14:paraId="1D31A87F">
            <w:pPr>
              <w:adjustRightInd w:val="0"/>
              <w:snapToGrid w:val="0"/>
              <w:jc w:val="center"/>
              <w:rPr>
                <w:color w:val="auto"/>
                <w:sz w:val="18"/>
                <w:szCs w:val="18"/>
              </w:rPr>
            </w:pPr>
            <w:r>
              <w:rPr>
                <w:color w:val="auto"/>
                <w:sz w:val="18"/>
                <w:szCs w:val="18"/>
              </w:rPr>
              <w:t>0.9888</w:t>
            </w:r>
          </w:p>
        </w:tc>
        <w:tc>
          <w:tcPr>
            <w:tcW w:w="1067" w:type="dxa"/>
            <w:noWrap w:val="0"/>
            <w:vAlign w:val="center"/>
          </w:tcPr>
          <w:p w14:paraId="5194024E">
            <w:pPr>
              <w:adjustRightInd w:val="0"/>
              <w:snapToGrid w:val="0"/>
              <w:jc w:val="center"/>
              <w:rPr>
                <w:color w:val="auto"/>
                <w:sz w:val="18"/>
                <w:szCs w:val="18"/>
              </w:rPr>
            </w:pPr>
            <w:r>
              <w:rPr>
                <w:color w:val="auto"/>
                <w:sz w:val="18"/>
                <w:szCs w:val="18"/>
              </w:rPr>
              <w:t>-109.8</w:t>
            </w:r>
          </w:p>
        </w:tc>
        <w:tc>
          <w:tcPr>
            <w:tcW w:w="1068" w:type="dxa"/>
            <w:noWrap w:val="0"/>
            <w:vAlign w:val="center"/>
          </w:tcPr>
          <w:p w14:paraId="1A19075A">
            <w:pPr>
              <w:adjustRightInd w:val="0"/>
              <w:snapToGrid w:val="0"/>
              <w:jc w:val="center"/>
              <w:rPr>
                <w:color w:val="auto"/>
                <w:sz w:val="18"/>
                <w:szCs w:val="18"/>
              </w:rPr>
            </w:pPr>
            <w:r>
              <w:rPr>
                <w:color w:val="auto"/>
                <w:sz w:val="18"/>
                <w:szCs w:val="18"/>
              </w:rPr>
              <w:t>76.2</w:t>
            </w:r>
          </w:p>
        </w:tc>
      </w:tr>
      <w:tr w14:paraId="048D10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1ABC3947">
            <w:pPr>
              <w:adjustRightInd w:val="0"/>
              <w:snapToGrid w:val="0"/>
              <w:jc w:val="center"/>
              <w:rPr>
                <w:color w:val="auto"/>
                <w:sz w:val="18"/>
                <w:szCs w:val="18"/>
              </w:rPr>
            </w:pPr>
            <w:r>
              <w:rPr>
                <w:color w:val="auto"/>
                <w:sz w:val="18"/>
                <w:szCs w:val="18"/>
              </w:rPr>
              <w:t>4</w:t>
            </w:r>
          </w:p>
        </w:tc>
        <w:tc>
          <w:tcPr>
            <w:tcW w:w="1067" w:type="dxa"/>
            <w:noWrap w:val="0"/>
            <w:vAlign w:val="center"/>
          </w:tcPr>
          <w:p w14:paraId="4665E20F">
            <w:pPr>
              <w:adjustRightInd w:val="0"/>
              <w:snapToGrid w:val="0"/>
              <w:spacing w:line="240" w:lineRule="atLeast"/>
              <w:jc w:val="center"/>
              <w:rPr>
                <w:color w:val="auto"/>
                <w:sz w:val="18"/>
                <w:szCs w:val="18"/>
              </w:rPr>
            </w:pPr>
            <w:r>
              <w:rPr>
                <w:color w:val="auto"/>
                <w:sz w:val="18"/>
                <w:szCs w:val="18"/>
              </w:rPr>
              <w:t>15.0</w:t>
            </w:r>
          </w:p>
          <w:p w14:paraId="3E922ACB">
            <w:pPr>
              <w:adjustRightInd w:val="0"/>
              <w:snapToGrid w:val="0"/>
              <w:spacing w:line="240" w:lineRule="atLeast"/>
              <w:jc w:val="center"/>
              <w:rPr>
                <w:color w:val="auto"/>
                <w:sz w:val="18"/>
                <w:szCs w:val="18"/>
              </w:rPr>
            </w:pPr>
            <w:r>
              <w:rPr>
                <w:color w:val="auto"/>
                <w:sz w:val="18"/>
                <w:szCs w:val="18"/>
              </w:rPr>
              <w:t>17.0</w:t>
            </w:r>
          </w:p>
        </w:tc>
        <w:tc>
          <w:tcPr>
            <w:tcW w:w="1067" w:type="dxa"/>
            <w:noWrap w:val="0"/>
            <w:vAlign w:val="center"/>
          </w:tcPr>
          <w:p w14:paraId="5A229F21">
            <w:pPr>
              <w:adjustRightInd w:val="0"/>
              <w:snapToGrid w:val="0"/>
              <w:spacing w:line="240" w:lineRule="atLeast"/>
              <w:jc w:val="center"/>
              <w:rPr>
                <w:color w:val="auto"/>
                <w:sz w:val="18"/>
                <w:szCs w:val="18"/>
              </w:rPr>
            </w:pPr>
            <w:r>
              <w:rPr>
                <w:color w:val="auto"/>
                <w:sz w:val="18"/>
                <w:szCs w:val="18"/>
              </w:rPr>
              <w:t>5.0</w:t>
            </w:r>
          </w:p>
          <w:p w14:paraId="692E458E">
            <w:pPr>
              <w:adjustRightInd w:val="0"/>
              <w:snapToGrid w:val="0"/>
              <w:spacing w:line="240" w:lineRule="atLeast"/>
              <w:jc w:val="center"/>
              <w:rPr>
                <w:color w:val="auto"/>
                <w:sz w:val="18"/>
                <w:szCs w:val="18"/>
              </w:rPr>
            </w:pPr>
            <w:r>
              <w:rPr>
                <w:color w:val="auto"/>
                <w:sz w:val="18"/>
                <w:szCs w:val="18"/>
              </w:rPr>
              <w:t>7.0</w:t>
            </w:r>
          </w:p>
        </w:tc>
        <w:tc>
          <w:tcPr>
            <w:tcW w:w="1067" w:type="dxa"/>
            <w:noWrap w:val="0"/>
            <w:vAlign w:val="center"/>
          </w:tcPr>
          <w:p w14:paraId="56399CE0">
            <w:pPr>
              <w:adjustRightInd w:val="0"/>
              <w:snapToGrid w:val="0"/>
              <w:jc w:val="center"/>
              <w:rPr>
                <w:color w:val="auto"/>
                <w:sz w:val="18"/>
                <w:szCs w:val="18"/>
              </w:rPr>
            </w:pPr>
            <w:r>
              <w:rPr>
                <w:color w:val="auto"/>
                <w:sz w:val="18"/>
                <w:szCs w:val="18"/>
              </w:rPr>
              <w:t>200</w:t>
            </w:r>
          </w:p>
        </w:tc>
        <w:tc>
          <w:tcPr>
            <w:tcW w:w="1068" w:type="dxa"/>
            <w:noWrap w:val="0"/>
            <w:vAlign w:val="center"/>
          </w:tcPr>
          <w:p w14:paraId="34676636">
            <w:pPr>
              <w:adjustRightInd w:val="0"/>
              <w:snapToGrid w:val="0"/>
              <w:jc w:val="center"/>
              <w:rPr>
                <w:color w:val="auto"/>
                <w:sz w:val="18"/>
                <w:szCs w:val="18"/>
              </w:rPr>
            </w:pPr>
            <w:r>
              <w:rPr>
                <w:color w:val="auto"/>
                <w:sz w:val="18"/>
                <w:szCs w:val="18"/>
              </w:rPr>
              <w:t>6.0</w:t>
            </w:r>
          </w:p>
        </w:tc>
        <w:tc>
          <w:tcPr>
            <w:tcW w:w="1067" w:type="dxa"/>
            <w:noWrap w:val="0"/>
            <w:vAlign w:val="center"/>
          </w:tcPr>
          <w:p w14:paraId="017699C8">
            <w:pPr>
              <w:adjustRightInd w:val="0"/>
              <w:snapToGrid w:val="0"/>
              <w:jc w:val="center"/>
              <w:rPr>
                <w:color w:val="auto"/>
                <w:sz w:val="18"/>
                <w:szCs w:val="18"/>
              </w:rPr>
            </w:pPr>
            <w:r>
              <w:rPr>
                <w:color w:val="auto"/>
                <w:sz w:val="18"/>
                <w:szCs w:val="18"/>
              </w:rPr>
              <w:t>225.0</w:t>
            </w:r>
          </w:p>
        </w:tc>
        <w:tc>
          <w:tcPr>
            <w:tcW w:w="1067" w:type="dxa"/>
            <w:noWrap w:val="0"/>
            <w:vAlign w:val="center"/>
          </w:tcPr>
          <w:p w14:paraId="03E5DD2D">
            <w:pPr>
              <w:adjustRightInd w:val="0"/>
              <w:snapToGrid w:val="0"/>
              <w:jc w:val="center"/>
              <w:rPr>
                <w:color w:val="auto"/>
                <w:sz w:val="18"/>
                <w:szCs w:val="18"/>
              </w:rPr>
            </w:pPr>
            <w:r>
              <w:rPr>
                <w:color w:val="auto"/>
                <w:sz w:val="18"/>
                <w:szCs w:val="18"/>
              </w:rPr>
              <w:t>0.9736</w:t>
            </w:r>
          </w:p>
        </w:tc>
        <w:tc>
          <w:tcPr>
            <w:tcW w:w="1067" w:type="dxa"/>
            <w:noWrap w:val="0"/>
            <w:vAlign w:val="center"/>
          </w:tcPr>
          <w:p w14:paraId="2A3C4CCD">
            <w:pPr>
              <w:adjustRightInd w:val="0"/>
              <w:snapToGrid w:val="0"/>
              <w:jc w:val="center"/>
              <w:rPr>
                <w:color w:val="auto"/>
                <w:sz w:val="18"/>
                <w:szCs w:val="18"/>
              </w:rPr>
            </w:pPr>
            <w:r>
              <w:rPr>
                <w:color w:val="auto"/>
                <w:sz w:val="18"/>
                <w:szCs w:val="18"/>
              </w:rPr>
              <w:t>-108.1</w:t>
            </w:r>
          </w:p>
        </w:tc>
        <w:tc>
          <w:tcPr>
            <w:tcW w:w="1068" w:type="dxa"/>
            <w:noWrap w:val="0"/>
            <w:vAlign w:val="center"/>
          </w:tcPr>
          <w:p w14:paraId="486DB8D0">
            <w:pPr>
              <w:adjustRightInd w:val="0"/>
              <w:snapToGrid w:val="0"/>
              <w:jc w:val="center"/>
              <w:rPr>
                <w:color w:val="auto"/>
                <w:sz w:val="18"/>
                <w:szCs w:val="18"/>
              </w:rPr>
            </w:pPr>
            <w:r>
              <w:rPr>
                <w:color w:val="auto"/>
                <w:sz w:val="18"/>
                <w:szCs w:val="18"/>
              </w:rPr>
              <w:t>116.9</w:t>
            </w:r>
          </w:p>
        </w:tc>
      </w:tr>
      <w:tr w14:paraId="3906F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00863C97">
            <w:pPr>
              <w:adjustRightInd w:val="0"/>
              <w:snapToGrid w:val="0"/>
              <w:jc w:val="center"/>
              <w:rPr>
                <w:color w:val="auto"/>
                <w:sz w:val="18"/>
                <w:szCs w:val="18"/>
              </w:rPr>
            </w:pPr>
            <w:r>
              <w:rPr>
                <w:color w:val="auto"/>
                <w:sz w:val="18"/>
                <w:szCs w:val="18"/>
              </w:rPr>
              <w:t>5</w:t>
            </w:r>
          </w:p>
        </w:tc>
        <w:tc>
          <w:tcPr>
            <w:tcW w:w="1067" w:type="dxa"/>
            <w:noWrap w:val="0"/>
            <w:vAlign w:val="center"/>
          </w:tcPr>
          <w:p w14:paraId="0FD50DE4">
            <w:pPr>
              <w:adjustRightInd w:val="0"/>
              <w:snapToGrid w:val="0"/>
              <w:spacing w:line="240" w:lineRule="atLeast"/>
              <w:jc w:val="center"/>
              <w:rPr>
                <w:color w:val="auto"/>
                <w:sz w:val="18"/>
                <w:szCs w:val="18"/>
              </w:rPr>
            </w:pPr>
            <w:r>
              <w:rPr>
                <w:color w:val="auto"/>
                <w:sz w:val="18"/>
                <w:szCs w:val="18"/>
              </w:rPr>
              <w:t>17.0</w:t>
            </w:r>
          </w:p>
          <w:p w14:paraId="0F83CB2A">
            <w:pPr>
              <w:adjustRightInd w:val="0"/>
              <w:snapToGrid w:val="0"/>
              <w:spacing w:line="240" w:lineRule="atLeast"/>
              <w:jc w:val="center"/>
              <w:rPr>
                <w:color w:val="auto"/>
                <w:sz w:val="18"/>
                <w:szCs w:val="18"/>
              </w:rPr>
            </w:pPr>
            <w:r>
              <w:rPr>
                <w:color w:val="auto"/>
                <w:sz w:val="18"/>
                <w:szCs w:val="18"/>
              </w:rPr>
              <w:t>19.0</w:t>
            </w:r>
          </w:p>
        </w:tc>
        <w:tc>
          <w:tcPr>
            <w:tcW w:w="1067" w:type="dxa"/>
            <w:noWrap w:val="0"/>
            <w:vAlign w:val="center"/>
          </w:tcPr>
          <w:p w14:paraId="61D97424">
            <w:pPr>
              <w:adjustRightInd w:val="0"/>
              <w:snapToGrid w:val="0"/>
              <w:spacing w:line="240" w:lineRule="atLeast"/>
              <w:jc w:val="center"/>
              <w:rPr>
                <w:color w:val="auto"/>
                <w:sz w:val="18"/>
                <w:szCs w:val="18"/>
              </w:rPr>
            </w:pPr>
            <w:r>
              <w:rPr>
                <w:color w:val="auto"/>
                <w:sz w:val="18"/>
                <w:szCs w:val="18"/>
              </w:rPr>
              <w:t>7.0</w:t>
            </w:r>
          </w:p>
          <w:p w14:paraId="4D7AFF71">
            <w:pPr>
              <w:adjustRightInd w:val="0"/>
              <w:snapToGrid w:val="0"/>
              <w:spacing w:line="240" w:lineRule="atLeast"/>
              <w:jc w:val="center"/>
              <w:rPr>
                <w:color w:val="auto"/>
                <w:sz w:val="18"/>
                <w:szCs w:val="18"/>
              </w:rPr>
            </w:pPr>
            <w:r>
              <w:rPr>
                <w:color w:val="auto"/>
                <w:sz w:val="18"/>
                <w:szCs w:val="18"/>
              </w:rPr>
              <w:t>9.0</w:t>
            </w:r>
          </w:p>
        </w:tc>
        <w:tc>
          <w:tcPr>
            <w:tcW w:w="1067" w:type="dxa"/>
            <w:noWrap w:val="0"/>
            <w:vAlign w:val="center"/>
          </w:tcPr>
          <w:p w14:paraId="1F9EF4AE">
            <w:pPr>
              <w:adjustRightInd w:val="0"/>
              <w:snapToGrid w:val="0"/>
              <w:jc w:val="center"/>
              <w:rPr>
                <w:color w:val="auto"/>
                <w:sz w:val="18"/>
                <w:szCs w:val="18"/>
              </w:rPr>
            </w:pPr>
            <w:r>
              <w:rPr>
                <w:color w:val="auto"/>
                <w:sz w:val="18"/>
                <w:szCs w:val="18"/>
              </w:rPr>
              <w:t>200</w:t>
            </w:r>
          </w:p>
        </w:tc>
        <w:tc>
          <w:tcPr>
            <w:tcW w:w="1068" w:type="dxa"/>
            <w:noWrap w:val="0"/>
            <w:vAlign w:val="center"/>
          </w:tcPr>
          <w:p w14:paraId="43F5B94F">
            <w:pPr>
              <w:adjustRightInd w:val="0"/>
              <w:snapToGrid w:val="0"/>
              <w:jc w:val="center"/>
              <w:rPr>
                <w:color w:val="auto"/>
                <w:sz w:val="18"/>
                <w:szCs w:val="18"/>
              </w:rPr>
            </w:pPr>
            <w:r>
              <w:rPr>
                <w:color w:val="auto"/>
                <w:sz w:val="18"/>
                <w:szCs w:val="18"/>
              </w:rPr>
              <w:t>8.0</w:t>
            </w:r>
          </w:p>
        </w:tc>
        <w:tc>
          <w:tcPr>
            <w:tcW w:w="1067" w:type="dxa"/>
            <w:noWrap w:val="0"/>
            <w:vAlign w:val="center"/>
          </w:tcPr>
          <w:p w14:paraId="57E50214">
            <w:pPr>
              <w:adjustRightInd w:val="0"/>
              <w:snapToGrid w:val="0"/>
              <w:jc w:val="center"/>
              <w:rPr>
                <w:color w:val="auto"/>
                <w:sz w:val="18"/>
                <w:szCs w:val="18"/>
              </w:rPr>
            </w:pPr>
            <w:r>
              <w:rPr>
                <w:color w:val="auto"/>
                <w:sz w:val="18"/>
                <w:szCs w:val="18"/>
              </w:rPr>
              <w:t>264.0</w:t>
            </w:r>
          </w:p>
        </w:tc>
        <w:tc>
          <w:tcPr>
            <w:tcW w:w="1067" w:type="dxa"/>
            <w:noWrap w:val="0"/>
            <w:vAlign w:val="center"/>
          </w:tcPr>
          <w:p w14:paraId="73F52777">
            <w:pPr>
              <w:adjustRightInd w:val="0"/>
              <w:snapToGrid w:val="0"/>
              <w:jc w:val="center"/>
              <w:rPr>
                <w:color w:val="auto"/>
                <w:sz w:val="18"/>
                <w:szCs w:val="18"/>
              </w:rPr>
            </w:pPr>
            <w:r>
              <w:rPr>
                <w:color w:val="auto"/>
                <w:sz w:val="18"/>
                <w:szCs w:val="18"/>
              </w:rPr>
              <w:t>0.9687</w:t>
            </w:r>
          </w:p>
        </w:tc>
        <w:tc>
          <w:tcPr>
            <w:tcW w:w="1067" w:type="dxa"/>
            <w:noWrap w:val="0"/>
            <w:vAlign w:val="center"/>
          </w:tcPr>
          <w:p w14:paraId="18DD63A7">
            <w:pPr>
              <w:adjustRightInd w:val="0"/>
              <w:snapToGrid w:val="0"/>
              <w:jc w:val="center"/>
              <w:rPr>
                <w:color w:val="auto"/>
                <w:sz w:val="18"/>
                <w:szCs w:val="18"/>
              </w:rPr>
            </w:pPr>
            <w:r>
              <w:rPr>
                <w:color w:val="auto"/>
                <w:sz w:val="18"/>
                <w:szCs w:val="18"/>
              </w:rPr>
              <w:t>-107.5</w:t>
            </w:r>
          </w:p>
        </w:tc>
        <w:tc>
          <w:tcPr>
            <w:tcW w:w="1068" w:type="dxa"/>
            <w:noWrap w:val="0"/>
            <w:vAlign w:val="center"/>
          </w:tcPr>
          <w:p w14:paraId="1E6DF9D6">
            <w:pPr>
              <w:adjustRightInd w:val="0"/>
              <w:snapToGrid w:val="0"/>
              <w:jc w:val="center"/>
              <w:rPr>
                <w:color w:val="auto"/>
                <w:sz w:val="18"/>
                <w:szCs w:val="18"/>
              </w:rPr>
            </w:pPr>
            <w:r>
              <w:rPr>
                <w:color w:val="auto"/>
                <w:sz w:val="18"/>
                <w:szCs w:val="18"/>
              </w:rPr>
              <w:t>156.5</w:t>
            </w:r>
          </w:p>
        </w:tc>
      </w:tr>
      <w:tr w14:paraId="02F58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441C701B">
            <w:pPr>
              <w:adjustRightInd w:val="0"/>
              <w:snapToGrid w:val="0"/>
              <w:jc w:val="center"/>
              <w:rPr>
                <w:color w:val="auto"/>
                <w:sz w:val="18"/>
                <w:szCs w:val="18"/>
              </w:rPr>
            </w:pPr>
            <w:r>
              <w:rPr>
                <w:color w:val="auto"/>
                <w:sz w:val="18"/>
                <w:szCs w:val="18"/>
              </w:rPr>
              <w:t>6</w:t>
            </w:r>
          </w:p>
        </w:tc>
        <w:tc>
          <w:tcPr>
            <w:tcW w:w="1067" w:type="dxa"/>
            <w:noWrap w:val="0"/>
            <w:vAlign w:val="center"/>
          </w:tcPr>
          <w:p w14:paraId="4864908D">
            <w:pPr>
              <w:adjustRightInd w:val="0"/>
              <w:snapToGrid w:val="0"/>
              <w:spacing w:line="240" w:lineRule="atLeast"/>
              <w:jc w:val="center"/>
              <w:rPr>
                <w:color w:val="auto"/>
                <w:sz w:val="18"/>
                <w:szCs w:val="18"/>
              </w:rPr>
            </w:pPr>
            <w:r>
              <w:rPr>
                <w:color w:val="auto"/>
                <w:sz w:val="18"/>
                <w:szCs w:val="18"/>
              </w:rPr>
              <w:t>19.0</w:t>
            </w:r>
          </w:p>
          <w:p w14:paraId="55F89278">
            <w:pPr>
              <w:adjustRightInd w:val="0"/>
              <w:snapToGrid w:val="0"/>
              <w:spacing w:line="240" w:lineRule="atLeast"/>
              <w:jc w:val="center"/>
              <w:rPr>
                <w:color w:val="auto"/>
                <w:sz w:val="18"/>
                <w:szCs w:val="18"/>
              </w:rPr>
            </w:pPr>
            <w:r>
              <w:rPr>
                <w:color w:val="auto"/>
                <w:sz w:val="18"/>
                <w:szCs w:val="18"/>
              </w:rPr>
              <w:t>22.0</w:t>
            </w:r>
          </w:p>
        </w:tc>
        <w:tc>
          <w:tcPr>
            <w:tcW w:w="1067" w:type="dxa"/>
            <w:noWrap w:val="0"/>
            <w:vAlign w:val="center"/>
          </w:tcPr>
          <w:p w14:paraId="63D942B6">
            <w:pPr>
              <w:adjustRightInd w:val="0"/>
              <w:snapToGrid w:val="0"/>
              <w:spacing w:line="240" w:lineRule="atLeast"/>
              <w:jc w:val="center"/>
              <w:rPr>
                <w:color w:val="auto"/>
                <w:sz w:val="18"/>
                <w:szCs w:val="18"/>
              </w:rPr>
            </w:pPr>
            <w:r>
              <w:rPr>
                <w:color w:val="auto"/>
                <w:sz w:val="18"/>
                <w:szCs w:val="18"/>
              </w:rPr>
              <w:t>9.0</w:t>
            </w:r>
          </w:p>
          <w:p w14:paraId="17A0DC9D">
            <w:pPr>
              <w:adjustRightInd w:val="0"/>
              <w:snapToGrid w:val="0"/>
              <w:spacing w:line="240" w:lineRule="atLeast"/>
              <w:jc w:val="center"/>
              <w:rPr>
                <w:color w:val="auto"/>
                <w:sz w:val="18"/>
                <w:szCs w:val="18"/>
              </w:rPr>
            </w:pPr>
            <w:r>
              <w:rPr>
                <w:color w:val="auto"/>
                <w:sz w:val="18"/>
                <w:szCs w:val="18"/>
              </w:rPr>
              <w:t>12.0</w:t>
            </w:r>
          </w:p>
        </w:tc>
        <w:tc>
          <w:tcPr>
            <w:tcW w:w="1067" w:type="dxa"/>
            <w:noWrap w:val="0"/>
            <w:vAlign w:val="center"/>
          </w:tcPr>
          <w:p w14:paraId="3716DB52">
            <w:pPr>
              <w:adjustRightInd w:val="0"/>
              <w:snapToGrid w:val="0"/>
              <w:jc w:val="center"/>
              <w:rPr>
                <w:color w:val="auto"/>
                <w:sz w:val="18"/>
                <w:szCs w:val="18"/>
              </w:rPr>
            </w:pPr>
            <w:r>
              <w:rPr>
                <w:color w:val="auto"/>
                <w:sz w:val="18"/>
                <w:szCs w:val="18"/>
              </w:rPr>
              <w:t>300</w:t>
            </w:r>
          </w:p>
        </w:tc>
        <w:tc>
          <w:tcPr>
            <w:tcW w:w="1068" w:type="dxa"/>
            <w:noWrap w:val="0"/>
            <w:vAlign w:val="center"/>
          </w:tcPr>
          <w:p w14:paraId="26AE2DA8">
            <w:pPr>
              <w:adjustRightInd w:val="0"/>
              <w:snapToGrid w:val="0"/>
              <w:jc w:val="center"/>
              <w:rPr>
                <w:color w:val="auto"/>
                <w:sz w:val="18"/>
                <w:szCs w:val="18"/>
              </w:rPr>
            </w:pPr>
            <w:r>
              <w:rPr>
                <w:color w:val="auto"/>
                <w:sz w:val="18"/>
                <w:szCs w:val="18"/>
              </w:rPr>
              <w:t>10.5</w:t>
            </w:r>
          </w:p>
        </w:tc>
        <w:tc>
          <w:tcPr>
            <w:tcW w:w="1067" w:type="dxa"/>
            <w:noWrap w:val="0"/>
            <w:vAlign w:val="center"/>
          </w:tcPr>
          <w:p w14:paraId="66FB57DE">
            <w:pPr>
              <w:adjustRightInd w:val="0"/>
              <w:snapToGrid w:val="0"/>
              <w:jc w:val="center"/>
              <w:rPr>
                <w:color w:val="auto"/>
                <w:sz w:val="18"/>
                <w:szCs w:val="18"/>
              </w:rPr>
            </w:pPr>
            <w:r>
              <w:rPr>
                <w:color w:val="auto"/>
                <w:sz w:val="18"/>
                <w:szCs w:val="18"/>
              </w:rPr>
              <w:t>312.8</w:t>
            </w:r>
          </w:p>
        </w:tc>
        <w:tc>
          <w:tcPr>
            <w:tcW w:w="1067" w:type="dxa"/>
            <w:noWrap w:val="0"/>
            <w:vAlign w:val="center"/>
          </w:tcPr>
          <w:p w14:paraId="20519896">
            <w:pPr>
              <w:adjustRightInd w:val="0"/>
              <w:snapToGrid w:val="0"/>
              <w:jc w:val="center"/>
              <w:rPr>
                <w:color w:val="auto"/>
                <w:sz w:val="18"/>
                <w:szCs w:val="18"/>
              </w:rPr>
            </w:pPr>
            <w:r>
              <w:rPr>
                <w:color w:val="auto"/>
                <w:sz w:val="18"/>
                <w:szCs w:val="18"/>
              </w:rPr>
              <w:t>0.8924</w:t>
            </w:r>
          </w:p>
        </w:tc>
        <w:tc>
          <w:tcPr>
            <w:tcW w:w="1067" w:type="dxa"/>
            <w:noWrap w:val="0"/>
            <w:vAlign w:val="center"/>
          </w:tcPr>
          <w:p w14:paraId="068BB1B8">
            <w:pPr>
              <w:adjustRightInd w:val="0"/>
              <w:snapToGrid w:val="0"/>
              <w:jc w:val="center"/>
              <w:rPr>
                <w:color w:val="auto"/>
                <w:sz w:val="18"/>
                <w:szCs w:val="18"/>
              </w:rPr>
            </w:pPr>
            <w:r>
              <w:rPr>
                <w:color w:val="auto"/>
                <w:sz w:val="18"/>
                <w:szCs w:val="18"/>
              </w:rPr>
              <w:t>-99.1</w:t>
            </w:r>
          </w:p>
        </w:tc>
        <w:tc>
          <w:tcPr>
            <w:tcW w:w="1068" w:type="dxa"/>
            <w:noWrap w:val="0"/>
            <w:vAlign w:val="center"/>
          </w:tcPr>
          <w:p w14:paraId="3EE1DC60">
            <w:pPr>
              <w:adjustRightInd w:val="0"/>
              <w:snapToGrid w:val="0"/>
              <w:jc w:val="center"/>
              <w:rPr>
                <w:color w:val="auto"/>
                <w:sz w:val="18"/>
                <w:szCs w:val="18"/>
              </w:rPr>
            </w:pPr>
            <w:r>
              <w:rPr>
                <w:color w:val="auto"/>
                <w:sz w:val="18"/>
                <w:szCs w:val="18"/>
              </w:rPr>
              <w:t>213.7</w:t>
            </w:r>
          </w:p>
        </w:tc>
      </w:tr>
      <w:tr w14:paraId="5AD3F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36953B09">
            <w:pPr>
              <w:adjustRightInd w:val="0"/>
              <w:snapToGrid w:val="0"/>
              <w:jc w:val="center"/>
              <w:rPr>
                <w:color w:val="auto"/>
                <w:sz w:val="18"/>
                <w:szCs w:val="18"/>
              </w:rPr>
            </w:pPr>
            <w:r>
              <w:rPr>
                <w:color w:val="auto"/>
                <w:sz w:val="18"/>
                <w:szCs w:val="18"/>
              </w:rPr>
              <w:t>7</w:t>
            </w:r>
          </w:p>
        </w:tc>
        <w:tc>
          <w:tcPr>
            <w:tcW w:w="1067" w:type="dxa"/>
            <w:noWrap w:val="0"/>
            <w:vAlign w:val="center"/>
          </w:tcPr>
          <w:p w14:paraId="0D721818">
            <w:pPr>
              <w:adjustRightInd w:val="0"/>
              <w:snapToGrid w:val="0"/>
              <w:spacing w:line="240" w:lineRule="atLeast"/>
              <w:jc w:val="center"/>
              <w:rPr>
                <w:color w:val="auto"/>
                <w:sz w:val="18"/>
                <w:szCs w:val="18"/>
              </w:rPr>
            </w:pPr>
            <w:r>
              <w:rPr>
                <w:color w:val="auto"/>
                <w:sz w:val="18"/>
                <w:szCs w:val="18"/>
              </w:rPr>
              <w:t>22.0</w:t>
            </w:r>
          </w:p>
          <w:p w14:paraId="086FB6CE">
            <w:pPr>
              <w:adjustRightInd w:val="0"/>
              <w:snapToGrid w:val="0"/>
              <w:spacing w:line="240" w:lineRule="atLeast"/>
              <w:jc w:val="center"/>
              <w:rPr>
                <w:color w:val="auto"/>
                <w:sz w:val="18"/>
                <w:szCs w:val="18"/>
              </w:rPr>
            </w:pPr>
            <w:r>
              <w:rPr>
                <w:color w:val="auto"/>
                <w:sz w:val="18"/>
                <w:szCs w:val="18"/>
              </w:rPr>
              <w:t>25.0</w:t>
            </w:r>
          </w:p>
        </w:tc>
        <w:tc>
          <w:tcPr>
            <w:tcW w:w="1067" w:type="dxa"/>
            <w:noWrap w:val="0"/>
            <w:vAlign w:val="center"/>
          </w:tcPr>
          <w:p w14:paraId="5DFCC26C">
            <w:pPr>
              <w:adjustRightInd w:val="0"/>
              <w:snapToGrid w:val="0"/>
              <w:spacing w:line="240" w:lineRule="atLeast"/>
              <w:jc w:val="center"/>
              <w:rPr>
                <w:color w:val="auto"/>
                <w:sz w:val="18"/>
                <w:szCs w:val="18"/>
              </w:rPr>
            </w:pPr>
            <w:r>
              <w:rPr>
                <w:color w:val="auto"/>
                <w:sz w:val="18"/>
                <w:szCs w:val="18"/>
              </w:rPr>
              <w:t>12.0</w:t>
            </w:r>
          </w:p>
          <w:p w14:paraId="47087214">
            <w:pPr>
              <w:adjustRightInd w:val="0"/>
              <w:snapToGrid w:val="0"/>
              <w:spacing w:line="240" w:lineRule="atLeast"/>
              <w:jc w:val="center"/>
              <w:rPr>
                <w:color w:val="auto"/>
                <w:sz w:val="18"/>
                <w:szCs w:val="18"/>
              </w:rPr>
            </w:pPr>
            <w:r>
              <w:rPr>
                <w:color w:val="auto"/>
                <w:sz w:val="18"/>
                <w:szCs w:val="18"/>
              </w:rPr>
              <w:t>15.0</w:t>
            </w:r>
          </w:p>
        </w:tc>
        <w:tc>
          <w:tcPr>
            <w:tcW w:w="1067" w:type="dxa"/>
            <w:noWrap w:val="0"/>
            <w:vAlign w:val="center"/>
          </w:tcPr>
          <w:p w14:paraId="2C8300A0">
            <w:pPr>
              <w:adjustRightInd w:val="0"/>
              <w:snapToGrid w:val="0"/>
              <w:jc w:val="center"/>
              <w:rPr>
                <w:color w:val="auto"/>
                <w:sz w:val="18"/>
                <w:szCs w:val="18"/>
              </w:rPr>
            </w:pPr>
            <w:r>
              <w:rPr>
                <w:color w:val="auto"/>
                <w:sz w:val="18"/>
                <w:szCs w:val="18"/>
              </w:rPr>
              <w:t>300</w:t>
            </w:r>
          </w:p>
        </w:tc>
        <w:tc>
          <w:tcPr>
            <w:tcW w:w="1068" w:type="dxa"/>
            <w:noWrap w:val="0"/>
            <w:vAlign w:val="center"/>
          </w:tcPr>
          <w:p w14:paraId="1227621D">
            <w:pPr>
              <w:adjustRightInd w:val="0"/>
              <w:snapToGrid w:val="0"/>
              <w:jc w:val="center"/>
              <w:rPr>
                <w:color w:val="auto"/>
                <w:sz w:val="18"/>
                <w:szCs w:val="18"/>
              </w:rPr>
            </w:pPr>
            <w:r>
              <w:rPr>
                <w:color w:val="auto"/>
                <w:sz w:val="18"/>
                <w:szCs w:val="18"/>
              </w:rPr>
              <w:t>13.5</w:t>
            </w:r>
          </w:p>
        </w:tc>
        <w:tc>
          <w:tcPr>
            <w:tcW w:w="1067" w:type="dxa"/>
            <w:noWrap w:val="0"/>
            <w:vAlign w:val="center"/>
          </w:tcPr>
          <w:p w14:paraId="1EF56C74">
            <w:pPr>
              <w:adjustRightInd w:val="0"/>
              <w:snapToGrid w:val="0"/>
              <w:jc w:val="center"/>
              <w:rPr>
                <w:color w:val="auto"/>
                <w:sz w:val="18"/>
                <w:szCs w:val="18"/>
              </w:rPr>
            </w:pPr>
            <w:r>
              <w:rPr>
                <w:color w:val="auto"/>
                <w:sz w:val="18"/>
                <w:szCs w:val="18"/>
              </w:rPr>
              <w:t>371.3</w:t>
            </w:r>
          </w:p>
        </w:tc>
        <w:tc>
          <w:tcPr>
            <w:tcW w:w="1067" w:type="dxa"/>
            <w:noWrap w:val="0"/>
            <w:vAlign w:val="center"/>
          </w:tcPr>
          <w:p w14:paraId="57410E4C">
            <w:pPr>
              <w:adjustRightInd w:val="0"/>
              <w:snapToGrid w:val="0"/>
              <w:jc w:val="center"/>
              <w:rPr>
                <w:color w:val="auto"/>
                <w:sz w:val="18"/>
                <w:szCs w:val="18"/>
              </w:rPr>
            </w:pPr>
            <w:r>
              <w:rPr>
                <w:color w:val="auto"/>
                <w:sz w:val="18"/>
                <w:szCs w:val="18"/>
              </w:rPr>
              <w:t>0.8204</w:t>
            </w:r>
          </w:p>
        </w:tc>
        <w:tc>
          <w:tcPr>
            <w:tcW w:w="1067" w:type="dxa"/>
            <w:noWrap w:val="0"/>
            <w:vAlign w:val="center"/>
          </w:tcPr>
          <w:p w14:paraId="653FBB84">
            <w:pPr>
              <w:adjustRightInd w:val="0"/>
              <w:snapToGrid w:val="0"/>
              <w:jc w:val="center"/>
              <w:rPr>
                <w:color w:val="auto"/>
                <w:sz w:val="18"/>
                <w:szCs w:val="18"/>
              </w:rPr>
            </w:pPr>
            <w:r>
              <w:rPr>
                <w:color w:val="auto"/>
                <w:sz w:val="18"/>
                <w:szCs w:val="18"/>
              </w:rPr>
              <w:t>-91.1</w:t>
            </w:r>
          </w:p>
        </w:tc>
        <w:tc>
          <w:tcPr>
            <w:tcW w:w="1068" w:type="dxa"/>
            <w:noWrap w:val="0"/>
            <w:vAlign w:val="center"/>
          </w:tcPr>
          <w:p w14:paraId="1BC991ED">
            <w:pPr>
              <w:adjustRightInd w:val="0"/>
              <w:snapToGrid w:val="0"/>
              <w:jc w:val="center"/>
              <w:rPr>
                <w:color w:val="auto"/>
                <w:sz w:val="18"/>
                <w:szCs w:val="18"/>
              </w:rPr>
            </w:pPr>
            <w:r>
              <w:rPr>
                <w:color w:val="auto"/>
                <w:sz w:val="18"/>
                <w:szCs w:val="18"/>
              </w:rPr>
              <w:t>280.2</w:t>
            </w:r>
          </w:p>
        </w:tc>
      </w:tr>
      <w:tr w14:paraId="493E3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70" w:type="dxa"/>
            <w:noWrap w:val="0"/>
            <w:vAlign w:val="center"/>
          </w:tcPr>
          <w:p w14:paraId="70F438B5">
            <w:pPr>
              <w:adjustRightInd w:val="0"/>
              <w:snapToGrid w:val="0"/>
              <w:jc w:val="center"/>
              <w:rPr>
                <w:color w:val="auto"/>
                <w:sz w:val="18"/>
                <w:szCs w:val="18"/>
              </w:rPr>
            </w:pPr>
            <w:r>
              <w:rPr>
                <w:color w:val="auto"/>
                <w:sz w:val="18"/>
                <w:szCs w:val="18"/>
              </w:rPr>
              <w:t>8</w:t>
            </w:r>
          </w:p>
        </w:tc>
        <w:tc>
          <w:tcPr>
            <w:tcW w:w="1067" w:type="dxa"/>
            <w:noWrap w:val="0"/>
            <w:vAlign w:val="center"/>
          </w:tcPr>
          <w:p w14:paraId="113E6414">
            <w:pPr>
              <w:adjustRightInd w:val="0"/>
              <w:snapToGrid w:val="0"/>
              <w:spacing w:line="240" w:lineRule="atLeast"/>
              <w:jc w:val="center"/>
              <w:rPr>
                <w:color w:val="auto"/>
                <w:sz w:val="18"/>
                <w:szCs w:val="18"/>
              </w:rPr>
            </w:pPr>
            <w:r>
              <w:rPr>
                <w:color w:val="auto"/>
                <w:sz w:val="18"/>
                <w:szCs w:val="18"/>
              </w:rPr>
              <w:t>25.0</w:t>
            </w:r>
          </w:p>
          <w:p w14:paraId="09CC2020">
            <w:pPr>
              <w:adjustRightInd w:val="0"/>
              <w:snapToGrid w:val="0"/>
              <w:spacing w:line="240" w:lineRule="atLeast"/>
              <w:jc w:val="center"/>
              <w:rPr>
                <w:color w:val="auto"/>
                <w:sz w:val="18"/>
                <w:szCs w:val="18"/>
              </w:rPr>
            </w:pPr>
            <w:r>
              <w:rPr>
                <w:color w:val="auto"/>
                <w:sz w:val="18"/>
                <w:szCs w:val="18"/>
              </w:rPr>
              <w:t>28.0</w:t>
            </w:r>
          </w:p>
        </w:tc>
        <w:tc>
          <w:tcPr>
            <w:tcW w:w="1067" w:type="dxa"/>
            <w:noWrap w:val="0"/>
            <w:vAlign w:val="center"/>
          </w:tcPr>
          <w:p w14:paraId="1E64FF3E">
            <w:pPr>
              <w:adjustRightInd w:val="0"/>
              <w:snapToGrid w:val="0"/>
              <w:spacing w:line="240" w:lineRule="atLeast"/>
              <w:jc w:val="center"/>
              <w:rPr>
                <w:color w:val="auto"/>
                <w:sz w:val="18"/>
                <w:szCs w:val="18"/>
              </w:rPr>
            </w:pPr>
            <w:r>
              <w:rPr>
                <w:color w:val="auto"/>
                <w:sz w:val="18"/>
                <w:szCs w:val="18"/>
              </w:rPr>
              <w:t>12.0</w:t>
            </w:r>
          </w:p>
          <w:p w14:paraId="71DDC37E">
            <w:pPr>
              <w:adjustRightInd w:val="0"/>
              <w:snapToGrid w:val="0"/>
              <w:spacing w:line="240" w:lineRule="atLeast"/>
              <w:jc w:val="center"/>
              <w:rPr>
                <w:color w:val="auto"/>
                <w:sz w:val="18"/>
                <w:szCs w:val="18"/>
              </w:rPr>
            </w:pPr>
            <w:r>
              <w:rPr>
                <w:color w:val="auto"/>
                <w:sz w:val="18"/>
                <w:szCs w:val="18"/>
              </w:rPr>
              <w:t>15.0</w:t>
            </w:r>
          </w:p>
        </w:tc>
        <w:tc>
          <w:tcPr>
            <w:tcW w:w="1067" w:type="dxa"/>
            <w:noWrap w:val="0"/>
            <w:vAlign w:val="center"/>
          </w:tcPr>
          <w:p w14:paraId="18175F1F">
            <w:pPr>
              <w:adjustRightInd w:val="0"/>
              <w:snapToGrid w:val="0"/>
              <w:jc w:val="center"/>
              <w:rPr>
                <w:color w:val="auto"/>
                <w:sz w:val="18"/>
                <w:szCs w:val="18"/>
              </w:rPr>
            </w:pPr>
            <w:r>
              <w:rPr>
                <w:color w:val="auto"/>
                <w:sz w:val="18"/>
                <w:szCs w:val="18"/>
              </w:rPr>
              <w:t>300</w:t>
            </w:r>
          </w:p>
        </w:tc>
        <w:tc>
          <w:tcPr>
            <w:tcW w:w="1068" w:type="dxa"/>
            <w:noWrap w:val="0"/>
            <w:vAlign w:val="center"/>
          </w:tcPr>
          <w:p w14:paraId="7A20DBD3">
            <w:pPr>
              <w:adjustRightInd w:val="0"/>
              <w:snapToGrid w:val="0"/>
              <w:jc w:val="center"/>
              <w:rPr>
                <w:color w:val="auto"/>
                <w:sz w:val="18"/>
                <w:szCs w:val="18"/>
              </w:rPr>
            </w:pPr>
            <w:r>
              <w:rPr>
                <w:color w:val="auto"/>
                <w:sz w:val="18"/>
                <w:szCs w:val="18"/>
              </w:rPr>
              <w:t>13.5</w:t>
            </w:r>
          </w:p>
        </w:tc>
        <w:tc>
          <w:tcPr>
            <w:tcW w:w="1067" w:type="dxa"/>
            <w:noWrap w:val="0"/>
            <w:vAlign w:val="center"/>
          </w:tcPr>
          <w:p w14:paraId="2D2DE6D3">
            <w:pPr>
              <w:adjustRightInd w:val="0"/>
              <w:snapToGrid w:val="0"/>
              <w:jc w:val="center"/>
              <w:rPr>
                <w:color w:val="auto"/>
                <w:sz w:val="18"/>
                <w:szCs w:val="18"/>
              </w:rPr>
            </w:pPr>
            <w:r>
              <w:rPr>
                <w:color w:val="auto"/>
                <w:sz w:val="18"/>
                <w:szCs w:val="18"/>
              </w:rPr>
              <w:t>429.8</w:t>
            </w:r>
          </w:p>
        </w:tc>
        <w:tc>
          <w:tcPr>
            <w:tcW w:w="1067" w:type="dxa"/>
            <w:noWrap w:val="0"/>
            <w:vAlign w:val="center"/>
          </w:tcPr>
          <w:p w14:paraId="0A72C557">
            <w:pPr>
              <w:adjustRightInd w:val="0"/>
              <w:snapToGrid w:val="0"/>
              <w:jc w:val="center"/>
              <w:rPr>
                <w:color w:val="auto"/>
                <w:sz w:val="18"/>
                <w:szCs w:val="18"/>
              </w:rPr>
            </w:pPr>
            <w:r>
              <w:rPr>
                <w:color w:val="auto"/>
                <w:sz w:val="18"/>
                <w:szCs w:val="18"/>
              </w:rPr>
              <w:t>0.7426</w:t>
            </w:r>
          </w:p>
        </w:tc>
        <w:tc>
          <w:tcPr>
            <w:tcW w:w="1067" w:type="dxa"/>
            <w:noWrap w:val="0"/>
            <w:vAlign w:val="center"/>
          </w:tcPr>
          <w:p w14:paraId="0A6E252F">
            <w:pPr>
              <w:adjustRightInd w:val="0"/>
              <w:snapToGrid w:val="0"/>
              <w:jc w:val="center"/>
              <w:rPr>
                <w:color w:val="auto"/>
                <w:sz w:val="18"/>
                <w:szCs w:val="18"/>
              </w:rPr>
            </w:pPr>
            <w:r>
              <w:rPr>
                <w:color w:val="auto"/>
                <w:sz w:val="18"/>
                <w:szCs w:val="18"/>
              </w:rPr>
              <w:t>-82.4</w:t>
            </w:r>
          </w:p>
        </w:tc>
        <w:tc>
          <w:tcPr>
            <w:tcW w:w="1068" w:type="dxa"/>
            <w:noWrap w:val="0"/>
            <w:vAlign w:val="center"/>
          </w:tcPr>
          <w:p w14:paraId="168CBAD6">
            <w:pPr>
              <w:adjustRightInd w:val="0"/>
              <w:snapToGrid w:val="0"/>
              <w:jc w:val="center"/>
              <w:rPr>
                <w:color w:val="auto"/>
                <w:sz w:val="18"/>
                <w:szCs w:val="18"/>
              </w:rPr>
            </w:pPr>
            <w:r>
              <w:rPr>
                <w:color w:val="auto"/>
                <w:sz w:val="18"/>
                <w:szCs w:val="18"/>
              </w:rPr>
              <w:t>347.4</w:t>
            </w:r>
          </w:p>
        </w:tc>
      </w:tr>
      <w:tr w14:paraId="2A813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9108" w:type="dxa"/>
            <w:gridSpan w:val="9"/>
            <w:noWrap w:val="0"/>
            <w:vAlign w:val="center"/>
          </w:tcPr>
          <w:p w14:paraId="010F571C">
            <w:pPr>
              <w:adjustRightInd w:val="0"/>
              <w:snapToGrid w:val="0"/>
              <w:rPr>
                <w:color w:val="auto"/>
                <w:sz w:val="18"/>
                <w:szCs w:val="18"/>
              </w:rPr>
            </w:pPr>
            <w:r>
              <w:rPr>
                <w:color w:val="auto"/>
                <w:sz w:val="18"/>
                <w:szCs w:val="18"/>
              </w:rPr>
              <w:t>注1：附加压力根据基底土自重压力计算，计算方法同前；</w:t>
            </w:r>
          </w:p>
          <w:p w14:paraId="48002315">
            <w:pPr>
              <w:adjustRightInd w:val="0"/>
              <w:snapToGrid w:val="0"/>
              <w:rPr>
                <w:color w:val="auto"/>
                <w:sz w:val="18"/>
                <w:szCs w:val="18"/>
              </w:rPr>
            </w:pPr>
            <w:r>
              <w:rPr>
                <w:color w:val="auto"/>
                <w:sz w:val="18"/>
                <w:szCs w:val="18"/>
              </w:rPr>
              <w:t>注2：第8计算层中点附加应力|-82.4|＜429.8×0.2，满足变形下限要求。</w:t>
            </w:r>
          </w:p>
        </w:tc>
      </w:tr>
    </w:tbl>
    <w:p w14:paraId="72F867EF">
      <w:pPr>
        <w:adjustRightInd w:val="0"/>
        <w:ind w:firstLine="420"/>
        <w:rPr>
          <w:color w:val="auto"/>
          <w:szCs w:val="21"/>
        </w:rPr>
      </w:pPr>
    </w:p>
    <w:p w14:paraId="1FAAA76A">
      <w:pPr>
        <w:adjustRightInd w:val="0"/>
        <w:snapToGrid w:val="0"/>
        <w:spacing w:line="340" w:lineRule="atLeast"/>
        <w:ind w:firstLine="420"/>
        <w:rPr>
          <w:color w:val="auto"/>
          <w:szCs w:val="21"/>
        </w:rPr>
      </w:pPr>
      <w:r>
        <w:rPr>
          <w:b/>
          <w:color w:val="auto"/>
          <w:szCs w:val="21"/>
        </w:rPr>
        <w:t>4</w:t>
      </w:r>
      <w:r>
        <w:rPr>
          <w:color w:val="auto"/>
          <w:szCs w:val="21"/>
        </w:rPr>
        <w:t xml:space="preserve">  回弹再压缩变形量可根据本文件7.3.5~7.3.6进行计算。</w:t>
      </w:r>
    </w:p>
    <w:p w14:paraId="03D4B7A1">
      <w:pPr>
        <w:adjustRightInd w:val="0"/>
        <w:snapToGrid w:val="0"/>
        <w:spacing w:line="340" w:lineRule="atLeast"/>
        <w:ind w:firstLine="420"/>
        <w:rPr>
          <w:color w:val="auto"/>
          <w:szCs w:val="21"/>
        </w:rPr>
      </w:pPr>
      <w:r>
        <w:rPr>
          <w:color w:val="auto"/>
          <w:szCs w:val="21"/>
        </w:rPr>
        <w:t>总沉降量为上述计算的沉降和回弹再压缩变形量之和。</w:t>
      </w:r>
    </w:p>
    <w:p w14:paraId="45680D10">
      <w:pPr>
        <w:adjustRightInd w:val="0"/>
        <w:snapToGrid w:val="0"/>
        <w:spacing w:line="340" w:lineRule="atLeast"/>
        <w:rPr>
          <w:color w:val="auto"/>
          <w:szCs w:val="21"/>
        </w:rPr>
      </w:pPr>
      <w:r>
        <w:rPr>
          <w:b/>
          <w:bCs/>
          <w:color w:val="auto"/>
          <w:szCs w:val="21"/>
        </w:rPr>
        <w:t xml:space="preserve">7.3.3 </w:t>
      </w:r>
      <w:r>
        <w:rPr>
          <w:color w:val="auto"/>
          <w:szCs w:val="21"/>
        </w:rPr>
        <w:t xml:space="preserve"> 本条提供了用变形模量计算沉降的</w:t>
      </w:r>
      <w:r>
        <w:rPr>
          <w:rFonts w:hint="eastAsia"/>
          <w:color w:val="auto"/>
          <w:szCs w:val="21"/>
        </w:rPr>
        <w:t>方法</w:t>
      </w:r>
      <w:r>
        <w:rPr>
          <w:color w:val="auto"/>
          <w:szCs w:val="21"/>
        </w:rPr>
        <w:t>。有些情况下，勘察单位无法进行室内压缩试验，只能进行原位测试，得到的是变形模量。如果需要压缩模量，就要通过某种经验关系换算，结果很不可靠。</w:t>
      </w:r>
    </w:p>
    <w:p w14:paraId="65177917">
      <w:pPr>
        <w:adjustRightInd w:val="0"/>
        <w:snapToGrid w:val="0"/>
        <w:spacing w:line="340" w:lineRule="atLeast"/>
        <w:rPr>
          <w:rFonts w:hint="eastAsia"/>
          <w:color w:val="auto"/>
          <w:szCs w:val="21"/>
        </w:rPr>
      </w:pPr>
      <w:r>
        <w:rPr>
          <w:b/>
          <w:bCs/>
          <w:color w:val="auto"/>
          <w:szCs w:val="21"/>
        </w:rPr>
        <w:t xml:space="preserve">7.3.7  </w:t>
      </w:r>
      <w:r>
        <w:rPr>
          <w:color w:val="auto"/>
          <w:szCs w:val="21"/>
        </w:rPr>
        <w:t>GB50007修订版补充了</w:t>
      </w:r>
      <w:r>
        <w:rPr>
          <w:rFonts w:hint="eastAsia"/>
          <w:color w:val="auto"/>
          <w:szCs w:val="21"/>
        </w:rPr>
        <w:t>上部结构、基础与地基共同作用分析的相关规定，</w:t>
      </w:r>
      <w:r>
        <w:rPr>
          <w:color w:val="auto"/>
          <w:szCs w:val="21"/>
        </w:rPr>
        <w:t>本条引用了该规定</w:t>
      </w:r>
      <w:r>
        <w:rPr>
          <w:rFonts w:hint="eastAsia"/>
          <w:color w:val="auto"/>
          <w:szCs w:val="21"/>
        </w:rPr>
        <w:t>。</w:t>
      </w:r>
    </w:p>
    <w:p w14:paraId="2AE17926">
      <w:pPr>
        <w:pStyle w:val="77"/>
        <w:rPr>
          <w:color w:val="auto"/>
        </w:rPr>
      </w:pPr>
      <w:bookmarkStart w:id="162" w:name="_Toc182498979"/>
      <w:r>
        <w:rPr>
          <w:color w:val="auto"/>
        </w:rPr>
        <w:t>7.4  稳定性计算</w:t>
      </w:r>
      <w:bookmarkEnd w:id="162"/>
    </w:p>
    <w:p w14:paraId="1A4358D7">
      <w:pPr>
        <w:adjustRightInd w:val="0"/>
        <w:snapToGrid w:val="0"/>
        <w:spacing w:line="340" w:lineRule="atLeast"/>
        <w:rPr>
          <w:rFonts w:hint="eastAsia"/>
          <w:color w:val="auto"/>
          <w:szCs w:val="21"/>
        </w:rPr>
      </w:pPr>
      <w:r>
        <w:rPr>
          <w:b/>
          <w:bCs/>
          <w:color w:val="auto"/>
          <w:szCs w:val="21"/>
        </w:rPr>
        <w:t>7.4.1</w:t>
      </w:r>
      <w:r>
        <w:rPr>
          <w:rFonts w:hint="eastAsia"/>
          <w:b/>
          <w:bCs/>
          <w:color w:val="auto"/>
          <w:szCs w:val="21"/>
        </w:rPr>
        <w:t>～</w:t>
      </w:r>
      <w:r>
        <w:rPr>
          <w:b/>
          <w:bCs/>
          <w:color w:val="auto"/>
          <w:szCs w:val="21"/>
        </w:rPr>
        <w:t>7.4.</w:t>
      </w:r>
      <w:r>
        <w:rPr>
          <w:rFonts w:hint="eastAsia"/>
          <w:b/>
          <w:bCs/>
          <w:color w:val="auto"/>
          <w:szCs w:val="21"/>
        </w:rPr>
        <w:t>3</w:t>
      </w:r>
      <w:r>
        <w:rPr>
          <w:color w:val="auto"/>
          <w:szCs w:val="21"/>
        </w:rPr>
        <w:t xml:space="preserve">  按圆弧滑动法计算，GB50007</w:t>
      </w:r>
      <w:r>
        <w:rPr>
          <w:rFonts w:hint="eastAsia"/>
          <w:color w:val="auto"/>
          <w:szCs w:val="21"/>
        </w:rPr>
        <w:t>-</w:t>
      </w:r>
      <w:r>
        <w:rPr>
          <w:color w:val="auto"/>
          <w:szCs w:val="21"/>
        </w:rPr>
        <w:t>2011第5.4.1条的公式规定安全系数为1.2，JGJ79-2012规定，安全系数不小于1.30，但未与地基基础设计等级或边坡安全等级挂钩。考虑我省丘陵、山区特点，位于斜坡地带的建筑很多，地基稳定性问题很突出，</w:t>
      </w:r>
      <w:r>
        <w:rPr>
          <w:rFonts w:hint="eastAsia"/>
          <w:color w:val="auto"/>
          <w:szCs w:val="21"/>
        </w:rPr>
        <w:t>应根据工程的重要性及岩土工程条件确定稳定安全系数，对岩土工程条件复杂的重要建筑物，应适当提高稳定安全系数</w:t>
      </w:r>
      <w:r>
        <w:rPr>
          <w:color w:val="auto"/>
          <w:szCs w:val="21"/>
        </w:rPr>
        <w:t>。</w:t>
      </w:r>
      <w:r>
        <w:rPr>
          <w:rFonts w:hint="eastAsia"/>
          <w:color w:val="auto"/>
          <w:szCs w:val="21"/>
        </w:rPr>
        <w:t xml:space="preserve">  </w:t>
      </w:r>
    </w:p>
    <w:p w14:paraId="7C9C7537">
      <w:pPr>
        <w:adjustRightInd w:val="0"/>
        <w:snapToGrid w:val="0"/>
        <w:spacing w:line="340" w:lineRule="atLeast"/>
        <w:ind w:firstLine="420" w:firstLineChars="200"/>
        <w:rPr>
          <w:color w:val="auto"/>
          <w:szCs w:val="21"/>
        </w:rPr>
      </w:pPr>
      <w:r>
        <w:rPr>
          <w:rFonts w:hint="eastAsia"/>
          <w:color w:val="auto"/>
          <w:szCs w:val="21"/>
        </w:rPr>
        <w:t>建筑物位于坡地或边坡坡顶附近时，其稳定安全系数应符合GB</w:t>
      </w:r>
      <w:r>
        <w:rPr>
          <w:rFonts w:hint="eastAsia"/>
          <w:color w:val="auto"/>
          <w:szCs w:val="21"/>
          <w:lang w:val="en-US" w:eastAsia="zh-CN"/>
        </w:rPr>
        <w:t xml:space="preserve"> </w:t>
      </w:r>
      <w:r>
        <w:rPr>
          <w:rFonts w:hint="eastAsia"/>
          <w:color w:val="auto"/>
          <w:szCs w:val="21"/>
        </w:rPr>
        <w:t>50330的规定。</w:t>
      </w:r>
    </w:p>
    <w:p w14:paraId="20749A45">
      <w:pPr>
        <w:pStyle w:val="34"/>
        <w:numPr>
          <w:ilvl w:val="0"/>
          <w:numId w:val="3"/>
        </w:numPr>
        <w:rPr>
          <w:b/>
          <w:bCs w:val="0"/>
          <w:color w:val="auto"/>
          <w:sz w:val="24"/>
        </w:rPr>
      </w:pPr>
      <w:bookmarkStart w:id="163" w:name="_Toc182498980"/>
      <w:r>
        <w:rPr>
          <w:b/>
          <w:bCs w:val="0"/>
          <w:color w:val="auto"/>
        </w:rPr>
        <w:t>软弱地基</w:t>
      </w:r>
      <w:bookmarkEnd w:id="163"/>
    </w:p>
    <w:p w14:paraId="55C3AC94">
      <w:pPr>
        <w:pStyle w:val="77"/>
        <w:rPr>
          <w:color w:val="auto"/>
        </w:rPr>
      </w:pPr>
      <w:bookmarkStart w:id="164" w:name="_Toc182498981"/>
      <w:r>
        <w:rPr>
          <w:color w:val="auto"/>
        </w:rPr>
        <w:t>8.1  一般规定</w:t>
      </w:r>
      <w:bookmarkEnd w:id="164"/>
    </w:p>
    <w:p w14:paraId="0A22455B">
      <w:pPr>
        <w:adjustRightInd w:val="0"/>
        <w:snapToGrid w:val="0"/>
        <w:spacing w:line="340" w:lineRule="atLeast"/>
        <w:rPr>
          <w:color w:val="auto"/>
          <w:szCs w:val="21"/>
        </w:rPr>
      </w:pPr>
      <w:r>
        <w:rPr>
          <w:b/>
          <w:bCs/>
          <w:color w:val="auto"/>
          <w:szCs w:val="21"/>
        </w:rPr>
        <w:t>8.1.1</w:t>
      </w:r>
      <w:r>
        <w:rPr>
          <w:color w:val="auto"/>
          <w:szCs w:val="21"/>
        </w:rPr>
        <w:t xml:space="preserve">  构成软弱地基土的类别主要为淤泥、淤泥质土和人工填土。淤泥与淤泥质土的主要特征是“三高一低”，即天然含水量高，孔隙比高，压缩性高，强度低。高灵敏度是淤泥与淤泥质土的重要特性，这类土结构受扰动后，强度降低。人工填土的主要特征是组成物质成分杂乱，均匀性差，新近人工填土由于堆积历史较短，存在自重固结特性、稳定性以及湿陷性等问题，这些特性应引起设计和施工的足够重视。</w:t>
      </w:r>
    </w:p>
    <w:p w14:paraId="7BA2F748">
      <w:pPr>
        <w:adjustRightInd w:val="0"/>
        <w:snapToGrid w:val="0"/>
        <w:spacing w:line="340" w:lineRule="atLeast"/>
        <w:rPr>
          <w:color w:val="auto"/>
          <w:szCs w:val="21"/>
        </w:rPr>
      </w:pPr>
      <w:r>
        <w:rPr>
          <w:b/>
          <w:bCs/>
          <w:color w:val="auto"/>
          <w:szCs w:val="21"/>
        </w:rPr>
        <w:t xml:space="preserve">8.1.2 </w:t>
      </w:r>
      <w:r>
        <w:rPr>
          <w:color w:val="auto"/>
          <w:szCs w:val="21"/>
        </w:rPr>
        <w:t xml:space="preserve"> 软弱地基的主要问题是地基变形问题，由于各类建筑物的平面形状不一，荷载差异以及刚度强弱不同等因素，对地基变形的适应能力不尽相同。因此，软弱地基上建筑物的设计，应考虑上部结构和地基的共同作用，当前是一个重要的研究课题。目前解决的途径，主要是：</w:t>
      </w:r>
    </w:p>
    <w:p w14:paraId="74C0AC15">
      <w:pPr>
        <w:adjustRightInd w:val="0"/>
        <w:snapToGrid w:val="0"/>
        <w:spacing w:line="340" w:lineRule="atLeast"/>
        <w:ind w:firstLine="422" w:firstLineChars="200"/>
        <w:rPr>
          <w:color w:val="auto"/>
          <w:szCs w:val="21"/>
        </w:rPr>
      </w:pPr>
      <w:r>
        <w:rPr>
          <w:b/>
          <w:bCs/>
          <w:color w:val="auto"/>
          <w:szCs w:val="21"/>
        </w:rPr>
        <w:t xml:space="preserve">a) </w:t>
      </w:r>
      <w:r>
        <w:rPr>
          <w:color w:val="auto"/>
          <w:szCs w:val="21"/>
        </w:rPr>
        <w:t xml:space="preserve"> 确定合理的基础设计方案和结构措施，以减小地基变形；</w:t>
      </w:r>
    </w:p>
    <w:p w14:paraId="2332922A">
      <w:pPr>
        <w:adjustRightInd w:val="0"/>
        <w:snapToGrid w:val="0"/>
        <w:spacing w:line="340" w:lineRule="atLeast"/>
        <w:ind w:firstLine="422" w:firstLineChars="200"/>
        <w:rPr>
          <w:color w:val="auto"/>
          <w:szCs w:val="21"/>
        </w:rPr>
      </w:pPr>
      <w:r>
        <w:rPr>
          <w:b/>
          <w:bCs/>
          <w:color w:val="auto"/>
          <w:szCs w:val="21"/>
        </w:rPr>
        <w:t xml:space="preserve">b) </w:t>
      </w:r>
      <w:r>
        <w:rPr>
          <w:color w:val="auto"/>
          <w:szCs w:val="21"/>
        </w:rPr>
        <w:t xml:space="preserve"> 适当地加强上部结构整体刚度以及采取有效的建筑措施，以适应地基变形；</w:t>
      </w:r>
    </w:p>
    <w:p w14:paraId="6AED3100">
      <w:pPr>
        <w:adjustRightInd w:val="0"/>
        <w:snapToGrid w:val="0"/>
        <w:spacing w:line="340" w:lineRule="atLeast"/>
        <w:ind w:firstLine="422" w:firstLineChars="200"/>
        <w:rPr>
          <w:color w:val="auto"/>
          <w:szCs w:val="21"/>
        </w:rPr>
      </w:pPr>
      <w:r>
        <w:rPr>
          <w:b/>
          <w:bCs/>
          <w:color w:val="auto"/>
          <w:szCs w:val="21"/>
        </w:rPr>
        <w:t xml:space="preserve">c) </w:t>
      </w:r>
      <w:r>
        <w:rPr>
          <w:color w:val="auto"/>
          <w:szCs w:val="21"/>
        </w:rPr>
        <w:t xml:space="preserve"> 采用适应软弱地基特性的施工工艺与使用维护措施，以避免产生“额外的”基础沉降量。</w:t>
      </w:r>
    </w:p>
    <w:p w14:paraId="773B7B63">
      <w:pPr>
        <w:adjustRightInd w:val="0"/>
        <w:snapToGrid w:val="0"/>
        <w:spacing w:line="340" w:lineRule="atLeast"/>
        <w:rPr>
          <w:color w:val="auto"/>
          <w:szCs w:val="21"/>
        </w:rPr>
      </w:pPr>
      <w:r>
        <w:rPr>
          <w:b/>
          <w:bCs/>
          <w:color w:val="auto"/>
          <w:szCs w:val="21"/>
        </w:rPr>
        <w:t>8.1.3</w:t>
      </w:r>
      <w:r>
        <w:rPr>
          <w:color w:val="auto"/>
          <w:szCs w:val="21"/>
        </w:rPr>
        <w:t xml:space="preserve">  多层建筑软弱地基基础设计，采用天然地基基础方案的前提是应能满足软弱地基的承载力和变形要求。天然地基基础方案，一般较经济，施工时间短，受到普遍欢迎。但软弱地基的沉降量较大，过大的不均匀沉降易引起建筑物开裂与倾斜，沉降稳定时间较长等问题，须引起设计注意。应根据勘察资料，综合考虑结构类型、材料情况、施工与使用条件等因素，精心设计。当不满足地基承载力或变形要求时，应采用地基处理或桩基等其他方案，不应勉强采用天然地基。</w:t>
      </w:r>
    </w:p>
    <w:p w14:paraId="674B15A0">
      <w:pPr>
        <w:adjustRightInd w:val="0"/>
        <w:snapToGrid w:val="0"/>
        <w:spacing w:line="340" w:lineRule="atLeast"/>
        <w:rPr>
          <w:color w:val="auto"/>
          <w:szCs w:val="21"/>
        </w:rPr>
      </w:pPr>
      <w:r>
        <w:rPr>
          <w:b/>
          <w:bCs/>
          <w:color w:val="auto"/>
          <w:szCs w:val="21"/>
        </w:rPr>
        <w:t xml:space="preserve">8.1.4 </w:t>
      </w:r>
      <w:r>
        <w:rPr>
          <w:color w:val="auto"/>
          <w:szCs w:val="21"/>
        </w:rPr>
        <w:t xml:space="preserve"> 目前我省大量采用轻钢厂房，当有轨道行车运行时常发生地基不均匀沉降影响使用的事例，因此强调了进行变形计算并采取相应措施的要求。</w:t>
      </w:r>
    </w:p>
    <w:p w14:paraId="58CB1B29">
      <w:pPr>
        <w:pStyle w:val="77"/>
        <w:rPr>
          <w:color w:val="auto"/>
        </w:rPr>
      </w:pPr>
      <w:bookmarkStart w:id="165" w:name="_Toc182498982"/>
      <w:r>
        <w:rPr>
          <w:color w:val="auto"/>
        </w:rPr>
        <w:t>8.2  软弱地基计算</w:t>
      </w:r>
      <w:bookmarkEnd w:id="165"/>
    </w:p>
    <w:p w14:paraId="344B0858">
      <w:pPr>
        <w:adjustRightInd w:val="0"/>
        <w:snapToGrid w:val="0"/>
        <w:spacing w:line="340" w:lineRule="atLeast"/>
        <w:rPr>
          <w:color w:val="auto"/>
          <w:szCs w:val="21"/>
        </w:rPr>
      </w:pPr>
      <w:r>
        <w:rPr>
          <w:b/>
          <w:bCs/>
          <w:color w:val="auto"/>
          <w:szCs w:val="21"/>
        </w:rPr>
        <w:t>8.2.1</w:t>
      </w:r>
      <w:r>
        <w:rPr>
          <w:color w:val="auto"/>
          <w:szCs w:val="21"/>
        </w:rPr>
        <w:t xml:space="preserve">  </w:t>
      </w:r>
      <w:r>
        <w:rPr>
          <w:rFonts w:hint="eastAsia"/>
          <w:color w:val="auto"/>
          <w:szCs w:val="21"/>
        </w:rPr>
        <w:t>软弱地基上建筑产生不均匀沉降造成整体倾斜，除地基不均匀外，主要是上部结构荷载不均匀造成的。</w:t>
      </w:r>
      <w:r>
        <w:rPr>
          <w:color w:val="auto"/>
          <w:szCs w:val="21"/>
        </w:rPr>
        <w:t>对单幢建筑物，在均匀地基的条件下，基础的整体倾斜主要取决于荷载效应准永久组合下产生的偏心距大小。当基础底面为矩形，其长与宽为</w:t>
      </w:r>
      <w:r>
        <w:rPr>
          <w:i/>
          <w:iCs/>
          <w:color w:val="auto"/>
          <w:szCs w:val="21"/>
        </w:rPr>
        <w:t>L</w:t>
      </w:r>
      <w:r>
        <w:rPr>
          <w:color w:val="auto"/>
          <w:szCs w:val="21"/>
        </w:rPr>
        <w:t>，</w:t>
      </w:r>
      <w:r>
        <w:rPr>
          <w:i/>
          <w:iCs/>
          <w:color w:val="auto"/>
          <w:szCs w:val="21"/>
        </w:rPr>
        <w:t>b</w:t>
      </w:r>
      <w:r>
        <w:rPr>
          <w:color w:val="auto"/>
          <w:szCs w:val="21"/>
        </w:rPr>
        <w:t>时，则：</w:t>
      </w:r>
    </w:p>
    <w:p w14:paraId="6A2F0007">
      <w:pPr>
        <w:adjustRightInd w:val="0"/>
        <w:jc w:val="center"/>
        <w:rPr>
          <w:color w:val="auto"/>
          <w:szCs w:val="21"/>
        </w:rPr>
      </w:pPr>
      <w:r>
        <w:rPr>
          <w:color w:val="auto"/>
          <w:position w:val="-24"/>
          <w:szCs w:val="21"/>
        </w:rPr>
        <w:object>
          <v:shape id="_x0000_i1818" o:spt="75" type="#_x0000_t75" style="height:31pt;width:85.95pt;" o:ole="t" filled="f" o:preferrelative="t" stroked="f" coordsize="21600,21600">
            <v:path/>
            <v:fill on="f" focussize="0,0"/>
            <v:stroke on="f"/>
            <v:imagedata r:id="rId1551" o:title=""/>
            <o:lock v:ext="edit" grouping="f" rotation="f" text="f" aspectratio="t"/>
            <w10:wrap type="none"/>
            <w10:anchorlock/>
          </v:shape>
          <o:OLEObject Type="Embed" ProgID="Equation.3" ShapeID="_x0000_i1818" DrawAspect="Content" ObjectID="_1468076518" r:id="rId1550">
            <o:LockedField>false</o:LockedField>
          </o:OLEObject>
        </w:object>
      </w:r>
    </w:p>
    <w:p w14:paraId="6FBEAA26">
      <w:pPr>
        <w:adjustRightInd w:val="0"/>
        <w:ind w:firstLine="420" w:firstLineChars="200"/>
        <w:rPr>
          <w:color w:val="auto"/>
          <w:szCs w:val="21"/>
        </w:rPr>
      </w:pPr>
      <w:r>
        <w:rPr>
          <w:color w:val="auto"/>
          <w:szCs w:val="21"/>
        </w:rPr>
        <w:t xml:space="preserve">即  </w:t>
      </w:r>
      <w:r>
        <w:rPr>
          <w:color w:val="auto"/>
          <w:position w:val="-24"/>
          <w:szCs w:val="21"/>
        </w:rPr>
        <w:object>
          <v:shape id="_x0000_i1819" o:spt="75" type="#_x0000_t75" style="height:31pt;width:46pt;" o:ole="t" filled="f" o:preferrelative="t" stroked="f" coordsize="21600,21600">
            <v:path/>
            <v:fill on="f" focussize="0,0"/>
            <v:stroke on="f"/>
            <v:imagedata r:id="rId1553" o:title=""/>
            <o:lock v:ext="edit" grouping="f" rotation="f" text="f" aspectratio="t"/>
            <w10:wrap type="none"/>
            <w10:anchorlock/>
          </v:shape>
          <o:OLEObject Type="Embed" ProgID="Equation.3" ShapeID="_x0000_i1819" DrawAspect="Content" ObjectID="_1468076519" r:id="rId1552">
            <o:LockedField>false</o:LockedField>
          </o:OLEObject>
        </w:object>
      </w:r>
    </w:p>
    <w:p w14:paraId="0D20A6AA">
      <w:pPr>
        <w:adjustRightInd w:val="0"/>
        <w:ind w:firstLine="420" w:firstLineChars="200"/>
        <w:rPr>
          <w:color w:val="auto"/>
          <w:szCs w:val="21"/>
        </w:rPr>
      </w:pPr>
      <w:r>
        <w:rPr>
          <w:color w:val="auto"/>
          <w:szCs w:val="21"/>
        </w:rPr>
        <w:t>基础底面边缘的最大与最小地基反力值为：</w:t>
      </w:r>
    </w:p>
    <w:p w14:paraId="2685C1EC">
      <w:pPr>
        <w:adjustRightInd w:val="0"/>
        <w:ind w:firstLine="420" w:firstLineChars="200"/>
        <w:rPr>
          <w:color w:val="auto"/>
          <w:szCs w:val="21"/>
        </w:rPr>
      </w:pPr>
      <w:r>
        <w:rPr>
          <w:color w:val="auto"/>
          <w:szCs w:val="21"/>
        </w:rPr>
        <w:t>最大地基反力值：</w:t>
      </w:r>
      <w:r>
        <w:rPr>
          <w:color w:val="auto"/>
          <w:position w:val="-28"/>
          <w:szCs w:val="21"/>
        </w:rPr>
        <w:object>
          <v:shape id="_x0000_i1820" o:spt="75" type="#_x0000_t75" style="height:33pt;width:82pt;" o:ole="t" filled="f" stroked="f" coordsize="21600,21600">
            <v:path/>
            <v:fill on="f" focussize="0,0"/>
            <v:stroke on="f"/>
            <v:imagedata r:id="rId1555" o:title=""/>
            <o:lock v:ext="edit" grouping="f" rotation="f" text="f" aspectratio="t"/>
            <w10:wrap type="none"/>
            <w10:anchorlock/>
          </v:shape>
          <o:OLEObject Type="Embed" ProgID="Equation.3" ShapeID="_x0000_i1820" DrawAspect="Content" ObjectID="_1468076520" r:id="rId1554">
            <o:LockedField>false</o:LockedField>
          </o:OLEObject>
        </w:object>
      </w:r>
      <w:r>
        <w:rPr>
          <w:color w:val="auto"/>
          <w:szCs w:val="21"/>
        </w:rPr>
        <w:t>≤</w:t>
      </w:r>
      <w:r>
        <w:rPr>
          <w:color w:val="auto"/>
          <w:position w:val="-24"/>
          <w:szCs w:val="21"/>
        </w:rPr>
        <w:object>
          <v:shape id="_x0000_i1821" o:spt="75" type="#_x0000_t75" style="height:31pt;width:62pt;" o:ole="t" filled="f" stroked="f" coordsize="21600,21600">
            <v:path/>
            <v:fill on="f" focussize="0,0"/>
            <v:stroke on="f"/>
            <v:imagedata r:id="rId1557" o:title=""/>
            <o:lock v:ext="edit" grouping="f" rotation="f" text="f" aspectratio="t"/>
            <w10:wrap type="none"/>
            <w10:anchorlock/>
          </v:shape>
          <o:OLEObject Type="Embed" ProgID="Equation.DSMT4" ShapeID="_x0000_i1821" DrawAspect="Content" ObjectID="_1468076521" r:id="rId1556">
            <o:LockedField>false</o:LockedField>
          </o:OLEObject>
        </w:object>
      </w:r>
    </w:p>
    <w:p w14:paraId="0B3F1BF2">
      <w:pPr>
        <w:adjustRightInd w:val="0"/>
        <w:ind w:firstLine="420" w:firstLineChars="200"/>
        <w:rPr>
          <w:color w:val="auto"/>
          <w:szCs w:val="21"/>
        </w:rPr>
      </w:pPr>
      <w:r>
        <w:rPr>
          <w:color w:val="auto"/>
          <w:szCs w:val="21"/>
        </w:rPr>
        <w:t>最小地基反力值：</w:t>
      </w:r>
      <w:r>
        <w:rPr>
          <w:color w:val="auto"/>
          <w:position w:val="-28"/>
          <w:szCs w:val="21"/>
        </w:rPr>
        <w:object>
          <v:shape id="_x0000_i1822" o:spt="75" type="#_x0000_t75" style="height:33pt;width:80pt;" o:ole="t" filled="f" stroked="f" coordsize="21600,21600">
            <v:path/>
            <v:fill on="f" focussize="0,0"/>
            <v:stroke on="f"/>
            <v:imagedata r:id="rId1559" o:title=""/>
            <o:lock v:ext="edit" grouping="f" rotation="f" text="f" aspectratio="t"/>
            <w10:wrap type="none"/>
            <w10:anchorlock/>
          </v:shape>
          <o:OLEObject Type="Embed" ProgID="Equation.3" ShapeID="_x0000_i1822" DrawAspect="Content" ObjectID="_1468076522" r:id="rId1558">
            <o:LockedField>false</o:LockedField>
          </o:OLEObject>
        </w:object>
      </w:r>
      <w:r>
        <w:rPr>
          <w:color w:val="auto"/>
          <w:szCs w:val="21"/>
        </w:rPr>
        <w:t>≥</w:t>
      </w:r>
      <w:r>
        <w:rPr>
          <w:color w:val="auto"/>
          <w:position w:val="-24"/>
          <w:szCs w:val="21"/>
        </w:rPr>
        <w:object>
          <v:shape id="_x0000_i1823" o:spt="75" type="#_x0000_t75" style="height:31pt;width:63pt;" o:ole="t" filled="f" stroked="f" coordsize="21600,21600">
            <v:path/>
            <v:fill on="f" focussize="0,0"/>
            <v:stroke on="f"/>
            <v:imagedata r:id="rId1561" o:title=""/>
            <o:lock v:ext="edit" grouping="f" rotation="f" text="f" aspectratio="t"/>
            <w10:wrap type="none"/>
            <w10:anchorlock/>
          </v:shape>
          <o:OLEObject Type="Embed" ProgID="Equation.DSMT4" ShapeID="_x0000_i1823" DrawAspect="Content" ObjectID="_1468076523" r:id="rId1560">
            <o:LockedField>false</o:LockedField>
          </o:OLEObject>
        </w:object>
      </w:r>
    </w:p>
    <w:p w14:paraId="4FF2674E">
      <w:pPr>
        <w:adjustRightInd w:val="0"/>
        <w:snapToGrid w:val="0"/>
        <w:spacing w:line="340" w:lineRule="atLeast"/>
        <w:ind w:firstLine="420" w:firstLineChars="200"/>
        <w:rPr>
          <w:color w:val="auto"/>
          <w:szCs w:val="21"/>
        </w:rPr>
      </w:pPr>
      <w:r>
        <w:rPr>
          <w:color w:val="auto"/>
          <w:szCs w:val="21"/>
        </w:rPr>
        <w:t>满足地基承载力的要求，不等于满足地基变形的要求，因此，对于在本文件正文表3以外的以及需验算地基变形的丙级设计等级的建筑物，尚应按照本文件的规定要求验算地基变形。</w:t>
      </w:r>
    </w:p>
    <w:p w14:paraId="6C58F82D">
      <w:pPr>
        <w:adjustRightInd w:val="0"/>
        <w:snapToGrid w:val="0"/>
        <w:spacing w:line="340" w:lineRule="atLeast"/>
        <w:rPr>
          <w:color w:val="auto"/>
          <w:szCs w:val="21"/>
        </w:rPr>
      </w:pPr>
      <w:r>
        <w:rPr>
          <w:b/>
          <w:bCs/>
          <w:color w:val="auto"/>
          <w:szCs w:val="21"/>
        </w:rPr>
        <w:t>8.2.2</w:t>
      </w:r>
      <w:r>
        <w:rPr>
          <w:color w:val="auto"/>
          <w:szCs w:val="21"/>
        </w:rPr>
        <w:t xml:space="preserve">  软弱地基土层载荷试验</w:t>
      </w:r>
      <w:r>
        <w:rPr>
          <w:i/>
          <w:color w:val="auto"/>
          <w:szCs w:val="21"/>
        </w:rPr>
        <w:t>Q</w:t>
      </w:r>
      <w:r>
        <w:rPr>
          <w:color w:val="auto"/>
          <w:szCs w:val="21"/>
        </w:rPr>
        <w:t>～</w:t>
      </w:r>
      <w:r>
        <w:rPr>
          <w:i/>
          <w:color w:val="auto"/>
          <w:szCs w:val="21"/>
        </w:rPr>
        <w:t>s</w:t>
      </w:r>
      <w:r>
        <w:rPr>
          <w:color w:val="auto"/>
          <w:szCs w:val="21"/>
        </w:rPr>
        <w:t>曲线表明，一般为缓变型曲线，基础板上压力愈大，试验曲线愈陡，地基土的变形模量亦随压力增大而降低，当压力达到一定值时，沉降就急骤增加，增加少量荷载，即可能引起地基破坏。由于软土存在这一特性，设计时必须注意以下两点：</w:t>
      </w:r>
    </w:p>
    <w:p w14:paraId="782865F4">
      <w:pPr>
        <w:adjustRightInd w:val="0"/>
        <w:snapToGrid w:val="0"/>
        <w:spacing w:line="340" w:lineRule="atLeast"/>
        <w:ind w:firstLine="422" w:firstLineChars="200"/>
        <w:rPr>
          <w:color w:val="auto"/>
          <w:szCs w:val="21"/>
        </w:rPr>
      </w:pPr>
      <w:r>
        <w:rPr>
          <w:b/>
          <w:bCs/>
          <w:color w:val="auto"/>
          <w:szCs w:val="21"/>
        </w:rPr>
        <w:t>a)</w:t>
      </w:r>
      <w:r>
        <w:rPr>
          <w:color w:val="auto"/>
          <w:szCs w:val="21"/>
        </w:rPr>
        <w:t xml:space="preserve">  选取地基承载力时，宜使基底压力值小于地基承载力特征值，否则易引起建筑物沉降量增大，故软弱地基取用地基承载力时，有“斤斤计较”之说。武汉市就有因地基承载力取用不妥，建筑物沉降长期不能稳定的实例。</w:t>
      </w:r>
    </w:p>
    <w:p w14:paraId="3B6E317B">
      <w:pPr>
        <w:adjustRightInd w:val="0"/>
        <w:snapToGrid w:val="0"/>
        <w:spacing w:line="340" w:lineRule="atLeast"/>
        <w:ind w:firstLine="422" w:firstLineChars="200"/>
        <w:rPr>
          <w:color w:val="auto"/>
          <w:szCs w:val="21"/>
        </w:rPr>
      </w:pPr>
      <w:r>
        <w:rPr>
          <w:b/>
          <w:bCs/>
          <w:color w:val="auto"/>
          <w:szCs w:val="21"/>
        </w:rPr>
        <w:t>b)</w:t>
      </w:r>
      <w:r>
        <w:rPr>
          <w:color w:val="auto"/>
          <w:szCs w:val="21"/>
        </w:rPr>
        <w:t xml:space="preserve">  对于变形敏感的建筑物，为了减小地基变形量，宜选用较小的地基承载力值，GB</w:t>
      </w:r>
      <w:r>
        <w:rPr>
          <w:rFonts w:hint="eastAsia"/>
          <w:color w:val="auto"/>
          <w:szCs w:val="21"/>
        </w:rPr>
        <w:t xml:space="preserve"> </w:t>
      </w:r>
      <w:r>
        <w:rPr>
          <w:color w:val="auto"/>
          <w:szCs w:val="21"/>
        </w:rPr>
        <w:t>50007</w:t>
      </w:r>
      <w:r>
        <w:rPr>
          <w:rFonts w:hint="eastAsia"/>
          <w:color w:val="auto"/>
          <w:szCs w:val="21"/>
        </w:rPr>
        <w:t>-</w:t>
      </w:r>
      <w:r>
        <w:rPr>
          <w:color w:val="auto"/>
          <w:szCs w:val="21"/>
        </w:rPr>
        <w:t>2011的表5.3.</w:t>
      </w:r>
      <w:r>
        <w:rPr>
          <w:rFonts w:hint="eastAsia"/>
          <w:color w:val="auto"/>
          <w:szCs w:val="21"/>
        </w:rPr>
        <w:t>5</w:t>
      </w:r>
      <w:r>
        <w:rPr>
          <w:color w:val="auto"/>
          <w:szCs w:val="21"/>
        </w:rPr>
        <w:t>中当</w:t>
      </w:r>
      <w:r>
        <w:rPr>
          <w:color w:val="auto"/>
          <w:position w:val="-12"/>
          <w:szCs w:val="21"/>
        </w:rPr>
        <w:object>
          <v:shape id="_x0000_i1824" o:spt="75" type="#_x0000_t75" style="height:18pt;width:54pt;" o:ole="t" filled="f" o:preferrelative="t" stroked="f" coordsize="21600,21600">
            <v:path/>
            <v:fill on="f" focussize="0,0"/>
            <v:stroke on="f"/>
            <v:imagedata r:id="rId1563" o:title=""/>
            <o:lock v:ext="edit" grouping="f" rotation="f" text="f" aspectratio="t"/>
            <w10:wrap type="none"/>
            <w10:anchorlock/>
          </v:shape>
          <o:OLEObject Type="Embed" ProgID="Equation.3" ShapeID="_x0000_i1824" DrawAspect="Content" ObjectID="_1468076524" r:id="rId1562">
            <o:LockedField>false</o:LockedField>
          </o:OLEObject>
        </w:object>
      </w:r>
      <w:r>
        <w:rPr>
          <w:color w:val="auto"/>
          <w:szCs w:val="21"/>
        </w:rPr>
        <w:t>时，沉降计算经验系数</w:t>
      </w:r>
      <w:r>
        <w:rPr>
          <w:color w:val="auto"/>
          <w:position w:val="-12"/>
          <w:szCs w:val="21"/>
        </w:rPr>
        <w:object>
          <v:shape id="_x0000_i1825" o:spt="75" type="#_x0000_t75" style="height:18pt;width:13pt;" o:ole="t" filled="f" o:preferrelative="t" stroked="f" coordsize="21600,21600">
            <v:path/>
            <v:fill on="f" focussize="0,0"/>
            <v:stroke on="f"/>
            <v:imagedata r:id="rId1565" o:title=""/>
            <o:lock v:ext="edit" grouping="f" rotation="f" text="f" aspectratio="t"/>
            <w10:wrap type="none"/>
            <w10:anchorlock/>
          </v:shape>
          <o:OLEObject Type="Embed" ProgID="Equation.3" ShapeID="_x0000_i1825" DrawAspect="Content" ObjectID="_1468076525" r:id="rId1564">
            <o:LockedField>false</o:LockedField>
          </o:OLEObject>
        </w:object>
      </w:r>
      <w:r>
        <w:rPr>
          <w:color w:val="auto"/>
          <w:szCs w:val="21"/>
        </w:rPr>
        <w:t>值在软弱地基区段中就约降低30%，因而使地基沉降量约可降低30%，本条考虑了此项规定。</w:t>
      </w:r>
    </w:p>
    <w:p w14:paraId="6229106E">
      <w:pPr>
        <w:adjustRightInd w:val="0"/>
        <w:snapToGrid w:val="0"/>
        <w:spacing w:line="340" w:lineRule="atLeast"/>
        <w:ind w:firstLine="420" w:firstLineChars="200"/>
        <w:rPr>
          <w:color w:val="auto"/>
          <w:szCs w:val="21"/>
        </w:rPr>
      </w:pPr>
      <w:r>
        <w:rPr>
          <w:color w:val="auto"/>
          <w:szCs w:val="21"/>
        </w:rPr>
        <w:t>关于选用较小地基承载力值，可以减小地基沉降量，JBJ</w:t>
      </w:r>
      <w:r>
        <w:rPr>
          <w:rFonts w:hint="eastAsia"/>
          <w:color w:val="auto"/>
          <w:szCs w:val="21"/>
          <w:lang w:val="en-US" w:eastAsia="zh-CN"/>
        </w:rPr>
        <w:t xml:space="preserve"> </w:t>
      </w:r>
      <w:r>
        <w:rPr>
          <w:color w:val="auto"/>
          <w:szCs w:val="21"/>
        </w:rPr>
        <w:t>1-88也作了类似的规定。</w:t>
      </w:r>
    </w:p>
    <w:p w14:paraId="2DE281C5">
      <w:pPr>
        <w:adjustRightInd w:val="0"/>
        <w:snapToGrid w:val="0"/>
        <w:spacing w:line="340" w:lineRule="atLeast"/>
        <w:rPr>
          <w:color w:val="auto"/>
          <w:szCs w:val="21"/>
        </w:rPr>
      </w:pPr>
      <w:r>
        <w:rPr>
          <w:b/>
          <w:bCs/>
          <w:color w:val="auto"/>
          <w:szCs w:val="21"/>
        </w:rPr>
        <w:t>8.2.3</w:t>
      </w:r>
      <w:r>
        <w:rPr>
          <w:color w:val="auto"/>
          <w:szCs w:val="21"/>
        </w:rPr>
        <w:t xml:space="preserve">  在软弱地基场地上的大面积填土，宜先填土后施工基础，此时，基础的埋置深度可自填土地面标高算起，但地基的沉降变形计算，仍应考虑大面积填土荷载引起软弱土层的变形沉降量，大面积填土引起的软弱土层的变形量在建筑物的施工期间(预计一年左右时间)只完成其最终沉降量的5%～20%。</w:t>
      </w:r>
    </w:p>
    <w:p w14:paraId="442002D0">
      <w:pPr>
        <w:pStyle w:val="77"/>
        <w:rPr>
          <w:color w:val="auto"/>
        </w:rPr>
      </w:pPr>
      <w:bookmarkStart w:id="166" w:name="_Toc182498983"/>
      <w:r>
        <w:rPr>
          <w:color w:val="auto"/>
        </w:rPr>
        <w:t>8.3  建筑措施</w:t>
      </w:r>
      <w:bookmarkEnd w:id="166"/>
    </w:p>
    <w:p w14:paraId="72811B73">
      <w:pPr>
        <w:adjustRightInd w:val="0"/>
        <w:rPr>
          <w:color w:val="auto"/>
          <w:szCs w:val="21"/>
        </w:rPr>
      </w:pPr>
      <w:r>
        <w:rPr>
          <w:b/>
          <w:bCs/>
          <w:color w:val="auto"/>
          <w:szCs w:val="21"/>
        </w:rPr>
        <w:t xml:space="preserve">8.3.1 </w:t>
      </w:r>
      <w:r>
        <w:rPr>
          <w:color w:val="auto"/>
          <w:szCs w:val="21"/>
        </w:rPr>
        <w:t xml:space="preserve"> 对于相邻结构单元之间的连接构造形式，GB</w:t>
      </w:r>
      <w:r>
        <w:rPr>
          <w:rFonts w:hint="eastAsia"/>
          <w:color w:val="auto"/>
          <w:szCs w:val="21"/>
          <w:lang w:val="en-US" w:eastAsia="zh-CN"/>
        </w:rPr>
        <w:t xml:space="preserve"> </w:t>
      </w:r>
      <w:r>
        <w:rPr>
          <w:color w:val="auto"/>
          <w:szCs w:val="21"/>
        </w:rPr>
        <w:t>50007与本文件规定为：“应采用能自由沉降的连接构造”。对于简支连接体，在50年～60年代，武汉市曾采用过。在建筑物建成后，对于地基沉降量较小，尤其是地基不均匀沉降量较小时，一般都无问题。但在后期不均匀沉降量较大的建筑物，简支连接体均产生裂缝且很难稳定，这是符合软弱地基后期沉降量大(约占70%～90%)，稳定时间长(5年至10年，如设计采用的地基承载力过大，甚至长期不易稳定)的规律的。另外，在抗震设防地区，也不应采用简支连接体。</w:t>
      </w:r>
    </w:p>
    <w:p w14:paraId="61FE13E6">
      <w:pPr>
        <w:adjustRightInd w:val="0"/>
        <w:rPr>
          <w:color w:val="auto"/>
          <w:szCs w:val="21"/>
        </w:rPr>
      </w:pPr>
      <w:r>
        <w:rPr>
          <w:b/>
          <w:bCs/>
          <w:color w:val="auto"/>
          <w:szCs w:val="21"/>
        </w:rPr>
        <w:t>8.3.2</w:t>
      </w:r>
      <w:r>
        <w:rPr>
          <w:color w:val="auto"/>
          <w:szCs w:val="21"/>
        </w:rPr>
        <w:t xml:space="preserve">  过去一直按房屋层数确定房屋沉降缝的宽度，由于没有房屋高度因素，有时不能满足整体倾斜的要求。本条按沉降缝两边各倾斜3‰，并留有20mm空隙而定的。设房屋每层高度为3m，基础埋深与屋面突出高度(如女儿墙等)之和为2m，本条与GB</w:t>
      </w:r>
      <w:r>
        <w:rPr>
          <w:rFonts w:hint="eastAsia"/>
          <w:color w:val="auto"/>
          <w:szCs w:val="21"/>
        </w:rPr>
        <w:t xml:space="preserve"> </w:t>
      </w:r>
      <w:r>
        <w:rPr>
          <w:color w:val="auto"/>
          <w:szCs w:val="21"/>
        </w:rPr>
        <w:t>50007的房屋沉降缝宽度</w:t>
      </w:r>
      <w:r>
        <w:rPr>
          <w:i/>
          <w:color w:val="auto"/>
          <w:szCs w:val="21"/>
        </w:rPr>
        <w:t>W</w:t>
      </w:r>
      <w:r>
        <w:rPr>
          <w:iCs/>
          <w:color w:val="auto"/>
          <w:szCs w:val="21"/>
          <w:vertAlign w:val="subscript"/>
        </w:rPr>
        <w:t>f</w:t>
      </w:r>
      <w:r>
        <w:rPr>
          <w:color w:val="auto"/>
          <w:szCs w:val="21"/>
        </w:rPr>
        <w:t>值见下表：</w:t>
      </w:r>
    </w:p>
    <w:p w14:paraId="0396C3D8">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6</w:t>
      </w:r>
      <w:r>
        <w:rPr>
          <w:color w:val="auto"/>
        </w:rPr>
        <w:fldChar w:fldCharType="end"/>
      </w:r>
      <w:r>
        <w:rPr>
          <w:b/>
          <w:color w:val="auto"/>
          <w:szCs w:val="21"/>
        </w:rPr>
        <w:t xml:space="preserve">  沉降缝宽度与房屋高度的关系</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22"/>
        <w:gridCol w:w="2328"/>
        <w:gridCol w:w="2291"/>
        <w:gridCol w:w="2206"/>
      </w:tblGrid>
      <w:tr w14:paraId="7EEF0F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322" w:type="dxa"/>
            <w:vMerge w:val="restart"/>
            <w:noWrap w:val="0"/>
            <w:vAlign w:val="center"/>
          </w:tcPr>
          <w:p w14:paraId="78D8E64B">
            <w:pPr>
              <w:adjustRightInd w:val="0"/>
              <w:jc w:val="center"/>
              <w:rPr>
                <w:color w:val="auto"/>
                <w:sz w:val="18"/>
                <w:szCs w:val="18"/>
              </w:rPr>
            </w:pPr>
            <w:r>
              <w:rPr>
                <w:color w:val="auto"/>
                <w:sz w:val="18"/>
                <w:szCs w:val="18"/>
              </w:rPr>
              <w:t>房屋层数</w:t>
            </w:r>
          </w:p>
        </w:tc>
        <w:tc>
          <w:tcPr>
            <w:tcW w:w="2328" w:type="dxa"/>
            <w:vMerge w:val="restart"/>
            <w:noWrap w:val="0"/>
            <w:vAlign w:val="center"/>
          </w:tcPr>
          <w:p w14:paraId="7CDB9085">
            <w:pPr>
              <w:adjustRightInd w:val="0"/>
              <w:jc w:val="center"/>
              <w:rPr>
                <w:color w:val="auto"/>
                <w:sz w:val="18"/>
                <w:szCs w:val="18"/>
              </w:rPr>
            </w:pPr>
            <w:r>
              <w:rPr>
                <w:color w:val="auto"/>
                <w:sz w:val="18"/>
                <w:szCs w:val="18"/>
              </w:rPr>
              <w:t>H</w:t>
            </w:r>
            <w:r>
              <w:rPr>
                <w:iCs/>
                <w:color w:val="auto"/>
                <w:sz w:val="18"/>
                <w:szCs w:val="18"/>
                <w:vertAlign w:val="subscript"/>
              </w:rPr>
              <w:t>f</w:t>
            </w:r>
            <w:r>
              <w:rPr>
                <w:color w:val="auto"/>
                <w:sz w:val="18"/>
                <w:szCs w:val="18"/>
              </w:rPr>
              <w:t>(m)</w:t>
            </w:r>
          </w:p>
        </w:tc>
        <w:tc>
          <w:tcPr>
            <w:tcW w:w="4497" w:type="dxa"/>
            <w:gridSpan w:val="2"/>
            <w:noWrap w:val="0"/>
            <w:vAlign w:val="center"/>
          </w:tcPr>
          <w:p w14:paraId="5F3FBA5D">
            <w:pPr>
              <w:adjustRightInd w:val="0"/>
              <w:jc w:val="center"/>
              <w:rPr>
                <w:color w:val="auto"/>
                <w:sz w:val="18"/>
                <w:szCs w:val="18"/>
              </w:rPr>
            </w:pPr>
            <w:r>
              <w:rPr>
                <w:color w:val="auto"/>
                <w:sz w:val="18"/>
                <w:szCs w:val="18"/>
              </w:rPr>
              <w:t>W</w:t>
            </w:r>
            <w:r>
              <w:rPr>
                <w:iCs/>
                <w:color w:val="auto"/>
                <w:sz w:val="18"/>
                <w:szCs w:val="18"/>
                <w:vertAlign w:val="subscript"/>
              </w:rPr>
              <w:t>f</w:t>
            </w:r>
            <w:r>
              <w:rPr>
                <w:color w:val="auto"/>
                <w:sz w:val="18"/>
                <w:szCs w:val="18"/>
              </w:rPr>
              <w:t>(mm)</w:t>
            </w:r>
          </w:p>
        </w:tc>
      </w:tr>
      <w:tr w14:paraId="583308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322" w:type="dxa"/>
            <w:vMerge w:val="continue"/>
            <w:noWrap w:val="0"/>
            <w:vAlign w:val="center"/>
          </w:tcPr>
          <w:p w14:paraId="62507DD9">
            <w:pPr>
              <w:adjustRightInd w:val="0"/>
              <w:jc w:val="center"/>
              <w:rPr>
                <w:color w:val="auto"/>
                <w:sz w:val="18"/>
                <w:szCs w:val="18"/>
              </w:rPr>
            </w:pPr>
          </w:p>
        </w:tc>
        <w:tc>
          <w:tcPr>
            <w:tcW w:w="2328" w:type="dxa"/>
            <w:vMerge w:val="continue"/>
            <w:noWrap w:val="0"/>
            <w:vAlign w:val="center"/>
          </w:tcPr>
          <w:p w14:paraId="7F04B0F5">
            <w:pPr>
              <w:adjustRightInd w:val="0"/>
              <w:jc w:val="center"/>
              <w:rPr>
                <w:color w:val="auto"/>
                <w:sz w:val="18"/>
                <w:szCs w:val="18"/>
              </w:rPr>
            </w:pPr>
          </w:p>
        </w:tc>
        <w:tc>
          <w:tcPr>
            <w:tcW w:w="2291" w:type="dxa"/>
            <w:noWrap w:val="0"/>
            <w:vAlign w:val="center"/>
          </w:tcPr>
          <w:p w14:paraId="5E00A9A5">
            <w:pPr>
              <w:adjustRightInd w:val="0"/>
              <w:jc w:val="center"/>
              <w:rPr>
                <w:color w:val="auto"/>
                <w:sz w:val="18"/>
                <w:szCs w:val="18"/>
              </w:rPr>
            </w:pPr>
            <w:r>
              <w:rPr>
                <w:color w:val="auto"/>
                <w:sz w:val="18"/>
                <w:szCs w:val="18"/>
              </w:rPr>
              <w:t>本文件</w:t>
            </w:r>
          </w:p>
        </w:tc>
        <w:tc>
          <w:tcPr>
            <w:tcW w:w="2206" w:type="dxa"/>
            <w:noWrap w:val="0"/>
            <w:vAlign w:val="center"/>
          </w:tcPr>
          <w:p w14:paraId="24708802">
            <w:pPr>
              <w:adjustRightInd w:val="0"/>
              <w:jc w:val="center"/>
              <w:rPr>
                <w:color w:val="auto"/>
                <w:sz w:val="18"/>
                <w:szCs w:val="18"/>
              </w:rPr>
            </w:pPr>
            <w:r>
              <w:rPr>
                <w:color w:val="auto"/>
                <w:sz w:val="18"/>
                <w:szCs w:val="18"/>
              </w:rPr>
              <w:t>GB50007</w:t>
            </w:r>
          </w:p>
        </w:tc>
      </w:tr>
      <w:tr w14:paraId="5439D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2E8F8249">
            <w:pPr>
              <w:adjustRightInd w:val="0"/>
              <w:jc w:val="center"/>
              <w:rPr>
                <w:color w:val="auto"/>
                <w:sz w:val="18"/>
                <w:szCs w:val="18"/>
              </w:rPr>
            </w:pPr>
            <w:r>
              <w:rPr>
                <w:color w:val="auto"/>
                <w:sz w:val="18"/>
                <w:szCs w:val="18"/>
              </w:rPr>
              <w:t>二</w:t>
            </w:r>
          </w:p>
        </w:tc>
        <w:tc>
          <w:tcPr>
            <w:tcW w:w="2328" w:type="dxa"/>
            <w:noWrap w:val="0"/>
            <w:vAlign w:val="center"/>
          </w:tcPr>
          <w:p w14:paraId="4257DB8D">
            <w:pPr>
              <w:adjustRightInd w:val="0"/>
              <w:jc w:val="center"/>
              <w:rPr>
                <w:color w:val="auto"/>
                <w:sz w:val="18"/>
                <w:szCs w:val="18"/>
              </w:rPr>
            </w:pPr>
            <w:r>
              <w:rPr>
                <w:color w:val="auto"/>
                <w:sz w:val="18"/>
                <w:szCs w:val="18"/>
              </w:rPr>
              <w:t>8</w:t>
            </w:r>
          </w:p>
        </w:tc>
        <w:tc>
          <w:tcPr>
            <w:tcW w:w="2291" w:type="dxa"/>
            <w:noWrap w:val="0"/>
            <w:vAlign w:val="center"/>
          </w:tcPr>
          <w:p w14:paraId="5067D321">
            <w:pPr>
              <w:adjustRightInd w:val="0"/>
              <w:jc w:val="center"/>
              <w:rPr>
                <w:color w:val="auto"/>
                <w:sz w:val="18"/>
                <w:szCs w:val="18"/>
              </w:rPr>
            </w:pPr>
            <w:r>
              <w:rPr>
                <w:color w:val="auto"/>
                <w:sz w:val="18"/>
                <w:szCs w:val="18"/>
              </w:rPr>
              <w:t>68</w:t>
            </w:r>
          </w:p>
        </w:tc>
        <w:tc>
          <w:tcPr>
            <w:tcW w:w="2206" w:type="dxa"/>
            <w:noWrap w:val="0"/>
            <w:vAlign w:val="center"/>
          </w:tcPr>
          <w:p w14:paraId="05DC9657">
            <w:pPr>
              <w:adjustRightInd w:val="0"/>
              <w:jc w:val="center"/>
              <w:rPr>
                <w:color w:val="auto"/>
                <w:sz w:val="18"/>
                <w:szCs w:val="18"/>
              </w:rPr>
            </w:pPr>
            <w:r>
              <w:rPr>
                <w:color w:val="auto"/>
                <w:sz w:val="18"/>
                <w:szCs w:val="18"/>
              </w:rPr>
              <w:t>50</w:t>
            </w:r>
          </w:p>
        </w:tc>
      </w:tr>
      <w:tr w14:paraId="77911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09438279">
            <w:pPr>
              <w:adjustRightInd w:val="0"/>
              <w:jc w:val="center"/>
              <w:rPr>
                <w:color w:val="auto"/>
                <w:sz w:val="18"/>
                <w:szCs w:val="18"/>
              </w:rPr>
            </w:pPr>
            <w:r>
              <w:rPr>
                <w:color w:val="auto"/>
                <w:sz w:val="18"/>
                <w:szCs w:val="18"/>
              </w:rPr>
              <w:t>三</w:t>
            </w:r>
          </w:p>
        </w:tc>
        <w:tc>
          <w:tcPr>
            <w:tcW w:w="2328" w:type="dxa"/>
            <w:noWrap w:val="0"/>
            <w:vAlign w:val="center"/>
          </w:tcPr>
          <w:p w14:paraId="01279016">
            <w:pPr>
              <w:adjustRightInd w:val="0"/>
              <w:jc w:val="center"/>
              <w:rPr>
                <w:color w:val="auto"/>
                <w:sz w:val="18"/>
                <w:szCs w:val="18"/>
              </w:rPr>
            </w:pPr>
            <w:r>
              <w:rPr>
                <w:color w:val="auto"/>
                <w:sz w:val="18"/>
                <w:szCs w:val="18"/>
              </w:rPr>
              <w:t>11</w:t>
            </w:r>
          </w:p>
        </w:tc>
        <w:tc>
          <w:tcPr>
            <w:tcW w:w="2291" w:type="dxa"/>
            <w:noWrap w:val="0"/>
            <w:vAlign w:val="center"/>
          </w:tcPr>
          <w:p w14:paraId="0B21D3E7">
            <w:pPr>
              <w:adjustRightInd w:val="0"/>
              <w:jc w:val="center"/>
              <w:rPr>
                <w:color w:val="auto"/>
                <w:sz w:val="18"/>
                <w:szCs w:val="18"/>
              </w:rPr>
            </w:pPr>
            <w:r>
              <w:rPr>
                <w:color w:val="auto"/>
                <w:sz w:val="18"/>
                <w:szCs w:val="18"/>
              </w:rPr>
              <w:t>86</w:t>
            </w:r>
          </w:p>
        </w:tc>
        <w:tc>
          <w:tcPr>
            <w:tcW w:w="2206" w:type="dxa"/>
            <w:noWrap w:val="0"/>
            <w:vAlign w:val="center"/>
          </w:tcPr>
          <w:p w14:paraId="10F14C69">
            <w:pPr>
              <w:adjustRightInd w:val="0"/>
              <w:jc w:val="center"/>
              <w:rPr>
                <w:color w:val="auto"/>
                <w:sz w:val="18"/>
                <w:szCs w:val="18"/>
              </w:rPr>
            </w:pPr>
            <w:r>
              <w:rPr>
                <w:color w:val="auto"/>
                <w:sz w:val="18"/>
                <w:szCs w:val="18"/>
              </w:rPr>
              <w:t>80</w:t>
            </w:r>
          </w:p>
        </w:tc>
      </w:tr>
      <w:tr w14:paraId="2603F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21E36C94">
            <w:pPr>
              <w:adjustRightInd w:val="0"/>
              <w:jc w:val="center"/>
              <w:rPr>
                <w:color w:val="auto"/>
                <w:sz w:val="18"/>
                <w:szCs w:val="18"/>
              </w:rPr>
            </w:pPr>
            <w:r>
              <w:rPr>
                <w:color w:val="auto"/>
                <w:sz w:val="18"/>
                <w:szCs w:val="18"/>
              </w:rPr>
              <w:t>四</w:t>
            </w:r>
          </w:p>
        </w:tc>
        <w:tc>
          <w:tcPr>
            <w:tcW w:w="2328" w:type="dxa"/>
            <w:noWrap w:val="0"/>
            <w:vAlign w:val="center"/>
          </w:tcPr>
          <w:p w14:paraId="6AAC63B3">
            <w:pPr>
              <w:adjustRightInd w:val="0"/>
              <w:jc w:val="center"/>
              <w:rPr>
                <w:color w:val="auto"/>
                <w:sz w:val="18"/>
                <w:szCs w:val="18"/>
              </w:rPr>
            </w:pPr>
            <w:r>
              <w:rPr>
                <w:color w:val="auto"/>
                <w:sz w:val="18"/>
                <w:szCs w:val="18"/>
              </w:rPr>
              <w:t>14</w:t>
            </w:r>
          </w:p>
        </w:tc>
        <w:tc>
          <w:tcPr>
            <w:tcW w:w="2291" w:type="dxa"/>
            <w:noWrap w:val="0"/>
            <w:vAlign w:val="center"/>
          </w:tcPr>
          <w:p w14:paraId="69A8AB36">
            <w:pPr>
              <w:adjustRightInd w:val="0"/>
              <w:jc w:val="center"/>
              <w:rPr>
                <w:color w:val="auto"/>
                <w:sz w:val="18"/>
                <w:szCs w:val="18"/>
              </w:rPr>
            </w:pPr>
            <w:r>
              <w:rPr>
                <w:color w:val="auto"/>
                <w:sz w:val="18"/>
                <w:szCs w:val="18"/>
              </w:rPr>
              <w:t>104</w:t>
            </w:r>
          </w:p>
        </w:tc>
        <w:tc>
          <w:tcPr>
            <w:tcW w:w="2206" w:type="dxa"/>
            <w:noWrap w:val="0"/>
            <w:vAlign w:val="center"/>
          </w:tcPr>
          <w:p w14:paraId="2E2DA5B1">
            <w:pPr>
              <w:adjustRightInd w:val="0"/>
              <w:jc w:val="center"/>
              <w:rPr>
                <w:color w:val="auto"/>
                <w:sz w:val="18"/>
                <w:szCs w:val="18"/>
              </w:rPr>
            </w:pPr>
            <w:r>
              <w:rPr>
                <w:color w:val="auto"/>
                <w:sz w:val="18"/>
                <w:szCs w:val="18"/>
              </w:rPr>
              <w:t>80</w:t>
            </w:r>
          </w:p>
        </w:tc>
      </w:tr>
      <w:tr w14:paraId="5635F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30E8A7A1">
            <w:pPr>
              <w:adjustRightInd w:val="0"/>
              <w:jc w:val="center"/>
              <w:rPr>
                <w:color w:val="auto"/>
                <w:sz w:val="18"/>
                <w:szCs w:val="18"/>
              </w:rPr>
            </w:pPr>
            <w:r>
              <w:rPr>
                <w:color w:val="auto"/>
                <w:sz w:val="18"/>
                <w:szCs w:val="18"/>
              </w:rPr>
              <w:t>五</w:t>
            </w:r>
          </w:p>
        </w:tc>
        <w:tc>
          <w:tcPr>
            <w:tcW w:w="2328" w:type="dxa"/>
            <w:noWrap w:val="0"/>
            <w:vAlign w:val="center"/>
          </w:tcPr>
          <w:p w14:paraId="3F1F99FD">
            <w:pPr>
              <w:adjustRightInd w:val="0"/>
              <w:jc w:val="center"/>
              <w:rPr>
                <w:color w:val="auto"/>
                <w:sz w:val="18"/>
                <w:szCs w:val="18"/>
              </w:rPr>
            </w:pPr>
            <w:r>
              <w:rPr>
                <w:color w:val="auto"/>
                <w:sz w:val="18"/>
                <w:szCs w:val="18"/>
              </w:rPr>
              <w:t>17</w:t>
            </w:r>
          </w:p>
        </w:tc>
        <w:tc>
          <w:tcPr>
            <w:tcW w:w="2291" w:type="dxa"/>
            <w:noWrap w:val="0"/>
            <w:vAlign w:val="center"/>
          </w:tcPr>
          <w:p w14:paraId="4DC274E4">
            <w:pPr>
              <w:adjustRightInd w:val="0"/>
              <w:jc w:val="center"/>
              <w:rPr>
                <w:color w:val="auto"/>
                <w:sz w:val="18"/>
                <w:szCs w:val="18"/>
              </w:rPr>
            </w:pPr>
            <w:r>
              <w:rPr>
                <w:color w:val="auto"/>
                <w:sz w:val="18"/>
                <w:szCs w:val="18"/>
              </w:rPr>
              <w:t>122</w:t>
            </w:r>
          </w:p>
        </w:tc>
        <w:tc>
          <w:tcPr>
            <w:tcW w:w="2206" w:type="dxa"/>
            <w:noWrap w:val="0"/>
            <w:vAlign w:val="center"/>
          </w:tcPr>
          <w:p w14:paraId="019BAFA4">
            <w:pPr>
              <w:adjustRightInd w:val="0"/>
              <w:jc w:val="center"/>
              <w:rPr>
                <w:color w:val="auto"/>
                <w:sz w:val="18"/>
                <w:szCs w:val="18"/>
              </w:rPr>
            </w:pPr>
            <w:r>
              <w:rPr>
                <w:color w:val="auto"/>
                <w:sz w:val="18"/>
                <w:szCs w:val="18"/>
              </w:rPr>
              <w:t>120</w:t>
            </w:r>
          </w:p>
        </w:tc>
      </w:tr>
      <w:tr w14:paraId="6DED6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0263E7DF">
            <w:pPr>
              <w:adjustRightInd w:val="0"/>
              <w:jc w:val="center"/>
              <w:rPr>
                <w:color w:val="auto"/>
                <w:sz w:val="18"/>
                <w:szCs w:val="18"/>
              </w:rPr>
            </w:pPr>
            <w:r>
              <w:rPr>
                <w:color w:val="auto"/>
                <w:sz w:val="18"/>
                <w:szCs w:val="18"/>
              </w:rPr>
              <w:t>六</w:t>
            </w:r>
          </w:p>
        </w:tc>
        <w:tc>
          <w:tcPr>
            <w:tcW w:w="2328" w:type="dxa"/>
            <w:noWrap w:val="0"/>
            <w:vAlign w:val="center"/>
          </w:tcPr>
          <w:p w14:paraId="694A8708">
            <w:pPr>
              <w:adjustRightInd w:val="0"/>
              <w:jc w:val="center"/>
              <w:rPr>
                <w:color w:val="auto"/>
                <w:sz w:val="18"/>
                <w:szCs w:val="18"/>
              </w:rPr>
            </w:pPr>
            <w:r>
              <w:rPr>
                <w:color w:val="auto"/>
                <w:sz w:val="18"/>
                <w:szCs w:val="18"/>
              </w:rPr>
              <w:t>20</w:t>
            </w:r>
          </w:p>
        </w:tc>
        <w:tc>
          <w:tcPr>
            <w:tcW w:w="2291" w:type="dxa"/>
            <w:noWrap w:val="0"/>
            <w:vAlign w:val="center"/>
          </w:tcPr>
          <w:p w14:paraId="1CED9E94">
            <w:pPr>
              <w:adjustRightInd w:val="0"/>
              <w:jc w:val="center"/>
              <w:rPr>
                <w:color w:val="auto"/>
                <w:sz w:val="18"/>
                <w:szCs w:val="18"/>
              </w:rPr>
            </w:pPr>
            <w:r>
              <w:rPr>
                <w:color w:val="auto"/>
                <w:sz w:val="18"/>
                <w:szCs w:val="18"/>
              </w:rPr>
              <w:t>140</w:t>
            </w:r>
          </w:p>
        </w:tc>
        <w:tc>
          <w:tcPr>
            <w:tcW w:w="2206" w:type="dxa"/>
            <w:noWrap w:val="0"/>
            <w:vAlign w:val="center"/>
          </w:tcPr>
          <w:p w14:paraId="501E611C">
            <w:pPr>
              <w:adjustRightInd w:val="0"/>
              <w:jc w:val="center"/>
              <w:rPr>
                <w:color w:val="auto"/>
                <w:sz w:val="18"/>
                <w:szCs w:val="18"/>
              </w:rPr>
            </w:pPr>
            <w:r>
              <w:rPr>
                <w:color w:val="auto"/>
                <w:sz w:val="18"/>
                <w:szCs w:val="18"/>
              </w:rPr>
              <w:t>＞120</w:t>
            </w:r>
          </w:p>
        </w:tc>
      </w:tr>
      <w:tr w14:paraId="51030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322" w:type="dxa"/>
            <w:noWrap w:val="0"/>
            <w:vAlign w:val="center"/>
          </w:tcPr>
          <w:p w14:paraId="36DAE9E6">
            <w:pPr>
              <w:adjustRightInd w:val="0"/>
              <w:jc w:val="center"/>
              <w:rPr>
                <w:color w:val="auto"/>
                <w:sz w:val="18"/>
                <w:szCs w:val="18"/>
              </w:rPr>
            </w:pPr>
            <w:r>
              <w:rPr>
                <w:color w:val="auto"/>
                <w:sz w:val="18"/>
                <w:szCs w:val="18"/>
              </w:rPr>
              <w:t>七</w:t>
            </w:r>
          </w:p>
        </w:tc>
        <w:tc>
          <w:tcPr>
            <w:tcW w:w="2328" w:type="dxa"/>
            <w:noWrap w:val="0"/>
            <w:vAlign w:val="center"/>
          </w:tcPr>
          <w:p w14:paraId="2121D32F">
            <w:pPr>
              <w:adjustRightInd w:val="0"/>
              <w:jc w:val="center"/>
              <w:rPr>
                <w:color w:val="auto"/>
                <w:sz w:val="18"/>
                <w:szCs w:val="18"/>
              </w:rPr>
            </w:pPr>
            <w:r>
              <w:rPr>
                <w:color w:val="auto"/>
                <w:sz w:val="18"/>
                <w:szCs w:val="18"/>
              </w:rPr>
              <w:t>23</w:t>
            </w:r>
          </w:p>
        </w:tc>
        <w:tc>
          <w:tcPr>
            <w:tcW w:w="2291" w:type="dxa"/>
            <w:noWrap w:val="0"/>
            <w:vAlign w:val="center"/>
          </w:tcPr>
          <w:p w14:paraId="48503C97">
            <w:pPr>
              <w:adjustRightInd w:val="0"/>
              <w:jc w:val="center"/>
              <w:rPr>
                <w:color w:val="auto"/>
                <w:sz w:val="18"/>
                <w:szCs w:val="18"/>
              </w:rPr>
            </w:pPr>
            <w:r>
              <w:rPr>
                <w:color w:val="auto"/>
                <w:sz w:val="18"/>
                <w:szCs w:val="18"/>
              </w:rPr>
              <w:t>158</w:t>
            </w:r>
          </w:p>
        </w:tc>
        <w:tc>
          <w:tcPr>
            <w:tcW w:w="2206" w:type="dxa"/>
            <w:noWrap w:val="0"/>
            <w:vAlign w:val="center"/>
          </w:tcPr>
          <w:p w14:paraId="6513FAB2">
            <w:pPr>
              <w:adjustRightInd w:val="0"/>
              <w:jc w:val="center"/>
              <w:rPr>
                <w:color w:val="auto"/>
                <w:sz w:val="18"/>
                <w:szCs w:val="18"/>
              </w:rPr>
            </w:pPr>
            <w:r>
              <w:rPr>
                <w:color w:val="auto"/>
                <w:sz w:val="18"/>
                <w:szCs w:val="18"/>
              </w:rPr>
              <w:t>＞120</w:t>
            </w:r>
          </w:p>
        </w:tc>
      </w:tr>
    </w:tbl>
    <w:p w14:paraId="3CC9264C">
      <w:pPr>
        <w:adjustRightInd w:val="0"/>
        <w:snapToGrid w:val="0"/>
        <w:spacing w:before="240" w:line="340" w:lineRule="atLeast"/>
        <w:rPr>
          <w:color w:val="auto"/>
          <w:szCs w:val="21"/>
        </w:rPr>
      </w:pPr>
      <w:r>
        <w:rPr>
          <w:b/>
          <w:bCs/>
          <w:color w:val="auto"/>
          <w:szCs w:val="21"/>
        </w:rPr>
        <w:t xml:space="preserve">8.3.3 </w:t>
      </w:r>
      <w:r>
        <w:rPr>
          <w:color w:val="auto"/>
          <w:szCs w:val="21"/>
        </w:rPr>
        <w:t xml:space="preserve"> 相邻建筑物基础净距，应与地基土条件、基础方案以及相邻建筑物刚度与荷载情况有关，本条分为二类情况，一是相邻建筑物均采用天然地基；二是相邻建筑物中一栋采用桩基。当影响建筑物采用桩基时，应考虑桩基施工时对被影响建筑物的影响。</w:t>
      </w:r>
    </w:p>
    <w:p w14:paraId="7FFB52DE">
      <w:pPr>
        <w:pStyle w:val="77"/>
        <w:rPr>
          <w:color w:val="auto"/>
        </w:rPr>
      </w:pPr>
      <w:bookmarkStart w:id="167" w:name="_Toc182498984"/>
      <w:r>
        <w:rPr>
          <w:color w:val="auto"/>
        </w:rPr>
        <w:t>8.4  结构措施</w:t>
      </w:r>
      <w:bookmarkEnd w:id="167"/>
    </w:p>
    <w:p w14:paraId="387B50F6">
      <w:pPr>
        <w:adjustRightInd w:val="0"/>
        <w:snapToGrid w:val="0"/>
        <w:spacing w:line="340" w:lineRule="atLeast"/>
        <w:rPr>
          <w:color w:val="auto"/>
          <w:szCs w:val="21"/>
        </w:rPr>
      </w:pPr>
      <w:r>
        <w:rPr>
          <w:b/>
          <w:bCs/>
          <w:color w:val="auto"/>
          <w:szCs w:val="21"/>
        </w:rPr>
        <w:t>8.4.1</w:t>
      </w:r>
      <w:r>
        <w:rPr>
          <w:color w:val="auto"/>
          <w:szCs w:val="21"/>
        </w:rPr>
        <w:t xml:space="preserve">  根据不同的结构型式和地质条件，应选用不同的基础方案，以达到技术合理的目的。武汉市就有个别小区建设，不根据地质变化条件，采用一种基础方案(类似基础通用图的作法)，致使小区43栋住宅，就有26栋住宅产生严重倾斜，不得不进行纠偏处理。本条提供了四种不同的基础方案，但应注意，当软弱土层较厚时，一般换填垫层也只能起到换填部分为较好土层的作用，减少的地基沉降量是有限度的。武汉市某工程，采用砂垫层处理地基，但由于垫层下有较厚软弱土层，造成沉降量过大，房屋产生倾斜。</w:t>
      </w:r>
    </w:p>
    <w:p w14:paraId="58D6B363">
      <w:pPr>
        <w:adjustRightInd w:val="0"/>
        <w:snapToGrid w:val="0"/>
        <w:spacing w:line="340" w:lineRule="atLeast"/>
        <w:rPr>
          <w:color w:val="auto"/>
          <w:szCs w:val="21"/>
        </w:rPr>
      </w:pPr>
      <w:r>
        <w:rPr>
          <w:b/>
          <w:bCs/>
          <w:color w:val="auto"/>
          <w:szCs w:val="21"/>
        </w:rPr>
        <w:t xml:space="preserve">8.4.5 </w:t>
      </w:r>
      <w:r>
        <w:rPr>
          <w:color w:val="auto"/>
          <w:szCs w:val="21"/>
        </w:rPr>
        <w:t xml:space="preserve"> 当建筑物的长高比大于2.5时，极易产生地基纵向盆形挠曲沉降变形。如汉阳月湖旁某六层住宅，地表以下为厚近20m的灰色淤泥质土，地基承载力标准值为60kPa～80kPa，采用墙下浅埋筏板基础，两端挑出筏板长2.5m，横向挑出筏板长2.2m，房屋建成后不久，即产生严重的盆形沉降变形，纵向外墙两端产生密集的八字形裂缝，在两端山墙的一、二开间横墙屋面圈梁顶处，产生明显的水平缝(预制圆孔屋面板底与圈梁顶面间有10mm～20mm宽的水平缝)。本条旨在增大山墙部位的沉降，减少房屋中部的沉降，以达到缓和地基纵向盆形挠曲变形的目的。</w:t>
      </w:r>
    </w:p>
    <w:p w14:paraId="281D6799">
      <w:pPr>
        <w:adjustRightInd w:val="0"/>
        <w:snapToGrid w:val="0"/>
        <w:spacing w:line="340" w:lineRule="atLeast"/>
        <w:rPr>
          <w:color w:val="auto"/>
          <w:szCs w:val="21"/>
        </w:rPr>
      </w:pPr>
      <w:r>
        <w:rPr>
          <w:b/>
          <w:bCs/>
          <w:color w:val="auto"/>
          <w:szCs w:val="21"/>
        </w:rPr>
        <w:t>8.4.6</w:t>
      </w:r>
      <w:r>
        <w:rPr>
          <w:color w:val="auto"/>
          <w:szCs w:val="21"/>
        </w:rPr>
        <w:t xml:space="preserve">  当软弱地基上建筑物中部设置沉降缝时，由于沉降缝处双墙构造，荷载较重，当地基产生盆形沉降变形时，沉降缝的顶部极易相碰，武汉市曾经发生多起沉降缝顶部相碰的工程实例，本条即是为了减少沉降缝处的地基变形而采取的措施。</w:t>
      </w:r>
    </w:p>
    <w:p w14:paraId="19D61A45">
      <w:pPr>
        <w:adjustRightInd w:val="0"/>
        <w:snapToGrid w:val="0"/>
        <w:spacing w:line="340" w:lineRule="atLeast"/>
        <w:rPr>
          <w:color w:val="auto"/>
          <w:szCs w:val="21"/>
        </w:rPr>
      </w:pPr>
      <w:r>
        <w:rPr>
          <w:b/>
          <w:bCs/>
          <w:color w:val="auto"/>
          <w:szCs w:val="21"/>
        </w:rPr>
        <w:t>8.4.7</w:t>
      </w:r>
      <w:r>
        <w:rPr>
          <w:color w:val="auto"/>
          <w:szCs w:val="21"/>
        </w:rPr>
        <w:t xml:space="preserve">  建于汉口软弱地基上的新华饭店(11层)，中国市政工程中南设计院办公楼(12层)，市保险公司综合楼(14层)，长航住宅楼(15层)均采用地下室和箱形基础作为补偿基础，其中部分工程就是采用在地下室中灌水预压措施，均取得建成后使用阶段沉降量小，沉降稳定快的效果，本条就是根据这个经验总结提出的。</w:t>
      </w:r>
    </w:p>
    <w:p w14:paraId="0F49D1DF">
      <w:pPr>
        <w:adjustRightInd w:val="0"/>
        <w:snapToGrid w:val="0"/>
        <w:spacing w:line="340" w:lineRule="atLeast"/>
        <w:rPr>
          <w:color w:val="auto"/>
          <w:szCs w:val="21"/>
        </w:rPr>
      </w:pPr>
      <w:r>
        <w:rPr>
          <w:b/>
          <w:bCs/>
          <w:color w:val="auto"/>
          <w:szCs w:val="21"/>
        </w:rPr>
        <w:t>8.4.8</w:t>
      </w:r>
      <w:r>
        <w:rPr>
          <w:color w:val="auto"/>
          <w:szCs w:val="21"/>
        </w:rPr>
        <w:t xml:space="preserve">  当建筑物与其邻接的附房用沉降缝分隔时，其地基基础设计须持慎重态度，其中重要的原则是要考虑建筑物与附房连接处的变形协调。武汉市就因此问题未处理好已发生多起工程事故，如武汉市的大东门饭店，主楼采用桩基，桩端持力层为老黏土，基础沉降量很小，而邻近的门罩与主楼用沉降缝分隔，门罩荷载很轻，原设计考虑连接处的关系，仍采用桩基础，但施工时改为天然地基直接建在软弱的填土上。由于沉降量大且长期不易稳定，加上门罩整体刚度较差，造成主楼与门罩连接处以及门罩本身严重开裂，影响使用与美观，而且修了又裂，直到六年后地基变形基本稳定，才做到修而不裂。</w:t>
      </w:r>
    </w:p>
    <w:p w14:paraId="12E9F0A7">
      <w:pPr>
        <w:pStyle w:val="77"/>
        <w:rPr>
          <w:color w:val="auto"/>
        </w:rPr>
      </w:pPr>
      <w:bookmarkStart w:id="168" w:name="_Toc182498985"/>
      <w:r>
        <w:rPr>
          <w:color w:val="auto"/>
        </w:rPr>
        <w:t>8.5  施工措施及使用维护</w:t>
      </w:r>
      <w:bookmarkEnd w:id="168"/>
    </w:p>
    <w:p w14:paraId="17AF5C0B">
      <w:pPr>
        <w:adjustRightInd w:val="0"/>
        <w:rPr>
          <w:color w:val="auto"/>
          <w:szCs w:val="21"/>
        </w:rPr>
      </w:pPr>
      <w:r>
        <w:rPr>
          <w:b/>
          <w:bCs/>
          <w:color w:val="auto"/>
          <w:szCs w:val="21"/>
        </w:rPr>
        <w:t>8.5.1～8.5.5</w:t>
      </w:r>
      <w:r>
        <w:rPr>
          <w:color w:val="auto"/>
          <w:szCs w:val="21"/>
        </w:rPr>
        <w:t xml:space="preserve">  本节内容系根据软弱地基的特点和有关规范的规定，并总结过去经验，归纳编写而成。其目的是保证建筑物在施工及使用期间能够满足设计要求。</w:t>
      </w:r>
    </w:p>
    <w:p w14:paraId="093D9545">
      <w:pPr>
        <w:pStyle w:val="77"/>
        <w:rPr>
          <w:color w:val="auto"/>
        </w:rPr>
      </w:pPr>
      <w:bookmarkStart w:id="169" w:name="_Toc182498986"/>
      <w:r>
        <w:rPr>
          <w:color w:val="auto"/>
        </w:rPr>
        <w:t>8.6  大面积地面荷载</w:t>
      </w:r>
      <w:bookmarkEnd w:id="169"/>
    </w:p>
    <w:p w14:paraId="04FA8A9D">
      <w:pPr>
        <w:adjustRightInd w:val="0"/>
        <w:rPr>
          <w:color w:val="auto"/>
          <w:szCs w:val="21"/>
        </w:rPr>
      </w:pPr>
      <w:r>
        <w:rPr>
          <w:b/>
          <w:bCs/>
          <w:color w:val="auto"/>
          <w:szCs w:val="21"/>
        </w:rPr>
        <w:t>8.6.1～8.6.6</w:t>
      </w:r>
      <w:r>
        <w:rPr>
          <w:color w:val="auto"/>
          <w:szCs w:val="21"/>
        </w:rPr>
        <w:t xml:space="preserve">  大面积地面荷载引起的工程事故已屡见不鲜，本节主要根据GB 50007大面积地面荷载一节结合我省情况编写而成的。</w:t>
      </w:r>
    </w:p>
    <w:p w14:paraId="13E3B773">
      <w:pPr>
        <w:pStyle w:val="34"/>
        <w:numPr>
          <w:ilvl w:val="0"/>
          <w:numId w:val="3"/>
        </w:numPr>
        <w:rPr>
          <w:b/>
          <w:bCs w:val="0"/>
          <w:color w:val="auto"/>
          <w:sz w:val="24"/>
        </w:rPr>
      </w:pPr>
      <w:bookmarkStart w:id="170" w:name="_Toc182498987"/>
      <w:r>
        <w:rPr>
          <w:b/>
          <w:bCs w:val="0"/>
          <w:color w:val="auto"/>
        </w:rPr>
        <w:t>地基处理</w:t>
      </w:r>
      <w:bookmarkEnd w:id="170"/>
    </w:p>
    <w:p w14:paraId="575422BC">
      <w:pPr>
        <w:pStyle w:val="77"/>
        <w:rPr>
          <w:color w:val="auto"/>
        </w:rPr>
      </w:pPr>
      <w:bookmarkStart w:id="171" w:name="_Toc182498988"/>
      <w:r>
        <w:rPr>
          <w:color w:val="auto"/>
        </w:rPr>
        <w:t>9.1  一般规定</w:t>
      </w:r>
      <w:bookmarkEnd w:id="171"/>
    </w:p>
    <w:p w14:paraId="4AB716E4">
      <w:pPr>
        <w:pStyle w:val="33"/>
        <w:snapToGrid w:val="0"/>
        <w:spacing w:before="0" w:beforeAutospacing="0" w:after="0" w:afterAutospacing="0" w:line="340" w:lineRule="atLeast"/>
        <w:ind w:left="0" w:firstLine="0" w:firstLineChars="0"/>
        <w:rPr>
          <w:rFonts w:ascii="Times New Roman" w:hAnsi="Times New Roman" w:cs="Times New Roman"/>
          <w:color w:val="auto"/>
        </w:rPr>
      </w:pPr>
      <w:bookmarkStart w:id="172" w:name="OLE_LINK3"/>
      <w:r>
        <w:rPr>
          <w:rFonts w:ascii="Times New Roman" w:hAnsi="Times New Roman" w:cs="Times New Roman"/>
          <w:b/>
          <w:color w:val="auto"/>
        </w:rPr>
        <w:t>9.1.1</w:t>
      </w:r>
      <w:r>
        <w:rPr>
          <w:rFonts w:ascii="Times New Roman" w:hAnsi="Times New Roman" w:cs="Times New Roman"/>
          <w:color w:val="auto"/>
        </w:rPr>
        <w:t xml:space="preserve">  </w:t>
      </w:r>
      <w:bookmarkEnd w:id="172"/>
      <w:r>
        <w:rPr>
          <w:rFonts w:ascii="Times New Roman" w:hAnsi="Times New Roman" w:cs="Times New Roman"/>
          <w:color w:val="auto"/>
          <w:sz w:val="21"/>
          <w:szCs w:val="21"/>
        </w:rPr>
        <w:t>本条规定了在确定地基处理方法时宜遵循的步骤。着重指出在选择地基处理方案时，宜根据各种因素进行综合分析，初步选出几种可供考虑的地基处理方案，其中强调包括选择两种或多种地基处理措施组成的综合处理方案。工程实践证明，当岩土工程条件较为复杂或建筑物对地基要求较高时，采用单一的地基处理方法处理地基，往往满足不了设计要求或造价较高，而由两种或多种地基处理措施组成的综合处理方法可能是最佳选择。</w:t>
      </w:r>
    </w:p>
    <w:p w14:paraId="3A8E5B30">
      <w:pPr>
        <w:snapToGrid w:val="0"/>
        <w:spacing w:line="340" w:lineRule="atLeast"/>
        <w:ind w:firstLine="420" w:firstLineChars="200"/>
        <w:rPr>
          <w:color w:val="auto"/>
          <w:szCs w:val="21"/>
        </w:rPr>
      </w:pPr>
      <w:r>
        <w:rPr>
          <w:color w:val="auto"/>
          <w:szCs w:val="21"/>
        </w:rPr>
        <w:t>地基处理是经验性很强的技术工作。相同的地基处理工艺，相同的设备，在不同成因的场地上处理效果不尽相同；在一个地区成功的地基处理方法，在另一个地区使用，也需根据场地的特点对施工工艺进行调整，才能取得满意的效果。因此地基处理方法和施工参数确定时，应进行相应的现场试验或试验性施工，进行必要的测试，以检验设计参数和处理效果。</w:t>
      </w:r>
    </w:p>
    <w:p w14:paraId="2078FD4A">
      <w:pPr>
        <w:snapToGrid w:val="0"/>
        <w:spacing w:line="340" w:lineRule="atLeast"/>
        <w:rPr>
          <w:color w:val="auto"/>
          <w:szCs w:val="21"/>
        </w:rPr>
      </w:pPr>
      <w:r>
        <w:rPr>
          <w:b/>
          <w:color w:val="auto"/>
        </w:rPr>
        <w:t>9.1.2</w:t>
      </w:r>
      <w:r>
        <w:rPr>
          <w:color w:val="auto"/>
        </w:rPr>
        <w:t xml:space="preserve">  </w:t>
      </w:r>
      <w:r>
        <w:rPr>
          <w:color w:val="auto"/>
          <w:szCs w:val="21"/>
        </w:rPr>
        <w:t>建筑地基承载力的基础宽度、基础埋深修正是建立在浅基础承载力理论上的对基础宽度和基础埋深所能提高的地基承载力设计取值的经验方法。经处理的地基由于其处理范围有限，处理后增强的地基性状与自然环境下形成的地基性状有所不同，处理后的地基，当按地基承载力确定基础底面积及埋深而需要对本文件确定的地基承载力特征值进行修正时，应分析工程具体情况，采用安全的设计方法。</w:t>
      </w:r>
    </w:p>
    <w:p w14:paraId="323988A0">
      <w:pPr>
        <w:snapToGrid w:val="0"/>
        <w:spacing w:line="340" w:lineRule="atLeast"/>
        <w:ind w:firstLine="413" w:firstLineChars="196"/>
        <w:rPr>
          <w:color w:val="auto"/>
          <w:szCs w:val="21"/>
        </w:rPr>
      </w:pPr>
      <w:r>
        <w:rPr>
          <w:b/>
          <w:color w:val="auto"/>
          <w:szCs w:val="20"/>
        </w:rPr>
        <w:t xml:space="preserve">a)  </w:t>
      </w:r>
      <w:r>
        <w:rPr>
          <w:color w:val="auto"/>
          <w:szCs w:val="21"/>
        </w:rPr>
        <w:t>压实填土地基，当其处理的面积较大（一般应视处理宽度大于基础宽度的二倍），可按现行国家标准GB 50007规定的土性要求进行修正。</w:t>
      </w:r>
    </w:p>
    <w:p w14:paraId="6A98650C">
      <w:pPr>
        <w:snapToGrid w:val="0"/>
        <w:spacing w:line="340" w:lineRule="atLeast"/>
        <w:ind w:firstLine="422" w:firstLineChars="200"/>
        <w:rPr>
          <w:color w:val="auto"/>
          <w:szCs w:val="21"/>
        </w:rPr>
      </w:pPr>
      <w:r>
        <w:rPr>
          <w:b/>
          <w:color w:val="auto"/>
          <w:szCs w:val="20"/>
        </w:rPr>
        <w:t xml:space="preserve">b)  </w:t>
      </w:r>
      <w:r>
        <w:rPr>
          <w:color w:val="auto"/>
          <w:szCs w:val="21"/>
        </w:rPr>
        <w:t>对于不满足大面积处理的压实地基、夯实地基以及其他处理地基，基础宽度的地基承载力修正系数取零，基础埋深的地基承载力修正系数取1.0。</w:t>
      </w:r>
    </w:p>
    <w:p w14:paraId="31BC4C94">
      <w:pPr>
        <w:snapToGrid w:val="0"/>
        <w:spacing w:line="340" w:lineRule="atLeast"/>
        <w:ind w:firstLine="422" w:firstLineChars="200"/>
        <w:rPr>
          <w:color w:val="auto"/>
          <w:szCs w:val="21"/>
        </w:rPr>
      </w:pPr>
      <w:r>
        <w:rPr>
          <w:b/>
          <w:color w:val="auto"/>
          <w:szCs w:val="20"/>
        </w:rPr>
        <w:t>c)</w:t>
      </w:r>
      <w:r>
        <w:rPr>
          <w:color w:val="auto"/>
          <w:szCs w:val="21"/>
        </w:rPr>
        <w:t xml:space="preserve">  复合地基由于其处理范围有限，增强体的设置改变了基底压力的传递路径，其破坏模式与天然地基不同。复合地基承载力的修正的研究成果还很少，为安全起见，基础宽度的地基承载力修正系数取零，基础埋深的地基承载力修正系数取1.0。</w:t>
      </w:r>
    </w:p>
    <w:p w14:paraId="791C9658">
      <w:pPr>
        <w:snapToGrid w:val="0"/>
        <w:spacing w:line="340" w:lineRule="atLeast"/>
        <w:ind w:left="527" w:hanging="527" w:hangingChars="250"/>
        <w:rPr>
          <w:color w:val="auto"/>
          <w:szCs w:val="21"/>
        </w:rPr>
      </w:pPr>
      <w:bookmarkStart w:id="173" w:name="OLE_LINK8"/>
      <w:bookmarkStart w:id="174" w:name="OLE_LINK9"/>
      <w:r>
        <w:rPr>
          <w:b/>
          <w:color w:val="auto"/>
          <w:szCs w:val="21"/>
        </w:rPr>
        <w:t>9.1.3</w:t>
      </w:r>
      <w:bookmarkEnd w:id="173"/>
      <w:bookmarkEnd w:id="174"/>
      <w:r>
        <w:rPr>
          <w:color w:val="auto"/>
          <w:szCs w:val="21"/>
        </w:rPr>
        <w:t>对处理后的地基应进行的设计计算内容给出规定。</w:t>
      </w:r>
    </w:p>
    <w:p w14:paraId="3EAD9C5C">
      <w:pPr>
        <w:snapToGrid w:val="0"/>
        <w:spacing w:line="340" w:lineRule="atLeast"/>
        <w:ind w:firstLine="411" w:firstLineChars="196"/>
        <w:rPr>
          <w:color w:val="auto"/>
          <w:szCs w:val="21"/>
        </w:rPr>
      </w:pPr>
      <w:r>
        <w:rPr>
          <w:color w:val="auto"/>
          <w:szCs w:val="21"/>
        </w:rPr>
        <w:t>处理地基的软弱下卧层验算，对压实、夯实、注浆加固地基及散体材料增强体复合地基等应按压力扩散角，按现行国家标准GB 50007的方法验算，对有黏结强度的增强体复合地基，当增强体周边土质软弱时，按其荷载传递特性，可按等代实体深基础法验算。处理后的地基应满足建筑物承载力、变形和稳定性要求。</w:t>
      </w:r>
    </w:p>
    <w:p w14:paraId="2258E2A2">
      <w:pPr>
        <w:snapToGrid w:val="0"/>
        <w:spacing w:line="340" w:lineRule="atLeast"/>
        <w:rPr>
          <w:color w:val="auto"/>
          <w:szCs w:val="21"/>
        </w:rPr>
      </w:pPr>
      <w:r>
        <w:rPr>
          <w:b/>
          <w:color w:val="auto"/>
          <w:szCs w:val="21"/>
        </w:rPr>
        <w:t xml:space="preserve">9.1.4  </w:t>
      </w:r>
      <w:r>
        <w:rPr>
          <w:color w:val="auto"/>
          <w:szCs w:val="21"/>
        </w:rPr>
        <w:t>采用散体材料进行地基处理的路基和堆场，其地基的稳定可采用圆弧滑动法分析，已得到工程界的共识；对于采用具有胶结强度的材料进行地基处理，其地基的稳定性分析方法还有不同的认识。同时，不同的稳定分析的方法其保证工程安全的最小稳定安全系数的取值不同。采用具有胶结强度的材料进行地基处理，其地基整体失稳是增强体断裂，并逐渐形成连续滑动面的破坏现象，已得到工程的验证。天津大学和中国建筑科学研究院都作了一些研究，规定处理后的地基上建筑物稳定分析可采用圆弧滑动法，其稳定安全系数不应小于1.30。散体加固材料的抗剪强度指标，可按加固体的密实度通过试验确定，这是常用的方法。胶结材料抵抗水平荷载和弯矩的能力较弱，其对整体稳定的作用（这里主要指具有胶结强度的竖向增强体），假定其桩体完全断裂，按滑动面材料的摩擦性能确定抗剪强度指标，对工程验算是安全的。验算结果表明，采用无配筋的竖向增强体地基处理，其提高稳定安全性的能力是有限的。工程需要时应配置钢筋，增加增强体的抗剪强度；或采用设置抗滑构件的方法满足稳定安全性要求。</w:t>
      </w:r>
    </w:p>
    <w:p w14:paraId="595E4BFF">
      <w:pPr>
        <w:snapToGrid w:val="0"/>
        <w:spacing w:line="340" w:lineRule="atLeast"/>
        <w:rPr>
          <w:color w:val="auto"/>
          <w:szCs w:val="21"/>
        </w:rPr>
      </w:pPr>
      <w:r>
        <w:rPr>
          <w:b/>
          <w:color w:val="auto"/>
          <w:szCs w:val="21"/>
        </w:rPr>
        <w:t xml:space="preserve">9.1.5 </w:t>
      </w:r>
      <w:r>
        <w:rPr>
          <w:color w:val="auto"/>
          <w:szCs w:val="21"/>
        </w:rPr>
        <w:t xml:space="preserve"> 刚度差异较大的整体大面积基础其地基反力分布不均匀，且结构对地基变形有较高要求，所以其地基处理设计，宜根据结构、基础和地基共同作用结果进行地基承载力和变形验算。</w:t>
      </w:r>
    </w:p>
    <w:p w14:paraId="5C2F4484">
      <w:pPr>
        <w:snapToGrid w:val="0"/>
        <w:spacing w:line="340" w:lineRule="atLeast"/>
        <w:ind w:left="198" w:hanging="198" w:hangingChars="94"/>
        <w:rPr>
          <w:color w:val="auto"/>
          <w:kern w:val="0"/>
          <w:szCs w:val="21"/>
          <w:lang w:val="zh-CN"/>
        </w:rPr>
      </w:pPr>
      <w:r>
        <w:rPr>
          <w:rFonts w:eastAsia="黑体"/>
          <w:b/>
          <w:bCs/>
          <w:color w:val="auto"/>
          <w:kern w:val="0"/>
        </w:rPr>
        <w:t xml:space="preserve">9.1.6  </w:t>
      </w:r>
      <w:r>
        <w:rPr>
          <w:color w:val="auto"/>
          <w:szCs w:val="21"/>
        </w:rPr>
        <w:t>本条是</w:t>
      </w:r>
      <w:r>
        <w:rPr>
          <w:color w:val="auto"/>
          <w:kern w:val="0"/>
          <w:szCs w:val="21"/>
          <w:lang w:val="zh-CN"/>
        </w:rPr>
        <w:t>地基处理工程的验收检验的基本要求。</w:t>
      </w:r>
    </w:p>
    <w:p w14:paraId="60F249AB">
      <w:pPr>
        <w:snapToGrid w:val="0"/>
        <w:spacing w:line="340" w:lineRule="atLeast"/>
        <w:ind w:firstLine="420" w:firstLineChars="200"/>
        <w:rPr>
          <w:color w:val="auto"/>
          <w:szCs w:val="21"/>
        </w:rPr>
      </w:pPr>
      <w:r>
        <w:rPr>
          <w:color w:val="auto"/>
          <w:szCs w:val="21"/>
        </w:rPr>
        <w:t>换填垫层、预压地基、压实地基、夯实地基、注浆加固地基的检测，主要通过静载荷试验、触探、标准贯入或土样试验等检验处理地基的均匀性和承载力。对于复合地基，不仅要做上述检验，还应对增强体的质量进行检验，必要时可采用钻芯取样进行增强体强度复核。</w:t>
      </w:r>
    </w:p>
    <w:p w14:paraId="068A4716">
      <w:pPr>
        <w:snapToGrid w:val="0"/>
        <w:spacing w:line="340" w:lineRule="atLeast"/>
        <w:rPr>
          <w:color w:val="auto"/>
          <w:szCs w:val="21"/>
        </w:rPr>
      </w:pPr>
      <w:r>
        <w:rPr>
          <w:b/>
          <w:color w:val="auto"/>
          <w:szCs w:val="21"/>
        </w:rPr>
        <w:t xml:space="preserve">9.1.7  </w:t>
      </w:r>
      <w:r>
        <w:rPr>
          <w:color w:val="auto"/>
          <w:szCs w:val="21"/>
        </w:rPr>
        <w:t>地基处理采用的材料，一方面要考虑地下土、水环境对其处理效果的影响，另一方面应符合环境保护要求，不应对地基土和地下水造成新的污染。地基处理采用材料的耐久性要求，应符合有关规范的规定。GB 50046对工业建筑材料的防腐蚀问题进行了规定，GB 50010对混凝土的防腐蚀和耐久性提出了要求，应遵照执行。</w:t>
      </w:r>
    </w:p>
    <w:p w14:paraId="1CE0B05E">
      <w:pPr>
        <w:pStyle w:val="77"/>
        <w:rPr>
          <w:color w:val="auto"/>
        </w:rPr>
      </w:pPr>
      <w:bookmarkStart w:id="175" w:name="_Toc182498989"/>
      <w:r>
        <w:rPr>
          <w:color w:val="auto"/>
        </w:rPr>
        <w:t>9.2  水泥土搅拌桩复合地基</w:t>
      </w:r>
      <w:bookmarkEnd w:id="175"/>
    </w:p>
    <w:p w14:paraId="33034388">
      <w:pPr>
        <w:adjustRightInd w:val="0"/>
        <w:snapToGrid w:val="0"/>
        <w:spacing w:line="340" w:lineRule="atLeast"/>
        <w:rPr>
          <w:color w:val="auto"/>
          <w:szCs w:val="21"/>
        </w:rPr>
      </w:pPr>
      <w:r>
        <w:rPr>
          <w:b/>
          <w:bCs/>
          <w:color w:val="auto"/>
          <w:szCs w:val="21"/>
        </w:rPr>
        <w:t>9.2.1</w:t>
      </w:r>
      <w:r>
        <w:rPr>
          <w:color w:val="auto"/>
          <w:szCs w:val="21"/>
        </w:rPr>
        <w:t xml:space="preserve">  由于水泥土桩复合地基承载力一般不超过180kPa，其成桩均匀性难以控制，当用于荷载较大的独立基础时会导致基础底面积过大，不均匀沉降难以控制，且经济效益不好，因此不宜用于荷载较大的独立基础建筑物。当用于欠固结软土时，可不考虑桩间土的承载作用，桩承受全部荷载，但应进行技术经济比较后确定适用性。由于受搅拌机械搅拌能力的限制，需穿过硬土或厚层砂类土时，应通过试验确定是否适用。</w:t>
      </w:r>
    </w:p>
    <w:p w14:paraId="61871CFB">
      <w:pPr>
        <w:adjustRightInd w:val="0"/>
        <w:snapToGrid w:val="0"/>
        <w:spacing w:line="340" w:lineRule="atLeast"/>
        <w:rPr>
          <w:color w:val="auto"/>
          <w:szCs w:val="21"/>
        </w:rPr>
      </w:pPr>
      <w:r>
        <w:rPr>
          <w:b/>
          <w:color w:val="auto"/>
        </w:rPr>
        <w:t xml:space="preserve">9.2.2  </w:t>
      </w:r>
      <w:r>
        <w:rPr>
          <w:color w:val="auto"/>
        </w:rPr>
        <w:t>对于泥炭土、有机质含量大于5%或pH值小于4的酸性土，水泥在上述土层有可能不凝固或发生后期崩解。因此必须进行现场和室内试验确定其适用性。</w:t>
      </w:r>
    </w:p>
    <w:p w14:paraId="091A3018">
      <w:pPr>
        <w:adjustRightInd w:val="0"/>
        <w:snapToGrid w:val="0"/>
        <w:spacing w:line="340" w:lineRule="atLeast"/>
        <w:rPr>
          <w:color w:val="auto"/>
          <w:szCs w:val="21"/>
        </w:rPr>
      </w:pPr>
      <w:r>
        <w:rPr>
          <w:b/>
          <w:bCs/>
          <w:color w:val="auto"/>
          <w:szCs w:val="21"/>
        </w:rPr>
        <w:t>9.2.3</w:t>
      </w:r>
      <w:r>
        <w:rPr>
          <w:color w:val="auto"/>
          <w:szCs w:val="21"/>
        </w:rPr>
        <w:t xml:space="preserve">  本条仅适用于竖向承载搅拌桩，不包括用于深基坑止水帷幕的水泥土桩，故水泥掺量宜大于15%，对于通常采用的直径500mm搅拌桩，每延米水泥掺量不宜小于50kg。水泥土的抗压强度随其相应的水泥掺入比的增大而增大，但因场地土质与施工条件的差异，掺入比的提高与水泥土强度增加的百分比不完全一致。</w:t>
      </w:r>
    </w:p>
    <w:p w14:paraId="3168A788">
      <w:pPr>
        <w:snapToGrid w:val="0"/>
        <w:spacing w:line="340" w:lineRule="atLeast"/>
        <w:rPr>
          <w:color w:val="auto"/>
        </w:rPr>
      </w:pPr>
      <w:r>
        <w:rPr>
          <w:b/>
          <w:bCs/>
          <w:color w:val="auto"/>
          <w:szCs w:val="21"/>
        </w:rPr>
        <w:t>9.2.6</w:t>
      </w:r>
      <w:r>
        <w:rPr>
          <w:color w:val="auto"/>
          <w:szCs w:val="21"/>
        </w:rPr>
        <w:t xml:space="preserve">  </w:t>
      </w:r>
      <w:r>
        <w:rPr>
          <w:color w:val="auto"/>
        </w:rPr>
        <w:t>水泥土的强度随龄期的增长而增大，在龄期超过28d后，强度仍有明显增长，为了降低造价，对承重搅拌桩试块国内外都取90d龄期为标准龄期。对起支挡作用承受水平荷载的搅拌桩，考虑工期要求，水泥土强度标准取28d龄期为标准龄期。从抗压强度试验得知，在其它条件相同时，不同龄期的水泥土抗压强度间大致呈线性关系，其经验关系式如下：</w:t>
      </w:r>
    </w:p>
    <w:p w14:paraId="38774E3E">
      <w:pPr>
        <w:ind w:left="420" w:hanging="420"/>
        <w:jc w:val="center"/>
        <w:rPr>
          <w:color w:val="auto"/>
        </w:rPr>
      </w:pPr>
      <w:r>
        <w:rPr>
          <w:color w:val="auto"/>
          <w:position w:val="-104"/>
        </w:rPr>
        <w:object>
          <v:shape id="_x0000_i1826" o:spt="75" type="#_x0000_t75" style="height:110pt;width:121.25pt;" o:ole="t" filled="f" o:preferrelative="t" stroked="f" coordsize="21600,21600">
            <v:path/>
            <v:fill on="f" focussize="0,0"/>
            <v:stroke on="f"/>
            <v:imagedata r:id="rId1567" o:title=""/>
            <o:lock v:ext="edit" grouping="f" rotation="f" text="f" aspectratio="t"/>
            <w10:wrap type="none"/>
            <w10:anchorlock/>
          </v:shape>
          <o:OLEObject Type="Embed" ProgID="Equation.DSMT4" ShapeID="_x0000_i1826" DrawAspect="Content" ObjectID="_1468076526" r:id="rId1566">
            <o:LockedField>false</o:LockedField>
          </o:OLEObject>
        </w:object>
      </w:r>
    </w:p>
    <w:p w14:paraId="1FECB564">
      <w:pPr>
        <w:ind w:firstLine="420" w:firstLineChars="200"/>
        <w:rPr>
          <w:color w:val="auto"/>
        </w:rPr>
      </w:pPr>
      <w:r>
        <w:rPr>
          <w:color w:val="auto"/>
        </w:rPr>
        <w:t>上式</w:t>
      </w:r>
      <w:r>
        <w:rPr>
          <w:color w:val="auto"/>
          <w:position w:val="-12"/>
        </w:rPr>
        <w:object>
          <v:shape id="_x0000_i1827" o:spt="75" type="#_x0000_t75" style="height:17.9pt;width:21pt;" o:ole="t" filled="f" o:preferrelative="t" stroked="f" coordsize="21600,21600">
            <v:path/>
            <v:fill on="f" focussize="0,0"/>
            <v:stroke on="f"/>
            <v:imagedata r:id="rId1569" o:title=""/>
            <o:lock v:ext="edit" grouping="f" rotation="f" text="f" aspectratio="t"/>
            <w10:wrap type="none"/>
            <w10:anchorlock/>
          </v:shape>
          <o:OLEObject Type="Embed" ProgID="Equation.DSMT4" ShapeID="_x0000_i1827" DrawAspect="Content" ObjectID="_1468076527" r:id="rId1568">
            <o:LockedField>false</o:LockedField>
          </o:OLEObject>
        </w:object>
      </w:r>
      <w:r>
        <w:rPr>
          <w:color w:val="auto"/>
        </w:rPr>
        <w:t>、</w:t>
      </w:r>
      <w:r>
        <w:rPr>
          <w:color w:val="auto"/>
          <w:position w:val="-12"/>
        </w:rPr>
        <w:object>
          <v:shape id="_x0000_i1828" o:spt="75" type="#_x0000_t75" style="height:17.9pt;width:24.15pt;" o:ole="t" filled="f" o:preferrelative="t" stroked="f" coordsize="21600,21600">
            <v:path/>
            <v:fill on="f" focussize="0,0"/>
            <v:stroke on="f"/>
            <v:imagedata r:id="rId1571" o:title=""/>
            <o:lock v:ext="edit" grouping="f" rotation="f" text="f" aspectratio="t"/>
            <w10:wrap type="none"/>
            <w10:anchorlock/>
          </v:shape>
          <o:OLEObject Type="Embed" ProgID="Equation.DSMT4" ShapeID="_x0000_i1828" DrawAspect="Content" ObjectID="_1468076528" r:id="rId1570">
            <o:LockedField>false</o:LockedField>
          </o:OLEObject>
        </w:object>
      </w:r>
      <w:r>
        <w:rPr>
          <w:color w:val="auto"/>
        </w:rPr>
        <w:t>、</w:t>
      </w:r>
      <w:r>
        <w:rPr>
          <w:color w:val="auto"/>
          <w:position w:val="-12"/>
        </w:rPr>
        <w:object>
          <v:shape id="_x0000_i1829" o:spt="75" type="#_x0000_t75" style="height:17.9pt;width:24.15pt;" o:ole="t" filled="f" o:preferrelative="t" stroked="f" coordsize="21600,21600">
            <v:path/>
            <v:fill on="f" focussize="0,0"/>
            <v:stroke on="f"/>
            <v:imagedata r:id="rId1573" o:title=""/>
            <o:lock v:ext="edit" grouping="f" rotation="f" text="f" aspectratio="t"/>
            <w10:wrap type="none"/>
            <w10:anchorlock/>
          </v:shape>
          <o:OLEObject Type="Embed" ProgID="Equation.DSMT4" ShapeID="_x0000_i1829" DrawAspect="Content" ObjectID="_1468076529" r:id="rId1572">
            <o:LockedField>false</o:LockedField>
          </o:OLEObject>
        </w:object>
      </w:r>
      <w:r>
        <w:rPr>
          <w:color w:val="auto"/>
        </w:rPr>
        <w:t>、</w:t>
      </w:r>
      <w:r>
        <w:rPr>
          <w:color w:val="auto"/>
          <w:position w:val="-12"/>
        </w:rPr>
        <w:object>
          <v:shape id="_x0000_i1830" o:spt="75" type="#_x0000_t75" style="height:17.9pt;width:24.15pt;" o:ole="t" filled="f" o:preferrelative="t" stroked="f" coordsize="21600,21600">
            <v:path/>
            <v:fill on="f" focussize="0,0"/>
            <v:stroke on="f"/>
            <v:imagedata r:id="rId1575" o:title=""/>
            <o:lock v:ext="edit" grouping="f" rotation="f" text="f" aspectratio="t"/>
            <w10:wrap type="none"/>
            <w10:anchorlock/>
          </v:shape>
          <o:OLEObject Type="Embed" ProgID="Equation.DSMT4" ShapeID="_x0000_i1830" DrawAspect="Content" ObjectID="_1468076530" r:id="rId1574">
            <o:LockedField>false</o:LockedField>
          </o:OLEObject>
        </w:object>
      </w:r>
      <w:r>
        <w:rPr>
          <w:color w:val="auto"/>
        </w:rPr>
        <w:t>、</w:t>
      </w:r>
      <w:r>
        <w:rPr>
          <w:color w:val="auto"/>
          <w:position w:val="-12"/>
        </w:rPr>
        <w:object>
          <v:shape id="_x0000_i1831" o:spt="75" type="#_x0000_t75" style="height:17.9pt;width:24.15pt;" o:ole="t" filled="f" o:preferrelative="t" stroked="f" coordsize="21600,21600">
            <v:path/>
            <v:fill on="f" focussize="0,0"/>
            <v:stroke on="f"/>
            <v:imagedata r:id="rId1577" o:title=""/>
            <o:lock v:ext="edit" grouping="f" rotation="f" text="f" aspectratio="t"/>
            <w10:wrap type="none"/>
            <w10:anchorlock/>
          </v:shape>
          <o:OLEObject Type="Embed" ProgID="Equation.DSMT4" ShapeID="_x0000_i1831" DrawAspect="Content" ObjectID="_1468076531" r:id="rId1576">
            <o:LockedField>false</o:LockedField>
          </o:OLEObject>
        </w:object>
      </w:r>
      <w:r>
        <w:rPr>
          <w:color w:val="auto"/>
        </w:rPr>
        <w:t>分别为7d、14d、28d、60d、90d龄期的水泥土抗压强度。</w:t>
      </w:r>
    </w:p>
    <w:p w14:paraId="283FADE6">
      <w:pPr>
        <w:snapToGrid w:val="0"/>
        <w:spacing w:line="340" w:lineRule="atLeast"/>
        <w:ind w:firstLine="420" w:firstLineChars="200"/>
        <w:rPr>
          <w:color w:val="auto"/>
        </w:rPr>
      </w:pPr>
      <w:r>
        <w:rPr>
          <w:color w:val="auto"/>
        </w:rPr>
        <w:t>当龄期超过三个月后，水泥土强度增长缓慢。180d的水泥土强度为90d的1.25倍，而180d后水泥土强度增长仍未终止。</w:t>
      </w:r>
    </w:p>
    <w:p w14:paraId="7CF3EBF8">
      <w:pPr>
        <w:adjustRightInd w:val="0"/>
        <w:snapToGrid w:val="0"/>
        <w:spacing w:line="340" w:lineRule="atLeast"/>
        <w:rPr>
          <w:color w:val="auto"/>
          <w:szCs w:val="21"/>
        </w:rPr>
      </w:pPr>
      <w:r>
        <w:rPr>
          <w:b/>
          <w:bCs/>
          <w:color w:val="auto"/>
          <w:szCs w:val="21"/>
        </w:rPr>
        <w:t>9.2.7</w:t>
      </w:r>
      <w:r>
        <w:rPr>
          <w:color w:val="auto"/>
          <w:szCs w:val="21"/>
        </w:rPr>
        <w:t xml:space="preserve">  本条根据软土地区水泥土搅拌桩应用经验确定。</w:t>
      </w:r>
      <w:r>
        <w:rPr>
          <w:color w:val="auto"/>
        </w:rPr>
        <w:t>由于水泥土强度有限，当水泥土强度为2MPa时，一根直径500mm的搅拌桩，其单桩承载力特征值仅为120kN左右，复合地基承载力受水泥土强度的控制，</w:t>
      </w:r>
      <w:r>
        <w:rPr>
          <w:color w:val="auto"/>
          <w:szCs w:val="21"/>
        </w:rPr>
        <w:t>盲目提高水泥土搅拌桩单桩承载力及复合地基承载力已造成不少工程事故。鉴于水泥土桩桩身强度的限制和被加固土的承载力限制，故提出本条的上限值，以策安全。</w:t>
      </w:r>
    </w:p>
    <w:p w14:paraId="63FC008C">
      <w:pPr>
        <w:adjustRightInd w:val="0"/>
        <w:snapToGrid w:val="0"/>
        <w:spacing w:line="340" w:lineRule="atLeast"/>
        <w:rPr>
          <w:color w:val="auto"/>
          <w:szCs w:val="21"/>
        </w:rPr>
      </w:pPr>
      <w:r>
        <w:rPr>
          <w:b/>
          <w:bCs/>
          <w:color w:val="auto"/>
          <w:szCs w:val="21"/>
        </w:rPr>
        <w:t>9.2.8</w:t>
      </w:r>
      <w:r>
        <w:rPr>
          <w:color w:val="auto"/>
          <w:szCs w:val="21"/>
        </w:rPr>
        <w:t xml:space="preserve">  在基础与桩之间设置一定厚度的褥垫层后，可保证基础通过褥垫层将一部分荷载传到桩间土上，保证桩土共同分担荷载。由于水泥土桩桩身强度的原因，粒径过大的碎石可能会将桩头压破，不利于复合地基承载，故限制最大粒径不大于20mm。</w:t>
      </w:r>
    </w:p>
    <w:p w14:paraId="59A1D9A5">
      <w:pPr>
        <w:adjustRightInd w:val="0"/>
        <w:snapToGrid w:val="0"/>
        <w:spacing w:line="340" w:lineRule="atLeast"/>
        <w:rPr>
          <w:color w:val="auto"/>
          <w:szCs w:val="21"/>
        </w:rPr>
      </w:pPr>
      <w:r>
        <w:rPr>
          <w:b/>
          <w:bCs/>
          <w:color w:val="auto"/>
          <w:szCs w:val="21"/>
        </w:rPr>
        <w:t>9.2.9</w:t>
      </w:r>
      <w:r>
        <w:rPr>
          <w:color w:val="auto"/>
          <w:szCs w:val="21"/>
        </w:rPr>
        <w:t xml:space="preserve">  根据室内模型试验和水泥土桩的加固机理分析，其桩身轴向应力自上而下逐渐减小，其最大轴力位于桩顶3倍桩径范围内。因此，从经济性角度讲，变掺量设计是合理的，但由于施工中难于控制质量，故一般不提倡变掺量设计。若施工质量有可靠保证，经试验后可考虑采用。水泥与土的搅拌均匀程度对加固体的强度有较大影响。实践证明采取复搅工艺对提高桩体强度有较好效果。</w:t>
      </w:r>
    </w:p>
    <w:p w14:paraId="6041774F">
      <w:pPr>
        <w:adjustRightInd w:val="0"/>
        <w:snapToGrid w:val="0"/>
        <w:spacing w:line="340" w:lineRule="atLeast"/>
        <w:rPr>
          <w:color w:val="auto"/>
          <w:szCs w:val="21"/>
        </w:rPr>
      </w:pPr>
      <w:r>
        <w:rPr>
          <w:b/>
          <w:bCs/>
          <w:color w:val="auto"/>
          <w:szCs w:val="21"/>
        </w:rPr>
        <w:t>9.2.10</w:t>
      </w:r>
      <w:r>
        <w:rPr>
          <w:color w:val="auto"/>
          <w:szCs w:val="21"/>
        </w:rPr>
        <w:t xml:space="preserve">  水泥土搅拌桩的强度和刚度是介于柔性桩(砂桩、碎石桩等)和刚性桩(钢桩、混凝土桩等)之间的一种桩，其承载性能与刚性桩相似。水泥土搅拌桩较碎石桩及灰土桩强度高，而侧向变形比较低，可不设围护桩。由于水泥土搅拌桩已表现出刚性桩的性状，故当桩间距小于2d时，群桩效应明显，不利于单桩承载力的发挥，也不经济。三轴搅拌桩间距根据试验确定。</w:t>
      </w:r>
    </w:p>
    <w:p w14:paraId="7939623E">
      <w:pPr>
        <w:adjustRightInd w:val="0"/>
        <w:snapToGrid w:val="0"/>
        <w:spacing w:line="340" w:lineRule="atLeast"/>
        <w:rPr>
          <w:color w:val="auto"/>
          <w:szCs w:val="21"/>
        </w:rPr>
      </w:pPr>
      <w:r>
        <w:rPr>
          <w:b/>
          <w:bCs/>
          <w:color w:val="auto"/>
          <w:szCs w:val="21"/>
        </w:rPr>
        <w:t>9.2.11</w:t>
      </w:r>
      <w:r>
        <w:rPr>
          <w:color w:val="auto"/>
          <w:szCs w:val="21"/>
        </w:rPr>
        <w:t xml:space="preserve">  对于水泥土搅拌桩复合地基的沉降计算，采用了国标GB</w:t>
      </w:r>
      <w:r>
        <w:rPr>
          <w:rFonts w:hint="eastAsia"/>
          <w:color w:val="auto"/>
          <w:szCs w:val="21"/>
        </w:rPr>
        <w:t xml:space="preserve"> </w:t>
      </w:r>
      <w:r>
        <w:rPr>
          <w:color w:val="auto"/>
          <w:szCs w:val="21"/>
        </w:rPr>
        <w:t>50007的计算公式。</w:t>
      </w:r>
    </w:p>
    <w:p w14:paraId="2FE0248C">
      <w:pPr>
        <w:adjustRightInd w:val="0"/>
        <w:snapToGrid w:val="0"/>
        <w:spacing w:line="340" w:lineRule="atLeast"/>
        <w:rPr>
          <w:color w:val="auto"/>
          <w:szCs w:val="21"/>
        </w:rPr>
      </w:pPr>
      <w:r>
        <w:rPr>
          <w:b/>
          <w:bCs/>
          <w:color w:val="auto"/>
          <w:szCs w:val="21"/>
        </w:rPr>
        <w:t>9.2.12</w:t>
      </w:r>
      <w:r>
        <w:rPr>
          <w:color w:val="auto"/>
          <w:szCs w:val="21"/>
        </w:rPr>
        <w:t xml:space="preserve">  根据实际施工经验，搅拌桩顶端0.3m～0.5m的桩身质量较差。为保证桩头质量，停浆(灰)面必须高于桩顶设计标高500mm。高出部分在基坑开挖时截除。基坑开挖时，桩顶和桩身已有一定的强度，为保证桩不被损坏，严禁采用反铲及其他常规机械直接挖桩。</w:t>
      </w:r>
    </w:p>
    <w:p w14:paraId="14403437">
      <w:pPr>
        <w:adjustRightInd w:val="0"/>
        <w:snapToGrid w:val="0"/>
        <w:spacing w:line="340" w:lineRule="atLeast"/>
        <w:rPr>
          <w:color w:val="auto"/>
          <w:szCs w:val="21"/>
        </w:rPr>
      </w:pPr>
      <w:r>
        <w:rPr>
          <w:b/>
          <w:bCs/>
          <w:color w:val="auto"/>
          <w:szCs w:val="21"/>
        </w:rPr>
        <w:t>9.2.13</w:t>
      </w:r>
      <w:r>
        <w:rPr>
          <w:color w:val="auto"/>
          <w:szCs w:val="21"/>
        </w:rPr>
        <w:t xml:space="preserve">  由于水泥土强度与被加固土有直接关系，为保证桩身强度不致有过大差异，制定本条可提高软土层位处桩身强度，从而使桩体能可靠传递竖向荷载。</w:t>
      </w:r>
    </w:p>
    <w:p w14:paraId="64C200F5">
      <w:pPr>
        <w:adjustRightInd w:val="0"/>
        <w:snapToGrid w:val="0"/>
        <w:spacing w:line="340" w:lineRule="atLeast"/>
        <w:rPr>
          <w:color w:val="auto"/>
          <w:szCs w:val="21"/>
        </w:rPr>
      </w:pPr>
      <w:r>
        <w:rPr>
          <w:b/>
          <w:bCs/>
          <w:color w:val="auto"/>
          <w:szCs w:val="21"/>
        </w:rPr>
        <w:t>9.2.14</w:t>
      </w:r>
      <w:r>
        <w:rPr>
          <w:color w:val="auto"/>
          <w:szCs w:val="21"/>
        </w:rPr>
        <w:t xml:space="preserve">  由于水泥土桩通常承担了较大的荷载，当桩位偏差较大时，易引起基础偏心，故限制不大于150mm。</w:t>
      </w:r>
    </w:p>
    <w:p w14:paraId="7DF43C2D">
      <w:pPr>
        <w:adjustRightInd w:val="0"/>
        <w:snapToGrid w:val="0"/>
        <w:spacing w:line="340" w:lineRule="atLeast"/>
        <w:rPr>
          <w:color w:val="auto"/>
          <w:szCs w:val="21"/>
        </w:rPr>
      </w:pPr>
      <w:r>
        <w:rPr>
          <w:b/>
          <w:bCs/>
          <w:color w:val="auto"/>
          <w:szCs w:val="21"/>
        </w:rPr>
        <w:t>9.2.15</w:t>
      </w:r>
      <w:r>
        <w:rPr>
          <w:color w:val="auto"/>
          <w:szCs w:val="21"/>
        </w:rPr>
        <w:t xml:space="preserve">  干法施工过程中水泥土掺量失控是影响工程质量的重要环节，应配置水泥用量自动记录仪，以使水泥掺量均匀并符合设计要求，从而保证水泥土桩桩身施工质量。</w:t>
      </w:r>
    </w:p>
    <w:p w14:paraId="10D4B017">
      <w:pPr>
        <w:adjustRightInd w:val="0"/>
        <w:snapToGrid w:val="0"/>
        <w:spacing w:line="340" w:lineRule="atLeast"/>
        <w:rPr>
          <w:color w:val="auto"/>
          <w:szCs w:val="21"/>
        </w:rPr>
      </w:pPr>
      <w:r>
        <w:rPr>
          <w:b/>
          <w:bCs/>
          <w:color w:val="auto"/>
          <w:szCs w:val="21"/>
        </w:rPr>
        <w:t>9.2.16</w:t>
      </w:r>
      <w:r>
        <w:rPr>
          <w:color w:val="auto"/>
          <w:szCs w:val="21"/>
        </w:rPr>
        <w:t xml:space="preserve">  提钻速度过快不能保证桩身质量，过慢则影响工效。在水泥掺量不变的前提下，复搅可有效地提高桩身强度，保证质量。条件许可时，应尽量复搅。</w:t>
      </w:r>
    </w:p>
    <w:p w14:paraId="6FED4C05">
      <w:pPr>
        <w:adjustRightInd w:val="0"/>
        <w:snapToGrid w:val="0"/>
        <w:spacing w:line="340" w:lineRule="atLeast"/>
        <w:rPr>
          <w:color w:val="auto"/>
          <w:szCs w:val="21"/>
        </w:rPr>
      </w:pPr>
      <w:r>
        <w:rPr>
          <w:b/>
          <w:bCs/>
          <w:color w:val="auto"/>
          <w:szCs w:val="21"/>
        </w:rPr>
        <w:t>9.2.17</w:t>
      </w:r>
      <w:r>
        <w:rPr>
          <w:color w:val="auto"/>
          <w:szCs w:val="21"/>
        </w:rPr>
        <w:t xml:space="preserve">  本条所列均为施工质量保证措施，尤其是水泥用量、桩长、搅拌头提升速度。</w:t>
      </w:r>
    </w:p>
    <w:p w14:paraId="5A009290">
      <w:pPr>
        <w:adjustRightInd w:val="0"/>
        <w:snapToGrid w:val="0"/>
        <w:spacing w:line="340" w:lineRule="atLeast"/>
        <w:rPr>
          <w:color w:val="auto"/>
          <w:szCs w:val="21"/>
        </w:rPr>
      </w:pPr>
      <w:r>
        <w:rPr>
          <w:b/>
          <w:bCs/>
          <w:color w:val="auto"/>
          <w:szCs w:val="21"/>
        </w:rPr>
        <w:t>9.2.18</w:t>
      </w:r>
      <w:r>
        <w:rPr>
          <w:color w:val="auto"/>
          <w:szCs w:val="21"/>
        </w:rPr>
        <w:t xml:space="preserve">  </w:t>
      </w:r>
      <w:r>
        <w:rPr>
          <w:color w:val="auto"/>
        </w:rPr>
        <w:t>水泥搅拌桩的桩身质量检验目前尚无成熟的方法，特别是对常用的直径500mm干法桩遇到的困难更大，采用钻芯法检测时应采用双管单动取样器，避免过大扰动芯样使检验失真。当钻芯困难时，可将桩头挖开一定深度进行外观检查并取样进行抗压试验。</w:t>
      </w:r>
    </w:p>
    <w:p w14:paraId="79AEF8E3">
      <w:pPr>
        <w:adjustRightInd w:val="0"/>
        <w:snapToGrid w:val="0"/>
        <w:spacing w:line="340" w:lineRule="atLeast"/>
        <w:rPr>
          <w:color w:val="auto"/>
          <w:szCs w:val="21"/>
        </w:rPr>
      </w:pPr>
      <w:r>
        <w:rPr>
          <w:b/>
          <w:bCs/>
          <w:color w:val="auto"/>
          <w:szCs w:val="21"/>
        </w:rPr>
        <w:t>9.2.19</w:t>
      </w:r>
      <w:r>
        <w:rPr>
          <w:color w:val="auto"/>
          <w:szCs w:val="21"/>
        </w:rPr>
        <w:t xml:space="preserve">  施工前为设计提供依据的检测点数可计入验收检测，但单桩和单桩复合地基静载荷试验的验收检测数量各不应少于3点。</w:t>
      </w:r>
    </w:p>
    <w:p w14:paraId="5EDFC78C">
      <w:pPr>
        <w:pStyle w:val="77"/>
        <w:rPr>
          <w:rFonts w:hint="eastAsia"/>
          <w:color w:val="auto"/>
        </w:rPr>
      </w:pPr>
      <w:bookmarkStart w:id="176" w:name="_Toc182498990"/>
      <w:r>
        <w:rPr>
          <w:color w:val="auto"/>
        </w:rPr>
        <w:t>9.3  混凝土桩复合地基</w:t>
      </w:r>
      <w:bookmarkEnd w:id="176"/>
    </w:p>
    <w:p w14:paraId="688AEAAF">
      <w:pPr>
        <w:adjustRightInd w:val="0"/>
        <w:snapToGrid w:val="0"/>
        <w:spacing w:line="330" w:lineRule="atLeast"/>
        <w:rPr>
          <w:color w:val="auto"/>
          <w:szCs w:val="21"/>
        </w:rPr>
      </w:pPr>
      <w:r>
        <w:rPr>
          <w:b/>
          <w:bCs/>
          <w:color w:val="auto"/>
          <w:szCs w:val="21"/>
        </w:rPr>
        <w:t>9.3.1</w:t>
      </w:r>
      <w:r>
        <w:rPr>
          <w:color w:val="auto"/>
          <w:szCs w:val="21"/>
        </w:rPr>
        <w:t xml:space="preserve">  严格说CFG桩不属于混凝土桩，但由于其承载及变形特性与一般混凝土桩相似， 故将CFG桩复合地基归入混凝土桩复合地基。</w:t>
      </w:r>
    </w:p>
    <w:p w14:paraId="08639133">
      <w:pPr>
        <w:adjustRightInd w:val="0"/>
        <w:snapToGrid w:val="0"/>
        <w:spacing w:line="330" w:lineRule="atLeast"/>
        <w:ind w:firstLine="420" w:firstLineChars="200"/>
        <w:rPr>
          <w:color w:val="auto"/>
          <w:szCs w:val="21"/>
        </w:rPr>
      </w:pPr>
      <w:r>
        <w:rPr>
          <w:color w:val="auto"/>
          <w:szCs w:val="21"/>
        </w:rPr>
        <w:t>由于混凝土桩复合地基中桩顶沉降一般较小，故在欠固结土中应用时，桩间土的固结沉降使桩间土与基础脱开，导致桩头受力过大，引起复合地基产生过大沉降甚至破坏。因此，混凝土桩复合地基法不适用于欠固结土。加固填土时，宜配合石灰桩等共同形成多元复合地基，以达到提高承载力和减小沉降的目的。</w:t>
      </w:r>
    </w:p>
    <w:p w14:paraId="778B804B">
      <w:pPr>
        <w:adjustRightInd w:val="0"/>
        <w:snapToGrid w:val="0"/>
        <w:spacing w:line="330" w:lineRule="atLeast"/>
        <w:rPr>
          <w:color w:val="auto"/>
          <w:szCs w:val="21"/>
        </w:rPr>
      </w:pPr>
      <w:r>
        <w:rPr>
          <w:b/>
          <w:bCs/>
          <w:color w:val="auto"/>
          <w:szCs w:val="21"/>
        </w:rPr>
        <w:t>9.3.2</w:t>
      </w:r>
      <w:r>
        <w:rPr>
          <w:color w:val="auto"/>
          <w:szCs w:val="21"/>
        </w:rPr>
        <w:t xml:space="preserve">  选择承载力相对较高的土层作桩端持力层是为了获得较高的单桩承载力，从而获得较高的复合地基承载力。桩产生一定的沉降或向褥垫层刺入是保证桩土共同承担荷载的必要条件。基础下持力层承载力特征值一般应大于80kPa，当其承载力较低时，可采用加固措施，提高承载力。</w:t>
      </w:r>
    </w:p>
    <w:p w14:paraId="4EDB409F">
      <w:pPr>
        <w:adjustRightInd w:val="0"/>
        <w:snapToGrid w:val="0"/>
        <w:spacing w:line="330" w:lineRule="atLeast"/>
        <w:ind w:firstLine="420" w:firstLineChars="200"/>
        <w:rPr>
          <w:color w:val="auto"/>
          <w:szCs w:val="21"/>
        </w:rPr>
      </w:pPr>
      <w:r>
        <w:rPr>
          <w:color w:val="auto"/>
          <w:szCs w:val="21"/>
        </w:rPr>
        <w:t>当复合地基承载力要求不高时，可只在条形基础下单排布桩。条基下单排布桩进行条基底板的抗弯计算时，基底平均反力取值可扣除混凝土桩的承载力，但不宜小于基底地基土承载力特征值。在条基下多排布桩和独立基础下布桩时，宜按桩基承台进行相应的计算。</w:t>
      </w:r>
    </w:p>
    <w:p w14:paraId="7664D341">
      <w:pPr>
        <w:adjustRightInd w:val="0"/>
        <w:snapToGrid w:val="0"/>
        <w:spacing w:line="330" w:lineRule="atLeast"/>
        <w:ind w:firstLine="420" w:firstLineChars="200"/>
        <w:rPr>
          <w:color w:val="auto"/>
          <w:szCs w:val="21"/>
        </w:rPr>
      </w:pPr>
      <w:r>
        <w:rPr>
          <w:color w:val="auto"/>
          <w:szCs w:val="21"/>
        </w:rPr>
        <w:t>褥垫层在混凝土复合地基中具有下列作用：1)保证桩、土共同承担荷载，是混凝土桩形成复合地基的重要条件；2)通过改变褥垫层厚度，调整桩土垂直荷载的分担比，通常褥垫层越薄，桩承担的荷载占总荷载的百分比越高；3)可减少基础底面的应力集中。工程实践和室内试验表明，褥垫层的适宜厚度为150mm～300mm。当桩间土承载力较高时，可取高值。垫层材料的选择应既能保证桩顶向垫层刺入又要保证垫层具有一定的强度。级配砂石可作为首选材料。</w:t>
      </w:r>
    </w:p>
    <w:p w14:paraId="580BD5E3">
      <w:pPr>
        <w:adjustRightInd w:val="0"/>
        <w:snapToGrid w:val="0"/>
        <w:spacing w:line="330" w:lineRule="atLeast"/>
        <w:ind w:firstLine="420" w:firstLineChars="200"/>
        <w:rPr>
          <w:color w:val="auto"/>
          <w:szCs w:val="21"/>
        </w:rPr>
      </w:pPr>
      <w:r>
        <w:rPr>
          <w:color w:val="auto"/>
          <w:szCs w:val="21"/>
        </w:rPr>
        <w:t>桩中心距过小则不经济且不利于桩间土承载力充分发挥。</w:t>
      </w:r>
    </w:p>
    <w:p w14:paraId="7C1B52D9">
      <w:pPr>
        <w:adjustRightInd w:val="0"/>
        <w:snapToGrid w:val="0"/>
        <w:spacing w:line="330" w:lineRule="atLeast"/>
        <w:ind w:firstLine="420" w:firstLineChars="200"/>
        <w:rPr>
          <w:color w:val="auto"/>
          <w:szCs w:val="21"/>
        </w:rPr>
      </w:pPr>
      <w:r>
        <w:rPr>
          <w:color w:val="auto"/>
          <w:szCs w:val="21"/>
        </w:rPr>
        <w:t>目前，现场搅拌的混凝土使用已受到限制，施工中广泛采用商品混凝土，故桩身强度可得到保证，桩身强度过小不利于提高复合地基的承载力，故对桩身混凝土强度进行了必要的限制。但是设计人员也不能单纯地通过增加桩身强度来提高单桩承载力，否则不利用发挥桩间土承载力。</w:t>
      </w:r>
    </w:p>
    <w:p w14:paraId="6EC7BE0D">
      <w:pPr>
        <w:adjustRightInd w:val="0"/>
        <w:snapToGrid w:val="0"/>
        <w:spacing w:line="330" w:lineRule="atLeast"/>
        <w:ind w:firstLine="420" w:firstLineChars="200"/>
        <w:rPr>
          <w:color w:val="auto"/>
          <w:szCs w:val="21"/>
        </w:rPr>
      </w:pPr>
      <w:r>
        <w:rPr>
          <w:color w:val="auto"/>
          <w:szCs w:val="21"/>
        </w:rPr>
        <w:t>承载力计算公式与水泥土搅拌桩相同，混凝土桩复合地基承载力特征值应通过现场复合地基载荷试验确定，初步设计时可按计算公式估算。式中</w:t>
      </w:r>
      <w:r>
        <w:rPr>
          <w:i/>
          <w:color w:val="auto"/>
          <w:szCs w:val="21"/>
        </w:rPr>
        <w:t>f</w:t>
      </w:r>
      <w:r>
        <w:rPr>
          <w:iCs/>
          <w:color w:val="auto"/>
          <w:szCs w:val="21"/>
          <w:vertAlign w:val="subscript"/>
        </w:rPr>
        <w:t>sk</w:t>
      </w:r>
      <w:r>
        <w:rPr>
          <w:color w:val="auto"/>
          <w:szCs w:val="21"/>
        </w:rPr>
        <w:t>为加固后桩间土承载力特征值，宜按经验取值，与成桩工艺和土性有关，如无经验时，可取天然地基承载力特征值。</w:t>
      </w:r>
    </w:p>
    <w:p w14:paraId="1C1C0B02">
      <w:pPr>
        <w:adjustRightInd w:val="0"/>
        <w:snapToGrid w:val="0"/>
        <w:spacing w:line="330" w:lineRule="atLeast"/>
        <w:ind w:firstLine="420" w:firstLineChars="200"/>
        <w:rPr>
          <w:color w:val="auto"/>
          <w:szCs w:val="21"/>
        </w:rPr>
      </w:pPr>
      <w:r>
        <w:rPr>
          <w:color w:val="auto"/>
          <w:szCs w:val="21"/>
        </w:rPr>
        <w:t>为防止荷载向桩顶转移时桩顶破坏，必须保证桩身强度具有足够的安全储备。</w:t>
      </w:r>
    </w:p>
    <w:p w14:paraId="7AB4A2F8">
      <w:pPr>
        <w:adjustRightInd w:val="0"/>
        <w:snapToGrid w:val="0"/>
        <w:spacing w:line="330" w:lineRule="atLeast"/>
        <w:ind w:firstLine="420" w:firstLineChars="200"/>
        <w:rPr>
          <w:color w:val="auto"/>
          <w:szCs w:val="21"/>
        </w:rPr>
      </w:pPr>
      <w:r>
        <w:rPr>
          <w:color w:val="auto"/>
          <w:szCs w:val="21"/>
        </w:rPr>
        <w:t>复合地基的沉降验算应符合本文件第9.2.11条的规定。</w:t>
      </w:r>
    </w:p>
    <w:p w14:paraId="1F8801F1">
      <w:pPr>
        <w:adjustRightInd w:val="0"/>
        <w:snapToGrid w:val="0"/>
        <w:spacing w:line="330" w:lineRule="atLeast"/>
        <w:rPr>
          <w:color w:val="auto"/>
          <w:szCs w:val="21"/>
        </w:rPr>
      </w:pPr>
      <w:r>
        <w:rPr>
          <w:b/>
          <w:bCs/>
          <w:color w:val="auto"/>
          <w:szCs w:val="21"/>
        </w:rPr>
        <w:t>9.3.3</w:t>
      </w:r>
      <w:r>
        <w:rPr>
          <w:color w:val="auto"/>
          <w:szCs w:val="21"/>
        </w:rPr>
        <w:t xml:space="preserve">  由于复合地基法多用于处理软弱黏性土，不宜采用振动或挤土类桩，由于长螺旋钻孔工艺属部分挤土工艺，宜优先采用。</w:t>
      </w:r>
    </w:p>
    <w:p w14:paraId="110DE076">
      <w:pPr>
        <w:adjustRightInd w:val="0"/>
        <w:snapToGrid w:val="0"/>
        <w:spacing w:line="330" w:lineRule="atLeast"/>
        <w:ind w:firstLine="420" w:firstLineChars="200"/>
        <w:rPr>
          <w:color w:val="auto"/>
          <w:szCs w:val="21"/>
        </w:rPr>
      </w:pPr>
      <w:r>
        <w:rPr>
          <w:color w:val="auto"/>
          <w:szCs w:val="21"/>
        </w:rPr>
        <w:t>长螺旋钻孔泵压混凝土桩在湖北地区已有较成熟的施工经验，但是也有不少教训。在超软土(淤泥)中，当桩间距较小时，应注意桩的施工顺序和施工间隔时间，且不应采用过大的灌注压力和充盈系数，否则极易产生串孔和桩顶塌陷，影响桩身质量和桩间土的强度。在高塑性黏土中成桩时应采取避免抱钻的措施，否则，在长螺旋取土施工中可能会引起地面下沉。由于长螺旋钻孔桩通常分几次灌注完成，因此，分次灌注的交界面容易形成桩身缺陷。软土中长螺旋施工尚须进一步积累经验。</w:t>
      </w:r>
    </w:p>
    <w:p w14:paraId="46CD0E84">
      <w:pPr>
        <w:adjustRightInd w:val="0"/>
        <w:snapToGrid w:val="0"/>
        <w:spacing w:line="330" w:lineRule="atLeast"/>
        <w:ind w:firstLine="420" w:firstLineChars="200"/>
        <w:rPr>
          <w:color w:val="auto"/>
          <w:szCs w:val="21"/>
        </w:rPr>
      </w:pPr>
      <w:r>
        <w:rPr>
          <w:color w:val="auto"/>
          <w:szCs w:val="21"/>
        </w:rPr>
        <w:t>由于混凝土桩复合地基中的混凝土桩具有一定的桩身强度而往往又没有配置钢筋，因此，在开挖时，若遇到较大的水平力，极易使桩身断裂而导致承载力降低，留下质量隐患。</w:t>
      </w:r>
    </w:p>
    <w:p w14:paraId="4CC1E366">
      <w:pPr>
        <w:adjustRightInd w:val="0"/>
        <w:snapToGrid w:val="0"/>
        <w:spacing w:line="330" w:lineRule="atLeast"/>
        <w:rPr>
          <w:color w:val="auto"/>
          <w:szCs w:val="21"/>
        </w:rPr>
      </w:pPr>
      <w:r>
        <w:rPr>
          <w:color w:val="auto"/>
          <w:szCs w:val="21"/>
        </w:rPr>
        <w:t xml:space="preserve">    参照常规桩基桩位偏差的要求，中间桩和顺轴线偏位可稍大。</w:t>
      </w:r>
    </w:p>
    <w:p w14:paraId="38B1884C">
      <w:pPr>
        <w:adjustRightInd w:val="0"/>
        <w:snapToGrid w:val="0"/>
        <w:spacing w:line="330" w:lineRule="atLeast"/>
        <w:ind w:firstLine="420" w:firstLineChars="200"/>
        <w:rPr>
          <w:color w:val="auto"/>
          <w:szCs w:val="21"/>
        </w:rPr>
      </w:pPr>
      <w:r>
        <w:rPr>
          <w:color w:val="auto"/>
          <w:szCs w:val="21"/>
        </w:rPr>
        <w:t>褥垫层厚度不大，一般采用静力法将其压实。</w:t>
      </w:r>
    </w:p>
    <w:p w14:paraId="4FDBFFF7">
      <w:pPr>
        <w:adjustRightInd w:val="0"/>
        <w:snapToGrid w:val="0"/>
        <w:spacing w:line="330" w:lineRule="atLeast"/>
        <w:rPr>
          <w:color w:val="auto"/>
          <w:szCs w:val="21"/>
        </w:rPr>
      </w:pPr>
      <w:r>
        <w:rPr>
          <w:b/>
          <w:bCs/>
          <w:color w:val="auto"/>
          <w:szCs w:val="21"/>
        </w:rPr>
        <w:t>9.3.4</w:t>
      </w:r>
      <w:r>
        <w:rPr>
          <w:color w:val="auto"/>
          <w:szCs w:val="21"/>
        </w:rPr>
        <w:t xml:space="preserve">  由于桩身强度较高且桩身材料均匀性较好，可采用低应变动测法检测桩身质量。为保证工程质量，复合地基应进行验收检测，应同时采用单桩载荷试验和复合地基载荷试验，检测数量一般为总桩数的1%，且不应少于3根（点）。单桩静载荷能真实反映承载力实际状况，应以单桩静载荷试验为主要检测手段。</w:t>
      </w:r>
    </w:p>
    <w:p w14:paraId="57B577F5">
      <w:pPr>
        <w:pStyle w:val="77"/>
        <w:rPr>
          <w:color w:val="auto"/>
        </w:rPr>
      </w:pPr>
      <w:bookmarkStart w:id="177" w:name="_Toc182498991"/>
      <w:r>
        <w:rPr>
          <w:color w:val="auto"/>
        </w:rPr>
        <w:t>9.4  石灰桩复合地基</w:t>
      </w:r>
      <w:bookmarkEnd w:id="177"/>
    </w:p>
    <w:p w14:paraId="3A336170">
      <w:pPr>
        <w:adjustRightInd w:val="0"/>
        <w:snapToGrid w:val="0"/>
        <w:spacing w:line="340" w:lineRule="atLeast"/>
        <w:rPr>
          <w:color w:val="auto"/>
          <w:szCs w:val="21"/>
        </w:rPr>
      </w:pPr>
      <w:r>
        <w:rPr>
          <w:b/>
          <w:bCs/>
          <w:color w:val="auto"/>
          <w:szCs w:val="21"/>
        </w:rPr>
        <w:t xml:space="preserve">9.4.1  </w:t>
      </w:r>
      <w:r>
        <w:rPr>
          <w:color w:val="auto"/>
          <w:szCs w:val="21"/>
        </w:rPr>
        <w:t>由于生石灰的吸水膨胀作用，特别适用于新填土和淤泥的加固，生石灰吸水后可使淤泥产生固结。具有一定强度的密集石灰桩身与经加固的桩间土结合为一体，使桩间土欠固结状态消除。石灰桩可用于地下水位以下的土层，关键是施工工艺能否确保桩身材料的密实度，因此对地下水位以下且渗透性较大的土层，施工前应进行成孔成桩可行性试验，根据实际情况采用可靠措施，保证成桩时水不致大量渗入桩内，以确保桩身的密实。石灰桩不适宜于地下水位以下的砂类土。</w:t>
      </w:r>
    </w:p>
    <w:p w14:paraId="1B7B4C40">
      <w:pPr>
        <w:adjustRightInd w:val="0"/>
        <w:snapToGrid w:val="0"/>
        <w:spacing w:line="340" w:lineRule="atLeast"/>
        <w:ind w:firstLine="420" w:firstLineChars="200"/>
        <w:rPr>
          <w:color w:val="auto"/>
          <w:szCs w:val="21"/>
        </w:rPr>
      </w:pPr>
      <w:r>
        <w:rPr>
          <w:color w:val="auto"/>
          <w:szCs w:val="21"/>
        </w:rPr>
        <w:t>关于水质、土质的影响，要注意一些特殊情况。土和水中含有大量盐、碱、氯化物时，不影响石灰桩的加固效果；如土和水中含有过量的强酸，则会造成土和石灰桩身的结构破坏，此时不宜采用石灰桩；如土和水中含弱酸，则应进行试验后慎重采用。</w:t>
      </w:r>
    </w:p>
    <w:p w14:paraId="707596DE">
      <w:pPr>
        <w:adjustRightInd w:val="0"/>
        <w:snapToGrid w:val="0"/>
        <w:spacing w:line="340" w:lineRule="atLeast"/>
        <w:ind w:firstLine="420" w:firstLineChars="200"/>
        <w:rPr>
          <w:b/>
          <w:bCs/>
          <w:color w:val="auto"/>
          <w:szCs w:val="21"/>
        </w:rPr>
      </w:pPr>
      <w:r>
        <w:rPr>
          <w:color w:val="auto"/>
          <w:szCs w:val="21"/>
        </w:rPr>
        <w:t>石灰桩掺合料应优先选用SiO</w:t>
      </w:r>
      <w:r>
        <w:rPr>
          <w:color w:val="auto"/>
          <w:szCs w:val="21"/>
          <w:vertAlign w:val="subscript"/>
        </w:rPr>
        <w:t>2</w:t>
      </w:r>
      <w:r>
        <w:rPr>
          <w:color w:val="auto"/>
          <w:szCs w:val="21"/>
        </w:rPr>
        <w:t>、Al</w:t>
      </w:r>
      <w:r>
        <w:rPr>
          <w:color w:val="auto"/>
          <w:szCs w:val="21"/>
          <w:vertAlign w:val="subscript"/>
        </w:rPr>
        <w:t>2</w:t>
      </w:r>
      <w:r>
        <w:rPr>
          <w:color w:val="auto"/>
          <w:szCs w:val="21"/>
        </w:rPr>
        <w:t>O</w:t>
      </w:r>
      <w:r>
        <w:rPr>
          <w:color w:val="auto"/>
          <w:szCs w:val="21"/>
          <w:vertAlign w:val="subscript"/>
        </w:rPr>
        <w:t>3</w:t>
      </w:r>
      <w:r>
        <w:rPr>
          <w:color w:val="auto"/>
          <w:szCs w:val="21"/>
        </w:rPr>
        <w:t>含量较高的活性材料，常用的有粉煤灰、煤渣、矿渣、火山灰等，生石灰与活性掺合材料可以发生水化反应，生成不溶于水的水化物，提高桩身强度和石灰桩复合地基承载力，同时使用工业废料也符合国家环保政策。</w:t>
      </w:r>
    </w:p>
    <w:p w14:paraId="1DC57074">
      <w:pPr>
        <w:adjustRightInd w:val="0"/>
        <w:snapToGrid w:val="0"/>
        <w:spacing w:line="340" w:lineRule="atLeast"/>
        <w:rPr>
          <w:color w:val="auto"/>
          <w:szCs w:val="21"/>
        </w:rPr>
      </w:pPr>
      <w:r>
        <w:rPr>
          <w:b/>
          <w:bCs/>
          <w:color w:val="auto"/>
          <w:szCs w:val="21"/>
        </w:rPr>
        <w:t xml:space="preserve">   </w:t>
      </w:r>
      <w:r>
        <w:rPr>
          <w:color w:val="auto"/>
          <w:szCs w:val="21"/>
        </w:rPr>
        <w:t xml:space="preserve"> 石灰桩桩身材料的配合比十分重要。试验证明，当掺合料用量太少时，生石灰用量越大，桩身强度反而降低，但生石灰用量大，对桩间土的加固效果增强。土层强度高时生石灰用量减少，反之增加。实际工程中宜根据地质条件确定，桩顶附近减少生石灰用量可减少生石灰膨胀引起的地面隆起和地层裂缝，同时桩体强度较高。</w:t>
      </w:r>
    </w:p>
    <w:p w14:paraId="01978962">
      <w:pPr>
        <w:adjustRightInd w:val="0"/>
        <w:snapToGrid w:val="0"/>
        <w:spacing w:line="340" w:lineRule="atLeast"/>
        <w:rPr>
          <w:b/>
          <w:bCs/>
          <w:color w:val="auto"/>
          <w:szCs w:val="21"/>
        </w:rPr>
      </w:pPr>
      <w:r>
        <w:rPr>
          <w:b/>
          <w:bCs/>
          <w:color w:val="auto"/>
          <w:szCs w:val="21"/>
        </w:rPr>
        <w:t xml:space="preserve">9.4.2 </w:t>
      </w:r>
      <w:r>
        <w:rPr>
          <w:bCs/>
          <w:color w:val="auto"/>
          <w:szCs w:val="21"/>
        </w:rPr>
        <w:t xml:space="preserve"> 石灰桩属柔性桩，具可压缩性，一般情况下可不在桩顶设置垫层。石灰桩身具有较强的渗水性，可作为竖向排水通道，因此，当需利用桩身起排水固结作用时，可在桩顶设置砂石垫层作为水平排水通道。</w:t>
      </w:r>
    </w:p>
    <w:p w14:paraId="0B21741C">
      <w:pPr>
        <w:adjustRightInd w:val="0"/>
        <w:snapToGrid w:val="0"/>
        <w:spacing w:line="340" w:lineRule="atLeast"/>
        <w:rPr>
          <w:bCs/>
          <w:color w:val="auto"/>
          <w:szCs w:val="21"/>
        </w:rPr>
      </w:pPr>
      <w:r>
        <w:rPr>
          <w:b/>
          <w:bCs/>
          <w:color w:val="auto"/>
          <w:szCs w:val="21"/>
        </w:rPr>
        <w:t xml:space="preserve">9.4.4  </w:t>
      </w:r>
      <w:r>
        <w:rPr>
          <w:bCs/>
          <w:color w:val="auto"/>
          <w:szCs w:val="21"/>
        </w:rPr>
        <w:t>石灰桩加固软土的机理分为物理加固和化学加固两个作用。物理作用(吸水、膨胀)一般在7d以内可以完成，此时桩身的直径和密度已定型，在夯击力和石灰膨胀力作用下，7d～10d桩身已具有一定强度。而石灰桩的化学作用则速度缓慢，桩身强度的增长可延续3年甚至5年。经研究表明，7d～10d龄期的桩身强度约为28d龄期强度的60%，28d龄期的桩身强度仅为后期强度的50%～60%，考虑到施工的需要，将28d龄期的强度视为桩身设计强度，并在施工28d后进行复合地基载荷试验检测石灰桩复合地基承载力。当需要扩大检测面对载荷试验以外区域检验复合地基承载力时，在取得载荷试验与静力触探检测对比经验的条件下，可采用静力触探估算复合地基承载力。关于桩体强度的确定，经研究，可取0.1ps为桩身抗压强度比例界限值。静力触探部位为桩中心及桩间土，每两点为一组。</w:t>
      </w:r>
    </w:p>
    <w:p w14:paraId="744B13C9">
      <w:pPr>
        <w:pStyle w:val="77"/>
        <w:rPr>
          <w:color w:val="auto"/>
        </w:rPr>
      </w:pPr>
      <w:bookmarkStart w:id="178" w:name="_Toc182498992"/>
      <w:r>
        <w:rPr>
          <w:color w:val="auto"/>
        </w:rPr>
        <w:t>9.5  强夯法和强夯置换法</w:t>
      </w:r>
      <w:bookmarkEnd w:id="178"/>
    </w:p>
    <w:p w14:paraId="4FDE97B2">
      <w:pPr>
        <w:snapToGrid w:val="0"/>
        <w:rPr>
          <w:color w:val="auto"/>
          <w:kern w:val="0"/>
          <w:szCs w:val="21"/>
        </w:rPr>
      </w:pPr>
      <w:r>
        <w:rPr>
          <w:color w:val="auto"/>
          <w:kern w:val="0"/>
          <w:szCs w:val="21"/>
        </w:rPr>
        <w:t xml:space="preserve">    （无说明）</w:t>
      </w:r>
    </w:p>
    <w:p w14:paraId="239EF13A">
      <w:pPr>
        <w:pStyle w:val="77"/>
        <w:rPr>
          <w:color w:val="auto"/>
        </w:rPr>
      </w:pPr>
      <w:bookmarkStart w:id="179" w:name="_Toc182498993"/>
      <w:r>
        <w:rPr>
          <w:color w:val="auto"/>
        </w:rPr>
        <w:t>9.6  多桩型复合地基</w:t>
      </w:r>
      <w:bookmarkEnd w:id="179"/>
    </w:p>
    <w:p w14:paraId="4BEA8044">
      <w:pPr>
        <w:snapToGrid w:val="0"/>
        <w:spacing w:line="340" w:lineRule="atLeast"/>
        <w:rPr>
          <w:color w:val="auto"/>
          <w:kern w:val="0"/>
          <w:szCs w:val="21"/>
        </w:rPr>
      </w:pPr>
      <w:r>
        <w:rPr>
          <w:b/>
          <w:color w:val="auto"/>
          <w:kern w:val="0"/>
          <w:szCs w:val="21"/>
        </w:rPr>
        <w:t xml:space="preserve">9.6.1  </w:t>
      </w:r>
      <w:r>
        <w:rPr>
          <w:color w:val="auto"/>
          <w:kern w:val="0"/>
          <w:szCs w:val="21"/>
        </w:rPr>
        <w:t>本节涉及的多桩型复合地基指由两种不同的竖向增强体（桩体）处理形成的复合地基，本节只对两种桩型与土体所形成的复合地基进行了规定，两种以上桩形与土体所形成的复合地基设计、施工与检测应通过试验确定其适用性和设计、施工参数。</w:t>
      </w:r>
    </w:p>
    <w:p w14:paraId="098877A4">
      <w:pPr>
        <w:snapToGrid w:val="0"/>
        <w:spacing w:line="340" w:lineRule="atLeast"/>
        <w:rPr>
          <w:color w:val="auto"/>
          <w:kern w:val="0"/>
          <w:szCs w:val="21"/>
        </w:rPr>
      </w:pPr>
      <w:r>
        <w:rPr>
          <w:b/>
          <w:color w:val="auto"/>
          <w:kern w:val="0"/>
          <w:szCs w:val="21"/>
        </w:rPr>
        <w:t xml:space="preserve">9.6.2 </w:t>
      </w:r>
      <w:r>
        <w:rPr>
          <w:color w:val="auto"/>
          <w:kern w:val="0"/>
          <w:szCs w:val="21"/>
        </w:rPr>
        <w:t xml:space="preserve"> 本条为多桩型复合地基的设计原则。采用多桩型复合地基处理，一般情况下场地土具有特殊性，采用一种增强体处理后达不到设计要求的承载力或变形要求，而采用一种增强体处理特殊性土，减少其特殊性的工程危害，再采用另一种增强体处理使之达到设计要求。</w:t>
      </w:r>
    </w:p>
    <w:p w14:paraId="6FEBCB01">
      <w:pPr>
        <w:snapToGrid w:val="0"/>
        <w:spacing w:line="340" w:lineRule="atLeast"/>
        <w:rPr>
          <w:color w:val="auto"/>
          <w:kern w:val="0"/>
          <w:szCs w:val="21"/>
        </w:rPr>
      </w:pPr>
      <w:r>
        <w:rPr>
          <w:color w:val="auto"/>
          <w:kern w:val="0"/>
          <w:szCs w:val="21"/>
        </w:rPr>
        <w:t xml:space="preserve">   多桩型复合地基的工作特性，是在等变形条件下的增强体和地基土共同承担荷载，必须通过现场试验确定设计参数和施工工艺。</w:t>
      </w:r>
    </w:p>
    <w:p w14:paraId="275ED429">
      <w:pPr>
        <w:snapToGrid w:val="0"/>
        <w:spacing w:line="340" w:lineRule="atLeast"/>
        <w:rPr>
          <w:color w:val="auto"/>
          <w:kern w:val="0"/>
          <w:szCs w:val="21"/>
        </w:rPr>
      </w:pPr>
      <w:r>
        <w:rPr>
          <w:b/>
          <w:color w:val="auto"/>
          <w:kern w:val="0"/>
          <w:szCs w:val="21"/>
        </w:rPr>
        <w:t xml:space="preserve">9.6.3 </w:t>
      </w:r>
      <w:r>
        <w:rPr>
          <w:color w:val="auto"/>
          <w:kern w:val="0"/>
          <w:szCs w:val="21"/>
        </w:rPr>
        <w:t xml:space="preserve"> 工程中，由于土性的差异，加之不同桩型的施工工艺不同，不同的施工顺序会导致不同的挤土效果。因此，对施工扰动敏感的土层，应充分考虑后施工桩（尤其是挤土工艺桩）对已施工增强体或桩体承载力的影响，必要时应通过试验确定方案的适应性。</w:t>
      </w:r>
    </w:p>
    <w:p w14:paraId="56C0C464">
      <w:pPr>
        <w:pStyle w:val="34"/>
        <w:numPr>
          <w:ilvl w:val="0"/>
          <w:numId w:val="3"/>
        </w:numPr>
        <w:rPr>
          <w:color w:val="auto"/>
          <w:sz w:val="24"/>
          <w:szCs w:val="24"/>
        </w:rPr>
      </w:pPr>
      <w:bookmarkStart w:id="180" w:name="_Toc182498994"/>
      <w:r>
        <w:rPr>
          <w:b/>
          <w:bCs w:val="0"/>
          <w:color w:val="auto"/>
        </w:rPr>
        <w:t>山区地基</w:t>
      </w:r>
      <w:bookmarkEnd w:id="180"/>
    </w:p>
    <w:p w14:paraId="4D1E7F9D">
      <w:pPr>
        <w:pStyle w:val="77"/>
        <w:rPr>
          <w:color w:val="auto"/>
        </w:rPr>
      </w:pPr>
      <w:bookmarkStart w:id="181" w:name="_Toc182498995"/>
      <w:r>
        <w:rPr>
          <w:color w:val="auto"/>
        </w:rPr>
        <w:t>10.1  一般规定</w:t>
      </w:r>
      <w:bookmarkEnd w:id="181"/>
    </w:p>
    <w:p w14:paraId="487A1B83">
      <w:pPr>
        <w:snapToGrid w:val="0"/>
        <w:spacing w:line="340" w:lineRule="atLeast"/>
        <w:rPr>
          <w:color w:val="auto"/>
        </w:rPr>
      </w:pPr>
      <w:r>
        <w:rPr>
          <w:b/>
          <w:color w:val="auto"/>
        </w:rPr>
        <w:t xml:space="preserve">10.1.6  </w:t>
      </w:r>
      <w:r>
        <w:rPr>
          <w:color w:val="auto"/>
        </w:rPr>
        <w:t>山区地基因地形起伏较大，同一建筑物的基底标高不易统一，应根据地形、地貌及持力层起伏情况合理确定基底、承台底或桩底标高。在保证基础稳定的前提下避免大挖、大填。当相邻基础标高相差较大时，必须根据原始地形、地貌及岩土性质评价地基稳定性，必要时应通过计算进行确认。当地基稳定性不能满足要求，加大基础埋深有困难时，经过技术、经济比较可采取支挡措施，对临空的稳定岩土面应采取适当的保护措施。</w:t>
      </w:r>
    </w:p>
    <w:p w14:paraId="38FF28C4">
      <w:pPr>
        <w:pStyle w:val="77"/>
        <w:rPr>
          <w:color w:val="auto"/>
        </w:rPr>
      </w:pPr>
      <w:bookmarkStart w:id="182" w:name="_Toc182498996"/>
      <w:r>
        <w:rPr>
          <w:rFonts w:ascii="黑体" w:hAnsi="黑体"/>
          <w:color w:val="auto"/>
        </w:rPr>
        <w:t xml:space="preserve">10.2  </w:t>
      </w:r>
      <w:r>
        <w:rPr>
          <w:color w:val="auto"/>
        </w:rPr>
        <w:t>勘察要求</w:t>
      </w:r>
      <w:bookmarkEnd w:id="182"/>
    </w:p>
    <w:p w14:paraId="71AE3E99">
      <w:pPr>
        <w:snapToGrid w:val="0"/>
        <w:spacing w:line="340" w:lineRule="atLeast"/>
        <w:rPr>
          <w:color w:val="auto"/>
        </w:rPr>
      </w:pPr>
      <w:r>
        <w:rPr>
          <w:b/>
          <w:bCs/>
          <w:color w:val="auto"/>
        </w:rPr>
        <w:t>10.2.1～10.2.3</w:t>
      </w:r>
      <w:r>
        <w:rPr>
          <w:color w:val="auto"/>
        </w:rPr>
        <w:t xml:space="preserve">  鉴于山区地基的复杂性，除按GB</w:t>
      </w:r>
      <w:r>
        <w:rPr>
          <w:rFonts w:hint="eastAsia"/>
          <w:color w:val="auto"/>
        </w:rPr>
        <w:t xml:space="preserve"> </w:t>
      </w:r>
      <w:r>
        <w:rPr>
          <w:color w:val="auto"/>
        </w:rPr>
        <w:t>50021进行勘察外，本条着重强调了山区地基的勘察要求。湖北省山区面积较大，当地勘察力量薄弱，手段不全，可采用调查、坑探、取样等辅助方法予以补充。对存在滑坡、崩塌、泥石流等地质灾害的场地，应通过详细的勘察为建筑物设计及地质灾害治理提供依据。</w:t>
      </w:r>
    </w:p>
    <w:p w14:paraId="5A292ABC">
      <w:pPr>
        <w:snapToGrid w:val="0"/>
        <w:spacing w:line="340" w:lineRule="atLeast"/>
        <w:ind w:firstLine="420" w:firstLineChars="200"/>
        <w:rPr>
          <w:color w:val="auto"/>
        </w:rPr>
      </w:pPr>
      <w:r>
        <w:rPr>
          <w:color w:val="auto"/>
        </w:rPr>
        <w:t>边坡工程影响面较广，处理不当就可能酿成地质灾害，工程地质勘察工作尤为重要。勘察工作不能局限于红线范围，必须扩大勘察范围，一般在坡顶的勘察范围应达到坡高的1倍～2倍，才能获得较完整的地质资料，对于高大边坡应进行专题研究，提出勘察方案。</w:t>
      </w:r>
    </w:p>
    <w:p w14:paraId="43AB34E3">
      <w:pPr>
        <w:snapToGrid w:val="0"/>
        <w:spacing w:line="340" w:lineRule="atLeast"/>
        <w:ind w:firstLine="420" w:firstLineChars="200"/>
        <w:rPr>
          <w:color w:val="auto"/>
        </w:rPr>
      </w:pPr>
      <w:r>
        <w:rPr>
          <w:color w:val="auto"/>
        </w:rPr>
        <w:t>“5.12”汶川地震以及“4.14”玉树地震的震害宏观调查表明，强震区地震引发崩塌、滑坡、泥石流等次生地质灾害，对灾区人民生命财产造成重大损害。因此，对于抗震设防烈度大于等于7度的场地，应评价地震引发崩塌、滑坡等地质灾害的可能性，并提出地质灾害防治措施建议。</w:t>
      </w:r>
    </w:p>
    <w:p w14:paraId="46EE8675">
      <w:pPr>
        <w:pStyle w:val="77"/>
        <w:rPr>
          <w:color w:val="auto"/>
        </w:rPr>
      </w:pPr>
      <w:bookmarkStart w:id="183" w:name="_Toc182498997"/>
      <w:r>
        <w:rPr>
          <w:rFonts w:ascii="黑体" w:hAnsi="黑体"/>
          <w:color w:val="auto"/>
        </w:rPr>
        <w:t>10.3</w:t>
      </w:r>
      <w:r>
        <w:rPr>
          <w:color w:val="auto"/>
        </w:rPr>
        <w:t xml:space="preserve">  岩石地基</w:t>
      </w:r>
      <w:bookmarkEnd w:id="183"/>
    </w:p>
    <w:p w14:paraId="169412F8">
      <w:pPr>
        <w:snapToGrid w:val="0"/>
        <w:spacing w:line="340" w:lineRule="atLeast"/>
        <w:rPr>
          <w:color w:val="auto"/>
        </w:rPr>
      </w:pPr>
      <w:r>
        <w:rPr>
          <w:b/>
          <w:bCs/>
          <w:color w:val="auto"/>
        </w:rPr>
        <w:t>10.3.1</w:t>
      </w:r>
      <w:r>
        <w:rPr>
          <w:color w:val="auto"/>
        </w:rPr>
        <w:t xml:space="preserve">  岩石地基中，持力层范围内软岩、硬岩相间出现的现象很常见。在平面上软硬岩石相间分布或在垂向上硬岩有一定厚度、软岩有一定埋深的情况下，为安全合理地使用地基，应对地基的承载力和变形进行验算。岩石可视为不可压缩的地基，上部荷载通过基础传递到岩石地基上时，基底应力以直接传递为主，应力呈柱状分布，当荷载不断增加使岩石裂缝被压密产生微小沉降而卸荷时，部分荷载将转移到冲切锥范围以外，应力扩散后基底压力呈钟形分布。验算岩石下卧层强度时，基底压力扩散角根据岩石完整程度可按30°～40°计算。</w:t>
      </w:r>
    </w:p>
    <w:p w14:paraId="69E5263C">
      <w:pPr>
        <w:snapToGrid w:val="0"/>
        <w:spacing w:line="340" w:lineRule="atLeast"/>
        <w:ind w:firstLine="420" w:firstLineChars="200"/>
        <w:rPr>
          <w:color w:val="auto"/>
        </w:rPr>
      </w:pPr>
      <w:r>
        <w:rPr>
          <w:color w:val="auto"/>
        </w:rPr>
        <w:t>由于岩石地基刚度大，在岩性均匀的情况下可不考虑不均匀沉降的影响，故同一建筑物中允许使用多种基础形式，允许桩基、条形基础、独立基础并用。</w:t>
      </w:r>
    </w:p>
    <w:p w14:paraId="22169DB9">
      <w:pPr>
        <w:snapToGrid w:val="0"/>
        <w:spacing w:line="340" w:lineRule="atLeast"/>
        <w:ind w:firstLine="420" w:firstLineChars="200"/>
        <w:rPr>
          <w:color w:val="auto"/>
        </w:rPr>
      </w:pPr>
      <w:r>
        <w:rPr>
          <w:color w:val="auto"/>
        </w:rPr>
        <w:t>基岩面起伏大并形成临空面较常见，应重视临空面对地基稳定性的影响，确保安全，</w:t>
      </w:r>
    </w:p>
    <w:p w14:paraId="38748985">
      <w:pPr>
        <w:pStyle w:val="77"/>
        <w:rPr>
          <w:color w:val="auto"/>
        </w:rPr>
      </w:pPr>
      <w:bookmarkStart w:id="184" w:name="_Toc182498998"/>
      <w:r>
        <w:rPr>
          <w:color w:val="auto"/>
        </w:rPr>
        <w:t>10.4  土岩组合地基</w:t>
      </w:r>
      <w:bookmarkEnd w:id="184"/>
    </w:p>
    <w:p w14:paraId="1B3FF501">
      <w:pPr>
        <w:snapToGrid w:val="0"/>
        <w:spacing w:line="340" w:lineRule="atLeast"/>
        <w:rPr>
          <w:color w:val="auto"/>
        </w:rPr>
      </w:pPr>
      <w:r>
        <w:rPr>
          <w:b/>
          <w:bCs/>
          <w:color w:val="auto"/>
        </w:rPr>
        <w:t>10.4.5</w:t>
      </w:r>
      <w:r>
        <w:rPr>
          <w:color w:val="auto"/>
        </w:rPr>
        <w:t xml:space="preserve">  对重要的或荷载较大的建筑物以及对变形有严格要求的建筑物，在芽密布或大块孤石、个别石芽出露的场地，宜选用岩石作为基础持力层。此时可采用墩基、桩基或梁、拱跨越等措施，保证建筑物的正常使用。</w:t>
      </w:r>
    </w:p>
    <w:p w14:paraId="41E684AC">
      <w:pPr>
        <w:pStyle w:val="77"/>
        <w:rPr>
          <w:color w:val="auto"/>
        </w:rPr>
      </w:pPr>
      <w:bookmarkStart w:id="185" w:name="_Toc182498999"/>
      <w:r>
        <w:rPr>
          <w:color w:val="auto"/>
        </w:rPr>
        <w:t>10.5  岩土边坡治理</w:t>
      </w:r>
      <w:bookmarkEnd w:id="185"/>
    </w:p>
    <w:p w14:paraId="236D5A51">
      <w:pPr>
        <w:snapToGrid w:val="0"/>
        <w:spacing w:line="340" w:lineRule="atLeast"/>
        <w:rPr>
          <w:color w:val="auto"/>
        </w:rPr>
      </w:pPr>
      <w:r>
        <w:rPr>
          <w:b/>
          <w:bCs/>
          <w:color w:val="auto"/>
        </w:rPr>
        <w:t>10.5.</w:t>
      </w:r>
      <w:r>
        <w:rPr>
          <w:rFonts w:hint="eastAsia"/>
          <w:b/>
          <w:bCs/>
          <w:color w:val="auto"/>
        </w:rPr>
        <w:t>2</w:t>
      </w:r>
      <w:r>
        <w:rPr>
          <w:b/>
          <w:bCs/>
          <w:color w:val="auto"/>
        </w:rPr>
        <w:t>～10.5.3</w:t>
      </w:r>
      <w:r>
        <w:rPr>
          <w:color w:val="auto"/>
        </w:rPr>
        <w:t xml:space="preserve">  引用了GB</w:t>
      </w:r>
      <w:r>
        <w:rPr>
          <w:rFonts w:hint="eastAsia"/>
          <w:color w:val="auto"/>
        </w:rPr>
        <w:t xml:space="preserve"> </w:t>
      </w:r>
      <w:r>
        <w:rPr>
          <w:color w:val="auto"/>
        </w:rPr>
        <w:t>50330的规定，详见GB</w:t>
      </w:r>
      <w:r>
        <w:rPr>
          <w:rFonts w:hint="eastAsia"/>
          <w:color w:val="auto"/>
        </w:rPr>
        <w:t xml:space="preserve"> </w:t>
      </w:r>
      <w:r>
        <w:rPr>
          <w:color w:val="auto"/>
        </w:rPr>
        <w:t>50330的相关说明。</w:t>
      </w:r>
    </w:p>
    <w:p w14:paraId="60FB9739">
      <w:pPr>
        <w:pStyle w:val="18"/>
        <w:snapToGrid w:val="0"/>
        <w:spacing w:line="360" w:lineRule="exact"/>
        <w:rPr>
          <w:rFonts w:hint="eastAsia" w:ascii="Times New Roman" w:hAnsi="Times New Roman"/>
          <w:color w:val="auto"/>
          <w:szCs w:val="24"/>
        </w:rPr>
      </w:pPr>
      <w:r>
        <w:rPr>
          <w:rFonts w:ascii="Times New Roman" w:hAnsi="Times New Roman"/>
          <w:b/>
          <w:bCs/>
          <w:color w:val="auto"/>
        </w:rPr>
        <w:t>10.5.5</w:t>
      </w:r>
      <w:r>
        <w:rPr>
          <w:rFonts w:hint="eastAsia" w:ascii="Times New Roman" w:hAnsi="Times New Roman"/>
          <w:color w:val="auto"/>
          <w:szCs w:val="24"/>
        </w:rPr>
        <w:t>本条第1~3款所列内容为支护结构承载力计算和稳定性计算的基本要求，是边坡工程满足承载力极限状态的具体内容，是支护结构安全的重要保证，设计时上述内容应认真计算，满足规范要求以确保工程安全。</w:t>
      </w:r>
    </w:p>
    <w:p w14:paraId="10429A3C">
      <w:pPr>
        <w:snapToGrid w:val="0"/>
        <w:spacing w:line="340" w:lineRule="atLeast"/>
        <w:rPr>
          <w:color w:val="auto"/>
        </w:rPr>
      </w:pPr>
      <w:r>
        <w:rPr>
          <w:b/>
          <w:bCs/>
          <w:color w:val="auto"/>
        </w:rPr>
        <w:t>10.5.</w:t>
      </w:r>
      <w:r>
        <w:rPr>
          <w:rFonts w:hint="eastAsia"/>
          <w:b/>
          <w:bCs/>
          <w:color w:val="auto"/>
        </w:rPr>
        <w:t>7</w:t>
      </w:r>
      <w:r>
        <w:rPr>
          <w:b/>
          <w:bCs/>
          <w:color w:val="auto"/>
        </w:rPr>
        <w:t>～10.5.13</w:t>
      </w:r>
      <w:r>
        <w:rPr>
          <w:color w:val="auto"/>
        </w:rPr>
        <w:t xml:space="preserve">  引用了GB</w:t>
      </w:r>
      <w:r>
        <w:rPr>
          <w:rFonts w:hint="eastAsia"/>
          <w:color w:val="auto"/>
        </w:rPr>
        <w:t xml:space="preserve"> </w:t>
      </w:r>
      <w:r>
        <w:rPr>
          <w:color w:val="auto"/>
        </w:rPr>
        <w:t>50330的规定，详见GB</w:t>
      </w:r>
      <w:r>
        <w:rPr>
          <w:rFonts w:hint="eastAsia"/>
          <w:color w:val="auto"/>
        </w:rPr>
        <w:t xml:space="preserve"> </w:t>
      </w:r>
      <w:r>
        <w:rPr>
          <w:color w:val="auto"/>
        </w:rPr>
        <w:t>50330的相关说明。</w:t>
      </w:r>
    </w:p>
    <w:p w14:paraId="41B03B69">
      <w:pPr>
        <w:snapToGrid w:val="0"/>
        <w:spacing w:line="340" w:lineRule="atLeast"/>
        <w:rPr>
          <w:color w:val="auto"/>
        </w:rPr>
      </w:pPr>
      <w:r>
        <w:rPr>
          <w:b/>
          <w:bCs/>
          <w:color w:val="auto"/>
          <w:szCs w:val="20"/>
        </w:rPr>
        <w:t>10.5.</w:t>
      </w:r>
      <w:r>
        <w:rPr>
          <w:rFonts w:hint="eastAsia"/>
          <w:b/>
          <w:bCs/>
          <w:color w:val="auto"/>
          <w:szCs w:val="20"/>
        </w:rPr>
        <w:t>19</w:t>
      </w:r>
      <w:r>
        <w:rPr>
          <w:color w:val="auto"/>
        </w:rPr>
        <w:t xml:space="preserve">  本条引用了GB</w:t>
      </w:r>
      <w:r>
        <w:rPr>
          <w:rFonts w:hint="eastAsia"/>
          <w:color w:val="auto"/>
        </w:rPr>
        <w:t xml:space="preserve"> </w:t>
      </w:r>
      <w:r>
        <w:rPr>
          <w:color w:val="auto"/>
        </w:rPr>
        <w:t>50330的相关规定。本条中土质及岩质边坡的坡率允许值已沿用多年，土质边坡的高度大于6m时宜分级放坡，岩质边坡的坡高大于15m时，根据岩层力学性质，产状等也可分级放坡，分级放坡便于施工和维护。分级放坡的前提是场地条件允许，同时应经过技术经济比较。</w:t>
      </w:r>
    </w:p>
    <w:p w14:paraId="228368F2">
      <w:pPr>
        <w:snapToGrid w:val="0"/>
        <w:spacing w:line="340" w:lineRule="atLeast"/>
        <w:rPr>
          <w:color w:val="auto"/>
        </w:rPr>
      </w:pPr>
      <w:r>
        <w:rPr>
          <w:b/>
          <w:bCs/>
          <w:color w:val="auto"/>
        </w:rPr>
        <w:t>10.5.21～10.5.22</w:t>
      </w:r>
      <w:r>
        <w:rPr>
          <w:color w:val="auto"/>
        </w:rPr>
        <w:t xml:space="preserve">  所列主动土压力计算公式是按照楔体平衡条件求极值的方法推导而得到的。计算时可以考虑凝聚力</w:t>
      </w:r>
      <w:r>
        <w:rPr>
          <w:rFonts w:hint="eastAsia"/>
          <w:i/>
          <w:color w:val="auto"/>
        </w:rPr>
        <w:t>c</w:t>
      </w:r>
      <w:r>
        <w:rPr>
          <w:color w:val="auto"/>
        </w:rPr>
        <w:t>和超载q、墙背不同倾斜度、粗糙度以及墙顶地面坡度等因素，且不必进行多次试算，因此适应性很广。由于土压力的发挥与挡土结构的位移有关，在位移达不到极限状态的情况下，实际土压力值通常大于计算值，故对高大挡土墙应对计算结果乘以增大系数。</w:t>
      </w:r>
    </w:p>
    <w:p w14:paraId="43780698">
      <w:pPr>
        <w:snapToGrid w:val="0"/>
        <w:spacing w:line="340" w:lineRule="atLeast"/>
        <w:rPr>
          <w:rFonts w:hint="eastAsia"/>
          <w:color w:val="auto"/>
        </w:rPr>
      </w:pPr>
      <w:r>
        <w:rPr>
          <w:b/>
          <w:bCs/>
          <w:color w:val="auto"/>
        </w:rPr>
        <w:t>10.5.29</w:t>
      </w:r>
      <w:r>
        <w:rPr>
          <w:color w:val="auto"/>
        </w:rPr>
        <w:t xml:space="preserve">  引用了GB</w:t>
      </w:r>
      <w:r>
        <w:rPr>
          <w:rFonts w:hint="eastAsia"/>
          <w:color w:val="auto"/>
        </w:rPr>
        <w:t xml:space="preserve"> </w:t>
      </w:r>
      <w:r>
        <w:rPr>
          <w:color w:val="auto"/>
        </w:rPr>
        <w:t>55003的相关规定</w:t>
      </w:r>
      <w:r>
        <w:rPr>
          <w:rFonts w:hint="eastAsia"/>
          <w:color w:val="auto"/>
        </w:rPr>
        <w:t>。</w:t>
      </w:r>
    </w:p>
    <w:p w14:paraId="71C9164F">
      <w:pPr>
        <w:pStyle w:val="77"/>
        <w:rPr>
          <w:color w:val="auto"/>
        </w:rPr>
      </w:pPr>
      <w:bookmarkStart w:id="186" w:name="_Toc182499000"/>
      <w:r>
        <w:rPr>
          <w:color w:val="auto"/>
        </w:rPr>
        <w:t>10.6  压实填土地基</w:t>
      </w:r>
      <w:bookmarkEnd w:id="186"/>
    </w:p>
    <w:p w14:paraId="631087EC">
      <w:pPr>
        <w:snapToGrid w:val="0"/>
        <w:spacing w:line="340" w:lineRule="atLeast"/>
        <w:rPr>
          <w:color w:val="auto"/>
        </w:rPr>
      </w:pPr>
      <w:r>
        <w:rPr>
          <w:b/>
          <w:bCs/>
          <w:color w:val="auto"/>
        </w:rPr>
        <w:t>10.6.1</w:t>
      </w:r>
      <w:r>
        <w:rPr>
          <w:color w:val="auto"/>
        </w:rPr>
        <w:t xml:space="preserve">  当前大量的建筑物场地在未经填土设计的前提下盲目填筑，特别是深厚填土的场地，盲目填筑造成后续工作和二次处理的困难，因此在深厚填方区必须根据建筑物地基的要求以及二次处理的可行性进行认真研究，确定填料的性质、填筑措施，保证填土质量并满足二次处理的要求，避免造成损失。</w:t>
      </w:r>
    </w:p>
    <w:p w14:paraId="5AD642D4">
      <w:pPr>
        <w:snapToGrid w:val="0"/>
        <w:spacing w:line="340" w:lineRule="atLeast"/>
        <w:rPr>
          <w:color w:val="auto"/>
        </w:rPr>
      </w:pPr>
      <w:r>
        <w:rPr>
          <w:b/>
          <w:bCs/>
          <w:color w:val="auto"/>
        </w:rPr>
        <w:t>10.6.4</w:t>
      </w:r>
      <w:r>
        <w:rPr>
          <w:color w:val="auto"/>
        </w:rPr>
        <w:t xml:space="preserve">  在厚度较大的压实填土上进行建筑，由于填土的不均匀性且其多为欠固结土，变形计算的精度较低，为估算性质。对重要的建筑物，当压实填土较厚或厚薄不均时，应进行二次处理，如采用桩基，桩端应进入填土层下部较好土层一定的深度。单桩承载力计算中不应考虑填土的摩阻力，必要时尚应计及填土的负摩阻力。</w:t>
      </w:r>
    </w:p>
    <w:p w14:paraId="4F66679D">
      <w:pPr>
        <w:snapToGrid w:val="0"/>
        <w:spacing w:line="340" w:lineRule="atLeast"/>
        <w:rPr>
          <w:color w:val="auto"/>
        </w:rPr>
      </w:pPr>
      <w:r>
        <w:rPr>
          <w:b/>
          <w:bCs/>
          <w:color w:val="auto"/>
        </w:rPr>
        <w:t>10.6.14</w:t>
      </w:r>
      <w:r>
        <w:rPr>
          <w:color w:val="auto"/>
        </w:rPr>
        <w:t xml:space="preserve">  当利用厚度较大的压实填土作为天然地基的持力层时，由于填土的不均匀性，应采取建筑措施。如采取缩短结构单元长度，使建筑物长高比小于2.5；加强基础及上部结构刚度等措施。当一个结构单元下填土厚度不均时，差异沉降很难估计，因此同一结构单元不应置于填土厚度严重不均的场地。</w:t>
      </w:r>
    </w:p>
    <w:p w14:paraId="63BD84C2">
      <w:pPr>
        <w:pStyle w:val="34"/>
        <w:numPr>
          <w:ilvl w:val="0"/>
          <w:numId w:val="3"/>
        </w:numPr>
        <w:rPr>
          <w:b/>
          <w:bCs w:val="0"/>
          <w:color w:val="auto"/>
        </w:rPr>
      </w:pPr>
      <w:bookmarkStart w:id="187" w:name="_Toc182499001"/>
      <w:r>
        <w:rPr>
          <w:b/>
          <w:bCs w:val="0"/>
          <w:color w:val="auto"/>
        </w:rPr>
        <w:t>特殊土地基及特殊场地</w:t>
      </w:r>
      <w:bookmarkEnd w:id="187"/>
    </w:p>
    <w:p w14:paraId="5488B39C">
      <w:pPr>
        <w:pStyle w:val="77"/>
        <w:rPr>
          <w:color w:val="auto"/>
        </w:rPr>
      </w:pPr>
      <w:bookmarkStart w:id="188" w:name="_Toc182499002"/>
      <w:r>
        <w:rPr>
          <w:color w:val="auto"/>
        </w:rPr>
        <w:t>11.1  膨胀土地基</w:t>
      </w:r>
      <w:bookmarkEnd w:id="188"/>
    </w:p>
    <w:p w14:paraId="497CB435">
      <w:pPr>
        <w:adjustRightInd w:val="0"/>
        <w:snapToGrid w:val="0"/>
        <w:spacing w:line="360" w:lineRule="atLeast"/>
        <w:rPr>
          <w:b/>
          <w:color w:val="auto"/>
        </w:rPr>
      </w:pPr>
      <w:r>
        <w:rPr>
          <w:b/>
          <w:color w:val="auto"/>
        </w:rPr>
        <w:t>11.1.1</w:t>
      </w:r>
    </w:p>
    <w:p w14:paraId="5B11C347">
      <w:pPr>
        <w:adjustRightInd w:val="0"/>
        <w:snapToGrid w:val="0"/>
        <w:spacing w:line="360" w:lineRule="atLeast"/>
        <w:ind w:firstLine="422" w:firstLineChars="200"/>
        <w:rPr>
          <w:color w:val="auto"/>
          <w:szCs w:val="21"/>
        </w:rPr>
      </w:pPr>
      <w:r>
        <w:rPr>
          <w:b/>
          <w:bCs/>
          <w:color w:val="auto"/>
          <w:szCs w:val="21"/>
        </w:rPr>
        <w:t>a)</w:t>
      </w:r>
      <w:r>
        <w:rPr>
          <w:rFonts w:hint="eastAsia"/>
          <w:b/>
          <w:bCs/>
          <w:color w:val="auto"/>
          <w:szCs w:val="21"/>
        </w:rPr>
        <w:t xml:space="preserve">  </w:t>
      </w:r>
      <w:r>
        <w:rPr>
          <w:color w:val="auto"/>
          <w:szCs w:val="21"/>
        </w:rPr>
        <w:t>可行性研究勘察阶段以工程地质调查为主，主要内容应查明有无膨胀土。工程地质调查的内容是按综合判定膨胀土的要求提出的，即土的自由膨胀率、工程地质特征、建筑物损坏情况等。</w:t>
      </w:r>
    </w:p>
    <w:p w14:paraId="1AB658F8">
      <w:pPr>
        <w:adjustRightInd w:val="0"/>
        <w:snapToGrid w:val="0"/>
        <w:spacing w:line="360" w:lineRule="atLeast"/>
        <w:ind w:firstLine="422" w:firstLineChars="200"/>
        <w:rPr>
          <w:color w:val="auto"/>
          <w:szCs w:val="21"/>
        </w:rPr>
      </w:pPr>
      <w:r>
        <w:rPr>
          <w:b/>
          <w:bCs/>
          <w:color w:val="auto"/>
          <w:szCs w:val="21"/>
        </w:rPr>
        <w:t>b)</w:t>
      </w:r>
      <w:r>
        <w:rPr>
          <w:rFonts w:hint="eastAsia"/>
          <w:b/>
          <w:bCs/>
          <w:color w:val="auto"/>
          <w:szCs w:val="21"/>
        </w:rPr>
        <w:t xml:space="preserve">  </w:t>
      </w:r>
      <w:r>
        <w:rPr>
          <w:color w:val="auto"/>
          <w:szCs w:val="21"/>
        </w:rPr>
        <w:t>初步勘察除要求查明不良地质作用、地貌、地下水等情况外，还要求进行原状土基本物理力学性质、膨胀、收缩、膨胀力试验，以确定膨胀土的胀缩等级，为建筑总平面布置、主要建筑物地基基础方案和预防措施以及不良地质作用的防治提供资料和建议。</w:t>
      </w:r>
    </w:p>
    <w:p w14:paraId="6C651DC0">
      <w:pPr>
        <w:adjustRightInd w:val="0"/>
        <w:snapToGrid w:val="0"/>
        <w:spacing w:line="360" w:lineRule="atLeast"/>
        <w:ind w:firstLine="422" w:firstLineChars="200"/>
        <w:rPr>
          <w:color w:val="auto"/>
          <w:szCs w:val="21"/>
        </w:rPr>
      </w:pPr>
      <w:r>
        <w:rPr>
          <w:b/>
          <w:bCs/>
          <w:color w:val="auto"/>
          <w:szCs w:val="21"/>
        </w:rPr>
        <w:t>c)</w:t>
      </w:r>
      <w:r>
        <w:rPr>
          <w:rFonts w:hint="eastAsia"/>
          <w:b/>
          <w:bCs/>
          <w:color w:val="auto"/>
          <w:szCs w:val="21"/>
        </w:rPr>
        <w:t xml:space="preserve">  </w:t>
      </w:r>
      <w:r>
        <w:rPr>
          <w:color w:val="auto"/>
          <w:szCs w:val="21"/>
        </w:rPr>
        <w:t>详细勘察除一般要求外，应确定建筑物地基土层分布及其物理力学性质和胀缩性能，为地基基础的设计、防治措施和边坡防护以及不良地质作用的治理，提供详细的工程地质资料和建议。</w:t>
      </w:r>
    </w:p>
    <w:p w14:paraId="0BF8AC56">
      <w:pPr>
        <w:adjustRightInd w:val="0"/>
        <w:snapToGrid w:val="0"/>
        <w:spacing w:line="360" w:lineRule="atLeast"/>
        <w:ind w:firstLine="422" w:firstLineChars="200"/>
        <w:rPr>
          <w:color w:val="auto"/>
          <w:szCs w:val="21"/>
        </w:rPr>
      </w:pPr>
      <w:r>
        <w:rPr>
          <w:b/>
          <w:bCs/>
          <w:color w:val="auto"/>
          <w:szCs w:val="21"/>
        </w:rPr>
        <w:t>d)</w:t>
      </w:r>
      <w:r>
        <w:rPr>
          <w:rFonts w:hint="eastAsia"/>
          <w:b/>
          <w:bCs/>
          <w:color w:val="auto"/>
          <w:szCs w:val="21"/>
        </w:rPr>
        <w:t xml:space="preserve">  </w:t>
      </w:r>
      <w:r>
        <w:rPr>
          <w:color w:val="auto"/>
          <w:szCs w:val="21"/>
        </w:rPr>
        <w:t>结合膨胀土地基的特殊情况，对勘探点的布置、孔深和土样采取提出要求。根据大气影响深度及胀缩性评价所需的最少土样数量，规定膨胀土地面下5m以内必须采取土样，地基基础设计等级为甲级的建筑物，取原状土样的勘探点不得少于3个。大气影响深度范围内是膨胀土的活动带，故要求适当增加取样数量。经多年现场观测，我国膨胀土地区平坦场地的大气影响深度一般在5m以内，地面5m以下由于土的含水量受大气影响较小，采取土样进行胀缩性试验</w:t>
      </w:r>
      <w:r>
        <w:rPr>
          <w:rFonts w:hint="eastAsia"/>
          <w:color w:val="auto"/>
          <w:szCs w:val="21"/>
        </w:rPr>
        <w:t>的数量可适当减少</w:t>
      </w:r>
      <w:r>
        <w:rPr>
          <w:color w:val="auto"/>
          <w:szCs w:val="21"/>
        </w:rPr>
        <w:t>。如果地下水位波动很大，或有溶沟溶槽水时，则应根据具体情况确定采取土样的深度。</w:t>
      </w:r>
    </w:p>
    <w:p w14:paraId="65CC5D8E">
      <w:pPr>
        <w:adjustRightInd w:val="0"/>
        <w:snapToGrid w:val="0"/>
        <w:spacing w:line="360" w:lineRule="atLeast"/>
        <w:rPr>
          <w:color w:val="auto"/>
          <w:szCs w:val="21"/>
        </w:rPr>
      </w:pPr>
      <w:r>
        <w:rPr>
          <w:color w:val="auto"/>
          <w:szCs w:val="21"/>
        </w:rPr>
        <w:t xml:space="preserve">    对于膨胀土地区的高层建筑，其岩土工程地质的勘察尚应符合现行国家标准GB</w:t>
      </w:r>
      <w:r>
        <w:rPr>
          <w:rFonts w:hint="eastAsia"/>
          <w:color w:val="auto"/>
          <w:szCs w:val="21"/>
          <w:lang w:val="en-US" w:eastAsia="zh-CN"/>
        </w:rPr>
        <w:t xml:space="preserve"> </w:t>
      </w:r>
      <w:r>
        <w:rPr>
          <w:color w:val="auto"/>
          <w:szCs w:val="21"/>
        </w:rPr>
        <w:t>50021的相关规定。</w:t>
      </w:r>
    </w:p>
    <w:p w14:paraId="62BBF4C5">
      <w:pPr>
        <w:adjustRightInd w:val="0"/>
        <w:snapToGrid w:val="0"/>
        <w:spacing w:line="360" w:lineRule="atLeast"/>
        <w:rPr>
          <w:b/>
          <w:color w:val="auto"/>
          <w:szCs w:val="21"/>
        </w:rPr>
      </w:pPr>
      <w:r>
        <w:rPr>
          <w:b/>
          <w:color w:val="auto"/>
          <w:szCs w:val="21"/>
        </w:rPr>
        <w:t>11.1.5</w:t>
      </w:r>
    </w:p>
    <w:p w14:paraId="4A2365D6">
      <w:pPr>
        <w:adjustRightInd w:val="0"/>
        <w:snapToGrid w:val="0"/>
        <w:spacing w:line="360" w:lineRule="atLeast"/>
        <w:ind w:firstLine="422" w:firstLineChars="200"/>
        <w:rPr>
          <w:color w:val="auto"/>
          <w:szCs w:val="21"/>
        </w:rPr>
      </w:pPr>
      <w:r>
        <w:rPr>
          <w:b/>
          <w:bCs/>
          <w:color w:val="auto"/>
          <w:szCs w:val="21"/>
        </w:rPr>
        <w:t>a)</w:t>
      </w:r>
      <w:r>
        <w:rPr>
          <w:rFonts w:hint="eastAsia"/>
          <w:b/>
          <w:bCs/>
          <w:color w:val="auto"/>
          <w:szCs w:val="21"/>
        </w:rPr>
        <w:t xml:space="preserve">  </w:t>
      </w:r>
      <w:r>
        <w:rPr>
          <w:color w:val="auto"/>
          <w:szCs w:val="21"/>
        </w:rPr>
        <w:t>膨胀土上建筑物的基础埋深除满足建筑的结构类型、基础形式和用途以及设备设施等要求外，尚应考虑膨胀土的地质特征和胀缩等级对结构安全的影响。</w:t>
      </w:r>
    </w:p>
    <w:p w14:paraId="31541484">
      <w:pPr>
        <w:adjustRightInd w:val="0"/>
        <w:snapToGrid w:val="0"/>
        <w:spacing w:line="360" w:lineRule="atLeast"/>
        <w:ind w:firstLine="422" w:firstLineChars="200"/>
        <w:rPr>
          <w:color w:val="auto"/>
          <w:szCs w:val="21"/>
        </w:rPr>
      </w:pPr>
      <w:r>
        <w:rPr>
          <w:b/>
          <w:bCs/>
          <w:color w:val="auto"/>
          <w:szCs w:val="21"/>
        </w:rPr>
        <w:t>b)</w:t>
      </w:r>
      <w:r>
        <w:rPr>
          <w:rFonts w:hint="eastAsia"/>
          <w:b/>
          <w:bCs/>
          <w:color w:val="auto"/>
          <w:szCs w:val="21"/>
        </w:rPr>
        <w:t xml:space="preserve">  </w:t>
      </w:r>
      <w:r>
        <w:rPr>
          <w:color w:val="auto"/>
          <w:szCs w:val="21"/>
        </w:rPr>
        <w:t>膨胀土场地大量的分层测标、含水量和地温等多年观测结果表明：在大气压力的作用下，近地表土层长期受到湿胀干缩循环变形的影响，土中裂隙发育，土的强度指标特别是粘聚力严重降低，坡地上的大量浅层滑动也往往发生在地表下1.0m的范围内。该层是活动性极为强烈的地带，因此，本文件规定建筑物基础埋置深度不应小于1.0m。</w:t>
      </w:r>
    </w:p>
    <w:p w14:paraId="227705E9">
      <w:pPr>
        <w:adjustRightInd w:val="0"/>
        <w:snapToGrid w:val="0"/>
        <w:spacing w:line="360" w:lineRule="atLeast"/>
        <w:ind w:firstLine="422" w:firstLineChars="200"/>
        <w:rPr>
          <w:color w:val="auto"/>
          <w:szCs w:val="21"/>
        </w:rPr>
      </w:pPr>
      <w:r>
        <w:rPr>
          <w:b/>
          <w:bCs/>
          <w:color w:val="auto"/>
          <w:szCs w:val="21"/>
        </w:rPr>
        <w:t>c)</w:t>
      </w:r>
      <w:r>
        <w:rPr>
          <w:rFonts w:hint="eastAsia"/>
          <w:b/>
          <w:bCs/>
          <w:color w:val="auto"/>
          <w:szCs w:val="21"/>
        </w:rPr>
        <w:t xml:space="preserve">  </w:t>
      </w:r>
      <w:r>
        <w:rPr>
          <w:color w:val="auto"/>
          <w:szCs w:val="21"/>
        </w:rPr>
        <w:t>当以基础埋深为主要预防措施时，对于平坦场地，基础埋深不应小于当地的大气影响急剧层。例如：安徽合肥基础埋深大于1.6m时，地基的胀缩变形量已能满足要求，可不再采取其他防治措施；云南鸡街地区有6栋平房基础埋深1.5m～2.0m，经过多年的位移观测，房屋的变形幅度仅为1.4mm～4.7mm，房屋完好无损。而另一栋房屋基础埋深为0.6m，房屋的位移幅度达到49.6mm，房屋严重破坏。但是，对于1层～2层的房屋，过大的基础埋深可能使得造价偏高。因此，可采用墩式基础、柔性结构以及宽散水、砂垫层等措施减小基础埋深。如在某地损坏房屋地基上建造的试验房屋，采用墩式基础加砂垫层后，基础埋深为0.5m，也未发现房屋开裂。但是离地表1m深度内地基土含水量变化幅度及上升、下降变形都较大，对</w:t>
      </w:r>
      <w:r>
        <w:rPr>
          <w:rFonts w:eastAsia="Batang"/>
          <w:color w:val="auto"/>
          <w:szCs w:val="21"/>
        </w:rPr>
        <w:fldChar w:fldCharType="begin"/>
      </w:r>
      <w:r>
        <w:rPr>
          <w:rFonts w:eastAsia="Batang"/>
          <w:color w:val="auto"/>
          <w:szCs w:val="21"/>
        </w:rPr>
        <w:instrText xml:space="preserve"> = 2 \* ROMAN </w:instrText>
      </w:r>
      <w:r>
        <w:rPr>
          <w:rFonts w:eastAsia="Batang"/>
          <w:color w:val="auto"/>
          <w:szCs w:val="21"/>
        </w:rPr>
        <w:fldChar w:fldCharType="separate"/>
      </w:r>
      <w:r>
        <w:rPr>
          <w:rFonts w:eastAsia="Batang"/>
          <w:color w:val="auto"/>
          <w:szCs w:val="21"/>
        </w:rPr>
        <w:t>II</w:t>
      </w:r>
      <w:r>
        <w:rPr>
          <w:rFonts w:eastAsia="Batang"/>
          <w:color w:val="auto"/>
          <w:szCs w:val="21"/>
        </w:rPr>
        <w:fldChar w:fldCharType="end"/>
      </w:r>
      <w:r>
        <w:rPr>
          <w:rFonts w:eastAsia="Batang"/>
          <w:color w:val="auto"/>
          <w:szCs w:val="21"/>
        </w:rPr>
        <w:t>、</w:t>
      </w:r>
      <w:r>
        <w:rPr>
          <w:rFonts w:eastAsia="Batang"/>
          <w:color w:val="auto"/>
          <w:szCs w:val="21"/>
        </w:rPr>
        <w:fldChar w:fldCharType="begin"/>
      </w:r>
      <w:r>
        <w:rPr>
          <w:rFonts w:eastAsia="Batang"/>
          <w:color w:val="auto"/>
          <w:szCs w:val="21"/>
        </w:rPr>
        <w:instrText xml:space="preserve"> = 3 \* ROMAN </w:instrText>
      </w:r>
      <w:r>
        <w:rPr>
          <w:rFonts w:eastAsia="Batang"/>
          <w:color w:val="auto"/>
          <w:szCs w:val="21"/>
        </w:rPr>
        <w:fldChar w:fldCharType="separate"/>
      </w:r>
      <w:r>
        <w:rPr>
          <w:rFonts w:eastAsia="Batang"/>
          <w:color w:val="auto"/>
          <w:szCs w:val="21"/>
        </w:rPr>
        <w:t>III</w:t>
      </w:r>
      <w:r>
        <w:rPr>
          <w:rFonts w:eastAsia="Batang"/>
          <w:color w:val="auto"/>
          <w:szCs w:val="21"/>
        </w:rPr>
        <w:fldChar w:fldCharType="end"/>
      </w:r>
      <w:r>
        <w:rPr>
          <w:color w:val="auto"/>
          <w:szCs w:val="21"/>
        </w:rPr>
        <w:t>级膨胀土上的建筑物容易引起开裂。</w:t>
      </w:r>
    </w:p>
    <w:p w14:paraId="1D8F9400">
      <w:pPr>
        <w:adjustRightInd w:val="0"/>
        <w:snapToGrid w:val="0"/>
        <w:spacing w:line="360" w:lineRule="atLeast"/>
        <w:ind w:firstLine="420" w:firstLineChars="200"/>
        <w:rPr>
          <w:color w:val="auto"/>
          <w:szCs w:val="21"/>
        </w:rPr>
      </w:pPr>
      <w:r>
        <w:rPr>
          <w:color w:val="auto"/>
          <w:szCs w:val="21"/>
        </w:rPr>
        <w:t>由于各种结构的允许变形值不同，通过变形计算确定合适的基础埋深，是比较有效而经济的方法。</w:t>
      </w:r>
    </w:p>
    <w:p w14:paraId="0E7C794D">
      <w:pPr>
        <w:adjustRightInd w:val="0"/>
        <w:snapToGrid w:val="0"/>
        <w:spacing w:line="360" w:lineRule="atLeast"/>
        <w:rPr>
          <w:bCs/>
          <w:color w:val="auto"/>
          <w:szCs w:val="21"/>
        </w:rPr>
      </w:pPr>
      <w:r>
        <w:rPr>
          <w:b/>
          <w:color w:val="auto"/>
          <w:szCs w:val="21"/>
        </w:rPr>
        <w:t xml:space="preserve">11.1.9～11.1.10  </w:t>
      </w:r>
      <w:r>
        <w:rPr>
          <w:bCs/>
          <w:color w:val="auto"/>
          <w:szCs w:val="21"/>
        </w:rPr>
        <w:t>对全国膨胀土地区7个省中167栋不同场地条件有代表性的房屋和构筑物（其中包括23栋新建试验房）进行了4年～10年的竖向和水平位移、墙体裂缝、室内外不同深度的土体变形和含水量、地温以及树木影响的观测工作，对158栋较完整的资料进行统计分析表明，由于各地场地、气候和覆盖等条件的不同，膨胀土地基的竖向变形形态可分为上升型、下降型和升降循环波动型三种，如图5。</w:t>
      </w:r>
    </w:p>
    <w:p w14:paraId="77AE5B19">
      <w:pPr>
        <w:adjustRightInd w:val="0"/>
        <w:snapToGrid w:val="0"/>
        <w:ind w:right="27"/>
        <w:jc w:val="center"/>
        <w:rPr>
          <w:bCs/>
          <w:color w:val="auto"/>
          <w:szCs w:val="21"/>
        </w:rPr>
      </w:pPr>
      <w:r>
        <w:rPr>
          <w:color w:val="auto"/>
        </w:rPr>
        <w:object>
          <v:shape id="_x0000_i1832" o:spt="75" type="#_x0000_t75" style="height:192.95pt;width:262.2pt;" o:ole="t" filled="f" stroked="f" coordsize="21600,21600">
            <v:path/>
            <v:fill on="f" focussize="0,0"/>
            <v:stroke on="f"/>
            <v:imagedata r:id="rId1579" cropleft="12308f" croptop="6144f" cropright="12616f" cropbottom="6330f" o:title=""/>
            <o:lock v:ext="edit" grouping="f" rotation="f" text="f" aspectratio="t"/>
            <w10:wrap type="none"/>
            <w10:anchorlock/>
          </v:shape>
          <o:OLEObject Type="Embed" ProgID="AutoCAD.Drawing.16" ShapeID="_x0000_i1832" DrawAspect="Content" ObjectID="_1468076532" r:id="rId1578">
            <o:LockedField>false</o:LockedField>
          </o:OLEObject>
        </w:object>
      </w:r>
    </w:p>
    <w:p w14:paraId="0DC0975C">
      <w:pPr>
        <w:adjustRightInd w:val="0"/>
        <w:snapToGrid w:val="0"/>
        <w:ind w:right="26"/>
        <w:jc w:val="center"/>
        <w:rPr>
          <w:bCs/>
          <w:color w:val="auto"/>
          <w:sz w:val="18"/>
          <w:szCs w:val="18"/>
        </w:rPr>
      </w:pPr>
      <w:r>
        <w:rPr>
          <w:bCs/>
          <w:color w:val="auto"/>
          <w:sz w:val="18"/>
          <w:szCs w:val="18"/>
        </w:rPr>
        <w:t xml:space="preserve">     1－上升型变形；2－升降循环型变形；3－下降型变形</w:t>
      </w:r>
    </w:p>
    <w:p w14:paraId="58491E66">
      <w:pPr>
        <w:adjustRightInd w:val="0"/>
        <w:snapToGrid w:val="0"/>
        <w:spacing w:before="62" w:beforeLines="20"/>
        <w:ind w:right="28"/>
        <w:jc w:val="center"/>
        <w:rPr>
          <w:b/>
          <w:bCs/>
          <w:color w:val="auto"/>
          <w:sz w:val="18"/>
          <w:szCs w:val="18"/>
        </w:rPr>
      </w:pPr>
      <w:r>
        <w:rPr>
          <w:b/>
          <w:color w:val="auto"/>
          <w:sz w:val="18"/>
          <w:szCs w:val="18"/>
        </w:rPr>
        <w:t>图5  膨胀土上房屋的变形形态</w:t>
      </w:r>
    </w:p>
    <w:p w14:paraId="25C51C86">
      <w:pPr>
        <w:adjustRightInd w:val="0"/>
        <w:snapToGrid w:val="0"/>
        <w:spacing w:before="240" w:line="360" w:lineRule="auto"/>
        <w:ind w:right="480" w:firstLine="420"/>
        <w:rPr>
          <w:bCs/>
          <w:color w:val="auto"/>
          <w:szCs w:val="21"/>
        </w:rPr>
      </w:pPr>
      <w:r>
        <w:rPr>
          <w:bCs/>
          <w:color w:val="auto"/>
          <w:szCs w:val="21"/>
        </w:rPr>
        <w:t>表</w:t>
      </w:r>
      <w:r>
        <w:rPr>
          <w:rFonts w:hint="eastAsia"/>
          <w:bCs/>
          <w:color w:val="auto"/>
          <w:szCs w:val="21"/>
        </w:rPr>
        <w:t>7</w:t>
      </w:r>
      <w:r>
        <w:rPr>
          <w:bCs/>
          <w:color w:val="auto"/>
          <w:szCs w:val="21"/>
        </w:rPr>
        <w:t>是我国膨胀土地区155栋有代表性的房屋长期竖向位移观测结果的统计。</w:t>
      </w:r>
    </w:p>
    <w:p w14:paraId="50B8F6B7">
      <w:pPr>
        <w:pStyle w:val="12"/>
        <w:jc w:val="center"/>
        <w:rPr>
          <w:b/>
          <w:bCs/>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7</w:t>
      </w:r>
      <w:r>
        <w:rPr>
          <w:color w:val="auto"/>
        </w:rPr>
        <w:fldChar w:fldCharType="end"/>
      </w:r>
      <w:r>
        <w:rPr>
          <w:b/>
          <w:bCs/>
          <w:color w:val="auto"/>
          <w:szCs w:val="21"/>
        </w:rPr>
        <w:t xml:space="preserve">  膨胀土上房屋位移统计</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000"/>
        <w:gridCol w:w="1816"/>
        <w:gridCol w:w="1855"/>
        <w:gridCol w:w="1855"/>
      </w:tblGrid>
      <w:tr w14:paraId="1529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13" w:type="dxa"/>
            <w:gridSpan w:val="2"/>
            <w:vMerge w:val="restart"/>
            <w:noWrap w:val="0"/>
            <w:vAlign w:val="center"/>
          </w:tcPr>
          <w:p w14:paraId="1C0452CA">
            <w:pPr>
              <w:adjustRightInd w:val="0"/>
              <w:snapToGrid w:val="0"/>
              <w:ind w:right="480"/>
              <w:jc w:val="center"/>
              <w:rPr>
                <w:bCs/>
                <w:color w:val="auto"/>
                <w:sz w:val="18"/>
                <w:szCs w:val="18"/>
              </w:rPr>
            </w:pPr>
            <w:r>
              <w:rPr>
                <w:bCs/>
                <w:color w:val="auto"/>
                <w:sz w:val="18"/>
                <w:szCs w:val="18"/>
              </w:rPr>
              <w:t>地  区</w:t>
            </w:r>
          </w:p>
        </w:tc>
        <w:tc>
          <w:tcPr>
            <w:tcW w:w="5526" w:type="dxa"/>
            <w:gridSpan w:val="3"/>
            <w:noWrap w:val="0"/>
            <w:vAlign w:val="center"/>
          </w:tcPr>
          <w:p w14:paraId="469688A5">
            <w:pPr>
              <w:tabs>
                <w:tab w:val="left" w:pos="1630"/>
              </w:tabs>
              <w:adjustRightInd w:val="0"/>
              <w:snapToGrid w:val="0"/>
              <w:ind w:right="50"/>
              <w:jc w:val="center"/>
              <w:rPr>
                <w:bCs/>
                <w:color w:val="auto"/>
                <w:sz w:val="18"/>
                <w:szCs w:val="18"/>
              </w:rPr>
            </w:pPr>
            <w:r>
              <w:rPr>
                <w:rFonts w:hint="eastAsia"/>
                <w:bCs/>
                <w:color w:val="auto"/>
                <w:sz w:val="18"/>
                <w:szCs w:val="18"/>
              </w:rPr>
              <w:t>位 移 形 态</w:t>
            </w:r>
          </w:p>
        </w:tc>
      </w:tr>
      <w:tr w14:paraId="2830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13" w:type="dxa"/>
            <w:gridSpan w:val="2"/>
            <w:vMerge w:val="continue"/>
            <w:noWrap w:val="0"/>
            <w:vAlign w:val="top"/>
          </w:tcPr>
          <w:p w14:paraId="70921B5B">
            <w:pPr>
              <w:adjustRightInd w:val="0"/>
              <w:snapToGrid w:val="0"/>
              <w:ind w:right="480"/>
              <w:jc w:val="center"/>
              <w:rPr>
                <w:bCs/>
                <w:color w:val="auto"/>
                <w:sz w:val="18"/>
                <w:szCs w:val="18"/>
              </w:rPr>
            </w:pPr>
          </w:p>
        </w:tc>
        <w:tc>
          <w:tcPr>
            <w:tcW w:w="1816" w:type="dxa"/>
            <w:noWrap w:val="0"/>
            <w:vAlign w:val="center"/>
          </w:tcPr>
          <w:p w14:paraId="7A09BF71">
            <w:pPr>
              <w:tabs>
                <w:tab w:val="left" w:pos="1618"/>
              </w:tabs>
              <w:adjustRightInd w:val="0"/>
              <w:snapToGrid w:val="0"/>
              <w:ind w:right="50"/>
              <w:jc w:val="center"/>
              <w:rPr>
                <w:bCs/>
                <w:color w:val="auto"/>
                <w:sz w:val="18"/>
                <w:szCs w:val="18"/>
              </w:rPr>
            </w:pPr>
            <w:r>
              <w:rPr>
                <w:bCs/>
                <w:color w:val="auto"/>
                <w:sz w:val="18"/>
                <w:szCs w:val="18"/>
              </w:rPr>
              <w:t>上升型</w:t>
            </w:r>
          </w:p>
          <w:p w14:paraId="33580066">
            <w:pPr>
              <w:tabs>
                <w:tab w:val="left" w:pos="1618"/>
              </w:tabs>
              <w:adjustRightInd w:val="0"/>
              <w:snapToGrid w:val="0"/>
              <w:ind w:right="50"/>
              <w:jc w:val="center"/>
              <w:rPr>
                <w:bCs/>
                <w:color w:val="auto"/>
                <w:sz w:val="18"/>
                <w:szCs w:val="18"/>
              </w:rPr>
            </w:pPr>
            <w:r>
              <w:rPr>
                <w:bCs/>
                <w:color w:val="auto"/>
                <w:sz w:val="18"/>
                <w:szCs w:val="18"/>
              </w:rPr>
              <w:t>（栋数）</w:t>
            </w:r>
          </w:p>
        </w:tc>
        <w:tc>
          <w:tcPr>
            <w:tcW w:w="1855" w:type="dxa"/>
            <w:noWrap w:val="0"/>
            <w:vAlign w:val="center"/>
          </w:tcPr>
          <w:p w14:paraId="535C3C4F">
            <w:pPr>
              <w:tabs>
                <w:tab w:val="left" w:pos="1638"/>
              </w:tabs>
              <w:adjustRightInd w:val="0"/>
              <w:snapToGrid w:val="0"/>
              <w:ind w:right="50"/>
              <w:jc w:val="center"/>
              <w:rPr>
                <w:bCs/>
                <w:color w:val="auto"/>
                <w:sz w:val="18"/>
                <w:szCs w:val="18"/>
              </w:rPr>
            </w:pPr>
            <w:r>
              <w:rPr>
                <w:bCs/>
                <w:color w:val="auto"/>
                <w:sz w:val="18"/>
                <w:szCs w:val="18"/>
              </w:rPr>
              <w:t>下降型</w:t>
            </w:r>
          </w:p>
          <w:p w14:paraId="7C613259">
            <w:pPr>
              <w:tabs>
                <w:tab w:val="left" w:pos="1638"/>
              </w:tabs>
              <w:adjustRightInd w:val="0"/>
              <w:snapToGrid w:val="0"/>
              <w:ind w:right="50"/>
              <w:jc w:val="center"/>
              <w:rPr>
                <w:bCs/>
                <w:color w:val="auto"/>
                <w:sz w:val="18"/>
                <w:szCs w:val="18"/>
              </w:rPr>
            </w:pPr>
            <w:r>
              <w:rPr>
                <w:bCs/>
                <w:color w:val="auto"/>
                <w:sz w:val="18"/>
                <w:szCs w:val="18"/>
              </w:rPr>
              <w:t>（栋数）</w:t>
            </w:r>
          </w:p>
        </w:tc>
        <w:tc>
          <w:tcPr>
            <w:tcW w:w="1855" w:type="dxa"/>
            <w:noWrap w:val="0"/>
            <w:vAlign w:val="center"/>
          </w:tcPr>
          <w:p w14:paraId="0B6F868B">
            <w:pPr>
              <w:tabs>
                <w:tab w:val="left" w:pos="1630"/>
              </w:tabs>
              <w:adjustRightInd w:val="0"/>
              <w:snapToGrid w:val="0"/>
              <w:ind w:right="50"/>
              <w:jc w:val="center"/>
              <w:rPr>
                <w:bCs/>
                <w:color w:val="auto"/>
                <w:sz w:val="18"/>
                <w:szCs w:val="18"/>
              </w:rPr>
            </w:pPr>
            <w:r>
              <w:rPr>
                <w:bCs/>
                <w:color w:val="auto"/>
                <w:sz w:val="18"/>
                <w:szCs w:val="18"/>
              </w:rPr>
              <w:t>升降循环型</w:t>
            </w:r>
          </w:p>
          <w:p w14:paraId="19CF5B46">
            <w:pPr>
              <w:tabs>
                <w:tab w:val="left" w:pos="1630"/>
              </w:tabs>
              <w:adjustRightInd w:val="0"/>
              <w:snapToGrid w:val="0"/>
              <w:ind w:right="50"/>
              <w:jc w:val="center"/>
              <w:rPr>
                <w:bCs/>
                <w:color w:val="auto"/>
                <w:sz w:val="18"/>
                <w:szCs w:val="18"/>
              </w:rPr>
            </w:pPr>
            <w:r>
              <w:rPr>
                <w:bCs/>
                <w:color w:val="auto"/>
                <w:sz w:val="18"/>
                <w:szCs w:val="18"/>
              </w:rPr>
              <w:t>（栋数）</w:t>
            </w:r>
          </w:p>
        </w:tc>
      </w:tr>
      <w:tr w14:paraId="5A58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restart"/>
            <w:noWrap w:val="0"/>
            <w:vAlign w:val="center"/>
          </w:tcPr>
          <w:p w14:paraId="324976E1">
            <w:pPr>
              <w:adjustRightInd w:val="0"/>
              <w:snapToGrid w:val="0"/>
              <w:ind w:right="29"/>
              <w:jc w:val="center"/>
              <w:rPr>
                <w:bCs/>
                <w:color w:val="auto"/>
                <w:sz w:val="18"/>
                <w:szCs w:val="18"/>
              </w:rPr>
            </w:pPr>
            <w:r>
              <w:rPr>
                <w:bCs/>
                <w:color w:val="auto"/>
                <w:sz w:val="18"/>
                <w:szCs w:val="18"/>
              </w:rPr>
              <w:t>云  南</w:t>
            </w:r>
          </w:p>
        </w:tc>
        <w:tc>
          <w:tcPr>
            <w:tcW w:w="2000" w:type="dxa"/>
            <w:noWrap w:val="0"/>
            <w:vAlign w:val="center"/>
          </w:tcPr>
          <w:p w14:paraId="295EDA57">
            <w:pPr>
              <w:adjustRightInd w:val="0"/>
              <w:snapToGrid w:val="0"/>
              <w:ind w:right="-2"/>
              <w:jc w:val="center"/>
              <w:rPr>
                <w:bCs/>
                <w:color w:val="auto"/>
                <w:sz w:val="18"/>
                <w:szCs w:val="18"/>
              </w:rPr>
            </w:pPr>
            <w:r>
              <w:rPr>
                <w:bCs/>
                <w:color w:val="auto"/>
                <w:sz w:val="18"/>
                <w:szCs w:val="18"/>
              </w:rPr>
              <w:t>蒙  自</w:t>
            </w:r>
          </w:p>
        </w:tc>
        <w:tc>
          <w:tcPr>
            <w:tcW w:w="1816" w:type="dxa"/>
            <w:noWrap w:val="0"/>
            <w:vAlign w:val="center"/>
          </w:tcPr>
          <w:p w14:paraId="5727A73B">
            <w:pPr>
              <w:adjustRightInd w:val="0"/>
              <w:snapToGrid w:val="0"/>
              <w:ind w:right="21"/>
              <w:jc w:val="center"/>
              <w:rPr>
                <w:bCs/>
                <w:color w:val="auto"/>
                <w:sz w:val="18"/>
                <w:szCs w:val="18"/>
              </w:rPr>
            </w:pPr>
            <w:r>
              <w:rPr>
                <w:bCs/>
                <w:color w:val="auto"/>
                <w:sz w:val="18"/>
                <w:szCs w:val="18"/>
              </w:rPr>
              <w:t>1</w:t>
            </w:r>
          </w:p>
        </w:tc>
        <w:tc>
          <w:tcPr>
            <w:tcW w:w="1855" w:type="dxa"/>
            <w:noWrap w:val="0"/>
            <w:vAlign w:val="center"/>
          </w:tcPr>
          <w:p w14:paraId="0460C4A0">
            <w:pPr>
              <w:adjustRightInd w:val="0"/>
              <w:snapToGrid w:val="0"/>
              <w:ind w:right="15"/>
              <w:jc w:val="center"/>
              <w:rPr>
                <w:bCs/>
                <w:color w:val="auto"/>
                <w:sz w:val="18"/>
                <w:szCs w:val="18"/>
              </w:rPr>
            </w:pPr>
            <w:r>
              <w:rPr>
                <w:bCs/>
                <w:color w:val="auto"/>
                <w:sz w:val="18"/>
                <w:szCs w:val="18"/>
              </w:rPr>
              <w:t>10</w:t>
            </w:r>
          </w:p>
        </w:tc>
        <w:tc>
          <w:tcPr>
            <w:tcW w:w="1855" w:type="dxa"/>
            <w:noWrap w:val="0"/>
            <w:vAlign w:val="center"/>
          </w:tcPr>
          <w:p w14:paraId="195DEC3A">
            <w:pPr>
              <w:adjustRightInd w:val="0"/>
              <w:snapToGrid w:val="0"/>
              <w:ind w:right="7"/>
              <w:jc w:val="center"/>
              <w:rPr>
                <w:bCs/>
                <w:color w:val="auto"/>
                <w:sz w:val="18"/>
                <w:szCs w:val="18"/>
              </w:rPr>
            </w:pPr>
            <w:r>
              <w:rPr>
                <w:bCs/>
                <w:color w:val="auto"/>
                <w:sz w:val="18"/>
                <w:szCs w:val="18"/>
              </w:rPr>
              <w:t>5</w:t>
            </w:r>
          </w:p>
        </w:tc>
      </w:tr>
      <w:tr w14:paraId="32B6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center"/>
          </w:tcPr>
          <w:p w14:paraId="4F6FF4F7">
            <w:pPr>
              <w:adjustRightInd w:val="0"/>
              <w:snapToGrid w:val="0"/>
              <w:ind w:right="29"/>
              <w:jc w:val="center"/>
              <w:rPr>
                <w:bCs/>
                <w:color w:val="auto"/>
                <w:sz w:val="18"/>
                <w:szCs w:val="18"/>
              </w:rPr>
            </w:pPr>
          </w:p>
        </w:tc>
        <w:tc>
          <w:tcPr>
            <w:tcW w:w="2000" w:type="dxa"/>
            <w:noWrap w:val="0"/>
            <w:vAlign w:val="center"/>
          </w:tcPr>
          <w:p w14:paraId="743FA358">
            <w:pPr>
              <w:adjustRightInd w:val="0"/>
              <w:snapToGrid w:val="0"/>
              <w:ind w:right="-2"/>
              <w:jc w:val="center"/>
              <w:rPr>
                <w:bCs/>
                <w:color w:val="auto"/>
                <w:sz w:val="18"/>
                <w:szCs w:val="18"/>
              </w:rPr>
            </w:pPr>
            <w:r>
              <w:rPr>
                <w:bCs/>
                <w:color w:val="auto"/>
                <w:sz w:val="18"/>
                <w:szCs w:val="18"/>
              </w:rPr>
              <w:t>江水地</w:t>
            </w:r>
          </w:p>
        </w:tc>
        <w:tc>
          <w:tcPr>
            <w:tcW w:w="1816" w:type="dxa"/>
            <w:noWrap w:val="0"/>
            <w:vAlign w:val="center"/>
          </w:tcPr>
          <w:p w14:paraId="64AA023E">
            <w:pPr>
              <w:adjustRightInd w:val="0"/>
              <w:snapToGrid w:val="0"/>
              <w:ind w:right="21"/>
              <w:jc w:val="center"/>
              <w:rPr>
                <w:bCs/>
                <w:color w:val="auto"/>
                <w:sz w:val="18"/>
                <w:szCs w:val="18"/>
              </w:rPr>
            </w:pPr>
            <w:r>
              <w:rPr>
                <w:bCs/>
                <w:color w:val="auto"/>
                <w:sz w:val="18"/>
                <w:szCs w:val="18"/>
              </w:rPr>
              <w:t>1</w:t>
            </w:r>
          </w:p>
        </w:tc>
        <w:tc>
          <w:tcPr>
            <w:tcW w:w="1855" w:type="dxa"/>
            <w:noWrap w:val="0"/>
            <w:vAlign w:val="center"/>
          </w:tcPr>
          <w:p w14:paraId="7B0E989A">
            <w:pPr>
              <w:adjustRightInd w:val="0"/>
              <w:snapToGrid w:val="0"/>
              <w:ind w:right="15"/>
              <w:jc w:val="center"/>
              <w:rPr>
                <w:bCs/>
                <w:color w:val="auto"/>
                <w:sz w:val="18"/>
                <w:szCs w:val="18"/>
              </w:rPr>
            </w:pPr>
            <w:r>
              <w:rPr>
                <w:bCs/>
                <w:color w:val="auto"/>
                <w:sz w:val="18"/>
                <w:szCs w:val="18"/>
              </w:rPr>
              <w:t>4</w:t>
            </w:r>
          </w:p>
        </w:tc>
        <w:tc>
          <w:tcPr>
            <w:tcW w:w="1855" w:type="dxa"/>
            <w:noWrap w:val="0"/>
            <w:vAlign w:val="center"/>
          </w:tcPr>
          <w:p w14:paraId="53CC92F8">
            <w:pPr>
              <w:adjustRightInd w:val="0"/>
              <w:snapToGrid w:val="0"/>
              <w:ind w:right="7"/>
              <w:jc w:val="center"/>
              <w:rPr>
                <w:bCs/>
                <w:color w:val="auto"/>
                <w:sz w:val="18"/>
                <w:szCs w:val="18"/>
              </w:rPr>
            </w:pPr>
            <w:r>
              <w:rPr>
                <w:bCs/>
                <w:color w:val="auto"/>
                <w:sz w:val="18"/>
                <w:szCs w:val="18"/>
              </w:rPr>
              <w:t>2</w:t>
            </w:r>
          </w:p>
        </w:tc>
      </w:tr>
      <w:tr w14:paraId="0A2F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center"/>
          </w:tcPr>
          <w:p w14:paraId="615AED56">
            <w:pPr>
              <w:adjustRightInd w:val="0"/>
              <w:snapToGrid w:val="0"/>
              <w:ind w:right="29"/>
              <w:jc w:val="center"/>
              <w:rPr>
                <w:bCs/>
                <w:color w:val="auto"/>
                <w:sz w:val="18"/>
                <w:szCs w:val="18"/>
              </w:rPr>
            </w:pPr>
          </w:p>
        </w:tc>
        <w:tc>
          <w:tcPr>
            <w:tcW w:w="2000" w:type="dxa"/>
            <w:noWrap w:val="0"/>
            <w:vAlign w:val="center"/>
          </w:tcPr>
          <w:p w14:paraId="7CBC0B92">
            <w:pPr>
              <w:adjustRightInd w:val="0"/>
              <w:snapToGrid w:val="0"/>
              <w:ind w:right="-2"/>
              <w:jc w:val="center"/>
              <w:rPr>
                <w:bCs/>
                <w:color w:val="auto"/>
                <w:sz w:val="18"/>
                <w:szCs w:val="18"/>
              </w:rPr>
            </w:pPr>
            <w:r>
              <w:rPr>
                <w:bCs/>
                <w:color w:val="auto"/>
                <w:sz w:val="18"/>
                <w:szCs w:val="18"/>
              </w:rPr>
              <w:t>鸡  街</w:t>
            </w:r>
          </w:p>
        </w:tc>
        <w:tc>
          <w:tcPr>
            <w:tcW w:w="1816" w:type="dxa"/>
            <w:noWrap w:val="0"/>
            <w:vAlign w:val="center"/>
          </w:tcPr>
          <w:p w14:paraId="4371F515">
            <w:pPr>
              <w:adjustRightInd w:val="0"/>
              <w:snapToGrid w:val="0"/>
              <w:ind w:right="21"/>
              <w:jc w:val="center"/>
              <w:rPr>
                <w:bCs/>
                <w:color w:val="auto"/>
                <w:sz w:val="18"/>
                <w:szCs w:val="18"/>
              </w:rPr>
            </w:pPr>
            <w:r>
              <w:rPr>
                <w:bCs/>
                <w:color w:val="auto"/>
                <w:sz w:val="18"/>
                <w:szCs w:val="18"/>
              </w:rPr>
              <w:t>4</w:t>
            </w:r>
          </w:p>
        </w:tc>
        <w:tc>
          <w:tcPr>
            <w:tcW w:w="1855" w:type="dxa"/>
            <w:noWrap w:val="0"/>
            <w:vAlign w:val="center"/>
          </w:tcPr>
          <w:p w14:paraId="6993FAB8">
            <w:pPr>
              <w:adjustRightInd w:val="0"/>
              <w:snapToGrid w:val="0"/>
              <w:ind w:right="15"/>
              <w:jc w:val="center"/>
              <w:rPr>
                <w:bCs/>
                <w:color w:val="auto"/>
                <w:sz w:val="18"/>
                <w:szCs w:val="18"/>
              </w:rPr>
            </w:pPr>
            <w:r>
              <w:rPr>
                <w:bCs/>
                <w:color w:val="auto"/>
                <w:sz w:val="18"/>
                <w:szCs w:val="18"/>
              </w:rPr>
              <w:t>14</w:t>
            </w:r>
          </w:p>
        </w:tc>
        <w:tc>
          <w:tcPr>
            <w:tcW w:w="1855" w:type="dxa"/>
            <w:noWrap w:val="0"/>
            <w:vAlign w:val="center"/>
          </w:tcPr>
          <w:p w14:paraId="0AE0152C">
            <w:pPr>
              <w:adjustRightInd w:val="0"/>
              <w:snapToGrid w:val="0"/>
              <w:ind w:right="7"/>
              <w:jc w:val="center"/>
              <w:rPr>
                <w:bCs/>
                <w:color w:val="auto"/>
                <w:sz w:val="18"/>
                <w:szCs w:val="18"/>
              </w:rPr>
            </w:pPr>
            <w:r>
              <w:rPr>
                <w:bCs/>
                <w:color w:val="auto"/>
                <w:sz w:val="18"/>
                <w:szCs w:val="18"/>
              </w:rPr>
              <w:t>6</w:t>
            </w:r>
          </w:p>
        </w:tc>
      </w:tr>
      <w:tr w14:paraId="07CF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restart"/>
            <w:noWrap w:val="0"/>
            <w:vAlign w:val="center"/>
          </w:tcPr>
          <w:p w14:paraId="7D9B22A6">
            <w:pPr>
              <w:adjustRightInd w:val="0"/>
              <w:snapToGrid w:val="0"/>
              <w:ind w:right="29"/>
              <w:jc w:val="center"/>
              <w:rPr>
                <w:bCs/>
                <w:color w:val="auto"/>
                <w:sz w:val="18"/>
                <w:szCs w:val="18"/>
              </w:rPr>
            </w:pPr>
            <w:r>
              <w:rPr>
                <w:bCs/>
                <w:color w:val="auto"/>
                <w:sz w:val="18"/>
                <w:szCs w:val="18"/>
              </w:rPr>
              <w:t>广  西</w:t>
            </w:r>
          </w:p>
        </w:tc>
        <w:tc>
          <w:tcPr>
            <w:tcW w:w="2000" w:type="dxa"/>
            <w:noWrap w:val="0"/>
            <w:vAlign w:val="center"/>
          </w:tcPr>
          <w:p w14:paraId="26B85367">
            <w:pPr>
              <w:adjustRightInd w:val="0"/>
              <w:snapToGrid w:val="0"/>
              <w:ind w:right="-2"/>
              <w:jc w:val="center"/>
              <w:rPr>
                <w:bCs/>
                <w:color w:val="auto"/>
                <w:sz w:val="18"/>
                <w:szCs w:val="18"/>
              </w:rPr>
            </w:pPr>
            <w:r>
              <w:rPr>
                <w:bCs/>
                <w:color w:val="auto"/>
                <w:sz w:val="18"/>
                <w:szCs w:val="18"/>
              </w:rPr>
              <w:t>南  宁</w:t>
            </w:r>
          </w:p>
        </w:tc>
        <w:tc>
          <w:tcPr>
            <w:tcW w:w="1816" w:type="dxa"/>
            <w:noWrap w:val="0"/>
            <w:vAlign w:val="center"/>
          </w:tcPr>
          <w:p w14:paraId="1C706BEA">
            <w:pPr>
              <w:adjustRightInd w:val="0"/>
              <w:snapToGrid w:val="0"/>
              <w:ind w:right="21"/>
              <w:jc w:val="center"/>
              <w:rPr>
                <w:bCs/>
                <w:color w:val="auto"/>
                <w:sz w:val="18"/>
                <w:szCs w:val="18"/>
              </w:rPr>
            </w:pPr>
            <w:r>
              <w:rPr>
                <w:bCs/>
                <w:color w:val="auto"/>
                <w:sz w:val="18"/>
                <w:szCs w:val="18"/>
              </w:rPr>
              <w:t>1</w:t>
            </w:r>
          </w:p>
        </w:tc>
        <w:tc>
          <w:tcPr>
            <w:tcW w:w="1855" w:type="dxa"/>
            <w:noWrap w:val="0"/>
            <w:vAlign w:val="center"/>
          </w:tcPr>
          <w:p w14:paraId="54FD6BD1">
            <w:pPr>
              <w:adjustRightInd w:val="0"/>
              <w:snapToGrid w:val="0"/>
              <w:ind w:right="15"/>
              <w:jc w:val="center"/>
              <w:rPr>
                <w:bCs/>
                <w:color w:val="auto"/>
                <w:sz w:val="18"/>
                <w:szCs w:val="18"/>
              </w:rPr>
            </w:pPr>
            <w:r>
              <w:rPr>
                <w:bCs/>
                <w:color w:val="auto"/>
                <w:sz w:val="18"/>
                <w:szCs w:val="18"/>
              </w:rPr>
              <w:t>5</w:t>
            </w:r>
          </w:p>
        </w:tc>
        <w:tc>
          <w:tcPr>
            <w:tcW w:w="1855" w:type="dxa"/>
            <w:noWrap w:val="0"/>
            <w:vAlign w:val="center"/>
          </w:tcPr>
          <w:p w14:paraId="2B736B67">
            <w:pPr>
              <w:adjustRightInd w:val="0"/>
              <w:snapToGrid w:val="0"/>
              <w:ind w:right="7"/>
              <w:jc w:val="center"/>
              <w:rPr>
                <w:bCs/>
                <w:color w:val="auto"/>
                <w:sz w:val="18"/>
                <w:szCs w:val="18"/>
              </w:rPr>
            </w:pPr>
            <w:r>
              <w:rPr>
                <w:bCs/>
                <w:color w:val="auto"/>
                <w:sz w:val="18"/>
                <w:szCs w:val="18"/>
              </w:rPr>
              <w:t>5</w:t>
            </w:r>
          </w:p>
        </w:tc>
      </w:tr>
      <w:tr w14:paraId="4B6E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center"/>
          </w:tcPr>
          <w:p w14:paraId="2F965A00">
            <w:pPr>
              <w:adjustRightInd w:val="0"/>
              <w:snapToGrid w:val="0"/>
              <w:ind w:right="29"/>
              <w:jc w:val="center"/>
              <w:rPr>
                <w:bCs/>
                <w:color w:val="auto"/>
                <w:sz w:val="18"/>
                <w:szCs w:val="18"/>
              </w:rPr>
            </w:pPr>
          </w:p>
        </w:tc>
        <w:tc>
          <w:tcPr>
            <w:tcW w:w="2000" w:type="dxa"/>
            <w:noWrap w:val="0"/>
            <w:vAlign w:val="center"/>
          </w:tcPr>
          <w:p w14:paraId="687817D5">
            <w:pPr>
              <w:adjustRightInd w:val="0"/>
              <w:snapToGrid w:val="0"/>
              <w:ind w:right="-2"/>
              <w:jc w:val="center"/>
              <w:rPr>
                <w:bCs/>
                <w:color w:val="auto"/>
                <w:sz w:val="18"/>
                <w:szCs w:val="18"/>
              </w:rPr>
            </w:pPr>
            <w:r>
              <w:rPr>
                <w:bCs/>
                <w:color w:val="auto"/>
                <w:sz w:val="18"/>
                <w:szCs w:val="18"/>
              </w:rPr>
              <w:t>宁  明</w:t>
            </w:r>
          </w:p>
        </w:tc>
        <w:tc>
          <w:tcPr>
            <w:tcW w:w="1816" w:type="dxa"/>
            <w:noWrap w:val="0"/>
            <w:vAlign w:val="center"/>
          </w:tcPr>
          <w:p w14:paraId="2E230B45">
            <w:pPr>
              <w:adjustRightInd w:val="0"/>
              <w:snapToGrid w:val="0"/>
              <w:ind w:right="21"/>
              <w:jc w:val="center"/>
              <w:rPr>
                <w:bCs/>
                <w:color w:val="auto"/>
                <w:sz w:val="18"/>
                <w:szCs w:val="18"/>
              </w:rPr>
            </w:pPr>
          </w:p>
        </w:tc>
        <w:tc>
          <w:tcPr>
            <w:tcW w:w="1855" w:type="dxa"/>
            <w:noWrap w:val="0"/>
            <w:vAlign w:val="center"/>
          </w:tcPr>
          <w:p w14:paraId="0520670C">
            <w:pPr>
              <w:adjustRightInd w:val="0"/>
              <w:snapToGrid w:val="0"/>
              <w:ind w:right="15"/>
              <w:jc w:val="center"/>
              <w:rPr>
                <w:bCs/>
                <w:color w:val="auto"/>
                <w:sz w:val="18"/>
                <w:szCs w:val="18"/>
              </w:rPr>
            </w:pPr>
            <w:r>
              <w:rPr>
                <w:bCs/>
                <w:color w:val="auto"/>
                <w:sz w:val="18"/>
                <w:szCs w:val="18"/>
              </w:rPr>
              <w:t>10</w:t>
            </w:r>
          </w:p>
        </w:tc>
        <w:tc>
          <w:tcPr>
            <w:tcW w:w="1855" w:type="dxa"/>
            <w:noWrap w:val="0"/>
            <w:vAlign w:val="center"/>
          </w:tcPr>
          <w:p w14:paraId="45356C0F">
            <w:pPr>
              <w:adjustRightInd w:val="0"/>
              <w:snapToGrid w:val="0"/>
              <w:ind w:right="7"/>
              <w:jc w:val="center"/>
              <w:rPr>
                <w:bCs/>
                <w:color w:val="auto"/>
                <w:sz w:val="18"/>
                <w:szCs w:val="18"/>
              </w:rPr>
            </w:pPr>
            <w:r>
              <w:rPr>
                <w:bCs/>
                <w:color w:val="auto"/>
                <w:sz w:val="18"/>
                <w:szCs w:val="18"/>
              </w:rPr>
              <w:t>5</w:t>
            </w:r>
          </w:p>
        </w:tc>
      </w:tr>
      <w:tr w14:paraId="751F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center"/>
          </w:tcPr>
          <w:p w14:paraId="246BEC00">
            <w:pPr>
              <w:adjustRightInd w:val="0"/>
              <w:snapToGrid w:val="0"/>
              <w:ind w:right="29"/>
              <w:jc w:val="center"/>
              <w:rPr>
                <w:bCs/>
                <w:color w:val="auto"/>
                <w:sz w:val="18"/>
                <w:szCs w:val="18"/>
              </w:rPr>
            </w:pPr>
          </w:p>
        </w:tc>
        <w:tc>
          <w:tcPr>
            <w:tcW w:w="2000" w:type="dxa"/>
            <w:noWrap w:val="0"/>
            <w:vAlign w:val="center"/>
          </w:tcPr>
          <w:p w14:paraId="0ED78C5C">
            <w:pPr>
              <w:adjustRightInd w:val="0"/>
              <w:snapToGrid w:val="0"/>
              <w:ind w:right="-2"/>
              <w:jc w:val="center"/>
              <w:rPr>
                <w:bCs/>
                <w:color w:val="auto"/>
                <w:sz w:val="18"/>
                <w:szCs w:val="18"/>
              </w:rPr>
            </w:pPr>
            <w:r>
              <w:rPr>
                <w:bCs/>
                <w:color w:val="auto"/>
                <w:sz w:val="18"/>
                <w:szCs w:val="18"/>
              </w:rPr>
              <w:t>贵  县</w:t>
            </w:r>
          </w:p>
        </w:tc>
        <w:tc>
          <w:tcPr>
            <w:tcW w:w="1816" w:type="dxa"/>
            <w:noWrap w:val="0"/>
            <w:vAlign w:val="center"/>
          </w:tcPr>
          <w:p w14:paraId="5DA81509">
            <w:pPr>
              <w:adjustRightInd w:val="0"/>
              <w:snapToGrid w:val="0"/>
              <w:ind w:right="21"/>
              <w:jc w:val="center"/>
              <w:rPr>
                <w:bCs/>
                <w:color w:val="auto"/>
                <w:sz w:val="18"/>
                <w:szCs w:val="18"/>
              </w:rPr>
            </w:pPr>
            <w:r>
              <w:rPr>
                <w:bCs/>
                <w:color w:val="auto"/>
                <w:sz w:val="18"/>
                <w:szCs w:val="18"/>
              </w:rPr>
              <w:t>1</w:t>
            </w:r>
          </w:p>
        </w:tc>
        <w:tc>
          <w:tcPr>
            <w:tcW w:w="1855" w:type="dxa"/>
            <w:noWrap w:val="0"/>
            <w:vAlign w:val="center"/>
          </w:tcPr>
          <w:p w14:paraId="005E5214">
            <w:pPr>
              <w:adjustRightInd w:val="0"/>
              <w:snapToGrid w:val="0"/>
              <w:ind w:right="15"/>
              <w:jc w:val="center"/>
              <w:rPr>
                <w:bCs/>
                <w:color w:val="auto"/>
                <w:sz w:val="18"/>
                <w:szCs w:val="18"/>
              </w:rPr>
            </w:pPr>
            <w:r>
              <w:rPr>
                <w:bCs/>
                <w:color w:val="auto"/>
                <w:sz w:val="18"/>
                <w:szCs w:val="18"/>
              </w:rPr>
              <w:t>2</w:t>
            </w:r>
          </w:p>
        </w:tc>
        <w:tc>
          <w:tcPr>
            <w:tcW w:w="1855" w:type="dxa"/>
            <w:noWrap w:val="0"/>
            <w:vAlign w:val="center"/>
          </w:tcPr>
          <w:p w14:paraId="47C4E2F3">
            <w:pPr>
              <w:adjustRightInd w:val="0"/>
              <w:snapToGrid w:val="0"/>
              <w:ind w:right="7"/>
              <w:jc w:val="center"/>
              <w:rPr>
                <w:bCs/>
                <w:color w:val="auto"/>
                <w:sz w:val="18"/>
                <w:szCs w:val="18"/>
              </w:rPr>
            </w:pPr>
            <w:r>
              <w:rPr>
                <w:bCs/>
                <w:color w:val="auto"/>
                <w:sz w:val="18"/>
                <w:szCs w:val="18"/>
              </w:rPr>
              <w:t>1</w:t>
            </w:r>
          </w:p>
        </w:tc>
      </w:tr>
      <w:tr w14:paraId="5369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center"/>
          </w:tcPr>
          <w:p w14:paraId="7B56CAA6">
            <w:pPr>
              <w:adjustRightInd w:val="0"/>
              <w:snapToGrid w:val="0"/>
              <w:ind w:right="29"/>
              <w:jc w:val="center"/>
              <w:rPr>
                <w:bCs/>
                <w:color w:val="auto"/>
                <w:sz w:val="18"/>
                <w:szCs w:val="18"/>
              </w:rPr>
            </w:pPr>
          </w:p>
        </w:tc>
        <w:tc>
          <w:tcPr>
            <w:tcW w:w="2000" w:type="dxa"/>
            <w:noWrap w:val="0"/>
            <w:vAlign w:val="center"/>
          </w:tcPr>
          <w:p w14:paraId="161A335C">
            <w:pPr>
              <w:adjustRightInd w:val="0"/>
              <w:snapToGrid w:val="0"/>
              <w:ind w:right="-2"/>
              <w:jc w:val="center"/>
              <w:rPr>
                <w:bCs/>
                <w:color w:val="auto"/>
                <w:sz w:val="18"/>
                <w:szCs w:val="18"/>
              </w:rPr>
            </w:pPr>
            <w:r>
              <w:rPr>
                <w:bCs/>
                <w:color w:val="auto"/>
                <w:sz w:val="18"/>
                <w:szCs w:val="18"/>
              </w:rPr>
              <w:t>柳  州</w:t>
            </w:r>
          </w:p>
        </w:tc>
        <w:tc>
          <w:tcPr>
            <w:tcW w:w="1816" w:type="dxa"/>
            <w:noWrap w:val="0"/>
            <w:vAlign w:val="center"/>
          </w:tcPr>
          <w:p w14:paraId="10BAEDF5">
            <w:pPr>
              <w:adjustRightInd w:val="0"/>
              <w:snapToGrid w:val="0"/>
              <w:ind w:right="21"/>
              <w:jc w:val="center"/>
              <w:rPr>
                <w:bCs/>
                <w:color w:val="auto"/>
                <w:sz w:val="18"/>
                <w:szCs w:val="18"/>
              </w:rPr>
            </w:pPr>
            <w:r>
              <w:rPr>
                <w:bCs/>
                <w:color w:val="auto"/>
                <w:sz w:val="18"/>
                <w:szCs w:val="18"/>
              </w:rPr>
              <w:t>2</w:t>
            </w:r>
          </w:p>
        </w:tc>
        <w:tc>
          <w:tcPr>
            <w:tcW w:w="1855" w:type="dxa"/>
            <w:noWrap w:val="0"/>
            <w:vAlign w:val="center"/>
          </w:tcPr>
          <w:p w14:paraId="59AE2D20">
            <w:pPr>
              <w:adjustRightInd w:val="0"/>
              <w:snapToGrid w:val="0"/>
              <w:ind w:right="15"/>
              <w:jc w:val="center"/>
              <w:rPr>
                <w:bCs/>
                <w:color w:val="auto"/>
                <w:sz w:val="18"/>
                <w:szCs w:val="18"/>
              </w:rPr>
            </w:pPr>
          </w:p>
        </w:tc>
        <w:tc>
          <w:tcPr>
            <w:tcW w:w="1855" w:type="dxa"/>
            <w:noWrap w:val="0"/>
            <w:vAlign w:val="center"/>
          </w:tcPr>
          <w:p w14:paraId="09F9322A">
            <w:pPr>
              <w:adjustRightInd w:val="0"/>
              <w:snapToGrid w:val="0"/>
              <w:ind w:right="7"/>
              <w:jc w:val="center"/>
              <w:rPr>
                <w:bCs/>
                <w:color w:val="auto"/>
                <w:sz w:val="18"/>
                <w:szCs w:val="18"/>
              </w:rPr>
            </w:pPr>
            <w:r>
              <w:rPr>
                <w:bCs/>
                <w:color w:val="auto"/>
                <w:sz w:val="18"/>
                <w:szCs w:val="18"/>
              </w:rPr>
              <w:t>1</w:t>
            </w:r>
          </w:p>
        </w:tc>
      </w:tr>
      <w:tr w14:paraId="6D12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noWrap w:val="0"/>
            <w:vAlign w:val="center"/>
          </w:tcPr>
          <w:p w14:paraId="7BF56BCF">
            <w:pPr>
              <w:adjustRightInd w:val="0"/>
              <w:snapToGrid w:val="0"/>
              <w:ind w:right="29"/>
              <w:jc w:val="center"/>
              <w:rPr>
                <w:bCs/>
                <w:color w:val="auto"/>
                <w:sz w:val="18"/>
                <w:szCs w:val="18"/>
              </w:rPr>
            </w:pPr>
            <w:r>
              <w:rPr>
                <w:bCs/>
                <w:color w:val="auto"/>
                <w:sz w:val="18"/>
                <w:szCs w:val="18"/>
              </w:rPr>
              <w:t>广  东</w:t>
            </w:r>
          </w:p>
        </w:tc>
        <w:tc>
          <w:tcPr>
            <w:tcW w:w="2000" w:type="dxa"/>
            <w:noWrap w:val="0"/>
            <w:vAlign w:val="center"/>
          </w:tcPr>
          <w:p w14:paraId="129D6D1F">
            <w:pPr>
              <w:adjustRightInd w:val="0"/>
              <w:snapToGrid w:val="0"/>
              <w:ind w:right="-2"/>
              <w:jc w:val="center"/>
              <w:rPr>
                <w:bCs/>
                <w:color w:val="auto"/>
                <w:sz w:val="18"/>
                <w:szCs w:val="18"/>
              </w:rPr>
            </w:pPr>
            <w:r>
              <w:rPr>
                <w:bCs/>
                <w:color w:val="auto"/>
                <w:sz w:val="18"/>
                <w:szCs w:val="18"/>
              </w:rPr>
              <w:t>湛  江</w:t>
            </w:r>
          </w:p>
        </w:tc>
        <w:tc>
          <w:tcPr>
            <w:tcW w:w="1816" w:type="dxa"/>
            <w:noWrap w:val="0"/>
            <w:vAlign w:val="center"/>
          </w:tcPr>
          <w:p w14:paraId="6A1966CB">
            <w:pPr>
              <w:adjustRightInd w:val="0"/>
              <w:snapToGrid w:val="0"/>
              <w:ind w:right="21"/>
              <w:jc w:val="center"/>
              <w:rPr>
                <w:bCs/>
                <w:color w:val="auto"/>
                <w:sz w:val="18"/>
                <w:szCs w:val="18"/>
              </w:rPr>
            </w:pPr>
            <w:r>
              <w:rPr>
                <w:bCs/>
                <w:color w:val="auto"/>
                <w:sz w:val="18"/>
                <w:szCs w:val="18"/>
              </w:rPr>
              <w:t>2</w:t>
            </w:r>
          </w:p>
        </w:tc>
        <w:tc>
          <w:tcPr>
            <w:tcW w:w="1855" w:type="dxa"/>
            <w:noWrap w:val="0"/>
            <w:vAlign w:val="center"/>
          </w:tcPr>
          <w:p w14:paraId="5008C720">
            <w:pPr>
              <w:adjustRightInd w:val="0"/>
              <w:snapToGrid w:val="0"/>
              <w:ind w:right="15"/>
              <w:jc w:val="center"/>
              <w:rPr>
                <w:bCs/>
                <w:color w:val="auto"/>
                <w:sz w:val="18"/>
                <w:szCs w:val="18"/>
              </w:rPr>
            </w:pPr>
          </w:p>
        </w:tc>
        <w:tc>
          <w:tcPr>
            <w:tcW w:w="1855" w:type="dxa"/>
            <w:noWrap w:val="0"/>
            <w:vAlign w:val="center"/>
          </w:tcPr>
          <w:p w14:paraId="7BE23AAF">
            <w:pPr>
              <w:adjustRightInd w:val="0"/>
              <w:snapToGrid w:val="0"/>
              <w:ind w:right="7"/>
              <w:jc w:val="center"/>
              <w:rPr>
                <w:bCs/>
                <w:color w:val="auto"/>
                <w:sz w:val="18"/>
                <w:szCs w:val="18"/>
              </w:rPr>
            </w:pPr>
            <w:r>
              <w:rPr>
                <w:bCs/>
                <w:color w:val="auto"/>
                <w:sz w:val="18"/>
                <w:szCs w:val="18"/>
              </w:rPr>
              <w:t>4</w:t>
            </w:r>
          </w:p>
        </w:tc>
      </w:tr>
      <w:tr w14:paraId="3F1D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noWrap w:val="0"/>
            <w:vAlign w:val="center"/>
          </w:tcPr>
          <w:p w14:paraId="5445733D">
            <w:pPr>
              <w:adjustRightInd w:val="0"/>
              <w:snapToGrid w:val="0"/>
              <w:ind w:right="29"/>
              <w:jc w:val="center"/>
              <w:rPr>
                <w:bCs/>
                <w:color w:val="auto"/>
                <w:sz w:val="18"/>
                <w:szCs w:val="18"/>
              </w:rPr>
            </w:pPr>
            <w:r>
              <w:rPr>
                <w:bCs/>
                <w:color w:val="auto"/>
                <w:sz w:val="18"/>
                <w:szCs w:val="18"/>
              </w:rPr>
              <w:t>河  北</w:t>
            </w:r>
          </w:p>
        </w:tc>
        <w:tc>
          <w:tcPr>
            <w:tcW w:w="2000" w:type="dxa"/>
            <w:noWrap w:val="0"/>
            <w:vAlign w:val="center"/>
          </w:tcPr>
          <w:p w14:paraId="1CA5689C">
            <w:pPr>
              <w:adjustRightInd w:val="0"/>
              <w:snapToGrid w:val="0"/>
              <w:ind w:right="-2"/>
              <w:jc w:val="center"/>
              <w:rPr>
                <w:bCs/>
                <w:color w:val="auto"/>
                <w:sz w:val="18"/>
                <w:szCs w:val="18"/>
              </w:rPr>
            </w:pPr>
            <w:r>
              <w:rPr>
                <w:bCs/>
                <w:color w:val="auto"/>
                <w:sz w:val="18"/>
                <w:szCs w:val="18"/>
              </w:rPr>
              <w:t>邯  郸</w:t>
            </w:r>
          </w:p>
        </w:tc>
        <w:tc>
          <w:tcPr>
            <w:tcW w:w="1816" w:type="dxa"/>
            <w:noWrap w:val="0"/>
            <w:vAlign w:val="center"/>
          </w:tcPr>
          <w:p w14:paraId="0FD525A5">
            <w:pPr>
              <w:adjustRightInd w:val="0"/>
              <w:snapToGrid w:val="0"/>
              <w:ind w:right="21"/>
              <w:jc w:val="center"/>
              <w:rPr>
                <w:bCs/>
                <w:color w:val="auto"/>
                <w:sz w:val="18"/>
                <w:szCs w:val="18"/>
              </w:rPr>
            </w:pPr>
            <w:r>
              <w:rPr>
                <w:bCs/>
                <w:color w:val="auto"/>
                <w:sz w:val="18"/>
                <w:szCs w:val="18"/>
              </w:rPr>
              <w:t>1</w:t>
            </w:r>
          </w:p>
        </w:tc>
        <w:tc>
          <w:tcPr>
            <w:tcW w:w="1855" w:type="dxa"/>
            <w:noWrap w:val="0"/>
            <w:vAlign w:val="center"/>
          </w:tcPr>
          <w:p w14:paraId="12A5F5DC">
            <w:pPr>
              <w:adjustRightInd w:val="0"/>
              <w:snapToGrid w:val="0"/>
              <w:ind w:right="15"/>
              <w:jc w:val="center"/>
              <w:rPr>
                <w:bCs/>
                <w:color w:val="auto"/>
                <w:sz w:val="18"/>
                <w:szCs w:val="18"/>
              </w:rPr>
            </w:pPr>
          </w:p>
        </w:tc>
        <w:tc>
          <w:tcPr>
            <w:tcW w:w="1855" w:type="dxa"/>
            <w:noWrap w:val="0"/>
            <w:vAlign w:val="center"/>
          </w:tcPr>
          <w:p w14:paraId="5BD71C01">
            <w:pPr>
              <w:adjustRightInd w:val="0"/>
              <w:snapToGrid w:val="0"/>
              <w:ind w:right="7"/>
              <w:jc w:val="center"/>
              <w:rPr>
                <w:bCs/>
                <w:color w:val="auto"/>
                <w:sz w:val="18"/>
                <w:szCs w:val="18"/>
              </w:rPr>
            </w:pPr>
            <w:r>
              <w:rPr>
                <w:bCs/>
                <w:color w:val="auto"/>
                <w:sz w:val="18"/>
                <w:szCs w:val="18"/>
              </w:rPr>
              <w:t>5</w:t>
            </w:r>
          </w:p>
        </w:tc>
      </w:tr>
      <w:tr w14:paraId="5AD5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noWrap w:val="0"/>
            <w:vAlign w:val="center"/>
          </w:tcPr>
          <w:p w14:paraId="367C6E5B">
            <w:pPr>
              <w:adjustRightInd w:val="0"/>
              <w:snapToGrid w:val="0"/>
              <w:ind w:right="29"/>
              <w:jc w:val="center"/>
              <w:rPr>
                <w:bCs/>
                <w:color w:val="auto"/>
                <w:sz w:val="18"/>
                <w:szCs w:val="18"/>
              </w:rPr>
            </w:pPr>
            <w:r>
              <w:rPr>
                <w:bCs/>
                <w:color w:val="auto"/>
                <w:sz w:val="18"/>
                <w:szCs w:val="18"/>
              </w:rPr>
              <w:t>河  南</w:t>
            </w:r>
          </w:p>
        </w:tc>
        <w:tc>
          <w:tcPr>
            <w:tcW w:w="2000" w:type="dxa"/>
            <w:noWrap w:val="0"/>
            <w:vAlign w:val="center"/>
          </w:tcPr>
          <w:p w14:paraId="2C078279">
            <w:pPr>
              <w:adjustRightInd w:val="0"/>
              <w:snapToGrid w:val="0"/>
              <w:ind w:right="-2"/>
              <w:jc w:val="center"/>
              <w:rPr>
                <w:bCs/>
                <w:color w:val="auto"/>
                <w:sz w:val="18"/>
                <w:szCs w:val="18"/>
              </w:rPr>
            </w:pPr>
            <w:r>
              <w:rPr>
                <w:bCs/>
                <w:color w:val="auto"/>
                <w:sz w:val="18"/>
                <w:szCs w:val="18"/>
              </w:rPr>
              <w:t>平顶山</w:t>
            </w:r>
          </w:p>
        </w:tc>
        <w:tc>
          <w:tcPr>
            <w:tcW w:w="1816" w:type="dxa"/>
            <w:noWrap w:val="0"/>
            <w:vAlign w:val="center"/>
          </w:tcPr>
          <w:p w14:paraId="7388060B">
            <w:pPr>
              <w:adjustRightInd w:val="0"/>
              <w:snapToGrid w:val="0"/>
              <w:ind w:right="21"/>
              <w:jc w:val="center"/>
              <w:rPr>
                <w:bCs/>
                <w:color w:val="auto"/>
                <w:sz w:val="18"/>
                <w:szCs w:val="18"/>
              </w:rPr>
            </w:pPr>
            <w:r>
              <w:rPr>
                <w:bCs/>
                <w:color w:val="auto"/>
                <w:sz w:val="18"/>
                <w:szCs w:val="18"/>
              </w:rPr>
              <w:t>12</w:t>
            </w:r>
          </w:p>
        </w:tc>
        <w:tc>
          <w:tcPr>
            <w:tcW w:w="1855" w:type="dxa"/>
            <w:noWrap w:val="0"/>
            <w:vAlign w:val="center"/>
          </w:tcPr>
          <w:p w14:paraId="2FBAAACC">
            <w:pPr>
              <w:adjustRightInd w:val="0"/>
              <w:snapToGrid w:val="0"/>
              <w:ind w:right="15"/>
              <w:jc w:val="center"/>
              <w:rPr>
                <w:bCs/>
                <w:color w:val="auto"/>
                <w:sz w:val="18"/>
                <w:szCs w:val="18"/>
              </w:rPr>
            </w:pPr>
            <w:r>
              <w:rPr>
                <w:bCs/>
                <w:color w:val="auto"/>
                <w:sz w:val="18"/>
                <w:szCs w:val="18"/>
              </w:rPr>
              <w:t>9</w:t>
            </w:r>
          </w:p>
        </w:tc>
        <w:tc>
          <w:tcPr>
            <w:tcW w:w="1855" w:type="dxa"/>
            <w:noWrap w:val="0"/>
            <w:vAlign w:val="center"/>
          </w:tcPr>
          <w:p w14:paraId="5A1DD25F">
            <w:pPr>
              <w:adjustRightInd w:val="0"/>
              <w:snapToGrid w:val="0"/>
              <w:ind w:right="7"/>
              <w:jc w:val="center"/>
              <w:rPr>
                <w:bCs/>
                <w:color w:val="auto"/>
                <w:sz w:val="18"/>
                <w:szCs w:val="18"/>
              </w:rPr>
            </w:pPr>
          </w:p>
        </w:tc>
      </w:tr>
      <w:tr w14:paraId="28F7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noWrap w:val="0"/>
            <w:vAlign w:val="center"/>
          </w:tcPr>
          <w:p w14:paraId="1B7B6329">
            <w:pPr>
              <w:adjustRightInd w:val="0"/>
              <w:snapToGrid w:val="0"/>
              <w:ind w:right="29"/>
              <w:jc w:val="center"/>
              <w:rPr>
                <w:bCs/>
                <w:color w:val="auto"/>
                <w:sz w:val="18"/>
                <w:szCs w:val="18"/>
              </w:rPr>
            </w:pPr>
            <w:r>
              <w:rPr>
                <w:bCs/>
                <w:color w:val="auto"/>
                <w:sz w:val="18"/>
                <w:szCs w:val="18"/>
              </w:rPr>
              <w:t>安  徽</w:t>
            </w:r>
          </w:p>
        </w:tc>
        <w:tc>
          <w:tcPr>
            <w:tcW w:w="2000" w:type="dxa"/>
            <w:noWrap w:val="0"/>
            <w:vAlign w:val="center"/>
          </w:tcPr>
          <w:p w14:paraId="6AC9C5C1">
            <w:pPr>
              <w:adjustRightInd w:val="0"/>
              <w:snapToGrid w:val="0"/>
              <w:ind w:right="-2"/>
              <w:jc w:val="center"/>
              <w:rPr>
                <w:bCs/>
                <w:color w:val="auto"/>
                <w:sz w:val="18"/>
                <w:szCs w:val="18"/>
              </w:rPr>
            </w:pPr>
            <w:r>
              <w:rPr>
                <w:bCs/>
                <w:color w:val="auto"/>
                <w:sz w:val="18"/>
                <w:szCs w:val="18"/>
              </w:rPr>
              <w:t>合  肥</w:t>
            </w:r>
          </w:p>
        </w:tc>
        <w:tc>
          <w:tcPr>
            <w:tcW w:w="1816" w:type="dxa"/>
            <w:noWrap w:val="0"/>
            <w:vAlign w:val="center"/>
          </w:tcPr>
          <w:p w14:paraId="5A4E5A7B">
            <w:pPr>
              <w:adjustRightInd w:val="0"/>
              <w:snapToGrid w:val="0"/>
              <w:ind w:right="21"/>
              <w:jc w:val="center"/>
              <w:rPr>
                <w:bCs/>
                <w:color w:val="auto"/>
                <w:sz w:val="18"/>
                <w:szCs w:val="18"/>
              </w:rPr>
            </w:pPr>
          </w:p>
        </w:tc>
        <w:tc>
          <w:tcPr>
            <w:tcW w:w="1855" w:type="dxa"/>
            <w:noWrap w:val="0"/>
            <w:vAlign w:val="center"/>
          </w:tcPr>
          <w:p w14:paraId="0A6279E2">
            <w:pPr>
              <w:adjustRightInd w:val="0"/>
              <w:snapToGrid w:val="0"/>
              <w:ind w:right="15"/>
              <w:jc w:val="center"/>
              <w:rPr>
                <w:bCs/>
                <w:color w:val="auto"/>
                <w:sz w:val="18"/>
                <w:szCs w:val="18"/>
              </w:rPr>
            </w:pPr>
            <w:r>
              <w:rPr>
                <w:bCs/>
                <w:color w:val="auto"/>
                <w:sz w:val="18"/>
                <w:szCs w:val="18"/>
              </w:rPr>
              <w:t>3</w:t>
            </w:r>
          </w:p>
        </w:tc>
        <w:tc>
          <w:tcPr>
            <w:tcW w:w="1855" w:type="dxa"/>
            <w:noWrap w:val="0"/>
            <w:vAlign w:val="center"/>
          </w:tcPr>
          <w:p w14:paraId="6900550B">
            <w:pPr>
              <w:adjustRightInd w:val="0"/>
              <w:snapToGrid w:val="0"/>
              <w:ind w:right="7"/>
              <w:jc w:val="center"/>
              <w:rPr>
                <w:bCs/>
                <w:color w:val="auto"/>
                <w:sz w:val="18"/>
                <w:szCs w:val="18"/>
              </w:rPr>
            </w:pPr>
            <w:r>
              <w:rPr>
                <w:bCs/>
                <w:color w:val="auto"/>
                <w:sz w:val="18"/>
                <w:szCs w:val="18"/>
              </w:rPr>
              <w:t>14</w:t>
            </w:r>
          </w:p>
        </w:tc>
      </w:tr>
      <w:tr w14:paraId="4BE3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restart"/>
            <w:noWrap w:val="0"/>
            <w:vAlign w:val="center"/>
          </w:tcPr>
          <w:p w14:paraId="22127267">
            <w:pPr>
              <w:adjustRightInd w:val="0"/>
              <w:snapToGrid w:val="0"/>
              <w:ind w:right="29"/>
              <w:jc w:val="center"/>
              <w:rPr>
                <w:bCs/>
                <w:color w:val="auto"/>
                <w:sz w:val="18"/>
                <w:szCs w:val="18"/>
              </w:rPr>
            </w:pPr>
            <w:r>
              <w:rPr>
                <w:bCs/>
                <w:color w:val="auto"/>
                <w:sz w:val="18"/>
                <w:szCs w:val="18"/>
              </w:rPr>
              <w:t>湖  北</w:t>
            </w:r>
          </w:p>
        </w:tc>
        <w:tc>
          <w:tcPr>
            <w:tcW w:w="2000" w:type="dxa"/>
            <w:noWrap w:val="0"/>
            <w:vAlign w:val="center"/>
          </w:tcPr>
          <w:p w14:paraId="1427A68D">
            <w:pPr>
              <w:adjustRightInd w:val="0"/>
              <w:snapToGrid w:val="0"/>
              <w:ind w:right="-2"/>
              <w:jc w:val="center"/>
              <w:rPr>
                <w:bCs/>
                <w:color w:val="auto"/>
                <w:sz w:val="18"/>
                <w:szCs w:val="18"/>
              </w:rPr>
            </w:pPr>
            <w:r>
              <w:rPr>
                <w:bCs/>
                <w:color w:val="auto"/>
                <w:sz w:val="18"/>
                <w:szCs w:val="18"/>
              </w:rPr>
              <w:t>荆  门</w:t>
            </w:r>
          </w:p>
        </w:tc>
        <w:tc>
          <w:tcPr>
            <w:tcW w:w="1816" w:type="dxa"/>
            <w:noWrap w:val="0"/>
            <w:vAlign w:val="center"/>
          </w:tcPr>
          <w:p w14:paraId="12E9CDEA">
            <w:pPr>
              <w:adjustRightInd w:val="0"/>
              <w:snapToGrid w:val="0"/>
              <w:ind w:right="21"/>
              <w:jc w:val="center"/>
              <w:rPr>
                <w:bCs/>
                <w:color w:val="auto"/>
                <w:sz w:val="18"/>
                <w:szCs w:val="18"/>
              </w:rPr>
            </w:pPr>
            <w:r>
              <w:rPr>
                <w:bCs/>
                <w:color w:val="auto"/>
                <w:sz w:val="18"/>
                <w:szCs w:val="18"/>
              </w:rPr>
              <w:t>3</w:t>
            </w:r>
          </w:p>
        </w:tc>
        <w:tc>
          <w:tcPr>
            <w:tcW w:w="1855" w:type="dxa"/>
            <w:noWrap w:val="0"/>
            <w:vAlign w:val="center"/>
          </w:tcPr>
          <w:p w14:paraId="361A1574">
            <w:pPr>
              <w:adjustRightInd w:val="0"/>
              <w:snapToGrid w:val="0"/>
              <w:ind w:right="15"/>
              <w:jc w:val="center"/>
              <w:rPr>
                <w:bCs/>
                <w:color w:val="auto"/>
                <w:sz w:val="18"/>
                <w:szCs w:val="18"/>
              </w:rPr>
            </w:pPr>
          </w:p>
        </w:tc>
        <w:tc>
          <w:tcPr>
            <w:tcW w:w="1855" w:type="dxa"/>
            <w:noWrap w:val="0"/>
            <w:vAlign w:val="center"/>
          </w:tcPr>
          <w:p w14:paraId="72EAA869">
            <w:pPr>
              <w:adjustRightInd w:val="0"/>
              <w:snapToGrid w:val="0"/>
              <w:ind w:right="7"/>
              <w:jc w:val="center"/>
              <w:rPr>
                <w:bCs/>
                <w:color w:val="auto"/>
                <w:sz w:val="18"/>
                <w:szCs w:val="18"/>
              </w:rPr>
            </w:pPr>
            <w:r>
              <w:rPr>
                <w:bCs/>
                <w:color w:val="auto"/>
                <w:sz w:val="18"/>
                <w:szCs w:val="18"/>
              </w:rPr>
              <w:t>3</w:t>
            </w:r>
          </w:p>
        </w:tc>
      </w:tr>
      <w:tr w14:paraId="4AA7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top"/>
          </w:tcPr>
          <w:p w14:paraId="21E87AC9">
            <w:pPr>
              <w:adjustRightInd w:val="0"/>
              <w:snapToGrid w:val="0"/>
              <w:ind w:right="480"/>
              <w:jc w:val="center"/>
              <w:rPr>
                <w:bCs/>
                <w:color w:val="auto"/>
                <w:sz w:val="18"/>
                <w:szCs w:val="18"/>
              </w:rPr>
            </w:pPr>
          </w:p>
        </w:tc>
        <w:tc>
          <w:tcPr>
            <w:tcW w:w="2000" w:type="dxa"/>
            <w:noWrap w:val="0"/>
            <w:vAlign w:val="center"/>
          </w:tcPr>
          <w:p w14:paraId="3087A823">
            <w:pPr>
              <w:adjustRightInd w:val="0"/>
              <w:snapToGrid w:val="0"/>
              <w:ind w:right="-2"/>
              <w:jc w:val="center"/>
              <w:rPr>
                <w:bCs/>
                <w:color w:val="auto"/>
                <w:sz w:val="18"/>
                <w:szCs w:val="18"/>
              </w:rPr>
            </w:pPr>
            <w:r>
              <w:rPr>
                <w:bCs/>
                <w:color w:val="auto"/>
                <w:sz w:val="18"/>
                <w:szCs w:val="18"/>
              </w:rPr>
              <w:t>郧  县</w:t>
            </w:r>
          </w:p>
        </w:tc>
        <w:tc>
          <w:tcPr>
            <w:tcW w:w="1816" w:type="dxa"/>
            <w:noWrap w:val="0"/>
            <w:vAlign w:val="center"/>
          </w:tcPr>
          <w:p w14:paraId="4C1C0C0B">
            <w:pPr>
              <w:adjustRightInd w:val="0"/>
              <w:snapToGrid w:val="0"/>
              <w:ind w:right="21"/>
              <w:jc w:val="center"/>
              <w:rPr>
                <w:bCs/>
                <w:color w:val="auto"/>
                <w:sz w:val="18"/>
                <w:szCs w:val="18"/>
              </w:rPr>
            </w:pPr>
          </w:p>
        </w:tc>
        <w:tc>
          <w:tcPr>
            <w:tcW w:w="1855" w:type="dxa"/>
            <w:noWrap w:val="0"/>
            <w:vAlign w:val="center"/>
          </w:tcPr>
          <w:p w14:paraId="7FF1411E">
            <w:pPr>
              <w:adjustRightInd w:val="0"/>
              <w:snapToGrid w:val="0"/>
              <w:ind w:right="15"/>
              <w:jc w:val="center"/>
              <w:rPr>
                <w:bCs/>
                <w:color w:val="auto"/>
                <w:sz w:val="18"/>
                <w:szCs w:val="18"/>
              </w:rPr>
            </w:pPr>
            <w:r>
              <w:rPr>
                <w:bCs/>
                <w:color w:val="auto"/>
                <w:sz w:val="18"/>
                <w:szCs w:val="18"/>
              </w:rPr>
              <w:t>5</w:t>
            </w:r>
          </w:p>
        </w:tc>
        <w:tc>
          <w:tcPr>
            <w:tcW w:w="1855" w:type="dxa"/>
            <w:noWrap w:val="0"/>
            <w:vAlign w:val="center"/>
          </w:tcPr>
          <w:p w14:paraId="56A97480">
            <w:pPr>
              <w:adjustRightInd w:val="0"/>
              <w:snapToGrid w:val="0"/>
              <w:ind w:right="7"/>
              <w:jc w:val="center"/>
              <w:rPr>
                <w:bCs/>
                <w:color w:val="auto"/>
                <w:sz w:val="18"/>
                <w:szCs w:val="18"/>
              </w:rPr>
            </w:pPr>
            <w:r>
              <w:rPr>
                <w:bCs/>
                <w:color w:val="auto"/>
                <w:sz w:val="18"/>
                <w:szCs w:val="18"/>
              </w:rPr>
              <w:t>8</w:t>
            </w:r>
          </w:p>
        </w:tc>
      </w:tr>
      <w:tr w14:paraId="208F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top"/>
          </w:tcPr>
          <w:p w14:paraId="66D1A933">
            <w:pPr>
              <w:adjustRightInd w:val="0"/>
              <w:snapToGrid w:val="0"/>
              <w:ind w:right="480"/>
              <w:jc w:val="center"/>
              <w:rPr>
                <w:bCs/>
                <w:color w:val="auto"/>
                <w:sz w:val="18"/>
                <w:szCs w:val="18"/>
              </w:rPr>
            </w:pPr>
          </w:p>
        </w:tc>
        <w:tc>
          <w:tcPr>
            <w:tcW w:w="2000" w:type="dxa"/>
            <w:noWrap w:val="0"/>
            <w:vAlign w:val="center"/>
          </w:tcPr>
          <w:p w14:paraId="4373E66F">
            <w:pPr>
              <w:adjustRightInd w:val="0"/>
              <w:snapToGrid w:val="0"/>
              <w:ind w:right="-2"/>
              <w:jc w:val="center"/>
              <w:rPr>
                <w:bCs/>
                <w:color w:val="auto"/>
                <w:sz w:val="18"/>
                <w:szCs w:val="18"/>
              </w:rPr>
            </w:pPr>
            <w:r>
              <w:rPr>
                <w:bCs/>
                <w:color w:val="auto"/>
                <w:sz w:val="18"/>
                <w:szCs w:val="18"/>
              </w:rPr>
              <w:t>枝  江</w:t>
            </w:r>
          </w:p>
        </w:tc>
        <w:tc>
          <w:tcPr>
            <w:tcW w:w="1816" w:type="dxa"/>
            <w:noWrap w:val="0"/>
            <w:vAlign w:val="center"/>
          </w:tcPr>
          <w:p w14:paraId="4514110E">
            <w:pPr>
              <w:adjustRightInd w:val="0"/>
              <w:snapToGrid w:val="0"/>
              <w:ind w:right="21"/>
              <w:jc w:val="center"/>
              <w:rPr>
                <w:bCs/>
                <w:color w:val="auto"/>
                <w:sz w:val="18"/>
                <w:szCs w:val="18"/>
              </w:rPr>
            </w:pPr>
          </w:p>
        </w:tc>
        <w:tc>
          <w:tcPr>
            <w:tcW w:w="1855" w:type="dxa"/>
            <w:noWrap w:val="0"/>
            <w:vAlign w:val="center"/>
          </w:tcPr>
          <w:p w14:paraId="2D388D7F">
            <w:pPr>
              <w:adjustRightInd w:val="0"/>
              <w:snapToGrid w:val="0"/>
              <w:ind w:right="15"/>
              <w:jc w:val="center"/>
              <w:rPr>
                <w:bCs/>
                <w:color w:val="auto"/>
                <w:sz w:val="18"/>
                <w:szCs w:val="18"/>
              </w:rPr>
            </w:pPr>
            <w:r>
              <w:rPr>
                <w:bCs/>
                <w:color w:val="auto"/>
                <w:sz w:val="18"/>
                <w:szCs w:val="18"/>
              </w:rPr>
              <w:t>1</w:t>
            </w:r>
          </w:p>
        </w:tc>
        <w:tc>
          <w:tcPr>
            <w:tcW w:w="1855" w:type="dxa"/>
            <w:noWrap w:val="0"/>
            <w:vAlign w:val="center"/>
          </w:tcPr>
          <w:p w14:paraId="00350B80">
            <w:pPr>
              <w:adjustRightInd w:val="0"/>
              <w:snapToGrid w:val="0"/>
              <w:ind w:right="7"/>
              <w:jc w:val="center"/>
              <w:rPr>
                <w:bCs/>
                <w:color w:val="auto"/>
                <w:sz w:val="18"/>
                <w:szCs w:val="18"/>
              </w:rPr>
            </w:pPr>
            <w:r>
              <w:rPr>
                <w:bCs/>
                <w:color w:val="auto"/>
                <w:sz w:val="18"/>
                <w:szCs w:val="18"/>
              </w:rPr>
              <w:t>2</w:t>
            </w:r>
          </w:p>
        </w:tc>
      </w:tr>
      <w:tr w14:paraId="5395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3" w:type="dxa"/>
            <w:vMerge w:val="continue"/>
            <w:noWrap w:val="0"/>
            <w:vAlign w:val="top"/>
          </w:tcPr>
          <w:p w14:paraId="78E47B4A">
            <w:pPr>
              <w:adjustRightInd w:val="0"/>
              <w:snapToGrid w:val="0"/>
              <w:ind w:right="480"/>
              <w:jc w:val="center"/>
              <w:rPr>
                <w:bCs/>
                <w:color w:val="auto"/>
                <w:sz w:val="18"/>
                <w:szCs w:val="18"/>
              </w:rPr>
            </w:pPr>
          </w:p>
        </w:tc>
        <w:tc>
          <w:tcPr>
            <w:tcW w:w="2000" w:type="dxa"/>
            <w:noWrap w:val="0"/>
            <w:vAlign w:val="center"/>
          </w:tcPr>
          <w:p w14:paraId="1C389FAD">
            <w:pPr>
              <w:adjustRightInd w:val="0"/>
              <w:snapToGrid w:val="0"/>
              <w:ind w:right="-2"/>
              <w:jc w:val="center"/>
              <w:rPr>
                <w:bCs/>
                <w:color w:val="auto"/>
                <w:sz w:val="18"/>
                <w:szCs w:val="18"/>
              </w:rPr>
            </w:pPr>
            <w:r>
              <w:rPr>
                <w:bCs/>
                <w:color w:val="auto"/>
                <w:sz w:val="18"/>
                <w:szCs w:val="18"/>
              </w:rPr>
              <w:t>卫家店</w:t>
            </w:r>
          </w:p>
        </w:tc>
        <w:tc>
          <w:tcPr>
            <w:tcW w:w="1816" w:type="dxa"/>
            <w:noWrap w:val="0"/>
            <w:vAlign w:val="center"/>
          </w:tcPr>
          <w:p w14:paraId="2E6FCEB3">
            <w:pPr>
              <w:adjustRightInd w:val="0"/>
              <w:snapToGrid w:val="0"/>
              <w:ind w:right="21"/>
              <w:jc w:val="center"/>
              <w:rPr>
                <w:bCs/>
                <w:color w:val="auto"/>
                <w:sz w:val="18"/>
                <w:szCs w:val="18"/>
              </w:rPr>
            </w:pPr>
          </w:p>
        </w:tc>
        <w:tc>
          <w:tcPr>
            <w:tcW w:w="1855" w:type="dxa"/>
            <w:noWrap w:val="0"/>
            <w:vAlign w:val="center"/>
          </w:tcPr>
          <w:p w14:paraId="304A732D">
            <w:pPr>
              <w:adjustRightInd w:val="0"/>
              <w:snapToGrid w:val="0"/>
              <w:ind w:right="15"/>
              <w:jc w:val="center"/>
              <w:rPr>
                <w:bCs/>
                <w:color w:val="auto"/>
                <w:sz w:val="18"/>
                <w:szCs w:val="18"/>
              </w:rPr>
            </w:pPr>
          </w:p>
        </w:tc>
        <w:tc>
          <w:tcPr>
            <w:tcW w:w="1855" w:type="dxa"/>
            <w:noWrap w:val="0"/>
            <w:vAlign w:val="center"/>
          </w:tcPr>
          <w:p w14:paraId="6C3D8020">
            <w:pPr>
              <w:adjustRightInd w:val="0"/>
              <w:snapToGrid w:val="0"/>
              <w:ind w:right="7"/>
              <w:jc w:val="center"/>
              <w:rPr>
                <w:bCs/>
                <w:color w:val="auto"/>
                <w:sz w:val="18"/>
                <w:szCs w:val="18"/>
              </w:rPr>
            </w:pPr>
            <w:r>
              <w:rPr>
                <w:bCs/>
                <w:color w:val="auto"/>
                <w:sz w:val="18"/>
                <w:szCs w:val="18"/>
              </w:rPr>
              <w:t>3</w:t>
            </w:r>
          </w:p>
        </w:tc>
      </w:tr>
      <w:tr w14:paraId="7C71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13" w:type="dxa"/>
            <w:gridSpan w:val="2"/>
            <w:noWrap w:val="0"/>
            <w:vAlign w:val="center"/>
          </w:tcPr>
          <w:p w14:paraId="1596E66B">
            <w:pPr>
              <w:adjustRightInd w:val="0"/>
              <w:snapToGrid w:val="0"/>
              <w:ind w:right="12"/>
              <w:jc w:val="center"/>
              <w:rPr>
                <w:bCs/>
                <w:color w:val="auto"/>
                <w:sz w:val="18"/>
                <w:szCs w:val="18"/>
              </w:rPr>
            </w:pPr>
            <w:r>
              <w:rPr>
                <w:bCs/>
                <w:color w:val="auto"/>
                <w:sz w:val="18"/>
                <w:szCs w:val="18"/>
              </w:rPr>
              <w:t>小计（占％）</w:t>
            </w:r>
          </w:p>
        </w:tc>
        <w:tc>
          <w:tcPr>
            <w:tcW w:w="1816" w:type="dxa"/>
            <w:noWrap w:val="0"/>
            <w:vAlign w:val="center"/>
          </w:tcPr>
          <w:p w14:paraId="6A4AEEC1">
            <w:pPr>
              <w:adjustRightInd w:val="0"/>
              <w:snapToGrid w:val="0"/>
              <w:ind w:right="7"/>
              <w:jc w:val="center"/>
              <w:rPr>
                <w:bCs/>
                <w:color w:val="auto"/>
                <w:sz w:val="18"/>
                <w:szCs w:val="18"/>
              </w:rPr>
            </w:pPr>
            <w:r>
              <w:rPr>
                <w:bCs/>
                <w:color w:val="auto"/>
                <w:sz w:val="18"/>
                <w:szCs w:val="18"/>
              </w:rPr>
              <w:t>28（18.1％）</w:t>
            </w:r>
          </w:p>
        </w:tc>
        <w:tc>
          <w:tcPr>
            <w:tcW w:w="1855" w:type="dxa"/>
            <w:noWrap w:val="0"/>
            <w:vAlign w:val="center"/>
          </w:tcPr>
          <w:p w14:paraId="3B1053E3">
            <w:pPr>
              <w:adjustRightInd w:val="0"/>
              <w:snapToGrid w:val="0"/>
              <w:ind w:right="7"/>
              <w:jc w:val="center"/>
              <w:rPr>
                <w:bCs/>
                <w:color w:val="auto"/>
                <w:sz w:val="18"/>
                <w:szCs w:val="18"/>
              </w:rPr>
            </w:pPr>
            <w:r>
              <w:rPr>
                <w:bCs/>
                <w:color w:val="auto"/>
                <w:sz w:val="18"/>
                <w:szCs w:val="18"/>
              </w:rPr>
              <w:t>63（40.6％）</w:t>
            </w:r>
          </w:p>
        </w:tc>
        <w:tc>
          <w:tcPr>
            <w:tcW w:w="1855" w:type="dxa"/>
            <w:noWrap w:val="0"/>
            <w:vAlign w:val="center"/>
          </w:tcPr>
          <w:p w14:paraId="7D86FE56">
            <w:pPr>
              <w:adjustRightInd w:val="0"/>
              <w:snapToGrid w:val="0"/>
              <w:ind w:right="7"/>
              <w:jc w:val="center"/>
              <w:rPr>
                <w:bCs/>
                <w:color w:val="auto"/>
                <w:sz w:val="18"/>
                <w:szCs w:val="18"/>
              </w:rPr>
            </w:pPr>
            <w:r>
              <w:rPr>
                <w:bCs/>
                <w:color w:val="auto"/>
                <w:sz w:val="18"/>
                <w:szCs w:val="18"/>
              </w:rPr>
              <w:t>64（41.3％）</w:t>
            </w:r>
          </w:p>
        </w:tc>
      </w:tr>
    </w:tbl>
    <w:p w14:paraId="2857B092">
      <w:pPr>
        <w:adjustRightInd w:val="0"/>
        <w:snapToGrid w:val="0"/>
        <w:spacing w:line="360" w:lineRule="auto"/>
        <w:ind w:right="480" w:firstLine="420"/>
        <w:rPr>
          <w:bCs/>
          <w:color w:val="auto"/>
          <w:szCs w:val="21"/>
        </w:rPr>
      </w:pPr>
    </w:p>
    <w:p w14:paraId="464374E4">
      <w:pPr>
        <w:adjustRightInd w:val="0"/>
        <w:snapToGrid w:val="0"/>
        <w:spacing w:line="360" w:lineRule="atLeast"/>
        <w:ind w:firstLine="420" w:firstLineChars="200"/>
        <w:rPr>
          <w:bCs/>
          <w:color w:val="auto"/>
          <w:szCs w:val="21"/>
        </w:rPr>
      </w:pPr>
      <w:r>
        <w:rPr>
          <w:bCs/>
          <w:color w:val="auto"/>
          <w:szCs w:val="21"/>
        </w:rPr>
        <w:t>上升型位移是由于房屋建成后地基土吸水膨胀产生变形，导致房屋持续多年的上升，如图5中的曲线1。例如：河南平顶山市一栋平房建于1975年的旱季，房屋各点均持续上升，到1979年上升量达到45mm。应当指出，房屋各处的上升是不均匀的，且随季节波动，这种不均匀变形达到一定程度，就会导致房屋开裂破坏。产生上升型位移的主要原因如下：</w:t>
      </w:r>
    </w:p>
    <w:p w14:paraId="02C507F5">
      <w:pPr>
        <w:adjustRightInd w:val="0"/>
        <w:snapToGrid w:val="0"/>
        <w:spacing w:line="360" w:lineRule="atLeast"/>
        <w:ind w:right="480" w:firstLine="420"/>
        <w:rPr>
          <w:bCs/>
          <w:color w:val="auto"/>
          <w:szCs w:val="21"/>
        </w:rPr>
      </w:pPr>
      <w:r>
        <w:rPr>
          <w:b/>
          <w:bCs/>
          <w:color w:val="auto"/>
          <w:szCs w:val="21"/>
        </w:rPr>
        <w:t>1）</w:t>
      </w:r>
      <w:r>
        <w:rPr>
          <w:bCs/>
          <w:color w:val="auto"/>
          <w:szCs w:val="21"/>
        </w:rPr>
        <w:t>建房时气候干旱，土中含水量偏低；</w:t>
      </w:r>
    </w:p>
    <w:p w14:paraId="59694A75">
      <w:pPr>
        <w:adjustRightInd w:val="0"/>
        <w:snapToGrid w:val="0"/>
        <w:spacing w:line="360" w:lineRule="atLeast"/>
        <w:ind w:right="480" w:firstLine="420"/>
        <w:rPr>
          <w:bCs/>
          <w:color w:val="auto"/>
          <w:szCs w:val="21"/>
        </w:rPr>
      </w:pPr>
      <w:r>
        <w:rPr>
          <w:b/>
          <w:bCs/>
          <w:color w:val="auto"/>
          <w:szCs w:val="21"/>
        </w:rPr>
        <w:t>2）</w:t>
      </w:r>
      <w:r>
        <w:rPr>
          <w:bCs/>
          <w:color w:val="auto"/>
          <w:szCs w:val="21"/>
        </w:rPr>
        <w:t>基坑长期曝晒；</w:t>
      </w:r>
    </w:p>
    <w:p w14:paraId="07AABBB8">
      <w:pPr>
        <w:adjustRightInd w:val="0"/>
        <w:snapToGrid w:val="0"/>
        <w:spacing w:line="360" w:lineRule="atLeast"/>
        <w:ind w:right="480" w:firstLine="420"/>
        <w:rPr>
          <w:bCs/>
          <w:color w:val="auto"/>
          <w:szCs w:val="21"/>
        </w:rPr>
      </w:pPr>
      <w:r>
        <w:rPr>
          <w:b/>
          <w:bCs/>
          <w:color w:val="auto"/>
          <w:szCs w:val="21"/>
        </w:rPr>
        <w:t>3）</w:t>
      </w:r>
      <w:r>
        <w:rPr>
          <w:bCs/>
          <w:color w:val="auto"/>
          <w:szCs w:val="21"/>
        </w:rPr>
        <w:t>建筑物使用期间长期受水浸润。</w:t>
      </w:r>
    </w:p>
    <w:p w14:paraId="5559B1A1">
      <w:pPr>
        <w:adjustRightInd w:val="0"/>
        <w:snapToGrid w:val="0"/>
        <w:spacing w:line="360" w:lineRule="atLeast"/>
        <w:ind w:firstLine="420" w:firstLineChars="200"/>
        <w:rPr>
          <w:bCs/>
          <w:color w:val="auto"/>
          <w:szCs w:val="21"/>
        </w:rPr>
      </w:pPr>
      <w:r>
        <w:rPr>
          <w:bCs/>
          <w:color w:val="auto"/>
          <w:szCs w:val="21"/>
        </w:rPr>
        <w:t>波动型的特点是房屋位移随季节性降雨、干旱等气候变化而周期性的上升或下降，一个水文年基本为一循环周期，如图5曲线2。我国膨胀土多分布于亚干旱和亚湿润气候区，土的天然含水量接近塑限，房屋位移随气候变化的特征比较明显。表</w:t>
      </w:r>
      <w:r>
        <w:rPr>
          <w:rFonts w:hint="eastAsia"/>
          <w:bCs/>
          <w:color w:val="auto"/>
          <w:szCs w:val="21"/>
        </w:rPr>
        <w:t>8</w:t>
      </w:r>
      <w:r>
        <w:rPr>
          <w:bCs/>
          <w:color w:val="auto"/>
          <w:szCs w:val="21"/>
        </w:rPr>
        <w:t>是各地气候与房屋位移状况的对照。可以看出，在广西、云南地区，房屋一般在二、三季度的雨季因土中含水量增加而膨胀上升；在四、一季度的旱季随土中水份大量蒸发而收缩下沉。但长江以北的中原、江淮和华北地区，情况却与之相反。这是因为该地区雨季集中在7月～8月份，并常以暴雨形式出现，地面径流量大，向土中渗入量少。房屋的位移主要受地温梯度的变化影响而上升或下降。在冬、春季节，地表温度远低于下部恒温。根据土中水份由高温向低温转移的规律，水份由下部向上部转移，使上部土中的含水量增大而导致地基土上升；在夏、秋季节，水份向下转移并有大量的地面蒸发，使地基土失水而收缩下沉。</w:t>
      </w:r>
    </w:p>
    <w:p w14:paraId="6759D9B1">
      <w:pPr>
        <w:adjustRightInd w:val="0"/>
        <w:snapToGrid w:val="0"/>
        <w:ind w:right="482" w:firstLine="420"/>
        <w:jc w:val="center"/>
        <w:rPr>
          <w:b/>
          <w:bCs/>
          <w:color w:val="auto"/>
          <w:szCs w:val="21"/>
        </w:rPr>
      </w:pPr>
    </w:p>
    <w:p w14:paraId="3CA64517">
      <w:pPr>
        <w:pStyle w:val="12"/>
        <w:jc w:val="center"/>
        <w:rPr>
          <w:b/>
          <w:bCs/>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8</w:t>
      </w:r>
      <w:r>
        <w:rPr>
          <w:color w:val="auto"/>
        </w:rPr>
        <w:fldChar w:fldCharType="end"/>
      </w:r>
      <w:r>
        <w:rPr>
          <w:b/>
          <w:bCs/>
          <w:color w:val="auto"/>
          <w:szCs w:val="21"/>
        </w:rPr>
        <w:t xml:space="preserve">  各地气候与房屋位移</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500"/>
        <w:gridCol w:w="1443"/>
        <w:gridCol w:w="518"/>
        <w:gridCol w:w="1597"/>
        <w:gridCol w:w="437"/>
        <w:gridCol w:w="820"/>
        <w:gridCol w:w="1301"/>
      </w:tblGrid>
      <w:tr w14:paraId="6C8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top"/>
          </w:tcPr>
          <w:p w14:paraId="77F7B9F8">
            <w:pPr>
              <w:adjustRightInd w:val="0"/>
              <w:snapToGrid w:val="0"/>
              <w:ind w:right="-78" w:firstLine="180" w:firstLineChars="100"/>
              <w:rPr>
                <w:bCs/>
                <w:color w:val="auto"/>
                <w:sz w:val="18"/>
                <w:szCs w:val="18"/>
              </w:rPr>
            </w:pPr>
          </w:p>
          <w:p w14:paraId="0F2108FD">
            <w:pPr>
              <w:adjustRightInd w:val="0"/>
              <w:snapToGrid w:val="0"/>
              <w:ind w:right="-78" w:firstLine="180" w:firstLineChars="100"/>
              <w:rPr>
                <w:bCs/>
                <w:color w:val="auto"/>
                <w:sz w:val="18"/>
                <w:szCs w:val="18"/>
              </w:rPr>
            </w:pPr>
          </w:p>
          <w:p w14:paraId="7254A46D">
            <w:pPr>
              <w:adjustRightInd w:val="0"/>
              <w:snapToGrid w:val="0"/>
              <w:ind w:right="-78" w:firstLine="180" w:firstLineChars="100"/>
              <w:jc w:val="center"/>
              <w:rPr>
                <w:bCs/>
                <w:color w:val="auto"/>
                <w:sz w:val="18"/>
                <w:szCs w:val="18"/>
              </w:rPr>
            </w:pPr>
            <w:r>
              <w:rPr>
                <w:bCs/>
                <w:color w:val="auto"/>
                <w:sz w:val="18"/>
                <w:szCs w:val="18"/>
              </w:rPr>
              <w:t>地  区</w:t>
            </w:r>
          </w:p>
        </w:tc>
        <w:tc>
          <w:tcPr>
            <w:tcW w:w="1500" w:type="dxa"/>
            <w:noWrap w:val="0"/>
            <w:vAlign w:val="center"/>
          </w:tcPr>
          <w:p w14:paraId="0D4FBDA1">
            <w:pPr>
              <w:adjustRightInd w:val="0"/>
              <w:snapToGrid w:val="0"/>
              <w:ind w:right="18"/>
              <w:jc w:val="center"/>
              <w:rPr>
                <w:bCs/>
                <w:color w:val="auto"/>
                <w:sz w:val="18"/>
                <w:szCs w:val="18"/>
              </w:rPr>
            </w:pPr>
            <w:r>
              <w:rPr>
                <w:bCs/>
                <w:color w:val="auto"/>
                <w:sz w:val="18"/>
                <w:szCs w:val="18"/>
              </w:rPr>
              <w:t>年蒸发量(mm)</w:t>
            </w:r>
          </w:p>
        </w:tc>
        <w:tc>
          <w:tcPr>
            <w:tcW w:w="1961" w:type="dxa"/>
            <w:gridSpan w:val="2"/>
            <w:noWrap w:val="0"/>
            <w:vAlign w:val="center"/>
          </w:tcPr>
          <w:p w14:paraId="211C2713">
            <w:pPr>
              <w:adjustRightInd w:val="0"/>
              <w:snapToGrid w:val="0"/>
              <w:ind w:right="55"/>
              <w:jc w:val="center"/>
              <w:rPr>
                <w:bCs/>
                <w:color w:val="auto"/>
                <w:sz w:val="18"/>
                <w:szCs w:val="18"/>
              </w:rPr>
            </w:pPr>
            <w:r>
              <w:rPr>
                <w:bCs/>
                <w:color w:val="auto"/>
                <w:sz w:val="18"/>
                <w:szCs w:val="18"/>
              </w:rPr>
              <w:t>雨 季</w:t>
            </w:r>
          </w:p>
        </w:tc>
        <w:tc>
          <w:tcPr>
            <w:tcW w:w="2034" w:type="dxa"/>
            <w:gridSpan w:val="2"/>
            <w:noWrap w:val="0"/>
            <w:vAlign w:val="center"/>
          </w:tcPr>
          <w:p w14:paraId="6A80C241">
            <w:pPr>
              <w:adjustRightInd w:val="0"/>
              <w:snapToGrid w:val="0"/>
              <w:ind w:right="55"/>
              <w:jc w:val="center"/>
              <w:rPr>
                <w:bCs/>
                <w:color w:val="auto"/>
                <w:sz w:val="18"/>
                <w:szCs w:val="18"/>
              </w:rPr>
            </w:pPr>
            <w:r>
              <w:rPr>
                <w:bCs/>
                <w:color w:val="auto"/>
                <w:sz w:val="18"/>
                <w:szCs w:val="18"/>
              </w:rPr>
              <w:t>旱 季</w:t>
            </w:r>
          </w:p>
        </w:tc>
        <w:tc>
          <w:tcPr>
            <w:tcW w:w="2121" w:type="dxa"/>
            <w:gridSpan w:val="2"/>
            <w:noWrap w:val="0"/>
            <w:vAlign w:val="center"/>
          </w:tcPr>
          <w:p w14:paraId="13D80D69">
            <w:pPr>
              <w:adjustRightInd w:val="0"/>
              <w:snapToGrid w:val="0"/>
              <w:ind w:right="55"/>
              <w:jc w:val="center"/>
              <w:rPr>
                <w:bCs/>
                <w:color w:val="auto"/>
                <w:sz w:val="18"/>
                <w:szCs w:val="18"/>
              </w:rPr>
            </w:pPr>
            <w:r>
              <w:rPr>
                <w:bCs/>
                <w:color w:val="auto"/>
                <w:sz w:val="18"/>
                <w:szCs w:val="18"/>
              </w:rPr>
              <w:t>地 温（℃）</w:t>
            </w:r>
          </w:p>
        </w:tc>
      </w:tr>
      <w:tr w14:paraId="226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90" w:type="dxa"/>
            <w:vMerge w:val="continue"/>
            <w:noWrap w:val="0"/>
            <w:vAlign w:val="top"/>
          </w:tcPr>
          <w:p w14:paraId="14203623">
            <w:pPr>
              <w:adjustRightInd w:val="0"/>
              <w:snapToGrid w:val="0"/>
              <w:ind w:right="480"/>
              <w:rPr>
                <w:bCs/>
                <w:color w:val="auto"/>
                <w:sz w:val="18"/>
                <w:szCs w:val="18"/>
              </w:rPr>
            </w:pPr>
          </w:p>
        </w:tc>
        <w:tc>
          <w:tcPr>
            <w:tcW w:w="1500" w:type="dxa"/>
            <w:vMerge w:val="restart"/>
            <w:noWrap w:val="0"/>
            <w:vAlign w:val="center"/>
          </w:tcPr>
          <w:p w14:paraId="5641CE15">
            <w:pPr>
              <w:adjustRightInd w:val="0"/>
              <w:snapToGrid w:val="0"/>
              <w:ind w:right="-25"/>
              <w:jc w:val="center"/>
              <w:rPr>
                <w:bCs/>
                <w:color w:val="auto"/>
                <w:sz w:val="18"/>
                <w:szCs w:val="18"/>
              </w:rPr>
            </w:pPr>
            <w:r>
              <w:rPr>
                <w:bCs/>
                <w:color w:val="auto"/>
                <w:sz w:val="18"/>
                <w:szCs w:val="18"/>
              </w:rPr>
              <w:t>年降雨量</w:t>
            </w:r>
          </w:p>
          <w:p w14:paraId="31316A85">
            <w:pPr>
              <w:adjustRightInd w:val="0"/>
              <w:snapToGrid w:val="0"/>
              <w:ind w:right="9"/>
              <w:jc w:val="center"/>
              <w:rPr>
                <w:bCs/>
                <w:color w:val="auto"/>
                <w:sz w:val="18"/>
                <w:szCs w:val="18"/>
              </w:rPr>
            </w:pPr>
            <w:r>
              <w:rPr>
                <w:bCs/>
                <w:color w:val="auto"/>
                <w:sz w:val="18"/>
                <w:szCs w:val="18"/>
              </w:rPr>
              <w:t>(mm)</w:t>
            </w:r>
          </w:p>
        </w:tc>
        <w:tc>
          <w:tcPr>
            <w:tcW w:w="1443" w:type="dxa"/>
            <w:noWrap w:val="0"/>
            <w:vAlign w:val="center"/>
          </w:tcPr>
          <w:p w14:paraId="33EEA41F">
            <w:pPr>
              <w:adjustRightInd w:val="0"/>
              <w:snapToGrid w:val="0"/>
              <w:ind w:right="15"/>
              <w:jc w:val="center"/>
              <w:rPr>
                <w:bCs/>
                <w:color w:val="auto"/>
                <w:sz w:val="18"/>
                <w:szCs w:val="18"/>
              </w:rPr>
            </w:pPr>
            <w:r>
              <w:rPr>
                <w:bCs/>
                <w:color w:val="auto"/>
                <w:sz w:val="18"/>
                <w:szCs w:val="18"/>
              </w:rPr>
              <w:t>起止日期</w:t>
            </w:r>
          </w:p>
        </w:tc>
        <w:tc>
          <w:tcPr>
            <w:tcW w:w="518" w:type="dxa"/>
            <w:vMerge w:val="restart"/>
            <w:noWrap w:val="0"/>
            <w:vAlign w:val="center"/>
          </w:tcPr>
          <w:p w14:paraId="6A9D7116">
            <w:pPr>
              <w:adjustRightInd w:val="0"/>
              <w:snapToGrid w:val="0"/>
              <w:ind w:right="11"/>
              <w:jc w:val="center"/>
              <w:rPr>
                <w:bCs/>
                <w:color w:val="auto"/>
                <w:sz w:val="18"/>
                <w:szCs w:val="18"/>
              </w:rPr>
            </w:pPr>
            <w:r>
              <w:rPr>
                <w:bCs/>
                <w:color w:val="auto"/>
                <w:sz w:val="18"/>
                <w:szCs w:val="18"/>
              </w:rPr>
              <w:t>位移</w:t>
            </w:r>
          </w:p>
        </w:tc>
        <w:tc>
          <w:tcPr>
            <w:tcW w:w="1597" w:type="dxa"/>
            <w:noWrap w:val="0"/>
            <w:vAlign w:val="center"/>
          </w:tcPr>
          <w:p w14:paraId="5D4F8431">
            <w:pPr>
              <w:adjustRightInd w:val="0"/>
              <w:snapToGrid w:val="0"/>
              <w:ind w:right="15"/>
              <w:jc w:val="center"/>
              <w:rPr>
                <w:bCs/>
                <w:color w:val="auto"/>
                <w:sz w:val="18"/>
                <w:szCs w:val="18"/>
              </w:rPr>
            </w:pPr>
            <w:r>
              <w:rPr>
                <w:bCs/>
                <w:color w:val="auto"/>
                <w:sz w:val="18"/>
                <w:szCs w:val="18"/>
              </w:rPr>
              <w:t>起止日期</w:t>
            </w:r>
          </w:p>
        </w:tc>
        <w:tc>
          <w:tcPr>
            <w:tcW w:w="437" w:type="dxa"/>
            <w:vMerge w:val="restart"/>
            <w:noWrap w:val="0"/>
            <w:vAlign w:val="center"/>
          </w:tcPr>
          <w:p w14:paraId="1D436C7A">
            <w:pPr>
              <w:adjustRightInd w:val="0"/>
              <w:snapToGrid w:val="0"/>
              <w:ind w:right="5"/>
              <w:jc w:val="center"/>
              <w:rPr>
                <w:bCs/>
                <w:color w:val="auto"/>
                <w:sz w:val="18"/>
                <w:szCs w:val="18"/>
              </w:rPr>
            </w:pPr>
            <w:r>
              <w:rPr>
                <w:bCs/>
                <w:color w:val="auto"/>
                <w:sz w:val="18"/>
                <w:szCs w:val="18"/>
              </w:rPr>
              <w:t>位移</w:t>
            </w:r>
          </w:p>
        </w:tc>
        <w:tc>
          <w:tcPr>
            <w:tcW w:w="820" w:type="dxa"/>
            <w:vMerge w:val="restart"/>
            <w:noWrap w:val="0"/>
            <w:vAlign w:val="center"/>
          </w:tcPr>
          <w:p w14:paraId="48B35DCC">
            <w:pPr>
              <w:adjustRightInd w:val="0"/>
              <w:snapToGrid w:val="0"/>
              <w:ind w:right="5"/>
              <w:jc w:val="center"/>
              <w:rPr>
                <w:bCs/>
                <w:color w:val="auto"/>
                <w:sz w:val="18"/>
                <w:szCs w:val="18"/>
              </w:rPr>
            </w:pPr>
            <w:r>
              <w:rPr>
                <w:bCs/>
                <w:color w:val="auto"/>
                <w:sz w:val="18"/>
                <w:szCs w:val="18"/>
              </w:rPr>
              <w:t>深度</w:t>
            </w:r>
          </w:p>
          <w:p w14:paraId="23DB6E43">
            <w:pPr>
              <w:adjustRightInd w:val="0"/>
              <w:snapToGrid w:val="0"/>
              <w:ind w:right="5"/>
              <w:jc w:val="center"/>
              <w:rPr>
                <w:bCs/>
                <w:color w:val="auto"/>
                <w:sz w:val="18"/>
                <w:szCs w:val="18"/>
              </w:rPr>
            </w:pPr>
            <w:r>
              <w:rPr>
                <w:bCs/>
                <w:color w:val="auto"/>
                <w:sz w:val="18"/>
                <w:szCs w:val="18"/>
              </w:rPr>
              <w:t>（m）</w:t>
            </w:r>
          </w:p>
        </w:tc>
        <w:tc>
          <w:tcPr>
            <w:tcW w:w="1301" w:type="dxa"/>
            <w:noWrap w:val="0"/>
            <w:vAlign w:val="center"/>
          </w:tcPr>
          <w:p w14:paraId="2E60859A">
            <w:pPr>
              <w:adjustRightInd w:val="0"/>
              <w:snapToGrid w:val="0"/>
              <w:ind w:right="6"/>
              <w:jc w:val="center"/>
              <w:rPr>
                <w:bCs/>
                <w:color w:val="auto"/>
                <w:sz w:val="18"/>
                <w:szCs w:val="18"/>
              </w:rPr>
            </w:pPr>
            <w:r>
              <w:rPr>
                <w:bCs/>
                <w:color w:val="auto"/>
                <w:sz w:val="18"/>
                <w:szCs w:val="18"/>
              </w:rPr>
              <w:t>最高(日期)</w:t>
            </w:r>
          </w:p>
        </w:tc>
      </w:tr>
      <w:tr w14:paraId="68CC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590" w:type="dxa"/>
            <w:vMerge w:val="continue"/>
            <w:noWrap w:val="0"/>
            <w:vAlign w:val="top"/>
          </w:tcPr>
          <w:p w14:paraId="1684BE77">
            <w:pPr>
              <w:adjustRightInd w:val="0"/>
              <w:snapToGrid w:val="0"/>
              <w:ind w:right="480"/>
              <w:rPr>
                <w:bCs/>
                <w:color w:val="auto"/>
                <w:sz w:val="18"/>
                <w:szCs w:val="18"/>
              </w:rPr>
            </w:pPr>
          </w:p>
        </w:tc>
        <w:tc>
          <w:tcPr>
            <w:tcW w:w="1500" w:type="dxa"/>
            <w:vMerge w:val="continue"/>
            <w:noWrap w:val="0"/>
            <w:vAlign w:val="top"/>
          </w:tcPr>
          <w:p w14:paraId="7077D297">
            <w:pPr>
              <w:adjustRightInd w:val="0"/>
              <w:snapToGrid w:val="0"/>
              <w:ind w:right="480"/>
              <w:rPr>
                <w:bCs/>
                <w:color w:val="auto"/>
                <w:sz w:val="18"/>
                <w:szCs w:val="18"/>
              </w:rPr>
            </w:pPr>
          </w:p>
        </w:tc>
        <w:tc>
          <w:tcPr>
            <w:tcW w:w="1443" w:type="dxa"/>
            <w:noWrap w:val="0"/>
            <w:vAlign w:val="center"/>
          </w:tcPr>
          <w:p w14:paraId="72340047">
            <w:pPr>
              <w:adjustRightInd w:val="0"/>
              <w:snapToGrid w:val="0"/>
              <w:ind w:leftChars="-24" w:right="15" w:hanging="50" w:hangingChars="28"/>
              <w:jc w:val="center"/>
              <w:rPr>
                <w:bCs/>
                <w:color w:val="auto"/>
                <w:sz w:val="18"/>
                <w:szCs w:val="18"/>
              </w:rPr>
            </w:pPr>
            <w:r>
              <w:rPr>
                <w:bCs/>
                <w:color w:val="auto"/>
                <w:sz w:val="18"/>
                <w:szCs w:val="18"/>
              </w:rPr>
              <w:t>降雨占总数（%）</w:t>
            </w:r>
          </w:p>
        </w:tc>
        <w:tc>
          <w:tcPr>
            <w:tcW w:w="518" w:type="dxa"/>
            <w:vMerge w:val="continue"/>
            <w:noWrap w:val="0"/>
            <w:vAlign w:val="center"/>
          </w:tcPr>
          <w:p w14:paraId="3E40B437">
            <w:pPr>
              <w:adjustRightInd w:val="0"/>
              <w:snapToGrid w:val="0"/>
              <w:ind w:right="11"/>
              <w:jc w:val="center"/>
              <w:rPr>
                <w:bCs/>
                <w:color w:val="auto"/>
                <w:sz w:val="18"/>
                <w:szCs w:val="18"/>
              </w:rPr>
            </w:pPr>
          </w:p>
        </w:tc>
        <w:tc>
          <w:tcPr>
            <w:tcW w:w="1597" w:type="dxa"/>
            <w:noWrap w:val="0"/>
            <w:vAlign w:val="center"/>
          </w:tcPr>
          <w:p w14:paraId="27F3F5CA">
            <w:pPr>
              <w:adjustRightInd w:val="0"/>
              <w:snapToGrid w:val="0"/>
              <w:ind w:right="15"/>
              <w:jc w:val="center"/>
              <w:rPr>
                <w:bCs/>
                <w:color w:val="auto"/>
                <w:sz w:val="18"/>
                <w:szCs w:val="18"/>
              </w:rPr>
            </w:pPr>
            <w:r>
              <w:rPr>
                <w:bCs/>
                <w:color w:val="auto"/>
                <w:sz w:val="18"/>
                <w:szCs w:val="18"/>
              </w:rPr>
              <w:t>降雨占总数（%）</w:t>
            </w:r>
          </w:p>
        </w:tc>
        <w:tc>
          <w:tcPr>
            <w:tcW w:w="437" w:type="dxa"/>
            <w:vMerge w:val="continue"/>
            <w:noWrap w:val="0"/>
            <w:vAlign w:val="top"/>
          </w:tcPr>
          <w:p w14:paraId="6C11F58E">
            <w:pPr>
              <w:adjustRightInd w:val="0"/>
              <w:snapToGrid w:val="0"/>
              <w:ind w:right="5"/>
              <w:rPr>
                <w:bCs/>
                <w:color w:val="auto"/>
                <w:sz w:val="18"/>
                <w:szCs w:val="18"/>
              </w:rPr>
            </w:pPr>
          </w:p>
        </w:tc>
        <w:tc>
          <w:tcPr>
            <w:tcW w:w="820" w:type="dxa"/>
            <w:vMerge w:val="continue"/>
            <w:noWrap w:val="0"/>
            <w:vAlign w:val="top"/>
          </w:tcPr>
          <w:p w14:paraId="7AB68EA1">
            <w:pPr>
              <w:adjustRightInd w:val="0"/>
              <w:snapToGrid w:val="0"/>
              <w:ind w:right="5"/>
              <w:rPr>
                <w:bCs/>
                <w:color w:val="auto"/>
                <w:sz w:val="18"/>
                <w:szCs w:val="18"/>
              </w:rPr>
            </w:pPr>
          </w:p>
        </w:tc>
        <w:tc>
          <w:tcPr>
            <w:tcW w:w="1301" w:type="dxa"/>
            <w:noWrap w:val="0"/>
            <w:vAlign w:val="center"/>
          </w:tcPr>
          <w:p w14:paraId="5751D3E8">
            <w:pPr>
              <w:adjustRightInd w:val="0"/>
              <w:snapToGrid w:val="0"/>
              <w:ind w:right="6"/>
              <w:jc w:val="center"/>
              <w:rPr>
                <w:bCs/>
                <w:color w:val="auto"/>
                <w:sz w:val="18"/>
                <w:szCs w:val="18"/>
              </w:rPr>
            </w:pPr>
            <w:r>
              <w:rPr>
                <w:bCs/>
                <w:color w:val="auto"/>
                <w:sz w:val="18"/>
                <w:szCs w:val="18"/>
              </w:rPr>
              <w:t>最低(日期)</w:t>
            </w:r>
          </w:p>
        </w:tc>
      </w:tr>
      <w:tr w14:paraId="510B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4ED931B0">
            <w:pPr>
              <w:adjustRightInd w:val="0"/>
              <w:snapToGrid w:val="0"/>
              <w:ind w:right="25"/>
              <w:jc w:val="center"/>
              <w:rPr>
                <w:bCs/>
                <w:color w:val="auto"/>
                <w:sz w:val="18"/>
                <w:szCs w:val="18"/>
              </w:rPr>
            </w:pPr>
            <w:r>
              <w:rPr>
                <w:bCs/>
                <w:color w:val="auto"/>
                <w:sz w:val="18"/>
                <w:szCs w:val="18"/>
              </w:rPr>
              <w:t>云南</w:t>
            </w:r>
          </w:p>
          <w:p w14:paraId="20C15803">
            <w:pPr>
              <w:adjustRightInd w:val="0"/>
              <w:snapToGrid w:val="0"/>
              <w:ind w:right="25"/>
              <w:jc w:val="center"/>
              <w:rPr>
                <w:bCs/>
                <w:color w:val="auto"/>
                <w:sz w:val="18"/>
                <w:szCs w:val="18"/>
              </w:rPr>
            </w:pPr>
            <w:r>
              <w:rPr>
                <w:bCs/>
                <w:color w:val="auto"/>
                <w:sz w:val="18"/>
                <w:szCs w:val="18"/>
              </w:rPr>
              <w:t>（蒙自、鸡街）</w:t>
            </w:r>
          </w:p>
        </w:tc>
        <w:tc>
          <w:tcPr>
            <w:tcW w:w="1500" w:type="dxa"/>
            <w:noWrap w:val="0"/>
            <w:vAlign w:val="center"/>
          </w:tcPr>
          <w:p w14:paraId="2BEDEECA">
            <w:pPr>
              <w:adjustRightInd w:val="0"/>
              <w:snapToGrid w:val="0"/>
              <w:ind w:right="51"/>
              <w:jc w:val="center"/>
              <w:rPr>
                <w:bCs/>
                <w:color w:val="auto"/>
                <w:sz w:val="18"/>
                <w:szCs w:val="18"/>
              </w:rPr>
            </w:pPr>
            <w:r>
              <w:rPr>
                <w:bCs/>
                <w:color w:val="auto"/>
                <w:sz w:val="18"/>
                <w:szCs w:val="18"/>
              </w:rPr>
              <w:t>2369.3</w:t>
            </w:r>
          </w:p>
        </w:tc>
        <w:tc>
          <w:tcPr>
            <w:tcW w:w="1443" w:type="dxa"/>
            <w:noWrap w:val="0"/>
            <w:vAlign w:val="center"/>
          </w:tcPr>
          <w:p w14:paraId="14E92CA7">
            <w:pPr>
              <w:adjustRightInd w:val="0"/>
              <w:snapToGrid w:val="0"/>
              <w:ind w:right="15"/>
              <w:jc w:val="center"/>
              <w:rPr>
                <w:bCs/>
                <w:color w:val="auto"/>
                <w:sz w:val="18"/>
                <w:szCs w:val="18"/>
              </w:rPr>
            </w:pPr>
            <w:r>
              <w:rPr>
                <w:bCs/>
                <w:color w:val="auto"/>
                <w:sz w:val="18"/>
                <w:szCs w:val="18"/>
              </w:rPr>
              <w:t>5～8月</w:t>
            </w:r>
          </w:p>
        </w:tc>
        <w:tc>
          <w:tcPr>
            <w:tcW w:w="518" w:type="dxa"/>
            <w:vMerge w:val="restart"/>
            <w:noWrap w:val="0"/>
            <w:vAlign w:val="center"/>
          </w:tcPr>
          <w:p w14:paraId="34D37319">
            <w:pPr>
              <w:adjustRightInd w:val="0"/>
              <w:snapToGrid w:val="0"/>
              <w:ind w:right="11"/>
              <w:jc w:val="center"/>
              <w:rPr>
                <w:bCs/>
                <w:color w:val="auto"/>
                <w:sz w:val="18"/>
                <w:szCs w:val="18"/>
              </w:rPr>
            </w:pPr>
            <w:r>
              <w:rPr>
                <w:bCs/>
                <w:color w:val="auto"/>
                <w:sz w:val="18"/>
                <w:szCs w:val="18"/>
              </w:rPr>
              <w:t>上升</w:t>
            </w:r>
          </w:p>
        </w:tc>
        <w:tc>
          <w:tcPr>
            <w:tcW w:w="1597" w:type="dxa"/>
            <w:noWrap w:val="0"/>
            <w:vAlign w:val="center"/>
          </w:tcPr>
          <w:p w14:paraId="3807F59D">
            <w:pPr>
              <w:adjustRightInd w:val="0"/>
              <w:snapToGrid w:val="0"/>
              <w:ind w:right="15"/>
              <w:jc w:val="center"/>
              <w:rPr>
                <w:bCs/>
                <w:color w:val="auto"/>
                <w:sz w:val="18"/>
                <w:szCs w:val="18"/>
              </w:rPr>
            </w:pPr>
            <w:r>
              <w:rPr>
                <w:bCs/>
                <w:color w:val="auto"/>
                <w:sz w:val="18"/>
                <w:szCs w:val="18"/>
              </w:rPr>
              <w:t>10～4月</w:t>
            </w:r>
          </w:p>
        </w:tc>
        <w:tc>
          <w:tcPr>
            <w:tcW w:w="437" w:type="dxa"/>
            <w:vMerge w:val="restart"/>
            <w:noWrap w:val="0"/>
            <w:vAlign w:val="center"/>
          </w:tcPr>
          <w:p w14:paraId="4A6DD87A">
            <w:pPr>
              <w:adjustRightInd w:val="0"/>
              <w:snapToGrid w:val="0"/>
              <w:ind w:right="5"/>
              <w:jc w:val="center"/>
              <w:rPr>
                <w:bCs/>
                <w:color w:val="auto"/>
                <w:sz w:val="18"/>
                <w:szCs w:val="18"/>
              </w:rPr>
            </w:pPr>
            <w:r>
              <w:rPr>
                <w:bCs/>
                <w:color w:val="auto"/>
                <w:sz w:val="18"/>
                <w:szCs w:val="18"/>
              </w:rPr>
              <w:t>下降</w:t>
            </w:r>
          </w:p>
        </w:tc>
        <w:tc>
          <w:tcPr>
            <w:tcW w:w="820" w:type="dxa"/>
            <w:vMerge w:val="restart"/>
            <w:noWrap w:val="0"/>
            <w:vAlign w:val="center"/>
          </w:tcPr>
          <w:p w14:paraId="59B4602A">
            <w:pPr>
              <w:adjustRightInd w:val="0"/>
              <w:snapToGrid w:val="0"/>
              <w:ind w:right="5"/>
              <w:jc w:val="center"/>
              <w:rPr>
                <w:bCs/>
                <w:color w:val="auto"/>
                <w:sz w:val="18"/>
                <w:szCs w:val="18"/>
              </w:rPr>
            </w:pPr>
            <w:r>
              <w:rPr>
                <w:bCs/>
                <w:color w:val="auto"/>
                <w:sz w:val="18"/>
                <w:szCs w:val="18"/>
              </w:rPr>
              <w:t>0.2</w:t>
            </w:r>
          </w:p>
        </w:tc>
        <w:tc>
          <w:tcPr>
            <w:tcW w:w="1301" w:type="dxa"/>
            <w:noWrap w:val="0"/>
            <w:vAlign w:val="center"/>
          </w:tcPr>
          <w:p w14:paraId="5CAFE9B3">
            <w:pPr>
              <w:adjustRightInd w:val="0"/>
              <w:snapToGrid w:val="0"/>
              <w:ind w:left="-7" w:leftChars="-21" w:right="-6" w:hanging="37" w:hangingChars="21"/>
              <w:jc w:val="center"/>
              <w:rPr>
                <w:bCs/>
                <w:color w:val="auto"/>
                <w:sz w:val="18"/>
                <w:szCs w:val="18"/>
              </w:rPr>
            </w:pPr>
            <w:r>
              <w:rPr>
                <w:bCs/>
                <w:color w:val="auto"/>
                <w:sz w:val="18"/>
                <w:szCs w:val="18"/>
              </w:rPr>
              <w:t>25.8（8月）</w:t>
            </w:r>
          </w:p>
        </w:tc>
      </w:tr>
      <w:tr w14:paraId="19F3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center"/>
          </w:tcPr>
          <w:p w14:paraId="58161F9B">
            <w:pPr>
              <w:adjustRightInd w:val="0"/>
              <w:snapToGrid w:val="0"/>
              <w:ind w:right="25"/>
              <w:jc w:val="center"/>
              <w:rPr>
                <w:bCs/>
                <w:color w:val="auto"/>
                <w:sz w:val="18"/>
                <w:szCs w:val="18"/>
              </w:rPr>
            </w:pPr>
          </w:p>
        </w:tc>
        <w:tc>
          <w:tcPr>
            <w:tcW w:w="1500" w:type="dxa"/>
            <w:noWrap w:val="0"/>
            <w:vAlign w:val="center"/>
          </w:tcPr>
          <w:p w14:paraId="7B214B48">
            <w:pPr>
              <w:adjustRightInd w:val="0"/>
              <w:snapToGrid w:val="0"/>
              <w:ind w:right="51"/>
              <w:jc w:val="center"/>
              <w:rPr>
                <w:bCs/>
                <w:color w:val="auto"/>
                <w:sz w:val="18"/>
                <w:szCs w:val="18"/>
              </w:rPr>
            </w:pPr>
            <w:r>
              <w:rPr>
                <w:bCs/>
                <w:color w:val="auto"/>
                <w:sz w:val="18"/>
                <w:szCs w:val="18"/>
              </w:rPr>
              <w:t>852.4</w:t>
            </w:r>
          </w:p>
        </w:tc>
        <w:tc>
          <w:tcPr>
            <w:tcW w:w="1443" w:type="dxa"/>
            <w:noWrap w:val="0"/>
            <w:vAlign w:val="center"/>
          </w:tcPr>
          <w:p w14:paraId="588580CE">
            <w:pPr>
              <w:adjustRightInd w:val="0"/>
              <w:snapToGrid w:val="0"/>
              <w:ind w:right="15"/>
              <w:jc w:val="center"/>
              <w:rPr>
                <w:bCs/>
                <w:color w:val="auto"/>
                <w:sz w:val="18"/>
                <w:szCs w:val="18"/>
              </w:rPr>
            </w:pPr>
            <w:r>
              <w:rPr>
                <w:bCs/>
                <w:color w:val="auto"/>
                <w:sz w:val="18"/>
                <w:szCs w:val="18"/>
              </w:rPr>
              <w:t>75％</w:t>
            </w:r>
          </w:p>
        </w:tc>
        <w:tc>
          <w:tcPr>
            <w:tcW w:w="518" w:type="dxa"/>
            <w:vMerge w:val="continue"/>
            <w:noWrap w:val="0"/>
            <w:vAlign w:val="center"/>
          </w:tcPr>
          <w:p w14:paraId="0E24B15E">
            <w:pPr>
              <w:adjustRightInd w:val="0"/>
              <w:snapToGrid w:val="0"/>
              <w:ind w:right="11"/>
              <w:jc w:val="center"/>
              <w:rPr>
                <w:bCs/>
                <w:color w:val="auto"/>
                <w:sz w:val="18"/>
                <w:szCs w:val="18"/>
              </w:rPr>
            </w:pPr>
          </w:p>
        </w:tc>
        <w:tc>
          <w:tcPr>
            <w:tcW w:w="1597" w:type="dxa"/>
            <w:noWrap w:val="0"/>
            <w:vAlign w:val="center"/>
          </w:tcPr>
          <w:p w14:paraId="1C7CECCD">
            <w:pPr>
              <w:adjustRightInd w:val="0"/>
              <w:snapToGrid w:val="0"/>
              <w:ind w:right="15"/>
              <w:jc w:val="center"/>
              <w:rPr>
                <w:bCs/>
                <w:color w:val="auto"/>
                <w:sz w:val="18"/>
                <w:szCs w:val="18"/>
              </w:rPr>
            </w:pPr>
            <w:r>
              <w:rPr>
                <w:bCs/>
                <w:color w:val="auto"/>
                <w:sz w:val="18"/>
                <w:szCs w:val="18"/>
              </w:rPr>
              <w:t>25％</w:t>
            </w:r>
          </w:p>
        </w:tc>
        <w:tc>
          <w:tcPr>
            <w:tcW w:w="437" w:type="dxa"/>
            <w:vMerge w:val="continue"/>
            <w:noWrap w:val="0"/>
            <w:vAlign w:val="center"/>
          </w:tcPr>
          <w:p w14:paraId="47C22879">
            <w:pPr>
              <w:adjustRightInd w:val="0"/>
              <w:snapToGrid w:val="0"/>
              <w:ind w:right="5"/>
              <w:jc w:val="center"/>
              <w:rPr>
                <w:bCs/>
                <w:color w:val="auto"/>
                <w:sz w:val="18"/>
                <w:szCs w:val="18"/>
              </w:rPr>
            </w:pPr>
          </w:p>
        </w:tc>
        <w:tc>
          <w:tcPr>
            <w:tcW w:w="820" w:type="dxa"/>
            <w:vMerge w:val="continue"/>
            <w:noWrap w:val="0"/>
            <w:vAlign w:val="center"/>
          </w:tcPr>
          <w:p w14:paraId="4F176AD1">
            <w:pPr>
              <w:adjustRightInd w:val="0"/>
              <w:snapToGrid w:val="0"/>
              <w:ind w:right="5"/>
              <w:jc w:val="center"/>
              <w:rPr>
                <w:bCs/>
                <w:color w:val="auto"/>
                <w:sz w:val="18"/>
                <w:szCs w:val="18"/>
              </w:rPr>
            </w:pPr>
          </w:p>
        </w:tc>
        <w:tc>
          <w:tcPr>
            <w:tcW w:w="1301" w:type="dxa"/>
            <w:noWrap w:val="0"/>
            <w:vAlign w:val="center"/>
          </w:tcPr>
          <w:p w14:paraId="5A0ABED0">
            <w:pPr>
              <w:adjustRightInd w:val="0"/>
              <w:snapToGrid w:val="0"/>
              <w:ind w:left="-7" w:leftChars="-21" w:right="-6" w:hanging="37" w:hangingChars="21"/>
              <w:jc w:val="center"/>
              <w:rPr>
                <w:bCs/>
                <w:color w:val="auto"/>
                <w:sz w:val="18"/>
                <w:szCs w:val="18"/>
              </w:rPr>
            </w:pPr>
            <w:r>
              <w:rPr>
                <w:bCs/>
                <w:color w:val="auto"/>
                <w:sz w:val="18"/>
                <w:szCs w:val="18"/>
              </w:rPr>
              <w:t>14.0（1月）</w:t>
            </w:r>
          </w:p>
        </w:tc>
      </w:tr>
      <w:tr w14:paraId="0BE1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0F35614C">
            <w:pPr>
              <w:adjustRightInd w:val="0"/>
              <w:snapToGrid w:val="0"/>
              <w:ind w:right="25"/>
              <w:jc w:val="center"/>
              <w:rPr>
                <w:bCs/>
                <w:color w:val="auto"/>
                <w:sz w:val="18"/>
                <w:szCs w:val="18"/>
              </w:rPr>
            </w:pPr>
            <w:r>
              <w:rPr>
                <w:bCs/>
                <w:color w:val="auto"/>
                <w:sz w:val="18"/>
                <w:szCs w:val="18"/>
              </w:rPr>
              <w:t>广西</w:t>
            </w:r>
          </w:p>
          <w:p w14:paraId="19F745DC">
            <w:pPr>
              <w:adjustRightInd w:val="0"/>
              <w:snapToGrid w:val="0"/>
              <w:ind w:right="25"/>
              <w:jc w:val="center"/>
              <w:rPr>
                <w:bCs/>
                <w:color w:val="auto"/>
                <w:sz w:val="18"/>
                <w:szCs w:val="18"/>
              </w:rPr>
            </w:pPr>
            <w:r>
              <w:rPr>
                <w:bCs/>
                <w:color w:val="auto"/>
                <w:sz w:val="18"/>
                <w:szCs w:val="18"/>
              </w:rPr>
              <w:t>（南宁、宁明）</w:t>
            </w:r>
          </w:p>
        </w:tc>
        <w:tc>
          <w:tcPr>
            <w:tcW w:w="1500" w:type="dxa"/>
            <w:noWrap w:val="0"/>
            <w:vAlign w:val="center"/>
          </w:tcPr>
          <w:p w14:paraId="247621ED">
            <w:pPr>
              <w:adjustRightInd w:val="0"/>
              <w:snapToGrid w:val="0"/>
              <w:ind w:right="51"/>
              <w:jc w:val="center"/>
              <w:rPr>
                <w:bCs/>
                <w:color w:val="auto"/>
                <w:sz w:val="18"/>
                <w:szCs w:val="18"/>
              </w:rPr>
            </w:pPr>
            <w:r>
              <w:rPr>
                <w:bCs/>
                <w:color w:val="auto"/>
                <w:sz w:val="18"/>
                <w:szCs w:val="18"/>
              </w:rPr>
              <w:t>1681.1</w:t>
            </w:r>
          </w:p>
        </w:tc>
        <w:tc>
          <w:tcPr>
            <w:tcW w:w="1443" w:type="dxa"/>
            <w:noWrap w:val="0"/>
            <w:vAlign w:val="center"/>
          </w:tcPr>
          <w:p w14:paraId="168CF8AF">
            <w:pPr>
              <w:adjustRightInd w:val="0"/>
              <w:snapToGrid w:val="0"/>
              <w:ind w:right="15"/>
              <w:jc w:val="center"/>
              <w:rPr>
                <w:bCs/>
                <w:color w:val="auto"/>
                <w:sz w:val="18"/>
                <w:szCs w:val="18"/>
              </w:rPr>
            </w:pPr>
            <w:r>
              <w:rPr>
                <w:bCs/>
                <w:color w:val="auto"/>
                <w:sz w:val="18"/>
                <w:szCs w:val="18"/>
              </w:rPr>
              <w:t>4～9月</w:t>
            </w:r>
          </w:p>
        </w:tc>
        <w:tc>
          <w:tcPr>
            <w:tcW w:w="518" w:type="dxa"/>
            <w:vMerge w:val="restart"/>
            <w:noWrap w:val="0"/>
            <w:vAlign w:val="center"/>
          </w:tcPr>
          <w:p w14:paraId="75800B89">
            <w:pPr>
              <w:adjustRightInd w:val="0"/>
              <w:snapToGrid w:val="0"/>
              <w:ind w:right="11"/>
              <w:jc w:val="center"/>
              <w:rPr>
                <w:bCs/>
                <w:color w:val="auto"/>
                <w:sz w:val="18"/>
                <w:szCs w:val="18"/>
              </w:rPr>
            </w:pPr>
            <w:r>
              <w:rPr>
                <w:bCs/>
                <w:color w:val="auto"/>
                <w:sz w:val="18"/>
                <w:szCs w:val="18"/>
              </w:rPr>
              <w:t>上升</w:t>
            </w:r>
          </w:p>
        </w:tc>
        <w:tc>
          <w:tcPr>
            <w:tcW w:w="1597" w:type="dxa"/>
            <w:noWrap w:val="0"/>
            <w:vAlign w:val="center"/>
          </w:tcPr>
          <w:p w14:paraId="4173EEDE">
            <w:pPr>
              <w:adjustRightInd w:val="0"/>
              <w:snapToGrid w:val="0"/>
              <w:ind w:right="15"/>
              <w:jc w:val="center"/>
              <w:rPr>
                <w:bCs/>
                <w:color w:val="auto"/>
                <w:sz w:val="18"/>
                <w:szCs w:val="18"/>
              </w:rPr>
            </w:pPr>
            <w:r>
              <w:rPr>
                <w:bCs/>
                <w:color w:val="auto"/>
                <w:sz w:val="18"/>
                <w:szCs w:val="18"/>
              </w:rPr>
              <w:t>10～3月</w:t>
            </w:r>
          </w:p>
        </w:tc>
        <w:tc>
          <w:tcPr>
            <w:tcW w:w="437" w:type="dxa"/>
            <w:vMerge w:val="restart"/>
            <w:noWrap w:val="0"/>
            <w:vAlign w:val="center"/>
          </w:tcPr>
          <w:p w14:paraId="4588F2C5">
            <w:pPr>
              <w:adjustRightInd w:val="0"/>
              <w:snapToGrid w:val="0"/>
              <w:ind w:right="5"/>
              <w:jc w:val="center"/>
              <w:rPr>
                <w:bCs/>
                <w:color w:val="auto"/>
                <w:sz w:val="18"/>
                <w:szCs w:val="18"/>
              </w:rPr>
            </w:pPr>
            <w:r>
              <w:rPr>
                <w:bCs/>
                <w:color w:val="auto"/>
                <w:sz w:val="18"/>
                <w:szCs w:val="18"/>
              </w:rPr>
              <w:t>下降</w:t>
            </w:r>
          </w:p>
        </w:tc>
        <w:tc>
          <w:tcPr>
            <w:tcW w:w="820" w:type="dxa"/>
            <w:vMerge w:val="restart"/>
            <w:noWrap w:val="0"/>
            <w:vAlign w:val="center"/>
          </w:tcPr>
          <w:p w14:paraId="7627BCA1">
            <w:pPr>
              <w:adjustRightInd w:val="0"/>
              <w:snapToGrid w:val="0"/>
              <w:ind w:right="5"/>
              <w:jc w:val="center"/>
              <w:rPr>
                <w:bCs/>
                <w:color w:val="auto"/>
                <w:sz w:val="18"/>
                <w:szCs w:val="18"/>
              </w:rPr>
            </w:pPr>
            <w:r>
              <w:rPr>
                <w:bCs/>
                <w:color w:val="auto"/>
                <w:sz w:val="18"/>
                <w:szCs w:val="18"/>
              </w:rPr>
              <w:t>0.5</w:t>
            </w:r>
          </w:p>
        </w:tc>
        <w:tc>
          <w:tcPr>
            <w:tcW w:w="1301" w:type="dxa"/>
            <w:noWrap w:val="0"/>
            <w:vAlign w:val="center"/>
          </w:tcPr>
          <w:p w14:paraId="3D3AAE7D">
            <w:pPr>
              <w:adjustRightInd w:val="0"/>
              <w:snapToGrid w:val="0"/>
              <w:ind w:left="-7" w:leftChars="-21" w:right="-6" w:hanging="37" w:hangingChars="21"/>
              <w:jc w:val="center"/>
              <w:rPr>
                <w:bCs/>
                <w:color w:val="auto"/>
                <w:sz w:val="18"/>
                <w:szCs w:val="18"/>
              </w:rPr>
            </w:pPr>
            <w:r>
              <w:rPr>
                <w:bCs/>
                <w:color w:val="auto"/>
                <w:sz w:val="18"/>
                <w:szCs w:val="18"/>
              </w:rPr>
              <w:t>28.0（9月）</w:t>
            </w:r>
          </w:p>
        </w:tc>
      </w:tr>
      <w:tr w14:paraId="39C2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center"/>
          </w:tcPr>
          <w:p w14:paraId="191B768B">
            <w:pPr>
              <w:adjustRightInd w:val="0"/>
              <w:snapToGrid w:val="0"/>
              <w:ind w:right="25"/>
              <w:jc w:val="center"/>
              <w:rPr>
                <w:bCs/>
                <w:color w:val="auto"/>
                <w:sz w:val="18"/>
                <w:szCs w:val="18"/>
              </w:rPr>
            </w:pPr>
          </w:p>
        </w:tc>
        <w:tc>
          <w:tcPr>
            <w:tcW w:w="1500" w:type="dxa"/>
            <w:noWrap w:val="0"/>
            <w:vAlign w:val="center"/>
          </w:tcPr>
          <w:p w14:paraId="1070395A">
            <w:pPr>
              <w:adjustRightInd w:val="0"/>
              <w:snapToGrid w:val="0"/>
              <w:ind w:right="51"/>
              <w:jc w:val="center"/>
              <w:rPr>
                <w:bCs/>
                <w:color w:val="auto"/>
                <w:sz w:val="18"/>
                <w:szCs w:val="18"/>
              </w:rPr>
            </w:pPr>
            <w:r>
              <w:rPr>
                <w:bCs/>
                <w:color w:val="auto"/>
                <w:sz w:val="18"/>
                <w:szCs w:val="18"/>
              </w:rPr>
              <w:t>1356.6</w:t>
            </w:r>
          </w:p>
        </w:tc>
        <w:tc>
          <w:tcPr>
            <w:tcW w:w="1443" w:type="dxa"/>
            <w:noWrap w:val="0"/>
            <w:vAlign w:val="center"/>
          </w:tcPr>
          <w:p w14:paraId="4EBE4F42">
            <w:pPr>
              <w:adjustRightInd w:val="0"/>
              <w:snapToGrid w:val="0"/>
              <w:ind w:right="15"/>
              <w:jc w:val="center"/>
              <w:rPr>
                <w:bCs/>
                <w:color w:val="auto"/>
                <w:sz w:val="18"/>
                <w:szCs w:val="18"/>
              </w:rPr>
            </w:pPr>
            <w:r>
              <w:rPr>
                <w:bCs/>
                <w:color w:val="auto"/>
                <w:sz w:val="18"/>
                <w:szCs w:val="18"/>
              </w:rPr>
              <w:t>69％</w:t>
            </w:r>
          </w:p>
        </w:tc>
        <w:tc>
          <w:tcPr>
            <w:tcW w:w="518" w:type="dxa"/>
            <w:vMerge w:val="continue"/>
            <w:noWrap w:val="0"/>
            <w:vAlign w:val="center"/>
          </w:tcPr>
          <w:p w14:paraId="56235E07">
            <w:pPr>
              <w:adjustRightInd w:val="0"/>
              <w:snapToGrid w:val="0"/>
              <w:ind w:right="11"/>
              <w:jc w:val="center"/>
              <w:rPr>
                <w:bCs/>
                <w:color w:val="auto"/>
                <w:sz w:val="18"/>
                <w:szCs w:val="18"/>
              </w:rPr>
            </w:pPr>
          </w:p>
        </w:tc>
        <w:tc>
          <w:tcPr>
            <w:tcW w:w="1597" w:type="dxa"/>
            <w:noWrap w:val="0"/>
            <w:vAlign w:val="center"/>
          </w:tcPr>
          <w:p w14:paraId="7663AA87">
            <w:pPr>
              <w:adjustRightInd w:val="0"/>
              <w:snapToGrid w:val="0"/>
              <w:ind w:right="15"/>
              <w:jc w:val="center"/>
              <w:rPr>
                <w:bCs/>
                <w:color w:val="auto"/>
                <w:sz w:val="18"/>
                <w:szCs w:val="18"/>
              </w:rPr>
            </w:pPr>
            <w:r>
              <w:rPr>
                <w:bCs/>
                <w:color w:val="auto"/>
                <w:sz w:val="18"/>
                <w:szCs w:val="18"/>
              </w:rPr>
              <w:t>31％</w:t>
            </w:r>
          </w:p>
        </w:tc>
        <w:tc>
          <w:tcPr>
            <w:tcW w:w="437" w:type="dxa"/>
            <w:vMerge w:val="continue"/>
            <w:noWrap w:val="0"/>
            <w:vAlign w:val="center"/>
          </w:tcPr>
          <w:p w14:paraId="1FECAA5E">
            <w:pPr>
              <w:adjustRightInd w:val="0"/>
              <w:snapToGrid w:val="0"/>
              <w:ind w:right="5"/>
              <w:jc w:val="center"/>
              <w:rPr>
                <w:bCs/>
                <w:color w:val="auto"/>
                <w:sz w:val="18"/>
                <w:szCs w:val="18"/>
              </w:rPr>
            </w:pPr>
          </w:p>
        </w:tc>
        <w:tc>
          <w:tcPr>
            <w:tcW w:w="820" w:type="dxa"/>
            <w:vMerge w:val="continue"/>
            <w:noWrap w:val="0"/>
            <w:vAlign w:val="center"/>
          </w:tcPr>
          <w:p w14:paraId="5140346C">
            <w:pPr>
              <w:adjustRightInd w:val="0"/>
              <w:snapToGrid w:val="0"/>
              <w:ind w:right="5"/>
              <w:jc w:val="center"/>
              <w:rPr>
                <w:bCs/>
                <w:color w:val="auto"/>
                <w:sz w:val="18"/>
                <w:szCs w:val="18"/>
              </w:rPr>
            </w:pPr>
          </w:p>
        </w:tc>
        <w:tc>
          <w:tcPr>
            <w:tcW w:w="1301" w:type="dxa"/>
            <w:noWrap w:val="0"/>
            <w:vAlign w:val="center"/>
          </w:tcPr>
          <w:p w14:paraId="13863A68">
            <w:pPr>
              <w:adjustRightInd w:val="0"/>
              <w:snapToGrid w:val="0"/>
              <w:ind w:left="-7" w:leftChars="-21" w:right="-6" w:hanging="37" w:hangingChars="21"/>
              <w:jc w:val="center"/>
              <w:rPr>
                <w:bCs/>
                <w:color w:val="auto"/>
                <w:sz w:val="18"/>
                <w:szCs w:val="18"/>
              </w:rPr>
            </w:pPr>
            <w:r>
              <w:rPr>
                <w:bCs/>
                <w:color w:val="auto"/>
                <w:sz w:val="18"/>
                <w:szCs w:val="18"/>
              </w:rPr>
              <w:t>15.6（1月）</w:t>
            </w:r>
          </w:p>
        </w:tc>
      </w:tr>
      <w:tr w14:paraId="13CD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5CB3372D">
            <w:pPr>
              <w:adjustRightInd w:val="0"/>
              <w:snapToGrid w:val="0"/>
              <w:ind w:right="25"/>
              <w:jc w:val="center"/>
              <w:rPr>
                <w:bCs/>
                <w:color w:val="auto"/>
                <w:sz w:val="18"/>
                <w:szCs w:val="18"/>
              </w:rPr>
            </w:pPr>
            <w:r>
              <w:rPr>
                <w:bCs/>
                <w:color w:val="auto"/>
                <w:sz w:val="18"/>
                <w:szCs w:val="18"/>
              </w:rPr>
              <w:t>湖北</w:t>
            </w:r>
          </w:p>
          <w:p w14:paraId="383350D4">
            <w:pPr>
              <w:adjustRightInd w:val="0"/>
              <w:snapToGrid w:val="0"/>
              <w:ind w:right="25"/>
              <w:jc w:val="center"/>
              <w:rPr>
                <w:bCs/>
                <w:color w:val="auto"/>
                <w:sz w:val="18"/>
                <w:szCs w:val="18"/>
              </w:rPr>
            </w:pPr>
            <w:r>
              <w:rPr>
                <w:bCs/>
                <w:color w:val="auto"/>
                <w:sz w:val="18"/>
                <w:szCs w:val="18"/>
              </w:rPr>
              <w:t>（郧县、荆门）</w:t>
            </w:r>
          </w:p>
        </w:tc>
        <w:tc>
          <w:tcPr>
            <w:tcW w:w="1500" w:type="dxa"/>
            <w:noWrap w:val="0"/>
            <w:vAlign w:val="center"/>
          </w:tcPr>
          <w:p w14:paraId="3B901F6D">
            <w:pPr>
              <w:adjustRightInd w:val="0"/>
              <w:snapToGrid w:val="0"/>
              <w:ind w:right="51"/>
              <w:jc w:val="center"/>
              <w:rPr>
                <w:bCs/>
                <w:color w:val="auto"/>
                <w:sz w:val="18"/>
                <w:szCs w:val="18"/>
              </w:rPr>
            </w:pPr>
            <w:r>
              <w:rPr>
                <w:bCs/>
                <w:color w:val="auto"/>
                <w:sz w:val="18"/>
                <w:szCs w:val="18"/>
              </w:rPr>
              <w:t>1600.0</w:t>
            </w:r>
          </w:p>
        </w:tc>
        <w:tc>
          <w:tcPr>
            <w:tcW w:w="1443" w:type="dxa"/>
            <w:noWrap w:val="0"/>
            <w:vAlign w:val="center"/>
          </w:tcPr>
          <w:p w14:paraId="2EA5217A">
            <w:pPr>
              <w:adjustRightInd w:val="0"/>
              <w:snapToGrid w:val="0"/>
              <w:ind w:right="15"/>
              <w:jc w:val="center"/>
              <w:rPr>
                <w:bCs/>
                <w:color w:val="auto"/>
                <w:sz w:val="18"/>
                <w:szCs w:val="18"/>
              </w:rPr>
            </w:pPr>
            <w:r>
              <w:rPr>
                <w:bCs/>
                <w:color w:val="auto"/>
                <w:sz w:val="18"/>
                <w:szCs w:val="18"/>
              </w:rPr>
              <w:t>4～10月</w:t>
            </w:r>
          </w:p>
        </w:tc>
        <w:tc>
          <w:tcPr>
            <w:tcW w:w="518" w:type="dxa"/>
            <w:vMerge w:val="restart"/>
            <w:noWrap w:val="0"/>
            <w:vAlign w:val="center"/>
          </w:tcPr>
          <w:p w14:paraId="6630E610">
            <w:pPr>
              <w:adjustRightInd w:val="0"/>
              <w:snapToGrid w:val="0"/>
              <w:ind w:right="11"/>
              <w:jc w:val="center"/>
              <w:rPr>
                <w:bCs/>
                <w:color w:val="auto"/>
                <w:sz w:val="18"/>
                <w:szCs w:val="18"/>
              </w:rPr>
            </w:pPr>
            <w:r>
              <w:rPr>
                <w:bCs/>
                <w:color w:val="auto"/>
                <w:sz w:val="18"/>
                <w:szCs w:val="18"/>
              </w:rPr>
              <w:t>下降</w:t>
            </w:r>
          </w:p>
        </w:tc>
        <w:tc>
          <w:tcPr>
            <w:tcW w:w="1597" w:type="dxa"/>
            <w:noWrap w:val="0"/>
            <w:vAlign w:val="center"/>
          </w:tcPr>
          <w:p w14:paraId="309845C3">
            <w:pPr>
              <w:adjustRightInd w:val="0"/>
              <w:snapToGrid w:val="0"/>
              <w:ind w:right="15"/>
              <w:jc w:val="center"/>
              <w:rPr>
                <w:bCs/>
                <w:color w:val="auto"/>
                <w:sz w:val="18"/>
                <w:szCs w:val="18"/>
              </w:rPr>
            </w:pPr>
            <w:r>
              <w:rPr>
                <w:bCs/>
                <w:color w:val="auto"/>
                <w:sz w:val="18"/>
                <w:szCs w:val="18"/>
              </w:rPr>
              <w:t>11～3月</w:t>
            </w:r>
          </w:p>
        </w:tc>
        <w:tc>
          <w:tcPr>
            <w:tcW w:w="437" w:type="dxa"/>
            <w:vMerge w:val="restart"/>
            <w:noWrap w:val="0"/>
            <w:vAlign w:val="center"/>
          </w:tcPr>
          <w:p w14:paraId="613776EB">
            <w:pPr>
              <w:adjustRightInd w:val="0"/>
              <w:snapToGrid w:val="0"/>
              <w:ind w:right="11"/>
              <w:jc w:val="center"/>
              <w:rPr>
                <w:bCs/>
                <w:color w:val="auto"/>
                <w:sz w:val="18"/>
                <w:szCs w:val="18"/>
              </w:rPr>
            </w:pPr>
            <w:r>
              <w:rPr>
                <w:bCs/>
                <w:color w:val="auto"/>
                <w:sz w:val="18"/>
                <w:szCs w:val="18"/>
              </w:rPr>
              <w:t>上升</w:t>
            </w:r>
          </w:p>
        </w:tc>
        <w:tc>
          <w:tcPr>
            <w:tcW w:w="820" w:type="dxa"/>
            <w:vMerge w:val="restart"/>
            <w:noWrap w:val="0"/>
            <w:vAlign w:val="center"/>
          </w:tcPr>
          <w:p w14:paraId="7867FEF7">
            <w:pPr>
              <w:adjustRightInd w:val="0"/>
              <w:snapToGrid w:val="0"/>
              <w:ind w:right="5"/>
              <w:jc w:val="center"/>
              <w:rPr>
                <w:bCs/>
                <w:color w:val="auto"/>
                <w:sz w:val="18"/>
                <w:szCs w:val="18"/>
              </w:rPr>
            </w:pPr>
            <w:r>
              <w:rPr>
                <w:bCs/>
                <w:color w:val="auto"/>
                <w:sz w:val="18"/>
                <w:szCs w:val="18"/>
              </w:rPr>
              <w:t>0.5</w:t>
            </w:r>
          </w:p>
        </w:tc>
        <w:tc>
          <w:tcPr>
            <w:tcW w:w="1301" w:type="dxa"/>
            <w:noWrap w:val="0"/>
            <w:vAlign w:val="center"/>
          </w:tcPr>
          <w:p w14:paraId="5A58EB69">
            <w:pPr>
              <w:adjustRightInd w:val="0"/>
              <w:snapToGrid w:val="0"/>
              <w:ind w:left="-7" w:leftChars="-21" w:right="-6" w:hanging="37" w:hangingChars="21"/>
              <w:jc w:val="center"/>
              <w:rPr>
                <w:bCs/>
                <w:color w:val="auto"/>
                <w:sz w:val="18"/>
                <w:szCs w:val="18"/>
              </w:rPr>
            </w:pPr>
            <w:r>
              <w:rPr>
                <w:bCs/>
                <w:color w:val="auto"/>
                <w:sz w:val="18"/>
                <w:szCs w:val="18"/>
              </w:rPr>
              <w:t>26.5（8月）</w:t>
            </w:r>
          </w:p>
        </w:tc>
      </w:tr>
      <w:tr w14:paraId="7463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center"/>
          </w:tcPr>
          <w:p w14:paraId="5D9E885C">
            <w:pPr>
              <w:adjustRightInd w:val="0"/>
              <w:snapToGrid w:val="0"/>
              <w:ind w:right="25"/>
              <w:jc w:val="center"/>
              <w:rPr>
                <w:bCs/>
                <w:color w:val="auto"/>
                <w:sz w:val="18"/>
                <w:szCs w:val="18"/>
              </w:rPr>
            </w:pPr>
          </w:p>
        </w:tc>
        <w:tc>
          <w:tcPr>
            <w:tcW w:w="1500" w:type="dxa"/>
            <w:noWrap w:val="0"/>
            <w:vAlign w:val="center"/>
          </w:tcPr>
          <w:p w14:paraId="5D94CF49">
            <w:pPr>
              <w:adjustRightInd w:val="0"/>
              <w:snapToGrid w:val="0"/>
              <w:ind w:right="51"/>
              <w:jc w:val="center"/>
              <w:rPr>
                <w:bCs/>
                <w:color w:val="auto"/>
                <w:sz w:val="18"/>
                <w:szCs w:val="18"/>
              </w:rPr>
            </w:pPr>
            <w:r>
              <w:rPr>
                <w:bCs/>
                <w:color w:val="auto"/>
                <w:sz w:val="18"/>
                <w:szCs w:val="18"/>
              </w:rPr>
              <w:t>100.0</w:t>
            </w:r>
          </w:p>
        </w:tc>
        <w:tc>
          <w:tcPr>
            <w:tcW w:w="1443" w:type="dxa"/>
            <w:noWrap w:val="0"/>
            <w:vAlign w:val="center"/>
          </w:tcPr>
          <w:p w14:paraId="5679DC07">
            <w:pPr>
              <w:adjustRightInd w:val="0"/>
              <w:snapToGrid w:val="0"/>
              <w:ind w:right="15"/>
              <w:jc w:val="center"/>
              <w:rPr>
                <w:bCs/>
                <w:color w:val="auto"/>
                <w:sz w:val="18"/>
                <w:szCs w:val="18"/>
              </w:rPr>
            </w:pPr>
            <w:r>
              <w:rPr>
                <w:bCs/>
                <w:color w:val="auto"/>
                <w:sz w:val="18"/>
                <w:szCs w:val="18"/>
              </w:rPr>
              <w:t>89％</w:t>
            </w:r>
          </w:p>
        </w:tc>
        <w:tc>
          <w:tcPr>
            <w:tcW w:w="518" w:type="dxa"/>
            <w:vMerge w:val="continue"/>
            <w:noWrap w:val="0"/>
            <w:vAlign w:val="center"/>
          </w:tcPr>
          <w:p w14:paraId="0B770D96">
            <w:pPr>
              <w:adjustRightInd w:val="0"/>
              <w:snapToGrid w:val="0"/>
              <w:ind w:right="11"/>
              <w:jc w:val="center"/>
              <w:rPr>
                <w:bCs/>
                <w:color w:val="auto"/>
                <w:sz w:val="18"/>
                <w:szCs w:val="18"/>
              </w:rPr>
            </w:pPr>
          </w:p>
        </w:tc>
        <w:tc>
          <w:tcPr>
            <w:tcW w:w="1597" w:type="dxa"/>
            <w:noWrap w:val="0"/>
            <w:vAlign w:val="center"/>
          </w:tcPr>
          <w:p w14:paraId="66A0053E">
            <w:pPr>
              <w:adjustRightInd w:val="0"/>
              <w:snapToGrid w:val="0"/>
              <w:ind w:right="15"/>
              <w:jc w:val="center"/>
              <w:rPr>
                <w:bCs/>
                <w:color w:val="auto"/>
                <w:sz w:val="18"/>
                <w:szCs w:val="18"/>
              </w:rPr>
            </w:pPr>
            <w:r>
              <w:rPr>
                <w:bCs/>
                <w:color w:val="auto"/>
                <w:sz w:val="18"/>
                <w:szCs w:val="18"/>
              </w:rPr>
              <w:t>11％</w:t>
            </w:r>
          </w:p>
        </w:tc>
        <w:tc>
          <w:tcPr>
            <w:tcW w:w="437" w:type="dxa"/>
            <w:vMerge w:val="continue"/>
            <w:noWrap w:val="0"/>
            <w:vAlign w:val="center"/>
          </w:tcPr>
          <w:p w14:paraId="019229D1">
            <w:pPr>
              <w:adjustRightInd w:val="0"/>
              <w:snapToGrid w:val="0"/>
              <w:ind w:right="5"/>
              <w:jc w:val="center"/>
              <w:rPr>
                <w:bCs/>
                <w:color w:val="auto"/>
                <w:sz w:val="18"/>
                <w:szCs w:val="18"/>
              </w:rPr>
            </w:pPr>
          </w:p>
        </w:tc>
        <w:tc>
          <w:tcPr>
            <w:tcW w:w="820" w:type="dxa"/>
            <w:vMerge w:val="continue"/>
            <w:noWrap w:val="0"/>
            <w:vAlign w:val="center"/>
          </w:tcPr>
          <w:p w14:paraId="017DD0BA">
            <w:pPr>
              <w:adjustRightInd w:val="0"/>
              <w:snapToGrid w:val="0"/>
              <w:ind w:right="5"/>
              <w:jc w:val="center"/>
              <w:rPr>
                <w:bCs/>
                <w:color w:val="auto"/>
                <w:sz w:val="18"/>
                <w:szCs w:val="18"/>
              </w:rPr>
            </w:pPr>
          </w:p>
        </w:tc>
        <w:tc>
          <w:tcPr>
            <w:tcW w:w="1301" w:type="dxa"/>
            <w:noWrap w:val="0"/>
            <w:vAlign w:val="center"/>
          </w:tcPr>
          <w:p w14:paraId="03EDE1A1">
            <w:pPr>
              <w:adjustRightInd w:val="0"/>
              <w:snapToGrid w:val="0"/>
              <w:ind w:left="-7" w:leftChars="-21" w:right="-6" w:hanging="37" w:hangingChars="21"/>
              <w:jc w:val="center"/>
              <w:rPr>
                <w:bCs/>
                <w:color w:val="auto"/>
                <w:sz w:val="18"/>
                <w:szCs w:val="18"/>
              </w:rPr>
            </w:pPr>
            <w:r>
              <w:rPr>
                <w:bCs/>
                <w:color w:val="auto"/>
                <w:sz w:val="18"/>
                <w:szCs w:val="18"/>
              </w:rPr>
              <w:t>5.5（1月）</w:t>
            </w:r>
          </w:p>
        </w:tc>
      </w:tr>
      <w:tr w14:paraId="4869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01F35912">
            <w:pPr>
              <w:adjustRightInd w:val="0"/>
              <w:snapToGrid w:val="0"/>
              <w:ind w:right="25"/>
              <w:jc w:val="center"/>
              <w:rPr>
                <w:bCs/>
                <w:color w:val="auto"/>
                <w:sz w:val="18"/>
                <w:szCs w:val="18"/>
              </w:rPr>
            </w:pPr>
            <w:r>
              <w:rPr>
                <w:bCs/>
                <w:color w:val="auto"/>
                <w:sz w:val="18"/>
                <w:szCs w:val="18"/>
              </w:rPr>
              <w:t>河南平顶山</w:t>
            </w:r>
          </w:p>
        </w:tc>
        <w:tc>
          <w:tcPr>
            <w:tcW w:w="1500" w:type="dxa"/>
            <w:noWrap w:val="0"/>
            <w:vAlign w:val="center"/>
          </w:tcPr>
          <w:p w14:paraId="4680B6F4">
            <w:pPr>
              <w:adjustRightInd w:val="0"/>
              <w:snapToGrid w:val="0"/>
              <w:ind w:right="51"/>
              <w:jc w:val="center"/>
              <w:rPr>
                <w:bCs/>
                <w:color w:val="auto"/>
                <w:sz w:val="18"/>
                <w:szCs w:val="18"/>
              </w:rPr>
            </w:pPr>
            <w:r>
              <w:rPr>
                <w:bCs/>
                <w:color w:val="auto"/>
                <w:sz w:val="18"/>
                <w:szCs w:val="18"/>
              </w:rPr>
              <w:t>2154.6</w:t>
            </w:r>
          </w:p>
        </w:tc>
        <w:tc>
          <w:tcPr>
            <w:tcW w:w="1443" w:type="dxa"/>
            <w:noWrap w:val="0"/>
            <w:vAlign w:val="center"/>
          </w:tcPr>
          <w:p w14:paraId="041DBA90">
            <w:pPr>
              <w:adjustRightInd w:val="0"/>
              <w:snapToGrid w:val="0"/>
              <w:ind w:right="15"/>
              <w:jc w:val="center"/>
              <w:rPr>
                <w:bCs/>
                <w:color w:val="auto"/>
                <w:sz w:val="18"/>
                <w:szCs w:val="18"/>
              </w:rPr>
            </w:pPr>
            <w:r>
              <w:rPr>
                <w:bCs/>
                <w:color w:val="auto"/>
                <w:sz w:val="18"/>
                <w:szCs w:val="18"/>
              </w:rPr>
              <w:t>6～9月</w:t>
            </w:r>
          </w:p>
        </w:tc>
        <w:tc>
          <w:tcPr>
            <w:tcW w:w="518" w:type="dxa"/>
            <w:vMerge w:val="restart"/>
            <w:noWrap w:val="0"/>
            <w:vAlign w:val="center"/>
          </w:tcPr>
          <w:p w14:paraId="40B34CA4">
            <w:pPr>
              <w:adjustRightInd w:val="0"/>
              <w:snapToGrid w:val="0"/>
              <w:ind w:right="11"/>
              <w:jc w:val="center"/>
              <w:rPr>
                <w:bCs/>
                <w:color w:val="auto"/>
                <w:sz w:val="18"/>
                <w:szCs w:val="18"/>
              </w:rPr>
            </w:pPr>
            <w:r>
              <w:rPr>
                <w:bCs/>
                <w:color w:val="auto"/>
                <w:sz w:val="18"/>
                <w:szCs w:val="18"/>
              </w:rPr>
              <w:t>下降</w:t>
            </w:r>
          </w:p>
        </w:tc>
        <w:tc>
          <w:tcPr>
            <w:tcW w:w="1597" w:type="dxa"/>
            <w:noWrap w:val="0"/>
            <w:vAlign w:val="center"/>
          </w:tcPr>
          <w:p w14:paraId="6FEC2D9C">
            <w:pPr>
              <w:adjustRightInd w:val="0"/>
              <w:snapToGrid w:val="0"/>
              <w:ind w:right="15"/>
              <w:jc w:val="center"/>
              <w:rPr>
                <w:bCs/>
                <w:color w:val="auto"/>
                <w:sz w:val="18"/>
                <w:szCs w:val="18"/>
              </w:rPr>
            </w:pPr>
            <w:r>
              <w:rPr>
                <w:bCs/>
                <w:color w:val="auto"/>
                <w:sz w:val="18"/>
                <w:szCs w:val="18"/>
              </w:rPr>
              <w:t>10～3月</w:t>
            </w:r>
          </w:p>
        </w:tc>
        <w:tc>
          <w:tcPr>
            <w:tcW w:w="437" w:type="dxa"/>
            <w:vMerge w:val="restart"/>
            <w:noWrap w:val="0"/>
            <w:vAlign w:val="center"/>
          </w:tcPr>
          <w:p w14:paraId="24569644">
            <w:pPr>
              <w:adjustRightInd w:val="0"/>
              <w:snapToGrid w:val="0"/>
              <w:ind w:right="11"/>
              <w:jc w:val="center"/>
              <w:rPr>
                <w:bCs/>
                <w:color w:val="auto"/>
                <w:sz w:val="18"/>
                <w:szCs w:val="18"/>
              </w:rPr>
            </w:pPr>
            <w:r>
              <w:rPr>
                <w:bCs/>
                <w:color w:val="auto"/>
                <w:sz w:val="18"/>
                <w:szCs w:val="18"/>
              </w:rPr>
              <w:t>上升</w:t>
            </w:r>
          </w:p>
        </w:tc>
        <w:tc>
          <w:tcPr>
            <w:tcW w:w="820" w:type="dxa"/>
            <w:vMerge w:val="restart"/>
            <w:noWrap w:val="0"/>
            <w:vAlign w:val="center"/>
          </w:tcPr>
          <w:p w14:paraId="2A2BB8CB">
            <w:pPr>
              <w:adjustRightInd w:val="0"/>
              <w:snapToGrid w:val="0"/>
              <w:ind w:right="5"/>
              <w:jc w:val="center"/>
              <w:rPr>
                <w:bCs/>
                <w:color w:val="auto"/>
                <w:sz w:val="18"/>
                <w:szCs w:val="18"/>
              </w:rPr>
            </w:pPr>
            <w:r>
              <w:rPr>
                <w:bCs/>
                <w:color w:val="auto"/>
                <w:sz w:val="18"/>
                <w:szCs w:val="18"/>
              </w:rPr>
              <w:t>0.4</w:t>
            </w:r>
          </w:p>
        </w:tc>
        <w:tc>
          <w:tcPr>
            <w:tcW w:w="1301" w:type="dxa"/>
            <w:noWrap w:val="0"/>
            <w:vAlign w:val="center"/>
          </w:tcPr>
          <w:p w14:paraId="0D9666EC">
            <w:pPr>
              <w:adjustRightInd w:val="0"/>
              <w:snapToGrid w:val="0"/>
              <w:ind w:left="-7" w:leftChars="-21" w:right="-6" w:hanging="37" w:hangingChars="21"/>
              <w:jc w:val="center"/>
              <w:rPr>
                <w:bCs/>
                <w:color w:val="auto"/>
                <w:sz w:val="18"/>
                <w:szCs w:val="18"/>
              </w:rPr>
            </w:pPr>
            <w:r>
              <w:rPr>
                <w:bCs/>
                <w:color w:val="auto"/>
                <w:sz w:val="18"/>
                <w:szCs w:val="18"/>
              </w:rPr>
              <w:t>27.6（8月）</w:t>
            </w:r>
          </w:p>
        </w:tc>
      </w:tr>
      <w:tr w14:paraId="3BA5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center"/>
          </w:tcPr>
          <w:p w14:paraId="499CEBD5">
            <w:pPr>
              <w:adjustRightInd w:val="0"/>
              <w:snapToGrid w:val="0"/>
              <w:ind w:right="25"/>
              <w:jc w:val="center"/>
              <w:rPr>
                <w:bCs/>
                <w:color w:val="auto"/>
                <w:sz w:val="18"/>
                <w:szCs w:val="18"/>
              </w:rPr>
            </w:pPr>
          </w:p>
        </w:tc>
        <w:tc>
          <w:tcPr>
            <w:tcW w:w="1500" w:type="dxa"/>
            <w:noWrap w:val="0"/>
            <w:vAlign w:val="center"/>
          </w:tcPr>
          <w:p w14:paraId="204C58E3">
            <w:pPr>
              <w:adjustRightInd w:val="0"/>
              <w:snapToGrid w:val="0"/>
              <w:ind w:right="51"/>
              <w:jc w:val="center"/>
              <w:rPr>
                <w:bCs/>
                <w:color w:val="auto"/>
                <w:sz w:val="18"/>
                <w:szCs w:val="18"/>
              </w:rPr>
            </w:pPr>
            <w:r>
              <w:rPr>
                <w:bCs/>
                <w:color w:val="auto"/>
                <w:sz w:val="18"/>
                <w:szCs w:val="18"/>
              </w:rPr>
              <w:t>759.1</w:t>
            </w:r>
          </w:p>
        </w:tc>
        <w:tc>
          <w:tcPr>
            <w:tcW w:w="1443" w:type="dxa"/>
            <w:noWrap w:val="0"/>
            <w:vAlign w:val="center"/>
          </w:tcPr>
          <w:p w14:paraId="23DD0D8C">
            <w:pPr>
              <w:adjustRightInd w:val="0"/>
              <w:snapToGrid w:val="0"/>
              <w:ind w:right="15"/>
              <w:jc w:val="center"/>
              <w:rPr>
                <w:bCs/>
                <w:color w:val="auto"/>
                <w:sz w:val="18"/>
                <w:szCs w:val="18"/>
              </w:rPr>
            </w:pPr>
            <w:r>
              <w:rPr>
                <w:bCs/>
                <w:color w:val="auto"/>
                <w:sz w:val="18"/>
                <w:szCs w:val="18"/>
              </w:rPr>
              <w:t>64％</w:t>
            </w:r>
          </w:p>
        </w:tc>
        <w:tc>
          <w:tcPr>
            <w:tcW w:w="518" w:type="dxa"/>
            <w:vMerge w:val="continue"/>
            <w:noWrap w:val="0"/>
            <w:vAlign w:val="center"/>
          </w:tcPr>
          <w:p w14:paraId="2773EA9C">
            <w:pPr>
              <w:adjustRightInd w:val="0"/>
              <w:snapToGrid w:val="0"/>
              <w:ind w:right="11"/>
              <w:jc w:val="center"/>
              <w:rPr>
                <w:bCs/>
                <w:color w:val="auto"/>
                <w:sz w:val="18"/>
                <w:szCs w:val="18"/>
              </w:rPr>
            </w:pPr>
          </w:p>
        </w:tc>
        <w:tc>
          <w:tcPr>
            <w:tcW w:w="1597" w:type="dxa"/>
            <w:noWrap w:val="0"/>
            <w:vAlign w:val="center"/>
          </w:tcPr>
          <w:p w14:paraId="54DCB9DD">
            <w:pPr>
              <w:adjustRightInd w:val="0"/>
              <w:snapToGrid w:val="0"/>
              <w:ind w:right="15"/>
              <w:jc w:val="center"/>
              <w:rPr>
                <w:bCs/>
                <w:color w:val="auto"/>
                <w:sz w:val="18"/>
                <w:szCs w:val="18"/>
              </w:rPr>
            </w:pPr>
            <w:r>
              <w:rPr>
                <w:bCs/>
                <w:color w:val="auto"/>
                <w:sz w:val="18"/>
                <w:szCs w:val="18"/>
              </w:rPr>
              <w:t>36％</w:t>
            </w:r>
          </w:p>
        </w:tc>
        <w:tc>
          <w:tcPr>
            <w:tcW w:w="437" w:type="dxa"/>
            <w:vMerge w:val="continue"/>
            <w:noWrap w:val="0"/>
            <w:vAlign w:val="center"/>
          </w:tcPr>
          <w:p w14:paraId="01D5AE2D">
            <w:pPr>
              <w:adjustRightInd w:val="0"/>
              <w:snapToGrid w:val="0"/>
              <w:ind w:right="5"/>
              <w:jc w:val="center"/>
              <w:rPr>
                <w:bCs/>
                <w:color w:val="auto"/>
                <w:sz w:val="18"/>
                <w:szCs w:val="18"/>
              </w:rPr>
            </w:pPr>
          </w:p>
        </w:tc>
        <w:tc>
          <w:tcPr>
            <w:tcW w:w="820" w:type="dxa"/>
            <w:vMerge w:val="continue"/>
            <w:noWrap w:val="0"/>
            <w:vAlign w:val="center"/>
          </w:tcPr>
          <w:p w14:paraId="7D826836">
            <w:pPr>
              <w:adjustRightInd w:val="0"/>
              <w:snapToGrid w:val="0"/>
              <w:ind w:right="5"/>
              <w:jc w:val="center"/>
              <w:rPr>
                <w:bCs/>
                <w:color w:val="auto"/>
                <w:sz w:val="18"/>
                <w:szCs w:val="18"/>
              </w:rPr>
            </w:pPr>
          </w:p>
        </w:tc>
        <w:tc>
          <w:tcPr>
            <w:tcW w:w="1301" w:type="dxa"/>
            <w:noWrap w:val="0"/>
            <w:vAlign w:val="center"/>
          </w:tcPr>
          <w:p w14:paraId="553DA4F1">
            <w:pPr>
              <w:adjustRightInd w:val="0"/>
              <w:snapToGrid w:val="0"/>
              <w:ind w:left="-7" w:leftChars="-21" w:right="-6" w:hanging="37" w:hangingChars="21"/>
              <w:jc w:val="center"/>
              <w:rPr>
                <w:bCs/>
                <w:color w:val="auto"/>
                <w:sz w:val="18"/>
                <w:szCs w:val="18"/>
              </w:rPr>
            </w:pPr>
            <w:r>
              <w:rPr>
                <w:bCs/>
                <w:color w:val="auto"/>
                <w:sz w:val="18"/>
                <w:szCs w:val="18"/>
              </w:rPr>
              <w:t>5.2（1月）</w:t>
            </w:r>
          </w:p>
        </w:tc>
      </w:tr>
      <w:tr w14:paraId="5706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2BD5E2FB">
            <w:pPr>
              <w:adjustRightInd w:val="0"/>
              <w:snapToGrid w:val="0"/>
              <w:ind w:right="25"/>
              <w:jc w:val="center"/>
              <w:rPr>
                <w:bCs/>
                <w:color w:val="auto"/>
                <w:sz w:val="18"/>
                <w:szCs w:val="18"/>
              </w:rPr>
            </w:pPr>
            <w:r>
              <w:rPr>
                <w:bCs/>
                <w:color w:val="auto"/>
                <w:sz w:val="18"/>
                <w:szCs w:val="18"/>
              </w:rPr>
              <w:t>安徽合肥</w:t>
            </w:r>
          </w:p>
        </w:tc>
        <w:tc>
          <w:tcPr>
            <w:tcW w:w="1500" w:type="dxa"/>
            <w:noWrap w:val="0"/>
            <w:vAlign w:val="center"/>
          </w:tcPr>
          <w:p w14:paraId="2D40C20B">
            <w:pPr>
              <w:adjustRightInd w:val="0"/>
              <w:snapToGrid w:val="0"/>
              <w:ind w:right="51"/>
              <w:jc w:val="center"/>
              <w:rPr>
                <w:bCs/>
                <w:color w:val="auto"/>
                <w:sz w:val="18"/>
                <w:szCs w:val="18"/>
              </w:rPr>
            </w:pPr>
            <w:r>
              <w:rPr>
                <w:bCs/>
                <w:color w:val="auto"/>
                <w:sz w:val="18"/>
                <w:szCs w:val="18"/>
              </w:rPr>
              <w:t>1538.9</w:t>
            </w:r>
          </w:p>
        </w:tc>
        <w:tc>
          <w:tcPr>
            <w:tcW w:w="1443" w:type="dxa"/>
            <w:noWrap w:val="0"/>
            <w:vAlign w:val="center"/>
          </w:tcPr>
          <w:p w14:paraId="18573A26">
            <w:pPr>
              <w:adjustRightInd w:val="0"/>
              <w:snapToGrid w:val="0"/>
              <w:ind w:right="15"/>
              <w:jc w:val="center"/>
              <w:rPr>
                <w:bCs/>
                <w:color w:val="auto"/>
                <w:sz w:val="18"/>
                <w:szCs w:val="18"/>
              </w:rPr>
            </w:pPr>
            <w:r>
              <w:rPr>
                <w:bCs/>
                <w:color w:val="auto"/>
                <w:sz w:val="18"/>
                <w:szCs w:val="18"/>
              </w:rPr>
              <w:t>4～9月</w:t>
            </w:r>
          </w:p>
        </w:tc>
        <w:tc>
          <w:tcPr>
            <w:tcW w:w="518" w:type="dxa"/>
            <w:vMerge w:val="restart"/>
            <w:noWrap w:val="0"/>
            <w:vAlign w:val="center"/>
          </w:tcPr>
          <w:p w14:paraId="61D49390">
            <w:pPr>
              <w:adjustRightInd w:val="0"/>
              <w:snapToGrid w:val="0"/>
              <w:ind w:right="11"/>
              <w:jc w:val="center"/>
              <w:rPr>
                <w:bCs/>
                <w:color w:val="auto"/>
                <w:sz w:val="18"/>
                <w:szCs w:val="18"/>
              </w:rPr>
            </w:pPr>
            <w:r>
              <w:rPr>
                <w:bCs/>
                <w:color w:val="auto"/>
                <w:sz w:val="18"/>
                <w:szCs w:val="18"/>
              </w:rPr>
              <w:t>下降</w:t>
            </w:r>
          </w:p>
        </w:tc>
        <w:tc>
          <w:tcPr>
            <w:tcW w:w="1597" w:type="dxa"/>
            <w:noWrap w:val="0"/>
            <w:vAlign w:val="center"/>
          </w:tcPr>
          <w:p w14:paraId="6A854D5C">
            <w:pPr>
              <w:adjustRightInd w:val="0"/>
              <w:snapToGrid w:val="0"/>
              <w:ind w:right="15"/>
              <w:jc w:val="center"/>
              <w:rPr>
                <w:bCs/>
                <w:color w:val="auto"/>
                <w:sz w:val="18"/>
                <w:szCs w:val="18"/>
              </w:rPr>
            </w:pPr>
            <w:r>
              <w:rPr>
                <w:bCs/>
                <w:color w:val="auto"/>
                <w:sz w:val="18"/>
                <w:szCs w:val="18"/>
              </w:rPr>
              <w:t>10～3月</w:t>
            </w:r>
          </w:p>
        </w:tc>
        <w:tc>
          <w:tcPr>
            <w:tcW w:w="437" w:type="dxa"/>
            <w:vMerge w:val="restart"/>
            <w:noWrap w:val="0"/>
            <w:vAlign w:val="center"/>
          </w:tcPr>
          <w:p w14:paraId="7EFD7830">
            <w:pPr>
              <w:adjustRightInd w:val="0"/>
              <w:snapToGrid w:val="0"/>
              <w:ind w:right="11"/>
              <w:jc w:val="center"/>
              <w:rPr>
                <w:bCs/>
                <w:color w:val="auto"/>
                <w:sz w:val="18"/>
                <w:szCs w:val="18"/>
              </w:rPr>
            </w:pPr>
            <w:r>
              <w:rPr>
                <w:bCs/>
                <w:color w:val="auto"/>
                <w:sz w:val="18"/>
                <w:szCs w:val="18"/>
              </w:rPr>
              <w:t>上升</w:t>
            </w:r>
          </w:p>
        </w:tc>
        <w:tc>
          <w:tcPr>
            <w:tcW w:w="820" w:type="dxa"/>
            <w:vMerge w:val="restart"/>
            <w:noWrap w:val="0"/>
            <w:vAlign w:val="center"/>
          </w:tcPr>
          <w:p w14:paraId="01EB66F8">
            <w:pPr>
              <w:adjustRightInd w:val="0"/>
              <w:snapToGrid w:val="0"/>
              <w:ind w:right="5"/>
              <w:jc w:val="center"/>
              <w:rPr>
                <w:bCs/>
                <w:color w:val="auto"/>
                <w:sz w:val="18"/>
                <w:szCs w:val="18"/>
              </w:rPr>
            </w:pPr>
            <w:r>
              <w:rPr>
                <w:bCs/>
                <w:color w:val="auto"/>
                <w:sz w:val="18"/>
                <w:szCs w:val="18"/>
              </w:rPr>
              <w:t>0.2</w:t>
            </w:r>
          </w:p>
        </w:tc>
        <w:tc>
          <w:tcPr>
            <w:tcW w:w="1301" w:type="dxa"/>
            <w:noWrap w:val="0"/>
            <w:vAlign w:val="center"/>
          </w:tcPr>
          <w:p w14:paraId="48A8F0EA">
            <w:pPr>
              <w:adjustRightInd w:val="0"/>
              <w:snapToGrid w:val="0"/>
              <w:ind w:left="-7" w:leftChars="-21" w:right="-6" w:hanging="37" w:hangingChars="21"/>
              <w:jc w:val="center"/>
              <w:rPr>
                <w:bCs/>
                <w:color w:val="auto"/>
                <w:sz w:val="18"/>
                <w:szCs w:val="18"/>
              </w:rPr>
            </w:pPr>
            <w:r>
              <w:rPr>
                <w:bCs/>
                <w:color w:val="auto"/>
                <w:sz w:val="18"/>
                <w:szCs w:val="18"/>
              </w:rPr>
              <w:t>32.1（8月）</w:t>
            </w:r>
          </w:p>
        </w:tc>
      </w:tr>
      <w:tr w14:paraId="5C92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center"/>
          </w:tcPr>
          <w:p w14:paraId="44D4B126">
            <w:pPr>
              <w:adjustRightInd w:val="0"/>
              <w:snapToGrid w:val="0"/>
              <w:ind w:right="25"/>
              <w:jc w:val="center"/>
              <w:rPr>
                <w:bCs/>
                <w:color w:val="auto"/>
                <w:sz w:val="18"/>
                <w:szCs w:val="18"/>
              </w:rPr>
            </w:pPr>
          </w:p>
        </w:tc>
        <w:tc>
          <w:tcPr>
            <w:tcW w:w="1500" w:type="dxa"/>
            <w:noWrap w:val="0"/>
            <w:vAlign w:val="center"/>
          </w:tcPr>
          <w:p w14:paraId="253A86D7">
            <w:pPr>
              <w:adjustRightInd w:val="0"/>
              <w:snapToGrid w:val="0"/>
              <w:ind w:right="51"/>
              <w:jc w:val="center"/>
              <w:rPr>
                <w:bCs/>
                <w:color w:val="auto"/>
                <w:sz w:val="18"/>
                <w:szCs w:val="18"/>
              </w:rPr>
            </w:pPr>
            <w:r>
              <w:rPr>
                <w:bCs/>
                <w:color w:val="auto"/>
                <w:sz w:val="18"/>
                <w:szCs w:val="18"/>
              </w:rPr>
              <w:t>969.5</w:t>
            </w:r>
          </w:p>
        </w:tc>
        <w:tc>
          <w:tcPr>
            <w:tcW w:w="1443" w:type="dxa"/>
            <w:noWrap w:val="0"/>
            <w:vAlign w:val="center"/>
          </w:tcPr>
          <w:p w14:paraId="7EA8FB5F">
            <w:pPr>
              <w:adjustRightInd w:val="0"/>
              <w:snapToGrid w:val="0"/>
              <w:ind w:right="15"/>
              <w:jc w:val="center"/>
              <w:rPr>
                <w:bCs/>
                <w:color w:val="auto"/>
                <w:sz w:val="18"/>
                <w:szCs w:val="18"/>
              </w:rPr>
            </w:pPr>
            <w:r>
              <w:rPr>
                <w:bCs/>
                <w:color w:val="auto"/>
                <w:sz w:val="18"/>
                <w:szCs w:val="18"/>
              </w:rPr>
              <w:t>62％</w:t>
            </w:r>
          </w:p>
        </w:tc>
        <w:tc>
          <w:tcPr>
            <w:tcW w:w="518" w:type="dxa"/>
            <w:vMerge w:val="continue"/>
            <w:noWrap w:val="0"/>
            <w:vAlign w:val="center"/>
          </w:tcPr>
          <w:p w14:paraId="5E3546D6">
            <w:pPr>
              <w:adjustRightInd w:val="0"/>
              <w:snapToGrid w:val="0"/>
              <w:ind w:right="11"/>
              <w:jc w:val="center"/>
              <w:rPr>
                <w:bCs/>
                <w:color w:val="auto"/>
                <w:sz w:val="18"/>
                <w:szCs w:val="18"/>
              </w:rPr>
            </w:pPr>
          </w:p>
        </w:tc>
        <w:tc>
          <w:tcPr>
            <w:tcW w:w="1597" w:type="dxa"/>
            <w:noWrap w:val="0"/>
            <w:vAlign w:val="center"/>
          </w:tcPr>
          <w:p w14:paraId="42EF8CAB">
            <w:pPr>
              <w:adjustRightInd w:val="0"/>
              <w:snapToGrid w:val="0"/>
              <w:ind w:right="15"/>
              <w:jc w:val="center"/>
              <w:rPr>
                <w:bCs/>
                <w:color w:val="auto"/>
                <w:sz w:val="18"/>
                <w:szCs w:val="18"/>
              </w:rPr>
            </w:pPr>
            <w:r>
              <w:rPr>
                <w:bCs/>
                <w:color w:val="auto"/>
                <w:sz w:val="18"/>
                <w:szCs w:val="18"/>
              </w:rPr>
              <w:t>38％</w:t>
            </w:r>
          </w:p>
        </w:tc>
        <w:tc>
          <w:tcPr>
            <w:tcW w:w="437" w:type="dxa"/>
            <w:vMerge w:val="continue"/>
            <w:noWrap w:val="0"/>
            <w:vAlign w:val="center"/>
          </w:tcPr>
          <w:p w14:paraId="38E60D6C">
            <w:pPr>
              <w:adjustRightInd w:val="0"/>
              <w:snapToGrid w:val="0"/>
              <w:ind w:right="5"/>
              <w:jc w:val="center"/>
              <w:rPr>
                <w:bCs/>
                <w:color w:val="auto"/>
                <w:sz w:val="18"/>
                <w:szCs w:val="18"/>
              </w:rPr>
            </w:pPr>
          </w:p>
        </w:tc>
        <w:tc>
          <w:tcPr>
            <w:tcW w:w="820" w:type="dxa"/>
            <w:vMerge w:val="continue"/>
            <w:noWrap w:val="0"/>
            <w:vAlign w:val="center"/>
          </w:tcPr>
          <w:p w14:paraId="0309889B">
            <w:pPr>
              <w:adjustRightInd w:val="0"/>
              <w:snapToGrid w:val="0"/>
              <w:ind w:right="5"/>
              <w:jc w:val="center"/>
              <w:rPr>
                <w:bCs/>
                <w:color w:val="auto"/>
                <w:sz w:val="18"/>
                <w:szCs w:val="18"/>
              </w:rPr>
            </w:pPr>
          </w:p>
        </w:tc>
        <w:tc>
          <w:tcPr>
            <w:tcW w:w="1301" w:type="dxa"/>
            <w:noWrap w:val="0"/>
            <w:vAlign w:val="center"/>
          </w:tcPr>
          <w:p w14:paraId="45DB05AD">
            <w:pPr>
              <w:adjustRightInd w:val="0"/>
              <w:snapToGrid w:val="0"/>
              <w:ind w:left="-7" w:leftChars="-21" w:right="-6" w:hanging="37" w:hangingChars="21"/>
              <w:jc w:val="center"/>
              <w:rPr>
                <w:bCs/>
                <w:color w:val="auto"/>
                <w:sz w:val="18"/>
                <w:szCs w:val="18"/>
              </w:rPr>
            </w:pPr>
            <w:r>
              <w:rPr>
                <w:bCs/>
                <w:color w:val="auto"/>
                <w:sz w:val="18"/>
                <w:szCs w:val="18"/>
              </w:rPr>
              <w:t>4.9（1月）</w:t>
            </w:r>
          </w:p>
        </w:tc>
      </w:tr>
      <w:tr w14:paraId="31D3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restart"/>
            <w:noWrap w:val="0"/>
            <w:vAlign w:val="center"/>
          </w:tcPr>
          <w:p w14:paraId="3276B1DA">
            <w:pPr>
              <w:adjustRightInd w:val="0"/>
              <w:snapToGrid w:val="0"/>
              <w:ind w:right="25"/>
              <w:jc w:val="center"/>
              <w:rPr>
                <w:bCs/>
                <w:color w:val="auto"/>
                <w:sz w:val="18"/>
                <w:szCs w:val="18"/>
              </w:rPr>
            </w:pPr>
            <w:r>
              <w:rPr>
                <w:bCs/>
                <w:color w:val="auto"/>
                <w:sz w:val="18"/>
                <w:szCs w:val="18"/>
              </w:rPr>
              <w:t>河北邯郸</w:t>
            </w:r>
          </w:p>
        </w:tc>
        <w:tc>
          <w:tcPr>
            <w:tcW w:w="1500" w:type="dxa"/>
            <w:noWrap w:val="0"/>
            <w:vAlign w:val="center"/>
          </w:tcPr>
          <w:p w14:paraId="17107500">
            <w:pPr>
              <w:adjustRightInd w:val="0"/>
              <w:snapToGrid w:val="0"/>
              <w:ind w:right="51"/>
              <w:jc w:val="center"/>
              <w:rPr>
                <w:bCs/>
                <w:color w:val="auto"/>
                <w:sz w:val="18"/>
                <w:szCs w:val="18"/>
              </w:rPr>
            </w:pPr>
            <w:r>
              <w:rPr>
                <w:bCs/>
                <w:color w:val="auto"/>
                <w:sz w:val="18"/>
                <w:szCs w:val="18"/>
              </w:rPr>
              <w:t>1901.7</w:t>
            </w:r>
          </w:p>
        </w:tc>
        <w:tc>
          <w:tcPr>
            <w:tcW w:w="1443" w:type="dxa"/>
            <w:noWrap w:val="0"/>
            <w:vAlign w:val="center"/>
          </w:tcPr>
          <w:p w14:paraId="1A96AA0F">
            <w:pPr>
              <w:adjustRightInd w:val="0"/>
              <w:snapToGrid w:val="0"/>
              <w:ind w:right="15"/>
              <w:jc w:val="center"/>
              <w:rPr>
                <w:bCs/>
                <w:color w:val="auto"/>
                <w:sz w:val="18"/>
                <w:szCs w:val="18"/>
              </w:rPr>
            </w:pPr>
            <w:r>
              <w:rPr>
                <w:bCs/>
                <w:color w:val="auto"/>
                <w:sz w:val="18"/>
                <w:szCs w:val="18"/>
              </w:rPr>
              <w:t>7～8月</w:t>
            </w:r>
          </w:p>
        </w:tc>
        <w:tc>
          <w:tcPr>
            <w:tcW w:w="518" w:type="dxa"/>
            <w:vMerge w:val="restart"/>
            <w:noWrap w:val="0"/>
            <w:vAlign w:val="center"/>
          </w:tcPr>
          <w:p w14:paraId="3679A21E">
            <w:pPr>
              <w:adjustRightInd w:val="0"/>
              <w:snapToGrid w:val="0"/>
              <w:ind w:right="11"/>
              <w:jc w:val="center"/>
              <w:rPr>
                <w:bCs/>
                <w:color w:val="auto"/>
                <w:sz w:val="18"/>
                <w:szCs w:val="18"/>
              </w:rPr>
            </w:pPr>
            <w:r>
              <w:rPr>
                <w:bCs/>
                <w:color w:val="auto"/>
                <w:sz w:val="18"/>
                <w:szCs w:val="18"/>
              </w:rPr>
              <w:t>下降</w:t>
            </w:r>
          </w:p>
        </w:tc>
        <w:tc>
          <w:tcPr>
            <w:tcW w:w="1597" w:type="dxa"/>
            <w:noWrap w:val="0"/>
            <w:vAlign w:val="center"/>
          </w:tcPr>
          <w:p w14:paraId="1118FCFF">
            <w:pPr>
              <w:adjustRightInd w:val="0"/>
              <w:snapToGrid w:val="0"/>
              <w:ind w:right="15"/>
              <w:jc w:val="center"/>
              <w:rPr>
                <w:bCs/>
                <w:color w:val="auto"/>
                <w:sz w:val="18"/>
                <w:szCs w:val="18"/>
              </w:rPr>
            </w:pPr>
            <w:r>
              <w:rPr>
                <w:bCs/>
                <w:color w:val="auto"/>
                <w:sz w:val="18"/>
                <w:szCs w:val="18"/>
              </w:rPr>
              <w:t>11～5月</w:t>
            </w:r>
          </w:p>
        </w:tc>
        <w:tc>
          <w:tcPr>
            <w:tcW w:w="437" w:type="dxa"/>
            <w:vMerge w:val="restart"/>
            <w:noWrap w:val="0"/>
            <w:vAlign w:val="center"/>
          </w:tcPr>
          <w:p w14:paraId="2AD659D3">
            <w:pPr>
              <w:adjustRightInd w:val="0"/>
              <w:snapToGrid w:val="0"/>
              <w:ind w:right="11"/>
              <w:jc w:val="center"/>
              <w:rPr>
                <w:bCs/>
                <w:color w:val="auto"/>
                <w:sz w:val="18"/>
                <w:szCs w:val="18"/>
              </w:rPr>
            </w:pPr>
            <w:r>
              <w:rPr>
                <w:bCs/>
                <w:color w:val="auto"/>
                <w:sz w:val="18"/>
                <w:szCs w:val="18"/>
              </w:rPr>
              <w:t>上升</w:t>
            </w:r>
          </w:p>
        </w:tc>
        <w:tc>
          <w:tcPr>
            <w:tcW w:w="820" w:type="dxa"/>
            <w:vMerge w:val="restart"/>
            <w:noWrap w:val="0"/>
            <w:vAlign w:val="center"/>
          </w:tcPr>
          <w:p w14:paraId="7E1BDA00">
            <w:pPr>
              <w:adjustRightInd w:val="0"/>
              <w:snapToGrid w:val="0"/>
              <w:ind w:right="5"/>
              <w:jc w:val="center"/>
              <w:rPr>
                <w:bCs/>
                <w:color w:val="auto"/>
                <w:sz w:val="18"/>
                <w:szCs w:val="18"/>
              </w:rPr>
            </w:pPr>
            <w:r>
              <w:rPr>
                <w:bCs/>
                <w:color w:val="auto"/>
                <w:sz w:val="18"/>
                <w:szCs w:val="18"/>
              </w:rPr>
              <w:t>0.5</w:t>
            </w:r>
          </w:p>
        </w:tc>
        <w:tc>
          <w:tcPr>
            <w:tcW w:w="1301" w:type="dxa"/>
            <w:noWrap w:val="0"/>
            <w:vAlign w:val="center"/>
          </w:tcPr>
          <w:p w14:paraId="3186941B">
            <w:pPr>
              <w:adjustRightInd w:val="0"/>
              <w:snapToGrid w:val="0"/>
              <w:ind w:left="-7" w:leftChars="-21" w:right="-6" w:hanging="37" w:hangingChars="21"/>
              <w:jc w:val="center"/>
              <w:rPr>
                <w:bCs/>
                <w:color w:val="auto"/>
                <w:sz w:val="18"/>
                <w:szCs w:val="18"/>
              </w:rPr>
            </w:pPr>
            <w:r>
              <w:rPr>
                <w:bCs/>
                <w:color w:val="auto"/>
                <w:sz w:val="18"/>
                <w:szCs w:val="18"/>
              </w:rPr>
              <w:t>25.2（7月）</w:t>
            </w:r>
          </w:p>
        </w:tc>
      </w:tr>
      <w:tr w14:paraId="53E7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0" w:type="dxa"/>
            <w:vMerge w:val="continue"/>
            <w:noWrap w:val="0"/>
            <w:vAlign w:val="top"/>
          </w:tcPr>
          <w:p w14:paraId="2743C3D4">
            <w:pPr>
              <w:adjustRightInd w:val="0"/>
              <w:snapToGrid w:val="0"/>
              <w:ind w:right="25"/>
              <w:rPr>
                <w:bCs/>
                <w:color w:val="auto"/>
                <w:sz w:val="18"/>
                <w:szCs w:val="18"/>
              </w:rPr>
            </w:pPr>
          </w:p>
        </w:tc>
        <w:tc>
          <w:tcPr>
            <w:tcW w:w="1500" w:type="dxa"/>
            <w:noWrap w:val="0"/>
            <w:vAlign w:val="center"/>
          </w:tcPr>
          <w:p w14:paraId="10B9688F">
            <w:pPr>
              <w:adjustRightInd w:val="0"/>
              <w:snapToGrid w:val="0"/>
              <w:ind w:right="51"/>
              <w:jc w:val="center"/>
              <w:rPr>
                <w:bCs/>
                <w:color w:val="auto"/>
                <w:sz w:val="18"/>
                <w:szCs w:val="18"/>
              </w:rPr>
            </w:pPr>
            <w:r>
              <w:rPr>
                <w:bCs/>
                <w:color w:val="auto"/>
                <w:sz w:val="18"/>
                <w:szCs w:val="18"/>
              </w:rPr>
              <w:t>603.1</w:t>
            </w:r>
          </w:p>
        </w:tc>
        <w:tc>
          <w:tcPr>
            <w:tcW w:w="1443" w:type="dxa"/>
            <w:noWrap w:val="0"/>
            <w:vAlign w:val="center"/>
          </w:tcPr>
          <w:p w14:paraId="6366A6F2">
            <w:pPr>
              <w:adjustRightInd w:val="0"/>
              <w:snapToGrid w:val="0"/>
              <w:ind w:right="15"/>
              <w:jc w:val="center"/>
              <w:rPr>
                <w:bCs/>
                <w:color w:val="auto"/>
                <w:sz w:val="18"/>
                <w:szCs w:val="18"/>
              </w:rPr>
            </w:pPr>
            <w:r>
              <w:rPr>
                <w:bCs/>
                <w:color w:val="auto"/>
                <w:sz w:val="18"/>
                <w:szCs w:val="18"/>
              </w:rPr>
              <w:t>70％</w:t>
            </w:r>
          </w:p>
        </w:tc>
        <w:tc>
          <w:tcPr>
            <w:tcW w:w="518" w:type="dxa"/>
            <w:vMerge w:val="continue"/>
            <w:noWrap w:val="0"/>
            <w:vAlign w:val="center"/>
          </w:tcPr>
          <w:p w14:paraId="3EBA5CBF">
            <w:pPr>
              <w:adjustRightInd w:val="0"/>
              <w:snapToGrid w:val="0"/>
              <w:ind w:right="11"/>
              <w:jc w:val="center"/>
              <w:rPr>
                <w:bCs/>
                <w:color w:val="auto"/>
                <w:sz w:val="18"/>
                <w:szCs w:val="18"/>
              </w:rPr>
            </w:pPr>
          </w:p>
        </w:tc>
        <w:tc>
          <w:tcPr>
            <w:tcW w:w="1597" w:type="dxa"/>
            <w:noWrap w:val="0"/>
            <w:vAlign w:val="center"/>
          </w:tcPr>
          <w:p w14:paraId="67FE0763">
            <w:pPr>
              <w:adjustRightInd w:val="0"/>
              <w:snapToGrid w:val="0"/>
              <w:ind w:right="15"/>
              <w:jc w:val="center"/>
              <w:rPr>
                <w:bCs/>
                <w:color w:val="auto"/>
                <w:sz w:val="18"/>
                <w:szCs w:val="18"/>
              </w:rPr>
            </w:pPr>
            <w:r>
              <w:rPr>
                <w:bCs/>
                <w:color w:val="auto"/>
                <w:sz w:val="18"/>
                <w:szCs w:val="18"/>
              </w:rPr>
              <w:t>30％</w:t>
            </w:r>
          </w:p>
        </w:tc>
        <w:tc>
          <w:tcPr>
            <w:tcW w:w="437" w:type="dxa"/>
            <w:vMerge w:val="continue"/>
            <w:noWrap w:val="0"/>
            <w:vAlign w:val="center"/>
          </w:tcPr>
          <w:p w14:paraId="30D49AAF">
            <w:pPr>
              <w:adjustRightInd w:val="0"/>
              <w:snapToGrid w:val="0"/>
              <w:ind w:right="5"/>
              <w:jc w:val="center"/>
              <w:rPr>
                <w:bCs/>
                <w:color w:val="auto"/>
                <w:sz w:val="18"/>
                <w:szCs w:val="18"/>
              </w:rPr>
            </w:pPr>
          </w:p>
        </w:tc>
        <w:tc>
          <w:tcPr>
            <w:tcW w:w="820" w:type="dxa"/>
            <w:vMerge w:val="continue"/>
            <w:noWrap w:val="0"/>
            <w:vAlign w:val="center"/>
          </w:tcPr>
          <w:p w14:paraId="6B1C2F40">
            <w:pPr>
              <w:adjustRightInd w:val="0"/>
              <w:snapToGrid w:val="0"/>
              <w:ind w:right="5"/>
              <w:jc w:val="center"/>
              <w:rPr>
                <w:bCs/>
                <w:color w:val="auto"/>
                <w:sz w:val="18"/>
                <w:szCs w:val="18"/>
              </w:rPr>
            </w:pPr>
          </w:p>
        </w:tc>
        <w:tc>
          <w:tcPr>
            <w:tcW w:w="1301" w:type="dxa"/>
            <w:noWrap w:val="0"/>
            <w:vAlign w:val="center"/>
          </w:tcPr>
          <w:p w14:paraId="2E78901E">
            <w:pPr>
              <w:adjustRightInd w:val="0"/>
              <w:snapToGrid w:val="0"/>
              <w:ind w:left="-7" w:leftChars="-21" w:right="-6" w:hanging="37" w:hangingChars="21"/>
              <w:jc w:val="center"/>
              <w:rPr>
                <w:bCs/>
                <w:color w:val="auto"/>
                <w:sz w:val="18"/>
                <w:szCs w:val="18"/>
              </w:rPr>
            </w:pPr>
            <w:r>
              <w:rPr>
                <w:bCs/>
                <w:color w:val="auto"/>
                <w:sz w:val="18"/>
                <w:szCs w:val="18"/>
              </w:rPr>
              <w:t>2.5（1月）</w:t>
            </w:r>
          </w:p>
        </w:tc>
      </w:tr>
    </w:tbl>
    <w:p w14:paraId="516B6B36">
      <w:pPr>
        <w:adjustRightInd w:val="0"/>
        <w:snapToGrid w:val="0"/>
        <w:spacing w:line="360" w:lineRule="auto"/>
        <w:ind w:right="480" w:firstLine="420"/>
        <w:rPr>
          <w:bCs/>
          <w:color w:val="auto"/>
          <w:szCs w:val="21"/>
        </w:rPr>
      </w:pPr>
    </w:p>
    <w:p w14:paraId="40A780CD">
      <w:pPr>
        <w:adjustRightInd w:val="0"/>
        <w:snapToGrid w:val="0"/>
        <w:spacing w:line="360" w:lineRule="atLeast"/>
        <w:rPr>
          <w:bCs/>
          <w:color w:val="auto"/>
          <w:szCs w:val="21"/>
        </w:rPr>
      </w:pPr>
      <w:r>
        <w:rPr>
          <w:bCs/>
          <w:color w:val="auto"/>
          <w:szCs w:val="21"/>
        </w:rPr>
        <w:t xml:space="preserve">    下降型常出现在土的天然含水量较高（例如大于1.2</w:t>
      </w:r>
      <w:r>
        <w:rPr>
          <w:color w:val="auto"/>
          <w:position w:val="-14"/>
          <w:szCs w:val="21"/>
        </w:rPr>
        <w:object>
          <v:shape id="_x0000_i1833" o:spt="75" type="#_x0000_t75" style="height:19pt;width:16pt;" o:ole="t" filled="f" o:preferrelative="t" stroked="f" coordsize="21600,21600">
            <v:path/>
            <v:fill on="f" focussize="0,0"/>
            <v:stroke on="f"/>
            <v:imagedata r:id="rId1581" o:title=""/>
            <o:lock v:ext="edit" grouping="f" rotation="f" text="f" aspectratio="t"/>
            <w10:wrap type="none"/>
            <w10:anchorlock/>
          </v:shape>
          <o:OLEObject Type="Embed" ProgID="Equation.3" ShapeID="_x0000_i1833" DrawAspect="Content" ObjectID="_1468076533" r:id="rId1580">
            <o:LockedField>false</o:LockedField>
          </o:OLEObject>
        </w:object>
      </w:r>
      <w:r>
        <w:rPr>
          <w:bCs/>
          <w:color w:val="auto"/>
          <w:szCs w:val="21"/>
        </w:rPr>
        <w:t>）或建筑物靠近边坡地带，如图5中的曲线3。在平坦场地，房屋下降位移主要是土中水份减少，地基产生收缩变形的结果。土中水份减少，可能是气候干旱，水份大量蒸发的结果，也可能是局部热源或蒸腾量大的种木（如桉树）大量吸取土中水份的结果。至于临坡建筑物，位移持续下降，一方面是坡体临空面大于平地，土中水份更容易蒸发而导致较平坦场地更大的收缩变形。另一方面，坡体向外侧移而产生的竖向变形（即剪应变引起），这种在三向应力条件下侧向位移引起的竖向变形是不可逆的。湖北郧县膨胀土边坡观测中就发现了上述状况，它的发展必然导致坡体滑动。上述下降收缩变形量的计算是指土体失水收缩而引起的竖向下沉，在设计中应避免后一种情况的发生。</w:t>
      </w:r>
    </w:p>
    <w:p w14:paraId="5CC40505">
      <w:pPr>
        <w:adjustRightInd w:val="0"/>
        <w:snapToGrid w:val="0"/>
        <w:spacing w:line="360" w:lineRule="atLeast"/>
        <w:ind w:firstLine="420" w:firstLineChars="200"/>
        <w:rPr>
          <w:bCs/>
          <w:color w:val="auto"/>
          <w:szCs w:val="21"/>
        </w:rPr>
      </w:pPr>
      <w:r>
        <w:rPr>
          <w:bCs/>
          <w:color w:val="auto"/>
          <w:szCs w:val="21"/>
        </w:rPr>
        <w:t>本条给出的天然地表下1.0m深度处的含水量值，是经统计分析得出的一般规律，未包括荷载、覆盖、地温之差等作用的影响。当土中的应力大于其膨胀力时，土体就不会发生膨胀变形，由收缩变形控制。对于高重的建筑物，当基础埋于大气影响急剧层以下时，主要受地基土的压缩变形控制，应按相关技术标准进行建筑物的沉降计算。</w:t>
      </w:r>
    </w:p>
    <w:p w14:paraId="13728EBE">
      <w:pPr>
        <w:adjustRightInd w:val="0"/>
        <w:snapToGrid w:val="0"/>
        <w:spacing w:line="360" w:lineRule="atLeast"/>
        <w:ind w:firstLine="420" w:firstLineChars="200"/>
        <w:rPr>
          <w:bCs/>
          <w:color w:val="auto"/>
          <w:szCs w:val="21"/>
        </w:rPr>
      </w:pPr>
      <w:r>
        <w:rPr>
          <w:bCs/>
          <w:color w:val="auto"/>
          <w:szCs w:val="21"/>
        </w:rPr>
        <w:t>正文公式（60）实际上是地基土在不同压力下各层土膨胀量的分层总和。计算图式和参数的选择是根据膨胀土两个重要性质确定的：</w:t>
      </w:r>
    </w:p>
    <w:p w14:paraId="49742E6F">
      <w:pPr>
        <w:adjustRightInd w:val="0"/>
        <w:snapToGrid w:val="0"/>
        <w:spacing w:line="360" w:lineRule="atLeast"/>
        <w:ind w:firstLine="422" w:firstLineChars="200"/>
        <w:rPr>
          <w:bCs/>
          <w:color w:val="auto"/>
          <w:szCs w:val="21"/>
        </w:rPr>
      </w:pPr>
      <w:r>
        <w:rPr>
          <w:b/>
          <w:bCs/>
          <w:color w:val="auto"/>
          <w:szCs w:val="21"/>
        </w:rPr>
        <w:t>1）</w:t>
      </w:r>
      <w:r>
        <w:rPr>
          <w:bCs/>
          <w:color w:val="auto"/>
          <w:szCs w:val="21"/>
        </w:rPr>
        <w:t>当土的含水量一定时，上覆压力小膨胀量大，压力大时膨胀量小。当压力超过土的膨胀力时就不膨胀，并出现压缩，膨胀力与膨胀量呈非线性关系。在计算过程中，如某压力下的膨胀率为负值时，即不发生膨胀变形，该层土的膨胀量为零。</w:t>
      </w:r>
    </w:p>
    <w:p w14:paraId="6C781D97">
      <w:pPr>
        <w:adjustRightInd w:val="0"/>
        <w:snapToGrid w:val="0"/>
        <w:spacing w:line="360" w:lineRule="atLeast"/>
        <w:ind w:firstLine="422" w:firstLineChars="200"/>
        <w:rPr>
          <w:bCs/>
          <w:color w:val="auto"/>
          <w:szCs w:val="21"/>
        </w:rPr>
      </w:pPr>
      <w:r>
        <w:rPr>
          <w:b/>
          <w:bCs/>
          <w:color w:val="auto"/>
          <w:szCs w:val="21"/>
        </w:rPr>
        <w:t>2）</w:t>
      </w:r>
      <w:r>
        <w:rPr>
          <w:bCs/>
          <w:color w:val="auto"/>
          <w:szCs w:val="21"/>
        </w:rPr>
        <w:t>当土的上覆压力一定时，含水量高的土膨胀量小，含水量低的土膨胀量大。含水量与膨胀量之间也为非线性关系。地基土的膨胀变形过程是其含水量不断增加的过程，膨胀量随其含水量的增加而持续增大，最终到达某一定值。因此，膨胀量的计算值是预估的最终膨胀变形量，而不是某一时段的变形量。</w:t>
      </w:r>
    </w:p>
    <w:p w14:paraId="03068CAB">
      <w:pPr>
        <w:adjustRightInd w:val="0"/>
        <w:snapToGrid w:val="0"/>
        <w:spacing w:line="360" w:lineRule="atLeast"/>
        <w:ind w:firstLine="422" w:firstLineChars="200"/>
        <w:rPr>
          <w:bCs/>
          <w:color w:val="auto"/>
          <w:szCs w:val="21"/>
        </w:rPr>
      </w:pPr>
      <w:r>
        <w:rPr>
          <w:b/>
          <w:bCs/>
          <w:color w:val="auto"/>
          <w:szCs w:val="21"/>
        </w:rPr>
        <w:t>3）</w:t>
      </w:r>
      <w:r>
        <w:rPr>
          <w:bCs/>
          <w:color w:val="auto"/>
          <w:szCs w:val="21"/>
        </w:rPr>
        <w:t>关于膨胀变形计算的经验系数</w:t>
      </w:r>
    </w:p>
    <w:p w14:paraId="1273ECC6">
      <w:pPr>
        <w:adjustRightInd w:val="0"/>
        <w:snapToGrid w:val="0"/>
        <w:spacing w:line="360" w:lineRule="atLeast"/>
        <w:ind w:firstLine="420" w:firstLineChars="200"/>
        <w:rPr>
          <w:color w:val="auto"/>
          <w:kern w:val="0"/>
          <w:szCs w:val="21"/>
        </w:rPr>
      </w:pPr>
      <w:r>
        <w:rPr>
          <w:bCs/>
          <w:color w:val="auto"/>
          <w:szCs w:val="21"/>
        </w:rPr>
        <w:t>室内和原位的膨胀试验以及房屋的变形观测资料，都能反映地基土的膨胀变形随土中含水量和上覆压力的不同而变化的特征，为我们提供了用室内试验指标来计算地基膨胀变形量的可能性。但是，由室内试验指标提供的计算参数，是用厚度和面积都较小的试件，在有侧限的环刀内经充分浸水而取得的。而地基土在膨胀变形过程中，受力情况及浸水和边界条件都与室内试验有着较大的差别。上述因素综合影响的结果给计算膨胀变形量和实测变形量之间带来较大的差别。为使计算膨胀变形量较为接近实际，必须对室内外的试验观测结果全面地进行计算分析和比对，找出其间的数量关系，这就是膨胀变形计算的经验系数</w:t>
      </w:r>
      <w:r>
        <w:rPr>
          <w:color w:val="auto"/>
          <w:kern w:val="0"/>
          <w:position w:val="-12"/>
          <w:szCs w:val="21"/>
        </w:rPr>
        <w:object>
          <v:shape id="_x0000_i1834"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4" DrawAspect="Content" ObjectID="_1468076534" r:id="rId1582">
            <o:LockedField>false</o:LockedField>
          </o:OLEObject>
        </w:object>
      </w:r>
      <w:r>
        <w:rPr>
          <w:color w:val="auto"/>
          <w:kern w:val="0"/>
          <w:szCs w:val="21"/>
        </w:rPr>
        <w:t>。</w:t>
      </w:r>
    </w:p>
    <w:p w14:paraId="29C4B99C">
      <w:pPr>
        <w:adjustRightInd w:val="0"/>
        <w:snapToGrid w:val="0"/>
        <w:spacing w:line="360" w:lineRule="atLeast"/>
        <w:ind w:firstLine="420" w:firstLineChars="200"/>
        <w:rPr>
          <w:color w:val="auto"/>
          <w:kern w:val="0"/>
          <w:szCs w:val="21"/>
        </w:rPr>
      </w:pPr>
      <w:r>
        <w:rPr>
          <w:color w:val="auto"/>
          <w:kern w:val="0"/>
          <w:szCs w:val="21"/>
        </w:rPr>
        <w:t>对河北邯郸、河南平顶山、安徽合肥、湖北荆门、广西宁明、云南鸡街和蒙自等地的40项浸水载荷试验和6栋试验性房屋以及12栋民用房屋的室内外试验资料分别计算膨胀量，与实测最大值进行比对。根据统计分析，浸水部分的</w:t>
      </w:r>
      <w:r>
        <w:rPr>
          <w:color w:val="auto"/>
          <w:kern w:val="0"/>
          <w:position w:val="-12"/>
          <w:szCs w:val="21"/>
        </w:rPr>
        <w:object>
          <v:shape id="_x0000_i1835"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5" DrawAspect="Content" ObjectID="_1468076535" r:id="rId1583">
            <o:LockedField>false</o:LockedField>
          </o:OLEObject>
        </w:object>
      </w:r>
      <w:r>
        <w:rPr>
          <w:color w:val="auto"/>
          <w:kern w:val="0"/>
          <w:szCs w:val="21"/>
        </w:rPr>
        <w:t>＝0.47±0.12。</w:t>
      </w:r>
    </w:p>
    <w:p w14:paraId="68044947">
      <w:pPr>
        <w:adjustRightInd w:val="0"/>
        <w:snapToGrid w:val="0"/>
        <w:spacing w:line="360" w:lineRule="atLeast"/>
        <w:ind w:firstLine="420" w:firstLineChars="200"/>
        <w:rPr>
          <w:color w:val="auto"/>
          <w:kern w:val="0"/>
          <w:szCs w:val="21"/>
        </w:rPr>
      </w:pPr>
      <w:r>
        <w:rPr>
          <w:color w:val="auto"/>
          <w:kern w:val="0"/>
          <w:szCs w:val="21"/>
        </w:rPr>
        <w:t>图6是按</w:t>
      </w:r>
      <w:r>
        <w:rPr>
          <w:color w:val="auto"/>
          <w:kern w:val="0"/>
          <w:position w:val="-12"/>
          <w:szCs w:val="21"/>
        </w:rPr>
        <w:object>
          <v:shape id="_x0000_i1836"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6" DrawAspect="Content" ObjectID="_1468076536" r:id="rId1584">
            <o:LockedField>false</o:LockedField>
          </o:OLEObject>
        </w:object>
      </w:r>
      <w:r>
        <w:rPr>
          <w:color w:val="auto"/>
          <w:kern w:val="0"/>
          <w:szCs w:val="21"/>
        </w:rPr>
        <w:t>＝0.47修正后的计算值与实测值的比较结果。表</w:t>
      </w:r>
      <w:r>
        <w:rPr>
          <w:rFonts w:hint="eastAsia"/>
          <w:color w:val="auto"/>
          <w:kern w:val="0"/>
          <w:szCs w:val="21"/>
        </w:rPr>
        <w:t>9</w:t>
      </w:r>
      <w:r>
        <w:rPr>
          <w:color w:val="auto"/>
          <w:kern w:val="0"/>
          <w:szCs w:val="21"/>
        </w:rPr>
        <w:t>和图7为浸水部分</w:t>
      </w:r>
      <w:r>
        <w:rPr>
          <w:color w:val="auto"/>
          <w:kern w:val="0"/>
          <w:position w:val="-12"/>
          <w:szCs w:val="21"/>
        </w:rPr>
        <w:object>
          <v:shape id="_x0000_i1837"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7" DrawAspect="Content" ObjectID="_1468076537" r:id="rId1585">
            <o:LockedField>false</o:LockedField>
          </o:OLEObject>
        </w:object>
      </w:r>
      <w:r>
        <w:rPr>
          <w:color w:val="auto"/>
          <w:kern w:val="0"/>
          <w:szCs w:val="21"/>
        </w:rPr>
        <w:t>的统计分布状况。12栋民用房屋的</w:t>
      </w:r>
      <w:r>
        <w:rPr>
          <w:color w:val="auto"/>
          <w:kern w:val="0"/>
          <w:position w:val="-12"/>
          <w:szCs w:val="21"/>
        </w:rPr>
        <w:object>
          <v:shape id="_x0000_i1838"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8" DrawAspect="Content" ObjectID="_1468076538" r:id="rId1586">
            <o:LockedField>false</o:LockedField>
          </o:OLEObject>
        </w:object>
      </w:r>
      <w:r>
        <w:rPr>
          <w:color w:val="auto"/>
          <w:kern w:val="0"/>
          <w:szCs w:val="21"/>
        </w:rPr>
        <w:t>中值与浸水部分相同，只有平顶山地区的</w:t>
      </w:r>
      <w:r>
        <w:rPr>
          <w:color w:val="auto"/>
          <w:kern w:val="0"/>
          <w:position w:val="-12"/>
          <w:szCs w:val="21"/>
        </w:rPr>
        <w:object>
          <v:shape id="_x0000_i1839"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39" DrawAspect="Content" ObjectID="_1468076539" r:id="rId1587">
            <o:LockedField>false</o:LockedField>
          </o:OLEObject>
        </w:object>
      </w:r>
      <w:r>
        <w:rPr>
          <w:color w:val="auto"/>
          <w:kern w:val="0"/>
          <w:szCs w:val="21"/>
        </w:rPr>
        <w:t>偏大且离散性也较大，这是由于室内试验资料较少且欠完整的缘故。考虑到实际应用，取</w:t>
      </w:r>
      <w:r>
        <w:rPr>
          <w:color w:val="auto"/>
          <w:kern w:val="0"/>
          <w:position w:val="-12"/>
          <w:szCs w:val="21"/>
        </w:rPr>
        <w:object>
          <v:shape id="_x0000_i1840"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40" DrawAspect="Content" ObjectID="_1468076540" r:id="rId1588">
            <o:LockedField>false</o:LockedField>
          </o:OLEObject>
        </w:object>
      </w:r>
      <w:r>
        <w:rPr>
          <w:color w:val="auto"/>
          <w:kern w:val="0"/>
          <w:szCs w:val="21"/>
        </w:rPr>
        <w:t>＝0.6时，对80％的房屋是偏于安全的。</w:t>
      </w:r>
    </w:p>
    <w:p w14:paraId="275ECECF">
      <w:pPr>
        <w:adjustRightInd w:val="0"/>
        <w:snapToGrid w:val="0"/>
        <w:jc w:val="center"/>
        <w:rPr>
          <w:color w:val="auto"/>
          <w:kern w:val="0"/>
          <w:szCs w:val="21"/>
        </w:rPr>
      </w:pPr>
      <w:r>
        <w:rPr>
          <w:color w:val="auto"/>
        </w:rPr>
        <w:object>
          <v:shape id="_x0000_i1841" o:spt="75" type="#_x0000_t75" style="height:178.5pt;width:220.15pt;" o:ole="t" filled="f" stroked="f" coordsize="21600,21600">
            <v:path/>
            <v:fill on="f" focussize="0,0"/>
            <v:stroke on="f"/>
            <v:imagedata r:id="rId1590" cropleft="14313f" croptop="6703f" cropright="14206f" cropbottom="6144f" o:title=""/>
            <o:lock v:ext="edit" grouping="f" rotation="f" text="f" aspectratio="t"/>
            <w10:wrap type="none"/>
            <w10:anchorlock/>
          </v:shape>
          <o:OLEObject Type="Embed" ProgID="AutoCAD.Drawing.16" ShapeID="_x0000_i1841" DrawAspect="Content" ObjectID="_1468076541" r:id="rId1589">
            <o:LockedField>false</o:LockedField>
          </o:OLEObject>
        </w:object>
      </w:r>
    </w:p>
    <w:p w14:paraId="06FA16D9">
      <w:pPr>
        <w:adjustRightInd w:val="0"/>
        <w:snapToGrid w:val="0"/>
        <w:jc w:val="center"/>
        <w:rPr>
          <w:b/>
          <w:color w:val="auto"/>
          <w:kern w:val="0"/>
          <w:sz w:val="18"/>
          <w:szCs w:val="18"/>
        </w:rPr>
      </w:pPr>
      <w:r>
        <w:rPr>
          <w:b/>
          <w:color w:val="auto"/>
          <w:kern w:val="0"/>
          <w:sz w:val="18"/>
          <w:szCs w:val="18"/>
        </w:rPr>
        <w:t>图6  计算膨胀量与实测膨胀量的比较</w:t>
      </w:r>
    </w:p>
    <w:p w14:paraId="15899C4B">
      <w:pPr>
        <w:adjustRightInd w:val="0"/>
        <w:snapToGrid w:val="0"/>
        <w:spacing w:before="240"/>
        <w:jc w:val="center"/>
        <w:rPr>
          <w:color w:val="auto"/>
          <w:kern w:val="0"/>
          <w:szCs w:val="21"/>
        </w:rPr>
      </w:pPr>
    </w:p>
    <w:p w14:paraId="1F18B971">
      <w:pPr>
        <w:pStyle w:val="12"/>
        <w:jc w:val="center"/>
        <w:rPr>
          <w:b/>
          <w:bCs/>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9</w:t>
      </w:r>
      <w:r>
        <w:rPr>
          <w:color w:val="auto"/>
        </w:rPr>
        <w:fldChar w:fldCharType="end"/>
      </w:r>
      <w:r>
        <w:rPr>
          <w:b/>
          <w:bCs/>
          <w:color w:val="auto"/>
          <w:szCs w:val="21"/>
        </w:rPr>
        <w:t xml:space="preserve">  膨胀量（浸水部分）计算的经验系数</w:t>
      </w:r>
      <w:r>
        <w:rPr>
          <w:b/>
          <w:bCs/>
          <w:color w:val="auto"/>
          <w:szCs w:val="21"/>
        </w:rPr>
        <w:object>
          <v:shape id="_x0000_i1842"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42" DrawAspect="Content" ObjectID="_1468076542" r:id="rId1591">
            <o:LockedField>false</o:LockedField>
          </o:OLEObject>
        </w:object>
      </w:r>
      <w:r>
        <w:rPr>
          <w:b/>
          <w:bCs/>
          <w:color w:val="auto"/>
          <w:szCs w:val="21"/>
        </w:rPr>
        <w:t>统计分布</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897"/>
        <w:gridCol w:w="897"/>
        <w:gridCol w:w="897"/>
        <w:gridCol w:w="897"/>
        <w:gridCol w:w="897"/>
        <w:gridCol w:w="897"/>
        <w:gridCol w:w="897"/>
        <w:gridCol w:w="938"/>
        <w:gridCol w:w="897"/>
      </w:tblGrid>
      <w:tr w14:paraId="167C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25" w:type="dxa"/>
            <w:noWrap w:val="0"/>
            <w:vAlign w:val="center"/>
          </w:tcPr>
          <w:p w14:paraId="4FDC5B63">
            <w:pPr>
              <w:adjustRightInd w:val="0"/>
              <w:snapToGrid w:val="0"/>
              <w:jc w:val="center"/>
              <w:rPr>
                <w:color w:val="auto"/>
                <w:kern w:val="0"/>
                <w:sz w:val="18"/>
                <w:szCs w:val="18"/>
              </w:rPr>
            </w:pPr>
            <w:r>
              <w:rPr>
                <w:color w:val="auto"/>
                <w:kern w:val="0"/>
                <w:position w:val="-12"/>
                <w:sz w:val="18"/>
                <w:szCs w:val="18"/>
              </w:rPr>
              <w:object>
                <v:shape id="_x0000_i1843"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43" DrawAspect="Content" ObjectID="_1468076543" r:id="rId1592">
                  <o:LockedField>false</o:LockedField>
                </o:OLEObject>
              </w:object>
            </w:r>
          </w:p>
        </w:tc>
        <w:tc>
          <w:tcPr>
            <w:tcW w:w="897" w:type="dxa"/>
            <w:noWrap w:val="0"/>
            <w:vAlign w:val="center"/>
          </w:tcPr>
          <w:p w14:paraId="15EDA0F5">
            <w:pPr>
              <w:adjustRightInd w:val="0"/>
              <w:snapToGrid w:val="0"/>
              <w:rPr>
                <w:color w:val="auto"/>
                <w:kern w:val="0"/>
                <w:sz w:val="18"/>
                <w:szCs w:val="18"/>
              </w:rPr>
            </w:pPr>
            <w:r>
              <w:rPr>
                <w:color w:val="auto"/>
                <w:kern w:val="0"/>
                <w:sz w:val="18"/>
                <w:szCs w:val="18"/>
              </w:rPr>
              <w:t>0.1～0.2</w:t>
            </w:r>
          </w:p>
        </w:tc>
        <w:tc>
          <w:tcPr>
            <w:tcW w:w="897" w:type="dxa"/>
            <w:noWrap w:val="0"/>
            <w:vAlign w:val="center"/>
          </w:tcPr>
          <w:p w14:paraId="47817E2C">
            <w:pPr>
              <w:adjustRightInd w:val="0"/>
              <w:snapToGrid w:val="0"/>
              <w:rPr>
                <w:color w:val="auto"/>
                <w:kern w:val="0"/>
                <w:sz w:val="18"/>
                <w:szCs w:val="18"/>
              </w:rPr>
            </w:pPr>
            <w:r>
              <w:rPr>
                <w:color w:val="auto"/>
                <w:kern w:val="0"/>
                <w:sz w:val="18"/>
                <w:szCs w:val="18"/>
              </w:rPr>
              <w:t>0.2～0.3</w:t>
            </w:r>
          </w:p>
        </w:tc>
        <w:tc>
          <w:tcPr>
            <w:tcW w:w="897" w:type="dxa"/>
            <w:noWrap w:val="0"/>
            <w:vAlign w:val="center"/>
          </w:tcPr>
          <w:p w14:paraId="4FDC59FE">
            <w:pPr>
              <w:adjustRightInd w:val="0"/>
              <w:snapToGrid w:val="0"/>
              <w:rPr>
                <w:color w:val="auto"/>
                <w:kern w:val="0"/>
                <w:sz w:val="18"/>
                <w:szCs w:val="18"/>
              </w:rPr>
            </w:pPr>
            <w:r>
              <w:rPr>
                <w:color w:val="auto"/>
                <w:kern w:val="0"/>
                <w:sz w:val="18"/>
                <w:szCs w:val="18"/>
              </w:rPr>
              <w:t>0.3～0.4</w:t>
            </w:r>
          </w:p>
        </w:tc>
        <w:tc>
          <w:tcPr>
            <w:tcW w:w="897" w:type="dxa"/>
            <w:noWrap w:val="0"/>
            <w:vAlign w:val="center"/>
          </w:tcPr>
          <w:p w14:paraId="03490CB9">
            <w:pPr>
              <w:adjustRightInd w:val="0"/>
              <w:snapToGrid w:val="0"/>
              <w:rPr>
                <w:color w:val="auto"/>
                <w:kern w:val="0"/>
                <w:sz w:val="18"/>
                <w:szCs w:val="18"/>
              </w:rPr>
            </w:pPr>
            <w:r>
              <w:rPr>
                <w:color w:val="auto"/>
                <w:kern w:val="0"/>
                <w:sz w:val="18"/>
                <w:szCs w:val="18"/>
              </w:rPr>
              <w:t>0.4～0.5</w:t>
            </w:r>
          </w:p>
        </w:tc>
        <w:tc>
          <w:tcPr>
            <w:tcW w:w="897" w:type="dxa"/>
            <w:noWrap w:val="0"/>
            <w:vAlign w:val="center"/>
          </w:tcPr>
          <w:p w14:paraId="0AD8AAA5">
            <w:pPr>
              <w:adjustRightInd w:val="0"/>
              <w:snapToGrid w:val="0"/>
              <w:rPr>
                <w:color w:val="auto"/>
                <w:kern w:val="0"/>
                <w:sz w:val="18"/>
                <w:szCs w:val="18"/>
              </w:rPr>
            </w:pPr>
            <w:r>
              <w:rPr>
                <w:color w:val="auto"/>
                <w:kern w:val="0"/>
                <w:sz w:val="18"/>
                <w:szCs w:val="18"/>
              </w:rPr>
              <w:t>0.5～0.6</w:t>
            </w:r>
          </w:p>
        </w:tc>
        <w:tc>
          <w:tcPr>
            <w:tcW w:w="897" w:type="dxa"/>
            <w:noWrap w:val="0"/>
            <w:vAlign w:val="center"/>
          </w:tcPr>
          <w:p w14:paraId="52612E09">
            <w:pPr>
              <w:adjustRightInd w:val="0"/>
              <w:snapToGrid w:val="0"/>
              <w:rPr>
                <w:color w:val="auto"/>
                <w:kern w:val="0"/>
                <w:sz w:val="18"/>
                <w:szCs w:val="18"/>
              </w:rPr>
            </w:pPr>
            <w:r>
              <w:rPr>
                <w:color w:val="auto"/>
                <w:kern w:val="0"/>
                <w:sz w:val="18"/>
                <w:szCs w:val="18"/>
              </w:rPr>
              <w:t>0.6～0.7</w:t>
            </w:r>
          </w:p>
        </w:tc>
        <w:tc>
          <w:tcPr>
            <w:tcW w:w="897" w:type="dxa"/>
            <w:noWrap w:val="0"/>
            <w:vAlign w:val="center"/>
          </w:tcPr>
          <w:p w14:paraId="44EC7652">
            <w:pPr>
              <w:adjustRightInd w:val="0"/>
              <w:snapToGrid w:val="0"/>
              <w:rPr>
                <w:color w:val="auto"/>
                <w:kern w:val="0"/>
                <w:sz w:val="18"/>
                <w:szCs w:val="18"/>
              </w:rPr>
            </w:pPr>
            <w:r>
              <w:rPr>
                <w:color w:val="auto"/>
                <w:kern w:val="0"/>
                <w:sz w:val="18"/>
                <w:szCs w:val="18"/>
              </w:rPr>
              <w:t>0.7～0.8</w:t>
            </w:r>
          </w:p>
        </w:tc>
        <w:tc>
          <w:tcPr>
            <w:tcW w:w="938" w:type="dxa"/>
            <w:noWrap w:val="0"/>
            <w:vAlign w:val="center"/>
          </w:tcPr>
          <w:p w14:paraId="1B57BED6">
            <w:pPr>
              <w:adjustRightInd w:val="0"/>
              <w:snapToGrid w:val="0"/>
              <w:rPr>
                <w:color w:val="auto"/>
                <w:kern w:val="0"/>
                <w:sz w:val="18"/>
                <w:szCs w:val="18"/>
              </w:rPr>
            </w:pPr>
            <w:r>
              <w:rPr>
                <w:color w:val="auto"/>
                <w:kern w:val="0"/>
                <w:sz w:val="18"/>
                <w:szCs w:val="18"/>
              </w:rPr>
              <w:t>0.8～0.9</w:t>
            </w:r>
          </w:p>
        </w:tc>
        <w:tc>
          <w:tcPr>
            <w:tcW w:w="897" w:type="dxa"/>
            <w:noWrap w:val="0"/>
            <w:vAlign w:val="center"/>
          </w:tcPr>
          <w:p w14:paraId="0F2B3F0E">
            <w:pPr>
              <w:adjustRightInd w:val="0"/>
              <w:snapToGrid w:val="0"/>
              <w:jc w:val="center"/>
              <w:rPr>
                <w:color w:val="auto"/>
                <w:kern w:val="0"/>
                <w:sz w:val="18"/>
                <w:szCs w:val="18"/>
              </w:rPr>
            </w:pPr>
            <w:r>
              <w:rPr>
                <w:color w:val="auto"/>
                <w:kern w:val="0"/>
                <w:sz w:val="18"/>
                <w:szCs w:val="18"/>
              </w:rPr>
              <w:t>总数</w:t>
            </w:r>
          </w:p>
        </w:tc>
      </w:tr>
      <w:tr w14:paraId="3029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25" w:type="dxa"/>
            <w:noWrap w:val="0"/>
            <w:vAlign w:val="center"/>
          </w:tcPr>
          <w:p w14:paraId="10EC6F3F">
            <w:pPr>
              <w:adjustRightInd w:val="0"/>
              <w:snapToGrid w:val="0"/>
              <w:jc w:val="center"/>
              <w:rPr>
                <w:color w:val="auto"/>
                <w:kern w:val="0"/>
                <w:sz w:val="18"/>
                <w:szCs w:val="18"/>
              </w:rPr>
            </w:pPr>
            <w:r>
              <w:rPr>
                <w:color w:val="auto"/>
                <w:kern w:val="0"/>
                <w:sz w:val="18"/>
                <w:szCs w:val="18"/>
              </w:rPr>
              <w:t>频数</w:t>
            </w:r>
          </w:p>
        </w:tc>
        <w:tc>
          <w:tcPr>
            <w:tcW w:w="897" w:type="dxa"/>
            <w:noWrap w:val="0"/>
            <w:vAlign w:val="center"/>
          </w:tcPr>
          <w:p w14:paraId="1989154C">
            <w:pPr>
              <w:adjustRightInd w:val="0"/>
              <w:snapToGrid w:val="0"/>
              <w:jc w:val="center"/>
              <w:rPr>
                <w:color w:val="auto"/>
                <w:kern w:val="0"/>
                <w:sz w:val="18"/>
                <w:szCs w:val="18"/>
              </w:rPr>
            </w:pPr>
            <w:r>
              <w:rPr>
                <w:color w:val="auto"/>
                <w:kern w:val="0"/>
                <w:sz w:val="18"/>
                <w:szCs w:val="18"/>
              </w:rPr>
              <w:t>1</w:t>
            </w:r>
          </w:p>
        </w:tc>
        <w:tc>
          <w:tcPr>
            <w:tcW w:w="897" w:type="dxa"/>
            <w:noWrap w:val="0"/>
            <w:vAlign w:val="center"/>
          </w:tcPr>
          <w:p w14:paraId="0DE3C42A">
            <w:pPr>
              <w:adjustRightInd w:val="0"/>
              <w:snapToGrid w:val="0"/>
              <w:jc w:val="center"/>
              <w:rPr>
                <w:color w:val="auto"/>
                <w:kern w:val="0"/>
                <w:sz w:val="18"/>
                <w:szCs w:val="18"/>
              </w:rPr>
            </w:pPr>
            <w:r>
              <w:rPr>
                <w:color w:val="auto"/>
                <w:kern w:val="0"/>
                <w:sz w:val="18"/>
                <w:szCs w:val="18"/>
              </w:rPr>
              <w:t>0</w:t>
            </w:r>
          </w:p>
        </w:tc>
        <w:tc>
          <w:tcPr>
            <w:tcW w:w="897" w:type="dxa"/>
            <w:noWrap w:val="0"/>
            <w:vAlign w:val="center"/>
          </w:tcPr>
          <w:p w14:paraId="5F275136">
            <w:pPr>
              <w:adjustRightInd w:val="0"/>
              <w:snapToGrid w:val="0"/>
              <w:jc w:val="center"/>
              <w:rPr>
                <w:color w:val="auto"/>
                <w:kern w:val="0"/>
                <w:sz w:val="18"/>
                <w:szCs w:val="18"/>
              </w:rPr>
            </w:pPr>
            <w:r>
              <w:rPr>
                <w:color w:val="auto"/>
                <w:kern w:val="0"/>
                <w:sz w:val="18"/>
                <w:szCs w:val="18"/>
              </w:rPr>
              <w:t>31</w:t>
            </w:r>
          </w:p>
        </w:tc>
        <w:tc>
          <w:tcPr>
            <w:tcW w:w="897" w:type="dxa"/>
            <w:noWrap w:val="0"/>
            <w:vAlign w:val="center"/>
          </w:tcPr>
          <w:p w14:paraId="643F8BDC">
            <w:pPr>
              <w:adjustRightInd w:val="0"/>
              <w:snapToGrid w:val="0"/>
              <w:jc w:val="center"/>
              <w:rPr>
                <w:color w:val="auto"/>
                <w:kern w:val="0"/>
                <w:sz w:val="18"/>
                <w:szCs w:val="18"/>
              </w:rPr>
            </w:pPr>
            <w:r>
              <w:rPr>
                <w:color w:val="auto"/>
                <w:kern w:val="0"/>
                <w:sz w:val="18"/>
                <w:szCs w:val="18"/>
              </w:rPr>
              <w:t>41</w:t>
            </w:r>
          </w:p>
        </w:tc>
        <w:tc>
          <w:tcPr>
            <w:tcW w:w="897" w:type="dxa"/>
            <w:noWrap w:val="0"/>
            <w:vAlign w:val="center"/>
          </w:tcPr>
          <w:p w14:paraId="0856EF73">
            <w:pPr>
              <w:adjustRightInd w:val="0"/>
              <w:snapToGrid w:val="0"/>
              <w:jc w:val="center"/>
              <w:rPr>
                <w:color w:val="auto"/>
                <w:kern w:val="0"/>
                <w:sz w:val="18"/>
                <w:szCs w:val="18"/>
              </w:rPr>
            </w:pPr>
            <w:r>
              <w:rPr>
                <w:color w:val="auto"/>
                <w:kern w:val="0"/>
                <w:sz w:val="18"/>
                <w:szCs w:val="18"/>
              </w:rPr>
              <w:t>28</w:t>
            </w:r>
          </w:p>
        </w:tc>
        <w:tc>
          <w:tcPr>
            <w:tcW w:w="897" w:type="dxa"/>
            <w:noWrap w:val="0"/>
            <w:vAlign w:val="center"/>
          </w:tcPr>
          <w:p w14:paraId="0DCAC1E9">
            <w:pPr>
              <w:adjustRightInd w:val="0"/>
              <w:snapToGrid w:val="0"/>
              <w:jc w:val="center"/>
              <w:rPr>
                <w:color w:val="auto"/>
                <w:kern w:val="0"/>
                <w:sz w:val="18"/>
                <w:szCs w:val="18"/>
              </w:rPr>
            </w:pPr>
            <w:r>
              <w:rPr>
                <w:color w:val="auto"/>
                <w:kern w:val="0"/>
                <w:sz w:val="18"/>
                <w:szCs w:val="18"/>
              </w:rPr>
              <w:t>8</w:t>
            </w:r>
          </w:p>
        </w:tc>
        <w:tc>
          <w:tcPr>
            <w:tcW w:w="897" w:type="dxa"/>
            <w:noWrap w:val="0"/>
            <w:vAlign w:val="center"/>
          </w:tcPr>
          <w:p w14:paraId="0AE31E82">
            <w:pPr>
              <w:adjustRightInd w:val="0"/>
              <w:snapToGrid w:val="0"/>
              <w:jc w:val="center"/>
              <w:rPr>
                <w:color w:val="auto"/>
                <w:kern w:val="0"/>
                <w:sz w:val="18"/>
                <w:szCs w:val="18"/>
              </w:rPr>
            </w:pPr>
            <w:r>
              <w:rPr>
                <w:color w:val="auto"/>
                <w:kern w:val="0"/>
                <w:sz w:val="18"/>
                <w:szCs w:val="18"/>
              </w:rPr>
              <w:t>1</w:t>
            </w:r>
          </w:p>
        </w:tc>
        <w:tc>
          <w:tcPr>
            <w:tcW w:w="938" w:type="dxa"/>
            <w:noWrap w:val="0"/>
            <w:vAlign w:val="center"/>
          </w:tcPr>
          <w:p w14:paraId="4A27E479">
            <w:pPr>
              <w:adjustRightInd w:val="0"/>
              <w:snapToGrid w:val="0"/>
              <w:jc w:val="center"/>
              <w:rPr>
                <w:color w:val="auto"/>
                <w:kern w:val="0"/>
                <w:sz w:val="18"/>
                <w:szCs w:val="18"/>
              </w:rPr>
            </w:pPr>
            <w:r>
              <w:rPr>
                <w:color w:val="auto"/>
                <w:kern w:val="0"/>
                <w:sz w:val="18"/>
                <w:szCs w:val="18"/>
              </w:rPr>
              <w:t>3</w:t>
            </w:r>
          </w:p>
        </w:tc>
        <w:tc>
          <w:tcPr>
            <w:tcW w:w="897" w:type="dxa"/>
            <w:vMerge w:val="restart"/>
            <w:noWrap w:val="0"/>
            <w:vAlign w:val="center"/>
          </w:tcPr>
          <w:p w14:paraId="03EB4E84">
            <w:pPr>
              <w:adjustRightInd w:val="0"/>
              <w:snapToGrid w:val="0"/>
              <w:jc w:val="center"/>
              <w:rPr>
                <w:color w:val="auto"/>
                <w:kern w:val="0"/>
                <w:sz w:val="18"/>
                <w:szCs w:val="18"/>
              </w:rPr>
            </w:pPr>
            <w:r>
              <w:rPr>
                <w:color w:val="auto"/>
                <w:kern w:val="0"/>
                <w:sz w:val="18"/>
                <w:szCs w:val="18"/>
              </w:rPr>
              <w:t>113</w:t>
            </w:r>
          </w:p>
        </w:tc>
      </w:tr>
      <w:tr w14:paraId="6F78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25" w:type="dxa"/>
            <w:noWrap w:val="0"/>
            <w:vAlign w:val="center"/>
          </w:tcPr>
          <w:p w14:paraId="0D90B957">
            <w:pPr>
              <w:adjustRightInd w:val="0"/>
              <w:snapToGrid w:val="0"/>
              <w:jc w:val="center"/>
              <w:rPr>
                <w:color w:val="auto"/>
                <w:kern w:val="0"/>
                <w:sz w:val="18"/>
                <w:szCs w:val="18"/>
              </w:rPr>
            </w:pPr>
            <w:r>
              <w:rPr>
                <w:color w:val="auto"/>
                <w:kern w:val="0"/>
                <w:sz w:val="18"/>
                <w:szCs w:val="18"/>
              </w:rPr>
              <w:t>频率</w:t>
            </w:r>
          </w:p>
        </w:tc>
        <w:tc>
          <w:tcPr>
            <w:tcW w:w="897" w:type="dxa"/>
            <w:noWrap w:val="0"/>
            <w:vAlign w:val="center"/>
          </w:tcPr>
          <w:p w14:paraId="5C3CFBA0">
            <w:pPr>
              <w:adjustRightInd w:val="0"/>
              <w:snapToGrid w:val="0"/>
              <w:jc w:val="center"/>
              <w:rPr>
                <w:color w:val="auto"/>
                <w:kern w:val="0"/>
                <w:sz w:val="18"/>
                <w:szCs w:val="18"/>
              </w:rPr>
            </w:pPr>
            <w:r>
              <w:rPr>
                <w:color w:val="auto"/>
                <w:kern w:val="0"/>
                <w:sz w:val="18"/>
                <w:szCs w:val="18"/>
              </w:rPr>
              <w:t>0.89</w:t>
            </w:r>
          </w:p>
        </w:tc>
        <w:tc>
          <w:tcPr>
            <w:tcW w:w="897" w:type="dxa"/>
            <w:noWrap w:val="0"/>
            <w:vAlign w:val="center"/>
          </w:tcPr>
          <w:p w14:paraId="7EBB3E80">
            <w:pPr>
              <w:adjustRightInd w:val="0"/>
              <w:snapToGrid w:val="0"/>
              <w:jc w:val="center"/>
              <w:rPr>
                <w:color w:val="auto"/>
                <w:kern w:val="0"/>
                <w:sz w:val="18"/>
                <w:szCs w:val="18"/>
              </w:rPr>
            </w:pPr>
            <w:r>
              <w:rPr>
                <w:color w:val="auto"/>
                <w:kern w:val="0"/>
                <w:sz w:val="18"/>
                <w:szCs w:val="18"/>
              </w:rPr>
              <w:t>0.00</w:t>
            </w:r>
          </w:p>
        </w:tc>
        <w:tc>
          <w:tcPr>
            <w:tcW w:w="897" w:type="dxa"/>
            <w:noWrap w:val="0"/>
            <w:vAlign w:val="center"/>
          </w:tcPr>
          <w:p w14:paraId="46D6909A">
            <w:pPr>
              <w:adjustRightInd w:val="0"/>
              <w:snapToGrid w:val="0"/>
              <w:jc w:val="center"/>
              <w:rPr>
                <w:color w:val="auto"/>
                <w:kern w:val="0"/>
                <w:sz w:val="18"/>
                <w:szCs w:val="18"/>
              </w:rPr>
            </w:pPr>
            <w:r>
              <w:rPr>
                <w:color w:val="auto"/>
                <w:kern w:val="0"/>
                <w:sz w:val="18"/>
                <w:szCs w:val="18"/>
              </w:rPr>
              <w:t>27.43</w:t>
            </w:r>
          </w:p>
        </w:tc>
        <w:tc>
          <w:tcPr>
            <w:tcW w:w="897" w:type="dxa"/>
            <w:noWrap w:val="0"/>
            <w:vAlign w:val="center"/>
          </w:tcPr>
          <w:p w14:paraId="17526A0B">
            <w:pPr>
              <w:adjustRightInd w:val="0"/>
              <w:snapToGrid w:val="0"/>
              <w:jc w:val="center"/>
              <w:rPr>
                <w:color w:val="auto"/>
                <w:kern w:val="0"/>
                <w:sz w:val="18"/>
                <w:szCs w:val="18"/>
              </w:rPr>
            </w:pPr>
            <w:r>
              <w:rPr>
                <w:color w:val="auto"/>
                <w:kern w:val="0"/>
                <w:sz w:val="18"/>
                <w:szCs w:val="18"/>
              </w:rPr>
              <w:t>36.28</w:t>
            </w:r>
          </w:p>
        </w:tc>
        <w:tc>
          <w:tcPr>
            <w:tcW w:w="897" w:type="dxa"/>
            <w:noWrap w:val="0"/>
            <w:vAlign w:val="center"/>
          </w:tcPr>
          <w:p w14:paraId="46BA9510">
            <w:pPr>
              <w:adjustRightInd w:val="0"/>
              <w:snapToGrid w:val="0"/>
              <w:jc w:val="center"/>
              <w:rPr>
                <w:color w:val="auto"/>
                <w:kern w:val="0"/>
                <w:sz w:val="18"/>
                <w:szCs w:val="18"/>
              </w:rPr>
            </w:pPr>
            <w:r>
              <w:rPr>
                <w:color w:val="auto"/>
                <w:kern w:val="0"/>
                <w:sz w:val="18"/>
                <w:szCs w:val="18"/>
              </w:rPr>
              <w:t>24.78</w:t>
            </w:r>
          </w:p>
        </w:tc>
        <w:tc>
          <w:tcPr>
            <w:tcW w:w="897" w:type="dxa"/>
            <w:noWrap w:val="0"/>
            <w:vAlign w:val="center"/>
          </w:tcPr>
          <w:p w14:paraId="46687C61">
            <w:pPr>
              <w:adjustRightInd w:val="0"/>
              <w:snapToGrid w:val="0"/>
              <w:jc w:val="center"/>
              <w:rPr>
                <w:color w:val="auto"/>
                <w:kern w:val="0"/>
                <w:sz w:val="18"/>
                <w:szCs w:val="18"/>
              </w:rPr>
            </w:pPr>
            <w:r>
              <w:rPr>
                <w:color w:val="auto"/>
                <w:kern w:val="0"/>
                <w:sz w:val="18"/>
                <w:szCs w:val="18"/>
              </w:rPr>
              <w:t>7.08</w:t>
            </w:r>
          </w:p>
        </w:tc>
        <w:tc>
          <w:tcPr>
            <w:tcW w:w="897" w:type="dxa"/>
            <w:noWrap w:val="0"/>
            <w:vAlign w:val="center"/>
          </w:tcPr>
          <w:p w14:paraId="25E49012">
            <w:pPr>
              <w:adjustRightInd w:val="0"/>
              <w:snapToGrid w:val="0"/>
              <w:jc w:val="center"/>
              <w:rPr>
                <w:color w:val="auto"/>
                <w:kern w:val="0"/>
                <w:sz w:val="18"/>
                <w:szCs w:val="18"/>
              </w:rPr>
            </w:pPr>
            <w:r>
              <w:rPr>
                <w:color w:val="auto"/>
                <w:kern w:val="0"/>
                <w:sz w:val="18"/>
                <w:szCs w:val="18"/>
              </w:rPr>
              <w:t>0.89</w:t>
            </w:r>
          </w:p>
        </w:tc>
        <w:tc>
          <w:tcPr>
            <w:tcW w:w="938" w:type="dxa"/>
            <w:noWrap w:val="0"/>
            <w:vAlign w:val="center"/>
          </w:tcPr>
          <w:p w14:paraId="2B0B5D6E">
            <w:pPr>
              <w:adjustRightInd w:val="0"/>
              <w:snapToGrid w:val="0"/>
              <w:jc w:val="center"/>
              <w:rPr>
                <w:color w:val="auto"/>
                <w:kern w:val="0"/>
                <w:sz w:val="18"/>
                <w:szCs w:val="18"/>
              </w:rPr>
            </w:pPr>
            <w:r>
              <w:rPr>
                <w:color w:val="auto"/>
                <w:kern w:val="0"/>
                <w:sz w:val="18"/>
                <w:szCs w:val="18"/>
              </w:rPr>
              <w:t>2.65</w:t>
            </w:r>
          </w:p>
        </w:tc>
        <w:tc>
          <w:tcPr>
            <w:tcW w:w="897" w:type="dxa"/>
            <w:vMerge w:val="continue"/>
            <w:noWrap w:val="0"/>
            <w:vAlign w:val="center"/>
          </w:tcPr>
          <w:p w14:paraId="203A67F7">
            <w:pPr>
              <w:adjustRightInd w:val="0"/>
              <w:snapToGrid w:val="0"/>
              <w:jc w:val="center"/>
              <w:rPr>
                <w:color w:val="auto"/>
                <w:kern w:val="0"/>
                <w:sz w:val="18"/>
                <w:szCs w:val="18"/>
              </w:rPr>
            </w:pPr>
          </w:p>
        </w:tc>
      </w:tr>
      <w:tr w14:paraId="5845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25" w:type="dxa"/>
            <w:noWrap w:val="0"/>
            <w:vAlign w:val="center"/>
          </w:tcPr>
          <w:p w14:paraId="0F2A4769">
            <w:pPr>
              <w:adjustRightInd w:val="0"/>
              <w:snapToGrid w:val="0"/>
              <w:ind w:left="-53" w:leftChars="-25" w:right="-69" w:rightChars="-33"/>
              <w:jc w:val="center"/>
              <w:rPr>
                <w:color w:val="auto"/>
                <w:kern w:val="0"/>
                <w:sz w:val="18"/>
                <w:szCs w:val="18"/>
              </w:rPr>
            </w:pPr>
            <w:r>
              <w:rPr>
                <w:color w:val="auto"/>
                <w:kern w:val="0"/>
                <w:sz w:val="18"/>
                <w:szCs w:val="18"/>
              </w:rPr>
              <w:t>累计频率</w:t>
            </w:r>
          </w:p>
        </w:tc>
        <w:tc>
          <w:tcPr>
            <w:tcW w:w="897" w:type="dxa"/>
            <w:noWrap w:val="0"/>
            <w:vAlign w:val="center"/>
          </w:tcPr>
          <w:p w14:paraId="5B9D5A14">
            <w:pPr>
              <w:adjustRightInd w:val="0"/>
              <w:snapToGrid w:val="0"/>
              <w:jc w:val="center"/>
              <w:rPr>
                <w:color w:val="auto"/>
                <w:kern w:val="0"/>
                <w:sz w:val="18"/>
                <w:szCs w:val="18"/>
              </w:rPr>
            </w:pPr>
            <w:r>
              <w:rPr>
                <w:color w:val="auto"/>
                <w:kern w:val="0"/>
                <w:sz w:val="18"/>
                <w:szCs w:val="18"/>
              </w:rPr>
              <w:t>0.89</w:t>
            </w:r>
          </w:p>
        </w:tc>
        <w:tc>
          <w:tcPr>
            <w:tcW w:w="897" w:type="dxa"/>
            <w:noWrap w:val="0"/>
            <w:vAlign w:val="center"/>
          </w:tcPr>
          <w:p w14:paraId="3903FE9B">
            <w:pPr>
              <w:adjustRightInd w:val="0"/>
              <w:snapToGrid w:val="0"/>
              <w:jc w:val="center"/>
              <w:rPr>
                <w:color w:val="auto"/>
                <w:kern w:val="0"/>
                <w:sz w:val="18"/>
                <w:szCs w:val="18"/>
              </w:rPr>
            </w:pPr>
            <w:r>
              <w:rPr>
                <w:color w:val="auto"/>
                <w:kern w:val="0"/>
                <w:sz w:val="18"/>
                <w:szCs w:val="18"/>
              </w:rPr>
              <w:t>0.89</w:t>
            </w:r>
          </w:p>
        </w:tc>
        <w:tc>
          <w:tcPr>
            <w:tcW w:w="897" w:type="dxa"/>
            <w:noWrap w:val="0"/>
            <w:vAlign w:val="center"/>
          </w:tcPr>
          <w:p w14:paraId="1DB127EC">
            <w:pPr>
              <w:adjustRightInd w:val="0"/>
              <w:snapToGrid w:val="0"/>
              <w:jc w:val="center"/>
              <w:rPr>
                <w:color w:val="auto"/>
                <w:kern w:val="0"/>
                <w:sz w:val="18"/>
                <w:szCs w:val="18"/>
              </w:rPr>
            </w:pPr>
            <w:r>
              <w:rPr>
                <w:color w:val="auto"/>
                <w:kern w:val="0"/>
                <w:sz w:val="18"/>
                <w:szCs w:val="18"/>
              </w:rPr>
              <w:t>28.32</w:t>
            </w:r>
          </w:p>
        </w:tc>
        <w:tc>
          <w:tcPr>
            <w:tcW w:w="897" w:type="dxa"/>
            <w:noWrap w:val="0"/>
            <w:vAlign w:val="center"/>
          </w:tcPr>
          <w:p w14:paraId="15118308">
            <w:pPr>
              <w:adjustRightInd w:val="0"/>
              <w:snapToGrid w:val="0"/>
              <w:jc w:val="center"/>
              <w:rPr>
                <w:color w:val="auto"/>
                <w:kern w:val="0"/>
                <w:sz w:val="18"/>
                <w:szCs w:val="18"/>
              </w:rPr>
            </w:pPr>
            <w:r>
              <w:rPr>
                <w:color w:val="auto"/>
                <w:kern w:val="0"/>
                <w:sz w:val="18"/>
                <w:szCs w:val="18"/>
              </w:rPr>
              <w:t>64.60</w:t>
            </w:r>
          </w:p>
        </w:tc>
        <w:tc>
          <w:tcPr>
            <w:tcW w:w="897" w:type="dxa"/>
            <w:noWrap w:val="0"/>
            <w:vAlign w:val="center"/>
          </w:tcPr>
          <w:p w14:paraId="305DF6FE">
            <w:pPr>
              <w:adjustRightInd w:val="0"/>
              <w:snapToGrid w:val="0"/>
              <w:jc w:val="center"/>
              <w:rPr>
                <w:color w:val="auto"/>
                <w:kern w:val="0"/>
                <w:sz w:val="18"/>
                <w:szCs w:val="18"/>
              </w:rPr>
            </w:pPr>
            <w:r>
              <w:rPr>
                <w:color w:val="auto"/>
                <w:kern w:val="0"/>
                <w:sz w:val="18"/>
                <w:szCs w:val="18"/>
              </w:rPr>
              <w:t>89.38</w:t>
            </w:r>
          </w:p>
        </w:tc>
        <w:tc>
          <w:tcPr>
            <w:tcW w:w="897" w:type="dxa"/>
            <w:noWrap w:val="0"/>
            <w:vAlign w:val="center"/>
          </w:tcPr>
          <w:p w14:paraId="4DC78CCC">
            <w:pPr>
              <w:adjustRightInd w:val="0"/>
              <w:snapToGrid w:val="0"/>
              <w:jc w:val="center"/>
              <w:rPr>
                <w:color w:val="auto"/>
                <w:kern w:val="0"/>
                <w:sz w:val="18"/>
                <w:szCs w:val="18"/>
              </w:rPr>
            </w:pPr>
            <w:r>
              <w:rPr>
                <w:color w:val="auto"/>
                <w:kern w:val="0"/>
                <w:sz w:val="18"/>
                <w:szCs w:val="18"/>
              </w:rPr>
              <w:t>96.46</w:t>
            </w:r>
          </w:p>
        </w:tc>
        <w:tc>
          <w:tcPr>
            <w:tcW w:w="897" w:type="dxa"/>
            <w:noWrap w:val="0"/>
            <w:vAlign w:val="center"/>
          </w:tcPr>
          <w:p w14:paraId="5C15A497">
            <w:pPr>
              <w:adjustRightInd w:val="0"/>
              <w:snapToGrid w:val="0"/>
              <w:jc w:val="center"/>
              <w:rPr>
                <w:color w:val="auto"/>
                <w:kern w:val="0"/>
                <w:sz w:val="18"/>
                <w:szCs w:val="18"/>
              </w:rPr>
            </w:pPr>
            <w:r>
              <w:rPr>
                <w:color w:val="auto"/>
                <w:kern w:val="0"/>
                <w:sz w:val="18"/>
                <w:szCs w:val="18"/>
              </w:rPr>
              <w:t>97.35</w:t>
            </w:r>
          </w:p>
        </w:tc>
        <w:tc>
          <w:tcPr>
            <w:tcW w:w="938" w:type="dxa"/>
            <w:noWrap w:val="0"/>
            <w:vAlign w:val="center"/>
          </w:tcPr>
          <w:p w14:paraId="584A81D5">
            <w:pPr>
              <w:adjustRightInd w:val="0"/>
              <w:snapToGrid w:val="0"/>
              <w:jc w:val="center"/>
              <w:rPr>
                <w:color w:val="auto"/>
                <w:kern w:val="0"/>
                <w:sz w:val="18"/>
                <w:szCs w:val="18"/>
              </w:rPr>
            </w:pPr>
            <w:r>
              <w:rPr>
                <w:color w:val="auto"/>
                <w:kern w:val="0"/>
                <w:sz w:val="18"/>
                <w:szCs w:val="18"/>
              </w:rPr>
              <w:t>100.00</w:t>
            </w:r>
          </w:p>
        </w:tc>
        <w:tc>
          <w:tcPr>
            <w:tcW w:w="897" w:type="dxa"/>
            <w:vMerge w:val="continue"/>
            <w:noWrap w:val="0"/>
            <w:vAlign w:val="center"/>
          </w:tcPr>
          <w:p w14:paraId="5043E6C2">
            <w:pPr>
              <w:adjustRightInd w:val="0"/>
              <w:snapToGrid w:val="0"/>
              <w:jc w:val="center"/>
              <w:rPr>
                <w:color w:val="auto"/>
                <w:kern w:val="0"/>
                <w:sz w:val="18"/>
                <w:szCs w:val="18"/>
              </w:rPr>
            </w:pPr>
          </w:p>
        </w:tc>
      </w:tr>
    </w:tbl>
    <w:p w14:paraId="3F64674C">
      <w:pPr>
        <w:adjustRightInd w:val="0"/>
        <w:snapToGrid w:val="0"/>
        <w:spacing w:line="360" w:lineRule="auto"/>
        <w:rPr>
          <w:color w:val="auto"/>
          <w:kern w:val="0"/>
          <w:szCs w:val="21"/>
        </w:rPr>
      </w:pPr>
    </w:p>
    <w:p w14:paraId="19EF3EBA">
      <w:pPr>
        <w:tabs>
          <w:tab w:val="left" w:pos="4830"/>
        </w:tabs>
        <w:adjustRightInd w:val="0"/>
        <w:snapToGrid w:val="0"/>
        <w:spacing w:before="240" w:line="360" w:lineRule="auto"/>
        <w:jc w:val="center"/>
        <w:rPr>
          <w:color w:val="auto"/>
          <w:kern w:val="0"/>
          <w:szCs w:val="21"/>
        </w:rPr>
      </w:pPr>
      <w:r>
        <w:rPr>
          <w:color w:val="auto"/>
        </w:rPr>
        <w:object>
          <v:shape id="_x0000_i1844" o:spt="75" type="#_x0000_t75" style="height:143.1pt;width:150.35pt;" o:ole="t" filled="f" stroked="f" coordsize="21600,21600">
            <v:path/>
            <v:fill on="f" focussize="0,0"/>
            <v:stroke on="f"/>
            <v:imagedata r:id="rId1594" cropleft="6305f" croptop="15267f" cropright="35556f" cropbottom="10240f" o:title=""/>
            <o:lock v:ext="edit" grouping="f" rotation="f" text="f" aspectratio="t"/>
            <w10:wrap type="none"/>
            <w10:anchorlock/>
          </v:shape>
          <o:OLEObject Type="Embed" ProgID="AutoCAD.Drawing.16" ShapeID="_x0000_i1844" DrawAspect="Content" ObjectID="_1468076544" r:id="rId1593">
            <o:LockedField>false</o:LockedField>
          </o:OLEObject>
        </w:object>
      </w:r>
      <w:r>
        <w:rPr>
          <w:color w:val="auto"/>
        </w:rPr>
        <w:t xml:space="preserve">     </w:t>
      </w:r>
      <w:r>
        <w:rPr>
          <w:color w:val="auto"/>
        </w:rPr>
        <w:object>
          <v:shape id="_x0000_i1845" o:spt="75" type="#_x0000_t75" style="height:146.35pt;width:156.05pt;" o:ole="t" filled="f" stroked="f" coordsize="21600,21600">
            <v:path/>
            <v:fill on="f" focussize="0,0"/>
            <v:stroke on="f"/>
            <v:imagedata r:id="rId1596" cropleft="34917f" croptop="15081f" cropright="6313f" cropbottom="10240f" o:title=""/>
            <o:lock v:ext="edit" grouping="f" rotation="f" text="f" aspectratio="t"/>
            <w10:wrap type="none"/>
            <w10:anchorlock/>
          </v:shape>
          <o:OLEObject Type="Embed" ProgID="AutoCAD.Drawing.16" ShapeID="_x0000_i1845" DrawAspect="Content" ObjectID="_1468076545" r:id="rId1595">
            <o:LockedField>false</o:LockedField>
          </o:OLEObject>
        </w:object>
      </w:r>
    </w:p>
    <w:p w14:paraId="3A67A852">
      <w:pPr>
        <w:adjustRightInd w:val="0"/>
        <w:snapToGrid w:val="0"/>
        <w:jc w:val="center"/>
        <w:rPr>
          <w:b/>
          <w:color w:val="auto"/>
          <w:kern w:val="0"/>
          <w:sz w:val="18"/>
          <w:szCs w:val="18"/>
        </w:rPr>
      </w:pPr>
      <w:r>
        <w:rPr>
          <w:b/>
          <w:color w:val="auto"/>
          <w:kern w:val="0"/>
          <w:sz w:val="18"/>
          <w:szCs w:val="18"/>
        </w:rPr>
        <w:t xml:space="preserve">图7  </w:t>
      </w:r>
      <w:r>
        <w:rPr>
          <w:b/>
          <w:color w:val="auto"/>
          <w:sz w:val="18"/>
          <w:szCs w:val="18"/>
        </w:rPr>
        <w:t>膨胀变形量计算经验系数</w:t>
      </w:r>
      <w:r>
        <w:rPr>
          <w:b/>
          <w:color w:val="auto"/>
          <w:kern w:val="0"/>
          <w:position w:val="-12"/>
          <w:sz w:val="18"/>
          <w:szCs w:val="18"/>
        </w:rPr>
        <w:object>
          <v:shape id="_x0000_i1846" o:spt="75" type="#_x0000_t75" style="height:18pt;width:16pt;" o:ole="t" filled="f" o:preferrelative="t" stroked="f" coordsize="21600,21600">
            <v:path/>
            <v:fill on="f" focussize="0,0"/>
            <v:stroke on="f"/>
            <v:imagedata r:id="rId537" o:title=""/>
            <o:lock v:ext="edit" grouping="f" rotation="f" text="f" aspectratio="t"/>
            <w10:wrap type="none"/>
            <w10:anchorlock/>
          </v:shape>
          <o:OLEObject Type="Embed" ProgID="Equation.3" ShapeID="_x0000_i1846" DrawAspect="Content" ObjectID="_1468076546" r:id="rId1597">
            <o:LockedField>false</o:LockedField>
          </o:OLEObject>
        </w:object>
      </w:r>
      <w:r>
        <w:rPr>
          <w:b/>
          <w:color w:val="auto"/>
          <w:kern w:val="0"/>
          <w:sz w:val="18"/>
          <w:szCs w:val="18"/>
        </w:rPr>
        <w:t>的统计分布状况</w:t>
      </w:r>
    </w:p>
    <w:p w14:paraId="5AA17709">
      <w:pPr>
        <w:adjustRightInd w:val="0"/>
        <w:snapToGrid w:val="0"/>
        <w:spacing w:line="360" w:lineRule="auto"/>
        <w:rPr>
          <w:color w:val="auto"/>
          <w:szCs w:val="21"/>
        </w:rPr>
      </w:pPr>
    </w:p>
    <w:p w14:paraId="4F55E7F0">
      <w:pPr>
        <w:adjustRightInd w:val="0"/>
        <w:snapToGrid w:val="0"/>
        <w:spacing w:line="360" w:lineRule="atLeast"/>
        <w:rPr>
          <w:bCs/>
          <w:color w:val="auto"/>
          <w:szCs w:val="21"/>
        </w:rPr>
      </w:pPr>
      <w:r>
        <w:rPr>
          <w:b/>
          <w:bCs/>
          <w:color w:val="auto"/>
          <w:szCs w:val="21"/>
        </w:rPr>
        <w:t xml:space="preserve">11.1.11  </w:t>
      </w:r>
      <w:r>
        <w:rPr>
          <w:bCs/>
          <w:color w:val="auto"/>
          <w:szCs w:val="21"/>
        </w:rPr>
        <w:t>失水收缩是膨胀土的另一属性。收缩变形量的大小取决于土的成份、密度和含水量。</w:t>
      </w:r>
    </w:p>
    <w:p w14:paraId="33135A17">
      <w:pPr>
        <w:adjustRightInd w:val="0"/>
        <w:snapToGrid w:val="0"/>
        <w:spacing w:line="360" w:lineRule="atLeast"/>
        <w:ind w:firstLine="422" w:firstLineChars="200"/>
        <w:rPr>
          <w:bCs/>
          <w:color w:val="auto"/>
          <w:szCs w:val="21"/>
        </w:rPr>
      </w:pPr>
      <w:r>
        <w:rPr>
          <w:b/>
          <w:bCs/>
          <w:color w:val="auto"/>
          <w:szCs w:val="21"/>
        </w:rPr>
        <w:t>a）</w:t>
      </w:r>
      <w:r>
        <w:rPr>
          <w:bCs/>
          <w:color w:val="auto"/>
          <w:szCs w:val="21"/>
        </w:rPr>
        <w:t>就同一性质的膨胀土而言，在相同条件下，其初始含水量W</w:t>
      </w:r>
      <w:r>
        <w:rPr>
          <w:bCs/>
          <w:color w:val="auto"/>
          <w:szCs w:val="21"/>
          <w:vertAlign w:val="subscript"/>
        </w:rPr>
        <w:t>0</w:t>
      </w:r>
      <w:r>
        <w:rPr>
          <w:bCs/>
          <w:color w:val="auto"/>
          <w:szCs w:val="21"/>
        </w:rPr>
        <w:t>越高（饱和度越高，孔隙比越大），在收缩过程中失水量就越多，收缩变形量也就越大。表1</w:t>
      </w:r>
      <w:r>
        <w:rPr>
          <w:rFonts w:hint="eastAsia"/>
          <w:bCs/>
          <w:color w:val="auto"/>
          <w:szCs w:val="21"/>
        </w:rPr>
        <w:t>0</w:t>
      </w:r>
      <w:r>
        <w:rPr>
          <w:bCs/>
          <w:color w:val="auto"/>
          <w:szCs w:val="21"/>
        </w:rPr>
        <w:t>和图8是广西南宁原状土样室内收缩试验所测得的收缩量与含水量之间的关系。图中的三条曲线表明，当土样的起始含水量分别为36.0％～44.7％，并同样干燥到缩限</w:t>
      </w:r>
      <w:r>
        <w:rPr>
          <w:color w:val="auto"/>
          <w:kern w:val="0"/>
          <w:position w:val="-12"/>
          <w:szCs w:val="21"/>
        </w:rPr>
        <w:object>
          <v:shape id="_x0000_i1847" o:spt="75" type="#_x0000_t75" style="height:18pt;width:15pt;" o:ole="t" filled="f" o:preferrelative="t" stroked="f" coordsize="21600,21600">
            <v:path/>
            <v:fill on="f" focussize="0,0"/>
            <v:stroke on="f"/>
            <v:imagedata r:id="rId1599" o:title=""/>
            <o:lock v:ext="edit" grouping="f" rotation="f" text="f" aspectratio="t"/>
            <w10:wrap type="none"/>
            <w10:anchorlock/>
          </v:shape>
          <o:OLEObject Type="Embed" ProgID="Equation.3" ShapeID="_x0000_i1847" DrawAspect="Content" ObjectID="_1468076547" r:id="rId1598">
            <o:LockedField>false</o:LockedField>
          </o:OLEObject>
        </w:object>
      </w:r>
      <w:r>
        <w:rPr>
          <w:bCs/>
          <w:color w:val="auto"/>
          <w:szCs w:val="21"/>
        </w:rPr>
        <w:t>时，其线缩率</w:t>
      </w:r>
      <w:r>
        <w:rPr>
          <w:color w:val="auto"/>
          <w:kern w:val="0"/>
          <w:position w:val="-12"/>
          <w:szCs w:val="21"/>
        </w:rPr>
        <w:object>
          <v:shape id="_x0000_i1848" o:spt="75" type="#_x0000_t75" style="height:18pt;width:13pt;" o:ole="t" filled="f" o:preferrelative="t" stroked="f" coordsize="21600,21600">
            <v:path/>
            <v:fill on="f" focussize="0,0"/>
            <v:stroke on="f"/>
            <v:imagedata r:id="rId1601" o:title=""/>
            <o:lock v:ext="edit" grouping="f" rotation="f" text="f" aspectratio="t"/>
            <w10:wrap type="none"/>
            <w10:anchorlock/>
          </v:shape>
          <o:OLEObject Type="Embed" ProgID="Equation.3" ShapeID="_x0000_i1848" DrawAspect="Content" ObjectID="_1468076548" r:id="rId1600">
            <o:LockedField>false</o:LockedField>
          </o:OLEObject>
        </w:object>
      </w:r>
      <w:r>
        <w:rPr>
          <w:bCs/>
          <w:color w:val="auto"/>
          <w:szCs w:val="21"/>
        </w:rPr>
        <w:t>从3.7％增大到7.3％。所谓缩限，是土体在收缩变形过程中，由半固态转入固态时的界限含水量。从每条曲线的斜率变化可以看出：当土的含水量达到缩限之后，土体虽然仍在失水，但其变形量已经很小，从对建筑工程的影响来说，已失去其实际的意义。</w:t>
      </w:r>
    </w:p>
    <w:p w14:paraId="6981742E">
      <w:pPr>
        <w:pStyle w:val="12"/>
        <w:jc w:val="center"/>
        <w:rPr>
          <w:b/>
          <w:bCs/>
          <w:color w:val="auto"/>
          <w:szCs w:val="21"/>
        </w:rPr>
      </w:pPr>
      <w:r>
        <w:rPr>
          <w:b/>
          <w:bCs/>
          <w:color w:val="auto"/>
          <w:szCs w:val="21"/>
        </w:rPr>
        <w:br w:type="page"/>
      </w: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10</w:t>
      </w:r>
      <w:r>
        <w:rPr>
          <w:color w:val="auto"/>
        </w:rPr>
        <w:fldChar w:fldCharType="end"/>
      </w:r>
      <w:r>
        <w:rPr>
          <w:b/>
          <w:bCs/>
          <w:color w:val="auto"/>
          <w:szCs w:val="21"/>
        </w:rPr>
        <w:t xml:space="preserve">  同质土的线缩率</w:t>
      </w:r>
      <w:r>
        <w:rPr>
          <w:b/>
          <w:bCs/>
          <w:color w:val="auto"/>
          <w:szCs w:val="21"/>
        </w:rPr>
        <w:object>
          <v:shape id="_x0000_i1849" o:spt="75" type="#_x0000_t75" style="height:18pt;width:13pt;" o:ole="t" filled="f" o:preferrelative="t" stroked="f" coordsize="21600,21600">
            <v:path/>
            <v:fill on="f" focussize="0,0"/>
            <v:stroke on="f"/>
            <v:imagedata r:id="rId1603" o:title=""/>
            <o:lock v:ext="edit" grouping="f" rotation="f" text="f" aspectratio="t"/>
            <w10:wrap type="none"/>
            <w10:anchorlock/>
          </v:shape>
          <o:OLEObject Type="Embed" ProgID="Equation.3" ShapeID="_x0000_i1849" DrawAspect="Content" ObjectID="_1468076549" r:id="rId1602">
            <o:LockedField>false</o:LockedField>
          </o:OLEObject>
        </w:object>
      </w:r>
      <w:r>
        <w:rPr>
          <w:b/>
          <w:bCs/>
          <w:color w:val="auto"/>
          <w:szCs w:val="21"/>
        </w:rPr>
        <w:t>与含水量</w:t>
      </w:r>
      <w:r>
        <w:rPr>
          <w:b/>
          <w:bCs/>
          <w:color w:val="auto"/>
          <w:szCs w:val="21"/>
        </w:rPr>
        <w:object>
          <v:shape id="_x0000_i1850" o:spt="75" type="#_x0000_t75" style="height:11pt;width:12pt;" o:ole="t" filled="f" o:preferrelative="t" stroked="f" coordsize="21600,21600">
            <v:path/>
            <v:fill on="f" focussize="0,0"/>
            <v:stroke on="f"/>
            <v:imagedata r:id="rId1605" o:title=""/>
            <o:lock v:ext="edit" grouping="f" rotation="f" text="f" aspectratio="t"/>
            <w10:wrap type="none"/>
            <w10:anchorlock/>
          </v:shape>
          <o:OLEObject Type="Embed" ProgID="Equation.3" ShapeID="_x0000_i1850" DrawAspect="Content" ObjectID="_1468076550" r:id="rId1604">
            <o:LockedField>false</o:LockedField>
          </o:OLEObject>
        </w:object>
      </w:r>
      <w:r>
        <w:rPr>
          <w:b/>
          <w:bCs/>
          <w:color w:val="auto"/>
          <w:szCs w:val="21"/>
        </w:rPr>
        <w:t>关系</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515"/>
        <w:gridCol w:w="1288"/>
        <w:gridCol w:w="1241"/>
        <w:gridCol w:w="1210"/>
        <w:gridCol w:w="1296"/>
        <w:gridCol w:w="1618"/>
      </w:tblGrid>
      <w:tr w14:paraId="01CA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3" w:type="dxa"/>
            <w:noWrap w:val="0"/>
            <w:vAlign w:val="center"/>
          </w:tcPr>
          <w:p w14:paraId="76BF890D">
            <w:pPr>
              <w:adjustRightInd w:val="0"/>
              <w:snapToGrid w:val="0"/>
              <w:jc w:val="center"/>
              <w:rPr>
                <w:bCs/>
                <w:color w:val="auto"/>
                <w:sz w:val="18"/>
                <w:szCs w:val="18"/>
              </w:rPr>
            </w:pPr>
            <w:r>
              <w:rPr>
                <w:bCs/>
                <w:color w:val="auto"/>
                <w:sz w:val="18"/>
                <w:szCs w:val="18"/>
              </w:rPr>
              <w:t>土号</w:t>
            </w:r>
          </w:p>
        </w:tc>
        <w:tc>
          <w:tcPr>
            <w:tcW w:w="1515" w:type="dxa"/>
            <w:noWrap w:val="0"/>
            <w:vAlign w:val="center"/>
          </w:tcPr>
          <w:p w14:paraId="67CE0F24">
            <w:pPr>
              <w:adjustRightInd w:val="0"/>
              <w:snapToGrid w:val="0"/>
              <w:jc w:val="center"/>
              <w:rPr>
                <w:bCs/>
                <w:color w:val="auto"/>
                <w:sz w:val="18"/>
                <w:szCs w:val="18"/>
              </w:rPr>
            </w:pPr>
            <w:r>
              <w:rPr>
                <w:color w:val="auto"/>
                <w:kern w:val="0"/>
                <w:position w:val="-10"/>
                <w:sz w:val="18"/>
                <w:szCs w:val="18"/>
              </w:rPr>
              <w:object>
                <v:shape id="_x0000_i1851" o:spt="75" type="#_x0000_t75" style="height:14.9pt;width:39.75pt;" o:ole="t" filled="f" o:preferrelative="t" stroked="f" coordsize="21600,21600">
                  <v:path/>
                  <v:fill on="f" focussize="0,0"/>
                  <v:stroke on="f"/>
                  <v:imagedata r:id="rId1607" o:title=""/>
                  <o:lock v:ext="edit" grouping="f" rotation="f" text="f" aspectratio="t"/>
                  <w10:wrap type="none"/>
                  <w10:anchorlock/>
                </v:shape>
                <o:OLEObject Type="Embed" ProgID="Equation.3" ShapeID="_x0000_i1851" DrawAspect="Content" ObjectID="_1468076551" r:id="rId1606">
                  <o:LockedField>false</o:LockedField>
                </o:OLEObject>
              </w:object>
            </w:r>
          </w:p>
        </w:tc>
        <w:tc>
          <w:tcPr>
            <w:tcW w:w="1288" w:type="dxa"/>
            <w:noWrap w:val="0"/>
            <w:vAlign w:val="center"/>
          </w:tcPr>
          <w:p w14:paraId="5CAFDA68">
            <w:pPr>
              <w:adjustRightInd w:val="0"/>
              <w:snapToGrid w:val="0"/>
              <w:jc w:val="center"/>
              <w:rPr>
                <w:bCs/>
                <w:color w:val="auto"/>
                <w:sz w:val="18"/>
                <w:szCs w:val="18"/>
              </w:rPr>
            </w:pPr>
            <w:r>
              <w:rPr>
                <w:color w:val="auto"/>
                <w:kern w:val="0"/>
                <w:position w:val="-12"/>
                <w:sz w:val="18"/>
                <w:szCs w:val="18"/>
              </w:rPr>
              <w:object>
                <v:shape id="_x0000_i1852" o:spt="75" type="#_x0000_t75" style="height:15.3pt;width:30pt;" o:ole="t" filled="f" o:preferrelative="t" stroked="f" coordsize="21600,21600">
                  <v:path/>
                  <v:fill on="f" focussize="0,0"/>
                  <v:stroke on="f"/>
                  <v:imagedata r:id="rId1609" o:title=""/>
                  <o:lock v:ext="edit" grouping="f" rotation="f" text="f" aspectratio="t"/>
                  <w10:wrap type="none"/>
                  <w10:anchorlock/>
                </v:shape>
                <o:OLEObject Type="Embed" ProgID="Equation.3" ShapeID="_x0000_i1852" DrawAspect="Content" ObjectID="_1468076552" r:id="rId1608">
                  <o:LockedField>false</o:LockedField>
                </o:OLEObject>
              </w:object>
            </w:r>
          </w:p>
        </w:tc>
        <w:tc>
          <w:tcPr>
            <w:tcW w:w="1241" w:type="dxa"/>
            <w:noWrap w:val="0"/>
            <w:vAlign w:val="center"/>
          </w:tcPr>
          <w:p w14:paraId="703ED8BD">
            <w:pPr>
              <w:adjustRightInd w:val="0"/>
              <w:snapToGrid w:val="0"/>
              <w:jc w:val="center"/>
              <w:rPr>
                <w:bCs/>
                <w:color w:val="auto"/>
                <w:sz w:val="18"/>
                <w:szCs w:val="18"/>
              </w:rPr>
            </w:pPr>
            <w:r>
              <w:rPr>
                <w:color w:val="auto"/>
                <w:kern w:val="0"/>
                <w:position w:val="-12"/>
                <w:sz w:val="18"/>
                <w:szCs w:val="18"/>
              </w:rPr>
              <w:object>
                <v:shape id="_x0000_i1853" o:spt="75" type="#_x0000_t75" style="height:15.75pt;width:11.15pt;" o:ole="t" filled="f" o:preferrelative="t" stroked="f" coordsize="21600,21600">
                  <v:path/>
                  <v:fill on="f" focussize="0,0"/>
                  <v:stroke on="f"/>
                  <v:imagedata r:id="rId1611" o:title=""/>
                  <o:lock v:ext="edit" grouping="f" rotation="f" text="f" aspectratio="t"/>
                  <w10:wrap type="none"/>
                  <w10:anchorlock/>
                </v:shape>
                <o:OLEObject Type="Embed" ProgID="Equation.3" ShapeID="_x0000_i1853" DrawAspect="Content" ObjectID="_1468076553" r:id="rId1610">
                  <o:LockedField>false</o:LockedField>
                </o:OLEObject>
              </w:object>
            </w:r>
          </w:p>
        </w:tc>
        <w:tc>
          <w:tcPr>
            <w:tcW w:w="1210" w:type="dxa"/>
            <w:noWrap w:val="0"/>
            <w:vAlign w:val="center"/>
          </w:tcPr>
          <w:p w14:paraId="2FFF3B86">
            <w:pPr>
              <w:adjustRightInd w:val="0"/>
              <w:snapToGrid w:val="0"/>
              <w:jc w:val="center"/>
              <w:rPr>
                <w:bCs/>
                <w:color w:val="auto"/>
                <w:sz w:val="18"/>
                <w:szCs w:val="18"/>
              </w:rPr>
            </w:pPr>
            <w:r>
              <w:rPr>
                <w:color w:val="auto"/>
                <w:kern w:val="0"/>
                <w:position w:val="-12"/>
                <w:sz w:val="18"/>
                <w:szCs w:val="18"/>
              </w:rPr>
              <w:object>
                <v:shape id="_x0000_i1854" o:spt="75" type="#_x0000_t75" style="height:14.3pt;width:26.25pt;" o:ole="t" filled="f" o:preferrelative="t" stroked="f" coordsize="21600,21600">
                  <v:path/>
                  <v:fill on="f" focussize="0,0"/>
                  <v:stroke on="f"/>
                  <v:imagedata r:id="rId1613" o:title=""/>
                  <o:lock v:ext="edit" grouping="f" rotation="f" text="f" aspectratio="t"/>
                  <w10:wrap type="none"/>
                  <w10:anchorlock/>
                </v:shape>
                <o:OLEObject Type="Embed" ProgID="Equation.3" ShapeID="_x0000_i1854" DrawAspect="Content" ObjectID="_1468076554" r:id="rId1612">
                  <o:LockedField>false</o:LockedField>
                </o:OLEObject>
              </w:object>
            </w:r>
          </w:p>
        </w:tc>
        <w:tc>
          <w:tcPr>
            <w:tcW w:w="1296" w:type="dxa"/>
            <w:noWrap w:val="0"/>
            <w:vAlign w:val="center"/>
          </w:tcPr>
          <w:p w14:paraId="0CD7CD2B">
            <w:pPr>
              <w:adjustRightInd w:val="0"/>
              <w:snapToGrid w:val="0"/>
              <w:jc w:val="center"/>
              <w:rPr>
                <w:bCs/>
                <w:color w:val="auto"/>
                <w:sz w:val="18"/>
                <w:szCs w:val="18"/>
              </w:rPr>
            </w:pPr>
            <w:r>
              <w:rPr>
                <w:color w:val="auto"/>
                <w:kern w:val="0"/>
                <w:position w:val="-12"/>
                <w:sz w:val="18"/>
                <w:szCs w:val="18"/>
              </w:rPr>
              <w:object>
                <v:shape id="_x0000_i1855" o:spt="75" type="#_x0000_t75" style="height:15.85pt;width:28.5pt;" o:ole="t" filled="f" o:preferrelative="t" stroked="f" coordsize="21600,21600">
                  <v:path/>
                  <v:fill on="f" focussize="0,0"/>
                  <v:stroke on="f"/>
                  <v:imagedata r:id="rId1615" o:title=""/>
                  <o:lock v:ext="edit" grouping="f" rotation="f" text="f" aspectratio="t"/>
                  <w10:wrap type="none"/>
                  <w10:anchorlock/>
                </v:shape>
                <o:OLEObject Type="Embed" ProgID="Equation.3" ShapeID="_x0000_i1855" DrawAspect="Content" ObjectID="_1468076555" r:id="rId1614">
                  <o:LockedField>false</o:LockedField>
                </o:OLEObject>
              </w:object>
            </w:r>
          </w:p>
        </w:tc>
        <w:tc>
          <w:tcPr>
            <w:tcW w:w="1618" w:type="dxa"/>
            <w:noWrap w:val="0"/>
            <w:vAlign w:val="center"/>
          </w:tcPr>
          <w:p w14:paraId="3386320D">
            <w:pPr>
              <w:adjustRightInd w:val="0"/>
              <w:snapToGrid w:val="0"/>
              <w:jc w:val="center"/>
              <w:rPr>
                <w:bCs/>
                <w:color w:val="auto"/>
                <w:sz w:val="18"/>
                <w:szCs w:val="18"/>
              </w:rPr>
            </w:pPr>
            <w:r>
              <w:rPr>
                <w:color w:val="auto"/>
                <w:kern w:val="0"/>
                <w:sz w:val="18"/>
                <w:szCs w:val="18"/>
              </w:rPr>
              <w:t>收缩系数</w:t>
            </w:r>
            <w:r>
              <w:rPr>
                <w:color w:val="auto"/>
                <w:kern w:val="0"/>
                <w:position w:val="-12"/>
                <w:sz w:val="18"/>
                <w:szCs w:val="18"/>
              </w:rPr>
              <w:object>
                <v:shape id="_x0000_i1856" o:spt="75" type="#_x0000_t75" style="height:18pt;width:13pt;" o:ole="t" filled="f" o:preferrelative="t" stroked="f" coordsize="21600,21600">
                  <v:path/>
                  <v:fill on="f" focussize="0,0"/>
                  <v:stroke on="f"/>
                  <v:imagedata r:id="rId1617" o:title=""/>
                  <o:lock v:ext="edit" grouping="f" rotation="f" text="f" aspectratio="t"/>
                  <w10:wrap type="none"/>
                  <w10:anchorlock/>
                </v:shape>
                <o:OLEObject Type="Embed" ProgID="Equation.3" ShapeID="_x0000_i1856" DrawAspect="Content" ObjectID="_1468076556" r:id="rId1616">
                  <o:LockedField>false</o:LockedField>
                </o:OLEObject>
              </w:object>
            </w:r>
          </w:p>
        </w:tc>
      </w:tr>
      <w:tr w14:paraId="2610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3" w:type="dxa"/>
            <w:noWrap w:val="0"/>
            <w:vAlign w:val="center"/>
          </w:tcPr>
          <w:p w14:paraId="76A676DB">
            <w:pPr>
              <w:adjustRightInd w:val="0"/>
              <w:snapToGrid w:val="0"/>
              <w:jc w:val="center"/>
              <w:rPr>
                <w:bCs/>
                <w:color w:val="auto"/>
                <w:sz w:val="18"/>
                <w:szCs w:val="18"/>
              </w:rPr>
            </w:pPr>
            <w:r>
              <w:rPr>
                <w:bCs/>
                <w:color w:val="auto"/>
                <w:sz w:val="18"/>
                <w:szCs w:val="18"/>
              </w:rPr>
              <w:t>I－1</w:t>
            </w:r>
          </w:p>
        </w:tc>
        <w:tc>
          <w:tcPr>
            <w:tcW w:w="1515" w:type="dxa"/>
            <w:noWrap w:val="0"/>
            <w:vAlign w:val="center"/>
          </w:tcPr>
          <w:p w14:paraId="17FA9AFE">
            <w:pPr>
              <w:adjustRightInd w:val="0"/>
              <w:snapToGrid w:val="0"/>
              <w:jc w:val="center"/>
              <w:rPr>
                <w:bCs/>
                <w:color w:val="auto"/>
                <w:sz w:val="18"/>
                <w:szCs w:val="18"/>
              </w:rPr>
            </w:pPr>
            <w:r>
              <w:rPr>
                <w:bCs/>
                <w:color w:val="auto"/>
                <w:sz w:val="18"/>
                <w:szCs w:val="18"/>
              </w:rPr>
              <w:t>1.76</w:t>
            </w:r>
          </w:p>
        </w:tc>
        <w:tc>
          <w:tcPr>
            <w:tcW w:w="1288" w:type="dxa"/>
            <w:noWrap w:val="0"/>
            <w:vAlign w:val="center"/>
          </w:tcPr>
          <w:p w14:paraId="5F8217CD">
            <w:pPr>
              <w:adjustRightInd w:val="0"/>
              <w:snapToGrid w:val="0"/>
              <w:jc w:val="center"/>
              <w:rPr>
                <w:bCs/>
                <w:color w:val="auto"/>
                <w:sz w:val="18"/>
                <w:szCs w:val="18"/>
              </w:rPr>
            </w:pPr>
            <w:r>
              <w:rPr>
                <w:bCs/>
                <w:color w:val="auto"/>
                <w:sz w:val="18"/>
                <w:szCs w:val="18"/>
              </w:rPr>
              <w:t>44.7</w:t>
            </w:r>
          </w:p>
        </w:tc>
        <w:tc>
          <w:tcPr>
            <w:tcW w:w="1241" w:type="dxa"/>
            <w:noWrap w:val="0"/>
            <w:vAlign w:val="center"/>
          </w:tcPr>
          <w:p w14:paraId="5C81A5F0">
            <w:pPr>
              <w:adjustRightInd w:val="0"/>
              <w:snapToGrid w:val="0"/>
              <w:jc w:val="center"/>
              <w:rPr>
                <w:bCs/>
                <w:color w:val="auto"/>
                <w:sz w:val="18"/>
                <w:szCs w:val="18"/>
              </w:rPr>
            </w:pPr>
            <w:r>
              <w:rPr>
                <w:bCs/>
                <w:color w:val="auto"/>
                <w:sz w:val="18"/>
                <w:szCs w:val="18"/>
              </w:rPr>
              <w:t>1.22</w:t>
            </w:r>
          </w:p>
        </w:tc>
        <w:tc>
          <w:tcPr>
            <w:tcW w:w="1210" w:type="dxa"/>
            <w:noWrap w:val="0"/>
            <w:vAlign w:val="center"/>
          </w:tcPr>
          <w:p w14:paraId="6839A089">
            <w:pPr>
              <w:adjustRightInd w:val="0"/>
              <w:snapToGrid w:val="0"/>
              <w:jc w:val="center"/>
              <w:rPr>
                <w:bCs/>
                <w:color w:val="auto"/>
                <w:sz w:val="18"/>
                <w:szCs w:val="18"/>
              </w:rPr>
            </w:pPr>
            <w:r>
              <w:rPr>
                <w:bCs/>
                <w:color w:val="auto"/>
                <w:sz w:val="18"/>
                <w:szCs w:val="18"/>
              </w:rPr>
              <w:t>7.3</w:t>
            </w:r>
          </w:p>
        </w:tc>
        <w:tc>
          <w:tcPr>
            <w:tcW w:w="1296" w:type="dxa"/>
            <w:noWrap w:val="0"/>
            <w:vAlign w:val="center"/>
          </w:tcPr>
          <w:p w14:paraId="29CABFA0">
            <w:pPr>
              <w:adjustRightInd w:val="0"/>
              <w:snapToGrid w:val="0"/>
              <w:jc w:val="center"/>
              <w:rPr>
                <w:bCs/>
                <w:color w:val="auto"/>
                <w:sz w:val="18"/>
                <w:szCs w:val="18"/>
              </w:rPr>
            </w:pPr>
            <w:r>
              <w:rPr>
                <w:bCs/>
                <w:color w:val="auto"/>
                <w:sz w:val="18"/>
                <w:szCs w:val="18"/>
              </w:rPr>
              <w:t>25.5</w:t>
            </w:r>
          </w:p>
        </w:tc>
        <w:tc>
          <w:tcPr>
            <w:tcW w:w="1618" w:type="dxa"/>
            <w:noWrap w:val="0"/>
            <w:vAlign w:val="center"/>
          </w:tcPr>
          <w:p w14:paraId="7E7D4453">
            <w:pPr>
              <w:adjustRightInd w:val="0"/>
              <w:snapToGrid w:val="0"/>
              <w:jc w:val="center"/>
              <w:rPr>
                <w:bCs/>
                <w:color w:val="auto"/>
                <w:sz w:val="18"/>
                <w:szCs w:val="18"/>
              </w:rPr>
            </w:pPr>
            <w:r>
              <w:rPr>
                <w:bCs/>
                <w:color w:val="auto"/>
                <w:sz w:val="18"/>
                <w:szCs w:val="18"/>
              </w:rPr>
              <w:t>0.38</w:t>
            </w:r>
          </w:p>
        </w:tc>
      </w:tr>
      <w:tr w14:paraId="7833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3" w:type="dxa"/>
            <w:noWrap w:val="0"/>
            <w:vAlign w:val="center"/>
          </w:tcPr>
          <w:p w14:paraId="026493F2">
            <w:pPr>
              <w:adjustRightInd w:val="0"/>
              <w:snapToGrid w:val="0"/>
              <w:jc w:val="center"/>
              <w:rPr>
                <w:bCs/>
                <w:color w:val="auto"/>
                <w:sz w:val="18"/>
                <w:szCs w:val="18"/>
              </w:rPr>
            </w:pPr>
            <w:r>
              <w:rPr>
                <w:bCs/>
                <w:color w:val="auto"/>
                <w:sz w:val="18"/>
                <w:szCs w:val="18"/>
              </w:rPr>
              <w:t>I－2</w:t>
            </w:r>
          </w:p>
        </w:tc>
        <w:tc>
          <w:tcPr>
            <w:tcW w:w="1515" w:type="dxa"/>
            <w:noWrap w:val="0"/>
            <w:vAlign w:val="center"/>
          </w:tcPr>
          <w:p w14:paraId="2C2C60C5">
            <w:pPr>
              <w:adjustRightInd w:val="0"/>
              <w:snapToGrid w:val="0"/>
              <w:jc w:val="center"/>
              <w:rPr>
                <w:bCs/>
                <w:color w:val="auto"/>
                <w:sz w:val="18"/>
                <w:szCs w:val="18"/>
              </w:rPr>
            </w:pPr>
            <w:r>
              <w:rPr>
                <w:bCs/>
                <w:color w:val="auto"/>
                <w:sz w:val="18"/>
                <w:szCs w:val="18"/>
              </w:rPr>
              <w:t>1.80</w:t>
            </w:r>
          </w:p>
        </w:tc>
        <w:tc>
          <w:tcPr>
            <w:tcW w:w="1288" w:type="dxa"/>
            <w:noWrap w:val="0"/>
            <w:vAlign w:val="center"/>
          </w:tcPr>
          <w:p w14:paraId="06409095">
            <w:pPr>
              <w:adjustRightInd w:val="0"/>
              <w:snapToGrid w:val="0"/>
              <w:jc w:val="center"/>
              <w:rPr>
                <w:bCs/>
                <w:color w:val="auto"/>
                <w:sz w:val="18"/>
                <w:szCs w:val="18"/>
              </w:rPr>
            </w:pPr>
            <w:r>
              <w:rPr>
                <w:bCs/>
                <w:color w:val="auto"/>
                <w:sz w:val="18"/>
                <w:szCs w:val="18"/>
              </w:rPr>
              <w:t>41.9</w:t>
            </w:r>
          </w:p>
        </w:tc>
        <w:tc>
          <w:tcPr>
            <w:tcW w:w="1241" w:type="dxa"/>
            <w:noWrap w:val="0"/>
            <w:vAlign w:val="center"/>
          </w:tcPr>
          <w:p w14:paraId="18167531">
            <w:pPr>
              <w:adjustRightInd w:val="0"/>
              <w:snapToGrid w:val="0"/>
              <w:jc w:val="center"/>
              <w:rPr>
                <w:bCs/>
                <w:color w:val="auto"/>
                <w:sz w:val="18"/>
                <w:szCs w:val="18"/>
              </w:rPr>
            </w:pPr>
            <w:r>
              <w:rPr>
                <w:bCs/>
                <w:color w:val="auto"/>
                <w:sz w:val="18"/>
                <w:szCs w:val="18"/>
              </w:rPr>
              <w:t>1.13</w:t>
            </w:r>
          </w:p>
        </w:tc>
        <w:tc>
          <w:tcPr>
            <w:tcW w:w="1210" w:type="dxa"/>
            <w:noWrap w:val="0"/>
            <w:vAlign w:val="center"/>
          </w:tcPr>
          <w:p w14:paraId="2E0FF3FE">
            <w:pPr>
              <w:adjustRightInd w:val="0"/>
              <w:snapToGrid w:val="0"/>
              <w:jc w:val="center"/>
              <w:rPr>
                <w:bCs/>
                <w:color w:val="auto"/>
                <w:sz w:val="18"/>
                <w:szCs w:val="18"/>
              </w:rPr>
            </w:pPr>
            <w:r>
              <w:rPr>
                <w:bCs/>
                <w:color w:val="auto"/>
                <w:sz w:val="18"/>
                <w:szCs w:val="18"/>
              </w:rPr>
              <w:t>5.7</w:t>
            </w:r>
          </w:p>
        </w:tc>
        <w:tc>
          <w:tcPr>
            <w:tcW w:w="1296" w:type="dxa"/>
            <w:noWrap w:val="0"/>
            <w:vAlign w:val="center"/>
          </w:tcPr>
          <w:p w14:paraId="65CB4ECB">
            <w:pPr>
              <w:adjustRightInd w:val="0"/>
              <w:snapToGrid w:val="0"/>
              <w:jc w:val="center"/>
              <w:rPr>
                <w:bCs/>
                <w:color w:val="auto"/>
                <w:sz w:val="18"/>
                <w:szCs w:val="18"/>
              </w:rPr>
            </w:pPr>
            <w:r>
              <w:rPr>
                <w:bCs/>
                <w:color w:val="auto"/>
                <w:sz w:val="18"/>
                <w:szCs w:val="18"/>
              </w:rPr>
              <w:t>26.0</w:t>
            </w:r>
          </w:p>
        </w:tc>
        <w:tc>
          <w:tcPr>
            <w:tcW w:w="1618" w:type="dxa"/>
            <w:noWrap w:val="0"/>
            <w:vAlign w:val="center"/>
          </w:tcPr>
          <w:p w14:paraId="5BAEDAEF">
            <w:pPr>
              <w:adjustRightInd w:val="0"/>
              <w:snapToGrid w:val="0"/>
              <w:jc w:val="center"/>
              <w:rPr>
                <w:bCs/>
                <w:color w:val="auto"/>
                <w:sz w:val="18"/>
                <w:szCs w:val="18"/>
              </w:rPr>
            </w:pPr>
            <w:r>
              <w:rPr>
                <w:bCs/>
                <w:color w:val="auto"/>
                <w:sz w:val="18"/>
                <w:szCs w:val="18"/>
              </w:rPr>
              <w:t>0.37</w:t>
            </w:r>
          </w:p>
        </w:tc>
      </w:tr>
      <w:tr w14:paraId="4C36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3" w:type="dxa"/>
            <w:noWrap w:val="0"/>
            <w:vAlign w:val="center"/>
          </w:tcPr>
          <w:p w14:paraId="48A00BA1">
            <w:pPr>
              <w:adjustRightInd w:val="0"/>
              <w:snapToGrid w:val="0"/>
              <w:jc w:val="center"/>
              <w:rPr>
                <w:bCs/>
                <w:color w:val="auto"/>
                <w:sz w:val="18"/>
                <w:szCs w:val="18"/>
              </w:rPr>
            </w:pPr>
            <w:r>
              <w:rPr>
                <w:bCs/>
                <w:color w:val="auto"/>
                <w:sz w:val="18"/>
                <w:szCs w:val="18"/>
              </w:rPr>
              <w:t>I－3</w:t>
            </w:r>
          </w:p>
        </w:tc>
        <w:tc>
          <w:tcPr>
            <w:tcW w:w="1515" w:type="dxa"/>
            <w:noWrap w:val="0"/>
            <w:vAlign w:val="center"/>
          </w:tcPr>
          <w:p w14:paraId="09B1BEFD">
            <w:pPr>
              <w:adjustRightInd w:val="0"/>
              <w:snapToGrid w:val="0"/>
              <w:jc w:val="center"/>
              <w:rPr>
                <w:bCs/>
                <w:color w:val="auto"/>
                <w:sz w:val="18"/>
                <w:szCs w:val="18"/>
              </w:rPr>
            </w:pPr>
            <w:r>
              <w:rPr>
                <w:bCs/>
                <w:color w:val="auto"/>
                <w:sz w:val="18"/>
                <w:szCs w:val="18"/>
              </w:rPr>
              <w:t>1.89</w:t>
            </w:r>
          </w:p>
        </w:tc>
        <w:tc>
          <w:tcPr>
            <w:tcW w:w="1288" w:type="dxa"/>
            <w:noWrap w:val="0"/>
            <w:vAlign w:val="center"/>
          </w:tcPr>
          <w:p w14:paraId="66C52491">
            <w:pPr>
              <w:adjustRightInd w:val="0"/>
              <w:snapToGrid w:val="0"/>
              <w:jc w:val="center"/>
              <w:rPr>
                <w:bCs/>
                <w:color w:val="auto"/>
                <w:sz w:val="18"/>
                <w:szCs w:val="18"/>
              </w:rPr>
            </w:pPr>
            <w:r>
              <w:rPr>
                <w:bCs/>
                <w:color w:val="auto"/>
                <w:sz w:val="18"/>
                <w:szCs w:val="18"/>
              </w:rPr>
              <w:t>36.0</w:t>
            </w:r>
          </w:p>
        </w:tc>
        <w:tc>
          <w:tcPr>
            <w:tcW w:w="1241" w:type="dxa"/>
            <w:noWrap w:val="0"/>
            <w:vAlign w:val="center"/>
          </w:tcPr>
          <w:p w14:paraId="413FFDBF">
            <w:pPr>
              <w:adjustRightInd w:val="0"/>
              <w:snapToGrid w:val="0"/>
              <w:jc w:val="center"/>
              <w:rPr>
                <w:bCs/>
                <w:color w:val="auto"/>
                <w:sz w:val="18"/>
                <w:szCs w:val="18"/>
              </w:rPr>
            </w:pPr>
            <w:r>
              <w:rPr>
                <w:bCs/>
                <w:color w:val="auto"/>
                <w:sz w:val="18"/>
                <w:szCs w:val="18"/>
              </w:rPr>
              <w:t>0.94</w:t>
            </w:r>
          </w:p>
        </w:tc>
        <w:tc>
          <w:tcPr>
            <w:tcW w:w="1210" w:type="dxa"/>
            <w:noWrap w:val="0"/>
            <w:vAlign w:val="center"/>
          </w:tcPr>
          <w:p w14:paraId="72426313">
            <w:pPr>
              <w:adjustRightInd w:val="0"/>
              <w:snapToGrid w:val="0"/>
              <w:jc w:val="center"/>
              <w:rPr>
                <w:bCs/>
                <w:color w:val="auto"/>
                <w:sz w:val="18"/>
                <w:szCs w:val="18"/>
              </w:rPr>
            </w:pPr>
            <w:r>
              <w:rPr>
                <w:bCs/>
                <w:color w:val="auto"/>
                <w:sz w:val="18"/>
                <w:szCs w:val="18"/>
              </w:rPr>
              <w:t>3.7</w:t>
            </w:r>
          </w:p>
        </w:tc>
        <w:tc>
          <w:tcPr>
            <w:tcW w:w="1296" w:type="dxa"/>
            <w:noWrap w:val="0"/>
            <w:vAlign w:val="center"/>
          </w:tcPr>
          <w:p w14:paraId="5638CBAA">
            <w:pPr>
              <w:adjustRightInd w:val="0"/>
              <w:snapToGrid w:val="0"/>
              <w:jc w:val="center"/>
              <w:rPr>
                <w:bCs/>
                <w:color w:val="auto"/>
                <w:sz w:val="18"/>
                <w:szCs w:val="18"/>
              </w:rPr>
            </w:pPr>
            <w:r>
              <w:rPr>
                <w:bCs/>
                <w:color w:val="auto"/>
                <w:sz w:val="18"/>
                <w:szCs w:val="18"/>
              </w:rPr>
              <w:t>26.0</w:t>
            </w:r>
          </w:p>
        </w:tc>
        <w:tc>
          <w:tcPr>
            <w:tcW w:w="1618" w:type="dxa"/>
            <w:noWrap w:val="0"/>
            <w:vAlign w:val="center"/>
          </w:tcPr>
          <w:p w14:paraId="6AC78C63">
            <w:pPr>
              <w:adjustRightInd w:val="0"/>
              <w:snapToGrid w:val="0"/>
              <w:jc w:val="center"/>
              <w:rPr>
                <w:bCs/>
                <w:color w:val="auto"/>
                <w:sz w:val="18"/>
                <w:szCs w:val="18"/>
              </w:rPr>
            </w:pPr>
            <w:r>
              <w:rPr>
                <w:bCs/>
                <w:color w:val="auto"/>
                <w:sz w:val="18"/>
                <w:szCs w:val="18"/>
              </w:rPr>
              <w:t>0.37</w:t>
            </w:r>
          </w:p>
        </w:tc>
      </w:tr>
    </w:tbl>
    <w:p w14:paraId="3E2F70CF">
      <w:pPr>
        <w:rPr>
          <w:color w:val="auto"/>
        </w:rPr>
      </w:pPr>
    </w:p>
    <w:p w14:paraId="5A4E0B18">
      <w:pPr>
        <w:adjustRightInd w:val="0"/>
        <w:snapToGrid w:val="0"/>
        <w:spacing w:before="240" w:line="360" w:lineRule="auto"/>
        <w:ind w:firstLine="420" w:firstLineChars="200"/>
        <w:jc w:val="center"/>
        <w:rPr>
          <w:bCs/>
          <w:color w:val="auto"/>
          <w:szCs w:val="21"/>
        </w:rPr>
      </w:pPr>
      <w:r>
        <w:rPr>
          <w:color w:val="auto"/>
        </w:rPr>
        <w:object>
          <v:shape id="_x0000_i1857" o:spt="75" type="#_x0000_t75" style="height:188.95pt;width:255.1pt;" o:ole="t" filled="f" stroked="f" coordsize="21600,21600">
            <v:path/>
            <v:fill on="f" focussize="0,0"/>
            <v:stroke on="f"/>
            <v:imagedata r:id="rId1619" cropleft="18297f" croptop="24053f" cropright="17360f" cropbottom="1862f" o:title=""/>
            <o:lock v:ext="edit" grouping="f" rotation="f" text="f" aspectratio="t"/>
            <w10:wrap type="none"/>
            <w10:anchorlock/>
          </v:shape>
          <o:OLEObject Type="Embed" ProgID="AutoCAD.Drawing.16" ShapeID="_x0000_i1857" DrawAspect="Content" ObjectID="_1468076557" r:id="rId1618">
            <o:LockedField>false</o:LockedField>
          </o:OLEObject>
        </w:object>
      </w:r>
    </w:p>
    <w:p w14:paraId="2DF673E6">
      <w:pPr>
        <w:adjustRightInd w:val="0"/>
        <w:snapToGrid w:val="0"/>
        <w:spacing w:after="187" w:afterLines="60" w:line="240" w:lineRule="exact"/>
        <w:ind w:firstLine="361" w:firstLineChars="200"/>
        <w:jc w:val="center"/>
        <w:rPr>
          <w:b/>
          <w:bCs/>
          <w:color w:val="auto"/>
          <w:sz w:val="18"/>
          <w:szCs w:val="18"/>
        </w:rPr>
      </w:pPr>
      <w:r>
        <w:rPr>
          <w:b/>
          <w:bCs/>
          <w:color w:val="auto"/>
          <w:sz w:val="18"/>
          <w:szCs w:val="18"/>
        </w:rPr>
        <w:t>图8  同质土的线缩率</w:t>
      </w:r>
      <w:r>
        <w:rPr>
          <w:b/>
          <w:bCs/>
          <w:color w:val="auto"/>
          <w:sz w:val="18"/>
          <w:szCs w:val="18"/>
          <w:vertAlign w:val="subscript"/>
        </w:rPr>
        <w:object>
          <v:shape id="_x0000_i1858" o:spt="75" type="#_x0000_t75" style="height:18pt;width:13pt;" o:ole="t" filled="f" o:preferrelative="t" stroked="f" coordsize="21600,21600">
            <v:path/>
            <v:fill on="f" focussize="0,0"/>
            <v:stroke on="f"/>
            <v:imagedata r:id="rId1603" o:title=""/>
            <o:lock v:ext="edit" grouping="f" rotation="f" text="f" aspectratio="t"/>
            <w10:wrap type="none"/>
            <w10:anchorlock/>
          </v:shape>
          <o:OLEObject Type="Embed" ProgID="Equation.3" ShapeID="_x0000_i1858" DrawAspect="Content" ObjectID="_1468076558" r:id="rId1620">
            <o:LockedField>false</o:LockedField>
          </o:OLEObject>
        </w:object>
      </w:r>
      <w:r>
        <w:rPr>
          <w:b/>
          <w:bCs/>
          <w:color w:val="auto"/>
          <w:sz w:val="18"/>
          <w:szCs w:val="18"/>
        </w:rPr>
        <w:t>与含水量</w:t>
      </w:r>
      <w:r>
        <w:rPr>
          <w:b/>
          <w:bCs/>
          <w:color w:val="auto"/>
          <w:sz w:val="18"/>
          <w:szCs w:val="18"/>
        </w:rPr>
        <w:object>
          <v:shape id="_x0000_i1859" o:spt="75" type="#_x0000_t75" style="height:11pt;width:12pt;" o:ole="t" filled="f" o:preferrelative="t" stroked="f" coordsize="21600,21600">
            <v:path/>
            <v:fill on="f" focussize="0,0"/>
            <v:stroke on="f"/>
            <v:imagedata r:id="rId1622" o:title=""/>
            <o:lock v:ext="edit" grouping="f" rotation="f" text="f" aspectratio="t"/>
            <w10:wrap type="none"/>
            <w10:anchorlock/>
          </v:shape>
          <o:OLEObject Type="Embed" ProgID="Equation.3" ShapeID="_x0000_i1859" DrawAspect="Content" ObjectID="_1468076559" r:id="rId1621">
            <o:LockedField>false</o:LockedField>
          </o:OLEObject>
        </w:object>
      </w:r>
      <w:r>
        <w:rPr>
          <w:b/>
          <w:bCs/>
          <w:color w:val="auto"/>
          <w:sz w:val="18"/>
          <w:szCs w:val="18"/>
        </w:rPr>
        <w:t>关系</w:t>
      </w:r>
    </w:p>
    <w:p w14:paraId="4B9D25E9">
      <w:pPr>
        <w:adjustRightInd w:val="0"/>
        <w:snapToGrid w:val="0"/>
        <w:spacing w:line="340" w:lineRule="atLeast"/>
        <w:ind w:firstLine="413" w:firstLineChars="196"/>
        <w:rPr>
          <w:color w:val="auto"/>
          <w:szCs w:val="21"/>
        </w:rPr>
      </w:pPr>
      <w:r>
        <w:rPr>
          <w:b/>
          <w:bCs/>
          <w:color w:val="auto"/>
          <w:szCs w:val="21"/>
        </w:rPr>
        <w:t>b）</w:t>
      </w:r>
      <w:r>
        <w:rPr>
          <w:bCs/>
          <w:color w:val="auto"/>
          <w:szCs w:val="21"/>
        </w:rPr>
        <w:t>收缩变形量主要取决于土体本身的收缩性能以及含水量变化幅度，表1</w:t>
      </w:r>
      <w:r>
        <w:rPr>
          <w:rFonts w:hint="eastAsia"/>
          <w:bCs/>
          <w:color w:val="auto"/>
          <w:szCs w:val="21"/>
        </w:rPr>
        <w:t>1</w:t>
      </w:r>
      <w:r>
        <w:rPr>
          <w:bCs/>
          <w:color w:val="auto"/>
          <w:szCs w:val="21"/>
        </w:rPr>
        <w:t>和图9为</w:t>
      </w:r>
      <w:r>
        <w:rPr>
          <w:color w:val="auto"/>
          <w:szCs w:val="21"/>
        </w:rPr>
        <w:t>不同质土的</w:t>
      </w:r>
      <w:r>
        <w:rPr>
          <w:bCs/>
          <w:color w:val="auto"/>
          <w:szCs w:val="21"/>
        </w:rPr>
        <w:t>线缩率</w:t>
      </w:r>
      <w:r>
        <w:rPr>
          <w:color w:val="auto"/>
          <w:kern w:val="0"/>
          <w:position w:val="-12"/>
          <w:szCs w:val="21"/>
        </w:rPr>
        <w:object>
          <v:shape id="_x0000_i1860" o:spt="75" type="#_x0000_t75" style="height:18pt;width:13pt;" o:ole="t" filled="f" o:preferrelative="t" stroked="f" coordsize="21600,21600">
            <v:path/>
            <v:fill on="f" focussize="0,0"/>
            <v:stroke on="f"/>
            <v:imagedata r:id="rId1603" o:title=""/>
            <o:lock v:ext="edit" grouping="f" rotation="f" text="f" aspectratio="t"/>
            <w10:wrap type="none"/>
            <w10:anchorlock/>
          </v:shape>
          <o:OLEObject Type="Embed" ProgID="Equation.3" ShapeID="_x0000_i1860" DrawAspect="Content" ObjectID="_1468076560" r:id="rId1623">
            <o:LockedField>false</o:LockedField>
          </o:OLEObject>
        </w:object>
      </w:r>
      <w:r>
        <w:rPr>
          <w:bCs/>
          <w:color w:val="auto"/>
          <w:szCs w:val="21"/>
        </w:rPr>
        <w:t>与含水量</w:t>
      </w:r>
      <w:r>
        <w:rPr>
          <w:color w:val="auto"/>
          <w:kern w:val="0"/>
          <w:position w:val="-6"/>
          <w:szCs w:val="21"/>
        </w:rPr>
        <w:object>
          <v:shape id="_x0000_i1861" o:spt="75" type="#_x0000_t75" style="height:11pt;width:12pt;" o:ole="t" filled="f" o:preferrelative="t" stroked="f" coordsize="21600,21600">
            <v:path/>
            <v:fill on="f" focussize="0,0"/>
            <v:stroke on="f"/>
            <v:imagedata r:id="rId1622" o:title=""/>
            <o:lock v:ext="edit" grouping="f" rotation="f" text="f" aspectratio="t"/>
            <w10:wrap type="none"/>
            <w10:anchorlock/>
          </v:shape>
          <o:OLEObject Type="Embed" ProgID="Equation.3" ShapeID="_x0000_i1861" DrawAspect="Content" ObjectID="_1468076561" r:id="rId1624">
            <o:LockedField>false</o:LockedField>
          </o:OLEObject>
        </w:object>
      </w:r>
      <w:r>
        <w:rPr>
          <w:color w:val="auto"/>
          <w:szCs w:val="21"/>
        </w:rPr>
        <w:t>关系。</w:t>
      </w:r>
      <w:r>
        <w:rPr>
          <w:bCs/>
          <w:color w:val="auto"/>
          <w:szCs w:val="21"/>
        </w:rPr>
        <w:t>由图9和图10可知：当土体在收缩过程中其含水量在某一起始值与缩限之间变化时，收缩变形量与含水量间的变化呈直线关系，其斜率因土质不同而异。取直线段的斜率作为收缩变形量的计算参数，即</w:t>
      </w:r>
      <w:r>
        <w:rPr>
          <w:color w:val="auto"/>
        </w:rPr>
        <w:t>土的收缩系数</w:t>
      </w:r>
      <w:r>
        <w:rPr>
          <w:color w:val="auto"/>
          <w:position w:val="-12"/>
          <w:szCs w:val="21"/>
        </w:rPr>
        <w:object>
          <v:shape id="_x0000_i1862" o:spt="75" type="#_x0000_t75" style="height:18pt;width:13pt;" o:ole="t" filled="f" o:preferrelative="t" stroked="f" coordsize="21600,21600">
            <v:path/>
            <v:fill on="f" focussize="0,0"/>
            <v:stroke on="f"/>
            <v:imagedata r:id="rId1626" o:title=""/>
            <o:lock v:ext="edit" grouping="f" rotation="f" text="f" aspectratio="t"/>
            <w10:wrap type="none"/>
            <w10:anchorlock/>
          </v:shape>
          <o:OLEObject Type="Embed" ProgID="Equation.3" ShapeID="_x0000_i1862" DrawAspect="Content" ObjectID="_1468076562" r:id="rId1625">
            <o:LockedField>false</o:LockedField>
          </o:OLEObject>
        </w:object>
      </w:r>
      <w:r>
        <w:rPr>
          <w:color w:val="auto"/>
          <w:szCs w:val="21"/>
        </w:rPr>
        <w:t>。</w:t>
      </w:r>
      <w:r>
        <w:rPr>
          <w:rFonts w:eastAsia="宋体-18030"/>
          <w:color w:val="auto"/>
          <w:position w:val="-24"/>
          <w:szCs w:val="21"/>
        </w:rPr>
        <w:object>
          <v:shape id="_x0000_i1863" o:spt="75" type="#_x0000_t75" style="height:26.05pt;width:39.75pt;" o:ole="t" filled="f" o:preferrelative="t" stroked="f" coordsize="21600,21600">
            <v:path/>
            <v:fill on="f" focussize="0,0"/>
            <v:stroke on="f"/>
            <v:imagedata r:id="rId1628" o:title=""/>
            <o:lock v:ext="edit" grouping="f" rotation="f" text="f" aspectratio="t"/>
            <w10:wrap type="none"/>
            <w10:anchorlock/>
          </v:shape>
          <o:OLEObject Type="Embed" ProgID="Equation.3" ShapeID="_x0000_i1863" DrawAspect="Content" ObjectID="_1468076563" r:id="rId1627">
            <o:LockedField>false</o:LockedField>
          </o:OLEObject>
        </w:object>
      </w:r>
      <w:r>
        <w:rPr>
          <w:rFonts w:eastAsia="宋体-18030"/>
          <w:color w:val="auto"/>
          <w:szCs w:val="21"/>
        </w:rPr>
        <w:t>，其中，</w:t>
      </w:r>
      <w:r>
        <w:rPr>
          <w:color w:val="auto"/>
          <w:position w:val="-6"/>
          <w:szCs w:val="21"/>
        </w:rPr>
        <w:object>
          <v:shape id="_x0000_i1864" o:spt="75" type="#_x0000_t75" style="height:13.95pt;width:19pt;" o:ole="t" filled="f" o:preferrelative="t" stroked="f" coordsize="21600,21600">
            <v:path/>
            <v:fill on="f" focussize="0,0"/>
            <v:stroke on="f"/>
            <v:imagedata r:id="rId1630" o:title=""/>
            <o:lock v:ext="edit" grouping="f" rotation="f" text="f" aspectratio="t"/>
            <w10:wrap type="none"/>
            <w10:anchorlock/>
          </v:shape>
          <o:OLEObject Type="Embed" ProgID="Equation.3" ShapeID="_x0000_i1864" DrawAspect="Content" ObjectID="_1468076564" r:id="rId1629">
            <o:LockedField>false</o:LockedField>
          </o:OLEObject>
        </w:object>
      </w:r>
      <w:r>
        <w:rPr>
          <w:color w:val="auto"/>
          <w:szCs w:val="21"/>
        </w:rPr>
        <w:t>为</w:t>
      </w:r>
      <w:r>
        <w:rPr>
          <w:bCs/>
          <w:color w:val="auto"/>
          <w:szCs w:val="21"/>
        </w:rPr>
        <w:t>图9中</w:t>
      </w:r>
      <w:r>
        <w:rPr>
          <w:color w:val="auto"/>
          <w:szCs w:val="21"/>
        </w:rPr>
        <w:t>直线段两点含水量之差值（%），</w:t>
      </w:r>
      <w:r>
        <w:rPr>
          <w:color w:val="auto"/>
          <w:position w:val="-12"/>
          <w:szCs w:val="21"/>
        </w:rPr>
        <w:object>
          <v:shape id="_x0000_i1865" o:spt="75" type="#_x0000_t75" style="height:18pt;width:21pt;" o:ole="t" filled="f" o:preferrelative="t" stroked="f" coordsize="21600,21600">
            <v:path/>
            <v:fill on="f" focussize="0,0"/>
            <v:stroke on="f"/>
            <v:imagedata r:id="rId1632" o:title=""/>
            <o:lock v:ext="edit" grouping="f" rotation="f" text="f" aspectratio="t"/>
            <w10:wrap type="none"/>
            <w10:anchorlock/>
          </v:shape>
          <o:OLEObject Type="Embed" ProgID="Equation.3" ShapeID="_x0000_i1865" DrawAspect="Content" ObjectID="_1468076565" r:id="rId1631">
            <o:LockedField>false</o:LockedField>
          </o:OLEObject>
        </w:object>
      </w:r>
      <w:r>
        <w:rPr>
          <w:color w:val="auto"/>
          <w:szCs w:val="21"/>
        </w:rPr>
        <w:t>为与</w:t>
      </w:r>
      <w:r>
        <w:rPr>
          <w:color w:val="auto"/>
          <w:position w:val="-6"/>
          <w:szCs w:val="21"/>
        </w:rPr>
        <w:object>
          <v:shape id="_x0000_i1866" o:spt="75" type="#_x0000_t75" style="height:13.95pt;width:19pt;" o:ole="t" filled="f" o:preferrelative="t" stroked="f" coordsize="21600,21600">
            <v:path/>
            <v:fill on="f" focussize="0,0"/>
            <v:stroke on="f"/>
            <v:imagedata r:id="rId1630" o:title=""/>
            <o:lock v:ext="edit" grouping="f" rotation="f" text="f" aspectratio="t"/>
            <w10:wrap type="none"/>
            <w10:anchorlock/>
          </v:shape>
          <o:OLEObject Type="Embed" ProgID="Equation.3" ShapeID="_x0000_i1866" DrawAspect="Content" ObjectID="_1468076566" r:id="rId1633">
            <o:LockedField>false</o:LockedField>
          </o:OLEObject>
        </w:object>
      </w:r>
      <w:r>
        <w:rPr>
          <w:color w:val="auto"/>
          <w:szCs w:val="21"/>
        </w:rPr>
        <w:t>对应的的线缩率的变化值。</w:t>
      </w:r>
    </w:p>
    <w:p w14:paraId="5424F480">
      <w:pPr>
        <w:pStyle w:val="12"/>
        <w:jc w:val="center"/>
        <w:rPr>
          <w:b/>
          <w:bCs/>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11</w:t>
      </w:r>
      <w:r>
        <w:rPr>
          <w:color w:val="auto"/>
        </w:rPr>
        <w:fldChar w:fldCharType="end"/>
      </w:r>
      <w:r>
        <w:rPr>
          <w:b/>
          <w:bCs/>
          <w:color w:val="auto"/>
          <w:szCs w:val="21"/>
        </w:rPr>
        <w:t xml:space="preserve">  不同质土的线缩率</w:t>
      </w:r>
      <w:r>
        <w:rPr>
          <w:b/>
          <w:bCs/>
          <w:color w:val="auto"/>
          <w:szCs w:val="21"/>
        </w:rPr>
        <w:object>
          <v:shape id="_x0000_i1867" o:spt="75" type="#_x0000_t75" style="height:18pt;width:13pt;" o:ole="t" filled="f" o:preferrelative="t" stroked="f" coordsize="21600,21600">
            <v:path/>
            <v:fill on="f" focussize="0,0"/>
            <v:stroke on="f"/>
            <v:imagedata r:id="rId1603" o:title=""/>
            <o:lock v:ext="edit" grouping="f" rotation="f" text="f" aspectratio="t"/>
            <w10:wrap type="none"/>
            <w10:anchorlock/>
          </v:shape>
          <o:OLEObject Type="Embed" ProgID="Equation.3" ShapeID="_x0000_i1867" DrawAspect="Content" ObjectID="_1468076567" r:id="rId1634">
            <o:LockedField>false</o:LockedField>
          </o:OLEObject>
        </w:object>
      </w:r>
      <w:r>
        <w:rPr>
          <w:b/>
          <w:bCs/>
          <w:color w:val="auto"/>
          <w:szCs w:val="21"/>
        </w:rPr>
        <w:t>与含水量</w:t>
      </w:r>
      <w:r>
        <w:rPr>
          <w:b/>
          <w:bCs/>
          <w:color w:val="auto"/>
          <w:szCs w:val="21"/>
        </w:rPr>
        <w:object>
          <v:shape id="_x0000_i1868" o:spt="75" type="#_x0000_t75" style="height:11pt;width:12pt;" o:ole="t" filled="f" o:preferrelative="t" stroked="f" coordsize="21600,21600">
            <v:path/>
            <v:fill on="f" focussize="0,0"/>
            <v:stroke on="f"/>
            <v:imagedata r:id="rId1605" o:title=""/>
            <o:lock v:ext="edit" grouping="f" rotation="f" text="f" aspectratio="t"/>
            <w10:wrap type="none"/>
            <w10:anchorlock/>
          </v:shape>
          <o:OLEObject Type="Embed" ProgID="Equation.3" ShapeID="_x0000_i1868" DrawAspect="Content" ObjectID="_1468076568" r:id="rId1635">
            <o:LockedField>false</o:LockedField>
          </o:OLEObject>
        </w:object>
      </w:r>
      <w:r>
        <w:rPr>
          <w:b/>
          <w:bCs/>
          <w:color w:val="auto"/>
          <w:szCs w:val="21"/>
        </w:rPr>
        <w:t>关系</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973"/>
        <w:gridCol w:w="1898"/>
        <w:gridCol w:w="1831"/>
        <w:gridCol w:w="1992"/>
      </w:tblGrid>
      <w:tr w14:paraId="038E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6" w:type="dxa"/>
            <w:noWrap w:val="0"/>
            <w:vAlign w:val="center"/>
          </w:tcPr>
          <w:p w14:paraId="5365B8B8">
            <w:pPr>
              <w:adjustRightInd w:val="0"/>
              <w:snapToGrid w:val="0"/>
              <w:jc w:val="center"/>
              <w:rPr>
                <w:bCs/>
                <w:color w:val="auto"/>
                <w:sz w:val="18"/>
                <w:szCs w:val="18"/>
              </w:rPr>
            </w:pPr>
            <w:r>
              <w:rPr>
                <w:bCs/>
                <w:color w:val="auto"/>
                <w:sz w:val="18"/>
                <w:szCs w:val="18"/>
              </w:rPr>
              <w:t>土号</w:t>
            </w:r>
          </w:p>
        </w:tc>
        <w:tc>
          <w:tcPr>
            <w:tcW w:w="1973" w:type="dxa"/>
            <w:noWrap w:val="0"/>
            <w:vAlign w:val="center"/>
          </w:tcPr>
          <w:p w14:paraId="1B46E6B1">
            <w:pPr>
              <w:adjustRightInd w:val="0"/>
              <w:snapToGrid w:val="0"/>
              <w:jc w:val="center"/>
              <w:rPr>
                <w:bCs/>
                <w:color w:val="auto"/>
                <w:sz w:val="18"/>
                <w:szCs w:val="18"/>
              </w:rPr>
            </w:pPr>
            <w:r>
              <w:rPr>
                <w:color w:val="auto"/>
                <w:kern w:val="0"/>
                <w:position w:val="-10"/>
                <w:sz w:val="18"/>
                <w:szCs w:val="18"/>
              </w:rPr>
              <w:object>
                <v:shape id="_x0000_i1869" o:spt="75" type="#_x0000_t75" style="height:14.9pt;width:39.75pt;" o:ole="t" filled="f" o:preferrelative="t" stroked="f" coordsize="21600,21600">
                  <v:path/>
                  <v:fill on="f" focussize="0,0"/>
                  <v:stroke on="f"/>
                  <v:imagedata r:id="rId1607" o:title=""/>
                  <o:lock v:ext="edit" grouping="f" rotation="f" text="f" aspectratio="t"/>
                  <w10:wrap type="none"/>
                  <w10:anchorlock/>
                </v:shape>
                <o:OLEObject Type="Embed" ProgID="Equation.3" ShapeID="_x0000_i1869" DrawAspect="Content" ObjectID="_1468076569" r:id="rId1636">
                  <o:LockedField>false</o:LockedField>
                </o:OLEObject>
              </w:object>
            </w:r>
          </w:p>
        </w:tc>
        <w:tc>
          <w:tcPr>
            <w:tcW w:w="1898" w:type="dxa"/>
            <w:noWrap w:val="0"/>
            <w:vAlign w:val="center"/>
          </w:tcPr>
          <w:p w14:paraId="6E98CFCE">
            <w:pPr>
              <w:adjustRightInd w:val="0"/>
              <w:snapToGrid w:val="0"/>
              <w:jc w:val="center"/>
              <w:rPr>
                <w:bCs/>
                <w:color w:val="auto"/>
                <w:sz w:val="18"/>
                <w:szCs w:val="18"/>
              </w:rPr>
            </w:pPr>
            <w:r>
              <w:rPr>
                <w:color w:val="auto"/>
                <w:kern w:val="0"/>
                <w:position w:val="-12"/>
                <w:sz w:val="18"/>
                <w:szCs w:val="18"/>
              </w:rPr>
              <w:object>
                <v:shape id="_x0000_i1870" o:spt="75" type="#_x0000_t75" style="height:15.3pt;width:30pt;" o:ole="t" filled="f" o:preferrelative="t" stroked="f" coordsize="21600,21600">
                  <v:path/>
                  <v:fill on="f" focussize="0,0"/>
                  <v:stroke on="f"/>
                  <v:imagedata r:id="rId1609" o:title=""/>
                  <o:lock v:ext="edit" grouping="f" rotation="f" text="f" aspectratio="t"/>
                  <w10:wrap type="none"/>
                  <w10:anchorlock/>
                </v:shape>
                <o:OLEObject Type="Embed" ProgID="Equation.3" ShapeID="_x0000_i1870" DrawAspect="Content" ObjectID="_1468076570" r:id="rId1637">
                  <o:LockedField>false</o:LockedField>
                </o:OLEObject>
              </w:object>
            </w:r>
          </w:p>
        </w:tc>
        <w:tc>
          <w:tcPr>
            <w:tcW w:w="1831" w:type="dxa"/>
            <w:noWrap w:val="0"/>
            <w:vAlign w:val="center"/>
          </w:tcPr>
          <w:p w14:paraId="727932A7">
            <w:pPr>
              <w:adjustRightInd w:val="0"/>
              <w:snapToGrid w:val="0"/>
              <w:jc w:val="center"/>
              <w:rPr>
                <w:bCs/>
                <w:color w:val="auto"/>
                <w:sz w:val="18"/>
                <w:szCs w:val="18"/>
              </w:rPr>
            </w:pPr>
            <w:r>
              <w:rPr>
                <w:color w:val="auto"/>
                <w:kern w:val="0"/>
                <w:position w:val="-12"/>
                <w:sz w:val="18"/>
                <w:szCs w:val="18"/>
              </w:rPr>
              <w:object>
                <v:shape id="_x0000_i1871" o:spt="75" type="#_x0000_t75" style="height:15.75pt;width:11.15pt;" o:ole="t" filled="f" o:preferrelative="t" stroked="f" coordsize="21600,21600">
                  <v:path/>
                  <v:fill on="f" focussize="0,0"/>
                  <v:stroke on="f"/>
                  <v:imagedata r:id="rId1611" o:title=""/>
                  <o:lock v:ext="edit" grouping="f" rotation="f" text="f" aspectratio="t"/>
                  <w10:wrap type="none"/>
                  <w10:anchorlock/>
                </v:shape>
                <o:OLEObject Type="Embed" ProgID="Equation.3" ShapeID="_x0000_i1871" DrawAspect="Content" ObjectID="_1468076571" r:id="rId1638">
                  <o:LockedField>false</o:LockedField>
                </o:OLEObject>
              </w:object>
            </w:r>
          </w:p>
        </w:tc>
        <w:tc>
          <w:tcPr>
            <w:tcW w:w="1992" w:type="dxa"/>
            <w:noWrap w:val="0"/>
            <w:vAlign w:val="center"/>
          </w:tcPr>
          <w:p w14:paraId="43A5D8B7">
            <w:pPr>
              <w:adjustRightInd w:val="0"/>
              <w:snapToGrid w:val="0"/>
              <w:jc w:val="center"/>
              <w:rPr>
                <w:bCs/>
                <w:color w:val="auto"/>
                <w:sz w:val="18"/>
                <w:szCs w:val="18"/>
              </w:rPr>
            </w:pPr>
            <w:r>
              <w:rPr>
                <w:color w:val="auto"/>
                <w:kern w:val="0"/>
                <w:sz w:val="18"/>
                <w:szCs w:val="18"/>
              </w:rPr>
              <w:t>收缩系数</w:t>
            </w:r>
            <w:r>
              <w:rPr>
                <w:color w:val="auto"/>
                <w:kern w:val="0"/>
                <w:position w:val="-12"/>
                <w:sz w:val="18"/>
                <w:szCs w:val="18"/>
              </w:rPr>
              <w:object>
                <v:shape id="_x0000_i1872" o:spt="75" type="#_x0000_t75" style="height:18pt;width:13pt;" o:ole="t" filled="f" o:preferrelative="t" stroked="f" coordsize="21600,21600">
                  <v:path/>
                  <v:fill on="f" focussize="0,0"/>
                  <v:stroke on="f"/>
                  <v:imagedata r:id="rId1617" o:title=""/>
                  <o:lock v:ext="edit" grouping="f" rotation="f" text="f" aspectratio="t"/>
                  <w10:wrap type="none"/>
                  <w10:anchorlock/>
                </v:shape>
                <o:OLEObject Type="Embed" ProgID="Equation.3" ShapeID="_x0000_i1872" DrawAspect="Content" ObjectID="_1468076572" r:id="rId1639">
                  <o:LockedField>false</o:LockedField>
                </o:OLEObject>
              </w:object>
            </w:r>
          </w:p>
        </w:tc>
      </w:tr>
      <w:tr w14:paraId="667D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06" w:type="dxa"/>
            <w:noWrap w:val="0"/>
            <w:vAlign w:val="center"/>
          </w:tcPr>
          <w:p w14:paraId="740CF8D0">
            <w:pPr>
              <w:adjustRightInd w:val="0"/>
              <w:snapToGrid w:val="0"/>
              <w:jc w:val="center"/>
              <w:rPr>
                <w:bCs/>
                <w:color w:val="auto"/>
                <w:sz w:val="18"/>
                <w:szCs w:val="18"/>
              </w:rPr>
            </w:pPr>
            <w:r>
              <w:rPr>
                <w:bCs/>
                <w:color w:val="auto"/>
                <w:sz w:val="18"/>
                <w:szCs w:val="18"/>
              </w:rPr>
              <w:t>2A-1</w:t>
            </w:r>
          </w:p>
        </w:tc>
        <w:tc>
          <w:tcPr>
            <w:tcW w:w="1973" w:type="dxa"/>
            <w:noWrap w:val="0"/>
            <w:vAlign w:val="center"/>
          </w:tcPr>
          <w:p w14:paraId="3DCFE3A5">
            <w:pPr>
              <w:adjustRightInd w:val="0"/>
              <w:snapToGrid w:val="0"/>
              <w:jc w:val="center"/>
              <w:rPr>
                <w:bCs/>
                <w:color w:val="auto"/>
                <w:sz w:val="18"/>
                <w:szCs w:val="18"/>
              </w:rPr>
            </w:pPr>
            <w:r>
              <w:rPr>
                <w:bCs/>
                <w:color w:val="auto"/>
                <w:sz w:val="18"/>
                <w:szCs w:val="18"/>
              </w:rPr>
              <w:t>2.02</w:t>
            </w:r>
          </w:p>
        </w:tc>
        <w:tc>
          <w:tcPr>
            <w:tcW w:w="1898" w:type="dxa"/>
            <w:noWrap w:val="0"/>
            <w:vAlign w:val="center"/>
          </w:tcPr>
          <w:p w14:paraId="3EC50048">
            <w:pPr>
              <w:adjustRightInd w:val="0"/>
              <w:snapToGrid w:val="0"/>
              <w:jc w:val="center"/>
              <w:rPr>
                <w:bCs/>
                <w:color w:val="auto"/>
                <w:sz w:val="18"/>
                <w:szCs w:val="18"/>
              </w:rPr>
            </w:pPr>
            <w:r>
              <w:rPr>
                <w:bCs/>
                <w:color w:val="auto"/>
                <w:sz w:val="18"/>
                <w:szCs w:val="18"/>
              </w:rPr>
              <w:t>22.0</w:t>
            </w:r>
          </w:p>
        </w:tc>
        <w:tc>
          <w:tcPr>
            <w:tcW w:w="1831" w:type="dxa"/>
            <w:noWrap w:val="0"/>
            <w:vAlign w:val="center"/>
          </w:tcPr>
          <w:p w14:paraId="289C7456">
            <w:pPr>
              <w:adjustRightInd w:val="0"/>
              <w:snapToGrid w:val="0"/>
              <w:jc w:val="center"/>
              <w:rPr>
                <w:bCs/>
                <w:color w:val="auto"/>
                <w:sz w:val="18"/>
                <w:szCs w:val="18"/>
              </w:rPr>
            </w:pPr>
            <w:r>
              <w:rPr>
                <w:bCs/>
                <w:color w:val="auto"/>
                <w:sz w:val="18"/>
                <w:szCs w:val="18"/>
              </w:rPr>
              <w:t>0.63</w:t>
            </w:r>
          </w:p>
        </w:tc>
        <w:tc>
          <w:tcPr>
            <w:tcW w:w="1992" w:type="dxa"/>
            <w:noWrap w:val="0"/>
            <w:vAlign w:val="center"/>
          </w:tcPr>
          <w:p w14:paraId="05A27D1B">
            <w:pPr>
              <w:adjustRightInd w:val="0"/>
              <w:snapToGrid w:val="0"/>
              <w:jc w:val="center"/>
              <w:rPr>
                <w:bCs/>
                <w:color w:val="auto"/>
                <w:sz w:val="18"/>
                <w:szCs w:val="18"/>
              </w:rPr>
            </w:pPr>
            <w:r>
              <w:rPr>
                <w:bCs/>
                <w:color w:val="auto"/>
                <w:sz w:val="18"/>
                <w:szCs w:val="18"/>
              </w:rPr>
              <w:t>0.55</w:t>
            </w:r>
          </w:p>
        </w:tc>
      </w:tr>
      <w:tr w14:paraId="316B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06" w:type="dxa"/>
            <w:noWrap w:val="0"/>
            <w:vAlign w:val="center"/>
          </w:tcPr>
          <w:p w14:paraId="6F89453F">
            <w:pPr>
              <w:adjustRightInd w:val="0"/>
              <w:snapToGrid w:val="0"/>
              <w:jc w:val="center"/>
              <w:rPr>
                <w:bCs/>
                <w:color w:val="auto"/>
                <w:sz w:val="18"/>
                <w:szCs w:val="18"/>
              </w:rPr>
            </w:pPr>
            <w:r>
              <w:rPr>
                <w:bCs/>
                <w:color w:val="auto"/>
                <w:sz w:val="18"/>
                <w:szCs w:val="18"/>
              </w:rPr>
              <w:t>9-1</w:t>
            </w:r>
          </w:p>
        </w:tc>
        <w:tc>
          <w:tcPr>
            <w:tcW w:w="1973" w:type="dxa"/>
            <w:noWrap w:val="0"/>
            <w:vAlign w:val="center"/>
          </w:tcPr>
          <w:p w14:paraId="22765978">
            <w:pPr>
              <w:adjustRightInd w:val="0"/>
              <w:snapToGrid w:val="0"/>
              <w:jc w:val="center"/>
              <w:rPr>
                <w:bCs/>
                <w:color w:val="auto"/>
                <w:sz w:val="18"/>
                <w:szCs w:val="18"/>
              </w:rPr>
            </w:pPr>
            <w:r>
              <w:rPr>
                <w:bCs/>
                <w:color w:val="auto"/>
                <w:sz w:val="18"/>
                <w:szCs w:val="18"/>
              </w:rPr>
              <w:t>2.04</w:t>
            </w:r>
          </w:p>
        </w:tc>
        <w:tc>
          <w:tcPr>
            <w:tcW w:w="1898" w:type="dxa"/>
            <w:noWrap w:val="0"/>
            <w:vAlign w:val="center"/>
          </w:tcPr>
          <w:p w14:paraId="6C070BD5">
            <w:pPr>
              <w:adjustRightInd w:val="0"/>
              <w:snapToGrid w:val="0"/>
              <w:jc w:val="center"/>
              <w:rPr>
                <w:bCs/>
                <w:color w:val="auto"/>
                <w:sz w:val="18"/>
                <w:szCs w:val="18"/>
              </w:rPr>
            </w:pPr>
            <w:r>
              <w:rPr>
                <w:bCs/>
                <w:color w:val="auto"/>
                <w:sz w:val="18"/>
                <w:szCs w:val="18"/>
              </w:rPr>
              <w:t>20.6</w:t>
            </w:r>
          </w:p>
        </w:tc>
        <w:tc>
          <w:tcPr>
            <w:tcW w:w="1831" w:type="dxa"/>
            <w:noWrap w:val="0"/>
            <w:vAlign w:val="center"/>
          </w:tcPr>
          <w:p w14:paraId="0BBCCFF4">
            <w:pPr>
              <w:adjustRightInd w:val="0"/>
              <w:snapToGrid w:val="0"/>
              <w:jc w:val="center"/>
              <w:rPr>
                <w:bCs/>
                <w:color w:val="auto"/>
                <w:sz w:val="18"/>
                <w:szCs w:val="18"/>
              </w:rPr>
            </w:pPr>
            <w:r>
              <w:rPr>
                <w:bCs/>
                <w:color w:val="auto"/>
                <w:sz w:val="18"/>
                <w:szCs w:val="18"/>
              </w:rPr>
              <w:t>0.59</w:t>
            </w:r>
          </w:p>
        </w:tc>
        <w:tc>
          <w:tcPr>
            <w:tcW w:w="1992" w:type="dxa"/>
            <w:noWrap w:val="0"/>
            <w:vAlign w:val="center"/>
          </w:tcPr>
          <w:p w14:paraId="37D48C88">
            <w:pPr>
              <w:adjustRightInd w:val="0"/>
              <w:snapToGrid w:val="0"/>
              <w:jc w:val="center"/>
              <w:rPr>
                <w:bCs/>
                <w:color w:val="auto"/>
                <w:sz w:val="18"/>
                <w:szCs w:val="18"/>
              </w:rPr>
            </w:pPr>
            <w:r>
              <w:rPr>
                <w:bCs/>
                <w:color w:val="auto"/>
                <w:sz w:val="18"/>
                <w:szCs w:val="18"/>
              </w:rPr>
              <w:t>0.28</w:t>
            </w:r>
          </w:p>
        </w:tc>
      </w:tr>
    </w:tbl>
    <w:p w14:paraId="29A0FB81">
      <w:pPr>
        <w:adjustRightInd w:val="0"/>
        <w:snapToGrid w:val="0"/>
        <w:spacing w:line="360" w:lineRule="auto"/>
        <w:ind w:firstLine="420" w:firstLineChars="200"/>
        <w:rPr>
          <w:color w:val="auto"/>
          <w:szCs w:val="21"/>
        </w:rPr>
      </w:pPr>
    </w:p>
    <w:p w14:paraId="6BB71798">
      <w:pPr>
        <w:adjustRightInd w:val="0"/>
        <w:snapToGrid w:val="0"/>
        <w:spacing w:line="360" w:lineRule="auto"/>
        <w:jc w:val="center"/>
        <w:rPr>
          <w:color w:val="auto"/>
          <w:szCs w:val="21"/>
        </w:rPr>
      </w:pPr>
      <w:r>
        <w:rPr>
          <w:color w:val="auto"/>
        </w:rPr>
        <w:object>
          <v:shape id="_x0000_i1873" o:spt="75" type="#_x0000_t75" style="height:137.9pt;width:217.3pt;" o:ole="t" filled="f" stroked="f" coordsize="21600,21600">
            <v:path/>
            <v:fill on="f" focussize="0,0"/>
            <v:stroke on="f"/>
            <v:imagedata r:id="rId1641" cropleft="12937f" croptop="20666f" cropright="14208f" cropbottom="2048f" o:title=""/>
            <o:lock v:ext="edit" grouping="f" rotation="f" text="f" aspectratio="t"/>
            <w10:wrap type="none"/>
            <w10:anchorlock/>
          </v:shape>
          <o:OLEObject Type="Embed" ProgID="AutoCAD.Drawing.16" ShapeID="_x0000_i1873" DrawAspect="Content" ObjectID="_1468076573" r:id="rId1640">
            <o:LockedField>false</o:LockedField>
          </o:OLEObject>
        </w:object>
      </w:r>
    </w:p>
    <w:p w14:paraId="69E6EDCF">
      <w:pPr>
        <w:adjustRightInd w:val="0"/>
        <w:snapToGrid w:val="0"/>
        <w:spacing w:line="240" w:lineRule="exact"/>
        <w:ind w:firstLine="361" w:firstLineChars="200"/>
        <w:jc w:val="center"/>
        <w:rPr>
          <w:b/>
          <w:bCs/>
          <w:color w:val="auto"/>
          <w:sz w:val="18"/>
          <w:szCs w:val="18"/>
        </w:rPr>
      </w:pPr>
      <w:r>
        <w:rPr>
          <w:b/>
          <w:color w:val="auto"/>
          <w:sz w:val="18"/>
          <w:szCs w:val="18"/>
        </w:rPr>
        <w:t>图9  不同质土的</w:t>
      </w:r>
      <w:r>
        <w:rPr>
          <w:b/>
          <w:bCs/>
          <w:color w:val="auto"/>
          <w:sz w:val="18"/>
          <w:szCs w:val="18"/>
        </w:rPr>
        <w:t>线缩率</w:t>
      </w:r>
      <w:r>
        <w:rPr>
          <w:b/>
          <w:color w:val="auto"/>
          <w:kern w:val="0"/>
          <w:position w:val="-12"/>
          <w:sz w:val="18"/>
          <w:szCs w:val="18"/>
        </w:rPr>
        <w:object>
          <v:shape id="_x0000_i1874" o:spt="75" type="#_x0000_t75" style="height:18pt;width:13pt;" o:ole="t" filled="f" o:preferrelative="t" stroked="f" coordsize="21600,21600">
            <v:path/>
            <v:fill on="f" focussize="0,0"/>
            <v:stroke on="f"/>
            <v:imagedata r:id="rId1603" o:title=""/>
            <o:lock v:ext="edit" grouping="f" rotation="f" text="f" aspectratio="t"/>
            <w10:wrap type="none"/>
            <w10:anchorlock/>
          </v:shape>
          <o:OLEObject Type="Embed" ProgID="Equation.3" ShapeID="_x0000_i1874" DrawAspect="Content" ObjectID="_1468076574" r:id="rId1642">
            <o:LockedField>false</o:LockedField>
          </o:OLEObject>
        </w:object>
      </w:r>
      <w:r>
        <w:rPr>
          <w:b/>
          <w:bCs/>
          <w:color w:val="auto"/>
          <w:sz w:val="18"/>
          <w:szCs w:val="18"/>
        </w:rPr>
        <w:t>与含水量</w:t>
      </w:r>
      <w:r>
        <w:rPr>
          <w:b/>
          <w:color w:val="auto"/>
          <w:kern w:val="0"/>
          <w:position w:val="-6"/>
          <w:sz w:val="18"/>
          <w:szCs w:val="18"/>
        </w:rPr>
        <w:object>
          <v:shape id="_x0000_i1875" o:spt="75" type="#_x0000_t75" style="height:11pt;width:12pt;" o:ole="t" filled="f" o:preferrelative="t" stroked="f" coordsize="21600,21600">
            <v:path/>
            <v:fill on="f" focussize="0,0"/>
            <v:stroke on="f"/>
            <v:imagedata r:id="rId1622" o:title=""/>
            <o:lock v:ext="edit" grouping="f" rotation="f" text="f" aspectratio="t"/>
            <w10:wrap type="none"/>
            <w10:anchorlock/>
          </v:shape>
          <o:OLEObject Type="Embed" ProgID="Equation.3" ShapeID="_x0000_i1875" DrawAspect="Content" ObjectID="_1468076575" r:id="rId1643">
            <o:LockedField>false</o:LockedField>
          </o:OLEObject>
        </w:object>
      </w:r>
      <w:r>
        <w:rPr>
          <w:b/>
          <w:color w:val="auto"/>
          <w:sz w:val="18"/>
          <w:szCs w:val="18"/>
        </w:rPr>
        <w:t>关系</w:t>
      </w:r>
    </w:p>
    <w:p w14:paraId="7BD534FC">
      <w:pPr>
        <w:adjustRightInd w:val="0"/>
        <w:snapToGrid w:val="0"/>
        <w:spacing w:line="360" w:lineRule="atLeast"/>
        <w:ind w:left="216" w:leftChars="103" w:firstLine="422" w:firstLineChars="200"/>
        <w:rPr>
          <w:bCs/>
          <w:color w:val="auto"/>
          <w:szCs w:val="21"/>
        </w:rPr>
      </w:pPr>
      <w:r>
        <w:rPr>
          <w:b/>
          <w:bCs/>
          <w:color w:val="auto"/>
          <w:szCs w:val="21"/>
        </w:rPr>
        <w:t>c）</w:t>
      </w:r>
      <w:r>
        <w:rPr>
          <w:bCs/>
          <w:color w:val="auto"/>
          <w:szCs w:val="21"/>
        </w:rPr>
        <w:t>土失水收缩与外部荷载作用下的固结压密变形是同向的变形，都是孔隙比减少、密度增大的结果。但两者有根本性的区别：失水收缩主要是土的黏粒周围薄膜水或晶格水大量散失的结果；固结压密变形是在荷重的作用下土颗粒移动重新排列的结果（特别是非饱和土，在一般压力下并无固结排水现象）。由收缩产生的内应力要比固结压密产生的内应力大得多。虽然实际工程中膨胀土的失水收缩和荷载作用下的压缩沉降变形难于分开，但在试验室内可有意识地将两种性质不同的变形区别开来。</w:t>
      </w:r>
    </w:p>
    <w:p w14:paraId="328EB8EB">
      <w:pPr>
        <w:adjustRightInd w:val="0"/>
        <w:snapToGrid w:val="0"/>
        <w:spacing w:line="360" w:lineRule="atLeast"/>
        <w:ind w:left="225" w:leftChars="107" w:firstLine="422" w:firstLineChars="200"/>
        <w:rPr>
          <w:bCs/>
          <w:color w:val="auto"/>
          <w:szCs w:val="21"/>
        </w:rPr>
      </w:pPr>
      <w:r>
        <w:rPr>
          <w:b/>
          <w:bCs/>
          <w:color w:val="auto"/>
          <w:szCs w:val="21"/>
        </w:rPr>
        <w:t>d）</w:t>
      </w:r>
      <w:r>
        <w:rPr>
          <w:bCs/>
          <w:color w:val="auto"/>
          <w:szCs w:val="21"/>
        </w:rPr>
        <w:t>膨胀土多呈坚硬和半坚硬状态，其压缩模量大。在一般低层房屋所能产生的压力范围内，土的密度改变较小。所以，土在收缩前所处的压力大小对收缩量的影响较小；至于收缩过程中，土样一旦收缩便处于超压密状态，压力改变土密度的影响更可以忽略不计。图10为云南鸡街地区，膨胀土在自然风干条件下，不同荷载的压板试验沉降稳定后，在干旱季节所测得的收缩变形量，可说明上述问题。</w:t>
      </w:r>
    </w:p>
    <w:p w14:paraId="176F1DD6">
      <w:pPr>
        <w:adjustRightInd w:val="0"/>
        <w:snapToGrid w:val="0"/>
        <w:spacing w:before="240"/>
        <w:jc w:val="center"/>
        <w:rPr>
          <w:bCs/>
          <w:color w:val="auto"/>
          <w:szCs w:val="21"/>
        </w:rPr>
      </w:pPr>
      <w:r>
        <w:rPr>
          <w:color w:val="auto"/>
        </w:rPr>
        <w:object>
          <v:shape id="_x0000_i1876" o:spt="75" type="#_x0000_t75" style="height:172.45pt;width:276.45pt;" o:ole="t" filled="f" stroked="f" coordsize="21600,21600">
            <v:path/>
            <v:fill on="f" focussize="0,0"/>
            <v:stroke on="f"/>
            <v:imagedata r:id="rId1645" cropleft="16037f" croptop="6819f" cropright="16114f" cropbottom="21892f" o:title=""/>
            <o:lock v:ext="edit" grouping="f" rotation="f" text="f" aspectratio="t"/>
            <w10:wrap type="none"/>
            <w10:anchorlock/>
          </v:shape>
          <o:OLEObject Type="Embed" ProgID="AutoCAD.Drawing.16" ShapeID="_x0000_i1876" DrawAspect="Content" ObjectID="_1468076576" r:id="rId1644">
            <o:LockedField>false</o:LockedField>
          </o:OLEObject>
        </w:object>
      </w:r>
    </w:p>
    <w:p w14:paraId="3D63B245">
      <w:pPr>
        <w:adjustRightInd w:val="0"/>
        <w:snapToGrid w:val="0"/>
        <w:spacing w:line="300" w:lineRule="exact"/>
        <w:jc w:val="center"/>
        <w:rPr>
          <w:bCs/>
          <w:color w:val="auto"/>
          <w:sz w:val="18"/>
          <w:szCs w:val="18"/>
        </w:rPr>
      </w:pPr>
      <w:r>
        <w:rPr>
          <w:bCs/>
          <w:color w:val="auto"/>
          <w:sz w:val="18"/>
          <w:szCs w:val="18"/>
        </w:rPr>
        <w:t>1－基础埋深0.7m，测试日期：1975年4～5月；</w:t>
      </w:r>
    </w:p>
    <w:p w14:paraId="3DCCCB13">
      <w:pPr>
        <w:adjustRightInd w:val="0"/>
        <w:snapToGrid w:val="0"/>
        <w:spacing w:line="300" w:lineRule="exact"/>
        <w:jc w:val="center"/>
        <w:rPr>
          <w:bCs/>
          <w:color w:val="auto"/>
          <w:sz w:val="18"/>
          <w:szCs w:val="18"/>
        </w:rPr>
      </w:pPr>
      <w:r>
        <w:rPr>
          <w:bCs/>
          <w:color w:val="auto"/>
          <w:sz w:val="18"/>
          <w:szCs w:val="18"/>
        </w:rPr>
        <w:t>2－基础埋深0.7m，测试日期：1977年3～5月；</w:t>
      </w:r>
    </w:p>
    <w:p w14:paraId="1756689D">
      <w:pPr>
        <w:adjustRightInd w:val="0"/>
        <w:snapToGrid w:val="0"/>
        <w:spacing w:line="300" w:lineRule="exact"/>
        <w:jc w:val="center"/>
        <w:rPr>
          <w:bCs/>
          <w:color w:val="auto"/>
          <w:sz w:val="18"/>
          <w:szCs w:val="18"/>
        </w:rPr>
      </w:pPr>
      <w:r>
        <w:rPr>
          <w:bCs/>
          <w:color w:val="auto"/>
          <w:sz w:val="18"/>
          <w:szCs w:val="18"/>
        </w:rPr>
        <w:t>3－基础埋深2.0m，测试日期：1977年10～12月</w:t>
      </w:r>
    </w:p>
    <w:p w14:paraId="72445A99">
      <w:pPr>
        <w:adjustRightInd w:val="0"/>
        <w:snapToGrid w:val="0"/>
        <w:spacing w:before="156" w:beforeLines="50"/>
        <w:jc w:val="center"/>
        <w:rPr>
          <w:b/>
          <w:bCs/>
          <w:color w:val="auto"/>
          <w:sz w:val="18"/>
          <w:szCs w:val="18"/>
        </w:rPr>
      </w:pPr>
      <w:r>
        <w:rPr>
          <w:b/>
          <w:bCs/>
          <w:color w:val="auto"/>
          <w:sz w:val="18"/>
          <w:szCs w:val="18"/>
        </w:rPr>
        <w:t>图10  云南鸡街地区原位收缩试验S</w:t>
      </w:r>
      <w:r>
        <w:rPr>
          <w:b/>
          <w:bCs/>
          <w:color w:val="auto"/>
          <w:sz w:val="18"/>
          <w:szCs w:val="18"/>
          <w:vertAlign w:val="subscript"/>
        </w:rPr>
        <w:t>s</w:t>
      </w:r>
      <w:r>
        <w:rPr>
          <w:b/>
          <w:bCs/>
          <w:color w:val="auto"/>
          <w:sz w:val="18"/>
          <w:szCs w:val="18"/>
        </w:rPr>
        <w:t>－p关系</w:t>
      </w:r>
    </w:p>
    <w:p w14:paraId="444F5AAB">
      <w:pPr>
        <w:adjustRightInd w:val="0"/>
        <w:snapToGrid w:val="0"/>
        <w:spacing w:before="240" w:line="340" w:lineRule="atLeast"/>
        <w:ind w:firstLine="420"/>
        <w:rPr>
          <w:bCs/>
          <w:color w:val="auto"/>
          <w:szCs w:val="21"/>
        </w:rPr>
      </w:pPr>
      <w:r>
        <w:rPr>
          <w:b/>
          <w:bCs/>
          <w:color w:val="auto"/>
          <w:szCs w:val="21"/>
        </w:rPr>
        <w:t>e）</w:t>
      </w:r>
      <w:r>
        <w:rPr>
          <w:bCs/>
          <w:color w:val="auto"/>
          <w:szCs w:val="21"/>
        </w:rPr>
        <w:t>关于收缩变形计算的经验系数</w:t>
      </w:r>
    </w:p>
    <w:p w14:paraId="1097672D">
      <w:pPr>
        <w:adjustRightInd w:val="0"/>
        <w:snapToGrid w:val="0"/>
        <w:spacing w:line="340" w:lineRule="atLeast"/>
        <w:ind w:firstLine="420"/>
        <w:rPr>
          <w:color w:val="auto"/>
          <w:kern w:val="0"/>
          <w:szCs w:val="21"/>
        </w:rPr>
      </w:pPr>
      <w:r>
        <w:rPr>
          <w:bCs/>
          <w:color w:val="auto"/>
          <w:szCs w:val="21"/>
        </w:rPr>
        <w:t>与膨胀变形量计算的道理一样，小土样的室内试验提供的计算指标与原位地基土在收缩变形过程中的工作条件存在一定的差别。为使计算的收缩变形量与实测的变形量较为接近，在全国几个膨胀土地区结合实际工程，进行了室内外的试验观测工作，并按收缩变形计算公式进行计算与统计分析，以确定收缩变形量计算值与实测值之间的关系。对四个地区15栋民用房屋室内外试验资料进行计算并与实测值比对，其结果为</w:t>
      </w:r>
      <w:r>
        <w:rPr>
          <w:color w:val="auto"/>
        </w:rPr>
        <w:t>收缩变形量计算经验系数</w:t>
      </w:r>
      <w:r>
        <w:rPr>
          <w:color w:val="auto"/>
          <w:kern w:val="0"/>
          <w:position w:val="-12"/>
          <w:szCs w:val="21"/>
        </w:rPr>
        <w:object>
          <v:shape id="_x0000_i1877" o:spt="75" type="#_x0000_t75" style="height:18pt;width:15pt;" o:ole="t" filled="f" o:preferrelative="t" stroked="f" coordsize="21600,21600">
            <v:path/>
            <v:fill on="f" focussize="0,0"/>
            <v:stroke on="f"/>
            <v:imagedata r:id="rId1647" o:title=""/>
            <o:lock v:ext="edit" grouping="f" rotation="f" text="f" aspectratio="t"/>
            <w10:wrap type="none"/>
            <w10:anchorlock/>
          </v:shape>
          <o:OLEObject Type="Embed" ProgID="Equation.3" ShapeID="_x0000_i1877" DrawAspect="Content" ObjectID="_1468076577" r:id="rId1646">
            <o:LockedField>false</o:LockedField>
          </o:OLEObject>
        </w:object>
      </w:r>
      <w:r>
        <w:rPr>
          <w:color w:val="auto"/>
          <w:kern w:val="0"/>
          <w:szCs w:val="21"/>
        </w:rPr>
        <w:t>＝0.58±0.23，取</w:t>
      </w:r>
      <w:r>
        <w:rPr>
          <w:color w:val="auto"/>
          <w:kern w:val="0"/>
          <w:position w:val="-12"/>
          <w:szCs w:val="21"/>
        </w:rPr>
        <w:object>
          <v:shape id="_x0000_i1878" o:spt="75" type="#_x0000_t75" style="height:18pt;width:15pt;" o:ole="t" filled="f" o:preferrelative="t" stroked="f" coordsize="21600,21600">
            <v:path/>
            <v:fill on="f" focussize="0,0"/>
            <v:stroke on="f"/>
            <v:imagedata r:id="rId1647" o:title=""/>
            <o:lock v:ext="edit" grouping="f" rotation="f" text="f" aspectratio="t"/>
            <w10:wrap type="none"/>
            <w10:anchorlock/>
          </v:shape>
          <o:OLEObject Type="Embed" ProgID="Equation.3" ShapeID="_x0000_i1878" DrawAspect="Content" ObjectID="_1468076578" r:id="rId1648">
            <o:LockedField>false</o:LockedField>
          </o:OLEObject>
        </w:object>
      </w:r>
      <w:r>
        <w:rPr>
          <w:color w:val="auto"/>
          <w:kern w:val="0"/>
          <w:szCs w:val="21"/>
        </w:rPr>
        <w:t>＝0.8。对实际工程而言，80％是偏于安全的，</w:t>
      </w:r>
      <w:r>
        <w:rPr>
          <w:color w:val="auto"/>
          <w:kern w:val="0"/>
          <w:position w:val="-12"/>
          <w:szCs w:val="21"/>
        </w:rPr>
        <w:object>
          <v:shape id="_x0000_i1879" o:spt="75" type="#_x0000_t75" style="height:18pt;width:15pt;" o:ole="t" filled="f" o:preferrelative="t" stroked="f" coordsize="21600,21600">
            <v:path/>
            <v:fill on="f" focussize="0,0"/>
            <v:stroke on="f"/>
            <v:imagedata r:id="rId1647" o:title=""/>
            <o:lock v:ext="edit" grouping="f" rotation="f" text="f" aspectratio="t"/>
            <w10:wrap type="none"/>
            <w10:anchorlock/>
          </v:shape>
          <o:OLEObject Type="Embed" ProgID="Equation.3" ShapeID="_x0000_i1879" DrawAspect="Content" ObjectID="_1468076579" r:id="rId1649">
            <o:LockedField>false</o:LockedField>
          </o:OLEObject>
        </w:object>
      </w:r>
      <w:r>
        <w:rPr>
          <w:color w:val="auto"/>
          <w:kern w:val="0"/>
          <w:szCs w:val="21"/>
        </w:rPr>
        <w:t>的统计分布见表1</w:t>
      </w:r>
      <w:r>
        <w:rPr>
          <w:rFonts w:hint="eastAsia"/>
          <w:color w:val="auto"/>
          <w:kern w:val="0"/>
          <w:szCs w:val="21"/>
        </w:rPr>
        <w:t>2</w:t>
      </w:r>
      <w:r>
        <w:rPr>
          <w:color w:val="auto"/>
          <w:kern w:val="0"/>
          <w:szCs w:val="21"/>
        </w:rPr>
        <w:t>和图11。</w:t>
      </w:r>
    </w:p>
    <w:p w14:paraId="0B68E137">
      <w:pPr>
        <w:pStyle w:val="12"/>
        <w:jc w:val="center"/>
        <w:rPr>
          <w:b/>
          <w:color w:val="auto"/>
          <w:kern w:val="0"/>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12</w:t>
      </w:r>
      <w:r>
        <w:rPr>
          <w:color w:val="auto"/>
        </w:rPr>
        <w:fldChar w:fldCharType="end"/>
      </w:r>
      <w:r>
        <w:rPr>
          <w:b/>
          <w:color w:val="auto"/>
        </w:rPr>
        <w:t xml:space="preserve">  收缩量计算的经验系数</w:t>
      </w:r>
      <w:r>
        <w:rPr>
          <w:b/>
          <w:color w:val="auto"/>
          <w:kern w:val="0"/>
          <w:position w:val="-12"/>
          <w:szCs w:val="21"/>
        </w:rPr>
        <w:object>
          <v:shape id="_x0000_i1880" o:spt="75" type="#_x0000_t75" style="height:18pt;width:15pt;" o:ole="t" filled="f" o:preferrelative="t" stroked="f" coordsize="21600,21600">
            <v:path/>
            <v:fill on="f" focussize="0,0"/>
            <v:stroke on="f"/>
            <v:imagedata r:id="rId1651" o:title=""/>
            <o:lock v:ext="edit" grouping="f" rotation="f" text="f" aspectratio="t"/>
            <w10:wrap type="none"/>
            <w10:anchorlock/>
          </v:shape>
          <o:OLEObject Type="Embed" ProgID="Equation.3" ShapeID="_x0000_i1880" DrawAspect="Content" ObjectID="_1468076580" r:id="rId1650">
            <o:LockedField>false</o:LockedField>
          </o:OLEObject>
        </w:object>
      </w:r>
      <w:r>
        <w:rPr>
          <w:b/>
          <w:color w:val="auto"/>
          <w:kern w:val="0"/>
          <w:szCs w:val="21"/>
        </w:rPr>
        <w:t>统计分布</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3"/>
        <w:gridCol w:w="702"/>
        <w:gridCol w:w="702"/>
        <w:gridCol w:w="702"/>
        <w:gridCol w:w="702"/>
        <w:gridCol w:w="702"/>
        <w:gridCol w:w="702"/>
        <w:gridCol w:w="702"/>
        <w:gridCol w:w="702"/>
        <w:gridCol w:w="702"/>
        <w:gridCol w:w="702"/>
        <w:gridCol w:w="702"/>
        <w:gridCol w:w="540"/>
      </w:tblGrid>
      <w:tr w14:paraId="36641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853" w:type="dxa"/>
            <w:noWrap w:val="0"/>
            <w:vAlign w:val="center"/>
          </w:tcPr>
          <w:p w14:paraId="51EB64FE">
            <w:pPr>
              <w:adjustRightInd w:val="0"/>
              <w:snapToGrid w:val="0"/>
              <w:jc w:val="center"/>
              <w:rPr>
                <w:color w:val="auto"/>
                <w:kern w:val="0"/>
                <w:sz w:val="18"/>
                <w:szCs w:val="18"/>
              </w:rPr>
            </w:pPr>
            <w:r>
              <w:rPr>
                <w:color w:val="auto"/>
                <w:kern w:val="0"/>
                <w:position w:val="-12"/>
                <w:szCs w:val="21"/>
              </w:rPr>
              <w:object>
                <v:shape id="_x0000_i1881" o:spt="75" type="#_x0000_t75" style="height:18pt;width:15pt;" o:ole="t" filled="f" o:preferrelative="t" stroked="f" coordsize="21600,21600">
                  <v:path/>
                  <v:fill on="f" focussize="0,0"/>
                  <v:stroke on="f"/>
                  <v:imagedata r:id="rId1647" o:title=""/>
                  <o:lock v:ext="edit" grouping="f" rotation="f" text="f" aspectratio="t"/>
                  <w10:wrap type="none"/>
                  <w10:anchorlock/>
                </v:shape>
                <o:OLEObject Type="Embed" ProgID="Equation.3" ShapeID="_x0000_i1881" DrawAspect="Content" ObjectID="_1468076581" r:id="rId1652">
                  <o:LockedField>false</o:LockedField>
                </o:OLEObject>
              </w:object>
            </w:r>
          </w:p>
        </w:tc>
        <w:tc>
          <w:tcPr>
            <w:tcW w:w="702" w:type="dxa"/>
            <w:noWrap w:val="0"/>
            <w:vAlign w:val="center"/>
          </w:tcPr>
          <w:p w14:paraId="2DC7B212">
            <w:pPr>
              <w:adjustRightInd w:val="0"/>
              <w:snapToGrid w:val="0"/>
              <w:jc w:val="center"/>
              <w:rPr>
                <w:color w:val="auto"/>
                <w:kern w:val="0"/>
                <w:sz w:val="18"/>
                <w:szCs w:val="18"/>
              </w:rPr>
            </w:pPr>
            <w:r>
              <w:rPr>
                <w:color w:val="auto"/>
                <w:kern w:val="0"/>
                <w:sz w:val="18"/>
                <w:szCs w:val="18"/>
              </w:rPr>
              <w:t>0.2～0.3</w:t>
            </w:r>
          </w:p>
        </w:tc>
        <w:tc>
          <w:tcPr>
            <w:tcW w:w="702" w:type="dxa"/>
            <w:noWrap w:val="0"/>
            <w:vAlign w:val="center"/>
          </w:tcPr>
          <w:p w14:paraId="0197C7D4">
            <w:pPr>
              <w:adjustRightInd w:val="0"/>
              <w:snapToGrid w:val="0"/>
              <w:jc w:val="center"/>
              <w:rPr>
                <w:color w:val="auto"/>
                <w:kern w:val="0"/>
                <w:sz w:val="18"/>
                <w:szCs w:val="18"/>
              </w:rPr>
            </w:pPr>
            <w:r>
              <w:rPr>
                <w:color w:val="auto"/>
                <w:kern w:val="0"/>
                <w:sz w:val="18"/>
                <w:szCs w:val="18"/>
              </w:rPr>
              <w:t>0.3～0.4</w:t>
            </w:r>
          </w:p>
        </w:tc>
        <w:tc>
          <w:tcPr>
            <w:tcW w:w="702" w:type="dxa"/>
            <w:noWrap w:val="0"/>
            <w:vAlign w:val="center"/>
          </w:tcPr>
          <w:p w14:paraId="67A7353E">
            <w:pPr>
              <w:adjustRightInd w:val="0"/>
              <w:snapToGrid w:val="0"/>
              <w:jc w:val="center"/>
              <w:rPr>
                <w:color w:val="auto"/>
                <w:kern w:val="0"/>
                <w:sz w:val="18"/>
                <w:szCs w:val="18"/>
              </w:rPr>
            </w:pPr>
            <w:r>
              <w:rPr>
                <w:color w:val="auto"/>
                <w:kern w:val="0"/>
                <w:sz w:val="18"/>
                <w:szCs w:val="18"/>
              </w:rPr>
              <w:t>0.4～0.5</w:t>
            </w:r>
          </w:p>
        </w:tc>
        <w:tc>
          <w:tcPr>
            <w:tcW w:w="702" w:type="dxa"/>
            <w:noWrap w:val="0"/>
            <w:vAlign w:val="center"/>
          </w:tcPr>
          <w:p w14:paraId="3350C25E">
            <w:pPr>
              <w:adjustRightInd w:val="0"/>
              <w:snapToGrid w:val="0"/>
              <w:jc w:val="center"/>
              <w:rPr>
                <w:color w:val="auto"/>
                <w:kern w:val="0"/>
                <w:sz w:val="18"/>
                <w:szCs w:val="18"/>
              </w:rPr>
            </w:pPr>
            <w:r>
              <w:rPr>
                <w:color w:val="auto"/>
                <w:kern w:val="0"/>
                <w:sz w:val="18"/>
                <w:szCs w:val="18"/>
              </w:rPr>
              <w:t>0.5～0.6</w:t>
            </w:r>
          </w:p>
        </w:tc>
        <w:tc>
          <w:tcPr>
            <w:tcW w:w="702" w:type="dxa"/>
            <w:noWrap w:val="0"/>
            <w:vAlign w:val="center"/>
          </w:tcPr>
          <w:p w14:paraId="137CB0B8">
            <w:pPr>
              <w:adjustRightInd w:val="0"/>
              <w:snapToGrid w:val="0"/>
              <w:jc w:val="center"/>
              <w:rPr>
                <w:color w:val="auto"/>
                <w:kern w:val="0"/>
                <w:sz w:val="18"/>
                <w:szCs w:val="18"/>
              </w:rPr>
            </w:pPr>
            <w:r>
              <w:rPr>
                <w:color w:val="auto"/>
                <w:kern w:val="0"/>
                <w:sz w:val="18"/>
                <w:szCs w:val="18"/>
              </w:rPr>
              <w:t>0.6～0.7</w:t>
            </w:r>
          </w:p>
        </w:tc>
        <w:tc>
          <w:tcPr>
            <w:tcW w:w="702" w:type="dxa"/>
            <w:noWrap w:val="0"/>
            <w:vAlign w:val="center"/>
          </w:tcPr>
          <w:p w14:paraId="77237911">
            <w:pPr>
              <w:adjustRightInd w:val="0"/>
              <w:snapToGrid w:val="0"/>
              <w:jc w:val="center"/>
              <w:rPr>
                <w:color w:val="auto"/>
                <w:kern w:val="0"/>
                <w:sz w:val="18"/>
                <w:szCs w:val="18"/>
              </w:rPr>
            </w:pPr>
            <w:r>
              <w:rPr>
                <w:color w:val="auto"/>
                <w:kern w:val="0"/>
                <w:sz w:val="18"/>
                <w:szCs w:val="18"/>
              </w:rPr>
              <w:t>0.7～0.8</w:t>
            </w:r>
          </w:p>
        </w:tc>
        <w:tc>
          <w:tcPr>
            <w:tcW w:w="702" w:type="dxa"/>
            <w:noWrap w:val="0"/>
            <w:vAlign w:val="center"/>
          </w:tcPr>
          <w:p w14:paraId="4366ACF0">
            <w:pPr>
              <w:adjustRightInd w:val="0"/>
              <w:snapToGrid w:val="0"/>
              <w:jc w:val="center"/>
              <w:rPr>
                <w:color w:val="auto"/>
                <w:kern w:val="0"/>
                <w:sz w:val="18"/>
                <w:szCs w:val="18"/>
              </w:rPr>
            </w:pPr>
            <w:r>
              <w:rPr>
                <w:color w:val="auto"/>
                <w:kern w:val="0"/>
                <w:sz w:val="18"/>
                <w:szCs w:val="18"/>
              </w:rPr>
              <w:t>0.8～0.9</w:t>
            </w:r>
          </w:p>
        </w:tc>
        <w:tc>
          <w:tcPr>
            <w:tcW w:w="702" w:type="dxa"/>
            <w:noWrap w:val="0"/>
            <w:vAlign w:val="top"/>
          </w:tcPr>
          <w:p w14:paraId="3E57FC30">
            <w:pPr>
              <w:adjustRightInd w:val="0"/>
              <w:snapToGrid w:val="0"/>
              <w:jc w:val="center"/>
              <w:rPr>
                <w:color w:val="auto"/>
                <w:kern w:val="0"/>
                <w:sz w:val="18"/>
                <w:szCs w:val="18"/>
              </w:rPr>
            </w:pPr>
            <w:r>
              <w:rPr>
                <w:color w:val="auto"/>
                <w:kern w:val="0"/>
                <w:sz w:val="18"/>
                <w:szCs w:val="18"/>
              </w:rPr>
              <w:t>0.9～1.0</w:t>
            </w:r>
          </w:p>
        </w:tc>
        <w:tc>
          <w:tcPr>
            <w:tcW w:w="702" w:type="dxa"/>
            <w:noWrap w:val="0"/>
            <w:vAlign w:val="top"/>
          </w:tcPr>
          <w:p w14:paraId="42355547">
            <w:pPr>
              <w:adjustRightInd w:val="0"/>
              <w:snapToGrid w:val="0"/>
              <w:jc w:val="center"/>
              <w:rPr>
                <w:color w:val="auto"/>
                <w:kern w:val="0"/>
                <w:sz w:val="18"/>
                <w:szCs w:val="18"/>
              </w:rPr>
            </w:pPr>
            <w:r>
              <w:rPr>
                <w:color w:val="auto"/>
                <w:kern w:val="0"/>
                <w:sz w:val="18"/>
                <w:szCs w:val="18"/>
              </w:rPr>
              <w:t>1.0～1.1</w:t>
            </w:r>
          </w:p>
        </w:tc>
        <w:tc>
          <w:tcPr>
            <w:tcW w:w="702" w:type="dxa"/>
            <w:noWrap w:val="0"/>
            <w:vAlign w:val="top"/>
          </w:tcPr>
          <w:p w14:paraId="26784780">
            <w:pPr>
              <w:adjustRightInd w:val="0"/>
              <w:snapToGrid w:val="0"/>
              <w:jc w:val="center"/>
              <w:rPr>
                <w:color w:val="auto"/>
                <w:kern w:val="0"/>
                <w:sz w:val="18"/>
                <w:szCs w:val="18"/>
              </w:rPr>
            </w:pPr>
            <w:r>
              <w:rPr>
                <w:color w:val="auto"/>
                <w:kern w:val="0"/>
                <w:sz w:val="18"/>
                <w:szCs w:val="18"/>
              </w:rPr>
              <w:t>1.1～1.2</w:t>
            </w:r>
          </w:p>
        </w:tc>
        <w:tc>
          <w:tcPr>
            <w:tcW w:w="702" w:type="dxa"/>
            <w:noWrap w:val="0"/>
            <w:vAlign w:val="top"/>
          </w:tcPr>
          <w:p w14:paraId="23355F7B">
            <w:pPr>
              <w:adjustRightInd w:val="0"/>
              <w:snapToGrid w:val="0"/>
              <w:jc w:val="center"/>
              <w:rPr>
                <w:color w:val="auto"/>
                <w:kern w:val="0"/>
                <w:sz w:val="18"/>
                <w:szCs w:val="18"/>
              </w:rPr>
            </w:pPr>
            <w:r>
              <w:rPr>
                <w:color w:val="auto"/>
                <w:kern w:val="0"/>
                <w:sz w:val="18"/>
                <w:szCs w:val="18"/>
              </w:rPr>
              <w:t>1.2～1.3</w:t>
            </w:r>
          </w:p>
        </w:tc>
        <w:tc>
          <w:tcPr>
            <w:tcW w:w="540" w:type="dxa"/>
            <w:noWrap w:val="0"/>
            <w:vAlign w:val="center"/>
          </w:tcPr>
          <w:p w14:paraId="2CDD2D71">
            <w:pPr>
              <w:adjustRightInd w:val="0"/>
              <w:snapToGrid w:val="0"/>
              <w:jc w:val="center"/>
              <w:rPr>
                <w:color w:val="auto"/>
                <w:kern w:val="0"/>
                <w:sz w:val="18"/>
                <w:szCs w:val="18"/>
              </w:rPr>
            </w:pPr>
            <w:r>
              <w:rPr>
                <w:color w:val="auto"/>
                <w:kern w:val="0"/>
                <w:sz w:val="18"/>
                <w:szCs w:val="18"/>
              </w:rPr>
              <w:t>总数</w:t>
            </w:r>
          </w:p>
        </w:tc>
      </w:tr>
      <w:tr w14:paraId="6CB91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853" w:type="dxa"/>
            <w:noWrap w:val="0"/>
            <w:vAlign w:val="center"/>
          </w:tcPr>
          <w:p w14:paraId="1BBADD66">
            <w:pPr>
              <w:adjustRightInd w:val="0"/>
              <w:snapToGrid w:val="0"/>
              <w:jc w:val="center"/>
              <w:rPr>
                <w:color w:val="auto"/>
                <w:kern w:val="0"/>
                <w:sz w:val="18"/>
                <w:szCs w:val="18"/>
              </w:rPr>
            </w:pPr>
            <w:r>
              <w:rPr>
                <w:color w:val="auto"/>
                <w:kern w:val="0"/>
                <w:sz w:val="18"/>
                <w:szCs w:val="18"/>
              </w:rPr>
              <w:t>频数</w:t>
            </w:r>
          </w:p>
        </w:tc>
        <w:tc>
          <w:tcPr>
            <w:tcW w:w="702" w:type="dxa"/>
            <w:noWrap w:val="0"/>
            <w:vAlign w:val="center"/>
          </w:tcPr>
          <w:p w14:paraId="5C952D5D">
            <w:pPr>
              <w:adjustRightInd w:val="0"/>
              <w:snapToGrid w:val="0"/>
              <w:jc w:val="center"/>
              <w:rPr>
                <w:color w:val="auto"/>
                <w:kern w:val="0"/>
                <w:sz w:val="18"/>
                <w:szCs w:val="18"/>
              </w:rPr>
            </w:pPr>
            <w:r>
              <w:rPr>
                <w:color w:val="auto"/>
                <w:kern w:val="0"/>
                <w:sz w:val="18"/>
                <w:szCs w:val="18"/>
              </w:rPr>
              <w:t>8</w:t>
            </w:r>
          </w:p>
        </w:tc>
        <w:tc>
          <w:tcPr>
            <w:tcW w:w="702" w:type="dxa"/>
            <w:noWrap w:val="0"/>
            <w:vAlign w:val="center"/>
          </w:tcPr>
          <w:p w14:paraId="015F513F">
            <w:pPr>
              <w:adjustRightInd w:val="0"/>
              <w:snapToGrid w:val="0"/>
              <w:jc w:val="center"/>
              <w:rPr>
                <w:color w:val="auto"/>
                <w:kern w:val="0"/>
                <w:sz w:val="18"/>
                <w:szCs w:val="18"/>
              </w:rPr>
            </w:pPr>
            <w:r>
              <w:rPr>
                <w:color w:val="auto"/>
                <w:kern w:val="0"/>
                <w:sz w:val="18"/>
                <w:szCs w:val="18"/>
              </w:rPr>
              <w:t>15</w:t>
            </w:r>
          </w:p>
        </w:tc>
        <w:tc>
          <w:tcPr>
            <w:tcW w:w="702" w:type="dxa"/>
            <w:noWrap w:val="0"/>
            <w:vAlign w:val="center"/>
          </w:tcPr>
          <w:p w14:paraId="612922AF">
            <w:pPr>
              <w:adjustRightInd w:val="0"/>
              <w:snapToGrid w:val="0"/>
              <w:jc w:val="center"/>
              <w:rPr>
                <w:color w:val="auto"/>
                <w:kern w:val="0"/>
                <w:sz w:val="18"/>
                <w:szCs w:val="18"/>
              </w:rPr>
            </w:pPr>
            <w:r>
              <w:rPr>
                <w:color w:val="auto"/>
                <w:kern w:val="0"/>
                <w:sz w:val="18"/>
                <w:szCs w:val="18"/>
              </w:rPr>
              <w:t>22</w:t>
            </w:r>
          </w:p>
        </w:tc>
        <w:tc>
          <w:tcPr>
            <w:tcW w:w="702" w:type="dxa"/>
            <w:noWrap w:val="0"/>
            <w:vAlign w:val="center"/>
          </w:tcPr>
          <w:p w14:paraId="245FFF3F">
            <w:pPr>
              <w:adjustRightInd w:val="0"/>
              <w:snapToGrid w:val="0"/>
              <w:jc w:val="center"/>
              <w:rPr>
                <w:color w:val="auto"/>
                <w:kern w:val="0"/>
                <w:sz w:val="18"/>
                <w:szCs w:val="18"/>
              </w:rPr>
            </w:pPr>
            <w:r>
              <w:rPr>
                <w:color w:val="auto"/>
                <w:kern w:val="0"/>
                <w:sz w:val="18"/>
                <w:szCs w:val="18"/>
              </w:rPr>
              <w:t>12</w:t>
            </w:r>
          </w:p>
        </w:tc>
        <w:tc>
          <w:tcPr>
            <w:tcW w:w="702" w:type="dxa"/>
            <w:noWrap w:val="0"/>
            <w:vAlign w:val="center"/>
          </w:tcPr>
          <w:p w14:paraId="6CBB69D5">
            <w:pPr>
              <w:adjustRightInd w:val="0"/>
              <w:snapToGrid w:val="0"/>
              <w:jc w:val="center"/>
              <w:rPr>
                <w:color w:val="auto"/>
                <w:kern w:val="0"/>
                <w:sz w:val="18"/>
                <w:szCs w:val="18"/>
              </w:rPr>
            </w:pPr>
            <w:r>
              <w:rPr>
                <w:color w:val="auto"/>
                <w:kern w:val="0"/>
                <w:sz w:val="18"/>
                <w:szCs w:val="18"/>
              </w:rPr>
              <w:t>13</w:t>
            </w:r>
          </w:p>
        </w:tc>
        <w:tc>
          <w:tcPr>
            <w:tcW w:w="702" w:type="dxa"/>
            <w:noWrap w:val="0"/>
            <w:vAlign w:val="center"/>
          </w:tcPr>
          <w:p w14:paraId="012AED70">
            <w:pPr>
              <w:adjustRightInd w:val="0"/>
              <w:snapToGrid w:val="0"/>
              <w:jc w:val="center"/>
              <w:rPr>
                <w:color w:val="auto"/>
                <w:kern w:val="0"/>
                <w:sz w:val="18"/>
                <w:szCs w:val="18"/>
              </w:rPr>
            </w:pPr>
            <w:r>
              <w:rPr>
                <w:color w:val="auto"/>
                <w:kern w:val="0"/>
                <w:sz w:val="18"/>
                <w:szCs w:val="18"/>
              </w:rPr>
              <w:t>13</w:t>
            </w:r>
          </w:p>
        </w:tc>
        <w:tc>
          <w:tcPr>
            <w:tcW w:w="702" w:type="dxa"/>
            <w:noWrap w:val="0"/>
            <w:vAlign w:val="center"/>
          </w:tcPr>
          <w:p w14:paraId="3620E6A1">
            <w:pPr>
              <w:adjustRightInd w:val="0"/>
              <w:snapToGrid w:val="0"/>
              <w:jc w:val="center"/>
              <w:rPr>
                <w:color w:val="auto"/>
                <w:kern w:val="0"/>
                <w:sz w:val="18"/>
                <w:szCs w:val="18"/>
              </w:rPr>
            </w:pPr>
            <w:r>
              <w:rPr>
                <w:color w:val="auto"/>
                <w:kern w:val="0"/>
                <w:sz w:val="18"/>
                <w:szCs w:val="18"/>
              </w:rPr>
              <w:t>7</w:t>
            </w:r>
          </w:p>
        </w:tc>
        <w:tc>
          <w:tcPr>
            <w:tcW w:w="702" w:type="dxa"/>
            <w:noWrap w:val="0"/>
            <w:vAlign w:val="center"/>
          </w:tcPr>
          <w:p w14:paraId="5E1ADB21">
            <w:pPr>
              <w:adjustRightInd w:val="0"/>
              <w:snapToGrid w:val="0"/>
              <w:jc w:val="center"/>
              <w:rPr>
                <w:color w:val="auto"/>
                <w:kern w:val="0"/>
                <w:sz w:val="18"/>
                <w:szCs w:val="18"/>
              </w:rPr>
            </w:pPr>
            <w:r>
              <w:rPr>
                <w:color w:val="auto"/>
                <w:kern w:val="0"/>
                <w:sz w:val="18"/>
                <w:szCs w:val="18"/>
              </w:rPr>
              <w:t>5</w:t>
            </w:r>
          </w:p>
        </w:tc>
        <w:tc>
          <w:tcPr>
            <w:tcW w:w="702" w:type="dxa"/>
            <w:noWrap w:val="0"/>
            <w:vAlign w:val="center"/>
          </w:tcPr>
          <w:p w14:paraId="207D043F">
            <w:pPr>
              <w:adjustRightInd w:val="0"/>
              <w:snapToGrid w:val="0"/>
              <w:jc w:val="center"/>
              <w:rPr>
                <w:color w:val="auto"/>
                <w:kern w:val="0"/>
                <w:sz w:val="18"/>
                <w:szCs w:val="18"/>
              </w:rPr>
            </w:pPr>
            <w:r>
              <w:rPr>
                <w:color w:val="auto"/>
                <w:kern w:val="0"/>
                <w:sz w:val="18"/>
                <w:szCs w:val="18"/>
              </w:rPr>
              <w:t>1</w:t>
            </w:r>
          </w:p>
        </w:tc>
        <w:tc>
          <w:tcPr>
            <w:tcW w:w="702" w:type="dxa"/>
            <w:noWrap w:val="0"/>
            <w:vAlign w:val="center"/>
          </w:tcPr>
          <w:p w14:paraId="26BCD79A">
            <w:pPr>
              <w:adjustRightInd w:val="0"/>
              <w:snapToGrid w:val="0"/>
              <w:jc w:val="center"/>
              <w:rPr>
                <w:color w:val="auto"/>
                <w:kern w:val="0"/>
                <w:sz w:val="18"/>
                <w:szCs w:val="18"/>
              </w:rPr>
            </w:pPr>
            <w:r>
              <w:rPr>
                <w:color w:val="auto"/>
                <w:kern w:val="0"/>
                <w:sz w:val="18"/>
                <w:szCs w:val="18"/>
              </w:rPr>
              <w:t>2</w:t>
            </w:r>
          </w:p>
        </w:tc>
        <w:tc>
          <w:tcPr>
            <w:tcW w:w="702" w:type="dxa"/>
            <w:noWrap w:val="0"/>
            <w:vAlign w:val="center"/>
          </w:tcPr>
          <w:p w14:paraId="03749A96">
            <w:pPr>
              <w:adjustRightInd w:val="0"/>
              <w:snapToGrid w:val="0"/>
              <w:jc w:val="center"/>
              <w:rPr>
                <w:color w:val="auto"/>
                <w:kern w:val="0"/>
                <w:sz w:val="18"/>
                <w:szCs w:val="18"/>
              </w:rPr>
            </w:pPr>
            <w:r>
              <w:rPr>
                <w:color w:val="auto"/>
                <w:kern w:val="0"/>
                <w:sz w:val="18"/>
                <w:szCs w:val="18"/>
              </w:rPr>
              <w:t>2</w:t>
            </w:r>
          </w:p>
        </w:tc>
        <w:tc>
          <w:tcPr>
            <w:tcW w:w="540" w:type="dxa"/>
            <w:vMerge w:val="restart"/>
            <w:noWrap w:val="0"/>
            <w:vAlign w:val="center"/>
          </w:tcPr>
          <w:p w14:paraId="140D1917">
            <w:pPr>
              <w:adjustRightInd w:val="0"/>
              <w:snapToGrid w:val="0"/>
              <w:jc w:val="center"/>
              <w:rPr>
                <w:color w:val="auto"/>
                <w:kern w:val="0"/>
                <w:sz w:val="18"/>
                <w:szCs w:val="18"/>
              </w:rPr>
            </w:pPr>
            <w:r>
              <w:rPr>
                <w:color w:val="auto"/>
                <w:kern w:val="0"/>
                <w:sz w:val="18"/>
                <w:szCs w:val="18"/>
              </w:rPr>
              <w:t>100</w:t>
            </w:r>
          </w:p>
        </w:tc>
      </w:tr>
      <w:tr w14:paraId="6AC4C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853" w:type="dxa"/>
            <w:noWrap w:val="0"/>
            <w:vAlign w:val="center"/>
          </w:tcPr>
          <w:p w14:paraId="60EDC2BC">
            <w:pPr>
              <w:adjustRightInd w:val="0"/>
              <w:snapToGrid w:val="0"/>
              <w:jc w:val="center"/>
              <w:rPr>
                <w:color w:val="auto"/>
                <w:kern w:val="0"/>
                <w:sz w:val="18"/>
                <w:szCs w:val="18"/>
              </w:rPr>
            </w:pPr>
            <w:r>
              <w:rPr>
                <w:color w:val="auto"/>
                <w:kern w:val="0"/>
                <w:sz w:val="18"/>
                <w:szCs w:val="18"/>
              </w:rPr>
              <w:t>频率</w:t>
            </w:r>
          </w:p>
        </w:tc>
        <w:tc>
          <w:tcPr>
            <w:tcW w:w="702" w:type="dxa"/>
            <w:noWrap w:val="0"/>
            <w:vAlign w:val="center"/>
          </w:tcPr>
          <w:p w14:paraId="7E5E2092">
            <w:pPr>
              <w:adjustRightInd w:val="0"/>
              <w:snapToGrid w:val="0"/>
              <w:jc w:val="center"/>
              <w:rPr>
                <w:color w:val="auto"/>
                <w:kern w:val="0"/>
                <w:sz w:val="18"/>
                <w:szCs w:val="18"/>
              </w:rPr>
            </w:pPr>
            <w:r>
              <w:rPr>
                <w:color w:val="auto"/>
                <w:kern w:val="0"/>
                <w:sz w:val="18"/>
                <w:szCs w:val="18"/>
              </w:rPr>
              <w:t>8</w:t>
            </w:r>
          </w:p>
        </w:tc>
        <w:tc>
          <w:tcPr>
            <w:tcW w:w="702" w:type="dxa"/>
            <w:noWrap w:val="0"/>
            <w:vAlign w:val="center"/>
          </w:tcPr>
          <w:p w14:paraId="2EA1CE55">
            <w:pPr>
              <w:adjustRightInd w:val="0"/>
              <w:snapToGrid w:val="0"/>
              <w:jc w:val="center"/>
              <w:rPr>
                <w:color w:val="auto"/>
                <w:kern w:val="0"/>
                <w:sz w:val="18"/>
                <w:szCs w:val="18"/>
              </w:rPr>
            </w:pPr>
            <w:r>
              <w:rPr>
                <w:color w:val="auto"/>
                <w:kern w:val="0"/>
                <w:sz w:val="18"/>
                <w:szCs w:val="18"/>
              </w:rPr>
              <w:t>15</w:t>
            </w:r>
          </w:p>
        </w:tc>
        <w:tc>
          <w:tcPr>
            <w:tcW w:w="702" w:type="dxa"/>
            <w:noWrap w:val="0"/>
            <w:vAlign w:val="center"/>
          </w:tcPr>
          <w:p w14:paraId="187C0BF7">
            <w:pPr>
              <w:adjustRightInd w:val="0"/>
              <w:snapToGrid w:val="0"/>
              <w:jc w:val="center"/>
              <w:rPr>
                <w:color w:val="auto"/>
                <w:kern w:val="0"/>
                <w:sz w:val="18"/>
                <w:szCs w:val="18"/>
              </w:rPr>
            </w:pPr>
            <w:r>
              <w:rPr>
                <w:color w:val="auto"/>
                <w:kern w:val="0"/>
                <w:sz w:val="18"/>
                <w:szCs w:val="18"/>
              </w:rPr>
              <w:t>22</w:t>
            </w:r>
          </w:p>
        </w:tc>
        <w:tc>
          <w:tcPr>
            <w:tcW w:w="702" w:type="dxa"/>
            <w:noWrap w:val="0"/>
            <w:vAlign w:val="center"/>
          </w:tcPr>
          <w:p w14:paraId="34792E87">
            <w:pPr>
              <w:adjustRightInd w:val="0"/>
              <w:snapToGrid w:val="0"/>
              <w:jc w:val="center"/>
              <w:rPr>
                <w:color w:val="auto"/>
                <w:kern w:val="0"/>
                <w:sz w:val="18"/>
                <w:szCs w:val="18"/>
              </w:rPr>
            </w:pPr>
            <w:r>
              <w:rPr>
                <w:color w:val="auto"/>
                <w:kern w:val="0"/>
                <w:sz w:val="18"/>
                <w:szCs w:val="18"/>
              </w:rPr>
              <w:t>12</w:t>
            </w:r>
          </w:p>
        </w:tc>
        <w:tc>
          <w:tcPr>
            <w:tcW w:w="702" w:type="dxa"/>
            <w:noWrap w:val="0"/>
            <w:vAlign w:val="center"/>
          </w:tcPr>
          <w:p w14:paraId="59B941CD">
            <w:pPr>
              <w:adjustRightInd w:val="0"/>
              <w:snapToGrid w:val="0"/>
              <w:jc w:val="center"/>
              <w:rPr>
                <w:color w:val="auto"/>
                <w:kern w:val="0"/>
                <w:sz w:val="18"/>
                <w:szCs w:val="18"/>
              </w:rPr>
            </w:pPr>
            <w:r>
              <w:rPr>
                <w:color w:val="auto"/>
                <w:kern w:val="0"/>
                <w:sz w:val="18"/>
                <w:szCs w:val="18"/>
              </w:rPr>
              <w:t>13</w:t>
            </w:r>
          </w:p>
        </w:tc>
        <w:tc>
          <w:tcPr>
            <w:tcW w:w="702" w:type="dxa"/>
            <w:noWrap w:val="0"/>
            <w:vAlign w:val="center"/>
          </w:tcPr>
          <w:p w14:paraId="5A703527">
            <w:pPr>
              <w:adjustRightInd w:val="0"/>
              <w:snapToGrid w:val="0"/>
              <w:jc w:val="center"/>
              <w:rPr>
                <w:color w:val="auto"/>
                <w:kern w:val="0"/>
                <w:sz w:val="18"/>
                <w:szCs w:val="18"/>
              </w:rPr>
            </w:pPr>
            <w:r>
              <w:rPr>
                <w:color w:val="auto"/>
                <w:kern w:val="0"/>
                <w:sz w:val="18"/>
                <w:szCs w:val="18"/>
              </w:rPr>
              <w:t>13</w:t>
            </w:r>
          </w:p>
        </w:tc>
        <w:tc>
          <w:tcPr>
            <w:tcW w:w="702" w:type="dxa"/>
            <w:noWrap w:val="0"/>
            <w:vAlign w:val="center"/>
          </w:tcPr>
          <w:p w14:paraId="2C77E3A1">
            <w:pPr>
              <w:adjustRightInd w:val="0"/>
              <w:snapToGrid w:val="0"/>
              <w:jc w:val="center"/>
              <w:rPr>
                <w:color w:val="auto"/>
                <w:kern w:val="0"/>
                <w:sz w:val="18"/>
                <w:szCs w:val="18"/>
              </w:rPr>
            </w:pPr>
            <w:r>
              <w:rPr>
                <w:color w:val="auto"/>
                <w:kern w:val="0"/>
                <w:sz w:val="18"/>
                <w:szCs w:val="18"/>
              </w:rPr>
              <w:t>7</w:t>
            </w:r>
          </w:p>
        </w:tc>
        <w:tc>
          <w:tcPr>
            <w:tcW w:w="702" w:type="dxa"/>
            <w:noWrap w:val="0"/>
            <w:vAlign w:val="center"/>
          </w:tcPr>
          <w:p w14:paraId="2A8B6356">
            <w:pPr>
              <w:adjustRightInd w:val="0"/>
              <w:snapToGrid w:val="0"/>
              <w:jc w:val="center"/>
              <w:rPr>
                <w:color w:val="auto"/>
                <w:kern w:val="0"/>
                <w:sz w:val="18"/>
                <w:szCs w:val="18"/>
              </w:rPr>
            </w:pPr>
            <w:r>
              <w:rPr>
                <w:color w:val="auto"/>
                <w:kern w:val="0"/>
                <w:sz w:val="18"/>
                <w:szCs w:val="18"/>
              </w:rPr>
              <w:t>5</w:t>
            </w:r>
          </w:p>
        </w:tc>
        <w:tc>
          <w:tcPr>
            <w:tcW w:w="702" w:type="dxa"/>
            <w:noWrap w:val="0"/>
            <w:vAlign w:val="center"/>
          </w:tcPr>
          <w:p w14:paraId="637F1B7D">
            <w:pPr>
              <w:adjustRightInd w:val="0"/>
              <w:snapToGrid w:val="0"/>
              <w:jc w:val="center"/>
              <w:rPr>
                <w:color w:val="auto"/>
                <w:kern w:val="0"/>
                <w:sz w:val="18"/>
                <w:szCs w:val="18"/>
              </w:rPr>
            </w:pPr>
            <w:r>
              <w:rPr>
                <w:color w:val="auto"/>
                <w:kern w:val="0"/>
                <w:sz w:val="18"/>
                <w:szCs w:val="18"/>
              </w:rPr>
              <w:t>1</w:t>
            </w:r>
          </w:p>
        </w:tc>
        <w:tc>
          <w:tcPr>
            <w:tcW w:w="702" w:type="dxa"/>
            <w:noWrap w:val="0"/>
            <w:vAlign w:val="center"/>
          </w:tcPr>
          <w:p w14:paraId="4C80BA50">
            <w:pPr>
              <w:adjustRightInd w:val="0"/>
              <w:snapToGrid w:val="0"/>
              <w:jc w:val="center"/>
              <w:rPr>
                <w:color w:val="auto"/>
                <w:kern w:val="0"/>
                <w:sz w:val="18"/>
                <w:szCs w:val="18"/>
              </w:rPr>
            </w:pPr>
            <w:r>
              <w:rPr>
                <w:color w:val="auto"/>
                <w:kern w:val="0"/>
                <w:sz w:val="18"/>
                <w:szCs w:val="18"/>
              </w:rPr>
              <w:t>2</w:t>
            </w:r>
          </w:p>
        </w:tc>
        <w:tc>
          <w:tcPr>
            <w:tcW w:w="702" w:type="dxa"/>
            <w:noWrap w:val="0"/>
            <w:vAlign w:val="center"/>
          </w:tcPr>
          <w:p w14:paraId="3068FFE3">
            <w:pPr>
              <w:adjustRightInd w:val="0"/>
              <w:snapToGrid w:val="0"/>
              <w:jc w:val="center"/>
              <w:rPr>
                <w:color w:val="auto"/>
                <w:kern w:val="0"/>
                <w:sz w:val="18"/>
                <w:szCs w:val="18"/>
              </w:rPr>
            </w:pPr>
            <w:r>
              <w:rPr>
                <w:color w:val="auto"/>
                <w:kern w:val="0"/>
                <w:sz w:val="18"/>
                <w:szCs w:val="18"/>
              </w:rPr>
              <w:t>2</w:t>
            </w:r>
          </w:p>
        </w:tc>
        <w:tc>
          <w:tcPr>
            <w:tcW w:w="540" w:type="dxa"/>
            <w:vMerge w:val="continue"/>
            <w:noWrap w:val="0"/>
            <w:vAlign w:val="center"/>
          </w:tcPr>
          <w:p w14:paraId="1068F24E">
            <w:pPr>
              <w:adjustRightInd w:val="0"/>
              <w:snapToGrid w:val="0"/>
              <w:jc w:val="center"/>
              <w:rPr>
                <w:color w:val="auto"/>
                <w:kern w:val="0"/>
                <w:sz w:val="18"/>
                <w:szCs w:val="18"/>
              </w:rPr>
            </w:pPr>
          </w:p>
        </w:tc>
      </w:tr>
      <w:tr w14:paraId="5BC04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853" w:type="dxa"/>
            <w:noWrap w:val="0"/>
            <w:vAlign w:val="center"/>
          </w:tcPr>
          <w:p w14:paraId="1BE8E03A">
            <w:pPr>
              <w:adjustRightInd w:val="0"/>
              <w:snapToGrid w:val="0"/>
              <w:ind w:left="-53" w:leftChars="-25" w:right="-69" w:rightChars="-33"/>
              <w:jc w:val="center"/>
              <w:rPr>
                <w:color w:val="auto"/>
                <w:kern w:val="0"/>
                <w:sz w:val="18"/>
                <w:szCs w:val="18"/>
              </w:rPr>
            </w:pPr>
            <w:r>
              <w:rPr>
                <w:color w:val="auto"/>
                <w:kern w:val="0"/>
                <w:sz w:val="18"/>
                <w:szCs w:val="18"/>
              </w:rPr>
              <w:t>累计频率</w:t>
            </w:r>
          </w:p>
        </w:tc>
        <w:tc>
          <w:tcPr>
            <w:tcW w:w="702" w:type="dxa"/>
            <w:noWrap w:val="0"/>
            <w:vAlign w:val="center"/>
          </w:tcPr>
          <w:p w14:paraId="4743B143">
            <w:pPr>
              <w:adjustRightInd w:val="0"/>
              <w:snapToGrid w:val="0"/>
              <w:jc w:val="center"/>
              <w:rPr>
                <w:color w:val="auto"/>
                <w:kern w:val="0"/>
                <w:sz w:val="18"/>
                <w:szCs w:val="18"/>
              </w:rPr>
            </w:pPr>
            <w:r>
              <w:rPr>
                <w:color w:val="auto"/>
                <w:kern w:val="0"/>
                <w:sz w:val="18"/>
                <w:szCs w:val="18"/>
              </w:rPr>
              <w:t>8</w:t>
            </w:r>
          </w:p>
        </w:tc>
        <w:tc>
          <w:tcPr>
            <w:tcW w:w="702" w:type="dxa"/>
            <w:noWrap w:val="0"/>
            <w:vAlign w:val="center"/>
          </w:tcPr>
          <w:p w14:paraId="2B0378C3">
            <w:pPr>
              <w:adjustRightInd w:val="0"/>
              <w:snapToGrid w:val="0"/>
              <w:jc w:val="center"/>
              <w:rPr>
                <w:color w:val="auto"/>
                <w:kern w:val="0"/>
                <w:sz w:val="18"/>
                <w:szCs w:val="18"/>
              </w:rPr>
            </w:pPr>
            <w:r>
              <w:rPr>
                <w:color w:val="auto"/>
                <w:kern w:val="0"/>
                <w:sz w:val="18"/>
                <w:szCs w:val="18"/>
              </w:rPr>
              <w:t>23</w:t>
            </w:r>
          </w:p>
        </w:tc>
        <w:tc>
          <w:tcPr>
            <w:tcW w:w="702" w:type="dxa"/>
            <w:noWrap w:val="0"/>
            <w:vAlign w:val="center"/>
          </w:tcPr>
          <w:p w14:paraId="6D4A66D2">
            <w:pPr>
              <w:adjustRightInd w:val="0"/>
              <w:snapToGrid w:val="0"/>
              <w:jc w:val="center"/>
              <w:rPr>
                <w:color w:val="auto"/>
                <w:kern w:val="0"/>
                <w:sz w:val="18"/>
                <w:szCs w:val="18"/>
              </w:rPr>
            </w:pPr>
            <w:r>
              <w:rPr>
                <w:color w:val="auto"/>
                <w:kern w:val="0"/>
                <w:sz w:val="18"/>
                <w:szCs w:val="18"/>
              </w:rPr>
              <w:t>45</w:t>
            </w:r>
          </w:p>
        </w:tc>
        <w:tc>
          <w:tcPr>
            <w:tcW w:w="702" w:type="dxa"/>
            <w:noWrap w:val="0"/>
            <w:vAlign w:val="center"/>
          </w:tcPr>
          <w:p w14:paraId="1B6E8B2B">
            <w:pPr>
              <w:adjustRightInd w:val="0"/>
              <w:snapToGrid w:val="0"/>
              <w:jc w:val="center"/>
              <w:rPr>
                <w:color w:val="auto"/>
                <w:kern w:val="0"/>
                <w:sz w:val="18"/>
                <w:szCs w:val="18"/>
              </w:rPr>
            </w:pPr>
            <w:r>
              <w:rPr>
                <w:color w:val="auto"/>
                <w:kern w:val="0"/>
                <w:sz w:val="18"/>
                <w:szCs w:val="18"/>
              </w:rPr>
              <w:t>57</w:t>
            </w:r>
          </w:p>
        </w:tc>
        <w:tc>
          <w:tcPr>
            <w:tcW w:w="702" w:type="dxa"/>
            <w:noWrap w:val="0"/>
            <w:vAlign w:val="center"/>
          </w:tcPr>
          <w:p w14:paraId="2AE72E56">
            <w:pPr>
              <w:adjustRightInd w:val="0"/>
              <w:snapToGrid w:val="0"/>
              <w:jc w:val="center"/>
              <w:rPr>
                <w:color w:val="auto"/>
                <w:kern w:val="0"/>
                <w:sz w:val="18"/>
                <w:szCs w:val="18"/>
              </w:rPr>
            </w:pPr>
            <w:r>
              <w:rPr>
                <w:color w:val="auto"/>
                <w:kern w:val="0"/>
                <w:sz w:val="18"/>
                <w:szCs w:val="18"/>
              </w:rPr>
              <w:t>70</w:t>
            </w:r>
          </w:p>
        </w:tc>
        <w:tc>
          <w:tcPr>
            <w:tcW w:w="702" w:type="dxa"/>
            <w:noWrap w:val="0"/>
            <w:vAlign w:val="center"/>
          </w:tcPr>
          <w:p w14:paraId="413FD048">
            <w:pPr>
              <w:adjustRightInd w:val="0"/>
              <w:snapToGrid w:val="0"/>
              <w:jc w:val="center"/>
              <w:rPr>
                <w:color w:val="auto"/>
                <w:kern w:val="0"/>
                <w:sz w:val="18"/>
                <w:szCs w:val="18"/>
              </w:rPr>
            </w:pPr>
            <w:r>
              <w:rPr>
                <w:color w:val="auto"/>
                <w:kern w:val="0"/>
                <w:sz w:val="18"/>
                <w:szCs w:val="18"/>
              </w:rPr>
              <w:t>83</w:t>
            </w:r>
          </w:p>
        </w:tc>
        <w:tc>
          <w:tcPr>
            <w:tcW w:w="702" w:type="dxa"/>
            <w:noWrap w:val="0"/>
            <w:vAlign w:val="center"/>
          </w:tcPr>
          <w:p w14:paraId="6B0F2EB5">
            <w:pPr>
              <w:adjustRightInd w:val="0"/>
              <w:snapToGrid w:val="0"/>
              <w:jc w:val="center"/>
              <w:rPr>
                <w:color w:val="auto"/>
                <w:kern w:val="0"/>
                <w:sz w:val="18"/>
                <w:szCs w:val="18"/>
              </w:rPr>
            </w:pPr>
            <w:r>
              <w:rPr>
                <w:color w:val="auto"/>
                <w:kern w:val="0"/>
                <w:sz w:val="18"/>
                <w:szCs w:val="18"/>
              </w:rPr>
              <w:t>90</w:t>
            </w:r>
          </w:p>
        </w:tc>
        <w:tc>
          <w:tcPr>
            <w:tcW w:w="702" w:type="dxa"/>
            <w:noWrap w:val="0"/>
            <w:vAlign w:val="center"/>
          </w:tcPr>
          <w:p w14:paraId="7894ABE8">
            <w:pPr>
              <w:adjustRightInd w:val="0"/>
              <w:snapToGrid w:val="0"/>
              <w:jc w:val="center"/>
              <w:rPr>
                <w:color w:val="auto"/>
                <w:kern w:val="0"/>
                <w:sz w:val="18"/>
                <w:szCs w:val="18"/>
              </w:rPr>
            </w:pPr>
            <w:r>
              <w:rPr>
                <w:color w:val="auto"/>
                <w:kern w:val="0"/>
                <w:sz w:val="18"/>
                <w:szCs w:val="18"/>
              </w:rPr>
              <w:t>95</w:t>
            </w:r>
          </w:p>
        </w:tc>
        <w:tc>
          <w:tcPr>
            <w:tcW w:w="702" w:type="dxa"/>
            <w:noWrap w:val="0"/>
            <w:vAlign w:val="center"/>
          </w:tcPr>
          <w:p w14:paraId="22B264FA">
            <w:pPr>
              <w:adjustRightInd w:val="0"/>
              <w:snapToGrid w:val="0"/>
              <w:jc w:val="center"/>
              <w:rPr>
                <w:color w:val="auto"/>
                <w:kern w:val="0"/>
                <w:sz w:val="18"/>
                <w:szCs w:val="18"/>
              </w:rPr>
            </w:pPr>
            <w:r>
              <w:rPr>
                <w:color w:val="auto"/>
                <w:kern w:val="0"/>
                <w:sz w:val="18"/>
                <w:szCs w:val="18"/>
              </w:rPr>
              <w:t>96</w:t>
            </w:r>
          </w:p>
        </w:tc>
        <w:tc>
          <w:tcPr>
            <w:tcW w:w="702" w:type="dxa"/>
            <w:noWrap w:val="0"/>
            <w:vAlign w:val="center"/>
          </w:tcPr>
          <w:p w14:paraId="5C276D49">
            <w:pPr>
              <w:adjustRightInd w:val="0"/>
              <w:snapToGrid w:val="0"/>
              <w:jc w:val="center"/>
              <w:rPr>
                <w:color w:val="auto"/>
                <w:kern w:val="0"/>
                <w:sz w:val="18"/>
                <w:szCs w:val="18"/>
              </w:rPr>
            </w:pPr>
            <w:r>
              <w:rPr>
                <w:color w:val="auto"/>
                <w:kern w:val="0"/>
                <w:sz w:val="18"/>
                <w:szCs w:val="18"/>
              </w:rPr>
              <w:t>98</w:t>
            </w:r>
          </w:p>
        </w:tc>
        <w:tc>
          <w:tcPr>
            <w:tcW w:w="702" w:type="dxa"/>
            <w:noWrap w:val="0"/>
            <w:vAlign w:val="center"/>
          </w:tcPr>
          <w:p w14:paraId="4AEE5D44">
            <w:pPr>
              <w:adjustRightInd w:val="0"/>
              <w:snapToGrid w:val="0"/>
              <w:jc w:val="center"/>
              <w:rPr>
                <w:color w:val="auto"/>
                <w:kern w:val="0"/>
                <w:sz w:val="18"/>
                <w:szCs w:val="18"/>
              </w:rPr>
            </w:pPr>
            <w:r>
              <w:rPr>
                <w:color w:val="auto"/>
                <w:kern w:val="0"/>
                <w:sz w:val="18"/>
                <w:szCs w:val="18"/>
              </w:rPr>
              <w:t>100</w:t>
            </w:r>
          </w:p>
        </w:tc>
        <w:tc>
          <w:tcPr>
            <w:tcW w:w="540" w:type="dxa"/>
            <w:vMerge w:val="continue"/>
            <w:noWrap w:val="0"/>
            <w:vAlign w:val="center"/>
          </w:tcPr>
          <w:p w14:paraId="2EF8018C">
            <w:pPr>
              <w:adjustRightInd w:val="0"/>
              <w:snapToGrid w:val="0"/>
              <w:jc w:val="center"/>
              <w:rPr>
                <w:color w:val="auto"/>
                <w:kern w:val="0"/>
                <w:sz w:val="18"/>
                <w:szCs w:val="18"/>
              </w:rPr>
            </w:pPr>
          </w:p>
        </w:tc>
      </w:tr>
    </w:tbl>
    <w:p w14:paraId="09EEBF1A">
      <w:pPr>
        <w:tabs>
          <w:tab w:val="left" w:pos="4785"/>
        </w:tabs>
        <w:adjustRightInd w:val="0"/>
        <w:snapToGrid w:val="0"/>
        <w:ind w:left="678"/>
        <w:jc w:val="left"/>
        <w:rPr>
          <w:color w:val="auto"/>
          <w:kern w:val="0"/>
          <w:szCs w:val="21"/>
        </w:rPr>
      </w:pPr>
      <w:r>
        <w:rPr>
          <w:color w:val="auto"/>
        </w:rPr>
        <w:object>
          <v:shape id="_x0000_i1882" o:spt="75" type="#_x0000_t75" style="height:129.05pt;width:207.35pt;" o:ole="t" filled="f" stroked="f" coordsize="21600,21600">
            <v:path/>
            <v:fill on="f" focussize="0,0"/>
            <v:stroke on="f"/>
            <v:imagedata r:id="rId1654" cropleft="1279f" croptop="19813f" cropright="33415f" cropbottom="11812f" o:title=""/>
            <o:lock v:ext="edit" grouping="f" rotation="f" text="f" aspectratio="t"/>
            <w10:wrap type="none"/>
            <w10:anchorlock/>
          </v:shape>
          <o:OLEObject Type="Embed" ProgID="AutoCAD.Drawing.16" ShapeID="_x0000_i1882" DrawAspect="Content" ObjectID="_1468076582" r:id="rId1653">
            <o:LockedField>false</o:LockedField>
          </o:OLEObject>
        </w:object>
      </w:r>
      <w:r>
        <w:rPr>
          <w:color w:val="auto"/>
          <w:kern w:val="0"/>
          <w:szCs w:val="21"/>
        </w:rPr>
        <w:tab/>
      </w:r>
      <w:r>
        <w:rPr>
          <w:color w:val="auto"/>
        </w:rPr>
        <w:object>
          <v:shape id="_x0000_i1883" o:spt="75" type="#_x0000_t75" style="height:134.65pt;width:185.25pt;" o:ole="t" filled="f" stroked="f" coordsize="21600,21600">
            <v:path/>
            <v:fill on="f" focussize="0,0"/>
            <v:stroke on="f"/>
            <v:imagedata r:id="rId1656" cropleft="34485f" croptop="16179f" cropright="6697f" cropbottom="18084f" o:title=""/>
            <o:lock v:ext="edit" grouping="f" rotation="f" text="f" aspectratio="t"/>
            <w10:wrap type="none"/>
            <w10:anchorlock/>
          </v:shape>
          <o:OLEObject Type="Embed" ProgID="AutoCAD.Drawing.16" ShapeID="_x0000_i1883" DrawAspect="Content" ObjectID="_1468076583" r:id="rId1655">
            <o:LockedField>false</o:LockedField>
          </o:OLEObject>
        </w:object>
      </w:r>
    </w:p>
    <w:p w14:paraId="665A14DE">
      <w:pPr>
        <w:adjustRightInd w:val="0"/>
        <w:snapToGrid w:val="0"/>
        <w:ind w:left="678"/>
        <w:jc w:val="center"/>
        <w:rPr>
          <w:b/>
          <w:color w:val="auto"/>
          <w:sz w:val="18"/>
          <w:szCs w:val="18"/>
        </w:rPr>
      </w:pPr>
      <w:r>
        <w:rPr>
          <w:b/>
          <w:color w:val="auto"/>
          <w:kern w:val="0"/>
          <w:sz w:val="18"/>
          <w:szCs w:val="18"/>
        </w:rPr>
        <w:t xml:space="preserve">图11  </w:t>
      </w:r>
      <w:r>
        <w:rPr>
          <w:b/>
          <w:bCs/>
          <w:color w:val="auto"/>
          <w:sz w:val="18"/>
          <w:szCs w:val="18"/>
        </w:rPr>
        <w:t>收缩变形量计算经验系数</w:t>
      </w:r>
      <w:r>
        <w:rPr>
          <w:b/>
          <w:color w:val="auto"/>
          <w:kern w:val="0"/>
          <w:position w:val="-12"/>
          <w:sz w:val="18"/>
          <w:szCs w:val="18"/>
        </w:rPr>
        <w:object>
          <v:shape id="_x0000_i1884" o:spt="75" type="#_x0000_t75" style="height:18pt;width:15pt;" o:ole="t" filled="f" o:preferrelative="t" stroked="f" coordsize="21600,21600">
            <v:path/>
            <v:fill on="f" focussize="0,0"/>
            <v:stroke on="f"/>
            <v:imagedata r:id="rId1647" o:title=""/>
            <o:lock v:ext="edit" grouping="f" rotation="f" text="f" aspectratio="t"/>
            <w10:wrap type="none"/>
            <w10:anchorlock/>
          </v:shape>
          <o:OLEObject Type="Embed" ProgID="Equation.3" ShapeID="_x0000_i1884" DrawAspect="Content" ObjectID="_1468076584" r:id="rId1657">
            <o:LockedField>false</o:LockedField>
          </o:OLEObject>
        </w:object>
      </w:r>
      <w:r>
        <w:rPr>
          <w:b/>
          <w:color w:val="auto"/>
          <w:kern w:val="0"/>
          <w:sz w:val="18"/>
          <w:szCs w:val="18"/>
        </w:rPr>
        <w:t>的统计分布状况</w:t>
      </w:r>
    </w:p>
    <w:p w14:paraId="1A55F959">
      <w:pPr>
        <w:adjustRightInd w:val="0"/>
        <w:snapToGrid w:val="0"/>
        <w:ind w:left="758" w:leftChars="199" w:right="2" w:rightChars="1" w:hanging="340"/>
        <w:rPr>
          <w:b/>
          <w:bCs/>
          <w:color w:val="auto"/>
          <w:szCs w:val="21"/>
        </w:rPr>
      </w:pPr>
    </w:p>
    <w:p w14:paraId="1C5DC8F9">
      <w:pPr>
        <w:adjustRightInd w:val="0"/>
        <w:snapToGrid w:val="0"/>
        <w:spacing w:line="360" w:lineRule="atLeast"/>
        <w:ind w:firstLine="422" w:firstLineChars="200"/>
        <w:rPr>
          <w:color w:val="auto"/>
          <w:kern w:val="0"/>
          <w:szCs w:val="21"/>
        </w:rPr>
      </w:pPr>
      <w:r>
        <w:rPr>
          <w:b/>
          <w:bCs/>
          <w:color w:val="auto"/>
          <w:szCs w:val="21"/>
        </w:rPr>
        <w:t>f）</w:t>
      </w:r>
      <w:r>
        <w:rPr>
          <w:color w:val="auto"/>
          <w:kern w:val="0"/>
          <w:szCs w:val="21"/>
        </w:rPr>
        <w:t>计算收缩变形量的公式是一个通式，其中最困难的是含水量变化值，应根据引起水份减少的主要因素确定。如局部热源及树木蒸腾很难采用计算来确定其收缩变形量。</w:t>
      </w:r>
    </w:p>
    <w:p w14:paraId="5847878B">
      <w:pPr>
        <w:adjustRightInd w:val="0"/>
        <w:snapToGrid w:val="0"/>
        <w:spacing w:line="360" w:lineRule="atLeast"/>
        <w:rPr>
          <w:color w:val="auto"/>
          <w:szCs w:val="21"/>
        </w:rPr>
      </w:pPr>
      <w:r>
        <w:rPr>
          <w:b/>
          <w:bCs/>
          <w:color w:val="auto"/>
          <w:szCs w:val="21"/>
        </w:rPr>
        <w:t xml:space="preserve">11.1.13  </w:t>
      </w:r>
      <w:r>
        <w:rPr>
          <w:bCs/>
          <w:color w:val="auto"/>
          <w:szCs w:val="21"/>
        </w:rPr>
        <w:t>GB</w:t>
      </w:r>
      <w:r>
        <w:rPr>
          <w:rFonts w:hint="eastAsia"/>
          <w:bCs/>
          <w:color w:val="auto"/>
          <w:szCs w:val="21"/>
          <w:lang w:val="en-US" w:eastAsia="zh-CN"/>
        </w:rPr>
        <w:t xml:space="preserve"> </w:t>
      </w:r>
      <w:r>
        <w:rPr>
          <w:bCs/>
          <w:color w:val="auto"/>
          <w:szCs w:val="21"/>
        </w:rPr>
        <w:t>50112编制时的</w:t>
      </w:r>
      <w:r>
        <w:rPr>
          <w:color w:val="auto"/>
          <w:szCs w:val="21"/>
        </w:rPr>
        <w:t>研究证明，我国膨胀土在自然气候影响下，土的最小含水量与塑限之间有密切关系。同时，在地下水位深的情况下，土中含水量的变化主要受气候因素的降水和蒸发之间的湿度平衡所控制。由此，可根据长期（10年以上）含水量的实测资料，预估土的湿度系数值。从地区看，某一地区的气候条件比较稳定，可以用上述方法统计解决，这样可能更准确。从全国看，特别是一些没有观测资料的地区，最小含水量仍无法预测，因此，GB</w:t>
      </w:r>
      <w:r>
        <w:rPr>
          <w:rFonts w:hint="eastAsia"/>
          <w:color w:val="auto"/>
          <w:szCs w:val="21"/>
          <w:lang w:val="en-US" w:eastAsia="zh-CN"/>
        </w:rPr>
        <w:t xml:space="preserve"> </w:t>
      </w:r>
      <w:r>
        <w:rPr>
          <w:color w:val="auto"/>
          <w:szCs w:val="21"/>
        </w:rPr>
        <w:t>50112规范组建立了气候条件与湿度系数的关系。从此关系中，还可预测某些地区膨胀土的胀缩势能可能产生的影响，及其对建筑物的危害程度。例如，在湿度系数为0.9的地区，即使为强亲水性的膨胀土，其地基上的胀缩等级可能为弱的</w:t>
      </w:r>
      <w:r>
        <w:rPr>
          <w:color w:val="auto"/>
          <w:szCs w:val="21"/>
        </w:rPr>
        <w:fldChar w:fldCharType="begin"/>
      </w:r>
      <w:r>
        <w:rPr>
          <w:color w:val="auto"/>
          <w:szCs w:val="21"/>
        </w:rPr>
        <w:instrText xml:space="preserve"> = 1 \* ROMAN </w:instrText>
      </w:r>
      <w:r>
        <w:rPr>
          <w:color w:val="auto"/>
          <w:szCs w:val="21"/>
        </w:rPr>
        <w:fldChar w:fldCharType="separate"/>
      </w:r>
      <w:r>
        <w:rPr>
          <w:color w:val="auto"/>
          <w:szCs w:val="21"/>
        </w:rPr>
        <w:t>I</w:t>
      </w:r>
      <w:r>
        <w:rPr>
          <w:color w:val="auto"/>
          <w:szCs w:val="21"/>
        </w:rPr>
        <w:fldChar w:fldCharType="end"/>
      </w:r>
      <w:r>
        <w:rPr>
          <w:color w:val="auto"/>
          <w:szCs w:val="21"/>
        </w:rPr>
        <w:t>级，而在0.7、0.6的地区可能是</w:t>
      </w:r>
      <w:r>
        <w:rPr>
          <w:color w:val="auto"/>
          <w:szCs w:val="21"/>
        </w:rPr>
        <w:fldChar w:fldCharType="begin"/>
      </w:r>
      <w:r>
        <w:rPr>
          <w:color w:val="auto"/>
          <w:szCs w:val="21"/>
        </w:rPr>
        <w:instrText xml:space="preserve"> = 2 \* ROMAN </w:instrText>
      </w:r>
      <w:r>
        <w:rPr>
          <w:color w:val="auto"/>
          <w:szCs w:val="21"/>
        </w:rPr>
        <w:fldChar w:fldCharType="separate"/>
      </w:r>
      <w:r>
        <w:rPr>
          <w:color w:val="auto"/>
          <w:szCs w:val="21"/>
        </w:rPr>
        <w:t>II</w:t>
      </w:r>
      <w:r>
        <w:rPr>
          <w:color w:val="auto"/>
          <w:szCs w:val="21"/>
        </w:rPr>
        <w:fldChar w:fldCharType="end"/>
      </w:r>
      <w:r>
        <w:rPr>
          <w:color w:val="auto"/>
          <w:szCs w:val="21"/>
        </w:rPr>
        <w:t>、</w:t>
      </w:r>
      <w:r>
        <w:rPr>
          <w:color w:val="auto"/>
          <w:szCs w:val="21"/>
        </w:rPr>
        <w:fldChar w:fldCharType="begin"/>
      </w:r>
      <w:r>
        <w:rPr>
          <w:color w:val="auto"/>
          <w:szCs w:val="21"/>
        </w:rPr>
        <w:instrText xml:space="preserve"> = 3 \* ROMAN </w:instrText>
      </w:r>
      <w:r>
        <w:rPr>
          <w:color w:val="auto"/>
          <w:szCs w:val="21"/>
        </w:rPr>
        <w:fldChar w:fldCharType="separate"/>
      </w:r>
      <w:r>
        <w:rPr>
          <w:color w:val="auto"/>
          <w:szCs w:val="21"/>
        </w:rPr>
        <w:t>III</w:t>
      </w:r>
      <w:r>
        <w:rPr>
          <w:color w:val="auto"/>
          <w:szCs w:val="21"/>
        </w:rPr>
        <w:fldChar w:fldCharType="end"/>
      </w:r>
      <w:r>
        <w:rPr>
          <w:color w:val="auto"/>
          <w:szCs w:val="21"/>
        </w:rPr>
        <w:t xml:space="preserve">级。即土质完全相同的情况下，在湿度系数较高的地区，其分级胀缩量将低于湿度系数较低的地区；在湿度系数较低的地区，其分级膨胀量将高于湿度系数较高的地区。 </w:t>
      </w:r>
    </w:p>
    <w:p w14:paraId="2A71E77F">
      <w:pPr>
        <w:adjustRightInd w:val="0"/>
        <w:snapToGrid w:val="0"/>
        <w:spacing w:line="340" w:lineRule="atLeast"/>
        <w:ind w:right="32"/>
        <w:rPr>
          <w:color w:val="auto"/>
          <w:szCs w:val="21"/>
        </w:rPr>
      </w:pPr>
      <w:r>
        <w:rPr>
          <w:color w:val="auto"/>
          <w:szCs w:val="21"/>
        </w:rPr>
        <w:t xml:space="preserve">    湿度系数计算举例：</w:t>
      </w:r>
    </w:p>
    <w:p w14:paraId="15112453">
      <w:pPr>
        <w:adjustRightInd w:val="0"/>
        <w:snapToGrid w:val="0"/>
        <w:spacing w:line="360" w:lineRule="atLeast"/>
        <w:ind w:firstLine="422" w:firstLineChars="200"/>
        <w:rPr>
          <w:color w:val="auto"/>
          <w:szCs w:val="21"/>
        </w:rPr>
      </w:pPr>
      <w:r>
        <w:rPr>
          <w:b/>
          <w:bCs/>
          <w:color w:val="auto"/>
          <w:szCs w:val="21"/>
        </w:rPr>
        <w:t>1）</w:t>
      </w:r>
      <w:r>
        <w:rPr>
          <w:color w:val="auto"/>
          <w:szCs w:val="21"/>
        </w:rPr>
        <w:t>某膨胀土地区，中央气象局1951年～1970年蒸发力</w:t>
      </w:r>
      <w:r>
        <w:rPr>
          <w:color w:val="auto"/>
          <w:szCs w:val="21"/>
          <w:vertAlign w:val="superscript"/>
        </w:rPr>
        <w:fldChar w:fldCharType="begin"/>
      </w:r>
      <w:r>
        <w:rPr>
          <w:color w:val="auto"/>
          <w:szCs w:val="21"/>
          <w:vertAlign w:val="superscript"/>
        </w:rPr>
        <w:instrText xml:space="preserve"> = 1 \* GB3 </w:instrText>
      </w:r>
      <w:r>
        <w:rPr>
          <w:color w:val="auto"/>
          <w:szCs w:val="21"/>
          <w:vertAlign w:val="superscript"/>
        </w:rPr>
        <w:fldChar w:fldCharType="separate"/>
      </w:r>
      <w:r>
        <w:rPr>
          <w:color w:val="auto"/>
          <w:szCs w:val="21"/>
          <w:vertAlign w:val="superscript"/>
        </w:rPr>
        <w:t>①</w:t>
      </w:r>
      <w:r>
        <w:rPr>
          <w:color w:val="auto"/>
          <w:szCs w:val="21"/>
          <w:vertAlign w:val="superscript"/>
        </w:rPr>
        <w:fldChar w:fldCharType="end"/>
      </w:r>
      <w:r>
        <w:rPr>
          <w:color w:val="auto"/>
          <w:szCs w:val="21"/>
        </w:rPr>
        <w:t>和降水量月平均值资料如表1</w:t>
      </w:r>
      <w:r>
        <w:rPr>
          <w:rFonts w:hint="eastAsia"/>
          <w:color w:val="auto"/>
          <w:szCs w:val="21"/>
        </w:rPr>
        <w:t>3</w:t>
      </w:r>
      <w:r>
        <w:rPr>
          <w:color w:val="auto"/>
          <w:szCs w:val="21"/>
        </w:rPr>
        <w:t>，干燥度大于1的月份的蒸发和降水量月平均值资料如表1</w:t>
      </w:r>
      <w:r>
        <w:rPr>
          <w:rFonts w:hint="eastAsia"/>
          <w:color w:val="auto"/>
          <w:szCs w:val="21"/>
        </w:rPr>
        <w:t>4</w:t>
      </w:r>
      <w:r>
        <w:rPr>
          <w:color w:val="auto"/>
          <w:szCs w:val="21"/>
        </w:rPr>
        <w:t>。</w:t>
      </w:r>
    </w:p>
    <w:p w14:paraId="7252CF91">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13</w:t>
      </w:r>
      <w:r>
        <w:rPr>
          <w:color w:val="auto"/>
        </w:rPr>
        <w:fldChar w:fldCharType="end"/>
      </w:r>
      <w:r>
        <w:rPr>
          <w:b/>
          <w:color w:val="auto"/>
          <w:szCs w:val="21"/>
        </w:rPr>
        <w:t xml:space="preserve">  某地20年蒸发力和降水量月平均值</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06"/>
        <w:gridCol w:w="3552"/>
        <w:gridCol w:w="3351"/>
      </w:tblGrid>
      <w:tr w14:paraId="784847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center"/>
          </w:tcPr>
          <w:p w14:paraId="3BF8A08E">
            <w:pPr>
              <w:adjustRightInd w:val="0"/>
              <w:snapToGrid w:val="0"/>
              <w:ind w:right="-31"/>
              <w:jc w:val="center"/>
              <w:rPr>
                <w:color w:val="auto"/>
                <w:sz w:val="18"/>
                <w:szCs w:val="18"/>
              </w:rPr>
            </w:pPr>
            <w:r>
              <w:rPr>
                <w:color w:val="auto"/>
                <w:sz w:val="18"/>
                <w:szCs w:val="18"/>
              </w:rPr>
              <w:t>月份</w:t>
            </w:r>
          </w:p>
        </w:tc>
        <w:tc>
          <w:tcPr>
            <w:tcW w:w="3552" w:type="dxa"/>
            <w:noWrap w:val="0"/>
            <w:vAlign w:val="center"/>
          </w:tcPr>
          <w:p w14:paraId="044B952D">
            <w:pPr>
              <w:adjustRightInd w:val="0"/>
              <w:snapToGrid w:val="0"/>
              <w:ind w:right="12"/>
              <w:jc w:val="center"/>
              <w:rPr>
                <w:color w:val="auto"/>
                <w:sz w:val="18"/>
                <w:szCs w:val="18"/>
              </w:rPr>
            </w:pPr>
            <w:r>
              <w:rPr>
                <w:color w:val="auto"/>
                <w:sz w:val="18"/>
                <w:szCs w:val="18"/>
              </w:rPr>
              <w:t>蒸发力（mm）</w:t>
            </w:r>
          </w:p>
        </w:tc>
        <w:tc>
          <w:tcPr>
            <w:tcW w:w="3351" w:type="dxa"/>
            <w:noWrap w:val="0"/>
            <w:vAlign w:val="center"/>
          </w:tcPr>
          <w:p w14:paraId="1533B14B">
            <w:pPr>
              <w:adjustRightInd w:val="0"/>
              <w:snapToGrid w:val="0"/>
              <w:ind w:right="12"/>
              <w:jc w:val="center"/>
              <w:rPr>
                <w:color w:val="auto"/>
                <w:sz w:val="18"/>
                <w:szCs w:val="18"/>
              </w:rPr>
            </w:pPr>
            <w:r>
              <w:rPr>
                <w:color w:val="auto"/>
                <w:sz w:val="18"/>
                <w:szCs w:val="18"/>
              </w:rPr>
              <w:t>降水量（mm）</w:t>
            </w:r>
          </w:p>
        </w:tc>
      </w:tr>
      <w:tr w14:paraId="1DF05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4EF236AA">
            <w:pPr>
              <w:adjustRightInd w:val="0"/>
              <w:snapToGrid w:val="0"/>
              <w:spacing w:line="300" w:lineRule="exact"/>
              <w:ind w:right="45"/>
              <w:jc w:val="center"/>
              <w:rPr>
                <w:color w:val="auto"/>
                <w:sz w:val="18"/>
                <w:szCs w:val="18"/>
              </w:rPr>
            </w:pPr>
            <w:r>
              <w:rPr>
                <w:color w:val="auto"/>
                <w:sz w:val="18"/>
                <w:szCs w:val="18"/>
              </w:rPr>
              <w:t>1</w:t>
            </w:r>
          </w:p>
        </w:tc>
        <w:tc>
          <w:tcPr>
            <w:tcW w:w="3552" w:type="dxa"/>
            <w:noWrap w:val="0"/>
            <w:vAlign w:val="top"/>
          </w:tcPr>
          <w:p w14:paraId="047658B7">
            <w:pPr>
              <w:adjustRightInd w:val="0"/>
              <w:snapToGrid w:val="0"/>
              <w:spacing w:line="300" w:lineRule="exact"/>
              <w:ind w:right="45"/>
              <w:jc w:val="center"/>
              <w:rPr>
                <w:color w:val="auto"/>
                <w:sz w:val="18"/>
                <w:szCs w:val="18"/>
              </w:rPr>
            </w:pPr>
            <w:r>
              <w:rPr>
                <w:color w:val="auto"/>
                <w:sz w:val="18"/>
                <w:szCs w:val="18"/>
              </w:rPr>
              <w:t>21.0</w:t>
            </w:r>
          </w:p>
        </w:tc>
        <w:tc>
          <w:tcPr>
            <w:tcW w:w="3351" w:type="dxa"/>
            <w:noWrap w:val="0"/>
            <w:vAlign w:val="top"/>
          </w:tcPr>
          <w:p w14:paraId="348E957B">
            <w:pPr>
              <w:adjustRightInd w:val="0"/>
              <w:snapToGrid w:val="0"/>
              <w:spacing w:line="300" w:lineRule="exact"/>
              <w:ind w:right="45"/>
              <w:jc w:val="center"/>
              <w:rPr>
                <w:color w:val="auto"/>
                <w:sz w:val="18"/>
                <w:szCs w:val="18"/>
              </w:rPr>
            </w:pPr>
            <w:r>
              <w:rPr>
                <w:color w:val="auto"/>
                <w:sz w:val="18"/>
                <w:szCs w:val="18"/>
              </w:rPr>
              <w:t>19.7</w:t>
            </w:r>
          </w:p>
        </w:tc>
      </w:tr>
      <w:tr w14:paraId="6C6D7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045DBC98">
            <w:pPr>
              <w:adjustRightInd w:val="0"/>
              <w:snapToGrid w:val="0"/>
              <w:spacing w:line="300" w:lineRule="exact"/>
              <w:ind w:right="45"/>
              <w:jc w:val="center"/>
              <w:rPr>
                <w:color w:val="auto"/>
                <w:sz w:val="18"/>
                <w:szCs w:val="18"/>
              </w:rPr>
            </w:pPr>
            <w:r>
              <w:rPr>
                <w:color w:val="auto"/>
                <w:sz w:val="18"/>
                <w:szCs w:val="18"/>
              </w:rPr>
              <w:t>2</w:t>
            </w:r>
          </w:p>
        </w:tc>
        <w:tc>
          <w:tcPr>
            <w:tcW w:w="3552" w:type="dxa"/>
            <w:noWrap w:val="0"/>
            <w:vAlign w:val="top"/>
          </w:tcPr>
          <w:p w14:paraId="3AB3A596">
            <w:pPr>
              <w:adjustRightInd w:val="0"/>
              <w:snapToGrid w:val="0"/>
              <w:spacing w:line="300" w:lineRule="exact"/>
              <w:ind w:right="45"/>
              <w:jc w:val="center"/>
              <w:rPr>
                <w:color w:val="auto"/>
                <w:sz w:val="18"/>
                <w:szCs w:val="18"/>
              </w:rPr>
            </w:pPr>
            <w:r>
              <w:rPr>
                <w:color w:val="auto"/>
                <w:sz w:val="18"/>
                <w:szCs w:val="18"/>
              </w:rPr>
              <w:t>25.0</w:t>
            </w:r>
          </w:p>
        </w:tc>
        <w:tc>
          <w:tcPr>
            <w:tcW w:w="3351" w:type="dxa"/>
            <w:noWrap w:val="0"/>
            <w:vAlign w:val="top"/>
          </w:tcPr>
          <w:p w14:paraId="75884AE6">
            <w:pPr>
              <w:adjustRightInd w:val="0"/>
              <w:snapToGrid w:val="0"/>
              <w:spacing w:line="300" w:lineRule="exact"/>
              <w:ind w:right="45"/>
              <w:jc w:val="center"/>
              <w:rPr>
                <w:color w:val="auto"/>
                <w:sz w:val="18"/>
                <w:szCs w:val="18"/>
              </w:rPr>
            </w:pPr>
            <w:r>
              <w:rPr>
                <w:color w:val="auto"/>
                <w:sz w:val="18"/>
                <w:szCs w:val="18"/>
              </w:rPr>
              <w:t>21.8</w:t>
            </w:r>
          </w:p>
        </w:tc>
      </w:tr>
      <w:tr w14:paraId="49DF5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766355AC">
            <w:pPr>
              <w:adjustRightInd w:val="0"/>
              <w:snapToGrid w:val="0"/>
              <w:spacing w:line="300" w:lineRule="exact"/>
              <w:ind w:right="45"/>
              <w:jc w:val="center"/>
              <w:rPr>
                <w:color w:val="auto"/>
                <w:sz w:val="18"/>
                <w:szCs w:val="18"/>
              </w:rPr>
            </w:pPr>
            <w:r>
              <w:rPr>
                <w:color w:val="auto"/>
                <w:sz w:val="18"/>
                <w:szCs w:val="18"/>
              </w:rPr>
              <w:t>3</w:t>
            </w:r>
          </w:p>
        </w:tc>
        <w:tc>
          <w:tcPr>
            <w:tcW w:w="3552" w:type="dxa"/>
            <w:noWrap w:val="0"/>
            <w:vAlign w:val="top"/>
          </w:tcPr>
          <w:p w14:paraId="60CEC8AF">
            <w:pPr>
              <w:adjustRightInd w:val="0"/>
              <w:snapToGrid w:val="0"/>
              <w:spacing w:line="300" w:lineRule="exact"/>
              <w:ind w:right="45"/>
              <w:jc w:val="center"/>
              <w:rPr>
                <w:color w:val="auto"/>
                <w:sz w:val="18"/>
                <w:szCs w:val="18"/>
              </w:rPr>
            </w:pPr>
            <w:r>
              <w:rPr>
                <w:color w:val="auto"/>
                <w:sz w:val="18"/>
                <w:szCs w:val="18"/>
              </w:rPr>
              <w:t>51.8</w:t>
            </w:r>
          </w:p>
        </w:tc>
        <w:tc>
          <w:tcPr>
            <w:tcW w:w="3351" w:type="dxa"/>
            <w:noWrap w:val="0"/>
            <w:vAlign w:val="top"/>
          </w:tcPr>
          <w:p w14:paraId="4F17D111">
            <w:pPr>
              <w:adjustRightInd w:val="0"/>
              <w:snapToGrid w:val="0"/>
              <w:spacing w:line="300" w:lineRule="exact"/>
              <w:ind w:right="45"/>
              <w:jc w:val="center"/>
              <w:rPr>
                <w:color w:val="auto"/>
                <w:sz w:val="18"/>
                <w:szCs w:val="18"/>
              </w:rPr>
            </w:pPr>
            <w:r>
              <w:rPr>
                <w:color w:val="auto"/>
                <w:sz w:val="18"/>
                <w:szCs w:val="18"/>
              </w:rPr>
              <w:t>33.2</w:t>
            </w:r>
          </w:p>
        </w:tc>
      </w:tr>
      <w:tr w14:paraId="39E97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149A46A9">
            <w:pPr>
              <w:adjustRightInd w:val="0"/>
              <w:snapToGrid w:val="0"/>
              <w:spacing w:line="300" w:lineRule="exact"/>
              <w:ind w:right="45"/>
              <w:jc w:val="center"/>
              <w:rPr>
                <w:color w:val="auto"/>
                <w:sz w:val="18"/>
                <w:szCs w:val="18"/>
              </w:rPr>
            </w:pPr>
            <w:r>
              <w:rPr>
                <w:color w:val="auto"/>
                <w:sz w:val="18"/>
                <w:szCs w:val="18"/>
              </w:rPr>
              <w:t>4</w:t>
            </w:r>
          </w:p>
        </w:tc>
        <w:tc>
          <w:tcPr>
            <w:tcW w:w="3552" w:type="dxa"/>
            <w:noWrap w:val="0"/>
            <w:vAlign w:val="top"/>
          </w:tcPr>
          <w:p w14:paraId="43A07DAE">
            <w:pPr>
              <w:adjustRightInd w:val="0"/>
              <w:snapToGrid w:val="0"/>
              <w:spacing w:line="300" w:lineRule="exact"/>
              <w:ind w:right="45"/>
              <w:jc w:val="center"/>
              <w:rPr>
                <w:color w:val="auto"/>
                <w:sz w:val="18"/>
                <w:szCs w:val="18"/>
              </w:rPr>
            </w:pPr>
            <w:r>
              <w:rPr>
                <w:color w:val="auto"/>
                <w:sz w:val="18"/>
                <w:szCs w:val="18"/>
              </w:rPr>
              <w:t>70.3</w:t>
            </w:r>
          </w:p>
        </w:tc>
        <w:tc>
          <w:tcPr>
            <w:tcW w:w="3351" w:type="dxa"/>
            <w:noWrap w:val="0"/>
            <w:vAlign w:val="top"/>
          </w:tcPr>
          <w:p w14:paraId="6D45A9BB">
            <w:pPr>
              <w:adjustRightInd w:val="0"/>
              <w:snapToGrid w:val="0"/>
              <w:spacing w:line="300" w:lineRule="exact"/>
              <w:ind w:right="45"/>
              <w:jc w:val="center"/>
              <w:rPr>
                <w:color w:val="auto"/>
                <w:sz w:val="18"/>
                <w:szCs w:val="18"/>
              </w:rPr>
            </w:pPr>
            <w:r>
              <w:rPr>
                <w:color w:val="auto"/>
                <w:sz w:val="18"/>
                <w:szCs w:val="18"/>
              </w:rPr>
              <w:t>108.3</w:t>
            </w:r>
          </w:p>
        </w:tc>
      </w:tr>
      <w:tr w14:paraId="1A0E9B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7F4EAE95">
            <w:pPr>
              <w:adjustRightInd w:val="0"/>
              <w:snapToGrid w:val="0"/>
              <w:spacing w:line="300" w:lineRule="exact"/>
              <w:ind w:right="45"/>
              <w:jc w:val="center"/>
              <w:rPr>
                <w:color w:val="auto"/>
                <w:sz w:val="18"/>
                <w:szCs w:val="18"/>
              </w:rPr>
            </w:pPr>
            <w:r>
              <w:rPr>
                <w:color w:val="auto"/>
                <w:sz w:val="18"/>
                <w:szCs w:val="18"/>
              </w:rPr>
              <w:t>5</w:t>
            </w:r>
          </w:p>
        </w:tc>
        <w:tc>
          <w:tcPr>
            <w:tcW w:w="3552" w:type="dxa"/>
            <w:noWrap w:val="0"/>
            <w:vAlign w:val="top"/>
          </w:tcPr>
          <w:p w14:paraId="73BA7337">
            <w:pPr>
              <w:adjustRightInd w:val="0"/>
              <w:snapToGrid w:val="0"/>
              <w:spacing w:line="300" w:lineRule="exact"/>
              <w:ind w:right="45"/>
              <w:jc w:val="center"/>
              <w:rPr>
                <w:color w:val="auto"/>
                <w:sz w:val="18"/>
                <w:szCs w:val="18"/>
              </w:rPr>
            </w:pPr>
            <w:r>
              <w:rPr>
                <w:color w:val="auto"/>
                <w:sz w:val="18"/>
                <w:szCs w:val="18"/>
              </w:rPr>
              <w:t>90.9</w:t>
            </w:r>
          </w:p>
        </w:tc>
        <w:tc>
          <w:tcPr>
            <w:tcW w:w="3351" w:type="dxa"/>
            <w:noWrap w:val="0"/>
            <w:vAlign w:val="top"/>
          </w:tcPr>
          <w:p w14:paraId="11333950">
            <w:pPr>
              <w:adjustRightInd w:val="0"/>
              <w:snapToGrid w:val="0"/>
              <w:spacing w:line="300" w:lineRule="exact"/>
              <w:ind w:right="45"/>
              <w:jc w:val="center"/>
              <w:rPr>
                <w:color w:val="auto"/>
                <w:sz w:val="18"/>
                <w:szCs w:val="18"/>
              </w:rPr>
            </w:pPr>
            <w:r>
              <w:rPr>
                <w:color w:val="auto"/>
                <w:sz w:val="18"/>
                <w:szCs w:val="18"/>
              </w:rPr>
              <w:t>191.8</w:t>
            </w:r>
          </w:p>
        </w:tc>
      </w:tr>
      <w:tr w14:paraId="5339D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60C45FC9">
            <w:pPr>
              <w:adjustRightInd w:val="0"/>
              <w:snapToGrid w:val="0"/>
              <w:spacing w:line="300" w:lineRule="exact"/>
              <w:ind w:right="45"/>
              <w:jc w:val="center"/>
              <w:rPr>
                <w:color w:val="auto"/>
                <w:sz w:val="18"/>
                <w:szCs w:val="18"/>
              </w:rPr>
            </w:pPr>
            <w:r>
              <w:rPr>
                <w:color w:val="auto"/>
                <w:sz w:val="18"/>
                <w:szCs w:val="18"/>
              </w:rPr>
              <w:t>6</w:t>
            </w:r>
          </w:p>
        </w:tc>
        <w:tc>
          <w:tcPr>
            <w:tcW w:w="3552" w:type="dxa"/>
            <w:noWrap w:val="0"/>
            <w:vAlign w:val="top"/>
          </w:tcPr>
          <w:p w14:paraId="42FE89D8">
            <w:pPr>
              <w:adjustRightInd w:val="0"/>
              <w:snapToGrid w:val="0"/>
              <w:spacing w:line="300" w:lineRule="exact"/>
              <w:ind w:right="45"/>
              <w:jc w:val="center"/>
              <w:rPr>
                <w:color w:val="auto"/>
                <w:sz w:val="18"/>
                <w:szCs w:val="18"/>
              </w:rPr>
            </w:pPr>
            <w:r>
              <w:rPr>
                <w:color w:val="auto"/>
                <w:sz w:val="18"/>
                <w:szCs w:val="18"/>
              </w:rPr>
              <w:t>92.7</w:t>
            </w:r>
          </w:p>
        </w:tc>
        <w:tc>
          <w:tcPr>
            <w:tcW w:w="3351" w:type="dxa"/>
            <w:noWrap w:val="0"/>
            <w:vAlign w:val="top"/>
          </w:tcPr>
          <w:p w14:paraId="04610511">
            <w:pPr>
              <w:adjustRightInd w:val="0"/>
              <w:snapToGrid w:val="0"/>
              <w:spacing w:line="300" w:lineRule="exact"/>
              <w:ind w:right="45"/>
              <w:jc w:val="center"/>
              <w:rPr>
                <w:color w:val="auto"/>
                <w:sz w:val="18"/>
                <w:szCs w:val="18"/>
              </w:rPr>
            </w:pPr>
            <w:r>
              <w:rPr>
                <w:color w:val="auto"/>
                <w:sz w:val="18"/>
                <w:szCs w:val="18"/>
              </w:rPr>
              <w:t>213.2</w:t>
            </w:r>
          </w:p>
        </w:tc>
      </w:tr>
      <w:tr w14:paraId="0A902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16BD016A">
            <w:pPr>
              <w:adjustRightInd w:val="0"/>
              <w:snapToGrid w:val="0"/>
              <w:spacing w:line="300" w:lineRule="exact"/>
              <w:ind w:right="45"/>
              <w:jc w:val="center"/>
              <w:rPr>
                <w:color w:val="auto"/>
                <w:sz w:val="18"/>
                <w:szCs w:val="18"/>
              </w:rPr>
            </w:pPr>
            <w:r>
              <w:rPr>
                <w:color w:val="auto"/>
                <w:sz w:val="18"/>
                <w:szCs w:val="18"/>
              </w:rPr>
              <w:t>7</w:t>
            </w:r>
          </w:p>
        </w:tc>
        <w:tc>
          <w:tcPr>
            <w:tcW w:w="3552" w:type="dxa"/>
            <w:noWrap w:val="0"/>
            <w:vAlign w:val="top"/>
          </w:tcPr>
          <w:p w14:paraId="6ADFACF6">
            <w:pPr>
              <w:adjustRightInd w:val="0"/>
              <w:snapToGrid w:val="0"/>
              <w:spacing w:line="300" w:lineRule="exact"/>
              <w:ind w:right="45"/>
              <w:jc w:val="center"/>
              <w:rPr>
                <w:color w:val="auto"/>
                <w:sz w:val="18"/>
                <w:szCs w:val="18"/>
              </w:rPr>
            </w:pPr>
            <w:r>
              <w:rPr>
                <w:color w:val="auto"/>
                <w:sz w:val="18"/>
                <w:szCs w:val="18"/>
              </w:rPr>
              <w:t>116.9</w:t>
            </w:r>
          </w:p>
        </w:tc>
        <w:tc>
          <w:tcPr>
            <w:tcW w:w="3351" w:type="dxa"/>
            <w:noWrap w:val="0"/>
            <w:vAlign w:val="top"/>
          </w:tcPr>
          <w:p w14:paraId="45EB5360">
            <w:pPr>
              <w:adjustRightInd w:val="0"/>
              <w:snapToGrid w:val="0"/>
              <w:spacing w:line="300" w:lineRule="exact"/>
              <w:ind w:right="45"/>
              <w:jc w:val="center"/>
              <w:rPr>
                <w:color w:val="auto"/>
                <w:sz w:val="18"/>
                <w:szCs w:val="18"/>
              </w:rPr>
            </w:pPr>
            <w:r>
              <w:rPr>
                <w:color w:val="auto"/>
                <w:sz w:val="18"/>
                <w:szCs w:val="18"/>
              </w:rPr>
              <w:t>178.9</w:t>
            </w:r>
          </w:p>
        </w:tc>
      </w:tr>
      <w:tr w14:paraId="1E05E4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586D72FB">
            <w:pPr>
              <w:adjustRightInd w:val="0"/>
              <w:snapToGrid w:val="0"/>
              <w:spacing w:line="300" w:lineRule="exact"/>
              <w:ind w:right="45"/>
              <w:jc w:val="center"/>
              <w:rPr>
                <w:color w:val="auto"/>
                <w:sz w:val="18"/>
                <w:szCs w:val="18"/>
              </w:rPr>
            </w:pPr>
            <w:r>
              <w:rPr>
                <w:color w:val="auto"/>
                <w:sz w:val="18"/>
                <w:szCs w:val="18"/>
              </w:rPr>
              <w:t>8</w:t>
            </w:r>
          </w:p>
        </w:tc>
        <w:tc>
          <w:tcPr>
            <w:tcW w:w="3552" w:type="dxa"/>
            <w:noWrap w:val="0"/>
            <w:vAlign w:val="top"/>
          </w:tcPr>
          <w:p w14:paraId="55B27D28">
            <w:pPr>
              <w:adjustRightInd w:val="0"/>
              <w:snapToGrid w:val="0"/>
              <w:spacing w:line="300" w:lineRule="exact"/>
              <w:ind w:right="45"/>
              <w:jc w:val="center"/>
              <w:rPr>
                <w:color w:val="auto"/>
                <w:sz w:val="18"/>
                <w:szCs w:val="18"/>
              </w:rPr>
            </w:pPr>
            <w:r>
              <w:rPr>
                <w:color w:val="auto"/>
                <w:sz w:val="18"/>
                <w:szCs w:val="18"/>
              </w:rPr>
              <w:t>110.1</w:t>
            </w:r>
          </w:p>
        </w:tc>
        <w:tc>
          <w:tcPr>
            <w:tcW w:w="3351" w:type="dxa"/>
            <w:noWrap w:val="0"/>
            <w:vAlign w:val="top"/>
          </w:tcPr>
          <w:p w14:paraId="180F1274">
            <w:pPr>
              <w:adjustRightInd w:val="0"/>
              <w:snapToGrid w:val="0"/>
              <w:spacing w:line="300" w:lineRule="exact"/>
              <w:ind w:right="45"/>
              <w:jc w:val="center"/>
              <w:rPr>
                <w:color w:val="auto"/>
                <w:sz w:val="18"/>
                <w:szCs w:val="18"/>
              </w:rPr>
            </w:pPr>
            <w:r>
              <w:rPr>
                <w:color w:val="auto"/>
                <w:sz w:val="18"/>
                <w:szCs w:val="18"/>
              </w:rPr>
              <w:t>142.0</w:t>
            </w:r>
          </w:p>
        </w:tc>
      </w:tr>
      <w:tr w14:paraId="5F939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45521DD4">
            <w:pPr>
              <w:adjustRightInd w:val="0"/>
              <w:snapToGrid w:val="0"/>
              <w:spacing w:line="300" w:lineRule="exact"/>
              <w:ind w:right="45"/>
              <w:jc w:val="center"/>
              <w:rPr>
                <w:color w:val="auto"/>
                <w:sz w:val="18"/>
                <w:szCs w:val="18"/>
              </w:rPr>
            </w:pPr>
            <w:r>
              <w:rPr>
                <w:color w:val="auto"/>
                <w:sz w:val="18"/>
                <w:szCs w:val="18"/>
              </w:rPr>
              <w:t>9</w:t>
            </w:r>
          </w:p>
        </w:tc>
        <w:tc>
          <w:tcPr>
            <w:tcW w:w="3552" w:type="dxa"/>
            <w:noWrap w:val="0"/>
            <w:vAlign w:val="top"/>
          </w:tcPr>
          <w:p w14:paraId="713D8804">
            <w:pPr>
              <w:adjustRightInd w:val="0"/>
              <w:snapToGrid w:val="0"/>
              <w:spacing w:line="300" w:lineRule="exact"/>
              <w:ind w:right="45"/>
              <w:jc w:val="center"/>
              <w:rPr>
                <w:color w:val="auto"/>
                <w:sz w:val="18"/>
                <w:szCs w:val="18"/>
              </w:rPr>
            </w:pPr>
            <w:r>
              <w:rPr>
                <w:color w:val="auto"/>
                <w:sz w:val="18"/>
                <w:szCs w:val="18"/>
              </w:rPr>
              <w:t>74.7</w:t>
            </w:r>
          </w:p>
        </w:tc>
        <w:tc>
          <w:tcPr>
            <w:tcW w:w="3351" w:type="dxa"/>
            <w:noWrap w:val="0"/>
            <w:vAlign w:val="top"/>
          </w:tcPr>
          <w:p w14:paraId="3DEE8451">
            <w:pPr>
              <w:adjustRightInd w:val="0"/>
              <w:snapToGrid w:val="0"/>
              <w:spacing w:line="300" w:lineRule="exact"/>
              <w:ind w:right="45"/>
              <w:jc w:val="center"/>
              <w:rPr>
                <w:color w:val="auto"/>
                <w:sz w:val="18"/>
                <w:szCs w:val="18"/>
              </w:rPr>
            </w:pPr>
            <w:r>
              <w:rPr>
                <w:color w:val="auto"/>
                <w:sz w:val="18"/>
                <w:szCs w:val="18"/>
              </w:rPr>
              <w:t>82.5</w:t>
            </w:r>
          </w:p>
        </w:tc>
      </w:tr>
      <w:tr w14:paraId="6F2F8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734A30A6">
            <w:pPr>
              <w:adjustRightInd w:val="0"/>
              <w:snapToGrid w:val="0"/>
              <w:spacing w:line="300" w:lineRule="exact"/>
              <w:ind w:right="45"/>
              <w:jc w:val="center"/>
              <w:rPr>
                <w:color w:val="auto"/>
                <w:sz w:val="18"/>
                <w:szCs w:val="18"/>
              </w:rPr>
            </w:pPr>
            <w:r>
              <w:rPr>
                <w:color w:val="auto"/>
                <w:sz w:val="18"/>
                <w:szCs w:val="18"/>
              </w:rPr>
              <w:t>10</w:t>
            </w:r>
          </w:p>
        </w:tc>
        <w:tc>
          <w:tcPr>
            <w:tcW w:w="3552" w:type="dxa"/>
            <w:noWrap w:val="0"/>
            <w:vAlign w:val="top"/>
          </w:tcPr>
          <w:p w14:paraId="201C0D81">
            <w:pPr>
              <w:adjustRightInd w:val="0"/>
              <w:snapToGrid w:val="0"/>
              <w:spacing w:line="300" w:lineRule="exact"/>
              <w:ind w:right="45"/>
              <w:jc w:val="center"/>
              <w:rPr>
                <w:color w:val="auto"/>
                <w:sz w:val="18"/>
                <w:szCs w:val="18"/>
              </w:rPr>
            </w:pPr>
            <w:r>
              <w:rPr>
                <w:color w:val="auto"/>
                <w:sz w:val="18"/>
                <w:szCs w:val="18"/>
              </w:rPr>
              <w:t>46.7</w:t>
            </w:r>
          </w:p>
        </w:tc>
        <w:tc>
          <w:tcPr>
            <w:tcW w:w="3351" w:type="dxa"/>
            <w:noWrap w:val="0"/>
            <w:vAlign w:val="top"/>
          </w:tcPr>
          <w:p w14:paraId="742320B2">
            <w:pPr>
              <w:adjustRightInd w:val="0"/>
              <w:snapToGrid w:val="0"/>
              <w:spacing w:line="300" w:lineRule="exact"/>
              <w:ind w:right="45"/>
              <w:jc w:val="center"/>
              <w:rPr>
                <w:color w:val="auto"/>
                <w:sz w:val="18"/>
                <w:szCs w:val="18"/>
              </w:rPr>
            </w:pPr>
            <w:r>
              <w:rPr>
                <w:color w:val="auto"/>
                <w:sz w:val="18"/>
                <w:szCs w:val="18"/>
              </w:rPr>
              <w:t>89.2</w:t>
            </w:r>
          </w:p>
        </w:tc>
      </w:tr>
      <w:tr w14:paraId="46D620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1" w:hRule="atLeast"/>
          <w:jc w:val="center"/>
        </w:trPr>
        <w:tc>
          <w:tcPr>
            <w:tcW w:w="2306" w:type="dxa"/>
            <w:noWrap w:val="0"/>
            <w:vAlign w:val="top"/>
          </w:tcPr>
          <w:p w14:paraId="6510AB42">
            <w:pPr>
              <w:adjustRightInd w:val="0"/>
              <w:snapToGrid w:val="0"/>
              <w:spacing w:line="300" w:lineRule="exact"/>
              <w:ind w:right="45"/>
              <w:jc w:val="center"/>
              <w:rPr>
                <w:color w:val="auto"/>
                <w:sz w:val="18"/>
                <w:szCs w:val="18"/>
              </w:rPr>
            </w:pPr>
            <w:r>
              <w:rPr>
                <w:color w:val="auto"/>
                <w:sz w:val="18"/>
                <w:szCs w:val="18"/>
              </w:rPr>
              <w:t>11</w:t>
            </w:r>
          </w:p>
        </w:tc>
        <w:tc>
          <w:tcPr>
            <w:tcW w:w="3552" w:type="dxa"/>
            <w:noWrap w:val="0"/>
            <w:vAlign w:val="top"/>
          </w:tcPr>
          <w:p w14:paraId="5B5D7A22">
            <w:pPr>
              <w:adjustRightInd w:val="0"/>
              <w:snapToGrid w:val="0"/>
              <w:spacing w:line="300" w:lineRule="exact"/>
              <w:ind w:right="45"/>
              <w:jc w:val="center"/>
              <w:rPr>
                <w:color w:val="auto"/>
                <w:sz w:val="18"/>
                <w:szCs w:val="18"/>
              </w:rPr>
            </w:pPr>
            <w:r>
              <w:rPr>
                <w:color w:val="auto"/>
                <w:sz w:val="18"/>
                <w:szCs w:val="18"/>
              </w:rPr>
              <w:t>28.1</w:t>
            </w:r>
          </w:p>
        </w:tc>
        <w:tc>
          <w:tcPr>
            <w:tcW w:w="3351" w:type="dxa"/>
            <w:noWrap w:val="0"/>
            <w:vAlign w:val="top"/>
          </w:tcPr>
          <w:p w14:paraId="5FA33FD0">
            <w:pPr>
              <w:adjustRightInd w:val="0"/>
              <w:snapToGrid w:val="0"/>
              <w:spacing w:line="300" w:lineRule="exact"/>
              <w:ind w:right="45"/>
              <w:jc w:val="center"/>
              <w:rPr>
                <w:color w:val="auto"/>
                <w:sz w:val="18"/>
                <w:szCs w:val="18"/>
              </w:rPr>
            </w:pPr>
            <w:r>
              <w:rPr>
                <w:color w:val="auto"/>
                <w:sz w:val="18"/>
                <w:szCs w:val="18"/>
              </w:rPr>
              <w:t>55.9</w:t>
            </w:r>
          </w:p>
        </w:tc>
      </w:tr>
      <w:tr w14:paraId="748B3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2306" w:type="dxa"/>
            <w:noWrap w:val="0"/>
            <w:vAlign w:val="top"/>
          </w:tcPr>
          <w:p w14:paraId="3EC24159">
            <w:pPr>
              <w:adjustRightInd w:val="0"/>
              <w:snapToGrid w:val="0"/>
              <w:spacing w:line="300" w:lineRule="exact"/>
              <w:ind w:right="45"/>
              <w:jc w:val="center"/>
              <w:rPr>
                <w:color w:val="auto"/>
                <w:sz w:val="18"/>
                <w:szCs w:val="18"/>
              </w:rPr>
            </w:pPr>
            <w:r>
              <w:rPr>
                <w:color w:val="auto"/>
                <w:sz w:val="18"/>
                <w:szCs w:val="18"/>
              </w:rPr>
              <w:t>12</w:t>
            </w:r>
          </w:p>
        </w:tc>
        <w:tc>
          <w:tcPr>
            <w:tcW w:w="3552" w:type="dxa"/>
            <w:noWrap w:val="0"/>
            <w:vAlign w:val="top"/>
          </w:tcPr>
          <w:p w14:paraId="2E7B9AAF">
            <w:pPr>
              <w:adjustRightInd w:val="0"/>
              <w:snapToGrid w:val="0"/>
              <w:spacing w:line="300" w:lineRule="exact"/>
              <w:ind w:right="45"/>
              <w:jc w:val="center"/>
              <w:rPr>
                <w:color w:val="auto"/>
                <w:sz w:val="18"/>
                <w:szCs w:val="18"/>
              </w:rPr>
            </w:pPr>
            <w:r>
              <w:rPr>
                <w:color w:val="auto"/>
                <w:sz w:val="18"/>
                <w:szCs w:val="18"/>
              </w:rPr>
              <w:t>21.1</w:t>
            </w:r>
          </w:p>
        </w:tc>
        <w:tc>
          <w:tcPr>
            <w:tcW w:w="3351" w:type="dxa"/>
            <w:noWrap w:val="0"/>
            <w:vAlign w:val="top"/>
          </w:tcPr>
          <w:p w14:paraId="20BF70ED">
            <w:pPr>
              <w:adjustRightInd w:val="0"/>
              <w:snapToGrid w:val="0"/>
              <w:spacing w:line="300" w:lineRule="exact"/>
              <w:ind w:right="45"/>
              <w:jc w:val="center"/>
              <w:rPr>
                <w:color w:val="auto"/>
                <w:sz w:val="18"/>
                <w:szCs w:val="18"/>
              </w:rPr>
            </w:pPr>
            <w:r>
              <w:rPr>
                <w:color w:val="auto"/>
                <w:sz w:val="18"/>
                <w:szCs w:val="18"/>
              </w:rPr>
              <w:t>25.7</w:t>
            </w:r>
          </w:p>
        </w:tc>
      </w:tr>
      <w:tr w14:paraId="456FF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 w:hRule="atLeast"/>
          <w:jc w:val="center"/>
        </w:trPr>
        <w:tc>
          <w:tcPr>
            <w:tcW w:w="9209" w:type="dxa"/>
            <w:gridSpan w:val="3"/>
            <w:noWrap w:val="0"/>
            <w:vAlign w:val="top"/>
          </w:tcPr>
          <w:p w14:paraId="4AFC9FDD">
            <w:pPr>
              <w:adjustRightInd w:val="0"/>
              <w:snapToGrid w:val="0"/>
              <w:ind w:right="45"/>
              <w:jc w:val="center"/>
              <w:rPr>
                <w:color w:val="auto"/>
                <w:sz w:val="18"/>
                <w:szCs w:val="18"/>
              </w:rPr>
            </w:pPr>
            <w:r>
              <w:rPr>
                <w:color w:val="auto"/>
                <w:sz w:val="18"/>
                <w:szCs w:val="18"/>
              </w:rPr>
              <w:t>注：由于实际蒸发量尚难全面科学测定，中央气象局按彭曼（H.L.Penman）公式换算出蒸发力。经证实，实用效果较好。公式包括日照、气温、辐射平衡、相对湿度、风速等气象要素。</w:t>
            </w:r>
          </w:p>
        </w:tc>
      </w:tr>
    </w:tbl>
    <w:p w14:paraId="4958D9AE">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14</w:t>
      </w:r>
      <w:r>
        <w:rPr>
          <w:color w:val="auto"/>
        </w:rPr>
        <w:fldChar w:fldCharType="end"/>
      </w:r>
      <w:r>
        <w:rPr>
          <w:b/>
          <w:color w:val="auto"/>
          <w:szCs w:val="21"/>
        </w:rPr>
        <w:t xml:space="preserve">  干燥度大于1的月份的蒸发和降水量</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3183"/>
        <w:gridCol w:w="3099"/>
      </w:tblGrid>
      <w:tr w14:paraId="04F7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9" w:type="dxa"/>
            <w:noWrap w:val="0"/>
            <w:vAlign w:val="center"/>
          </w:tcPr>
          <w:p w14:paraId="3B3C97E2">
            <w:pPr>
              <w:adjustRightInd w:val="0"/>
              <w:snapToGrid w:val="0"/>
              <w:ind w:right="28"/>
              <w:jc w:val="center"/>
              <w:rPr>
                <w:color w:val="auto"/>
                <w:sz w:val="18"/>
                <w:szCs w:val="18"/>
              </w:rPr>
            </w:pPr>
            <w:r>
              <w:rPr>
                <w:color w:val="auto"/>
                <w:sz w:val="18"/>
                <w:szCs w:val="18"/>
              </w:rPr>
              <w:t>月份</w:t>
            </w:r>
          </w:p>
        </w:tc>
        <w:tc>
          <w:tcPr>
            <w:tcW w:w="3183" w:type="dxa"/>
            <w:noWrap w:val="0"/>
            <w:vAlign w:val="center"/>
          </w:tcPr>
          <w:p w14:paraId="599BA8A2">
            <w:pPr>
              <w:adjustRightInd w:val="0"/>
              <w:snapToGrid w:val="0"/>
              <w:ind w:right="49"/>
              <w:jc w:val="center"/>
              <w:rPr>
                <w:color w:val="auto"/>
                <w:sz w:val="18"/>
                <w:szCs w:val="18"/>
              </w:rPr>
            </w:pPr>
            <w:r>
              <w:rPr>
                <w:color w:val="auto"/>
                <w:sz w:val="18"/>
                <w:szCs w:val="18"/>
              </w:rPr>
              <w:t>蒸发力（mm）</w:t>
            </w:r>
          </w:p>
        </w:tc>
        <w:tc>
          <w:tcPr>
            <w:tcW w:w="3099" w:type="dxa"/>
            <w:noWrap w:val="0"/>
            <w:vAlign w:val="center"/>
          </w:tcPr>
          <w:p w14:paraId="5071B283">
            <w:pPr>
              <w:adjustRightInd w:val="0"/>
              <w:snapToGrid w:val="0"/>
              <w:ind w:right="-6"/>
              <w:jc w:val="center"/>
              <w:rPr>
                <w:color w:val="auto"/>
                <w:sz w:val="18"/>
                <w:szCs w:val="18"/>
              </w:rPr>
            </w:pPr>
            <w:r>
              <w:rPr>
                <w:color w:val="auto"/>
                <w:sz w:val="18"/>
                <w:szCs w:val="18"/>
              </w:rPr>
              <w:t>降水量（mm）</w:t>
            </w:r>
          </w:p>
        </w:tc>
      </w:tr>
      <w:tr w14:paraId="4EA8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9" w:type="dxa"/>
            <w:noWrap w:val="0"/>
            <w:vAlign w:val="center"/>
          </w:tcPr>
          <w:p w14:paraId="5A24FAEC">
            <w:pPr>
              <w:adjustRightInd w:val="0"/>
              <w:snapToGrid w:val="0"/>
              <w:ind w:right="42"/>
              <w:jc w:val="center"/>
              <w:rPr>
                <w:color w:val="auto"/>
                <w:sz w:val="18"/>
                <w:szCs w:val="18"/>
              </w:rPr>
            </w:pPr>
            <w:r>
              <w:rPr>
                <w:color w:val="auto"/>
                <w:sz w:val="18"/>
                <w:szCs w:val="18"/>
              </w:rPr>
              <w:t>1</w:t>
            </w:r>
          </w:p>
        </w:tc>
        <w:tc>
          <w:tcPr>
            <w:tcW w:w="3183" w:type="dxa"/>
            <w:noWrap w:val="0"/>
            <w:vAlign w:val="center"/>
          </w:tcPr>
          <w:p w14:paraId="5578A1F6">
            <w:pPr>
              <w:adjustRightInd w:val="0"/>
              <w:snapToGrid w:val="0"/>
              <w:ind w:right="42"/>
              <w:jc w:val="center"/>
              <w:rPr>
                <w:color w:val="auto"/>
                <w:sz w:val="18"/>
                <w:szCs w:val="18"/>
              </w:rPr>
            </w:pPr>
            <w:r>
              <w:rPr>
                <w:color w:val="auto"/>
                <w:sz w:val="18"/>
                <w:szCs w:val="18"/>
              </w:rPr>
              <w:t>21.0</w:t>
            </w:r>
          </w:p>
        </w:tc>
        <w:tc>
          <w:tcPr>
            <w:tcW w:w="3099" w:type="dxa"/>
            <w:noWrap w:val="0"/>
            <w:vAlign w:val="center"/>
          </w:tcPr>
          <w:p w14:paraId="3F674EDB">
            <w:pPr>
              <w:adjustRightInd w:val="0"/>
              <w:snapToGrid w:val="0"/>
              <w:ind w:right="-6"/>
              <w:jc w:val="center"/>
              <w:rPr>
                <w:color w:val="auto"/>
                <w:sz w:val="18"/>
                <w:szCs w:val="18"/>
              </w:rPr>
            </w:pPr>
            <w:r>
              <w:rPr>
                <w:color w:val="auto"/>
                <w:sz w:val="18"/>
                <w:szCs w:val="18"/>
              </w:rPr>
              <w:t>19.7</w:t>
            </w:r>
          </w:p>
        </w:tc>
      </w:tr>
      <w:tr w14:paraId="0DE0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9" w:type="dxa"/>
            <w:noWrap w:val="0"/>
            <w:vAlign w:val="center"/>
          </w:tcPr>
          <w:p w14:paraId="4FEBAA20">
            <w:pPr>
              <w:adjustRightInd w:val="0"/>
              <w:snapToGrid w:val="0"/>
              <w:ind w:right="42"/>
              <w:jc w:val="center"/>
              <w:rPr>
                <w:color w:val="auto"/>
                <w:sz w:val="18"/>
                <w:szCs w:val="18"/>
              </w:rPr>
            </w:pPr>
            <w:r>
              <w:rPr>
                <w:color w:val="auto"/>
                <w:sz w:val="18"/>
                <w:szCs w:val="18"/>
              </w:rPr>
              <w:t>2</w:t>
            </w:r>
          </w:p>
        </w:tc>
        <w:tc>
          <w:tcPr>
            <w:tcW w:w="3183" w:type="dxa"/>
            <w:noWrap w:val="0"/>
            <w:vAlign w:val="center"/>
          </w:tcPr>
          <w:p w14:paraId="45E419FD">
            <w:pPr>
              <w:adjustRightInd w:val="0"/>
              <w:snapToGrid w:val="0"/>
              <w:ind w:right="42"/>
              <w:jc w:val="center"/>
              <w:rPr>
                <w:color w:val="auto"/>
                <w:sz w:val="18"/>
                <w:szCs w:val="18"/>
              </w:rPr>
            </w:pPr>
            <w:r>
              <w:rPr>
                <w:color w:val="auto"/>
                <w:sz w:val="18"/>
                <w:szCs w:val="18"/>
              </w:rPr>
              <w:t>25.0</w:t>
            </w:r>
          </w:p>
        </w:tc>
        <w:tc>
          <w:tcPr>
            <w:tcW w:w="3099" w:type="dxa"/>
            <w:noWrap w:val="0"/>
            <w:vAlign w:val="center"/>
          </w:tcPr>
          <w:p w14:paraId="153D854B">
            <w:pPr>
              <w:adjustRightInd w:val="0"/>
              <w:snapToGrid w:val="0"/>
              <w:ind w:right="-6"/>
              <w:jc w:val="center"/>
              <w:rPr>
                <w:color w:val="auto"/>
                <w:sz w:val="18"/>
                <w:szCs w:val="18"/>
              </w:rPr>
            </w:pPr>
            <w:r>
              <w:rPr>
                <w:color w:val="auto"/>
                <w:sz w:val="18"/>
                <w:szCs w:val="18"/>
              </w:rPr>
              <w:t>21.8</w:t>
            </w:r>
          </w:p>
        </w:tc>
      </w:tr>
      <w:tr w14:paraId="558D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9" w:type="dxa"/>
            <w:noWrap w:val="0"/>
            <w:vAlign w:val="center"/>
          </w:tcPr>
          <w:p w14:paraId="4BDA7E0C">
            <w:pPr>
              <w:adjustRightInd w:val="0"/>
              <w:snapToGrid w:val="0"/>
              <w:ind w:right="42"/>
              <w:jc w:val="center"/>
              <w:rPr>
                <w:color w:val="auto"/>
                <w:sz w:val="18"/>
                <w:szCs w:val="18"/>
              </w:rPr>
            </w:pPr>
            <w:r>
              <w:rPr>
                <w:color w:val="auto"/>
                <w:sz w:val="18"/>
                <w:szCs w:val="18"/>
              </w:rPr>
              <w:t>3</w:t>
            </w:r>
          </w:p>
        </w:tc>
        <w:tc>
          <w:tcPr>
            <w:tcW w:w="3183" w:type="dxa"/>
            <w:noWrap w:val="0"/>
            <w:vAlign w:val="center"/>
          </w:tcPr>
          <w:p w14:paraId="46DE902D">
            <w:pPr>
              <w:adjustRightInd w:val="0"/>
              <w:snapToGrid w:val="0"/>
              <w:ind w:right="42"/>
              <w:jc w:val="center"/>
              <w:rPr>
                <w:color w:val="auto"/>
                <w:sz w:val="18"/>
                <w:szCs w:val="18"/>
              </w:rPr>
            </w:pPr>
            <w:r>
              <w:rPr>
                <w:color w:val="auto"/>
                <w:sz w:val="18"/>
                <w:szCs w:val="18"/>
              </w:rPr>
              <w:t>51.8</w:t>
            </w:r>
          </w:p>
        </w:tc>
        <w:tc>
          <w:tcPr>
            <w:tcW w:w="3099" w:type="dxa"/>
            <w:noWrap w:val="0"/>
            <w:vAlign w:val="center"/>
          </w:tcPr>
          <w:p w14:paraId="588607D1">
            <w:pPr>
              <w:adjustRightInd w:val="0"/>
              <w:snapToGrid w:val="0"/>
              <w:ind w:right="-6"/>
              <w:jc w:val="center"/>
              <w:rPr>
                <w:color w:val="auto"/>
                <w:sz w:val="18"/>
                <w:szCs w:val="18"/>
              </w:rPr>
            </w:pPr>
            <w:r>
              <w:rPr>
                <w:color w:val="auto"/>
                <w:sz w:val="18"/>
                <w:szCs w:val="18"/>
              </w:rPr>
              <w:t>33.2</w:t>
            </w:r>
          </w:p>
        </w:tc>
      </w:tr>
    </w:tbl>
    <w:p w14:paraId="7BE5CB6A">
      <w:pPr>
        <w:adjustRightInd w:val="0"/>
        <w:snapToGrid w:val="0"/>
        <w:spacing w:line="360" w:lineRule="auto"/>
        <w:ind w:right="482" w:firstLine="1050" w:firstLineChars="500"/>
        <w:rPr>
          <w:color w:val="auto"/>
          <w:szCs w:val="21"/>
        </w:rPr>
      </w:pPr>
    </w:p>
    <w:p w14:paraId="1E2F9DDF">
      <w:pPr>
        <w:adjustRightInd w:val="0"/>
        <w:snapToGrid w:val="0"/>
        <w:spacing w:line="360" w:lineRule="auto"/>
        <w:ind w:right="482" w:firstLine="422" w:firstLineChars="200"/>
        <w:rPr>
          <w:color w:val="auto"/>
          <w:szCs w:val="21"/>
        </w:rPr>
      </w:pPr>
      <w:r>
        <w:rPr>
          <w:b/>
          <w:bCs/>
          <w:color w:val="auto"/>
          <w:szCs w:val="21"/>
        </w:rPr>
        <w:t>2）</w:t>
      </w:r>
      <w:r>
        <w:rPr>
          <w:color w:val="auto"/>
          <w:szCs w:val="21"/>
        </w:rPr>
        <w:t>计算过程见表1</w:t>
      </w:r>
      <w:r>
        <w:rPr>
          <w:rFonts w:hint="eastAsia"/>
          <w:color w:val="auto"/>
          <w:szCs w:val="21"/>
        </w:rPr>
        <w:t>5</w:t>
      </w:r>
      <w:r>
        <w:rPr>
          <w:color w:val="auto"/>
          <w:szCs w:val="21"/>
        </w:rPr>
        <w:t>。</w:t>
      </w:r>
    </w:p>
    <w:p w14:paraId="24D2CCEA">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15</w:t>
      </w:r>
      <w:r>
        <w:rPr>
          <w:color w:val="auto"/>
        </w:rPr>
        <w:fldChar w:fldCharType="end"/>
      </w:r>
      <w:r>
        <w:rPr>
          <w:b/>
          <w:color w:val="auto"/>
          <w:szCs w:val="21"/>
        </w:rPr>
        <w:t xml:space="preserve">  湿度系数ψ</w:t>
      </w:r>
      <w:r>
        <w:rPr>
          <w:b/>
          <w:color w:val="auto"/>
          <w:szCs w:val="21"/>
          <w:vertAlign w:val="subscript"/>
        </w:rPr>
        <w:t>w</w:t>
      </w:r>
      <w:r>
        <w:rPr>
          <w:b/>
          <w:color w:val="auto"/>
          <w:szCs w:val="21"/>
        </w:rPr>
        <w:t>计算过程表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6603"/>
        <w:gridCol w:w="1553"/>
      </w:tblGrid>
      <w:tr w14:paraId="1656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28E8D7C4">
            <w:pPr>
              <w:adjustRightInd w:val="0"/>
              <w:snapToGrid w:val="0"/>
              <w:ind w:right="32"/>
              <w:jc w:val="center"/>
              <w:rPr>
                <w:b/>
                <w:color w:val="auto"/>
                <w:sz w:val="18"/>
                <w:szCs w:val="18"/>
              </w:rPr>
            </w:pPr>
            <w:r>
              <w:rPr>
                <w:color w:val="auto"/>
                <w:sz w:val="18"/>
                <w:szCs w:val="18"/>
              </w:rPr>
              <w:t>序号</w:t>
            </w:r>
          </w:p>
        </w:tc>
        <w:tc>
          <w:tcPr>
            <w:tcW w:w="6603" w:type="dxa"/>
            <w:noWrap w:val="0"/>
            <w:vAlign w:val="center"/>
          </w:tcPr>
          <w:p w14:paraId="44BD45A6">
            <w:pPr>
              <w:adjustRightInd w:val="0"/>
              <w:snapToGrid w:val="0"/>
              <w:ind w:right="42"/>
              <w:jc w:val="center"/>
              <w:rPr>
                <w:b/>
                <w:color w:val="auto"/>
                <w:sz w:val="18"/>
                <w:szCs w:val="18"/>
              </w:rPr>
            </w:pPr>
            <w:r>
              <w:rPr>
                <w:color w:val="auto"/>
                <w:sz w:val="18"/>
                <w:szCs w:val="18"/>
              </w:rPr>
              <w:t>计算参数</w:t>
            </w:r>
          </w:p>
        </w:tc>
        <w:tc>
          <w:tcPr>
            <w:tcW w:w="1553" w:type="dxa"/>
            <w:noWrap w:val="0"/>
            <w:vAlign w:val="center"/>
          </w:tcPr>
          <w:p w14:paraId="52868EB9">
            <w:pPr>
              <w:adjustRightInd w:val="0"/>
              <w:snapToGrid w:val="0"/>
              <w:ind w:right="24"/>
              <w:jc w:val="center"/>
              <w:rPr>
                <w:b/>
                <w:color w:val="auto"/>
                <w:sz w:val="18"/>
                <w:szCs w:val="18"/>
              </w:rPr>
            </w:pPr>
            <w:r>
              <w:rPr>
                <w:color w:val="auto"/>
                <w:sz w:val="18"/>
                <w:szCs w:val="18"/>
              </w:rPr>
              <w:t>计算值</w:t>
            </w:r>
          </w:p>
        </w:tc>
      </w:tr>
      <w:tr w14:paraId="4078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1CB08489">
            <w:pPr>
              <w:adjustRightInd w:val="0"/>
              <w:snapToGrid w:val="0"/>
              <w:ind w:right="32"/>
              <w:jc w:val="center"/>
              <w:rPr>
                <w:b/>
                <w:color w:val="auto"/>
                <w:sz w:val="18"/>
                <w:szCs w:val="18"/>
              </w:rPr>
            </w:pPr>
            <w:r>
              <w:rPr>
                <w:color w:val="auto"/>
                <w:sz w:val="18"/>
                <w:szCs w:val="18"/>
              </w:rPr>
              <w:t>①</w:t>
            </w:r>
          </w:p>
        </w:tc>
        <w:tc>
          <w:tcPr>
            <w:tcW w:w="6603" w:type="dxa"/>
            <w:noWrap w:val="0"/>
            <w:vAlign w:val="center"/>
          </w:tcPr>
          <w:p w14:paraId="16B432D6">
            <w:pPr>
              <w:adjustRightInd w:val="0"/>
              <w:snapToGrid w:val="0"/>
              <w:ind w:right="42"/>
              <w:rPr>
                <w:b/>
                <w:color w:val="auto"/>
                <w:sz w:val="18"/>
                <w:szCs w:val="18"/>
              </w:rPr>
            </w:pPr>
            <w:r>
              <w:rPr>
                <w:color w:val="auto"/>
                <w:sz w:val="18"/>
                <w:szCs w:val="18"/>
              </w:rPr>
              <w:t>全年蒸发力之和</w:t>
            </w:r>
          </w:p>
        </w:tc>
        <w:tc>
          <w:tcPr>
            <w:tcW w:w="1553" w:type="dxa"/>
            <w:noWrap w:val="0"/>
            <w:vAlign w:val="center"/>
          </w:tcPr>
          <w:p w14:paraId="629ECD00">
            <w:pPr>
              <w:adjustRightInd w:val="0"/>
              <w:snapToGrid w:val="0"/>
              <w:ind w:right="24"/>
              <w:jc w:val="center"/>
              <w:rPr>
                <w:b/>
                <w:color w:val="auto"/>
                <w:sz w:val="18"/>
                <w:szCs w:val="18"/>
              </w:rPr>
            </w:pPr>
            <w:r>
              <w:rPr>
                <w:color w:val="auto"/>
                <w:sz w:val="18"/>
                <w:szCs w:val="18"/>
              </w:rPr>
              <w:t>749.0</w:t>
            </w:r>
          </w:p>
        </w:tc>
      </w:tr>
      <w:tr w14:paraId="46D3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0B0DA54B">
            <w:pPr>
              <w:adjustRightInd w:val="0"/>
              <w:snapToGrid w:val="0"/>
              <w:ind w:right="32"/>
              <w:jc w:val="center"/>
              <w:rPr>
                <w:b/>
                <w:color w:val="auto"/>
                <w:sz w:val="18"/>
                <w:szCs w:val="18"/>
              </w:rPr>
            </w:pPr>
            <w:r>
              <w:rPr>
                <w:color w:val="auto"/>
                <w:sz w:val="18"/>
                <w:szCs w:val="18"/>
              </w:rPr>
              <w:t>②</w:t>
            </w:r>
          </w:p>
        </w:tc>
        <w:tc>
          <w:tcPr>
            <w:tcW w:w="6603" w:type="dxa"/>
            <w:noWrap w:val="0"/>
            <w:vAlign w:val="center"/>
          </w:tcPr>
          <w:p w14:paraId="5619245C">
            <w:pPr>
              <w:adjustRightInd w:val="0"/>
              <w:snapToGrid w:val="0"/>
              <w:ind w:right="42"/>
              <w:rPr>
                <w:b/>
                <w:color w:val="auto"/>
                <w:sz w:val="18"/>
                <w:szCs w:val="18"/>
              </w:rPr>
            </w:pPr>
            <w:r>
              <w:rPr>
                <w:color w:val="auto"/>
                <w:sz w:val="18"/>
                <w:szCs w:val="18"/>
              </w:rPr>
              <w:t>九月至次年二月蒸发力之和</w:t>
            </w:r>
          </w:p>
        </w:tc>
        <w:tc>
          <w:tcPr>
            <w:tcW w:w="1553" w:type="dxa"/>
            <w:noWrap w:val="0"/>
            <w:vAlign w:val="center"/>
          </w:tcPr>
          <w:p w14:paraId="63EDE963">
            <w:pPr>
              <w:adjustRightInd w:val="0"/>
              <w:snapToGrid w:val="0"/>
              <w:ind w:right="24"/>
              <w:jc w:val="center"/>
              <w:rPr>
                <w:b/>
                <w:color w:val="auto"/>
                <w:sz w:val="18"/>
                <w:szCs w:val="18"/>
              </w:rPr>
            </w:pPr>
            <w:r>
              <w:rPr>
                <w:color w:val="auto"/>
                <w:sz w:val="18"/>
                <w:szCs w:val="18"/>
              </w:rPr>
              <w:t>216.3</w:t>
            </w:r>
          </w:p>
        </w:tc>
      </w:tr>
      <w:tr w14:paraId="62E5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12EDB5CE">
            <w:pPr>
              <w:adjustRightInd w:val="0"/>
              <w:snapToGrid w:val="0"/>
              <w:ind w:right="32"/>
              <w:jc w:val="center"/>
              <w:rPr>
                <w:b/>
                <w:color w:val="auto"/>
                <w:sz w:val="18"/>
                <w:szCs w:val="18"/>
              </w:rPr>
            </w:pPr>
            <w:r>
              <w:rPr>
                <w:color w:val="auto"/>
                <w:sz w:val="18"/>
                <w:szCs w:val="18"/>
              </w:rPr>
              <w:t>③</w:t>
            </w:r>
          </w:p>
        </w:tc>
        <w:tc>
          <w:tcPr>
            <w:tcW w:w="6603" w:type="dxa"/>
            <w:noWrap w:val="0"/>
            <w:vAlign w:val="center"/>
          </w:tcPr>
          <w:p w14:paraId="09181F7F">
            <w:pPr>
              <w:adjustRightInd w:val="0"/>
              <w:snapToGrid w:val="0"/>
              <w:ind w:right="42"/>
              <w:rPr>
                <w:b/>
                <w:color w:val="auto"/>
                <w:sz w:val="18"/>
                <w:szCs w:val="18"/>
              </w:rPr>
            </w:pPr>
            <w:r>
              <w:rPr>
                <w:color w:val="auto"/>
                <w:sz w:val="18"/>
                <w:szCs w:val="18"/>
              </w:rPr>
              <w:t>α=②/①</w:t>
            </w:r>
          </w:p>
        </w:tc>
        <w:tc>
          <w:tcPr>
            <w:tcW w:w="1553" w:type="dxa"/>
            <w:noWrap w:val="0"/>
            <w:vAlign w:val="center"/>
          </w:tcPr>
          <w:p w14:paraId="4C25AF9A">
            <w:pPr>
              <w:adjustRightInd w:val="0"/>
              <w:snapToGrid w:val="0"/>
              <w:ind w:right="24"/>
              <w:jc w:val="center"/>
              <w:rPr>
                <w:b/>
                <w:color w:val="auto"/>
                <w:sz w:val="18"/>
                <w:szCs w:val="18"/>
              </w:rPr>
            </w:pPr>
            <w:r>
              <w:rPr>
                <w:color w:val="auto"/>
                <w:sz w:val="18"/>
                <w:szCs w:val="18"/>
              </w:rPr>
              <w:t>0.289</w:t>
            </w:r>
          </w:p>
        </w:tc>
      </w:tr>
      <w:tr w14:paraId="4A0E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2174652C">
            <w:pPr>
              <w:adjustRightInd w:val="0"/>
              <w:snapToGrid w:val="0"/>
              <w:ind w:right="32"/>
              <w:jc w:val="center"/>
              <w:rPr>
                <w:b/>
                <w:color w:val="auto"/>
                <w:sz w:val="18"/>
                <w:szCs w:val="18"/>
              </w:rPr>
            </w:pPr>
            <w:r>
              <w:rPr>
                <w:color w:val="auto"/>
                <w:sz w:val="18"/>
                <w:szCs w:val="18"/>
              </w:rPr>
              <w:t>④</w:t>
            </w:r>
          </w:p>
        </w:tc>
        <w:tc>
          <w:tcPr>
            <w:tcW w:w="6603" w:type="dxa"/>
            <w:noWrap w:val="0"/>
            <w:vAlign w:val="center"/>
          </w:tcPr>
          <w:p w14:paraId="096DDA01">
            <w:pPr>
              <w:adjustRightInd w:val="0"/>
              <w:snapToGrid w:val="0"/>
              <w:ind w:right="42"/>
              <w:rPr>
                <w:b/>
                <w:color w:val="auto"/>
                <w:sz w:val="18"/>
                <w:szCs w:val="18"/>
              </w:rPr>
            </w:pPr>
            <w:r>
              <w:rPr>
                <w:color w:val="auto"/>
                <w:sz w:val="18"/>
                <w:szCs w:val="18"/>
              </w:rPr>
              <w:t>c=全年中干燥度&gt;1的月份的蒸发力减降水量差值的总和</w:t>
            </w:r>
          </w:p>
        </w:tc>
        <w:tc>
          <w:tcPr>
            <w:tcW w:w="1553" w:type="dxa"/>
            <w:noWrap w:val="0"/>
            <w:vAlign w:val="center"/>
          </w:tcPr>
          <w:p w14:paraId="15010D40">
            <w:pPr>
              <w:adjustRightInd w:val="0"/>
              <w:snapToGrid w:val="0"/>
              <w:ind w:right="24"/>
              <w:jc w:val="center"/>
              <w:rPr>
                <w:b/>
                <w:color w:val="auto"/>
                <w:sz w:val="18"/>
                <w:szCs w:val="18"/>
              </w:rPr>
            </w:pPr>
            <w:r>
              <w:rPr>
                <w:color w:val="auto"/>
                <w:sz w:val="18"/>
                <w:szCs w:val="18"/>
              </w:rPr>
              <w:t>23.1</w:t>
            </w:r>
          </w:p>
        </w:tc>
      </w:tr>
      <w:tr w14:paraId="4E9D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636E35FD">
            <w:pPr>
              <w:adjustRightInd w:val="0"/>
              <w:snapToGrid w:val="0"/>
              <w:ind w:right="32"/>
              <w:jc w:val="center"/>
              <w:rPr>
                <w:b/>
                <w:color w:val="auto"/>
                <w:sz w:val="18"/>
                <w:szCs w:val="18"/>
              </w:rPr>
            </w:pPr>
            <w:r>
              <w:rPr>
                <w:color w:val="auto"/>
                <w:sz w:val="18"/>
                <w:szCs w:val="18"/>
              </w:rPr>
              <w:t>⑤</w:t>
            </w:r>
          </w:p>
        </w:tc>
        <w:tc>
          <w:tcPr>
            <w:tcW w:w="6603" w:type="dxa"/>
            <w:noWrap w:val="0"/>
            <w:vAlign w:val="center"/>
          </w:tcPr>
          <w:p w14:paraId="0E60E42B">
            <w:pPr>
              <w:adjustRightInd w:val="0"/>
              <w:snapToGrid w:val="0"/>
              <w:ind w:right="42"/>
              <w:rPr>
                <w:b/>
                <w:color w:val="auto"/>
                <w:sz w:val="18"/>
                <w:szCs w:val="18"/>
              </w:rPr>
            </w:pPr>
            <w:r>
              <w:rPr>
                <w:color w:val="auto"/>
                <w:sz w:val="18"/>
                <w:szCs w:val="18"/>
              </w:rPr>
              <w:t>0.726α</w:t>
            </w:r>
          </w:p>
        </w:tc>
        <w:tc>
          <w:tcPr>
            <w:tcW w:w="1553" w:type="dxa"/>
            <w:noWrap w:val="0"/>
            <w:vAlign w:val="center"/>
          </w:tcPr>
          <w:p w14:paraId="0DCBA982">
            <w:pPr>
              <w:adjustRightInd w:val="0"/>
              <w:snapToGrid w:val="0"/>
              <w:ind w:right="24"/>
              <w:jc w:val="center"/>
              <w:rPr>
                <w:b/>
                <w:color w:val="auto"/>
                <w:sz w:val="18"/>
                <w:szCs w:val="18"/>
              </w:rPr>
            </w:pPr>
            <w:r>
              <w:rPr>
                <w:color w:val="auto"/>
                <w:sz w:val="18"/>
                <w:szCs w:val="18"/>
              </w:rPr>
              <w:t>0.210</w:t>
            </w:r>
          </w:p>
        </w:tc>
      </w:tr>
      <w:tr w14:paraId="55F0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6BC4F58D">
            <w:pPr>
              <w:adjustRightInd w:val="0"/>
              <w:snapToGrid w:val="0"/>
              <w:ind w:right="32"/>
              <w:jc w:val="center"/>
              <w:rPr>
                <w:b/>
                <w:color w:val="auto"/>
                <w:sz w:val="18"/>
                <w:szCs w:val="18"/>
              </w:rPr>
            </w:pPr>
            <w:r>
              <w:rPr>
                <w:color w:val="auto"/>
                <w:sz w:val="18"/>
                <w:szCs w:val="18"/>
              </w:rPr>
              <w:t>⑥</w:t>
            </w:r>
          </w:p>
        </w:tc>
        <w:tc>
          <w:tcPr>
            <w:tcW w:w="6603" w:type="dxa"/>
            <w:noWrap w:val="0"/>
            <w:vAlign w:val="center"/>
          </w:tcPr>
          <w:p w14:paraId="62D638F6">
            <w:pPr>
              <w:adjustRightInd w:val="0"/>
              <w:snapToGrid w:val="0"/>
              <w:ind w:right="42"/>
              <w:rPr>
                <w:color w:val="auto"/>
                <w:sz w:val="18"/>
                <w:szCs w:val="18"/>
              </w:rPr>
            </w:pPr>
            <w:r>
              <w:rPr>
                <w:color w:val="auto"/>
                <w:sz w:val="18"/>
                <w:szCs w:val="18"/>
              </w:rPr>
              <w:t>0.00107c</w:t>
            </w:r>
          </w:p>
        </w:tc>
        <w:tc>
          <w:tcPr>
            <w:tcW w:w="1553" w:type="dxa"/>
            <w:noWrap w:val="0"/>
            <w:vAlign w:val="center"/>
          </w:tcPr>
          <w:p w14:paraId="6B53F488">
            <w:pPr>
              <w:adjustRightInd w:val="0"/>
              <w:snapToGrid w:val="0"/>
              <w:ind w:right="24"/>
              <w:jc w:val="center"/>
              <w:rPr>
                <w:b/>
                <w:color w:val="auto"/>
                <w:sz w:val="18"/>
                <w:szCs w:val="18"/>
              </w:rPr>
            </w:pPr>
            <w:r>
              <w:rPr>
                <w:color w:val="auto"/>
                <w:sz w:val="18"/>
                <w:szCs w:val="18"/>
              </w:rPr>
              <w:t>0.025</w:t>
            </w:r>
          </w:p>
        </w:tc>
      </w:tr>
      <w:tr w14:paraId="7E1C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6" w:type="dxa"/>
            <w:noWrap w:val="0"/>
            <w:vAlign w:val="center"/>
          </w:tcPr>
          <w:p w14:paraId="493BE6FD">
            <w:pPr>
              <w:adjustRightInd w:val="0"/>
              <w:snapToGrid w:val="0"/>
              <w:ind w:right="32"/>
              <w:jc w:val="center"/>
              <w:rPr>
                <w:b/>
                <w:color w:val="auto"/>
                <w:sz w:val="18"/>
                <w:szCs w:val="18"/>
              </w:rPr>
            </w:pPr>
            <w:r>
              <w:rPr>
                <w:color w:val="auto"/>
                <w:sz w:val="18"/>
                <w:szCs w:val="18"/>
              </w:rPr>
              <w:t>⑦</w:t>
            </w:r>
          </w:p>
        </w:tc>
        <w:tc>
          <w:tcPr>
            <w:tcW w:w="6603" w:type="dxa"/>
            <w:noWrap w:val="0"/>
            <w:vAlign w:val="center"/>
          </w:tcPr>
          <w:p w14:paraId="3640BA0F">
            <w:pPr>
              <w:adjustRightInd w:val="0"/>
              <w:snapToGrid w:val="0"/>
              <w:ind w:right="42"/>
              <w:rPr>
                <w:b/>
                <w:color w:val="auto"/>
                <w:sz w:val="18"/>
                <w:szCs w:val="18"/>
              </w:rPr>
            </w:pPr>
            <w:r>
              <w:rPr>
                <w:color w:val="auto"/>
                <w:sz w:val="18"/>
                <w:szCs w:val="18"/>
              </w:rPr>
              <w:t>湿度系数ψ</w:t>
            </w:r>
            <w:r>
              <w:rPr>
                <w:color w:val="auto"/>
                <w:sz w:val="18"/>
                <w:szCs w:val="18"/>
                <w:vertAlign w:val="subscript"/>
              </w:rPr>
              <w:t>w</w:t>
            </w:r>
            <w:r>
              <w:rPr>
                <w:color w:val="auto"/>
                <w:sz w:val="18"/>
                <w:szCs w:val="18"/>
              </w:rPr>
              <w:t>=1.152-0.726α-0.00107c</w:t>
            </w:r>
          </w:p>
        </w:tc>
        <w:tc>
          <w:tcPr>
            <w:tcW w:w="1553" w:type="dxa"/>
            <w:noWrap w:val="0"/>
            <w:vAlign w:val="center"/>
          </w:tcPr>
          <w:p w14:paraId="6E502087">
            <w:pPr>
              <w:adjustRightInd w:val="0"/>
              <w:snapToGrid w:val="0"/>
              <w:ind w:right="24"/>
              <w:jc w:val="center"/>
              <w:rPr>
                <w:b/>
                <w:color w:val="auto"/>
                <w:sz w:val="18"/>
                <w:szCs w:val="18"/>
              </w:rPr>
            </w:pPr>
            <w:r>
              <w:rPr>
                <w:color w:val="auto"/>
                <w:sz w:val="18"/>
                <w:szCs w:val="18"/>
              </w:rPr>
              <w:t>0.917</w:t>
            </w:r>
          </w:p>
        </w:tc>
      </w:tr>
    </w:tbl>
    <w:p w14:paraId="50EA7741">
      <w:pPr>
        <w:adjustRightInd w:val="0"/>
        <w:snapToGrid w:val="0"/>
        <w:spacing w:line="340" w:lineRule="atLeast"/>
        <w:ind w:right="482" w:firstLine="420" w:firstLineChars="200"/>
        <w:rPr>
          <w:color w:val="auto"/>
          <w:szCs w:val="21"/>
        </w:rPr>
      </w:pPr>
      <w:r>
        <w:rPr>
          <w:color w:val="auto"/>
          <w:szCs w:val="21"/>
        </w:rPr>
        <w:t>由表1</w:t>
      </w:r>
      <w:r>
        <w:rPr>
          <w:rFonts w:hint="eastAsia"/>
          <w:color w:val="auto"/>
          <w:szCs w:val="21"/>
        </w:rPr>
        <w:t>5</w:t>
      </w:r>
      <w:r>
        <w:rPr>
          <w:color w:val="auto"/>
          <w:szCs w:val="21"/>
        </w:rPr>
        <w:t>可知，算例湿度系数ψ</w:t>
      </w:r>
      <w:r>
        <w:rPr>
          <w:color w:val="auto"/>
          <w:szCs w:val="21"/>
          <w:vertAlign w:val="subscript"/>
        </w:rPr>
        <w:t>w</w:t>
      </w:r>
      <w:r>
        <w:rPr>
          <w:color w:val="auto"/>
          <w:szCs w:val="21"/>
        </w:rPr>
        <w:t>≈0.9。</w:t>
      </w:r>
    </w:p>
    <w:p w14:paraId="29EAFFB1">
      <w:pPr>
        <w:adjustRightInd w:val="0"/>
        <w:snapToGrid w:val="0"/>
        <w:spacing w:line="360" w:lineRule="atLeast"/>
        <w:rPr>
          <w:color w:val="auto"/>
          <w:szCs w:val="21"/>
        </w:rPr>
      </w:pPr>
      <w:r>
        <w:rPr>
          <w:b/>
          <w:bCs/>
          <w:color w:val="auto"/>
          <w:szCs w:val="21"/>
        </w:rPr>
        <w:t>11.1.14</w:t>
      </w:r>
      <w:r>
        <w:rPr>
          <w:color w:val="auto"/>
          <w:szCs w:val="21"/>
        </w:rPr>
        <w:t>实测资料表明，环境因素的变化对胀缩变形及土中水份变化的影响是有一定深度范围的。该深度除与当地的气象条件（如降雨量、蒸发量、气温和湿度以及地温等）有关外，还与地形地貌、地下水和土层分布有关。图12是云南鸡街在两年内对三个工程场地四个剖面的含水量沿深度变化的统计结果。在地表下0.5m处含水量变化幅度为7%；而在4.5m处，变化幅度为2％，其环境影响已很微弱。图13由深层测标测得土体变形幅度沿其深度衰减的状况，表明平坦场地与坡地地形差别的影响较为显著。本文件正文表47及表</w:t>
      </w:r>
      <w:r>
        <w:rPr>
          <w:rFonts w:hint="eastAsia"/>
          <w:color w:val="auto"/>
          <w:szCs w:val="21"/>
        </w:rPr>
        <w:t>4</w:t>
      </w:r>
      <w:r>
        <w:rPr>
          <w:color w:val="auto"/>
          <w:szCs w:val="21"/>
        </w:rPr>
        <w:t>8给出的数值是根据平坦场地上多个实测资料，结合当地气象条件综合分析的结果，它不包括局部热源、长期浸水以及树木蒸腾吸水等特殊状况。</w:t>
      </w:r>
    </w:p>
    <w:p w14:paraId="5C7003E2">
      <w:pPr>
        <w:adjustRightInd w:val="0"/>
        <w:snapToGrid w:val="0"/>
        <w:spacing w:line="360" w:lineRule="auto"/>
        <w:ind w:right="2"/>
        <w:jc w:val="center"/>
        <w:rPr>
          <w:color w:val="auto"/>
          <w:szCs w:val="21"/>
        </w:rPr>
      </w:pPr>
      <w:r>
        <w:rPr>
          <w:color w:val="auto"/>
        </w:rPr>
        <w:object>
          <v:shape id="_x0000_i1885" o:spt="75" type="#_x0000_t75" style="height:200.2pt;width:182.4pt;" o:ole="t" filled="f" stroked="f" coordsize="21600,21600">
            <v:path/>
            <v:fill on="f" focussize="0,0"/>
            <v:stroke on="f"/>
            <v:imagedata r:id="rId1659" cropleft="6417f" croptop="6516f" cropright="34707f" cropbottom="11916f" o:title=""/>
            <o:lock v:ext="edit" grouping="f" rotation="f" text="f" aspectratio="t"/>
            <w10:wrap type="none"/>
            <w10:anchorlock/>
          </v:shape>
          <o:OLEObject Type="Embed" ProgID="AutoCAD.Drawing.16" ShapeID="_x0000_i1885" DrawAspect="Content" ObjectID="_1468076585" r:id="rId1658">
            <o:LockedField>false</o:LockedField>
          </o:OLEObject>
        </w:object>
      </w:r>
    </w:p>
    <w:p w14:paraId="3DA8BB64">
      <w:pPr>
        <w:adjustRightInd w:val="0"/>
        <w:snapToGrid w:val="0"/>
        <w:spacing w:line="360" w:lineRule="auto"/>
        <w:ind w:right="2"/>
        <w:jc w:val="center"/>
        <w:rPr>
          <w:color w:val="auto"/>
          <w:szCs w:val="21"/>
        </w:rPr>
      </w:pPr>
      <w:r>
        <w:rPr>
          <w:color w:val="auto"/>
          <w:sz w:val="18"/>
          <w:szCs w:val="18"/>
        </w:rPr>
        <w:t>1－室内；2－室外</w:t>
      </w:r>
    </w:p>
    <w:p w14:paraId="25C7F9B3">
      <w:pPr>
        <w:adjustRightInd w:val="0"/>
        <w:snapToGrid w:val="0"/>
        <w:spacing w:line="360" w:lineRule="auto"/>
        <w:ind w:right="2"/>
        <w:jc w:val="center"/>
        <w:rPr>
          <w:b/>
          <w:color w:val="auto"/>
          <w:sz w:val="18"/>
          <w:szCs w:val="18"/>
        </w:rPr>
      </w:pPr>
      <w:r>
        <w:rPr>
          <w:b/>
          <w:color w:val="auto"/>
          <w:sz w:val="18"/>
          <w:szCs w:val="18"/>
        </w:rPr>
        <w:t>图12  土中含水量沿深度的变化</w:t>
      </w:r>
    </w:p>
    <w:p w14:paraId="11DFC7EA">
      <w:pPr>
        <w:adjustRightInd w:val="0"/>
        <w:snapToGrid w:val="0"/>
        <w:spacing w:line="360" w:lineRule="auto"/>
        <w:ind w:right="2"/>
        <w:jc w:val="center"/>
        <w:rPr>
          <w:b/>
          <w:color w:val="auto"/>
          <w:szCs w:val="21"/>
        </w:rPr>
      </w:pPr>
    </w:p>
    <w:p w14:paraId="74E7A317">
      <w:pPr>
        <w:adjustRightInd w:val="0"/>
        <w:snapToGrid w:val="0"/>
        <w:spacing w:line="360" w:lineRule="auto"/>
        <w:ind w:right="2"/>
        <w:jc w:val="center"/>
        <w:rPr>
          <w:b/>
          <w:color w:val="auto"/>
          <w:szCs w:val="21"/>
        </w:rPr>
      </w:pPr>
      <w:r>
        <w:rPr>
          <w:color w:val="auto"/>
        </w:rPr>
        <w:object>
          <v:shape id="_x0000_i1886" o:spt="75" type="#_x0000_t75" style="height:202.2pt;width:210.9pt;" o:ole="t" filled="f" stroked="f" coordsize="21600,21600">
            <v:path/>
            <v:fill on="f" focussize="0,0"/>
            <v:stroke on="f"/>
            <v:imagedata r:id="rId1661" cropleft="34931f" croptop="10240f" cropright="5686f" cropbottom="12847f" o:title=""/>
            <o:lock v:ext="edit" grouping="f" rotation="f" text="f" aspectratio="t"/>
            <w10:wrap type="none"/>
            <w10:anchorlock/>
          </v:shape>
          <o:OLEObject Type="Embed" ProgID="AutoCAD.Drawing.16" ShapeID="_x0000_i1886" DrawAspect="Content" ObjectID="_1468076586" r:id="rId1660">
            <o:LockedField>false</o:LockedField>
          </o:OLEObject>
        </w:object>
      </w:r>
    </w:p>
    <w:p w14:paraId="2922BE2C">
      <w:pPr>
        <w:adjustRightInd w:val="0"/>
        <w:snapToGrid w:val="0"/>
        <w:spacing w:line="360" w:lineRule="auto"/>
        <w:ind w:right="2"/>
        <w:jc w:val="center"/>
        <w:rPr>
          <w:b/>
          <w:color w:val="auto"/>
          <w:szCs w:val="21"/>
        </w:rPr>
      </w:pPr>
      <w:r>
        <w:rPr>
          <w:color w:val="auto"/>
          <w:sz w:val="18"/>
          <w:szCs w:val="18"/>
        </w:rPr>
        <w:t>1－湖北荆门（平坦场地）；2－湖北郧县（山地坡肩）</w:t>
      </w:r>
    </w:p>
    <w:p w14:paraId="3720BF04">
      <w:pPr>
        <w:adjustRightInd w:val="0"/>
        <w:snapToGrid w:val="0"/>
        <w:spacing w:line="360" w:lineRule="auto"/>
        <w:ind w:right="2"/>
        <w:jc w:val="center"/>
        <w:rPr>
          <w:b/>
          <w:color w:val="auto"/>
          <w:sz w:val="18"/>
          <w:szCs w:val="18"/>
        </w:rPr>
      </w:pPr>
      <w:r>
        <w:rPr>
          <w:b/>
          <w:color w:val="auto"/>
          <w:sz w:val="18"/>
          <w:szCs w:val="18"/>
        </w:rPr>
        <w:t>图13  不同地形条件下的分层位移量</w:t>
      </w:r>
    </w:p>
    <w:p w14:paraId="05C56B92">
      <w:pPr>
        <w:pStyle w:val="77"/>
        <w:rPr>
          <w:color w:val="auto"/>
        </w:rPr>
      </w:pPr>
      <w:bookmarkStart w:id="189" w:name="_Toc182499003"/>
      <w:r>
        <w:rPr>
          <w:color w:val="auto"/>
        </w:rPr>
        <w:t>11.2  红黏土地基</w:t>
      </w:r>
      <w:bookmarkEnd w:id="189"/>
    </w:p>
    <w:p w14:paraId="6C0BF322">
      <w:pPr>
        <w:adjustRightInd w:val="0"/>
        <w:snapToGrid w:val="0"/>
        <w:spacing w:line="360" w:lineRule="exact"/>
        <w:rPr>
          <w:color w:val="auto"/>
          <w:szCs w:val="21"/>
        </w:rPr>
      </w:pPr>
      <w:r>
        <w:rPr>
          <w:b/>
          <w:bCs/>
          <w:color w:val="auto"/>
          <w:szCs w:val="21"/>
        </w:rPr>
        <w:t xml:space="preserve">11.2.1 </w:t>
      </w:r>
      <w:r>
        <w:rPr>
          <w:b/>
          <w:color w:val="auto"/>
          <w:szCs w:val="21"/>
        </w:rPr>
        <w:t xml:space="preserve"> </w:t>
      </w:r>
      <w:r>
        <w:rPr>
          <w:color w:val="auto"/>
          <w:szCs w:val="21"/>
        </w:rPr>
        <w:t>本文件所列红黏土承载力表引自原GBJ7-89，代表我国典型的红黏土分布地区(云、桂、黔)的经验。我省虽也有红黏土分布，但有关承载力的实际试验数据很少，因此目前只能借鉴外地已有的经验。至于次生红黏土，由于经过搬运再沉积，土质会有或多或少的改变，所以不宜完全按标准的红黏土去查表，而应按照地区经验并通过一定的测试手段确定承载力。对红黏土和次生红黏土采用原位测试或室内试验确定承载力的方法和标准原则上与一般土类并无不同之处。</w:t>
      </w:r>
    </w:p>
    <w:p w14:paraId="42E4167C">
      <w:pPr>
        <w:adjustRightInd w:val="0"/>
        <w:snapToGrid w:val="0"/>
        <w:spacing w:line="360" w:lineRule="exact"/>
        <w:rPr>
          <w:color w:val="auto"/>
          <w:szCs w:val="21"/>
        </w:rPr>
      </w:pPr>
      <w:r>
        <w:rPr>
          <w:b/>
          <w:bCs/>
          <w:color w:val="auto"/>
          <w:szCs w:val="21"/>
        </w:rPr>
        <w:t xml:space="preserve">11.2.4 </w:t>
      </w:r>
      <w:r>
        <w:rPr>
          <w:color w:val="auto"/>
          <w:szCs w:val="21"/>
        </w:rPr>
        <w:t xml:space="preserve"> 上硬下软是典型红黏土最主要的特征，也是红黏土地基基础设计首先要考虑的问题。基础浅埋，可充分利用上部承载力较高的有利条件，但应对下部的软弱下卧层进行验算。红黏土与岩溶土洞往往是伴生的地质现象，如果上层红黏土厚度不大，基岩面以上有土洞发育，则应按本文件第</w:t>
      </w:r>
      <w:r>
        <w:rPr>
          <w:rFonts w:hint="eastAsia"/>
          <w:color w:val="auto"/>
          <w:szCs w:val="21"/>
        </w:rPr>
        <w:t>1</w:t>
      </w:r>
      <w:r>
        <w:rPr>
          <w:color w:val="auto"/>
          <w:szCs w:val="21"/>
        </w:rPr>
        <w:t>1.3节的规定进行处理。</w:t>
      </w:r>
    </w:p>
    <w:p w14:paraId="1ECB30E9">
      <w:pPr>
        <w:adjustRightInd w:val="0"/>
        <w:snapToGrid w:val="0"/>
        <w:spacing w:line="360" w:lineRule="exact"/>
        <w:rPr>
          <w:color w:val="auto"/>
          <w:szCs w:val="21"/>
        </w:rPr>
      </w:pPr>
      <w:r>
        <w:rPr>
          <w:b/>
          <w:bCs/>
          <w:color w:val="auto"/>
          <w:szCs w:val="21"/>
        </w:rPr>
        <w:t>11.2.5</w:t>
      </w:r>
      <w:r>
        <w:rPr>
          <w:color w:val="auto"/>
          <w:szCs w:val="21"/>
        </w:rPr>
        <w:t xml:space="preserve">  红黏土具有胀缩性，但主要表现为收缩。轻型建筑物一般整体刚度小，很容易由于不均匀的收缩变形而受损。将基础埋置在大气影响急剧层以下是避免或减少收缩变形最有效的办法。当然也可以按照膨胀土地基的某些处理方法，采取加宽散水，防止水分蒸发等措施。</w:t>
      </w:r>
    </w:p>
    <w:p w14:paraId="3011FF95">
      <w:pPr>
        <w:pStyle w:val="77"/>
        <w:rPr>
          <w:color w:val="auto"/>
        </w:rPr>
      </w:pPr>
      <w:bookmarkStart w:id="190" w:name="_Toc182499004"/>
      <w:r>
        <w:rPr>
          <w:color w:val="auto"/>
        </w:rPr>
        <w:t>11.3  岩溶、土洞及地面塌陷场地</w:t>
      </w:r>
      <w:bookmarkEnd w:id="190"/>
    </w:p>
    <w:p w14:paraId="565A9C90">
      <w:pPr>
        <w:adjustRightInd w:val="0"/>
        <w:snapToGrid w:val="0"/>
        <w:spacing w:line="360" w:lineRule="exact"/>
        <w:rPr>
          <w:b/>
          <w:bCs/>
          <w:color w:val="auto"/>
          <w:szCs w:val="21"/>
        </w:rPr>
      </w:pPr>
      <w:r>
        <w:rPr>
          <w:b/>
          <w:bCs/>
          <w:color w:val="auto"/>
          <w:szCs w:val="21"/>
        </w:rPr>
        <w:t xml:space="preserve">11.3.1  </w:t>
      </w:r>
      <w:r>
        <w:rPr>
          <w:b w:val="0"/>
          <w:bCs w:val="0"/>
          <w:color w:val="auto"/>
          <w:szCs w:val="21"/>
        </w:rPr>
        <w:t>本条引用GB</w:t>
      </w:r>
      <w:r>
        <w:rPr>
          <w:rFonts w:hint="eastAsia"/>
          <w:b w:val="0"/>
          <w:bCs w:val="0"/>
          <w:color w:val="auto"/>
          <w:szCs w:val="21"/>
        </w:rPr>
        <w:t xml:space="preserve"> </w:t>
      </w:r>
      <w:r>
        <w:rPr>
          <w:b w:val="0"/>
          <w:bCs w:val="0"/>
          <w:color w:val="auto"/>
          <w:szCs w:val="21"/>
        </w:rPr>
        <w:t>50007的规定，岩溶场地必须按本条规定经勘察确定场地岩溶发育程度。详细勘察中往往出现见洞率及线岩溶率偏小的现象，应予重视，必须结合区域岩溶发育程度进行判定，必要时应增加钻孔数量。当采用嵌岩桩时，应以施工勘察的结果判断岩溶发育程度。</w:t>
      </w:r>
    </w:p>
    <w:p w14:paraId="11CB2373">
      <w:pPr>
        <w:spacing w:line="360" w:lineRule="exact"/>
        <w:rPr>
          <w:color w:val="auto"/>
        </w:rPr>
      </w:pPr>
      <w:r>
        <w:rPr>
          <w:color w:val="auto"/>
        </w:rPr>
        <w:t>钻孔见洞率=（见洞隙钻孔数量/钻孔总数）×100%</w:t>
      </w:r>
    </w:p>
    <w:p w14:paraId="6AA51BD6">
      <w:pPr>
        <w:spacing w:line="360" w:lineRule="exact"/>
        <w:rPr>
          <w:color w:val="auto"/>
        </w:rPr>
      </w:pPr>
      <w:r>
        <w:rPr>
          <w:color w:val="auto"/>
        </w:rPr>
        <w:t>线岩溶率=（见洞隙钻探进尺之和/钻探总进尺）×100%</w:t>
      </w:r>
    </w:p>
    <w:p w14:paraId="6EEE6738">
      <w:pPr>
        <w:spacing w:line="360" w:lineRule="exact"/>
        <w:rPr>
          <w:color w:val="auto"/>
        </w:rPr>
      </w:pPr>
      <w:r>
        <w:rPr>
          <w:color w:val="auto"/>
        </w:rPr>
        <w:t>这里特别强调，不应采用增加大量钻孔的措施试图查明岩溶的详细分布，大量的钻孔既达不到查明岩溶规模的目的，又容易诱发地面塌陷。</w:t>
      </w:r>
    </w:p>
    <w:p w14:paraId="14318473">
      <w:pPr>
        <w:adjustRightInd w:val="0"/>
        <w:snapToGrid w:val="0"/>
        <w:spacing w:line="360" w:lineRule="exact"/>
        <w:rPr>
          <w:b w:val="0"/>
          <w:bCs w:val="0"/>
          <w:color w:val="auto"/>
          <w:szCs w:val="21"/>
        </w:rPr>
      </w:pPr>
      <w:r>
        <w:rPr>
          <w:b/>
          <w:bCs/>
          <w:color w:val="auto"/>
          <w:szCs w:val="21"/>
        </w:rPr>
        <w:t>11.3.2</w:t>
      </w:r>
      <w:r>
        <w:rPr>
          <w:b w:val="0"/>
          <w:bCs w:val="0"/>
          <w:color w:val="auto"/>
          <w:szCs w:val="21"/>
        </w:rPr>
        <w:t xml:space="preserve">  建筑用地日趋紧张，避开岩溶强发育区进行建筑十分困难，因此，当必须在岩溶强发育场地兴建甲、乙级建筑物时，应视具体情况进行分析研究，存在地下暗河、伏流的场地或串珠状溶洞强发育时，不宜建筑。湖北省通山、咸宁、赤壁等地情况复杂，应慎重对待。</w:t>
      </w:r>
    </w:p>
    <w:p w14:paraId="1F59697E">
      <w:pPr>
        <w:adjustRightInd w:val="0"/>
        <w:snapToGrid w:val="0"/>
        <w:spacing w:line="360" w:lineRule="exact"/>
        <w:rPr>
          <w:b w:val="0"/>
          <w:bCs w:val="0"/>
          <w:color w:val="auto"/>
          <w:szCs w:val="21"/>
        </w:rPr>
      </w:pPr>
      <w:r>
        <w:rPr>
          <w:b/>
          <w:bCs/>
          <w:color w:val="auto"/>
          <w:szCs w:val="21"/>
        </w:rPr>
        <w:t>11.3.3</w:t>
      </w:r>
      <w:r>
        <w:rPr>
          <w:b w:val="0"/>
          <w:bCs w:val="0"/>
          <w:color w:val="auto"/>
          <w:szCs w:val="21"/>
        </w:rPr>
        <w:t xml:space="preserve">  当可溶性岩面以上直接覆盖第四系饱和砂、砾石层，且基岩中岩溶发育，应视为地面易塌陷区。武汉地区曾发生近二十起地面塌陷事故，造成多栋建筑物倒塌受损，汉南的岩溶地面塌陷威胁长江堤防安全。因此岩面以上的土层不能作为基础持力层，应采用嵌岩桩保证安全。嵌岩桩应采用大直径桩，且应加强桩身配筋，以抵抗地面塌陷产生的水平力。</w:t>
      </w:r>
    </w:p>
    <w:p w14:paraId="676C9DEC">
      <w:pPr>
        <w:adjustRightInd w:val="0"/>
        <w:snapToGrid w:val="0"/>
        <w:spacing w:line="360" w:lineRule="exact"/>
        <w:rPr>
          <w:b w:val="0"/>
          <w:bCs w:val="0"/>
          <w:color w:val="auto"/>
          <w:szCs w:val="21"/>
        </w:rPr>
      </w:pPr>
      <w:r>
        <w:rPr>
          <w:b/>
          <w:bCs/>
          <w:color w:val="auto"/>
          <w:szCs w:val="21"/>
        </w:rPr>
        <w:t>11.3.</w:t>
      </w:r>
      <w:r>
        <w:rPr>
          <w:rFonts w:hint="eastAsia"/>
          <w:b/>
          <w:bCs/>
          <w:color w:val="auto"/>
          <w:szCs w:val="21"/>
          <w:lang w:val="en-US" w:eastAsia="zh-CN"/>
        </w:rPr>
        <w:t>10</w:t>
      </w:r>
      <w:r>
        <w:rPr>
          <w:b w:val="0"/>
          <w:bCs w:val="0"/>
          <w:color w:val="auto"/>
          <w:szCs w:val="21"/>
        </w:rPr>
        <w:t xml:space="preserve">  过去可溶性岩的施工勘察为一桩一孔，当桩直径较大时，一个施工勘察孔不能反映桩端岩石情况；岩石埋深超过40m时，施工勘察孔的垂直度难以保证，孔位与桩位可能错位，因此本条规定了增补施工勘察孔的具体要求。</w:t>
      </w:r>
    </w:p>
    <w:p w14:paraId="7AD6FA9D">
      <w:pPr>
        <w:adjustRightInd w:val="0"/>
        <w:snapToGrid w:val="0"/>
        <w:spacing w:line="360" w:lineRule="exact"/>
        <w:rPr>
          <w:b w:val="0"/>
          <w:bCs w:val="0"/>
          <w:color w:val="auto"/>
          <w:szCs w:val="21"/>
        </w:rPr>
      </w:pPr>
      <w:r>
        <w:rPr>
          <w:b w:val="0"/>
          <w:bCs w:val="0"/>
          <w:color w:val="auto"/>
          <w:szCs w:val="21"/>
        </w:rPr>
        <w:t>过去发生的岩溶地面塌陷相当一部分系由于地质钻孔封闭不严诱发所致。因此，岩溶地区的勘探孔必须及时注浆封闭。</w:t>
      </w:r>
    </w:p>
    <w:p w14:paraId="32D1834B">
      <w:pPr>
        <w:adjustRightInd w:val="0"/>
        <w:snapToGrid w:val="0"/>
        <w:spacing w:line="360" w:lineRule="exact"/>
        <w:rPr>
          <w:b w:val="0"/>
          <w:bCs w:val="0"/>
          <w:color w:val="auto"/>
          <w:szCs w:val="21"/>
        </w:rPr>
      </w:pPr>
      <w:r>
        <w:rPr>
          <w:b/>
          <w:bCs/>
          <w:color w:val="auto"/>
          <w:szCs w:val="21"/>
        </w:rPr>
        <w:t>11.3.</w:t>
      </w:r>
      <w:r>
        <w:rPr>
          <w:rFonts w:hint="eastAsia"/>
          <w:b/>
          <w:bCs/>
          <w:color w:val="auto"/>
          <w:szCs w:val="21"/>
          <w:lang w:val="en-US" w:eastAsia="zh-CN"/>
        </w:rPr>
        <w:t>11</w:t>
      </w:r>
      <w:r>
        <w:rPr>
          <w:b w:val="0"/>
          <w:bCs w:val="0"/>
          <w:color w:val="auto"/>
          <w:szCs w:val="21"/>
        </w:rPr>
        <w:t xml:space="preserve"> </w:t>
      </w:r>
    </w:p>
    <w:p w14:paraId="337DE413">
      <w:pPr>
        <w:adjustRightInd w:val="0"/>
        <w:snapToGrid w:val="0"/>
        <w:spacing w:line="360" w:lineRule="exact"/>
        <w:rPr>
          <w:b w:val="0"/>
          <w:bCs w:val="0"/>
          <w:color w:val="auto"/>
          <w:szCs w:val="21"/>
        </w:rPr>
      </w:pPr>
      <w:r>
        <w:rPr>
          <w:b w:val="0"/>
          <w:bCs w:val="0"/>
          <w:color w:val="auto"/>
          <w:szCs w:val="21"/>
        </w:rPr>
        <w:t>a)</w:t>
      </w:r>
      <w:r>
        <w:rPr>
          <w:rFonts w:hint="eastAsia"/>
          <w:b w:val="0"/>
          <w:bCs w:val="0"/>
          <w:color w:val="auto"/>
          <w:szCs w:val="21"/>
        </w:rPr>
        <w:t xml:space="preserve">  </w:t>
      </w:r>
      <w:r>
        <w:rPr>
          <w:b w:val="0"/>
          <w:bCs w:val="0"/>
          <w:color w:val="auto"/>
          <w:szCs w:val="21"/>
        </w:rPr>
        <w:t>湖北省可溶岩分布区域较广，岩溶发育深度大多在岩面以下5m以内，部分在10m以内，岩层表面溶沟、溶槽强烈发育，属岩溶浅层发育性质。岩溶发育的岩层呈蜂窝状，但岩石骨架有较高承载力。过去按国标、行标及湖北省地方标准的规定，岩溶地区嵌岩每桩布置1个～2个施工勘察孔，施工勘察孔在岩面以下5m及3倍桩径范围内未见溶洞、溶槽时，入岩深度仅要求不小于0.5m，不能提供嵌岩侧阻力。按上述规定多年来虽未发现质量、安全事故，但单桩承载力的安全度有可能达不到规范要求。近两年武汉等地区加强了工程桩钻芯检测，发现部分桩施工钻探孔在桩端以下未发现岩溶，而钻芯检测中发现桩端下存在不同程度岩溶现象，给桩基验收带来困难。结合地区长期经验，为增加岩溶地区桩基安全度，本条规定了桩端进入完整岩层表面的最小入岩深度不应小于</w:t>
      </w:r>
      <w:r>
        <w:rPr>
          <w:rFonts w:hint="eastAsia"/>
          <w:b w:val="0"/>
          <w:bCs w:val="0"/>
          <w:color w:val="auto"/>
          <w:szCs w:val="21"/>
        </w:rPr>
        <w:t>桩身直径的2倍，且不得小于</w:t>
      </w:r>
      <w:r>
        <w:rPr>
          <w:b w:val="0"/>
          <w:bCs w:val="0"/>
          <w:color w:val="auto"/>
          <w:szCs w:val="21"/>
        </w:rPr>
        <w:t>2m，桩端穿过岩石表面溶沟、溶槽，适当增加嵌岩侧阻力。对于串珠状溶洞，本文件增加了第11.3.12条规定，要求按施工勘探孔揭示的岩溶发育情况，嵌岩深度的总和（即桩身进入岩面的深度减去岩溶总高度）不应小于</w:t>
      </w:r>
      <w:r>
        <w:rPr>
          <w:rFonts w:hint="eastAsia"/>
          <w:b w:val="0"/>
          <w:bCs w:val="0"/>
          <w:color w:val="auto"/>
          <w:szCs w:val="21"/>
        </w:rPr>
        <w:t>桩身直径的2倍，且不得小于</w:t>
      </w:r>
      <w:r>
        <w:rPr>
          <w:b w:val="0"/>
          <w:bCs w:val="0"/>
          <w:color w:val="auto"/>
          <w:szCs w:val="21"/>
        </w:rPr>
        <w:t>2m</w:t>
      </w:r>
      <w:r>
        <w:rPr>
          <w:rFonts w:hint="eastAsia"/>
          <w:b w:val="0"/>
          <w:bCs w:val="0"/>
          <w:color w:val="auto"/>
          <w:szCs w:val="21"/>
        </w:rPr>
        <w:t>。</w:t>
      </w:r>
      <w:r>
        <w:rPr>
          <w:b w:val="0"/>
          <w:bCs w:val="0"/>
          <w:color w:val="auto"/>
          <w:szCs w:val="21"/>
        </w:rPr>
        <w:t>对鄂南地区存在地下河及大型溶洞的地区，应加强勘察工作，不应在地下河及大型溶洞上方兴建建筑物。</w:t>
      </w:r>
    </w:p>
    <w:p w14:paraId="3A05AB11">
      <w:pPr>
        <w:adjustRightInd w:val="0"/>
        <w:snapToGrid w:val="0"/>
        <w:spacing w:line="360" w:lineRule="exact"/>
        <w:rPr>
          <w:b w:val="0"/>
          <w:bCs w:val="0"/>
          <w:color w:val="auto"/>
          <w:szCs w:val="21"/>
        </w:rPr>
      </w:pPr>
      <w:r>
        <w:rPr>
          <w:b w:val="0"/>
          <w:bCs w:val="0"/>
          <w:color w:val="auto"/>
          <w:szCs w:val="21"/>
        </w:rPr>
        <w:t>b)</w:t>
      </w:r>
      <w:r>
        <w:rPr>
          <w:rFonts w:hint="eastAsia"/>
          <w:b w:val="0"/>
          <w:bCs w:val="0"/>
          <w:color w:val="auto"/>
          <w:szCs w:val="21"/>
        </w:rPr>
        <w:t xml:space="preserve">  </w:t>
      </w:r>
      <w:r>
        <w:rPr>
          <w:b w:val="0"/>
          <w:bCs w:val="0"/>
          <w:color w:val="auto"/>
          <w:szCs w:val="21"/>
        </w:rPr>
        <w:t>岩溶中等和强烈发育的场地，岩溶分布无规律，当前的技术手段无法准确查明桩端以下岩溶的空间分布。过去规范规定必须逐桩进行施工勘察，逐桩确定终孔深度，当施工勘察揭示岩层表面5m范围内为完整性岩时，桩端入岩深度可为0.5m。实际上施工勘察每桩1~2个钻孔不能全面反映桩端岩溶的分布，往往造成桩端以下仍存在不同程度的岩溶现象，此时桩端进入岩层表面仅0.5m，不能提供嵌岩侧阻力，对端承型桩而言存在安全隐患，因此增加了本条的规定。</w:t>
      </w:r>
    </w:p>
    <w:p w14:paraId="449607C1">
      <w:pPr>
        <w:adjustRightInd w:val="0"/>
        <w:snapToGrid w:val="0"/>
        <w:spacing w:line="360" w:lineRule="exact"/>
        <w:rPr>
          <w:b w:val="0"/>
          <w:bCs w:val="0"/>
          <w:color w:val="auto"/>
          <w:szCs w:val="21"/>
        </w:rPr>
      </w:pPr>
      <w:r>
        <w:rPr>
          <w:b w:val="0"/>
          <w:bCs w:val="0"/>
          <w:color w:val="auto"/>
          <w:szCs w:val="21"/>
        </w:rPr>
        <w:t>c)  桩基设计单位应根据详勘及施工勘察情况经计算确定桩的承载性状，对桩端阻力大于桩侧阻力的桩应视为端承型桩，桩端进入可溶岩表面深度应符合本条规定。入岩深度增加后，设计中仍不计嵌岩侧阻力，将其作为安全储备。</w:t>
      </w:r>
    </w:p>
    <w:p w14:paraId="7D029028">
      <w:pPr>
        <w:adjustRightInd w:val="0"/>
        <w:snapToGrid w:val="0"/>
        <w:spacing w:line="360" w:lineRule="exact"/>
        <w:rPr>
          <w:b w:val="0"/>
          <w:bCs w:val="0"/>
          <w:color w:val="auto"/>
          <w:szCs w:val="21"/>
        </w:rPr>
      </w:pPr>
      <w:r>
        <w:rPr>
          <w:rFonts w:hint="eastAsia"/>
          <w:b w:val="0"/>
          <w:bCs w:val="0"/>
          <w:color w:val="auto"/>
          <w:szCs w:val="21"/>
        </w:rPr>
        <w:t>d</w:t>
      </w:r>
      <w:r>
        <w:rPr>
          <w:b w:val="0"/>
          <w:bCs w:val="0"/>
          <w:color w:val="auto"/>
          <w:szCs w:val="21"/>
        </w:rPr>
        <w:t>)  为保证桩端嵌入完整岩石的深度不应小于</w:t>
      </w:r>
      <w:r>
        <w:rPr>
          <w:rFonts w:hint="eastAsia"/>
          <w:b w:val="0"/>
          <w:bCs w:val="0"/>
          <w:color w:val="auto"/>
          <w:szCs w:val="21"/>
        </w:rPr>
        <w:t>桩身直径的2倍，且不得小于</w:t>
      </w:r>
      <w:r>
        <w:rPr>
          <w:b w:val="0"/>
          <w:bCs w:val="0"/>
          <w:color w:val="auto"/>
          <w:szCs w:val="21"/>
        </w:rPr>
        <w:t>2m时桩端以下完整岩石的厚度满足规范要求，施工勘察钻孔的深度必须相应增加，即钻孔进入岩层表面以下完整岩石的深度不应小于7m且不应小于5m+2倍桩直径。</w:t>
      </w:r>
    </w:p>
    <w:p w14:paraId="0CB28BFB">
      <w:pPr>
        <w:adjustRightInd w:val="0"/>
        <w:snapToGrid w:val="0"/>
        <w:spacing w:line="360" w:lineRule="exact"/>
        <w:rPr>
          <w:b w:val="0"/>
          <w:bCs w:val="0"/>
          <w:color w:val="auto"/>
          <w:szCs w:val="21"/>
        </w:rPr>
      </w:pPr>
      <w:r>
        <w:rPr>
          <w:rFonts w:hint="eastAsia"/>
          <w:b w:val="0"/>
          <w:bCs w:val="0"/>
          <w:color w:val="auto"/>
          <w:szCs w:val="21"/>
        </w:rPr>
        <w:t>e</w:t>
      </w:r>
      <w:r>
        <w:rPr>
          <w:b w:val="0"/>
          <w:bCs w:val="0"/>
          <w:color w:val="auto"/>
          <w:szCs w:val="21"/>
        </w:rPr>
        <w:t>)  如一桩布置两个</w:t>
      </w:r>
      <w:r>
        <w:rPr>
          <w:rFonts w:hint="eastAsia"/>
          <w:b w:val="0"/>
          <w:bCs w:val="0"/>
          <w:color w:val="auto"/>
          <w:szCs w:val="21"/>
        </w:rPr>
        <w:t>及</w:t>
      </w:r>
      <w:r>
        <w:rPr>
          <w:b w:val="0"/>
          <w:bCs w:val="0"/>
          <w:color w:val="auto"/>
          <w:szCs w:val="21"/>
        </w:rPr>
        <w:t>以上施工勘察孔，应对比各施工勘察孔的柱状图，以不利情况作为该桩终孔依据。施工中应检查记录岩面埋深，在冲、钻无偏孔现象后开始计算入岩深度，保证桩端全断面入岩深度满足要求。</w:t>
      </w:r>
    </w:p>
    <w:p w14:paraId="1CAF359F">
      <w:pPr>
        <w:adjustRightInd w:val="0"/>
        <w:snapToGrid w:val="0"/>
        <w:spacing w:line="360" w:lineRule="exact"/>
        <w:rPr>
          <w:b w:val="0"/>
          <w:bCs w:val="0"/>
          <w:color w:val="auto"/>
          <w:szCs w:val="21"/>
        </w:rPr>
      </w:pPr>
      <w:bookmarkStart w:id="191" w:name="_Toc182499005"/>
      <w:r>
        <w:rPr>
          <w:b/>
          <w:bCs/>
          <w:color w:val="auto"/>
          <w:szCs w:val="21"/>
        </w:rPr>
        <w:t>11.4</w:t>
      </w:r>
      <w:r>
        <w:rPr>
          <w:b w:val="0"/>
          <w:bCs w:val="0"/>
          <w:color w:val="auto"/>
          <w:szCs w:val="21"/>
        </w:rPr>
        <w:t xml:space="preserve">  采空区场地</w:t>
      </w:r>
      <w:bookmarkEnd w:id="191"/>
    </w:p>
    <w:p w14:paraId="2DF0B927">
      <w:pPr>
        <w:adjustRightInd w:val="0"/>
        <w:snapToGrid w:val="0"/>
        <w:spacing w:line="360" w:lineRule="exact"/>
        <w:rPr>
          <w:b w:val="0"/>
          <w:bCs w:val="0"/>
          <w:color w:val="auto"/>
          <w:szCs w:val="21"/>
        </w:rPr>
      </w:pPr>
      <w:r>
        <w:rPr>
          <w:b/>
          <w:bCs/>
          <w:color w:val="auto"/>
          <w:szCs w:val="21"/>
        </w:rPr>
        <w:t>11.4.1</w:t>
      </w:r>
      <w:r>
        <w:rPr>
          <w:b w:val="0"/>
          <w:bCs w:val="0"/>
          <w:color w:val="auto"/>
          <w:szCs w:val="21"/>
        </w:rPr>
        <w:t xml:space="preserve">  煤矿、金属及非金属矿采空区或邻近的边缘地段，是指地下矿层（体）被采出的空间（两端矿柱之间的空区）经过顶板和覆岩冒落后，扩展至地表的移动变形区及影响区的全部范围，其面积远远大于地下采空区。地表变形不只有下沉，还在特定部位伴随有对称或不对称的水平位移、弯曲和隆起变形；在山体、边坡下采矿，还会出现特殊的不对称变形区，既影响山体、边坡的稳定性，也可能影响坡脚外侧场地的稳定性。故所谓“采空区场地”应考虑以上广义的范围内各种变形的影响。</w:t>
      </w:r>
    </w:p>
    <w:p w14:paraId="38B130D9">
      <w:pPr>
        <w:adjustRightInd w:val="0"/>
        <w:snapToGrid w:val="0"/>
        <w:spacing w:line="360" w:lineRule="exact"/>
        <w:rPr>
          <w:b w:val="0"/>
          <w:bCs w:val="0"/>
          <w:color w:val="auto"/>
          <w:szCs w:val="21"/>
        </w:rPr>
      </w:pPr>
      <w:r>
        <w:rPr>
          <w:b/>
          <w:bCs/>
          <w:color w:val="auto"/>
          <w:szCs w:val="21"/>
        </w:rPr>
        <w:t>11.4.2</w:t>
      </w:r>
      <w:r>
        <w:rPr>
          <w:b w:val="0"/>
          <w:bCs w:val="0"/>
          <w:color w:val="auto"/>
          <w:szCs w:val="21"/>
        </w:rPr>
        <w:t xml:space="preserve">  由于采空区的地表移动变形区及影响区的分布、变形特征与矿床的埋藏条件、地质构造、采矿方案、采矿方法及生产周期、顶板及覆岩性质所决定的冒落类型等诸多因素有关，若想以单纯的勘探而不去弄清各种采矿要素来评价采空区场地的稳定性和建筑的适宜性是不可能的。因此，对采空塌陷区进行建筑适宜性评价时，应遵循收集资料、调查和测绘为主，勘探测试与变形监测为辅，综合评价的技术路线，收集资料主要包括下列内容：</w:t>
      </w:r>
    </w:p>
    <w:p w14:paraId="2CB58685">
      <w:pPr>
        <w:spacing w:line="360" w:lineRule="exact"/>
        <w:ind w:firstLine="422" w:firstLineChars="200"/>
        <w:rPr>
          <w:color w:val="auto"/>
        </w:rPr>
      </w:pPr>
      <w:r>
        <w:rPr>
          <w:b/>
          <w:color w:val="auto"/>
        </w:rPr>
        <w:t>a)</w:t>
      </w:r>
      <w:r>
        <w:rPr>
          <w:color w:val="auto"/>
        </w:rPr>
        <w:t xml:space="preserve">  矿层的分布、层数、厚度、埋深和上覆岩土层的地层岩性、地质构造、岩体结构、地表水和地下水活动规律等。</w:t>
      </w:r>
    </w:p>
    <w:p w14:paraId="18D9A302">
      <w:pPr>
        <w:spacing w:line="360" w:lineRule="exact"/>
        <w:ind w:firstLine="422" w:firstLineChars="200"/>
        <w:rPr>
          <w:color w:val="auto"/>
        </w:rPr>
      </w:pPr>
      <w:r>
        <w:rPr>
          <w:b/>
          <w:color w:val="auto"/>
        </w:rPr>
        <w:t>b)</w:t>
      </w:r>
      <w:r>
        <w:rPr>
          <w:color w:val="auto"/>
        </w:rPr>
        <w:t xml:space="preserve">  矿山开采设计资料：井巷位置、采区布置、安全矿柱分布的平面设计图和包括矿层（体）及其顶底板的地层、构造和井巷、采区和矿柱分布的剖面图；</w:t>
      </w:r>
    </w:p>
    <w:p w14:paraId="43AE9539">
      <w:pPr>
        <w:spacing w:line="360" w:lineRule="exact"/>
        <w:ind w:firstLine="422" w:firstLineChars="200"/>
        <w:rPr>
          <w:color w:val="auto"/>
        </w:rPr>
      </w:pPr>
      <w:r>
        <w:rPr>
          <w:b/>
          <w:color w:val="auto"/>
        </w:rPr>
        <w:t>c)</w:t>
      </w:r>
      <w:r>
        <w:rPr>
          <w:color w:val="auto"/>
        </w:rPr>
        <w:t xml:space="preserve">  矿山开采生产过程及成果资料：各采区采掘过程的时间、空间分布及地面地下对照图；各采区的采深和采高及采掘方法及顶板管理方式；</w:t>
      </w:r>
    </w:p>
    <w:p w14:paraId="11B778BA">
      <w:pPr>
        <w:spacing w:line="360" w:lineRule="exact"/>
        <w:ind w:firstLine="422" w:firstLineChars="200"/>
        <w:rPr>
          <w:color w:val="auto"/>
        </w:rPr>
      </w:pPr>
      <w:r>
        <w:rPr>
          <w:b/>
          <w:color w:val="auto"/>
        </w:rPr>
        <w:t>d)</w:t>
      </w:r>
      <w:r>
        <w:rPr>
          <w:color w:val="auto"/>
        </w:rPr>
        <w:t xml:space="preserve">  开采过程中地表移动的测绘资料和监测资料。测绘资料包括塌陷盆地范围、裂缝及边界裂缝分布的平面图和反映塌陷边界角及采空区上方对应的地表移动（塌陷）盆地各区段（中间区、内边缘区、外边缘区）特征的剖面图；监测资料包括各采区地表移动变形的监测数据和反映地表下沉全过程（初始期、活跃期、衰退期、稳定期）的下沉曲线图（图14）。</w:t>
      </w:r>
    </w:p>
    <w:p w14:paraId="2D0C1091">
      <w:pPr>
        <w:rPr>
          <w:color w:val="auto"/>
        </w:rPr>
      </w:pPr>
    </w:p>
    <w:p w14:paraId="5C6C1640">
      <w:pPr>
        <w:jc w:val="center"/>
        <w:rPr>
          <w:color w:val="auto"/>
        </w:rPr>
      </w:pPr>
      <w:r>
        <w:rPr>
          <w:color w:val="auto"/>
        </w:rPr>
        <w:drawing>
          <wp:inline distT="0" distB="0" distL="114300" distR="114300">
            <wp:extent cx="3781425" cy="2806065"/>
            <wp:effectExtent l="0" t="0" r="9525" b="13335"/>
            <wp:docPr id="131"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866"/>
                    <pic:cNvPicPr>
                      <a:picLocks noChangeAspect="1"/>
                    </pic:cNvPicPr>
                  </pic:nvPicPr>
                  <pic:blipFill>
                    <a:blip r:embed="rId1662"/>
                    <a:stretch>
                      <a:fillRect/>
                    </a:stretch>
                  </pic:blipFill>
                  <pic:spPr>
                    <a:xfrm>
                      <a:off x="0" y="0"/>
                      <a:ext cx="3781425" cy="2806065"/>
                    </a:xfrm>
                    <a:prstGeom prst="rect">
                      <a:avLst/>
                    </a:prstGeom>
                    <a:noFill/>
                    <a:ln>
                      <a:noFill/>
                    </a:ln>
                  </pic:spPr>
                </pic:pic>
              </a:graphicData>
            </a:graphic>
          </wp:inline>
        </w:drawing>
      </w:r>
    </w:p>
    <w:p w14:paraId="2B808C85">
      <w:pPr>
        <w:adjustRightInd w:val="0"/>
        <w:snapToGrid w:val="0"/>
        <w:spacing w:line="360" w:lineRule="auto"/>
        <w:ind w:right="2"/>
        <w:jc w:val="center"/>
        <w:rPr>
          <w:b/>
          <w:color w:val="auto"/>
          <w:sz w:val="18"/>
          <w:szCs w:val="18"/>
        </w:rPr>
      </w:pPr>
      <w:r>
        <w:rPr>
          <w:b/>
          <w:color w:val="auto"/>
          <w:sz w:val="18"/>
          <w:szCs w:val="18"/>
        </w:rPr>
        <w:t>图14  地表移动延续时间的确定方法</w:t>
      </w:r>
    </w:p>
    <w:p w14:paraId="45788727">
      <w:pPr>
        <w:rPr>
          <w:color w:val="auto"/>
        </w:rPr>
      </w:pPr>
    </w:p>
    <w:p w14:paraId="565E0F07">
      <w:pPr>
        <w:ind w:firstLine="422" w:firstLineChars="200"/>
        <w:rPr>
          <w:color w:val="auto"/>
        </w:rPr>
      </w:pPr>
      <w:r>
        <w:rPr>
          <w:b/>
          <w:color w:val="auto"/>
        </w:rPr>
        <w:t>e)</w:t>
      </w:r>
      <w:r>
        <w:rPr>
          <w:color w:val="auto"/>
        </w:rPr>
        <w:t xml:space="preserve">  根据矿山地质构造、地层岩性、概化的矿体（层）覆岩地层组合及力学特征，区分覆岩是以软弱岩为主的岩体还是以坚硬岩为主的岩体，并结合采矿方法和顶板管理方法，综合判定覆岩垮落类型及其地表塌陷类型和变形、稳定状态：</w:t>
      </w:r>
    </w:p>
    <w:p w14:paraId="7AB0BFD5">
      <w:pPr>
        <w:ind w:firstLine="628" w:firstLineChars="298"/>
        <w:rPr>
          <w:rFonts w:eastAsia="黑体"/>
          <w:bCs/>
          <w:color w:val="auto"/>
          <w:szCs w:val="21"/>
        </w:rPr>
      </w:pPr>
      <w:r>
        <w:rPr>
          <w:rFonts w:eastAsia="黑体"/>
          <w:b/>
          <w:bCs/>
          <w:color w:val="auto"/>
          <w:szCs w:val="21"/>
        </w:rPr>
        <w:t>1）</w:t>
      </w:r>
      <w:r>
        <w:rPr>
          <w:bCs/>
          <w:color w:val="auto"/>
          <w:szCs w:val="21"/>
        </w:rPr>
        <w:t>矿体（层）顶板以上的覆岩是以软弱岩层（页岩为主的砂页岩互层）为主时，多数为“三带型塌陷”，即顶板向上依次为</w:t>
      </w:r>
      <w:r>
        <w:rPr>
          <w:color w:val="auto"/>
        </w:rPr>
        <w:t>垮</w:t>
      </w:r>
      <w:r>
        <w:rPr>
          <w:bCs/>
          <w:color w:val="auto"/>
          <w:szCs w:val="21"/>
        </w:rPr>
        <w:t>落带、裂隙带和弯曲带，地表形成塌陷盆地并可划分出中间区（主下沉区）、内边缘区和外边缘区（下沉伴随水平位移）（图15）。</w:t>
      </w:r>
    </w:p>
    <w:p w14:paraId="63933A39">
      <w:pPr>
        <w:rPr>
          <w:color w:val="auto"/>
        </w:rPr>
      </w:pPr>
    </w:p>
    <w:p w14:paraId="31A47E37">
      <w:pPr>
        <w:jc w:val="center"/>
        <w:rPr>
          <w:color w:val="auto"/>
        </w:rPr>
      </w:pPr>
      <w:r>
        <w:rPr>
          <w:color w:val="auto"/>
        </w:rPr>
        <w:drawing>
          <wp:inline distT="0" distB="0" distL="114300" distR="114300">
            <wp:extent cx="3912235" cy="1597660"/>
            <wp:effectExtent l="0" t="0" r="12065" b="2540"/>
            <wp:docPr id="128" name="图片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867"/>
                    <pic:cNvPicPr>
                      <a:picLocks noChangeAspect="1"/>
                    </pic:cNvPicPr>
                  </pic:nvPicPr>
                  <pic:blipFill>
                    <a:blip r:embed="rId1663"/>
                    <a:stretch>
                      <a:fillRect/>
                    </a:stretch>
                  </pic:blipFill>
                  <pic:spPr>
                    <a:xfrm>
                      <a:off x="0" y="0"/>
                      <a:ext cx="3912235" cy="1597660"/>
                    </a:xfrm>
                    <a:prstGeom prst="rect">
                      <a:avLst/>
                    </a:prstGeom>
                    <a:noFill/>
                    <a:ln>
                      <a:noFill/>
                    </a:ln>
                  </pic:spPr>
                </pic:pic>
              </a:graphicData>
            </a:graphic>
          </wp:inline>
        </w:drawing>
      </w:r>
    </w:p>
    <w:p w14:paraId="1ED7E506">
      <w:pPr>
        <w:adjustRightInd w:val="0"/>
        <w:snapToGrid w:val="0"/>
        <w:spacing w:line="360" w:lineRule="auto"/>
        <w:ind w:right="2"/>
        <w:jc w:val="center"/>
        <w:rPr>
          <w:b/>
          <w:color w:val="auto"/>
          <w:sz w:val="18"/>
          <w:szCs w:val="18"/>
        </w:rPr>
      </w:pPr>
      <w:r>
        <w:rPr>
          <w:b/>
          <w:color w:val="auto"/>
          <w:sz w:val="18"/>
          <w:szCs w:val="18"/>
        </w:rPr>
        <w:t>图15  近水平煤层充分采动时地表移动盆地分区示意</w:t>
      </w:r>
    </w:p>
    <w:p w14:paraId="55B19B0E">
      <w:pPr>
        <w:spacing w:before="240"/>
        <w:ind w:firstLine="628" w:firstLineChars="298"/>
        <w:rPr>
          <w:color w:val="auto"/>
        </w:rPr>
      </w:pPr>
      <w:r>
        <w:rPr>
          <w:rFonts w:eastAsia="黑体"/>
          <w:b/>
          <w:bCs/>
          <w:color w:val="auto"/>
          <w:szCs w:val="21"/>
        </w:rPr>
        <w:t>2）</w:t>
      </w:r>
      <w:r>
        <w:rPr>
          <w:color w:val="auto"/>
        </w:rPr>
        <w:t>矿体（层）顶板以上的覆岩以坚硬岩层（厚层坚硬砂岩、石灰岩、大理岩或岩浆岩）为主时，多为“切冒型塌陷”，即当厚层坚硬覆岩下方采空区达到一定面积时直达地表的一次性突然垮落和地表塌陷。这种类型的塌陷没有“三带”，而是塌陷体整体下沉，边界裂缝由采空区直达地表。一次性整体下沉后，地表变形基本稳定（表1</w:t>
      </w:r>
      <w:r>
        <w:rPr>
          <w:rFonts w:hint="eastAsia"/>
          <w:color w:val="auto"/>
        </w:rPr>
        <w:t>6</w:t>
      </w:r>
      <w:r>
        <w:rPr>
          <w:color w:val="auto"/>
        </w:rPr>
        <w:t>）。</w:t>
      </w:r>
    </w:p>
    <w:p w14:paraId="5ACAE4BD">
      <w:pPr>
        <w:pStyle w:val="12"/>
        <w:jc w:val="center"/>
        <w:rPr>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16</w:t>
      </w:r>
      <w:r>
        <w:rPr>
          <w:color w:val="auto"/>
        </w:rPr>
        <w:fldChar w:fldCharType="end"/>
      </w:r>
      <w:r>
        <w:rPr>
          <w:b/>
          <w:color w:val="auto"/>
        </w:rPr>
        <w:t xml:space="preserve">  覆岩类型及典型冒落类型</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608"/>
        <w:gridCol w:w="1234"/>
        <w:gridCol w:w="4604"/>
      </w:tblGrid>
      <w:tr w14:paraId="654C7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654" w:type="dxa"/>
            <w:noWrap w:val="0"/>
            <w:vAlign w:val="top"/>
          </w:tcPr>
          <w:p w14:paraId="1424A51B">
            <w:pPr>
              <w:spacing w:before="120"/>
              <w:jc w:val="center"/>
              <w:rPr>
                <w:color w:val="auto"/>
                <w:sz w:val="18"/>
                <w:szCs w:val="18"/>
              </w:rPr>
            </w:pPr>
            <w:r>
              <w:rPr>
                <w:color w:val="auto"/>
                <w:sz w:val="18"/>
                <w:szCs w:val="18"/>
              </w:rPr>
              <w:t>序号</w:t>
            </w:r>
          </w:p>
        </w:tc>
        <w:tc>
          <w:tcPr>
            <w:tcW w:w="2608" w:type="dxa"/>
            <w:noWrap w:val="0"/>
            <w:vAlign w:val="top"/>
          </w:tcPr>
          <w:p w14:paraId="383204DD">
            <w:pPr>
              <w:spacing w:before="120"/>
              <w:jc w:val="center"/>
              <w:rPr>
                <w:color w:val="auto"/>
                <w:sz w:val="18"/>
                <w:szCs w:val="18"/>
              </w:rPr>
            </w:pPr>
            <w:r>
              <w:rPr>
                <w:color w:val="auto"/>
                <w:sz w:val="18"/>
                <w:szCs w:val="18"/>
              </w:rPr>
              <w:t>覆岩类型</w:t>
            </w:r>
          </w:p>
        </w:tc>
        <w:tc>
          <w:tcPr>
            <w:tcW w:w="1234" w:type="dxa"/>
            <w:noWrap w:val="0"/>
            <w:vAlign w:val="top"/>
          </w:tcPr>
          <w:p w14:paraId="007528AA">
            <w:pPr>
              <w:spacing w:before="120"/>
              <w:jc w:val="center"/>
              <w:rPr>
                <w:color w:val="auto"/>
                <w:sz w:val="18"/>
                <w:szCs w:val="18"/>
              </w:rPr>
            </w:pPr>
            <w:r>
              <w:rPr>
                <w:color w:val="auto"/>
                <w:sz w:val="18"/>
                <w:szCs w:val="18"/>
              </w:rPr>
              <w:t>冒落类型</w:t>
            </w:r>
          </w:p>
        </w:tc>
        <w:tc>
          <w:tcPr>
            <w:tcW w:w="4604" w:type="dxa"/>
            <w:noWrap w:val="0"/>
            <w:vAlign w:val="top"/>
          </w:tcPr>
          <w:p w14:paraId="27DAAC41">
            <w:pPr>
              <w:spacing w:before="120"/>
              <w:jc w:val="center"/>
              <w:rPr>
                <w:color w:val="auto"/>
                <w:sz w:val="18"/>
                <w:szCs w:val="18"/>
              </w:rPr>
            </w:pPr>
            <w:r>
              <w:rPr>
                <w:color w:val="auto"/>
                <w:sz w:val="18"/>
                <w:szCs w:val="18"/>
              </w:rPr>
              <w:t>变形特征</w:t>
            </w:r>
          </w:p>
        </w:tc>
      </w:tr>
      <w:tr w14:paraId="63E42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7" w:hRule="atLeast"/>
          <w:jc w:val="center"/>
        </w:trPr>
        <w:tc>
          <w:tcPr>
            <w:tcW w:w="654" w:type="dxa"/>
            <w:noWrap w:val="0"/>
            <w:vAlign w:val="top"/>
          </w:tcPr>
          <w:p w14:paraId="7B60985C">
            <w:pPr>
              <w:spacing w:before="120"/>
              <w:jc w:val="center"/>
              <w:rPr>
                <w:color w:val="auto"/>
                <w:sz w:val="18"/>
                <w:szCs w:val="18"/>
              </w:rPr>
            </w:pPr>
            <w:r>
              <w:rPr>
                <w:color w:val="auto"/>
                <w:sz w:val="18"/>
                <w:szCs w:val="18"/>
              </w:rPr>
              <w:t>1</w:t>
            </w:r>
          </w:p>
        </w:tc>
        <w:tc>
          <w:tcPr>
            <w:tcW w:w="2608" w:type="dxa"/>
            <w:noWrap w:val="0"/>
            <w:vAlign w:val="top"/>
          </w:tcPr>
          <w:p w14:paraId="2F8CB379">
            <w:pPr>
              <w:spacing w:before="120"/>
              <w:jc w:val="left"/>
              <w:rPr>
                <w:color w:val="auto"/>
                <w:sz w:val="18"/>
                <w:szCs w:val="18"/>
              </w:rPr>
            </w:pPr>
            <w:r>
              <w:rPr>
                <w:color w:val="auto"/>
                <w:sz w:val="18"/>
                <w:szCs w:val="18"/>
              </w:rPr>
              <w:t>覆岩全部为可冒落岩层，一般以软～中硬的砂页岩为主。</w:t>
            </w:r>
          </w:p>
        </w:tc>
        <w:tc>
          <w:tcPr>
            <w:tcW w:w="1234" w:type="dxa"/>
            <w:noWrap w:val="0"/>
            <w:vAlign w:val="top"/>
          </w:tcPr>
          <w:p w14:paraId="640158DC">
            <w:pPr>
              <w:spacing w:before="120"/>
              <w:jc w:val="center"/>
              <w:rPr>
                <w:color w:val="auto"/>
                <w:sz w:val="18"/>
                <w:szCs w:val="18"/>
              </w:rPr>
            </w:pPr>
            <w:r>
              <w:rPr>
                <w:color w:val="auto"/>
                <w:sz w:val="18"/>
                <w:szCs w:val="18"/>
              </w:rPr>
              <w:t>三带型</w:t>
            </w:r>
          </w:p>
        </w:tc>
        <w:tc>
          <w:tcPr>
            <w:tcW w:w="4604" w:type="dxa"/>
            <w:noWrap w:val="0"/>
            <w:vAlign w:val="top"/>
          </w:tcPr>
          <w:p w14:paraId="23BDB0AD">
            <w:pPr>
              <w:spacing w:before="120"/>
              <w:jc w:val="left"/>
              <w:rPr>
                <w:color w:val="auto"/>
                <w:sz w:val="18"/>
                <w:szCs w:val="18"/>
              </w:rPr>
            </w:pPr>
            <w:r>
              <w:rPr>
                <w:color w:val="auto"/>
                <w:sz w:val="18"/>
                <w:szCs w:val="18"/>
              </w:rPr>
              <w:t>覆岩破坏可分为冒落带、裂缝带和弯曲带；当冒落带和裂隙带不能达到地表时，则地表出现连续性变形；当冒落带和裂隙带能达到地表时，则地表出现非连续性变形。</w:t>
            </w:r>
          </w:p>
        </w:tc>
      </w:tr>
      <w:tr w14:paraId="5B4E3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7" w:hRule="atLeast"/>
          <w:jc w:val="center"/>
        </w:trPr>
        <w:tc>
          <w:tcPr>
            <w:tcW w:w="654" w:type="dxa"/>
            <w:noWrap w:val="0"/>
            <w:vAlign w:val="top"/>
          </w:tcPr>
          <w:p w14:paraId="257427D1">
            <w:pPr>
              <w:spacing w:before="120"/>
              <w:jc w:val="center"/>
              <w:rPr>
                <w:color w:val="auto"/>
                <w:sz w:val="18"/>
                <w:szCs w:val="18"/>
              </w:rPr>
            </w:pPr>
            <w:r>
              <w:rPr>
                <w:color w:val="auto"/>
                <w:sz w:val="18"/>
                <w:szCs w:val="18"/>
              </w:rPr>
              <w:t>2</w:t>
            </w:r>
          </w:p>
        </w:tc>
        <w:tc>
          <w:tcPr>
            <w:tcW w:w="2608" w:type="dxa"/>
            <w:noWrap w:val="0"/>
            <w:vAlign w:val="top"/>
          </w:tcPr>
          <w:p w14:paraId="17EE8536">
            <w:pPr>
              <w:spacing w:before="120"/>
              <w:jc w:val="left"/>
              <w:rPr>
                <w:color w:val="auto"/>
                <w:sz w:val="18"/>
                <w:szCs w:val="18"/>
              </w:rPr>
            </w:pPr>
            <w:r>
              <w:rPr>
                <w:color w:val="auto"/>
                <w:sz w:val="18"/>
                <w:szCs w:val="18"/>
              </w:rPr>
              <w:t>煤层上面某一高度存在一定厚度的极坚硬岩层。</w:t>
            </w:r>
          </w:p>
        </w:tc>
        <w:tc>
          <w:tcPr>
            <w:tcW w:w="1234" w:type="dxa"/>
            <w:noWrap w:val="0"/>
            <w:vAlign w:val="top"/>
          </w:tcPr>
          <w:p w14:paraId="5E5996B2">
            <w:pPr>
              <w:spacing w:before="120"/>
              <w:jc w:val="center"/>
              <w:rPr>
                <w:color w:val="auto"/>
                <w:sz w:val="18"/>
                <w:szCs w:val="18"/>
              </w:rPr>
            </w:pPr>
            <w:r>
              <w:rPr>
                <w:color w:val="auto"/>
                <w:sz w:val="18"/>
                <w:szCs w:val="18"/>
              </w:rPr>
              <w:t>拱冒型</w:t>
            </w:r>
          </w:p>
        </w:tc>
        <w:tc>
          <w:tcPr>
            <w:tcW w:w="4604" w:type="dxa"/>
            <w:noWrap w:val="0"/>
            <w:vAlign w:val="top"/>
          </w:tcPr>
          <w:p w14:paraId="31FB9C15">
            <w:pPr>
              <w:spacing w:before="120"/>
              <w:jc w:val="left"/>
              <w:rPr>
                <w:color w:val="auto"/>
                <w:sz w:val="18"/>
                <w:szCs w:val="18"/>
              </w:rPr>
            </w:pPr>
            <w:r>
              <w:rPr>
                <w:color w:val="auto"/>
                <w:sz w:val="18"/>
                <w:szCs w:val="18"/>
              </w:rPr>
              <w:t>在长臂陷落法开采的情况下，随着采空区的扩大，极坚硬岩层以下的岩层发生拱型冒落，冒落达到极坚硬岩层时形成悬顶。此时，围岩形成“自然拱”或无支撑“砌体拱”、“板拱”。近煤层的顶板岩层受到破坏，远离顶板的岩层不受破坏，地表只产生微小下沉。</w:t>
            </w:r>
          </w:p>
        </w:tc>
      </w:tr>
      <w:tr w14:paraId="48C05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7" w:hRule="atLeast"/>
          <w:jc w:val="center"/>
        </w:trPr>
        <w:tc>
          <w:tcPr>
            <w:tcW w:w="654" w:type="dxa"/>
            <w:noWrap w:val="0"/>
            <w:vAlign w:val="top"/>
          </w:tcPr>
          <w:p w14:paraId="40C7D769">
            <w:pPr>
              <w:spacing w:before="120"/>
              <w:jc w:val="center"/>
              <w:rPr>
                <w:color w:val="auto"/>
                <w:sz w:val="18"/>
                <w:szCs w:val="18"/>
              </w:rPr>
            </w:pPr>
            <w:r>
              <w:rPr>
                <w:color w:val="auto"/>
                <w:sz w:val="18"/>
                <w:szCs w:val="18"/>
              </w:rPr>
              <w:t>3</w:t>
            </w:r>
          </w:p>
        </w:tc>
        <w:tc>
          <w:tcPr>
            <w:tcW w:w="2608" w:type="dxa"/>
            <w:noWrap w:val="0"/>
            <w:vAlign w:val="top"/>
          </w:tcPr>
          <w:p w14:paraId="0494ED91">
            <w:pPr>
              <w:spacing w:before="120"/>
              <w:jc w:val="left"/>
              <w:rPr>
                <w:color w:val="auto"/>
                <w:sz w:val="18"/>
                <w:szCs w:val="18"/>
              </w:rPr>
            </w:pPr>
            <w:r>
              <w:rPr>
                <w:color w:val="auto"/>
                <w:sz w:val="18"/>
                <w:szCs w:val="18"/>
              </w:rPr>
              <w:t>全部为极坚硬覆岩，当采用条带法或刀柱法开采时。</w:t>
            </w:r>
          </w:p>
        </w:tc>
        <w:tc>
          <w:tcPr>
            <w:tcW w:w="1234" w:type="dxa"/>
            <w:noWrap w:val="0"/>
            <w:vAlign w:val="top"/>
          </w:tcPr>
          <w:p w14:paraId="6FD25D37">
            <w:pPr>
              <w:spacing w:before="120"/>
              <w:jc w:val="center"/>
              <w:rPr>
                <w:color w:val="auto"/>
                <w:sz w:val="18"/>
                <w:szCs w:val="18"/>
              </w:rPr>
            </w:pPr>
            <w:r>
              <w:rPr>
                <w:color w:val="auto"/>
                <w:sz w:val="18"/>
                <w:szCs w:val="18"/>
              </w:rPr>
              <w:t>弯曲型</w:t>
            </w:r>
          </w:p>
        </w:tc>
        <w:tc>
          <w:tcPr>
            <w:tcW w:w="4604" w:type="dxa"/>
            <w:noWrap w:val="0"/>
            <w:vAlign w:val="top"/>
          </w:tcPr>
          <w:p w14:paraId="38B958EA">
            <w:pPr>
              <w:spacing w:before="120"/>
              <w:jc w:val="left"/>
              <w:rPr>
                <w:color w:val="auto"/>
                <w:sz w:val="18"/>
                <w:szCs w:val="18"/>
              </w:rPr>
            </w:pPr>
            <w:r>
              <w:rPr>
                <w:color w:val="auto"/>
                <w:sz w:val="18"/>
                <w:szCs w:val="18"/>
              </w:rPr>
              <w:t>当煤柱面积占30%～35%，且尺寸适当，分布均匀时，极坚硬岩层形成悬顶，覆岩不发生冒落破坏。地表变形值很小，最大值一般不超过煤层采高的5～15%。</w:t>
            </w:r>
          </w:p>
        </w:tc>
      </w:tr>
      <w:tr w14:paraId="5CD97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2" w:hRule="atLeast"/>
          <w:jc w:val="center"/>
        </w:trPr>
        <w:tc>
          <w:tcPr>
            <w:tcW w:w="654" w:type="dxa"/>
            <w:noWrap w:val="0"/>
            <w:vAlign w:val="top"/>
          </w:tcPr>
          <w:p w14:paraId="5C8786B6">
            <w:pPr>
              <w:spacing w:before="120"/>
              <w:jc w:val="center"/>
              <w:rPr>
                <w:color w:val="auto"/>
                <w:sz w:val="18"/>
                <w:szCs w:val="18"/>
              </w:rPr>
            </w:pPr>
            <w:r>
              <w:rPr>
                <w:color w:val="auto"/>
                <w:sz w:val="18"/>
                <w:szCs w:val="18"/>
              </w:rPr>
              <w:t>4</w:t>
            </w:r>
          </w:p>
        </w:tc>
        <w:tc>
          <w:tcPr>
            <w:tcW w:w="2608" w:type="dxa"/>
            <w:noWrap w:val="0"/>
            <w:vAlign w:val="top"/>
          </w:tcPr>
          <w:p w14:paraId="63E444F6">
            <w:pPr>
              <w:spacing w:before="120"/>
              <w:jc w:val="left"/>
              <w:rPr>
                <w:color w:val="auto"/>
                <w:sz w:val="18"/>
                <w:szCs w:val="18"/>
              </w:rPr>
            </w:pPr>
            <w:r>
              <w:rPr>
                <w:color w:val="auto"/>
                <w:sz w:val="18"/>
                <w:szCs w:val="18"/>
              </w:rPr>
              <w:t>全部为极坚硬覆岩</w:t>
            </w:r>
          </w:p>
        </w:tc>
        <w:tc>
          <w:tcPr>
            <w:tcW w:w="1234" w:type="dxa"/>
            <w:noWrap w:val="0"/>
            <w:vAlign w:val="top"/>
          </w:tcPr>
          <w:p w14:paraId="773BCF57">
            <w:pPr>
              <w:spacing w:before="120"/>
              <w:jc w:val="center"/>
              <w:rPr>
                <w:color w:val="auto"/>
                <w:sz w:val="18"/>
                <w:szCs w:val="18"/>
              </w:rPr>
            </w:pPr>
            <w:r>
              <w:rPr>
                <w:color w:val="auto"/>
                <w:sz w:val="18"/>
                <w:szCs w:val="18"/>
              </w:rPr>
              <w:t>切冒型</w:t>
            </w:r>
          </w:p>
        </w:tc>
        <w:tc>
          <w:tcPr>
            <w:tcW w:w="4604" w:type="dxa"/>
            <w:noWrap w:val="0"/>
            <w:vAlign w:val="top"/>
          </w:tcPr>
          <w:p w14:paraId="51089798">
            <w:pPr>
              <w:spacing w:before="120"/>
              <w:jc w:val="left"/>
              <w:rPr>
                <w:color w:val="auto"/>
                <w:sz w:val="18"/>
                <w:szCs w:val="18"/>
              </w:rPr>
            </w:pPr>
            <w:r>
              <w:rPr>
                <w:color w:val="auto"/>
                <w:sz w:val="18"/>
                <w:szCs w:val="18"/>
              </w:rPr>
              <w:t>当开采深度较小且煤柱面积小于30%～35%，极坚硬岩层不能形成悬顶，煤柱也不能形成稳定支座。地表突然陷落，地表裂缝直通采空区，地表形成“断陷”式盆地。</w:t>
            </w:r>
          </w:p>
        </w:tc>
      </w:tr>
      <w:tr w14:paraId="5862A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7" w:hRule="atLeast"/>
          <w:jc w:val="center"/>
        </w:trPr>
        <w:tc>
          <w:tcPr>
            <w:tcW w:w="654" w:type="dxa"/>
            <w:noWrap w:val="0"/>
            <w:vAlign w:val="top"/>
          </w:tcPr>
          <w:p w14:paraId="4A04615C">
            <w:pPr>
              <w:spacing w:before="120"/>
              <w:jc w:val="center"/>
              <w:rPr>
                <w:color w:val="auto"/>
                <w:sz w:val="18"/>
                <w:szCs w:val="18"/>
              </w:rPr>
            </w:pPr>
            <w:r>
              <w:rPr>
                <w:color w:val="auto"/>
                <w:sz w:val="18"/>
                <w:szCs w:val="18"/>
              </w:rPr>
              <w:t>5</w:t>
            </w:r>
          </w:p>
        </w:tc>
        <w:tc>
          <w:tcPr>
            <w:tcW w:w="2608" w:type="dxa"/>
            <w:noWrap w:val="0"/>
            <w:vAlign w:val="top"/>
          </w:tcPr>
          <w:p w14:paraId="59DBBA13">
            <w:pPr>
              <w:spacing w:before="120"/>
              <w:jc w:val="left"/>
              <w:rPr>
                <w:color w:val="auto"/>
                <w:sz w:val="18"/>
                <w:szCs w:val="18"/>
              </w:rPr>
            </w:pPr>
            <w:r>
              <w:rPr>
                <w:color w:val="auto"/>
                <w:sz w:val="18"/>
                <w:szCs w:val="18"/>
              </w:rPr>
              <w:t>全部覆岩为极软弱的急倾斜岩层或土层。</w:t>
            </w:r>
          </w:p>
        </w:tc>
        <w:tc>
          <w:tcPr>
            <w:tcW w:w="1234" w:type="dxa"/>
            <w:noWrap w:val="0"/>
            <w:vAlign w:val="top"/>
          </w:tcPr>
          <w:p w14:paraId="3814EFBC">
            <w:pPr>
              <w:spacing w:before="120"/>
              <w:jc w:val="center"/>
              <w:rPr>
                <w:color w:val="auto"/>
                <w:sz w:val="18"/>
                <w:szCs w:val="18"/>
              </w:rPr>
            </w:pPr>
            <w:r>
              <w:rPr>
                <w:color w:val="auto"/>
                <w:sz w:val="18"/>
                <w:szCs w:val="18"/>
              </w:rPr>
              <w:t>抽冒型</w:t>
            </w:r>
          </w:p>
        </w:tc>
        <w:tc>
          <w:tcPr>
            <w:tcW w:w="4604" w:type="dxa"/>
            <w:noWrap w:val="0"/>
            <w:vAlign w:val="top"/>
          </w:tcPr>
          <w:p w14:paraId="1582B7F1">
            <w:pPr>
              <w:spacing w:before="120"/>
              <w:jc w:val="left"/>
              <w:rPr>
                <w:color w:val="auto"/>
                <w:sz w:val="18"/>
                <w:szCs w:val="18"/>
              </w:rPr>
            </w:pPr>
            <w:r>
              <w:rPr>
                <w:color w:val="auto"/>
                <w:sz w:val="18"/>
                <w:szCs w:val="18"/>
              </w:rPr>
              <w:t>当开采深度较小或接近冲积层开采时，覆岩变形不能形成悬顶，采空区内无冒落矸石支撑时，覆岩会发生“抽冒型”破坏，地面形成漏斗状陷坑。</w:t>
            </w:r>
          </w:p>
        </w:tc>
      </w:tr>
    </w:tbl>
    <w:p w14:paraId="10A235BB">
      <w:pPr>
        <w:snapToGrid w:val="0"/>
        <w:spacing w:before="240" w:line="340" w:lineRule="atLeast"/>
        <w:ind w:firstLine="422" w:firstLineChars="200"/>
        <w:rPr>
          <w:color w:val="auto"/>
        </w:rPr>
      </w:pPr>
      <w:r>
        <w:rPr>
          <w:rFonts w:eastAsia="黑体"/>
          <w:b/>
          <w:bCs/>
          <w:color w:val="auto"/>
          <w:szCs w:val="21"/>
        </w:rPr>
        <w:t>3）</w:t>
      </w:r>
      <w:r>
        <w:rPr>
          <w:color w:val="auto"/>
        </w:rPr>
        <w:t>不同的采矿方法（如长臂式大面积开采、条带式开采、房柱式开采）和不同的顶板管理方法（如全部陷落法、充填条带法、垮落条带法）对“三带型塌陷”和“切冒型塌陷”的地表移动过程的表现也不相同。如“三带型”塌陷：在充分采动（全部陷落法）的情况下发生连续地表移动并形成较完整的塌陷盆地；在非充分采动情况下发生非连续地表移动，地表塌陷呈现不连续、不规则形态的“切冒型塌陷”：在充分采动（全部陷落法）的情况下发生一次性整体下沉，地表变形很快达到稳定。非充分采动（条带式开采或房柱式开采）情况下可能发生非连续地表移动或长期不发生塌陷，这种情况下地面长期处于不稳定状态。</w:t>
      </w:r>
    </w:p>
    <w:p w14:paraId="413AFF26">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textAlignment w:val="auto"/>
        <w:rPr>
          <w:rFonts w:ascii="Times New Roman"/>
          <w:color w:val="auto"/>
          <w:szCs w:val="21"/>
        </w:rPr>
      </w:pPr>
      <w:r>
        <w:rPr>
          <w:rFonts w:ascii="Times New Roman" w:eastAsia="黑体"/>
          <w:b/>
          <w:bCs/>
          <w:color w:val="auto"/>
          <w:szCs w:val="21"/>
        </w:rPr>
        <w:t>11.4.3</w:t>
      </w:r>
      <w:r>
        <w:rPr>
          <w:rFonts w:ascii="Times New Roman"/>
          <w:color w:val="auto"/>
          <w:szCs w:val="21"/>
        </w:rPr>
        <w:t xml:space="preserve">  在充分搜集矿山设计、开采及地面变形监测资料的基础上进行现场调查、分析、评价。主要调查内容如下：</w:t>
      </w:r>
    </w:p>
    <w:p w14:paraId="6907C2EB">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422" w:firstLineChars="200"/>
        <w:textAlignment w:val="auto"/>
        <w:rPr>
          <w:rFonts w:ascii="Times New Roman"/>
          <w:color w:val="auto"/>
          <w:szCs w:val="21"/>
        </w:rPr>
      </w:pPr>
      <w:r>
        <w:rPr>
          <w:rFonts w:ascii="Times New Roman"/>
          <w:b/>
          <w:color w:val="auto"/>
          <w:szCs w:val="24"/>
        </w:rPr>
        <w:t>a)</w:t>
      </w:r>
      <w:r>
        <w:rPr>
          <w:rFonts w:ascii="Times New Roman"/>
          <w:color w:val="auto"/>
          <w:szCs w:val="21"/>
        </w:rPr>
        <w:t xml:space="preserve">  地貌调查包括地表裂缝分布（尤其要确定塌陷区边界裂缝）、地表陷坑、台阶、边缘区水平位移以及塌陷区外侧鼓胀、隆起特点，将现场调查资料与搜集的矿山设计、开采及监测资料进行核对，最终确定塌陷区范围及其中间区、内外边缘区和鼓胀隆起区的大体位置。根据矿山监测资料和现场调查的微地貌特征，判定连续地表移动塌陷区的地表移动变形是否已处于衰退期或稳定期；非连续地表移动塌陷区的边界裂缝是否由顶板切至地表，覆岩塌陷是否充分。</w:t>
      </w:r>
    </w:p>
    <w:p w14:paraId="256BCD68">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422" w:firstLineChars="200"/>
        <w:textAlignment w:val="auto"/>
        <w:rPr>
          <w:rFonts w:ascii="Times New Roman"/>
          <w:color w:val="auto"/>
          <w:szCs w:val="21"/>
        </w:rPr>
      </w:pPr>
      <w:r>
        <w:rPr>
          <w:rFonts w:ascii="Times New Roman"/>
          <w:b/>
          <w:color w:val="auto"/>
          <w:szCs w:val="24"/>
        </w:rPr>
        <w:t>b)</w:t>
      </w:r>
      <w:r>
        <w:rPr>
          <w:rFonts w:ascii="Times New Roman"/>
          <w:color w:val="auto"/>
          <w:szCs w:val="21"/>
        </w:rPr>
        <w:t xml:space="preserve">  对处于采空区上的山体、边坡（陡壁）进行地质测绘，查明地质构造、地层岩性及其产状。对山体、边坡进行岩体结构类型划分和节理裂隙统计。根据结构面组合关系判断边坡（陡壁）倾斜、崩塌或座落的可能性。对外倾软弱结构面进行极限平衡验算，判定山体、块体滑移的可能性；</w:t>
      </w:r>
    </w:p>
    <w:p w14:paraId="43B9F1F0">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422" w:firstLineChars="200"/>
        <w:textAlignment w:val="auto"/>
        <w:rPr>
          <w:rFonts w:ascii="Times New Roman"/>
          <w:color w:val="auto"/>
          <w:szCs w:val="21"/>
        </w:rPr>
      </w:pPr>
      <w:r>
        <w:rPr>
          <w:rFonts w:ascii="Times New Roman"/>
          <w:b/>
          <w:color w:val="auto"/>
          <w:szCs w:val="24"/>
        </w:rPr>
        <w:t>c)</w:t>
      </w:r>
      <w:r>
        <w:rPr>
          <w:rFonts w:ascii="Times New Roman"/>
          <w:color w:val="auto"/>
          <w:szCs w:val="21"/>
        </w:rPr>
        <w:t xml:space="preserve">  对采矿山体塌陷边界角外侧的缓坡段或坡脚外侧的平缓地段的地表变形进行调查或监测，确定这些地段是否因塌陷山体的不对称挤压而产生鼓胀变形和地表隆起。</w:t>
      </w:r>
    </w:p>
    <w:p w14:paraId="0FEFD9B1">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textAlignment w:val="auto"/>
        <w:rPr>
          <w:rFonts w:ascii="Times New Roman"/>
          <w:color w:val="auto"/>
          <w:szCs w:val="21"/>
        </w:rPr>
      </w:pPr>
      <w:r>
        <w:rPr>
          <w:rFonts w:ascii="Times New Roman" w:eastAsia="黑体"/>
          <w:b/>
          <w:bCs/>
          <w:color w:val="auto"/>
          <w:szCs w:val="21"/>
        </w:rPr>
        <w:t>11.4.4</w:t>
      </w:r>
      <w:r>
        <w:rPr>
          <w:rFonts w:ascii="Times New Roman"/>
          <w:color w:val="auto"/>
          <w:szCs w:val="21"/>
        </w:rPr>
        <w:t xml:space="preserve">  在评价、划分场地建筑的适宜性和稳定性时，终采时间及其后的地表移动延续时间和采深采厚比（H/M）是主挖因素，其中定量标准为地表变形（倾斜、曲率、水平变形）容许值。</w:t>
      </w:r>
    </w:p>
    <w:p w14:paraId="317184EB">
      <w:pPr>
        <w:ind w:firstLine="422" w:firstLineChars="200"/>
        <w:rPr>
          <w:color w:val="auto"/>
        </w:rPr>
      </w:pPr>
      <w:r>
        <w:rPr>
          <w:b/>
          <w:color w:val="auto"/>
        </w:rPr>
        <w:t>a)</w:t>
      </w:r>
      <w:r>
        <w:rPr>
          <w:color w:val="auto"/>
        </w:rPr>
        <w:t xml:space="preserve">  地表移动延续时间（T）的确定。</w:t>
      </w:r>
    </w:p>
    <w:p w14:paraId="35964482">
      <w:pPr>
        <w:ind w:firstLine="732" w:firstLineChars="347"/>
        <w:rPr>
          <w:color w:val="auto"/>
        </w:rPr>
      </w:pPr>
      <w:r>
        <w:rPr>
          <w:b/>
          <w:color w:val="auto"/>
        </w:rPr>
        <w:t>1）</w:t>
      </w:r>
      <w:r>
        <w:rPr>
          <w:color w:val="auto"/>
        </w:rPr>
        <w:t>根据最大下沉点的下沉与时间关系曲线及下沉速度曲线确定地表移动延续时间T，见图14，图中：</w:t>
      </w:r>
    </w:p>
    <w:p w14:paraId="29689B59">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732" w:firstLineChars="347"/>
        <w:textAlignment w:val="auto"/>
        <w:rPr>
          <w:rFonts w:ascii="Times New Roman"/>
          <w:color w:val="auto"/>
          <w:szCs w:val="21"/>
        </w:rPr>
      </w:pPr>
      <w:r>
        <w:rPr>
          <w:rFonts w:ascii="Times New Roman"/>
          <w:b/>
          <w:color w:val="auto"/>
          <w:szCs w:val="24"/>
        </w:rPr>
        <w:t>①</w:t>
      </w:r>
      <w:r>
        <w:rPr>
          <w:rFonts w:ascii="Times New Roman"/>
          <w:color w:val="auto"/>
          <w:szCs w:val="21"/>
        </w:rPr>
        <w:t>下沉10mm时为移动期开始的时间；</w:t>
      </w:r>
    </w:p>
    <w:p w14:paraId="06BA253D">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732" w:firstLineChars="347"/>
        <w:textAlignment w:val="auto"/>
        <w:rPr>
          <w:rFonts w:ascii="Times New Roman"/>
          <w:color w:val="auto"/>
          <w:szCs w:val="21"/>
        </w:rPr>
      </w:pPr>
      <w:r>
        <w:rPr>
          <w:rFonts w:ascii="Times New Roman"/>
          <w:b/>
          <w:color w:val="auto"/>
          <w:szCs w:val="24"/>
        </w:rPr>
        <w:t>②</w:t>
      </w:r>
      <w:r>
        <w:rPr>
          <w:rFonts w:ascii="Times New Roman"/>
          <w:color w:val="auto"/>
          <w:szCs w:val="21"/>
        </w:rPr>
        <w:t>连续6个月下沉值不超过30mm时，可认为地表移动期结束；</w:t>
      </w:r>
    </w:p>
    <w:p w14:paraId="65A86721">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732" w:firstLineChars="347"/>
        <w:textAlignment w:val="auto"/>
        <w:rPr>
          <w:rFonts w:ascii="Times New Roman"/>
          <w:color w:val="auto"/>
          <w:szCs w:val="21"/>
        </w:rPr>
      </w:pPr>
      <w:r>
        <w:rPr>
          <w:rFonts w:ascii="Times New Roman"/>
          <w:b/>
          <w:color w:val="auto"/>
          <w:szCs w:val="24"/>
        </w:rPr>
        <w:t>③</w:t>
      </w:r>
      <w:r>
        <w:rPr>
          <w:rFonts w:ascii="Times New Roman"/>
          <w:color w:val="auto"/>
          <w:szCs w:val="21"/>
        </w:rPr>
        <w:t>从地表移动期开始到结束的整个时间为地表移动的延续时间；</w:t>
      </w:r>
    </w:p>
    <w:p w14:paraId="0E5254C8">
      <w:pPr>
        <w:pStyle w:val="20"/>
        <w:keepNext w:val="0"/>
        <w:keepLines w:val="0"/>
        <w:pageBreakBefore w:val="0"/>
        <w:widowControl w:val="0"/>
        <w:kinsoku/>
        <w:wordWrap/>
        <w:overflowPunct/>
        <w:topLinePunct w:val="0"/>
        <w:autoSpaceDE/>
        <w:autoSpaceDN/>
        <w:bidi w:val="0"/>
        <w:adjustRightInd w:val="0"/>
        <w:snapToGrid w:val="0"/>
        <w:spacing w:line="340" w:lineRule="exact"/>
        <w:ind w:left="0" w:leftChars="0" w:firstLine="732" w:firstLineChars="347"/>
        <w:textAlignment w:val="auto"/>
        <w:rPr>
          <w:rFonts w:ascii="Times New Roman"/>
          <w:color w:val="auto"/>
          <w:szCs w:val="21"/>
        </w:rPr>
      </w:pPr>
      <w:r>
        <w:rPr>
          <w:rFonts w:ascii="Times New Roman"/>
          <w:b/>
          <w:color w:val="auto"/>
          <w:szCs w:val="24"/>
        </w:rPr>
        <w:t>④</w:t>
      </w:r>
      <w:r>
        <w:rPr>
          <w:rFonts w:ascii="Times New Roman"/>
          <w:color w:val="auto"/>
          <w:szCs w:val="21"/>
        </w:rPr>
        <w:t>在地表移动过程的延续时间内，地表下沉速度大于50mm/月（1.7mm/d）（矿层倾角小于45°），或大于30 mm/月（1.0mm/d）（矿层倾角大于45°）的时间称为活跃期；从地表移动期开始到活跃期开始的阶段称为初始期；从活跃期结束到移动期结束的阶段称为衰退期。</w:t>
      </w:r>
    </w:p>
    <w:p w14:paraId="7230D5B7">
      <w:pPr>
        <w:ind w:firstLine="732" w:firstLineChars="347"/>
        <w:rPr>
          <w:color w:val="auto"/>
        </w:rPr>
      </w:pPr>
      <w:r>
        <w:rPr>
          <w:b/>
          <w:color w:val="auto"/>
        </w:rPr>
        <w:t>2）</w:t>
      </w:r>
      <w:r>
        <w:rPr>
          <w:color w:val="auto"/>
        </w:rPr>
        <w:t>当无实测资料时，地表移动的延续时间T可按式9.4.4-1及式9.4.4-2确定：</w:t>
      </w:r>
    </w:p>
    <w:p w14:paraId="35BCAC19">
      <w:pPr>
        <w:jc w:val="center"/>
        <w:rPr>
          <w:color w:val="auto"/>
        </w:rPr>
      </w:pPr>
      <w:r>
        <w:rPr>
          <w:i/>
          <w:color w:val="auto"/>
        </w:rPr>
        <w:t>T</w:t>
      </w:r>
      <w:r>
        <w:rPr>
          <w:color w:val="auto"/>
        </w:rPr>
        <w:t>=2.5</w:t>
      </w:r>
      <w:r>
        <w:rPr>
          <w:i/>
          <w:color w:val="auto"/>
        </w:rPr>
        <w:t>H</w:t>
      </w:r>
      <w:r>
        <w:rPr>
          <w:color w:val="auto"/>
          <w:vertAlign w:val="subscript"/>
        </w:rPr>
        <w:t>0</w:t>
      </w:r>
      <w:r>
        <w:rPr>
          <w:color w:val="auto"/>
        </w:rPr>
        <w:t xml:space="preserve">                    当</w:t>
      </w:r>
      <w:r>
        <w:rPr>
          <w:i/>
          <w:color w:val="auto"/>
        </w:rPr>
        <w:t>H</w:t>
      </w:r>
      <w:r>
        <w:rPr>
          <w:color w:val="auto"/>
          <w:vertAlign w:val="subscript"/>
        </w:rPr>
        <w:t>0</w:t>
      </w:r>
      <w:r>
        <w:rPr>
          <w:color w:val="auto"/>
        </w:rPr>
        <w:t>≤400m时（9.4.4-1）</w:t>
      </w:r>
    </w:p>
    <w:p w14:paraId="5B631F49">
      <w:pPr>
        <w:jc w:val="center"/>
        <w:rPr>
          <w:color w:val="auto"/>
        </w:rPr>
      </w:pPr>
      <w:r>
        <w:rPr>
          <w:color w:val="auto"/>
          <w:position w:val="-30"/>
          <w:szCs w:val="21"/>
        </w:rPr>
        <w:object>
          <v:shape id="_x0000_i1887" o:spt="75" type="#_x0000_t75" style="height:34pt;width:109pt;" o:ole="t" filled="f" o:preferrelative="t" stroked="f" coordsize="21600,21600">
            <v:path/>
            <v:fill on="f" focussize="0,0"/>
            <v:stroke on="f"/>
            <v:imagedata r:id="rId1665" o:title=""/>
            <o:lock v:ext="edit" grouping="f" rotation="f" text="f" aspectratio="t"/>
            <w10:wrap type="none"/>
            <w10:anchorlock/>
          </v:shape>
          <o:OLEObject Type="Embed" ProgID="Equation.3" ShapeID="_x0000_i1887" DrawAspect="Content" ObjectID="_1468076587" r:id="rId1664">
            <o:LockedField>false</o:LockedField>
          </o:OLEObject>
        </w:object>
      </w:r>
      <w:r>
        <w:rPr>
          <w:color w:val="auto"/>
          <w:szCs w:val="21"/>
        </w:rPr>
        <w:t xml:space="preserve">            </w:t>
      </w:r>
      <w:r>
        <w:rPr>
          <w:color w:val="auto"/>
        </w:rPr>
        <w:t>当</w:t>
      </w:r>
      <w:r>
        <w:rPr>
          <w:i/>
          <w:color w:val="auto"/>
        </w:rPr>
        <w:t>H</w:t>
      </w:r>
      <w:r>
        <w:rPr>
          <w:color w:val="auto"/>
          <w:vertAlign w:val="subscript"/>
        </w:rPr>
        <w:t>0</w:t>
      </w:r>
      <w:r>
        <w:rPr>
          <w:color w:val="auto"/>
        </w:rPr>
        <w:t>＞400m时（9.4.4-2）</w:t>
      </w:r>
    </w:p>
    <w:p w14:paraId="03944027">
      <w:pPr>
        <w:rPr>
          <w:color w:val="auto"/>
        </w:rPr>
      </w:pPr>
      <w:r>
        <w:rPr>
          <w:color w:val="auto"/>
        </w:rPr>
        <w:t>式中：</w:t>
      </w:r>
      <w:r>
        <w:rPr>
          <w:i/>
          <w:color w:val="auto"/>
        </w:rPr>
        <w:t>H</w:t>
      </w:r>
      <w:r>
        <w:rPr>
          <w:color w:val="auto"/>
          <w:vertAlign w:val="subscript"/>
        </w:rPr>
        <w:t>0</w:t>
      </w:r>
      <w:r>
        <w:rPr>
          <w:color w:val="auto"/>
        </w:rPr>
        <w:t>——平均开采深度（m）；</w:t>
      </w:r>
    </w:p>
    <w:p w14:paraId="3520F9FE">
      <w:pPr>
        <w:rPr>
          <w:color w:val="auto"/>
        </w:rPr>
      </w:pPr>
      <w:r>
        <w:rPr>
          <w:color w:val="auto"/>
        </w:rPr>
        <w:t xml:space="preserve">       </w:t>
      </w:r>
      <w:r>
        <w:rPr>
          <w:i/>
          <w:color w:val="auto"/>
        </w:rPr>
        <w:t>T</w:t>
      </w:r>
      <w:r>
        <w:rPr>
          <w:color w:val="auto"/>
        </w:rPr>
        <w:t>——地表移动延续时间（d）。</w:t>
      </w:r>
    </w:p>
    <w:p w14:paraId="04CB2054">
      <w:pPr>
        <w:ind w:firstLine="723" w:firstLineChars="343"/>
        <w:rPr>
          <w:color w:val="auto"/>
        </w:rPr>
      </w:pPr>
      <w:r>
        <w:rPr>
          <w:b/>
          <w:color w:val="auto"/>
        </w:rPr>
        <w:t>3）</w:t>
      </w:r>
      <w:r>
        <w:rPr>
          <w:color w:val="auto"/>
        </w:rPr>
        <w:t>当地表变形已超越T=2.5</w:t>
      </w:r>
      <w:r>
        <w:rPr>
          <w:i/>
          <w:color w:val="auto"/>
        </w:rPr>
        <w:t xml:space="preserve"> H</w:t>
      </w:r>
      <w:r>
        <w:rPr>
          <w:color w:val="auto"/>
          <w:vertAlign w:val="subscript"/>
        </w:rPr>
        <w:t>0</w:t>
      </w:r>
      <w:r>
        <w:rPr>
          <w:color w:val="auto"/>
        </w:rPr>
        <w:t>（天），但仍小于5</w:t>
      </w:r>
      <w:r>
        <w:rPr>
          <w:i/>
          <w:color w:val="auto"/>
        </w:rPr>
        <w:t xml:space="preserve"> H</w:t>
      </w:r>
      <w:r>
        <w:rPr>
          <w:color w:val="auto"/>
          <w:vertAlign w:val="subscript"/>
        </w:rPr>
        <w:t>0</w:t>
      </w:r>
      <w:r>
        <w:rPr>
          <w:color w:val="auto"/>
        </w:rPr>
        <w:t>（天），即仍有缓慢的残余变形时，宜接续或重新进行地表变形监测。</w:t>
      </w:r>
    </w:p>
    <w:p w14:paraId="5A6CA3ED">
      <w:pPr>
        <w:ind w:firstLine="435"/>
        <w:rPr>
          <w:color w:val="auto"/>
        </w:rPr>
      </w:pPr>
      <w:r>
        <w:rPr>
          <w:rFonts w:hint="eastAsia"/>
          <w:color w:val="auto"/>
        </w:rPr>
        <w:t>b</w:t>
      </w:r>
      <w:r>
        <w:rPr>
          <w:color w:val="auto"/>
        </w:rPr>
        <w:t>)国家标准</w:t>
      </w:r>
      <w:r>
        <w:rPr>
          <w:rFonts w:hint="eastAsia"/>
          <w:color w:val="auto"/>
        </w:rPr>
        <w:t>G</w:t>
      </w:r>
      <w:r>
        <w:rPr>
          <w:color w:val="auto"/>
        </w:rPr>
        <w:t>B</w:t>
      </w:r>
      <w:r>
        <w:rPr>
          <w:rFonts w:hint="eastAsia"/>
          <w:color w:val="auto"/>
          <w:lang w:val="en-US" w:eastAsia="zh-CN"/>
        </w:rPr>
        <w:t xml:space="preserve"> </w:t>
      </w:r>
      <w:r>
        <w:rPr>
          <w:color w:val="auto"/>
        </w:rPr>
        <w:t>51044中对采空区稳定性的判定提出了以下几种判别方法：</w:t>
      </w:r>
    </w:p>
    <w:p w14:paraId="7AA8C964">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17</w:t>
      </w:r>
      <w:r>
        <w:rPr>
          <w:color w:val="auto"/>
        </w:rPr>
        <w:fldChar w:fldCharType="end"/>
      </w:r>
      <w:r>
        <w:rPr>
          <w:b/>
          <w:color w:val="auto"/>
        </w:rPr>
        <w:t xml:space="preserve">  按</w:t>
      </w:r>
      <w:r>
        <w:rPr>
          <w:rFonts w:hint="eastAsia"/>
          <w:b/>
          <w:color w:val="auto"/>
        </w:rPr>
        <w:t>终</w:t>
      </w:r>
      <w:r>
        <w:rPr>
          <w:b/>
          <w:color w:val="auto"/>
        </w:rPr>
        <w:t>采时间判别场地稳定性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7"/>
        <w:gridCol w:w="2267"/>
        <w:gridCol w:w="2267"/>
        <w:gridCol w:w="2267"/>
      </w:tblGrid>
      <w:tr w14:paraId="6AE3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noWrap w:val="0"/>
            <w:vAlign w:val="center"/>
          </w:tcPr>
          <w:p w14:paraId="4AC47492">
            <w:pPr>
              <w:jc w:val="center"/>
              <w:rPr>
                <w:color w:val="auto"/>
                <w:sz w:val="18"/>
                <w:szCs w:val="18"/>
              </w:rPr>
            </w:pPr>
            <w:r>
              <w:rPr>
                <w:color w:val="auto"/>
                <w:sz w:val="18"/>
                <w:szCs w:val="18"/>
              </w:rPr>
              <w:t>稳定</w:t>
            </w:r>
            <w:r>
              <w:rPr>
                <w:rFonts w:hint="eastAsia"/>
                <w:color w:val="auto"/>
                <w:sz w:val="18"/>
                <w:szCs w:val="18"/>
              </w:rPr>
              <w:t>状态</w:t>
            </w:r>
          </w:p>
        </w:tc>
        <w:tc>
          <w:tcPr>
            <w:tcW w:w="2267" w:type="dxa"/>
            <w:noWrap w:val="0"/>
            <w:vAlign w:val="center"/>
          </w:tcPr>
          <w:p w14:paraId="47EFBDE4">
            <w:pPr>
              <w:jc w:val="center"/>
              <w:rPr>
                <w:color w:val="auto"/>
                <w:sz w:val="18"/>
                <w:szCs w:val="18"/>
              </w:rPr>
            </w:pPr>
            <w:r>
              <w:rPr>
                <w:color w:val="auto"/>
                <w:sz w:val="18"/>
                <w:szCs w:val="18"/>
              </w:rPr>
              <w:t>不稳定</w:t>
            </w:r>
          </w:p>
        </w:tc>
        <w:tc>
          <w:tcPr>
            <w:tcW w:w="2267" w:type="dxa"/>
            <w:noWrap w:val="0"/>
            <w:vAlign w:val="center"/>
          </w:tcPr>
          <w:p w14:paraId="69494677">
            <w:pPr>
              <w:jc w:val="center"/>
              <w:rPr>
                <w:color w:val="auto"/>
                <w:sz w:val="18"/>
                <w:szCs w:val="18"/>
              </w:rPr>
            </w:pPr>
            <w:r>
              <w:rPr>
                <w:rFonts w:hint="eastAsia"/>
                <w:color w:val="auto"/>
                <w:sz w:val="18"/>
                <w:szCs w:val="18"/>
              </w:rPr>
              <w:t>相对</w:t>
            </w:r>
            <w:r>
              <w:rPr>
                <w:color w:val="auto"/>
                <w:sz w:val="18"/>
                <w:szCs w:val="18"/>
              </w:rPr>
              <w:t>稳定</w:t>
            </w:r>
          </w:p>
        </w:tc>
        <w:tc>
          <w:tcPr>
            <w:tcW w:w="2267" w:type="dxa"/>
            <w:noWrap w:val="0"/>
            <w:vAlign w:val="center"/>
          </w:tcPr>
          <w:p w14:paraId="110B33CD">
            <w:pPr>
              <w:jc w:val="center"/>
              <w:rPr>
                <w:color w:val="auto"/>
                <w:sz w:val="18"/>
                <w:szCs w:val="18"/>
              </w:rPr>
            </w:pPr>
            <w:r>
              <w:rPr>
                <w:color w:val="auto"/>
                <w:sz w:val="18"/>
                <w:szCs w:val="18"/>
              </w:rPr>
              <w:t>稳定</w:t>
            </w:r>
          </w:p>
        </w:tc>
      </w:tr>
      <w:tr w14:paraId="296FD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noWrap w:val="0"/>
            <w:vAlign w:val="center"/>
          </w:tcPr>
          <w:p w14:paraId="07947561">
            <w:pPr>
              <w:jc w:val="center"/>
              <w:rPr>
                <w:color w:val="auto"/>
                <w:sz w:val="18"/>
                <w:szCs w:val="18"/>
              </w:rPr>
            </w:pPr>
            <w:r>
              <w:rPr>
                <w:rFonts w:hint="eastAsia"/>
                <w:color w:val="auto"/>
                <w:sz w:val="18"/>
                <w:szCs w:val="18"/>
              </w:rPr>
              <w:t>终</w:t>
            </w:r>
            <w:r>
              <w:rPr>
                <w:color w:val="auto"/>
                <w:sz w:val="18"/>
                <w:szCs w:val="18"/>
              </w:rPr>
              <w:t>采时间</w:t>
            </w:r>
          </w:p>
        </w:tc>
        <w:tc>
          <w:tcPr>
            <w:tcW w:w="2267" w:type="dxa"/>
            <w:noWrap w:val="0"/>
            <w:vAlign w:val="center"/>
          </w:tcPr>
          <w:p w14:paraId="5693BF75">
            <w:pPr>
              <w:snapToGrid w:val="0"/>
              <w:jc w:val="center"/>
              <w:rPr>
                <w:color w:val="auto"/>
                <w:sz w:val="18"/>
                <w:szCs w:val="18"/>
              </w:rPr>
            </w:pPr>
            <w:r>
              <w:rPr>
                <w:color w:val="auto"/>
                <w:sz w:val="18"/>
                <w:szCs w:val="18"/>
              </w:rPr>
              <w:t>＜2H(天)或≤1年</w:t>
            </w:r>
          </w:p>
        </w:tc>
        <w:tc>
          <w:tcPr>
            <w:tcW w:w="2267" w:type="dxa"/>
            <w:noWrap w:val="0"/>
            <w:vAlign w:val="center"/>
          </w:tcPr>
          <w:p w14:paraId="65D7530F">
            <w:pPr>
              <w:jc w:val="center"/>
              <w:rPr>
                <w:color w:val="auto"/>
                <w:sz w:val="18"/>
                <w:szCs w:val="18"/>
              </w:rPr>
            </w:pPr>
            <w:r>
              <w:rPr>
                <w:color w:val="auto"/>
                <w:sz w:val="18"/>
                <w:szCs w:val="18"/>
              </w:rPr>
              <w:t>2H～3H(天)且＞1年</w:t>
            </w:r>
          </w:p>
        </w:tc>
        <w:tc>
          <w:tcPr>
            <w:tcW w:w="2267" w:type="dxa"/>
            <w:noWrap w:val="0"/>
            <w:vAlign w:val="center"/>
          </w:tcPr>
          <w:p w14:paraId="0EDE0FE8">
            <w:pPr>
              <w:jc w:val="center"/>
              <w:rPr>
                <w:color w:val="auto"/>
                <w:sz w:val="18"/>
                <w:szCs w:val="18"/>
              </w:rPr>
            </w:pPr>
            <w:r>
              <w:rPr>
                <w:color w:val="auto"/>
                <w:sz w:val="18"/>
                <w:szCs w:val="18"/>
              </w:rPr>
              <w:t>＞3H(天)且＞2年</w:t>
            </w:r>
          </w:p>
        </w:tc>
      </w:tr>
      <w:tr w14:paraId="16DB1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068" w:type="dxa"/>
            <w:gridSpan w:val="4"/>
            <w:noWrap w:val="0"/>
            <w:vAlign w:val="center"/>
          </w:tcPr>
          <w:p w14:paraId="7FED724E">
            <w:pPr>
              <w:rPr>
                <w:color w:val="auto"/>
                <w:sz w:val="18"/>
                <w:szCs w:val="18"/>
              </w:rPr>
            </w:pPr>
            <w:r>
              <w:rPr>
                <w:color w:val="auto"/>
                <w:sz w:val="18"/>
                <w:szCs w:val="18"/>
              </w:rPr>
              <w:t>注：H——采空区采深(m)。</w:t>
            </w:r>
          </w:p>
        </w:tc>
      </w:tr>
    </w:tbl>
    <w:p w14:paraId="788593E8">
      <w:pPr>
        <w:spacing w:before="120"/>
        <w:jc w:val="center"/>
        <w:rPr>
          <w:b/>
          <w:color w:val="auto"/>
        </w:rPr>
      </w:pPr>
    </w:p>
    <w:p w14:paraId="3ED5DBD4">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18</w:t>
      </w:r>
      <w:r>
        <w:rPr>
          <w:color w:val="auto"/>
        </w:rPr>
        <w:fldChar w:fldCharType="end"/>
      </w:r>
      <w:r>
        <w:rPr>
          <w:b/>
          <w:color w:val="auto"/>
        </w:rPr>
        <w:t xml:space="preserve">  按地表移动变形特征判别场地稳定性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7"/>
        <w:gridCol w:w="2101"/>
        <w:gridCol w:w="2101"/>
        <w:gridCol w:w="2599"/>
      </w:tblGrid>
      <w:tr w14:paraId="4CF51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2267" w:type="dxa"/>
            <w:noWrap w:val="0"/>
            <w:vAlign w:val="center"/>
          </w:tcPr>
          <w:p w14:paraId="75AF34A3">
            <w:pPr>
              <w:snapToGrid w:val="0"/>
              <w:jc w:val="center"/>
              <w:rPr>
                <w:rFonts w:hint="eastAsia"/>
                <w:color w:val="auto"/>
                <w:sz w:val="18"/>
                <w:szCs w:val="18"/>
              </w:rPr>
            </w:pPr>
            <w:r>
              <w:rPr>
                <w:color w:val="auto"/>
                <w:sz w:val="18"/>
                <w:szCs w:val="18"/>
              </w:rPr>
              <w:t>稳定</w:t>
            </w:r>
            <w:r>
              <w:rPr>
                <w:rFonts w:hint="eastAsia"/>
                <w:color w:val="auto"/>
                <w:sz w:val="18"/>
                <w:szCs w:val="18"/>
              </w:rPr>
              <w:t>状态</w:t>
            </w:r>
          </w:p>
        </w:tc>
        <w:tc>
          <w:tcPr>
            <w:tcW w:w="2101" w:type="dxa"/>
            <w:noWrap w:val="0"/>
            <w:vAlign w:val="center"/>
          </w:tcPr>
          <w:p w14:paraId="2A01D975">
            <w:pPr>
              <w:snapToGrid w:val="0"/>
              <w:jc w:val="center"/>
              <w:rPr>
                <w:color w:val="auto"/>
                <w:sz w:val="18"/>
                <w:szCs w:val="18"/>
              </w:rPr>
            </w:pPr>
            <w:r>
              <w:rPr>
                <w:color w:val="auto"/>
                <w:sz w:val="18"/>
                <w:szCs w:val="18"/>
              </w:rPr>
              <w:t>不稳定</w:t>
            </w:r>
          </w:p>
        </w:tc>
        <w:tc>
          <w:tcPr>
            <w:tcW w:w="2101" w:type="dxa"/>
            <w:noWrap w:val="0"/>
            <w:vAlign w:val="center"/>
          </w:tcPr>
          <w:p w14:paraId="2CBD0436">
            <w:pPr>
              <w:snapToGrid w:val="0"/>
              <w:jc w:val="center"/>
              <w:rPr>
                <w:color w:val="auto"/>
                <w:sz w:val="18"/>
                <w:szCs w:val="18"/>
              </w:rPr>
            </w:pPr>
            <w:r>
              <w:rPr>
                <w:color w:val="auto"/>
                <w:sz w:val="18"/>
                <w:szCs w:val="18"/>
              </w:rPr>
              <w:t>相对稳定</w:t>
            </w:r>
          </w:p>
        </w:tc>
        <w:tc>
          <w:tcPr>
            <w:tcW w:w="2599" w:type="dxa"/>
            <w:noWrap w:val="0"/>
            <w:vAlign w:val="center"/>
          </w:tcPr>
          <w:p w14:paraId="635B8BF6">
            <w:pPr>
              <w:snapToGrid w:val="0"/>
              <w:jc w:val="center"/>
              <w:rPr>
                <w:color w:val="auto"/>
                <w:sz w:val="18"/>
                <w:szCs w:val="18"/>
              </w:rPr>
            </w:pPr>
            <w:r>
              <w:rPr>
                <w:color w:val="auto"/>
                <w:sz w:val="18"/>
                <w:szCs w:val="18"/>
              </w:rPr>
              <w:t>稳定</w:t>
            </w:r>
          </w:p>
        </w:tc>
      </w:tr>
      <w:tr w14:paraId="3EE9C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vMerge w:val="restart"/>
            <w:noWrap w:val="0"/>
            <w:vAlign w:val="center"/>
          </w:tcPr>
          <w:p w14:paraId="162429BE">
            <w:pPr>
              <w:jc w:val="center"/>
              <w:rPr>
                <w:color w:val="auto"/>
                <w:sz w:val="18"/>
                <w:szCs w:val="18"/>
              </w:rPr>
            </w:pPr>
            <w:r>
              <w:rPr>
                <w:color w:val="auto"/>
                <w:sz w:val="18"/>
                <w:szCs w:val="18"/>
              </w:rPr>
              <w:t>地表移动变形特征</w:t>
            </w:r>
          </w:p>
        </w:tc>
        <w:tc>
          <w:tcPr>
            <w:tcW w:w="2101" w:type="dxa"/>
            <w:vMerge w:val="restart"/>
            <w:noWrap w:val="0"/>
            <w:vAlign w:val="center"/>
          </w:tcPr>
          <w:p w14:paraId="324F2445">
            <w:pPr>
              <w:snapToGrid w:val="0"/>
              <w:jc w:val="center"/>
              <w:rPr>
                <w:color w:val="auto"/>
                <w:sz w:val="18"/>
                <w:szCs w:val="18"/>
              </w:rPr>
            </w:pPr>
            <w:r>
              <w:rPr>
                <w:color w:val="auto"/>
                <w:sz w:val="18"/>
                <w:szCs w:val="18"/>
              </w:rPr>
              <w:t>非连续变形</w:t>
            </w:r>
          </w:p>
          <w:p w14:paraId="4A99BACF">
            <w:pPr>
              <w:snapToGrid w:val="0"/>
              <w:jc w:val="center"/>
              <w:rPr>
                <w:color w:val="auto"/>
                <w:sz w:val="18"/>
                <w:szCs w:val="18"/>
              </w:rPr>
            </w:pPr>
          </w:p>
        </w:tc>
        <w:tc>
          <w:tcPr>
            <w:tcW w:w="2101" w:type="dxa"/>
            <w:noWrap w:val="0"/>
            <w:vAlign w:val="center"/>
          </w:tcPr>
          <w:p w14:paraId="52465D99">
            <w:pPr>
              <w:jc w:val="center"/>
              <w:rPr>
                <w:color w:val="auto"/>
                <w:sz w:val="18"/>
                <w:szCs w:val="18"/>
              </w:rPr>
            </w:pPr>
            <w:r>
              <w:rPr>
                <w:color w:val="auto"/>
                <w:sz w:val="18"/>
                <w:szCs w:val="18"/>
              </w:rPr>
              <w:t>连续变形</w:t>
            </w:r>
          </w:p>
        </w:tc>
        <w:tc>
          <w:tcPr>
            <w:tcW w:w="2599" w:type="dxa"/>
            <w:noWrap w:val="0"/>
            <w:vAlign w:val="center"/>
          </w:tcPr>
          <w:p w14:paraId="3191CF76">
            <w:pPr>
              <w:jc w:val="center"/>
              <w:rPr>
                <w:color w:val="auto"/>
                <w:sz w:val="18"/>
                <w:szCs w:val="18"/>
              </w:rPr>
            </w:pPr>
            <w:r>
              <w:rPr>
                <w:color w:val="auto"/>
                <w:sz w:val="18"/>
                <w:szCs w:val="18"/>
              </w:rPr>
              <w:t>连续变形</w:t>
            </w:r>
          </w:p>
        </w:tc>
      </w:tr>
      <w:tr w14:paraId="753ED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vMerge w:val="continue"/>
            <w:noWrap w:val="0"/>
            <w:vAlign w:val="center"/>
          </w:tcPr>
          <w:p w14:paraId="7C882FD5">
            <w:pPr>
              <w:jc w:val="center"/>
              <w:rPr>
                <w:color w:val="auto"/>
                <w:sz w:val="18"/>
                <w:szCs w:val="18"/>
              </w:rPr>
            </w:pPr>
          </w:p>
        </w:tc>
        <w:tc>
          <w:tcPr>
            <w:tcW w:w="2101" w:type="dxa"/>
            <w:vMerge w:val="continue"/>
            <w:noWrap w:val="0"/>
            <w:vAlign w:val="center"/>
          </w:tcPr>
          <w:p w14:paraId="101D8246">
            <w:pPr>
              <w:snapToGrid w:val="0"/>
              <w:jc w:val="center"/>
              <w:rPr>
                <w:color w:val="auto"/>
                <w:sz w:val="18"/>
                <w:szCs w:val="18"/>
              </w:rPr>
            </w:pPr>
          </w:p>
        </w:tc>
        <w:tc>
          <w:tcPr>
            <w:tcW w:w="2101" w:type="dxa"/>
            <w:noWrap w:val="0"/>
            <w:vAlign w:val="center"/>
          </w:tcPr>
          <w:p w14:paraId="4F70658B">
            <w:pPr>
              <w:jc w:val="center"/>
              <w:rPr>
                <w:color w:val="auto"/>
                <w:sz w:val="18"/>
                <w:szCs w:val="18"/>
              </w:rPr>
            </w:pPr>
            <w:r>
              <w:rPr>
                <w:color w:val="auto"/>
                <w:sz w:val="18"/>
                <w:szCs w:val="18"/>
              </w:rPr>
              <w:t>盆地边缘区</w:t>
            </w:r>
          </w:p>
        </w:tc>
        <w:tc>
          <w:tcPr>
            <w:tcW w:w="2599" w:type="dxa"/>
            <w:noWrap w:val="0"/>
            <w:vAlign w:val="center"/>
          </w:tcPr>
          <w:p w14:paraId="0D6667B0">
            <w:pPr>
              <w:jc w:val="center"/>
              <w:rPr>
                <w:color w:val="auto"/>
                <w:sz w:val="18"/>
                <w:szCs w:val="18"/>
              </w:rPr>
            </w:pPr>
            <w:r>
              <w:rPr>
                <w:color w:val="auto"/>
                <w:sz w:val="18"/>
                <w:szCs w:val="18"/>
              </w:rPr>
              <w:t>盆地中间区</w:t>
            </w:r>
          </w:p>
        </w:tc>
      </w:tr>
      <w:tr w14:paraId="71D44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vMerge w:val="continue"/>
            <w:noWrap w:val="0"/>
            <w:vAlign w:val="center"/>
          </w:tcPr>
          <w:p w14:paraId="6722452A">
            <w:pPr>
              <w:jc w:val="center"/>
              <w:rPr>
                <w:color w:val="auto"/>
                <w:sz w:val="18"/>
                <w:szCs w:val="18"/>
              </w:rPr>
            </w:pPr>
          </w:p>
        </w:tc>
        <w:tc>
          <w:tcPr>
            <w:tcW w:w="2101" w:type="dxa"/>
            <w:noWrap w:val="0"/>
            <w:vAlign w:val="center"/>
          </w:tcPr>
          <w:p w14:paraId="7EA39107">
            <w:pPr>
              <w:snapToGrid w:val="0"/>
              <w:jc w:val="center"/>
              <w:rPr>
                <w:color w:val="auto"/>
                <w:sz w:val="18"/>
                <w:szCs w:val="18"/>
              </w:rPr>
            </w:pPr>
            <w:r>
              <w:rPr>
                <w:color w:val="auto"/>
                <w:sz w:val="18"/>
                <w:szCs w:val="18"/>
              </w:rPr>
              <w:t>地面有塌陷坑、台阶</w:t>
            </w:r>
          </w:p>
        </w:tc>
        <w:tc>
          <w:tcPr>
            <w:tcW w:w="2101" w:type="dxa"/>
            <w:noWrap w:val="0"/>
            <w:vAlign w:val="center"/>
          </w:tcPr>
          <w:p w14:paraId="11C612AD">
            <w:pPr>
              <w:jc w:val="center"/>
              <w:rPr>
                <w:color w:val="auto"/>
                <w:sz w:val="18"/>
                <w:szCs w:val="18"/>
              </w:rPr>
            </w:pPr>
            <w:r>
              <w:rPr>
                <w:color w:val="auto"/>
                <w:sz w:val="18"/>
                <w:szCs w:val="18"/>
              </w:rPr>
              <w:t>地面倾斜、有地裂缝</w:t>
            </w:r>
          </w:p>
        </w:tc>
        <w:tc>
          <w:tcPr>
            <w:tcW w:w="2599" w:type="dxa"/>
            <w:noWrap w:val="0"/>
            <w:vAlign w:val="center"/>
          </w:tcPr>
          <w:p w14:paraId="7844EF03">
            <w:pPr>
              <w:jc w:val="center"/>
              <w:rPr>
                <w:color w:val="auto"/>
                <w:sz w:val="18"/>
                <w:szCs w:val="18"/>
              </w:rPr>
            </w:pPr>
            <w:r>
              <w:rPr>
                <w:color w:val="auto"/>
                <w:sz w:val="18"/>
                <w:szCs w:val="18"/>
              </w:rPr>
              <w:t>地面无地裂缝、台阶、塌陷坑</w:t>
            </w:r>
          </w:p>
        </w:tc>
      </w:tr>
    </w:tbl>
    <w:p w14:paraId="67E221EA">
      <w:pPr>
        <w:rPr>
          <w:color w:val="auto"/>
        </w:rPr>
      </w:pPr>
    </w:p>
    <w:p w14:paraId="0BC39911">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19</w:t>
      </w:r>
      <w:r>
        <w:rPr>
          <w:color w:val="auto"/>
        </w:rPr>
        <w:fldChar w:fldCharType="end"/>
      </w:r>
      <w:r>
        <w:rPr>
          <w:b/>
          <w:color w:val="auto"/>
        </w:rPr>
        <w:t xml:space="preserve">  按顶板岩性及覆盖层厚度判别浅层采空区场地稳定性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7"/>
        <w:gridCol w:w="2101"/>
        <w:gridCol w:w="2101"/>
        <w:gridCol w:w="2599"/>
      </w:tblGrid>
      <w:tr w14:paraId="0E8AA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2267" w:type="dxa"/>
            <w:noWrap w:val="0"/>
            <w:vAlign w:val="center"/>
          </w:tcPr>
          <w:p w14:paraId="60160346">
            <w:pPr>
              <w:snapToGrid w:val="0"/>
              <w:jc w:val="center"/>
              <w:rPr>
                <w:rFonts w:hint="eastAsia"/>
                <w:color w:val="auto"/>
                <w:sz w:val="18"/>
                <w:szCs w:val="18"/>
              </w:rPr>
            </w:pPr>
            <w:r>
              <w:rPr>
                <w:color w:val="auto"/>
                <w:sz w:val="18"/>
                <w:szCs w:val="18"/>
              </w:rPr>
              <w:t>稳定</w:t>
            </w:r>
            <w:r>
              <w:rPr>
                <w:rFonts w:hint="eastAsia"/>
                <w:color w:val="auto"/>
                <w:sz w:val="18"/>
                <w:szCs w:val="18"/>
              </w:rPr>
              <w:t>状态</w:t>
            </w:r>
          </w:p>
        </w:tc>
        <w:tc>
          <w:tcPr>
            <w:tcW w:w="2101" w:type="dxa"/>
            <w:noWrap w:val="0"/>
            <w:vAlign w:val="center"/>
          </w:tcPr>
          <w:p w14:paraId="77EF2F70">
            <w:pPr>
              <w:snapToGrid w:val="0"/>
              <w:jc w:val="center"/>
              <w:rPr>
                <w:color w:val="auto"/>
                <w:sz w:val="18"/>
                <w:szCs w:val="18"/>
              </w:rPr>
            </w:pPr>
            <w:r>
              <w:rPr>
                <w:color w:val="auto"/>
                <w:sz w:val="18"/>
                <w:szCs w:val="18"/>
              </w:rPr>
              <w:t>不稳定</w:t>
            </w:r>
          </w:p>
        </w:tc>
        <w:tc>
          <w:tcPr>
            <w:tcW w:w="2101" w:type="dxa"/>
            <w:noWrap w:val="0"/>
            <w:vAlign w:val="center"/>
          </w:tcPr>
          <w:p w14:paraId="3F7B0A6D">
            <w:pPr>
              <w:snapToGrid w:val="0"/>
              <w:jc w:val="center"/>
              <w:rPr>
                <w:color w:val="auto"/>
                <w:sz w:val="18"/>
                <w:szCs w:val="18"/>
              </w:rPr>
            </w:pPr>
            <w:r>
              <w:rPr>
                <w:color w:val="auto"/>
                <w:sz w:val="18"/>
                <w:szCs w:val="18"/>
              </w:rPr>
              <w:t>相对稳定</w:t>
            </w:r>
          </w:p>
        </w:tc>
        <w:tc>
          <w:tcPr>
            <w:tcW w:w="2599" w:type="dxa"/>
            <w:noWrap w:val="0"/>
            <w:vAlign w:val="center"/>
          </w:tcPr>
          <w:p w14:paraId="72E2747C">
            <w:pPr>
              <w:snapToGrid w:val="0"/>
              <w:jc w:val="center"/>
              <w:rPr>
                <w:color w:val="auto"/>
                <w:sz w:val="18"/>
                <w:szCs w:val="18"/>
              </w:rPr>
            </w:pPr>
            <w:r>
              <w:rPr>
                <w:color w:val="auto"/>
                <w:sz w:val="18"/>
                <w:szCs w:val="18"/>
              </w:rPr>
              <w:t>稳定</w:t>
            </w:r>
          </w:p>
        </w:tc>
      </w:tr>
      <w:tr w14:paraId="6009D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noWrap w:val="0"/>
            <w:vAlign w:val="center"/>
          </w:tcPr>
          <w:p w14:paraId="67E089AD">
            <w:pPr>
              <w:jc w:val="center"/>
              <w:rPr>
                <w:color w:val="auto"/>
                <w:sz w:val="18"/>
                <w:szCs w:val="18"/>
              </w:rPr>
            </w:pPr>
            <w:r>
              <w:rPr>
                <w:color w:val="auto"/>
                <w:sz w:val="18"/>
                <w:szCs w:val="18"/>
              </w:rPr>
              <w:t>顶板岩性</w:t>
            </w:r>
          </w:p>
        </w:tc>
        <w:tc>
          <w:tcPr>
            <w:tcW w:w="2101" w:type="dxa"/>
            <w:noWrap w:val="0"/>
            <w:vAlign w:val="center"/>
          </w:tcPr>
          <w:p w14:paraId="721B1B9D">
            <w:pPr>
              <w:snapToGrid w:val="0"/>
              <w:jc w:val="center"/>
              <w:rPr>
                <w:color w:val="auto"/>
                <w:sz w:val="18"/>
                <w:szCs w:val="18"/>
              </w:rPr>
            </w:pPr>
            <w:r>
              <w:rPr>
                <w:color w:val="auto"/>
                <w:sz w:val="18"/>
                <w:szCs w:val="18"/>
              </w:rPr>
              <w:t>无坚硬岩层分布或为薄层或软硬岩层互层状分布</w:t>
            </w:r>
          </w:p>
        </w:tc>
        <w:tc>
          <w:tcPr>
            <w:tcW w:w="2101" w:type="dxa"/>
            <w:noWrap w:val="0"/>
            <w:vAlign w:val="center"/>
          </w:tcPr>
          <w:p w14:paraId="520E157F">
            <w:pPr>
              <w:jc w:val="center"/>
              <w:rPr>
                <w:color w:val="auto"/>
                <w:sz w:val="18"/>
                <w:szCs w:val="18"/>
              </w:rPr>
            </w:pPr>
            <w:r>
              <w:rPr>
                <w:color w:val="auto"/>
                <w:sz w:val="18"/>
                <w:szCs w:val="18"/>
              </w:rPr>
              <w:t>有厚层状坚硬岩层分布且15.0m＞层厚＞5.0m</w:t>
            </w:r>
          </w:p>
        </w:tc>
        <w:tc>
          <w:tcPr>
            <w:tcW w:w="2599" w:type="dxa"/>
            <w:noWrap w:val="0"/>
            <w:vAlign w:val="center"/>
          </w:tcPr>
          <w:p w14:paraId="36A7BB9E">
            <w:pPr>
              <w:jc w:val="center"/>
              <w:rPr>
                <w:color w:val="auto"/>
                <w:sz w:val="18"/>
                <w:szCs w:val="18"/>
              </w:rPr>
            </w:pPr>
            <w:r>
              <w:rPr>
                <w:color w:val="auto"/>
                <w:sz w:val="18"/>
                <w:szCs w:val="18"/>
              </w:rPr>
              <w:t>有厚层状坚硬岩层分布且层厚度≥15.0m</w:t>
            </w:r>
          </w:p>
        </w:tc>
      </w:tr>
      <w:tr w14:paraId="1F28B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67" w:type="dxa"/>
            <w:noWrap w:val="0"/>
            <w:vAlign w:val="center"/>
          </w:tcPr>
          <w:p w14:paraId="29EC7B94">
            <w:pPr>
              <w:jc w:val="center"/>
              <w:rPr>
                <w:color w:val="auto"/>
                <w:sz w:val="18"/>
                <w:szCs w:val="18"/>
              </w:rPr>
            </w:pPr>
            <w:r>
              <w:rPr>
                <w:color w:val="auto"/>
                <w:sz w:val="18"/>
                <w:szCs w:val="18"/>
              </w:rPr>
              <w:t>覆盖土层厚度</w:t>
            </w:r>
          </w:p>
        </w:tc>
        <w:tc>
          <w:tcPr>
            <w:tcW w:w="2101" w:type="dxa"/>
            <w:noWrap w:val="0"/>
            <w:vAlign w:val="center"/>
          </w:tcPr>
          <w:p w14:paraId="5A378FB4">
            <w:pPr>
              <w:snapToGrid w:val="0"/>
              <w:jc w:val="center"/>
              <w:rPr>
                <w:color w:val="auto"/>
                <w:sz w:val="18"/>
                <w:szCs w:val="18"/>
              </w:rPr>
            </w:pPr>
            <w:r>
              <w:rPr>
                <w:color w:val="auto"/>
                <w:sz w:val="18"/>
                <w:szCs w:val="18"/>
              </w:rPr>
              <w:t>＜5m</w:t>
            </w:r>
          </w:p>
        </w:tc>
        <w:tc>
          <w:tcPr>
            <w:tcW w:w="2101" w:type="dxa"/>
            <w:noWrap w:val="0"/>
            <w:vAlign w:val="center"/>
          </w:tcPr>
          <w:p w14:paraId="041AD059">
            <w:pPr>
              <w:jc w:val="center"/>
              <w:rPr>
                <w:color w:val="auto"/>
                <w:sz w:val="18"/>
                <w:szCs w:val="18"/>
              </w:rPr>
            </w:pPr>
            <w:r>
              <w:rPr>
                <w:color w:val="auto"/>
                <w:sz w:val="18"/>
                <w:szCs w:val="18"/>
              </w:rPr>
              <w:t>5~30m</w:t>
            </w:r>
          </w:p>
        </w:tc>
        <w:tc>
          <w:tcPr>
            <w:tcW w:w="2599" w:type="dxa"/>
            <w:noWrap w:val="0"/>
            <w:vAlign w:val="center"/>
          </w:tcPr>
          <w:p w14:paraId="01C48702">
            <w:pPr>
              <w:jc w:val="center"/>
              <w:rPr>
                <w:color w:val="auto"/>
                <w:sz w:val="18"/>
                <w:szCs w:val="18"/>
              </w:rPr>
            </w:pPr>
            <w:r>
              <w:rPr>
                <w:color w:val="auto"/>
                <w:sz w:val="18"/>
                <w:szCs w:val="18"/>
              </w:rPr>
              <w:t>＞30m</w:t>
            </w:r>
          </w:p>
        </w:tc>
      </w:tr>
    </w:tbl>
    <w:p w14:paraId="610599C2">
      <w:pPr>
        <w:rPr>
          <w:color w:val="auto"/>
        </w:rPr>
      </w:pPr>
    </w:p>
    <w:p w14:paraId="1D94F6B7">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20</w:t>
      </w:r>
      <w:r>
        <w:rPr>
          <w:color w:val="auto"/>
        </w:rPr>
        <w:fldChar w:fldCharType="end"/>
      </w:r>
      <w:r>
        <w:rPr>
          <w:b/>
          <w:color w:val="auto"/>
        </w:rPr>
        <w:t xml:space="preserve">  按地表移动变形值判别场地稳定性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6"/>
        <w:gridCol w:w="2619"/>
        <w:gridCol w:w="1379"/>
        <w:gridCol w:w="1242"/>
        <w:gridCol w:w="1242"/>
        <w:gridCol w:w="1318"/>
      </w:tblGrid>
      <w:tr w14:paraId="6603A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1346" w:type="dxa"/>
            <w:vMerge w:val="restart"/>
            <w:noWrap w:val="0"/>
            <w:vAlign w:val="center"/>
          </w:tcPr>
          <w:p w14:paraId="617EBFFB">
            <w:pPr>
              <w:snapToGrid w:val="0"/>
              <w:jc w:val="center"/>
              <w:rPr>
                <w:rFonts w:hint="eastAsia"/>
                <w:color w:val="auto"/>
                <w:sz w:val="18"/>
                <w:szCs w:val="18"/>
              </w:rPr>
            </w:pPr>
            <w:r>
              <w:rPr>
                <w:color w:val="auto"/>
                <w:sz w:val="18"/>
                <w:szCs w:val="18"/>
              </w:rPr>
              <w:t>稳定状态</w:t>
            </w:r>
          </w:p>
        </w:tc>
        <w:tc>
          <w:tcPr>
            <w:tcW w:w="6482" w:type="dxa"/>
            <w:gridSpan w:val="4"/>
            <w:noWrap w:val="0"/>
            <w:vAlign w:val="center"/>
          </w:tcPr>
          <w:p w14:paraId="45BB72EC">
            <w:pPr>
              <w:snapToGrid w:val="0"/>
              <w:jc w:val="center"/>
              <w:rPr>
                <w:color w:val="auto"/>
                <w:sz w:val="18"/>
                <w:szCs w:val="18"/>
              </w:rPr>
            </w:pPr>
            <w:r>
              <w:rPr>
                <w:color w:val="auto"/>
                <w:sz w:val="18"/>
                <w:szCs w:val="18"/>
              </w:rPr>
              <w:t>评 价 因 素</w:t>
            </w:r>
          </w:p>
        </w:tc>
        <w:tc>
          <w:tcPr>
            <w:tcW w:w="1318" w:type="dxa"/>
            <w:vMerge w:val="restart"/>
            <w:noWrap w:val="0"/>
            <w:vAlign w:val="center"/>
          </w:tcPr>
          <w:p w14:paraId="3A8FCDBC">
            <w:pPr>
              <w:snapToGrid w:val="0"/>
              <w:jc w:val="center"/>
              <w:rPr>
                <w:color w:val="auto"/>
                <w:sz w:val="18"/>
                <w:szCs w:val="18"/>
              </w:rPr>
            </w:pPr>
            <w:r>
              <w:rPr>
                <w:color w:val="auto"/>
                <w:sz w:val="18"/>
                <w:szCs w:val="18"/>
              </w:rPr>
              <w:t>备注</w:t>
            </w:r>
          </w:p>
        </w:tc>
      </w:tr>
      <w:tr w14:paraId="5F8F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 w:hRule="atLeast"/>
          <w:jc w:val="center"/>
        </w:trPr>
        <w:tc>
          <w:tcPr>
            <w:tcW w:w="1346" w:type="dxa"/>
            <w:vMerge w:val="continue"/>
            <w:noWrap w:val="0"/>
            <w:vAlign w:val="center"/>
          </w:tcPr>
          <w:p w14:paraId="7071283E">
            <w:pPr>
              <w:jc w:val="center"/>
              <w:rPr>
                <w:color w:val="auto"/>
                <w:sz w:val="18"/>
                <w:szCs w:val="18"/>
              </w:rPr>
            </w:pPr>
          </w:p>
        </w:tc>
        <w:tc>
          <w:tcPr>
            <w:tcW w:w="2619" w:type="dxa"/>
            <w:noWrap w:val="0"/>
            <w:vAlign w:val="center"/>
          </w:tcPr>
          <w:p w14:paraId="31DCB7B3">
            <w:pPr>
              <w:snapToGrid w:val="0"/>
              <w:jc w:val="center"/>
              <w:rPr>
                <w:color w:val="auto"/>
                <w:sz w:val="18"/>
                <w:szCs w:val="18"/>
              </w:rPr>
            </w:pPr>
            <w:r>
              <w:rPr>
                <w:color w:val="auto"/>
                <w:sz w:val="18"/>
                <w:szCs w:val="18"/>
              </w:rPr>
              <w:t>下沉速率</w:t>
            </w:r>
            <w:r>
              <w:rPr>
                <w:i/>
                <w:color w:val="auto"/>
                <w:sz w:val="18"/>
                <w:szCs w:val="18"/>
              </w:rPr>
              <w:t>V</w:t>
            </w:r>
            <w:r>
              <w:rPr>
                <w:color w:val="auto"/>
                <w:sz w:val="18"/>
                <w:szCs w:val="18"/>
                <w:vertAlign w:val="subscript"/>
              </w:rPr>
              <w:t>w</w:t>
            </w:r>
            <w:r>
              <w:rPr>
                <w:color w:val="auto"/>
                <w:sz w:val="18"/>
                <w:szCs w:val="18"/>
              </w:rPr>
              <w:t>(mm/d)</w:t>
            </w:r>
          </w:p>
          <w:p w14:paraId="5E2128DC">
            <w:pPr>
              <w:snapToGrid w:val="0"/>
              <w:jc w:val="center"/>
              <w:rPr>
                <w:color w:val="auto"/>
                <w:sz w:val="18"/>
                <w:szCs w:val="18"/>
              </w:rPr>
            </w:pPr>
            <w:r>
              <w:rPr>
                <w:color w:val="auto"/>
                <w:sz w:val="18"/>
                <w:szCs w:val="18"/>
              </w:rPr>
              <w:t>及下沉值</w:t>
            </w:r>
            <w:r>
              <w:rPr>
                <w:rFonts w:hint="eastAsia"/>
                <w:color w:val="auto"/>
                <w:sz w:val="18"/>
                <w:szCs w:val="18"/>
              </w:rPr>
              <w:t>（m</w:t>
            </w:r>
            <w:r>
              <w:rPr>
                <w:color w:val="auto"/>
                <w:sz w:val="18"/>
                <w:szCs w:val="18"/>
              </w:rPr>
              <w:t>m</w:t>
            </w:r>
            <w:r>
              <w:rPr>
                <w:rFonts w:hint="eastAsia"/>
                <w:color w:val="auto"/>
                <w:sz w:val="18"/>
                <w:szCs w:val="18"/>
              </w:rPr>
              <w:t>）</w:t>
            </w:r>
          </w:p>
        </w:tc>
        <w:tc>
          <w:tcPr>
            <w:tcW w:w="1379" w:type="dxa"/>
            <w:noWrap w:val="0"/>
            <w:vAlign w:val="center"/>
          </w:tcPr>
          <w:p w14:paraId="4AEF5B75">
            <w:pPr>
              <w:snapToGrid w:val="0"/>
              <w:jc w:val="center"/>
              <w:rPr>
                <w:color w:val="auto"/>
                <w:sz w:val="18"/>
                <w:szCs w:val="18"/>
              </w:rPr>
            </w:pPr>
            <w:r>
              <w:rPr>
                <w:color w:val="auto"/>
                <w:sz w:val="18"/>
                <w:szCs w:val="18"/>
              </w:rPr>
              <w:t>剩余倾斜</w:t>
            </w:r>
          </w:p>
          <w:p w14:paraId="21AE11F7">
            <w:pPr>
              <w:snapToGrid w:val="0"/>
              <w:jc w:val="center"/>
              <w:rPr>
                <w:color w:val="auto"/>
                <w:sz w:val="18"/>
                <w:szCs w:val="18"/>
              </w:rPr>
            </w:pPr>
            <w:r>
              <w:rPr>
                <w:rFonts w:hint="eastAsia"/>
                <w:color w:val="auto"/>
              </w:rPr>
              <w:t>△</w:t>
            </w:r>
            <w:r>
              <w:rPr>
                <w:i/>
                <w:color w:val="auto"/>
                <w:sz w:val="18"/>
                <w:szCs w:val="18"/>
              </w:rPr>
              <w:t>i</w:t>
            </w:r>
            <w:r>
              <w:rPr>
                <w:color w:val="auto"/>
                <w:sz w:val="18"/>
                <w:szCs w:val="18"/>
              </w:rPr>
              <w:t>(mm/m)</w:t>
            </w:r>
          </w:p>
        </w:tc>
        <w:tc>
          <w:tcPr>
            <w:tcW w:w="1242" w:type="dxa"/>
            <w:noWrap w:val="0"/>
            <w:vAlign w:val="center"/>
          </w:tcPr>
          <w:p w14:paraId="003C3084">
            <w:pPr>
              <w:snapToGrid w:val="0"/>
              <w:jc w:val="center"/>
              <w:rPr>
                <w:color w:val="auto"/>
                <w:sz w:val="18"/>
                <w:szCs w:val="18"/>
              </w:rPr>
            </w:pPr>
            <w:r>
              <w:rPr>
                <w:color w:val="auto"/>
                <w:sz w:val="18"/>
                <w:szCs w:val="18"/>
              </w:rPr>
              <w:t>剩余曲率</w:t>
            </w:r>
          </w:p>
          <w:p w14:paraId="11D17EC8">
            <w:pPr>
              <w:snapToGrid w:val="0"/>
              <w:jc w:val="center"/>
              <w:rPr>
                <w:color w:val="auto"/>
                <w:sz w:val="18"/>
                <w:szCs w:val="18"/>
              </w:rPr>
            </w:pPr>
            <w:r>
              <w:rPr>
                <w:rFonts w:hint="eastAsia"/>
                <w:color w:val="auto"/>
              </w:rPr>
              <w:t>△</w:t>
            </w:r>
            <w:r>
              <w:rPr>
                <w:i/>
                <w:color w:val="auto"/>
                <w:sz w:val="18"/>
                <w:szCs w:val="18"/>
              </w:rPr>
              <w:t>K</w:t>
            </w:r>
            <w:r>
              <w:rPr>
                <w:color w:val="auto"/>
                <w:sz w:val="18"/>
                <w:szCs w:val="18"/>
              </w:rPr>
              <w:t>(×10</w:t>
            </w:r>
            <w:r>
              <w:rPr>
                <w:color w:val="auto"/>
                <w:sz w:val="18"/>
                <w:szCs w:val="18"/>
                <w:vertAlign w:val="superscript"/>
              </w:rPr>
              <w:t>-3</w:t>
            </w:r>
            <w:r>
              <w:rPr>
                <w:color w:val="auto"/>
                <w:sz w:val="18"/>
                <w:szCs w:val="18"/>
              </w:rPr>
              <w:t>/m)</w:t>
            </w:r>
          </w:p>
        </w:tc>
        <w:tc>
          <w:tcPr>
            <w:tcW w:w="1241" w:type="dxa"/>
            <w:noWrap w:val="0"/>
            <w:vAlign w:val="center"/>
          </w:tcPr>
          <w:p w14:paraId="74CAA112">
            <w:pPr>
              <w:snapToGrid w:val="0"/>
              <w:jc w:val="center"/>
              <w:rPr>
                <w:color w:val="auto"/>
                <w:sz w:val="18"/>
                <w:szCs w:val="18"/>
              </w:rPr>
            </w:pPr>
            <w:r>
              <w:rPr>
                <w:color w:val="auto"/>
                <w:sz w:val="18"/>
                <w:szCs w:val="18"/>
              </w:rPr>
              <w:t>剩余水平变形值</w:t>
            </w:r>
          </w:p>
          <w:p w14:paraId="67B656C8">
            <w:pPr>
              <w:snapToGrid w:val="0"/>
              <w:jc w:val="center"/>
              <w:rPr>
                <w:color w:val="auto"/>
                <w:sz w:val="18"/>
                <w:szCs w:val="18"/>
              </w:rPr>
            </w:pPr>
            <w:r>
              <w:rPr>
                <w:rFonts w:hint="eastAsia"/>
                <w:color w:val="auto"/>
              </w:rPr>
              <w:t>△</w:t>
            </w:r>
            <w:r>
              <w:rPr>
                <w:i/>
                <w:color w:val="auto"/>
                <w:sz w:val="18"/>
                <w:szCs w:val="18"/>
              </w:rPr>
              <w:t>ε</w:t>
            </w:r>
            <w:r>
              <w:rPr>
                <w:color w:val="auto"/>
                <w:sz w:val="18"/>
                <w:szCs w:val="18"/>
              </w:rPr>
              <w:t>(mm/m)</w:t>
            </w:r>
          </w:p>
        </w:tc>
        <w:tc>
          <w:tcPr>
            <w:tcW w:w="1318" w:type="dxa"/>
            <w:vMerge w:val="continue"/>
            <w:noWrap w:val="0"/>
            <w:vAlign w:val="center"/>
          </w:tcPr>
          <w:p w14:paraId="6613578A">
            <w:pPr>
              <w:jc w:val="center"/>
              <w:rPr>
                <w:color w:val="auto"/>
                <w:sz w:val="18"/>
                <w:szCs w:val="18"/>
              </w:rPr>
            </w:pPr>
          </w:p>
        </w:tc>
      </w:tr>
      <w:tr w14:paraId="29F09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1346" w:type="dxa"/>
            <w:noWrap w:val="0"/>
            <w:vAlign w:val="center"/>
          </w:tcPr>
          <w:p w14:paraId="6BB8D2DE">
            <w:pPr>
              <w:jc w:val="center"/>
              <w:rPr>
                <w:color w:val="auto"/>
                <w:sz w:val="18"/>
                <w:szCs w:val="18"/>
              </w:rPr>
            </w:pPr>
            <w:r>
              <w:rPr>
                <w:color w:val="auto"/>
                <w:sz w:val="18"/>
                <w:szCs w:val="18"/>
              </w:rPr>
              <w:t>稳定</w:t>
            </w:r>
          </w:p>
        </w:tc>
        <w:tc>
          <w:tcPr>
            <w:tcW w:w="2619" w:type="dxa"/>
            <w:noWrap w:val="0"/>
            <w:vAlign w:val="center"/>
          </w:tcPr>
          <w:p w14:paraId="251B5C61">
            <w:pPr>
              <w:snapToGrid w:val="0"/>
              <w:jc w:val="left"/>
              <w:rPr>
                <w:color w:val="auto"/>
                <w:sz w:val="18"/>
                <w:szCs w:val="18"/>
              </w:rPr>
            </w:pPr>
            <w:r>
              <w:rPr>
                <w:color w:val="auto"/>
                <w:sz w:val="18"/>
                <w:szCs w:val="18"/>
              </w:rPr>
              <w:t>＜1.0mm/d，且连续6个月累计下沉＜30mm</w:t>
            </w:r>
          </w:p>
        </w:tc>
        <w:tc>
          <w:tcPr>
            <w:tcW w:w="1379" w:type="dxa"/>
            <w:noWrap w:val="0"/>
            <w:vAlign w:val="center"/>
          </w:tcPr>
          <w:p w14:paraId="4136B6AB">
            <w:pPr>
              <w:jc w:val="center"/>
              <w:rPr>
                <w:color w:val="auto"/>
                <w:sz w:val="18"/>
                <w:szCs w:val="18"/>
              </w:rPr>
            </w:pPr>
            <w:r>
              <w:rPr>
                <w:color w:val="auto"/>
                <w:sz w:val="18"/>
                <w:szCs w:val="18"/>
              </w:rPr>
              <w:t>＜3</w:t>
            </w:r>
          </w:p>
        </w:tc>
        <w:tc>
          <w:tcPr>
            <w:tcW w:w="1242" w:type="dxa"/>
            <w:noWrap w:val="0"/>
            <w:vAlign w:val="center"/>
          </w:tcPr>
          <w:p w14:paraId="439213AD">
            <w:pPr>
              <w:jc w:val="center"/>
              <w:rPr>
                <w:color w:val="auto"/>
                <w:sz w:val="18"/>
                <w:szCs w:val="18"/>
              </w:rPr>
            </w:pPr>
            <w:r>
              <w:rPr>
                <w:color w:val="auto"/>
                <w:sz w:val="18"/>
                <w:szCs w:val="18"/>
              </w:rPr>
              <w:t>＜0.2</w:t>
            </w:r>
          </w:p>
        </w:tc>
        <w:tc>
          <w:tcPr>
            <w:tcW w:w="1241" w:type="dxa"/>
            <w:noWrap w:val="0"/>
            <w:vAlign w:val="center"/>
          </w:tcPr>
          <w:p w14:paraId="48912D06">
            <w:pPr>
              <w:jc w:val="center"/>
              <w:rPr>
                <w:color w:val="auto"/>
                <w:sz w:val="18"/>
                <w:szCs w:val="18"/>
              </w:rPr>
            </w:pPr>
            <w:r>
              <w:rPr>
                <w:color w:val="auto"/>
                <w:sz w:val="18"/>
                <w:szCs w:val="18"/>
              </w:rPr>
              <w:t>＜2</w:t>
            </w:r>
          </w:p>
        </w:tc>
        <w:tc>
          <w:tcPr>
            <w:tcW w:w="1318" w:type="dxa"/>
            <w:noWrap w:val="0"/>
            <w:vAlign w:val="center"/>
          </w:tcPr>
          <w:p w14:paraId="11875508">
            <w:pPr>
              <w:jc w:val="center"/>
              <w:rPr>
                <w:color w:val="auto"/>
                <w:sz w:val="18"/>
                <w:szCs w:val="18"/>
              </w:rPr>
            </w:pPr>
            <w:r>
              <w:rPr>
                <w:color w:val="auto"/>
                <w:sz w:val="18"/>
                <w:szCs w:val="18"/>
              </w:rPr>
              <w:t>同时具备</w:t>
            </w:r>
          </w:p>
        </w:tc>
      </w:tr>
      <w:tr w14:paraId="446E8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346" w:type="dxa"/>
            <w:noWrap w:val="0"/>
            <w:vAlign w:val="center"/>
          </w:tcPr>
          <w:p w14:paraId="6555DCBA">
            <w:pPr>
              <w:jc w:val="center"/>
              <w:rPr>
                <w:color w:val="auto"/>
                <w:sz w:val="18"/>
                <w:szCs w:val="18"/>
              </w:rPr>
            </w:pPr>
            <w:r>
              <w:rPr>
                <w:color w:val="auto"/>
                <w:sz w:val="18"/>
                <w:szCs w:val="18"/>
              </w:rPr>
              <w:t>相对稳定</w:t>
            </w:r>
          </w:p>
        </w:tc>
        <w:tc>
          <w:tcPr>
            <w:tcW w:w="2619" w:type="dxa"/>
            <w:noWrap w:val="0"/>
            <w:vAlign w:val="center"/>
          </w:tcPr>
          <w:p w14:paraId="46C3D29D">
            <w:pPr>
              <w:snapToGrid w:val="0"/>
              <w:jc w:val="left"/>
              <w:rPr>
                <w:color w:val="auto"/>
                <w:sz w:val="18"/>
                <w:szCs w:val="18"/>
              </w:rPr>
            </w:pPr>
            <w:r>
              <w:rPr>
                <w:color w:val="auto"/>
                <w:sz w:val="18"/>
                <w:szCs w:val="18"/>
              </w:rPr>
              <w:t>＜1.0mm/d，但连续6个月累计下沉＞30mm</w:t>
            </w:r>
          </w:p>
        </w:tc>
        <w:tc>
          <w:tcPr>
            <w:tcW w:w="1379" w:type="dxa"/>
            <w:noWrap w:val="0"/>
            <w:vAlign w:val="center"/>
          </w:tcPr>
          <w:p w14:paraId="46E9A080">
            <w:pPr>
              <w:jc w:val="center"/>
              <w:rPr>
                <w:color w:val="auto"/>
                <w:sz w:val="18"/>
                <w:szCs w:val="18"/>
              </w:rPr>
            </w:pPr>
            <w:r>
              <w:rPr>
                <w:color w:val="auto"/>
                <w:sz w:val="18"/>
                <w:szCs w:val="18"/>
              </w:rPr>
              <w:t>3～10</w:t>
            </w:r>
          </w:p>
        </w:tc>
        <w:tc>
          <w:tcPr>
            <w:tcW w:w="1242" w:type="dxa"/>
            <w:noWrap w:val="0"/>
            <w:vAlign w:val="center"/>
          </w:tcPr>
          <w:p w14:paraId="48F1200D">
            <w:pPr>
              <w:jc w:val="center"/>
              <w:rPr>
                <w:color w:val="auto"/>
                <w:sz w:val="18"/>
                <w:szCs w:val="18"/>
              </w:rPr>
            </w:pPr>
            <w:r>
              <w:rPr>
                <w:color w:val="auto"/>
                <w:sz w:val="18"/>
                <w:szCs w:val="18"/>
              </w:rPr>
              <w:t>0.2～0.6</w:t>
            </w:r>
          </w:p>
        </w:tc>
        <w:tc>
          <w:tcPr>
            <w:tcW w:w="1241" w:type="dxa"/>
            <w:noWrap w:val="0"/>
            <w:vAlign w:val="center"/>
          </w:tcPr>
          <w:p w14:paraId="1F6E6807">
            <w:pPr>
              <w:jc w:val="center"/>
              <w:rPr>
                <w:color w:val="auto"/>
                <w:sz w:val="18"/>
                <w:szCs w:val="18"/>
              </w:rPr>
            </w:pPr>
            <w:r>
              <w:rPr>
                <w:color w:val="auto"/>
                <w:sz w:val="18"/>
                <w:szCs w:val="18"/>
              </w:rPr>
              <w:t>2～6</w:t>
            </w:r>
          </w:p>
        </w:tc>
        <w:tc>
          <w:tcPr>
            <w:tcW w:w="1318" w:type="dxa"/>
            <w:noWrap w:val="0"/>
            <w:vAlign w:val="center"/>
          </w:tcPr>
          <w:p w14:paraId="106CD221">
            <w:pPr>
              <w:jc w:val="center"/>
              <w:rPr>
                <w:color w:val="auto"/>
                <w:sz w:val="18"/>
                <w:szCs w:val="18"/>
              </w:rPr>
            </w:pPr>
            <w:r>
              <w:rPr>
                <w:color w:val="auto"/>
                <w:sz w:val="18"/>
                <w:szCs w:val="18"/>
              </w:rPr>
              <w:t>具备其一</w:t>
            </w:r>
          </w:p>
        </w:tc>
      </w:tr>
      <w:tr w14:paraId="1B753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1346" w:type="dxa"/>
            <w:noWrap w:val="0"/>
            <w:vAlign w:val="center"/>
          </w:tcPr>
          <w:p w14:paraId="507F6B3E">
            <w:pPr>
              <w:jc w:val="center"/>
              <w:rPr>
                <w:color w:val="auto"/>
                <w:sz w:val="18"/>
                <w:szCs w:val="18"/>
              </w:rPr>
            </w:pPr>
            <w:r>
              <w:rPr>
                <w:color w:val="auto"/>
                <w:sz w:val="18"/>
                <w:szCs w:val="18"/>
              </w:rPr>
              <w:t>不稳定</w:t>
            </w:r>
          </w:p>
        </w:tc>
        <w:tc>
          <w:tcPr>
            <w:tcW w:w="2619" w:type="dxa"/>
            <w:noWrap w:val="0"/>
            <w:vAlign w:val="center"/>
          </w:tcPr>
          <w:p w14:paraId="034C09E3">
            <w:pPr>
              <w:jc w:val="center"/>
              <w:rPr>
                <w:color w:val="auto"/>
                <w:sz w:val="18"/>
                <w:szCs w:val="18"/>
              </w:rPr>
            </w:pPr>
            <w:r>
              <w:rPr>
                <w:color w:val="auto"/>
                <w:sz w:val="18"/>
                <w:szCs w:val="18"/>
              </w:rPr>
              <w:t>≥1.0</w:t>
            </w:r>
          </w:p>
        </w:tc>
        <w:tc>
          <w:tcPr>
            <w:tcW w:w="1379" w:type="dxa"/>
            <w:noWrap w:val="0"/>
            <w:vAlign w:val="center"/>
          </w:tcPr>
          <w:p w14:paraId="7526D6E8">
            <w:pPr>
              <w:jc w:val="center"/>
              <w:rPr>
                <w:color w:val="auto"/>
                <w:sz w:val="18"/>
                <w:szCs w:val="18"/>
              </w:rPr>
            </w:pPr>
            <w:r>
              <w:rPr>
                <w:color w:val="auto"/>
                <w:sz w:val="18"/>
                <w:szCs w:val="18"/>
              </w:rPr>
              <w:t>＞10</w:t>
            </w:r>
          </w:p>
        </w:tc>
        <w:tc>
          <w:tcPr>
            <w:tcW w:w="1242" w:type="dxa"/>
            <w:noWrap w:val="0"/>
            <w:vAlign w:val="center"/>
          </w:tcPr>
          <w:p w14:paraId="3AF30697">
            <w:pPr>
              <w:jc w:val="center"/>
              <w:rPr>
                <w:color w:val="auto"/>
                <w:sz w:val="18"/>
                <w:szCs w:val="18"/>
              </w:rPr>
            </w:pPr>
            <w:r>
              <w:rPr>
                <w:color w:val="auto"/>
                <w:sz w:val="18"/>
                <w:szCs w:val="18"/>
              </w:rPr>
              <w:t>＞0.6</w:t>
            </w:r>
          </w:p>
        </w:tc>
        <w:tc>
          <w:tcPr>
            <w:tcW w:w="1241" w:type="dxa"/>
            <w:noWrap w:val="0"/>
            <w:vAlign w:val="center"/>
          </w:tcPr>
          <w:p w14:paraId="2F7C287D">
            <w:pPr>
              <w:jc w:val="center"/>
              <w:rPr>
                <w:color w:val="auto"/>
                <w:sz w:val="18"/>
                <w:szCs w:val="18"/>
              </w:rPr>
            </w:pPr>
            <w:r>
              <w:rPr>
                <w:color w:val="auto"/>
                <w:sz w:val="18"/>
                <w:szCs w:val="18"/>
              </w:rPr>
              <w:t>＞6</w:t>
            </w:r>
          </w:p>
        </w:tc>
        <w:tc>
          <w:tcPr>
            <w:tcW w:w="1318" w:type="dxa"/>
            <w:noWrap w:val="0"/>
            <w:vAlign w:val="center"/>
          </w:tcPr>
          <w:p w14:paraId="1369C236">
            <w:pPr>
              <w:jc w:val="center"/>
              <w:rPr>
                <w:color w:val="auto"/>
                <w:sz w:val="18"/>
                <w:szCs w:val="18"/>
              </w:rPr>
            </w:pPr>
            <w:r>
              <w:rPr>
                <w:rFonts w:hint="eastAsia"/>
                <w:color w:val="auto"/>
                <w:sz w:val="18"/>
                <w:szCs w:val="18"/>
              </w:rPr>
              <w:t>具备</w:t>
            </w:r>
            <w:r>
              <w:rPr>
                <w:color w:val="auto"/>
                <w:sz w:val="18"/>
                <w:szCs w:val="18"/>
              </w:rPr>
              <w:t>其一</w:t>
            </w:r>
          </w:p>
        </w:tc>
      </w:tr>
    </w:tbl>
    <w:p w14:paraId="55E41812">
      <w:pPr>
        <w:rPr>
          <w:color w:val="auto"/>
        </w:rPr>
      </w:pPr>
    </w:p>
    <w:p w14:paraId="7D322563">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21</w:t>
      </w:r>
      <w:r>
        <w:rPr>
          <w:color w:val="auto"/>
        </w:rPr>
        <w:fldChar w:fldCharType="end"/>
      </w:r>
      <w:r>
        <w:rPr>
          <w:b/>
          <w:color w:val="auto"/>
        </w:rPr>
        <w:t xml:space="preserve">  按煤(岩)柱稳定系数判别场地稳定性</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82"/>
        <w:gridCol w:w="2282"/>
        <w:gridCol w:w="2282"/>
        <w:gridCol w:w="2282"/>
      </w:tblGrid>
      <w:tr w14:paraId="730E8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82" w:type="dxa"/>
            <w:noWrap w:val="0"/>
            <w:vAlign w:val="center"/>
          </w:tcPr>
          <w:p w14:paraId="7B09720F">
            <w:pPr>
              <w:jc w:val="center"/>
              <w:rPr>
                <w:color w:val="auto"/>
                <w:sz w:val="18"/>
                <w:szCs w:val="18"/>
              </w:rPr>
            </w:pPr>
            <w:r>
              <w:rPr>
                <w:color w:val="auto"/>
                <w:sz w:val="18"/>
                <w:szCs w:val="18"/>
              </w:rPr>
              <w:t>稳定状态</w:t>
            </w:r>
          </w:p>
        </w:tc>
        <w:tc>
          <w:tcPr>
            <w:tcW w:w="2282" w:type="dxa"/>
            <w:noWrap w:val="0"/>
            <w:vAlign w:val="center"/>
          </w:tcPr>
          <w:p w14:paraId="5853D463">
            <w:pPr>
              <w:jc w:val="center"/>
              <w:rPr>
                <w:color w:val="auto"/>
                <w:sz w:val="18"/>
                <w:szCs w:val="18"/>
              </w:rPr>
            </w:pPr>
            <w:r>
              <w:rPr>
                <w:color w:val="auto"/>
                <w:sz w:val="18"/>
                <w:szCs w:val="18"/>
              </w:rPr>
              <w:t>不稳定</w:t>
            </w:r>
          </w:p>
        </w:tc>
        <w:tc>
          <w:tcPr>
            <w:tcW w:w="2282" w:type="dxa"/>
            <w:noWrap w:val="0"/>
            <w:vAlign w:val="center"/>
          </w:tcPr>
          <w:p w14:paraId="41EBD520">
            <w:pPr>
              <w:jc w:val="center"/>
              <w:rPr>
                <w:color w:val="auto"/>
                <w:sz w:val="18"/>
                <w:szCs w:val="18"/>
              </w:rPr>
            </w:pPr>
            <w:r>
              <w:rPr>
                <w:color w:val="auto"/>
                <w:sz w:val="18"/>
                <w:szCs w:val="18"/>
              </w:rPr>
              <w:t>相对稳定</w:t>
            </w:r>
          </w:p>
        </w:tc>
        <w:tc>
          <w:tcPr>
            <w:tcW w:w="2282" w:type="dxa"/>
            <w:noWrap w:val="0"/>
            <w:vAlign w:val="center"/>
          </w:tcPr>
          <w:p w14:paraId="12E0CDE9">
            <w:pPr>
              <w:jc w:val="center"/>
              <w:rPr>
                <w:color w:val="auto"/>
                <w:sz w:val="18"/>
                <w:szCs w:val="18"/>
              </w:rPr>
            </w:pPr>
            <w:r>
              <w:rPr>
                <w:color w:val="auto"/>
                <w:sz w:val="18"/>
                <w:szCs w:val="18"/>
              </w:rPr>
              <w:t>稳定</w:t>
            </w:r>
          </w:p>
        </w:tc>
      </w:tr>
      <w:tr w14:paraId="3D9BB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282" w:type="dxa"/>
            <w:noWrap w:val="0"/>
            <w:vAlign w:val="center"/>
          </w:tcPr>
          <w:p w14:paraId="3011D800">
            <w:pPr>
              <w:jc w:val="center"/>
              <w:rPr>
                <w:color w:val="auto"/>
                <w:sz w:val="18"/>
                <w:szCs w:val="18"/>
              </w:rPr>
            </w:pPr>
            <w:r>
              <w:rPr>
                <w:color w:val="auto"/>
                <w:sz w:val="18"/>
                <w:szCs w:val="18"/>
              </w:rPr>
              <w:t>煤(岩)柱稳定性系数</w:t>
            </w:r>
          </w:p>
        </w:tc>
        <w:tc>
          <w:tcPr>
            <w:tcW w:w="2282" w:type="dxa"/>
            <w:noWrap w:val="0"/>
            <w:vAlign w:val="center"/>
          </w:tcPr>
          <w:p w14:paraId="4B807D49">
            <w:pPr>
              <w:snapToGrid w:val="0"/>
              <w:jc w:val="center"/>
              <w:rPr>
                <w:color w:val="auto"/>
                <w:sz w:val="18"/>
                <w:szCs w:val="18"/>
              </w:rPr>
            </w:pPr>
            <w:r>
              <w:rPr>
                <w:color w:val="auto"/>
                <w:sz w:val="18"/>
                <w:szCs w:val="18"/>
              </w:rPr>
              <w:t>＜1.2</w:t>
            </w:r>
          </w:p>
        </w:tc>
        <w:tc>
          <w:tcPr>
            <w:tcW w:w="2282" w:type="dxa"/>
            <w:noWrap w:val="0"/>
            <w:vAlign w:val="center"/>
          </w:tcPr>
          <w:p w14:paraId="536EA4EF">
            <w:pPr>
              <w:jc w:val="center"/>
              <w:rPr>
                <w:color w:val="auto"/>
                <w:sz w:val="18"/>
                <w:szCs w:val="18"/>
              </w:rPr>
            </w:pPr>
            <w:r>
              <w:rPr>
                <w:color w:val="auto"/>
                <w:sz w:val="18"/>
                <w:szCs w:val="18"/>
              </w:rPr>
              <w:t>1.2～2</w:t>
            </w:r>
          </w:p>
        </w:tc>
        <w:tc>
          <w:tcPr>
            <w:tcW w:w="2282" w:type="dxa"/>
            <w:noWrap w:val="0"/>
            <w:vAlign w:val="center"/>
          </w:tcPr>
          <w:p w14:paraId="5C699AA1">
            <w:pPr>
              <w:jc w:val="center"/>
              <w:rPr>
                <w:color w:val="auto"/>
                <w:sz w:val="18"/>
                <w:szCs w:val="18"/>
              </w:rPr>
            </w:pPr>
            <w:r>
              <w:rPr>
                <w:color w:val="auto"/>
                <w:sz w:val="18"/>
                <w:szCs w:val="18"/>
              </w:rPr>
              <w:t>＞2</w:t>
            </w:r>
          </w:p>
        </w:tc>
      </w:tr>
      <w:tr w14:paraId="60051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128" w:type="dxa"/>
            <w:gridSpan w:val="4"/>
            <w:noWrap w:val="0"/>
            <w:vAlign w:val="center"/>
          </w:tcPr>
          <w:p w14:paraId="636BA6F0">
            <w:pPr>
              <w:rPr>
                <w:color w:val="auto"/>
                <w:sz w:val="18"/>
                <w:szCs w:val="18"/>
              </w:rPr>
            </w:pPr>
            <w:r>
              <w:rPr>
                <w:color w:val="auto"/>
                <w:sz w:val="18"/>
                <w:szCs w:val="18"/>
              </w:rPr>
              <w:t>注：本表适用于穿巷、房柱及单一巷道等类型采空场地的稳定性定量评价。</w:t>
            </w:r>
          </w:p>
        </w:tc>
      </w:tr>
    </w:tbl>
    <w:p w14:paraId="39372349">
      <w:pPr>
        <w:rPr>
          <w:color w:val="auto"/>
        </w:rPr>
      </w:pPr>
    </w:p>
    <w:p w14:paraId="1146201A">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textAlignment w:val="auto"/>
        <w:rPr>
          <w:rFonts w:ascii="Times New Roman"/>
          <w:color w:val="auto"/>
          <w:szCs w:val="21"/>
        </w:rPr>
      </w:pPr>
      <w:r>
        <w:rPr>
          <w:rFonts w:ascii="Times New Roman" w:eastAsia="黑体"/>
          <w:b/>
          <w:bCs/>
          <w:color w:val="auto"/>
          <w:szCs w:val="21"/>
        </w:rPr>
        <w:t>11.4.5</w:t>
      </w:r>
      <w:r>
        <w:rPr>
          <w:rFonts w:ascii="Times New Roman"/>
          <w:color w:val="auto"/>
          <w:szCs w:val="21"/>
        </w:rPr>
        <w:t xml:space="preserve">  当已确定为适宜建筑地段，即总体上已处于基本稳定但局部仍有欠稳定或可能活化的局部地段，或对特别重要的建（构）筑物下的采空区，可考虑采用注浆加固冒落带的治理措施。注浆治理应在勘探资料清楚的基础上进行专项设计。</w:t>
      </w:r>
    </w:p>
    <w:p w14:paraId="75DA33C6">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textAlignment w:val="auto"/>
        <w:rPr>
          <w:rFonts w:ascii="Times New Roman"/>
          <w:color w:val="auto"/>
          <w:szCs w:val="21"/>
        </w:rPr>
      </w:pPr>
      <w:r>
        <w:rPr>
          <w:rFonts w:ascii="Times New Roman" w:eastAsia="黑体"/>
          <w:b/>
          <w:bCs/>
          <w:color w:val="auto"/>
          <w:szCs w:val="21"/>
        </w:rPr>
        <w:t>11.4.6</w:t>
      </w:r>
      <w:r>
        <w:rPr>
          <w:rFonts w:ascii="Times New Roman"/>
          <w:color w:val="auto"/>
          <w:szCs w:val="21"/>
        </w:rPr>
        <w:t xml:space="preserve">  民间小窑采空区，是指非正规开采的小矿井。这类小矿井往往既无地质资料，也无设计图纸和生产记录，对这类小矿采空区，除访问当事人了解采矿过程概况外，主要应通过调查、测绘、钻探或物探，掌握矿层（体）埋藏条件、地质结构、采深采厚及覆岩性质等资料，根据终采时间和地表变形的宏观特征，必要时进行地表变形监测，判定其稳定性和建筑适宜性。一般情况下，以避让为宜，若无法避让，应采取可靠的治理措施。</w:t>
      </w:r>
    </w:p>
    <w:p w14:paraId="7EEB0351">
      <w:pPr>
        <w:pStyle w:val="77"/>
        <w:rPr>
          <w:color w:val="auto"/>
        </w:rPr>
      </w:pPr>
      <w:bookmarkStart w:id="192" w:name="_Toc182499006"/>
      <w:r>
        <w:rPr>
          <w:color w:val="auto"/>
        </w:rPr>
        <w:t>11.5  城市人防洞室</w:t>
      </w:r>
      <w:bookmarkEnd w:id="192"/>
    </w:p>
    <w:p w14:paraId="45D07743">
      <w:pPr>
        <w:rPr>
          <w:color w:val="auto"/>
        </w:rPr>
      </w:pPr>
      <w:r>
        <w:rPr>
          <w:color w:val="auto"/>
        </w:rPr>
        <w:t xml:space="preserve">    （无说明）</w:t>
      </w:r>
    </w:p>
    <w:p w14:paraId="1A5A261A">
      <w:pPr>
        <w:pStyle w:val="34"/>
        <w:numPr>
          <w:ilvl w:val="0"/>
          <w:numId w:val="3"/>
        </w:numPr>
        <w:rPr>
          <w:b/>
          <w:color w:val="auto"/>
          <w:sz w:val="24"/>
        </w:rPr>
      </w:pPr>
      <w:bookmarkStart w:id="193" w:name="_Toc182499007"/>
      <w:r>
        <w:rPr>
          <w:b/>
          <w:bCs w:val="0"/>
          <w:color w:val="auto"/>
        </w:rPr>
        <w:t>桩基础</w:t>
      </w:r>
      <w:bookmarkEnd w:id="193"/>
    </w:p>
    <w:p w14:paraId="395547B3">
      <w:pPr>
        <w:pStyle w:val="77"/>
        <w:rPr>
          <w:color w:val="auto"/>
        </w:rPr>
      </w:pPr>
      <w:bookmarkStart w:id="194" w:name="_Toc182499008"/>
      <w:r>
        <w:rPr>
          <w:color w:val="auto"/>
        </w:rPr>
        <w:t>12.1  一般规定</w:t>
      </w:r>
      <w:bookmarkEnd w:id="194"/>
    </w:p>
    <w:p w14:paraId="3B407B1D">
      <w:pPr>
        <w:snapToGrid w:val="0"/>
        <w:spacing w:line="340" w:lineRule="atLeast"/>
        <w:rPr>
          <w:color w:val="auto"/>
          <w:szCs w:val="21"/>
        </w:rPr>
      </w:pPr>
      <w:r>
        <w:rPr>
          <w:b/>
          <w:color w:val="auto"/>
          <w:szCs w:val="21"/>
        </w:rPr>
        <w:t xml:space="preserve">12.1.1  </w:t>
      </w:r>
      <w:r>
        <w:rPr>
          <w:color w:val="auto"/>
          <w:szCs w:val="21"/>
        </w:rPr>
        <w:t>本章所述及的桩基础，仅限于建筑工程中最常用的混凝土预制桩和灌注桩低桩承台基础。</w:t>
      </w:r>
    </w:p>
    <w:p w14:paraId="46A23F15">
      <w:pPr>
        <w:snapToGrid w:val="0"/>
        <w:spacing w:line="340" w:lineRule="atLeast"/>
        <w:rPr>
          <w:color w:val="auto"/>
          <w:szCs w:val="21"/>
        </w:rPr>
      </w:pPr>
      <w:r>
        <w:rPr>
          <w:b/>
          <w:color w:val="auto"/>
          <w:szCs w:val="21"/>
        </w:rPr>
        <w:t xml:space="preserve">12.1.2  </w:t>
      </w:r>
      <w:r>
        <w:rPr>
          <w:color w:val="auto"/>
          <w:szCs w:val="21"/>
        </w:rPr>
        <w:t>关于桩的分类</w:t>
      </w:r>
    </w:p>
    <w:p w14:paraId="751D8FBD">
      <w:pPr>
        <w:snapToGrid w:val="0"/>
        <w:spacing w:line="340" w:lineRule="atLeast"/>
        <w:ind w:firstLine="420" w:firstLineChars="200"/>
        <w:rPr>
          <w:color w:val="auto"/>
          <w:szCs w:val="21"/>
        </w:rPr>
      </w:pPr>
      <w:r>
        <w:rPr>
          <w:color w:val="auto"/>
          <w:szCs w:val="21"/>
        </w:rPr>
        <w:t>桩基设计时桩型选择及其构造要求与桩的分类及其使用范围有关，本文件按桩的受力情况、使用功能、成桩方法以及桩截面大小四种情况分类。</w:t>
      </w:r>
    </w:p>
    <w:p w14:paraId="139EB433">
      <w:pPr>
        <w:snapToGrid w:val="0"/>
        <w:spacing w:line="340" w:lineRule="atLeast"/>
        <w:ind w:firstLine="420" w:firstLineChars="200"/>
        <w:rPr>
          <w:color w:val="auto"/>
          <w:szCs w:val="21"/>
        </w:rPr>
      </w:pPr>
      <w:r>
        <w:rPr>
          <w:color w:val="auto"/>
          <w:szCs w:val="21"/>
        </w:rPr>
        <w:t>工程实践表明成桩的挤土效应对桩的承载力、成桩质量及环境往往产生不利影响，是桩基设计可行性和可靠性的重要因素。按成桩的挤土情况分为非挤土桩型，如钻孔灌注桩和人工、机械挖孔桩等；挤土桩型，如静压或打入式预制桩和沉管灌注桩等；部分挤土桩，如预成孔后压入或打入预制桩、开口钢管桩、长螺旋钻孔压灌混凝土桩等三类。</w:t>
      </w:r>
    </w:p>
    <w:p w14:paraId="00AFD451">
      <w:pPr>
        <w:snapToGrid w:val="0"/>
        <w:spacing w:line="340" w:lineRule="atLeast"/>
        <w:rPr>
          <w:color w:val="auto"/>
          <w:szCs w:val="21"/>
        </w:rPr>
      </w:pPr>
      <w:r>
        <w:rPr>
          <w:b/>
          <w:color w:val="auto"/>
          <w:szCs w:val="21"/>
        </w:rPr>
        <w:t xml:space="preserve">12.1.3  </w:t>
      </w:r>
      <w:r>
        <w:rPr>
          <w:color w:val="auto"/>
          <w:szCs w:val="21"/>
        </w:rPr>
        <w:t>除本条规定条件外，尚应注意收集地质条件相同或相邻建筑的桩基静载试验资料。对于地质复杂和荷载较大的一柱一桩的桩基，勘察布孔尚应提出具体的要求。</w:t>
      </w:r>
    </w:p>
    <w:p w14:paraId="61B37273">
      <w:pPr>
        <w:snapToGrid w:val="0"/>
        <w:spacing w:line="340" w:lineRule="atLeast"/>
        <w:rPr>
          <w:color w:val="auto"/>
          <w:szCs w:val="21"/>
        </w:rPr>
      </w:pPr>
      <w:r>
        <w:rPr>
          <w:b/>
          <w:color w:val="auto"/>
          <w:szCs w:val="21"/>
        </w:rPr>
        <w:t xml:space="preserve">12.1.5  </w:t>
      </w:r>
      <w:r>
        <w:rPr>
          <w:color w:val="auto"/>
          <w:szCs w:val="21"/>
        </w:rPr>
        <w:t>关于桩的设计原则</w:t>
      </w:r>
    </w:p>
    <w:p w14:paraId="3F27BCE1">
      <w:pPr>
        <w:snapToGrid w:val="0"/>
        <w:spacing w:line="340" w:lineRule="atLeast"/>
        <w:ind w:firstLine="422" w:firstLineChars="200"/>
        <w:rPr>
          <w:color w:val="auto"/>
          <w:szCs w:val="21"/>
        </w:rPr>
      </w:pPr>
      <w:r>
        <w:rPr>
          <w:b/>
          <w:color w:val="auto"/>
          <w:szCs w:val="21"/>
        </w:rPr>
        <w:t>a)</w:t>
      </w:r>
      <w:r>
        <w:rPr>
          <w:color w:val="auto"/>
          <w:szCs w:val="21"/>
        </w:rPr>
        <w:t xml:space="preserve">  对于锤击预制桩和静压预制桩，为使达到设计要求的深度、往往采用过度锤击或超压力静压，易使桩身强度受到损坏等情况，设计应考虑桩身强度具有一定潜力。</w:t>
      </w:r>
    </w:p>
    <w:p w14:paraId="29F16076">
      <w:pPr>
        <w:snapToGrid w:val="0"/>
        <w:spacing w:line="340" w:lineRule="atLeast"/>
        <w:ind w:firstLine="422" w:firstLineChars="200"/>
        <w:rPr>
          <w:color w:val="auto"/>
          <w:szCs w:val="21"/>
        </w:rPr>
      </w:pPr>
      <w:r>
        <w:rPr>
          <w:b/>
          <w:color w:val="auto"/>
          <w:szCs w:val="21"/>
        </w:rPr>
        <w:t>d)</w:t>
      </w:r>
      <w:r>
        <w:rPr>
          <w:color w:val="auto"/>
          <w:szCs w:val="21"/>
        </w:rPr>
        <w:t xml:space="preserve">  本条对桩端持力层选用作了原则性规定。当建筑体型复杂、荷载不均、对变形要求严格时，不宜采用置于高压缩性土层中的摩擦桩的规定，其目的是为了控制桩基变形。</w:t>
      </w:r>
    </w:p>
    <w:p w14:paraId="0E67EB66">
      <w:pPr>
        <w:snapToGrid w:val="0"/>
        <w:spacing w:line="340" w:lineRule="atLeast"/>
        <w:ind w:firstLine="420" w:firstLineChars="200"/>
        <w:rPr>
          <w:color w:val="auto"/>
          <w:szCs w:val="21"/>
        </w:rPr>
      </w:pPr>
      <w:r>
        <w:rPr>
          <w:color w:val="auto"/>
          <w:szCs w:val="21"/>
        </w:rPr>
        <w:t>对于低压缩性土层埋藏很深的软土地区，一些多层建筑物当采用条基、筏基、箱基或地基处理，难以满足沉降量和沉降差的要求时，过去对有些体型简单，荷载均匀的多层建筑将桩端设置在非低压缩性土层中，采取控制桩基允许沉降量和沉降差，并采取加强上部建筑结构刚度等措施进行设计布桩，有些取得较好的效果。也有些工程沉降过大，甚至出现不均匀沉降情况应引起重视，关键问题必须按变形控制桩基设计。</w:t>
      </w:r>
    </w:p>
    <w:p w14:paraId="37E32411">
      <w:pPr>
        <w:snapToGrid w:val="0"/>
        <w:spacing w:line="340" w:lineRule="atLeast"/>
        <w:ind w:firstLine="422" w:firstLineChars="200"/>
        <w:rPr>
          <w:color w:val="auto"/>
          <w:szCs w:val="21"/>
        </w:rPr>
      </w:pPr>
      <w:r>
        <w:rPr>
          <w:b/>
          <w:color w:val="auto"/>
          <w:szCs w:val="21"/>
        </w:rPr>
        <w:t>e)</w:t>
      </w:r>
      <w:r>
        <w:rPr>
          <w:color w:val="auto"/>
          <w:szCs w:val="21"/>
        </w:rPr>
        <w:t xml:space="preserve">  对于同一结构单元内的桩基础，规定不应选用压缩性差异较大的土层作为桩基持力层，和不宜采用部分摩擦型桩和部分端承型桩，是因为桩基差异沉降不易控制。</w:t>
      </w:r>
    </w:p>
    <w:p w14:paraId="458FAA69">
      <w:pPr>
        <w:snapToGrid w:val="0"/>
        <w:spacing w:line="340" w:lineRule="atLeast"/>
        <w:ind w:firstLine="422" w:firstLineChars="200"/>
        <w:rPr>
          <w:color w:val="auto"/>
          <w:szCs w:val="21"/>
        </w:rPr>
      </w:pPr>
      <w:r>
        <w:rPr>
          <w:b/>
          <w:color w:val="auto"/>
          <w:szCs w:val="21"/>
        </w:rPr>
        <w:t>f)</w:t>
      </w:r>
      <w:r>
        <w:rPr>
          <w:color w:val="auto"/>
          <w:szCs w:val="21"/>
        </w:rPr>
        <w:t xml:space="preserve">  岩溶地区的桩基，当岩溶层面上覆盖较厚的Q</w:t>
      </w:r>
      <w:r>
        <w:rPr>
          <w:color w:val="auto"/>
          <w:szCs w:val="21"/>
          <w:vertAlign w:val="subscript"/>
        </w:rPr>
        <w:t>3</w:t>
      </w:r>
      <w:r>
        <w:rPr>
          <w:color w:val="auto"/>
          <w:szCs w:val="21"/>
        </w:rPr>
        <w:t>老黏土层，且桩底下老黏土有足够厚度时，可利用其作为桩基持力层。当必须采用嵌岩桩时，应对岩溶进行施工勘察。</w:t>
      </w:r>
    </w:p>
    <w:p w14:paraId="1602C241">
      <w:pPr>
        <w:snapToGrid w:val="0"/>
        <w:spacing w:line="340" w:lineRule="atLeast"/>
        <w:ind w:firstLine="422" w:firstLineChars="200"/>
        <w:rPr>
          <w:color w:val="auto"/>
          <w:szCs w:val="21"/>
        </w:rPr>
      </w:pPr>
      <w:r>
        <w:rPr>
          <w:b/>
          <w:color w:val="auto"/>
          <w:szCs w:val="21"/>
        </w:rPr>
        <w:t>g)</w:t>
      </w:r>
      <w:r>
        <w:rPr>
          <w:color w:val="auto"/>
          <w:szCs w:val="21"/>
        </w:rPr>
        <w:t xml:space="preserve">  膨胀土地区的桩基，在大气影响急剧层内，膨胀土层失水时土体收缩，桩侧阻力丧失，潮湿时土体膨胀使桩侧面产生向上的抬升的胀切力。而且膨胀土体湿胀、干缩现象能可逆性反复进行。因此在大气影响急剧层上、下桩段由侧、端阻力，桩顶荷载、桩身自重组成平衡力系。其设计应符合GB</w:t>
      </w:r>
      <w:r>
        <w:rPr>
          <w:rFonts w:hint="eastAsia"/>
          <w:color w:val="auto"/>
          <w:szCs w:val="21"/>
        </w:rPr>
        <w:t xml:space="preserve"> </w:t>
      </w:r>
      <w:r>
        <w:rPr>
          <w:color w:val="auto"/>
          <w:szCs w:val="21"/>
        </w:rPr>
        <w:t>50112的相关规定。</w:t>
      </w:r>
    </w:p>
    <w:p w14:paraId="432063BC">
      <w:pPr>
        <w:snapToGrid w:val="0"/>
        <w:spacing w:line="340" w:lineRule="atLeast"/>
        <w:ind w:firstLine="422" w:firstLineChars="200"/>
        <w:rPr>
          <w:color w:val="auto"/>
          <w:szCs w:val="21"/>
        </w:rPr>
      </w:pPr>
      <w:r>
        <w:rPr>
          <w:b/>
          <w:color w:val="auto"/>
          <w:szCs w:val="21"/>
        </w:rPr>
        <w:t>h)</w:t>
      </w:r>
      <w:r>
        <w:rPr>
          <w:color w:val="auto"/>
          <w:szCs w:val="21"/>
        </w:rPr>
        <w:t xml:space="preserve">  当承台底地基土承载力较高而桩基为摩擦型桩时，基础荷载首先由刚度大的桩基承受，当桩顶产生沉降时，基础荷载的一部分将转移至承台地基，最终经过基础沉降协调使桩土共同受载。当承台底面以下存在液化土、高灵敏软土、欠固结土、新填土，或可能出现震陷、降水、沉桩过程产生土体隆起时，不应考虑承台底土的抗力。</w:t>
      </w:r>
    </w:p>
    <w:p w14:paraId="4A1270F4">
      <w:pPr>
        <w:snapToGrid w:val="0"/>
        <w:spacing w:line="340" w:lineRule="atLeast"/>
        <w:ind w:firstLine="422" w:firstLineChars="200"/>
        <w:rPr>
          <w:color w:val="auto"/>
          <w:szCs w:val="21"/>
        </w:rPr>
      </w:pPr>
      <w:r>
        <w:rPr>
          <w:b/>
          <w:color w:val="auto"/>
          <w:szCs w:val="21"/>
        </w:rPr>
        <w:t>i)</w:t>
      </w:r>
      <w:r>
        <w:rPr>
          <w:color w:val="auto"/>
          <w:szCs w:val="21"/>
        </w:rPr>
        <w:t xml:space="preserve">  在沉桩有挤土、振动效应时（尤其是饱和软土中设置挤土桩），如设计和施工不当，就会产生明显的挤土效应，导致邻桩断裂或缩径（特别是未凝固的灌注桩），地面隆起桩体上抬，从而降低承载力增加桩基沉降。挤土效应和振动效应有时还会损坏邻近建筑物和地下管线等设施。沉桩的振动和噪声也会干扰周边居民的正常生活，特别是学校、医院等正常工作，这也是桩基设计选型的重要因素。</w:t>
      </w:r>
    </w:p>
    <w:p w14:paraId="2CE68DE1">
      <w:pPr>
        <w:snapToGrid w:val="0"/>
        <w:spacing w:line="340" w:lineRule="atLeast"/>
        <w:ind w:firstLine="422" w:firstLineChars="200"/>
        <w:rPr>
          <w:color w:val="auto"/>
          <w:szCs w:val="21"/>
        </w:rPr>
      </w:pPr>
      <w:r>
        <w:rPr>
          <w:b/>
          <w:color w:val="auto"/>
          <w:szCs w:val="21"/>
        </w:rPr>
        <w:t>j)</w:t>
      </w:r>
      <w:r>
        <w:rPr>
          <w:color w:val="auto"/>
          <w:szCs w:val="21"/>
        </w:rPr>
        <w:t xml:space="preserve">  对夯扩桩、振动或锤击灌注桩、复合载体桩桩长的限制，是考虑保证施工安全和成桩质量的需要。当场地条件、施工机械能力以及施工经验均具备时，应经过技术论证和成桩试验后适当加长。</w:t>
      </w:r>
    </w:p>
    <w:p w14:paraId="70E5F79E">
      <w:pPr>
        <w:snapToGrid w:val="0"/>
        <w:spacing w:line="340" w:lineRule="atLeast"/>
        <w:ind w:firstLine="420" w:firstLineChars="200"/>
        <w:rPr>
          <w:color w:val="auto"/>
          <w:szCs w:val="21"/>
        </w:rPr>
      </w:pPr>
      <w:r>
        <w:rPr>
          <w:color w:val="auto"/>
          <w:szCs w:val="21"/>
        </w:rPr>
        <w:t>对夯扩桩、沉管灌注桩、复合载体桩由于成桩过程中的挤土效应，产生桩体受损，地面上隆、桩体上浮等较为普遍，故对其使用范围作了严格的控制，在淤泥、淤泥质土及fak≦70kPa的场地仅局限于多层住宅桩基。</w:t>
      </w:r>
    </w:p>
    <w:p w14:paraId="413AF197">
      <w:pPr>
        <w:snapToGrid w:val="0"/>
        <w:spacing w:line="340" w:lineRule="atLeast"/>
        <w:ind w:firstLine="420" w:firstLineChars="200"/>
        <w:rPr>
          <w:color w:val="auto"/>
          <w:szCs w:val="21"/>
        </w:rPr>
      </w:pPr>
      <w:r>
        <w:rPr>
          <w:color w:val="auto"/>
          <w:szCs w:val="21"/>
        </w:rPr>
        <w:t>尤其当桩身穿越淤泥，淤泥质土或fak≦70kpa饱和软土层时，应进行成桩试验，因上述软土的流变性容易使桩体产生严重缩</w:t>
      </w:r>
      <w:r>
        <w:rPr>
          <w:rFonts w:hint="eastAsia"/>
          <w:color w:val="auto"/>
          <w:szCs w:val="21"/>
        </w:rPr>
        <w:t>径</w:t>
      </w:r>
      <w:r>
        <w:rPr>
          <w:color w:val="auto"/>
          <w:szCs w:val="21"/>
        </w:rPr>
        <w:t>乃至断桩的质量事故。此外挤土灌注桩当穿越上述土层时，应当采取减慢拔管速度、保证管内混凝土高度和适当增加桩顶混凝</w:t>
      </w:r>
      <w:r>
        <w:rPr>
          <w:rFonts w:hint="eastAsia"/>
          <w:color w:val="auto"/>
          <w:szCs w:val="21"/>
        </w:rPr>
        <w:t>土</w:t>
      </w:r>
      <w:r>
        <w:rPr>
          <w:color w:val="auto"/>
          <w:szCs w:val="21"/>
        </w:rPr>
        <w:t>灌注高度等提高桩体混凝土凝固前抵抗软土回缩挤压的综合措施，以保证桩身混凝土灌注质量。</w:t>
      </w:r>
    </w:p>
    <w:p w14:paraId="16E68FCE">
      <w:pPr>
        <w:snapToGrid w:val="0"/>
        <w:spacing w:line="340" w:lineRule="atLeast"/>
        <w:ind w:firstLine="422" w:firstLineChars="200"/>
        <w:rPr>
          <w:color w:val="auto"/>
          <w:szCs w:val="21"/>
        </w:rPr>
      </w:pPr>
      <w:r>
        <w:rPr>
          <w:b/>
          <w:color w:val="auto"/>
          <w:szCs w:val="21"/>
        </w:rPr>
        <w:t>k)</w:t>
      </w:r>
      <w:r>
        <w:rPr>
          <w:color w:val="auto"/>
          <w:szCs w:val="21"/>
        </w:rPr>
        <w:t xml:space="preserve">  对不应采用人工挖孔桩（墩）的工程地质条件和水文地质条件作了严格的规定，以及对挖孔护壁形式和材料要求及挖孔桩深度均作了明确规定，是为了确保人工挖孔桩的施工安全。当护壁参与桩(墩)身抗压计算时，砼护壁强度等级应与桩(墩)身相同。</w:t>
      </w:r>
    </w:p>
    <w:p w14:paraId="2A6A0892">
      <w:pPr>
        <w:snapToGrid w:val="0"/>
        <w:spacing w:line="340" w:lineRule="atLeast"/>
        <w:ind w:firstLine="420" w:firstLineChars="200"/>
        <w:rPr>
          <w:color w:val="auto"/>
          <w:szCs w:val="21"/>
        </w:rPr>
      </w:pPr>
      <w:r>
        <w:rPr>
          <w:color w:val="auto"/>
          <w:szCs w:val="21"/>
        </w:rPr>
        <w:t>人工挖孔实施前尚应编制详细的施工组织设计和完善的安全技术措施，并按相关规定进行技术论证。</w:t>
      </w:r>
    </w:p>
    <w:p w14:paraId="3035C9B4">
      <w:pPr>
        <w:snapToGrid w:val="0"/>
        <w:spacing w:line="340" w:lineRule="atLeast"/>
        <w:ind w:firstLine="422" w:firstLineChars="200"/>
        <w:rPr>
          <w:color w:val="auto"/>
          <w:szCs w:val="21"/>
        </w:rPr>
      </w:pPr>
      <w:r>
        <w:rPr>
          <w:b/>
          <w:color w:val="auto"/>
          <w:szCs w:val="21"/>
        </w:rPr>
        <w:t xml:space="preserve">l)  </w:t>
      </w:r>
      <w:r>
        <w:rPr>
          <w:color w:val="auto"/>
          <w:szCs w:val="21"/>
        </w:rPr>
        <w:t>对高度超过50m的高层建筑灌注桩基承台下存在fak</w:t>
      </w:r>
      <w:r>
        <w:rPr>
          <w:rFonts w:hint="eastAsia" w:ascii="宋体" w:hAnsi="宋体"/>
          <w:color w:val="auto"/>
          <w:szCs w:val="21"/>
        </w:rPr>
        <w:t>≤</w:t>
      </w:r>
      <w:r>
        <w:rPr>
          <w:color w:val="auto"/>
          <w:szCs w:val="21"/>
        </w:rPr>
        <w:t>60kPa软土时，应对上述软土进行换填或加固，目的是为了提高软土场地高层建筑桩基的整体性和抗震性能。</w:t>
      </w:r>
    </w:p>
    <w:p w14:paraId="3F029892">
      <w:pPr>
        <w:snapToGrid w:val="0"/>
        <w:spacing w:line="340" w:lineRule="atLeast"/>
        <w:ind w:firstLine="422" w:firstLineChars="200"/>
        <w:rPr>
          <w:color w:val="auto"/>
          <w:szCs w:val="21"/>
        </w:rPr>
      </w:pPr>
      <w:r>
        <w:rPr>
          <w:b/>
          <w:color w:val="auto"/>
          <w:szCs w:val="21"/>
        </w:rPr>
        <w:t>m)</w:t>
      </w:r>
      <w:r>
        <w:rPr>
          <w:color w:val="auto"/>
          <w:szCs w:val="21"/>
        </w:rPr>
        <w:t xml:space="preserve">  根据</w:t>
      </w:r>
      <w:r>
        <w:rPr>
          <w:rFonts w:hint="eastAsia"/>
          <w:color w:val="auto"/>
          <w:szCs w:val="21"/>
        </w:rPr>
        <w:t>武汉</w:t>
      </w:r>
      <w:r>
        <w:rPr>
          <w:color w:val="auto"/>
          <w:szCs w:val="21"/>
        </w:rPr>
        <w:t>地区经验，高层建筑桩基由于部分工程桩注浆管因故堵塞，经静载试验其竖向承载力</w:t>
      </w:r>
      <w:r>
        <w:rPr>
          <w:rFonts w:hint="eastAsia"/>
          <w:color w:val="auto"/>
          <w:szCs w:val="21"/>
        </w:rPr>
        <w:t>约</w:t>
      </w:r>
      <w:r>
        <w:rPr>
          <w:color w:val="auto"/>
          <w:szCs w:val="21"/>
        </w:rPr>
        <w:t>为同一工程后注浆桩设计承载力估算值的2/3，其他抽验正常后注浆工程桩的静载荷试验的承载力与设计要求基本一致，约为非后压浆桩承载力试验值的1.3倍</w:t>
      </w:r>
      <w:r>
        <w:rPr>
          <w:rFonts w:hint="eastAsia"/>
          <w:color w:val="auto"/>
          <w:szCs w:val="21"/>
        </w:rPr>
        <w:t>左右</w:t>
      </w:r>
      <w:r>
        <w:rPr>
          <w:color w:val="auto"/>
          <w:szCs w:val="21"/>
        </w:rPr>
        <w:t>。同时在不少后压浆桩基工程中，注浆量及承载力离散性较大，为确保后压浆桩基工程总体质量，应慎重确定后压浆桩单桩承载力。当静载试验单桩承载力超过同类非后压浆单桩承载力静载试验值或后压浆桩预估计算值的1.3倍时，不应盲目采信，应经分析后适当降低设计单桩承载力，提高系数不应大于1.</w:t>
      </w:r>
      <w:r>
        <w:rPr>
          <w:rFonts w:hint="eastAsia"/>
          <w:color w:val="auto"/>
          <w:szCs w:val="21"/>
        </w:rPr>
        <w:t>3</w:t>
      </w:r>
      <w:r>
        <w:rPr>
          <w:color w:val="auto"/>
          <w:szCs w:val="21"/>
        </w:rPr>
        <w:t>。对嵌岩</w:t>
      </w:r>
      <w:r>
        <w:rPr>
          <w:rFonts w:hint="eastAsia"/>
          <w:color w:val="auto"/>
          <w:szCs w:val="21"/>
        </w:rPr>
        <w:t>桩端</w:t>
      </w:r>
      <w:r>
        <w:rPr>
          <w:color w:val="auto"/>
          <w:szCs w:val="21"/>
        </w:rPr>
        <w:t>后压浆桩，后压浆作为对桩底薄层沉渣的技术处理措施，</w:t>
      </w:r>
      <w:r>
        <w:rPr>
          <w:rFonts w:hint="eastAsia"/>
          <w:color w:val="auto"/>
          <w:szCs w:val="21"/>
        </w:rPr>
        <w:t>不考虑单桩承载力的提高。</w:t>
      </w:r>
    </w:p>
    <w:p w14:paraId="068AFBF2">
      <w:pPr>
        <w:snapToGrid w:val="0"/>
        <w:spacing w:line="340" w:lineRule="atLeast"/>
        <w:ind w:firstLine="420" w:firstLineChars="200"/>
        <w:rPr>
          <w:rFonts w:hint="eastAsia"/>
          <w:color w:val="auto"/>
          <w:szCs w:val="21"/>
        </w:rPr>
      </w:pPr>
      <w:r>
        <w:rPr>
          <w:rFonts w:hint="eastAsia"/>
          <w:color w:val="auto"/>
          <w:szCs w:val="21"/>
        </w:rPr>
        <w:t>n</w:t>
      </w:r>
      <w:r>
        <w:rPr>
          <w:color w:val="auto"/>
          <w:szCs w:val="21"/>
        </w:rPr>
        <w:t>)  对预制方桩规定边长不应小于200mm是指锚杆静压桩以及为控制沉降而设置的减沉桩；预制管桩规定桩径不应小于300mm和沉管灌注桩管径不小于325mm是为了保证成桩质量。对人工挖孔桩规定最小桩径不宜小于1000mm，是出于保证施工安全和体现以人为本适当改善劳动条件的考虑。</w:t>
      </w:r>
    </w:p>
    <w:p w14:paraId="47F11F84">
      <w:pPr>
        <w:snapToGrid w:val="0"/>
        <w:spacing w:line="340" w:lineRule="atLeast"/>
        <w:rPr>
          <w:color w:val="auto"/>
          <w:szCs w:val="21"/>
        </w:rPr>
      </w:pPr>
      <w:r>
        <w:rPr>
          <w:b/>
          <w:color w:val="auto"/>
          <w:szCs w:val="21"/>
        </w:rPr>
        <w:t xml:space="preserve">12.1.7  </w:t>
      </w:r>
      <w:r>
        <w:rPr>
          <w:color w:val="auto"/>
          <w:szCs w:val="21"/>
        </w:rPr>
        <w:t>本条对桩基承载力计算时应考虑负摩阻力的条件作了规定。</w:t>
      </w:r>
    </w:p>
    <w:p w14:paraId="0AEFE322">
      <w:pPr>
        <w:snapToGrid w:val="0"/>
        <w:spacing w:line="340" w:lineRule="atLeast"/>
        <w:rPr>
          <w:color w:val="auto"/>
          <w:szCs w:val="21"/>
        </w:rPr>
      </w:pPr>
      <w:r>
        <w:rPr>
          <w:b/>
          <w:color w:val="auto"/>
          <w:szCs w:val="21"/>
        </w:rPr>
        <w:t xml:space="preserve">12.1.8  </w:t>
      </w:r>
      <w:r>
        <w:rPr>
          <w:color w:val="auto"/>
          <w:szCs w:val="21"/>
        </w:rPr>
        <w:t>本条对桩混凝土强度等级按承载力、施工工艺及土层条件和耐久性等要求作了规定。对于水下浇注的混凝土应考虑水下浇注对设计强度等级的不利影响，要求其配比强度等级较设计强度提高1-2个等级，混凝土质量应按配比强度进行验评。桩身混凝土强度现场钻芯验证时可按设计强度评定。</w:t>
      </w:r>
    </w:p>
    <w:p w14:paraId="4989CBCD">
      <w:pPr>
        <w:pStyle w:val="77"/>
        <w:rPr>
          <w:color w:val="auto"/>
        </w:rPr>
      </w:pPr>
      <w:bookmarkStart w:id="195" w:name="_Toc182499009"/>
      <w:r>
        <w:rPr>
          <w:color w:val="auto"/>
        </w:rPr>
        <w:t>12.2  构造要求</w:t>
      </w:r>
      <w:bookmarkEnd w:id="195"/>
    </w:p>
    <w:p w14:paraId="3B17FBBE">
      <w:pPr>
        <w:snapToGrid w:val="0"/>
        <w:spacing w:line="340" w:lineRule="atLeast"/>
        <w:rPr>
          <w:color w:val="auto"/>
          <w:szCs w:val="21"/>
        </w:rPr>
      </w:pPr>
      <w:r>
        <w:rPr>
          <w:b/>
          <w:color w:val="auto"/>
          <w:szCs w:val="21"/>
        </w:rPr>
        <w:t xml:space="preserve">12.2.1  </w:t>
      </w:r>
      <w:r>
        <w:rPr>
          <w:color w:val="auto"/>
          <w:szCs w:val="21"/>
        </w:rPr>
        <w:t>桩中心距的选定，是一个复杂的问题，它与荷载、土性、桩径、桩的类型（摩擦型、端承型）、成桩工艺（挤土、非挤土）、施工难度、群桩效率、承台底土抗力的发挥以及承台造价等诸多因素相关。因桩距选择不当所引起的沉桩困难、邻桩受损的事故时有发生，因此合理确定桩的中心距是桩基设计工作的重要环节。</w:t>
      </w:r>
    </w:p>
    <w:p w14:paraId="119D459D">
      <w:pPr>
        <w:snapToGrid w:val="0"/>
        <w:spacing w:line="340" w:lineRule="atLeast"/>
        <w:ind w:firstLine="420" w:firstLineChars="200"/>
        <w:rPr>
          <w:color w:val="auto"/>
          <w:szCs w:val="21"/>
        </w:rPr>
      </w:pPr>
      <w:r>
        <w:rPr>
          <w:color w:val="auto"/>
          <w:szCs w:val="21"/>
        </w:rPr>
        <w:t>对于扩底桩（人工或机械扩底），为使扩底不至于塌孔，确保施工安全和扩底质量，扩底直径不应大于桩身直径的2.5倍。同时为了保证桩侧阻力得到有效发挥，对于摩擦端承型扩底桩的最小中心距和扩底间净距作了规定。对于不计桩侧摩阻力的端承型桩基或墩基，在施工条件许可或采取跳挖跳打措施能有效避免扩底坍塌时，其扩底净间距可不受限制。</w:t>
      </w:r>
    </w:p>
    <w:p w14:paraId="35FC6752">
      <w:pPr>
        <w:snapToGrid w:val="0"/>
        <w:spacing w:line="340" w:lineRule="atLeast"/>
        <w:ind w:firstLine="420" w:firstLineChars="200"/>
        <w:rPr>
          <w:color w:val="auto"/>
          <w:szCs w:val="21"/>
        </w:rPr>
      </w:pPr>
      <w:r>
        <w:rPr>
          <w:color w:val="auto"/>
          <w:szCs w:val="21"/>
        </w:rPr>
        <w:t>对于长螺旋钻孔压灌混凝土桩，虽然属于部分挤土桩，但成桩时混凝土具有较高压力，在软土中充盈系数较大，扩径明显，容易引发串孔事故，故桩中心距不应小于3.5d。</w:t>
      </w:r>
    </w:p>
    <w:p w14:paraId="6B9CAA02">
      <w:pPr>
        <w:snapToGrid w:val="0"/>
        <w:spacing w:line="340" w:lineRule="atLeast"/>
        <w:rPr>
          <w:color w:val="auto"/>
          <w:szCs w:val="21"/>
        </w:rPr>
      </w:pPr>
      <w:r>
        <w:rPr>
          <w:b/>
          <w:color w:val="auto"/>
          <w:szCs w:val="21"/>
        </w:rPr>
        <w:t xml:space="preserve">12.2.2  </w:t>
      </w:r>
      <w:r>
        <w:rPr>
          <w:color w:val="auto"/>
          <w:szCs w:val="21"/>
        </w:rPr>
        <w:t>本条对桩端进入持力层的最小深度提出了具体要求。</w:t>
      </w:r>
    </w:p>
    <w:p w14:paraId="0A169BF7">
      <w:pPr>
        <w:snapToGrid w:val="0"/>
        <w:spacing w:line="340" w:lineRule="atLeast"/>
        <w:ind w:firstLine="422" w:firstLineChars="200"/>
        <w:rPr>
          <w:color w:val="auto"/>
          <w:szCs w:val="21"/>
        </w:rPr>
      </w:pPr>
      <w:r>
        <w:rPr>
          <w:b/>
          <w:color w:val="auto"/>
          <w:szCs w:val="21"/>
        </w:rPr>
        <w:t>a)</w:t>
      </w:r>
      <w:r>
        <w:rPr>
          <w:color w:val="auto"/>
          <w:szCs w:val="21"/>
        </w:rPr>
        <w:t xml:space="preserve">  桩端进入持力层的最小深度考虑了各类土层中成桩的可能性和尽量提高其端阻力的发挥水平。对岩溶发育的灰岩，由于基岩表面不整合，故入岩深度应适当增加。</w:t>
      </w:r>
    </w:p>
    <w:p w14:paraId="6116F578">
      <w:pPr>
        <w:snapToGrid w:val="0"/>
        <w:spacing w:line="340" w:lineRule="atLeast"/>
        <w:ind w:firstLine="420" w:firstLineChars="200"/>
        <w:rPr>
          <w:color w:val="auto"/>
          <w:szCs w:val="21"/>
        </w:rPr>
      </w:pPr>
      <w:r>
        <w:rPr>
          <w:color w:val="auto"/>
          <w:szCs w:val="21"/>
        </w:rPr>
        <w:t>当持力层较薄且桩端下存在软弱土层时，如桩端进入持力层过深反而会降低承载力。当持力层较厚且施工条件许可时，宜利用端阻力随桩端进入持力层深度增加而增大的特性，使桩端进入持力层深度达到临界深度以提高桩基的承载力。</w:t>
      </w:r>
    </w:p>
    <w:p w14:paraId="5A3F59F7">
      <w:pPr>
        <w:snapToGrid w:val="0"/>
        <w:spacing w:line="340" w:lineRule="atLeast"/>
        <w:ind w:firstLine="420" w:firstLineChars="200"/>
        <w:rPr>
          <w:color w:val="auto"/>
          <w:szCs w:val="21"/>
        </w:rPr>
      </w:pPr>
      <w:r>
        <w:rPr>
          <w:color w:val="auto"/>
          <w:szCs w:val="21"/>
        </w:rPr>
        <w:t>根据武汉地区的工程实践，夯扩桩进入密实砂土或硬塑黏性土中深度不宜过大，有的工程对比试验表明，在相同持力层中，桩端进入持力层中深度较深的单桩承载力反而比进入持力层深度较浅的单桩承载力低，其原因就是进入持力层深度过大，反而不利于扩大头的形成，同时也易造成桩机的损坏，有的资料表明在持力层层面上夯扩成桩，也获得成功。</w:t>
      </w:r>
    </w:p>
    <w:p w14:paraId="1BD9EE3B">
      <w:pPr>
        <w:snapToGrid w:val="0"/>
        <w:spacing w:line="340" w:lineRule="atLeast"/>
        <w:ind w:firstLine="422" w:firstLineChars="200"/>
        <w:rPr>
          <w:color w:val="auto"/>
          <w:szCs w:val="21"/>
        </w:rPr>
      </w:pPr>
      <w:r>
        <w:rPr>
          <w:b/>
          <w:color w:val="auto"/>
          <w:szCs w:val="21"/>
        </w:rPr>
        <w:t>c)</w:t>
      </w:r>
      <w:r>
        <w:rPr>
          <w:color w:val="auto"/>
          <w:szCs w:val="21"/>
        </w:rPr>
        <w:t xml:space="preserve">  当桩端持力层下存在软弱下卧层时，对桩端下持力层的厚度作了规定，并提出满足承载力和变形的要求。这是因为存在软弱下卧层时，桩基承载力受到进入持力层深度、持力层厚度及软弱下卧层承载力、变形的双重制约。</w:t>
      </w:r>
    </w:p>
    <w:p w14:paraId="62C3C581">
      <w:pPr>
        <w:snapToGrid w:val="0"/>
        <w:spacing w:line="340" w:lineRule="atLeast"/>
        <w:ind w:firstLine="422" w:firstLineChars="200"/>
        <w:rPr>
          <w:color w:val="auto"/>
          <w:szCs w:val="21"/>
        </w:rPr>
      </w:pPr>
      <w:r>
        <w:rPr>
          <w:b/>
          <w:color w:val="auto"/>
          <w:szCs w:val="21"/>
        </w:rPr>
        <w:t>d)</w:t>
      </w:r>
      <w:r>
        <w:rPr>
          <w:color w:val="auto"/>
          <w:szCs w:val="21"/>
        </w:rPr>
        <w:t xml:space="preserve">  各类预制桩采用压桩力或锤击贯入度与桩长“双控”沉桩时，当设计桩端以下无软弱下卧层时，宜以压桩力和贯入度控制为主，桩长为辅的原则，这是因为沉桩中土层被挤密后（尤其在砂类土层中），往往达不到预期的沉桩深度，如设计人员一味追求以桩长控制，则桩身易在超压或过度锤击的施工过程中损坏。如果对沉桩深度存有疑惑时可作补充勘察。</w:t>
      </w:r>
    </w:p>
    <w:p w14:paraId="2C3463F8">
      <w:pPr>
        <w:snapToGrid w:val="0"/>
        <w:spacing w:line="340" w:lineRule="atLeast"/>
        <w:ind w:firstLine="422" w:firstLineChars="200"/>
        <w:rPr>
          <w:color w:val="auto"/>
          <w:szCs w:val="21"/>
        </w:rPr>
      </w:pPr>
      <w:r>
        <w:rPr>
          <w:b/>
          <w:color w:val="auto"/>
          <w:szCs w:val="21"/>
        </w:rPr>
        <w:t>e)</w:t>
      </w:r>
      <w:r>
        <w:rPr>
          <w:color w:val="auto"/>
          <w:szCs w:val="21"/>
        </w:rPr>
        <w:t xml:space="preserve">  同一基础下的桩基，其桩端宜位于同一持力层内，是为了保证各桩的承载力和变形基本一致，从而确保桩基的承载力和变形满足设计要求。对于预制桩在桩身强度许可时，可采取适度超压和超打的措施减少相邻桩的桩端高差。当持力层起伏较大时，桩端高差的允许值应进行持力层坡面稳定性分析，必要时采用联合承台或适当补桩的措施。</w:t>
      </w:r>
    </w:p>
    <w:p w14:paraId="61E6274B">
      <w:pPr>
        <w:snapToGrid w:val="0"/>
        <w:spacing w:line="340" w:lineRule="atLeast"/>
        <w:rPr>
          <w:color w:val="auto"/>
          <w:szCs w:val="21"/>
        </w:rPr>
      </w:pPr>
      <w:r>
        <w:rPr>
          <w:b/>
          <w:color w:val="auto"/>
          <w:szCs w:val="21"/>
        </w:rPr>
        <w:t xml:space="preserve">12.2.3  </w:t>
      </w:r>
      <w:r>
        <w:rPr>
          <w:color w:val="auto"/>
          <w:szCs w:val="21"/>
        </w:rPr>
        <w:t>桩的主筋应经计算确定是指承载力要求高的端承型桩、抗拔桩、抗水平力和抗弯桩以及预制桩的主筋应经计算确定，同时规定了各类桩的最小配筋率，</w:t>
      </w:r>
      <w:r>
        <w:rPr>
          <w:rFonts w:hint="eastAsia"/>
          <w:color w:val="auto"/>
          <w:szCs w:val="21"/>
        </w:rPr>
        <w:t>灌注桩的</w:t>
      </w:r>
      <w:r>
        <w:rPr>
          <w:color w:val="auto"/>
          <w:szCs w:val="21"/>
        </w:rPr>
        <w:t>最少钢筋根数和最小钢筋直径。</w:t>
      </w:r>
    </w:p>
    <w:p w14:paraId="77773C76">
      <w:pPr>
        <w:snapToGrid w:val="0"/>
        <w:spacing w:line="340" w:lineRule="atLeast"/>
        <w:rPr>
          <w:rFonts w:hint="eastAsia"/>
          <w:color w:val="auto"/>
          <w:szCs w:val="21"/>
        </w:rPr>
      </w:pPr>
      <w:r>
        <w:rPr>
          <w:color w:val="auto"/>
          <w:szCs w:val="21"/>
        </w:rPr>
        <w:t xml:space="preserve">    对于</w:t>
      </w:r>
      <w:r>
        <w:rPr>
          <w:rFonts w:hint="eastAsia"/>
          <w:color w:val="auto"/>
          <w:szCs w:val="21"/>
        </w:rPr>
        <w:t>灌注桩的最小配筋率，在实际执行过程中分歧较大，本次修订时进行了细化；最小配筋率在桩径</w:t>
      </w:r>
      <w:r>
        <w:rPr>
          <w:color w:val="auto"/>
          <w:szCs w:val="21"/>
        </w:rPr>
        <w:t>300mm</w:t>
      </w:r>
      <w:r>
        <w:rPr>
          <w:rFonts w:hint="eastAsia"/>
          <w:color w:val="auto"/>
          <w:szCs w:val="21"/>
        </w:rPr>
        <w:t>~</w:t>
      </w:r>
      <w:r>
        <w:rPr>
          <w:color w:val="auto"/>
          <w:szCs w:val="21"/>
        </w:rPr>
        <w:t>2000mm之间</w:t>
      </w:r>
      <w:r>
        <w:rPr>
          <w:rFonts w:hint="eastAsia"/>
          <w:color w:val="auto"/>
          <w:szCs w:val="21"/>
        </w:rPr>
        <w:t>按直径</w:t>
      </w:r>
      <w:r>
        <w:rPr>
          <w:color w:val="auto"/>
          <w:szCs w:val="21"/>
        </w:rPr>
        <w:t>内插时</w:t>
      </w:r>
      <w:r>
        <w:rPr>
          <w:rFonts w:hint="eastAsia"/>
          <w:color w:val="auto"/>
          <w:szCs w:val="21"/>
        </w:rPr>
        <w:t>，</w:t>
      </w:r>
      <w:r>
        <w:rPr>
          <w:color w:val="auto"/>
          <w:szCs w:val="21"/>
        </w:rPr>
        <w:t>桩径</w:t>
      </w:r>
      <w:r>
        <w:rPr>
          <w:rFonts w:hint="eastAsia"/>
          <w:color w:val="auto"/>
          <w:szCs w:val="21"/>
        </w:rPr>
        <w:t>8</w:t>
      </w:r>
      <w:r>
        <w:rPr>
          <w:color w:val="auto"/>
          <w:szCs w:val="21"/>
        </w:rPr>
        <w:t>00mm的配筋率为</w:t>
      </w:r>
      <w:r>
        <w:rPr>
          <w:rFonts w:hint="eastAsia"/>
          <w:color w:val="auto"/>
          <w:szCs w:val="21"/>
        </w:rPr>
        <w:t>0</w:t>
      </w:r>
      <w:r>
        <w:rPr>
          <w:color w:val="auto"/>
          <w:szCs w:val="21"/>
        </w:rPr>
        <w:t>.52</w:t>
      </w:r>
      <w:r>
        <w:rPr>
          <w:rFonts w:hint="eastAsia"/>
          <w:color w:val="auto"/>
          <w:szCs w:val="21"/>
        </w:rPr>
        <w:t>%，超过了预应力空心桩的最小配筋率，不尽合理，因此将桩径800mm的配筋率降低为0</w:t>
      </w:r>
      <w:r>
        <w:rPr>
          <w:color w:val="auto"/>
          <w:szCs w:val="21"/>
        </w:rPr>
        <w:t>.4</w:t>
      </w:r>
      <w:r>
        <w:rPr>
          <w:rFonts w:hint="eastAsia"/>
          <w:color w:val="auto"/>
          <w:szCs w:val="21"/>
        </w:rPr>
        <w:t>%，然后分段插值，</w:t>
      </w:r>
      <w:r>
        <w:rPr>
          <w:color w:val="auto"/>
          <w:szCs w:val="21"/>
        </w:rPr>
        <w:t>较为合理</w:t>
      </w:r>
      <w:r>
        <w:rPr>
          <w:rFonts w:hint="eastAsia"/>
          <w:color w:val="auto"/>
          <w:szCs w:val="21"/>
        </w:rPr>
        <w:t>。</w:t>
      </w:r>
    </w:p>
    <w:p w14:paraId="26102635">
      <w:pPr>
        <w:snapToGrid w:val="0"/>
        <w:spacing w:line="340" w:lineRule="atLeast"/>
        <w:ind w:firstLine="420" w:firstLineChars="200"/>
        <w:rPr>
          <w:color w:val="auto"/>
          <w:szCs w:val="21"/>
        </w:rPr>
      </w:pPr>
      <w:r>
        <w:rPr>
          <w:color w:val="auto"/>
          <w:szCs w:val="21"/>
        </w:rPr>
        <w:t>对于柱下单桩基础，如大跨度框架或排架结构，不可能同时在二个方向设置基础梁时，尚应考虑柱底弯矩的影响，使桩身的配筋与柱的配筋相匹配。对于桩周和承台底以下为软弱土层的桩基，其钢筋数量宜适当增加。</w:t>
      </w:r>
    </w:p>
    <w:p w14:paraId="24A6059E">
      <w:pPr>
        <w:snapToGrid w:val="0"/>
        <w:spacing w:line="340" w:lineRule="atLeast"/>
        <w:rPr>
          <w:color w:val="auto"/>
          <w:szCs w:val="21"/>
        </w:rPr>
      </w:pPr>
      <w:r>
        <w:rPr>
          <w:b/>
          <w:color w:val="auto"/>
          <w:szCs w:val="21"/>
        </w:rPr>
        <w:t xml:space="preserve">12.2.5  </w:t>
      </w:r>
      <w:r>
        <w:rPr>
          <w:color w:val="auto"/>
          <w:szCs w:val="21"/>
        </w:rPr>
        <w:t>桩身配筋的长度</w:t>
      </w:r>
    </w:p>
    <w:p w14:paraId="0BE816B4">
      <w:pPr>
        <w:snapToGrid w:val="0"/>
        <w:spacing w:line="340" w:lineRule="atLeast"/>
        <w:ind w:firstLine="422" w:firstLineChars="200"/>
        <w:rPr>
          <w:color w:val="auto"/>
          <w:szCs w:val="21"/>
        </w:rPr>
      </w:pPr>
      <w:r>
        <w:rPr>
          <w:b/>
          <w:color w:val="auto"/>
          <w:szCs w:val="21"/>
        </w:rPr>
        <w:t>a)</w:t>
      </w:r>
      <w:r>
        <w:rPr>
          <w:color w:val="auto"/>
          <w:szCs w:val="21"/>
        </w:rPr>
        <w:t xml:space="preserve">  桩基承台下存在淤泥或淤泥质土层时，对于挤土型灌注桩，为避免在成桩施工时发生软土与其下土层界面处产生断桩，以及受邻桩施工挤压时桩身缩径等质量问题，使桩基配筋部分嵌固于相对较好的土中，提高桩基侧向水平抗力，因此要求将桩基纵向钢筋穿过上述软土土层，且进入下部土层不宜小于1m。</w:t>
      </w:r>
    </w:p>
    <w:p w14:paraId="5DACEDC8">
      <w:pPr>
        <w:snapToGrid w:val="0"/>
        <w:spacing w:line="340" w:lineRule="atLeast"/>
        <w:ind w:firstLine="422" w:firstLineChars="200"/>
        <w:rPr>
          <w:color w:val="auto"/>
          <w:szCs w:val="21"/>
        </w:rPr>
      </w:pPr>
      <w:r>
        <w:rPr>
          <w:rFonts w:hint="eastAsia"/>
          <w:b/>
          <w:color w:val="auto"/>
          <w:szCs w:val="21"/>
        </w:rPr>
        <w:t>c</w:t>
      </w:r>
      <w:r>
        <w:rPr>
          <w:b/>
          <w:color w:val="auto"/>
          <w:szCs w:val="21"/>
        </w:rPr>
        <w:t>)</w:t>
      </w:r>
      <w:r>
        <w:rPr>
          <w:color w:val="auto"/>
          <w:szCs w:val="21"/>
        </w:rPr>
        <w:t xml:space="preserve">  受水平荷载和弯矩较大的桩，纵向钢筋的长度应通过计算确定，计算应符合JGJ</w:t>
      </w:r>
      <w:r>
        <w:rPr>
          <w:rFonts w:hint="eastAsia"/>
          <w:color w:val="auto"/>
          <w:szCs w:val="21"/>
          <w:lang w:val="en-US" w:eastAsia="zh-CN"/>
        </w:rPr>
        <w:t xml:space="preserve"> </w:t>
      </w:r>
      <w:r>
        <w:rPr>
          <w:color w:val="auto"/>
          <w:szCs w:val="21"/>
        </w:rPr>
        <w:t>94的有关规定。</w:t>
      </w:r>
    </w:p>
    <w:p w14:paraId="660159A0">
      <w:pPr>
        <w:snapToGrid w:val="0"/>
        <w:spacing w:line="340" w:lineRule="atLeast"/>
        <w:ind w:firstLine="422" w:firstLineChars="200"/>
        <w:rPr>
          <w:color w:val="auto"/>
          <w:szCs w:val="21"/>
        </w:rPr>
      </w:pPr>
      <w:r>
        <w:rPr>
          <w:b/>
          <w:color w:val="auto"/>
          <w:szCs w:val="21"/>
        </w:rPr>
        <w:t>d)</w:t>
      </w:r>
      <w:r>
        <w:rPr>
          <w:color w:val="auto"/>
          <w:szCs w:val="21"/>
        </w:rPr>
        <w:t xml:space="preserve">  位于坡地岸边的桩基，桩基将承受一定的水平力，故其纵向钢筋应通长配置。对于抗拔桩、端承型桩及嵌岩桩，因承载需要桩身钢筋也应通长配置。</w:t>
      </w:r>
    </w:p>
    <w:p w14:paraId="615DFCED">
      <w:pPr>
        <w:snapToGrid w:val="0"/>
        <w:spacing w:line="340" w:lineRule="atLeast"/>
        <w:rPr>
          <w:color w:val="auto"/>
          <w:szCs w:val="21"/>
        </w:rPr>
      </w:pPr>
      <w:r>
        <w:rPr>
          <w:color w:val="auto"/>
          <w:szCs w:val="21"/>
        </w:rPr>
        <w:t>1</w:t>
      </w:r>
      <w:r>
        <w:rPr>
          <w:b/>
          <w:color w:val="auto"/>
          <w:szCs w:val="21"/>
        </w:rPr>
        <w:t xml:space="preserve">2.2.8  </w:t>
      </w:r>
      <w:r>
        <w:rPr>
          <w:color w:val="auto"/>
          <w:szCs w:val="21"/>
        </w:rPr>
        <w:t>对于一柱一桩的大直径灌注桩，可设置承台或将柱与桩直接连接。当柱与桩的连接不能满足柱底固接要求时，则应二个方向设置基础梁。基础梁的刚度和承载力应满足柱底固接要求。</w:t>
      </w:r>
    </w:p>
    <w:p w14:paraId="2F422E4E">
      <w:pPr>
        <w:snapToGrid w:val="0"/>
        <w:spacing w:line="340" w:lineRule="atLeast"/>
        <w:rPr>
          <w:color w:val="auto"/>
          <w:szCs w:val="21"/>
        </w:rPr>
      </w:pPr>
      <w:r>
        <w:rPr>
          <w:b/>
          <w:color w:val="auto"/>
          <w:szCs w:val="21"/>
        </w:rPr>
        <w:t xml:space="preserve">12.2.9  </w:t>
      </w:r>
      <w:r>
        <w:rPr>
          <w:color w:val="auto"/>
          <w:szCs w:val="21"/>
        </w:rPr>
        <w:t>本条规定了多层砌体结构墙下基础梁与大直径人工挖孔桩（墩）的连接构造，使连接构造简化。按本条规定在桩（墩）顶设置桩（墩）帽可保证桩与基础梁的整体连接。其钢筋构造可参照框架顶层的梁柱连接，并应满足钢筋锚固长度的要求。</w:t>
      </w:r>
    </w:p>
    <w:p w14:paraId="2CB67634">
      <w:pPr>
        <w:snapToGrid w:val="0"/>
        <w:spacing w:line="340" w:lineRule="atLeast"/>
        <w:rPr>
          <w:color w:val="auto"/>
          <w:szCs w:val="21"/>
        </w:rPr>
      </w:pPr>
      <w:r>
        <w:rPr>
          <w:b/>
          <w:color w:val="auto"/>
          <w:szCs w:val="21"/>
        </w:rPr>
        <w:t xml:space="preserve">12.2.10  </w:t>
      </w:r>
      <w:r>
        <w:rPr>
          <w:color w:val="auto"/>
          <w:szCs w:val="21"/>
        </w:rPr>
        <w:t>桩基平面布置时宜使桩基的合力点与竖向永久荷载合力作用点重合，避免产生附加弯矩而使桩基受力不均。如因施工等原因产生桩移位时，不应仅作扩大承台的简单处理，而应按桩偏位实际情况进行桩基和承台验算。当必须在底层门窗洞口下布桩时，应增大基础梁的刚度。</w:t>
      </w:r>
    </w:p>
    <w:p w14:paraId="64455786">
      <w:pPr>
        <w:pStyle w:val="77"/>
        <w:rPr>
          <w:color w:val="auto"/>
        </w:rPr>
      </w:pPr>
      <w:bookmarkStart w:id="196" w:name="_Toc182499010"/>
      <w:r>
        <w:rPr>
          <w:color w:val="auto"/>
        </w:rPr>
        <w:t>12.3  桩基承载力计算</w:t>
      </w:r>
      <w:bookmarkEnd w:id="196"/>
    </w:p>
    <w:p w14:paraId="598252EC">
      <w:pPr>
        <w:adjustRightInd w:val="0"/>
        <w:snapToGrid w:val="0"/>
        <w:spacing w:line="340" w:lineRule="atLeast"/>
        <w:rPr>
          <w:color w:val="auto"/>
          <w:szCs w:val="21"/>
        </w:rPr>
      </w:pPr>
      <w:r>
        <w:rPr>
          <w:b/>
          <w:bCs/>
          <w:color w:val="auto"/>
          <w:szCs w:val="21"/>
        </w:rPr>
        <w:t>12.3.1～12.3.2</w:t>
      </w:r>
      <w:r>
        <w:rPr>
          <w:color w:val="auto"/>
          <w:szCs w:val="21"/>
        </w:rPr>
        <w:t xml:space="preserve">  群桩中单桩桩顶竖向力采用了正常使用极限状态标准组合下的竖向力，承台及承台上土自重采用标准值。其意义在于以荷载标准组合值确定桩数，与天然地基确定基础尺寸的原则相一致。同时避免了设计值、标准值相混淆，便于应用。</w:t>
      </w:r>
    </w:p>
    <w:p w14:paraId="4756AA2A">
      <w:pPr>
        <w:adjustRightInd w:val="0"/>
        <w:snapToGrid w:val="0"/>
        <w:spacing w:line="340" w:lineRule="atLeast"/>
        <w:rPr>
          <w:color w:val="auto"/>
          <w:szCs w:val="21"/>
        </w:rPr>
      </w:pPr>
      <w:r>
        <w:rPr>
          <w:b/>
          <w:bCs/>
          <w:color w:val="auto"/>
          <w:szCs w:val="21"/>
        </w:rPr>
        <w:t>12.3.3</w:t>
      </w:r>
      <w:r>
        <w:rPr>
          <w:color w:val="auto"/>
          <w:szCs w:val="21"/>
        </w:rPr>
        <w:t xml:space="preserve">  为保证桩基设计的可靠性，规定建筑物单桩竖向承载力特征值应采用竖向静载荷试验确定。</w:t>
      </w:r>
    </w:p>
    <w:p w14:paraId="422C51AE">
      <w:pPr>
        <w:adjustRightInd w:val="0"/>
        <w:snapToGrid w:val="0"/>
        <w:spacing w:line="340" w:lineRule="atLeast"/>
        <w:ind w:firstLine="420" w:firstLineChars="200"/>
        <w:rPr>
          <w:color w:val="auto"/>
          <w:szCs w:val="21"/>
        </w:rPr>
      </w:pPr>
      <w:r>
        <w:rPr>
          <w:color w:val="auto"/>
          <w:szCs w:val="21"/>
        </w:rPr>
        <w:t>设计等级为丙级的次要的轻型建筑物可采用静力触探及标准贯入试验参数确定单桩竖向承载力特征值。</w:t>
      </w:r>
    </w:p>
    <w:p w14:paraId="359004D7">
      <w:pPr>
        <w:adjustRightInd w:val="0"/>
        <w:snapToGrid w:val="0"/>
        <w:spacing w:line="340" w:lineRule="atLeast"/>
        <w:ind w:firstLine="420" w:firstLineChars="200"/>
        <w:rPr>
          <w:color w:val="auto"/>
          <w:szCs w:val="21"/>
        </w:rPr>
      </w:pPr>
      <w:r>
        <w:rPr>
          <w:color w:val="auto"/>
          <w:szCs w:val="21"/>
        </w:rPr>
        <w:t>确定单桩竖向承载力时，应重视类似工程、邻近工程的经验。</w:t>
      </w:r>
    </w:p>
    <w:p w14:paraId="563810B3">
      <w:pPr>
        <w:adjustRightInd w:val="0"/>
        <w:snapToGrid w:val="0"/>
        <w:spacing w:line="340" w:lineRule="atLeast"/>
        <w:ind w:firstLine="420" w:firstLineChars="200"/>
        <w:rPr>
          <w:color w:val="auto"/>
          <w:szCs w:val="21"/>
        </w:rPr>
      </w:pPr>
      <w:r>
        <w:rPr>
          <w:color w:val="auto"/>
          <w:szCs w:val="21"/>
        </w:rPr>
        <w:t>嵌入完整和较完整的未风化、微风化、中风化硬质岩石的嵌岩桩，规范给出了单桩竖向承载力特征值的估算式(78)，只计端阻。简化计算的意义在于硬质岩强度超过桩身混凝土强度，设计以桩身强度控制，不必要计入侧阻、嵌岩阻力等不定因素。当然，嵌岩桩并不是不存在侧阻和嵌岩阻力，有时侧阻和嵌岩阻力占有很大的比例。对于嵌入破碎岩和软质岩石中的桩，单桩承载力特征值则按正文(76)式进行估算。</w:t>
      </w:r>
    </w:p>
    <w:p w14:paraId="4080840A">
      <w:pPr>
        <w:adjustRightInd w:val="0"/>
        <w:snapToGrid w:val="0"/>
        <w:spacing w:line="340" w:lineRule="atLeast"/>
        <w:ind w:firstLine="420" w:firstLineChars="200"/>
        <w:rPr>
          <w:color w:val="auto"/>
          <w:szCs w:val="21"/>
        </w:rPr>
      </w:pPr>
      <w:r>
        <w:rPr>
          <w:color w:val="auto"/>
          <w:szCs w:val="21"/>
        </w:rPr>
        <w:t>为确保大直径嵌岩桩的设计可靠性，必须确定桩底一定深度内岩体性状。此外，在桩底应力扩散范围内可能埋藏有相对软弱的夹层，甚至存在洞隙，应引起足够注意。岩层表面往往起伏不平，有隐伏沟槽存在，特别在碳酸盐类岩石地区，岩面石芽、溶槽密布，此时桩端可能落于岩面隆起或斜面处，有导致滑移的可能，因此，规范规定在桩底端应力扩散范围内应无岩体临空面存在，并确保基底岩体的稳定性。实践证明，作为基础施工图设计依据的详细勘察阶段的工作精度，满足不了这类桩设计施工的要求，因此，当基础方案选定之后，还应根据桩位及要求进行专门性的桩基勘察，以便针对各个桩的持力层选择入岩深度、确定承载力，并为施工处理等提供可靠依据。</w:t>
      </w:r>
    </w:p>
    <w:p w14:paraId="77227D9E">
      <w:pPr>
        <w:pStyle w:val="77"/>
        <w:rPr>
          <w:color w:val="auto"/>
        </w:rPr>
      </w:pPr>
      <w:bookmarkStart w:id="197" w:name="_Toc182499011"/>
      <w:r>
        <w:rPr>
          <w:color w:val="auto"/>
        </w:rPr>
        <w:t>12.4  桩基沉降计算</w:t>
      </w:r>
      <w:bookmarkEnd w:id="197"/>
    </w:p>
    <w:p w14:paraId="4DFF2A17">
      <w:pPr>
        <w:adjustRightInd w:val="0"/>
        <w:snapToGrid w:val="0"/>
        <w:spacing w:line="340" w:lineRule="atLeast"/>
        <w:rPr>
          <w:color w:val="auto"/>
          <w:szCs w:val="21"/>
        </w:rPr>
      </w:pPr>
      <w:r>
        <w:rPr>
          <w:b/>
          <w:bCs/>
          <w:color w:val="auto"/>
          <w:szCs w:val="21"/>
        </w:rPr>
        <w:t>12.4.1～12.4.3</w:t>
      </w:r>
      <w:r>
        <w:rPr>
          <w:color w:val="auto"/>
          <w:szCs w:val="21"/>
        </w:rPr>
        <w:t xml:space="preserve">  桩基沉降计算是一项复杂的工作，多本</w:t>
      </w:r>
      <w:r>
        <w:rPr>
          <w:rFonts w:hint="eastAsia"/>
          <w:color w:val="auto"/>
          <w:szCs w:val="21"/>
        </w:rPr>
        <w:t>标准</w:t>
      </w:r>
      <w:r>
        <w:rPr>
          <w:color w:val="auto"/>
          <w:szCs w:val="21"/>
        </w:rPr>
        <w:t>作了不同的经验拟合计算规定。根据湖北省的经验，选取了等代实体法。等代实体的底面积按桩长范围内土层内摩擦角</w:t>
      </w:r>
      <w:r>
        <w:rPr>
          <w:color w:val="auto"/>
          <w:position w:val="-10"/>
          <w:szCs w:val="21"/>
        </w:rPr>
        <w:object>
          <v:shape id="_x0000_i1888" o:spt="75" type="#_x0000_t75" style="height:13pt;width:10pt;" o:ole="t" filled="f" stroked="f" coordsize="21600,21600">
            <v:path/>
            <v:fill on="f" focussize="0,0"/>
            <v:stroke on="f"/>
            <v:imagedata r:id="rId1667" o:title=""/>
            <o:lock v:ext="edit" grouping="f" rotation="f" text="f" aspectratio="t"/>
            <w10:wrap type="none"/>
            <w10:anchorlock/>
          </v:shape>
          <o:OLEObject Type="Embed" ProgID="Equation.3" ShapeID="_x0000_i1888" DrawAspect="Content" ObjectID="_1468076588" r:id="rId1666">
            <o:LockedField>false</o:LockedField>
          </o:OLEObject>
        </w:object>
      </w:r>
      <w:r>
        <w:rPr>
          <w:color w:val="auto"/>
          <w:szCs w:val="21"/>
        </w:rPr>
        <w:t>的加权平均值，取</w:t>
      </w:r>
      <w:r>
        <w:rPr>
          <w:color w:val="auto"/>
          <w:position w:val="-10"/>
          <w:szCs w:val="21"/>
        </w:rPr>
        <w:object>
          <v:shape id="_x0000_i1889" o:spt="75" type="#_x0000_t75" style="height:13pt;width:10pt;" o:ole="t" filled="f" stroked="f" coordsize="21600,21600">
            <v:path/>
            <v:fill on="f" focussize="0,0"/>
            <v:stroke on="f"/>
            <v:imagedata r:id="rId1669" o:title=""/>
            <o:lock v:ext="edit" grouping="f" rotation="f" text="f" aspectratio="t"/>
            <w10:wrap type="none"/>
            <w10:anchorlock/>
          </v:shape>
          <o:OLEObject Type="Embed" ProgID="Equation.3" ShapeID="_x0000_i1889" DrawAspect="Content" ObjectID="_1468076589" r:id="rId1668">
            <o:LockedField>false</o:LockedField>
          </o:OLEObject>
        </w:object>
      </w:r>
      <w:r>
        <w:rPr>
          <w:color w:val="auto"/>
          <w:szCs w:val="21"/>
        </w:rPr>
        <w:t>/4向下扩散至桩底进行计算。与GB</w:t>
      </w:r>
      <w:r>
        <w:rPr>
          <w:rFonts w:hint="eastAsia"/>
          <w:color w:val="auto"/>
          <w:szCs w:val="21"/>
        </w:rPr>
        <w:t xml:space="preserve"> </w:t>
      </w:r>
      <w:r>
        <w:rPr>
          <w:color w:val="auto"/>
          <w:szCs w:val="21"/>
        </w:rPr>
        <w:t>50007推荐的等代实体法一致。</w:t>
      </w:r>
    </w:p>
    <w:p w14:paraId="1F439E6C">
      <w:pPr>
        <w:adjustRightInd w:val="0"/>
        <w:snapToGrid w:val="0"/>
        <w:spacing w:line="340" w:lineRule="atLeast"/>
        <w:ind w:firstLine="420" w:firstLineChars="200"/>
        <w:rPr>
          <w:color w:val="auto"/>
          <w:szCs w:val="21"/>
        </w:rPr>
      </w:pPr>
      <w:r>
        <w:rPr>
          <w:color w:val="auto"/>
          <w:szCs w:val="21"/>
        </w:rPr>
        <w:t>从经验拟合这一观点出发，GB</w:t>
      </w:r>
      <w:r>
        <w:rPr>
          <w:rFonts w:hint="eastAsia"/>
          <w:color w:val="auto"/>
          <w:szCs w:val="21"/>
        </w:rPr>
        <w:t xml:space="preserve"> </w:t>
      </w:r>
      <w:r>
        <w:rPr>
          <w:color w:val="auto"/>
          <w:szCs w:val="21"/>
        </w:rPr>
        <w:t>50007在这一条款中的修订工作主要是收集大量实际工程资料进行统计分析。修订组共收集了上海地区93幢建筑的完整实测资料和工程计算资料，在随后的资料复查整理中，因各种原因共放弃了其中24幢建筑物的资料，实际用于分析的建筑物共69幢。在统计分析的过程中逐步确定了各项计算规定，最后确定了桩基最终沉降量计算的经验修正系数</w:t>
      </w:r>
      <w:r>
        <w:rPr>
          <w:color w:val="auto"/>
          <w:position w:val="-14"/>
          <w:szCs w:val="21"/>
        </w:rPr>
        <w:object>
          <v:shape id="_x0000_i1890" o:spt="75" type="#_x0000_t75" style="height:19pt;width:12pt;" o:ole="t" filled="f" o:preferrelative="t" stroked="f" coordsize="21600,21600">
            <v:path/>
            <v:fill on="f" focussize="0,0"/>
            <v:stroke on="f"/>
            <v:imagedata r:id="rId1671" o:title=""/>
            <o:lock v:ext="edit" grouping="f" rotation="f" text="f" aspectratio="t"/>
            <w10:wrap type="none"/>
            <w10:anchorlock/>
          </v:shape>
          <o:OLEObject Type="Embed" ProgID="Equation.3" ShapeID="_x0000_i1890" DrawAspect="Content" ObjectID="_1468076590" r:id="rId1670">
            <o:LockedField>false</o:LockedField>
          </o:OLEObject>
        </w:object>
      </w:r>
      <w:r>
        <w:rPr>
          <w:color w:val="auto"/>
          <w:szCs w:val="21"/>
        </w:rPr>
        <w:t>。为了得到确定的统计结果，作了一系列经验性的规定。</w:t>
      </w:r>
    </w:p>
    <w:p w14:paraId="38645326">
      <w:pPr>
        <w:adjustRightInd w:val="0"/>
        <w:snapToGrid w:val="0"/>
        <w:spacing w:line="340" w:lineRule="atLeast"/>
        <w:ind w:firstLine="422" w:firstLineChars="200"/>
        <w:rPr>
          <w:color w:val="auto"/>
          <w:szCs w:val="21"/>
        </w:rPr>
      </w:pPr>
      <w:r>
        <w:rPr>
          <w:b/>
          <w:bCs/>
          <w:color w:val="auto"/>
          <w:szCs w:val="21"/>
        </w:rPr>
        <w:t>a)</w:t>
      </w:r>
      <w:r>
        <w:rPr>
          <w:color w:val="auto"/>
          <w:szCs w:val="21"/>
        </w:rPr>
        <w:t xml:space="preserve">  统计分析中的计算规定及说明：</w:t>
      </w:r>
    </w:p>
    <w:p w14:paraId="24ACD6E4">
      <w:pPr>
        <w:adjustRightInd w:val="0"/>
        <w:snapToGrid w:val="0"/>
        <w:spacing w:line="340" w:lineRule="atLeast"/>
        <w:ind w:firstLine="620" w:firstLineChars="294"/>
        <w:rPr>
          <w:color w:val="auto"/>
          <w:szCs w:val="21"/>
        </w:rPr>
      </w:pPr>
      <w:r>
        <w:rPr>
          <w:b/>
          <w:bCs/>
          <w:color w:val="auto"/>
          <w:szCs w:val="21"/>
        </w:rPr>
        <w:t>1)</w:t>
      </w:r>
      <w:r>
        <w:rPr>
          <w:color w:val="auto"/>
          <w:szCs w:val="21"/>
        </w:rPr>
        <w:t xml:space="preserve"> 统计时是将各幢建筑物中心点计算沉降值或最大计算沉降值与实测各点的平均沉降值进行比较。计算得到的最大沉降值，不是代表建筑物在某处实际发生的最大沉降值，而是估算的建筑物最终平均沉降。因为缺少实测倾斜值与计算值的对比统计资料，也因为这种算法不考虑上部结构的刚度，可能严重歪曲了实际的不均匀沉降。估算建筑物平均沉降时</w:t>
      </w:r>
      <w:r>
        <w:rPr>
          <w:rFonts w:hint="eastAsia"/>
          <w:color w:val="auto"/>
          <w:szCs w:val="21"/>
        </w:rPr>
        <w:t>，</w:t>
      </w:r>
      <w:r>
        <w:rPr>
          <w:color w:val="auto"/>
          <w:szCs w:val="21"/>
        </w:rPr>
        <w:t>一般可选取</w:t>
      </w:r>
      <w:r>
        <w:rPr>
          <w:rFonts w:hint="eastAsia"/>
          <w:color w:val="auto"/>
          <w:szCs w:val="21"/>
        </w:rPr>
        <w:t>建筑物中心点作为沉降值计算点，此时荷载分块数m=</w:t>
      </w:r>
      <w:r>
        <w:rPr>
          <w:color w:val="auto"/>
          <w:szCs w:val="21"/>
        </w:rPr>
        <w:t>4</w:t>
      </w:r>
      <w:r>
        <w:rPr>
          <w:rFonts w:hint="eastAsia"/>
          <w:color w:val="auto"/>
          <w:szCs w:val="21"/>
        </w:rPr>
        <w:t>，</w:t>
      </w:r>
      <w:r>
        <w:rPr>
          <w:color w:val="auto"/>
          <w:szCs w:val="21"/>
        </w:rPr>
        <w:t>若计算点任意选取，</w:t>
      </w:r>
      <w:r>
        <w:rPr>
          <w:rFonts w:hint="eastAsia"/>
          <w:color w:val="auto"/>
          <w:szCs w:val="21"/>
        </w:rPr>
        <w:t>可</w:t>
      </w:r>
      <w:r>
        <w:rPr>
          <w:color w:val="auto"/>
          <w:szCs w:val="21"/>
        </w:rPr>
        <w:t>取</w:t>
      </w:r>
      <w:r>
        <w:rPr>
          <w:rFonts w:hint="eastAsia"/>
          <w:color w:val="auto"/>
          <w:szCs w:val="21"/>
        </w:rPr>
        <w:t>最大计算沉降值作为</w:t>
      </w:r>
      <w:r>
        <w:rPr>
          <w:color w:val="auto"/>
          <w:szCs w:val="21"/>
        </w:rPr>
        <w:t>估算结果。</w:t>
      </w:r>
    </w:p>
    <w:p w14:paraId="521CAC9F">
      <w:pPr>
        <w:adjustRightInd w:val="0"/>
        <w:snapToGrid w:val="0"/>
        <w:spacing w:line="340" w:lineRule="atLeast"/>
        <w:ind w:firstLine="620" w:firstLineChars="294"/>
        <w:rPr>
          <w:color w:val="auto"/>
          <w:szCs w:val="21"/>
        </w:rPr>
      </w:pPr>
      <w:r>
        <w:rPr>
          <w:b/>
          <w:bCs/>
          <w:color w:val="auto"/>
          <w:szCs w:val="21"/>
        </w:rPr>
        <w:t>2)</w:t>
      </w:r>
      <w:r>
        <w:rPr>
          <w:color w:val="auto"/>
          <w:szCs w:val="21"/>
        </w:rPr>
        <w:t xml:space="preserve"> 公式中所用的压缩模量</w:t>
      </w:r>
      <w:r>
        <w:rPr>
          <w:i/>
          <w:color w:val="auto"/>
          <w:szCs w:val="21"/>
        </w:rPr>
        <w:t>E</w:t>
      </w:r>
      <w:r>
        <w:rPr>
          <w:iCs/>
          <w:color w:val="auto"/>
          <w:szCs w:val="21"/>
          <w:vertAlign w:val="subscript"/>
        </w:rPr>
        <w:t>s</w:t>
      </w:r>
      <w:r>
        <w:rPr>
          <w:color w:val="auto"/>
          <w:szCs w:val="21"/>
        </w:rPr>
        <w:t>为计算深度处土在自重应力至自重应力加附加应力作用下的压缩模量。一般采用勘察报告中提供的由室内土工压缩试验得到的数值。压缩模量的取值对于沉降计算有很大的影响，但由于目前对于原位试验本身及其试验结果与室内试验得出的</w:t>
      </w:r>
      <w:r>
        <w:rPr>
          <w:i/>
          <w:color w:val="auto"/>
          <w:szCs w:val="21"/>
        </w:rPr>
        <w:t>E</w:t>
      </w:r>
      <w:r>
        <w:rPr>
          <w:iCs/>
          <w:color w:val="auto"/>
          <w:szCs w:val="21"/>
          <w:vertAlign w:val="subscript"/>
        </w:rPr>
        <w:t>s</w:t>
      </w:r>
      <w:r>
        <w:rPr>
          <w:color w:val="auto"/>
          <w:szCs w:val="21"/>
        </w:rPr>
        <w:t>之间的规律尚未有较明确的统一认识，目前仍采用室内压缩试验得出的压缩模量。待今后进一步积累经验，再行修订。</w:t>
      </w:r>
    </w:p>
    <w:p w14:paraId="7B2497BD">
      <w:pPr>
        <w:adjustRightInd w:val="0"/>
        <w:snapToGrid w:val="0"/>
        <w:spacing w:line="340" w:lineRule="atLeast"/>
        <w:ind w:firstLine="620" w:firstLineChars="294"/>
        <w:rPr>
          <w:color w:val="auto"/>
          <w:szCs w:val="21"/>
        </w:rPr>
      </w:pPr>
      <w:r>
        <w:rPr>
          <w:b/>
          <w:bCs/>
          <w:color w:val="auto"/>
          <w:szCs w:val="21"/>
        </w:rPr>
        <w:t xml:space="preserve">3) </w:t>
      </w:r>
      <w:r>
        <w:rPr>
          <w:color w:val="auto"/>
          <w:szCs w:val="21"/>
        </w:rPr>
        <w:t>在引用GB</w:t>
      </w:r>
      <w:r>
        <w:rPr>
          <w:rFonts w:hint="eastAsia"/>
          <w:color w:val="auto"/>
          <w:szCs w:val="21"/>
          <w:lang w:val="en-US" w:eastAsia="zh-CN"/>
        </w:rPr>
        <w:t xml:space="preserve"> </w:t>
      </w:r>
      <w:r>
        <w:rPr>
          <w:color w:val="auto"/>
          <w:szCs w:val="21"/>
        </w:rPr>
        <w:t>50007附录R.0.3表时，根据武汉地区经验，对于</w:t>
      </w:r>
      <w:r>
        <w:rPr>
          <w:color w:val="auto"/>
          <w:position w:val="-12"/>
          <w:szCs w:val="21"/>
        </w:rPr>
        <w:object>
          <v:shape id="_x0000_i1891" o:spt="75" type="#_x0000_t75" style="height:18pt;width:51pt;" o:ole="t" filled="f" stroked="f" coordsize="21600,21600">
            <v:path/>
            <v:fill on="f" focussize="0,0"/>
            <v:stroke on="f"/>
            <v:imagedata r:id="rId1673" o:title=""/>
            <o:lock v:ext="edit" grouping="f" rotation="f" text="f" aspectratio="t"/>
            <w10:wrap type="none"/>
            <w10:anchorlock/>
          </v:shape>
          <o:OLEObject Type="Embed" ProgID="Equation.3" ShapeID="_x0000_i1891" DrawAspect="Content" ObjectID="_1468076591" r:id="rId1672">
            <o:LockedField>false</o:LockedField>
          </o:OLEObject>
        </w:object>
      </w:r>
      <w:r>
        <w:rPr>
          <w:color w:val="auto"/>
          <w:szCs w:val="21"/>
        </w:rPr>
        <w:t>一栏，改为6</w:t>
      </w:r>
      <w:r>
        <w:rPr>
          <w:iCs/>
          <w:color w:val="auto"/>
          <w:szCs w:val="21"/>
        </w:rPr>
        <w:t>MPa</w:t>
      </w:r>
      <w:r>
        <w:rPr>
          <w:color w:val="auto"/>
          <w:szCs w:val="21"/>
        </w:rPr>
        <w:t>≤</w:t>
      </w:r>
      <w:r>
        <w:rPr>
          <w:color w:val="auto"/>
          <w:position w:val="-12"/>
          <w:sz w:val="18"/>
          <w:szCs w:val="18"/>
        </w:rPr>
        <w:object>
          <v:shape id="_x0000_i1892" o:spt="75" type="#_x0000_t75" style="height:18pt;width:12pt;" o:ole="t" filled="f" stroked="f" coordsize="21600,21600">
            <v:path/>
            <v:fill on="f" focussize="0,0"/>
            <v:stroke on="f"/>
            <v:imagedata r:id="rId749" o:title=""/>
            <o:lock v:ext="edit" grouping="f" rotation="f" text="f" aspectratio="t"/>
            <w10:wrap type="none"/>
            <w10:anchorlock/>
          </v:shape>
          <o:OLEObject Type="Embed" ProgID="Equation.3" ShapeID="_x0000_i1892" DrawAspect="Content" ObjectID="_1468076592" r:id="rId1674">
            <o:LockedField>false</o:LockedField>
          </o:OLEObject>
        </w:object>
      </w:r>
      <w:r>
        <w:rPr>
          <w:color w:val="auto"/>
          <w:szCs w:val="21"/>
        </w:rPr>
        <w:t>&lt;10</w:t>
      </w:r>
      <w:r>
        <w:rPr>
          <w:iCs/>
          <w:color w:val="auto"/>
          <w:szCs w:val="21"/>
        </w:rPr>
        <w:t xml:space="preserve"> MPa</w:t>
      </w:r>
      <w:r>
        <w:rPr>
          <w:color w:val="auto"/>
          <w:szCs w:val="21"/>
        </w:rPr>
        <w:t>和10</w:t>
      </w:r>
      <w:r>
        <w:rPr>
          <w:iCs/>
          <w:color w:val="auto"/>
          <w:szCs w:val="21"/>
        </w:rPr>
        <w:t>MPa</w:t>
      </w:r>
      <w:r>
        <w:rPr>
          <w:color w:val="auto"/>
          <w:szCs w:val="21"/>
        </w:rPr>
        <w:t>≤</w:t>
      </w:r>
      <w:r>
        <w:rPr>
          <w:color w:val="auto"/>
          <w:position w:val="-12"/>
          <w:sz w:val="18"/>
          <w:szCs w:val="18"/>
        </w:rPr>
        <w:object>
          <v:shape id="_x0000_i1893" o:spt="75" type="#_x0000_t75" style="height:18pt;width:12pt;" o:ole="t" filled="f" stroked="f" coordsize="21600,21600">
            <v:path/>
            <v:fill on="f" focussize="0,0"/>
            <v:stroke on="f"/>
            <v:imagedata r:id="rId749" o:title=""/>
            <o:lock v:ext="edit" grouping="f" rotation="f" text="f" aspectratio="t"/>
            <w10:wrap type="none"/>
            <w10:anchorlock/>
          </v:shape>
          <o:OLEObject Type="Embed" ProgID="Equation.3" ShapeID="_x0000_i1893" DrawAspect="Content" ObjectID="_1468076593" r:id="rId1675">
            <o:LockedField>false</o:LockedField>
          </o:OLEObject>
        </w:object>
      </w:r>
      <w:r>
        <w:rPr>
          <w:color w:val="auto"/>
          <w:szCs w:val="21"/>
        </w:rPr>
        <w:t>&lt;15</w:t>
      </w:r>
      <w:r>
        <w:rPr>
          <w:iCs/>
          <w:color w:val="auto"/>
          <w:szCs w:val="21"/>
        </w:rPr>
        <w:t xml:space="preserve"> MPa两档</w:t>
      </w:r>
      <w:r>
        <w:rPr>
          <w:color w:val="auto"/>
          <w:szCs w:val="21"/>
        </w:rPr>
        <w:t>，其经验系数由0.5改为0.5～0.8。</w:t>
      </w:r>
    </w:p>
    <w:p w14:paraId="387105EF">
      <w:pPr>
        <w:adjustRightInd w:val="0"/>
        <w:snapToGrid w:val="0"/>
        <w:spacing w:line="340" w:lineRule="atLeast"/>
        <w:rPr>
          <w:color w:val="auto"/>
          <w:szCs w:val="21"/>
        </w:rPr>
      </w:pPr>
      <w:r>
        <w:rPr>
          <w:b/>
          <w:bCs/>
          <w:color w:val="auto"/>
          <w:szCs w:val="21"/>
        </w:rPr>
        <w:t>12.4.4</w:t>
      </w:r>
      <w:r>
        <w:rPr>
          <w:color w:val="auto"/>
          <w:szCs w:val="21"/>
        </w:rPr>
        <w:t xml:space="preserve">  当承台形状复杂或布桩不规则时，采用等代实体法计算沉降较困难，可采用明德林应力公式计算地基中的附加应力。用分层总和法计算沉降时，在桩端以下一定范围内分层适当加密，一般区域分层厚度可取1m。</w:t>
      </w:r>
    </w:p>
    <w:p w14:paraId="7C5F04D7">
      <w:pPr>
        <w:adjustRightInd w:val="0"/>
        <w:snapToGrid w:val="0"/>
        <w:spacing w:line="340" w:lineRule="atLeast"/>
        <w:ind w:firstLine="420" w:firstLineChars="200"/>
        <w:rPr>
          <w:color w:val="auto"/>
          <w:szCs w:val="21"/>
        </w:rPr>
      </w:pPr>
      <w:r>
        <w:rPr>
          <w:color w:val="auto"/>
          <w:szCs w:val="21"/>
        </w:rPr>
        <w:t>上海市在应用明德林应力公式计算中积累了较多经验，其计算经验系数见下表，可供参考。</w:t>
      </w:r>
    </w:p>
    <w:p w14:paraId="3DE69C77">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22</w:t>
      </w:r>
      <w:r>
        <w:rPr>
          <w:color w:val="auto"/>
        </w:rPr>
        <w:fldChar w:fldCharType="end"/>
      </w:r>
      <w:r>
        <w:rPr>
          <w:rFonts w:hint="eastAsia"/>
          <w:b/>
          <w:color w:val="auto"/>
          <w:szCs w:val="21"/>
        </w:rPr>
        <w:t xml:space="preserve">  沉降计算经验系数</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88"/>
        <w:gridCol w:w="1633"/>
        <w:gridCol w:w="1631"/>
        <w:gridCol w:w="1550"/>
        <w:gridCol w:w="1405"/>
      </w:tblGrid>
      <w:tr w14:paraId="6BE09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88" w:type="dxa"/>
            <w:noWrap w:val="0"/>
            <w:vAlign w:val="center"/>
          </w:tcPr>
          <w:p w14:paraId="3D61DC7B">
            <w:pPr>
              <w:adjustRightInd w:val="0"/>
              <w:jc w:val="center"/>
              <w:rPr>
                <w:color w:val="auto"/>
                <w:sz w:val="18"/>
                <w:szCs w:val="18"/>
              </w:rPr>
            </w:pPr>
            <w:r>
              <w:rPr>
                <w:color w:val="auto"/>
                <w:sz w:val="18"/>
                <w:szCs w:val="18"/>
              </w:rPr>
              <w:t>桩端入土深度(</w:t>
            </w:r>
            <w:r>
              <w:rPr>
                <w:iCs/>
                <w:color w:val="auto"/>
                <w:sz w:val="18"/>
                <w:szCs w:val="18"/>
              </w:rPr>
              <w:t>m</w:t>
            </w:r>
            <w:r>
              <w:rPr>
                <w:color w:val="auto"/>
                <w:sz w:val="18"/>
                <w:szCs w:val="18"/>
              </w:rPr>
              <w:t>)</w:t>
            </w:r>
          </w:p>
        </w:tc>
        <w:tc>
          <w:tcPr>
            <w:tcW w:w="1633" w:type="dxa"/>
            <w:noWrap w:val="0"/>
            <w:vAlign w:val="center"/>
          </w:tcPr>
          <w:p w14:paraId="2747A8D0">
            <w:pPr>
              <w:adjustRightInd w:val="0"/>
              <w:jc w:val="center"/>
              <w:rPr>
                <w:color w:val="auto"/>
                <w:sz w:val="18"/>
                <w:szCs w:val="18"/>
              </w:rPr>
            </w:pPr>
            <w:r>
              <w:rPr>
                <w:color w:val="auto"/>
                <w:sz w:val="18"/>
                <w:szCs w:val="18"/>
              </w:rPr>
              <w:t>＜30</w:t>
            </w:r>
          </w:p>
        </w:tc>
        <w:tc>
          <w:tcPr>
            <w:tcW w:w="1631" w:type="dxa"/>
            <w:noWrap w:val="0"/>
            <w:vAlign w:val="center"/>
          </w:tcPr>
          <w:p w14:paraId="3E34591B">
            <w:pPr>
              <w:adjustRightInd w:val="0"/>
              <w:jc w:val="center"/>
              <w:rPr>
                <w:color w:val="auto"/>
                <w:sz w:val="18"/>
                <w:szCs w:val="18"/>
              </w:rPr>
            </w:pPr>
            <w:r>
              <w:rPr>
                <w:color w:val="auto"/>
                <w:sz w:val="18"/>
                <w:szCs w:val="18"/>
              </w:rPr>
              <w:t>40</w:t>
            </w:r>
          </w:p>
        </w:tc>
        <w:tc>
          <w:tcPr>
            <w:tcW w:w="1550" w:type="dxa"/>
            <w:noWrap w:val="0"/>
            <w:vAlign w:val="center"/>
          </w:tcPr>
          <w:p w14:paraId="25047709">
            <w:pPr>
              <w:adjustRightInd w:val="0"/>
              <w:jc w:val="center"/>
              <w:rPr>
                <w:color w:val="auto"/>
                <w:sz w:val="18"/>
                <w:szCs w:val="18"/>
              </w:rPr>
            </w:pPr>
            <w:r>
              <w:rPr>
                <w:color w:val="auto"/>
                <w:sz w:val="18"/>
                <w:szCs w:val="18"/>
              </w:rPr>
              <w:t>50</w:t>
            </w:r>
          </w:p>
        </w:tc>
        <w:tc>
          <w:tcPr>
            <w:tcW w:w="1405" w:type="dxa"/>
            <w:noWrap w:val="0"/>
            <w:vAlign w:val="center"/>
          </w:tcPr>
          <w:p w14:paraId="5E6693D8">
            <w:pPr>
              <w:adjustRightInd w:val="0"/>
              <w:jc w:val="center"/>
              <w:rPr>
                <w:color w:val="auto"/>
                <w:sz w:val="18"/>
                <w:szCs w:val="18"/>
              </w:rPr>
            </w:pPr>
            <w:r>
              <w:rPr>
                <w:color w:val="auto"/>
                <w:sz w:val="18"/>
                <w:szCs w:val="18"/>
              </w:rPr>
              <w:t>70</w:t>
            </w:r>
          </w:p>
        </w:tc>
      </w:tr>
      <w:tr w14:paraId="12B8E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88" w:type="dxa"/>
            <w:noWrap w:val="0"/>
            <w:vAlign w:val="center"/>
          </w:tcPr>
          <w:p w14:paraId="38EFF291">
            <w:pPr>
              <w:adjustRightInd w:val="0"/>
              <w:jc w:val="center"/>
              <w:rPr>
                <w:color w:val="auto"/>
                <w:sz w:val="18"/>
                <w:szCs w:val="18"/>
              </w:rPr>
            </w:pPr>
            <w:r>
              <w:rPr>
                <w:color w:val="auto"/>
                <w:sz w:val="18"/>
                <w:szCs w:val="18"/>
              </w:rPr>
              <w:t>沉降计算经验系数</w:t>
            </w:r>
            <w:r>
              <w:rPr>
                <w:color w:val="auto"/>
                <w:position w:val="-12"/>
                <w:sz w:val="18"/>
                <w:szCs w:val="18"/>
              </w:rPr>
              <w:object>
                <v:shape id="_x0000_i1894" o:spt="75" type="#_x0000_t75" style="height:14pt;width:11.6pt;" o:ole="t" filled="f" stroked="f" coordsize="21600,21600">
                  <v:path/>
                  <v:fill on="f" focussize="0,0"/>
                  <v:stroke on="f"/>
                  <v:imagedata r:id="rId1677" o:title=""/>
                  <o:lock v:ext="edit" grouping="f" rotation="f" text="f" aspectratio="t"/>
                  <w10:wrap type="none"/>
                  <w10:anchorlock/>
                </v:shape>
                <o:OLEObject Type="Embed" ProgID="Equation.3" ShapeID="_x0000_i1894" DrawAspect="Content" ObjectID="_1468076594" r:id="rId1676">
                  <o:LockedField>false</o:LockedField>
                </o:OLEObject>
              </w:object>
            </w:r>
          </w:p>
        </w:tc>
        <w:tc>
          <w:tcPr>
            <w:tcW w:w="1633" w:type="dxa"/>
            <w:noWrap w:val="0"/>
            <w:vAlign w:val="center"/>
          </w:tcPr>
          <w:p w14:paraId="3AF05EF1">
            <w:pPr>
              <w:adjustRightInd w:val="0"/>
              <w:jc w:val="center"/>
              <w:rPr>
                <w:color w:val="auto"/>
                <w:sz w:val="18"/>
                <w:szCs w:val="18"/>
              </w:rPr>
            </w:pPr>
            <w:r>
              <w:rPr>
                <w:color w:val="auto"/>
                <w:sz w:val="18"/>
                <w:szCs w:val="18"/>
              </w:rPr>
              <w:t>1.1</w:t>
            </w:r>
          </w:p>
        </w:tc>
        <w:tc>
          <w:tcPr>
            <w:tcW w:w="1631" w:type="dxa"/>
            <w:noWrap w:val="0"/>
            <w:vAlign w:val="center"/>
          </w:tcPr>
          <w:p w14:paraId="0C7ED0C1">
            <w:pPr>
              <w:adjustRightInd w:val="0"/>
              <w:jc w:val="center"/>
              <w:rPr>
                <w:color w:val="auto"/>
                <w:sz w:val="18"/>
                <w:szCs w:val="18"/>
              </w:rPr>
            </w:pPr>
            <w:r>
              <w:rPr>
                <w:color w:val="auto"/>
                <w:sz w:val="18"/>
                <w:szCs w:val="18"/>
              </w:rPr>
              <w:t>1.05</w:t>
            </w:r>
          </w:p>
        </w:tc>
        <w:tc>
          <w:tcPr>
            <w:tcW w:w="1550" w:type="dxa"/>
            <w:noWrap w:val="0"/>
            <w:vAlign w:val="center"/>
          </w:tcPr>
          <w:p w14:paraId="3336E804">
            <w:pPr>
              <w:adjustRightInd w:val="0"/>
              <w:jc w:val="center"/>
              <w:rPr>
                <w:color w:val="auto"/>
                <w:sz w:val="18"/>
                <w:szCs w:val="18"/>
              </w:rPr>
            </w:pPr>
            <w:r>
              <w:rPr>
                <w:color w:val="auto"/>
                <w:sz w:val="18"/>
                <w:szCs w:val="18"/>
              </w:rPr>
              <w:t>0.9</w:t>
            </w:r>
          </w:p>
        </w:tc>
        <w:tc>
          <w:tcPr>
            <w:tcW w:w="1405" w:type="dxa"/>
            <w:noWrap w:val="0"/>
            <w:vAlign w:val="center"/>
          </w:tcPr>
          <w:p w14:paraId="4FC0A992">
            <w:pPr>
              <w:adjustRightInd w:val="0"/>
              <w:jc w:val="center"/>
              <w:rPr>
                <w:color w:val="auto"/>
                <w:sz w:val="18"/>
                <w:szCs w:val="18"/>
              </w:rPr>
            </w:pPr>
            <w:r>
              <w:rPr>
                <w:color w:val="auto"/>
                <w:sz w:val="18"/>
                <w:szCs w:val="18"/>
              </w:rPr>
              <w:t>0.75</w:t>
            </w:r>
          </w:p>
        </w:tc>
      </w:tr>
      <w:tr w14:paraId="49C8A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07" w:type="dxa"/>
            <w:gridSpan w:val="5"/>
            <w:noWrap w:val="0"/>
            <w:vAlign w:val="center"/>
          </w:tcPr>
          <w:p w14:paraId="2E601912">
            <w:pPr>
              <w:adjustRightInd w:val="0"/>
              <w:rPr>
                <w:color w:val="auto"/>
                <w:sz w:val="18"/>
                <w:szCs w:val="18"/>
              </w:rPr>
            </w:pPr>
            <w:r>
              <w:rPr>
                <w:bCs/>
                <w:color w:val="auto"/>
                <w:sz w:val="18"/>
                <w:szCs w:val="18"/>
              </w:rPr>
              <w:t>注</w:t>
            </w:r>
            <w:r>
              <w:rPr>
                <w:color w:val="auto"/>
                <w:sz w:val="18"/>
                <w:szCs w:val="18"/>
              </w:rPr>
              <w:t>：表内数值可以内插。</w:t>
            </w:r>
          </w:p>
        </w:tc>
      </w:tr>
    </w:tbl>
    <w:p w14:paraId="76D55F44">
      <w:pPr>
        <w:adjustRightInd w:val="0"/>
        <w:spacing w:before="240"/>
        <w:ind w:firstLine="420" w:firstLineChars="200"/>
        <w:rPr>
          <w:color w:val="auto"/>
          <w:szCs w:val="21"/>
        </w:rPr>
      </w:pPr>
      <w:r>
        <w:rPr>
          <w:color w:val="auto"/>
          <w:szCs w:val="21"/>
        </w:rPr>
        <w:t>深厚软土中的端承型桩基不宜采用明德林公式计算地基中的附加应力。</w:t>
      </w:r>
    </w:p>
    <w:p w14:paraId="19F9481E">
      <w:pPr>
        <w:pStyle w:val="77"/>
        <w:rPr>
          <w:color w:val="auto"/>
        </w:rPr>
      </w:pPr>
      <w:bookmarkStart w:id="198" w:name="_Toc182499012"/>
      <w:r>
        <w:rPr>
          <w:color w:val="auto"/>
        </w:rPr>
        <w:t>12.5  桩基承台设计</w:t>
      </w:r>
      <w:bookmarkEnd w:id="198"/>
    </w:p>
    <w:p w14:paraId="796B05F3">
      <w:pPr>
        <w:adjustRightInd w:val="0"/>
        <w:snapToGrid w:val="0"/>
        <w:spacing w:line="340" w:lineRule="atLeast"/>
        <w:rPr>
          <w:color w:val="auto"/>
          <w:szCs w:val="21"/>
        </w:rPr>
      </w:pPr>
      <w:r>
        <w:rPr>
          <w:rFonts w:eastAsia="黑体"/>
          <w:b/>
          <w:bCs/>
          <w:color w:val="auto"/>
          <w:szCs w:val="21"/>
        </w:rPr>
        <w:t>12.5.1</w:t>
      </w:r>
      <w:r>
        <w:rPr>
          <w:color w:val="auto"/>
          <w:szCs w:val="21"/>
        </w:rPr>
        <w:t xml:space="preserve">  二桩承台的设计要求按梁式承台设计。考虑到二桩承台设计施工中存在两桩中心的连线与柱中心不重合，在设计和施工中由于桩位偏心引起承台的扭矩应进行计算，并配置相应的抗扭纵筋和抗扭箍筋。同时应考虑扭矩对桩顶与承台连接的影响，此时宜设置联系梁来平衡扭矩或加强桩顶与承台的连结构造。</w:t>
      </w:r>
    </w:p>
    <w:p w14:paraId="067702A0">
      <w:pPr>
        <w:snapToGrid w:val="0"/>
        <w:spacing w:line="340" w:lineRule="atLeast"/>
        <w:ind w:firstLine="420" w:firstLineChars="200"/>
        <w:rPr>
          <w:color w:val="auto"/>
        </w:rPr>
      </w:pPr>
      <w:r>
        <w:rPr>
          <w:color w:val="auto"/>
          <w:szCs w:val="21"/>
        </w:rPr>
        <w:t>上部为砌体结构的桩基承台梁可以按以桩为支座的墙梁或连续梁进行设计。当按墙梁设计时，承台梁上部砌体应符合GB</w:t>
      </w:r>
      <w:r>
        <w:rPr>
          <w:rFonts w:hint="eastAsia"/>
          <w:color w:val="auto"/>
          <w:szCs w:val="21"/>
        </w:rPr>
        <w:t xml:space="preserve"> </w:t>
      </w:r>
      <w:r>
        <w:rPr>
          <w:color w:val="auto"/>
          <w:szCs w:val="21"/>
        </w:rPr>
        <w:t>50003中墙梁上砌体的有关构造要求，并应考虑施工过程中砌体尚未完全达到设计强度时的工作状况和加载情况。</w:t>
      </w:r>
    </w:p>
    <w:p w14:paraId="3E922AFF">
      <w:pPr>
        <w:pStyle w:val="34"/>
        <w:numPr>
          <w:ilvl w:val="0"/>
          <w:numId w:val="3"/>
        </w:numPr>
        <w:rPr>
          <w:b/>
          <w:bCs w:val="0"/>
          <w:color w:val="auto"/>
        </w:rPr>
      </w:pPr>
      <w:bookmarkStart w:id="199" w:name="_Toc182499013"/>
      <w:r>
        <w:rPr>
          <w:b/>
          <w:bCs w:val="0"/>
          <w:color w:val="auto"/>
        </w:rPr>
        <w:t>基 础</w:t>
      </w:r>
      <w:bookmarkEnd w:id="199"/>
    </w:p>
    <w:p w14:paraId="2A166026">
      <w:pPr>
        <w:pStyle w:val="77"/>
        <w:rPr>
          <w:color w:val="auto"/>
        </w:rPr>
      </w:pPr>
      <w:bookmarkStart w:id="200" w:name="_Toc182499014"/>
      <w:r>
        <w:rPr>
          <w:color w:val="auto"/>
        </w:rPr>
        <w:t>13.1  无筋扩展基础及扩展基础</w:t>
      </w:r>
      <w:bookmarkEnd w:id="200"/>
    </w:p>
    <w:p w14:paraId="196B310B">
      <w:pPr>
        <w:snapToGrid w:val="0"/>
        <w:spacing w:line="360" w:lineRule="atLeast"/>
        <w:rPr>
          <w:color w:val="auto"/>
        </w:rPr>
      </w:pPr>
      <w:r>
        <w:rPr>
          <w:b/>
          <w:color w:val="auto"/>
        </w:rPr>
        <w:t>13.1.1</w:t>
      </w:r>
      <w:r>
        <w:rPr>
          <w:color w:val="auto"/>
        </w:rPr>
        <w:t xml:space="preserve">  考虑到灰土基础、三合土基础在本省应用很少，本文件未考虑列入这部分基础的构造要求，如特殊情况需要使用，可按GB</w:t>
      </w:r>
      <w:r>
        <w:rPr>
          <w:rFonts w:hint="eastAsia"/>
          <w:color w:val="auto"/>
        </w:rPr>
        <w:t xml:space="preserve"> </w:t>
      </w:r>
      <w:r>
        <w:rPr>
          <w:color w:val="auto"/>
        </w:rPr>
        <w:t>50007的规定采用。</w:t>
      </w:r>
    </w:p>
    <w:p w14:paraId="1E423280">
      <w:pPr>
        <w:snapToGrid w:val="0"/>
        <w:spacing w:line="360" w:lineRule="atLeast"/>
        <w:rPr>
          <w:color w:val="auto"/>
        </w:rPr>
      </w:pPr>
      <w:r>
        <w:rPr>
          <w:b/>
          <w:color w:val="auto"/>
        </w:rPr>
        <w:t>13.1.2</w:t>
      </w:r>
      <w:r>
        <w:rPr>
          <w:color w:val="auto"/>
        </w:rPr>
        <w:t xml:space="preserve">  正文表</w:t>
      </w:r>
      <w:r>
        <w:rPr>
          <w:rFonts w:hint="eastAsia"/>
          <w:color w:val="auto"/>
        </w:rPr>
        <w:t>5</w:t>
      </w:r>
      <w:r>
        <w:rPr>
          <w:color w:val="auto"/>
        </w:rPr>
        <w:t>7中提供的无筋扩展混凝土基础台阶宽高比的允许值。当基础单侧扩展范围内基础底面的平均压力值超过300KPa时，应按下式验算墙(柱) 边缘或变阶处的受剪承载力：</w:t>
      </w:r>
    </w:p>
    <w:p w14:paraId="624D5AE4">
      <w:pPr>
        <w:snapToGrid w:val="0"/>
        <w:spacing w:line="360" w:lineRule="atLeast"/>
        <w:rPr>
          <w:color w:val="auto"/>
        </w:rPr>
      </w:pPr>
      <w:r>
        <w:rPr>
          <w:color w:val="auto"/>
        </w:rPr>
        <w:t xml:space="preserve">                </w:t>
      </w:r>
      <w:r>
        <w:rPr>
          <w:i/>
          <w:color w:val="auto"/>
        </w:rPr>
        <w:t>V</w:t>
      </w:r>
      <w:r>
        <w:rPr>
          <w:color w:val="auto"/>
          <w:vertAlign w:val="subscript"/>
        </w:rPr>
        <w:t>s</w:t>
      </w:r>
      <w:r>
        <w:rPr>
          <w:color w:val="auto"/>
        </w:rPr>
        <w:t>≤0.366</w:t>
      </w:r>
      <w:r>
        <w:rPr>
          <w:i/>
          <w:color w:val="auto"/>
        </w:rPr>
        <w:t>f</w:t>
      </w:r>
      <w:r>
        <w:rPr>
          <w:color w:val="auto"/>
          <w:vertAlign w:val="subscript"/>
        </w:rPr>
        <w:t>t</w:t>
      </w:r>
      <w:r>
        <w:rPr>
          <w:i/>
          <w:color w:val="auto"/>
        </w:rPr>
        <w:t>A</w:t>
      </w:r>
    </w:p>
    <w:p w14:paraId="458F4BBF">
      <w:pPr>
        <w:snapToGrid w:val="0"/>
        <w:spacing w:line="360" w:lineRule="atLeast"/>
        <w:ind w:left="1189" w:hanging="1188" w:hangingChars="566"/>
        <w:rPr>
          <w:color w:val="auto"/>
        </w:rPr>
      </w:pPr>
      <w:r>
        <w:rPr>
          <w:color w:val="auto"/>
        </w:rPr>
        <w:t>式中：</w:t>
      </w:r>
      <w:r>
        <w:rPr>
          <w:i/>
          <w:color w:val="auto"/>
        </w:rPr>
        <w:t>V</w:t>
      </w:r>
      <w:r>
        <w:rPr>
          <w:color w:val="auto"/>
          <w:vertAlign w:val="subscript"/>
        </w:rPr>
        <w:t>s</w:t>
      </w:r>
      <w:r>
        <w:rPr>
          <w:color w:val="auto"/>
        </w:rPr>
        <w:t>——相应于作用基本组合时的地基土平均净反力产生的沿墙(柱) 边缘或变阶处单位长度的剪力设计值。</w:t>
      </w:r>
    </w:p>
    <w:p w14:paraId="31E7F0E1">
      <w:pPr>
        <w:snapToGrid w:val="0"/>
        <w:spacing w:line="360" w:lineRule="atLeast"/>
        <w:ind w:firstLine="630" w:firstLineChars="300"/>
        <w:rPr>
          <w:color w:val="auto"/>
        </w:rPr>
      </w:pPr>
      <w:r>
        <w:rPr>
          <w:i/>
          <w:color w:val="auto"/>
        </w:rPr>
        <w:t>f</w:t>
      </w:r>
      <w:r>
        <w:rPr>
          <w:color w:val="auto"/>
          <w:vertAlign w:val="subscript"/>
        </w:rPr>
        <w:t>t</w:t>
      </w:r>
      <w:r>
        <w:rPr>
          <w:color w:val="auto"/>
        </w:rPr>
        <w:t>——基础混凝土抗拉强度设计值。</w:t>
      </w:r>
    </w:p>
    <w:p w14:paraId="77C3FE2C">
      <w:pPr>
        <w:snapToGrid w:val="0"/>
        <w:spacing w:line="360" w:lineRule="atLeast"/>
        <w:ind w:left="1176" w:leftChars="300" w:hanging="546" w:hangingChars="260"/>
        <w:rPr>
          <w:color w:val="auto"/>
        </w:rPr>
      </w:pPr>
      <w:r>
        <w:rPr>
          <w:i/>
          <w:color w:val="auto"/>
        </w:rPr>
        <w:t>A</w:t>
      </w:r>
      <w:r>
        <w:rPr>
          <w:color w:val="auto"/>
        </w:rPr>
        <w:t>——沿墙(柱) 边缘或变阶处基础的垂直截面面积(</w:t>
      </w:r>
      <w:r>
        <w:rPr>
          <w:rFonts w:hint="eastAsia"/>
          <w:color w:val="auto"/>
        </w:rPr>
        <w:t>m</w:t>
      </w:r>
      <w:r>
        <w:rPr>
          <w:rFonts w:hint="eastAsia"/>
          <w:color w:val="auto"/>
          <w:vertAlign w:val="superscript"/>
        </w:rPr>
        <w:t>2</w:t>
      </w:r>
      <w:r>
        <w:rPr>
          <w:color w:val="auto"/>
        </w:rPr>
        <w:t>) 。当验算截面为阶形时其截面折算宽度按附录J计算。</w:t>
      </w:r>
    </w:p>
    <w:p w14:paraId="689F2E78">
      <w:pPr>
        <w:snapToGrid w:val="0"/>
        <w:spacing w:line="360" w:lineRule="atLeast"/>
        <w:ind w:firstLine="420" w:firstLineChars="200"/>
        <w:rPr>
          <w:color w:val="auto"/>
        </w:rPr>
      </w:pPr>
      <w:r>
        <w:rPr>
          <w:color w:val="auto"/>
        </w:rPr>
        <w:t>上式是根据材料力学、素混凝土抗拉强度设计值及基底反力为直线分布的条件下确定的，适用于除岩石以外的地基。岩石地基上的无筋扩展基础设计时应对柱下混凝土基础进行局部受压承载力验算，避免柱下素混凝土基础可能因横向拉应力达到混凝土抗拉强度后引起基础周边混凝土发生竖向劈裂破坏和压陷。</w:t>
      </w:r>
    </w:p>
    <w:p w14:paraId="64855E25">
      <w:pPr>
        <w:snapToGrid w:val="0"/>
        <w:spacing w:line="360" w:lineRule="atLeast"/>
        <w:rPr>
          <w:color w:val="auto"/>
        </w:rPr>
      </w:pPr>
      <w:r>
        <w:rPr>
          <w:b/>
          <w:color w:val="auto"/>
        </w:rPr>
        <w:t>13.1.5</w:t>
      </w:r>
      <w:r>
        <w:rPr>
          <w:color w:val="auto"/>
        </w:rPr>
        <w:t xml:space="preserve">  根据GB</w:t>
      </w:r>
      <w:r>
        <w:rPr>
          <w:rFonts w:hint="eastAsia"/>
          <w:color w:val="auto"/>
        </w:rPr>
        <w:t xml:space="preserve"> </w:t>
      </w:r>
      <w:r>
        <w:rPr>
          <w:color w:val="auto"/>
        </w:rPr>
        <w:t>50010，混凝土结构的环境类别为二a等级，混凝土最低强度等级为C25。因此基础混凝土强度等级不应低于C25。</w:t>
      </w:r>
    </w:p>
    <w:p w14:paraId="23FE8B53">
      <w:pPr>
        <w:snapToGrid w:val="0"/>
        <w:spacing w:line="360" w:lineRule="atLeast"/>
        <w:rPr>
          <w:color w:val="auto"/>
        </w:rPr>
      </w:pPr>
      <w:r>
        <w:rPr>
          <w:b/>
          <w:color w:val="auto"/>
        </w:rPr>
        <w:t>13.1.8</w:t>
      </w:r>
      <w:r>
        <w:rPr>
          <w:color w:val="auto"/>
        </w:rPr>
        <w:t xml:space="preserve">  现浇钢筋混凝土柱通过短柱与基础连接，在满足本条的规定条件时，短柱顶可作为上部结构底层柱计算的固定端进行分析。短柱的计算可把上部结构底层柱底的内力作为荷载施加于短柱顶面进行结构分析。同时，短柱的构造配筋</w:t>
      </w:r>
      <w:r>
        <w:rPr>
          <w:rFonts w:hint="eastAsia"/>
          <w:color w:val="auto"/>
        </w:rPr>
        <w:t>应</w:t>
      </w:r>
      <w:r>
        <w:rPr>
          <w:color w:val="auto"/>
        </w:rPr>
        <w:t>满足本条的规定，短柱中的箍筋应按复合箍配置。若短柱的尺寸不能满足本条的规定，短柱应和上部结构柱一起按变阶柱或框架柱进行结构分祈，按其实际受力情况和刚度比分配内力，并按柱的要求进行配筋和构造设计。</w:t>
      </w:r>
    </w:p>
    <w:p w14:paraId="62C9DD7A">
      <w:pPr>
        <w:snapToGrid w:val="0"/>
        <w:spacing w:line="360" w:lineRule="atLeast"/>
        <w:rPr>
          <w:color w:val="auto"/>
        </w:rPr>
      </w:pPr>
      <w:r>
        <w:rPr>
          <w:b/>
          <w:color w:val="auto"/>
        </w:rPr>
        <w:t>13.1.10</w:t>
      </w:r>
      <w:r>
        <w:rPr>
          <w:color w:val="auto"/>
        </w:rPr>
        <w:t xml:space="preserve">  本条规定了扩展基础的设计内容：受冲切承载力计算、受剪切承载力计算、抗弯计算、受压承载力计算。</w:t>
      </w:r>
    </w:p>
    <w:p w14:paraId="7080328A">
      <w:pPr>
        <w:snapToGrid w:val="0"/>
        <w:spacing w:line="360" w:lineRule="atLeast"/>
        <w:rPr>
          <w:color w:val="auto"/>
        </w:rPr>
      </w:pPr>
      <w:r>
        <w:rPr>
          <w:b/>
          <w:color w:val="auto"/>
        </w:rPr>
        <w:t>13.1.11</w:t>
      </w:r>
      <w:r>
        <w:rPr>
          <w:color w:val="auto"/>
        </w:rPr>
        <w:t xml:space="preserve">  试验结果和工程实践表明，当冲切破坏锥体落在基础底面以内时，基础截面高度由受冲切承载力控制。</w:t>
      </w:r>
    </w:p>
    <w:p w14:paraId="4C099829">
      <w:pPr>
        <w:snapToGrid w:val="0"/>
        <w:spacing w:line="360" w:lineRule="atLeast"/>
        <w:rPr>
          <w:color w:val="auto"/>
        </w:rPr>
      </w:pPr>
      <w:r>
        <w:rPr>
          <w:b/>
          <w:color w:val="auto"/>
        </w:rPr>
        <w:t>13.1.12</w:t>
      </w:r>
      <w:r>
        <w:rPr>
          <w:color w:val="auto"/>
        </w:rPr>
        <w:t xml:space="preserve">  本条正文中的公式(108) 和式(109) 是以基础台阶宽高比小于或等于2.5，以及基础底面与地基土之间不出现零应力区为条件推导出来的弯矩简化计算公式，适用于除岩石以外的地基。对阶梯形及锥形独立基础，可将其截面折算成矩形，其截面折算宽度及有效高度按附录J计算。</w:t>
      </w:r>
    </w:p>
    <w:p w14:paraId="34DD5874">
      <w:pPr>
        <w:snapToGrid w:val="0"/>
        <w:spacing w:line="360" w:lineRule="atLeast"/>
        <w:rPr>
          <w:color w:val="auto"/>
        </w:rPr>
      </w:pPr>
      <w:r>
        <w:rPr>
          <w:b/>
          <w:color w:val="auto"/>
        </w:rPr>
        <w:t xml:space="preserve">13.1.13 </w:t>
      </w:r>
      <w:r>
        <w:rPr>
          <w:color w:val="auto"/>
        </w:rPr>
        <w:t xml:space="preserve"> 当柱下独立基础底面两个方向的边长比值有可能大于2时，基础受力状态接近于单向受力，墙下条形基础底板为单向受力，柱﹙墙﹚与基础交接处不存在受冲切的问题，仅需对基础进行斜截面受剪切承载力验算。</w:t>
      </w:r>
    </w:p>
    <w:p w14:paraId="0C25AEFD">
      <w:pPr>
        <w:pStyle w:val="20"/>
        <w:keepNext w:val="0"/>
        <w:keepLines w:val="0"/>
        <w:pageBreakBefore w:val="0"/>
        <w:widowControl w:val="0"/>
        <w:kinsoku/>
        <w:wordWrap/>
        <w:overflowPunct/>
        <w:topLinePunct w:val="0"/>
        <w:autoSpaceDE/>
        <w:autoSpaceDN/>
        <w:bidi w:val="0"/>
        <w:adjustRightInd/>
        <w:snapToGrid w:val="0"/>
        <w:spacing w:line="360" w:lineRule="atLeast"/>
        <w:ind w:left="30" w:leftChars="0" w:hanging="30" w:hangingChars="14"/>
        <w:textAlignment w:val="auto"/>
        <w:rPr>
          <w:rFonts w:ascii="Times New Roman"/>
          <w:color w:val="auto"/>
        </w:rPr>
      </w:pPr>
      <w:r>
        <w:rPr>
          <w:rFonts w:ascii="Times New Roman"/>
          <w:b/>
          <w:color w:val="auto"/>
        </w:rPr>
        <w:t>13.1.14</w:t>
      </w:r>
      <w:r>
        <w:rPr>
          <w:rFonts w:ascii="Times New Roman"/>
          <w:color w:val="auto"/>
        </w:rPr>
        <w:t xml:space="preserve">  在无地下室的框架结构中，当基础埋置深度较大时，地上一层柱的嵌固部位取基础顶面显然不合理，可采取地面下设柱墩(短柱)、拉梁</w:t>
      </w:r>
      <w:r>
        <w:rPr>
          <w:rFonts w:hint="eastAsia" w:ascii="Times New Roman"/>
          <w:color w:val="auto"/>
        </w:rPr>
        <w:t>和</w:t>
      </w:r>
      <w:r>
        <w:rPr>
          <w:rFonts w:ascii="Times New Roman"/>
          <w:color w:val="auto"/>
        </w:rPr>
        <w:t>钢筋混凝土刚性地坪等结构措施。</w:t>
      </w:r>
    </w:p>
    <w:p w14:paraId="477D7CB0">
      <w:pPr>
        <w:pStyle w:val="77"/>
        <w:rPr>
          <w:color w:val="auto"/>
        </w:rPr>
      </w:pPr>
      <w:bookmarkStart w:id="201" w:name="_Toc182499015"/>
      <w:r>
        <w:rPr>
          <w:color w:val="auto"/>
        </w:rPr>
        <w:t>13.2  柱下条形基础</w:t>
      </w:r>
      <w:bookmarkEnd w:id="201"/>
    </w:p>
    <w:p w14:paraId="3807C950">
      <w:pPr>
        <w:snapToGrid w:val="0"/>
        <w:spacing w:line="340" w:lineRule="atLeast"/>
        <w:rPr>
          <w:color w:val="auto"/>
        </w:rPr>
      </w:pPr>
      <w:r>
        <w:rPr>
          <w:b/>
          <w:color w:val="auto"/>
        </w:rPr>
        <w:t>13.2.1～13.2.2</w:t>
      </w:r>
      <w:r>
        <w:rPr>
          <w:color w:val="auto"/>
        </w:rPr>
        <w:t xml:space="preserve">  基础梁的截面高度应根据地基反力、柱荷载的大小等因素确定。在选择基础梁的截面时，距柱边缘处基础梁的受剪截面和斜截面承载力尚应满足现行GB</w:t>
      </w:r>
      <w:r>
        <w:rPr>
          <w:rFonts w:hint="eastAsia"/>
          <w:color w:val="auto"/>
        </w:rPr>
        <w:t xml:space="preserve"> </w:t>
      </w:r>
      <w:r>
        <w:rPr>
          <w:color w:val="auto"/>
        </w:rPr>
        <w:t>50010的要求。根据GB</w:t>
      </w:r>
      <w:r>
        <w:rPr>
          <w:rFonts w:hint="eastAsia"/>
          <w:color w:val="auto"/>
        </w:rPr>
        <w:t xml:space="preserve"> </w:t>
      </w:r>
      <w:r>
        <w:rPr>
          <w:color w:val="auto"/>
        </w:rPr>
        <w:t>50010，混凝土结构的环境类别为二a等级，混凝土最低强度等级为C25。因此柱下条形基础混凝土强度等级不应低于C25。</w:t>
      </w:r>
    </w:p>
    <w:p w14:paraId="64F9E9D3">
      <w:pPr>
        <w:snapToGrid w:val="0"/>
        <w:spacing w:line="340" w:lineRule="atLeast"/>
        <w:ind w:firstLine="420"/>
        <w:rPr>
          <w:color w:val="auto"/>
        </w:rPr>
      </w:pPr>
      <w:r>
        <w:rPr>
          <w:color w:val="auto"/>
        </w:rPr>
        <w:t>对柱下条形基础梁的内力计算方法，本文件划分了按连续梁计算内力的适用条件。满足此条件的一般柱距及中等压缩性的地基都可考虑地基反力为直线分布。当不满足此条件时，宜按弹性地基梁法计算内力，分析时采用的地基模型应结合工程实际条件和地区经验进行选择。</w:t>
      </w:r>
    </w:p>
    <w:p w14:paraId="5FFBA11B">
      <w:pPr>
        <w:pStyle w:val="77"/>
        <w:rPr>
          <w:color w:val="auto"/>
        </w:rPr>
      </w:pPr>
      <w:bookmarkStart w:id="202" w:name="_Toc182499016"/>
      <w:r>
        <w:rPr>
          <w:color w:val="auto"/>
        </w:rPr>
        <w:t>13.3  筏基与桩筏基础</w:t>
      </w:r>
      <w:bookmarkEnd w:id="202"/>
    </w:p>
    <w:p w14:paraId="41BB63F0">
      <w:pPr>
        <w:snapToGrid w:val="0"/>
        <w:spacing w:line="340" w:lineRule="atLeast"/>
        <w:rPr>
          <w:color w:val="auto"/>
        </w:rPr>
      </w:pPr>
      <w:r>
        <w:rPr>
          <w:b/>
          <w:color w:val="auto"/>
        </w:rPr>
        <w:t>13.3.1</w:t>
      </w:r>
      <w:r>
        <w:rPr>
          <w:color w:val="auto"/>
        </w:rPr>
        <w:t xml:space="preserve">  平板式筏基具有抗冲切及抗剪切能力强的特点，且构造简单，施工便捷。</w:t>
      </w:r>
    </w:p>
    <w:p w14:paraId="3ADAB51B">
      <w:pPr>
        <w:snapToGrid w:val="0"/>
        <w:spacing w:line="340" w:lineRule="atLeast"/>
        <w:rPr>
          <w:color w:val="auto"/>
        </w:rPr>
      </w:pPr>
      <w:r>
        <w:rPr>
          <w:b/>
          <w:color w:val="auto"/>
        </w:rPr>
        <w:t>13.3.2</w:t>
      </w:r>
      <w:r>
        <w:rPr>
          <w:color w:val="auto"/>
        </w:rPr>
        <w:t xml:space="preserve">  偏心距e的大小对建筑物倾斜起主要作用。高层建筑由于楼身质心高，荷载重，当筏形基础开始产生倾斜后，建筑物总重对基础底面形心将产生新的倾覆力矩增量，而倾覆力矩的增量又产生新的倾斜增量，倾斜可能随时间而增长，直至地基变形稳定为止。因此对高层建筑偏心距要求严格，对于多层建筑及硬土地区可以适当放松。</w:t>
      </w:r>
    </w:p>
    <w:p w14:paraId="02B38CEB">
      <w:pPr>
        <w:snapToGrid w:val="0"/>
        <w:spacing w:after="156" w:afterLines="50" w:line="340" w:lineRule="atLeast"/>
        <w:rPr>
          <w:rFonts w:hint="eastAsia"/>
          <w:color w:val="auto"/>
        </w:rPr>
      </w:pPr>
      <w:r>
        <w:rPr>
          <w:b/>
          <w:color w:val="auto"/>
        </w:rPr>
        <w:t>13.3.3</w:t>
      </w:r>
      <w:r>
        <w:rPr>
          <w:color w:val="auto"/>
        </w:rPr>
        <w:t xml:space="preserve">  防水混凝土抗渗等级应按下表选用。</w:t>
      </w:r>
    </w:p>
    <w:p w14:paraId="315CCAC4">
      <w:pPr>
        <w:pStyle w:val="12"/>
        <w:jc w:val="center"/>
        <w:rPr>
          <w:b/>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23</w:t>
      </w:r>
      <w:r>
        <w:rPr>
          <w:color w:val="auto"/>
        </w:rPr>
        <w:fldChar w:fldCharType="end"/>
      </w:r>
      <w:r>
        <w:rPr>
          <w:rFonts w:hint="eastAsia"/>
          <w:b/>
          <w:color w:val="auto"/>
        </w:rPr>
        <w:t xml:space="preserve">  防水混凝土抗渗等级</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8"/>
        <w:gridCol w:w="4414"/>
      </w:tblGrid>
      <w:tr w14:paraId="12D0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08" w:type="dxa"/>
            <w:noWrap w:val="0"/>
            <w:vAlign w:val="top"/>
          </w:tcPr>
          <w:p w14:paraId="4F704584">
            <w:pPr>
              <w:jc w:val="center"/>
              <w:rPr>
                <w:color w:val="auto"/>
                <w:sz w:val="18"/>
                <w:szCs w:val="18"/>
              </w:rPr>
            </w:pPr>
            <w:r>
              <w:rPr>
                <w:color w:val="auto"/>
                <w:sz w:val="18"/>
                <w:szCs w:val="18"/>
              </w:rPr>
              <w:t>埋置深度d﹙m﹚</w:t>
            </w:r>
          </w:p>
        </w:tc>
        <w:tc>
          <w:tcPr>
            <w:tcW w:w="4414" w:type="dxa"/>
            <w:noWrap w:val="0"/>
            <w:vAlign w:val="top"/>
          </w:tcPr>
          <w:p w14:paraId="4E05D2B0">
            <w:pPr>
              <w:jc w:val="center"/>
              <w:rPr>
                <w:color w:val="auto"/>
                <w:sz w:val="18"/>
                <w:szCs w:val="18"/>
              </w:rPr>
            </w:pPr>
            <w:r>
              <w:rPr>
                <w:color w:val="auto"/>
                <w:sz w:val="18"/>
                <w:szCs w:val="18"/>
              </w:rPr>
              <w:t>设计抗渗等级</w:t>
            </w:r>
          </w:p>
        </w:tc>
      </w:tr>
      <w:tr w14:paraId="3D26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08" w:type="dxa"/>
            <w:noWrap w:val="0"/>
            <w:vAlign w:val="top"/>
          </w:tcPr>
          <w:p w14:paraId="4A72AD2F">
            <w:pPr>
              <w:jc w:val="center"/>
              <w:rPr>
                <w:color w:val="auto"/>
                <w:sz w:val="18"/>
                <w:szCs w:val="18"/>
              </w:rPr>
            </w:pPr>
            <w:r>
              <w:rPr>
                <w:color w:val="auto"/>
                <w:sz w:val="18"/>
                <w:szCs w:val="18"/>
              </w:rPr>
              <w:t>d＜10</w:t>
            </w:r>
          </w:p>
        </w:tc>
        <w:tc>
          <w:tcPr>
            <w:tcW w:w="4414" w:type="dxa"/>
            <w:noWrap w:val="0"/>
            <w:vAlign w:val="top"/>
          </w:tcPr>
          <w:p w14:paraId="5F899C59">
            <w:pPr>
              <w:jc w:val="center"/>
              <w:rPr>
                <w:color w:val="auto"/>
                <w:sz w:val="18"/>
                <w:szCs w:val="18"/>
              </w:rPr>
            </w:pPr>
            <w:r>
              <w:rPr>
                <w:color w:val="auto"/>
                <w:sz w:val="18"/>
                <w:szCs w:val="18"/>
              </w:rPr>
              <w:t>P6</w:t>
            </w:r>
          </w:p>
        </w:tc>
      </w:tr>
      <w:tr w14:paraId="7692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08" w:type="dxa"/>
            <w:noWrap w:val="0"/>
            <w:vAlign w:val="top"/>
          </w:tcPr>
          <w:p w14:paraId="41673EA9">
            <w:pPr>
              <w:jc w:val="center"/>
              <w:rPr>
                <w:color w:val="auto"/>
                <w:sz w:val="18"/>
                <w:szCs w:val="18"/>
              </w:rPr>
            </w:pPr>
            <w:r>
              <w:rPr>
                <w:color w:val="auto"/>
                <w:sz w:val="18"/>
                <w:szCs w:val="18"/>
              </w:rPr>
              <w:t>10≤d＜20</w:t>
            </w:r>
          </w:p>
        </w:tc>
        <w:tc>
          <w:tcPr>
            <w:tcW w:w="4414" w:type="dxa"/>
            <w:noWrap w:val="0"/>
            <w:vAlign w:val="top"/>
          </w:tcPr>
          <w:p w14:paraId="586E70C0">
            <w:pPr>
              <w:jc w:val="center"/>
              <w:rPr>
                <w:color w:val="auto"/>
                <w:sz w:val="18"/>
                <w:szCs w:val="18"/>
              </w:rPr>
            </w:pPr>
            <w:r>
              <w:rPr>
                <w:color w:val="auto"/>
                <w:sz w:val="18"/>
                <w:szCs w:val="18"/>
              </w:rPr>
              <w:t>P8</w:t>
            </w:r>
          </w:p>
        </w:tc>
      </w:tr>
      <w:tr w14:paraId="61F6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08" w:type="dxa"/>
            <w:noWrap w:val="0"/>
            <w:vAlign w:val="top"/>
          </w:tcPr>
          <w:p w14:paraId="46E4CC07">
            <w:pPr>
              <w:jc w:val="center"/>
              <w:rPr>
                <w:color w:val="auto"/>
                <w:sz w:val="18"/>
                <w:szCs w:val="18"/>
              </w:rPr>
            </w:pPr>
            <w:r>
              <w:rPr>
                <w:color w:val="auto"/>
                <w:sz w:val="18"/>
                <w:szCs w:val="18"/>
              </w:rPr>
              <w:t>20≤d＜30</w:t>
            </w:r>
          </w:p>
        </w:tc>
        <w:tc>
          <w:tcPr>
            <w:tcW w:w="4414" w:type="dxa"/>
            <w:noWrap w:val="0"/>
            <w:vAlign w:val="top"/>
          </w:tcPr>
          <w:p w14:paraId="2534F583">
            <w:pPr>
              <w:jc w:val="center"/>
              <w:rPr>
                <w:color w:val="auto"/>
                <w:sz w:val="18"/>
                <w:szCs w:val="18"/>
              </w:rPr>
            </w:pPr>
            <w:r>
              <w:rPr>
                <w:color w:val="auto"/>
                <w:sz w:val="18"/>
                <w:szCs w:val="18"/>
              </w:rPr>
              <w:t>P10</w:t>
            </w:r>
          </w:p>
        </w:tc>
      </w:tr>
      <w:tr w14:paraId="7B31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08" w:type="dxa"/>
            <w:noWrap w:val="0"/>
            <w:vAlign w:val="top"/>
          </w:tcPr>
          <w:p w14:paraId="40D6B49E">
            <w:pPr>
              <w:jc w:val="center"/>
              <w:rPr>
                <w:color w:val="auto"/>
                <w:sz w:val="18"/>
                <w:szCs w:val="18"/>
              </w:rPr>
            </w:pPr>
            <w:r>
              <w:rPr>
                <w:color w:val="auto"/>
                <w:sz w:val="18"/>
                <w:szCs w:val="18"/>
              </w:rPr>
              <w:t>30≤d</w:t>
            </w:r>
          </w:p>
        </w:tc>
        <w:tc>
          <w:tcPr>
            <w:tcW w:w="4414" w:type="dxa"/>
            <w:noWrap w:val="0"/>
            <w:vAlign w:val="top"/>
          </w:tcPr>
          <w:p w14:paraId="12404E21">
            <w:pPr>
              <w:jc w:val="center"/>
              <w:rPr>
                <w:color w:val="auto"/>
                <w:sz w:val="18"/>
                <w:szCs w:val="18"/>
              </w:rPr>
            </w:pPr>
            <w:r>
              <w:rPr>
                <w:color w:val="auto"/>
                <w:sz w:val="18"/>
                <w:szCs w:val="18"/>
              </w:rPr>
              <w:t>P12</w:t>
            </w:r>
          </w:p>
        </w:tc>
      </w:tr>
    </w:tbl>
    <w:p w14:paraId="1D0AD915">
      <w:pPr>
        <w:snapToGrid w:val="0"/>
        <w:spacing w:line="340" w:lineRule="atLeast"/>
        <w:rPr>
          <w:color w:val="auto"/>
        </w:rPr>
      </w:pPr>
      <w:r>
        <w:rPr>
          <w:b/>
          <w:color w:val="auto"/>
        </w:rPr>
        <w:t>13.3.4</w:t>
      </w:r>
      <w:r>
        <w:rPr>
          <w:color w:val="auto"/>
        </w:rPr>
        <w:t xml:space="preserve">  筏形基础底面的压力，偏心荷载作用时，当偏心距e﹥b/6，出现Pmin负值的情况时，筏板悬臂部分下的地基土有可能与悬臂板脱开，悬臂板由于土和板自重引起正向弯曲，应在悬臂板上部增加配筋。对于高层建筑的筏形基础，要求Pmin≥0，不允许出现脱开情况。</w:t>
      </w:r>
    </w:p>
    <w:p w14:paraId="3C684F44">
      <w:pPr>
        <w:snapToGrid w:val="0"/>
        <w:spacing w:line="340" w:lineRule="atLeast"/>
        <w:rPr>
          <w:color w:val="auto"/>
        </w:rPr>
      </w:pPr>
      <w:r>
        <w:rPr>
          <w:b/>
          <w:color w:val="auto"/>
        </w:rPr>
        <w:t>13.3.5~13.3.9</w:t>
      </w:r>
      <w:r>
        <w:rPr>
          <w:color w:val="auto"/>
        </w:rPr>
        <w:t xml:space="preserve">  应该注意的是地基土反力应采用设计值。</w:t>
      </w:r>
    </w:p>
    <w:p w14:paraId="639CC199">
      <w:pPr>
        <w:snapToGrid w:val="0"/>
        <w:spacing w:line="340" w:lineRule="atLeast"/>
        <w:rPr>
          <w:color w:val="auto"/>
        </w:rPr>
      </w:pPr>
      <w:r>
        <w:rPr>
          <w:b/>
          <w:color w:val="auto"/>
        </w:rPr>
        <w:t>13.3.15</w:t>
      </w:r>
      <w:r>
        <w:rPr>
          <w:color w:val="auto"/>
        </w:rPr>
        <w:t xml:space="preserve">  </w:t>
      </w:r>
      <w:r>
        <w:rPr>
          <w:i/>
          <w:color w:val="auto"/>
        </w:rPr>
        <w:t>L</w:t>
      </w:r>
      <w:r>
        <w:rPr>
          <w:i/>
          <w:color w:val="auto"/>
          <w:vertAlign w:val="subscript"/>
        </w:rPr>
        <w:t>0</w:t>
      </w:r>
      <w:r>
        <w:rPr>
          <w:color w:val="auto"/>
        </w:rPr>
        <w:t>/h＜5.0的简支钢筋混凝土单跨梁或多跨连续梁按深受弯构件设计。其中</w:t>
      </w:r>
      <w:r>
        <w:rPr>
          <w:i/>
          <w:color w:val="auto"/>
        </w:rPr>
        <w:t>L</w:t>
      </w:r>
      <w:r>
        <w:rPr>
          <w:i/>
          <w:color w:val="auto"/>
          <w:vertAlign w:val="subscript"/>
        </w:rPr>
        <w:t>0</w:t>
      </w:r>
      <w:r>
        <w:rPr>
          <w:color w:val="auto"/>
        </w:rPr>
        <w:t>/h≤2的简支钢筋混凝土单跨梁和</w:t>
      </w:r>
      <w:r>
        <w:rPr>
          <w:i/>
          <w:color w:val="auto"/>
        </w:rPr>
        <w:t>L</w:t>
      </w:r>
      <w:r>
        <w:rPr>
          <w:i/>
          <w:color w:val="auto"/>
          <w:vertAlign w:val="subscript"/>
        </w:rPr>
        <w:t>0</w:t>
      </w:r>
      <w:r>
        <w:rPr>
          <w:color w:val="auto"/>
        </w:rPr>
        <w:t>/h≤2.5的简支钢筋混凝土多跨连续梁称为深梁。计算方法和构造要求，应符合GB/T</w:t>
      </w:r>
      <w:r>
        <w:rPr>
          <w:rFonts w:hint="eastAsia"/>
          <w:color w:val="auto"/>
          <w:lang w:val="en-US" w:eastAsia="zh-CN"/>
        </w:rPr>
        <w:t xml:space="preserve"> </w:t>
      </w:r>
      <w:r>
        <w:rPr>
          <w:color w:val="auto"/>
        </w:rPr>
        <w:t>50010的有关规定。</w:t>
      </w:r>
    </w:p>
    <w:p w14:paraId="798E1DD5">
      <w:pPr>
        <w:snapToGrid w:val="0"/>
        <w:spacing w:line="340" w:lineRule="atLeast"/>
        <w:rPr>
          <w:color w:val="auto"/>
        </w:rPr>
      </w:pPr>
      <w:r>
        <w:rPr>
          <w:b/>
          <w:color w:val="auto"/>
        </w:rPr>
        <w:t xml:space="preserve">13.3.17 </w:t>
      </w:r>
      <w:r>
        <w:rPr>
          <w:color w:val="auto"/>
        </w:rPr>
        <w:t xml:space="preserve"> 试验表明，当高层建筑与相连的裙房之间不设沉降缝和后浇带时，高层建筑的荷载通过裙房基础扩散，使裙房基础下地基反力相对较大，因此本条提出高层建筑与其紧邻一跨的裙房筏板应采用相同厚度。高层建筑连同紧邻一跨的裙房其变形相当均匀，因此，当需要设置后浇带时，后浇带宜设在与高层建筑相邻裙房的第一跨内。当满足本条规定的条件时，后浇带可设在第二跨内。</w:t>
      </w:r>
    </w:p>
    <w:p w14:paraId="1E6CFE71">
      <w:pPr>
        <w:snapToGrid w:val="0"/>
        <w:spacing w:line="340" w:lineRule="atLeast"/>
        <w:rPr>
          <w:color w:val="auto"/>
        </w:rPr>
      </w:pPr>
      <w:r>
        <w:rPr>
          <w:b/>
          <w:color w:val="auto"/>
        </w:rPr>
        <w:t>13.3.24</w:t>
      </w:r>
      <w:r>
        <w:rPr>
          <w:color w:val="auto"/>
        </w:rPr>
        <w:t xml:space="preserve">  桩与筏板共同分担建筑物荷载是客观存在，当采用摩擦型桩的桩筏基础，在施工初期，由于上部结构整体刚度尚未形成，此时的上部荷载主要由筏底桩间土来承担，随着上部楼层施工的进展，上部结构整体刚度逐渐形成，此时所增加的上部荷载渐次从基底土转为由桩来承担。</w:t>
      </w:r>
    </w:p>
    <w:p w14:paraId="5CDBD056">
      <w:pPr>
        <w:pStyle w:val="77"/>
        <w:rPr>
          <w:color w:val="auto"/>
        </w:rPr>
      </w:pPr>
      <w:bookmarkStart w:id="203" w:name="_Toc182499017"/>
      <w:r>
        <w:rPr>
          <w:color w:val="auto"/>
        </w:rPr>
        <w:t>13.4  地下室设计</w:t>
      </w:r>
      <w:bookmarkEnd w:id="203"/>
    </w:p>
    <w:p w14:paraId="4F604C0E">
      <w:pPr>
        <w:snapToGrid w:val="0"/>
        <w:spacing w:line="340" w:lineRule="atLeast"/>
        <w:rPr>
          <w:color w:val="auto"/>
          <w:lang w:val="en-GB"/>
        </w:rPr>
      </w:pPr>
      <w:r>
        <w:rPr>
          <w:b/>
          <w:color w:val="auto"/>
        </w:rPr>
        <w:t>13.4.1</w:t>
      </w:r>
      <w:r>
        <w:rPr>
          <w:color w:val="auto"/>
          <w:lang w:val="en-GB"/>
        </w:rPr>
        <w:t xml:space="preserve">  本条给出</w:t>
      </w:r>
      <w:r>
        <w:rPr>
          <w:rFonts w:hint="eastAsia"/>
          <w:color w:val="auto"/>
          <w:lang w:val="en-GB"/>
        </w:rPr>
        <w:t>了</w:t>
      </w:r>
      <w:r>
        <w:rPr>
          <w:color w:val="auto"/>
          <w:lang w:val="en-GB"/>
        </w:rPr>
        <w:t>后浇带构造示意图，地下室外墙的后浇带构造，</w:t>
      </w:r>
      <w:r>
        <w:rPr>
          <w:rFonts w:hint="eastAsia"/>
          <w:color w:val="auto"/>
          <w:lang w:val="en-GB"/>
        </w:rPr>
        <w:t>应符合相关标准的要求</w:t>
      </w:r>
      <w:r>
        <w:rPr>
          <w:color w:val="auto"/>
          <w:lang w:val="en-GB"/>
        </w:rPr>
        <w:t>。</w:t>
      </w:r>
    </w:p>
    <w:p w14:paraId="5E657F1E">
      <w:pPr>
        <w:snapToGrid w:val="0"/>
        <w:spacing w:line="340" w:lineRule="atLeast"/>
        <w:rPr>
          <w:color w:val="auto"/>
          <w:lang w:val="en-GB"/>
        </w:rPr>
      </w:pPr>
      <w:r>
        <w:rPr>
          <w:b/>
          <w:color w:val="auto"/>
        </w:rPr>
        <w:t>13.4.2</w:t>
      </w:r>
      <w:r>
        <w:rPr>
          <w:color w:val="auto"/>
          <w:lang w:val="en-GB"/>
        </w:rPr>
        <w:t xml:space="preserve">  所谓大洞口，是指直径或边长超过1/3建筑物宽度的洞口。当开设的洞口虽然不是大洞口，但其尺寸影响水平</w:t>
      </w:r>
      <w:r>
        <w:rPr>
          <w:rFonts w:hint="eastAsia"/>
          <w:color w:val="auto"/>
          <w:lang w:val="en-GB"/>
        </w:rPr>
        <w:t>力</w:t>
      </w:r>
      <w:r>
        <w:rPr>
          <w:color w:val="auto"/>
          <w:lang w:val="en-GB"/>
        </w:rPr>
        <w:t>传递时，应采取相应的结构措施，如加大洞口四周的板厚，或在洞口周边设梁。</w:t>
      </w:r>
    </w:p>
    <w:p w14:paraId="6DF3E019">
      <w:pPr>
        <w:snapToGrid w:val="0"/>
        <w:spacing w:line="340" w:lineRule="atLeast"/>
        <w:rPr>
          <w:color w:val="auto"/>
          <w:lang w:val="en-GB"/>
        </w:rPr>
      </w:pPr>
      <w:r>
        <w:rPr>
          <w:b/>
          <w:color w:val="auto"/>
        </w:rPr>
        <w:t>13.4.5</w:t>
      </w:r>
      <w:r>
        <w:rPr>
          <w:color w:val="auto"/>
          <w:lang w:val="en-GB"/>
        </w:rPr>
        <w:t xml:space="preserve">  已建工程地下室外墙裂缝的统计资料表明，地下室外墙裂缝大部分是垂直裂缝。外墙水平筋按照细而密的原则布置在竖向筋的外</w:t>
      </w:r>
      <w:r>
        <w:rPr>
          <w:rFonts w:hint="eastAsia"/>
          <w:color w:val="auto"/>
          <w:lang w:val="en-GB"/>
        </w:rPr>
        <w:t>侧</w:t>
      </w:r>
      <w:r>
        <w:rPr>
          <w:color w:val="auto"/>
          <w:lang w:val="en-GB"/>
        </w:rPr>
        <w:t>是控制垂直裂缝的措施之一。</w:t>
      </w:r>
    </w:p>
    <w:p w14:paraId="20A30DDE">
      <w:pPr>
        <w:snapToGrid w:val="0"/>
        <w:spacing w:line="340" w:lineRule="atLeast"/>
        <w:rPr>
          <w:color w:val="auto"/>
          <w:lang w:val="en-GB"/>
        </w:rPr>
      </w:pPr>
      <w:r>
        <w:rPr>
          <w:b/>
          <w:color w:val="auto"/>
        </w:rPr>
        <w:t>13.4.7</w:t>
      </w:r>
      <w:r>
        <w:rPr>
          <w:color w:val="auto"/>
          <w:lang w:val="en-GB"/>
        </w:rPr>
        <w:t xml:space="preserve">  当地下室外墙外侧存在地连墙或护坡桩时，土压力可以考虑护坡桩的作用进行折减，折减系数由设计人员根据支护结构的水平刚度及完好程度确定，地下连续墙、大直径混凝土护坡桩，折减系数可取0.5~0.7，较小直径混凝土护坡桩、粉喷桩或搅拌桩重力式挡墙，折减系数可取0.8~0.9。</w:t>
      </w:r>
      <w:r>
        <w:rPr>
          <w:rFonts w:hint="eastAsia"/>
          <w:color w:val="auto"/>
          <w:lang w:val="en-GB"/>
        </w:rPr>
        <w:t>水土分算时，水压力不应折减。</w:t>
      </w:r>
    </w:p>
    <w:p w14:paraId="528221A4">
      <w:pPr>
        <w:snapToGrid w:val="0"/>
        <w:spacing w:line="340" w:lineRule="atLeast"/>
        <w:rPr>
          <w:color w:val="auto"/>
          <w:lang w:val="en-GB"/>
        </w:rPr>
      </w:pPr>
      <w:r>
        <w:rPr>
          <w:b/>
          <w:color w:val="auto"/>
        </w:rPr>
        <w:t>13.4.</w:t>
      </w:r>
      <w:r>
        <w:rPr>
          <w:rFonts w:hint="eastAsia"/>
          <w:b/>
          <w:color w:val="auto"/>
        </w:rPr>
        <w:t>8</w:t>
      </w:r>
      <w:r>
        <w:rPr>
          <w:color w:val="auto"/>
          <w:lang w:val="en-GB"/>
        </w:rPr>
        <w:t xml:space="preserve">  当地下室层数较多时，地下二层及以下各层地下室外墙的水平侧压力很大，设计时应考虑其对地下室水平构件的轴力影响。</w:t>
      </w:r>
    </w:p>
    <w:p w14:paraId="40D1EF05">
      <w:pPr>
        <w:pStyle w:val="77"/>
        <w:rPr>
          <w:color w:val="auto"/>
        </w:rPr>
      </w:pPr>
      <w:bookmarkStart w:id="204" w:name="_Toc182499018"/>
      <w:r>
        <w:rPr>
          <w:color w:val="auto"/>
        </w:rPr>
        <w:t>13.5  地下建筑物抗浮设计</w:t>
      </w:r>
      <w:bookmarkEnd w:id="204"/>
    </w:p>
    <w:p w14:paraId="5982AE1E">
      <w:pPr>
        <w:snapToGrid w:val="0"/>
        <w:spacing w:line="340" w:lineRule="atLeast"/>
        <w:rPr>
          <w:color w:val="auto"/>
          <w:szCs w:val="21"/>
        </w:rPr>
      </w:pPr>
      <w:r>
        <w:rPr>
          <w:b/>
          <w:color w:val="auto"/>
          <w:szCs w:val="21"/>
        </w:rPr>
        <w:t>13.5.1</w:t>
      </w:r>
      <w:r>
        <w:rPr>
          <w:color w:val="auto"/>
          <w:szCs w:val="21"/>
        </w:rPr>
        <w:t xml:space="preserve">  地下建筑物的浮起不仅是地下水的浮力作用，在基坑回填土未夯实的情况下或地下室周边为富含水的深厚杂填土等透水土层，在雨水等地面水的长期作用下，地下建筑物常发生浮起、结构损坏的事故，因此地下建筑物均应进行抗浮验算。</w:t>
      </w:r>
    </w:p>
    <w:p w14:paraId="157F4DA1">
      <w:pPr>
        <w:snapToGrid w:val="0"/>
        <w:spacing w:line="340" w:lineRule="atLeast"/>
        <w:ind w:firstLine="420" w:firstLineChars="200"/>
        <w:rPr>
          <w:color w:val="auto"/>
          <w:szCs w:val="21"/>
        </w:rPr>
      </w:pPr>
      <w:r>
        <w:rPr>
          <w:color w:val="auto"/>
          <w:szCs w:val="21"/>
        </w:rPr>
        <w:t>首先应对地下建筑物在抗浮设计水位作用下会不会浮起进行稳定性验算。稳定性包括整体稳定和局部稳定，地下建筑物往往会发生局部浮起，因此应特别注意局部稳定性的验算。在地下建筑物稳定性得到保证的前提下，再对地下室底板及外墙等构件进行强度和抗裂验算。</w:t>
      </w:r>
    </w:p>
    <w:p w14:paraId="0BE68747">
      <w:pPr>
        <w:snapToGrid w:val="0"/>
        <w:spacing w:line="340" w:lineRule="atLeast"/>
        <w:rPr>
          <w:color w:val="auto"/>
          <w:szCs w:val="21"/>
        </w:rPr>
      </w:pPr>
      <w:r>
        <w:rPr>
          <w:b/>
          <w:color w:val="auto"/>
          <w:szCs w:val="21"/>
        </w:rPr>
        <w:t>13.5.2</w:t>
      </w:r>
      <w:r>
        <w:rPr>
          <w:color w:val="auto"/>
          <w:szCs w:val="21"/>
        </w:rPr>
        <w:t xml:space="preserve">  当地下建筑物埋于相对隔水层，地下水最高水位低于基底标高，考虑地下建筑物处于地面水及地下水的长期作用，如采取可靠措施能同时满足本条规定的八个条件，可靠阻断上层滞水渗入基底时，方可不考虑上层滞水水浮力作用。</w:t>
      </w:r>
    </w:p>
    <w:p w14:paraId="432C29C3">
      <w:pPr>
        <w:snapToGrid w:val="0"/>
        <w:spacing w:line="340" w:lineRule="atLeast"/>
        <w:ind w:firstLine="420" w:firstLineChars="200"/>
        <w:rPr>
          <w:color w:val="auto"/>
          <w:szCs w:val="21"/>
        </w:rPr>
      </w:pPr>
      <w:r>
        <w:rPr>
          <w:color w:val="auto"/>
          <w:szCs w:val="21"/>
        </w:rPr>
        <w:t>当地下室周边有薄层杂填土、砂类土等透水层，可采取换填措施隔断地面水和地下水，换填的范围不小于基</w:t>
      </w:r>
      <w:r>
        <w:rPr>
          <w:rFonts w:hint="eastAsia"/>
          <w:color w:val="auto"/>
          <w:szCs w:val="21"/>
        </w:rPr>
        <w:t>坑</w:t>
      </w:r>
      <w:r>
        <w:rPr>
          <w:color w:val="auto"/>
          <w:szCs w:val="21"/>
        </w:rPr>
        <w:t>回填土外2m，换填深度应</w:t>
      </w:r>
      <w:r>
        <w:rPr>
          <w:rFonts w:hint="eastAsia"/>
          <w:color w:val="auto"/>
          <w:szCs w:val="21"/>
        </w:rPr>
        <w:t>进入</w:t>
      </w:r>
      <w:r>
        <w:rPr>
          <w:color w:val="auto"/>
          <w:szCs w:val="21"/>
        </w:rPr>
        <w:t>相对隔水层顶面以下</w:t>
      </w:r>
      <w:r>
        <w:rPr>
          <w:rFonts w:hint="eastAsia"/>
          <w:color w:val="auto"/>
          <w:szCs w:val="21"/>
        </w:rPr>
        <w:t>不少于</w:t>
      </w:r>
      <w:r>
        <w:rPr>
          <w:color w:val="auto"/>
          <w:szCs w:val="21"/>
        </w:rPr>
        <w:t>0.5m。</w:t>
      </w:r>
    </w:p>
    <w:p w14:paraId="5834C7C7">
      <w:pPr>
        <w:snapToGrid w:val="0"/>
        <w:spacing w:line="340" w:lineRule="atLeast"/>
        <w:rPr>
          <w:color w:val="auto"/>
          <w:szCs w:val="21"/>
        </w:rPr>
      </w:pPr>
      <w:r>
        <w:rPr>
          <w:b/>
          <w:color w:val="auto"/>
          <w:szCs w:val="21"/>
        </w:rPr>
        <w:t>13.5.3</w:t>
      </w:r>
      <w:r>
        <w:rPr>
          <w:color w:val="auto"/>
          <w:szCs w:val="21"/>
        </w:rPr>
        <w:t xml:space="preserve">  抗浮设计水位的确定是抗浮设计的首要条件。由于地下建筑物一旦浮起，将难以修复，因此对甲、乙级设计等级建筑物，不仅要考虑设计</w:t>
      </w:r>
      <w:r>
        <w:rPr>
          <w:rFonts w:hint="eastAsia"/>
          <w:color w:val="auto"/>
          <w:szCs w:val="21"/>
        </w:rPr>
        <w:t>工作</w:t>
      </w:r>
      <w:r>
        <w:rPr>
          <w:color w:val="auto"/>
          <w:szCs w:val="21"/>
        </w:rPr>
        <w:t>年限中的安全，尚应考虑建筑物使用寿命内的安全，抗浮设计水位应取历史最高水位。</w:t>
      </w:r>
    </w:p>
    <w:p w14:paraId="6CAB72B4">
      <w:pPr>
        <w:snapToGrid w:val="0"/>
        <w:spacing w:line="340" w:lineRule="atLeast"/>
        <w:ind w:firstLine="420" w:firstLineChars="200"/>
        <w:rPr>
          <w:color w:val="auto"/>
          <w:szCs w:val="21"/>
        </w:rPr>
      </w:pPr>
      <w:r>
        <w:rPr>
          <w:color w:val="auto"/>
          <w:szCs w:val="21"/>
        </w:rPr>
        <w:t>由于上层滞水及地面水有可能采取隔断措施，而潜水、承压水、岩溶水等地下水隔断困难，不同性质地下水的抗浮措施不同，因此必须分别提出与抗浮设计有关的上层滞水、承压水、潜水、岩溶水、裂隙水等不同性质地下水的抗浮设计水位，不能混为一谈。</w:t>
      </w:r>
    </w:p>
    <w:p w14:paraId="42C62D71">
      <w:pPr>
        <w:snapToGrid w:val="0"/>
        <w:spacing w:line="340" w:lineRule="atLeast"/>
        <w:ind w:firstLine="420" w:firstLineChars="200"/>
        <w:rPr>
          <w:color w:val="auto"/>
          <w:szCs w:val="21"/>
        </w:rPr>
      </w:pPr>
      <w:r>
        <w:rPr>
          <w:color w:val="auto"/>
          <w:szCs w:val="21"/>
        </w:rPr>
        <w:t>上层滞水水位变化无常，且不可能获取上层滞水的历史最高水位，因此宜取地下建筑物使用阶段地面标高为上层滞水抗浮设计水位。对</w:t>
      </w:r>
      <w:r>
        <w:rPr>
          <w:rFonts w:hint="eastAsia"/>
          <w:color w:val="auto"/>
          <w:szCs w:val="21"/>
        </w:rPr>
        <w:t>地下建筑物处于较长斜坡上的情况，可分段取最不利标高作为上层滞水抗浮设计水位。</w:t>
      </w:r>
      <w:r>
        <w:rPr>
          <w:color w:val="auto"/>
          <w:szCs w:val="21"/>
        </w:rPr>
        <w:t>当地面有长期渍水的可能时，尚应考虑渍水的影响。</w:t>
      </w:r>
    </w:p>
    <w:p w14:paraId="1074B20D">
      <w:pPr>
        <w:snapToGrid w:val="0"/>
        <w:spacing w:line="340" w:lineRule="atLeast"/>
        <w:ind w:firstLine="420" w:firstLineChars="200"/>
        <w:rPr>
          <w:color w:val="auto"/>
          <w:szCs w:val="21"/>
        </w:rPr>
      </w:pPr>
      <w:r>
        <w:rPr>
          <w:color w:val="auto"/>
          <w:szCs w:val="21"/>
        </w:rPr>
        <w:t>当地下建筑物基底以下为相对隔水层，下部赋存承压水，当承压水最高水位高于基底标高，考虑地质钻孔等封闭不严及沿桩周渗水等因素，承压水有可能进入地下建筑物基底，因此不宜考虑隔水层的隔水作用。当采取可靠阻隔承压水的措施后，方可考虑隔水层的隔水作用。</w:t>
      </w:r>
    </w:p>
    <w:p w14:paraId="1B55D656">
      <w:pPr>
        <w:snapToGrid w:val="0"/>
        <w:spacing w:line="340" w:lineRule="atLeast"/>
        <w:ind w:firstLine="420" w:firstLineChars="200"/>
        <w:rPr>
          <w:color w:val="auto"/>
          <w:szCs w:val="21"/>
        </w:rPr>
      </w:pPr>
      <w:r>
        <w:rPr>
          <w:color w:val="auto"/>
          <w:szCs w:val="21"/>
        </w:rPr>
        <w:t>对紧邻江河、湖泊一级阶地的地下建筑物，承压水的标高与江河、湖泊水位紧密相关，据荆州大堤荆州段及洪湖段承压水位的长期观测结果表明，距长江不同距离的承压水位与长江水位的关系如下式：</w:t>
      </w:r>
    </w:p>
    <w:p w14:paraId="3593F9CB">
      <w:pPr>
        <w:snapToGrid w:val="0"/>
        <w:spacing w:line="340" w:lineRule="atLeast"/>
        <w:jc w:val="center"/>
        <w:rPr>
          <w:color w:val="auto"/>
          <w:szCs w:val="21"/>
        </w:rPr>
      </w:pPr>
      <w:r>
        <w:rPr>
          <w:i/>
          <w:color w:val="auto"/>
          <w:szCs w:val="21"/>
        </w:rPr>
        <w:t>Y</w:t>
      </w:r>
      <w:r>
        <w:rPr>
          <w:color w:val="auto"/>
          <w:szCs w:val="21"/>
        </w:rPr>
        <w:t>=</w:t>
      </w:r>
      <w:r>
        <w:rPr>
          <w:i/>
          <w:color w:val="auto"/>
          <w:szCs w:val="21"/>
        </w:rPr>
        <w:t>Ae</w:t>
      </w:r>
      <w:r>
        <w:rPr>
          <w:color w:val="auto"/>
          <w:szCs w:val="21"/>
          <w:vertAlign w:val="superscript"/>
        </w:rPr>
        <w:t>-</w:t>
      </w:r>
      <w:r>
        <w:rPr>
          <w:i/>
          <w:color w:val="auto"/>
          <w:szCs w:val="21"/>
          <w:vertAlign w:val="superscript"/>
        </w:rPr>
        <w:t>ax</w:t>
      </w:r>
    </w:p>
    <w:p w14:paraId="3E0E3A5E">
      <w:pPr>
        <w:snapToGrid w:val="0"/>
        <w:spacing w:line="340" w:lineRule="atLeast"/>
        <w:rPr>
          <w:color w:val="auto"/>
          <w:szCs w:val="21"/>
        </w:rPr>
      </w:pPr>
      <w:r>
        <w:rPr>
          <w:color w:val="auto"/>
          <w:szCs w:val="21"/>
        </w:rPr>
        <w:t xml:space="preserve">式中  </w:t>
      </w:r>
      <w:r>
        <w:rPr>
          <w:i/>
          <w:color w:val="auto"/>
          <w:szCs w:val="21"/>
        </w:rPr>
        <w:t>Y</w:t>
      </w:r>
      <w:r>
        <w:rPr>
          <w:color w:val="auto"/>
          <w:szCs w:val="21"/>
        </w:rPr>
        <w:t>——距长江边某点承压水位</w:t>
      </w:r>
    </w:p>
    <w:p w14:paraId="69828C30">
      <w:pPr>
        <w:snapToGrid w:val="0"/>
        <w:spacing w:line="340" w:lineRule="atLeast"/>
        <w:ind w:firstLine="600" w:firstLineChars="286"/>
        <w:rPr>
          <w:color w:val="auto"/>
          <w:szCs w:val="21"/>
        </w:rPr>
      </w:pPr>
      <w:r>
        <w:rPr>
          <w:i/>
          <w:color w:val="auto"/>
          <w:szCs w:val="21"/>
        </w:rPr>
        <w:t>A</w:t>
      </w:r>
      <w:r>
        <w:rPr>
          <w:color w:val="auto"/>
          <w:szCs w:val="21"/>
        </w:rPr>
        <w:t>——长江水位</w:t>
      </w:r>
    </w:p>
    <w:p w14:paraId="2BFC11DE">
      <w:pPr>
        <w:snapToGrid w:val="0"/>
        <w:spacing w:line="340" w:lineRule="atLeast"/>
        <w:ind w:firstLine="600" w:firstLineChars="286"/>
        <w:rPr>
          <w:color w:val="auto"/>
          <w:szCs w:val="21"/>
        </w:rPr>
      </w:pPr>
      <w:r>
        <w:rPr>
          <w:i/>
          <w:color w:val="auto"/>
          <w:szCs w:val="21"/>
        </w:rPr>
        <w:t>X</w:t>
      </w:r>
      <w:r>
        <w:rPr>
          <w:color w:val="auto"/>
          <w:szCs w:val="21"/>
        </w:rPr>
        <w:t>——某点距长江边距离</w:t>
      </w:r>
    </w:p>
    <w:p w14:paraId="1764E2D7">
      <w:pPr>
        <w:snapToGrid w:val="0"/>
        <w:spacing w:line="340" w:lineRule="atLeast"/>
        <w:ind w:left="1176" w:leftChars="300" w:hanging="546" w:hangingChars="260"/>
        <w:rPr>
          <w:color w:val="auto"/>
          <w:szCs w:val="21"/>
        </w:rPr>
      </w:pPr>
      <w:r>
        <w:rPr>
          <w:i/>
          <w:color w:val="auto"/>
          <w:szCs w:val="21"/>
        </w:rPr>
        <w:t>a</w:t>
      </w:r>
      <w:r>
        <w:rPr>
          <w:color w:val="auto"/>
          <w:szCs w:val="21"/>
        </w:rPr>
        <w:t>——衰减指数，荆州0.00011~0.00041，均值0.00023，国家点0.00026；江陵0.00014；洪湖0.00012~0.00030。</w:t>
      </w:r>
    </w:p>
    <w:p w14:paraId="53CBD56D">
      <w:pPr>
        <w:snapToGrid w:val="0"/>
        <w:spacing w:line="340" w:lineRule="atLeast"/>
        <w:ind w:firstLine="420" w:firstLineChars="200"/>
        <w:rPr>
          <w:color w:val="auto"/>
          <w:szCs w:val="21"/>
        </w:rPr>
      </w:pPr>
      <w:r>
        <w:rPr>
          <w:color w:val="auto"/>
          <w:szCs w:val="21"/>
        </w:rPr>
        <w:t>经计算承压水头坡降基本呈线性变化，坡降率为：3‰～10‰，国家点为：7.8‰。</w:t>
      </w:r>
    </w:p>
    <w:p w14:paraId="37716D37">
      <w:pPr>
        <w:snapToGrid w:val="0"/>
        <w:spacing w:line="340" w:lineRule="atLeast"/>
        <w:ind w:firstLine="420" w:firstLineChars="200"/>
        <w:rPr>
          <w:color w:val="auto"/>
          <w:szCs w:val="21"/>
        </w:rPr>
      </w:pPr>
      <w:r>
        <w:rPr>
          <w:color w:val="auto"/>
          <w:szCs w:val="21"/>
        </w:rPr>
        <w:t>武汉长江紫都楼盘两年观测结果承压水头坡降率约为：5‰～10‰。</w:t>
      </w:r>
    </w:p>
    <w:p w14:paraId="4126B6EA">
      <w:pPr>
        <w:snapToGrid w:val="0"/>
        <w:spacing w:line="340" w:lineRule="atLeast"/>
        <w:ind w:firstLine="420" w:firstLineChars="200"/>
        <w:rPr>
          <w:color w:val="auto"/>
          <w:szCs w:val="21"/>
        </w:rPr>
      </w:pPr>
      <w:r>
        <w:rPr>
          <w:color w:val="auto"/>
          <w:szCs w:val="21"/>
        </w:rPr>
        <w:t>三峡蓄洪后2000年~2011年12年间汉口站长江最高水位为25.62m（黄海高程），最低水位11.50m，最高水位超过长江警戒水位25.21m。长江历史最高水位为27.64m。</w:t>
      </w:r>
    </w:p>
    <w:p w14:paraId="5AA1A961">
      <w:pPr>
        <w:snapToGrid w:val="0"/>
        <w:spacing w:line="340" w:lineRule="atLeast"/>
        <w:ind w:firstLine="420" w:firstLineChars="200"/>
        <w:rPr>
          <w:color w:val="auto"/>
          <w:szCs w:val="21"/>
        </w:rPr>
      </w:pPr>
      <w:r>
        <w:rPr>
          <w:color w:val="auto"/>
          <w:szCs w:val="21"/>
        </w:rPr>
        <w:t>由于承压水位变化与场地土层性质、分布及长江水位维持时间等诸多因素相关，在防洪控制区（武汉距江边500m）建议承压水头坡降率取5‰—8‰，控制区以外</w:t>
      </w:r>
      <w:r>
        <w:rPr>
          <w:rFonts w:hint="eastAsia"/>
          <w:color w:val="auto"/>
          <w:szCs w:val="21"/>
        </w:rPr>
        <w:t>江河一级阶地</w:t>
      </w:r>
      <w:r>
        <w:rPr>
          <w:color w:val="auto"/>
          <w:szCs w:val="21"/>
        </w:rPr>
        <w:t>承压水位可根据当地经验取值，武汉市一级阶地可取地面以下3m</w:t>
      </w:r>
      <w:r>
        <w:rPr>
          <w:rFonts w:hint="eastAsia"/>
          <w:color w:val="auto"/>
          <w:szCs w:val="21"/>
        </w:rPr>
        <w:t>左右</w:t>
      </w:r>
      <w:r>
        <w:rPr>
          <w:color w:val="auto"/>
          <w:szCs w:val="21"/>
        </w:rPr>
        <w:t>为承压水抗浮设计水位。</w:t>
      </w:r>
    </w:p>
    <w:p w14:paraId="6B45C818">
      <w:pPr>
        <w:snapToGrid w:val="0"/>
        <w:spacing w:line="340" w:lineRule="atLeast"/>
        <w:ind w:firstLine="420" w:firstLineChars="200"/>
        <w:rPr>
          <w:color w:val="auto"/>
          <w:szCs w:val="21"/>
        </w:rPr>
      </w:pPr>
      <w:r>
        <w:rPr>
          <w:color w:val="auto"/>
          <w:szCs w:val="21"/>
        </w:rPr>
        <w:t>襄阳等地汉江一级阶地下部砂卵石层渗透系数较大，承压水的坡降率应根据当地经验取值。</w:t>
      </w:r>
    </w:p>
    <w:p w14:paraId="45E36BE1">
      <w:pPr>
        <w:snapToGrid w:val="0"/>
        <w:spacing w:line="340" w:lineRule="atLeast"/>
        <w:ind w:firstLine="420" w:firstLineChars="200"/>
        <w:rPr>
          <w:color w:val="auto"/>
          <w:szCs w:val="21"/>
        </w:rPr>
      </w:pPr>
      <w:r>
        <w:rPr>
          <w:color w:val="auto"/>
          <w:szCs w:val="21"/>
        </w:rPr>
        <w:t>长江最高水位的确定，武汉市考虑三峡蓄洪影响，可根据建筑物的重要性在长江警戒水位(25.21m)与长江最高水位(27.64m)之间取值。其他地区应根据历年水位统计确定江河最高水位。</w:t>
      </w:r>
    </w:p>
    <w:p w14:paraId="6EA990E3">
      <w:pPr>
        <w:snapToGrid w:val="0"/>
        <w:spacing w:line="340" w:lineRule="atLeast"/>
        <w:ind w:firstLine="420" w:firstLineChars="200"/>
        <w:rPr>
          <w:color w:val="auto"/>
          <w:szCs w:val="21"/>
        </w:rPr>
      </w:pPr>
      <w:r>
        <w:rPr>
          <w:color w:val="auto"/>
          <w:szCs w:val="21"/>
        </w:rPr>
        <w:t>由于江河最高水位维持时间有限，属罕见情况，在此工况下只需保证地下建筑物不被浮起破坏，因此可适当降低抗浮稳定的安全系数。为保证安全，抗</w:t>
      </w:r>
      <w:r>
        <w:rPr>
          <w:rFonts w:hint="eastAsia"/>
          <w:color w:val="auto"/>
          <w:szCs w:val="21"/>
        </w:rPr>
        <w:t>浮</w:t>
      </w:r>
      <w:r>
        <w:rPr>
          <w:color w:val="auto"/>
          <w:szCs w:val="21"/>
        </w:rPr>
        <w:t>稳定安全系数不</w:t>
      </w:r>
      <w:r>
        <w:rPr>
          <w:rFonts w:hint="eastAsia"/>
          <w:color w:val="auto"/>
          <w:szCs w:val="21"/>
        </w:rPr>
        <w:t>应</w:t>
      </w:r>
      <w:r>
        <w:rPr>
          <w:color w:val="auto"/>
          <w:szCs w:val="21"/>
        </w:rPr>
        <w:t>小于1.05。底板及抗拔构件等的抗裂验算应采用江河最高水位时场地水位进行计算。</w:t>
      </w:r>
    </w:p>
    <w:p w14:paraId="1EF12487">
      <w:pPr>
        <w:snapToGrid w:val="0"/>
        <w:spacing w:line="340" w:lineRule="atLeast"/>
        <w:ind w:firstLine="420" w:firstLineChars="200"/>
        <w:rPr>
          <w:color w:val="auto"/>
          <w:szCs w:val="21"/>
        </w:rPr>
      </w:pPr>
      <w:r>
        <w:rPr>
          <w:color w:val="auto"/>
          <w:szCs w:val="21"/>
        </w:rPr>
        <w:t>承压水、裂隙水、岩溶水等的抗浮设计水位的确定较为困难，如有该地区长期观测资料， 可以确定最高水位时，应采用最高水位作为抗浮设计水位。无资料时，根据地区经验及建筑物重要性由勘察、设计单位共同研究，将实测水位适当提高作为抗浮设计水位。</w:t>
      </w:r>
    </w:p>
    <w:p w14:paraId="7975AF40">
      <w:pPr>
        <w:snapToGrid w:val="0"/>
        <w:spacing w:line="340" w:lineRule="atLeast"/>
        <w:rPr>
          <w:color w:val="auto"/>
          <w:szCs w:val="21"/>
        </w:rPr>
      </w:pPr>
      <w:r>
        <w:rPr>
          <w:b/>
          <w:color w:val="auto"/>
          <w:szCs w:val="21"/>
        </w:rPr>
        <w:t>13.5.4</w:t>
      </w:r>
      <w:r>
        <w:rPr>
          <w:color w:val="auto"/>
          <w:szCs w:val="21"/>
        </w:rPr>
        <w:t xml:space="preserve">  地下建筑物支护结构与主体结构为复合结构或叠合结构时，支护结构与主体结构之间无间隙，当支护结构穿过相对隔水层时，地面水及地下水不可能绕过支护结构渗入基底，当上层滞水与其他性质地下水无水力联系时，可不考虑上层滞水的浮力，抗浮设计水位不再取至地面。</w:t>
      </w:r>
    </w:p>
    <w:p w14:paraId="7C6AD948">
      <w:pPr>
        <w:snapToGrid w:val="0"/>
        <w:spacing w:line="340" w:lineRule="atLeast"/>
        <w:rPr>
          <w:color w:val="auto"/>
          <w:szCs w:val="21"/>
        </w:rPr>
      </w:pPr>
      <w:r>
        <w:rPr>
          <w:b/>
          <w:color w:val="auto"/>
          <w:szCs w:val="21"/>
        </w:rPr>
        <w:t>13.5.5</w:t>
      </w:r>
      <w:r>
        <w:rPr>
          <w:color w:val="auto"/>
          <w:szCs w:val="21"/>
        </w:rPr>
        <w:t xml:space="preserve">  地下建筑物抗浮措施常采用压重或设置抗拔构件的方法。采用沿地下室外墙周边设置土中盲沟、排水沟、集水井等降低地下水位的措施，有几个弊病：一是增加长期抽水的维护及运转费用；二是基坑回填土质量不易保证，盲沟下沉及长期土中细颗粒进入盲沟造成盲沟堵塞，使盲沟失效；三是维护检查困难。因此应慎重采用。根据</w:t>
      </w:r>
      <w:r>
        <w:rPr>
          <w:rFonts w:hint="eastAsia"/>
          <w:color w:val="auto"/>
          <w:szCs w:val="21"/>
        </w:rPr>
        <w:t>JGJ476的相关规定，抗浮稳定安全系数K</w:t>
      </w:r>
      <w:r>
        <w:rPr>
          <w:color w:val="auto"/>
          <w:szCs w:val="21"/>
          <w:vertAlign w:val="subscript"/>
        </w:rPr>
        <w:t>W</w:t>
      </w:r>
      <w:r>
        <w:rPr>
          <w:color w:val="auto"/>
          <w:szCs w:val="21"/>
        </w:rPr>
        <w:t>不应小于</w:t>
      </w:r>
      <w:r>
        <w:rPr>
          <w:rFonts w:hint="eastAsia"/>
          <w:color w:val="auto"/>
          <w:szCs w:val="21"/>
        </w:rPr>
        <w:t>表2</w:t>
      </w:r>
      <w:r>
        <w:rPr>
          <w:color w:val="auto"/>
          <w:szCs w:val="21"/>
        </w:rPr>
        <w:t>4的规定</w:t>
      </w:r>
      <w:r>
        <w:rPr>
          <w:rFonts w:hint="eastAsia"/>
          <w:color w:val="auto"/>
          <w:szCs w:val="21"/>
        </w:rPr>
        <w:t>值。</w:t>
      </w:r>
    </w:p>
    <w:p w14:paraId="00AF6315">
      <w:pPr>
        <w:pStyle w:val="12"/>
        <w:jc w:val="center"/>
        <w:rPr>
          <w:rFonts w:hint="eastAsia"/>
          <w:color w:val="auto"/>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24</w:t>
      </w:r>
      <w:r>
        <w:rPr>
          <w:color w:val="auto"/>
        </w:rPr>
        <w:fldChar w:fldCharType="end"/>
      </w:r>
      <w:r>
        <w:rPr>
          <w:color w:val="auto"/>
        </w:rPr>
        <w:t xml:space="preserve">  建筑工程抗浮稳定安全系数</w:t>
      </w:r>
      <w:r>
        <w:rPr>
          <w:rFonts w:hint="eastAsia"/>
          <w:color w:val="auto"/>
        </w:rPr>
        <w:t>K</w:t>
      </w:r>
      <w:r>
        <w:rPr>
          <w:color w:val="auto"/>
          <w:vertAlign w:val="subscript"/>
        </w:rPr>
        <w:t>w</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3118"/>
        <w:gridCol w:w="3118"/>
      </w:tblGrid>
      <w:tr w14:paraId="3CA2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shd w:val="clear" w:color="auto" w:fill="auto"/>
            <w:noWrap w:val="0"/>
            <w:vAlign w:val="top"/>
          </w:tcPr>
          <w:p w14:paraId="6C59E4A1">
            <w:pPr>
              <w:jc w:val="center"/>
              <w:rPr>
                <w:rFonts w:hint="eastAsia" w:ascii="宋体" w:hAnsi="宋体"/>
                <w:color w:val="auto"/>
                <w:sz w:val="18"/>
                <w:szCs w:val="18"/>
              </w:rPr>
            </w:pPr>
            <w:r>
              <w:rPr>
                <w:rFonts w:hint="eastAsia" w:ascii="宋体" w:hAnsi="宋体"/>
                <w:color w:val="auto"/>
                <w:sz w:val="18"/>
                <w:szCs w:val="18"/>
              </w:rPr>
              <w:t>抗浮工程设计等级</w:t>
            </w:r>
          </w:p>
        </w:tc>
        <w:tc>
          <w:tcPr>
            <w:tcW w:w="3118" w:type="dxa"/>
            <w:shd w:val="clear" w:color="auto" w:fill="auto"/>
            <w:noWrap w:val="0"/>
            <w:vAlign w:val="top"/>
          </w:tcPr>
          <w:p w14:paraId="7A5C6AD6">
            <w:pPr>
              <w:jc w:val="center"/>
              <w:rPr>
                <w:rFonts w:hint="eastAsia" w:ascii="宋体" w:hAnsi="宋体"/>
                <w:color w:val="auto"/>
                <w:sz w:val="18"/>
                <w:szCs w:val="18"/>
              </w:rPr>
            </w:pPr>
            <w:r>
              <w:rPr>
                <w:rFonts w:ascii="宋体" w:hAnsi="宋体"/>
                <w:color w:val="auto"/>
                <w:sz w:val="18"/>
                <w:szCs w:val="18"/>
              </w:rPr>
              <w:t>施工期</w:t>
            </w:r>
            <w:r>
              <w:rPr>
                <w:rFonts w:hint="eastAsia" w:ascii="宋体" w:hAnsi="宋体"/>
                <w:color w:val="auto"/>
                <w:sz w:val="18"/>
                <w:szCs w:val="18"/>
              </w:rPr>
              <w:t>抗浮稳定安全系数</w:t>
            </w:r>
          </w:p>
        </w:tc>
        <w:tc>
          <w:tcPr>
            <w:tcW w:w="3118" w:type="dxa"/>
            <w:shd w:val="clear" w:color="auto" w:fill="auto"/>
            <w:noWrap w:val="0"/>
            <w:vAlign w:val="top"/>
          </w:tcPr>
          <w:p w14:paraId="146B8CF9">
            <w:pPr>
              <w:jc w:val="center"/>
              <w:rPr>
                <w:rFonts w:hint="eastAsia" w:ascii="宋体" w:hAnsi="宋体"/>
                <w:color w:val="auto"/>
                <w:sz w:val="18"/>
                <w:szCs w:val="18"/>
              </w:rPr>
            </w:pPr>
            <w:r>
              <w:rPr>
                <w:rFonts w:hint="eastAsia" w:ascii="宋体" w:hAnsi="宋体"/>
                <w:color w:val="auto"/>
                <w:sz w:val="18"/>
                <w:szCs w:val="18"/>
              </w:rPr>
              <w:t>使用期抗浮稳定安全系数</w:t>
            </w:r>
          </w:p>
        </w:tc>
      </w:tr>
      <w:tr w14:paraId="0FDA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shd w:val="clear" w:color="auto" w:fill="auto"/>
            <w:noWrap w:val="0"/>
            <w:vAlign w:val="top"/>
          </w:tcPr>
          <w:p w14:paraId="4075E9A4">
            <w:pPr>
              <w:jc w:val="center"/>
              <w:rPr>
                <w:rFonts w:hint="eastAsia" w:ascii="宋体" w:hAnsi="宋体"/>
                <w:color w:val="auto"/>
                <w:sz w:val="18"/>
                <w:szCs w:val="18"/>
              </w:rPr>
            </w:pPr>
            <w:r>
              <w:rPr>
                <w:rFonts w:hint="eastAsia" w:ascii="宋体" w:hAnsi="宋体"/>
                <w:color w:val="auto"/>
                <w:sz w:val="18"/>
                <w:szCs w:val="18"/>
              </w:rPr>
              <w:t>甲级</w:t>
            </w:r>
          </w:p>
        </w:tc>
        <w:tc>
          <w:tcPr>
            <w:tcW w:w="3118" w:type="dxa"/>
            <w:shd w:val="clear" w:color="auto" w:fill="auto"/>
            <w:noWrap w:val="0"/>
            <w:vAlign w:val="top"/>
          </w:tcPr>
          <w:p w14:paraId="6F9AE828">
            <w:pPr>
              <w:jc w:val="center"/>
              <w:rPr>
                <w:rFonts w:hint="eastAsia" w:ascii="宋体" w:hAnsi="宋体"/>
                <w:color w:val="auto"/>
                <w:sz w:val="18"/>
                <w:szCs w:val="18"/>
              </w:rPr>
            </w:pPr>
            <w:r>
              <w:rPr>
                <w:rFonts w:hint="eastAsia" w:ascii="宋体" w:hAnsi="宋体"/>
                <w:color w:val="auto"/>
                <w:sz w:val="18"/>
                <w:szCs w:val="18"/>
              </w:rPr>
              <w:t>1</w:t>
            </w:r>
            <w:r>
              <w:rPr>
                <w:rFonts w:ascii="宋体" w:hAnsi="宋体"/>
                <w:color w:val="auto"/>
                <w:sz w:val="18"/>
                <w:szCs w:val="18"/>
              </w:rPr>
              <w:t>.05</w:t>
            </w:r>
          </w:p>
        </w:tc>
        <w:tc>
          <w:tcPr>
            <w:tcW w:w="3118" w:type="dxa"/>
            <w:shd w:val="clear" w:color="auto" w:fill="auto"/>
            <w:noWrap w:val="0"/>
            <w:vAlign w:val="top"/>
          </w:tcPr>
          <w:p w14:paraId="2A84FDEB">
            <w:pPr>
              <w:jc w:val="center"/>
              <w:rPr>
                <w:rFonts w:hint="eastAsia" w:ascii="宋体" w:hAnsi="宋体"/>
                <w:color w:val="auto"/>
                <w:sz w:val="18"/>
                <w:szCs w:val="18"/>
              </w:rPr>
            </w:pPr>
            <w:r>
              <w:rPr>
                <w:rFonts w:hint="eastAsia" w:ascii="宋体" w:hAnsi="宋体"/>
                <w:color w:val="auto"/>
                <w:sz w:val="18"/>
                <w:szCs w:val="18"/>
              </w:rPr>
              <w:t>1</w:t>
            </w:r>
            <w:r>
              <w:rPr>
                <w:rFonts w:ascii="宋体" w:hAnsi="宋体"/>
                <w:color w:val="auto"/>
                <w:sz w:val="18"/>
                <w:szCs w:val="18"/>
              </w:rPr>
              <w:t>.10</w:t>
            </w:r>
          </w:p>
        </w:tc>
      </w:tr>
      <w:tr w14:paraId="5E2E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shd w:val="clear" w:color="auto" w:fill="auto"/>
            <w:noWrap w:val="0"/>
            <w:vAlign w:val="top"/>
          </w:tcPr>
          <w:p w14:paraId="071A7FC8">
            <w:pPr>
              <w:jc w:val="center"/>
              <w:rPr>
                <w:rFonts w:hint="eastAsia" w:ascii="宋体" w:hAnsi="宋体"/>
                <w:color w:val="auto"/>
                <w:sz w:val="18"/>
                <w:szCs w:val="18"/>
              </w:rPr>
            </w:pPr>
            <w:r>
              <w:rPr>
                <w:rFonts w:hint="eastAsia" w:ascii="宋体" w:hAnsi="宋体"/>
                <w:color w:val="auto"/>
                <w:sz w:val="18"/>
                <w:szCs w:val="18"/>
              </w:rPr>
              <w:t>乙级</w:t>
            </w:r>
          </w:p>
        </w:tc>
        <w:tc>
          <w:tcPr>
            <w:tcW w:w="3118" w:type="dxa"/>
            <w:shd w:val="clear" w:color="auto" w:fill="auto"/>
            <w:noWrap w:val="0"/>
            <w:vAlign w:val="top"/>
          </w:tcPr>
          <w:p w14:paraId="617D9FD5">
            <w:pPr>
              <w:jc w:val="center"/>
              <w:rPr>
                <w:rFonts w:hint="eastAsia" w:ascii="宋体" w:hAnsi="宋体"/>
                <w:color w:val="auto"/>
                <w:sz w:val="18"/>
                <w:szCs w:val="18"/>
              </w:rPr>
            </w:pPr>
            <w:r>
              <w:rPr>
                <w:rFonts w:hint="eastAsia" w:ascii="宋体" w:hAnsi="宋体"/>
                <w:color w:val="auto"/>
                <w:sz w:val="18"/>
                <w:szCs w:val="18"/>
              </w:rPr>
              <w:t>1</w:t>
            </w:r>
            <w:r>
              <w:rPr>
                <w:rFonts w:ascii="宋体" w:hAnsi="宋体"/>
                <w:color w:val="auto"/>
                <w:sz w:val="18"/>
                <w:szCs w:val="18"/>
              </w:rPr>
              <w:t>.00</w:t>
            </w:r>
          </w:p>
        </w:tc>
        <w:tc>
          <w:tcPr>
            <w:tcW w:w="3118" w:type="dxa"/>
            <w:shd w:val="clear" w:color="auto" w:fill="auto"/>
            <w:noWrap w:val="0"/>
            <w:vAlign w:val="top"/>
          </w:tcPr>
          <w:p w14:paraId="2B0DB2FE">
            <w:pPr>
              <w:jc w:val="center"/>
              <w:rPr>
                <w:rFonts w:hint="eastAsia" w:ascii="宋体" w:hAnsi="宋体"/>
                <w:color w:val="auto"/>
                <w:sz w:val="18"/>
                <w:szCs w:val="18"/>
              </w:rPr>
            </w:pPr>
            <w:r>
              <w:rPr>
                <w:rFonts w:hint="eastAsia" w:ascii="宋体" w:hAnsi="宋体"/>
                <w:color w:val="auto"/>
                <w:sz w:val="18"/>
                <w:szCs w:val="18"/>
              </w:rPr>
              <w:t>1</w:t>
            </w:r>
            <w:r>
              <w:rPr>
                <w:rFonts w:ascii="宋体" w:hAnsi="宋体"/>
                <w:color w:val="auto"/>
                <w:sz w:val="18"/>
                <w:szCs w:val="18"/>
              </w:rPr>
              <w:t>.05</w:t>
            </w:r>
          </w:p>
        </w:tc>
      </w:tr>
      <w:tr w14:paraId="3812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shd w:val="clear" w:color="auto" w:fill="auto"/>
            <w:noWrap w:val="0"/>
            <w:vAlign w:val="top"/>
          </w:tcPr>
          <w:p w14:paraId="0B309F62">
            <w:pPr>
              <w:jc w:val="center"/>
              <w:rPr>
                <w:rFonts w:hint="eastAsia" w:ascii="宋体" w:hAnsi="宋体"/>
                <w:color w:val="auto"/>
                <w:sz w:val="18"/>
                <w:szCs w:val="18"/>
              </w:rPr>
            </w:pPr>
            <w:r>
              <w:rPr>
                <w:rFonts w:hint="eastAsia" w:ascii="宋体" w:hAnsi="宋体"/>
                <w:color w:val="auto"/>
                <w:sz w:val="18"/>
                <w:szCs w:val="18"/>
              </w:rPr>
              <w:t>丙级</w:t>
            </w:r>
          </w:p>
        </w:tc>
        <w:tc>
          <w:tcPr>
            <w:tcW w:w="3118" w:type="dxa"/>
            <w:shd w:val="clear" w:color="auto" w:fill="auto"/>
            <w:noWrap w:val="0"/>
            <w:vAlign w:val="top"/>
          </w:tcPr>
          <w:p w14:paraId="14F75826">
            <w:pPr>
              <w:jc w:val="center"/>
              <w:rPr>
                <w:rFonts w:hint="eastAsia" w:ascii="宋体" w:hAnsi="宋体"/>
                <w:color w:val="auto"/>
                <w:sz w:val="18"/>
                <w:szCs w:val="18"/>
              </w:rPr>
            </w:pPr>
            <w:r>
              <w:rPr>
                <w:rFonts w:hint="eastAsia" w:ascii="宋体" w:hAnsi="宋体"/>
                <w:color w:val="auto"/>
                <w:sz w:val="18"/>
                <w:szCs w:val="18"/>
              </w:rPr>
              <w:t>0</w:t>
            </w:r>
            <w:r>
              <w:rPr>
                <w:rFonts w:ascii="宋体" w:hAnsi="宋体"/>
                <w:color w:val="auto"/>
                <w:sz w:val="18"/>
                <w:szCs w:val="18"/>
              </w:rPr>
              <w:t>.95</w:t>
            </w:r>
          </w:p>
        </w:tc>
        <w:tc>
          <w:tcPr>
            <w:tcW w:w="3118" w:type="dxa"/>
            <w:shd w:val="clear" w:color="auto" w:fill="auto"/>
            <w:noWrap w:val="0"/>
            <w:vAlign w:val="top"/>
          </w:tcPr>
          <w:p w14:paraId="0948AD4E">
            <w:pPr>
              <w:jc w:val="center"/>
              <w:rPr>
                <w:rFonts w:hint="eastAsia" w:ascii="宋体" w:hAnsi="宋体"/>
                <w:color w:val="auto"/>
                <w:sz w:val="18"/>
                <w:szCs w:val="18"/>
              </w:rPr>
            </w:pPr>
            <w:r>
              <w:rPr>
                <w:rFonts w:hint="eastAsia" w:ascii="宋体" w:hAnsi="宋体"/>
                <w:color w:val="auto"/>
                <w:sz w:val="18"/>
                <w:szCs w:val="18"/>
              </w:rPr>
              <w:t>1</w:t>
            </w:r>
            <w:r>
              <w:rPr>
                <w:rFonts w:ascii="宋体" w:hAnsi="宋体"/>
                <w:color w:val="auto"/>
                <w:sz w:val="18"/>
                <w:szCs w:val="18"/>
              </w:rPr>
              <w:t>.00</w:t>
            </w:r>
          </w:p>
        </w:tc>
      </w:tr>
    </w:tbl>
    <w:p w14:paraId="50E690D0">
      <w:pPr>
        <w:rPr>
          <w:color w:val="auto"/>
          <w:szCs w:val="21"/>
        </w:rPr>
      </w:pPr>
      <w:r>
        <w:rPr>
          <w:b/>
          <w:color w:val="auto"/>
          <w:szCs w:val="21"/>
        </w:rPr>
        <w:t>13.5.6</w:t>
      </w:r>
      <w:r>
        <w:rPr>
          <w:color w:val="auto"/>
          <w:szCs w:val="21"/>
        </w:rPr>
        <w:t xml:space="preserve">  当抗拔构件间距较小</w:t>
      </w:r>
      <w:r>
        <w:rPr>
          <w:rFonts w:hint="eastAsia"/>
          <w:color w:val="auto"/>
          <w:szCs w:val="21"/>
        </w:rPr>
        <w:t>，</w:t>
      </w:r>
      <w:r>
        <w:rPr>
          <w:color w:val="auto"/>
          <w:szCs w:val="21"/>
        </w:rPr>
        <w:t>有可能引起整体上拔破坏时</w:t>
      </w:r>
      <w:r>
        <w:rPr>
          <w:rFonts w:hint="eastAsia"/>
          <w:color w:val="auto"/>
          <w:szCs w:val="21"/>
        </w:rPr>
        <w:t>，</w:t>
      </w:r>
      <w:r>
        <w:rPr>
          <w:color w:val="auto"/>
          <w:szCs w:val="21"/>
        </w:rPr>
        <w:t>尚应按整体上拔破坏的情况验算抗浮稳定安全系数是否符合要求</w:t>
      </w:r>
      <w:r>
        <w:rPr>
          <w:rFonts w:hint="eastAsia"/>
          <w:color w:val="auto"/>
          <w:szCs w:val="21"/>
        </w:rPr>
        <w:t>。</w:t>
      </w:r>
    </w:p>
    <w:p w14:paraId="42755ABB">
      <w:pPr>
        <w:rPr>
          <w:rFonts w:hint="eastAsia"/>
          <w:color w:val="auto"/>
        </w:rPr>
      </w:pPr>
      <w:r>
        <w:rPr>
          <w:b/>
          <w:color w:val="auto"/>
          <w:szCs w:val="21"/>
        </w:rPr>
        <w:t>13.5.7</w:t>
      </w:r>
      <w:r>
        <w:rPr>
          <w:color w:val="auto"/>
          <w:szCs w:val="21"/>
        </w:rPr>
        <w:t xml:space="preserve">  </w:t>
      </w:r>
      <w:r>
        <w:rPr>
          <w:rFonts w:hint="eastAsia"/>
          <w:color w:val="auto"/>
          <w:szCs w:val="21"/>
        </w:rPr>
        <w:t>抗拔锚杆试验要点可参照G</w:t>
      </w:r>
      <w:r>
        <w:rPr>
          <w:color w:val="auto"/>
          <w:szCs w:val="21"/>
        </w:rPr>
        <w:t>B</w:t>
      </w:r>
      <w:r>
        <w:rPr>
          <w:rFonts w:hint="eastAsia"/>
          <w:color w:val="auto"/>
          <w:szCs w:val="21"/>
          <w:lang w:val="en-US" w:eastAsia="zh-CN"/>
        </w:rPr>
        <w:t xml:space="preserve"> </w:t>
      </w:r>
      <w:r>
        <w:rPr>
          <w:color w:val="auto"/>
          <w:szCs w:val="21"/>
        </w:rPr>
        <w:t>50007和</w:t>
      </w:r>
      <w:r>
        <w:rPr>
          <w:rFonts w:hint="eastAsia"/>
          <w:color w:val="auto"/>
          <w:szCs w:val="21"/>
        </w:rPr>
        <w:t>JGJ</w:t>
      </w:r>
      <w:r>
        <w:rPr>
          <w:rFonts w:hint="eastAsia"/>
          <w:color w:val="auto"/>
          <w:szCs w:val="21"/>
          <w:lang w:val="en-US" w:eastAsia="zh-CN"/>
        </w:rPr>
        <w:t xml:space="preserve"> </w:t>
      </w:r>
      <w:r>
        <w:rPr>
          <w:rFonts w:hint="eastAsia"/>
          <w:color w:val="auto"/>
          <w:szCs w:val="21"/>
        </w:rPr>
        <w:t>476等相关规定执行。</w:t>
      </w:r>
    </w:p>
    <w:p w14:paraId="3454F30A">
      <w:pPr>
        <w:pStyle w:val="77"/>
        <w:rPr>
          <w:color w:val="auto"/>
        </w:rPr>
      </w:pPr>
      <w:bookmarkStart w:id="205" w:name="_Toc182499019"/>
      <w:r>
        <w:rPr>
          <w:color w:val="auto"/>
        </w:rPr>
        <w:t>13.6  墩基础</w:t>
      </w:r>
      <w:bookmarkEnd w:id="205"/>
    </w:p>
    <w:p w14:paraId="548B0806">
      <w:pPr>
        <w:snapToGrid w:val="0"/>
        <w:spacing w:line="340" w:lineRule="atLeast"/>
        <w:rPr>
          <w:color w:val="auto"/>
          <w:szCs w:val="21"/>
        </w:rPr>
      </w:pPr>
      <w:r>
        <w:rPr>
          <w:b/>
          <w:bCs/>
          <w:color w:val="auto"/>
          <w:szCs w:val="21"/>
        </w:rPr>
        <w:t xml:space="preserve">13.6.1  </w:t>
      </w:r>
      <w:r>
        <w:rPr>
          <w:color w:val="auto"/>
          <w:szCs w:val="21"/>
        </w:rPr>
        <w:t>在实际工程中墩基</w:t>
      </w:r>
      <w:r>
        <w:rPr>
          <w:rFonts w:hint="eastAsia"/>
          <w:color w:val="auto"/>
          <w:szCs w:val="21"/>
        </w:rPr>
        <w:t>的应用</w:t>
      </w:r>
      <w:r>
        <w:rPr>
          <w:color w:val="auto"/>
          <w:szCs w:val="21"/>
        </w:rPr>
        <w:t>较为普遍，其基本要求是地基承载力按</w:t>
      </w:r>
      <w:r>
        <w:rPr>
          <w:rFonts w:hint="eastAsia"/>
          <w:color w:val="auto"/>
          <w:szCs w:val="21"/>
        </w:rPr>
        <w:t>深埋基础</w:t>
      </w:r>
      <w:r>
        <w:rPr>
          <w:color w:val="auto"/>
          <w:szCs w:val="21"/>
        </w:rPr>
        <w:t>天然地基的方法进行计算。</w:t>
      </w:r>
    </w:p>
    <w:p w14:paraId="67F771B9">
      <w:pPr>
        <w:snapToGrid w:val="0"/>
        <w:spacing w:line="340" w:lineRule="atLeast"/>
        <w:ind w:firstLine="420" w:firstLineChars="200"/>
        <w:rPr>
          <w:color w:val="auto"/>
          <w:szCs w:val="21"/>
        </w:rPr>
      </w:pPr>
      <w:r>
        <w:rPr>
          <w:color w:val="auto"/>
          <w:szCs w:val="21"/>
        </w:rPr>
        <w:t>当墩基</w:t>
      </w:r>
      <w:r>
        <w:rPr>
          <w:rFonts w:hint="eastAsia"/>
          <w:color w:val="auto"/>
          <w:szCs w:val="21"/>
        </w:rPr>
        <w:t>有效墩高</w:t>
      </w:r>
      <w:r>
        <w:rPr>
          <w:color w:val="auto"/>
          <w:szCs w:val="21"/>
        </w:rPr>
        <w:t>超过</w:t>
      </w:r>
      <w:r>
        <w:rPr>
          <w:rFonts w:hint="eastAsia"/>
          <w:color w:val="auto"/>
          <w:szCs w:val="21"/>
        </w:rPr>
        <w:t>6</w:t>
      </w:r>
      <w:r>
        <w:rPr>
          <w:color w:val="auto"/>
          <w:szCs w:val="21"/>
        </w:rPr>
        <w:t>m，随着墩基埋深的加大，其受力和破坏状态趋向于和桩基一致。当仍按墩基设计方法</w:t>
      </w:r>
      <w:r>
        <w:rPr>
          <w:rFonts w:hint="eastAsia"/>
          <w:color w:val="auto"/>
          <w:szCs w:val="21"/>
        </w:rPr>
        <w:t>计算</w:t>
      </w:r>
      <w:r>
        <w:rPr>
          <w:color w:val="auto"/>
          <w:szCs w:val="21"/>
        </w:rPr>
        <w:t>地基承载力时，应结合工程实际，按变形控制进行建筑物基础的设计，同时</w:t>
      </w:r>
      <w:r>
        <w:rPr>
          <w:rFonts w:hint="eastAsia"/>
          <w:color w:val="auto"/>
          <w:szCs w:val="21"/>
        </w:rPr>
        <w:t>墩身的配筋应</w:t>
      </w:r>
      <w:r>
        <w:rPr>
          <w:color w:val="auto"/>
          <w:szCs w:val="21"/>
        </w:rPr>
        <w:t>符合桩</w:t>
      </w:r>
      <w:r>
        <w:rPr>
          <w:rFonts w:hint="eastAsia"/>
          <w:color w:val="auto"/>
          <w:szCs w:val="21"/>
        </w:rPr>
        <w:t>基的</w:t>
      </w:r>
      <w:r>
        <w:rPr>
          <w:color w:val="auto"/>
          <w:szCs w:val="21"/>
        </w:rPr>
        <w:t>配筋要求。</w:t>
      </w:r>
    </w:p>
    <w:p w14:paraId="0B9088ED">
      <w:pPr>
        <w:adjustRightInd w:val="0"/>
        <w:snapToGrid w:val="0"/>
        <w:spacing w:line="340" w:lineRule="atLeast"/>
        <w:rPr>
          <w:color w:val="auto"/>
          <w:szCs w:val="21"/>
        </w:rPr>
      </w:pPr>
      <w:r>
        <w:rPr>
          <w:rFonts w:eastAsia="黑体"/>
          <w:b/>
          <w:bCs/>
          <w:color w:val="auto"/>
          <w:szCs w:val="21"/>
        </w:rPr>
        <w:t>13.6.2</w:t>
      </w:r>
      <w:r>
        <w:rPr>
          <w:color w:val="auto"/>
          <w:szCs w:val="21"/>
        </w:rPr>
        <w:t xml:space="preserve">  采用一柱一墩的墩基，柱与墩的连结以及墩帽(或称承台)的构造，应视设计等级、荷载大小、连系梁布置情况等综合确定。墙下墩基多用于多层砖混结构建筑物，设计不考虑水平力，墙下基础梁与墩的连结只需考虑构造要求，采取插筋连结即可。可设置与墩顶截面一致的墩帽与基础梁一同浇注。</w:t>
      </w:r>
    </w:p>
    <w:p w14:paraId="08632B62">
      <w:pPr>
        <w:adjustRightInd w:val="0"/>
        <w:snapToGrid w:val="0"/>
        <w:spacing w:line="340" w:lineRule="atLeast"/>
        <w:ind w:firstLine="420" w:firstLineChars="200"/>
        <w:rPr>
          <w:color w:val="auto"/>
          <w:szCs w:val="21"/>
        </w:rPr>
      </w:pPr>
      <w:r>
        <w:rPr>
          <w:color w:val="auto"/>
          <w:szCs w:val="21"/>
        </w:rPr>
        <w:t>采用墩基的多层建筑，墩中心距如同天然地基，不必受桩基中有关中心距的限制，但相邻墩底高差应当考虑持力层的稳定性。</w:t>
      </w:r>
    </w:p>
    <w:p w14:paraId="0AC15B0F">
      <w:pPr>
        <w:adjustRightInd w:val="0"/>
        <w:snapToGrid w:val="0"/>
        <w:spacing w:line="340" w:lineRule="atLeast"/>
        <w:rPr>
          <w:color w:val="auto"/>
          <w:szCs w:val="21"/>
        </w:rPr>
      </w:pPr>
      <w:r>
        <w:rPr>
          <w:b/>
          <w:bCs/>
          <w:color w:val="auto"/>
          <w:szCs w:val="21"/>
        </w:rPr>
        <w:t>13.6.3</w:t>
      </w:r>
      <w:r>
        <w:rPr>
          <w:color w:val="auto"/>
          <w:szCs w:val="21"/>
        </w:rPr>
        <w:t xml:space="preserve">  甲级设计等级建筑物墩底持力层承载力特征值可用孔内墩底平板载荷试验、</w:t>
      </w:r>
      <w:r>
        <w:rPr>
          <w:rFonts w:hint="eastAsia"/>
          <w:color w:val="auto"/>
          <w:szCs w:val="21"/>
        </w:rPr>
        <w:t>岩基平板载荷试验、</w:t>
      </w:r>
      <w:r>
        <w:rPr>
          <w:color w:val="auto"/>
          <w:szCs w:val="21"/>
        </w:rPr>
        <w:t>深层平板载荷试验、螺旋板载荷试验等方法确定。宜在勘察工作中进行，也可配合施工在施工阶段进行。荷载不大的墩，可直接进行单墩竖向载荷试验，直接确定单墩承载力。在载荷试验中应注意平板载荷试验与单墩载荷试验变形要求的差异。用两种方法确定持力层承载力特征值时将有一定差异，应予协调。</w:t>
      </w:r>
    </w:p>
    <w:p w14:paraId="64116178">
      <w:pPr>
        <w:adjustRightInd w:val="0"/>
        <w:snapToGrid w:val="0"/>
        <w:spacing w:line="340" w:lineRule="atLeast"/>
        <w:rPr>
          <w:color w:val="auto"/>
          <w:szCs w:val="21"/>
        </w:rPr>
      </w:pPr>
      <w:r>
        <w:rPr>
          <w:color w:val="auto"/>
          <w:szCs w:val="21"/>
        </w:rPr>
        <w:t xml:space="preserve">    </w:t>
      </w:r>
      <w:r>
        <w:rPr>
          <w:rFonts w:hint="eastAsia"/>
          <w:color w:val="auto"/>
          <w:szCs w:val="21"/>
        </w:rPr>
        <w:t>有效墩高</w:t>
      </w:r>
      <w:r>
        <w:rPr>
          <w:color w:val="auto"/>
          <w:szCs w:val="21"/>
        </w:rPr>
        <w:t>超过</w:t>
      </w:r>
      <w:r>
        <w:rPr>
          <w:rFonts w:hint="eastAsia"/>
          <w:color w:val="auto"/>
          <w:szCs w:val="21"/>
        </w:rPr>
        <w:t>6</w:t>
      </w:r>
      <w:r>
        <w:rPr>
          <w:color w:val="auto"/>
          <w:szCs w:val="21"/>
        </w:rPr>
        <w:t>m且墩周土强度较高时，墩周摩阻力将有所发挥，</w:t>
      </w:r>
      <w:r>
        <w:rPr>
          <w:rFonts w:hint="eastAsia"/>
          <w:color w:val="auto"/>
          <w:szCs w:val="21"/>
        </w:rPr>
        <w:t>此时可不考虑墩身及扩大头面积上部土自重的影响。当桩周土为淤泥、淤泥质土、欠固结填土及软土时，应计入墩身及扩大头面积上部土层自重的作用</w:t>
      </w:r>
      <w:r>
        <w:rPr>
          <w:color w:val="auto"/>
          <w:szCs w:val="21"/>
        </w:rPr>
        <w:t>。</w:t>
      </w:r>
    </w:p>
    <w:p w14:paraId="75C5F268">
      <w:pPr>
        <w:pStyle w:val="77"/>
        <w:rPr>
          <w:color w:val="auto"/>
        </w:rPr>
      </w:pPr>
      <w:bookmarkStart w:id="206" w:name="_Toc182499020"/>
      <w:r>
        <w:rPr>
          <w:color w:val="auto"/>
        </w:rPr>
        <w:t>13.7  山区地区基础</w:t>
      </w:r>
      <w:bookmarkEnd w:id="206"/>
    </w:p>
    <w:p w14:paraId="6A97A9D5">
      <w:pPr>
        <w:adjustRightInd w:val="0"/>
        <w:snapToGrid w:val="0"/>
        <w:spacing w:line="340" w:lineRule="exact"/>
        <w:rPr>
          <w:color w:val="auto"/>
          <w:szCs w:val="21"/>
        </w:rPr>
      </w:pPr>
      <w:r>
        <w:rPr>
          <w:b/>
          <w:bCs/>
          <w:color w:val="auto"/>
          <w:szCs w:val="21"/>
        </w:rPr>
        <w:t xml:space="preserve">13.7.1  </w:t>
      </w:r>
      <w:r>
        <w:rPr>
          <w:color w:val="auto"/>
          <w:szCs w:val="21"/>
        </w:rPr>
        <w:t>山区地基与平原相比，一般其工程地质条件较复杂，主要表现在地基的不均匀性和建设场地的稳定性两方面，且因地形高差变化较大，建筑物各基础的埋深的一致性也受到影响。建筑物采用岩石地基时，应结合场地条件因地制宜确定基础形式，可采用浅埋和深埋相结合的方式，结合考虑地基承载力，地基稳定性和变形控制要求，确定基础的埋深。当基础处于不同持力层上时应重视对场地稳定性与建筑物变形差异的计算和控制。</w:t>
      </w:r>
    </w:p>
    <w:p w14:paraId="2BA55C38">
      <w:pPr>
        <w:adjustRightInd w:val="0"/>
        <w:snapToGrid w:val="0"/>
        <w:spacing w:line="340" w:lineRule="exact"/>
        <w:rPr>
          <w:color w:val="auto"/>
          <w:szCs w:val="21"/>
        </w:rPr>
      </w:pPr>
      <w:r>
        <w:rPr>
          <w:b/>
          <w:bCs/>
          <w:color w:val="auto"/>
          <w:szCs w:val="21"/>
        </w:rPr>
        <w:t xml:space="preserve">13.7.2  </w:t>
      </w:r>
      <w:r>
        <w:rPr>
          <w:color w:val="auto"/>
          <w:szCs w:val="21"/>
        </w:rPr>
        <w:t>高层建筑当基础埋深不满足本文件规定要求时，可采用岩石锚杆基础。</w:t>
      </w:r>
    </w:p>
    <w:p w14:paraId="6A518A40">
      <w:pPr>
        <w:adjustRightInd w:val="0"/>
        <w:snapToGrid w:val="0"/>
        <w:spacing w:line="340" w:lineRule="exact"/>
        <w:rPr>
          <w:color w:val="auto"/>
          <w:szCs w:val="21"/>
        </w:rPr>
      </w:pPr>
      <w:r>
        <w:rPr>
          <w:b/>
          <w:bCs/>
          <w:color w:val="auto"/>
          <w:szCs w:val="21"/>
        </w:rPr>
        <w:t xml:space="preserve">13.7.5  </w:t>
      </w:r>
      <w:r>
        <w:rPr>
          <w:rFonts w:hint="eastAsia"/>
          <w:b/>
          <w:bCs/>
          <w:color w:val="auto"/>
          <w:szCs w:val="21"/>
        </w:rPr>
        <w:t>当</w:t>
      </w:r>
      <w:r>
        <w:rPr>
          <w:color w:val="auto"/>
          <w:szCs w:val="21"/>
        </w:rPr>
        <w:t>上部结构传来基础的荷载为轴心受压或小偏心受压时，位于裂隙不发育，整体性好，岩石坚硬程度为较硬岩石，且无风化特征的岩石地基上的基础，可采用不扩展柱基。对基础荷载存在水平力和受拉的情况进行分析验算，并采取相应措施满足受力要求。在需要进行抗震设防的区域采用不扩展柱基时，基础应当满足有关抗震设防要求。</w:t>
      </w:r>
    </w:p>
    <w:p w14:paraId="622729C2">
      <w:pPr>
        <w:adjustRightInd w:val="0"/>
        <w:snapToGrid w:val="0"/>
        <w:spacing w:line="340" w:lineRule="exact"/>
        <w:rPr>
          <w:color w:val="auto"/>
          <w:szCs w:val="21"/>
        </w:rPr>
      </w:pPr>
      <w:r>
        <w:rPr>
          <w:b/>
          <w:bCs/>
          <w:color w:val="auto"/>
          <w:szCs w:val="21"/>
        </w:rPr>
        <w:t>13.7.6</w:t>
      </w:r>
      <w:r>
        <w:rPr>
          <w:color w:val="auto"/>
          <w:szCs w:val="21"/>
        </w:rPr>
        <w:t xml:space="preserve">  坐落在斜坡上的建筑物基础，其坡面稳定是应该给予足够重视的问题。应考虑设置坡面基础后由于开挖土方或地表水下渗、地下水埋藏深度变化等原因，破坏了山坡的平衡条件，导致产生滑坡和崩塌。同时斜坡上的建筑物基础对地基增加附加应力后，斜坡的整体稳定和基础下坡面的局部稳定问题也应予以重视，并应控制建筑物的差异变形在本文件规定的限值之内。</w:t>
      </w:r>
    </w:p>
    <w:p w14:paraId="10ABF70C">
      <w:pPr>
        <w:pStyle w:val="34"/>
        <w:numPr>
          <w:ilvl w:val="0"/>
          <w:numId w:val="3"/>
        </w:numPr>
        <w:rPr>
          <w:b/>
          <w:snapToGrid w:val="0"/>
          <w:color w:val="auto"/>
          <w:sz w:val="24"/>
        </w:rPr>
      </w:pPr>
      <w:bookmarkStart w:id="207" w:name="_Toc182499021"/>
      <w:r>
        <w:rPr>
          <w:b/>
          <w:bCs w:val="0"/>
          <w:color w:val="auto"/>
        </w:rPr>
        <w:t>地基基础抗震设计要点</w:t>
      </w:r>
      <w:bookmarkEnd w:id="207"/>
    </w:p>
    <w:p w14:paraId="6B633868">
      <w:pPr>
        <w:pStyle w:val="77"/>
        <w:rPr>
          <w:snapToGrid w:val="0"/>
          <w:color w:val="auto"/>
        </w:rPr>
      </w:pPr>
      <w:bookmarkStart w:id="208" w:name="_Toc182499022"/>
      <w:r>
        <w:rPr>
          <w:snapToGrid w:val="0"/>
          <w:color w:val="auto"/>
        </w:rPr>
        <w:t>14.1  一般规定</w:t>
      </w:r>
      <w:bookmarkEnd w:id="208"/>
    </w:p>
    <w:p w14:paraId="10E24A2A">
      <w:pPr>
        <w:adjustRightInd w:val="0"/>
        <w:snapToGrid w:val="0"/>
        <w:spacing w:line="340" w:lineRule="exact"/>
        <w:rPr>
          <w:color w:val="auto"/>
          <w:szCs w:val="21"/>
        </w:rPr>
      </w:pPr>
      <w:r>
        <w:rPr>
          <w:b/>
          <w:bCs/>
          <w:color w:val="auto"/>
          <w:szCs w:val="21"/>
        </w:rPr>
        <w:t xml:space="preserve">14.1.2  </w:t>
      </w:r>
      <w:r>
        <w:rPr>
          <w:color w:val="auto"/>
          <w:szCs w:val="21"/>
        </w:rPr>
        <w:t>建筑物分为甲类、乙类、丙类、丁类四个抗震设防类别。抗震设防类别划分应遵照国家标准</w:t>
      </w:r>
      <w:r>
        <w:rPr>
          <w:rFonts w:hint="eastAsia"/>
          <w:color w:val="auto"/>
          <w:szCs w:val="21"/>
        </w:rPr>
        <w:t>G</w:t>
      </w:r>
      <w:r>
        <w:rPr>
          <w:color w:val="auto"/>
          <w:szCs w:val="21"/>
        </w:rPr>
        <w:t>B</w:t>
      </w:r>
      <w:r>
        <w:rPr>
          <w:rFonts w:hint="eastAsia"/>
          <w:color w:val="auto"/>
          <w:szCs w:val="21"/>
          <w:lang w:val="en-US" w:eastAsia="zh-CN"/>
        </w:rPr>
        <w:t xml:space="preserve"> </w:t>
      </w:r>
      <w:r>
        <w:rPr>
          <w:color w:val="auto"/>
          <w:szCs w:val="21"/>
        </w:rPr>
        <w:t>55002</w:t>
      </w:r>
      <w:r>
        <w:rPr>
          <w:rFonts w:hint="eastAsia"/>
          <w:color w:val="auto"/>
          <w:szCs w:val="21"/>
        </w:rPr>
        <w:t>和</w:t>
      </w:r>
      <w:r>
        <w:rPr>
          <w:color w:val="auto"/>
          <w:szCs w:val="21"/>
        </w:rPr>
        <w:t>GB</w:t>
      </w:r>
      <w:r>
        <w:rPr>
          <w:rFonts w:hint="eastAsia"/>
          <w:color w:val="auto"/>
          <w:szCs w:val="21"/>
        </w:rPr>
        <w:t xml:space="preserve"> </w:t>
      </w:r>
      <w:r>
        <w:rPr>
          <w:color w:val="auto"/>
          <w:szCs w:val="21"/>
        </w:rPr>
        <w:t>50223的规定。本条考虑局部突出地形对地震参数的放大作用，由于情况比较复杂，对各种可能出现情况的地震动参数的放大作用都做出具体规定是很困难的。GB</w:t>
      </w:r>
      <w:r>
        <w:rPr>
          <w:rFonts w:hint="eastAsia"/>
          <w:color w:val="auto"/>
          <w:szCs w:val="21"/>
        </w:rPr>
        <w:t xml:space="preserve"> </w:t>
      </w:r>
      <w:r>
        <w:rPr>
          <w:color w:val="auto"/>
          <w:szCs w:val="21"/>
        </w:rPr>
        <w:t>55002</w:t>
      </w:r>
      <w:r>
        <w:rPr>
          <w:rFonts w:hint="eastAsia"/>
          <w:color w:val="auto"/>
          <w:szCs w:val="21"/>
        </w:rPr>
        <w:t>-</w:t>
      </w:r>
      <w:r>
        <w:rPr>
          <w:color w:val="auto"/>
          <w:szCs w:val="21"/>
        </w:rPr>
        <w:t>2021第4.1.1条文说明给出了增大系数的计算公式，可供参考。</w:t>
      </w:r>
    </w:p>
    <w:p w14:paraId="21869A22">
      <w:pPr>
        <w:adjustRightInd w:val="0"/>
        <w:snapToGrid w:val="0"/>
        <w:spacing w:line="340" w:lineRule="exact"/>
        <w:rPr>
          <w:color w:val="auto"/>
          <w:szCs w:val="21"/>
        </w:rPr>
      </w:pPr>
      <w:r>
        <w:rPr>
          <w:b/>
          <w:bCs/>
          <w:color w:val="auto"/>
          <w:szCs w:val="21"/>
        </w:rPr>
        <w:t>14.1.4</w:t>
      </w:r>
      <w:r>
        <w:rPr>
          <w:color w:val="auto"/>
          <w:szCs w:val="21"/>
        </w:rPr>
        <w:t xml:space="preserve">  同一结构单元的基础不宜设置在性质截然不同的地基上，或部分采用天然地基部分采用桩基，主要是考虑地震波的影响不同而对建筑抗震不利。另外尚应考虑性质截然不同的地基或部分天然地基部分桩基对沉降的不利影响。墩基础为埋置深度较深的深基础，属于天然地基，其有关规定详见本文件的第13章。至于复合地基与天然地基在同一结构单元的使用问题，应考虑二者模量的差异，当模量相近时，可考虑同时使用。</w:t>
      </w:r>
    </w:p>
    <w:p w14:paraId="3C009394">
      <w:pPr>
        <w:adjustRightInd w:val="0"/>
        <w:snapToGrid w:val="0"/>
        <w:spacing w:line="340" w:lineRule="exact"/>
        <w:rPr>
          <w:color w:val="auto"/>
          <w:szCs w:val="21"/>
        </w:rPr>
      </w:pPr>
      <w:r>
        <w:rPr>
          <w:color w:val="auto"/>
          <w:szCs w:val="21"/>
        </w:rPr>
        <w:t xml:space="preserve">    本条根据GB</w:t>
      </w:r>
      <w:r>
        <w:rPr>
          <w:rFonts w:hint="eastAsia"/>
          <w:color w:val="auto"/>
          <w:szCs w:val="21"/>
        </w:rPr>
        <w:t xml:space="preserve"> </w:t>
      </w:r>
      <w:r>
        <w:rPr>
          <w:color w:val="auto"/>
          <w:szCs w:val="21"/>
        </w:rPr>
        <w:t>50011的规定，针对山区房屋边坡工程和地基基础设计，提出了明确的抗震要求。抗震设计方法可参考GB</w:t>
      </w:r>
      <w:r>
        <w:rPr>
          <w:rFonts w:hint="eastAsia"/>
          <w:color w:val="auto"/>
          <w:szCs w:val="21"/>
        </w:rPr>
        <w:t xml:space="preserve"> </w:t>
      </w:r>
      <w:r>
        <w:rPr>
          <w:color w:val="auto"/>
          <w:szCs w:val="21"/>
        </w:rPr>
        <w:t>50011-2010第3.3.5条文说明。</w:t>
      </w:r>
    </w:p>
    <w:p w14:paraId="4893F61A">
      <w:pPr>
        <w:adjustRightInd w:val="0"/>
        <w:snapToGrid w:val="0"/>
        <w:spacing w:line="340" w:lineRule="exact"/>
        <w:rPr>
          <w:color w:val="auto"/>
          <w:szCs w:val="21"/>
        </w:rPr>
      </w:pPr>
      <w:r>
        <w:rPr>
          <w:b/>
          <w:bCs/>
          <w:color w:val="auto"/>
          <w:szCs w:val="21"/>
        </w:rPr>
        <w:t>14.1.5</w:t>
      </w:r>
      <w:r>
        <w:rPr>
          <w:color w:val="auto"/>
          <w:szCs w:val="21"/>
        </w:rPr>
        <w:t xml:space="preserve">  框架—抗震墙结构</w:t>
      </w:r>
      <w:r>
        <w:rPr>
          <w:snapToGrid w:val="0"/>
          <w:color w:val="auto"/>
          <w:szCs w:val="21"/>
        </w:rPr>
        <w:t>、板柱-抗震墙结构</w:t>
      </w:r>
      <w:r>
        <w:rPr>
          <w:color w:val="auto"/>
          <w:szCs w:val="21"/>
        </w:rPr>
        <w:t>中的抗震墙和部分框支抗震墙结构的落地抗震墙以及底部框架—抗震墙砌体房屋中的落地抗震墙均是这类结构中的主要抗侧力构件，当地基土较弱，基础刚度和整体性较差，在地震作用下抗震墙基础将产生较大的转动，从而降低了抗震墙的抗侧力刚度，对内力和位移都将产生不利影响。</w:t>
      </w:r>
    </w:p>
    <w:p w14:paraId="47E3E5DC">
      <w:pPr>
        <w:pStyle w:val="77"/>
        <w:rPr>
          <w:color w:val="auto"/>
        </w:rPr>
      </w:pPr>
      <w:bookmarkStart w:id="209" w:name="_Toc182499023"/>
      <w:r>
        <w:rPr>
          <w:color w:val="auto"/>
        </w:rPr>
        <w:t>14.2  天然地基和复合地基</w:t>
      </w:r>
      <w:bookmarkEnd w:id="209"/>
    </w:p>
    <w:p w14:paraId="0F45C573">
      <w:pPr>
        <w:adjustRightInd w:val="0"/>
        <w:snapToGrid w:val="0"/>
        <w:spacing w:line="340" w:lineRule="exact"/>
        <w:rPr>
          <w:color w:val="auto"/>
          <w:szCs w:val="21"/>
        </w:rPr>
      </w:pPr>
      <w:r>
        <w:rPr>
          <w:b/>
          <w:bCs/>
          <w:snapToGrid w:val="0"/>
          <w:color w:val="auto"/>
          <w:szCs w:val="21"/>
        </w:rPr>
        <w:t xml:space="preserve">14.2.1  </w:t>
      </w:r>
      <w:r>
        <w:rPr>
          <w:bCs/>
          <w:snapToGrid w:val="0"/>
          <w:color w:val="auto"/>
          <w:szCs w:val="21"/>
        </w:rPr>
        <w:t>本条</w:t>
      </w:r>
      <w:r>
        <w:rPr>
          <w:snapToGrid w:val="0"/>
          <w:color w:val="auto"/>
          <w:szCs w:val="21"/>
        </w:rPr>
        <w:t>参考</w:t>
      </w:r>
      <w:r>
        <w:rPr>
          <w:rFonts w:hint="eastAsia"/>
          <w:snapToGrid w:val="0"/>
          <w:color w:val="auto"/>
          <w:szCs w:val="21"/>
        </w:rPr>
        <w:t>G</w:t>
      </w:r>
      <w:r>
        <w:rPr>
          <w:snapToGrid w:val="0"/>
          <w:color w:val="auto"/>
          <w:szCs w:val="21"/>
        </w:rPr>
        <w:t>B</w:t>
      </w:r>
      <w:r>
        <w:rPr>
          <w:rFonts w:hint="eastAsia"/>
          <w:snapToGrid w:val="0"/>
          <w:color w:val="auto"/>
          <w:szCs w:val="21"/>
          <w:lang w:val="en-US" w:eastAsia="zh-CN"/>
        </w:rPr>
        <w:t xml:space="preserve"> </w:t>
      </w:r>
      <w:r>
        <w:rPr>
          <w:snapToGrid w:val="0"/>
          <w:color w:val="auto"/>
          <w:szCs w:val="21"/>
        </w:rPr>
        <w:t>55002</w:t>
      </w:r>
      <w:r>
        <w:rPr>
          <w:rFonts w:hint="eastAsia"/>
          <w:snapToGrid w:val="0"/>
          <w:color w:val="auto"/>
          <w:szCs w:val="21"/>
        </w:rPr>
        <w:t>和</w:t>
      </w:r>
      <w:r>
        <w:rPr>
          <w:color w:val="auto"/>
          <w:szCs w:val="21"/>
        </w:rPr>
        <w:t>GB</w:t>
      </w:r>
      <w:r>
        <w:rPr>
          <w:rFonts w:hint="eastAsia"/>
          <w:color w:val="auto"/>
          <w:szCs w:val="21"/>
        </w:rPr>
        <w:t xml:space="preserve"> </w:t>
      </w:r>
      <w:r>
        <w:rPr>
          <w:color w:val="auto"/>
          <w:szCs w:val="21"/>
        </w:rPr>
        <w:t>50011最新修订版的规定进行了修改。</w:t>
      </w:r>
      <w:r>
        <w:rPr>
          <w:rFonts w:hint="eastAsia"/>
          <w:color w:val="auto"/>
          <w:szCs w:val="21"/>
        </w:rPr>
        <w:t>G</w:t>
      </w:r>
      <w:r>
        <w:rPr>
          <w:color w:val="auto"/>
          <w:szCs w:val="21"/>
        </w:rPr>
        <w:t>B</w:t>
      </w:r>
      <w:r>
        <w:rPr>
          <w:rFonts w:hint="eastAsia"/>
          <w:color w:val="auto"/>
          <w:szCs w:val="21"/>
          <w:lang w:val="en-US" w:eastAsia="zh-CN"/>
        </w:rPr>
        <w:t xml:space="preserve"> </w:t>
      </w:r>
      <w:r>
        <w:rPr>
          <w:color w:val="auto"/>
          <w:szCs w:val="21"/>
        </w:rPr>
        <w:t>55002对上部结构规定各类建筑均应进行构件截面</w:t>
      </w:r>
      <w:r>
        <w:rPr>
          <w:rFonts w:hint="eastAsia"/>
          <w:color w:val="auto"/>
          <w:szCs w:val="21"/>
        </w:rPr>
        <w:t>抗震承载力验算，因此当抗震设防烈度为6度时，天然地基、复合地基及基础除本条规定可不进行抗震承载力验算以外的建筑均应进行抗震承载力验算。</w:t>
      </w:r>
    </w:p>
    <w:p w14:paraId="5B049CFF">
      <w:pPr>
        <w:adjustRightInd w:val="0"/>
        <w:snapToGrid w:val="0"/>
        <w:spacing w:line="340" w:lineRule="exact"/>
        <w:rPr>
          <w:color w:val="auto"/>
          <w:szCs w:val="21"/>
        </w:rPr>
      </w:pPr>
      <w:r>
        <w:rPr>
          <w:b/>
          <w:bCs/>
          <w:color w:val="auto"/>
          <w:szCs w:val="21"/>
        </w:rPr>
        <w:t>14.2.2~14.2.4</w:t>
      </w:r>
      <w:r>
        <w:rPr>
          <w:color w:val="auto"/>
          <w:szCs w:val="21"/>
        </w:rPr>
        <w:t xml:space="preserve">  在地震作用下，基底压力计算应采用地震作用效应标准组合，即各作用分项系数均取1.0的组合。</w:t>
      </w:r>
    </w:p>
    <w:p w14:paraId="6D7D5C5B">
      <w:pPr>
        <w:pStyle w:val="77"/>
        <w:rPr>
          <w:color w:val="auto"/>
        </w:rPr>
      </w:pPr>
      <w:bookmarkStart w:id="210" w:name="_Toc182499024"/>
      <w:r>
        <w:rPr>
          <w:color w:val="auto"/>
        </w:rPr>
        <w:t>14.3   桩   基</w:t>
      </w:r>
      <w:bookmarkEnd w:id="210"/>
    </w:p>
    <w:p w14:paraId="4681F679">
      <w:pPr>
        <w:adjustRightInd w:val="0"/>
        <w:snapToGrid w:val="0"/>
        <w:spacing w:line="340" w:lineRule="exact"/>
        <w:rPr>
          <w:color w:val="auto"/>
          <w:szCs w:val="21"/>
        </w:rPr>
      </w:pPr>
      <w:r>
        <w:rPr>
          <w:b/>
          <w:bCs/>
          <w:color w:val="auto"/>
          <w:szCs w:val="21"/>
        </w:rPr>
        <w:t>14.3.1</w:t>
      </w:r>
      <w:r>
        <w:rPr>
          <w:color w:val="auto"/>
          <w:szCs w:val="21"/>
        </w:rPr>
        <w:t xml:space="preserve">  根据GB55002的规定</w:t>
      </w:r>
      <w:r>
        <w:rPr>
          <w:rFonts w:hint="eastAsia"/>
          <w:color w:val="auto"/>
          <w:szCs w:val="21"/>
        </w:rPr>
        <w:t>，</w:t>
      </w:r>
      <w:r>
        <w:rPr>
          <w:color w:val="auto"/>
          <w:szCs w:val="21"/>
        </w:rPr>
        <w:t>本条</w:t>
      </w:r>
      <w:r>
        <w:rPr>
          <w:rFonts w:hint="eastAsia"/>
          <w:color w:val="auto"/>
          <w:szCs w:val="21"/>
        </w:rPr>
        <w:t>扩大</w:t>
      </w:r>
      <w:r>
        <w:rPr>
          <w:color w:val="auto"/>
          <w:szCs w:val="21"/>
        </w:rPr>
        <w:t>了</w:t>
      </w:r>
      <w:r>
        <w:rPr>
          <w:rFonts w:hint="eastAsia" w:hAnsi="宋体"/>
          <w:snapToGrid w:val="0"/>
          <w:color w:val="auto"/>
          <w:spacing w:val="-2"/>
          <w:szCs w:val="21"/>
        </w:rPr>
        <w:t>抗震设防烈度为6度时</w:t>
      </w:r>
      <w:r>
        <w:rPr>
          <w:rFonts w:hint="eastAsia"/>
          <w:color w:val="auto"/>
          <w:szCs w:val="21"/>
        </w:rPr>
        <w:t>应</w:t>
      </w:r>
      <w:r>
        <w:rPr>
          <w:color w:val="auto"/>
          <w:szCs w:val="21"/>
        </w:rPr>
        <w:t>进行</w:t>
      </w:r>
      <w:r>
        <w:rPr>
          <w:rFonts w:hAnsi="宋体"/>
          <w:snapToGrid w:val="0"/>
          <w:color w:val="auto"/>
          <w:spacing w:val="-2"/>
          <w:szCs w:val="21"/>
        </w:rPr>
        <w:t>桩基抗震承载力验算的建筑范围</w:t>
      </w:r>
      <w:r>
        <w:rPr>
          <w:rFonts w:hint="eastAsia" w:hAnsi="宋体"/>
          <w:snapToGrid w:val="0"/>
          <w:color w:val="auto"/>
          <w:spacing w:val="-2"/>
          <w:szCs w:val="21"/>
        </w:rPr>
        <w:t>。</w:t>
      </w:r>
    </w:p>
    <w:p w14:paraId="435F063B">
      <w:pPr>
        <w:adjustRightInd w:val="0"/>
        <w:snapToGrid w:val="0"/>
        <w:spacing w:line="340" w:lineRule="exact"/>
        <w:rPr>
          <w:color w:val="auto"/>
          <w:szCs w:val="21"/>
        </w:rPr>
      </w:pPr>
      <w:r>
        <w:rPr>
          <w:b/>
          <w:bCs/>
          <w:color w:val="auto"/>
          <w:szCs w:val="21"/>
        </w:rPr>
        <w:t>14.3.2</w:t>
      </w:r>
      <w:r>
        <w:rPr>
          <w:color w:val="auto"/>
          <w:szCs w:val="21"/>
        </w:rPr>
        <w:t xml:space="preserve">  对于单桩水平向承载力抗震验算，本条根据上海市DGJ</w:t>
      </w:r>
      <w:r>
        <w:rPr>
          <w:rFonts w:hint="eastAsia"/>
          <w:color w:val="auto"/>
          <w:szCs w:val="21"/>
          <w:lang w:val="en-US" w:eastAsia="zh-CN"/>
        </w:rPr>
        <w:t xml:space="preserve"> </w:t>
      </w:r>
      <w:r>
        <w:rPr>
          <w:color w:val="auto"/>
          <w:szCs w:val="21"/>
        </w:rPr>
        <w:t>08-11-1999提出7度抗震设防烈度的低桩承台，符合条件的丙、丁类建筑可不进行单桩水平向承载力抗震验算，并由承台(或地下室)正面填土的水平抗力(取被动土压的1/3)与桩共同承担水平地震作用的计算方法。</w:t>
      </w:r>
    </w:p>
    <w:p w14:paraId="69886417">
      <w:pPr>
        <w:pStyle w:val="77"/>
        <w:rPr>
          <w:snapToGrid w:val="0"/>
          <w:color w:val="auto"/>
        </w:rPr>
      </w:pPr>
      <w:bookmarkStart w:id="211" w:name="_Toc182499025"/>
      <w:r>
        <w:rPr>
          <w:snapToGrid w:val="0"/>
          <w:color w:val="auto"/>
        </w:rPr>
        <w:t>14.4   抗震措施</w:t>
      </w:r>
      <w:bookmarkEnd w:id="211"/>
    </w:p>
    <w:p w14:paraId="266E67BB">
      <w:pPr>
        <w:adjustRightInd w:val="0"/>
        <w:snapToGrid w:val="0"/>
        <w:rPr>
          <w:color w:val="auto"/>
        </w:rPr>
      </w:pPr>
      <w:r>
        <w:rPr>
          <w:color w:val="auto"/>
        </w:rPr>
        <w:t xml:space="preserve">    （无说明）</w:t>
      </w:r>
    </w:p>
    <w:p w14:paraId="3C770F40">
      <w:pPr>
        <w:pStyle w:val="34"/>
        <w:numPr>
          <w:ilvl w:val="0"/>
          <w:numId w:val="3"/>
        </w:numPr>
        <w:rPr>
          <w:b/>
          <w:bCs w:val="0"/>
          <w:color w:val="auto"/>
        </w:rPr>
      </w:pPr>
      <w:bookmarkStart w:id="212" w:name="_Toc182499026"/>
      <w:r>
        <w:rPr>
          <w:b/>
          <w:bCs w:val="0"/>
          <w:color w:val="auto"/>
        </w:rPr>
        <w:t>地基基础施工</w:t>
      </w:r>
      <w:bookmarkEnd w:id="212"/>
    </w:p>
    <w:p w14:paraId="480DABE0">
      <w:pPr>
        <w:pStyle w:val="77"/>
        <w:rPr>
          <w:color w:val="auto"/>
        </w:rPr>
      </w:pPr>
      <w:bookmarkStart w:id="213" w:name="_Toc182499027"/>
      <w:r>
        <w:rPr>
          <w:color w:val="auto"/>
        </w:rPr>
        <w:t>15.1  一般规定</w:t>
      </w:r>
      <w:bookmarkEnd w:id="213"/>
    </w:p>
    <w:p w14:paraId="053D01FF">
      <w:pPr>
        <w:snapToGrid w:val="0"/>
        <w:spacing w:line="340" w:lineRule="atLeast"/>
        <w:rPr>
          <w:color w:val="auto"/>
          <w:szCs w:val="21"/>
        </w:rPr>
      </w:pPr>
      <w:r>
        <w:rPr>
          <w:rFonts w:eastAsia="黑体"/>
          <w:b/>
          <w:color w:val="auto"/>
          <w:szCs w:val="21"/>
        </w:rPr>
        <w:t>15.1.1</w:t>
      </w:r>
      <w:r>
        <w:rPr>
          <w:color w:val="auto"/>
          <w:szCs w:val="21"/>
        </w:rPr>
        <w:t xml:space="preserve">  地基与基础工程的施工，场地的岩土工程地质勘察资料非常重要。基础工程的施工又影响邻近建筑物和地下设施，对这些建筑物及设施的类型、分布及结构状况的掌握，有利于基础工程施工的安全与质量，同时又可使这些设施得到保护。由于地质资料不详或对邻近建筑物与设施没有充分重视而造成的基础工程质量事故或邻近建筑物与设施的破坏，时有发生。施工前尽可能准确掌握必要的资料，做到心中有数是非常重要的。施工依据之一是设计图纸及文件，施工组织设计或施工方案是指导施工的必要文件，本条第b)、</w:t>
      </w:r>
      <w:r>
        <w:rPr>
          <w:rFonts w:hint="eastAsia"/>
          <w:color w:val="auto"/>
          <w:szCs w:val="21"/>
        </w:rPr>
        <w:t>d</w:t>
      </w:r>
      <w:r>
        <w:rPr>
          <w:color w:val="auto"/>
          <w:szCs w:val="21"/>
        </w:rPr>
        <w:t>)款是必须的。基础施工若需开挖基坑，为保证基坑周边环境、边坡及工程桩的安全与质量，应制定相应的边坡支护、土方开挖、降排水等设计与施工方案。深基坑工程需遵循湖北省地方标准DB</w:t>
      </w:r>
      <w:r>
        <w:rPr>
          <w:rFonts w:hint="eastAsia"/>
          <w:color w:val="auto"/>
          <w:szCs w:val="21"/>
          <w:lang w:val="en-US" w:eastAsia="zh-CN"/>
        </w:rPr>
        <w:t xml:space="preserve"> </w:t>
      </w:r>
      <w:r>
        <w:rPr>
          <w:color w:val="auto"/>
          <w:szCs w:val="21"/>
        </w:rPr>
        <w:t>42/T159的有关规定，施工遇汛期尚应遵守防汛管理部门的有关规定。</w:t>
      </w:r>
    </w:p>
    <w:p w14:paraId="6C8FE4FC">
      <w:pPr>
        <w:snapToGrid w:val="0"/>
        <w:spacing w:line="340" w:lineRule="atLeast"/>
        <w:rPr>
          <w:color w:val="auto"/>
          <w:szCs w:val="21"/>
        </w:rPr>
      </w:pPr>
      <w:r>
        <w:rPr>
          <w:b/>
          <w:color w:val="auto"/>
          <w:szCs w:val="21"/>
        </w:rPr>
        <w:t xml:space="preserve">15.1.2 </w:t>
      </w:r>
      <w:r>
        <w:rPr>
          <w:color w:val="auto"/>
          <w:szCs w:val="21"/>
        </w:rPr>
        <w:t xml:space="preserve"> 地基基础技术要求严格，属隐蔽工程，关系到整个工程的安全，必须强化地基基础工程的验收，参加验收的各方人员需符合GB</w:t>
      </w:r>
      <w:r>
        <w:rPr>
          <w:rFonts w:hint="eastAsia"/>
          <w:color w:val="auto"/>
          <w:szCs w:val="21"/>
        </w:rPr>
        <w:t xml:space="preserve"> </w:t>
      </w:r>
      <w:r>
        <w:rPr>
          <w:color w:val="auto"/>
          <w:szCs w:val="21"/>
        </w:rPr>
        <w:t>50300的要求。地基基础工程施工中，虽有勘探资料，但常有与地勘资料不符或异常情况发生，致使工程不能顺利进行。为避免不必要的事故或损失，施工遇到异常情况出现应停止施工，待妥善解决后再继续施工。本条文主要强调了基础施工的基本工作程序及对坑底土的核验要求。</w:t>
      </w:r>
    </w:p>
    <w:p w14:paraId="4CB95B4F">
      <w:pPr>
        <w:snapToGrid w:val="0"/>
        <w:spacing w:line="340" w:lineRule="atLeast"/>
        <w:rPr>
          <w:color w:val="auto"/>
          <w:szCs w:val="21"/>
        </w:rPr>
      </w:pPr>
      <w:r>
        <w:rPr>
          <w:b/>
          <w:color w:val="auto"/>
          <w:szCs w:val="21"/>
        </w:rPr>
        <w:t xml:space="preserve">15.1.3 </w:t>
      </w:r>
      <w:r>
        <w:rPr>
          <w:color w:val="auto"/>
          <w:szCs w:val="21"/>
        </w:rPr>
        <w:t xml:space="preserve"> 由于地下工程的不确定性因素较多，沉降观测数据能较准确地反映建筑物在施工期间地基基础的实际沉降变形程度与趋势，应以此作为确定施工作业方法的依据之一，同时可检验地基基础成果的质量。</w:t>
      </w:r>
    </w:p>
    <w:p w14:paraId="3880EDEF">
      <w:pPr>
        <w:snapToGrid w:val="0"/>
        <w:spacing w:line="340" w:lineRule="atLeast"/>
        <w:rPr>
          <w:color w:val="auto"/>
          <w:szCs w:val="21"/>
        </w:rPr>
      </w:pPr>
      <w:r>
        <w:rPr>
          <w:b/>
          <w:color w:val="auto"/>
          <w:szCs w:val="21"/>
        </w:rPr>
        <w:t xml:space="preserve">15.1.4  </w:t>
      </w:r>
      <w:r>
        <w:rPr>
          <w:color w:val="auto"/>
          <w:szCs w:val="21"/>
        </w:rPr>
        <w:t>当前地基与基础工程中，由于片面追求节省投资和加快进度，对安全性和环境保护缺乏足够的重视和预见，往往导致施工过程中对场区周边建（构）筑物、各类设施、居民正常生活产生较大的影响，有的甚至造成事故。因此强调事先制定针对性的防护措施。</w:t>
      </w:r>
    </w:p>
    <w:p w14:paraId="08AAC059">
      <w:pPr>
        <w:rPr>
          <w:b/>
          <w:color w:val="auto"/>
          <w:szCs w:val="21"/>
        </w:rPr>
      </w:pPr>
      <w:r>
        <w:rPr>
          <w:b/>
          <w:color w:val="auto"/>
          <w:szCs w:val="21"/>
        </w:rPr>
        <w:t xml:space="preserve">15.1.5  </w:t>
      </w:r>
    </w:p>
    <w:p w14:paraId="7C98209B">
      <w:pPr>
        <w:snapToGrid w:val="0"/>
        <w:spacing w:line="340" w:lineRule="atLeast"/>
        <w:ind w:firstLine="422" w:firstLineChars="200"/>
        <w:rPr>
          <w:color w:val="auto"/>
          <w:szCs w:val="21"/>
        </w:rPr>
      </w:pPr>
      <w:r>
        <w:rPr>
          <w:b/>
          <w:color w:val="auto"/>
          <w:szCs w:val="21"/>
        </w:rPr>
        <w:t>a)</w:t>
      </w:r>
      <w:r>
        <w:rPr>
          <w:rFonts w:hint="eastAsia"/>
          <w:color w:val="auto"/>
          <w:szCs w:val="21"/>
        </w:rPr>
        <w:t xml:space="preserve">  </w:t>
      </w:r>
      <w:r>
        <w:rPr>
          <w:color w:val="auto"/>
          <w:szCs w:val="21"/>
        </w:rPr>
        <w:t>对水下浇筑混凝土的钻孔桩，为保证桩端阻力的发挥，施工过程中对孔底沉渣厚度的控制至关重要。终孔后虽然进行了清孔，但因安装钢筋笼、导管对孔壁的影响以及孔内泥浆的沉淀等因素，在浇注混凝土前必须再次检测桩端沉渣厚度，</w:t>
      </w:r>
      <w:r>
        <w:rPr>
          <w:rFonts w:hint="eastAsia"/>
          <w:color w:val="auto"/>
          <w:szCs w:val="21"/>
        </w:rPr>
        <w:t>特别是施工中出现成孔完成后到浇筑前放置的时间过长、施工中塌孔、钢筋笼或导管挂/刮孔壁等异常情况可能造成沉渣厚度过大的桩更应仔细检测，</w:t>
      </w:r>
      <w:r>
        <w:rPr>
          <w:color w:val="auto"/>
          <w:szCs w:val="21"/>
        </w:rPr>
        <w:t>当沉渣厚度超过规定时应进行二次清孔。</w:t>
      </w:r>
      <w:r>
        <w:rPr>
          <w:rFonts w:hint="eastAsia"/>
          <w:color w:val="auto"/>
          <w:szCs w:val="21"/>
        </w:rPr>
        <w:t>二次清孔宜采用导管顶部加装反循环或气举反循环装置进行清孔。对于孔壁无粗颗粒土采用正循环成孔的桩，钢筋笼及导管安装后应继续进行泥浆置换清孔，直至混凝土灌注前经检查沉渣厚度满足要求后，方可停止清孔。钻孔灌注桩在水下浇筑混凝土前，除对孔底沉渣厚度采用专门仪器进行测量并记录外，尚应测量孔深是否与终孔时一致。</w:t>
      </w:r>
    </w:p>
    <w:p w14:paraId="17DCCE1E">
      <w:pPr>
        <w:snapToGrid w:val="0"/>
        <w:spacing w:line="340" w:lineRule="atLeast"/>
        <w:ind w:firstLine="422" w:firstLineChars="200"/>
        <w:rPr>
          <w:color w:val="auto"/>
          <w:szCs w:val="21"/>
        </w:rPr>
      </w:pPr>
      <w:r>
        <w:rPr>
          <w:b/>
          <w:color w:val="auto"/>
          <w:szCs w:val="21"/>
        </w:rPr>
        <w:t>b)</w:t>
      </w:r>
      <w:r>
        <w:rPr>
          <w:rFonts w:hint="eastAsia"/>
          <w:b/>
          <w:color w:val="auto"/>
          <w:szCs w:val="21"/>
        </w:rPr>
        <w:t xml:space="preserve"> </w:t>
      </w:r>
      <w:r>
        <w:rPr>
          <w:rFonts w:hint="eastAsia"/>
          <w:color w:val="auto"/>
          <w:szCs w:val="21"/>
        </w:rPr>
        <w:t xml:space="preserve"> </w:t>
      </w:r>
      <w:r>
        <w:rPr>
          <w:color w:val="auto"/>
          <w:szCs w:val="21"/>
        </w:rPr>
        <w:t>钻孔灌注桩在水下浇筑混凝土时，由于钢筋笼和导管挂/刮孔壁、钢筋笼和导管安放过程中塌孔、泥浆沉淀等因素产生的孔底沉渣往往较厚。钻芯检测表明：水下浇筑混凝土的钻孔桩桩底沉渣厚度过大问题较为普遍，严重影响了工程质量，遗留了较大的安全隐患，因此在混凝土浇筑前必须进行沉渣厚度检测，保证成桩质量和工程安全。</w:t>
      </w:r>
    </w:p>
    <w:p w14:paraId="396D933B">
      <w:pPr>
        <w:snapToGrid w:val="0"/>
        <w:spacing w:line="340" w:lineRule="atLeast"/>
        <w:rPr>
          <w:color w:val="auto"/>
          <w:szCs w:val="21"/>
        </w:rPr>
      </w:pPr>
      <w:r>
        <w:rPr>
          <w:color w:val="auto"/>
          <w:szCs w:val="21"/>
        </w:rPr>
        <w:t>15.1.6  近年对于桩底不同沉渣厚度的试桩结果表明，沉渣厚度不仅影响端阻力的发挥，也影响侧阻力的发挥。浇注混凝土之前，孔底沉渣厚度指标的规定，对端承型桩不应大于50mm；对摩擦型桩不应大于100mm，这是多年灌注桩的施工经验。</w:t>
      </w:r>
    </w:p>
    <w:p w14:paraId="6E3FC070">
      <w:pPr>
        <w:pStyle w:val="77"/>
        <w:rPr>
          <w:color w:val="auto"/>
        </w:rPr>
      </w:pPr>
      <w:bookmarkStart w:id="214" w:name="_Toc182499028"/>
      <w:r>
        <w:rPr>
          <w:color w:val="auto"/>
        </w:rPr>
        <w:t>15.2  土方开挖与回填</w:t>
      </w:r>
      <w:bookmarkEnd w:id="214"/>
    </w:p>
    <w:p w14:paraId="3259DF67">
      <w:pPr>
        <w:snapToGrid w:val="0"/>
        <w:spacing w:line="340" w:lineRule="atLeast"/>
        <w:rPr>
          <w:color w:val="auto"/>
          <w:szCs w:val="21"/>
        </w:rPr>
      </w:pPr>
      <w:r>
        <w:rPr>
          <w:b/>
          <w:color w:val="auto"/>
          <w:szCs w:val="21"/>
        </w:rPr>
        <w:t>15.2.1</w:t>
      </w:r>
      <w:r>
        <w:rPr>
          <w:color w:val="auto"/>
          <w:szCs w:val="21"/>
        </w:rPr>
        <w:t xml:space="preserve">  土方开挖是地基基础施工中一项很重要的工作，为指导土方开挖，需制定详细的土方开挖施工方案。为保证方案的完整性、可行性、安全性与经济性，条文对方案的具体内容作出了明确的规定，如降排水措施及季节性施工措施、支护方案、应急措施等。</w:t>
      </w:r>
    </w:p>
    <w:p w14:paraId="55D341FE">
      <w:pPr>
        <w:snapToGrid w:val="0"/>
        <w:spacing w:line="340" w:lineRule="atLeast"/>
        <w:rPr>
          <w:color w:val="auto"/>
          <w:szCs w:val="21"/>
        </w:rPr>
      </w:pPr>
      <w:r>
        <w:rPr>
          <w:b/>
          <w:color w:val="auto"/>
          <w:szCs w:val="21"/>
        </w:rPr>
        <w:t>15.2.3</w:t>
      </w:r>
      <w:r>
        <w:rPr>
          <w:color w:val="auto"/>
          <w:szCs w:val="21"/>
        </w:rPr>
        <w:t xml:space="preserve">  土方开挖要分层均衡进行很重要，分层厚度应根据工程的具体情况（包括土质、环境等）决定，开挖本身是一种卸荷过程，应防止局部区域挖土过深、卸载过速，降低土体抗剪性能，引起土体失稳。由于土方未分层开挖造成的基坑失事、工程桩的偏斜甚至断裂事故时有发生，因此对挖土顺序必须认真对待。挖出的土方如堆置于基坑边，将会使基坑的实际主动土压力超过计算值，对软土区极易造成基坑边坡失稳</w:t>
      </w:r>
      <w:r>
        <w:rPr>
          <w:rFonts w:hint="eastAsia"/>
          <w:color w:val="auto"/>
          <w:szCs w:val="21"/>
        </w:rPr>
        <w:t>，</w:t>
      </w:r>
      <w:r>
        <w:rPr>
          <w:color w:val="auto"/>
          <w:szCs w:val="21"/>
        </w:rPr>
        <w:t>当土质较好确需在基坑边临时堆土时</w:t>
      </w:r>
      <w:r>
        <w:rPr>
          <w:rFonts w:hint="eastAsia"/>
          <w:color w:val="auto"/>
          <w:szCs w:val="21"/>
        </w:rPr>
        <w:t>，</w:t>
      </w:r>
      <w:r>
        <w:rPr>
          <w:color w:val="auto"/>
          <w:szCs w:val="21"/>
        </w:rPr>
        <w:t>应</w:t>
      </w:r>
      <w:r>
        <w:rPr>
          <w:rFonts w:hint="eastAsia"/>
          <w:color w:val="auto"/>
          <w:szCs w:val="21"/>
        </w:rPr>
        <w:t>进行</w:t>
      </w:r>
      <w:r>
        <w:rPr>
          <w:color w:val="auto"/>
          <w:szCs w:val="21"/>
        </w:rPr>
        <w:t>专门设计</w:t>
      </w:r>
      <w:r>
        <w:rPr>
          <w:rFonts w:hint="eastAsia"/>
          <w:color w:val="auto"/>
          <w:szCs w:val="21"/>
        </w:rPr>
        <w:t>，</w:t>
      </w:r>
      <w:r>
        <w:rPr>
          <w:color w:val="auto"/>
          <w:szCs w:val="21"/>
        </w:rPr>
        <w:t>充分考虑地面超载的作用。根据武汉地区的大量工程实践经验，为防止挖土机械对工程桩的碾压而破坏桩体，条文特别强调对夯扩桩、CFG桩、沉管灌注桩、预制桩等小直径的桩基，在设计桩顶标高以上的1m以内的土方应采用人工开挖方式。</w:t>
      </w:r>
    </w:p>
    <w:p w14:paraId="5658780A">
      <w:pPr>
        <w:snapToGrid w:val="0"/>
        <w:spacing w:line="340" w:lineRule="atLeast"/>
        <w:rPr>
          <w:color w:val="auto"/>
          <w:szCs w:val="21"/>
        </w:rPr>
      </w:pPr>
      <w:r>
        <w:rPr>
          <w:b/>
          <w:color w:val="auto"/>
          <w:szCs w:val="21"/>
        </w:rPr>
        <w:t xml:space="preserve">15.2.4 </w:t>
      </w:r>
      <w:r>
        <w:rPr>
          <w:color w:val="auto"/>
          <w:szCs w:val="21"/>
        </w:rPr>
        <w:t xml:space="preserve"> 诸多建筑基坑边坡失事的发生，无不说明了防排水系统对边坡稳定性的重要影响，排水系统对维护基坑的安全极为重要，必须详细全面了解周边地面排水情况，制定防排水措施，并保证地基基础施工期间防排水系统的正常安全运转。</w:t>
      </w:r>
    </w:p>
    <w:p w14:paraId="76E1892C">
      <w:pPr>
        <w:snapToGrid w:val="0"/>
        <w:spacing w:line="340" w:lineRule="atLeast"/>
        <w:rPr>
          <w:color w:val="auto"/>
          <w:szCs w:val="21"/>
        </w:rPr>
      </w:pPr>
      <w:r>
        <w:rPr>
          <w:b/>
          <w:color w:val="auto"/>
          <w:szCs w:val="21"/>
        </w:rPr>
        <w:t xml:space="preserve">15.2.5 </w:t>
      </w:r>
      <w:r>
        <w:rPr>
          <w:color w:val="auto"/>
          <w:szCs w:val="21"/>
        </w:rPr>
        <w:t xml:space="preserve"> 在基坑底应设置排水沟及集水井，及时用泵排除坑底积水，确保坑底土体原状结构。</w:t>
      </w:r>
    </w:p>
    <w:p w14:paraId="66953982">
      <w:pPr>
        <w:snapToGrid w:val="0"/>
        <w:spacing w:line="340" w:lineRule="atLeast"/>
        <w:rPr>
          <w:color w:val="auto"/>
          <w:szCs w:val="21"/>
        </w:rPr>
      </w:pPr>
      <w:r>
        <w:rPr>
          <w:b/>
          <w:color w:val="auto"/>
          <w:szCs w:val="21"/>
        </w:rPr>
        <w:t xml:space="preserve">15.2.6 </w:t>
      </w:r>
      <w:r>
        <w:rPr>
          <w:color w:val="auto"/>
          <w:szCs w:val="21"/>
        </w:rPr>
        <w:t xml:space="preserve"> 基础施工完毕验收合格后方可进行回填。</w:t>
      </w:r>
    </w:p>
    <w:p w14:paraId="7639668A">
      <w:pPr>
        <w:snapToGrid w:val="0"/>
        <w:spacing w:line="340" w:lineRule="atLeast"/>
        <w:rPr>
          <w:color w:val="auto"/>
          <w:szCs w:val="21"/>
        </w:rPr>
      </w:pPr>
      <w:r>
        <w:rPr>
          <w:b/>
          <w:color w:val="auto"/>
          <w:szCs w:val="21"/>
        </w:rPr>
        <w:t>15.2.</w:t>
      </w:r>
      <w:r>
        <w:rPr>
          <w:rFonts w:hint="eastAsia"/>
          <w:b/>
          <w:color w:val="auto"/>
          <w:szCs w:val="21"/>
        </w:rPr>
        <w:t>7</w:t>
      </w:r>
      <w:r>
        <w:rPr>
          <w:b/>
          <w:color w:val="auto"/>
          <w:szCs w:val="21"/>
        </w:rPr>
        <w:t xml:space="preserve"> </w:t>
      </w:r>
      <w:r>
        <w:rPr>
          <w:color w:val="auto"/>
          <w:szCs w:val="21"/>
        </w:rPr>
        <w:t xml:space="preserve"> 雨季对边坡的稳定是极其不利的，同时在雨季进行地基基础施工也会直接影响到基础工程的质量。</w:t>
      </w:r>
    </w:p>
    <w:p w14:paraId="06BCC3D7">
      <w:pPr>
        <w:snapToGrid w:val="0"/>
        <w:spacing w:line="340" w:lineRule="atLeast"/>
        <w:rPr>
          <w:color w:val="auto"/>
          <w:szCs w:val="21"/>
        </w:rPr>
      </w:pPr>
      <w:r>
        <w:rPr>
          <w:b/>
          <w:color w:val="auto"/>
          <w:szCs w:val="21"/>
        </w:rPr>
        <w:t>15.2.</w:t>
      </w:r>
      <w:r>
        <w:rPr>
          <w:rFonts w:hint="eastAsia"/>
          <w:b/>
          <w:color w:val="auto"/>
          <w:szCs w:val="21"/>
        </w:rPr>
        <w:t>8</w:t>
      </w:r>
      <w:r>
        <w:rPr>
          <w:color w:val="auto"/>
          <w:szCs w:val="21"/>
        </w:rPr>
        <w:t xml:space="preserve">  基底土如若受冻，将会破坏基底土体原状结构，影响地基土的承载力。</w:t>
      </w:r>
    </w:p>
    <w:p w14:paraId="2317A90D">
      <w:pPr>
        <w:pStyle w:val="77"/>
        <w:rPr>
          <w:color w:val="auto"/>
        </w:rPr>
      </w:pPr>
      <w:bookmarkStart w:id="215" w:name="_Toc182499029"/>
      <w:r>
        <w:rPr>
          <w:color w:val="auto"/>
        </w:rPr>
        <w:t>15.3  大体积基础混凝土施工</w:t>
      </w:r>
      <w:bookmarkEnd w:id="215"/>
    </w:p>
    <w:p w14:paraId="1EEA8800">
      <w:pPr>
        <w:snapToGrid w:val="0"/>
        <w:spacing w:line="340" w:lineRule="atLeast"/>
        <w:rPr>
          <w:color w:val="auto"/>
          <w:szCs w:val="21"/>
        </w:rPr>
      </w:pPr>
      <w:r>
        <w:rPr>
          <w:b/>
          <w:color w:val="auto"/>
          <w:szCs w:val="21"/>
        </w:rPr>
        <w:t xml:space="preserve">15.3.1  </w:t>
      </w:r>
      <w:r>
        <w:rPr>
          <w:color w:val="auto"/>
          <w:szCs w:val="21"/>
        </w:rPr>
        <w:t>明确了大体积混凝土的定义。</w:t>
      </w:r>
    </w:p>
    <w:p w14:paraId="702E251A">
      <w:pPr>
        <w:snapToGrid w:val="0"/>
        <w:spacing w:line="340" w:lineRule="atLeast"/>
        <w:rPr>
          <w:color w:val="auto"/>
          <w:szCs w:val="21"/>
        </w:rPr>
      </w:pPr>
      <w:r>
        <w:rPr>
          <w:b/>
          <w:color w:val="auto"/>
          <w:szCs w:val="21"/>
        </w:rPr>
        <w:t xml:space="preserve">15.3.2  </w:t>
      </w:r>
      <w:r>
        <w:rPr>
          <w:color w:val="auto"/>
          <w:szCs w:val="21"/>
        </w:rPr>
        <w:t>大体积混凝土工程施工时，除应满足普通混凝土施工所要求的混凝土力学性能及施工性能外，还应控制有害裂缝的产生。GB</w:t>
      </w:r>
      <w:r>
        <w:rPr>
          <w:rFonts w:hint="eastAsia"/>
          <w:color w:val="auto"/>
          <w:szCs w:val="21"/>
        </w:rPr>
        <w:t xml:space="preserve"> </w:t>
      </w:r>
      <w:r>
        <w:rPr>
          <w:color w:val="auto"/>
          <w:szCs w:val="21"/>
        </w:rPr>
        <w:t>50496和GB</w:t>
      </w:r>
      <w:r>
        <w:rPr>
          <w:rFonts w:hint="eastAsia"/>
          <w:color w:val="auto"/>
          <w:szCs w:val="21"/>
        </w:rPr>
        <w:t xml:space="preserve"> </w:t>
      </w:r>
      <w:r>
        <w:rPr>
          <w:color w:val="auto"/>
          <w:szCs w:val="21"/>
        </w:rPr>
        <w:t>50666均对大体积混凝土施工作了规定。施工前应编制满足上述要求的专项施工方案，通过技术交底和现场监督，切实贯彻落实。</w:t>
      </w:r>
    </w:p>
    <w:p w14:paraId="23A155CF">
      <w:pPr>
        <w:snapToGrid w:val="0"/>
        <w:spacing w:line="340" w:lineRule="atLeast"/>
        <w:rPr>
          <w:color w:val="auto"/>
          <w:szCs w:val="21"/>
        </w:rPr>
      </w:pPr>
      <w:r>
        <w:rPr>
          <w:b/>
          <w:color w:val="auto"/>
          <w:szCs w:val="21"/>
        </w:rPr>
        <w:t xml:space="preserve">15.3.3~15.3.4  </w:t>
      </w:r>
      <w:r>
        <w:rPr>
          <w:color w:val="auto"/>
          <w:szCs w:val="21"/>
        </w:rPr>
        <w:t>为了掌握大体积混凝土的温升和降温的变化规律以及各种材料在各种条件下的温度影响，需要对大体积混凝土进行温度监测控制。混凝土内部温度是由水泥水化热的绝热温度、浇筑温度和混凝土的散热温度的叠加，内部与表面温差过大，会产生温度应力和温度变形，温度应力与温差成正比，当温度应力超过混凝土内外的约束时，会产生裂缝。另外浇筑温度与外界气温有直接关系，外界气温越高，浇筑温度也越高，当气温下降，会大大增加外层混凝土与内部的温度梯度，因而会造成温差和温度应力，从而出现裂缝，所以控制表面温度与外界气温温差是防止裂缝的重要一环。混凝土表面裂缝多数发生在浇筑初期，而初期的表面温度骤降是引起表面裂缝的主要原因，日平均气温在2天~4天内连续下降6</w:t>
      </w:r>
      <w:r>
        <w:rPr>
          <w:rFonts w:ascii="宋体"/>
          <w:color w:val="auto"/>
          <w:szCs w:val="21"/>
        </w:rPr>
        <w:t>℃</w:t>
      </w:r>
      <w:r>
        <w:rPr>
          <w:color w:val="auto"/>
          <w:szCs w:val="21"/>
        </w:rPr>
        <w:t>~9</w:t>
      </w:r>
      <w:r>
        <w:rPr>
          <w:rFonts w:ascii="宋体"/>
          <w:color w:val="auto"/>
          <w:szCs w:val="21"/>
        </w:rPr>
        <w:t>℃</w:t>
      </w:r>
      <w:r>
        <w:rPr>
          <w:color w:val="auto"/>
          <w:szCs w:val="21"/>
        </w:rPr>
        <w:t>时，未满28天龄期的混凝土在暴露表面可能产生裂缝。必须指出，在龄期3天~5天拆模的混凝土使表面混凝土突然暴露在较冷的空气中，也相当于一次气温骤降，因此拆模后必须立即进行保温。</w:t>
      </w:r>
    </w:p>
    <w:p w14:paraId="23A34281">
      <w:pPr>
        <w:snapToGrid w:val="0"/>
        <w:spacing w:line="340" w:lineRule="atLeast"/>
        <w:rPr>
          <w:color w:val="auto"/>
          <w:szCs w:val="21"/>
        </w:rPr>
      </w:pPr>
      <w:r>
        <w:rPr>
          <w:b/>
          <w:color w:val="auto"/>
          <w:szCs w:val="21"/>
        </w:rPr>
        <w:t>15.3.5</w:t>
      </w:r>
      <w:r>
        <w:rPr>
          <w:color w:val="auto"/>
          <w:szCs w:val="21"/>
        </w:rPr>
        <w:t xml:space="preserve">  根据大体积混凝土特性与产生裂缝的原因分析，在控制大体积混凝土温度和收缩裂缝方面可采取多种技术措施，主要有本条文所列举的六条措施。当采用</w:t>
      </w:r>
      <w:r>
        <w:rPr>
          <w:rFonts w:hint="eastAsia"/>
          <w:color w:val="auto"/>
          <w:szCs w:val="21"/>
        </w:rPr>
        <w:t>在混凝土中埋设冷却水管降温的方法时，应注意防止冷却水管周边产生凝结水裂缝。</w:t>
      </w:r>
    </w:p>
    <w:p w14:paraId="423E06ED">
      <w:pPr>
        <w:snapToGrid w:val="0"/>
        <w:spacing w:line="340" w:lineRule="atLeast"/>
        <w:rPr>
          <w:color w:val="auto"/>
          <w:szCs w:val="21"/>
        </w:rPr>
      </w:pPr>
      <w:r>
        <w:rPr>
          <w:b/>
          <w:color w:val="auto"/>
          <w:szCs w:val="21"/>
        </w:rPr>
        <w:t>15.3.6</w:t>
      </w:r>
      <w:r>
        <w:rPr>
          <w:color w:val="auto"/>
          <w:szCs w:val="21"/>
        </w:rPr>
        <w:t xml:space="preserve">  混凝土浇筑温度系指混凝土振捣后，在混凝土表面下50mm~100mm深处的温度。</w:t>
      </w:r>
    </w:p>
    <w:p w14:paraId="4B1E1FC0">
      <w:pPr>
        <w:snapToGrid w:val="0"/>
        <w:spacing w:line="340" w:lineRule="atLeast"/>
        <w:rPr>
          <w:color w:val="auto"/>
          <w:szCs w:val="21"/>
        </w:rPr>
      </w:pPr>
      <w:r>
        <w:rPr>
          <w:b/>
          <w:color w:val="auto"/>
          <w:szCs w:val="21"/>
        </w:rPr>
        <w:t>15.3.7</w:t>
      </w:r>
      <w:r>
        <w:rPr>
          <w:color w:val="auto"/>
          <w:szCs w:val="21"/>
        </w:rPr>
        <w:t xml:space="preserve">  目前对于混凝土的水化热绝热温升值公式有三种，根据工程的具体实践经验认为条文中所列计算公式比较符合实际。混凝土的最高温升计算时间偏晚，如能根据不同情况调整m的取值，可能会使计算更接近实际。现代混凝土已与传统混凝土不同，其胶凝材料除水泥外，尚有较多的其他掺合料和外加剂，这些掺合料和外加剂对水化热量均有一定的影响，计算时应给予考虑。</w:t>
      </w:r>
    </w:p>
    <w:p w14:paraId="27391943">
      <w:pPr>
        <w:snapToGrid w:val="0"/>
        <w:spacing w:line="340" w:lineRule="atLeast"/>
        <w:rPr>
          <w:color w:val="auto"/>
          <w:szCs w:val="21"/>
        </w:rPr>
      </w:pPr>
      <w:r>
        <w:rPr>
          <w:b/>
          <w:color w:val="auto"/>
          <w:szCs w:val="21"/>
        </w:rPr>
        <w:t>15.3.8</w:t>
      </w:r>
      <w:r>
        <w:rPr>
          <w:color w:val="auto"/>
          <w:szCs w:val="21"/>
        </w:rPr>
        <w:t xml:space="preserve">  此条文的主要目的是为了保证大体积混凝土的整体性与密实性。设置基础后浇带不仅可以减轻约束作用，缩小约束范围，同时也可利用浇筑的层面进行散热，降低混凝土内部的温度，后浇带的设置和处理应满足相关国家规范的规定，当无设计具体规定时，其间距一般为20m ~30m，缝带宽1m，可在后浇带形成40天后封闭，冬季可适当延长。</w:t>
      </w:r>
    </w:p>
    <w:p w14:paraId="07567678">
      <w:pPr>
        <w:snapToGrid w:val="0"/>
        <w:spacing w:line="340" w:lineRule="atLeast"/>
        <w:rPr>
          <w:color w:val="auto"/>
          <w:szCs w:val="21"/>
        </w:rPr>
      </w:pPr>
      <w:r>
        <w:rPr>
          <w:b/>
          <w:color w:val="auto"/>
          <w:szCs w:val="21"/>
        </w:rPr>
        <w:t>15.3.9</w:t>
      </w:r>
      <w:r>
        <w:rPr>
          <w:color w:val="auto"/>
          <w:szCs w:val="21"/>
        </w:rPr>
        <w:t xml:space="preserve">  全面分层是将整个结构浇筑层分为数层浇筑，当已浇筑的下层混凝土尚未凝结时，即开始浇筑第二层，如此逐层进行，直到浇筑完成。此种方法可适用于结构平面尺寸不太大的工程，一般长方形底板宜从短边开始，沿长边推进浇筑，亦可从中间向两端或从两端向中间同时进行浇筑。分段分层适用于厚度较薄而面积或长度较大的工程。施工时从底层一端开始浇筑混凝土，进行到一定距离后浇筑第二层，如此依次向前浇筑其他各层。斜面分层适用于结构的长度超过厚度三倍的工程，振捣工作应从浇筑层的底层开始逐渐上移，以保证分层混凝土之间的施工质量。</w:t>
      </w:r>
    </w:p>
    <w:p w14:paraId="56035492">
      <w:pPr>
        <w:pStyle w:val="77"/>
        <w:rPr>
          <w:color w:val="auto"/>
        </w:rPr>
      </w:pPr>
      <w:bookmarkStart w:id="216" w:name="_Toc182499030"/>
      <w:r>
        <w:rPr>
          <w:color w:val="auto"/>
        </w:rPr>
        <w:t>15.4  钻孔灌注桩后压浆施工</w:t>
      </w:r>
      <w:bookmarkEnd w:id="216"/>
    </w:p>
    <w:p w14:paraId="4B5F2AF4">
      <w:pPr>
        <w:adjustRightInd w:val="0"/>
        <w:snapToGrid w:val="0"/>
        <w:spacing w:line="340" w:lineRule="atLeast"/>
        <w:rPr>
          <w:color w:val="auto"/>
          <w:szCs w:val="21"/>
        </w:rPr>
      </w:pPr>
      <w:r>
        <w:rPr>
          <w:b/>
          <w:bCs/>
          <w:color w:val="auto"/>
          <w:szCs w:val="21"/>
        </w:rPr>
        <w:t>15.4.1</w:t>
      </w:r>
      <w:r>
        <w:rPr>
          <w:color w:val="auto"/>
          <w:szCs w:val="21"/>
        </w:rPr>
        <w:t xml:space="preserve">  钻孔灌注桩后压浆工艺的适用土层和钻孔灌注桩的适用土层并不完全相同。钻孔灌注桩后压浆工艺(侧压和端压)的适用土层主要是考虑到其可压性，在黏土层采用后压浆是不合适的，在砂层、碎石土中压浆的效果较理想，压浆提高承载力来源于两个方面，一方面桩端土层被加固，提高了端阻力；另一方面浆液会沿桩身向上，对桩下部周围的土体也起到了加固，提高了桩下端部分土体的摩擦力，此外，端压浆使钻孔灌注桩回淤清理不干净的沉渣问题得到了一定的解决，但这并不意味着采用后压浆工艺的钻孔灌注桩可以放松对回淤的控制。并均应进行试桩。</w:t>
      </w:r>
    </w:p>
    <w:p w14:paraId="19390B5D">
      <w:pPr>
        <w:adjustRightInd w:val="0"/>
        <w:snapToGrid w:val="0"/>
        <w:spacing w:line="340" w:lineRule="atLeast"/>
        <w:rPr>
          <w:color w:val="auto"/>
          <w:szCs w:val="21"/>
        </w:rPr>
      </w:pPr>
      <w:r>
        <w:rPr>
          <w:b/>
          <w:bCs/>
          <w:color w:val="auto"/>
          <w:szCs w:val="21"/>
        </w:rPr>
        <w:t>15.4.4</w:t>
      </w:r>
      <w:r>
        <w:rPr>
          <w:color w:val="auto"/>
          <w:szCs w:val="21"/>
        </w:rPr>
        <w:t xml:space="preserve">  对于直径较大的桩(d&gt;1200mm)，为保证端压浆的可靠性和效果，应增加压浆竖管的根数并均匀设置。因为在起吊、安装过程中，压浆管容易损坏，从而影响压浆效果，端压浆下部钢管伸出钢筋笼底部以下的长度不宜过长。</w:t>
      </w:r>
    </w:p>
    <w:p w14:paraId="69089FDB">
      <w:pPr>
        <w:adjustRightInd w:val="0"/>
        <w:snapToGrid w:val="0"/>
        <w:spacing w:line="340" w:lineRule="atLeast"/>
        <w:rPr>
          <w:color w:val="auto"/>
          <w:szCs w:val="21"/>
        </w:rPr>
      </w:pPr>
      <w:r>
        <w:rPr>
          <w:b/>
          <w:bCs/>
          <w:color w:val="auto"/>
          <w:szCs w:val="21"/>
        </w:rPr>
        <w:t>15.4.5</w:t>
      </w:r>
      <w:r>
        <w:rPr>
          <w:color w:val="auto"/>
          <w:szCs w:val="21"/>
        </w:rPr>
        <w:t xml:space="preserve">  后压浆能提高钻孔灌注桩的承载力是由于固化剂对土体空隙的填充、固化等作用，所以，压浆量应作为主要控制指标，压力应作用辅助控制指标，并且均应通过试桩确定。针对不同土层、不同孔隙比和不同深度，同一直径桩的压浆量实际上是有区别的，表中规定的是最小压浆量，作为试桩前的参考压浆量，当场地附近出现渗浆情况时，不能盲目地认为压浆量够了，就终止压浆，此时应采用间隔复压、掺早强剂、封闭渗浆通道等方法，保证压浆量。在第15.4.11条中强调应首先用低档(低压)，然后逐步加压，以保证压浆效果。</w:t>
      </w:r>
    </w:p>
    <w:p w14:paraId="56A0F0B1">
      <w:pPr>
        <w:adjustRightInd w:val="0"/>
        <w:snapToGrid w:val="0"/>
        <w:spacing w:line="340" w:lineRule="atLeast"/>
        <w:rPr>
          <w:color w:val="auto"/>
          <w:szCs w:val="21"/>
        </w:rPr>
      </w:pPr>
      <w:r>
        <w:rPr>
          <w:b/>
          <w:bCs/>
          <w:color w:val="auto"/>
          <w:szCs w:val="21"/>
        </w:rPr>
        <w:t>15.4.7</w:t>
      </w:r>
      <w:r>
        <w:rPr>
          <w:color w:val="auto"/>
          <w:szCs w:val="21"/>
        </w:rPr>
        <w:t xml:space="preserve">  压浆成败的一个重要环节是压浆通道是否通畅，所以必须坚持在浇注混凝土后12h～24h内用清水将喷口冲开，并且如果发现桩端成孔存在塌孔情况，应提前压清水。</w:t>
      </w:r>
    </w:p>
    <w:p w14:paraId="2A0464EA">
      <w:pPr>
        <w:adjustRightInd w:val="0"/>
        <w:snapToGrid w:val="0"/>
        <w:spacing w:line="340" w:lineRule="atLeast"/>
        <w:rPr>
          <w:color w:val="auto"/>
          <w:szCs w:val="21"/>
        </w:rPr>
      </w:pPr>
      <w:r>
        <w:rPr>
          <w:b/>
          <w:bCs/>
          <w:color w:val="auto"/>
          <w:szCs w:val="21"/>
        </w:rPr>
        <w:t>15.4.8</w:t>
      </w:r>
      <w:r>
        <w:rPr>
          <w:color w:val="auto"/>
          <w:szCs w:val="21"/>
        </w:rPr>
        <w:t xml:space="preserve">  考虑到压浆管很薄，并且桩基施工是昼夜连续进行，如采用焊接连接方式，很容易把压浆管焊破，易发生压浆管堵塞，从而会使浆液不能压到指定的位置，导致压浆效果不佳，实际施工中丝扣连接能有效避免这些问题。</w:t>
      </w:r>
    </w:p>
    <w:p w14:paraId="038C96C1">
      <w:pPr>
        <w:pStyle w:val="77"/>
        <w:rPr>
          <w:color w:val="auto"/>
        </w:rPr>
      </w:pPr>
      <w:bookmarkStart w:id="217" w:name="_Toc182499031"/>
      <w:r>
        <w:rPr>
          <w:color w:val="auto"/>
        </w:rPr>
        <w:t>15.5  长螺旋钻孔压灌桩施工</w:t>
      </w:r>
      <w:bookmarkEnd w:id="217"/>
    </w:p>
    <w:p w14:paraId="2693640A">
      <w:pPr>
        <w:adjustRightInd w:val="0"/>
        <w:snapToGrid w:val="0"/>
        <w:spacing w:line="340" w:lineRule="atLeast"/>
        <w:ind w:firstLine="420"/>
        <w:jc w:val="left"/>
        <w:rPr>
          <w:bCs/>
          <w:color w:val="auto"/>
          <w:szCs w:val="21"/>
        </w:rPr>
      </w:pPr>
      <w:r>
        <w:rPr>
          <w:bCs/>
          <w:color w:val="auto"/>
          <w:szCs w:val="21"/>
        </w:rPr>
        <w:t>（无说明）</w:t>
      </w:r>
    </w:p>
    <w:p w14:paraId="1868C740">
      <w:pPr>
        <w:pStyle w:val="77"/>
        <w:rPr>
          <w:color w:val="auto"/>
        </w:rPr>
      </w:pPr>
      <w:bookmarkStart w:id="218" w:name="_Toc182499032"/>
      <w:r>
        <w:rPr>
          <w:color w:val="auto"/>
        </w:rPr>
        <w:t>15.6  旋挖灌注桩施工</w:t>
      </w:r>
      <w:bookmarkEnd w:id="218"/>
    </w:p>
    <w:p w14:paraId="13A424B4">
      <w:pPr>
        <w:adjustRightInd w:val="0"/>
        <w:snapToGrid w:val="0"/>
        <w:spacing w:line="340" w:lineRule="atLeast"/>
        <w:rPr>
          <w:color w:val="auto"/>
          <w:szCs w:val="21"/>
        </w:rPr>
      </w:pPr>
      <w:r>
        <w:rPr>
          <w:b/>
          <w:bCs/>
          <w:color w:val="auto"/>
          <w:szCs w:val="21"/>
        </w:rPr>
        <w:t>15.6.4</w:t>
      </w:r>
      <w:r>
        <w:rPr>
          <w:color w:val="auto"/>
          <w:szCs w:val="21"/>
        </w:rPr>
        <w:t xml:space="preserve">  旋挖钻机重量较大、机架较高、设备较昂贵，保证其安全作业是极为重要的。在15.6.4～15.6.7四个条款中，强调其作业的注意事项，这些是旋挖钻机无循环工艺在武汉地区使用后得出的极为重要的经验教训，是经过惨痛教训后的总结，也是能否成功应用的关键环节。</w:t>
      </w:r>
    </w:p>
    <w:p w14:paraId="425509F1">
      <w:pPr>
        <w:adjustRightInd w:val="0"/>
        <w:snapToGrid w:val="0"/>
        <w:spacing w:line="340" w:lineRule="atLeast"/>
        <w:rPr>
          <w:color w:val="auto"/>
          <w:szCs w:val="21"/>
        </w:rPr>
      </w:pPr>
      <w:r>
        <w:rPr>
          <w:b/>
          <w:bCs/>
          <w:color w:val="auto"/>
          <w:szCs w:val="21"/>
        </w:rPr>
        <w:t>15.6.13</w:t>
      </w:r>
      <w:r>
        <w:rPr>
          <w:color w:val="auto"/>
          <w:szCs w:val="21"/>
        </w:rPr>
        <w:t xml:space="preserve">  目前实际工程中采用了几种不同的隔水栓，如预制混凝土隔水栓球、砂包、细石混凝土隔水栓，大量的施工实践经验表明，从施工的方便程度、可靠性和经济性、隔水栓对桩身混凝土的影响等方面综合考虑，现浇细石混凝土隔水栓是介于刚性和柔性隔水栓之间的一种，具有较好的可操作性。</w:t>
      </w:r>
    </w:p>
    <w:p w14:paraId="0CB3FAD7">
      <w:pPr>
        <w:adjustRightInd w:val="0"/>
        <w:snapToGrid w:val="0"/>
        <w:spacing w:line="340" w:lineRule="atLeast"/>
        <w:rPr>
          <w:color w:val="auto"/>
          <w:szCs w:val="21"/>
        </w:rPr>
      </w:pPr>
      <w:r>
        <w:rPr>
          <w:b/>
          <w:bCs/>
          <w:color w:val="auto"/>
          <w:szCs w:val="21"/>
        </w:rPr>
        <w:t>15.6.15</w:t>
      </w:r>
      <w:r>
        <w:rPr>
          <w:color w:val="auto"/>
          <w:szCs w:val="21"/>
        </w:rPr>
        <w:t xml:space="preserve">  关于导管埋深的多少，一直是施工企业争论不休的问题，根据目前的施工技术水平、导管配置情况和大量的检测统计表明，导管的埋深宜为4m～6m，并且直径较大的桩取大值，直径较小的桩取小值，埋深太浅容易出现断层，埋深太深容易出现堵管等意外情况。</w:t>
      </w:r>
    </w:p>
    <w:p w14:paraId="28C1406D">
      <w:pPr>
        <w:pStyle w:val="77"/>
        <w:rPr>
          <w:color w:val="auto"/>
        </w:rPr>
      </w:pPr>
      <w:bookmarkStart w:id="219" w:name="_Toc182499033"/>
      <w:r>
        <w:rPr>
          <w:color w:val="auto"/>
        </w:rPr>
        <w:t>15.7  岩溶地质条件下的灌注桩施工</w:t>
      </w:r>
      <w:bookmarkEnd w:id="219"/>
    </w:p>
    <w:p w14:paraId="4BFBD25F">
      <w:pPr>
        <w:adjustRightInd w:val="0"/>
        <w:snapToGrid w:val="0"/>
        <w:spacing w:line="340" w:lineRule="atLeast"/>
        <w:rPr>
          <w:color w:val="auto"/>
          <w:szCs w:val="21"/>
        </w:rPr>
      </w:pPr>
      <w:r>
        <w:rPr>
          <w:b/>
          <w:color w:val="auto"/>
          <w:szCs w:val="21"/>
        </w:rPr>
        <w:t xml:space="preserve">15.7.1 </w:t>
      </w:r>
      <w:r>
        <w:rPr>
          <w:color w:val="auto"/>
          <w:szCs w:val="21"/>
        </w:rPr>
        <w:t xml:space="preserve"> 对于埋深较浅的土洞，采用直接开挖换填处理经济性更好。</w:t>
      </w:r>
    </w:p>
    <w:p w14:paraId="2C151556">
      <w:pPr>
        <w:adjustRightInd w:val="0"/>
        <w:snapToGrid w:val="0"/>
        <w:spacing w:line="340" w:lineRule="atLeast"/>
        <w:rPr>
          <w:b/>
          <w:bCs/>
          <w:color w:val="auto"/>
          <w:szCs w:val="21"/>
        </w:rPr>
      </w:pPr>
      <w:r>
        <w:rPr>
          <w:b/>
          <w:color w:val="auto"/>
          <w:szCs w:val="21"/>
        </w:rPr>
        <w:t xml:space="preserve">15.7.3 </w:t>
      </w:r>
      <w:r>
        <w:rPr>
          <w:color w:val="auto"/>
          <w:szCs w:val="21"/>
        </w:rPr>
        <w:t xml:space="preserve"> 为了预防岩溶洞隙钻穿时，发生泥浆大量流失，导致桩孔坍塌，一般采用多配置泥浆及时向孔内补浆的办法。</w:t>
      </w:r>
    </w:p>
    <w:p w14:paraId="0337E2F9">
      <w:pPr>
        <w:adjustRightInd w:val="0"/>
        <w:snapToGrid w:val="0"/>
        <w:spacing w:line="340" w:lineRule="atLeast"/>
        <w:rPr>
          <w:color w:val="auto"/>
          <w:szCs w:val="21"/>
        </w:rPr>
      </w:pPr>
      <w:r>
        <w:rPr>
          <w:b/>
          <w:color w:val="auto"/>
          <w:szCs w:val="21"/>
        </w:rPr>
        <w:t xml:space="preserve">15.7.4 </w:t>
      </w:r>
      <w:r>
        <w:rPr>
          <w:color w:val="auto"/>
          <w:szCs w:val="21"/>
        </w:rPr>
        <w:t xml:space="preserve"> </w:t>
      </w:r>
    </w:p>
    <w:p w14:paraId="14ACD319">
      <w:pPr>
        <w:adjustRightInd w:val="0"/>
        <w:snapToGrid w:val="0"/>
        <w:spacing w:line="340" w:lineRule="atLeast"/>
        <w:ind w:firstLine="422" w:firstLineChars="200"/>
        <w:rPr>
          <w:color w:val="auto"/>
          <w:szCs w:val="21"/>
        </w:rPr>
      </w:pPr>
      <w:r>
        <w:rPr>
          <w:b/>
          <w:color w:val="auto"/>
          <w:szCs w:val="21"/>
        </w:rPr>
        <w:t>b)</w:t>
      </w:r>
      <w:r>
        <w:rPr>
          <w:color w:val="auto"/>
          <w:szCs w:val="21"/>
        </w:rPr>
        <w:t xml:space="preserve">  当钻孔至溶洞顶板以上1.0m时，为了避免泥浆突然大量流失，导致桩孔坍塌，只能采用逐渐钻穿溶洞顶板的方法。而用低频率、小冲程冲击成孔工艺是实现这一目的的较好方式。</w:t>
      </w:r>
    </w:p>
    <w:p w14:paraId="3D8BF0D6">
      <w:pPr>
        <w:adjustRightInd w:val="0"/>
        <w:snapToGrid w:val="0"/>
        <w:spacing w:line="340" w:lineRule="atLeast"/>
        <w:ind w:firstLine="422" w:firstLineChars="200"/>
        <w:rPr>
          <w:color w:val="auto"/>
          <w:szCs w:val="21"/>
        </w:rPr>
      </w:pPr>
      <w:r>
        <w:rPr>
          <w:b/>
          <w:color w:val="auto"/>
          <w:szCs w:val="21"/>
        </w:rPr>
        <w:t>c)</w:t>
      </w:r>
      <w:r>
        <w:rPr>
          <w:color w:val="auto"/>
          <w:szCs w:val="21"/>
        </w:rPr>
        <w:t xml:space="preserve">  采用该种施工方式是为了避免因岩层产状倾斜产生钻孔“顺层跑”，从而导致桩孔垂直度超标。</w:t>
      </w:r>
    </w:p>
    <w:p w14:paraId="35645986">
      <w:pPr>
        <w:adjustRightInd w:val="0"/>
        <w:snapToGrid w:val="0"/>
        <w:spacing w:line="340" w:lineRule="atLeast"/>
        <w:ind w:firstLine="422" w:firstLineChars="200"/>
        <w:rPr>
          <w:color w:val="auto"/>
          <w:szCs w:val="21"/>
        </w:rPr>
      </w:pPr>
      <w:r>
        <w:rPr>
          <w:b/>
          <w:color w:val="auto"/>
          <w:szCs w:val="21"/>
        </w:rPr>
        <w:t>e)</w:t>
      </w:r>
      <w:r>
        <w:rPr>
          <w:color w:val="auto"/>
          <w:szCs w:val="21"/>
        </w:rPr>
        <w:t xml:space="preserve">  注浆预处理的目的提高充填物的强度进而防止该部分孔壁坍塌。</w:t>
      </w:r>
    </w:p>
    <w:p w14:paraId="24BE728C">
      <w:pPr>
        <w:adjustRightInd w:val="0"/>
        <w:snapToGrid w:val="0"/>
        <w:spacing w:line="340" w:lineRule="atLeast"/>
        <w:ind w:firstLine="422" w:firstLineChars="200"/>
        <w:rPr>
          <w:color w:val="auto"/>
          <w:szCs w:val="21"/>
        </w:rPr>
      </w:pPr>
      <w:r>
        <w:rPr>
          <w:b/>
          <w:color w:val="auto"/>
          <w:szCs w:val="21"/>
        </w:rPr>
        <w:t>f)</w:t>
      </w:r>
      <w:r>
        <w:rPr>
          <w:color w:val="auto"/>
          <w:szCs w:val="21"/>
        </w:rPr>
        <w:t xml:space="preserve">  地下水水量较大的溶洞，一般体积较大，混凝土难以充填，埋设护筒隔离是较好的方法。对于独立的多层空洞，采取多层护筒隔离，为了避免因护筒变形影响护筒埋设，护筒的直径级差一般不小于15mm。</w:t>
      </w:r>
    </w:p>
    <w:p w14:paraId="225018B2">
      <w:pPr>
        <w:pStyle w:val="77"/>
        <w:rPr>
          <w:color w:val="auto"/>
        </w:rPr>
      </w:pPr>
      <w:bookmarkStart w:id="220" w:name="_Toc182499034"/>
      <w:r>
        <w:rPr>
          <w:color w:val="auto"/>
        </w:rPr>
        <w:t>15.8  预制桩施工</w:t>
      </w:r>
      <w:bookmarkEnd w:id="220"/>
    </w:p>
    <w:p w14:paraId="2371D32B">
      <w:pPr>
        <w:adjustRightInd w:val="0"/>
        <w:snapToGrid w:val="0"/>
        <w:spacing w:line="340" w:lineRule="atLeast"/>
        <w:rPr>
          <w:color w:val="auto"/>
          <w:szCs w:val="21"/>
        </w:rPr>
      </w:pPr>
      <w:r>
        <w:rPr>
          <w:rFonts w:eastAsia="黑体"/>
          <w:b/>
          <w:bCs/>
          <w:color w:val="auto"/>
          <w:szCs w:val="21"/>
        </w:rPr>
        <w:t>15.8.4</w:t>
      </w:r>
      <w:r>
        <w:rPr>
          <w:color w:val="auto"/>
          <w:szCs w:val="21"/>
        </w:rPr>
        <w:t xml:space="preserve">  本条是保证预制桩施工质量的必要条件之一。很多预制桩工程的实例表明，由于表层地基土的承载力不够、含水量较大、排水不通畅等原因容易造成静压机沉陷和难以行走，这些现象均会对桩位和已施工的桩产生不良影响，甚至需要采取补桩、增大承台等措施。</w:t>
      </w:r>
    </w:p>
    <w:p w14:paraId="7E7B10CA">
      <w:pPr>
        <w:adjustRightInd w:val="0"/>
        <w:snapToGrid w:val="0"/>
        <w:spacing w:line="340" w:lineRule="atLeast"/>
        <w:rPr>
          <w:color w:val="auto"/>
          <w:szCs w:val="21"/>
        </w:rPr>
      </w:pPr>
      <w:r>
        <w:rPr>
          <w:rFonts w:eastAsia="黑体"/>
          <w:b/>
          <w:bCs/>
          <w:color w:val="auto"/>
          <w:szCs w:val="21"/>
        </w:rPr>
        <w:t>15.8.10</w:t>
      </w:r>
      <w:r>
        <w:rPr>
          <w:color w:val="auto"/>
          <w:szCs w:val="21"/>
        </w:rPr>
        <w:t xml:space="preserve">  采用蒸汽养护的桩，应采用自然养护时间和强度双控，除应满足100%的混凝土强度外，对自然养护时间作出了规定，同时为防止桩身破损，应选择夹持摩擦力大而夹持力小的静压桩夹具。</w:t>
      </w:r>
    </w:p>
    <w:p w14:paraId="4B381581">
      <w:pPr>
        <w:adjustRightInd w:val="0"/>
        <w:snapToGrid w:val="0"/>
        <w:spacing w:line="340" w:lineRule="atLeast"/>
        <w:rPr>
          <w:color w:val="auto"/>
          <w:szCs w:val="21"/>
        </w:rPr>
      </w:pPr>
      <w:r>
        <w:rPr>
          <w:b/>
          <w:bCs/>
          <w:color w:val="auto"/>
          <w:szCs w:val="21"/>
        </w:rPr>
        <w:t>15.8.12</w:t>
      </w:r>
      <w:r>
        <w:rPr>
          <w:color w:val="auto"/>
          <w:szCs w:val="21"/>
        </w:rPr>
        <w:t xml:space="preserve">  预制桩的接头质量对桩基础的结构完整是至关重要的。预制桩的焊接方法有多种，除了标准图集中提出的角钢连接外，在武汉市还经常采用具有良好受力性能、经济、焊接时间短、便于施工的接桩方法，如“预制桩装配式可调平刚性接头装置”等。</w:t>
      </w:r>
    </w:p>
    <w:p w14:paraId="0307EEF3">
      <w:pPr>
        <w:adjustRightInd w:val="0"/>
        <w:snapToGrid w:val="0"/>
        <w:spacing w:line="340" w:lineRule="atLeast"/>
        <w:rPr>
          <w:color w:val="auto"/>
          <w:szCs w:val="21"/>
        </w:rPr>
      </w:pPr>
      <w:r>
        <w:rPr>
          <w:b/>
          <w:bCs/>
          <w:color w:val="auto"/>
          <w:szCs w:val="21"/>
        </w:rPr>
        <w:t xml:space="preserve">15.8.17 </w:t>
      </w:r>
      <w:r>
        <w:rPr>
          <w:color w:val="auto"/>
          <w:szCs w:val="21"/>
        </w:rPr>
        <w:t xml:space="preserve"> 预制桩的设计压力值应通过试桩确定，本条明确了其所述条件下的终止沉桩的条件。一般地，当设计压力值已满足要求，桩端已进入持力层而桩端设计标高未达到时，应保持稳压1min~2min，稳压下沉量应通过试桩确定；对土层分布不均或存在不太厚的硬隔层时，可能会发生设计压力值达到要求，而桩端标高不满足要求的情况，此时应根据工程实际，采取适当措施。</w:t>
      </w:r>
    </w:p>
    <w:p w14:paraId="115B7386">
      <w:pPr>
        <w:adjustRightInd w:val="0"/>
        <w:snapToGrid w:val="0"/>
        <w:spacing w:line="340" w:lineRule="atLeast"/>
        <w:rPr>
          <w:rFonts w:eastAsia="黑体"/>
          <w:color w:val="auto"/>
          <w:szCs w:val="21"/>
        </w:rPr>
      </w:pPr>
      <w:r>
        <w:rPr>
          <w:rFonts w:eastAsia="黑体"/>
          <w:b/>
          <w:bCs/>
          <w:color w:val="auto"/>
          <w:szCs w:val="21"/>
        </w:rPr>
        <w:t>15.8.18</w:t>
      </w:r>
      <w:r>
        <w:rPr>
          <w:color w:val="auto"/>
          <w:szCs w:val="21"/>
        </w:rPr>
        <w:t xml:space="preserve">  整个工程的预制桩是否沉桩到位，与静压机的配置和压桩能力密切相关，本条规定了静压桩机配备重量的下限，同时为保证后续施工桩的质量，杜绝采用“浮船法”沉桩。预制桩的起吊装置有多种方式，如吊环、预埋管等，如采用预埋管则应验算该处的各种指标是否满足设计要求，压桩机的夹具严禁压在该处，否则会导致桩身断裂或破损。</w:t>
      </w:r>
    </w:p>
    <w:p w14:paraId="3CC6A895">
      <w:pPr>
        <w:adjustRightInd w:val="0"/>
        <w:snapToGrid w:val="0"/>
        <w:spacing w:line="340" w:lineRule="atLeast"/>
        <w:rPr>
          <w:rFonts w:eastAsia="黑体"/>
          <w:color w:val="auto"/>
          <w:szCs w:val="21"/>
        </w:rPr>
      </w:pPr>
      <w:r>
        <w:rPr>
          <w:rFonts w:eastAsia="黑体"/>
          <w:b/>
          <w:bCs/>
          <w:color w:val="auto"/>
          <w:szCs w:val="21"/>
        </w:rPr>
        <w:t>15.8.19</w:t>
      </w:r>
      <w:r>
        <w:rPr>
          <w:color w:val="auto"/>
          <w:szCs w:val="21"/>
        </w:rPr>
        <w:t xml:space="preserve">  锤击过程能量传递，会对周边设施和建筑物产生不利影响，因此锤击前应先进行评估并应采取重锤轻击等相应措施尽量减小其影响范围。</w:t>
      </w:r>
      <w:r>
        <w:rPr>
          <w:rFonts w:hint="eastAsia"/>
          <w:color w:val="auto"/>
          <w:szCs w:val="21"/>
        </w:rPr>
        <w:t>避免</w:t>
      </w:r>
      <w:r>
        <w:rPr>
          <w:color w:val="auto"/>
          <w:szCs w:val="21"/>
        </w:rPr>
        <w:t>锤击时引起桩顶、桩身开裂</w:t>
      </w:r>
      <w:r>
        <w:rPr>
          <w:rFonts w:hint="eastAsia"/>
          <w:color w:val="auto"/>
          <w:szCs w:val="21"/>
        </w:rPr>
        <w:t>。</w:t>
      </w:r>
      <w:r>
        <w:rPr>
          <w:color w:val="auto"/>
          <w:szCs w:val="21"/>
        </w:rPr>
        <w:t>采用桩垫可</w:t>
      </w:r>
      <w:r>
        <w:rPr>
          <w:rFonts w:hint="eastAsia"/>
          <w:color w:val="auto"/>
          <w:szCs w:val="21"/>
        </w:rPr>
        <w:t>减少桩身的损坏</w:t>
      </w:r>
      <w:r>
        <w:rPr>
          <w:color w:val="auto"/>
          <w:szCs w:val="21"/>
        </w:rPr>
        <w:t>。</w:t>
      </w:r>
    </w:p>
    <w:p w14:paraId="71926258">
      <w:pPr>
        <w:pStyle w:val="77"/>
        <w:rPr>
          <w:color w:val="auto"/>
        </w:rPr>
      </w:pPr>
      <w:bookmarkStart w:id="221" w:name="_Toc182499035"/>
      <w:r>
        <w:rPr>
          <w:color w:val="auto"/>
        </w:rPr>
        <w:t>15.9  山区地基施工</w:t>
      </w:r>
      <w:bookmarkEnd w:id="221"/>
    </w:p>
    <w:p w14:paraId="5AAF4555">
      <w:pPr>
        <w:snapToGrid w:val="0"/>
        <w:spacing w:line="340" w:lineRule="atLeast"/>
        <w:rPr>
          <w:color w:val="auto"/>
          <w:szCs w:val="21"/>
        </w:rPr>
      </w:pPr>
      <w:r>
        <w:rPr>
          <w:rFonts w:eastAsia="黑体"/>
          <w:b/>
          <w:bCs/>
          <w:color w:val="auto"/>
          <w:szCs w:val="21"/>
        </w:rPr>
        <w:t>15.9.1</w:t>
      </w:r>
      <w:r>
        <w:rPr>
          <w:b/>
          <w:color w:val="auto"/>
          <w:szCs w:val="21"/>
        </w:rPr>
        <w:t xml:space="preserve"> </w:t>
      </w:r>
      <w:r>
        <w:rPr>
          <w:color w:val="auto"/>
          <w:szCs w:val="21"/>
        </w:rPr>
        <w:t xml:space="preserve"> 山区一般地质条件和环境条件比较复杂，地基基础施工稍不注意时容易引发滑坡、崩塌地质灾害。所以在地基基础施工前编制施工组织设计和制定保护环境的安全措施，可以起到防患于未然的作用。</w:t>
      </w:r>
    </w:p>
    <w:p w14:paraId="0A59E80B">
      <w:pPr>
        <w:snapToGrid w:val="0"/>
        <w:spacing w:line="340" w:lineRule="atLeast"/>
        <w:ind w:firstLine="420" w:firstLineChars="200"/>
        <w:rPr>
          <w:color w:val="auto"/>
          <w:szCs w:val="21"/>
        </w:rPr>
      </w:pPr>
      <w:r>
        <w:rPr>
          <w:color w:val="auto"/>
          <w:szCs w:val="21"/>
        </w:rPr>
        <w:t>当边坡开挖或地基基础施工会影响边坡稳定或危及邻近建（构）</w:t>
      </w:r>
      <w:r>
        <w:rPr>
          <w:rFonts w:hint="eastAsia"/>
          <w:color w:val="auto"/>
          <w:szCs w:val="21"/>
        </w:rPr>
        <w:t>筑</w:t>
      </w:r>
      <w:r>
        <w:rPr>
          <w:color w:val="auto"/>
          <w:szCs w:val="21"/>
        </w:rPr>
        <w:t>物、市政道路、管线安全时，应对边坡进行治理，必要时进行基坑工程设计。若是永久性边坡应按永久性边坡进行治理。目的是为了防止边坡开挖或地基基础施工引发滑坡、崩塌地质灾害，危及邻近建（构）</w:t>
      </w:r>
      <w:r>
        <w:rPr>
          <w:rFonts w:hint="eastAsia"/>
          <w:color w:val="auto"/>
          <w:szCs w:val="21"/>
        </w:rPr>
        <w:t>筑</w:t>
      </w:r>
      <w:r>
        <w:rPr>
          <w:color w:val="auto"/>
          <w:szCs w:val="21"/>
        </w:rPr>
        <w:t>物、市政道路、管线等的安全。</w:t>
      </w:r>
    </w:p>
    <w:p w14:paraId="436D0CBF">
      <w:pPr>
        <w:snapToGrid w:val="0"/>
        <w:spacing w:line="340" w:lineRule="atLeast"/>
        <w:rPr>
          <w:color w:val="auto"/>
          <w:szCs w:val="21"/>
        </w:rPr>
      </w:pPr>
      <w:r>
        <w:rPr>
          <w:rFonts w:eastAsia="黑体"/>
          <w:b/>
          <w:bCs/>
          <w:color w:val="auto"/>
          <w:szCs w:val="21"/>
        </w:rPr>
        <w:t>15.9.4</w:t>
      </w:r>
      <w:r>
        <w:rPr>
          <w:color w:val="auto"/>
          <w:szCs w:val="21"/>
        </w:rPr>
        <w:t xml:space="preserve">  由于边坡开挖后，边坡应力平衡遭到破坏，土质及软质岩石遇水等风化作用下，岩土强度降低，边坡容易失稳，所以强调边坡开挖后应根据边坡治理设计文件立即进行治理。</w:t>
      </w:r>
    </w:p>
    <w:p w14:paraId="4916A0C9">
      <w:pPr>
        <w:snapToGrid w:val="0"/>
        <w:spacing w:line="340" w:lineRule="atLeast"/>
        <w:rPr>
          <w:color w:val="auto"/>
          <w:szCs w:val="21"/>
        </w:rPr>
      </w:pPr>
      <w:r>
        <w:rPr>
          <w:rFonts w:eastAsia="黑体"/>
          <w:b/>
          <w:bCs/>
          <w:color w:val="auto"/>
          <w:szCs w:val="21"/>
        </w:rPr>
        <w:t>15.9.5</w:t>
      </w:r>
      <w:r>
        <w:rPr>
          <w:color w:val="auto"/>
          <w:szCs w:val="21"/>
        </w:rPr>
        <w:t xml:space="preserve">  岩层层面或主要结构面与边坡开挖面倾斜方向一致时的顺向坡，岩层层面或主要结构面倾角（а）与边坡面坡角（</w:t>
      </w:r>
      <w:r>
        <w:rPr>
          <w:i/>
          <w:color w:val="auto"/>
          <w:szCs w:val="21"/>
        </w:rPr>
        <w:t>θ</w:t>
      </w:r>
      <w:r>
        <w:rPr>
          <w:color w:val="auto"/>
          <w:szCs w:val="21"/>
        </w:rPr>
        <w:t>）大小关系不同与边坡稳定性有很大关系。当а＜</w:t>
      </w:r>
      <w:r>
        <w:rPr>
          <w:i/>
          <w:color w:val="auto"/>
          <w:szCs w:val="21"/>
        </w:rPr>
        <w:t>θ</w:t>
      </w:r>
      <w:r>
        <w:rPr>
          <w:color w:val="auto"/>
          <w:szCs w:val="21"/>
        </w:rPr>
        <w:t>时，一般称为飘倾坡(如图16a)，边坡稳定性差；当а=</w:t>
      </w:r>
      <w:r>
        <w:rPr>
          <w:i/>
          <w:color w:val="auto"/>
          <w:szCs w:val="21"/>
        </w:rPr>
        <w:t>θ</w:t>
      </w:r>
      <w:r>
        <w:rPr>
          <w:color w:val="auto"/>
          <w:szCs w:val="21"/>
        </w:rPr>
        <w:t xml:space="preserve"> 时，一般称为层面坡(如图16b)，边坡较稳定；当а＞</w:t>
      </w:r>
      <w:r>
        <w:rPr>
          <w:i/>
          <w:color w:val="auto"/>
          <w:szCs w:val="21"/>
        </w:rPr>
        <w:t>θ</w:t>
      </w:r>
      <w:r>
        <w:rPr>
          <w:color w:val="auto"/>
          <w:szCs w:val="21"/>
        </w:rPr>
        <w:t>时，一般称为伏倾坡(如图16c)，边坡稳定性好。所以当岩层层面或主要结构面与边坡开挖面倾斜方向一致时的顺向坡，应根据岩层倾角大小确定边坡的防护方法。</w:t>
      </w:r>
    </w:p>
    <w:p w14:paraId="3EC7DAE4">
      <w:pPr>
        <w:snapToGrid w:val="0"/>
        <w:spacing w:line="340" w:lineRule="atLeast"/>
        <w:rPr>
          <w:color w:val="auto"/>
          <w:szCs w:val="21"/>
        </w:rPr>
      </w:pPr>
      <w:r>
        <w:rPr>
          <w:color w:val="auto"/>
          <w:szCs w:val="21"/>
        </w:rPr>
        <w:t xml:space="preserve">      </w:t>
      </w:r>
    </w:p>
    <w:p w14:paraId="6B02880A">
      <w:pPr>
        <w:snapToGrid w:val="0"/>
        <w:spacing w:line="380" w:lineRule="atLeast"/>
        <w:jc w:val="center"/>
        <w:rPr>
          <w:b/>
          <w:color w:val="auto"/>
          <w:sz w:val="18"/>
          <w:szCs w:val="18"/>
        </w:rPr>
      </w:pPr>
      <w:r>
        <w:rPr>
          <w:color w:val="auto"/>
          <w:szCs w:val="21"/>
        </w:rPr>
        <w:drawing>
          <wp:anchor distT="0" distB="0" distL="114300" distR="114300" simplePos="0" relativeHeight="251679744" behindDoc="0" locked="0" layoutInCell="1" allowOverlap="1">
            <wp:simplePos x="0" y="0"/>
            <wp:positionH relativeFrom="column">
              <wp:align>left</wp:align>
            </wp:positionH>
            <wp:positionV relativeFrom="paragraph">
              <wp:align>top</wp:align>
            </wp:positionV>
            <wp:extent cx="1774190" cy="1674495"/>
            <wp:effectExtent l="0" t="0" r="16510" b="1905"/>
            <wp:wrapSquare wrapText="bothSides"/>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pic:cNvPicPr>
                      <a:picLocks noChangeAspect="1"/>
                    </pic:cNvPicPr>
                  </pic:nvPicPr>
                  <pic:blipFill>
                    <a:blip r:embed="rId1678"/>
                    <a:stretch>
                      <a:fillRect/>
                    </a:stretch>
                  </pic:blipFill>
                  <pic:spPr>
                    <a:xfrm>
                      <a:off x="0" y="0"/>
                      <a:ext cx="1774190" cy="1674495"/>
                    </a:xfrm>
                    <a:prstGeom prst="rect">
                      <a:avLst/>
                    </a:prstGeom>
                    <a:noFill/>
                    <a:ln>
                      <a:noFill/>
                    </a:ln>
                  </pic:spPr>
                </pic:pic>
              </a:graphicData>
            </a:graphic>
          </wp:anchor>
        </w:drawing>
      </w:r>
      <w:r>
        <w:rPr>
          <w:color w:val="auto"/>
          <w:szCs w:val="21"/>
        </w:rPr>
        <w:drawing>
          <wp:inline distT="0" distB="0" distL="114300" distR="114300">
            <wp:extent cx="1758315" cy="1648460"/>
            <wp:effectExtent l="0" t="0" r="13335" b="8890"/>
            <wp:docPr id="132" name="图片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876"/>
                    <pic:cNvPicPr>
                      <a:picLocks noChangeAspect="1"/>
                    </pic:cNvPicPr>
                  </pic:nvPicPr>
                  <pic:blipFill>
                    <a:blip r:embed="rId1679"/>
                    <a:srcRect l="34140"/>
                    <a:stretch>
                      <a:fillRect/>
                    </a:stretch>
                  </pic:blipFill>
                  <pic:spPr>
                    <a:xfrm>
                      <a:off x="0" y="0"/>
                      <a:ext cx="1758315" cy="1648460"/>
                    </a:xfrm>
                    <a:prstGeom prst="rect">
                      <a:avLst/>
                    </a:prstGeom>
                    <a:noFill/>
                    <a:ln>
                      <a:noFill/>
                    </a:ln>
                  </pic:spPr>
                </pic:pic>
              </a:graphicData>
            </a:graphic>
          </wp:inline>
        </w:drawing>
      </w:r>
      <w:r>
        <w:rPr>
          <w:color w:val="auto"/>
          <w:szCs w:val="21"/>
        </w:rPr>
        <w:t xml:space="preserve">  </w:t>
      </w:r>
      <w:r>
        <w:rPr>
          <w:color w:val="auto"/>
          <w:szCs w:val="21"/>
        </w:rPr>
        <w:drawing>
          <wp:inline distT="0" distB="0" distL="114300" distR="114300">
            <wp:extent cx="1760220" cy="1645920"/>
            <wp:effectExtent l="0" t="0" r="11430" b="11430"/>
            <wp:docPr id="129"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77"/>
                    <pic:cNvPicPr>
                      <a:picLocks noChangeAspect="1"/>
                    </pic:cNvPicPr>
                  </pic:nvPicPr>
                  <pic:blipFill>
                    <a:blip r:embed="rId1680"/>
                    <a:srcRect l="33276"/>
                    <a:stretch>
                      <a:fillRect/>
                    </a:stretch>
                  </pic:blipFill>
                  <pic:spPr>
                    <a:xfrm>
                      <a:off x="0" y="0"/>
                      <a:ext cx="1760220" cy="1645920"/>
                    </a:xfrm>
                    <a:prstGeom prst="rect">
                      <a:avLst/>
                    </a:prstGeom>
                    <a:noFill/>
                    <a:ln>
                      <a:noFill/>
                    </a:ln>
                  </pic:spPr>
                </pic:pic>
              </a:graphicData>
            </a:graphic>
          </wp:inline>
        </w:drawing>
      </w:r>
      <w:r>
        <w:rPr>
          <w:color w:val="auto"/>
          <w:szCs w:val="21"/>
        </w:rPr>
        <w:br w:type="textWrapping" w:clear="all"/>
      </w:r>
      <w:r>
        <w:rPr>
          <w:b/>
          <w:color w:val="auto"/>
          <w:sz w:val="18"/>
          <w:szCs w:val="18"/>
        </w:rPr>
        <w:t>图16  结构面倾角与坡面倾角关系</w:t>
      </w:r>
    </w:p>
    <w:p w14:paraId="45D7BB36">
      <w:pPr>
        <w:snapToGrid w:val="0"/>
        <w:spacing w:before="240" w:line="340" w:lineRule="atLeast"/>
        <w:rPr>
          <w:color w:val="auto"/>
          <w:szCs w:val="21"/>
        </w:rPr>
      </w:pPr>
      <w:r>
        <w:rPr>
          <w:rFonts w:eastAsia="黑体"/>
          <w:b/>
          <w:bCs/>
          <w:color w:val="auto"/>
          <w:szCs w:val="21"/>
        </w:rPr>
        <w:t>15.9.8</w:t>
      </w:r>
      <w:r>
        <w:rPr>
          <w:color w:val="auto"/>
          <w:szCs w:val="21"/>
        </w:rPr>
        <w:t xml:space="preserve">  易于软化的岩、土，如泥岩或土遇水后强度会急剧降低，所以施工时要求严禁被水浸泡。有时难保证岩、土被水浸泡时，可以采用预留100</w:t>
      </w:r>
      <w:r>
        <w:rPr>
          <w:rFonts w:hint="eastAsia"/>
          <w:color w:val="auto"/>
          <w:szCs w:val="21"/>
        </w:rPr>
        <w:t>mm</w:t>
      </w:r>
      <w:r>
        <w:rPr>
          <w:color w:val="auto"/>
          <w:szCs w:val="21"/>
        </w:rPr>
        <w:t>-200mm保护层办法处理。</w:t>
      </w:r>
    </w:p>
    <w:p w14:paraId="2DBB01BA">
      <w:pPr>
        <w:snapToGrid w:val="0"/>
        <w:spacing w:line="340" w:lineRule="atLeast"/>
        <w:rPr>
          <w:color w:val="auto"/>
          <w:szCs w:val="21"/>
        </w:rPr>
      </w:pPr>
      <w:r>
        <w:rPr>
          <w:rFonts w:eastAsia="黑体"/>
          <w:b/>
          <w:bCs/>
          <w:color w:val="auto"/>
          <w:szCs w:val="21"/>
        </w:rPr>
        <w:t>15.9.9</w:t>
      </w:r>
      <w:r>
        <w:rPr>
          <w:color w:val="auto"/>
          <w:szCs w:val="21"/>
        </w:rPr>
        <w:t xml:space="preserve">  在山区施工常会遇到边坡、洪水或潜在地质灾害（如滑坡、崩塌）影响区。施工用临时设施（如工棚）或堆放重要设备、器材时应避开这些地段。十堰城区曾发生过多次由于施工用工棚或塔吊设备在未治理的边坡下面（下缘），一场降雨，边坡失稳，产生滑坡，造成人员死亡和设备砸坏事件。这种情况应避免。</w:t>
      </w:r>
    </w:p>
    <w:p w14:paraId="318FC2ED">
      <w:pPr>
        <w:pStyle w:val="77"/>
        <w:rPr>
          <w:color w:val="auto"/>
        </w:rPr>
      </w:pPr>
      <w:bookmarkStart w:id="222" w:name="_Toc182499036"/>
      <w:r>
        <w:rPr>
          <w:color w:val="auto"/>
        </w:rPr>
        <w:t>15.10  其他灌注桩的施工要点</w:t>
      </w:r>
      <w:bookmarkEnd w:id="222"/>
    </w:p>
    <w:p w14:paraId="10F7188D">
      <w:pPr>
        <w:snapToGrid w:val="0"/>
        <w:spacing w:line="380" w:lineRule="atLeast"/>
        <w:rPr>
          <w:color w:val="auto"/>
          <w:szCs w:val="21"/>
        </w:rPr>
      </w:pPr>
      <w:r>
        <w:rPr>
          <w:b/>
          <w:bCs/>
          <w:color w:val="auto"/>
          <w:szCs w:val="21"/>
        </w:rPr>
        <w:t>15.10.1</w:t>
      </w:r>
      <w:r>
        <w:rPr>
          <w:color w:val="auto"/>
          <w:szCs w:val="21"/>
        </w:rPr>
        <w:t xml:space="preserve">  人工挖孔桩施工时，对桩端土及时封底是保证桩基础承载力的关键。一些工程人工挖孔桩的各方面质量控制均较好，但就是没有及时封底，导致沉降过大，引起工程质量事故。人工挖孔桩施工时应特别注意人身安全，对有害气体和液体、承压水、淤泥的治理，以及雨季施工、挖出土的堆放和孔口的覆盖等，均要采取一系列切实可行的安全措施。</w:t>
      </w:r>
    </w:p>
    <w:p w14:paraId="6CA3CD7F">
      <w:pPr>
        <w:snapToGrid w:val="0"/>
        <w:spacing w:line="380" w:lineRule="atLeast"/>
        <w:rPr>
          <w:color w:val="auto"/>
          <w:szCs w:val="21"/>
        </w:rPr>
      </w:pPr>
      <w:r>
        <w:rPr>
          <w:b/>
          <w:bCs/>
          <w:color w:val="auto"/>
          <w:szCs w:val="21"/>
        </w:rPr>
        <w:t>15.10.2</w:t>
      </w:r>
      <w:r>
        <w:rPr>
          <w:color w:val="auto"/>
          <w:szCs w:val="21"/>
        </w:rPr>
        <w:t xml:space="preserve">  有些施工单位图省事，对大直径冲击成孔灌注桩采用一次冲击成孔，由于其冲击钻头重量大，引起周边设施和建筑物产生裂缝、沉降等。因此，强调大直径冲击成孔灌注桩应逐级成孔。</w:t>
      </w:r>
    </w:p>
    <w:p w14:paraId="381817E7">
      <w:pPr>
        <w:pStyle w:val="34"/>
        <w:numPr>
          <w:ilvl w:val="0"/>
          <w:numId w:val="3"/>
        </w:numPr>
        <w:rPr>
          <w:b/>
          <w:snapToGrid w:val="0"/>
          <w:color w:val="auto"/>
          <w:sz w:val="24"/>
          <w:szCs w:val="20"/>
        </w:rPr>
      </w:pPr>
      <w:bookmarkStart w:id="223" w:name="_Toc182499037"/>
      <w:r>
        <w:rPr>
          <w:b/>
          <w:bCs w:val="0"/>
          <w:color w:val="auto"/>
        </w:rPr>
        <w:t>轨道交通与邻近建筑</w:t>
      </w:r>
      <w:bookmarkEnd w:id="223"/>
    </w:p>
    <w:p w14:paraId="50BDA0EF">
      <w:pPr>
        <w:pStyle w:val="77"/>
        <w:rPr>
          <w:color w:val="auto"/>
        </w:rPr>
      </w:pPr>
      <w:bookmarkStart w:id="224" w:name="_Toc182499038"/>
      <w:r>
        <w:rPr>
          <w:color w:val="auto"/>
        </w:rPr>
        <w:t>16.1 一般规定</w:t>
      </w:r>
      <w:bookmarkEnd w:id="224"/>
    </w:p>
    <w:p w14:paraId="6317D610">
      <w:pPr>
        <w:snapToGrid w:val="0"/>
        <w:spacing w:line="340" w:lineRule="atLeast"/>
        <w:rPr>
          <w:color w:val="auto"/>
          <w:szCs w:val="21"/>
        </w:rPr>
      </w:pPr>
      <w:r>
        <w:rPr>
          <w:b/>
          <w:color w:val="auto"/>
          <w:szCs w:val="21"/>
        </w:rPr>
        <w:t>16.1.1</w:t>
      </w:r>
      <w:r>
        <w:rPr>
          <w:color w:val="auto"/>
          <w:szCs w:val="21"/>
        </w:rPr>
        <w:t xml:space="preserve">  本条轨道交通主要指市域范围内在不同型式轨道上运行的大、中运量的公共交通系统，是当代城市中地铁、轻轨、单轨、自动导轨系统、磁悬浮现代有轨电车等轨道交通的总称。因此这一含义决定了轨道交通工程的施工工艺、建筑结构型式、功能种类繁多。轨道交通附属建筑包含直接和间接服务于轨道交通正常运营的地上、地下工程，如出入口、地面风亭、地面高架的天桥、与主体分离的变电所、冷却塔、地面疏散通道、控制中心等等。邻近轨道交通主体及附属建筑兴建的或既有的工业与民用建筑物与轨道交通主体及附属建筑在施工、使用过程中可能发生相互干扰、相互影响的问题，二者协调不当有可能造成重大损失或事故。编写本章规定的目的旨在规范轨道交通与邻近建筑二者的关系准则，便于相互了解和沟通，尽量减少相互干扰，确保轨道交通与邻近建筑在建设和使用过程中的安全。</w:t>
      </w:r>
    </w:p>
    <w:p w14:paraId="7C885B46">
      <w:pPr>
        <w:snapToGrid w:val="0"/>
        <w:spacing w:line="340" w:lineRule="atLeast"/>
        <w:rPr>
          <w:color w:val="auto"/>
          <w:szCs w:val="21"/>
        </w:rPr>
      </w:pPr>
      <w:r>
        <w:rPr>
          <w:b/>
          <w:color w:val="auto"/>
          <w:szCs w:val="21"/>
        </w:rPr>
        <w:t xml:space="preserve">16.1.2  </w:t>
      </w:r>
      <w:r>
        <w:rPr>
          <w:color w:val="auto"/>
          <w:szCs w:val="21"/>
        </w:rPr>
        <w:t>本条所指设计</w:t>
      </w:r>
      <w:r>
        <w:rPr>
          <w:rFonts w:hint="eastAsia"/>
          <w:color w:val="auto"/>
          <w:szCs w:val="21"/>
        </w:rPr>
        <w:t>工作</w:t>
      </w:r>
      <w:r>
        <w:rPr>
          <w:color w:val="auto"/>
          <w:szCs w:val="21"/>
        </w:rPr>
        <w:t>年限是指在一般维护条件下，能保证主体结构工程安全正常使用的最低时长。轨道交通车站、附属地上及地下建筑的主体结构、区间线路（含高架、地面及地下隧道）设计</w:t>
      </w:r>
      <w:r>
        <w:rPr>
          <w:rFonts w:hint="eastAsia"/>
          <w:color w:val="auto"/>
          <w:szCs w:val="21"/>
        </w:rPr>
        <w:t>工作</w:t>
      </w:r>
      <w:r>
        <w:rPr>
          <w:color w:val="auto"/>
          <w:szCs w:val="21"/>
        </w:rPr>
        <w:t>年限为100年；与主体结构相连的构件，如内部夹层板、站台板、楼梯、轨顶风道板等，维修和置换会影响正常运营时，其设计</w:t>
      </w:r>
      <w:r>
        <w:rPr>
          <w:rFonts w:hint="eastAsia"/>
          <w:color w:val="auto"/>
          <w:szCs w:val="21"/>
        </w:rPr>
        <w:t>工作</w:t>
      </w:r>
      <w:r>
        <w:rPr>
          <w:color w:val="auto"/>
          <w:szCs w:val="21"/>
        </w:rPr>
        <w:t>年限也宜为100年。</w:t>
      </w:r>
    </w:p>
    <w:p w14:paraId="1A089525">
      <w:pPr>
        <w:snapToGrid w:val="0"/>
        <w:spacing w:line="340" w:lineRule="atLeast"/>
        <w:rPr>
          <w:color w:val="auto"/>
          <w:szCs w:val="21"/>
        </w:rPr>
      </w:pPr>
      <w:r>
        <w:rPr>
          <w:b/>
          <w:color w:val="auto"/>
          <w:szCs w:val="21"/>
        </w:rPr>
        <w:t xml:space="preserve">16.1.3  </w:t>
      </w:r>
      <w:r>
        <w:rPr>
          <w:color w:val="auto"/>
          <w:szCs w:val="21"/>
        </w:rPr>
        <w:t>轨道交通建筑的设计应考虑使用要求、岩土工程条件、周边环境、施工方法等因素，在满足轨道交通安全和使用要求的前提下，为节省工程投资和实施时减少对城市正常生活秩序的影响，应减少周边管线、建筑物的迁改和对周边环境的干扰。</w:t>
      </w:r>
    </w:p>
    <w:p w14:paraId="080D3A70">
      <w:pPr>
        <w:snapToGrid w:val="0"/>
        <w:spacing w:line="340" w:lineRule="atLeast"/>
        <w:rPr>
          <w:color w:val="auto"/>
          <w:szCs w:val="21"/>
        </w:rPr>
      </w:pPr>
      <w:r>
        <w:rPr>
          <w:color w:val="auto"/>
          <w:szCs w:val="21"/>
        </w:rPr>
        <w:t xml:space="preserve">    城市轨道交通车站一般布置在主要人流集散点和各种交通枢纽（铁路、民航、公路等）节点上，沿线多为城市繁华地段，既有生活设施密集，实施期间与周边环境相互关系的处理是关系工程能否顺利进行的主要甚至是决定性因素。因此，轨道交通的设计除考虑功能和施工工艺之外，对交通、管线、建筑物等周围环境应仔细分析、处理。</w:t>
      </w:r>
    </w:p>
    <w:p w14:paraId="072A5905">
      <w:pPr>
        <w:snapToGrid w:val="0"/>
        <w:spacing w:line="340" w:lineRule="atLeast"/>
        <w:rPr>
          <w:color w:val="auto"/>
          <w:szCs w:val="21"/>
        </w:rPr>
      </w:pPr>
      <w:r>
        <w:rPr>
          <w:b/>
          <w:color w:val="auto"/>
          <w:szCs w:val="21"/>
        </w:rPr>
        <w:t xml:space="preserve">16.1.4  </w:t>
      </w:r>
      <w:r>
        <w:rPr>
          <w:color w:val="auto"/>
          <w:szCs w:val="21"/>
        </w:rPr>
        <w:t>本条规定属于轨道交通岩土勘察工作内容，具体细则按照GB</w:t>
      </w:r>
      <w:r>
        <w:rPr>
          <w:rFonts w:hint="eastAsia"/>
          <w:color w:val="auto"/>
          <w:szCs w:val="21"/>
        </w:rPr>
        <w:t xml:space="preserve"> </w:t>
      </w:r>
      <w:r>
        <w:rPr>
          <w:color w:val="auto"/>
          <w:szCs w:val="21"/>
        </w:rPr>
        <w:t>50307的规定执行。</w:t>
      </w:r>
    </w:p>
    <w:p w14:paraId="226EF7EE">
      <w:pPr>
        <w:snapToGrid w:val="0"/>
        <w:spacing w:line="340" w:lineRule="atLeast"/>
        <w:rPr>
          <w:color w:val="auto"/>
          <w:szCs w:val="21"/>
        </w:rPr>
      </w:pPr>
      <w:r>
        <w:rPr>
          <w:b/>
          <w:color w:val="auto"/>
          <w:szCs w:val="21"/>
        </w:rPr>
        <w:t xml:space="preserve">16.1.5  </w:t>
      </w:r>
      <w:r>
        <w:rPr>
          <w:color w:val="auto"/>
          <w:szCs w:val="21"/>
        </w:rPr>
        <w:t>本条针对在轨道交通规划控制保护地界内、外</w:t>
      </w:r>
      <w:r>
        <w:rPr>
          <w:rFonts w:hint="eastAsia"/>
          <w:color w:val="auto"/>
          <w:szCs w:val="21"/>
        </w:rPr>
        <w:t>新</w:t>
      </w:r>
      <w:r>
        <w:rPr>
          <w:color w:val="auto"/>
          <w:szCs w:val="21"/>
        </w:rPr>
        <w:t>建的与轨道交通正常运营无直接关系但可能影响彼此工程安全的建筑物时应遵守的规定。这类“邻近”工程需要进行“邻近程度”及对彼此工程“危害程度”的评定。一是为轨道交通工程的安全采取必要的措施，二是为解决可能的纠纷提供依据。当设计不能明确时，需要组织专家进行专项论证。周围环境与轨道交通工程的邻近关系和风险分级可参考GB</w:t>
      </w:r>
      <w:r>
        <w:rPr>
          <w:rFonts w:hint="eastAsia"/>
          <w:color w:val="auto"/>
          <w:szCs w:val="21"/>
        </w:rPr>
        <w:t xml:space="preserve"> </w:t>
      </w:r>
      <w:r>
        <w:rPr>
          <w:color w:val="auto"/>
          <w:szCs w:val="21"/>
        </w:rPr>
        <w:t>50652的相关规定。</w:t>
      </w:r>
    </w:p>
    <w:p w14:paraId="6DE076CD">
      <w:pPr>
        <w:snapToGrid w:val="0"/>
        <w:spacing w:line="340" w:lineRule="atLeast"/>
        <w:rPr>
          <w:color w:val="auto"/>
          <w:szCs w:val="21"/>
        </w:rPr>
      </w:pPr>
      <w:r>
        <w:rPr>
          <w:color w:val="auto"/>
          <w:szCs w:val="21"/>
        </w:rPr>
        <w:t xml:space="preserve">    其中，周边环境与轨道交通地面工程的距离按工程外轮廓投影间的最近距离考虑。</w:t>
      </w:r>
    </w:p>
    <w:p w14:paraId="146DEC00">
      <w:pPr>
        <w:snapToGrid w:val="0"/>
        <w:spacing w:line="340" w:lineRule="atLeast"/>
        <w:rPr>
          <w:color w:val="auto"/>
          <w:szCs w:val="21"/>
        </w:rPr>
      </w:pPr>
      <w:r>
        <w:rPr>
          <w:b/>
          <w:color w:val="auto"/>
          <w:szCs w:val="21"/>
        </w:rPr>
        <w:t xml:space="preserve">16.1.6  </w:t>
      </w:r>
      <w:r>
        <w:rPr>
          <w:color w:val="auto"/>
          <w:szCs w:val="21"/>
        </w:rPr>
        <w:t>在轨道交通规划控制区内兴建建筑物将对轨道交通主体及附属建筑物带来直接的影响，规划应予严格控制。同时兴建的建筑物虽在规划控制区外，其附属构件如锚杆等也不得侵入轨道交通规划控制区。在轨道交通规划影响区内原则上也不宜兴建地下及地上建筑物，以免造成轨道交通施工困难或影响轨道交通的正常运营。</w:t>
      </w:r>
    </w:p>
    <w:p w14:paraId="56C4F489">
      <w:pPr>
        <w:snapToGrid w:val="0"/>
        <w:spacing w:line="340" w:lineRule="atLeast"/>
        <w:rPr>
          <w:color w:val="auto"/>
          <w:szCs w:val="21"/>
        </w:rPr>
      </w:pPr>
      <w:r>
        <w:rPr>
          <w:color w:val="auto"/>
          <w:szCs w:val="21"/>
        </w:rPr>
        <w:t xml:space="preserve">    特殊情况下必须在轨道交通规划控制区或规划影响区内兴建建筑物时，应精细策划、充分论证，在征得规划及轨道交通建设单位、运营单位的同意后方可建设。</w:t>
      </w:r>
    </w:p>
    <w:p w14:paraId="4C45214B">
      <w:pPr>
        <w:snapToGrid w:val="0"/>
        <w:spacing w:line="340" w:lineRule="atLeast"/>
        <w:rPr>
          <w:color w:val="auto"/>
          <w:szCs w:val="21"/>
        </w:rPr>
      </w:pPr>
      <w:r>
        <w:rPr>
          <w:b/>
          <w:color w:val="auto"/>
          <w:szCs w:val="21"/>
        </w:rPr>
        <w:t>16.1.7</w:t>
      </w:r>
      <w:r>
        <w:rPr>
          <w:color w:val="auto"/>
          <w:szCs w:val="21"/>
        </w:rPr>
        <w:t xml:space="preserve">  当轨道交通工程正在施工或已建成时，在其邻近兴建建筑物时必须保证轨道交通工程的安全。即使在轨道交通规划控制保护地界以外兴建建筑物，当其基坑采用管井降水或基坑开挖深度超过轨道交通基础深度时，也可能对轨道交通工程带来不利影响，应予以高度重视。应加强基坑的支护结构、设置隔离桩（墙），止水帷幕不得渗漏，同时应控制管井降水时间及含砂率，出水含砂率不应超过十万分之一，施工过程中应对轨道交通主体及附属工程进行严密的变形监测。轨道交通主体及附属工程的变形限值，宜按照相关轨道交通设计规范及《混凝土结构设计规范》规定执行，已铺轨道变形不宜大于5mm。</w:t>
      </w:r>
    </w:p>
    <w:p w14:paraId="457A55E0">
      <w:pPr>
        <w:snapToGrid w:val="0"/>
        <w:spacing w:line="340" w:lineRule="atLeast"/>
        <w:ind w:firstLine="435"/>
        <w:rPr>
          <w:color w:val="auto"/>
          <w:szCs w:val="21"/>
        </w:rPr>
      </w:pPr>
      <w:r>
        <w:rPr>
          <w:color w:val="auto"/>
          <w:szCs w:val="21"/>
        </w:rPr>
        <w:t>对于轨道交通工程规划控制保护地界外新建的邻近地下工程，应根据邻近工程与轨道交通工程的先后实施顺序、规模、施工方法等特点，评估对轨道交通工程的附加风险程度，根据相应的风险等级采用针对性的加固措施；必要时应组织专家进行专项研究。</w:t>
      </w:r>
    </w:p>
    <w:p w14:paraId="0F53B6EB">
      <w:pPr>
        <w:snapToGrid w:val="0"/>
        <w:spacing w:line="340" w:lineRule="atLeast"/>
        <w:ind w:firstLine="435"/>
        <w:rPr>
          <w:color w:val="auto"/>
          <w:szCs w:val="21"/>
        </w:rPr>
      </w:pPr>
      <w:r>
        <w:rPr>
          <w:color w:val="auto"/>
          <w:szCs w:val="21"/>
        </w:rPr>
        <w:t>轨道交通工程主体及附属工程的变形应满足结构安全、耐久性、使用期舒适度的相关要求；具体参考限值如下：</w:t>
      </w:r>
    </w:p>
    <w:p w14:paraId="49CB1958">
      <w:pPr>
        <w:snapToGrid w:val="0"/>
        <w:spacing w:line="340" w:lineRule="atLeast"/>
        <w:ind w:firstLine="435"/>
        <w:rPr>
          <w:color w:val="auto"/>
          <w:szCs w:val="21"/>
        </w:rPr>
      </w:pPr>
      <w:r>
        <w:rPr>
          <w:b/>
          <w:color w:val="auto"/>
          <w:szCs w:val="21"/>
        </w:rPr>
        <w:t>1</w:t>
      </w:r>
      <w:r>
        <w:rPr>
          <w:color w:val="auto"/>
          <w:szCs w:val="21"/>
        </w:rPr>
        <w:t xml:space="preserve">  主体及附属结构的差异沉降参考本文件正文表</w:t>
      </w:r>
      <w:r>
        <w:rPr>
          <w:rFonts w:hint="eastAsia"/>
          <w:color w:val="auto"/>
          <w:szCs w:val="21"/>
        </w:rPr>
        <w:t>2</w:t>
      </w:r>
      <w:r>
        <w:rPr>
          <w:color w:val="auto"/>
          <w:szCs w:val="21"/>
        </w:rPr>
        <w:t>的规定。</w:t>
      </w:r>
    </w:p>
    <w:p w14:paraId="31280D43">
      <w:pPr>
        <w:snapToGrid w:val="0"/>
        <w:spacing w:line="340" w:lineRule="atLeast"/>
        <w:ind w:firstLine="435"/>
        <w:rPr>
          <w:color w:val="auto"/>
          <w:szCs w:val="21"/>
        </w:rPr>
      </w:pPr>
      <w:r>
        <w:rPr>
          <w:b/>
          <w:color w:val="auto"/>
          <w:szCs w:val="21"/>
        </w:rPr>
        <w:t>2</w:t>
      </w:r>
      <w:r>
        <w:rPr>
          <w:color w:val="auto"/>
          <w:szCs w:val="21"/>
        </w:rPr>
        <w:t xml:space="preserve">  裂缝宽度，参考GB</w:t>
      </w:r>
      <w:r>
        <w:rPr>
          <w:rFonts w:hint="eastAsia"/>
          <w:color w:val="auto"/>
          <w:szCs w:val="21"/>
        </w:rPr>
        <w:t>/</w:t>
      </w:r>
      <w:r>
        <w:rPr>
          <w:color w:val="auto"/>
          <w:szCs w:val="21"/>
        </w:rPr>
        <w:t>T</w:t>
      </w:r>
      <w:r>
        <w:rPr>
          <w:rFonts w:hint="eastAsia"/>
          <w:color w:val="auto"/>
          <w:szCs w:val="21"/>
        </w:rPr>
        <w:t xml:space="preserve"> </w:t>
      </w:r>
      <w:r>
        <w:rPr>
          <w:color w:val="auto"/>
          <w:szCs w:val="21"/>
        </w:rPr>
        <w:t>50010、GB</w:t>
      </w:r>
      <w:r>
        <w:rPr>
          <w:rFonts w:hint="eastAsia"/>
          <w:color w:val="auto"/>
          <w:szCs w:val="21"/>
        </w:rPr>
        <w:t xml:space="preserve"> </w:t>
      </w:r>
      <w:r>
        <w:rPr>
          <w:color w:val="auto"/>
          <w:szCs w:val="21"/>
        </w:rPr>
        <w:t>50157等执行。</w:t>
      </w:r>
    </w:p>
    <w:p w14:paraId="1F352F71">
      <w:pPr>
        <w:pStyle w:val="77"/>
        <w:rPr>
          <w:color w:val="auto"/>
        </w:rPr>
      </w:pPr>
      <w:bookmarkStart w:id="225" w:name="_Toc182499039"/>
      <w:r>
        <w:rPr>
          <w:color w:val="auto"/>
        </w:rPr>
        <w:t>16.2 工程勘察</w:t>
      </w:r>
      <w:bookmarkEnd w:id="225"/>
    </w:p>
    <w:p w14:paraId="4190BAF6">
      <w:pPr>
        <w:snapToGrid w:val="0"/>
        <w:spacing w:line="340" w:lineRule="atLeast"/>
        <w:rPr>
          <w:color w:val="auto"/>
          <w:szCs w:val="21"/>
        </w:rPr>
      </w:pPr>
      <w:r>
        <w:rPr>
          <w:b/>
          <w:color w:val="auto"/>
          <w:szCs w:val="21"/>
        </w:rPr>
        <w:t xml:space="preserve">16.2.2 </w:t>
      </w:r>
      <w:r>
        <w:rPr>
          <w:color w:val="auto"/>
          <w:szCs w:val="21"/>
        </w:rPr>
        <w:t xml:space="preserve"> 本条原则规定了轨道交通岩土工程勘察必须进行的工作，各土层的黏聚力、内摩擦角</w:t>
      </w:r>
      <w:r>
        <w:rPr>
          <w:b/>
          <w:color w:val="auto"/>
          <w:szCs w:val="21"/>
        </w:rPr>
        <w:t>、</w:t>
      </w:r>
      <w:r>
        <w:rPr>
          <w:color w:val="auto"/>
          <w:szCs w:val="21"/>
        </w:rPr>
        <w:t>土层静止侧压力系数，轨道交通工程所处土层的水平及垂直基床系数等，均为结构计算需要的参数，应予提供，且每一主要土层的数据不少于3组。岩石的</w:t>
      </w:r>
      <w:r>
        <w:rPr>
          <w:rFonts w:hint="eastAsia"/>
          <w:i/>
          <w:color w:val="auto"/>
          <w:szCs w:val="21"/>
        </w:rPr>
        <w:t>c</w:t>
      </w:r>
      <w:r>
        <w:rPr>
          <w:color w:val="auto"/>
          <w:szCs w:val="21"/>
        </w:rPr>
        <w:t>、</w:t>
      </w:r>
      <w:r>
        <w:rPr>
          <w:i/>
          <w:color w:val="auto"/>
          <w:szCs w:val="21"/>
        </w:rPr>
        <w:t>φ</w:t>
      </w:r>
      <w:r>
        <w:rPr>
          <w:color w:val="auto"/>
          <w:szCs w:val="21"/>
        </w:rPr>
        <w:t>值及基床系数确定应符合GB</w:t>
      </w:r>
      <w:r>
        <w:rPr>
          <w:rFonts w:hint="eastAsia"/>
          <w:color w:val="auto"/>
          <w:szCs w:val="21"/>
        </w:rPr>
        <w:t xml:space="preserve"> </w:t>
      </w:r>
      <w:r>
        <w:rPr>
          <w:color w:val="auto"/>
          <w:szCs w:val="21"/>
        </w:rPr>
        <w:t>50307的相关规定。</w:t>
      </w:r>
    </w:p>
    <w:p w14:paraId="08D81A51">
      <w:pPr>
        <w:snapToGrid w:val="0"/>
        <w:spacing w:line="340" w:lineRule="atLeast"/>
        <w:ind w:firstLine="411" w:firstLineChars="196"/>
        <w:rPr>
          <w:color w:val="auto"/>
          <w:szCs w:val="21"/>
        </w:rPr>
      </w:pPr>
      <w:r>
        <w:rPr>
          <w:color w:val="auto"/>
          <w:szCs w:val="21"/>
        </w:rPr>
        <w:t>对于岩石地层，应给出等效黏聚力</w:t>
      </w:r>
      <w:r>
        <w:rPr>
          <w:i/>
          <w:color w:val="auto"/>
          <w:szCs w:val="21"/>
        </w:rPr>
        <w:t>c</w:t>
      </w:r>
      <w:r>
        <w:rPr>
          <w:color w:val="auto"/>
          <w:szCs w:val="21"/>
        </w:rPr>
        <w:t>及内摩擦角</w:t>
      </w:r>
      <w:r>
        <w:rPr>
          <w:i/>
          <w:color w:val="auto"/>
          <w:szCs w:val="21"/>
        </w:rPr>
        <w:t>φ</w:t>
      </w:r>
      <w:r>
        <w:rPr>
          <w:color w:val="auto"/>
          <w:szCs w:val="21"/>
        </w:rPr>
        <w:t>；对中、微风化岩石应查明其产状、倾角及潜在不利结构面。</w:t>
      </w:r>
    </w:p>
    <w:p w14:paraId="2AF3CB5D">
      <w:pPr>
        <w:snapToGrid w:val="0"/>
        <w:spacing w:line="340" w:lineRule="atLeast"/>
        <w:ind w:firstLine="411" w:firstLineChars="196"/>
        <w:rPr>
          <w:color w:val="auto"/>
          <w:szCs w:val="21"/>
        </w:rPr>
      </w:pPr>
      <w:r>
        <w:rPr>
          <w:color w:val="auto"/>
          <w:szCs w:val="21"/>
        </w:rPr>
        <w:t>对于岩石材料，目前在轨道交通工程主体和围护结构计算中采用摩尔库伦强度准则，虽然有其不合理性，但如采用其他更合理的弹塑性准则，如DP准则，势必增加参数的勘察取值难度和计算的复杂度，而带来的准确性提升和经济效益有限；而岩石产状、结构面等是其强度和稳定性的控制因素。</w:t>
      </w:r>
    </w:p>
    <w:p w14:paraId="0E990C8C">
      <w:pPr>
        <w:snapToGrid w:val="0"/>
        <w:spacing w:line="340" w:lineRule="atLeast"/>
        <w:ind w:firstLine="411" w:firstLineChars="196"/>
        <w:rPr>
          <w:color w:val="auto"/>
          <w:szCs w:val="21"/>
        </w:rPr>
      </w:pPr>
      <w:r>
        <w:rPr>
          <w:color w:val="auto"/>
          <w:szCs w:val="21"/>
        </w:rPr>
        <w:t>对轨道交通工程遇到的不良地质作用，如采空区、岩溶、地裂缝、地面沉陷、有害气体等，应按照GB</w:t>
      </w:r>
      <w:r>
        <w:rPr>
          <w:rFonts w:hint="eastAsia"/>
          <w:color w:val="auto"/>
          <w:szCs w:val="21"/>
        </w:rPr>
        <w:t xml:space="preserve"> </w:t>
      </w:r>
      <w:r>
        <w:rPr>
          <w:color w:val="auto"/>
          <w:szCs w:val="21"/>
        </w:rPr>
        <w:t>50021、TB</w:t>
      </w:r>
      <w:r>
        <w:rPr>
          <w:rFonts w:hint="eastAsia"/>
          <w:color w:val="auto"/>
          <w:szCs w:val="21"/>
          <w:lang w:val="en-US" w:eastAsia="zh-CN"/>
        </w:rPr>
        <w:t xml:space="preserve"> </w:t>
      </w:r>
      <w:r>
        <w:rPr>
          <w:color w:val="auto"/>
          <w:szCs w:val="21"/>
        </w:rPr>
        <w:t>10027等现行标准的规定进行查探和稳定性、危害程度评定。岩溶场地的勘察不可能准确查明岩溶的分布情况，应根据区域岩溶发育情况，布置适当的钻孔判定岩溶的发育程度。钻孔往往诱发岩溶地面塌陷，因此钻孔不宜过多且应立即注浆封闭钻孔，注浆封闭钻孔是一种岩溶预处理的有效措施，应严格执行。</w:t>
      </w:r>
    </w:p>
    <w:p w14:paraId="3C93FD26">
      <w:pPr>
        <w:snapToGrid w:val="0"/>
        <w:spacing w:line="340" w:lineRule="atLeast"/>
        <w:ind w:firstLine="411" w:firstLineChars="196"/>
        <w:rPr>
          <w:color w:val="auto"/>
          <w:szCs w:val="21"/>
        </w:rPr>
      </w:pPr>
      <w:r>
        <w:rPr>
          <w:color w:val="auto"/>
          <w:szCs w:val="21"/>
        </w:rPr>
        <w:t>采用冻结法施工的地下工程，应提供需冻结土层范围的地下水流速，并通过实验确定指导冻结施工的相关技术参数，如土层的导热系数、导温系数等。地下水流速超过2.5m/s时不宜采用冻结法施工。</w:t>
      </w:r>
    </w:p>
    <w:p w14:paraId="52D53604">
      <w:pPr>
        <w:snapToGrid w:val="0"/>
        <w:spacing w:line="340" w:lineRule="atLeast"/>
        <w:ind w:firstLine="411" w:firstLineChars="196"/>
        <w:rPr>
          <w:color w:val="auto"/>
          <w:szCs w:val="21"/>
        </w:rPr>
      </w:pPr>
      <w:r>
        <w:rPr>
          <w:color w:val="auto"/>
          <w:szCs w:val="21"/>
        </w:rPr>
        <w:t>提供土层热物理参数的目的是为地铁车站及隧道空调、通风提供设计依据。提供土壤电阻率系为供电设备的接地装置提供依据。</w:t>
      </w:r>
    </w:p>
    <w:p w14:paraId="2F8DEF5C">
      <w:pPr>
        <w:pStyle w:val="77"/>
        <w:rPr>
          <w:color w:val="auto"/>
        </w:rPr>
      </w:pPr>
      <w:bookmarkStart w:id="226" w:name="_Toc182499040"/>
      <w:r>
        <w:rPr>
          <w:color w:val="auto"/>
        </w:rPr>
        <w:t>16.3  轨道交通地下工程设计</w:t>
      </w:r>
      <w:bookmarkEnd w:id="226"/>
    </w:p>
    <w:p w14:paraId="687C2209">
      <w:pPr>
        <w:snapToGrid w:val="0"/>
        <w:rPr>
          <w:color w:val="auto"/>
          <w:szCs w:val="21"/>
        </w:rPr>
      </w:pPr>
      <w:r>
        <w:rPr>
          <w:b/>
          <w:color w:val="auto"/>
          <w:szCs w:val="21"/>
        </w:rPr>
        <w:t xml:space="preserve">16.3.4  </w:t>
      </w:r>
      <w:r>
        <w:rPr>
          <w:color w:val="auto"/>
          <w:szCs w:val="21"/>
        </w:rPr>
        <w:t>本条规定了盾构法遂道设计中应考虑的主要问题。</w:t>
      </w:r>
    </w:p>
    <w:p w14:paraId="1E378A56">
      <w:pPr>
        <w:snapToGrid w:val="0"/>
        <w:spacing w:line="360" w:lineRule="atLeast"/>
        <w:ind w:firstLine="413" w:firstLineChars="196"/>
        <w:rPr>
          <w:color w:val="auto"/>
          <w:szCs w:val="21"/>
        </w:rPr>
      </w:pPr>
      <w:r>
        <w:rPr>
          <w:b/>
          <w:color w:val="auto"/>
          <w:szCs w:val="21"/>
        </w:rPr>
        <w:t>a)</w:t>
      </w:r>
      <w:r>
        <w:rPr>
          <w:color w:val="auto"/>
          <w:szCs w:val="21"/>
        </w:rPr>
        <w:t xml:space="preserve">  对盾构法施工的适用范围作出了原则规定。</w:t>
      </w:r>
    </w:p>
    <w:p w14:paraId="4594DA53">
      <w:pPr>
        <w:snapToGrid w:val="0"/>
        <w:spacing w:line="360" w:lineRule="atLeast"/>
        <w:ind w:firstLine="411" w:firstLineChars="196"/>
        <w:rPr>
          <w:color w:val="auto"/>
          <w:szCs w:val="21"/>
        </w:rPr>
      </w:pPr>
      <w:r>
        <w:rPr>
          <w:color w:val="auto"/>
          <w:szCs w:val="21"/>
        </w:rPr>
        <w:t>盾构主要有土压平衡式盾构和泥水平衡式盾构两种。</w:t>
      </w:r>
    </w:p>
    <w:p w14:paraId="4AD77888">
      <w:pPr>
        <w:snapToGrid w:val="0"/>
        <w:spacing w:line="360" w:lineRule="atLeast"/>
        <w:ind w:firstLine="411" w:firstLineChars="196"/>
        <w:rPr>
          <w:color w:val="auto"/>
          <w:szCs w:val="21"/>
        </w:rPr>
      </w:pPr>
      <w:r>
        <w:rPr>
          <w:color w:val="auto"/>
          <w:szCs w:val="21"/>
        </w:rPr>
        <w:t>地层承压水头高、上方有大水体的越江隧道或环境特别紧张的隧道应采用泥水平衡式盾构。</w:t>
      </w:r>
    </w:p>
    <w:p w14:paraId="65C2C06E">
      <w:pPr>
        <w:pStyle w:val="78"/>
        <w:snapToGrid w:val="0"/>
        <w:spacing w:line="360" w:lineRule="atLeast"/>
        <w:ind w:firstLine="420"/>
        <w:rPr>
          <w:color w:val="auto"/>
          <w:szCs w:val="21"/>
        </w:rPr>
      </w:pPr>
      <w:r>
        <w:rPr>
          <w:color w:val="auto"/>
          <w:szCs w:val="21"/>
        </w:rPr>
        <w:t>随着施工技术的不断进步，各种新型、高性能土体改良添加剂的诞生，盾构机已能适应多种环境和地层的要求，适用范围大大扩展。但即使是在适宜采用盾构法施工的地层， 也必须通过土体改良来降低刀盘扭矩和减小刀具的磨损。对于坚硬岩层、含有漂石的卵砾石层以及上下软硬不均等不良地层，更要采取特殊的施工技术措施及特殊定制盾构机。因此，在前期选线时，应该尽量避开不良地层，以降低施工难度及工程造价，减少施工风险。</w:t>
      </w:r>
    </w:p>
    <w:p w14:paraId="725EEC1F">
      <w:pPr>
        <w:snapToGrid w:val="0"/>
        <w:spacing w:line="360" w:lineRule="atLeast"/>
        <w:ind w:firstLine="413" w:firstLineChars="196"/>
        <w:rPr>
          <w:color w:val="auto"/>
          <w:szCs w:val="21"/>
        </w:rPr>
      </w:pPr>
      <w:r>
        <w:rPr>
          <w:b/>
          <w:color w:val="auto"/>
          <w:szCs w:val="21"/>
        </w:rPr>
        <w:t xml:space="preserve">b)  </w:t>
      </w:r>
      <w:r>
        <w:rPr>
          <w:color w:val="auto"/>
          <w:szCs w:val="21"/>
        </w:rPr>
        <w:t>本款说明如下：</w:t>
      </w:r>
    </w:p>
    <w:p w14:paraId="4CA21B31">
      <w:pPr>
        <w:snapToGrid w:val="0"/>
        <w:spacing w:line="360" w:lineRule="atLeast"/>
        <w:ind w:firstLine="723" w:firstLineChars="343"/>
        <w:rPr>
          <w:color w:val="auto"/>
          <w:szCs w:val="21"/>
        </w:rPr>
      </w:pPr>
      <w:r>
        <w:rPr>
          <w:b/>
          <w:color w:val="auto"/>
          <w:szCs w:val="21"/>
        </w:rPr>
        <w:t>1）</w:t>
      </w:r>
      <w:r>
        <w:rPr>
          <w:color w:val="auto"/>
          <w:szCs w:val="21"/>
        </w:rPr>
        <w:t>为避免盾构掘进时造成过大的地表变形，破坏周边建（构）筑物，或因覆土不足造成隧道本身上浮，盾构隧道最小覆土厚度不宜小于1.5D（D为隧道的外径）。如若覆土小于该值，需综合考虑地质情况、邻近建筑物状况等因素并采用相应技术措施，当隧道上方有沟渠、河道通过时，应按照沟（河）底面设计标高计算确定覆土厚度。</w:t>
      </w:r>
    </w:p>
    <w:p w14:paraId="7F80361D">
      <w:pPr>
        <w:snapToGrid w:val="0"/>
        <w:spacing w:line="360" w:lineRule="atLeast"/>
        <w:ind w:firstLine="723" w:firstLineChars="343"/>
        <w:rPr>
          <w:color w:val="auto"/>
          <w:szCs w:val="21"/>
        </w:rPr>
      </w:pPr>
      <w:r>
        <w:rPr>
          <w:b/>
          <w:color w:val="auto"/>
          <w:szCs w:val="21"/>
        </w:rPr>
        <w:t>2）</w:t>
      </w:r>
      <w:r>
        <w:rPr>
          <w:color w:val="auto"/>
          <w:szCs w:val="21"/>
        </w:rPr>
        <w:t>鉴于轨道交通工程的设计工作年限为100年，一般穿越河海的盾构隧道覆土，除了满足结构抗浮要求外，还要考虑后期运营阶段诸多不确定因素如船锚等对结构安全的影响，最小覆土厚度不宜过小。</w:t>
      </w:r>
    </w:p>
    <w:p w14:paraId="54A15B3D">
      <w:pPr>
        <w:snapToGrid w:val="0"/>
        <w:spacing w:line="360" w:lineRule="atLeast"/>
        <w:ind w:firstLine="723" w:firstLineChars="343"/>
        <w:rPr>
          <w:color w:val="auto"/>
          <w:szCs w:val="21"/>
        </w:rPr>
      </w:pPr>
      <w:r>
        <w:rPr>
          <w:b/>
          <w:color w:val="auto"/>
          <w:szCs w:val="21"/>
        </w:rPr>
        <w:t>3）</w:t>
      </w:r>
      <w:r>
        <w:rPr>
          <w:color w:val="auto"/>
          <w:szCs w:val="21"/>
        </w:rPr>
        <w:t>就并行隧道来说，由于受到施工时的影响，管片将产生与单条隧道不同的变形及应力。为减小相互干扰，保证盾构施工的安全，本规定要求并行隧道间的净距以及隧道与地下障碍物的净距不宜小于1.0D。当不能满足时，应充分分析相互影响，并采取相应的技术措施。</w:t>
      </w:r>
    </w:p>
    <w:p w14:paraId="1AD0E77B">
      <w:pPr>
        <w:snapToGrid w:val="0"/>
        <w:spacing w:line="360" w:lineRule="atLeast"/>
        <w:ind w:firstLine="723" w:firstLineChars="343"/>
        <w:rPr>
          <w:color w:val="auto"/>
          <w:szCs w:val="21"/>
        </w:rPr>
      </w:pPr>
      <w:r>
        <w:rPr>
          <w:b/>
          <w:color w:val="auto"/>
          <w:szCs w:val="21"/>
        </w:rPr>
        <w:t>4）</w:t>
      </w:r>
      <w:r>
        <w:rPr>
          <w:color w:val="auto"/>
          <w:szCs w:val="21"/>
        </w:rPr>
        <w:t>就交叉隧道来说，盾构掘进及后期运营时，管片将产生与单条隧道不同的变形及应力。为减小相互干扰，保证盾构隧道的安全，结合国内交叉隧道的成功经验，本规定要求交叉隧道最小净距不宜小于0.4D。</w:t>
      </w:r>
    </w:p>
    <w:p w14:paraId="71FF9D44">
      <w:pPr>
        <w:snapToGrid w:val="0"/>
        <w:spacing w:line="360" w:lineRule="atLeast"/>
        <w:ind w:firstLine="413" w:firstLineChars="196"/>
        <w:rPr>
          <w:color w:val="auto"/>
          <w:szCs w:val="21"/>
        </w:rPr>
      </w:pPr>
      <w:r>
        <w:rPr>
          <w:b/>
          <w:color w:val="auto"/>
          <w:szCs w:val="21"/>
        </w:rPr>
        <w:t xml:space="preserve">d)  </w:t>
      </w:r>
      <w:r>
        <w:rPr>
          <w:color w:val="auto"/>
          <w:szCs w:val="21"/>
        </w:rPr>
        <w:t>同步注浆材料宜选择惰性缓凝无机材料，且注浆材料凝结固化时应具有低收缩特性。</w:t>
      </w:r>
    </w:p>
    <w:p w14:paraId="52DAB904">
      <w:pPr>
        <w:snapToGrid w:val="0"/>
        <w:spacing w:line="360" w:lineRule="atLeast"/>
        <w:ind w:firstLine="413" w:firstLineChars="196"/>
        <w:rPr>
          <w:color w:val="auto"/>
          <w:szCs w:val="21"/>
        </w:rPr>
      </w:pPr>
      <w:r>
        <w:rPr>
          <w:b/>
          <w:color w:val="auto"/>
          <w:szCs w:val="21"/>
        </w:rPr>
        <w:t xml:space="preserve">e)  </w:t>
      </w:r>
      <w:r>
        <w:rPr>
          <w:color w:val="auto"/>
          <w:szCs w:val="21"/>
        </w:rPr>
        <w:t>盾构隧道的联络通道，一般在盾构隧道施工完成后，采用矿山法进行二次施工，可根据工程地质及水文地质条件，选用冻结法等合适的地层加固工法。</w:t>
      </w:r>
    </w:p>
    <w:p w14:paraId="54CB22DF">
      <w:pPr>
        <w:snapToGrid w:val="0"/>
        <w:spacing w:line="360" w:lineRule="atLeast"/>
        <w:rPr>
          <w:color w:val="auto"/>
          <w:szCs w:val="21"/>
        </w:rPr>
      </w:pPr>
      <w:r>
        <w:rPr>
          <w:b/>
          <w:color w:val="auto"/>
          <w:szCs w:val="21"/>
        </w:rPr>
        <w:t xml:space="preserve">16.3.5  </w:t>
      </w:r>
      <w:r>
        <w:rPr>
          <w:color w:val="auto"/>
          <w:szCs w:val="21"/>
        </w:rPr>
        <w:t>本条对盾构隧道的计算作了原则规定：</w:t>
      </w:r>
    </w:p>
    <w:p w14:paraId="5585D6AA">
      <w:pPr>
        <w:snapToGrid w:val="0"/>
        <w:spacing w:line="360" w:lineRule="atLeast"/>
        <w:ind w:firstLine="422" w:firstLineChars="200"/>
        <w:rPr>
          <w:color w:val="auto"/>
          <w:szCs w:val="21"/>
        </w:rPr>
      </w:pPr>
      <w:r>
        <w:rPr>
          <w:b/>
          <w:color w:val="auto"/>
          <w:szCs w:val="21"/>
        </w:rPr>
        <w:t xml:space="preserve">a)  </w:t>
      </w:r>
      <w:r>
        <w:rPr>
          <w:color w:val="auto"/>
          <w:szCs w:val="21"/>
        </w:rPr>
        <w:t>盾构隧道设计荷载按GB</w:t>
      </w:r>
      <w:r>
        <w:rPr>
          <w:rFonts w:hint="eastAsia"/>
          <w:color w:val="auto"/>
          <w:szCs w:val="21"/>
        </w:rPr>
        <w:t xml:space="preserve"> </w:t>
      </w:r>
      <w:r>
        <w:rPr>
          <w:color w:val="auto"/>
          <w:szCs w:val="21"/>
        </w:rPr>
        <w:t>50157相关规定执行。作用在区间隧道结构上的荷载，如地层压力、水压力、地面各种荷载及施工荷载，有许多不确定因素，所以必须考虑每个施工阶段及使用过程中荷载的变动，选择施工结构整体或构件的应力为最大，工作状态为最不利的荷载组合进行设计。</w:t>
      </w:r>
    </w:p>
    <w:p w14:paraId="37F514AD">
      <w:pPr>
        <w:snapToGrid w:val="0"/>
        <w:spacing w:line="360" w:lineRule="atLeast"/>
        <w:ind w:firstLine="422" w:firstLineChars="200"/>
        <w:rPr>
          <w:color w:val="auto"/>
          <w:szCs w:val="21"/>
        </w:rPr>
      </w:pPr>
      <w:r>
        <w:rPr>
          <w:b/>
          <w:color w:val="auto"/>
          <w:szCs w:val="21"/>
        </w:rPr>
        <w:t xml:space="preserve">b)  </w:t>
      </w:r>
      <w:r>
        <w:rPr>
          <w:color w:val="auto"/>
          <w:szCs w:val="21"/>
        </w:rPr>
        <w:t>盾构隧道衬砌结构的计算模型应根据地层情况、衬砌的构造特点及施工工艺等确定。装配式圆形衬砌，视地层情况可分别采用匀质圆环法及梁-弹簧模型计算法等，各方法均有一定适用范围。近年来，考虑接头刚度的变化，把隧道圆形衬砌看成多铰圆环，引入基床系数抗力模型模拟土体的变形限制，增加隧道柔性变形，降低其内力和刚度，管片厚度得以减薄。要精确地模拟使用和施工阶段盾构隧道和周边地层的共同作用是比较困难的，当前将三维有限元数值方法、半解析数值方法应用于隧道工程，这些方法可计入时间空间变化、几何及材料的非线性，因此更能符合工程实际。</w:t>
      </w:r>
    </w:p>
    <w:p w14:paraId="2FBA3CC9">
      <w:pPr>
        <w:snapToGrid w:val="0"/>
        <w:spacing w:line="360" w:lineRule="atLeast"/>
        <w:ind w:firstLine="422" w:firstLineChars="200"/>
        <w:rPr>
          <w:b/>
          <w:color w:val="auto"/>
          <w:szCs w:val="21"/>
        </w:rPr>
      </w:pPr>
      <w:r>
        <w:rPr>
          <w:b/>
          <w:color w:val="auto"/>
          <w:szCs w:val="21"/>
        </w:rPr>
        <w:t xml:space="preserve">c)  </w:t>
      </w:r>
      <w:r>
        <w:rPr>
          <w:color w:val="auto"/>
          <w:szCs w:val="21"/>
        </w:rPr>
        <w:t>本款说明如下：</w:t>
      </w:r>
    </w:p>
    <w:p w14:paraId="0C01978C">
      <w:pPr>
        <w:snapToGrid w:val="0"/>
        <w:spacing w:line="360" w:lineRule="atLeast"/>
        <w:ind w:firstLine="422" w:firstLineChars="200"/>
        <w:rPr>
          <w:color w:val="auto"/>
          <w:szCs w:val="21"/>
        </w:rPr>
      </w:pPr>
      <w:r>
        <w:rPr>
          <w:b/>
          <w:color w:val="auto"/>
          <w:szCs w:val="21"/>
        </w:rPr>
        <w:t>1）</w:t>
      </w:r>
      <w:r>
        <w:rPr>
          <w:color w:val="auto"/>
          <w:szCs w:val="21"/>
        </w:rPr>
        <w:t>自由圆环法。埋设于松软、饱和土层（N=2击～4击，N 为标准贯入试验锤击数）中的衬砌，当结构变形时，土层提供的被动抗力较小，为简单起见，略去接头刚度对衬砌圆环内力的影响，按自由变形的匀质圆环来计算，可求得偏安全的内力。而接缝处刚度不足时往往采用衬砌环的错缝拼装予以弥补，这对分块较少的衬砌环结构尤为合适。</w:t>
      </w:r>
    </w:p>
    <w:p w14:paraId="2FCFFCF4">
      <w:pPr>
        <w:snapToGrid w:val="0"/>
        <w:spacing w:line="360" w:lineRule="atLeast"/>
        <w:ind w:firstLine="422" w:firstLineChars="200"/>
        <w:rPr>
          <w:color w:val="auto"/>
          <w:szCs w:val="21"/>
        </w:rPr>
      </w:pPr>
      <w:r>
        <w:rPr>
          <w:b/>
          <w:color w:val="auto"/>
          <w:szCs w:val="21"/>
        </w:rPr>
        <w:t>2）</w:t>
      </w:r>
      <w:r>
        <w:rPr>
          <w:color w:val="auto"/>
          <w:szCs w:val="21"/>
        </w:rPr>
        <w:t>衬砌环间采用错缝拼装时，可考虑由于纵向接头存在引起的匀质圆环刚度降低及环间接头通过剪力传递所引起的断面与接头内力的重分配；或以二环为一个计算单元、块与块间设接头的回转弹簧、两环之间设径向剪切弹簧及切向弹簧的计算模式进行计算。</w:t>
      </w:r>
    </w:p>
    <w:p w14:paraId="03741A71">
      <w:pPr>
        <w:snapToGrid w:val="0"/>
        <w:spacing w:line="360" w:lineRule="atLeast"/>
        <w:ind w:firstLine="422" w:firstLineChars="200"/>
        <w:rPr>
          <w:color w:val="auto"/>
          <w:szCs w:val="21"/>
        </w:rPr>
      </w:pPr>
      <w:r>
        <w:rPr>
          <w:b/>
          <w:color w:val="auto"/>
          <w:szCs w:val="21"/>
        </w:rPr>
        <w:t>3）</w:t>
      </w:r>
      <w:r>
        <w:rPr>
          <w:color w:val="auto"/>
          <w:szCs w:val="21"/>
        </w:rPr>
        <w:t>梁—弹簧模型计算法。在实际工程中，地下装配式圆形衬砌结构螺栓接头能够承担一定的弯矩、轴力和剪力，且接头的变形和内力间呈线性关系，因此可将这样的接头当作理想的弹性铰。对埋设于N=2击～4击，土层中的隧道衬砌结构，可以考虑衬砌与地层共同作用，在结构防水确有保证的情况下，用此法计算可大大减小断面弯矩，给工程带来较大的经济效益。此时，必须对圆环的变形作一定限制，并对施工提出必要的技术措施。若有条件采用有限元法进行结构分析，就可将较多的构造因素考虑进去，如接头螺栓及螺栓所施加的预应力、块与块间的传力弹性衬垫的作用等，有利于优化设计。</w:t>
      </w:r>
    </w:p>
    <w:p w14:paraId="33712946">
      <w:pPr>
        <w:snapToGrid w:val="0"/>
        <w:spacing w:line="360" w:lineRule="atLeast"/>
        <w:ind w:firstLine="413" w:firstLineChars="196"/>
        <w:rPr>
          <w:color w:val="auto"/>
          <w:szCs w:val="21"/>
        </w:rPr>
      </w:pPr>
      <w:r>
        <w:rPr>
          <w:b/>
          <w:color w:val="auto"/>
          <w:szCs w:val="21"/>
        </w:rPr>
        <w:t>d)</w:t>
      </w:r>
      <w:r>
        <w:rPr>
          <w:color w:val="auto"/>
          <w:szCs w:val="21"/>
        </w:rPr>
        <w:t xml:space="preserve">  装配式圆形衬砌根据防水要求，管片或砌块间连接构造不同，以及采用错缝拼装还是通缝拼装等，虽然都能拼装成一个整体结构，事实上接缝处的刚度远远小于断面部分的刚度，与整体式等刚度圆形衬砌差异更大。基于这种情况，工程设计时常对衬砌接头处刚度进行一定的折减，根据武汉已有工程经验，通常按照70%~75%进行折减。</w:t>
      </w:r>
    </w:p>
    <w:p w14:paraId="13842143">
      <w:pPr>
        <w:snapToGrid w:val="0"/>
        <w:spacing w:line="360" w:lineRule="atLeast"/>
        <w:ind w:firstLine="413" w:firstLineChars="196"/>
        <w:rPr>
          <w:b/>
          <w:color w:val="auto"/>
          <w:szCs w:val="21"/>
        </w:rPr>
      </w:pPr>
      <w:r>
        <w:rPr>
          <w:b/>
          <w:color w:val="auto"/>
          <w:szCs w:val="21"/>
        </w:rPr>
        <w:t xml:space="preserve">f)  </w:t>
      </w:r>
      <w:r>
        <w:rPr>
          <w:color w:val="auto"/>
          <w:szCs w:val="21"/>
        </w:rPr>
        <w:t>盾构衬砌环的变形量对结构受力、接缝张角、接缝防水、地表变形等均有重大影响，故必须对衬砌结构变形进行验算，作必要的控制。根据已有工程的实践经验，施工时控制衬砌环的直径变形（包括结构变形和拼装误差）在2‰D-6‰D、纵缝张开量在1mm～2mm以内为宜。</w:t>
      </w:r>
    </w:p>
    <w:p w14:paraId="55F5E0B6">
      <w:pPr>
        <w:snapToGrid w:val="0"/>
        <w:spacing w:line="360" w:lineRule="atLeast"/>
        <w:rPr>
          <w:color w:val="auto"/>
          <w:szCs w:val="21"/>
        </w:rPr>
      </w:pPr>
      <w:r>
        <w:rPr>
          <w:b/>
          <w:color w:val="auto"/>
          <w:szCs w:val="21"/>
        </w:rPr>
        <w:t xml:space="preserve">16.3.6  </w:t>
      </w:r>
      <w:r>
        <w:rPr>
          <w:color w:val="auto"/>
          <w:szCs w:val="21"/>
        </w:rPr>
        <w:t>本条规定了盾构始发、接收的基本要求：</w:t>
      </w:r>
    </w:p>
    <w:p w14:paraId="1E12389C">
      <w:pPr>
        <w:snapToGrid w:val="0"/>
        <w:spacing w:line="360" w:lineRule="atLeast"/>
        <w:ind w:firstLine="413" w:firstLineChars="196"/>
        <w:rPr>
          <w:color w:val="auto"/>
          <w:szCs w:val="21"/>
        </w:rPr>
      </w:pPr>
      <w:r>
        <w:rPr>
          <w:b/>
          <w:color w:val="auto"/>
          <w:szCs w:val="21"/>
        </w:rPr>
        <w:t xml:space="preserve">a) </w:t>
      </w:r>
      <w:r>
        <w:rPr>
          <w:color w:val="auto"/>
          <w:szCs w:val="21"/>
        </w:rPr>
        <w:t xml:space="preserve"> 为了保证盾构能够安全的始发、接收，需对洞门外的土体进行加固，以保证在凿除洞门后地层能够自稳。</w:t>
      </w:r>
    </w:p>
    <w:p w14:paraId="32239F6D">
      <w:pPr>
        <w:snapToGrid w:val="0"/>
        <w:spacing w:line="360" w:lineRule="atLeast"/>
        <w:ind w:firstLine="411" w:firstLineChars="196"/>
        <w:rPr>
          <w:color w:val="auto"/>
          <w:szCs w:val="21"/>
        </w:rPr>
      </w:pPr>
      <w:r>
        <w:rPr>
          <w:color w:val="auto"/>
          <w:szCs w:val="21"/>
        </w:rPr>
        <w:t>高压旋喷桩加固法适用地层较广，受土层、土的粒度、土的密度、硬化剂黏性、硬化剂硬化时间的影响较小，可广泛适用于淤泥、软弱黏性土、砂土甚至砂卵石等多种土性。选用高压旋喷桩法加固时需注意以下几个问题：</w:t>
      </w:r>
    </w:p>
    <w:p w14:paraId="601A4095">
      <w:pPr>
        <w:snapToGrid w:val="0"/>
        <w:spacing w:line="360" w:lineRule="atLeast"/>
        <w:ind w:firstLine="740" w:firstLineChars="351"/>
        <w:rPr>
          <w:color w:val="auto"/>
          <w:szCs w:val="21"/>
        </w:rPr>
      </w:pPr>
      <w:r>
        <w:rPr>
          <w:b/>
          <w:color w:val="auto"/>
          <w:szCs w:val="21"/>
        </w:rPr>
        <w:t>1)</w:t>
      </w:r>
      <w:r>
        <w:rPr>
          <w:color w:val="auto"/>
          <w:szCs w:val="21"/>
        </w:rPr>
        <w:t xml:space="preserve"> 不适用于硬塑、坚硬黏性土、对含大量植物根茎或有过多有机质时，应根据现场试验结果确定其适用性。</w:t>
      </w:r>
    </w:p>
    <w:p w14:paraId="44802A47">
      <w:pPr>
        <w:snapToGrid w:val="0"/>
        <w:spacing w:line="360" w:lineRule="atLeast"/>
        <w:ind w:firstLine="740" w:firstLineChars="351"/>
        <w:rPr>
          <w:color w:val="auto"/>
          <w:szCs w:val="21"/>
        </w:rPr>
      </w:pPr>
      <w:r>
        <w:rPr>
          <w:b/>
          <w:color w:val="auto"/>
          <w:szCs w:val="21"/>
        </w:rPr>
        <w:t>2)</w:t>
      </w:r>
      <w:r>
        <w:rPr>
          <w:color w:val="auto"/>
          <w:szCs w:val="21"/>
        </w:rPr>
        <w:t xml:space="preserve"> 对于地下水流速过大或者已大量涌水，浆液无法在注浆管周围凝固情况的工程要慎重使用。</w:t>
      </w:r>
    </w:p>
    <w:p w14:paraId="38B812BC">
      <w:pPr>
        <w:snapToGrid w:val="0"/>
        <w:spacing w:line="360" w:lineRule="atLeast"/>
        <w:ind w:firstLine="740" w:firstLineChars="351"/>
        <w:rPr>
          <w:color w:val="auto"/>
          <w:szCs w:val="21"/>
        </w:rPr>
      </w:pPr>
      <w:r>
        <w:rPr>
          <w:b/>
          <w:color w:val="auto"/>
          <w:szCs w:val="21"/>
        </w:rPr>
        <w:t>3)</w:t>
      </w:r>
      <w:r>
        <w:rPr>
          <w:color w:val="auto"/>
          <w:szCs w:val="21"/>
        </w:rPr>
        <w:t xml:space="preserve"> 对于无充填物的岩溶地段及对水泥有严重腐蚀的地基，均不宜采用。</w:t>
      </w:r>
    </w:p>
    <w:p w14:paraId="68E80211">
      <w:pPr>
        <w:snapToGrid w:val="0"/>
        <w:spacing w:line="360" w:lineRule="atLeast"/>
        <w:ind w:firstLine="740" w:firstLineChars="351"/>
        <w:rPr>
          <w:color w:val="auto"/>
          <w:szCs w:val="21"/>
        </w:rPr>
      </w:pPr>
      <w:r>
        <w:rPr>
          <w:b/>
          <w:color w:val="auto"/>
          <w:szCs w:val="21"/>
        </w:rPr>
        <w:t>4)</w:t>
      </w:r>
      <w:r>
        <w:rPr>
          <w:color w:val="auto"/>
          <w:szCs w:val="21"/>
        </w:rPr>
        <w:t xml:space="preserve"> 当加固深度超过15m时，桩体的垂直度和咬合度较难保证。</w:t>
      </w:r>
    </w:p>
    <w:p w14:paraId="223921F2">
      <w:pPr>
        <w:snapToGrid w:val="0"/>
        <w:spacing w:line="360" w:lineRule="atLeast"/>
        <w:ind w:firstLine="411" w:firstLineChars="196"/>
        <w:rPr>
          <w:color w:val="auto"/>
          <w:szCs w:val="21"/>
        </w:rPr>
      </w:pPr>
      <w:r>
        <w:rPr>
          <w:color w:val="auto"/>
          <w:szCs w:val="21"/>
        </w:rPr>
        <w:t>深层搅拌桩法，又称为水泥土搅拌桩法，适用于处理淤泥与淤泥质土、粉土、素填土、黏性土以及无流动地下水的饱和松散砂土等地基。选用搅拌桩法加固时需注意以下几个问题：</w:t>
      </w:r>
    </w:p>
    <w:p w14:paraId="492EBDE1">
      <w:pPr>
        <w:numPr>
          <w:ilvl w:val="0"/>
          <w:numId w:val="4"/>
        </w:numPr>
        <w:snapToGrid w:val="0"/>
        <w:spacing w:line="360" w:lineRule="atLeast"/>
        <w:rPr>
          <w:color w:val="auto"/>
          <w:szCs w:val="21"/>
        </w:rPr>
      </w:pPr>
      <w:r>
        <w:rPr>
          <w:color w:val="auto"/>
          <w:szCs w:val="21"/>
        </w:rPr>
        <w:t>加固深度较浅，一般加固深度小于10m时，能取得较好的价格效果。</w:t>
      </w:r>
    </w:p>
    <w:p w14:paraId="69C18090">
      <w:pPr>
        <w:snapToGrid w:val="0"/>
        <w:spacing w:line="360" w:lineRule="atLeast"/>
        <w:ind w:firstLine="727" w:firstLineChars="345"/>
        <w:rPr>
          <w:color w:val="auto"/>
          <w:szCs w:val="21"/>
        </w:rPr>
      </w:pPr>
      <w:r>
        <w:rPr>
          <w:b/>
          <w:color w:val="auto"/>
          <w:szCs w:val="21"/>
        </w:rPr>
        <w:t>2）</w:t>
      </w:r>
      <w:r>
        <w:rPr>
          <w:color w:val="auto"/>
          <w:szCs w:val="21"/>
        </w:rPr>
        <w:t>对施工要求较高，类似于旋喷桩加固，桩体的垂直度和咬合度较难保证。</w:t>
      </w:r>
    </w:p>
    <w:p w14:paraId="6EF512FE">
      <w:pPr>
        <w:snapToGrid w:val="0"/>
        <w:spacing w:line="360" w:lineRule="atLeast"/>
        <w:ind w:firstLine="727" w:firstLineChars="345"/>
        <w:rPr>
          <w:color w:val="auto"/>
          <w:szCs w:val="21"/>
        </w:rPr>
      </w:pPr>
      <w:r>
        <w:rPr>
          <w:b/>
          <w:color w:val="auto"/>
          <w:szCs w:val="21"/>
        </w:rPr>
        <w:t>3）</w:t>
      </w:r>
      <w:r>
        <w:rPr>
          <w:color w:val="auto"/>
          <w:szCs w:val="21"/>
        </w:rPr>
        <w:t>在富水砂层中，搅拌桩加固止水应谨慎使用，或者和其他工法一起联合使用。</w:t>
      </w:r>
    </w:p>
    <w:p w14:paraId="64D03753">
      <w:pPr>
        <w:snapToGrid w:val="0"/>
        <w:spacing w:line="360" w:lineRule="atLeast"/>
        <w:ind w:firstLine="411" w:firstLineChars="196"/>
        <w:rPr>
          <w:color w:val="auto"/>
          <w:szCs w:val="21"/>
        </w:rPr>
      </w:pPr>
      <w:r>
        <w:rPr>
          <w:color w:val="auto"/>
          <w:szCs w:val="21"/>
        </w:rPr>
        <w:t>三轴搅拌水泥土桩穿透能力强，咬合可靠，是一种较好的洞门外软土加固方法。</w:t>
      </w:r>
    </w:p>
    <w:p w14:paraId="7DA9723D">
      <w:pPr>
        <w:snapToGrid w:val="0"/>
        <w:spacing w:line="360" w:lineRule="atLeast"/>
        <w:ind w:firstLine="411" w:firstLineChars="196"/>
        <w:rPr>
          <w:color w:val="auto"/>
          <w:szCs w:val="21"/>
        </w:rPr>
      </w:pPr>
      <w:r>
        <w:rPr>
          <w:color w:val="auto"/>
          <w:szCs w:val="21"/>
        </w:rPr>
        <w:t>混凝土素桩法适用于地质条件较好（对于武汉地区来说，一般指长江三级阶地），且无地下水的地层。</w:t>
      </w:r>
    </w:p>
    <w:p w14:paraId="26B43763">
      <w:pPr>
        <w:snapToGrid w:val="0"/>
        <w:spacing w:line="360" w:lineRule="atLeast"/>
        <w:ind w:firstLine="411" w:firstLineChars="196"/>
        <w:rPr>
          <w:color w:val="auto"/>
          <w:szCs w:val="21"/>
        </w:rPr>
      </w:pPr>
      <w:r>
        <w:rPr>
          <w:color w:val="auto"/>
          <w:szCs w:val="21"/>
        </w:rPr>
        <w:t>处于江、河一级阶地或砂和砂类土中的洞门除按上述要求进行土体加固外，尚应进行管井降水，确保安全。</w:t>
      </w:r>
    </w:p>
    <w:p w14:paraId="04D6D6CB">
      <w:pPr>
        <w:snapToGrid w:val="0"/>
        <w:spacing w:line="360" w:lineRule="atLeast"/>
        <w:ind w:firstLine="411" w:firstLineChars="196"/>
        <w:rPr>
          <w:color w:val="auto"/>
          <w:szCs w:val="21"/>
        </w:rPr>
      </w:pPr>
      <w:r>
        <w:rPr>
          <w:color w:val="auto"/>
          <w:szCs w:val="21"/>
        </w:rPr>
        <w:t>由于冻结法造价高、解冻后存在沉降问题等缺点，因此冻结法一般是在其它施工方法很难达到地层稳定的目的时才采用。在有良好的施工管理情况下，是一种可靠性较高的施工方法。冻结法对地层限制较少，但是地下水流速超过2.5m/s时不宜采用。</w:t>
      </w:r>
    </w:p>
    <w:p w14:paraId="748E5EAA">
      <w:pPr>
        <w:snapToGrid w:val="0"/>
        <w:spacing w:line="360" w:lineRule="atLeast"/>
        <w:ind w:firstLine="411" w:firstLineChars="196"/>
        <w:rPr>
          <w:color w:val="auto"/>
          <w:szCs w:val="21"/>
        </w:rPr>
      </w:pPr>
      <w:r>
        <w:rPr>
          <w:color w:val="auto"/>
          <w:szCs w:val="21"/>
        </w:rPr>
        <w:t>此外，当地质条件良好，地下水影响小，且有成功工程案例借鉴时可不对端头进行加固，但是必须采用相应的辅助措施，如合理控制盾构到达施工参数，包括调整好盾构姿态，适当降低盾构推进的速度，设定相对较为合理的土压力以及同步注浆压力等，同时增加封门处喷射混凝土厚度，根据地层条件和盾构推进速度合理地掌握封门的破除时机，最好当盾构刀盘顶到围护结构时再开始破除盾构封门。</w:t>
      </w:r>
    </w:p>
    <w:p w14:paraId="4AD58D14">
      <w:pPr>
        <w:snapToGrid w:val="0"/>
        <w:spacing w:line="360" w:lineRule="atLeast"/>
        <w:ind w:firstLine="422" w:firstLineChars="200"/>
        <w:rPr>
          <w:color w:val="auto"/>
          <w:szCs w:val="21"/>
        </w:rPr>
      </w:pPr>
      <w:r>
        <w:rPr>
          <w:b/>
          <w:color w:val="auto"/>
          <w:szCs w:val="21"/>
        </w:rPr>
        <w:t xml:space="preserve">b)  </w:t>
      </w:r>
      <w:r>
        <w:rPr>
          <w:color w:val="auto"/>
          <w:szCs w:val="21"/>
        </w:rPr>
        <w:t>需要特别说明的是，若盾构始发或者接收地层中无水，但在始发或者接收竖井周围存在有水地下管线，如雨水管、污水管或雨污合流管、上水管、热力管线等，其变形后有可能使其内水外流，从而导致无水地层变成有水地层，此时须将无水地层视为有水地层处理。</w:t>
      </w:r>
    </w:p>
    <w:p w14:paraId="539A05E2">
      <w:pPr>
        <w:snapToGrid w:val="0"/>
        <w:spacing w:line="360" w:lineRule="atLeast"/>
        <w:ind w:firstLine="422" w:firstLineChars="200"/>
        <w:rPr>
          <w:color w:val="auto"/>
          <w:szCs w:val="21"/>
        </w:rPr>
      </w:pPr>
      <w:r>
        <w:rPr>
          <w:b/>
          <w:color w:val="auto"/>
          <w:szCs w:val="21"/>
        </w:rPr>
        <w:t xml:space="preserve">c)  </w:t>
      </w:r>
      <w:r>
        <w:rPr>
          <w:color w:val="auto"/>
          <w:szCs w:val="21"/>
        </w:rPr>
        <w:t>当洞门处的围护结构采用玻璃纤维或钢纤维等特殊材料时，不需要预先破除洞门，盾构机可直接切削围护结构，其加固体范围可重新核算适当减少。</w:t>
      </w:r>
    </w:p>
    <w:p w14:paraId="15D5B318">
      <w:pPr>
        <w:snapToGrid w:val="0"/>
        <w:spacing w:line="360" w:lineRule="atLeast"/>
        <w:rPr>
          <w:color w:val="auto"/>
          <w:szCs w:val="21"/>
        </w:rPr>
      </w:pPr>
      <w:r>
        <w:rPr>
          <w:b/>
          <w:color w:val="auto"/>
          <w:szCs w:val="21"/>
        </w:rPr>
        <w:t xml:space="preserve">16.3.7  </w:t>
      </w:r>
      <w:r>
        <w:rPr>
          <w:color w:val="auto"/>
          <w:szCs w:val="21"/>
        </w:rPr>
        <w:t>本条规定了小净距盾构隧道设计的基本原则：</w:t>
      </w:r>
    </w:p>
    <w:p w14:paraId="716895C0">
      <w:pPr>
        <w:snapToGrid w:val="0"/>
        <w:spacing w:line="360" w:lineRule="atLeast"/>
        <w:ind w:firstLine="413" w:firstLineChars="196"/>
        <w:rPr>
          <w:color w:val="auto"/>
          <w:szCs w:val="21"/>
        </w:rPr>
      </w:pPr>
      <w:r>
        <w:rPr>
          <w:b/>
          <w:color w:val="auto"/>
          <w:szCs w:val="21"/>
        </w:rPr>
        <w:t xml:space="preserve">a)  </w:t>
      </w:r>
      <w:r>
        <w:rPr>
          <w:color w:val="auto"/>
          <w:szCs w:val="21"/>
        </w:rPr>
        <w:t>近些年，在城市市区狭窄的地下空间进行设计和施工时，受各种条件的制约，修建近邻隧道的实例越来越多，如已建成通车的武汉地铁2号线洪山广场站~中南路站区间隧道最近间距约2.0m；铁路隧道已有相隔30cm进行施工的实例。根据地质条件、隧道相互的位置关系、隧道施工顺序等条件，多条隧道交错的近邻盾构施工期间会在隧道横断面方向或纵断面方向发生有别于单个隧道的位移及应力，严重时会影响隧道衬砌的安全性。因此在对近邻隧道的相互影响论证分析时，应对这一问题有充分认识，有必要对发生影响的各种因素进行详细调查。同时，应根据需要对盾构隧道衬砌进行加强、进行地基加固或采用辅助施工措施，例如隧道架设内支撑等方法进行保护。</w:t>
      </w:r>
    </w:p>
    <w:p w14:paraId="4143E050">
      <w:pPr>
        <w:snapToGrid w:val="0"/>
        <w:spacing w:line="360" w:lineRule="atLeast"/>
        <w:ind w:firstLine="413" w:firstLineChars="196"/>
        <w:rPr>
          <w:color w:val="auto"/>
          <w:szCs w:val="21"/>
        </w:rPr>
      </w:pPr>
      <w:r>
        <w:rPr>
          <w:b/>
          <w:color w:val="auto"/>
          <w:szCs w:val="21"/>
        </w:rPr>
        <w:t>b)</w:t>
      </w:r>
      <w:r>
        <w:rPr>
          <w:color w:val="auto"/>
          <w:szCs w:val="21"/>
        </w:rPr>
        <w:t xml:space="preserve">  多条交叠隧道相互影响根据隧道所处地质条件的不同有差异，一般在灵敏度高的黏性土地基、自立性差的砂性地基中影响较大。此时有必要对引起荷载发生变化的地基松弛进行慎重的研究。另外，即使地基比较好或已经过加固处理，隧道间距较小</w:t>
      </w:r>
      <w:r>
        <w:rPr>
          <w:rFonts w:hint="eastAsia"/>
          <w:color w:val="auto"/>
          <w:szCs w:val="21"/>
        </w:rPr>
        <w:t>时</w:t>
      </w:r>
      <w:r>
        <w:rPr>
          <w:color w:val="auto"/>
          <w:szCs w:val="21"/>
        </w:rPr>
        <w:t>，施工荷载的影响也是较大的。</w:t>
      </w:r>
    </w:p>
    <w:p w14:paraId="6BC2F343">
      <w:pPr>
        <w:snapToGrid w:val="0"/>
        <w:spacing w:line="360" w:lineRule="atLeast"/>
        <w:ind w:firstLine="420" w:firstLineChars="200"/>
        <w:jc w:val="left"/>
        <w:rPr>
          <w:color w:val="auto"/>
          <w:szCs w:val="21"/>
        </w:rPr>
      </w:pPr>
      <w:r>
        <w:rPr>
          <w:color w:val="auto"/>
          <w:szCs w:val="21"/>
        </w:rPr>
        <w:t>除此之外，对先期施工隧道产生影响的因素主要有后续隧道施工时的荷载，包括推力，壁后注浆压力、泥水压力机泥土压力等，这些荷载通过隧道间的土压力作为先期施工的偏心荷载是伴随盾构施工所产生的暂时性荷载，但是由盾构掘进的推力对隧道间土体所产生的荷载在盾构通过以后也很难急速减少，有时会在很长时</w:t>
      </w:r>
      <w:r>
        <w:rPr>
          <w:rFonts w:hint="eastAsia"/>
          <w:color w:val="auto"/>
          <w:szCs w:val="21"/>
        </w:rPr>
        <w:t>间</w:t>
      </w:r>
      <w:r>
        <w:rPr>
          <w:color w:val="auto"/>
          <w:szCs w:val="21"/>
        </w:rPr>
        <w:t>内残留，因此在考虑施工荷载时要充分加以注意。</w:t>
      </w:r>
    </w:p>
    <w:p w14:paraId="4894E6C7">
      <w:pPr>
        <w:snapToGrid w:val="0"/>
        <w:spacing w:line="360" w:lineRule="atLeast"/>
        <w:rPr>
          <w:color w:val="auto"/>
          <w:szCs w:val="21"/>
        </w:rPr>
      </w:pPr>
      <w:r>
        <w:rPr>
          <w:b/>
          <w:color w:val="auto"/>
          <w:szCs w:val="21"/>
        </w:rPr>
        <w:t xml:space="preserve">16.3.8 </w:t>
      </w:r>
      <w:r>
        <w:rPr>
          <w:color w:val="auto"/>
          <w:szCs w:val="21"/>
        </w:rPr>
        <w:t xml:space="preserve"> 深度超过20m的基坑曾多次出现地连墙接缝处水土流失的险情，应加强地连墙接缝处的止水措施，目前常采用接缝外侧高压旋喷的止水措施，效果不理想，应进一步研究接缝预埋注浆管、高喷桩等方法解决接缝渗漏问题。</w:t>
      </w:r>
    </w:p>
    <w:p w14:paraId="36E02DCC">
      <w:pPr>
        <w:snapToGrid w:val="0"/>
        <w:spacing w:line="360" w:lineRule="atLeast"/>
        <w:rPr>
          <w:color w:val="auto"/>
          <w:szCs w:val="21"/>
        </w:rPr>
      </w:pPr>
      <w:r>
        <w:rPr>
          <w:b/>
          <w:color w:val="auto"/>
          <w:szCs w:val="21"/>
        </w:rPr>
        <w:t xml:space="preserve">16.3.9 </w:t>
      </w:r>
      <w:r>
        <w:rPr>
          <w:color w:val="auto"/>
          <w:szCs w:val="21"/>
        </w:rPr>
        <w:t xml:space="preserve"> 本条规定了轨道交通地下结构抗浮设计的原则，抗浮设计水位的确定应符合本文件第13.5节的规定，由于工程的重要性，强调地铁主体结构及附属建筑物抗浮设计水位不应低于一般建筑物的抗浮设计水位。</w:t>
      </w:r>
    </w:p>
    <w:p w14:paraId="42F91CB8">
      <w:pPr>
        <w:snapToGrid w:val="0"/>
        <w:spacing w:line="360" w:lineRule="atLeast"/>
        <w:ind w:firstLine="420" w:firstLineChars="200"/>
        <w:rPr>
          <w:color w:val="auto"/>
          <w:szCs w:val="21"/>
        </w:rPr>
      </w:pPr>
      <w:r>
        <w:rPr>
          <w:color w:val="auto"/>
          <w:szCs w:val="21"/>
        </w:rPr>
        <w:t>地铁车站主体及支护结构大多采用复合结构或叠合结构，复合或叠合结构可有效隔断上层滞水，在江、河三级阶地或岗垅地区有可能具备规范规定的不考虑地下水浮力</w:t>
      </w:r>
      <w:r>
        <w:rPr>
          <w:rFonts w:hint="eastAsia"/>
          <w:color w:val="auto"/>
          <w:szCs w:val="21"/>
        </w:rPr>
        <w:t>或降低抗浮设计水位</w:t>
      </w:r>
      <w:r>
        <w:rPr>
          <w:color w:val="auto"/>
          <w:szCs w:val="21"/>
        </w:rPr>
        <w:t>的条件，为慎重起见，如不考虑抗浮则应进行专项技术论证。</w:t>
      </w:r>
    </w:p>
    <w:p w14:paraId="4DEE69CD">
      <w:pPr>
        <w:pStyle w:val="77"/>
        <w:rPr>
          <w:color w:val="auto"/>
        </w:rPr>
      </w:pPr>
      <w:bookmarkStart w:id="227" w:name="_Toc182499041"/>
      <w:r>
        <w:rPr>
          <w:color w:val="auto"/>
        </w:rPr>
        <w:t>16.4  围护结构</w:t>
      </w:r>
      <w:r>
        <w:rPr>
          <w:rFonts w:hint="eastAsia"/>
          <w:color w:val="auto"/>
        </w:rPr>
        <w:t>与</w:t>
      </w:r>
      <w:r>
        <w:rPr>
          <w:color w:val="auto"/>
        </w:rPr>
        <w:t>桩基检测</w:t>
      </w:r>
      <w:bookmarkEnd w:id="227"/>
    </w:p>
    <w:p w14:paraId="381400F4">
      <w:pPr>
        <w:snapToGrid w:val="0"/>
        <w:spacing w:line="360" w:lineRule="atLeast"/>
        <w:rPr>
          <w:color w:val="auto"/>
          <w:szCs w:val="21"/>
        </w:rPr>
      </w:pPr>
      <w:r>
        <w:rPr>
          <w:b/>
          <w:color w:val="auto"/>
          <w:szCs w:val="21"/>
        </w:rPr>
        <w:t xml:space="preserve">16.4.1  </w:t>
      </w:r>
      <w:r>
        <w:rPr>
          <w:color w:val="auto"/>
          <w:szCs w:val="21"/>
        </w:rPr>
        <w:t>本条所指对象包括作为车站围护结构的混凝土灌注桩及地下连续墙，以及作为临时或者永久结构的临时立柱桩和抗拔桩等，承载力和桩身完整性检测是基桩质量检测中的两项重要内容，除此之外，质量检测的其他内容与要求已在相关的设计和施工质量验收规范中作出了明确规定。</w:t>
      </w:r>
    </w:p>
    <w:p w14:paraId="36EE93E2">
      <w:pPr>
        <w:snapToGrid w:val="0"/>
        <w:spacing w:line="360" w:lineRule="atLeast"/>
        <w:ind w:firstLine="435"/>
        <w:rPr>
          <w:color w:val="auto"/>
          <w:szCs w:val="21"/>
        </w:rPr>
      </w:pPr>
      <w:r>
        <w:rPr>
          <w:color w:val="auto"/>
          <w:szCs w:val="21"/>
        </w:rPr>
        <w:t>桩基检测方法较多，有高、低应变法，声</w:t>
      </w:r>
      <w:r>
        <w:rPr>
          <w:rFonts w:hint="eastAsia"/>
          <w:color w:val="auto"/>
          <w:szCs w:val="21"/>
        </w:rPr>
        <w:t>波</w:t>
      </w:r>
      <w:r>
        <w:rPr>
          <w:color w:val="auto"/>
          <w:szCs w:val="21"/>
        </w:rPr>
        <w:t>透</w:t>
      </w:r>
      <w:r>
        <w:rPr>
          <w:rFonts w:hint="eastAsia"/>
          <w:color w:val="auto"/>
          <w:szCs w:val="21"/>
        </w:rPr>
        <w:t>射</w:t>
      </w:r>
      <w:r>
        <w:rPr>
          <w:color w:val="auto"/>
          <w:szCs w:val="21"/>
        </w:rPr>
        <w:t>法，钻芯法，竖向/水平静载试验，自平衡法，开挖</w:t>
      </w:r>
      <w:r>
        <w:rPr>
          <w:rFonts w:hint="eastAsia"/>
          <w:color w:val="auto"/>
          <w:szCs w:val="21"/>
        </w:rPr>
        <w:t>查</w:t>
      </w:r>
      <w:r>
        <w:rPr>
          <w:color w:val="auto"/>
          <w:szCs w:val="21"/>
        </w:rPr>
        <w:t>看法等，具体检测方法的选择应根据成桩工艺、桩体材料、地质条件、检测目的和要求，综合考虑检测方法的适用范围、能力、效率和经济性，利用多种检测方法的互补优势，如桩身完整性检测宜采用两种或两种以上检测方法进行检测。</w:t>
      </w:r>
    </w:p>
    <w:p w14:paraId="62BC9892">
      <w:pPr>
        <w:snapToGrid w:val="0"/>
        <w:spacing w:line="360" w:lineRule="atLeast"/>
        <w:rPr>
          <w:color w:val="auto"/>
        </w:rPr>
      </w:pPr>
      <w:r>
        <w:rPr>
          <w:color w:val="auto"/>
        </w:rPr>
        <w:t xml:space="preserve">    钻芯法取样应采用</w:t>
      </w:r>
      <w:r>
        <w:rPr>
          <w:rFonts w:hint="eastAsia"/>
          <w:color w:val="auto"/>
        </w:rPr>
        <w:t>单动双管钻进工艺</w:t>
      </w:r>
      <w:r>
        <w:rPr>
          <w:color w:val="auto"/>
        </w:rPr>
        <w:t>；芯样试件直径不宜小于骨料最大粒径的3倍，在任何情况下不得小于骨料最大粒径的2倍；从经济合理的角度综合考虑，应选用外径为101mm和110mm的钻头；当受检桩采用商品混凝土、骨料最大粒径小于30mm时，可选用外径为91mm的钻头；如果不检测混凝土强度，可选用外径为76mm的钻头。现场钻心检测的参数和详细要求按照JGJ</w:t>
      </w:r>
      <w:r>
        <w:rPr>
          <w:rFonts w:hint="eastAsia"/>
          <w:color w:val="auto"/>
          <w:lang w:val="en-US" w:eastAsia="zh-CN"/>
        </w:rPr>
        <w:t xml:space="preserve"> </w:t>
      </w:r>
      <w:r>
        <w:rPr>
          <w:color w:val="auto"/>
        </w:rPr>
        <w:t>106规定执行。</w:t>
      </w:r>
    </w:p>
    <w:p w14:paraId="5DDDD303">
      <w:pPr>
        <w:snapToGrid w:val="0"/>
        <w:spacing w:line="360" w:lineRule="atLeast"/>
        <w:rPr>
          <w:color w:val="auto"/>
        </w:rPr>
      </w:pPr>
      <w:r>
        <w:rPr>
          <w:color w:val="auto"/>
        </w:rPr>
        <w:t xml:space="preserve">    地下连续墙应采用声波透射法检测墙身完整性，检测槽段数不应少于总槽段数的20％，且不应少于3个槽段，应在混凝土浇筑前每个槽段预埋3根以上声测管。必要时可进行钻芯法补充检测。</w:t>
      </w:r>
    </w:p>
    <w:p w14:paraId="561515DF">
      <w:pPr>
        <w:snapToGrid w:val="0"/>
        <w:spacing w:line="360" w:lineRule="atLeast"/>
        <w:rPr>
          <w:color w:val="auto"/>
        </w:rPr>
      </w:pPr>
      <w:r>
        <w:rPr>
          <w:b/>
          <w:color w:val="auto"/>
        </w:rPr>
        <w:t>16.4.2</w:t>
      </w:r>
      <w:r>
        <w:rPr>
          <w:color w:val="auto"/>
        </w:rPr>
        <w:t xml:space="preserve">  基坑土体加固的检测主要是在基坑开挖前和基坑开挖过程中进行。</w:t>
      </w:r>
    </w:p>
    <w:p w14:paraId="34DA6B09">
      <w:pPr>
        <w:snapToGrid w:val="0"/>
        <w:spacing w:line="360" w:lineRule="atLeast"/>
        <w:ind w:firstLine="420" w:firstLineChars="200"/>
        <w:rPr>
          <w:color w:val="auto"/>
        </w:rPr>
      </w:pPr>
      <w:r>
        <w:rPr>
          <w:color w:val="auto"/>
        </w:rPr>
        <w:t>基坑开挖前的检测，应对加固体的长度、均匀性和强度进行检测；当不能确定加固体质量时，可采用钻头连续钻取全长范围的加固体，判断是否为硬塑状态，有无明显夹泥、夹砂断层，判断有效深度范围的加固体强度及均匀性是否符合设计要求。</w:t>
      </w:r>
    </w:p>
    <w:p w14:paraId="7EC9DE6C">
      <w:pPr>
        <w:widowControl/>
        <w:snapToGrid w:val="0"/>
        <w:spacing w:line="360" w:lineRule="atLeast"/>
        <w:ind w:firstLine="105" w:firstLineChars="50"/>
        <w:jc w:val="left"/>
        <w:rPr>
          <w:color w:val="auto"/>
        </w:rPr>
      </w:pPr>
      <w:r>
        <w:rPr>
          <w:color w:val="auto"/>
        </w:rPr>
        <w:t xml:space="preserve">  基坑开挖期的质量检测主要是通过直观检验开挖面的加固体外观质量和触感硬度，如不符合设计要求应立即采取必要的补救措施，防止出现工程事故。</w:t>
      </w:r>
    </w:p>
    <w:p w14:paraId="2225E12F">
      <w:pPr>
        <w:snapToGrid w:val="0"/>
        <w:spacing w:line="360" w:lineRule="atLeast"/>
        <w:rPr>
          <w:color w:val="auto"/>
        </w:rPr>
      </w:pPr>
      <w:r>
        <w:rPr>
          <w:b/>
          <w:color w:val="auto"/>
        </w:rPr>
        <w:t>16.4.3</w:t>
      </w:r>
      <w:r>
        <w:rPr>
          <w:color w:val="auto"/>
        </w:rPr>
        <w:t xml:space="preserve">  施工前进行单桩竖向抗压静载试验，目的是为设计提供依据。所谓同条件下的桩指地质情况、持力层性状、单桩承载力、桩型、桩径等基本相似的桩。</w:t>
      </w:r>
    </w:p>
    <w:p w14:paraId="1B1DB0BE">
      <w:pPr>
        <w:snapToGrid w:val="0"/>
        <w:spacing w:line="360" w:lineRule="atLeast"/>
        <w:ind w:firstLine="420" w:firstLineChars="200"/>
        <w:rPr>
          <w:color w:val="auto"/>
        </w:rPr>
      </w:pPr>
      <w:r>
        <w:rPr>
          <w:color w:val="auto"/>
        </w:rPr>
        <w:t>对设计等级高且缺乏地区经验的地区，本条规定的试桩数量仅仅是下限，若实际中由于某些原因不足以为设计提供可靠依据或设计另有要求时，可根据实际情况增加试桩数量。另外，如果施工时桩参数发生了较大变动或施工工艺发生了变化，应重新进行试桩。</w:t>
      </w:r>
    </w:p>
    <w:p w14:paraId="4E3AE9FC">
      <w:pPr>
        <w:snapToGrid w:val="0"/>
        <w:spacing w:line="360" w:lineRule="atLeast"/>
        <w:ind w:firstLine="420" w:firstLineChars="200"/>
        <w:rPr>
          <w:color w:val="auto"/>
        </w:rPr>
      </w:pPr>
      <w:r>
        <w:rPr>
          <w:color w:val="auto"/>
        </w:rPr>
        <w:t>工程桩的承载力检测较为复杂，实施难度大，因此工程桩应根据工程具体情况确定单桩承载力的检测方法和数量。</w:t>
      </w:r>
    </w:p>
    <w:p w14:paraId="770CA0A0">
      <w:pPr>
        <w:snapToGrid w:val="0"/>
        <w:spacing w:line="360" w:lineRule="atLeast"/>
        <w:ind w:firstLine="420" w:firstLineChars="200"/>
        <w:rPr>
          <w:color w:val="auto"/>
        </w:rPr>
      </w:pPr>
      <w:r>
        <w:rPr>
          <w:color w:val="auto"/>
        </w:rPr>
        <w:t>桩基竖向抗压承载力检验的方法应用较多的有静载试验、高应变法、钻芯法等；另外自平衡静载法在轨道交通桩基检测中应用也越来越多。因地铁车站静载试验受设备或场地限制，很难甚至无法进行传统的单桩竖向抗压承载力静载检测，可以采用自平衡静载试验进行竖向承载力检测；当有场地的对比验证资料时，可将高应变法作为竖向抗压承载力验收检测的补充，检测的方法及数量应根据工程具体情况由设计单位分析确定。</w:t>
      </w:r>
    </w:p>
    <w:p w14:paraId="54C17B02">
      <w:pPr>
        <w:snapToGrid w:val="0"/>
        <w:spacing w:line="360" w:lineRule="atLeast"/>
        <w:ind w:firstLine="420" w:firstLineChars="200"/>
        <w:rPr>
          <w:color w:val="auto"/>
        </w:rPr>
      </w:pPr>
      <w:r>
        <w:rPr>
          <w:color w:val="auto"/>
        </w:rPr>
        <w:t>逆作法施工的工程桩可采用自平衡法检测单桩抗压承载力，采用声波透射法检测桩身完整性。检测数量视具体情况确定。</w:t>
      </w:r>
    </w:p>
    <w:p w14:paraId="7F05EF9F">
      <w:pPr>
        <w:snapToGrid w:val="0"/>
        <w:spacing w:line="360" w:lineRule="atLeast"/>
        <w:rPr>
          <w:color w:val="auto"/>
        </w:rPr>
      </w:pPr>
      <w:r>
        <w:rPr>
          <w:b/>
          <w:color w:val="auto"/>
        </w:rPr>
        <w:t>16.4.4</w:t>
      </w:r>
      <w:r>
        <w:rPr>
          <w:color w:val="auto"/>
        </w:rPr>
        <w:t xml:space="preserve">  在轨道交通工程中，车站围护结构兼做永久抗拔结构比较普遍，一是施工较底板抗拔桩简单方便，二是在改善主体结构受力的同时节省工程投资。当围护桩兼做抗拔桩时，同条件下抗拔试桩数不应少于3根。非围护结构的抗拔桩不应利用工程桩作试验，可在地面进行试桩，试验结果应扣除桩顶设计标高至地面各土层的侧阻，并留有一定富裕量，检测数量同上。</w:t>
      </w:r>
    </w:p>
    <w:p w14:paraId="0084130F">
      <w:pPr>
        <w:snapToGrid w:val="0"/>
        <w:spacing w:line="360" w:lineRule="atLeast"/>
        <w:rPr>
          <w:color w:val="auto"/>
        </w:rPr>
      </w:pPr>
      <w:r>
        <w:rPr>
          <w:b/>
          <w:color w:val="auto"/>
        </w:rPr>
        <w:t>16.4.5</w:t>
      </w:r>
      <w:r>
        <w:rPr>
          <w:color w:val="auto"/>
        </w:rPr>
        <w:t xml:space="preserve">  轨道交通工程较多在市区繁华地段修建，为不至于中断正常交通，常采用临时路面板供车辆通行，此时临时立柱桩需要承受较大的竖向荷载，施工质量要求更高，有时采用复合后注浆加强竖向抗压承载力。当临时立柱桩兼做永久抗拔桩时，其营运期间将承受竖向上拔力，前后相反的受力更需要保证施工质量。故对于临时路面板下和兼做抗拔桩的临时立柱桩，检测抽样数量宜适当增加。采用声波透射法检测时，施工前每根桩应预先埋设至少2根声测管，对于临时路面板下临时立柱桩，尚宜进行竖向抗压承载力检测，也可在设计中根据地区经验采取加大桩长、后注浆等措施预留一定的富裕量，不再进行抗压承载力检测。</w:t>
      </w:r>
    </w:p>
    <w:p w14:paraId="7D673687">
      <w:pPr>
        <w:pStyle w:val="77"/>
        <w:rPr>
          <w:color w:val="auto"/>
        </w:rPr>
      </w:pPr>
      <w:bookmarkStart w:id="228" w:name="_Toc182499042"/>
      <w:r>
        <w:rPr>
          <w:color w:val="auto"/>
        </w:rPr>
        <w:t>16.5 规划控制</w:t>
      </w:r>
      <w:bookmarkEnd w:id="228"/>
    </w:p>
    <w:p w14:paraId="6E49A49F">
      <w:pPr>
        <w:snapToGrid w:val="0"/>
        <w:spacing w:line="360" w:lineRule="atLeast"/>
        <w:ind w:firstLine="420" w:firstLineChars="200"/>
        <w:rPr>
          <w:color w:val="auto"/>
        </w:rPr>
      </w:pPr>
      <w:r>
        <w:rPr>
          <w:color w:val="auto"/>
        </w:rPr>
        <w:t>本节系根据武汉市轨道交通工程规划控制的相关文件规定进行编写，</w:t>
      </w:r>
      <w:r>
        <w:rPr>
          <w:rFonts w:hint="eastAsia"/>
          <w:color w:val="auto"/>
        </w:rPr>
        <w:t>控制区的划分尚应满足隧道结构外边缘以外1倍隧道外径为控制线的要求，</w:t>
      </w:r>
      <w:r>
        <w:rPr>
          <w:color w:val="auto"/>
        </w:rPr>
        <w:t>省内其他城市可参照使用。</w:t>
      </w:r>
    </w:p>
    <w:p w14:paraId="67E6EC78">
      <w:pPr>
        <w:pStyle w:val="34"/>
        <w:numPr>
          <w:ilvl w:val="0"/>
          <w:numId w:val="3"/>
        </w:numPr>
        <w:rPr>
          <w:b/>
          <w:color w:val="auto"/>
          <w:sz w:val="24"/>
        </w:rPr>
      </w:pPr>
      <w:bookmarkStart w:id="229" w:name="_Toc182499043"/>
      <w:r>
        <w:rPr>
          <w:b/>
          <w:bCs w:val="0"/>
          <w:color w:val="auto"/>
        </w:rPr>
        <w:t>检测与监测</w:t>
      </w:r>
      <w:bookmarkEnd w:id="229"/>
    </w:p>
    <w:p w14:paraId="1B7074F1">
      <w:pPr>
        <w:pStyle w:val="77"/>
        <w:rPr>
          <w:color w:val="auto"/>
        </w:rPr>
      </w:pPr>
      <w:bookmarkStart w:id="230" w:name="_Toc182499044"/>
      <w:r>
        <w:rPr>
          <w:color w:val="auto"/>
        </w:rPr>
        <w:t xml:space="preserve">17.1  检 </w:t>
      </w:r>
      <w:bookmarkEnd w:id="230"/>
      <w:r>
        <w:rPr>
          <w:rFonts w:hint="eastAsia"/>
          <w:color w:val="auto"/>
        </w:rPr>
        <w:t>测</w:t>
      </w:r>
    </w:p>
    <w:p w14:paraId="46F7872B">
      <w:pPr>
        <w:adjustRightInd w:val="0"/>
        <w:snapToGrid w:val="0"/>
        <w:spacing w:line="340" w:lineRule="exact"/>
        <w:jc w:val="left"/>
        <w:rPr>
          <w:color w:val="auto"/>
          <w:szCs w:val="21"/>
        </w:rPr>
      </w:pPr>
      <w:r>
        <w:rPr>
          <w:b/>
          <w:bCs/>
          <w:color w:val="auto"/>
          <w:szCs w:val="21"/>
        </w:rPr>
        <w:t>17.1.1</w:t>
      </w:r>
      <w:r>
        <w:rPr>
          <w:color w:val="auto"/>
          <w:szCs w:val="21"/>
        </w:rPr>
        <w:t xml:space="preserve">  建筑地基基础工程中的检</w:t>
      </w:r>
      <w:r>
        <w:rPr>
          <w:rFonts w:hint="eastAsia"/>
          <w:color w:val="auto"/>
          <w:szCs w:val="21"/>
        </w:rPr>
        <w:t>测</w:t>
      </w:r>
      <w:r>
        <w:rPr>
          <w:color w:val="auto"/>
          <w:szCs w:val="21"/>
        </w:rPr>
        <w:t>工作包括为设计提供先期依据的试验检测，施工过程中的施工检测，施工完毕后验收时</w:t>
      </w:r>
      <w:r>
        <w:rPr>
          <w:rFonts w:hint="eastAsia"/>
          <w:color w:val="auto"/>
          <w:szCs w:val="21"/>
        </w:rPr>
        <w:t>的</w:t>
      </w:r>
      <w:r>
        <w:rPr>
          <w:color w:val="auto"/>
          <w:szCs w:val="21"/>
        </w:rPr>
        <w:t>验收检测以及对正在施工或已使用的建筑物地基和桩基，由于施工、设计、灾害、改造等原因，需对其质量进行验证的鉴定检测。</w:t>
      </w:r>
    </w:p>
    <w:p w14:paraId="037AD2BF">
      <w:pPr>
        <w:adjustRightInd w:val="0"/>
        <w:snapToGrid w:val="0"/>
        <w:spacing w:line="340" w:lineRule="exact"/>
        <w:rPr>
          <w:color w:val="auto"/>
          <w:szCs w:val="21"/>
        </w:rPr>
      </w:pPr>
      <w:r>
        <w:rPr>
          <w:color w:val="auto"/>
          <w:szCs w:val="21"/>
        </w:rPr>
        <w:t xml:space="preserve">    其中施工检测及验收检测在GB</w:t>
      </w:r>
      <w:r>
        <w:rPr>
          <w:rFonts w:hint="eastAsia"/>
          <w:color w:val="auto"/>
          <w:szCs w:val="21"/>
        </w:rPr>
        <w:t xml:space="preserve"> </w:t>
      </w:r>
      <w:r>
        <w:rPr>
          <w:color w:val="auto"/>
          <w:szCs w:val="21"/>
        </w:rPr>
        <w:t>50202中有明确规定。对于地基基础，承载力是一个重要指标，鉴于其验证工作费时费力，在施工检测中不易实施，如验收中不加以认定，事实证明将会产生许多隐患，因此，GB</w:t>
      </w:r>
      <w:r>
        <w:rPr>
          <w:rFonts w:hint="eastAsia"/>
          <w:color w:val="auto"/>
          <w:szCs w:val="21"/>
        </w:rPr>
        <w:t xml:space="preserve"> </w:t>
      </w:r>
      <w:r>
        <w:rPr>
          <w:color w:val="auto"/>
          <w:szCs w:val="21"/>
        </w:rPr>
        <w:t>50202中强化了验收检测的要求，以确保安全。</w:t>
      </w:r>
    </w:p>
    <w:p w14:paraId="5077E284">
      <w:pPr>
        <w:adjustRightInd w:val="0"/>
        <w:snapToGrid w:val="0"/>
        <w:spacing w:line="340" w:lineRule="exact"/>
        <w:ind w:firstLine="420"/>
        <w:rPr>
          <w:color w:val="auto"/>
          <w:szCs w:val="21"/>
        </w:rPr>
      </w:pPr>
      <w:r>
        <w:rPr>
          <w:color w:val="auto"/>
          <w:szCs w:val="21"/>
        </w:rPr>
        <w:t>本章重点是</w:t>
      </w:r>
      <w:r>
        <w:rPr>
          <w:rFonts w:hint="eastAsia"/>
          <w:color w:val="auto"/>
          <w:szCs w:val="21"/>
        </w:rPr>
        <w:t>试验检测和</w:t>
      </w:r>
      <w:r>
        <w:rPr>
          <w:color w:val="auto"/>
          <w:szCs w:val="21"/>
        </w:rPr>
        <w:t>验收检测的原则要求，至于具体的检测方法则应符合GB</w:t>
      </w:r>
      <w:r>
        <w:rPr>
          <w:rFonts w:hint="eastAsia"/>
          <w:color w:val="auto"/>
          <w:szCs w:val="21"/>
        </w:rPr>
        <w:t xml:space="preserve"> </w:t>
      </w:r>
      <w:r>
        <w:rPr>
          <w:color w:val="auto"/>
          <w:szCs w:val="21"/>
        </w:rPr>
        <w:t>50007、GB</w:t>
      </w:r>
      <w:r>
        <w:rPr>
          <w:rFonts w:hint="eastAsia"/>
          <w:color w:val="auto"/>
          <w:szCs w:val="21"/>
        </w:rPr>
        <w:t xml:space="preserve"> </w:t>
      </w:r>
      <w:r>
        <w:rPr>
          <w:color w:val="auto"/>
          <w:szCs w:val="21"/>
        </w:rPr>
        <w:t>50202、JGJ</w:t>
      </w:r>
      <w:r>
        <w:rPr>
          <w:rFonts w:hint="eastAsia"/>
          <w:color w:val="auto"/>
          <w:szCs w:val="21"/>
          <w:lang w:val="en-US" w:eastAsia="zh-CN"/>
        </w:rPr>
        <w:t xml:space="preserve"> </w:t>
      </w:r>
      <w:r>
        <w:rPr>
          <w:color w:val="auto"/>
          <w:szCs w:val="21"/>
        </w:rPr>
        <w:t>79、</w:t>
      </w:r>
      <w:r>
        <w:rPr>
          <w:rFonts w:hint="eastAsia"/>
          <w:color w:val="auto"/>
          <w:szCs w:val="21"/>
        </w:rPr>
        <w:t>J</w:t>
      </w:r>
      <w:r>
        <w:rPr>
          <w:color w:val="auto"/>
          <w:szCs w:val="21"/>
        </w:rPr>
        <w:t>GJ</w:t>
      </w:r>
      <w:r>
        <w:rPr>
          <w:rFonts w:hint="eastAsia"/>
          <w:color w:val="auto"/>
          <w:szCs w:val="21"/>
          <w:lang w:val="en-US" w:eastAsia="zh-CN"/>
        </w:rPr>
        <w:t xml:space="preserve"> </w:t>
      </w:r>
      <w:r>
        <w:rPr>
          <w:color w:val="auto"/>
          <w:szCs w:val="21"/>
        </w:rPr>
        <w:t>340</w:t>
      </w:r>
      <w:r>
        <w:rPr>
          <w:rFonts w:hint="eastAsia"/>
          <w:color w:val="auto"/>
          <w:szCs w:val="21"/>
        </w:rPr>
        <w:t>、J</w:t>
      </w:r>
      <w:r>
        <w:rPr>
          <w:color w:val="auto"/>
          <w:szCs w:val="21"/>
        </w:rPr>
        <w:t>GJ</w:t>
      </w:r>
      <w:r>
        <w:rPr>
          <w:rFonts w:hint="eastAsia"/>
          <w:color w:val="auto"/>
          <w:szCs w:val="21"/>
          <w:lang w:val="en-US" w:eastAsia="zh-CN"/>
        </w:rPr>
        <w:t xml:space="preserve"> </w:t>
      </w:r>
      <w:r>
        <w:rPr>
          <w:color w:val="auto"/>
          <w:szCs w:val="21"/>
        </w:rPr>
        <w:t>106</w:t>
      </w:r>
      <w:r>
        <w:rPr>
          <w:rFonts w:hint="eastAsia"/>
          <w:color w:val="auto"/>
          <w:szCs w:val="21"/>
        </w:rPr>
        <w:t>等</w:t>
      </w:r>
      <w:r>
        <w:rPr>
          <w:color w:val="auto"/>
          <w:szCs w:val="21"/>
        </w:rPr>
        <w:t>的规定。</w:t>
      </w:r>
    </w:p>
    <w:p w14:paraId="67BAED9C">
      <w:pPr>
        <w:adjustRightInd w:val="0"/>
        <w:snapToGrid w:val="0"/>
        <w:spacing w:line="340" w:lineRule="exact"/>
        <w:rPr>
          <w:color w:val="auto"/>
          <w:szCs w:val="21"/>
        </w:rPr>
      </w:pPr>
      <w:r>
        <w:rPr>
          <w:b/>
          <w:color w:val="auto"/>
          <w:szCs w:val="21"/>
        </w:rPr>
        <w:t xml:space="preserve">17.1.4 </w:t>
      </w:r>
      <w:r>
        <w:rPr>
          <w:color w:val="auto"/>
          <w:szCs w:val="21"/>
        </w:rPr>
        <w:t xml:space="preserve"> 工程桩施工参数与施工前提供依据的试桩不同、施工单位变更、施工工艺改变、施工过程控制等因素都可能造成质量隐患，仅在施工后进行验收检测，即使发现质量问题，也只是事后补强，造成不必要的浪费。因此，尚应加强施工过程中的质量控制，做到信息化施工，以便及时发现并解决问题，做到防患于未然，提高效益。如：冲（钻）孔灌注桩施工过程中采用一些成熟的技术和常规方法进行孔径、孔垂直度、孔深、沉渣厚度和桩端岩性鉴别等项目的检验；对于打入式预制桩，在施工过程中进行高应变监测等。</w:t>
      </w:r>
    </w:p>
    <w:p w14:paraId="60ED2A2F">
      <w:pPr>
        <w:adjustRightInd w:val="0"/>
        <w:snapToGrid w:val="0"/>
        <w:spacing w:line="340" w:lineRule="exact"/>
        <w:rPr>
          <w:color w:val="auto"/>
          <w:szCs w:val="21"/>
        </w:rPr>
      </w:pPr>
      <w:r>
        <w:rPr>
          <w:b/>
          <w:bCs/>
          <w:color w:val="auto"/>
          <w:szCs w:val="21"/>
        </w:rPr>
        <w:t xml:space="preserve">17.1.14  </w:t>
      </w:r>
      <w:r>
        <w:rPr>
          <w:color w:val="auto"/>
          <w:szCs w:val="21"/>
        </w:rPr>
        <w:t>高层建筑及重要建筑物灌注桩的单桩承载力对建筑的安全影响较大，因此应采用单桩竖向抗压静载试验检</w:t>
      </w:r>
      <w:r>
        <w:rPr>
          <w:rFonts w:hint="eastAsia"/>
          <w:color w:val="auto"/>
          <w:szCs w:val="21"/>
        </w:rPr>
        <w:t>测</w:t>
      </w:r>
      <w:r>
        <w:rPr>
          <w:color w:val="auto"/>
          <w:szCs w:val="21"/>
        </w:rPr>
        <w:t>其承载力。近年来我省相继发生灌注桩试桩承载力满足设计要求，而工程桩承载力相差甚远的事故，究其原因，主要是工程桩承载力在地面检测，不能在坑内随机检测所致，考虑深基坑内静载试验条件限制，为确保质量，本条作出了加强声波透射及钻芯检测的规定。乙、丙级设计等级的预制桩及多层建筑直径小于800mm非嵌岩灌注桩的竖向抗压承载力验收检</w:t>
      </w:r>
      <w:r>
        <w:rPr>
          <w:rFonts w:hint="eastAsia"/>
          <w:color w:val="auto"/>
          <w:szCs w:val="21"/>
        </w:rPr>
        <w:t>测</w:t>
      </w:r>
      <w:r>
        <w:rPr>
          <w:color w:val="auto"/>
          <w:szCs w:val="21"/>
        </w:rPr>
        <w:t>可采用高应变方法，适当减少静载试验的数量，每单栋建筑不应少于1根。人工挖孔桩的竖向抗压承载力验收检</w:t>
      </w:r>
      <w:r>
        <w:rPr>
          <w:rFonts w:hint="eastAsia"/>
          <w:color w:val="auto"/>
          <w:szCs w:val="21"/>
        </w:rPr>
        <w:t>测</w:t>
      </w:r>
      <w:r>
        <w:rPr>
          <w:color w:val="auto"/>
          <w:szCs w:val="21"/>
        </w:rPr>
        <w:t>可根据桩端岩基静载试验或桩端土深层平板静载试验结合桩身混凝土质量及施工资料进行核验。</w:t>
      </w:r>
    </w:p>
    <w:p w14:paraId="08B09578">
      <w:pPr>
        <w:adjustRightInd w:val="0"/>
        <w:snapToGrid w:val="0"/>
        <w:spacing w:line="340" w:lineRule="exact"/>
        <w:rPr>
          <w:rFonts w:hint="eastAsia"/>
          <w:color w:val="auto"/>
          <w:szCs w:val="21"/>
        </w:rPr>
      </w:pPr>
      <w:r>
        <w:rPr>
          <w:rFonts w:hint="eastAsia"/>
          <w:color w:val="auto"/>
          <w:szCs w:val="21"/>
        </w:rPr>
        <w:t xml:space="preserve"> </w:t>
      </w:r>
      <w:r>
        <w:rPr>
          <w:color w:val="auto"/>
          <w:szCs w:val="21"/>
        </w:rPr>
        <w:t xml:space="preserve">   由于验收检测的目的主要是核验施工质量</w:t>
      </w:r>
      <w:r>
        <w:rPr>
          <w:rFonts w:hint="eastAsia"/>
          <w:color w:val="auto"/>
          <w:szCs w:val="21"/>
        </w:rPr>
        <w:t>，因此</w:t>
      </w:r>
      <w:r>
        <w:rPr>
          <w:rFonts w:hAnsi="宋体"/>
          <w:color w:val="auto"/>
          <w:szCs w:val="21"/>
        </w:rPr>
        <w:t>场地存在多栋建筑物时，对同条件桩的验收检测仍按单栋建筑的检测要求执行</w:t>
      </w:r>
      <w:r>
        <w:rPr>
          <w:rFonts w:hint="eastAsia" w:hAnsi="宋体"/>
          <w:color w:val="auto"/>
          <w:szCs w:val="21"/>
        </w:rPr>
        <w:t>。</w:t>
      </w:r>
    </w:p>
    <w:p w14:paraId="68A21656">
      <w:pPr>
        <w:adjustRightInd w:val="0"/>
        <w:snapToGrid w:val="0"/>
        <w:spacing w:line="340" w:lineRule="exact"/>
        <w:rPr>
          <w:color w:val="auto"/>
          <w:szCs w:val="21"/>
        </w:rPr>
      </w:pPr>
      <w:r>
        <w:rPr>
          <w:b/>
          <w:bCs/>
          <w:color w:val="auto"/>
          <w:szCs w:val="21"/>
        </w:rPr>
        <w:t xml:space="preserve">17.1.21  </w:t>
      </w:r>
      <w:r>
        <w:rPr>
          <w:color w:val="auto"/>
          <w:szCs w:val="21"/>
        </w:rPr>
        <w:t>采用高应变方法进行单桩竖向抗压承载力验收检</w:t>
      </w:r>
      <w:r>
        <w:rPr>
          <w:rFonts w:hint="eastAsia"/>
          <w:color w:val="auto"/>
          <w:szCs w:val="21"/>
        </w:rPr>
        <w:t>测</w:t>
      </w:r>
      <w:r>
        <w:rPr>
          <w:color w:val="auto"/>
          <w:szCs w:val="21"/>
        </w:rPr>
        <w:t>前应取得在相同岩土工程情况下与工程桩桩型、桩径及施工工艺相同、桩长相近的试桩（加载至破坏）的动静对比资料。动静对比试验时，应在静载试验前进行高应变检</w:t>
      </w:r>
      <w:r>
        <w:rPr>
          <w:rFonts w:hint="eastAsia"/>
          <w:color w:val="auto"/>
          <w:szCs w:val="21"/>
        </w:rPr>
        <w:t>测</w:t>
      </w:r>
      <w:r>
        <w:rPr>
          <w:color w:val="auto"/>
          <w:szCs w:val="21"/>
        </w:rPr>
        <w:t>，动静对比试桩的数量同条件下的桩不应少于3根。</w:t>
      </w:r>
    </w:p>
    <w:p w14:paraId="7A7D1970">
      <w:pPr>
        <w:adjustRightInd w:val="0"/>
        <w:snapToGrid w:val="0"/>
        <w:spacing w:line="340" w:lineRule="exact"/>
        <w:rPr>
          <w:color w:val="auto"/>
          <w:szCs w:val="21"/>
        </w:rPr>
      </w:pPr>
      <w:r>
        <w:rPr>
          <w:b/>
          <w:bCs/>
          <w:color w:val="auto"/>
          <w:szCs w:val="21"/>
        </w:rPr>
        <w:t>17.1.22</w:t>
      </w:r>
      <w:r>
        <w:rPr>
          <w:color w:val="auto"/>
          <w:szCs w:val="21"/>
        </w:rPr>
        <w:t xml:space="preserve">  载体桩扩大头为挤土型，其桩距不大，后施工的桩对邻近桩的持力层可能造成不利影响，同时扩大头的形成不易控制，因此对先打入的桩应增加静载试验及其他检测项目的数量。对于我省应用不多的新桩型，出于安全考虑也应增加检测数量。</w:t>
      </w:r>
    </w:p>
    <w:p w14:paraId="266F459C">
      <w:pPr>
        <w:pStyle w:val="77"/>
        <w:rPr>
          <w:color w:val="auto"/>
        </w:rPr>
      </w:pPr>
      <w:bookmarkStart w:id="231" w:name="_Toc182499045"/>
      <w:r>
        <w:rPr>
          <w:color w:val="auto"/>
        </w:rPr>
        <w:t>17.2  监测</w:t>
      </w:r>
      <w:bookmarkEnd w:id="231"/>
    </w:p>
    <w:p w14:paraId="0A279FC0">
      <w:pPr>
        <w:adjustRightInd w:val="0"/>
        <w:snapToGrid w:val="0"/>
        <w:spacing w:line="340" w:lineRule="exact"/>
        <w:rPr>
          <w:color w:val="auto"/>
          <w:szCs w:val="21"/>
        </w:rPr>
      </w:pPr>
      <w:r>
        <w:rPr>
          <w:b/>
          <w:bCs/>
          <w:color w:val="auto"/>
          <w:szCs w:val="21"/>
        </w:rPr>
        <w:t>17.2.3</w:t>
      </w:r>
      <w:r>
        <w:rPr>
          <w:color w:val="auto"/>
          <w:szCs w:val="21"/>
        </w:rPr>
        <w:t xml:space="preserve">  施工过程中的深井降水将产生地面大面积沉降，但沉降坡率可以控制在3‰之内，不致造成周边建筑物受损。但是当建筑物体型复杂，相邻结构单元地基处理方法不同时也易造成差异沉降，使建筑物开裂，监测中应予注意。</w:t>
      </w:r>
    </w:p>
    <w:p w14:paraId="0E9A9A94">
      <w:pPr>
        <w:adjustRightInd w:val="0"/>
        <w:snapToGrid w:val="0"/>
        <w:spacing w:line="340" w:lineRule="exact"/>
        <w:ind w:firstLine="420" w:firstLineChars="200"/>
        <w:rPr>
          <w:color w:val="auto"/>
          <w:szCs w:val="21"/>
        </w:rPr>
      </w:pPr>
      <w:r>
        <w:rPr>
          <w:color w:val="auto"/>
          <w:szCs w:val="21"/>
        </w:rPr>
        <w:t>施工过程抽取浅层潜水或上层滞水，或在人工挖孔桩中局部抽水、地下连续墙施工、SMW工法桩施工等均可能对周边建筑造成影响，应加强监测，防止事故。</w:t>
      </w:r>
    </w:p>
    <w:p w14:paraId="373621E0">
      <w:pPr>
        <w:adjustRightInd w:val="0"/>
        <w:snapToGrid w:val="0"/>
        <w:spacing w:line="340" w:lineRule="exact"/>
        <w:rPr>
          <w:color w:val="auto"/>
          <w:szCs w:val="21"/>
        </w:rPr>
      </w:pPr>
      <w:r>
        <w:rPr>
          <w:b/>
          <w:bCs/>
          <w:color w:val="auto"/>
          <w:szCs w:val="21"/>
        </w:rPr>
        <w:t>17.2.5</w:t>
      </w:r>
      <w:r>
        <w:rPr>
          <w:color w:val="auto"/>
          <w:szCs w:val="21"/>
        </w:rPr>
        <w:t xml:space="preserve">  挤土桩的挤土效应对周边环境的影响不可忽视，特别在饱和淤泥、淤泥质土中尤为严重。由于挤土效应造成邻近建筑和管线破坏的事例屡见不鲜，防止此类事故的发生，一是在施工中采取措施，二是加强监测。重要的工程可采用测斜管等进行土体位移观测，确保邻近建筑物的安全。</w:t>
      </w:r>
    </w:p>
    <w:p w14:paraId="4B526294">
      <w:pPr>
        <w:adjustRightInd w:val="0"/>
        <w:snapToGrid w:val="0"/>
        <w:spacing w:line="340" w:lineRule="exact"/>
        <w:rPr>
          <w:color w:val="auto"/>
          <w:szCs w:val="21"/>
        </w:rPr>
      </w:pPr>
      <w:r>
        <w:rPr>
          <w:b/>
          <w:bCs/>
          <w:color w:val="auto"/>
          <w:szCs w:val="21"/>
        </w:rPr>
        <w:t>17.2.8</w:t>
      </w:r>
      <w:r>
        <w:rPr>
          <w:color w:val="auto"/>
          <w:szCs w:val="21"/>
        </w:rPr>
        <w:t xml:space="preserve">  JGJ/T</w:t>
      </w:r>
      <w:r>
        <w:rPr>
          <w:rFonts w:hint="eastAsia"/>
          <w:color w:val="auto"/>
          <w:szCs w:val="21"/>
          <w:lang w:val="en-US" w:eastAsia="zh-CN"/>
        </w:rPr>
        <w:t xml:space="preserve"> </w:t>
      </w:r>
      <w:r>
        <w:rPr>
          <w:color w:val="auto"/>
          <w:szCs w:val="21"/>
        </w:rPr>
        <w:t>8中提出了建筑物变形稳定标准为0.01mm/d～0.04mm/d，这是一个经验值。上述稳定标准不能完全取代工程竣工时的沉降稳定验收标准。众所周知，软土地区采用天然地基的建筑，采用摩擦桩基的建筑，某些采用复合地基的建筑，在竣工时沉降不可能达到稳定标准。如以变形稳定标准0.01mm/d～0.04mm/d作为验收标准，则难以实施，也不符合上述地基变形规律。</w:t>
      </w:r>
    </w:p>
    <w:p w14:paraId="15AF3C57">
      <w:pPr>
        <w:adjustRightInd w:val="0"/>
        <w:snapToGrid w:val="0"/>
        <w:spacing w:line="340" w:lineRule="exact"/>
        <w:ind w:firstLine="420" w:firstLineChars="200"/>
        <w:rPr>
          <w:color w:val="auto"/>
          <w:szCs w:val="21"/>
        </w:rPr>
      </w:pPr>
      <w:r>
        <w:rPr>
          <w:color w:val="auto"/>
          <w:szCs w:val="21"/>
        </w:rPr>
        <w:t>建筑物地基验收时，应分析施工期间沉降速率的发展趋势，特别是结构封顶且墙体竣工后的沉降发展情况，结合变形稳定标准，沉降计算结果综合分析，由设计、监理、质监、检测、施工及建设单位共同研究，当沉降均匀、沉降速率呈衰减趋势、预计后期沉降量不影响使用功能时，沉降达不到稳定标准不影响工程验收。</w:t>
      </w:r>
    </w:p>
    <w:p w14:paraId="70474285">
      <w:pPr>
        <w:adjustRightInd w:val="0"/>
        <w:snapToGrid w:val="0"/>
        <w:spacing w:line="340" w:lineRule="exact"/>
        <w:ind w:firstLine="420" w:firstLineChars="200"/>
        <w:rPr>
          <w:color w:val="auto"/>
          <w:szCs w:val="21"/>
        </w:rPr>
      </w:pPr>
      <w:r>
        <w:rPr>
          <w:color w:val="auto"/>
          <w:szCs w:val="21"/>
        </w:rPr>
        <w:t>如端承型桩基、低压缩性土中的天然地基或设计计算沉降量很小的地基，竣工后沉降较大，应查明原因，方可进行验收。</w:t>
      </w:r>
    </w:p>
    <w:p w14:paraId="509CF6B3">
      <w:pPr>
        <w:adjustRightInd w:val="0"/>
        <w:snapToGrid w:val="0"/>
        <w:spacing w:line="340" w:lineRule="exact"/>
        <w:ind w:firstLine="420" w:firstLineChars="200"/>
        <w:rPr>
          <w:rFonts w:hint="eastAsia"/>
          <w:color w:val="auto"/>
          <w:szCs w:val="21"/>
        </w:rPr>
      </w:pPr>
      <w:r>
        <w:rPr>
          <w:color w:val="auto"/>
          <w:szCs w:val="21"/>
        </w:rPr>
        <w:br w:type="page"/>
      </w:r>
    </w:p>
    <w:p w14:paraId="5FBC8E96">
      <w:pPr>
        <w:pStyle w:val="34"/>
        <w:adjustRightInd w:val="0"/>
        <w:snapToGrid w:val="0"/>
        <w:spacing w:before="0" w:after="0" w:line="240" w:lineRule="atLeast"/>
        <w:jc w:val="center"/>
        <w:rPr>
          <w:rFonts w:ascii="黑体" w:hAnsi="黑体"/>
          <w:b/>
          <w:color w:val="auto"/>
          <w:szCs w:val="21"/>
        </w:rPr>
      </w:pPr>
      <w:bookmarkStart w:id="232" w:name="_Toc182499046"/>
      <w:r>
        <w:rPr>
          <w:rFonts w:ascii="黑体" w:hAnsi="黑体"/>
          <w:b/>
          <w:color w:val="auto"/>
          <w:szCs w:val="21"/>
        </w:rPr>
        <w:t>附录 E</w:t>
      </w:r>
      <w:bookmarkEnd w:id="232"/>
    </w:p>
    <w:p w14:paraId="065F8DFD">
      <w:pPr>
        <w:pStyle w:val="34"/>
        <w:adjustRightInd w:val="0"/>
        <w:snapToGrid w:val="0"/>
        <w:spacing w:before="0" w:after="0" w:line="240" w:lineRule="atLeast"/>
        <w:jc w:val="center"/>
        <w:rPr>
          <w:rFonts w:ascii="黑体" w:hAnsi="黑体"/>
          <w:b/>
          <w:color w:val="auto"/>
          <w:szCs w:val="21"/>
        </w:rPr>
      </w:pPr>
      <w:bookmarkStart w:id="233" w:name="_Toc182499047"/>
      <w:r>
        <w:rPr>
          <w:rFonts w:ascii="黑体" w:hAnsi="黑体"/>
          <w:b/>
          <w:color w:val="auto"/>
          <w:szCs w:val="21"/>
        </w:rPr>
        <w:t>(规范性)</w:t>
      </w:r>
      <w:bookmarkEnd w:id="233"/>
    </w:p>
    <w:p w14:paraId="037CA3D6">
      <w:pPr>
        <w:pStyle w:val="34"/>
        <w:adjustRightInd w:val="0"/>
        <w:snapToGrid w:val="0"/>
        <w:spacing w:before="0" w:after="0" w:line="240" w:lineRule="atLeast"/>
        <w:jc w:val="center"/>
        <w:rPr>
          <w:rFonts w:ascii="黑体" w:hAnsi="黑体"/>
          <w:b/>
          <w:color w:val="auto"/>
          <w:szCs w:val="21"/>
        </w:rPr>
      </w:pPr>
      <w:bookmarkStart w:id="234" w:name="_Toc182499048"/>
      <w:r>
        <w:rPr>
          <w:rFonts w:ascii="黑体" w:hAnsi="黑体"/>
          <w:b/>
          <w:color w:val="auto"/>
          <w:szCs w:val="21"/>
        </w:rPr>
        <w:t>岩土承载力特征值、压缩性指标</w:t>
      </w:r>
      <w:bookmarkEnd w:id="234"/>
    </w:p>
    <w:p w14:paraId="4F9922DE">
      <w:pPr>
        <w:adjustRightInd w:val="0"/>
        <w:snapToGrid w:val="0"/>
        <w:spacing w:line="340" w:lineRule="exact"/>
        <w:jc w:val="center"/>
        <w:rPr>
          <w:color w:val="auto"/>
          <w:sz w:val="28"/>
        </w:rPr>
      </w:pPr>
    </w:p>
    <w:p w14:paraId="0F1FBFEF">
      <w:pPr>
        <w:snapToGrid w:val="0"/>
        <w:spacing w:line="360" w:lineRule="atLeast"/>
        <w:jc w:val="left"/>
        <w:rPr>
          <w:color w:val="auto"/>
          <w:szCs w:val="21"/>
        </w:rPr>
      </w:pPr>
      <w:r>
        <w:rPr>
          <w:b/>
          <w:color w:val="auto"/>
          <w:szCs w:val="21"/>
        </w:rPr>
        <w:t>E.1</w:t>
      </w:r>
      <w:r>
        <w:rPr>
          <w:color w:val="auto"/>
          <w:szCs w:val="21"/>
        </w:rPr>
        <w:t xml:space="preserve">   岩土承载力特征值</w:t>
      </w:r>
    </w:p>
    <w:p w14:paraId="41BF3C26">
      <w:pPr>
        <w:snapToGrid w:val="0"/>
        <w:spacing w:line="360" w:lineRule="atLeast"/>
        <w:jc w:val="left"/>
        <w:rPr>
          <w:rFonts w:hint="eastAsia"/>
          <w:color w:val="auto"/>
          <w:szCs w:val="21"/>
        </w:rPr>
      </w:pPr>
      <w:r>
        <w:rPr>
          <w:rFonts w:hint="eastAsia"/>
          <w:color w:val="auto"/>
          <w:szCs w:val="21"/>
        </w:rPr>
        <w:t xml:space="preserve"> </w:t>
      </w:r>
      <w:r>
        <w:rPr>
          <w:color w:val="auto"/>
          <w:szCs w:val="21"/>
        </w:rPr>
        <w:t xml:space="preserve">   a)  本次修订</w:t>
      </w:r>
      <w:r>
        <w:rPr>
          <w:rFonts w:hint="eastAsia"/>
          <w:color w:val="auto"/>
          <w:szCs w:val="21"/>
        </w:rPr>
        <w:t>参照DB</w:t>
      </w:r>
      <w:r>
        <w:rPr>
          <w:rFonts w:hint="eastAsia"/>
          <w:color w:val="auto"/>
          <w:szCs w:val="21"/>
          <w:lang w:val="en-US" w:eastAsia="zh-CN"/>
        </w:rPr>
        <w:t xml:space="preserve"> </w:t>
      </w:r>
      <w:r>
        <w:rPr>
          <w:rFonts w:hint="eastAsia"/>
          <w:color w:val="auto"/>
          <w:szCs w:val="21"/>
        </w:rPr>
        <w:t>42/T169-2022的规定，对表E</w:t>
      </w:r>
      <w:r>
        <w:rPr>
          <w:color w:val="auto"/>
          <w:szCs w:val="21"/>
        </w:rPr>
        <w:t>.1</w:t>
      </w:r>
      <w:r>
        <w:rPr>
          <w:rFonts w:hint="eastAsia"/>
          <w:color w:val="auto"/>
          <w:szCs w:val="21"/>
        </w:rPr>
        <w:t>、</w:t>
      </w:r>
      <w:r>
        <w:rPr>
          <w:color w:val="auto"/>
          <w:szCs w:val="21"/>
        </w:rPr>
        <w:t>表</w:t>
      </w:r>
      <w:r>
        <w:rPr>
          <w:rFonts w:hint="eastAsia"/>
          <w:color w:val="auto"/>
          <w:szCs w:val="21"/>
        </w:rPr>
        <w:t>E.</w:t>
      </w:r>
      <w:r>
        <w:rPr>
          <w:color w:val="auto"/>
          <w:szCs w:val="21"/>
        </w:rPr>
        <w:t>2</w:t>
      </w:r>
      <w:r>
        <w:rPr>
          <w:rFonts w:hint="eastAsia"/>
          <w:color w:val="auto"/>
          <w:szCs w:val="21"/>
        </w:rPr>
        <w:t>、</w:t>
      </w:r>
      <w:r>
        <w:rPr>
          <w:color w:val="auto"/>
          <w:szCs w:val="21"/>
        </w:rPr>
        <w:t>表</w:t>
      </w:r>
      <w:r>
        <w:rPr>
          <w:rFonts w:hint="eastAsia"/>
          <w:color w:val="auto"/>
          <w:szCs w:val="21"/>
        </w:rPr>
        <w:t>E</w:t>
      </w:r>
      <w:r>
        <w:rPr>
          <w:color w:val="auto"/>
          <w:szCs w:val="21"/>
        </w:rPr>
        <w:t>.20</w:t>
      </w:r>
      <w:r>
        <w:rPr>
          <w:rFonts w:hint="eastAsia"/>
          <w:color w:val="auto"/>
          <w:szCs w:val="21"/>
        </w:rPr>
        <w:t>、</w:t>
      </w:r>
      <w:r>
        <w:rPr>
          <w:color w:val="auto"/>
          <w:szCs w:val="21"/>
        </w:rPr>
        <w:t>表</w:t>
      </w:r>
      <w:r>
        <w:rPr>
          <w:rFonts w:hint="eastAsia"/>
          <w:color w:val="auto"/>
          <w:szCs w:val="21"/>
        </w:rPr>
        <w:t>E</w:t>
      </w:r>
      <w:r>
        <w:rPr>
          <w:color w:val="auto"/>
          <w:szCs w:val="21"/>
        </w:rPr>
        <w:t>.22中</w:t>
      </w:r>
      <w:r>
        <w:rPr>
          <w:rFonts w:hint="eastAsia"/>
          <w:color w:val="auto"/>
          <w:szCs w:val="21"/>
        </w:rPr>
        <w:t>内容</w:t>
      </w:r>
      <w:r>
        <w:rPr>
          <w:color w:val="auto"/>
          <w:szCs w:val="21"/>
        </w:rPr>
        <w:t>进行了局部修改</w:t>
      </w:r>
      <w:r>
        <w:rPr>
          <w:rFonts w:hint="eastAsia"/>
          <w:color w:val="auto"/>
          <w:szCs w:val="21"/>
        </w:rPr>
        <w:t>。</w:t>
      </w:r>
    </w:p>
    <w:p w14:paraId="7D6599B3">
      <w:pPr>
        <w:snapToGrid w:val="0"/>
        <w:spacing w:line="360" w:lineRule="atLeast"/>
        <w:ind w:firstLine="422" w:firstLineChars="200"/>
        <w:rPr>
          <w:color w:val="auto"/>
          <w:szCs w:val="21"/>
        </w:rPr>
      </w:pPr>
      <w:r>
        <w:rPr>
          <w:b/>
          <w:color w:val="auto"/>
          <w:szCs w:val="21"/>
        </w:rPr>
        <w:t xml:space="preserve">b)  </w:t>
      </w:r>
      <w:r>
        <w:rPr>
          <w:color w:val="auto"/>
          <w:szCs w:val="21"/>
        </w:rPr>
        <w:t>对岩土地基承载力表使用的说明：</w:t>
      </w:r>
    </w:p>
    <w:p w14:paraId="433DA3A0">
      <w:pPr>
        <w:snapToGrid w:val="0"/>
        <w:spacing w:line="360" w:lineRule="atLeast"/>
        <w:ind w:firstLine="390"/>
        <w:rPr>
          <w:rFonts w:hint="eastAsia"/>
          <w:color w:val="auto"/>
          <w:szCs w:val="21"/>
        </w:rPr>
      </w:pPr>
      <w:r>
        <w:rPr>
          <w:color w:val="auto"/>
          <w:szCs w:val="21"/>
        </w:rPr>
        <w:t>本文件的一般黏性土、老黏性土、粉土、残积土和风化岩石的地基承载力表所依据的载荷试验与土的物理力学指标及原位测试参数之间的对比试验资料多集中在武汉地区，地质条件与武汉地区相类似的江汉平原尚可参照，其他地区，目前尚不具备建立承载力表的条件，在使用承载力表时，应根据当地地层条件，并结合上部结构特点，在表中数值的基础上乘以修正系数，修正系数应根据试验或地区经验确定。</w:t>
      </w:r>
    </w:p>
    <w:p w14:paraId="737E9D7F">
      <w:pPr>
        <w:snapToGrid w:val="0"/>
        <w:spacing w:line="360" w:lineRule="atLeast"/>
        <w:ind w:firstLine="422" w:firstLineChars="200"/>
        <w:rPr>
          <w:color w:val="auto"/>
          <w:szCs w:val="21"/>
        </w:rPr>
      </w:pPr>
      <w:r>
        <w:rPr>
          <w:b/>
          <w:color w:val="auto"/>
          <w:szCs w:val="21"/>
        </w:rPr>
        <w:t>c)</w:t>
      </w:r>
      <w:r>
        <w:rPr>
          <w:color w:val="auto"/>
          <w:szCs w:val="21"/>
        </w:rPr>
        <w:t xml:space="preserve">  表E.1岩石地基承载力特征值</w:t>
      </w:r>
    </w:p>
    <w:p w14:paraId="7C387C94">
      <w:pPr>
        <w:snapToGrid w:val="0"/>
        <w:spacing w:line="360" w:lineRule="atLeast"/>
        <w:ind w:firstLine="457" w:firstLineChars="218"/>
        <w:rPr>
          <w:color w:val="auto"/>
          <w:szCs w:val="21"/>
        </w:rPr>
      </w:pPr>
      <w:r>
        <w:rPr>
          <w:color w:val="auto"/>
          <w:szCs w:val="21"/>
        </w:rPr>
        <w:t>岩石地基承载力，由于影响岩体承载力的因素多而复杂，即使是同一地质年代、同一类型、同一风化程度、同一地区的岩体，其承载力仍有差异，甚至差异很大，所以GB</w:t>
      </w:r>
      <w:r>
        <w:rPr>
          <w:rFonts w:hint="eastAsia"/>
          <w:color w:val="auto"/>
          <w:szCs w:val="21"/>
          <w:lang w:val="en-US" w:eastAsia="zh-CN"/>
        </w:rPr>
        <w:t xml:space="preserve"> </w:t>
      </w:r>
      <w:r>
        <w:rPr>
          <w:color w:val="auto"/>
          <w:szCs w:val="21"/>
        </w:rPr>
        <w:t>50007-2011要求采用岩石地基载荷试验方法确定。</w:t>
      </w:r>
    </w:p>
    <w:p w14:paraId="74A52847">
      <w:pPr>
        <w:snapToGrid w:val="0"/>
        <w:spacing w:line="360" w:lineRule="atLeast"/>
        <w:ind w:firstLine="390"/>
        <w:rPr>
          <w:color w:val="auto"/>
          <w:szCs w:val="21"/>
        </w:rPr>
      </w:pPr>
      <w:r>
        <w:rPr>
          <w:color w:val="auto"/>
          <w:szCs w:val="21"/>
        </w:rPr>
        <w:t>由于受现场试验条件的限制，当无法进行现场试验时，对完整、较完整和较破碎的岩体，可取样进行室内试验，根据饱和单轴抗压强度标准值乘以折减系数按下式计算确定：</w:t>
      </w:r>
    </w:p>
    <w:p w14:paraId="5ACDB7AA">
      <w:pPr>
        <w:snapToGrid w:val="0"/>
        <w:spacing w:line="360" w:lineRule="atLeast"/>
        <w:ind w:left="210" w:leftChars="100" w:firstLine="2520" w:firstLineChars="1200"/>
        <w:rPr>
          <w:color w:val="auto"/>
          <w:szCs w:val="21"/>
        </w:rPr>
      </w:pPr>
      <w:r>
        <w:rPr>
          <w:i/>
          <w:color w:val="auto"/>
          <w:szCs w:val="21"/>
        </w:rPr>
        <w:t>f</w:t>
      </w:r>
      <w:r>
        <w:rPr>
          <w:color w:val="auto"/>
          <w:szCs w:val="21"/>
          <w:vertAlign w:val="subscript"/>
        </w:rPr>
        <w:t xml:space="preserve">a  </w:t>
      </w:r>
      <w:r>
        <w:rPr>
          <w:color w:val="auto"/>
          <w:szCs w:val="21"/>
        </w:rPr>
        <w:t>=</w:t>
      </w:r>
      <w:r>
        <w:rPr>
          <w:color w:val="auto"/>
          <w:position w:val="-10"/>
          <w:szCs w:val="21"/>
        </w:rPr>
        <w:object>
          <v:shape id="_x0000_i1895" o:spt="75" type="#_x0000_t75" style="height:17pt;width:15pt;" o:ole="t" filled="f" o:preferrelative="t" stroked="f" coordsize="21600,21600">
            <v:path/>
            <v:fill on="f" focussize="0,0"/>
            <v:stroke on="f"/>
            <v:imagedata r:id="rId1682" o:title=""/>
            <o:lock v:ext="edit" grouping="f" rotation="f" text="f" aspectratio="t"/>
            <w10:wrap type="none"/>
            <w10:anchorlock/>
          </v:shape>
          <o:OLEObject Type="Embed" ProgID="Equation.3" ShapeID="_x0000_i1895" DrawAspect="Content" ObjectID="_1468076595" r:id="rId1681">
            <o:LockedField>false</o:LockedField>
          </o:OLEObject>
        </w:object>
      </w:r>
      <w:r>
        <w:rPr>
          <w:color w:val="auto"/>
          <w:szCs w:val="21"/>
        </w:rPr>
        <w:t>·</w:t>
      </w:r>
      <w:r>
        <w:rPr>
          <w:i/>
          <w:color w:val="auto"/>
          <w:szCs w:val="21"/>
        </w:rPr>
        <w:t>f</w:t>
      </w:r>
      <w:r>
        <w:rPr>
          <w:color w:val="auto"/>
          <w:szCs w:val="21"/>
          <w:vertAlign w:val="subscript"/>
        </w:rPr>
        <w:t>rk</w:t>
      </w:r>
      <w:r>
        <w:rPr>
          <w:color w:val="auto"/>
          <w:szCs w:val="21"/>
        </w:rPr>
        <w:t>，</w:t>
      </w:r>
    </w:p>
    <w:p w14:paraId="0E8B1E18">
      <w:pPr>
        <w:snapToGrid w:val="0"/>
        <w:spacing w:line="360" w:lineRule="atLeast"/>
        <w:ind w:firstLine="420" w:firstLineChars="200"/>
        <w:rPr>
          <w:color w:val="auto"/>
          <w:szCs w:val="21"/>
        </w:rPr>
      </w:pPr>
      <w:r>
        <w:rPr>
          <w:color w:val="auto"/>
          <w:szCs w:val="21"/>
        </w:rPr>
        <w:t>式中</w:t>
      </w:r>
      <w:r>
        <w:rPr>
          <w:color w:val="auto"/>
          <w:position w:val="-10"/>
          <w:szCs w:val="21"/>
        </w:rPr>
        <w:object>
          <v:shape id="_x0000_i1896" o:spt="75" type="#_x0000_t75" style="height:17pt;width:15pt;" o:ole="t" filled="f" o:preferrelative="t" stroked="f" coordsize="21600,21600">
            <v:path/>
            <v:fill on="f" focussize="0,0"/>
            <v:stroke on="f"/>
            <v:imagedata r:id="rId1682" o:title=""/>
            <o:lock v:ext="edit" grouping="f" rotation="f" text="f" aspectratio="t"/>
            <w10:wrap type="none"/>
            <w10:anchorlock/>
          </v:shape>
          <o:OLEObject Type="Embed" ProgID="Equation.3" ShapeID="_x0000_i1896" DrawAspect="Content" ObjectID="_1468076596" r:id="rId1683">
            <o:LockedField>false</o:LockedField>
          </o:OLEObject>
        </w:object>
      </w:r>
      <w:r>
        <w:rPr>
          <w:color w:val="auto"/>
          <w:szCs w:val="21"/>
        </w:rPr>
        <w:t>取值强调由地区经验确定，无经验时，按岩体的完整程度给出了一个范围值：对完整岩体取0.5、对较完整岩体取0.2～0.5、对较破碎岩体取0.1～0.2。</w:t>
      </w:r>
    </w:p>
    <w:p w14:paraId="3D6FBAE2">
      <w:pPr>
        <w:snapToGrid w:val="0"/>
        <w:spacing w:line="360" w:lineRule="atLeast"/>
        <w:ind w:firstLine="420" w:firstLineChars="200"/>
        <w:rPr>
          <w:color w:val="auto"/>
          <w:szCs w:val="21"/>
        </w:rPr>
      </w:pPr>
      <w:r>
        <w:rPr>
          <w:color w:val="auto"/>
          <w:szCs w:val="21"/>
        </w:rPr>
        <w:t>经过多年来的工程实践和湖北地区已有的现场试验对比情况分析证明</w:t>
      </w:r>
      <w:r>
        <w:rPr>
          <w:rFonts w:hint="eastAsia"/>
          <w:color w:val="auto"/>
          <w:szCs w:val="21"/>
        </w:rPr>
        <w:t>，</w:t>
      </w:r>
      <w:r>
        <w:rPr>
          <w:color w:val="auto"/>
          <w:szCs w:val="21"/>
        </w:rPr>
        <w:t>国家规范给出的折减系数</w:t>
      </w:r>
      <w:r>
        <w:rPr>
          <w:color w:val="auto"/>
          <w:position w:val="-10"/>
          <w:szCs w:val="21"/>
        </w:rPr>
        <w:object>
          <v:shape id="_x0000_i1897" o:spt="75" type="#_x0000_t75" style="height:17pt;width:15pt;" o:ole="t" filled="f" o:preferrelative="t" stroked="f" coordsize="21600,21600">
            <v:path/>
            <v:fill on="f" focussize="0,0"/>
            <v:stroke on="f"/>
            <v:imagedata r:id="rId1682" o:title=""/>
            <o:lock v:ext="edit" grouping="f" rotation="f" text="f" aspectratio="t"/>
            <w10:wrap type="none"/>
            <w10:anchorlock/>
          </v:shape>
          <o:OLEObject Type="Embed" ProgID="Equation.3" ShapeID="_x0000_i1897" DrawAspect="Content" ObjectID="_1468076597" r:id="rId1684">
            <o:LockedField>false</o:LockedField>
          </o:OLEObject>
        </w:object>
      </w:r>
      <w:r>
        <w:rPr>
          <w:color w:val="auto"/>
          <w:szCs w:val="21"/>
        </w:rPr>
        <w:t>值范围是安全的。对完整、较完整的中、微风化岩体，可取表中上限值或较高的值，较破碎的中、微风化岩体，可取表中的下限值或较低的值。</w:t>
      </w:r>
    </w:p>
    <w:p w14:paraId="5A38917A">
      <w:pPr>
        <w:snapToGrid w:val="0"/>
        <w:spacing w:line="360" w:lineRule="atLeast"/>
        <w:ind w:firstLine="420" w:firstLineChars="200"/>
        <w:rPr>
          <w:color w:val="auto"/>
          <w:szCs w:val="21"/>
        </w:rPr>
      </w:pPr>
      <w:r>
        <w:rPr>
          <w:color w:val="auto"/>
          <w:szCs w:val="21"/>
        </w:rPr>
        <w:t>对破碎的中、微风化岩体地基承载力，可采用现场载荷试验或点荷载试验确定。无法试验时，可在表中下限值的基础上，根据工程经验进行折减降低使用。</w:t>
      </w:r>
    </w:p>
    <w:p w14:paraId="77499050">
      <w:pPr>
        <w:snapToGrid w:val="0"/>
        <w:spacing w:line="360" w:lineRule="atLeast"/>
        <w:ind w:firstLine="420" w:firstLineChars="200"/>
        <w:rPr>
          <w:color w:val="auto"/>
          <w:szCs w:val="21"/>
        </w:rPr>
      </w:pPr>
      <w:r>
        <w:rPr>
          <w:color w:val="auto"/>
          <w:szCs w:val="21"/>
        </w:rPr>
        <w:t>对施工条件差、遇水软化的软质岩石，表中数值应适当降低。</w:t>
      </w:r>
    </w:p>
    <w:p w14:paraId="3A3A7C15">
      <w:pPr>
        <w:snapToGrid w:val="0"/>
        <w:spacing w:line="360" w:lineRule="atLeast"/>
        <w:ind w:firstLine="420" w:firstLineChars="200"/>
        <w:rPr>
          <w:color w:val="auto"/>
          <w:szCs w:val="21"/>
        </w:rPr>
      </w:pPr>
      <w:r>
        <w:rPr>
          <w:color w:val="auto"/>
          <w:szCs w:val="21"/>
        </w:rPr>
        <w:t>强风化岩石地基承载力按照风化后的同类土考虑，基本上沿用DB</w:t>
      </w:r>
      <w:r>
        <w:rPr>
          <w:rFonts w:hint="eastAsia"/>
          <w:color w:val="auto"/>
          <w:szCs w:val="21"/>
          <w:lang w:val="en-US" w:eastAsia="zh-CN"/>
        </w:rPr>
        <w:t xml:space="preserve"> </w:t>
      </w:r>
      <w:r>
        <w:rPr>
          <w:color w:val="auto"/>
          <w:szCs w:val="21"/>
        </w:rPr>
        <w:t>42/169-2003</w:t>
      </w:r>
      <w:r>
        <w:rPr>
          <w:rFonts w:hint="eastAsia"/>
          <w:color w:val="auto"/>
          <w:szCs w:val="21"/>
          <w:lang w:val="en-US" w:eastAsia="zh-CN"/>
        </w:rPr>
        <w:t>=</w:t>
      </w:r>
      <w:r>
        <w:rPr>
          <w:color w:val="auto"/>
          <w:szCs w:val="21"/>
        </w:rPr>
        <w:t>版本的资料，根据地区强风化岩石载荷试验资料做了局部调整。</w:t>
      </w:r>
    </w:p>
    <w:p w14:paraId="139ABB39">
      <w:pPr>
        <w:snapToGrid w:val="0"/>
        <w:spacing w:line="360" w:lineRule="atLeast"/>
        <w:ind w:firstLine="390"/>
        <w:rPr>
          <w:color w:val="auto"/>
          <w:szCs w:val="21"/>
        </w:rPr>
      </w:pPr>
      <w:r>
        <w:rPr>
          <w:color w:val="auto"/>
          <w:szCs w:val="21"/>
        </w:rPr>
        <w:t>为确保岩石地基的设计可靠性，必须确定基底一定深度内岩体性状。此外，在基底应力扩散范围内可能埋藏有相对软弱夹层，甚至存在洞隙，应引起足够重视。岩层表面往往起伏不平，有隐伏沟槽存在，特别在碳酸盐岩石地区，岩面石芽、溶槽密布，应在基底近旁或应力扩散范围内无岩体临空面存在，确保基底岩体的稳定性。</w:t>
      </w:r>
    </w:p>
    <w:p w14:paraId="7FA76304">
      <w:pPr>
        <w:snapToGrid w:val="0"/>
        <w:spacing w:line="360" w:lineRule="atLeast"/>
        <w:ind w:firstLine="413" w:firstLineChars="196"/>
        <w:rPr>
          <w:color w:val="auto"/>
          <w:szCs w:val="21"/>
        </w:rPr>
      </w:pPr>
      <w:r>
        <w:rPr>
          <w:b/>
          <w:color w:val="auto"/>
          <w:szCs w:val="21"/>
        </w:rPr>
        <w:t xml:space="preserve">d)  </w:t>
      </w:r>
      <w:r>
        <w:rPr>
          <w:color w:val="auto"/>
          <w:szCs w:val="21"/>
        </w:rPr>
        <w:t>表E.3粉土承载力特征值</w:t>
      </w:r>
      <w:r>
        <w:rPr>
          <w:i/>
          <w:color w:val="auto"/>
          <w:szCs w:val="21"/>
        </w:rPr>
        <w:t>f</w:t>
      </w:r>
      <w:r>
        <w:rPr>
          <w:color w:val="auto"/>
          <w:szCs w:val="21"/>
          <w:vertAlign w:val="subscript"/>
        </w:rPr>
        <w:t>ak</w:t>
      </w:r>
      <w:r>
        <w:rPr>
          <w:color w:val="auto"/>
          <w:szCs w:val="21"/>
        </w:rPr>
        <w:t>引自湖北工作规程2003年版表P.0.22，该表根据武汉地区23组载荷试验资料，得下列方程，经调整后给出的：</w:t>
      </w:r>
    </w:p>
    <w:p w14:paraId="52637FD9">
      <w:pPr>
        <w:snapToGrid w:val="0"/>
        <w:spacing w:line="360" w:lineRule="atLeast"/>
        <w:ind w:left="206" w:leftChars="98" w:firstLine="1890" w:firstLineChars="900"/>
        <w:rPr>
          <w:color w:val="auto"/>
          <w:szCs w:val="21"/>
        </w:rPr>
      </w:pPr>
      <w:r>
        <w:rPr>
          <w:i/>
          <w:color w:val="auto"/>
          <w:szCs w:val="21"/>
        </w:rPr>
        <w:t>f</w:t>
      </w:r>
      <w:r>
        <w:rPr>
          <w:color w:val="auto"/>
          <w:szCs w:val="21"/>
          <w:vertAlign w:val="subscript"/>
        </w:rPr>
        <w:t xml:space="preserve">0 </w:t>
      </w:r>
      <w:r>
        <w:rPr>
          <w:color w:val="auto"/>
          <w:szCs w:val="21"/>
        </w:rPr>
        <w:t>=43.07</w:t>
      </w:r>
      <w:r>
        <w:rPr>
          <w:i/>
          <w:color w:val="auto"/>
          <w:szCs w:val="21"/>
        </w:rPr>
        <w:t>e</w:t>
      </w:r>
      <w:r>
        <w:rPr>
          <w:color w:val="auto"/>
          <w:szCs w:val="21"/>
        </w:rPr>
        <w:t xml:space="preserve"> </w:t>
      </w:r>
      <w:r>
        <w:rPr>
          <w:color w:val="auto"/>
          <w:szCs w:val="21"/>
          <w:vertAlign w:val="superscript"/>
        </w:rPr>
        <w:t>-1.734</w:t>
      </w:r>
      <w:r>
        <w:rPr>
          <w:color w:val="auto"/>
          <w:szCs w:val="21"/>
        </w:rPr>
        <w:t>·</w:t>
      </w:r>
      <w:r>
        <w:rPr>
          <w:i/>
          <w:color w:val="auto"/>
          <w:szCs w:val="21"/>
        </w:rPr>
        <w:t>W</w:t>
      </w:r>
      <w:r>
        <w:rPr>
          <w:color w:val="auto"/>
          <w:szCs w:val="21"/>
        </w:rPr>
        <w:t xml:space="preserve"> </w:t>
      </w:r>
      <w:r>
        <w:rPr>
          <w:color w:val="auto"/>
          <w:szCs w:val="21"/>
          <w:vertAlign w:val="superscript"/>
        </w:rPr>
        <w:t>-0.724</w:t>
      </w:r>
      <w:r>
        <w:rPr>
          <w:color w:val="auto"/>
          <w:szCs w:val="21"/>
        </w:rPr>
        <w:t xml:space="preserve">   ,  </w:t>
      </w:r>
      <w:r>
        <w:rPr>
          <w:i/>
          <w:color w:val="auto"/>
          <w:szCs w:val="21"/>
        </w:rPr>
        <w:t xml:space="preserve">r </w:t>
      </w:r>
      <w:r>
        <w:rPr>
          <w:color w:val="auto"/>
          <w:szCs w:val="21"/>
        </w:rPr>
        <w:t>=0.86</w:t>
      </w:r>
    </w:p>
    <w:p w14:paraId="33BA4B77">
      <w:pPr>
        <w:snapToGrid w:val="0"/>
        <w:spacing w:line="360" w:lineRule="atLeast"/>
        <w:jc w:val="left"/>
        <w:rPr>
          <w:color w:val="auto"/>
          <w:szCs w:val="21"/>
        </w:rPr>
      </w:pPr>
      <w:r>
        <w:rPr>
          <w:i/>
          <w:color w:val="auto"/>
          <w:szCs w:val="21"/>
        </w:rPr>
        <w:t>f</w:t>
      </w:r>
      <w:r>
        <w:rPr>
          <w:color w:val="auto"/>
          <w:szCs w:val="21"/>
          <w:vertAlign w:val="subscript"/>
        </w:rPr>
        <w:t>0</w:t>
      </w:r>
      <w:r>
        <w:rPr>
          <w:color w:val="auto"/>
          <w:szCs w:val="21"/>
        </w:rPr>
        <w:t>单位为</w:t>
      </w:r>
      <w:r>
        <w:rPr>
          <w:rFonts w:hint="eastAsia"/>
          <w:color w:val="auto"/>
          <w:szCs w:val="21"/>
        </w:rPr>
        <w:t>k</w:t>
      </w:r>
      <w:r>
        <w:rPr>
          <w:color w:val="auto"/>
          <w:szCs w:val="21"/>
        </w:rPr>
        <w:t>Pa（以下同）</w:t>
      </w:r>
    </w:p>
    <w:p w14:paraId="0CE634AC">
      <w:pPr>
        <w:snapToGrid w:val="0"/>
        <w:spacing w:line="360" w:lineRule="atLeast"/>
        <w:jc w:val="left"/>
        <w:rPr>
          <w:color w:val="auto"/>
          <w:szCs w:val="21"/>
        </w:rPr>
      </w:pPr>
      <w:r>
        <w:rPr>
          <w:color w:val="auto"/>
          <w:szCs w:val="21"/>
        </w:rPr>
        <w:t xml:space="preserve">    </w:t>
      </w:r>
      <w:r>
        <w:rPr>
          <w:b/>
          <w:color w:val="auto"/>
          <w:szCs w:val="21"/>
        </w:rPr>
        <w:t>e)</w:t>
      </w:r>
      <w:r>
        <w:rPr>
          <w:color w:val="auto"/>
          <w:szCs w:val="21"/>
        </w:rPr>
        <w:t xml:space="preserve">  表E.4一般黏性土承载力特征值 </w:t>
      </w:r>
      <w:r>
        <w:rPr>
          <w:i/>
          <w:color w:val="auto"/>
          <w:szCs w:val="21"/>
        </w:rPr>
        <w:t>f</w:t>
      </w:r>
      <w:r>
        <w:rPr>
          <w:color w:val="auto"/>
          <w:szCs w:val="21"/>
          <w:vertAlign w:val="subscript"/>
        </w:rPr>
        <w:t>ak</w:t>
      </w:r>
      <w:r>
        <w:rPr>
          <w:color w:val="auto"/>
          <w:szCs w:val="21"/>
        </w:rPr>
        <w:t>，引自湖北工作规程2003年版表P.0.11，该表根据武汉地区45组载荷试验资料，得下列方程，经调整后给出的：</w:t>
      </w:r>
    </w:p>
    <w:p w14:paraId="7F57A4FD">
      <w:pPr>
        <w:snapToGrid w:val="0"/>
        <w:spacing w:line="360" w:lineRule="atLeast"/>
        <w:ind w:firstLine="1890" w:firstLineChars="900"/>
        <w:rPr>
          <w:color w:val="auto"/>
          <w:szCs w:val="21"/>
        </w:rPr>
      </w:pPr>
      <w:r>
        <w:rPr>
          <w:i/>
          <w:color w:val="auto"/>
          <w:szCs w:val="21"/>
        </w:rPr>
        <w:t>f</w:t>
      </w:r>
      <w:r>
        <w:rPr>
          <w:color w:val="auto"/>
          <w:szCs w:val="21"/>
          <w:vertAlign w:val="subscript"/>
        </w:rPr>
        <w:t xml:space="preserve">0 </w:t>
      </w:r>
      <w:r>
        <w:rPr>
          <w:color w:val="auto"/>
          <w:szCs w:val="21"/>
        </w:rPr>
        <w:t>= 176.68</w:t>
      </w:r>
      <w:r>
        <w:rPr>
          <w:i/>
          <w:color w:val="auto"/>
          <w:szCs w:val="21"/>
        </w:rPr>
        <w:t>e</w:t>
      </w:r>
      <w:r>
        <w:rPr>
          <w:i/>
          <w:color w:val="auto"/>
          <w:szCs w:val="21"/>
          <w:vertAlign w:val="superscript"/>
        </w:rPr>
        <w:t>-1.3725</w:t>
      </w:r>
      <w:r>
        <w:rPr>
          <w:color w:val="auto"/>
          <w:szCs w:val="21"/>
          <w:vertAlign w:val="superscript"/>
        </w:rPr>
        <w:t xml:space="preserve"> </w:t>
      </w:r>
      <w:r>
        <w:rPr>
          <w:color w:val="auto"/>
          <w:szCs w:val="21"/>
        </w:rPr>
        <w:t>·(</w:t>
      </w:r>
      <w:r>
        <w:rPr>
          <w:i/>
          <w:color w:val="auto"/>
          <w:szCs w:val="21"/>
        </w:rPr>
        <w:t>I</w:t>
      </w:r>
      <w:r>
        <w:rPr>
          <w:color w:val="auto"/>
          <w:szCs w:val="21"/>
          <w:vertAlign w:val="subscript"/>
        </w:rPr>
        <w:t>L</w:t>
      </w:r>
      <w:r>
        <w:rPr>
          <w:i/>
          <w:color w:val="auto"/>
          <w:szCs w:val="21"/>
        </w:rPr>
        <w:t xml:space="preserve"> </w:t>
      </w:r>
      <w:r>
        <w:rPr>
          <w:color w:val="auto"/>
          <w:szCs w:val="21"/>
        </w:rPr>
        <w:t>+1)</w:t>
      </w:r>
      <w:r>
        <w:rPr>
          <w:color w:val="auto"/>
          <w:szCs w:val="21"/>
          <w:vertAlign w:val="superscript"/>
        </w:rPr>
        <w:t>-0.452</w:t>
      </w:r>
      <w:r>
        <w:rPr>
          <w:color w:val="auto"/>
          <w:szCs w:val="21"/>
        </w:rPr>
        <w:t xml:space="preserve">,  </w:t>
      </w:r>
      <w:r>
        <w:rPr>
          <w:i/>
          <w:color w:val="auto"/>
          <w:szCs w:val="21"/>
        </w:rPr>
        <w:t xml:space="preserve">r </w:t>
      </w:r>
      <w:r>
        <w:rPr>
          <w:color w:val="auto"/>
          <w:szCs w:val="21"/>
        </w:rPr>
        <w:t>=0.86</w:t>
      </w:r>
    </w:p>
    <w:p w14:paraId="0588825E">
      <w:pPr>
        <w:snapToGrid w:val="0"/>
        <w:spacing w:line="360" w:lineRule="atLeast"/>
        <w:ind w:firstLine="420" w:firstLineChars="200"/>
        <w:rPr>
          <w:color w:val="auto"/>
          <w:szCs w:val="21"/>
        </w:rPr>
      </w:pPr>
      <w:r>
        <w:rPr>
          <w:color w:val="auto"/>
          <w:szCs w:val="21"/>
        </w:rPr>
        <w:t>为使其他同类土表与表之间的相互衔接，对该表中数值作了微调。</w:t>
      </w:r>
    </w:p>
    <w:p w14:paraId="716F5F5B">
      <w:pPr>
        <w:snapToGrid w:val="0"/>
        <w:spacing w:line="360" w:lineRule="atLeast"/>
        <w:ind w:firstLine="413" w:firstLineChars="196"/>
        <w:rPr>
          <w:color w:val="auto"/>
          <w:szCs w:val="21"/>
        </w:rPr>
      </w:pPr>
      <w:r>
        <w:rPr>
          <w:b/>
          <w:color w:val="auto"/>
          <w:szCs w:val="21"/>
        </w:rPr>
        <w:t>f)</w:t>
      </w:r>
      <w:r>
        <w:rPr>
          <w:color w:val="auto"/>
          <w:szCs w:val="21"/>
        </w:rPr>
        <w:t xml:space="preserve">  表E.6老黏性土承载力特征值</w:t>
      </w:r>
      <w:r>
        <w:rPr>
          <w:i/>
          <w:color w:val="auto"/>
          <w:szCs w:val="21"/>
        </w:rPr>
        <w:t>f</w:t>
      </w:r>
      <w:r>
        <w:rPr>
          <w:color w:val="auto"/>
          <w:szCs w:val="21"/>
          <w:vertAlign w:val="subscript"/>
        </w:rPr>
        <w:t>ak</w:t>
      </w:r>
      <w:r>
        <w:rPr>
          <w:color w:val="auto"/>
          <w:szCs w:val="21"/>
        </w:rPr>
        <w:t>系根据武汉地区24组载荷试验资料，得下列方程，经调整后给出的：</w:t>
      </w:r>
    </w:p>
    <w:p w14:paraId="2793CAC1">
      <w:pPr>
        <w:snapToGrid w:val="0"/>
        <w:spacing w:line="360" w:lineRule="atLeast"/>
        <w:ind w:firstLine="735" w:firstLineChars="350"/>
        <w:rPr>
          <w:color w:val="auto"/>
          <w:szCs w:val="21"/>
        </w:rPr>
      </w:pPr>
      <w:r>
        <w:rPr>
          <w:color w:val="auto"/>
          <w:szCs w:val="21"/>
        </w:rPr>
        <w:t xml:space="preserve">                     </w:t>
      </w:r>
      <w:r>
        <w:rPr>
          <w:i/>
          <w:color w:val="auto"/>
          <w:szCs w:val="21"/>
        </w:rPr>
        <w:t>f</w:t>
      </w:r>
      <w:r>
        <w:rPr>
          <w:color w:val="auto"/>
          <w:szCs w:val="21"/>
          <w:vertAlign w:val="subscript"/>
        </w:rPr>
        <w:t xml:space="preserve">0 </w:t>
      </w:r>
      <w:r>
        <w:rPr>
          <w:color w:val="auto"/>
          <w:szCs w:val="21"/>
        </w:rPr>
        <w:t>= 216</w:t>
      </w:r>
      <w:r>
        <w:rPr>
          <w:i/>
          <w:color w:val="auto"/>
          <w:szCs w:val="21"/>
        </w:rPr>
        <w:t>d</w:t>
      </w:r>
      <w:r>
        <w:rPr>
          <w:color w:val="auto"/>
          <w:szCs w:val="21"/>
          <w:vertAlign w:val="subscript"/>
        </w:rPr>
        <w:t>w</w:t>
      </w:r>
      <w:r>
        <w:rPr>
          <w:color w:val="auto"/>
          <w:szCs w:val="21"/>
          <w:vertAlign w:val="superscript"/>
        </w:rPr>
        <w:t>-1.483</w:t>
      </w:r>
      <w:r>
        <w:rPr>
          <w:color w:val="auto"/>
          <w:szCs w:val="21"/>
        </w:rPr>
        <w:t xml:space="preserve">，  </w:t>
      </w:r>
      <w:r>
        <w:rPr>
          <w:i/>
          <w:color w:val="auto"/>
          <w:szCs w:val="21"/>
        </w:rPr>
        <w:t>r</w:t>
      </w:r>
      <w:r>
        <w:rPr>
          <w:color w:val="auto"/>
          <w:szCs w:val="21"/>
        </w:rPr>
        <w:t>=</w:t>
      </w:r>
      <w:r>
        <w:rPr>
          <w:rFonts w:hint="eastAsia"/>
          <w:color w:val="auto"/>
          <w:szCs w:val="21"/>
        </w:rPr>
        <w:t xml:space="preserve"> -</w:t>
      </w:r>
      <w:r>
        <w:rPr>
          <w:color w:val="auto"/>
          <w:szCs w:val="21"/>
        </w:rPr>
        <w:t>0.69</w:t>
      </w:r>
    </w:p>
    <w:p w14:paraId="519A5E78">
      <w:pPr>
        <w:snapToGrid w:val="0"/>
        <w:spacing w:line="360" w:lineRule="atLeast"/>
        <w:ind w:firstLine="413" w:firstLineChars="196"/>
        <w:rPr>
          <w:color w:val="auto"/>
          <w:szCs w:val="21"/>
        </w:rPr>
      </w:pPr>
      <w:r>
        <w:rPr>
          <w:rFonts w:hint="eastAsia"/>
          <w:b/>
          <w:color w:val="auto"/>
          <w:szCs w:val="21"/>
        </w:rPr>
        <w:t>g</w:t>
      </w:r>
      <w:r>
        <w:rPr>
          <w:b/>
          <w:color w:val="auto"/>
          <w:szCs w:val="21"/>
        </w:rPr>
        <w:t xml:space="preserve">) </w:t>
      </w:r>
      <w:r>
        <w:rPr>
          <w:color w:val="auto"/>
          <w:szCs w:val="21"/>
        </w:rPr>
        <w:t xml:space="preserve"> 表E.7淤泥和淤泥质土承载力特征值</w:t>
      </w:r>
      <w:r>
        <w:rPr>
          <w:i/>
          <w:color w:val="auto"/>
          <w:szCs w:val="21"/>
        </w:rPr>
        <w:t>f</w:t>
      </w:r>
      <w:r>
        <w:rPr>
          <w:color w:val="auto"/>
          <w:szCs w:val="21"/>
          <w:vertAlign w:val="subscript"/>
        </w:rPr>
        <w:t>ak</w:t>
      </w:r>
      <w:r>
        <w:rPr>
          <w:color w:val="auto"/>
          <w:szCs w:val="21"/>
        </w:rPr>
        <w:t>、表E.5新近沉积黏性土承载力</w:t>
      </w:r>
      <w:r>
        <w:rPr>
          <w:i/>
          <w:color w:val="auto"/>
          <w:szCs w:val="21"/>
        </w:rPr>
        <w:t>f</w:t>
      </w:r>
      <w:r>
        <w:rPr>
          <w:color w:val="auto"/>
          <w:szCs w:val="21"/>
          <w:vertAlign w:val="subscript"/>
        </w:rPr>
        <w:t>ak</w:t>
      </w:r>
      <w:r>
        <w:rPr>
          <w:color w:val="auto"/>
          <w:szCs w:val="21"/>
        </w:rPr>
        <w:t>、表E.19、表E.20填土承载力特征值均沿用2003版工作规程。</w:t>
      </w:r>
    </w:p>
    <w:p w14:paraId="7EF60688">
      <w:pPr>
        <w:snapToGrid w:val="0"/>
        <w:spacing w:line="360" w:lineRule="atLeast"/>
        <w:ind w:firstLine="413" w:firstLineChars="196"/>
        <w:rPr>
          <w:color w:val="auto"/>
          <w:szCs w:val="21"/>
        </w:rPr>
      </w:pPr>
      <w:r>
        <w:rPr>
          <w:b/>
          <w:color w:val="auto"/>
          <w:szCs w:val="21"/>
        </w:rPr>
        <w:t>h)</w:t>
      </w:r>
      <w:r>
        <w:rPr>
          <w:color w:val="auto"/>
          <w:szCs w:val="21"/>
        </w:rPr>
        <w:t xml:space="preserve">  表E.8红黏土承载力特征值</w:t>
      </w:r>
    </w:p>
    <w:p w14:paraId="4CA375F8">
      <w:pPr>
        <w:snapToGrid w:val="0"/>
        <w:spacing w:line="360" w:lineRule="atLeast"/>
        <w:ind w:firstLine="420" w:firstLineChars="200"/>
        <w:rPr>
          <w:color w:val="auto"/>
          <w:szCs w:val="21"/>
        </w:rPr>
      </w:pPr>
      <w:r>
        <w:rPr>
          <w:color w:val="auto"/>
          <w:szCs w:val="21"/>
        </w:rPr>
        <w:t>红黏土承载力表是引用J</w:t>
      </w:r>
      <w:r>
        <w:rPr>
          <w:rFonts w:hint="eastAsia"/>
          <w:color w:val="auto"/>
          <w:szCs w:val="21"/>
          <w:lang w:val="en-US" w:eastAsia="zh-CN"/>
        </w:rPr>
        <w:t xml:space="preserve"> </w:t>
      </w:r>
      <w:r>
        <w:rPr>
          <w:color w:val="auto"/>
          <w:szCs w:val="21"/>
        </w:rPr>
        <w:t>464-2005</w:t>
      </w:r>
      <w:r>
        <w:rPr>
          <w:rFonts w:hint="eastAsia"/>
          <w:color w:val="auto"/>
          <w:szCs w:val="21"/>
          <w:lang w:val="en-US" w:eastAsia="zh-CN"/>
        </w:rPr>
        <w:t xml:space="preserve"> </w:t>
      </w:r>
      <w:r>
        <w:rPr>
          <w:color w:val="auto"/>
          <w:szCs w:val="21"/>
        </w:rPr>
        <w:t>,利用58份原位测试成果依据相关关系</w:t>
      </w:r>
      <w:r>
        <w:rPr>
          <w:color w:val="auto"/>
          <w:szCs w:val="21"/>
        </w:rPr>
        <w:object>
          <v:shape id="_x0000_i1898" o:spt="75" type="#_x0000_t75" style="height:13.95pt;width:11pt;" o:ole="t" filled="f" o:preferrelative="t" stroked="f" coordsize="21600,21600">
            <v:path/>
            <v:fill on="f" focussize="0,0"/>
            <v:stroke on="f"/>
            <v:imagedata r:id="rId1686" o:title=""/>
            <o:lock v:ext="edit" grouping="f" rotation="f" text="f" aspectratio="t"/>
            <w10:wrap type="none"/>
            <w10:anchorlock/>
          </v:shape>
          <o:OLEObject Type="Embed" ProgID="Equation.3" ShapeID="_x0000_i1898" DrawAspect="Content" ObjectID="_1468076598" r:id="rId1685">
            <o:LockedField>false</o:LockedField>
          </o:OLEObject>
        </w:object>
      </w:r>
      <w:r>
        <w:rPr>
          <w:color w:val="auto"/>
          <w:szCs w:val="21"/>
        </w:rPr>
        <w:t>0=85.73</w:t>
      </w:r>
      <w:r>
        <w:rPr>
          <w:i/>
          <w:color w:val="auto"/>
          <w:szCs w:val="21"/>
        </w:rPr>
        <w:t>E</w:t>
      </w:r>
      <w:r>
        <w:rPr>
          <w:color w:val="auto"/>
          <w:szCs w:val="21"/>
          <w:vertAlign w:val="subscript"/>
        </w:rPr>
        <w:t>s</w:t>
      </w:r>
      <w:r>
        <w:rPr>
          <w:color w:val="auto"/>
          <w:szCs w:val="21"/>
          <w:vertAlign w:val="superscript"/>
        </w:rPr>
        <w:t>0.4</w:t>
      </w:r>
      <w:r>
        <w:rPr>
          <w:color w:val="auto"/>
          <w:szCs w:val="21"/>
        </w:rPr>
        <w:t>、r=0.76建立的表。</w:t>
      </w:r>
    </w:p>
    <w:p w14:paraId="1E68D812">
      <w:pPr>
        <w:snapToGrid w:val="0"/>
        <w:spacing w:line="360" w:lineRule="atLeast"/>
        <w:ind w:firstLine="420" w:firstLineChars="200"/>
        <w:rPr>
          <w:color w:val="auto"/>
          <w:szCs w:val="21"/>
        </w:rPr>
      </w:pPr>
      <w:r>
        <w:rPr>
          <w:color w:val="auto"/>
          <w:szCs w:val="21"/>
        </w:rPr>
        <w:t>主要为西南地区的红黏土</w:t>
      </w:r>
      <w:r>
        <w:rPr>
          <w:rFonts w:hint="eastAsia"/>
          <w:color w:val="auto"/>
          <w:szCs w:val="21"/>
          <w:lang w:eastAsia="zh-CN"/>
        </w:rPr>
        <w:t>，</w:t>
      </w:r>
      <w:r>
        <w:rPr>
          <w:color w:val="auto"/>
          <w:szCs w:val="21"/>
        </w:rPr>
        <w:t>还有东北花岗岩残积土、江西页岩、砂岩残积土等。</w:t>
      </w:r>
    </w:p>
    <w:p w14:paraId="635794AF">
      <w:pPr>
        <w:snapToGrid w:val="0"/>
        <w:spacing w:line="360" w:lineRule="atLeast"/>
        <w:ind w:firstLine="420" w:firstLineChars="200"/>
        <w:rPr>
          <w:color w:val="auto"/>
          <w:szCs w:val="21"/>
        </w:rPr>
      </w:pPr>
      <w:r>
        <w:rPr>
          <w:rFonts w:hint="eastAsia"/>
          <w:color w:val="auto"/>
          <w:szCs w:val="21"/>
        </w:rPr>
        <w:t>2</w:t>
      </w:r>
      <w:r>
        <w:rPr>
          <w:color w:val="auto"/>
          <w:szCs w:val="21"/>
        </w:rPr>
        <w:t>003版表E.0.1-8利用含水比确定红黏土承载力表，根据多年来工程实践证明，明显偏低，予以删除。湖北地区的红黏土多分布在超固结的老黏土层以下，其承载力值相对比较高，采用</w:t>
      </w:r>
      <w:r>
        <w:rPr>
          <w:i/>
          <w:color w:val="auto"/>
          <w:szCs w:val="21"/>
        </w:rPr>
        <w:t>E</w:t>
      </w:r>
      <w:r>
        <w:rPr>
          <w:color w:val="auto"/>
          <w:szCs w:val="21"/>
          <w:vertAlign w:val="subscript"/>
        </w:rPr>
        <w:t>s</w:t>
      </w:r>
      <w:r>
        <w:rPr>
          <w:color w:val="auto"/>
          <w:szCs w:val="21"/>
        </w:rPr>
        <w:t>值确定</w:t>
      </w:r>
      <w:r>
        <w:rPr>
          <w:i/>
          <w:color w:val="auto"/>
          <w:szCs w:val="21"/>
        </w:rPr>
        <w:t>f</w:t>
      </w:r>
      <w:r>
        <w:rPr>
          <w:color w:val="auto"/>
          <w:szCs w:val="21"/>
          <w:vertAlign w:val="subscript"/>
        </w:rPr>
        <w:t>ak</w:t>
      </w:r>
      <w:r>
        <w:rPr>
          <w:color w:val="auto"/>
          <w:szCs w:val="21"/>
        </w:rPr>
        <w:t>值较为合理。</w:t>
      </w:r>
    </w:p>
    <w:p w14:paraId="474E7EB7">
      <w:pPr>
        <w:snapToGrid w:val="0"/>
        <w:spacing w:line="360" w:lineRule="atLeast"/>
        <w:ind w:firstLine="211" w:firstLineChars="100"/>
        <w:rPr>
          <w:color w:val="auto"/>
          <w:szCs w:val="21"/>
        </w:rPr>
      </w:pPr>
      <w:r>
        <w:rPr>
          <w:b/>
          <w:color w:val="auto"/>
          <w:szCs w:val="21"/>
        </w:rPr>
        <w:t xml:space="preserve">i) </w:t>
      </w:r>
      <w:r>
        <w:rPr>
          <w:color w:val="auto"/>
          <w:szCs w:val="21"/>
        </w:rPr>
        <w:t xml:space="preserve"> 表E.10、表E.22花岗岩残积土承载力特征值</w:t>
      </w:r>
    </w:p>
    <w:p w14:paraId="144EB258">
      <w:pPr>
        <w:snapToGrid w:val="0"/>
        <w:spacing w:line="360" w:lineRule="atLeast"/>
        <w:ind w:firstLine="420" w:firstLineChars="200"/>
        <w:rPr>
          <w:b/>
          <w:color w:val="auto"/>
          <w:szCs w:val="21"/>
        </w:rPr>
      </w:pPr>
      <w:r>
        <w:rPr>
          <w:color w:val="auto"/>
          <w:szCs w:val="21"/>
        </w:rPr>
        <w:t>花岗岩残积土承载力特征值表，按深圳市SJG</w:t>
      </w:r>
      <w:r>
        <w:rPr>
          <w:rFonts w:hint="eastAsia"/>
          <w:color w:val="auto"/>
          <w:szCs w:val="21"/>
          <w:lang w:val="en-US" w:eastAsia="zh-CN"/>
        </w:rPr>
        <w:t xml:space="preserve"> </w:t>
      </w:r>
      <w:r>
        <w:rPr>
          <w:color w:val="auto"/>
          <w:szCs w:val="21"/>
        </w:rPr>
        <w:t>01-2010</w:t>
      </w:r>
      <w:r>
        <w:rPr>
          <w:rFonts w:hint="eastAsia"/>
          <w:color w:val="auto"/>
          <w:szCs w:val="21"/>
          <w:lang w:val="en-US" w:eastAsia="zh-CN"/>
        </w:rPr>
        <w:t>=</w:t>
      </w:r>
      <w:r>
        <w:rPr>
          <w:color w:val="auto"/>
          <w:szCs w:val="21"/>
        </w:rPr>
        <w:t>进行了局部调整。</w:t>
      </w:r>
    </w:p>
    <w:p w14:paraId="3F3B4082">
      <w:pPr>
        <w:snapToGrid w:val="0"/>
        <w:spacing w:line="360" w:lineRule="atLeast"/>
        <w:ind w:firstLine="211" w:firstLineChars="100"/>
        <w:rPr>
          <w:color w:val="auto"/>
          <w:szCs w:val="21"/>
        </w:rPr>
      </w:pPr>
      <w:r>
        <w:rPr>
          <w:b/>
          <w:color w:val="auto"/>
          <w:szCs w:val="21"/>
        </w:rPr>
        <w:t xml:space="preserve">j)  </w:t>
      </w:r>
      <w:r>
        <w:rPr>
          <w:color w:val="auto"/>
          <w:szCs w:val="21"/>
        </w:rPr>
        <w:t>砂类土承载力特征值表</w:t>
      </w:r>
    </w:p>
    <w:p w14:paraId="0383AD7C">
      <w:pPr>
        <w:snapToGrid w:val="0"/>
        <w:spacing w:line="360" w:lineRule="atLeast"/>
        <w:ind w:firstLine="420" w:firstLineChars="200"/>
        <w:rPr>
          <w:color w:val="auto"/>
          <w:szCs w:val="21"/>
        </w:rPr>
      </w:pPr>
      <w:r>
        <w:rPr>
          <w:color w:val="auto"/>
          <w:szCs w:val="21"/>
        </w:rPr>
        <w:t>表E.13砂类土承载力特征值系根据武汉地区静力触探联合试验小组对中粗砂、粉细砂进行45组载荷试验资料，得到下列基本方程，经调整后给出的：</w:t>
      </w:r>
    </w:p>
    <w:p w14:paraId="17F291DA">
      <w:pPr>
        <w:snapToGrid w:val="0"/>
        <w:spacing w:line="360" w:lineRule="atLeast"/>
        <w:ind w:firstLine="2415" w:firstLineChars="1150"/>
        <w:rPr>
          <w:color w:val="auto"/>
          <w:szCs w:val="21"/>
        </w:rPr>
      </w:pPr>
      <w:r>
        <w:rPr>
          <w:color w:val="auto"/>
          <w:szCs w:val="21"/>
        </w:rPr>
        <w:t>中粗砂【R】=0.2381</w:t>
      </w:r>
      <w:r>
        <w:rPr>
          <w:i/>
          <w:color w:val="auto"/>
          <w:szCs w:val="21"/>
        </w:rPr>
        <w:t>p</w:t>
      </w:r>
      <w:r>
        <w:rPr>
          <w:color w:val="auto"/>
          <w:szCs w:val="21"/>
          <w:vertAlign w:val="subscript"/>
        </w:rPr>
        <w:t>s</w:t>
      </w:r>
      <w:r>
        <w:rPr>
          <w:color w:val="auto"/>
          <w:szCs w:val="21"/>
          <w:vertAlign w:val="superscript"/>
        </w:rPr>
        <w:t>0.64</w:t>
      </w:r>
      <w:r>
        <w:rPr>
          <w:color w:val="auto"/>
          <w:szCs w:val="21"/>
        </w:rPr>
        <w:t>-0.12</w:t>
      </w:r>
    </w:p>
    <w:p w14:paraId="4951A259">
      <w:pPr>
        <w:snapToGrid w:val="0"/>
        <w:spacing w:line="360" w:lineRule="atLeast"/>
        <w:ind w:firstLine="2415" w:firstLineChars="1150"/>
        <w:rPr>
          <w:color w:val="auto"/>
          <w:szCs w:val="21"/>
        </w:rPr>
      </w:pPr>
      <w:r>
        <w:rPr>
          <w:color w:val="auto"/>
          <w:szCs w:val="21"/>
        </w:rPr>
        <w:t>粉细砂【R】=0.0197</w:t>
      </w:r>
      <w:r>
        <w:rPr>
          <w:i/>
          <w:color w:val="auto"/>
          <w:szCs w:val="21"/>
        </w:rPr>
        <w:t>p</w:t>
      </w:r>
      <w:r>
        <w:rPr>
          <w:color w:val="auto"/>
          <w:szCs w:val="21"/>
          <w:vertAlign w:val="subscript"/>
        </w:rPr>
        <w:t>s</w:t>
      </w:r>
      <w:r>
        <w:rPr>
          <w:color w:val="auto"/>
          <w:szCs w:val="21"/>
        </w:rPr>
        <w:t xml:space="preserve"> +0.6559</w:t>
      </w:r>
    </w:p>
    <w:p w14:paraId="3F9923D3">
      <w:pPr>
        <w:snapToGrid w:val="0"/>
        <w:spacing w:line="360" w:lineRule="atLeast"/>
        <w:ind w:firstLine="420" w:firstLineChars="200"/>
        <w:rPr>
          <w:color w:val="auto"/>
          <w:szCs w:val="21"/>
        </w:rPr>
      </w:pPr>
      <w:r>
        <w:rPr>
          <w:color w:val="auto"/>
          <w:szCs w:val="21"/>
        </w:rPr>
        <w:t>式中R单位为</w:t>
      </w:r>
      <w:r>
        <w:rPr>
          <w:rFonts w:hint="eastAsia"/>
          <w:color w:val="auto"/>
          <w:szCs w:val="21"/>
        </w:rPr>
        <w:t>t</w:t>
      </w:r>
      <w:r>
        <w:rPr>
          <w:color w:val="auto"/>
          <w:szCs w:val="21"/>
        </w:rPr>
        <w:t>/</w:t>
      </w:r>
      <w:r>
        <w:rPr>
          <w:rFonts w:hint="eastAsia"/>
          <w:color w:val="auto"/>
          <w:szCs w:val="21"/>
        </w:rPr>
        <w:t>m</w:t>
      </w:r>
      <w:r>
        <w:rPr>
          <w:rFonts w:hint="eastAsia"/>
          <w:color w:val="auto"/>
          <w:szCs w:val="21"/>
          <w:vertAlign w:val="superscript"/>
        </w:rPr>
        <w:t>2</w:t>
      </w:r>
      <w:r>
        <w:rPr>
          <w:color w:val="auto"/>
          <w:szCs w:val="21"/>
        </w:rPr>
        <w:t>，</w:t>
      </w:r>
      <w:r>
        <w:rPr>
          <w:i/>
          <w:color w:val="auto"/>
          <w:szCs w:val="21"/>
        </w:rPr>
        <w:t>p</w:t>
      </w:r>
      <w:r>
        <w:rPr>
          <w:color w:val="auto"/>
          <w:szCs w:val="21"/>
          <w:vertAlign w:val="subscript"/>
        </w:rPr>
        <w:t>s</w:t>
      </w:r>
      <w:r>
        <w:rPr>
          <w:color w:val="auto"/>
          <w:szCs w:val="21"/>
        </w:rPr>
        <w:t>为kg/c</w:t>
      </w:r>
      <w:r>
        <w:rPr>
          <w:rFonts w:hint="eastAsia"/>
          <w:color w:val="auto"/>
          <w:szCs w:val="21"/>
        </w:rPr>
        <w:t>m</w:t>
      </w:r>
      <w:r>
        <w:rPr>
          <w:rFonts w:hint="eastAsia"/>
          <w:color w:val="auto"/>
          <w:szCs w:val="21"/>
          <w:vertAlign w:val="superscript"/>
        </w:rPr>
        <w:t>2</w:t>
      </w:r>
      <w:r>
        <w:rPr>
          <w:color w:val="auto"/>
          <w:szCs w:val="21"/>
        </w:rPr>
        <w:t>。</w:t>
      </w:r>
    </w:p>
    <w:p w14:paraId="03D45BC2">
      <w:pPr>
        <w:snapToGrid w:val="0"/>
        <w:spacing w:line="360" w:lineRule="atLeast"/>
        <w:ind w:firstLine="417" w:firstLineChars="198"/>
        <w:rPr>
          <w:color w:val="auto"/>
          <w:szCs w:val="21"/>
        </w:rPr>
      </w:pPr>
      <w:r>
        <w:rPr>
          <w:b/>
          <w:color w:val="auto"/>
          <w:szCs w:val="21"/>
        </w:rPr>
        <w:t>k)</w:t>
      </w:r>
      <w:r>
        <w:rPr>
          <w:color w:val="auto"/>
          <w:szCs w:val="21"/>
        </w:rPr>
        <w:t xml:space="preserve">  利用标贯试验成果确定地基参数时，以下几个问题需要说明：</w:t>
      </w:r>
    </w:p>
    <w:p w14:paraId="2A76032A">
      <w:pPr>
        <w:snapToGrid w:val="0"/>
        <w:spacing w:line="360" w:lineRule="atLeast"/>
        <w:ind w:firstLine="831" w:firstLineChars="394"/>
        <w:rPr>
          <w:color w:val="auto"/>
          <w:szCs w:val="21"/>
        </w:rPr>
      </w:pPr>
      <w:r>
        <w:rPr>
          <w:b/>
          <w:color w:val="auto"/>
          <w:szCs w:val="21"/>
        </w:rPr>
        <w:t>1）</w:t>
      </w:r>
      <w:r>
        <w:rPr>
          <w:color w:val="auto"/>
          <w:szCs w:val="21"/>
        </w:rPr>
        <w:t>关于标贯试验成果的修正问题,国外对N值的传统修正内容包括：饱和粉细砂的修正、地下水位的修正、土的上覆压力修正，国内长期以来并不考虑这些修正，而着重考虑杆长的修正，TJ</w:t>
      </w:r>
      <w:r>
        <w:rPr>
          <w:rFonts w:hint="eastAsia"/>
          <w:color w:val="auto"/>
          <w:szCs w:val="21"/>
          <w:lang w:val="en-US" w:eastAsia="zh-CN"/>
        </w:rPr>
        <w:t xml:space="preserve"> </w:t>
      </w:r>
      <w:r>
        <w:rPr>
          <w:color w:val="auto"/>
          <w:szCs w:val="21"/>
        </w:rPr>
        <w:t>7-74对标贯击数的杆长校正有过明确规定，并限制标贯的杆长小于21m，GBJ</w:t>
      </w:r>
      <w:r>
        <w:rPr>
          <w:rFonts w:hint="eastAsia"/>
          <w:color w:val="auto"/>
          <w:szCs w:val="21"/>
          <w:lang w:val="en-US" w:eastAsia="zh-CN"/>
        </w:rPr>
        <w:t xml:space="preserve"> </w:t>
      </w:r>
      <w:r>
        <w:rPr>
          <w:color w:val="auto"/>
          <w:szCs w:val="21"/>
        </w:rPr>
        <w:t>7-89规范对杆长的修正仍沿用TJ7-74规定，国外的一些规范（除日本外），均不考虑杆长的修正问题。</w:t>
      </w:r>
    </w:p>
    <w:p w14:paraId="6B815B4F">
      <w:pPr>
        <w:snapToGrid w:val="0"/>
        <w:spacing w:line="360" w:lineRule="atLeast"/>
        <w:ind w:firstLine="420" w:firstLineChars="200"/>
        <w:rPr>
          <w:color w:val="auto"/>
          <w:szCs w:val="21"/>
        </w:rPr>
      </w:pPr>
      <w:r>
        <w:rPr>
          <w:color w:val="auto"/>
          <w:szCs w:val="21"/>
        </w:rPr>
        <w:t>杆长修正实质上是考虑传输给探杆的锤击能量受杆长影响问题。按弹性杆件弹性波的波动理论表明:当杆长小于10m时，随着杆长的增长，有效能量是逐渐增大的，超过10m后，有效能量趋于定值。通过实测杆件的锤击应力波，发现锤击输给杆件的能量变化远大于杆长变化时能量的衰减。</w:t>
      </w:r>
    </w:p>
    <w:p w14:paraId="2367EE2E">
      <w:pPr>
        <w:snapToGrid w:val="0"/>
        <w:spacing w:line="360" w:lineRule="atLeast"/>
        <w:ind w:firstLine="420" w:firstLineChars="200"/>
        <w:rPr>
          <w:color w:val="auto"/>
          <w:szCs w:val="21"/>
        </w:rPr>
      </w:pPr>
      <w:r>
        <w:rPr>
          <w:color w:val="auto"/>
          <w:szCs w:val="21"/>
        </w:rPr>
        <w:t>据此，国家标准GB</w:t>
      </w:r>
      <w:r>
        <w:rPr>
          <w:rFonts w:hint="eastAsia"/>
          <w:color w:val="auto"/>
          <w:szCs w:val="21"/>
          <w:lang w:val="en-US" w:eastAsia="zh-CN"/>
        </w:rPr>
        <w:t xml:space="preserve"> </w:t>
      </w:r>
      <w:r>
        <w:rPr>
          <w:color w:val="auto"/>
          <w:szCs w:val="21"/>
        </w:rPr>
        <w:t>50021-94明确规定对标贯试验不作杆长修正， GB50021-2001规范仍保持这一规定不变。</w:t>
      </w:r>
    </w:p>
    <w:p w14:paraId="0D6D5B1E">
      <w:pPr>
        <w:snapToGrid w:val="0"/>
        <w:spacing w:line="360" w:lineRule="atLeast"/>
        <w:ind w:firstLine="420" w:firstLineChars="200"/>
        <w:rPr>
          <w:color w:val="auto"/>
          <w:szCs w:val="21"/>
        </w:rPr>
      </w:pPr>
      <w:r>
        <w:rPr>
          <w:color w:val="auto"/>
          <w:szCs w:val="21"/>
        </w:rPr>
        <w:t>考虑到本文件采用标贯试验估计土的物理力学指标或地基承载力时，统计回归的经验公式所依据的原始数据是未经修正的实测平均值，所以本文件规定的标贯试验成果中应采用不作杆长修正的</w:t>
      </w:r>
      <w:r>
        <w:rPr>
          <w:i/>
          <w:color w:val="auto"/>
          <w:szCs w:val="21"/>
        </w:rPr>
        <w:t>N</w:t>
      </w:r>
      <w:r>
        <w:rPr>
          <w:color w:val="auto"/>
          <w:szCs w:val="21"/>
        </w:rPr>
        <w:t>值。</w:t>
      </w:r>
    </w:p>
    <w:p w14:paraId="5127139D">
      <w:pPr>
        <w:snapToGrid w:val="0"/>
        <w:spacing w:line="360" w:lineRule="atLeast"/>
        <w:ind w:firstLine="831" w:firstLineChars="394"/>
        <w:rPr>
          <w:color w:val="auto"/>
          <w:szCs w:val="21"/>
        </w:rPr>
      </w:pPr>
      <w:r>
        <w:rPr>
          <w:b/>
          <w:color w:val="auto"/>
          <w:szCs w:val="21"/>
        </w:rPr>
        <w:t>2）</w:t>
      </w:r>
      <w:r>
        <w:rPr>
          <w:color w:val="auto"/>
          <w:szCs w:val="21"/>
        </w:rPr>
        <w:t>国内在70年代前，标贯试验的落锤方式基本上是采用手拉绳牵引进行标准贯入试验，由于绳索与滑轮的摩擦阻力及运转中绳索所引起的张力，消耗了一部分能量，减少了落锤的冲击能，使锤击数</w:t>
      </w:r>
      <w:r>
        <w:rPr>
          <w:i/>
          <w:color w:val="auto"/>
          <w:szCs w:val="21"/>
        </w:rPr>
        <w:t>N</w:t>
      </w:r>
      <w:r>
        <w:rPr>
          <w:color w:val="auto"/>
          <w:szCs w:val="21"/>
        </w:rPr>
        <w:t>增加：而自由落锤完全克服了上述缺点，能比较真实地反映土的性状。</w:t>
      </w:r>
    </w:p>
    <w:p w14:paraId="24F4930B">
      <w:pPr>
        <w:snapToGrid w:val="0"/>
        <w:spacing w:line="360" w:lineRule="atLeast"/>
        <w:ind w:firstLine="420" w:firstLineChars="200"/>
        <w:rPr>
          <w:color w:val="auto"/>
          <w:szCs w:val="21"/>
        </w:rPr>
      </w:pPr>
      <w:r>
        <w:rPr>
          <w:color w:val="auto"/>
          <w:szCs w:val="21"/>
        </w:rPr>
        <w:t>本文件规定标贯试验的落锤方式应采用自由落锤。而标贯试验与土的物理力学指标的统计关系中除残积土是采用自由落锤的</w:t>
      </w:r>
      <w:r>
        <w:rPr>
          <w:i/>
          <w:color w:val="auto"/>
          <w:szCs w:val="21"/>
        </w:rPr>
        <w:t>N</w:t>
      </w:r>
      <w:r>
        <w:rPr>
          <w:color w:val="auto"/>
          <w:szCs w:val="21"/>
        </w:rPr>
        <w:t>外，其他均依据手拉绳标贯试验的锤击数。</w:t>
      </w:r>
    </w:p>
    <w:p w14:paraId="1E5F2401">
      <w:pPr>
        <w:snapToGrid w:val="0"/>
        <w:spacing w:line="360" w:lineRule="atLeast"/>
        <w:ind w:firstLine="420" w:firstLineChars="200"/>
        <w:rPr>
          <w:color w:val="auto"/>
          <w:szCs w:val="21"/>
        </w:rPr>
      </w:pPr>
      <w:r>
        <w:rPr>
          <w:color w:val="auto"/>
          <w:szCs w:val="21"/>
        </w:rPr>
        <w:t>根据49组不同落锤方式的对比试验结果，得方程：</w:t>
      </w:r>
    </w:p>
    <w:p w14:paraId="30EA163A">
      <w:pPr>
        <w:snapToGrid w:val="0"/>
        <w:spacing w:line="360" w:lineRule="atLeast"/>
        <w:ind w:firstLine="420" w:firstLineChars="200"/>
        <w:rPr>
          <w:color w:val="auto"/>
          <w:szCs w:val="21"/>
        </w:rPr>
      </w:pPr>
      <w:r>
        <w:rPr>
          <w:i/>
          <w:color w:val="auto"/>
          <w:szCs w:val="21"/>
        </w:rPr>
        <w:t>N</w:t>
      </w:r>
      <w:r>
        <w:rPr>
          <w:color w:val="auto"/>
          <w:szCs w:val="21"/>
        </w:rPr>
        <w:t>（自由）=0.83</w:t>
      </w:r>
      <w:r>
        <w:rPr>
          <w:i/>
          <w:color w:val="auto"/>
          <w:szCs w:val="21"/>
        </w:rPr>
        <w:t>N</w:t>
      </w:r>
      <w:r>
        <w:rPr>
          <w:color w:val="auto"/>
          <w:szCs w:val="21"/>
        </w:rPr>
        <w:t>（手拉）</w:t>
      </w:r>
    </w:p>
    <w:p w14:paraId="57580F17">
      <w:pPr>
        <w:snapToGrid w:val="0"/>
        <w:spacing w:line="360" w:lineRule="atLeast"/>
        <w:ind w:firstLine="420" w:firstLineChars="200"/>
        <w:rPr>
          <w:color w:val="auto"/>
          <w:szCs w:val="21"/>
        </w:rPr>
      </w:pPr>
      <w:r>
        <w:rPr>
          <w:color w:val="auto"/>
          <w:szCs w:val="21"/>
        </w:rPr>
        <w:t>据上式，对利用标贯试验确定土的物理力学指标和地基承载力时所采用的手拉绳锤击数进行了相应的调整。</w:t>
      </w:r>
    </w:p>
    <w:p w14:paraId="74C2642C">
      <w:pPr>
        <w:snapToGrid w:val="0"/>
        <w:spacing w:line="360" w:lineRule="atLeast"/>
        <w:ind w:firstLine="831" w:firstLineChars="394"/>
        <w:rPr>
          <w:color w:val="auto"/>
          <w:szCs w:val="21"/>
        </w:rPr>
      </w:pPr>
      <w:r>
        <w:rPr>
          <w:b/>
          <w:color w:val="auto"/>
          <w:szCs w:val="21"/>
        </w:rPr>
        <w:t>3）</w:t>
      </w:r>
      <w:r>
        <w:rPr>
          <w:color w:val="auto"/>
          <w:szCs w:val="21"/>
        </w:rPr>
        <w:t>由于土的不均匀性及试验操作等影响因素，标贯试验</w:t>
      </w:r>
      <w:r>
        <w:rPr>
          <w:i/>
          <w:color w:val="auto"/>
          <w:szCs w:val="21"/>
        </w:rPr>
        <w:t>N</w:t>
      </w:r>
      <w:r>
        <w:rPr>
          <w:color w:val="auto"/>
          <w:szCs w:val="21"/>
        </w:rPr>
        <w:t>值往往离散性大，在利用</w:t>
      </w:r>
      <w:r>
        <w:rPr>
          <w:i/>
          <w:color w:val="auto"/>
          <w:szCs w:val="21"/>
        </w:rPr>
        <w:t>N</w:t>
      </w:r>
      <w:r>
        <w:rPr>
          <w:color w:val="auto"/>
          <w:szCs w:val="21"/>
        </w:rPr>
        <w:t>值解决工程问题时，应持慎重态度，试验操作要规范。在分析整理时，与动力触探相同，应剔除个别异常的</w:t>
      </w:r>
      <w:r>
        <w:rPr>
          <w:i/>
          <w:color w:val="auto"/>
          <w:szCs w:val="21"/>
        </w:rPr>
        <w:t>N</w:t>
      </w:r>
      <w:r>
        <w:rPr>
          <w:color w:val="auto"/>
          <w:szCs w:val="21"/>
        </w:rPr>
        <w:t>值，判别舍弃异常数据有不同的检验标准，常用的有三倍标准差法、Crubbs法、极差分析法和极差比等方法。同一土层参加统计的试验数据不应小于6组，依据单孔标贯（或触探）试验或小于6组的测试资料提供设计参数是不可信的。</w:t>
      </w:r>
    </w:p>
    <w:p w14:paraId="364EE43C">
      <w:pPr>
        <w:snapToGrid w:val="0"/>
        <w:spacing w:line="360" w:lineRule="atLeast"/>
        <w:ind w:firstLine="420" w:firstLineChars="200"/>
        <w:rPr>
          <w:color w:val="auto"/>
          <w:szCs w:val="21"/>
        </w:rPr>
      </w:pPr>
      <w:r>
        <w:rPr>
          <w:color w:val="auto"/>
          <w:szCs w:val="21"/>
        </w:rPr>
        <w:t>当利用标贯试验、静力触探或圆锥动力触探确定地基承载力和压缩性指标时，应采用本文件附录（E.1）式经统计修正后的</w:t>
      </w:r>
      <w:r>
        <w:rPr>
          <w:i/>
          <w:color w:val="auto"/>
          <w:szCs w:val="21"/>
        </w:rPr>
        <w:t>N</w:t>
      </w:r>
      <w:r>
        <w:rPr>
          <w:color w:val="auto"/>
          <w:szCs w:val="21"/>
        </w:rPr>
        <w:t>（或</w:t>
      </w:r>
      <w:r>
        <w:rPr>
          <w:i/>
          <w:color w:val="auto"/>
          <w:szCs w:val="21"/>
        </w:rPr>
        <w:t>p</w:t>
      </w:r>
      <w:r>
        <w:rPr>
          <w:color w:val="auto"/>
          <w:szCs w:val="21"/>
          <w:vertAlign w:val="subscript"/>
        </w:rPr>
        <w:t>s</w:t>
      </w:r>
      <w:r>
        <w:rPr>
          <w:i/>
          <w:color w:val="auto"/>
          <w:szCs w:val="21"/>
        </w:rPr>
        <w:t>、N</w:t>
      </w:r>
      <w:r>
        <w:rPr>
          <w:color w:val="auto"/>
          <w:szCs w:val="21"/>
          <w:vertAlign w:val="subscript"/>
        </w:rPr>
        <w:t>63.5</w:t>
      </w:r>
      <w:r>
        <w:rPr>
          <w:i/>
          <w:color w:val="auto"/>
          <w:szCs w:val="21"/>
        </w:rPr>
        <w:t>、N</w:t>
      </w:r>
      <w:r>
        <w:rPr>
          <w:color w:val="auto"/>
          <w:szCs w:val="21"/>
          <w:vertAlign w:val="subscript"/>
        </w:rPr>
        <w:t>120</w:t>
      </w:r>
      <w:r>
        <w:rPr>
          <w:color w:val="auto"/>
          <w:szCs w:val="21"/>
        </w:rPr>
        <w:t>）的标准值。</w:t>
      </w:r>
    </w:p>
    <w:p w14:paraId="047678DB">
      <w:pPr>
        <w:snapToGrid w:val="0"/>
        <w:spacing w:line="360" w:lineRule="atLeast"/>
        <w:ind w:firstLine="413" w:firstLineChars="196"/>
        <w:rPr>
          <w:color w:val="auto"/>
          <w:szCs w:val="21"/>
        </w:rPr>
      </w:pPr>
      <w:r>
        <w:rPr>
          <w:b/>
          <w:color w:val="auto"/>
          <w:szCs w:val="21"/>
        </w:rPr>
        <w:t>l)</w:t>
      </w:r>
      <w:r>
        <w:rPr>
          <w:color w:val="auto"/>
          <w:szCs w:val="21"/>
        </w:rPr>
        <w:t xml:space="preserve">  表E.15一般黏性土和表E.17老黏性土承载力特征值系采用湖北工作规程表P.0.15，该表系根据35组载荷试验资料，得到下列方程，经调整后给出的：</w:t>
      </w:r>
    </w:p>
    <w:p w14:paraId="0DFB21CC">
      <w:pPr>
        <w:snapToGrid w:val="0"/>
        <w:spacing w:line="360" w:lineRule="atLeast"/>
        <w:ind w:firstLine="735" w:firstLineChars="350"/>
        <w:rPr>
          <w:color w:val="auto"/>
          <w:szCs w:val="21"/>
        </w:rPr>
      </w:pPr>
      <w:r>
        <w:rPr>
          <w:color w:val="auto"/>
          <w:szCs w:val="21"/>
        </w:rPr>
        <w:t xml:space="preserve">一般黏性土  </w:t>
      </w:r>
      <w:r>
        <w:rPr>
          <w:i/>
          <w:color w:val="auto"/>
          <w:szCs w:val="21"/>
        </w:rPr>
        <w:t>N</w:t>
      </w:r>
      <w:r>
        <w:rPr>
          <w:color w:val="auto"/>
          <w:szCs w:val="21"/>
        </w:rPr>
        <w:t>＜13，</w:t>
      </w:r>
      <w:r>
        <w:rPr>
          <w:i/>
          <w:color w:val="auto"/>
          <w:szCs w:val="21"/>
        </w:rPr>
        <w:t>f</w:t>
      </w:r>
      <w:r>
        <w:rPr>
          <w:color w:val="auto"/>
          <w:szCs w:val="21"/>
          <w:vertAlign w:val="subscript"/>
        </w:rPr>
        <w:t>k</w:t>
      </w:r>
      <w:r>
        <w:rPr>
          <w:color w:val="auto"/>
          <w:szCs w:val="21"/>
        </w:rPr>
        <w:t>=14.892+26.053</w:t>
      </w:r>
      <w:r>
        <w:rPr>
          <w:i/>
          <w:color w:val="auto"/>
          <w:szCs w:val="21"/>
        </w:rPr>
        <w:t>N</w:t>
      </w:r>
    </w:p>
    <w:p w14:paraId="65384737">
      <w:pPr>
        <w:snapToGrid w:val="0"/>
        <w:spacing w:line="360" w:lineRule="atLeast"/>
        <w:ind w:firstLine="735" w:firstLineChars="350"/>
        <w:rPr>
          <w:color w:val="auto"/>
          <w:szCs w:val="21"/>
        </w:rPr>
      </w:pPr>
      <w:r>
        <w:rPr>
          <w:color w:val="auto"/>
          <w:szCs w:val="21"/>
        </w:rPr>
        <w:t xml:space="preserve">老黏性土 </w:t>
      </w:r>
      <w:r>
        <w:rPr>
          <w:i/>
          <w:color w:val="auto"/>
          <w:szCs w:val="21"/>
        </w:rPr>
        <w:t>N</w:t>
      </w:r>
      <w:r>
        <w:rPr>
          <w:color w:val="auto"/>
          <w:szCs w:val="21"/>
        </w:rPr>
        <w:t>≥13，</w:t>
      </w:r>
      <w:r>
        <w:rPr>
          <w:i/>
          <w:color w:val="auto"/>
          <w:szCs w:val="21"/>
        </w:rPr>
        <w:t>f</w:t>
      </w:r>
      <w:r>
        <w:rPr>
          <w:color w:val="auto"/>
          <w:szCs w:val="21"/>
          <w:vertAlign w:val="subscript"/>
        </w:rPr>
        <w:t>k</w:t>
      </w:r>
      <w:r>
        <w:rPr>
          <w:color w:val="auto"/>
          <w:szCs w:val="21"/>
        </w:rPr>
        <w:t xml:space="preserve"> =4.77+27.18</w:t>
      </w:r>
      <w:r>
        <w:rPr>
          <w:i/>
          <w:color w:val="auto"/>
          <w:szCs w:val="21"/>
        </w:rPr>
        <w:t>N</w:t>
      </w:r>
    </w:p>
    <w:p w14:paraId="0734392A">
      <w:pPr>
        <w:snapToGrid w:val="0"/>
        <w:spacing w:line="360" w:lineRule="atLeast"/>
        <w:ind w:firstLine="735" w:firstLineChars="350"/>
        <w:rPr>
          <w:color w:val="auto"/>
          <w:szCs w:val="21"/>
        </w:rPr>
      </w:pPr>
      <w:r>
        <w:rPr>
          <w:i/>
          <w:color w:val="auto"/>
          <w:szCs w:val="21"/>
        </w:rPr>
        <w:t>f</w:t>
      </w:r>
      <w:r>
        <w:rPr>
          <w:color w:val="auto"/>
          <w:szCs w:val="21"/>
          <w:vertAlign w:val="subscript"/>
        </w:rPr>
        <w:t>k</w:t>
      </w:r>
      <w:r>
        <w:rPr>
          <w:color w:val="auto"/>
          <w:szCs w:val="21"/>
        </w:rPr>
        <w:t>单位为</w:t>
      </w:r>
      <w:r>
        <w:rPr>
          <w:rFonts w:hint="eastAsia"/>
          <w:color w:val="auto"/>
          <w:szCs w:val="21"/>
        </w:rPr>
        <w:t>k</w:t>
      </w:r>
      <w:r>
        <w:rPr>
          <w:color w:val="auto"/>
          <w:szCs w:val="21"/>
        </w:rPr>
        <w:t>Pa（以下同）。</w:t>
      </w:r>
    </w:p>
    <w:p w14:paraId="0EF88E2A">
      <w:pPr>
        <w:snapToGrid w:val="0"/>
        <w:spacing w:line="360" w:lineRule="atLeast"/>
        <w:ind w:firstLine="420" w:firstLineChars="200"/>
        <w:rPr>
          <w:color w:val="auto"/>
          <w:szCs w:val="21"/>
        </w:rPr>
      </w:pPr>
      <w:r>
        <w:rPr>
          <w:color w:val="auto"/>
          <w:szCs w:val="21"/>
        </w:rPr>
        <w:t>本文件表E.15一般黏性土的</w:t>
      </w:r>
      <w:r>
        <w:rPr>
          <w:i/>
          <w:color w:val="auto"/>
          <w:szCs w:val="21"/>
        </w:rPr>
        <w:t>f</w:t>
      </w:r>
      <w:r>
        <w:rPr>
          <w:color w:val="auto"/>
          <w:szCs w:val="21"/>
          <w:vertAlign w:val="subscript"/>
        </w:rPr>
        <w:t>ak</w:t>
      </w:r>
      <w:r>
        <w:rPr>
          <w:color w:val="auto"/>
          <w:szCs w:val="21"/>
        </w:rPr>
        <w:t>值是将手拉绳锤击数调整为自由落锤锤击数所对应的</w:t>
      </w:r>
      <w:r>
        <w:rPr>
          <w:i/>
          <w:color w:val="auto"/>
          <w:szCs w:val="21"/>
        </w:rPr>
        <w:t>f</w:t>
      </w:r>
      <w:r>
        <w:rPr>
          <w:color w:val="auto"/>
          <w:szCs w:val="21"/>
          <w:vertAlign w:val="subscript"/>
        </w:rPr>
        <w:t>k</w:t>
      </w:r>
      <w:r>
        <w:rPr>
          <w:color w:val="auto"/>
          <w:szCs w:val="21"/>
        </w:rPr>
        <w:t>值。表E.17老黏性土的</w:t>
      </w:r>
      <w:r>
        <w:rPr>
          <w:i/>
          <w:color w:val="auto"/>
          <w:szCs w:val="21"/>
        </w:rPr>
        <w:t>f</w:t>
      </w:r>
      <w:r>
        <w:rPr>
          <w:color w:val="auto"/>
          <w:szCs w:val="21"/>
          <w:vertAlign w:val="subscript"/>
        </w:rPr>
        <w:t>ak</w:t>
      </w:r>
      <w:r>
        <w:rPr>
          <w:color w:val="auto"/>
          <w:szCs w:val="21"/>
        </w:rPr>
        <w:t>值采用自由落体的标准贯入锤击数（</w:t>
      </w:r>
      <w:r>
        <w:rPr>
          <w:i/>
          <w:color w:val="auto"/>
          <w:szCs w:val="21"/>
        </w:rPr>
        <w:t>N</w:t>
      </w:r>
      <w:r>
        <w:rPr>
          <w:color w:val="auto"/>
          <w:szCs w:val="21"/>
          <w:vertAlign w:val="subscript"/>
        </w:rPr>
        <w:t>自由</w:t>
      </w:r>
      <w:r>
        <w:rPr>
          <w:color w:val="auto"/>
          <w:szCs w:val="21"/>
        </w:rPr>
        <w:t>）所对应的</w:t>
      </w:r>
      <w:r>
        <w:rPr>
          <w:i/>
          <w:color w:val="auto"/>
          <w:szCs w:val="21"/>
        </w:rPr>
        <w:t>f</w:t>
      </w:r>
      <w:r>
        <w:rPr>
          <w:color w:val="auto"/>
          <w:szCs w:val="21"/>
          <w:vertAlign w:val="subscript"/>
        </w:rPr>
        <w:t>k</w:t>
      </w:r>
      <w:r>
        <w:rPr>
          <w:color w:val="auto"/>
          <w:szCs w:val="21"/>
        </w:rPr>
        <w:t>值。</w:t>
      </w:r>
    </w:p>
    <w:p w14:paraId="761E7159">
      <w:pPr>
        <w:snapToGrid w:val="0"/>
        <w:spacing w:line="360" w:lineRule="atLeast"/>
        <w:ind w:firstLine="413" w:firstLineChars="196"/>
        <w:rPr>
          <w:color w:val="auto"/>
          <w:szCs w:val="21"/>
        </w:rPr>
      </w:pPr>
      <w:r>
        <w:rPr>
          <w:b/>
          <w:color w:val="auto"/>
          <w:szCs w:val="21"/>
        </w:rPr>
        <w:t>m)</w:t>
      </w:r>
      <w:r>
        <w:rPr>
          <w:color w:val="auto"/>
          <w:szCs w:val="21"/>
        </w:rPr>
        <w:t xml:space="preserve">  表E.16淤泥质土、一般黏性土和表E.18老黏性土承载力特征值系采用工作规程表P.0.14和表P.0.16。该表根据载荷试验资料，得基本方程，经调整后给出的：</w:t>
      </w:r>
    </w:p>
    <w:p w14:paraId="1348E2D5">
      <w:pPr>
        <w:snapToGrid w:val="0"/>
        <w:spacing w:line="360" w:lineRule="atLeast"/>
        <w:ind w:firstLine="735" w:firstLineChars="350"/>
        <w:rPr>
          <w:color w:val="auto"/>
          <w:szCs w:val="21"/>
        </w:rPr>
      </w:pPr>
      <w:r>
        <w:rPr>
          <w:color w:val="auto"/>
          <w:szCs w:val="21"/>
        </w:rPr>
        <w:t>淤泥质土、一般黏性土：</w:t>
      </w:r>
      <w:r>
        <w:rPr>
          <w:i/>
          <w:color w:val="auto"/>
          <w:szCs w:val="21"/>
        </w:rPr>
        <w:t>p</w:t>
      </w:r>
      <w:r>
        <w:rPr>
          <w:color w:val="auto"/>
          <w:szCs w:val="21"/>
          <w:vertAlign w:val="subscript"/>
        </w:rPr>
        <w:t>s</w:t>
      </w:r>
      <w:r>
        <w:rPr>
          <w:color w:val="auto"/>
          <w:szCs w:val="21"/>
        </w:rPr>
        <w:t>＜3.0MPa，</w:t>
      </w:r>
      <w:r>
        <w:rPr>
          <w:i/>
          <w:color w:val="auto"/>
          <w:szCs w:val="21"/>
        </w:rPr>
        <w:t>f</w:t>
      </w:r>
      <w:r>
        <w:rPr>
          <w:color w:val="auto"/>
          <w:szCs w:val="21"/>
          <w:vertAlign w:val="subscript"/>
        </w:rPr>
        <w:t>k</w:t>
      </w:r>
      <w:r>
        <w:rPr>
          <w:color w:val="auto"/>
          <w:szCs w:val="21"/>
        </w:rPr>
        <w:t>=30.878+0.0822</w:t>
      </w:r>
      <w:r>
        <w:rPr>
          <w:i/>
          <w:color w:val="auto"/>
          <w:szCs w:val="21"/>
        </w:rPr>
        <w:t>p</w:t>
      </w:r>
      <w:r>
        <w:rPr>
          <w:color w:val="auto"/>
          <w:szCs w:val="21"/>
          <w:vertAlign w:val="subscript"/>
        </w:rPr>
        <w:t>s</w:t>
      </w:r>
    </w:p>
    <w:p w14:paraId="6C9ED78F">
      <w:pPr>
        <w:snapToGrid w:val="0"/>
        <w:spacing w:line="360" w:lineRule="atLeast"/>
        <w:ind w:firstLine="735" w:firstLineChars="350"/>
        <w:rPr>
          <w:color w:val="auto"/>
          <w:szCs w:val="21"/>
        </w:rPr>
      </w:pPr>
      <w:r>
        <w:rPr>
          <w:color w:val="auto"/>
          <w:szCs w:val="21"/>
        </w:rPr>
        <w:t xml:space="preserve">            老黏性土: </w:t>
      </w:r>
      <w:r>
        <w:rPr>
          <w:i/>
          <w:color w:val="auto"/>
          <w:szCs w:val="21"/>
        </w:rPr>
        <w:t>p</w:t>
      </w:r>
      <w:r>
        <w:rPr>
          <w:color w:val="auto"/>
          <w:szCs w:val="21"/>
          <w:vertAlign w:val="subscript"/>
        </w:rPr>
        <w:t>s</w:t>
      </w:r>
      <w:r>
        <w:rPr>
          <w:color w:val="auto"/>
          <w:szCs w:val="21"/>
        </w:rPr>
        <w:t>≥3.0 MPa，</w:t>
      </w:r>
      <w:r>
        <w:rPr>
          <w:i/>
          <w:color w:val="auto"/>
          <w:szCs w:val="21"/>
        </w:rPr>
        <w:t>f</w:t>
      </w:r>
      <w:r>
        <w:rPr>
          <w:color w:val="auto"/>
          <w:szCs w:val="21"/>
          <w:vertAlign w:val="subscript"/>
        </w:rPr>
        <w:t>k</w:t>
      </w:r>
      <w:r>
        <w:rPr>
          <w:color w:val="auto"/>
          <w:szCs w:val="21"/>
        </w:rPr>
        <w:t>=157.92</w:t>
      </w:r>
      <w:r>
        <w:rPr>
          <w:i/>
          <w:color w:val="auto"/>
          <w:szCs w:val="21"/>
        </w:rPr>
        <w:t>p</w:t>
      </w:r>
      <w:r>
        <w:rPr>
          <w:color w:val="auto"/>
          <w:szCs w:val="21"/>
          <w:vertAlign w:val="subscript"/>
        </w:rPr>
        <w:t>s</w:t>
      </w:r>
      <w:r>
        <w:rPr>
          <w:color w:val="auto"/>
          <w:szCs w:val="21"/>
        </w:rPr>
        <w:t>-122.26</w:t>
      </w:r>
    </w:p>
    <w:p w14:paraId="73A5DCB9">
      <w:pPr>
        <w:snapToGrid w:val="0"/>
        <w:spacing w:line="360" w:lineRule="atLeast"/>
        <w:ind w:firstLine="415" w:firstLineChars="197"/>
        <w:rPr>
          <w:color w:val="auto"/>
          <w:szCs w:val="21"/>
        </w:rPr>
      </w:pPr>
      <w:r>
        <w:rPr>
          <w:b/>
          <w:color w:val="auto"/>
          <w:szCs w:val="21"/>
        </w:rPr>
        <w:t xml:space="preserve">n) </w:t>
      </w:r>
      <w:r>
        <w:rPr>
          <w:color w:val="auto"/>
          <w:szCs w:val="21"/>
        </w:rPr>
        <w:t>残积黏性土承载力特征值</w:t>
      </w:r>
    </w:p>
    <w:p w14:paraId="6E8C3105">
      <w:pPr>
        <w:snapToGrid w:val="0"/>
        <w:spacing w:line="360" w:lineRule="atLeast"/>
        <w:ind w:firstLine="420" w:firstLineChars="200"/>
        <w:rPr>
          <w:color w:val="auto"/>
          <w:szCs w:val="21"/>
        </w:rPr>
      </w:pPr>
      <w:r>
        <w:rPr>
          <w:color w:val="auto"/>
          <w:szCs w:val="21"/>
        </w:rPr>
        <w:t>表E.21系按</w:t>
      </w:r>
      <w:r>
        <w:rPr>
          <w:i/>
          <w:color w:val="auto"/>
          <w:szCs w:val="21"/>
        </w:rPr>
        <w:t>f</w:t>
      </w:r>
      <w:r>
        <w:rPr>
          <w:color w:val="auto"/>
          <w:szCs w:val="21"/>
          <w:vertAlign w:val="subscript"/>
        </w:rPr>
        <w:t>ak</w:t>
      </w:r>
      <w:r>
        <w:rPr>
          <w:color w:val="auto"/>
          <w:szCs w:val="21"/>
        </w:rPr>
        <w:t>=119.87+7.81</w:t>
      </w:r>
      <w:r>
        <w:rPr>
          <w:i/>
          <w:color w:val="auto"/>
          <w:szCs w:val="21"/>
        </w:rPr>
        <w:t>N</w:t>
      </w:r>
      <w:r>
        <w:rPr>
          <w:color w:val="auto"/>
          <w:szCs w:val="21"/>
        </w:rPr>
        <w:t>的回归经验公式的基础上并根据多年来的工程实践经验和载荷试验资料进行了适当的调整后给出的。</w:t>
      </w:r>
    </w:p>
    <w:p w14:paraId="53185D35">
      <w:pPr>
        <w:snapToGrid w:val="0"/>
        <w:spacing w:line="360" w:lineRule="atLeast"/>
        <w:ind w:firstLine="420" w:firstLineChars="200"/>
        <w:rPr>
          <w:color w:val="auto"/>
          <w:szCs w:val="21"/>
        </w:rPr>
      </w:pPr>
      <w:r>
        <w:rPr>
          <w:color w:val="auto"/>
          <w:szCs w:val="21"/>
        </w:rPr>
        <w:t>下表根据残积黏性土载荷试验与静力触探比贯入阻力（</w:t>
      </w:r>
      <w:r>
        <w:rPr>
          <w:i/>
          <w:color w:val="auto"/>
          <w:szCs w:val="21"/>
        </w:rPr>
        <w:t>p</w:t>
      </w:r>
      <w:r>
        <w:rPr>
          <w:color w:val="auto"/>
          <w:szCs w:val="21"/>
          <w:vertAlign w:val="subscript"/>
        </w:rPr>
        <w:t>s</w:t>
      </w:r>
      <w:r>
        <w:rPr>
          <w:color w:val="auto"/>
          <w:szCs w:val="21"/>
        </w:rPr>
        <w:t>～</w:t>
      </w:r>
      <w:r>
        <w:rPr>
          <w:i/>
          <w:color w:val="auto"/>
          <w:szCs w:val="21"/>
        </w:rPr>
        <w:t>f</w:t>
      </w:r>
      <w:r>
        <w:rPr>
          <w:color w:val="auto"/>
          <w:szCs w:val="21"/>
          <w:vertAlign w:val="subscript"/>
        </w:rPr>
        <w:t>k</w:t>
      </w:r>
      <w:r>
        <w:rPr>
          <w:color w:val="auto"/>
          <w:szCs w:val="21"/>
        </w:rPr>
        <w:t>）的回归经验公式</w:t>
      </w:r>
      <w:r>
        <w:rPr>
          <w:i/>
          <w:color w:val="auto"/>
          <w:szCs w:val="21"/>
        </w:rPr>
        <w:t>f</w:t>
      </w:r>
      <w:r>
        <w:rPr>
          <w:color w:val="auto"/>
          <w:szCs w:val="21"/>
          <w:vertAlign w:val="subscript"/>
        </w:rPr>
        <w:t>ak</w:t>
      </w:r>
      <w:r>
        <w:rPr>
          <w:color w:val="auto"/>
          <w:szCs w:val="21"/>
        </w:rPr>
        <w:t xml:space="preserve"> =180.96+33.92</w:t>
      </w:r>
      <w:r>
        <w:rPr>
          <w:i/>
          <w:color w:val="auto"/>
          <w:szCs w:val="21"/>
        </w:rPr>
        <w:t>p</w:t>
      </w:r>
      <w:r>
        <w:rPr>
          <w:color w:val="auto"/>
          <w:szCs w:val="21"/>
          <w:vertAlign w:val="subscript"/>
        </w:rPr>
        <w:t>s</w:t>
      </w:r>
      <w:r>
        <w:rPr>
          <w:color w:val="auto"/>
          <w:szCs w:val="21"/>
        </w:rPr>
        <w:t>的基础上，并根据多年来的工程实践经验进行了适当调整后给出的。</w:t>
      </w:r>
    </w:p>
    <w:p w14:paraId="6F816D3A">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25</w:t>
      </w:r>
      <w:r>
        <w:rPr>
          <w:color w:val="auto"/>
        </w:rPr>
        <w:fldChar w:fldCharType="end"/>
      </w:r>
      <w:r>
        <w:rPr>
          <w:rFonts w:hint="eastAsia"/>
          <w:b/>
          <w:color w:val="auto"/>
          <w:szCs w:val="21"/>
        </w:rPr>
        <w:t xml:space="preserve">  </w:t>
      </w:r>
      <w:r>
        <w:rPr>
          <w:b/>
          <w:color w:val="auto"/>
          <w:szCs w:val="21"/>
        </w:rPr>
        <w:t>利用静力触探比贯入阻力确定残积黏性土的</w:t>
      </w:r>
      <w:r>
        <w:rPr>
          <w:b/>
          <w:i/>
          <w:color w:val="auto"/>
          <w:szCs w:val="21"/>
        </w:rPr>
        <w:t>f</w:t>
      </w:r>
      <w:r>
        <w:rPr>
          <w:b/>
          <w:color w:val="auto"/>
          <w:szCs w:val="21"/>
          <w:vertAlign w:val="subscript"/>
        </w:rPr>
        <w:t>ak</w:t>
      </w:r>
      <w:r>
        <w:rPr>
          <w:b/>
          <w:color w:val="auto"/>
          <w:szCs w:val="21"/>
        </w:rPr>
        <w:t>值</w:t>
      </w:r>
    </w:p>
    <w:tbl>
      <w:tblPr>
        <w:tblStyle w:val="36"/>
        <w:tblW w:w="0" w:type="auto"/>
        <w:tblInd w:w="1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945"/>
        <w:gridCol w:w="945"/>
        <w:gridCol w:w="945"/>
        <w:gridCol w:w="945"/>
        <w:gridCol w:w="945"/>
        <w:gridCol w:w="945"/>
      </w:tblGrid>
      <w:tr w14:paraId="09C0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83" w:type="dxa"/>
            <w:noWrap w:val="0"/>
            <w:vAlign w:val="center"/>
          </w:tcPr>
          <w:p w14:paraId="73052AD0">
            <w:pPr>
              <w:snapToGrid w:val="0"/>
              <w:spacing w:line="360" w:lineRule="atLeast"/>
              <w:jc w:val="center"/>
              <w:rPr>
                <w:color w:val="auto"/>
                <w:sz w:val="18"/>
                <w:szCs w:val="18"/>
              </w:rPr>
            </w:pPr>
            <w:r>
              <w:rPr>
                <w:i/>
                <w:color w:val="auto"/>
                <w:sz w:val="18"/>
                <w:szCs w:val="18"/>
              </w:rPr>
              <w:t>p</w:t>
            </w:r>
            <w:r>
              <w:rPr>
                <w:color w:val="auto"/>
                <w:sz w:val="18"/>
                <w:szCs w:val="18"/>
                <w:vertAlign w:val="subscript"/>
              </w:rPr>
              <w:t>s</w:t>
            </w:r>
            <w:r>
              <w:rPr>
                <w:color w:val="auto"/>
                <w:sz w:val="18"/>
                <w:szCs w:val="18"/>
              </w:rPr>
              <w:t>（MPa）</w:t>
            </w:r>
          </w:p>
        </w:tc>
        <w:tc>
          <w:tcPr>
            <w:tcW w:w="945" w:type="dxa"/>
            <w:noWrap w:val="0"/>
            <w:vAlign w:val="center"/>
          </w:tcPr>
          <w:p w14:paraId="170D5692">
            <w:pPr>
              <w:snapToGrid w:val="0"/>
              <w:spacing w:line="360" w:lineRule="atLeast"/>
              <w:jc w:val="center"/>
              <w:rPr>
                <w:color w:val="auto"/>
                <w:sz w:val="18"/>
                <w:szCs w:val="18"/>
              </w:rPr>
            </w:pPr>
            <w:r>
              <w:rPr>
                <w:color w:val="auto"/>
                <w:sz w:val="18"/>
                <w:szCs w:val="18"/>
              </w:rPr>
              <w:t>3.0</w:t>
            </w:r>
          </w:p>
        </w:tc>
        <w:tc>
          <w:tcPr>
            <w:tcW w:w="945" w:type="dxa"/>
            <w:noWrap w:val="0"/>
            <w:vAlign w:val="center"/>
          </w:tcPr>
          <w:p w14:paraId="74DE59A2">
            <w:pPr>
              <w:snapToGrid w:val="0"/>
              <w:spacing w:line="360" w:lineRule="atLeast"/>
              <w:jc w:val="center"/>
              <w:rPr>
                <w:color w:val="auto"/>
                <w:sz w:val="18"/>
                <w:szCs w:val="18"/>
              </w:rPr>
            </w:pPr>
            <w:r>
              <w:rPr>
                <w:color w:val="auto"/>
                <w:sz w:val="18"/>
                <w:szCs w:val="18"/>
              </w:rPr>
              <w:t>3.5</w:t>
            </w:r>
          </w:p>
        </w:tc>
        <w:tc>
          <w:tcPr>
            <w:tcW w:w="945" w:type="dxa"/>
            <w:noWrap w:val="0"/>
            <w:vAlign w:val="center"/>
          </w:tcPr>
          <w:p w14:paraId="0273D74C">
            <w:pPr>
              <w:snapToGrid w:val="0"/>
              <w:spacing w:line="360" w:lineRule="atLeast"/>
              <w:jc w:val="center"/>
              <w:rPr>
                <w:color w:val="auto"/>
                <w:sz w:val="18"/>
                <w:szCs w:val="18"/>
              </w:rPr>
            </w:pPr>
            <w:r>
              <w:rPr>
                <w:color w:val="auto"/>
                <w:sz w:val="18"/>
                <w:szCs w:val="18"/>
              </w:rPr>
              <w:t>4.0</w:t>
            </w:r>
          </w:p>
        </w:tc>
        <w:tc>
          <w:tcPr>
            <w:tcW w:w="945" w:type="dxa"/>
            <w:noWrap w:val="0"/>
            <w:vAlign w:val="center"/>
          </w:tcPr>
          <w:p w14:paraId="1FA00653">
            <w:pPr>
              <w:snapToGrid w:val="0"/>
              <w:spacing w:line="360" w:lineRule="atLeast"/>
              <w:jc w:val="center"/>
              <w:rPr>
                <w:color w:val="auto"/>
                <w:sz w:val="18"/>
                <w:szCs w:val="18"/>
              </w:rPr>
            </w:pPr>
            <w:r>
              <w:rPr>
                <w:color w:val="auto"/>
                <w:sz w:val="18"/>
                <w:szCs w:val="18"/>
              </w:rPr>
              <w:t>4.5</w:t>
            </w:r>
          </w:p>
        </w:tc>
        <w:tc>
          <w:tcPr>
            <w:tcW w:w="945" w:type="dxa"/>
            <w:noWrap w:val="0"/>
            <w:vAlign w:val="center"/>
          </w:tcPr>
          <w:p w14:paraId="7161900E">
            <w:pPr>
              <w:snapToGrid w:val="0"/>
              <w:spacing w:line="360" w:lineRule="atLeast"/>
              <w:jc w:val="center"/>
              <w:rPr>
                <w:color w:val="auto"/>
                <w:sz w:val="18"/>
                <w:szCs w:val="18"/>
              </w:rPr>
            </w:pPr>
            <w:r>
              <w:rPr>
                <w:color w:val="auto"/>
                <w:sz w:val="18"/>
                <w:szCs w:val="18"/>
              </w:rPr>
              <w:t>5.0</w:t>
            </w:r>
          </w:p>
        </w:tc>
        <w:tc>
          <w:tcPr>
            <w:tcW w:w="945" w:type="dxa"/>
            <w:noWrap w:val="0"/>
            <w:vAlign w:val="center"/>
          </w:tcPr>
          <w:p w14:paraId="6A460D5E">
            <w:pPr>
              <w:snapToGrid w:val="0"/>
              <w:spacing w:line="360" w:lineRule="atLeast"/>
              <w:jc w:val="center"/>
              <w:rPr>
                <w:color w:val="auto"/>
                <w:sz w:val="18"/>
                <w:szCs w:val="18"/>
              </w:rPr>
            </w:pPr>
            <w:r>
              <w:rPr>
                <w:color w:val="auto"/>
                <w:sz w:val="18"/>
                <w:szCs w:val="18"/>
              </w:rPr>
              <w:t>5.5</w:t>
            </w:r>
          </w:p>
        </w:tc>
      </w:tr>
      <w:tr w14:paraId="7C03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83" w:type="dxa"/>
            <w:noWrap w:val="0"/>
            <w:vAlign w:val="center"/>
          </w:tcPr>
          <w:p w14:paraId="053FE3EC">
            <w:pPr>
              <w:snapToGrid w:val="0"/>
              <w:spacing w:line="360" w:lineRule="atLeast"/>
              <w:jc w:val="center"/>
              <w:rPr>
                <w:color w:val="auto"/>
                <w:sz w:val="18"/>
                <w:szCs w:val="18"/>
              </w:rPr>
            </w:pPr>
            <w:r>
              <w:rPr>
                <w:i/>
                <w:color w:val="auto"/>
                <w:sz w:val="18"/>
                <w:szCs w:val="18"/>
              </w:rPr>
              <w:t>f</w:t>
            </w:r>
            <w:r>
              <w:rPr>
                <w:color w:val="auto"/>
                <w:sz w:val="18"/>
                <w:szCs w:val="18"/>
                <w:vertAlign w:val="subscript"/>
              </w:rPr>
              <w:t>ak</w:t>
            </w:r>
            <w:r>
              <w:rPr>
                <w:color w:val="auto"/>
                <w:sz w:val="18"/>
                <w:szCs w:val="18"/>
              </w:rPr>
              <w:t>（</w:t>
            </w:r>
            <w:r>
              <w:rPr>
                <w:rFonts w:hint="eastAsia"/>
                <w:color w:val="auto"/>
                <w:sz w:val="18"/>
                <w:szCs w:val="18"/>
              </w:rPr>
              <w:t>k</w:t>
            </w:r>
            <w:r>
              <w:rPr>
                <w:color w:val="auto"/>
                <w:sz w:val="18"/>
                <w:szCs w:val="18"/>
              </w:rPr>
              <w:t>Pa）</w:t>
            </w:r>
          </w:p>
        </w:tc>
        <w:tc>
          <w:tcPr>
            <w:tcW w:w="945" w:type="dxa"/>
            <w:noWrap w:val="0"/>
            <w:vAlign w:val="center"/>
          </w:tcPr>
          <w:p w14:paraId="61BC4039">
            <w:pPr>
              <w:snapToGrid w:val="0"/>
              <w:spacing w:line="360" w:lineRule="atLeast"/>
              <w:jc w:val="center"/>
              <w:rPr>
                <w:color w:val="auto"/>
                <w:sz w:val="18"/>
                <w:szCs w:val="18"/>
              </w:rPr>
            </w:pPr>
            <w:r>
              <w:rPr>
                <w:color w:val="auto"/>
                <w:sz w:val="18"/>
                <w:szCs w:val="18"/>
              </w:rPr>
              <w:t>250</w:t>
            </w:r>
          </w:p>
        </w:tc>
        <w:tc>
          <w:tcPr>
            <w:tcW w:w="945" w:type="dxa"/>
            <w:noWrap w:val="0"/>
            <w:vAlign w:val="center"/>
          </w:tcPr>
          <w:p w14:paraId="57142FC7">
            <w:pPr>
              <w:snapToGrid w:val="0"/>
              <w:spacing w:line="360" w:lineRule="atLeast"/>
              <w:jc w:val="center"/>
              <w:rPr>
                <w:color w:val="auto"/>
                <w:sz w:val="18"/>
                <w:szCs w:val="18"/>
              </w:rPr>
            </w:pPr>
            <w:r>
              <w:rPr>
                <w:color w:val="auto"/>
                <w:sz w:val="18"/>
                <w:szCs w:val="18"/>
              </w:rPr>
              <w:t>280</w:t>
            </w:r>
          </w:p>
        </w:tc>
        <w:tc>
          <w:tcPr>
            <w:tcW w:w="945" w:type="dxa"/>
            <w:noWrap w:val="0"/>
            <w:vAlign w:val="center"/>
          </w:tcPr>
          <w:p w14:paraId="76E246BA">
            <w:pPr>
              <w:snapToGrid w:val="0"/>
              <w:spacing w:line="360" w:lineRule="atLeast"/>
              <w:jc w:val="center"/>
              <w:rPr>
                <w:color w:val="auto"/>
                <w:sz w:val="18"/>
                <w:szCs w:val="18"/>
              </w:rPr>
            </w:pPr>
            <w:r>
              <w:rPr>
                <w:color w:val="auto"/>
                <w:sz w:val="18"/>
                <w:szCs w:val="18"/>
              </w:rPr>
              <w:t>300</w:t>
            </w:r>
          </w:p>
        </w:tc>
        <w:tc>
          <w:tcPr>
            <w:tcW w:w="945" w:type="dxa"/>
            <w:noWrap w:val="0"/>
            <w:vAlign w:val="center"/>
          </w:tcPr>
          <w:p w14:paraId="17F955E2">
            <w:pPr>
              <w:snapToGrid w:val="0"/>
              <w:spacing w:line="360" w:lineRule="atLeast"/>
              <w:jc w:val="center"/>
              <w:rPr>
                <w:color w:val="auto"/>
                <w:sz w:val="18"/>
                <w:szCs w:val="18"/>
              </w:rPr>
            </w:pPr>
            <w:r>
              <w:rPr>
                <w:color w:val="auto"/>
                <w:sz w:val="18"/>
                <w:szCs w:val="18"/>
              </w:rPr>
              <w:t>320</w:t>
            </w:r>
          </w:p>
        </w:tc>
        <w:tc>
          <w:tcPr>
            <w:tcW w:w="945" w:type="dxa"/>
            <w:noWrap w:val="0"/>
            <w:vAlign w:val="center"/>
          </w:tcPr>
          <w:p w14:paraId="61657C0B">
            <w:pPr>
              <w:snapToGrid w:val="0"/>
              <w:spacing w:line="360" w:lineRule="atLeast"/>
              <w:jc w:val="center"/>
              <w:rPr>
                <w:color w:val="auto"/>
                <w:sz w:val="18"/>
                <w:szCs w:val="18"/>
              </w:rPr>
            </w:pPr>
            <w:r>
              <w:rPr>
                <w:color w:val="auto"/>
                <w:sz w:val="18"/>
                <w:szCs w:val="18"/>
              </w:rPr>
              <w:t>360</w:t>
            </w:r>
          </w:p>
        </w:tc>
        <w:tc>
          <w:tcPr>
            <w:tcW w:w="945" w:type="dxa"/>
            <w:noWrap w:val="0"/>
            <w:vAlign w:val="center"/>
          </w:tcPr>
          <w:p w14:paraId="4B7D049C">
            <w:pPr>
              <w:snapToGrid w:val="0"/>
              <w:spacing w:line="360" w:lineRule="atLeast"/>
              <w:jc w:val="center"/>
              <w:rPr>
                <w:color w:val="auto"/>
                <w:sz w:val="18"/>
                <w:szCs w:val="18"/>
              </w:rPr>
            </w:pPr>
            <w:r>
              <w:rPr>
                <w:color w:val="auto"/>
                <w:sz w:val="18"/>
                <w:szCs w:val="18"/>
              </w:rPr>
              <w:t>380</w:t>
            </w:r>
          </w:p>
        </w:tc>
      </w:tr>
    </w:tbl>
    <w:p w14:paraId="4169E9E6">
      <w:pPr>
        <w:snapToGrid w:val="0"/>
        <w:spacing w:before="240" w:line="360" w:lineRule="atLeast"/>
        <w:rPr>
          <w:color w:val="auto"/>
          <w:szCs w:val="21"/>
        </w:rPr>
      </w:pPr>
      <w:r>
        <w:rPr>
          <w:b/>
          <w:color w:val="auto"/>
          <w:szCs w:val="21"/>
        </w:rPr>
        <w:t>E.2</w:t>
      </w:r>
      <w:r>
        <w:rPr>
          <w:color w:val="auto"/>
          <w:szCs w:val="21"/>
        </w:rPr>
        <w:t>岩土压缩性指标</w:t>
      </w:r>
    </w:p>
    <w:p w14:paraId="196A7E3B">
      <w:pPr>
        <w:snapToGrid w:val="0"/>
        <w:spacing w:line="360" w:lineRule="atLeast"/>
        <w:ind w:firstLine="417" w:firstLineChars="198"/>
        <w:rPr>
          <w:color w:val="auto"/>
          <w:szCs w:val="21"/>
        </w:rPr>
      </w:pPr>
      <w:r>
        <w:rPr>
          <w:b/>
          <w:color w:val="auto"/>
          <w:szCs w:val="21"/>
        </w:rPr>
        <w:t>a)</w:t>
      </w:r>
      <w:r>
        <w:rPr>
          <w:color w:val="auto"/>
          <w:szCs w:val="21"/>
        </w:rPr>
        <w:t xml:space="preserve">  表E.23强风化岩石和表E.29残积黏性土变形模量系根据强风化岩石及残积黏性土的载荷试验的</w:t>
      </w:r>
      <w:r>
        <w:rPr>
          <w:i/>
          <w:color w:val="auto"/>
          <w:szCs w:val="21"/>
        </w:rPr>
        <w:t>E</w:t>
      </w:r>
      <w:r>
        <w:rPr>
          <w:i/>
          <w:color w:val="auto"/>
          <w:szCs w:val="21"/>
          <w:vertAlign w:val="subscript"/>
        </w:rPr>
        <w:t>0</w:t>
      </w:r>
      <w:r>
        <w:rPr>
          <w:color w:val="auto"/>
          <w:szCs w:val="21"/>
        </w:rPr>
        <w:t>与比例界限压力、标准贯入击数</w:t>
      </w:r>
      <w:r>
        <w:rPr>
          <w:i/>
          <w:color w:val="auto"/>
          <w:szCs w:val="21"/>
        </w:rPr>
        <w:t>N</w:t>
      </w:r>
      <w:r>
        <w:rPr>
          <w:color w:val="auto"/>
          <w:szCs w:val="21"/>
        </w:rPr>
        <w:t>对比资料，得下列建表的基本方程：</w:t>
      </w:r>
    </w:p>
    <w:p w14:paraId="3BFFA567">
      <w:pPr>
        <w:snapToGrid w:val="0"/>
        <w:spacing w:line="360" w:lineRule="atLeast"/>
        <w:ind w:firstLine="1260" w:firstLineChars="600"/>
        <w:rPr>
          <w:color w:val="auto"/>
          <w:szCs w:val="21"/>
        </w:rPr>
      </w:pPr>
      <w:r>
        <w:rPr>
          <w:i/>
          <w:color w:val="auto"/>
          <w:szCs w:val="21"/>
        </w:rPr>
        <w:t>E</w:t>
      </w:r>
      <w:r>
        <w:rPr>
          <w:color w:val="auto"/>
          <w:szCs w:val="21"/>
          <w:vertAlign w:val="subscript"/>
        </w:rPr>
        <w:t>0</w:t>
      </w:r>
      <w:r>
        <w:rPr>
          <w:color w:val="auto"/>
          <w:szCs w:val="21"/>
        </w:rPr>
        <w:t>=36.76+0.02</w:t>
      </w:r>
      <w:r>
        <w:rPr>
          <w:i/>
          <w:color w:val="auto"/>
          <w:szCs w:val="21"/>
        </w:rPr>
        <w:t xml:space="preserve"> f</w:t>
      </w:r>
      <w:r>
        <w:rPr>
          <w:color w:val="auto"/>
          <w:szCs w:val="21"/>
          <w:vertAlign w:val="subscript"/>
        </w:rPr>
        <w:t>ak</w:t>
      </w:r>
      <w:r>
        <w:rPr>
          <w:color w:val="auto"/>
          <w:szCs w:val="21"/>
        </w:rPr>
        <w:t>（KPa）（强风化岩石）</w:t>
      </w:r>
    </w:p>
    <w:p w14:paraId="58CFEF40">
      <w:pPr>
        <w:snapToGrid w:val="0"/>
        <w:spacing w:line="360" w:lineRule="atLeast"/>
        <w:ind w:firstLine="1260" w:firstLineChars="600"/>
        <w:rPr>
          <w:color w:val="auto"/>
          <w:szCs w:val="21"/>
        </w:rPr>
      </w:pPr>
      <w:r>
        <w:rPr>
          <w:i/>
          <w:color w:val="auto"/>
          <w:szCs w:val="21"/>
        </w:rPr>
        <w:t>E</w:t>
      </w:r>
      <w:r>
        <w:rPr>
          <w:color w:val="auto"/>
          <w:szCs w:val="21"/>
          <w:vertAlign w:val="subscript"/>
        </w:rPr>
        <w:t>0</w:t>
      </w:r>
      <w:r>
        <w:rPr>
          <w:color w:val="auto"/>
          <w:szCs w:val="21"/>
        </w:rPr>
        <w:t>=10.13+0.66</w:t>
      </w:r>
      <w:r>
        <w:rPr>
          <w:i/>
          <w:color w:val="auto"/>
          <w:szCs w:val="21"/>
        </w:rPr>
        <w:t>N</w:t>
      </w:r>
      <w:r>
        <w:rPr>
          <w:color w:val="auto"/>
          <w:szCs w:val="21"/>
        </w:rPr>
        <w:t>（残积黏性土）</w:t>
      </w:r>
    </w:p>
    <w:p w14:paraId="28FB90AC">
      <w:pPr>
        <w:snapToGrid w:val="0"/>
        <w:spacing w:line="360" w:lineRule="atLeast"/>
        <w:rPr>
          <w:color w:val="auto"/>
          <w:szCs w:val="21"/>
        </w:rPr>
      </w:pPr>
      <w:r>
        <w:rPr>
          <w:color w:val="auto"/>
          <w:szCs w:val="21"/>
        </w:rPr>
        <w:t>根据载荷试验</w:t>
      </w:r>
      <w:r>
        <w:rPr>
          <w:i/>
          <w:color w:val="auto"/>
          <w:szCs w:val="21"/>
        </w:rPr>
        <w:t>E</w:t>
      </w:r>
      <w:r>
        <w:rPr>
          <w:i/>
          <w:color w:val="auto"/>
          <w:szCs w:val="21"/>
          <w:vertAlign w:val="subscript"/>
        </w:rPr>
        <w:t>0</w:t>
      </w:r>
      <w:r>
        <w:rPr>
          <w:color w:val="auto"/>
          <w:szCs w:val="21"/>
        </w:rPr>
        <w:t>与静力触探</w:t>
      </w:r>
      <w:r>
        <w:rPr>
          <w:i/>
          <w:color w:val="auto"/>
          <w:szCs w:val="21"/>
        </w:rPr>
        <w:t>p</w:t>
      </w:r>
      <w:r>
        <w:rPr>
          <w:color w:val="auto"/>
          <w:szCs w:val="21"/>
          <w:vertAlign w:val="subscript"/>
        </w:rPr>
        <w:t>s</w:t>
      </w:r>
      <w:r>
        <w:rPr>
          <w:color w:val="auto"/>
          <w:szCs w:val="21"/>
        </w:rPr>
        <w:t>的相关关系。可给出下表：</w:t>
      </w:r>
    </w:p>
    <w:p w14:paraId="09F09805">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26</w:t>
      </w:r>
      <w:r>
        <w:rPr>
          <w:color w:val="auto"/>
        </w:rPr>
        <w:fldChar w:fldCharType="end"/>
      </w:r>
      <w:r>
        <w:rPr>
          <w:rFonts w:hint="eastAsia"/>
          <w:b/>
          <w:color w:val="auto"/>
          <w:szCs w:val="21"/>
        </w:rPr>
        <w:t xml:space="preserve">  </w:t>
      </w:r>
      <w:r>
        <w:rPr>
          <w:b/>
          <w:color w:val="auto"/>
          <w:szCs w:val="21"/>
        </w:rPr>
        <w:t>利用静力触探比贯入阻力确定残积黏性土的</w:t>
      </w:r>
      <w:r>
        <w:rPr>
          <w:b/>
          <w:i/>
          <w:color w:val="auto"/>
          <w:szCs w:val="21"/>
        </w:rPr>
        <w:t>E</w:t>
      </w:r>
      <w:r>
        <w:rPr>
          <w:b/>
          <w:color w:val="auto"/>
          <w:szCs w:val="21"/>
          <w:vertAlign w:val="subscript"/>
        </w:rPr>
        <w:t>0</w:t>
      </w:r>
      <w:r>
        <w:rPr>
          <w:b/>
          <w:color w:val="auto"/>
          <w:szCs w:val="21"/>
        </w:rPr>
        <w:t>值</w:t>
      </w:r>
    </w:p>
    <w:tbl>
      <w:tblPr>
        <w:tblStyle w:val="36"/>
        <w:tblW w:w="0" w:type="auto"/>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856"/>
        <w:gridCol w:w="856"/>
        <w:gridCol w:w="856"/>
        <w:gridCol w:w="856"/>
        <w:gridCol w:w="856"/>
        <w:gridCol w:w="856"/>
        <w:gridCol w:w="856"/>
      </w:tblGrid>
      <w:tr w14:paraId="40F0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254" w:type="dxa"/>
            <w:noWrap w:val="0"/>
            <w:vAlign w:val="center"/>
          </w:tcPr>
          <w:p w14:paraId="32442316">
            <w:pPr>
              <w:snapToGrid w:val="0"/>
              <w:spacing w:line="360" w:lineRule="atLeast"/>
              <w:jc w:val="center"/>
              <w:rPr>
                <w:color w:val="auto"/>
                <w:sz w:val="18"/>
                <w:szCs w:val="18"/>
              </w:rPr>
            </w:pPr>
            <w:r>
              <w:rPr>
                <w:i/>
                <w:color w:val="auto"/>
                <w:sz w:val="18"/>
                <w:szCs w:val="18"/>
              </w:rPr>
              <w:t>p</w:t>
            </w:r>
            <w:r>
              <w:rPr>
                <w:color w:val="auto"/>
                <w:sz w:val="18"/>
                <w:szCs w:val="18"/>
                <w:vertAlign w:val="subscript"/>
              </w:rPr>
              <w:t>s</w:t>
            </w:r>
            <w:r>
              <w:rPr>
                <w:color w:val="auto"/>
                <w:sz w:val="18"/>
                <w:szCs w:val="18"/>
              </w:rPr>
              <w:t>（MPa）</w:t>
            </w:r>
          </w:p>
        </w:tc>
        <w:tc>
          <w:tcPr>
            <w:tcW w:w="856" w:type="dxa"/>
            <w:noWrap w:val="0"/>
            <w:vAlign w:val="center"/>
          </w:tcPr>
          <w:p w14:paraId="4B86DDD0">
            <w:pPr>
              <w:snapToGrid w:val="0"/>
              <w:spacing w:line="360" w:lineRule="atLeast"/>
              <w:jc w:val="center"/>
              <w:rPr>
                <w:color w:val="auto"/>
                <w:sz w:val="18"/>
                <w:szCs w:val="18"/>
              </w:rPr>
            </w:pPr>
            <w:r>
              <w:rPr>
                <w:color w:val="auto"/>
                <w:sz w:val="18"/>
                <w:szCs w:val="18"/>
              </w:rPr>
              <w:t>3.0</w:t>
            </w:r>
          </w:p>
        </w:tc>
        <w:tc>
          <w:tcPr>
            <w:tcW w:w="856" w:type="dxa"/>
            <w:noWrap w:val="0"/>
            <w:vAlign w:val="center"/>
          </w:tcPr>
          <w:p w14:paraId="68A7427E">
            <w:pPr>
              <w:snapToGrid w:val="0"/>
              <w:spacing w:line="360" w:lineRule="atLeast"/>
              <w:jc w:val="center"/>
              <w:rPr>
                <w:color w:val="auto"/>
                <w:sz w:val="18"/>
                <w:szCs w:val="18"/>
              </w:rPr>
            </w:pPr>
            <w:r>
              <w:rPr>
                <w:color w:val="auto"/>
                <w:sz w:val="18"/>
                <w:szCs w:val="18"/>
              </w:rPr>
              <w:t>3.5</w:t>
            </w:r>
          </w:p>
        </w:tc>
        <w:tc>
          <w:tcPr>
            <w:tcW w:w="856" w:type="dxa"/>
            <w:noWrap w:val="0"/>
            <w:vAlign w:val="center"/>
          </w:tcPr>
          <w:p w14:paraId="18BAAB60">
            <w:pPr>
              <w:snapToGrid w:val="0"/>
              <w:spacing w:line="360" w:lineRule="atLeast"/>
              <w:jc w:val="center"/>
              <w:rPr>
                <w:color w:val="auto"/>
                <w:sz w:val="18"/>
                <w:szCs w:val="18"/>
              </w:rPr>
            </w:pPr>
            <w:r>
              <w:rPr>
                <w:color w:val="auto"/>
                <w:sz w:val="18"/>
                <w:szCs w:val="18"/>
              </w:rPr>
              <w:t>4.0</w:t>
            </w:r>
          </w:p>
        </w:tc>
        <w:tc>
          <w:tcPr>
            <w:tcW w:w="856" w:type="dxa"/>
            <w:noWrap w:val="0"/>
            <w:vAlign w:val="center"/>
          </w:tcPr>
          <w:p w14:paraId="6BE8489A">
            <w:pPr>
              <w:snapToGrid w:val="0"/>
              <w:spacing w:line="360" w:lineRule="atLeast"/>
              <w:jc w:val="center"/>
              <w:rPr>
                <w:color w:val="auto"/>
                <w:sz w:val="18"/>
                <w:szCs w:val="18"/>
              </w:rPr>
            </w:pPr>
            <w:r>
              <w:rPr>
                <w:color w:val="auto"/>
                <w:sz w:val="18"/>
                <w:szCs w:val="18"/>
              </w:rPr>
              <w:t>4.5</w:t>
            </w:r>
          </w:p>
        </w:tc>
        <w:tc>
          <w:tcPr>
            <w:tcW w:w="856" w:type="dxa"/>
            <w:noWrap w:val="0"/>
            <w:vAlign w:val="center"/>
          </w:tcPr>
          <w:p w14:paraId="3A8831C3">
            <w:pPr>
              <w:snapToGrid w:val="0"/>
              <w:spacing w:line="360" w:lineRule="atLeast"/>
              <w:jc w:val="center"/>
              <w:rPr>
                <w:color w:val="auto"/>
                <w:sz w:val="18"/>
                <w:szCs w:val="18"/>
              </w:rPr>
            </w:pPr>
            <w:r>
              <w:rPr>
                <w:color w:val="auto"/>
                <w:sz w:val="18"/>
                <w:szCs w:val="18"/>
              </w:rPr>
              <w:t>5.0</w:t>
            </w:r>
          </w:p>
        </w:tc>
        <w:tc>
          <w:tcPr>
            <w:tcW w:w="856" w:type="dxa"/>
            <w:noWrap w:val="0"/>
            <w:vAlign w:val="center"/>
          </w:tcPr>
          <w:p w14:paraId="4DDEF291">
            <w:pPr>
              <w:snapToGrid w:val="0"/>
              <w:spacing w:line="360" w:lineRule="atLeast"/>
              <w:jc w:val="center"/>
              <w:rPr>
                <w:color w:val="auto"/>
                <w:sz w:val="18"/>
                <w:szCs w:val="18"/>
              </w:rPr>
            </w:pPr>
            <w:r>
              <w:rPr>
                <w:color w:val="auto"/>
                <w:sz w:val="18"/>
                <w:szCs w:val="18"/>
              </w:rPr>
              <w:t>5.5</w:t>
            </w:r>
          </w:p>
        </w:tc>
        <w:tc>
          <w:tcPr>
            <w:tcW w:w="856" w:type="dxa"/>
            <w:noWrap w:val="0"/>
            <w:vAlign w:val="center"/>
          </w:tcPr>
          <w:p w14:paraId="794D222C">
            <w:pPr>
              <w:snapToGrid w:val="0"/>
              <w:spacing w:line="360" w:lineRule="atLeast"/>
              <w:jc w:val="center"/>
              <w:rPr>
                <w:color w:val="auto"/>
                <w:sz w:val="18"/>
                <w:szCs w:val="18"/>
              </w:rPr>
            </w:pPr>
            <w:r>
              <w:rPr>
                <w:color w:val="auto"/>
                <w:sz w:val="18"/>
                <w:szCs w:val="18"/>
              </w:rPr>
              <w:t>6.0</w:t>
            </w:r>
          </w:p>
        </w:tc>
      </w:tr>
      <w:tr w14:paraId="2CEE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254" w:type="dxa"/>
            <w:noWrap w:val="0"/>
            <w:vAlign w:val="center"/>
          </w:tcPr>
          <w:p w14:paraId="26C63175">
            <w:pPr>
              <w:snapToGrid w:val="0"/>
              <w:spacing w:line="360" w:lineRule="atLeast"/>
              <w:jc w:val="center"/>
              <w:rPr>
                <w:color w:val="auto"/>
                <w:sz w:val="18"/>
                <w:szCs w:val="18"/>
              </w:rPr>
            </w:pPr>
            <w:r>
              <w:rPr>
                <w:i/>
                <w:color w:val="auto"/>
                <w:sz w:val="18"/>
                <w:szCs w:val="18"/>
              </w:rPr>
              <w:t>E</w:t>
            </w:r>
            <w:r>
              <w:rPr>
                <w:color w:val="auto"/>
                <w:sz w:val="18"/>
                <w:szCs w:val="18"/>
                <w:vertAlign w:val="subscript"/>
              </w:rPr>
              <w:t>0</w:t>
            </w:r>
            <w:r>
              <w:rPr>
                <w:color w:val="auto"/>
                <w:sz w:val="18"/>
                <w:szCs w:val="18"/>
              </w:rPr>
              <w:t>（MPa）</w:t>
            </w:r>
          </w:p>
        </w:tc>
        <w:tc>
          <w:tcPr>
            <w:tcW w:w="856" w:type="dxa"/>
            <w:noWrap w:val="0"/>
            <w:vAlign w:val="center"/>
          </w:tcPr>
          <w:p w14:paraId="1EC90BB8">
            <w:pPr>
              <w:snapToGrid w:val="0"/>
              <w:spacing w:line="360" w:lineRule="atLeast"/>
              <w:jc w:val="center"/>
              <w:rPr>
                <w:color w:val="auto"/>
                <w:sz w:val="18"/>
                <w:szCs w:val="18"/>
              </w:rPr>
            </w:pPr>
            <w:r>
              <w:rPr>
                <w:color w:val="auto"/>
                <w:sz w:val="18"/>
                <w:szCs w:val="18"/>
              </w:rPr>
              <w:t>20</w:t>
            </w:r>
          </w:p>
        </w:tc>
        <w:tc>
          <w:tcPr>
            <w:tcW w:w="856" w:type="dxa"/>
            <w:noWrap w:val="0"/>
            <w:vAlign w:val="center"/>
          </w:tcPr>
          <w:p w14:paraId="74E9852F">
            <w:pPr>
              <w:snapToGrid w:val="0"/>
              <w:spacing w:line="360" w:lineRule="atLeast"/>
              <w:jc w:val="center"/>
              <w:rPr>
                <w:color w:val="auto"/>
                <w:sz w:val="18"/>
                <w:szCs w:val="18"/>
              </w:rPr>
            </w:pPr>
            <w:r>
              <w:rPr>
                <w:color w:val="auto"/>
                <w:sz w:val="18"/>
                <w:szCs w:val="18"/>
              </w:rPr>
              <w:t>22</w:t>
            </w:r>
          </w:p>
        </w:tc>
        <w:tc>
          <w:tcPr>
            <w:tcW w:w="856" w:type="dxa"/>
            <w:noWrap w:val="0"/>
            <w:vAlign w:val="center"/>
          </w:tcPr>
          <w:p w14:paraId="6FDCE76E">
            <w:pPr>
              <w:snapToGrid w:val="0"/>
              <w:spacing w:line="360" w:lineRule="atLeast"/>
              <w:jc w:val="center"/>
              <w:rPr>
                <w:color w:val="auto"/>
                <w:sz w:val="18"/>
                <w:szCs w:val="18"/>
              </w:rPr>
            </w:pPr>
            <w:r>
              <w:rPr>
                <w:color w:val="auto"/>
                <w:sz w:val="18"/>
                <w:szCs w:val="18"/>
              </w:rPr>
              <w:t>24</w:t>
            </w:r>
          </w:p>
        </w:tc>
        <w:tc>
          <w:tcPr>
            <w:tcW w:w="856" w:type="dxa"/>
            <w:noWrap w:val="0"/>
            <w:vAlign w:val="center"/>
          </w:tcPr>
          <w:p w14:paraId="75C6FEAF">
            <w:pPr>
              <w:snapToGrid w:val="0"/>
              <w:spacing w:line="360" w:lineRule="atLeast"/>
              <w:jc w:val="center"/>
              <w:rPr>
                <w:color w:val="auto"/>
                <w:sz w:val="18"/>
                <w:szCs w:val="18"/>
              </w:rPr>
            </w:pPr>
            <w:r>
              <w:rPr>
                <w:color w:val="auto"/>
                <w:sz w:val="18"/>
                <w:szCs w:val="18"/>
              </w:rPr>
              <w:t>27</w:t>
            </w:r>
          </w:p>
        </w:tc>
        <w:tc>
          <w:tcPr>
            <w:tcW w:w="856" w:type="dxa"/>
            <w:noWrap w:val="0"/>
            <w:vAlign w:val="center"/>
          </w:tcPr>
          <w:p w14:paraId="02A82217">
            <w:pPr>
              <w:snapToGrid w:val="0"/>
              <w:spacing w:line="360" w:lineRule="atLeast"/>
              <w:jc w:val="center"/>
              <w:rPr>
                <w:color w:val="auto"/>
                <w:sz w:val="18"/>
                <w:szCs w:val="18"/>
              </w:rPr>
            </w:pPr>
            <w:r>
              <w:rPr>
                <w:color w:val="auto"/>
                <w:sz w:val="18"/>
                <w:szCs w:val="18"/>
              </w:rPr>
              <w:t>30</w:t>
            </w:r>
          </w:p>
        </w:tc>
        <w:tc>
          <w:tcPr>
            <w:tcW w:w="856" w:type="dxa"/>
            <w:noWrap w:val="0"/>
            <w:vAlign w:val="center"/>
          </w:tcPr>
          <w:p w14:paraId="179E2E89">
            <w:pPr>
              <w:snapToGrid w:val="0"/>
              <w:spacing w:line="360" w:lineRule="atLeast"/>
              <w:jc w:val="center"/>
              <w:rPr>
                <w:color w:val="auto"/>
                <w:sz w:val="18"/>
                <w:szCs w:val="18"/>
              </w:rPr>
            </w:pPr>
            <w:r>
              <w:rPr>
                <w:color w:val="auto"/>
                <w:sz w:val="18"/>
                <w:szCs w:val="18"/>
              </w:rPr>
              <w:t>33</w:t>
            </w:r>
          </w:p>
        </w:tc>
        <w:tc>
          <w:tcPr>
            <w:tcW w:w="856" w:type="dxa"/>
            <w:noWrap w:val="0"/>
            <w:vAlign w:val="center"/>
          </w:tcPr>
          <w:p w14:paraId="1BFE0BFC">
            <w:pPr>
              <w:snapToGrid w:val="0"/>
              <w:spacing w:line="360" w:lineRule="atLeast"/>
              <w:jc w:val="center"/>
              <w:rPr>
                <w:color w:val="auto"/>
                <w:sz w:val="18"/>
                <w:szCs w:val="18"/>
              </w:rPr>
            </w:pPr>
            <w:r>
              <w:rPr>
                <w:color w:val="auto"/>
                <w:sz w:val="18"/>
                <w:szCs w:val="18"/>
              </w:rPr>
              <w:t>36</w:t>
            </w:r>
          </w:p>
        </w:tc>
      </w:tr>
    </w:tbl>
    <w:p w14:paraId="5C5DC9AE">
      <w:pPr>
        <w:snapToGrid w:val="0"/>
        <w:spacing w:before="240" w:line="360" w:lineRule="atLeast"/>
        <w:ind w:firstLine="413" w:firstLineChars="196"/>
        <w:rPr>
          <w:color w:val="auto"/>
          <w:szCs w:val="21"/>
        </w:rPr>
      </w:pPr>
      <w:r>
        <w:rPr>
          <w:b/>
          <w:color w:val="auto"/>
          <w:szCs w:val="21"/>
        </w:rPr>
        <w:t>b)</w:t>
      </w:r>
      <w:r>
        <w:rPr>
          <w:color w:val="auto"/>
          <w:szCs w:val="21"/>
        </w:rPr>
        <w:t xml:space="preserve">  表E.26粉土压缩模量系采用工作规程表P.0.23，该表根据88组静力触探与室内试验对比资料，得下列建表方程：</w:t>
      </w:r>
    </w:p>
    <w:p w14:paraId="33DCE137">
      <w:pPr>
        <w:snapToGrid w:val="0"/>
        <w:spacing w:line="360" w:lineRule="atLeast"/>
        <w:rPr>
          <w:color w:val="auto"/>
          <w:szCs w:val="21"/>
        </w:rPr>
      </w:pPr>
      <w:r>
        <w:rPr>
          <w:color w:val="auto"/>
          <w:szCs w:val="21"/>
        </w:rPr>
        <w:t xml:space="preserve">            </w:t>
      </w:r>
      <w:r>
        <w:rPr>
          <w:i/>
          <w:color w:val="auto"/>
          <w:szCs w:val="21"/>
        </w:rPr>
        <w:t>E</w:t>
      </w:r>
      <w:r>
        <w:rPr>
          <w:color w:val="auto"/>
          <w:szCs w:val="21"/>
          <w:vertAlign w:val="subscript"/>
        </w:rPr>
        <w:t>s</w:t>
      </w:r>
      <w:r>
        <w:rPr>
          <w:color w:val="auto"/>
          <w:szCs w:val="21"/>
        </w:rPr>
        <w:t>=5.260</w:t>
      </w:r>
      <w:r>
        <w:rPr>
          <w:i/>
          <w:color w:val="auto"/>
          <w:szCs w:val="21"/>
        </w:rPr>
        <w:t>p</w:t>
      </w:r>
      <w:r>
        <w:rPr>
          <w:color w:val="auto"/>
          <w:szCs w:val="21"/>
          <w:vertAlign w:val="subscript"/>
        </w:rPr>
        <w:t>s</w:t>
      </w:r>
      <w:r>
        <w:rPr>
          <w:color w:val="auto"/>
          <w:szCs w:val="21"/>
          <w:vertAlign w:val="superscript"/>
        </w:rPr>
        <w:t>0.543</w:t>
      </w:r>
      <w:r>
        <w:rPr>
          <w:color w:val="auto"/>
          <w:szCs w:val="21"/>
        </w:rPr>
        <w:t xml:space="preserve">           r=0.79</w:t>
      </w:r>
    </w:p>
    <w:p w14:paraId="77EF3FC0">
      <w:pPr>
        <w:snapToGrid w:val="0"/>
        <w:spacing w:line="360" w:lineRule="atLeast"/>
        <w:ind w:firstLine="417" w:firstLineChars="198"/>
        <w:rPr>
          <w:color w:val="auto"/>
          <w:szCs w:val="21"/>
        </w:rPr>
      </w:pPr>
      <w:r>
        <w:rPr>
          <w:b/>
          <w:color w:val="auto"/>
          <w:szCs w:val="21"/>
        </w:rPr>
        <w:t>c)</w:t>
      </w:r>
      <w:r>
        <w:rPr>
          <w:color w:val="auto"/>
          <w:szCs w:val="21"/>
        </w:rPr>
        <w:t xml:space="preserve">  黏性土的压缩性指标，根据载荷试验的</w:t>
      </w:r>
      <w:r>
        <w:rPr>
          <w:i/>
          <w:color w:val="auto"/>
          <w:szCs w:val="21"/>
        </w:rPr>
        <w:t>E</w:t>
      </w:r>
      <w:r>
        <w:rPr>
          <w:i/>
          <w:color w:val="auto"/>
          <w:szCs w:val="21"/>
          <w:vertAlign w:val="subscript"/>
        </w:rPr>
        <w:t>0</w:t>
      </w:r>
      <w:r>
        <w:rPr>
          <w:color w:val="auto"/>
          <w:szCs w:val="21"/>
        </w:rPr>
        <w:t>、室内试验与标准贯入试验、静力触探试验对比资料得到下列回归方程，可给出下列相关表：</w:t>
      </w:r>
    </w:p>
    <w:p w14:paraId="12382DAE">
      <w:pPr>
        <w:snapToGrid w:val="0"/>
        <w:spacing w:line="360" w:lineRule="atLeast"/>
        <w:ind w:left="206" w:leftChars="98" w:firstLine="315" w:firstLineChars="150"/>
        <w:rPr>
          <w:color w:val="auto"/>
          <w:szCs w:val="21"/>
          <w:vertAlign w:val="subscript"/>
        </w:rPr>
      </w:pPr>
      <w:r>
        <w:rPr>
          <w:color w:val="auto"/>
          <w:szCs w:val="21"/>
        </w:rPr>
        <w:t xml:space="preserve">淤泥质土：  </w:t>
      </w:r>
      <w:r>
        <w:rPr>
          <w:i/>
          <w:color w:val="auto"/>
          <w:szCs w:val="21"/>
        </w:rPr>
        <w:t>E</w:t>
      </w:r>
      <w:r>
        <w:rPr>
          <w:color w:val="auto"/>
          <w:szCs w:val="21"/>
          <w:vertAlign w:val="subscript"/>
        </w:rPr>
        <w:t>0</w:t>
      </w:r>
      <w:r>
        <w:rPr>
          <w:color w:val="auto"/>
          <w:szCs w:val="21"/>
        </w:rPr>
        <w:t xml:space="preserve">= 1.398 + 0.917 </w:t>
      </w:r>
      <w:r>
        <w:rPr>
          <w:i/>
          <w:color w:val="auto"/>
          <w:szCs w:val="21"/>
        </w:rPr>
        <w:t>E</w:t>
      </w:r>
      <w:r>
        <w:rPr>
          <w:color w:val="auto"/>
          <w:szCs w:val="21"/>
          <w:vertAlign w:val="subscript"/>
        </w:rPr>
        <w:t>s</w:t>
      </w:r>
      <w:r>
        <w:rPr>
          <w:color w:val="auto"/>
          <w:szCs w:val="21"/>
        </w:rPr>
        <w:t xml:space="preserve"> ，</w:t>
      </w:r>
      <w:r>
        <w:rPr>
          <w:i/>
          <w:color w:val="auto"/>
          <w:szCs w:val="21"/>
        </w:rPr>
        <w:t>E</w:t>
      </w:r>
      <w:r>
        <w:rPr>
          <w:color w:val="auto"/>
          <w:szCs w:val="21"/>
          <w:vertAlign w:val="subscript"/>
        </w:rPr>
        <w:t>0</w:t>
      </w:r>
      <w:r>
        <w:rPr>
          <w:color w:val="auto"/>
          <w:szCs w:val="21"/>
        </w:rPr>
        <w:t xml:space="preserve">= ( 1.26～1.80 ) </w:t>
      </w:r>
      <w:r>
        <w:rPr>
          <w:i/>
          <w:color w:val="auto"/>
          <w:szCs w:val="21"/>
        </w:rPr>
        <w:t>E</w:t>
      </w:r>
      <w:r>
        <w:rPr>
          <w:color w:val="auto"/>
          <w:szCs w:val="21"/>
          <w:vertAlign w:val="subscript"/>
        </w:rPr>
        <w:t>s</w:t>
      </w:r>
    </w:p>
    <w:p w14:paraId="7A27D08A">
      <w:pPr>
        <w:snapToGrid w:val="0"/>
        <w:spacing w:line="360" w:lineRule="atLeast"/>
        <w:ind w:left="206" w:leftChars="98" w:firstLine="315" w:firstLineChars="150"/>
        <w:rPr>
          <w:color w:val="auto"/>
          <w:szCs w:val="21"/>
        </w:rPr>
      </w:pPr>
      <w:r>
        <w:rPr>
          <w:color w:val="auto"/>
          <w:szCs w:val="21"/>
        </w:rPr>
        <w:t>一般黏性土：</w:t>
      </w:r>
      <w:r>
        <w:rPr>
          <w:i/>
          <w:color w:val="auto"/>
          <w:szCs w:val="21"/>
        </w:rPr>
        <w:t>E</w:t>
      </w:r>
      <w:r>
        <w:rPr>
          <w:color w:val="auto"/>
          <w:szCs w:val="21"/>
          <w:vertAlign w:val="subscript"/>
        </w:rPr>
        <w:t xml:space="preserve">0 </w:t>
      </w:r>
      <w:r>
        <w:rPr>
          <w:color w:val="auto"/>
          <w:szCs w:val="21"/>
        </w:rPr>
        <w:t xml:space="preserve">= 1.592 + 1.700 </w:t>
      </w:r>
      <w:r>
        <w:rPr>
          <w:i/>
          <w:color w:val="auto"/>
          <w:szCs w:val="21"/>
        </w:rPr>
        <w:t>E</w:t>
      </w:r>
      <w:r>
        <w:rPr>
          <w:color w:val="auto"/>
          <w:szCs w:val="21"/>
          <w:vertAlign w:val="subscript"/>
        </w:rPr>
        <w:t>s</w:t>
      </w:r>
      <w:r>
        <w:rPr>
          <w:i/>
          <w:color w:val="auto"/>
          <w:szCs w:val="21"/>
          <w:vertAlign w:val="subscript"/>
        </w:rPr>
        <w:t xml:space="preserve"> </w:t>
      </w:r>
      <w:r>
        <w:rPr>
          <w:color w:val="auto"/>
          <w:szCs w:val="21"/>
        </w:rPr>
        <w:t xml:space="preserve">， </w:t>
      </w:r>
      <w:r>
        <w:rPr>
          <w:i/>
          <w:color w:val="auto"/>
          <w:szCs w:val="21"/>
        </w:rPr>
        <w:t>E</w:t>
      </w:r>
      <w:r>
        <w:rPr>
          <w:color w:val="auto"/>
          <w:szCs w:val="21"/>
          <w:vertAlign w:val="subscript"/>
        </w:rPr>
        <w:t>0</w:t>
      </w:r>
      <w:r>
        <w:rPr>
          <w:color w:val="auto"/>
          <w:szCs w:val="21"/>
        </w:rPr>
        <w:t xml:space="preserve">= ( 1.83～2.20 ) </w:t>
      </w:r>
      <w:r>
        <w:rPr>
          <w:i/>
          <w:color w:val="auto"/>
          <w:szCs w:val="21"/>
        </w:rPr>
        <w:t>E</w:t>
      </w:r>
      <w:r>
        <w:rPr>
          <w:color w:val="auto"/>
          <w:szCs w:val="21"/>
          <w:vertAlign w:val="subscript"/>
        </w:rPr>
        <w:t>s</w:t>
      </w:r>
    </w:p>
    <w:p w14:paraId="1A341D01">
      <w:pPr>
        <w:snapToGrid w:val="0"/>
        <w:spacing w:line="360" w:lineRule="atLeast"/>
        <w:ind w:left="206" w:leftChars="98" w:firstLine="315" w:firstLineChars="150"/>
        <w:rPr>
          <w:color w:val="auto"/>
          <w:szCs w:val="21"/>
        </w:rPr>
      </w:pPr>
      <w:r>
        <w:rPr>
          <w:color w:val="auto"/>
          <w:szCs w:val="21"/>
        </w:rPr>
        <w:t xml:space="preserve">老黏性土：  </w:t>
      </w:r>
      <w:r>
        <w:rPr>
          <w:i/>
          <w:color w:val="auto"/>
          <w:szCs w:val="21"/>
        </w:rPr>
        <w:t>E</w:t>
      </w:r>
      <w:r>
        <w:rPr>
          <w:color w:val="auto"/>
          <w:szCs w:val="21"/>
          <w:vertAlign w:val="subscript"/>
        </w:rPr>
        <w:t xml:space="preserve">0 </w:t>
      </w:r>
      <w:r>
        <w:rPr>
          <w:color w:val="auto"/>
          <w:szCs w:val="21"/>
        </w:rPr>
        <w:t xml:space="preserve">= 14.518 + 1.489 </w:t>
      </w:r>
      <w:r>
        <w:rPr>
          <w:i/>
          <w:color w:val="auto"/>
          <w:szCs w:val="21"/>
        </w:rPr>
        <w:t>E</w:t>
      </w:r>
      <w:r>
        <w:rPr>
          <w:color w:val="auto"/>
          <w:szCs w:val="21"/>
          <w:vertAlign w:val="subscript"/>
        </w:rPr>
        <w:t xml:space="preserve">s </w:t>
      </w:r>
      <w:r>
        <w:rPr>
          <w:color w:val="auto"/>
          <w:szCs w:val="21"/>
        </w:rPr>
        <w:t>，</w:t>
      </w:r>
      <w:r>
        <w:rPr>
          <w:i/>
          <w:color w:val="auto"/>
          <w:szCs w:val="21"/>
        </w:rPr>
        <w:t>E</w:t>
      </w:r>
      <w:r>
        <w:rPr>
          <w:color w:val="auto"/>
          <w:szCs w:val="21"/>
          <w:vertAlign w:val="subscript"/>
        </w:rPr>
        <w:t xml:space="preserve">0 </w:t>
      </w:r>
      <w:r>
        <w:rPr>
          <w:color w:val="auto"/>
          <w:szCs w:val="21"/>
        </w:rPr>
        <w:t xml:space="preserve">= ( 1.97～2.83) </w:t>
      </w:r>
      <w:r>
        <w:rPr>
          <w:i/>
          <w:color w:val="auto"/>
          <w:szCs w:val="21"/>
        </w:rPr>
        <w:t>E</w:t>
      </w:r>
      <w:r>
        <w:rPr>
          <w:color w:val="auto"/>
          <w:szCs w:val="21"/>
          <w:vertAlign w:val="subscript"/>
        </w:rPr>
        <w:t>s</w:t>
      </w:r>
    </w:p>
    <w:p w14:paraId="04DDB1B7">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27</w:t>
      </w:r>
      <w:r>
        <w:rPr>
          <w:color w:val="auto"/>
        </w:rPr>
        <w:fldChar w:fldCharType="end"/>
      </w:r>
      <w:r>
        <w:rPr>
          <w:rFonts w:hint="eastAsia"/>
          <w:b/>
          <w:color w:val="auto"/>
          <w:szCs w:val="21"/>
        </w:rPr>
        <w:t xml:space="preserve">  </w:t>
      </w:r>
      <w:r>
        <w:rPr>
          <w:b/>
          <w:color w:val="auto"/>
          <w:szCs w:val="21"/>
        </w:rPr>
        <w:t>利用静力触探比贯入阻力确定淤泥质土、黏性土压缩性指标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397"/>
        <w:gridCol w:w="458"/>
        <w:gridCol w:w="458"/>
        <w:gridCol w:w="458"/>
        <w:gridCol w:w="458"/>
        <w:gridCol w:w="458"/>
        <w:gridCol w:w="458"/>
        <w:gridCol w:w="458"/>
        <w:gridCol w:w="458"/>
        <w:gridCol w:w="464"/>
        <w:gridCol w:w="458"/>
        <w:gridCol w:w="458"/>
        <w:gridCol w:w="458"/>
        <w:gridCol w:w="458"/>
        <w:gridCol w:w="458"/>
        <w:gridCol w:w="458"/>
        <w:gridCol w:w="458"/>
        <w:gridCol w:w="466"/>
      </w:tblGrid>
      <w:tr w14:paraId="0938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917" w:type="dxa"/>
            <w:noWrap w:val="0"/>
            <w:vAlign w:val="center"/>
          </w:tcPr>
          <w:p w14:paraId="67AFCD85">
            <w:pPr>
              <w:snapToGrid w:val="0"/>
              <w:jc w:val="center"/>
              <w:rPr>
                <w:color w:val="auto"/>
                <w:sz w:val="18"/>
                <w:szCs w:val="18"/>
              </w:rPr>
            </w:pPr>
            <w:r>
              <w:rPr>
                <w:color w:val="auto"/>
                <w:sz w:val="18"/>
                <w:szCs w:val="18"/>
              </w:rPr>
              <w:t>土类</w:t>
            </w:r>
          </w:p>
        </w:tc>
        <w:tc>
          <w:tcPr>
            <w:tcW w:w="4521" w:type="dxa"/>
            <w:gridSpan w:val="10"/>
            <w:noWrap w:val="0"/>
            <w:vAlign w:val="center"/>
          </w:tcPr>
          <w:p w14:paraId="19FD8D18">
            <w:pPr>
              <w:widowControl/>
              <w:snapToGrid w:val="0"/>
              <w:jc w:val="center"/>
              <w:rPr>
                <w:color w:val="auto"/>
                <w:sz w:val="18"/>
                <w:szCs w:val="18"/>
              </w:rPr>
            </w:pPr>
            <w:r>
              <w:rPr>
                <w:color w:val="auto"/>
                <w:sz w:val="18"/>
                <w:szCs w:val="18"/>
              </w:rPr>
              <w:t>淤泥质土、一般黏性土</w:t>
            </w:r>
          </w:p>
        </w:tc>
        <w:tc>
          <w:tcPr>
            <w:tcW w:w="3672" w:type="dxa"/>
            <w:gridSpan w:val="8"/>
            <w:noWrap w:val="0"/>
            <w:vAlign w:val="center"/>
          </w:tcPr>
          <w:p w14:paraId="5B9F7E99">
            <w:pPr>
              <w:widowControl/>
              <w:snapToGrid w:val="0"/>
              <w:jc w:val="center"/>
              <w:rPr>
                <w:color w:val="auto"/>
                <w:sz w:val="18"/>
                <w:szCs w:val="18"/>
              </w:rPr>
            </w:pPr>
            <w:r>
              <w:rPr>
                <w:color w:val="auto"/>
                <w:sz w:val="18"/>
                <w:szCs w:val="18"/>
              </w:rPr>
              <w:t>老黏性土</w:t>
            </w:r>
          </w:p>
        </w:tc>
      </w:tr>
      <w:tr w14:paraId="1AB9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jc w:val="center"/>
        </w:trPr>
        <w:tc>
          <w:tcPr>
            <w:tcW w:w="917" w:type="dxa"/>
            <w:noWrap w:val="0"/>
            <w:vAlign w:val="center"/>
          </w:tcPr>
          <w:p w14:paraId="347852F8">
            <w:pPr>
              <w:snapToGrid w:val="0"/>
              <w:ind w:left="-107" w:leftChars="-51"/>
              <w:jc w:val="center"/>
              <w:rPr>
                <w:color w:val="auto"/>
                <w:sz w:val="18"/>
                <w:szCs w:val="18"/>
              </w:rPr>
            </w:pPr>
            <w:r>
              <w:rPr>
                <w:i/>
                <w:color w:val="auto"/>
                <w:sz w:val="18"/>
                <w:szCs w:val="18"/>
              </w:rPr>
              <w:t>p</w:t>
            </w:r>
            <w:r>
              <w:rPr>
                <w:color w:val="auto"/>
                <w:sz w:val="18"/>
                <w:szCs w:val="18"/>
                <w:vertAlign w:val="subscript"/>
              </w:rPr>
              <w:t>s</w:t>
            </w:r>
            <w:r>
              <w:rPr>
                <w:color w:val="auto"/>
                <w:sz w:val="18"/>
                <w:szCs w:val="18"/>
              </w:rPr>
              <w:t>(MPa)</w:t>
            </w:r>
          </w:p>
        </w:tc>
        <w:tc>
          <w:tcPr>
            <w:tcW w:w="397" w:type="dxa"/>
            <w:noWrap w:val="0"/>
            <w:vAlign w:val="center"/>
          </w:tcPr>
          <w:p w14:paraId="08484083">
            <w:pPr>
              <w:widowControl/>
              <w:snapToGrid w:val="0"/>
              <w:ind w:left="-104" w:leftChars="-58" w:right="-170" w:rightChars="-81" w:hanging="18" w:hangingChars="10"/>
              <w:jc w:val="center"/>
              <w:rPr>
                <w:color w:val="auto"/>
                <w:sz w:val="18"/>
                <w:szCs w:val="18"/>
              </w:rPr>
            </w:pPr>
            <w:r>
              <w:rPr>
                <w:color w:val="auto"/>
                <w:sz w:val="18"/>
                <w:szCs w:val="18"/>
              </w:rPr>
              <w:t>0.3</w:t>
            </w:r>
          </w:p>
        </w:tc>
        <w:tc>
          <w:tcPr>
            <w:tcW w:w="458" w:type="dxa"/>
            <w:noWrap w:val="0"/>
            <w:vAlign w:val="center"/>
          </w:tcPr>
          <w:p w14:paraId="7B68160D">
            <w:pPr>
              <w:snapToGrid w:val="0"/>
              <w:ind w:left="-34" w:leftChars="-16" w:right="-126" w:rightChars="-60" w:firstLine="90" w:firstLineChars="50"/>
              <w:jc w:val="center"/>
              <w:rPr>
                <w:color w:val="auto"/>
                <w:sz w:val="18"/>
                <w:szCs w:val="18"/>
              </w:rPr>
            </w:pPr>
            <w:r>
              <w:rPr>
                <w:color w:val="auto"/>
                <w:sz w:val="18"/>
                <w:szCs w:val="18"/>
              </w:rPr>
              <w:t>0.5</w:t>
            </w:r>
          </w:p>
        </w:tc>
        <w:tc>
          <w:tcPr>
            <w:tcW w:w="458" w:type="dxa"/>
            <w:noWrap w:val="0"/>
            <w:vAlign w:val="center"/>
          </w:tcPr>
          <w:p w14:paraId="5D50E09B">
            <w:pPr>
              <w:widowControl/>
              <w:snapToGrid w:val="0"/>
              <w:ind w:left="-87" w:leftChars="-42" w:right="-164" w:rightChars="-78" w:hanging="1" w:hangingChars="1"/>
              <w:jc w:val="center"/>
              <w:rPr>
                <w:color w:val="auto"/>
                <w:sz w:val="18"/>
                <w:szCs w:val="18"/>
              </w:rPr>
            </w:pPr>
            <w:r>
              <w:rPr>
                <w:color w:val="auto"/>
                <w:sz w:val="18"/>
                <w:szCs w:val="18"/>
              </w:rPr>
              <w:t>0.7</w:t>
            </w:r>
          </w:p>
        </w:tc>
        <w:tc>
          <w:tcPr>
            <w:tcW w:w="458" w:type="dxa"/>
            <w:noWrap w:val="0"/>
            <w:vAlign w:val="center"/>
          </w:tcPr>
          <w:p w14:paraId="3BA86843">
            <w:pPr>
              <w:widowControl/>
              <w:snapToGrid w:val="0"/>
              <w:ind w:left="-109" w:leftChars="-52" w:right="-212" w:rightChars="-101"/>
              <w:jc w:val="center"/>
              <w:rPr>
                <w:color w:val="auto"/>
                <w:sz w:val="18"/>
                <w:szCs w:val="18"/>
              </w:rPr>
            </w:pPr>
            <w:r>
              <w:rPr>
                <w:color w:val="auto"/>
                <w:sz w:val="18"/>
                <w:szCs w:val="18"/>
              </w:rPr>
              <w:t>0.9</w:t>
            </w:r>
          </w:p>
        </w:tc>
        <w:tc>
          <w:tcPr>
            <w:tcW w:w="458" w:type="dxa"/>
            <w:noWrap w:val="0"/>
            <w:vAlign w:val="center"/>
          </w:tcPr>
          <w:p w14:paraId="616D314D">
            <w:pPr>
              <w:widowControl/>
              <w:snapToGrid w:val="0"/>
              <w:jc w:val="center"/>
              <w:rPr>
                <w:color w:val="auto"/>
                <w:sz w:val="18"/>
                <w:szCs w:val="18"/>
              </w:rPr>
            </w:pPr>
            <w:r>
              <w:rPr>
                <w:color w:val="auto"/>
                <w:sz w:val="18"/>
                <w:szCs w:val="18"/>
              </w:rPr>
              <w:t>1.2</w:t>
            </w:r>
          </w:p>
        </w:tc>
        <w:tc>
          <w:tcPr>
            <w:tcW w:w="458" w:type="dxa"/>
            <w:noWrap w:val="0"/>
            <w:vAlign w:val="center"/>
          </w:tcPr>
          <w:p w14:paraId="67329CB6">
            <w:pPr>
              <w:snapToGrid w:val="0"/>
              <w:ind w:left="-172" w:leftChars="-82" w:right="-80" w:rightChars="-38"/>
              <w:jc w:val="center"/>
              <w:rPr>
                <w:color w:val="auto"/>
                <w:sz w:val="18"/>
                <w:szCs w:val="18"/>
              </w:rPr>
            </w:pPr>
            <w:r>
              <w:rPr>
                <w:color w:val="auto"/>
                <w:sz w:val="18"/>
                <w:szCs w:val="18"/>
              </w:rPr>
              <w:t>1.5</w:t>
            </w:r>
          </w:p>
        </w:tc>
        <w:tc>
          <w:tcPr>
            <w:tcW w:w="458" w:type="dxa"/>
            <w:noWrap w:val="0"/>
            <w:vAlign w:val="center"/>
          </w:tcPr>
          <w:p w14:paraId="794EEDC3">
            <w:pPr>
              <w:widowControl/>
              <w:snapToGrid w:val="0"/>
              <w:ind w:left="-107" w:leftChars="-51" w:right="-147" w:rightChars="-70"/>
              <w:jc w:val="center"/>
              <w:rPr>
                <w:color w:val="auto"/>
                <w:sz w:val="18"/>
                <w:szCs w:val="18"/>
              </w:rPr>
            </w:pPr>
            <w:r>
              <w:rPr>
                <w:color w:val="auto"/>
                <w:sz w:val="18"/>
                <w:szCs w:val="18"/>
              </w:rPr>
              <w:t>1.8</w:t>
            </w:r>
          </w:p>
        </w:tc>
        <w:tc>
          <w:tcPr>
            <w:tcW w:w="458" w:type="dxa"/>
            <w:noWrap w:val="0"/>
            <w:vAlign w:val="center"/>
          </w:tcPr>
          <w:p w14:paraId="1AFE717F">
            <w:pPr>
              <w:widowControl/>
              <w:snapToGrid w:val="0"/>
              <w:ind w:left="-107" w:leftChars="-51" w:right="-107" w:rightChars="-51"/>
              <w:jc w:val="center"/>
              <w:rPr>
                <w:color w:val="auto"/>
                <w:sz w:val="18"/>
                <w:szCs w:val="18"/>
              </w:rPr>
            </w:pPr>
            <w:r>
              <w:rPr>
                <w:color w:val="auto"/>
                <w:sz w:val="18"/>
                <w:szCs w:val="18"/>
              </w:rPr>
              <w:t>2.1</w:t>
            </w:r>
          </w:p>
        </w:tc>
        <w:tc>
          <w:tcPr>
            <w:tcW w:w="458" w:type="dxa"/>
            <w:noWrap w:val="0"/>
            <w:vAlign w:val="center"/>
          </w:tcPr>
          <w:p w14:paraId="720A2AF3">
            <w:pPr>
              <w:widowControl/>
              <w:snapToGrid w:val="0"/>
              <w:ind w:left="1" w:leftChars="-15" w:right="-107" w:rightChars="-51" w:hanging="32" w:hangingChars="18"/>
              <w:jc w:val="center"/>
              <w:rPr>
                <w:color w:val="auto"/>
                <w:sz w:val="18"/>
                <w:szCs w:val="18"/>
              </w:rPr>
            </w:pPr>
            <w:r>
              <w:rPr>
                <w:color w:val="auto"/>
                <w:sz w:val="18"/>
                <w:szCs w:val="18"/>
              </w:rPr>
              <w:t>2.4</w:t>
            </w:r>
          </w:p>
        </w:tc>
        <w:tc>
          <w:tcPr>
            <w:tcW w:w="464" w:type="dxa"/>
            <w:noWrap w:val="0"/>
            <w:vAlign w:val="center"/>
          </w:tcPr>
          <w:p w14:paraId="456457CF">
            <w:pPr>
              <w:widowControl/>
              <w:snapToGrid w:val="0"/>
              <w:ind w:left="-107" w:leftChars="-51" w:right="-107" w:rightChars="-51"/>
              <w:jc w:val="center"/>
              <w:rPr>
                <w:color w:val="auto"/>
                <w:sz w:val="18"/>
                <w:szCs w:val="18"/>
              </w:rPr>
            </w:pPr>
            <w:r>
              <w:rPr>
                <w:color w:val="auto"/>
                <w:sz w:val="18"/>
                <w:szCs w:val="18"/>
              </w:rPr>
              <w:t>2.7</w:t>
            </w:r>
          </w:p>
        </w:tc>
        <w:tc>
          <w:tcPr>
            <w:tcW w:w="458" w:type="dxa"/>
            <w:noWrap w:val="0"/>
            <w:vAlign w:val="center"/>
          </w:tcPr>
          <w:p w14:paraId="4E12256C">
            <w:pPr>
              <w:widowControl/>
              <w:snapToGrid w:val="0"/>
              <w:ind w:left="-107" w:leftChars="-51"/>
              <w:jc w:val="center"/>
              <w:rPr>
                <w:color w:val="auto"/>
                <w:sz w:val="18"/>
                <w:szCs w:val="18"/>
              </w:rPr>
            </w:pPr>
            <w:r>
              <w:rPr>
                <w:color w:val="auto"/>
                <w:sz w:val="18"/>
                <w:szCs w:val="18"/>
              </w:rPr>
              <w:t>3.0</w:t>
            </w:r>
          </w:p>
        </w:tc>
        <w:tc>
          <w:tcPr>
            <w:tcW w:w="458" w:type="dxa"/>
            <w:noWrap w:val="0"/>
            <w:vAlign w:val="center"/>
          </w:tcPr>
          <w:p w14:paraId="5E50D414">
            <w:pPr>
              <w:widowControl/>
              <w:snapToGrid w:val="0"/>
              <w:ind w:left="-104" w:leftChars="-58" w:right="-170" w:rightChars="-81" w:hanging="18" w:hangingChars="10"/>
              <w:jc w:val="center"/>
              <w:rPr>
                <w:color w:val="auto"/>
                <w:sz w:val="18"/>
                <w:szCs w:val="18"/>
              </w:rPr>
            </w:pPr>
            <w:r>
              <w:rPr>
                <w:color w:val="auto"/>
                <w:sz w:val="18"/>
                <w:szCs w:val="18"/>
              </w:rPr>
              <w:t>3.3</w:t>
            </w:r>
          </w:p>
        </w:tc>
        <w:tc>
          <w:tcPr>
            <w:tcW w:w="458" w:type="dxa"/>
            <w:noWrap w:val="0"/>
            <w:vAlign w:val="center"/>
          </w:tcPr>
          <w:p w14:paraId="46263F0F">
            <w:pPr>
              <w:snapToGrid w:val="0"/>
              <w:ind w:left="-34" w:leftChars="-16" w:right="-126" w:rightChars="-60" w:firstLine="90" w:firstLineChars="50"/>
              <w:jc w:val="center"/>
              <w:rPr>
                <w:color w:val="auto"/>
                <w:sz w:val="18"/>
                <w:szCs w:val="18"/>
              </w:rPr>
            </w:pPr>
            <w:r>
              <w:rPr>
                <w:color w:val="auto"/>
                <w:sz w:val="18"/>
                <w:szCs w:val="18"/>
              </w:rPr>
              <w:t>3.6</w:t>
            </w:r>
          </w:p>
        </w:tc>
        <w:tc>
          <w:tcPr>
            <w:tcW w:w="458" w:type="dxa"/>
            <w:noWrap w:val="0"/>
            <w:vAlign w:val="center"/>
          </w:tcPr>
          <w:p w14:paraId="6FFC26F6">
            <w:pPr>
              <w:widowControl/>
              <w:snapToGrid w:val="0"/>
              <w:ind w:left="-87" w:leftChars="-42" w:right="-164" w:rightChars="-78" w:hanging="1" w:hangingChars="1"/>
              <w:jc w:val="center"/>
              <w:rPr>
                <w:color w:val="auto"/>
                <w:sz w:val="18"/>
                <w:szCs w:val="18"/>
              </w:rPr>
            </w:pPr>
            <w:r>
              <w:rPr>
                <w:color w:val="auto"/>
                <w:sz w:val="18"/>
                <w:szCs w:val="18"/>
              </w:rPr>
              <w:t>3.9</w:t>
            </w:r>
          </w:p>
        </w:tc>
        <w:tc>
          <w:tcPr>
            <w:tcW w:w="458" w:type="dxa"/>
            <w:noWrap w:val="0"/>
            <w:vAlign w:val="center"/>
          </w:tcPr>
          <w:p w14:paraId="102CF736">
            <w:pPr>
              <w:widowControl/>
              <w:snapToGrid w:val="0"/>
              <w:ind w:left="-109" w:leftChars="-52" w:right="-212" w:rightChars="-101"/>
              <w:jc w:val="center"/>
              <w:rPr>
                <w:color w:val="auto"/>
                <w:sz w:val="18"/>
                <w:szCs w:val="18"/>
              </w:rPr>
            </w:pPr>
            <w:r>
              <w:rPr>
                <w:color w:val="auto"/>
                <w:sz w:val="18"/>
                <w:szCs w:val="18"/>
              </w:rPr>
              <w:t>4.2</w:t>
            </w:r>
          </w:p>
        </w:tc>
        <w:tc>
          <w:tcPr>
            <w:tcW w:w="458" w:type="dxa"/>
            <w:noWrap w:val="0"/>
            <w:vAlign w:val="center"/>
          </w:tcPr>
          <w:p w14:paraId="674940F2">
            <w:pPr>
              <w:widowControl/>
              <w:snapToGrid w:val="0"/>
              <w:jc w:val="center"/>
              <w:rPr>
                <w:color w:val="auto"/>
                <w:sz w:val="18"/>
                <w:szCs w:val="18"/>
              </w:rPr>
            </w:pPr>
            <w:r>
              <w:rPr>
                <w:color w:val="auto"/>
                <w:sz w:val="18"/>
                <w:szCs w:val="18"/>
              </w:rPr>
              <w:t>4.5</w:t>
            </w:r>
          </w:p>
        </w:tc>
        <w:tc>
          <w:tcPr>
            <w:tcW w:w="458" w:type="dxa"/>
            <w:noWrap w:val="0"/>
            <w:vAlign w:val="center"/>
          </w:tcPr>
          <w:p w14:paraId="28E7E586">
            <w:pPr>
              <w:snapToGrid w:val="0"/>
              <w:ind w:left="-172" w:leftChars="-82" w:right="-80" w:rightChars="-38"/>
              <w:jc w:val="center"/>
              <w:rPr>
                <w:color w:val="auto"/>
                <w:sz w:val="18"/>
                <w:szCs w:val="18"/>
              </w:rPr>
            </w:pPr>
            <w:r>
              <w:rPr>
                <w:color w:val="auto"/>
                <w:sz w:val="18"/>
                <w:szCs w:val="18"/>
              </w:rPr>
              <w:t>4.8</w:t>
            </w:r>
          </w:p>
        </w:tc>
        <w:tc>
          <w:tcPr>
            <w:tcW w:w="458" w:type="dxa"/>
            <w:noWrap w:val="0"/>
            <w:vAlign w:val="center"/>
          </w:tcPr>
          <w:p w14:paraId="53630F92">
            <w:pPr>
              <w:widowControl/>
              <w:snapToGrid w:val="0"/>
              <w:ind w:left="-107" w:leftChars="-51" w:right="-147" w:rightChars="-70"/>
              <w:jc w:val="center"/>
              <w:rPr>
                <w:color w:val="auto"/>
                <w:sz w:val="18"/>
                <w:szCs w:val="18"/>
              </w:rPr>
            </w:pPr>
            <w:r>
              <w:rPr>
                <w:color w:val="auto"/>
                <w:sz w:val="18"/>
                <w:szCs w:val="18"/>
              </w:rPr>
              <w:t>5.1</w:t>
            </w:r>
          </w:p>
        </w:tc>
      </w:tr>
      <w:tr w14:paraId="0FD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jc w:val="center"/>
        </w:trPr>
        <w:tc>
          <w:tcPr>
            <w:tcW w:w="917" w:type="dxa"/>
            <w:noWrap w:val="0"/>
            <w:vAlign w:val="center"/>
          </w:tcPr>
          <w:p w14:paraId="2106A11A">
            <w:pPr>
              <w:snapToGrid w:val="0"/>
              <w:ind w:left="-107" w:leftChars="-51"/>
              <w:jc w:val="center"/>
              <w:rPr>
                <w:color w:val="auto"/>
                <w:sz w:val="18"/>
                <w:szCs w:val="18"/>
              </w:rPr>
            </w:pPr>
            <w:r>
              <w:rPr>
                <w:i/>
                <w:color w:val="auto"/>
                <w:sz w:val="18"/>
                <w:szCs w:val="18"/>
              </w:rPr>
              <w:t>E</w:t>
            </w:r>
            <w:r>
              <w:rPr>
                <w:color w:val="auto"/>
                <w:sz w:val="18"/>
                <w:szCs w:val="18"/>
                <w:vertAlign w:val="subscript"/>
              </w:rPr>
              <w:t>s1-2</w:t>
            </w:r>
            <w:r>
              <w:rPr>
                <w:color w:val="auto"/>
                <w:sz w:val="18"/>
                <w:szCs w:val="18"/>
              </w:rPr>
              <w:t>(MPa)</w:t>
            </w:r>
          </w:p>
        </w:tc>
        <w:tc>
          <w:tcPr>
            <w:tcW w:w="397" w:type="dxa"/>
            <w:noWrap w:val="0"/>
            <w:vAlign w:val="center"/>
          </w:tcPr>
          <w:p w14:paraId="4F8EA122">
            <w:pPr>
              <w:snapToGrid w:val="0"/>
              <w:jc w:val="center"/>
              <w:rPr>
                <w:color w:val="auto"/>
                <w:sz w:val="18"/>
                <w:szCs w:val="18"/>
              </w:rPr>
            </w:pPr>
            <w:r>
              <w:rPr>
                <w:color w:val="auto"/>
                <w:sz w:val="18"/>
                <w:szCs w:val="18"/>
              </w:rPr>
              <w:t>2</w:t>
            </w:r>
          </w:p>
        </w:tc>
        <w:tc>
          <w:tcPr>
            <w:tcW w:w="458" w:type="dxa"/>
            <w:noWrap w:val="0"/>
            <w:vAlign w:val="center"/>
          </w:tcPr>
          <w:p w14:paraId="00C12651">
            <w:pPr>
              <w:snapToGrid w:val="0"/>
              <w:jc w:val="center"/>
              <w:rPr>
                <w:color w:val="auto"/>
                <w:sz w:val="18"/>
                <w:szCs w:val="18"/>
              </w:rPr>
            </w:pPr>
            <w:r>
              <w:rPr>
                <w:color w:val="auto"/>
                <w:sz w:val="18"/>
                <w:szCs w:val="18"/>
              </w:rPr>
              <w:t>3</w:t>
            </w:r>
          </w:p>
        </w:tc>
        <w:tc>
          <w:tcPr>
            <w:tcW w:w="458" w:type="dxa"/>
            <w:noWrap w:val="0"/>
            <w:vAlign w:val="center"/>
          </w:tcPr>
          <w:p w14:paraId="0D038D38">
            <w:pPr>
              <w:snapToGrid w:val="0"/>
              <w:jc w:val="center"/>
              <w:rPr>
                <w:color w:val="auto"/>
                <w:sz w:val="18"/>
                <w:szCs w:val="18"/>
              </w:rPr>
            </w:pPr>
            <w:r>
              <w:rPr>
                <w:color w:val="auto"/>
                <w:sz w:val="18"/>
                <w:szCs w:val="18"/>
              </w:rPr>
              <w:t>4</w:t>
            </w:r>
          </w:p>
        </w:tc>
        <w:tc>
          <w:tcPr>
            <w:tcW w:w="458" w:type="dxa"/>
            <w:noWrap w:val="0"/>
            <w:vAlign w:val="center"/>
          </w:tcPr>
          <w:p w14:paraId="469E09DE">
            <w:pPr>
              <w:snapToGrid w:val="0"/>
              <w:ind w:left="-109" w:leftChars="-52" w:right="-107" w:rightChars="-51"/>
              <w:jc w:val="center"/>
              <w:rPr>
                <w:color w:val="auto"/>
                <w:sz w:val="18"/>
                <w:szCs w:val="18"/>
              </w:rPr>
            </w:pPr>
            <w:r>
              <w:rPr>
                <w:color w:val="auto"/>
                <w:sz w:val="18"/>
                <w:szCs w:val="18"/>
              </w:rPr>
              <w:t>5</w:t>
            </w:r>
          </w:p>
        </w:tc>
        <w:tc>
          <w:tcPr>
            <w:tcW w:w="458" w:type="dxa"/>
            <w:noWrap w:val="0"/>
            <w:vAlign w:val="center"/>
          </w:tcPr>
          <w:p w14:paraId="3E238343">
            <w:pPr>
              <w:snapToGrid w:val="0"/>
              <w:jc w:val="center"/>
              <w:rPr>
                <w:color w:val="auto"/>
                <w:sz w:val="18"/>
                <w:szCs w:val="18"/>
              </w:rPr>
            </w:pPr>
            <w:r>
              <w:rPr>
                <w:color w:val="auto"/>
                <w:sz w:val="18"/>
                <w:szCs w:val="18"/>
              </w:rPr>
              <w:t>6</w:t>
            </w:r>
          </w:p>
        </w:tc>
        <w:tc>
          <w:tcPr>
            <w:tcW w:w="458" w:type="dxa"/>
            <w:noWrap w:val="0"/>
            <w:vAlign w:val="center"/>
          </w:tcPr>
          <w:p w14:paraId="402EF33C">
            <w:pPr>
              <w:snapToGrid w:val="0"/>
              <w:jc w:val="center"/>
              <w:rPr>
                <w:color w:val="auto"/>
                <w:sz w:val="18"/>
                <w:szCs w:val="18"/>
              </w:rPr>
            </w:pPr>
            <w:r>
              <w:rPr>
                <w:color w:val="auto"/>
                <w:sz w:val="18"/>
                <w:szCs w:val="18"/>
              </w:rPr>
              <w:t>7</w:t>
            </w:r>
          </w:p>
        </w:tc>
        <w:tc>
          <w:tcPr>
            <w:tcW w:w="458" w:type="dxa"/>
            <w:noWrap w:val="0"/>
            <w:vAlign w:val="center"/>
          </w:tcPr>
          <w:p w14:paraId="54C894A0">
            <w:pPr>
              <w:snapToGrid w:val="0"/>
              <w:ind w:left="3" w:leftChars="-60" w:right="-107" w:rightChars="-51" w:hanging="129" w:hangingChars="72"/>
              <w:jc w:val="center"/>
              <w:rPr>
                <w:color w:val="auto"/>
                <w:sz w:val="18"/>
                <w:szCs w:val="18"/>
              </w:rPr>
            </w:pPr>
            <w:r>
              <w:rPr>
                <w:color w:val="auto"/>
                <w:sz w:val="18"/>
                <w:szCs w:val="18"/>
              </w:rPr>
              <w:t>8</w:t>
            </w:r>
          </w:p>
        </w:tc>
        <w:tc>
          <w:tcPr>
            <w:tcW w:w="458" w:type="dxa"/>
            <w:noWrap w:val="0"/>
            <w:vAlign w:val="center"/>
          </w:tcPr>
          <w:p w14:paraId="0FBCE415">
            <w:pPr>
              <w:snapToGrid w:val="0"/>
              <w:ind w:left="-107" w:leftChars="-51" w:right="-107" w:rightChars="-51"/>
              <w:jc w:val="center"/>
              <w:rPr>
                <w:color w:val="auto"/>
                <w:sz w:val="18"/>
                <w:szCs w:val="18"/>
              </w:rPr>
            </w:pPr>
            <w:r>
              <w:rPr>
                <w:color w:val="auto"/>
                <w:sz w:val="18"/>
                <w:szCs w:val="18"/>
              </w:rPr>
              <w:t>9</w:t>
            </w:r>
          </w:p>
        </w:tc>
        <w:tc>
          <w:tcPr>
            <w:tcW w:w="458" w:type="dxa"/>
            <w:noWrap w:val="0"/>
            <w:vAlign w:val="center"/>
          </w:tcPr>
          <w:p w14:paraId="01844718">
            <w:pPr>
              <w:snapToGrid w:val="0"/>
              <w:jc w:val="center"/>
              <w:rPr>
                <w:color w:val="auto"/>
                <w:sz w:val="18"/>
                <w:szCs w:val="18"/>
              </w:rPr>
            </w:pPr>
            <w:r>
              <w:rPr>
                <w:color w:val="auto"/>
                <w:sz w:val="18"/>
                <w:szCs w:val="18"/>
              </w:rPr>
              <w:t>10</w:t>
            </w:r>
          </w:p>
        </w:tc>
        <w:tc>
          <w:tcPr>
            <w:tcW w:w="464" w:type="dxa"/>
            <w:noWrap w:val="0"/>
            <w:vAlign w:val="center"/>
          </w:tcPr>
          <w:p w14:paraId="010C7AE0">
            <w:pPr>
              <w:snapToGrid w:val="0"/>
              <w:jc w:val="center"/>
              <w:rPr>
                <w:color w:val="auto"/>
                <w:sz w:val="18"/>
                <w:szCs w:val="18"/>
              </w:rPr>
            </w:pPr>
            <w:r>
              <w:rPr>
                <w:color w:val="auto"/>
                <w:sz w:val="18"/>
                <w:szCs w:val="18"/>
              </w:rPr>
              <w:t>11</w:t>
            </w:r>
          </w:p>
        </w:tc>
        <w:tc>
          <w:tcPr>
            <w:tcW w:w="458" w:type="dxa"/>
            <w:noWrap w:val="0"/>
            <w:vAlign w:val="center"/>
          </w:tcPr>
          <w:p w14:paraId="0962D909">
            <w:pPr>
              <w:snapToGrid w:val="0"/>
              <w:jc w:val="center"/>
              <w:rPr>
                <w:color w:val="auto"/>
                <w:sz w:val="18"/>
                <w:szCs w:val="18"/>
              </w:rPr>
            </w:pPr>
            <w:r>
              <w:rPr>
                <w:color w:val="auto"/>
                <w:sz w:val="18"/>
                <w:szCs w:val="18"/>
              </w:rPr>
              <w:t>13</w:t>
            </w:r>
          </w:p>
        </w:tc>
        <w:tc>
          <w:tcPr>
            <w:tcW w:w="458" w:type="dxa"/>
            <w:noWrap w:val="0"/>
            <w:vAlign w:val="center"/>
          </w:tcPr>
          <w:p w14:paraId="381BE41D">
            <w:pPr>
              <w:snapToGrid w:val="0"/>
              <w:jc w:val="center"/>
              <w:rPr>
                <w:color w:val="auto"/>
                <w:sz w:val="18"/>
                <w:szCs w:val="18"/>
              </w:rPr>
            </w:pPr>
            <w:r>
              <w:rPr>
                <w:color w:val="auto"/>
                <w:sz w:val="18"/>
                <w:szCs w:val="18"/>
              </w:rPr>
              <w:t>14</w:t>
            </w:r>
          </w:p>
        </w:tc>
        <w:tc>
          <w:tcPr>
            <w:tcW w:w="458" w:type="dxa"/>
            <w:noWrap w:val="0"/>
            <w:vAlign w:val="center"/>
          </w:tcPr>
          <w:p w14:paraId="2131FABB">
            <w:pPr>
              <w:snapToGrid w:val="0"/>
              <w:jc w:val="center"/>
              <w:rPr>
                <w:color w:val="auto"/>
                <w:sz w:val="18"/>
                <w:szCs w:val="18"/>
              </w:rPr>
            </w:pPr>
            <w:r>
              <w:rPr>
                <w:color w:val="auto"/>
                <w:sz w:val="18"/>
                <w:szCs w:val="18"/>
              </w:rPr>
              <w:t>15</w:t>
            </w:r>
          </w:p>
        </w:tc>
        <w:tc>
          <w:tcPr>
            <w:tcW w:w="458" w:type="dxa"/>
            <w:noWrap w:val="0"/>
            <w:vAlign w:val="center"/>
          </w:tcPr>
          <w:p w14:paraId="42B0BF63">
            <w:pPr>
              <w:snapToGrid w:val="0"/>
              <w:jc w:val="center"/>
              <w:rPr>
                <w:color w:val="auto"/>
                <w:sz w:val="18"/>
                <w:szCs w:val="18"/>
              </w:rPr>
            </w:pPr>
            <w:r>
              <w:rPr>
                <w:color w:val="auto"/>
                <w:sz w:val="18"/>
                <w:szCs w:val="18"/>
              </w:rPr>
              <w:t>16</w:t>
            </w:r>
          </w:p>
        </w:tc>
        <w:tc>
          <w:tcPr>
            <w:tcW w:w="458" w:type="dxa"/>
            <w:noWrap w:val="0"/>
            <w:vAlign w:val="center"/>
          </w:tcPr>
          <w:p w14:paraId="17FA93DE">
            <w:pPr>
              <w:snapToGrid w:val="0"/>
              <w:ind w:left="-109" w:leftChars="-52" w:right="-107" w:rightChars="-51"/>
              <w:jc w:val="center"/>
              <w:rPr>
                <w:color w:val="auto"/>
                <w:sz w:val="18"/>
                <w:szCs w:val="18"/>
              </w:rPr>
            </w:pPr>
            <w:r>
              <w:rPr>
                <w:color w:val="auto"/>
                <w:sz w:val="18"/>
                <w:szCs w:val="18"/>
              </w:rPr>
              <w:t>17</w:t>
            </w:r>
          </w:p>
        </w:tc>
        <w:tc>
          <w:tcPr>
            <w:tcW w:w="458" w:type="dxa"/>
            <w:noWrap w:val="0"/>
            <w:vAlign w:val="center"/>
          </w:tcPr>
          <w:p w14:paraId="517BF883">
            <w:pPr>
              <w:snapToGrid w:val="0"/>
              <w:jc w:val="center"/>
              <w:rPr>
                <w:color w:val="auto"/>
                <w:sz w:val="18"/>
                <w:szCs w:val="18"/>
              </w:rPr>
            </w:pPr>
            <w:r>
              <w:rPr>
                <w:color w:val="auto"/>
                <w:sz w:val="18"/>
                <w:szCs w:val="18"/>
              </w:rPr>
              <w:t>19</w:t>
            </w:r>
          </w:p>
        </w:tc>
        <w:tc>
          <w:tcPr>
            <w:tcW w:w="458" w:type="dxa"/>
            <w:noWrap w:val="0"/>
            <w:vAlign w:val="center"/>
          </w:tcPr>
          <w:p w14:paraId="1588DDAA">
            <w:pPr>
              <w:snapToGrid w:val="0"/>
              <w:jc w:val="center"/>
              <w:rPr>
                <w:color w:val="auto"/>
                <w:sz w:val="18"/>
                <w:szCs w:val="18"/>
              </w:rPr>
            </w:pPr>
            <w:r>
              <w:rPr>
                <w:color w:val="auto"/>
                <w:sz w:val="18"/>
                <w:szCs w:val="18"/>
              </w:rPr>
              <w:t>21</w:t>
            </w:r>
          </w:p>
        </w:tc>
        <w:tc>
          <w:tcPr>
            <w:tcW w:w="458" w:type="dxa"/>
            <w:noWrap w:val="0"/>
            <w:vAlign w:val="center"/>
          </w:tcPr>
          <w:p w14:paraId="7E4050F6">
            <w:pPr>
              <w:snapToGrid w:val="0"/>
              <w:ind w:left="3" w:leftChars="-60" w:right="-107" w:rightChars="-51" w:hanging="129" w:hangingChars="72"/>
              <w:jc w:val="center"/>
              <w:rPr>
                <w:color w:val="auto"/>
                <w:sz w:val="18"/>
                <w:szCs w:val="18"/>
              </w:rPr>
            </w:pPr>
            <w:r>
              <w:rPr>
                <w:color w:val="auto"/>
                <w:sz w:val="18"/>
                <w:szCs w:val="18"/>
              </w:rPr>
              <w:t>22</w:t>
            </w:r>
          </w:p>
        </w:tc>
      </w:tr>
      <w:tr w14:paraId="3D1B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jc w:val="center"/>
        </w:trPr>
        <w:tc>
          <w:tcPr>
            <w:tcW w:w="917" w:type="dxa"/>
            <w:noWrap w:val="0"/>
            <w:vAlign w:val="center"/>
          </w:tcPr>
          <w:p w14:paraId="75B0129C">
            <w:pPr>
              <w:snapToGrid w:val="0"/>
              <w:ind w:left="-107" w:leftChars="-51"/>
              <w:jc w:val="center"/>
              <w:rPr>
                <w:color w:val="auto"/>
                <w:sz w:val="18"/>
                <w:szCs w:val="18"/>
              </w:rPr>
            </w:pPr>
            <w:r>
              <w:rPr>
                <w:i/>
                <w:color w:val="auto"/>
                <w:sz w:val="18"/>
                <w:szCs w:val="18"/>
              </w:rPr>
              <w:t>E</w:t>
            </w:r>
            <w:r>
              <w:rPr>
                <w:color w:val="auto"/>
                <w:sz w:val="18"/>
                <w:szCs w:val="18"/>
                <w:vertAlign w:val="subscript"/>
              </w:rPr>
              <w:t>0</w:t>
            </w:r>
            <w:r>
              <w:rPr>
                <w:color w:val="auto"/>
                <w:sz w:val="18"/>
                <w:szCs w:val="18"/>
              </w:rPr>
              <w:t xml:space="preserve">(MPa) </w:t>
            </w:r>
          </w:p>
        </w:tc>
        <w:tc>
          <w:tcPr>
            <w:tcW w:w="397" w:type="dxa"/>
            <w:noWrap w:val="0"/>
            <w:vAlign w:val="center"/>
          </w:tcPr>
          <w:p w14:paraId="4F9A0AD6">
            <w:pPr>
              <w:snapToGrid w:val="0"/>
              <w:jc w:val="center"/>
              <w:rPr>
                <w:color w:val="auto"/>
                <w:sz w:val="18"/>
                <w:szCs w:val="18"/>
              </w:rPr>
            </w:pPr>
            <w:r>
              <w:rPr>
                <w:color w:val="auto"/>
                <w:sz w:val="18"/>
                <w:szCs w:val="18"/>
              </w:rPr>
              <w:t>3</w:t>
            </w:r>
          </w:p>
        </w:tc>
        <w:tc>
          <w:tcPr>
            <w:tcW w:w="458" w:type="dxa"/>
            <w:noWrap w:val="0"/>
            <w:vAlign w:val="center"/>
          </w:tcPr>
          <w:p w14:paraId="6141BF88">
            <w:pPr>
              <w:snapToGrid w:val="0"/>
              <w:jc w:val="center"/>
              <w:rPr>
                <w:color w:val="auto"/>
                <w:sz w:val="18"/>
                <w:szCs w:val="18"/>
              </w:rPr>
            </w:pPr>
            <w:r>
              <w:rPr>
                <w:color w:val="auto"/>
                <w:sz w:val="18"/>
                <w:szCs w:val="18"/>
              </w:rPr>
              <w:t>4</w:t>
            </w:r>
          </w:p>
        </w:tc>
        <w:tc>
          <w:tcPr>
            <w:tcW w:w="458" w:type="dxa"/>
            <w:noWrap w:val="0"/>
            <w:vAlign w:val="center"/>
          </w:tcPr>
          <w:p w14:paraId="5FAFA157">
            <w:pPr>
              <w:snapToGrid w:val="0"/>
              <w:jc w:val="center"/>
              <w:rPr>
                <w:color w:val="auto"/>
                <w:sz w:val="18"/>
                <w:szCs w:val="18"/>
              </w:rPr>
            </w:pPr>
            <w:r>
              <w:rPr>
                <w:color w:val="auto"/>
                <w:sz w:val="18"/>
                <w:szCs w:val="18"/>
              </w:rPr>
              <w:t>5</w:t>
            </w:r>
          </w:p>
        </w:tc>
        <w:tc>
          <w:tcPr>
            <w:tcW w:w="458" w:type="dxa"/>
            <w:noWrap w:val="0"/>
            <w:vAlign w:val="center"/>
          </w:tcPr>
          <w:p w14:paraId="1281963D">
            <w:pPr>
              <w:snapToGrid w:val="0"/>
              <w:ind w:left="-109" w:leftChars="-52" w:right="-107" w:rightChars="-51"/>
              <w:jc w:val="center"/>
              <w:rPr>
                <w:color w:val="auto"/>
                <w:sz w:val="18"/>
                <w:szCs w:val="18"/>
              </w:rPr>
            </w:pPr>
            <w:r>
              <w:rPr>
                <w:color w:val="auto"/>
                <w:sz w:val="18"/>
                <w:szCs w:val="18"/>
              </w:rPr>
              <w:t>6</w:t>
            </w:r>
          </w:p>
        </w:tc>
        <w:tc>
          <w:tcPr>
            <w:tcW w:w="458" w:type="dxa"/>
            <w:noWrap w:val="0"/>
            <w:vAlign w:val="center"/>
          </w:tcPr>
          <w:p w14:paraId="3B044DA0">
            <w:pPr>
              <w:snapToGrid w:val="0"/>
              <w:jc w:val="center"/>
              <w:rPr>
                <w:color w:val="auto"/>
                <w:sz w:val="18"/>
                <w:szCs w:val="18"/>
              </w:rPr>
            </w:pPr>
            <w:r>
              <w:rPr>
                <w:color w:val="auto"/>
                <w:sz w:val="18"/>
                <w:szCs w:val="18"/>
              </w:rPr>
              <w:t>8</w:t>
            </w:r>
          </w:p>
        </w:tc>
        <w:tc>
          <w:tcPr>
            <w:tcW w:w="458" w:type="dxa"/>
            <w:noWrap w:val="0"/>
            <w:vAlign w:val="center"/>
          </w:tcPr>
          <w:p w14:paraId="6C9812DD">
            <w:pPr>
              <w:snapToGrid w:val="0"/>
              <w:jc w:val="center"/>
              <w:rPr>
                <w:color w:val="auto"/>
                <w:sz w:val="18"/>
                <w:szCs w:val="18"/>
              </w:rPr>
            </w:pPr>
            <w:r>
              <w:rPr>
                <w:color w:val="auto"/>
                <w:sz w:val="18"/>
                <w:szCs w:val="18"/>
              </w:rPr>
              <w:t>12</w:t>
            </w:r>
          </w:p>
        </w:tc>
        <w:tc>
          <w:tcPr>
            <w:tcW w:w="458" w:type="dxa"/>
            <w:noWrap w:val="0"/>
            <w:vAlign w:val="center"/>
          </w:tcPr>
          <w:p w14:paraId="075C7154">
            <w:pPr>
              <w:snapToGrid w:val="0"/>
              <w:ind w:left="3" w:leftChars="-60" w:right="-107" w:rightChars="-51" w:hanging="129" w:hangingChars="72"/>
              <w:jc w:val="center"/>
              <w:rPr>
                <w:color w:val="auto"/>
                <w:sz w:val="18"/>
                <w:szCs w:val="18"/>
              </w:rPr>
            </w:pPr>
            <w:r>
              <w:rPr>
                <w:color w:val="auto"/>
                <w:sz w:val="18"/>
                <w:szCs w:val="18"/>
              </w:rPr>
              <w:t>14</w:t>
            </w:r>
          </w:p>
        </w:tc>
        <w:tc>
          <w:tcPr>
            <w:tcW w:w="458" w:type="dxa"/>
            <w:noWrap w:val="0"/>
            <w:vAlign w:val="center"/>
          </w:tcPr>
          <w:p w14:paraId="7485E179">
            <w:pPr>
              <w:snapToGrid w:val="0"/>
              <w:ind w:left="-107" w:leftChars="-51" w:right="-107" w:rightChars="-51"/>
              <w:jc w:val="center"/>
              <w:rPr>
                <w:color w:val="auto"/>
                <w:sz w:val="18"/>
                <w:szCs w:val="18"/>
              </w:rPr>
            </w:pPr>
            <w:r>
              <w:rPr>
                <w:color w:val="auto"/>
                <w:sz w:val="18"/>
                <w:szCs w:val="18"/>
              </w:rPr>
              <w:t>16</w:t>
            </w:r>
          </w:p>
        </w:tc>
        <w:tc>
          <w:tcPr>
            <w:tcW w:w="458" w:type="dxa"/>
            <w:noWrap w:val="0"/>
            <w:vAlign w:val="center"/>
          </w:tcPr>
          <w:p w14:paraId="07CF9856">
            <w:pPr>
              <w:snapToGrid w:val="0"/>
              <w:jc w:val="center"/>
              <w:rPr>
                <w:color w:val="auto"/>
                <w:sz w:val="18"/>
                <w:szCs w:val="18"/>
              </w:rPr>
            </w:pPr>
            <w:r>
              <w:rPr>
                <w:color w:val="auto"/>
                <w:sz w:val="18"/>
                <w:szCs w:val="18"/>
              </w:rPr>
              <w:t>18</w:t>
            </w:r>
          </w:p>
        </w:tc>
        <w:tc>
          <w:tcPr>
            <w:tcW w:w="464" w:type="dxa"/>
            <w:noWrap w:val="0"/>
            <w:vAlign w:val="center"/>
          </w:tcPr>
          <w:p w14:paraId="6414B321">
            <w:pPr>
              <w:snapToGrid w:val="0"/>
              <w:jc w:val="center"/>
              <w:rPr>
                <w:color w:val="auto"/>
                <w:sz w:val="18"/>
                <w:szCs w:val="18"/>
              </w:rPr>
            </w:pPr>
            <w:r>
              <w:rPr>
                <w:color w:val="auto"/>
                <w:sz w:val="18"/>
                <w:szCs w:val="18"/>
              </w:rPr>
              <w:t>20</w:t>
            </w:r>
          </w:p>
        </w:tc>
        <w:tc>
          <w:tcPr>
            <w:tcW w:w="458" w:type="dxa"/>
            <w:noWrap w:val="0"/>
            <w:vAlign w:val="center"/>
          </w:tcPr>
          <w:p w14:paraId="2FFCBCC7">
            <w:pPr>
              <w:snapToGrid w:val="0"/>
              <w:jc w:val="center"/>
              <w:rPr>
                <w:color w:val="auto"/>
                <w:sz w:val="18"/>
                <w:szCs w:val="18"/>
              </w:rPr>
            </w:pPr>
            <w:r>
              <w:rPr>
                <w:color w:val="auto"/>
                <w:sz w:val="18"/>
                <w:szCs w:val="18"/>
              </w:rPr>
              <w:t>31</w:t>
            </w:r>
          </w:p>
        </w:tc>
        <w:tc>
          <w:tcPr>
            <w:tcW w:w="458" w:type="dxa"/>
            <w:noWrap w:val="0"/>
            <w:vAlign w:val="center"/>
          </w:tcPr>
          <w:p w14:paraId="4DE35F10">
            <w:pPr>
              <w:snapToGrid w:val="0"/>
              <w:jc w:val="center"/>
              <w:rPr>
                <w:color w:val="auto"/>
                <w:sz w:val="18"/>
                <w:szCs w:val="18"/>
              </w:rPr>
            </w:pPr>
            <w:r>
              <w:rPr>
                <w:color w:val="auto"/>
                <w:sz w:val="18"/>
                <w:szCs w:val="18"/>
              </w:rPr>
              <w:t>34</w:t>
            </w:r>
          </w:p>
        </w:tc>
        <w:tc>
          <w:tcPr>
            <w:tcW w:w="458" w:type="dxa"/>
            <w:noWrap w:val="0"/>
            <w:vAlign w:val="center"/>
          </w:tcPr>
          <w:p w14:paraId="1DE56F34">
            <w:pPr>
              <w:snapToGrid w:val="0"/>
              <w:jc w:val="center"/>
              <w:rPr>
                <w:color w:val="auto"/>
                <w:sz w:val="18"/>
                <w:szCs w:val="18"/>
              </w:rPr>
            </w:pPr>
            <w:r>
              <w:rPr>
                <w:color w:val="auto"/>
                <w:sz w:val="18"/>
                <w:szCs w:val="18"/>
              </w:rPr>
              <w:t>38</w:t>
            </w:r>
          </w:p>
        </w:tc>
        <w:tc>
          <w:tcPr>
            <w:tcW w:w="458" w:type="dxa"/>
            <w:noWrap w:val="0"/>
            <w:vAlign w:val="center"/>
          </w:tcPr>
          <w:p w14:paraId="11514CE1">
            <w:pPr>
              <w:snapToGrid w:val="0"/>
              <w:jc w:val="center"/>
              <w:rPr>
                <w:color w:val="auto"/>
                <w:sz w:val="18"/>
                <w:szCs w:val="18"/>
              </w:rPr>
            </w:pPr>
            <w:r>
              <w:rPr>
                <w:color w:val="auto"/>
                <w:sz w:val="18"/>
                <w:szCs w:val="18"/>
              </w:rPr>
              <w:t>42</w:t>
            </w:r>
          </w:p>
        </w:tc>
        <w:tc>
          <w:tcPr>
            <w:tcW w:w="458" w:type="dxa"/>
            <w:noWrap w:val="0"/>
            <w:vAlign w:val="center"/>
          </w:tcPr>
          <w:p w14:paraId="3A3F1DBF">
            <w:pPr>
              <w:snapToGrid w:val="0"/>
              <w:ind w:left="-109" w:leftChars="-52" w:right="-107" w:rightChars="-51"/>
              <w:jc w:val="center"/>
              <w:rPr>
                <w:color w:val="auto"/>
                <w:sz w:val="18"/>
                <w:szCs w:val="18"/>
              </w:rPr>
            </w:pPr>
            <w:r>
              <w:rPr>
                <w:color w:val="auto"/>
                <w:sz w:val="18"/>
                <w:szCs w:val="18"/>
              </w:rPr>
              <w:t>46</w:t>
            </w:r>
          </w:p>
        </w:tc>
        <w:tc>
          <w:tcPr>
            <w:tcW w:w="458" w:type="dxa"/>
            <w:noWrap w:val="0"/>
            <w:vAlign w:val="center"/>
          </w:tcPr>
          <w:p w14:paraId="572A0CB5">
            <w:pPr>
              <w:snapToGrid w:val="0"/>
              <w:jc w:val="center"/>
              <w:rPr>
                <w:color w:val="auto"/>
                <w:sz w:val="18"/>
                <w:szCs w:val="18"/>
              </w:rPr>
            </w:pPr>
            <w:r>
              <w:rPr>
                <w:color w:val="auto"/>
                <w:sz w:val="18"/>
                <w:szCs w:val="18"/>
              </w:rPr>
              <w:t>52</w:t>
            </w:r>
          </w:p>
        </w:tc>
        <w:tc>
          <w:tcPr>
            <w:tcW w:w="458" w:type="dxa"/>
            <w:noWrap w:val="0"/>
            <w:vAlign w:val="center"/>
          </w:tcPr>
          <w:p w14:paraId="76FCACAC">
            <w:pPr>
              <w:snapToGrid w:val="0"/>
              <w:jc w:val="center"/>
              <w:rPr>
                <w:color w:val="auto"/>
                <w:sz w:val="18"/>
                <w:szCs w:val="18"/>
              </w:rPr>
            </w:pPr>
            <w:r>
              <w:rPr>
                <w:color w:val="auto"/>
                <w:sz w:val="18"/>
                <w:szCs w:val="18"/>
              </w:rPr>
              <w:t>56</w:t>
            </w:r>
          </w:p>
        </w:tc>
        <w:tc>
          <w:tcPr>
            <w:tcW w:w="458" w:type="dxa"/>
            <w:noWrap w:val="0"/>
            <w:vAlign w:val="center"/>
          </w:tcPr>
          <w:p w14:paraId="58F0C012">
            <w:pPr>
              <w:snapToGrid w:val="0"/>
              <w:ind w:left="3" w:leftChars="-60" w:right="-107" w:rightChars="-51" w:hanging="129" w:hangingChars="72"/>
              <w:jc w:val="center"/>
              <w:rPr>
                <w:color w:val="auto"/>
                <w:sz w:val="18"/>
                <w:szCs w:val="18"/>
              </w:rPr>
            </w:pPr>
            <w:r>
              <w:rPr>
                <w:color w:val="auto"/>
                <w:sz w:val="18"/>
                <w:szCs w:val="18"/>
              </w:rPr>
              <w:t>60</w:t>
            </w:r>
          </w:p>
        </w:tc>
      </w:tr>
    </w:tbl>
    <w:p w14:paraId="1605C581">
      <w:pPr>
        <w:snapToGrid w:val="0"/>
        <w:spacing w:line="360" w:lineRule="atLeast"/>
        <w:jc w:val="center"/>
        <w:rPr>
          <w:b/>
          <w:color w:val="auto"/>
          <w:szCs w:val="21"/>
        </w:rPr>
      </w:pPr>
    </w:p>
    <w:p w14:paraId="3FA4AF1A">
      <w:pPr>
        <w:pStyle w:val="12"/>
        <w:jc w:val="center"/>
        <w:rPr>
          <w:b/>
          <w:color w:val="auto"/>
          <w:szCs w:val="21"/>
        </w:rPr>
      </w:pPr>
      <w:r>
        <w:rPr>
          <w:rFonts w:hint="eastAsia"/>
          <w:color w:val="auto"/>
        </w:rPr>
        <w:t xml:space="preserve">表 </w:t>
      </w:r>
      <w:r>
        <w:rPr>
          <w:color w:val="auto"/>
        </w:rPr>
        <w:fldChar w:fldCharType="begin"/>
      </w:r>
      <w:r>
        <w:rPr>
          <w:color w:val="auto"/>
        </w:rPr>
        <w:instrText xml:space="preserve"> </w:instrText>
      </w:r>
      <w:r>
        <w:rPr>
          <w:rFonts w:hint="eastAsia"/>
          <w:color w:val="auto"/>
        </w:rPr>
        <w:instrText xml:space="preserve">SEQ 表 \* ARABIC</w:instrText>
      </w:r>
      <w:r>
        <w:rPr>
          <w:color w:val="auto"/>
        </w:rPr>
        <w:instrText xml:space="preserve"> </w:instrText>
      </w:r>
      <w:r>
        <w:rPr>
          <w:color w:val="auto"/>
        </w:rPr>
        <w:fldChar w:fldCharType="separate"/>
      </w:r>
      <w:r>
        <w:rPr>
          <w:color w:val="auto"/>
        </w:rPr>
        <w:t>28</w:t>
      </w:r>
      <w:r>
        <w:rPr>
          <w:color w:val="auto"/>
        </w:rPr>
        <w:fldChar w:fldCharType="end"/>
      </w:r>
      <w:r>
        <w:rPr>
          <w:rFonts w:hint="eastAsia"/>
          <w:b/>
          <w:color w:val="auto"/>
          <w:szCs w:val="21"/>
        </w:rPr>
        <w:t xml:space="preserve">  </w:t>
      </w:r>
      <w:r>
        <w:rPr>
          <w:b/>
          <w:color w:val="auto"/>
          <w:szCs w:val="21"/>
        </w:rPr>
        <w:t>利用标准贯入击数确定黏性土压缩性指标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405"/>
        <w:gridCol w:w="405"/>
        <w:gridCol w:w="406"/>
        <w:gridCol w:w="406"/>
        <w:gridCol w:w="406"/>
        <w:gridCol w:w="406"/>
        <w:gridCol w:w="406"/>
        <w:gridCol w:w="406"/>
        <w:gridCol w:w="406"/>
        <w:gridCol w:w="410"/>
        <w:gridCol w:w="406"/>
        <w:gridCol w:w="406"/>
        <w:gridCol w:w="406"/>
        <w:gridCol w:w="409"/>
        <w:gridCol w:w="406"/>
        <w:gridCol w:w="406"/>
        <w:gridCol w:w="406"/>
        <w:gridCol w:w="411"/>
        <w:gridCol w:w="407"/>
        <w:gridCol w:w="406"/>
      </w:tblGrid>
      <w:tr w14:paraId="2D45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46" w:type="dxa"/>
            <w:noWrap w:val="0"/>
            <w:vAlign w:val="center"/>
          </w:tcPr>
          <w:p w14:paraId="62B807A2">
            <w:pPr>
              <w:snapToGrid w:val="0"/>
              <w:spacing w:line="360" w:lineRule="atLeast"/>
              <w:jc w:val="center"/>
              <w:rPr>
                <w:color w:val="auto"/>
                <w:sz w:val="18"/>
                <w:szCs w:val="18"/>
              </w:rPr>
            </w:pPr>
            <w:r>
              <w:rPr>
                <w:color w:val="auto"/>
                <w:sz w:val="18"/>
                <w:szCs w:val="18"/>
              </w:rPr>
              <w:t>土类</w:t>
            </w:r>
          </w:p>
        </w:tc>
        <w:tc>
          <w:tcPr>
            <w:tcW w:w="4062" w:type="dxa"/>
            <w:gridSpan w:val="10"/>
            <w:noWrap w:val="0"/>
            <w:vAlign w:val="center"/>
          </w:tcPr>
          <w:p w14:paraId="097BA86A">
            <w:pPr>
              <w:widowControl/>
              <w:snapToGrid w:val="0"/>
              <w:spacing w:line="360" w:lineRule="atLeast"/>
              <w:jc w:val="center"/>
              <w:rPr>
                <w:color w:val="auto"/>
                <w:sz w:val="18"/>
                <w:szCs w:val="18"/>
              </w:rPr>
            </w:pPr>
            <w:r>
              <w:rPr>
                <w:color w:val="auto"/>
                <w:sz w:val="18"/>
                <w:szCs w:val="18"/>
              </w:rPr>
              <w:t>淤泥质土、一般黏性土</w:t>
            </w:r>
          </w:p>
        </w:tc>
        <w:tc>
          <w:tcPr>
            <w:tcW w:w="4069" w:type="dxa"/>
            <w:gridSpan w:val="10"/>
            <w:noWrap w:val="0"/>
            <w:vAlign w:val="center"/>
          </w:tcPr>
          <w:p w14:paraId="6D1270F9">
            <w:pPr>
              <w:widowControl/>
              <w:snapToGrid w:val="0"/>
              <w:spacing w:line="360" w:lineRule="atLeast"/>
              <w:jc w:val="center"/>
              <w:rPr>
                <w:color w:val="auto"/>
                <w:sz w:val="18"/>
                <w:szCs w:val="18"/>
              </w:rPr>
            </w:pPr>
            <w:r>
              <w:rPr>
                <w:color w:val="auto"/>
                <w:sz w:val="18"/>
                <w:szCs w:val="18"/>
              </w:rPr>
              <w:t>老黏性土</w:t>
            </w:r>
          </w:p>
        </w:tc>
      </w:tr>
      <w:tr w14:paraId="771D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46" w:type="dxa"/>
            <w:noWrap w:val="0"/>
            <w:vAlign w:val="center"/>
          </w:tcPr>
          <w:p w14:paraId="73B4C4DB">
            <w:pPr>
              <w:snapToGrid w:val="0"/>
              <w:spacing w:line="360" w:lineRule="atLeast"/>
              <w:ind w:left="-107" w:leftChars="-51"/>
              <w:jc w:val="center"/>
              <w:rPr>
                <w:i/>
                <w:color w:val="auto"/>
                <w:sz w:val="18"/>
                <w:szCs w:val="18"/>
              </w:rPr>
            </w:pPr>
            <w:r>
              <w:rPr>
                <w:i/>
                <w:color w:val="auto"/>
                <w:sz w:val="18"/>
                <w:szCs w:val="18"/>
              </w:rPr>
              <w:t>N</w:t>
            </w:r>
          </w:p>
        </w:tc>
        <w:tc>
          <w:tcPr>
            <w:tcW w:w="405" w:type="dxa"/>
            <w:noWrap w:val="0"/>
            <w:vAlign w:val="center"/>
          </w:tcPr>
          <w:p w14:paraId="5D3FA000">
            <w:pPr>
              <w:widowControl/>
              <w:snapToGrid w:val="0"/>
              <w:spacing w:line="360" w:lineRule="atLeast"/>
              <w:ind w:left="-104" w:leftChars="-58" w:right="-170" w:rightChars="-81" w:hanging="18" w:hangingChars="10"/>
              <w:jc w:val="center"/>
              <w:rPr>
                <w:color w:val="auto"/>
                <w:sz w:val="18"/>
                <w:szCs w:val="18"/>
              </w:rPr>
            </w:pPr>
            <w:r>
              <w:rPr>
                <w:color w:val="auto"/>
                <w:sz w:val="18"/>
                <w:szCs w:val="18"/>
              </w:rPr>
              <w:t>3</w:t>
            </w:r>
          </w:p>
        </w:tc>
        <w:tc>
          <w:tcPr>
            <w:tcW w:w="405" w:type="dxa"/>
            <w:noWrap w:val="0"/>
            <w:vAlign w:val="center"/>
          </w:tcPr>
          <w:p w14:paraId="51A4DB8A">
            <w:pPr>
              <w:snapToGrid w:val="0"/>
              <w:spacing w:line="360" w:lineRule="atLeast"/>
              <w:ind w:left="-34" w:leftChars="-16" w:right="-126" w:rightChars="-60" w:firstLine="90" w:firstLineChars="50"/>
              <w:jc w:val="center"/>
              <w:rPr>
                <w:color w:val="auto"/>
                <w:sz w:val="18"/>
                <w:szCs w:val="18"/>
              </w:rPr>
            </w:pPr>
            <w:r>
              <w:rPr>
                <w:color w:val="auto"/>
                <w:sz w:val="18"/>
                <w:szCs w:val="18"/>
              </w:rPr>
              <w:t>4</w:t>
            </w:r>
          </w:p>
        </w:tc>
        <w:tc>
          <w:tcPr>
            <w:tcW w:w="406" w:type="dxa"/>
            <w:noWrap w:val="0"/>
            <w:vAlign w:val="center"/>
          </w:tcPr>
          <w:p w14:paraId="154CB235">
            <w:pPr>
              <w:widowControl/>
              <w:snapToGrid w:val="0"/>
              <w:spacing w:line="360" w:lineRule="atLeast"/>
              <w:ind w:left="-87" w:leftChars="-42" w:right="-164" w:rightChars="-78" w:hanging="1" w:hangingChars="1"/>
              <w:jc w:val="center"/>
              <w:rPr>
                <w:color w:val="auto"/>
                <w:sz w:val="18"/>
                <w:szCs w:val="18"/>
              </w:rPr>
            </w:pPr>
            <w:r>
              <w:rPr>
                <w:color w:val="auto"/>
                <w:sz w:val="18"/>
                <w:szCs w:val="18"/>
              </w:rPr>
              <w:t>5</w:t>
            </w:r>
          </w:p>
        </w:tc>
        <w:tc>
          <w:tcPr>
            <w:tcW w:w="406" w:type="dxa"/>
            <w:noWrap w:val="0"/>
            <w:vAlign w:val="center"/>
          </w:tcPr>
          <w:p w14:paraId="6493A458">
            <w:pPr>
              <w:widowControl/>
              <w:snapToGrid w:val="0"/>
              <w:spacing w:line="360" w:lineRule="atLeast"/>
              <w:ind w:left="-109" w:leftChars="-52" w:right="-212" w:rightChars="-101"/>
              <w:jc w:val="center"/>
              <w:rPr>
                <w:color w:val="auto"/>
                <w:sz w:val="18"/>
                <w:szCs w:val="18"/>
              </w:rPr>
            </w:pPr>
            <w:r>
              <w:rPr>
                <w:color w:val="auto"/>
                <w:sz w:val="18"/>
                <w:szCs w:val="18"/>
              </w:rPr>
              <w:t>6</w:t>
            </w:r>
          </w:p>
        </w:tc>
        <w:tc>
          <w:tcPr>
            <w:tcW w:w="406" w:type="dxa"/>
            <w:noWrap w:val="0"/>
            <w:vAlign w:val="center"/>
          </w:tcPr>
          <w:p w14:paraId="01A01074">
            <w:pPr>
              <w:widowControl/>
              <w:snapToGrid w:val="0"/>
              <w:spacing w:line="360" w:lineRule="atLeast"/>
              <w:jc w:val="center"/>
              <w:rPr>
                <w:color w:val="auto"/>
                <w:sz w:val="18"/>
                <w:szCs w:val="18"/>
              </w:rPr>
            </w:pPr>
            <w:r>
              <w:rPr>
                <w:color w:val="auto"/>
                <w:sz w:val="18"/>
                <w:szCs w:val="18"/>
              </w:rPr>
              <w:t>7</w:t>
            </w:r>
          </w:p>
        </w:tc>
        <w:tc>
          <w:tcPr>
            <w:tcW w:w="406" w:type="dxa"/>
            <w:noWrap w:val="0"/>
            <w:vAlign w:val="center"/>
          </w:tcPr>
          <w:p w14:paraId="705D891E">
            <w:pPr>
              <w:snapToGrid w:val="0"/>
              <w:spacing w:line="360" w:lineRule="atLeast"/>
              <w:ind w:left="-172" w:leftChars="-82" w:right="-80" w:rightChars="-38"/>
              <w:jc w:val="center"/>
              <w:rPr>
                <w:color w:val="auto"/>
                <w:sz w:val="18"/>
                <w:szCs w:val="18"/>
              </w:rPr>
            </w:pPr>
            <w:r>
              <w:rPr>
                <w:color w:val="auto"/>
                <w:sz w:val="18"/>
                <w:szCs w:val="18"/>
              </w:rPr>
              <w:t>8</w:t>
            </w:r>
          </w:p>
        </w:tc>
        <w:tc>
          <w:tcPr>
            <w:tcW w:w="406" w:type="dxa"/>
            <w:noWrap w:val="0"/>
            <w:vAlign w:val="center"/>
          </w:tcPr>
          <w:p w14:paraId="458EBFEC">
            <w:pPr>
              <w:widowControl/>
              <w:snapToGrid w:val="0"/>
              <w:spacing w:line="360" w:lineRule="atLeast"/>
              <w:ind w:left="-107" w:leftChars="-51" w:right="-147" w:rightChars="-70"/>
              <w:jc w:val="center"/>
              <w:rPr>
                <w:color w:val="auto"/>
                <w:sz w:val="18"/>
                <w:szCs w:val="18"/>
              </w:rPr>
            </w:pPr>
            <w:r>
              <w:rPr>
                <w:color w:val="auto"/>
                <w:sz w:val="18"/>
                <w:szCs w:val="18"/>
              </w:rPr>
              <w:t>9</w:t>
            </w:r>
          </w:p>
        </w:tc>
        <w:tc>
          <w:tcPr>
            <w:tcW w:w="406" w:type="dxa"/>
            <w:noWrap w:val="0"/>
            <w:vAlign w:val="center"/>
          </w:tcPr>
          <w:p w14:paraId="246F49AE">
            <w:pPr>
              <w:widowControl/>
              <w:snapToGrid w:val="0"/>
              <w:spacing w:line="360" w:lineRule="atLeast"/>
              <w:ind w:left="-107" w:leftChars="-51" w:right="-107" w:rightChars="-51"/>
              <w:jc w:val="center"/>
              <w:rPr>
                <w:color w:val="auto"/>
                <w:sz w:val="18"/>
                <w:szCs w:val="18"/>
              </w:rPr>
            </w:pPr>
            <w:r>
              <w:rPr>
                <w:color w:val="auto"/>
                <w:sz w:val="18"/>
                <w:szCs w:val="18"/>
              </w:rPr>
              <w:t>10</w:t>
            </w:r>
          </w:p>
        </w:tc>
        <w:tc>
          <w:tcPr>
            <w:tcW w:w="406" w:type="dxa"/>
            <w:noWrap w:val="0"/>
            <w:vAlign w:val="center"/>
          </w:tcPr>
          <w:p w14:paraId="67CC2700">
            <w:pPr>
              <w:widowControl/>
              <w:snapToGrid w:val="0"/>
              <w:spacing w:line="360" w:lineRule="atLeast"/>
              <w:ind w:left="1" w:leftChars="-15" w:right="-107" w:rightChars="-51" w:hanging="32" w:hangingChars="18"/>
              <w:jc w:val="center"/>
              <w:rPr>
                <w:color w:val="auto"/>
                <w:sz w:val="18"/>
                <w:szCs w:val="18"/>
              </w:rPr>
            </w:pPr>
            <w:r>
              <w:rPr>
                <w:color w:val="auto"/>
                <w:sz w:val="18"/>
                <w:szCs w:val="18"/>
              </w:rPr>
              <w:t>11</w:t>
            </w:r>
          </w:p>
        </w:tc>
        <w:tc>
          <w:tcPr>
            <w:tcW w:w="410" w:type="dxa"/>
            <w:noWrap w:val="0"/>
            <w:vAlign w:val="center"/>
          </w:tcPr>
          <w:p w14:paraId="06A9536D">
            <w:pPr>
              <w:widowControl/>
              <w:snapToGrid w:val="0"/>
              <w:spacing w:line="360" w:lineRule="atLeast"/>
              <w:ind w:left="-107" w:leftChars="-51" w:right="-107" w:rightChars="-51"/>
              <w:jc w:val="center"/>
              <w:rPr>
                <w:color w:val="auto"/>
                <w:sz w:val="18"/>
                <w:szCs w:val="18"/>
              </w:rPr>
            </w:pPr>
            <w:r>
              <w:rPr>
                <w:color w:val="auto"/>
                <w:sz w:val="18"/>
                <w:szCs w:val="18"/>
              </w:rPr>
              <w:t>12</w:t>
            </w:r>
          </w:p>
        </w:tc>
        <w:tc>
          <w:tcPr>
            <w:tcW w:w="406" w:type="dxa"/>
            <w:noWrap w:val="0"/>
            <w:vAlign w:val="center"/>
          </w:tcPr>
          <w:p w14:paraId="0C5CC27C">
            <w:pPr>
              <w:widowControl/>
              <w:snapToGrid w:val="0"/>
              <w:spacing w:line="360" w:lineRule="atLeast"/>
              <w:ind w:left="-107" w:leftChars="-51"/>
              <w:jc w:val="center"/>
              <w:rPr>
                <w:color w:val="auto"/>
                <w:sz w:val="18"/>
                <w:szCs w:val="18"/>
              </w:rPr>
            </w:pPr>
            <w:r>
              <w:rPr>
                <w:color w:val="auto"/>
                <w:sz w:val="18"/>
                <w:szCs w:val="18"/>
              </w:rPr>
              <w:t>13</w:t>
            </w:r>
          </w:p>
        </w:tc>
        <w:tc>
          <w:tcPr>
            <w:tcW w:w="406" w:type="dxa"/>
            <w:noWrap w:val="0"/>
            <w:vAlign w:val="center"/>
          </w:tcPr>
          <w:p w14:paraId="59C2A464">
            <w:pPr>
              <w:widowControl/>
              <w:snapToGrid w:val="0"/>
              <w:spacing w:line="360" w:lineRule="atLeast"/>
              <w:ind w:left="-104" w:leftChars="-58" w:right="-170" w:rightChars="-81" w:hanging="18" w:hangingChars="10"/>
              <w:jc w:val="center"/>
              <w:rPr>
                <w:color w:val="auto"/>
                <w:sz w:val="18"/>
                <w:szCs w:val="18"/>
              </w:rPr>
            </w:pPr>
            <w:r>
              <w:rPr>
                <w:color w:val="auto"/>
                <w:sz w:val="18"/>
                <w:szCs w:val="18"/>
              </w:rPr>
              <w:t>14</w:t>
            </w:r>
          </w:p>
        </w:tc>
        <w:tc>
          <w:tcPr>
            <w:tcW w:w="406" w:type="dxa"/>
            <w:noWrap w:val="0"/>
            <w:vAlign w:val="center"/>
          </w:tcPr>
          <w:p w14:paraId="103BAF7A">
            <w:pPr>
              <w:snapToGrid w:val="0"/>
              <w:spacing w:line="360" w:lineRule="atLeast"/>
              <w:ind w:left="-34" w:leftChars="-16" w:right="-126" w:rightChars="-60" w:firstLine="90" w:firstLineChars="50"/>
              <w:jc w:val="center"/>
              <w:rPr>
                <w:color w:val="auto"/>
                <w:sz w:val="18"/>
                <w:szCs w:val="18"/>
              </w:rPr>
            </w:pPr>
            <w:r>
              <w:rPr>
                <w:color w:val="auto"/>
                <w:sz w:val="18"/>
                <w:szCs w:val="18"/>
              </w:rPr>
              <w:t>15</w:t>
            </w:r>
          </w:p>
        </w:tc>
        <w:tc>
          <w:tcPr>
            <w:tcW w:w="409" w:type="dxa"/>
            <w:noWrap w:val="0"/>
            <w:vAlign w:val="center"/>
          </w:tcPr>
          <w:p w14:paraId="0FD45F51">
            <w:pPr>
              <w:widowControl/>
              <w:snapToGrid w:val="0"/>
              <w:spacing w:line="360" w:lineRule="atLeast"/>
              <w:ind w:left="-87" w:leftChars="-42" w:right="-164" w:rightChars="-78" w:hanging="1" w:hangingChars="1"/>
              <w:jc w:val="center"/>
              <w:rPr>
                <w:color w:val="auto"/>
                <w:sz w:val="18"/>
                <w:szCs w:val="18"/>
              </w:rPr>
            </w:pPr>
            <w:r>
              <w:rPr>
                <w:color w:val="auto"/>
                <w:sz w:val="18"/>
                <w:szCs w:val="18"/>
              </w:rPr>
              <w:t>16</w:t>
            </w:r>
          </w:p>
        </w:tc>
        <w:tc>
          <w:tcPr>
            <w:tcW w:w="406" w:type="dxa"/>
            <w:noWrap w:val="0"/>
            <w:vAlign w:val="center"/>
          </w:tcPr>
          <w:p w14:paraId="08D6F75B">
            <w:pPr>
              <w:widowControl/>
              <w:snapToGrid w:val="0"/>
              <w:spacing w:line="360" w:lineRule="atLeast"/>
              <w:ind w:left="-109" w:leftChars="-52" w:right="-212" w:rightChars="-101"/>
              <w:jc w:val="center"/>
              <w:rPr>
                <w:color w:val="auto"/>
                <w:sz w:val="18"/>
                <w:szCs w:val="18"/>
              </w:rPr>
            </w:pPr>
            <w:r>
              <w:rPr>
                <w:color w:val="auto"/>
                <w:sz w:val="18"/>
                <w:szCs w:val="18"/>
              </w:rPr>
              <w:t>17</w:t>
            </w:r>
          </w:p>
        </w:tc>
        <w:tc>
          <w:tcPr>
            <w:tcW w:w="406" w:type="dxa"/>
            <w:noWrap w:val="0"/>
            <w:vAlign w:val="center"/>
          </w:tcPr>
          <w:p w14:paraId="4C96EC30">
            <w:pPr>
              <w:widowControl/>
              <w:snapToGrid w:val="0"/>
              <w:spacing w:line="360" w:lineRule="atLeast"/>
              <w:jc w:val="center"/>
              <w:rPr>
                <w:color w:val="auto"/>
                <w:sz w:val="18"/>
                <w:szCs w:val="18"/>
              </w:rPr>
            </w:pPr>
            <w:r>
              <w:rPr>
                <w:color w:val="auto"/>
                <w:sz w:val="18"/>
                <w:szCs w:val="18"/>
              </w:rPr>
              <w:t>18</w:t>
            </w:r>
          </w:p>
        </w:tc>
        <w:tc>
          <w:tcPr>
            <w:tcW w:w="406" w:type="dxa"/>
            <w:noWrap w:val="0"/>
            <w:vAlign w:val="center"/>
          </w:tcPr>
          <w:p w14:paraId="1CD5BE98">
            <w:pPr>
              <w:snapToGrid w:val="0"/>
              <w:spacing w:line="360" w:lineRule="atLeast"/>
              <w:ind w:left="-172" w:leftChars="-82" w:right="-80" w:rightChars="-38"/>
              <w:jc w:val="center"/>
              <w:rPr>
                <w:color w:val="auto"/>
                <w:sz w:val="18"/>
                <w:szCs w:val="18"/>
              </w:rPr>
            </w:pPr>
            <w:r>
              <w:rPr>
                <w:color w:val="auto"/>
                <w:sz w:val="18"/>
                <w:szCs w:val="18"/>
              </w:rPr>
              <w:t>19</w:t>
            </w:r>
          </w:p>
        </w:tc>
        <w:tc>
          <w:tcPr>
            <w:tcW w:w="411" w:type="dxa"/>
            <w:noWrap w:val="0"/>
            <w:vAlign w:val="center"/>
          </w:tcPr>
          <w:p w14:paraId="07FA6F4A">
            <w:pPr>
              <w:widowControl/>
              <w:snapToGrid w:val="0"/>
              <w:spacing w:line="360" w:lineRule="atLeast"/>
              <w:ind w:left="-107" w:leftChars="-51" w:right="-147" w:rightChars="-70"/>
              <w:jc w:val="center"/>
              <w:rPr>
                <w:color w:val="auto"/>
                <w:sz w:val="18"/>
                <w:szCs w:val="18"/>
              </w:rPr>
            </w:pPr>
            <w:r>
              <w:rPr>
                <w:color w:val="auto"/>
                <w:sz w:val="18"/>
                <w:szCs w:val="18"/>
              </w:rPr>
              <w:t>20</w:t>
            </w:r>
          </w:p>
        </w:tc>
        <w:tc>
          <w:tcPr>
            <w:tcW w:w="407" w:type="dxa"/>
            <w:noWrap w:val="0"/>
            <w:vAlign w:val="center"/>
          </w:tcPr>
          <w:p w14:paraId="5D0BE496">
            <w:pPr>
              <w:snapToGrid w:val="0"/>
              <w:spacing w:line="360" w:lineRule="atLeast"/>
              <w:ind w:left="-172" w:leftChars="-82" w:right="-80" w:rightChars="-38"/>
              <w:jc w:val="center"/>
              <w:rPr>
                <w:color w:val="auto"/>
                <w:sz w:val="18"/>
                <w:szCs w:val="18"/>
              </w:rPr>
            </w:pPr>
            <w:r>
              <w:rPr>
                <w:color w:val="auto"/>
                <w:sz w:val="18"/>
                <w:szCs w:val="18"/>
              </w:rPr>
              <w:t>21</w:t>
            </w:r>
          </w:p>
        </w:tc>
        <w:tc>
          <w:tcPr>
            <w:tcW w:w="406" w:type="dxa"/>
            <w:noWrap w:val="0"/>
            <w:vAlign w:val="center"/>
          </w:tcPr>
          <w:p w14:paraId="1B1A2CDE">
            <w:pPr>
              <w:widowControl/>
              <w:snapToGrid w:val="0"/>
              <w:spacing w:line="360" w:lineRule="atLeast"/>
              <w:ind w:left="-107" w:leftChars="-51" w:right="-147" w:rightChars="-70"/>
              <w:jc w:val="center"/>
              <w:rPr>
                <w:color w:val="auto"/>
                <w:sz w:val="18"/>
                <w:szCs w:val="18"/>
              </w:rPr>
            </w:pPr>
            <w:r>
              <w:rPr>
                <w:color w:val="auto"/>
                <w:sz w:val="18"/>
                <w:szCs w:val="18"/>
              </w:rPr>
              <w:t>22</w:t>
            </w:r>
          </w:p>
        </w:tc>
      </w:tr>
      <w:tr w14:paraId="1994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46" w:type="dxa"/>
            <w:noWrap w:val="0"/>
            <w:vAlign w:val="center"/>
          </w:tcPr>
          <w:p w14:paraId="63F0B8A4">
            <w:pPr>
              <w:snapToGrid w:val="0"/>
              <w:spacing w:line="360" w:lineRule="atLeast"/>
              <w:ind w:left="-107" w:leftChars="-51"/>
              <w:jc w:val="center"/>
              <w:rPr>
                <w:color w:val="auto"/>
                <w:sz w:val="18"/>
                <w:szCs w:val="18"/>
              </w:rPr>
            </w:pPr>
            <w:r>
              <w:rPr>
                <w:i/>
                <w:color w:val="auto"/>
                <w:sz w:val="18"/>
                <w:szCs w:val="18"/>
              </w:rPr>
              <w:t>E</w:t>
            </w:r>
            <w:r>
              <w:rPr>
                <w:color w:val="auto"/>
                <w:sz w:val="18"/>
                <w:szCs w:val="18"/>
                <w:vertAlign w:val="subscript"/>
              </w:rPr>
              <w:t>s1-2</w:t>
            </w:r>
            <w:r>
              <w:rPr>
                <w:color w:val="auto"/>
                <w:sz w:val="18"/>
                <w:szCs w:val="18"/>
              </w:rPr>
              <w:t>(MPa)</w:t>
            </w:r>
          </w:p>
        </w:tc>
        <w:tc>
          <w:tcPr>
            <w:tcW w:w="405" w:type="dxa"/>
            <w:noWrap w:val="0"/>
            <w:vAlign w:val="center"/>
          </w:tcPr>
          <w:p w14:paraId="7AA058F1">
            <w:pPr>
              <w:snapToGrid w:val="0"/>
              <w:spacing w:line="360" w:lineRule="atLeast"/>
              <w:jc w:val="center"/>
              <w:rPr>
                <w:color w:val="auto"/>
                <w:sz w:val="18"/>
                <w:szCs w:val="18"/>
              </w:rPr>
            </w:pPr>
            <w:r>
              <w:rPr>
                <w:color w:val="auto"/>
                <w:sz w:val="18"/>
                <w:szCs w:val="18"/>
              </w:rPr>
              <w:t>4</w:t>
            </w:r>
          </w:p>
        </w:tc>
        <w:tc>
          <w:tcPr>
            <w:tcW w:w="405" w:type="dxa"/>
            <w:noWrap w:val="0"/>
            <w:vAlign w:val="center"/>
          </w:tcPr>
          <w:p w14:paraId="1E8BA44C">
            <w:pPr>
              <w:snapToGrid w:val="0"/>
              <w:spacing w:line="360" w:lineRule="atLeast"/>
              <w:jc w:val="center"/>
              <w:rPr>
                <w:color w:val="auto"/>
                <w:sz w:val="18"/>
                <w:szCs w:val="18"/>
              </w:rPr>
            </w:pPr>
            <w:r>
              <w:rPr>
                <w:color w:val="auto"/>
                <w:sz w:val="18"/>
                <w:szCs w:val="18"/>
              </w:rPr>
              <w:t>6</w:t>
            </w:r>
          </w:p>
        </w:tc>
        <w:tc>
          <w:tcPr>
            <w:tcW w:w="406" w:type="dxa"/>
            <w:noWrap w:val="0"/>
            <w:vAlign w:val="center"/>
          </w:tcPr>
          <w:p w14:paraId="128C4F9C">
            <w:pPr>
              <w:snapToGrid w:val="0"/>
              <w:spacing w:line="360" w:lineRule="atLeast"/>
              <w:jc w:val="center"/>
              <w:rPr>
                <w:color w:val="auto"/>
                <w:sz w:val="18"/>
                <w:szCs w:val="18"/>
              </w:rPr>
            </w:pPr>
            <w:r>
              <w:rPr>
                <w:color w:val="auto"/>
                <w:sz w:val="18"/>
                <w:szCs w:val="18"/>
              </w:rPr>
              <w:t>8</w:t>
            </w:r>
          </w:p>
        </w:tc>
        <w:tc>
          <w:tcPr>
            <w:tcW w:w="406" w:type="dxa"/>
            <w:noWrap w:val="0"/>
            <w:vAlign w:val="center"/>
          </w:tcPr>
          <w:p w14:paraId="3E65198B">
            <w:pPr>
              <w:snapToGrid w:val="0"/>
              <w:spacing w:line="360" w:lineRule="atLeast"/>
              <w:ind w:left="-109" w:leftChars="-52" w:right="-107" w:rightChars="-51"/>
              <w:jc w:val="center"/>
              <w:rPr>
                <w:color w:val="auto"/>
                <w:sz w:val="18"/>
                <w:szCs w:val="18"/>
              </w:rPr>
            </w:pPr>
            <w:r>
              <w:rPr>
                <w:color w:val="auto"/>
                <w:sz w:val="18"/>
                <w:szCs w:val="18"/>
              </w:rPr>
              <w:t>9</w:t>
            </w:r>
          </w:p>
        </w:tc>
        <w:tc>
          <w:tcPr>
            <w:tcW w:w="406" w:type="dxa"/>
            <w:noWrap w:val="0"/>
            <w:vAlign w:val="center"/>
          </w:tcPr>
          <w:p w14:paraId="71B1DA0B">
            <w:pPr>
              <w:snapToGrid w:val="0"/>
              <w:spacing w:line="360" w:lineRule="atLeast"/>
              <w:jc w:val="center"/>
              <w:rPr>
                <w:color w:val="auto"/>
                <w:sz w:val="18"/>
                <w:szCs w:val="18"/>
              </w:rPr>
            </w:pPr>
            <w:r>
              <w:rPr>
                <w:color w:val="auto"/>
                <w:sz w:val="18"/>
                <w:szCs w:val="18"/>
              </w:rPr>
              <w:t>10</w:t>
            </w:r>
          </w:p>
        </w:tc>
        <w:tc>
          <w:tcPr>
            <w:tcW w:w="406" w:type="dxa"/>
            <w:noWrap w:val="0"/>
            <w:vAlign w:val="center"/>
          </w:tcPr>
          <w:p w14:paraId="5D397482">
            <w:pPr>
              <w:snapToGrid w:val="0"/>
              <w:spacing w:line="360" w:lineRule="atLeast"/>
              <w:jc w:val="center"/>
              <w:rPr>
                <w:color w:val="auto"/>
                <w:sz w:val="18"/>
                <w:szCs w:val="18"/>
              </w:rPr>
            </w:pPr>
            <w:r>
              <w:rPr>
                <w:color w:val="auto"/>
                <w:sz w:val="18"/>
                <w:szCs w:val="18"/>
              </w:rPr>
              <w:t>11</w:t>
            </w:r>
          </w:p>
        </w:tc>
        <w:tc>
          <w:tcPr>
            <w:tcW w:w="406" w:type="dxa"/>
            <w:noWrap w:val="0"/>
            <w:vAlign w:val="center"/>
          </w:tcPr>
          <w:p w14:paraId="24370FC3">
            <w:pPr>
              <w:snapToGrid w:val="0"/>
              <w:spacing w:line="360" w:lineRule="atLeast"/>
              <w:ind w:left="3" w:leftChars="-60" w:right="-107" w:rightChars="-51" w:hanging="129" w:hangingChars="72"/>
              <w:jc w:val="center"/>
              <w:rPr>
                <w:color w:val="auto"/>
                <w:sz w:val="18"/>
                <w:szCs w:val="18"/>
              </w:rPr>
            </w:pPr>
            <w:r>
              <w:rPr>
                <w:color w:val="auto"/>
                <w:sz w:val="18"/>
                <w:szCs w:val="18"/>
              </w:rPr>
              <w:t>12</w:t>
            </w:r>
          </w:p>
        </w:tc>
        <w:tc>
          <w:tcPr>
            <w:tcW w:w="406" w:type="dxa"/>
            <w:noWrap w:val="0"/>
            <w:vAlign w:val="center"/>
          </w:tcPr>
          <w:p w14:paraId="17694295">
            <w:pPr>
              <w:snapToGrid w:val="0"/>
              <w:spacing w:line="360" w:lineRule="atLeast"/>
              <w:ind w:left="-107" w:leftChars="-51" w:right="-107" w:rightChars="-51"/>
              <w:jc w:val="center"/>
              <w:rPr>
                <w:color w:val="auto"/>
                <w:sz w:val="18"/>
                <w:szCs w:val="18"/>
              </w:rPr>
            </w:pPr>
            <w:r>
              <w:rPr>
                <w:color w:val="auto"/>
                <w:sz w:val="18"/>
                <w:szCs w:val="18"/>
              </w:rPr>
              <w:t>13</w:t>
            </w:r>
          </w:p>
        </w:tc>
        <w:tc>
          <w:tcPr>
            <w:tcW w:w="406" w:type="dxa"/>
            <w:noWrap w:val="0"/>
            <w:vAlign w:val="center"/>
          </w:tcPr>
          <w:p w14:paraId="025A4B91">
            <w:pPr>
              <w:snapToGrid w:val="0"/>
              <w:spacing w:line="360" w:lineRule="atLeast"/>
              <w:jc w:val="center"/>
              <w:rPr>
                <w:color w:val="auto"/>
                <w:sz w:val="18"/>
                <w:szCs w:val="18"/>
              </w:rPr>
            </w:pPr>
            <w:r>
              <w:rPr>
                <w:color w:val="auto"/>
                <w:sz w:val="18"/>
                <w:szCs w:val="18"/>
              </w:rPr>
              <w:t>14</w:t>
            </w:r>
          </w:p>
        </w:tc>
        <w:tc>
          <w:tcPr>
            <w:tcW w:w="410" w:type="dxa"/>
            <w:noWrap w:val="0"/>
            <w:vAlign w:val="center"/>
          </w:tcPr>
          <w:p w14:paraId="7E38CA2C">
            <w:pPr>
              <w:snapToGrid w:val="0"/>
              <w:spacing w:line="360" w:lineRule="atLeast"/>
              <w:jc w:val="center"/>
              <w:rPr>
                <w:color w:val="auto"/>
                <w:sz w:val="18"/>
                <w:szCs w:val="18"/>
              </w:rPr>
            </w:pPr>
            <w:r>
              <w:rPr>
                <w:color w:val="auto"/>
                <w:sz w:val="18"/>
                <w:szCs w:val="18"/>
              </w:rPr>
              <w:t>15</w:t>
            </w:r>
          </w:p>
        </w:tc>
        <w:tc>
          <w:tcPr>
            <w:tcW w:w="406" w:type="dxa"/>
            <w:noWrap w:val="0"/>
            <w:vAlign w:val="center"/>
          </w:tcPr>
          <w:p w14:paraId="715DA66F">
            <w:pPr>
              <w:snapToGrid w:val="0"/>
              <w:spacing w:line="360" w:lineRule="atLeast"/>
              <w:jc w:val="center"/>
              <w:rPr>
                <w:color w:val="auto"/>
                <w:sz w:val="18"/>
                <w:szCs w:val="18"/>
              </w:rPr>
            </w:pPr>
            <w:r>
              <w:rPr>
                <w:color w:val="auto"/>
                <w:sz w:val="18"/>
                <w:szCs w:val="18"/>
              </w:rPr>
              <w:t>14</w:t>
            </w:r>
          </w:p>
        </w:tc>
        <w:tc>
          <w:tcPr>
            <w:tcW w:w="406" w:type="dxa"/>
            <w:noWrap w:val="0"/>
            <w:vAlign w:val="center"/>
          </w:tcPr>
          <w:p w14:paraId="537064B4">
            <w:pPr>
              <w:snapToGrid w:val="0"/>
              <w:spacing w:line="360" w:lineRule="atLeast"/>
              <w:jc w:val="center"/>
              <w:rPr>
                <w:color w:val="auto"/>
                <w:sz w:val="18"/>
                <w:szCs w:val="18"/>
              </w:rPr>
            </w:pPr>
            <w:r>
              <w:rPr>
                <w:color w:val="auto"/>
                <w:sz w:val="18"/>
                <w:szCs w:val="18"/>
              </w:rPr>
              <w:t>15</w:t>
            </w:r>
          </w:p>
        </w:tc>
        <w:tc>
          <w:tcPr>
            <w:tcW w:w="406" w:type="dxa"/>
            <w:noWrap w:val="0"/>
            <w:vAlign w:val="center"/>
          </w:tcPr>
          <w:p w14:paraId="13F91579">
            <w:pPr>
              <w:snapToGrid w:val="0"/>
              <w:spacing w:line="360" w:lineRule="atLeast"/>
              <w:jc w:val="center"/>
              <w:rPr>
                <w:color w:val="auto"/>
                <w:sz w:val="18"/>
                <w:szCs w:val="18"/>
              </w:rPr>
            </w:pPr>
            <w:r>
              <w:rPr>
                <w:color w:val="auto"/>
                <w:sz w:val="18"/>
                <w:szCs w:val="18"/>
              </w:rPr>
              <w:t>16</w:t>
            </w:r>
          </w:p>
        </w:tc>
        <w:tc>
          <w:tcPr>
            <w:tcW w:w="409" w:type="dxa"/>
            <w:noWrap w:val="0"/>
            <w:vAlign w:val="center"/>
          </w:tcPr>
          <w:p w14:paraId="7C4F4DBB">
            <w:pPr>
              <w:snapToGrid w:val="0"/>
              <w:spacing w:line="360" w:lineRule="atLeast"/>
              <w:jc w:val="center"/>
              <w:rPr>
                <w:color w:val="auto"/>
                <w:sz w:val="18"/>
                <w:szCs w:val="18"/>
              </w:rPr>
            </w:pPr>
            <w:r>
              <w:rPr>
                <w:color w:val="auto"/>
                <w:sz w:val="18"/>
                <w:szCs w:val="18"/>
              </w:rPr>
              <w:t>17</w:t>
            </w:r>
          </w:p>
        </w:tc>
        <w:tc>
          <w:tcPr>
            <w:tcW w:w="406" w:type="dxa"/>
            <w:noWrap w:val="0"/>
            <w:vAlign w:val="center"/>
          </w:tcPr>
          <w:p w14:paraId="2ABF4921">
            <w:pPr>
              <w:snapToGrid w:val="0"/>
              <w:spacing w:line="360" w:lineRule="atLeast"/>
              <w:ind w:left="-109" w:leftChars="-52" w:right="-107" w:rightChars="-51"/>
              <w:jc w:val="center"/>
              <w:rPr>
                <w:color w:val="auto"/>
                <w:sz w:val="18"/>
                <w:szCs w:val="18"/>
              </w:rPr>
            </w:pPr>
            <w:r>
              <w:rPr>
                <w:color w:val="auto"/>
                <w:sz w:val="18"/>
                <w:szCs w:val="18"/>
              </w:rPr>
              <w:t>18</w:t>
            </w:r>
          </w:p>
        </w:tc>
        <w:tc>
          <w:tcPr>
            <w:tcW w:w="406" w:type="dxa"/>
            <w:noWrap w:val="0"/>
            <w:vAlign w:val="center"/>
          </w:tcPr>
          <w:p w14:paraId="5080697A">
            <w:pPr>
              <w:snapToGrid w:val="0"/>
              <w:spacing w:line="360" w:lineRule="atLeast"/>
              <w:jc w:val="center"/>
              <w:rPr>
                <w:color w:val="auto"/>
                <w:sz w:val="18"/>
                <w:szCs w:val="18"/>
              </w:rPr>
            </w:pPr>
            <w:r>
              <w:rPr>
                <w:color w:val="auto"/>
                <w:sz w:val="18"/>
                <w:szCs w:val="18"/>
              </w:rPr>
              <w:t>19</w:t>
            </w:r>
          </w:p>
        </w:tc>
        <w:tc>
          <w:tcPr>
            <w:tcW w:w="406" w:type="dxa"/>
            <w:noWrap w:val="0"/>
            <w:vAlign w:val="center"/>
          </w:tcPr>
          <w:p w14:paraId="2CC2F873">
            <w:pPr>
              <w:snapToGrid w:val="0"/>
              <w:spacing w:line="360" w:lineRule="atLeast"/>
              <w:jc w:val="center"/>
              <w:rPr>
                <w:color w:val="auto"/>
                <w:sz w:val="18"/>
                <w:szCs w:val="18"/>
              </w:rPr>
            </w:pPr>
            <w:r>
              <w:rPr>
                <w:color w:val="auto"/>
                <w:sz w:val="18"/>
                <w:szCs w:val="18"/>
              </w:rPr>
              <w:t>20</w:t>
            </w:r>
          </w:p>
        </w:tc>
        <w:tc>
          <w:tcPr>
            <w:tcW w:w="411" w:type="dxa"/>
            <w:noWrap w:val="0"/>
            <w:vAlign w:val="center"/>
          </w:tcPr>
          <w:p w14:paraId="338819EE">
            <w:pPr>
              <w:snapToGrid w:val="0"/>
              <w:spacing w:line="360" w:lineRule="atLeast"/>
              <w:ind w:left="3" w:leftChars="-60" w:right="-107" w:rightChars="-51" w:hanging="129" w:hangingChars="72"/>
              <w:jc w:val="center"/>
              <w:rPr>
                <w:color w:val="auto"/>
                <w:sz w:val="18"/>
                <w:szCs w:val="18"/>
              </w:rPr>
            </w:pPr>
            <w:r>
              <w:rPr>
                <w:color w:val="auto"/>
                <w:sz w:val="18"/>
                <w:szCs w:val="18"/>
              </w:rPr>
              <w:t>21</w:t>
            </w:r>
          </w:p>
        </w:tc>
        <w:tc>
          <w:tcPr>
            <w:tcW w:w="407" w:type="dxa"/>
            <w:noWrap w:val="0"/>
            <w:vAlign w:val="center"/>
          </w:tcPr>
          <w:p w14:paraId="1A0657B1">
            <w:pPr>
              <w:snapToGrid w:val="0"/>
              <w:spacing w:line="360" w:lineRule="atLeast"/>
              <w:jc w:val="center"/>
              <w:rPr>
                <w:color w:val="auto"/>
                <w:sz w:val="18"/>
                <w:szCs w:val="18"/>
              </w:rPr>
            </w:pPr>
            <w:r>
              <w:rPr>
                <w:color w:val="auto"/>
                <w:sz w:val="18"/>
                <w:szCs w:val="18"/>
              </w:rPr>
              <w:t>22</w:t>
            </w:r>
          </w:p>
        </w:tc>
        <w:tc>
          <w:tcPr>
            <w:tcW w:w="406" w:type="dxa"/>
            <w:noWrap w:val="0"/>
            <w:vAlign w:val="center"/>
          </w:tcPr>
          <w:p w14:paraId="2DB9744A">
            <w:pPr>
              <w:snapToGrid w:val="0"/>
              <w:spacing w:line="360" w:lineRule="atLeast"/>
              <w:ind w:left="3" w:leftChars="-60" w:right="-107" w:rightChars="-51" w:hanging="129" w:hangingChars="72"/>
              <w:jc w:val="center"/>
              <w:rPr>
                <w:color w:val="auto"/>
                <w:sz w:val="18"/>
                <w:szCs w:val="18"/>
              </w:rPr>
            </w:pPr>
            <w:r>
              <w:rPr>
                <w:color w:val="auto"/>
                <w:sz w:val="18"/>
                <w:szCs w:val="18"/>
              </w:rPr>
              <w:t>23</w:t>
            </w:r>
          </w:p>
        </w:tc>
      </w:tr>
    </w:tbl>
    <w:p w14:paraId="0DEDE2B9">
      <w:pPr>
        <w:spacing w:line="360" w:lineRule="auto"/>
        <w:ind w:firstLine="390"/>
        <w:jc w:val="center"/>
        <w:rPr>
          <w:rFonts w:eastAsia="黑体"/>
          <w:color w:val="auto"/>
          <w:sz w:val="24"/>
        </w:rPr>
      </w:pPr>
    </w:p>
    <w:p w14:paraId="2F525B8D">
      <w:pPr>
        <w:pStyle w:val="34"/>
        <w:adjustRightInd w:val="0"/>
        <w:snapToGrid w:val="0"/>
        <w:spacing w:before="0" w:after="0" w:line="240" w:lineRule="atLeast"/>
        <w:jc w:val="center"/>
        <w:rPr>
          <w:rFonts w:ascii="黑体" w:hAnsi="黑体"/>
          <w:b/>
          <w:color w:val="auto"/>
          <w:szCs w:val="21"/>
        </w:rPr>
      </w:pPr>
      <w:bookmarkStart w:id="235" w:name="_Toc182499049"/>
      <w:r>
        <w:rPr>
          <w:rFonts w:ascii="黑体" w:hAnsi="黑体"/>
          <w:b/>
          <w:color w:val="auto"/>
          <w:szCs w:val="21"/>
        </w:rPr>
        <w:t>附录 F</w:t>
      </w:r>
      <w:bookmarkEnd w:id="235"/>
    </w:p>
    <w:p w14:paraId="345CC988">
      <w:pPr>
        <w:pStyle w:val="34"/>
        <w:adjustRightInd w:val="0"/>
        <w:snapToGrid w:val="0"/>
        <w:spacing w:before="0" w:after="0" w:line="240" w:lineRule="atLeast"/>
        <w:jc w:val="center"/>
        <w:rPr>
          <w:rFonts w:ascii="黑体" w:hAnsi="黑体"/>
          <w:b/>
          <w:color w:val="auto"/>
          <w:szCs w:val="21"/>
        </w:rPr>
      </w:pPr>
      <w:bookmarkStart w:id="236" w:name="_Toc182499050"/>
      <w:r>
        <w:rPr>
          <w:rFonts w:ascii="黑体" w:hAnsi="黑体"/>
          <w:b/>
          <w:color w:val="auto"/>
          <w:szCs w:val="21"/>
        </w:rPr>
        <w:t>(规范性)</w:t>
      </w:r>
      <w:bookmarkEnd w:id="236"/>
    </w:p>
    <w:p w14:paraId="5B9E0D57">
      <w:pPr>
        <w:pStyle w:val="34"/>
        <w:adjustRightInd w:val="0"/>
        <w:snapToGrid w:val="0"/>
        <w:spacing w:before="0" w:after="0" w:line="240" w:lineRule="atLeast"/>
        <w:jc w:val="center"/>
        <w:rPr>
          <w:rFonts w:ascii="黑体" w:hAnsi="黑体"/>
          <w:b/>
          <w:color w:val="auto"/>
          <w:szCs w:val="21"/>
        </w:rPr>
      </w:pPr>
      <w:bookmarkStart w:id="237" w:name="_Toc182499051"/>
      <w:r>
        <w:rPr>
          <w:rFonts w:ascii="黑体" w:hAnsi="黑体"/>
          <w:b/>
          <w:color w:val="auto"/>
          <w:szCs w:val="21"/>
        </w:rPr>
        <w:t>桩侧土的摩阻力、桩端阻力特征值</w:t>
      </w:r>
      <w:bookmarkEnd w:id="237"/>
    </w:p>
    <w:p w14:paraId="10A13224">
      <w:pPr>
        <w:adjustRightInd w:val="0"/>
        <w:snapToGrid w:val="0"/>
        <w:spacing w:line="340" w:lineRule="exact"/>
        <w:jc w:val="center"/>
        <w:rPr>
          <w:color w:val="auto"/>
          <w:szCs w:val="21"/>
        </w:rPr>
      </w:pPr>
    </w:p>
    <w:p w14:paraId="0AB9E1DC">
      <w:pPr>
        <w:snapToGrid w:val="0"/>
        <w:spacing w:line="400" w:lineRule="atLeast"/>
        <w:ind w:firstLine="413" w:firstLineChars="196"/>
        <w:rPr>
          <w:color w:val="auto"/>
          <w:szCs w:val="21"/>
        </w:rPr>
      </w:pPr>
      <w:r>
        <w:rPr>
          <w:b/>
          <w:color w:val="auto"/>
          <w:szCs w:val="21"/>
        </w:rPr>
        <w:t>F.1</w:t>
      </w:r>
      <w:r>
        <w:rPr>
          <w:rFonts w:hint="eastAsia"/>
          <w:b/>
          <w:color w:val="auto"/>
          <w:szCs w:val="21"/>
        </w:rPr>
        <w:t>~</w:t>
      </w:r>
      <w:r>
        <w:rPr>
          <w:b/>
          <w:color w:val="auto"/>
          <w:szCs w:val="21"/>
        </w:rPr>
        <w:t>F.3</w:t>
      </w:r>
      <w:r>
        <w:rPr>
          <w:color w:val="auto"/>
          <w:szCs w:val="21"/>
        </w:rPr>
        <w:t xml:space="preserve"> </w:t>
      </w:r>
    </w:p>
    <w:p w14:paraId="6DCA0FCD">
      <w:pPr>
        <w:snapToGrid w:val="0"/>
        <w:spacing w:line="400" w:lineRule="atLeast"/>
        <w:ind w:firstLine="411" w:firstLineChars="196"/>
        <w:rPr>
          <w:color w:val="auto"/>
          <w:szCs w:val="21"/>
        </w:rPr>
      </w:pPr>
      <w:r>
        <w:rPr>
          <w:rFonts w:hint="eastAsia"/>
          <w:color w:val="auto"/>
          <w:szCs w:val="21"/>
        </w:rPr>
        <w:t>a</w:t>
      </w:r>
      <w:r>
        <w:rPr>
          <w:color w:val="auto"/>
          <w:szCs w:val="21"/>
        </w:rPr>
        <w:t>)  编制表F.1～F.8的主要依据：</w:t>
      </w:r>
    </w:p>
    <w:p w14:paraId="62CC8307">
      <w:pPr>
        <w:snapToGrid w:val="0"/>
        <w:spacing w:line="400" w:lineRule="atLeast"/>
        <w:ind w:firstLine="434" w:firstLineChars="207"/>
        <w:rPr>
          <w:color w:val="auto"/>
          <w:szCs w:val="21"/>
        </w:rPr>
      </w:pPr>
      <w:r>
        <w:rPr>
          <w:color w:val="auto"/>
          <w:szCs w:val="21"/>
        </w:rPr>
        <w:t>JGJ94-2008《建筑桩基技术规范》；</w:t>
      </w:r>
    </w:p>
    <w:p w14:paraId="1982341F">
      <w:pPr>
        <w:snapToGrid w:val="0"/>
        <w:spacing w:line="400" w:lineRule="atLeast"/>
        <w:ind w:firstLine="434" w:firstLineChars="207"/>
        <w:rPr>
          <w:color w:val="auto"/>
          <w:szCs w:val="21"/>
        </w:rPr>
      </w:pPr>
      <w:r>
        <w:rPr>
          <w:color w:val="auto"/>
          <w:szCs w:val="21"/>
        </w:rPr>
        <w:t>JGJ72-2004《高层建筑岩土工程勘察规程》；</w:t>
      </w:r>
    </w:p>
    <w:p w14:paraId="3021B8DA">
      <w:pPr>
        <w:snapToGrid w:val="0"/>
        <w:spacing w:line="400" w:lineRule="atLeast"/>
        <w:ind w:firstLine="434" w:firstLineChars="207"/>
        <w:rPr>
          <w:color w:val="auto"/>
          <w:szCs w:val="21"/>
        </w:rPr>
      </w:pPr>
      <w:r>
        <w:rPr>
          <w:color w:val="auto"/>
          <w:szCs w:val="21"/>
        </w:rPr>
        <w:t>湖北省DB42/489-2008《预应力混凝土管桩基础技术规程》；</w:t>
      </w:r>
    </w:p>
    <w:p w14:paraId="13FE1AAA">
      <w:pPr>
        <w:snapToGrid w:val="0"/>
        <w:spacing w:line="400" w:lineRule="atLeast"/>
        <w:ind w:firstLine="434" w:firstLineChars="207"/>
        <w:rPr>
          <w:color w:val="auto"/>
          <w:szCs w:val="21"/>
        </w:rPr>
      </w:pPr>
      <w:r>
        <w:rPr>
          <w:color w:val="auto"/>
          <w:szCs w:val="21"/>
        </w:rPr>
        <w:t>湖北省DB42/169-2022《岩土工程勘察规程》；</w:t>
      </w:r>
    </w:p>
    <w:p w14:paraId="5A8F0B81">
      <w:pPr>
        <w:snapToGrid w:val="0"/>
        <w:spacing w:line="400" w:lineRule="atLeast"/>
        <w:ind w:firstLine="434" w:firstLineChars="207"/>
        <w:rPr>
          <w:color w:val="auto"/>
          <w:szCs w:val="21"/>
        </w:rPr>
      </w:pPr>
      <w:r>
        <w:rPr>
          <w:color w:val="auto"/>
          <w:szCs w:val="21"/>
        </w:rPr>
        <w:t>WBJ1-1-92《武汉市建筑软弱地基基础设计规定》；</w:t>
      </w:r>
    </w:p>
    <w:p w14:paraId="4EEE4A9A">
      <w:pPr>
        <w:snapToGrid w:val="0"/>
        <w:spacing w:line="400" w:lineRule="atLeast"/>
        <w:ind w:firstLine="434" w:firstLineChars="207"/>
        <w:rPr>
          <w:color w:val="auto"/>
          <w:szCs w:val="21"/>
        </w:rPr>
      </w:pPr>
      <w:r>
        <w:rPr>
          <w:color w:val="auto"/>
          <w:szCs w:val="21"/>
        </w:rPr>
        <w:t>WBJ8-97《武汉市夯扩桩设计施工技术规定》。</w:t>
      </w:r>
    </w:p>
    <w:p w14:paraId="3C15989D">
      <w:pPr>
        <w:snapToGrid w:val="0"/>
        <w:spacing w:line="400" w:lineRule="atLeast"/>
        <w:ind w:firstLine="413" w:firstLineChars="196"/>
        <w:rPr>
          <w:color w:val="auto"/>
          <w:szCs w:val="21"/>
        </w:rPr>
      </w:pPr>
      <w:r>
        <w:rPr>
          <w:b/>
          <w:color w:val="auto"/>
          <w:szCs w:val="21"/>
        </w:rPr>
        <w:t>b)</w:t>
      </w:r>
      <w:r>
        <w:rPr>
          <w:color w:val="auto"/>
          <w:szCs w:val="21"/>
        </w:rPr>
        <w:t xml:space="preserve">  确定桩侧阻力、桩端阻力特征值的指示性指标，对黏性土仍沿用JGJ94-2008桩基规范采用液性指数。根据湖北、武汉地区多年经验和习惯，对粉土采用静力触探比贯入阻力实测值；砂类土采用标贯或静力触探判定的密实度；碎石类土采用动力触</w:t>
      </w:r>
      <w:r>
        <w:rPr>
          <w:rFonts w:hint="eastAsia"/>
          <w:color w:val="auto"/>
          <w:szCs w:val="21"/>
        </w:rPr>
        <w:t>探</w:t>
      </w:r>
      <w:r>
        <w:rPr>
          <w:color w:val="auto"/>
          <w:szCs w:val="21"/>
        </w:rPr>
        <w:t>经修正后的锤击数</w:t>
      </w:r>
      <w:r>
        <w:rPr>
          <w:i/>
          <w:color w:val="auto"/>
          <w:szCs w:val="21"/>
        </w:rPr>
        <w:t>N</w:t>
      </w:r>
      <w:r>
        <w:rPr>
          <w:color w:val="auto"/>
          <w:szCs w:val="21"/>
          <w:vertAlign w:val="subscript"/>
        </w:rPr>
        <w:t>63.5</w:t>
      </w:r>
      <w:r>
        <w:rPr>
          <w:color w:val="auto"/>
          <w:szCs w:val="21"/>
        </w:rPr>
        <w:t>。</w:t>
      </w:r>
    </w:p>
    <w:p w14:paraId="6E112ED9">
      <w:pPr>
        <w:snapToGrid w:val="0"/>
        <w:spacing w:line="400" w:lineRule="atLeast"/>
        <w:rPr>
          <w:color w:val="auto"/>
          <w:szCs w:val="21"/>
        </w:rPr>
      </w:pPr>
      <w:r>
        <w:rPr>
          <w:color w:val="auto"/>
          <w:szCs w:val="21"/>
        </w:rPr>
        <w:t xml:space="preserve">    本文件对黏性土仍保留了一般黏性土和老黏性土的分类，所以在桩侧阻力、桩端阻力特征值表中也相应的分为一般黏性土和老黏性土。</w:t>
      </w:r>
    </w:p>
    <w:p w14:paraId="7746DF95">
      <w:pPr>
        <w:snapToGrid w:val="0"/>
        <w:spacing w:line="400" w:lineRule="atLeast"/>
        <w:ind w:firstLine="413" w:firstLineChars="196"/>
        <w:rPr>
          <w:color w:val="auto"/>
          <w:szCs w:val="21"/>
        </w:rPr>
      </w:pPr>
      <w:r>
        <w:rPr>
          <w:b/>
          <w:color w:val="auto"/>
          <w:szCs w:val="21"/>
        </w:rPr>
        <w:t>c)</w:t>
      </w:r>
      <w:r>
        <w:rPr>
          <w:color w:val="auto"/>
          <w:szCs w:val="21"/>
        </w:rPr>
        <w:t xml:space="preserve">  对桩侧阻力、桩端阻力特征值</w:t>
      </w:r>
    </w:p>
    <w:p w14:paraId="13C1B093">
      <w:pPr>
        <w:snapToGrid w:val="0"/>
        <w:spacing w:line="400" w:lineRule="atLeast"/>
        <w:ind w:firstLine="725" w:firstLineChars="344"/>
        <w:rPr>
          <w:color w:val="auto"/>
          <w:szCs w:val="21"/>
        </w:rPr>
      </w:pPr>
      <w:r>
        <w:rPr>
          <w:b/>
          <w:color w:val="auto"/>
          <w:szCs w:val="21"/>
        </w:rPr>
        <w:t>1）</w:t>
      </w:r>
      <w:r>
        <w:rPr>
          <w:color w:val="auto"/>
          <w:szCs w:val="21"/>
        </w:rPr>
        <w:t>表F.1、表F.2引用DB42/489-2008表7.4.2-1和表7.4.2-2。</w:t>
      </w:r>
    </w:p>
    <w:p w14:paraId="162EBC92">
      <w:pPr>
        <w:snapToGrid w:val="0"/>
        <w:spacing w:line="400" w:lineRule="atLeast"/>
        <w:ind w:firstLine="723" w:firstLineChars="343"/>
        <w:rPr>
          <w:color w:val="auto"/>
          <w:szCs w:val="21"/>
        </w:rPr>
      </w:pPr>
      <w:r>
        <w:rPr>
          <w:b/>
          <w:color w:val="auto"/>
          <w:szCs w:val="21"/>
        </w:rPr>
        <w:t>2）</w:t>
      </w:r>
      <w:r>
        <w:rPr>
          <w:color w:val="auto"/>
          <w:szCs w:val="21"/>
        </w:rPr>
        <w:t>表F.3、表F.4、表F.5沿用湖北2003年版工作规程表Q.0.1、Q.0.3、Q.0.4。</w:t>
      </w:r>
    </w:p>
    <w:p w14:paraId="12BFB968">
      <w:pPr>
        <w:snapToGrid w:val="0"/>
        <w:spacing w:line="400" w:lineRule="atLeast"/>
        <w:ind w:firstLine="725" w:firstLineChars="344"/>
        <w:rPr>
          <w:color w:val="auto"/>
          <w:szCs w:val="21"/>
        </w:rPr>
      </w:pPr>
      <w:r>
        <w:rPr>
          <w:b/>
          <w:color w:val="auto"/>
          <w:szCs w:val="21"/>
        </w:rPr>
        <w:t>3）</w:t>
      </w:r>
      <w:r>
        <w:rPr>
          <w:color w:val="auto"/>
          <w:szCs w:val="21"/>
        </w:rPr>
        <w:t>表F.6、表F.7系引用湖北2003年版工作规程表Q.0.5、表Q.0.6并参照JGJ94-2008的</w:t>
      </w:r>
      <w:r>
        <w:rPr>
          <w:i/>
          <w:color w:val="auto"/>
          <w:szCs w:val="21"/>
        </w:rPr>
        <w:t>q</w:t>
      </w:r>
      <w:r>
        <w:rPr>
          <w:color w:val="auto"/>
          <w:szCs w:val="21"/>
          <w:vertAlign w:val="subscript"/>
        </w:rPr>
        <w:t>sik</w:t>
      </w:r>
      <w:r>
        <w:rPr>
          <w:color w:val="auto"/>
          <w:szCs w:val="21"/>
        </w:rPr>
        <w:t>、</w:t>
      </w:r>
      <w:r>
        <w:rPr>
          <w:i/>
          <w:color w:val="auto"/>
          <w:szCs w:val="21"/>
        </w:rPr>
        <w:t>q</w:t>
      </w:r>
      <w:r>
        <w:rPr>
          <w:color w:val="auto"/>
          <w:szCs w:val="21"/>
          <w:vertAlign w:val="subscript"/>
        </w:rPr>
        <w:t>pk</w:t>
      </w:r>
      <w:r>
        <w:rPr>
          <w:color w:val="auto"/>
          <w:szCs w:val="21"/>
        </w:rPr>
        <w:t>值除以分项系数综合修订给出的，并在原表的基础上，补充了残积土的</w:t>
      </w:r>
      <w:r>
        <w:rPr>
          <w:i/>
          <w:color w:val="auto"/>
          <w:szCs w:val="21"/>
        </w:rPr>
        <w:t>q</w:t>
      </w:r>
      <w:r>
        <w:rPr>
          <w:color w:val="auto"/>
          <w:szCs w:val="21"/>
          <w:vertAlign w:val="subscript"/>
        </w:rPr>
        <w:t>sia</w:t>
      </w:r>
      <w:r>
        <w:rPr>
          <w:color w:val="auto"/>
          <w:szCs w:val="21"/>
        </w:rPr>
        <w:t>、</w:t>
      </w:r>
      <w:r>
        <w:rPr>
          <w:i/>
          <w:color w:val="auto"/>
          <w:szCs w:val="21"/>
        </w:rPr>
        <w:t>q</w:t>
      </w:r>
      <w:r>
        <w:rPr>
          <w:color w:val="auto"/>
          <w:szCs w:val="21"/>
          <w:vertAlign w:val="subscript"/>
        </w:rPr>
        <w:t>pa</w:t>
      </w:r>
      <w:r>
        <w:rPr>
          <w:color w:val="auto"/>
          <w:szCs w:val="21"/>
        </w:rPr>
        <w:t>值和强风化岩石的</w:t>
      </w:r>
      <w:r>
        <w:rPr>
          <w:i/>
          <w:color w:val="auto"/>
          <w:szCs w:val="21"/>
        </w:rPr>
        <w:t>q</w:t>
      </w:r>
      <w:r>
        <w:rPr>
          <w:color w:val="auto"/>
          <w:szCs w:val="21"/>
          <w:vertAlign w:val="subscript"/>
        </w:rPr>
        <w:t>sia</w:t>
      </w:r>
      <w:r>
        <w:rPr>
          <w:color w:val="auto"/>
          <w:szCs w:val="21"/>
        </w:rPr>
        <w:t>值。</w:t>
      </w:r>
    </w:p>
    <w:p w14:paraId="6E6E5AC2">
      <w:pPr>
        <w:snapToGrid w:val="0"/>
        <w:spacing w:line="400" w:lineRule="atLeast"/>
        <w:ind w:firstLine="413" w:firstLineChars="196"/>
        <w:rPr>
          <w:color w:val="auto"/>
          <w:szCs w:val="21"/>
        </w:rPr>
      </w:pPr>
      <w:r>
        <w:rPr>
          <w:b/>
          <w:color w:val="auto"/>
          <w:szCs w:val="21"/>
        </w:rPr>
        <w:t>d)</w:t>
      </w:r>
      <w:r>
        <w:rPr>
          <w:color w:val="auto"/>
          <w:szCs w:val="21"/>
        </w:rPr>
        <w:t xml:space="preserve">  表F.8参考DB42/169-2022的规定</w:t>
      </w:r>
      <w:r>
        <w:rPr>
          <w:rFonts w:hint="eastAsia"/>
          <w:color w:val="auto"/>
          <w:szCs w:val="21"/>
        </w:rPr>
        <w:t>，</w:t>
      </w:r>
      <w:r>
        <w:rPr>
          <w:color w:val="auto"/>
          <w:szCs w:val="21"/>
        </w:rPr>
        <w:t>对软岩和极软岩在强风化和中风化时的取值进行了修订</w:t>
      </w:r>
      <w:r>
        <w:rPr>
          <w:rFonts w:hint="eastAsia"/>
          <w:color w:val="auto"/>
          <w:szCs w:val="21"/>
        </w:rPr>
        <w:t>。</w:t>
      </w:r>
    </w:p>
    <w:p w14:paraId="3464DEA3">
      <w:pPr>
        <w:snapToGrid w:val="0"/>
        <w:spacing w:line="400" w:lineRule="atLeast"/>
        <w:ind w:firstLine="420"/>
        <w:rPr>
          <w:color w:val="auto"/>
          <w:szCs w:val="21"/>
        </w:rPr>
      </w:pPr>
      <w:r>
        <w:rPr>
          <w:color w:val="auto"/>
          <w:szCs w:val="21"/>
        </w:rPr>
        <w:t>表F.8嵌岩钻（挖）孔桩端阻力、桩侧阻力表</w:t>
      </w:r>
      <w:r>
        <w:rPr>
          <w:rFonts w:hint="eastAsia"/>
          <w:color w:val="auto"/>
          <w:szCs w:val="21"/>
        </w:rPr>
        <w:t>2</w:t>
      </w:r>
      <w:r>
        <w:rPr>
          <w:color w:val="auto"/>
          <w:szCs w:val="21"/>
        </w:rPr>
        <w:t>014版修订和补充主要参考了建筑桩基技术规范、高层建筑岩土工程勘察规程、公路桥涵设计规范、广东地基设计规范等对风化岩石的</w:t>
      </w:r>
      <w:r>
        <w:rPr>
          <w:i/>
          <w:color w:val="auto"/>
          <w:szCs w:val="21"/>
        </w:rPr>
        <w:t>q</w:t>
      </w:r>
      <w:r>
        <w:rPr>
          <w:color w:val="auto"/>
          <w:szCs w:val="21"/>
          <w:vertAlign w:val="subscript"/>
        </w:rPr>
        <w:t>pa</w:t>
      </w:r>
      <w:r>
        <w:rPr>
          <w:color w:val="auto"/>
          <w:szCs w:val="21"/>
        </w:rPr>
        <w:t>=</w:t>
      </w:r>
      <w:r>
        <w:rPr>
          <w:i/>
          <w:color w:val="auto"/>
          <w:szCs w:val="21"/>
        </w:rPr>
        <w:t xml:space="preserve"> C</w:t>
      </w:r>
      <w:r>
        <w:rPr>
          <w:color w:val="auto"/>
          <w:szCs w:val="21"/>
          <w:vertAlign w:val="subscript"/>
        </w:rPr>
        <w:t>1</w:t>
      </w:r>
      <w:r>
        <w:rPr>
          <w:color w:val="auto"/>
          <w:szCs w:val="21"/>
        </w:rPr>
        <w:t>·</w:t>
      </w:r>
      <w:r>
        <w:rPr>
          <w:i/>
          <w:color w:val="auto"/>
          <w:szCs w:val="21"/>
        </w:rPr>
        <w:t>f</w:t>
      </w:r>
      <w:r>
        <w:rPr>
          <w:color w:val="auto"/>
          <w:szCs w:val="21"/>
          <w:vertAlign w:val="subscript"/>
        </w:rPr>
        <w:t>rk</w:t>
      </w:r>
      <w:r>
        <w:rPr>
          <w:color w:val="auto"/>
          <w:szCs w:val="21"/>
        </w:rPr>
        <w:t>、</w:t>
      </w:r>
      <w:r>
        <w:rPr>
          <w:i/>
          <w:color w:val="auto"/>
          <w:szCs w:val="21"/>
        </w:rPr>
        <w:t>q</w:t>
      </w:r>
      <w:r>
        <w:rPr>
          <w:color w:val="auto"/>
          <w:szCs w:val="21"/>
          <w:vertAlign w:val="subscript"/>
        </w:rPr>
        <w:t>sia</w:t>
      </w:r>
      <w:r>
        <w:rPr>
          <w:color w:val="auto"/>
          <w:szCs w:val="21"/>
        </w:rPr>
        <w:t xml:space="preserve"> =</w:t>
      </w:r>
      <w:r>
        <w:rPr>
          <w:i/>
          <w:color w:val="auto"/>
          <w:szCs w:val="21"/>
        </w:rPr>
        <w:t xml:space="preserve"> C</w:t>
      </w:r>
      <w:r>
        <w:rPr>
          <w:color w:val="auto"/>
          <w:szCs w:val="21"/>
          <w:vertAlign w:val="subscript"/>
        </w:rPr>
        <w:t>2</w:t>
      </w:r>
      <w:r>
        <w:rPr>
          <w:color w:val="auto"/>
          <w:szCs w:val="21"/>
        </w:rPr>
        <w:t>·</w:t>
      </w:r>
      <w:r>
        <w:rPr>
          <w:i/>
          <w:color w:val="auto"/>
          <w:szCs w:val="21"/>
        </w:rPr>
        <w:t>f</w:t>
      </w:r>
      <w:r>
        <w:rPr>
          <w:color w:val="auto"/>
          <w:szCs w:val="21"/>
          <w:vertAlign w:val="subscript"/>
        </w:rPr>
        <w:t>rk</w:t>
      </w:r>
      <w:r>
        <w:rPr>
          <w:color w:val="auto"/>
          <w:szCs w:val="21"/>
        </w:rPr>
        <w:t>的桩端阻力系数</w:t>
      </w:r>
      <w:r>
        <w:rPr>
          <w:i/>
          <w:color w:val="auto"/>
          <w:szCs w:val="21"/>
        </w:rPr>
        <w:t>C</w:t>
      </w:r>
      <w:r>
        <w:rPr>
          <w:color w:val="auto"/>
          <w:szCs w:val="21"/>
          <w:vertAlign w:val="subscript"/>
        </w:rPr>
        <w:t>1</w:t>
      </w:r>
      <w:r>
        <w:rPr>
          <w:color w:val="auto"/>
          <w:szCs w:val="21"/>
        </w:rPr>
        <w:t>、桩侧阻力系数</w:t>
      </w:r>
      <w:r>
        <w:rPr>
          <w:i/>
          <w:color w:val="auto"/>
          <w:szCs w:val="21"/>
        </w:rPr>
        <w:t>C</w:t>
      </w:r>
      <w:r>
        <w:rPr>
          <w:color w:val="auto"/>
          <w:szCs w:val="21"/>
          <w:vertAlign w:val="subscript"/>
        </w:rPr>
        <w:t>2</w:t>
      </w:r>
      <w:r>
        <w:rPr>
          <w:color w:val="auto"/>
          <w:szCs w:val="21"/>
        </w:rPr>
        <w:t>的取值，综合湖北地区的试桩资料，并考虑地下水影响和岩体完整程度综合确定给出的。</w:t>
      </w:r>
    </w:p>
    <w:p w14:paraId="5ABB72FB">
      <w:pPr>
        <w:snapToGrid w:val="0"/>
        <w:spacing w:line="400" w:lineRule="atLeast"/>
        <w:ind w:firstLine="420"/>
        <w:rPr>
          <w:color w:val="auto"/>
          <w:szCs w:val="21"/>
        </w:rPr>
      </w:pPr>
      <w:r>
        <w:rPr>
          <w:color w:val="auto"/>
          <w:szCs w:val="21"/>
        </w:rPr>
        <w:t>硬质岩石的中风化岩石的</w:t>
      </w:r>
      <w:r>
        <w:rPr>
          <w:i/>
          <w:color w:val="auto"/>
          <w:szCs w:val="21"/>
        </w:rPr>
        <w:t>C</w:t>
      </w:r>
      <w:r>
        <w:rPr>
          <w:color w:val="auto"/>
          <w:szCs w:val="21"/>
          <w:vertAlign w:val="subscript"/>
        </w:rPr>
        <w:t>1</w:t>
      </w:r>
      <w:r>
        <w:rPr>
          <w:color w:val="auto"/>
          <w:szCs w:val="21"/>
        </w:rPr>
        <w:t>采用0.15、</w:t>
      </w:r>
      <w:r>
        <w:rPr>
          <w:i/>
          <w:color w:val="auto"/>
          <w:szCs w:val="21"/>
        </w:rPr>
        <w:t>C</w:t>
      </w:r>
      <w:r>
        <w:rPr>
          <w:color w:val="auto"/>
          <w:szCs w:val="21"/>
          <w:vertAlign w:val="subscript"/>
        </w:rPr>
        <w:t>2</w:t>
      </w:r>
      <w:r>
        <w:rPr>
          <w:color w:val="auto"/>
          <w:szCs w:val="21"/>
        </w:rPr>
        <w:t>采用0.015～0.02；微风化岩石的</w:t>
      </w:r>
      <w:r>
        <w:rPr>
          <w:i/>
          <w:color w:val="auto"/>
          <w:szCs w:val="21"/>
        </w:rPr>
        <w:t>C</w:t>
      </w:r>
      <w:r>
        <w:rPr>
          <w:color w:val="auto"/>
          <w:szCs w:val="21"/>
          <w:vertAlign w:val="subscript"/>
        </w:rPr>
        <w:t>1</w:t>
      </w:r>
      <w:r>
        <w:rPr>
          <w:color w:val="auto"/>
          <w:szCs w:val="21"/>
        </w:rPr>
        <w:t>采用0.20～0.30、</w:t>
      </w:r>
      <w:r>
        <w:rPr>
          <w:i/>
          <w:color w:val="auto"/>
          <w:szCs w:val="21"/>
        </w:rPr>
        <w:t>C</w:t>
      </w:r>
      <w:r>
        <w:rPr>
          <w:color w:val="auto"/>
          <w:szCs w:val="21"/>
          <w:vertAlign w:val="subscript"/>
        </w:rPr>
        <w:t>2</w:t>
      </w:r>
      <w:r>
        <w:rPr>
          <w:color w:val="auto"/>
          <w:szCs w:val="21"/>
        </w:rPr>
        <w:t>采用0.015～0.03；</w:t>
      </w:r>
    </w:p>
    <w:p w14:paraId="490BF567">
      <w:pPr>
        <w:snapToGrid w:val="0"/>
        <w:spacing w:line="400" w:lineRule="atLeast"/>
        <w:ind w:firstLine="420"/>
        <w:rPr>
          <w:color w:val="auto"/>
          <w:szCs w:val="21"/>
        </w:rPr>
      </w:pPr>
      <w:r>
        <w:rPr>
          <w:color w:val="auto"/>
          <w:szCs w:val="21"/>
        </w:rPr>
        <w:t>软质岩石的中风化岩石的</w:t>
      </w:r>
      <w:r>
        <w:rPr>
          <w:i/>
          <w:color w:val="auto"/>
          <w:szCs w:val="21"/>
        </w:rPr>
        <w:t>C</w:t>
      </w:r>
      <w:r>
        <w:rPr>
          <w:color w:val="auto"/>
          <w:szCs w:val="21"/>
          <w:vertAlign w:val="subscript"/>
        </w:rPr>
        <w:t>1</w:t>
      </w:r>
      <w:r>
        <w:rPr>
          <w:color w:val="auto"/>
          <w:szCs w:val="21"/>
        </w:rPr>
        <w:t>采用0.20～0.40、</w:t>
      </w:r>
      <w:r>
        <w:rPr>
          <w:i/>
          <w:color w:val="auto"/>
          <w:szCs w:val="21"/>
        </w:rPr>
        <w:t>C</w:t>
      </w:r>
      <w:r>
        <w:rPr>
          <w:color w:val="auto"/>
          <w:szCs w:val="21"/>
          <w:vertAlign w:val="subscript"/>
        </w:rPr>
        <w:t>2</w:t>
      </w:r>
      <w:r>
        <w:rPr>
          <w:color w:val="auto"/>
          <w:szCs w:val="21"/>
        </w:rPr>
        <w:t>采用0.015～0.02；微风化岩石的</w:t>
      </w:r>
      <w:r>
        <w:rPr>
          <w:i/>
          <w:color w:val="auto"/>
          <w:szCs w:val="21"/>
        </w:rPr>
        <w:t>C</w:t>
      </w:r>
      <w:r>
        <w:rPr>
          <w:color w:val="auto"/>
          <w:szCs w:val="21"/>
          <w:vertAlign w:val="subscript"/>
        </w:rPr>
        <w:t>1</w:t>
      </w:r>
      <w:r>
        <w:rPr>
          <w:color w:val="auto"/>
          <w:szCs w:val="21"/>
        </w:rPr>
        <w:t>采用0.30～0.60、</w:t>
      </w:r>
      <w:r>
        <w:rPr>
          <w:i/>
          <w:color w:val="auto"/>
          <w:szCs w:val="21"/>
        </w:rPr>
        <w:t>C</w:t>
      </w:r>
      <w:r>
        <w:rPr>
          <w:color w:val="auto"/>
          <w:szCs w:val="21"/>
          <w:vertAlign w:val="subscript"/>
        </w:rPr>
        <w:t>2</w:t>
      </w:r>
      <w:r>
        <w:rPr>
          <w:color w:val="auto"/>
          <w:szCs w:val="21"/>
        </w:rPr>
        <w:t>采用0.02～0.04</w:t>
      </w:r>
      <w:r>
        <w:rPr>
          <w:rFonts w:hint="eastAsia"/>
          <w:color w:val="auto"/>
          <w:szCs w:val="21"/>
        </w:rPr>
        <w:t>。</w:t>
      </w:r>
    </w:p>
    <w:p w14:paraId="4966EB48">
      <w:pPr>
        <w:snapToGrid w:val="0"/>
        <w:spacing w:line="400" w:lineRule="atLeast"/>
        <w:ind w:firstLine="420"/>
        <w:rPr>
          <w:color w:val="auto"/>
          <w:szCs w:val="21"/>
        </w:rPr>
      </w:pPr>
      <w:r>
        <w:rPr>
          <w:color w:val="auto"/>
          <w:szCs w:val="21"/>
        </w:rPr>
        <w:t>根据岩体的完整程度，分别取值。对完整、较完整的岩体，可取表中上限值或较高的值；对较破碎的岩体，可取表中下限值或较低的值。</w:t>
      </w:r>
    </w:p>
    <w:p w14:paraId="28205A4F">
      <w:pPr>
        <w:snapToGrid w:val="0"/>
        <w:spacing w:line="400" w:lineRule="atLeast"/>
        <w:ind w:firstLine="420"/>
        <w:rPr>
          <w:color w:val="auto"/>
        </w:rPr>
      </w:pPr>
      <w:r>
        <w:rPr>
          <w:color w:val="auto"/>
          <w:szCs w:val="21"/>
        </w:rPr>
        <w:t>对破碎的中、微风化岩体的</w:t>
      </w:r>
      <w:r>
        <w:rPr>
          <w:i/>
          <w:color w:val="auto"/>
          <w:szCs w:val="21"/>
        </w:rPr>
        <w:t>q</w:t>
      </w:r>
      <w:r>
        <w:rPr>
          <w:color w:val="auto"/>
          <w:szCs w:val="21"/>
          <w:vertAlign w:val="subscript"/>
        </w:rPr>
        <w:t>sia</w:t>
      </w:r>
      <w:r>
        <w:rPr>
          <w:color w:val="auto"/>
          <w:szCs w:val="21"/>
        </w:rPr>
        <w:t>、</w:t>
      </w:r>
      <w:r>
        <w:rPr>
          <w:i/>
          <w:color w:val="auto"/>
          <w:szCs w:val="21"/>
        </w:rPr>
        <w:t>q</w:t>
      </w:r>
      <w:r>
        <w:rPr>
          <w:color w:val="auto"/>
          <w:szCs w:val="21"/>
          <w:vertAlign w:val="subscript"/>
        </w:rPr>
        <w:t>pa</w:t>
      </w:r>
      <w:r>
        <w:rPr>
          <w:color w:val="auto"/>
          <w:szCs w:val="21"/>
        </w:rPr>
        <w:t>值，可采用现场桩的</w:t>
      </w:r>
      <w:r>
        <w:rPr>
          <w:rFonts w:hint="eastAsia"/>
          <w:color w:val="auto"/>
          <w:szCs w:val="21"/>
        </w:rPr>
        <w:t>静</w:t>
      </w:r>
      <w:r>
        <w:rPr>
          <w:color w:val="auto"/>
          <w:szCs w:val="21"/>
        </w:rPr>
        <w:t>载荷试验确定，当无条件试验时，可在表中下限值的基础上，根据工程经验进行折减，降低使用。</w:t>
      </w:r>
    </w:p>
    <w:p w14:paraId="2B430C63">
      <w:pPr>
        <w:adjustRightInd w:val="0"/>
        <w:snapToGrid w:val="0"/>
        <w:spacing w:line="340" w:lineRule="exact"/>
        <w:jc w:val="center"/>
        <w:rPr>
          <w:color w:val="auto"/>
        </w:rPr>
      </w:pPr>
    </w:p>
    <w:p w14:paraId="5DE36631">
      <w:pPr>
        <w:adjustRightInd w:val="0"/>
        <w:snapToGrid w:val="0"/>
        <w:spacing w:line="360" w:lineRule="atLeast"/>
        <w:rPr>
          <w:color w:val="auto"/>
        </w:rPr>
      </w:pPr>
    </w:p>
    <w:sectPr>
      <w:headerReference r:id="rId8" w:type="default"/>
      <w:headerReference r:id="rId9" w:type="even"/>
      <w:pgSz w:w="11907" w:h="16840"/>
      <w:pgMar w:top="1701" w:right="1361" w:bottom="851" w:left="1361" w:header="851" w:footer="79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Calibri Light">
    <w:altName w:val="Calibri"/>
    <w:panose1 w:val="020F0302020204030204"/>
    <w:charset w:val="00"/>
    <w:family w:val="swiss"/>
    <w:pitch w:val="default"/>
    <w:sig w:usb0="00000000" w:usb1="00000000"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Goudy Old Style">
    <w:altName w:val="PMingLiU-ExtB"/>
    <w:panose1 w:val="02020502050305020303"/>
    <w:charset w:val="00"/>
    <w:family w:val="roman"/>
    <w:pitch w:val="default"/>
    <w:sig w:usb0="00000000" w:usb1="00000000" w:usb2="00000000" w:usb3="00000000" w:csb0="20000001" w:csb1="00000000"/>
  </w:font>
  <w:font w:name="Cambria Math">
    <w:panose1 w:val="02040503050406030204"/>
    <w:charset w:val="00"/>
    <w:family w:val="roman"/>
    <w:pitch w:val="default"/>
    <w:sig w:usb0="A00002EF" w:usb1="420020EB"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4">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宋体-18030">
    <w:altName w:val="微软雅黑"/>
    <w:panose1 w:val="02010609060101010101"/>
    <w:charset w:val="86"/>
    <w:family w:val="modern"/>
    <w:pitch w:val="default"/>
    <w:sig w:usb0="00000000" w:usb1="00000000" w:usb2="000A005E"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AD293">
    <w:pPr>
      <w:pStyle w:val="23"/>
      <w:framePr w:wrap="around" w:vAnchor="text" w:hAnchor="margin" w:xAlign="outside" w:y="1"/>
      <w:rPr>
        <w:rStyle w:val="39"/>
      </w:rPr>
    </w:pPr>
    <w:r>
      <w:rPr>
        <w:rStyle w:val="39"/>
      </w:rPr>
      <w:fldChar w:fldCharType="begin"/>
    </w:r>
    <w:r>
      <w:rPr>
        <w:rStyle w:val="39"/>
      </w:rPr>
      <w:instrText xml:space="preserve">PAGE  </w:instrText>
    </w:r>
    <w:r>
      <w:rPr>
        <w:rStyle w:val="39"/>
      </w:rPr>
      <w:fldChar w:fldCharType="separate"/>
    </w:r>
    <w:r>
      <w:rPr>
        <w:rStyle w:val="39"/>
      </w:rPr>
      <w:t>117</w:t>
    </w:r>
    <w:r>
      <w:rPr>
        <w:rStyle w:val="39"/>
      </w:rPr>
      <w:fldChar w:fldCharType="end"/>
    </w:r>
  </w:p>
  <w:p w14:paraId="56F208FE">
    <w:pPr>
      <w:pStyle w:val="2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8AAFE">
    <w:pPr>
      <w:pStyle w:val="23"/>
      <w:framePr w:wrap="around" w:vAnchor="text" w:hAnchor="margin" w:xAlign="outside" w:y="1"/>
      <w:jc w:val="both"/>
      <w:rPr>
        <w:rStyle w:val="39"/>
      </w:rPr>
    </w:pPr>
    <w:r>
      <w:rPr>
        <w:rStyle w:val="39"/>
      </w:rPr>
      <w:fldChar w:fldCharType="begin"/>
    </w:r>
    <w:r>
      <w:rPr>
        <w:rStyle w:val="39"/>
      </w:rPr>
      <w:instrText xml:space="preserve">PAGE  </w:instrText>
    </w:r>
    <w:r>
      <w:rPr>
        <w:rStyle w:val="39"/>
      </w:rPr>
      <w:fldChar w:fldCharType="separate"/>
    </w:r>
    <w:r>
      <w:rPr>
        <w:rStyle w:val="39"/>
      </w:rPr>
      <w:t>116</w:t>
    </w:r>
    <w:r>
      <w:rPr>
        <w:rStyle w:val="39"/>
      </w:rPr>
      <w:fldChar w:fldCharType="end"/>
    </w:r>
  </w:p>
  <w:p w14:paraId="4EB45286">
    <w:pPr>
      <w:pStyle w:val="2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9A296">
    <w:pPr>
      <w:pStyle w:val="24"/>
      <w:pBdr>
        <w:bottom w:val="none" w:color="auto" w:sz="0" w:space="0"/>
      </w:pBdr>
      <w:spacing w:line="200" w:lineRule="exact"/>
    </w:pPr>
  </w:p>
  <w:p w14:paraId="6DA268C5">
    <w:pPr>
      <w:pStyle w:val="24"/>
      <w:pBdr>
        <w:bottom w:val="none" w:color="auto" w:sz="0" w:space="0"/>
      </w:pBdr>
      <w:spacing w:line="200" w:lineRule="exact"/>
    </w:pPr>
  </w:p>
  <w:p w14:paraId="4F29B68C">
    <w:pPr>
      <w:pStyle w:val="24"/>
      <w:pBdr>
        <w:bottom w:val="none" w:color="auto" w:sz="0" w:space="0"/>
      </w:pBdr>
      <w:jc w:val="both"/>
    </w:pPr>
    <w:r>
      <w:rPr>
        <w:rFonts w:hint="eastAsia"/>
        <w:b/>
      </w:rPr>
      <w:t>DB42/242—20</w:t>
    </w:r>
    <w:r>
      <w:rPr>
        <w:b/>
      </w:rPr>
      <w:t>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5BAE3">
    <w:pPr>
      <w:pStyle w:val="24"/>
      <w:pBdr>
        <w:bottom w:val="none" w:color="auto" w:sz="0" w:space="0"/>
      </w:pBdr>
      <w:jc w:val="right"/>
      <w:rPr>
        <w:b/>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C949E">
                          <w:pPr>
                            <w:pStyle w:val="24"/>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497C949E">
                    <w:pPr>
                      <w:pStyle w:val="24"/>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b/>
      </w:rPr>
      <w:t>DB42/242—20</w:t>
    </w:r>
    <w:r>
      <w:rPr>
        <w:b/>
      </w:rPr>
      <w:t>2X</w:t>
    </w:r>
    <w:r>
      <w:rPr>
        <w:rFonts w:hint="eastAsia"/>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C822">
    <w:pPr>
      <w:pStyle w:val="24"/>
      <w:pBdr>
        <w:bottom w:val="none" w:color="auto" w:sz="0" w:space="0"/>
      </w:pBdr>
      <w:spacing w:line="200" w:lineRule="exac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7F32B">
                          <w:pPr>
                            <w:pStyle w:val="24"/>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5A17F32B">
                    <w:pPr>
                      <w:pStyle w:val="24"/>
                    </w:pPr>
                    <w:r>
                      <w:fldChar w:fldCharType="begin"/>
                    </w:r>
                    <w:r>
                      <w:instrText xml:space="preserve"> PAGE  \* MERGEFORMAT </w:instrText>
                    </w:r>
                    <w:r>
                      <w:fldChar w:fldCharType="separate"/>
                    </w:r>
                    <w:r>
                      <w:t>II</w:t>
                    </w:r>
                    <w:r>
                      <w:fldChar w:fldCharType="end"/>
                    </w:r>
                  </w:p>
                </w:txbxContent>
              </v:textbox>
            </v:shape>
          </w:pict>
        </mc:Fallback>
      </mc:AlternateContent>
    </w:r>
  </w:p>
  <w:p w14:paraId="158095D1">
    <w:pPr>
      <w:pStyle w:val="24"/>
      <w:pBdr>
        <w:bottom w:val="none" w:color="auto" w:sz="0" w:space="0"/>
      </w:pBdr>
      <w:spacing w:line="200" w:lineRule="exact"/>
    </w:pPr>
  </w:p>
  <w:p w14:paraId="7785F44F">
    <w:pPr>
      <w:pStyle w:val="24"/>
      <w:pBdr>
        <w:bottom w:val="none" w:color="auto" w:sz="0" w:space="0"/>
      </w:pBdr>
      <w:jc w:val="both"/>
    </w:pPr>
    <w:r>
      <w:rPr>
        <w:rFonts w:hint="eastAsia"/>
        <w:b/>
      </w:rPr>
      <w:t>DB42/242—20</w:t>
    </w:r>
    <w:r>
      <w:rPr>
        <w:b/>
      </w:rPr>
      <w:t>2X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44142">
    <w:pPr>
      <w:pStyle w:val="24"/>
      <w:pBdr>
        <w:bottom w:val="none" w:color="auto" w:sz="0" w:space="0"/>
      </w:pBdr>
      <w:jc w:val="right"/>
      <w:rPr>
        <w:b/>
      </w:rPr>
    </w:pPr>
    <w:r>
      <w:rPr>
        <w:rFonts w:hint="eastAsia"/>
        <w:b/>
      </w:rPr>
      <w:t>DB42/242—20</w:t>
    </w:r>
    <w:r>
      <w:rPr>
        <w:b/>
      </w:rPr>
      <w:t>2X</w:t>
    </w:r>
    <w:r>
      <w:rPr>
        <w:rFonts w:hint="eastAsia"/>
        <w:b/>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3B82">
    <w:pPr>
      <w:pStyle w:val="24"/>
      <w:pBdr>
        <w:bottom w:val="none" w:color="auto" w:sz="0" w:space="0"/>
      </w:pBdr>
      <w:spacing w:line="200" w:lineRule="exact"/>
    </w:pPr>
  </w:p>
  <w:p w14:paraId="60AD12E7">
    <w:pPr>
      <w:pStyle w:val="24"/>
      <w:pBdr>
        <w:bottom w:val="none" w:color="auto" w:sz="0" w:space="0"/>
      </w:pBdr>
      <w:spacing w:line="200" w:lineRule="exact"/>
    </w:pPr>
  </w:p>
  <w:p w14:paraId="6CC02373">
    <w:pPr>
      <w:pStyle w:val="24"/>
      <w:pBdr>
        <w:bottom w:val="none" w:color="auto" w:sz="0" w:space="0"/>
      </w:pBdr>
      <w:jc w:val="both"/>
    </w:pPr>
    <w:r>
      <w:rPr>
        <w:rFonts w:hint="eastAsia"/>
        <w:b/>
      </w:rPr>
      <w:t>DB42/242—20</w:t>
    </w:r>
    <w:r>
      <w:rPr>
        <w:b/>
      </w:rPr>
      <w:t>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94863"/>
    <w:multiLevelType w:val="multilevel"/>
    <w:tmpl w:val="28D94863"/>
    <w:lvl w:ilvl="0" w:tentative="0">
      <w:start w:val="1"/>
      <w:numFmt w:val="decimal"/>
      <w:lvlText w:val="%1）"/>
      <w:lvlJc w:val="left"/>
      <w:pPr>
        <w:ind w:left="1088" w:hanging="360"/>
      </w:pPr>
      <w:rPr>
        <w:rFonts w:hint="default"/>
        <w:b/>
      </w:rPr>
    </w:lvl>
    <w:lvl w:ilvl="1" w:tentative="0">
      <w:start w:val="1"/>
      <w:numFmt w:val="lowerLetter"/>
      <w:lvlText w:val="%2)"/>
      <w:lvlJc w:val="left"/>
      <w:pPr>
        <w:ind w:left="1568" w:hanging="420"/>
      </w:pPr>
    </w:lvl>
    <w:lvl w:ilvl="2" w:tentative="0">
      <w:start w:val="1"/>
      <w:numFmt w:val="lowerRoman"/>
      <w:lvlText w:val="%3."/>
      <w:lvlJc w:val="right"/>
      <w:pPr>
        <w:ind w:left="1988" w:hanging="420"/>
      </w:pPr>
    </w:lvl>
    <w:lvl w:ilvl="3" w:tentative="0">
      <w:start w:val="1"/>
      <w:numFmt w:val="decimal"/>
      <w:lvlText w:val="%4."/>
      <w:lvlJc w:val="left"/>
      <w:pPr>
        <w:ind w:left="2408" w:hanging="420"/>
      </w:pPr>
    </w:lvl>
    <w:lvl w:ilvl="4" w:tentative="0">
      <w:start w:val="1"/>
      <w:numFmt w:val="lowerLetter"/>
      <w:lvlText w:val="%5)"/>
      <w:lvlJc w:val="left"/>
      <w:pPr>
        <w:ind w:left="2828" w:hanging="420"/>
      </w:pPr>
    </w:lvl>
    <w:lvl w:ilvl="5" w:tentative="0">
      <w:start w:val="1"/>
      <w:numFmt w:val="lowerRoman"/>
      <w:lvlText w:val="%6."/>
      <w:lvlJc w:val="right"/>
      <w:pPr>
        <w:ind w:left="3248" w:hanging="420"/>
      </w:pPr>
    </w:lvl>
    <w:lvl w:ilvl="6" w:tentative="0">
      <w:start w:val="1"/>
      <w:numFmt w:val="decimal"/>
      <w:lvlText w:val="%7."/>
      <w:lvlJc w:val="left"/>
      <w:pPr>
        <w:ind w:left="3668" w:hanging="420"/>
      </w:pPr>
    </w:lvl>
    <w:lvl w:ilvl="7" w:tentative="0">
      <w:start w:val="1"/>
      <w:numFmt w:val="lowerLetter"/>
      <w:lvlText w:val="%8)"/>
      <w:lvlJc w:val="left"/>
      <w:pPr>
        <w:ind w:left="4088" w:hanging="420"/>
      </w:pPr>
    </w:lvl>
    <w:lvl w:ilvl="8" w:tentative="0">
      <w:start w:val="1"/>
      <w:numFmt w:val="lowerRoman"/>
      <w:lvlText w:val="%9."/>
      <w:lvlJc w:val="right"/>
      <w:pPr>
        <w:ind w:left="4508" w:hanging="420"/>
      </w:pPr>
    </w:lvl>
  </w:abstractNum>
  <w:abstractNum w:abstractNumId="1">
    <w:nsid w:val="35B92808"/>
    <w:multiLevelType w:val="multilevel"/>
    <w:tmpl w:val="35B92808"/>
    <w:lvl w:ilvl="0" w:tentative="0">
      <w:start w:val="1"/>
      <w:numFmt w:val="decimal"/>
      <w:lvlText w:val="%1"/>
      <w:lvlJc w:val="left"/>
      <w:pPr>
        <w:ind w:left="420" w:hanging="420"/>
      </w:pPr>
      <w:rPr>
        <w:rFonts w:hint="eastAsia"/>
      </w:rPr>
    </w:lvl>
    <w:lvl w:ilvl="1" w:tentative="0">
      <w:start w:val="10"/>
      <w:numFmt w:val="decimal"/>
      <w:isLgl/>
      <w:lvlText w:val="%1.%2"/>
      <w:lvlJc w:val="left"/>
      <w:pPr>
        <w:ind w:left="705" w:hanging="705"/>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2">
    <w:nsid w:val="477E6634"/>
    <w:multiLevelType w:val="multilevel"/>
    <w:tmpl w:val="477E6634"/>
    <w:lvl w:ilvl="0" w:tentative="0">
      <w:start w:val="1"/>
      <w:numFmt w:val="decimal"/>
      <w:lvlText w:val="4.%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BB67222"/>
    <w:multiLevelType w:val="multilevel"/>
    <w:tmpl w:val="6BB67222"/>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wODU5Zjc5Mjc4YjYwYjcyZGIzNjAzYmE2ODEwNjEifQ=="/>
  </w:docVars>
  <w:rsids>
    <w:rsidRoot w:val="00366778"/>
    <w:rsid w:val="000005FD"/>
    <w:rsid w:val="0000188C"/>
    <w:rsid w:val="00002BEB"/>
    <w:rsid w:val="00002D29"/>
    <w:rsid w:val="00002E00"/>
    <w:rsid w:val="00003A5E"/>
    <w:rsid w:val="00004160"/>
    <w:rsid w:val="0001356A"/>
    <w:rsid w:val="00013653"/>
    <w:rsid w:val="0001499E"/>
    <w:rsid w:val="0001763A"/>
    <w:rsid w:val="00017DD7"/>
    <w:rsid w:val="000208D0"/>
    <w:rsid w:val="00021342"/>
    <w:rsid w:val="000219AD"/>
    <w:rsid w:val="000219EB"/>
    <w:rsid w:val="000230E1"/>
    <w:rsid w:val="0002681E"/>
    <w:rsid w:val="000277A4"/>
    <w:rsid w:val="000278A7"/>
    <w:rsid w:val="000310B9"/>
    <w:rsid w:val="000324C9"/>
    <w:rsid w:val="00032F3A"/>
    <w:rsid w:val="00033B51"/>
    <w:rsid w:val="00034BD4"/>
    <w:rsid w:val="0003633C"/>
    <w:rsid w:val="00037997"/>
    <w:rsid w:val="00040A28"/>
    <w:rsid w:val="00041715"/>
    <w:rsid w:val="00041F48"/>
    <w:rsid w:val="00044598"/>
    <w:rsid w:val="0004475E"/>
    <w:rsid w:val="00044899"/>
    <w:rsid w:val="00045494"/>
    <w:rsid w:val="000460D6"/>
    <w:rsid w:val="00047D34"/>
    <w:rsid w:val="00047D8F"/>
    <w:rsid w:val="000513A0"/>
    <w:rsid w:val="00053AFA"/>
    <w:rsid w:val="00056B97"/>
    <w:rsid w:val="00057099"/>
    <w:rsid w:val="00057E49"/>
    <w:rsid w:val="000601E6"/>
    <w:rsid w:val="0006055A"/>
    <w:rsid w:val="0006310D"/>
    <w:rsid w:val="00064A05"/>
    <w:rsid w:val="000651A9"/>
    <w:rsid w:val="0006719A"/>
    <w:rsid w:val="00067B77"/>
    <w:rsid w:val="0007180F"/>
    <w:rsid w:val="0007366B"/>
    <w:rsid w:val="000745F0"/>
    <w:rsid w:val="0007495D"/>
    <w:rsid w:val="00074985"/>
    <w:rsid w:val="00075F25"/>
    <w:rsid w:val="0007627B"/>
    <w:rsid w:val="000845D8"/>
    <w:rsid w:val="0008529D"/>
    <w:rsid w:val="00086052"/>
    <w:rsid w:val="0008674B"/>
    <w:rsid w:val="00087B09"/>
    <w:rsid w:val="000907BA"/>
    <w:rsid w:val="00091C62"/>
    <w:rsid w:val="00092474"/>
    <w:rsid w:val="00092665"/>
    <w:rsid w:val="0009760F"/>
    <w:rsid w:val="00097B82"/>
    <w:rsid w:val="00097E73"/>
    <w:rsid w:val="000A2896"/>
    <w:rsid w:val="000A3618"/>
    <w:rsid w:val="000A3FAD"/>
    <w:rsid w:val="000A40BB"/>
    <w:rsid w:val="000B06A8"/>
    <w:rsid w:val="000B3D10"/>
    <w:rsid w:val="000B6752"/>
    <w:rsid w:val="000B7641"/>
    <w:rsid w:val="000C289B"/>
    <w:rsid w:val="000C2D95"/>
    <w:rsid w:val="000C396E"/>
    <w:rsid w:val="000D3ADD"/>
    <w:rsid w:val="000D4369"/>
    <w:rsid w:val="000D4548"/>
    <w:rsid w:val="000D4E17"/>
    <w:rsid w:val="000D62F7"/>
    <w:rsid w:val="000E0C41"/>
    <w:rsid w:val="000E11B6"/>
    <w:rsid w:val="000E275A"/>
    <w:rsid w:val="000E2ABF"/>
    <w:rsid w:val="000E5D88"/>
    <w:rsid w:val="000F171A"/>
    <w:rsid w:val="000F33A9"/>
    <w:rsid w:val="000F5D3F"/>
    <w:rsid w:val="000F5DF1"/>
    <w:rsid w:val="000F7041"/>
    <w:rsid w:val="000F7239"/>
    <w:rsid w:val="00101F54"/>
    <w:rsid w:val="00103699"/>
    <w:rsid w:val="00104817"/>
    <w:rsid w:val="00105363"/>
    <w:rsid w:val="00105B82"/>
    <w:rsid w:val="00106943"/>
    <w:rsid w:val="001124E2"/>
    <w:rsid w:val="0011306E"/>
    <w:rsid w:val="00113B7E"/>
    <w:rsid w:val="00113FEE"/>
    <w:rsid w:val="00114C35"/>
    <w:rsid w:val="00121CB2"/>
    <w:rsid w:val="00122C3A"/>
    <w:rsid w:val="00122F99"/>
    <w:rsid w:val="0013166C"/>
    <w:rsid w:val="001324ED"/>
    <w:rsid w:val="001329DB"/>
    <w:rsid w:val="00134192"/>
    <w:rsid w:val="00135E25"/>
    <w:rsid w:val="001360B1"/>
    <w:rsid w:val="00140387"/>
    <w:rsid w:val="00140F8C"/>
    <w:rsid w:val="00141069"/>
    <w:rsid w:val="00142089"/>
    <w:rsid w:val="00142D74"/>
    <w:rsid w:val="00143535"/>
    <w:rsid w:val="00146549"/>
    <w:rsid w:val="001527E6"/>
    <w:rsid w:val="00152E78"/>
    <w:rsid w:val="00153DDA"/>
    <w:rsid w:val="00155A8E"/>
    <w:rsid w:val="001565A5"/>
    <w:rsid w:val="0015745A"/>
    <w:rsid w:val="001603E9"/>
    <w:rsid w:val="001628B4"/>
    <w:rsid w:val="0016392B"/>
    <w:rsid w:val="00166BCB"/>
    <w:rsid w:val="00172532"/>
    <w:rsid w:val="0017295B"/>
    <w:rsid w:val="00172980"/>
    <w:rsid w:val="0017298C"/>
    <w:rsid w:val="001737D6"/>
    <w:rsid w:val="00174B32"/>
    <w:rsid w:val="00174B85"/>
    <w:rsid w:val="001760D8"/>
    <w:rsid w:val="0017738D"/>
    <w:rsid w:val="001825AE"/>
    <w:rsid w:val="001854F4"/>
    <w:rsid w:val="00185BC5"/>
    <w:rsid w:val="001904D4"/>
    <w:rsid w:val="00191A73"/>
    <w:rsid w:val="00193EA7"/>
    <w:rsid w:val="00194F7F"/>
    <w:rsid w:val="00195B3D"/>
    <w:rsid w:val="001A00F7"/>
    <w:rsid w:val="001A13C4"/>
    <w:rsid w:val="001A1B35"/>
    <w:rsid w:val="001A2826"/>
    <w:rsid w:val="001A3B57"/>
    <w:rsid w:val="001A3C6C"/>
    <w:rsid w:val="001B2367"/>
    <w:rsid w:val="001B2537"/>
    <w:rsid w:val="001B532F"/>
    <w:rsid w:val="001B5333"/>
    <w:rsid w:val="001B5810"/>
    <w:rsid w:val="001B6BE7"/>
    <w:rsid w:val="001B742E"/>
    <w:rsid w:val="001B7ED7"/>
    <w:rsid w:val="001C0C70"/>
    <w:rsid w:val="001C2719"/>
    <w:rsid w:val="001C3943"/>
    <w:rsid w:val="001C4E41"/>
    <w:rsid w:val="001C6883"/>
    <w:rsid w:val="001C6D20"/>
    <w:rsid w:val="001D1F05"/>
    <w:rsid w:val="001D3624"/>
    <w:rsid w:val="001D3831"/>
    <w:rsid w:val="001D397A"/>
    <w:rsid w:val="001E1413"/>
    <w:rsid w:val="001E14E8"/>
    <w:rsid w:val="001E4095"/>
    <w:rsid w:val="001E4107"/>
    <w:rsid w:val="001E4F1C"/>
    <w:rsid w:val="001E57FD"/>
    <w:rsid w:val="001E60DC"/>
    <w:rsid w:val="001E6EF4"/>
    <w:rsid w:val="001E7BA2"/>
    <w:rsid w:val="001F0DE5"/>
    <w:rsid w:val="001F1930"/>
    <w:rsid w:val="001F69B9"/>
    <w:rsid w:val="001F7659"/>
    <w:rsid w:val="001F7B67"/>
    <w:rsid w:val="002008C9"/>
    <w:rsid w:val="00201E59"/>
    <w:rsid w:val="00203AD1"/>
    <w:rsid w:val="002049DB"/>
    <w:rsid w:val="0020529E"/>
    <w:rsid w:val="002108FA"/>
    <w:rsid w:val="00212155"/>
    <w:rsid w:val="0021227E"/>
    <w:rsid w:val="002128EE"/>
    <w:rsid w:val="0021386E"/>
    <w:rsid w:val="00213C01"/>
    <w:rsid w:val="002147C1"/>
    <w:rsid w:val="0021495A"/>
    <w:rsid w:val="00217DC1"/>
    <w:rsid w:val="0022188B"/>
    <w:rsid w:val="00227083"/>
    <w:rsid w:val="002309E7"/>
    <w:rsid w:val="00231C4A"/>
    <w:rsid w:val="00236EFD"/>
    <w:rsid w:val="0023732A"/>
    <w:rsid w:val="00237677"/>
    <w:rsid w:val="00240560"/>
    <w:rsid w:val="00246FB9"/>
    <w:rsid w:val="00247F69"/>
    <w:rsid w:val="00250CAC"/>
    <w:rsid w:val="00252F13"/>
    <w:rsid w:val="00253227"/>
    <w:rsid w:val="002534DB"/>
    <w:rsid w:val="0025470F"/>
    <w:rsid w:val="00255033"/>
    <w:rsid w:val="00255B77"/>
    <w:rsid w:val="00256462"/>
    <w:rsid w:val="00256544"/>
    <w:rsid w:val="00257165"/>
    <w:rsid w:val="00260239"/>
    <w:rsid w:val="002612DE"/>
    <w:rsid w:val="0026419D"/>
    <w:rsid w:val="00264204"/>
    <w:rsid w:val="00266071"/>
    <w:rsid w:val="00273462"/>
    <w:rsid w:val="002762FA"/>
    <w:rsid w:val="00280950"/>
    <w:rsid w:val="002825B1"/>
    <w:rsid w:val="002827AE"/>
    <w:rsid w:val="002841F2"/>
    <w:rsid w:val="002850EE"/>
    <w:rsid w:val="0028627F"/>
    <w:rsid w:val="00287A9B"/>
    <w:rsid w:val="00290151"/>
    <w:rsid w:val="0029135E"/>
    <w:rsid w:val="00293A74"/>
    <w:rsid w:val="002949DA"/>
    <w:rsid w:val="00294F8A"/>
    <w:rsid w:val="0029581C"/>
    <w:rsid w:val="002A0BB9"/>
    <w:rsid w:val="002A41CC"/>
    <w:rsid w:val="002A4985"/>
    <w:rsid w:val="002A5769"/>
    <w:rsid w:val="002B2051"/>
    <w:rsid w:val="002B3389"/>
    <w:rsid w:val="002B5C9D"/>
    <w:rsid w:val="002B5DD1"/>
    <w:rsid w:val="002B628E"/>
    <w:rsid w:val="002B646B"/>
    <w:rsid w:val="002B6CAA"/>
    <w:rsid w:val="002B7D94"/>
    <w:rsid w:val="002C0275"/>
    <w:rsid w:val="002C03E4"/>
    <w:rsid w:val="002C09B4"/>
    <w:rsid w:val="002C234B"/>
    <w:rsid w:val="002C3613"/>
    <w:rsid w:val="002C5CC8"/>
    <w:rsid w:val="002D0257"/>
    <w:rsid w:val="002D035D"/>
    <w:rsid w:val="002D109A"/>
    <w:rsid w:val="002D1B68"/>
    <w:rsid w:val="002D261E"/>
    <w:rsid w:val="002D2C75"/>
    <w:rsid w:val="002D4066"/>
    <w:rsid w:val="002D5614"/>
    <w:rsid w:val="002D56DE"/>
    <w:rsid w:val="002D5A03"/>
    <w:rsid w:val="002D6F1B"/>
    <w:rsid w:val="002D73C9"/>
    <w:rsid w:val="002E2EF8"/>
    <w:rsid w:val="002E5694"/>
    <w:rsid w:val="002E680A"/>
    <w:rsid w:val="002E6A74"/>
    <w:rsid w:val="002F07A4"/>
    <w:rsid w:val="002F2C29"/>
    <w:rsid w:val="002F3A91"/>
    <w:rsid w:val="002F6859"/>
    <w:rsid w:val="002F6A7D"/>
    <w:rsid w:val="002F75B0"/>
    <w:rsid w:val="00302021"/>
    <w:rsid w:val="00302E92"/>
    <w:rsid w:val="00304848"/>
    <w:rsid w:val="003074EB"/>
    <w:rsid w:val="0030765D"/>
    <w:rsid w:val="00310273"/>
    <w:rsid w:val="00310F0A"/>
    <w:rsid w:val="00313972"/>
    <w:rsid w:val="00313F13"/>
    <w:rsid w:val="003156D9"/>
    <w:rsid w:val="00317FE3"/>
    <w:rsid w:val="00320335"/>
    <w:rsid w:val="003207C4"/>
    <w:rsid w:val="00320C21"/>
    <w:rsid w:val="00322C6D"/>
    <w:rsid w:val="003248BF"/>
    <w:rsid w:val="00326C07"/>
    <w:rsid w:val="00330734"/>
    <w:rsid w:val="00331535"/>
    <w:rsid w:val="00334A96"/>
    <w:rsid w:val="003353BF"/>
    <w:rsid w:val="00340496"/>
    <w:rsid w:val="00340796"/>
    <w:rsid w:val="003407FF"/>
    <w:rsid w:val="00342139"/>
    <w:rsid w:val="003454F6"/>
    <w:rsid w:val="00345A1A"/>
    <w:rsid w:val="00345C0D"/>
    <w:rsid w:val="00347DD1"/>
    <w:rsid w:val="0035097E"/>
    <w:rsid w:val="003518BF"/>
    <w:rsid w:val="0035282A"/>
    <w:rsid w:val="003573B7"/>
    <w:rsid w:val="0036055E"/>
    <w:rsid w:val="003618D8"/>
    <w:rsid w:val="00361BF1"/>
    <w:rsid w:val="00364631"/>
    <w:rsid w:val="00364AC7"/>
    <w:rsid w:val="00365B2E"/>
    <w:rsid w:val="00365BFF"/>
    <w:rsid w:val="00366778"/>
    <w:rsid w:val="00367557"/>
    <w:rsid w:val="00367A50"/>
    <w:rsid w:val="0037052A"/>
    <w:rsid w:val="0037275A"/>
    <w:rsid w:val="00372A9E"/>
    <w:rsid w:val="00372B49"/>
    <w:rsid w:val="00373701"/>
    <w:rsid w:val="00373E85"/>
    <w:rsid w:val="00374858"/>
    <w:rsid w:val="0037539A"/>
    <w:rsid w:val="003760F2"/>
    <w:rsid w:val="003766A0"/>
    <w:rsid w:val="0037766D"/>
    <w:rsid w:val="00377BF0"/>
    <w:rsid w:val="0038455C"/>
    <w:rsid w:val="0038598B"/>
    <w:rsid w:val="003866D2"/>
    <w:rsid w:val="00386FA8"/>
    <w:rsid w:val="0038765C"/>
    <w:rsid w:val="003945EB"/>
    <w:rsid w:val="00395C15"/>
    <w:rsid w:val="003970F4"/>
    <w:rsid w:val="003A0931"/>
    <w:rsid w:val="003A1519"/>
    <w:rsid w:val="003A1930"/>
    <w:rsid w:val="003A1BF9"/>
    <w:rsid w:val="003A359B"/>
    <w:rsid w:val="003A3DFA"/>
    <w:rsid w:val="003A46E8"/>
    <w:rsid w:val="003A59B1"/>
    <w:rsid w:val="003A5F03"/>
    <w:rsid w:val="003B2B39"/>
    <w:rsid w:val="003B31F4"/>
    <w:rsid w:val="003B3208"/>
    <w:rsid w:val="003B3F54"/>
    <w:rsid w:val="003B4BB8"/>
    <w:rsid w:val="003B4EF3"/>
    <w:rsid w:val="003B5019"/>
    <w:rsid w:val="003B6D41"/>
    <w:rsid w:val="003C1F56"/>
    <w:rsid w:val="003C22C1"/>
    <w:rsid w:val="003C2AAE"/>
    <w:rsid w:val="003C36D2"/>
    <w:rsid w:val="003C3712"/>
    <w:rsid w:val="003C50CA"/>
    <w:rsid w:val="003C53F5"/>
    <w:rsid w:val="003C5888"/>
    <w:rsid w:val="003C68B5"/>
    <w:rsid w:val="003C769E"/>
    <w:rsid w:val="003D13B4"/>
    <w:rsid w:val="003D1CFD"/>
    <w:rsid w:val="003D4D45"/>
    <w:rsid w:val="003D5567"/>
    <w:rsid w:val="003D589D"/>
    <w:rsid w:val="003D6833"/>
    <w:rsid w:val="003E0240"/>
    <w:rsid w:val="003E2555"/>
    <w:rsid w:val="003E4767"/>
    <w:rsid w:val="003E5324"/>
    <w:rsid w:val="003E5D78"/>
    <w:rsid w:val="003E7881"/>
    <w:rsid w:val="003F00EE"/>
    <w:rsid w:val="003F110B"/>
    <w:rsid w:val="003F386B"/>
    <w:rsid w:val="003F4120"/>
    <w:rsid w:val="003F57AD"/>
    <w:rsid w:val="003F58C7"/>
    <w:rsid w:val="003F6372"/>
    <w:rsid w:val="003F7E39"/>
    <w:rsid w:val="003F7ECA"/>
    <w:rsid w:val="004002B1"/>
    <w:rsid w:val="00402436"/>
    <w:rsid w:val="004037E5"/>
    <w:rsid w:val="00404A9F"/>
    <w:rsid w:val="004061ED"/>
    <w:rsid w:val="00410482"/>
    <w:rsid w:val="00410F26"/>
    <w:rsid w:val="004112B6"/>
    <w:rsid w:val="00411F15"/>
    <w:rsid w:val="004134D8"/>
    <w:rsid w:val="004136DB"/>
    <w:rsid w:val="00415D2D"/>
    <w:rsid w:val="00416139"/>
    <w:rsid w:val="00420D2F"/>
    <w:rsid w:val="004213AD"/>
    <w:rsid w:val="00422BA2"/>
    <w:rsid w:val="00422F2E"/>
    <w:rsid w:val="00424BAF"/>
    <w:rsid w:val="0042588F"/>
    <w:rsid w:val="00425C03"/>
    <w:rsid w:val="004268B9"/>
    <w:rsid w:val="00432200"/>
    <w:rsid w:val="00432F98"/>
    <w:rsid w:val="00434079"/>
    <w:rsid w:val="0043425D"/>
    <w:rsid w:val="00434AE2"/>
    <w:rsid w:val="004356C7"/>
    <w:rsid w:val="0044193A"/>
    <w:rsid w:val="0044273D"/>
    <w:rsid w:val="00442CBA"/>
    <w:rsid w:val="0044339B"/>
    <w:rsid w:val="0044394E"/>
    <w:rsid w:val="00443F79"/>
    <w:rsid w:val="004451B6"/>
    <w:rsid w:val="0044782A"/>
    <w:rsid w:val="004503BC"/>
    <w:rsid w:val="00450A47"/>
    <w:rsid w:val="00450B25"/>
    <w:rsid w:val="00451030"/>
    <w:rsid w:val="00451D69"/>
    <w:rsid w:val="004521BD"/>
    <w:rsid w:val="00453AB9"/>
    <w:rsid w:val="00453EE3"/>
    <w:rsid w:val="004570D3"/>
    <w:rsid w:val="00457123"/>
    <w:rsid w:val="0045719F"/>
    <w:rsid w:val="0045731F"/>
    <w:rsid w:val="00457596"/>
    <w:rsid w:val="00462029"/>
    <w:rsid w:val="004622EA"/>
    <w:rsid w:val="00462A9F"/>
    <w:rsid w:val="00462E41"/>
    <w:rsid w:val="0046481F"/>
    <w:rsid w:val="00465C11"/>
    <w:rsid w:val="00467470"/>
    <w:rsid w:val="004706E8"/>
    <w:rsid w:val="00470784"/>
    <w:rsid w:val="00470D67"/>
    <w:rsid w:val="00472C52"/>
    <w:rsid w:val="004742D2"/>
    <w:rsid w:val="00474E0F"/>
    <w:rsid w:val="004751AB"/>
    <w:rsid w:val="00475735"/>
    <w:rsid w:val="00477548"/>
    <w:rsid w:val="00477EFA"/>
    <w:rsid w:val="0048277F"/>
    <w:rsid w:val="00483944"/>
    <w:rsid w:val="00484290"/>
    <w:rsid w:val="00484358"/>
    <w:rsid w:val="00484582"/>
    <w:rsid w:val="00484F56"/>
    <w:rsid w:val="00486E20"/>
    <w:rsid w:val="00487A2C"/>
    <w:rsid w:val="00490933"/>
    <w:rsid w:val="00493D1F"/>
    <w:rsid w:val="00494046"/>
    <w:rsid w:val="00496C7A"/>
    <w:rsid w:val="00496F02"/>
    <w:rsid w:val="004977D3"/>
    <w:rsid w:val="004A11BC"/>
    <w:rsid w:val="004A334C"/>
    <w:rsid w:val="004A65D4"/>
    <w:rsid w:val="004B163E"/>
    <w:rsid w:val="004B212C"/>
    <w:rsid w:val="004B4CD9"/>
    <w:rsid w:val="004B7763"/>
    <w:rsid w:val="004B7DFE"/>
    <w:rsid w:val="004C13DD"/>
    <w:rsid w:val="004C2283"/>
    <w:rsid w:val="004C2C0E"/>
    <w:rsid w:val="004C2FBC"/>
    <w:rsid w:val="004C4242"/>
    <w:rsid w:val="004D19F4"/>
    <w:rsid w:val="004D1D7B"/>
    <w:rsid w:val="004D28A0"/>
    <w:rsid w:val="004D2E47"/>
    <w:rsid w:val="004D42E5"/>
    <w:rsid w:val="004D4525"/>
    <w:rsid w:val="004D6DAE"/>
    <w:rsid w:val="004D6F1A"/>
    <w:rsid w:val="004E02A9"/>
    <w:rsid w:val="004E4E2F"/>
    <w:rsid w:val="004E54AA"/>
    <w:rsid w:val="004E5710"/>
    <w:rsid w:val="004E5FF0"/>
    <w:rsid w:val="004E6DBA"/>
    <w:rsid w:val="004E7AE2"/>
    <w:rsid w:val="004E7B3D"/>
    <w:rsid w:val="004F04B3"/>
    <w:rsid w:val="004F1027"/>
    <w:rsid w:val="004F103A"/>
    <w:rsid w:val="004F1328"/>
    <w:rsid w:val="004F2500"/>
    <w:rsid w:val="004F3AC1"/>
    <w:rsid w:val="004F4466"/>
    <w:rsid w:val="004F53BD"/>
    <w:rsid w:val="004F62EF"/>
    <w:rsid w:val="004F6D0D"/>
    <w:rsid w:val="00503CDE"/>
    <w:rsid w:val="00506EF1"/>
    <w:rsid w:val="00507C95"/>
    <w:rsid w:val="00512FCB"/>
    <w:rsid w:val="005132B1"/>
    <w:rsid w:val="00513782"/>
    <w:rsid w:val="00514706"/>
    <w:rsid w:val="005164B0"/>
    <w:rsid w:val="005171DD"/>
    <w:rsid w:val="00517FFD"/>
    <w:rsid w:val="005218A3"/>
    <w:rsid w:val="00522E72"/>
    <w:rsid w:val="0052355A"/>
    <w:rsid w:val="00523D5E"/>
    <w:rsid w:val="00526194"/>
    <w:rsid w:val="00530688"/>
    <w:rsid w:val="00532394"/>
    <w:rsid w:val="00532BB0"/>
    <w:rsid w:val="00535E4F"/>
    <w:rsid w:val="005413E8"/>
    <w:rsid w:val="00544FE0"/>
    <w:rsid w:val="00550C57"/>
    <w:rsid w:val="005554C7"/>
    <w:rsid w:val="0055578A"/>
    <w:rsid w:val="005576FB"/>
    <w:rsid w:val="00560481"/>
    <w:rsid w:val="005605FB"/>
    <w:rsid w:val="00560CBA"/>
    <w:rsid w:val="00560F81"/>
    <w:rsid w:val="00561D1B"/>
    <w:rsid w:val="005628D7"/>
    <w:rsid w:val="005647F1"/>
    <w:rsid w:val="00565C19"/>
    <w:rsid w:val="00566911"/>
    <w:rsid w:val="00567C30"/>
    <w:rsid w:val="005721EE"/>
    <w:rsid w:val="0057298E"/>
    <w:rsid w:val="00573D68"/>
    <w:rsid w:val="00574571"/>
    <w:rsid w:val="00574AE2"/>
    <w:rsid w:val="0057641C"/>
    <w:rsid w:val="00577E74"/>
    <w:rsid w:val="00581923"/>
    <w:rsid w:val="00582903"/>
    <w:rsid w:val="00584A20"/>
    <w:rsid w:val="005862DC"/>
    <w:rsid w:val="00586345"/>
    <w:rsid w:val="005902CC"/>
    <w:rsid w:val="0059045C"/>
    <w:rsid w:val="005905A1"/>
    <w:rsid w:val="00590FF1"/>
    <w:rsid w:val="005952AD"/>
    <w:rsid w:val="00595873"/>
    <w:rsid w:val="00596B5F"/>
    <w:rsid w:val="005A4A00"/>
    <w:rsid w:val="005A6EE6"/>
    <w:rsid w:val="005A7166"/>
    <w:rsid w:val="005A7A05"/>
    <w:rsid w:val="005B0189"/>
    <w:rsid w:val="005B068D"/>
    <w:rsid w:val="005B14C8"/>
    <w:rsid w:val="005B4819"/>
    <w:rsid w:val="005B4AEA"/>
    <w:rsid w:val="005B5C90"/>
    <w:rsid w:val="005B7305"/>
    <w:rsid w:val="005B7D0C"/>
    <w:rsid w:val="005C026E"/>
    <w:rsid w:val="005C041E"/>
    <w:rsid w:val="005C24F1"/>
    <w:rsid w:val="005C3148"/>
    <w:rsid w:val="005C33A9"/>
    <w:rsid w:val="005C4577"/>
    <w:rsid w:val="005C66A6"/>
    <w:rsid w:val="005C6F75"/>
    <w:rsid w:val="005C7E9D"/>
    <w:rsid w:val="005D028B"/>
    <w:rsid w:val="005D0676"/>
    <w:rsid w:val="005D190F"/>
    <w:rsid w:val="005D29C0"/>
    <w:rsid w:val="005D2D59"/>
    <w:rsid w:val="005D4967"/>
    <w:rsid w:val="005D6104"/>
    <w:rsid w:val="005D69A6"/>
    <w:rsid w:val="005E1CF3"/>
    <w:rsid w:val="005E3174"/>
    <w:rsid w:val="005E367E"/>
    <w:rsid w:val="005E3995"/>
    <w:rsid w:val="005E3C67"/>
    <w:rsid w:val="005E412D"/>
    <w:rsid w:val="005E52CD"/>
    <w:rsid w:val="005F57F0"/>
    <w:rsid w:val="005F70B9"/>
    <w:rsid w:val="00600CB8"/>
    <w:rsid w:val="0060127E"/>
    <w:rsid w:val="006021A7"/>
    <w:rsid w:val="00604022"/>
    <w:rsid w:val="0060543A"/>
    <w:rsid w:val="00605702"/>
    <w:rsid w:val="00607355"/>
    <w:rsid w:val="00607799"/>
    <w:rsid w:val="006118CD"/>
    <w:rsid w:val="00612F36"/>
    <w:rsid w:val="00615699"/>
    <w:rsid w:val="00615BFA"/>
    <w:rsid w:val="00621DDF"/>
    <w:rsid w:val="006273B7"/>
    <w:rsid w:val="00631202"/>
    <w:rsid w:val="0063126F"/>
    <w:rsid w:val="00632199"/>
    <w:rsid w:val="00632375"/>
    <w:rsid w:val="0063313B"/>
    <w:rsid w:val="006345AE"/>
    <w:rsid w:val="006349B0"/>
    <w:rsid w:val="00637662"/>
    <w:rsid w:val="0064063C"/>
    <w:rsid w:val="00641271"/>
    <w:rsid w:val="00641446"/>
    <w:rsid w:val="00641DCA"/>
    <w:rsid w:val="00641F21"/>
    <w:rsid w:val="0064206B"/>
    <w:rsid w:val="00642586"/>
    <w:rsid w:val="0064374B"/>
    <w:rsid w:val="006443DF"/>
    <w:rsid w:val="006455BB"/>
    <w:rsid w:val="0064704D"/>
    <w:rsid w:val="00650577"/>
    <w:rsid w:val="00650F45"/>
    <w:rsid w:val="006515F9"/>
    <w:rsid w:val="0065251B"/>
    <w:rsid w:val="00652738"/>
    <w:rsid w:val="006536DC"/>
    <w:rsid w:val="006640D2"/>
    <w:rsid w:val="0066421E"/>
    <w:rsid w:val="00665C75"/>
    <w:rsid w:val="00672351"/>
    <w:rsid w:val="006741A3"/>
    <w:rsid w:val="006759AA"/>
    <w:rsid w:val="006762B7"/>
    <w:rsid w:val="00676605"/>
    <w:rsid w:val="006771A2"/>
    <w:rsid w:val="006777E3"/>
    <w:rsid w:val="00677D7A"/>
    <w:rsid w:val="00680971"/>
    <w:rsid w:val="00683C7E"/>
    <w:rsid w:val="00683D60"/>
    <w:rsid w:val="00684AD9"/>
    <w:rsid w:val="00684BC0"/>
    <w:rsid w:val="00685BF1"/>
    <w:rsid w:val="0068649E"/>
    <w:rsid w:val="00687199"/>
    <w:rsid w:val="0069060D"/>
    <w:rsid w:val="00691F13"/>
    <w:rsid w:val="006920F8"/>
    <w:rsid w:val="0069340D"/>
    <w:rsid w:val="00694975"/>
    <w:rsid w:val="00695E44"/>
    <w:rsid w:val="00696684"/>
    <w:rsid w:val="006A0E98"/>
    <w:rsid w:val="006A14D2"/>
    <w:rsid w:val="006A210E"/>
    <w:rsid w:val="006A3705"/>
    <w:rsid w:val="006A4A5D"/>
    <w:rsid w:val="006A54A6"/>
    <w:rsid w:val="006A5BD7"/>
    <w:rsid w:val="006A606A"/>
    <w:rsid w:val="006B04B1"/>
    <w:rsid w:val="006B0CE2"/>
    <w:rsid w:val="006B1DD3"/>
    <w:rsid w:val="006B2200"/>
    <w:rsid w:val="006B2A48"/>
    <w:rsid w:val="006B3790"/>
    <w:rsid w:val="006B3B79"/>
    <w:rsid w:val="006B4DD2"/>
    <w:rsid w:val="006B63D6"/>
    <w:rsid w:val="006C0B9B"/>
    <w:rsid w:val="006C10A9"/>
    <w:rsid w:val="006C3855"/>
    <w:rsid w:val="006C6994"/>
    <w:rsid w:val="006C731A"/>
    <w:rsid w:val="006D1905"/>
    <w:rsid w:val="006D1972"/>
    <w:rsid w:val="006D377C"/>
    <w:rsid w:val="006D5070"/>
    <w:rsid w:val="006D6069"/>
    <w:rsid w:val="006E006B"/>
    <w:rsid w:val="006E0286"/>
    <w:rsid w:val="006E0B9D"/>
    <w:rsid w:val="006E14BD"/>
    <w:rsid w:val="006E1D72"/>
    <w:rsid w:val="006F1861"/>
    <w:rsid w:val="006F2FFB"/>
    <w:rsid w:val="006F4E24"/>
    <w:rsid w:val="006F512C"/>
    <w:rsid w:val="006F7FCA"/>
    <w:rsid w:val="007035A2"/>
    <w:rsid w:val="00703B57"/>
    <w:rsid w:val="00704073"/>
    <w:rsid w:val="007040A9"/>
    <w:rsid w:val="007042C9"/>
    <w:rsid w:val="00704BE6"/>
    <w:rsid w:val="00705310"/>
    <w:rsid w:val="00705BCE"/>
    <w:rsid w:val="0070691C"/>
    <w:rsid w:val="0070702B"/>
    <w:rsid w:val="007103DC"/>
    <w:rsid w:val="00711030"/>
    <w:rsid w:val="007111A3"/>
    <w:rsid w:val="007112CE"/>
    <w:rsid w:val="00720CB0"/>
    <w:rsid w:val="0072390C"/>
    <w:rsid w:val="00723F50"/>
    <w:rsid w:val="007260E4"/>
    <w:rsid w:val="007261E8"/>
    <w:rsid w:val="007340B3"/>
    <w:rsid w:val="007351C6"/>
    <w:rsid w:val="00737577"/>
    <w:rsid w:val="007378BC"/>
    <w:rsid w:val="007411E0"/>
    <w:rsid w:val="007411EB"/>
    <w:rsid w:val="00744C05"/>
    <w:rsid w:val="0074546C"/>
    <w:rsid w:val="00745A4C"/>
    <w:rsid w:val="00746595"/>
    <w:rsid w:val="00746C18"/>
    <w:rsid w:val="00747335"/>
    <w:rsid w:val="007516A6"/>
    <w:rsid w:val="00751A05"/>
    <w:rsid w:val="007525C0"/>
    <w:rsid w:val="00753E93"/>
    <w:rsid w:val="0075692E"/>
    <w:rsid w:val="00757B69"/>
    <w:rsid w:val="007605DE"/>
    <w:rsid w:val="0076114E"/>
    <w:rsid w:val="00761A06"/>
    <w:rsid w:val="00762198"/>
    <w:rsid w:val="007631C3"/>
    <w:rsid w:val="00763FEC"/>
    <w:rsid w:val="00764063"/>
    <w:rsid w:val="00764661"/>
    <w:rsid w:val="007649B8"/>
    <w:rsid w:val="007659CD"/>
    <w:rsid w:val="007673F5"/>
    <w:rsid w:val="007708AC"/>
    <w:rsid w:val="0077344B"/>
    <w:rsid w:val="007734E9"/>
    <w:rsid w:val="00773842"/>
    <w:rsid w:val="00773A1D"/>
    <w:rsid w:val="00774903"/>
    <w:rsid w:val="00774CC6"/>
    <w:rsid w:val="0077561F"/>
    <w:rsid w:val="007776AD"/>
    <w:rsid w:val="00780D5D"/>
    <w:rsid w:val="007825B2"/>
    <w:rsid w:val="0078260B"/>
    <w:rsid w:val="00783B24"/>
    <w:rsid w:val="007865F4"/>
    <w:rsid w:val="007908DF"/>
    <w:rsid w:val="00790C7A"/>
    <w:rsid w:val="00790CAE"/>
    <w:rsid w:val="00793E34"/>
    <w:rsid w:val="00796A62"/>
    <w:rsid w:val="00796FB1"/>
    <w:rsid w:val="00797707"/>
    <w:rsid w:val="007A1AAF"/>
    <w:rsid w:val="007A25BA"/>
    <w:rsid w:val="007A33B3"/>
    <w:rsid w:val="007A4C8A"/>
    <w:rsid w:val="007A507E"/>
    <w:rsid w:val="007A554B"/>
    <w:rsid w:val="007A5C79"/>
    <w:rsid w:val="007A5D0C"/>
    <w:rsid w:val="007A6407"/>
    <w:rsid w:val="007A7378"/>
    <w:rsid w:val="007A78A6"/>
    <w:rsid w:val="007B2DA8"/>
    <w:rsid w:val="007B3DBD"/>
    <w:rsid w:val="007B5C52"/>
    <w:rsid w:val="007B5EE5"/>
    <w:rsid w:val="007B69E2"/>
    <w:rsid w:val="007C0563"/>
    <w:rsid w:val="007C071C"/>
    <w:rsid w:val="007C093A"/>
    <w:rsid w:val="007C0F52"/>
    <w:rsid w:val="007C2875"/>
    <w:rsid w:val="007C3311"/>
    <w:rsid w:val="007C3B2C"/>
    <w:rsid w:val="007C4BB9"/>
    <w:rsid w:val="007C65A7"/>
    <w:rsid w:val="007C6C1B"/>
    <w:rsid w:val="007D0D6F"/>
    <w:rsid w:val="007D0EE5"/>
    <w:rsid w:val="007D2EA3"/>
    <w:rsid w:val="007D30B1"/>
    <w:rsid w:val="007D3105"/>
    <w:rsid w:val="007D43E5"/>
    <w:rsid w:val="007D58AA"/>
    <w:rsid w:val="007D6013"/>
    <w:rsid w:val="007D6557"/>
    <w:rsid w:val="007D6908"/>
    <w:rsid w:val="007D7CC4"/>
    <w:rsid w:val="007E18D0"/>
    <w:rsid w:val="007E212F"/>
    <w:rsid w:val="007E4A4E"/>
    <w:rsid w:val="007E4F8A"/>
    <w:rsid w:val="007F0CED"/>
    <w:rsid w:val="007F1178"/>
    <w:rsid w:val="007F1332"/>
    <w:rsid w:val="007F1859"/>
    <w:rsid w:val="007F2267"/>
    <w:rsid w:val="007F238C"/>
    <w:rsid w:val="007F2B00"/>
    <w:rsid w:val="007F4FDF"/>
    <w:rsid w:val="007F64DF"/>
    <w:rsid w:val="0080098F"/>
    <w:rsid w:val="00801D1B"/>
    <w:rsid w:val="0080597C"/>
    <w:rsid w:val="00806D27"/>
    <w:rsid w:val="00811D04"/>
    <w:rsid w:val="00812F5F"/>
    <w:rsid w:val="008134BB"/>
    <w:rsid w:val="00813B39"/>
    <w:rsid w:val="00817696"/>
    <w:rsid w:val="008179AF"/>
    <w:rsid w:val="0082373D"/>
    <w:rsid w:val="008240AC"/>
    <w:rsid w:val="00825523"/>
    <w:rsid w:val="00825895"/>
    <w:rsid w:val="00826228"/>
    <w:rsid w:val="00831775"/>
    <w:rsid w:val="008324B2"/>
    <w:rsid w:val="00832F6B"/>
    <w:rsid w:val="00837154"/>
    <w:rsid w:val="00840589"/>
    <w:rsid w:val="008405A1"/>
    <w:rsid w:val="008445D6"/>
    <w:rsid w:val="00844C22"/>
    <w:rsid w:val="008456E3"/>
    <w:rsid w:val="008468D3"/>
    <w:rsid w:val="00847704"/>
    <w:rsid w:val="00847953"/>
    <w:rsid w:val="0085567E"/>
    <w:rsid w:val="00856D0B"/>
    <w:rsid w:val="0086065A"/>
    <w:rsid w:val="0086092C"/>
    <w:rsid w:val="0086106F"/>
    <w:rsid w:val="00861758"/>
    <w:rsid w:val="00863DD2"/>
    <w:rsid w:val="00864EAD"/>
    <w:rsid w:val="00864F2E"/>
    <w:rsid w:val="00866679"/>
    <w:rsid w:val="00871973"/>
    <w:rsid w:val="00871C35"/>
    <w:rsid w:val="00872048"/>
    <w:rsid w:val="00873CC5"/>
    <w:rsid w:val="008758D4"/>
    <w:rsid w:val="00875F8F"/>
    <w:rsid w:val="00876298"/>
    <w:rsid w:val="008775A7"/>
    <w:rsid w:val="0088074A"/>
    <w:rsid w:val="008811C0"/>
    <w:rsid w:val="00881668"/>
    <w:rsid w:val="00882D80"/>
    <w:rsid w:val="0088337D"/>
    <w:rsid w:val="0088574A"/>
    <w:rsid w:val="00886FD0"/>
    <w:rsid w:val="00890FB0"/>
    <w:rsid w:val="008921A0"/>
    <w:rsid w:val="00892BCA"/>
    <w:rsid w:val="00892C37"/>
    <w:rsid w:val="0089659E"/>
    <w:rsid w:val="00896DAE"/>
    <w:rsid w:val="008A261E"/>
    <w:rsid w:val="008A3248"/>
    <w:rsid w:val="008A35ED"/>
    <w:rsid w:val="008A39A4"/>
    <w:rsid w:val="008A4412"/>
    <w:rsid w:val="008A478C"/>
    <w:rsid w:val="008A4F80"/>
    <w:rsid w:val="008A628A"/>
    <w:rsid w:val="008A62FF"/>
    <w:rsid w:val="008B1A9C"/>
    <w:rsid w:val="008B4807"/>
    <w:rsid w:val="008B6300"/>
    <w:rsid w:val="008B7357"/>
    <w:rsid w:val="008C2628"/>
    <w:rsid w:val="008C4FAD"/>
    <w:rsid w:val="008C586C"/>
    <w:rsid w:val="008C7279"/>
    <w:rsid w:val="008D0191"/>
    <w:rsid w:val="008D06DD"/>
    <w:rsid w:val="008D0DA2"/>
    <w:rsid w:val="008D2E5E"/>
    <w:rsid w:val="008D480A"/>
    <w:rsid w:val="008D5FD7"/>
    <w:rsid w:val="008D618C"/>
    <w:rsid w:val="008E3E94"/>
    <w:rsid w:val="008E5D64"/>
    <w:rsid w:val="008E5E8E"/>
    <w:rsid w:val="008E62CE"/>
    <w:rsid w:val="008F4FD3"/>
    <w:rsid w:val="00900B66"/>
    <w:rsid w:val="00900C77"/>
    <w:rsid w:val="00901339"/>
    <w:rsid w:val="00903D4D"/>
    <w:rsid w:val="00905B69"/>
    <w:rsid w:val="00906D2C"/>
    <w:rsid w:val="0090750C"/>
    <w:rsid w:val="00907E02"/>
    <w:rsid w:val="00911410"/>
    <w:rsid w:val="00911DB4"/>
    <w:rsid w:val="00912566"/>
    <w:rsid w:val="00912F8B"/>
    <w:rsid w:val="00914A94"/>
    <w:rsid w:val="00914E6A"/>
    <w:rsid w:val="009152BE"/>
    <w:rsid w:val="009153A4"/>
    <w:rsid w:val="00915631"/>
    <w:rsid w:val="00916426"/>
    <w:rsid w:val="009164D1"/>
    <w:rsid w:val="00916850"/>
    <w:rsid w:val="009170A7"/>
    <w:rsid w:val="00917CF4"/>
    <w:rsid w:val="00923688"/>
    <w:rsid w:val="0092436B"/>
    <w:rsid w:val="009258B2"/>
    <w:rsid w:val="00926D65"/>
    <w:rsid w:val="009304BF"/>
    <w:rsid w:val="00931E93"/>
    <w:rsid w:val="009327FA"/>
    <w:rsid w:val="0093434C"/>
    <w:rsid w:val="00935440"/>
    <w:rsid w:val="00936BBE"/>
    <w:rsid w:val="00937C14"/>
    <w:rsid w:val="009401C2"/>
    <w:rsid w:val="0094313F"/>
    <w:rsid w:val="009456D3"/>
    <w:rsid w:val="00946151"/>
    <w:rsid w:val="009477B7"/>
    <w:rsid w:val="009508F5"/>
    <w:rsid w:val="009510F1"/>
    <w:rsid w:val="00951FA6"/>
    <w:rsid w:val="00952DED"/>
    <w:rsid w:val="00953F09"/>
    <w:rsid w:val="00955EA5"/>
    <w:rsid w:val="0095633E"/>
    <w:rsid w:val="00956913"/>
    <w:rsid w:val="0096049B"/>
    <w:rsid w:val="00962DA9"/>
    <w:rsid w:val="0096395A"/>
    <w:rsid w:val="009651DA"/>
    <w:rsid w:val="00966015"/>
    <w:rsid w:val="00970D15"/>
    <w:rsid w:val="00971CA6"/>
    <w:rsid w:val="009732C7"/>
    <w:rsid w:val="00974BE7"/>
    <w:rsid w:val="00976F6D"/>
    <w:rsid w:val="00977595"/>
    <w:rsid w:val="0097773B"/>
    <w:rsid w:val="00982586"/>
    <w:rsid w:val="00983781"/>
    <w:rsid w:val="0098399E"/>
    <w:rsid w:val="00983E07"/>
    <w:rsid w:val="00984AE5"/>
    <w:rsid w:val="00985592"/>
    <w:rsid w:val="00990F96"/>
    <w:rsid w:val="00990FE5"/>
    <w:rsid w:val="00994B6E"/>
    <w:rsid w:val="00994F2E"/>
    <w:rsid w:val="00995CE5"/>
    <w:rsid w:val="00995DCD"/>
    <w:rsid w:val="0099773F"/>
    <w:rsid w:val="00997955"/>
    <w:rsid w:val="00997983"/>
    <w:rsid w:val="00997ECC"/>
    <w:rsid w:val="009A06F3"/>
    <w:rsid w:val="009A0E9F"/>
    <w:rsid w:val="009A1B54"/>
    <w:rsid w:val="009A3D9B"/>
    <w:rsid w:val="009B03D8"/>
    <w:rsid w:val="009B1A96"/>
    <w:rsid w:val="009B2653"/>
    <w:rsid w:val="009B299A"/>
    <w:rsid w:val="009B3C40"/>
    <w:rsid w:val="009B406C"/>
    <w:rsid w:val="009B64E7"/>
    <w:rsid w:val="009B721A"/>
    <w:rsid w:val="009B7996"/>
    <w:rsid w:val="009C1814"/>
    <w:rsid w:val="009C593B"/>
    <w:rsid w:val="009D0AD5"/>
    <w:rsid w:val="009D155C"/>
    <w:rsid w:val="009D26FC"/>
    <w:rsid w:val="009D3AAD"/>
    <w:rsid w:val="009D627E"/>
    <w:rsid w:val="009D7249"/>
    <w:rsid w:val="009D7745"/>
    <w:rsid w:val="009E47BE"/>
    <w:rsid w:val="009E4E9C"/>
    <w:rsid w:val="009E543E"/>
    <w:rsid w:val="009E585F"/>
    <w:rsid w:val="009F24A9"/>
    <w:rsid w:val="009F3D18"/>
    <w:rsid w:val="009F4810"/>
    <w:rsid w:val="00A00316"/>
    <w:rsid w:val="00A006B3"/>
    <w:rsid w:val="00A02D3B"/>
    <w:rsid w:val="00A047AF"/>
    <w:rsid w:val="00A04C9E"/>
    <w:rsid w:val="00A05F20"/>
    <w:rsid w:val="00A13176"/>
    <w:rsid w:val="00A14F06"/>
    <w:rsid w:val="00A1500D"/>
    <w:rsid w:val="00A1588E"/>
    <w:rsid w:val="00A166B1"/>
    <w:rsid w:val="00A16A5E"/>
    <w:rsid w:val="00A17711"/>
    <w:rsid w:val="00A21393"/>
    <w:rsid w:val="00A231C3"/>
    <w:rsid w:val="00A23F9A"/>
    <w:rsid w:val="00A2468E"/>
    <w:rsid w:val="00A25554"/>
    <w:rsid w:val="00A257FE"/>
    <w:rsid w:val="00A26BFA"/>
    <w:rsid w:val="00A26CCC"/>
    <w:rsid w:val="00A270A6"/>
    <w:rsid w:val="00A3027A"/>
    <w:rsid w:val="00A3121D"/>
    <w:rsid w:val="00A3189B"/>
    <w:rsid w:val="00A31C07"/>
    <w:rsid w:val="00A33DFF"/>
    <w:rsid w:val="00A35005"/>
    <w:rsid w:val="00A35DEE"/>
    <w:rsid w:val="00A37019"/>
    <w:rsid w:val="00A3726B"/>
    <w:rsid w:val="00A3775F"/>
    <w:rsid w:val="00A40040"/>
    <w:rsid w:val="00A401C3"/>
    <w:rsid w:val="00A40C1F"/>
    <w:rsid w:val="00A40FDF"/>
    <w:rsid w:val="00A432AA"/>
    <w:rsid w:val="00A43DDC"/>
    <w:rsid w:val="00A45E4D"/>
    <w:rsid w:val="00A4668C"/>
    <w:rsid w:val="00A51ED5"/>
    <w:rsid w:val="00A53C9B"/>
    <w:rsid w:val="00A555C4"/>
    <w:rsid w:val="00A55F04"/>
    <w:rsid w:val="00A567E9"/>
    <w:rsid w:val="00A604C4"/>
    <w:rsid w:val="00A63535"/>
    <w:rsid w:val="00A63557"/>
    <w:rsid w:val="00A63D41"/>
    <w:rsid w:val="00A6480D"/>
    <w:rsid w:val="00A64C59"/>
    <w:rsid w:val="00A654AC"/>
    <w:rsid w:val="00A66323"/>
    <w:rsid w:val="00A66AC0"/>
    <w:rsid w:val="00A70C30"/>
    <w:rsid w:val="00A70D94"/>
    <w:rsid w:val="00A73935"/>
    <w:rsid w:val="00A7464C"/>
    <w:rsid w:val="00A7552A"/>
    <w:rsid w:val="00A762D7"/>
    <w:rsid w:val="00A76F67"/>
    <w:rsid w:val="00A77086"/>
    <w:rsid w:val="00A77462"/>
    <w:rsid w:val="00A81941"/>
    <w:rsid w:val="00A82DAF"/>
    <w:rsid w:val="00A843B0"/>
    <w:rsid w:val="00A847C4"/>
    <w:rsid w:val="00A848D5"/>
    <w:rsid w:val="00A872E4"/>
    <w:rsid w:val="00A87435"/>
    <w:rsid w:val="00A90188"/>
    <w:rsid w:val="00A91015"/>
    <w:rsid w:val="00A92CF6"/>
    <w:rsid w:val="00A969D0"/>
    <w:rsid w:val="00AA1FA5"/>
    <w:rsid w:val="00AA3AFA"/>
    <w:rsid w:val="00AA4484"/>
    <w:rsid w:val="00AA7C00"/>
    <w:rsid w:val="00AB26A9"/>
    <w:rsid w:val="00AB31DA"/>
    <w:rsid w:val="00AB34B6"/>
    <w:rsid w:val="00AB52F3"/>
    <w:rsid w:val="00AB6A4E"/>
    <w:rsid w:val="00AC071E"/>
    <w:rsid w:val="00AC0C80"/>
    <w:rsid w:val="00AC15BA"/>
    <w:rsid w:val="00AC18D9"/>
    <w:rsid w:val="00AC3F88"/>
    <w:rsid w:val="00AC6D8C"/>
    <w:rsid w:val="00AD45BE"/>
    <w:rsid w:val="00AD5BEF"/>
    <w:rsid w:val="00AD5D7C"/>
    <w:rsid w:val="00AD5F1F"/>
    <w:rsid w:val="00AE1337"/>
    <w:rsid w:val="00AE33F4"/>
    <w:rsid w:val="00AE3912"/>
    <w:rsid w:val="00AE4258"/>
    <w:rsid w:val="00AE6A64"/>
    <w:rsid w:val="00AE7881"/>
    <w:rsid w:val="00AF097E"/>
    <w:rsid w:val="00AF1262"/>
    <w:rsid w:val="00AF2C05"/>
    <w:rsid w:val="00AF2D09"/>
    <w:rsid w:val="00AF3EA1"/>
    <w:rsid w:val="00AF51B4"/>
    <w:rsid w:val="00AF7548"/>
    <w:rsid w:val="00AF7CE7"/>
    <w:rsid w:val="00AF7D7D"/>
    <w:rsid w:val="00B053F3"/>
    <w:rsid w:val="00B07B56"/>
    <w:rsid w:val="00B12C04"/>
    <w:rsid w:val="00B13FF3"/>
    <w:rsid w:val="00B1563C"/>
    <w:rsid w:val="00B15DD7"/>
    <w:rsid w:val="00B16785"/>
    <w:rsid w:val="00B17B21"/>
    <w:rsid w:val="00B17B77"/>
    <w:rsid w:val="00B20FF7"/>
    <w:rsid w:val="00B21283"/>
    <w:rsid w:val="00B2502C"/>
    <w:rsid w:val="00B250B8"/>
    <w:rsid w:val="00B2524D"/>
    <w:rsid w:val="00B27643"/>
    <w:rsid w:val="00B31CF7"/>
    <w:rsid w:val="00B351C8"/>
    <w:rsid w:val="00B359F1"/>
    <w:rsid w:val="00B376DF"/>
    <w:rsid w:val="00B429D5"/>
    <w:rsid w:val="00B42CEE"/>
    <w:rsid w:val="00B436DB"/>
    <w:rsid w:val="00B43B71"/>
    <w:rsid w:val="00B448A5"/>
    <w:rsid w:val="00B4560A"/>
    <w:rsid w:val="00B51DB4"/>
    <w:rsid w:val="00B532BE"/>
    <w:rsid w:val="00B539B3"/>
    <w:rsid w:val="00B549F7"/>
    <w:rsid w:val="00B559F1"/>
    <w:rsid w:val="00B55F13"/>
    <w:rsid w:val="00B57260"/>
    <w:rsid w:val="00B63DB5"/>
    <w:rsid w:val="00B64E2F"/>
    <w:rsid w:val="00B72DD1"/>
    <w:rsid w:val="00B76780"/>
    <w:rsid w:val="00B8036C"/>
    <w:rsid w:val="00B82CAD"/>
    <w:rsid w:val="00B82EE6"/>
    <w:rsid w:val="00B8543E"/>
    <w:rsid w:val="00B85D3F"/>
    <w:rsid w:val="00B939DC"/>
    <w:rsid w:val="00B94E24"/>
    <w:rsid w:val="00B95272"/>
    <w:rsid w:val="00B95E58"/>
    <w:rsid w:val="00BA0C5B"/>
    <w:rsid w:val="00BA1616"/>
    <w:rsid w:val="00BA607C"/>
    <w:rsid w:val="00BA6714"/>
    <w:rsid w:val="00BA6B97"/>
    <w:rsid w:val="00BA7D21"/>
    <w:rsid w:val="00BB01B1"/>
    <w:rsid w:val="00BB0F2C"/>
    <w:rsid w:val="00BC1B0E"/>
    <w:rsid w:val="00BC2754"/>
    <w:rsid w:val="00BC4F4A"/>
    <w:rsid w:val="00BC6453"/>
    <w:rsid w:val="00BC646C"/>
    <w:rsid w:val="00BC720B"/>
    <w:rsid w:val="00BD0097"/>
    <w:rsid w:val="00BD2D03"/>
    <w:rsid w:val="00BD3CFF"/>
    <w:rsid w:val="00BD50DC"/>
    <w:rsid w:val="00BD616A"/>
    <w:rsid w:val="00BD7A8B"/>
    <w:rsid w:val="00BE041D"/>
    <w:rsid w:val="00BE1742"/>
    <w:rsid w:val="00BE3726"/>
    <w:rsid w:val="00BE617A"/>
    <w:rsid w:val="00BE648C"/>
    <w:rsid w:val="00BF13A7"/>
    <w:rsid w:val="00BF1FF9"/>
    <w:rsid w:val="00BF31E2"/>
    <w:rsid w:val="00BF6627"/>
    <w:rsid w:val="00BF6B41"/>
    <w:rsid w:val="00C0013F"/>
    <w:rsid w:val="00C0451D"/>
    <w:rsid w:val="00C05393"/>
    <w:rsid w:val="00C10080"/>
    <w:rsid w:val="00C10F0A"/>
    <w:rsid w:val="00C11469"/>
    <w:rsid w:val="00C122EB"/>
    <w:rsid w:val="00C1366F"/>
    <w:rsid w:val="00C13A93"/>
    <w:rsid w:val="00C15A83"/>
    <w:rsid w:val="00C16373"/>
    <w:rsid w:val="00C21CE9"/>
    <w:rsid w:val="00C277B8"/>
    <w:rsid w:val="00C2798E"/>
    <w:rsid w:val="00C27F9A"/>
    <w:rsid w:val="00C27FB2"/>
    <w:rsid w:val="00C303C1"/>
    <w:rsid w:val="00C32083"/>
    <w:rsid w:val="00C325E7"/>
    <w:rsid w:val="00C32617"/>
    <w:rsid w:val="00C34295"/>
    <w:rsid w:val="00C35209"/>
    <w:rsid w:val="00C3641A"/>
    <w:rsid w:val="00C36D1E"/>
    <w:rsid w:val="00C410E5"/>
    <w:rsid w:val="00C41B3D"/>
    <w:rsid w:val="00C45B4E"/>
    <w:rsid w:val="00C47F6B"/>
    <w:rsid w:val="00C5099B"/>
    <w:rsid w:val="00C50B9E"/>
    <w:rsid w:val="00C55540"/>
    <w:rsid w:val="00C56B32"/>
    <w:rsid w:val="00C6076F"/>
    <w:rsid w:val="00C61D19"/>
    <w:rsid w:val="00C63743"/>
    <w:rsid w:val="00C6594B"/>
    <w:rsid w:val="00C661E8"/>
    <w:rsid w:val="00C669DE"/>
    <w:rsid w:val="00C672FC"/>
    <w:rsid w:val="00C67D0B"/>
    <w:rsid w:val="00C70DA4"/>
    <w:rsid w:val="00C728DE"/>
    <w:rsid w:val="00C73860"/>
    <w:rsid w:val="00C73B45"/>
    <w:rsid w:val="00C74A8F"/>
    <w:rsid w:val="00C7613A"/>
    <w:rsid w:val="00C77ECD"/>
    <w:rsid w:val="00C81683"/>
    <w:rsid w:val="00C816F3"/>
    <w:rsid w:val="00C818DF"/>
    <w:rsid w:val="00C82190"/>
    <w:rsid w:val="00C8471A"/>
    <w:rsid w:val="00C859BC"/>
    <w:rsid w:val="00C860A5"/>
    <w:rsid w:val="00C86626"/>
    <w:rsid w:val="00C91579"/>
    <w:rsid w:val="00C91F1E"/>
    <w:rsid w:val="00C936C4"/>
    <w:rsid w:val="00C93E4F"/>
    <w:rsid w:val="00C94417"/>
    <w:rsid w:val="00C94430"/>
    <w:rsid w:val="00C96B7D"/>
    <w:rsid w:val="00C97305"/>
    <w:rsid w:val="00CA0982"/>
    <w:rsid w:val="00CA2196"/>
    <w:rsid w:val="00CA312D"/>
    <w:rsid w:val="00CA4572"/>
    <w:rsid w:val="00CA6931"/>
    <w:rsid w:val="00CA758C"/>
    <w:rsid w:val="00CA7FAA"/>
    <w:rsid w:val="00CB3C7F"/>
    <w:rsid w:val="00CB46FE"/>
    <w:rsid w:val="00CB643C"/>
    <w:rsid w:val="00CB76AC"/>
    <w:rsid w:val="00CB7937"/>
    <w:rsid w:val="00CC1293"/>
    <w:rsid w:val="00CC43CA"/>
    <w:rsid w:val="00CD06DE"/>
    <w:rsid w:val="00CD1CBC"/>
    <w:rsid w:val="00CD3137"/>
    <w:rsid w:val="00CD32B9"/>
    <w:rsid w:val="00CD58DF"/>
    <w:rsid w:val="00CD5D23"/>
    <w:rsid w:val="00CE1A4D"/>
    <w:rsid w:val="00CE402B"/>
    <w:rsid w:val="00CE52C6"/>
    <w:rsid w:val="00CE6C7E"/>
    <w:rsid w:val="00CE7B9C"/>
    <w:rsid w:val="00CF2C00"/>
    <w:rsid w:val="00CF67BD"/>
    <w:rsid w:val="00CF6F09"/>
    <w:rsid w:val="00CF7D7D"/>
    <w:rsid w:val="00D00A3D"/>
    <w:rsid w:val="00D00B98"/>
    <w:rsid w:val="00D0451F"/>
    <w:rsid w:val="00D15867"/>
    <w:rsid w:val="00D16DE2"/>
    <w:rsid w:val="00D202C2"/>
    <w:rsid w:val="00D222D5"/>
    <w:rsid w:val="00D2597B"/>
    <w:rsid w:val="00D26AB9"/>
    <w:rsid w:val="00D310B3"/>
    <w:rsid w:val="00D32994"/>
    <w:rsid w:val="00D32E64"/>
    <w:rsid w:val="00D33221"/>
    <w:rsid w:val="00D3330F"/>
    <w:rsid w:val="00D33C8B"/>
    <w:rsid w:val="00D33FFE"/>
    <w:rsid w:val="00D3402C"/>
    <w:rsid w:val="00D37716"/>
    <w:rsid w:val="00D379AB"/>
    <w:rsid w:val="00D40514"/>
    <w:rsid w:val="00D4099D"/>
    <w:rsid w:val="00D414FF"/>
    <w:rsid w:val="00D52D5F"/>
    <w:rsid w:val="00D5651E"/>
    <w:rsid w:val="00D569A1"/>
    <w:rsid w:val="00D57296"/>
    <w:rsid w:val="00D606DC"/>
    <w:rsid w:val="00D647AE"/>
    <w:rsid w:val="00D649A7"/>
    <w:rsid w:val="00D71221"/>
    <w:rsid w:val="00D71C45"/>
    <w:rsid w:val="00D7283D"/>
    <w:rsid w:val="00D74023"/>
    <w:rsid w:val="00D75509"/>
    <w:rsid w:val="00D756DB"/>
    <w:rsid w:val="00D758E9"/>
    <w:rsid w:val="00D7690A"/>
    <w:rsid w:val="00D83B98"/>
    <w:rsid w:val="00D83BDA"/>
    <w:rsid w:val="00D86148"/>
    <w:rsid w:val="00D9394B"/>
    <w:rsid w:val="00D94035"/>
    <w:rsid w:val="00D9512A"/>
    <w:rsid w:val="00D96CBA"/>
    <w:rsid w:val="00DA08CE"/>
    <w:rsid w:val="00DA1F84"/>
    <w:rsid w:val="00DA3EE7"/>
    <w:rsid w:val="00DA7C3C"/>
    <w:rsid w:val="00DB2205"/>
    <w:rsid w:val="00DB2C84"/>
    <w:rsid w:val="00DB36BA"/>
    <w:rsid w:val="00DB40EF"/>
    <w:rsid w:val="00DB4515"/>
    <w:rsid w:val="00DB5554"/>
    <w:rsid w:val="00DB58A2"/>
    <w:rsid w:val="00DB64EE"/>
    <w:rsid w:val="00DC0B18"/>
    <w:rsid w:val="00DC18B8"/>
    <w:rsid w:val="00DC26C5"/>
    <w:rsid w:val="00DC2941"/>
    <w:rsid w:val="00DC2A2D"/>
    <w:rsid w:val="00DC2CFE"/>
    <w:rsid w:val="00DC44C0"/>
    <w:rsid w:val="00DC45D7"/>
    <w:rsid w:val="00DC475A"/>
    <w:rsid w:val="00DC509C"/>
    <w:rsid w:val="00DC7443"/>
    <w:rsid w:val="00DD00BC"/>
    <w:rsid w:val="00DD1D87"/>
    <w:rsid w:val="00DD373C"/>
    <w:rsid w:val="00DD3C50"/>
    <w:rsid w:val="00DD4682"/>
    <w:rsid w:val="00DD6E7B"/>
    <w:rsid w:val="00DD7DCD"/>
    <w:rsid w:val="00DE3E74"/>
    <w:rsid w:val="00DE46BF"/>
    <w:rsid w:val="00DE499C"/>
    <w:rsid w:val="00DE72D2"/>
    <w:rsid w:val="00DF03FD"/>
    <w:rsid w:val="00DF1630"/>
    <w:rsid w:val="00DF287D"/>
    <w:rsid w:val="00DF4104"/>
    <w:rsid w:val="00DF6650"/>
    <w:rsid w:val="00DF72D7"/>
    <w:rsid w:val="00E00778"/>
    <w:rsid w:val="00E011F6"/>
    <w:rsid w:val="00E01666"/>
    <w:rsid w:val="00E02817"/>
    <w:rsid w:val="00E12BDA"/>
    <w:rsid w:val="00E1356B"/>
    <w:rsid w:val="00E145D4"/>
    <w:rsid w:val="00E14809"/>
    <w:rsid w:val="00E16FD0"/>
    <w:rsid w:val="00E21260"/>
    <w:rsid w:val="00E22CB4"/>
    <w:rsid w:val="00E25353"/>
    <w:rsid w:val="00E26C5D"/>
    <w:rsid w:val="00E276A9"/>
    <w:rsid w:val="00E3089C"/>
    <w:rsid w:val="00E35B91"/>
    <w:rsid w:val="00E3662E"/>
    <w:rsid w:val="00E368BB"/>
    <w:rsid w:val="00E40D21"/>
    <w:rsid w:val="00E410B2"/>
    <w:rsid w:val="00E42694"/>
    <w:rsid w:val="00E426C6"/>
    <w:rsid w:val="00E502C1"/>
    <w:rsid w:val="00E50E53"/>
    <w:rsid w:val="00E5151D"/>
    <w:rsid w:val="00E53CD3"/>
    <w:rsid w:val="00E54583"/>
    <w:rsid w:val="00E56257"/>
    <w:rsid w:val="00E571BF"/>
    <w:rsid w:val="00E57A60"/>
    <w:rsid w:val="00E60F26"/>
    <w:rsid w:val="00E60F3E"/>
    <w:rsid w:val="00E64BDB"/>
    <w:rsid w:val="00E64F1C"/>
    <w:rsid w:val="00E66087"/>
    <w:rsid w:val="00E66A64"/>
    <w:rsid w:val="00E679AD"/>
    <w:rsid w:val="00E700C3"/>
    <w:rsid w:val="00E7317A"/>
    <w:rsid w:val="00E74694"/>
    <w:rsid w:val="00E74B30"/>
    <w:rsid w:val="00E80C5B"/>
    <w:rsid w:val="00E81231"/>
    <w:rsid w:val="00E836E0"/>
    <w:rsid w:val="00E85D0A"/>
    <w:rsid w:val="00E86637"/>
    <w:rsid w:val="00E86F5C"/>
    <w:rsid w:val="00E90904"/>
    <w:rsid w:val="00E90F46"/>
    <w:rsid w:val="00E90F73"/>
    <w:rsid w:val="00E92826"/>
    <w:rsid w:val="00E93E36"/>
    <w:rsid w:val="00E9559D"/>
    <w:rsid w:val="00E95643"/>
    <w:rsid w:val="00E957FD"/>
    <w:rsid w:val="00E961C8"/>
    <w:rsid w:val="00E96C2B"/>
    <w:rsid w:val="00E974FE"/>
    <w:rsid w:val="00EA12A2"/>
    <w:rsid w:val="00EA188C"/>
    <w:rsid w:val="00EA2621"/>
    <w:rsid w:val="00EA3701"/>
    <w:rsid w:val="00EA4D3C"/>
    <w:rsid w:val="00EB07EB"/>
    <w:rsid w:val="00EB1794"/>
    <w:rsid w:val="00EB34AF"/>
    <w:rsid w:val="00EB4AF5"/>
    <w:rsid w:val="00EB58F6"/>
    <w:rsid w:val="00EB5A6D"/>
    <w:rsid w:val="00EB5AFC"/>
    <w:rsid w:val="00EB7C9E"/>
    <w:rsid w:val="00EC0A2E"/>
    <w:rsid w:val="00EC0D22"/>
    <w:rsid w:val="00EC31EC"/>
    <w:rsid w:val="00EC3A91"/>
    <w:rsid w:val="00EC404E"/>
    <w:rsid w:val="00ED3D1B"/>
    <w:rsid w:val="00ED5351"/>
    <w:rsid w:val="00EE38E2"/>
    <w:rsid w:val="00EE4E27"/>
    <w:rsid w:val="00EE5444"/>
    <w:rsid w:val="00EE6DF8"/>
    <w:rsid w:val="00EE747B"/>
    <w:rsid w:val="00EF143D"/>
    <w:rsid w:val="00EF370C"/>
    <w:rsid w:val="00EF3A08"/>
    <w:rsid w:val="00EF62D7"/>
    <w:rsid w:val="00EF7223"/>
    <w:rsid w:val="00F0082D"/>
    <w:rsid w:val="00F026A6"/>
    <w:rsid w:val="00F02ADD"/>
    <w:rsid w:val="00F02D63"/>
    <w:rsid w:val="00F0455D"/>
    <w:rsid w:val="00F05DDF"/>
    <w:rsid w:val="00F06C65"/>
    <w:rsid w:val="00F06F49"/>
    <w:rsid w:val="00F138B7"/>
    <w:rsid w:val="00F14130"/>
    <w:rsid w:val="00F14574"/>
    <w:rsid w:val="00F1559C"/>
    <w:rsid w:val="00F15881"/>
    <w:rsid w:val="00F21237"/>
    <w:rsid w:val="00F22069"/>
    <w:rsid w:val="00F24387"/>
    <w:rsid w:val="00F27F68"/>
    <w:rsid w:val="00F30541"/>
    <w:rsid w:val="00F312FC"/>
    <w:rsid w:val="00F34B48"/>
    <w:rsid w:val="00F35E1B"/>
    <w:rsid w:val="00F3668A"/>
    <w:rsid w:val="00F379D1"/>
    <w:rsid w:val="00F414ED"/>
    <w:rsid w:val="00F41CDF"/>
    <w:rsid w:val="00F43214"/>
    <w:rsid w:val="00F447F6"/>
    <w:rsid w:val="00F45A43"/>
    <w:rsid w:val="00F471F7"/>
    <w:rsid w:val="00F477DD"/>
    <w:rsid w:val="00F533D7"/>
    <w:rsid w:val="00F53C51"/>
    <w:rsid w:val="00F54ECA"/>
    <w:rsid w:val="00F60528"/>
    <w:rsid w:val="00F609EE"/>
    <w:rsid w:val="00F613F2"/>
    <w:rsid w:val="00F61671"/>
    <w:rsid w:val="00F626FC"/>
    <w:rsid w:val="00F62833"/>
    <w:rsid w:val="00F645F8"/>
    <w:rsid w:val="00F64A6E"/>
    <w:rsid w:val="00F65C28"/>
    <w:rsid w:val="00F66A48"/>
    <w:rsid w:val="00F670C6"/>
    <w:rsid w:val="00F67D03"/>
    <w:rsid w:val="00F73117"/>
    <w:rsid w:val="00F74331"/>
    <w:rsid w:val="00F7449E"/>
    <w:rsid w:val="00F757A7"/>
    <w:rsid w:val="00F75C46"/>
    <w:rsid w:val="00F75C47"/>
    <w:rsid w:val="00F7636D"/>
    <w:rsid w:val="00F77265"/>
    <w:rsid w:val="00F81971"/>
    <w:rsid w:val="00F81A64"/>
    <w:rsid w:val="00F82C2B"/>
    <w:rsid w:val="00F82D24"/>
    <w:rsid w:val="00F8557C"/>
    <w:rsid w:val="00F85A96"/>
    <w:rsid w:val="00F914AB"/>
    <w:rsid w:val="00F9295A"/>
    <w:rsid w:val="00F931B0"/>
    <w:rsid w:val="00F934DA"/>
    <w:rsid w:val="00F9716B"/>
    <w:rsid w:val="00FA031B"/>
    <w:rsid w:val="00FA5ECD"/>
    <w:rsid w:val="00FB27FB"/>
    <w:rsid w:val="00FB3962"/>
    <w:rsid w:val="00FB3ADC"/>
    <w:rsid w:val="00FB6C33"/>
    <w:rsid w:val="00FC1B9A"/>
    <w:rsid w:val="00FC2C85"/>
    <w:rsid w:val="00FC3780"/>
    <w:rsid w:val="00FC3CC7"/>
    <w:rsid w:val="00FC6AD5"/>
    <w:rsid w:val="00FC75A6"/>
    <w:rsid w:val="00FD03A3"/>
    <w:rsid w:val="00FD096C"/>
    <w:rsid w:val="00FD141C"/>
    <w:rsid w:val="00FD2F0B"/>
    <w:rsid w:val="00FD3A35"/>
    <w:rsid w:val="00FD458C"/>
    <w:rsid w:val="00FD4793"/>
    <w:rsid w:val="00FD67CF"/>
    <w:rsid w:val="00FD6968"/>
    <w:rsid w:val="00FD72AD"/>
    <w:rsid w:val="00FE1396"/>
    <w:rsid w:val="00FE3443"/>
    <w:rsid w:val="00FE3E70"/>
    <w:rsid w:val="00FE458C"/>
    <w:rsid w:val="00FF033A"/>
    <w:rsid w:val="00FF2364"/>
    <w:rsid w:val="00FF4FC2"/>
    <w:rsid w:val="00FF5036"/>
    <w:rsid w:val="00FF51EF"/>
    <w:rsid w:val="00FF5FC3"/>
    <w:rsid w:val="00FF7FD0"/>
    <w:rsid w:val="02083BFD"/>
    <w:rsid w:val="07575C0C"/>
    <w:rsid w:val="080312EA"/>
    <w:rsid w:val="08B90B8A"/>
    <w:rsid w:val="1B1E1106"/>
    <w:rsid w:val="2020566C"/>
    <w:rsid w:val="247020B1"/>
    <w:rsid w:val="2EFC1AC4"/>
    <w:rsid w:val="30FD5744"/>
    <w:rsid w:val="348A6E21"/>
    <w:rsid w:val="36F6456E"/>
    <w:rsid w:val="386A7982"/>
    <w:rsid w:val="3F9F150F"/>
    <w:rsid w:val="40DC303D"/>
    <w:rsid w:val="43951E24"/>
    <w:rsid w:val="45ED02AA"/>
    <w:rsid w:val="460450EC"/>
    <w:rsid w:val="46D24F14"/>
    <w:rsid w:val="47196173"/>
    <w:rsid w:val="4847319B"/>
    <w:rsid w:val="51850619"/>
    <w:rsid w:val="51CE738D"/>
    <w:rsid w:val="53BF1C16"/>
    <w:rsid w:val="56AE2AB0"/>
    <w:rsid w:val="572F0528"/>
    <w:rsid w:val="58E63C4D"/>
    <w:rsid w:val="5F2703E8"/>
    <w:rsid w:val="62DF57A3"/>
    <w:rsid w:val="64796718"/>
    <w:rsid w:val="72534367"/>
    <w:rsid w:val="76326599"/>
    <w:rsid w:val="7B95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djustRightInd w:val="0"/>
      <w:snapToGrid w:val="0"/>
      <w:ind w:left="-91"/>
      <w:jc w:val="center"/>
      <w:outlineLvl w:val="0"/>
    </w:pPr>
    <w:rPr>
      <w:i/>
      <w:iCs/>
      <w:kern w:val="0"/>
      <w:sz w:val="18"/>
      <w:szCs w:val="17"/>
    </w:rPr>
  </w:style>
  <w:style w:type="paragraph" w:styleId="3">
    <w:name w:val="heading 2"/>
    <w:basedOn w:val="1"/>
    <w:next w:val="1"/>
    <w:link w:val="5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4"/>
    <w:qFormat/>
    <w:uiPriority w:val="0"/>
    <w:pPr>
      <w:tabs>
        <w:tab w:val="left" w:pos="907"/>
      </w:tabs>
      <w:snapToGrid w:val="0"/>
      <w:spacing w:before="120" w:line="288" w:lineRule="auto"/>
      <w:ind w:left="907" w:hanging="907"/>
      <w:outlineLvl w:val="2"/>
    </w:pPr>
    <w:rPr>
      <w:rFonts w:ascii="黑体" w:eastAsia="黑体"/>
      <w:sz w:val="30"/>
      <w:szCs w:val="20"/>
    </w:rPr>
  </w:style>
  <w:style w:type="paragraph" w:styleId="5">
    <w:name w:val="heading 4"/>
    <w:basedOn w:val="1"/>
    <w:next w:val="1"/>
    <w:link w:val="65"/>
    <w:qFormat/>
    <w:uiPriority w:val="0"/>
    <w:pPr>
      <w:tabs>
        <w:tab w:val="left" w:pos="907"/>
      </w:tabs>
      <w:adjustRightInd w:val="0"/>
      <w:snapToGrid w:val="0"/>
      <w:spacing w:before="120" w:line="288" w:lineRule="auto"/>
      <w:ind w:left="907" w:hanging="907"/>
      <w:outlineLvl w:val="3"/>
    </w:pPr>
    <w:rPr>
      <w:rFonts w:eastAsia="仿宋_GB2312"/>
      <w:sz w:val="30"/>
      <w:szCs w:val="20"/>
    </w:rPr>
  </w:style>
  <w:style w:type="paragraph" w:styleId="6">
    <w:name w:val="heading 5"/>
    <w:basedOn w:val="1"/>
    <w:next w:val="1"/>
    <w:link w:val="66"/>
    <w:qFormat/>
    <w:uiPriority w:val="0"/>
    <w:pPr>
      <w:keepNext/>
      <w:keepLines/>
      <w:spacing w:before="280" w:after="290" w:line="376" w:lineRule="auto"/>
      <w:outlineLvl w:val="4"/>
    </w:pPr>
    <w:rPr>
      <w:rFonts w:eastAsia="仿宋_GB2312"/>
      <w:b/>
      <w:sz w:val="28"/>
      <w:szCs w:val="20"/>
    </w:rPr>
  </w:style>
  <w:style w:type="paragraph" w:styleId="7">
    <w:name w:val="heading 6"/>
    <w:basedOn w:val="1"/>
    <w:next w:val="1"/>
    <w:link w:val="67"/>
    <w:qFormat/>
    <w:uiPriority w:val="0"/>
    <w:pPr>
      <w:keepNext/>
      <w:keepLines/>
      <w:spacing w:before="240" w:after="64" w:line="320" w:lineRule="auto"/>
      <w:outlineLvl w:val="5"/>
    </w:pPr>
    <w:rPr>
      <w:rFonts w:ascii="Arial" w:hAnsi="Arial" w:eastAsia="黑体"/>
      <w:b/>
      <w:sz w:val="24"/>
      <w:szCs w:val="20"/>
    </w:rPr>
  </w:style>
  <w:style w:type="paragraph" w:styleId="8">
    <w:name w:val="heading 7"/>
    <w:basedOn w:val="1"/>
    <w:next w:val="1"/>
    <w:link w:val="68"/>
    <w:qFormat/>
    <w:uiPriority w:val="0"/>
    <w:pPr>
      <w:keepNext/>
      <w:adjustRightInd w:val="0"/>
      <w:snapToGrid w:val="0"/>
      <w:spacing w:line="400" w:lineRule="exact"/>
      <w:ind w:left="119"/>
      <w:jc w:val="center"/>
      <w:outlineLvl w:val="6"/>
    </w:pPr>
    <w:rPr>
      <w:rFonts w:ascii="宋体" w:hAnsi="宋体" w:eastAsia="仿宋_GB2312"/>
      <w:i/>
      <w:szCs w:val="20"/>
    </w:rPr>
  </w:style>
  <w:style w:type="paragraph" w:styleId="9">
    <w:name w:val="heading 8"/>
    <w:basedOn w:val="1"/>
    <w:next w:val="1"/>
    <w:link w:val="63"/>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adjustRightInd w:val="0"/>
      <w:snapToGrid w:val="0"/>
      <w:spacing w:line="288" w:lineRule="auto"/>
      <w:ind w:left="907"/>
    </w:pPr>
    <w:rPr>
      <w:rFonts w:eastAsia="仿宋_GB2312"/>
      <w:sz w:val="30"/>
      <w:szCs w:val="20"/>
    </w:rPr>
  </w:style>
  <w:style w:type="paragraph" w:styleId="12">
    <w:name w:val="caption"/>
    <w:basedOn w:val="1"/>
    <w:next w:val="1"/>
    <w:unhideWhenUsed/>
    <w:qFormat/>
    <w:uiPriority w:val="0"/>
    <w:rPr>
      <w:rFonts w:eastAsia="黑体" w:asciiTheme="majorHAnsi" w:hAnsiTheme="majorHAnsi" w:cstheme="majorBidi"/>
      <w:sz w:val="20"/>
      <w:szCs w:val="20"/>
    </w:rPr>
  </w:style>
  <w:style w:type="paragraph" w:styleId="13">
    <w:name w:val="annotation text"/>
    <w:basedOn w:val="1"/>
    <w:link w:val="56"/>
    <w:qFormat/>
    <w:uiPriority w:val="0"/>
    <w:pPr>
      <w:jc w:val="left"/>
    </w:pPr>
    <w:rPr>
      <w:szCs w:val="20"/>
    </w:rPr>
  </w:style>
  <w:style w:type="paragraph" w:styleId="14">
    <w:name w:val="Body Text"/>
    <w:basedOn w:val="1"/>
    <w:link w:val="70"/>
    <w:qFormat/>
    <w:uiPriority w:val="0"/>
    <w:pPr>
      <w:spacing w:after="120" w:line="288" w:lineRule="auto"/>
    </w:pPr>
    <w:rPr>
      <w:rFonts w:eastAsia="仿宋_GB2312"/>
      <w:sz w:val="30"/>
      <w:szCs w:val="20"/>
    </w:rPr>
  </w:style>
  <w:style w:type="paragraph" w:styleId="15">
    <w:name w:val="Body Text Indent"/>
    <w:basedOn w:val="1"/>
    <w:link w:val="45"/>
    <w:qFormat/>
    <w:uiPriority w:val="0"/>
    <w:pPr>
      <w:adjustRightInd w:val="0"/>
      <w:snapToGrid w:val="0"/>
      <w:spacing w:line="400" w:lineRule="atLeast"/>
      <w:ind w:firstLine="420" w:firstLineChars="200"/>
    </w:pPr>
    <w:rPr>
      <w:rFonts w:ascii="宋体" w:hAnsi="宋体"/>
    </w:rPr>
  </w:style>
  <w:style w:type="paragraph" w:styleId="16">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7">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8">
    <w:name w:val="Plain Text"/>
    <w:basedOn w:val="1"/>
    <w:link w:val="49"/>
    <w:qFormat/>
    <w:uiPriority w:val="0"/>
    <w:rPr>
      <w:rFonts w:ascii="宋体" w:hAnsi="Courier New"/>
      <w:szCs w:val="20"/>
    </w:rPr>
  </w:style>
  <w:style w:type="paragraph" w:styleId="19">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0">
    <w:name w:val="Date"/>
    <w:basedOn w:val="1"/>
    <w:next w:val="1"/>
    <w:link w:val="44"/>
    <w:qFormat/>
    <w:uiPriority w:val="0"/>
    <w:pPr>
      <w:ind w:left="100" w:leftChars="2500"/>
    </w:pPr>
  </w:style>
  <w:style w:type="paragraph" w:styleId="21">
    <w:name w:val="Body Text Indent 2"/>
    <w:basedOn w:val="1"/>
    <w:link w:val="58"/>
    <w:qFormat/>
    <w:uiPriority w:val="0"/>
    <w:pPr>
      <w:adjustRightInd w:val="0"/>
      <w:snapToGrid w:val="0"/>
      <w:spacing w:line="340" w:lineRule="atLeast"/>
      <w:ind w:left="-13" w:leftChars="-6" w:firstLine="420" w:firstLineChars="200"/>
    </w:pPr>
    <w:rPr>
      <w:rFonts w:ascii="宋体" w:hAnsi="宋体"/>
      <w:szCs w:val="21"/>
    </w:rPr>
  </w:style>
  <w:style w:type="paragraph" w:styleId="22">
    <w:name w:val="Balloon Text"/>
    <w:basedOn w:val="1"/>
    <w:link w:val="48"/>
    <w:unhideWhenUsed/>
    <w:qFormat/>
    <w:uiPriority w:val="99"/>
    <w:rPr>
      <w:sz w:val="18"/>
      <w:szCs w:val="18"/>
    </w:rPr>
  </w:style>
  <w:style w:type="paragraph" w:styleId="23">
    <w:name w:val="footer"/>
    <w:basedOn w:val="1"/>
    <w:link w:val="46"/>
    <w:qFormat/>
    <w:uiPriority w:val="0"/>
    <w:pPr>
      <w:tabs>
        <w:tab w:val="center" w:pos="4153"/>
        <w:tab w:val="right" w:pos="8306"/>
      </w:tabs>
      <w:snapToGrid w:val="0"/>
      <w:jc w:val="left"/>
    </w:pPr>
    <w:rPr>
      <w:sz w:val="18"/>
      <w:szCs w:val="18"/>
    </w:rPr>
  </w:style>
  <w:style w:type="paragraph" w:styleId="24">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footnote text"/>
    <w:basedOn w:val="1"/>
    <w:link w:val="57"/>
    <w:qFormat/>
    <w:uiPriority w:val="0"/>
    <w:pPr>
      <w:snapToGrid w:val="0"/>
      <w:jc w:val="left"/>
    </w:pPr>
    <w:rPr>
      <w:sz w:val="18"/>
      <w:szCs w:val="18"/>
    </w:rPr>
  </w:style>
  <w:style w:type="paragraph" w:styleId="28">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9">
    <w:name w:val="Body Text Indent 3"/>
    <w:basedOn w:val="1"/>
    <w:link w:val="71"/>
    <w:qFormat/>
    <w:uiPriority w:val="0"/>
    <w:pPr>
      <w:spacing w:line="288" w:lineRule="auto"/>
      <w:ind w:firstLine="560"/>
    </w:pPr>
    <w:rPr>
      <w:rFonts w:eastAsia="仿宋_GB2312"/>
      <w:sz w:val="30"/>
      <w:szCs w:val="20"/>
    </w:rPr>
  </w:style>
  <w:style w:type="paragraph" w:styleId="3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31">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2">
    <w:name w:val="Body Text 2"/>
    <w:basedOn w:val="1"/>
    <w:link w:val="42"/>
    <w:qFormat/>
    <w:uiPriority w:val="0"/>
    <w:pPr>
      <w:spacing w:after="120" w:line="480" w:lineRule="auto"/>
    </w:pPr>
  </w:style>
  <w:style w:type="paragraph" w:styleId="33">
    <w:name w:val="Normal (Web)"/>
    <w:basedOn w:val="1"/>
    <w:qFormat/>
    <w:uiPriority w:val="0"/>
    <w:pPr>
      <w:widowControl/>
      <w:spacing w:before="100" w:beforeAutospacing="1" w:after="100" w:afterAutospacing="1" w:line="330" w:lineRule="atLeast"/>
      <w:ind w:left="200" w:hanging="200" w:hangingChars="200"/>
      <w:jc w:val="left"/>
    </w:pPr>
    <w:rPr>
      <w:rFonts w:ascii="宋体" w:hAnsi="宋体" w:cs="宋体"/>
      <w:kern w:val="0"/>
      <w:sz w:val="22"/>
      <w:szCs w:val="22"/>
    </w:rPr>
  </w:style>
  <w:style w:type="paragraph" w:styleId="34">
    <w:name w:val="Title"/>
    <w:basedOn w:val="1"/>
    <w:next w:val="1"/>
    <w:qFormat/>
    <w:uiPriority w:val="0"/>
    <w:pPr>
      <w:spacing w:before="240" w:after="60"/>
      <w:jc w:val="left"/>
      <w:outlineLvl w:val="0"/>
    </w:pPr>
    <w:rPr>
      <w:rFonts w:ascii="Calibri Light" w:hAnsi="Calibri Light" w:eastAsia="黑体"/>
      <w:bCs/>
      <w:szCs w:val="32"/>
    </w:rPr>
  </w:style>
  <w:style w:type="paragraph" w:styleId="35">
    <w:name w:val="Body Text First Indent 2"/>
    <w:basedOn w:val="15"/>
    <w:link w:val="72"/>
    <w:qFormat/>
    <w:uiPriority w:val="0"/>
    <w:pPr>
      <w:adjustRightInd/>
      <w:snapToGrid/>
      <w:spacing w:after="120" w:line="240" w:lineRule="auto"/>
      <w:ind w:left="420" w:leftChars="200"/>
    </w:pPr>
    <w:rPr>
      <w:rFonts w:ascii="Times New Roman" w:hAnsi="Times New Roman"/>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page number"/>
    <w:basedOn w:val="38"/>
    <w:qFormat/>
    <w:uiPriority w:val="0"/>
  </w:style>
  <w:style w:type="character" w:styleId="40">
    <w:name w:val="Hyperlink"/>
    <w:basedOn w:val="38"/>
    <w:qFormat/>
    <w:uiPriority w:val="99"/>
    <w:rPr>
      <w:color w:val="0000FF"/>
      <w:u w:val="single"/>
    </w:rPr>
  </w:style>
  <w:style w:type="character" w:styleId="41">
    <w:name w:val="footnote reference"/>
    <w:basedOn w:val="38"/>
    <w:qFormat/>
    <w:uiPriority w:val="0"/>
    <w:rPr>
      <w:vertAlign w:val="superscript"/>
    </w:rPr>
  </w:style>
  <w:style w:type="character" w:customStyle="1" w:styleId="42">
    <w:name w:val="正文文本 2 Char"/>
    <w:basedOn w:val="38"/>
    <w:link w:val="32"/>
    <w:qFormat/>
    <w:uiPriority w:val="0"/>
    <w:rPr>
      <w:kern w:val="2"/>
      <w:sz w:val="21"/>
      <w:szCs w:val="24"/>
    </w:rPr>
  </w:style>
  <w:style w:type="character" w:customStyle="1" w:styleId="43">
    <w:name w:val="apple-converted-space"/>
    <w:basedOn w:val="38"/>
    <w:qFormat/>
    <w:uiPriority w:val="0"/>
  </w:style>
  <w:style w:type="character" w:customStyle="1" w:styleId="44">
    <w:name w:val="日期 Char"/>
    <w:basedOn w:val="38"/>
    <w:link w:val="20"/>
    <w:qFormat/>
    <w:uiPriority w:val="0"/>
    <w:rPr>
      <w:kern w:val="2"/>
      <w:sz w:val="21"/>
      <w:szCs w:val="24"/>
    </w:rPr>
  </w:style>
  <w:style w:type="character" w:customStyle="1" w:styleId="45">
    <w:name w:val="正文文本缩进 Char"/>
    <w:basedOn w:val="38"/>
    <w:link w:val="15"/>
    <w:qFormat/>
    <w:uiPriority w:val="0"/>
    <w:rPr>
      <w:rFonts w:ascii="宋体" w:hAnsi="宋体"/>
      <w:kern w:val="2"/>
      <w:sz w:val="21"/>
      <w:szCs w:val="24"/>
    </w:rPr>
  </w:style>
  <w:style w:type="character" w:customStyle="1" w:styleId="46">
    <w:name w:val="页脚 Char"/>
    <w:basedOn w:val="38"/>
    <w:link w:val="23"/>
    <w:qFormat/>
    <w:uiPriority w:val="99"/>
    <w:rPr>
      <w:kern w:val="2"/>
      <w:sz w:val="18"/>
      <w:szCs w:val="18"/>
    </w:rPr>
  </w:style>
  <w:style w:type="character" w:customStyle="1" w:styleId="47">
    <w:name w:val="页眉 Char"/>
    <w:basedOn w:val="38"/>
    <w:link w:val="24"/>
    <w:qFormat/>
    <w:uiPriority w:val="99"/>
    <w:rPr>
      <w:kern w:val="2"/>
      <w:sz w:val="18"/>
      <w:szCs w:val="18"/>
    </w:rPr>
  </w:style>
  <w:style w:type="character" w:customStyle="1" w:styleId="48">
    <w:name w:val="批注框文本 Char"/>
    <w:basedOn w:val="38"/>
    <w:link w:val="22"/>
    <w:qFormat/>
    <w:uiPriority w:val="99"/>
    <w:rPr>
      <w:kern w:val="2"/>
      <w:sz w:val="18"/>
      <w:szCs w:val="18"/>
    </w:rPr>
  </w:style>
  <w:style w:type="character" w:customStyle="1" w:styleId="49">
    <w:name w:val="纯文本 Char"/>
    <w:basedOn w:val="38"/>
    <w:link w:val="18"/>
    <w:qFormat/>
    <w:uiPriority w:val="0"/>
    <w:rPr>
      <w:rFonts w:ascii="宋体" w:hAnsi="Courier New"/>
      <w:kern w:val="2"/>
      <w:sz w:val="21"/>
    </w:rPr>
  </w:style>
  <w:style w:type="paragraph" w:styleId="50">
    <w:name w:val="No Spacing"/>
    <w:link w:val="51"/>
    <w:qFormat/>
    <w:uiPriority w:val="1"/>
    <w:rPr>
      <w:rFonts w:ascii="Calibri" w:hAnsi="Calibri" w:eastAsia="宋体" w:cs="Times New Roman"/>
      <w:sz w:val="22"/>
      <w:szCs w:val="22"/>
      <w:lang w:val="en-US" w:eastAsia="zh-CN" w:bidi="ar-SA"/>
    </w:rPr>
  </w:style>
  <w:style w:type="character" w:customStyle="1" w:styleId="51">
    <w:name w:val="无间隔 Char"/>
    <w:basedOn w:val="38"/>
    <w:link w:val="50"/>
    <w:qFormat/>
    <w:uiPriority w:val="1"/>
    <w:rPr>
      <w:rFonts w:ascii="Calibri" w:hAnsi="Calibri"/>
      <w:sz w:val="22"/>
      <w:szCs w:val="22"/>
      <w:lang w:val="en-US" w:eastAsia="zh-CN" w:bidi="ar-SA"/>
    </w:rPr>
  </w:style>
  <w:style w:type="paragraph" w:customStyle="1" w:styleId="52">
    <w:name w:val="Char"/>
    <w:basedOn w:val="1"/>
    <w:qFormat/>
    <w:uiPriority w:val="0"/>
    <w:pPr>
      <w:keepNext/>
    </w:pPr>
    <w:rPr>
      <w:rFonts w:ascii="仿宋_GB2312" w:eastAsia="仿宋_GB2312"/>
      <w:b/>
      <w:sz w:val="32"/>
      <w:szCs w:val="32"/>
    </w:rPr>
  </w:style>
  <w:style w:type="character" w:customStyle="1" w:styleId="53">
    <w:name w:val="纯文本 Char1"/>
    <w:basedOn w:val="38"/>
    <w:qFormat/>
    <w:uiPriority w:val="0"/>
    <w:rPr>
      <w:rFonts w:ascii="宋体" w:hAnsi="Courier New"/>
      <w:kern w:val="2"/>
      <w:sz w:val="24"/>
    </w:rPr>
  </w:style>
  <w:style w:type="paragraph" w:styleId="54">
    <w:name w:val="List Paragraph"/>
    <w:basedOn w:val="1"/>
    <w:qFormat/>
    <w:uiPriority w:val="34"/>
    <w:pPr>
      <w:ind w:firstLine="420" w:firstLineChars="200"/>
    </w:pPr>
  </w:style>
  <w:style w:type="character" w:customStyle="1" w:styleId="55">
    <w:name w:val="标题 2 Char"/>
    <w:basedOn w:val="38"/>
    <w:link w:val="3"/>
    <w:qFormat/>
    <w:uiPriority w:val="0"/>
    <w:rPr>
      <w:rFonts w:ascii="Arial" w:hAnsi="Arial" w:eastAsia="黑体"/>
      <w:b/>
      <w:bCs/>
      <w:kern w:val="2"/>
      <w:sz w:val="32"/>
      <w:szCs w:val="32"/>
    </w:rPr>
  </w:style>
  <w:style w:type="character" w:customStyle="1" w:styleId="56">
    <w:name w:val="批注文字 Char"/>
    <w:basedOn w:val="38"/>
    <w:link w:val="13"/>
    <w:qFormat/>
    <w:uiPriority w:val="0"/>
    <w:rPr>
      <w:kern w:val="2"/>
      <w:sz w:val="21"/>
    </w:rPr>
  </w:style>
  <w:style w:type="character" w:customStyle="1" w:styleId="57">
    <w:name w:val="脚注文本 Char"/>
    <w:basedOn w:val="38"/>
    <w:link w:val="27"/>
    <w:qFormat/>
    <w:uiPriority w:val="0"/>
    <w:rPr>
      <w:kern w:val="2"/>
      <w:sz w:val="18"/>
      <w:szCs w:val="18"/>
    </w:rPr>
  </w:style>
  <w:style w:type="character" w:customStyle="1" w:styleId="58">
    <w:name w:val="正文文本缩进 2 Char"/>
    <w:basedOn w:val="38"/>
    <w:link w:val="21"/>
    <w:qFormat/>
    <w:uiPriority w:val="0"/>
    <w:rPr>
      <w:rFonts w:ascii="宋体" w:hAnsi="宋体"/>
      <w:kern w:val="2"/>
      <w:sz w:val="21"/>
      <w:szCs w:val="21"/>
    </w:rPr>
  </w:style>
  <w:style w:type="character" w:customStyle="1" w:styleId="59">
    <w:name w:val="批注文字 字符1"/>
    <w:basedOn w:val="38"/>
    <w:qFormat/>
    <w:uiPriority w:val="0"/>
    <w:rPr>
      <w:kern w:val="2"/>
      <w:sz w:val="21"/>
      <w:szCs w:val="24"/>
    </w:rPr>
  </w:style>
  <w:style w:type="character" w:customStyle="1" w:styleId="60">
    <w:name w:val="脚注文本 字符1"/>
    <w:basedOn w:val="38"/>
    <w:qFormat/>
    <w:uiPriority w:val="0"/>
    <w:rPr>
      <w:kern w:val="2"/>
      <w:sz w:val="18"/>
      <w:szCs w:val="18"/>
    </w:rPr>
  </w:style>
  <w:style w:type="character" w:customStyle="1" w:styleId="61">
    <w:name w:val="正文文本缩进 2 字符1"/>
    <w:basedOn w:val="38"/>
    <w:qFormat/>
    <w:uiPriority w:val="0"/>
    <w:rPr>
      <w:kern w:val="2"/>
      <w:sz w:val="21"/>
      <w:szCs w:val="24"/>
    </w:rPr>
  </w:style>
  <w:style w:type="paragraph" w:customStyle="1" w:styleId="62">
    <w:name w:val="p0"/>
    <w:basedOn w:val="1"/>
    <w:qFormat/>
    <w:uiPriority w:val="0"/>
    <w:pPr>
      <w:widowControl/>
    </w:pPr>
    <w:rPr>
      <w:kern w:val="0"/>
      <w:szCs w:val="21"/>
    </w:rPr>
  </w:style>
  <w:style w:type="character" w:customStyle="1" w:styleId="63">
    <w:name w:val="标题 8 Char"/>
    <w:basedOn w:val="38"/>
    <w:link w:val="9"/>
    <w:semiHidden/>
    <w:qFormat/>
    <w:uiPriority w:val="0"/>
    <w:rPr>
      <w:rFonts w:asciiTheme="majorHAnsi" w:hAnsiTheme="majorHAnsi" w:eastAsiaTheme="majorEastAsia" w:cstheme="majorBidi"/>
      <w:kern w:val="2"/>
      <w:sz w:val="24"/>
      <w:szCs w:val="24"/>
    </w:rPr>
  </w:style>
  <w:style w:type="character" w:customStyle="1" w:styleId="64">
    <w:name w:val="标题 3 Char"/>
    <w:basedOn w:val="38"/>
    <w:link w:val="4"/>
    <w:qFormat/>
    <w:uiPriority w:val="0"/>
    <w:rPr>
      <w:rFonts w:ascii="黑体" w:eastAsia="黑体"/>
      <w:kern w:val="2"/>
      <w:sz w:val="30"/>
    </w:rPr>
  </w:style>
  <w:style w:type="character" w:customStyle="1" w:styleId="65">
    <w:name w:val="标题 4 Char"/>
    <w:basedOn w:val="38"/>
    <w:link w:val="5"/>
    <w:qFormat/>
    <w:uiPriority w:val="0"/>
    <w:rPr>
      <w:rFonts w:eastAsia="仿宋_GB2312"/>
      <w:kern w:val="2"/>
      <w:sz w:val="30"/>
    </w:rPr>
  </w:style>
  <w:style w:type="character" w:customStyle="1" w:styleId="66">
    <w:name w:val="标题 5 Char"/>
    <w:basedOn w:val="38"/>
    <w:link w:val="6"/>
    <w:qFormat/>
    <w:uiPriority w:val="0"/>
    <w:rPr>
      <w:rFonts w:eastAsia="仿宋_GB2312"/>
      <w:b/>
      <w:kern w:val="2"/>
      <w:sz w:val="28"/>
    </w:rPr>
  </w:style>
  <w:style w:type="character" w:customStyle="1" w:styleId="67">
    <w:name w:val="标题 6 Char"/>
    <w:basedOn w:val="38"/>
    <w:link w:val="7"/>
    <w:qFormat/>
    <w:uiPriority w:val="0"/>
    <w:rPr>
      <w:rFonts w:ascii="Arial" w:hAnsi="Arial" w:eastAsia="黑体"/>
      <w:b/>
      <w:kern w:val="2"/>
      <w:sz w:val="24"/>
    </w:rPr>
  </w:style>
  <w:style w:type="character" w:customStyle="1" w:styleId="68">
    <w:name w:val="标题 7 Char"/>
    <w:basedOn w:val="38"/>
    <w:link w:val="8"/>
    <w:qFormat/>
    <w:uiPriority w:val="0"/>
    <w:rPr>
      <w:rFonts w:ascii="宋体" w:hAnsi="宋体" w:eastAsia="仿宋_GB2312"/>
      <w:i/>
      <w:kern w:val="2"/>
      <w:sz w:val="21"/>
    </w:rPr>
  </w:style>
  <w:style w:type="paragraph" w:customStyle="1" w:styleId="69">
    <w:name w:val="_Style 53"/>
    <w:basedOn w:val="15"/>
    <w:next w:val="35"/>
    <w:qFormat/>
    <w:uiPriority w:val="0"/>
    <w:pPr>
      <w:adjustRightInd/>
      <w:snapToGrid/>
      <w:spacing w:after="120" w:line="288" w:lineRule="auto"/>
      <w:ind w:left="420" w:firstLine="210" w:firstLineChars="0"/>
    </w:pPr>
    <w:rPr>
      <w:rFonts w:ascii="Times New Roman" w:hAnsi="Times New Roman" w:eastAsia="仿宋_GB2312"/>
      <w:szCs w:val="20"/>
    </w:rPr>
  </w:style>
  <w:style w:type="character" w:customStyle="1" w:styleId="70">
    <w:name w:val="正文文本 Char"/>
    <w:basedOn w:val="38"/>
    <w:link w:val="14"/>
    <w:qFormat/>
    <w:uiPriority w:val="0"/>
    <w:rPr>
      <w:rFonts w:eastAsia="仿宋_GB2312"/>
      <w:kern w:val="2"/>
      <w:sz w:val="30"/>
    </w:rPr>
  </w:style>
  <w:style w:type="character" w:customStyle="1" w:styleId="71">
    <w:name w:val="正文文本缩进 3 Char"/>
    <w:basedOn w:val="38"/>
    <w:link w:val="29"/>
    <w:qFormat/>
    <w:uiPriority w:val="0"/>
    <w:rPr>
      <w:rFonts w:eastAsia="仿宋_GB2312"/>
      <w:kern w:val="2"/>
      <w:sz w:val="30"/>
    </w:rPr>
  </w:style>
  <w:style w:type="character" w:customStyle="1" w:styleId="72">
    <w:name w:val="正文首行缩进 2 Char"/>
    <w:basedOn w:val="45"/>
    <w:link w:val="35"/>
    <w:qFormat/>
    <w:uiPriority w:val="0"/>
    <w:rPr>
      <w:rFonts w:ascii="宋体" w:hAnsi="宋体"/>
      <w:kern w:val="2"/>
      <w:sz w:val="21"/>
      <w:szCs w:val="24"/>
    </w:rPr>
  </w:style>
  <w:style w:type="paragraph" w:customStyle="1" w:styleId="73">
    <w:name w:val="TOC 标题1"/>
    <w:basedOn w:val="2"/>
    <w:next w:val="1"/>
    <w:unhideWhenUsed/>
    <w:qFormat/>
    <w:uiPriority w:val="39"/>
    <w:pPr>
      <w:keepLines/>
      <w:widowControl/>
      <w:adjustRightInd/>
      <w:snapToGrid/>
      <w:spacing w:before="240" w:line="259" w:lineRule="auto"/>
      <w:ind w:left="0"/>
      <w:jc w:val="left"/>
      <w:outlineLvl w:val="9"/>
    </w:pPr>
    <w:rPr>
      <w:rFonts w:asciiTheme="majorHAnsi" w:hAnsiTheme="majorHAnsi" w:eastAsiaTheme="majorEastAsia" w:cstheme="majorBidi"/>
      <w:i w:val="0"/>
      <w:iCs w:val="0"/>
      <w:color w:val="2F5597" w:themeColor="accent1" w:themeShade="BF"/>
      <w:sz w:val="32"/>
      <w:szCs w:val="32"/>
    </w:rPr>
  </w:style>
  <w:style w:type="character" w:customStyle="1" w:styleId="74">
    <w:name w:val="Unresolved Mention"/>
    <w:basedOn w:val="38"/>
    <w:semiHidden/>
    <w:unhideWhenUsed/>
    <w:qFormat/>
    <w:uiPriority w:val="99"/>
    <w:rPr>
      <w:color w:val="605E5C"/>
      <w:shd w:val="clear" w:color="auto" w:fill="E1DFDD"/>
    </w:rPr>
  </w:style>
  <w:style w:type="table" w:customStyle="1" w:styleId="75">
    <w:name w:val="Table Normal11"/>
    <w:basedOn w:val="36"/>
    <w:qFormat/>
    <w:uiPriority w:val="0"/>
    <w:rPr>
      <w:rFonts w:eastAsia="Times New Roman"/>
    </w:rPr>
    <w:tblPr>
      <w:tblCellMar>
        <w:top w:w="0" w:type="dxa"/>
        <w:left w:w="0" w:type="dxa"/>
        <w:bottom w:w="0" w:type="dxa"/>
        <w:right w:w="0" w:type="dxa"/>
      </w:tblCellMar>
    </w:tblPr>
  </w:style>
  <w:style w:type="paragraph" w:customStyle="1" w:styleId="76">
    <w:name w:val="_Style 4"/>
    <w:basedOn w:val="2"/>
    <w:next w:val="1"/>
    <w:unhideWhenUsed/>
    <w:qFormat/>
    <w:uiPriority w:val="39"/>
    <w:pPr>
      <w:keepLines/>
      <w:widowControl/>
      <w:adjustRightInd/>
      <w:snapToGrid/>
      <w:spacing w:before="240" w:line="259" w:lineRule="auto"/>
      <w:ind w:left="0"/>
      <w:jc w:val="left"/>
      <w:outlineLvl w:val="9"/>
    </w:pPr>
    <w:rPr>
      <w:rFonts w:ascii="Calibri Light" w:hAnsi="Calibri Light" w:eastAsia="宋体" w:cs="Times New Roman"/>
      <w:iCs w:val="0"/>
      <w:color w:val="2E74B5"/>
      <w:sz w:val="32"/>
      <w:szCs w:val="32"/>
    </w:rPr>
  </w:style>
  <w:style w:type="paragraph" w:customStyle="1" w:styleId="77">
    <w:name w:val="标题2"/>
    <w:basedOn w:val="3"/>
    <w:next w:val="1"/>
    <w:qFormat/>
    <w:uiPriority w:val="0"/>
    <w:pPr>
      <w:adjustRightInd w:val="0"/>
      <w:snapToGrid w:val="0"/>
      <w:spacing w:line="340" w:lineRule="atLeast"/>
    </w:pPr>
    <w:rPr>
      <w:rFonts w:eastAsia="黑体"/>
      <w:b w:val="0"/>
      <w:sz w:val="21"/>
      <w:szCs w:val="21"/>
    </w:rPr>
  </w:style>
  <w:style w:type="paragraph" w:customStyle="1" w:styleId="78">
    <w:name w:val="！！正文"/>
    <w:basedOn w:val="1"/>
    <w:qFormat/>
    <w:uiPriority w:val="0"/>
    <w:pPr>
      <w:spacing w:line="320" w:lineRule="atLeast"/>
      <w:ind w:firstLine="200" w:firstLineChars="200"/>
    </w:p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512.bin"/><Relationship Id="rId998" Type="http://schemas.openxmlformats.org/officeDocument/2006/relationships/image" Target="media/image477.wmf"/><Relationship Id="rId997" Type="http://schemas.openxmlformats.org/officeDocument/2006/relationships/oleObject" Target="embeddings/oleObject511.bin"/><Relationship Id="rId996" Type="http://schemas.openxmlformats.org/officeDocument/2006/relationships/image" Target="media/image476.wmf"/><Relationship Id="rId995" Type="http://schemas.openxmlformats.org/officeDocument/2006/relationships/oleObject" Target="embeddings/oleObject510.bin"/><Relationship Id="rId994" Type="http://schemas.openxmlformats.org/officeDocument/2006/relationships/image" Target="media/image475.emf"/><Relationship Id="rId993" Type="http://schemas.openxmlformats.org/officeDocument/2006/relationships/oleObject" Target="embeddings/oleObject509.bin"/><Relationship Id="rId992" Type="http://schemas.openxmlformats.org/officeDocument/2006/relationships/image" Target="media/image474.wmf"/><Relationship Id="rId991" Type="http://schemas.openxmlformats.org/officeDocument/2006/relationships/oleObject" Target="embeddings/oleObject508.bin"/><Relationship Id="rId990" Type="http://schemas.openxmlformats.org/officeDocument/2006/relationships/image" Target="media/image473.wmf"/><Relationship Id="rId99" Type="http://schemas.openxmlformats.org/officeDocument/2006/relationships/image" Target="media/image43.wmf"/><Relationship Id="rId989" Type="http://schemas.openxmlformats.org/officeDocument/2006/relationships/oleObject" Target="embeddings/oleObject507.bin"/><Relationship Id="rId988" Type="http://schemas.openxmlformats.org/officeDocument/2006/relationships/image" Target="media/image472.wmf"/><Relationship Id="rId987" Type="http://schemas.openxmlformats.org/officeDocument/2006/relationships/oleObject" Target="embeddings/oleObject506.bin"/><Relationship Id="rId986" Type="http://schemas.openxmlformats.org/officeDocument/2006/relationships/image" Target="media/image471.wmf"/><Relationship Id="rId985" Type="http://schemas.openxmlformats.org/officeDocument/2006/relationships/oleObject" Target="embeddings/oleObject505.bin"/><Relationship Id="rId984" Type="http://schemas.openxmlformats.org/officeDocument/2006/relationships/oleObject" Target="embeddings/oleObject504.bin"/><Relationship Id="rId983" Type="http://schemas.openxmlformats.org/officeDocument/2006/relationships/image" Target="media/image470.wmf"/><Relationship Id="rId982" Type="http://schemas.openxmlformats.org/officeDocument/2006/relationships/oleObject" Target="embeddings/oleObject503.bin"/><Relationship Id="rId981" Type="http://schemas.openxmlformats.org/officeDocument/2006/relationships/oleObject" Target="embeddings/oleObject502.bin"/><Relationship Id="rId980" Type="http://schemas.openxmlformats.org/officeDocument/2006/relationships/image" Target="media/image469.wmf"/><Relationship Id="rId98" Type="http://schemas.openxmlformats.org/officeDocument/2006/relationships/oleObject" Target="embeddings/oleObject46.bin"/><Relationship Id="rId979" Type="http://schemas.openxmlformats.org/officeDocument/2006/relationships/oleObject" Target="embeddings/oleObject501.bin"/><Relationship Id="rId978" Type="http://schemas.openxmlformats.org/officeDocument/2006/relationships/image" Target="media/image468.wmf"/><Relationship Id="rId977" Type="http://schemas.openxmlformats.org/officeDocument/2006/relationships/oleObject" Target="embeddings/oleObject500.bin"/><Relationship Id="rId976" Type="http://schemas.openxmlformats.org/officeDocument/2006/relationships/image" Target="media/image467.wmf"/><Relationship Id="rId975" Type="http://schemas.openxmlformats.org/officeDocument/2006/relationships/oleObject" Target="embeddings/oleObject499.bin"/><Relationship Id="rId974" Type="http://schemas.openxmlformats.org/officeDocument/2006/relationships/image" Target="media/image466.wmf"/><Relationship Id="rId973" Type="http://schemas.openxmlformats.org/officeDocument/2006/relationships/oleObject" Target="embeddings/oleObject498.bin"/><Relationship Id="rId972" Type="http://schemas.openxmlformats.org/officeDocument/2006/relationships/image" Target="media/image465.emf"/><Relationship Id="rId971" Type="http://schemas.openxmlformats.org/officeDocument/2006/relationships/image" Target="media/image464.emf"/><Relationship Id="rId970" Type="http://schemas.openxmlformats.org/officeDocument/2006/relationships/image" Target="media/image463.emf"/><Relationship Id="rId97" Type="http://schemas.openxmlformats.org/officeDocument/2006/relationships/oleObject" Target="embeddings/oleObject45.bin"/><Relationship Id="rId969" Type="http://schemas.openxmlformats.org/officeDocument/2006/relationships/image" Target="media/image462.wmf"/><Relationship Id="rId968" Type="http://schemas.openxmlformats.org/officeDocument/2006/relationships/oleObject" Target="embeddings/oleObject497.bin"/><Relationship Id="rId967" Type="http://schemas.openxmlformats.org/officeDocument/2006/relationships/image" Target="media/image461.wmf"/><Relationship Id="rId966" Type="http://schemas.openxmlformats.org/officeDocument/2006/relationships/oleObject" Target="embeddings/oleObject496.bin"/><Relationship Id="rId965" Type="http://schemas.openxmlformats.org/officeDocument/2006/relationships/image" Target="media/image460.wmf"/><Relationship Id="rId964" Type="http://schemas.openxmlformats.org/officeDocument/2006/relationships/oleObject" Target="embeddings/oleObject495.bin"/><Relationship Id="rId963" Type="http://schemas.openxmlformats.org/officeDocument/2006/relationships/image" Target="media/image459.wmf"/><Relationship Id="rId962" Type="http://schemas.openxmlformats.org/officeDocument/2006/relationships/oleObject" Target="embeddings/oleObject494.bin"/><Relationship Id="rId961" Type="http://schemas.openxmlformats.org/officeDocument/2006/relationships/image" Target="media/image458.wmf"/><Relationship Id="rId960" Type="http://schemas.openxmlformats.org/officeDocument/2006/relationships/oleObject" Target="embeddings/oleObject493.bin"/><Relationship Id="rId96" Type="http://schemas.openxmlformats.org/officeDocument/2006/relationships/image" Target="media/image42.wmf"/><Relationship Id="rId959" Type="http://schemas.openxmlformats.org/officeDocument/2006/relationships/image" Target="media/image457.emf"/><Relationship Id="rId958" Type="http://schemas.openxmlformats.org/officeDocument/2006/relationships/image" Target="media/image456.wmf"/><Relationship Id="rId957" Type="http://schemas.openxmlformats.org/officeDocument/2006/relationships/oleObject" Target="embeddings/oleObject492.bin"/><Relationship Id="rId956" Type="http://schemas.openxmlformats.org/officeDocument/2006/relationships/image" Target="media/image455.wmf"/><Relationship Id="rId955" Type="http://schemas.openxmlformats.org/officeDocument/2006/relationships/oleObject" Target="embeddings/oleObject491.bin"/><Relationship Id="rId954" Type="http://schemas.openxmlformats.org/officeDocument/2006/relationships/oleObject" Target="embeddings/oleObject490.bin"/><Relationship Id="rId953" Type="http://schemas.openxmlformats.org/officeDocument/2006/relationships/oleObject" Target="embeddings/oleObject489.bin"/><Relationship Id="rId952" Type="http://schemas.openxmlformats.org/officeDocument/2006/relationships/image" Target="media/image454.wmf"/><Relationship Id="rId951" Type="http://schemas.openxmlformats.org/officeDocument/2006/relationships/oleObject" Target="embeddings/oleObject488.bin"/><Relationship Id="rId950" Type="http://schemas.openxmlformats.org/officeDocument/2006/relationships/oleObject" Target="embeddings/oleObject487.bin"/><Relationship Id="rId95" Type="http://schemas.openxmlformats.org/officeDocument/2006/relationships/oleObject" Target="embeddings/oleObject44.bin"/><Relationship Id="rId949" Type="http://schemas.openxmlformats.org/officeDocument/2006/relationships/image" Target="media/image453.wmf"/><Relationship Id="rId948" Type="http://schemas.openxmlformats.org/officeDocument/2006/relationships/oleObject" Target="embeddings/oleObject486.bin"/><Relationship Id="rId947" Type="http://schemas.openxmlformats.org/officeDocument/2006/relationships/image" Target="media/image452.wmf"/><Relationship Id="rId946" Type="http://schemas.openxmlformats.org/officeDocument/2006/relationships/oleObject" Target="embeddings/oleObject485.bin"/><Relationship Id="rId945" Type="http://schemas.openxmlformats.org/officeDocument/2006/relationships/image" Target="media/image451.wmf"/><Relationship Id="rId944" Type="http://schemas.openxmlformats.org/officeDocument/2006/relationships/oleObject" Target="embeddings/oleObject484.bin"/><Relationship Id="rId943" Type="http://schemas.openxmlformats.org/officeDocument/2006/relationships/image" Target="media/image450.wmf"/><Relationship Id="rId942" Type="http://schemas.openxmlformats.org/officeDocument/2006/relationships/oleObject" Target="embeddings/oleObject483.bin"/><Relationship Id="rId941" Type="http://schemas.openxmlformats.org/officeDocument/2006/relationships/image" Target="media/image449.wmf"/><Relationship Id="rId940" Type="http://schemas.openxmlformats.org/officeDocument/2006/relationships/oleObject" Target="embeddings/oleObject482.bin"/><Relationship Id="rId94" Type="http://schemas.openxmlformats.org/officeDocument/2006/relationships/image" Target="media/image41.wmf"/><Relationship Id="rId939" Type="http://schemas.openxmlformats.org/officeDocument/2006/relationships/image" Target="media/image448.emf"/><Relationship Id="rId938" Type="http://schemas.openxmlformats.org/officeDocument/2006/relationships/image" Target="media/image447.wmf"/><Relationship Id="rId937" Type="http://schemas.openxmlformats.org/officeDocument/2006/relationships/oleObject" Target="embeddings/oleObject481.bin"/><Relationship Id="rId936" Type="http://schemas.openxmlformats.org/officeDocument/2006/relationships/oleObject" Target="embeddings/oleObject480.bin"/><Relationship Id="rId935" Type="http://schemas.openxmlformats.org/officeDocument/2006/relationships/oleObject" Target="embeddings/oleObject479.bin"/><Relationship Id="rId934" Type="http://schemas.openxmlformats.org/officeDocument/2006/relationships/image" Target="media/image446.wmf"/><Relationship Id="rId933" Type="http://schemas.openxmlformats.org/officeDocument/2006/relationships/oleObject" Target="embeddings/oleObject478.bin"/><Relationship Id="rId932" Type="http://schemas.openxmlformats.org/officeDocument/2006/relationships/image" Target="media/image445.emf"/><Relationship Id="rId931" Type="http://schemas.openxmlformats.org/officeDocument/2006/relationships/image" Target="media/image444.wmf"/><Relationship Id="rId930" Type="http://schemas.openxmlformats.org/officeDocument/2006/relationships/oleObject" Target="embeddings/oleObject477.bin"/><Relationship Id="rId93" Type="http://schemas.openxmlformats.org/officeDocument/2006/relationships/oleObject" Target="embeddings/oleObject43.bin"/><Relationship Id="rId929" Type="http://schemas.openxmlformats.org/officeDocument/2006/relationships/oleObject" Target="embeddings/oleObject476.bin"/><Relationship Id="rId928" Type="http://schemas.openxmlformats.org/officeDocument/2006/relationships/image" Target="media/image443.wmf"/><Relationship Id="rId927" Type="http://schemas.openxmlformats.org/officeDocument/2006/relationships/oleObject" Target="embeddings/oleObject475.bin"/><Relationship Id="rId926" Type="http://schemas.openxmlformats.org/officeDocument/2006/relationships/image" Target="media/image442.wmf"/><Relationship Id="rId925" Type="http://schemas.openxmlformats.org/officeDocument/2006/relationships/oleObject" Target="embeddings/oleObject474.bin"/><Relationship Id="rId924" Type="http://schemas.openxmlformats.org/officeDocument/2006/relationships/image" Target="media/image441.wmf"/><Relationship Id="rId923" Type="http://schemas.openxmlformats.org/officeDocument/2006/relationships/oleObject" Target="embeddings/oleObject473.bin"/><Relationship Id="rId922" Type="http://schemas.openxmlformats.org/officeDocument/2006/relationships/oleObject" Target="embeddings/oleObject472.bin"/><Relationship Id="rId921" Type="http://schemas.openxmlformats.org/officeDocument/2006/relationships/oleObject" Target="embeddings/oleObject471.bin"/><Relationship Id="rId920" Type="http://schemas.openxmlformats.org/officeDocument/2006/relationships/oleObject" Target="embeddings/oleObject470.bin"/><Relationship Id="rId92" Type="http://schemas.openxmlformats.org/officeDocument/2006/relationships/image" Target="media/image40.wmf"/><Relationship Id="rId919" Type="http://schemas.openxmlformats.org/officeDocument/2006/relationships/oleObject" Target="embeddings/oleObject469.bin"/><Relationship Id="rId918" Type="http://schemas.openxmlformats.org/officeDocument/2006/relationships/image" Target="media/image440.wmf"/><Relationship Id="rId917" Type="http://schemas.openxmlformats.org/officeDocument/2006/relationships/oleObject" Target="embeddings/oleObject468.bin"/><Relationship Id="rId916" Type="http://schemas.openxmlformats.org/officeDocument/2006/relationships/image" Target="media/image439.wmf"/><Relationship Id="rId915" Type="http://schemas.openxmlformats.org/officeDocument/2006/relationships/oleObject" Target="embeddings/oleObject467.bin"/><Relationship Id="rId914" Type="http://schemas.openxmlformats.org/officeDocument/2006/relationships/image" Target="media/image438.wmf"/><Relationship Id="rId913" Type="http://schemas.openxmlformats.org/officeDocument/2006/relationships/oleObject" Target="embeddings/oleObject466.bin"/><Relationship Id="rId912" Type="http://schemas.openxmlformats.org/officeDocument/2006/relationships/image" Target="media/image437.wmf"/><Relationship Id="rId911" Type="http://schemas.openxmlformats.org/officeDocument/2006/relationships/oleObject" Target="embeddings/oleObject465.bin"/><Relationship Id="rId910" Type="http://schemas.openxmlformats.org/officeDocument/2006/relationships/image" Target="media/image436.wmf"/><Relationship Id="rId91" Type="http://schemas.openxmlformats.org/officeDocument/2006/relationships/oleObject" Target="embeddings/oleObject42.bin"/><Relationship Id="rId909" Type="http://schemas.openxmlformats.org/officeDocument/2006/relationships/oleObject" Target="embeddings/oleObject464.bin"/><Relationship Id="rId908" Type="http://schemas.openxmlformats.org/officeDocument/2006/relationships/image" Target="media/image435.wmf"/><Relationship Id="rId907" Type="http://schemas.openxmlformats.org/officeDocument/2006/relationships/oleObject" Target="embeddings/oleObject463.bin"/><Relationship Id="rId906" Type="http://schemas.openxmlformats.org/officeDocument/2006/relationships/oleObject" Target="embeddings/oleObject462.bin"/><Relationship Id="rId905" Type="http://schemas.openxmlformats.org/officeDocument/2006/relationships/image" Target="media/image434.wmf"/><Relationship Id="rId904" Type="http://schemas.openxmlformats.org/officeDocument/2006/relationships/oleObject" Target="embeddings/oleObject461.bin"/><Relationship Id="rId903" Type="http://schemas.openxmlformats.org/officeDocument/2006/relationships/image" Target="media/image433.emf"/><Relationship Id="rId902" Type="http://schemas.openxmlformats.org/officeDocument/2006/relationships/image" Target="media/image432.wmf"/><Relationship Id="rId901" Type="http://schemas.openxmlformats.org/officeDocument/2006/relationships/oleObject" Target="embeddings/oleObject460.bin"/><Relationship Id="rId900" Type="http://schemas.openxmlformats.org/officeDocument/2006/relationships/image" Target="media/image431.wmf"/><Relationship Id="rId90" Type="http://schemas.openxmlformats.org/officeDocument/2006/relationships/image" Target="media/image39.wmf"/><Relationship Id="rId9" Type="http://schemas.openxmlformats.org/officeDocument/2006/relationships/header" Target="header5.xml"/><Relationship Id="rId899" Type="http://schemas.openxmlformats.org/officeDocument/2006/relationships/oleObject" Target="embeddings/oleObject459.bin"/><Relationship Id="rId898" Type="http://schemas.openxmlformats.org/officeDocument/2006/relationships/image" Target="media/image430.wmf"/><Relationship Id="rId897" Type="http://schemas.openxmlformats.org/officeDocument/2006/relationships/oleObject" Target="embeddings/oleObject458.bin"/><Relationship Id="rId896" Type="http://schemas.openxmlformats.org/officeDocument/2006/relationships/image" Target="media/image429.wmf"/><Relationship Id="rId895" Type="http://schemas.openxmlformats.org/officeDocument/2006/relationships/oleObject" Target="embeddings/oleObject457.bin"/><Relationship Id="rId894" Type="http://schemas.openxmlformats.org/officeDocument/2006/relationships/image" Target="media/image428.wmf"/><Relationship Id="rId893" Type="http://schemas.openxmlformats.org/officeDocument/2006/relationships/oleObject" Target="embeddings/oleObject456.bin"/><Relationship Id="rId892" Type="http://schemas.openxmlformats.org/officeDocument/2006/relationships/image" Target="media/image427.wmf"/><Relationship Id="rId891" Type="http://schemas.openxmlformats.org/officeDocument/2006/relationships/oleObject" Target="embeddings/oleObject455.bin"/><Relationship Id="rId890" Type="http://schemas.openxmlformats.org/officeDocument/2006/relationships/image" Target="media/image426.wmf"/><Relationship Id="rId89" Type="http://schemas.openxmlformats.org/officeDocument/2006/relationships/oleObject" Target="embeddings/oleObject41.bin"/><Relationship Id="rId889" Type="http://schemas.openxmlformats.org/officeDocument/2006/relationships/oleObject" Target="embeddings/oleObject454.bin"/><Relationship Id="rId888" Type="http://schemas.openxmlformats.org/officeDocument/2006/relationships/image" Target="media/image425.wmf"/><Relationship Id="rId887" Type="http://schemas.openxmlformats.org/officeDocument/2006/relationships/oleObject" Target="embeddings/oleObject453.bin"/><Relationship Id="rId886" Type="http://schemas.openxmlformats.org/officeDocument/2006/relationships/image" Target="media/image424.wmf"/><Relationship Id="rId885" Type="http://schemas.openxmlformats.org/officeDocument/2006/relationships/oleObject" Target="embeddings/oleObject452.bin"/><Relationship Id="rId884" Type="http://schemas.openxmlformats.org/officeDocument/2006/relationships/image" Target="media/image423.wmf"/><Relationship Id="rId883" Type="http://schemas.openxmlformats.org/officeDocument/2006/relationships/oleObject" Target="embeddings/oleObject451.bin"/><Relationship Id="rId882" Type="http://schemas.openxmlformats.org/officeDocument/2006/relationships/image" Target="media/image422.wmf"/><Relationship Id="rId881" Type="http://schemas.openxmlformats.org/officeDocument/2006/relationships/oleObject" Target="embeddings/oleObject450.bin"/><Relationship Id="rId880" Type="http://schemas.openxmlformats.org/officeDocument/2006/relationships/image" Target="media/image421.wmf"/><Relationship Id="rId88" Type="http://schemas.openxmlformats.org/officeDocument/2006/relationships/image" Target="media/image38.wmf"/><Relationship Id="rId879" Type="http://schemas.openxmlformats.org/officeDocument/2006/relationships/oleObject" Target="embeddings/oleObject449.bin"/><Relationship Id="rId878" Type="http://schemas.openxmlformats.org/officeDocument/2006/relationships/image" Target="media/image420.wmf"/><Relationship Id="rId877" Type="http://schemas.openxmlformats.org/officeDocument/2006/relationships/oleObject" Target="embeddings/oleObject448.bin"/><Relationship Id="rId876" Type="http://schemas.openxmlformats.org/officeDocument/2006/relationships/image" Target="media/image419.wmf"/><Relationship Id="rId875" Type="http://schemas.openxmlformats.org/officeDocument/2006/relationships/oleObject" Target="embeddings/oleObject447.bin"/><Relationship Id="rId874" Type="http://schemas.openxmlformats.org/officeDocument/2006/relationships/image" Target="media/image418.wmf"/><Relationship Id="rId873" Type="http://schemas.openxmlformats.org/officeDocument/2006/relationships/oleObject" Target="embeddings/oleObject446.bin"/><Relationship Id="rId872" Type="http://schemas.openxmlformats.org/officeDocument/2006/relationships/image" Target="media/image417.wmf"/><Relationship Id="rId871" Type="http://schemas.openxmlformats.org/officeDocument/2006/relationships/oleObject" Target="embeddings/oleObject445.bin"/><Relationship Id="rId870" Type="http://schemas.openxmlformats.org/officeDocument/2006/relationships/image" Target="media/image416.wmf"/><Relationship Id="rId87" Type="http://schemas.openxmlformats.org/officeDocument/2006/relationships/oleObject" Target="embeddings/oleObject40.bin"/><Relationship Id="rId869" Type="http://schemas.openxmlformats.org/officeDocument/2006/relationships/oleObject" Target="embeddings/oleObject444.bin"/><Relationship Id="rId868" Type="http://schemas.openxmlformats.org/officeDocument/2006/relationships/image" Target="media/image415.wmf"/><Relationship Id="rId867" Type="http://schemas.openxmlformats.org/officeDocument/2006/relationships/oleObject" Target="embeddings/oleObject443.bin"/><Relationship Id="rId866" Type="http://schemas.openxmlformats.org/officeDocument/2006/relationships/image" Target="media/image414.wmf"/><Relationship Id="rId865" Type="http://schemas.openxmlformats.org/officeDocument/2006/relationships/oleObject" Target="embeddings/oleObject442.bin"/><Relationship Id="rId864" Type="http://schemas.openxmlformats.org/officeDocument/2006/relationships/image" Target="media/image413.wmf"/><Relationship Id="rId863" Type="http://schemas.openxmlformats.org/officeDocument/2006/relationships/oleObject" Target="embeddings/oleObject441.bin"/><Relationship Id="rId862" Type="http://schemas.openxmlformats.org/officeDocument/2006/relationships/image" Target="media/image412.wmf"/><Relationship Id="rId861" Type="http://schemas.openxmlformats.org/officeDocument/2006/relationships/oleObject" Target="embeddings/oleObject440.bin"/><Relationship Id="rId860" Type="http://schemas.openxmlformats.org/officeDocument/2006/relationships/image" Target="media/image411.wmf"/><Relationship Id="rId86" Type="http://schemas.openxmlformats.org/officeDocument/2006/relationships/image" Target="media/image37.wmf"/><Relationship Id="rId859" Type="http://schemas.openxmlformats.org/officeDocument/2006/relationships/oleObject" Target="embeddings/oleObject439.bin"/><Relationship Id="rId858" Type="http://schemas.openxmlformats.org/officeDocument/2006/relationships/image" Target="media/image410.wmf"/><Relationship Id="rId857" Type="http://schemas.openxmlformats.org/officeDocument/2006/relationships/oleObject" Target="embeddings/oleObject438.bin"/><Relationship Id="rId856" Type="http://schemas.openxmlformats.org/officeDocument/2006/relationships/image" Target="media/image409.wmf"/><Relationship Id="rId855" Type="http://schemas.openxmlformats.org/officeDocument/2006/relationships/oleObject" Target="embeddings/oleObject437.bin"/><Relationship Id="rId854" Type="http://schemas.openxmlformats.org/officeDocument/2006/relationships/image" Target="media/image408.wmf"/><Relationship Id="rId853" Type="http://schemas.openxmlformats.org/officeDocument/2006/relationships/oleObject" Target="embeddings/oleObject436.bin"/><Relationship Id="rId852" Type="http://schemas.openxmlformats.org/officeDocument/2006/relationships/image" Target="media/image407.wmf"/><Relationship Id="rId851" Type="http://schemas.openxmlformats.org/officeDocument/2006/relationships/oleObject" Target="embeddings/oleObject435.bin"/><Relationship Id="rId850" Type="http://schemas.openxmlformats.org/officeDocument/2006/relationships/image" Target="media/image406.wmf"/><Relationship Id="rId85" Type="http://schemas.openxmlformats.org/officeDocument/2006/relationships/oleObject" Target="embeddings/oleObject39.bin"/><Relationship Id="rId849" Type="http://schemas.openxmlformats.org/officeDocument/2006/relationships/oleObject" Target="embeddings/oleObject434.bin"/><Relationship Id="rId848" Type="http://schemas.openxmlformats.org/officeDocument/2006/relationships/image" Target="media/image405.emf"/><Relationship Id="rId847" Type="http://schemas.openxmlformats.org/officeDocument/2006/relationships/image" Target="media/image404.wmf"/><Relationship Id="rId846" Type="http://schemas.openxmlformats.org/officeDocument/2006/relationships/oleObject" Target="embeddings/oleObject433.bin"/><Relationship Id="rId845" Type="http://schemas.openxmlformats.org/officeDocument/2006/relationships/image" Target="media/image403.wmf"/><Relationship Id="rId844" Type="http://schemas.openxmlformats.org/officeDocument/2006/relationships/oleObject" Target="embeddings/oleObject432.bin"/><Relationship Id="rId843" Type="http://schemas.openxmlformats.org/officeDocument/2006/relationships/image" Target="media/image402.wmf"/><Relationship Id="rId842" Type="http://schemas.openxmlformats.org/officeDocument/2006/relationships/oleObject" Target="embeddings/oleObject431.bin"/><Relationship Id="rId841" Type="http://schemas.openxmlformats.org/officeDocument/2006/relationships/image" Target="media/image401.wmf"/><Relationship Id="rId840" Type="http://schemas.openxmlformats.org/officeDocument/2006/relationships/oleObject" Target="embeddings/oleObject430.bin"/><Relationship Id="rId84" Type="http://schemas.openxmlformats.org/officeDocument/2006/relationships/image" Target="media/image36.wmf"/><Relationship Id="rId839" Type="http://schemas.openxmlformats.org/officeDocument/2006/relationships/image" Target="media/image400.wmf"/><Relationship Id="rId838" Type="http://schemas.openxmlformats.org/officeDocument/2006/relationships/oleObject" Target="embeddings/oleObject429.bin"/><Relationship Id="rId837" Type="http://schemas.openxmlformats.org/officeDocument/2006/relationships/image" Target="media/image399.emf"/><Relationship Id="rId836" Type="http://schemas.openxmlformats.org/officeDocument/2006/relationships/image" Target="media/image398.wmf"/><Relationship Id="rId835" Type="http://schemas.openxmlformats.org/officeDocument/2006/relationships/oleObject" Target="embeddings/oleObject428.bin"/><Relationship Id="rId834" Type="http://schemas.openxmlformats.org/officeDocument/2006/relationships/image" Target="media/image397.wmf"/><Relationship Id="rId833" Type="http://schemas.openxmlformats.org/officeDocument/2006/relationships/oleObject" Target="embeddings/oleObject427.bin"/><Relationship Id="rId832" Type="http://schemas.openxmlformats.org/officeDocument/2006/relationships/image" Target="media/image396.wmf"/><Relationship Id="rId831" Type="http://schemas.openxmlformats.org/officeDocument/2006/relationships/oleObject" Target="embeddings/oleObject426.bin"/><Relationship Id="rId830" Type="http://schemas.openxmlformats.org/officeDocument/2006/relationships/image" Target="media/image395.wmf"/><Relationship Id="rId83" Type="http://schemas.openxmlformats.org/officeDocument/2006/relationships/oleObject" Target="embeddings/oleObject38.bin"/><Relationship Id="rId829" Type="http://schemas.openxmlformats.org/officeDocument/2006/relationships/oleObject" Target="embeddings/oleObject425.bin"/><Relationship Id="rId828" Type="http://schemas.openxmlformats.org/officeDocument/2006/relationships/image" Target="media/image394.wmf"/><Relationship Id="rId827" Type="http://schemas.openxmlformats.org/officeDocument/2006/relationships/oleObject" Target="embeddings/oleObject424.bin"/><Relationship Id="rId826" Type="http://schemas.openxmlformats.org/officeDocument/2006/relationships/image" Target="media/image393.wmf"/><Relationship Id="rId825" Type="http://schemas.openxmlformats.org/officeDocument/2006/relationships/oleObject" Target="embeddings/oleObject423.bin"/><Relationship Id="rId824" Type="http://schemas.openxmlformats.org/officeDocument/2006/relationships/image" Target="media/image392.wmf"/><Relationship Id="rId823" Type="http://schemas.openxmlformats.org/officeDocument/2006/relationships/oleObject" Target="embeddings/oleObject422.bin"/><Relationship Id="rId822" Type="http://schemas.openxmlformats.org/officeDocument/2006/relationships/oleObject" Target="embeddings/oleObject421.bin"/><Relationship Id="rId821" Type="http://schemas.openxmlformats.org/officeDocument/2006/relationships/oleObject" Target="embeddings/oleObject420.bin"/><Relationship Id="rId820" Type="http://schemas.openxmlformats.org/officeDocument/2006/relationships/image" Target="media/image391.wmf"/><Relationship Id="rId82" Type="http://schemas.openxmlformats.org/officeDocument/2006/relationships/image" Target="media/image35.wmf"/><Relationship Id="rId819" Type="http://schemas.openxmlformats.org/officeDocument/2006/relationships/oleObject" Target="embeddings/oleObject419.bin"/><Relationship Id="rId818" Type="http://schemas.openxmlformats.org/officeDocument/2006/relationships/image" Target="media/image390.wmf"/><Relationship Id="rId817" Type="http://schemas.openxmlformats.org/officeDocument/2006/relationships/oleObject" Target="embeddings/oleObject418.bin"/><Relationship Id="rId816" Type="http://schemas.openxmlformats.org/officeDocument/2006/relationships/image" Target="media/image389.wmf"/><Relationship Id="rId815" Type="http://schemas.openxmlformats.org/officeDocument/2006/relationships/oleObject" Target="embeddings/oleObject417.bin"/><Relationship Id="rId814" Type="http://schemas.openxmlformats.org/officeDocument/2006/relationships/image" Target="media/image388.wmf"/><Relationship Id="rId813" Type="http://schemas.openxmlformats.org/officeDocument/2006/relationships/oleObject" Target="embeddings/oleObject416.bin"/><Relationship Id="rId812" Type="http://schemas.openxmlformats.org/officeDocument/2006/relationships/image" Target="media/image387.wmf"/><Relationship Id="rId811" Type="http://schemas.openxmlformats.org/officeDocument/2006/relationships/oleObject" Target="embeddings/oleObject415.bin"/><Relationship Id="rId810" Type="http://schemas.openxmlformats.org/officeDocument/2006/relationships/image" Target="media/image386.wmf"/><Relationship Id="rId81" Type="http://schemas.openxmlformats.org/officeDocument/2006/relationships/oleObject" Target="embeddings/oleObject37.bin"/><Relationship Id="rId809" Type="http://schemas.openxmlformats.org/officeDocument/2006/relationships/oleObject" Target="embeddings/oleObject414.bin"/><Relationship Id="rId808" Type="http://schemas.openxmlformats.org/officeDocument/2006/relationships/image" Target="media/image385.wmf"/><Relationship Id="rId807" Type="http://schemas.openxmlformats.org/officeDocument/2006/relationships/oleObject" Target="embeddings/oleObject413.bin"/><Relationship Id="rId806" Type="http://schemas.openxmlformats.org/officeDocument/2006/relationships/image" Target="media/image384.wmf"/><Relationship Id="rId805" Type="http://schemas.openxmlformats.org/officeDocument/2006/relationships/oleObject" Target="embeddings/oleObject412.bin"/><Relationship Id="rId804" Type="http://schemas.openxmlformats.org/officeDocument/2006/relationships/image" Target="media/image383.emf"/><Relationship Id="rId803" Type="http://schemas.openxmlformats.org/officeDocument/2006/relationships/image" Target="media/image382.wmf"/><Relationship Id="rId802" Type="http://schemas.openxmlformats.org/officeDocument/2006/relationships/oleObject" Target="embeddings/oleObject411.bin"/><Relationship Id="rId801" Type="http://schemas.openxmlformats.org/officeDocument/2006/relationships/image" Target="media/image381.wmf"/><Relationship Id="rId800" Type="http://schemas.openxmlformats.org/officeDocument/2006/relationships/oleObject" Target="embeddings/oleObject410.bin"/><Relationship Id="rId80" Type="http://schemas.openxmlformats.org/officeDocument/2006/relationships/image" Target="media/image34.wmf"/><Relationship Id="rId8" Type="http://schemas.openxmlformats.org/officeDocument/2006/relationships/header" Target="header4.xml"/><Relationship Id="rId799" Type="http://schemas.openxmlformats.org/officeDocument/2006/relationships/oleObject" Target="embeddings/oleObject409.bin"/><Relationship Id="rId798" Type="http://schemas.openxmlformats.org/officeDocument/2006/relationships/image" Target="media/image380.wmf"/><Relationship Id="rId797" Type="http://schemas.openxmlformats.org/officeDocument/2006/relationships/oleObject" Target="embeddings/oleObject408.bin"/><Relationship Id="rId796" Type="http://schemas.openxmlformats.org/officeDocument/2006/relationships/image" Target="media/image379.wmf"/><Relationship Id="rId795" Type="http://schemas.openxmlformats.org/officeDocument/2006/relationships/oleObject" Target="embeddings/oleObject407.bin"/><Relationship Id="rId794" Type="http://schemas.openxmlformats.org/officeDocument/2006/relationships/image" Target="media/image378.wmf"/><Relationship Id="rId793" Type="http://schemas.openxmlformats.org/officeDocument/2006/relationships/oleObject" Target="embeddings/oleObject406.bin"/><Relationship Id="rId792" Type="http://schemas.openxmlformats.org/officeDocument/2006/relationships/image" Target="media/image377.wmf"/><Relationship Id="rId791" Type="http://schemas.openxmlformats.org/officeDocument/2006/relationships/oleObject" Target="embeddings/oleObject405.bin"/><Relationship Id="rId790" Type="http://schemas.openxmlformats.org/officeDocument/2006/relationships/image" Target="media/image376.wmf"/><Relationship Id="rId79" Type="http://schemas.openxmlformats.org/officeDocument/2006/relationships/oleObject" Target="embeddings/oleObject36.bin"/><Relationship Id="rId789" Type="http://schemas.openxmlformats.org/officeDocument/2006/relationships/oleObject" Target="embeddings/oleObject404.bin"/><Relationship Id="rId788" Type="http://schemas.openxmlformats.org/officeDocument/2006/relationships/image" Target="media/image375.wmf"/><Relationship Id="rId787" Type="http://schemas.openxmlformats.org/officeDocument/2006/relationships/oleObject" Target="embeddings/oleObject403.bin"/><Relationship Id="rId786" Type="http://schemas.openxmlformats.org/officeDocument/2006/relationships/image" Target="media/image374.emf"/><Relationship Id="rId785" Type="http://schemas.openxmlformats.org/officeDocument/2006/relationships/image" Target="media/image373.wmf"/><Relationship Id="rId784" Type="http://schemas.openxmlformats.org/officeDocument/2006/relationships/oleObject" Target="embeddings/oleObject402.bin"/><Relationship Id="rId783" Type="http://schemas.openxmlformats.org/officeDocument/2006/relationships/image" Target="media/image372.wmf"/><Relationship Id="rId782" Type="http://schemas.openxmlformats.org/officeDocument/2006/relationships/oleObject" Target="embeddings/oleObject401.bin"/><Relationship Id="rId781" Type="http://schemas.openxmlformats.org/officeDocument/2006/relationships/image" Target="media/image371.wmf"/><Relationship Id="rId780" Type="http://schemas.openxmlformats.org/officeDocument/2006/relationships/oleObject" Target="embeddings/oleObject400.bin"/><Relationship Id="rId78" Type="http://schemas.openxmlformats.org/officeDocument/2006/relationships/image" Target="media/image33.wmf"/><Relationship Id="rId779" Type="http://schemas.openxmlformats.org/officeDocument/2006/relationships/image" Target="media/image370.wmf"/><Relationship Id="rId778" Type="http://schemas.openxmlformats.org/officeDocument/2006/relationships/oleObject" Target="embeddings/oleObject399.bin"/><Relationship Id="rId777" Type="http://schemas.openxmlformats.org/officeDocument/2006/relationships/image" Target="media/image369.wmf"/><Relationship Id="rId776" Type="http://schemas.openxmlformats.org/officeDocument/2006/relationships/oleObject" Target="embeddings/oleObject398.bin"/><Relationship Id="rId775" Type="http://schemas.openxmlformats.org/officeDocument/2006/relationships/image" Target="media/image368.wmf"/><Relationship Id="rId774" Type="http://schemas.openxmlformats.org/officeDocument/2006/relationships/oleObject" Target="embeddings/oleObject397.bin"/><Relationship Id="rId773" Type="http://schemas.openxmlformats.org/officeDocument/2006/relationships/image" Target="media/image367.wmf"/><Relationship Id="rId772" Type="http://schemas.openxmlformats.org/officeDocument/2006/relationships/oleObject" Target="embeddings/oleObject396.bin"/><Relationship Id="rId771" Type="http://schemas.openxmlformats.org/officeDocument/2006/relationships/image" Target="media/image366.wmf"/><Relationship Id="rId770" Type="http://schemas.openxmlformats.org/officeDocument/2006/relationships/oleObject" Target="embeddings/oleObject395.bin"/><Relationship Id="rId77" Type="http://schemas.openxmlformats.org/officeDocument/2006/relationships/oleObject" Target="embeddings/oleObject35.bin"/><Relationship Id="rId769" Type="http://schemas.openxmlformats.org/officeDocument/2006/relationships/image" Target="media/image365.wmf"/><Relationship Id="rId768" Type="http://schemas.openxmlformats.org/officeDocument/2006/relationships/oleObject" Target="embeddings/oleObject394.bin"/><Relationship Id="rId767" Type="http://schemas.openxmlformats.org/officeDocument/2006/relationships/image" Target="media/image364.wmf"/><Relationship Id="rId766" Type="http://schemas.openxmlformats.org/officeDocument/2006/relationships/oleObject" Target="embeddings/oleObject393.bin"/><Relationship Id="rId765" Type="http://schemas.openxmlformats.org/officeDocument/2006/relationships/image" Target="media/image363.wmf"/><Relationship Id="rId764" Type="http://schemas.openxmlformats.org/officeDocument/2006/relationships/oleObject" Target="embeddings/oleObject392.bin"/><Relationship Id="rId763" Type="http://schemas.openxmlformats.org/officeDocument/2006/relationships/image" Target="media/image362.wmf"/><Relationship Id="rId762" Type="http://schemas.openxmlformats.org/officeDocument/2006/relationships/oleObject" Target="embeddings/oleObject391.bin"/><Relationship Id="rId761" Type="http://schemas.openxmlformats.org/officeDocument/2006/relationships/image" Target="media/image361.wmf"/><Relationship Id="rId760" Type="http://schemas.openxmlformats.org/officeDocument/2006/relationships/oleObject" Target="embeddings/oleObject390.bin"/><Relationship Id="rId76" Type="http://schemas.openxmlformats.org/officeDocument/2006/relationships/image" Target="media/image32.wmf"/><Relationship Id="rId759" Type="http://schemas.openxmlformats.org/officeDocument/2006/relationships/image" Target="media/image360.wmf"/><Relationship Id="rId758" Type="http://schemas.openxmlformats.org/officeDocument/2006/relationships/oleObject" Target="embeddings/oleObject389.bin"/><Relationship Id="rId757" Type="http://schemas.openxmlformats.org/officeDocument/2006/relationships/image" Target="media/image359.wmf"/><Relationship Id="rId756" Type="http://schemas.openxmlformats.org/officeDocument/2006/relationships/oleObject" Target="embeddings/oleObject388.bin"/><Relationship Id="rId755" Type="http://schemas.openxmlformats.org/officeDocument/2006/relationships/image" Target="media/image358.wmf"/><Relationship Id="rId754" Type="http://schemas.openxmlformats.org/officeDocument/2006/relationships/oleObject" Target="embeddings/oleObject387.bin"/><Relationship Id="rId753" Type="http://schemas.openxmlformats.org/officeDocument/2006/relationships/oleObject" Target="embeddings/oleObject386.bin"/><Relationship Id="rId752" Type="http://schemas.openxmlformats.org/officeDocument/2006/relationships/oleObject" Target="embeddings/oleObject385.bin"/><Relationship Id="rId751" Type="http://schemas.openxmlformats.org/officeDocument/2006/relationships/oleObject" Target="embeddings/oleObject384.bin"/><Relationship Id="rId750" Type="http://schemas.openxmlformats.org/officeDocument/2006/relationships/oleObject" Target="embeddings/oleObject383.bin"/><Relationship Id="rId75" Type="http://schemas.openxmlformats.org/officeDocument/2006/relationships/oleObject" Target="embeddings/oleObject34.bin"/><Relationship Id="rId749" Type="http://schemas.openxmlformats.org/officeDocument/2006/relationships/image" Target="media/image357.wmf"/><Relationship Id="rId748" Type="http://schemas.openxmlformats.org/officeDocument/2006/relationships/oleObject" Target="embeddings/oleObject382.bin"/><Relationship Id="rId747" Type="http://schemas.openxmlformats.org/officeDocument/2006/relationships/image" Target="media/image356.wmf"/><Relationship Id="rId746" Type="http://schemas.openxmlformats.org/officeDocument/2006/relationships/oleObject" Target="embeddings/oleObject381.bin"/><Relationship Id="rId745" Type="http://schemas.openxmlformats.org/officeDocument/2006/relationships/image" Target="media/image355.wmf"/><Relationship Id="rId744" Type="http://schemas.openxmlformats.org/officeDocument/2006/relationships/oleObject" Target="embeddings/oleObject380.bin"/><Relationship Id="rId743" Type="http://schemas.openxmlformats.org/officeDocument/2006/relationships/image" Target="media/image354.wmf"/><Relationship Id="rId742" Type="http://schemas.openxmlformats.org/officeDocument/2006/relationships/oleObject" Target="embeddings/oleObject379.bin"/><Relationship Id="rId741" Type="http://schemas.openxmlformats.org/officeDocument/2006/relationships/image" Target="media/image353.wmf"/><Relationship Id="rId740" Type="http://schemas.openxmlformats.org/officeDocument/2006/relationships/oleObject" Target="embeddings/oleObject378.bin"/><Relationship Id="rId74" Type="http://schemas.openxmlformats.org/officeDocument/2006/relationships/image" Target="media/image31.wmf"/><Relationship Id="rId739" Type="http://schemas.openxmlformats.org/officeDocument/2006/relationships/image" Target="media/image352.wmf"/><Relationship Id="rId738" Type="http://schemas.openxmlformats.org/officeDocument/2006/relationships/oleObject" Target="embeddings/oleObject377.bin"/><Relationship Id="rId737" Type="http://schemas.openxmlformats.org/officeDocument/2006/relationships/image" Target="media/image351.wmf"/><Relationship Id="rId736" Type="http://schemas.openxmlformats.org/officeDocument/2006/relationships/oleObject" Target="embeddings/oleObject376.bin"/><Relationship Id="rId735" Type="http://schemas.openxmlformats.org/officeDocument/2006/relationships/image" Target="media/image350.wmf"/><Relationship Id="rId734" Type="http://schemas.openxmlformats.org/officeDocument/2006/relationships/oleObject" Target="embeddings/oleObject375.bin"/><Relationship Id="rId733" Type="http://schemas.openxmlformats.org/officeDocument/2006/relationships/image" Target="media/image349.wmf"/><Relationship Id="rId732" Type="http://schemas.openxmlformats.org/officeDocument/2006/relationships/oleObject" Target="embeddings/oleObject374.bin"/><Relationship Id="rId731" Type="http://schemas.openxmlformats.org/officeDocument/2006/relationships/image" Target="media/image348.wmf"/><Relationship Id="rId730" Type="http://schemas.openxmlformats.org/officeDocument/2006/relationships/oleObject" Target="embeddings/oleObject373.bin"/><Relationship Id="rId73" Type="http://schemas.openxmlformats.org/officeDocument/2006/relationships/oleObject" Target="embeddings/oleObject33.bin"/><Relationship Id="rId729" Type="http://schemas.openxmlformats.org/officeDocument/2006/relationships/image" Target="media/image347.wmf"/><Relationship Id="rId728" Type="http://schemas.openxmlformats.org/officeDocument/2006/relationships/oleObject" Target="embeddings/oleObject372.bin"/><Relationship Id="rId727" Type="http://schemas.openxmlformats.org/officeDocument/2006/relationships/image" Target="media/image346.wmf"/><Relationship Id="rId726" Type="http://schemas.openxmlformats.org/officeDocument/2006/relationships/oleObject" Target="embeddings/oleObject371.bin"/><Relationship Id="rId725" Type="http://schemas.openxmlformats.org/officeDocument/2006/relationships/image" Target="media/image345.emf"/><Relationship Id="rId724" Type="http://schemas.openxmlformats.org/officeDocument/2006/relationships/image" Target="media/image344.wmf"/><Relationship Id="rId723" Type="http://schemas.openxmlformats.org/officeDocument/2006/relationships/oleObject" Target="embeddings/oleObject370.bin"/><Relationship Id="rId722" Type="http://schemas.openxmlformats.org/officeDocument/2006/relationships/image" Target="media/image343.wmf"/><Relationship Id="rId721" Type="http://schemas.openxmlformats.org/officeDocument/2006/relationships/oleObject" Target="embeddings/oleObject369.bin"/><Relationship Id="rId720" Type="http://schemas.openxmlformats.org/officeDocument/2006/relationships/image" Target="media/image342.wmf"/><Relationship Id="rId72" Type="http://schemas.openxmlformats.org/officeDocument/2006/relationships/image" Target="media/image30.wmf"/><Relationship Id="rId719" Type="http://schemas.openxmlformats.org/officeDocument/2006/relationships/oleObject" Target="embeddings/oleObject368.bin"/><Relationship Id="rId718" Type="http://schemas.openxmlformats.org/officeDocument/2006/relationships/image" Target="media/image341.wmf"/><Relationship Id="rId717" Type="http://schemas.openxmlformats.org/officeDocument/2006/relationships/oleObject" Target="embeddings/oleObject367.bin"/><Relationship Id="rId716" Type="http://schemas.openxmlformats.org/officeDocument/2006/relationships/image" Target="media/image340.wmf"/><Relationship Id="rId715" Type="http://schemas.openxmlformats.org/officeDocument/2006/relationships/oleObject" Target="embeddings/oleObject366.bin"/><Relationship Id="rId714" Type="http://schemas.openxmlformats.org/officeDocument/2006/relationships/image" Target="media/image339.wmf"/><Relationship Id="rId713" Type="http://schemas.openxmlformats.org/officeDocument/2006/relationships/oleObject" Target="embeddings/oleObject365.bin"/><Relationship Id="rId712" Type="http://schemas.openxmlformats.org/officeDocument/2006/relationships/image" Target="media/image338.wmf"/><Relationship Id="rId711" Type="http://schemas.openxmlformats.org/officeDocument/2006/relationships/oleObject" Target="embeddings/oleObject364.bin"/><Relationship Id="rId710" Type="http://schemas.openxmlformats.org/officeDocument/2006/relationships/image" Target="media/image337.wmf"/><Relationship Id="rId71" Type="http://schemas.openxmlformats.org/officeDocument/2006/relationships/oleObject" Target="embeddings/oleObject32.bin"/><Relationship Id="rId709" Type="http://schemas.openxmlformats.org/officeDocument/2006/relationships/oleObject" Target="embeddings/oleObject363.bin"/><Relationship Id="rId708" Type="http://schemas.openxmlformats.org/officeDocument/2006/relationships/image" Target="media/image336.wmf"/><Relationship Id="rId707" Type="http://schemas.openxmlformats.org/officeDocument/2006/relationships/oleObject" Target="embeddings/oleObject362.bin"/><Relationship Id="rId706" Type="http://schemas.openxmlformats.org/officeDocument/2006/relationships/image" Target="media/image335.wmf"/><Relationship Id="rId705" Type="http://schemas.openxmlformats.org/officeDocument/2006/relationships/oleObject" Target="embeddings/oleObject361.bin"/><Relationship Id="rId704" Type="http://schemas.openxmlformats.org/officeDocument/2006/relationships/image" Target="media/image334.wmf"/><Relationship Id="rId703" Type="http://schemas.openxmlformats.org/officeDocument/2006/relationships/oleObject" Target="embeddings/oleObject360.bin"/><Relationship Id="rId702" Type="http://schemas.openxmlformats.org/officeDocument/2006/relationships/image" Target="media/image333.wmf"/><Relationship Id="rId701" Type="http://schemas.openxmlformats.org/officeDocument/2006/relationships/oleObject" Target="embeddings/oleObject359.bin"/><Relationship Id="rId700" Type="http://schemas.openxmlformats.org/officeDocument/2006/relationships/image" Target="media/image332.wmf"/><Relationship Id="rId70" Type="http://schemas.openxmlformats.org/officeDocument/2006/relationships/image" Target="media/image29.wmf"/><Relationship Id="rId7" Type="http://schemas.openxmlformats.org/officeDocument/2006/relationships/header" Target="header3.xml"/><Relationship Id="rId699" Type="http://schemas.openxmlformats.org/officeDocument/2006/relationships/oleObject" Target="embeddings/oleObject358.bin"/><Relationship Id="rId698" Type="http://schemas.openxmlformats.org/officeDocument/2006/relationships/image" Target="media/image331.wmf"/><Relationship Id="rId697" Type="http://schemas.openxmlformats.org/officeDocument/2006/relationships/oleObject" Target="embeddings/oleObject357.bin"/><Relationship Id="rId696" Type="http://schemas.openxmlformats.org/officeDocument/2006/relationships/image" Target="media/image330.wmf"/><Relationship Id="rId695" Type="http://schemas.openxmlformats.org/officeDocument/2006/relationships/oleObject" Target="embeddings/oleObject356.bin"/><Relationship Id="rId694" Type="http://schemas.openxmlformats.org/officeDocument/2006/relationships/image" Target="media/image329.wmf"/><Relationship Id="rId693" Type="http://schemas.openxmlformats.org/officeDocument/2006/relationships/oleObject" Target="embeddings/oleObject355.bin"/><Relationship Id="rId692" Type="http://schemas.openxmlformats.org/officeDocument/2006/relationships/image" Target="media/image328.wmf"/><Relationship Id="rId691" Type="http://schemas.openxmlformats.org/officeDocument/2006/relationships/oleObject" Target="embeddings/oleObject354.bin"/><Relationship Id="rId690" Type="http://schemas.openxmlformats.org/officeDocument/2006/relationships/image" Target="media/image327.wmf"/><Relationship Id="rId69" Type="http://schemas.openxmlformats.org/officeDocument/2006/relationships/oleObject" Target="embeddings/oleObject31.bin"/><Relationship Id="rId689" Type="http://schemas.openxmlformats.org/officeDocument/2006/relationships/oleObject" Target="embeddings/oleObject353.bin"/><Relationship Id="rId688" Type="http://schemas.openxmlformats.org/officeDocument/2006/relationships/image" Target="media/image326.wmf"/><Relationship Id="rId687" Type="http://schemas.openxmlformats.org/officeDocument/2006/relationships/oleObject" Target="embeddings/oleObject352.bin"/><Relationship Id="rId686" Type="http://schemas.openxmlformats.org/officeDocument/2006/relationships/image" Target="media/image325.wmf"/><Relationship Id="rId685" Type="http://schemas.openxmlformats.org/officeDocument/2006/relationships/oleObject" Target="embeddings/oleObject351.bin"/><Relationship Id="rId684" Type="http://schemas.openxmlformats.org/officeDocument/2006/relationships/oleObject" Target="embeddings/oleObject350.bin"/><Relationship Id="rId683" Type="http://schemas.openxmlformats.org/officeDocument/2006/relationships/image" Target="media/image324.wmf"/><Relationship Id="rId682" Type="http://schemas.openxmlformats.org/officeDocument/2006/relationships/oleObject" Target="embeddings/oleObject349.bin"/><Relationship Id="rId681" Type="http://schemas.openxmlformats.org/officeDocument/2006/relationships/image" Target="media/image323.wmf"/><Relationship Id="rId680" Type="http://schemas.openxmlformats.org/officeDocument/2006/relationships/oleObject" Target="embeddings/oleObject348.bin"/><Relationship Id="rId68" Type="http://schemas.openxmlformats.org/officeDocument/2006/relationships/image" Target="media/image28.wmf"/><Relationship Id="rId679" Type="http://schemas.openxmlformats.org/officeDocument/2006/relationships/image" Target="media/image322.wmf"/><Relationship Id="rId678" Type="http://schemas.openxmlformats.org/officeDocument/2006/relationships/oleObject" Target="embeddings/oleObject347.bin"/><Relationship Id="rId677" Type="http://schemas.openxmlformats.org/officeDocument/2006/relationships/image" Target="media/image321.wmf"/><Relationship Id="rId676" Type="http://schemas.openxmlformats.org/officeDocument/2006/relationships/oleObject" Target="embeddings/oleObject346.bin"/><Relationship Id="rId675" Type="http://schemas.openxmlformats.org/officeDocument/2006/relationships/image" Target="media/image320.wmf"/><Relationship Id="rId674" Type="http://schemas.openxmlformats.org/officeDocument/2006/relationships/oleObject" Target="embeddings/oleObject345.bin"/><Relationship Id="rId673" Type="http://schemas.openxmlformats.org/officeDocument/2006/relationships/image" Target="media/image319.wmf"/><Relationship Id="rId672" Type="http://schemas.openxmlformats.org/officeDocument/2006/relationships/oleObject" Target="embeddings/oleObject344.bin"/><Relationship Id="rId671" Type="http://schemas.openxmlformats.org/officeDocument/2006/relationships/image" Target="media/image318.wmf"/><Relationship Id="rId670" Type="http://schemas.openxmlformats.org/officeDocument/2006/relationships/oleObject" Target="embeddings/oleObject343.bin"/><Relationship Id="rId67" Type="http://schemas.openxmlformats.org/officeDocument/2006/relationships/oleObject" Target="embeddings/oleObject30.bin"/><Relationship Id="rId669" Type="http://schemas.openxmlformats.org/officeDocument/2006/relationships/image" Target="media/image317.wmf"/><Relationship Id="rId668" Type="http://schemas.openxmlformats.org/officeDocument/2006/relationships/oleObject" Target="embeddings/oleObject342.bin"/><Relationship Id="rId667" Type="http://schemas.openxmlformats.org/officeDocument/2006/relationships/image" Target="media/image316.wmf"/><Relationship Id="rId666" Type="http://schemas.openxmlformats.org/officeDocument/2006/relationships/oleObject" Target="embeddings/oleObject341.bin"/><Relationship Id="rId665" Type="http://schemas.openxmlformats.org/officeDocument/2006/relationships/image" Target="media/image315.wmf"/><Relationship Id="rId664" Type="http://schemas.openxmlformats.org/officeDocument/2006/relationships/oleObject" Target="embeddings/oleObject340.bin"/><Relationship Id="rId663" Type="http://schemas.openxmlformats.org/officeDocument/2006/relationships/image" Target="media/image314.wmf"/><Relationship Id="rId662" Type="http://schemas.openxmlformats.org/officeDocument/2006/relationships/oleObject" Target="embeddings/oleObject339.bin"/><Relationship Id="rId661" Type="http://schemas.openxmlformats.org/officeDocument/2006/relationships/image" Target="media/image313.wmf"/><Relationship Id="rId660" Type="http://schemas.openxmlformats.org/officeDocument/2006/relationships/oleObject" Target="embeddings/oleObject338.bin"/><Relationship Id="rId66" Type="http://schemas.openxmlformats.org/officeDocument/2006/relationships/image" Target="media/image27.wmf"/><Relationship Id="rId659" Type="http://schemas.openxmlformats.org/officeDocument/2006/relationships/image" Target="media/image312.wmf"/><Relationship Id="rId658" Type="http://schemas.openxmlformats.org/officeDocument/2006/relationships/oleObject" Target="embeddings/oleObject337.bin"/><Relationship Id="rId657" Type="http://schemas.openxmlformats.org/officeDocument/2006/relationships/image" Target="media/image311.wmf"/><Relationship Id="rId656" Type="http://schemas.openxmlformats.org/officeDocument/2006/relationships/oleObject" Target="embeddings/oleObject336.bin"/><Relationship Id="rId655" Type="http://schemas.openxmlformats.org/officeDocument/2006/relationships/image" Target="media/image310.wmf"/><Relationship Id="rId654" Type="http://schemas.openxmlformats.org/officeDocument/2006/relationships/oleObject" Target="embeddings/oleObject335.bin"/><Relationship Id="rId653" Type="http://schemas.openxmlformats.org/officeDocument/2006/relationships/image" Target="media/image309.wmf"/><Relationship Id="rId652" Type="http://schemas.openxmlformats.org/officeDocument/2006/relationships/oleObject" Target="embeddings/oleObject334.bin"/><Relationship Id="rId651" Type="http://schemas.openxmlformats.org/officeDocument/2006/relationships/image" Target="media/image308.wmf"/><Relationship Id="rId650" Type="http://schemas.openxmlformats.org/officeDocument/2006/relationships/oleObject" Target="embeddings/oleObject333.bin"/><Relationship Id="rId65" Type="http://schemas.openxmlformats.org/officeDocument/2006/relationships/oleObject" Target="embeddings/oleObject29.bin"/><Relationship Id="rId649" Type="http://schemas.openxmlformats.org/officeDocument/2006/relationships/image" Target="media/image307.wmf"/><Relationship Id="rId648" Type="http://schemas.openxmlformats.org/officeDocument/2006/relationships/oleObject" Target="embeddings/oleObject332.bin"/><Relationship Id="rId647" Type="http://schemas.openxmlformats.org/officeDocument/2006/relationships/image" Target="media/image306.wmf"/><Relationship Id="rId646" Type="http://schemas.openxmlformats.org/officeDocument/2006/relationships/oleObject" Target="embeddings/oleObject331.bin"/><Relationship Id="rId645" Type="http://schemas.openxmlformats.org/officeDocument/2006/relationships/image" Target="media/image305.wmf"/><Relationship Id="rId644" Type="http://schemas.openxmlformats.org/officeDocument/2006/relationships/oleObject" Target="embeddings/oleObject330.bin"/><Relationship Id="rId643" Type="http://schemas.openxmlformats.org/officeDocument/2006/relationships/image" Target="media/image304.wmf"/><Relationship Id="rId642" Type="http://schemas.openxmlformats.org/officeDocument/2006/relationships/oleObject" Target="embeddings/oleObject329.bin"/><Relationship Id="rId641" Type="http://schemas.openxmlformats.org/officeDocument/2006/relationships/image" Target="media/image303.wmf"/><Relationship Id="rId640" Type="http://schemas.openxmlformats.org/officeDocument/2006/relationships/oleObject" Target="embeddings/oleObject328.bin"/><Relationship Id="rId64" Type="http://schemas.openxmlformats.org/officeDocument/2006/relationships/image" Target="media/image26.wmf"/><Relationship Id="rId639" Type="http://schemas.openxmlformats.org/officeDocument/2006/relationships/image" Target="media/image302.wmf"/><Relationship Id="rId638" Type="http://schemas.openxmlformats.org/officeDocument/2006/relationships/oleObject" Target="embeddings/oleObject327.bin"/><Relationship Id="rId637" Type="http://schemas.openxmlformats.org/officeDocument/2006/relationships/image" Target="media/image301.wmf"/><Relationship Id="rId636" Type="http://schemas.openxmlformats.org/officeDocument/2006/relationships/oleObject" Target="embeddings/oleObject326.bin"/><Relationship Id="rId635" Type="http://schemas.openxmlformats.org/officeDocument/2006/relationships/image" Target="media/image300.wmf"/><Relationship Id="rId634" Type="http://schemas.openxmlformats.org/officeDocument/2006/relationships/oleObject" Target="embeddings/oleObject325.bin"/><Relationship Id="rId633" Type="http://schemas.openxmlformats.org/officeDocument/2006/relationships/image" Target="media/image299.wmf"/><Relationship Id="rId632" Type="http://schemas.openxmlformats.org/officeDocument/2006/relationships/oleObject" Target="embeddings/oleObject324.bin"/><Relationship Id="rId631" Type="http://schemas.openxmlformats.org/officeDocument/2006/relationships/image" Target="media/image298.wmf"/><Relationship Id="rId630" Type="http://schemas.openxmlformats.org/officeDocument/2006/relationships/oleObject" Target="embeddings/oleObject323.bin"/><Relationship Id="rId63" Type="http://schemas.openxmlformats.org/officeDocument/2006/relationships/oleObject" Target="embeddings/oleObject28.bin"/><Relationship Id="rId629" Type="http://schemas.openxmlformats.org/officeDocument/2006/relationships/image" Target="media/image297.wmf"/><Relationship Id="rId628" Type="http://schemas.openxmlformats.org/officeDocument/2006/relationships/oleObject" Target="embeddings/oleObject322.bin"/><Relationship Id="rId627" Type="http://schemas.openxmlformats.org/officeDocument/2006/relationships/image" Target="media/image296.wmf"/><Relationship Id="rId626" Type="http://schemas.openxmlformats.org/officeDocument/2006/relationships/oleObject" Target="embeddings/oleObject321.bin"/><Relationship Id="rId625" Type="http://schemas.openxmlformats.org/officeDocument/2006/relationships/image" Target="media/image295.wmf"/><Relationship Id="rId624" Type="http://schemas.openxmlformats.org/officeDocument/2006/relationships/oleObject" Target="embeddings/oleObject320.bin"/><Relationship Id="rId623" Type="http://schemas.openxmlformats.org/officeDocument/2006/relationships/image" Target="media/image294.wmf"/><Relationship Id="rId622" Type="http://schemas.openxmlformats.org/officeDocument/2006/relationships/oleObject" Target="embeddings/oleObject319.bin"/><Relationship Id="rId621" Type="http://schemas.openxmlformats.org/officeDocument/2006/relationships/image" Target="media/image293.wmf"/><Relationship Id="rId620" Type="http://schemas.openxmlformats.org/officeDocument/2006/relationships/oleObject" Target="embeddings/oleObject318.bin"/><Relationship Id="rId62" Type="http://schemas.openxmlformats.org/officeDocument/2006/relationships/image" Target="media/image25.wmf"/><Relationship Id="rId619" Type="http://schemas.openxmlformats.org/officeDocument/2006/relationships/image" Target="media/image292.wmf"/><Relationship Id="rId618" Type="http://schemas.openxmlformats.org/officeDocument/2006/relationships/oleObject" Target="embeddings/oleObject317.bin"/><Relationship Id="rId617" Type="http://schemas.openxmlformats.org/officeDocument/2006/relationships/image" Target="media/image291.wmf"/><Relationship Id="rId616" Type="http://schemas.openxmlformats.org/officeDocument/2006/relationships/oleObject" Target="embeddings/oleObject316.bin"/><Relationship Id="rId615" Type="http://schemas.openxmlformats.org/officeDocument/2006/relationships/image" Target="media/image290.wmf"/><Relationship Id="rId614" Type="http://schemas.openxmlformats.org/officeDocument/2006/relationships/oleObject" Target="embeddings/oleObject315.bin"/><Relationship Id="rId613" Type="http://schemas.openxmlformats.org/officeDocument/2006/relationships/image" Target="media/image289.wmf"/><Relationship Id="rId612" Type="http://schemas.openxmlformats.org/officeDocument/2006/relationships/oleObject" Target="embeddings/oleObject314.bin"/><Relationship Id="rId611" Type="http://schemas.openxmlformats.org/officeDocument/2006/relationships/image" Target="media/image288.wmf"/><Relationship Id="rId610" Type="http://schemas.openxmlformats.org/officeDocument/2006/relationships/oleObject" Target="embeddings/oleObject313.bin"/><Relationship Id="rId61" Type="http://schemas.openxmlformats.org/officeDocument/2006/relationships/oleObject" Target="embeddings/oleObject27.bin"/><Relationship Id="rId609" Type="http://schemas.openxmlformats.org/officeDocument/2006/relationships/image" Target="media/image287.wmf"/><Relationship Id="rId608" Type="http://schemas.openxmlformats.org/officeDocument/2006/relationships/oleObject" Target="embeddings/oleObject312.bin"/><Relationship Id="rId607" Type="http://schemas.openxmlformats.org/officeDocument/2006/relationships/image" Target="media/image286.wmf"/><Relationship Id="rId606" Type="http://schemas.openxmlformats.org/officeDocument/2006/relationships/oleObject" Target="embeddings/oleObject311.bin"/><Relationship Id="rId605" Type="http://schemas.openxmlformats.org/officeDocument/2006/relationships/image" Target="media/image285.wmf"/><Relationship Id="rId604" Type="http://schemas.openxmlformats.org/officeDocument/2006/relationships/oleObject" Target="embeddings/oleObject310.bin"/><Relationship Id="rId603" Type="http://schemas.openxmlformats.org/officeDocument/2006/relationships/image" Target="media/image284.wmf"/><Relationship Id="rId602" Type="http://schemas.openxmlformats.org/officeDocument/2006/relationships/oleObject" Target="embeddings/oleObject309.bin"/><Relationship Id="rId601" Type="http://schemas.openxmlformats.org/officeDocument/2006/relationships/image" Target="media/image283.wmf"/><Relationship Id="rId600" Type="http://schemas.openxmlformats.org/officeDocument/2006/relationships/oleObject" Target="embeddings/oleObject308.bin"/><Relationship Id="rId60" Type="http://schemas.openxmlformats.org/officeDocument/2006/relationships/image" Target="media/image24.emf"/><Relationship Id="rId6" Type="http://schemas.openxmlformats.org/officeDocument/2006/relationships/header" Target="header2.xml"/><Relationship Id="rId599" Type="http://schemas.openxmlformats.org/officeDocument/2006/relationships/image" Target="media/image282.wmf"/><Relationship Id="rId598" Type="http://schemas.openxmlformats.org/officeDocument/2006/relationships/oleObject" Target="embeddings/oleObject307.bin"/><Relationship Id="rId597" Type="http://schemas.openxmlformats.org/officeDocument/2006/relationships/image" Target="media/image281.wmf"/><Relationship Id="rId596" Type="http://schemas.openxmlformats.org/officeDocument/2006/relationships/oleObject" Target="embeddings/oleObject306.bin"/><Relationship Id="rId595" Type="http://schemas.openxmlformats.org/officeDocument/2006/relationships/image" Target="media/image280.wmf"/><Relationship Id="rId594" Type="http://schemas.openxmlformats.org/officeDocument/2006/relationships/oleObject" Target="embeddings/oleObject305.bin"/><Relationship Id="rId593" Type="http://schemas.openxmlformats.org/officeDocument/2006/relationships/image" Target="media/image279.wmf"/><Relationship Id="rId592" Type="http://schemas.openxmlformats.org/officeDocument/2006/relationships/oleObject" Target="embeddings/oleObject304.bin"/><Relationship Id="rId591" Type="http://schemas.openxmlformats.org/officeDocument/2006/relationships/oleObject" Target="embeddings/oleObject303.bin"/><Relationship Id="rId590" Type="http://schemas.openxmlformats.org/officeDocument/2006/relationships/image" Target="media/image278.wmf"/><Relationship Id="rId59" Type="http://schemas.openxmlformats.org/officeDocument/2006/relationships/image" Target="media/image23.wmf"/><Relationship Id="rId589" Type="http://schemas.openxmlformats.org/officeDocument/2006/relationships/oleObject" Target="embeddings/oleObject302.bin"/><Relationship Id="rId588" Type="http://schemas.openxmlformats.org/officeDocument/2006/relationships/image" Target="media/image277.wmf"/><Relationship Id="rId587" Type="http://schemas.openxmlformats.org/officeDocument/2006/relationships/oleObject" Target="embeddings/oleObject301.bin"/><Relationship Id="rId586" Type="http://schemas.openxmlformats.org/officeDocument/2006/relationships/image" Target="media/image276.wmf"/><Relationship Id="rId585" Type="http://schemas.openxmlformats.org/officeDocument/2006/relationships/oleObject" Target="embeddings/oleObject300.bin"/><Relationship Id="rId584" Type="http://schemas.openxmlformats.org/officeDocument/2006/relationships/image" Target="media/image275.wmf"/><Relationship Id="rId583" Type="http://schemas.openxmlformats.org/officeDocument/2006/relationships/oleObject" Target="embeddings/oleObject299.bin"/><Relationship Id="rId582" Type="http://schemas.openxmlformats.org/officeDocument/2006/relationships/image" Target="media/image274.wmf"/><Relationship Id="rId581" Type="http://schemas.openxmlformats.org/officeDocument/2006/relationships/oleObject" Target="embeddings/oleObject298.bin"/><Relationship Id="rId580" Type="http://schemas.openxmlformats.org/officeDocument/2006/relationships/image" Target="media/image273.wmf"/><Relationship Id="rId58" Type="http://schemas.openxmlformats.org/officeDocument/2006/relationships/oleObject" Target="embeddings/oleObject26.bin"/><Relationship Id="rId579" Type="http://schemas.openxmlformats.org/officeDocument/2006/relationships/oleObject" Target="embeddings/oleObject297.bin"/><Relationship Id="rId578" Type="http://schemas.openxmlformats.org/officeDocument/2006/relationships/image" Target="media/image272.wmf"/><Relationship Id="rId577" Type="http://schemas.openxmlformats.org/officeDocument/2006/relationships/oleObject" Target="embeddings/oleObject296.bin"/><Relationship Id="rId576" Type="http://schemas.openxmlformats.org/officeDocument/2006/relationships/image" Target="media/image271.wmf"/><Relationship Id="rId575" Type="http://schemas.openxmlformats.org/officeDocument/2006/relationships/oleObject" Target="embeddings/oleObject295.bin"/><Relationship Id="rId574" Type="http://schemas.openxmlformats.org/officeDocument/2006/relationships/oleObject" Target="embeddings/oleObject294.bin"/><Relationship Id="rId573" Type="http://schemas.openxmlformats.org/officeDocument/2006/relationships/image" Target="media/image270.wmf"/><Relationship Id="rId572" Type="http://schemas.openxmlformats.org/officeDocument/2006/relationships/oleObject" Target="embeddings/oleObject293.bin"/><Relationship Id="rId571" Type="http://schemas.openxmlformats.org/officeDocument/2006/relationships/image" Target="media/image269.wmf"/><Relationship Id="rId570" Type="http://schemas.openxmlformats.org/officeDocument/2006/relationships/oleObject" Target="embeddings/oleObject292.bin"/><Relationship Id="rId57" Type="http://schemas.openxmlformats.org/officeDocument/2006/relationships/image" Target="media/image22.wmf"/><Relationship Id="rId569" Type="http://schemas.openxmlformats.org/officeDocument/2006/relationships/image" Target="media/image268.wmf"/><Relationship Id="rId568" Type="http://schemas.openxmlformats.org/officeDocument/2006/relationships/oleObject" Target="embeddings/oleObject291.bin"/><Relationship Id="rId567" Type="http://schemas.openxmlformats.org/officeDocument/2006/relationships/image" Target="media/image267.wmf"/><Relationship Id="rId566" Type="http://schemas.openxmlformats.org/officeDocument/2006/relationships/oleObject" Target="embeddings/oleObject290.bin"/><Relationship Id="rId565" Type="http://schemas.openxmlformats.org/officeDocument/2006/relationships/image" Target="media/image266.wmf"/><Relationship Id="rId564" Type="http://schemas.openxmlformats.org/officeDocument/2006/relationships/oleObject" Target="embeddings/oleObject289.bin"/><Relationship Id="rId563" Type="http://schemas.openxmlformats.org/officeDocument/2006/relationships/image" Target="media/image265.wmf"/><Relationship Id="rId562" Type="http://schemas.openxmlformats.org/officeDocument/2006/relationships/oleObject" Target="embeddings/oleObject288.bin"/><Relationship Id="rId561" Type="http://schemas.openxmlformats.org/officeDocument/2006/relationships/image" Target="media/image264.wmf"/><Relationship Id="rId560" Type="http://schemas.openxmlformats.org/officeDocument/2006/relationships/oleObject" Target="embeddings/oleObject287.bin"/><Relationship Id="rId56" Type="http://schemas.openxmlformats.org/officeDocument/2006/relationships/oleObject" Target="embeddings/oleObject25.bin"/><Relationship Id="rId559" Type="http://schemas.openxmlformats.org/officeDocument/2006/relationships/image" Target="media/image263.wmf"/><Relationship Id="rId558" Type="http://schemas.openxmlformats.org/officeDocument/2006/relationships/oleObject" Target="embeddings/oleObject286.bin"/><Relationship Id="rId557" Type="http://schemas.openxmlformats.org/officeDocument/2006/relationships/image" Target="media/image262.wmf"/><Relationship Id="rId556" Type="http://schemas.openxmlformats.org/officeDocument/2006/relationships/oleObject" Target="embeddings/oleObject285.bin"/><Relationship Id="rId555" Type="http://schemas.openxmlformats.org/officeDocument/2006/relationships/image" Target="media/image261.wmf"/><Relationship Id="rId554" Type="http://schemas.openxmlformats.org/officeDocument/2006/relationships/oleObject" Target="embeddings/oleObject284.bin"/><Relationship Id="rId553" Type="http://schemas.openxmlformats.org/officeDocument/2006/relationships/image" Target="media/image260.wmf"/><Relationship Id="rId552" Type="http://schemas.openxmlformats.org/officeDocument/2006/relationships/oleObject" Target="embeddings/oleObject283.bin"/><Relationship Id="rId551" Type="http://schemas.openxmlformats.org/officeDocument/2006/relationships/image" Target="media/image259.wmf"/><Relationship Id="rId550" Type="http://schemas.openxmlformats.org/officeDocument/2006/relationships/oleObject" Target="embeddings/oleObject282.bin"/><Relationship Id="rId55" Type="http://schemas.openxmlformats.org/officeDocument/2006/relationships/image" Target="media/image21.wmf"/><Relationship Id="rId549" Type="http://schemas.openxmlformats.org/officeDocument/2006/relationships/image" Target="media/image258.wmf"/><Relationship Id="rId548" Type="http://schemas.openxmlformats.org/officeDocument/2006/relationships/oleObject" Target="embeddings/oleObject281.bin"/><Relationship Id="rId547" Type="http://schemas.openxmlformats.org/officeDocument/2006/relationships/image" Target="media/image257.wmf"/><Relationship Id="rId546" Type="http://schemas.openxmlformats.org/officeDocument/2006/relationships/oleObject" Target="embeddings/oleObject280.bin"/><Relationship Id="rId545" Type="http://schemas.openxmlformats.org/officeDocument/2006/relationships/image" Target="media/image256.wmf"/><Relationship Id="rId544" Type="http://schemas.openxmlformats.org/officeDocument/2006/relationships/oleObject" Target="embeddings/oleObject279.bin"/><Relationship Id="rId543" Type="http://schemas.openxmlformats.org/officeDocument/2006/relationships/image" Target="media/image255.wmf"/><Relationship Id="rId542" Type="http://schemas.openxmlformats.org/officeDocument/2006/relationships/oleObject" Target="embeddings/oleObject278.bin"/><Relationship Id="rId541" Type="http://schemas.openxmlformats.org/officeDocument/2006/relationships/image" Target="media/image254.wmf"/><Relationship Id="rId540" Type="http://schemas.openxmlformats.org/officeDocument/2006/relationships/oleObject" Target="embeddings/oleObject277.bin"/><Relationship Id="rId54" Type="http://schemas.openxmlformats.org/officeDocument/2006/relationships/oleObject" Target="embeddings/oleObject24.bin"/><Relationship Id="rId539" Type="http://schemas.openxmlformats.org/officeDocument/2006/relationships/image" Target="media/image253.wmf"/><Relationship Id="rId538" Type="http://schemas.openxmlformats.org/officeDocument/2006/relationships/oleObject" Target="embeddings/oleObject276.bin"/><Relationship Id="rId537" Type="http://schemas.openxmlformats.org/officeDocument/2006/relationships/image" Target="media/image252.wmf"/><Relationship Id="rId536" Type="http://schemas.openxmlformats.org/officeDocument/2006/relationships/oleObject" Target="embeddings/oleObject275.bin"/><Relationship Id="rId535" Type="http://schemas.openxmlformats.org/officeDocument/2006/relationships/image" Target="media/image251.wmf"/><Relationship Id="rId534" Type="http://schemas.openxmlformats.org/officeDocument/2006/relationships/oleObject" Target="embeddings/oleObject274.bin"/><Relationship Id="rId533" Type="http://schemas.openxmlformats.org/officeDocument/2006/relationships/image" Target="media/image250.wmf"/><Relationship Id="rId532" Type="http://schemas.openxmlformats.org/officeDocument/2006/relationships/oleObject" Target="embeddings/oleObject273.bin"/><Relationship Id="rId531" Type="http://schemas.openxmlformats.org/officeDocument/2006/relationships/image" Target="media/image249.wmf"/><Relationship Id="rId530" Type="http://schemas.openxmlformats.org/officeDocument/2006/relationships/oleObject" Target="embeddings/oleObject272.bin"/><Relationship Id="rId53" Type="http://schemas.openxmlformats.org/officeDocument/2006/relationships/oleObject" Target="embeddings/oleObject23.bin"/><Relationship Id="rId529" Type="http://schemas.openxmlformats.org/officeDocument/2006/relationships/image" Target="media/image248.wmf"/><Relationship Id="rId528" Type="http://schemas.openxmlformats.org/officeDocument/2006/relationships/oleObject" Target="embeddings/oleObject271.bin"/><Relationship Id="rId527" Type="http://schemas.openxmlformats.org/officeDocument/2006/relationships/image" Target="media/image247.wmf"/><Relationship Id="rId526" Type="http://schemas.openxmlformats.org/officeDocument/2006/relationships/oleObject" Target="embeddings/oleObject270.bin"/><Relationship Id="rId525" Type="http://schemas.openxmlformats.org/officeDocument/2006/relationships/image" Target="media/image246.wmf"/><Relationship Id="rId524" Type="http://schemas.openxmlformats.org/officeDocument/2006/relationships/oleObject" Target="embeddings/oleObject269.bin"/><Relationship Id="rId523" Type="http://schemas.openxmlformats.org/officeDocument/2006/relationships/oleObject" Target="embeddings/oleObject268.bin"/><Relationship Id="rId522" Type="http://schemas.openxmlformats.org/officeDocument/2006/relationships/image" Target="media/image245.wmf"/><Relationship Id="rId521" Type="http://schemas.openxmlformats.org/officeDocument/2006/relationships/oleObject" Target="embeddings/oleObject267.bin"/><Relationship Id="rId520" Type="http://schemas.openxmlformats.org/officeDocument/2006/relationships/image" Target="media/image244.wmf"/><Relationship Id="rId52" Type="http://schemas.openxmlformats.org/officeDocument/2006/relationships/image" Target="media/image20.wmf"/><Relationship Id="rId519" Type="http://schemas.openxmlformats.org/officeDocument/2006/relationships/oleObject" Target="embeddings/oleObject266.bin"/><Relationship Id="rId518" Type="http://schemas.openxmlformats.org/officeDocument/2006/relationships/image" Target="media/image243.wmf"/><Relationship Id="rId517" Type="http://schemas.openxmlformats.org/officeDocument/2006/relationships/oleObject" Target="embeddings/oleObject265.bin"/><Relationship Id="rId516" Type="http://schemas.openxmlformats.org/officeDocument/2006/relationships/image" Target="media/image242.wmf"/><Relationship Id="rId515" Type="http://schemas.openxmlformats.org/officeDocument/2006/relationships/oleObject" Target="embeddings/oleObject264.bin"/><Relationship Id="rId514" Type="http://schemas.openxmlformats.org/officeDocument/2006/relationships/image" Target="media/image241.wmf"/><Relationship Id="rId513" Type="http://schemas.openxmlformats.org/officeDocument/2006/relationships/oleObject" Target="embeddings/oleObject263.bin"/><Relationship Id="rId512" Type="http://schemas.openxmlformats.org/officeDocument/2006/relationships/image" Target="media/image240.wmf"/><Relationship Id="rId511" Type="http://schemas.openxmlformats.org/officeDocument/2006/relationships/oleObject" Target="embeddings/oleObject262.bin"/><Relationship Id="rId510" Type="http://schemas.openxmlformats.org/officeDocument/2006/relationships/image" Target="media/image239.wmf"/><Relationship Id="rId51" Type="http://schemas.openxmlformats.org/officeDocument/2006/relationships/oleObject" Target="embeddings/oleObject22.bin"/><Relationship Id="rId509" Type="http://schemas.openxmlformats.org/officeDocument/2006/relationships/oleObject" Target="embeddings/oleObject261.bin"/><Relationship Id="rId508" Type="http://schemas.openxmlformats.org/officeDocument/2006/relationships/image" Target="media/image238.wmf"/><Relationship Id="rId507" Type="http://schemas.openxmlformats.org/officeDocument/2006/relationships/oleObject" Target="embeddings/oleObject260.bin"/><Relationship Id="rId506" Type="http://schemas.openxmlformats.org/officeDocument/2006/relationships/image" Target="media/image237.wmf"/><Relationship Id="rId505" Type="http://schemas.openxmlformats.org/officeDocument/2006/relationships/oleObject" Target="embeddings/oleObject259.bin"/><Relationship Id="rId504" Type="http://schemas.openxmlformats.org/officeDocument/2006/relationships/image" Target="media/image236.wmf"/><Relationship Id="rId503" Type="http://schemas.openxmlformats.org/officeDocument/2006/relationships/oleObject" Target="embeddings/oleObject258.bin"/><Relationship Id="rId502" Type="http://schemas.openxmlformats.org/officeDocument/2006/relationships/image" Target="media/image235.wmf"/><Relationship Id="rId501" Type="http://schemas.openxmlformats.org/officeDocument/2006/relationships/oleObject" Target="embeddings/oleObject257.bin"/><Relationship Id="rId500" Type="http://schemas.openxmlformats.org/officeDocument/2006/relationships/image" Target="media/image234.wmf"/><Relationship Id="rId50" Type="http://schemas.openxmlformats.org/officeDocument/2006/relationships/image" Target="media/image19.wmf"/><Relationship Id="rId5" Type="http://schemas.openxmlformats.org/officeDocument/2006/relationships/footer" Target="footer2.xml"/><Relationship Id="rId499" Type="http://schemas.openxmlformats.org/officeDocument/2006/relationships/oleObject" Target="embeddings/oleObject256.bin"/><Relationship Id="rId498" Type="http://schemas.openxmlformats.org/officeDocument/2006/relationships/image" Target="media/image233.wmf"/><Relationship Id="rId497" Type="http://schemas.openxmlformats.org/officeDocument/2006/relationships/oleObject" Target="embeddings/oleObject255.bin"/><Relationship Id="rId496" Type="http://schemas.openxmlformats.org/officeDocument/2006/relationships/image" Target="media/image232.wmf"/><Relationship Id="rId495" Type="http://schemas.openxmlformats.org/officeDocument/2006/relationships/oleObject" Target="embeddings/oleObject254.bin"/><Relationship Id="rId494" Type="http://schemas.openxmlformats.org/officeDocument/2006/relationships/image" Target="media/image231.wmf"/><Relationship Id="rId493" Type="http://schemas.openxmlformats.org/officeDocument/2006/relationships/oleObject" Target="embeddings/oleObject253.bin"/><Relationship Id="rId492" Type="http://schemas.openxmlformats.org/officeDocument/2006/relationships/image" Target="media/image230.wmf"/><Relationship Id="rId491" Type="http://schemas.openxmlformats.org/officeDocument/2006/relationships/oleObject" Target="embeddings/oleObject252.bin"/><Relationship Id="rId490" Type="http://schemas.openxmlformats.org/officeDocument/2006/relationships/image" Target="media/image229.wmf"/><Relationship Id="rId49" Type="http://schemas.openxmlformats.org/officeDocument/2006/relationships/oleObject" Target="embeddings/oleObject21.bin"/><Relationship Id="rId489" Type="http://schemas.openxmlformats.org/officeDocument/2006/relationships/oleObject" Target="embeddings/oleObject251.bin"/><Relationship Id="rId488" Type="http://schemas.openxmlformats.org/officeDocument/2006/relationships/image" Target="media/image228.wmf"/><Relationship Id="rId487" Type="http://schemas.openxmlformats.org/officeDocument/2006/relationships/oleObject" Target="embeddings/oleObject250.bin"/><Relationship Id="rId486" Type="http://schemas.openxmlformats.org/officeDocument/2006/relationships/oleObject" Target="embeddings/oleObject249.bin"/><Relationship Id="rId485" Type="http://schemas.openxmlformats.org/officeDocument/2006/relationships/image" Target="media/image227.wmf"/><Relationship Id="rId484" Type="http://schemas.openxmlformats.org/officeDocument/2006/relationships/oleObject" Target="embeddings/oleObject248.bin"/><Relationship Id="rId483" Type="http://schemas.openxmlformats.org/officeDocument/2006/relationships/image" Target="media/image226.wmf"/><Relationship Id="rId482" Type="http://schemas.openxmlformats.org/officeDocument/2006/relationships/oleObject" Target="embeddings/oleObject247.bin"/><Relationship Id="rId481" Type="http://schemas.openxmlformats.org/officeDocument/2006/relationships/image" Target="media/image225.wmf"/><Relationship Id="rId480" Type="http://schemas.openxmlformats.org/officeDocument/2006/relationships/oleObject" Target="embeddings/oleObject246.bin"/><Relationship Id="rId48" Type="http://schemas.openxmlformats.org/officeDocument/2006/relationships/oleObject" Target="embeddings/oleObject20.bin"/><Relationship Id="rId479" Type="http://schemas.openxmlformats.org/officeDocument/2006/relationships/image" Target="media/image224.wmf"/><Relationship Id="rId478" Type="http://schemas.openxmlformats.org/officeDocument/2006/relationships/oleObject" Target="embeddings/oleObject245.bin"/><Relationship Id="rId477" Type="http://schemas.openxmlformats.org/officeDocument/2006/relationships/image" Target="media/image223.wmf"/><Relationship Id="rId476" Type="http://schemas.openxmlformats.org/officeDocument/2006/relationships/oleObject" Target="embeddings/oleObject244.bin"/><Relationship Id="rId475" Type="http://schemas.openxmlformats.org/officeDocument/2006/relationships/image" Target="media/image222.wmf"/><Relationship Id="rId474" Type="http://schemas.openxmlformats.org/officeDocument/2006/relationships/oleObject" Target="embeddings/oleObject243.bin"/><Relationship Id="rId473" Type="http://schemas.openxmlformats.org/officeDocument/2006/relationships/image" Target="media/image221.wmf"/><Relationship Id="rId472" Type="http://schemas.openxmlformats.org/officeDocument/2006/relationships/oleObject" Target="embeddings/oleObject242.bin"/><Relationship Id="rId471" Type="http://schemas.openxmlformats.org/officeDocument/2006/relationships/image" Target="media/image220.emf"/><Relationship Id="rId470" Type="http://schemas.openxmlformats.org/officeDocument/2006/relationships/image" Target="media/image219.wmf"/><Relationship Id="rId47" Type="http://schemas.openxmlformats.org/officeDocument/2006/relationships/oleObject" Target="embeddings/oleObject19.bin"/><Relationship Id="rId469" Type="http://schemas.openxmlformats.org/officeDocument/2006/relationships/oleObject" Target="embeddings/oleObject241.bin"/><Relationship Id="rId468" Type="http://schemas.openxmlformats.org/officeDocument/2006/relationships/image" Target="media/image218.wmf"/><Relationship Id="rId467" Type="http://schemas.openxmlformats.org/officeDocument/2006/relationships/oleObject" Target="embeddings/oleObject240.bin"/><Relationship Id="rId466" Type="http://schemas.openxmlformats.org/officeDocument/2006/relationships/image" Target="media/image217.wmf"/><Relationship Id="rId465" Type="http://schemas.openxmlformats.org/officeDocument/2006/relationships/oleObject" Target="embeddings/oleObject239.bin"/><Relationship Id="rId464" Type="http://schemas.openxmlformats.org/officeDocument/2006/relationships/image" Target="media/image216.wmf"/><Relationship Id="rId463" Type="http://schemas.openxmlformats.org/officeDocument/2006/relationships/oleObject" Target="embeddings/oleObject238.bin"/><Relationship Id="rId462" Type="http://schemas.openxmlformats.org/officeDocument/2006/relationships/image" Target="media/image215.wmf"/><Relationship Id="rId461" Type="http://schemas.openxmlformats.org/officeDocument/2006/relationships/oleObject" Target="embeddings/oleObject237.bin"/><Relationship Id="rId460" Type="http://schemas.openxmlformats.org/officeDocument/2006/relationships/image" Target="media/image214.emf"/><Relationship Id="rId46" Type="http://schemas.openxmlformats.org/officeDocument/2006/relationships/image" Target="media/image18.wmf"/><Relationship Id="rId459" Type="http://schemas.openxmlformats.org/officeDocument/2006/relationships/image" Target="media/image213.wmf"/><Relationship Id="rId458" Type="http://schemas.openxmlformats.org/officeDocument/2006/relationships/oleObject" Target="embeddings/oleObject236.bin"/><Relationship Id="rId457" Type="http://schemas.openxmlformats.org/officeDocument/2006/relationships/oleObject" Target="embeddings/oleObject235.bin"/><Relationship Id="rId456" Type="http://schemas.openxmlformats.org/officeDocument/2006/relationships/image" Target="media/image212.wmf"/><Relationship Id="rId455" Type="http://schemas.openxmlformats.org/officeDocument/2006/relationships/oleObject" Target="embeddings/oleObject234.bin"/><Relationship Id="rId454" Type="http://schemas.openxmlformats.org/officeDocument/2006/relationships/oleObject" Target="embeddings/oleObject233.bin"/><Relationship Id="rId453" Type="http://schemas.openxmlformats.org/officeDocument/2006/relationships/image" Target="media/image211.wmf"/><Relationship Id="rId452" Type="http://schemas.openxmlformats.org/officeDocument/2006/relationships/oleObject" Target="embeddings/oleObject232.bin"/><Relationship Id="rId451" Type="http://schemas.openxmlformats.org/officeDocument/2006/relationships/image" Target="media/image210.emf"/><Relationship Id="rId450" Type="http://schemas.openxmlformats.org/officeDocument/2006/relationships/image" Target="media/image209.wmf"/><Relationship Id="rId45" Type="http://schemas.openxmlformats.org/officeDocument/2006/relationships/oleObject" Target="embeddings/oleObject18.bin"/><Relationship Id="rId449" Type="http://schemas.openxmlformats.org/officeDocument/2006/relationships/oleObject" Target="embeddings/oleObject231.bin"/><Relationship Id="rId448" Type="http://schemas.openxmlformats.org/officeDocument/2006/relationships/image" Target="media/image208.emf"/><Relationship Id="rId447" Type="http://schemas.openxmlformats.org/officeDocument/2006/relationships/image" Target="media/image207.wmf"/><Relationship Id="rId446" Type="http://schemas.openxmlformats.org/officeDocument/2006/relationships/oleObject" Target="embeddings/oleObject230.bin"/><Relationship Id="rId445" Type="http://schemas.openxmlformats.org/officeDocument/2006/relationships/image" Target="media/image206.wmf"/><Relationship Id="rId444" Type="http://schemas.openxmlformats.org/officeDocument/2006/relationships/oleObject" Target="embeddings/oleObject229.bin"/><Relationship Id="rId443" Type="http://schemas.openxmlformats.org/officeDocument/2006/relationships/image" Target="media/image205.wmf"/><Relationship Id="rId442" Type="http://schemas.openxmlformats.org/officeDocument/2006/relationships/oleObject" Target="embeddings/oleObject228.bin"/><Relationship Id="rId441" Type="http://schemas.openxmlformats.org/officeDocument/2006/relationships/image" Target="media/image204.wmf"/><Relationship Id="rId440" Type="http://schemas.openxmlformats.org/officeDocument/2006/relationships/oleObject" Target="embeddings/oleObject227.bin"/><Relationship Id="rId44" Type="http://schemas.openxmlformats.org/officeDocument/2006/relationships/image" Target="media/image17.wmf"/><Relationship Id="rId439" Type="http://schemas.openxmlformats.org/officeDocument/2006/relationships/image" Target="media/image203.wmf"/><Relationship Id="rId438" Type="http://schemas.openxmlformats.org/officeDocument/2006/relationships/oleObject" Target="embeddings/oleObject226.bin"/><Relationship Id="rId437" Type="http://schemas.openxmlformats.org/officeDocument/2006/relationships/image" Target="media/image202.wmf"/><Relationship Id="rId436" Type="http://schemas.openxmlformats.org/officeDocument/2006/relationships/oleObject" Target="embeddings/oleObject225.bin"/><Relationship Id="rId435" Type="http://schemas.openxmlformats.org/officeDocument/2006/relationships/image" Target="media/image201.wmf"/><Relationship Id="rId434" Type="http://schemas.openxmlformats.org/officeDocument/2006/relationships/oleObject" Target="embeddings/oleObject224.bin"/><Relationship Id="rId433" Type="http://schemas.openxmlformats.org/officeDocument/2006/relationships/image" Target="media/image200.wmf"/><Relationship Id="rId432" Type="http://schemas.openxmlformats.org/officeDocument/2006/relationships/oleObject" Target="embeddings/oleObject223.bin"/><Relationship Id="rId431" Type="http://schemas.openxmlformats.org/officeDocument/2006/relationships/image" Target="media/image199.wmf"/><Relationship Id="rId430" Type="http://schemas.openxmlformats.org/officeDocument/2006/relationships/oleObject" Target="embeddings/oleObject222.bin"/><Relationship Id="rId43" Type="http://schemas.openxmlformats.org/officeDocument/2006/relationships/oleObject" Target="embeddings/oleObject17.bin"/><Relationship Id="rId429" Type="http://schemas.openxmlformats.org/officeDocument/2006/relationships/oleObject" Target="embeddings/oleObject221.bin"/><Relationship Id="rId428" Type="http://schemas.openxmlformats.org/officeDocument/2006/relationships/oleObject" Target="embeddings/oleObject220.bin"/><Relationship Id="rId427" Type="http://schemas.openxmlformats.org/officeDocument/2006/relationships/oleObject" Target="embeddings/oleObject219.bin"/><Relationship Id="rId426" Type="http://schemas.openxmlformats.org/officeDocument/2006/relationships/image" Target="media/image198.wmf"/><Relationship Id="rId425" Type="http://schemas.openxmlformats.org/officeDocument/2006/relationships/oleObject" Target="embeddings/oleObject218.bin"/><Relationship Id="rId424" Type="http://schemas.openxmlformats.org/officeDocument/2006/relationships/image" Target="media/image197.wmf"/><Relationship Id="rId423" Type="http://schemas.openxmlformats.org/officeDocument/2006/relationships/oleObject" Target="embeddings/oleObject217.bin"/><Relationship Id="rId422" Type="http://schemas.openxmlformats.org/officeDocument/2006/relationships/image" Target="media/image196.wmf"/><Relationship Id="rId421" Type="http://schemas.openxmlformats.org/officeDocument/2006/relationships/oleObject" Target="embeddings/oleObject216.bin"/><Relationship Id="rId420" Type="http://schemas.openxmlformats.org/officeDocument/2006/relationships/image" Target="media/image195.wmf"/><Relationship Id="rId42" Type="http://schemas.openxmlformats.org/officeDocument/2006/relationships/image" Target="media/image16.wmf"/><Relationship Id="rId419" Type="http://schemas.openxmlformats.org/officeDocument/2006/relationships/oleObject" Target="embeddings/oleObject215.bin"/><Relationship Id="rId418" Type="http://schemas.openxmlformats.org/officeDocument/2006/relationships/image" Target="media/image194.wmf"/><Relationship Id="rId417" Type="http://schemas.openxmlformats.org/officeDocument/2006/relationships/oleObject" Target="embeddings/oleObject214.bin"/><Relationship Id="rId416" Type="http://schemas.openxmlformats.org/officeDocument/2006/relationships/image" Target="media/image193.wmf"/><Relationship Id="rId415" Type="http://schemas.openxmlformats.org/officeDocument/2006/relationships/oleObject" Target="embeddings/oleObject213.bin"/><Relationship Id="rId414" Type="http://schemas.openxmlformats.org/officeDocument/2006/relationships/image" Target="media/image192.wmf"/><Relationship Id="rId413" Type="http://schemas.openxmlformats.org/officeDocument/2006/relationships/oleObject" Target="embeddings/oleObject212.bin"/><Relationship Id="rId412" Type="http://schemas.openxmlformats.org/officeDocument/2006/relationships/image" Target="media/image191.wmf"/><Relationship Id="rId411" Type="http://schemas.openxmlformats.org/officeDocument/2006/relationships/oleObject" Target="embeddings/oleObject211.bin"/><Relationship Id="rId410" Type="http://schemas.openxmlformats.org/officeDocument/2006/relationships/image" Target="media/image190.wmf"/><Relationship Id="rId41" Type="http://schemas.openxmlformats.org/officeDocument/2006/relationships/oleObject" Target="embeddings/oleObject16.bin"/><Relationship Id="rId409" Type="http://schemas.openxmlformats.org/officeDocument/2006/relationships/oleObject" Target="embeddings/oleObject210.bin"/><Relationship Id="rId408" Type="http://schemas.openxmlformats.org/officeDocument/2006/relationships/image" Target="media/image189.wmf"/><Relationship Id="rId407" Type="http://schemas.openxmlformats.org/officeDocument/2006/relationships/oleObject" Target="embeddings/oleObject209.bin"/><Relationship Id="rId406" Type="http://schemas.openxmlformats.org/officeDocument/2006/relationships/image" Target="media/image188.wmf"/><Relationship Id="rId405" Type="http://schemas.openxmlformats.org/officeDocument/2006/relationships/oleObject" Target="embeddings/oleObject208.bin"/><Relationship Id="rId404" Type="http://schemas.openxmlformats.org/officeDocument/2006/relationships/image" Target="media/image187.wmf"/><Relationship Id="rId403" Type="http://schemas.openxmlformats.org/officeDocument/2006/relationships/oleObject" Target="embeddings/oleObject207.bin"/><Relationship Id="rId402" Type="http://schemas.openxmlformats.org/officeDocument/2006/relationships/image" Target="media/image186.wmf"/><Relationship Id="rId401" Type="http://schemas.openxmlformats.org/officeDocument/2006/relationships/oleObject" Target="embeddings/oleObject206.bin"/><Relationship Id="rId400" Type="http://schemas.openxmlformats.org/officeDocument/2006/relationships/image" Target="media/image185.wmf"/><Relationship Id="rId40" Type="http://schemas.openxmlformats.org/officeDocument/2006/relationships/image" Target="media/image15.wmf"/><Relationship Id="rId4" Type="http://schemas.openxmlformats.org/officeDocument/2006/relationships/footer" Target="footer1.xml"/><Relationship Id="rId399" Type="http://schemas.openxmlformats.org/officeDocument/2006/relationships/oleObject" Target="embeddings/oleObject205.bin"/><Relationship Id="rId398" Type="http://schemas.openxmlformats.org/officeDocument/2006/relationships/image" Target="media/image184.wmf"/><Relationship Id="rId397" Type="http://schemas.openxmlformats.org/officeDocument/2006/relationships/oleObject" Target="embeddings/oleObject204.bin"/><Relationship Id="rId396" Type="http://schemas.openxmlformats.org/officeDocument/2006/relationships/image" Target="media/image183.wmf"/><Relationship Id="rId395" Type="http://schemas.openxmlformats.org/officeDocument/2006/relationships/oleObject" Target="embeddings/oleObject203.bin"/><Relationship Id="rId394" Type="http://schemas.openxmlformats.org/officeDocument/2006/relationships/image" Target="media/image182.wmf"/><Relationship Id="rId393" Type="http://schemas.openxmlformats.org/officeDocument/2006/relationships/oleObject" Target="embeddings/oleObject202.bin"/><Relationship Id="rId392" Type="http://schemas.openxmlformats.org/officeDocument/2006/relationships/image" Target="media/image181.wmf"/><Relationship Id="rId391" Type="http://schemas.openxmlformats.org/officeDocument/2006/relationships/oleObject" Target="embeddings/oleObject201.bin"/><Relationship Id="rId390" Type="http://schemas.openxmlformats.org/officeDocument/2006/relationships/image" Target="media/image180.wmf"/><Relationship Id="rId39" Type="http://schemas.openxmlformats.org/officeDocument/2006/relationships/oleObject" Target="embeddings/oleObject15.bin"/><Relationship Id="rId389" Type="http://schemas.openxmlformats.org/officeDocument/2006/relationships/oleObject" Target="embeddings/oleObject200.bin"/><Relationship Id="rId388" Type="http://schemas.openxmlformats.org/officeDocument/2006/relationships/image" Target="media/image179.wmf"/><Relationship Id="rId387" Type="http://schemas.openxmlformats.org/officeDocument/2006/relationships/oleObject" Target="embeddings/oleObject199.bin"/><Relationship Id="rId386" Type="http://schemas.openxmlformats.org/officeDocument/2006/relationships/image" Target="media/image178.wmf"/><Relationship Id="rId385" Type="http://schemas.openxmlformats.org/officeDocument/2006/relationships/oleObject" Target="embeddings/oleObject198.bin"/><Relationship Id="rId384" Type="http://schemas.openxmlformats.org/officeDocument/2006/relationships/image" Target="media/image177.wmf"/><Relationship Id="rId383" Type="http://schemas.openxmlformats.org/officeDocument/2006/relationships/oleObject" Target="embeddings/oleObject197.bin"/><Relationship Id="rId382" Type="http://schemas.openxmlformats.org/officeDocument/2006/relationships/image" Target="media/image176.wmf"/><Relationship Id="rId381" Type="http://schemas.openxmlformats.org/officeDocument/2006/relationships/oleObject" Target="embeddings/oleObject196.bin"/><Relationship Id="rId380" Type="http://schemas.openxmlformats.org/officeDocument/2006/relationships/image" Target="media/image175.wmf"/><Relationship Id="rId38" Type="http://schemas.openxmlformats.org/officeDocument/2006/relationships/image" Target="media/image14.wmf"/><Relationship Id="rId379" Type="http://schemas.openxmlformats.org/officeDocument/2006/relationships/oleObject" Target="embeddings/oleObject195.bin"/><Relationship Id="rId378" Type="http://schemas.openxmlformats.org/officeDocument/2006/relationships/image" Target="media/image174.wmf"/><Relationship Id="rId377" Type="http://schemas.openxmlformats.org/officeDocument/2006/relationships/oleObject" Target="embeddings/oleObject194.bin"/><Relationship Id="rId376" Type="http://schemas.openxmlformats.org/officeDocument/2006/relationships/oleObject" Target="embeddings/oleObject193.bin"/><Relationship Id="rId375" Type="http://schemas.openxmlformats.org/officeDocument/2006/relationships/image" Target="media/image173.wmf"/><Relationship Id="rId374" Type="http://schemas.openxmlformats.org/officeDocument/2006/relationships/oleObject" Target="embeddings/oleObject192.bin"/><Relationship Id="rId373" Type="http://schemas.openxmlformats.org/officeDocument/2006/relationships/image" Target="media/image172.wmf"/><Relationship Id="rId372" Type="http://schemas.openxmlformats.org/officeDocument/2006/relationships/oleObject" Target="embeddings/oleObject191.bin"/><Relationship Id="rId371" Type="http://schemas.openxmlformats.org/officeDocument/2006/relationships/oleObject" Target="embeddings/oleObject190.bin"/><Relationship Id="rId370" Type="http://schemas.openxmlformats.org/officeDocument/2006/relationships/oleObject" Target="embeddings/oleObject189.bin"/><Relationship Id="rId37" Type="http://schemas.openxmlformats.org/officeDocument/2006/relationships/oleObject" Target="embeddings/oleObject14.bin"/><Relationship Id="rId369" Type="http://schemas.openxmlformats.org/officeDocument/2006/relationships/image" Target="media/image171.wmf"/><Relationship Id="rId368" Type="http://schemas.openxmlformats.org/officeDocument/2006/relationships/oleObject" Target="embeddings/oleObject188.bin"/><Relationship Id="rId367" Type="http://schemas.openxmlformats.org/officeDocument/2006/relationships/image" Target="media/image170.wmf"/><Relationship Id="rId366" Type="http://schemas.openxmlformats.org/officeDocument/2006/relationships/oleObject" Target="embeddings/oleObject187.bin"/><Relationship Id="rId365" Type="http://schemas.openxmlformats.org/officeDocument/2006/relationships/image" Target="media/image169.wmf"/><Relationship Id="rId364" Type="http://schemas.openxmlformats.org/officeDocument/2006/relationships/oleObject" Target="embeddings/oleObject186.bin"/><Relationship Id="rId363" Type="http://schemas.openxmlformats.org/officeDocument/2006/relationships/image" Target="media/image168.wmf"/><Relationship Id="rId362" Type="http://schemas.openxmlformats.org/officeDocument/2006/relationships/oleObject" Target="embeddings/oleObject185.bin"/><Relationship Id="rId361" Type="http://schemas.openxmlformats.org/officeDocument/2006/relationships/image" Target="media/image167.wmf"/><Relationship Id="rId360" Type="http://schemas.openxmlformats.org/officeDocument/2006/relationships/oleObject" Target="embeddings/oleObject184.bin"/><Relationship Id="rId36" Type="http://schemas.openxmlformats.org/officeDocument/2006/relationships/image" Target="media/image13.wmf"/><Relationship Id="rId359" Type="http://schemas.openxmlformats.org/officeDocument/2006/relationships/image" Target="media/image166.wmf"/><Relationship Id="rId358" Type="http://schemas.openxmlformats.org/officeDocument/2006/relationships/oleObject" Target="embeddings/oleObject183.bin"/><Relationship Id="rId357" Type="http://schemas.openxmlformats.org/officeDocument/2006/relationships/image" Target="media/image165.wmf"/><Relationship Id="rId356" Type="http://schemas.openxmlformats.org/officeDocument/2006/relationships/oleObject" Target="embeddings/oleObject182.bin"/><Relationship Id="rId355" Type="http://schemas.openxmlformats.org/officeDocument/2006/relationships/image" Target="media/image164.wmf"/><Relationship Id="rId354" Type="http://schemas.openxmlformats.org/officeDocument/2006/relationships/oleObject" Target="embeddings/oleObject181.bin"/><Relationship Id="rId353" Type="http://schemas.openxmlformats.org/officeDocument/2006/relationships/image" Target="media/image163.wmf"/><Relationship Id="rId352" Type="http://schemas.openxmlformats.org/officeDocument/2006/relationships/oleObject" Target="embeddings/oleObject180.bin"/><Relationship Id="rId351" Type="http://schemas.openxmlformats.org/officeDocument/2006/relationships/image" Target="media/image162.wmf"/><Relationship Id="rId350" Type="http://schemas.openxmlformats.org/officeDocument/2006/relationships/oleObject" Target="embeddings/oleObject179.bin"/><Relationship Id="rId35" Type="http://schemas.openxmlformats.org/officeDocument/2006/relationships/oleObject" Target="embeddings/oleObject13.bin"/><Relationship Id="rId349" Type="http://schemas.openxmlformats.org/officeDocument/2006/relationships/image" Target="media/image161.wmf"/><Relationship Id="rId348" Type="http://schemas.openxmlformats.org/officeDocument/2006/relationships/oleObject" Target="embeddings/oleObject178.bin"/><Relationship Id="rId347" Type="http://schemas.openxmlformats.org/officeDocument/2006/relationships/image" Target="media/image160.wmf"/><Relationship Id="rId346" Type="http://schemas.openxmlformats.org/officeDocument/2006/relationships/oleObject" Target="embeddings/oleObject177.bin"/><Relationship Id="rId345" Type="http://schemas.openxmlformats.org/officeDocument/2006/relationships/image" Target="media/image159.wmf"/><Relationship Id="rId344" Type="http://schemas.openxmlformats.org/officeDocument/2006/relationships/oleObject" Target="embeddings/oleObject176.bin"/><Relationship Id="rId343" Type="http://schemas.openxmlformats.org/officeDocument/2006/relationships/image" Target="media/image158.wmf"/><Relationship Id="rId342" Type="http://schemas.openxmlformats.org/officeDocument/2006/relationships/oleObject" Target="embeddings/oleObject175.bin"/><Relationship Id="rId341" Type="http://schemas.openxmlformats.org/officeDocument/2006/relationships/image" Target="media/image157.wmf"/><Relationship Id="rId340" Type="http://schemas.openxmlformats.org/officeDocument/2006/relationships/oleObject" Target="embeddings/oleObject174.bin"/><Relationship Id="rId34" Type="http://schemas.openxmlformats.org/officeDocument/2006/relationships/image" Target="media/image12.wmf"/><Relationship Id="rId339" Type="http://schemas.openxmlformats.org/officeDocument/2006/relationships/image" Target="media/image156.wmf"/><Relationship Id="rId338" Type="http://schemas.openxmlformats.org/officeDocument/2006/relationships/oleObject" Target="embeddings/oleObject173.bin"/><Relationship Id="rId337" Type="http://schemas.openxmlformats.org/officeDocument/2006/relationships/image" Target="media/image155.wmf"/><Relationship Id="rId336" Type="http://schemas.openxmlformats.org/officeDocument/2006/relationships/oleObject" Target="embeddings/oleObject172.bin"/><Relationship Id="rId335" Type="http://schemas.openxmlformats.org/officeDocument/2006/relationships/image" Target="media/image154.wmf"/><Relationship Id="rId334" Type="http://schemas.openxmlformats.org/officeDocument/2006/relationships/oleObject" Target="embeddings/oleObject171.bin"/><Relationship Id="rId333" Type="http://schemas.openxmlformats.org/officeDocument/2006/relationships/image" Target="media/image153.wmf"/><Relationship Id="rId332" Type="http://schemas.openxmlformats.org/officeDocument/2006/relationships/oleObject" Target="embeddings/oleObject170.bin"/><Relationship Id="rId331" Type="http://schemas.openxmlformats.org/officeDocument/2006/relationships/image" Target="media/image152.wmf"/><Relationship Id="rId330" Type="http://schemas.openxmlformats.org/officeDocument/2006/relationships/oleObject" Target="embeddings/oleObject169.bin"/><Relationship Id="rId33" Type="http://schemas.openxmlformats.org/officeDocument/2006/relationships/oleObject" Target="embeddings/oleObject12.bin"/><Relationship Id="rId329" Type="http://schemas.openxmlformats.org/officeDocument/2006/relationships/image" Target="media/image151.wmf"/><Relationship Id="rId328" Type="http://schemas.openxmlformats.org/officeDocument/2006/relationships/oleObject" Target="embeddings/oleObject168.bin"/><Relationship Id="rId327" Type="http://schemas.openxmlformats.org/officeDocument/2006/relationships/oleObject" Target="embeddings/oleObject167.bin"/><Relationship Id="rId326" Type="http://schemas.openxmlformats.org/officeDocument/2006/relationships/image" Target="media/image150.wmf"/><Relationship Id="rId325" Type="http://schemas.openxmlformats.org/officeDocument/2006/relationships/oleObject" Target="embeddings/oleObject166.bin"/><Relationship Id="rId324" Type="http://schemas.openxmlformats.org/officeDocument/2006/relationships/oleObject" Target="embeddings/oleObject165.bin"/><Relationship Id="rId323" Type="http://schemas.openxmlformats.org/officeDocument/2006/relationships/image" Target="media/image149.wmf"/><Relationship Id="rId322" Type="http://schemas.openxmlformats.org/officeDocument/2006/relationships/oleObject" Target="embeddings/oleObject164.bin"/><Relationship Id="rId321" Type="http://schemas.openxmlformats.org/officeDocument/2006/relationships/image" Target="media/image148.wmf"/><Relationship Id="rId320" Type="http://schemas.openxmlformats.org/officeDocument/2006/relationships/oleObject" Target="embeddings/oleObject163.bin"/><Relationship Id="rId32" Type="http://schemas.openxmlformats.org/officeDocument/2006/relationships/image" Target="media/image11.wmf"/><Relationship Id="rId319" Type="http://schemas.openxmlformats.org/officeDocument/2006/relationships/image" Target="media/image147.wmf"/><Relationship Id="rId318" Type="http://schemas.openxmlformats.org/officeDocument/2006/relationships/oleObject" Target="embeddings/oleObject162.bin"/><Relationship Id="rId317" Type="http://schemas.openxmlformats.org/officeDocument/2006/relationships/oleObject" Target="embeddings/oleObject161.bin"/><Relationship Id="rId316" Type="http://schemas.openxmlformats.org/officeDocument/2006/relationships/image" Target="media/image146.wmf"/><Relationship Id="rId315" Type="http://schemas.openxmlformats.org/officeDocument/2006/relationships/oleObject" Target="embeddings/oleObject160.bin"/><Relationship Id="rId314" Type="http://schemas.openxmlformats.org/officeDocument/2006/relationships/image" Target="media/image145.wmf"/><Relationship Id="rId313" Type="http://schemas.openxmlformats.org/officeDocument/2006/relationships/oleObject" Target="embeddings/oleObject159.bin"/><Relationship Id="rId312" Type="http://schemas.openxmlformats.org/officeDocument/2006/relationships/oleObject" Target="embeddings/oleObject158.bin"/><Relationship Id="rId311" Type="http://schemas.openxmlformats.org/officeDocument/2006/relationships/oleObject" Target="embeddings/oleObject157.bin"/><Relationship Id="rId310" Type="http://schemas.openxmlformats.org/officeDocument/2006/relationships/image" Target="media/image144.wmf"/><Relationship Id="rId31" Type="http://schemas.openxmlformats.org/officeDocument/2006/relationships/oleObject" Target="embeddings/oleObject11.bin"/><Relationship Id="rId309" Type="http://schemas.openxmlformats.org/officeDocument/2006/relationships/oleObject" Target="embeddings/oleObject156.bin"/><Relationship Id="rId308" Type="http://schemas.openxmlformats.org/officeDocument/2006/relationships/oleObject" Target="embeddings/oleObject155.bin"/><Relationship Id="rId307" Type="http://schemas.openxmlformats.org/officeDocument/2006/relationships/image" Target="media/image143.wmf"/><Relationship Id="rId306" Type="http://schemas.openxmlformats.org/officeDocument/2006/relationships/oleObject" Target="embeddings/oleObject154.bin"/><Relationship Id="rId305" Type="http://schemas.openxmlformats.org/officeDocument/2006/relationships/image" Target="media/image142.wmf"/><Relationship Id="rId304" Type="http://schemas.openxmlformats.org/officeDocument/2006/relationships/oleObject" Target="embeddings/oleObject153.bin"/><Relationship Id="rId303" Type="http://schemas.openxmlformats.org/officeDocument/2006/relationships/image" Target="media/image141.wmf"/><Relationship Id="rId302" Type="http://schemas.openxmlformats.org/officeDocument/2006/relationships/oleObject" Target="embeddings/oleObject152.bin"/><Relationship Id="rId301" Type="http://schemas.openxmlformats.org/officeDocument/2006/relationships/image" Target="media/image140.wmf"/><Relationship Id="rId300" Type="http://schemas.openxmlformats.org/officeDocument/2006/relationships/oleObject" Target="embeddings/oleObject151.bin"/><Relationship Id="rId30" Type="http://schemas.openxmlformats.org/officeDocument/2006/relationships/image" Target="media/image10.wmf"/><Relationship Id="rId3" Type="http://schemas.openxmlformats.org/officeDocument/2006/relationships/header" Target="header1.xml"/><Relationship Id="rId299" Type="http://schemas.openxmlformats.org/officeDocument/2006/relationships/image" Target="media/image139.wmf"/><Relationship Id="rId298" Type="http://schemas.openxmlformats.org/officeDocument/2006/relationships/oleObject" Target="embeddings/oleObject150.bin"/><Relationship Id="rId297" Type="http://schemas.openxmlformats.org/officeDocument/2006/relationships/image" Target="media/image138.wmf"/><Relationship Id="rId296" Type="http://schemas.openxmlformats.org/officeDocument/2006/relationships/oleObject" Target="embeddings/oleObject149.bin"/><Relationship Id="rId295" Type="http://schemas.openxmlformats.org/officeDocument/2006/relationships/image" Target="media/image137.wmf"/><Relationship Id="rId294" Type="http://schemas.openxmlformats.org/officeDocument/2006/relationships/oleObject" Target="embeddings/oleObject148.bin"/><Relationship Id="rId293" Type="http://schemas.openxmlformats.org/officeDocument/2006/relationships/image" Target="media/image136.wmf"/><Relationship Id="rId292" Type="http://schemas.openxmlformats.org/officeDocument/2006/relationships/oleObject" Target="embeddings/oleObject147.bin"/><Relationship Id="rId291" Type="http://schemas.openxmlformats.org/officeDocument/2006/relationships/image" Target="media/image135.wmf"/><Relationship Id="rId290" Type="http://schemas.openxmlformats.org/officeDocument/2006/relationships/oleObject" Target="embeddings/oleObject146.bin"/><Relationship Id="rId29" Type="http://schemas.openxmlformats.org/officeDocument/2006/relationships/oleObject" Target="embeddings/oleObject10.bin"/><Relationship Id="rId289" Type="http://schemas.openxmlformats.org/officeDocument/2006/relationships/image" Target="media/image134.wmf"/><Relationship Id="rId288" Type="http://schemas.openxmlformats.org/officeDocument/2006/relationships/oleObject" Target="embeddings/oleObject145.bin"/><Relationship Id="rId287" Type="http://schemas.openxmlformats.org/officeDocument/2006/relationships/image" Target="media/image133.wmf"/><Relationship Id="rId286" Type="http://schemas.openxmlformats.org/officeDocument/2006/relationships/oleObject" Target="embeddings/oleObject144.bin"/><Relationship Id="rId285" Type="http://schemas.openxmlformats.org/officeDocument/2006/relationships/image" Target="media/image132.wmf"/><Relationship Id="rId284" Type="http://schemas.openxmlformats.org/officeDocument/2006/relationships/oleObject" Target="embeddings/oleObject143.bin"/><Relationship Id="rId283" Type="http://schemas.openxmlformats.org/officeDocument/2006/relationships/image" Target="media/image131.wmf"/><Relationship Id="rId282" Type="http://schemas.openxmlformats.org/officeDocument/2006/relationships/oleObject" Target="embeddings/oleObject142.bin"/><Relationship Id="rId281" Type="http://schemas.openxmlformats.org/officeDocument/2006/relationships/image" Target="media/image130.wmf"/><Relationship Id="rId280" Type="http://schemas.openxmlformats.org/officeDocument/2006/relationships/oleObject" Target="embeddings/oleObject141.bin"/><Relationship Id="rId28" Type="http://schemas.openxmlformats.org/officeDocument/2006/relationships/image" Target="media/image9.wmf"/><Relationship Id="rId279" Type="http://schemas.openxmlformats.org/officeDocument/2006/relationships/image" Target="media/image129.wmf"/><Relationship Id="rId278" Type="http://schemas.openxmlformats.org/officeDocument/2006/relationships/oleObject" Target="embeddings/oleObject140.bin"/><Relationship Id="rId277" Type="http://schemas.openxmlformats.org/officeDocument/2006/relationships/image" Target="media/image128.wmf"/><Relationship Id="rId276" Type="http://schemas.openxmlformats.org/officeDocument/2006/relationships/oleObject" Target="embeddings/oleObject139.bin"/><Relationship Id="rId275" Type="http://schemas.openxmlformats.org/officeDocument/2006/relationships/image" Target="media/image127.wmf"/><Relationship Id="rId274" Type="http://schemas.openxmlformats.org/officeDocument/2006/relationships/oleObject" Target="embeddings/oleObject138.bin"/><Relationship Id="rId273" Type="http://schemas.openxmlformats.org/officeDocument/2006/relationships/oleObject" Target="embeddings/oleObject137.bin"/><Relationship Id="rId272" Type="http://schemas.openxmlformats.org/officeDocument/2006/relationships/image" Target="media/image126.wmf"/><Relationship Id="rId271" Type="http://schemas.openxmlformats.org/officeDocument/2006/relationships/oleObject" Target="embeddings/oleObject136.bin"/><Relationship Id="rId270" Type="http://schemas.openxmlformats.org/officeDocument/2006/relationships/image" Target="media/image125.wmf"/><Relationship Id="rId27" Type="http://schemas.openxmlformats.org/officeDocument/2006/relationships/oleObject" Target="embeddings/oleObject9.bin"/><Relationship Id="rId269" Type="http://schemas.openxmlformats.org/officeDocument/2006/relationships/oleObject" Target="embeddings/oleObject135.bin"/><Relationship Id="rId268" Type="http://schemas.openxmlformats.org/officeDocument/2006/relationships/image" Target="media/image124.wmf"/><Relationship Id="rId267" Type="http://schemas.openxmlformats.org/officeDocument/2006/relationships/oleObject" Target="embeddings/oleObject134.bin"/><Relationship Id="rId266" Type="http://schemas.openxmlformats.org/officeDocument/2006/relationships/image" Target="media/image123.wmf"/><Relationship Id="rId265" Type="http://schemas.openxmlformats.org/officeDocument/2006/relationships/oleObject" Target="embeddings/oleObject133.bin"/><Relationship Id="rId264" Type="http://schemas.openxmlformats.org/officeDocument/2006/relationships/image" Target="media/image122.wmf"/><Relationship Id="rId263" Type="http://schemas.openxmlformats.org/officeDocument/2006/relationships/oleObject" Target="embeddings/oleObject132.bin"/><Relationship Id="rId262" Type="http://schemas.openxmlformats.org/officeDocument/2006/relationships/image" Target="media/image121.wmf"/><Relationship Id="rId261" Type="http://schemas.openxmlformats.org/officeDocument/2006/relationships/oleObject" Target="embeddings/oleObject131.bin"/><Relationship Id="rId260" Type="http://schemas.openxmlformats.org/officeDocument/2006/relationships/image" Target="media/image120.wmf"/><Relationship Id="rId26" Type="http://schemas.openxmlformats.org/officeDocument/2006/relationships/image" Target="media/image8.wmf"/><Relationship Id="rId259" Type="http://schemas.openxmlformats.org/officeDocument/2006/relationships/oleObject" Target="embeddings/oleObject130.bin"/><Relationship Id="rId258" Type="http://schemas.openxmlformats.org/officeDocument/2006/relationships/image" Target="media/image119.wmf"/><Relationship Id="rId257" Type="http://schemas.openxmlformats.org/officeDocument/2006/relationships/oleObject" Target="embeddings/oleObject129.bin"/><Relationship Id="rId256" Type="http://schemas.openxmlformats.org/officeDocument/2006/relationships/image" Target="media/image118.wmf"/><Relationship Id="rId255" Type="http://schemas.openxmlformats.org/officeDocument/2006/relationships/oleObject" Target="embeddings/oleObject128.bin"/><Relationship Id="rId254" Type="http://schemas.openxmlformats.org/officeDocument/2006/relationships/image" Target="media/image117.wmf"/><Relationship Id="rId253" Type="http://schemas.openxmlformats.org/officeDocument/2006/relationships/oleObject" Target="embeddings/oleObject127.bin"/><Relationship Id="rId252" Type="http://schemas.openxmlformats.org/officeDocument/2006/relationships/image" Target="media/image116.wmf"/><Relationship Id="rId251" Type="http://schemas.openxmlformats.org/officeDocument/2006/relationships/oleObject" Target="embeddings/oleObject126.bin"/><Relationship Id="rId250" Type="http://schemas.openxmlformats.org/officeDocument/2006/relationships/image" Target="media/image115.wmf"/><Relationship Id="rId25" Type="http://schemas.openxmlformats.org/officeDocument/2006/relationships/oleObject" Target="embeddings/oleObject8.bin"/><Relationship Id="rId249" Type="http://schemas.openxmlformats.org/officeDocument/2006/relationships/oleObject" Target="embeddings/oleObject125.bin"/><Relationship Id="rId248" Type="http://schemas.openxmlformats.org/officeDocument/2006/relationships/image" Target="media/image114.wmf"/><Relationship Id="rId247" Type="http://schemas.openxmlformats.org/officeDocument/2006/relationships/oleObject" Target="embeddings/oleObject124.bin"/><Relationship Id="rId246" Type="http://schemas.openxmlformats.org/officeDocument/2006/relationships/image" Target="media/image113.wmf"/><Relationship Id="rId245" Type="http://schemas.openxmlformats.org/officeDocument/2006/relationships/oleObject" Target="embeddings/oleObject123.bin"/><Relationship Id="rId244" Type="http://schemas.openxmlformats.org/officeDocument/2006/relationships/image" Target="media/image112.wmf"/><Relationship Id="rId243" Type="http://schemas.openxmlformats.org/officeDocument/2006/relationships/oleObject" Target="embeddings/oleObject122.bin"/><Relationship Id="rId242" Type="http://schemas.openxmlformats.org/officeDocument/2006/relationships/image" Target="media/image111.wmf"/><Relationship Id="rId241" Type="http://schemas.openxmlformats.org/officeDocument/2006/relationships/oleObject" Target="embeddings/oleObject121.bin"/><Relationship Id="rId240" Type="http://schemas.openxmlformats.org/officeDocument/2006/relationships/image" Target="media/image110.wmf"/><Relationship Id="rId24" Type="http://schemas.openxmlformats.org/officeDocument/2006/relationships/image" Target="media/image7.wmf"/><Relationship Id="rId239" Type="http://schemas.openxmlformats.org/officeDocument/2006/relationships/oleObject" Target="embeddings/oleObject120.bin"/><Relationship Id="rId238" Type="http://schemas.openxmlformats.org/officeDocument/2006/relationships/image" Target="media/image109.wmf"/><Relationship Id="rId237" Type="http://schemas.openxmlformats.org/officeDocument/2006/relationships/oleObject" Target="embeddings/oleObject119.bin"/><Relationship Id="rId236" Type="http://schemas.openxmlformats.org/officeDocument/2006/relationships/image" Target="media/image108.wmf"/><Relationship Id="rId235" Type="http://schemas.openxmlformats.org/officeDocument/2006/relationships/oleObject" Target="embeddings/oleObject118.bin"/><Relationship Id="rId234" Type="http://schemas.openxmlformats.org/officeDocument/2006/relationships/image" Target="media/image107.wmf"/><Relationship Id="rId233" Type="http://schemas.openxmlformats.org/officeDocument/2006/relationships/oleObject" Target="embeddings/oleObject117.bin"/><Relationship Id="rId232" Type="http://schemas.openxmlformats.org/officeDocument/2006/relationships/image" Target="media/image106.wmf"/><Relationship Id="rId231" Type="http://schemas.openxmlformats.org/officeDocument/2006/relationships/oleObject" Target="embeddings/oleObject116.bin"/><Relationship Id="rId230" Type="http://schemas.openxmlformats.org/officeDocument/2006/relationships/image" Target="media/image105.wmf"/><Relationship Id="rId23" Type="http://schemas.openxmlformats.org/officeDocument/2006/relationships/oleObject" Target="embeddings/oleObject7.bin"/><Relationship Id="rId229" Type="http://schemas.openxmlformats.org/officeDocument/2006/relationships/oleObject" Target="embeddings/oleObject115.bin"/><Relationship Id="rId228" Type="http://schemas.openxmlformats.org/officeDocument/2006/relationships/image" Target="media/image104.wmf"/><Relationship Id="rId227" Type="http://schemas.openxmlformats.org/officeDocument/2006/relationships/oleObject" Target="embeddings/oleObject114.bin"/><Relationship Id="rId226" Type="http://schemas.openxmlformats.org/officeDocument/2006/relationships/image" Target="media/image103.wmf"/><Relationship Id="rId225" Type="http://schemas.openxmlformats.org/officeDocument/2006/relationships/oleObject" Target="embeddings/oleObject113.bin"/><Relationship Id="rId224" Type="http://schemas.openxmlformats.org/officeDocument/2006/relationships/image" Target="media/image102.wmf"/><Relationship Id="rId223" Type="http://schemas.openxmlformats.org/officeDocument/2006/relationships/oleObject" Target="embeddings/oleObject112.bin"/><Relationship Id="rId222" Type="http://schemas.openxmlformats.org/officeDocument/2006/relationships/image" Target="media/image101.wmf"/><Relationship Id="rId221" Type="http://schemas.openxmlformats.org/officeDocument/2006/relationships/oleObject" Target="embeddings/oleObject111.bin"/><Relationship Id="rId220" Type="http://schemas.openxmlformats.org/officeDocument/2006/relationships/oleObject" Target="embeddings/oleObject110.bin"/><Relationship Id="rId22" Type="http://schemas.openxmlformats.org/officeDocument/2006/relationships/image" Target="media/image6.wmf"/><Relationship Id="rId219" Type="http://schemas.openxmlformats.org/officeDocument/2006/relationships/image" Target="media/image100.wmf"/><Relationship Id="rId218" Type="http://schemas.openxmlformats.org/officeDocument/2006/relationships/oleObject" Target="embeddings/oleObject109.bin"/><Relationship Id="rId217" Type="http://schemas.openxmlformats.org/officeDocument/2006/relationships/oleObject" Target="embeddings/oleObject108.bin"/><Relationship Id="rId216" Type="http://schemas.openxmlformats.org/officeDocument/2006/relationships/image" Target="media/image99.wmf"/><Relationship Id="rId215" Type="http://schemas.openxmlformats.org/officeDocument/2006/relationships/oleObject" Target="embeddings/oleObject107.bin"/><Relationship Id="rId214" Type="http://schemas.openxmlformats.org/officeDocument/2006/relationships/image" Target="media/image98.wmf"/><Relationship Id="rId213" Type="http://schemas.openxmlformats.org/officeDocument/2006/relationships/oleObject" Target="embeddings/oleObject106.bin"/><Relationship Id="rId212" Type="http://schemas.openxmlformats.org/officeDocument/2006/relationships/image" Target="media/image97.wmf"/><Relationship Id="rId211" Type="http://schemas.openxmlformats.org/officeDocument/2006/relationships/oleObject" Target="embeddings/oleObject105.bin"/><Relationship Id="rId210" Type="http://schemas.openxmlformats.org/officeDocument/2006/relationships/image" Target="media/image96.wmf"/><Relationship Id="rId21" Type="http://schemas.openxmlformats.org/officeDocument/2006/relationships/oleObject" Target="embeddings/oleObject6.bin"/><Relationship Id="rId209" Type="http://schemas.openxmlformats.org/officeDocument/2006/relationships/oleObject" Target="embeddings/oleObject104.bin"/><Relationship Id="rId208" Type="http://schemas.openxmlformats.org/officeDocument/2006/relationships/image" Target="media/image95.wmf"/><Relationship Id="rId207" Type="http://schemas.openxmlformats.org/officeDocument/2006/relationships/oleObject" Target="embeddings/oleObject103.bin"/><Relationship Id="rId206" Type="http://schemas.openxmlformats.org/officeDocument/2006/relationships/image" Target="media/image94.wmf"/><Relationship Id="rId205" Type="http://schemas.openxmlformats.org/officeDocument/2006/relationships/oleObject" Target="embeddings/oleObject102.bin"/><Relationship Id="rId204" Type="http://schemas.openxmlformats.org/officeDocument/2006/relationships/image" Target="media/image93.wmf"/><Relationship Id="rId203" Type="http://schemas.openxmlformats.org/officeDocument/2006/relationships/oleObject" Target="embeddings/oleObject101.bin"/><Relationship Id="rId202" Type="http://schemas.openxmlformats.org/officeDocument/2006/relationships/image" Target="media/image92.wmf"/><Relationship Id="rId201" Type="http://schemas.openxmlformats.org/officeDocument/2006/relationships/oleObject" Target="embeddings/oleObject100.bin"/><Relationship Id="rId200" Type="http://schemas.openxmlformats.org/officeDocument/2006/relationships/image" Target="media/image91.wmf"/><Relationship Id="rId20" Type="http://schemas.openxmlformats.org/officeDocument/2006/relationships/image" Target="media/image5.wmf"/><Relationship Id="rId2" Type="http://schemas.openxmlformats.org/officeDocument/2006/relationships/settings" Target="settings.xml"/><Relationship Id="rId199" Type="http://schemas.openxmlformats.org/officeDocument/2006/relationships/oleObject" Target="embeddings/oleObject99.bin"/><Relationship Id="rId198" Type="http://schemas.openxmlformats.org/officeDocument/2006/relationships/image" Target="media/image90.wmf"/><Relationship Id="rId197" Type="http://schemas.openxmlformats.org/officeDocument/2006/relationships/oleObject" Target="embeddings/oleObject98.bin"/><Relationship Id="rId196" Type="http://schemas.openxmlformats.org/officeDocument/2006/relationships/image" Target="media/image89.emf"/><Relationship Id="rId195" Type="http://schemas.openxmlformats.org/officeDocument/2006/relationships/image" Target="media/image88.wmf"/><Relationship Id="rId194" Type="http://schemas.openxmlformats.org/officeDocument/2006/relationships/oleObject" Target="embeddings/oleObject97.bin"/><Relationship Id="rId193" Type="http://schemas.openxmlformats.org/officeDocument/2006/relationships/image" Target="media/image87.wmf"/><Relationship Id="rId192" Type="http://schemas.openxmlformats.org/officeDocument/2006/relationships/oleObject" Target="embeddings/oleObject96.bin"/><Relationship Id="rId191" Type="http://schemas.openxmlformats.org/officeDocument/2006/relationships/image" Target="media/image86.wmf"/><Relationship Id="rId190" Type="http://schemas.openxmlformats.org/officeDocument/2006/relationships/oleObject" Target="embeddings/oleObject95.bin"/><Relationship Id="rId19" Type="http://schemas.openxmlformats.org/officeDocument/2006/relationships/oleObject" Target="embeddings/oleObject5.bin"/><Relationship Id="rId189" Type="http://schemas.openxmlformats.org/officeDocument/2006/relationships/image" Target="media/image85.wmf"/><Relationship Id="rId188" Type="http://schemas.openxmlformats.org/officeDocument/2006/relationships/oleObject" Target="embeddings/oleObject94.bin"/><Relationship Id="rId187" Type="http://schemas.openxmlformats.org/officeDocument/2006/relationships/image" Target="media/image84.wmf"/><Relationship Id="rId186" Type="http://schemas.openxmlformats.org/officeDocument/2006/relationships/oleObject" Target="embeddings/oleObject93.bin"/><Relationship Id="rId185" Type="http://schemas.openxmlformats.org/officeDocument/2006/relationships/image" Target="media/image83.wmf"/><Relationship Id="rId184" Type="http://schemas.openxmlformats.org/officeDocument/2006/relationships/oleObject" Target="embeddings/oleObject92.bin"/><Relationship Id="rId183" Type="http://schemas.openxmlformats.org/officeDocument/2006/relationships/image" Target="media/image82.wmf"/><Relationship Id="rId182" Type="http://schemas.openxmlformats.org/officeDocument/2006/relationships/oleObject" Target="embeddings/oleObject91.bin"/><Relationship Id="rId181" Type="http://schemas.openxmlformats.org/officeDocument/2006/relationships/image" Target="media/image81.wmf"/><Relationship Id="rId180" Type="http://schemas.openxmlformats.org/officeDocument/2006/relationships/oleObject" Target="embeddings/oleObject90.bin"/><Relationship Id="rId18" Type="http://schemas.openxmlformats.org/officeDocument/2006/relationships/image" Target="media/image4.wmf"/><Relationship Id="rId179" Type="http://schemas.openxmlformats.org/officeDocument/2006/relationships/image" Target="media/image80.wmf"/><Relationship Id="rId178" Type="http://schemas.openxmlformats.org/officeDocument/2006/relationships/oleObject" Target="embeddings/oleObject89.bin"/><Relationship Id="rId177" Type="http://schemas.openxmlformats.org/officeDocument/2006/relationships/image" Target="media/image79.wmf"/><Relationship Id="rId176" Type="http://schemas.openxmlformats.org/officeDocument/2006/relationships/oleObject" Target="embeddings/oleObject88.bin"/><Relationship Id="rId175" Type="http://schemas.openxmlformats.org/officeDocument/2006/relationships/image" Target="media/image78.wmf"/><Relationship Id="rId174" Type="http://schemas.openxmlformats.org/officeDocument/2006/relationships/oleObject" Target="embeddings/oleObject87.bin"/><Relationship Id="rId173" Type="http://schemas.openxmlformats.org/officeDocument/2006/relationships/image" Target="media/image77.wmf"/><Relationship Id="rId172" Type="http://schemas.openxmlformats.org/officeDocument/2006/relationships/oleObject" Target="embeddings/oleObject86.bin"/><Relationship Id="rId171" Type="http://schemas.openxmlformats.org/officeDocument/2006/relationships/image" Target="media/image76.wmf"/><Relationship Id="rId170" Type="http://schemas.openxmlformats.org/officeDocument/2006/relationships/oleObject" Target="embeddings/oleObject85.bin"/><Relationship Id="rId17" Type="http://schemas.openxmlformats.org/officeDocument/2006/relationships/oleObject" Target="embeddings/oleObject4.bin"/><Relationship Id="rId169" Type="http://schemas.openxmlformats.org/officeDocument/2006/relationships/image" Target="media/image75.wmf"/><Relationship Id="rId1689" Type="http://schemas.openxmlformats.org/officeDocument/2006/relationships/fontTable" Target="fontTable.xml"/><Relationship Id="rId1688" Type="http://schemas.openxmlformats.org/officeDocument/2006/relationships/numbering" Target="numbering.xml"/><Relationship Id="rId1687" Type="http://schemas.openxmlformats.org/officeDocument/2006/relationships/customXml" Target="../customXml/item1.xml"/><Relationship Id="rId1686" Type="http://schemas.openxmlformats.org/officeDocument/2006/relationships/image" Target="media/image802.wmf"/><Relationship Id="rId1685" Type="http://schemas.openxmlformats.org/officeDocument/2006/relationships/oleObject" Target="embeddings/oleObject874.bin"/><Relationship Id="rId1684" Type="http://schemas.openxmlformats.org/officeDocument/2006/relationships/oleObject" Target="embeddings/oleObject873.bin"/><Relationship Id="rId1683" Type="http://schemas.openxmlformats.org/officeDocument/2006/relationships/oleObject" Target="embeddings/oleObject872.bin"/><Relationship Id="rId1682" Type="http://schemas.openxmlformats.org/officeDocument/2006/relationships/image" Target="media/image801.wmf"/><Relationship Id="rId1681" Type="http://schemas.openxmlformats.org/officeDocument/2006/relationships/oleObject" Target="embeddings/oleObject871.bin"/><Relationship Id="rId1680" Type="http://schemas.openxmlformats.org/officeDocument/2006/relationships/image" Target="media/image800.emf"/><Relationship Id="rId168" Type="http://schemas.openxmlformats.org/officeDocument/2006/relationships/oleObject" Target="embeddings/oleObject84.bin"/><Relationship Id="rId1679" Type="http://schemas.openxmlformats.org/officeDocument/2006/relationships/image" Target="media/image799.emf"/><Relationship Id="rId1678" Type="http://schemas.openxmlformats.org/officeDocument/2006/relationships/image" Target="media/image798.emf"/><Relationship Id="rId1677" Type="http://schemas.openxmlformats.org/officeDocument/2006/relationships/image" Target="media/image797.wmf"/><Relationship Id="rId1676" Type="http://schemas.openxmlformats.org/officeDocument/2006/relationships/oleObject" Target="embeddings/oleObject870.bin"/><Relationship Id="rId1675" Type="http://schemas.openxmlformats.org/officeDocument/2006/relationships/oleObject" Target="embeddings/oleObject869.bin"/><Relationship Id="rId1674" Type="http://schemas.openxmlformats.org/officeDocument/2006/relationships/oleObject" Target="embeddings/oleObject868.bin"/><Relationship Id="rId1673" Type="http://schemas.openxmlformats.org/officeDocument/2006/relationships/image" Target="media/image796.wmf"/><Relationship Id="rId1672" Type="http://schemas.openxmlformats.org/officeDocument/2006/relationships/oleObject" Target="embeddings/oleObject867.bin"/><Relationship Id="rId1671" Type="http://schemas.openxmlformats.org/officeDocument/2006/relationships/image" Target="media/image795.wmf"/><Relationship Id="rId1670" Type="http://schemas.openxmlformats.org/officeDocument/2006/relationships/oleObject" Target="embeddings/oleObject866.bin"/><Relationship Id="rId167" Type="http://schemas.openxmlformats.org/officeDocument/2006/relationships/image" Target="media/image74.wmf"/><Relationship Id="rId1669" Type="http://schemas.openxmlformats.org/officeDocument/2006/relationships/image" Target="media/image794.wmf"/><Relationship Id="rId1668" Type="http://schemas.openxmlformats.org/officeDocument/2006/relationships/oleObject" Target="embeddings/oleObject865.bin"/><Relationship Id="rId1667" Type="http://schemas.openxmlformats.org/officeDocument/2006/relationships/image" Target="media/image793.wmf"/><Relationship Id="rId1666" Type="http://schemas.openxmlformats.org/officeDocument/2006/relationships/oleObject" Target="embeddings/oleObject864.bin"/><Relationship Id="rId1665" Type="http://schemas.openxmlformats.org/officeDocument/2006/relationships/image" Target="media/image792.wmf"/><Relationship Id="rId1664" Type="http://schemas.openxmlformats.org/officeDocument/2006/relationships/oleObject" Target="embeddings/oleObject863.bin"/><Relationship Id="rId1663" Type="http://schemas.openxmlformats.org/officeDocument/2006/relationships/image" Target="media/image791.emf"/><Relationship Id="rId1662" Type="http://schemas.openxmlformats.org/officeDocument/2006/relationships/image" Target="media/image790.emf"/><Relationship Id="rId1661" Type="http://schemas.openxmlformats.org/officeDocument/2006/relationships/image" Target="media/image789.wmf"/><Relationship Id="rId1660" Type="http://schemas.openxmlformats.org/officeDocument/2006/relationships/oleObject" Target="embeddings/oleObject862.bin"/><Relationship Id="rId166" Type="http://schemas.openxmlformats.org/officeDocument/2006/relationships/oleObject" Target="embeddings/oleObject83.bin"/><Relationship Id="rId1659" Type="http://schemas.openxmlformats.org/officeDocument/2006/relationships/image" Target="media/image788.wmf"/><Relationship Id="rId1658" Type="http://schemas.openxmlformats.org/officeDocument/2006/relationships/oleObject" Target="embeddings/oleObject861.bin"/><Relationship Id="rId1657" Type="http://schemas.openxmlformats.org/officeDocument/2006/relationships/oleObject" Target="embeddings/oleObject860.bin"/><Relationship Id="rId1656" Type="http://schemas.openxmlformats.org/officeDocument/2006/relationships/image" Target="media/image787.wmf"/><Relationship Id="rId1655" Type="http://schemas.openxmlformats.org/officeDocument/2006/relationships/oleObject" Target="embeddings/oleObject859.bin"/><Relationship Id="rId1654" Type="http://schemas.openxmlformats.org/officeDocument/2006/relationships/image" Target="media/image786.wmf"/><Relationship Id="rId1653" Type="http://schemas.openxmlformats.org/officeDocument/2006/relationships/oleObject" Target="embeddings/oleObject858.bin"/><Relationship Id="rId1652" Type="http://schemas.openxmlformats.org/officeDocument/2006/relationships/oleObject" Target="embeddings/oleObject857.bin"/><Relationship Id="rId1651" Type="http://schemas.openxmlformats.org/officeDocument/2006/relationships/image" Target="media/image785.wmf"/><Relationship Id="rId1650" Type="http://schemas.openxmlformats.org/officeDocument/2006/relationships/oleObject" Target="embeddings/oleObject856.bin"/><Relationship Id="rId165" Type="http://schemas.openxmlformats.org/officeDocument/2006/relationships/image" Target="media/image73.wmf"/><Relationship Id="rId1649" Type="http://schemas.openxmlformats.org/officeDocument/2006/relationships/oleObject" Target="embeddings/oleObject855.bin"/><Relationship Id="rId1648" Type="http://schemas.openxmlformats.org/officeDocument/2006/relationships/oleObject" Target="embeddings/oleObject854.bin"/><Relationship Id="rId1647" Type="http://schemas.openxmlformats.org/officeDocument/2006/relationships/image" Target="media/image784.wmf"/><Relationship Id="rId1646" Type="http://schemas.openxmlformats.org/officeDocument/2006/relationships/oleObject" Target="embeddings/oleObject853.bin"/><Relationship Id="rId1645" Type="http://schemas.openxmlformats.org/officeDocument/2006/relationships/image" Target="media/image783.wmf"/><Relationship Id="rId1644" Type="http://schemas.openxmlformats.org/officeDocument/2006/relationships/oleObject" Target="embeddings/oleObject852.bin"/><Relationship Id="rId1643" Type="http://schemas.openxmlformats.org/officeDocument/2006/relationships/oleObject" Target="embeddings/oleObject851.bin"/><Relationship Id="rId1642" Type="http://schemas.openxmlformats.org/officeDocument/2006/relationships/oleObject" Target="embeddings/oleObject850.bin"/><Relationship Id="rId1641" Type="http://schemas.openxmlformats.org/officeDocument/2006/relationships/image" Target="media/image782.wmf"/><Relationship Id="rId1640" Type="http://schemas.openxmlformats.org/officeDocument/2006/relationships/oleObject" Target="embeddings/oleObject849.bin"/><Relationship Id="rId164" Type="http://schemas.openxmlformats.org/officeDocument/2006/relationships/oleObject" Target="embeddings/oleObject82.bin"/><Relationship Id="rId1639" Type="http://schemas.openxmlformats.org/officeDocument/2006/relationships/oleObject" Target="embeddings/oleObject848.bin"/><Relationship Id="rId1638" Type="http://schemas.openxmlformats.org/officeDocument/2006/relationships/oleObject" Target="embeddings/oleObject847.bin"/><Relationship Id="rId1637" Type="http://schemas.openxmlformats.org/officeDocument/2006/relationships/oleObject" Target="embeddings/oleObject846.bin"/><Relationship Id="rId1636" Type="http://schemas.openxmlformats.org/officeDocument/2006/relationships/oleObject" Target="embeddings/oleObject845.bin"/><Relationship Id="rId1635" Type="http://schemas.openxmlformats.org/officeDocument/2006/relationships/oleObject" Target="embeddings/oleObject844.bin"/><Relationship Id="rId1634" Type="http://schemas.openxmlformats.org/officeDocument/2006/relationships/oleObject" Target="embeddings/oleObject843.bin"/><Relationship Id="rId1633" Type="http://schemas.openxmlformats.org/officeDocument/2006/relationships/oleObject" Target="embeddings/oleObject842.bin"/><Relationship Id="rId1632" Type="http://schemas.openxmlformats.org/officeDocument/2006/relationships/image" Target="media/image781.wmf"/><Relationship Id="rId1631" Type="http://schemas.openxmlformats.org/officeDocument/2006/relationships/oleObject" Target="embeddings/oleObject841.bin"/><Relationship Id="rId1630" Type="http://schemas.openxmlformats.org/officeDocument/2006/relationships/image" Target="media/image780.wmf"/><Relationship Id="rId163" Type="http://schemas.openxmlformats.org/officeDocument/2006/relationships/image" Target="media/image72.wmf"/><Relationship Id="rId1629" Type="http://schemas.openxmlformats.org/officeDocument/2006/relationships/oleObject" Target="embeddings/oleObject840.bin"/><Relationship Id="rId1628" Type="http://schemas.openxmlformats.org/officeDocument/2006/relationships/image" Target="media/image779.wmf"/><Relationship Id="rId1627" Type="http://schemas.openxmlformats.org/officeDocument/2006/relationships/oleObject" Target="embeddings/oleObject839.bin"/><Relationship Id="rId1626" Type="http://schemas.openxmlformats.org/officeDocument/2006/relationships/image" Target="media/image778.wmf"/><Relationship Id="rId1625" Type="http://schemas.openxmlformats.org/officeDocument/2006/relationships/oleObject" Target="embeddings/oleObject838.bin"/><Relationship Id="rId1624" Type="http://schemas.openxmlformats.org/officeDocument/2006/relationships/oleObject" Target="embeddings/oleObject837.bin"/><Relationship Id="rId1623" Type="http://schemas.openxmlformats.org/officeDocument/2006/relationships/oleObject" Target="embeddings/oleObject836.bin"/><Relationship Id="rId1622" Type="http://schemas.openxmlformats.org/officeDocument/2006/relationships/image" Target="media/image777.wmf"/><Relationship Id="rId1621" Type="http://schemas.openxmlformats.org/officeDocument/2006/relationships/oleObject" Target="embeddings/oleObject835.bin"/><Relationship Id="rId1620" Type="http://schemas.openxmlformats.org/officeDocument/2006/relationships/oleObject" Target="embeddings/oleObject834.bin"/><Relationship Id="rId162" Type="http://schemas.openxmlformats.org/officeDocument/2006/relationships/oleObject" Target="embeddings/oleObject81.bin"/><Relationship Id="rId1619" Type="http://schemas.openxmlformats.org/officeDocument/2006/relationships/image" Target="media/image776.wmf"/><Relationship Id="rId1618" Type="http://schemas.openxmlformats.org/officeDocument/2006/relationships/oleObject" Target="embeddings/oleObject833.bin"/><Relationship Id="rId1617" Type="http://schemas.openxmlformats.org/officeDocument/2006/relationships/image" Target="media/image775.wmf"/><Relationship Id="rId1616" Type="http://schemas.openxmlformats.org/officeDocument/2006/relationships/oleObject" Target="embeddings/oleObject832.bin"/><Relationship Id="rId1615" Type="http://schemas.openxmlformats.org/officeDocument/2006/relationships/image" Target="media/image774.wmf"/><Relationship Id="rId1614" Type="http://schemas.openxmlformats.org/officeDocument/2006/relationships/oleObject" Target="embeddings/oleObject831.bin"/><Relationship Id="rId1613" Type="http://schemas.openxmlformats.org/officeDocument/2006/relationships/image" Target="media/image773.wmf"/><Relationship Id="rId1612" Type="http://schemas.openxmlformats.org/officeDocument/2006/relationships/oleObject" Target="embeddings/oleObject830.bin"/><Relationship Id="rId1611" Type="http://schemas.openxmlformats.org/officeDocument/2006/relationships/image" Target="media/image772.wmf"/><Relationship Id="rId1610" Type="http://schemas.openxmlformats.org/officeDocument/2006/relationships/oleObject" Target="embeddings/oleObject829.bin"/><Relationship Id="rId161" Type="http://schemas.openxmlformats.org/officeDocument/2006/relationships/image" Target="media/image71.wmf"/><Relationship Id="rId1609" Type="http://schemas.openxmlformats.org/officeDocument/2006/relationships/image" Target="media/image771.wmf"/><Relationship Id="rId1608" Type="http://schemas.openxmlformats.org/officeDocument/2006/relationships/oleObject" Target="embeddings/oleObject828.bin"/><Relationship Id="rId1607" Type="http://schemas.openxmlformats.org/officeDocument/2006/relationships/image" Target="media/image770.wmf"/><Relationship Id="rId1606" Type="http://schemas.openxmlformats.org/officeDocument/2006/relationships/oleObject" Target="embeddings/oleObject827.bin"/><Relationship Id="rId1605" Type="http://schemas.openxmlformats.org/officeDocument/2006/relationships/image" Target="media/image769.wmf"/><Relationship Id="rId1604" Type="http://schemas.openxmlformats.org/officeDocument/2006/relationships/oleObject" Target="embeddings/oleObject826.bin"/><Relationship Id="rId1603" Type="http://schemas.openxmlformats.org/officeDocument/2006/relationships/image" Target="media/image768.wmf"/><Relationship Id="rId1602" Type="http://schemas.openxmlformats.org/officeDocument/2006/relationships/oleObject" Target="embeddings/oleObject825.bin"/><Relationship Id="rId1601" Type="http://schemas.openxmlformats.org/officeDocument/2006/relationships/image" Target="media/image767.wmf"/><Relationship Id="rId1600" Type="http://schemas.openxmlformats.org/officeDocument/2006/relationships/oleObject" Target="embeddings/oleObject824.bin"/><Relationship Id="rId160" Type="http://schemas.openxmlformats.org/officeDocument/2006/relationships/oleObject" Target="embeddings/oleObject80.bin"/><Relationship Id="rId16" Type="http://schemas.openxmlformats.org/officeDocument/2006/relationships/image" Target="media/image3.wmf"/><Relationship Id="rId1599" Type="http://schemas.openxmlformats.org/officeDocument/2006/relationships/image" Target="media/image766.wmf"/><Relationship Id="rId1598" Type="http://schemas.openxmlformats.org/officeDocument/2006/relationships/oleObject" Target="embeddings/oleObject823.bin"/><Relationship Id="rId1597" Type="http://schemas.openxmlformats.org/officeDocument/2006/relationships/oleObject" Target="embeddings/oleObject822.bin"/><Relationship Id="rId1596" Type="http://schemas.openxmlformats.org/officeDocument/2006/relationships/image" Target="media/image765.wmf"/><Relationship Id="rId1595" Type="http://schemas.openxmlformats.org/officeDocument/2006/relationships/oleObject" Target="embeddings/oleObject821.bin"/><Relationship Id="rId1594" Type="http://schemas.openxmlformats.org/officeDocument/2006/relationships/image" Target="media/image764.wmf"/><Relationship Id="rId1593" Type="http://schemas.openxmlformats.org/officeDocument/2006/relationships/oleObject" Target="embeddings/oleObject820.bin"/><Relationship Id="rId1592" Type="http://schemas.openxmlformats.org/officeDocument/2006/relationships/oleObject" Target="embeddings/oleObject819.bin"/><Relationship Id="rId1591" Type="http://schemas.openxmlformats.org/officeDocument/2006/relationships/oleObject" Target="embeddings/oleObject818.bin"/><Relationship Id="rId1590" Type="http://schemas.openxmlformats.org/officeDocument/2006/relationships/image" Target="media/image763.wmf"/><Relationship Id="rId159" Type="http://schemas.openxmlformats.org/officeDocument/2006/relationships/image" Target="media/image70.wmf"/><Relationship Id="rId1589" Type="http://schemas.openxmlformats.org/officeDocument/2006/relationships/oleObject" Target="embeddings/oleObject817.bin"/><Relationship Id="rId1588" Type="http://schemas.openxmlformats.org/officeDocument/2006/relationships/oleObject" Target="embeddings/oleObject816.bin"/><Relationship Id="rId1587" Type="http://schemas.openxmlformats.org/officeDocument/2006/relationships/oleObject" Target="embeddings/oleObject815.bin"/><Relationship Id="rId1586" Type="http://schemas.openxmlformats.org/officeDocument/2006/relationships/oleObject" Target="embeddings/oleObject814.bin"/><Relationship Id="rId1585" Type="http://schemas.openxmlformats.org/officeDocument/2006/relationships/oleObject" Target="embeddings/oleObject813.bin"/><Relationship Id="rId1584" Type="http://schemas.openxmlformats.org/officeDocument/2006/relationships/oleObject" Target="embeddings/oleObject812.bin"/><Relationship Id="rId1583" Type="http://schemas.openxmlformats.org/officeDocument/2006/relationships/oleObject" Target="embeddings/oleObject811.bin"/><Relationship Id="rId1582" Type="http://schemas.openxmlformats.org/officeDocument/2006/relationships/oleObject" Target="embeddings/oleObject810.bin"/><Relationship Id="rId1581" Type="http://schemas.openxmlformats.org/officeDocument/2006/relationships/image" Target="media/image762.wmf"/><Relationship Id="rId1580" Type="http://schemas.openxmlformats.org/officeDocument/2006/relationships/oleObject" Target="embeddings/oleObject809.bin"/><Relationship Id="rId158" Type="http://schemas.openxmlformats.org/officeDocument/2006/relationships/oleObject" Target="embeddings/oleObject79.bin"/><Relationship Id="rId1579" Type="http://schemas.openxmlformats.org/officeDocument/2006/relationships/image" Target="media/image761.wmf"/><Relationship Id="rId1578" Type="http://schemas.openxmlformats.org/officeDocument/2006/relationships/oleObject" Target="embeddings/oleObject808.bin"/><Relationship Id="rId1577" Type="http://schemas.openxmlformats.org/officeDocument/2006/relationships/image" Target="media/image760.wmf"/><Relationship Id="rId1576" Type="http://schemas.openxmlformats.org/officeDocument/2006/relationships/oleObject" Target="embeddings/oleObject807.bin"/><Relationship Id="rId1575" Type="http://schemas.openxmlformats.org/officeDocument/2006/relationships/image" Target="media/image759.wmf"/><Relationship Id="rId1574" Type="http://schemas.openxmlformats.org/officeDocument/2006/relationships/oleObject" Target="embeddings/oleObject806.bin"/><Relationship Id="rId1573" Type="http://schemas.openxmlformats.org/officeDocument/2006/relationships/image" Target="media/image758.wmf"/><Relationship Id="rId1572" Type="http://schemas.openxmlformats.org/officeDocument/2006/relationships/oleObject" Target="embeddings/oleObject805.bin"/><Relationship Id="rId1571" Type="http://schemas.openxmlformats.org/officeDocument/2006/relationships/image" Target="media/image757.wmf"/><Relationship Id="rId1570" Type="http://schemas.openxmlformats.org/officeDocument/2006/relationships/oleObject" Target="embeddings/oleObject804.bin"/><Relationship Id="rId157" Type="http://schemas.openxmlformats.org/officeDocument/2006/relationships/image" Target="media/image69.wmf"/><Relationship Id="rId1569" Type="http://schemas.openxmlformats.org/officeDocument/2006/relationships/image" Target="media/image756.wmf"/><Relationship Id="rId1568" Type="http://schemas.openxmlformats.org/officeDocument/2006/relationships/oleObject" Target="embeddings/oleObject803.bin"/><Relationship Id="rId1567" Type="http://schemas.openxmlformats.org/officeDocument/2006/relationships/image" Target="media/image755.wmf"/><Relationship Id="rId1566" Type="http://schemas.openxmlformats.org/officeDocument/2006/relationships/oleObject" Target="embeddings/oleObject802.bin"/><Relationship Id="rId1565" Type="http://schemas.openxmlformats.org/officeDocument/2006/relationships/image" Target="media/image754.wmf"/><Relationship Id="rId1564" Type="http://schemas.openxmlformats.org/officeDocument/2006/relationships/oleObject" Target="embeddings/oleObject801.bin"/><Relationship Id="rId1563" Type="http://schemas.openxmlformats.org/officeDocument/2006/relationships/image" Target="media/image753.wmf"/><Relationship Id="rId1562" Type="http://schemas.openxmlformats.org/officeDocument/2006/relationships/oleObject" Target="embeddings/oleObject800.bin"/><Relationship Id="rId1561" Type="http://schemas.openxmlformats.org/officeDocument/2006/relationships/image" Target="media/image752.wmf"/><Relationship Id="rId1560" Type="http://schemas.openxmlformats.org/officeDocument/2006/relationships/oleObject" Target="embeddings/oleObject799.bin"/><Relationship Id="rId156" Type="http://schemas.openxmlformats.org/officeDocument/2006/relationships/oleObject" Target="embeddings/oleObject78.bin"/><Relationship Id="rId1559" Type="http://schemas.openxmlformats.org/officeDocument/2006/relationships/image" Target="media/image751.wmf"/><Relationship Id="rId1558" Type="http://schemas.openxmlformats.org/officeDocument/2006/relationships/oleObject" Target="embeddings/oleObject798.bin"/><Relationship Id="rId1557" Type="http://schemas.openxmlformats.org/officeDocument/2006/relationships/image" Target="media/image750.wmf"/><Relationship Id="rId1556" Type="http://schemas.openxmlformats.org/officeDocument/2006/relationships/oleObject" Target="embeddings/oleObject797.bin"/><Relationship Id="rId1555" Type="http://schemas.openxmlformats.org/officeDocument/2006/relationships/image" Target="media/image749.wmf"/><Relationship Id="rId1554" Type="http://schemas.openxmlformats.org/officeDocument/2006/relationships/oleObject" Target="embeddings/oleObject796.bin"/><Relationship Id="rId1553" Type="http://schemas.openxmlformats.org/officeDocument/2006/relationships/image" Target="media/image748.wmf"/><Relationship Id="rId1552" Type="http://schemas.openxmlformats.org/officeDocument/2006/relationships/oleObject" Target="embeddings/oleObject795.bin"/><Relationship Id="rId1551" Type="http://schemas.openxmlformats.org/officeDocument/2006/relationships/image" Target="media/image747.wmf"/><Relationship Id="rId1550" Type="http://schemas.openxmlformats.org/officeDocument/2006/relationships/oleObject" Target="embeddings/oleObject794.bin"/><Relationship Id="rId155" Type="http://schemas.openxmlformats.org/officeDocument/2006/relationships/image" Target="media/image68.wmf"/><Relationship Id="rId1549" Type="http://schemas.openxmlformats.org/officeDocument/2006/relationships/image" Target="media/image746.wmf"/><Relationship Id="rId1548" Type="http://schemas.openxmlformats.org/officeDocument/2006/relationships/oleObject" Target="embeddings/oleObject793.bin"/><Relationship Id="rId1547" Type="http://schemas.openxmlformats.org/officeDocument/2006/relationships/oleObject" Target="embeddings/oleObject792.bin"/><Relationship Id="rId1546" Type="http://schemas.openxmlformats.org/officeDocument/2006/relationships/image" Target="media/image745.wmf"/><Relationship Id="rId1545" Type="http://schemas.openxmlformats.org/officeDocument/2006/relationships/oleObject" Target="embeddings/oleObject791.bin"/><Relationship Id="rId1544" Type="http://schemas.openxmlformats.org/officeDocument/2006/relationships/image" Target="media/image744.wmf"/><Relationship Id="rId1543" Type="http://schemas.openxmlformats.org/officeDocument/2006/relationships/oleObject" Target="embeddings/oleObject790.bin"/><Relationship Id="rId1542" Type="http://schemas.openxmlformats.org/officeDocument/2006/relationships/image" Target="media/image743.emf"/><Relationship Id="rId1541" Type="http://schemas.openxmlformats.org/officeDocument/2006/relationships/image" Target="media/image742.emf"/><Relationship Id="rId1540" Type="http://schemas.openxmlformats.org/officeDocument/2006/relationships/image" Target="media/image741.emf"/><Relationship Id="rId154" Type="http://schemas.openxmlformats.org/officeDocument/2006/relationships/oleObject" Target="embeddings/oleObject77.bin"/><Relationship Id="rId1539" Type="http://schemas.openxmlformats.org/officeDocument/2006/relationships/image" Target="media/image740.wmf"/><Relationship Id="rId1538" Type="http://schemas.openxmlformats.org/officeDocument/2006/relationships/oleObject" Target="embeddings/oleObject789.bin"/><Relationship Id="rId1537" Type="http://schemas.openxmlformats.org/officeDocument/2006/relationships/image" Target="media/image739.wmf"/><Relationship Id="rId1536" Type="http://schemas.openxmlformats.org/officeDocument/2006/relationships/oleObject" Target="embeddings/oleObject788.bin"/><Relationship Id="rId1535" Type="http://schemas.openxmlformats.org/officeDocument/2006/relationships/image" Target="media/image738.wmf"/><Relationship Id="rId1534" Type="http://schemas.openxmlformats.org/officeDocument/2006/relationships/oleObject" Target="embeddings/oleObject787.bin"/><Relationship Id="rId1533" Type="http://schemas.openxmlformats.org/officeDocument/2006/relationships/image" Target="media/image737.wmf"/><Relationship Id="rId1532" Type="http://schemas.openxmlformats.org/officeDocument/2006/relationships/oleObject" Target="embeddings/oleObject786.bin"/><Relationship Id="rId1531" Type="http://schemas.openxmlformats.org/officeDocument/2006/relationships/image" Target="media/image736.wmf"/><Relationship Id="rId1530" Type="http://schemas.openxmlformats.org/officeDocument/2006/relationships/oleObject" Target="embeddings/oleObject785.bin"/><Relationship Id="rId153" Type="http://schemas.openxmlformats.org/officeDocument/2006/relationships/image" Target="media/image67.wmf"/><Relationship Id="rId1529" Type="http://schemas.openxmlformats.org/officeDocument/2006/relationships/image" Target="media/image735.wmf"/><Relationship Id="rId1528" Type="http://schemas.openxmlformats.org/officeDocument/2006/relationships/oleObject" Target="embeddings/oleObject784.bin"/><Relationship Id="rId1527" Type="http://schemas.openxmlformats.org/officeDocument/2006/relationships/image" Target="media/image734.wmf"/><Relationship Id="rId1526" Type="http://schemas.openxmlformats.org/officeDocument/2006/relationships/oleObject" Target="embeddings/oleObject783.bin"/><Relationship Id="rId1525" Type="http://schemas.openxmlformats.org/officeDocument/2006/relationships/image" Target="media/image733.wmf"/><Relationship Id="rId1524" Type="http://schemas.openxmlformats.org/officeDocument/2006/relationships/oleObject" Target="embeddings/oleObject782.bin"/><Relationship Id="rId1523" Type="http://schemas.openxmlformats.org/officeDocument/2006/relationships/image" Target="media/image732.wmf"/><Relationship Id="rId1522" Type="http://schemas.openxmlformats.org/officeDocument/2006/relationships/oleObject" Target="embeddings/oleObject781.bin"/><Relationship Id="rId1521" Type="http://schemas.openxmlformats.org/officeDocument/2006/relationships/image" Target="media/image731.wmf"/><Relationship Id="rId1520" Type="http://schemas.openxmlformats.org/officeDocument/2006/relationships/oleObject" Target="embeddings/oleObject780.bin"/><Relationship Id="rId152" Type="http://schemas.openxmlformats.org/officeDocument/2006/relationships/oleObject" Target="embeddings/oleObject76.bin"/><Relationship Id="rId1519" Type="http://schemas.openxmlformats.org/officeDocument/2006/relationships/image" Target="media/image730.wmf"/><Relationship Id="rId1518" Type="http://schemas.openxmlformats.org/officeDocument/2006/relationships/oleObject" Target="embeddings/oleObject779.bin"/><Relationship Id="rId1517" Type="http://schemas.openxmlformats.org/officeDocument/2006/relationships/image" Target="media/image729.wmf"/><Relationship Id="rId1516" Type="http://schemas.openxmlformats.org/officeDocument/2006/relationships/oleObject" Target="embeddings/oleObject778.bin"/><Relationship Id="rId1515" Type="http://schemas.openxmlformats.org/officeDocument/2006/relationships/image" Target="media/image728.wmf"/><Relationship Id="rId1514" Type="http://schemas.openxmlformats.org/officeDocument/2006/relationships/oleObject" Target="embeddings/oleObject777.bin"/><Relationship Id="rId1513" Type="http://schemas.openxmlformats.org/officeDocument/2006/relationships/image" Target="media/image727.wmf"/><Relationship Id="rId1512" Type="http://schemas.openxmlformats.org/officeDocument/2006/relationships/oleObject" Target="embeddings/oleObject776.bin"/><Relationship Id="rId1511" Type="http://schemas.openxmlformats.org/officeDocument/2006/relationships/image" Target="media/image726.wmf"/><Relationship Id="rId1510" Type="http://schemas.openxmlformats.org/officeDocument/2006/relationships/oleObject" Target="embeddings/oleObject775.bin"/><Relationship Id="rId151" Type="http://schemas.openxmlformats.org/officeDocument/2006/relationships/image" Target="media/image66.wmf"/><Relationship Id="rId1509" Type="http://schemas.openxmlformats.org/officeDocument/2006/relationships/image" Target="media/image725.emf"/><Relationship Id="rId1508" Type="http://schemas.openxmlformats.org/officeDocument/2006/relationships/image" Target="media/image724.png"/><Relationship Id="rId1507" Type="http://schemas.openxmlformats.org/officeDocument/2006/relationships/image" Target="media/image723.png"/><Relationship Id="rId1506" Type="http://schemas.openxmlformats.org/officeDocument/2006/relationships/image" Target="media/image722.png"/><Relationship Id="rId1505" Type="http://schemas.openxmlformats.org/officeDocument/2006/relationships/image" Target="media/image721.png"/><Relationship Id="rId1504" Type="http://schemas.openxmlformats.org/officeDocument/2006/relationships/image" Target="media/image720.png"/><Relationship Id="rId1503" Type="http://schemas.openxmlformats.org/officeDocument/2006/relationships/image" Target="media/image719.wmf"/><Relationship Id="rId1502" Type="http://schemas.openxmlformats.org/officeDocument/2006/relationships/oleObject" Target="embeddings/oleObject774.bin"/><Relationship Id="rId1501" Type="http://schemas.openxmlformats.org/officeDocument/2006/relationships/image" Target="media/image718.wmf"/><Relationship Id="rId1500" Type="http://schemas.openxmlformats.org/officeDocument/2006/relationships/oleObject" Target="embeddings/oleObject773.bin"/><Relationship Id="rId150" Type="http://schemas.openxmlformats.org/officeDocument/2006/relationships/oleObject" Target="embeddings/oleObject75.bin"/><Relationship Id="rId15" Type="http://schemas.openxmlformats.org/officeDocument/2006/relationships/oleObject" Target="embeddings/oleObject3.bin"/><Relationship Id="rId1499" Type="http://schemas.openxmlformats.org/officeDocument/2006/relationships/image" Target="media/image717.wmf"/><Relationship Id="rId1498" Type="http://schemas.openxmlformats.org/officeDocument/2006/relationships/oleObject" Target="embeddings/oleObject772.bin"/><Relationship Id="rId1497" Type="http://schemas.openxmlformats.org/officeDocument/2006/relationships/image" Target="media/image716.wmf"/><Relationship Id="rId1496" Type="http://schemas.openxmlformats.org/officeDocument/2006/relationships/oleObject" Target="embeddings/oleObject771.bin"/><Relationship Id="rId1495" Type="http://schemas.openxmlformats.org/officeDocument/2006/relationships/image" Target="media/image715.wmf"/><Relationship Id="rId1494" Type="http://schemas.openxmlformats.org/officeDocument/2006/relationships/oleObject" Target="embeddings/oleObject770.bin"/><Relationship Id="rId1493" Type="http://schemas.openxmlformats.org/officeDocument/2006/relationships/image" Target="media/image714.wmf"/><Relationship Id="rId1492" Type="http://schemas.openxmlformats.org/officeDocument/2006/relationships/oleObject" Target="embeddings/oleObject769.bin"/><Relationship Id="rId1491" Type="http://schemas.openxmlformats.org/officeDocument/2006/relationships/image" Target="media/image713.wmf"/><Relationship Id="rId1490" Type="http://schemas.openxmlformats.org/officeDocument/2006/relationships/oleObject" Target="embeddings/oleObject768.bin"/><Relationship Id="rId149" Type="http://schemas.openxmlformats.org/officeDocument/2006/relationships/image" Target="media/image65.wmf"/><Relationship Id="rId1489" Type="http://schemas.openxmlformats.org/officeDocument/2006/relationships/image" Target="media/image712.wmf"/><Relationship Id="rId1488" Type="http://schemas.openxmlformats.org/officeDocument/2006/relationships/oleObject" Target="embeddings/oleObject767.bin"/><Relationship Id="rId1487" Type="http://schemas.openxmlformats.org/officeDocument/2006/relationships/image" Target="media/image711.wmf"/><Relationship Id="rId1486" Type="http://schemas.openxmlformats.org/officeDocument/2006/relationships/oleObject" Target="embeddings/oleObject766.bin"/><Relationship Id="rId1485" Type="http://schemas.openxmlformats.org/officeDocument/2006/relationships/image" Target="media/image710.wmf"/><Relationship Id="rId1484" Type="http://schemas.openxmlformats.org/officeDocument/2006/relationships/oleObject" Target="embeddings/oleObject765.bin"/><Relationship Id="rId1483" Type="http://schemas.openxmlformats.org/officeDocument/2006/relationships/image" Target="media/image709.wmf"/><Relationship Id="rId1482" Type="http://schemas.openxmlformats.org/officeDocument/2006/relationships/oleObject" Target="embeddings/oleObject764.bin"/><Relationship Id="rId1481" Type="http://schemas.openxmlformats.org/officeDocument/2006/relationships/image" Target="media/image708.wmf"/><Relationship Id="rId1480" Type="http://schemas.openxmlformats.org/officeDocument/2006/relationships/oleObject" Target="embeddings/oleObject763.bin"/><Relationship Id="rId148" Type="http://schemas.openxmlformats.org/officeDocument/2006/relationships/oleObject" Target="embeddings/oleObject74.bin"/><Relationship Id="rId1479" Type="http://schemas.openxmlformats.org/officeDocument/2006/relationships/oleObject" Target="embeddings/oleObject762.bin"/><Relationship Id="rId1478" Type="http://schemas.openxmlformats.org/officeDocument/2006/relationships/image" Target="media/image707.wmf"/><Relationship Id="rId1477" Type="http://schemas.openxmlformats.org/officeDocument/2006/relationships/oleObject" Target="embeddings/oleObject761.bin"/><Relationship Id="rId1476" Type="http://schemas.openxmlformats.org/officeDocument/2006/relationships/image" Target="media/image706.wmf"/><Relationship Id="rId1475" Type="http://schemas.openxmlformats.org/officeDocument/2006/relationships/oleObject" Target="embeddings/oleObject760.bin"/><Relationship Id="rId1474" Type="http://schemas.openxmlformats.org/officeDocument/2006/relationships/image" Target="media/image705.wmf"/><Relationship Id="rId1473" Type="http://schemas.openxmlformats.org/officeDocument/2006/relationships/oleObject" Target="embeddings/oleObject759.bin"/><Relationship Id="rId1472" Type="http://schemas.openxmlformats.org/officeDocument/2006/relationships/image" Target="media/image704.wmf"/><Relationship Id="rId1471" Type="http://schemas.openxmlformats.org/officeDocument/2006/relationships/oleObject" Target="embeddings/oleObject758.bin"/><Relationship Id="rId1470" Type="http://schemas.openxmlformats.org/officeDocument/2006/relationships/image" Target="media/image703.wmf"/><Relationship Id="rId147" Type="http://schemas.openxmlformats.org/officeDocument/2006/relationships/image" Target="media/image64.wmf"/><Relationship Id="rId1469" Type="http://schemas.openxmlformats.org/officeDocument/2006/relationships/oleObject" Target="embeddings/oleObject757.bin"/><Relationship Id="rId1468" Type="http://schemas.openxmlformats.org/officeDocument/2006/relationships/image" Target="media/image702.wmf"/><Relationship Id="rId1467" Type="http://schemas.openxmlformats.org/officeDocument/2006/relationships/oleObject" Target="embeddings/oleObject756.bin"/><Relationship Id="rId1466" Type="http://schemas.openxmlformats.org/officeDocument/2006/relationships/image" Target="media/image701.wmf"/><Relationship Id="rId1465" Type="http://schemas.openxmlformats.org/officeDocument/2006/relationships/oleObject" Target="embeddings/oleObject755.bin"/><Relationship Id="rId1464" Type="http://schemas.openxmlformats.org/officeDocument/2006/relationships/image" Target="media/image700.wmf"/><Relationship Id="rId1463" Type="http://schemas.openxmlformats.org/officeDocument/2006/relationships/oleObject" Target="embeddings/oleObject754.bin"/><Relationship Id="rId1462" Type="http://schemas.openxmlformats.org/officeDocument/2006/relationships/image" Target="media/image699.wmf"/><Relationship Id="rId1461" Type="http://schemas.openxmlformats.org/officeDocument/2006/relationships/oleObject" Target="embeddings/oleObject753.bin"/><Relationship Id="rId1460" Type="http://schemas.openxmlformats.org/officeDocument/2006/relationships/image" Target="media/image698.wmf"/><Relationship Id="rId146" Type="http://schemas.openxmlformats.org/officeDocument/2006/relationships/oleObject" Target="embeddings/oleObject73.bin"/><Relationship Id="rId1459" Type="http://schemas.openxmlformats.org/officeDocument/2006/relationships/oleObject" Target="embeddings/oleObject752.bin"/><Relationship Id="rId1458" Type="http://schemas.openxmlformats.org/officeDocument/2006/relationships/image" Target="media/image697.wmf"/><Relationship Id="rId1457" Type="http://schemas.openxmlformats.org/officeDocument/2006/relationships/oleObject" Target="embeddings/oleObject751.bin"/><Relationship Id="rId1456" Type="http://schemas.openxmlformats.org/officeDocument/2006/relationships/image" Target="media/image696.wmf"/><Relationship Id="rId1455" Type="http://schemas.openxmlformats.org/officeDocument/2006/relationships/oleObject" Target="embeddings/oleObject750.bin"/><Relationship Id="rId1454" Type="http://schemas.openxmlformats.org/officeDocument/2006/relationships/image" Target="media/image695.wmf"/><Relationship Id="rId1453" Type="http://schemas.openxmlformats.org/officeDocument/2006/relationships/oleObject" Target="embeddings/oleObject749.bin"/><Relationship Id="rId1452" Type="http://schemas.openxmlformats.org/officeDocument/2006/relationships/image" Target="media/image694.wmf"/><Relationship Id="rId1451" Type="http://schemas.openxmlformats.org/officeDocument/2006/relationships/oleObject" Target="embeddings/oleObject748.bin"/><Relationship Id="rId1450" Type="http://schemas.openxmlformats.org/officeDocument/2006/relationships/image" Target="media/image693.wmf"/><Relationship Id="rId145" Type="http://schemas.openxmlformats.org/officeDocument/2006/relationships/image" Target="media/image63.wmf"/><Relationship Id="rId1449" Type="http://schemas.openxmlformats.org/officeDocument/2006/relationships/oleObject" Target="embeddings/oleObject747.bin"/><Relationship Id="rId1448" Type="http://schemas.openxmlformats.org/officeDocument/2006/relationships/image" Target="media/image692.wmf"/><Relationship Id="rId1447" Type="http://schemas.openxmlformats.org/officeDocument/2006/relationships/oleObject" Target="embeddings/oleObject746.bin"/><Relationship Id="rId1446" Type="http://schemas.openxmlformats.org/officeDocument/2006/relationships/image" Target="media/image691.wmf"/><Relationship Id="rId1445" Type="http://schemas.openxmlformats.org/officeDocument/2006/relationships/oleObject" Target="embeddings/oleObject745.bin"/><Relationship Id="rId1444" Type="http://schemas.openxmlformats.org/officeDocument/2006/relationships/image" Target="media/image690.wmf"/><Relationship Id="rId1443" Type="http://schemas.openxmlformats.org/officeDocument/2006/relationships/oleObject" Target="embeddings/oleObject744.bin"/><Relationship Id="rId1442" Type="http://schemas.openxmlformats.org/officeDocument/2006/relationships/image" Target="media/image689.wmf"/><Relationship Id="rId1441" Type="http://schemas.openxmlformats.org/officeDocument/2006/relationships/oleObject" Target="embeddings/oleObject743.bin"/><Relationship Id="rId1440" Type="http://schemas.openxmlformats.org/officeDocument/2006/relationships/image" Target="media/image688.emf"/><Relationship Id="rId144" Type="http://schemas.openxmlformats.org/officeDocument/2006/relationships/oleObject" Target="embeddings/oleObject72.bin"/><Relationship Id="rId1439" Type="http://schemas.openxmlformats.org/officeDocument/2006/relationships/image" Target="media/image687.emf"/><Relationship Id="rId1438" Type="http://schemas.openxmlformats.org/officeDocument/2006/relationships/image" Target="media/image686.wmf"/><Relationship Id="rId1437" Type="http://schemas.openxmlformats.org/officeDocument/2006/relationships/oleObject" Target="embeddings/oleObject742.bin"/><Relationship Id="rId1436" Type="http://schemas.openxmlformats.org/officeDocument/2006/relationships/image" Target="media/image685.wmf"/><Relationship Id="rId1435" Type="http://schemas.openxmlformats.org/officeDocument/2006/relationships/oleObject" Target="embeddings/oleObject741.bin"/><Relationship Id="rId1434" Type="http://schemas.openxmlformats.org/officeDocument/2006/relationships/image" Target="media/image684.wmf"/><Relationship Id="rId1433" Type="http://schemas.openxmlformats.org/officeDocument/2006/relationships/oleObject" Target="embeddings/oleObject740.bin"/><Relationship Id="rId1432" Type="http://schemas.openxmlformats.org/officeDocument/2006/relationships/image" Target="media/image683.wmf"/><Relationship Id="rId1431" Type="http://schemas.openxmlformats.org/officeDocument/2006/relationships/oleObject" Target="embeddings/oleObject739.bin"/><Relationship Id="rId1430" Type="http://schemas.openxmlformats.org/officeDocument/2006/relationships/oleObject" Target="embeddings/oleObject738.bin"/><Relationship Id="rId143" Type="http://schemas.openxmlformats.org/officeDocument/2006/relationships/image" Target="media/image62.wmf"/><Relationship Id="rId1429" Type="http://schemas.openxmlformats.org/officeDocument/2006/relationships/image" Target="media/image682.wmf"/><Relationship Id="rId1428" Type="http://schemas.openxmlformats.org/officeDocument/2006/relationships/oleObject" Target="embeddings/oleObject737.bin"/><Relationship Id="rId1427" Type="http://schemas.openxmlformats.org/officeDocument/2006/relationships/image" Target="media/image681.wmf"/><Relationship Id="rId1426" Type="http://schemas.openxmlformats.org/officeDocument/2006/relationships/oleObject" Target="embeddings/oleObject736.bin"/><Relationship Id="rId1425" Type="http://schemas.openxmlformats.org/officeDocument/2006/relationships/oleObject" Target="embeddings/oleObject735.bin"/><Relationship Id="rId1424" Type="http://schemas.openxmlformats.org/officeDocument/2006/relationships/image" Target="media/image680.emf"/><Relationship Id="rId1423" Type="http://schemas.openxmlformats.org/officeDocument/2006/relationships/image" Target="media/image679.wmf"/><Relationship Id="rId1422" Type="http://schemas.openxmlformats.org/officeDocument/2006/relationships/oleObject" Target="embeddings/oleObject734.bin"/><Relationship Id="rId1421" Type="http://schemas.openxmlformats.org/officeDocument/2006/relationships/image" Target="media/image678.wmf"/><Relationship Id="rId1420" Type="http://schemas.openxmlformats.org/officeDocument/2006/relationships/oleObject" Target="embeddings/oleObject733.bin"/><Relationship Id="rId142" Type="http://schemas.openxmlformats.org/officeDocument/2006/relationships/oleObject" Target="embeddings/oleObject71.bin"/><Relationship Id="rId1419" Type="http://schemas.openxmlformats.org/officeDocument/2006/relationships/image" Target="media/image677.wmf"/><Relationship Id="rId1418" Type="http://schemas.openxmlformats.org/officeDocument/2006/relationships/oleObject" Target="embeddings/oleObject732.bin"/><Relationship Id="rId1417" Type="http://schemas.openxmlformats.org/officeDocument/2006/relationships/image" Target="media/image676.wmf"/><Relationship Id="rId1416" Type="http://schemas.openxmlformats.org/officeDocument/2006/relationships/oleObject" Target="embeddings/oleObject731.bin"/><Relationship Id="rId1415" Type="http://schemas.openxmlformats.org/officeDocument/2006/relationships/image" Target="media/image675.wmf"/><Relationship Id="rId1414" Type="http://schemas.openxmlformats.org/officeDocument/2006/relationships/oleObject" Target="embeddings/oleObject730.bin"/><Relationship Id="rId1413" Type="http://schemas.openxmlformats.org/officeDocument/2006/relationships/image" Target="media/image674.wmf"/><Relationship Id="rId1412" Type="http://schemas.openxmlformats.org/officeDocument/2006/relationships/oleObject" Target="embeddings/oleObject729.bin"/><Relationship Id="rId1411" Type="http://schemas.openxmlformats.org/officeDocument/2006/relationships/image" Target="media/image673.wmf"/><Relationship Id="rId1410" Type="http://schemas.openxmlformats.org/officeDocument/2006/relationships/oleObject" Target="embeddings/oleObject728.bin"/><Relationship Id="rId141" Type="http://schemas.openxmlformats.org/officeDocument/2006/relationships/image" Target="media/image61.wmf"/><Relationship Id="rId1409" Type="http://schemas.openxmlformats.org/officeDocument/2006/relationships/image" Target="media/image672.emf"/><Relationship Id="rId1408" Type="http://schemas.openxmlformats.org/officeDocument/2006/relationships/oleObject" Target="embeddings/oleObject727.bin"/><Relationship Id="rId1407" Type="http://schemas.openxmlformats.org/officeDocument/2006/relationships/image" Target="media/image671.wmf"/><Relationship Id="rId1406" Type="http://schemas.openxmlformats.org/officeDocument/2006/relationships/oleObject" Target="embeddings/oleObject726.bin"/><Relationship Id="rId1405" Type="http://schemas.openxmlformats.org/officeDocument/2006/relationships/image" Target="media/image670.wmf"/><Relationship Id="rId1404" Type="http://schemas.openxmlformats.org/officeDocument/2006/relationships/oleObject" Target="embeddings/oleObject725.bin"/><Relationship Id="rId1403" Type="http://schemas.openxmlformats.org/officeDocument/2006/relationships/image" Target="media/image669.wmf"/><Relationship Id="rId1402" Type="http://schemas.openxmlformats.org/officeDocument/2006/relationships/oleObject" Target="embeddings/oleObject724.bin"/><Relationship Id="rId1401" Type="http://schemas.openxmlformats.org/officeDocument/2006/relationships/image" Target="media/image668.wmf"/><Relationship Id="rId1400" Type="http://schemas.openxmlformats.org/officeDocument/2006/relationships/oleObject" Target="embeddings/oleObject723.bin"/><Relationship Id="rId140" Type="http://schemas.openxmlformats.org/officeDocument/2006/relationships/oleObject" Target="embeddings/oleObject70.bin"/><Relationship Id="rId14" Type="http://schemas.openxmlformats.org/officeDocument/2006/relationships/image" Target="media/image2.wmf"/><Relationship Id="rId1399" Type="http://schemas.openxmlformats.org/officeDocument/2006/relationships/image" Target="media/image667.wmf"/><Relationship Id="rId1398" Type="http://schemas.openxmlformats.org/officeDocument/2006/relationships/oleObject" Target="embeddings/oleObject722.bin"/><Relationship Id="rId1397" Type="http://schemas.openxmlformats.org/officeDocument/2006/relationships/image" Target="media/image666.wmf"/><Relationship Id="rId1396" Type="http://schemas.openxmlformats.org/officeDocument/2006/relationships/oleObject" Target="embeddings/oleObject721.bin"/><Relationship Id="rId1395" Type="http://schemas.openxmlformats.org/officeDocument/2006/relationships/image" Target="media/image665.wmf"/><Relationship Id="rId1394" Type="http://schemas.openxmlformats.org/officeDocument/2006/relationships/oleObject" Target="embeddings/oleObject720.bin"/><Relationship Id="rId1393" Type="http://schemas.openxmlformats.org/officeDocument/2006/relationships/image" Target="media/image664.emf"/><Relationship Id="rId1392" Type="http://schemas.openxmlformats.org/officeDocument/2006/relationships/image" Target="media/image663.wmf"/><Relationship Id="rId1391" Type="http://schemas.openxmlformats.org/officeDocument/2006/relationships/oleObject" Target="embeddings/oleObject719.bin"/><Relationship Id="rId1390" Type="http://schemas.openxmlformats.org/officeDocument/2006/relationships/image" Target="media/image662.wmf"/><Relationship Id="rId139" Type="http://schemas.openxmlformats.org/officeDocument/2006/relationships/image" Target="media/image60.wmf"/><Relationship Id="rId1389" Type="http://schemas.openxmlformats.org/officeDocument/2006/relationships/oleObject" Target="embeddings/oleObject718.bin"/><Relationship Id="rId1388" Type="http://schemas.openxmlformats.org/officeDocument/2006/relationships/image" Target="media/image661.wmf"/><Relationship Id="rId1387" Type="http://schemas.openxmlformats.org/officeDocument/2006/relationships/oleObject" Target="embeddings/oleObject717.bin"/><Relationship Id="rId1386" Type="http://schemas.openxmlformats.org/officeDocument/2006/relationships/image" Target="media/image660.wmf"/><Relationship Id="rId1385" Type="http://schemas.openxmlformats.org/officeDocument/2006/relationships/oleObject" Target="embeddings/oleObject716.bin"/><Relationship Id="rId1384" Type="http://schemas.openxmlformats.org/officeDocument/2006/relationships/image" Target="media/image659.wmf"/><Relationship Id="rId1383" Type="http://schemas.openxmlformats.org/officeDocument/2006/relationships/oleObject" Target="embeddings/oleObject715.bin"/><Relationship Id="rId1382" Type="http://schemas.openxmlformats.org/officeDocument/2006/relationships/image" Target="media/image658.wmf"/><Relationship Id="rId1381" Type="http://schemas.openxmlformats.org/officeDocument/2006/relationships/oleObject" Target="embeddings/oleObject714.bin"/><Relationship Id="rId1380" Type="http://schemas.openxmlformats.org/officeDocument/2006/relationships/image" Target="media/image657.wmf"/><Relationship Id="rId138" Type="http://schemas.openxmlformats.org/officeDocument/2006/relationships/oleObject" Target="embeddings/oleObject69.bin"/><Relationship Id="rId1379" Type="http://schemas.openxmlformats.org/officeDocument/2006/relationships/oleObject" Target="embeddings/oleObject713.bin"/><Relationship Id="rId1378" Type="http://schemas.openxmlformats.org/officeDocument/2006/relationships/image" Target="media/image656.wmf"/><Relationship Id="rId1377" Type="http://schemas.openxmlformats.org/officeDocument/2006/relationships/oleObject" Target="embeddings/oleObject712.bin"/><Relationship Id="rId1376" Type="http://schemas.openxmlformats.org/officeDocument/2006/relationships/oleObject" Target="embeddings/oleObject711.bin"/><Relationship Id="rId1375" Type="http://schemas.openxmlformats.org/officeDocument/2006/relationships/image" Target="media/image655.wmf"/><Relationship Id="rId1374" Type="http://schemas.openxmlformats.org/officeDocument/2006/relationships/oleObject" Target="embeddings/oleObject710.bin"/><Relationship Id="rId1373" Type="http://schemas.openxmlformats.org/officeDocument/2006/relationships/oleObject" Target="embeddings/oleObject709.bin"/><Relationship Id="rId1372" Type="http://schemas.openxmlformats.org/officeDocument/2006/relationships/oleObject" Target="embeddings/oleObject708.bin"/><Relationship Id="rId1371" Type="http://schemas.openxmlformats.org/officeDocument/2006/relationships/oleObject" Target="embeddings/oleObject707.bin"/><Relationship Id="rId1370" Type="http://schemas.openxmlformats.org/officeDocument/2006/relationships/image" Target="media/image654.wmf"/><Relationship Id="rId137" Type="http://schemas.openxmlformats.org/officeDocument/2006/relationships/image" Target="media/image59.wmf"/><Relationship Id="rId1369" Type="http://schemas.openxmlformats.org/officeDocument/2006/relationships/oleObject" Target="embeddings/oleObject706.bin"/><Relationship Id="rId1368" Type="http://schemas.openxmlformats.org/officeDocument/2006/relationships/image" Target="media/image653.wmf"/><Relationship Id="rId1367" Type="http://schemas.openxmlformats.org/officeDocument/2006/relationships/oleObject" Target="embeddings/oleObject705.bin"/><Relationship Id="rId1366" Type="http://schemas.openxmlformats.org/officeDocument/2006/relationships/image" Target="media/image652.wmf"/><Relationship Id="rId1365" Type="http://schemas.openxmlformats.org/officeDocument/2006/relationships/oleObject" Target="embeddings/oleObject704.bin"/><Relationship Id="rId1364" Type="http://schemas.openxmlformats.org/officeDocument/2006/relationships/image" Target="media/image651.wmf"/><Relationship Id="rId1363" Type="http://schemas.openxmlformats.org/officeDocument/2006/relationships/oleObject" Target="embeddings/oleObject703.bin"/><Relationship Id="rId1362" Type="http://schemas.openxmlformats.org/officeDocument/2006/relationships/image" Target="media/image650.wmf"/><Relationship Id="rId1361" Type="http://schemas.openxmlformats.org/officeDocument/2006/relationships/oleObject" Target="embeddings/oleObject702.bin"/><Relationship Id="rId1360" Type="http://schemas.openxmlformats.org/officeDocument/2006/relationships/image" Target="media/image649.wmf"/><Relationship Id="rId136" Type="http://schemas.openxmlformats.org/officeDocument/2006/relationships/oleObject" Target="embeddings/oleObject68.bin"/><Relationship Id="rId1359" Type="http://schemas.openxmlformats.org/officeDocument/2006/relationships/oleObject" Target="embeddings/oleObject701.bin"/><Relationship Id="rId1358" Type="http://schemas.openxmlformats.org/officeDocument/2006/relationships/image" Target="media/image648.wmf"/><Relationship Id="rId1357" Type="http://schemas.openxmlformats.org/officeDocument/2006/relationships/oleObject" Target="embeddings/oleObject700.bin"/><Relationship Id="rId1356" Type="http://schemas.openxmlformats.org/officeDocument/2006/relationships/image" Target="media/image647.wmf"/><Relationship Id="rId1355" Type="http://schemas.openxmlformats.org/officeDocument/2006/relationships/oleObject" Target="embeddings/oleObject699.bin"/><Relationship Id="rId1354" Type="http://schemas.openxmlformats.org/officeDocument/2006/relationships/oleObject" Target="embeddings/oleObject698.bin"/><Relationship Id="rId1353" Type="http://schemas.openxmlformats.org/officeDocument/2006/relationships/oleObject" Target="embeddings/oleObject697.bin"/><Relationship Id="rId1352" Type="http://schemas.openxmlformats.org/officeDocument/2006/relationships/oleObject" Target="embeddings/oleObject696.bin"/><Relationship Id="rId1351" Type="http://schemas.openxmlformats.org/officeDocument/2006/relationships/oleObject" Target="embeddings/oleObject695.bin"/><Relationship Id="rId1350" Type="http://schemas.openxmlformats.org/officeDocument/2006/relationships/image" Target="media/image646.wmf"/><Relationship Id="rId135" Type="http://schemas.openxmlformats.org/officeDocument/2006/relationships/image" Target="media/image58.wmf"/><Relationship Id="rId1349" Type="http://schemas.openxmlformats.org/officeDocument/2006/relationships/oleObject" Target="embeddings/oleObject694.bin"/><Relationship Id="rId1348" Type="http://schemas.openxmlformats.org/officeDocument/2006/relationships/image" Target="media/image645.wmf"/><Relationship Id="rId1347" Type="http://schemas.openxmlformats.org/officeDocument/2006/relationships/oleObject" Target="embeddings/oleObject693.bin"/><Relationship Id="rId1346" Type="http://schemas.openxmlformats.org/officeDocument/2006/relationships/image" Target="media/image644.wmf"/><Relationship Id="rId1345" Type="http://schemas.openxmlformats.org/officeDocument/2006/relationships/oleObject" Target="embeddings/oleObject692.bin"/><Relationship Id="rId1344" Type="http://schemas.openxmlformats.org/officeDocument/2006/relationships/oleObject" Target="embeddings/oleObject691.bin"/><Relationship Id="rId1343" Type="http://schemas.openxmlformats.org/officeDocument/2006/relationships/oleObject" Target="embeddings/oleObject690.bin"/><Relationship Id="rId1342" Type="http://schemas.openxmlformats.org/officeDocument/2006/relationships/image" Target="media/image643.wmf"/><Relationship Id="rId1341" Type="http://schemas.openxmlformats.org/officeDocument/2006/relationships/oleObject" Target="embeddings/oleObject689.bin"/><Relationship Id="rId1340" Type="http://schemas.openxmlformats.org/officeDocument/2006/relationships/image" Target="media/image642.wmf"/><Relationship Id="rId134" Type="http://schemas.openxmlformats.org/officeDocument/2006/relationships/oleObject" Target="embeddings/oleObject67.bin"/><Relationship Id="rId1339" Type="http://schemas.openxmlformats.org/officeDocument/2006/relationships/oleObject" Target="embeddings/oleObject688.bin"/><Relationship Id="rId1338" Type="http://schemas.openxmlformats.org/officeDocument/2006/relationships/image" Target="media/image641.wmf"/><Relationship Id="rId1337" Type="http://schemas.openxmlformats.org/officeDocument/2006/relationships/oleObject" Target="embeddings/oleObject687.bin"/><Relationship Id="rId1336" Type="http://schemas.openxmlformats.org/officeDocument/2006/relationships/image" Target="media/image640.wmf"/><Relationship Id="rId1335" Type="http://schemas.openxmlformats.org/officeDocument/2006/relationships/oleObject" Target="embeddings/oleObject686.bin"/><Relationship Id="rId1334" Type="http://schemas.openxmlformats.org/officeDocument/2006/relationships/image" Target="media/image639.emf"/><Relationship Id="rId1333" Type="http://schemas.openxmlformats.org/officeDocument/2006/relationships/image" Target="media/image638.wmf"/><Relationship Id="rId1332" Type="http://schemas.openxmlformats.org/officeDocument/2006/relationships/oleObject" Target="embeddings/oleObject685.bin"/><Relationship Id="rId1331" Type="http://schemas.openxmlformats.org/officeDocument/2006/relationships/oleObject" Target="embeddings/oleObject684.bin"/><Relationship Id="rId1330" Type="http://schemas.openxmlformats.org/officeDocument/2006/relationships/image" Target="media/image637.emf"/><Relationship Id="rId133" Type="http://schemas.openxmlformats.org/officeDocument/2006/relationships/image" Target="media/image57.wmf"/><Relationship Id="rId1329" Type="http://schemas.openxmlformats.org/officeDocument/2006/relationships/image" Target="media/image636.wmf"/><Relationship Id="rId1328" Type="http://schemas.openxmlformats.org/officeDocument/2006/relationships/oleObject" Target="embeddings/oleObject683.bin"/><Relationship Id="rId1327" Type="http://schemas.openxmlformats.org/officeDocument/2006/relationships/oleObject" Target="embeddings/oleObject682.bin"/><Relationship Id="rId1326" Type="http://schemas.openxmlformats.org/officeDocument/2006/relationships/image" Target="media/image635.wmf"/><Relationship Id="rId1325" Type="http://schemas.openxmlformats.org/officeDocument/2006/relationships/oleObject" Target="embeddings/oleObject681.bin"/><Relationship Id="rId1324" Type="http://schemas.openxmlformats.org/officeDocument/2006/relationships/oleObject" Target="embeddings/oleObject680.bin"/><Relationship Id="rId1323" Type="http://schemas.openxmlformats.org/officeDocument/2006/relationships/oleObject" Target="embeddings/oleObject679.bin"/><Relationship Id="rId1322" Type="http://schemas.openxmlformats.org/officeDocument/2006/relationships/image" Target="media/image634.wmf"/><Relationship Id="rId1321" Type="http://schemas.openxmlformats.org/officeDocument/2006/relationships/oleObject" Target="embeddings/oleObject678.bin"/><Relationship Id="rId1320" Type="http://schemas.openxmlformats.org/officeDocument/2006/relationships/image" Target="media/image633.emf"/><Relationship Id="rId132" Type="http://schemas.openxmlformats.org/officeDocument/2006/relationships/oleObject" Target="embeddings/oleObject66.bin"/><Relationship Id="rId1319" Type="http://schemas.openxmlformats.org/officeDocument/2006/relationships/oleObject" Target="embeddings/oleObject677.bin"/><Relationship Id="rId1318" Type="http://schemas.openxmlformats.org/officeDocument/2006/relationships/image" Target="media/image632.wmf"/><Relationship Id="rId1317" Type="http://schemas.openxmlformats.org/officeDocument/2006/relationships/oleObject" Target="embeddings/oleObject676.bin"/><Relationship Id="rId1316" Type="http://schemas.openxmlformats.org/officeDocument/2006/relationships/image" Target="media/image631.wmf"/><Relationship Id="rId1315" Type="http://schemas.openxmlformats.org/officeDocument/2006/relationships/oleObject" Target="embeddings/oleObject675.bin"/><Relationship Id="rId1314" Type="http://schemas.openxmlformats.org/officeDocument/2006/relationships/image" Target="media/image630.wmf"/><Relationship Id="rId1313" Type="http://schemas.openxmlformats.org/officeDocument/2006/relationships/oleObject" Target="embeddings/oleObject674.bin"/><Relationship Id="rId1312" Type="http://schemas.openxmlformats.org/officeDocument/2006/relationships/image" Target="media/image629.wmf"/><Relationship Id="rId1311" Type="http://schemas.openxmlformats.org/officeDocument/2006/relationships/oleObject" Target="embeddings/oleObject673.bin"/><Relationship Id="rId1310" Type="http://schemas.openxmlformats.org/officeDocument/2006/relationships/image" Target="media/image628.emf"/><Relationship Id="rId131" Type="http://schemas.openxmlformats.org/officeDocument/2006/relationships/oleObject" Target="embeddings/oleObject65.bin"/><Relationship Id="rId1309" Type="http://schemas.openxmlformats.org/officeDocument/2006/relationships/image" Target="media/image627.wmf"/><Relationship Id="rId1308" Type="http://schemas.openxmlformats.org/officeDocument/2006/relationships/oleObject" Target="embeddings/oleObject672.bin"/><Relationship Id="rId1307" Type="http://schemas.openxmlformats.org/officeDocument/2006/relationships/image" Target="media/image626.emf"/><Relationship Id="rId1306" Type="http://schemas.openxmlformats.org/officeDocument/2006/relationships/image" Target="media/image625.wmf"/><Relationship Id="rId1305" Type="http://schemas.openxmlformats.org/officeDocument/2006/relationships/oleObject" Target="embeddings/oleObject671.bin"/><Relationship Id="rId1304" Type="http://schemas.openxmlformats.org/officeDocument/2006/relationships/image" Target="media/image624.wmf"/><Relationship Id="rId1303" Type="http://schemas.openxmlformats.org/officeDocument/2006/relationships/oleObject" Target="embeddings/oleObject670.bin"/><Relationship Id="rId1302" Type="http://schemas.openxmlformats.org/officeDocument/2006/relationships/oleObject" Target="embeddings/oleObject669.bin"/><Relationship Id="rId1301" Type="http://schemas.openxmlformats.org/officeDocument/2006/relationships/oleObject" Target="embeddings/oleObject668.bin"/><Relationship Id="rId1300" Type="http://schemas.openxmlformats.org/officeDocument/2006/relationships/oleObject" Target="embeddings/oleObject667.bin"/><Relationship Id="rId130" Type="http://schemas.openxmlformats.org/officeDocument/2006/relationships/oleObject" Target="embeddings/oleObject64.bin"/><Relationship Id="rId13" Type="http://schemas.openxmlformats.org/officeDocument/2006/relationships/oleObject" Target="embeddings/oleObject2.bin"/><Relationship Id="rId1299" Type="http://schemas.openxmlformats.org/officeDocument/2006/relationships/oleObject" Target="embeddings/oleObject666.bin"/><Relationship Id="rId1298" Type="http://schemas.openxmlformats.org/officeDocument/2006/relationships/image" Target="media/image623.wmf"/><Relationship Id="rId1297" Type="http://schemas.openxmlformats.org/officeDocument/2006/relationships/oleObject" Target="embeddings/oleObject665.bin"/><Relationship Id="rId1296" Type="http://schemas.openxmlformats.org/officeDocument/2006/relationships/image" Target="media/image622.wmf"/><Relationship Id="rId1295" Type="http://schemas.openxmlformats.org/officeDocument/2006/relationships/oleObject" Target="embeddings/oleObject664.bin"/><Relationship Id="rId1294" Type="http://schemas.openxmlformats.org/officeDocument/2006/relationships/image" Target="media/image621.wmf"/><Relationship Id="rId1293" Type="http://schemas.openxmlformats.org/officeDocument/2006/relationships/oleObject" Target="embeddings/oleObject663.bin"/><Relationship Id="rId1292" Type="http://schemas.openxmlformats.org/officeDocument/2006/relationships/image" Target="media/image620.wmf"/><Relationship Id="rId1291" Type="http://schemas.openxmlformats.org/officeDocument/2006/relationships/oleObject" Target="embeddings/oleObject662.bin"/><Relationship Id="rId1290" Type="http://schemas.openxmlformats.org/officeDocument/2006/relationships/image" Target="media/image619.wmf"/><Relationship Id="rId129" Type="http://schemas.openxmlformats.org/officeDocument/2006/relationships/oleObject" Target="embeddings/oleObject63.bin"/><Relationship Id="rId1289" Type="http://schemas.openxmlformats.org/officeDocument/2006/relationships/oleObject" Target="embeddings/oleObject661.bin"/><Relationship Id="rId1288" Type="http://schemas.openxmlformats.org/officeDocument/2006/relationships/image" Target="media/image618.emf"/><Relationship Id="rId1287" Type="http://schemas.openxmlformats.org/officeDocument/2006/relationships/oleObject" Target="embeddings/oleObject660.bin"/><Relationship Id="rId1286" Type="http://schemas.openxmlformats.org/officeDocument/2006/relationships/oleObject" Target="embeddings/oleObject659.bin"/><Relationship Id="rId1285" Type="http://schemas.openxmlformats.org/officeDocument/2006/relationships/oleObject" Target="embeddings/oleObject658.bin"/><Relationship Id="rId1284" Type="http://schemas.openxmlformats.org/officeDocument/2006/relationships/image" Target="media/image617.wmf"/><Relationship Id="rId1283" Type="http://schemas.openxmlformats.org/officeDocument/2006/relationships/oleObject" Target="embeddings/oleObject657.bin"/><Relationship Id="rId1282" Type="http://schemas.openxmlformats.org/officeDocument/2006/relationships/oleObject" Target="embeddings/oleObject656.bin"/><Relationship Id="rId1281" Type="http://schemas.openxmlformats.org/officeDocument/2006/relationships/oleObject" Target="embeddings/oleObject655.bin"/><Relationship Id="rId1280" Type="http://schemas.openxmlformats.org/officeDocument/2006/relationships/oleObject" Target="embeddings/oleObject654.bin"/><Relationship Id="rId128" Type="http://schemas.openxmlformats.org/officeDocument/2006/relationships/oleObject" Target="embeddings/oleObject62.bin"/><Relationship Id="rId1279" Type="http://schemas.openxmlformats.org/officeDocument/2006/relationships/oleObject" Target="embeddings/oleObject653.bin"/><Relationship Id="rId1278" Type="http://schemas.openxmlformats.org/officeDocument/2006/relationships/image" Target="media/image616.wmf"/><Relationship Id="rId1277" Type="http://schemas.openxmlformats.org/officeDocument/2006/relationships/oleObject" Target="embeddings/oleObject652.bin"/><Relationship Id="rId1276" Type="http://schemas.openxmlformats.org/officeDocument/2006/relationships/oleObject" Target="embeddings/oleObject651.bin"/><Relationship Id="rId1275" Type="http://schemas.openxmlformats.org/officeDocument/2006/relationships/oleObject" Target="embeddings/oleObject650.bin"/><Relationship Id="rId1274" Type="http://schemas.openxmlformats.org/officeDocument/2006/relationships/image" Target="media/image615.wmf"/><Relationship Id="rId1273" Type="http://schemas.openxmlformats.org/officeDocument/2006/relationships/oleObject" Target="embeddings/oleObject649.bin"/><Relationship Id="rId1272" Type="http://schemas.openxmlformats.org/officeDocument/2006/relationships/image" Target="media/image614.wmf"/><Relationship Id="rId1271" Type="http://schemas.openxmlformats.org/officeDocument/2006/relationships/oleObject" Target="embeddings/oleObject648.bin"/><Relationship Id="rId1270" Type="http://schemas.openxmlformats.org/officeDocument/2006/relationships/image" Target="media/image613.wmf"/><Relationship Id="rId127" Type="http://schemas.openxmlformats.org/officeDocument/2006/relationships/image" Target="media/image56.wmf"/><Relationship Id="rId1269" Type="http://schemas.openxmlformats.org/officeDocument/2006/relationships/oleObject" Target="embeddings/oleObject647.bin"/><Relationship Id="rId1268" Type="http://schemas.openxmlformats.org/officeDocument/2006/relationships/image" Target="media/image612.wmf"/><Relationship Id="rId1267" Type="http://schemas.openxmlformats.org/officeDocument/2006/relationships/oleObject" Target="embeddings/oleObject646.bin"/><Relationship Id="rId1266" Type="http://schemas.openxmlformats.org/officeDocument/2006/relationships/image" Target="media/image611.wmf"/><Relationship Id="rId1265" Type="http://schemas.openxmlformats.org/officeDocument/2006/relationships/oleObject" Target="embeddings/oleObject645.bin"/><Relationship Id="rId1264" Type="http://schemas.openxmlformats.org/officeDocument/2006/relationships/image" Target="media/image610.wmf"/><Relationship Id="rId1263" Type="http://schemas.openxmlformats.org/officeDocument/2006/relationships/oleObject" Target="embeddings/oleObject644.bin"/><Relationship Id="rId1262" Type="http://schemas.openxmlformats.org/officeDocument/2006/relationships/oleObject" Target="embeddings/oleObject643.bin"/><Relationship Id="rId1261" Type="http://schemas.openxmlformats.org/officeDocument/2006/relationships/image" Target="media/image609.wmf"/><Relationship Id="rId1260" Type="http://schemas.openxmlformats.org/officeDocument/2006/relationships/oleObject" Target="embeddings/oleObject642.bin"/><Relationship Id="rId126" Type="http://schemas.openxmlformats.org/officeDocument/2006/relationships/oleObject" Target="embeddings/oleObject61.bin"/><Relationship Id="rId1259" Type="http://schemas.openxmlformats.org/officeDocument/2006/relationships/image" Target="media/image608.wmf"/><Relationship Id="rId1258" Type="http://schemas.openxmlformats.org/officeDocument/2006/relationships/oleObject" Target="embeddings/oleObject641.bin"/><Relationship Id="rId1257" Type="http://schemas.openxmlformats.org/officeDocument/2006/relationships/image" Target="media/image607.wmf"/><Relationship Id="rId1256" Type="http://schemas.openxmlformats.org/officeDocument/2006/relationships/oleObject" Target="embeddings/oleObject640.bin"/><Relationship Id="rId1255" Type="http://schemas.openxmlformats.org/officeDocument/2006/relationships/oleObject" Target="embeddings/oleObject639.bin"/><Relationship Id="rId1254" Type="http://schemas.openxmlformats.org/officeDocument/2006/relationships/image" Target="media/image606.wmf"/><Relationship Id="rId1253" Type="http://schemas.openxmlformats.org/officeDocument/2006/relationships/oleObject" Target="embeddings/oleObject638.bin"/><Relationship Id="rId1252" Type="http://schemas.openxmlformats.org/officeDocument/2006/relationships/image" Target="media/image605.wmf"/><Relationship Id="rId1251" Type="http://schemas.openxmlformats.org/officeDocument/2006/relationships/oleObject" Target="embeddings/oleObject637.bin"/><Relationship Id="rId1250" Type="http://schemas.openxmlformats.org/officeDocument/2006/relationships/image" Target="media/image604.wmf"/><Relationship Id="rId125" Type="http://schemas.openxmlformats.org/officeDocument/2006/relationships/oleObject" Target="embeddings/oleObject60.bin"/><Relationship Id="rId1249" Type="http://schemas.openxmlformats.org/officeDocument/2006/relationships/oleObject" Target="embeddings/oleObject636.bin"/><Relationship Id="rId1248" Type="http://schemas.openxmlformats.org/officeDocument/2006/relationships/image" Target="media/image603.wmf"/><Relationship Id="rId1247" Type="http://schemas.openxmlformats.org/officeDocument/2006/relationships/oleObject" Target="embeddings/oleObject635.bin"/><Relationship Id="rId1246" Type="http://schemas.openxmlformats.org/officeDocument/2006/relationships/image" Target="media/image602.wmf"/><Relationship Id="rId1245" Type="http://schemas.openxmlformats.org/officeDocument/2006/relationships/oleObject" Target="embeddings/oleObject634.bin"/><Relationship Id="rId1244" Type="http://schemas.openxmlformats.org/officeDocument/2006/relationships/image" Target="media/image601.wmf"/><Relationship Id="rId1243" Type="http://schemas.openxmlformats.org/officeDocument/2006/relationships/oleObject" Target="embeddings/oleObject633.bin"/><Relationship Id="rId1242" Type="http://schemas.openxmlformats.org/officeDocument/2006/relationships/oleObject" Target="embeddings/oleObject632.bin"/><Relationship Id="rId1241" Type="http://schemas.openxmlformats.org/officeDocument/2006/relationships/image" Target="media/image600.wmf"/><Relationship Id="rId1240" Type="http://schemas.openxmlformats.org/officeDocument/2006/relationships/oleObject" Target="embeddings/oleObject631.bin"/><Relationship Id="rId124" Type="http://schemas.openxmlformats.org/officeDocument/2006/relationships/image" Target="media/image55.wmf"/><Relationship Id="rId1239" Type="http://schemas.openxmlformats.org/officeDocument/2006/relationships/oleObject" Target="embeddings/oleObject630.bin"/><Relationship Id="rId1238" Type="http://schemas.openxmlformats.org/officeDocument/2006/relationships/image" Target="media/image599.wmf"/><Relationship Id="rId1237" Type="http://schemas.openxmlformats.org/officeDocument/2006/relationships/oleObject" Target="embeddings/oleObject629.bin"/><Relationship Id="rId1236" Type="http://schemas.openxmlformats.org/officeDocument/2006/relationships/image" Target="media/image598.wmf"/><Relationship Id="rId1235" Type="http://schemas.openxmlformats.org/officeDocument/2006/relationships/oleObject" Target="embeddings/oleObject628.bin"/><Relationship Id="rId1234" Type="http://schemas.openxmlformats.org/officeDocument/2006/relationships/oleObject" Target="embeddings/oleObject627.bin"/><Relationship Id="rId1233" Type="http://schemas.openxmlformats.org/officeDocument/2006/relationships/image" Target="media/image597.wmf"/><Relationship Id="rId1232" Type="http://schemas.openxmlformats.org/officeDocument/2006/relationships/oleObject" Target="embeddings/oleObject626.bin"/><Relationship Id="rId1231" Type="http://schemas.openxmlformats.org/officeDocument/2006/relationships/image" Target="media/image596.wmf"/><Relationship Id="rId1230" Type="http://schemas.openxmlformats.org/officeDocument/2006/relationships/oleObject" Target="embeddings/oleObject625.bin"/><Relationship Id="rId123" Type="http://schemas.openxmlformats.org/officeDocument/2006/relationships/oleObject" Target="embeddings/oleObject59.bin"/><Relationship Id="rId1229" Type="http://schemas.openxmlformats.org/officeDocument/2006/relationships/image" Target="media/image595.wmf"/><Relationship Id="rId1228" Type="http://schemas.openxmlformats.org/officeDocument/2006/relationships/oleObject" Target="embeddings/oleObject624.bin"/><Relationship Id="rId1227" Type="http://schemas.openxmlformats.org/officeDocument/2006/relationships/image" Target="media/image594.wmf"/><Relationship Id="rId1226" Type="http://schemas.openxmlformats.org/officeDocument/2006/relationships/oleObject" Target="embeddings/oleObject623.bin"/><Relationship Id="rId1225" Type="http://schemas.openxmlformats.org/officeDocument/2006/relationships/image" Target="media/image593.wmf"/><Relationship Id="rId1224" Type="http://schemas.openxmlformats.org/officeDocument/2006/relationships/oleObject" Target="embeddings/oleObject622.bin"/><Relationship Id="rId1223" Type="http://schemas.openxmlformats.org/officeDocument/2006/relationships/image" Target="media/image592.wmf"/><Relationship Id="rId1222" Type="http://schemas.openxmlformats.org/officeDocument/2006/relationships/oleObject" Target="embeddings/oleObject621.bin"/><Relationship Id="rId1221" Type="http://schemas.openxmlformats.org/officeDocument/2006/relationships/image" Target="media/image591.wmf"/><Relationship Id="rId1220" Type="http://schemas.openxmlformats.org/officeDocument/2006/relationships/oleObject" Target="embeddings/oleObject620.bin"/><Relationship Id="rId122" Type="http://schemas.openxmlformats.org/officeDocument/2006/relationships/image" Target="media/image54.wmf"/><Relationship Id="rId1219" Type="http://schemas.openxmlformats.org/officeDocument/2006/relationships/image" Target="media/image590.wmf"/><Relationship Id="rId1218" Type="http://schemas.openxmlformats.org/officeDocument/2006/relationships/oleObject" Target="embeddings/oleObject619.bin"/><Relationship Id="rId1217" Type="http://schemas.openxmlformats.org/officeDocument/2006/relationships/image" Target="media/image589.wmf"/><Relationship Id="rId1216" Type="http://schemas.openxmlformats.org/officeDocument/2006/relationships/oleObject" Target="embeddings/oleObject618.bin"/><Relationship Id="rId1215" Type="http://schemas.openxmlformats.org/officeDocument/2006/relationships/image" Target="media/image588.wmf"/><Relationship Id="rId1214" Type="http://schemas.openxmlformats.org/officeDocument/2006/relationships/oleObject" Target="embeddings/oleObject617.bin"/><Relationship Id="rId1213" Type="http://schemas.openxmlformats.org/officeDocument/2006/relationships/image" Target="media/image587.wmf"/><Relationship Id="rId1212" Type="http://schemas.openxmlformats.org/officeDocument/2006/relationships/oleObject" Target="embeddings/oleObject616.bin"/><Relationship Id="rId1211" Type="http://schemas.openxmlformats.org/officeDocument/2006/relationships/image" Target="media/image586.wmf"/><Relationship Id="rId1210" Type="http://schemas.openxmlformats.org/officeDocument/2006/relationships/oleObject" Target="embeddings/oleObject615.bin"/><Relationship Id="rId121" Type="http://schemas.openxmlformats.org/officeDocument/2006/relationships/oleObject" Target="embeddings/oleObject58.bin"/><Relationship Id="rId1209" Type="http://schemas.openxmlformats.org/officeDocument/2006/relationships/image" Target="media/image585.wmf"/><Relationship Id="rId1208" Type="http://schemas.openxmlformats.org/officeDocument/2006/relationships/oleObject" Target="embeddings/oleObject614.bin"/><Relationship Id="rId1207" Type="http://schemas.openxmlformats.org/officeDocument/2006/relationships/image" Target="media/image584.wmf"/><Relationship Id="rId1206" Type="http://schemas.openxmlformats.org/officeDocument/2006/relationships/oleObject" Target="embeddings/oleObject613.bin"/><Relationship Id="rId1205" Type="http://schemas.openxmlformats.org/officeDocument/2006/relationships/oleObject" Target="embeddings/oleObject612.bin"/><Relationship Id="rId1204" Type="http://schemas.openxmlformats.org/officeDocument/2006/relationships/image" Target="media/image583.wmf"/><Relationship Id="rId1203" Type="http://schemas.openxmlformats.org/officeDocument/2006/relationships/oleObject" Target="embeddings/oleObject611.bin"/><Relationship Id="rId1202" Type="http://schemas.openxmlformats.org/officeDocument/2006/relationships/image" Target="media/image582.wmf"/><Relationship Id="rId1201" Type="http://schemas.openxmlformats.org/officeDocument/2006/relationships/oleObject" Target="embeddings/oleObject610.bin"/><Relationship Id="rId1200" Type="http://schemas.openxmlformats.org/officeDocument/2006/relationships/image" Target="media/image581.wmf"/><Relationship Id="rId120" Type="http://schemas.openxmlformats.org/officeDocument/2006/relationships/image" Target="media/image53.wmf"/><Relationship Id="rId12" Type="http://schemas.openxmlformats.org/officeDocument/2006/relationships/image" Target="media/image1.wmf"/><Relationship Id="rId1199" Type="http://schemas.openxmlformats.org/officeDocument/2006/relationships/oleObject" Target="embeddings/oleObject609.bin"/><Relationship Id="rId1198" Type="http://schemas.openxmlformats.org/officeDocument/2006/relationships/image" Target="media/image580.wmf"/><Relationship Id="rId1197" Type="http://schemas.openxmlformats.org/officeDocument/2006/relationships/oleObject" Target="embeddings/oleObject608.bin"/><Relationship Id="rId1196" Type="http://schemas.openxmlformats.org/officeDocument/2006/relationships/image" Target="media/image579.wmf"/><Relationship Id="rId1195" Type="http://schemas.openxmlformats.org/officeDocument/2006/relationships/oleObject" Target="embeddings/oleObject607.bin"/><Relationship Id="rId1194" Type="http://schemas.openxmlformats.org/officeDocument/2006/relationships/image" Target="media/image578.wmf"/><Relationship Id="rId1193" Type="http://schemas.openxmlformats.org/officeDocument/2006/relationships/oleObject" Target="embeddings/oleObject606.bin"/><Relationship Id="rId1192" Type="http://schemas.openxmlformats.org/officeDocument/2006/relationships/image" Target="media/image577.wmf"/><Relationship Id="rId1191" Type="http://schemas.openxmlformats.org/officeDocument/2006/relationships/oleObject" Target="embeddings/oleObject605.bin"/><Relationship Id="rId1190" Type="http://schemas.openxmlformats.org/officeDocument/2006/relationships/image" Target="media/image576.wmf"/><Relationship Id="rId119" Type="http://schemas.openxmlformats.org/officeDocument/2006/relationships/oleObject" Target="embeddings/oleObject57.bin"/><Relationship Id="rId1189" Type="http://schemas.openxmlformats.org/officeDocument/2006/relationships/oleObject" Target="embeddings/oleObject604.bin"/><Relationship Id="rId1188" Type="http://schemas.openxmlformats.org/officeDocument/2006/relationships/image" Target="media/image575.wmf"/><Relationship Id="rId1187" Type="http://schemas.openxmlformats.org/officeDocument/2006/relationships/oleObject" Target="embeddings/oleObject603.bin"/><Relationship Id="rId1186" Type="http://schemas.openxmlformats.org/officeDocument/2006/relationships/image" Target="media/image574.wmf"/><Relationship Id="rId1185" Type="http://schemas.openxmlformats.org/officeDocument/2006/relationships/oleObject" Target="embeddings/oleObject602.bin"/><Relationship Id="rId1184" Type="http://schemas.openxmlformats.org/officeDocument/2006/relationships/image" Target="media/image573.wmf"/><Relationship Id="rId1183" Type="http://schemas.openxmlformats.org/officeDocument/2006/relationships/oleObject" Target="embeddings/oleObject601.bin"/><Relationship Id="rId1182" Type="http://schemas.openxmlformats.org/officeDocument/2006/relationships/image" Target="media/image572.wmf"/><Relationship Id="rId1181" Type="http://schemas.openxmlformats.org/officeDocument/2006/relationships/oleObject" Target="embeddings/oleObject600.bin"/><Relationship Id="rId1180" Type="http://schemas.openxmlformats.org/officeDocument/2006/relationships/image" Target="media/image571.wmf"/><Relationship Id="rId118" Type="http://schemas.openxmlformats.org/officeDocument/2006/relationships/image" Target="media/image52.wmf"/><Relationship Id="rId1179" Type="http://schemas.openxmlformats.org/officeDocument/2006/relationships/oleObject" Target="embeddings/oleObject599.bin"/><Relationship Id="rId1178" Type="http://schemas.openxmlformats.org/officeDocument/2006/relationships/image" Target="media/image570.wmf"/><Relationship Id="rId1177" Type="http://schemas.openxmlformats.org/officeDocument/2006/relationships/oleObject" Target="embeddings/oleObject598.bin"/><Relationship Id="rId1176" Type="http://schemas.openxmlformats.org/officeDocument/2006/relationships/image" Target="media/image569.wmf"/><Relationship Id="rId1175" Type="http://schemas.openxmlformats.org/officeDocument/2006/relationships/oleObject" Target="embeddings/oleObject597.bin"/><Relationship Id="rId1174" Type="http://schemas.openxmlformats.org/officeDocument/2006/relationships/image" Target="media/image568.wmf"/><Relationship Id="rId1173" Type="http://schemas.openxmlformats.org/officeDocument/2006/relationships/oleObject" Target="embeddings/oleObject596.bin"/><Relationship Id="rId1172" Type="http://schemas.openxmlformats.org/officeDocument/2006/relationships/image" Target="media/image567.wmf"/><Relationship Id="rId1171" Type="http://schemas.openxmlformats.org/officeDocument/2006/relationships/oleObject" Target="embeddings/oleObject595.bin"/><Relationship Id="rId1170" Type="http://schemas.openxmlformats.org/officeDocument/2006/relationships/image" Target="media/image566.wmf"/><Relationship Id="rId117" Type="http://schemas.openxmlformats.org/officeDocument/2006/relationships/oleObject" Target="embeddings/oleObject56.bin"/><Relationship Id="rId1169" Type="http://schemas.openxmlformats.org/officeDocument/2006/relationships/oleObject" Target="embeddings/oleObject594.bin"/><Relationship Id="rId1168" Type="http://schemas.openxmlformats.org/officeDocument/2006/relationships/image" Target="media/image565.wmf"/><Relationship Id="rId1167" Type="http://schemas.openxmlformats.org/officeDocument/2006/relationships/oleObject" Target="embeddings/oleObject593.bin"/><Relationship Id="rId1166" Type="http://schemas.openxmlformats.org/officeDocument/2006/relationships/image" Target="media/image564.wmf"/><Relationship Id="rId1165" Type="http://schemas.openxmlformats.org/officeDocument/2006/relationships/oleObject" Target="embeddings/oleObject592.bin"/><Relationship Id="rId1164" Type="http://schemas.openxmlformats.org/officeDocument/2006/relationships/image" Target="media/image563.wmf"/><Relationship Id="rId1163" Type="http://schemas.openxmlformats.org/officeDocument/2006/relationships/oleObject" Target="embeddings/oleObject591.bin"/><Relationship Id="rId1162" Type="http://schemas.openxmlformats.org/officeDocument/2006/relationships/image" Target="media/image562.wmf"/><Relationship Id="rId1161" Type="http://schemas.openxmlformats.org/officeDocument/2006/relationships/oleObject" Target="embeddings/oleObject590.bin"/><Relationship Id="rId1160" Type="http://schemas.openxmlformats.org/officeDocument/2006/relationships/image" Target="media/image561.wmf"/><Relationship Id="rId116" Type="http://schemas.openxmlformats.org/officeDocument/2006/relationships/oleObject" Target="embeddings/oleObject55.bin"/><Relationship Id="rId1159" Type="http://schemas.openxmlformats.org/officeDocument/2006/relationships/oleObject" Target="embeddings/oleObject589.bin"/><Relationship Id="rId1158" Type="http://schemas.openxmlformats.org/officeDocument/2006/relationships/image" Target="media/image560.wmf"/><Relationship Id="rId1157" Type="http://schemas.openxmlformats.org/officeDocument/2006/relationships/oleObject" Target="embeddings/oleObject588.bin"/><Relationship Id="rId1156" Type="http://schemas.openxmlformats.org/officeDocument/2006/relationships/image" Target="media/image559.wmf"/><Relationship Id="rId1155" Type="http://schemas.openxmlformats.org/officeDocument/2006/relationships/oleObject" Target="embeddings/oleObject587.bin"/><Relationship Id="rId1154" Type="http://schemas.openxmlformats.org/officeDocument/2006/relationships/image" Target="media/image558.wmf"/><Relationship Id="rId1153" Type="http://schemas.openxmlformats.org/officeDocument/2006/relationships/oleObject" Target="embeddings/oleObject586.bin"/><Relationship Id="rId1152" Type="http://schemas.openxmlformats.org/officeDocument/2006/relationships/image" Target="media/image557.wmf"/><Relationship Id="rId1151" Type="http://schemas.openxmlformats.org/officeDocument/2006/relationships/oleObject" Target="embeddings/oleObject585.bin"/><Relationship Id="rId1150" Type="http://schemas.openxmlformats.org/officeDocument/2006/relationships/image" Target="media/image556.wmf"/><Relationship Id="rId115" Type="http://schemas.openxmlformats.org/officeDocument/2006/relationships/image" Target="media/image51.wmf"/><Relationship Id="rId1149" Type="http://schemas.openxmlformats.org/officeDocument/2006/relationships/oleObject" Target="embeddings/oleObject584.bin"/><Relationship Id="rId1148" Type="http://schemas.openxmlformats.org/officeDocument/2006/relationships/image" Target="media/image555.wmf"/><Relationship Id="rId1147" Type="http://schemas.openxmlformats.org/officeDocument/2006/relationships/oleObject" Target="embeddings/oleObject583.bin"/><Relationship Id="rId1146" Type="http://schemas.openxmlformats.org/officeDocument/2006/relationships/image" Target="media/image554.wmf"/><Relationship Id="rId1145" Type="http://schemas.openxmlformats.org/officeDocument/2006/relationships/oleObject" Target="embeddings/oleObject582.bin"/><Relationship Id="rId1144" Type="http://schemas.openxmlformats.org/officeDocument/2006/relationships/image" Target="media/image553.wmf"/><Relationship Id="rId1143" Type="http://schemas.openxmlformats.org/officeDocument/2006/relationships/oleObject" Target="embeddings/oleObject581.bin"/><Relationship Id="rId1142" Type="http://schemas.openxmlformats.org/officeDocument/2006/relationships/image" Target="media/image552.wmf"/><Relationship Id="rId1141" Type="http://schemas.openxmlformats.org/officeDocument/2006/relationships/oleObject" Target="embeddings/oleObject580.bin"/><Relationship Id="rId1140" Type="http://schemas.openxmlformats.org/officeDocument/2006/relationships/image" Target="media/image551.wmf"/><Relationship Id="rId114" Type="http://schemas.openxmlformats.org/officeDocument/2006/relationships/oleObject" Target="embeddings/oleObject54.bin"/><Relationship Id="rId1139" Type="http://schemas.openxmlformats.org/officeDocument/2006/relationships/oleObject" Target="embeddings/oleObject579.bin"/><Relationship Id="rId1138" Type="http://schemas.openxmlformats.org/officeDocument/2006/relationships/image" Target="media/image550.wmf"/><Relationship Id="rId1137" Type="http://schemas.openxmlformats.org/officeDocument/2006/relationships/oleObject" Target="embeddings/oleObject578.bin"/><Relationship Id="rId1136" Type="http://schemas.openxmlformats.org/officeDocument/2006/relationships/image" Target="media/image549.wmf"/><Relationship Id="rId1135" Type="http://schemas.openxmlformats.org/officeDocument/2006/relationships/oleObject" Target="embeddings/oleObject577.bin"/><Relationship Id="rId1134" Type="http://schemas.openxmlformats.org/officeDocument/2006/relationships/image" Target="media/image548.wmf"/><Relationship Id="rId1133" Type="http://schemas.openxmlformats.org/officeDocument/2006/relationships/oleObject" Target="embeddings/oleObject576.bin"/><Relationship Id="rId1132" Type="http://schemas.openxmlformats.org/officeDocument/2006/relationships/image" Target="media/image547.wmf"/><Relationship Id="rId1131" Type="http://schemas.openxmlformats.org/officeDocument/2006/relationships/oleObject" Target="embeddings/oleObject575.bin"/><Relationship Id="rId1130" Type="http://schemas.openxmlformats.org/officeDocument/2006/relationships/image" Target="media/image546.wmf"/><Relationship Id="rId113" Type="http://schemas.openxmlformats.org/officeDocument/2006/relationships/image" Target="media/image50.wmf"/><Relationship Id="rId1129" Type="http://schemas.openxmlformats.org/officeDocument/2006/relationships/oleObject" Target="embeddings/oleObject574.bin"/><Relationship Id="rId1128" Type="http://schemas.openxmlformats.org/officeDocument/2006/relationships/image" Target="media/image545.wmf"/><Relationship Id="rId1127" Type="http://schemas.openxmlformats.org/officeDocument/2006/relationships/oleObject" Target="embeddings/oleObject573.bin"/><Relationship Id="rId1126" Type="http://schemas.openxmlformats.org/officeDocument/2006/relationships/image" Target="media/image544.wmf"/><Relationship Id="rId1125" Type="http://schemas.openxmlformats.org/officeDocument/2006/relationships/oleObject" Target="embeddings/oleObject572.bin"/><Relationship Id="rId1124" Type="http://schemas.openxmlformats.org/officeDocument/2006/relationships/image" Target="media/image543.wmf"/><Relationship Id="rId1123" Type="http://schemas.openxmlformats.org/officeDocument/2006/relationships/oleObject" Target="embeddings/oleObject571.bin"/><Relationship Id="rId1122" Type="http://schemas.openxmlformats.org/officeDocument/2006/relationships/image" Target="media/image542.wmf"/><Relationship Id="rId1121" Type="http://schemas.openxmlformats.org/officeDocument/2006/relationships/oleObject" Target="embeddings/oleObject570.bin"/><Relationship Id="rId1120" Type="http://schemas.openxmlformats.org/officeDocument/2006/relationships/image" Target="media/image541.wmf"/><Relationship Id="rId112" Type="http://schemas.openxmlformats.org/officeDocument/2006/relationships/oleObject" Target="embeddings/oleObject53.bin"/><Relationship Id="rId1119" Type="http://schemas.openxmlformats.org/officeDocument/2006/relationships/oleObject" Target="embeddings/oleObject569.bin"/><Relationship Id="rId1118" Type="http://schemas.openxmlformats.org/officeDocument/2006/relationships/image" Target="media/image540.wmf"/><Relationship Id="rId1117" Type="http://schemas.openxmlformats.org/officeDocument/2006/relationships/oleObject" Target="embeddings/oleObject568.bin"/><Relationship Id="rId1116" Type="http://schemas.openxmlformats.org/officeDocument/2006/relationships/image" Target="media/image539.wmf"/><Relationship Id="rId1115" Type="http://schemas.openxmlformats.org/officeDocument/2006/relationships/oleObject" Target="embeddings/oleObject567.bin"/><Relationship Id="rId1114" Type="http://schemas.openxmlformats.org/officeDocument/2006/relationships/oleObject" Target="embeddings/oleObject566.bin"/><Relationship Id="rId1113" Type="http://schemas.openxmlformats.org/officeDocument/2006/relationships/image" Target="media/image538.emf"/><Relationship Id="rId1112" Type="http://schemas.openxmlformats.org/officeDocument/2006/relationships/image" Target="media/image537.wmf"/><Relationship Id="rId1111" Type="http://schemas.openxmlformats.org/officeDocument/2006/relationships/oleObject" Target="embeddings/oleObject565.bin"/><Relationship Id="rId1110" Type="http://schemas.openxmlformats.org/officeDocument/2006/relationships/image" Target="media/image536.wmf"/><Relationship Id="rId111" Type="http://schemas.openxmlformats.org/officeDocument/2006/relationships/image" Target="media/image49.wmf"/><Relationship Id="rId1109" Type="http://schemas.openxmlformats.org/officeDocument/2006/relationships/oleObject" Target="embeddings/oleObject564.bin"/><Relationship Id="rId1108" Type="http://schemas.openxmlformats.org/officeDocument/2006/relationships/image" Target="media/image535.wmf"/><Relationship Id="rId1107" Type="http://schemas.openxmlformats.org/officeDocument/2006/relationships/oleObject" Target="embeddings/oleObject563.bin"/><Relationship Id="rId1106" Type="http://schemas.openxmlformats.org/officeDocument/2006/relationships/image" Target="media/image534.wmf"/><Relationship Id="rId1105" Type="http://schemas.openxmlformats.org/officeDocument/2006/relationships/oleObject" Target="embeddings/oleObject562.bin"/><Relationship Id="rId1104" Type="http://schemas.openxmlformats.org/officeDocument/2006/relationships/image" Target="media/image533.wmf"/><Relationship Id="rId1103" Type="http://schemas.openxmlformats.org/officeDocument/2006/relationships/oleObject" Target="embeddings/oleObject561.bin"/><Relationship Id="rId1102" Type="http://schemas.openxmlformats.org/officeDocument/2006/relationships/image" Target="media/image532.wmf"/><Relationship Id="rId1101" Type="http://schemas.openxmlformats.org/officeDocument/2006/relationships/oleObject" Target="embeddings/oleObject560.bin"/><Relationship Id="rId1100" Type="http://schemas.openxmlformats.org/officeDocument/2006/relationships/image" Target="media/image531.wmf"/><Relationship Id="rId110" Type="http://schemas.openxmlformats.org/officeDocument/2006/relationships/oleObject" Target="embeddings/oleObject52.bin"/><Relationship Id="rId11" Type="http://schemas.openxmlformats.org/officeDocument/2006/relationships/oleObject" Target="embeddings/oleObject1.bin"/><Relationship Id="rId1099" Type="http://schemas.openxmlformats.org/officeDocument/2006/relationships/oleObject" Target="embeddings/oleObject559.bin"/><Relationship Id="rId1098" Type="http://schemas.openxmlformats.org/officeDocument/2006/relationships/image" Target="media/image530.wmf"/><Relationship Id="rId1097" Type="http://schemas.openxmlformats.org/officeDocument/2006/relationships/oleObject" Target="embeddings/oleObject558.bin"/><Relationship Id="rId1096" Type="http://schemas.openxmlformats.org/officeDocument/2006/relationships/image" Target="media/image529.wmf"/><Relationship Id="rId1095" Type="http://schemas.openxmlformats.org/officeDocument/2006/relationships/oleObject" Target="embeddings/oleObject557.bin"/><Relationship Id="rId1094" Type="http://schemas.openxmlformats.org/officeDocument/2006/relationships/image" Target="media/image528.wmf"/><Relationship Id="rId1093" Type="http://schemas.openxmlformats.org/officeDocument/2006/relationships/oleObject" Target="embeddings/oleObject556.bin"/><Relationship Id="rId1092" Type="http://schemas.openxmlformats.org/officeDocument/2006/relationships/image" Target="media/image527.wmf"/><Relationship Id="rId1091" Type="http://schemas.openxmlformats.org/officeDocument/2006/relationships/oleObject" Target="embeddings/oleObject555.bin"/><Relationship Id="rId1090" Type="http://schemas.openxmlformats.org/officeDocument/2006/relationships/image" Target="media/image526.wmf"/><Relationship Id="rId109" Type="http://schemas.openxmlformats.org/officeDocument/2006/relationships/image" Target="media/image48.wmf"/><Relationship Id="rId1089" Type="http://schemas.openxmlformats.org/officeDocument/2006/relationships/oleObject" Target="embeddings/oleObject554.bin"/><Relationship Id="rId1088" Type="http://schemas.openxmlformats.org/officeDocument/2006/relationships/image" Target="media/image525.wmf"/><Relationship Id="rId1087" Type="http://schemas.openxmlformats.org/officeDocument/2006/relationships/oleObject" Target="embeddings/oleObject553.bin"/><Relationship Id="rId1086" Type="http://schemas.openxmlformats.org/officeDocument/2006/relationships/image" Target="media/image524.wmf"/><Relationship Id="rId1085" Type="http://schemas.openxmlformats.org/officeDocument/2006/relationships/oleObject" Target="embeddings/oleObject552.bin"/><Relationship Id="rId1084" Type="http://schemas.openxmlformats.org/officeDocument/2006/relationships/image" Target="media/image523.wmf"/><Relationship Id="rId1083" Type="http://schemas.openxmlformats.org/officeDocument/2006/relationships/oleObject" Target="embeddings/oleObject551.bin"/><Relationship Id="rId1082" Type="http://schemas.openxmlformats.org/officeDocument/2006/relationships/image" Target="media/image522.wmf"/><Relationship Id="rId1081" Type="http://schemas.openxmlformats.org/officeDocument/2006/relationships/oleObject" Target="embeddings/oleObject550.bin"/><Relationship Id="rId1080" Type="http://schemas.openxmlformats.org/officeDocument/2006/relationships/image" Target="media/image521.wmf"/><Relationship Id="rId108" Type="http://schemas.openxmlformats.org/officeDocument/2006/relationships/oleObject" Target="embeddings/oleObject51.bin"/><Relationship Id="rId1079" Type="http://schemas.openxmlformats.org/officeDocument/2006/relationships/oleObject" Target="embeddings/oleObject549.bin"/><Relationship Id="rId1078" Type="http://schemas.openxmlformats.org/officeDocument/2006/relationships/image" Target="media/image520.wmf"/><Relationship Id="rId1077" Type="http://schemas.openxmlformats.org/officeDocument/2006/relationships/oleObject" Target="embeddings/oleObject548.bin"/><Relationship Id="rId1076" Type="http://schemas.openxmlformats.org/officeDocument/2006/relationships/image" Target="media/image519.wmf"/><Relationship Id="rId1075" Type="http://schemas.openxmlformats.org/officeDocument/2006/relationships/oleObject" Target="embeddings/oleObject547.bin"/><Relationship Id="rId1074" Type="http://schemas.openxmlformats.org/officeDocument/2006/relationships/image" Target="media/image518.wmf"/><Relationship Id="rId1073" Type="http://schemas.openxmlformats.org/officeDocument/2006/relationships/oleObject" Target="embeddings/oleObject546.bin"/><Relationship Id="rId1072" Type="http://schemas.openxmlformats.org/officeDocument/2006/relationships/image" Target="media/image517.wmf"/><Relationship Id="rId1071" Type="http://schemas.openxmlformats.org/officeDocument/2006/relationships/oleObject" Target="embeddings/oleObject545.bin"/><Relationship Id="rId1070" Type="http://schemas.openxmlformats.org/officeDocument/2006/relationships/image" Target="media/image516.wmf"/><Relationship Id="rId107" Type="http://schemas.openxmlformats.org/officeDocument/2006/relationships/image" Target="media/image47.wmf"/><Relationship Id="rId1069" Type="http://schemas.openxmlformats.org/officeDocument/2006/relationships/oleObject" Target="embeddings/oleObject544.bin"/><Relationship Id="rId1068" Type="http://schemas.openxmlformats.org/officeDocument/2006/relationships/image" Target="media/image515.wmf"/><Relationship Id="rId1067" Type="http://schemas.openxmlformats.org/officeDocument/2006/relationships/oleObject" Target="embeddings/oleObject543.bin"/><Relationship Id="rId1066" Type="http://schemas.openxmlformats.org/officeDocument/2006/relationships/image" Target="media/image514.wmf"/><Relationship Id="rId1065" Type="http://schemas.openxmlformats.org/officeDocument/2006/relationships/oleObject" Target="embeddings/oleObject542.bin"/><Relationship Id="rId1064" Type="http://schemas.openxmlformats.org/officeDocument/2006/relationships/image" Target="media/image513.wmf"/><Relationship Id="rId1063" Type="http://schemas.openxmlformats.org/officeDocument/2006/relationships/oleObject" Target="embeddings/oleObject541.bin"/><Relationship Id="rId1062" Type="http://schemas.openxmlformats.org/officeDocument/2006/relationships/image" Target="media/image512.wmf"/><Relationship Id="rId1061" Type="http://schemas.openxmlformats.org/officeDocument/2006/relationships/oleObject" Target="embeddings/oleObject540.bin"/><Relationship Id="rId1060" Type="http://schemas.openxmlformats.org/officeDocument/2006/relationships/image" Target="media/image511.jpeg"/><Relationship Id="rId106" Type="http://schemas.openxmlformats.org/officeDocument/2006/relationships/oleObject" Target="embeddings/oleObject50.bin"/><Relationship Id="rId1059" Type="http://schemas.openxmlformats.org/officeDocument/2006/relationships/image" Target="media/image510.wmf"/><Relationship Id="rId1058" Type="http://schemas.openxmlformats.org/officeDocument/2006/relationships/oleObject" Target="embeddings/oleObject539.bin"/><Relationship Id="rId1057" Type="http://schemas.openxmlformats.org/officeDocument/2006/relationships/image" Target="media/image509.wmf"/><Relationship Id="rId1056" Type="http://schemas.openxmlformats.org/officeDocument/2006/relationships/oleObject" Target="embeddings/oleObject538.bin"/><Relationship Id="rId1055" Type="http://schemas.openxmlformats.org/officeDocument/2006/relationships/image" Target="media/image508.wmf"/><Relationship Id="rId1054" Type="http://schemas.openxmlformats.org/officeDocument/2006/relationships/oleObject" Target="embeddings/oleObject537.bin"/><Relationship Id="rId1053" Type="http://schemas.openxmlformats.org/officeDocument/2006/relationships/image" Target="media/image507.wmf"/><Relationship Id="rId1052" Type="http://schemas.openxmlformats.org/officeDocument/2006/relationships/oleObject" Target="embeddings/oleObject536.bin"/><Relationship Id="rId1051" Type="http://schemas.openxmlformats.org/officeDocument/2006/relationships/image" Target="media/image506.wmf"/><Relationship Id="rId1050" Type="http://schemas.openxmlformats.org/officeDocument/2006/relationships/oleObject" Target="embeddings/oleObject535.bin"/><Relationship Id="rId105" Type="http://schemas.openxmlformats.org/officeDocument/2006/relationships/image" Target="media/image46.wmf"/><Relationship Id="rId1049" Type="http://schemas.openxmlformats.org/officeDocument/2006/relationships/image" Target="media/image505.emf"/><Relationship Id="rId1048" Type="http://schemas.openxmlformats.org/officeDocument/2006/relationships/image" Target="media/image504.emf"/><Relationship Id="rId1047" Type="http://schemas.openxmlformats.org/officeDocument/2006/relationships/image" Target="media/image503.emf"/><Relationship Id="rId1046" Type="http://schemas.openxmlformats.org/officeDocument/2006/relationships/oleObject" Target="embeddings/oleObject534.bin"/><Relationship Id="rId1045" Type="http://schemas.openxmlformats.org/officeDocument/2006/relationships/image" Target="media/image502.wmf"/><Relationship Id="rId1044" Type="http://schemas.openxmlformats.org/officeDocument/2006/relationships/oleObject" Target="embeddings/oleObject533.bin"/><Relationship Id="rId1043" Type="http://schemas.openxmlformats.org/officeDocument/2006/relationships/image" Target="media/image501.wmf"/><Relationship Id="rId1042" Type="http://schemas.openxmlformats.org/officeDocument/2006/relationships/oleObject" Target="embeddings/oleObject532.bin"/><Relationship Id="rId1041" Type="http://schemas.openxmlformats.org/officeDocument/2006/relationships/image" Target="media/image500.wmf"/><Relationship Id="rId1040" Type="http://schemas.openxmlformats.org/officeDocument/2006/relationships/oleObject" Target="embeddings/oleObject531.bin"/><Relationship Id="rId104" Type="http://schemas.openxmlformats.org/officeDocument/2006/relationships/oleObject" Target="embeddings/oleObject49.bin"/><Relationship Id="rId1039" Type="http://schemas.openxmlformats.org/officeDocument/2006/relationships/image" Target="media/image499.wmf"/><Relationship Id="rId1038" Type="http://schemas.openxmlformats.org/officeDocument/2006/relationships/oleObject" Target="embeddings/oleObject530.bin"/><Relationship Id="rId1037" Type="http://schemas.openxmlformats.org/officeDocument/2006/relationships/image" Target="media/image498.wmf"/><Relationship Id="rId1036" Type="http://schemas.openxmlformats.org/officeDocument/2006/relationships/oleObject" Target="embeddings/oleObject529.bin"/><Relationship Id="rId1035" Type="http://schemas.openxmlformats.org/officeDocument/2006/relationships/image" Target="media/image497.wmf"/><Relationship Id="rId1034" Type="http://schemas.openxmlformats.org/officeDocument/2006/relationships/oleObject" Target="embeddings/oleObject528.bin"/><Relationship Id="rId1033" Type="http://schemas.openxmlformats.org/officeDocument/2006/relationships/image" Target="media/image496.emf"/><Relationship Id="rId1032" Type="http://schemas.openxmlformats.org/officeDocument/2006/relationships/image" Target="media/image495.wmf"/><Relationship Id="rId1031" Type="http://schemas.openxmlformats.org/officeDocument/2006/relationships/oleObject" Target="embeddings/oleObject527.bin"/><Relationship Id="rId1030" Type="http://schemas.openxmlformats.org/officeDocument/2006/relationships/image" Target="media/image494.emf"/><Relationship Id="rId103" Type="http://schemas.openxmlformats.org/officeDocument/2006/relationships/image" Target="media/image45.wmf"/><Relationship Id="rId1029" Type="http://schemas.openxmlformats.org/officeDocument/2006/relationships/image" Target="media/image493.png"/><Relationship Id="rId1028" Type="http://schemas.openxmlformats.org/officeDocument/2006/relationships/image" Target="media/image492.wmf"/><Relationship Id="rId1027" Type="http://schemas.openxmlformats.org/officeDocument/2006/relationships/oleObject" Target="embeddings/oleObject526.bin"/><Relationship Id="rId1026" Type="http://schemas.openxmlformats.org/officeDocument/2006/relationships/image" Target="media/image491.wmf"/><Relationship Id="rId1025" Type="http://schemas.openxmlformats.org/officeDocument/2006/relationships/oleObject" Target="embeddings/oleObject525.bin"/><Relationship Id="rId1024" Type="http://schemas.openxmlformats.org/officeDocument/2006/relationships/image" Target="media/image490.emf"/><Relationship Id="rId1023" Type="http://schemas.openxmlformats.org/officeDocument/2006/relationships/image" Target="media/image489.wmf"/><Relationship Id="rId1022" Type="http://schemas.openxmlformats.org/officeDocument/2006/relationships/oleObject" Target="embeddings/oleObject524.bin"/><Relationship Id="rId1021" Type="http://schemas.openxmlformats.org/officeDocument/2006/relationships/image" Target="media/image488.wmf"/><Relationship Id="rId1020" Type="http://schemas.openxmlformats.org/officeDocument/2006/relationships/oleObject" Target="embeddings/oleObject523.bin"/><Relationship Id="rId102" Type="http://schemas.openxmlformats.org/officeDocument/2006/relationships/oleObject" Target="embeddings/oleObject48.bin"/><Relationship Id="rId1019" Type="http://schemas.openxmlformats.org/officeDocument/2006/relationships/image" Target="media/image487.wmf"/><Relationship Id="rId1018" Type="http://schemas.openxmlformats.org/officeDocument/2006/relationships/oleObject" Target="embeddings/oleObject522.bin"/><Relationship Id="rId1017" Type="http://schemas.openxmlformats.org/officeDocument/2006/relationships/image" Target="media/image486.wmf"/><Relationship Id="rId1016" Type="http://schemas.openxmlformats.org/officeDocument/2006/relationships/oleObject" Target="embeddings/oleObject521.bin"/><Relationship Id="rId1015" Type="http://schemas.openxmlformats.org/officeDocument/2006/relationships/image" Target="media/image485.wmf"/><Relationship Id="rId1014" Type="http://schemas.openxmlformats.org/officeDocument/2006/relationships/oleObject" Target="embeddings/oleObject520.bin"/><Relationship Id="rId1013" Type="http://schemas.openxmlformats.org/officeDocument/2006/relationships/image" Target="media/image484.wmf"/><Relationship Id="rId1012" Type="http://schemas.openxmlformats.org/officeDocument/2006/relationships/oleObject" Target="embeddings/oleObject519.bin"/><Relationship Id="rId1011" Type="http://schemas.openxmlformats.org/officeDocument/2006/relationships/image" Target="media/image483.wmf"/><Relationship Id="rId1010" Type="http://schemas.openxmlformats.org/officeDocument/2006/relationships/oleObject" Target="embeddings/oleObject518.bin"/><Relationship Id="rId101" Type="http://schemas.openxmlformats.org/officeDocument/2006/relationships/image" Target="media/image44.wmf"/><Relationship Id="rId1009" Type="http://schemas.openxmlformats.org/officeDocument/2006/relationships/image" Target="media/image482.wmf"/><Relationship Id="rId1008" Type="http://schemas.openxmlformats.org/officeDocument/2006/relationships/oleObject" Target="embeddings/oleObject517.bin"/><Relationship Id="rId1007" Type="http://schemas.openxmlformats.org/officeDocument/2006/relationships/oleObject" Target="embeddings/oleObject516.bin"/><Relationship Id="rId1006" Type="http://schemas.openxmlformats.org/officeDocument/2006/relationships/image" Target="media/image481.wmf"/><Relationship Id="rId1005" Type="http://schemas.openxmlformats.org/officeDocument/2006/relationships/oleObject" Target="embeddings/oleObject515.bin"/><Relationship Id="rId1004" Type="http://schemas.openxmlformats.org/officeDocument/2006/relationships/image" Target="media/image480.wmf"/><Relationship Id="rId1003" Type="http://schemas.openxmlformats.org/officeDocument/2006/relationships/oleObject" Target="embeddings/oleObject514.bin"/><Relationship Id="rId1002" Type="http://schemas.openxmlformats.org/officeDocument/2006/relationships/image" Target="media/image479.wmf"/><Relationship Id="rId1001" Type="http://schemas.openxmlformats.org/officeDocument/2006/relationships/oleObject" Target="embeddings/oleObject513.bin"/><Relationship Id="rId1000" Type="http://schemas.openxmlformats.org/officeDocument/2006/relationships/image" Target="media/image478.wmf"/><Relationship Id="rId100" Type="http://schemas.openxmlformats.org/officeDocument/2006/relationships/oleObject" Target="embeddings/oleObject47.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237</Pages>
  <Words>971</Words>
  <Characters>1341</Characters>
  <Lines>1539</Lines>
  <Paragraphs>433</Paragraphs>
  <TotalTime>44</TotalTime>
  <ScaleCrop>false</ScaleCrop>
  <LinksUpToDate>false</LinksUpToDate>
  <CharactersWithSpaces>1719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2024-11-08T15:18:00Z</dcterms:created>
  <dc:creator>chx</dc:creator>
  <cp:lastModifiedBy>Kathy 敏</cp:lastModifiedBy>
  <cp:lastPrinted>2024-11-05T16:56:00Z</cp:lastPrinted>
  <dcterms:modified xsi:type="dcterms:W3CDTF">2026-07-31T05:03:54Z</dcterms:modified>
  <dc:title>1  总  则</dc:title>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2052-12.1.0.26895</vt:lpwstr>
  </property>
  <property fmtid="{D5CDD505-2E9C-101B-9397-08002B2CF9AE}" pid="4" name="ICV">
    <vt:lpwstr>C6CD8B44B88A4242BE97868533D63D29</vt:lpwstr>
  </property>
  <property fmtid="{D5CDD505-2E9C-101B-9397-08002B2CF9AE}" pid="5" name="KSOTemplateDocerSaveRecord">
    <vt:lpwstr>eyJoZGlkIjoiMjk2ZGZmMzI3ZDEyZTNmYTRlYzFlYmMwODMzNWEyNjciLCJ1c2VySWQiOiI3MTQ3Nzc1MjIifQ==</vt:lpwstr>
  </property>
</Properties>
</file>